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Default Extension="jpeg" ContentType="image/jpeg"/>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4.xml" ContentType="application/vnd.openxmlformats-officedocument.wordprocessingml.footer+xml"/>
  <Override PartName="/word/footer4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footer51.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2.xml" ContentType="application/vnd.openxmlformats-officedocument.wordprocessingml.footer+xml"/>
  <Override PartName="/word/footer63.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2.xml" ContentType="application/vnd.openxmlformats-officedocument.wordprocessingml.footer+xml"/>
  <Override PartName="/word/footer73.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4.xml" ContentType="application/vnd.openxmlformats-officedocument.wordprocessingml.footer+xml"/>
  <Override PartName="/word/footer85.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8"/>
        </w:rPr>
      </w:pPr>
    </w:p>
    <w:p>
      <w:pPr>
        <w:pStyle w:val="BodyText"/>
        <w:rPr>
          <w:sz w:val="48"/>
        </w:rPr>
      </w:pPr>
    </w:p>
    <w:p>
      <w:pPr>
        <w:pStyle w:val="BodyText"/>
        <w:spacing w:before="56"/>
        <w:rPr>
          <w:sz w:val="48"/>
        </w:rPr>
      </w:pPr>
    </w:p>
    <w:p>
      <w:pPr>
        <w:spacing w:line="249" w:lineRule="auto" w:before="1"/>
        <w:ind w:left="4107" w:right="0" w:hanging="2759"/>
        <w:jc w:val="left"/>
        <w:rPr>
          <w:sz w:val="48"/>
        </w:rPr>
      </w:pPr>
      <w:bookmarkStart w:name="COVER" w:id="1"/>
      <w:bookmarkEnd w:id="1"/>
      <w:r>
        <w:rPr/>
      </w:r>
      <w:r>
        <w:rPr>
          <w:sz w:val="48"/>
        </w:rPr>
        <w:t>International</w:t>
      </w:r>
      <w:r>
        <w:rPr>
          <w:spacing w:val="-11"/>
          <w:sz w:val="48"/>
        </w:rPr>
        <w:t> </w:t>
      </w:r>
      <w:r>
        <w:rPr>
          <w:sz w:val="48"/>
        </w:rPr>
        <w:t>Bank</w:t>
      </w:r>
      <w:r>
        <w:rPr>
          <w:spacing w:val="-9"/>
          <w:sz w:val="48"/>
        </w:rPr>
        <w:t> </w:t>
      </w:r>
      <w:r>
        <w:rPr>
          <w:sz w:val="48"/>
        </w:rPr>
        <w:t>for</w:t>
      </w:r>
      <w:r>
        <w:rPr>
          <w:spacing w:val="-9"/>
          <w:sz w:val="48"/>
        </w:rPr>
        <w:t> </w:t>
      </w:r>
      <w:r>
        <w:rPr>
          <w:sz w:val="48"/>
        </w:rPr>
        <w:t>Reconstruction</w:t>
      </w:r>
      <w:r>
        <w:rPr>
          <w:spacing w:val="-9"/>
          <w:sz w:val="48"/>
        </w:rPr>
        <w:t> </w:t>
      </w:r>
      <w:r>
        <w:rPr>
          <w:sz w:val="48"/>
        </w:rPr>
        <w:t>and </w:t>
      </w:r>
      <w:r>
        <w:rPr>
          <w:spacing w:val="-2"/>
          <w:sz w:val="48"/>
        </w:rPr>
        <w:t>Development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r>
        <w:rPr/>
        <w:drawing>
          <wp:anchor distT="0" distB="0" distL="0" distR="0" allowOverlap="1" layoutInCell="1" locked="0" behindDoc="1" simplePos="0" relativeHeight="487587840">
            <wp:simplePos x="0" y="0"/>
            <wp:positionH relativeFrom="page">
              <wp:posOffset>2844368</wp:posOffset>
            </wp:positionH>
            <wp:positionV relativeFrom="paragraph">
              <wp:posOffset>224060</wp:posOffset>
            </wp:positionV>
            <wp:extent cx="2029734" cy="202006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029734" cy="2020062"/>
                    </a:xfrm>
                    <a:prstGeom prst="rect">
                      <a:avLst/>
                    </a:prstGeom>
                  </pic:spPr>
                </pic:pic>
              </a:graphicData>
            </a:graphic>
          </wp:anchor>
        </w:drawing>
      </w:r>
    </w:p>
    <w:p>
      <w:pPr>
        <w:pStyle w:val="BodyText"/>
        <w:rPr>
          <w:sz w:val="48"/>
        </w:rPr>
      </w:pPr>
    </w:p>
    <w:p>
      <w:pPr>
        <w:pStyle w:val="BodyText"/>
        <w:rPr>
          <w:sz w:val="48"/>
        </w:rPr>
      </w:pPr>
    </w:p>
    <w:p>
      <w:pPr>
        <w:pStyle w:val="BodyText"/>
        <w:spacing w:before="167"/>
        <w:rPr>
          <w:sz w:val="48"/>
        </w:rPr>
      </w:pPr>
    </w:p>
    <w:p>
      <w:pPr>
        <w:spacing w:line="302" w:lineRule="auto" w:before="1"/>
        <w:ind w:left="1638" w:right="1632" w:firstLine="0"/>
        <w:jc w:val="center"/>
        <w:rPr>
          <w:sz w:val="48"/>
        </w:rPr>
      </w:pPr>
      <w:r>
        <w:rPr>
          <w:sz w:val="48"/>
        </w:rPr>
        <w:t>Management’s</w:t>
      </w:r>
      <w:r>
        <w:rPr>
          <w:spacing w:val="-13"/>
          <w:sz w:val="48"/>
        </w:rPr>
        <w:t> </w:t>
      </w:r>
      <w:r>
        <w:rPr>
          <w:sz w:val="48"/>
        </w:rPr>
        <w:t>Discussion</w:t>
      </w:r>
      <w:r>
        <w:rPr>
          <w:spacing w:val="-12"/>
          <w:sz w:val="48"/>
        </w:rPr>
        <w:t> </w:t>
      </w:r>
      <w:r>
        <w:rPr>
          <w:sz w:val="48"/>
        </w:rPr>
        <w:t>&amp;</w:t>
      </w:r>
      <w:r>
        <w:rPr>
          <w:spacing w:val="-12"/>
          <w:sz w:val="48"/>
        </w:rPr>
        <w:t> </w:t>
      </w:r>
      <w:r>
        <w:rPr>
          <w:sz w:val="48"/>
        </w:rPr>
        <w:t>Analysis </w:t>
      </w:r>
      <w:r>
        <w:rPr>
          <w:spacing w:val="-4"/>
          <w:sz w:val="48"/>
        </w:rPr>
        <w:t>and</w:t>
      </w:r>
    </w:p>
    <w:p>
      <w:pPr>
        <w:spacing w:line="302" w:lineRule="auto" w:before="1"/>
        <w:ind w:left="2990" w:right="2986" w:firstLine="0"/>
        <w:jc w:val="center"/>
        <w:rPr>
          <w:sz w:val="48"/>
        </w:rPr>
      </w:pPr>
      <w:r>
        <w:rPr>
          <w:sz w:val="48"/>
        </w:rPr>
        <w:t>Financial</w:t>
      </w:r>
      <w:r>
        <w:rPr>
          <w:spacing w:val="-30"/>
          <w:sz w:val="48"/>
        </w:rPr>
        <w:t> </w:t>
      </w:r>
      <w:r>
        <w:rPr>
          <w:sz w:val="48"/>
        </w:rPr>
        <w:t>Statements June 30, 2023</w:t>
      </w:r>
    </w:p>
    <w:p>
      <w:pPr>
        <w:spacing w:after="0" w:line="302" w:lineRule="auto"/>
        <w:jc w:val="center"/>
        <w:rPr>
          <w:sz w:val="48"/>
        </w:rPr>
        <w:sectPr>
          <w:footerReference w:type="default" r:id="rId5"/>
          <w:type w:val="continuous"/>
          <w:pgSz w:w="12240" w:h="15840"/>
          <w:pgMar w:header="0" w:footer="0" w:top="1820" w:bottom="280" w:left="720" w:right="720"/>
          <w:pgNumType w:start="1"/>
        </w:sectPr>
      </w:pPr>
    </w:p>
    <w:p>
      <w:pPr>
        <w:pStyle w:val="BodyText"/>
        <w:spacing w:before="4"/>
        <w:rPr>
          <w:sz w:val="17"/>
        </w:rPr>
      </w:pPr>
    </w:p>
    <w:p>
      <w:pPr>
        <w:pStyle w:val="BodyText"/>
        <w:spacing w:after="0"/>
        <w:rPr>
          <w:sz w:val="17"/>
        </w:rPr>
        <w:sectPr>
          <w:pgSz w:w="12240" w:h="15840"/>
          <w:pgMar w:header="0" w:footer="0" w:top="1820" w:bottom="280" w:left="720" w:right="720"/>
        </w:sectPr>
      </w:pPr>
    </w:p>
    <w:p>
      <w:pPr>
        <w:spacing w:line="313" w:lineRule="exact" w:before="0"/>
        <w:ind w:left="720" w:right="0" w:firstLine="0"/>
        <w:jc w:val="left"/>
        <w:rPr>
          <w:rFonts w:ascii="Arial"/>
          <w:b/>
          <w:sz w:val="28"/>
        </w:rPr>
      </w:pPr>
      <w:bookmarkStart w:name="Contents" w:id="2"/>
      <w:bookmarkEnd w:id="2"/>
      <w:r>
        <w:rPr/>
      </w:r>
      <w:r>
        <w:rPr>
          <w:rFonts w:ascii="Arial"/>
          <w:b/>
          <w:spacing w:val="-2"/>
          <w:sz w:val="28"/>
        </w:rPr>
        <w:t>Contents</w:t>
      </w:r>
    </w:p>
    <w:sdt>
      <w:sdtPr>
        <w:docPartObj>
          <w:docPartGallery w:val="Table of Contents"/>
          <w:docPartUnique/>
        </w:docPartObj>
      </w:sdtPr>
      <w:sdtEndPr/>
      <w:sdtContent>
        <w:p>
          <w:pPr>
            <w:pStyle w:val="TOC1"/>
            <w:tabs>
              <w:tab w:pos="4852" w:val="left" w:leader="none"/>
              <w:tab w:pos="10027" w:val="right" w:leader="none"/>
            </w:tabs>
            <w:spacing w:before="155"/>
          </w:pPr>
          <w:r>
            <w:rPr/>
            <w:t>Section</w:t>
          </w:r>
          <w:r>
            <w:rPr>
              <w:spacing w:val="-3"/>
            </w:rPr>
            <w:t> </w:t>
          </w:r>
          <w:r>
            <w:rPr/>
            <w:t>I:</w:t>
          </w:r>
          <w:r>
            <w:rPr>
              <w:spacing w:val="-3"/>
            </w:rPr>
            <w:t> </w:t>
          </w:r>
          <w:r>
            <w:rPr/>
            <w:t>Executive</w:t>
          </w:r>
          <w:r>
            <w:rPr>
              <w:spacing w:val="-2"/>
            </w:rPr>
            <w:t> Summary</w:t>
          </w:r>
          <w:r>
            <w:rPr/>
            <w:tab/>
            <w:t>Summary</w:t>
          </w:r>
          <w:r>
            <w:rPr>
              <w:spacing w:val="-7"/>
            </w:rPr>
            <w:t> </w:t>
          </w:r>
          <w:r>
            <w:rPr/>
            <w:t>Financial</w:t>
          </w:r>
          <w:r>
            <w:rPr>
              <w:spacing w:val="-4"/>
            </w:rPr>
            <w:t> </w:t>
          </w:r>
          <w:r>
            <w:rPr>
              <w:spacing w:val="-2"/>
            </w:rPr>
            <w:t>Results</w:t>
          </w:r>
          <w:r>
            <w:rPr>
              <w:rFonts w:ascii="Times New Roman"/>
            </w:rPr>
            <w:tab/>
          </w:r>
          <w:hyperlink w:history="true" w:anchor="_bookmark1">
            <w:r>
              <w:rPr>
                <w:spacing w:val="-10"/>
              </w:rPr>
              <w:t>4</w:t>
            </w:r>
          </w:hyperlink>
        </w:p>
        <w:p>
          <w:pPr>
            <w:pStyle w:val="TOC1"/>
            <w:tabs>
              <w:tab w:pos="4852" w:val="left" w:leader="none"/>
              <w:tab w:pos="10027" w:val="right" w:leader="none"/>
            </w:tabs>
            <w:spacing w:before="162"/>
          </w:pPr>
          <w:r>
            <w:rPr/>
            <w:t>Section</w:t>
          </w:r>
          <w:r>
            <w:rPr>
              <w:spacing w:val="-3"/>
            </w:rPr>
            <w:t> </w:t>
          </w:r>
          <w:r>
            <w:rPr/>
            <w:t>II:</w:t>
          </w:r>
          <w:r>
            <w:rPr>
              <w:spacing w:val="-1"/>
            </w:rPr>
            <w:t> </w:t>
          </w:r>
          <w:r>
            <w:rPr>
              <w:spacing w:val="-2"/>
            </w:rPr>
            <w:t>Overview</w:t>
          </w:r>
          <w:r>
            <w:rPr/>
            <w:tab/>
          </w:r>
          <w:r>
            <w:rPr>
              <w:spacing w:val="-2"/>
            </w:rPr>
            <w:t>Introduction</w:t>
          </w:r>
          <w:r>
            <w:rPr>
              <w:rFonts w:ascii="Times New Roman"/>
            </w:rPr>
            <w:tab/>
          </w:r>
          <w:hyperlink w:history="true" w:anchor="_bookmark2">
            <w:r>
              <w:rPr>
                <w:spacing w:val="-10"/>
              </w:rPr>
              <w:t>6</w:t>
            </w:r>
          </w:hyperlink>
        </w:p>
        <w:p>
          <w:pPr>
            <w:pStyle w:val="TOC2"/>
            <w:tabs>
              <w:tab w:pos="10027" w:val="right" w:leader="none"/>
            </w:tabs>
          </w:pPr>
          <w:r>
            <w:rPr/>
            <w:t>Financial</w:t>
          </w:r>
          <w:r>
            <w:rPr>
              <w:spacing w:val="-8"/>
            </w:rPr>
            <w:t> </w:t>
          </w:r>
          <w:r>
            <w:rPr/>
            <w:t>Business</w:t>
          </w:r>
          <w:r>
            <w:rPr>
              <w:spacing w:val="-5"/>
            </w:rPr>
            <w:t> </w:t>
          </w:r>
          <w:r>
            <w:rPr>
              <w:spacing w:val="-4"/>
            </w:rPr>
            <w:t>Model</w:t>
          </w:r>
          <w:r>
            <w:rPr>
              <w:rFonts w:ascii="Times New Roman"/>
            </w:rPr>
            <w:tab/>
          </w:r>
          <w:hyperlink w:history="true" w:anchor="_bookmark3">
            <w:r>
              <w:rPr>
                <w:spacing w:val="-10"/>
              </w:rPr>
              <w:t>6</w:t>
            </w:r>
          </w:hyperlink>
        </w:p>
        <w:p>
          <w:pPr>
            <w:pStyle w:val="TOC2"/>
            <w:tabs>
              <w:tab w:pos="10027" w:val="right" w:leader="none"/>
            </w:tabs>
          </w:pPr>
          <w:r>
            <w:rPr/>
            <w:t>Basis</w:t>
          </w:r>
          <w:r>
            <w:rPr>
              <w:spacing w:val="-2"/>
            </w:rPr>
            <w:t> </w:t>
          </w:r>
          <w:r>
            <w:rPr/>
            <w:t>of</w:t>
          </w:r>
          <w:r>
            <w:rPr>
              <w:spacing w:val="-1"/>
            </w:rPr>
            <w:t> </w:t>
          </w:r>
          <w:r>
            <w:rPr>
              <w:spacing w:val="-2"/>
            </w:rPr>
            <w:t>Reporting</w:t>
          </w:r>
          <w:r>
            <w:rPr>
              <w:rFonts w:ascii="Times New Roman"/>
            </w:rPr>
            <w:tab/>
          </w:r>
          <w:hyperlink w:history="true" w:anchor="_bookmark5">
            <w:r>
              <w:rPr>
                <w:spacing w:val="-10"/>
              </w:rPr>
              <w:t>7</w:t>
            </w:r>
          </w:hyperlink>
        </w:p>
        <w:p>
          <w:pPr>
            <w:pStyle w:val="TOC1"/>
            <w:tabs>
              <w:tab w:pos="4852" w:val="left" w:leader="none"/>
              <w:tab w:pos="10027" w:val="right" w:leader="none"/>
            </w:tabs>
          </w:pPr>
          <w:r>
            <w:rPr/>
            <w:t>Section</w:t>
          </w:r>
          <w:r>
            <w:rPr>
              <w:spacing w:val="-5"/>
            </w:rPr>
            <w:t> </w:t>
          </w:r>
          <w:r>
            <w:rPr/>
            <w:t>III:</w:t>
          </w:r>
          <w:r>
            <w:rPr>
              <w:spacing w:val="-3"/>
            </w:rPr>
            <w:t> </w:t>
          </w:r>
          <w:r>
            <w:rPr/>
            <w:t>Financial</w:t>
          </w:r>
          <w:r>
            <w:rPr>
              <w:spacing w:val="-3"/>
            </w:rPr>
            <w:t> </w:t>
          </w:r>
          <w:r>
            <w:rPr>
              <w:spacing w:val="-2"/>
            </w:rPr>
            <w:t>Results</w:t>
          </w:r>
          <w:r>
            <w:rPr/>
            <w:tab/>
          </w:r>
          <w:hyperlink w:history="true" w:anchor="_bookmark6">
            <w:r>
              <w:rPr/>
              <w:t>Financial</w:t>
            </w:r>
            <w:r>
              <w:rPr>
                <w:spacing w:val="-7"/>
              </w:rPr>
              <w:t> </w:t>
            </w:r>
            <w:r>
              <w:rPr/>
              <w:t>Results</w:t>
            </w:r>
            <w:r>
              <w:rPr>
                <w:spacing w:val="-4"/>
              </w:rPr>
              <w:t> </w:t>
            </w:r>
            <w:r>
              <w:rPr/>
              <w:t>and</w:t>
            </w:r>
            <w:r>
              <w:rPr>
                <w:spacing w:val="-5"/>
              </w:rPr>
              <w:t> </w:t>
            </w:r>
            <w:r>
              <w:rPr/>
              <w:t>Portfolio</w:t>
            </w:r>
            <w:r>
              <w:rPr>
                <w:spacing w:val="-5"/>
              </w:rPr>
              <w:t> </w:t>
            </w:r>
            <w:r>
              <w:rPr>
                <w:spacing w:val="-2"/>
              </w:rPr>
              <w:t>Performance</w:t>
            </w:r>
          </w:hyperlink>
          <w:r>
            <w:rPr>
              <w:rFonts w:ascii="Times New Roman"/>
            </w:rPr>
            <w:tab/>
          </w:r>
          <w:hyperlink w:history="true" w:anchor="_bookmark6">
            <w:r>
              <w:rPr>
                <w:spacing w:val="-10"/>
              </w:rPr>
              <w:t>9</w:t>
            </w:r>
          </w:hyperlink>
        </w:p>
        <w:p>
          <w:pPr>
            <w:pStyle w:val="TOC2"/>
            <w:tabs>
              <w:tab w:pos="10027" w:val="right" w:leader="none"/>
            </w:tabs>
          </w:pPr>
          <w:r>
            <w:rPr/>
            <w:t>Net</w:t>
          </w:r>
          <w:r>
            <w:rPr>
              <w:spacing w:val="-4"/>
            </w:rPr>
            <w:t> </w:t>
          </w:r>
          <w:r>
            <w:rPr>
              <w:spacing w:val="-2"/>
            </w:rPr>
            <w:t>Income</w:t>
          </w:r>
          <w:r>
            <w:rPr>
              <w:rFonts w:ascii="Times New Roman"/>
            </w:rPr>
            <w:tab/>
          </w:r>
          <w:hyperlink w:history="true" w:anchor="_bookmark8">
            <w:r>
              <w:rPr>
                <w:spacing w:val="-5"/>
              </w:rPr>
              <w:t>10</w:t>
            </w:r>
          </w:hyperlink>
        </w:p>
        <w:p>
          <w:pPr>
            <w:pStyle w:val="TOC2"/>
            <w:tabs>
              <w:tab w:pos="10027" w:val="right" w:leader="none"/>
            </w:tabs>
          </w:pPr>
          <w:r>
            <w:rPr/>
            <w:t>Net</w:t>
          </w:r>
          <w:r>
            <w:rPr>
              <w:spacing w:val="-3"/>
            </w:rPr>
            <w:t> </w:t>
          </w:r>
          <w:r>
            <w:rPr/>
            <w:t>Income</w:t>
          </w:r>
          <w:r>
            <w:rPr>
              <w:spacing w:val="-10"/>
            </w:rPr>
            <w:t> </w:t>
          </w:r>
          <w:r>
            <w:rPr>
              <w:spacing w:val="-2"/>
            </w:rPr>
            <w:t>Allocation</w:t>
          </w:r>
          <w:r>
            <w:rPr>
              <w:rFonts w:ascii="Times New Roman"/>
            </w:rPr>
            <w:tab/>
          </w:r>
          <w:hyperlink w:history="true" w:anchor="_bookmark19">
            <w:r>
              <w:rPr>
                <w:spacing w:val="-5"/>
              </w:rPr>
              <w:t>16</w:t>
            </w:r>
          </w:hyperlink>
        </w:p>
        <w:p>
          <w:pPr>
            <w:pStyle w:val="TOC1"/>
            <w:tabs>
              <w:tab w:pos="4852" w:val="left" w:leader="none"/>
              <w:tab w:pos="10027" w:val="right" w:leader="none"/>
            </w:tabs>
          </w:pPr>
          <w:r>
            <w:rPr/>
            <w:t>Section</w:t>
          </w:r>
          <w:r>
            <w:rPr>
              <w:spacing w:val="-9"/>
            </w:rPr>
            <w:t> </w:t>
          </w:r>
          <w:r>
            <w:rPr/>
            <w:t>IV:</w:t>
          </w:r>
          <w:r>
            <w:rPr>
              <w:spacing w:val="-5"/>
            </w:rPr>
            <w:t> </w:t>
          </w:r>
          <w:r>
            <w:rPr/>
            <w:t>Lending</w:t>
          </w:r>
          <w:r>
            <w:rPr>
              <w:spacing w:val="-11"/>
            </w:rPr>
            <w:t> </w:t>
          </w:r>
          <w:r>
            <w:rPr>
              <w:spacing w:val="-2"/>
            </w:rPr>
            <w:t>Activities</w:t>
          </w:r>
          <w:r>
            <w:rPr/>
            <w:tab/>
            <w:t>Net</w:t>
          </w:r>
          <w:r>
            <w:rPr>
              <w:spacing w:val="-6"/>
            </w:rPr>
            <w:t> </w:t>
          </w:r>
          <w:r>
            <w:rPr/>
            <w:t>Lending</w:t>
          </w:r>
          <w:r>
            <w:rPr>
              <w:spacing w:val="-4"/>
            </w:rPr>
            <w:t> </w:t>
          </w:r>
          <w:r>
            <w:rPr/>
            <w:t>Commitments</w:t>
          </w:r>
          <w:r>
            <w:rPr>
              <w:spacing w:val="-3"/>
            </w:rPr>
            <w:t> </w:t>
          </w:r>
          <w:r>
            <w:rPr/>
            <w:t>and</w:t>
          </w:r>
          <w:r>
            <w:rPr>
              <w:spacing w:val="-4"/>
            </w:rPr>
            <w:t> </w:t>
          </w:r>
          <w:r>
            <w:rPr/>
            <w:t>Gross</w:t>
          </w:r>
          <w:r>
            <w:rPr>
              <w:spacing w:val="-3"/>
            </w:rPr>
            <w:t> </w:t>
          </w:r>
          <w:r>
            <w:rPr>
              <w:spacing w:val="-2"/>
            </w:rPr>
            <w:t>Disbursements</w:t>
          </w:r>
          <w:r>
            <w:rPr>
              <w:rFonts w:ascii="Times New Roman"/>
            </w:rPr>
            <w:tab/>
          </w:r>
          <w:hyperlink w:history="true" w:anchor="_bookmark22">
            <w:r>
              <w:rPr>
                <w:spacing w:val="-5"/>
              </w:rPr>
              <w:t>19</w:t>
            </w:r>
          </w:hyperlink>
        </w:p>
        <w:p>
          <w:pPr>
            <w:pStyle w:val="TOC2"/>
            <w:tabs>
              <w:tab w:pos="10027" w:val="right" w:leader="none"/>
            </w:tabs>
          </w:pPr>
          <w:r>
            <w:rPr/>
            <w:t>Lending</w:t>
          </w:r>
          <w:r>
            <w:rPr>
              <w:spacing w:val="-7"/>
            </w:rPr>
            <w:t> </w:t>
          </w:r>
          <w:r>
            <w:rPr>
              <w:spacing w:val="-2"/>
            </w:rPr>
            <w:t>Categories</w:t>
          </w:r>
          <w:r>
            <w:rPr>
              <w:rFonts w:ascii="Times New Roman"/>
            </w:rPr>
            <w:tab/>
          </w:r>
          <w:hyperlink w:history="true" w:anchor="_bookmark25">
            <w:r>
              <w:rPr>
                <w:spacing w:val="-5"/>
              </w:rPr>
              <w:t>20</w:t>
            </w:r>
          </w:hyperlink>
        </w:p>
        <w:p>
          <w:pPr>
            <w:pStyle w:val="TOC2"/>
            <w:tabs>
              <w:tab w:pos="10027" w:val="right" w:leader="none"/>
            </w:tabs>
          </w:pPr>
          <w:r>
            <w:rPr/>
            <w:t>Currently</w:t>
          </w:r>
          <w:r>
            <w:rPr>
              <w:spacing w:val="-14"/>
            </w:rPr>
            <w:t> </w:t>
          </w:r>
          <w:r>
            <w:rPr/>
            <w:t>Available</w:t>
          </w:r>
          <w:r>
            <w:rPr>
              <w:spacing w:val="-11"/>
            </w:rPr>
            <w:t> </w:t>
          </w:r>
          <w:r>
            <w:rPr/>
            <w:t>Lending</w:t>
          </w:r>
          <w:r>
            <w:rPr>
              <w:spacing w:val="-8"/>
            </w:rPr>
            <w:t> </w:t>
          </w:r>
          <w:r>
            <w:rPr>
              <w:spacing w:val="-2"/>
            </w:rPr>
            <w:t>Products</w:t>
          </w:r>
          <w:r>
            <w:rPr>
              <w:rFonts w:ascii="Times New Roman"/>
            </w:rPr>
            <w:tab/>
          </w:r>
          <w:hyperlink w:history="true" w:anchor="_bookmark27">
            <w:r>
              <w:rPr>
                <w:spacing w:val="-5"/>
              </w:rPr>
              <w:t>21</w:t>
            </w:r>
          </w:hyperlink>
        </w:p>
        <w:p>
          <w:pPr>
            <w:pStyle w:val="TOC2"/>
            <w:tabs>
              <w:tab w:pos="10027" w:val="right" w:leader="none"/>
            </w:tabs>
          </w:pPr>
          <w:r>
            <w:rPr/>
            <w:t>Discontinued</w:t>
          </w:r>
          <w:r>
            <w:rPr>
              <w:spacing w:val="-8"/>
            </w:rPr>
            <w:t> </w:t>
          </w:r>
          <w:r>
            <w:rPr/>
            <w:t>Lending</w:t>
          </w:r>
          <w:r>
            <w:rPr>
              <w:spacing w:val="-8"/>
            </w:rPr>
            <w:t> </w:t>
          </w:r>
          <w:r>
            <w:rPr>
              <w:spacing w:val="-2"/>
            </w:rPr>
            <w:t>Products</w:t>
          </w:r>
          <w:r>
            <w:rPr>
              <w:rFonts w:ascii="Times New Roman"/>
            </w:rPr>
            <w:tab/>
          </w:r>
          <w:hyperlink w:history="true" w:anchor="_bookmark33">
            <w:r>
              <w:rPr>
                <w:spacing w:val="-5"/>
              </w:rPr>
              <w:t>23</w:t>
            </w:r>
          </w:hyperlink>
        </w:p>
        <w:p>
          <w:pPr>
            <w:pStyle w:val="TOC2"/>
            <w:tabs>
              <w:tab w:pos="10027" w:val="right" w:leader="none"/>
            </w:tabs>
          </w:pPr>
          <w:r>
            <w:rPr>
              <w:spacing w:val="-2"/>
            </w:rPr>
            <w:t>Waivers</w:t>
          </w:r>
          <w:r>
            <w:rPr>
              <w:rFonts w:ascii="Times New Roman"/>
            </w:rPr>
            <w:tab/>
          </w:r>
          <w:hyperlink w:history="true" w:anchor="_bookmark34">
            <w:r>
              <w:rPr>
                <w:spacing w:val="-5"/>
              </w:rPr>
              <w:t>23</w:t>
            </w:r>
          </w:hyperlink>
        </w:p>
        <w:p>
          <w:pPr>
            <w:pStyle w:val="TOC1"/>
            <w:tabs>
              <w:tab w:pos="4852" w:val="left" w:leader="none"/>
              <w:tab w:pos="10027" w:val="right" w:leader="none"/>
            </w:tabs>
          </w:pPr>
          <w:r>
            <w:rPr/>
            <w:t>Section</w:t>
          </w:r>
          <w:r>
            <w:rPr>
              <w:spacing w:val="-8"/>
            </w:rPr>
            <w:t> </w:t>
          </w:r>
          <w:r>
            <w:rPr/>
            <w:t>V:</w:t>
          </w:r>
          <w:r>
            <w:rPr>
              <w:spacing w:val="-5"/>
            </w:rPr>
            <w:t> </w:t>
          </w:r>
          <w:r>
            <w:rPr/>
            <w:t>Other</w:t>
          </w:r>
          <w:r>
            <w:rPr>
              <w:spacing w:val="-5"/>
            </w:rPr>
            <w:t> </w:t>
          </w:r>
          <w:r>
            <w:rPr/>
            <w:t>Development</w:t>
          </w:r>
          <w:r>
            <w:rPr>
              <w:spacing w:val="-11"/>
            </w:rPr>
            <w:t> </w:t>
          </w:r>
          <w:r>
            <w:rPr>
              <w:spacing w:val="-2"/>
            </w:rPr>
            <w:t>Activities</w:t>
          </w:r>
          <w:r>
            <w:rPr/>
            <w:tab/>
          </w:r>
          <w:r>
            <w:rPr>
              <w:spacing w:val="-2"/>
            </w:rPr>
            <w:t>Guarantees</w:t>
          </w:r>
          <w:r>
            <w:rPr>
              <w:rFonts w:ascii="Times New Roman"/>
            </w:rPr>
            <w:tab/>
          </w:r>
          <w:hyperlink w:history="true" w:anchor="_bookmark37">
            <w:r>
              <w:rPr>
                <w:spacing w:val="-5"/>
              </w:rPr>
              <w:t>25</w:t>
            </w:r>
          </w:hyperlink>
        </w:p>
        <w:p>
          <w:pPr>
            <w:pStyle w:val="TOC2"/>
            <w:tabs>
              <w:tab w:pos="10027" w:val="right" w:leader="none"/>
            </w:tabs>
          </w:pPr>
          <w:r>
            <w:rPr/>
            <w:t>Grant</w:t>
          </w:r>
          <w:r>
            <w:rPr>
              <w:spacing w:val="-3"/>
            </w:rPr>
            <w:t> </w:t>
          </w:r>
          <w:r>
            <w:rPr/>
            <w:t>Making</w:t>
          </w:r>
          <w:r>
            <w:rPr>
              <w:spacing w:val="-3"/>
            </w:rPr>
            <w:t> </w:t>
          </w:r>
          <w:r>
            <w:rPr>
              <w:spacing w:val="-2"/>
            </w:rPr>
            <w:t>Facilities</w:t>
          </w:r>
          <w:r>
            <w:rPr>
              <w:rFonts w:ascii="Times New Roman"/>
            </w:rPr>
            <w:tab/>
          </w:r>
          <w:hyperlink w:history="true" w:anchor="_bookmark42">
            <w:r>
              <w:rPr>
                <w:spacing w:val="-5"/>
              </w:rPr>
              <w:t>27</w:t>
            </w:r>
          </w:hyperlink>
        </w:p>
        <w:p>
          <w:pPr>
            <w:pStyle w:val="TOC2"/>
            <w:tabs>
              <w:tab w:pos="10027" w:val="right" w:leader="none"/>
            </w:tabs>
          </w:pPr>
          <w:r>
            <w:rPr>
              <w:spacing w:val="-2"/>
            </w:rPr>
            <w:t>Externally-Funded</w:t>
          </w:r>
          <w:r>
            <w:rPr>
              <w:spacing w:val="15"/>
            </w:rPr>
            <w:t> </w:t>
          </w:r>
          <w:r>
            <w:rPr>
              <w:spacing w:val="-2"/>
            </w:rPr>
            <w:t>Activities</w:t>
          </w:r>
          <w:r>
            <w:rPr>
              <w:rFonts w:ascii="Times New Roman"/>
            </w:rPr>
            <w:tab/>
          </w:r>
          <w:hyperlink w:history="true" w:anchor="_bookmark43">
            <w:r>
              <w:rPr>
                <w:spacing w:val="-5"/>
              </w:rPr>
              <w:t>27</w:t>
            </w:r>
          </w:hyperlink>
        </w:p>
        <w:p>
          <w:pPr>
            <w:pStyle w:val="TOC1"/>
            <w:tabs>
              <w:tab w:pos="4852" w:val="left" w:leader="none"/>
              <w:tab w:pos="10027" w:val="right" w:leader="none"/>
            </w:tabs>
          </w:pPr>
          <w:r>
            <w:rPr/>
            <w:t>Section</w:t>
          </w:r>
          <w:r>
            <w:rPr>
              <w:spacing w:val="-4"/>
            </w:rPr>
            <w:t> </w:t>
          </w:r>
          <w:r>
            <w:rPr/>
            <w:t>VI:</w:t>
          </w:r>
          <w:r>
            <w:rPr>
              <w:spacing w:val="-2"/>
            </w:rPr>
            <w:t> </w:t>
          </w:r>
          <w:r>
            <w:rPr/>
            <w:t>Investment</w:t>
          </w:r>
          <w:r>
            <w:rPr>
              <w:spacing w:val="-11"/>
            </w:rPr>
            <w:t> </w:t>
          </w:r>
          <w:r>
            <w:rPr>
              <w:spacing w:val="-2"/>
            </w:rPr>
            <w:t>Activities</w:t>
          </w:r>
          <w:r>
            <w:rPr/>
            <w:tab/>
            <w:t>Liquid</w:t>
          </w:r>
          <w:r>
            <w:rPr>
              <w:spacing w:val="-14"/>
            </w:rPr>
            <w:t> </w:t>
          </w:r>
          <w:r>
            <w:rPr/>
            <w:t>Asset</w:t>
          </w:r>
          <w:r>
            <w:rPr>
              <w:spacing w:val="-3"/>
            </w:rPr>
            <w:t> </w:t>
          </w:r>
          <w:r>
            <w:rPr>
              <w:spacing w:val="-2"/>
            </w:rPr>
            <w:t>Portfolio</w:t>
          </w:r>
          <w:r>
            <w:rPr>
              <w:rFonts w:ascii="Times New Roman"/>
            </w:rPr>
            <w:tab/>
          </w:r>
          <w:hyperlink w:history="true" w:anchor="_bookmark47">
            <w:r>
              <w:rPr>
                <w:spacing w:val="-5"/>
              </w:rPr>
              <w:t>30</w:t>
            </w:r>
          </w:hyperlink>
        </w:p>
        <w:p>
          <w:pPr>
            <w:pStyle w:val="TOC2"/>
            <w:tabs>
              <w:tab w:pos="10027" w:val="right" w:leader="none"/>
            </w:tabs>
          </w:pPr>
          <w:r>
            <w:rPr/>
            <w:t>Other</w:t>
          </w:r>
          <w:r>
            <w:rPr>
              <w:spacing w:val="-4"/>
            </w:rPr>
            <w:t> </w:t>
          </w:r>
          <w:r>
            <w:rPr>
              <w:spacing w:val="-2"/>
            </w:rPr>
            <w:t>Investments</w:t>
          </w:r>
          <w:r>
            <w:rPr>
              <w:rFonts w:ascii="Times New Roman"/>
            </w:rPr>
            <w:tab/>
          </w:r>
          <w:hyperlink w:history="true" w:anchor="_bookmark51">
            <w:r>
              <w:rPr>
                <w:spacing w:val="-5"/>
              </w:rPr>
              <w:t>31</w:t>
            </w:r>
          </w:hyperlink>
        </w:p>
        <w:p>
          <w:pPr>
            <w:pStyle w:val="TOC1"/>
            <w:tabs>
              <w:tab w:pos="4852" w:val="left" w:leader="none"/>
              <w:tab w:pos="10027" w:val="right" w:leader="none"/>
            </w:tabs>
          </w:pPr>
          <w:r>
            <w:rPr/>
            <w:t>Section</w:t>
          </w:r>
          <w:r>
            <w:rPr>
              <w:spacing w:val="-4"/>
            </w:rPr>
            <w:t> </w:t>
          </w:r>
          <w:r>
            <w:rPr/>
            <w:t>VII:</w:t>
          </w:r>
          <w:r>
            <w:rPr>
              <w:spacing w:val="-3"/>
            </w:rPr>
            <w:t> </w:t>
          </w:r>
          <w:r>
            <w:rPr/>
            <w:t>Borrowing</w:t>
          </w:r>
          <w:r>
            <w:rPr>
              <w:spacing w:val="-11"/>
            </w:rPr>
            <w:t> </w:t>
          </w:r>
          <w:r>
            <w:rPr>
              <w:spacing w:val="-2"/>
            </w:rPr>
            <w:t>Activities</w:t>
          </w:r>
          <w:r>
            <w:rPr/>
            <w:tab/>
            <w:t>Borrowings</w:t>
          </w:r>
          <w:r>
            <w:rPr>
              <w:spacing w:val="-8"/>
            </w:rPr>
            <w:t> </w:t>
          </w:r>
          <w:r>
            <w:rPr>
              <w:spacing w:val="-2"/>
            </w:rPr>
            <w:t>Portfolio</w:t>
          </w:r>
          <w:r>
            <w:rPr>
              <w:rFonts w:ascii="Times New Roman"/>
            </w:rPr>
            <w:tab/>
          </w:r>
          <w:hyperlink w:history="true" w:anchor="_bookmark53">
            <w:r>
              <w:rPr>
                <w:spacing w:val="-5"/>
              </w:rPr>
              <w:t>32</w:t>
            </w:r>
          </w:hyperlink>
        </w:p>
        <w:p>
          <w:pPr>
            <w:pStyle w:val="TOC2"/>
            <w:tabs>
              <w:tab w:pos="10027" w:val="right" w:leader="none"/>
            </w:tabs>
          </w:pPr>
          <w:r>
            <w:rPr>
              <w:spacing w:val="-2"/>
            </w:rPr>
            <w:t>Short-Term</w:t>
          </w:r>
          <w:r>
            <w:rPr>
              <w:spacing w:val="-3"/>
            </w:rPr>
            <w:t> </w:t>
          </w:r>
          <w:r>
            <w:rPr>
              <w:spacing w:val="-2"/>
            </w:rPr>
            <w:t>Borrowings</w:t>
          </w:r>
          <w:r>
            <w:rPr>
              <w:rFonts w:ascii="Times New Roman"/>
            </w:rPr>
            <w:tab/>
          </w:r>
          <w:hyperlink w:history="true" w:anchor="_bookmark55">
            <w:r>
              <w:rPr>
                <w:spacing w:val="-5"/>
              </w:rPr>
              <w:t>33</w:t>
            </w:r>
          </w:hyperlink>
        </w:p>
        <w:p>
          <w:pPr>
            <w:pStyle w:val="TOC2"/>
            <w:tabs>
              <w:tab w:pos="10027" w:val="right" w:leader="none"/>
            </w:tabs>
          </w:pPr>
          <w:r>
            <w:rPr/>
            <w:t>Medium-</w:t>
          </w:r>
          <w:r>
            <w:rPr>
              <w:spacing w:val="-10"/>
            </w:rPr>
            <w:t> </w:t>
          </w:r>
          <w:r>
            <w:rPr/>
            <w:t>and</w:t>
          </w:r>
          <w:r>
            <w:rPr>
              <w:spacing w:val="-11"/>
            </w:rPr>
            <w:t> </w:t>
          </w:r>
          <w:r>
            <w:rPr/>
            <w:t>Long-Term</w:t>
          </w:r>
          <w:r>
            <w:rPr>
              <w:spacing w:val="-9"/>
            </w:rPr>
            <w:t> </w:t>
          </w:r>
          <w:r>
            <w:rPr>
              <w:spacing w:val="-2"/>
            </w:rPr>
            <w:t>Borrowings</w:t>
          </w:r>
          <w:r>
            <w:rPr>
              <w:rFonts w:ascii="Times New Roman"/>
            </w:rPr>
            <w:tab/>
          </w:r>
          <w:hyperlink w:history="true" w:anchor="_bookmark57">
            <w:r>
              <w:rPr>
                <w:spacing w:val="-5"/>
              </w:rPr>
              <w:t>34</w:t>
            </w:r>
          </w:hyperlink>
        </w:p>
        <w:p>
          <w:pPr>
            <w:pStyle w:val="TOC1"/>
            <w:tabs>
              <w:tab w:pos="4852" w:val="left" w:leader="none"/>
              <w:tab w:pos="10027" w:val="right" w:leader="none"/>
            </w:tabs>
          </w:pPr>
          <w:r>
            <w:rPr/>
            <w:t>Section</w:t>
          </w:r>
          <w:r>
            <w:rPr>
              <w:spacing w:val="-4"/>
            </w:rPr>
            <w:t> </w:t>
          </w:r>
          <w:r>
            <w:rPr/>
            <w:t>VIII:</w:t>
          </w:r>
          <w:r>
            <w:rPr>
              <w:spacing w:val="-3"/>
            </w:rPr>
            <w:t> </w:t>
          </w:r>
          <w:r>
            <w:rPr/>
            <w:t>Capital</w:t>
          </w:r>
          <w:r>
            <w:rPr>
              <w:spacing w:val="-11"/>
            </w:rPr>
            <w:t> </w:t>
          </w:r>
          <w:r>
            <w:rPr>
              <w:spacing w:val="-2"/>
            </w:rPr>
            <w:t>Activities</w:t>
          </w:r>
          <w:r>
            <w:rPr/>
            <w:tab/>
            <w:t>Capital</w:t>
          </w:r>
          <w:r>
            <w:rPr>
              <w:spacing w:val="-5"/>
            </w:rPr>
            <w:t> </w:t>
          </w:r>
          <w:r>
            <w:rPr>
              <w:spacing w:val="-2"/>
            </w:rPr>
            <w:t>Structure</w:t>
          </w:r>
          <w:r>
            <w:rPr>
              <w:rFonts w:ascii="Times New Roman"/>
            </w:rPr>
            <w:tab/>
          </w:r>
          <w:hyperlink w:history="true" w:anchor="_bookmark61">
            <w:r>
              <w:rPr>
                <w:spacing w:val="-5"/>
              </w:rPr>
              <w:t>35</w:t>
            </w:r>
          </w:hyperlink>
        </w:p>
        <w:p>
          <w:pPr>
            <w:pStyle w:val="TOC2"/>
            <w:tabs>
              <w:tab w:pos="10027" w:val="right" w:leader="none"/>
            </w:tabs>
          </w:pPr>
          <w:r>
            <w:rPr/>
            <w:t>Usable</w:t>
          </w:r>
          <w:r>
            <w:rPr>
              <w:spacing w:val="-7"/>
            </w:rPr>
            <w:t> </w:t>
          </w:r>
          <w:r>
            <w:rPr>
              <w:spacing w:val="-2"/>
            </w:rPr>
            <w:t>Equity</w:t>
          </w:r>
          <w:r>
            <w:rPr>
              <w:rFonts w:ascii="Times New Roman"/>
            </w:rPr>
            <w:tab/>
          </w:r>
          <w:hyperlink w:history="true" w:anchor="_bookmark65">
            <w:r>
              <w:rPr>
                <w:spacing w:val="-5"/>
              </w:rPr>
              <w:t>37</w:t>
            </w:r>
          </w:hyperlink>
        </w:p>
        <w:p>
          <w:pPr>
            <w:pStyle w:val="TOC1"/>
            <w:tabs>
              <w:tab w:pos="4852" w:val="left" w:leader="none"/>
              <w:tab w:pos="10027" w:val="right" w:leader="none"/>
            </w:tabs>
          </w:pPr>
          <w:r>
            <w:rPr/>
            <w:t>Section</w:t>
          </w:r>
          <w:r>
            <w:rPr>
              <w:spacing w:val="-3"/>
            </w:rPr>
            <w:t> </w:t>
          </w:r>
          <w:r>
            <w:rPr/>
            <w:t>IX:</w:t>
          </w:r>
          <w:r>
            <w:rPr>
              <w:spacing w:val="-2"/>
            </w:rPr>
            <w:t> </w:t>
          </w:r>
          <w:r>
            <w:rPr/>
            <w:t>Risk</w:t>
          </w:r>
          <w:r>
            <w:rPr>
              <w:spacing w:val="-1"/>
            </w:rPr>
            <w:t> </w:t>
          </w:r>
          <w:r>
            <w:rPr>
              <w:spacing w:val="-2"/>
            </w:rPr>
            <w:t>Management</w:t>
          </w:r>
          <w:r>
            <w:rPr/>
            <w:tab/>
            <w:t>Risk</w:t>
          </w:r>
          <w:r>
            <w:rPr>
              <w:spacing w:val="-4"/>
            </w:rPr>
            <w:t> </w:t>
          </w:r>
          <w:r>
            <w:rPr>
              <w:spacing w:val="-2"/>
            </w:rPr>
            <w:t>Governance</w:t>
          </w:r>
          <w:r>
            <w:rPr>
              <w:rFonts w:ascii="Times New Roman"/>
            </w:rPr>
            <w:tab/>
          </w:r>
          <w:hyperlink w:history="true" w:anchor="_bookmark67">
            <w:r>
              <w:rPr>
                <w:spacing w:val="-5"/>
              </w:rPr>
              <w:t>38</w:t>
            </w:r>
          </w:hyperlink>
        </w:p>
        <w:p>
          <w:pPr>
            <w:pStyle w:val="TOC2"/>
            <w:tabs>
              <w:tab w:pos="10027" w:val="right" w:leader="none"/>
            </w:tabs>
          </w:pPr>
          <w:r>
            <w:rPr/>
            <w:t>Risk</w:t>
          </w:r>
          <w:r>
            <w:rPr>
              <w:spacing w:val="-3"/>
            </w:rPr>
            <w:t> </w:t>
          </w:r>
          <w:r>
            <w:rPr/>
            <w:t>Oversight</w:t>
          </w:r>
          <w:r>
            <w:rPr>
              <w:spacing w:val="-3"/>
            </w:rPr>
            <w:t> </w:t>
          </w:r>
          <w:r>
            <w:rPr/>
            <w:t>and</w:t>
          </w:r>
          <w:r>
            <w:rPr>
              <w:spacing w:val="-3"/>
            </w:rPr>
            <w:t> </w:t>
          </w:r>
          <w:r>
            <w:rPr>
              <w:spacing w:val="-2"/>
            </w:rPr>
            <w:t>Coverage</w:t>
          </w:r>
          <w:r>
            <w:rPr>
              <w:rFonts w:ascii="Times New Roman"/>
            </w:rPr>
            <w:tab/>
          </w:r>
          <w:hyperlink w:history="true" w:anchor="_bookmark68">
            <w:r>
              <w:rPr>
                <w:spacing w:val="-5"/>
              </w:rPr>
              <w:t>38</w:t>
            </w:r>
          </w:hyperlink>
        </w:p>
        <w:p>
          <w:pPr>
            <w:pStyle w:val="TOC2"/>
            <w:tabs>
              <w:tab w:pos="10027" w:val="right" w:leader="none"/>
            </w:tabs>
          </w:pPr>
          <w:r>
            <w:rPr/>
            <w:t>Management</w:t>
          </w:r>
          <w:r>
            <w:rPr>
              <w:spacing w:val="-5"/>
            </w:rPr>
            <w:t> </w:t>
          </w:r>
          <w:r>
            <w:rPr/>
            <w:t>of</w:t>
          </w:r>
          <w:r>
            <w:rPr>
              <w:spacing w:val="-4"/>
            </w:rPr>
            <w:t> </w:t>
          </w:r>
          <w:r>
            <w:rPr/>
            <w:t>IBRD’s</w:t>
          </w:r>
          <w:r>
            <w:rPr>
              <w:spacing w:val="-4"/>
            </w:rPr>
            <w:t> </w:t>
          </w:r>
          <w:r>
            <w:rPr>
              <w:spacing w:val="-2"/>
            </w:rPr>
            <w:t>Risks</w:t>
          </w:r>
          <w:r>
            <w:rPr>
              <w:rFonts w:ascii="Times New Roman" w:hAnsi="Times New Roman"/>
            </w:rPr>
            <w:tab/>
          </w:r>
          <w:hyperlink w:history="true" w:anchor="_bookmark71">
            <w:r>
              <w:rPr>
                <w:spacing w:val="-5"/>
              </w:rPr>
              <w:t>40</w:t>
            </w:r>
          </w:hyperlink>
        </w:p>
        <w:p>
          <w:pPr>
            <w:pStyle w:val="TOC2"/>
            <w:tabs>
              <w:tab w:pos="10027" w:val="right" w:leader="none"/>
            </w:tabs>
          </w:pPr>
          <w:r>
            <w:rPr/>
            <w:t>Geopolitical</w:t>
          </w:r>
          <w:r>
            <w:rPr>
              <w:spacing w:val="-5"/>
            </w:rPr>
            <w:t> </w:t>
          </w:r>
          <w:r>
            <w:rPr/>
            <w:t>Events</w:t>
          </w:r>
          <w:r>
            <w:rPr>
              <w:spacing w:val="-4"/>
            </w:rPr>
            <w:t> </w:t>
          </w:r>
          <w:r>
            <w:rPr/>
            <w:t>and</w:t>
          </w:r>
          <w:r>
            <w:rPr>
              <w:spacing w:val="-4"/>
            </w:rPr>
            <w:t> </w:t>
          </w:r>
          <w:r>
            <w:rPr/>
            <w:t>Global</w:t>
          </w:r>
          <w:r>
            <w:rPr>
              <w:spacing w:val="-4"/>
            </w:rPr>
            <w:t> </w:t>
          </w:r>
          <w:r>
            <w:rPr>
              <w:spacing w:val="-2"/>
            </w:rPr>
            <w:t>Outlook</w:t>
          </w:r>
          <w:r>
            <w:rPr>
              <w:rFonts w:ascii="Times New Roman"/>
            </w:rPr>
            <w:tab/>
          </w:r>
          <w:hyperlink w:history="true" w:anchor="_bookmark72">
            <w:r>
              <w:rPr>
                <w:spacing w:val="-5"/>
              </w:rPr>
              <w:t>41</w:t>
            </w:r>
          </w:hyperlink>
        </w:p>
        <w:p>
          <w:pPr>
            <w:pStyle w:val="TOC2"/>
            <w:tabs>
              <w:tab w:pos="10027" w:val="right" w:leader="none"/>
            </w:tabs>
          </w:pPr>
          <w:r>
            <w:rPr>
              <w:spacing w:val="-2"/>
            </w:rPr>
            <w:t>Capital</w:t>
          </w:r>
          <w:r>
            <w:rPr/>
            <w:t> </w:t>
          </w:r>
          <w:r>
            <w:rPr>
              <w:spacing w:val="-2"/>
            </w:rPr>
            <w:t>Adequacy</w:t>
          </w:r>
          <w:r>
            <w:rPr>
              <w:rFonts w:ascii="Times New Roman"/>
            </w:rPr>
            <w:tab/>
          </w:r>
          <w:hyperlink w:history="true" w:anchor="_bookmark73">
            <w:r>
              <w:rPr>
                <w:spacing w:val="-5"/>
              </w:rPr>
              <w:t>41</w:t>
            </w:r>
          </w:hyperlink>
        </w:p>
        <w:p>
          <w:pPr>
            <w:pStyle w:val="TOC2"/>
            <w:tabs>
              <w:tab w:pos="10027" w:val="right" w:leader="none"/>
            </w:tabs>
          </w:pPr>
          <w:r>
            <w:rPr/>
            <w:t>Credit</w:t>
          </w:r>
          <w:r>
            <w:rPr>
              <w:spacing w:val="-4"/>
            </w:rPr>
            <w:t> Risk</w:t>
          </w:r>
          <w:r>
            <w:rPr>
              <w:rFonts w:ascii="Times New Roman"/>
            </w:rPr>
            <w:tab/>
          </w:r>
          <w:hyperlink w:history="true" w:anchor="_bookmark76">
            <w:r>
              <w:rPr>
                <w:spacing w:val="-5"/>
              </w:rPr>
              <w:t>43</w:t>
            </w:r>
          </w:hyperlink>
        </w:p>
        <w:p>
          <w:pPr>
            <w:pStyle w:val="TOC2"/>
            <w:tabs>
              <w:tab w:pos="10027" w:val="right" w:leader="none"/>
            </w:tabs>
          </w:pPr>
          <w:r>
            <w:rPr/>
            <w:t>Market</w:t>
          </w:r>
          <w:r>
            <w:rPr>
              <w:spacing w:val="-2"/>
            </w:rPr>
            <w:t> </w:t>
          </w:r>
          <w:r>
            <w:rPr>
              <w:spacing w:val="-4"/>
            </w:rPr>
            <w:t>Risk</w:t>
          </w:r>
          <w:r>
            <w:rPr>
              <w:rFonts w:ascii="Times New Roman"/>
            </w:rPr>
            <w:tab/>
          </w:r>
          <w:hyperlink w:history="true" w:anchor="_bookmark82">
            <w:r>
              <w:rPr>
                <w:spacing w:val="-5"/>
              </w:rPr>
              <w:t>50</w:t>
            </w:r>
          </w:hyperlink>
        </w:p>
        <w:p>
          <w:pPr>
            <w:pStyle w:val="TOC2"/>
            <w:tabs>
              <w:tab w:pos="10027" w:val="right" w:leader="none"/>
            </w:tabs>
          </w:pPr>
          <w:r>
            <w:rPr/>
            <w:t>Operational</w:t>
          </w:r>
          <w:r>
            <w:rPr>
              <w:spacing w:val="-7"/>
            </w:rPr>
            <w:t> </w:t>
          </w:r>
          <w:r>
            <w:rPr>
              <w:spacing w:val="-4"/>
            </w:rPr>
            <w:t>Risk</w:t>
          </w:r>
          <w:r>
            <w:rPr>
              <w:rFonts w:ascii="Times New Roman"/>
            </w:rPr>
            <w:tab/>
          </w:r>
          <w:hyperlink w:history="true" w:anchor="_bookmark90">
            <w:r>
              <w:rPr>
                <w:spacing w:val="-5"/>
              </w:rPr>
              <w:t>55</w:t>
            </w:r>
          </w:hyperlink>
        </w:p>
        <w:p>
          <w:pPr>
            <w:pStyle w:val="TOC1"/>
            <w:tabs>
              <w:tab w:pos="4852" w:val="left" w:leader="none"/>
              <w:tab w:pos="10027" w:val="right" w:leader="none"/>
            </w:tabs>
          </w:pPr>
          <w:r>
            <w:rPr/>
            <w:t>Section</w:t>
          </w:r>
          <w:r>
            <w:rPr>
              <w:spacing w:val="-4"/>
            </w:rPr>
            <w:t> </w:t>
          </w:r>
          <w:r>
            <w:rPr/>
            <w:t>X:</w:t>
          </w:r>
          <w:r>
            <w:rPr>
              <w:spacing w:val="-3"/>
            </w:rPr>
            <w:t> </w:t>
          </w:r>
          <w:r>
            <w:rPr/>
            <w:t>Contractual</w:t>
          </w:r>
          <w:r>
            <w:rPr>
              <w:spacing w:val="-3"/>
            </w:rPr>
            <w:t> </w:t>
          </w:r>
          <w:r>
            <w:rPr>
              <w:spacing w:val="-2"/>
            </w:rPr>
            <w:t>Obligations</w:t>
          </w:r>
          <w:r>
            <w:rPr/>
            <w:tab/>
            <w:t>Contractual</w:t>
          </w:r>
          <w:r>
            <w:rPr>
              <w:spacing w:val="-8"/>
            </w:rPr>
            <w:t> </w:t>
          </w:r>
          <w:r>
            <w:rPr>
              <w:spacing w:val="-2"/>
            </w:rPr>
            <w:t>Obligations</w:t>
          </w:r>
          <w:r>
            <w:rPr>
              <w:rFonts w:ascii="Times New Roman"/>
            </w:rPr>
            <w:tab/>
          </w:r>
          <w:hyperlink w:history="true" w:anchor="_bookmark91">
            <w:r>
              <w:rPr>
                <w:spacing w:val="-5"/>
              </w:rPr>
              <w:t>56</w:t>
            </w:r>
          </w:hyperlink>
        </w:p>
        <w:p>
          <w:pPr>
            <w:pStyle w:val="TOC1"/>
            <w:tabs>
              <w:tab w:pos="10027" w:val="right" w:leader="none"/>
            </w:tabs>
            <w:spacing w:before="168"/>
          </w:pPr>
          <w:r>
            <w:rPr/>
            <w:t>Section</w:t>
          </w:r>
          <w:r>
            <w:rPr>
              <w:spacing w:val="-4"/>
            </w:rPr>
            <w:t> </w:t>
          </w:r>
          <w:r>
            <w:rPr/>
            <w:t>XI:</w:t>
          </w:r>
          <w:r>
            <w:rPr>
              <w:spacing w:val="-3"/>
            </w:rPr>
            <w:t> </w:t>
          </w:r>
          <w:r>
            <w:rPr/>
            <w:t>Pension</w:t>
          </w:r>
          <w:r>
            <w:rPr>
              <w:spacing w:val="-3"/>
            </w:rPr>
            <w:t> </w:t>
          </w:r>
          <w:r>
            <w:rPr/>
            <w:t>and</w:t>
          </w:r>
          <w:r>
            <w:rPr>
              <w:spacing w:val="-4"/>
            </w:rPr>
            <w:t> </w:t>
          </w:r>
          <w:r>
            <w:rPr/>
            <w:t>Other</w:t>
          </w:r>
          <w:r>
            <w:rPr>
              <w:spacing w:val="-2"/>
            </w:rPr>
            <w:t> </w:t>
          </w:r>
          <w:r>
            <w:rPr/>
            <w:t>Post-Retirement</w:t>
          </w:r>
          <w:r>
            <w:rPr>
              <w:spacing w:val="-3"/>
            </w:rPr>
            <w:t> </w:t>
          </w:r>
          <w:r>
            <w:rPr/>
            <w:t>Benefits</w:t>
          </w:r>
          <w:r>
            <w:rPr>
              <w:spacing w:val="57"/>
            </w:rPr>
            <w:t> </w:t>
          </w:r>
          <w:r>
            <w:rPr>
              <w:spacing w:val="-2"/>
            </w:rPr>
            <w:t>Governance</w:t>
          </w:r>
          <w:r>
            <w:rPr>
              <w:rFonts w:ascii="Times New Roman"/>
            </w:rPr>
            <w:tab/>
          </w:r>
          <w:hyperlink w:history="true" w:anchor="_bookmark93">
            <w:r>
              <w:rPr>
                <w:spacing w:val="-5"/>
              </w:rPr>
              <w:t>57</w:t>
            </w:r>
          </w:hyperlink>
        </w:p>
        <w:p>
          <w:pPr>
            <w:pStyle w:val="TOC2"/>
            <w:tabs>
              <w:tab w:pos="10027" w:val="right" w:leader="none"/>
            </w:tabs>
            <w:spacing w:before="49"/>
          </w:pPr>
          <w:r>
            <w:rPr/>
            <w:t>Funding</w:t>
          </w:r>
          <w:r>
            <w:rPr>
              <w:spacing w:val="-5"/>
            </w:rPr>
            <w:t> </w:t>
          </w:r>
          <w:r>
            <w:rPr/>
            <w:t>and</w:t>
          </w:r>
          <w:r>
            <w:rPr>
              <w:spacing w:val="-5"/>
            </w:rPr>
            <w:t> </w:t>
          </w:r>
          <w:r>
            <w:rPr/>
            <w:t>Investment</w:t>
          </w:r>
          <w:r>
            <w:rPr>
              <w:spacing w:val="-4"/>
            </w:rPr>
            <w:t> </w:t>
          </w:r>
          <w:r>
            <w:rPr>
              <w:spacing w:val="-2"/>
            </w:rPr>
            <w:t>Policies</w:t>
          </w:r>
          <w:r>
            <w:rPr>
              <w:rFonts w:ascii="Times New Roman"/>
            </w:rPr>
            <w:tab/>
          </w:r>
          <w:hyperlink w:history="true" w:anchor="_bookmark94">
            <w:r>
              <w:rPr>
                <w:spacing w:val="-5"/>
              </w:rPr>
              <w:t>57</w:t>
            </w:r>
          </w:hyperlink>
        </w:p>
        <w:p>
          <w:pPr>
            <w:pStyle w:val="TOC2"/>
            <w:tabs>
              <w:tab w:pos="10027" w:val="right" w:leader="none"/>
            </w:tabs>
          </w:pPr>
          <w:r>
            <w:rPr/>
            <w:t>Environmental,</w:t>
          </w:r>
          <w:r>
            <w:rPr>
              <w:spacing w:val="-4"/>
            </w:rPr>
            <w:t> </w:t>
          </w:r>
          <w:r>
            <w:rPr/>
            <w:t>Social</w:t>
          </w:r>
          <w:r>
            <w:rPr>
              <w:spacing w:val="-4"/>
            </w:rPr>
            <w:t> </w:t>
          </w:r>
          <w:r>
            <w:rPr/>
            <w:t>and</w:t>
          </w:r>
          <w:r>
            <w:rPr>
              <w:spacing w:val="-4"/>
            </w:rPr>
            <w:t> </w:t>
          </w:r>
          <w:r>
            <w:rPr/>
            <w:t>Governance</w:t>
          </w:r>
          <w:r>
            <w:rPr>
              <w:spacing w:val="-5"/>
            </w:rPr>
            <w:t> </w:t>
          </w:r>
          <w:r>
            <w:rPr/>
            <w:t>(ESG)</w:t>
          </w:r>
          <w:r>
            <w:rPr>
              <w:spacing w:val="-3"/>
            </w:rPr>
            <w:t> </w:t>
          </w:r>
          <w:r>
            <w:rPr>
              <w:spacing w:val="-2"/>
            </w:rPr>
            <w:t>Policies</w:t>
          </w:r>
          <w:r>
            <w:rPr>
              <w:rFonts w:ascii="Times New Roman"/>
            </w:rPr>
            <w:tab/>
          </w:r>
          <w:hyperlink w:history="true" w:anchor="_bookmark95">
            <w:r>
              <w:rPr>
                <w:spacing w:val="-5"/>
              </w:rPr>
              <w:t>58</w:t>
            </w:r>
          </w:hyperlink>
        </w:p>
        <w:p>
          <w:pPr>
            <w:pStyle w:val="TOC2"/>
            <w:tabs>
              <w:tab w:pos="10027" w:val="right" w:leader="none"/>
            </w:tabs>
          </w:pPr>
          <w:r>
            <w:rPr/>
            <w:t>Projected</w:t>
          </w:r>
          <w:r>
            <w:rPr>
              <w:spacing w:val="-5"/>
            </w:rPr>
            <w:t> </w:t>
          </w:r>
          <w:r>
            <w:rPr/>
            <w:t>Benefit</w:t>
          </w:r>
          <w:r>
            <w:rPr>
              <w:spacing w:val="-4"/>
            </w:rPr>
            <w:t> </w:t>
          </w:r>
          <w:r>
            <w:rPr>
              <w:spacing w:val="-2"/>
            </w:rPr>
            <w:t>Obligation</w:t>
          </w:r>
          <w:r>
            <w:rPr>
              <w:rFonts w:ascii="Times New Roman"/>
            </w:rPr>
            <w:tab/>
          </w:r>
          <w:hyperlink w:history="true" w:anchor="_bookmark96">
            <w:r>
              <w:rPr>
                <w:spacing w:val="-5"/>
              </w:rPr>
              <w:t>58</w:t>
            </w:r>
          </w:hyperlink>
        </w:p>
        <w:p>
          <w:pPr>
            <w:pStyle w:val="TOC1"/>
            <w:tabs>
              <w:tab w:pos="4852" w:val="left" w:leader="none"/>
              <w:tab w:pos="10027" w:val="right" w:leader="none"/>
            </w:tabs>
          </w:pPr>
          <w:r>
            <w:rPr/>
            <w:t>Section</w:t>
          </w:r>
          <w:r>
            <w:rPr>
              <w:spacing w:val="-6"/>
            </w:rPr>
            <w:t> </w:t>
          </w:r>
          <w:r>
            <w:rPr/>
            <w:t>XII:</w:t>
          </w:r>
          <w:r>
            <w:rPr>
              <w:spacing w:val="-3"/>
            </w:rPr>
            <w:t> </w:t>
          </w:r>
          <w:r>
            <w:rPr/>
            <w:t>Critical</w:t>
          </w:r>
          <w:r>
            <w:rPr>
              <w:spacing w:val="-11"/>
            </w:rPr>
            <w:t> </w:t>
          </w:r>
          <w:r>
            <w:rPr/>
            <w:t>Accounting</w:t>
          </w:r>
          <w:r>
            <w:rPr>
              <w:spacing w:val="-4"/>
            </w:rPr>
            <w:t> </w:t>
          </w:r>
          <w:r>
            <w:rPr/>
            <w:t>Policies</w:t>
          </w:r>
          <w:r>
            <w:rPr>
              <w:spacing w:val="-2"/>
            </w:rPr>
            <w:t> </w:t>
          </w:r>
          <w:r>
            <w:rPr/>
            <w:t>and</w:t>
          </w:r>
          <w:r>
            <w:rPr>
              <w:spacing w:val="-4"/>
            </w:rPr>
            <w:t> </w:t>
          </w:r>
          <w:r>
            <w:rPr/>
            <w:t>the</w:t>
          </w:r>
          <w:r>
            <w:rPr>
              <w:spacing w:val="-4"/>
            </w:rPr>
            <w:t> </w:t>
          </w:r>
          <w:r>
            <w:rPr/>
            <w:t>Use</w:t>
          </w:r>
          <w:r>
            <w:rPr>
              <w:spacing w:val="-3"/>
            </w:rPr>
            <w:t> </w:t>
          </w:r>
          <w:r>
            <w:rPr>
              <w:spacing w:val="-5"/>
            </w:rPr>
            <w:t>of</w:t>
          </w:r>
          <w:r>
            <w:rPr/>
            <w:tab/>
            <w:t>Fair</w:t>
          </w:r>
          <w:r>
            <w:rPr>
              <w:spacing w:val="-9"/>
            </w:rPr>
            <w:t> </w:t>
          </w:r>
          <w:r>
            <w:rPr/>
            <w:t>Value</w:t>
          </w:r>
          <w:r>
            <w:rPr>
              <w:spacing w:val="-7"/>
            </w:rPr>
            <w:t> </w:t>
          </w:r>
          <w:r>
            <w:rPr/>
            <w:t>of</w:t>
          </w:r>
          <w:r>
            <w:rPr>
              <w:spacing w:val="-7"/>
            </w:rPr>
            <w:t> </w:t>
          </w:r>
          <w:r>
            <w:rPr/>
            <w:t>Financial</w:t>
          </w:r>
          <w:r>
            <w:rPr>
              <w:spacing w:val="-6"/>
            </w:rPr>
            <w:t> </w:t>
          </w:r>
          <w:r>
            <w:rPr>
              <w:spacing w:val="-2"/>
            </w:rPr>
            <w:t>Instruments</w:t>
          </w:r>
          <w:r>
            <w:rPr>
              <w:rFonts w:ascii="Times New Roman"/>
            </w:rPr>
            <w:tab/>
          </w:r>
          <w:hyperlink w:history="true" w:anchor="_bookmark98">
            <w:r>
              <w:rPr>
                <w:spacing w:val="-5"/>
              </w:rPr>
              <w:t>59</w:t>
            </w:r>
          </w:hyperlink>
        </w:p>
        <w:p>
          <w:pPr>
            <w:pStyle w:val="TOC1"/>
            <w:tabs>
              <w:tab w:pos="4852" w:val="left" w:leader="none"/>
              <w:tab w:pos="10027" w:val="right" w:leader="none"/>
            </w:tabs>
            <w:spacing w:before="41"/>
          </w:pPr>
          <w:r>
            <w:rPr>
              <w:spacing w:val="-2"/>
            </w:rPr>
            <w:t>Estimates</w:t>
          </w:r>
          <w:r>
            <w:rPr/>
            <w:tab/>
            <w:t>Provision</w:t>
          </w:r>
          <w:r>
            <w:rPr>
              <w:spacing w:val="-6"/>
            </w:rPr>
            <w:t> </w:t>
          </w:r>
          <w:r>
            <w:rPr/>
            <w:t>for</w:t>
          </w:r>
          <w:r>
            <w:rPr>
              <w:spacing w:val="-2"/>
            </w:rPr>
            <w:t> </w:t>
          </w:r>
          <w:r>
            <w:rPr/>
            <w:t>Losses</w:t>
          </w:r>
          <w:r>
            <w:rPr>
              <w:spacing w:val="-3"/>
            </w:rPr>
            <w:t> </w:t>
          </w:r>
          <w:r>
            <w:rPr/>
            <w:t>on</w:t>
          </w:r>
          <w:r>
            <w:rPr>
              <w:spacing w:val="-3"/>
            </w:rPr>
            <w:t> </w:t>
          </w:r>
          <w:r>
            <w:rPr/>
            <w:t>Loans</w:t>
          </w:r>
          <w:r>
            <w:rPr>
              <w:spacing w:val="-3"/>
            </w:rPr>
            <w:t> </w:t>
          </w:r>
          <w:r>
            <w:rPr/>
            <w:t>and</w:t>
          </w:r>
          <w:r>
            <w:rPr>
              <w:spacing w:val="-3"/>
            </w:rPr>
            <w:t> </w:t>
          </w:r>
          <w:r>
            <w:rPr/>
            <w:t>Other</w:t>
          </w:r>
          <w:r>
            <w:rPr>
              <w:spacing w:val="-2"/>
            </w:rPr>
            <w:t> Exposures</w:t>
          </w:r>
          <w:r>
            <w:rPr>
              <w:rFonts w:ascii="Times New Roman"/>
            </w:rPr>
            <w:tab/>
          </w:r>
          <w:hyperlink w:history="true" w:anchor="_bookmark100">
            <w:r>
              <w:rPr>
                <w:spacing w:val="-5"/>
              </w:rPr>
              <w:t>60</w:t>
            </w:r>
          </w:hyperlink>
        </w:p>
        <w:p>
          <w:pPr>
            <w:pStyle w:val="TOC2"/>
            <w:tabs>
              <w:tab w:pos="10027" w:val="right" w:leader="none"/>
            </w:tabs>
          </w:pPr>
          <w:r>
            <w:rPr/>
            <w:t>Pension</w:t>
          </w:r>
          <w:r>
            <w:rPr>
              <w:spacing w:val="-5"/>
            </w:rPr>
            <w:t> </w:t>
          </w:r>
          <w:r>
            <w:rPr/>
            <w:t>and</w:t>
          </w:r>
          <w:r>
            <w:rPr>
              <w:spacing w:val="-5"/>
            </w:rPr>
            <w:t> </w:t>
          </w:r>
          <w:r>
            <w:rPr/>
            <w:t>Other</w:t>
          </w:r>
          <w:r>
            <w:rPr>
              <w:spacing w:val="-4"/>
            </w:rPr>
            <w:t> </w:t>
          </w:r>
          <w:r>
            <w:rPr/>
            <w:t>Post-Retirement</w:t>
          </w:r>
          <w:r>
            <w:rPr>
              <w:spacing w:val="-3"/>
            </w:rPr>
            <w:t> </w:t>
          </w:r>
          <w:r>
            <w:rPr>
              <w:spacing w:val="-2"/>
            </w:rPr>
            <w:t>Benefits</w:t>
          </w:r>
          <w:r>
            <w:rPr>
              <w:rFonts w:ascii="Times New Roman"/>
            </w:rPr>
            <w:tab/>
          </w:r>
          <w:hyperlink w:history="true" w:anchor="_bookmark101">
            <w:r>
              <w:rPr>
                <w:spacing w:val="-5"/>
              </w:rPr>
              <w:t>60</w:t>
            </w:r>
          </w:hyperlink>
        </w:p>
        <w:p>
          <w:pPr>
            <w:pStyle w:val="TOC1"/>
            <w:tabs>
              <w:tab w:pos="4852" w:val="left" w:leader="none"/>
              <w:tab w:pos="10027" w:val="right" w:leader="none"/>
            </w:tabs>
          </w:pPr>
          <w:r>
            <w:rPr/>
            <w:t>Section</w:t>
          </w:r>
          <w:r>
            <w:rPr>
              <w:spacing w:val="-4"/>
            </w:rPr>
            <w:t> </w:t>
          </w:r>
          <w:r>
            <w:rPr/>
            <w:t>XIII:</w:t>
          </w:r>
          <w:r>
            <w:rPr>
              <w:spacing w:val="-3"/>
            </w:rPr>
            <w:t> </w:t>
          </w:r>
          <w:r>
            <w:rPr/>
            <w:t>Governance</w:t>
          </w:r>
          <w:r>
            <w:rPr>
              <w:spacing w:val="-3"/>
            </w:rPr>
            <w:t> </w:t>
          </w:r>
          <w:r>
            <w:rPr/>
            <w:t>and</w:t>
          </w:r>
          <w:r>
            <w:rPr>
              <w:spacing w:val="-3"/>
            </w:rPr>
            <w:t> </w:t>
          </w:r>
          <w:r>
            <w:rPr>
              <w:spacing w:val="-2"/>
            </w:rPr>
            <w:t>Controls</w:t>
          </w:r>
          <w:r>
            <w:rPr/>
            <w:tab/>
            <w:t>Business</w:t>
          </w:r>
          <w:r>
            <w:rPr>
              <w:spacing w:val="-4"/>
            </w:rPr>
            <w:t> </w:t>
          </w:r>
          <w:r>
            <w:rPr>
              <w:spacing w:val="-2"/>
            </w:rPr>
            <w:t>Conduct</w:t>
          </w:r>
          <w:r>
            <w:rPr>
              <w:rFonts w:ascii="Times New Roman"/>
            </w:rPr>
            <w:tab/>
          </w:r>
          <w:hyperlink w:history="true" w:anchor="_bookmark102">
            <w:r>
              <w:rPr>
                <w:spacing w:val="-5"/>
              </w:rPr>
              <w:t>61</w:t>
            </w:r>
          </w:hyperlink>
        </w:p>
        <w:p>
          <w:pPr>
            <w:pStyle w:val="TOC2"/>
            <w:tabs>
              <w:tab w:pos="10027" w:val="right" w:leader="none"/>
            </w:tabs>
          </w:pPr>
          <w:r>
            <w:rPr/>
            <w:t>General</w:t>
          </w:r>
          <w:r>
            <w:rPr>
              <w:spacing w:val="-6"/>
            </w:rPr>
            <w:t> </w:t>
          </w:r>
          <w:r>
            <w:rPr>
              <w:spacing w:val="-2"/>
            </w:rPr>
            <w:t>Governance</w:t>
          </w:r>
          <w:r>
            <w:rPr>
              <w:rFonts w:ascii="Times New Roman"/>
            </w:rPr>
            <w:tab/>
          </w:r>
          <w:hyperlink w:history="true" w:anchor="_bookmark103">
            <w:r>
              <w:rPr>
                <w:spacing w:val="-5"/>
              </w:rPr>
              <w:t>61</w:t>
            </w:r>
          </w:hyperlink>
        </w:p>
        <w:p>
          <w:pPr>
            <w:pStyle w:val="TOC2"/>
            <w:tabs>
              <w:tab w:pos="10027" w:val="right" w:leader="none"/>
            </w:tabs>
          </w:pPr>
          <w:r>
            <w:rPr/>
            <w:t>Executive</w:t>
          </w:r>
          <w:r>
            <w:rPr>
              <w:spacing w:val="-6"/>
            </w:rPr>
            <w:t> </w:t>
          </w:r>
          <w:r>
            <w:rPr>
              <w:spacing w:val="-2"/>
            </w:rPr>
            <w:t>Directors</w:t>
          </w:r>
          <w:r>
            <w:rPr>
              <w:rFonts w:ascii="Times New Roman"/>
            </w:rPr>
            <w:tab/>
          </w:r>
          <w:hyperlink w:history="true" w:anchor="_bookmark105">
            <w:r>
              <w:rPr>
                <w:spacing w:val="-5"/>
              </w:rPr>
              <w:t>61</w:t>
            </w:r>
          </w:hyperlink>
        </w:p>
        <w:p>
          <w:pPr>
            <w:pStyle w:val="TOC2"/>
            <w:tabs>
              <w:tab w:pos="10027" w:val="right" w:leader="none"/>
            </w:tabs>
          </w:pPr>
          <w:r>
            <w:rPr/>
            <w:t>Audit</w:t>
          </w:r>
          <w:r>
            <w:rPr>
              <w:spacing w:val="-5"/>
            </w:rPr>
            <w:t> </w:t>
          </w:r>
          <w:r>
            <w:rPr>
              <w:spacing w:val="-2"/>
            </w:rPr>
            <w:t>Committee</w:t>
          </w:r>
          <w:r>
            <w:rPr>
              <w:rFonts w:ascii="Times New Roman"/>
            </w:rPr>
            <w:tab/>
          </w:r>
          <w:hyperlink w:history="true" w:anchor="_bookmark106">
            <w:r>
              <w:rPr>
                <w:spacing w:val="-5"/>
              </w:rPr>
              <w:t>62</w:t>
            </w:r>
          </w:hyperlink>
        </w:p>
        <w:p>
          <w:pPr>
            <w:pStyle w:val="TOC2"/>
            <w:tabs>
              <w:tab w:pos="10027" w:val="right" w:leader="none"/>
            </w:tabs>
          </w:pPr>
          <w:r>
            <w:rPr/>
            <w:t>Auditor</w:t>
          </w:r>
          <w:r>
            <w:rPr>
              <w:spacing w:val="-4"/>
            </w:rPr>
            <w:t> </w:t>
          </w:r>
          <w:r>
            <w:rPr>
              <w:spacing w:val="-2"/>
            </w:rPr>
            <w:t>Independence</w:t>
          </w:r>
          <w:r>
            <w:rPr>
              <w:rFonts w:ascii="Times New Roman"/>
            </w:rPr>
            <w:tab/>
          </w:r>
          <w:hyperlink w:history="true" w:anchor="_bookmark107">
            <w:r>
              <w:rPr>
                <w:spacing w:val="-5"/>
              </w:rPr>
              <w:t>63</w:t>
            </w:r>
          </w:hyperlink>
        </w:p>
        <w:p>
          <w:pPr>
            <w:pStyle w:val="TOC2"/>
            <w:tabs>
              <w:tab w:pos="10027" w:val="right" w:leader="none"/>
            </w:tabs>
          </w:pPr>
          <w:r>
            <w:rPr>
              <w:spacing w:val="-2"/>
            </w:rPr>
            <w:t>External</w:t>
          </w:r>
          <w:r>
            <w:rPr>
              <w:spacing w:val="4"/>
            </w:rPr>
            <w:t> </w:t>
          </w:r>
          <w:r>
            <w:rPr>
              <w:spacing w:val="-2"/>
            </w:rPr>
            <w:t>Auditors</w:t>
          </w:r>
          <w:r>
            <w:rPr>
              <w:rFonts w:ascii="Times New Roman"/>
            </w:rPr>
            <w:tab/>
          </w:r>
          <w:hyperlink w:history="true" w:anchor="_bookmark108">
            <w:r>
              <w:rPr>
                <w:spacing w:val="-5"/>
              </w:rPr>
              <w:t>63</w:t>
            </w:r>
          </w:hyperlink>
        </w:p>
        <w:p>
          <w:pPr>
            <w:pStyle w:val="TOC2"/>
            <w:tabs>
              <w:tab w:pos="10027" w:val="right" w:leader="none"/>
            </w:tabs>
          </w:pPr>
          <w:r>
            <w:rPr/>
            <w:t>Senior</w:t>
          </w:r>
          <w:r>
            <w:rPr>
              <w:spacing w:val="-6"/>
            </w:rPr>
            <w:t> </w:t>
          </w:r>
          <w:r>
            <w:rPr/>
            <w:t>Management</w:t>
          </w:r>
          <w:r>
            <w:rPr>
              <w:spacing w:val="-5"/>
            </w:rPr>
            <w:t> </w:t>
          </w:r>
          <w:r>
            <w:rPr>
              <w:spacing w:val="-2"/>
            </w:rPr>
            <w:t>Changes</w:t>
          </w:r>
          <w:r>
            <w:rPr>
              <w:rFonts w:ascii="Times New Roman"/>
            </w:rPr>
            <w:tab/>
          </w:r>
          <w:hyperlink w:history="true" w:anchor="_bookmark109">
            <w:r>
              <w:rPr>
                <w:spacing w:val="-5"/>
              </w:rPr>
              <w:t>63</w:t>
            </w:r>
          </w:hyperlink>
        </w:p>
        <w:p>
          <w:pPr>
            <w:pStyle w:val="TOC2"/>
            <w:tabs>
              <w:tab w:pos="10027" w:val="right" w:leader="none"/>
            </w:tabs>
          </w:pPr>
          <w:r>
            <w:rPr/>
            <w:t>Internal</w:t>
          </w:r>
          <w:r>
            <w:rPr>
              <w:spacing w:val="-4"/>
            </w:rPr>
            <w:t> </w:t>
          </w:r>
          <w:r>
            <w:rPr>
              <w:spacing w:val="-2"/>
            </w:rPr>
            <w:t>Control</w:t>
          </w:r>
          <w:r>
            <w:rPr>
              <w:rFonts w:ascii="Times New Roman"/>
            </w:rPr>
            <w:tab/>
          </w:r>
          <w:hyperlink w:history="true" w:anchor="_bookmark110">
            <w:r>
              <w:rPr>
                <w:spacing w:val="-5"/>
              </w:rPr>
              <w:t>64</w:t>
            </w:r>
          </w:hyperlink>
        </w:p>
        <w:p>
          <w:pPr>
            <w:pStyle w:val="TOC1"/>
            <w:tabs>
              <w:tab w:pos="4852" w:val="left" w:leader="none"/>
              <w:tab w:pos="10027" w:val="right" w:leader="none"/>
            </w:tabs>
          </w:pPr>
          <w:r>
            <w:rPr>
              <w:spacing w:val="-2"/>
            </w:rPr>
            <w:t>Appendix</w:t>
          </w:r>
          <w:r>
            <w:rPr/>
            <w:tab/>
            <w:t>Glossary</w:t>
          </w:r>
          <w:r>
            <w:rPr>
              <w:spacing w:val="-5"/>
            </w:rPr>
            <w:t> </w:t>
          </w:r>
          <w:r>
            <w:rPr/>
            <w:t>of</w:t>
          </w:r>
          <w:r>
            <w:rPr>
              <w:spacing w:val="-4"/>
            </w:rPr>
            <w:t> </w:t>
          </w:r>
          <w:r>
            <w:rPr>
              <w:spacing w:val="-2"/>
            </w:rPr>
            <w:t>Terms</w:t>
          </w:r>
          <w:r>
            <w:rPr>
              <w:rFonts w:ascii="Times New Roman"/>
            </w:rPr>
            <w:tab/>
          </w:r>
          <w:hyperlink w:history="true" w:anchor="_bookmark111">
            <w:r>
              <w:rPr>
                <w:spacing w:val="-5"/>
              </w:rPr>
              <w:t>65</w:t>
            </w:r>
          </w:hyperlink>
        </w:p>
        <w:p>
          <w:pPr>
            <w:pStyle w:val="TOC2"/>
            <w:tabs>
              <w:tab w:pos="10027" w:val="right" w:leader="none"/>
            </w:tabs>
          </w:pPr>
          <w:r>
            <w:rPr/>
            <w:t>Abbreviations</w:t>
          </w:r>
          <w:r>
            <w:rPr>
              <w:spacing w:val="-8"/>
            </w:rPr>
            <w:t> </w:t>
          </w:r>
          <w:r>
            <w:rPr/>
            <w:t>and</w:t>
          </w:r>
          <w:r>
            <w:rPr>
              <w:spacing w:val="-11"/>
            </w:rPr>
            <w:t> </w:t>
          </w:r>
          <w:r>
            <w:rPr>
              <w:spacing w:val="-2"/>
            </w:rPr>
            <w:t>Acronyms</w:t>
          </w:r>
          <w:r>
            <w:rPr>
              <w:rFonts w:ascii="Times New Roman"/>
            </w:rPr>
            <w:tab/>
          </w:r>
          <w:hyperlink w:history="true" w:anchor="_bookmark112">
            <w:r>
              <w:rPr>
                <w:spacing w:val="-5"/>
              </w:rPr>
              <w:t>66</w:t>
            </w:r>
          </w:hyperlink>
        </w:p>
        <w:p>
          <w:pPr>
            <w:pStyle w:val="TOC2"/>
            <w:tabs>
              <w:tab w:pos="10027" w:val="right" w:leader="none"/>
            </w:tabs>
          </w:pPr>
          <w:r>
            <w:rPr/>
            <w:t>Eligible</w:t>
          </w:r>
          <w:r>
            <w:rPr>
              <w:spacing w:val="-5"/>
            </w:rPr>
            <w:t> </w:t>
          </w:r>
          <w:r>
            <w:rPr/>
            <w:t>Borrowing</w:t>
          </w:r>
          <w:r>
            <w:rPr>
              <w:spacing w:val="-4"/>
            </w:rPr>
            <w:t> </w:t>
          </w:r>
          <w:r>
            <w:rPr/>
            <w:t>Member</w:t>
          </w:r>
          <w:r>
            <w:rPr>
              <w:spacing w:val="-3"/>
            </w:rPr>
            <w:t> </w:t>
          </w:r>
          <w:r>
            <w:rPr/>
            <w:t>Countries</w:t>
          </w:r>
          <w:r>
            <w:rPr>
              <w:spacing w:val="-3"/>
            </w:rPr>
            <w:t> </w:t>
          </w:r>
          <w:r>
            <w:rPr/>
            <w:t>by</w:t>
          </w:r>
          <w:r>
            <w:rPr>
              <w:spacing w:val="-3"/>
            </w:rPr>
            <w:t> </w:t>
          </w:r>
          <w:r>
            <w:rPr/>
            <w:t>Region</w:t>
          </w:r>
          <w:r>
            <w:rPr>
              <w:spacing w:val="-4"/>
            </w:rPr>
            <w:t> </w:t>
          </w:r>
          <w:r>
            <w:rPr/>
            <w:t>as</w:t>
          </w:r>
          <w:r>
            <w:rPr>
              <w:spacing w:val="-3"/>
            </w:rPr>
            <w:t> </w:t>
          </w:r>
          <w:r>
            <w:rPr/>
            <w:t>of</w:t>
          </w:r>
          <w:r>
            <w:rPr>
              <w:spacing w:val="-3"/>
            </w:rPr>
            <w:t> </w:t>
          </w:r>
          <w:r>
            <w:rPr/>
            <w:t>July</w:t>
          </w:r>
          <w:r>
            <w:rPr>
              <w:spacing w:val="-3"/>
            </w:rPr>
            <w:t> </w:t>
          </w:r>
          <w:r>
            <w:rPr/>
            <w:t>1,</w:t>
          </w:r>
          <w:r>
            <w:rPr>
              <w:spacing w:val="-3"/>
            </w:rPr>
            <w:t> </w:t>
          </w:r>
          <w:r>
            <w:rPr>
              <w:spacing w:val="-4"/>
            </w:rPr>
            <w:t>2023</w:t>
          </w:r>
          <w:r>
            <w:rPr>
              <w:rFonts w:ascii="Times New Roman"/>
            </w:rPr>
            <w:tab/>
          </w:r>
          <w:hyperlink w:history="true" w:anchor="_bookmark113">
            <w:r>
              <w:rPr>
                <w:spacing w:val="-5"/>
              </w:rPr>
              <w:t>67</w:t>
            </w:r>
          </w:hyperlink>
        </w:p>
        <w:p>
          <w:pPr>
            <w:pStyle w:val="TOC2"/>
            <w:tabs>
              <w:tab w:pos="10027" w:val="right" w:leader="none"/>
            </w:tabs>
          </w:pPr>
          <w:r>
            <w:rPr/>
            <w:t>List</w:t>
          </w:r>
          <w:r>
            <w:rPr>
              <w:spacing w:val="-7"/>
            </w:rPr>
            <w:t> </w:t>
          </w:r>
          <w:r>
            <w:rPr/>
            <w:t>of</w:t>
          </w:r>
          <w:r>
            <w:rPr>
              <w:spacing w:val="-9"/>
            </w:rPr>
            <w:t> </w:t>
          </w:r>
          <w:r>
            <w:rPr/>
            <w:t>Tables,</w:t>
          </w:r>
          <w:r>
            <w:rPr>
              <w:spacing w:val="-7"/>
            </w:rPr>
            <w:t> </w:t>
          </w:r>
          <w:r>
            <w:rPr/>
            <w:t>Figures</w:t>
          </w:r>
          <w:r>
            <w:rPr>
              <w:spacing w:val="-6"/>
            </w:rPr>
            <w:t> </w:t>
          </w:r>
          <w:r>
            <w:rPr/>
            <w:t>and</w:t>
          </w:r>
          <w:r>
            <w:rPr>
              <w:spacing w:val="-7"/>
            </w:rPr>
            <w:t> </w:t>
          </w:r>
          <w:r>
            <w:rPr>
              <w:spacing w:val="-4"/>
            </w:rPr>
            <w:t>Boxes</w:t>
          </w:r>
          <w:r>
            <w:rPr>
              <w:rFonts w:ascii="Times New Roman"/>
            </w:rPr>
            <w:tab/>
          </w:r>
          <w:hyperlink w:history="true" w:anchor="_bookmark114">
            <w:r>
              <w:rPr>
                <w:spacing w:val="-5"/>
              </w:rPr>
              <w:t>67</w:t>
            </w:r>
          </w:hyperlink>
        </w:p>
      </w:sdtContent>
    </w:sdt>
    <w:p>
      <w:pPr>
        <w:pStyle w:val="TOC2"/>
        <w:spacing w:after="0"/>
        <w:sectPr>
          <w:headerReference w:type="default" r:id="rId7"/>
          <w:headerReference w:type="even" r:id="rId8"/>
          <w:footerReference w:type="default" r:id="rId9"/>
          <w:footerReference w:type="even" r:id="rId10"/>
          <w:pgSz w:w="12240" w:h="15840"/>
          <w:pgMar w:header="744" w:footer="713" w:top="1020" w:bottom="900" w:left="720" w:right="720"/>
          <w:pgNumType w:start="1"/>
        </w:sectPr>
      </w:pPr>
    </w:p>
    <w:p>
      <w:pPr>
        <w:pStyle w:val="BodyText"/>
        <w:spacing w:before="127"/>
        <w:rPr>
          <w:rFonts w:ascii="Arial MT"/>
        </w:rPr>
      </w:pPr>
    </w:p>
    <w:p>
      <w:pPr>
        <w:pStyle w:val="BodyText"/>
        <w:spacing w:line="249" w:lineRule="auto" w:before="1"/>
        <w:ind w:left="720" w:right="718"/>
        <w:jc w:val="both"/>
      </w:pPr>
      <w:r>
        <w:rPr/>
        <w:t>This Management’s Discussion and Analysis (MD&amp;A) discusses the financial results of the International Bank for Reconstruction and Development (IBRD) for the fiscal year ended June 30, 2023 (FY23). IBRD undertakes no obligation to update any forward-looking statements. Certain reclassifications of prior years’ information have been made to conform with the current year’s presentation. For discussion of IBRD’s financial results for the year ended June 30, 2022 as compared to the year ended June 30, 2021, see Section III – Financial Results in IBRD’s MD&amp;A and Financial Statements for the fiscal year ended June 30, 2022.</w:t>
      </w:r>
    </w:p>
    <w:p>
      <w:pPr>
        <w:spacing w:before="114"/>
        <w:ind w:left="720" w:right="0" w:firstLine="0"/>
        <w:jc w:val="both"/>
        <w:rPr>
          <w:rFonts w:ascii="Arial"/>
          <w:b/>
          <w:sz w:val="28"/>
        </w:rPr>
      </w:pPr>
      <w:bookmarkStart w:name="_bookmark0" w:id="3"/>
      <w:bookmarkEnd w:id="3"/>
      <w:r>
        <w:rPr/>
      </w:r>
      <w:r>
        <w:rPr>
          <w:rFonts w:ascii="Arial"/>
          <w:b/>
          <w:sz w:val="28"/>
        </w:rPr>
        <w:t>Box</w:t>
      </w:r>
      <w:r>
        <w:rPr>
          <w:rFonts w:ascii="Arial"/>
          <w:b/>
          <w:spacing w:val="-5"/>
          <w:sz w:val="28"/>
        </w:rPr>
        <w:t> </w:t>
      </w:r>
      <w:r>
        <w:rPr>
          <w:rFonts w:ascii="Arial"/>
          <w:b/>
          <w:sz w:val="28"/>
        </w:rPr>
        <w:t>1:</w:t>
      </w:r>
      <w:r>
        <w:rPr>
          <w:rFonts w:ascii="Arial"/>
          <w:b/>
          <w:spacing w:val="-2"/>
          <w:sz w:val="28"/>
        </w:rPr>
        <w:t> </w:t>
      </w:r>
      <w:r>
        <w:rPr>
          <w:rFonts w:ascii="Arial"/>
          <w:b/>
          <w:sz w:val="28"/>
        </w:rPr>
        <w:t>Selected</w:t>
      </w:r>
      <w:r>
        <w:rPr>
          <w:rFonts w:ascii="Arial"/>
          <w:b/>
          <w:spacing w:val="-2"/>
          <w:sz w:val="28"/>
        </w:rPr>
        <w:t> </w:t>
      </w:r>
      <w:r>
        <w:rPr>
          <w:rFonts w:ascii="Arial"/>
          <w:b/>
          <w:sz w:val="28"/>
        </w:rPr>
        <w:t>Financial</w:t>
      </w:r>
      <w:r>
        <w:rPr>
          <w:rFonts w:ascii="Arial"/>
          <w:b/>
          <w:spacing w:val="-2"/>
          <w:sz w:val="28"/>
        </w:rPr>
        <w:t> </w:t>
      </w:r>
      <w:r>
        <w:rPr>
          <w:rFonts w:ascii="Arial"/>
          <w:b/>
          <w:spacing w:val="-4"/>
          <w:sz w:val="28"/>
        </w:rPr>
        <w:t>Data</w:t>
      </w:r>
    </w:p>
    <w:p>
      <w:pPr>
        <w:spacing w:before="39"/>
        <w:ind w:left="720" w:right="0" w:firstLine="0"/>
        <w:jc w:val="both"/>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ratios</w:t>
      </w:r>
      <w:r>
        <w:rPr>
          <w:rFonts w:ascii="Arial"/>
          <w:i/>
          <w:spacing w:val="-2"/>
          <w:sz w:val="16"/>
        </w:rPr>
        <w:t> </w:t>
      </w:r>
      <w:r>
        <w:rPr>
          <w:rFonts w:ascii="Arial"/>
          <w:i/>
          <w:sz w:val="16"/>
        </w:rPr>
        <w:t>which</w:t>
      </w:r>
      <w:r>
        <w:rPr>
          <w:rFonts w:ascii="Arial"/>
          <w:i/>
          <w:spacing w:val="-4"/>
          <w:sz w:val="16"/>
        </w:rPr>
        <w:t> </w:t>
      </w:r>
      <w:r>
        <w:rPr>
          <w:rFonts w:ascii="Arial"/>
          <w:i/>
          <w:sz w:val="16"/>
        </w:rPr>
        <w:t>are</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p>
      <w:pPr>
        <w:spacing w:before="152" w:after="34"/>
        <w:ind w:left="5896" w:right="0" w:firstLine="0"/>
        <w:jc w:val="left"/>
        <w:rPr>
          <w:rFonts w:ascii="Arial"/>
          <w:i/>
          <w:sz w:val="16"/>
        </w:rPr>
      </w:pPr>
      <w:r>
        <w:rPr>
          <w:rFonts w:ascii="Arial"/>
          <w:i/>
          <w:color w:val="7F7F7F"/>
          <w:sz w:val="16"/>
        </w:rPr>
        <w:t>As</w:t>
      </w:r>
      <w:r>
        <w:rPr>
          <w:rFonts w:ascii="Arial"/>
          <w:i/>
          <w:color w:val="7F7F7F"/>
          <w:spacing w:val="-2"/>
          <w:sz w:val="16"/>
        </w:rPr>
        <w:t> </w:t>
      </w:r>
      <w:r>
        <w:rPr>
          <w:rFonts w:ascii="Arial"/>
          <w:i/>
          <w:color w:val="7F7F7F"/>
          <w:sz w:val="16"/>
        </w:rPr>
        <w:t>of</w:t>
      </w:r>
      <w:r>
        <w:rPr>
          <w:rFonts w:ascii="Arial"/>
          <w:i/>
          <w:color w:val="7F7F7F"/>
          <w:spacing w:val="-2"/>
          <w:sz w:val="16"/>
        </w:rPr>
        <w:t> </w:t>
      </w:r>
      <w:r>
        <w:rPr>
          <w:rFonts w:ascii="Arial"/>
          <w:i/>
          <w:color w:val="7F7F7F"/>
          <w:sz w:val="16"/>
        </w:rPr>
        <w:t>and</w:t>
      </w:r>
      <w:r>
        <w:rPr>
          <w:rFonts w:ascii="Arial"/>
          <w:i/>
          <w:color w:val="7F7F7F"/>
          <w:spacing w:val="-3"/>
          <w:sz w:val="16"/>
        </w:rPr>
        <w:t> </w:t>
      </w:r>
      <w:r>
        <w:rPr>
          <w:rFonts w:ascii="Arial"/>
          <w:i/>
          <w:color w:val="7F7F7F"/>
          <w:sz w:val="16"/>
        </w:rPr>
        <w:t>for</w:t>
      </w:r>
      <w:r>
        <w:rPr>
          <w:rFonts w:ascii="Arial"/>
          <w:i/>
          <w:color w:val="7F7F7F"/>
          <w:spacing w:val="-1"/>
          <w:sz w:val="16"/>
        </w:rPr>
        <w:t> </w:t>
      </w:r>
      <w:r>
        <w:rPr>
          <w:rFonts w:ascii="Arial"/>
          <w:i/>
          <w:color w:val="7F7F7F"/>
          <w:sz w:val="16"/>
        </w:rPr>
        <w:t>the</w:t>
      </w:r>
      <w:r>
        <w:rPr>
          <w:rFonts w:ascii="Arial"/>
          <w:i/>
          <w:color w:val="7F7F7F"/>
          <w:spacing w:val="-3"/>
          <w:sz w:val="16"/>
        </w:rPr>
        <w:t> </w:t>
      </w:r>
      <w:r>
        <w:rPr>
          <w:rFonts w:ascii="Arial"/>
          <w:i/>
          <w:color w:val="7F7F7F"/>
          <w:sz w:val="16"/>
        </w:rPr>
        <w:t>fiscal</w:t>
      </w:r>
      <w:r>
        <w:rPr>
          <w:rFonts w:ascii="Arial"/>
          <w:i/>
          <w:color w:val="7F7F7F"/>
          <w:spacing w:val="-2"/>
          <w:sz w:val="16"/>
        </w:rPr>
        <w:t> </w:t>
      </w:r>
      <w:r>
        <w:rPr>
          <w:rFonts w:ascii="Arial"/>
          <w:i/>
          <w:color w:val="7F7F7F"/>
          <w:sz w:val="16"/>
        </w:rPr>
        <w:t>years</w:t>
      </w:r>
      <w:r>
        <w:rPr>
          <w:rFonts w:ascii="Arial"/>
          <w:i/>
          <w:color w:val="7F7F7F"/>
          <w:spacing w:val="-1"/>
          <w:sz w:val="16"/>
        </w:rPr>
        <w:t> </w:t>
      </w:r>
      <w:r>
        <w:rPr>
          <w:rFonts w:ascii="Arial"/>
          <w:i/>
          <w:color w:val="7F7F7F"/>
          <w:sz w:val="16"/>
        </w:rPr>
        <w:t>ended</w:t>
      </w:r>
      <w:r>
        <w:rPr>
          <w:rFonts w:ascii="Arial"/>
          <w:i/>
          <w:color w:val="7F7F7F"/>
          <w:spacing w:val="-3"/>
          <w:sz w:val="16"/>
        </w:rPr>
        <w:t> </w:t>
      </w:r>
      <w:r>
        <w:rPr>
          <w:rFonts w:ascii="Arial"/>
          <w:i/>
          <w:color w:val="7F7F7F"/>
          <w:sz w:val="16"/>
        </w:rPr>
        <w:t>June</w:t>
      </w:r>
      <w:r>
        <w:rPr>
          <w:rFonts w:ascii="Arial"/>
          <w:i/>
          <w:color w:val="7F7F7F"/>
          <w:spacing w:val="-2"/>
          <w:sz w:val="16"/>
        </w:rPr>
        <w:t> </w:t>
      </w:r>
      <w:r>
        <w:rPr>
          <w:rFonts w:ascii="Arial"/>
          <w:i/>
          <w:color w:val="7F7F7F"/>
          <w:spacing w:val="-5"/>
          <w:sz w:val="16"/>
        </w:rPr>
        <w:t>30</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7"/>
        <w:gridCol w:w="1755"/>
        <w:gridCol w:w="165"/>
        <w:gridCol w:w="1564"/>
        <w:gridCol w:w="1767"/>
      </w:tblGrid>
      <w:tr>
        <w:trPr>
          <w:trHeight w:val="220" w:hRule="atLeast"/>
        </w:trPr>
        <w:tc>
          <w:tcPr>
            <w:tcW w:w="4107" w:type="dxa"/>
          </w:tcPr>
          <w:p>
            <w:pPr>
              <w:pStyle w:val="TableParagraph"/>
              <w:rPr>
                <w:rFonts w:ascii="Times New Roman"/>
                <w:sz w:val="14"/>
              </w:rPr>
            </w:pPr>
          </w:p>
        </w:tc>
        <w:tc>
          <w:tcPr>
            <w:tcW w:w="1755" w:type="dxa"/>
            <w:tcBorders>
              <w:top w:val="single" w:sz="8" w:space="0" w:color="6C6C6C"/>
              <w:bottom w:val="single" w:sz="8" w:space="0" w:color="6C6C6C"/>
            </w:tcBorders>
          </w:tcPr>
          <w:p>
            <w:pPr>
              <w:pStyle w:val="TableParagraph"/>
              <w:spacing w:before="12"/>
              <w:jc w:val="center"/>
              <w:rPr>
                <w:rFonts w:ascii="Arial"/>
                <w:i/>
                <w:sz w:val="16"/>
              </w:rPr>
            </w:pPr>
            <w:r>
              <w:rPr>
                <w:rFonts w:ascii="Arial"/>
                <w:i/>
                <w:color w:val="7F7F7F"/>
                <w:spacing w:val="-4"/>
                <w:sz w:val="16"/>
              </w:rPr>
              <w:t>2023</w:t>
            </w:r>
          </w:p>
        </w:tc>
        <w:tc>
          <w:tcPr>
            <w:tcW w:w="165" w:type="dxa"/>
            <w:tcBorders>
              <w:top w:val="single" w:sz="8" w:space="0" w:color="6C6C6C"/>
            </w:tcBorders>
          </w:tcPr>
          <w:p>
            <w:pPr>
              <w:pStyle w:val="TableParagraph"/>
              <w:rPr>
                <w:rFonts w:ascii="Times New Roman"/>
                <w:sz w:val="14"/>
              </w:rPr>
            </w:pPr>
          </w:p>
        </w:tc>
        <w:tc>
          <w:tcPr>
            <w:tcW w:w="1564" w:type="dxa"/>
            <w:tcBorders>
              <w:top w:val="single" w:sz="8" w:space="0" w:color="6C6C6C"/>
              <w:bottom w:val="single" w:sz="8" w:space="0" w:color="6C6C6C"/>
            </w:tcBorders>
          </w:tcPr>
          <w:p>
            <w:pPr>
              <w:pStyle w:val="TableParagraph"/>
              <w:spacing w:before="12"/>
              <w:ind w:right="1"/>
              <w:jc w:val="center"/>
              <w:rPr>
                <w:rFonts w:ascii="Arial"/>
                <w:i/>
                <w:sz w:val="16"/>
              </w:rPr>
            </w:pPr>
            <w:r>
              <w:rPr>
                <w:rFonts w:ascii="Arial"/>
                <w:i/>
                <w:color w:val="7F7F7F"/>
                <w:spacing w:val="-4"/>
                <w:sz w:val="16"/>
              </w:rPr>
              <w:t>2022</w:t>
            </w:r>
          </w:p>
        </w:tc>
        <w:tc>
          <w:tcPr>
            <w:tcW w:w="1767" w:type="dxa"/>
            <w:tcBorders>
              <w:top w:val="single" w:sz="8" w:space="0" w:color="6C6C6C"/>
              <w:bottom w:val="single" w:sz="8" w:space="0" w:color="6C6C6C"/>
            </w:tcBorders>
          </w:tcPr>
          <w:p>
            <w:pPr>
              <w:pStyle w:val="TableParagraph"/>
              <w:spacing w:before="12"/>
              <w:ind w:left="160"/>
              <w:jc w:val="center"/>
              <w:rPr>
                <w:rFonts w:ascii="Arial"/>
                <w:i/>
                <w:sz w:val="16"/>
              </w:rPr>
            </w:pPr>
            <w:r>
              <w:rPr>
                <w:rFonts w:ascii="Arial"/>
                <w:i/>
                <w:color w:val="7F7F7F"/>
                <w:spacing w:val="-4"/>
                <w:sz w:val="16"/>
              </w:rPr>
              <w:t>2021</w:t>
            </w:r>
          </w:p>
        </w:tc>
      </w:tr>
      <w:tr>
        <w:trPr>
          <w:trHeight w:val="469" w:hRule="atLeast"/>
        </w:trPr>
        <w:tc>
          <w:tcPr>
            <w:tcW w:w="4107" w:type="dxa"/>
          </w:tcPr>
          <w:p>
            <w:pPr>
              <w:pStyle w:val="TableParagraph"/>
              <w:spacing w:before="12"/>
              <w:ind w:left="21" w:right="1699"/>
              <w:jc w:val="center"/>
              <w:rPr>
                <w:sz w:val="16"/>
              </w:rPr>
            </w:pPr>
            <w:r>
              <w:rPr>
                <w:rFonts w:ascii="Arial"/>
                <w:b/>
                <w:sz w:val="16"/>
              </w:rPr>
              <w:t>Lending</w:t>
            </w:r>
            <w:r>
              <w:rPr>
                <w:rFonts w:ascii="Arial"/>
                <w:b/>
                <w:spacing w:val="-6"/>
                <w:sz w:val="16"/>
              </w:rPr>
              <w:t> </w:t>
            </w:r>
            <w:r>
              <w:rPr>
                <w:rFonts w:ascii="Arial"/>
                <w:b/>
                <w:sz w:val="16"/>
              </w:rPr>
              <w:t>Highlights</w:t>
            </w:r>
            <w:r>
              <w:rPr>
                <w:rFonts w:ascii="Arial"/>
                <w:b/>
                <w:spacing w:val="-5"/>
                <w:sz w:val="16"/>
              </w:rPr>
              <w:t> </w:t>
            </w:r>
            <w:r>
              <w:rPr>
                <w:sz w:val="16"/>
              </w:rPr>
              <w:t>(Section</w:t>
            </w:r>
            <w:r>
              <w:rPr>
                <w:spacing w:val="-5"/>
                <w:sz w:val="16"/>
              </w:rPr>
              <w:t> IV)</w:t>
            </w:r>
          </w:p>
          <w:p>
            <w:pPr>
              <w:pStyle w:val="TableParagraph"/>
              <w:spacing w:before="56"/>
              <w:ind w:right="1699"/>
              <w:jc w:val="center"/>
              <w:rPr>
                <w:sz w:val="16"/>
              </w:rPr>
            </w:pPr>
            <w:r>
              <w:rPr>
                <w:sz w:val="16"/>
              </w:rPr>
              <w:t>Net</w:t>
            </w:r>
            <w:r>
              <w:rPr>
                <w:spacing w:val="-4"/>
                <w:sz w:val="16"/>
              </w:rPr>
              <w:t> </w:t>
            </w:r>
            <w:r>
              <w:rPr>
                <w:sz w:val="16"/>
              </w:rPr>
              <w:t>commitments</w:t>
            </w:r>
            <w:r>
              <w:rPr>
                <w:spacing w:val="-3"/>
                <w:sz w:val="16"/>
              </w:rPr>
              <w:t> </w:t>
            </w:r>
            <w:r>
              <w:rPr>
                <w:spacing w:val="-10"/>
                <w:sz w:val="16"/>
                <w:vertAlign w:val="superscript"/>
              </w:rPr>
              <w:t>a</w:t>
            </w:r>
          </w:p>
        </w:tc>
        <w:tc>
          <w:tcPr>
            <w:tcW w:w="1755" w:type="dxa"/>
            <w:tcBorders>
              <w:top w:val="single" w:sz="8" w:space="0" w:color="6C6C6C"/>
            </w:tcBorders>
          </w:tcPr>
          <w:p>
            <w:pPr>
              <w:pStyle w:val="TableParagraph"/>
              <w:spacing w:before="72"/>
              <w:rPr>
                <w:rFonts w:ascii="Arial"/>
                <w:i/>
                <w:sz w:val="16"/>
              </w:rPr>
            </w:pPr>
          </w:p>
          <w:p>
            <w:pPr>
              <w:pStyle w:val="TableParagraph"/>
              <w:tabs>
                <w:tab w:pos="1003" w:val="left" w:leader="none"/>
              </w:tabs>
              <w:ind w:right="207"/>
              <w:jc w:val="right"/>
              <w:rPr>
                <w:sz w:val="16"/>
              </w:rPr>
            </w:pPr>
            <w:r>
              <w:rPr>
                <w:spacing w:val="-10"/>
                <w:sz w:val="16"/>
              </w:rPr>
              <w:t>$</w:t>
            </w:r>
            <w:r>
              <w:rPr>
                <w:sz w:val="16"/>
              </w:rPr>
              <w:tab/>
            </w:r>
            <w:r>
              <w:rPr>
                <w:spacing w:val="-2"/>
                <w:sz w:val="16"/>
              </w:rPr>
              <w:t>38,572</w:t>
            </w:r>
          </w:p>
        </w:tc>
        <w:tc>
          <w:tcPr>
            <w:tcW w:w="165" w:type="dxa"/>
          </w:tcPr>
          <w:p>
            <w:pPr>
              <w:pStyle w:val="TableParagraph"/>
              <w:rPr>
                <w:rFonts w:ascii="Times New Roman"/>
                <w:sz w:val="16"/>
              </w:rPr>
            </w:pPr>
          </w:p>
        </w:tc>
        <w:tc>
          <w:tcPr>
            <w:tcW w:w="1564" w:type="dxa"/>
            <w:tcBorders>
              <w:top w:val="single" w:sz="8" w:space="0" w:color="6C6C6C"/>
            </w:tcBorders>
          </w:tcPr>
          <w:p>
            <w:pPr>
              <w:pStyle w:val="TableParagraph"/>
              <w:spacing w:before="72"/>
              <w:rPr>
                <w:rFonts w:ascii="Arial"/>
                <w:i/>
                <w:sz w:val="16"/>
              </w:rPr>
            </w:pPr>
          </w:p>
          <w:p>
            <w:pPr>
              <w:pStyle w:val="TableParagraph"/>
              <w:tabs>
                <w:tab w:pos="808" w:val="left" w:leader="none"/>
              </w:tabs>
              <w:ind w:right="211"/>
              <w:jc w:val="right"/>
              <w:rPr>
                <w:sz w:val="16"/>
              </w:rPr>
            </w:pPr>
            <w:r>
              <w:rPr>
                <w:spacing w:val="-10"/>
                <w:sz w:val="16"/>
              </w:rPr>
              <w:t>$</w:t>
            </w:r>
            <w:r>
              <w:rPr>
                <w:sz w:val="16"/>
              </w:rPr>
              <w:tab/>
            </w:r>
            <w:r>
              <w:rPr>
                <w:spacing w:val="-2"/>
                <w:sz w:val="16"/>
              </w:rPr>
              <w:t>33,072</w:t>
            </w:r>
          </w:p>
        </w:tc>
        <w:tc>
          <w:tcPr>
            <w:tcW w:w="1767" w:type="dxa"/>
            <w:tcBorders>
              <w:top w:val="single" w:sz="8" w:space="0" w:color="6C6C6C"/>
            </w:tcBorders>
          </w:tcPr>
          <w:p>
            <w:pPr>
              <w:pStyle w:val="TableParagraph"/>
              <w:spacing w:before="72"/>
              <w:rPr>
                <w:rFonts w:ascii="Arial"/>
                <w:i/>
                <w:sz w:val="16"/>
              </w:rPr>
            </w:pPr>
          </w:p>
          <w:p>
            <w:pPr>
              <w:pStyle w:val="TableParagraph"/>
              <w:tabs>
                <w:tab w:pos="853" w:val="left" w:leader="none"/>
              </w:tabs>
              <w:ind w:right="208"/>
              <w:jc w:val="right"/>
              <w:rPr>
                <w:sz w:val="16"/>
              </w:rPr>
            </w:pPr>
            <w:r>
              <w:rPr>
                <w:spacing w:val="-10"/>
                <w:sz w:val="16"/>
              </w:rPr>
              <w:t>$</w:t>
            </w:r>
            <w:r>
              <w:rPr>
                <w:sz w:val="16"/>
              </w:rPr>
              <w:tab/>
            </w:r>
            <w:r>
              <w:rPr>
                <w:spacing w:val="-2"/>
                <w:sz w:val="16"/>
              </w:rPr>
              <w:t>30,523</w:t>
            </w:r>
          </w:p>
        </w:tc>
      </w:tr>
      <w:tr>
        <w:trPr>
          <w:trHeight w:val="240" w:hRule="atLeast"/>
        </w:trPr>
        <w:tc>
          <w:tcPr>
            <w:tcW w:w="4107" w:type="dxa"/>
          </w:tcPr>
          <w:p>
            <w:pPr>
              <w:pStyle w:val="TableParagraph"/>
              <w:spacing w:before="23"/>
              <w:ind w:left="530"/>
              <w:rPr>
                <w:sz w:val="16"/>
              </w:rPr>
            </w:pPr>
            <w:r>
              <w:rPr>
                <w:sz w:val="16"/>
              </w:rPr>
              <w:t>Gross</w:t>
            </w:r>
            <w:r>
              <w:rPr>
                <w:spacing w:val="-3"/>
                <w:sz w:val="16"/>
              </w:rPr>
              <w:t> </w:t>
            </w:r>
            <w:r>
              <w:rPr>
                <w:spacing w:val="-2"/>
                <w:sz w:val="16"/>
              </w:rPr>
              <w:t>disbursements</w:t>
            </w:r>
          </w:p>
        </w:tc>
        <w:tc>
          <w:tcPr>
            <w:tcW w:w="1755" w:type="dxa"/>
          </w:tcPr>
          <w:p>
            <w:pPr>
              <w:pStyle w:val="TableParagraph"/>
              <w:spacing w:before="27"/>
              <w:ind w:right="207"/>
              <w:jc w:val="right"/>
              <w:rPr>
                <w:sz w:val="16"/>
              </w:rPr>
            </w:pPr>
            <w:r>
              <w:rPr>
                <w:spacing w:val="-2"/>
                <w:sz w:val="16"/>
              </w:rPr>
              <w:t>25,504</w:t>
            </w:r>
          </w:p>
        </w:tc>
        <w:tc>
          <w:tcPr>
            <w:tcW w:w="165" w:type="dxa"/>
          </w:tcPr>
          <w:p>
            <w:pPr>
              <w:pStyle w:val="TableParagraph"/>
              <w:rPr>
                <w:rFonts w:ascii="Times New Roman"/>
                <w:sz w:val="16"/>
              </w:rPr>
            </w:pPr>
          </w:p>
        </w:tc>
        <w:tc>
          <w:tcPr>
            <w:tcW w:w="1564" w:type="dxa"/>
          </w:tcPr>
          <w:p>
            <w:pPr>
              <w:pStyle w:val="TableParagraph"/>
              <w:spacing w:before="27"/>
              <w:ind w:right="211"/>
              <w:jc w:val="right"/>
              <w:rPr>
                <w:sz w:val="16"/>
              </w:rPr>
            </w:pPr>
            <w:r>
              <w:rPr>
                <w:spacing w:val="-2"/>
                <w:sz w:val="16"/>
              </w:rPr>
              <w:t>28,168</w:t>
            </w:r>
          </w:p>
        </w:tc>
        <w:tc>
          <w:tcPr>
            <w:tcW w:w="1767" w:type="dxa"/>
          </w:tcPr>
          <w:p>
            <w:pPr>
              <w:pStyle w:val="TableParagraph"/>
              <w:spacing w:before="27"/>
              <w:ind w:right="208"/>
              <w:jc w:val="right"/>
              <w:rPr>
                <w:sz w:val="16"/>
              </w:rPr>
            </w:pPr>
            <w:r>
              <w:rPr>
                <w:spacing w:val="-2"/>
                <w:sz w:val="16"/>
              </w:rPr>
              <w:t>23,691</w:t>
            </w:r>
          </w:p>
        </w:tc>
      </w:tr>
      <w:tr>
        <w:trPr>
          <w:trHeight w:val="211" w:hRule="atLeast"/>
        </w:trPr>
        <w:tc>
          <w:tcPr>
            <w:tcW w:w="4107" w:type="dxa"/>
          </w:tcPr>
          <w:p>
            <w:pPr>
              <w:pStyle w:val="TableParagraph"/>
              <w:spacing w:line="168" w:lineRule="exact" w:before="23"/>
              <w:ind w:left="530"/>
              <w:rPr>
                <w:sz w:val="16"/>
              </w:rPr>
            </w:pPr>
            <w:r>
              <w:rPr>
                <w:sz w:val="16"/>
              </w:rPr>
              <w:t>Net</w:t>
            </w:r>
            <w:r>
              <w:rPr>
                <w:spacing w:val="-4"/>
                <w:sz w:val="16"/>
              </w:rPr>
              <w:t> </w:t>
            </w:r>
            <w:r>
              <w:rPr>
                <w:spacing w:val="-2"/>
                <w:sz w:val="16"/>
              </w:rPr>
              <w:t>disbursements</w:t>
            </w:r>
          </w:p>
        </w:tc>
        <w:tc>
          <w:tcPr>
            <w:tcW w:w="1755" w:type="dxa"/>
          </w:tcPr>
          <w:p>
            <w:pPr>
              <w:pStyle w:val="TableParagraph"/>
              <w:spacing w:line="164" w:lineRule="exact" w:before="27"/>
              <w:ind w:right="207"/>
              <w:jc w:val="right"/>
              <w:rPr>
                <w:sz w:val="16"/>
              </w:rPr>
            </w:pPr>
            <w:r>
              <w:rPr>
                <w:spacing w:val="-2"/>
                <w:sz w:val="16"/>
              </w:rPr>
              <w:t>12,736</w:t>
            </w:r>
          </w:p>
        </w:tc>
        <w:tc>
          <w:tcPr>
            <w:tcW w:w="165" w:type="dxa"/>
          </w:tcPr>
          <w:p>
            <w:pPr>
              <w:pStyle w:val="TableParagraph"/>
              <w:rPr>
                <w:rFonts w:ascii="Times New Roman"/>
                <w:sz w:val="14"/>
              </w:rPr>
            </w:pPr>
          </w:p>
        </w:tc>
        <w:tc>
          <w:tcPr>
            <w:tcW w:w="1564" w:type="dxa"/>
          </w:tcPr>
          <w:p>
            <w:pPr>
              <w:pStyle w:val="TableParagraph"/>
              <w:spacing w:line="164" w:lineRule="exact" w:before="27"/>
              <w:ind w:right="211"/>
              <w:jc w:val="right"/>
              <w:rPr>
                <w:sz w:val="16"/>
              </w:rPr>
            </w:pPr>
            <w:r>
              <w:rPr>
                <w:spacing w:val="-2"/>
                <w:sz w:val="16"/>
              </w:rPr>
              <w:t>14,876</w:t>
            </w:r>
          </w:p>
        </w:tc>
        <w:tc>
          <w:tcPr>
            <w:tcW w:w="1767" w:type="dxa"/>
          </w:tcPr>
          <w:p>
            <w:pPr>
              <w:pStyle w:val="TableParagraph"/>
              <w:spacing w:line="164" w:lineRule="exact" w:before="27"/>
              <w:ind w:right="208"/>
              <w:jc w:val="right"/>
              <w:rPr>
                <w:sz w:val="16"/>
              </w:rPr>
            </w:pPr>
            <w:r>
              <w:rPr>
                <w:spacing w:val="-2"/>
                <w:sz w:val="16"/>
              </w:rPr>
              <w:t>13,590</w:t>
            </w:r>
          </w:p>
        </w:tc>
      </w:tr>
    </w:tbl>
    <w:p>
      <w:pPr>
        <w:pStyle w:val="BodyText"/>
        <w:rPr>
          <w:rFonts w:ascii="Arial"/>
          <w:i/>
        </w:rPr>
      </w:pPr>
    </w:p>
    <w:p>
      <w:pPr>
        <w:pStyle w:val="BodyText"/>
        <w:spacing w:before="37"/>
        <w:rPr>
          <w:rFonts w:ascii="Arial"/>
          <w:i/>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5"/>
        <w:gridCol w:w="611"/>
        <w:gridCol w:w="1257"/>
        <w:gridCol w:w="565"/>
        <w:gridCol w:w="1160"/>
        <w:gridCol w:w="588"/>
        <w:gridCol w:w="1117"/>
      </w:tblGrid>
      <w:tr>
        <w:trPr>
          <w:trHeight w:val="451" w:hRule="atLeast"/>
        </w:trPr>
        <w:tc>
          <w:tcPr>
            <w:tcW w:w="4095" w:type="dxa"/>
          </w:tcPr>
          <w:p>
            <w:pPr>
              <w:pStyle w:val="TableParagraph"/>
              <w:spacing w:line="179" w:lineRule="exact"/>
              <w:ind w:left="50"/>
              <w:rPr>
                <w:sz w:val="16"/>
              </w:rPr>
            </w:pPr>
            <w:r>
              <w:rPr>
                <w:rFonts w:ascii="Arial"/>
                <w:b/>
                <w:sz w:val="16"/>
              </w:rPr>
              <w:t>Income</w:t>
            </w:r>
            <w:r>
              <w:rPr>
                <w:rFonts w:ascii="Arial"/>
                <w:b/>
                <w:spacing w:val="-5"/>
                <w:sz w:val="16"/>
              </w:rPr>
              <w:t> </w:t>
            </w:r>
            <w:r>
              <w:rPr>
                <w:rFonts w:ascii="Arial"/>
                <w:b/>
                <w:sz w:val="16"/>
              </w:rPr>
              <w:t>Statement</w:t>
            </w:r>
            <w:r>
              <w:rPr>
                <w:rFonts w:ascii="Arial"/>
                <w:b/>
                <w:spacing w:val="-5"/>
                <w:sz w:val="16"/>
              </w:rPr>
              <w:t> </w:t>
            </w:r>
            <w:r>
              <w:rPr>
                <w:sz w:val="16"/>
              </w:rPr>
              <w:t>(Section</w:t>
            </w:r>
            <w:r>
              <w:rPr>
                <w:spacing w:val="-5"/>
                <w:sz w:val="16"/>
              </w:rPr>
              <w:t> </w:t>
            </w:r>
            <w:r>
              <w:rPr>
                <w:spacing w:val="-4"/>
                <w:sz w:val="16"/>
              </w:rPr>
              <w:t>III)</w:t>
            </w:r>
          </w:p>
          <w:p>
            <w:pPr>
              <w:pStyle w:val="TableParagraph"/>
              <w:spacing w:before="56"/>
              <w:ind w:left="530"/>
              <w:rPr>
                <w:sz w:val="16"/>
              </w:rPr>
            </w:pPr>
            <w:r>
              <w:rPr>
                <w:sz w:val="16"/>
              </w:rPr>
              <w:t>Board</w:t>
            </w:r>
            <w:r>
              <w:rPr>
                <w:spacing w:val="-5"/>
                <w:sz w:val="16"/>
              </w:rPr>
              <w:t> </w:t>
            </w:r>
            <w:r>
              <w:rPr>
                <w:sz w:val="16"/>
              </w:rPr>
              <w:t>of</w:t>
            </w:r>
            <w:r>
              <w:rPr>
                <w:spacing w:val="-3"/>
                <w:sz w:val="16"/>
              </w:rPr>
              <w:t> </w:t>
            </w:r>
            <w:r>
              <w:rPr>
                <w:sz w:val="16"/>
              </w:rPr>
              <w:t>Governors-approved</w:t>
            </w:r>
            <w:r>
              <w:rPr>
                <w:spacing w:val="-5"/>
                <w:sz w:val="16"/>
              </w:rPr>
              <w:t> </w:t>
            </w:r>
            <w:r>
              <w:rPr>
                <w:sz w:val="16"/>
              </w:rPr>
              <w:t>and</w:t>
            </w:r>
            <w:r>
              <w:rPr>
                <w:spacing w:val="-4"/>
                <w:sz w:val="16"/>
              </w:rPr>
              <w:t> </w:t>
            </w:r>
            <w:r>
              <w:rPr>
                <w:sz w:val="16"/>
              </w:rPr>
              <w:t>other</w:t>
            </w:r>
            <w:r>
              <w:rPr>
                <w:spacing w:val="-3"/>
                <w:sz w:val="16"/>
              </w:rPr>
              <w:t> </w:t>
            </w:r>
            <w:r>
              <w:rPr>
                <w:spacing w:val="-2"/>
                <w:sz w:val="16"/>
              </w:rPr>
              <w:t>transfers</w:t>
            </w:r>
          </w:p>
        </w:tc>
        <w:tc>
          <w:tcPr>
            <w:tcW w:w="611" w:type="dxa"/>
          </w:tcPr>
          <w:p>
            <w:pPr>
              <w:pStyle w:val="TableParagraph"/>
              <w:spacing w:before="54"/>
              <w:rPr>
                <w:rFonts w:ascii="Arial"/>
                <w:i/>
                <w:sz w:val="16"/>
              </w:rPr>
            </w:pPr>
          </w:p>
          <w:p>
            <w:pPr>
              <w:pStyle w:val="TableParagraph"/>
              <w:ind w:left="65"/>
              <w:rPr>
                <w:sz w:val="16"/>
              </w:rPr>
            </w:pPr>
            <w:r>
              <w:rPr>
                <w:spacing w:val="-10"/>
                <w:sz w:val="16"/>
              </w:rPr>
              <w:t>$</w:t>
            </w:r>
          </w:p>
        </w:tc>
        <w:tc>
          <w:tcPr>
            <w:tcW w:w="1257" w:type="dxa"/>
          </w:tcPr>
          <w:p>
            <w:pPr>
              <w:pStyle w:val="TableParagraph"/>
              <w:spacing w:before="54"/>
              <w:rPr>
                <w:rFonts w:ascii="Arial"/>
                <w:i/>
                <w:sz w:val="16"/>
              </w:rPr>
            </w:pPr>
          </w:p>
          <w:p>
            <w:pPr>
              <w:pStyle w:val="TableParagraph"/>
              <w:ind w:left="626"/>
              <w:rPr>
                <w:sz w:val="16"/>
              </w:rPr>
            </w:pPr>
            <w:r>
              <w:rPr>
                <w:spacing w:val="-2"/>
                <w:sz w:val="16"/>
              </w:rPr>
              <w:t>(221)</w:t>
            </w:r>
          </w:p>
        </w:tc>
        <w:tc>
          <w:tcPr>
            <w:tcW w:w="1725" w:type="dxa"/>
            <w:gridSpan w:val="2"/>
          </w:tcPr>
          <w:p>
            <w:pPr>
              <w:pStyle w:val="TableParagraph"/>
              <w:spacing w:before="54"/>
              <w:rPr>
                <w:rFonts w:ascii="Arial"/>
                <w:i/>
                <w:sz w:val="16"/>
              </w:rPr>
            </w:pPr>
          </w:p>
          <w:p>
            <w:pPr>
              <w:pStyle w:val="TableParagraph"/>
              <w:tabs>
                <w:tab w:pos="1094" w:val="left" w:leader="none"/>
              </w:tabs>
              <w:ind w:left="116"/>
              <w:rPr>
                <w:sz w:val="16"/>
              </w:rPr>
            </w:pPr>
            <w:r>
              <w:rPr>
                <w:spacing w:val="-10"/>
                <w:sz w:val="16"/>
              </w:rPr>
              <w:t>$</w:t>
            </w:r>
            <w:r>
              <w:rPr>
                <w:sz w:val="16"/>
              </w:rPr>
              <w:tab/>
            </w:r>
            <w:r>
              <w:rPr>
                <w:spacing w:val="-2"/>
                <w:sz w:val="16"/>
              </w:rPr>
              <w:t>(354)</w:t>
            </w:r>
          </w:p>
        </w:tc>
        <w:tc>
          <w:tcPr>
            <w:tcW w:w="1705" w:type="dxa"/>
            <w:gridSpan w:val="2"/>
          </w:tcPr>
          <w:p>
            <w:pPr>
              <w:pStyle w:val="TableParagraph"/>
              <w:spacing w:before="54"/>
              <w:rPr>
                <w:rFonts w:ascii="Arial"/>
                <w:i/>
                <w:sz w:val="16"/>
              </w:rPr>
            </w:pPr>
          </w:p>
          <w:p>
            <w:pPr>
              <w:pStyle w:val="TableParagraph"/>
              <w:tabs>
                <w:tab w:pos="1139" w:val="left" w:leader="none"/>
              </w:tabs>
              <w:ind w:left="116"/>
              <w:rPr>
                <w:sz w:val="16"/>
              </w:rPr>
            </w:pPr>
            <w:r>
              <w:rPr>
                <w:spacing w:val="-10"/>
                <w:sz w:val="16"/>
              </w:rPr>
              <w:t>$</w:t>
            </w:r>
            <w:r>
              <w:rPr>
                <w:sz w:val="16"/>
              </w:rPr>
              <w:tab/>
            </w:r>
            <w:r>
              <w:rPr>
                <w:spacing w:val="-2"/>
                <w:sz w:val="16"/>
              </w:rPr>
              <w:t>(411)</w:t>
            </w:r>
          </w:p>
        </w:tc>
      </w:tr>
      <w:tr>
        <w:trPr>
          <w:trHeight w:val="211" w:hRule="atLeast"/>
        </w:trPr>
        <w:tc>
          <w:tcPr>
            <w:tcW w:w="4095" w:type="dxa"/>
          </w:tcPr>
          <w:p>
            <w:pPr>
              <w:pStyle w:val="TableParagraph"/>
              <w:spacing w:line="168" w:lineRule="exact" w:before="23"/>
              <w:ind w:left="530"/>
              <w:rPr>
                <w:sz w:val="16"/>
              </w:rPr>
            </w:pPr>
            <w:r>
              <w:rPr>
                <w:sz w:val="16"/>
              </w:rPr>
              <w:t>Net</w:t>
            </w:r>
            <w:r>
              <w:rPr>
                <w:spacing w:val="-2"/>
                <w:sz w:val="16"/>
              </w:rPr>
              <w:t> income</w:t>
            </w:r>
          </w:p>
        </w:tc>
        <w:tc>
          <w:tcPr>
            <w:tcW w:w="611" w:type="dxa"/>
          </w:tcPr>
          <w:p>
            <w:pPr>
              <w:pStyle w:val="TableParagraph"/>
              <w:rPr>
                <w:rFonts w:ascii="Times New Roman"/>
                <w:sz w:val="14"/>
              </w:rPr>
            </w:pPr>
          </w:p>
        </w:tc>
        <w:tc>
          <w:tcPr>
            <w:tcW w:w="1257" w:type="dxa"/>
          </w:tcPr>
          <w:p>
            <w:pPr>
              <w:pStyle w:val="TableParagraph"/>
              <w:spacing w:line="164" w:lineRule="exact" w:before="27"/>
              <w:ind w:left="546"/>
              <w:rPr>
                <w:sz w:val="16"/>
              </w:rPr>
            </w:pPr>
            <w:r>
              <w:rPr>
                <w:spacing w:val="-2"/>
                <w:sz w:val="16"/>
              </w:rPr>
              <w:t>1,144</w:t>
            </w:r>
          </w:p>
        </w:tc>
        <w:tc>
          <w:tcPr>
            <w:tcW w:w="1725" w:type="dxa"/>
            <w:gridSpan w:val="2"/>
          </w:tcPr>
          <w:p>
            <w:pPr>
              <w:pStyle w:val="TableParagraph"/>
              <w:spacing w:line="164" w:lineRule="exact" w:before="27"/>
              <w:ind w:left="1014"/>
              <w:rPr>
                <w:sz w:val="16"/>
              </w:rPr>
            </w:pPr>
            <w:r>
              <w:rPr>
                <w:spacing w:val="-2"/>
                <w:sz w:val="16"/>
              </w:rPr>
              <w:t>3,990</w:t>
            </w:r>
          </w:p>
        </w:tc>
        <w:tc>
          <w:tcPr>
            <w:tcW w:w="1705" w:type="dxa"/>
            <w:gridSpan w:val="2"/>
          </w:tcPr>
          <w:p>
            <w:pPr>
              <w:pStyle w:val="TableParagraph"/>
              <w:spacing w:line="164" w:lineRule="exact" w:before="27"/>
              <w:ind w:left="1059"/>
              <w:rPr>
                <w:sz w:val="16"/>
              </w:rPr>
            </w:pPr>
            <w:r>
              <w:rPr>
                <w:spacing w:val="-2"/>
                <w:sz w:val="16"/>
              </w:rPr>
              <w:t>2,039</w:t>
            </w:r>
          </w:p>
        </w:tc>
      </w:tr>
      <w:tr>
        <w:trPr>
          <w:trHeight w:val="491" w:hRule="atLeast"/>
        </w:trPr>
        <w:tc>
          <w:tcPr>
            <w:tcW w:w="4095" w:type="dxa"/>
          </w:tcPr>
          <w:p>
            <w:pPr>
              <w:pStyle w:val="TableParagraph"/>
              <w:spacing w:before="93"/>
              <w:rPr>
                <w:rFonts w:ascii="Arial"/>
                <w:i/>
                <w:sz w:val="16"/>
              </w:rPr>
            </w:pPr>
          </w:p>
          <w:p>
            <w:pPr>
              <w:pStyle w:val="TableParagraph"/>
              <w:ind w:left="50"/>
              <w:rPr>
                <w:sz w:val="16"/>
              </w:rPr>
            </w:pPr>
            <w:r>
              <w:rPr>
                <w:rFonts w:ascii="Arial"/>
                <w:b/>
                <w:sz w:val="16"/>
              </w:rPr>
              <w:t>Balance</w:t>
            </w:r>
            <w:r>
              <w:rPr>
                <w:rFonts w:ascii="Arial"/>
                <w:b/>
                <w:spacing w:val="-5"/>
                <w:sz w:val="16"/>
              </w:rPr>
              <w:t> </w:t>
            </w:r>
            <w:r>
              <w:rPr>
                <w:rFonts w:ascii="Arial"/>
                <w:b/>
                <w:sz w:val="16"/>
              </w:rPr>
              <w:t>Sheet</w:t>
            </w:r>
            <w:r>
              <w:rPr>
                <w:rFonts w:ascii="Arial"/>
                <w:b/>
                <w:spacing w:val="-5"/>
                <w:sz w:val="16"/>
              </w:rPr>
              <w:t> </w:t>
            </w:r>
            <w:r>
              <w:rPr>
                <w:sz w:val="16"/>
              </w:rPr>
              <w:t>(Section</w:t>
            </w:r>
            <w:r>
              <w:rPr>
                <w:spacing w:val="-4"/>
                <w:sz w:val="16"/>
              </w:rPr>
              <w:t> III)</w:t>
            </w:r>
          </w:p>
        </w:tc>
        <w:tc>
          <w:tcPr>
            <w:tcW w:w="1868" w:type="dxa"/>
            <w:gridSpan w:val="2"/>
          </w:tcPr>
          <w:p>
            <w:pPr>
              <w:pStyle w:val="TableParagraph"/>
              <w:rPr>
                <w:rFonts w:ascii="Times New Roman"/>
                <w:sz w:val="16"/>
              </w:rPr>
            </w:pPr>
          </w:p>
        </w:tc>
        <w:tc>
          <w:tcPr>
            <w:tcW w:w="1725" w:type="dxa"/>
            <w:gridSpan w:val="2"/>
          </w:tcPr>
          <w:p>
            <w:pPr>
              <w:pStyle w:val="TableParagraph"/>
              <w:rPr>
                <w:rFonts w:ascii="Times New Roman"/>
                <w:sz w:val="16"/>
              </w:rPr>
            </w:pPr>
          </w:p>
        </w:tc>
        <w:tc>
          <w:tcPr>
            <w:tcW w:w="1705" w:type="dxa"/>
            <w:gridSpan w:val="2"/>
          </w:tcPr>
          <w:p>
            <w:pPr>
              <w:pStyle w:val="TableParagraph"/>
              <w:rPr>
                <w:rFonts w:ascii="Times New Roman"/>
                <w:sz w:val="16"/>
              </w:rPr>
            </w:pPr>
          </w:p>
        </w:tc>
      </w:tr>
      <w:tr>
        <w:trPr>
          <w:trHeight w:val="231" w:hRule="atLeast"/>
        </w:trPr>
        <w:tc>
          <w:tcPr>
            <w:tcW w:w="4095" w:type="dxa"/>
          </w:tcPr>
          <w:p>
            <w:pPr>
              <w:pStyle w:val="TableParagraph"/>
              <w:spacing w:before="25"/>
              <w:ind w:left="530"/>
              <w:rPr>
                <w:sz w:val="16"/>
              </w:rPr>
            </w:pPr>
            <w:r>
              <w:rPr>
                <w:spacing w:val="-4"/>
                <w:sz w:val="16"/>
              </w:rPr>
              <w:t>Total</w:t>
            </w:r>
            <w:r>
              <w:rPr>
                <w:sz w:val="16"/>
              </w:rPr>
              <w:t> </w:t>
            </w:r>
            <w:r>
              <w:rPr>
                <w:spacing w:val="-2"/>
                <w:sz w:val="16"/>
              </w:rPr>
              <w:t>assets</w:t>
            </w:r>
          </w:p>
        </w:tc>
        <w:tc>
          <w:tcPr>
            <w:tcW w:w="1868" w:type="dxa"/>
            <w:gridSpan w:val="2"/>
          </w:tcPr>
          <w:p>
            <w:pPr>
              <w:pStyle w:val="TableParagraph"/>
              <w:tabs>
                <w:tab w:pos="979" w:val="left" w:leader="none"/>
              </w:tabs>
              <w:spacing w:line="182" w:lineRule="exact" w:before="29"/>
              <w:ind w:left="65"/>
              <w:rPr>
                <w:sz w:val="16"/>
              </w:rPr>
            </w:pPr>
            <w:r>
              <w:rPr>
                <w:spacing w:val="-10"/>
                <w:sz w:val="16"/>
              </w:rPr>
              <w:t>$</w:t>
            </w:r>
            <w:r>
              <w:rPr>
                <w:sz w:val="16"/>
              </w:rPr>
              <w:tab/>
            </w:r>
            <w:r>
              <w:rPr>
                <w:spacing w:val="-2"/>
                <w:sz w:val="16"/>
              </w:rPr>
              <w:t>332,641</w:t>
            </w:r>
          </w:p>
        </w:tc>
        <w:tc>
          <w:tcPr>
            <w:tcW w:w="1725" w:type="dxa"/>
            <w:gridSpan w:val="2"/>
          </w:tcPr>
          <w:p>
            <w:pPr>
              <w:pStyle w:val="TableParagraph"/>
              <w:tabs>
                <w:tab w:pos="836" w:val="left" w:leader="none"/>
              </w:tabs>
              <w:spacing w:line="182" w:lineRule="exact" w:before="29"/>
              <w:ind w:left="116"/>
              <w:rPr>
                <w:sz w:val="16"/>
              </w:rPr>
            </w:pPr>
            <w:r>
              <w:rPr>
                <w:spacing w:val="-10"/>
                <w:sz w:val="16"/>
              </w:rPr>
              <w:t>$</w:t>
            </w:r>
            <w:r>
              <w:rPr>
                <w:sz w:val="16"/>
              </w:rPr>
              <w:tab/>
            </w:r>
            <w:r>
              <w:rPr>
                <w:spacing w:val="-2"/>
                <w:sz w:val="16"/>
              </w:rPr>
              <w:t>317,542</w:t>
            </w:r>
          </w:p>
        </w:tc>
        <w:tc>
          <w:tcPr>
            <w:tcW w:w="1705" w:type="dxa"/>
            <w:gridSpan w:val="2"/>
          </w:tcPr>
          <w:p>
            <w:pPr>
              <w:pStyle w:val="TableParagraph"/>
              <w:tabs>
                <w:tab w:pos="881" w:val="left" w:leader="none"/>
              </w:tabs>
              <w:spacing w:line="182" w:lineRule="exact" w:before="29"/>
              <w:ind w:left="116"/>
              <w:rPr>
                <w:sz w:val="16"/>
              </w:rPr>
            </w:pPr>
            <w:r>
              <w:rPr>
                <w:spacing w:val="-10"/>
                <w:sz w:val="16"/>
              </w:rPr>
              <w:t>$</w:t>
            </w:r>
            <w:r>
              <w:rPr>
                <w:sz w:val="16"/>
              </w:rPr>
              <w:tab/>
            </w:r>
            <w:r>
              <w:rPr>
                <w:spacing w:val="-2"/>
                <w:sz w:val="16"/>
              </w:rPr>
              <w:t>317,301</w:t>
            </w:r>
          </w:p>
        </w:tc>
      </w:tr>
      <w:tr>
        <w:trPr>
          <w:trHeight w:val="250" w:hRule="atLeast"/>
        </w:trPr>
        <w:tc>
          <w:tcPr>
            <w:tcW w:w="4095" w:type="dxa"/>
          </w:tcPr>
          <w:p>
            <w:pPr>
              <w:pStyle w:val="TableParagraph"/>
              <w:spacing w:before="34"/>
              <w:ind w:left="530"/>
              <w:rPr>
                <w:sz w:val="16"/>
              </w:rPr>
            </w:pPr>
            <w:r>
              <w:rPr>
                <w:sz w:val="16"/>
              </w:rPr>
              <w:t>Net</w:t>
            </w:r>
            <w:r>
              <w:rPr>
                <w:spacing w:val="-5"/>
                <w:sz w:val="16"/>
              </w:rPr>
              <w:t> </w:t>
            </w:r>
            <w:r>
              <w:rPr>
                <w:sz w:val="16"/>
              </w:rPr>
              <w:t>investment</w:t>
            </w:r>
            <w:r>
              <w:rPr>
                <w:spacing w:val="-4"/>
                <w:sz w:val="16"/>
              </w:rPr>
              <w:t> </w:t>
            </w:r>
            <w:r>
              <w:rPr>
                <w:sz w:val="16"/>
              </w:rPr>
              <w:t>portfolio</w:t>
            </w:r>
            <w:r>
              <w:rPr>
                <w:spacing w:val="-5"/>
                <w:sz w:val="16"/>
              </w:rPr>
              <w:t> </w:t>
            </w:r>
            <w:r>
              <w:rPr>
                <w:spacing w:val="-10"/>
                <w:sz w:val="16"/>
                <w:vertAlign w:val="superscript"/>
              </w:rPr>
              <w:t>b</w:t>
            </w:r>
          </w:p>
        </w:tc>
        <w:tc>
          <w:tcPr>
            <w:tcW w:w="1868" w:type="dxa"/>
            <w:gridSpan w:val="2"/>
          </w:tcPr>
          <w:p>
            <w:pPr>
              <w:pStyle w:val="TableParagraph"/>
              <w:spacing w:before="38"/>
              <w:ind w:left="1068"/>
              <w:rPr>
                <w:sz w:val="16"/>
              </w:rPr>
            </w:pPr>
            <w:r>
              <w:rPr>
                <w:spacing w:val="-2"/>
                <w:sz w:val="16"/>
              </w:rPr>
              <w:t>79,195</w:t>
            </w:r>
          </w:p>
        </w:tc>
        <w:tc>
          <w:tcPr>
            <w:tcW w:w="1725" w:type="dxa"/>
            <w:gridSpan w:val="2"/>
          </w:tcPr>
          <w:p>
            <w:pPr>
              <w:pStyle w:val="TableParagraph"/>
              <w:spacing w:before="38"/>
              <w:ind w:left="925"/>
              <w:rPr>
                <w:sz w:val="16"/>
              </w:rPr>
            </w:pPr>
            <w:r>
              <w:rPr>
                <w:spacing w:val="-2"/>
                <w:sz w:val="16"/>
              </w:rPr>
              <w:t>82,057</w:t>
            </w:r>
          </w:p>
        </w:tc>
        <w:tc>
          <w:tcPr>
            <w:tcW w:w="1705" w:type="dxa"/>
            <w:gridSpan w:val="2"/>
          </w:tcPr>
          <w:p>
            <w:pPr>
              <w:pStyle w:val="TableParagraph"/>
              <w:spacing w:before="38"/>
              <w:ind w:left="970"/>
              <w:rPr>
                <w:sz w:val="16"/>
              </w:rPr>
            </w:pPr>
            <w:r>
              <w:rPr>
                <w:spacing w:val="-2"/>
                <w:sz w:val="16"/>
              </w:rPr>
              <w:t>85,831</w:t>
            </w:r>
          </w:p>
        </w:tc>
      </w:tr>
      <w:tr>
        <w:trPr>
          <w:trHeight w:val="229" w:hRule="atLeast"/>
        </w:trPr>
        <w:tc>
          <w:tcPr>
            <w:tcW w:w="4095" w:type="dxa"/>
          </w:tcPr>
          <w:p>
            <w:pPr>
              <w:pStyle w:val="TableParagraph"/>
              <w:spacing w:before="23"/>
              <w:ind w:left="530"/>
              <w:rPr>
                <w:sz w:val="16"/>
              </w:rPr>
            </w:pPr>
            <w:r>
              <w:rPr>
                <w:sz w:val="16"/>
              </w:rPr>
              <w:t>Net</w:t>
            </w:r>
            <w:r>
              <w:rPr>
                <w:spacing w:val="-3"/>
                <w:sz w:val="16"/>
              </w:rPr>
              <w:t> </w:t>
            </w:r>
            <w:r>
              <w:rPr>
                <w:sz w:val="16"/>
              </w:rPr>
              <w:t>loans</w:t>
            </w:r>
            <w:r>
              <w:rPr>
                <w:spacing w:val="-3"/>
                <w:sz w:val="16"/>
              </w:rPr>
              <w:t> </w:t>
            </w:r>
            <w:r>
              <w:rPr>
                <w:spacing w:val="-2"/>
                <w:sz w:val="16"/>
              </w:rPr>
              <w:t>outstanding</w:t>
            </w:r>
          </w:p>
        </w:tc>
        <w:tc>
          <w:tcPr>
            <w:tcW w:w="1868" w:type="dxa"/>
            <w:gridSpan w:val="2"/>
          </w:tcPr>
          <w:p>
            <w:pPr>
              <w:pStyle w:val="TableParagraph"/>
              <w:spacing w:line="182" w:lineRule="exact" w:before="27"/>
              <w:ind w:left="979"/>
              <w:rPr>
                <w:sz w:val="16"/>
              </w:rPr>
            </w:pPr>
            <w:r>
              <w:rPr>
                <w:spacing w:val="-2"/>
                <w:sz w:val="16"/>
              </w:rPr>
              <w:t>241,041</w:t>
            </w:r>
          </w:p>
        </w:tc>
        <w:tc>
          <w:tcPr>
            <w:tcW w:w="1725" w:type="dxa"/>
            <w:gridSpan w:val="2"/>
          </w:tcPr>
          <w:p>
            <w:pPr>
              <w:pStyle w:val="TableParagraph"/>
              <w:spacing w:line="182" w:lineRule="exact" w:before="27"/>
              <w:ind w:left="836"/>
              <w:rPr>
                <w:sz w:val="16"/>
              </w:rPr>
            </w:pPr>
            <w:r>
              <w:rPr>
                <w:spacing w:val="-2"/>
                <w:sz w:val="16"/>
              </w:rPr>
              <w:t>227,092</w:t>
            </w:r>
          </w:p>
        </w:tc>
        <w:tc>
          <w:tcPr>
            <w:tcW w:w="1705" w:type="dxa"/>
            <w:gridSpan w:val="2"/>
          </w:tcPr>
          <w:p>
            <w:pPr>
              <w:pStyle w:val="TableParagraph"/>
              <w:spacing w:line="182" w:lineRule="exact" w:before="27"/>
              <w:ind w:left="881"/>
              <w:rPr>
                <w:sz w:val="16"/>
              </w:rPr>
            </w:pPr>
            <w:r>
              <w:rPr>
                <w:spacing w:val="-2"/>
                <w:sz w:val="16"/>
              </w:rPr>
              <w:t>218,799</w:t>
            </w:r>
          </w:p>
        </w:tc>
      </w:tr>
      <w:tr>
        <w:trPr>
          <w:trHeight w:val="250" w:hRule="atLeast"/>
        </w:trPr>
        <w:tc>
          <w:tcPr>
            <w:tcW w:w="4095" w:type="dxa"/>
          </w:tcPr>
          <w:p>
            <w:pPr>
              <w:pStyle w:val="TableParagraph"/>
              <w:spacing w:before="34"/>
              <w:ind w:left="530"/>
              <w:rPr>
                <w:sz w:val="16"/>
              </w:rPr>
            </w:pPr>
            <w:r>
              <w:rPr>
                <w:sz w:val="16"/>
              </w:rPr>
              <w:t>Borrowing</w:t>
            </w:r>
            <w:r>
              <w:rPr>
                <w:spacing w:val="-7"/>
                <w:sz w:val="16"/>
              </w:rPr>
              <w:t> </w:t>
            </w:r>
            <w:r>
              <w:rPr>
                <w:sz w:val="16"/>
              </w:rPr>
              <w:t>portfolio</w:t>
            </w:r>
            <w:r>
              <w:rPr>
                <w:spacing w:val="-6"/>
                <w:sz w:val="16"/>
              </w:rPr>
              <w:t> </w:t>
            </w:r>
            <w:r>
              <w:rPr>
                <w:spacing w:val="-10"/>
                <w:sz w:val="16"/>
                <w:vertAlign w:val="superscript"/>
              </w:rPr>
              <w:t>c</w:t>
            </w:r>
          </w:p>
        </w:tc>
        <w:tc>
          <w:tcPr>
            <w:tcW w:w="1868" w:type="dxa"/>
            <w:gridSpan w:val="2"/>
          </w:tcPr>
          <w:p>
            <w:pPr>
              <w:pStyle w:val="TableParagraph"/>
              <w:spacing w:before="38"/>
              <w:ind w:left="979"/>
              <w:rPr>
                <w:sz w:val="16"/>
              </w:rPr>
            </w:pPr>
            <w:r>
              <w:rPr>
                <w:spacing w:val="-2"/>
                <w:sz w:val="16"/>
              </w:rPr>
              <w:t>266,828</w:t>
            </w:r>
          </w:p>
        </w:tc>
        <w:tc>
          <w:tcPr>
            <w:tcW w:w="1725" w:type="dxa"/>
            <w:gridSpan w:val="2"/>
          </w:tcPr>
          <w:p>
            <w:pPr>
              <w:pStyle w:val="TableParagraph"/>
              <w:spacing w:before="38"/>
              <w:ind w:left="836"/>
              <w:rPr>
                <w:sz w:val="16"/>
              </w:rPr>
            </w:pPr>
            <w:r>
              <w:rPr>
                <w:spacing w:val="-2"/>
                <w:sz w:val="16"/>
              </w:rPr>
              <w:t>256,909</w:t>
            </w:r>
          </w:p>
        </w:tc>
        <w:tc>
          <w:tcPr>
            <w:tcW w:w="1705" w:type="dxa"/>
            <w:gridSpan w:val="2"/>
          </w:tcPr>
          <w:p>
            <w:pPr>
              <w:pStyle w:val="TableParagraph"/>
              <w:spacing w:before="38"/>
              <w:ind w:left="881"/>
              <w:rPr>
                <w:sz w:val="16"/>
              </w:rPr>
            </w:pPr>
            <w:r>
              <w:rPr>
                <w:spacing w:val="-2"/>
                <w:sz w:val="16"/>
              </w:rPr>
              <w:t>253,656</w:t>
            </w:r>
          </w:p>
        </w:tc>
      </w:tr>
      <w:tr>
        <w:trPr>
          <w:trHeight w:val="211" w:hRule="atLeast"/>
        </w:trPr>
        <w:tc>
          <w:tcPr>
            <w:tcW w:w="4095" w:type="dxa"/>
          </w:tcPr>
          <w:p>
            <w:pPr>
              <w:pStyle w:val="TableParagraph"/>
              <w:spacing w:line="168" w:lineRule="exact" w:before="23"/>
              <w:ind w:left="530"/>
              <w:rPr>
                <w:sz w:val="16"/>
              </w:rPr>
            </w:pPr>
            <w:r>
              <w:rPr>
                <w:spacing w:val="-4"/>
                <w:sz w:val="16"/>
              </w:rPr>
              <w:t>Total</w:t>
            </w:r>
            <w:r>
              <w:rPr>
                <w:spacing w:val="-2"/>
                <w:sz w:val="16"/>
              </w:rPr>
              <w:t> equity</w:t>
            </w:r>
          </w:p>
        </w:tc>
        <w:tc>
          <w:tcPr>
            <w:tcW w:w="1868" w:type="dxa"/>
            <w:gridSpan w:val="2"/>
          </w:tcPr>
          <w:p>
            <w:pPr>
              <w:pStyle w:val="TableParagraph"/>
              <w:spacing w:line="164" w:lineRule="exact" w:before="27"/>
              <w:ind w:left="1068"/>
              <w:rPr>
                <w:sz w:val="16"/>
              </w:rPr>
            </w:pPr>
            <w:r>
              <w:rPr>
                <w:spacing w:val="-2"/>
                <w:sz w:val="16"/>
              </w:rPr>
              <w:t>60,382</w:t>
            </w:r>
          </w:p>
        </w:tc>
        <w:tc>
          <w:tcPr>
            <w:tcW w:w="1725" w:type="dxa"/>
            <w:gridSpan w:val="2"/>
          </w:tcPr>
          <w:p>
            <w:pPr>
              <w:pStyle w:val="TableParagraph"/>
              <w:spacing w:line="164" w:lineRule="exact" w:before="27"/>
              <w:ind w:left="925"/>
              <w:rPr>
                <w:sz w:val="16"/>
              </w:rPr>
            </w:pPr>
            <w:r>
              <w:rPr>
                <w:spacing w:val="-2"/>
                <w:sz w:val="16"/>
              </w:rPr>
              <w:t>55,320</w:t>
            </w:r>
          </w:p>
        </w:tc>
        <w:tc>
          <w:tcPr>
            <w:tcW w:w="1705" w:type="dxa"/>
            <w:gridSpan w:val="2"/>
          </w:tcPr>
          <w:p>
            <w:pPr>
              <w:pStyle w:val="TableParagraph"/>
              <w:spacing w:line="164" w:lineRule="exact" w:before="27"/>
              <w:ind w:left="970"/>
              <w:rPr>
                <w:sz w:val="16"/>
              </w:rPr>
            </w:pPr>
            <w:r>
              <w:rPr>
                <w:spacing w:val="-2"/>
                <w:sz w:val="16"/>
              </w:rPr>
              <w:t>48,078</w:t>
            </w:r>
          </w:p>
        </w:tc>
      </w:tr>
      <w:tr>
        <w:trPr>
          <w:trHeight w:val="491" w:hRule="atLeast"/>
        </w:trPr>
        <w:tc>
          <w:tcPr>
            <w:tcW w:w="4095" w:type="dxa"/>
          </w:tcPr>
          <w:p>
            <w:pPr>
              <w:pStyle w:val="TableParagraph"/>
              <w:spacing w:before="93"/>
              <w:rPr>
                <w:rFonts w:ascii="Arial"/>
                <w:i/>
                <w:sz w:val="16"/>
              </w:rPr>
            </w:pPr>
          </w:p>
          <w:p>
            <w:pPr>
              <w:pStyle w:val="TableParagraph"/>
              <w:ind w:left="50"/>
              <w:rPr>
                <w:rFonts w:ascii="Arial"/>
                <w:b/>
                <w:sz w:val="16"/>
              </w:rPr>
            </w:pPr>
            <w:r>
              <w:rPr>
                <w:rFonts w:ascii="Arial"/>
                <w:b/>
                <w:sz w:val="16"/>
              </w:rPr>
              <w:t>Non-GAAP</w:t>
            </w:r>
            <w:r>
              <w:rPr>
                <w:rFonts w:ascii="Arial"/>
                <w:b/>
                <w:spacing w:val="-5"/>
                <w:sz w:val="16"/>
              </w:rPr>
              <w:t> </w:t>
            </w:r>
            <w:r>
              <w:rPr>
                <w:rFonts w:ascii="Arial"/>
                <w:b/>
                <w:spacing w:val="-2"/>
                <w:sz w:val="16"/>
              </w:rPr>
              <w:t>Measures:</w:t>
            </w:r>
          </w:p>
        </w:tc>
        <w:tc>
          <w:tcPr>
            <w:tcW w:w="611" w:type="dxa"/>
          </w:tcPr>
          <w:p>
            <w:pPr>
              <w:pStyle w:val="TableParagraph"/>
              <w:rPr>
                <w:rFonts w:ascii="Times New Roman"/>
                <w:sz w:val="16"/>
              </w:rPr>
            </w:pPr>
          </w:p>
        </w:tc>
        <w:tc>
          <w:tcPr>
            <w:tcW w:w="1257" w:type="dxa"/>
          </w:tcPr>
          <w:p>
            <w:pPr>
              <w:pStyle w:val="TableParagraph"/>
              <w:rPr>
                <w:rFonts w:ascii="Times New Roman"/>
                <w:sz w:val="16"/>
              </w:rPr>
            </w:pPr>
          </w:p>
        </w:tc>
        <w:tc>
          <w:tcPr>
            <w:tcW w:w="565" w:type="dxa"/>
          </w:tcPr>
          <w:p>
            <w:pPr>
              <w:pStyle w:val="TableParagraph"/>
              <w:rPr>
                <w:rFonts w:ascii="Times New Roman"/>
                <w:sz w:val="16"/>
              </w:rPr>
            </w:pPr>
          </w:p>
        </w:tc>
        <w:tc>
          <w:tcPr>
            <w:tcW w:w="1160" w:type="dxa"/>
          </w:tcPr>
          <w:p>
            <w:pPr>
              <w:pStyle w:val="TableParagraph"/>
              <w:rPr>
                <w:rFonts w:ascii="Times New Roman"/>
                <w:sz w:val="16"/>
              </w:rPr>
            </w:pPr>
          </w:p>
        </w:tc>
        <w:tc>
          <w:tcPr>
            <w:tcW w:w="1705" w:type="dxa"/>
            <w:gridSpan w:val="2"/>
          </w:tcPr>
          <w:p>
            <w:pPr>
              <w:pStyle w:val="TableParagraph"/>
              <w:rPr>
                <w:rFonts w:ascii="Times New Roman"/>
                <w:sz w:val="16"/>
              </w:rPr>
            </w:pPr>
          </w:p>
        </w:tc>
      </w:tr>
      <w:tr>
        <w:trPr>
          <w:trHeight w:val="240" w:hRule="atLeast"/>
        </w:trPr>
        <w:tc>
          <w:tcPr>
            <w:tcW w:w="4095" w:type="dxa"/>
          </w:tcPr>
          <w:p>
            <w:pPr>
              <w:pStyle w:val="TableParagraph"/>
              <w:spacing w:before="25"/>
              <w:ind w:left="50"/>
              <w:rPr>
                <w:sz w:val="16"/>
              </w:rPr>
            </w:pPr>
            <w:r>
              <w:rPr>
                <w:rFonts w:ascii="Arial"/>
                <w:b/>
                <w:sz w:val="16"/>
              </w:rPr>
              <w:t>Allocable</w:t>
            </w:r>
            <w:r>
              <w:rPr>
                <w:rFonts w:ascii="Arial"/>
                <w:b/>
                <w:spacing w:val="-5"/>
                <w:sz w:val="16"/>
              </w:rPr>
              <w:t> </w:t>
            </w:r>
            <w:r>
              <w:rPr>
                <w:rFonts w:ascii="Arial"/>
                <w:b/>
                <w:sz w:val="16"/>
              </w:rPr>
              <w:t>Income</w:t>
            </w:r>
            <w:r>
              <w:rPr>
                <w:rFonts w:ascii="Arial"/>
                <w:b/>
                <w:spacing w:val="-5"/>
                <w:sz w:val="16"/>
              </w:rPr>
              <w:t> </w:t>
            </w:r>
            <w:r>
              <w:rPr>
                <w:sz w:val="16"/>
              </w:rPr>
              <w:t>(Section</w:t>
            </w:r>
            <w:r>
              <w:rPr>
                <w:spacing w:val="-5"/>
                <w:sz w:val="16"/>
              </w:rPr>
              <w:t> </w:t>
            </w:r>
            <w:r>
              <w:rPr>
                <w:spacing w:val="-4"/>
                <w:sz w:val="16"/>
              </w:rPr>
              <w:t>III)</w:t>
            </w:r>
          </w:p>
        </w:tc>
        <w:tc>
          <w:tcPr>
            <w:tcW w:w="611" w:type="dxa"/>
          </w:tcPr>
          <w:p>
            <w:pPr>
              <w:pStyle w:val="TableParagraph"/>
              <w:rPr>
                <w:rFonts w:ascii="Times New Roman"/>
                <w:sz w:val="16"/>
              </w:rPr>
            </w:pPr>
          </w:p>
        </w:tc>
        <w:tc>
          <w:tcPr>
            <w:tcW w:w="1257" w:type="dxa"/>
          </w:tcPr>
          <w:p>
            <w:pPr>
              <w:pStyle w:val="TableParagraph"/>
              <w:rPr>
                <w:rFonts w:ascii="Times New Roman"/>
                <w:sz w:val="16"/>
              </w:rPr>
            </w:pPr>
          </w:p>
        </w:tc>
        <w:tc>
          <w:tcPr>
            <w:tcW w:w="565" w:type="dxa"/>
          </w:tcPr>
          <w:p>
            <w:pPr>
              <w:pStyle w:val="TableParagraph"/>
              <w:rPr>
                <w:rFonts w:ascii="Times New Roman"/>
                <w:sz w:val="16"/>
              </w:rPr>
            </w:pPr>
          </w:p>
        </w:tc>
        <w:tc>
          <w:tcPr>
            <w:tcW w:w="1160" w:type="dxa"/>
          </w:tcPr>
          <w:p>
            <w:pPr>
              <w:pStyle w:val="TableParagraph"/>
              <w:rPr>
                <w:rFonts w:ascii="Times New Roman"/>
                <w:sz w:val="16"/>
              </w:rPr>
            </w:pPr>
          </w:p>
        </w:tc>
        <w:tc>
          <w:tcPr>
            <w:tcW w:w="1705" w:type="dxa"/>
            <w:gridSpan w:val="2"/>
          </w:tcPr>
          <w:p>
            <w:pPr>
              <w:pStyle w:val="TableParagraph"/>
              <w:rPr>
                <w:rFonts w:ascii="Times New Roman"/>
                <w:sz w:val="16"/>
              </w:rPr>
            </w:pPr>
          </w:p>
        </w:tc>
      </w:tr>
      <w:tr>
        <w:trPr>
          <w:trHeight w:val="241" w:hRule="atLeast"/>
        </w:trPr>
        <w:tc>
          <w:tcPr>
            <w:tcW w:w="4095" w:type="dxa"/>
          </w:tcPr>
          <w:p>
            <w:pPr>
              <w:pStyle w:val="TableParagraph"/>
              <w:spacing w:before="25"/>
              <w:ind w:left="530"/>
              <w:rPr>
                <w:sz w:val="16"/>
              </w:rPr>
            </w:pPr>
            <w:r>
              <w:rPr>
                <w:sz w:val="16"/>
              </w:rPr>
              <w:t>Allocable</w:t>
            </w:r>
            <w:r>
              <w:rPr>
                <w:spacing w:val="-7"/>
                <w:sz w:val="16"/>
              </w:rPr>
              <w:t> </w:t>
            </w:r>
            <w:r>
              <w:rPr>
                <w:spacing w:val="-2"/>
                <w:sz w:val="16"/>
              </w:rPr>
              <w:t>income</w:t>
            </w:r>
          </w:p>
        </w:tc>
        <w:tc>
          <w:tcPr>
            <w:tcW w:w="611" w:type="dxa"/>
          </w:tcPr>
          <w:p>
            <w:pPr>
              <w:pStyle w:val="TableParagraph"/>
              <w:spacing w:before="29"/>
              <w:ind w:left="65"/>
              <w:rPr>
                <w:sz w:val="16"/>
              </w:rPr>
            </w:pPr>
            <w:r>
              <w:rPr>
                <w:spacing w:val="-10"/>
                <w:sz w:val="16"/>
              </w:rPr>
              <w:t>$</w:t>
            </w:r>
          </w:p>
        </w:tc>
        <w:tc>
          <w:tcPr>
            <w:tcW w:w="1257" w:type="dxa"/>
          </w:tcPr>
          <w:p>
            <w:pPr>
              <w:pStyle w:val="TableParagraph"/>
              <w:spacing w:before="29"/>
              <w:ind w:left="546"/>
              <w:rPr>
                <w:sz w:val="16"/>
              </w:rPr>
            </w:pPr>
            <w:r>
              <w:rPr>
                <w:spacing w:val="-2"/>
                <w:sz w:val="16"/>
              </w:rPr>
              <w:t>1,312</w:t>
            </w:r>
          </w:p>
        </w:tc>
        <w:tc>
          <w:tcPr>
            <w:tcW w:w="565" w:type="dxa"/>
          </w:tcPr>
          <w:p>
            <w:pPr>
              <w:pStyle w:val="TableParagraph"/>
              <w:spacing w:before="29"/>
              <w:ind w:left="116"/>
              <w:rPr>
                <w:sz w:val="16"/>
              </w:rPr>
            </w:pPr>
            <w:r>
              <w:rPr>
                <w:spacing w:val="-10"/>
                <w:sz w:val="16"/>
              </w:rPr>
              <w:t>$</w:t>
            </w:r>
          </w:p>
        </w:tc>
        <w:tc>
          <w:tcPr>
            <w:tcW w:w="1160" w:type="dxa"/>
          </w:tcPr>
          <w:p>
            <w:pPr>
              <w:pStyle w:val="TableParagraph"/>
              <w:spacing w:before="29"/>
              <w:ind w:left="582"/>
              <w:rPr>
                <w:sz w:val="16"/>
              </w:rPr>
            </w:pPr>
            <w:r>
              <w:rPr>
                <w:spacing w:val="-5"/>
                <w:sz w:val="16"/>
              </w:rPr>
              <w:t>806</w:t>
            </w:r>
          </w:p>
        </w:tc>
        <w:tc>
          <w:tcPr>
            <w:tcW w:w="1705" w:type="dxa"/>
            <w:gridSpan w:val="2"/>
          </w:tcPr>
          <w:p>
            <w:pPr>
              <w:pStyle w:val="TableParagraph"/>
              <w:tabs>
                <w:tab w:pos="1059" w:val="left" w:leader="none"/>
              </w:tabs>
              <w:spacing w:before="29"/>
              <w:ind w:left="116"/>
              <w:rPr>
                <w:sz w:val="16"/>
              </w:rPr>
            </w:pPr>
            <w:r>
              <w:rPr>
                <w:spacing w:val="-10"/>
                <w:sz w:val="16"/>
              </w:rPr>
              <w:t>$</w:t>
            </w:r>
            <w:r>
              <w:rPr>
                <w:sz w:val="16"/>
              </w:rPr>
              <w:tab/>
            </w:r>
            <w:r>
              <w:rPr>
                <w:spacing w:val="-2"/>
                <w:sz w:val="16"/>
              </w:rPr>
              <w:t>1,248</w:t>
            </w:r>
          </w:p>
        </w:tc>
      </w:tr>
      <w:tr>
        <w:trPr>
          <w:trHeight w:val="480" w:hRule="atLeast"/>
        </w:trPr>
        <w:tc>
          <w:tcPr>
            <w:tcW w:w="4095" w:type="dxa"/>
          </w:tcPr>
          <w:p>
            <w:pPr>
              <w:pStyle w:val="TableParagraph"/>
              <w:spacing w:before="23"/>
              <w:ind w:right="2114"/>
              <w:jc w:val="right"/>
              <w:rPr>
                <w:sz w:val="16"/>
              </w:rPr>
            </w:pPr>
            <w:r>
              <w:rPr>
                <w:sz w:val="16"/>
              </w:rPr>
              <w:t>Allocated</w:t>
            </w:r>
            <w:r>
              <w:rPr>
                <w:spacing w:val="-4"/>
                <w:sz w:val="16"/>
              </w:rPr>
              <w:t> </w:t>
            </w:r>
            <w:r>
              <w:rPr>
                <w:sz w:val="16"/>
              </w:rPr>
              <w:t>as</w:t>
            </w:r>
            <w:r>
              <w:rPr>
                <w:spacing w:val="-3"/>
                <w:sz w:val="16"/>
              </w:rPr>
              <w:t> </w:t>
            </w:r>
            <w:r>
              <w:rPr>
                <w:spacing w:val="-2"/>
                <w:sz w:val="16"/>
              </w:rPr>
              <w:t>follows:</w:t>
            </w:r>
          </w:p>
          <w:p>
            <w:pPr>
              <w:pStyle w:val="TableParagraph"/>
              <w:spacing w:before="56"/>
              <w:ind w:right="2093"/>
              <w:jc w:val="right"/>
              <w:rPr>
                <w:sz w:val="16"/>
              </w:rPr>
            </w:pPr>
            <w:r>
              <w:rPr>
                <w:sz w:val="16"/>
              </w:rPr>
              <w:t>General</w:t>
            </w:r>
            <w:r>
              <w:rPr>
                <w:spacing w:val="-4"/>
                <w:sz w:val="16"/>
              </w:rPr>
              <w:t> </w:t>
            </w:r>
            <w:r>
              <w:rPr>
                <w:sz w:val="16"/>
              </w:rPr>
              <w:t>Reserve</w:t>
            </w:r>
            <w:r>
              <w:rPr>
                <w:spacing w:val="-4"/>
                <w:sz w:val="16"/>
              </w:rPr>
              <w:t> </w:t>
            </w:r>
            <w:r>
              <w:rPr>
                <w:spacing w:val="-10"/>
                <w:sz w:val="16"/>
                <w:vertAlign w:val="superscript"/>
              </w:rPr>
              <w:t>d</w:t>
            </w:r>
          </w:p>
        </w:tc>
        <w:tc>
          <w:tcPr>
            <w:tcW w:w="611" w:type="dxa"/>
          </w:tcPr>
          <w:p>
            <w:pPr>
              <w:pStyle w:val="TableParagraph"/>
              <w:rPr>
                <w:rFonts w:ascii="Times New Roman"/>
                <w:sz w:val="16"/>
              </w:rPr>
            </w:pPr>
          </w:p>
        </w:tc>
        <w:tc>
          <w:tcPr>
            <w:tcW w:w="1257" w:type="dxa"/>
          </w:tcPr>
          <w:p>
            <w:pPr>
              <w:pStyle w:val="TableParagraph"/>
              <w:spacing w:before="83"/>
              <w:rPr>
                <w:rFonts w:ascii="Arial"/>
                <w:i/>
                <w:sz w:val="16"/>
              </w:rPr>
            </w:pPr>
          </w:p>
          <w:p>
            <w:pPr>
              <w:pStyle w:val="TableParagraph"/>
              <w:ind w:left="679"/>
              <w:rPr>
                <w:sz w:val="16"/>
              </w:rPr>
            </w:pPr>
            <w:r>
              <w:rPr>
                <w:spacing w:val="-5"/>
                <w:sz w:val="16"/>
              </w:rPr>
              <w:t>921</w:t>
            </w:r>
          </w:p>
        </w:tc>
        <w:tc>
          <w:tcPr>
            <w:tcW w:w="565" w:type="dxa"/>
          </w:tcPr>
          <w:p>
            <w:pPr>
              <w:pStyle w:val="TableParagraph"/>
              <w:rPr>
                <w:rFonts w:ascii="Times New Roman"/>
                <w:sz w:val="16"/>
              </w:rPr>
            </w:pPr>
          </w:p>
        </w:tc>
        <w:tc>
          <w:tcPr>
            <w:tcW w:w="1160" w:type="dxa"/>
          </w:tcPr>
          <w:p>
            <w:pPr>
              <w:pStyle w:val="TableParagraph"/>
              <w:spacing w:before="83"/>
              <w:rPr>
                <w:rFonts w:ascii="Arial"/>
                <w:i/>
                <w:sz w:val="16"/>
              </w:rPr>
            </w:pPr>
          </w:p>
          <w:p>
            <w:pPr>
              <w:pStyle w:val="TableParagraph"/>
              <w:ind w:left="582"/>
              <w:rPr>
                <w:sz w:val="16"/>
              </w:rPr>
            </w:pPr>
            <w:r>
              <w:rPr>
                <w:spacing w:val="-5"/>
                <w:sz w:val="16"/>
              </w:rPr>
              <w:t>589</w:t>
            </w:r>
          </w:p>
        </w:tc>
        <w:tc>
          <w:tcPr>
            <w:tcW w:w="1705" w:type="dxa"/>
            <w:gridSpan w:val="2"/>
          </w:tcPr>
          <w:p>
            <w:pPr>
              <w:pStyle w:val="TableParagraph"/>
              <w:spacing w:before="83"/>
              <w:rPr>
                <w:rFonts w:ascii="Arial"/>
                <w:i/>
                <w:sz w:val="16"/>
              </w:rPr>
            </w:pPr>
          </w:p>
          <w:p>
            <w:pPr>
              <w:pStyle w:val="TableParagraph"/>
              <w:ind w:right="243"/>
              <w:jc w:val="right"/>
              <w:rPr>
                <w:sz w:val="16"/>
              </w:rPr>
            </w:pPr>
            <w:r>
              <w:rPr>
                <w:spacing w:val="-5"/>
                <w:sz w:val="16"/>
              </w:rPr>
              <w:t>874</w:t>
            </w:r>
          </w:p>
        </w:tc>
      </w:tr>
      <w:tr>
        <w:trPr>
          <w:trHeight w:val="240" w:hRule="atLeast"/>
        </w:trPr>
        <w:tc>
          <w:tcPr>
            <w:tcW w:w="4095" w:type="dxa"/>
          </w:tcPr>
          <w:p>
            <w:pPr>
              <w:pStyle w:val="TableParagraph"/>
              <w:spacing w:before="23"/>
              <w:ind w:left="690"/>
              <w:rPr>
                <w:sz w:val="16"/>
              </w:rPr>
            </w:pPr>
            <w:r>
              <w:rPr>
                <w:spacing w:val="-2"/>
                <w:sz w:val="16"/>
              </w:rPr>
              <w:t>International</w:t>
            </w:r>
            <w:r>
              <w:rPr>
                <w:spacing w:val="17"/>
                <w:sz w:val="16"/>
              </w:rPr>
              <w:t> </w:t>
            </w:r>
            <w:r>
              <w:rPr>
                <w:spacing w:val="-2"/>
                <w:sz w:val="16"/>
              </w:rPr>
              <w:t>Development</w:t>
            </w:r>
            <w:r>
              <w:rPr>
                <w:spacing w:val="6"/>
                <w:sz w:val="16"/>
              </w:rPr>
              <w:t> </w:t>
            </w:r>
            <w:r>
              <w:rPr>
                <w:spacing w:val="-2"/>
                <w:sz w:val="16"/>
              </w:rPr>
              <w:t>Association</w:t>
            </w:r>
          </w:p>
        </w:tc>
        <w:tc>
          <w:tcPr>
            <w:tcW w:w="611" w:type="dxa"/>
          </w:tcPr>
          <w:p>
            <w:pPr>
              <w:pStyle w:val="TableParagraph"/>
              <w:rPr>
                <w:rFonts w:ascii="Times New Roman"/>
                <w:sz w:val="16"/>
              </w:rPr>
            </w:pPr>
          </w:p>
        </w:tc>
        <w:tc>
          <w:tcPr>
            <w:tcW w:w="1257" w:type="dxa"/>
          </w:tcPr>
          <w:p>
            <w:pPr>
              <w:pStyle w:val="TableParagraph"/>
              <w:spacing w:before="27"/>
              <w:ind w:left="679"/>
              <w:rPr>
                <w:sz w:val="16"/>
              </w:rPr>
            </w:pPr>
            <w:r>
              <w:rPr>
                <w:spacing w:val="-5"/>
                <w:sz w:val="16"/>
              </w:rPr>
              <w:t>291</w:t>
            </w:r>
          </w:p>
        </w:tc>
        <w:tc>
          <w:tcPr>
            <w:tcW w:w="565" w:type="dxa"/>
          </w:tcPr>
          <w:p>
            <w:pPr>
              <w:pStyle w:val="TableParagraph"/>
              <w:rPr>
                <w:rFonts w:ascii="Times New Roman"/>
                <w:sz w:val="16"/>
              </w:rPr>
            </w:pPr>
          </w:p>
        </w:tc>
        <w:tc>
          <w:tcPr>
            <w:tcW w:w="1160" w:type="dxa"/>
          </w:tcPr>
          <w:p>
            <w:pPr>
              <w:pStyle w:val="TableParagraph"/>
              <w:spacing w:before="27"/>
              <w:ind w:left="582"/>
              <w:rPr>
                <w:sz w:val="16"/>
              </w:rPr>
            </w:pPr>
            <w:r>
              <w:rPr>
                <w:spacing w:val="-5"/>
                <w:sz w:val="16"/>
              </w:rPr>
              <w:t>117</w:t>
            </w:r>
          </w:p>
        </w:tc>
        <w:tc>
          <w:tcPr>
            <w:tcW w:w="1705" w:type="dxa"/>
            <w:gridSpan w:val="2"/>
          </w:tcPr>
          <w:p>
            <w:pPr>
              <w:pStyle w:val="TableParagraph"/>
              <w:spacing w:before="27"/>
              <w:ind w:right="243"/>
              <w:jc w:val="right"/>
              <w:rPr>
                <w:sz w:val="16"/>
              </w:rPr>
            </w:pPr>
            <w:r>
              <w:rPr>
                <w:spacing w:val="-5"/>
                <w:sz w:val="16"/>
              </w:rPr>
              <w:t>274</w:t>
            </w:r>
          </w:p>
        </w:tc>
      </w:tr>
      <w:tr>
        <w:trPr>
          <w:trHeight w:val="211" w:hRule="atLeast"/>
        </w:trPr>
        <w:tc>
          <w:tcPr>
            <w:tcW w:w="4095" w:type="dxa"/>
          </w:tcPr>
          <w:p>
            <w:pPr>
              <w:pStyle w:val="TableParagraph"/>
              <w:spacing w:line="168" w:lineRule="exact" w:before="23"/>
              <w:ind w:left="690"/>
              <w:rPr>
                <w:sz w:val="16"/>
              </w:rPr>
            </w:pPr>
            <w:r>
              <w:rPr>
                <w:spacing w:val="-2"/>
                <w:sz w:val="16"/>
              </w:rPr>
              <w:t>Surplus</w:t>
            </w:r>
          </w:p>
        </w:tc>
        <w:tc>
          <w:tcPr>
            <w:tcW w:w="611" w:type="dxa"/>
          </w:tcPr>
          <w:p>
            <w:pPr>
              <w:pStyle w:val="TableParagraph"/>
              <w:rPr>
                <w:rFonts w:ascii="Times New Roman"/>
                <w:sz w:val="14"/>
              </w:rPr>
            </w:pPr>
          </w:p>
        </w:tc>
        <w:tc>
          <w:tcPr>
            <w:tcW w:w="1257" w:type="dxa"/>
          </w:tcPr>
          <w:p>
            <w:pPr>
              <w:pStyle w:val="TableParagraph"/>
              <w:spacing w:line="164" w:lineRule="exact" w:before="27"/>
              <w:ind w:left="679"/>
              <w:rPr>
                <w:sz w:val="16"/>
              </w:rPr>
            </w:pPr>
            <w:r>
              <w:rPr>
                <w:spacing w:val="-5"/>
                <w:sz w:val="16"/>
              </w:rPr>
              <w:t>100</w:t>
            </w:r>
          </w:p>
        </w:tc>
        <w:tc>
          <w:tcPr>
            <w:tcW w:w="565" w:type="dxa"/>
          </w:tcPr>
          <w:p>
            <w:pPr>
              <w:pStyle w:val="TableParagraph"/>
              <w:rPr>
                <w:rFonts w:ascii="Times New Roman"/>
                <w:sz w:val="14"/>
              </w:rPr>
            </w:pPr>
          </w:p>
        </w:tc>
        <w:tc>
          <w:tcPr>
            <w:tcW w:w="1160" w:type="dxa"/>
          </w:tcPr>
          <w:p>
            <w:pPr>
              <w:pStyle w:val="TableParagraph"/>
              <w:spacing w:line="164" w:lineRule="exact" w:before="27"/>
              <w:ind w:left="582"/>
              <w:rPr>
                <w:sz w:val="16"/>
              </w:rPr>
            </w:pPr>
            <w:r>
              <w:rPr>
                <w:spacing w:val="-5"/>
                <w:sz w:val="16"/>
              </w:rPr>
              <w:t>100</w:t>
            </w:r>
          </w:p>
        </w:tc>
        <w:tc>
          <w:tcPr>
            <w:tcW w:w="1705" w:type="dxa"/>
            <w:gridSpan w:val="2"/>
          </w:tcPr>
          <w:p>
            <w:pPr>
              <w:pStyle w:val="TableParagraph"/>
              <w:spacing w:line="164" w:lineRule="exact" w:before="27"/>
              <w:ind w:right="243"/>
              <w:jc w:val="right"/>
              <w:rPr>
                <w:sz w:val="16"/>
              </w:rPr>
            </w:pPr>
            <w:r>
              <w:rPr>
                <w:spacing w:val="-5"/>
                <w:sz w:val="16"/>
              </w:rPr>
              <w:t>100</w:t>
            </w:r>
          </w:p>
        </w:tc>
      </w:tr>
      <w:tr>
        <w:trPr>
          <w:trHeight w:val="640" w:hRule="atLeast"/>
        </w:trPr>
        <w:tc>
          <w:tcPr>
            <w:tcW w:w="4095" w:type="dxa"/>
          </w:tcPr>
          <w:p>
            <w:pPr>
              <w:pStyle w:val="TableParagraph"/>
              <w:spacing w:before="93"/>
              <w:rPr>
                <w:rFonts w:ascii="Arial"/>
                <w:i/>
                <w:sz w:val="16"/>
              </w:rPr>
            </w:pPr>
          </w:p>
          <w:p>
            <w:pPr>
              <w:pStyle w:val="TableParagraph"/>
              <w:ind w:left="50"/>
              <w:rPr>
                <w:sz w:val="16"/>
              </w:rPr>
            </w:pPr>
            <w:r>
              <w:rPr>
                <w:rFonts w:ascii="Arial"/>
                <w:b/>
                <w:sz w:val="16"/>
              </w:rPr>
              <w:t>Usable</w:t>
            </w:r>
            <w:r>
              <w:rPr>
                <w:rFonts w:ascii="Arial"/>
                <w:b/>
                <w:spacing w:val="-2"/>
                <w:sz w:val="16"/>
              </w:rPr>
              <w:t> </w:t>
            </w:r>
            <w:r>
              <w:rPr>
                <w:rFonts w:ascii="Arial"/>
                <w:b/>
                <w:sz w:val="16"/>
              </w:rPr>
              <w:t>Equity</w:t>
            </w:r>
            <w:r>
              <w:rPr>
                <w:rFonts w:ascii="Arial"/>
                <w:b/>
                <w:spacing w:val="-2"/>
                <w:sz w:val="16"/>
              </w:rPr>
              <w:t> </w:t>
            </w:r>
            <w:r>
              <w:rPr>
                <w:sz w:val="16"/>
                <w:vertAlign w:val="superscript"/>
              </w:rPr>
              <w:t>e</w:t>
            </w:r>
            <w:r>
              <w:rPr>
                <w:spacing w:val="-1"/>
                <w:sz w:val="16"/>
                <w:vertAlign w:val="baseline"/>
              </w:rPr>
              <w:t> </w:t>
            </w:r>
            <w:r>
              <w:rPr>
                <w:sz w:val="16"/>
                <w:vertAlign w:val="superscript"/>
              </w:rPr>
              <w:t>f</w:t>
            </w:r>
            <w:r>
              <w:rPr>
                <w:spacing w:val="-16"/>
                <w:sz w:val="16"/>
                <w:vertAlign w:val="baseline"/>
              </w:rPr>
              <w:t> </w:t>
            </w:r>
            <w:r>
              <w:rPr>
                <w:sz w:val="16"/>
                <w:vertAlign w:val="baseline"/>
              </w:rPr>
              <w:t>(Section</w:t>
            </w:r>
            <w:r>
              <w:rPr>
                <w:spacing w:val="-2"/>
                <w:sz w:val="16"/>
                <w:vertAlign w:val="baseline"/>
              </w:rPr>
              <w:t> VIII)</w:t>
            </w:r>
          </w:p>
        </w:tc>
        <w:tc>
          <w:tcPr>
            <w:tcW w:w="611" w:type="dxa"/>
          </w:tcPr>
          <w:p>
            <w:pPr>
              <w:pStyle w:val="TableParagraph"/>
              <w:spacing w:before="97"/>
              <w:rPr>
                <w:rFonts w:ascii="Arial"/>
                <w:i/>
                <w:sz w:val="16"/>
              </w:rPr>
            </w:pPr>
          </w:p>
          <w:p>
            <w:pPr>
              <w:pStyle w:val="TableParagraph"/>
              <w:ind w:left="65"/>
              <w:rPr>
                <w:sz w:val="16"/>
              </w:rPr>
            </w:pPr>
            <w:r>
              <w:rPr>
                <w:spacing w:val="-10"/>
                <w:sz w:val="16"/>
              </w:rPr>
              <w:t>$</w:t>
            </w:r>
          </w:p>
        </w:tc>
        <w:tc>
          <w:tcPr>
            <w:tcW w:w="1257" w:type="dxa"/>
          </w:tcPr>
          <w:p>
            <w:pPr>
              <w:pStyle w:val="TableParagraph"/>
              <w:spacing w:before="97"/>
              <w:rPr>
                <w:rFonts w:ascii="Arial"/>
                <w:i/>
                <w:sz w:val="16"/>
              </w:rPr>
            </w:pPr>
          </w:p>
          <w:p>
            <w:pPr>
              <w:pStyle w:val="TableParagraph"/>
              <w:ind w:left="457"/>
              <w:rPr>
                <w:sz w:val="16"/>
              </w:rPr>
            </w:pPr>
            <w:r>
              <w:rPr>
                <w:spacing w:val="-2"/>
                <w:sz w:val="16"/>
              </w:rPr>
              <w:t>53,105</w:t>
            </w:r>
          </w:p>
        </w:tc>
        <w:tc>
          <w:tcPr>
            <w:tcW w:w="565" w:type="dxa"/>
          </w:tcPr>
          <w:p>
            <w:pPr>
              <w:pStyle w:val="TableParagraph"/>
              <w:spacing w:before="97"/>
              <w:rPr>
                <w:rFonts w:ascii="Arial"/>
                <w:i/>
                <w:sz w:val="16"/>
              </w:rPr>
            </w:pPr>
          </w:p>
          <w:p>
            <w:pPr>
              <w:pStyle w:val="TableParagraph"/>
              <w:ind w:left="116"/>
              <w:rPr>
                <w:sz w:val="16"/>
              </w:rPr>
            </w:pPr>
            <w:r>
              <w:rPr>
                <w:spacing w:val="-10"/>
                <w:sz w:val="16"/>
              </w:rPr>
              <w:t>$</w:t>
            </w:r>
          </w:p>
        </w:tc>
        <w:tc>
          <w:tcPr>
            <w:tcW w:w="1160" w:type="dxa"/>
          </w:tcPr>
          <w:p>
            <w:pPr>
              <w:pStyle w:val="TableParagraph"/>
              <w:spacing w:before="97"/>
              <w:rPr>
                <w:rFonts w:ascii="Arial"/>
                <w:i/>
                <w:sz w:val="16"/>
              </w:rPr>
            </w:pPr>
          </w:p>
          <w:p>
            <w:pPr>
              <w:pStyle w:val="TableParagraph"/>
              <w:ind w:left="360"/>
              <w:rPr>
                <w:sz w:val="16"/>
              </w:rPr>
            </w:pPr>
            <w:r>
              <w:rPr>
                <w:spacing w:val="-2"/>
                <w:sz w:val="16"/>
              </w:rPr>
              <w:t>50,481</w:t>
            </w:r>
          </w:p>
        </w:tc>
        <w:tc>
          <w:tcPr>
            <w:tcW w:w="588" w:type="dxa"/>
          </w:tcPr>
          <w:p>
            <w:pPr>
              <w:pStyle w:val="TableParagraph"/>
              <w:spacing w:before="97"/>
              <w:rPr>
                <w:rFonts w:ascii="Arial"/>
                <w:i/>
                <w:sz w:val="16"/>
              </w:rPr>
            </w:pPr>
          </w:p>
          <w:p>
            <w:pPr>
              <w:pStyle w:val="TableParagraph"/>
              <w:ind w:left="116"/>
              <w:rPr>
                <w:sz w:val="16"/>
              </w:rPr>
            </w:pPr>
            <w:r>
              <w:rPr>
                <w:spacing w:val="-10"/>
                <w:sz w:val="16"/>
              </w:rPr>
              <w:t>$</w:t>
            </w:r>
          </w:p>
        </w:tc>
        <w:tc>
          <w:tcPr>
            <w:tcW w:w="1117" w:type="dxa"/>
          </w:tcPr>
          <w:p>
            <w:pPr>
              <w:pStyle w:val="TableParagraph"/>
              <w:spacing w:before="97"/>
              <w:rPr>
                <w:rFonts w:ascii="Arial"/>
                <w:i/>
                <w:sz w:val="16"/>
              </w:rPr>
            </w:pPr>
          </w:p>
          <w:p>
            <w:pPr>
              <w:pStyle w:val="TableParagraph"/>
              <w:ind w:left="382"/>
              <w:rPr>
                <w:sz w:val="16"/>
              </w:rPr>
            </w:pPr>
            <w:r>
              <w:rPr>
                <w:spacing w:val="-2"/>
                <w:sz w:val="16"/>
              </w:rPr>
              <w:t>49,997</w:t>
            </w:r>
          </w:p>
        </w:tc>
      </w:tr>
      <w:tr>
        <w:trPr>
          <w:trHeight w:val="379" w:hRule="atLeast"/>
        </w:trPr>
        <w:tc>
          <w:tcPr>
            <w:tcW w:w="4095" w:type="dxa"/>
          </w:tcPr>
          <w:p>
            <w:pPr>
              <w:pStyle w:val="TableParagraph"/>
              <w:spacing w:before="7"/>
              <w:rPr>
                <w:rFonts w:ascii="Arial"/>
                <w:i/>
                <w:sz w:val="16"/>
              </w:rPr>
            </w:pPr>
          </w:p>
          <w:p>
            <w:pPr>
              <w:pStyle w:val="TableParagraph"/>
              <w:spacing w:line="168" w:lineRule="exact" w:before="1"/>
              <w:ind w:left="50"/>
              <w:rPr>
                <w:sz w:val="16"/>
              </w:rPr>
            </w:pPr>
            <w:r>
              <w:rPr>
                <w:rFonts w:ascii="Arial"/>
                <w:b/>
                <w:sz w:val="16"/>
              </w:rPr>
              <w:t>Equity-to-Loans</w:t>
            </w:r>
            <w:r>
              <w:rPr>
                <w:rFonts w:ascii="Arial"/>
                <w:b/>
                <w:spacing w:val="-3"/>
                <w:sz w:val="16"/>
              </w:rPr>
              <w:t> </w:t>
            </w:r>
            <w:r>
              <w:rPr>
                <w:rFonts w:ascii="Arial"/>
                <w:b/>
                <w:sz w:val="16"/>
              </w:rPr>
              <w:t>ratio</w:t>
            </w:r>
            <w:r>
              <w:rPr>
                <w:rFonts w:ascii="Arial"/>
                <w:b/>
                <w:spacing w:val="-3"/>
                <w:sz w:val="16"/>
              </w:rPr>
              <w:t> </w:t>
            </w:r>
            <w:r>
              <w:rPr>
                <w:sz w:val="16"/>
                <w:vertAlign w:val="superscript"/>
              </w:rPr>
              <w:t>g</w:t>
            </w:r>
            <w:r>
              <w:rPr>
                <w:spacing w:val="-3"/>
                <w:sz w:val="16"/>
                <w:vertAlign w:val="baseline"/>
              </w:rPr>
              <w:t> </w:t>
            </w:r>
            <w:r>
              <w:rPr>
                <w:sz w:val="16"/>
                <w:vertAlign w:val="baseline"/>
              </w:rPr>
              <w:t>(See</w:t>
            </w:r>
            <w:r>
              <w:rPr>
                <w:spacing w:val="-3"/>
                <w:sz w:val="16"/>
                <w:vertAlign w:val="baseline"/>
              </w:rPr>
              <w:t> </w:t>
            </w:r>
            <w:r>
              <w:rPr>
                <w:sz w:val="16"/>
                <w:vertAlign w:val="baseline"/>
              </w:rPr>
              <w:t>Section</w:t>
            </w:r>
            <w:r>
              <w:rPr>
                <w:spacing w:val="-3"/>
                <w:sz w:val="16"/>
                <w:vertAlign w:val="baseline"/>
              </w:rPr>
              <w:t> </w:t>
            </w:r>
            <w:r>
              <w:rPr>
                <w:spacing w:val="-5"/>
                <w:sz w:val="16"/>
                <w:vertAlign w:val="baseline"/>
              </w:rPr>
              <w:t>IX)</w:t>
            </w:r>
          </w:p>
        </w:tc>
        <w:tc>
          <w:tcPr>
            <w:tcW w:w="611" w:type="dxa"/>
          </w:tcPr>
          <w:p>
            <w:pPr>
              <w:pStyle w:val="TableParagraph"/>
              <w:rPr>
                <w:rFonts w:ascii="Times New Roman"/>
                <w:sz w:val="16"/>
              </w:rPr>
            </w:pPr>
          </w:p>
        </w:tc>
        <w:tc>
          <w:tcPr>
            <w:tcW w:w="1257" w:type="dxa"/>
          </w:tcPr>
          <w:p>
            <w:pPr>
              <w:pStyle w:val="TableParagraph"/>
              <w:spacing w:before="11"/>
              <w:rPr>
                <w:rFonts w:ascii="Arial"/>
                <w:i/>
                <w:sz w:val="16"/>
              </w:rPr>
            </w:pPr>
          </w:p>
          <w:p>
            <w:pPr>
              <w:pStyle w:val="TableParagraph"/>
              <w:spacing w:line="164" w:lineRule="exact"/>
              <w:ind w:left="635"/>
              <w:rPr>
                <w:sz w:val="16"/>
              </w:rPr>
            </w:pPr>
            <w:r>
              <w:rPr>
                <w:sz w:val="16"/>
              </w:rPr>
              <w:t>22.0</w:t>
            </w:r>
            <w:r>
              <w:rPr>
                <w:spacing w:val="6"/>
                <w:sz w:val="16"/>
              </w:rPr>
              <w:t> </w:t>
            </w:r>
            <w:r>
              <w:rPr>
                <w:spacing w:val="-10"/>
                <w:sz w:val="16"/>
              </w:rPr>
              <w:t>%</w:t>
            </w:r>
          </w:p>
        </w:tc>
        <w:tc>
          <w:tcPr>
            <w:tcW w:w="565" w:type="dxa"/>
          </w:tcPr>
          <w:p>
            <w:pPr>
              <w:pStyle w:val="TableParagraph"/>
              <w:rPr>
                <w:rFonts w:ascii="Times New Roman"/>
                <w:sz w:val="16"/>
              </w:rPr>
            </w:pPr>
          </w:p>
        </w:tc>
        <w:tc>
          <w:tcPr>
            <w:tcW w:w="1160" w:type="dxa"/>
          </w:tcPr>
          <w:p>
            <w:pPr>
              <w:pStyle w:val="TableParagraph"/>
              <w:spacing w:before="11"/>
              <w:rPr>
                <w:rFonts w:ascii="Arial"/>
                <w:i/>
                <w:sz w:val="16"/>
              </w:rPr>
            </w:pPr>
          </w:p>
          <w:p>
            <w:pPr>
              <w:pStyle w:val="TableParagraph"/>
              <w:spacing w:line="164" w:lineRule="exact"/>
              <w:ind w:left="538"/>
              <w:rPr>
                <w:sz w:val="16"/>
              </w:rPr>
            </w:pPr>
            <w:r>
              <w:rPr>
                <w:sz w:val="16"/>
              </w:rPr>
              <w:t>22.0</w:t>
            </w:r>
            <w:r>
              <w:rPr>
                <w:spacing w:val="6"/>
                <w:sz w:val="16"/>
              </w:rPr>
              <w:t> </w:t>
            </w:r>
            <w:r>
              <w:rPr>
                <w:spacing w:val="-10"/>
                <w:sz w:val="16"/>
              </w:rPr>
              <w:t>%</w:t>
            </w:r>
          </w:p>
        </w:tc>
        <w:tc>
          <w:tcPr>
            <w:tcW w:w="588" w:type="dxa"/>
          </w:tcPr>
          <w:p>
            <w:pPr>
              <w:pStyle w:val="TableParagraph"/>
              <w:rPr>
                <w:rFonts w:ascii="Times New Roman"/>
                <w:sz w:val="16"/>
              </w:rPr>
            </w:pPr>
          </w:p>
        </w:tc>
        <w:tc>
          <w:tcPr>
            <w:tcW w:w="1117" w:type="dxa"/>
          </w:tcPr>
          <w:p>
            <w:pPr>
              <w:pStyle w:val="TableParagraph"/>
              <w:spacing w:before="11"/>
              <w:rPr>
                <w:rFonts w:ascii="Arial"/>
                <w:i/>
                <w:sz w:val="16"/>
              </w:rPr>
            </w:pPr>
          </w:p>
          <w:p>
            <w:pPr>
              <w:pStyle w:val="TableParagraph"/>
              <w:spacing w:line="164" w:lineRule="exact"/>
              <w:ind w:left="560"/>
              <w:rPr>
                <w:sz w:val="16"/>
              </w:rPr>
            </w:pPr>
            <w:r>
              <w:rPr>
                <w:sz w:val="16"/>
              </w:rPr>
              <w:t>22.6</w:t>
            </w:r>
            <w:r>
              <w:rPr>
                <w:spacing w:val="6"/>
                <w:sz w:val="16"/>
              </w:rPr>
              <w:t> </w:t>
            </w:r>
            <w:r>
              <w:rPr>
                <w:spacing w:val="-10"/>
                <w:sz w:val="16"/>
              </w:rPr>
              <w:t>%</w:t>
            </w:r>
          </w:p>
        </w:tc>
      </w:tr>
    </w:tbl>
    <w:p>
      <w:pPr>
        <w:pStyle w:val="BodyText"/>
        <w:spacing w:before="97"/>
        <w:rPr>
          <w:rFonts w:ascii="Arial"/>
          <w:i/>
        </w:rPr>
      </w:pPr>
      <w:r>
        <w:rPr>
          <w:rFonts w:ascii="Arial"/>
          <w:i/>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223039</wp:posOffset>
                </wp:positionV>
                <wp:extent cx="59436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62187pt;width:468pt;height:.1pt;mso-position-horizontal-relative:page;mso-position-vertical-relative:paragraph;z-index:-15728128;mso-wrap-distance-left:0;mso-wrap-distance-right:0" id="docshape14" coordorigin="1440,351" coordsize="9360,0" path="m1440,351l10800,351e" filled="false" stroked="true" strokeweight="1pt" strokecolor="#6c6c6c">
                <v:path arrowok="t"/>
                <v:stroke dashstyle="solid"/>
                <w10:wrap type="topAndBottom"/>
              </v:shape>
            </w:pict>
          </mc:Fallback>
        </mc:AlternateContent>
      </w:r>
    </w:p>
    <w:p>
      <w:pPr>
        <w:pStyle w:val="ListParagraph"/>
        <w:numPr>
          <w:ilvl w:val="0"/>
          <w:numId w:val="1"/>
        </w:numPr>
        <w:tabs>
          <w:tab w:pos="950" w:val="left" w:leader="none"/>
          <w:tab w:pos="952" w:val="left" w:leader="none"/>
        </w:tabs>
        <w:spacing w:line="249" w:lineRule="auto" w:before="23" w:after="0"/>
        <w:ind w:left="952" w:right="770" w:hanging="180"/>
        <w:jc w:val="both"/>
        <w:rPr>
          <w:rFonts w:ascii="Arial" w:hAnsi="Arial"/>
          <w:i/>
          <w:sz w:val="16"/>
        </w:rPr>
      </w:pPr>
      <w:r>
        <w:rPr>
          <w:rFonts w:ascii="Arial" w:hAnsi="Arial"/>
          <w:i/>
          <w:sz w:val="16"/>
        </w:rPr>
        <w:t>Amounts include guarantee commitments and guarantee facilities that have been approved by the Executive Directors (referred to as “the Board” in this document), and are net of full terminations and cancellations relating to commitments approved in the same fiscal year.</w:t>
      </w:r>
    </w:p>
    <w:p>
      <w:pPr>
        <w:pStyle w:val="ListParagraph"/>
        <w:numPr>
          <w:ilvl w:val="0"/>
          <w:numId w:val="1"/>
        </w:numPr>
        <w:tabs>
          <w:tab w:pos="948" w:val="left" w:leader="none"/>
        </w:tabs>
        <w:spacing w:line="240" w:lineRule="auto" w:before="60" w:after="0"/>
        <w:ind w:left="948" w:right="0" w:hanging="176"/>
        <w:jc w:val="both"/>
        <w:rPr>
          <w:rFonts w:ascii="Arial"/>
          <w:i/>
          <w:sz w:val="16"/>
        </w:rPr>
      </w:pPr>
      <w:r>
        <w:rPr>
          <w:rFonts w:ascii="Arial"/>
          <w:i/>
          <w:sz w:val="16"/>
        </w:rPr>
        <w:t>For</w:t>
      </w:r>
      <w:r>
        <w:rPr>
          <w:rFonts w:ascii="Arial"/>
          <w:i/>
          <w:spacing w:val="-5"/>
          <w:sz w:val="16"/>
        </w:rPr>
        <w:t> </w:t>
      </w:r>
      <w:r>
        <w:rPr>
          <w:rFonts w:ascii="Arial"/>
          <w:i/>
          <w:sz w:val="16"/>
        </w:rPr>
        <w:t>the</w:t>
      </w:r>
      <w:r>
        <w:rPr>
          <w:rFonts w:ascii="Arial"/>
          <w:i/>
          <w:spacing w:val="-3"/>
          <w:sz w:val="16"/>
        </w:rPr>
        <w:t> </w:t>
      </w:r>
      <w:r>
        <w:rPr>
          <w:rFonts w:ascii="Arial"/>
          <w:i/>
          <w:sz w:val="16"/>
        </w:rPr>
        <w:t>composition</w:t>
      </w:r>
      <w:r>
        <w:rPr>
          <w:rFonts w:ascii="Arial"/>
          <w:i/>
          <w:spacing w:val="-4"/>
          <w:sz w:val="16"/>
        </w:rPr>
        <w:t> </w:t>
      </w:r>
      <w:r>
        <w:rPr>
          <w:rFonts w:ascii="Arial"/>
          <w:i/>
          <w:sz w:val="16"/>
        </w:rPr>
        <w:t>of</w:t>
      </w:r>
      <w:r>
        <w:rPr>
          <w:rFonts w:ascii="Arial"/>
          <w:i/>
          <w:spacing w:val="-2"/>
          <w:sz w:val="16"/>
        </w:rPr>
        <w:t> </w:t>
      </w:r>
      <w:r>
        <w:rPr>
          <w:rFonts w:ascii="Arial"/>
          <w:i/>
          <w:sz w:val="16"/>
        </w:rPr>
        <w:t>the</w:t>
      </w:r>
      <w:r>
        <w:rPr>
          <w:rFonts w:ascii="Arial"/>
          <w:i/>
          <w:spacing w:val="-4"/>
          <w:sz w:val="16"/>
        </w:rPr>
        <w:t> </w:t>
      </w:r>
      <w:r>
        <w:rPr>
          <w:rFonts w:ascii="Arial"/>
          <w:i/>
          <w:sz w:val="16"/>
        </w:rPr>
        <w:t>net</w:t>
      </w:r>
      <w:r>
        <w:rPr>
          <w:rFonts w:ascii="Arial"/>
          <w:i/>
          <w:spacing w:val="-2"/>
          <w:sz w:val="16"/>
        </w:rPr>
        <w:t> </w:t>
      </w:r>
      <w:r>
        <w:rPr>
          <w:rFonts w:ascii="Arial"/>
          <w:i/>
          <w:sz w:val="16"/>
        </w:rPr>
        <w:t>investment</w:t>
      </w:r>
      <w:r>
        <w:rPr>
          <w:rFonts w:ascii="Arial"/>
          <w:i/>
          <w:spacing w:val="-3"/>
          <w:sz w:val="16"/>
        </w:rPr>
        <w:t> </w:t>
      </w:r>
      <w:r>
        <w:rPr>
          <w:rFonts w:ascii="Arial"/>
          <w:i/>
          <w:sz w:val="16"/>
        </w:rPr>
        <w:t>portfolio,</w:t>
      </w:r>
      <w:r>
        <w:rPr>
          <w:rFonts w:ascii="Arial"/>
          <w:i/>
          <w:spacing w:val="-3"/>
          <w:sz w:val="16"/>
        </w:rPr>
        <w:t> </w:t>
      </w:r>
      <w:r>
        <w:rPr>
          <w:rFonts w:ascii="Arial"/>
          <w:i/>
          <w:sz w:val="16"/>
        </w:rPr>
        <w:t>see</w:t>
      </w:r>
      <w:r>
        <w:rPr>
          <w:rFonts w:ascii="Arial"/>
          <w:i/>
          <w:spacing w:val="-3"/>
          <w:sz w:val="16"/>
        </w:rPr>
        <w:t> </w:t>
      </w:r>
      <w:r>
        <w:rPr>
          <w:rFonts w:ascii="Arial"/>
          <w:i/>
          <w:sz w:val="16"/>
        </w:rPr>
        <w:t>Notes</w:t>
      </w:r>
      <w:r>
        <w:rPr>
          <w:rFonts w:ascii="Arial"/>
          <w:i/>
          <w:spacing w:val="-2"/>
          <w:sz w:val="16"/>
        </w:rPr>
        <w:t> </w:t>
      </w:r>
      <w:r>
        <w:rPr>
          <w:rFonts w:ascii="Arial"/>
          <w:i/>
          <w:sz w:val="16"/>
        </w:rPr>
        <w:t>to</w:t>
      </w:r>
      <w:r>
        <w:rPr>
          <w:rFonts w:ascii="Arial"/>
          <w:i/>
          <w:spacing w:val="-4"/>
          <w:sz w:val="16"/>
        </w:rPr>
        <w:t> </w:t>
      </w:r>
      <w:r>
        <w:rPr>
          <w:rFonts w:ascii="Arial"/>
          <w:i/>
          <w:sz w:val="16"/>
        </w:rPr>
        <w:t>the</w:t>
      </w:r>
      <w:r>
        <w:rPr>
          <w:rFonts w:ascii="Arial"/>
          <w:i/>
          <w:spacing w:val="-3"/>
          <w:sz w:val="16"/>
        </w:rPr>
        <w:t> </w:t>
      </w:r>
      <w:r>
        <w:rPr>
          <w:rFonts w:ascii="Arial"/>
          <w:i/>
          <w:sz w:val="16"/>
        </w:rPr>
        <w:t>Financial</w:t>
      </w:r>
      <w:r>
        <w:rPr>
          <w:rFonts w:ascii="Arial"/>
          <w:i/>
          <w:spacing w:val="-3"/>
          <w:sz w:val="16"/>
        </w:rPr>
        <w:t> </w:t>
      </w:r>
      <w:r>
        <w:rPr>
          <w:rFonts w:ascii="Arial"/>
          <w:i/>
          <w:sz w:val="16"/>
        </w:rPr>
        <w:t>Statements,</w:t>
      </w:r>
      <w:r>
        <w:rPr>
          <w:rFonts w:ascii="Arial"/>
          <w:i/>
          <w:spacing w:val="-2"/>
          <w:sz w:val="16"/>
        </w:rPr>
        <w:t> </w:t>
      </w:r>
      <w:r>
        <w:rPr>
          <w:rFonts w:ascii="Arial"/>
          <w:i/>
          <w:sz w:val="16"/>
        </w:rPr>
        <w:t>Note</w:t>
      </w:r>
      <w:r>
        <w:rPr>
          <w:rFonts w:ascii="Arial"/>
          <w:i/>
          <w:spacing w:val="-4"/>
          <w:sz w:val="16"/>
        </w:rPr>
        <w:t> </w:t>
      </w:r>
      <w:r>
        <w:rPr>
          <w:rFonts w:ascii="Arial"/>
          <w:i/>
          <w:sz w:val="16"/>
        </w:rPr>
        <w:t>C</w:t>
      </w:r>
      <w:r>
        <w:rPr>
          <w:rFonts w:ascii="Arial"/>
          <w:i/>
          <w:spacing w:val="-2"/>
          <w:sz w:val="16"/>
        </w:rPr>
        <w:t> </w:t>
      </w:r>
      <w:r>
        <w:rPr>
          <w:rFonts w:ascii="Arial"/>
          <w:i/>
          <w:sz w:val="16"/>
        </w:rPr>
        <w:t>-</w:t>
      </w:r>
      <w:r>
        <w:rPr>
          <w:rFonts w:ascii="Arial"/>
          <w:i/>
          <w:spacing w:val="-3"/>
          <w:sz w:val="16"/>
        </w:rPr>
        <w:t> </w:t>
      </w:r>
      <w:r>
        <w:rPr>
          <w:rFonts w:ascii="Arial"/>
          <w:i/>
          <w:sz w:val="16"/>
        </w:rPr>
        <w:t>Investments</w:t>
      </w:r>
      <w:r>
        <w:rPr>
          <w:rFonts w:ascii="Arial"/>
          <w:i/>
          <w:spacing w:val="-3"/>
          <w:sz w:val="16"/>
        </w:rPr>
        <w:t> </w:t>
      </w:r>
      <w:r>
        <w:rPr>
          <w:rFonts w:ascii="Arial"/>
          <w:i/>
          <w:sz w:val="16"/>
        </w:rPr>
        <w:t>-</w:t>
      </w:r>
      <w:r>
        <w:rPr>
          <w:rFonts w:ascii="Arial"/>
          <w:i/>
          <w:spacing w:val="-2"/>
          <w:sz w:val="16"/>
        </w:rPr>
        <w:t> </w:t>
      </w:r>
      <w:r>
        <w:rPr>
          <w:rFonts w:ascii="Arial"/>
          <w:i/>
          <w:sz w:val="16"/>
        </w:rPr>
        <w:t>Table</w:t>
      </w:r>
      <w:r>
        <w:rPr>
          <w:rFonts w:ascii="Arial"/>
          <w:i/>
          <w:spacing w:val="-3"/>
          <w:sz w:val="16"/>
        </w:rPr>
        <w:t> </w:t>
      </w:r>
      <w:r>
        <w:rPr>
          <w:rFonts w:ascii="Arial"/>
          <w:i/>
          <w:spacing w:val="-5"/>
          <w:sz w:val="16"/>
        </w:rPr>
        <w:t>C3.</w:t>
      </w:r>
    </w:p>
    <w:p>
      <w:pPr>
        <w:pStyle w:val="ListParagraph"/>
        <w:numPr>
          <w:ilvl w:val="0"/>
          <w:numId w:val="1"/>
        </w:numPr>
        <w:tabs>
          <w:tab w:pos="940" w:val="left" w:leader="none"/>
        </w:tabs>
        <w:spacing w:line="240" w:lineRule="auto" w:before="56" w:after="0"/>
        <w:ind w:left="940" w:right="0" w:hanging="168"/>
        <w:jc w:val="both"/>
        <w:rPr>
          <w:rFonts w:ascii="Arial"/>
          <w:i/>
          <w:sz w:val="16"/>
        </w:rPr>
      </w:pPr>
      <w:r>
        <w:rPr>
          <w:rFonts w:ascii="Arial"/>
          <w:i/>
          <w:sz w:val="16"/>
        </w:rPr>
        <w:t>Includes</w:t>
      </w:r>
      <w:r>
        <w:rPr>
          <w:rFonts w:ascii="Arial"/>
          <w:i/>
          <w:spacing w:val="-6"/>
          <w:sz w:val="16"/>
        </w:rPr>
        <w:t> </w:t>
      </w:r>
      <w:r>
        <w:rPr>
          <w:rFonts w:ascii="Arial"/>
          <w:i/>
          <w:sz w:val="16"/>
        </w:rPr>
        <w:t>associated</w:t>
      </w:r>
      <w:r>
        <w:rPr>
          <w:rFonts w:ascii="Arial"/>
          <w:i/>
          <w:spacing w:val="-5"/>
          <w:sz w:val="16"/>
        </w:rPr>
        <w:t> </w:t>
      </w:r>
      <w:r>
        <w:rPr>
          <w:rFonts w:ascii="Arial"/>
          <w:i/>
          <w:spacing w:val="-2"/>
          <w:sz w:val="16"/>
        </w:rPr>
        <w:t>derivatives.</w:t>
      </w:r>
    </w:p>
    <w:p>
      <w:pPr>
        <w:pStyle w:val="ListParagraph"/>
        <w:numPr>
          <w:ilvl w:val="0"/>
          <w:numId w:val="1"/>
        </w:numPr>
        <w:tabs>
          <w:tab w:pos="952" w:val="left" w:leader="none"/>
          <w:tab w:pos="954" w:val="left" w:leader="none"/>
        </w:tabs>
        <w:spacing w:line="249" w:lineRule="auto" w:before="58" w:after="0"/>
        <w:ind w:left="952" w:right="828" w:hanging="180"/>
        <w:jc w:val="left"/>
        <w:rPr>
          <w:rFonts w:ascii="Arial"/>
          <w:i/>
          <w:sz w:val="16"/>
        </w:rPr>
      </w:pPr>
      <w:r>
        <w:rPr>
          <w:rFonts w:ascii="Arial"/>
          <w:i/>
          <w:sz w:val="16"/>
        </w:rPr>
        <w:t>The</w:t>
      </w:r>
      <w:r>
        <w:rPr>
          <w:rFonts w:ascii="Arial"/>
          <w:i/>
          <w:sz w:val="16"/>
        </w:rPr>
        <w:t> June 30, 2023 amount represents the transfer to the General Reserve from FY23 net income, which was approved by the Board on August 3, 2023.</w:t>
      </w:r>
    </w:p>
    <w:p>
      <w:pPr>
        <w:pStyle w:val="ListParagraph"/>
        <w:numPr>
          <w:ilvl w:val="0"/>
          <w:numId w:val="1"/>
        </w:numPr>
        <w:tabs>
          <w:tab w:pos="948" w:val="left" w:leader="none"/>
          <w:tab w:pos="950" w:val="left" w:leader="none"/>
        </w:tabs>
        <w:spacing w:line="249" w:lineRule="auto" w:before="52" w:after="0"/>
        <w:ind w:left="950" w:right="839" w:hanging="178"/>
        <w:jc w:val="left"/>
        <w:rPr>
          <w:rFonts w:ascii="Arial"/>
          <w:i/>
          <w:sz w:val="16"/>
        </w:rPr>
      </w:pPr>
      <w:r>
        <w:rPr>
          <w:rFonts w:ascii="Arial"/>
          <w:i/>
          <w:sz w:val="16"/>
        </w:rPr>
        <w:t>Excludes</w:t>
      </w:r>
      <w:r>
        <w:rPr>
          <w:rFonts w:ascii="Arial"/>
          <w:i/>
          <w:spacing w:val="-3"/>
          <w:sz w:val="16"/>
        </w:rPr>
        <w:t> </w:t>
      </w:r>
      <w:r>
        <w:rPr>
          <w:rFonts w:ascii="Arial"/>
          <w:i/>
          <w:sz w:val="16"/>
        </w:rPr>
        <w:t>amounts</w:t>
      </w:r>
      <w:r>
        <w:rPr>
          <w:rFonts w:ascii="Arial"/>
          <w:i/>
          <w:spacing w:val="-3"/>
          <w:sz w:val="16"/>
        </w:rPr>
        <w:t> </w:t>
      </w:r>
      <w:r>
        <w:rPr>
          <w:rFonts w:ascii="Arial"/>
          <w:i/>
          <w:sz w:val="16"/>
        </w:rPr>
        <w:t>associated</w:t>
      </w:r>
      <w:r>
        <w:rPr>
          <w:rFonts w:ascii="Arial"/>
          <w:i/>
          <w:spacing w:val="-4"/>
          <w:sz w:val="16"/>
        </w:rPr>
        <w:t> </w:t>
      </w:r>
      <w:r>
        <w:rPr>
          <w:rFonts w:ascii="Arial"/>
          <w:i/>
          <w:sz w:val="16"/>
        </w:rPr>
        <w:t>with</w:t>
      </w:r>
      <w:r>
        <w:rPr>
          <w:rFonts w:ascii="Arial"/>
          <w:i/>
          <w:spacing w:val="-4"/>
          <w:sz w:val="16"/>
        </w:rPr>
        <w:t> </w:t>
      </w:r>
      <w:r>
        <w:rPr>
          <w:rFonts w:ascii="Arial"/>
          <w:i/>
          <w:sz w:val="16"/>
        </w:rPr>
        <w:t>unrealized</w:t>
      </w:r>
      <w:r>
        <w:rPr>
          <w:rFonts w:ascii="Arial"/>
          <w:i/>
          <w:spacing w:val="-4"/>
          <w:sz w:val="16"/>
        </w:rPr>
        <w:t> </w:t>
      </w:r>
      <w:r>
        <w:rPr>
          <w:rFonts w:ascii="Arial"/>
          <w:i/>
          <w:sz w:val="16"/>
        </w:rPr>
        <w:t>mark-to-market</w:t>
      </w:r>
      <w:r>
        <w:rPr>
          <w:rFonts w:ascii="Arial"/>
          <w:i/>
          <w:spacing w:val="-3"/>
          <w:sz w:val="16"/>
        </w:rPr>
        <w:t> </w:t>
      </w:r>
      <w:r>
        <w:rPr>
          <w:rFonts w:ascii="Arial"/>
          <w:i/>
          <w:sz w:val="16"/>
        </w:rPr>
        <w:t>gains/losses</w:t>
      </w:r>
      <w:r>
        <w:rPr>
          <w:rFonts w:ascii="Arial"/>
          <w:i/>
          <w:spacing w:val="-3"/>
          <w:sz w:val="16"/>
        </w:rPr>
        <w:t> </w:t>
      </w:r>
      <w:r>
        <w:rPr>
          <w:rFonts w:ascii="Arial"/>
          <w:i/>
          <w:sz w:val="16"/>
        </w:rPr>
        <w:t>on</w:t>
      </w:r>
      <w:r>
        <w:rPr>
          <w:rFonts w:ascii="Arial"/>
          <w:i/>
          <w:spacing w:val="-4"/>
          <w:sz w:val="16"/>
        </w:rPr>
        <w:t> </w:t>
      </w:r>
      <w:r>
        <w:rPr>
          <w:rFonts w:ascii="Arial"/>
          <w:i/>
          <w:sz w:val="16"/>
        </w:rPr>
        <w:t>non-trading</w:t>
      </w:r>
      <w:r>
        <w:rPr>
          <w:rFonts w:ascii="Arial"/>
          <w:i/>
          <w:spacing w:val="-4"/>
          <w:sz w:val="16"/>
        </w:rPr>
        <w:t> </w:t>
      </w:r>
      <w:r>
        <w:rPr>
          <w:rFonts w:ascii="Arial"/>
          <w:i/>
          <w:sz w:val="16"/>
        </w:rPr>
        <w:t>portfolios,</w:t>
      </w:r>
      <w:r>
        <w:rPr>
          <w:rFonts w:ascii="Arial"/>
          <w:i/>
          <w:spacing w:val="-3"/>
          <w:sz w:val="16"/>
        </w:rPr>
        <w:t> </w:t>
      </w:r>
      <w:r>
        <w:rPr>
          <w:rFonts w:ascii="Arial"/>
          <w:i/>
          <w:sz w:val="16"/>
        </w:rPr>
        <w:t>net</w:t>
      </w:r>
      <w:r>
        <w:rPr>
          <w:rFonts w:ascii="Arial"/>
          <w:i/>
          <w:spacing w:val="-3"/>
          <w:sz w:val="16"/>
        </w:rPr>
        <w:t> </w:t>
      </w:r>
      <w:r>
        <w:rPr>
          <w:rFonts w:ascii="Arial"/>
          <w:i/>
          <w:sz w:val="16"/>
        </w:rPr>
        <w:t>and</w:t>
      </w:r>
      <w:r>
        <w:rPr>
          <w:rFonts w:ascii="Arial"/>
          <w:i/>
          <w:spacing w:val="-4"/>
          <w:sz w:val="16"/>
        </w:rPr>
        <w:t> </w:t>
      </w:r>
      <w:r>
        <w:rPr>
          <w:rFonts w:ascii="Arial"/>
          <w:i/>
          <w:sz w:val="16"/>
        </w:rPr>
        <w:t>related</w:t>
      </w:r>
      <w:r>
        <w:rPr>
          <w:rFonts w:ascii="Arial"/>
          <w:i/>
          <w:spacing w:val="-4"/>
          <w:sz w:val="16"/>
        </w:rPr>
        <w:t> </w:t>
      </w:r>
      <w:r>
        <w:rPr>
          <w:rFonts w:ascii="Arial"/>
          <w:i/>
          <w:sz w:val="16"/>
        </w:rPr>
        <w:t>cumulative translation adjustments.</w:t>
      </w:r>
    </w:p>
    <w:p>
      <w:pPr>
        <w:pStyle w:val="ListParagraph"/>
        <w:numPr>
          <w:ilvl w:val="0"/>
          <w:numId w:val="1"/>
        </w:numPr>
        <w:tabs>
          <w:tab w:pos="906" w:val="left" w:leader="none"/>
          <w:tab w:pos="952" w:val="left" w:leader="none"/>
        </w:tabs>
        <w:spacing w:line="249" w:lineRule="auto" w:before="53" w:after="0"/>
        <w:ind w:left="952" w:right="827" w:hanging="180"/>
        <w:jc w:val="left"/>
        <w:rPr>
          <w:rFonts w:ascii="Arial"/>
          <w:i/>
          <w:sz w:val="16"/>
        </w:rPr>
      </w:pPr>
      <w:r>
        <w:rPr>
          <w:rFonts w:ascii="Arial"/>
          <w:i/>
          <w:sz w:val="16"/>
        </w:rPr>
        <w:t>Usable</w:t>
      </w:r>
      <w:r>
        <w:rPr>
          <w:rFonts w:ascii="Arial"/>
          <w:i/>
          <w:spacing w:val="-1"/>
          <w:sz w:val="16"/>
        </w:rPr>
        <w:t> </w:t>
      </w:r>
      <w:r>
        <w:rPr>
          <w:rFonts w:ascii="Arial"/>
          <w:i/>
          <w:sz w:val="16"/>
        </w:rPr>
        <w:t>Equity</w:t>
      </w:r>
      <w:r>
        <w:rPr>
          <w:rFonts w:ascii="Arial"/>
          <w:i/>
          <w:spacing w:val="-1"/>
          <w:sz w:val="16"/>
        </w:rPr>
        <w:t> </w:t>
      </w:r>
      <w:r>
        <w:rPr>
          <w:rFonts w:ascii="Arial"/>
          <w:i/>
          <w:sz w:val="16"/>
        </w:rPr>
        <w:t>includes</w:t>
      </w:r>
      <w:r>
        <w:rPr>
          <w:rFonts w:ascii="Arial"/>
          <w:i/>
          <w:spacing w:val="-1"/>
          <w:sz w:val="16"/>
        </w:rPr>
        <w:t> </w:t>
      </w:r>
      <w:r>
        <w:rPr>
          <w:rFonts w:ascii="Arial"/>
          <w:i/>
          <w:sz w:val="16"/>
        </w:rPr>
        <w:t>the</w:t>
      </w:r>
      <w:r>
        <w:rPr>
          <w:rFonts w:ascii="Arial"/>
          <w:i/>
          <w:spacing w:val="-1"/>
          <w:sz w:val="16"/>
        </w:rPr>
        <w:t> </w:t>
      </w:r>
      <w:r>
        <w:rPr>
          <w:rFonts w:ascii="Arial"/>
          <w:i/>
          <w:sz w:val="16"/>
        </w:rPr>
        <w:t>transfer</w:t>
      </w:r>
      <w:r>
        <w:rPr>
          <w:rFonts w:ascii="Arial"/>
          <w:i/>
          <w:spacing w:val="-1"/>
          <w:sz w:val="16"/>
        </w:rPr>
        <w:t> </w:t>
      </w:r>
      <w:r>
        <w:rPr>
          <w:rFonts w:ascii="Arial"/>
          <w:i/>
          <w:sz w:val="16"/>
        </w:rPr>
        <w:t>to</w:t>
      </w:r>
      <w:r>
        <w:rPr>
          <w:rFonts w:ascii="Arial"/>
          <w:i/>
          <w:spacing w:val="-1"/>
          <w:sz w:val="16"/>
        </w:rPr>
        <w:t> </w:t>
      </w:r>
      <w:r>
        <w:rPr>
          <w:rFonts w:ascii="Arial"/>
          <w:i/>
          <w:sz w:val="16"/>
        </w:rPr>
        <w:t>the</w:t>
      </w:r>
      <w:r>
        <w:rPr>
          <w:rFonts w:ascii="Arial"/>
          <w:i/>
          <w:spacing w:val="-1"/>
          <w:sz w:val="16"/>
        </w:rPr>
        <w:t> </w:t>
      </w:r>
      <w:r>
        <w:rPr>
          <w:rFonts w:ascii="Arial"/>
          <w:i/>
          <w:sz w:val="16"/>
        </w:rPr>
        <w:t>General</w:t>
      </w:r>
      <w:r>
        <w:rPr>
          <w:rFonts w:ascii="Arial"/>
          <w:i/>
          <w:spacing w:val="-1"/>
          <w:sz w:val="16"/>
        </w:rPr>
        <w:t> </w:t>
      </w:r>
      <w:r>
        <w:rPr>
          <w:rFonts w:ascii="Arial"/>
          <w:i/>
          <w:sz w:val="16"/>
        </w:rPr>
        <w:t>Reserve</w:t>
      </w:r>
      <w:r>
        <w:rPr>
          <w:rFonts w:ascii="Arial"/>
          <w:i/>
          <w:spacing w:val="-1"/>
          <w:sz w:val="16"/>
        </w:rPr>
        <w:t> </w:t>
      </w:r>
      <w:r>
        <w:rPr>
          <w:rFonts w:ascii="Arial"/>
          <w:i/>
          <w:sz w:val="16"/>
        </w:rPr>
        <w:t>from</w:t>
      </w:r>
      <w:r>
        <w:rPr>
          <w:rFonts w:ascii="Arial"/>
          <w:i/>
          <w:spacing w:val="-2"/>
          <w:sz w:val="16"/>
        </w:rPr>
        <w:t> </w:t>
      </w:r>
      <w:r>
        <w:rPr>
          <w:rFonts w:ascii="Arial"/>
          <w:i/>
          <w:sz w:val="16"/>
        </w:rPr>
        <w:t>FY23</w:t>
      </w:r>
      <w:r>
        <w:rPr>
          <w:rFonts w:ascii="Arial"/>
          <w:i/>
          <w:spacing w:val="-1"/>
          <w:sz w:val="16"/>
        </w:rPr>
        <w:t> </w:t>
      </w:r>
      <w:r>
        <w:rPr>
          <w:rFonts w:ascii="Arial"/>
          <w:i/>
          <w:sz w:val="16"/>
        </w:rPr>
        <w:t>net</w:t>
      </w:r>
      <w:r>
        <w:rPr>
          <w:rFonts w:ascii="Arial"/>
          <w:i/>
          <w:spacing w:val="-1"/>
          <w:sz w:val="16"/>
        </w:rPr>
        <w:t> </w:t>
      </w:r>
      <w:r>
        <w:rPr>
          <w:rFonts w:ascii="Arial"/>
          <w:i/>
          <w:sz w:val="16"/>
        </w:rPr>
        <w:t>income,</w:t>
      </w:r>
      <w:r>
        <w:rPr>
          <w:rFonts w:ascii="Arial"/>
          <w:i/>
          <w:spacing w:val="-1"/>
          <w:sz w:val="16"/>
        </w:rPr>
        <w:t> </w:t>
      </w:r>
      <w:r>
        <w:rPr>
          <w:rFonts w:ascii="Arial"/>
          <w:i/>
          <w:sz w:val="16"/>
        </w:rPr>
        <w:t>which</w:t>
      </w:r>
      <w:r>
        <w:rPr>
          <w:rFonts w:ascii="Arial"/>
          <w:i/>
          <w:spacing w:val="-1"/>
          <w:sz w:val="16"/>
        </w:rPr>
        <w:t> </w:t>
      </w:r>
      <w:r>
        <w:rPr>
          <w:rFonts w:ascii="Arial"/>
          <w:i/>
          <w:sz w:val="16"/>
        </w:rPr>
        <w:t>was</w:t>
      </w:r>
      <w:r>
        <w:rPr>
          <w:rFonts w:ascii="Arial"/>
          <w:i/>
          <w:spacing w:val="-1"/>
          <w:sz w:val="16"/>
        </w:rPr>
        <w:t> </w:t>
      </w:r>
      <w:r>
        <w:rPr>
          <w:rFonts w:ascii="Arial"/>
          <w:i/>
          <w:sz w:val="16"/>
        </w:rPr>
        <w:t>approved</w:t>
      </w:r>
      <w:r>
        <w:rPr>
          <w:rFonts w:ascii="Arial"/>
          <w:i/>
          <w:spacing w:val="-1"/>
          <w:sz w:val="16"/>
        </w:rPr>
        <w:t> </w:t>
      </w:r>
      <w:r>
        <w:rPr>
          <w:rFonts w:ascii="Arial"/>
          <w:i/>
          <w:sz w:val="16"/>
        </w:rPr>
        <w:t>by</w:t>
      </w:r>
      <w:r>
        <w:rPr>
          <w:rFonts w:ascii="Arial"/>
          <w:i/>
          <w:spacing w:val="-1"/>
          <w:sz w:val="16"/>
        </w:rPr>
        <w:t> </w:t>
      </w:r>
      <w:r>
        <w:rPr>
          <w:rFonts w:ascii="Arial"/>
          <w:i/>
          <w:sz w:val="16"/>
        </w:rPr>
        <w:t>the</w:t>
      </w:r>
      <w:r>
        <w:rPr>
          <w:rFonts w:ascii="Arial"/>
          <w:i/>
          <w:spacing w:val="-1"/>
          <w:sz w:val="16"/>
        </w:rPr>
        <w:t> </w:t>
      </w:r>
      <w:r>
        <w:rPr>
          <w:rFonts w:ascii="Arial"/>
          <w:i/>
          <w:sz w:val="16"/>
        </w:rPr>
        <w:t>Board</w:t>
      </w:r>
      <w:r>
        <w:rPr>
          <w:rFonts w:ascii="Arial"/>
          <w:i/>
          <w:spacing w:val="-1"/>
          <w:sz w:val="16"/>
        </w:rPr>
        <w:t> </w:t>
      </w:r>
      <w:r>
        <w:rPr>
          <w:rFonts w:ascii="Arial"/>
          <w:i/>
          <w:sz w:val="16"/>
        </w:rPr>
        <w:t>on</w:t>
      </w:r>
      <w:r>
        <w:rPr>
          <w:rFonts w:ascii="Arial"/>
          <w:i/>
          <w:spacing w:val="-1"/>
          <w:sz w:val="16"/>
        </w:rPr>
        <w:t> </w:t>
      </w:r>
      <w:r>
        <w:rPr>
          <w:rFonts w:ascii="Arial"/>
          <w:i/>
          <w:sz w:val="16"/>
        </w:rPr>
        <w:t>August 3, 2023. See Table 27: Usable Equity.</w:t>
      </w:r>
    </w:p>
    <w:p>
      <w:pPr>
        <w:pStyle w:val="ListParagraph"/>
        <w:numPr>
          <w:ilvl w:val="0"/>
          <w:numId w:val="1"/>
        </w:numPr>
        <w:tabs>
          <w:tab w:pos="948" w:val="left" w:leader="none"/>
        </w:tabs>
        <w:spacing w:line="240" w:lineRule="auto" w:before="88" w:after="0"/>
        <w:ind w:left="948" w:right="0" w:hanging="176"/>
        <w:jc w:val="left"/>
        <w:rPr>
          <w:rFonts w:ascii="Arial"/>
          <w:i/>
          <w:sz w:val="16"/>
        </w:rPr>
      </w:pPr>
      <w:r>
        <w:rPr>
          <w:rFonts w:ascii="Arial"/>
          <w:i/>
          <w:sz w:val="16"/>
        </w:rPr>
        <w:t>As</w:t>
      </w:r>
      <w:r>
        <w:rPr>
          <w:rFonts w:ascii="Arial"/>
          <w:i/>
          <w:spacing w:val="-4"/>
          <w:sz w:val="16"/>
        </w:rPr>
        <w:t> </w:t>
      </w:r>
      <w:r>
        <w:rPr>
          <w:rFonts w:ascii="Arial"/>
          <w:i/>
          <w:sz w:val="16"/>
        </w:rPr>
        <w:t>defined</w:t>
      </w:r>
      <w:r>
        <w:rPr>
          <w:rFonts w:ascii="Arial"/>
          <w:i/>
          <w:spacing w:val="-4"/>
          <w:sz w:val="16"/>
        </w:rPr>
        <w:t> </w:t>
      </w:r>
      <w:r>
        <w:rPr>
          <w:rFonts w:ascii="Arial"/>
          <w:i/>
          <w:sz w:val="16"/>
        </w:rPr>
        <w:t>in</w:t>
      </w:r>
      <w:r>
        <w:rPr>
          <w:rFonts w:ascii="Arial"/>
          <w:i/>
          <w:spacing w:val="-4"/>
          <w:sz w:val="16"/>
        </w:rPr>
        <w:t> </w:t>
      </w:r>
      <w:r>
        <w:rPr>
          <w:rFonts w:ascii="Arial"/>
          <w:i/>
          <w:sz w:val="16"/>
        </w:rPr>
        <w:t>Table</w:t>
      </w:r>
      <w:r>
        <w:rPr>
          <w:rFonts w:ascii="Arial"/>
          <w:i/>
          <w:spacing w:val="-5"/>
          <w:sz w:val="16"/>
        </w:rPr>
        <w:t> </w:t>
      </w:r>
      <w:r>
        <w:rPr>
          <w:rFonts w:ascii="Arial"/>
          <w:i/>
          <w:sz w:val="16"/>
        </w:rPr>
        <w:t>28:</w:t>
      </w:r>
      <w:r>
        <w:rPr>
          <w:rFonts w:ascii="Arial"/>
          <w:i/>
          <w:spacing w:val="-3"/>
          <w:sz w:val="16"/>
        </w:rPr>
        <w:t> </w:t>
      </w:r>
      <w:r>
        <w:rPr>
          <w:rFonts w:ascii="Arial"/>
          <w:i/>
          <w:sz w:val="16"/>
        </w:rPr>
        <w:t>Equity-to-Loans</w:t>
      </w:r>
      <w:r>
        <w:rPr>
          <w:rFonts w:ascii="Arial"/>
          <w:i/>
          <w:spacing w:val="-3"/>
          <w:sz w:val="16"/>
        </w:rPr>
        <w:t> </w:t>
      </w:r>
      <w:r>
        <w:rPr>
          <w:rFonts w:ascii="Arial"/>
          <w:i/>
          <w:spacing w:val="-2"/>
          <w:sz w:val="16"/>
        </w:rPr>
        <w:t>Ratio.</w:t>
      </w:r>
    </w:p>
    <w:p>
      <w:pPr>
        <w:pStyle w:val="ListParagraph"/>
        <w:spacing w:after="0" w:line="240" w:lineRule="auto"/>
        <w:jc w:val="left"/>
        <w:rPr>
          <w:rFonts w:ascii="Arial"/>
          <w:i/>
          <w:sz w:val="16"/>
        </w:rPr>
        <w:sectPr>
          <w:pgSz w:w="12240" w:h="15840"/>
          <w:pgMar w:header="744" w:footer="583" w:top="1020" w:bottom="780" w:left="720" w:right="720"/>
        </w:sectPr>
      </w:pPr>
    </w:p>
    <w:p>
      <w:pPr>
        <w:pStyle w:val="BodyText"/>
        <w:spacing w:before="77"/>
        <w:rPr>
          <w:rFonts w:ascii="Arial"/>
          <w:i/>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233062</wp:posOffset>
                </wp:positionV>
                <wp:extent cx="59436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727616;mso-wrap-distance-left:0;mso-wrap-distance-right:0" id="docshape15" coordorigin="1440,367" coordsize="9360,0" path="m1440,367l10800,367e" filled="false" stroked="true" strokeweight="1pt" strokecolor="#000000">
                <v:path arrowok="t"/>
                <v:stroke dashstyle="solid"/>
                <w10:wrap type="topAndBottom"/>
              </v:shape>
            </w:pict>
          </mc:Fallback>
        </mc:AlternateContent>
      </w:r>
      <w:bookmarkStart w:name="Section I: Executive Summary" w:id="4"/>
      <w:bookmarkEnd w:id="4"/>
      <w:r>
        <w:rPr/>
      </w:r>
      <w:r>
        <w:rPr>
          <w:rFonts w:ascii="Arial"/>
          <w:b/>
          <w:sz w:val="28"/>
        </w:rPr>
        <w:t>Section</w:t>
      </w:r>
      <w:r>
        <w:rPr>
          <w:rFonts w:ascii="Arial"/>
          <w:b/>
          <w:spacing w:val="-4"/>
          <w:sz w:val="28"/>
        </w:rPr>
        <w:t> </w:t>
      </w:r>
      <w:r>
        <w:rPr>
          <w:rFonts w:ascii="Arial"/>
          <w:b/>
          <w:sz w:val="28"/>
        </w:rPr>
        <w:t>I:</w:t>
      </w:r>
      <w:r>
        <w:rPr>
          <w:rFonts w:ascii="Arial"/>
          <w:b/>
          <w:spacing w:val="-2"/>
          <w:sz w:val="28"/>
        </w:rPr>
        <w:t> </w:t>
      </w:r>
      <w:r>
        <w:rPr>
          <w:rFonts w:ascii="Arial"/>
          <w:b/>
          <w:sz w:val="28"/>
        </w:rPr>
        <w:t>Executive</w:t>
      </w:r>
      <w:r>
        <w:rPr>
          <w:rFonts w:ascii="Arial"/>
          <w:b/>
          <w:spacing w:val="-2"/>
          <w:sz w:val="28"/>
        </w:rPr>
        <w:t> Summary</w:t>
      </w:r>
    </w:p>
    <w:p>
      <w:pPr>
        <w:pStyle w:val="BodyText"/>
        <w:spacing w:line="249" w:lineRule="auto" w:before="162"/>
        <w:ind w:left="720" w:right="720"/>
        <w:jc w:val="both"/>
      </w:pPr>
      <w:r>
        <w:rPr/>
        <w:t>With its many years of experience and its depth of knowledge in international development, IBRD plays a key role</w:t>
      </w:r>
      <w:r>
        <w:rPr>
          <w:spacing w:val="40"/>
        </w:rPr>
        <w:t> </w:t>
      </w:r>
      <w:r>
        <w:rPr/>
        <w:t>in achieving the World Bank Group’s (WBG</w:t>
      </w:r>
      <w:r>
        <w:rPr>
          <w:vertAlign w:val="superscript"/>
        </w:rPr>
        <w:t>1</w:t>
      </w:r>
      <w:r>
        <w:rPr>
          <w:vertAlign w:val="baseline"/>
        </w:rPr>
        <w:t>) goal of helping countries achieve better development outcomes, by providing countries with loans, guarantees, advisory services, analytical support and other products.</w:t>
      </w:r>
    </w:p>
    <w:p>
      <w:pPr>
        <w:pStyle w:val="BodyText"/>
        <w:spacing w:line="232" w:lineRule="auto" w:before="128"/>
        <w:ind w:left="720" w:right="719"/>
        <w:jc w:val="both"/>
      </w:pPr>
      <w:r>
        <w:rPr/>
        <w:t>IBRD and its affiliated organizations seek to help countries in reducing poverty and inequality, achieve improvements in growth, job creation, governance, the environment, climate adaptation, mitigation and resilience, human capital, infrastructure and debt transparency, among others. To meet its development goals, the WBG supports client countries' efforts to implement programs to improve growth and development outcomes. Further,</w:t>
      </w:r>
      <w:r>
        <w:rPr>
          <w:spacing w:val="40"/>
        </w:rPr>
        <w:t> </w:t>
      </w:r>
      <w:r>
        <w:rPr/>
        <w:t>new and ongoing challenges continue to influence the global outlook. These include high inflation, the rise in food insecurity, growing inequality, global fragility, pandemic risk, Russia's invasion of Ukraine and other geopolitical events, rising debt, climate change, and macroeconomic imbalances. In response, IBRD, as part of the WBG efforts, continues to work with partners at global and country levels to support its borrowing countries in addressing the impact of these multiple crises, to enhance resilience, and lay the groundwork for rebuilding better. To further support these efforts, the Board and Management have been working on an Evolution Roadmap for the WBG to better address the scale of development challenges by adapting the WBG’s vision and mission, strengthening its operating model, and enhancing its financial capacity and model. Management is in the process of advancing agreed actions and developing further proposals, including efforts to expand crisis preparedness, response and recovery and increase private finance mobilization, with particular efforts to scale investment in emerging markets. In addition, as a part of increasing IBRD's financing capacity, in April 2023, the Board approved a reduction in the policy</w:t>
      </w:r>
      <w:r>
        <w:rPr>
          <w:spacing w:val="40"/>
        </w:rPr>
        <w:t> </w:t>
      </w:r>
      <w:r>
        <w:rPr/>
        <w:t>minimum Equity-to-Loans ratio from 20% to 19% and a pilot program for issuing up to $1 billion of Hybrid Capital to capital market investors.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9"/>
      </w:pPr>
      <w:r>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306736</wp:posOffset>
                </wp:positionV>
                <wp:extent cx="25400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2540000" cy="1270"/>
                        </a:xfrm>
                        <a:custGeom>
                          <a:avLst/>
                          <a:gdLst/>
                          <a:ahLst/>
                          <a:cxnLst/>
                          <a:rect l="l" t="t" r="r" b="b"/>
                          <a:pathLst>
                            <a:path w="2540000" h="0">
                              <a:moveTo>
                                <a:pt x="0" y="0"/>
                              </a:moveTo>
                              <a:lnTo>
                                <a:pt x="2540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152472pt;width:200pt;height:.1pt;mso-position-horizontal-relative:page;mso-position-vertical-relative:paragraph;z-index:-15727104;mso-wrap-distance-left:0;mso-wrap-distance-right:0" id="docshape16" coordorigin="1440,483" coordsize="4000,0" path="m1440,483l5440,483e" filled="false" stroked="true" strokeweight="1pt" strokecolor="#000000">
                <v:path arrowok="t"/>
                <v:stroke dashstyle="solid"/>
                <w10:wrap type="topAndBottom"/>
              </v:shape>
            </w:pict>
          </mc:Fallback>
        </mc:AlternateContent>
      </w:r>
    </w:p>
    <w:p>
      <w:pPr>
        <w:spacing w:line="232" w:lineRule="auto" w:before="61"/>
        <w:ind w:left="900" w:right="715" w:hanging="180"/>
        <w:jc w:val="both"/>
        <w:rPr>
          <w:rFonts w:ascii="Arial"/>
          <w:i/>
          <w:sz w:val="16"/>
        </w:rPr>
      </w:pPr>
      <w:r>
        <w:rPr>
          <w:rFonts w:ascii="Arial"/>
          <w:i/>
          <w:sz w:val="16"/>
          <w:vertAlign w:val="superscript"/>
        </w:rPr>
        <w:t>1</w:t>
      </w:r>
      <w:r>
        <w:rPr>
          <w:rFonts w:ascii="Arial"/>
          <w:i/>
          <w:spacing w:val="40"/>
          <w:sz w:val="16"/>
          <w:vertAlign w:val="baseline"/>
        </w:rPr>
        <w:t> </w:t>
      </w:r>
      <w:r>
        <w:rPr>
          <w:rFonts w:ascii="Arial"/>
          <w:i/>
          <w:sz w:val="16"/>
          <w:vertAlign w:val="baseline"/>
        </w:rPr>
        <w:t>The other WBG institutions are the International Development Association (IDA), the International Finance Corporation (IFC), the Multilateral Investment Guarantee Agency (MIGA), and the International Centre for Settlement of Investment Disputes (ICSID). The World Bank consists of IBRD and IDA.</w:t>
      </w:r>
    </w:p>
    <w:p>
      <w:pPr>
        <w:spacing w:after="0" w:line="232" w:lineRule="auto"/>
        <w:jc w:val="both"/>
        <w:rPr>
          <w:rFonts w:ascii="Arial"/>
          <w:i/>
          <w:sz w:val="16"/>
        </w:rPr>
        <w:sectPr>
          <w:pgSz w:w="12240" w:h="15840"/>
          <w:pgMar w:header="744" w:footer="713" w:top="1020" w:bottom="900" w:left="720" w:right="720"/>
        </w:sectPr>
      </w:pPr>
    </w:p>
    <w:p>
      <w:pPr>
        <w:pStyle w:val="BodyText"/>
        <w:spacing w:before="79"/>
        <w:rPr>
          <w:rFonts w:ascii="Arial"/>
          <w:i/>
          <w:sz w:val="24"/>
        </w:rPr>
      </w:pPr>
    </w:p>
    <w:p>
      <w:pPr>
        <w:spacing w:before="0"/>
        <w:ind w:left="720" w:right="0" w:firstLine="0"/>
        <w:jc w:val="both"/>
        <w:rPr>
          <w:rFonts w:ascii="Arial"/>
          <w:b/>
          <w:sz w:val="24"/>
        </w:rPr>
      </w:pPr>
      <w:bookmarkStart w:name="Summary Financial Results" w:id="5"/>
      <w:bookmarkEnd w:id="5"/>
      <w:r>
        <w:rPr/>
      </w:r>
      <w:bookmarkStart w:name="_bookmark1" w:id="6"/>
      <w:bookmarkEnd w:id="6"/>
      <w:r>
        <w:rPr/>
      </w:r>
      <w:r>
        <w:rPr>
          <w:rFonts w:ascii="Arial"/>
          <w:b/>
          <w:sz w:val="24"/>
        </w:rPr>
        <w:t>Summary</w:t>
      </w:r>
      <w:r>
        <w:rPr>
          <w:rFonts w:ascii="Arial"/>
          <w:b/>
          <w:spacing w:val="-4"/>
          <w:sz w:val="24"/>
        </w:rPr>
        <w:t> </w:t>
      </w:r>
      <w:r>
        <w:rPr>
          <w:rFonts w:ascii="Arial"/>
          <w:b/>
          <w:sz w:val="24"/>
        </w:rPr>
        <w:t>Financial</w:t>
      </w:r>
      <w:r>
        <w:rPr>
          <w:rFonts w:ascii="Arial"/>
          <w:b/>
          <w:spacing w:val="-3"/>
          <w:sz w:val="24"/>
        </w:rPr>
        <w:t> </w:t>
      </w:r>
      <w:r>
        <w:rPr>
          <w:rFonts w:ascii="Arial"/>
          <w:b/>
          <w:spacing w:val="-2"/>
          <w:sz w:val="24"/>
        </w:rPr>
        <w:t>Results</w:t>
      </w:r>
    </w:p>
    <w:p>
      <w:pPr>
        <w:pStyle w:val="Heading4"/>
        <w:spacing w:before="126"/>
      </w:pPr>
      <w:r>
        <w:rPr/>
        <w:t>Net</w:t>
      </w:r>
      <w:r>
        <w:rPr>
          <w:spacing w:val="-1"/>
        </w:rPr>
        <w:t> </w:t>
      </w:r>
      <w:r>
        <w:rPr>
          <w:spacing w:val="-2"/>
        </w:rPr>
        <w:t>Income</w:t>
      </w:r>
    </w:p>
    <w:p>
      <w:pPr>
        <w:pStyle w:val="BodyText"/>
        <w:spacing w:line="232" w:lineRule="auto" w:before="145"/>
        <w:ind w:left="720" w:right="718"/>
        <w:jc w:val="both"/>
      </w:pPr>
      <w:r>
        <w:rPr/>
        <w:t>IBRD recorded net income of $1,144 million for the fiscal year ended June 30, 2023, a decrease of $2,846 million, compared with net income of $3,990 million for the fiscal year ended June 30, 2022. The decrease in FY23 was primarily due to unrealized mark-to-market losses on IBRD's non-trading portfolios in FY23, compared to</w:t>
      </w:r>
      <w:r>
        <w:rPr>
          <w:spacing w:val="40"/>
        </w:rPr>
        <w:t> </w:t>
      </w:r>
      <w:r>
        <w:rPr/>
        <w:t>unrealized mark-to-market gains in FY22, partially offset by higher net loan interest revenue. Given IBRD’s intention to maintain its non-trading portfolio positions to maturity, unrealized mark-to-market gains and losses are not included in IBRD’s allocable income.</w:t>
      </w:r>
    </w:p>
    <w:p>
      <w:pPr>
        <w:pStyle w:val="Heading4"/>
        <w:spacing w:before="217"/>
      </w:pPr>
      <w:r>
        <w:rPr/>
        <w:t>Allocable</w:t>
      </w:r>
      <w:r>
        <w:rPr>
          <w:spacing w:val="-2"/>
        </w:rPr>
        <w:t> Income</w:t>
      </w:r>
    </w:p>
    <w:p>
      <w:pPr>
        <w:pStyle w:val="BodyText"/>
        <w:spacing w:line="232" w:lineRule="auto" w:before="145"/>
        <w:ind w:left="720" w:right="718"/>
        <w:jc w:val="both"/>
      </w:pPr>
      <w:r>
        <w:rPr/>
        <w:t>Allocable income is the measure IBRD uses for making net income allocation decisions. For the fiscal year ended June 30, 2023, allocable income was $1,312 million, compared with $806 million for the fiscal year ended June 30, 2022. The increase in allocable income was mainly due to higher net revenue on interest earning assets, primarily reflecting the increase in the average balance of loans outstanding and the impact from the increase in interest rates during the year.</w:t>
      </w:r>
    </w:p>
    <w:p>
      <w:pPr>
        <w:pStyle w:val="BodyText"/>
        <w:spacing w:before="7"/>
      </w:pPr>
    </w:p>
    <w:p>
      <w:pPr>
        <w:spacing w:before="0"/>
        <w:ind w:left="720"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4"/>
        <w:rPr>
          <w:rFonts w:ascii="Arial"/>
          <w:i/>
          <w:sz w:val="12"/>
        </w:rPr>
      </w:pPr>
    </w:p>
    <w:p>
      <w:pPr>
        <w:pStyle w:val="BodyText"/>
        <w:spacing w:after="0"/>
        <w:rPr>
          <w:rFonts w:ascii="Arial"/>
          <w:i/>
          <w:sz w:val="12"/>
        </w:rPr>
        <w:sectPr>
          <w:pgSz w:w="12240" w:h="15840"/>
          <w:pgMar w:header="744" w:footer="583" w:top="1020" w:bottom="780" w:left="720" w:right="720"/>
        </w:sect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21"/>
        <w:rPr>
          <w:rFonts w:ascii="Arial"/>
          <w:i/>
          <w:sz w:val="14"/>
        </w:rPr>
      </w:pPr>
    </w:p>
    <w:p>
      <w:pPr>
        <w:spacing w:before="1"/>
        <w:ind w:left="0" w:right="0" w:firstLine="0"/>
        <w:jc w:val="right"/>
        <w:rPr>
          <w:rFonts w:ascii="Arial MT"/>
          <w:sz w:val="14"/>
        </w:rPr>
      </w:pPr>
      <w:r>
        <w:rPr>
          <w:rFonts w:ascii="Arial MT"/>
          <w:color w:val="585858"/>
          <w:spacing w:val="-2"/>
          <w:sz w:val="14"/>
        </w:rPr>
        <w:t>5,000</w:t>
      </w:r>
    </w:p>
    <w:p>
      <w:pPr>
        <w:spacing w:before="34"/>
        <w:ind w:left="0" w:right="0" w:firstLine="0"/>
        <w:jc w:val="right"/>
        <w:rPr>
          <w:rFonts w:ascii="Arial MT"/>
          <w:sz w:val="14"/>
        </w:rPr>
      </w:pPr>
      <w:r>
        <w:rPr>
          <w:rFonts w:ascii="Arial MT"/>
          <w:color w:val="585858"/>
          <w:spacing w:val="-2"/>
          <w:sz w:val="14"/>
        </w:rPr>
        <w:t>4,000</w:t>
      </w:r>
    </w:p>
    <w:p>
      <w:pPr>
        <w:spacing w:before="34"/>
        <w:ind w:left="0" w:right="0" w:firstLine="0"/>
        <w:jc w:val="right"/>
        <w:rPr>
          <w:rFonts w:ascii="Arial MT"/>
          <w:sz w:val="14"/>
        </w:rPr>
      </w:pPr>
      <w:r>
        <w:rPr>
          <w:rFonts w:ascii="Arial MT"/>
          <w:color w:val="585858"/>
          <w:spacing w:val="-2"/>
          <w:sz w:val="14"/>
        </w:rPr>
        <w:t>3,000</w:t>
      </w:r>
    </w:p>
    <w:p>
      <w:pPr>
        <w:spacing w:before="34"/>
        <w:ind w:left="0" w:right="0" w:firstLine="0"/>
        <w:jc w:val="right"/>
        <w:rPr>
          <w:rFonts w:ascii="Arial MT"/>
          <w:sz w:val="14"/>
        </w:rPr>
      </w:pPr>
      <w:r>
        <w:rPr>
          <w:rFonts w:ascii="Arial MT"/>
          <w:color w:val="585858"/>
          <w:spacing w:val="-2"/>
          <w:sz w:val="14"/>
        </w:rPr>
        <w:t>2,000</w:t>
      </w:r>
    </w:p>
    <w:p>
      <w:pPr>
        <w:spacing w:before="34"/>
        <w:ind w:left="0" w:right="0" w:firstLine="0"/>
        <w:jc w:val="right"/>
        <w:rPr>
          <w:rFonts w:ascii="Arial MT"/>
          <w:sz w:val="14"/>
        </w:rPr>
      </w:pPr>
      <w:r>
        <w:rPr>
          <w:rFonts w:ascii="Arial MT"/>
          <w:color w:val="585858"/>
          <w:spacing w:val="-2"/>
          <w:sz w:val="14"/>
        </w:rPr>
        <w:t>1,000</w:t>
      </w:r>
    </w:p>
    <w:p>
      <w:pPr>
        <w:spacing w:before="49"/>
        <w:ind w:left="0" w:right="0" w:firstLine="0"/>
        <w:jc w:val="right"/>
        <w:rPr>
          <w:rFonts w:ascii="Arial MT"/>
          <w:sz w:val="14"/>
        </w:rPr>
      </w:pPr>
      <w:r>
        <w:rPr>
          <w:rFonts w:ascii="Arial MT"/>
          <w:color w:val="585858"/>
          <w:spacing w:val="-10"/>
          <w:sz w:val="14"/>
        </w:rPr>
        <w:t>0</w:t>
      </w:r>
    </w:p>
    <w:p>
      <w:pPr>
        <w:spacing w:before="34"/>
        <w:ind w:left="0" w:right="0" w:firstLine="0"/>
        <w:jc w:val="right"/>
        <w:rPr>
          <w:rFonts w:ascii="Arial MT"/>
          <w:sz w:val="14"/>
        </w:rPr>
      </w:pPr>
      <w:r>
        <w:rPr>
          <w:rFonts w:ascii="Arial MT"/>
          <w:color w:val="585858"/>
          <w:sz w:val="14"/>
        </w:rPr>
        <w:t>-</w:t>
      </w:r>
      <w:r>
        <w:rPr>
          <w:rFonts w:ascii="Arial MT"/>
          <w:color w:val="585858"/>
          <w:spacing w:val="-2"/>
          <w:sz w:val="14"/>
        </w:rPr>
        <w:t>1,000</w:t>
      </w:r>
    </w:p>
    <w:p>
      <w:pPr>
        <w:spacing w:line="244" w:lineRule="auto" w:before="96"/>
        <w:ind w:left="394" w:right="7976" w:firstLine="0"/>
        <w:jc w:val="left"/>
        <w:rPr>
          <w:rFonts w:ascii="Arial MT"/>
          <w:sz w:val="14"/>
        </w:rPr>
      </w:pPr>
      <w:r>
        <w:rPr/>
        <w:br w:type="column"/>
      </w:r>
      <w:r>
        <w:rPr>
          <w:rFonts w:ascii="Arial MT"/>
          <w:color w:val="585858"/>
          <w:sz w:val="14"/>
        </w:rPr>
        <w:t>Allocable</w:t>
      </w:r>
      <w:r>
        <w:rPr>
          <w:rFonts w:ascii="Arial MT"/>
          <w:color w:val="585858"/>
          <w:spacing w:val="-10"/>
          <w:sz w:val="14"/>
        </w:rPr>
        <w:t> </w:t>
      </w:r>
      <w:r>
        <w:rPr>
          <w:rFonts w:ascii="Arial MT"/>
          <w:color w:val="585858"/>
          <w:sz w:val="14"/>
        </w:rPr>
        <w:t>income</w:t>
      </w:r>
      <w:r>
        <w:rPr>
          <w:rFonts w:ascii="Arial MT"/>
          <w:color w:val="585858"/>
          <w:spacing w:val="40"/>
          <w:sz w:val="14"/>
        </w:rPr>
        <w:t> </w:t>
      </w:r>
      <w:r>
        <w:rPr>
          <w:rFonts w:ascii="Arial MT"/>
          <w:color w:val="585858"/>
          <w:sz w:val="14"/>
        </w:rPr>
        <w:t>Net</w:t>
      </w:r>
      <w:r>
        <w:rPr>
          <w:rFonts w:ascii="Arial MT"/>
          <w:color w:val="585858"/>
          <w:spacing w:val="-4"/>
          <w:sz w:val="14"/>
        </w:rPr>
        <w:t> </w:t>
      </w:r>
      <w:r>
        <w:rPr>
          <w:rFonts w:ascii="Arial MT"/>
          <w:color w:val="585858"/>
          <w:spacing w:val="-2"/>
          <w:sz w:val="14"/>
        </w:rPr>
        <w:t>Income/Loss</w:t>
      </w:r>
    </w:p>
    <w:p>
      <w:pPr>
        <w:spacing w:before="1"/>
        <w:ind w:left="394"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4272">
                <wp:simplePos x="0" y="0"/>
                <wp:positionH relativeFrom="page">
                  <wp:posOffset>1200150</wp:posOffset>
                </wp:positionH>
                <wp:positionV relativeFrom="paragraph">
                  <wp:posOffset>-161269</wp:posOffset>
                </wp:positionV>
                <wp:extent cx="333375" cy="1905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33375" cy="19050"/>
                          <a:chExt cx="333375" cy="19050"/>
                        </a:xfrm>
                      </wpg:grpSpPr>
                      <wps:wsp>
                        <wps:cNvPr id="21" name="Graphic 21"/>
                        <wps:cNvSpPr/>
                        <wps:spPr>
                          <a:xfrm>
                            <a:off x="0" y="9525"/>
                            <a:ext cx="333375" cy="1270"/>
                          </a:xfrm>
                          <a:custGeom>
                            <a:avLst/>
                            <a:gdLst/>
                            <a:ahLst/>
                            <a:cxnLst/>
                            <a:rect l="l" t="t" r="r" b="b"/>
                            <a:pathLst>
                              <a:path w="333375" h="0">
                                <a:moveTo>
                                  <a:pt x="0" y="0"/>
                                </a:moveTo>
                                <a:lnTo>
                                  <a:pt x="333375" y="0"/>
                                </a:lnTo>
                              </a:path>
                            </a:pathLst>
                          </a:custGeom>
                          <a:ln w="19050">
                            <a:solidFill>
                              <a:srgbClr val="242424"/>
                            </a:solidFill>
                            <a:prstDash val="solid"/>
                          </a:ln>
                        </wps:spPr>
                        <wps:bodyPr wrap="square" lIns="0" tIns="0" rIns="0" bIns="0" rtlCol="0">
                          <a:prstTxWarp prst="textNoShape">
                            <a:avLst/>
                          </a:prstTxWarp>
                          <a:noAutofit/>
                        </wps:bodyPr>
                      </wps:wsp>
                      <wps:wsp>
                        <wps:cNvPr id="22" name="Graphic 22"/>
                        <wps:cNvSpPr/>
                        <wps:spPr>
                          <a:xfrm>
                            <a:off x="171450" y="9525"/>
                            <a:ext cx="1270" cy="1270"/>
                          </a:xfrm>
                          <a:custGeom>
                            <a:avLst/>
                            <a:gdLst/>
                            <a:ahLst/>
                            <a:cxnLst/>
                            <a:rect l="l" t="t" r="r" b="b"/>
                            <a:pathLst>
                              <a:path w="0" h="0">
                                <a:moveTo>
                                  <a:pt x="0" y="0"/>
                                </a:moveTo>
                                <a:lnTo>
                                  <a:pt x="0" y="0"/>
                                </a:lnTo>
                              </a:path>
                            </a:pathLst>
                          </a:custGeom>
                          <a:solidFill>
                            <a:srgbClr val="242424"/>
                          </a:solidFill>
                        </wps:spPr>
                        <wps:bodyPr wrap="square" lIns="0" tIns="0" rIns="0" bIns="0" rtlCol="0">
                          <a:prstTxWarp prst="textNoShape">
                            <a:avLst/>
                          </a:prstTxWarp>
                          <a:noAutofit/>
                        </wps:bodyPr>
                      </wps:wsp>
                    </wpg:wgp>
                  </a:graphicData>
                </a:graphic>
              </wp:anchor>
            </w:drawing>
          </mc:Choice>
          <mc:Fallback>
            <w:pict>
              <v:group style="position:absolute;margin-left:94.5pt;margin-top:-12.698359pt;width:26.25pt;height:1.5pt;mso-position-horizontal-relative:page;mso-position-vertical-relative:paragraph;z-index:15734272" id="docshapegroup17" coordorigin="1890,-254" coordsize="525,30">
                <v:line style="position:absolute" from="1890,-239" to="2415,-239" stroked="true" strokeweight="1.5pt" strokecolor="#242424">
                  <v:stroke dashstyle="solid"/>
                </v:line>
                <v:shape style="position:absolute;left:2160;top:-239;width:2;height:2" id="docshape18" coordorigin="2160,-239" coordsize="0,0" path="m2160,-239l2160,-239e" filled="true" fillcolor="#242424" stroked="false">
                  <v:path arrowok="t"/>
                  <v:fill type="solid"/>
                </v:shape>
                <w10:wrap type="none"/>
              </v:group>
            </w:pict>
          </mc:Fallback>
        </mc:AlternateContent>
      </w:r>
      <w:r>
        <w:rPr>
          <w:rFonts w:ascii="Arial MT"/>
          <w:sz w:val="14"/>
        </w:rPr>
        <mc:AlternateContent>
          <mc:Choice Requires="wps">
            <w:drawing>
              <wp:anchor distT="0" distB="0" distL="0" distR="0" allowOverlap="1" layoutInCell="1" locked="0" behindDoc="0" simplePos="0" relativeHeight="15734784">
                <wp:simplePos x="0" y="0"/>
                <wp:positionH relativeFrom="page">
                  <wp:posOffset>1200150</wp:posOffset>
                </wp:positionH>
                <wp:positionV relativeFrom="paragraph">
                  <wp:posOffset>-56494</wp:posOffset>
                </wp:positionV>
                <wp:extent cx="333375" cy="190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3375" cy="19050"/>
                          <a:chExt cx="333375" cy="19050"/>
                        </a:xfrm>
                      </wpg:grpSpPr>
                      <wps:wsp>
                        <wps:cNvPr id="24" name="Graphic 24"/>
                        <wps:cNvSpPr/>
                        <wps:spPr>
                          <a:xfrm>
                            <a:off x="0" y="9525"/>
                            <a:ext cx="333375" cy="1270"/>
                          </a:xfrm>
                          <a:custGeom>
                            <a:avLst/>
                            <a:gdLst/>
                            <a:ahLst/>
                            <a:cxnLst/>
                            <a:rect l="l" t="t" r="r" b="b"/>
                            <a:pathLst>
                              <a:path w="333375" h="0">
                                <a:moveTo>
                                  <a:pt x="0" y="0"/>
                                </a:moveTo>
                                <a:lnTo>
                                  <a:pt x="333375" y="0"/>
                                </a:lnTo>
                              </a:path>
                            </a:pathLst>
                          </a:custGeom>
                          <a:ln w="19050">
                            <a:solidFill>
                              <a:srgbClr val="959595"/>
                            </a:solidFill>
                            <a:prstDash val="solid"/>
                          </a:ln>
                        </wps:spPr>
                        <wps:bodyPr wrap="square" lIns="0" tIns="0" rIns="0" bIns="0" rtlCol="0">
                          <a:prstTxWarp prst="textNoShape">
                            <a:avLst/>
                          </a:prstTxWarp>
                          <a:noAutofit/>
                        </wps:bodyPr>
                      </wps:wsp>
                      <wps:wsp>
                        <wps:cNvPr id="25" name="Graphic 25"/>
                        <wps:cNvSpPr/>
                        <wps:spPr>
                          <a:xfrm>
                            <a:off x="171450" y="9525"/>
                            <a:ext cx="1270" cy="1270"/>
                          </a:xfrm>
                          <a:custGeom>
                            <a:avLst/>
                            <a:gdLst/>
                            <a:ahLst/>
                            <a:cxnLst/>
                            <a:rect l="l" t="t" r="r" b="b"/>
                            <a:pathLst>
                              <a:path w="0" h="0">
                                <a:moveTo>
                                  <a:pt x="0" y="0"/>
                                </a:moveTo>
                                <a:lnTo>
                                  <a:pt x="0" y="0"/>
                                </a:lnTo>
                              </a:path>
                            </a:pathLst>
                          </a:custGeom>
                          <a:solidFill>
                            <a:srgbClr val="959595"/>
                          </a:solidFill>
                        </wps:spPr>
                        <wps:bodyPr wrap="square" lIns="0" tIns="0" rIns="0" bIns="0" rtlCol="0">
                          <a:prstTxWarp prst="textNoShape">
                            <a:avLst/>
                          </a:prstTxWarp>
                          <a:noAutofit/>
                        </wps:bodyPr>
                      </wps:wsp>
                    </wpg:wgp>
                  </a:graphicData>
                </a:graphic>
              </wp:anchor>
            </w:drawing>
          </mc:Choice>
          <mc:Fallback>
            <w:pict>
              <v:group style="position:absolute;margin-left:94.5pt;margin-top:-4.448359pt;width:26.25pt;height:1.5pt;mso-position-horizontal-relative:page;mso-position-vertical-relative:paragraph;z-index:15734784" id="docshapegroup19" coordorigin="1890,-89" coordsize="525,30">
                <v:line style="position:absolute" from="1890,-74" to="2415,-74" stroked="true" strokeweight="1.5pt" strokecolor="#959595">
                  <v:stroke dashstyle="solid"/>
                </v:line>
                <v:shape style="position:absolute;left:2160;top:-74;width:2;height:2" id="docshape20" coordorigin="2160,-74" coordsize="0,0" path="m2160,-74l2160,-74e" filled="true" fillcolor="#959595" stroked="false">
                  <v:path arrowok="t"/>
                  <v:fill type="solid"/>
                </v:shape>
                <w10:wrap type="none"/>
              </v:group>
            </w:pict>
          </mc:Fallback>
        </mc:AlternateContent>
      </w:r>
      <w:r>
        <w:rPr>
          <w:rFonts w:ascii="Arial MT"/>
          <w:sz w:val="14"/>
        </w:rPr>
        <mc:AlternateContent>
          <mc:Choice Requires="wps">
            <w:drawing>
              <wp:anchor distT="0" distB="0" distL="0" distR="0" allowOverlap="1" layoutInCell="1" locked="0" behindDoc="0" simplePos="0" relativeHeight="15735296">
                <wp:simplePos x="0" y="0"/>
                <wp:positionH relativeFrom="page">
                  <wp:posOffset>1200150</wp:posOffset>
                </wp:positionH>
                <wp:positionV relativeFrom="paragraph">
                  <wp:posOffset>48280</wp:posOffset>
                </wp:positionV>
                <wp:extent cx="333375" cy="1905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33375" cy="19050"/>
                          <a:chExt cx="333375" cy="19050"/>
                        </a:xfrm>
                      </wpg:grpSpPr>
                      <wps:wsp>
                        <wps:cNvPr id="27" name="Graphic 27"/>
                        <wps:cNvSpPr/>
                        <wps:spPr>
                          <a:xfrm>
                            <a:off x="0" y="9525"/>
                            <a:ext cx="333375" cy="1270"/>
                          </a:xfrm>
                          <a:custGeom>
                            <a:avLst/>
                            <a:gdLst/>
                            <a:ahLst/>
                            <a:cxnLst/>
                            <a:rect l="l" t="t" r="r" b="b"/>
                            <a:pathLst>
                              <a:path w="333375" h="0">
                                <a:moveTo>
                                  <a:pt x="0" y="0"/>
                                </a:moveTo>
                                <a:lnTo>
                                  <a:pt x="333375" y="0"/>
                                </a:lnTo>
                              </a:path>
                            </a:pathLst>
                          </a:custGeom>
                          <a:ln w="19050">
                            <a:solidFill>
                              <a:srgbClr val="585858"/>
                            </a:solidFill>
                            <a:prstDash val="sysDash"/>
                          </a:ln>
                        </wps:spPr>
                        <wps:bodyPr wrap="square" lIns="0" tIns="0" rIns="0" bIns="0" rtlCol="0">
                          <a:prstTxWarp prst="textNoShape">
                            <a:avLst/>
                          </a:prstTxWarp>
                          <a:noAutofit/>
                        </wps:bodyPr>
                      </wps:wsp>
                      <wps:wsp>
                        <wps:cNvPr id="28" name="Graphic 28"/>
                        <wps:cNvSpPr/>
                        <wps:spPr>
                          <a:xfrm>
                            <a:off x="171450" y="9525"/>
                            <a:ext cx="1270" cy="1270"/>
                          </a:xfrm>
                          <a:custGeom>
                            <a:avLst/>
                            <a:gdLst/>
                            <a:ahLst/>
                            <a:cxnLst/>
                            <a:rect l="l" t="t" r="r" b="b"/>
                            <a:pathLst>
                              <a:path w="0" h="0">
                                <a:moveTo>
                                  <a:pt x="0" y="0"/>
                                </a:moveTo>
                                <a:lnTo>
                                  <a:pt x="0" y="0"/>
                                </a:lnTo>
                              </a:path>
                            </a:pathLst>
                          </a:custGeom>
                          <a:solidFill>
                            <a:srgbClr val="585858"/>
                          </a:solidFill>
                        </wps:spPr>
                        <wps:bodyPr wrap="square" lIns="0" tIns="0" rIns="0" bIns="0" rtlCol="0">
                          <a:prstTxWarp prst="textNoShape">
                            <a:avLst/>
                          </a:prstTxWarp>
                          <a:noAutofit/>
                        </wps:bodyPr>
                      </wps:wsp>
                    </wpg:wgp>
                  </a:graphicData>
                </a:graphic>
              </wp:anchor>
            </w:drawing>
          </mc:Choice>
          <mc:Fallback>
            <w:pict>
              <v:group style="position:absolute;margin-left:94.5pt;margin-top:3.80164pt;width:26.25pt;height:1.5pt;mso-position-horizontal-relative:page;mso-position-vertical-relative:paragraph;z-index:15735296" id="docshapegroup21" coordorigin="1890,76" coordsize="525,30">
                <v:line style="position:absolute" from="1890,91" to="2415,91" stroked="true" strokeweight="1.5pt" strokecolor="#585858">
                  <v:stroke dashstyle="shortdash"/>
                </v:line>
                <v:shape style="position:absolute;left:2160;top:91;width:2;height:2" id="docshape22" coordorigin="2160,91" coordsize="0,0" path="m2160,91l2160,91e" filled="true" fillcolor="#585858" stroked="false">
                  <v:path arrowok="t"/>
                  <v:fill type="solid"/>
                </v:shape>
                <w10:wrap type="none"/>
              </v:group>
            </w:pict>
          </mc:Fallback>
        </mc:AlternateContent>
      </w:r>
      <w:r>
        <w:rPr>
          <w:rFonts w:ascii="Arial MT"/>
          <w:color w:val="585858"/>
          <w:sz w:val="14"/>
        </w:rPr>
        <w:t>Unrealized</w:t>
      </w:r>
      <w:r>
        <w:rPr>
          <w:rFonts w:ascii="Arial MT"/>
          <w:color w:val="585858"/>
          <w:spacing w:val="-8"/>
          <w:sz w:val="14"/>
        </w:rPr>
        <w:t> </w:t>
      </w:r>
      <w:r>
        <w:rPr>
          <w:rFonts w:ascii="Arial MT"/>
          <w:color w:val="585858"/>
          <w:sz w:val="14"/>
        </w:rPr>
        <w:t>gains/losses</w:t>
      </w:r>
      <w:r>
        <w:rPr>
          <w:rFonts w:ascii="Arial MT"/>
          <w:color w:val="585858"/>
          <w:spacing w:val="-5"/>
          <w:sz w:val="14"/>
        </w:rPr>
        <w:t> </w:t>
      </w:r>
      <w:r>
        <w:rPr>
          <w:rFonts w:ascii="Arial MT"/>
          <w:color w:val="585858"/>
          <w:sz w:val="14"/>
        </w:rPr>
        <w:t>on</w:t>
      </w:r>
      <w:r>
        <w:rPr>
          <w:rFonts w:ascii="Arial MT"/>
          <w:color w:val="585858"/>
          <w:spacing w:val="-6"/>
          <w:sz w:val="14"/>
        </w:rPr>
        <w:t> </w:t>
      </w:r>
      <w:r>
        <w:rPr>
          <w:rFonts w:ascii="Arial MT"/>
          <w:color w:val="585858"/>
          <w:sz w:val="14"/>
        </w:rPr>
        <w:t>non-trading</w:t>
      </w:r>
      <w:r>
        <w:rPr>
          <w:rFonts w:ascii="Arial MT"/>
          <w:color w:val="585858"/>
          <w:spacing w:val="-5"/>
          <w:sz w:val="14"/>
        </w:rPr>
        <w:t> </w:t>
      </w:r>
      <w:r>
        <w:rPr>
          <w:rFonts w:ascii="Arial MT"/>
          <w:color w:val="585858"/>
          <w:spacing w:val="-2"/>
          <w:sz w:val="14"/>
        </w:rPr>
        <w:t>portfolios</w:t>
      </w:r>
    </w:p>
    <w:p>
      <w:pPr>
        <w:pStyle w:val="BodyText"/>
        <w:spacing w:before="4"/>
        <w:rPr>
          <w:rFonts w:ascii="Arial MT"/>
          <w:sz w:val="9"/>
        </w:rPr>
      </w:pPr>
      <w:r>
        <w:rPr>
          <w:rFonts w:ascii="Arial MT"/>
          <w:sz w:val="9"/>
        </w:rPr>
        <mc:AlternateContent>
          <mc:Choice Requires="wps">
            <w:drawing>
              <wp:anchor distT="0" distB="0" distL="0" distR="0" allowOverlap="1" layoutInCell="1" locked="0" behindDoc="1" simplePos="0" relativeHeight="487589888">
                <wp:simplePos x="0" y="0"/>
                <wp:positionH relativeFrom="page">
                  <wp:posOffset>1447800</wp:posOffset>
                </wp:positionH>
                <wp:positionV relativeFrom="paragraph">
                  <wp:posOffset>83532</wp:posOffset>
                </wp:positionV>
                <wp:extent cx="218122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114pt;margin-top:6.577324pt;width:171.75pt;height:.1pt;mso-position-horizontal-relative:page;mso-position-vertical-relative:paragraph;z-index:-15726592;mso-wrap-distance-left:0;mso-wrap-distance-right:0" id="docshape23" coordorigin="2280,132" coordsize="3435,0" path="m2280,132l5715,132e" filled="false" stroked="true" strokeweight=".75pt" strokecolor="#e6e6e6">
                <v:path arrowok="t"/>
                <v:stroke dashstyle="solid"/>
                <w10:wrap type="topAndBottom"/>
              </v:shape>
            </w:pict>
          </mc:Fallback>
        </mc:AlternateContent>
      </w:r>
      <w:r>
        <w:rPr>
          <w:rFonts w:ascii="Arial MT"/>
          <w:sz w:val="9"/>
        </w:rPr>
        <mc:AlternateContent>
          <mc:Choice Requires="wps">
            <w:drawing>
              <wp:anchor distT="0" distB="0" distL="0" distR="0" allowOverlap="1" layoutInCell="1" locked="0" behindDoc="1" simplePos="0" relativeHeight="487590400">
                <wp:simplePos x="0" y="0"/>
                <wp:positionH relativeFrom="page">
                  <wp:posOffset>1447800</wp:posOffset>
                </wp:positionH>
                <wp:positionV relativeFrom="paragraph">
                  <wp:posOffset>206052</wp:posOffset>
                </wp:positionV>
                <wp:extent cx="2181225" cy="66548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2181225" cy="665480"/>
                          <a:chExt cx="2181225" cy="665480"/>
                        </a:xfrm>
                      </wpg:grpSpPr>
                      <wps:wsp>
                        <wps:cNvPr id="31" name="Graphic 31"/>
                        <wps:cNvSpPr/>
                        <wps:spPr>
                          <a:xfrm>
                            <a:off x="0" y="10829"/>
                            <a:ext cx="2181225" cy="628650"/>
                          </a:xfrm>
                          <a:custGeom>
                            <a:avLst/>
                            <a:gdLst/>
                            <a:ahLst/>
                            <a:cxnLst/>
                            <a:rect l="l" t="t" r="r" b="b"/>
                            <a:pathLst>
                              <a:path w="2181225" h="628650">
                                <a:moveTo>
                                  <a:pt x="0" y="628650"/>
                                </a:moveTo>
                                <a:lnTo>
                                  <a:pt x="2181225" y="628650"/>
                                </a:lnTo>
                              </a:path>
                              <a:path w="2181225" h="628650">
                                <a:moveTo>
                                  <a:pt x="0" y="504825"/>
                                </a:moveTo>
                                <a:lnTo>
                                  <a:pt x="2181225" y="504825"/>
                                </a:lnTo>
                              </a:path>
                              <a:path w="2181225" h="628650">
                                <a:moveTo>
                                  <a:pt x="0" y="381000"/>
                                </a:moveTo>
                                <a:lnTo>
                                  <a:pt x="2181225" y="381000"/>
                                </a:lnTo>
                              </a:path>
                              <a:path w="2181225" h="628650">
                                <a:moveTo>
                                  <a:pt x="0" y="257175"/>
                                </a:moveTo>
                                <a:lnTo>
                                  <a:pt x="2181225" y="257175"/>
                                </a:lnTo>
                              </a:path>
                              <a:path w="2181225" h="628650">
                                <a:moveTo>
                                  <a:pt x="0" y="123825"/>
                                </a:moveTo>
                                <a:lnTo>
                                  <a:pt x="2181225" y="123825"/>
                                </a:lnTo>
                              </a:path>
                              <a:path w="2181225" h="62865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wps:wsp>
                        <wps:cNvPr id="32" name="Graphic 32"/>
                        <wps:cNvSpPr/>
                        <wps:spPr>
                          <a:xfrm>
                            <a:off x="218122" y="338319"/>
                            <a:ext cx="1744980" cy="73025"/>
                          </a:xfrm>
                          <a:custGeom>
                            <a:avLst/>
                            <a:gdLst/>
                            <a:ahLst/>
                            <a:cxnLst/>
                            <a:rect l="l" t="t" r="r" b="b"/>
                            <a:pathLst>
                              <a:path w="1744980" h="73025">
                                <a:moveTo>
                                  <a:pt x="0" y="24070"/>
                                </a:moveTo>
                                <a:lnTo>
                                  <a:pt x="436244" y="0"/>
                                </a:lnTo>
                                <a:lnTo>
                                  <a:pt x="872489" y="16761"/>
                                </a:lnTo>
                                <a:lnTo>
                                  <a:pt x="1308734" y="72463"/>
                                </a:lnTo>
                                <a:lnTo>
                                  <a:pt x="1744979" y="8695"/>
                                </a:lnTo>
                              </a:path>
                            </a:pathLst>
                          </a:custGeom>
                          <a:ln w="19050">
                            <a:solidFill>
                              <a:srgbClr val="242424"/>
                            </a:solidFill>
                            <a:prstDash val="solid"/>
                          </a:ln>
                        </wps:spPr>
                        <wps:bodyPr wrap="square" lIns="0" tIns="0" rIns="0" bIns="0" rtlCol="0">
                          <a:prstTxWarp prst="textNoShape">
                            <a:avLst/>
                          </a:prstTxWarp>
                          <a:noAutofit/>
                        </wps:bodyPr>
                      </wps:wsp>
                      <wps:wsp>
                        <wps:cNvPr id="33" name="Graphic 33"/>
                        <wps:cNvSpPr/>
                        <wps:spPr>
                          <a:xfrm>
                            <a:off x="218122" y="9525"/>
                            <a:ext cx="1744980" cy="508634"/>
                          </a:xfrm>
                          <a:custGeom>
                            <a:avLst/>
                            <a:gdLst/>
                            <a:ahLst/>
                            <a:cxnLst/>
                            <a:rect l="l" t="t" r="r" b="b"/>
                            <a:pathLst>
                              <a:path w="1744980" h="508634">
                                <a:moveTo>
                                  <a:pt x="0" y="439190"/>
                                </a:moveTo>
                                <a:lnTo>
                                  <a:pt x="43624" y="449961"/>
                                </a:lnTo>
                                <a:lnTo>
                                  <a:pt x="152685" y="473657"/>
                                </a:lnTo>
                                <a:lnTo>
                                  <a:pt x="294465" y="497354"/>
                                </a:lnTo>
                                <a:lnTo>
                                  <a:pt x="436244" y="508125"/>
                                </a:lnTo>
                                <a:lnTo>
                                  <a:pt x="481803" y="504308"/>
                                </a:lnTo>
                                <a:lnTo>
                                  <a:pt x="523821" y="493515"/>
                                </a:lnTo>
                                <a:lnTo>
                                  <a:pt x="563087" y="476738"/>
                                </a:lnTo>
                                <a:lnTo>
                                  <a:pt x="600385" y="454965"/>
                                </a:lnTo>
                                <a:lnTo>
                                  <a:pt x="636504" y="429188"/>
                                </a:lnTo>
                                <a:lnTo>
                                  <a:pt x="672230" y="400396"/>
                                </a:lnTo>
                                <a:lnTo>
                                  <a:pt x="708349" y="369580"/>
                                </a:lnTo>
                                <a:lnTo>
                                  <a:pt x="745647" y="337729"/>
                                </a:lnTo>
                                <a:lnTo>
                                  <a:pt x="784913" y="305834"/>
                                </a:lnTo>
                                <a:lnTo>
                                  <a:pt x="826931" y="274884"/>
                                </a:lnTo>
                                <a:lnTo>
                                  <a:pt x="872489" y="245870"/>
                                </a:lnTo>
                                <a:lnTo>
                                  <a:pt x="918048" y="217238"/>
                                </a:lnTo>
                                <a:lnTo>
                                  <a:pt x="960066" y="187335"/>
                                </a:lnTo>
                                <a:lnTo>
                                  <a:pt x="999332" y="157003"/>
                                </a:lnTo>
                                <a:lnTo>
                                  <a:pt x="1036630" y="127085"/>
                                </a:lnTo>
                                <a:lnTo>
                                  <a:pt x="1072749" y="98423"/>
                                </a:lnTo>
                                <a:lnTo>
                                  <a:pt x="1108475" y="71859"/>
                                </a:lnTo>
                                <a:lnTo>
                                  <a:pt x="1144594" y="48236"/>
                                </a:lnTo>
                                <a:lnTo>
                                  <a:pt x="1181892" y="28396"/>
                                </a:lnTo>
                                <a:lnTo>
                                  <a:pt x="1221158" y="13182"/>
                                </a:lnTo>
                                <a:lnTo>
                                  <a:pt x="1263176" y="3435"/>
                                </a:lnTo>
                                <a:lnTo>
                                  <a:pt x="1308734" y="0"/>
                                </a:lnTo>
                                <a:lnTo>
                                  <a:pt x="1450514" y="56040"/>
                                </a:lnTo>
                                <a:lnTo>
                                  <a:pt x="1592294" y="179330"/>
                                </a:lnTo>
                                <a:lnTo>
                                  <a:pt x="1701355" y="302621"/>
                                </a:lnTo>
                                <a:lnTo>
                                  <a:pt x="1744979" y="358661"/>
                                </a:lnTo>
                              </a:path>
                            </a:pathLst>
                          </a:custGeom>
                          <a:ln w="19050">
                            <a:solidFill>
                              <a:srgbClr val="959595"/>
                            </a:solidFill>
                            <a:prstDash val="solid"/>
                          </a:ln>
                        </wps:spPr>
                        <wps:bodyPr wrap="square" lIns="0" tIns="0" rIns="0" bIns="0" rtlCol="0">
                          <a:prstTxWarp prst="textNoShape">
                            <a:avLst/>
                          </a:prstTxWarp>
                          <a:noAutofit/>
                        </wps:bodyPr>
                      </wps:wsp>
                      <wps:wsp>
                        <wps:cNvPr id="34" name="Graphic 34"/>
                        <wps:cNvSpPr/>
                        <wps:spPr>
                          <a:xfrm>
                            <a:off x="218122" y="89423"/>
                            <a:ext cx="1744980" cy="566420"/>
                          </a:xfrm>
                          <a:custGeom>
                            <a:avLst/>
                            <a:gdLst/>
                            <a:ahLst/>
                            <a:cxnLst/>
                            <a:rect l="l" t="t" r="r" b="b"/>
                            <a:pathLst>
                              <a:path w="1744980" h="566420">
                                <a:moveTo>
                                  <a:pt x="0" y="457968"/>
                                </a:moveTo>
                                <a:lnTo>
                                  <a:pt x="43624" y="474882"/>
                                </a:lnTo>
                                <a:lnTo>
                                  <a:pt x="152685" y="512095"/>
                                </a:lnTo>
                                <a:lnTo>
                                  <a:pt x="294465" y="549307"/>
                                </a:lnTo>
                                <a:lnTo>
                                  <a:pt x="436244" y="566221"/>
                                </a:lnTo>
                                <a:lnTo>
                                  <a:pt x="478152" y="562545"/>
                                </a:lnTo>
                                <a:lnTo>
                                  <a:pt x="517031" y="552102"/>
                                </a:lnTo>
                                <a:lnTo>
                                  <a:pt x="553485" y="535774"/>
                                </a:lnTo>
                                <a:lnTo>
                                  <a:pt x="588122" y="514443"/>
                                </a:lnTo>
                                <a:lnTo>
                                  <a:pt x="621548" y="488990"/>
                                </a:lnTo>
                                <a:lnTo>
                                  <a:pt x="654367" y="460296"/>
                                </a:lnTo>
                                <a:lnTo>
                                  <a:pt x="687186" y="429243"/>
                                </a:lnTo>
                                <a:lnTo>
                                  <a:pt x="720612" y="396713"/>
                                </a:lnTo>
                                <a:lnTo>
                                  <a:pt x="755249" y="363585"/>
                                </a:lnTo>
                                <a:lnTo>
                                  <a:pt x="791703" y="330743"/>
                                </a:lnTo>
                                <a:lnTo>
                                  <a:pt x="830582" y="299066"/>
                                </a:lnTo>
                                <a:lnTo>
                                  <a:pt x="872489" y="269438"/>
                                </a:lnTo>
                                <a:lnTo>
                                  <a:pt x="918048" y="237637"/>
                                </a:lnTo>
                                <a:lnTo>
                                  <a:pt x="960066" y="204605"/>
                                </a:lnTo>
                                <a:lnTo>
                                  <a:pt x="999332" y="171239"/>
                                </a:lnTo>
                                <a:lnTo>
                                  <a:pt x="1036630" y="138436"/>
                                </a:lnTo>
                                <a:lnTo>
                                  <a:pt x="1072749" y="107094"/>
                                </a:lnTo>
                                <a:lnTo>
                                  <a:pt x="1108475" y="78111"/>
                                </a:lnTo>
                                <a:lnTo>
                                  <a:pt x="1144594" y="52385"/>
                                </a:lnTo>
                                <a:lnTo>
                                  <a:pt x="1181892" y="30813"/>
                                </a:lnTo>
                                <a:lnTo>
                                  <a:pt x="1221158" y="14293"/>
                                </a:lnTo>
                                <a:lnTo>
                                  <a:pt x="1263176" y="3722"/>
                                </a:lnTo>
                                <a:lnTo>
                                  <a:pt x="1308734" y="0"/>
                                </a:lnTo>
                                <a:lnTo>
                                  <a:pt x="1450514" y="69371"/>
                                </a:lnTo>
                                <a:lnTo>
                                  <a:pt x="1592294" y="221989"/>
                                </a:lnTo>
                                <a:lnTo>
                                  <a:pt x="1701355" y="374607"/>
                                </a:lnTo>
                                <a:lnTo>
                                  <a:pt x="1744979" y="443979"/>
                                </a:lnTo>
                              </a:path>
                            </a:pathLst>
                          </a:custGeom>
                          <a:ln w="19050">
                            <a:solidFill>
                              <a:srgbClr val="585858"/>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114pt;margin-top:16.224625pt;width:171.75pt;height:52.4pt;mso-position-horizontal-relative:page;mso-position-vertical-relative:paragraph;z-index:-15726080;mso-wrap-distance-left:0;mso-wrap-distance-right:0" id="docshapegroup24" coordorigin="2280,324" coordsize="3435,1048">
                <v:shape style="position:absolute;left:2280;top:341;width:3435;height:990" id="docshape25" coordorigin="2280,342" coordsize="3435,990" path="m2280,1332l5715,1332m2280,1137l5715,1137m2280,942l5715,942m2280,747l5715,747m2280,537l5715,537m2280,342l5715,342e" filled="false" stroked="true" strokeweight=".75pt" strokecolor="#e6e6e6">
                  <v:path arrowok="t"/>
                  <v:stroke dashstyle="solid"/>
                </v:shape>
                <v:shape style="position:absolute;left:2623;top:857;width:2748;height:115" id="docshape26" coordorigin="2623,857" coordsize="2748,115" path="m2623,895l3310,857,3997,884,4684,971,5371,871e" filled="false" stroked="true" strokeweight="1.5pt" strokecolor="#242424">
                  <v:path arrowok="t"/>
                  <v:stroke dashstyle="solid"/>
                </v:shape>
                <v:shape style="position:absolute;left:2623;top:339;width:2748;height:801" id="docshape27" coordorigin="2623,339" coordsize="2748,801" path="m2623,1031l2692,1048,2864,1085,3087,1123,3310,1140,3382,1134,3448,1117,3510,1090,3569,1056,3626,1015,3682,970,3739,922,3798,871,3860,821,3926,772,3997,727,4069,682,4135,635,4197,587,4256,540,4313,494,4369,453,4426,415,4485,384,4547,360,4613,345,4684,339,4908,428,5131,622,5303,816,5371,904e" filled="false" stroked="true" strokeweight="1.5pt" strokecolor="#959595">
                  <v:path arrowok="t"/>
                  <v:stroke dashstyle="solid"/>
                </v:shape>
                <v:shape style="position:absolute;left:2623;top:465;width:2748;height:892" id="docshape28" coordorigin="2623,465" coordsize="2748,892" path="m2623,1187l2692,1213,2864,1272,3087,1330,3310,1357,3376,1351,3438,1335,3495,1309,3550,1275,3602,1235,3654,1190,3706,1141,3758,1090,3813,1038,3870,986,3932,936,3997,890,4069,840,4135,788,4197,735,4256,683,4313,634,4369,588,4426,548,4485,514,4547,488,4613,471,4684,465,4908,575,5131,815,5303,1055,5371,1164e" filled="false" stroked="true" strokeweight="1.5pt" strokecolor="#585858">
                  <v:path arrowok="t"/>
                  <v:stroke dashstyle="shortdash"/>
                </v:shape>
                <w10:wrap type="topAndBottom"/>
              </v:group>
            </w:pict>
          </mc:Fallback>
        </mc:AlternateContent>
      </w:r>
    </w:p>
    <w:p>
      <w:pPr>
        <w:pStyle w:val="BodyText"/>
        <w:rPr>
          <w:rFonts w:ascii="Arial MT"/>
          <w:sz w:val="14"/>
        </w:rPr>
      </w:pPr>
    </w:p>
    <w:p>
      <w:pPr>
        <w:pStyle w:val="BodyText"/>
        <w:spacing w:before="31"/>
        <w:rPr>
          <w:rFonts w:ascii="Arial MT"/>
          <w:sz w:val="14"/>
        </w:rPr>
      </w:pPr>
    </w:p>
    <w:p>
      <w:pPr>
        <w:tabs>
          <w:tab w:pos="1044" w:val="left" w:leader="none"/>
          <w:tab w:pos="1734" w:val="left" w:leader="none"/>
          <w:tab w:pos="2424" w:val="left" w:leader="none"/>
          <w:tab w:pos="3114" w:val="left" w:leader="none"/>
        </w:tabs>
        <w:spacing w:before="0"/>
        <w:ind w:left="355" w:right="0" w:firstLine="0"/>
        <w:jc w:val="left"/>
        <w:rPr>
          <w:rFonts w:ascii="Arial MT"/>
          <w:sz w:val="14"/>
        </w:rPr>
      </w:pPr>
      <w:r>
        <w:rPr>
          <w:rFonts w:ascii="Arial MT"/>
          <w:color w:val="585858"/>
          <w:spacing w:val="-4"/>
          <w:sz w:val="14"/>
        </w:rPr>
        <w:t>FY19</w:t>
      </w:r>
      <w:r>
        <w:rPr>
          <w:rFonts w:ascii="Arial MT"/>
          <w:color w:val="585858"/>
          <w:sz w:val="14"/>
        </w:rPr>
        <w:tab/>
      </w:r>
      <w:r>
        <w:rPr>
          <w:rFonts w:ascii="Arial MT"/>
          <w:color w:val="585858"/>
          <w:spacing w:val="-4"/>
          <w:sz w:val="14"/>
        </w:rPr>
        <w:t>FY20</w:t>
      </w:r>
      <w:r>
        <w:rPr>
          <w:rFonts w:ascii="Arial MT"/>
          <w:color w:val="585858"/>
          <w:sz w:val="14"/>
        </w:rPr>
        <w:tab/>
      </w:r>
      <w:r>
        <w:rPr>
          <w:rFonts w:ascii="Arial MT"/>
          <w:color w:val="585858"/>
          <w:spacing w:val="-4"/>
          <w:sz w:val="14"/>
        </w:rPr>
        <w:t>FY21</w:t>
      </w:r>
      <w:r>
        <w:rPr>
          <w:rFonts w:ascii="Arial MT"/>
          <w:color w:val="585858"/>
          <w:sz w:val="14"/>
        </w:rPr>
        <w:tab/>
      </w:r>
      <w:r>
        <w:rPr>
          <w:rFonts w:ascii="Arial MT"/>
          <w:color w:val="585858"/>
          <w:spacing w:val="-4"/>
          <w:sz w:val="14"/>
        </w:rPr>
        <w:t>FY22</w:t>
      </w:r>
      <w:r>
        <w:rPr>
          <w:rFonts w:ascii="Arial MT"/>
          <w:color w:val="585858"/>
          <w:sz w:val="14"/>
        </w:rPr>
        <w:tab/>
      </w:r>
      <w:r>
        <w:rPr>
          <w:rFonts w:ascii="Arial MT"/>
          <w:color w:val="585858"/>
          <w:spacing w:val="-4"/>
          <w:sz w:val="14"/>
        </w:rPr>
        <w:t>FY23</w:t>
      </w:r>
    </w:p>
    <w:p>
      <w:pPr>
        <w:spacing w:after="0"/>
        <w:jc w:val="left"/>
        <w:rPr>
          <w:rFonts w:ascii="Arial MT"/>
          <w:sz w:val="14"/>
        </w:rPr>
        <w:sectPr>
          <w:type w:val="continuous"/>
          <w:pgSz w:w="12240" w:h="15840"/>
          <w:pgMar w:header="744" w:footer="583" w:top="1820" w:bottom="280" w:left="720" w:right="720"/>
          <w:cols w:num="2" w:equalWidth="0">
            <w:col w:w="1321" w:space="40"/>
            <w:col w:w="9439"/>
          </w:cols>
        </w:sectPr>
      </w:pPr>
    </w:p>
    <w:p>
      <w:pPr>
        <w:pStyle w:val="BodyText"/>
        <w:spacing w:before="124"/>
        <w:rPr>
          <w:rFonts w:ascii="Arial MT"/>
          <w:sz w:val="22"/>
        </w:rPr>
      </w:pPr>
    </w:p>
    <w:p>
      <w:pPr>
        <w:pStyle w:val="Heading4"/>
      </w:pPr>
      <w:r>
        <w:rPr/>
        <w:t>Lending</w:t>
      </w:r>
      <w:r>
        <w:rPr>
          <w:spacing w:val="-3"/>
        </w:rPr>
        <w:t> </w:t>
      </w:r>
      <w:r>
        <w:rPr>
          <w:spacing w:val="-2"/>
        </w:rPr>
        <w:t>Operations</w:t>
      </w:r>
    </w:p>
    <w:p>
      <w:pPr>
        <w:pStyle w:val="BodyText"/>
        <w:spacing w:line="232" w:lineRule="auto" w:before="145"/>
        <w:ind w:left="720" w:right="718"/>
        <w:jc w:val="both"/>
      </w:pPr>
      <w:r>
        <w:rPr/>
        <w:t>IBRD’s lending operations during the fiscal year ended June 30, 2023 provided $38.6 billion of net commitments, and $25.5 billion of gross loan disbursements. Net disbursements of $12.7 billion were the key driver for the</w:t>
      </w:r>
      <w:r>
        <w:rPr>
          <w:spacing w:val="40"/>
        </w:rPr>
        <w:t> </w:t>
      </w:r>
      <w:r>
        <w:rPr/>
        <w:t>increase in net loans outstanding, from $227.1 billion as of June 30, 2022, to $241.0 billion as of June 30, 2023.</w:t>
      </w:r>
    </w:p>
    <w:p>
      <w:pPr>
        <w:pStyle w:val="BodyText"/>
        <w:spacing w:before="6"/>
      </w:pPr>
    </w:p>
    <w:p>
      <w:pPr>
        <w:spacing w:before="0"/>
        <w:ind w:left="720" w:right="0" w:firstLine="0"/>
        <w:jc w:val="both"/>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4"/>
          <w:sz w:val="16"/>
        </w:rPr>
        <w:t> </w:t>
      </w:r>
      <w:r>
        <w:rPr>
          <w:rFonts w:ascii="Arial"/>
          <w:i/>
          <w:spacing w:val="-2"/>
          <w:sz w:val="16"/>
        </w:rPr>
        <w:t>dollars</w:t>
      </w:r>
    </w:p>
    <w:p>
      <w:pPr>
        <w:pStyle w:val="BodyText"/>
        <w:spacing w:before="3"/>
        <w:rPr>
          <w:rFonts w:ascii="Arial"/>
          <w:i/>
          <w:sz w:val="12"/>
        </w:rPr>
      </w:pPr>
    </w:p>
    <w:p>
      <w:pPr>
        <w:pStyle w:val="BodyText"/>
        <w:spacing w:after="0"/>
        <w:rPr>
          <w:rFonts w:ascii="Arial"/>
          <w:i/>
          <w:sz w:val="12"/>
        </w:rPr>
        <w:sectPr>
          <w:type w:val="continuous"/>
          <w:pgSz w:w="12240" w:h="15840"/>
          <w:pgMar w:header="744" w:footer="583" w:top="1820" w:bottom="280" w:left="720" w:right="720"/>
        </w:sectPr>
      </w:pPr>
    </w:p>
    <w:p>
      <w:pPr>
        <w:spacing w:line="158" w:lineRule="exact" w:before="96"/>
        <w:ind w:left="1606" w:right="0" w:firstLine="0"/>
        <w:jc w:val="left"/>
        <w:rPr>
          <w:rFonts w:ascii="Arial"/>
          <w:b/>
          <w:sz w:val="14"/>
        </w:rPr>
      </w:pPr>
      <w:r>
        <w:rPr>
          <w:rFonts w:ascii="Arial"/>
          <w:b/>
          <w:color w:val="585858"/>
          <w:sz w:val="14"/>
        </w:rPr>
        <w:t>Net</w:t>
      </w:r>
      <w:r>
        <w:rPr>
          <w:rFonts w:ascii="Arial"/>
          <w:b/>
          <w:color w:val="585858"/>
          <w:spacing w:val="-4"/>
          <w:sz w:val="14"/>
        </w:rPr>
        <w:t> </w:t>
      </w:r>
      <w:r>
        <w:rPr>
          <w:rFonts w:ascii="Arial"/>
          <w:b/>
          <w:color w:val="585858"/>
          <w:spacing w:val="-2"/>
          <w:sz w:val="14"/>
        </w:rPr>
        <w:t>Commitments</w:t>
      </w:r>
    </w:p>
    <w:p>
      <w:pPr>
        <w:spacing w:line="135" w:lineRule="exact" w:before="0"/>
        <w:ind w:left="916"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7344">
                <wp:simplePos x="0" y="0"/>
                <wp:positionH relativeFrom="page">
                  <wp:posOffset>1276350</wp:posOffset>
                </wp:positionH>
                <wp:positionV relativeFrom="paragraph">
                  <wp:posOffset>14188</wp:posOffset>
                </wp:positionV>
                <wp:extent cx="1400175" cy="37973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400175" cy="379730"/>
                          <a:chExt cx="1400175" cy="379730"/>
                        </a:xfrm>
                      </wpg:grpSpPr>
                      <wps:wsp>
                        <wps:cNvPr id="36" name="Graphic 36"/>
                        <wps:cNvSpPr/>
                        <wps:spPr>
                          <a:xfrm>
                            <a:off x="0" y="4762"/>
                            <a:ext cx="1400175" cy="352425"/>
                          </a:xfrm>
                          <a:custGeom>
                            <a:avLst/>
                            <a:gdLst/>
                            <a:ahLst/>
                            <a:cxnLst/>
                            <a:rect l="l" t="t" r="r" b="b"/>
                            <a:pathLst>
                              <a:path w="1400175" h="352425">
                                <a:moveTo>
                                  <a:pt x="0" y="352425"/>
                                </a:moveTo>
                                <a:lnTo>
                                  <a:pt x="1400175" y="352425"/>
                                </a:lnTo>
                              </a:path>
                              <a:path w="1400175" h="352425">
                                <a:moveTo>
                                  <a:pt x="0" y="180975"/>
                                </a:moveTo>
                                <a:lnTo>
                                  <a:pt x="1400175" y="180975"/>
                                </a:lnTo>
                              </a:path>
                              <a:path w="1400175" h="352425">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wps:wsp>
                        <wps:cNvPr id="37" name="Graphic 37"/>
                        <wps:cNvSpPr/>
                        <wps:spPr>
                          <a:xfrm>
                            <a:off x="140017" y="40129"/>
                            <a:ext cx="1120140" cy="330200"/>
                          </a:xfrm>
                          <a:custGeom>
                            <a:avLst/>
                            <a:gdLst/>
                            <a:ahLst/>
                            <a:cxnLst/>
                            <a:rect l="l" t="t" r="r" b="b"/>
                            <a:pathLst>
                              <a:path w="1120140" h="330200">
                                <a:moveTo>
                                  <a:pt x="0" y="329633"/>
                                </a:moveTo>
                                <a:lnTo>
                                  <a:pt x="98012" y="290144"/>
                                </a:lnTo>
                                <a:lnTo>
                                  <a:pt x="189023" y="256366"/>
                                </a:lnTo>
                                <a:lnTo>
                                  <a:pt x="280034" y="227084"/>
                                </a:lnTo>
                                <a:lnTo>
                                  <a:pt x="331893" y="213646"/>
                                </a:lnTo>
                                <a:lnTo>
                                  <a:pt x="377528" y="203819"/>
                                </a:lnTo>
                                <a:lnTo>
                                  <a:pt x="420052" y="196197"/>
                                </a:lnTo>
                                <a:lnTo>
                                  <a:pt x="462576" y="189374"/>
                                </a:lnTo>
                                <a:lnTo>
                                  <a:pt x="508211" y="181944"/>
                                </a:lnTo>
                                <a:lnTo>
                                  <a:pt x="560069" y="172499"/>
                                </a:lnTo>
                                <a:lnTo>
                                  <a:pt x="611928" y="163264"/>
                                </a:lnTo>
                                <a:lnTo>
                                  <a:pt x="657563" y="156294"/>
                                </a:lnTo>
                                <a:lnTo>
                                  <a:pt x="700087" y="149931"/>
                                </a:lnTo>
                                <a:lnTo>
                                  <a:pt x="742611" y="142513"/>
                                </a:lnTo>
                                <a:lnTo>
                                  <a:pt x="788246" y="132379"/>
                                </a:lnTo>
                                <a:lnTo>
                                  <a:pt x="840104" y="117871"/>
                                </a:lnTo>
                                <a:lnTo>
                                  <a:pt x="931116" y="84899"/>
                                </a:lnTo>
                                <a:lnTo>
                                  <a:pt x="1022127" y="45998"/>
                                </a:lnTo>
                                <a:lnTo>
                                  <a:pt x="1092136" y="13565"/>
                                </a:lnTo>
                                <a:lnTo>
                                  <a:pt x="1120139" y="0"/>
                                </a:lnTo>
                              </a:path>
                            </a:pathLst>
                          </a:custGeom>
                          <a:ln w="19049">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5pt;margin-top:1.117184pt;width:110.25pt;height:29.9pt;mso-position-horizontal-relative:page;mso-position-vertical-relative:paragraph;z-index:15737344" id="docshapegroup29" coordorigin="2010,22" coordsize="2205,598">
                <v:shape style="position:absolute;left:2010;top:29;width:2205;height:555" id="docshape30" coordorigin="2010,30" coordsize="2205,555" path="m2010,585l4215,585m2010,315l4215,315m2010,30l4215,30e" filled="false" stroked="true" strokeweight=".75pt" strokecolor="#e6e6e6">
                  <v:path arrowok="t"/>
                  <v:stroke dashstyle="solid"/>
                </v:shape>
                <v:shape style="position:absolute;left:2230;top:85;width:1764;height:520" id="docshape31" coordorigin="2230,86" coordsize="1764,520" path="m2230,605l2385,542,2528,489,2671,443,2753,422,2825,407,2892,395,2959,384,3031,372,3112,357,3194,343,3266,332,3333,322,3400,310,3472,294,3553,271,3697,219,3840,158,3950,107,3994,86e" filled="false" stroked="true" strokeweight="1.5pt" strokecolor="#494949">
                  <v:path arrowok="t"/>
                  <v:stroke dashstyle="solid"/>
                </v:shape>
                <w10:wrap type="none"/>
              </v:group>
            </w:pict>
          </mc:Fallback>
        </mc:AlternateContent>
      </w:r>
      <w:r>
        <w:rPr>
          <w:rFonts w:ascii="Arial MT"/>
          <w:color w:val="585858"/>
          <w:spacing w:val="-5"/>
          <w:sz w:val="12"/>
        </w:rPr>
        <w:t>40</w:t>
      </w:r>
    </w:p>
    <w:p>
      <w:pPr>
        <w:spacing w:before="132"/>
        <w:ind w:left="916" w:right="0" w:firstLine="0"/>
        <w:jc w:val="left"/>
        <w:rPr>
          <w:rFonts w:ascii="Arial MT"/>
          <w:sz w:val="12"/>
        </w:rPr>
      </w:pPr>
      <w:r>
        <w:rPr>
          <w:rFonts w:ascii="Arial MT"/>
          <w:color w:val="585858"/>
          <w:spacing w:val="-5"/>
          <w:sz w:val="12"/>
        </w:rPr>
        <w:t>32</w:t>
      </w:r>
    </w:p>
    <w:p>
      <w:pPr>
        <w:spacing w:before="132"/>
        <w:ind w:left="916" w:right="0" w:firstLine="0"/>
        <w:jc w:val="left"/>
        <w:rPr>
          <w:rFonts w:ascii="Arial MT"/>
          <w:sz w:val="12"/>
        </w:rPr>
      </w:pPr>
      <w:r>
        <w:rPr>
          <w:rFonts w:ascii="Arial MT"/>
          <w:color w:val="585858"/>
          <w:spacing w:val="-5"/>
          <w:sz w:val="12"/>
        </w:rPr>
        <w:t>24</w:t>
      </w:r>
    </w:p>
    <w:p>
      <w:pPr>
        <w:spacing w:before="132"/>
        <w:ind w:left="916"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6832">
                <wp:simplePos x="0" y="0"/>
                <wp:positionH relativeFrom="page">
                  <wp:posOffset>1276350</wp:posOffset>
                </wp:positionH>
                <wp:positionV relativeFrom="paragraph">
                  <wp:posOffset>114485</wp:posOffset>
                </wp:positionV>
                <wp:extent cx="140017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400175" cy="1270"/>
                        </a:xfrm>
                        <a:custGeom>
                          <a:avLst/>
                          <a:gdLst/>
                          <a:ahLst/>
                          <a:cxnLst/>
                          <a:rect l="l" t="t" r="r" b="b"/>
                          <a:pathLst>
                            <a:path w="1400175" h="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0.5pt,9.014611pt" to="210.75pt,9.014611pt" stroked="true" strokeweight=".75pt" strokecolor="#e6e6e6">
                <v:stroke dashstyle="solid"/>
                <w10:wrap type="none"/>
              </v:line>
            </w:pict>
          </mc:Fallback>
        </mc:AlternateContent>
      </w:r>
      <w:r>
        <w:rPr>
          <w:rFonts w:ascii="Arial MT"/>
          <w:color w:val="585858"/>
          <w:spacing w:val="-5"/>
          <w:sz w:val="12"/>
        </w:rPr>
        <w:t>16</w:t>
      </w:r>
    </w:p>
    <w:p>
      <w:pPr>
        <w:spacing w:before="132"/>
        <w:ind w:left="98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6320">
                <wp:simplePos x="0" y="0"/>
                <wp:positionH relativeFrom="page">
                  <wp:posOffset>1276350</wp:posOffset>
                </wp:positionH>
                <wp:positionV relativeFrom="paragraph">
                  <wp:posOffset>114493</wp:posOffset>
                </wp:positionV>
                <wp:extent cx="140017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400175" cy="1270"/>
                        </a:xfrm>
                        <a:custGeom>
                          <a:avLst/>
                          <a:gdLst/>
                          <a:ahLst/>
                          <a:cxnLst/>
                          <a:rect l="l" t="t" r="r" b="b"/>
                          <a:pathLst>
                            <a:path w="1400175" h="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0.5pt,9.015198pt" to="210.75pt,9.015198pt" stroked="true" strokeweight=".75pt" strokecolor="#e6e6e6">
                <v:stroke dashstyle="solid"/>
                <w10:wrap type="none"/>
              </v:line>
            </w:pict>
          </mc:Fallback>
        </mc:AlternateContent>
      </w:r>
      <w:r>
        <w:rPr>
          <w:rFonts w:ascii="Arial MT"/>
          <w:color w:val="585858"/>
          <w:spacing w:val="-10"/>
          <w:sz w:val="12"/>
        </w:rPr>
        <w:t>8</w:t>
      </w:r>
    </w:p>
    <w:p>
      <w:pPr>
        <w:spacing w:before="132"/>
        <w:ind w:left="98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5808">
                <wp:simplePos x="0" y="0"/>
                <wp:positionH relativeFrom="page">
                  <wp:posOffset>1276350</wp:posOffset>
                </wp:positionH>
                <wp:positionV relativeFrom="paragraph">
                  <wp:posOffset>114500</wp:posOffset>
                </wp:positionV>
                <wp:extent cx="140017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400175" cy="1270"/>
                        </a:xfrm>
                        <a:custGeom>
                          <a:avLst/>
                          <a:gdLst/>
                          <a:ahLst/>
                          <a:cxnLst/>
                          <a:rect l="l" t="t" r="r" b="b"/>
                          <a:pathLst>
                            <a:path w="1400175" h="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0.5pt,9.015783pt" to="210.75pt,9.015783pt" stroked="true" strokeweight=".75pt" strokecolor="#e6e6e6">
                <v:stroke dashstyle="solid"/>
                <w10:wrap type="none"/>
              </v:line>
            </w:pict>
          </mc:Fallback>
        </mc:AlternateContent>
      </w:r>
      <w:r>
        <w:rPr>
          <w:rFonts w:ascii="Arial MT"/>
          <w:color w:val="585858"/>
          <w:spacing w:val="-10"/>
          <w:sz w:val="12"/>
        </w:rPr>
        <w:t>0</w:t>
      </w:r>
    </w:p>
    <w:p>
      <w:pPr>
        <w:spacing w:before="38"/>
        <w:ind w:left="1317" w:right="0" w:firstLine="0"/>
        <w:jc w:val="left"/>
        <w:rPr>
          <w:rFonts w:ascii="Arial MT"/>
          <w:sz w:val="14"/>
        </w:rPr>
      </w:pPr>
      <w:r>
        <w:rPr>
          <w:rFonts w:ascii="Arial MT"/>
          <w:sz w:val="14"/>
        </w:rPr>
        <w:t>FY19</w:t>
      </w:r>
      <w:r>
        <w:rPr>
          <w:rFonts w:ascii="Arial MT"/>
          <w:spacing w:val="71"/>
          <w:sz w:val="14"/>
        </w:rPr>
        <w:t> </w:t>
      </w:r>
      <w:r>
        <w:rPr>
          <w:rFonts w:ascii="Arial MT"/>
          <w:sz w:val="14"/>
        </w:rPr>
        <w:t>FY20</w:t>
      </w:r>
      <w:r>
        <w:rPr>
          <w:rFonts w:ascii="Arial MT"/>
          <w:spacing w:val="60"/>
          <w:sz w:val="14"/>
        </w:rPr>
        <w:t> </w:t>
      </w:r>
      <w:r>
        <w:rPr>
          <w:rFonts w:ascii="Arial MT"/>
          <w:sz w:val="14"/>
        </w:rPr>
        <w:t>FY21</w:t>
      </w:r>
      <w:r>
        <w:rPr>
          <w:rFonts w:ascii="Arial MT"/>
          <w:spacing w:val="59"/>
          <w:sz w:val="14"/>
        </w:rPr>
        <w:t> </w:t>
      </w:r>
      <w:r>
        <w:rPr>
          <w:rFonts w:ascii="Arial MT"/>
          <w:sz w:val="14"/>
        </w:rPr>
        <w:t>FY22</w:t>
      </w:r>
      <w:r>
        <w:rPr>
          <w:rFonts w:ascii="Arial MT"/>
          <w:spacing w:val="74"/>
          <w:sz w:val="14"/>
        </w:rPr>
        <w:t> </w:t>
      </w:r>
      <w:r>
        <w:rPr>
          <w:rFonts w:ascii="Arial MT"/>
          <w:spacing w:val="-4"/>
          <w:sz w:val="14"/>
        </w:rPr>
        <w:t>FY23</w:t>
      </w:r>
    </w:p>
    <w:p>
      <w:pPr>
        <w:spacing w:before="96"/>
        <w:ind w:left="1337" w:right="0" w:firstLine="0"/>
        <w:jc w:val="left"/>
        <w:rPr>
          <w:rFonts w:ascii="Arial"/>
          <w:b/>
          <w:sz w:val="14"/>
        </w:rPr>
      </w:pPr>
      <w:r>
        <w:rPr/>
        <w:br w:type="column"/>
      </w:r>
      <w:r>
        <w:rPr>
          <w:rFonts w:ascii="Arial"/>
          <w:b/>
          <w:color w:val="585858"/>
          <w:spacing w:val="-2"/>
          <w:sz w:val="14"/>
        </w:rPr>
        <w:t>Disbursements</w:t>
      </w:r>
    </w:p>
    <w:p>
      <w:pPr>
        <w:spacing w:before="8"/>
        <w:ind w:left="1332" w:right="0" w:firstLine="0"/>
        <w:jc w:val="left"/>
        <w:rPr>
          <w:rFonts w:ascii="Arial"/>
          <w:b/>
          <w:sz w:val="12"/>
        </w:rPr>
      </w:pPr>
      <w:r>
        <w:rPr>
          <w:position w:val="3"/>
        </w:rPr>
        <w:drawing>
          <wp:inline distT="0" distB="0" distL="0" distR="0">
            <wp:extent cx="95250" cy="1905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1" cstate="print"/>
                    <a:stretch>
                      <a:fillRect/>
                    </a:stretch>
                  </pic:blipFill>
                  <pic:spPr>
                    <a:xfrm>
                      <a:off x="0" y="0"/>
                      <a:ext cx="95250" cy="19050"/>
                    </a:xfrm>
                    <a:prstGeom prst="rect">
                      <a:avLst/>
                    </a:prstGeom>
                  </pic:spPr>
                </pic:pic>
              </a:graphicData>
            </a:graphic>
          </wp:inline>
        </w:drawing>
      </w:r>
      <w:r>
        <w:rPr>
          <w:position w:val="3"/>
        </w:rPr>
      </w:r>
      <w:r>
        <w:rPr>
          <w:spacing w:val="14"/>
          <w:sz w:val="20"/>
        </w:rPr>
        <w:t> </w:t>
      </w:r>
      <w:r>
        <w:rPr>
          <w:rFonts w:ascii="Arial"/>
          <w:b/>
          <w:color w:val="585858"/>
          <w:sz w:val="12"/>
        </w:rPr>
        <w:t>Gross</w:t>
      </w:r>
      <w:r>
        <w:rPr>
          <w:rFonts w:ascii="Arial"/>
          <w:b/>
          <w:color w:val="585858"/>
          <w:spacing w:val="61"/>
          <w:sz w:val="12"/>
        </w:rPr>
        <w:t> </w:t>
      </w:r>
      <w:r>
        <w:rPr>
          <w:rFonts w:ascii="Arial"/>
          <w:b/>
          <w:color w:val="585858"/>
          <w:spacing w:val="-12"/>
          <w:position w:val="3"/>
          <w:sz w:val="12"/>
        </w:rPr>
        <w:drawing>
          <wp:inline distT="0" distB="0" distL="0" distR="0">
            <wp:extent cx="95250" cy="1905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95250" cy="19050"/>
                    </a:xfrm>
                    <a:prstGeom prst="rect">
                      <a:avLst/>
                    </a:prstGeom>
                  </pic:spPr>
                </pic:pic>
              </a:graphicData>
            </a:graphic>
          </wp:inline>
        </w:drawing>
      </w:r>
      <w:r>
        <w:rPr>
          <w:rFonts w:ascii="Arial"/>
          <w:b/>
          <w:color w:val="585858"/>
          <w:spacing w:val="-12"/>
          <w:position w:val="3"/>
          <w:sz w:val="12"/>
        </w:rPr>
      </w:r>
      <w:r>
        <w:rPr>
          <w:color w:val="585858"/>
          <w:spacing w:val="40"/>
          <w:sz w:val="12"/>
        </w:rPr>
        <w:t> </w:t>
      </w:r>
      <w:r>
        <w:rPr>
          <w:rFonts w:ascii="Arial"/>
          <w:b/>
          <w:color w:val="585858"/>
          <w:sz w:val="12"/>
        </w:rPr>
        <w:t>Net</w:t>
      </w:r>
    </w:p>
    <w:p>
      <w:pPr>
        <w:spacing w:before="102"/>
        <w:ind w:left="55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9392">
                <wp:simplePos x="0" y="0"/>
                <wp:positionH relativeFrom="page">
                  <wp:posOffset>3244850</wp:posOffset>
                </wp:positionH>
                <wp:positionV relativeFrom="paragraph">
                  <wp:posOffset>86005</wp:posOffset>
                </wp:positionV>
                <wp:extent cx="140017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400175" cy="1270"/>
                        </a:xfrm>
                        <a:custGeom>
                          <a:avLst/>
                          <a:gdLst/>
                          <a:ahLst/>
                          <a:cxnLst/>
                          <a:rect l="l" t="t" r="r" b="b"/>
                          <a:pathLst>
                            <a:path w="1400175" h="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255.5pt,6.772101pt" to="365.75pt,6.772101pt" stroked="true" strokeweight=".75pt" strokecolor="#e6e6e6">
                <v:stroke dashstyle="solid"/>
                <w10:wrap type="none"/>
              </v:line>
            </w:pict>
          </mc:Fallback>
        </mc:AlternateContent>
      </w:r>
      <w:r>
        <w:rPr>
          <w:rFonts w:ascii="Arial MT"/>
          <w:color w:val="585858"/>
          <w:spacing w:val="-5"/>
          <w:sz w:val="12"/>
        </w:rPr>
        <w:t>40</w:t>
      </w:r>
    </w:p>
    <w:p>
      <w:pPr>
        <w:spacing w:before="72"/>
        <w:ind w:left="55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8880">
                <wp:simplePos x="0" y="0"/>
                <wp:positionH relativeFrom="page">
                  <wp:posOffset>3244850</wp:posOffset>
                </wp:positionH>
                <wp:positionV relativeFrom="paragraph">
                  <wp:posOffset>81250</wp:posOffset>
                </wp:positionV>
                <wp:extent cx="1400175" cy="211454"/>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400175" cy="211454"/>
                          <a:chExt cx="1400175" cy="211454"/>
                        </a:xfrm>
                      </wpg:grpSpPr>
                      <wps:wsp>
                        <wps:cNvPr id="45" name="Graphic 45"/>
                        <wps:cNvSpPr/>
                        <wps:spPr>
                          <a:xfrm>
                            <a:off x="0" y="4762"/>
                            <a:ext cx="1400175" cy="133350"/>
                          </a:xfrm>
                          <a:custGeom>
                            <a:avLst/>
                            <a:gdLst/>
                            <a:ahLst/>
                            <a:cxnLst/>
                            <a:rect l="l" t="t" r="r" b="b"/>
                            <a:pathLst>
                              <a:path w="1400175" h="133350">
                                <a:moveTo>
                                  <a:pt x="0" y="133350"/>
                                </a:moveTo>
                                <a:lnTo>
                                  <a:pt x="1400175" y="133350"/>
                                </a:lnTo>
                              </a:path>
                              <a:path w="1400175" h="13335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wps:wsp>
                        <wps:cNvPr id="46" name="Graphic 46"/>
                        <wps:cNvSpPr/>
                        <wps:spPr>
                          <a:xfrm>
                            <a:off x="140017" y="62802"/>
                            <a:ext cx="1120140" cy="139065"/>
                          </a:xfrm>
                          <a:custGeom>
                            <a:avLst/>
                            <a:gdLst/>
                            <a:ahLst/>
                            <a:cxnLst/>
                            <a:rect l="l" t="t" r="r" b="b"/>
                            <a:pathLst>
                              <a:path w="1120140" h="139065">
                                <a:moveTo>
                                  <a:pt x="0" y="138821"/>
                                </a:moveTo>
                                <a:lnTo>
                                  <a:pt x="98012" y="138699"/>
                                </a:lnTo>
                                <a:lnTo>
                                  <a:pt x="189023" y="138410"/>
                                </a:lnTo>
                                <a:lnTo>
                                  <a:pt x="280035" y="137847"/>
                                </a:lnTo>
                                <a:lnTo>
                                  <a:pt x="331893" y="134977"/>
                                </a:lnTo>
                                <a:lnTo>
                                  <a:pt x="377528" y="127979"/>
                                </a:lnTo>
                                <a:lnTo>
                                  <a:pt x="420052" y="117809"/>
                                </a:lnTo>
                                <a:lnTo>
                                  <a:pt x="462576" y="105422"/>
                                </a:lnTo>
                                <a:lnTo>
                                  <a:pt x="508211" y="91774"/>
                                </a:lnTo>
                                <a:lnTo>
                                  <a:pt x="560070" y="77823"/>
                                </a:lnTo>
                                <a:lnTo>
                                  <a:pt x="611928" y="62485"/>
                                </a:lnTo>
                                <a:lnTo>
                                  <a:pt x="657563" y="45393"/>
                                </a:lnTo>
                                <a:lnTo>
                                  <a:pt x="700087" y="28573"/>
                                </a:lnTo>
                                <a:lnTo>
                                  <a:pt x="742611" y="14049"/>
                                </a:lnTo>
                                <a:lnTo>
                                  <a:pt x="788246" y="3850"/>
                                </a:lnTo>
                                <a:lnTo>
                                  <a:pt x="840105" y="0"/>
                                </a:lnTo>
                                <a:lnTo>
                                  <a:pt x="931116" y="7235"/>
                                </a:lnTo>
                                <a:lnTo>
                                  <a:pt x="1022127" y="23154"/>
                                </a:lnTo>
                                <a:lnTo>
                                  <a:pt x="1092136" y="39072"/>
                                </a:lnTo>
                                <a:lnTo>
                                  <a:pt x="1120140" y="46308"/>
                                </a:lnTo>
                              </a:path>
                            </a:pathLst>
                          </a:custGeom>
                          <a:ln w="19050">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5pt;margin-top:6.397686pt;width:110.25pt;height:16.650pt;mso-position-horizontal-relative:page;mso-position-vertical-relative:paragraph;z-index:15738880" id="docshapegroup32" coordorigin="5110,128" coordsize="2205,333">
                <v:shape style="position:absolute;left:5110;top:135;width:2205;height:210" id="docshape33" coordorigin="5110,135" coordsize="2205,210" path="m5110,345l7315,345m5110,135l7315,135e" filled="false" stroked="true" strokeweight=".75pt" strokecolor="#e6e6e6">
                  <v:path arrowok="t"/>
                  <v:stroke dashstyle="solid"/>
                </v:shape>
                <v:shape style="position:absolute;left:5330;top:226;width:1764;height:219" id="docshape34" coordorigin="5330,227" coordsize="1764,219" path="m5330,445l5485,445,5628,445,5771,444,5853,439,5925,428,5992,412,6059,393,6131,371,6212,349,6294,325,6366,298,6433,272,6500,249,6572,233,6653,227,6797,238,6940,263,7050,288,7094,300e" filled="false" stroked="true" strokeweight="1.5pt" strokecolor="#bebebe">
                  <v:path arrowok="t"/>
                  <v:stroke dashstyle="solid"/>
                </v:shape>
                <w10:wrap type="none"/>
              </v:group>
            </w:pict>
          </mc:Fallback>
        </mc:AlternateContent>
      </w:r>
      <w:r>
        <w:rPr>
          <w:rFonts w:ascii="Arial MT"/>
          <w:color w:val="585858"/>
          <w:spacing w:val="-5"/>
          <w:sz w:val="12"/>
        </w:rPr>
        <w:t>32</w:t>
      </w:r>
    </w:p>
    <w:p>
      <w:pPr>
        <w:spacing w:before="87"/>
        <w:ind w:left="554" w:right="0" w:firstLine="0"/>
        <w:jc w:val="left"/>
        <w:rPr>
          <w:rFonts w:ascii="Arial MT"/>
          <w:sz w:val="12"/>
        </w:rPr>
      </w:pPr>
      <w:r>
        <w:rPr>
          <w:rFonts w:ascii="Arial MT"/>
          <w:color w:val="585858"/>
          <w:spacing w:val="-5"/>
          <w:sz w:val="12"/>
        </w:rPr>
        <w:t>24</w:t>
      </w:r>
    </w:p>
    <w:p>
      <w:pPr>
        <w:spacing w:before="72"/>
        <w:ind w:left="55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8368">
                <wp:simplePos x="0" y="0"/>
                <wp:positionH relativeFrom="page">
                  <wp:posOffset>3244850</wp:posOffset>
                </wp:positionH>
                <wp:positionV relativeFrom="paragraph">
                  <wp:posOffset>81265</wp:posOffset>
                </wp:positionV>
                <wp:extent cx="1400175" cy="1428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400175" cy="142875"/>
                          <a:chExt cx="1400175" cy="142875"/>
                        </a:xfrm>
                      </wpg:grpSpPr>
                      <wps:wsp>
                        <wps:cNvPr id="48" name="Graphic 48"/>
                        <wps:cNvSpPr/>
                        <wps:spPr>
                          <a:xfrm>
                            <a:off x="0" y="4762"/>
                            <a:ext cx="1400175" cy="133350"/>
                          </a:xfrm>
                          <a:custGeom>
                            <a:avLst/>
                            <a:gdLst/>
                            <a:ahLst/>
                            <a:cxnLst/>
                            <a:rect l="l" t="t" r="r" b="b"/>
                            <a:pathLst>
                              <a:path w="1400175" h="133350">
                                <a:moveTo>
                                  <a:pt x="0" y="133350"/>
                                </a:moveTo>
                                <a:lnTo>
                                  <a:pt x="1400175" y="133350"/>
                                </a:lnTo>
                              </a:path>
                              <a:path w="1400175" h="13335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wps:wsp>
                        <wps:cNvPr id="49" name="Graphic 49"/>
                        <wps:cNvSpPr/>
                        <wps:spPr>
                          <a:xfrm>
                            <a:off x="140017" y="17633"/>
                            <a:ext cx="1120140" cy="83185"/>
                          </a:xfrm>
                          <a:custGeom>
                            <a:avLst/>
                            <a:gdLst/>
                            <a:ahLst/>
                            <a:cxnLst/>
                            <a:rect l="l" t="t" r="r" b="b"/>
                            <a:pathLst>
                              <a:path w="1120140" h="83185">
                                <a:moveTo>
                                  <a:pt x="0" y="83177"/>
                                </a:moveTo>
                                <a:lnTo>
                                  <a:pt x="98012" y="82023"/>
                                </a:lnTo>
                                <a:lnTo>
                                  <a:pt x="189023" y="79283"/>
                                </a:lnTo>
                                <a:lnTo>
                                  <a:pt x="280035" y="73947"/>
                                </a:lnTo>
                                <a:lnTo>
                                  <a:pt x="331893" y="67947"/>
                                </a:lnTo>
                                <a:lnTo>
                                  <a:pt x="377528" y="59755"/>
                                </a:lnTo>
                                <a:lnTo>
                                  <a:pt x="420052" y="50235"/>
                                </a:lnTo>
                                <a:lnTo>
                                  <a:pt x="462576" y="40252"/>
                                </a:lnTo>
                                <a:lnTo>
                                  <a:pt x="508211" y="30670"/>
                                </a:lnTo>
                                <a:lnTo>
                                  <a:pt x="560070" y="22354"/>
                                </a:lnTo>
                                <a:lnTo>
                                  <a:pt x="611928" y="15563"/>
                                </a:lnTo>
                                <a:lnTo>
                                  <a:pt x="657563" y="9985"/>
                                </a:lnTo>
                                <a:lnTo>
                                  <a:pt x="700087" y="5631"/>
                                </a:lnTo>
                                <a:lnTo>
                                  <a:pt x="742611" y="2509"/>
                                </a:lnTo>
                                <a:lnTo>
                                  <a:pt x="788246" y="628"/>
                                </a:lnTo>
                                <a:lnTo>
                                  <a:pt x="840105" y="0"/>
                                </a:lnTo>
                                <a:lnTo>
                                  <a:pt x="931116" y="5812"/>
                                </a:lnTo>
                                <a:lnTo>
                                  <a:pt x="1022127" y="18599"/>
                                </a:lnTo>
                                <a:lnTo>
                                  <a:pt x="1092136" y="31387"/>
                                </a:lnTo>
                                <a:lnTo>
                                  <a:pt x="1120140" y="37199"/>
                                </a:lnTo>
                              </a:path>
                            </a:pathLst>
                          </a:custGeom>
                          <a:ln w="19049">
                            <a:solidFill>
                              <a:srgbClr val="58585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5.5pt;margin-top:6.398859pt;width:110.25pt;height:11.25pt;mso-position-horizontal-relative:page;mso-position-vertical-relative:paragraph;z-index:15738368" id="docshapegroup35" coordorigin="5110,128" coordsize="2205,225">
                <v:shape style="position:absolute;left:5110;top:135;width:2205;height:210" id="docshape36" coordorigin="5110,135" coordsize="2205,210" path="m5110,345l7315,345m5110,135l7315,135e" filled="false" stroked="true" strokeweight=".75pt" strokecolor="#e6e6e6">
                  <v:path arrowok="t"/>
                  <v:stroke dashstyle="solid"/>
                </v:shape>
                <v:shape style="position:absolute;left:5330;top:155;width:1764;height:131" id="docshape37" coordorigin="5330,156" coordsize="1764,131" path="m5330,287l5485,285,5628,281,5771,272,5853,263,5925,250,5992,235,6059,219,6131,204,6212,191,6294,180,6366,171,6433,165,6500,160,6572,157,6653,156,6797,165,6940,185,7050,205,7094,214e" filled="false" stroked="true" strokeweight="1.5pt" strokecolor="#585858">
                  <v:path arrowok="t"/>
                  <v:stroke dashstyle="solid"/>
                </v:shape>
                <w10:wrap type="none"/>
              </v:group>
            </w:pict>
          </mc:Fallback>
        </mc:AlternateContent>
      </w:r>
      <w:r>
        <w:rPr>
          <w:rFonts w:ascii="Arial MT"/>
          <w:color w:val="585858"/>
          <w:spacing w:val="-5"/>
          <w:sz w:val="12"/>
        </w:rPr>
        <w:t>16</w:t>
      </w:r>
    </w:p>
    <w:p>
      <w:pPr>
        <w:spacing w:before="87"/>
        <w:ind w:left="620" w:right="0" w:firstLine="0"/>
        <w:jc w:val="left"/>
        <w:rPr>
          <w:rFonts w:ascii="Arial MT"/>
          <w:sz w:val="12"/>
        </w:rPr>
      </w:pPr>
      <w:r>
        <w:rPr>
          <w:rFonts w:ascii="Arial MT"/>
          <w:color w:val="585858"/>
          <w:spacing w:val="-10"/>
          <w:sz w:val="12"/>
        </w:rPr>
        <w:t>8</w:t>
      </w:r>
    </w:p>
    <w:p>
      <w:pPr>
        <w:spacing w:before="87"/>
        <w:ind w:left="620"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7856">
                <wp:simplePos x="0" y="0"/>
                <wp:positionH relativeFrom="page">
                  <wp:posOffset>3244850</wp:posOffset>
                </wp:positionH>
                <wp:positionV relativeFrom="paragraph">
                  <wp:posOffset>86042</wp:posOffset>
                </wp:positionV>
                <wp:extent cx="140017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400175" cy="1270"/>
                        </a:xfrm>
                        <a:custGeom>
                          <a:avLst/>
                          <a:gdLst/>
                          <a:ahLst/>
                          <a:cxnLst/>
                          <a:rect l="l" t="t" r="r" b="b"/>
                          <a:pathLst>
                            <a:path w="1400175" h="0">
                              <a:moveTo>
                                <a:pt x="0" y="0"/>
                              </a:moveTo>
                              <a:lnTo>
                                <a:pt x="14001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55.5pt,6.775031pt" to="365.75pt,6.775031pt" stroked="true" strokeweight=".75pt" strokecolor="#e6e6e6">
                <v:stroke dashstyle="solid"/>
                <w10:wrap type="none"/>
              </v:line>
            </w:pict>
          </mc:Fallback>
        </mc:AlternateContent>
      </w:r>
      <w:r>
        <w:rPr>
          <w:rFonts w:ascii="Arial MT"/>
          <w:color w:val="585858"/>
          <w:spacing w:val="-10"/>
          <w:sz w:val="12"/>
        </w:rPr>
        <w:t>0</w:t>
      </w:r>
    </w:p>
    <w:p>
      <w:pPr>
        <w:spacing w:before="38"/>
        <w:ind w:left="955" w:right="0" w:firstLine="0"/>
        <w:jc w:val="left"/>
        <w:rPr>
          <w:rFonts w:ascii="Arial MT"/>
          <w:sz w:val="14"/>
        </w:rPr>
      </w:pPr>
      <w:r>
        <w:rPr>
          <w:rFonts w:ascii="Arial MT"/>
          <w:sz w:val="14"/>
        </w:rPr>
        <w:t>FY19</w:t>
      </w:r>
      <w:r>
        <w:rPr>
          <w:rFonts w:ascii="Arial MT"/>
          <w:spacing w:val="71"/>
          <w:sz w:val="14"/>
        </w:rPr>
        <w:t> </w:t>
      </w:r>
      <w:r>
        <w:rPr>
          <w:rFonts w:ascii="Arial MT"/>
          <w:sz w:val="14"/>
        </w:rPr>
        <w:t>FY20</w:t>
      </w:r>
      <w:r>
        <w:rPr>
          <w:rFonts w:ascii="Arial MT"/>
          <w:spacing w:val="60"/>
          <w:sz w:val="14"/>
        </w:rPr>
        <w:t> </w:t>
      </w:r>
      <w:r>
        <w:rPr>
          <w:rFonts w:ascii="Arial MT"/>
          <w:sz w:val="14"/>
        </w:rPr>
        <w:t>FY21</w:t>
      </w:r>
      <w:r>
        <w:rPr>
          <w:rFonts w:ascii="Arial MT"/>
          <w:spacing w:val="59"/>
          <w:sz w:val="14"/>
        </w:rPr>
        <w:t> </w:t>
      </w:r>
      <w:r>
        <w:rPr>
          <w:rFonts w:ascii="Arial MT"/>
          <w:sz w:val="14"/>
        </w:rPr>
        <w:t>FY22</w:t>
      </w:r>
      <w:r>
        <w:rPr>
          <w:rFonts w:ascii="Arial MT"/>
          <w:spacing w:val="74"/>
          <w:sz w:val="14"/>
        </w:rPr>
        <w:t> </w:t>
      </w:r>
      <w:r>
        <w:rPr>
          <w:rFonts w:ascii="Arial MT"/>
          <w:spacing w:val="-4"/>
          <w:sz w:val="14"/>
        </w:rPr>
        <w:t>FY23</w:t>
      </w:r>
    </w:p>
    <w:p>
      <w:pPr>
        <w:pStyle w:val="BodyText"/>
        <w:spacing w:before="112"/>
        <w:rPr>
          <w:rFonts w:ascii="Arial MT"/>
          <w:sz w:val="12"/>
        </w:rPr>
      </w:pPr>
      <w:r>
        <w:rPr/>
        <w:br w:type="column"/>
      </w:r>
      <w:r>
        <w:rPr>
          <w:rFonts w:ascii="Arial MT"/>
          <w:sz w:val="12"/>
        </w:rPr>
      </w:r>
    </w:p>
    <w:p>
      <w:pPr>
        <w:spacing w:before="0"/>
        <w:ind w:left="0" w:right="0" w:firstLine="0"/>
        <w:jc w:val="right"/>
        <w:rPr>
          <w:rFonts w:ascii="Arial MT"/>
          <w:sz w:val="12"/>
        </w:rPr>
      </w:pPr>
      <w:r>
        <w:rPr>
          <w:rFonts w:ascii="Arial MT"/>
          <w:color w:val="585858"/>
          <w:spacing w:val="-5"/>
          <w:sz w:val="12"/>
        </w:rPr>
        <w:t>250</w:t>
      </w:r>
    </w:p>
    <w:p>
      <w:pPr>
        <w:spacing w:before="132"/>
        <w:ind w:left="0" w:right="0" w:firstLine="0"/>
        <w:jc w:val="right"/>
        <w:rPr>
          <w:rFonts w:ascii="Arial MT"/>
          <w:sz w:val="12"/>
        </w:rPr>
      </w:pPr>
      <w:r>
        <w:rPr>
          <w:rFonts w:ascii="Arial MT"/>
          <w:color w:val="585858"/>
          <w:spacing w:val="-5"/>
          <w:sz w:val="12"/>
        </w:rPr>
        <w:t>200</w:t>
      </w:r>
    </w:p>
    <w:p>
      <w:pPr>
        <w:spacing w:before="132"/>
        <w:ind w:left="0" w:right="0" w:firstLine="0"/>
        <w:jc w:val="right"/>
        <w:rPr>
          <w:rFonts w:ascii="Arial MT"/>
          <w:sz w:val="12"/>
        </w:rPr>
      </w:pPr>
      <w:r>
        <w:rPr>
          <w:rFonts w:ascii="Arial MT"/>
          <w:color w:val="585858"/>
          <w:spacing w:val="-5"/>
          <w:sz w:val="12"/>
        </w:rPr>
        <w:t>150</w:t>
      </w:r>
    </w:p>
    <w:p>
      <w:pPr>
        <w:spacing w:before="132"/>
        <w:ind w:left="0" w:right="0" w:firstLine="0"/>
        <w:jc w:val="right"/>
        <w:rPr>
          <w:rFonts w:ascii="Arial MT"/>
          <w:sz w:val="12"/>
        </w:rPr>
      </w:pPr>
      <w:r>
        <w:rPr>
          <w:rFonts w:ascii="Arial MT"/>
          <w:color w:val="585858"/>
          <w:spacing w:val="-5"/>
          <w:sz w:val="12"/>
        </w:rPr>
        <w:t>100</w:t>
      </w:r>
    </w:p>
    <w:p>
      <w:pPr>
        <w:spacing w:before="132"/>
        <w:ind w:left="0" w:right="0" w:firstLine="0"/>
        <w:jc w:val="right"/>
        <w:rPr>
          <w:rFonts w:ascii="Arial MT"/>
          <w:sz w:val="12"/>
        </w:rPr>
      </w:pPr>
      <w:r>
        <w:rPr>
          <w:rFonts w:ascii="Arial MT"/>
          <w:color w:val="585858"/>
          <w:spacing w:val="-5"/>
          <w:sz w:val="12"/>
        </w:rPr>
        <w:t>50</w:t>
      </w:r>
    </w:p>
    <w:p>
      <w:pPr>
        <w:spacing w:before="132"/>
        <w:ind w:left="0" w:right="0" w:firstLine="0"/>
        <w:jc w:val="right"/>
        <w:rPr>
          <w:rFonts w:ascii="Arial MT"/>
          <w:sz w:val="12"/>
        </w:rPr>
      </w:pPr>
      <w:r>
        <w:rPr>
          <w:rFonts w:ascii="Arial MT"/>
          <w:color w:val="585858"/>
          <w:spacing w:val="-10"/>
          <w:sz w:val="12"/>
        </w:rPr>
        <w:t>0</w:t>
      </w:r>
    </w:p>
    <w:p>
      <w:pPr>
        <w:spacing w:before="96"/>
        <w:ind w:left="439" w:right="0" w:firstLine="0"/>
        <w:jc w:val="left"/>
        <w:rPr>
          <w:rFonts w:ascii="Arial"/>
          <w:b/>
          <w:sz w:val="14"/>
        </w:rPr>
      </w:pPr>
      <w:r>
        <w:rPr/>
        <w:br w:type="column"/>
      </w:r>
      <w:r>
        <w:rPr>
          <w:rFonts w:ascii="Arial"/>
          <w:b/>
          <w:color w:val="585858"/>
          <w:sz w:val="14"/>
        </w:rPr>
        <w:t>Net</w:t>
      </w:r>
      <w:r>
        <w:rPr>
          <w:rFonts w:ascii="Arial"/>
          <w:b/>
          <w:color w:val="585858"/>
          <w:spacing w:val="-2"/>
          <w:sz w:val="14"/>
        </w:rPr>
        <w:t> </w:t>
      </w:r>
      <w:r>
        <w:rPr>
          <w:rFonts w:ascii="Arial"/>
          <w:b/>
          <w:color w:val="585858"/>
          <w:sz w:val="14"/>
        </w:rPr>
        <w:t>Loans</w:t>
      </w:r>
      <w:r>
        <w:rPr>
          <w:rFonts w:ascii="Arial"/>
          <w:b/>
          <w:color w:val="585858"/>
          <w:spacing w:val="-1"/>
          <w:sz w:val="14"/>
        </w:rPr>
        <w:t> </w:t>
      </w:r>
      <w:r>
        <w:rPr>
          <w:rFonts w:ascii="Arial"/>
          <w:b/>
          <w:color w:val="585858"/>
          <w:spacing w:val="-2"/>
          <w:sz w:val="14"/>
        </w:rPr>
        <w:t>outstanding</w:t>
      </w:r>
    </w:p>
    <w:p>
      <w:pPr>
        <w:spacing w:line="240" w:lineRule="auto"/>
        <w:ind w:left="191" w:right="0" w:firstLine="0"/>
        <w:rPr>
          <w:rFonts w:ascii="Arial"/>
          <w:sz w:val="20"/>
        </w:rPr>
      </w:pPr>
      <w:r>
        <w:rPr>
          <w:rFonts w:ascii="Arial"/>
          <w:sz w:val="20"/>
        </w:rPr>
        <mc:AlternateContent>
          <mc:Choice Requires="wps">
            <w:drawing>
              <wp:inline distT="0" distB="0" distL="0" distR="0">
                <wp:extent cx="1543050" cy="215900"/>
                <wp:effectExtent l="9525" t="0" r="0" b="12700"/>
                <wp:docPr id="51" name="Group 51"/>
                <wp:cNvGraphicFramePr>
                  <a:graphicFrameLocks/>
                </wp:cNvGraphicFramePr>
                <a:graphic>
                  <a:graphicData uri="http://schemas.microsoft.com/office/word/2010/wordprocessingGroup">
                    <wpg:wgp>
                      <wpg:cNvPr id="51" name="Group 51"/>
                      <wpg:cNvGrpSpPr/>
                      <wpg:grpSpPr>
                        <a:xfrm>
                          <a:off x="0" y="0"/>
                          <a:ext cx="1543050" cy="215900"/>
                          <a:chExt cx="1543050" cy="215900"/>
                        </a:xfrm>
                      </wpg:grpSpPr>
                      <wps:wsp>
                        <wps:cNvPr id="52" name="Graphic 52"/>
                        <wps:cNvSpPr/>
                        <wps:spPr>
                          <a:xfrm>
                            <a:off x="0" y="4762"/>
                            <a:ext cx="1543050" cy="180975"/>
                          </a:xfrm>
                          <a:custGeom>
                            <a:avLst/>
                            <a:gdLst/>
                            <a:ahLst/>
                            <a:cxnLst/>
                            <a:rect l="l" t="t" r="r" b="b"/>
                            <a:pathLst>
                              <a:path w="1543050" h="180975">
                                <a:moveTo>
                                  <a:pt x="0" y="180975"/>
                                </a:moveTo>
                                <a:lnTo>
                                  <a:pt x="1543050" y="180975"/>
                                </a:lnTo>
                              </a:path>
                              <a:path w="1543050" h="180975">
                                <a:moveTo>
                                  <a:pt x="0" y="0"/>
                                </a:moveTo>
                                <a:lnTo>
                                  <a:pt x="1543050" y="0"/>
                                </a:lnTo>
                              </a:path>
                            </a:pathLst>
                          </a:custGeom>
                          <a:ln w="9525">
                            <a:solidFill>
                              <a:srgbClr val="E6E6E6"/>
                            </a:solidFill>
                            <a:prstDash val="solid"/>
                          </a:ln>
                        </wps:spPr>
                        <wps:bodyPr wrap="square" lIns="0" tIns="0" rIns="0" bIns="0" rtlCol="0">
                          <a:prstTxWarp prst="textNoShape">
                            <a:avLst/>
                          </a:prstTxWarp>
                          <a:noAutofit/>
                        </wps:bodyPr>
                      </wps:wsp>
                      <wps:wsp>
                        <wps:cNvPr id="53" name="Graphic 53"/>
                        <wps:cNvSpPr/>
                        <wps:spPr>
                          <a:xfrm>
                            <a:off x="154304" y="40245"/>
                            <a:ext cx="1234440" cy="165735"/>
                          </a:xfrm>
                          <a:custGeom>
                            <a:avLst/>
                            <a:gdLst/>
                            <a:ahLst/>
                            <a:cxnLst/>
                            <a:rect l="l" t="t" r="r" b="b"/>
                            <a:pathLst>
                              <a:path w="1234440" h="165735">
                                <a:moveTo>
                                  <a:pt x="0" y="165583"/>
                                </a:moveTo>
                                <a:lnTo>
                                  <a:pt x="108013" y="156155"/>
                                </a:lnTo>
                                <a:lnTo>
                                  <a:pt x="208311" y="145905"/>
                                </a:lnTo>
                                <a:lnTo>
                                  <a:pt x="308610" y="133329"/>
                                </a:lnTo>
                                <a:lnTo>
                                  <a:pt x="365760" y="124088"/>
                                </a:lnTo>
                                <a:lnTo>
                                  <a:pt x="416052" y="114396"/>
                                </a:lnTo>
                                <a:lnTo>
                                  <a:pt x="462915" y="104512"/>
                                </a:lnTo>
                                <a:lnTo>
                                  <a:pt x="509778" y="94692"/>
                                </a:lnTo>
                                <a:lnTo>
                                  <a:pt x="560070" y="85192"/>
                                </a:lnTo>
                                <a:lnTo>
                                  <a:pt x="617220" y="76268"/>
                                </a:lnTo>
                                <a:lnTo>
                                  <a:pt x="674370" y="69283"/>
                                </a:lnTo>
                                <a:lnTo>
                                  <a:pt x="724662" y="64685"/>
                                </a:lnTo>
                                <a:lnTo>
                                  <a:pt x="771525" y="61357"/>
                                </a:lnTo>
                                <a:lnTo>
                                  <a:pt x="818388" y="58183"/>
                                </a:lnTo>
                                <a:lnTo>
                                  <a:pt x="868680" y="54046"/>
                                </a:lnTo>
                                <a:lnTo>
                                  <a:pt x="925830" y="47832"/>
                                </a:lnTo>
                                <a:lnTo>
                                  <a:pt x="1026128" y="33922"/>
                                </a:lnTo>
                                <a:lnTo>
                                  <a:pt x="1126426" y="18195"/>
                                </a:lnTo>
                                <a:lnTo>
                                  <a:pt x="1203578" y="5328"/>
                                </a:lnTo>
                                <a:lnTo>
                                  <a:pt x="1234440" y="0"/>
                                </a:lnTo>
                              </a:path>
                            </a:pathLst>
                          </a:custGeom>
                          <a:ln w="19050">
                            <a:solidFill>
                              <a:srgbClr val="494949"/>
                            </a:solidFill>
                            <a:prstDash val="solid"/>
                          </a:ln>
                        </wps:spPr>
                        <wps:bodyPr wrap="square" lIns="0" tIns="0" rIns="0" bIns="0" rtlCol="0">
                          <a:prstTxWarp prst="textNoShape">
                            <a:avLst/>
                          </a:prstTxWarp>
                          <a:noAutofit/>
                        </wps:bodyPr>
                      </wps:wsp>
                    </wpg:wgp>
                  </a:graphicData>
                </a:graphic>
              </wp:inline>
            </w:drawing>
          </mc:Choice>
          <mc:Fallback>
            <w:pict>
              <v:group style="width:121.5pt;height:17pt;mso-position-horizontal-relative:char;mso-position-vertical-relative:line" id="docshapegroup38" coordorigin="0,0" coordsize="2430,340">
                <v:shape style="position:absolute;left:0;top:7;width:2430;height:285" id="docshape39" coordorigin="0,8" coordsize="2430,285" path="m0,293l2430,293m0,8l2430,8e" filled="false" stroked="true" strokeweight=".75pt" strokecolor="#e6e6e6">
                  <v:path arrowok="t"/>
                  <v:stroke dashstyle="solid"/>
                </v:shape>
                <v:shape style="position:absolute;left:243;top:63;width:1944;height:261" id="docshape40" coordorigin="243,63" coordsize="1944,261" path="m243,324l413,309,571,293,729,273,819,259,898,244,972,228,1046,212,1125,198,1215,183,1305,172,1384,165,1458,160,1532,155,1611,148,1701,139,1859,117,2017,92,2138,72,2187,63e" filled="false" stroked="true" strokeweight="1.5pt" strokecolor="#494949">
                  <v:path arrowok="t"/>
                  <v:stroke dashstyle="solid"/>
                </v:shape>
              </v:group>
            </w:pict>
          </mc:Fallback>
        </mc:AlternateContent>
      </w:r>
      <w:r>
        <w:rPr>
          <w:rFonts w:ascii="Arial"/>
          <w:sz w:val="20"/>
        </w:rPr>
      </w:r>
    </w:p>
    <w:p>
      <w:pPr>
        <w:pStyle w:val="BodyText"/>
        <w:spacing w:before="1"/>
        <w:rPr>
          <w:rFonts w:ascii="Arial"/>
          <w:b/>
          <w:sz w:val="17"/>
        </w:rPr>
      </w:pPr>
      <w:r>
        <w:rPr>
          <w:rFonts w:ascii="Arial"/>
          <w:b/>
          <w:sz w:val="17"/>
        </w:rPr>
        <mc:AlternateContent>
          <mc:Choice Requires="wps">
            <w:drawing>
              <wp:anchor distT="0" distB="0" distL="0" distR="0" allowOverlap="1" layoutInCell="1" locked="0" behindDoc="1" simplePos="0" relativeHeight="487591424">
                <wp:simplePos x="0" y="0"/>
                <wp:positionH relativeFrom="page">
                  <wp:posOffset>5181600</wp:posOffset>
                </wp:positionH>
                <wp:positionV relativeFrom="paragraph">
                  <wp:posOffset>140608</wp:posOffset>
                </wp:positionV>
                <wp:extent cx="154305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543050" cy="1270"/>
                        </a:xfrm>
                        <a:custGeom>
                          <a:avLst/>
                          <a:gdLst/>
                          <a:ahLst/>
                          <a:cxnLst/>
                          <a:rect l="l" t="t" r="r" b="b"/>
                          <a:pathLst>
                            <a:path w="1543050" h="0">
                              <a:moveTo>
                                <a:pt x="0" y="0"/>
                              </a:moveTo>
                              <a:lnTo>
                                <a:pt x="15430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408pt;margin-top:11.071515pt;width:121.5pt;height:.1pt;mso-position-horizontal-relative:page;mso-position-vertical-relative:paragraph;z-index:-15725056;mso-wrap-distance-left:0;mso-wrap-distance-right:0" id="docshape41" coordorigin="8160,221" coordsize="2430,0" path="m8160,221l10590,221e" filled="false" stroked="true" strokeweight=".75pt" strokecolor="#e6e6e6">
                <v:path arrowok="t"/>
                <v:stroke dashstyle="solid"/>
                <w10:wrap type="topAndBottom"/>
              </v:shape>
            </w:pict>
          </mc:Fallback>
        </mc:AlternateContent>
      </w:r>
      <w:r>
        <w:rPr>
          <w:rFonts w:ascii="Arial"/>
          <w:b/>
          <w:sz w:val="17"/>
        </w:rPr>
        <mc:AlternateContent>
          <mc:Choice Requires="wps">
            <w:drawing>
              <wp:anchor distT="0" distB="0" distL="0" distR="0" allowOverlap="1" layoutInCell="1" locked="0" behindDoc="1" simplePos="0" relativeHeight="487591936">
                <wp:simplePos x="0" y="0"/>
                <wp:positionH relativeFrom="page">
                  <wp:posOffset>5181600</wp:posOffset>
                </wp:positionH>
                <wp:positionV relativeFrom="paragraph">
                  <wp:posOffset>312058</wp:posOffset>
                </wp:positionV>
                <wp:extent cx="154305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543050" cy="1270"/>
                        </a:xfrm>
                        <a:custGeom>
                          <a:avLst/>
                          <a:gdLst/>
                          <a:ahLst/>
                          <a:cxnLst/>
                          <a:rect l="l" t="t" r="r" b="b"/>
                          <a:pathLst>
                            <a:path w="1543050" h="0">
                              <a:moveTo>
                                <a:pt x="0" y="0"/>
                              </a:moveTo>
                              <a:lnTo>
                                <a:pt x="15430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408pt;margin-top:24.571514pt;width:121.5pt;height:.1pt;mso-position-horizontal-relative:page;mso-position-vertical-relative:paragraph;z-index:-15724544;mso-wrap-distance-left:0;mso-wrap-distance-right:0" id="docshape42" coordorigin="8160,491" coordsize="2430,0" path="m8160,491l10590,491e" filled="false" stroked="true" strokeweight=".75pt" strokecolor="#e6e6e6">
                <v:path arrowok="t"/>
                <v:stroke dashstyle="solid"/>
                <w10:wrap type="topAndBottom"/>
              </v:shape>
            </w:pict>
          </mc:Fallback>
        </mc:AlternateContent>
      </w:r>
      <w:r>
        <w:rPr>
          <w:rFonts w:ascii="Arial"/>
          <w:b/>
          <w:sz w:val="17"/>
        </w:rPr>
        <mc:AlternateContent>
          <mc:Choice Requires="wps">
            <w:drawing>
              <wp:anchor distT="0" distB="0" distL="0" distR="0" allowOverlap="1" layoutInCell="1" locked="0" behindDoc="1" simplePos="0" relativeHeight="487592448">
                <wp:simplePos x="0" y="0"/>
                <wp:positionH relativeFrom="page">
                  <wp:posOffset>5181600</wp:posOffset>
                </wp:positionH>
                <wp:positionV relativeFrom="paragraph">
                  <wp:posOffset>483508</wp:posOffset>
                </wp:positionV>
                <wp:extent cx="154305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543050" cy="1270"/>
                        </a:xfrm>
                        <a:custGeom>
                          <a:avLst/>
                          <a:gdLst/>
                          <a:ahLst/>
                          <a:cxnLst/>
                          <a:rect l="l" t="t" r="r" b="b"/>
                          <a:pathLst>
                            <a:path w="1543050" h="0">
                              <a:moveTo>
                                <a:pt x="0" y="0"/>
                              </a:moveTo>
                              <a:lnTo>
                                <a:pt x="15430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408pt;margin-top:38.071514pt;width:121.5pt;height:.1pt;mso-position-horizontal-relative:page;mso-position-vertical-relative:paragraph;z-index:-15724032;mso-wrap-distance-left:0;mso-wrap-distance-right:0" id="docshape43" coordorigin="8160,761" coordsize="2430,0" path="m8160,761l10590,761e" filled="false" stroked="true" strokeweight=".75pt" strokecolor="#e6e6e6">
                <v:path arrowok="t"/>
                <v:stroke dashstyle="solid"/>
                <w10:wrap type="topAndBottom"/>
              </v:shape>
            </w:pict>
          </mc:Fallback>
        </mc:AlternateContent>
      </w:r>
      <w:r>
        <w:rPr>
          <w:rFonts w:ascii="Arial"/>
          <w:b/>
          <w:sz w:val="17"/>
        </w:rPr>
        <mc:AlternateContent>
          <mc:Choice Requires="wps">
            <w:drawing>
              <wp:anchor distT="0" distB="0" distL="0" distR="0" allowOverlap="1" layoutInCell="1" locked="0" behindDoc="1" simplePos="0" relativeHeight="487592960">
                <wp:simplePos x="0" y="0"/>
                <wp:positionH relativeFrom="page">
                  <wp:posOffset>5181600</wp:posOffset>
                </wp:positionH>
                <wp:positionV relativeFrom="paragraph">
                  <wp:posOffset>654958</wp:posOffset>
                </wp:positionV>
                <wp:extent cx="154305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543050" cy="1270"/>
                        </a:xfrm>
                        <a:custGeom>
                          <a:avLst/>
                          <a:gdLst/>
                          <a:ahLst/>
                          <a:cxnLst/>
                          <a:rect l="l" t="t" r="r" b="b"/>
                          <a:pathLst>
                            <a:path w="1543050" h="0">
                              <a:moveTo>
                                <a:pt x="0" y="0"/>
                              </a:moveTo>
                              <a:lnTo>
                                <a:pt x="15430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408pt;margin-top:51.571514pt;width:121.5pt;height:.1pt;mso-position-horizontal-relative:page;mso-position-vertical-relative:paragraph;z-index:-15723520;mso-wrap-distance-left:0;mso-wrap-distance-right:0" id="docshape44" coordorigin="8160,1031" coordsize="2430,0" path="m8160,1031l10590,1031e" filled="false" stroked="true" strokeweight=".75pt" strokecolor="#e6e6e6">
                <v:path arrowok="t"/>
                <v:stroke dashstyle="solid"/>
                <w10:wrap type="topAndBottom"/>
              </v:shape>
            </w:pict>
          </mc:Fallback>
        </mc:AlternateContent>
      </w:r>
    </w:p>
    <w:p>
      <w:pPr>
        <w:pStyle w:val="BodyText"/>
        <w:spacing w:before="8"/>
        <w:rPr>
          <w:rFonts w:ascii="Arial"/>
          <w:b/>
        </w:rPr>
      </w:pPr>
    </w:p>
    <w:p>
      <w:pPr>
        <w:pStyle w:val="BodyText"/>
        <w:spacing w:before="8"/>
        <w:rPr>
          <w:rFonts w:ascii="Arial"/>
          <w:b/>
        </w:rPr>
      </w:pPr>
    </w:p>
    <w:p>
      <w:pPr>
        <w:pStyle w:val="BodyText"/>
        <w:spacing w:before="8"/>
        <w:rPr>
          <w:rFonts w:ascii="Arial"/>
          <w:b/>
        </w:rPr>
      </w:pPr>
    </w:p>
    <w:p>
      <w:pPr>
        <w:spacing w:before="120"/>
        <w:ind w:left="227" w:right="0" w:firstLine="0"/>
        <w:jc w:val="left"/>
        <w:rPr>
          <w:rFonts w:ascii="Arial MT"/>
          <w:sz w:val="14"/>
        </w:rPr>
      </w:pPr>
      <w:r>
        <w:rPr>
          <w:rFonts w:ascii="Arial MT"/>
          <w:sz w:val="14"/>
        </w:rPr>
        <w:t>Jun</w:t>
      </w:r>
      <w:r>
        <w:rPr>
          <w:rFonts w:ascii="Arial MT"/>
          <w:spacing w:val="-11"/>
          <w:sz w:val="14"/>
        </w:rPr>
        <w:t> </w:t>
      </w:r>
      <w:r>
        <w:rPr>
          <w:rFonts w:ascii="Arial MT"/>
          <w:sz w:val="14"/>
        </w:rPr>
        <w:t>19</w:t>
      </w:r>
      <w:r>
        <w:rPr>
          <w:rFonts w:ascii="Arial MT"/>
          <w:spacing w:val="25"/>
          <w:sz w:val="14"/>
        </w:rPr>
        <w:t> </w:t>
      </w:r>
      <w:r>
        <w:rPr>
          <w:rFonts w:ascii="Arial MT"/>
          <w:sz w:val="14"/>
        </w:rPr>
        <w:t>Jun</w:t>
      </w:r>
      <w:r>
        <w:rPr>
          <w:rFonts w:ascii="Arial MT"/>
          <w:spacing w:val="-11"/>
          <w:sz w:val="14"/>
        </w:rPr>
        <w:t> </w:t>
      </w:r>
      <w:r>
        <w:rPr>
          <w:rFonts w:ascii="Arial MT"/>
          <w:sz w:val="14"/>
        </w:rPr>
        <w:t>20</w:t>
      </w:r>
      <w:r>
        <w:rPr>
          <w:rFonts w:ascii="Arial MT"/>
          <w:spacing w:val="43"/>
          <w:sz w:val="14"/>
        </w:rPr>
        <w:t> </w:t>
      </w:r>
      <w:r>
        <w:rPr>
          <w:rFonts w:ascii="Arial MT"/>
          <w:sz w:val="14"/>
        </w:rPr>
        <w:t>Jun</w:t>
      </w:r>
      <w:r>
        <w:rPr>
          <w:rFonts w:ascii="Arial MT"/>
          <w:spacing w:val="-11"/>
          <w:sz w:val="14"/>
        </w:rPr>
        <w:t> </w:t>
      </w:r>
      <w:r>
        <w:rPr>
          <w:rFonts w:ascii="Arial MT"/>
          <w:sz w:val="14"/>
        </w:rPr>
        <w:t>21</w:t>
      </w:r>
      <w:r>
        <w:rPr>
          <w:rFonts w:ascii="Arial MT"/>
          <w:spacing w:val="29"/>
          <w:sz w:val="14"/>
        </w:rPr>
        <w:t> </w:t>
      </w:r>
      <w:r>
        <w:rPr>
          <w:rFonts w:ascii="Arial MT"/>
          <w:sz w:val="14"/>
        </w:rPr>
        <w:t>Jun</w:t>
      </w:r>
      <w:r>
        <w:rPr>
          <w:rFonts w:ascii="Arial MT"/>
          <w:spacing w:val="-11"/>
          <w:sz w:val="14"/>
        </w:rPr>
        <w:t> </w:t>
      </w:r>
      <w:r>
        <w:rPr>
          <w:rFonts w:ascii="Arial MT"/>
          <w:sz w:val="14"/>
        </w:rPr>
        <w:t>22</w:t>
      </w:r>
      <w:r>
        <w:rPr>
          <w:rFonts w:ascii="Arial MT"/>
          <w:spacing w:val="29"/>
          <w:sz w:val="14"/>
        </w:rPr>
        <w:t> </w:t>
      </w:r>
      <w:r>
        <w:rPr>
          <w:rFonts w:ascii="Arial MT"/>
          <w:sz w:val="14"/>
        </w:rPr>
        <w:t>Jun</w:t>
      </w:r>
      <w:r>
        <w:rPr>
          <w:rFonts w:ascii="Arial MT"/>
          <w:spacing w:val="-11"/>
          <w:sz w:val="14"/>
        </w:rPr>
        <w:t> </w:t>
      </w:r>
      <w:r>
        <w:rPr>
          <w:rFonts w:ascii="Arial MT"/>
          <w:spacing w:val="-5"/>
          <w:sz w:val="14"/>
        </w:rPr>
        <w:t>23</w:t>
      </w:r>
    </w:p>
    <w:p>
      <w:pPr>
        <w:spacing w:after="0"/>
        <w:jc w:val="left"/>
        <w:rPr>
          <w:rFonts w:ascii="Arial MT"/>
          <w:sz w:val="14"/>
        </w:rPr>
        <w:sectPr>
          <w:type w:val="continuous"/>
          <w:pgSz w:w="12240" w:h="15840"/>
          <w:pgMar w:header="744" w:footer="583" w:top="1820" w:bottom="280" w:left="720" w:right="720"/>
          <w:cols w:num="4" w:equalWidth="0">
            <w:col w:w="3423" w:space="40"/>
            <w:col w:w="3060" w:space="39"/>
            <w:col w:w="638" w:space="40"/>
            <w:col w:w="3560"/>
          </w:cols>
        </w:sectPr>
      </w:pPr>
    </w:p>
    <w:p>
      <w:pPr>
        <w:pStyle w:val="BodyText"/>
        <w:spacing w:before="162"/>
        <w:rPr>
          <w:rFonts w:ascii="Arial MT"/>
        </w:rPr>
      </w:pPr>
    </w:p>
    <w:p>
      <w:pPr>
        <w:pStyle w:val="BodyText"/>
        <w:spacing w:line="232" w:lineRule="auto"/>
        <w:ind w:left="720"/>
      </w:pPr>
      <w:r>
        <w:rPr/>
        <w:t>Net</w:t>
      </w:r>
      <w:r>
        <w:rPr>
          <w:spacing w:val="20"/>
        </w:rPr>
        <w:t> </w:t>
      </w:r>
      <w:r>
        <w:rPr/>
        <w:t>commitments</w:t>
      </w:r>
      <w:r>
        <w:rPr>
          <w:spacing w:val="20"/>
        </w:rPr>
        <w:t> </w:t>
      </w:r>
      <w:r>
        <w:rPr/>
        <w:t>were</w:t>
      </w:r>
      <w:r>
        <w:rPr>
          <w:spacing w:val="20"/>
        </w:rPr>
        <w:t> </w:t>
      </w:r>
      <w:r>
        <w:rPr/>
        <w:t>$5.5</w:t>
      </w:r>
      <w:r>
        <w:rPr>
          <w:spacing w:val="21"/>
        </w:rPr>
        <w:t> </w:t>
      </w:r>
      <w:r>
        <w:rPr/>
        <w:t>billion</w:t>
      </w:r>
      <w:r>
        <w:rPr>
          <w:spacing w:val="21"/>
        </w:rPr>
        <w:t> </w:t>
      </w:r>
      <w:r>
        <w:rPr/>
        <w:t>higher</w:t>
      </w:r>
      <w:r>
        <w:rPr>
          <w:spacing w:val="21"/>
        </w:rPr>
        <w:t> </w:t>
      </w:r>
      <w:r>
        <w:rPr/>
        <w:t>compared</w:t>
      </w:r>
      <w:r>
        <w:rPr>
          <w:spacing w:val="21"/>
        </w:rPr>
        <w:t> </w:t>
      </w:r>
      <w:r>
        <w:rPr/>
        <w:t>with</w:t>
      </w:r>
      <w:r>
        <w:rPr>
          <w:spacing w:val="21"/>
        </w:rPr>
        <w:t> </w:t>
      </w:r>
      <w:r>
        <w:rPr/>
        <w:t>FY22</w:t>
      </w:r>
      <w:r>
        <w:rPr>
          <w:spacing w:val="21"/>
        </w:rPr>
        <w:t> </w:t>
      </w:r>
      <w:r>
        <w:rPr/>
        <w:t>(Table</w:t>
      </w:r>
      <w:r>
        <w:rPr>
          <w:spacing w:val="20"/>
        </w:rPr>
        <w:t> </w:t>
      </w:r>
      <w:r>
        <w:rPr/>
        <w:t>8).</w:t>
      </w:r>
      <w:r>
        <w:rPr>
          <w:spacing w:val="21"/>
        </w:rPr>
        <w:t> </w:t>
      </w:r>
      <w:r>
        <w:rPr/>
        <w:t>The</w:t>
      </w:r>
      <w:r>
        <w:rPr>
          <w:spacing w:val="20"/>
        </w:rPr>
        <w:t> </w:t>
      </w:r>
      <w:r>
        <w:rPr/>
        <w:t>regions</w:t>
      </w:r>
      <w:r>
        <w:rPr>
          <w:spacing w:val="20"/>
        </w:rPr>
        <w:t> </w:t>
      </w:r>
      <w:r>
        <w:rPr/>
        <w:t>with</w:t>
      </w:r>
      <w:r>
        <w:rPr>
          <w:spacing w:val="21"/>
        </w:rPr>
        <w:t> </w:t>
      </w:r>
      <w:r>
        <w:rPr/>
        <w:t>the</w:t>
      </w:r>
      <w:r>
        <w:rPr>
          <w:spacing w:val="20"/>
        </w:rPr>
        <w:t> </w:t>
      </w:r>
      <w:r>
        <w:rPr/>
        <w:t>largest</w:t>
      </w:r>
      <w:r>
        <w:rPr>
          <w:spacing w:val="20"/>
        </w:rPr>
        <w:t> </w:t>
      </w:r>
      <w:r>
        <w:rPr/>
        <w:t>share</w:t>
      </w:r>
      <w:r>
        <w:rPr>
          <w:spacing w:val="20"/>
        </w:rPr>
        <w:t> </w:t>
      </w:r>
      <w:r>
        <w:rPr/>
        <w:t>of commitments during FY23 were Europe and Central Asia and Latin America and the Caribbean with 26% each.</w:t>
      </w:r>
    </w:p>
    <w:p>
      <w:pPr>
        <w:pStyle w:val="BodyText"/>
        <w:spacing w:after="0" w:line="232" w:lineRule="auto"/>
        <w:sectPr>
          <w:type w:val="continuous"/>
          <w:pgSz w:w="12240" w:h="15840"/>
          <w:pgMar w:header="744" w:footer="583" w:top="1820" w:bottom="280" w:left="720" w:right="720"/>
        </w:sectPr>
      </w:pPr>
    </w:p>
    <w:p>
      <w:pPr>
        <w:pStyle w:val="BodyText"/>
        <w:spacing w:before="28"/>
      </w:pPr>
    </w:p>
    <w:p>
      <w:pPr>
        <w:pStyle w:val="BodyText"/>
        <w:spacing w:after="0"/>
        <w:sectPr>
          <w:pgSz w:w="12240" w:h="15840"/>
          <w:pgMar w:header="744" w:footer="713" w:top="1020" w:bottom="900" w:left="720" w:right="720"/>
        </w:sectPr>
      </w:pPr>
    </w:p>
    <w:p>
      <w:pPr>
        <w:pStyle w:val="Heading4"/>
        <w:spacing w:before="91"/>
        <w:jc w:val="left"/>
      </w:pPr>
      <w:r>
        <w:rPr/>
        <w:t>Net</w:t>
      </w:r>
      <w:r>
        <w:rPr>
          <w:spacing w:val="-3"/>
        </w:rPr>
        <w:t> </w:t>
      </w:r>
      <w:r>
        <w:rPr/>
        <w:t>Investment</w:t>
      </w:r>
      <w:r>
        <w:rPr>
          <w:spacing w:val="-2"/>
        </w:rPr>
        <w:t> Portfolio</w:t>
      </w:r>
    </w:p>
    <w:p>
      <w:pPr>
        <w:pStyle w:val="BodyText"/>
        <w:spacing w:line="220" w:lineRule="exact" w:before="96"/>
        <w:ind w:left="720"/>
      </w:pPr>
      <w:r>
        <w:rPr/>
        <w:t>IBRD’s</w:t>
      </w:r>
      <w:r>
        <w:rPr>
          <w:spacing w:val="35"/>
        </w:rPr>
        <w:t> </w:t>
      </w:r>
      <w:r>
        <w:rPr/>
        <w:t>net</w:t>
      </w:r>
      <w:r>
        <w:rPr>
          <w:spacing w:val="36"/>
        </w:rPr>
        <w:t> </w:t>
      </w:r>
      <w:r>
        <w:rPr/>
        <w:t>investment</w:t>
      </w:r>
      <w:r>
        <w:rPr>
          <w:spacing w:val="36"/>
        </w:rPr>
        <w:t> </w:t>
      </w:r>
      <w:r>
        <w:rPr/>
        <w:t>portfolio</w:t>
      </w:r>
      <w:r>
        <w:rPr>
          <w:spacing w:val="37"/>
        </w:rPr>
        <w:t> </w:t>
      </w:r>
      <w:r>
        <w:rPr/>
        <w:t>decreased</w:t>
      </w:r>
      <w:r>
        <w:rPr>
          <w:spacing w:val="37"/>
        </w:rPr>
        <w:t> </w:t>
      </w:r>
      <w:r>
        <w:rPr/>
        <w:t>by</w:t>
      </w:r>
      <w:r>
        <w:rPr>
          <w:spacing w:val="37"/>
        </w:rPr>
        <w:t> </w:t>
      </w:r>
      <w:r>
        <w:rPr>
          <w:spacing w:val="-4"/>
        </w:rPr>
        <w:t>$2.9</w:t>
      </w:r>
    </w:p>
    <w:p>
      <w:pPr>
        <w:spacing w:before="114"/>
        <w:ind w:left="680" w:right="0" w:firstLine="0"/>
        <w:jc w:val="left"/>
        <w:rPr>
          <w:rFonts w:ascii="Arial"/>
          <w:i/>
          <w:sz w:val="16"/>
        </w:rPr>
      </w:pPr>
      <w:r>
        <w:rPr/>
        <w:br w:type="column"/>
      </w: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left"/>
        <w:rPr>
          <w:rFonts w:ascii="Arial"/>
          <w:i/>
          <w:sz w:val="16"/>
        </w:rPr>
        <w:sectPr>
          <w:type w:val="continuous"/>
          <w:pgSz w:w="12240" w:h="15840"/>
          <w:pgMar w:header="744" w:footer="713" w:top="1820" w:bottom="280" w:left="720" w:right="720"/>
          <w:cols w:num="2" w:equalWidth="0">
            <w:col w:w="5040" w:space="40"/>
            <w:col w:w="5720"/>
          </w:cols>
        </w:sectPr>
      </w:pPr>
    </w:p>
    <w:p>
      <w:pPr>
        <w:pStyle w:val="BodyText"/>
        <w:spacing w:line="227" w:lineRule="exact" w:before="3"/>
        <w:ind w:left="720"/>
        <w:jc w:val="both"/>
      </w:pPr>
      <w:r>
        <w:rPr/>
        <w:t>billion,</w:t>
      </w:r>
      <w:r>
        <w:rPr>
          <w:spacing w:val="38"/>
        </w:rPr>
        <w:t> </w:t>
      </w:r>
      <w:r>
        <w:rPr/>
        <w:t>from</w:t>
      </w:r>
      <w:r>
        <w:rPr>
          <w:spacing w:val="41"/>
        </w:rPr>
        <w:t> </w:t>
      </w:r>
      <w:r>
        <w:rPr/>
        <w:t>$82.1</w:t>
      </w:r>
      <w:r>
        <w:rPr>
          <w:spacing w:val="41"/>
        </w:rPr>
        <w:t> </w:t>
      </w:r>
      <w:r>
        <w:rPr/>
        <w:t>billion</w:t>
      </w:r>
      <w:r>
        <w:rPr>
          <w:spacing w:val="41"/>
        </w:rPr>
        <w:t> </w:t>
      </w:r>
      <w:r>
        <w:rPr/>
        <w:t>as</w:t>
      </w:r>
      <w:r>
        <w:rPr>
          <w:spacing w:val="41"/>
        </w:rPr>
        <w:t> </w:t>
      </w:r>
      <w:r>
        <w:rPr/>
        <w:t>of</w:t>
      </w:r>
      <w:r>
        <w:rPr>
          <w:spacing w:val="41"/>
        </w:rPr>
        <w:t> </w:t>
      </w:r>
      <w:r>
        <w:rPr/>
        <w:t>June</w:t>
      </w:r>
      <w:r>
        <w:rPr>
          <w:spacing w:val="41"/>
        </w:rPr>
        <w:t> </w:t>
      </w:r>
      <w:r>
        <w:rPr/>
        <w:t>30,</w:t>
      </w:r>
      <w:r>
        <w:rPr>
          <w:spacing w:val="41"/>
        </w:rPr>
        <w:t> </w:t>
      </w:r>
      <w:r>
        <w:rPr/>
        <w:t>2022,</w:t>
      </w:r>
      <w:r>
        <w:rPr>
          <w:spacing w:val="41"/>
        </w:rPr>
        <w:t> </w:t>
      </w:r>
      <w:r>
        <w:rPr>
          <w:spacing w:val="-5"/>
        </w:rPr>
        <w:t>to</w:t>
      </w:r>
    </w:p>
    <w:p>
      <w:pPr>
        <w:pStyle w:val="BodyText"/>
        <w:spacing w:line="232" w:lineRule="auto" w:before="3"/>
        <w:ind w:left="720" w:right="38"/>
        <w:jc w:val="both"/>
      </w:pPr>
      <w:r>
        <w:rPr/>
        <w:t>$79.2 billion as of June 30, 2023. The decrease was primarily due to net loan disbursements that were higher than net debt</w:t>
      </w:r>
      <w:r>
        <w:rPr>
          <w:spacing w:val="40"/>
        </w:rPr>
        <w:t> </w:t>
      </w:r>
      <w:r>
        <w:rPr/>
        <w:t>issuances during the year and is consistent with the lower target liquidity level in FY23, compared to FY22. The investments remain concentrated in the upper end of the credit spectrum, with 79% rated AA or above (Table 29), reflecting IBRD’s objective of principal protection and its preference for high-quality investments.</w:t>
      </w:r>
    </w:p>
    <w:p>
      <w:pPr>
        <w:spacing w:before="130"/>
        <w:ind w:left="0" w:right="0" w:firstLine="0"/>
        <w:jc w:val="right"/>
        <w:rPr>
          <w:rFonts w:ascii="Arial MT"/>
          <w:sz w:val="14"/>
        </w:rPr>
      </w:pPr>
      <w:r>
        <w:rPr/>
        <w:br w:type="column"/>
      </w:r>
      <w:r>
        <w:rPr>
          <w:rFonts w:ascii="Arial MT"/>
          <w:color w:val="585858"/>
          <w:spacing w:val="-5"/>
          <w:sz w:val="14"/>
        </w:rPr>
        <w:t>120</w:t>
      </w:r>
    </w:p>
    <w:p>
      <w:pPr>
        <w:spacing w:before="139"/>
        <w:ind w:left="0" w:right="0" w:firstLine="0"/>
        <w:jc w:val="right"/>
        <w:rPr>
          <w:rFonts w:ascii="Arial MT"/>
          <w:sz w:val="14"/>
        </w:rPr>
      </w:pPr>
      <w:r>
        <w:rPr>
          <w:rFonts w:ascii="Arial MT"/>
          <w:color w:val="585858"/>
          <w:spacing w:val="-5"/>
          <w:sz w:val="14"/>
        </w:rPr>
        <w:t>90</w:t>
      </w:r>
    </w:p>
    <w:p>
      <w:pPr>
        <w:spacing w:before="139"/>
        <w:ind w:left="0" w:right="0" w:firstLine="0"/>
        <w:jc w:val="right"/>
        <w:rPr>
          <w:rFonts w:ascii="Arial MT"/>
          <w:sz w:val="14"/>
        </w:rPr>
      </w:pPr>
      <w:r>
        <w:rPr>
          <w:rFonts w:ascii="Arial MT"/>
          <w:color w:val="585858"/>
          <w:spacing w:val="-5"/>
          <w:sz w:val="14"/>
        </w:rPr>
        <w:t>60</w:t>
      </w:r>
    </w:p>
    <w:p>
      <w:pPr>
        <w:spacing w:before="139"/>
        <w:ind w:left="0" w:right="0" w:firstLine="0"/>
        <w:jc w:val="right"/>
        <w:rPr>
          <w:rFonts w:ascii="Arial MT"/>
          <w:sz w:val="14"/>
        </w:rPr>
      </w:pPr>
      <w:r>
        <w:rPr>
          <w:rFonts w:ascii="Arial MT"/>
          <w:color w:val="585858"/>
          <w:spacing w:val="-5"/>
          <w:sz w:val="14"/>
        </w:rPr>
        <w:t>30</w:t>
      </w:r>
    </w:p>
    <w:p>
      <w:pPr>
        <w:spacing w:before="139"/>
        <w:ind w:left="0" w:right="0" w:firstLine="0"/>
        <w:jc w:val="right"/>
        <w:rPr>
          <w:rFonts w:ascii="Arial MT"/>
          <w:sz w:val="14"/>
        </w:rPr>
      </w:pPr>
      <w:r>
        <w:rPr>
          <w:rFonts w:ascii="Arial MT"/>
          <w:color w:val="585858"/>
          <w:spacing w:val="-10"/>
          <w:sz w:val="14"/>
        </w:rPr>
        <w:t>0</w:t>
      </w:r>
    </w:p>
    <w:p>
      <w:pPr>
        <w:spacing w:line="156" w:lineRule="exact" w:before="0"/>
        <w:ind w:left="576" w:right="0" w:firstLine="0"/>
        <w:jc w:val="left"/>
        <w:rPr>
          <w:rFonts w:ascii="Arial"/>
          <w:b/>
          <w:sz w:val="14"/>
        </w:rPr>
      </w:pPr>
      <w:r>
        <w:rPr/>
        <w:br w:type="column"/>
      </w:r>
      <w:r>
        <w:rPr>
          <w:rFonts w:ascii="Arial"/>
          <w:b/>
          <w:color w:val="585858"/>
          <w:sz w:val="14"/>
        </w:rPr>
        <w:t>Net</w:t>
      </w:r>
      <w:r>
        <w:rPr>
          <w:rFonts w:ascii="Arial"/>
          <w:b/>
          <w:color w:val="585858"/>
          <w:spacing w:val="-4"/>
          <w:sz w:val="14"/>
        </w:rPr>
        <w:t> </w:t>
      </w:r>
      <w:r>
        <w:rPr>
          <w:rFonts w:ascii="Arial"/>
          <w:b/>
          <w:color w:val="585858"/>
          <w:sz w:val="14"/>
        </w:rPr>
        <w:t>Investment</w:t>
      </w:r>
      <w:r>
        <w:rPr>
          <w:rFonts w:ascii="Arial"/>
          <w:b/>
          <w:color w:val="585858"/>
          <w:spacing w:val="-3"/>
          <w:sz w:val="14"/>
        </w:rPr>
        <w:t> </w:t>
      </w:r>
      <w:r>
        <w:rPr>
          <w:rFonts w:ascii="Arial"/>
          <w:b/>
          <w:color w:val="585858"/>
          <w:spacing w:val="-2"/>
          <w:sz w:val="14"/>
        </w:rPr>
        <w:t>Portfolio</w:t>
      </w:r>
    </w:p>
    <w:p>
      <w:pPr>
        <w:pStyle w:val="BodyText"/>
        <w:spacing w:before="3"/>
        <w:rPr>
          <w:rFonts w:ascii="Arial"/>
          <w:b/>
          <w:sz w:val="2"/>
        </w:rPr>
      </w:pPr>
    </w:p>
    <w:p>
      <w:pPr>
        <w:spacing w:line="20" w:lineRule="exact"/>
        <w:ind w:left="199" w:right="0" w:firstLine="0"/>
        <w:rPr>
          <w:rFonts w:ascii="Arial"/>
          <w:sz w:val="2"/>
        </w:rPr>
      </w:pPr>
      <w:r>
        <w:rPr>
          <w:rFonts w:ascii="Arial"/>
          <w:sz w:val="2"/>
        </w:rPr>
        <mc:AlternateContent>
          <mc:Choice Requires="wps">
            <w:drawing>
              <wp:inline distT="0" distB="0" distL="0" distR="0">
                <wp:extent cx="1809750" cy="9525"/>
                <wp:effectExtent l="9525" t="0" r="0" b="0"/>
                <wp:docPr id="58" name="Group 58"/>
                <wp:cNvGraphicFramePr>
                  <a:graphicFrameLocks/>
                </wp:cNvGraphicFramePr>
                <a:graphic>
                  <a:graphicData uri="http://schemas.microsoft.com/office/word/2010/wordprocessingGroup">
                    <wpg:wgp>
                      <wpg:cNvPr id="58" name="Group 58"/>
                      <wpg:cNvGrpSpPr/>
                      <wpg:grpSpPr>
                        <a:xfrm>
                          <a:off x="0" y="0"/>
                          <a:ext cx="1809750" cy="9525"/>
                          <a:chExt cx="1809750" cy="9525"/>
                        </a:xfrm>
                      </wpg:grpSpPr>
                      <wps:wsp>
                        <wps:cNvPr id="59" name="Graphic 59"/>
                        <wps:cNvSpPr/>
                        <wps:spPr>
                          <a:xfrm>
                            <a:off x="0" y="4762"/>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wpg:wgp>
                  </a:graphicData>
                </a:graphic>
              </wp:inline>
            </w:drawing>
          </mc:Choice>
          <mc:Fallback>
            <w:pict>
              <v:group style="width:142.5pt;height:.75pt;mso-position-horizontal-relative:char;mso-position-vertical-relative:line" id="docshapegroup45" coordorigin="0,0" coordsize="2850,15">
                <v:line style="position:absolute" from="0,8" to="2850,8" stroked="true" strokeweight=".75pt" strokecolor="#e6e6e6">
                  <v:stroke dashstyle="solid"/>
                </v:line>
              </v:group>
            </w:pict>
          </mc:Fallback>
        </mc:AlternateContent>
      </w:r>
      <w:r>
        <w:rPr>
          <w:rFonts w:ascii="Arial"/>
          <w:sz w:val="2"/>
        </w:rPr>
      </w:r>
    </w:p>
    <w:p>
      <w:pPr>
        <w:pStyle w:val="BodyText"/>
        <w:spacing w:before="33"/>
        <w:rPr>
          <w:rFonts w:ascii="Arial"/>
          <w:b/>
        </w:rPr>
      </w:pPr>
      <w:r>
        <w:rPr>
          <w:rFonts w:ascii="Arial"/>
          <w:b/>
        </w:rPr>
        <mc:AlternateContent>
          <mc:Choice Requires="wps">
            <w:drawing>
              <wp:anchor distT="0" distB="0" distL="0" distR="0" allowOverlap="1" layoutInCell="1" locked="0" behindDoc="1" simplePos="0" relativeHeight="487599616">
                <wp:simplePos x="0" y="0"/>
                <wp:positionH relativeFrom="page">
                  <wp:posOffset>4543425</wp:posOffset>
                </wp:positionH>
                <wp:positionV relativeFrom="paragraph">
                  <wp:posOffset>182583</wp:posOffset>
                </wp:positionV>
                <wp:extent cx="1809750" cy="7874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809750" cy="78740"/>
                          <a:chExt cx="1809750" cy="78740"/>
                        </a:xfrm>
                      </wpg:grpSpPr>
                      <wps:wsp>
                        <wps:cNvPr id="61" name="Graphic 61"/>
                        <wps:cNvSpPr/>
                        <wps:spPr>
                          <a:xfrm>
                            <a:off x="0" y="4762"/>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wps:wsp>
                        <wps:cNvPr id="62" name="Graphic 62"/>
                        <wps:cNvSpPr/>
                        <wps:spPr>
                          <a:xfrm>
                            <a:off x="180975" y="26473"/>
                            <a:ext cx="1447800" cy="42545"/>
                          </a:xfrm>
                          <a:custGeom>
                            <a:avLst/>
                            <a:gdLst/>
                            <a:ahLst/>
                            <a:cxnLst/>
                            <a:rect l="l" t="t" r="r" b="b"/>
                            <a:pathLst>
                              <a:path w="1447800" h="42545">
                                <a:moveTo>
                                  <a:pt x="0" y="29870"/>
                                </a:moveTo>
                                <a:lnTo>
                                  <a:pt x="126682" y="27799"/>
                                </a:lnTo>
                                <a:lnTo>
                                  <a:pt x="244316" y="25114"/>
                                </a:lnTo>
                                <a:lnTo>
                                  <a:pt x="361950" y="21247"/>
                                </a:lnTo>
                                <a:lnTo>
                                  <a:pt x="419988" y="18189"/>
                                </a:lnTo>
                                <a:lnTo>
                                  <a:pt x="471695" y="14422"/>
                                </a:lnTo>
                                <a:lnTo>
                                  <a:pt x="519604" y="10376"/>
                                </a:lnTo>
                                <a:lnTo>
                                  <a:pt x="566245" y="6481"/>
                                </a:lnTo>
                                <a:lnTo>
                                  <a:pt x="614154" y="3167"/>
                                </a:lnTo>
                                <a:lnTo>
                                  <a:pt x="665861" y="863"/>
                                </a:lnTo>
                                <a:lnTo>
                                  <a:pt x="723900" y="0"/>
                                </a:lnTo>
                                <a:lnTo>
                                  <a:pt x="781938" y="885"/>
                                </a:lnTo>
                                <a:lnTo>
                                  <a:pt x="833645" y="3276"/>
                                </a:lnTo>
                                <a:lnTo>
                                  <a:pt x="881554" y="6778"/>
                                </a:lnTo>
                                <a:lnTo>
                                  <a:pt x="928195" y="10994"/>
                                </a:lnTo>
                                <a:lnTo>
                                  <a:pt x="976104" y="15528"/>
                                </a:lnTo>
                                <a:lnTo>
                                  <a:pt x="1027811" y="19983"/>
                                </a:lnTo>
                                <a:lnTo>
                                  <a:pt x="1085850" y="23964"/>
                                </a:lnTo>
                                <a:lnTo>
                                  <a:pt x="1203483" y="30359"/>
                                </a:lnTo>
                                <a:lnTo>
                                  <a:pt x="1321117" y="36212"/>
                                </a:lnTo>
                                <a:lnTo>
                                  <a:pt x="1411604" y="40484"/>
                                </a:lnTo>
                                <a:lnTo>
                                  <a:pt x="1447800" y="42138"/>
                                </a:lnTo>
                              </a:path>
                            </a:pathLst>
                          </a:custGeom>
                          <a:ln w="19050">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75pt;margin-top:14.376677pt;width:142.5pt;height:6.2pt;mso-position-horizontal-relative:page;mso-position-vertical-relative:paragraph;z-index:-15716864;mso-wrap-distance-left:0;mso-wrap-distance-right:0" id="docshapegroup46" coordorigin="7155,288" coordsize="2850,124">
                <v:line style="position:absolute" from="7155,295" to="10005,295" stroked="true" strokeweight=".75pt" strokecolor="#e6e6e6">
                  <v:stroke dashstyle="solid"/>
                </v:line>
                <v:shape style="position:absolute;left:7440;top:329;width:2280;height:67" id="docshape47" coordorigin="7440,329" coordsize="2280,67" path="m7440,376l7640,373,7825,369,8010,363,8101,358,8183,352,8258,346,8332,339,8407,334,8489,331,8580,329,8671,331,8753,334,8828,340,8902,347,8977,354,9059,361,9150,367,9335,377,9521,386,9663,393,9720,396e" filled="false" stroked="true" strokeweight="1.5pt" strokecolor="#494949">
                  <v:path arrowok="t"/>
                  <v:stroke dashstyle="solid"/>
                </v:shape>
                <w10:wrap type="topAndBottom"/>
              </v:group>
            </w:pict>
          </mc:Fallback>
        </mc:AlternateContent>
      </w:r>
      <w:r>
        <w:rPr>
          <w:rFonts w:ascii="Arial"/>
          <w:b/>
        </w:rPr>
        <mc:AlternateContent>
          <mc:Choice Requires="wps">
            <w:drawing>
              <wp:anchor distT="0" distB="0" distL="0" distR="0" allowOverlap="1" layoutInCell="1" locked="0" behindDoc="1" simplePos="0" relativeHeight="487600128">
                <wp:simplePos x="0" y="0"/>
                <wp:positionH relativeFrom="page">
                  <wp:posOffset>4543425</wp:posOffset>
                </wp:positionH>
                <wp:positionV relativeFrom="paragraph">
                  <wp:posOffset>377846</wp:posOffset>
                </wp:positionV>
                <wp:extent cx="180975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357.75pt;margin-top:29.751677pt;width:142.5pt;height:.1pt;mso-position-horizontal-relative:page;mso-position-vertical-relative:paragraph;z-index:-15716352;mso-wrap-distance-left:0;mso-wrap-distance-right:0" id="docshape48" coordorigin="7155,595" coordsize="2850,0" path="m7155,595l10005,595e" filled="false" stroked="true" strokeweight=".75pt" strokecolor="#e6e6e6">
                <v:path arrowok="t"/>
                <v:stroke dashstyle="solid"/>
                <w10:wrap type="topAndBottom"/>
              </v:shape>
            </w:pict>
          </mc:Fallback>
        </mc:AlternateContent>
      </w:r>
      <w:r>
        <w:rPr>
          <w:rFonts w:ascii="Arial"/>
          <w:b/>
        </w:rPr>
        <mc:AlternateContent>
          <mc:Choice Requires="wps">
            <w:drawing>
              <wp:anchor distT="0" distB="0" distL="0" distR="0" allowOverlap="1" layoutInCell="1" locked="0" behindDoc="1" simplePos="0" relativeHeight="487600640">
                <wp:simplePos x="0" y="0"/>
                <wp:positionH relativeFrom="page">
                  <wp:posOffset>4543425</wp:posOffset>
                </wp:positionH>
                <wp:positionV relativeFrom="paragraph">
                  <wp:posOffset>568346</wp:posOffset>
                </wp:positionV>
                <wp:extent cx="180975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357.75pt;margin-top:44.751678pt;width:142.5pt;height:.1pt;mso-position-horizontal-relative:page;mso-position-vertical-relative:paragraph;z-index:-15715840;mso-wrap-distance-left:0;mso-wrap-distance-right:0" id="docshape49" coordorigin="7155,895" coordsize="2850,0" path="m7155,895l10005,895e" filled="false" stroked="true" strokeweight=".75pt" strokecolor="#e6e6e6">
                <v:path arrowok="t"/>
                <v:stroke dashstyle="solid"/>
                <w10:wrap type="topAndBottom"/>
              </v:shape>
            </w:pict>
          </mc:Fallback>
        </mc:AlternateContent>
      </w:r>
      <w:r>
        <w:rPr>
          <w:rFonts w:ascii="Arial"/>
          <w:b/>
        </w:rPr>
        <mc:AlternateContent>
          <mc:Choice Requires="wps">
            <w:drawing>
              <wp:anchor distT="0" distB="0" distL="0" distR="0" allowOverlap="1" layoutInCell="1" locked="0" behindDoc="1" simplePos="0" relativeHeight="487601152">
                <wp:simplePos x="0" y="0"/>
                <wp:positionH relativeFrom="page">
                  <wp:posOffset>4543425</wp:posOffset>
                </wp:positionH>
                <wp:positionV relativeFrom="paragraph">
                  <wp:posOffset>758846</wp:posOffset>
                </wp:positionV>
                <wp:extent cx="180975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357.75pt;margin-top:59.751678pt;width:142.5pt;height:.1pt;mso-position-horizontal-relative:page;mso-position-vertical-relative:paragraph;z-index:-15715328;mso-wrap-distance-left:0;mso-wrap-distance-right:0" id="docshape50" coordorigin="7155,1195" coordsize="2850,0" path="m7155,1195l10005,1195e" filled="false" stroked="true" strokeweight=".75pt" strokecolor="#e6e6e6">
                <v:path arrowok="t"/>
                <v:stroke dashstyle="solid"/>
                <w10:wrap type="topAndBottom"/>
              </v:shape>
            </w:pict>
          </mc:Fallback>
        </mc:AlternateContent>
      </w:r>
    </w:p>
    <w:p>
      <w:pPr>
        <w:pStyle w:val="BodyText"/>
        <w:spacing w:before="10"/>
        <w:rPr>
          <w:rFonts w:ascii="Arial"/>
          <w:b/>
          <w:sz w:val="13"/>
        </w:rPr>
      </w:pPr>
    </w:p>
    <w:p>
      <w:pPr>
        <w:pStyle w:val="BodyText"/>
        <w:spacing w:before="38"/>
        <w:rPr>
          <w:rFonts w:ascii="Arial"/>
          <w:b/>
        </w:rPr>
      </w:pPr>
    </w:p>
    <w:p>
      <w:pPr>
        <w:pStyle w:val="BodyText"/>
        <w:spacing w:before="38"/>
        <w:rPr>
          <w:rFonts w:ascii="Arial"/>
          <w:b/>
        </w:rPr>
      </w:pPr>
    </w:p>
    <w:p>
      <w:pPr>
        <w:spacing w:before="120"/>
        <w:ind w:left="263" w:right="0" w:firstLine="0"/>
        <w:jc w:val="left"/>
        <w:rPr>
          <w:rFonts w:ascii="Arial MT"/>
          <w:sz w:val="14"/>
        </w:rPr>
      </w:pPr>
      <w:r>
        <w:rPr>
          <w:rFonts w:ascii="Arial MT"/>
          <w:color w:val="585858"/>
          <w:sz w:val="14"/>
        </w:rPr>
        <w:t>Jun-19</w:t>
      </w:r>
      <w:r>
        <w:rPr>
          <w:rFonts w:ascii="Arial MT"/>
          <w:color w:val="585858"/>
          <w:spacing w:val="79"/>
          <w:w w:val="150"/>
          <w:sz w:val="14"/>
        </w:rPr>
        <w:t> </w:t>
      </w:r>
      <w:r>
        <w:rPr>
          <w:rFonts w:ascii="Arial MT"/>
          <w:color w:val="585858"/>
          <w:sz w:val="14"/>
        </w:rPr>
        <w:t>Jun-20</w:t>
      </w:r>
      <w:r>
        <w:rPr>
          <w:rFonts w:ascii="Arial MT"/>
          <w:color w:val="585858"/>
          <w:spacing w:val="79"/>
          <w:w w:val="150"/>
          <w:sz w:val="14"/>
        </w:rPr>
        <w:t> </w:t>
      </w:r>
      <w:r>
        <w:rPr>
          <w:rFonts w:ascii="Arial MT"/>
          <w:color w:val="585858"/>
          <w:sz w:val="14"/>
        </w:rPr>
        <w:t>Jun-21</w:t>
      </w:r>
      <w:r>
        <w:rPr>
          <w:rFonts w:ascii="Arial MT"/>
          <w:color w:val="585858"/>
          <w:spacing w:val="79"/>
          <w:w w:val="150"/>
          <w:sz w:val="14"/>
        </w:rPr>
        <w:t> </w:t>
      </w:r>
      <w:r>
        <w:rPr>
          <w:rFonts w:ascii="Arial MT"/>
          <w:color w:val="585858"/>
          <w:sz w:val="14"/>
        </w:rPr>
        <w:t>Jun-22</w:t>
      </w:r>
      <w:r>
        <w:rPr>
          <w:rFonts w:ascii="Arial MT"/>
          <w:color w:val="585858"/>
          <w:spacing w:val="79"/>
          <w:w w:val="150"/>
          <w:sz w:val="14"/>
        </w:rPr>
        <w:t> </w:t>
      </w:r>
      <w:r>
        <w:rPr>
          <w:rFonts w:ascii="Arial MT"/>
          <w:color w:val="585858"/>
          <w:sz w:val="14"/>
        </w:rPr>
        <w:t>Jun-</w:t>
      </w:r>
      <w:r>
        <w:rPr>
          <w:rFonts w:ascii="Arial MT"/>
          <w:color w:val="585858"/>
          <w:spacing w:val="-5"/>
          <w:sz w:val="14"/>
        </w:rPr>
        <w:t>23</w:t>
      </w:r>
    </w:p>
    <w:p>
      <w:pPr>
        <w:spacing w:after="0"/>
        <w:jc w:val="left"/>
        <w:rPr>
          <w:rFonts w:ascii="Arial MT"/>
          <w:sz w:val="14"/>
        </w:rPr>
        <w:sectPr>
          <w:type w:val="continuous"/>
          <w:pgSz w:w="12240" w:h="15840"/>
          <w:pgMar w:header="744" w:footer="713" w:top="1820" w:bottom="280" w:left="720" w:right="720"/>
          <w:cols w:num="3" w:equalWidth="0">
            <w:col w:w="5081" w:space="161"/>
            <w:col w:w="954" w:space="39"/>
            <w:col w:w="4565"/>
          </w:cols>
        </w:sectPr>
      </w:pPr>
    </w:p>
    <w:p>
      <w:pPr>
        <w:pStyle w:val="BodyText"/>
        <w:rPr>
          <w:rFonts w:ascii="Arial MT"/>
        </w:rPr>
      </w:pPr>
    </w:p>
    <w:p>
      <w:pPr>
        <w:pStyle w:val="BodyText"/>
        <w:spacing w:before="163"/>
        <w:rPr>
          <w:rFonts w:ascii="Arial MT"/>
        </w:rPr>
      </w:pPr>
    </w:p>
    <w:p>
      <w:pPr>
        <w:pStyle w:val="BodyText"/>
        <w:spacing w:after="0"/>
        <w:rPr>
          <w:rFonts w:ascii="Arial MT"/>
        </w:rPr>
        <w:sectPr>
          <w:type w:val="continuous"/>
          <w:pgSz w:w="12240" w:h="15840"/>
          <w:pgMar w:header="744" w:footer="713" w:top="1820" w:bottom="280" w:left="720" w:right="720"/>
        </w:sectPr>
      </w:pPr>
    </w:p>
    <w:p>
      <w:pPr>
        <w:pStyle w:val="Heading4"/>
        <w:spacing w:before="91"/>
      </w:pPr>
      <w:r>
        <w:rPr/>
        <w:t>Borrowing</w:t>
      </w:r>
      <w:r>
        <w:rPr>
          <w:spacing w:val="-2"/>
        </w:rPr>
        <w:t> Portfolio</w:t>
      </w:r>
    </w:p>
    <w:p>
      <w:pPr>
        <w:pStyle w:val="BodyText"/>
        <w:spacing w:line="227" w:lineRule="exact" w:before="96"/>
        <w:ind w:left="720"/>
        <w:jc w:val="both"/>
      </w:pPr>
      <w:r>
        <w:rPr/>
        <w:t>As</w:t>
      </w:r>
      <w:r>
        <w:rPr>
          <w:spacing w:val="34"/>
        </w:rPr>
        <w:t> </w:t>
      </w:r>
      <w:r>
        <w:rPr/>
        <w:t>of</w:t>
      </w:r>
      <w:r>
        <w:rPr>
          <w:spacing w:val="36"/>
        </w:rPr>
        <w:t> </w:t>
      </w:r>
      <w:r>
        <w:rPr/>
        <w:t>June</w:t>
      </w:r>
      <w:r>
        <w:rPr>
          <w:spacing w:val="36"/>
        </w:rPr>
        <w:t> </w:t>
      </w:r>
      <w:r>
        <w:rPr/>
        <w:t>30,</w:t>
      </w:r>
      <w:r>
        <w:rPr>
          <w:spacing w:val="36"/>
        </w:rPr>
        <w:t> </w:t>
      </w:r>
      <w:r>
        <w:rPr/>
        <w:t>2023,</w:t>
      </w:r>
      <w:r>
        <w:rPr>
          <w:spacing w:val="36"/>
        </w:rPr>
        <w:t> </w:t>
      </w:r>
      <w:r>
        <w:rPr/>
        <w:t>the</w:t>
      </w:r>
      <w:r>
        <w:rPr>
          <w:spacing w:val="36"/>
        </w:rPr>
        <w:t> </w:t>
      </w:r>
      <w:r>
        <w:rPr/>
        <w:t>borrowings</w:t>
      </w:r>
      <w:r>
        <w:rPr>
          <w:spacing w:val="36"/>
        </w:rPr>
        <w:t> </w:t>
      </w:r>
      <w:r>
        <w:rPr/>
        <w:t>portfolio</w:t>
      </w:r>
      <w:r>
        <w:rPr>
          <w:spacing w:val="36"/>
        </w:rPr>
        <w:t> </w:t>
      </w:r>
      <w:r>
        <w:rPr>
          <w:spacing w:val="-5"/>
        </w:rPr>
        <w:t>was</w:t>
      </w:r>
    </w:p>
    <w:p>
      <w:pPr>
        <w:pStyle w:val="BodyText"/>
        <w:spacing w:line="232" w:lineRule="auto" w:before="2"/>
        <w:ind w:left="720"/>
        <w:jc w:val="both"/>
      </w:pPr>
      <w:r>
        <w:rPr/>
        <w:t>$266.8</w:t>
      </w:r>
      <w:r>
        <w:rPr>
          <w:spacing w:val="-5"/>
        </w:rPr>
        <w:t> </w:t>
      </w:r>
      <w:r>
        <w:rPr/>
        <w:t>billion,</w:t>
      </w:r>
      <w:r>
        <w:rPr>
          <w:spacing w:val="-5"/>
        </w:rPr>
        <w:t> </w:t>
      </w:r>
      <w:r>
        <w:rPr/>
        <w:t>$9.9</w:t>
      </w:r>
      <w:r>
        <w:rPr>
          <w:spacing w:val="-5"/>
        </w:rPr>
        <w:t> </w:t>
      </w:r>
      <w:r>
        <w:rPr/>
        <w:t>billion</w:t>
      </w:r>
      <w:r>
        <w:rPr>
          <w:spacing w:val="-5"/>
        </w:rPr>
        <w:t> </w:t>
      </w:r>
      <w:r>
        <w:rPr/>
        <w:t>higher</w:t>
      </w:r>
      <w:r>
        <w:rPr>
          <w:spacing w:val="-5"/>
        </w:rPr>
        <w:t> </w:t>
      </w:r>
      <w:r>
        <w:rPr/>
        <w:t>than</w:t>
      </w:r>
      <w:r>
        <w:rPr>
          <w:spacing w:val="-5"/>
        </w:rPr>
        <w:t> </w:t>
      </w:r>
      <w:r>
        <w:rPr/>
        <w:t>June</w:t>
      </w:r>
      <w:r>
        <w:rPr>
          <w:spacing w:val="-5"/>
        </w:rPr>
        <w:t> </w:t>
      </w:r>
      <w:r>
        <w:rPr/>
        <w:t>30,</w:t>
      </w:r>
      <w:r>
        <w:rPr>
          <w:spacing w:val="-5"/>
        </w:rPr>
        <w:t> </w:t>
      </w:r>
      <w:r>
        <w:rPr/>
        <w:t>2022. The increase was mainly due to net new debt issuances that financed development and lending operations and satisfied liquidity requirements.</w:t>
      </w:r>
    </w:p>
    <w:p>
      <w:pPr>
        <w:pStyle w:val="BodyText"/>
        <w:spacing w:before="122"/>
        <w:rPr>
          <w:sz w:val="16"/>
        </w:rPr>
      </w:pPr>
      <w:r>
        <w:rPr/>
        <w:br w:type="column"/>
      </w:r>
      <w:r>
        <w:rPr>
          <w:sz w:val="16"/>
        </w:rPr>
      </w:r>
    </w:p>
    <w:p>
      <w:pPr>
        <w:spacing w:before="0"/>
        <w:ind w:left="680" w:right="0" w:firstLine="0"/>
        <w:jc w:val="left"/>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53"/>
        <w:rPr>
          <w:rFonts w:ascii="Arial"/>
          <w:i/>
          <w:sz w:val="16"/>
        </w:rPr>
      </w:pPr>
    </w:p>
    <w:p>
      <w:pPr>
        <w:spacing w:line="148" w:lineRule="exact" w:before="0"/>
        <w:ind w:left="1883" w:right="0" w:firstLine="0"/>
        <w:jc w:val="left"/>
        <w:rPr>
          <w:rFonts w:ascii="Arial"/>
          <w:b/>
          <w:sz w:val="14"/>
        </w:rPr>
      </w:pPr>
      <w:r>
        <w:rPr>
          <w:rFonts w:ascii="Arial"/>
          <w:b/>
          <w:color w:val="585858"/>
          <w:sz w:val="14"/>
        </w:rPr>
        <w:t>Borrowing</w:t>
      </w:r>
      <w:r>
        <w:rPr>
          <w:rFonts w:ascii="Arial"/>
          <w:b/>
          <w:color w:val="585858"/>
          <w:spacing w:val="-5"/>
          <w:sz w:val="14"/>
        </w:rPr>
        <w:t> </w:t>
      </w:r>
      <w:r>
        <w:rPr>
          <w:rFonts w:ascii="Arial"/>
          <w:b/>
          <w:color w:val="585858"/>
          <w:spacing w:val="-2"/>
          <w:sz w:val="14"/>
        </w:rPr>
        <w:t>Portfolio</w:t>
      </w:r>
    </w:p>
    <w:p>
      <w:pPr>
        <w:pStyle w:val="BodyText"/>
        <w:spacing w:before="5"/>
        <w:rPr>
          <w:rFonts w:ascii="Arial"/>
          <w:b/>
          <w:sz w:val="3"/>
        </w:rPr>
      </w:pPr>
    </w:p>
    <w:p>
      <w:pPr>
        <w:spacing w:line="20" w:lineRule="exact"/>
        <w:ind w:left="1355" w:right="0" w:firstLine="0"/>
        <w:rPr>
          <w:rFonts w:ascii="Arial"/>
          <w:sz w:val="2"/>
        </w:rPr>
      </w:pPr>
      <w:r>
        <w:rPr>
          <w:rFonts w:ascii="Arial"/>
          <w:sz w:val="2"/>
        </w:rPr>
        <mc:AlternateContent>
          <mc:Choice Requires="wps">
            <w:drawing>
              <wp:inline distT="0" distB="0" distL="0" distR="0">
                <wp:extent cx="1809750" cy="9525"/>
                <wp:effectExtent l="9525" t="0" r="0" b="0"/>
                <wp:docPr id="66" name="Group 66"/>
                <wp:cNvGraphicFramePr>
                  <a:graphicFrameLocks/>
                </wp:cNvGraphicFramePr>
                <a:graphic>
                  <a:graphicData uri="http://schemas.microsoft.com/office/word/2010/wordprocessingGroup">
                    <wpg:wgp>
                      <wpg:cNvPr id="66" name="Group 66"/>
                      <wpg:cNvGrpSpPr/>
                      <wpg:grpSpPr>
                        <a:xfrm>
                          <a:off x="0" y="0"/>
                          <a:ext cx="1809750" cy="9525"/>
                          <a:chExt cx="1809750" cy="9525"/>
                        </a:xfrm>
                      </wpg:grpSpPr>
                      <wps:wsp>
                        <wps:cNvPr id="67" name="Graphic 67"/>
                        <wps:cNvSpPr/>
                        <wps:spPr>
                          <a:xfrm>
                            <a:off x="0" y="4762"/>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wpg:wgp>
                  </a:graphicData>
                </a:graphic>
              </wp:inline>
            </w:drawing>
          </mc:Choice>
          <mc:Fallback>
            <w:pict>
              <v:group style="width:142.5pt;height:.75pt;mso-position-horizontal-relative:char;mso-position-vertical-relative:line" id="docshapegroup51" coordorigin="0,0" coordsize="2850,15">
                <v:line style="position:absolute" from="0,8" to="2850,8" stroked="true" strokeweight=".75pt" strokecolor="#e6e6e6">
                  <v:stroke dashstyle="solid"/>
                </v:line>
              </v:group>
            </w:pict>
          </mc:Fallback>
        </mc:AlternateContent>
      </w:r>
      <w:r>
        <w:rPr>
          <w:rFonts w:ascii="Arial"/>
          <w:sz w:val="2"/>
        </w:rPr>
      </w:r>
    </w:p>
    <w:p>
      <w:pPr>
        <w:spacing w:line="89" w:lineRule="exact" w:before="0"/>
        <w:ind w:left="0" w:right="4602" w:firstLine="0"/>
        <w:jc w:val="right"/>
        <w:rPr>
          <w:rFonts w:ascii="Arial MT"/>
          <w:sz w:val="14"/>
        </w:rPr>
      </w:pPr>
      <w:r>
        <w:rPr>
          <w:rFonts w:ascii="Arial MT"/>
          <w:color w:val="585858"/>
          <w:spacing w:val="-5"/>
          <w:sz w:val="14"/>
        </w:rPr>
        <w:t>300</w:t>
      </w:r>
    </w:p>
    <w:p>
      <w:pPr>
        <w:spacing w:before="79"/>
        <w:ind w:left="0" w:right="4602"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45024">
                <wp:simplePos x="0" y="0"/>
                <wp:positionH relativeFrom="page">
                  <wp:posOffset>4543425</wp:posOffset>
                </wp:positionH>
                <wp:positionV relativeFrom="paragraph">
                  <wp:posOffset>10299</wp:posOffset>
                </wp:positionV>
                <wp:extent cx="1809750" cy="11620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809750" cy="116205"/>
                          <a:chExt cx="1809750" cy="116205"/>
                        </a:xfrm>
                      </wpg:grpSpPr>
                      <wps:wsp>
                        <wps:cNvPr id="69" name="Graphic 69"/>
                        <wps:cNvSpPr/>
                        <wps:spPr>
                          <a:xfrm>
                            <a:off x="0" y="8243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wps:wsp>
                        <wps:cNvPr id="70" name="Graphic 70"/>
                        <wps:cNvSpPr/>
                        <wps:spPr>
                          <a:xfrm>
                            <a:off x="180975" y="9525"/>
                            <a:ext cx="1447800" cy="97155"/>
                          </a:xfrm>
                          <a:custGeom>
                            <a:avLst/>
                            <a:gdLst/>
                            <a:ahLst/>
                            <a:cxnLst/>
                            <a:rect l="l" t="t" r="r" b="b"/>
                            <a:pathLst>
                              <a:path w="1447800" h="97155">
                                <a:moveTo>
                                  <a:pt x="0" y="96685"/>
                                </a:moveTo>
                                <a:lnTo>
                                  <a:pt x="126682" y="90672"/>
                                </a:lnTo>
                                <a:lnTo>
                                  <a:pt x="244316" y="83871"/>
                                </a:lnTo>
                                <a:lnTo>
                                  <a:pt x="361950" y="75176"/>
                                </a:lnTo>
                                <a:lnTo>
                                  <a:pt x="419988" y="69317"/>
                                </a:lnTo>
                                <a:lnTo>
                                  <a:pt x="471695" y="62820"/>
                                </a:lnTo>
                                <a:lnTo>
                                  <a:pt x="519604" y="56048"/>
                                </a:lnTo>
                                <a:lnTo>
                                  <a:pt x="566245" y="49364"/>
                                </a:lnTo>
                                <a:lnTo>
                                  <a:pt x="614154" y="43129"/>
                                </a:lnTo>
                                <a:lnTo>
                                  <a:pt x="665861" y="37705"/>
                                </a:lnTo>
                                <a:lnTo>
                                  <a:pt x="723900" y="33456"/>
                                </a:lnTo>
                                <a:lnTo>
                                  <a:pt x="781938" y="30748"/>
                                </a:lnTo>
                                <a:lnTo>
                                  <a:pt x="833645" y="29375"/>
                                </a:lnTo>
                                <a:lnTo>
                                  <a:pt x="881554" y="28842"/>
                                </a:lnTo>
                                <a:lnTo>
                                  <a:pt x="928195" y="28653"/>
                                </a:lnTo>
                                <a:lnTo>
                                  <a:pt x="976104" y="28313"/>
                                </a:lnTo>
                                <a:lnTo>
                                  <a:pt x="1027811" y="27325"/>
                                </a:lnTo>
                                <a:lnTo>
                                  <a:pt x="1085850" y="25194"/>
                                </a:lnTo>
                                <a:lnTo>
                                  <a:pt x="1203483" y="18434"/>
                                </a:lnTo>
                                <a:lnTo>
                                  <a:pt x="1321117" y="10087"/>
                                </a:lnTo>
                                <a:lnTo>
                                  <a:pt x="1411604" y="2995"/>
                                </a:lnTo>
                                <a:lnTo>
                                  <a:pt x="1447800" y="0"/>
                                </a:lnTo>
                              </a:path>
                            </a:pathLst>
                          </a:custGeom>
                          <a:ln w="19049">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75pt;margin-top:.811001pt;width:142.5pt;height:9.15pt;mso-position-horizontal-relative:page;mso-position-vertical-relative:paragraph;z-index:15745024" id="docshapegroup52" coordorigin="7155,16" coordsize="2850,183">
                <v:line style="position:absolute" from="7155,146" to="10005,146" stroked="true" strokeweight=".75pt" strokecolor="#e6e6e6">
                  <v:stroke dashstyle="solid"/>
                </v:line>
                <v:shape style="position:absolute;left:7440;top:31;width:2280;height:153" id="docshape53" coordorigin="7440,31" coordsize="2280,153" path="m7440,183l7640,174,7825,163,8010,150,8101,140,8183,130,8258,119,8332,109,8407,99,8489,91,8580,84,8671,80,8753,77,8828,77,8902,76,8977,76,9059,74,9150,71,9335,60,9521,47,9663,36,9720,31e" filled="false" stroked="true" strokeweight="1.5pt" strokecolor="#494949">
                  <v:path arrowok="t"/>
                  <v:stroke dashstyle="solid"/>
                </v:shape>
                <w10:wrap type="none"/>
              </v:group>
            </w:pict>
          </mc:Fallback>
        </mc:AlternateContent>
      </w:r>
      <w:r>
        <w:rPr>
          <w:rFonts w:ascii="Arial MT"/>
          <w:color w:val="585858"/>
          <w:spacing w:val="-5"/>
          <w:sz w:val="14"/>
        </w:rPr>
        <w:t>240</w:t>
      </w:r>
    </w:p>
    <w:p>
      <w:pPr>
        <w:spacing w:before="79"/>
        <w:ind w:left="0" w:right="4602"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44512">
                <wp:simplePos x="0" y="0"/>
                <wp:positionH relativeFrom="page">
                  <wp:posOffset>4543425</wp:posOffset>
                </wp:positionH>
                <wp:positionV relativeFrom="paragraph">
                  <wp:posOffset>92739</wp:posOffset>
                </wp:positionV>
                <wp:extent cx="180975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357.75pt,7.302285pt" to="500.25pt,7.302285pt" stroked="true" strokeweight=".75pt" strokecolor="#e6e6e6">
                <v:stroke dashstyle="solid"/>
                <w10:wrap type="none"/>
              </v:line>
            </w:pict>
          </mc:Fallback>
        </mc:AlternateContent>
      </w:r>
      <w:r>
        <w:rPr>
          <w:rFonts w:ascii="Arial MT"/>
          <w:color w:val="585858"/>
          <w:spacing w:val="-5"/>
          <w:sz w:val="14"/>
        </w:rPr>
        <w:t>180</w:t>
      </w:r>
    </w:p>
    <w:p>
      <w:pPr>
        <w:spacing w:before="79"/>
        <w:ind w:left="0" w:right="4602"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44000">
                <wp:simplePos x="0" y="0"/>
                <wp:positionH relativeFrom="page">
                  <wp:posOffset>4543425</wp:posOffset>
                </wp:positionH>
                <wp:positionV relativeFrom="paragraph">
                  <wp:posOffset>92747</wp:posOffset>
                </wp:positionV>
                <wp:extent cx="1809750"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357.75pt,7.302969pt" to="500.25pt,7.302969pt" stroked="true" strokeweight=".75pt" strokecolor="#e6e6e6">
                <v:stroke dashstyle="solid"/>
                <w10:wrap type="none"/>
              </v:line>
            </w:pict>
          </mc:Fallback>
        </mc:AlternateContent>
      </w:r>
      <w:r>
        <w:rPr>
          <w:rFonts w:ascii="Arial MT"/>
          <w:color w:val="585858"/>
          <w:spacing w:val="-5"/>
          <w:sz w:val="14"/>
        </w:rPr>
        <w:t>120</w:t>
      </w:r>
    </w:p>
    <w:p>
      <w:pPr>
        <w:spacing w:before="79"/>
        <w:ind w:left="0" w:right="4602"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43488">
                <wp:simplePos x="0" y="0"/>
                <wp:positionH relativeFrom="page">
                  <wp:posOffset>4543425</wp:posOffset>
                </wp:positionH>
                <wp:positionV relativeFrom="paragraph">
                  <wp:posOffset>92756</wp:posOffset>
                </wp:positionV>
                <wp:extent cx="180975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357.75pt,7.303652pt" to="500.25pt,7.303652pt" stroked="true" strokeweight=".75pt" strokecolor="#e6e6e6">
                <v:stroke dashstyle="solid"/>
                <w10:wrap type="none"/>
              </v:line>
            </w:pict>
          </mc:Fallback>
        </mc:AlternateContent>
      </w:r>
      <w:r>
        <w:rPr>
          <w:rFonts w:ascii="Arial MT"/>
          <w:color w:val="585858"/>
          <w:spacing w:val="-5"/>
          <w:sz w:val="14"/>
        </w:rPr>
        <w:t>60</w:t>
      </w:r>
    </w:p>
    <w:p>
      <w:pPr>
        <w:spacing w:before="79"/>
        <w:ind w:left="0" w:right="4602" w:firstLine="0"/>
        <w:jc w:val="right"/>
        <w:rPr>
          <w:rFonts w:ascii="Arial MT"/>
          <w:sz w:val="14"/>
        </w:rPr>
      </w:pPr>
      <w:r>
        <w:rPr>
          <w:rFonts w:ascii="Arial MT"/>
          <w:sz w:val="14"/>
        </w:rPr>
        <mc:AlternateContent>
          <mc:Choice Requires="wps">
            <w:drawing>
              <wp:anchor distT="0" distB="0" distL="0" distR="0" allowOverlap="1" layoutInCell="1" locked="0" behindDoc="0" simplePos="0" relativeHeight="15742976">
                <wp:simplePos x="0" y="0"/>
                <wp:positionH relativeFrom="page">
                  <wp:posOffset>4543425</wp:posOffset>
                </wp:positionH>
                <wp:positionV relativeFrom="paragraph">
                  <wp:posOffset>92765</wp:posOffset>
                </wp:positionV>
                <wp:extent cx="1809750"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809750" cy="1270"/>
                        </a:xfrm>
                        <a:custGeom>
                          <a:avLst/>
                          <a:gdLst/>
                          <a:ahLst/>
                          <a:cxnLst/>
                          <a:rect l="l" t="t" r="r" b="b"/>
                          <a:pathLst>
                            <a:path w="1809750" h="0">
                              <a:moveTo>
                                <a:pt x="0" y="0"/>
                              </a:moveTo>
                              <a:lnTo>
                                <a:pt x="180975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357.75pt,7.304336pt" to="500.25pt,7.304336pt" stroked="true" strokeweight=".75pt" strokecolor="#e6e6e6">
                <v:stroke dashstyle="solid"/>
                <w10:wrap type="none"/>
              </v:line>
            </w:pict>
          </mc:Fallback>
        </mc:AlternateContent>
      </w:r>
      <w:r>
        <w:rPr>
          <w:rFonts w:ascii="Arial MT"/>
          <w:color w:val="585858"/>
          <w:spacing w:val="-10"/>
          <w:sz w:val="14"/>
        </w:rPr>
        <w:t>0</w:t>
      </w:r>
    </w:p>
    <w:p>
      <w:pPr>
        <w:spacing w:after="0"/>
        <w:jc w:val="right"/>
        <w:rPr>
          <w:rFonts w:ascii="Arial MT"/>
          <w:sz w:val="14"/>
        </w:rPr>
        <w:sectPr>
          <w:type w:val="continuous"/>
          <w:pgSz w:w="12240" w:h="15840"/>
          <w:pgMar w:header="744" w:footer="713" w:top="1820" w:bottom="280" w:left="720" w:right="720"/>
          <w:cols w:num="2" w:equalWidth="0">
            <w:col w:w="5040" w:space="40"/>
            <w:col w:w="5720"/>
          </w:cols>
        </w:sectPr>
      </w:pPr>
    </w:p>
    <w:p>
      <w:pPr>
        <w:spacing w:before="34"/>
        <w:ind w:left="6498" w:right="0" w:firstLine="0"/>
        <w:jc w:val="left"/>
        <w:rPr>
          <w:rFonts w:ascii="Arial MT"/>
          <w:sz w:val="14"/>
        </w:rPr>
      </w:pPr>
      <w:r>
        <w:rPr>
          <w:rFonts w:ascii="Arial MT"/>
          <w:color w:val="585858"/>
          <w:sz w:val="14"/>
        </w:rPr>
        <w:t>Jun-19</w:t>
      </w:r>
      <w:r>
        <w:rPr>
          <w:rFonts w:ascii="Arial MT"/>
          <w:color w:val="585858"/>
          <w:spacing w:val="79"/>
          <w:w w:val="150"/>
          <w:sz w:val="14"/>
        </w:rPr>
        <w:t> </w:t>
      </w:r>
      <w:r>
        <w:rPr>
          <w:rFonts w:ascii="Arial MT"/>
          <w:color w:val="585858"/>
          <w:sz w:val="14"/>
        </w:rPr>
        <w:t>Jun-20</w:t>
      </w:r>
      <w:r>
        <w:rPr>
          <w:rFonts w:ascii="Arial MT"/>
          <w:color w:val="585858"/>
          <w:spacing w:val="79"/>
          <w:w w:val="150"/>
          <w:sz w:val="14"/>
        </w:rPr>
        <w:t> </w:t>
      </w:r>
      <w:r>
        <w:rPr>
          <w:rFonts w:ascii="Arial MT"/>
          <w:color w:val="585858"/>
          <w:sz w:val="14"/>
        </w:rPr>
        <w:t>Jun-21</w:t>
      </w:r>
      <w:r>
        <w:rPr>
          <w:rFonts w:ascii="Arial MT"/>
          <w:color w:val="585858"/>
          <w:spacing w:val="79"/>
          <w:w w:val="150"/>
          <w:sz w:val="14"/>
        </w:rPr>
        <w:t> </w:t>
      </w:r>
      <w:r>
        <w:rPr>
          <w:rFonts w:ascii="Arial MT"/>
          <w:color w:val="585858"/>
          <w:sz w:val="14"/>
        </w:rPr>
        <w:t>Jun-22</w:t>
      </w:r>
      <w:r>
        <w:rPr>
          <w:rFonts w:ascii="Arial MT"/>
          <w:color w:val="585858"/>
          <w:spacing w:val="79"/>
          <w:w w:val="150"/>
          <w:sz w:val="14"/>
        </w:rPr>
        <w:t> </w:t>
      </w:r>
      <w:r>
        <w:rPr>
          <w:rFonts w:ascii="Arial MT"/>
          <w:color w:val="585858"/>
          <w:sz w:val="14"/>
        </w:rPr>
        <w:t>Jun-</w:t>
      </w:r>
      <w:r>
        <w:rPr>
          <w:rFonts w:ascii="Arial MT"/>
          <w:color w:val="585858"/>
          <w:spacing w:val="-5"/>
          <w:sz w:val="14"/>
        </w:rPr>
        <w:t>23</w:t>
      </w:r>
    </w:p>
    <w:p>
      <w:pPr>
        <w:pStyle w:val="BodyText"/>
        <w:spacing w:before="176"/>
        <w:rPr>
          <w:rFonts w:ascii="Arial MT"/>
        </w:rPr>
      </w:pPr>
    </w:p>
    <w:p>
      <w:pPr>
        <w:pStyle w:val="BodyText"/>
        <w:spacing w:after="0"/>
        <w:rPr>
          <w:rFonts w:ascii="Arial MT"/>
        </w:rPr>
        <w:sectPr>
          <w:type w:val="continuous"/>
          <w:pgSz w:w="12240" w:h="15840"/>
          <w:pgMar w:header="744" w:footer="713" w:top="1820" w:bottom="280" w:left="720" w:right="720"/>
        </w:sectPr>
      </w:pPr>
    </w:p>
    <w:p>
      <w:pPr>
        <w:pStyle w:val="Heading4"/>
        <w:spacing w:before="91"/>
      </w:pPr>
      <w:r>
        <w:rPr/>
        <w:t>Equity-to-Loans</w:t>
      </w:r>
      <w:r>
        <w:rPr>
          <w:spacing w:val="-4"/>
        </w:rPr>
        <w:t> </w:t>
      </w:r>
      <w:r>
        <w:rPr>
          <w:spacing w:val="-2"/>
        </w:rPr>
        <w:t>Ratio</w:t>
      </w:r>
    </w:p>
    <w:p>
      <w:pPr>
        <w:pStyle w:val="BodyText"/>
        <w:spacing w:line="232" w:lineRule="auto" w:before="105"/>
        <w:ind w:left="720"/>
        <w:jc w:val="both"/>
      </w:pPr>
      <w:r>
        <w:rPr/>
        <w:t>The Equity-to-Loans ratio was 22.0% as of June 30, 2023, unchanged from June 30, 2022, and above </w:t>
      </w:r>
      <w:r>
        <w:rPr/>
        <w:t>the policy minimum of 19%. In line with IBRD’s currency</w:t>
      </w:r>
      <w:r>
        <w:rPr>
          <w:spacing w:val="72"/>
        </w:rPr>
        <w:t>  </w:t>
      </w:r>
      <w:r>
        <w:rPr/>
        <w:t>management</w:t>
      </w:r>
      <w:r>
        <w:rPr>
          <w:spacing w:val="73"/>
        </w:rPr>
        <w:t>  </w:t>
      </w:r>
      <w:r>
        <w:rPr/>
        <w:t>policy,</w:t>
      </w:r>
      <w:r>
        <w:rPr>
          <w:spacing w:val="72"/>
        </w:rPr>
        <w:t>  </w:t>
      </w:r>
      <w:r>
        <w:rPr/>
        <w:t>exchange</w:t>
      </w:r>
      <w:r>
        <w:rPr>
          <w:spacing w:val="73"/>
        </w:rPr>
        <w:t>  </w:t>
      </w:r>
      <w:r>
        <w:rPr>
          <w:spacing w:val="-4"/>
        </w:rPr>
        <w:t>rate</w:t>
      </w:r>
    </w:p>
    <w:p>
      <w:pPr>
        <w:pStyle w:val="BodyText"/>
        <w:rPr>
          <w:sz w:val="16"/>
        </w:rPr>
      </w:pPr>
      <w:r>
        <w:rPr/>
        <w:br w:type="column"/>
      </w:r>
      <w:r>
        <w:rPr>
          <w:sz w:val="16"/>
        </w:rPr>
      </w:r>
    </w:p>
    <w:p>
      <w:pPr>
        <w:pStyle w:val="BodyText"/>
        <w:spacing w:before="57"/>
        <w:rPr>
          <w:sz w:val="16"/>
        </w:rPr>
      </w:pPr>
    </w:p>
    <w:p>
      <w:pPr>
        <w:spacing w:before="1"/>
        <w:ind w:left="679" w:right="0" w:firstLine="0"/>
        <w:jc w:val="left"/>
        <w:rPr>
          <w:rFonts w:ascii="Arial"/>
          <w:i/>
          <w:sz w:val="16"/>
        </w:rPr>
      </w:pPr>
      <w:r>
        <w:rPr>
          <w:rFonts w:ascii="Arial"/>
          <w:i/>
          <w:sz w:val="16"/>
        </w:rPr>
        <w:t>Ratio</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p>
      <w:pPr>
        <w:pStyle w:val="BodyText"/>
        <w:spacing w:before="173"/>
        <w:rPr>
          <w:rFonts w:ascii="Arial"/>
          <w:i/>
          <w:sz w:val="16"/>
        </w:rPr>
      </w:pPr>
    </w:p>
    <w:p>
      <w:pPr>
        <w:spacing w:before="0"/>
        <w:ind w:left="1836" w:right="0" w:firstLine="0"/>
        <w:jc w:val="left"/>
        <w:rPr>
          <w:rFonts w:ascii="Arial"/>
          <w:b/>
          <w:sz w:val="14"/>
        </w:rPr>
      </w:pPr>
      <w:r>
        <w:rPr>
          <w:rFonts w:ascii="Arial"/>
          <w:b/>
          <w:color w:val="585858"/>
          <w:sz w:val="14"/>
        </w:rPr>
        <w:t>Equity-to-Loans</w:t>
      </w:r>
      <w:r>
        <w:rPr>
          <w:rFonts w:ascii="Arial"/>
          <w:b/>
          <w:color w:val="585858"/>
          <w:spacing w:val="-2"/>
          <w:sz w:val="14"/>
        </w:rPr>
        <w:t> Ratio</w:t>
      </w:r>
    </w:p>
    <w:p>
      <w:pPr>
        <w:tabs>
          <w:tab w:pos="4264" w:val="left" w:leader="none"/>
        </w:tabs>
        <w:spacing w:line="176" w:lineRule="exact" w:before="27"/>
        <w:ind w:left="1399" w:right="0" w:firstLine="0"/>
        <w:jc w:val="left"/>
        <w:rPr>
          <w:sz w:val="20"/>
        </w:rPr>
      </w:pPr>
      <w:r>
        <w:rPr>
          <w:sz w:val="20"/>
          <w:u w:val="single" w:color="E6E6E6"/>
        </w:rPr>
        <w:t> </w:t>
        <w:tab/>
      </w:r>
    </w:p>
    <w:p>
      <w:pPr>
        <w:spacing w:after="0" w:line="176" w:lineRule="exact"/>
        <w:jc w:val="left"/>
        <w:rPr>
          <w:sz w:val="20"/>
        </w:rPr>
        <w:sectPr>
          <w:type w:val="continuous"/>
          <w:pgSz w:w="12240" w:h="15840"/>
          <w:pgMar w:header="744" w:footer="713" w:top="1820" w:bottom="280" w:left="720" w:right="720"/>
          <w:cols w:num="2" w:equalWidth="0">
            <w:col w:w="5041" w:space="40"/>
            <w:col w:w="5719"/>
          </w:cols>
        </w:sectPr>
      </w:pPr>
    </w:p>
    <w:p>
      <w:pPr>
        <w:pStyle w:val="BodyText"/>
        <w:spacing w:line="232" w:lineRule="auto" w:before="44"/>
        <w:ind w:left="720" w:right="40"/>
        <w:jc w:val="both"/>
      </w:pPr>
      <w:r>
        <w:rPr/>
        <mc:AlternateContent>
          <mc:Choice Requires="wps">
            <w:drawing>
              <wp:anchor distT="0" distB="0" distL="0" distR="0" allowOverlap="1" layoutInCell="1" locked="0" behindDoc="0" simplePos="0" relativeHeight="15746048">
                <wp:simplePos x="0" y="0"/>
                <wp:positionH relativeFrom="page">
                  <wp:posOffset>4572000</wp:posOffset>
                </wp:positionH>
                <wp:positionV relativeFrom="paragraph">
                  <wp:posOffset>266099</wp:posOffset>
                </wp:positionV>
                <wp:extent cx="1790700" cy="15494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790700" cy="154940"/>
                          <a:chExt cx="1790700" cy="154940"/>
                        </a:xfrm>
                      </wpg:grpSpPr>
                      <wps:wsp>
                        <wps:cNvPr id="76" name="Graphic 76"/>
                        <wps:cNvSpPr/>
                        <wps:spPr>
                          <a:xfrm>
                            <a:off x="0" y="119872"/>
                            <a:ext cx="1790700" cy="1270"/>
                          </a:xfrm>
                          <a:custGeom>
                            <a:avLst/>
                            <a:gdLst/>
                            <a:ahLst/>
                            <a:cxnLst/>
                            <a:rect l="l" t="t" r="r" b="b"/>
                            <a:pathLst>
                              <a:path w="1790700" h="0">
                                <a:moveTo>
                                  <a:pt x="0" y="0"/>
                                </a:moveTo>
                                <a:lnTo>
                                  <a:pt x="1790700" y="0"/>
                                </a:lnTo>
                              </a:path>
                            </a:pathLst>
                          </a:custGeom>
                          <a:ln w="9525">
                            <a:solidFill>
                              <a:srgbClr val="E6E6E6"/>
                            </a:solidFill>
                            <a:prstDash val="solid"/>
                          </a:ln>
                        </wps:spPr>
                        <wps:bodyPr wrap="square" lIns="0" tIns="0" rIns="0" bIns="0" rtlCol="0">
                          <a:prstTxWarp prst="textNoShape">
                            <a:avLst/>
                          </a:prstTxWarp>
                          <a:noAutofit/>
                        </wps:bodyPr>
                      </wps:wsp>
                      <wps:wsp>
                        <wps:cNvPr id="77" name="Graphic 77"/>
                        <wps:cNvSpPr/>
                        <wps:spPr>
                          <a:xfrm>
                            <a:off x="52668" y="9525"/>
                            <a:ext cx="1685925" cy="38735"/>
                          </a:xfrm>
                          <a:custGeom>
                            <a:avLst/>
                            <a:gdLst/>
                            <a:ahLst/>
                            <a:cxnLst/>
                            <a:rect l="l" t="t" r="r" b="b"/>
                            <a:pathLst>
                              <a:path w="1685925" h="38735">
                                <a:moveTo>
                                  <a:pt x="0" y="3477"/>
                                </a:moveTo>
                                <a:lnTo>
                                  <a:pt x="105335" y="0"/>
                                </a:lnTo>
                                <a:lnTo>
                                  <a:pt x="210670" y="6953"/>
                                </a:lnTo>
                                <a:lnTo>
                                  <a:pt x="316005" y="6953"/>
                                </a:lnTo>
                                <a:lnTo>
                                  <a:pt x="421340" y="3477"/>
                                </a:lnTo>
                                <a:lnTo>
                                  <a:pt x="526675" y="10430"/>
                                </a:lnTo>
                                <a:lnTo>
                                  <a:pt x="632011" y="17383"/>
                                </a:lnTo>
                                <a:lnTo>
                                  <a:pt x="737346" y="17383"/>
                                </a:lnTo>
                                <a:lnTo>
                                  <a:pt x="842681" y="10430"/>
                                </a:lnTo>
                                <a:lnTo>
                                  <a:pt x="948016" y="20861"/>
                                </a:lnTo>
                                <a:lnTo>
                                  <a:pt x="1053351" y="27814"/>
                                </a:lnTo>
                                <a:lnTo>
                                  <a:pt x="1158688" y="38243"/>
                                </a:lnTo>
                                <a:lnTo>
                                  <a:pt x="1264023" y="30593"/>
                                </a:lnTo>
                                <a:lnTo>
                                  <a:pt x="1369358" y="20861"/>
                                </a:lnTo>
                                <a:lnTo>
                                  <a:pt x="1474693" y="27814"/>
                                </a:lnTo>
                                <a:lnTo>
                                  <a:pt x="1580028" y="38243"/>
                                </a:lnTo>
                                <a:lnTo>
                                  <a:pt x="1685364" y="32933"/>
                                </a:lnTo>
                              </a:path>
                            </a:pathLst>
                          </a:custGeom>
                          <a:ln w="19049">
                            <a:solidFill>
                              <a:srgbClr val="494949"/>
                            </a:solidFill>
                            <a:prstDash val="solid"/>
                          </a:ln>
                        </wps:spPr>
                        <wps:bodyPr wrap="square" lIns="0" tIns="0" rIns="0" bIns="0" rtlCol="0">
                          <a:prstTxWarp prst="textNoShape">
                            <a:avLst/>
                          </a:prstTxWarp>
                          <a:noAutofit/>
                        </wps:bodyPr>
                      </wps:wsp>
                      <wps:wsp>
                        <wps:cNvPr id="78" name="Graphic 78"/>
                        <wps:cNvSpPr/>
                        <wps:spPr>
                          <a:xfrm>
                            <a:off x="52668" y="110347"/>
                            <a:ext cx="1685925" cy="34925"/>
                          </a:xfrm>
                          <a:custGeom>
                            <a:avLst/>
                            <a:gdLst/>
                            <a:ahLst/>
                            <a:cxnLst/>
                            <a:rect l="l" t="t" r="r" b="b"/>
                            <a:pathLst>
                              <a:path w="1685925" h="34925">
                                <a:moveTo>
                                  <a:pt x="0" y="0"/>
                                </a:moveTo>
                                <a:lnTo>
                                  <a:pt x="105335" y="0"/>
                                </a:lnTo>
                                <a:lnTo>
                                  <a:pt x="210670" y="0"/>
                                </a:lnTo>
                                <a:lnTo>
                                  <a:pt x="316005" y="0"/>
                                </a:lnTo>
                                <a:lnTo>
                                  <a:pt x="421340" y="0"/>
                                </a:lnTo>
                                <a:lnTo>
                                  <a:pt x="526675" y="0"/>
                                </a:lnTo>
                                <a:lnTo>
                                  <a:pt x="632011" y="0"/>
                                </a:lnTo>
                                <a:lnTo>
                                  <a:pt x="737346" y="0"/>
                                </a:lnTo>
                                <a:lnTo>
                                  <a:pt x="842681" y="0"/>
                                </a:lnTo>
                                <a:lnTo>
                                  <a:pt x="948016" y="0"/>
                                </a:lnTo>
                                <a:lnTo>
                                  <a:pt x="1053351" y="0"/>
                                </a:lnTo>
                                <a:lnTo>
                                  <a:pt x="1158688" y="0"/>
                                </a:lnTo>
                                <a:lnTo>
                                  <a:pt x="1264023" y="0"/>
                                </a:lnTo>
                                <a:lnTo>
                                  <a:pt x="1369358" y="0"/>
                                </a:lnTo>
                                <a:lnTo>
                                  <a:pt x="1474693" y="0"/>
                                </a:lnTo>
                                <a:lnTo>
                                  <a:pt x="1580028" y="0"/>
                                </a:lnTo>
                                <a:lnTo>
                                  <a:pt x="1580028" y="34766"/>
                                </a:lnTo>
                                <a:lnTo>
                                  <a:pt x="1685364" y="34766"/>
                                </a:lnTo>
                              </a:path>
                            </a:pathLst>
                          </a:custGeom>
                          <a:ln w="19050">
                            <a:solidFill>
                              <a:srgbClr val="919191"/>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360pt;margin-top:20.952732pt;width:141pt;height:12.2pt;mso-position-horizontal-relative:page;mso-position-vertical-relative:paragraph;z-index:15746048" id="docshapegroup54" coordorigin="7200,419" coordsize="2820,244">
                <v:line style="position:absolute" from="7200,608" to="10020,608" stroked="true" strokeweight=".75pt" strokecolor="#e6e6e6">
                  <v:stroke dashstyle="solid"/>
                </v:line>
                <v:shape style="position:absolute;left:7282;top:434;width:2655;height:61" id="docshape55" coordorigin="7283,434" coordsize="2655,61" path="m7283,440l7449,434,7615,445,7781,445,7946,440,8112,450,8278,461,8444,461,8610,450,8776,467,8942,478,9108,494,9274,482,9439,467,9605,478,9771,494,9937,486e" filled="false" stroked="true" strokeweight="1.5pt" strokecolor="#494949">
                  <v:path arrowok="t"/>
                  <v:stroke dashstyle="solid"/>
                </v:shape>
                <v:shape style="position:absolute;left:7282;top:592;width:2655;height:55" id="docshape56" coordorigin="7283,593" coordsize="2655,55" path="m7283,593l7449,593,7615,593,7781,593,7946,593,8112,593,8278,593,8444,593,8610,593,8776,593,8942,593,9108,593,9274,593,9439,593,9605,593,9771,593,9771,648,9937,648e" filled="false" stroked="true" strokeweight="1.5pt" strokecolor="#919191">
                  <v:path arrowok="t"/>
                  <v:stroke dashstyle="shortdash"/>
                </v:shape>
                <w10:wrap type="none"/>
              </v:group>
            </w:pict>
          </mc:Fallback>
        </mc:AlternateContent>
      </w:r>
      <w:r>
        <w:rPr/>
        <w:t>movements</w:t>
      </w:r>
      <w:r>
        <w:rPr>
          <w:spacing w:val="-4"/>
        </w:rPr>
        <w:t> </w:t>
      </w:r>
      <w:r>
        <w:rPr/>
        <w:t>during</w:t>
      </w:r>
      <w:r>
        <w:rPr>
          <w:spacing w:val="-3"/>
        </w:rPr>
        <w:t> </w:t>
      </w:r>
      <w:r>
        <w:rPr/>
        <w:t>the</w:t>
      </w:r>
      <w:r>
        <w:rPr>
          <w:spacing w:val="-4"/>
        </w:rPr>
        <w:t> </w:t>
      </w:r>
      <w:r>
        <w:rPr/>
        <w:t>year</w:t>
      </w:r>
      <w:r>
        <w:rPr>
          <w:spacing w:val="-3"/>
        </w:rPr>
        <w:t> </w:t>
      </w:r>
      <w:r>
        <w:rPr/>
        <w:t>did</w:t>
      </w:r>
      <w:r>
        <w:rPr>
          <w:spacing w:val="-3"/>
        </w:rPr>
        <w:t> </w:t>
      </w:r>
      <w:r>
        <w:rPr/>
        <w:t>not</w:t>
      </w:r>
      <w:r>
        <w:rPr>
          <w:spacing w:val="-4"/>
        </w:rPr>
        <w:t> </w:t>
      </w:r>
      <w:r>
        <w:rPr/>
        <w:t>have</w:t>
      </w:r>
      <w:r>
        <w:rPr>
          <w:spacing w:val="-4"/>
        </w:rPr>
        <w:t> </w:t>
      </w:r>
      <w:r>
        <w:rPr/>
        <w:t>an</w:t>
      </w:r>
      <w:r>
        <w:rPr>
          <w:spacing w:val="-3"/>
        </w:rPr>
        <w:t> </w:t>
      </w:r>
      <w:r>
        <w:rPr/>
        <w:t>impact</w:t>
      </w:r>
      <w:r>
        <w:rPr>
          <w:spacing w:val="-4"/>
        </w:rPr>
        <w:t> </w:t>
      </w:r>
      <w:r>
        <w:rPr/>
        <w:t>on IBRD’s Equity-to-Loans ratio.</w:t>
      </w:r>
    </w:p>
    <w:p>
      <w:pPr>
        <w:pStyle w:val="BodyText"/>
        <w:spacing w:line="232" w:lineRule="auto" w:before="185"/>
        <w:ind w:left="720" w:right="38"/>
        <w:jc w:val="both"/>
      </w:pPr>
      <w:r>
        <w:rPr/>
        <w:t>In FY23, IBRD received $1.3 billion of paid-in capital subscribed under the 2018 General and Selective Capital Increases (GCI and SCI), bringing the cumulative amounts received to $5.4 billion, representing</w:t>
      </w:r>
      <w:r>
        <w:rPr>
          <w:spacing w:val="23"/>
        </w:rPr>
        <w:t> </w:t>
      </w:r>
      <w:r>
        <w:rPr/>
        <w:t>72%</w:t>
      </w:r>
      <w:r>
        <w:rPr>
          <w:spacing w:val="24"/>
        </w:rPr>
        <w:t> </w:t>
      </w:r>
      <w:r>
        <w:rPr/>
        <w:t>of</w:t>
      </w:r>
      <w:r>
        <w:rPr>
          <w:spacing w:val="23"/>
        </w:rPr>
        <w:t> </w:t>
      </w:r>
      <w:r>
        <w:rPr/>
        <w:t>the</w:t>
      </w:r>
      <w:r>
        <w:rPr>
          <w:spacing w:val="24"/>
        </w:rPr>
        <w:t> </w:t>
      </w:r>
      <w:r>
        <w:rPr/>
        <w:t>total</w:t>
      </w:r>
      <w:r>
        <w:rPr>
          <w:spacing w:val="23"/>
        </w:rPr>
        <w:t> </w:t>
      </w:r>
      <w:r>
        <w:rPr/>
        <w:t>amount</w:t>
      </w:r>
      <w:r>
        <w:rPr>
          <w:spacing w:val="24"/>
        </w:rPr>
        <w:t> </w:t>
      </w:r>
      <w:r>
        <w:rPr/>
        <w:t>expected</w:t>
      </w:r>
      <w:r>
        <w:rPr>
          <w:spacing w:val="24"/>
        </w:rPr>
        <w:t> </w:t>
      </w:r>
      <w:r>
        <w:rPr>
          <w:spacing w:val="-4"/>
        </w:rPr>
        <w:t>over</w:t>
      </w:r>
    </w:p>
    <w:p>
      <w:pPr>
        <w:spacing w:line="147" w:lineRule="exact" w:before="0"/>
        <w:ind w:left="720" w:right="0" w:firstLine="0"/>
        <w:jc w:val="left"/>
        <w:rPr>
          <w:rFonts w:ascii="Arial MT"/>
          <w:sz w:val="14"/>
        </w:rPr>
      </w:pPr>
      <w:r>
        <w:rPr/>
        <w:br w:type="column"/>
      </w:r>
      <w:r>
        <w:rPr>
          <w:rFonts w:ascii="Arial MT"/>
          <w:color w:val="585858"/>
          <w:spacing w:val="-5"/>
          <w:sz w:val="14"/>
        </w:rPr>
        <w:t>30%</w:t>
      </w:r>
    </w:p>
    <w:p>
      <w:pPr>
        <w:pStyle w:val="BodyText"/>
        <w:rPr>
          <w:rFonts w:ascii="Arial MT"/>
          <w:sz w:val="14"/>
        </w:rPr>
      </w:pPr>
    </w:p>
    <w:p>
      <w:pPr>
        <w:pStyle w:val="BodyText"/>
        <w:spacing w:before="57"/>
        <w:rPr>
          <w:rFonts w:ascii="Arial MT"/>
          <w:sz w:val="14"/>
        </w:rPr>
      </w:pPr>
    </w:p>
    <w:p>
      <w:pPr>
        <w:spacing w:before="0"/>
        <w:ind w:left="720" w:right="0" w:firstLine="0"/>
        <w:jc w:val="left"/>
        <w:rPr>
          <w:rFonts w:ascii="Arial MT"/>
          <w:sz w:val="14"/>
        </w:rPr>
      </w:pPr>
      <w:r>
        <w:rPr>
          <w:rFonts w:ascii="Arial MT"/>
          <w:color w:val="585858"/>
          <w:spacing w:val="-5"/>
          <w:sz w:val="14"/>
        </w:rPr>
        <w:t>20%</w:t>
      </w:r>
    </w:p>
    <w:p>
      <w:pPr>
        <w:pStyle w:val="BodyText"/>
        <w:rPr>
          <w:rFonts w:ascii="Arial MT"/>
          <w:sz w:val="14"/>
        </w:rPr>
      </w:pPr>
    </w:p>
    <w:p>
      <w:pPr>
        <w:pStyle w:val="BodyText"/>
        <w:spacing w:before="72"/>
        <w:rPr>
          <w:rFonts w:ascii="Arial MT"/>
          <w:sz w:val="14"/>
        </w:rPr>
      </w:pPr>
    </w:p>
    <w:p>
      <w:pPr>
        <w:spacing w:before="0"/>
        <w:ind w:left="720" w:right="0" w:firstLine="0"/>
        <w:jc w:val="left"/>
        <w:rPr>
          <w:rFonts w:ascii="Arial MT"/>
          <w:sz w:val="14"/>
        </w:rPr>
      </w:pPr>
      <w:r>
        <w:rPr>
          <w:rFonts w:ascii="Arial MT"/>
          <w:color w:val="585858"/>
          <w:spacing w:val="-5"/>
          <w:sz w:val="14"/>
        </w:rPr>
        <w:t>10%</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48"/>
        <w:rPr>
          <w:rFonts w:ascii="Arial MT"/>
          <w:sz w:val="14"/>
        </w:rPr>
      </w:pPr>
    </w:p>
    <w:p>
      <w:pPr>
        <w:spacing w:line="249" w:lineRule="auto" w:before="1"/>
        <w:ind w:left="189" w:right="0" w:hanging="59"/>
        <w:jc w:val="left"/>
        <w:rPr>
          <w:rFonts w:ascii="Arial MT"/>
          <w:sz w:val="14"/>
        </w:rPr>
      </w:pPr>
      <w:r>
        <w:rPr>
          <w:rFonts w:ascii="Arial MT"/>
          <w:sz w:val="14"/>
        </w:rPr>
        <mc:AlternateContent>
          <mc:Choice Requires="wps">
            <w:drawing>
              <wp:anchor distT="0" distB="0" distL="0" distR="0" allowOverlap="1" layoutInCell="1" locked="0" behindDoc="0" simplePos="0" relativeHeight="15745536">
                <wp:simplePos x="0" y="0"/>
                <wp:positionH relativeFrom="page">
                  <wp:posOffset>4572000</wp:posOffset>
                </wp:positionH>
                <wp:positionV relativeFrom="paragraph">
                  <wp:posOffset>-80691</wp:posOffset>
                </wp:positionV>
                <wp:extent cx="179070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790700" cy="1270"/>
                        </a:xfrm>
                        <a:custGeom>
                          <a:avLst/>
                          <a:gdLst/>
                          <a:ahLst/>
                          <a:cxnLst/>
                          <a:rect l="l" t="t" r="r" b="b"/>
                          <a:pathLst>
                            <a:path w="1790700" h="0">
                              <a:moveTo>
                                <a:pt x="0" y="0"/>
                              </a:moveTo>
                              <a:lnTo>
                                <a:pt x="1790700"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360pt,-6.353682pt" to="501pt,-6.353682pt" stroked="true" strokeweight=".75pt" strokecolor="#e6e6e6">
                <v:stroke dashstyle="solid"/>
                <w10:wrap type="none"/>
              </v:line>
            </w:pict>
          </mc:Fallback>
        </mc:AlternateContent>
      </w:r>
      <w:r>
        <w:rPr>
          <w:rFonts w:ascii="Arial MT"/>
          <w:color w:val="585858"/>
          <w:sz w:val="14"/>
        </w:rPr>
        <w:t>Jun-</w:t>
      </w:r>
      <w:r>
        <w:rPr>
          <w:rFonts w:ascii="Arial MT"/>
          <w:color w:val="585858"/>
          <w:spacing w:val="-6"/>
          <w:sz w:val="14"/>
        </w:rPr>
        <w:t>19</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48"/>
        <w:rPr>
          <w:rFonts w:ascii="Arial MT"/>
          <w:sz w:val="14"/>
        </w:rPr>
      </w:pPr>
    </w:p>
    <w:p>
      <w:pPr>
        <w:spacing w:line="249" w:lineRule="auto" w:before="1"/>
        <w:ind w:left="405" w:right="0" w:hanging="59"/>
        <w:jc w:val="left"/>
        <w:rPr>
          <w:rFonts w:ascii="Arial MT"/>
          <w:sz w:val="14"/>
        </w:rPr>
      </w:pPr>
      <w:r>
        <w:rPr>
          <w:rFonts w:ascii="Arial MT"/>
          <w:color w:val="585858"/>
          <w:sz w:val="14"/>
        </w:rPr>
        <w:t>Jun-</w:t>
      </w:r>
      <w:r>
        <w:rPr>
          <w:rFonts w:ascii="Arial MT"/>
          <w:color w:val="585858"/>
          <w:spacing w:val="-6"/>
          <w:sz w:val="14"/>
        </w:rPr>
        <w:t>20</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48"/>
        <w:rPr>
          <w:rFonts w:ascii="Arial MT"/>
          <w:sz w:val="14"/>
        </w:rPr>
      </w:pPr>
    </w:p>
    <w:p>
      <w:pPr>
        <w:spacing w:line="249" w:lineRule="auto" w:before="1"/>
        <w:ind w:left="420" w:right="0" w:hanging="59"/>
        <w:jc w:val="left"/>
        <w:rPr>
          <w:rFonts w:ascii="Arial MT"/>
          <w:sz w:val="14"/>
        </w:rPr>
      </w:pPr>
      <w:r>
        <w:rPr>
          <w:rFonts w:ascii="Arial MT"/>
          <w:color w:val="585858"/>
          <w:sz w:val="14"/>
        </w:rPr>
        <w:t>Jun-</w:t>
      </w:r>
      <w:r>
        <w:rPr>
          <w:rFonts w:ascii="Arial MT"/>
          <w:color w:val="585858"/>
          <w:spacing w:val="-6"/>
          <w:sz w:val="14"/>
        </w:rPr>
        <w:t>21</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48"/>
        <w:rPr>
          <w:rFonts w:ascii="Arial MT"/>
          <w:sz w:val="14"/>
        </w:rPr>
      </w:pPr>
    </w:p>
    <w:p>
      <w:pPr>
        <w:spacing w:line="249" w:lineRule="auto" w:before="1"/>
        <w:ind w:left="405" w:right="0" w:hanging="59"/>
        <w:jc w:val="left"/>
        <w:rPr>
          <w:rFonts w:ascii="Arial MT"/>
          <w:sz w:val="14"/>
        </w:rPr>
      </w:pPr>
      <w:r>
        <w:rPr>
          <w:rFonts w:ascii="Arial MT"/>
          <w:color w:val="585858"/>
          <w:sz w:val="14"/>
        </w:rPr>
        <w:t>Jun-</w:t>
      </w:r>
      <w:r>
        <w:rPr>
          <w:rFonts w:ascii="Arial MT"/>
          <w:color w:val="585858"/>
          <w:spacing w:val="-6"/>
          <w:sz w:val="14"/>
        </w:rPr>
        <w:t>22</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48"/>
        <w:rPr>
          <w:rFonts w:ascii="Arial MT"/>
          <w:sz w:val="14"/>
        </w:rPr>
      </w:pPr>
    </w:p>
    <w:p>
      <w:pPr>
        <w:spacing w:line="249" w:lineRule="auto" w:before="1"/>
        <w:ind w:left="405" w:right="1459" w:hanging="59"/>
        <w:jc w:val="left"/>
        <w:rPr>
          <w:rFonts w:ascii="Arial MT"/>
          <w:sz w:val="14"/>
        </w:rPr>
      </w:pPr>
      <w:r>
        <w:rPr>
          <w:rFonts w:ascii="Arial MT"/>
          <w:color w:val="585858"/>
          <w:sz w:val="14"/>
        </w:rPr>
        <w:t>Jun-</w:t>
      </w:r>
      <w:r>
        <w:rPr>
          <w:rFonts w:ascii="Arial MT"/>
          <w:color w:val="585858"/>
          <w:spacing w:val="-6"/>
          <w:sz w:val="14"/>
        </w:rPr>
        <w:t>23</w:t>
      </w:r>
    </w:p>
    <w:p>
      <w:pPr>
        <w:spacing w:after="0" w:line="249" w:lineRule="auto"/>
        <w:jc w:val="left"/>
        <w:rPr>
          <w:rFonts w:ascii="Arial MT"/>
          <w:sz w:val="14"/>
        </w:rPr>
        <w:sectPr>
          <w:type w:val="continuous"/>
          <w:pgSz w:w="12240" w:h="15840"/>
          <w:pgMar w:header="744" w:footer="713" w:top="1820" w:bottom="280" w:left="720" w:right="720"/>
          <w:cols w:num="7" w:equalWidth="0">
            <w:col w:w="5081" w:space="159"/>
            <w:col w:w="1001" w:space="40"/>
            <w:col w:w="404" w:space="39"/>
            <w:col w:w="620" w:space="39"/>
            <w:col w:w="635" w:space="40"/>
            <w:col w:w="620" w:space="40"/>
            <w:col w:w="2082"/>
          </w:cols>
        </w:sectPr>
      </w:pPr>
    </w:p>
    <w:p>
      <w:pPr>
        <w:pStyle w:val="BodyText"/>
        <w:spacing w:line="232" w:lineRule="auto" w:before="45"/>
        <w:ind w:left="720" w:right="38"/>
        <w:jc w:val="both"/>
      </w:pPr>
      <w:r>
        <w:rPr/>
        <w:t>the subscription period. In May 2023, the Board approved the extension of the subscription period for the GCI and SCI from October 1, 2023 to October 1, </w:t>
      </w:r>
      <w:r>
        <w:rPr>
          <w:spacing w:val="-2"/>
        </w:rPr>
        <w:t>2025.</w:t>
      </w:r>
    </w:p>
    <w:p>
      <w:pPr>
        <w:spacing w:line="122" w:lineRule="exact" w:before="0"/>
        <w:ind w:left="435" w:right="0" w:firstLine="0"/>
        <w:jc w:val="left"/>
        <w:rPr>
          <w:rFonts w:ascii="Arial"/>
          <w:b/>
          <w:sz w:val="12"/>
        </w:rPr>
      </w:pPr>
      <w:r>
        <w:rPr/>
        <w:br w:type="column"/>
      </w:r>
      <w:r>
        <w:rPr>
          <w:position w:val="3"/>
        </w:rPr>
        <w:drawing>
          <wp:inline distT="0" distB="0" distL="0" distR="0">
            <wp:extent cx="142875" cy="1905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3" cstate="print"/>
                    <a:stretch>
                      <a:fillRect/>
                    </a:stretch>
                  </pic:blipFill>
                  <pic:spPr>
                    <a:xfrm>
                      <a:off x="0" y="0"/>
                      <a:ext cx="142875" cy="19050"/>
                    </a:xfrm>
                    <a:prstGeom prst="rect">
                      <a:avLst/>
                    </a:prstGeom>
                  </pic:spPr>
                </pic:pic>
              </a:graphicData>
            </a:graphic>
          </wp:inline>
        </w:drawing>
      </w:r>
      <w:r>
        <w:rPr>
          <w:position w:val="3"/>
        </w:rPr>
      </w:r>
      <w:r>
        <w:rPr>
          <w:spacing w:val="12"/>
          <w:sz w:val="20"/>
        </w:rPr>
        <w:t> </w:t>
      </w:r>
      <w:r>
        <w:rPr>
          <w:rFonts w:ascii="Arial"/>
          <w:b/>
          <w:color w:val="585858"/>
          <w:sz w:val="12"/>
        </w:rPr>
        <w:t>Equity-to-Loans Ratio</w:t>
      </w:r>
      <w:r>
        <w:rPr>
          <w:rFonts w:ascii="Arial"/>
          <w:b/>
          <w:color w:val="585858"/>
          <w:spacing w:val="40"/>
          <w:sz w:val="12"/>
        </w:rPr>
        <w:t>  </w:t>
      </w:r>
      <w:r>
        <w:rPr>
          <w:rFonts w:ascii="Arial"/>
          <w:b/>
          <w:color w:val="585858"/>
          <w:spacing w:val="14"/>
          <w:position w:val="3"/>
          <w:sz w:val="12"/>
        </w:rPr>
        <w:drawing>
          <wp:inline distT="0" distB="0" distL="0" distR="0">
            <wp:extent cx="142875" cy="1905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4" cstate="print"/>
                    <a:stretch>
                      <a:fillRect/>
                    </a:stretch>
                  </pic:blipFill>
                  <pic:spPr>
                    <a:xfrm>
                      <a:off x="0" y="0"/>
                      <a:ext cx="142875" cy="19050"/>
                    </a:xfrm>
                    <a:prstGeom prst="rect">
                      <a:avLst/>
                    </a:prstGeom>
                  </pic:spPr>
                </pic:pic>
              </a:graphicData>
            </a:graphic>
          </wp:inline>
        </w:drawing>
      </w:r>
      <w:r>
        <w:rPr>
          <w:rFonts w:ascii="Arial"/>
          <w:b/>
          <w:color w:val="585858"/>
          <w:spacing w:val="14"/>
          <w:position w:val="3"/>
          <w:sz w:val="12"/>
        </w:rPr>
      </w:r>
      <w:r>
        <w:rPr>
          <w:color w:val="585858"/>
          <w:spacing w:val="14"/>
          <w:sz w:val="12"/>
        </w:rPr>
        <w:t> </w:t>
      </w:r>
      <w:r>
        <w:rPr>
          <w:rFonts w:ascii="Arial"/>
          <w:b/>
          <w:color w:val="585858"/>
          <w:sz w:val="12"/>
        </w:rPr>
        <w:t>Policy Minimum</w:t>
      </w:r>
    </w:p>
    <w:p>
      <w:pPr>
        <w:spacing w:after="0" w:line="122" w:lineRule="exact"/>
        <w:jc w:val="left"/>
        <w:rPr>
          <w:rFonts w:ascii="Arial"/>
          <w:b/>
          <w:sz w:val="12"/>
        </w:rPr>
        <w:sectPr>
          <w:type w:val="continuous"/>
          <w:pgSz w:w="12240" w:h="15840"/>
          <w:pgMar w:header="744" w:footer="713" w:top="1820" w:bottom="280" w:left="720" w:right="720"/>
          <w:cols w:num="2" w:equalWidth="0">
            <w:col w:w="5080" w:space="695"/>
            <w:col w:w="5025"/>
          </w:cols>
        </w:sectPr>
      </w:pPr>
    </w:p>
    <w:p>
      <w:pPr>
        <w:pStyle w:val="BodyText"/>
        <w:spacing w:before="77"/>
        <w:rPr>
          <w:rFonts w:ascii="Arial"/>
          <w:b/>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233062</wp:posOffset>
                </wp:positionV>
                <wp:extent cx="59436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710720;mso-wrap-distance-left:0;mso-wrap-distance-right:0" id="docshape69" coordorigin="1440,367" coordsize="9360,0" path="m1440,367l10800,367e" filled="false" stroked="true" strokeweight="1pt" strokecolor="#000000">
                <v:path arrowok="t"/>
                <v:stroke dashstyle="solid"/>
                <w10:wrap type="topAndBottom"/>
              </v:shape>
            </w:pict>
          </mc:Fallback>
        </mc:AlternateContent>
      </w:r>
      <w:bookmarkStart w:name="Section II: Overview" w:id="7"/>
      <w:bookmarkEnd w:id="7"/>
      <w:r>
        <w:rPr/>
      </w:r>
      <w:r>
        <w:rPr>
          <w:rFonts w:ascii="Arial"/>
          <w:b/>
          <w:sz w:val="28"/>
        </w:rPr>
        <w:t>Section</w:t>
      </w:r>
      <w:r>
        <w:rPr>
          <w:rFonts w:ascii="Arial"/>
          <w:b/>
          <w:spacing w:val="-1"/>
          <w:sz w:val="28"/>
        </w:rPr>
        <w:t> </w:t>
      </w:r>
      <w:r>
        <w:rPr>
          <w:rFonts w:ascii="Arial"/>
          <w:b/>
          <w:sz w:val="28"/>
        </w:rPr>
        <w:t>II:</w:t>
      </w:r>
      <w:r>
        <w:rPr>
          <w:rFonts w:ascii="Arial"/>
          <w:b/>
          <w:spacing w:val="-1"/>
          <w:sz w:val="28"/>
        </w:rPr>
        <w:t> </w:t>
      </w:r>
      <w:r>
        <w:rPr>
          <w:rFonts w:ascii="Arial"/>
          <w:b/>
          <w:spacing w:val="-2"/>
          <w:sz w:val="28"/>
        </w:rPr>
        <w:t>Overview</w:t>
      </w:r>
    </w:p>
    <w:p>
      <w:pPr>
        <w:spacing w:before="159"/>
        <w:ind w:left="720" w:right="0" w:firstLine="0"/>
        <w:jc w:val="left"/>
        <w:rPr>
          <w:rFonts w:ascii="Arial"/>
          <w:b/>
          <w:sz w:val="24"/>
        </w:rPr>
      </w:pPr>
      <w:bookmarkStart w:name="Introduction" w:id="8"/>
      <w:bookmarkEnd w:id="8"/>
      <w:r>
        <w:rPr/>
      </w:r>
      <w:bookmarkStart w:name="_bookmark2" w:id="9"/>
      <w:bookmarkEnd w:id="9"/>
      <w:r>
        <w:rPr/>
      </w:r>
      <w:r>
        <w:rPr>
          <w:rFonts w:ascii="Arial"/>
          <w:b/>
          <w:spacing w:val="-2"/>
          <w:sz w:val="24"/>
        </w:rPr>
        <w:t>Introduction</w:t>
      </w:r>
    </w:p>
    <w:p>
      <w:pPr>
        <w:pStyle w:val="BodyText"/>
        <w:spacing w:line="249" w:lineRule="auto" w:before="135"/>
        <w:ind w:left="720" w:right="718"/>
        <w:jc w:val="both"/>
      </w:pPr>
      <w:r>
        <w:rPr/>
        <w:t>IBRD, an international organization owned by its 189 member countries, is one of the five institutions of the WBG. Each institution is legally and financially independent, with separate assets and liabilities. IBRD is not liable for the obligations of the other institutions.</w:t>
      </w:r>
    </w:p>
    <w:p>
      <w:pPr>
        <w:pStyle w:val="BodyText"/>
        <w:spacing w:line="249" w:lineRule="auto" w:before="122"/>
        <w:ind w:left="720" w:right="718"/>
        <w:jc w:val="both"/>
      </w:pPr>
      <w:r>
        <w:rPr/>
        <w:t>IBRD is a Multilateral Development Bank that combines knowledge services and financing with a global reach. IBRD’s value is derived from its ability to help eligible borrowing members address their development challenges and</w:t>
      </w:r>
      <w:r>
        <w:rPr>
          <w:spacing w:val="-1"/>
        </w:rPr>
        <w:t> </w:t>
      </w:r>
      <w:r>
        <w:rPr/>
        <w:t>meet</w:t>
      </w:r>
      <w:r>
        <w:rPr>
          <w:spacing w:val="-1"/>
        </w:rPr>
        <w:t> </w:t>
      </w:r>
      <w:r>
        <w:rPr/>
        <w:t>their</w:t>
      </w:r>
      <w:r>
        <w:rPr>
          <w:spacing w:val="-1"/>
        </w:rPr>
        <w:t> </w:t>
      </w:r>
      <w:r>
        <w:rPr/>
        <w:t>rising</w:t>
      </w:r>
      <w:r>
        <w:rPr>
          <w:spacing w:val="-1"/>
        </w:rPr>
        <w:t> </w:t>
      </w:r>
      <w:r>
        <w:rPr/>
        <w:t>demand</w:t>
      </w:r>
      <w:r>
        <w:rPr>
          <w:spacing w:val="-1"/>
        </w:rPr>
        <w:t> </w:t>
      </w:r>
      <w:r>
        <w:rPr/>
        <w:t>for</w:t>
      </w:r>
      <w:r>
        <w:rPr>
          <w:spacing w:val="-1"/>
        </w:rPr>
        <w:t> </w:t>
      </w:r>
      <w:r>
        <w:rPr/>
        <w:t>innovative</w:t>
      </w:r>
      <w:r>
        <w:rPr>
          <w:spacing w:val="-1"/>
        </w:rPr>
        <w:t> </w:t>
      </w:r>
      <w:r>
        <w:rPr/>
        <w:t>products.</w:t>
      </w:r>
      <w:r>
        <w:rPr>
          <w:spacing w:val="-1"/>
        </w:rPr>
        <w:t> </w:t>
      </w:r>
      <w:r>
        <w:rPr/>
        <w:t>IBRD</w:t>
      </w:r>
      <w:r>
        <w:rPr>
          <w:spacing w:val="-1"/>
        </w:rPr>
        <w:t> </w:t>
      </w:r>
      <w:r>
        <w:rPr/>
        <w:t>provides</w:t>
      </w:r>
      <w:r>
        <w:rPr>
          <w:spacing w:val="-1"/>
        </w:rPr>
        <w:t> </w:t>
      </w:r>
      <w:r>
        <w:rPr/>
        <w:t>loans,</w:t>
      </w:r>
      <w:r>
        <w:rPr>
          <w:spacing w:val="-1"/>
        </w:rPr>
        <w:t> </w:t>
      </w:r>
      <w:r>
        <w:rPr/>
        <w:t>guarantees,</w:t>
      </w:r>
      <w:r>
        <w:rPr>
          <w:spacing w:val="-1"/>
        </w:rPr>
        <w:t> </w:t>
      </w:r>
      <w:r>
        <w:rPr/>
        <w:t>and</w:t>
      </w:r>
      <w:r>
        <w:rPr>
          <w:spacing w:val="-1"/>
        </w:rPr>
        <w:t> </w:t>
      </w:r>
      <w:r>
        <w:rPr/>
        <w:t>other</w:t>
      </w:r>
      <w:r>
        <w:rPr>
          <w:spacing w:val="-1"/>
        </w:rPr>
        <w:t> </w:t>
      </w:r>
      <w:r>
        <w:rPr/>
        <w:t>financial</w:t>
      </w:r>
      <w:r>
        <w:rPr>
          <w:spacing w:val="-1"/>
        </w:rPr>
        <w:t> </w:t>
      </w:r>
      <w:r>
        <w:rPr/>
        <w:t>products for development-focused projects and programs to creditworthy middle-income and lower-income countries to support sustainable development. By operating across a full range of country clients, IBRD maintains a depth of development knowledge, uses its convening power to promote development and advance the global public goods agenda, and coordinates responses to regional and global challenges.</w:t>
      </w:r>
    </w:p>
    <w:p>
      <w:pPr>
        <w:pStyle w:val="BodyText"/>
        <w:spacing w:line="249" w:lineRule="auto" w:before="126"/>
        <w:ind w:left="720" w:right="718"/>
        <w:jc w:val="both"/>
      </w:pPr>
      <w:r>
        <w:rPr/>
        <w:t>Member countries use IBRD’s technical advice and analysis and convening power to develop or implement better policies, programs, and reforms that help sustain development over the long term. The products delivered range</w:t>
      </w:r>
      <w:r>
        <w:rPr>
          <w:spacing w:val="40"/>
        </w:rPr>
        <w:t> </w:t>
      </w:r>
      <w:r>
        <w:rPr/>
        <w:t>from development data, to reports on key social economic and social issues at the local, country, regional and global levels. The products also include knowledge-sharing workshops focused on local issues, flagship events and fora to address the most pressing global development challenges.</w:t>
      </w:r>
    </w:p>
    <w:p>
      <w:pPr>
        <w:pStyle w:val="Heading1"/>
        <w:spacing w:before="122"/>
        <w:jc w:val="left"/>
      </w:pPr>
      <w:bookmarkStart w:name="Financial Business Model" w:id="10"/>
      <w:bookmarkEnd w:id="10"/>
      <w:r>
        <w:rPr>
          <w:b w:val="0"/>
        </w:rPr>
      </w:r>
      <w:bookmarkStart w:name="_bookmark3" w:id="11"/>
      <w:bookmarkEnd w:id="11"/>
      <w:r>
        <w:rPr>
          <w:b w:val="0"/>
        </w:rPr>
      </w:r>
      <w:r>
        <w:rPr/>
        <w:t>Financial</w:t>
      </w:r>
      <w:r>
        <w:rPr>
          <w:spacing w:val="-4"/>
        </w:rPr>
        <w:t> </w:t>
      </w:r>
      <w:r>
        <w:rPr/>
        <w:t>Business</w:t>
      </w:r>
      <w:r>
        <w:rPr>
          <w:spacing w:val="-3"/>
        </w:rPr>
        <w:t> </w:t>
      </w:r>
      <w:r>
        <w:rPr>
          <w:spacing w:val="-2"/>
        </w:rPr>
        <w:t>Model</w:t>
      </w:r>
    </w:p>
    <w:p>
      <w:pPr>
        <w:pStyle w:val="BodyText"/>
        <w:spacing w:line="249" w:lineRule="auto" w:before="134"/>
        <w:ind w:left="720" w:right="719"/>
        <w:jc w:val="both"/>
      </w:pPr>
      <w:r>
        <w:rPr/>
        <w:t>IBRD’s</w:t>
      </w:r>
      <w:r>
        <w:rPr>
          <w:spacing w:val="-2"/>
        </w:rPr>
        <w:t> </w:t>
      </w:r>
      <w:r>
        <w:rPr/>
        <w:t>objective</w:t>
      </w:r>
      <w:r>
        <w:rPr>
          <w:spacing w:val="-2"/>
        </w:rPr>
        <w:t> </w:t>
      </w:r>
      <w:r>
        <w:rPr/>
        <w:t>is</w:t>
      </w:r>
      <w:r>
        <w:rPr>
          <w:spacing w:val="-2"/>
        </w:rPr>
        <w:t> </w:t>
      </w:r>
      <w:r>
        <w:rPr/>
        <w:t>not</w:t>
      </w:r>
      <w:r>
        <w:rPr>
          <w:spacing w:val="-2"/>
        </w:rPr>
        <w:t> </w:t>
      </w:r>
      <w:r>
        <w:rPr/>
        <w:t>to</w:t>
      </w:r>
      <w:r>
        <w:rPr>
          <w:spacing w:val="-2"/>
        </w:rPr>
        <w:t> </w:t>
      </w:r>
      <w:r>
        <w:rPr/>
        <w:t>maximize</w:t>
      </w:r>
      <w:r>
        <w:rPr>
          <w:spacing w:val="-2"/>
        </w:rPr>
        <w:t> </w:t>
      </w:r>
      <w:r>
        <w:rPr/>
        <w:t>profits,</w:t>
      </w:r>
      <w:r>
        <w:rPr>
          <w:spacing w:val="-2"/>
        </w:rPr>
        <w:t> </w:t>
      </w:r>
      <w:r>
        <w:rPr/>
        <w:t>but</w:t>
      </w:r>
      <w:r>
        <w:rPr>
          <w:spacing w:val="-2"/>
        </w:rPr>
        <w:t> </w:t>
      </w:r>
      <w:r>
        <w:rPr/>
        <w:t>to</w:t>
      </w:r>
      <w:r>
        <w:rPr>
          <w:spacing w:val="-2"/>
        </w:rPr>
        <w:t> </w:t>
      </w:r>
      <w:r>
        <w:rPr/>
        <w:t>earn</w:t>
      </w:r>
      <w:r>
        <w:rPr>
          <w:spacing w:val="-2"/>
        </w:rPr>
        <w:t> </w:t>
      </w:r>
      <w:r>
        <w:rPr/>
        <w:t>adequate</w:t>
      </w:r>
      <w:r>
        <w:rPr>
          <w:spacing w:val="-2"/>
        </w:rPr>
        <w:t> </w:t>
      </w:r>
      <w:r>
        <w:rPr/>
        <w:t>income</w:t>
      </w:r>
      <w:r>
        <w:rPr>
          <w:spacing w:val="-2"/>
        </w:rPr>
        <w:t> </w:t>
      </w:r>
      <w:r>
        <w:rPr/>
        <w:t>to</w:t>
      </w:r>
      <w:r>
        <w:rPr>
          <w:spacing w:val="-2"/>
        </w:rPr>
        <w:t> </w:t>
      </w:r>
      <w:r>
        <w:rPr/>
        <w:t>ensure</w:t>
      </w:r>
      <w:r>
        <w:rPr>
          <w:spacing w:val="-2"/>
        </w:rPr>
        <w:t> </w:t>
      </w:r>
      <w:r>
        <w:rPr/>
        <w:t>that</w:t>
      </w:r>
      <w:r>
        <w:rPr>
          <w:spacing w:val="-2"/>
        </w:rPr>
        <w:t> </w:t>
      </w:r>
      <w:r>
        <w:rPr/>
        <w:t>it</w:t>
      </w:r>
      <w:r>
        <w:rPr>
          <w:spacing w:val="-2"/>
        </w:rPr>
        <w:t> </w:t>
      </w:r>
      <w:r>
        <w:rPr/>
        <w:t>has</w:t>
      </w:r>
      <w:r>
        <w:rPr>
          <w:spacing w:val="-2"/>
        </w:rPr>
        <w:t> </w:t>
      </w:r>
      <w:r>
        <w:rPr/>
        <w:t>the</w:t>
      </w:r>
      <w:r>
        <w:rPr>
          <w:spacing w:val="-2"/>
        </w:rPr>
        <w:t> </w:t>
      </w:r>
      <w:r>
        <w:rPr/>
        <w:t>long-term</w:t>
      </w:r>
      <w:r>
        <w:rPr>
          <w:spacing w:val="-2"/>
        </w:rPr>
        <w:t> </w:t>
      </w:r>
      <w:r>
        <w:rPr/>
        <w:t>financial capacity necessary to support its development activities. IBRD seeks to generate sufficient revenue to finance its operations as well as to be able to set aside funds in reserves to strengthen its financial position.</w:t>
      </w:r>
    </w:p>
    <w:p>
      <w:pPr>
        <w:pStyle w:val="BodyText"/>
        <w:spacing w:before="122"/>
        <w:ind w:left="720"/>
        <w:jc w:val="both"/>
      </w:pPr>
      <w:r>
        <w:rPr/>
        <w:t>It</w:t>
      </w:r>
      <w:r>
        <w:rPr>
          <w:spacing w:val="-5"/>
        </w:rPr>
        <w:t> </w:t>
      </w:r>
      <w:r>
        <w:rPr/>
        <w:t>also</w:t>
      </w:r>
      <w:r>
        <w:rPr>
          <w:spacing w:val="-2"/>
        </w:rPr>
        <w:t> </w:t>
      </w:r>
      <w:r>
        <w:rPr/>
        <w:t>seeks</w:t>
      </w:r>
      <w:r>
        <w:rPr>
          <w:spacing w:val="-3"/>
        </w:rPr>
        <w:t> </w:t>
      </w:r>
      <w:r>
        <w:rPr/>
        <w:t>to</w:t>
      </w:r>
      <w:r>
        <w:rPr>
          <w:spacing w:val="-2"/>
        </w:rPr>
        <w:t> </w:t>
      </w:r>
      <w:r>
        <w:rPr/>
        <w:t>provide</w:t>
      </w:r>
      <w:r>
        <w:rPr>
          <w:spacing w:val="-3"/>
        </w:rPr>
        <w:t> </w:t>
      </w:r>
      <w:r>
        <w:rPr/>
        <w:t>support</w:t>
      </w:r>
      <w:r>
        <w:rPr>
          <w:spacing w:val="-2"/>
        </w:rPr>
        <w:t> </w:t>
      </w:r>
      <w:r>
        <w:rPr/>
        <w:t>to</w:t>
      </w:r>
      <w:r>
        <w:rPr>
          <w:spacing w:val="-2"/>
        </w:rPr>
        <w:t> </w:t>
      </w:r>
      <w:r>
        <w:rPr/>
        <w:t>IDA</w:t>
      </w:r>
      <w:r>
        <w:rPr>
          <w:spacing w:val="-3"/>
        </w:rPr>
        <w:t> </w:t>
      </w:r>
      <w:r>
        <w:rPr/>
        <w:t>and</w:t>
      </w:r>
      <w:r>
        <w:rPr>
          <w:spacing w:val="-2"/>
        </w:rPr>
        <w:t> </w:t>
      </w:r>
      <w:r>
        <w:rPr/>
        <w:t>trust</w:t>
      </w:r>
      <w:r>
        <w:rPr>
          <w:spacing w:val="-3"/>
        </w:rPr>
        <w:t> </w:t>
      </w:r>
      <w:r>
        <w:rPr/>
        <w:t>funds</w:t>
      </w:r>
      <w:r>
        <w:rPr>
          <w:spacing w:val="-3"/>
        </w:rPr>
        <w:t> </w:t>
      </w:r>
      <w:r>
        <w:rPr/>
        <w:t>through</w:t>
      </w:r>
      <w:r>
        <w:rPr>
          <w:spacing w:val="-1"/>
        </w:rPr>
        <w:t> </w:t>
      </w:r>
      <w:r>
        <w:rPr/>
        <w:t>income</w:t>
      </w:r>
      <w:r>
        <w:rPr>
          <w:spacing w:val="-3"/>
        </w:rPr>
        <w:t> </w:t>
      </w:r>
      <w:r>
        <w:rPr/>
        <w:t>transfers</w:t>
      </w:r>
      <w:r>
        <w:rPr>
          <w:spacing w:val="-3"/>
        </w:rPr>
        <w:t> </w:t>
      </w:r>
      <w:r>
        <w:rPr/>
        <w:t>for</w:t>
      </w:r>
      <w:r>
        <w:rPr>
          <w:spacing w:val="-2"/>
        </w:rPr>
        <w:t> </w:t>
      </w:r>
      <w:r>
        <w:rPr/>
        <w:t>other</w:t>
      </w:r>
      <w:r>
        <w:rPr>
          <w:spacing w:val="-2"/>
        </w:rPr>
        <w:t> </w:t>
      </w:r>
      <w:r>
        <w:rPr/>
        <w:t>developmental</w:t>
      </w:r>
      <w:r>
        <w:rPr>
          <w:spacing w:val="-2"/>
        </w:rPr>
        <w:t> purposes.</w:t>
      </w:r>
    </w:p>
    <w:p>
      <w:pPr>
        <w:pStyle w:val="BodyText"/>
        <w:spacing w:line="249" w:lineRule="auto" w:before="130"/>
        <w:ind w:left="720" w:right="718"/>
        <w:jc w:val="both"/>
      </w:pPr>
      <w:r>
        <w:rPr/>
        <w:t>IBRD’s financial strength rests on the support it receives from its shareholders, and on its array of financial policies and practices. Shareholder support for IBRD is reflected in the capital backing it continues to receive from its members and in the record of its borrowing member countries in meeting their debt service obligations to IBRD. Sound financial and risk management policies and practices have enabled IBRD to maintain adequate capital, diversify its funding sources, hold a portfolio of liquid investments to meet its financial commitments, and limit its risks, including credit and market risks.</w:t>
      </w:r>
    </w:p>
    <w:p>
      <w:pPr>
        <w:pStyle w:val="BodyText"/>
        <w:spacing w:line="249" w:lineRule="auto" w:before="125"/>
        <w:ind w:left="720" w:right="719"/>
        <w:jc w:val="both"/>
      </w:pPr>
      <w:r>
        <w:rPr/>
        <w:t>IBRD offers its borrowers, in middle income and creditworthy low-income countries, long-term loans with maturities</w:t>
      </w:r>
      <w:r>
        <w:rPr>
          <w:spacing w:val="-1"/>
        </w:rPr>
        <w:t> </w:t>
      </w:r>
      <w:r>
        <w:rPr/>
        <w:t>up</w:t>
      </w:r>
      <w:r>
        <w:rPr>
          <w:spacing w:val="-1"/>
        </w:rPr>
        <w:t> </w:t>
      </w:r>
      <w:r>
        <w:rPr/>
        <w:t>to</w:t>
      </w:r>
      <w:r>
        <w:rPr>
          <w:spacing w:val="-1"/>
        </w:rPr>
        <w:t> </w:t>
      </w:r>
      <w:r>
        <w:rPr/>
        <w:t>35</w:t>
      </w:r>
      <w:r>
        <w:rPr>
          <w:spacing w:val="-1"/>
        </w:rPr>
        <w:t> </w:t>
      </w:r>
      <w:r>
        <w:rPr/>
        <w:t>years.</w:t>
      </w:r>
      <w:r>
        <w:rPr>
          <w:spacing w:val="-1"/>
        </w:rPr>
        <w:t> </w:t>
      </w:r>
      <w:r>
        <w:rPr/>
        <w:t>Borrowers</w:t>
      </w:r>
      <w:r>
        <w:rPr>
          <w:spacing w:val="-1"/>
        </w:rPr>
        <w:t> </w:t>
      </w:r>
      <w:r>
        <w:rPr/>
        <w:t>may</w:t>
      </w:r>
      <w:r>
        <w:rPr>
          <w:spacing w:val="-1"/>
        </w:rPr>
        <w:t> </w:t>
      </w:r>
      <w:r>
        <w:rPr/>
        <w:t>customize</w:t>
      </w:r>
      <w:r>
        <w:rPr>
          <w:spacing w:val="-1"/>
        </w:rPr>
        <w:t> </w:t>
      </w:r>
      <w:r>
        <w:rPr/>
        <w:t>their</w:t>
      </w:r>
      <w:r>
        <w:rPr>
          <w:spacing w:val="-1"/>
        </w:rPr>
        <w:t> </w:t>
      </w:r>
      <w:r>
        <w:rPr/>
        <w:t>repayment</w:t>
      </w:r>
      <w:r>
        <w:rPr>
          <w:spacing w:val="-1"/>
        </w:rPr>
        <w:t> </w:t>
      </w:r>
      <w:r>
        <w:rPr/>
        <w:t>terms</w:t>
      </w:r>
      <w:r>
        <w:rPr>
          <w:spacing w:val="-1"/>
        </w:rPr>
        <w:t> </w:t>
      </w:r>
      <w:r>
        <w:rPr/>
        <w:t>to</w:t>
      </w:r>
      <w:r>
        <w:rPr>
          <w:spacing w:val="-1"/>
        </w:rPr>
        <w:t> </w:t>
      </w:r>
      <w:r>
        <w:rPr/>
        <w:t>meet</w:t>
      </w:r>
      <w:r>
        <w:rPr>
          <w:spacing w:val="-1"/>
        </w:rPr>
        <w:t> </w:t>
      </w:r>
      <w:r>
        <w:rPr/>
        <w:t>their</w:t>
      </w:r>
      <w:r>
        <w:rPr>
          <w:spacing w:val="-1"/>
        </w:rPr>
        <w:t> </w:t>
      </w:r>
      <w:r>
        <w:rPr/>
        <w:t>debt</w:t>
      </w:r>
      <w:r>
        <w:rPr>
          <w:spacing w:val="-1"/>
        </w:rPr>
        <w:t> </w:t>
      </w:r>
      <w:r>
        <w:rPr/>
        <w:t>management</w:t>
      </w:r>
      <w:r>
        <w:rPr>
          <w:spacing w:val="-1"/>
        </w:rPr>
        <w:t> </w:t>
      </w:r>
      <w:r>
        <w:rPr/>
        <w:t>or</w:t>
      </w:r>
      <w:r>
        <w:rPr>
          <w:spacing w:val="-1"/>
        </w:rPr>
        <w:t> </w:t>
      </w:r>
      <w:r>
        <w:rPr/>
        <w:t>project needs,</w:t>
      </w:r>
      <w:r>
        <w:rPr>
          <w:spacing w:val="-2"/>
        </w:rPr>
        <w:t> </w:t>
      </w:r>
      <w:r>
        <w:rPr/>
        <w:t>in</w:t>
      </w:r>
      <w:r>
        <w:rPr>
          <w:spacing w:val="-2"/>
        </w:rPr>
        <w:t> </w:t>
      </w:r>
      <w:r>
        <w:rPr/>
        <w:t>multiple</w:t>
      </w:r>
      <w:r>
        <w:rPr>
          <w:spacing w:val="-2"/>
        </w:rPr>
        <w:t> </w:t>
      </w:r>
      <w:r>
        <w:rPr/>
        <w:t>currencies</w:t>
      </w:r>
      <w:r>
        <w:rPr>
          <w:spacing w:val="-2"/>
        </w:rPr>
        <w:t> </w:t>
      </w:r>
      <w:r>
        <w:rPr/>
        <w:t>on</w:t>
      </w:r>
      <w:r>
        <w:rPr>
          <w:spacing w:val="-2"/>
        </w:rPr>
        <w:t> </w:t>
      </w:r>
      <w:r>
        <w:rPr/>
        <w:t>variable</w:t>
      </w:r>
      <w:r>
        <w:rPr>
          <w:spacing w:val="-2"/>
        </w:rPr>
        <w:t> </w:t>
      </w:r>
      <w:r>
        <w:rPr/>
        <w:t>spread</w:t>
      </w:r>
      <w:r>
        <w:rPr>
          <w:spacing w:val="-2"/>
        </w:rPr>
        <w:t> </w:t>
      </w:r>
      <w:r>
        <w:rPr/>
        <w:t>terms.</w:t>
      </w:r>
      <w:r>
        <w:rPr>
          <w:spacing w:val="-2"/>
        </w:rPr>
        <w:t> </w:t>
      </w:r>
      <w:r>
        <w:rPr/>
        <w:t>Previously,</w:t>
      </w:r>
      <w:r>
        <w:rPr>
          <w:spacing w:val="-2"/>
        </w:rPr>
        <w:t> </w:t>
      </w:r>
      <w:r>
        <w:rPr/>
        <w:t>loans</w:t>
      </w:r>
      <w:r>
        <w:rPr>
          <w:spacing w:val="-2"/>
        </w:rPr>
        <w:t> </w:t>
      </w:r>
      <w:r>
        <w:rPr/>
        <w:t>on</w:t>
      </w:r>
      <w:r>
        <w:rPr>
          <w:spacing w:val="-2"/>
        </w:rPr>
        <w:t> </w:t>
      </w:r>
      <w:r>
        <w:rPr/>
        <w:t>fixed</w:t>
      </w:r>
      <w:r>
        <w:rPr>
          <w:spacing w:val="-2"/>
        </w:rPr>
        <w:t> </w:t>
      </w:r>
      <w:r>
        <w:rPr/>
        <w:t>spread</w:t>
      </w:r>
      <w:r>
        <w:rPr>
          <w:spacing w:val="-2"/>
        </w:rPr>
        <w:t> </w:t>
      </w:r>
      <w:r>
        <w:rPr/>
        <w:t>terms</w:t>
      </w:r>
      <w:r>
        <w:rPr>
          <w:spacing w:val="-2"/>
        </w:rPr>
        <w:t> </w:t>
      </w:r>
      <w:r>
        <w:rPr/>
        <w:t>were</w:t>
      </w:r>
      <w:r>
        <w:rPr>
          <w:spacing w:val="-2"/>
        </w:rPr>
        <w:t> </w:t>
      </w:r>
      <w:r>
        <w:rPr/>
        <w:t>also</w:t>
      </w:r>
      <w:r>
        <w:rPr>
          <w:spacing w:val="-2"/>
        </w:rPr>
        <w:t> </w:t>
      </w:r>
      <w:r>
        <w:rPr/>
        <w:t>available</w:t>
      </w:r>
      <w:r>
        <w:rPr>
          <w:spacing w:val="-2"/>
        </w:rPr>
        <w:t> </w:t>
      </w:r>
      <w:r>
        <w:rPr/>
        <w:t>to borrowers. Borrowers have generally preferred loans denominated in U.S dollars and euros. IBRD also supports its borrowers by providing access to risk management products such as derivative instruments, including currency and interest rate swaps, catastrophe derivatives, and interest rate caps and collars.</w:t>
      </w:r>
    </w:p>
    <w:p>
      <w:pPr>
        <w:pStyle w:val="BodyText"/>
        <w:spacing w:line="249" w:lineRule="auto" w:before="125"/>
        <w:ind w:left="720" w:right="719"/>
        <w:jc w:val="both"/>
      </w:pPr>
      <w:r>
        <w:rPr/>
        <w:t>To meet its development goals, IBRD intermediates funds for lending from the international capital markets.</w:t>
      </w:r>
      <w:r>
        <w:rPr>
          <w:spacing w:val="40"/>
        </w:rPr>
        <w:t> </w:t>
      </w:r>
      <w:r>
        <w:rPr/>
        <w:t>IBRD’s loans are financed through its equity and from borrowings raised in the capital markets. IBRD is rated</w:t>
      </w:r>
      <w:r>
        <w:rPr>
          <w:spacing w:val="40"/>
        </w:rPr>
        <w:t> </w:t>
      </w:r>
      <w:r>
        <w:rPr/>
        <w:t>triple-A by the major rating agencies and its bonds are viewed as high-quality securities by investors. IBRD’s funding strategy is aimed at achieving the best long-term value on a sustainable basis for its borrowing members. This strategy has enabled IBRD to borrow at favorable market terms and pass the savings on to its borrowing members. IBRD’s annual funding volumes vary from year to year, and funds raised are used to finance IBRD’s development projects and programs in member countries. Funds not deployed for lending are maintained in IBRD’s investment portfolio to supply liquidity for its operations.</w:t>
      </w:r>
    </w:p>
    <w:p>
      <w:pPr>
        <w:pStyle w:val="BodyText"/>
        <w:spacing w:line="249" w:lineRule="auto" w:before="127"/>
        <w:ind w:left="720" w:right="718"/>
        <w:jc w:val="both"/>
      </w:pPr>
      <w:r>
        <w:rPr/>
        <w:t>IBRD uses derivatives to manage its exposure to various market risks from the above activities. These are used to align the interest and currency composition of its assets (loan and investment trading portfolios) with that of its liabilities (borrowing portfolio), and to stabilize earnings on the portion of the loan portfolio funded by equity. See Section IX: Risk Management for additional details on how IBRD uses derivatives.</w:t>
      </w:r>
    </w:p>
    <w:p>
      <w:pPr>
        <w:pStyle w:val="BodyText"/>
        <w:spacing w:after="0" w:line="249" w:lineRule="auto"/>
        <w:jc w:val="both"/>
        <w:sectPr>
          <w:headerReference w:type="even" r:id="rId15"/>
          <w:headerReference w:type="default" r:id="rId16"/>
          <w:footerReference w:type="even" r:id="rId17"/>
          <w:footerReference w:type="default" r:id="rId18"/>
          <w:pgSz w:w="12240" w:h="15840"/>
          <w:pgMar w:header="744" w:footer="583" w:top="1020" w:bottom="780" w:left="720" w:right="720"/>
          <w:pgNumType w:start="6"/>
        </w:sectPr>
      </w:pPr>
    </w:p>
    <w:p>
      <w:pPr>
        <w:pStyle w:val="BodyText"/>
        <w:spacing w:before="127"/>
      </w:pPr>
    </w:p>
    <w:p>
      <w:pPr>
        <w:pStyle w:val="BodyText"/>
        <w:spacing w:line="249" w:lineRule="auto" w:before="1"/>
        <w:ind w:left="720" w:right="719"/>
        <w:jc w:val="both"/>
      </w:pPr>
      <w:r>
        <w:rPr/>
        <w:t>Management believes that these risk management strategies, taken together, effectively manage market risk in IBRD’s operations from an economic perspective. However, these strategies entail the use of derivatives, which introduce volatility in net income through unrealized mark-to-market gains and losses (particularly given the long-term nature of some of IBRD’s assets and liabilities). Accordingly, management makes decisions on income allocation without reference to unrealized mark-to-market gains and losses on risk management instruments in the non-trading portfolios – see Basis of Reporting – Allocable Income.</w:t>
      </w:r>
    </w:p>
    <w:p>
      <w:pPr>
        <w:pStyle w:val="Heading4"/>
        <w:spacing w:before="116"/>
      </w:pPr>
      <w:r>
        <w:rPr/>
        <w:t>Financial</w:t>
      </w:r>
      <w:r>
        <w:rPr>
          <w:spacing w:val="-5"/>
        </w:rPr>
        <w:t> </w:t>
      </w:r>
      <w:r>
        <w:rPr>
          <w:spacing w:val="-2"/>
        </w:rPr>
        <w:t>Performance</w:t>
      </w:r>
    </w:p>
    <w:p>
      <w:pPr>
        <w:pStyle w:val="BodyText"/>
        <w:spacing w:line="249" w:lineRule="auto" w:before="140"/>
        <w:ind w:left="720" w:right="718"/>
        <w:jc w:val="both"/>
      </w:pPr>
      <w:r>
        <w:rPr/>
        <w:t>IBRD’s primary sources of revenue are from loans and investments, both net of funding costs (see Figure 1). These revenues cover administrative expenses, provisions for losses on loans and other exposures</w:t>
      </w:r>
      <w:r>
        <w:rPr>
          <w:vertAlign w:val="superscript"/>
        </w:rPr>
        <w:t>2</w:t>
      </w:r>
      <w:r>
        <w:rPr>
          <w:vertAlign w:val="baseline"/>
        </w:rPr>
        <w:t> (LLP), as well as transfers to Reserves, Surplus, and for other development purposes, including transfers to IDA.</w:t>
      </w:r>
    </w:p>
    <w:p>
      <w:pPr>
        <w:pStyle w:val="BodyText"/>
        <w:spacing w:line="249" w:lineRule="auto" w:before="122"/>
        <w:ind w:left="720" w:right="717"/>
        <w:jc w:val="both"/>
      </w:pPr>
      <w:r>
        <w:rPr/>
        <w:t>In addition, other development activities generate non-interest revenue that is classified as Revenue from externally funded activities. These external funds include trust funds, reimbursable funds and revenues from fee-based</w:t>
      </w:r>
      <w:r>
        <w:rPr>
          <w:spacing w:val="40"/>
        </w:rPr>
        <w:t> </w:t>
      </w:r>
      <w:r>
        <w:rPr/>
        <w:t>services. Non-interest revenue from externally funded activities provides additional capacity to support the development needs of client countries.</w:t>
      </w:r>
    </w:p>
    <w:p>
      <w:pPr>
        <w:spacing w:before="134"/>
        <w:ind w:left="720" w:right="0" w:firstLine="0"/>
        <w:jc w:val="both"/>
        <w:rPr>
          <w:rFonts w:ascii="Arial"/>
          <w:b/>
          <w:sz w:val="18"/>
        </w:rPr>
      </w:pPr>
      <w:r>
        <w:rPr>
          <w:rFonts w:ascii="Arial"/>
          <w:b/>
          <w:sz w:val="18"/>
        </w:rPr>
        <w:drawing>
          <wp:anchor distT="0" distB="0" distL="0" distR="0" allowOverlap="1" layoutInCell="1" locked="0" behindDoc="1" simplePos="0" relativeHeight="487606272">
            <wp:simplePos x="0" y="0"/>
            <wp:positionH relativeFrom="page">
              <wp:posOffset>930925</wp:posOffset>
            </wp:positionH>
            <wp:positionV relativeFrom="paragraph">
              <wp:posOffset>246192</wp:posOffset>
            </wp:positionV>
            <wp:extent cx="5927770" cy="3508057"/>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9" cstate="print"/>
                    <a:stretch>
                      <a:fillRect/>
                    </a:stretch>
                  </pic:blipFill>
                  <pic:spPr>
                    <a:xfrm>
                      <a:off x="0" y="0"/>
                      <a:ext cx="5927770" cy="3508057"/>
                    </a:xfrm>
                    <a:prstGeom prst="rect">
                      <a:avLst/>
                    </a:prstGeom>
                  </pic:spPr>
                </pic:pic>
              </a:graphicData>
            </a:graphic>
          </wp:anchor>
        </w:drawing>
      </w:r>
      <w:bookmarkStart w:name="_bookmark4" w:id="12"/>
      <w:bookmarkEnd w:id="12"/>
      <w:r>
        <w:rPr/>
      </w:r>
      <w:r>
        <w:rPr>
          <w:rFonts w:ascii="Arial"/>
          <w:b/>
          <w:sz w:val="18"/>
        </w:rPr>
        <w:t>Figure</w:t>
      </w:r>
      <w:r>
        <w:rPr>
          <w:rFonts w:ascii="Arial"/>
          <w:b/>
          <w:spacing w:val="-4"/>
          <w:sz w:val="18"/>
        </w:rPr>
        <w:t> </w:t>
      </w:r>
      <w:r>
        <w:rPr>
          <w:rFonts w:ascii="Arial"/>
          <w:b/>
          <w:sz w:val="18"/>
        </w:rPr>
        <w:t>1:</w:t>
      </w:r>
      <w:r>
        <w:rPr>
          <w:rFonts w:ascii="Arial"/>
          <w:b/>
          <w:spacing w:val="-1"/>
          <w:sz w:val="18"/>
        </w:rPr>
        <w:t> </w:t>
      </w:r>
      <w:r>
        <w:rPr>
          <w:rFonts w:ascii="Arial"/>
          <w:b/>
          <w:sz w:val="18"/>
        </w:rPr>
        <w:t>Sources</w:t>
      </w:r>
      <w:r>
        <w:rPr>
          <w:rFonts w:ascii="Arial"/>
          <w:b/>
          <w:spacing w:val="-2"/>
          <w:sz w:val="18"/>
        </w:rPr>
        <w:t> </w:t>
      </w:r>
      <w:r>
        <w:rPr>
          <w:rFonts w:ascii="Arial"/>
          <w:b/>
          <w:sz w:val="18"/>
        </w:rPr>
        <w:t>and</w:t>
      </w:r>
      <w:r>
        <w:rPr>
          <w:rFonts w:ascii="Arial"/>
          <w:b/>
          <w:spacing w:val="-1"/>
          <w:sz w:val="18"/>
        </w:rPr>
        <w:t> </w:t>
      </w:r>
      <w:r>
        <w:rPr>
          <w:rFonts w:ascii="Arial"/>
          <w:b/>
          <w:sz w:val="18"/>
        </w:rPr>
        <w:t>Uses</w:t>
      </w:r>
      <w:r>
        <w:rPr>
          <w:rFonts w:ascii="Arial"/>
          <w:b/>
          <w:spacing w:val="-2"/>
          <w:sz w:val="18"/>
        </w:rPr>
        <w:t> </w:t>
      </w:r>
      <w:r>
        <w:rPr>
          <w:rFonts w:ascii="Arial"/>
          <w:b/>
          <w:sz w:val="18"/>
        </w:rPr>
        <w:t>of</w:t>
      </w:r>
      <w:r>
        <w:rPr>
          <w:rFonts w:ascii="Arial"/>
          <w:b/>
          <w:spacing w:val="-1"/>
          <w:sz w:val="18"/>
        </w:rPr>
        <w:t> </w:t>
      </w:r>
      <w:r>
        <w:rPr>
          <w:rFonts w:ascii="Arial"/>
          <w:b/>
          <w:spacing w:val="-2"/>
          <w:sz w:val="18"/>
        </w:rPr>
        <w:t>Revenue</w:t>
      </w:r>
    </w:p>
    <w:p>
      <w:pPr>
        <w:pStyle w:val="BodyText"/>
        <w:rPr>
          <w:rFonts w:ascii="Arial"/>
          <w:b/>
          <w:sz w:val="18"/>
        </w:rPr>
      </w:pPr>
    </w:p>
    <w:p>
      <w:pPr>
        <w:pStyle w:val="BodyText"/>
        <w:spacing w:before="76"/>
        <w:rPr>
          <w:rFonts w:ascii="Arial"/>
          <w:b/>
          <w:sz w:val="18"/>
        </w:rPr>
      </w:pPr>
    </w:p>
    <w:p>
      <w:pPr>
        <w:pStyle w:val="Heading1"/>
        <w:spacing w:before="1"/>
      </w:pPr>
      <w:bookmarkStart w:name="Basis of Reporting" w:id="13"/>
      <w:bookmarkEnd w:id="13"/>
      <w:r>
        <w:rPr>
          <w:b w:val="0"/>
        </w:rPr>
      </w:r>
      <w:bookmarkStart w:name="_bookmark5" w:id="14"/>
      <w:bookmarkEnd w:id="14"/>
      <w:r>
        <w:rPr>
          <w:b w:val="0"/>
        </w:rPr>
      </w:r>
      <w:r>
        <w:rPr/>
        <w:t>Basis</w:t>
      </w:r>
      <w:r>
        <w:rPr>
          <w:spacing w:val="-4"/>
        </w:rPr>
        <w:t> </w:t>
      </w:r>
      <w:r>
        <w:rPr/>
        <w:t>of</w:t>
      </w:r>
      <w:r>
        <w:rPr>
          <w:spacing w:val="-1"/>
        </w:rPr>
        <w:t> </w:t>
      </w:r>
      <w:r>
        <w:rPr>
          <w:spacing w:val="-2"/>
        </w:rPr>
        <w:t>Reporting</w:t>
      </w:r>
    </w:p>
    <w:p>
      <w:pPr>
        <w:pStyle w:val="Heading4"/>
        <w:spacing w:before="125"/>
      </w:pPr>
      <w:r>
        <w:rPr/>
        <w:t>Audited</w:t>
      </w:r>
      <w:r>
        <w:rPr>
          <w:spacing w:val="-4"/>
        </w:rPr>
        <w:t> </w:t>
      </w:r>
      <w:r>
        <w:rPr/>
        <w:t>Financial</w:t>
      </w:r>
      <w:r>
        <w:rPr>
          <w:spacing w:val="-3"/>
        </w:rPr>
        <w:t> </w:t>
      </w:r>
      <w:r>
        <w:rPr>
          <w:spacing w:val="-2"/>
        </w:rPr>
        <w:t>Statements</w:t>
      </w:r>
    </w:p>
    <w:p>
      <w:pPr>
        <w:pStyle w:val="BodyText"/>
        <w:spacing w:line="249" w:lineRule="auto" w:before="140"/>
        <w:ind w:left="720" w:right="717"/>
        <w:jc w:val="both"/>
      </w:pPr>
      <w:r>
        <w:rPr/>
        <w:t>IBRD’s financial statements conform with accounting principles generally accepted in the United States of America (U.S. GAAP). All financial instruments in the investment and borrowing portfolios and all other derivatives are reported</w:t>
      </w:r>
      <w:r>
        <w:rPr>
          <w:spacing w:val="-1"/>
        </w:rPr>
        <w:t> </w:t>
      </w:r>
      <w:r>
        <w:rPr/>
        <w:t>at</w:t>
      </w:r>
      <w:r>
        <w:rPr>
          <w:spacing w:val="-1"/>
        </w:rPr>
        <w:t> </w:t>
      </w:r>
      <w:r>
        <w:rPr/>
        <w:t>fair</w:t>
      </w:r>
      <w:r>
        <w:rPr>
          <w:spacing w:val="-1"/>
        </w:rPr>
        <w:t> </w:t>
      </w:r>
      <w:r>
        <w:rPr/>
        <w:t>value,</w:t>
      </w:r>
      <w:r>
        <w:rPr>
          <w:spacing w:val="-1"/>
        </w:rPr>
        <w:t> </w:t>
      </w:r>
      <w:r>
        <w:rPr/>
        <w:t>with</w:t>
      </w:r>
      <w:r>
        <w:rPr>
          <w:spacing w:val="-1"/>
        </w:rPr>
        <w:t> </w:t>
      </w:r>
      <w:r>
        <w:rPr/>
        <w:t>changes</w:t>
      </w:r>
      <w:r>
        <w:rPr>
          <w:spacing w:val="-1"/>
        </w:rPr>
        <w:t> </w:t>
      </w:r>
      <w:r>
        <w:rPr/>
        <w:t>in</w:t>
      </w:r>
      <w:r>
        <w:rPr>
          <w:spacing w:val="-1"/>
        </w:rPr>
        <w:t> </w:t>
      </w:r>
      <w:r>
        <w:rPr/>
        <w:t>fair</w:t>
      </w:r>
      <w:r>
        <w:rPr>
          <w:spacing w:val="-1"/>
        </w:rPr>
        <w:t> </w:t>
      </w:r>
      <w:r>
        <w:rPr/>
        <w:t>value</w:t>
      </w:r>
      <w:r>
        <w:rPr>
          <w:spacing w:val="-1"/>
        </w:rPr>
        <w:t> </w:t>
      </w:r>
      <w:r>
        <w:rPr/>
        <w:t>reported</w:t>
      </w:r>
      <w:r>
        <w:rPr>
          <w:spacing w:val="-1"/>
        </w:rPr>
        <w:t> </w:t>
      </w:r>
      <w:r>
        <w:rPr/>
        <w:t>in</w:t>
      </w:r>
      <w:r>
        <w:rPr>
          <w:spacing w:val="-1"/>
        </w:rPr>
        <w:t> </w:t>
      </w:r>
      <w:r>
        <w:rPr/>
        <w:t>the</w:t>
      </w:r>
      <w:r>
        <w:rPr>
          <w:spacing w:val="-1"/>
        </w:rPr>
        <w:t> </w:t>
      </w:r>
      <w:r>
        <w:rPr/>
        <w:t>Statements</w:t>
      </w:r>
      <w:r>
        <w:rPr>
          <w:spacing w:val="-1"/>
        </w:rPr>
        <w:t> </w:t>
      </w:r>
      <w:r>
        <w:rPr/>
        <w:t>of</w:t>
      </w:r>
      <w:r>
        <w:rPr>
          <w:spacing w:val="-1"/>
        </w:rPr>
        <w:t> </w:t>
      </w:r>
      <w:r>
        <w:rPr/>
        <w:t>Income,</w:t>
      </w:r>
      <w:r>
        <w:rPr>
          <w:spacing w:val="-1"/>
        </w:rPr>
        <w:t> </w:t>
      </w:r>
      <w:r>
        <w:rPr/>
        <w:t>except</w:t>
      </w:r>
      <w:r>
        <w:rPr>
          <w:spacing w:val="-1"/>
        </w:rPr>
        <w:t> </w:t>
      </w:r>
      <w:r>
        <w:rPr/>
        <w:t>for</w:t>
      </w:r>
      <w:r>
        <w:rPr>
          <w:spacing w:val="-1"/>
        </w:rPr>
        <w:t> </w:t>
      </w:r>
      <w:r>
        <w:rPr/>
        <w:t>changes</w:t>
      </w:r>
      <w:r>
        <w:rPr>
          <w:spacing w:val="-1"/>
        </w:rPr>
        <w:t> </w:t>
      </w:r>
      <w:r>
        <w:rPr/>
        <w:t>in</w:t>
      </w:r>
      <w:r>
        <w:rPr>
          <w:spacing w:val="-1"/>
        </w:rPr>
        <w:t> </w:t>
      </w:r>
      <w:r>
        <w:rPr/>
        <w:t>IBRD’s own credit, which are reflected in Other Comprehensive Income. IBRD’s loans are reported at amortized cost,</w:t>
      </w:r>
      <w:r>
        <w:rPr>
          <w:spacing w:val="40"/>
        </w:rPr>
        <w:t> </w:t>
      </w:r>
      <w:r>
        <w:rPr/>
        <w:t>except</w:t>
      </w:r>
      <w:r>
        <w:rPr>
          <w:spacing w:val="-1"/>
        </w:rPr>
        <w:t> </w:t>
      </w:r>
      <w:r>
        <w:rPr/>
        <w:t>for</w:t>
      </w:r>
      <w:r>
        <w:rPr>
          <w:spacing w:val="-1"/>
        </w:rPr>
        <w:t> </w:t>
      </w:r>
      <w:r>
        <w:rPr/>
        <w:t>loans</w:t>
      </w:r>
      <w:r>
        <w:rPr>
          <w:spacing w:val="-1"/>
        </w:rPr>
        <w:t> </w:t>
      </w:r>
      <w:r>
        <w:rPr/>
        <w:t>with</w:t>
      </w:r>
      <w:r>
        <w:rPr>
          <w:spacing w:val="-1"/>
        </w:rPr>
        <w:t> </w:t>
      </w:r>
      <w:r>
        <w:rPr/>
        <w:t>embedded</w:t>
      </w:r>
      <w:r>
        <w:rPr>
          <w:spacing w:val="-1"/>
        </w:rPr>
        <w:t> </w:t>
      </w:r>
      <w:r>
        <w:rPr/>
        <w:t>derivatives,</w:t>
      </w:r>
      <w:r>
        <w:rPr>
          <w:spacing w:val="-1"/>
        </w:rPr>
        <w:t> </w:t>
      </w:r>
      <w:r>
        <w:rPr/>
        <w:t>if</w:t>
      </w:r>
      <w:r>
        <w:rPr>
          <w:spacing w:val="-1"/>
        </w:rPr>
        <w:t> </w:t>
      </w:r>
      <w:r>
        <w:rPr/>
        <w:t>any,</w:t>
      </w:r>
      <w:r>
        <w:rPr>
          <w:spacing w:val="-1"/>
        </w:rPr>
        <w:t> </w:t>
      </w:r>
      <w:r>
        <w:rPr/>
        <w:t>which</w:t>
      </w:r>
      <w:r>
        <w:rPr>
          <w:spacing w:val="-1"/>
        </w:rPr>
        <w:t> </w:t>
      </w:r>
      <w:r>
        <w:rPr/>
        <w:t>are</w:t>
      </w:r>
      <w:r>
        <w:rPr>
          <w:spacing w:val="-1"/>
        </w:rPr>
        <w:t> </w:t>
      </w:r>
      <w:r>
        <w:rPr/>
        <w:t>reported</w:t>
      </w:r>
      <w:r>
        <w:rPr>
          <w:spacing w:val="-1"/>
        </w:rPr>
        <w:t> </w:t>
      </w:r>
      <w:r>
        <w:rPr/>
        <w:t>at</w:t>
      </w:r>
      <w:r>
        <w:rPr>
          <w:spacing w:val="-1"/>
        </w:rPr>
        <w:t> </w:t>
      </w:r>
      <w:r>
        <w:rPr/>
        <w:t>fair</w:t>
      </w:r>
      <w:r>
        <w:rPr>
          <w:spacing w:val="-1"/>
        </w:rPr>
        <w:t> </w:t>
      </w:r>
      <w:r>
        <w:rPr/>
        <w:t>value.</w:t>
      </w:r>
      <w:r>
        <w:rPr>
          <w:spacing w:val="-1"/>
        </w:rPr>
        <w:t> </w:t>
      </w:r>
      <w:r>
        <w:rPr/>
        <w:t>Management</w:t>
      </w:r>
      <w:r>
        <w:rPr>
          <w:spacing w:val="-1"/>
        </w:rPr>
        <w:t> </w:t>
      </w:r>
      <w:r>
        <w:rPr/>
        <w:t>uses</w:t>
      </w:r>
      <w:r>
        <w:rPr>
          <w:spacing w:val="-1"/>
        </w:rPr>
        <w:t> </w:t>
      </w:r>
      <w:r>
        <w:rPr/>
        <w:t>net</w:t>
      </w:r>
      <w:r>
        <w:rPr>
          <w:spacing w:val="-1"/>
        </w:rPr>
        <w:t> </w:t>
      </w:r>
      <w:r>
        <w:rPr/>
        <w:t>income</w:t>
      </w:r>
      <w:r>
        <w:rPr>
          <w:spacing w:val="-1"/>
        </w:rPr>
        <w:t> </w:t>
      </w:r>
      <w:r>
        <w:rPr/>
        <w:t>as the basis for deriving allocable income, as discussed below.</w:t>
      </w:r>
    </w:p>
    <w:p>
      <w:pPr>
        <w:pStyle w:val="BodyText"/>
        <w:spacing w:before="3"/>
        <w:rPr>
          <w:sz w:val="13"/>
        </w:rPr>
      </w:pPr>
      <w:r>
        <w:rPr>
          <w:sz w:val="13"/>
        </w:rPr>
        <mc:AlternateContent>
          <mc:Choice Requires="wps">
            <w:drawing>
              <wp:anchor distT="0" distB="0" distL="0" distR="0" allowOverlap="1" layoutInCell="1" locked="0" behindDoc="1" simplePos="0" relativeHeight="487606784">
                <wp:simplePos x="0" y="0"/>
                <wp:positionH relativeFrom="page">
                  <wp:posOffset>914400</wp:posOffset>
                </wp:positionH>
                <wp:positionV relativeFrom="paragraph">
                  <wp:posOffset>112459</wp:posOffset>
                </wp:positionV>
                <wp:extent cx="25400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2540000" cy="1270"/>
                        </a:xfrm>
                        <a:custGeom>
                          <a:avLst/>
                          <a:gdLst/>
                          <a:ahLst/>
                          <a:cxnLst/>
                          <a:rect l="l" t="t" r="r" b="b"/>
                          <a:pathLst>
                            <a:path w="2540000" h="0">
                              <a:moveTo>
                                <a:pt x="0" y="0"/>
                              </a:moveTo>
                              <a:lnTo>
                                <a:pt x="2540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855087pt;width:200pt;height:.1pt;mso-position-horizontal-relative:page;mso-position-vertical-relative:paragraph;z-index:-15709696;mso-wrap-distance-left:0;mso-wrap-distance-right:0" id="docshape70" coordorigin="1440,177" coordsize="4000,0" path="m1440,177l5440,177e" filled="false" stroked="true" strokeweight="1pt" strokecolor="#000000">
                <v:path arrowok="t"/>
                <v:stroke dashstyle="solid"/>
                <w10:wrap type="topAndBottom"/>
              </v:shape>
            </w:pict>
          </mc:Fallback>
        </mc:AlternateContent>
      </w:r>
    </w:p>
    <w:p>
      <w:pPr>
        <w:spacing w:line="232" w:lineRule="auto" w:before="61"/>
        <w:ind w:left="810" w:right="719" w:hanging="90"/>
        <w:jc w:val="left"/>
        <w:rPr>
          <w:rFonts w:ascii="Arial" w:hAnsi="Arial"/>
          <w:i/>
          <w:sz w:val="16"/>
        </w:rPr>
      </w:pPr>
      <w:r>
        <w:rPr>
          <w:rFonts w:ascii="Arial" w:hAnsi="Arial"/>
          <w:i/>
          <w:sz w:val="16"/>
          <w:vertAlign w:val="superscript"/>
        </w:rPr>
        <w:t>2</w:t>
      </w:r>
      <w:r>
        <w:rPr>
          <w:rFonts w:ascii="Arial" w:hAnsi="Arial"/>
          <w:i/>
          <w:spacing w:val="-3"/>
          <w:sz w:val="16"/>
          <w:vertAlign w:val="baseline"/>
        </w:rPr>
        <w:t> </w:t>
      </w:r>
      <w:r>
        <w:rPr>
          <w:rFonts w:ascii="Arial" w:hAnsi="Arial"/>
          <w:i/>
          <w:sz w:val="16"/>
          <w:vertAlign w:val="baseline"/>
        </w:rPr>
        <w:t>Other</w:t>
      </w:r>
      <w:r>
        <w:rPr>
          <w:rFonts w:ascii="Arial" w:hAnsi="Arial"/>
          <w:i/>
          <w:spacing w:val="-3"/>
          <w:sz w:val="16"/>
          <w:vertAlign w:val="baseline"/>
        </w:rPr>
        <w:t> </w:t>
      </w:r>
      <w:r>
        <w:rPr>
          <w:rFonts w:ascii="Arial" w:hAnsi="Arial"/>
          <w:i/>
          <w:sz w:val="16"/>
          <w:vertAlign w:val="baseline"/>
        </w:rPr>
        <w:t>exposures</w:t>
      </w:r>
      <w:r>
        <w:rPr>
          <w:rFonts w:ascii="Arial" w:hAnsi="Arial"/>
          <w:i/>
          <w:spacing w:val="-3"/>
          <w:sz w:val="16"/>
          <w:vertAlign w:val="baseline"/>
        </w:rPr>
        <w:t> </w:t>
      </w:r>
      <w:r>
        <w:rPr>
          <w:rFonts w:ascii="Arial" w:hAnsi="Arial"/>
          <w:i/>
          <w:sz w:val="16"/>
          <w:vertAlign w:val="baseline"/>
        </w:rPr>
        <w:t>include</w:t>
      </w:r>
      <w:r>
        <w:rPr>
          <w:rFonts w:ascii="Arial" w:hAnsi="Arial"/>
          <w:i/>
          <w:spacing w:val="-3"/>
          <w:sz w:val="16"/>
          <w:vertAlign w:val="baseline"/>
        </w:rPr>
        <w:t> </w:t>
      </w:r>
      <w:r>
        <w:rPr>
          <w:rFonts w:ascii="Arial" w:hAnsi="Arial"/>
          <w:i/>
          <w:sz w:val="16"/>
          <w:vertAlign w:val="baseline"/>
        </w:rPr>
        <w:t>deferred</w:t>
      </w:r>
      <w:r>
        <w:rPr>
          <w:rFonts w:ascii="Arial" w:hAnsi="Arial"/>
          <w:i/>
          <w:spacing w:val="-3"/>
          <w:sz w:val="16"/>
          <w:vertAlign w:val="baseline"/>
        </w:rPr>
        <w:t> </w:t>
      </w:r>
      <w:r>
        <w:rPr>
          <w:rFonts w:ascii="Arial" w:hAnsi="Arial"/>
          <w:i/>
          <w:sz w:val="16"/>
          <w:vertAlign w:val="baseline"/>
        </w:rPr>
        <w:t>drawdown</w:t>
      </w:r>
      <w:r>
        <w:rPr>
          <w:rFonts w:ascii="Arial" w:hAnsi="Arial"/>
          <w:i/>
          <w:spacing w:val="-3"/>
          <w:sz w:val="16"/>
          <w:vertAlign w:val="baseline"/>
        </w:rPr>
        <w:t> </w:t>
      </w:r>
      <w:r>
        <w:rPr>
          <w:rFonts w:ascii="Arial" w:hAnsi="Arial"/>
          <w:i/>
          <w:sz w:val="16"/>
          <w:vertAlign w:val="baseline"/>
        </w:rPr>
        <w:t>options</w:t>
      </w:r>
      <w:r>
        <w:rPr>
          <w:rFonts w:ascii="Arial" w:hAnsi="Arial"/>
          <w:i/>
          <w:spacing w:val="-3"/>
          <w:sz w:val="16"/>
          <w:vertAlign w:val="baseline"/>
        </w:rPr>
        <w:t> </w:t>
      </w:r>
      <w:r>
        <w:rPr>
          <w:rFonts w:ascii="Arial" w:hAnsi="Arial"/>
          <w:i/>
          <w:sz w:val="16"/>
          <w:vertAlign w:val="baseline"/>
        </w:rPr>
        <w:t>(DDO),</w:t>
      </w:r>
      <w:r>
        <w:rPr>
          <w:rFonts w:ascii="Arial" w:hAnsi="Arial"/>
          <w:i/>
          <w:spacing w:val="-3"/>
          <w:sz w:val="16"/>
          <w:vertAlign w:val="baseline"/>
        </w:rPr>
        <w:t> </w:t>
      </w:r>
      <w:r>
        <w:rPr>
          <w:rFonts w:ascii="Arial" w:hAnsi="Arial"/>
          <w:i/>
          <w:sz w:val="16"/>
          <w:vertAlign w:val="baseline"/>
        </w:rPr>
        <w:t>irrevocable</w:t>
      </w:r>
      <w:r>
        <w:rPr>
          <w:rFonts w:ascii="Arial" w:hAnsi="Arial"/>
          <w:i/>
          <w:spacing w:val="-3"/>
          <w:sz w:val="16"/>
          <w:vertAlign w:val="baseline"/>
        </w:rPr>
        <w:t> </w:t>
      </w:r>
      <w:r>
        <w:rPr>
          <w:rFonts w:ascii="Arial" w:hAnsi="Arial"/>
          <w:i/>
          <w:sz w:val="16"/>
          <w:vertAlign w:val="baseline"/>
        </w:rPr>
        <w:t>commitments,</w:t>
      </w:r>
      <w:r>
        <w:rPr>
          <w:rFonts w:ascii="Arial" w:hAnsi="Arial"/>
          <w:i/>
          <w:spacing w:val="-3"/>
          <w:sz w:val="16"/>
          <w:vertAlign w:val="baseline"/>
        </w:rPr>
        <w:t> </w:t>
      </w:r>
      <w:r>
        <w:rPr>
          <w:rFonts w:ascii="Arial" w:hAnsi="Arial"/>
          <w:i/>
          <w:sz w:val="16"/>
          <w:vertAlign w:val="baseline"/>
        </w:rPr>
        <w:t>exposures</w:t>
      </w:r>
      <w:r>
        <w:rPr>
          <w:rFonts w:ascii="Arial" w:hAnsi="Arial"/>
          <w:i/>
          <w:spacing w:val="-3"/>
          <w:sz w:val="16"/>
          <w:vertAlign w:val="baseline"/>
        </w:rPr>
        <w:t> </w:t>
      </w:r>
      <w:r>
        <w:rPr>
          <w:rFonts w:ascii="Arial" w:hAnsi="Arial"/>
          <w:i/>
          <w:sz w:val="16"/>
          <w:vertAlign w:val="baseline"/>
        </w:rPr>
        <w:t>to</w:t>
      </w:r>
      <w:r>
        <w:rPr>
          <w:rFonts w:ascii="Arial" w:hAnsi="Arial"/>
          <w:i/>
          <w:spacing w:val="-3"/>
          <w:sz w:val="16"/>
          <w:vertAlign w:val="baseline"/>
        </w:rPr>
        <w:t> </w:t>
      </w:r>
      <w:r>
        <w:rPr>
          <w:rFonts w:ascii="Arial" w:hAnsi="Arial"/>
          <w:i/>
          <w:sz w:val="16"/>
          <w:vertAlign w:val="baseline"/>
        </w:rPr>
        <w:t>member</w:t>
      </w:r>
      <w:r>
        <w:rPr>
          <w:rFonts w:ascii="Arial" w:hAnsi="Arial"/>
          <w:i/>
          <w:spacing w:val="-3"/>
          <w:sz w:val="16"/>
          <w:vertAlign w:val="baseline"/>
        </w:rPr>
        <w:t> </w:t>
      </w:r>
      <w:r>
        <w:rPr>
          <w:rFonts w:ascii="Arial" w:hAnsi="Arial"/>
          <w:i/>
          <w:sz w:val="16"/>
          <w:vertAlign w:val="baseline"/>
        </w:rPr>
        <w:t>countries’</w:t>
      </w:r>
      <w:r>
        <w:rPr>
          <w:rFonts w:ascii="Arial" w:hAnsi="Arial"/>
          <w:i/>
          <w:spacing w:val="-3"/>
          <w:sz w:val="16"/>
          <w:vertAlign w:val="baseline"/>
        </w:rPr>
        <w:t> </w:t>
      </w:r>
      <w:r>
        <w:rPr>
          <w:rFonts w:ascii="Arial" w:hAnsi="Arial"/>
          <w:i/>
          <w:sz w:val="16"/>
          <w:vertAlign w:val="baseline"/>
        </w:rPr>
        <w:t>derivatives and guarantees.</w:t>
      </w:r>
    </w:p>
    <w:p>
      <w:pPr>
        <w:spacing w:after="0" w:line="232" w:lineRule="auto"/>
        <w:jc w:val="left"/>
        <w:rPr>
          <w:rFonts w:ascii="Arial" w:hAnsi="Arial"/>
          <w:i/>
          <w:sz w:val="16"/>
        </w:rPr>
        <w:sectPr>
          <w:pgSz w:w="12240" w:h="15840"/>
          <w:pgMar w:header="744" w:footer="713" w:top="1020" w:bottom="900" w:left="720" w:right="720"/>
        </w:sectPr>
      </w:pPr>
    </w:p>
    <w:p>
      <w:pPr>
        <w:pStyle w:val="BodyText"/>
        <w:spacing w:before="96"/>
        <w:rPr>
          <w:rFonts w:ascii="Arial"/>
          <w:i/>
          <w:sz w:val="22"/>
        </w:rPr>
      </w:pPr>
    </w:p>
    <w:p>
      <w:pPr>
        <w:pStyle w:val="Heading4"/>
      </w:pPr>
      <w:r>
        <w:rPr/>
        <w:t>Allocable</w:t>
      </w:r>
      <w:r>
        <w:rPr>
          <w:spacing w:val="-2"/>
        </w:rPr>
        <w:t> Income</w:t>
      </w:r>
    </w:p>
    <w:p>
      <w:pPr>
        <w:pStyle w:val="BodyText"/>
        <w:spacing w:line="249" w:lineRule="auto" w:before="140"/>
        <w:ind w:left="720" w:right="718"/>
        <w:jc w:val="both"/>
      </w:pPr>
      <w:r>
        <w:rPr/>
        <w:t>IBRD’s Articles of Agreement (the Articles) require that the Governors determine the allocation of income at the</w:t>
      </w:r>
      <w:r>
        <w:rPr>
          <w:spacing w:val="40"/>
        </w:rPr>
        <w:t> </w:t>
      </w:r>
      <w:r>
        <w:rPr/>
        <w:t>end of every fiscal year. Allocable income, which is a non-GAAP financial measure, is an internal management measure that reflects income available for allocation. IBRD defines allocable income as net income after certain adjustments, that are approved by the Board at the end of every fiscal year. These adjustments primarily relate to unrealized mark-to-market gains and losses associated with the non-trading portfolios, as well as the expenses for Board of Governors-approved and other transfers, which primarily relate to the allocation of the prior year’s net </w:t>
      </w:r>
      <w:r>
        <w:rPr>
          <w:spacing w:val="-2"/>
        </w:rPr>
        <w:t>income.</w:t>
      </w:r>
    </w:p>
    <w:p>
      <w:pPr>
        <w:pStyle w:val="BodyText"/>
        <w:spacing w:line="249" w:lineRule="auto" w:before="125"/>
        <w:ind w:left="720" w:right="719"/>
        <w:jc w:val="both"/>
      </w:pPr>
      <w:r>
        <w:rPr/>
        <w:t>See Financial Results Section (Section III) and Table 1, for details of the adjustments to reported net income to calculate allocable income.</w:t>
      </w:r>
    </w:p>
    <w:p>
      <w:pPr>
        <w:pStyle w:val="BodyText"/>
        <w:spacing w:line="249" w:lineRule="auto" w:before="122"/>
        <w:ind w:left="720" w:right="718"/>
        <w:jc w:val="both"/>
      </w:pPr>
      <w:r>
        <w:rPr/>
        <w:t>The volatility in IBRD’s reported net income is usually driven by the unrealized mark-to-market gains and losses on the</w:t>
      </w:r>
      <w:r>
        <w:rPr>
          <w:spacing w:val="-3"/>
        </w:rPr>
        <w:t> </w:t>
      </w:r>
      <w:r>
        <w:rPr/>
        <w:t>derivative</w:t>
      </w:r>
      <w:r>
        <w:rPr>
          <w:spacing w:val="-3"/>
        </w:rPr>
        <w:t> </w:t>
      </w:r>
      <w:r>
        <w:rPr/>
        <w:t>instruments</w:t>
      </w:r>
      <w:r>
        <w:rPr>
          <w:spacing w:val="-3"/>
        </w:rPr>
        <w:t> </w:t>
      </w:r>
      <w:r>
        <w:rPr/>
        <w:t>in</w:t>
      </w:r>
      <w:r>
        <w:rPr>
          <w:spacing w:val="-2"/>
        </w:rPr>
        <w:t> </w:t>
      </w:r>
      <w:r>
        <w:rPr/>
        <w:t>IBRD’s</w:t>
      </w:r>
      <w:r>
        <w:rPr>
          <w:spacing w:val="-3"/>
        </w:rPr>
        <w:t> </w:t>
      </w:r>
      <w:r>
        <w:rPr/>
        <w:t>non-trading</w:t>
      </w:r>
      <w:r>
        <w:rPr>
          <w:spacing w:val="-2"/>
        </w:rPr>
        <w:t> </w:t>
      </w:r>
      <w:r>
        <w:rPr/>
        <w:t>portfolios:</w:t>
      </w:r>
      <w:r>
        <w:rPr>
          <w:spacing w:val="-3"/>
        </w:rPr>
        <w:t> </w:t>
      </w:r>
      <w:r>
        <w:rPr/>
        <w:t>loans,</w:t>
      </w:r>
      <w:r>
        <w:rPr>
          <w:spacing w:val="-2"/>
        </w:rPr>
        <w:t> </w:t>
      </w:r>
      <w:r>
        <w:rPr/>
        <w:t>borrowings,</w:t>
      </w:r>
      <w:r>
        <w:rPr>
          <w:spacing w:val="-2"/>
        </w:rPr>
        <w:t> </w:t>
      </w:r>
      <w:r>
        <w:rPr/>
        <w:t>and</w:t>
      </w:r>
      <w:r>
        <w:rPr>
          <w:spacing w:val="-2"/>
        </w:rPr>
        <w:t> </w:t>
      </w:r>
      <w:r>
        <w:rPr/>
        <w:t>other</w:t>
      </w:r>
      <w:r>
        <w:rPr>
          <w:spacing w:val="-2"/>
        </w:rPr>
        <w:t> </w:t>
      </w:r>
      <w:r>
        <w:rPr/>
        <w:t>asset/liability</w:t>
      </w:r>
      <w:r>
        <w:rPr>
          <w:spacing w:val="-2"/>
        </w:rPr>
        <w:t> </w:t>
      </w:r>
      <w:r>
        <w:rPr/>
        <w:t>management (ALM). IBRD’s risk management strategy entails the use of derivatives to manage market risk.</w:t>
      </w:r>
      <w:r>
        <w:rPr>
          <w:spacing w:val="40"/>
        </w:rPr>
        <w:t> </w:t>
      </w:r>
      <w:r>
        <w:rPr/>
        <w:t>These derivatives are primarily used to align the interest rate and currency bases of its assets and liabilities. IBRD has elected not to designate any hedging relationships for accounting purposes. Rather, all derivative instruments are reported at fair value on the Balance Sheets, with changes in fair values accounted for through the Statements of Income.</w:t>
      </w:r>
    </w:p>
    <w:p>
      <w:pPr>
        <w:pStyle w:val="BodyText"/>
        <w:spacing w:line="249" w:lineRule="auto" w:before="125"/>
        <w:ind w:left="720" w:right="717"/>
        <w:jc w:val="both"/>
      </w:pPr>
      <w:r>
        <w:rPr/>
        <w:t>In line with its financial risk management policies, for the non-trading portfolios, unrealized mark-to-market gains and losses from instruments carried at fair value (borrowing portfolio, and derivatives in the loan and other ALM portfolios) are excluded from allocable income.</w:t>
      </w:r>
    </w:p>
    <w:p>
      <w:pPr>
        <w:pStyle w:val="BodyText"/>
        <w:spacing w:line="232" w:lineRule="auto" w:before="128"/>
        <w:ind w:left="720" w:right="718"/>
        <w:jc w:val="both"/>
      </w:pPr>
      <w:r>
        <w:rPr/>
        <w:t>For the trading portfolio (investment portfolio), allocable income generally includes both realized and unrealized mark-to-market</w:t>
      </w:r>
      <w:r>
        <w:rPr>
          <w:spacing w:val="-2"/>
        </w:rPr>
        <w:t> </w:t>
      </w:r>
      <w:r>
        <w:rPr/>
        <w:t>gains</w:t>
      </w:r>
      <w:r>
        <w:rPr>
          <w:spacing w:val="-2"/>
        </w:rPr>
        <w:t> </w:t>
      </w:r>
      <w:r>
        <w:rPr/>
        <w:t>and</w:t>
      </w:r>
      <w:r>
        <w:rPr>
          <w:spacing w:val="-2"/>
        </w:rPr>
        <w:t> </w:t>
      </w:r>
      <w:r>
        <w:rPr/>
        <w:t>losses.</w:t>
      </w:r>
      <w:r>
        <w:rPr>
          <w:spacing w:val="-2"/>
        </w:rPr>
        <w:t> </w:t>
      </w:r>
      <w:r>
        <w:rPr/>
        <w:t>In</w:t>
      </w:r>
      <w:r>
        <w:rPr>
          <w:spacing w:val="-2"/>
        </w:rPr>
        <w:t> </w:t>
      </w:r>
      <w:r>
        <w:rPr/>
        <w:t>some</w:t>
      </w:r>
      <w:r>
        <w:rPr>
          <w:spacing w:val="-2"/>
        </w:rPr>
        <w:t> </w:t>
      </w:r>
      <w:r>
        <w:rPr/>
        <w:t>cases,</w:t>
      </w:r>
      <w:r>
        <w:rPr>
          <w:spacing w:val="-2"/>
        </w:rPr>
        <w:t> </w:t>
      </w:r>
      <w:r>
        <w:rPr/>
        <w:t>the</w:t>
      </w:r>
      <w:r>
        <w:rPr>
          <w:spacing w:val="-2"/>
        </w:rPr>
        <w:t> </w:t>
      </w:r>
      <w:r>
        <w:rPr/>
        <w:t>unrealized</w:t>
      </w:r>
      <w:r>
        <w:rPr>
          <w:spacing w:val="-2"/>
        </w:rPr>
        <w:t> </w:t>
      </w:r>
      <w:r>
        <w:rPr/>
        <w:t>mark-to-market</w:t>
      </w:r>
      <w:r>
        <w:rPr>
          <w:spacing w:val="-2"/>
        </w:rPr>
        <w:t> </w:t>
      </w:r>
      <w:r>
        <w:rPr/>
        <w:t>gains</w:t>
      </w:r>
      <w:r>
        <w:rPr>
          <w:spacing w:val="-2"/>
        </w:rPr>
        <w:t> </w:t>
      </w:r>
      <w:r>
        <w:rPr/>
        <w:t>and</w:t>
      </w:r>
      <w:r>
        <w:rPr>
          <w:spacing w:val="-2"/>
        </w:rPr>
        <w:t> </w:t>
      </w:r>
      <w:r>
        <w:rPr/>
        <w:t>losses</w:t>
      </w:r>
      <w:r>
        <w:rPr>
          <w:spacing w:val="-2"/>
        </w:rPr>
        <w:t> </w:t>
      </w:r>
      <w:r>
        <w:rPr/>
        <w:t>on</w:t>
      </w:r>
      <w:r>
        <w:rPr>
          <w:spacing w:val="-2"/>
        </w:rPr>
        <w:t> </w:t>
      </w:r>
      <w:r>
        <w:rPr/>
        <w:t>certain</w:t>
      </w:r>
      <w:r>
        <w:rPr>
          <w:spacing w:val="-2"/>
        </w:rPr>
        <w:t> </w:t>
      </w:r>
      <w:r>
        <w:rPr/>
        <w:t>trades</w:t>
      </w:r>
      <w:r>
        <w:rPr>
          <w:spacing w:val="-2"/>
        </w:rPr>
        <w:t> </w:t>
      </w:r>
      <w:r>
        <w:rPr/>
        <w:t>are excluded from allocable income when the underlying item is a physical asset held at amortized cost.</w:t>
      </w:r>
    </w:p>
    <w:p>
      <w:pPr>
        <w:pStyle w:val="BodyText"/>
        <w:spacing w:after="0" w:line="232" w:lineRule="auto"/>
        <w:jc w:val="both"/>
        <w:sectPr>
          <w:pgSz w:w="12240" w:h="15840"/>
          <w:pgMar w:header="744" w:footer="583" w:top="1020" w:bottom="780" w:left="720" w:right="720"/>
        </w:sectPr>
      </w:pPr>
    </w:p>
    <w:p>
      <w:pPr>
        <w:pStyle w:val="BodyText"/>
        <w:spacing w:before="77"/>
        <w:rPr>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07296">
                <wp:simplePos x="0" y="0"/>
                <wp:positionH relativeFrom="page">
                  <wp:posOffset>914400</wp:posOffset>
                </wp:positionH>
                <wp:positionV relativeFrom="paragraph">
                  <wp:posOffset>233062</wp:posOffset>
                </wp:positionV>
                <wp:extent cx="5943600"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709184;mso-wrap-distance-left:0;mso-wrap-distance-right:0" id="docshape83" coordorigin="1440,367" coordsize="9360,0" path="m1440,367l10800,367e" filled="false" stroked="true" strokeweight="1pt" strokecolor="#000000">
                <v:path arrowok="t"/>
                <v:stroke dashstyle="solid"/>
                <w10:wrap type="topAndBottom"/>
              </v:shape>
            </w:pict>
          </mc:Fallback>
        </mc:AlternateContent>
      </w:r>
      <w:bookmarkStart w:name="Section III: Financial Results" w:id="15"/>
      <w:bookmarkEnd w:id="15"/>
      <w:r>
        <w:rPr/>
      </w:r>
      <w:r>
        <w:rPr>
          <w:rFonts w:ascii="Arial"/>
          <w:b/>
          <w:sz w:val="28"/>
        </w:rPr>
        <w:t>Section</w:t>
      </w:r>
      <w:r>
        <w:rPr>
          <w:rFonts w:ascii="Arial"/>
          <w:b/>
          <w:spacing w:val="-4"/>
          <w:sz w:val="28"/>
        </w:rPr>
        <w:t> </w:t>
      </w:r>
      <w:r>
        <w:rPr>
          <w:rFonts w:ascii="Arial"/>
          <w:b/>
          <w:sz w:val="28"/>
        </w:rPr>
        <w:t>III:</w:t>
      </w:r>
      <w:r>
        <w:rPr>
          <w:rFonts w:ascii="Arial"/>
          <w:b/>
          <w:spacing w:val="-2"/>
          <w:sz w:val="28"/>
        </w:rPr>
        <w:t> </w:t>
      </w:r>
      <w:r>
        <w:rPr>
          <w:rFonts w:ascii="Arial"/>
          <w:b/>
          <w:sz w:val="28"/>
        </w:rPr>
        <w:t>Financial</w:t>
      </w:r>
      <w:r>
        <w:rPr>
          <w:rFonts w:ascii="Arial"/>
          <w:b/>
          <w:spacing w:val="-1"/>
          <w:sz w:val="28"/>
        </w:rPr>
        <w:t> </w:t>
      </w:r>
      <w:r>
        <w:rPr>
          <w:rFonts w:ascii="Arial"/>
          <w:b/>
          <w:spacing w:val="-2"/>
          <w:sz w:val="28"/>
        </w:rPr>
        <w:t>Results</w:t>
      </w:r>
    </w:p>
    <w:p>
      <w:pPr>
        <w:spacing w:before="159"/>
        <w:ind w:left="720" w:right="0" w:firstLine="0"/>
        <w:jc w:val="left"/>
        <w:rPr>
          <w:rFonts w:ascii="Arial"/>
          <w:b/>
          <w:sz w:val="24"/>
        </w:rPr>
      </w:pPr>
      <w:r>
        <w:rPr>
          <w:rFonts w:ascii="Arial"/>
          <w:b/>
          <w:sz w:val="24"/>
        </w:rPr>
        <w:t>Financial</w:t>
      </w:r>
      <w:r>
        <w:rPr>
          <w:rFonts w:ascii="Arial"/>
          <w:b/>
          <w:spacing w:val="-2"/>
          <w:sz w:val="24"/>
        </w:rPr>
        <w:t> </w:t>
      </w:r>
      <w:r>
        <w:rPr>
          <w:rFonts w:ascii="Arial"/>
          <w:b/>
          <w:sz w:val="24"/>
        </w:rPr>
        <w:t>Results</w:t>
      </w:r>
      <w:r>
        <w:rPr>
          <w:rFonts w:ascii="Arial"/>
          <w:b/>
          <w:spacing w:val="-2"/>
          <w:sz w:val="24"/>
        </w:rPr>
        <w:t> </w:t>
      </w:r>
      <w:r>
        <w:rPr>
          <w:rFonts w:ascii="Arial"/>
          <w:b/>
          <w:sz w:val="24"/>
        </w:rPr>
        <w:t>and</w:t>
      </w:r>
      <w:r>
        <w:rPr>
          <w:rFonts w:ascii="Arial"/>
          <w:b/>
          <w:spacing w:val="-2"/>
          <w:sz w:val="24"/>
        </w:rPr>
        <w:t> </w:t>
      </w:r>
      <w:r>
        <w:rPr>
          <w:rFonts w:ascii="Arial"/>
          <w:b/>
          <w:sz w:val="24"/>
        </w:rPr>
        <w:t>Portfolio</w:t>
      </w:r>
      <w:r>
        <w:rPr>
          <w:rFonts w:ascii="Arial"/>
          <w:b/>
          <w:spacing w:val="-2"/>
          <w:sz w:val="24"/>
        </w:rPr>
        <w:t> Performance</w:t>
      </w:r>
    </w:p>
    <w:p>
      <w:pPr>
        <w:pStyle w:val="BodyText"/>
        <w:spacing w:line="232" w:lineRule="auto" w:before="21"/>
        <w:ind w:left="720" w:right="719"/>
      </w:pPr>
      <w:r>
        <w:rPr/>
        <w:t>The</w:t>
      </w:r>
      <w:r>
        <w:rPr>
          <w:spacing w:val="-4"/>
        </w:rPr>
        <w:t> </w:t>
      </w:r>
      <w:r>
        <w:rPr/>
        <w:t>following</w:t>
      </w:r>
      <w:r>
        <w:rPr>
          <w:spacing w:val="-3"/>
        </w:rPr>
        <w:t> </w:t>
      </w:r>
      <w:r>
        <w:rPr/>
        <w:t>is</w:t>
      </w:r>
      <w:r>
        <w:rPr>
          <w:spacing w:val="-4"/>
        </w:rPr>
        <w:t> </w:t>
      </w:r>
      <w:r>
        <w:rPr/>
        <w:t>a</w:t>
      </w:r>
      <w:r>
        <w:rPr>
          <w:spacing w:val="-4"/>
        </w:rPr>
        <w:t> </w:t>
      </w:r>
      <w:r>
        <w:rPr/>
        <w:t>discussion</w:t>
      </w:r>
      <w:r>
        <w:rPr>
          <w:spacing w:val="-3"/>
        </w:rPr>
        <w:t> </w:t>
      </w:r>
      <w:r>
        <w:rPr/>
        <w:t>of</w:t>
      </w:r>
      <w:r>
        <w:rPr>
          <w:spacing w:val="-3"/>
        </w:rPr>
        <w:t> </w:t>
      </w:r>
      <w:r>
        <w:rPr/>
        <w:t>the</w:t>
      </w:r>
      <w:r>
        <w:rPr>
          <w:spacing w:val="-4"/>
        </w:rPr>
        <w:t> </w:t>
      </w:r>
      <w:r>
        <w:rPr/>
        <w:t>key</w:t>
      </w:r>
      <w:r>
        <w:rPr>
          <w:spacing w:val="-3"/>
        </w:rPr>
        <w:t> </w:t>
      </w:r>
      <w:r>
        <w:rPr/>
        <w:t>drivers</w:t>
      </w:r>
      <w:r>
        <w:rPr>
          <w:spacing w:val="-4"/>
        </w:rPr>
        <w:t> </w:t>
      </w:r>
      <w:r>
        <w:rPr/>
        <w:t>of</w:t>
      </w:r>
      <w:r>
        <w:rPr>
          <w:spacing w:val="-3"/>
        </w:rPr>
        <w:t> </w:t>
      </w:r>
      <w:r>
        <w:rPr/>
        <w:t>IBRD’s</w:t>
      </w:r>
      <w:r>
        <w:rPr>
          <w:spacing w:val="-4"/>
        </w:rPr>
        <w:t> </w:t>
      </w:r>
      <w:r>
        <w:rPr/>
        <w:t>financial</w:t>
      </w:r>
      <w:r>
        <w:rPr>
          <w:spacing w:val="-4"/>
        </w:rPr>
        <w:t> </w:t>
      </w:r>
      <w:r>
        <w:rPr/>
        <w:t>performance,</w:t>
      </w:r>
      <w:r>
        <w:rPr>
          <w:spacing w:val="-3"/>
        </w:rPr>
        <w:t> </w:t>
      </w:r>
      <w:r>
        <w:rPr/>
        <w:t>including</w:t>
      </w:r>
      <w:r>
        <w:rPr>
          <w:spacing w:val="-3"/>
        </w:rPr>
        <w:t> </w:t>
      </w:r>
      <w:r>
        <w:rPr/>
        <w:t>a</w:t>
      </w:r>
      <w:r>
        <w:rPr>
          <w:spacing w:val="-4"/>
        </w:rPr>
        <w:t> </w:t>
      </w:r>
      <w:r>
        <w:rPr/>
        <w:t>reconciliation</w:t>
      </w:r>
      <w:r>
        <w:rPr>
          <w:spacing w:val="-3"/>
        </w:rPr>
        <w:t> </w:t>
      </w:r>
      <w:r>
        <w:rPr/>
        <w:t>between IBRD’s net income and allocable income.</w:t>
      </w:r>
    </w:p>
    <w:p>
      <w:pPr>
        <w:pStyle w:val="BodyText"/>
        <w:spacing w:before="7"/>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85"/>
        <w:gridCol w:w="890"/>
        <w:gridCol w:w="550"/>
        <w:gridCol w:w="569"/>
        <w:gridCol w:w="316"/>
        <w:gridCol w:w="661"/>
        <w:gridCol w:w="513"/>
        <w:gridCol w:w="391"/>
        <w:gridCol w:w="531"/>
      </w:tblGrid>
      <w:tr>
        <w:trPr>
          <w:trHeight w:val="681" w:hRule="atLeast"/>
        </w:trPr>
        <w:tc>
          <w:tcPr>
            <w:tcW w:w="5385" w:type="dxa"/>
            <w:tcBorders>
              <w:bottom w:val="single" w:sz="8" w:space="0" w:color="6C6C6C"/>
            </w:tcBorders>
          </w:tcPr>
          <w:p>
            <w:pPr>
              <w:pStyle w:val="TableParagraph"/>
              <w:spacing w:line="201" w:lineRule="exact"/>
              <w:ind w:left="50"/>
              <w:rPr>
                <w:rFonts w:ascii="Arial"/>
                <w:b/>
                <w:sz w:val="18"/>
              </w:rPr>
            </w:pPr>
            <w:bookmarkStart w:name="Financial Results and Portfolio Performa" w:id="16"/>
            <w:bookmarkEnd w:id="16"/>
            <w:r>
              <w:rPr/>
            </w:r>
            <w:bookmarkStart w:name="_bookmark6" w:id="17"/>
            <w:bookmarkEnd w:id="17"/>
            <w:r>
              <w:rPr/>
            </w:r>
            <w:r>
              <w:rPr>
                <w:rFonts w:ascii="Arial"/>
                <w:b/>
                <w:sz w:val="18"/>
              </w:rPr>
              <w:t>Table</w:t>
            </w:r>
            <w:r>
              <w:rPr>
                <w:rFonts w:ascii="Arial"/>
                <w:b/>
                <w:spacing w:val="-2"/>
                <w:sz w:val="18"/>
              </w:rPr>
              <w:t> </w:t>
            </w:r>
            <w:r>
              <w:rPr>
                <w:rFonts w:ascii="Arial"/>
                <w:b/>
                <w:sz w:val="18"/>
              </w:rPr>
              <w:t>1:</w:t>
            </w:r>
            <w:r>
              <w:rPr>
                <w:rFonts w:ascii="Arial"/>
                <w:b/>
                <w:spacing w:val="-1"/>
                <w:sz w:val="18"/>
              </w:rPr>
              <w:t> </w:t>
            </w:r>
            <w:r>
              <w:rPr>
                <w:rFonts w:ascii="Arial"/>
                <w:b/>
                <w:sz w:val="18"/>
              </w:rPr>
              <w:t>Statements</w:t>
            </w:r>
            <w:r>
              <w:rPr>
                <w:rFonts w:ascii="Arial"/>
                <w:b/>
                <w:spacing w:val="-2"/>
                <w:sz w:val="18"/>
              </w:rPr>
              <w:t> </w:t>
            </w:r>
            <w:r>
              <w:rPr>
                <w:rFonts w:ascii="Arial"/>
                <w:b/>
                <w:sz w:val="18"/>
              </w:rPr>
              <w:t>of</w:t>
            </w:r>
            <w:r>
              <w:rPr>
                <w:rFonts w:ascii="Arial"/>
                <w:b/>
                <w:spacing w:val="-1"/>
                <w:sz w:val="18"/>
              </w:rPr>
              <w:t> </w:t>
            </w:r>
            <w:r>
              <w:rPr>
                <w:rFonts w:ascii="Arial"/>
                <w:b/>
                <w:spacing w:val="-2"/>
                <w:sz w:val="18"/>
              </w:rPr>
              <w:t>Income</w:t>
            </w:r>
          </w:p>
          <w:p>
            <w:pPr>
              <w:pStyle w:val="TableParagraph"/>
              <w:spacing w:before="33"/>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TableParagraph"/>
              <w:spacing w:before="56"/>
              <w:ind w:left="52"/>
              <w:rPr>
                <w:rFonts w:ascii="Arial"/>
                <w:i/>
                <w:sz w:val="16"/>
              </w:rPr>
            </w:pPr>
            <w:r>
              <w:rPr>
                <w:rFonts w:ascii="Arial"/>
                <w:i/>
                <w:color w:val="A5A5A5"/>
                <w:sz w:val="16"/>
              </w:rPr>
              <w:t>For</w:t>
            </w:r>
            <w:r>
              <w:rPr>
                <w:rFonts w:ascii="Arial"/>
                <w:i/>
                <w:color w:val="A5A5A5"/>
                <w:spacing w:val="-3"/>
                <w:sz w:val="16"/>
              </w:rPr>
              <w:t> </w:t>
            </w:r>
            <w:r>
              <w:rPr>
                <w:rFonts w:ascii="Arial"/>
                <w:i/>
                <w:color w:val="A5A5A5"/>
                <w:sz w:val="16"/>
              </w:rPr>
              <w:t>the</w:t>
            </w:r>
            <w:r>
              <w:rPr>
                <w:rFonts w:ascii="Arial"/>
                <w:i/>
                <w:color w:val="A5A5A5"/>
                <w:spacing w:val="-3"/>
                <w:sz w:val="16"/>
              </w:rPr>
              <w:t> </w:t>
            </w:r>
            <w:r>
              <w:rPr>
                <w:rFonts w:ascii="Arial"/>
                <w:i/>
                <w:color w:val="A5A5A5"/>
                <w:sz w:val="16"/>
              </w:rPr>
              <w:t>fiscal</w:t>
            </w:r>
            <w:r>
              <w:rPr>
                <w:rFonts w:ascii="Arial"/>
                <w:i/>
                <w:color w:val="A5A5A5"/>
                <w:spacing w:val="-2"/>
                <w:sz w:val="16"/>
              </w:rPr>
              <w:t> </w:t>
            </w:r>
            <w:r>
              <w:rPr>
                <w:rFonts w:ascii="Arial"/>
                <w:i/>
                <w:color w:val="A5A5A5"/>
                <w:sz w:val="16"/>
              </w:rPr>
              <w:t>year</w:t>
            </w:r>
            <w:r>
              <w:rPr>
                <w:rFonts w:ascii="Arial"/>
                <w:i/>
                <w:color w:val="A5A5A5"/>
                <w:spacing w:val="-2"/>
                <w:sz w:val="16"/>
              </w:rPr>
              <w:t> </w:t>
            </w:r>
            <w:r>
              <w:rPr>
                <w:rFonts w:ascii="Arial"/>
                <w:i/>
                <w:color w:val="A5A5A5"/>
                <w:sz w:val="16"/>
              </w:rPr>
              <w:t>ended</w:t>
            </w:r>
            <w:r>
              <w:rPr>
                <w:rFonts w:ascii="Arial"/>
                <w:i/>
                <w:color w:val="A5A5A5"/>
                <w:spacing w:val="-3"/>
                <w:sz w:val="16"/>
              </w:rPr>
              <w:t> </w:t>
            </w:r>
            <w:r>
              <w:rPr>
                <w:rFonts w:ascii="Arial"/>
                <w:i/>
                <w:color w:val="A5A5A5"/>
                <w:sz w:val="16"/>
              </w:rPr>
              <w:t>June</w:t>
            </w:r>
            <w:r>
              <w:rPr>
                <w:rFonts w:ascii="Arial"/>
                <w:i/>
                <w:color w:val="A5A5A5"/>
                <w:spacing w:val="-3"/>
                <w:sz w:val="16"/>
              </w:rPr>
              <w:t> </w:t>
            </w:r>
            <w:r>
              <w:rPr>
                <w:rFonts w:ascii="Arial"/>
                <w:i/>
                <w:color w:val="A5A5A5"/>
                <w:spacing w:val="-5"/>
                <w:sz w:val="16"/>
              </w:rPr>
              <w:t>30,</w:t>
            </w:r>
          </w:p>
        </w:tc>
        <w:tc>
          <w:tcPr>
            <w:tcW w:w="1440" w:type="dxa"/>
            <w:gridSpan w:val="2"/>
            <w:tcBorders>
              <w:bottom w:val="single" w:sz="8" w:space="0" w:color="6C6C6C"/>
            </w:tcBorders>
          </w:tcPr>
          <w:p>
            <w:pPr>
              <w:pStyle w:val="TableParagraph"/>
              <w:rPr>
                <w:rFonts w:ascii="Times New Roman"/>
                <w:sz w:val="16"/>
              </w:rPr>
            </w:pPr>
          </w:p>
          <w:p>
            <w:pPr>
              <w:pStyle w:val="TableParagraph"/>
              <w:spacing w:before="106"/>
              <w:rPr>
                <w:rFonts w:ascii="Times New Roman"/>
                <w:sz w:val="16"/>
              </w:rPr>
            </w:pPr>
          </w:p>
          <w:p>
            <w:pPr>
              <w:pStyle w:val="TableParagraph"/>
              <w:tabs>
                <w:tab w:pos="1032" w:val="left" w:leader="none"/>
              </w:tabs>
              <w:ind w:left="312"/>
              <w:rPr>
                <w:rFonts w:ascii="Arial"/>
                <w:i/>
                <w:sz w:val="16"/>
              </w:rPr>
            </w:pPr>
            <w:r>
              <w:rPr>
                <w:rFonts w:ascii="Arial"/>
                <w:i/>
                <w:color w:val="A5A5A5"/>
                <w:spacing w:val="-4"/>
                <w:sz w:val="16"/>
              </w:rPr>
              <w:t>2023</w:t>
            </w:r>
            <w:r>
              <w:rPr>
                <w:rFonts w:ascii="Arial"/>
                <w:i/>
                <w:color w:val="A5A5A5"/>
                <w:sz w:val="16"/>
              </w:rPr>
              <w:tab/>
            </w:r>
            <w:r>
              <w:rPr>
                <w:rFonts w:ascii="Arial"/>
                <w:i/>
                <w:color w:val="A5A5A5"/>
                <w:spacing w:val="-4"/>
                <w:sz w:val="16"/>
              </w:rPr>
              <w:t>2022</w:t>
            </w:r>
          </w:p>
        </w:tc>
        <w:tc>
          <w:tcPr>
            <w:tcW w:w="2981" w:type="dxa"/>
            <w:gridSpan w:val="6"/>
          </w:tcPr>
          <w:p>
            <w:pPr>
              <w:pStyle w:val="TableParagraph"/>
              <w:tabs>
                <w:tab w:pos="1733" w:val="left" w:leader="none"/>
              </w:tabs>
              <w:spacing w:line="240" w:lineRule="atLeast" w:before="178"/>
              <w:ind w:left="430" w:right="632" w:firstLine="206"/>
              <w:rPr>
                <w:rFonts w:ascii="Arial"/>
                <w:i/>
                <w:sz w:val="16"/>
              </w:rPr>
            </w:pPr>
            <w:r>
              <w:rPr>
                <w:rFonts w:ascii="Arial"/>
                <w:i/>
                <w:color w:val="7F7F7F"/>
                <w:sz w:val="16"/>
              </w:rPr>
              <w:t>Impact on income </w:t>
            </w:r>
            <w:r>
              <w:rPr>
                <w:rFonts w:ascii="Arial"/>
                <w:i/>
                <w:color w:val="7F7F7F"/>
                <w:spacing w:val="-2"/>
                <w:sz w:val="16"/>
              </w:rPr>
              <w:t>Decrease</w:t>
            </w:r>
            <w:r>
              <w:rPr>
                <w:rFonts w:ascii="Arial"/>
                <w:i/>
                <w:color w:val="7F7F7F"/>
                <w:sz w:val="16"/>
              </w:rPr>
              <w:tab/>
            </w:r>
            <w:r>
              <w:rPr>
                <w:rFonts w:ascii="Arial"/>
                <w:i/>
                <w:color w:val="7F7F7F"/>
                <w:spacing w:val="-2"/>
                <w:sz w:val="16"/>
              </w:rPr>
              <w:t>Increase</w:t>
            </w:r>
          </w:p>
        </w:tc>
      </w:tr>
      <w:tr>
        <w:trPr>
          <w:trHeight w:val="256" w:hRule="atLeast"/>
        </w:trPr>
        <w:tc>
          <w:tcPr>
            <w:tcW w:w="5385" w:type="dxa"/>
            <w:tcBorders>
              <w:top w:val="single" w:sz="8" w:space="0" w:color="6C6C6C"/>
            </w:tcBorders>
          </w:tcPr>
          <w:p>
            <w:pPr>
              <w:pStyle w:val="TableParagraph"/>
              <w:spacing w:before="12"/>
              <w:ind w:left="52"/>
              <w:rPr>
                <w:sz w:val="16"/>
              </w:rPr>
            </w:pPr>
            <w:r>
              <w:rPr>
                <w:sz w:val="16"/>
              </w:rPr>
              <w:t>Revenue</w:t>
            </w:r>
            <w:r>
              <w:rPr>
                <w:spacing w:val="-5"/>
                <w:sz w:val="16"/>
              </w:rPr>
              <w:t> </w:t>
            </w:r>
            <w:r>
              <w:rPr>
                <w:sz w:val="16"/>
              </w:rPr>
              <w:t>on</w:t>
            </w:r>
            <w:r>
              <w:rPr>
                <w:spacing w:val="-4"/>
                <w:sz w:val="16"/>
              </w:rPr>
              <w:t> </w:t>
            </w:r>
            <w:r>
              <w:rPr>
                <w:sz w:val="16"/>
              </w:rPr>
              <w:t>interest</w:t>
            </w:r>
            <w:r>
              <w:rPr>
                <w:spacing w:val="-3"/>
                <w:sz w:val="16"/>
              </w:rPr>
              <w:t> </w:t>
            </w:r>
            <w:r>
              <w:rPr>
                <w:sz w:val="16"/>
              </w:rPr>
              <w:t>earning</w:t>
            </w:r>
            <w:r>
              <w:rPr>
                <w:spacing w:val="-4"/>
                <w:sz w:val="16"/>
              </w:rPr>
              <w:t> </w:t>
            </w:r>
            <w:r>
              <w:rPr>
                <w:sz w:val="16"/>
              </w:rPr>
              <w:t>assets,</w:t>
            </w:r>
            <w:r>
              <w:rPr>
                <w:spacing w:val="-3"/>
                <w:sz w:val="16"/>
              </w:rPr>
              <w:t> </w:t>
            </w:r>
            <w:r>
              <w:rPr>
                <w:sz w:val="16"/>
              </w:rPr>
              <w:t>net</w:t>
            </w:r>
            <w:r>
              <w:rPr>
                <w:spacing w:val="-3"/>
                <w:sz w:val="16"/>
              </w:rPr>
              <w:t> </w:t>
            </w:r>
            <w:r>
              <w:rPr>
                <w:sz w:val="16"/>
              </w:rPr>
              <w:t>of</w:t>
            </w:r>
            <w:r>
              <w:rPr>
                <w:spacing w:val="-3"/>
                <w:sz w:val="16"/>
              </w:rPr>
              <w:t> </w:t>
            </w:r>
            <w:r>
              <w:rPr>
                <w:sz w:val="16"/>
              </w:rPr>
              <w:t>funding</w:t>
            </w:r>
            <w:r>
              <w:rPr>
                <w:spacing w:val="-4"/>
                <w:sz w:val="16"/>
              </w:rPr>
              <w:t> </w:t>
            </w:r>
            <w:r>
              <w:rPr>
                <w:spacing w:val="-2"/>
                <w:sz w:val="16"/>
              </w:rPr>
              <w:t>costs</w:t>
            </w:r>
          </w:p>
        </w:tc>
        <w:tc>
          <w:tcPr>
            <w:tcW w:w="1440" w:type="dxa"/>
            <w:gridSpan w:val="2"/>
            <w:tcBorders>
              <w:top w:val="single" w:sz="8" w:space="0" w:color="6C6C6C"/>
            </w:tcBorders>
          </w:tcPr>
          <w:p>
            <w:pPr>
              <w:pStyle w:val="TableParagraph"/>
              <w:rPr>
                <w:rFonts w:ascii="Times New Roman"/>
                <w:sz w:val="16"/>
              </w:rPr>
            </w:pPr>
          </w:p>
        </w:tc>
        <w:tc>
          <w:tcPr>
            <w:tcW w:w="2981" w:type="dxa"/>
            <w:gridSpan w:val="6"/>
            <w:tcBorders>
              <w:top w:val="single" w:sz="8" w:space="0" w:color="6C6C6C"/>
            </w:tcBorders>
          </w:tcPr>
          <w:p>
            <w:pPr>
              <w:pStyle w:val="TableParagraph"/>
              <w:rPr>
                <w:rFonts w:ascii="Times New Roman"/>
                <w:sz w:val="16"/>
              </w:rPr>
            </w:pPr>
          </w:p>
        </w:tc>
      </w:tr>
      <w:tr>
        <w:trPr>
          <w:trHeight w:val="203" w:hRule="atLeast"/>
        </w:trPr>
        <w:tc>
          <w:tcPr>
            <w:tcW w:w="5385" w:type="dxa"/>
          </w:tcPr>
          <w:p>
            <w:pPr>
              <w:pStyle w:val="TableParagraph"/>
              <w:spacing w:line="181" w:lineRule="exact"/>
              <w:ind w:left="172"/>
              <w:rPr>
                <w:sz w:val="16"/>
              </w:rPr>
            </w:pPr>
            <w:r>
              <w:rPr>
                <w:sz w:val="16"/>
              </w:rPr>
              <w:t>Loan</w:t>
            </w:r>
            <w:r>
              <w:rPr>
                <w:spacing w:val="-5"/>
                <w:sz w:val="16"/>
              </w:rPr>
              <w:t> </w:t>
            </w:r>
            <w:r>
              <w:rPr>
                <w:sz w:val="16"/>
              </w:rPr>
              <w:t>interest</w:t>
            </w:r>
            <w:r>
              <w:rPr>
                <w:spacing w:val="-4"/>
                <w:sz w:val="16"/>
              </w:rPr>
              <w:t> </w:t>
            </w:r>
            <w:r>
              <w:rPr>
                <w:sz w:val="16"/>
              </w:rPr>
              <w:t>revenue,</w:t>
            </w:r>
            <w:r>
              <w:rPr>
                <w:spacing w:val="-4"/>
                <w:sz w:val="16"/>
              </w:rPr>
              <w:t> </w:t>
            </w:r>
            <w:r>
              <w:rPr>
                <w:spacing w:val="-5"/>
                <w:sz w:val="16"/>
              </w:rPr>
              <w:t>net</w:t>
            </w:r>
          </w:p>
        </w:tc>
        <w:tc>
          <w:tcPr>
            <w:tcW w:w="890" w:type="dxa"/>
          </w:tcPr>
          <w:p>
            <w:pPr>
              <w:pStyle w:val="TableParagraph"/>
              <w:spacing w:line="181" w:lineRule="exact"/>
              <w:ind w:right="26"/>
              <w:jc w:val="right"/>
              <w:rPr>
                <w:sz w:val="16"/>
              </w:rPr>
            </w:pPr>
            <w:r>
              <w:rPr>
                <w:sz w:val="16"/>
              </w:rPr>
              <w:t>$</w:t>
            </w:r>
            <w:r>
              <w:rPr>
                <w:spacing w:val="63"/>
                <w:sz w:val="16"/>
              </w:rPr>
              <w:t> </w:t>
            </w:r>
            <w:r>
              <w:rPr>
                <w:sz w:val="16"/>
              </w:rPr>
              <w:t>3,874</w:t>
            </w:r>
            <w:r>
              <w:rPr>
                <w:spacing w:val="74"/>
                <w:sz w:val="16"/>
              </w:rPr>
              <w:t> </w:t>
            </w:r>
            <w:r>
              <w:rPr>
                <w:spacing w:val="-10"/>
                <w:sz w:val="16"/>
              </w:rPr>
              <w:t>$</w:t>
            </w:r>
          </w:p>
        </w:tc>
        <w:tc>
          <w:tcPr>
            <w:tcW w:w="550" w:type="dxa"/>
          </w:tcPr>
          <w:p>
            <w:pPr>
              <w:pStyle w:val="TableParagraph"/>
              <w:spacing w:line="181" w:lineRule="exact"/>
              <w:ind w:left="82"/>
              <w:rPr>
                <w:sz w:val="16"/>
              </w:rPr>
            </w:pPr>
            <w:r>
              <w:rPr>
                <w:spacing w:val="-2"/>
                <w:sz w:val="16"/>
              </w:rPr>
              <w:t>1,892</w:t>
            </w:r>
          </w:p>
        </w:tc>
        <w:tc>
          <w:tcPr>
            <w:tcW w:w="569" w:type="dxa"/>
          </w:tcPr>
          <w:p>
            <w:pPr>
              <w:pStyle w:val="TableParagraph"/>
              <w:rPr>
                <w:rFonts w:ascii="Times New Roman"/>
                <w:sz w:val="14"/>
              </w:rPr>
            </w:pPr>
          </w:p>
        </w:tc>
        <w:tc>
          <w:tcPr>
            <w:tcW w:w="977" w:type="dxa"/>
            <w:gridSpan w:val="2"/>
          </w:tcPr>
          <w:p>
            <w:pPr>
              <w:pStyle w:val="TableParagraph"/>
              <w:rPr>
                <w:rFonts w:ascii="Times New Roman"/>
                <w:sz w:val="14"/>
              </w:rPr>
            </w:pPr>
          </w:p>
        </w:tc>
        <w:tc>
          <w:tcPr>
            <w:tcW w:w="513" w:type="dxa"/>
            <w:shd w:val="clear" w:color="auto" w:fill="6D6D6D"/>
          </w:tcPr>
          <w:p>
            <w:pPr>
              <w:pStyle w:val="TableParagraph"/>
              <w:rPr>
                <w:rFonts w:ascii="Times New Roman"/>
                <w:sz w:val="14"/>
              </w:rPr>
            </w:pPr>
          </w:p>
        </w:tc>
        <w:tc>
          <w:tcPr>
            <w:tcW w:w="922" w:type="dxa"/>
            <w:gridSpan w:val="2"/>
          </w:tcPr>
          <w:p>
            <w:pPr>
              <w:pStyle w:val="TableParagraph"/>
              <w:spacing w:line="164" w:lineRule="exact" w:before="19"/>
              <w:ind w:left="55"/>
              <w:rPr>
                <w:sz w:val="16"/>
              </w:rPr>
            </w:pPr>
            <w:r>
              <w:rPr>
                <w:color w:val="585858"/>
                <w:spacing w:val="-2"/>
                <w:sz w:val="16"/>
              </w:rPr>
              <w:t>1,982</w:t>
            </w:r>
          </w:p>
        </w:tc>
      </w:tr>
      <w:tr>
        <w:trPr>
          <w:trHeight w:val="240" w:hRule="atLeast"/>
        </w:trPr>
        <w:tc>
          <w:tcPr>
            <w:tcW w:w="5385" w:type="dxa"/>
          </w:tcPr>
          <w:p>
            <w:pPr>
              <w:pStyle w:val="TableParagraph"/>
              <w:spacing w:before="33"/>
              <w:ind w:left="172"/>
              <w:rPr>
                <w:sz w:val="16"/>
              </w:rPr>
            </w:pPr>
            <w:r>
              <w:rPr>
                <w:sz w:val="16"/>
              </w:rPr>
              <w:t>Other</w:t>
            </w:r>
            <w:r>
              <w:rPr>
                <w:spacing w:val="-12"/>
                <w:sz w:val="16"/>
              </w:rPr>
              <w:t> </w:t>
            </w:r>
            <w:r>
              <w:rPr>
                <w:sz w:val="16"/>
              </w:rPr>
              <w:t>ALM</w:t>
            </w:r>
            <w:r>
              <w:rPr>
                <w:spacing w:val="-3"/>
                <w:sz w:val="16"/>
              </w:rPr>
              <w:t> </w:t>
            </w:r>
            <w:r>
              <w:rPr>
                <w:sz w:val="16"/>
              </w:rPr>
              <w:t>derivatives,</w:t>
            </w:r>
            <w:r>
              <w:rPr>
                <w:spacing w:val="-3"/>
                <w:sz w:val="16"/>
              </w:rPr>
              <w:t> </w:t>
            </w:r>
            <w:r>
              <w:rPr>
                <w:spacing w:val="-5"/>
                <w:sz w:val="16"/>
              </w:rPr>
              <w:t>net</w:t>
            </w:r>
          </w:p>
        </w:tc>
        <w:tc>
          <w:tcPr>
            <w:tcW w:w="890" w:type="dxa"/>
          </w:tcPr>
          <w:p>
            <w:pPr>
              <w:pStyle w:val="TableParagraph"/>
              <w:spacing w:before="33"/>
              <w:ind w:left="332"/>
              <w:rPr>
                <w:sz w:val="16"/>
              </w:rPr>
            </w:pPr>
            <w:r>
              <w:rPr>
                <w:spacing w:val="-2"/>
                <w:sz w:val="16"/>
              </w:rPr>
              <w:t>(850)</w:t>
            </w:r>
          </w:p>
        </w:tc>
        <w:tc>
          <w:tcPr>
            <w:tcW w:w="550" w:type="dxa"/>
          </w:tcPr>
          <w:p>
            <w:pPr>
              <w:pStyle w:val="TableParagraph"/>
              <w:spacing w:before="33"/>
              <w:ind w:left="215"/>
              <w:rPr>
                <w:sz w:val="16"/>
              </w:rPr>
            </w:pPr>
            <w:r>
              <w:rPr>
                <w:spacing w:val="-5"/>
                <w:sz w:val="16"/>
              </w:rPr>
              <w:t>583</w:t>
            </w:r>
          </w:p>
        </w:tc>
        <w:tc>
          <w:tcPr>
            <w:tcW w:w="569" w:type="dxa"/>
          </w:tcPr>
          <w:p>
            <w:pPr>
              <w:pStyle w:val="TableParagraph"/>
              <w:rPr>
                <w:rFonts w:ascii="Times New Roman"/>
                <w:sz w:val="16"/>
              </w:rPr>
            </w:pPr>
          </w:p>
        </w:tc>
        <w:tc>
          <w:tcPr>
            <w:tcW w:w="977" w:type="dxa"/>
            <w:gridSpan w:val="2"/>
          </w:tcPr>
          <w:p>
            <w:pPr>
              <w:pStyle w:val="TableParagraph"/>
              <w:spacing w:line="164" w:lineRule="exact" w:before="56"/>
              <w:ind w:left="16"/>
              <w:rPr>
                <w:sz w:val="16"/>
              </w:rPr>
            </w:pPr>
            <w:r>
              <w:rPr>
                <w:color w:val="585858"/>
                <w:spacing w:val="-2"/>
                <w:sz w:val="16"/>
              </w:rPr>
              <w:t>(1,433)</w:t>
            </w:r>
          </w:p>
        </w:tc>
        <w:tc>
          <w:tcPr>
            <w:tcW w:w="513" w:type="dxa"/>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66" w:hRule="atLeast"/>
        </w:trPr>
        <w:tc>
          <w:tcPr>
            <w:tcW w:w="5385" w:type="dxa"/>
          </w:tcPr>
          <w:p>
            <w:pPr>
              <w:pStyle w:val="TableParagraph"/>
              <w:spacing w:before="33"/>
              <w:ind w:left="172"/>
              <w:rPr>
                <w:sz w:val="16"/>
              </w:rPr>
            </w:pPr>
            <w:r>
              <w:rPr>
                <w:sz w:val="16"/>
              </w:rPr>
              <w:t>Investment</w:t>
            </w:r>
            <w:r>
              <w:rPr>
                <w:spacing w:val="-4"/>
                <w:sz w:val="16"/>
              </w:rPr>
              <w:t> </w:t>
            </w:r>
            <w:r>
              <w:rPr>
                <w:sz w:val="16"/>
              </w:rPr>
              <w:t>revenue,</w:t>
            </w:r>
            <w:r>
              <w:rPr>
                <w:spacing w:val="-4"/>
                <w:sz w:val="16"/>
              </w:rPr>
              <w:t> </w:t>
            </w:r>
            <w:r>
              <w:rPr>
                <w:sz w:val="16"/>
              </w:rPr>
              <w:t>net</w:t>
            </w:r>
            <w:r>
              <w:rPr>
                <w:spacing w:val="-4"/>
                <w:sz w:val="16"/>
              </w:rPr>
              <w:t> </w:t>
            </w:r>
            <w:r>
              <w:rPr>
                <w:spacing w:val="-10"/>
                <w:sz w:val="16"/>
                <w:vertAlign w:val="superscript"/>
              </w:rPr>
              <w:t>a</w:t>
            </w:r>
          </w:p>
        </w:tc>
        <w:tc>
          <w:tcPr>
            <w:tcW w:w="890" w:type="dxa"/>
            <w:tcBorders>
              <w:bottom w:val="single" w:sz="8" w:space="0" w:color="000000"/>
            </w:tcBorders>
          </w:tcPr>
          <w:p>
            <w:pPr>
              <w:pStyle w:val="TableParagraph"/>
              <w:spacing w:before="33"/>
              <w:ind w:left="385"/>
              <w:rPr>
                <w:sz w:val="16"/>
              </w:rPr>
            </w:pPr>
            <w:r>
              <w:rPr>
                <w:spacing w:val="-5"/>
                <w:sz w:val="16"/>
              </w:rPr>
              <w:t>188</w:t>
            </w:r>
          </w:p>
        </w:tc>
        <w:tc>
          <w:tcPr>
            <w:tcW w:w="550" w:type="dxa"/>
            <w:tcBorders>
              <w:bottom w:val="single" w:sz="8" w:space="0" w:color="000000"/>
            </w:tcBorders>
          </w:tcPr>
          <w:p>
            <w:pPr>
              <w:pStyle w:val="TableParagraph"/>
              <w:spacing w:before="33"/>
              <w:ind w:right="12"/>
              <w:jc w:val="right"/>
              <w:rPr>
                <w:sz w:val="16"/>
              </w:rPr>
            </w:pPr>
            <w:r>
              <w:rPr>
                <w:spacing w:val="-5"/>
                <w:sz w:val="16"/>
              </w:rPr>
              <w:t>(3)</w:t>
            </w:r>
          </w:p>
        </w:tc>
        <w:tc>
          <w:tcPr>
            <w:tcW w:w="569" w:type="dxa"/>
          </w:tcPr>
          <w:p>
            <w:pPr>
              <w:pStyle w:val="TableParagraph"/>
              <w:rPr>
                <w:rFonts w:ascii="Times New Roman"/>
                <w:sz w:val="16"/>
              </w:rPr>
            </w:pPr>
          </w:p>
        </w:tc>
        <w:tc>
          <w:tcPr>
            <w:tcW w:w="977" w:type="dxa"/>
            <w:gridSpan w:val="2"/>
          </w:tcPr>
          <w:p>
            <w:pPr>
              <w:pStyle w:val="TableParagraph"/>
              <w:rPr>
                <w:rFonts w:ascii="Times New Roman"/>
                <w:sz w:val="16"/>
              </w:rPr>
            </w:pPr>
          </w:p>
        </w:tc>
        <w:tc>
          <w:tcPr>
            <w:tcW w:w="513" w:type="dxa"/>
          </w:tcPr>
          <w:p>
            <w:pPr>
              <w:pStyle w:val="TableParagraph"/>
              <w:spacing w:before="56"/>
              <w:ind w:left="103"/>
              <w:rPr>
                <w:sz w:val="16"/>
              </w:rPr>
            </w:pPr>
            <w:r>
              <w:rPr>
                <w:sz w:val="16"/>
              </w:rPr>
              <mc:AlternateContent>
                <mc:Choice Requires="wps">
                  <w:drawing>
                    <wp:anchor distT="0" distB="0" distL="0" distR="0" allowOverlap="1" layoutInCell="1" locked="0" behindDoc="1" simplePos="0" relativeHeight="470537728">
                      <wp:simplePos x="0" y="0"/>
                      <wp:positionH relativeFrom="column">
                        <wp:posOffset>-236934</wp:posOffset>
                      </wp:positionH>
                      <wp:positionV relativeFrom="paragraph">
                        <wp:posOffset>-128982</wp:posOffset>
                      </wp:positionV>
                      <wp:extent cx="352425" cy="58102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52425" cy="581025"/>
                                <a:chExt cx="352425" cy="581025"/>
                              </a:xfrm>
                            </wpg:grpSpPr>
                            <wps:wsp>
                              <wps:cNvPr id="115" name="Graphic 115"/>
                              <wps:cNvSpPr/>
                              <wps:spPr>
                                <a:xfrm>
                                  <a:off x="0" y="0"/>
                                  <a:ext cx="238125" cy="123825"/>
                                </a:xfrm>
                                <a:custGeom>
                                  <a:avLst/>
                                  <a:gdLst/>
                                  <a:ahLst/>
                                  <a:cxnLst/>
                                  <a:rect l="l" t="t" r="r" b="b"/>
                                  <a:pathLst>
                                    <a:path w="238125" h="123825">
                                      <a:moveTo>
                                        <a:pt x="238125" y="0"/>
                                      </a:moveTo>
                                      <a:lnTo>
                                        <a:pt x="0" y="0"/>
                                      </a:lnTo>
                                      <a:lnTo>
                                        <a:pt x="0" y="123825"/>
                                      </a:lnTo>
                                      <a:lnTo>
                                        <a:pt x="238125" y="123825"/>
                                      </a:lnTo>
                                      <a:lnTo>
                                        <a:pt x="238125" y="0"/>
                                      </a:lnTo>
                                      <a:close/>
                                    </a:path>
                                  </a:pathLst>
                                </a:custGeom>
                                <a:solidFill>
                                  <a:srgbClr val="B5B5B5"/>
                                </a:solidFill>
                              </wps:spPr>
                              <wps:bodyPr wrap="square" lIns="0" tIns="0" rIns="0" bIns="0" rtlCol="0">
                                <a:prstTxWarp prst="textNoShape">
                                  <a:avLst/>
                                </a:prstTxWarp>
                                <a:noAutofit/>
                              </wps:bodyPr>
                            </wps:wsp>
                            <wps:wsp>
                              <wps:cNvPr id="116" name="Graphic 116"/>
                              <wps:cNvSpPr/>
                              <wps:spPr>
                                <a:xfrm>
                                  <a:off x="209550" y="152399"/>
                                  <a:ext cx="142875" cy="428625"/>
                                </a:xfrm>
                                <a:custGeom>
                                  <a:avLst/>
                                  <a:gdLst/>
                                  <a:ahLst/>
                                  <a:cxnLst/>
                                  <a:rect l="l" t="t" r="r" b="b"/>
                                  <a:pathLst>
                                    <a:path w="142875" h="428625">
                                      <a:moveTo>
                                        <a:pt x="28575" y="304800"/>
                                      </a:moveTo>
                                      <a:lnTo>
                                        <a:pt x="0" y="304800"/>
                                      </a:lnTo>
                                      <a:lnTo>
                                        <a:pt x="0" y="428625"/>
                                      </a:lnTo>
                                      <a:lnTo>
                                        <a:pt x="28575" y="428625"/>
                                      </a:lnTo>
                                      <a:lnTo>
                                        <a:pt x="28575" y="304800"/>
                                      </a:lnTo>
                                      <a:close/>
                                    </a:path>
                                    <a:path w="142875" h="428625">
                                      <a:moveTo>
                                        <a:pt x="57150" y="0"/>
                                      </a:moveTo>
                                      <a:lnTo>
                                        <a:pt x="28575" y="0"/>
                                      </a:lnTo>
                                      <a:lnTo>
                                        <a:pt x="28575" y="123825"/>
                                      </a:lnTo>
                                      <a:lnTo>
                                        <a:pt x="57150" y="123825"/>
                                      </a:lnTo>
                                      <a:lnTo>
                                        <a:pt x="57150" y="0"/>
                                      </a:lnTo>
                                      <a:close/>
                                    </a:path>
                                    <a:path w="142875" h="428625">
                                      <a:moveTo>
                                        <a:pt x="142875" y="152400"/>
                                      </a:moveTo>
                                      <a:lnTo>
                                        <a:pt x="28575" y="152400"/>
                                      </a:lnTo>
                                      <a:lnTo>
                                        <a:pt x="28575" y="276225"/>
                                      </a:lnTo>
                                      <a:lnTo>
                                        <a:pt x="142875" y="276225"/>
                                      </a:lnTo>
                                      <a:lnTo>
                                        <a:pt x="142875" y="152400"/>
                                      </a:lnTo>
                                      <a:close/>
                                    </a:path>
                                  </a:pathLst>
                                </a:custGeom>
                                <a:solidFill>
                                  <a:srgbClr val="6D6D6D"/>
                                </a:solidFill>
                              </wps:spPr>
                              <wps:bodyPr wrap="square" lIns="0" tIns="0" rIns="0" bIns="0" rtlCol="0">
                                <a:prstTxWarp prst="textNoShape">
                                  <a:avLst/>
                                </a:prstTxWarp>
                                <a:noAutofit/>
                              </wps:bodyPr>
                            </wps:wsp>
                          </wpg:wgp>
                        </a:graphicData>
                      </a:graphic>
                    </wp:anchor>
                  </w:drawing>
                </mc:Choice>
                <mc:Fallback>
                  <w:pict>
                    <v:group style="position:absolute;margin-left:-18.65625pt;margin-top:-10.156101pt;width:27.75pt;height:45.75pt;mso-position-horizontal-relative:column;mso-position-vertical-relative:paragraph;z-index:-32778752" id="docshapegroup84" coordorigin="-373,-203" coordsize="555,915">
                      <v:rect style="position:absolute;left:-374;top:-204;width:375;height:195" id="docshape85" filled="true" fillcolor="#b5b5b5" stroked="false">
                        <v:fill type="solid"/>
                      </v:rect>
                      <v:shape style="position:absolute;left:-44;top:36;width:225;height:675" id="docshape86" coordorigin="-43,37" coordsize="225,675" path="m2,517l-43,517,-43,712,2,712,2,517xm47,37l2,37,2,232,47,232,47,37xm182,277l2,277,2,472,182,472,182,277xe" filled="true" fillcolor="#6d6d6d" stroked="false">
                        <v:path arrowok="t"/>
                        <v:fill type="solid"/>
                      </v:shape>
                      <w10:wrap type="none"/>
                    </v:group>
                  </w:pict>
                </mc:Fallback>
              </mc:AlternateContent>
            </w:r>
            <w:r>
              <w:rPr>
                <w:color w:val="585858"/>
                <w:spacing w:val="-5"/>
                <w:sz w:val="16"/>
              </w:rPr>
              <w:t>191</w:t>
            </w:r>
          </w:p>
        </w:tc>
        <w:tc>
          <w:tcPr>
            <w:tcW w:w="922" w:type="dxa"/>
            <w:gridSpan w:val="2"/>
          </w:tcPr>
          <w:p>
            <w:pPr>
              <w:pStyle w:val="TableParagraph"/>
              <w:rPr>
                <w:rFonts w:ascii="Times New Roman"/>
                <w:sz w:val="16"/>
              </w:rPr>
            </w:pPr>
          </w:p>
        </w:tc>
      </w:tr>
      <w:tr>
        <w:trPr>
          <w:trHeight w:val="193" w:hRule="atLeast"/>
        </w:trPr>
        <w:tc>
          <w:tcPr>
            <w:tcW w:w="5385" w:type="dxa"/>
          </w:tcPr>
          <w:p>
            <w:pPr>
              <w:pStyle w:val="TableParagraph"/>
              <w:spacing w:line="171" w:lineRule="exact"/>
              <w:ind w:left="52"/>
              <w:rPr>
                <w:sz w:val="16"/>
              </w:rPr>
            </w:pPr>
            <w:r>
              <w:rPr>
                <w:sz w:val="16"/>
              </w:rPr>
              <w:t>Total</w:t>
            </w:r>
            <w:r>
              <w:rPr>
                <w:spacing w:val="-7"/>
                <w:sz w:val="16"/>
              </w:rPr>
              <w:t> </w:t>
            </w:r>
            <w:r>
              <w:rPr>
                <w:sz w:val="16"/>
              </w:rPr>
              <w:t>revenue</w:t>
            </w:r>
            <w:r>
              <w:rPr>
                <w:spacing w:val="-6"/>
                <w:sz w:val="16"/>
              </w:rPr>
              <w:t> </w:t>
            </w:r>
            <w:r>
              <w:rPr>
                <w:sz w:val="16"/>
              </w:rPr>
              <w:t>on</w:t>
            </w:r>
            <w:r>
              <w:rPr>
                <w:spacing w:val="-7"/>
                <w:sz w:val="16"/>
              </w:rPr>
              <w:t> </w:t>
            </w:r>
            <w:r>
              <w:rPr>
                <w:sz w:val="16"/>
              </w:rPr>
              <w:t>interest</w:t>
            </w:r>
            <w:r>
              <w:rPr>
                <w:spacing w:val="-6"/>
                <w:sz w:val="16"/>
              </w:rPr>
              <w:t> </w:t>
            </w:r>
            <w:r>
              <w:rPr>
                <w:sz w:val="16"/>
              </w:rPr>
              <w:t>earning</w:t>
            </w:r>
            <w:r>
              <w:rPr>
                <w:spacing w:val="-7"/>
                <w:sz w:val="16"/>
              </w:rPr>
              <w:t> </w:t>
            </w:r>
            <w:r>
              <w:rPr>
                <w:sz w:val="16"/>
              </w:rPr>
              <w:t>assets,</w:t>
            </w:r>
            <w:r>
              <w:rPr>
                <w:spacing w:val="-6"/>
                <w:sz w:val="16"/>
              </w:rPr>
              <w:t> </w:t>
            </w:r>
            <w:r>
              <w:rPr>
                <w:spacing w:val="-5"/>
                <w:sz w:val="16"/>
              </w:rPr>
              <w:t>net</w:t>
            </w:r>
          </w:p>
        </w:tc>
        <w:tc>
          <w:tcPr>
            <w:tcW w:w="890" w:type="dxa"/>
            <w:tcBorders>
              <w:top w:val="single" w:sz="8" w:space="0" w:color="000000"/>
              <w:bottom w:val="single" w:sz="8" w:space="0" w:color="000000"/>
            </w:tcBorders>
          </w:tcPr>
          <w:p>
            <w:pPr>
              <w:pStyle w:val="TableParagraph"/>
              <w:spacing w:before="12"/>
              <w:ind w:right="26"/>
              <w:jc w:val="right"/>
              <w:rPr>
                <w:rFonts w:ascii="Arial"/>
                <w:b/>
                <w:sz w:val="16"/>
              </w:rPr>
            </w:pPr>
            <w:r>
              <w:rPr>
                <w:rFonts w:ascii="Arial"/>
                <w:b/>
                <w:sz w:val="16"/>
              </w:rPr>
              <w:t>$</w:t>
            </w:r>
            <w:r>
              <w:rPr>
                <w:rFonts w:ascii="Arial"/>
                <w:b/>
                <w:spacing w:val="63"/>
                <w:sz w:val="16"/>
              </w:rPr>
              <w:t> </w:t>
            </w:r>
            <w:r>
              <w:rPr>
                <w:rFonts w:ascii="Arial"/>
                <w:b/>
                <w:sz w:val="16"/>
              </w:rPr>
              <w:t>3,212</w:t>
            </w:r>
            <w:r>
              <w:rPr>
                <w:rFonts w:ascii="Arial"/>
                <w:b/>
                <w:spacing w:val="74"/>
                <w:sz w:val="16"/>
              </w:rPr>
              <w:t> </w:t>
            </w:r>
            <w:r>
              <w:rPr>
                <w:rFonts w:ascii="Arial"/>
                <w:b/>
                <w:spacing w:val="-10"/>
                <w:sz w:val="16"/>
              </w:rPr>
              <w:t>$</w:t>
            </w:r>
          </w:p>
        </w:tc>
        <w:tc>
          <w:tcPr>
            <w:tcW w:w="550" w:type="dxa"/>
            <w:tcBorders>
              <w:top w:val="single" w:sz="8" w:space="0" w:color="000000"/>
              <w:bottom w:val="single" w:sz="8" w:space="0" w:color="000000"/>
            </w:tcBorders>
          </w:tcPr>
          <w:p>
            <w:pPr>
              <w:pStyle w:val="TableParagraph"/>
              <w:spacing w:before="12"/>
              <w:ind w:left="82"/>
              <w:rPr>
                <w:rFonts w:ascii="Arial"/>
                <w:b/>
                <w:sz w:val="16"/>
              </w:rPr>
            </w:pPr>
            <w:r>
              <w:rPr>
                <w:rFonts w:ascii="Arial"/>
                <w:b/>
                <w:spacing w:val="-2"/>
                <w:sz w:val="16"/>
              </w:rPr>
              <w:t>2,472</w:t>
            </w:r>
          </w:p>
        </w:tc>
        <w:tc>
          <w:tcPr>
            <w:tcW w:w="569" w:type="dxa"/>
          </w:tcPr>
          <w:p>
            <w:pPr>
              <w:pStyle w:val="TableParagraph"/>
              <w:rPr>
                <w:rFonts w:ascii="Times New Roman"/>
                <w:sz w:val="12"/>
              </w:rPr>
            </w:pPr>
          </w:p>
        </w:tc>
        <w:tc>
          <w:tcPr>
            <w:tcW w:w="977" w:type="dxa"/>
            <w:gridSpan w:val="2"/>
          </w:tcPr>
          <w:p>
            <w:pPr>
              <w:pStyle w:val="TableParagraph"/>
              <w:rPr>
                <w:rFonts w:ascii="Times New Roman"/>
                <w:sz w:val="12"/>
              </w:rPr>
            </w:pPr>
          </w:p>
        </w:tc>
        <w:tc>
          <w:tcPr>
            <w:tcW w:w="513" w:type="dxa"/>
          </w:tcPr>
          <w:p>
            <w:pPr>
              <w:pStyle w:val="TableParagraph"/>
              <w:spacing w:line="165" w:lineRule="exact" w:before="9"/>
              <w:ind w:left="238"/>
              <w:rPr>
                <w:sz w:val="16"/>
              </w:rPr>
            </w:pPr>
            <w:r>
              <w:rPr>
                <w:color w:val="585858"/>
                <w:spacing w:val="-5"/>
                <w:sz w:val="16"/>
              </w:rPr>
              <w:t>740</w:t>
            </w:r>
          </w:p>
        </w:tc>
        <w:tc>
          <w:tcPr>
            <w:tcW w:w="922" w:type="dxa"/>
            <w:gridSpan w:val="2"/>
          </w:tcPr>
          <w:p>
            <w:pPr>
              <w:pStyle w:val="TableParagraph"/>
              <w:rPr>
                <w:rFonts w:ascii="Times New Roman"/>
                <w:sz w:val="12"/>
              </w:rPr>
            </w:pPr>
          </w:p>
        </w:tc>
      </w:tr>
      <w:tr>
        <w:trPr>
          <w:trHeight w:val="238" w:hRule="atLeast"/>
        </w:trPr>
        <w:tc>
          <w:tcPr>
            <w:tcW w:w="5385" w:type="dxa"/>
          </w:tcPr>
          <w:p>
            <w:pPr>
              <w:pStyle w:val="TableParagraph"/>
              <w:spacing w:before="12"/>
              <w:ind w:left="172"/>
              <w:rPr>
                <w:sz w:val="16"/>
              </w:rPr>
            </w:pPr>
            <w:r>
              <w:rPr>
                <w:sz w:val="16"/>
              </w:rPr>
              <w:t>Provision</w:t>
            </w:r>
            <w:r>
              <w:rPr>
                <w:spacing w:val="-4"/>
                <w:sz w:val="16"/>
              </w:rPr>
              <w:t> </w:t>
            </w:r>
            <w:r>
              <w:rPr>
                <w:sz w:val="16"/>
              </w:rPr>
              <w:t>for</w:t>
            </w:r>
            <w:r>
              <w:rPr>
                <w:spacing w:val="-3"/>
                <w:sz w:val="16"/>
              </w:rPr>
              <w:t> </w:t>
            </w:r>
            <w:r>
              <w:rPr>
                <w:sz w:val="16"/>
              </w:rPr>
              <w:t>losses</w:t>
            </w:r>
            <w:r>
              <w:rPr>
                <w:spacing w:val="-3"/>
                <w:sz w:val="16"/>
              </w:rPr>
              <w:t> </w:t>
            </w:r>
            <w:r>
              <w:rPr>
                <w:sz w:val="16"/>
              </w:rPr>
              <w:t>on</w:t>
            </w:r>
            <w:r>
              <w:rPr>
                <w:spacing w:val="-4"/>
                <w:sz w:val="16"/>
              </w:rPr>
              <w:t> </w:t>
            </w:r>
            <w:r>
              <w:rPr>
                <w:sz w:val="16"/>
              </w:rPr>
              <w:t>loans</w:t>
            </w:r>
            <w:r>
              <w:rPr>
                <w:spacing w:val="-3"/>
                <w:sz w:val="16"/>
              </w:rPr>
              <w:t> </w:t>
            </w:r>
            <w:r>
              <w:rPr>
                <w:sz w:val="16"/>
              </w:rPr>
              <w:t>and</w:t>
            </w:r>
            <w:r>
              <w:rPr>
                <w:spacing w:val="-4"/>
                <w:sz w:val="16"/>
              </w:rPr>
              <w:t> </w:t>
            </w:r>
            <w:r>
              <w:rPr>
                <w:sz w:val="16"/>
              </w:rPr>
              <w:t>other</w:t>
            </w:r>
            <w:r>
              <w:rPr>
                <w:spacing w:val="-3"/>
                <w:sz w:val="16"/>
              </w:rPr>
              <w:t> </w:t>
            </w:r>
            <w:r>
              <w:rPr>
                <w:sz w:val="16"/>
              </w:rPr>
              <w:t>exposures</w:t>
            </w:r>
            <w:r>
              <w:rPr>
                <w:spacing w:val="-4"/>
                <w:sz w:val="16"/>
              </w:rPr>
              <w:t> </w:t>
            </w:r>
            <w:r>
              <w:rPr>
                <w:spacing w:val="-10"/>
                <w:sz w:val="16"/>
                <w:vertAlign w:val="superscript"/>
              </w:rPr>
              <w:t>b</w:t>
            </w:r>
          </w:p>
        </w:tc>
        <w:tc>
          <w:tcPr>
            <w:tcW w:w="890" w:type="dxa"/>
            <w:tcBorders>
              <w:top w:val="single" w:sz="8" w:space="0" w:color="000000"/>
            </w:tcBorders>
          </w:tcPr>
          <w:p>
            <w:pPr>
              <w:pStyle w:val="TableParagraph"/>
              <w:spacing w:before="12"/>
              <w:ind w:left="332"/>
              <w:rPr>
                <w:sz w:val="16"/>
              </w:rPr>
            </w:pPr>
            <w:r>
              <w:rPr>
                <w:spacing w:val="-2"/>
                <w:sz w:val="16"/>
              </w:rPr>
              <w:t>(683)</w:t>
            </w:r>
          </w:p>
        </w:tc>
        <w:tc>
          <w:tcPr>
            <w:tcW w:w="550" w:type="dxa"/>
            <w:tcBorders>
              <w:top w:val="single" w:sz="8" w:space="0" w:color="000000"/>
            </w:tcBorders>
          </w:tcPr>
          <w:p>
            <w:pPr>
              <w:pStyle w:val="TableParagraph"/>
              <w:spacing w:before="12"/>
              <w:ind w:right="12"/>
              <w:jc w:val="right"/>
              <w:rPr>
                <w:sz w:val="16"/>
              </w:rPr>
            </w:pPr>
            <w:r>
              <w:rPr>
                <w:spacing w:val="-2"/>
                <w:sz w:val="16"/>
              </w:rPr>
              <w:t>(562)</w:t>
            </w:r>
          </w:p>
        </w:tc>
        <w:tc>
          <w:tcPr>
            <w:tcW w:w="569" w:type="dxa"/>
          </w:tcPr>
          <w:p>
            <w:pPr>
              <w:pStyle w:val="TableParagraph"/>
              <w:rPr>
                <w:rFonts w:ascii="Times New Roman"/>
                <w:sz w:val="16"/>
              </w:rPr>
            </w:pPr>
          </w:p>
        </w:tc>
        <w:tc>
          <w:tcPr>
            <w:tcW w:w="977" w:type="dxa"/>
            <w:gridSpan w:val="2"/>
          </w:tcPr>
          <w:p>
            <w:pPr>
              <w:pStyle w:val="TableParagraph"/>
              <w:spacing w:line="183" w:lineRule="exact" w:before="35"/>
              <w:ind w:left="481"/>
              <w:rPr>
                <w:sz w:val="16"/>
              </w:rPr>
            </w:pPr>
            <w:r>
              <w:rPr>
                <w:color w:val="585858"/>
                <w:spacing w:val="-2"/>
                <w:sz w:val="16"/>
              </w:rPr>
              <w:t>(121)</w:t>
            </w:r>
          </w:p>
        </w:tc>
        <w:tc>
          <w:tcPr>
            <w:tcW w:w="513" w:type="dxa"/>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40" w:hRule="atLeast"/>
        </w:trPr>
        <w:tc>
          <w:tcPr>
            <w:tcW w:w="5385" w:type="dxa"/>
          </w:tcPr>
          <w:p>
            <w:pPr>
              <w:pStyle w:val="TableParagraph"/>
              <w:spacing w:before="14"/>
              <w:ind w:left="187"/>
              <w:rPr>
                <w:sz w:val="16"/>
              </w:rPr>
            </w:pPr>
            <w:r>
              <w:rPr>
                <w:sz w:val="16"/>
              </w:rPr>
              <w:t>Net</w:t>
            </w:r>
            <w:r>
              <w:rPr>
                <w:spacing w:val="-10"/>
                <w:sz w:val="16"/>
              </w:rPr>
              <w:t> </w:t>
            </w:r>
            <w:r>
              <w:rPr>
                <w:sz w:val="16"/>
              </w:rPr>
              <w:t>non-interest</w:t>
            </w:r>
            <w:r>
              <w:rPr>
                <w:spacing w:val="-9"/>
                <w:sz w:val="16"/>
              </w:rPr>
              <w:t> </w:t>
            </w:r>
            <w:r>
              <w:rPr>
                <w:sz w:val="16"/>
              </w:rPr>
              <w:t>expenses</w:t>
            </w:r>
            <w:r>
              <w:rPr>
                <w:spacing w:val="-9"/>
                <w:sz w:val="16"/>
              </w:rPr>
              <w:t> </w:t>
            </w:r>
            <w:r>
              <w:rPr>
                <w:sz w:val="16"/>
              </w:rPr>
              <w:t>(Table</w:t>
            </w:r>
            <w:r>
              <w:rPr>
                <w:spacing w:val="-10"/>
                <w:sz w:val="16"/>
              </w:rPr>
              <w:t> </w:t>
            </w:r>
            <w:r>
              <w:rPr>
                <w:spacing w:val="-5"/>
                <w:sz w:val="16"/>
              </w:rPr>
              <w:t>4)</w:t>
            </w:r>
          </w:p>
        </w:tc>
        <w:tc>
          <w:tcPr>
            <w:tcW w:w="890" w:type="dxa"/>
          </w:tcPr>
          <w:p>
            <w:pPr>
              <w:pStyle w:val="TableParagraph"/>
              <w:spacing w:before="14"/>
              <w:ind w:left="198"/>
              <w:rPr>
                <w:sz w:val="16"/>
              </w:rPr>
            </w:pPr>
            <w:r>
              <w:rPr>
                <w:spacing w:val="-2"/>
                <w:sz w:val="16"/>
              </w:rPr>
              <w:t>(1,459)</w:t>
            </w:r>
          </w:p>
        </w:tc>
        <w:tc>
          <w:tcPr>
            <w:tcW w:w="550" w:type="dxa"/>
          </w:tcPr>
          <w:p>
            <w:pPr>
              <w:pStyle w:val="TableParagraph"/>
              <w:spacing w:before="14"/>
              <w:ind w:right="12"/>
              <w:jc w:val="right"/>
              <w:rPr>
                <w:sz w:val="16"/>
              </w:rPr>
            </w:pPr>
            <w:r>
              <w:rPr>
                <w:spacing w:val="-2"/>
                <w:sz w:val="16"/>
              </w:rPr>
              <w:t>(1,455)</w:t>
            </w:r>
          </w:p>
        </w:tc>
        <w:tc>
          <w:tcPr>
            <w:tcW w:w="569" w:type="dxa"/>
          </w:tcPr>
          <w:p>
            <w:pPr>
              <w:pStyle w:val="TableParagraph"/>
              <w:rPr>
                <w:rFonts w:ascii="Times New Roman"/>
                <w:sz w:val="16"/>
              </w:rPr>
            </w:pPr>
          </w:p>
        </w:tc>
        <w:tc>
          <w:tcPr>
            <w:tcW w:w="977" w:type="dxa"/>
            <w:gridSpan w:val="2"/>
            <w:tcBorders>
              <w:right w:val="single" w:sz="6" w:space="0" w:color="6D6D6D"/>
            </w:tcBorders>
          </w:tcPr>
          <w:p>
            <w:pPr>
              <w:pStyle w:val="TableParagraph"/>
              <w:spacing w:line="183" w:lineRule="exact" w:before="36"/>
              <w:ind w:right="95"/>
              <w:jc w:val="right"/>
              <w:rPr>
                <w:sz w:val="16"/>
              </w:rPr>
            </w:pPr>
            <w:r>
              <w:rPr>
                <w:color w:val="585858"/>
                <w:spacing w:val="-5"/>
                <w:sz w:val="16"/>
              </w:rPr>
              <w:t>(4)</w:t>
            </w:r>
          </w:p>
        </w:tc>
        <w:tc>
          <w:tcPr>
            <w:tcW w:w="513" w:type="dxa"/>
            <w:tcBorders>
              <w:left w:val="single" w:sz="6" w:space="0" w:color="6D6D6D"/>
            </w:tcBorders>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40" w:hRule="atLeast"/>
        </w:trPr>
        <w:tc>
          <w:tcPr>
            <w:tcW w:w="5385" w:type="dxa"/>
          </w:tcPr>
          <w:p>
            <w:pPr>
              <w:pStyle w:val="TableParagraph"/>
              <w:spacing w:before="14"/>
              <w:ind w:left="172"/>
              <w:rPr>
                <w:sz w:val="16"/>
              </w:rPr>
            </w:pPr>
            <w:r>
              <w:rPr>
                <w:sz w:val="16"/>
              </w:rPr>
              <w:t>Net</w:t>
            </w:r>
            <w:r>
              <w:rPr>
                <w:spacing w:val="-5"/>
                <w:sz w:val="16"/>
              </w:rPr>
              <w:t> </w:t>
            </w:r>
            <w:r>
              <w:rPr>
                <w:sz w:val="16"/>
              </w:rPr>
              <w:t>pension</w:t>
            </w:r>
            <w:r>
              <w:rPr>
                <w:spacing w:val="-6"/>
                <w:sz w:val="16"/>
              </w:rPr>
              <w:t> </w:t>
            </w:r>
            <w:r>
              <w:rPr>
                <w:sz w:val="16"/>
              </w:rPr>
              <w:t>cost,</w:t>
            </w:r>
            <w:r>
              <w:rPr>
                <w:spacing w:val="-5"/>
                <w:sz w:val="16"/>
              </w:rPr>
              <w:t> </w:t>
            </w:r>
            <w:r>
              <w:rPr>
                <w:sz w:val="16"/>
              </w:rPr>
              <w:t>other</w:t>
            </w:r>
            <w:r>
              <w:rPr>
                <w:spacing w:val="-5"/>
                <w:sz w:val="16"/>
              </w:rPr>
              <w:t> </w:t>
            </w:r>
            <w:r>
              <w:rPr>
                <w:sz w:val="16"/>
              </w:rPr>
              <w:t>than</w:t>
            </w:r>
            <w:r>
              <w:rPr>
                <w:spacing w:val="-6"/>
                <w:sz w:val="16"/>
              </w:rPr>
              <w:t> </w:t>
            </w:r>
            <w:r>
              <w:rPr>
                <w:sz w:val="16"/>
              </w:rPr>
              <w:t>service</w:t>
            </w:r>
            <w:r>
              <w:rPr>
                <w:spacing w:val="-6"/>
                <w:sz w:val="16"/>
              </w:rPr>
              <w:t> </w:t>
            </w:r>
            <w:r>
              <w:rPr>
                <w:sz w:val="16"/>
              </w:rPr>
              <w:t>cost</w:t>
            </w:r>
            <w:r>
              <w:rPr>
                <w:spacing w:val="-5"/>
                <w:sz w:val="16"/>
              </w:rPr>
              <w:t> </w:t>
            </w:r>
            <w:r>
              <w:rPr>
                <w:sz w:val="16"/>
              </w:rPr>
              <w:t>(Table</w:t>
            </w:r>
            <w:r>
              <w:rPr>
                <w:spacing w:val="-5"/>
                <w:sz w:val="16"/>
              </w:rPr>
              <w:t> 4)</w:t>
            </w:r>
          </w:p>
        </w:tc>
        <w:tc>
          <w:tcPr>
            <w:tcW w:w="890" w:type="dxa"/>
          </w:tcPr>
          <w:p>
            <w:pPr>
              <w:pStyle w:val="TableParagraph"/>
              <w:spacing w:before="14"/>
              <w:ind w:left="385"/>
              <w:rPr>
                <w:sz w:val="16"/>
              </w:rPr>
            </w:pPr>
            <w:r>
              <w:rPr>
                <w:spacing w:val="-5"/>
                <w:sz w:val="16"/>
              </w:rPr>
              <w:t>205</w:t>
            </w:r>
          </w:p>
        </w:tc>
        <w:tc>
          <w:tcPr>
            <w:tcW w:w="550" w:type="dxa"/>
          </w:tcPr>
          <w:p>
            <w:pPr>
              <w:pStyle w:val="TableParagraph"/>
              <w:spacing w:before="14"/>
              <w:ind w:left="215"/>
              <w:rPr>
                <w:sz w:val="16"/>
              </w:rPr>
            </w:pPr>
            <w:r>
              <w:rPr>
                <w:spacing w:val="-5"/>
                <w:sz w:val="16"/>
              </w:rPr>
              <w:t>280</w:t>
            </w:r>
          </w:p>
        </w:tc>
        <w:tc>
          <w:tcPr>
            <w:tcW w:w="569" w:type="dxa"/>
          </w:tcPr>
          <w:p>
            <w:pPr>
              <w:pStyle w:val="TableParagraph"/>
              <w:rPr>
                <w:rFonts w:ascii="Times New Roman"/>
                <w:sz w:val="16"/>
              </w:rPr>
            </w:pPr>
          </w:p>
        </w:tc>
        <w:tc>
          <w:tcPr>
            <w:tcW w:w="977" w:type="dxa"/>
            <w:gridSpan w:val="2"/>
            <w:tcBorders>
              <w:right w:val="single" w:sz="12" w:space="0" w:color="B5B5B5"/>
            </w:tcBorders>
          </w:tcPr>
          <w:p>
            <w:pPr>
              <w:pStyle w:val="TableParagraph"/>
              <w:spacing w:line="183" w:lineRule="exact" w:before="36"/>
              <w:ind w:left="586"/>
              <w:rPr>
                <w:sz w:val="16"/>
              </w:rPr>
            </w:pPr>
            <w:r>
              <w:rPr>
                <w:color w:val="585858"/>
                <w:spacing w:val="-4"/>
                <w:sz w:val="16"/>
              </w:rPr>
              <w:t>(75)</w:t>
            </w:r>
          </w:p>
        </w:tc>
        <w:tc>
          <w:tcPr>
            <w:tcW w:w="513" w:type="dxa"/>
            <w:tcBorders>
              <w:left w:val="single" w:sz="12" w:space="0" w:color="B5B5B5"/>
            </w:tcBorders>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40" w:hRule="atLeast"/>
        </w:trPr>
        <w:tc>
          <w:tcPr>
            <w:tcW w:w="5385" w:type="dxa"/>
          </w:tcPr>
          <w:p>
            <w:pPr>
              <w:pStyle w:val="TableParagraph"/>
              <w:spacing w:before="14"/>
              <w:ind w:left="187"/>
              <w:rPr>
                <w:sz w:val="16"/>
              </w:rPr>
            </w:pPr>
            <w:r>
              <w:rPr>
                <w:sz w:val="16"/>
              </w:rPr>
              <w:t>Net</w:t>
            </w:r>
            <w:r>
              <w:rPr>
                <w:spacing w:val="-8"/>
                <w:sz w:val="16"/>
              </w:rPr>
              <w:t> </w:t>
            </w:r>
            <w:r>
              <w:rPr>
                <w:sz w:val="16"/>
              </w:rPr>
              <w:t>other</w:t>
            </w:r>
            <w:r>
              <w:rPr>
                <w:spacing w:val="-8"/>
                <w:sz w:val="16"/>
              </w:rPr>
              <w:t> </w:t>
            </w:r>
            <w:r>
              <w:rPr>
                <w:sz w:val="16"/>
              </w:rPr>
              <w:t>revenue</w:t>
            </w:r>
            <w:r>
              <w:rPr>
                <w:spacing w:val="-9"/>
                <w:sz w:val="16"/>
              </w:rPr>
              <w:t> </w:t>
            </w:r>
            <w:r>
              <w:rPr>
                <w:sz w:val="16"/>
              </w:rPr>
              <w:t>(Table</w:t>
            </w:r>
            <w:r>
              <w:rPr>
                <w:spacing w:val="-8"/>
                <w:sz w:val="16"/>
              </w:rPr>
              <w:t> </w:t>
            </w:r>
            <w:r>
              <w:rPr>
                <w:spacing w:val="-5"/>
                <w:sz w:val="16"/>
              </w:rPr>
              <w:t>3)</w:t>
            </w:r>
          </w:p>
        </w:tc>
        <w:tc>
          <w:tcPr>
            <w:tcW w:w="890" w:type="dxa"/>
          </w:tcPr>
          <w:p>
            <w:pPr>
              <w:pStyle w:val="TableParagraph"/>
              <w:spacing w:before="14"/>
              <w:ind w:left="385"/>
              <w:rPr>
                <w:sz w:val="16"/>
              </w:rPr>
            </w:pPr>
            <w:r>
              <w:rPr>
                <w:spacing w:val="-5"/>
                <w:sz w:val="16"/>
              </w:rPr>
              <w:t>218</w:t>
            </w:r>
          </w:p>
        </w:tc>
        <w:tc>
          <w:tcPr>
            <w:tcW w:w="550" w:type="dxa"/>
          </w:tcPr>
          <w:p>
            <w:pPr>
              <w:pStyle w:val="TableParagraph"/>
              <w:spacing w:before="14"/>
              <w:ind w:left="215"/>
              <w:rPr>
                <w:sz w:val="16"/>
              </w:rPr>
            </w:pPr>
            <w:r>
              <w:rPr>
                <w:spacing w:val="-5"/>
                <w:sz w:val="16"/>
              </w:rPr>
              <w:t>103</w:t>
            </w:r>
          </w:p>
        </w:tc>
        <w:tc>
          <w:tcPr>
            <w:tcW w:w="569" w:type="dxa"/>
          </w:tcPr>
          <w:p>
            <w:pPr>
              <w:pStyle w:val="TableParagraph"/>
              <w:rPr>
                <w:rFonts w:ascii="Times New Roman"/>
                <w:sz w:val="16"/>
              </w:rPr>
            </w:pPr>
          </w:p>
        </w:tc>
        <w:tc>
          <w:tcPr>
            <w:tcW w:w="977" w:type="dxa"/>
            <w:gridSpan w:val="2"/>
            <w:tcBorders>
              <w:right w:val="single" w:sz="6" w:space="0" w:color="6D6D6D"/>
            </w:tcBorders>
          </w:tcPr>
          <w:p>
            <w:pPr>
              <w:pStyle w:val="TableParagraph"/>
              <w:rPr>
                <w:rFonts w:ascii="Times New Roman"/>
                <w:sz w:val="16"/>
              </w:rPr>
            </w:pPr>
          </w:p>
        </w:tc>
        <w:tc>
          <w:tcPr>
            <w:tcW w:w="513" w:type="dxa"/>
            <w:tcBorders>
              <w:left w:val="single" w:sz="6" w:space="0" w:color="6D6D6D"/>
            </w:tcBorders>
          </w:tcPr>
          <w:p>
            <w:pPr>
              <w:pStyle w:val="TableParagraph"/>
              <w:spacing w:line="183" w:lineRule="exact" w:before="36"/>
              <w:ind w:left="66"/>
              <w:rPr>
                <w:sz w:val="16"/>
              </w:rPr>
            </w:pPr>
            <w:r>
              <w:rPr>
                <w:color w:val="585858"/>
                <w:spacing w:val="-5"/>
                <w:sz w:val="16"/>
              </w:rPr>
              <w:t>115</w:t>
            </w:r>
          </w:p>
        </w:tc>
        <w:tc>
          <w:tcPr>
            <w:tcW w:w="922" w:type="dxa"/>
            <w:gridSpan w:val="2"/>
          </w:tcPr>
          <w:p>
            <w:pPr>
              <w:pStyle w:val="TableParagraph"/>
              <w:rPr>
                <w:rFonts w:ascii="Times New Roman"/>
                <w:sz w:val="16"/>
              </w:rPr>
            </w:pPr>
          </w:p>
        </w:tc>
      </w:tr>
      <w:tr>
        <w:trPr>
          <w:trHeight w:val="240" w:hRule="atLeast"/>
        </w:trPr>
        <w:tc>
          <w:tcPr>
            <w:tcW w:w="5385" w:type="dxa"/>
          </w:tcPr>
          <w:p>
            <w:pPr>
              <w:pStyle w:val="TableParagraph"/>
              <w:spacing w:before="14"/>
              <w:ind w:left="172"/>
              <w:rPr>
                <w:sz w:val="16"/>
              </w:rPr>
            </w:pPr>
            <w:r>
              <w:rPr>
                <w:sz w:val="16"/>
              </w:rPr>
              <w:t>Board</w:t>
            </w:r>
            <w:r>
              <w:rPr>
                <w:spacing w:val="-5"/>
                <w:sz w:val="16"/>
              </w:rPr>
              <w:t> </w:t>
            </w:r>
            <w:r>
              <w:rPr>
                <w:sz w:val="16"/>
              </w:rPr>
              <w:t>of</w:t>
            </w:r>
            <w:r>
              <w:rPr>
                <w:spacing w:val="-3"/>
                <w:sz w:val="16"/>
              </w:rPr>
              <w:t> </w:t>
            </w:r>
            <w:r>
              <w:rPr>
                <w:sz w:val="16"/>
              </w:rPr>
              <w:t>Governors-approved</w:t>
            </w:r>
            <w:r>
              <w:rPr>
                <w:spacing w:val="-5"/>
                <w:sz w:val="16"/>
              </w:rPr>
              <w:t> </w:t>
            </w:r>
            <w:r>
              <w:rPr>
                <w:sz w:val="16"/>
              </w:rPr>
              <w:t>and</w:t>
            </w:r>
            <w:r>
              <w:rPr>
                <w:spacing w:val="-4"/>
                <w:sz w:val="16"/>
              </w:rPr>
              <w:t> </w:t>
            </w:r>
            <w:r>
              <w:rPr>
                <w:sz w:val="16"/>
              </w:rPr>
              <w:t>other</w:t>
            </w:r>
            <w:r>
              <w:rPr>
                <w:spacing w:val="-3"/>
                <w:sz w:val="16"/>
              </w:rPr>
              <w:t> </w:t>
            </w:r>
            <w:r>
              <w:rPr>
                <w:spacing w:val="-2"/>
                <w:sz w:val="16"/>
              </w:rPr>
              <w:t>transfers</w:t>
            </w:r>
          </w:p>
        </w:tc>
        <w:tc>
          <w:tcPr>
            <w:tcW w:w="890" w:type="dxa"/>
          </w:tcPr>
          <w:p>
            <w:pPr>
              <w:pStyle w:val="TableParagraph"/>
              <w:spacing w:before="14"/>
              <w:ind w:left="332"/>
              <w:rPr>
                <w:sz w:val="16"/>
              </w:rPr>
            </w:pPr>
            <w:r>
              <w:rPr>
                <w:spacing w:val="-2"/>
                <w:sz w:val="16"/>
              </w:rPr>
              <w:t>(221)</w:t>
            </w:r>
          </w:p>
        </w:tc>
        <w:tc>
          <w:tcPr>
            <w:tcW w:w="550" w:type="dxa"/>
          </w:tcPr>
          <w:p>
            <w:pPr>
              <w:pStyle w:val="TableParagraph"/>
              <w:spacing w:before="14"/>
              <w:ind w:right="12"/>
              <w:jc w:val="right"/>
              <w:rPr>
                <w:sz w:val="16"/>
              </w:rPr>
            </w:pPr>
            <w:r>
              <w:rPr>
                <w:spacing w:val="-2"/>
                <w:sz w:val="16"/>
              </w:rPr>
              <w:t>(354)</w:t>
            </w:r>
          </w:p>
        </w:tc>
        <w:tc>
          <w:tcPr>
            <w:tcW w:w="569" w:type="dxa"/>
          </w:tcPr>
          <w:p>
            <w:pPr>
              <w:pStyle w:val="TableParagraph"/>
              <w:rPr>
                <w:rFonts w:ascii="Times New Roman"/>
                <w:sz w:val="16"/>
              </w:rPr>
            </w:pPr>
          </w:p>
        </w:tc>
        <w:tc>
          <w:tcPr>
            <w:tcW w:w="977" w:type="dxa"/>
            <w:gridSpan w:val="2"/>
            <w:tcBorders>
              <w:right w:val="single" w:sz="12" w:space="0" w:color="6D6D6D"/>
            </w:tcBorders>
          </w:tcPr>
          <w:p>
            <w:pPr>
              <w:pStyle w:val="TableParagraph"/>
              <w:rPr>
                <w:rFonts w:ascii="Times New Roman"/>
                <w:sz w:val="16"/>
              </w:rPr>
            </w:pPr>
          </w:p>
        </w:tc>
        <w:tc>
          <w:tcPr>
            <w:tcW w:w="513" w:type="dxa"/>
            <w:tcBorders>
              <w:left w:val="single" w:sz="12" w:space="0" w:color="6D6D6D"/>
            </w:tcBorders>
          </w:tcPr>
          <w:p>
            <w:pPr>
              <w:pStyle w:val="TableParagraph"/>
              <w:spacing w:line="183" w:lineRule="exact" w:before="36"/>
              <w:ind w:left="73"/>
              <w:rPr>
                <w:sz w:val="16"/>
              </w:rPr>
            </w:pPr>
            <w:r>
              <w:rPr>
                <w:color w:val="585858"/>
                <w:spacing w:val="-5"/>
                <w:sz w:val="16"/>
              </w:rPr>
              <w:t>133</w:t>
            </w:r>
          </w:p>
        </w:tc>
        <w:tc>
          <w:tcPr>
            <w:tcW w:w="922" w:type="dxa"/>
            <w:gridSpan w:val="2"/>
          </w:tcPr>
          <w:p>
            <w:pPr>
              <w:pStyle w:val="TableParagraph"/>
              <w:rPr>
                <w:rFonts w:ascii="Times New Roman"/>
                <w:sz w:val="16"/>
              </w:rPr>
            </w:pPr>
          </w:p>
        </w:tc>
      </w:tr>
      <w:tr>
        <w:trPr>
          <w:trHeight w:val="229" w:hRule="atLeast"/>
        </w:trPr>
        <w:tc>
          <w:tcPr>
            <w:tcW w:w="5385" w:type="dxa"/>
          </w:tcPr>
          <w:p>
            <w:pPr>
              <w:pStyle w:val="TableParagraph"/>
              <w:spacing w:before="14"/>
              <w:ind w:left="172"/>
              <w:rPr>
                <w:sz w:val="16"/>
              </w:rPr>
            </w:pPr>
            <w:r>
              <w:rPr>
                <w:sz w:val="16"/>
              </w:rPr>
              <w:t>Non-functional</w:t>
            </w:r>
            <w:r>
              <w:rPr>
                <w:spacing w:val="-6"/>
                <w:sz w:val="16"/>
              </w:rPr>
              <w:t> </w:t>
            </w:r>
            <w:r>
              <w:rPr>
                <w:sz w:val="16"/>
              </w:rPr>
              <w:t>currency</w:t>
            </w:r>
            <w:r>
              <w:rPr>
                <w:spacing w:val="-6"/>
                <w:sz w:val="16"/>
              </w:rPr>
              <w:t> </w:t>
            </w:r>
            <w:r>
              <w:rPr>
                <w:sz w:val="16"/>
              </w:rPr>
              <w:t>translation</w:t>
            </w:r>
            <w:r>
              <w:rPr>
                <w:spacing w:val="-6"/>
                <w:sz w:val="16"/>
              </w:rPr>
              <w:t> </w:t>
            </w:r>
            <w:r>
              <w:rPr>
                <w:sz w:val="16"/>
              </w:rPr>
              <w:t>adjustments</w:t>
            </w:r>
            <w:r>
              <w:rPr>
                <w:spacing w:val="-6"/>
                <w:sz w:val="16"/>
              </w:rPr>
              <w:t> </w:t>
            </w:r>
            <w:r>
              <w:rPr>
                <w:sz w:val="16"/>
              </w:rPr>
              <w:t>gains,</w:t>
            </w:r>
            <w:r>
              <w:rPr>
                <w:spacing w:val="-5"/>
                <w:sz w:val="16"/>
              </w:rPr>
              <w:t> net</w:t>
            </w:r>
          </w:p>
        </w:tc>
        <w:tc>
          <w:tcPr>
            <w:tcW w:w="890" w:type="dxa"/>
          </w:tcPr>
          <w:p>
            <w:pPr>
              <w:pStyle w:val="TableParagraph"/>
              <w:spacing w:before="14"/>
              <w:ind w:left="474"/>
              <w:rPr>
                <w:sz w:val="16"/>
              </w:rPr>
            </w:pPr>
            <w:r>
              <w:rPr>
                <w:spacing w:val="-5"/>
                <w:sz w:val="16"/>
              </w:rPr>
              <w:t>39</w:t>
            </w:r>
          </w:p>
        </w:tc>
        <w:tc>
          <w:tcPr>
            <w:tcW w:w="550" w:type="dxa"/>
          </w:tcPr>
          <w:p>
            <w:pPr>
              <w:pStyle w:val="TableParagraph"/>
              <w:spacing w:before="14"/>
              <w:ind w:left="215"/>
              <w:rPr>
                <w:sz w:val="16"/>
              </w:rPr>
            </w:pPr>
            <w:r>
              <w:rPr>
                <w:spacing w:val="-5"/>
                <w:sz w:val="16"/>
              </w:rPr>
              <w:t>150</w:t>
            </w:r>
          </w:p>
        </w:tc>
        <w:tc>
          <w:tcPr>
            <w:tcW w:w="569" w:type="dxa"/>
          </w:tcPr>
          <w:p>
            <w:pPr>
              <w:pStyle w:val="TableParagraph"/>
              <w:rPr>
                <w:rFonts w:ascii="Times New Roman"/>
                <w:sz w:val="16"/>
              </w:rPr>
            </w:pPr>
          </w:p>
        </w:tc>
        <w:tc>
          <w:tcPr>
            <w:tcW w:w="977" w:type="dxa"/>
            <w:gridSpan w:val="2"/>
          </w:tcPr>
          <w:p>
            <w:pPr>
              <w:pStyle w:val="TableParagraph"/>
              <w:spacing w:line="172" w:lineRule="exact" w:before="36"/>
              <w:ind w:left="511"/>
              <w:rPr>
                <w:sz w:val="16"/>
              </w:rPr>
            </w:pPr>
            <w:r>
              <w:rPr>
                <w:sz w:val="16"/>
              </w:rPr>
              <mc:AlternateContent>
                <mc:Choice Requires="wps">
                  <w:drawing>
                    <wp:anchor distT="0" distB="0" distL="0" distR="0" allowOverlap="1" layoutInCell="1" locked="0" behindDoc="1" simplePos="0" relativeHeight="470538240">
                      <wp:simplePos x="0" y="0"/>
                      <wp:positionH relativeFrom="column">
                        <wp:posOffset>39090</wp:posOffset>
                      </wp:positionH>
                      <wp:positionV relativeFrom="paragraph">
                        <wp:posOffset>10717</wp:posOffset>
                      </wp:positionV>
                      <wp:extent cx="581025" cy="42862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581025" cy="428625"/>
                                <a:chExt cx="581025" cy="428625"/>
                              </a:xfrm>
                            </wpg:grpSpPr>
                            <wps:wsp>
                              <wps:cNvPr id="118" name="Graphic 118"/>
                              <wps:cNvSpPr/>
                              <wps:spPr>
                                <a:xfrm>
                                  <a:off x="0" y="0"/>
                                  <a:ext cx="581025" cy="428625"/>
                                </a:xfrm>
                                <a:custGeom>
                                  <a:avLst/>
                                  <a:gdLst/>
                                  <a:ahLst/>
                                  <a:cxnLst/>
                                  <a:rect l="l" t="t" r="r" b="b"/>
                                  <a:pathLst>
                                    <a:path w="581025" h="428625">
                                      <a:moveTo>
                                        <a:pt x="581025" y="304800"/>
                                      </a:moveTo>
                                      <a:lnTo>
                                        <a:pt x="104775" y="304800"/>
                                      </a:lnTo>
                                      <a:lnTo>
                                        <a:pt x="104775" y="428625"/>
                                      </a:lnTo>
                                      <a:lnTo>
                                        <a:pt x="581025" y="428625"/>
                                      </a:lnTo>
                                      <a:lnTo>
                                        <a:pt x="581025" y="304800"/>
                                      </a:lnTo>
                                      <a:close/>
                                    </a:path>
                                    <a:path w="581025" h="428625">
                                      <a:moveTo>
                                        <a:pt x="581025" y="152400"/>
                                      </a:moveTo>
                                      <a:lnTo>
                                        <a:pt x="0" y="152400"/>
                                      </a:lnTo>
                                      <a:lnTo>
                                        <a:pt x="0" y="276225"/>
                                      </a:lnTo>
                                      <a:lnTo>
                                        <a:pt x="581025" y="276225"/>
                                      </a:lnTo>
                                      <a:lnTo>
                                        <a:pt x="581025" y="152400"/>
                                      </a:lnTo>
                                      <a:close/>
                                    </a:path>
                                    <a:path w="581025" h="428625">
                                      <a:moveTo>
                                        <a:pt x="581025" y="0"/>
                                      </a:moveTo>
                                      <a:lnTo>
                                        <a:pt x="561975" y="0"/>
                                      </a:lnTo>
                                      <a:lnTo>
                                        <a:pt x="561975" y="123825"/>
                                      </a:lnTo>
                                      <a:lnTo>
                                        <a:pt x="581025" y="123825"/>
                                      </a:lnTo>
                                      <a:lnTo>
                                        <a:pt x="581025" y="0"/>
                                      </a:lnTo>
                                      <a:close/>
                                    </a:path>
                                  </a:pathLst>
                                </a:custGeom>
                                <a:solidFill>
                                  <a:srgbClr val="B5B5B5"/>
                                </a:solidFill>
                              </wps:spPr>
                              <wps:bodyPr wrap="square" lIns="0" tIns="0" rIns="0" bIns="0" rtlCol="0">
                                <a:prstTxWarp prst="textNoShape">
                                  <a:avLst/>
                                </a:prstTxWarp>
                                <a:noAutofit/>
                              </wps:bodyPr>
                            </wps:wsp>
                          </wpg:wgp>
                        </a:graphicData>
                      </a:graphic>
                    </wp:anchor>
                  </w:drawing>
                </mc:Choice>
                <mc:Fallback>
                  <w:pict>
                    <v:group style="position:absolute;margin-left:3.077968pt;margin-top:.843899pt;width:45.75pt;height:33.75pt;mso-position-horizontal-relative:column;mso-position-vertical-relative:paragraph;z-index:-32778240" id="docshapegroup87" coordorigin="62,17" coordsize="915,675">
                      <v:shape style="position:absolute;left:61;top:16;width:915;height:675" id="docshape88" coordorigin="62,17" coordsize="915,675" path="m977,497l227,497,227,692,977,692,977,497xm977,257l62,257,62,452,977,452,977,257xm977,17l947,17,947,212,977,212,977,17xe" filled="true" fillcolor="#b5b5b5" stroked="false">
                        <v:path arrowok="t"/>
                        <v:fill type="solid"/>
                      </v:shape>
                      <w10:wrap type="none"/>
                    </v:group>
                  </w:pict>
                </mc:Fallback>
              </mc:AlternateContent>
            </w:r>
            <w:r>
              <w:rPr>
                <w:color w:val="585858"/>
                <w:spacing w:val="-2"/>
                <w:sz w:val="16"/>
              </w:rPr>
              <w:t>(111)</w:t>
            </w:r>
          </w:p>
        </w:tc>
        <w:tc>
          <w:tcPr>
            <w:tcW w:w="513" w:type="dxa"/>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42" w:hRule="atLeast"/>
        </w:trPr>
        <w:tc>
          <w:tcPr>
            <w:tcW w:w="5385" w:type="dxa"/>
          </w:tcPr>
          <w:p>
            <w:pPr>
              <w:pStyle w:val="TableParagraph"/>
              <w:spacing w:before="25"/>
              <w:ind w:right="115"/>
              <w:jc w:val="right"/>
              <w:rPr>
                <w:sz w:val="16"/>
              </w:rPr>
            </w:pPr>
            <w:r>
              <w:rPr>
                <w:sz w:val="16"/>
              </w:rPr>
              <w:t>Unrealized</w:t>
            </w:r>
            <w:r>
              <w:rPr>
                <w:spacing w:val="-6"/>
                <w:sz w:val="16"/>
              </w:rPr>
              <w:t> </w:t>
            </w:r>
            <w:r>
              <w:rPr>
                <w:sz w:val="16"/>
              </w:rPr>
              <w:t>mark-to-market</w:t>
            </w:r>
            <w:r>
              <w:rPr>
                <w:spacing w:val="-4"/>
                <w:sz w:val="16"/>
              </w:rPr>
              <w:t> </w:t>
            </w:r>
            <w:r>
              <w:rPr>
                <w:sz w:val="16"/>
              </w:rPr>
              <w:t>(losses)</w:t>
            </w:r>
            <w:r>
              <w:rPr>
                <w:spacing w:val="-4"/>
                <w:sz w:val="16"/>
              </w:rPr>
              <w:t> </w:t>
            </w:r>
            <w:r>
              <w:rPr>
                <w:sz w:val="16"/>
              </w:rPr>
              <w:t>gains</w:t>
            </w:r>
            <w:r>
              <w:rPr>
                <w:spacing w:val="-5"/>
                <w:sz w:val="16"/>
              </w:rPr>
              <w:t> </w:t>
            </w:r>
            <w:r>
              <w:rPr>
                <w:sz w:val="16"/>
              </w:rPr>
              <w:t>on</w:t>
            </w:r>
            <w:r>
              <w:rPr>
                <w:spacing w:val="-5"/>
                <w:sz w:val="16"/>
              </w:rPr>
              <w:t> </w:t>
            </w:r>
            <w:r>
              <w:rPr>
                <w:sz w:val="16"/>
              </w:rPr>
              <w:t>non-trading</w:t>
            </w:r>
            <w:r>
              <w:rPr>
                <w:spacing w:val="-5"/>
                <w:sz w:val="16"/>
              </w:rPr>
              <w:t> </w:t>
            </w:r>
            <w:r>
              <w:rPr>
                <w:sz w:val="16"/>
              </w:rPr>
              <w:t>portfolios,</w:t>
            </w:r>
            <w:r>
              <w:rPr>
                <w:spacing w:val="-5"/>
                <w:sz w:val="16"/>
              </w:rPr>
              <w:t> </w:t>
            </w:r>
            <w:r>
              <w:rPr>
                <w:sz w:val="16"/>
              </w:rPr>
              <w:t>net</w:t>
            </w:r>
            <w:r>
              <w:rPr>
                <w:spacing w:val="-7"/>
                <w:sz w:val="16"/>
              </w:rPr>
              <w:t> </w:t>
            </w:r>
            <w:r>
              <w:rPr>
                <w:spacing w:val="-10"/>
                <w:sz w:val="16"/>
                <w:vertAlign w:val="superscript"/>
              </w:rPr>
              <w:t>c</w:t>
            </w:r>
          </w:p>
        </w:tc>
        <w:tc>
          <w:tcPr>
            <w:tcW w:w="890" w:type="dxa"/>
            <w:tcBorders>
              <w:bottom w:val="single" w:sz="8" w:space="0" w:color="000000"/>
            </w:tcBorders>
          </w:tcPr>
          <w:p>
            <w:pPr>
              <w:pStyle w:val="TableParagraph"/>
              <w:spacing w:before="25"/>
              <w:ind w:left="332"/>
              <w:rPr>
                <w:sz w:val="16"/>
              </w:rPr>
            </w:pPr>
            <w:r>
              <w:rPr>
                <w:spacing w:val="-2"/>
                <w:sz w:val="16"/>
              </w:rPr>
              <w:t>(167)</w:t>
            </w:r>
          </w:p>
        </w:tc>
        <w:tc>
          <w:tcPr>
            <w:tcW w:w="550" w:type="dxa"/>
            <w:tcBorders>
              <w:bottom w:val="single" w:sz="8" w:space="0" w:color="000000"/>
            </w:tcBorders>
          </w:tcPr>
          <w:p>
            <w:pPr>
              <w:pStyle w:val="TableParagraph"/>
              <w:spacing w:before="25"/>
              <w:ind w:left="82"/>
              <w:rPr>
                <w:sz w:val="16"/>
              </w:rPr>
            </w:pPr>
            <w:r>
              <w:rPr>
                <w:spacing w:val="-2"/>
                <w:sz w:val="16"/>
              </w:rPr>
              <w:t>3,356</w:t>
            </w:r>
          </w:p>
        </w:tc>
        <w:tc>
          <w:tcPr>
            <w:tcW w:w="569" w:type="dxa"/>
          </w:tcPr>
          <w:p>
            <w:pPr>
              <w:pStyle w:val="TableParagraph"/>
              <w:spacing w:line="175" w:lineRule="exact" w:before="47"/>
              <w:ind w:left="45"/>
              <w:rPr>
                <w:sz w:val="16"/>
              </w:rPr>
            </w:pPr>
            <w:r>
              <w:rPr>
                <w:color w:val="585858"/>
                <w:spacing w:val="-2"/>
                <w:sz w:val="16"/>
              </w:rPr>
              <w:t>(3,523)</w:t>
            </w:r>
          </w:p>
        </w:tc>
        <w:tc>
          <w:tcPr>
            <w:tcW w:w="977" w:type="dxa"/>
            <w:gridSpan w:val="2"/>
            <w:shd w:val="clear" w:color="auto" w:fill="B5B5B5"/>
          </w:tcPr>
          <w:p>
            <w:pPr>
              <w:pStyle w:val="TableParagraph"/>
              <w:rPr>
                <w:rFonts w:ascii="Times New Roman"/>
                <w:sz w:val="16"/>
              </w:rPr>
            </w:pPr>
          </w:p>
        </w:tc>
        <w:tc>
          <w:tcPr>
            <w:tcW w:w="513" w:type="dxa"/>
          </w:tcPr>
          <w:p>
            <w:pPr>
              <w:pStyle w:val="TableParagraph"/>
              <w:rPr>
                <w:rFonts w:ascii="Times New Roman"/>
                <w:sz w:val="16"/>
              </w:rPr>
            </w:pPr>
          </w:p>
        </w:tc>
        <w:tc>
          <w:tcPr>
            <w:tcW w:w="922" w:type="dxa"/>
            <w:gridSpan w:val="2"/>
          </w:tcPr>
          <w:p>
            <w:pPr>
              <w:pStyle w:val="TableParagraph"/>
              <w:rPr>
                <w:rFonts w:ascii="Times New Roman"/>
                <w:sz w:val="16"/>
              </w:rPr>
            </w:pPr>
          </w:p>
        </w:tc>
      </w:tr>
      <w:tr>
        <w:trPr>
          <w:trHeight w:val="210" w:hRule="atLeast"/>
        </w:trPr>
        <w:tc>
          <w:tcPr>
            <w:tcW w:w="5385" w:type="dxa"/>
          </w:tcPr>
          <w:p>
            <w:pPr>
              <w:pStyle w:val="TableParagraph"/>
              <w:spacing w:before="2"/>
              <w:ind w:left="52"/>
              <w:rPr>
                <w:rFonts w:ascii="Arial"/>
                <w:b/>
                <w:sz w:val="16"/>
              </w:rPr>
            </w:pPr>
            <w:r>
              <w:rPr>
                <w:rFonts w:ascii="Arial"/>
                <w:b/>
                <w:sz w:val="16"/>
              </w:rPr>
              <w:t>Net</w:t>
            </w:r>
            <w:r>
              <w:rPr>
                <w:rFonts w:ascii="Arial"/>
                <w:b/>
                <w:spacing w:val="-2"/>
                <w:sz w:val="16"/>
              </w:rPr>
              <w:t> Income</w:t>
            </w:r>
          </w:p>
        </w:tc>
        <w:tc>
          <w:tcPr>
            <w:tcW w:w="890" w:type="dxa"/>
            <w:tcBorders>
              <w:top w:val="single" w:sz="8" w:space="0" w:color="000000"/>
              <w:bottom w:val="single" w:sz="8" w:space="0" w:color="000000"/>
            </w:tcBorders>
          </w:tcPr>
          <w:p>
            <w:pPr>
              <w:pStyle w:val="TableParagraph"/>
              <w:spacing w:before="12"/>
              <w:ind w:right="26"/>
              <w:jc w:val="right"/>
              <w:rPr>
                <w:rFonts w:ascii="Arial"/>
                <w:b/>
                <w:sz w:val="16"/>
              </w:rPr>
            </w:pPr>
            <w:r>
              <w:rPr>
                <w:rFonts w:ascii="Arial"/>
                <w:b/>
                <w:sz w:val="16"/>
              </w:rPr>
              <w:t>$</w:t>
            </w:r>
            <w:r>
              <w:rPr>
                <w:rFonts w:ascii="Arial"/>
                <w:b/>
                <w:spacing w:val="63"/>
                <w:sz w:val="16"/>
              </w:rPr>
              <w:t> </w:t>
            </w:r>
            <w:r>
              <w:rPr>
                <w:rFonts w:ascii="Arial"/>
                <w:b/>
                <w:sz w:val="16"/>
              </w:rPr>
              <w:t>1,144</w:t>
            </w:r>
            <w:r>
              <w:rPr>
                <w:rFonts w:ascii="Arial"/>
                <w:b/>
                <w:spacing w:val="74"/>
                <w:sz w:val="16"/>
              </w:rPr>
              <w:t> </w:t>
            </w:r>
            <w:r>
              <w:rPr>
                <w:rFonts w:ascii="Arial"/>
                <w:b/>
                <w:spacing w:val="-10"/>
                <w:sz w:val="16"/>
              </w:rPr>
              <w:t>$</w:t>
            </w:r>
          </w:p>
        </w:tc>
        <w:tc>
          <w:tcPr>
            <w:tcW w:w="550" w:type="dxa"/>
            <w:tcBorders>
              <w:top w:val="single" w:sz="8" w:space="0" w:color="000000"/>
              <w:bottom w:val="single" w:sz="8" w:space="0" w:color="000000"/>
            </w:tcBorders>
          </w:tcPr>
          <w:p>
            <w:pPr>
              <w:pStyle w:val="TableParagraph"/>
              <w:spacing w:before="12"/>
              <w:ind w:left="82"/>
              <w:rPr>
                <w:rFonts w:ascii="Arial"/>
                <w:b/>
                <w:sz w:val="16"/>
              </w:rPr>
            </w:pPr>
            <w:r>
              <w:rPr>
                <w:rFonts w:ascii="Arial"/>
                <w:b/>
                <w:spacing w:val="-2"/>
                <w:sz w:val="16"/>
              </w:rPr>
              <w:t>3,990</w:t>
            </w:r>
          </w:p>
        </w:tc>
        <w:tc>
          <w:tcPr>
            <w:tcW w:w="885" w:type="dxa"/>
            <w:gridSpan w:val="2"/>
          </w:tcPr>
          <w:p>
            <w:pPr>
              <w:pStyle w:val="TableParagraph"/>
              <w:spacing w:line="165" w:lineRule="exact" w:before="25"/>
              <w:ind w:left="210"/>
              <w:rPr>
                <w:sz w:val="16"/>
              </w:rPr>
            </w:pPr>
            <w:r>
              <w:rPr>
                <w:color w:val="585858"/>
                <w:spacing w:val="-2"/>
                <w:sz w:val="16"/>
              </w:rPr>
              <w:t>(2,846)</w:t>
            </w:r>
          </w:p>
        </w:tc>
        <w:tc>
          <w:tcPr>
            <w:tcW w:w="661" w:type="dxa"/>
          </w:tcPr>
          <w:p>
            <w:pPr>
              <w:pStyle w:val="TableParagraph"/>
              <w:rPr>
                <w:rFonts w:ascii="Times New Roman"/>
                <w:sz w:val="14"/>
              </w:rPr>
            </w:pPr>
          </w:p>
        </w:tc>
        <w:tc>
          <w:tcPr>
            <w:tcW w:w="904" w:type="dxa"/>
            <w:gridSpan w:val="2"/>
          </w:tcPr>
          <w:p>
            <w:pPr>
              <w:pStyle w:val="TableParagraph"/>
              <w:rPr>
                <w:rFonts w:ascii="Times New Roman"/>
                <w:sz w:val="14"/>
              </w:rPr>
            </w:pPr>
          </w:p>
        </w:tc>
        <w:tc>
          <w:tcPr>
            <w:tcW w:w="531" w:type="dxa"/>
          </w:tcPr>
          <w:p>
            <w:pPr>
              <w:pStyle w:val="TableParagraph"/>
              <w:rPr>
                <w:rFonts w:ascii="Times New Roman"/>
                <w:sz w:val="14"/>
              </w:rPr>
            </w:pPr>
          </w:p>
        </w:tc>
      </w:tr>
      <w:tr>
        <w:trPr>
          <w:trHeight w:val="216" w:hRule="atLeast"/>
        </w:trPr>
        <w:tc>
          <w:tcPr>
            <w:tcW w:w="5385" w:type="dxa"/>
          </w:tcPr>
          <w:p>
            <w:pPr>
              <w:pStyle w:val="TableParagraph"/>
              <w:spacing w:line="184" w:lineRule="exact" w:before="12"/>
              <w:ind w:left="52"/>
              <w:rPr>
                <w:sz w:val="16"/>
              </w:rPr>
            </w:pPr>
            <w:r>
              <w:rPr>
                <w:sz w:val="16"/>
              </w:rPr>
              <w:t>Adjustments</w:t>
            </w:r>
            <w:r>
              <w:rPr>
                <w:spacing w:val="-4"/>
                <w:sz w:val="16"/>
              </w:rPr>
              <w:t> </w:t>
            </w:r>
            <w:r>
              <w:rPr>
                <w:sz w:val="16"/>
              </w:rPr>
              <w:t>to</w:t>
            </w:r>
            <w:r>
              <w:rPr>
                <w:spacing w:val="-4"/>
                <w:sz w:val="16"/>
              </w:rPr>
              <w:t> </w:t>
            </w:r>
            <w:r>
              <w:rPr>
                <w:sz w:val="16"/>
              </w:rPr>
              <w:t>reconcile</w:t>
            </w:r>
            <w:r>
              <w:rPr>
                <w:spacing w:val="-4"/>
                <w:sz w:val="16"/>
              </w:rPr>
              <w:t> </w:t>
            </w:r>
            <w:r>
              <w:rPr>
                <w:sz w:val="16"/>
              </w:rPr>
              <w:t>net</w:t>
            </w:r>
            <w:r>
              <w:rPr>
                <w:spacing w:val="-3"/>
                <w:sz w:val="16"/>
              </w:rPr>
              <w:t> </w:t>
            </w:r>
            <w:r>
              <w:rPr>
                <w:sz w:val="16"/>
              </w:rPr>
              <w:t>income</w:t>
            </w:r>
            <w:r>
              <w:rPr>
                <w:spacing w:val="-4"/>
                <w:sz w:val="16"/>
              </w:rPr>
              <w:t> </w:t>
            </w:r>
            <w:r>
              <w:rPr>
                <w:sz w:val="16"/>
              </w:rPr>
              <w:t>to</w:t>
            </w:r>
            <w:r>
              <w:rPr>
                <w:spacing w:val="-4"/>
                <w:sz w:val="16"/>
              </w:rPr>
              <w:t> </w:t>
            </w:r>
            <w:r>
              <w:rPr>
                <w:sz w:val="16"/>
              </w:rPr>
              <w:t>allocable</w:t>
            </w:r>
            <w:r>
              <w:rPr>
                <w:spacing w:val="-4"/>
                <w:sz w:val="16"/>
              </w:rPr>
              <w:t> </w:t>
            </w:r>
            <w:r>
              <w:rPr>
                <w:spacing w:val="-2"/>
                <w:sz w:val="16"/>
              </w:rPr>
              <w:t>income:</w:t>
            </w:r>
          </w:p>
        </w:tc>
        <w:tc>
          <w:tcPr>
            <w:tcW w:w="890" w:type="dxa"/>
            <w:tcBorders>
              <w:top w:val="single" w:sz="8" w:space="0" w:color="000000"/>
            </w:tcBorders>
          </w:tcPr>
          <w:p>
            <w:pPr>
              <w:pStyle w:val="TableParagraph"/>
              <w:rPr>
                <w:rFonts w:ascii="Times New Roman"/>
                <w:sz w:val="14"/>
              </w:rPr>
            </w:pPr>
          </w:p>
        </w:tc>
        <w:tc>
          <w:tcPr>
            <w:tcW w:w="550" w:type="dxa"/>
            <w:tcBorders>
              <w:top w:val="single" w:sz="8" w:space="0" w:color="000000"/>
            </w:tcBorders>
          </w:tcPr>
          <w:p>
            <w:pPr>
              <w:pStyle w:val="TableParagraph"/>
              <w:rPr>
                <w:rFonts w:ascii="Times New Roman"/>
                <w:sz w:val="14"/>
              </w:rPr>
            </w:pPr>
          </w:p>
        </w:tc>
        <w:tc>
          <w:tcPr>
            <w:tcW w:w="885" w:type="dxa"/>
            <w:gridSpan w:val="2"/>
          </w:tcPr>
          <w:p>
            <w:pPr>
              <w:pStyle w:val="TableParagraph"/>
              <w:rPr>
                <w:rFonts w:ascii="Times New Roman"/>
                <w:sz w:val="14"/>
              </w:rPr>
            </w:pPr>
          </w:p>
        </w:tc>
        <w:tc>
          <w:tcPr>
            <w:tcW w:w="661" w:type="dxa"/>
          </w:tcPr>
          <w:p>
            <w:pPr>
              <w:pStyle w:val="TableParagraph"/>
              <w:rPr>
                <w:rFonts w:ascii="Times New Roman"/>
                <w:sz w:val="14"/>
              </w:rPr>
            </w:pPr>
          </w:p>
        </w:tc>
        <w:tc>
          <w:tcPr>
            <w:tcW w:w="904" w:type="dxa"/>
            <w:gridSpan w:val="2"/>
          </w:tcPr>
          <w:p>
            <w:pPr>
              <w:pStyle w:val="TableParagraph"/>
              <w:rPr>
                <w:rFonts w:ascii="Times New Roman"/>
                <w:sz w:val="14"/>
              </w:rPr>
            </w:pPr>
          </w:p>
        </w:tc>
        <w:tc>
          <w:tcPr>
            <w:tcW w:w="531" w:type="dxa"/>
          </w:tcPr>
          <w:p>
            <w:pPr>
              <w:pStyle w:val="TableParagraph"/>
              <w:rPr>
                <w:rFonts w:ascii="Times New Roman"/>
                <w:sz w:val="14"/>
              </w:rPr>
            </w:pPr>
          </w:p>
        </w:tc>
      </w:tr>
      <w:tr>
        <w:trPr>
          <w:trHeight w:val="262" w:hRule="atLeast"/>
        </w:trPr>
        <w:tc>
          <w:tcPr>
            <w:tcW w:w="5385" w:type="dxa"/>
          </w:tcPr>
          <w:p>
            <w:pPr>
              <w:pStyle w:val="TableParagraph"/>
              <w:spacing w:before="36"/>
              <w:ind w:left="172"/>
              <w:rPr>
                <w:sz w:val="16"/>
              </w:rPr>
            </w:pPr>
            <w:r>
              <w:rPr>
                <w:sz w:val="16"/>
              </w:rPr>
              <w:t>Pension</w:t>
            </w:r>
            <w:r>
              <w:rPr>
                <w:spacing w:val="-3"/>
                <w:sz w:val="16"/>
              </w:rPr>
              <w:t> </w:t>
            </w:r>
            <w:r>
              <w:rPr>
                <w:sz w:val="16"/>
                <w:vertAlign w:val="superscript"/>
              </w:rPr>
              <w:t>d</w:t>
            </w:r>
            <w:r>
              <w:rPr>
                <w:spacing w:val="-2"/>
                <w:sz w:val="16"/>
                <w:vertAlign w:val="baseline"/>
              </w:rPr>
              <w:t> </w:t>
            </w:r>
            <w:r>
              <w:rPr>
                <w:sz w:val="16"/>
                <w:vertAlign w:val="baseline"/>
              </w:rPr>
              <w:t>and</w:t>
            </w:r>
            <w:r>
              <w:rPr>
                <w:spacing w:val="-2"/>
                <w:sz w:val="16"/>
                <w:vertAlign w:val="baseline"/>
              </w:rPr>
              <w:t> </w:t>
            </w:r>
            <w:r>
              <w:rPr>
                <w:sz w:val="16"/>
                <w:vertAlign w:val="baseline"/>
              </w:rPr>
              <w:t>other</w:t>
            </w:r>
            <w:r>
              <w:rPr>
                <w:spacing w:val="-1"/>
                <w:sz w:val="16"/>
                <w:vertAlign w:val="baseline"/>
              </w:rPr>
              <w:t> </w:t>
            </w:r>
            <w:r>
              <w:rPr>
                <w:spacing w:val="-2"/>
                <w:sz w:val="16"/>
                <w:vertAlign w:val="baseline"/>
              </w:rPr>
              <w:t>adjustments</w:t>
            </w:r>
          </w:p>
        </w:tc>
        <w:tc>
          <w:tcPr>
            <w:tcW w:w="890" w:type="dxa"/>
          </w:tcPr>
          <w:p>
            <w:pPr>
              <w:pStyle w:val="TableParagraph"/>
              <w:spacing w:before="36"/>
              <w:ind w:left="332"/>
              <w:rPr>
                <w:sz w:val="16"/>
              </w:rPr>
            </w:pPr>
            <w:r>
              <w:rPr>
                <w:spacing w:val="-2"/>
                <w:sz w:val="16"/>
              </w:rPr>
              <w:t>(181)</w:t>
            </w:r>
          </w:p>
        </w:tc>
        <w:tc>
          <w:tcPr>
            <w:tcW w:w="550" w:type="dxa"/>
          </w:tcPr>
          <w:p>
            <w:pPr>
              <w:pStyle w:val="TableParagraph"/>
              <w:spacing w:before="36"/>
              <w:ind w:right="12"/>
              <w:jc w:val="right"/>
              <w:rPr>
                <w:sz w:val="16"/>
              </w:rPr>
            </w:pPr>
            <w:r>
              <w:rPr>
                <w:spacing w:val="-4"/>
                <w:sz w:val="16"/>
              </w:rPr>
              <w:t>(32)</w:t>
            </w:r>
          </w:p>
        </w:tc>
        <w:tc>
          <w:tcPr>
            <w:tcW w:w="885" w:type="dxa"/>
            <w:gridSpan w:val="2"/>
          </w:tcPr>
          <w:p>
            <w:pPr>
              <w:pStyle w:val="TableParagraph"/>
              <w:rPr>
                <w:rFonts w:ascii="Times New Roman"/>
                <w:sz w:val="16"/>
              </w:rPr>
            </w:pPr>
          </w:p>
        </w:tc>
        <w:tc>
          <w:tcPr>
            <w:tcW w:w="661" w:type="dxa"/>
            <w:tcBorders>
              <w:right w:val="single" w:sz="18" w:space="0" w:color="B5B5B5"/>
            </w:tcBorders>
          </w:tcPr>
          <w:p>
            <w:pPr>
              <w:pStyle w:val="TableParagraph"/>
              <w:spacing w:line="183" w:lineRule="exact" w:before="59"/>
              <w:ind w:left="64"/>
              <w:jc w:val="center"/>
              <w:rPr>
                <w:sz w:val="16"/>
              </w:rPr>
            </w:pPr>
            <w:r>
              <w:rPr>
                <w:color w:val="585858"/>
                <w:spacing w:val="-2"/>
                <w:sz w:val="16"/>
              </w:rPr>
              <w:t>(149)</w:t>
            </w:r>
          </w:p>
        </w:tc>
        <w:tc>
          <w:tcPr>
            <w:tcW w:w="904" w:type="dxa"/>
            <w:gridSpan w:val="2"/>
            <w:tcBorders>
              <w:left w:val="single" w:sz="18" w:space="0" w:color="B5B5B5"/>
            </w:tcBorders>
          </w:tcPr>
          <w:p>
            <w:pPr>
              <w:pStyle w:val="TableParagraph"/>
              <w:rPr>
                <w:rFonts w:ascii="Times New Roman"/>
                <w:sz w:val="16"/>
              </w:rPr>
            </w:pPr>
          </w:p>
        </w:tc>
        <w:tc>
          <w:tcPr>
            <w:tcW w:w="531" w:type="dxa"/>
          </w:tcPr>
          <w:p>
            <w:pPr>
              <w:pStyle w:val="TableParagraph"/>
              <w:rPr>
                <w:rFonts w:ascii="Times New Roman"/>
                <w:sz w:val="16"/>
              </w:rPr>
            </w:pPr>
          </w:p>
        </w:tc>
      </w:tr>
      <w:tr>
        <w:trPr>
          <w:trHeight w:val="257" w:hRule="atLeast"/>
        </w:trPr>
        <w:tc>
          <w:tcPr>
            <w:tcW w:w="5385" w:type="dxa"/>
          </w:tcPr>
          <w:p>
            <w:pPr>
              <w:pStyle w:val="TableParagraph"/>
              <w:spacing w:before="14"/>
              <w:ind w:left="172"/>
              <w:rPr>
                <w:sz w:val="16"/>
              </w:rPr>
            </w:pPr>
            <w:r>
              <w:rPr>
                <w:sz w:val="16"/>
              </w:rPr>
              <w:t>Board</w:t>
            </w:r>
            <w:r>
              <w:rPr>
                <w:spacing w:val="-5"/>
                <w:sz w:val="16"/>
              </w:rPr>
              <w:t> </w:t>
            </w:r>
            <w:r>
              <w:rPr>
                <w:sz w:val="16"/>
              </w:rPr>
              <w:t>of</w:t>
            </w:r>
            <w:r>
              <w:rPr>
                <w:spacing w:val="-3"/>
                <w:sz w:val="16"/>
              </w:rPr>
              <w:t> </w:t>
            </w:r>
            <w:r>
              <w:rPr>
                <w:sz w:val="16"/>
              </w:rPr>
              <w:t>Governors-approved</w:t>
            </w:r>
            <w:r>
              <w:rPr>
                <w:spacing w:val="-5"/>
                <w:sz w:val="16"/>
              </w:rPr>
              <w:t> </w:t>
            </w:r>
            <w:r>
              <w:rPr>
                <w:sz w:val="16"/>
              </w:rPr>
              <w:t>and</w:t>
            </w:r>
            <w:r>
              <w:rPr>
                <w:spacing w:val="-4"/>
                <w:sz w:val="16"/>
              </w:rPr>
              <w:t> </w:t>
            </w:r>
            <w:r>
              <w:rPr>
                <w:sz w:val="16"/>
              </w:rPr>
              <w:t>other</w:t>
            </w:r>
            <w:r>
              <w:rPr>
                <w:spacing w:val="-3"/>
                <w:sz w:val="16"/>
              </w:rPr>
              <w:t> </w:t>
            </w:r>
            <w:r>
              <w:rPr>
                <w:spacing w:val="-2"/>
                <w:sz w:val="16"/>
              </w:rPr>
              <w:t>transfers</w:t>
            </w:r>
          </w:p>
        </w:tc>
        <w:tc>
          <w:tcPr>
            <w:tcW w:w="890" w:type="dxa"/>
          </w:tcPr>
          <w:p>
            <w:pPr>
              <w:pStyle w:val="TableParagraph"/>
              <w:spacing w:before="14"/>
              <w:ind w:left="385"/>
              <w:rPr>
                <w:sz w:val="16"/>
              </w:rPr>
            </w:pPr>
            <w:r>
              <w:rPr>
                <w:spacing w:val="-5"/>
                <w:sz w:val="16"/>
              </w:rPr>
              <w:t>221</w:t>
            </w:r>
          </w:p>
        </w:tc>
        <w:tc>
          <w:tcPr>
            <w:tcW w:w="550" w:type="dxa"/>
          </w:tcPr>
          <w:p>
            <w:pPr>
              <w:pStyle w:val="TableParagraph"/>
              <w:spacing w:before="14"/>
              <w:ind w:left="215"/>
              <w:rPr>
                <w:sz w:val="16"/>
              </w:rPr>
            </w:pPr>
            <w:r>
              <w:rPr>
                <w:spacing w:val="-5"/>
                <w:sz w:val="16"/>
              </w:rPr>
              <w:t>354</w:t>
            </w:r>
          </w:p>
        </w:tc>
        <w:tc>
          <w:tcPr>
            <w:tcW w:w="885" w:type="dxa"/>
            <w:gridSpan w:val="2"/>
          </w:tcPr>
          <w:p>
            <w:pPr>
              <w:pStyle w:val="TableParagraph"/>
              <w:rPr>
                <w:rFonts w:ascii="Times New Roman"/>
                <w:sz w:val="16"/>
              </w:rPr>
            </w:pPr>
          </w:p>
        </w:tc>
        <w:tc>
          <w:tcPr>
            <w:tcW w:w="661" w:type="dxa"/>
            <w:tcBorders>
              <w:right w:val="single" w:sz="18" w:space="0" w:color="B5B5B5"/>
            </w:tcBorders>
          </w:tcPr>
          <w:p>
            <w:pPr>
              <w:pStyle w:val="TableParagraph"/>
              <w:spacing w:before="36"/>
              <w:ind w:left="64"/>
              <w:jc w:val="center"/>
              <w:rPr>
                <w:sz w:val="16"/>
              </w:rPr>
            </w:pPr>
            <w:r>
              <w:rPr>
                <w:color w:val="585858"/>
                <w:spacing w:val="-2"/>
                <w:sz w:val="16"/>
              </w:rPr>
              <w:t>(133)</w:t>
            </w:r>
          </w:p>
        </w:tc>
        <w:tc>
          <w:tcPr>
            <w:tcW w:w="904" w:type="dxa"/>
            <w:gridSpan w:val="2"/>
            <w:tcBorders>
              <w:left w:val="single" w:sz="18" w:space="0" w:color="B5B5B5"/>
            </w:tcBorders>
          </w:tcPr>
          <w:p>
            <w:pPr>
              <w:pStyle w:val="TableParagraph"/>
              <w:rPr>
                <w:rFonts w:ascii="Times New Roman"/>
                <w:sz w:val="16"/>
              </w:rPr>
            </w:pPr>
          </w:p>
        </w:tc>
        <w:tc>
          <w:tcPr>
            <w:tcW w:w="531" w:type="dxa"/>
          </w:tcPr>
          <w:p>
            <w:pPr>
              <w:pStyle w:val="TableParagraph"/>
              <w:rPr>
                <w:rFonts w:ascii="Times New Roman"/>
                <w:sz w:val="16"/>
              </w:rPr>
            </w:pPr>
          </w:p>
        </w:tc>
      </w:tr>
      <w:tr>
        <w:trPr>
          <w:trHeight w:val="240" w:hRule="atLeast"/>
        </w:trPr>
        <w:tc>
          <w:tcPr>
            <w:tcW w:w="5385" w:type="dxa"/>
          </w:tcPr>
          <w:p>
            <w:pPr>
              <w:pStyle w:val="TableParagraph"/>
              <w:spacing w:line="181" w:lineRule="exact"/>
              <w:ind w:left="172"/>
              <w:rPr>
                <w:sz w:val="16"/>
              </w:rPr>
            </w:pPr>
            <w:r>
              <w:rPr>
                <w:sz w:val="16"/>
              </w:rPr>
              <w:t>Non-functional</w:t>
            </w:r>
            <w:r>
              <w:rPr>
                <w:spacing w:val="-6"/>
                <w:sz w:val="16"/>
              </w:rPr>
              <w:t> </w:t>
            </w:r>
            <w:r>
              <w:rPr>
                <w:sz w:val="16"/>
              </w:rPr>
              <w:t>currency</w:t>
            </w:r>
            <w:r>
              <w:rPr>
                <w:spacing w:val="-6"/>
                <w:sz w:val="16"/>
              </w:rPr>
              <w:t> </w:t>
            </w:r>
            <w:r>
              <w:rPr>
                <w:sz w:val="16"/>
              </w:rPr>
              <w:t>translation</w:t>
            </w:r>
            <w:r>
              <w:rPr>
                <w:spacing w:val="-6"/>
                <w:sz w:val="16"/>
              </w:rPr>
              <w:t> </w:t>
            </w:r>
            <w:r>
              <w:rPr>
                <w:sz w:val="16"/>
              </w:rPr>
              <w:t>adjustment</w:t>
            </w:r>
            <w:r>
              <w:rPr>
                <w:spacing w:val="-6"/>
                <w:sz w:val="16"/>
              </w:rPr>
              <w:t> </w:t>
            </w:r>
            <w:r>
              <w:rPr>
                <w:sz w:val="16"/>
              </w:rPr>
              <w:t>gains,</w:t>
            </w:r>
            <w:r>
              <w:rPr>
                <w:spacing w:val="-5"/>
                <w:sz w:val="16"/>
              </w:rPr>
              <w:t> net</w:t>
            </w:r>
          </w:p>
        </w:tc>
        <w:tc>
          <w:tcPr>
            <w:tcW w:w="890" w:type="dxa"/>
          </w:tcPr>
          <w:p>
            <w:pPr>
              <w:pStyle w:val="TableParagraph"/>
              <w:spacing w:line="181" w:lineRule="exact"/>
              <w:ind w:left="420"/>
              <w:rPr>
                <w:sz w:val="16"/>
              </w:rPr>
            </w:pPr>
            <w:r>
              <w:rPr>
                <w:spacing w:val="-4"/>
                <w:sz w:val="16"/>
              </w:rPr>
              <w:t>(39)</w:t>
            </w:r>
          </w:p>
        </w:tc>
        <w:tc>
          <w:tcPr>
            <w:tcW w:w="550" w:type="dxa"/>
          </w:tcPr>
          <w:p>
            <w:pPr>
              <w:pStyle w:val="TableParagraph"/>
              <w:spacing w:line="181" w:lineRule="exact"/>
              <w:ind w:right="12"/>
              <w:jc w:val="right"/>
              <w:rPr>
                <w:sz w:val="16"/>
              </w:rPr>
            </w:pPr>
            <w:r>
              <w:rPr>
                <w:spacing w:val="-2"/>
                <w:sz w:val="16"/>
              </w:rPr>
              <w:t>(150)</w:t>
            </w:r>
          </w:p>
        </w:tc>
        <w:tc>
          <w:tcPr>
            <w:tcW w:w="885" w:type="dxa"/>
            <w:gridSpan w:val="2"/>
          </w:tcPr>
          <w:p>
            <w:pPr>
              <w:pStyle w:val="TableParagraph"/>
              <w:rPr>
                <w:rFonts w:ascii="Times New Roman"/>
                <w:sz w:val="16"/>
              </w:rPr>
            </w:pPr>
          </w:p>
        </w:tc>
        <w:tc>
          <w:tcPr>
            <w:tcW w:w="661" w:type="dxa"/>
            <w:tcBorders>
              <w:right w:val="single" w:sz="6" w:space="0" w:color="6D6D6D"/>
            </w:tcBorders>
          </w:tcPr>
          <w:p>
            <w:pPr>
              <w:pStyle w:val="TableParagraph"/>
              <w:rPr>
                <w:rFonts w:ascii="Times New Roman"/>
                <w:sz w:val="16"/>
              </w:rPr>
            </w:pPr>
          </w:p>
        </w:tc>
        <w:tc>
          <w:tcPr>
            <w:tcW w:w="904" w:type="dxa"/>
            <w:gridSpan w:val="2"/>
            <w:tcBorders>
              <w:left w:val="single" w:sz="6" w:space="0" w:color="6D6D6D"/>
            </w:tcBorders>
          </w:tcPr>
          <w:p>
            <w:pPr>
              <w:pStyle w:val="TableParagraph"/>
              <w:spacing w:before="19"/>
              <w:ind w:left="66"/>
              <w:rPr>
                <w:sz w:val="16"/>
              </w:rPr>
            </w:pPr>
            <w:r>
              <w:rPr>
                <w:color w:val="585858"/>
                <w:spacing w:val="-5"/>
                <w:sz w:val="16"/>
              </w:rPr>
              <w:t>111</w:t>
            </w:r>
          </w:p>
        </w:tc>
        <w:tc>
          <w:tcPr>
            <w:tcW w:w="531" w:type="dxa"/>
          </w:tcPr>
          <w:p>
            <w:pPr>
              <w:pStyle w:val="TableParagraph"/>
              <w:rPr>
                <w:rFonts w:ascii="Times New Roman"/>
                <w:sz w:val="16"/>
              </w:rPr>
            </w:pPr>
          </w:p>
        </w:tc>
      </w:tr>
      <w:tr>
        <w:trPr>
          <w:trHeight w:val="203" w:hRule="atLeast"/>
        </w:trPr>
        <w:tc>
          <w:tcPr>
            <w:tcW w:w="5385" w:type="dxa"/>
          </w:tcPr>
          <w:p>
            <w:pPr>
              <w:pStyle w:val="TableParagraph"/>
              <w:spacing w:line="181" w:lineRule="exact"/>
              <w:ind w:right="115"/>
              <w:jc w:val="right"/>
              <w:rPr>
                <w:sz w:val="16"/>
              </w:rPr>
            </w:pPr>
            <w:r>
              <w:rPr>
                <w:sz w:val="16"/>
              </w:rPr>
              <w:t>Unrealized</w:t>
            </w:r>
            <w:r>
              <w:rPr>
                <w:spacing w:val="-6"/>
                <w:sz w:val="16"/>
              </w:rPr>
              <w:t> </w:t>
            </w:r>
            <w:r>
              <w:rPr>
                <w:sz w:val="16"/>
              </w:rPr>
              <w:t>mark-to-market</w:t>
            </w:r>
            <w:r>
              <w:rPr>
                <w:spacing w:val="-4"/>
                <w:sz w:val="16"/>
              </w:rPr>
              <w:t> </w:t>
            </w:r>
            <w:r>
              <w:rPr>
                <w:sz w:val="16"/>
              </w:rPr>
              <w:t>losses</w:t>
            </w:r>
            <w:r>
              <w:rPr>
                <w:spacing w:val="-4"/>
                <w:sz w:val="16"/>
              </w:rPr>
              <w:t> </w:t>
            </w:r>
            <w:r>
              <w:rPr>
                <w:sz w:val="16"/>
              </w:rPr>
              <w:t>(gains)</w:t>
            </w:r>
            <w:r>
              <w:rPr>
                <w:spacing w:val="-5"/>
                <w:sz w:val="16"/>
              </w:rPr>
              <w:t> </w:t>
            </w:r>
            <w:r>
              <w:rPr>
                <w:sz w:val="16"/>
              </w:rPr>
              <w:t>on</w:t>
            </w:r>
            <w:r>
              <w:rPr>
                <w:spacing w:val="-5"/>
                <w:sz w:val="16"/>
              </w:rPr>
              <w:t> </w:t>
            </w:r>
            <w:r>
              <w:rPr>
                <w:sz w:val="16"/>
              </w:rPr>
              <w:t>non-trading</w:t>
            </w:r>
            <w:r>
              <w:rPr>
                <w:spacing w:val="-5"/>
                <w:sz w:val="16"/>
              </w:rPr>
              <w:t> </w:t>
            </w:r>
            <w:r>
              <w:rPr>
                <w:sz w:val="16"/>
              </w:rPr>
              <w:t>portfolios,</w:t>
            </w:r>
            <w:r>
              <w:rPr>
                <w:spacing w:val="-5"/>
                <w:sz w:val="16"/>
              </w:rPr>
              <w:t> </w:t>
            </w:r>
            <w:r>
              <w:rPr>
                <w:sz w:val="16"/>
              </w:rPr>
              <w:t>net</w:t>
            </w:r>
            <w:r>
              <w:rPr>
                <w:spacing w:val="-7"/>
                <w:sz w:val="16"/>
              </w:rPr>
              <w:t> </w:t>
            </w:r>
            <w:r>
              <w:rPr>
                <w:spacing w:val="-10"/>
                <w:sz w:val="16"/>
                <w:vertAlign w:val="superscript"/>
              </w:rPr>
              <w:t>c</w:t>
            </w:r>
          </w:p>
        </w:tc>
        <w:tc>
          <w:tcPr>
            <w:tcW w:w="890" w:type="dxa"/>
            <w:tcBorders>
              <w:bottom w:val="single" w:sz="8" w:space="0" w:color="000000"/>
            </w:tcBorders>
          </w:tcPr>
          <w:p>
            <w:pPr>
              <w:pStyle w:val="TableParagraph"/>
              <w:spacing w:line="181" w:lineRule="exact"/>
              <w:ind w:left="385"/>
              <w:rPr>
                <w:sz w:val="16"/>
              </w:rPr>
            </w:pPr>
            <w:r>
              <w:rPr>
                <w:spacing w:val="-5"/>
                <w:sz w:val="16"/>
              </w:rPr>
              <w:t>167</w:t>
            </w:r>
          </w:p>
        </w:tc>
        <w:tc>
          <w:tcPr>
            <w:tcW w:w="550" w:type="dxa"/>
            <w:tcBorders>
              <w:bottom w:val="single" w:sz="8" w:space="0" w:color="000000"/>
            </w:tcBorders>
          </w:tcPr>
          <w:p>
            <w:pPr>
              <w:pStyle w:val="TableParagraph"/>
              <w:spacing w:line="181" w:lineRule="exact"/>
              <w:ind w:right="12"/>
              <w:jc w:val="right"/>
              <w:rPr>
                <w:sz w:val="16"/>
              </w:rPr>
            </w:pPr>
            <w:r>
              <w:rPr>
                <w:spacing w:val="-2"/>
                <w:sz w:val="16"/>
              </w:rPr>
              <w:t>(3,356)</w:t>
            </w:r>
          </w:p>
        </w:tc>
        <w:tc>
          <w:tcPr>
            <w:tcW w:w="885" w:type="dxa"/>
            <w:gridSpan w:val="2"/>
          </w:tcPr>
          <w:p>
            <w:pPr>
              <w:pStyle w:val="TableParagraph"/>
              <w:rPr>
                <w:rFonts w:ascii="Times New Roman"/>
                <w:sz w:val="14"/>
              </w:rPr>
            </w:pPr>
          </w:p>
        </w:tc>
        <w:tc>
          <w:tcPr>
            <w:tcW w:w="661" w:type="dxa"/>
          </w:tcPr>
          <w:p>
            <w:pPr>
              <w:pStyle w:val="TableParagraph"/>
              <w:rPr>
                <w:rFonts w:ascii="Times New Roman"/>
                <w:sz w:val="14"/>
              </w:rPr>
            </w:pPr>
          </w:p>
        </w:tc>
        <w:tc>
          <w:tcPr>
            <w:tcW w:w="904" w:type="dxa"/>
            <w:gridSpan w:val="2"/>
            <w:shd w:val="clear" w:color="auto" w:fill="6D6D6D"/>
          </w:tcPr>
          <w:p>
            <w:pPr>
              <w:pStyle w:val="TableParagraph"/>
              <w:rPr>
                <w:rFonts w:ascii="Times New Roman"/>
                <w:sz w:val="12"/>
              </w:rPr>
            </w:pPr>
          </w:p>
        </w:tc>
        <w:tc>
          <w:tcPr>
            <w:tcW w:w="531" w:type="dxa"/>
          </w:tcPr>
          <w:p>
            <w:pPr>
              <w:pStyle w:val="TableParagraph"/>
              <w:spacing w:line="165" w:lineRule="exact" w:before="19"/>
              <w:ind w:left="55"/>
              <w:rPr>
                <w:sz w:val="16"/>
              </w:rPr>
            </w:pPr>
            <w:r>
              <w:rPr>
                <w:color w:val="585858"/>
                <w:spacing w:val="-2"/>
                <w:sz w:val="16"/>
              </w:rPr>
              <w:t>3,523</w:t>
            </w:r>
          </w:p>
        </w:tc>
      </w:tr>
      <w:tr>
        <w:trPr>
          <w:trHeight w:val="200" w:hRule="atLeast"/>
        </w:trPr>
        <w:tc>
          <w:tcPr>
            <w:tcW w:w="5385" w:type="dxa"/>
          </w:tcPr>
          <w:p>
            <w:pPr>
              <w:pStyle w:val="TableParagraph"/>
              <w:spacing w:line="167" w:lineRule="exact" w:before="12"/>
              <w:ind w:left="52"/>
              <w:rPr>
                <w:rFonts w:ascii="Arial"/>
                <w:b/>
                <w:sz w:val="16"/>
              </w:rPr>
            </w:pPr>
            <w:r>
              <w:rPr>
                <w:rFonts w:ascii="Arial"/>
                <w:b/>
                <w:sz w:val="16"/>
              </w:rPr>
              <w:t>Allocable</w:t>
            </w:r>
            <w:r>
              <w:rPr>
                <w:rFonts w:ascii="Arial"/>
                <w:b/>
                <w:spacing w:val="-6"/>
                <w:sz w:val="16"/>
              </w:rPr>
              <w:t> </w:t>
            </w:r>
            <w:r>
              <w:rPr>
                <w:rFonts w:ascii="Arial"/>
                <w:b/>
                <w:spacing w:val="-2"/>
                <w:sz w:val="16"/>
              </w:rPr>
              <w:t>Income</w:t>
            </w:r>
          </w:p>
        </w:tc>
        <w:tc>
          <w:tcPr>
            <w:tcW w:w="890" w:type="dxa"/>
            <w:tcBorders>
              <w:top w:val="single" w:sz="8" w:space="0" w:color="000000"/>
              <w:bottom w:val="double" w:sz="8" w:space="0" w:color="000000"/>
            </w:tcBorders>
          </w:tcPr>
          <w:p>
            <w:pPr>
              <w:pStyle w:val="TableParagraph"/>
              <w:spacing w:line="167" w:lineRule="exact" w:before="12"/>
              <w:ind w:right="26"/>
              <w:jc w:val="right"/>
              <w:rPr>
                <w:rFonts w:ascii="Arial"/>
                <w:b/>
                <w:sz w:val="16"/>
              </w:rPr>
            </w:pPr>
            <w:r>
              <w:rPr>
                <w:rFonts w:ascii="Arial"/>
                <w:b/>
                <w:sz w:val="16"/>
              </w:rPr>
              <w:t>$</w:t>
            </w:r>
            <w:r>
              <w:rPr>
                <w:rFonts w:ascii="Arial"/>
                <w:b/>
                <w:spacing w:val="63"/>
                <w:sz w:val="16"/>
              </w:rPr>
              <w:t> </w:t>
            </w:r>
            <w:r>
              <w:rPr>
                <w:rFonts w:ascii="Arial"/>
                <w:b/>
                <w:sz w:val="16"/>
              </w:rPr>
              <w:t>1,312</w:t>
            </w:r>
            <w:r>
              <w:rPr>
                <w:rFonts w:ascii="Arial"/>
                <w:b/>
                <w:spacing w:val="74"/>
                <w:sz w:val="16"/>
              </w:rPr>
              <w:t> </w:t>
            </w:r>
            <w:r>
              <w:rPr>
                <w:rFonts w:ascii="Arial"/>
                <w:b/>
                <w:spacing w:val="-10"/>
                <w:sz w:val="16"/>
              </w:rPr>
              <w:t>$</w:t>
            </w:r>
          </w:p>
        </w:tc>
        <w:tc>
          <w:tcPr>
            <w:tcW w:w="550" w:type="dxa"/>
            <w:tcBorders>
              <w:top w:val="single" w:sz="8" w:space="0" w:color="000000"/>
              <w:bottom w:val="double" w:sz="8" w:space="0" w:color="000000"/>
            </w:tcBorders>
          </w:tcPr>
          <w:p>
            <w:pPr>
              <w:pStyle w:val="TableParagraph"/>
              <w:spacing w:line="167" w:lineRule="exact" w:before="12"/>
              <w:ind w:left="215"/>
              <w:rPr>
                <w:rFonts w:ascii="Arial"/>
                <w:b/>
                <w:sz w:val="16"/>
              </w:rPr>
            </w:pPr>
            <w:r>
              <w:rPr>
                <w:rFonts w:ascii="Arial"/>
                <w:b/>
                <w:spacing w:val="-5"/>
                <w:sz w:val="16"/>
              </w:rPr>
              <w:t>806</w:t>
            </w:r>
          </w:p>
        </w:tc>
        <w:tc>
          <w:tcPr>
            <w:tcW w:w="885" w:type="dxa"/>
            <w:gridSpan w:val="2"/>
          </w:tcPr>
          <w:p>
            <w:pPr>
              <w:pStyle w:val="TableParagraph"/>
              <w:rPr>
                <w:rFonts w:ascii="Times New Roman"/>
                <w:sz w:val="12"/>
              </w:rPr>
            </w:pPr>
          </w:p>
        </w:tc>
        <w:tc>
          <w:tcPr>
            <w:tcW w:w="661" w:type="dxa"/>
            <w:tcBorders>
              <w:right w:val="single" w:sz="48" w:space="0" w:color="6D6D6D"/>
            </w:tcBorders>
          </w:tcPr>
          <w:p>
            <w:pPr>
              <w:pStyle w:val="TableParagraph"/>
              <w:rPr>
                <w:rFonts w:ascii="Times New Roman"/>
                <w:sz w:val="12"/>
              </w:rPr>
            </w:pPr>
          </w:p>
        </w:tc>
        <w:tc>
          <w:tcPr>
            <w:tcW w:w="904" w:type="dxa"/>
            <w:gridSpan w:val="2"/>
            <w:tcBorders>
              <w:left w:val="single" w:sz="48" w:space="0" w:color="6D6D6D"/>
            </w:tcBorders>
          </w:tcPr>
          <w:p>
            <w:pPr>
              <w:pStyle w:val="TableParagraph"/>
              <w:spacing w:line="145" w:lineRule="exact" w:before="54"/>
              <w:ind w:left="118"/>
              <w:rPr>
                <w:sz w:val="16"/>
              </w:rPr>
            </w:pPr>
            <w:r>
              <w:rPr>
                <w:color w:val="585858"/>
                <w:spacing w:val="-5"/>
                <w:sz w:val="16"/>
              </w:rPr>
              <w:t>506</w:t>
            </w:r>
          </w:p>
        </w:tc>
        <w:tc>
          <w:tcPr>
            <w:tcW w:w="531" w:type="dxa"/>
          </w:tcPr>
          <w:p>
            <w:pPr>
              <w:pStyle w:val="TableParagraph"/>
              <w:rPr>
                <w:rFonts w:ascii="Times New Roman"/>
                <w:sz w:val="12"/>
              </w:rPr>
            </w:pPr>
          </w:p>
        </w:tc>
      </w:tr>
      <w:tr>
        <w:trPr>
          <w:trHeight w:val="200" w:hRule="atLeast"/>
        </w:trPr>
        <w:tc>
          <w:tcPr>
            <w:tcW w:w="5385" w:type="dxa"/>
            <w:tcBorders>
              <w:bottom w:val="single" w:sz="8" w:space="0" w:color="6C6C6C"/>
            </w:tcBorders>
          </w:tcPr>
          <w:p>
            <w:pPr>
              <w:pStyle w:val="TableParagraph"/>
              <w:rPr>
                <w:rFonts w:ascii="Times New Roman"/>
                <w:sz w:val="12"/>
              </w:rPr>
            </w:pPr>
          </w:p>
        </w:tc>
        <w:tc>
          <w:tcPr>
            <w:tcW w:w="890" w:type="dxa"/>
            <w:tcBorders>
              <w:top w:val="double" w:sz="8" w:space="0" w:color="000000"/>
              <w:bottom w:val="single" w:sz="8" w:space="0" w:color="6C6C6C"/>
            </w:tcBorders>
          </w:tcPr>
          <w:p>
            <w:pPr>
              <w:pStyle w:val="TableParagraph"/>
              <w:rPr>
                <w:rFonts w:ascii="Times New Roman"/>
                <w:sz w:val="12"/>
              </w:rPr>
            </w:pPr>
          </w:p>
        </w:tc>
        <w:tc>
          <w:tcPr>
            <w:tcW w:w="550" w:type="dxa"/>
            <w:tcBorders>
              <w:top w:val="double" w:sz="8" w:space="0" w:color="000000"/>
              <w:bottom w:val="single" w:sz="8" w:space="0" w:color="6C6C6C"/>
            </w:tcBorders>
          </w:tcPr>
          <w:p>
            <w:pPr>
              <w:pStyle w:val="TableParagraph"/>
              <w:rPr>
                <w:rFonts w:ascii="Times New Roman"/>
                <w:sz w:val="12"/>
              </w:rPr>
            </w:pPr>
          </w:p>
        </w:tc>
        <w:tc>
          <w:tcPr>
            <w:tcW w:w="885" w:type="dxa"/>
            <w:gridSpan w:val="2"/>
            <w:tcBorders>
              <w:bottom w:val="single" w:sz="8" w:space="0" w:color="6C6C6C"/>
            </w:tcBorders>
          </w:tcPr>
          <w:p>
            <w:pPr>
              <w:pStyle w:val="TableParagraph"/>
              <w:rPr>
                <w:rFonts w:ascii="Times New Roman"/>
                <w:sz w:val="12"/>
              </w:rPr>
            </w:pPr>
          </w:p>
        </w:tc>
        <w:tc>
          <w:tcPr>
            <w:tcW w:w="661" w:type="dxa"/>
            <w:tcBorders>
              <w:bottom w:val="single" w:sz="8" w:space="0" w:color="6C6C6C"/>
            </w:tcBorders>
          </w:tcPr>
          <w:p>
            <w:pPr>
              <w:pStyle w:val="TableParagraph"/>
              <w:rPr>
                <w:rFonts w:ascii="Times New Roman"/>
                <w:sz w:val="12"/>
              </w:rPr>
            </w:pPr>
          </w:p>
        </w:tc>
        <w:tc>
          <w:tcPr>
            <w:tcW w:w="904" w:type="dxa"/>
            <w:gridSpan w:val="2"/>
            <w:tcBorders>
              <w:bottom w:val="single" w:sz="8" w:space="0" w:color="6C6C6C"/>
            </w:tcBorders>
          </w:tcPr>
          <w:p>
            <w:pPr>
              <w:pStyle w:val="TableParagraph"/>
              <w:rPr>
                <w:rFonts w:ascii="Times New Roman"/>
                <w:sz w:val="12"/>
              </w:rPr>
            </w:pPr>
          </w:p>
        </w:tc>
        <w:tc>
          <w:tcPr>
            <w:tcW w:w="531" w:type="dxa"/>
          </w:tcPr>
          <w:p>
            <w:pPr>
              <w:pStyle w:val="TableParagraph"/>
              <w:rPr>
                <w:rFonts w:ascii="Times New Roman"/>
                <w:sz w:val="12"/>
              </w:rPr>
            </w:pPr>
          </w:p>
        </w:tc>
      </w:tr>
    </w:tbl>
    <w:p>
      <w:pPr>
        <w:pStyle w:val="ListParagraph"/>
        <w:numPr>
          <w:ilvl w:val="0"/>
          <w:numId w:val="2"/>
        </w:numPr>
        <w:tabs>
          <w:tab w:pos="948" w:val="left" w:leader="none"/>
          <w:tab w:pos="952" w:val="left" w:leader="none"/>
        </w:tabs>
        <w:spacing w:line="249" w:lineRule="auto" w:before="0" w:after="0"/>
        <w:ind w:left="952" w:right="768" w:hanging="180"/>
        <w:jc w:val="both"/>
        <w:rPr>
          <w:rFonts w:ascii="Arial"/>
          <w:i/>
          <w:sz w:val="16"/>
        </w:rPr>
      </w:pPr>
      <w:r>
        <w:rPr>
          <w:rFonts w:ascii="Arial"/>
          <w:i/>
          <w:sz w:val="16"/>
        </w:rPr>
        <w:t>Includes</w:t>
      </w:r>
      <w:r>
        <w:rPr>
          <w:rFonts w:ascii="Arial"/>
          <w:i/>
          <w:spacing w:val="-3"/>
          <w:sz w:val="16"/>
        </w:rPr>
        <w:t> </w:t>
      </w:r>
      <w:r>
        <w:rPr>
          <w:rFonts w:ascii="Arial"/>
          <w:i/>
          <w:sz w:val="16"/>
        </w:rPr>
        <w:t>unrealized</w:t>
      </w:r>
      <w:r>
        <w:rPr>
          <w:rFonts w:ascii="Arial"/>
          <w:i/>
          <w:spacing w:val="-4"/>
          <w:sz w:val="16"/>
        </w:rPr>
        <w:t> </w:t>
      </w:r>
      <w:r>
        <w:rPr>
          <w:rFonts w:ascii="Arial"/>
          <w:i/>
          <w:sz w:val="16"/>
        </w:rPr>
        <w:t>mark-to-market</w:t>
      </w:r>
      <w:r>
        <w:rPr>
          <w:rFonts w:ascii="Arial"/>
          <w:i/>
          <w:spacing w:val="-4"/>
          <w:sz w:val="16"/>
        </w:rPr>
        <w:t> </w:t>
      </w:r>
      <w:r>
        <w:rPr>
          <w:rFonts w:ascii="Arial"/>
          <w:i/>
          <w:sz w:val="16"/>
        </w:rPr>
        <w:t>gains</w:t>
      </w:r>
      <w:r>
        <w:rPr>
          <w:rFonts w:ascii="Arial"/>
          <w:i/>
          <w:spacing w:val="-4"/>
          <w:sz w:val="16"/>
        </w:rPr>
        <w:t> </w:t>
      </w:r>
      <w:r>
        <w:rPr>
          <w:rFonts w:ascii="Arial"/>
          <w:i/>
          <w:sz w:val="16"/>
        </w:rPr>
        <w:t>on</w:t>
      </w:r>
      <w:r>
        <w:rPr>
          <w:rFonts w:ascii="Arial"/>
          <w:i/>
          <w:spacing w:val="-4"/>
          <w:sz w:val="16"/>
        </w:rPr>
        <w:t> </w:t>
      </w:r>
      <w:r>
        <w:rPr>
          <w:rFonts w:ascii="Arial"/>
          <w:i/>
          <w:sz w:val="16"/>
        </w:rPr>
        <w:t>the</w:t>
      </w:r>
      <w:r>
        <w:rPr>
          <w:rFonts w:ascii="Arial"/>
          <w:i/>
          <w:spacing w:val="-4"/>
          <w:sz w:val="16"/>
        </w:rPr>
        <w:t> </w:t>
      </w:r>
      <w:r>
        <w:rPr>
          <w:rFonts w:ascii="Arial"/>
          <w:i/>
          <w:sz w:val="16"/>
        </w:rPr>
        <w:t>Investments-Trading</w:t>
      </w:r>
      <w:r>
        <w:rPr>
          <w:rFonts w:ascii="Arial"/>
          <w:i/>
          <w:spacing w:val="-4"/>
          <w:sz w:val="16"/>
        </w:rPr>
        <w:t> </w:t>
      </w:r>
      <w:r>
        <w:rPr>
          <w:rFonts w:ascii="Arial"/>
          <w:i/>
          <w:sz w:val="16"/>
        </w:rPr>
        <w:t>portfolio</w:t>
      </w:r>
      <w:r>
        <w:rPr>
          <w:rFonts w:ascii="Arial"/>
          <w:i/>
          <w:spacing w:val="-4"/>
          <w:sz w:val="16"/>
        </w:rPr>
        <w:t> </w:t>
      </w:r>
      <w:r>
        <w:rPr>
          <w:rFonts w:ascii="Arial"/>
          <w:i/>
          <w:sz w:val="16"/>
        </w:rPr>
        <w:t>of</w:t>
      </w:r>
      <w:r>
        <w:rPr>
          <w:rFonts w:ascii="Arial"/>
          <w:i/>
          <w:spacing w:val="-3"/>
          <w:sz w:val="16"/>
        </w:rPr>
        <w:t> </w:t>
      </w:r>
      <w:r>
        <w:rPr>
          <w:rFonts w:ascii="Arial"/>
          <w:i/>
          <w:sz w:val="16"/>
        </w:rPr>
        <w:t>$28</w:t>
      </w:r>
      <w:r>
        <w:rPr>
          <w:rFonts w:ascii="Arial"/>
          <w:i/>
          <w:spacing w:val="-4"/>
          <w:sz w:val="16"/>
        </w:rPr>
        <w:t> </w:t>
      </w:r>
      <w:r>
        <w:rPr>
          <w:rFonts w:ascii="Arial"/>
          <w:i/>
          <w:sz w:val="16"/>
        </w:rPr>
        <w:t>million</w:t>
      </w:r>
      <w:r>
        <w:rPr>
          <w:rFonts w:ascii="Arial"/>
          <w:i/>
          <w:spacing w:val="-4"/>
          <w:sz w:val="16"/>
        </w:rPr>
        <w:t> </w:t>
      </w:r>
      <w:r>
        <w:rPr>
          <w:rFonts w:ascii="Arial"/>
          <w:i/>
          <w:sz w:val="16"/>
        </w:rPr>
        <w:t>in</w:t>
      </w:r>
      <w:r>
        <w:rPr>
          <w:rFonts w:ascii="Arial"/>
          <w:i/>
          <w:spacing w:val="-4"/>
          <w:sz w:val="16"/>
        </w:rPr>
        <w:t> </w:t>
      </w:r>
      <w:r>
        <w:rPr>
          <w:rFonts w:ascii="Arial"/>
          <w:i/>
          <w:sz w:val="16"/>
        </w:rPr>
        <w:t>FY23</w:t>
      </w:r>
      <w:r>
        <w:rPr>
          <w:rFonts w:ascii="Arial"/>
          <w:i/>
          <w:spacing w:val="-4"/>
          <w:sz w:val="16"/>
        </w:rPr>
        <w:t> </w:t>
      </w:r>
      <w:r>
        <w:rPr>
          <w:rFonts w:ascii="Arial"/>
          <w:i/>
          <w:sz w:val="16"/>
        </w:rPr>
        <w:t>(unrealized</w:t>
      </w:r>
      <w:r>
        <w:rPr>
          <w:rFonts w:ascii="Arial"/>
          <w:i/>
          <w:spacing w:val="-4"/>
          <w:sz w:val="16"/>
        </w:rPr>
        <w:t> </w:t>
      </w:r>
      <w:r>
        <w:rPr>
          <w:rFonts w:ascii="Arial"/>
          <w:i/>
          <w:sz w:val="16"/>
        </w:rPr>
        <w:t>mark-to-market losses of $21 million for FY22) and excludes Post Employment Benefit Plan (PEBP) and Post Retirement Contribution Reserve Fund (PCRF) gains of $74 million in FY23 ($33 million losses for FY22) reported in Net other revenue (Table 3).</w:t>
      </w:r>
    </w:p>
    <w:p>
      <w:pPr>
        <w:pStyle w:val="ListParagraph"/>
        <w:numPr>
          <w:ilvl w:val="0"/>
          <w:numId w:val="2"/>
        </w:numPr>
        <w:tabs>
          <w:tab w:pos="948" w:val="left" w:leader="none"/>
        </w:tabs>
        <w:spacing w:line="240" w:lineRule="auto" w:before="22" w:after="0"/>
        <w:ind w:left="948" w:right="0" w:hanging="176"/>
        <w:jc w:val="left"/>
        <w:rPr>
          <w:rFonts w:ascii="Arial"/>
          <w:i/>
          <w:sz w:val="16"/>
        </w:rPr>
      </w:pPr>
      <w:r>
        <w:rPr>
          <w:rFonts w:ascii="Arial"/>
          <w:i/>
          <w:sz w:val="16"/>
        </w:rPr>
        <w:t>Includes</w:t>
      </w:r>
      <w:r>
        <w:rPr>
          <w:rFonts w:ascii="Arial"/>
          <w:i/>
          <w:spacing w:val="-6"/>
          <w:sz w:val="16"/>
        </w:rPr>
        <w:t> </w:t>
      </w:r>
      <w:r>
        <w:rPr>
          <w:rFonts w:ascii="Arial"/>
          <w:i/>
          <w:sz w:val="16"/>
        </w:rPr>
        <w:t>changes</w:t>
      </w:r>
      <w:r>
        <w:rPr>
          <w:rFonts w:ascii="Arial"/>
          <w:i/>
          <w:spacing w:val="-4"/>
          <w:sz w:val="16"/>
        </w:rPr>
        <w:t> </w:t>
      </w:r>
      <w:r>
        <w:rPr>
          <w:rFonts w:ascii="Arial"/>
          <w:i/>
          <w:sz w:val="16"/>
        </w:rPr>
        <w:t>on</w:t>
      </w:r>
      <w:r>
        <w:rPr>
          <w:rFonts w:ascii="Arial"/>
          <w:i/>
          <w:spacing w:val="-4"/>
          <w:sz w:val="16"/>
        </w:rPr>
        <w:t> </w:t>
      </w:r>
      <w:r>
        <w:rPr>
          <w:rFonts w:ascii="Arial"/>
          <w:i/>
          <w:sz w:val="16"/>
        </w:rPr>
        <w:t>recoverable</w:t>
      </w:r>
      <w:r>
        <w:rPr>
          <w:rFonts w:ascii="Arial"/>
          <w:i/>
          <w:spacing w:val="-5"/>
          <w:sz w:val="16"/>
        </w:rPr>
        <w:t> </w:t>
      </w:r>
      <w:r>
        <w:rPr>
          <w:rFonts w:ascii="Arial"/>
          <w:i/>
          <w:sz w:val="16"/>
        </w:rPr>
        <w:t>asset</w:t>
      </w:r>
      <w:r>
        <w:rPr>
          <w:rFonts w:ascii="Arial"/>
          <w:i/>
          <w:spacing w:val="-3"/>
          <w:sz w:val="16"/>
        </w:rPr>
        <w:t> </w:t>
      </w:r>
      <w:r>
        <w:rPr>
          <w:rFonts w:ascii="Arial"/>
          <w:i/>
          <w:sz w:val="16"/>
        </w:rPr>
        <w:t>relating</w:t>
      </w:r>
      <w:r>
        <w:rPr>
          <w:rFonts w:ascii="Arial"/>
          <w:i/>
          <w:spacing w:val="-5"/>
          <w:sz w:val="16"/>
        </w:rPr>
        <w:t> </w:t>
      </w:r>
      <w:r>
        <w:rPr>
          <w:rFonts w:ascii="Arial"/>
          <w:i/>
          <w:sz w:val="16"/>
        </w:rPr>
        <w:t>to</w:t>
      </w:r>
      <w:r>
        <w:rPr>
          <w:rFonts w:ascii="Arial"/>
          <w:i/>
          <w:spacing w:val="-5"/>
          <w:sz w:val="16"/>
        </w:rPr>
        <w:t> </w:t>
      </w:r>
      <w:r>
        <w:rPr>
          <w:rFonts w:ascii="Arial"/>
          <w:i/>
          <w:sz w:val="16"/>
        </w:rPr>
        <w:t>Guarantee</w:t>
      </w:r>
      <w:r>
        <w:rPr>
          <w:rFonts w:ascii="Arial"/>
          <w:i/>
          <w:spacing w:val="-4"/>
          <w:sz w:val="16"/>
        </w:rPr>
        <w:t> </w:t>
      </w:r>
      <w:r>
        <w:rPr>
          <w:rFonts w:ascii="Arial"/>
          <w:i/>
          <w:sz w:val="16"/>
        </w:rPr>
        <w:t>received</w:t>
      </w:r>
      <w:r>
        <w:rPr>
          <w:rFonts w:ascii="Arial"/>
          <w:i/>
          <w:spacing w:val="-5"/>
          <w:sz w:val="16"/>
        </w:rPr>
        <w:t> </w:t>
      </w:r>
      <w:r>
        <w:rPr>
          <w:rFonts w:ascii="Arial"/>
          <w:i/>
          <w:sz w:val="16"/>
        </w:rPr>
        <w:t>under</w:t>
      </w:r>
      <w:r>
        <w:rPr>
          <w:rFonts w:ascii="Arial"/>
          <w:i/>
          <w:spacing w:val="-3"/>
          <w:sz w:val="16"/>
        </w:rPr>
        <w:t> </w:t>
      </w:r>
      <w:r>
        <w:rPr>
          <w:rFonts w:ascii="Arial"/>
          <w:i/>
          <w:sz w:val="16"/>
        </w:rPr>
        <w:t>the</w:t>
      </w:r>
      <w:r>
        <w:rPr>
          <w:rFonts w:ascii="Arial"/>
          <w:i/>
          <w:spacing w:val="-5"/>
          <w:sz w:val="16"/>
        </w:rPr>
        <w:t> </w:t>
      </w:r>
      <w:r>
        <w:rPr>
          <w:rFonts w:ascii="Arial"/>
          <w:i/>
          <w:sz w:val="16"/>
        </w:rPr>
        <w:t>Exposure</w:t>
      </w:r>
      <w:r>
        <w:rPr>
          <w:rFonts w:ascii="Arial"/>
          <w:i/>
          <w:spacing w:val="-4"/>
          <w:sz w:val="16"/>
        </w:rPr>
        <w:t> </w:t>
      </w:r>
      <w:r>
        <w:rPr>
          <w:rFonts w:ascii="Arial"/>
          <w:i/>
          <w:sz w:val="16"/>
        </w:rPr>
        <w:t>Exchange</w:t>
      </w:r>
      <w:r>
        <w:rPr>
          <w:rFonts w:ascii="Arial"/>
          <w:i/>
          <w:spacing w:val="-5"/>
          <w:sz w:val="16"/>
        </w:rPr>
        <w:t> </w:t>
      </w:r>
      <w:r>
        <w:rPr>
          <w:rFonts w:ascii="Arial"/>
          <w:i/>
          <w:sz w:val="16"/>
        </w:rPr>
        <w:t>Agreements</w:t>
      </w:r>
      <w:r>
        <w:rPr>
          <w:rFonts w:ascii="Arial"/>
          <w:i/>
          <w:spacing w:val="-3"/>
          <w:sz w:val="16"/>
        </w:rPr>
        <w:t> </w:t>
      </w:r>
      <w:r>
        <w:rPr>
          <w:rFonts w:ascii="Arial"/>
          <w:i/>
          <w:spacing w:val="-2"/>
          <w:sz w:val="16"/>
        </w:rPr>
        <w:t>(EEAs).</w:t>
      </w:r>
    </w:p>
    <w:p>
      <w:pPr>
        <w:pStyle w:val="ListParagraph"/>
        <w:numPr>
          <w:ilvl w:val="0"/>
          <w:numId w:val="2"/>
        </w:numPr>
        <w:tabs>
          <w:tab w:pos="940" w:val="left" w:leader="none"/>
        </w:tabs>
        <w:spacing w:line="240" w:lineRule="auto" w:before="41" w:after="0"/>
        <w:ind w:left="940" w:right="0" w:hanging="168"/>
        <w:jc w:val="left"/>
        <w:rPr>
          <w:rFonts w:ascii="Arial"/>
          <w:i/>
          <w:sz w:val="16"/>
        </w:rPr>
      </w:pPr>
      <w:r>
        <w:rPr>
          <w:rFonts w:ascii="Arial"/>
          <w:i/>
          <w:sz w:val="16"/>
        </w:rPr>
        <w:t>Adjusted</w:t>
      </w:r>
      <w:r>
        <w:rPr>
          <w:rFonts w:ascii="Arial"/>
          <w:i/>
          <w:spacing w:val="-5"/>
          <w:sz w:val="16"/>
        </w:rPr>
        <w:t> </w:t>
      </w:r>
      <w:r>
        <w:rPr>
          <w:rFonts w:ascii="Arial"/>
          <w:i/>
          <w:sz w:val="16"/>
        </w:rPr>
        <w:t>to</w:t>
      </w:r>
      <w:r>
        <w:rPr>
          <w:rFonts w:ascii="Arial"/>
          <w:i/>
          <w:spacing w:val="-4"/>
          <w:sz w:val="16"/>
        </w:rPr>
        <w:t> </w:t>
      </w:r>
      <w:r>
        <w:rPr>
          <w:rFonts w:ascii="Arial"/>
          <w:i/>
          <w:sz w:val="16"/>
        </w:rPr>
        <w:t>exclude</w:t>
      </w:r>
      <w:r>
        <w:rPr>
          <w:rFonts w:ascii="Arial"/>
          <w:i/>
          <w:spacing w:val="-5"/>
          <w:sz w:val="16"/>
        </w:rPr>
        <w:t> </w:t>
      </w:r>
      <w:r>
        <w:rPr>
          <w:rFonts w:ascii="Arial"/>
          <w:i/>
          <w:sz w:val="16"/>
        </w:rPr>
        <w:t>amounts</w:t>
      </w:r>
      <w:r>
        <w:rPr>
          <w:rFonts w:ascii="Arial"/>
          <w:i/>
          <w:spacing w:val="-3"/>
          <w:sz w:val="16"/>
        </w:rPr>
        <w:t> </w:t>
      </w:r>
      <w:r>
        <w:rPr>
          <w:rFonts w:ascii="Arial"/>
          <w:i/>
          <w:sz w:val="16"/>
        </w:rPr>
        <w:t>reclassified</w:t>
      </w:r>
      <w:r>
        <w:rPr>
          <w:rFonts w:ascii="Arial"/>
          <w:i/>
          <w:spacing w:val="-4"/>
          <w:sz w:val="16"/>
        </w:rPr>
        <w:t> </w:t>
      </w:r>
      <w:r>
        <w:rPr>
          <w:rFonts w:ascii="Arial"/>
          <w:i/>
          <w:sz w:val="16"/>
        </w:rPr>
        <w:t>to</w:t>
      </w:r>
      <w:r>
        <w:rPr>
          <w:rFonts w:ascii="Arial"/>
          <w:i/>
          <w:spacing w:val="-5"/>
          <w:sz w:val="16"/>
        </w:rPr>
        <w:t> </w:t>
      </w:r>
      <w:r>
        <w:rPr>
          <w:rFonts w:ascii="Arial"/>
          <w:i/>
          <w:sz w:val="16"/>
        </w:rPr>
        <w:t>realized</w:t>
      </w:r>
      <w:r>
        <w:rPr>
          <w:rFonts w:ascii="Arial"/>
          <w:i/>
          <w:spacing w:val="-4"/>
          <w:sz w:val="16"/>
        </w:rPr>
        <w:t> </w:t>
      </w:r>
      <w:r>
        <w:rPr>
          <w:rFonts w:ascii="Arial"/>
          <w:i/>
          <w:sz w:val="16"/>
        </w:rPr>
        <w:t>gains</w:t>
      </w:r>
      <w:r>
        <w:rPr>
          <w:rFonts w:ascii="Arial"/>
          <w:i/>
          <w:spacing w:val="-3"/>
          <w:sz w:val="16"/>
        </w:rPr>
        <w:t> </w:t>
      </w:r>
      <w:r>
        <w:rPr>
          <w:rFonts w:ascii="Arial"/>
          <w:i/>
          <w:spacing w:val="-2"/>
          <w:sz w:val="16"/>
        </w:rPr>
        <w:t>(losses).</w:t>
      </w:r>
    </w:p>
    <w:p>
      <w:pPr>
        <w:pStyle w:val="ListParagraph"/>
        <w:numPr>
          <w:ilvl w:val="0"/>
          <w:numId w:val="2"/>
        </w:numPr>
        <w:tabs>
          <w:tab w:pos="958" w:val="left" w:leader="none"/>
        </w:tabs>
        <w:spacing w:line="240" w:lineRule="auto" w:before="43" w:after="0"/>
        <w:ind w:left="958" w:right="0" w:hanging="186"/>
        <w:jc w:val="left"/>
        <w:rPr>
          <w:rFonts w:ascii="Arial"/>
          <w:i/>
          <w:sz w:val="16"/>
        </w:rPr>
      </w:pPr>
      <w:r>
        <w:rPr>
          <w:rFonts w:ascii="Arial"/>
          <w:i/>
          <w:sz w:val="16"/>
        </w:rPr>
        <w:t>Adjustment</w:t>
      </w:r>
      <w:r>
        <w:rPr>
          <w:rFonts w:ascii="Arial"/>
          <w:i/>
          <w:spacing w:val="4"/>
          <w:sz w:val="16"/>
        </w:rPr>
        <w:t> </w:t>
      </w:r>
      <w:r>
        <w:rPr>
          <w:rFonts w:ascii="Arial"/>
          <w:i/>
          <w:sz w:val="16"/>
        </w:rPr>
        <w:t>to</w:t>
      </w:r>
      <w:r>
        <w:rPr>
          <w:rFonts w:ascii="Arial"/>
          <w:i/>
          <w:spacing w:val="6"/>
          <w:sz w:val="16"/>
        </w:rPr>
        <w:t> </w:t>
      </w:r>
      <w:r>
        <w:rPr>
          <w:rFonts w:ascii="Arial"/>
          <w:i/>
          <w:sz w:val="16"/>
        </w:rPr>
        <w:t>pension</w:t>
      </w:r>
      <w:r>
        <w:rPr>
          <w:rFonts w:ascii="Arial"/>
          <w:i/>
          <w:spacing w:val="7"/>
          <w:sz w:val="16"/>
        </w:rPr>
        <w:t> </w:t>
      </w:r>
      <w:r>
        <w:rPr>
          <w:rFonts w:ascii="Arial"/>
          <w:i/>
          <w:sz w:val="16"/>
        </w:rPr>
        <w:t>accounting</w:t>
      </w:r>
      <w:r>
        <w:rPr>
          <w:rFonts w:ascii="Arial"/>
          <w:i/>
          <w:spacing w:val="6"/>
          <w:sz w:val="16"/>
        </w:rPr>
        <w:t> </w:t>
      </w:r>
      <w:r>
        <w:rPr>
          <w:rFonts w:ascii="Arial"/>
          <w:i/>
          <w:sz w:val="16"/>
        </w:rPr>
        <w:t>expense</w:t>
      </w:r>
      <w:r>
        <w:rPr>
          <w:rFonts w:ascii="Arial"/>
          <w:i/>
          <w:spacing w:val="6"/>
          <w:sz w:val="16"/>
        </w:rPr>
        <w:t> </w:t>
      </w:r>
      <w:r>
        <w:rPr>
          <w:rFonts w:ascii="Arial"/>
          <w:i/>
          <w:sz w:val="16"/>
        </w:rPr>
        <w:t>to</w:t>
      </w:r>
      <w:r>
        <w:rPr>
          <w:rFonts w:ascii="Arial"/>
          <w:i/>
          <w:spacing w:val="7"/>
          <w:sz w:val="16"/>
        </w:rPr>
        <w:t> </w:t>
      </w:r>
      <w:r>
        <w:rPr>
          <w:rFonts w:ascii="Arial"/>
          <w:i/>
          <w:sz w:val="16"/>
        </w:rPr>
        <w:t>arrive</w:t>
      </w:r>
      <w:r>
        <w:rPr>
          <w:rFonts w:ascii="Arial"/>
          <w:i/>
          <w:spacing w:val="6"/>
          <w:sz w:val="16"/>
        </w:rPr>
        <w:t> </w:t>
      </w:r>
      <w:r>
        <w:rPr>
          <w:rFonts w:ascii="Arial"/>
          <w:i/>
          <w:sz w:val="16"/>
        </w:rPr>
        <w:t>at</w:t>
      </w:r>
      <w:r>
        <w:rPr>
          <w:rFonts w:ascii="Arial"/>
          <w:i/>
          <w:spacing w:val="7"/>
          <w:sz w:val="16"/>
        </w:rPr>
        <w:t> </w:t>
      </w:r>
      <w:r>
        <w:rPr>
          <w:rFonts w:ascii="Arial"/>
          <w:i/>
          <w:sz w:val="16"/>
        </w:rPr>
        <w:t>pension</w:t>
      </w:r>
      <w:r>
        <w:rPr>
          <w:rFonts w:ascii="Arial"/>
          <w:i/>
          <w:spacing w:val="6"/>
          <w:sz w:val="16"/>
        </w:rPr>
        <w:t> </w:t>
      </w:r>
      <w:r>
        <w:rPr>
          <w:rFonts w:ascii="Arial"/>
          <w:i/>
          <w:sz w:val="16"/>
        </w:rPr>
        <w:t>plan</w:t>
      </w:r>
      <w:r>
        <w:rPr>
          <w:rFonts w:ascii="Arial"/>
          <w:i/>
          <w:spacing w:val="6"/>
          <w:sz w:val="16"/>
        </w:rPr>
        <w:t> </w:t>
      </w:r>
      <w:r>
        <w:rPr>
          <w:rFonts w:ascii="Arial"/>
          <w:i/>
          <w:sz w:val="16"/>
        </w:rPr>
        <w:t>contributions.</w:t>
      </w:r>
      <w:r>
        <w:rPr>
          <w:rFonts w:ascii="Arial"/>
          <w:i/>
          <w:spacing w:val="7"/>
          <w:sz w:val="16"/>
        </w:rPr>
        <w:t> </w:t>
      </w:r>
      <w:r>
        <w:rPr>
          <w:rFonts w:ascii="Arial"/>
          <w:i/>
          <w:sz w:val="16"/>
        </w:rPr>
        <w:t>Pension</w:t>
      </w:r>
      <w:r>
        <w:rPr>
          <w:rFonts w:ascii="Arial"/>
          <w:i/>
          <w:spacing w:val="6"/>
          <w:sz w:val="16"/>
        </w:rPr>
        <w:t> </w:t>
      </w:r>
      <w:r>
        <w:rPr>
          <w:rFonts w:ascii="Arial"/>
          <w:i/>
          <w:sz w:val="16"/>
        </w:rPr>
        <w:t>plan</w:t>
      </w:r>
      <w:r>
        <w:rPr>
          <w:rFonts w:ascii="Arial"/>
          <w:i/>
          <w:spacing w:val="6"/>
          <w:sz w:val="16"/>
        </w:rPr>
        <w:t> </w:t>
      </w:r>
      <w:r>
        <w:rPr>
          <w:rFonts w:ascii="Arial"/>
          <w:i/>
          <w:sz w:val="16"/>
        </w:rPr>
        <w:t>and</w:t>
      </w:r>
      <w:r>
        <w:rPr>
          <w:rFonts w:ascii="Arial"/>
          <w:i/>
          <w:spacing w:val="7"/>
          <w:sz w:val="16"/>
        </w:rPr>
        <w:t> </w:t>
      </w:r>
      <w:r>
        <w:rPr>
          <w:rFonts w:ascii="Arial"/>
          <w:i/>
          <w:sz w:val="16"/>
        </w:rPr>
        <w:t>PCRF</w:t>
      </w:r>
      <w:r>
        <w:rPr>
          <w:rFonts w:ascii="Arial"/>
          <w:i/>
          <w:spacing w:val="6"/>
          <w:sz w:val="16"/>
        </w:rPr>
        <w:t> </w:t>
      </w:r>
      <w:r>
        <w:rPr>
          <w:rFonts w:ascii="Arial"/>
          <w:i/>
          <w:sz w:val="16"/>
        </w:rPr>
        <w:t>contributions</w:t>
      </w:r>
      <w:r>
        <w:rPr>
          <w:rFonts w:ascii="Arial"/>
          <w:i/>
          <w:spacing w:val="7"/>
          <w:sz w:val="16"/>
        </w:rPr>
        <w:t> </w:t>
      </w:r>
      <w:r>
        <w:rPr>
          <w:rFonts w:ascii="Arial"/>
          <w:i/>
          <w:spacing w:val="-4"/>
          <w:sz w:val="16"/>
        </w:rPr>
        <w:t>were</w:t>
      </w:r>
    </w:p>
    <w:p>
      <w:pPr>
        <w:spacing w:before="8"/>
        <w:ind w:left="95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70538752">
                <wp:simplePos x="0" y="0"/>
                <wp:positionH relativeFrom="page">
                  <wp:posOffset>5600700</wp:posOffset>
                </wp:positionH>
                <wp:positionV relativeFrom="paragraph">
                  <wp:posOffset>1004591</wp:posOffset>
                </wp:positionV>
                <wp:extent cx="895350" cy="112204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895350" cy="1122045"/>
                          <a:chExt cx="895350" cy="1122045"/>
                        </a:xfrm>
                      </wpg:grpSpPr>
                      <wps:wsp>
                        <wps:cNvPr id="120" name="Graphic 120"/>
                        <wps:cNvSpPr/>
                        <wps:spPr>
                          <a:xfrm>
                            <a:off x="0" y="0"/>
                            <a:ext cx="38100" cy="123825"/>
                          </a:xfrm>
                          <a:custGeom>
                            <a:avLst/>
                            <a:gdLst/>
                            <a:ahLst/>
                            <a:cxnLst/>
                            <a:rect l="l" t="t" r="r" b="b"/>
                            <a:pathLst>
                              <a:path w="38100" h="123825">
                                <a:moveTo>
                                  <a:pt x="38100" y="0"/>
                                </a:moveTo>
                                <a:lnTo>
                                  <a:pt x="0" y="0"/>
                                </a:lnTo>
                                <a:lnTo>
                                  <a:pt x="0" y="123825"/>
                                </a:lnTo>
                                <a:lnTo>
                                  <a:pt x="38100" y="123825"/>
                                </a:lnTo>
                                <a:lnTo>
                                  <a:pt x="38100" y="0"/>
                                </a:lnTo>
                                <a:close/>
                              </a:path>
                            </a:pathLst>
                          </a:custGeom>
                          <a:solidFill>
                            <a:srgbClr val="B5B5B5"/>
                          </a:solidFill>
                        </wps:spPr>
                        <wps:bodyPr wrap="square" lIns="0" tIns="0" rIns="0" bIns="0" rtlCol="0">
                          <a:prstTxWarp prst="textNoShape">
                            <a:avLst/>
                          </a:prstTxWarp>
                          <a:noAutofit/>
                        </wps:bodyPr>
                      </wps:wsp>
                      <wps:wsp>
                        <wps:cNvPr id="121" name="Graphic 121"/>
                        <wps:cNvSpPr/>
                        <wps:spPr>
                          <a:xfrm>
                            <a:off x="38100" y="141929"/>
                            <a:ext cx="857250" cy="975360"/>
                          </a:xfrm>
                          <a:custGeom>
                            <a:avLst/>
                            <a:gdLst/>
                            <a:ahLst/>
                            <a:cxnLst/>
                            <a:rect l="l" t="t" r="r" b="b"/>
                            <a:pathLst>
                              <a:path w="857250" h="975360">
                                <a:moveTo>
                                  <a:pt x="57150" y="567690"/>
                                </a:moveTo>
                                <a:lnTo>
                                  <a:pt x="0" y="567690"/>
                                </a:lnTo>
                                <a:lnTo>
                                  <a:pt x="0" y="691515"/>
                                </a:lnTo>
                                <a:lnTo>
                                  <a:pt x="57150" y="691515"/>
                                </a:lnTo>
                                <a:lnTo>
                                  <a:pt x="57150" y="567690"/>
                                </a:lnTo>
                                <a:close/>
                              </a:path>
                              <a:path w="857250" h="975360">
                                <a:moveTo>
                                  <a:pt x="114300" y="283845"/>
                                </a:moveTo>
                                <a:lnTo>
                                  <a:pt x="0" y="283845"/>
                                </a:lnTo>
                                <a:lnTo>
                                  <a:pt x="0" y="407670"/>
                                </a:lnTo>
                                <a:lnTo>
                                  <a:pt x="114300" y="407670"/>
                                </a:lnTo>
                                <a:lnTo>
                                  <a:pt x="114300" y="283845"/>
                                </a:lnTo>
                                <a:close/>
                              </a:path>
                              <a:path w="857250" h="975360">
                                <a:moveTo>
                                  <a:pt x="228600" y="0"/>
                                </a:moveTo>
                                <a:lnTo>
                                  <a:pt x="0" y="0"/>
                                </a:lnTo>
                                <a:lnTo>
                                  <a:pt x="0" y="123825"/>
                                </a:lnTo>
                                <a:lnTo>
                                  <a:pt x="228600" y="123825"/>
                                </a:lnTo>
                                <a:lnTo>
                                  <a:pt x="228600" y="0"/>
                                </a:lnTo>
                                <a:close/>
                              </a:path>
                              <a:path w="857250" h="975360">
                                <a:moveTo>
                                  <a:pt x="285750" y="709612"/>
                                </a:moveTo>
                                <a:lnTo>
                                  <a:pt x="0" y="709612"/>
                                </a:lnTo>
                                <a:lnTo>
                                  <a:pt x="0" y="833437"/>
                                </a:lnTo>
                                <a:lnTo>
                                  <a:pt x="285750" y="833437"/>
                                </a:lnTo>
                                <a:lnTo>
                                  <a:pt x="285750" y="709612"/>
                                </a:lnTo>
                                <a:close/>
                              </a:path>
                              <a:path w="857250" h="975360">
                                <a:moveTo>
                                  <a:pt x="390525" y="425767"/>
                                </a:moveTo>
                                <a:lnTo>
                                  <a:pt x="0" y="425767"/>
                                </a:lnTo>
                                <a:lnTo>
                                  <a:pt x="0" y="549592"/>
                                </a:lnTo>
                                <a:lnTo>
                                  <a:pt x="390525" y="549592"/>
                                </a:lnTo>
                                <a:lnTo>
                                  <a:pt x="390525" y="425767"/>
                                </a:lnTo>
                                <a:close/>
                              </a:path>
                              <a:path w="857250" h="975360">
                                <a:moveTo>
                                  <a:pt x="857250" y="851535"/>
                                </a:moveTo>
                                <a:lnTo>
                                  <a:pt x="0" y="851535"/>
                                </a:lnTo>
                                <a:lnTo>
                                  <a:pt x="0" y="975360"/>
                                </a:lnTo>
                                <a:lnTo>
                                  <a:pt x="857250" y="975360"/>
                                </a:lnTo>
                                <a:lnTo>
                                  <a:pt x="857250" y="851535"/>
                                </a:lnTo>
                                <a:close/>
                              </a:path>
                              <a:path w="857250" h="975360">
                                <a:moveTo>
                                  <a:pt x="857250" y="141922"/>
                                </a:moveTo>
                                <a:lnTo>
                                  <a:pt x="0" y="141922"/>
                                </a:lnTo>
                                <a:lnTo>
                                  <a:pt x="0" y="265747"/>
                                </a:lnTo>
                                <a:lnTo>
                                  <a:pt x="857250" y="265747"/>
                                </a:lnTo>
                                <a:lnTo>
                                  <a:pt x="857250" y="141922"/>
                                </a:lnTo>
                                <a:close/>
                              </a:path>
                            </a:pathLst>
                          </a:custGeom>
                          <a:solidFill>
                            <a:srgbClr val="6D6D6D"/>
                          </a:solidFill>
                        </wps:spPr>
                        <wps:bodyPr wrap="square" lIns="0" tIns="0" rIns="0" bIns="0" rtlCol="0">
                          <a:prstTxWarp prst="textNoShape">
                            <a:avLst/>
                          </a:prstTxWarp>
                          <a:noAutofit/>
                        </wps:bodyPr>
                      </wps:wsp>
                      <wps:wsp>
                        <wps:cNvPr id="122" name="Textbox 122"/>
                        <wps:cNvSpPr txBox="1"/>
                        <wps:spPr>
                          <a:xfrm>
                            <a:off x="0" y="0"/>
                            <a:ext cx="895350" cy="1122045"/>
                          </a:xfrm>
                          <a:prstGeom prst="rect">
                            <a:avLst/>
                          </a:prstGeom>
                        </wps:spPr>
                        <wps:txbx>
                          <w:txbxContent>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110"/>
                                <w:rPr>
                                  <w:rFonts w:ascii="Arial"/>
                                  <w:i/>
                                  <w:sz w:val="16"/>
                                </w:rPr>
                              </w:pPr>
                            </w:p>
                            <w:p>
                              <w:pPr>
                                <w:spacing w:before="0"/>
                                <w:ind w:left="840" w:right="0" w:firstLine="0"/>
                                <w:jc w:val="left"/>
                                <w:rPr>
                                  <w:rFonts w:ascii="Arial MT"/>
                                  <w:sz w:val="16"/>
                                </w:rPr>
                              </w:pPr>
                              <w:r>
                                <w:rPr>
                                  <w:rFonts w:ascii="Arial MT"/>
                                  <w:color w:val="FFFFFF"/>
                                  <w:spacing w:val="-2"/>
                                  <w:sz w:val="16"/>
                                </w:rPr>
                                <w:t>15,099</w:t>
                              </w:r>
                            </w:p>
                          </w:txbxContent>
                        </wps:txbx>
                        <wps:bodyPr wrap="square" lIns="0" tIns="0" rIns="0" bIns="0" rtlCol="0">
                          <a:noAutofit/>
                        </wps:bodyPr>
                      </wps:wsp>
                    </wpg:wgp>
                  </a:graphicData>
                </a:graphic>
              </wp:anchor>
            </w:drawing>
          </mc:Choice>
          <mc:Fallback>
            <w:pict>
              <v:group style="position:absolute;margin-left:441pt;margin-top:79.101654pt;width:70.5pt;height:88.35pt;mso-position-horizontal-relative:page;mso-position-vertical-relative:paragraph;z-index:-32777728" id="docshapegroup89" coordorigin="8820,1582" coordsize="1410,1767">
                <v:rect style="position:absolute;left:8820;top:1582;width:60;height:195" id="docshape90" filled="true" fillcolor="#b5b5b5" stroked="false">
                  <v:fill type="solid"/>
                </v:rect>
                <v:shape style="position:absolute;left:8880;top:1805;width:1350;height:1536" id="docshape91" coordorigin="8880,1806" coordsize="1350,1536" path="m8970,2700l8880,2700,8880,2895,8970,2895,8970,2700xm9060,2253l8880,2253,8880,2448,9060,2448,9060,2253xm9240,1806l8880,1806,8880,2001,9240,2001,9240,1806xm9330,2923l8880,2923,8880,3118,9330,3118,9330,2923xm9495,2476l8880,2476,8880,2671,9495,2671,9495,2476xm10230,3147l8880,3147,8880,3342,10230,3342,10230,3147xm10230,2029l8880,2029,8880,2224,10230,2224,10230,2029xe" filled="true" fillcolor="#6d6d6d" stroked="false">
                  <v:path arrowok="t"/>
                  <v:fill type="solid"/>
                </v:shape>
                <v:shape style="position:absolute;left:8820;top:1582;width:1410;height:1767" type="#_x0000_t202" id="docshape92" filled="false" stroked="false">
                  <v:textbox inset="0,0,0,0">
                    <w:txbxContent>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0"/>
                          <w:rPr>
                            <w:rFonts w:ascii="Arial"/>
                            <w:i/>
                            <w:sz w:val="16"/>
                          </w:rPr>
                        </w:pPr>
                      </w:p>
                      <w:p>
                        <w:pPr>
                          <w:spacing w:line="240" w:lineRule="auto" w:before="110"/>
                          <w:rPr>
                            <w:rFonts w:ascii="Arial"/>
                            <w:i/>
                            <w:sz w:val="16"/>
                          </w:rPr>
                        </w:pPr>
                      </w:p>
                      <w:p>
                        <w:pPr>
                          <w:spacing w:before="0"/>
                          <w:ind w:left="840" w:right="0" w:firstLine="0"/>
                          <w:jc w:val="left"/>
                          <w:rPr>
                            <w:rFonts w:ascii="Arial MT"/>
                            <w:sz w:val="16"/>
                          </w:rPr>
                        </w:pPr>
                        <w:r>
                          <w:rPr>
                            <w:rFonts w:ascii="Arial MT"/>
                            <w:color w:val="FFFFFF"/>
                            <w:spacing w:val="-2"/>
                            <w:sz w:val="16"/>
                          </w:rPr>
                          <w:t>15,099</w:t>
                        </w:r>
                      </w:p>
                    </w:txbxContent>
                  </v:textbox>
                  <w10:wrap type="none"/>
                </v:shape>
                <w10:wrap type="none"/>
              </v:group>
            </w:pict>
          </mc:Fallback>
        </mc:AlternateContent>
      </w:r>
      <w:r>
        <w:rPr>
          <w:rFonts w:ascii="Arial"/>
          <w:i/>
          <w:sz w:val="16"/>
        </w:rPr>
        <w:t>$264</w:t>
      </w:r>
      <w:r>
        <w:rPr>
          <w:rFonts w:ascii="Arial"/>
          <w:i/>
          <w:spacing w:val="-4"/>
          <w:sz w:val="16"/>
        </w:rPr>
        <w:t> </w:t>
      </w:r>
      <w:r>
        <w:rPr>
          <w:rFonts w:ascii="Arial"/>
          <w:i/>
          <w:sz w:val="16"/>
        </w:rPr>
        <w:t>million</w:t>
      </w:r>
      <w:r>
        <w:rPr>
          <w:rFonts w:ascii="Arial"/>
          <w:i/>
          <w:spacing w:val="-4"/>
          <w:sz w:val="16"/>
        </w:rPr>
        <w:t> </w:t>
      </w:r>
      <w:r>
        <w:rPr>
          <w:rFonts w:ascii="Arial"/>
          <w:i/>
          <w:sz w:val="16"/>
        </w:rPr>
        <w:t>in</w:t>
      </w:r>
      <w:r>
        <w:rPr>
          <w:rFonts w:ascii="Arial"/>
          <w:i/>
          <w:spacing w:val="-5"/>
          <w:sz w:val="16"/>
        </w:rPr>
        <w:t> </w:t>
      </w:r>
      <w:r>
        <w:rPr>
          <w:rFonts w:ascii="Arial"/>
          <w:i/>
          <w:sz w:val="16"/>
        </w:rPr>
        <w:t>FY23</w:t>
      </w:r>
      <w:r>
        <w:rPr>
          <w:rFonts w:ascii="Arial"/>
          <w:i/>
          <w:spacing w:val="-3"/>
          <w:sz w:val="16"/>
        </w:rPr>
        <w:t> </w:t>
      </w:r>
      <w:r>
        <w:rPr>
          <w:rFonts w:ascii="Arial"/>
          <w:i/>
          <w:sz w:val="16"/>
        </w:rPr>
        <w:t>and</w:t>
      </w:r>
      <w:r>
        <w:rPr>
          <w:rFonts w:ascii="Arial"/>
          <w:i/>
          <w:spacing w:val="-4"/>
          <w:sz w:val="16"/>
        </w:rPr>
        <w:t> </w:t>
      </w:r>
      <w:r>
        <w:rPr>
          <w:rFonts w:ascii="Arial"/>
          <w:i/>
          <w:sz w:val="16"/>
        </w:rPr>
        <w:t>$250</w:t>
      </w:r>
      <w:r>
        <w:rPr>
          <w:rFonts w:ascii="Arial"/>
          <w:i/>
          <w:spacing w:val="-4"/>
          <w:sz w:val="16"/>
        </w:rPr>
        <w:t> </w:t>
      </w:r>
      <w:r>
        <w:rPr>
          <w:rFonts w:ascii="Arial"/>
          <w:i/>
          <w:sz w:val="16"/>
        </w:rPr>
        <w:t>million</w:t>
      </w:r>
      <w:r>
        <w:rPr>
          <w:rFonts w:ascii="Arial"/>
          <w:i/>
          <w:spacing w:val="-4"/>
          <w:sz w:val="16"/>
        </w:rPr>
        <w:t> </w:t>
      </w:r>
      <w:r>
        <w:rPr>
          <w:rFonts w:ascii="Arial"/>
          <w:i/>
          <w:sz w:val="16"/>
        </w:rPr>
        <w:t>in</w:t>
      </w:r>
      <w:r>
        <w:rPr>
          <w:rFonts w:ascii="Arial"/>
          <w:i/>
          <w:spacing w:val="-4"/>
          <w:sz w:val="16"/>
        </w:rPr>
        <w:t> FY22.</w:t>
      </w:r>
    </w:p>
    <w:p>
      <w:pPr>
        <w:pStyle w:val="BodyText"/>
        <w:spacing w:before="4"/>
        <w:rPr>
          <w:rFonts w:ascii="Arial"/>
          <w:i/>
          <w:sz w:val="19"/>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5"/>
        <w:gridCol w:w="1200"/>
        <w:gridCol w:w="1200"/>
        <w:gridCol w:w="1275"/>
        <w:gridCol w:w="658"/>
        <w:gridCol w:w="1263"/>
      </w:tblGrid>
      <w:tr>
        <w:trPr>
          <w:trHeight w:val="444" w:hRule="atLeast"/>
        </w:trPr>
        <w:tc>
          <w:tcPr>
            <w:tcW w:w="3765" w:type="dxa"/>
          </w:tcPr>
          <w:p>
            <w:pPr>
              <w:pStyle w:val="TableParagraph"/>
              <w:spacing w:line="201" w:lineRule="exact"/>
              <w:ind w:left="50"/>
              <w:rPr>
                <w:rFonts w:ascii="Arial"/>
                <w:b/>
                <w:sz w:val="18"/>
              </w:rPr>
            </w:pPr>
            <w:bookmarkStart w:name="_bookmark7" w:id="18"/>
            <w:bookmarkEnd w:id="18"/>
            <w:r>
              <w:rPr/>
            </w:r>
            <w:r>
              <w:rPr>
                <w:rFonts w:ascii="Arial"/>
                <w:b/>
                <w:sz w:val="18"/>
              </w:rPr>
              <w:t>Table</w:t>
            </w:r>
            <w:r>
              <w:rPr>
                <w:rFonts w:ascii="Arial"/>
                <w:b/>
                <w:spacing w:val="-4"/>
                <w:sz w:val="18"/>
              </w:rPr>
              <w:t> </w:t>
            </w:r>
            <w:r>
              <w:rPr>
                <w:rFonts w:ascii="Arial"/>
                <w:b/>
                <w:sz w:val="18"/>
              </w:rPr>
              <w:t>2:</w:t>
            </w:r>
            <w:r>
              <w:rPr>
                <w:rFonts w:ascii="Arial"/>
                <w:b/>
                <w:spacing w:val="-2"/>
                <w:sz w:val="18"/>
              </w:rPr>
              <w:t> </w:t>
            </w:r>
            <w:r>
              <w:rPr>
                <w:rFonts w:ascii="Arial"/>
                <w:b/>
                <w:sz w:val="18"/>
              </w:rPr>
              <w:t>Balance</w:t>
            </w:r>
            <w:r>
              <w:rPr>
                <w:rFonts w:ascii="Arial"/>
                <w:b/>
                <w:spacing w:val="-2"/>
                <w:sz w:val="18"/>
              </w:rPr>
              <w:t> Sheets</w:t>
            </w:r>
          </w:p>
          <w:p>
            <w:pPr>
              <w:pStyle w:val="TableParagraph"/>
              <w:spacing w:before="38"/>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5596" w:type="dxa"/>
            <w:gridSpan w:val="5"/>
          </w:tcPr>
          <w:p>
            <w:pPr>
              <w:pStyle w:val="TableParagraph"/>
              <w:rPr>
                <w:rFonts w:ascii="Times New Roman"/>
                <w:sz w:val="16"/>
              </w:rPr>
            </w:pPr>
          </w:p>
        </w:tc>
      </w:tr>
      <w:tr>
        <w:trPr>
          <w:trHeight w:val="229" w:hRule="atLeast"/>
        </w:trPr>
        <w:tc>
          <w:tcPr>
            <w:tcW w:w="3765" w:type="dxa"/>
          </w:tcPr>
          <w:p>
            <w:pPr>
              <w:pStyle w:val="TableParagraph"/>
              <w:spacing w:before="19"/>
              <w:ind w:left="52"/>
              <w:rPr>
                <w:rFonts w:ascii="Arial"/>
                <w:i/>
                <w:sz w:val="16"/>
              </w:rPr>
            </w:pPr>
            <w:r>
              <w:rPr>
                <w:rFonts w:ascii="Arial"/>
                <w:i/>
                <w:color w:val="A5A5A5"/>
                <w:sz w:val="16"/>
              </w:rPr>
              <w:t>As</w:t>
            </w:r>
            <w:r>
              <w:rPr>
                <w:rFonts w:ascii="Arial"/>
                <w:i/>
                <w:color w:val="A5A5A5"/>
                <w:spacing w:val="-1"/>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1"/>
                <w:sz w:val="16"/>
              </w:rPr>
              <w:t> </w:t>
            </w:r>
            <w:r>
              <w:rPr>
                <w:rFonts w:ascii="Arial"/>
                <w:i/>
                <w:color w:val="A5A5A5"/>
                <w:spacing w:val="-5"/>
                <w:sz w:val="16"/>
              </w:rPr>
              <w:t>30,</w:t>
            </w:r>
          </w:p>
        </w:tc>
        <w:tc>
          <w:tcPr>
            <w:tcW w:w="1200" w:type="dxa"/>
          </w:tcPr>
          <w:p>
            <w:pPr>
              <w:pStyle w:val="TableParagraph"/>
              <w:spacing w:before="16"/>
              <w:ind w:right="50"/>
              <w:jc w:val="right"/>
              <w:rPr>
                <w:rFonts w:ascii="Arial"/>
                <w:i/>
                <w:sz w:val="16"/>
              </w:rPr>
            </w:pPr>
            <w:r>
              <w:rPr>
                <w:rFonts w:ascii="Arial"/>
                <w:i/>
                <w:color w:val="A5A5A5"/>
                <w:spacing w:val="-4"/>
                <w:sz w:val="16"/>
              </w:rPr>
              <w:t>2023</w:t>
            </w:r>
          </w:p>
        </w:tc>
        <w:tc>
          <w:tcPr>
            <w:tcW w:w="1200" w:type="dxa"/>
          </w:tcPr>
          <w:p>
            <w:pPr>
              <w:pStyle w:val="TableParagraph"/>
              <w:spacing w:before="16"/>
              <w:ind w:right="50"/>
              <w:jc w:val="right"/>
              <w:rPr>
                <w:rFonts w:ascii="Arial"/>
                <w:i/>
                <w:sz w:val="16"/>
              </w:rPr>
            </w:pPr>
            <w:r>
              <w:rPr>
                <w:rFonts w:ascii="Arial"/>
                <w:i/>
                <w:color w:val="A5A5A5"/>
                <w:spacing w:val="-4"/>
                <w:sz w:val="16"/>
              </w:rPr>
              <w:t>2022</w:t>
            </w:r>
          </w:p>
        </w:tc>
        <w:tc>
          <w:tcPr>
            <w:tcW w:w="1275" w:type="dxa"/>
          </w:tcPr>
          <w:p>
            <w:pPr>
              <w:pStyle w:val="TableParagraph"/>
              <w:spacing w:before="19"/>
              <w:ind w:right="80"/>
              <w:jc w:val="right"/>
              <w:rPr>
                <w:rFonts w:ascii="Arial"/>
                <w:i/>
                <w:sz w:val="16"/>
              </w:rPr>
            </w:pPr>
            <w:r>
              <w:rPr>
                <w:rFonts w:ascii="Arial"/>
                <w:i/>
                <w:color w:val="A5A5A5"/>
                <w:spacing w:val="-2"/>
                <w:sz w:val="16"/>
              </w:rPr>
              <w:t>Decrease</w:t>
            </w:r>
          </w:p>
        </w:tc>
        <w:tc>
          <w:tcPr>
            <w:tcW w:w="1921" w:type="dxa"/>
            <w:gridSpan w:val="2"/>
          </w:tcPr>
          <w:p>
            <w:pPr>
              <w:pStyle w:val="TableParagraph"/>
              <w:spacing w:before="19"/>
              <w:ind w:left="600"/>
              <w:rPr>
                <w:rFonts w:ascii="Arial"/>
                <w:i/>
                <w:sz w:val="16"/>
              </w:rPr>
            </w:pPr>
            <w:r>
              <w:rPr>
                <w:rFonts w:ascii="Arial"/>
                <w:i/>
                <w:color w:val="A5A5A5"/>
                <w:spacing w:val="-2"/>
                <w:sz w:val="16"/>
              </w:rPr>
              <w:t>Increase</w:t>
            </w:r>
          </w:p>
        </w:tc>
      </w:tr>
      <w:tr>
        <w:trPr>
          <w:trHeight w:val="241" w:hRule="atLeast"/>
        </w:trPr>
        <w:tc>
          <w:tcPr>
            <w:tcW w:w="3765" w:type="dxa"/>
          </w:tcPr>
          <w:p>
            <w:pPr>
              <w:pStyle w:val="TableParagraph"/>
              <w:spacing w:before="22"/>
              <w:ind w:left="52"/>
              <w:rPr>
                <w:sz w:val="16"/>
              </w:rPr>
            </w:pPr>
            <w:r>
              <w:rPr>
                <w:sz w:val="16"/>
              </w:rPr>
              <mc:AlternateContent>
                <mc:Choice Requires="wps">
                  <w:drawing>
                    <wp:anchor distT="0" distB="0" distL="0" distR="0" allowOverlap="1" layoutInCell="1" locked="0" behindDoc="1" simplePos="0" relativeHeight="470537216">
                      <wp:simplePos x="0" y="0"/>
                      <wp:positionH relativeFrom="column">
                        <wp:posOffset>0</wp:posOffset>
                      </wp:positionH>
                      <wp:positionV relativeFrom="paragraph">
                        <wp:posOffset>-6681</wp:posOffset>
                      </wp:positionV>
                      <wp:extent cx="5895975" cy="16002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895975" cy="160020"/>
                                <a:chExt cx="5895975" cy="160020"/>
                              </a:xfrm>
                            </wpg:grpSpPr>
                            <wps:wsp>
                              <wps:cNvPr id="124" name="Graphic 124"/>
                              <wps:cNvSpPr/>
                              <wps:spPr>
                                <a:xfrm>
                                  <a:off x="0" y="6350"/>
                                  <a:ext cx="5895975" cy="1270"/>
                                </a:xfrm>
                                <a:custGeom>
                                  <a:avLst/>
                                  <a:gdLst/>
                                  <a:ahLst/>
                                  <a:cxnLst/>
                                  <a:rect l="l" t="t" r="r" b="b"/>
                                  <a:pathLst>
                                    <a:path w="5895975" h="0">
                                      <a:moveTo>
                                        <a:pt x="0" y="0"/>
                                      </a:moveTo>
                                      <a:lnTo>
                                        <a:pt x="3914775" y="0"/>
                                      </a:lnTo>
                                    </a:path>
                                    <a:path w="5895975" h="0">
                                      <a:moveTo>
                                        <a:pt x="3914775" y="0"/>
                                      </a:moveTo>
                                      <a:lnTo>
                                        <a:pt x="5895975" y="0"/>
                                      </a:lnTo>
                                    </a:path>
                                  </a:pathLst>
                                </a:custGeom>
                                <a:ln w="12700">
                                  <a:solidFill>
                                    <a:srgbClr val="6C6C6C"/>
                                  </a:solidFill>
                                  <a:prstDash val="solid"/>
                                </a:ln>
                              </wps:spPr>
                              <wps:bodyPr wrap="square" lIns="0" tIns="0" rIns="0" bIns="0" rtlCol="0">
                                <a:prstTxWarp prst="textNoShape">
                                  <a:avLst/>
                                </a:prstTxWarp>
                                <a:noAutofit/>
                              </wps:bodyPr>
                            </wps:wsp>
                            <wps:wsp>
                              <wps:cNvPr id="125" name="Graphic 125"/>
                              <wps:cNvSpPr/>
                              <wps:spPr>
                                <a:xfrm>
                                  <a:off x="4581525" y="35603"/>
                                  <a:ext cx="142875" cy="123825"/>
                                </a:xfrm>
                                <a:custGeom>
                                  <a:avLst/>
                                  <a:gdLst/>
                                  <a:ahLst/>
                                  <a:cxnLst/>
                                  <a:rect l="l" t="t" r="r" b="b"/>
                                  <a:pathLst>
                                    <a:path w="142875" h="123825">
                                      <a:moveTo>
                                        <a:pt x="142875" y="0"/>
                                      </a:moveTo>
                                      <a:lnTo>
                                        <a:pt x="0" y="0"/>
                                      </a:lnTo>
                                      <a:lnTo>
                                        <a:pt x="0" y="123825"/>
                                      </a:lnTo>
                                      <a:lnTo>
                                        <a:pt x="142875" y="123825"/>
                                      </a:lnTo>
                                      <a:lnTo>
                                        <a:pt x="142875" y="0"/>
                                      </a:lnTo>
                                      <a:close/>
                                    </a:path>
                                  </a:pathLst>
                                </a:custGeom>
                                <a:solidFill>
                                  <a:srgbClr val="B5B5B5"/>
                                </a:solidFill>
                              </wps:spPr>
                              <wps:bodyPr wrap="square" lIns="0" tIns="0" rIns="0" bIns="0" rtlCol="0">
                                <a:prstTxWarp prst="textNoShape">
                                  <a:avLst/>
                                </a:prstTxWarp>
                                <a:noAutofit/>
                              </wps:bodyPr>
                            </wps:wsp>
                          </wpg:wgp>
                        </a:graphicData>
                      </a:graphic>
                    </wp:anchor>
                  </w:drawing>
                </mc:Choice>
                <mc:Fallback>
                  <w:pict>
                    <v:group style="position:absolute;margin-left:0pt;margin-top:-.526096pt;width:464.25pt;height:12.6pt;mso-position-horizontal-relative:column;mso-position-vertical-relative:paragraph;z-index:-32779264" id="docshapegroup93" coordorigin="0,-11" coordsize="9285,252">
                      <v:shape style="position:absolute;left:0;top:-1;width:9285;height:2" id="docshape94" coordorigin="0,-1" coordsize="9285,0" path="m0,-1l6165,-1m6165,-1l9285,-1e" filled="false" stroked="true" strokeweight="1pt" strokecolor="#6c6c6c">
                        <v:path arrowok="t"/>
                        <v:stroke dashstyle="solid"/>
                      </v:shape>
                      <v:rect style="position:absolute;left:7215;top:45;width:225;height:195" id="docshape95" filled="true" fillcolor="#b5b5b5" stroked="false">
                        <v:fill type="solid"/>
                      </v:rect>
                      <w10:wrap type="none"/>
                    </v:group>
                  </w:pict>
                </mc:Fallback>
              </mc:AlternateContent>
            </w:r>
            <w:r>
              <w:rPr>
                <w:sz w:val="16"/>
              </w:rPr>
              <w:t>Investments</w:t>
            </w:r>
            <w:r>
              <w:rPr>
                <w:spacing w:val="-3"/>
                <w:sz w:val="16"/>
              </w:rPr>
              <w:t> </w:t>
            </w:r>
            <w:r>
              <w:rPr>
                <w:sz w:val="16"/>
              </w:rPr>
              <w:t>and</w:t>
            </w:r>
            <w:r>
              <w:rPr>
                <w:spacing w:val="-3"/>
                <w:sz w:val="16"/>
              </w:rPr>
              <w:t> </w:t>
            </w:r>
            <w:r>
              <w:rPr>
                <w:sz w:val="16"/>
              </w:rPr>
              <w:t>due</w:t>
            </w:r>
            <w:r>
              <w:rPr>
                <w:spacing w:val="-3"/>
                <w:sz w:val="16"/>
              </w:rPr>
              <w:t> </w:t>
            </w:r>
            <w:r>
              <w:rPr>
                <w:sz w:val="16"/>
              </w:rPr>
              <w:t>from</w:t>
            </w:r>
            <w:r>
              <w:rPr>
                <w:spacing w:val="-2"/>
                <w:sz w:val="16"/>
              </w:rPr>
              <w:t> banks</w:t>
            </w:r>
          </w:p>
        </w:tc>
        <w:tc>
          <w:tcPr>
            <w:tcW w:w="1200" w:type="dxa"/>
          </w:tcPr>
          <w:p>
            <w:pPr>
              <w:pStyle w:val="TableParagraph"/>
              <w:tabs>
                <w:tab w:pos="590" w:val="left" w:leader="none"/>
              </w:tabs>
              <w:spacing w:before="22"/>
              <w:ind w:right="66"/>
              <w:jc w:val="right"/>
              <w:rPr>
                <w:sz w:val="16"/>
              </w:rPr>
            </w:pPr>
            <w:r>
              <w:rPr>
                <w:spacing w:val="-10"/>
                <w:sz w:val="16"/>
              </w:rPr>
              <w:t>$</w:t>
            </w:r>
            <w:r>
              <w:rPr>
                <w:sz w:val="16"/>
              </w:rPr>
              <w:tab/>
            </w:r>
            <w:r>
              <w:rPr>
                <w:spacing w:val="-2"/>
                <w:sz w:val="16"/>
              </w:rPr>
              <w:t>79,824</w:t>
            </w:r>
          </w:p>
        </w:tc>
        <w:tc>
          <w:tcPr>
            <w:tcW w:w="1200" w:type="dxa"/>
          </w:tcPr>
          <w:p>
            <w:pPr>
              <w:pStyle w:val="TableParagraph"/>
              <w:tabs>
                <w:tab w:pos="590" w:val="left" w:leader="none"/>
              </w:tabs>
              <w:spacing w:before="22"/>
              <w:ind w:right="66"/>
              <w:jc w:val="right"/>
              <w:rPr>
                <w:sz w:val="16"/>
              </w:rPr>
            </w:pPr>
            <w:r>
              <w:rPr>
                <w:spacing w:val="-10"/>
                <w:sz w:val="16"/>
              </w:rPr>
              <w:t>$</w:t>
            </w:r>
            <w:r>
              <w:rPr>
                <w:sz w:val="16"/>
              </w:rPr>
              <w:tab/>
            </w:r>
            <w:r>
              <w:rPr>
                <w:spacing w:val="-2"/>
                <w:sz w:val="16"/>
              </w:rPr>
              <w:t>82,299</w:t>
            </w:r>
          </w:p>
        </w:tc>
        <w:tc>
          <w:tcPr>
            <w:tcW w:w="1275" w:type="dxa"/>
          </w:tcPr>
          <w:p>
            <w:pPr>
              <w:pStyle w:val="TableParagraph"/>
              <w:spacing w:line="156" w:lineRule="exact" w:before="65"/>
              <w:ind w:left="465"/>
              <w:rPr>
                <w:sz w:val="16"/>
              </w:rPr>
            </w:pPr>
            <w:r>
              <w:rPr>
                <w:color w:val="585858"/>
                <w:spacing w:val="-2"/>
                <w:sz w:val="16"/>
              </w:rPr>
              <w:t>(2,475)</w:t>
            </w:r>
          </w:p>
        </w:tc>
        <w:tc>
          <w:tcPr>
            <w:tcW w:w="1921" w:type="dxa"/>
            <w:gridSpan w:val="2"/>
          </w:tcPr>
          <w:p>
            <w:pPr>
              <w:pStyle w:val="TableParagraph"/>
              <w:rPr>
                <w:rFonts w:ascii="Times New Roman"/>
                <w:sz w:val="16"/>
              </w:rPr>
            </w:pPr>
          </w:p>
        </w:tc>
      </w:tr>
      <w:tr>
        <w:trPr>
          <w:trHeight w:val="250" w:hRule="atLeast"/>
        </w:trPr>
        <w:tc>
          <w:tcPr>
            <w:tcW w:w="3765" w:type="dxa"/>
          </w:tcPr>
          <w:p>
            <w:pPr>
              <w:pStyle w:val="TableParagraph"/>
              <w:spacing w:before="21"/>
              <w:ind w:left="52"/>
              <w:rPr>
                <w:sz w:val="16"/>
              </w:rPr>
            </w:pPr>
            <w:r>
              <w:rPr>
                <w:sz w:val="16"/>
              </w:rPr>
              <w:t>Net</w:t>
            </w:r>
            <w:r>
              <w:rPr>
                <w:spacing w:val="-5"/>
                <w:sz w:val="16"/>
              </w:rPr>
              <w:t> </w:t>
            </w:r>
            <w:r>
              <w:rPr>
                <w:sz w:val="16"/>
              </w:rPr>
              <w:t>loans</w:t>
            </w:r>
            <w:r>
              <w:rPr>
                <w:spacing w:val="-4"/>
                <w:sz w:val="16"/>
              </w:rPr>
              <w:t> </w:t>
            </w:r>
            <w:r>
              <w:rPr>
                <w:sz w:val="16"/>
              </w:rPr>
              <w:t>outstanding</w:t>
            </w:r>
            <w:r>
              <w:rPr>
                <w:spacing w:val="-5"/>
                <w:sz w:val="16"/>
              </w:rPr>
              <w:t> </w:t>
            </w:r>
            <w:r>
              <w:rPr>
                <w:spacing w:val="-10"/>
                <w:sz w:val="16"/>
                <w:vertAlign w:val="superscript"/>
              </w:rPr>
              <w:t>a</w:t>
            </w:r>
          </w:p>
        </w:tc>
        <w:tc>
          <w:tcPr>
            <w:tcW w:w="1200" w:type="dxa"/>
          </w:tcPr>
          <w:p>
            <w:pPr>
              <w:pStyle w:val="TableParagraph"/>
              <w:spacing w:before="21"/>
              <w:ind w:right="66"/>
              <w:jc w:val="right"/>
              <w:rPr>
                <w:sz w:val="16"/>
              </w:rPr>
            </w:pPr>
            <w:r>
              <w:rPr>
                <w:spacing w:val="-2"/>
                <w:sz w:val="16"/>
              </w:rPr>
              <w:t>241,041</w:t>
            </w:r>
          </w:p>
        </w:tc>
        <w:tc>
          <w:tcPr>
            <w:tcW w:w="1200" w:type="dxa"/>
          </w:tcPr>
          <w:p>
            <w:pPr>
              <w:pStyle w:val="TableParagraph"/>
              <w:spacing w:before="21"/>
              <w:ind w:right="66"/>
              <w:jc w:val="right"/>
              <w:rPr>
                <w:sz w:val="16"/>
              </w:rPr>
            </w:pPr>
            <w:r>
              <w:rPr>
                <w:spacing w:val="-2"/>
                <w:sz w:val="16"/>
              </w:rPr>
              <w:t>227,092</w:t>
            </w:r>
          </w:p>
        </w:tc>
        <w:tc>
          <w:tcPr>
            <w:tcW w:w="1275" w:type="dxa"/>
          </w:tcPr>
          <w:p>
            <w:pPr>
              <w:pStyle w:val="TableParagraph"/>
              <w:rPr>
                <w:rFonts w:ascii="Times New Roman"/>
                <w:sz w:val="16"/>
              </w:rPr>
            </w:pPr>
          </w:p>
        </w:tc>
        <w:tc>
          <w:tcPr>
            <w:tcW w:w="1921" w:type="dxa"/>
            <w:gridSpan w:val="2"/>
          </w:tcPr>
          <w:p>
            <w:pPr>
              <w:pStyle w:val="TableParagraph"/>
              <w:tabs>
                <w:tab w:pos="674" w:val="left" w:leader="none"/>
              </w:tabs>
              <w:spacing w:line="181" w:lineRule="exact" w:before="49"/>
              <w:rPr>
                <w:sz w:val="16"/>
              </w:rPr>
            </w:pPr>
            <w:r>
              <w:rPr>
                <w:rFonts w:ascii="Times New Roman"/>
                <w:color w:val="FFFFFF"/>
                <w:sz w:val="16"/>
                <w:shd w:fill="6D6D6D" w:color="auto" w:val="clear"/>
              </w:rPr>
              <w:tab/>
            </w:r>
            <w:r>
              <w:rPr>
                <w:color w:val="FFFFFF"/>
                <w:spacing w:val="-2"/>
                <w:sz w:val="16"/>
                <w:shd w:fill="6D6D6D" w:color="auto" w:val="clear"/>
              </w:rPr>
              <w:t>13,949</w:t>
            </w:r>
            <w:r>
              <w:rPr>
                <w:color w:val="FFFFFF"/>
                <w:spacing w:val="80"/>
                <w:sz w:val="16"/>
                <w:shd w:fill="6D6D6D" w:color="auto" w:val="clear"/>
              </w:rPr>
              <w:t> </w:t>
            </w:r>
          </w:p>
        </w:tc>
      </w:tr>
      <w:tr>
        <w:trPr>
          <w:trHeight w:val="228" w:hRule="atLeast"/>
        </w:trPr>
        <w:tc>
          <w:tcPr>
            <w:tcW w:w="3765" w:type="dxa"/>
          </w:tcPr>
          <w:p>
            <w:pPr>
              <w:pStyle w:val="TableParagraph"/>
              <w:spacing w:before="11"/>
              <w:ind w:left="52"/>
              <w:rPr>
                <w:sz w:val="16"/>
              </w:rPr>
            </w:pPr>
            <w:r>
              <w:rPr>
                <w:sz w:val="16"/>
              </w:rPr>
              <w:t>Derivative</w:t>
            </w:r>
            <w:r>
              <w:rPr>
                <w:spacing w:val="-5"/>
                <w:sz w:val="16"/>
              </w:rPr>
              <w:t> </w:t>
            </w:r>
            <w:r>
              <w:rPr>
                <w:sz w:val="16"/>
              </w:rPr>
              <w:t>assets,</w:t>
            </w:r>
            <w:r>
              <w:rPr>
                <w:spacing w:val="-3"/>
                <w:sz w:val="16"/>
              </w:rPr>
              <w:t> </w:t>
            </w:r>
            <w:r>
              <w:rPr>
                <w:spacing w:val="-5"/>
                <w:sz w:val="16"/>
              </w:rPr>
              <w:t>net</w:t>
            </w:r>
          </w:p>
        </w:tc>
        <w:tc>
          <w:tcPr>
            <w:tcW w:w="1200" w:type="dxa"/>
          </w:tcPr>
          <w:p>
            <w:pPr>
              <w:pStyle w:val="TableParagraph"/>
              <w:spacing w:before="11"/>
              <w:ind w:right="66"/>
              <w:jc w:val="right"/>
              <w:rPr>
                <w:sz w:val="16"/>
              </w:rPr>
            </w:pPr>
            <w:r>
              <w:rPr>
                <w:spacing w:val="-5"/>
                <w:sz w:val="16"/>
              </w:rPr>
              <w:t>271</w:t>
            </w:r>
          </w:p>
        </w:tc>
        <w:tc>
          <w:tcPr>
            <w:tcW w:w="1200" w:type="dxa"/>
          </w:tcPr>
          <w:p>
            <w:pPr>
              <w:pStyle w:val="TableParagraph"/>
              <w:spacing w:before="11"/>
              <w:ind w:right="66"/>
              <w:jc w:val="right"/>
              <w:rPr>
                <w:sz w:val="16"/>
              </w:rPr>
            </w:pPr>
            <w:r>
              <w:rPr>
                <w:spacing w:val="-5"/>
                <w:sz w:val="16"/>
              </w:rPr>
              <w:t>804</w:t>
            </w:r>
          </w:p>
        </w:tc>
        <w:tc>
          <w:tcPr>
            <w:tcW w:w="1275" w:type="dxa"/>
          </w:tcPr>
          <w:p>
            <w:pPr>
              <w:pStyle w:val="TableParagraph"/>
              <w:spacing w:before="24"/>
              <w:ind w:right="134"/>
              <w:jc w:val="right"/>
              <w:rPr>
                <w:sz w:val="16"/>
              </w:rPr>
            </w:pPr>
            <w:r>
              <w:rPr>
                <w:color w:val="585858"/>
                <w:spacing w:val="-2"/>
                <w:sz w:val="16"/>
              </w:rPr>
              <w:t>(533)</w:t>
            </w:r>
          </w:p>
        </w:tc>
        <w:tc>
          <w:tcPr>
            <w:tcW w:w="1921" w:type="dxa"/>
            <w:gridSpan w:val="2"/>
          </w:tcPr>
          <w:p>
            <w:pPr>
              <w:pStyle w:val="TableParagraph"/>
              <w:rPr>
                <w:rFonts w:ascii="Times New Roman"/>
                <w:sz w:val="16"/>
              </w:rPr>
            </w:pPr>
          </w:p>
        </w:tc>
      </w:tr>
      <w:tr>
        <w:trPr>
          <w:trHeight w:val="225" w:hRule="atLeast"/>
        </w:trPr>
        <w:tc>
          <w:tcPr>
            <w:tcW w:w="3765" w:type="dxa"/>
          </w:tcPr>
          <w:p>
            <w:pPr>
              <w:pStyle w:val="TableParagraph"/>
              <w:spacing w:before="15"/>
              <w:ind w:left="52"/>
              <w:rPr>
                <w:sz w:val="16"/>
              </w:rPr>
            </w:pPr>
            <w:r>
              <w:rPr>
                <w:sz w:val="16"/>
              </w:rPr>
              <w:t>Other</w:t>
            </w:r>
            <w:r>
              <w:rPr>
                <w:spacing w:val="-4"/>
                <w:sz w:val="16"/>
              </w:rPr>
              <w:t> </w:t>
            </w:r>
            <w:r>
              <w:rPr>
                <w:spacing w:val="-2"/>
                <w:sz w:val="16"/>
              </w:rPr>
              <w:t>assets</w:t>
            </w:r>
          </w:p>
        </w:tc>
        <w:tc>
          <w:tcPr>
            <w:tcW w:w="1200" w:type="dxa"/>
            <w:tcBorders>
              <w:bottom w:val="single" w:sz="8" w:space="0" w:color="000000"/>
            </w:tcBorders>
          </w:tcPr>
          <w:p>
            <w:pPr>
              <w:pStyle w:val="TableParagraph"/>
              <w:spacing w:line="180" w:lineRule="exact" w:before="15"/>
              <w:ind w:right="66"/>
              <w:jc w:val="right"/>
              <w:rPr>
                <w:sz w:val="16"/>
              </w:rPr>
            </w:pPr>
            <w:r>
              <w:rPr>
                <w:spacing w:val="-2"/>
                <w:sz w:val="16"/>
              </w:rPr>
              <w:t>11,505</w:t>
            </w:r>
          </w:p>
        </w:tc>
        <w:tc>
          <w:tcPr>
            <w:tcW w:w="1200" w:type="dxa"/>
            <w:tcBorders>
              <w:bottom w:val="single" w:sz="8" w:space="0" w:color="000000"/>
            </w:tcBorders>
          </w:tcPr>
          <w:p>
            <w:pPr>
              <w:pStyle w:val="TableParagraph"/>
              <w:spacing w:line="180" w:lineRule="exact" w:before="15"/>
              <w:ind w:right="66"/>
              <w:jc w:val="right"/>
              <w:rPr>
                <w:sz w:val="16"/>
              </w:rPr>
            </w:pPr>
            <w:r>
              <w:rPr>
                <w:spacing w:val="-2"/>
                <w:sz w:val="16"/>
              </w:rPr>
              <w:t>7,347</w:t>
            </w:r>
          </w:p>
        </w:tc>
        <w:tc>
          <w:tcPr>
            <w:tcW w:w="1275" w:type="dxa"/>
          </w:tcPr>
          <w:p>
            <w:pPr>
              <w:pStyle w:val="TableParagraph"/>
              <w:rPr>
                <w:rFonts w:ascii="Times New Roman"/>
                <w:sz w:val="16"/>
              </w:rPr>
            </w:pPr>
          </w:p>
        </w:tc>
        <w:tc>
          <w:tcPr>
            <w:tcW w:w="1921" w:type="dxa"/>
            <w:gridSpan w:val="2"/>
          </w:tcPr>
          <w:p>
            <w:pPr>
              <w:pStyle w:val="TableParagraph"/>
              <w:spacing w:before="23"/>
              <w:ind w:left="420"/>
              <w:rPr>
                <w:sz w:val="16"/>
              </w:rPr>
            </w:pPr>
            <w:r>
              <w:rPr>
                <w:color w:val="585858"/>
                <w:spacing w:val="-2"/>
                <w:sz w:val="16"/>
              </w:rPr>
              <w:t>4,158</w:t>
            </w:r>
          </w:p>
        </w:tc>
      </w:tr>
      <w:tr>
        <w:trPr>
          <w:trHeight w:val="215" w:hRule="atLeast"/>
        </w:trPr>
        <w:tc>
          <w:tcPr>
            <w:tcW w:w="3765" w:type="dxa"/>
          </w:tcPr>
          <w:p>
            <w:pPr>
              <w:pStyle w:val="TableParagraph"/>
              <w:spacing w:line="179" w:lineRule="exact"/>
              <w:ind w:left="52"/>
              <w:rPr>
                <w:rFonts w:ascii="Arial"/>
                <w:b/>
                <w:sz w:val="16"/>
              </w:rPr>
            </w:pPr>
            <w:r>
              <w:rPr>
                <w:rFonts w:ascii="Arial"/>
                <w:b/>
                <w:sz w:val="16"/>
              </w:rPr>
              <w:t>Total</w:t>
            </w:r>
            <w:r>
              <w:rPr>
                <w:rFonts w:ascii="Arial"/>
                <w:b/>
                <w:spacing w:val="-3"/>
                <w:sz w:val="16"/>
              </w:rPr>
              <w:t> </w:t>
            </w:r>
            <w:r>
              <w:rPr>
                <w:rFonts w:ascii="Arial"/>
                <w:b/>
                <w:spacing w:val="-2"/>
                <w:sz w:val="16"/>
              </w:rPr>
              <w:t>Assets</w:t>
            </w:r>
          </w:p>
        </w:tc>
        <w:tc>
          <w:tcPr>
            <w:tcW w:w="2400" w:type="dxa"/>
            <w:gridSpan w:val="2"/>
            <w:tcBorders>
              <w:top w:val="single" w:sz="8" w:space="0" w:color="000000"/>
            </w:tcBorders>
          </w:tcPr>
          <w:p>
            <w:pPr>
              <w:pStyle w:val="TableParagraph"/>
              <w:tabs>
                <w:tab w:pos="554" w:val="left" w:leader="none"/>
                <w:tab w:pos="1754" w:val="left" w:leader="none"/>
              </w:tabs>
              <w:spacing w:before="5"/>
              <w:rPr>
                <w:rFonts w:ascii="Arial"/>
                <w:b/>
                <w:sz w:val="16"/>
              </w:rPr>
            </w:pPr>
            <w:r>
              <w:rPr>
                <w:rFonts w:ascii="Arial"/>
                <w:b/>
                <w:spacing w:val="12"/>
                <w:sz w:val="16"/>
                <w:u w:val="double"/>
              </w:rPr>
              <w:t> </w:t>
            </w:r>
            <w:r>
              <w:rPr>
                <w:rFonts w:ascii="Arial"/>
                <w:b/>
                <w:spacing w:val="-10"/>
                <w:sz w:val="16"/>
                <w:u w:val="double"/>
              </w:rPr>
              <w:t>$</w:t>
            </w:r>
            <w:r>
              <w:rPr>
                <w:rFonts w:ascii="Arial"/>
                <w:b/>
                <w:sz w:val="16"/>
                <w:u w:val="double"/>
              </w:rPr>
              <w:tab/>
              <w:t>332,641</w:t>
            </w:r>
            <w:r>
              <w:rPr>
                <w:rFonts w:ascii="Arial"/>
                <w:b/>
                <w:spacing w:val="68"/>
                <w:sz w:val="16"/>
                <w:u w:val="double"/>
              </w:rPr>
              <w:t> </w:t>
            </w:r>
            <w:r>
              <w:rPr>
                <w:rFonts w:ascii="Arial"/>
                <w:b/>
                <w:spacing w:val="-12"/>
                <w:sz w:val="16"/>
                <w:u w:val="double"/>
              </w:rPr>
              <w:t>$</w:t>
            </w:r>
            <w:r>
              <w:rPr>
                <w:rFonts w:ascii="Arial"/>
                <w:b/>
                <w:sz w:val="16"/>
                <w:u w:val="double"/>
              </w:rPr>
              <w:tab/>
            </w:r>
            <w:r>
              <w:rPr>
                <w:rFonts w:ascii="Arial"/>
                <w:b/>
                <w:spacing w:val="-2"/>
                <w:sz w:val="16"/>
                <w:u w:val="double"/>
              </w:rPr>
              <w:t>317,542</w:t>
            </w:r>
          </w:p>
        </w:tc>
        <w:tc>
          <w:tcPr>
            <w:tcW w:w="3196" w:type="dxa"/>
            <w:gridSpan w:val="3"/>
          </w:tcPr>
          <w:p>
            <w:pPr>
              <w:pStyle w:val="TableParagraph"/>
              <w:ind w:left="2055"/>
              <w:rPr>
                <w:sz w:val="16"/>
              </w:rPr>
            </w:pPr>
            <w:r>
              <w:rPr>
                <w:color w:val="FFFFFF"/>
                <w:spacing w:val="-2"/>
                <w:sz w:val="16"/>
              </w:rPr>
              <w:t>15,099</w:t>
            </w:r>
          </w:p>
        </w:tc>
      </w:tr>
      <w:tr>
        <w:trPr>
          <w:trHeight w:val="208" w:hRule="atLeast"/>
        </w:trPr>
        <w:tc>
          <w:tcPr>
            <w:tcW w:w="3765" w:type="dxa"/>
          </w:tcPr>
          <w:p>
            <w:pPr>
              <w:pStyle w:val="TableParagraph"/>
              <w:spacing w:line="180" w:lineRule="exact" w:before="8"/>
              <w:ind w:left="52"/>
              <w:rPr>
                <w:sz w:val="16"/>
              </w:rPr>
            </w:pPr>
            <w:r>
              <w:rPr>
                <w:spacing w:val="-2"/>
                <w:sz w:val="16"/>
              </w:rPr>
              <w:t>Borrowings</w:t>
            </w:r>
          </w:p>
        </w:tc>
        <w:tc>
          <w:tcPr>
            <w:tcW w:w="1200" w:type="dxa"/>
          </w:tcPr>
          <w:p>
            <w:pPr>
              <w:pStyle w:val="TableParagraph"/>
              <w:spacing w:before="4"/>
              <w:ind w:right="66"/>
              <w:jc w:val="right"/>
              <w:rPr>
                <w:sz w:val="16"/>
              </w:rPr>
            </w:pPr>
            <w:r>
              <w:rPr>
                <w:spacing w:val="-2"/>
                <w:sz w:val="16"/>
              </w:rPr>
              <w:t>237,265</w:t>
            </w:r>
          </w:p>
        </w:tc>
        <w:tc>
          <w:tcPr>
            <w:tcW w:w="1200" w:type="dxa"/>
          </w:tcPr>
          <w:p>
            <w:pPr>
              <w:pStyle w:val="TableParagraph"/>
              <w:spacing w:before="4"/>
              <w:ind w:right="66"/>
              <w:jc w:val="right"/>
              <w:rPr>
                <w:sz w:val="16"/>
              </w:rPr>
            </w:pPr>
            <w:r>
              <w:rPr>
                <w:spacing w:val="-2"/>
                <w:sz w:val="16"/>
              </w:rPr>
              <w:t>235,173</w:t>
            </w:r>
          </w:p>
        </w:tc>
        <w:tc>
          <w:tcPr>
            <w:tcW w:w="1933" w:type="dxa"/>
            <w:gridSpan w:val="2"/>
          </w:tcPr>
          <w:p>
            <w:pPr>
              <w:pStyle w:val="TableParagraph"/>
              <w:spacing w:line="179" w:lineRule="exact"/>
              <w:ind w:right="15"/>
              <w:jc w:val="right"/>
              <w:rPr>
                <w:sz w:val="16"/>
              </w:rPr>
            </w:pPr>
            <w:r>
              <w:rPr>
                <w:color w:val="585858"/>
                <w:spacing w:val="-2"/>
                <w:sz w:val="16"/>
              </w:rPr>
              <w:t>2,092</w:t>
            </w:r>
          </w:p>
        </w:tc>
        <w:tc>
          <w:tcPr>
            <w:tcW w:w="1263" w:type="dxa"/>
          </w:tcPr>
          <w:p>
            <w:pPr>
              <w:pStyle w:val="TableParagraph"/>
              <w:rPr>
                <w:rFonts w:ascii="Times New Roman"/>
                <w:sz w:val="14"/>
              </w:rPr>
            </w:pPr>
          </w:p>
        </w:tc>
      </w:tr>
      <w:tr>
        <w:trPr>
          <w:trHeight w:val="225" w:hRule="atLeast"/>
        </w:trPr>
        <w:tc>
          <w:tcPr>
            <w:tcW w:w="3765" w:type="dxa"/>
          </w:tcPr>
          <w:p>
            <w:pPr>
              <w:pStyle w:val="TableParagraph"/>
              <w:spacing w:before="17"/>
              <w:ind w:left="52"/>
              <w:rPr>
                <w:sz w:val="16"/>
              </w:rPr>
            </w:pPr>
            <w:r>
              <w:rPr>
                <w:sz w:val="16"/>
              </w:rPr>
              <w:t>Derivative</w:t>
            </w:r>
            <w:r>
              <w:rPr>
                <w:spacing w:val="-8"/>
                <w:sz w:val="16"/>
              </w:rPr>
              <w:t> </w:t>
            </w:r>
            <w:r>
              <w:rPr>
                <w:sz w:val="16"/>
              </w:rPr>
              <w:t>liabilities,</w:t>
            </w:r>
            <w:r>
              <w:rPr>
                <w:spacing w:val="-7"/>
                <w:sz w:val="16"/>
              </w:rPr>
              <w:t> </w:t>
            </w:r>
            <w:r>
              <w:rPr>
                <w:spacing w:val="-5"/>
                <w:sz w:val="16"/>
              </w:rPr>
              <w:t>net</w:t>
            </w:r>
          </w:p>
        </w:tc>
        <w:tc>
          <w:tcPr>
            <w:tcW w:w="1200" w:type="dxa"/>
          </w:tcPr>
          <w:p>
            <w:pPr>
              <w:pStyle w:val="TableParagraph"/>
              <w:spacing w:line="180" w:lineRule="exact" w:before="24"/>
              <w:ind w:right="66"/>
              <w:jc w:val="right"/>
              <w:rPr>
                <w:sz w:val="16"/>
              </w:rPr>
            </w:pPr>
            <w:r>
              <w:rPr>
                <w:spacing w:val="-2"/>
                <w:sz w:val="16"/>
              </w:rPr>
              <w:t>26,893</w:t>
            </w:r>
          </w:p>
        </w:tc>
        <w:tc>
          <w:tcPr>
            <w:tcW w:w="1200" w:type="dxa"/>
          </w:tcPr>
          <w:p>
            <w:pPr>
              <w:pStyle w:val="TableParagraph"/>
              <w:spacing w:line="180" w:lineRule="exact" w:before="24"/>
              <w:ind w:right="66"/>
              <w:jc w:val="right"/>
              <w:rPr>
                <w:sz w:val="16"/>
              </w:rPr>
            </w:pPr>
            <w:r>
              <w:rPr>
                <w:spacing w:val="-2"/>
                <w:sz w:val="16"/>
              </w:rPr>
              <w:t>20,041</w:t>
            </w:r>
          </w:p>
        </w:tc>
        <w:tc>
          <w:tcPr>
            <w:tcW w:w="1933" w:type="dxa"/>
            <w:gridSpan w:val="2"/>
          </w:tcPr>
          <w:p>
            <w:pPr>
              <w:pStyle w:val="TableParagraph"/>
              <w:rPr>
                <w:rFonts w:ascii="Times New Roman"/>
                <w:sz w:val="16"/>
              </w:rPr>
            </w:pPr>
          </w:p>
        </w:tc>
        <w:tc>
          <w:tcPr>
            <w:tcW w:w="1263" w:type="dxa"/>
          </w:tcPr>
          <w:p>
            <w:pPr>
              <w:pStyle w:val="TableParagraph"/>
              <w:spacing w:before="11"/>
              <w:ind w:left="17"/>
              <w:rPr>
                <w:sz w:val="16"/>
              </w:rPr>
            </w:pPr>
            <w:r>
              <w:rPr>
                <w:color w:val="585858"/>
                <w:spacing w:val="-2"/>
                <w:sz w:val="16"/>
              </w:rPr>
              <w:t>6,852</w:t>
            </w:r>
          </w:p>
        </w:tc>
      </w:tr>
      <w:tr>
        <w:trPr>
          <w:trHeight w:val="445" w:hRule="atLeast"/>
        </w:trPr>
        <w:tc>
          <w:tcPr>
            <w:tcW w:w="3765" w:type="dxa"/>
          </w:tcPr>
          <w:p>
            <w:pPr>
              <w:pStyle w:val="TableParagraph"/>
              <w:spacing w:before="21"/>
              <w:ind w:left="52"/>
              <w:rPr>
                <w:sz w:val="16"/>
              </w:rPr>
            </w:pPr>
            <w:r>
              <w:rPr>
                <w:sz w:val="16"/>
              </w:rPr>
              <w:t>Other</w:t>
            </w:r>
            <w:r>
              <w:rPr>
                <w:spacing w:val="-2"/>
                <w:sz w:val="16"/>
              </w:rPr>
              <w:t> liabilities</w:t>
            </w:r>
          </w:p>
          <w:p>
            <w:pPr>
              <w:pStyle w:val="TableParagraph"/>
              <w:spacing w:line="180" w:lineRule="exact" w:before="41"/>
              <w:ind w:left="52"/>
              <w:rPr>
                <w:sz w:val="16"/>
              </w:rPr>
            </w:pPr>
            <w:r>
              <w:rPr>
                <w:spacing w:val="-2"/>
                <w:sz w:val="16"/>
              </w:rPr>
              <w:t>Equity</w:t>
            </w:r>
          </w:p>
        </w:tc>
        <w:tc>
          <w:tcPr>
            <w:tcW w:w="1200" w:type="dxa"/>
            <w:tcBorders>
              <w:bottom w:val="single" w:sz="8" w:space="0" w:color="000000"/>
            </w:tcBorders>
          </w:tcPr>
          <w:p>
            <w:pPr>
              <w:pStyle w:val="TableParagraph"/>
              <w:spacing w:before="21"/>
              <w:ind w:left="732"/>
              <w:rPr>
                <w:sz w:val="16"/>
              </w:rPr>
            </w:pPr>
            <w:r>
              <w:rPr>
                <w:spacing w:val="-2"/>
                <w:sz w:val="16"/>
              </w:rPr>
              <w:t>8,101</w:t>
            </w:r>
          </w:p>
          <w:p>
            <w:pPr>
              <w:pStyle w:val="TableParagraph"/>
              <w:spacing w:line="180" w:lineRule="exact" w:before="41"/>
              <w:ind w:left="643"/>
              <w:rPr>
                <w:sz w:val="16"/>
              </w:rPr>
            </w:pPr>
            <w:r>
              <w:rPr>
                <w:spacing w:val="-2"/>
                <w:sz w:val="16"/>
              </w:rPr>
              <w:t>60,382</w:t>
            </w:r>
          </w:p>
        </w:tc>
        <w:tc>
          <w:tcPr>
            <w:tcW w:w="1200" w:type="dxa"/>
            <w:tcBorders>
              <w:bottom w:val="single" w:sz="8" w:space="0" w:color="000000"/>
            </w:tcBorders>
          </w:tcPr>
          <w:p>
            <w:pPr>
              <w:pStyle w:val="TableParagraph"/>
              <w:spacing w:before="21"/>
              <w:ind w:left="732"/>
              <w:rPr>
                <w:sz w:val="16"/>
              </w:rPr>
            </w:pPr>
            <w:r>
              <w:rPr>
                <w:spacing w:val="-2"/>
                <w:sz w:val="16"/>
              </w:rPr>
              <w:t>7,008</w:t>
            </w:r>
          </w:p>
          <w:p>
            <w:pPr>
              <w:pStyle w:val="TableParagraph"/>
              <w:spacing w:line="180" w:lineRule="exact" w:before="41"/>
              <w:ind w:left="643"/>
              <w:rPr>
                <w:sz w:val="16"/>
              </w:rPr>
            </w:pPr>
            <w:r>
              <w:rPr>
                <w:spacing w:val="-2"/>
                <w:sz w:val="16"/>
              </w:rPr>
              <w:t>55,320</w:t>
            </w:r>
          </w:p>
        </w:tc>
        <w:tc>
          <w:tcPr>
            <w:tcW w:w="1933" w:type="dxa"/>
            <w:gridSpan w:val="2"/>
          </w:tcPr>
          <w:p>
            <w:pPr>
              <w:pStyle w:val="TableParagraph"/>
              <w:spacing w:before="11"/>
              <w:ind w:right="105"/>
              <w:jc w:val="right"/>
              <w:rPr>
                <w:sz w:val="16"/>
              </w:rPr>
            </w:pPr>
            <w:r>
              <w:rPr>
                <w:color w:val="585858"/>
                <w:spacing w:val="-2"/>
                <w:sz w:val="16"/>
              </w:rPr>
              <w:t>1,093</w:t>
            </w:r>
          </w:p>
          <w:p>
            <w:pPr>
              <w:pStyle w:val="TableParagraph"/>
              <w:spacing w:before="41"/>
              <w:ind w:right="12"/>
              <w:jc w:val="right"/>
              <w:rPr>
                <w:sz w:val="16"/>
              </w:rPr>
            </w:pPr>
            <w:r>
              <w:rPr>
                <w:color w:val="585858"/>
                <w:spacing w:val="-5"/>
                <w:sz w:val="16"/>
              </w:rPr>
              <w:t>5,</w:t>
            </w:r>
          </w:p>
        </w:tc>
        <w:tc>
          <w:tcPr>
            <w:tcW w:w="1263" w:type="dxa"/>
          </w:tcPr>
          <w:p>
            <w:pPr>
              <w:pStyle w:val="TableParagraph"/>
              <w:spacing w:before="52"/>
              <w:rPr>
                <w:rFonts w:ascii="Arial"/>
                <w:i/>
                <w:sz w:val="16"/>
              </w:rPr>
            </w:pPr>
          </w:p>
          <w:p>
            <w:pPr>
              <w:pStyle w:val="TableParagraph"/>
              <w:ind w:left="-15"/>
              <w:rPr>
                <w:sz w:val="16"/>
              </w:rPr>
            </w:pPr>
            <w:r>
              <w:rPr>
                <w:color w:val="585858"/>
                <w:spacing w:val="-5"/>
                <w:sz w:val="16"/>
              </w:rPr>
              <w:t>062</w:t>
            </w:r>
          </w:p>
        </w:tc>
      </w:tr>
    </w:tbl>
    <w:p>
      <w:pPr>
        <w:tabs>
          <w:tab w:pos="4484" w:val="left" w:leader="none"/>
          <w:tab w:pos="5039" w:val="left" w:leader="none"/>
          <w:tab w:pos="6239" w:val="left" w:leader="none"/>
        </w:tabs>
        <w:spacing w:before="9"/>
        <w:ind w:left="772" w:right="0" w:firstLine="0"/>
        <w:jc w:val="left"/>
        <w:rPr>
          <w:rFonts w:ascii="Arial"/>
          <w:b/>
          <w:sz w:val="16"/>
        </w:rPr>
      </w:pPr>
      <w:r>
        <w:rPr>
          <w:rFonts w:ascii="Arial"/>
          <w:b/>
          <w:sz w:val="16"/>
        </w:rPr>
        <w:t>Total</w:t>
      </w:r>
      <w:r>
        <w:rPr>
          <w:rFonts w:ascii="Arial"/>
          <w:b/>
          <w:spacing w:val="-4"/>
          <w:sz w:val="16"/>
        </w:rPr>
        <w:t> </w:t>
      </w:r>
      <w:r>
        <w:rPr>
          <w:rFonts w:ascii="Arial"/>
          <w:b/>
          <w:sz w:val="16"/>
        </w:rPr>
        <w:t>Liabilities</w:t>
      </w:r>
      <w:r>
        <w:rPr>
          <w:rFonts w:ascii="Arial"/>
          <w:b/>
          <w:spacing w:val="-4"/>
          <w:sz w:val="16"/>
        </w:rPr>
        <w:t> </w:t>
      </w:r>
      <w:r>
        <w:rPr>
          <w:rFonts w:ascii="Arial"/>
          <w:b/>
          <w:sz w:val="16"/>
        </w:rPr>
        <w:t>and</w:t>
      </w:r>
      <w:r>
        <w:rPr>
          <w:rFonts w:ascii="Arial"/>
          <w:b/>
          <w:spacing w:val="-3"/>
          <w:sz w:val="16"/>
        </w:rPr>
        <w:t> </w:t>
      </w:r>
      <w:r>
        <w:rPr>
          <w:rFonts w:ascii="Arial"/>
          <w:b/>
          <w:spacing w:val="-2"/>
          <w:sz w:val="16"/>
        </w:rPr>
        <w:t>Equity</w:t>
      </w:r>
      <w:r>
        <w:rPr>
          <w:rFonts w:ascii="Arial"/>
          <w:b/>
          <w:sz w:val="16"/>
        </w:rPr>
        <w:tab/>
      </w:r>
      <w:r>
        <w:rPr>
          <w:rFonts w:ascii="Arial"/>
          <w:b/>
          <w:sz w:val="16"/>
          <w:u w:val="double"/>
        </w:rPr>
        <w:t> $</w:t>
        <w:tab/>
        <w:t>332,641</w:t>
      </w:r>
      <w:r>
        <w:rPr>
          <w:rFonts w:ascii="Arial"/>
          <w:b/>
          <w:spacing w:val="70"/>
          <w:sz w:val="16"/>
          <w:u w:val="double"/>
        </w:rPr>
        <w:t> </w:t>
      </w:r>
      <w:r>
        <w:rPr>
          <w:rFonts w:ascii="Arial"/>
          <w:b/>
          <w:spacing w:val="-10"/>
          <w:sz w:val="16"/>
          <w:u w:val="double"/>
        </w:rPr>
        <w:t>$</w:t>
      </w:r>
      <w:r>
        <w:rPr>
          <w:rFonts w:ascii="Arial"/>
          <w:b/>
          <w:sz w:val="16"/>
          <w:u w:val="double"/>
        </w:rPr>
        <w:tab/>
      </w:r>
      <w:r>
        <w:rPr>
          <w:rFonts w:ascii="Arial"/>
          <w:b/>
          <w:spacing w:val="-2"/>
          <w:sz w:val="16"/>
          <w:u w:val="double"/>
        </w:rPr>
        <w:t>317,542</w:t>
      </w:r>
    </w:p>
    <w:p>
      <w:pPr>
        <w:pStyle w:val="BodyText"/>
        <w:spacing w:before="2"/>
        <w:rPr>
          <w:rFonts w:ascii="Arial"/>
          <w:b/>
        </w:rPr>
      </w:pPr>
      <w:r>
        <w:rPr>
          <w:rFonts w:ascii="Arial"/>
          <w:b/>
        </w:rPr>
        <mc:AlternateContent>
          <mc:Choice Requires="wps">
            <w:drawing>
              <wp:anchor distT="0" distB="0" distL="0" distR="0" allowOverlap="1" layoutInCell="1" locked="0" behindDoc="1" simplePos="0" relativeHeight="487607808">
                <wp:simplePos x="0" y="0"/>
                <wp:positionH relativeFrom="page">
                  <wp:posOffset>914400</wp:posOffset>
                </wp:positionH>
                <wp:positionV relativeFrom="paragraph">
                  <wp:posOffset>169141</wp:posOffset>
                </wp:positionV>
                <wp:extent cx="5895975"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895975" cy="1270"/>
                        </a:xfrm>
                        <a:custGeom>
                          <a:avLst/>
                          <a:gdLst/>
                          <a:ahLst/>
                          <a:cxnLst/>
                          <a:rect l="l" t="t" r="r" b="b"/>
                          <a:pathLst>
                            <a:path w="5895975" h="0">
                              <a:moveTo>
                                <a:pt x="0" y="0"/>
                              </a:moveTo>
                              <a:lnTo>
                                <a:pt x="3914775" y="0"/>
                              </a:lnTo>
                            </a:path>
                            <a:path w="5895975" h="0">
                              <a:moveTo>
                                <a:pt x="3914775" y="0"/>
                              </a:moveTo>
                              <a:lnTo>
                                <a:pt x="5895975"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318253pt;width:464.25pt;height:.1pt;mso-position-horizontal-relative:page;mso-position-vertical-relative:paragraph;z-index:-15708672;mso-wrap-distance-left:0;mso-wrap-distance-right:0" id="docshape96" coordorigin="1440,266" coordsize="9285,0" path="m1440,266l7605,266m7605,266l10725,266e" filled="false" stroked="true" strokeweight="1pt" strokecolor="#6c6c6c">
                <v:path arrowok="t"/>
                <v:stroke dashstyle="solid"/>
                <w10:wrap type="topAndBottom"/>
              </v:shape>
            </w:pict>
          </mc:Fallback>
        </mc:AlternateContent>
      </w:r>
    </w:p>
    <w:p>
      <w:pPr>
        <w:pStyle w:val="ListParagraph"/>
        <w:numPr>
          <w:ilvl w:val="0"/>
          <w:numId w:val="3"/>
        </w:numPr>
        <w:tabs>
          <w:tab w:pos="948" w:val="left" w:leader="none"/>
        </w:tabs>
        <w:spacing w:line="240" w:lineRule="auto" w:before="12" w:after="0"/>
        <w:ind w:left="948" w:right="0" w:hanging="176"/>
        <w:jc w:val="left"/>
        <w:rPr>
          <w:rFonts w:ascii="Arial" w:hAnsi="Arial"/>
          <w:i/>
          <w:sz w:val="16"/>
        </w:rPr>
      </w:pPr>
      <w:r>
        <w:rPr>
          <w:rFonts w:ascii="Arial" w:hAnsi="Arial"/>
          <w:i/>
          <w:sz w:val="16"/>
        </w:rPr>
        <w:t>The</w:t>
      </w:r>
      <w:r>
        <w:rPr>
          <w:rFonts w:ascii="Arial" w:hAnsi="Arial"/>
          <w:i/>
          <w:spacing w:val="-6"/>
          <w:sz w:val="16"/>
        </w:rPr>
        <w:t> </w:t>
      </w:r>
      <w:r>
        <w:rPr>
          <w:rFonts w:ascii="Arial" w:hAnsi="Arial"/>
          <w:i/>
          <w:sz w:val="16"/>
        </w:rPr>
        <w:t>fair</w:t>
      </w:r>
      <w:r>
        <w:rPr>
          <w:rFonts w:ascii="Arial" w:hAnsi="Arial"/>
          <w:i/>
          <w:spacing w:val="-3"/>
          <w:sz w:val="16"/>
        </w:rPr>
        <w:t> </w:t>
      </w:r>
      <w:r>
        <w:rPr>
          <w:rFonts w:ascii="Arial" w:hAnsi="Arial"/>
          <w:i/>
          <w:sz w:val="16"/>
        </w:rPr>
        <w:t>value</w:t>
      </w:r>
      <w:r>
        <w:rPr>
          <w:rFonts w:ascii="Arial" w:hAnsi="Arial"/>
          <w:i/>
          <w:spacing w:val="-4"/>
          <w:sz w:val="16"/>
        </w:rPr>
        <w:t> </w:t>
      </w:r>
      <w:r>
        <w:rPr>
          <w:rFonts w:ascii="Arial" w:hAnsi="Arial"/>
          <w:i/>
          <w:sz w:val="16"/>
        </w:rPr>
        <w:t>of</w:t>
      </w:r>
      <w:r>
        <w:rPr>
          <w:rFonts w:ascii="Arial" w:hAnsi="Arial"/>
          <w:i/>
          <w:spacing w:val="-2"/>
          <w:sz w:val="16"/>
        </w:rPr>
        <w:t> </w:t>
      </w:r>
      <w:r>
        <w:rPr>
          <w:rFonts w:ascii="Arial" w:hAnsi="Arial"/>
          <w:i/>
          <w:sz w:val="16"/>
        </w:rPr>
        <w:t>IBRD’s</w:t>
      </w:r>
      <w:r>
        <w:rPr>
          <w:rFonts w:ascii="Arial" w:hAnsi="Arial"/>
          <w:i/>
          <w:spacing w:val="-3"/>
          <w:sz w:val="16"/>
        </w:rPr>
        <w:t> </w:t>
      </w:r>
      <w:r>
        <w:rPr>
          <w:rFonts w:ascii="Arial" w:hAnsi="Arial"/>
          <w:i/>
          <w:sz w:val="16"/>
        </w:rPr>
        <w:t>loans</w:t>
      </w:r>
      <w:r>
        <w:rPr>
          <w:rFonts w:ascii="Arial" w:hAnsi="Arial"/>
          <w:i/>
          <w:spacing w:val="-3"/>
          <w:sz w:val="16"/>
        </w:rPr>
        <w:t> </w:t>
      </w:r>
      <w:r>
        <w:rPr>
          <w:rFonts w:ascii="Arial" w:hAnsi="Arial"/>
          <w:i/>
          <w:sz w:val="16"/>
        </w:rPr>
        <w:t>was</w:t>
      </w:r>
      <w:r>
        <w:rPr>
          <w:rFonts w:ascii="Arial" w:hAnsi="Arial"/>
          <w:i/>
          <w:spacing w:val="-3"/>
          <w:sz w:val="16"/>
        </w:rPr>
        <w:t> </w:t>
      </w:r>
      <w:r>
        <w:rPr>
          <w:rFonts w:ascii="Arial" w:hAnsi="Arial"/>
          <w:i/>
          <w:sz w:val="16"/>
        </w:rPr>
        <w:t>$236,521</w:t>
      </w:r>
      <w:r>
        <w:rPr>
          <w:rFonts w:ascii="Arial" w:hAnsi="Arial"/>
          <w:i/>
          <w:spacing w:val="-3"/>
          <w:sz w:val="16"/>
        </w:rPr>
        <w:t> </w:t>
      </w:r>
      <w:r>
        <w:rPr>
          <w:rFonts w:ascii="Arial" w:hAnsi="Arial"/>
          <w:i/>
          <w:sz w:val="16"/>
        </w:rPr>
        <w:t>million</w:t>
      </w:r>
      <w:r>
        <w:rPr>
          <w:rFonts w:ascii="Arial" w:hAnsi="Arial"/>
          <w:i/>
          <w:spacing w:val="-4"/>
          <w:sz w:val="16"/>
        </w:rPr>
        <w:t> </w:t>
      </w:r>
      <w:r>
        <w:rPr>
          <w:rFonts w:ascii="Arial" w:hAnsi="Arial"/>
          <w:i/>
          <w:sz w:val="16"/>
        </w:rPr>
        <w:t>as</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June</w:t>
      </w:r>
      <w:r>
        <w:rPr>
          <w:rFonts w:ascii="Arial" w:hAnsi="Arial"/>
          <w:i/>
          <w:spacing w:val="-4"/>
          <w:sz w:val="16"/>
        </w:rPr>
        <w:t> </w:t>
      </w:r>
      <w:r>
        <w:rPr>
          <w:rFonts w:ascii="Arial" w:hAnsi="Arial"/>
          <w:i/>
          <w:sz w:val="16"/>
        </w:rPr>
        <w:t>30,</w:t>
      </w:r>
      <w:r>
        <w:rPr>
          <w:rFonts w:ascii="Arial" w:hAnsi="Arial"/>
          <w:i/>
          <w:spacing w:val="-3"/>
          <w:sz w:val="16"/>
        </w:rPr>
        <w:t> </w:t>
      </w:r>
      <w:r>
        <w:rPr>
          <w:rFonts w:ascii="Arial" w:hAnsi="Arial"/>
          <w:i/>
          <w:sz w:val="16"/>
        </w:rPr>
        <w:t>2023</w:t>
      </w:r>
      <w:r>
        <w:rPr>
          <w:rFonts w:ascii="Arial" w:hAnsi="Arial"/>
          <w:i/>
          <w:spacing w:val="-3"/>
          <w:sz w:val="16"/>
        </w:rPr>
        <w:t> </w:t>
      </w:r>
      <w:r>
        <w:rPr>
          <w:rFonts w:ascii="Arial" w:hAnsi="Arial"/>
          <w:i/>
          <w:sz w:val="16"/>
        </w:rPr>
        <w:t>($225,046</w:t>
      </w:r>
      <w:r>
        <w:rPr>
          <w:rFonts w:ascii="Arial" w:hAnsi="Arial"/>
          <w:i/>
          <w:spacing w:val="37"/>
          <w:sz w:val="16"/>
        </w:rPr>
        <w:t> </w:t>
      </w:r>
      <w:r>
        <w:rPr>
          <w:rFonts w:ascii="Arial" w:hAnsi="Arial"/>
          <w:i/>
          <w:sz w:val="16"/>
        </w:rPr>
        <w:t>million</w:t>
      </w:r>
      <w:r>
        <w:rPr>
          <w:rFonts w:ascii="Arial" w:hAnsi="Arial"/>
          <w:i/>
          <w:spacing w:val="-3"/>
          <w:sz w:val="16"/>
        </w:rPr>
        <w:t> </w:t>
      </w:r>
      <w:r>
        <w:rPr>
          <w:rFonts w:ascii="Arial" w:hAnsi="Arial"/>
          <w:i/>
          <w:sz w:val="16"/>
        </w:rPr>
        <w:t>–</w:t>
      </w:r>
      <w:r>
        <w:rPr>
          <w:rFonts w:ascii="Arial" w:hAnsi="Arial"/>
          <w:i/>
          <w:spacing w:val="-5"/>
          <w:sz w:val="16"/>
        </w:rPr>
        <w:t> </w:t>
      </w:r>
      <w:r>
        <w:rPr>
          <w:rFonts w:ascii="Arial" w:hAnsi="Arial"/>
          <w:i/>
          <w:sz w:val="16"/>
        </w:rPr>
        <w:t>June</w:t>
      </w:r>
      <w:r>
        <w:rPr>
          <w:rFonts w:ascii="Arial" w:hAnsi="Arial"/>
          <w:i/>
          <w:spacing w:val="-4"/>
          <w:sz w:val="16"/>
        </w:rPr>
        <w:t> </w:t>
      </w:r>
      <w:r>
        <w:rPr>
          <w:rFonts w:ascii="Arial" w:hAnsi="Arial"/>
          <w:i/>
          <w:sz w:val="16"/>
        </w:rPr>
        <w:t>30,</w:t>
      </w:r>
      <w:r>
        <w:rPr>
          <w:rFonts w:ascii="Arial" w:hAnsi="Arial"/>
          <w:i/>
          <w:spacing w:val="-2"/>
          <w:sz w:val="16"/>
        </w:rPr>
        <w:t> 2022).</w:t>
      </w:r>
    </w:p>
    <w:p>
      <w:pPr>
        <w:pStyle w:val="ListParagraph"/>
        <w:spacing w:after="0" w:line="240" w:lineRule="auto"/>
        <w:jc w:val="left"/>
        <w:rPr>
          <w:rFonts w:ascii="Arial" w:hAnsi="Arial"/>
          <w:i/>
          <w:sz w:val="16"/>
        </w:rPr>
        <w:sectPr>
          <w:headerReference w:type="default" r:id="rId20"/>
          <w:headerReference w:type="even" r:id="rId21"/>
          <w:footerReference w:type="default" r:id="rId22"/>
          <w:footerReference w:type="even" r:id="rId23"/>
          <w:pgSz w:w="12240" w:h="15840"/>
          <w:pgMar w:header="744" w:footer="713" w:top="1020" w:bottom="900" w:left="720" w:right="720"/>
          <w:pgNumType w:start="9"/>
        </w:sectPr>
      </w:pPr>
    </w:p>
    <w:p>
      <w:pPr>
        <w:pStyle w:val="BodyText"/>
        <w:spacing w:before="127"/>
        <w:rPr>
          <w:rFonts w:ascii="Arial"/>
          <w:i/>
        </w:rPr>
      </w:pPr>
    </w:p>
    <w:p>
      <w:pPr>
        <w:pStyle w:val="BodyText"/>
        <w:spacing w:before="1"/>
        <w:ind w:left="720"/>
        <w:jc w:val="both"/>
      </w:pPr>
      <w:r>
        <w:rPr/>
        <w:t>The</w:t>
      </w:r>
      <w:r>
        <w:rPr>
          <w:spacing w:val="-5"/>
        </w:rPr>
        <w:t> </w:t>
      </w:r>
      <w:r>
        <w:rPr/>
        <w:t>main</w:t>
      </w:r>
      <w:r>
        <w:rPr>
          <w:spacing w:val="-3"/>
        </w:rPr>
        <w:t> </w:t>
      </w:r>
      <w:r>
        <w:rPr/>
        <w:t>drivers</w:t>
      </w:r>
      <w:r>
        <w:rPr>
          <w:spacing w:val="-3"/>
        </w:rPr>
        <w:t> </w:t>
      </w:r>
      <w:r>
        <w:rPr/>
        <w:t>of</w:t>
      </w:r>
      <w:r>
        <w:rPr>
          <w:spacing w:val="-2"/>
        </w:rPr>
        <w:t> </w:t>
      </w:r>
      <w:r>
        <w:rPr/>
        <w:t>the</w:t>
      </w:r>
      <w:r>
        <w:rPr>
          <w:spacing w:val="-3"/>
        </w:rPr>
        <w:t> </w:t>
      </w:r>
      <w:r>
        <w:rPr/>
        <w:t>change</w:t>
      </w:r>
      <w:r>
        <w:rPr>
          <w:spacing w:val="-3"/>
        </w:rPr>
        <w:t> </w:t>
      </w:r>
      <w:r>
        <w:rPr/>
        <w:t>in</w:t>
      </w:r>
      <w:r>
        <w:rPr>
          <w:spacing w:val="-2"/>
        </w:rPr>
        <w:t> </w:t>
      </w:r>
      <w:r>
        <w:rPr/>
        <w:t>the</w:t>
      </w:r>
      <w:r>
        <w:rPr>
          <w:spacing w:val="-3"/>
        </w:rPr>
        <w:t> </w:t>
      </w:r>
      <w:r>
        <w:rPr/>
        <w:t>Balance</w:t>
      </w:r>
      <w:r>
        <w:rPr>
          <w:spacing w:val="-3"/>
        </w:rPr>
        <w:t> </w:t>
      </w:r>
      <w:r>
        <w:rPr/>
        <w:t>Sheet</w:t>
      </w:r>
      <w:r>
        <w:rPr>
          <w:spacing w:val="-3"/>
        </w:rPr>
        <w:t> </w:t>
      </w:r>
      <w:r>
        <w:rPr/>
        <w:t>items</w:t>
      </w:r>
      <w:r>
        <w:rPr>
          <w:spacing w:val="-3"/>
        </w:rPr>
        <w:t> </w:t>
      </w:r>
      <w:r>
        <w:rPr/>
        <w:t>are</w:t>
      </w:r>
      <w:r>
        <w:rPr>
          <w:spacing w:val="-2"/>
        </w:rPr>
        <w:t> below:</w:t>
      </w:r>
    </w:p>
    <w:p>
      <w:pPr>
        <w:pStyle w:val="ListParagraph"/>
        <w:numPr>
          <w:ilvl w:val="0"/>
          <w:numId w:val="4"/>
        </w:numPr>
        <w:tabs>
          <w:tab w:pos="1439" w:val="left" w:leader="none"/>
        </w:tabs>
        <w:spacing w:line="240" w:lineRule="auto" w:before="130" w:after="0"/>
        <w:ind w:left="1439" w:right="0" w:hanging="359"/>
        <w:jc w:val="left"/>
        <w:rPr>
          <w:sz w:val="20"/>
        </w:rPr>
      </w:pPr>
      <w:r>
        <w:rPr>
          <w:sz w:val="20"/>
        </w:rPr>
        <w:t>Increase</w:t>
      </w:r>
      <w:r>
        <w:rPr>
          <w:spacing w:val="-4"/>
          <w:sz w:val="20"/>
        </w:rPr>
        <w:t> </w:t>
      </w:r>
      <w:r>
        <w:rPr>
          <w:sz w:val="20"/>
        </w:rPr>
        <w:t>in</w:t>
      </w:r>
      <w:r>
        <w:rPr>
          <w:spacing w:val="-2"/>
          <w:sz w:val="20"/>
        </w:rPr>
        <w:t> </w:t>
      </w:r>
      <w:r>
        <w:rPr>
          <w:sz w:val="20"/>
        </w:rPr>
        <w:t>net</w:t>
      </w:r>
      <w:r>
        <w:rPr>
          <w:spacing w:val="-3"/>
          <w:sz w:val="20"/>
        </w:rPr>
        <w:t> </w:t>
      </w:r>
      <w:r>
        <w:rPr>
          <w:sz w:val="20"/>
        </w:rPr>
        <w:t>loans</w:t>
      </w:r>
      <w:r>
        <w:rPr>
          <w:spacing w:val="-4"/>
          <w:sz w:val="20"/>
        </w:rPr>
        <w:t> </w:t>
      </w:r>
      <w:r>
        <w:rPr>
          <w:sz w:val="20"/>
        </w:rPr>
        <w:t>outstanding</w:t>
      </w:r>
      <w:r>
        <w:rPr>
          <w:spacing w:val="-2"/>
          <w:sz w:val="20"/>
        </w:rPr>
        <w:t> </w:t>
      </w:r>
      <w:r>
        <w:rPr>
          <w:sz w:val="20"/>
        </w:rPr>
        <w:t>primarily</w:t>
      </w:r>
      <w:r>
        <w:rPr>
          <w:spacing w:val="-3"/>
          <w:sz w:val="20"/>
        </w:rPr>
        <w:t> </w:t>
      </w:r>
      <w:r>
        <w:rPr>
          <w:sz w:val="20"/>
        </w:rPr>
        <w:t>from</w:t>
      </w:r>
      <w:r>
        <w:rPr>
          <w:spacing w:val="-3"/>
          <w:sz w:val="20"/>
        </w:rPr>
        <w:t> </w:t>
      </w:r>
      <w:r>
        <w:rPr>
          <w:sz w:val="20"/>
        </w:rPr>
        <w:t>net</w:t>
      </w:r>
      <w:r>
        <w:rPr>
          <w:spacing w:val="-3"/>
          <w:sz w:val="20"/>
        </w:rPr>
        <w:t> </w:t>
      </w:r>
      <w:r>
        <w:rPr>
          <w:sz w:val="20"/>
        </w:rPr>
        <w:t>loan</w:t>
      </w:r>
      <w:r>
        <w:rPr>
          <w:spacing w:val="-2"/>
          <w:sz w:val="20"/>
        </w:rPr>
        <w:t> disbursements;</w:t>
      </w:r>
    </w:p>
    <w:p>
      <w:pPr>
        <w:pStyle w:val="ListParagraph"/>
        <w:numPr>
          <w:ilvl w:val="0"/>
          <w:numId w:val="4"/>
        </w:numPr>
        <w:tabs>
          <w:tab w:pos="1440" w:val="left" w:leader="none"/>
        </w:tabs>
        <w:spacing w:line="249" w:lineRule="auto" w:before="130" w:after="0"/>
        <w:ind w:left="1440" w:right="718" w:hanging="360"/>
        <w:jc w:val="both"/>
        <w:rPr>
          <w:sz w:val="20"/>
        </w:rPr>
      </w:pPr>
      <w:r>
        <w:rPr>
          <w:sz w:val="20"/>
        </w:rPr>
        <w:t>Increase in other assets mainly from the increase in the overfunded status of the Staff Retirement Plan (SRP) and Retired Staff Benefits Plan (RSBP) and higher accrued interest receivable on loans consistent with the increase in interest rates; partially offset by:</w:t>
      </w:r>
    </w:p>
    <w:p>
      <w:pPr>
        <w:pStyle w:val="ListParagraph"/>
        <w:numPr>
          <w:ilvl w:val="0"/>
          <w:numId w:val="4"/>
        </w:numPr>
        <w:tabs>
          <w:tab w:pos="1440" w:val="left" w:leader="none"/>
        </w:tabs>
        <w:spacing w:line="249" w:lineRule="auto" w:before="122" w:after="0"/>
        <w:ind w:left="1440" w:right="718" w:hanging="360"/>
        <w:jc w:val="both"/>
        <w:rPr>
          <w:sz w:val="20"/>
        </w:rPr>
      </w:pPr>
      <w:r>
        <w:rPr>
          <w:sz w:val="20"/>
        </w:rPr>
        <w:t>Decrease in investments and due from banks primarily due to net loan disbursements, and in line with the decrease in the target liquidity level;</w:t>
      </w:r>
    </w:p>
    <w:p>
      <w:pPr>
        <w:pStyle w:val="ListParagraph"/>
        <w:numPr>
          <w:ilvl w:val="0"/>
          <w:numId w:val="4"/>
        </w:numPr>
        <w:tabs>
          <w:tab w:pos="1440" w:val="left" w:leader="none"/>
        </w:tabs>
        <w:spacing w:line="249" w:lineRule="auto" w:before="122" w:after="0"/>
        <w:ind w:left="1440" w:right="719" w:hanging="360"/>
        <w:jc w:val="both"/>
        <w:rPr>
          <w:sz w:val="20"/>
        </w:rPr>
      </w:pPr>
      <w:r>
        <w:rPr>
          <w:sz w:val="20"/>
        </w:rPr>
        <w:t>Increase in derivative liabilities primarily due to mark-to-market losses on borrowing-related derivatives as a result of the increase in interest rates; and</w:t>
      </w:r>
    </w:p>
    <w:p>
      <w:pPr>
        <w:pStyle w:val="ListParagraph"/>
        <w:numPr>
          <w:ilvl w:val="0"/>
          <w:numId w:val="4"/>
        </w:numPr>
        <w:tabs>
          <w:tab w:pos="1440" w:val="left" w:leader="none"/>
        </w:tabs>
        <w:spacing w:line="249" w:lineRule="auto" w:before="121" w:after="0"/>
        <w:ind w:left="1440" w:right="718" w:hanging="360"/>
        <w:jc w:val="both"/>
        <w:rPr>
          <w:sz w:val="20"/>
        </w:rPr>
      </w:pPr>
      <w:r>
        <w:rPr>
          <w:sz w:val="20"/>
        </w:rPr>
        <w:t>Increase in equity, mostly from the increase in accumulated other comprehensive income due to the</w:t>
      </w:r>
      <w:r>
        <w:rPr>
          <w:spacing w:val="40"/>
          <w:sz w:val="20"/>
        </w:rPr>
        <w:t> </w:t>
      </w:r>
      <w:r>
        <w:rPr>
          <w:sz w:val="20"/>
        </w:rPr>
        <w:t>increase in the unrecognized net actuarial gains on benefit plans and increase in paid-in capital during the </w:t>
      </w:r>
      <w:r>
        <w:rPr>
          <w:spacing w:val="-2"/>
          <w:sz w:val="20"/>
        </w:rPr>
        <w:t>year.</w:t>
      </w:r>
    </w:p>
    <w:p>
      <w:pPr>
        <w:pStyle w:val="Heading1"/>
        <w:spacing w:before="120"/>
      </w:pPr>
      <w:bookmarkStart w:name="Net Income" w:id="19"/>
      <w:bookmarkEnd w:id="19"/>
      <w:r>
        <w:rPr>
          <w:b w:val="0"/>
        </w:rPr>
      </w:r>
      <w:bookmarkStart w:name="_bookmark8" w:id="20"/>
      <w:bookmarkEnd w:id="20"/>
      <w:r>
        <w:rPr>
          <w:b w:val="0"/>
        </w:rPr>
      </w:r>
      <w:r>
        <w:rPr/>
        <w:t>Net</w:t>
      </w:r>
      <w:r>
        <w:rPr>
          <w:spacing w:val="-4"/>
        </w:rPr>
        <w:t> </w:t>
      </w:r>
      <w:r>
        <w:rPr>
          <w:spacing w:val="-2"/>
        </w:rPr>
        <w:t>Income</w:t>
      </w:r>
    </w:p>
    <w:p>
      <w:pPr>
        <w:pStyle w:val="BodyText"/>
        <w:spacing w:line="249" w:lineRule="auto" w:before="135"/>
        <w:ind w:left="720" w:right="719"/>
        <w:jc w:val="both"/>
      </w:pPr>
      <w:r>
        <w:rPr/>
        <w:t>IBRD’s net income was $1,144 million in FY23, compared with net income of $3,990 million in FY22. The</w:t>
      </w:r>
      <w:r>
        <w:rPr>
          <w:spacing w:val="40"/>
        </w:rPr>
        <w:t> </w:t>
      </w:r>
      <w:r>
        <w:rPr/>
        <w:t>decrease was primarily due to unrealized mark-to-market losses on IBRD's non-trading portfolios in FY23, compared to unrealized mark-to-market gains in FY22 . This was partially offset by higher net loan interest revenue during the year (see Table 1).</w:t>
      </w:r>
    </w:p>
    <w:p>
      <w:pPr>
        <w:pStyle w:val="Heading4"/>
        <w:spacing w:before="115"/>
      </w:pPr>
      <w:r>
        <w:rPr/>
        <w:t>Results</w:t>
      </w:r>
      <w:r>
        <w:rPr>
          <w:spacing w:val="-3"/>
        </w:rPr>
        <w:t> </w:t>
      </w:r>
      <w:r>
        <w:rPr/>
        <w:t>from</w:t>
      </w:r>
      <w:r>
        <w:rPr>
          <w:spacing w:val="-2"/>
        </w:rPr>
        <w:t> </w:t>
      </w:r>
      <w:r>
        <w:rPr/>
        <w:t>Lending</w:t>
      </w:r>
      <w:r>
        <w:rPr>
          <w:spacing w:val="-2"/>
        </w:rPr>
        <w:t> activities</w:t>
      </w:r>
    </w:p>
    <w:p>
      <w:pPr>
        <w:pStyle w:val="Heading6"/>
        <w:spacing w:before="134"/>
      </w:pPr>
      <w:r>
        <w:rPr/>
        <w:t>Loan</w:t>
      </w:r>
      <w:r>
        <w:rPr>
          <w:spacing w:val="-1"/>
        </w:rPr>
        <w:t> </w:t>
      </w:r>
      <w:r>
        <w:rPr/>
        <w:t>Interest</w:t>
      </w:r>
      <w:r>
        <w:rPr>
          <w:spacing w:val="-1"/>
        </w:rPr>
        <w:t> </w:t>
      </w:r>
      <w:r>
        <w:rPr/>
        <w:t>Revenue, </w:t>
      </w:r>
      <w:r>
        <w:rPr>
          <w:spacing w:val="-5"/>
        </w:rPr>
        <w:t>net</w:t>
      </w:r>
    </w:p>
    <w:p>
      <w:pPr>
        <w:pStyle w:val="BodyText"/>
        <w:spacing w:line="249" w:lineRule="auto" w:before="136"/>
        <w:ind w:left="720" w:right="719"/>
        <w:jc w:val="both"/>
      </w:pPr>
      <w:r>
        <w:rPr/>
        <w:t>Under IBRD’s pricing policy, the lending rates for all loans are based on the underlying cost of the borrowings funding these loans. After the effect of related derivatives (see Figure 21 and Figure 22), the loan and borrowing portfolios are based on variable interest rates. The portion of the loan portfolio funded by equity is sensitive to changes in interest rates.</w:t>
      </w:r>
    </w:p>
    <w:p>
      <w:pPr>
        <w:pStyle w:val="BodyText"/>
        <w:spacing w:after="0" w:line="249" w:lineRule="auto"/>
        <w:jc w:val="both"/>
        <w:sectPr>
          <w:pgSz w:w="12240" w:h="15840"/>
          <w:pgMar w:header="744" w:footer="583" w:top="1020" w:bottom="780" w:left="720" w:right="720"/>
        </w:sectPr>
      </w:pPr>
    </w:p>
    <w:p>
      <w:pPr>
        <w:spacing w:line="271" w:lineRule="auto" w:before="134"/>
        <w:ind w:left="720" w:right="0" w:firstLine="0"/>
        <w:jc w:val="left"/>
        <w:rPr>
          <w:rFonts w:ascii="Arial"/>
          <w:b/>
          <w:sz w:val="18"/>
        </w:rPr>
      </w:pPr>
      <w:bookmarkStart w:name="_bookmark9" w:id="21"/>
      <w:bookmarkEnd w:id="21"/>
      <w:r>
        <w:rPr/>
      </w:r>
      <w:bookmarkStart w:name="_bookmark10" w:id="22"/>
      <w:bookmarkEnd w:id="22"/>
      <w:r>
        <w:rPr/>
      </w:r>
      <w:r>
        <w:rPr>
          <w:rFonts w:ascii="Arial"/>
          <w:b/>
          <w:sz w:val="18"/>
        </w:rPr>
        <w:t>Figure 2: Loan interest revenue and funding cost (including derivatives)</w:t>
      </w:r>
    </w:p>
    <w:p>
      <w:pPr>
        <w:spacing w:before="4"/>
        <w:ind w:left="720"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3"/>
          <w:sz w:val="16"/>
        </w:rPr>
        <w:t> </w:t>
      </w:r>
      <w:r>
        <w:rPr>
          <w:rFonts w:ascii="Arial"/>
          <w:i/>
          <w:sz w:val="16"/>
        </w:rPr>
        <w:t>of</w:t>
      </w:r>
      <w:r>
        <w:rPr>
          <w:rFonts w:ascii="Arial"/>
          <w:i/>
          <w:spacing w:val="-2"/>
          <w:sz w:val="16"/>
        </w:rPr>
        <w:t> </w:t>
      </w:r>
      <w:r>
        <w:rPr>
          <w:rFonts w:ascii="Arial"/>
          <w:i/>
          <w:sz w:val="16"/>
        </w:rPr>
        <w:t>U.S.</w:t>
      </w:r>
      <w:r>
        <w:rPr>
          <w:rFonts w:ascii="Arial"/>
          <w:i/>
          <w:spacing w:val="-3"/>
          <w:sz w:val="16"/>
        </w:rPr>
        <w:t> </w:t>
      </w:r>
      <w:r>
        <w:rPr>
          <w:rFonts w:ascii="Arial"/>
          <w:i/>
          <w:spacing w:val="-2"/>
          <w:sz w:val="16"/>
        </w:rPr>
        <w:t>dollars</w:t>
      </w:r>
    </w:p>
    <w:p>
      <w:pPr>
        <w:spacing w:before="134"/>
        <w:ind w:left="675" w:right="0" w:firstLine="0"/>
        <w:jc w:val="left"/>
        <w:rPr>
          <w:rFonts w:ascii="Arial"/>
          <w:b/>
          <w:sz w:val="18"/>
        </w:rPr>
      </w:pPr>
      <w:r>
        <w:rPr/>
        <w:br w:type="column"/>
      </w:r>
      <w:r>
        <w:rPr>
          <w:rFonts w:ascii="Arial"/>
          <w:b/>
          <w:sz w:val="18"/>
        </w:rPr>
        <w:t>Figure</w:t>
      </w:r>
      <w:r>
        <w:rPr>
          <w:rFonts w:ascii="Arial"/>
          <w:b/>
          <w:spacing w:val="-5"/>
          <w:sz w:val="18"/>
        </w:rPr>
        <w:t> </w:t>
      </w:r>
      <w:r>
        <w:rPr>
          <w:rFonts w:ascii="Arial"/>
          <w:b/>
          <w:sz w:val="18"/>
        </w:rPr>
        <w:t>3:</w:t>
      </w:r>
      <w:r>
        <w:rPr>
          <w:rFonts w:ascii="Arial"/>
          <w:b/>
          <w:spacing w:val="-2"/>
          <w:sz w:val="18"/>
        </w:rPr>
        <w:t> </w:t>
      </w:r>
      <w:r>
        <w:rPr>
          <w:rFonts w:ascii="Arial"/>
          <w:b/>
          <w:sz w:val="18"/>
        </w:rPr>
        <w:t>Loan</w:t>
      </w:r>
      <w:r>
        <w:rPr>
          <w:rFonts w:ascii="Arial"/>
          <w:b/>
          <w:spacing w:val="-3"/>
          <w:sz w:val="18"/>
        </w:rPr>
        <w:t> </w:t>
      </w:r>
      <w:r>
        <w:rPr>
          <w:rFonts w:ascii="Arial"/>
          <w:b/>
          <w:sz w:val="18"/>
        </w:rPr>
        <w:t>Interest</w:t>
      </w:r>
      <w:r>
        <w:rPr>
          <w:rFonts w:ascii="Arial"/>
          <w:b/>
          <w:spacing w:val="-2"/>
          <w:sz w:val="18"/>
        </w:rPr>
        <w:t> </w:t>
      </w:r>
      <w:r>
        <w:rPr>
          <w:rFonts w:ascii="Arial"/>
          <w:b/>
          <w:sz w:val="18"/>
        </w:rPr>
        <w:t>Revenue,</w:t>
      </w:r>
      <w:r>
        <w:rPr>
          <w:rFonts w:ascii="Arial"/>
          <w:b/>
          <w:spacing w:val="-2"/>
          <w:sz w:val="18"/>
        </w:rPr>
        <w:t> </w:t>
      </w:r>
      <w:r>
        <w:rPr>
          <w:rFonts w:ascii="Arial"/>
          <w:b/>
          <w:spacing w:val="-5"/>
          <w:sz w:val="18"/>
        </w:rPr>
        <w:t>net</w:t>
      </w:r>
    </w:p>
    <w:p>
      <w:pPr>
        <w:spacing w:before="13"/>
        <w:ind w:left="675"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left"/>
        <w:rPr>
          <w:rFonts w:ascii="Arial"/>
          <w:i/>
          <w:sz w:val="16"/>
        </w:rPr>
        <w:sectPr>
          <w:type w:val="continuous"/>
          <w:pgSz w:w="12240" w:h="15840"/>
          <w:pgMar w:header="744" w:footer="583" w:top="1820" w:bottom="280" w:left="720" w:right="720"/>
          <w:cols w:num="2" w:equalWidth="0">
            <w:col w:w="5045" w:space="40"/>
            <w:col w:w="5715"/>
          </w:cols>
        </w:sectPr>
      </w:pPr>
    </w:p>
    <w:p>
      <w:pPr>
        <w:pStyle w:val="BodyText"/>
        <w:rPr>
          <w:rFonts w:ascii="Arial"/>
          <w:i/>
          <w:sz w:val="12"/>
        </w:rPr>
      </w:pPr>
    </w:p>
    <w:p>
      <w:pPr>
        <w:pStyle w:val="BodyText"/>
        <w:spacing w:after="0"/>
        <w:rPr>
          <w:rFonts w:ascii="Arial"/>
          <w:i/>
          <w:sz w:val="12"/>
        </w:rPr>
        <w:sectPr>
          <w:type w:val="continuous"/>
          <w:pgSz w:w="12240" w:h="15840"/>
          <w:pgMar w:header="744" w:footer="583" w:top="1820" w:bottom="280" w:left="720" w:right="720"/>
        </w:sectPr>
      </w:pPr>
    </w:p>
    <w:p>
      <w:pPr>
        <w:pStyle w:val="BodyText"/>
        <w:rPr>
          <w:rFonts w:ascii="Arial"/>
          <w:i/>
          <w:sz w:val="16"/>
        </w:rPr>
      </w:pPr>
    </w:p>
    <w:p>
      <w:pPr>
        <w:pStyle w:val="BodyText"/>
        <w:spacing w:before="147"/>
        <w:rPr>
          <w:rFonts w:ascii="Arial"/>
          <w:i/>
          <w:sz w:val="16"/>
        </w:rPr>
      </w:pPr>
    </w:p>
    <w:p>
      <w:pPr>
        <w:spacing w:before="0"/>
        <w:ind w:left="0" w:right="0" w:firstLine="0"/>
        <w:jc w:val="right"/>
        <w:rPr>
          <w:rFonts w:ascii="Arial MT"/>
          <w:sz w:val="16"/>
        </w:rPr>
      </w:pPr>
      <w:r>
        <w:rPr>
          <w:rFonts w:ascii="Arial MT"/>
          <w:color w:val="585858"/>
          <w:spacing w:val="-2"/>
          <w:sz w:val="16"/>
        </w:rPr>
        <w:t>12,000</w:t>
      </w:r>
    </w:p>
    <w:p>
      <w:pPr>
        <w:pStyle w:val="BodyText"/>
        <w:spacing w:before="112"/>
        <w:rPr>
          <w:rFonts w:ascii="Arial MT"/>
          <w:sz w:val="16"/>
        </w:rPr>
      </w:pPr>
    </w:p>
    <w:p>
      <w:pPr>
        <w:spacing w:before="0"/>
        <w:ind w:left="0" w:right="0" w:firstLine="0"/>
        <w:jc w:val="right"/>
        <w:rPr>
          <w:rFonts w:ascii="Arial MT"/>
          <w:sz w:val="16"/>
        </w:rPr>
      </w:pPr>
      <w:r>
        <w:rPr>
          <w:rFonts w:ascii="Arial MT"/>
          <w:color w:val="585858"/>
          <w:spacing w:val="-2"/>
          <w:sz w:val="16"/>
        </w:rPr>
        <w:t>9,000</w:t>
      </w:r>
    </w:p>
    <w:p>
      <w:pPr>
        <w:pStyle w:val="BodyText"/>
        <w:spacing w:before="112"/>
        <w:rPr>
          <w:rFonts w:ascii="Arial MT"/>
          <w:sz w:val="16"/>
        </w:rPr>
      </w:pPr>
    </w:p>
    <w:p>
      <w:pPr>
        <w:spacing w:before="0"/>
        <w:ind w:left="0" w:right="0" w:firstLine="0"/>
        <w:jc w:val="right"/>
        <w:rPr>
          <w:rFonts w:ascii="Arial MT"/>
          <w:sz w:val="16"/>
        </w:rPr>
      </w:pPr>
      <w:r>
        <w:rPr>
          <w:rFonts w:ascii="Arial MT"/>
          <w:color w:val="585858"/>
          <w:spacing w:val="-2"/>
          <w:sz w:val="16"/>
        </w:rPr>
        <w:t>6,000</w:t>
      </w:r>
    </w:p>
    <w:p>
      <w:pPr>
        <w:pStyle w:val="BodyText"/>
        <w:spacing w:before="97"/>
        <w:rPr>
          <w:rFonts w:ascii="Arial MT"/>
          <w:sz w:val="16"/>
        </w:rPr>
      </w:pPr>
    </w:p>
    <w:p>
      <w:pPr>
        <w:spacing w:before="0"/>
        <w:ind w:left="0" w:right="0" w:firstLine="0"/>
        <w:jc w:val="right"/>
        <w:rPr>
          <w:rFonts w:ascii="Arial MT"/>
          <w:sz w:val="16"/>
        </w:rPr>
      </w:pPr>
      <w:r>
        <w:rPr>
          <w:rFonts w:ascii="Arial MT"/>
          <w:color w:val="585858"/>
          <w:spacing w:val="-2"/>
          <w:sz w:val="16"/>
        </w:rPr>
        <w:t>3,000</w:t>
      </w:r>
    </w:p>
    <w:p>
      <w:pPr>
        <w:pStyle w:val="BodyText"/>
        <w:spacing w:before="112"/>
        <w:rPr>
          <w:rFonts w:ascii="Arial MT"/>
          <w:sz w:val="16"/>
        </w:rPr>
      </w:pPr>
    </w:p>
    <w:p>
      <w:pPr>
        <w:spacing w:before="0"/>
        <w:ind w:left="0" w:right="0" w:firstLine="0"/>
        <w:jc w:val="right"/>
        <w:rPr>
          <w:rFonts w:ascii="Arial MT"/>
          <w:sz w:val="16"/>
        </w:rPr>
      </w:pPr>
      <w:r>
        <w:rPr>
          <w:rFonts w:ascii="Arial MT"/>
          <w:color w:val="585858"/>
          <w:spacing w:val="-10"/>
          <w:sz w:val="16"/>
        </w:rPr>
        <w:t>0</w:t>
      </w:r>
    </w:p>
    <w:p>
      <w:pPr>
        <w:spacing w:line="235" w:lineRule="auto" w:before="98"/>
        <w:ind w:left="64" w:right="0" w:firstLine="0"/>
        <w:jc w:val="left"/>
        <w:rPr>
          <w:rFonts w:ascii="Arial MT"/>
          <w:sz w:val="16"/>
        </w:rPr>
      </w:pPr>
      <w:r>
        <w:rPr/>
        <w:br w:type="column"/>
      </w:r>
      <w:r>
        <w:rPr>
          <w:rFonts w:ascii="Arial MT"/>
          <w:color w:val="585858"/>
          <w:sz w:val="16"/>
        </w:rPr>
        <w:t>Loan</w:t>
      </w:r>
      <w:r>
        <w:rPr>
          <w:rFonts w:ascii="Arial MT"/>
          <w:color w:val="585858"/>
          <w:spacing w:val="-10"/>
          <w:sz w:val="16"/>
        </w:rPr>
        <w:t> </w:t>
      </w:r>
      <w:r>
        <w:rPr>
          <w:rFonts w:ascii="Arial MT"/>
          <w:color w:val="585858"/>
          <w:sz w:val="16"/>
        </w:rPr>
        <w:t>interest</w:t>
      </w:r>
      <w:r>
        <w:rPr>
          <w:rFonts w:ascii="Arial MT"/>
          <w:color w:val="585858"/>
          <w:spacing w:val="-10"/>
          <w:sz w:val="16"/>
        </w:rPr>
        <w:t> </w:t>
      </w:r>
      <w:r>
        <w:rPr>
          <w:rFonts w:ascii="Arial MT"/>
          <w:color w:val="585858"/>
          <w:sz w:val="16"/>
        </w:rPr>
        <w:t>revenue</w:t>
      </w:r>
      <w:r>
        <w:rPr>
          <w:rFonts w:ascii="Arial MT"/>
          <w:color w:val="585858"/>
          <w:spacing w:val="-10"/>
          <w:sz w:val="16"/>
        </w:rPr>
        <w:t> </w:t>
      </w:r>
      <w:r>
        <w:rPr>
          <w:rFonts w:ascii="Arial MT"/>
          <w:color w:val="585858"/>
          <w:sz w:val="16"/>
        </w:rPr>
        <w:t>(including</w:t>
      </w:r>
      <w:r>
        <w:rPr>
          <w:rFonts w:ascii="Arial MT"/>
          <w:color w:val="585858"/>
          <w:spacing w:val="-10"/>
          <w:sz w:val="16"/>
        </w:rPr>
        <w:t> </w:t>
      </w:r>
      <w:r>
        <w:rPr>
          <w:rFonts w:ascii="Arial MT"/>
          <w:color w:val="585858"/>
          <w:sz w:val="16"/>
        </w:rPr>
        <w:t>derivatives) Loan funding cost (including derivatives)</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48"/>
        <w:rPr>
          <w:rFonts w:ascii="Arial MT"/>
          <w:sz w:val="16"/>
        </w:rPr>
      </w:pPr>
    </w:p>
    <w:p>
      <w:pPr>
        <w:tabs>
          <w:tab w:pos="983" w:val="left" w:leader="none"/>
          <w:tab w:pos="1658" w:val="left" w:leader="none"/>
          <w:tab w:pos="2333" w:val="left" w:leader="none"/>
          <w:tab w:pos="2993" w:val="left" w:leader="none"/>
        </w:tabs>
        <w:spacing w:before="0"/>
        <w:ind w:left="323"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52704">
                <wp:simplePos x="0" y="0"/>
                <wp:positionH relativeFrom="page">
                  <wp:posOffset>1504950</wp:posOffset>
                </wp:positionH>
                <wp:positionV relativeFrom="paragraph">
                  <wp:posOffset>-1158749</wp:posOffset>
                </wp:positionV>
                <wp:extent cx="2124075" cy="108521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2124075" cy="1085215"/>
                          <a:chExt cx="2124075" cy="1085215"/>
                        </a:xfrm>
                      </wpg:grpSpPr>
                      <wps:wsp>
                        <wps:cNvPr id="128" name="Graphic 128"/>
                        <wps:cNvSpPr/>
                        <wps:spPr>
                          <a:xfrm>
                            <a:off x="0" y="175261"/>
                            <a:ext cx="2124075" cy="904875"/>
                          </a:xfrm>
                          <a:custGeom>
                            <a:avLst/>
                            <a:gdLst/>
                            <a:ahLst/>
                            <a:cxnLst/>
                            <a:rect l="l" t="t" r="r" b="b"/>
                            <a:pathLst>
                              <a:path w="2124075" h="904875">
                                <a:moveTo>
                                  <a:pt x="0" y="904875"/>
                                </a:moveTo>
                                <a:lnTo>
                                  <a:pt x="2124075" y="904875"/>
                                </a:lnTo>
                              </a:path>
                              <a:path w="2124075" h="904875">
                                <a:moveTo>
                                  <a:pt x="0" y="600075"/>
                                </a:moveTo>
                                <a:lnTo>
                                  <a:pt x="2124075" y="600075"/>
                                </a:lnTo>
                              </a:path>
                              <a:path w="2124075" h="904875">
                                <a:moveTo>
                                  <a:pt x="0" y="304800"/>
                                </a:moveTo>
                                <a:lnTo>
                                  <a:pt x="2124075" y="304800"/>
                                </a:lnTo>
                              </a:path>
                              <a:path w="2124075" h="904875">
                                <a:moveTo>
                                  <a:pt x="0" y="0"/>
                                </a:moveTo>
                                <a:lnTo>
                                  <a:pt x="2124075" y="0"/>
                                </a:lnTo>
                              </a:path>
                            </a:pathLst>
                          </a:custGeom>
                          <a:ln w="9525">
                            <a:solidFill>
                              <a:srgbClr val="E6E6E6"/>
                            </a:solidFill>
                            <a:prstDash val="solid"/>
                          </a:ln>
                        </wps:spPr>
                        <wps:bodyPr wrap="square" lIns="0" tIns="0" rIns="0" bIns="0" rtlCol="0">
                          <a:prstTxWarp prst="textNoShape">
                            <a:avLst/>
                          </a:prstTxWarp>
                          <a:noAutofit/>
                        </wps:bodyPr>
                      </wps:wsp>
                      <wps:wsp>
                        <wps:cNvPr id="129" name="Graphic 129"/>
                        <wps:cNvSpPr/>
                        <wps:spPr>
                          <a:xfrm>
                            <a:off x="212407" y="14287"/>
                            <a:ext cx="1699260" cy="838200"/>
                          </a:xfrm>
                          <a:custGeom>
                            <a:avLst/>
                            <a:gdLst/>
                            <a:ahLst/>
                            <a:cxnLst/>
                            <a:rect l="l" t="t" r="r" b="b"/>
                            <a:pathLst>
                              <a:path w="1699260" h="838200">
                                <a:moveTo>
                                  <a:pt x="0" y="539817"/>
                                </a:moveTo>
                                <a:lnTo>
                                  <a:pt x="424815" y="605139"/>
                                </a:lnTo>
                                <a:lnTo>
                                  <a:pt x="849630" y="838001"/>
                                </a:lnTo>
                                <a:lnTo>
                                  <a:pt x="1274445" y="821772"/>
                                </a:lnTo>
                                <a:lnTo>
                                  <a:pt x="1699260" y="0"/>
                                </a:lnTo>
                              </a:path>
                            </a:pathLst>
                          </a:custGeom>
                          <a:ln w="28574">
                            <a:solidFill>
                              <a:srgbClr val="494949"/>
                            </a:solidFill>
                            <a:prstDash val="solid"/>
                          </a:ln>
                        </wps:spPr>
                        <wps:bodyPr wrap="square" lIns="0" tIns="0" rIns="0" bIns="0" rtlCol="0">
                          <a:prstTxWarp prst="textNoShape">
                            <a:avLst/>
                          </a:prstTxWarp>
                          <a:noAutofit/>
                        </wps:bodyPr>
                      </wps:wsp>
                      <wps:wsp>
                        <wps:cNvPr id="130" name="Graphic 130"/>
                        <wps:cNvSpPr/>
                        <wps:spPr>
                          <a:xfrm>
                            <a:off x="212407" y="404811"/>
                            <a:ext cx="1699260" cy="624840"/>
                          </a:xfrm>
                          <a:custGeom>
                            <a:avLst/>
                            <a:gdLst/>
                            <a:ahLst/>
                            <a:cxnLst/>
                            <a:rect l="l" t="t" r="r" b="b"/>
                            <a:pathLst>
                              <a:path w="1699260" h="624840">
                                <a:moveTo>
                                  <a:pt x="0" y="371671"/>
                                </a:moveTo>
                                <a:lnTo>
                                  <a:pt x="424815" y="431248"/>
                                </a:lnTo>
                                <a:lnTo>
                                  <a:pt x="849630" y="624292"/>
                                </a:lnTo>
                                <a:lnTo>
                                  <a:pt x="1274445" y="621973"/>
                                </a:lnTo>
                                <a:lnTo>
                                  <a:pt x="1699260" y="0"/>
                                </a:lnTo>
                              </a:path>
                            </a:pathLst>
                          </a:custGeom>
                          <a:ln w="28575">
                            <a:solidFill>
                              <a:srgbClr val="91919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5pt;margin-top:-91.240112pt;width:167.25pt;height:85.45pt;mso-position-horizontal-relative:page;mso-position-vertical-relative:paragraph;z-index:15752704" id="docshapegroup97" coordorigin="2370,-1825" coordsize="3345,1709">
                <v:shape style="position:absolute;left:2370;top:-1549;width:3345;height:1425" id="docshape98" coordorigin="2370,-1549" coordsize="3345,1425" path="m2370,-124l5715,-124m2370,-604l5715,-604m2370,-1069l5715,-1069m2370,-1549l5715,-1549e" filled="false" stroked="true" strokeweight=".75pt" strokecolor="#e6e6e6">
                  <v:path arrowok="t"/>
                  <v:stroke dashstyle="solid"/>
                </v:shape>
                <v:shape style="position:absolute;left:2704;top:-1803;width:2676;height:1320" id="docshape99" coordorigin="2705,-1802" coordsize="2676,1320" path="m2705,-952l3374,-849,4043,-483,4712,-508,5381,-1802e" filled="false" stroked="true" strokeweight="2.25pt" strokecolor="#494949">
                  <v:path arrowok="t"/>
                  <v:stroke dashstyle="solid"/>
                </v:shape>
                <v:shape style="position:absolute;left:2704;top:-1188;width:2676;height:984" id="docshape100" coordorigin="2705,-1187" coordsize="2676,984" path="m2705,-602l3374,-508,4043,-204,4712,-208,5381,-1187e" filled="false" stroked="true" strokeweight="2.25pt" strokecolor="#919191">
                  <v:path arrowok="t"/>
                  <v:stroke dashstyle="solid"/>
                </v:shape>
                <w10:wrap type="none"/>
              </v:group>
            </w:pict>
          </mc:Fallback>
        </mc:AlternateContent>
      </w:r>
      <w:r>
        <w:rPr>
          <w:rFonts w:ascii="Arial MT"/>
          <w:sz w:val="16"/>
        </w:rPr>
        <mc:AlternateContent>
          <mc:Choice Requires="wps">
            <w:drawing>
              <wp:anchor distT="0" distB="0" distL="0" distR="0" allowOverlap="1" layoutInCell="1" locked="0" behindDoc="0" simplePos="0" relativeHeight="15753216">
                <wp:simplePos x="0" y="0"/>
                <wp:positionH relativeFrom="page">
                  <wp:posOffset>1504950</wp:posOffset>
                </wp:positionH>
                <wp:positionV relativeFrom="paragraph">
                  <wp:posOffset>-1297813</wp:posOffset>
                </wp:positionV>
                <wp:extent cx="212407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2124075" cy="1270"/>
                        </a:xfrm>
                        <a:custGeom>
                          <a:avLst/>
                          <a:gdLst/>
                          <a:ahLst/>
                          <a:cxnLst/>
                          <a:rect l="l" t="t" r="r" b="b"/>
                          <a:pathLst>
                            <a:path w="2124075" h="0">
                              <a:moveTo>
                                <a:pt x="0" y="0"/>
                              </a:moveTo>
                              <a:lnTo>
                                <a:pt x="212407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118.5pt,-102.19001pt" to="285.75pt,-102.19001pt" stroked="true" strokeweight=".75pt" strokecolor="#e6e6e6">
                <v:stroke dashstyle="solid"/>
                <w10:wrap type="none"/>
              </v:line>
            </w:pict>
          </mc:Fallback>
        </mc:AlternateContent>
      </w:r>
      <w:r>
        <w:rPr>
          <w:rFonts w:ascii="Arial MT"/>
          <w:sz w:val="16"/>
        </w:rPr>
        <mc:AlternateContent>
          <mc:Choice Requires="wps">
            <w:drawing>
              <wp:anchor distT="0" distB="0" distL="0" distR="0" allowOverlap="1" layoutInCell="1" locked="0" behindDoc="0" simplePos="0" relativeHeight="15753728">
                <wp:simplePos x="0" y="0"/>
                <wp:positionH relativeFrom="page">
                  <wp:posOffset>1276350</wp:posOffset>
                </wp:positionH>
                <wp:positionV relativeFrom="paragraph">
                  <wp:posOffset>-1554988</wp:posOffset>
                </wp:positionV>
                <wp:extent cx="104775" cy="2857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04775" cy="28575"/>
                          <a:chExt cx="104775" cy="28575"/>
                        </a:xfrm>
                      </wpg:grpSpPr>
                      <wps:wsp>
                        <wps:cNvPr id="133" name="Graphic 133"/>
                        <wps:cNvSpPr/>
                        <wps:spPr>
                          <a:xfrm>
                            <a:off x="0" y="14287"/>
                            <a:ext cx="104775" cy="1270"/>
                          </a:xfrm>
                          <a:custGeom>
                            <a:avLst/>
                            <a:gdLst/>
                            <a:ahLst/>
                            <a:cxnLst/>
                            <a:rect l="l" t="t" r="r" b="b"/>
                            <a:pathLst>
                              <a:path w="104775" h="0">
                                <a:moveTo>
                                  <a:pt x="0" y="0"/>
                                </a:moveTo>
                                <a:lnTo>
                                  <a:pt x="104775" y="0"/>
                                </a:lnTo>
                              </a:path>
                            </a:pathLst>
                          </a:custGeom>
                          <a:ln w="28575">
                            <a:solidFill>
                              <a:srgbClr val="494949"/>
                            </a:solidFill>
                            <a:prstDash val="solid"/>
                          </a:ln>
                        </wps:spPr>
                        <wps:bodyPr wrap="square" lIns="0" tIns="0" rIns="0" bIns="0" rtlCol="0">
                          <a:prstTxWarp prst="textNoShape">
                            <a:avLst/>
                          </a:prstTxWarp>
                          <a:noAutofit/>
                        </wps:bodyPr>
                      </wps:wsp>
                      <wps:wsp>
                        <wps:cNvPr id="134" name="Graphic 134"/>
                        <wps:cNvSpPr/>
                        <wps:spPr>
                          <a:xfrm>
                            <a:off x="57150" y="14287"/>
                            <a:ext cx="1270" cy="1270"/>
                          </a:xfrm>
                          <a:custGeom>
                            <a:avLst/>
                            <a:gdLst/>
                            <a:ahLst/>
                            <a:cxnLst/>
                            <a:rect l="l" t="t" r="r" b="b"/>
                            <a:pathLst>
                              <a:path w="0" h="0">
                                <a:moveTo>
                                  <a:pt x="0" y="0"/>
                                </a:moveTo>
                                <a:lnTo>
                                  <a:pt x="0" y="0"/>
                                </a:lnTo>
                              </a:path>
                            </a:pathLst>
                          </a:custGeom>
                          <a:solidFill>
                            <a:srgbClr val="494949"/>
                          </a:solidFill>
                        </wps:spPr>
                        <wps:bodyPr wrap="square" lIns="0" tIns="0" rIns="0" bIns="0" rtlCol="0">
                          <a:prstTxWarp prst="textNoShape">
                            <a:avLst/>
                          </a:prstTxWarp>
                          <a:noAutofit/>
                        </wps:bodyPr>
                      </wps:wsp>
                    </wpg:wgp>
                  </a:graphicData>
                </a:graphic>
              </wp:anchor>
            </w:drawing>
          </mc:Choice>
          <mc:Fallback>
            <w:pict>
              <v:group style="position:absolute;margin-left:100.5pt;margin-top:-122.44001pt;width:8.25pt;height:2.25pt;mso-position-horizontal-relative:page;mso-position-vertical-relative:paragraph;z-index:15753728" id="docshapegroup101" coordorigin="2010,-2449" coordsize="165,45">
                <v:line style="position:absolute" from="2010,-2426" to="2175,-2426" stroked="true" strokeweight="2.25pt" strokecolor="#494949">
                  <v:stroke dashstyle="solid"/>
                </v:line>
                <v:shape style="position:absolute;left:2100;top:-2427;width:2;height:2" id="docshape102" coordorigin="2100,-2426" coordsize="0,0" path="m2100,-2426l2100,-2426e" filled="true" fillcolor="#494949" stroked="false">
                  <v:path arrowok="t"/>
                  <v:fill type="solid"/>
                </v:shape>
                <w10:wrap type="none"/>
              </v:group>
            </w:pict>
          </mc:Fallback>
        </mc:AlternateContent>
      </w:r>
      <w:r>
        <w:rPr>
          <w:rFonts w:ascii="Arial MT"/>
          <w:sz w:val="16"/>
        </w:rPr>
        <mc:AlternateContent>
          <mc:Choice Requires="wps">
            <w:drawing>
              <wp:anchor distT="0" distB="0" distL="0" distR="0" allowOverlap="1" layoutInCell="1" locked="0" behindDoc="0" simplePos="0" relativeHeight="15754240">
                <wp:simplePos x="0" y="0"/>
                <wp:positionH relativeFrom="page">
                  <wp:posOffset>1276350</wp:posOffset>
                </wp:positionH>
                <wp:positionV relativeFrom="paragraph">
                  <wp:posOffset>-1440688</wp:posOffset>
                </wp:positionV>
                <wp:extent cx="104775" cy="2857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04775" cy="28575"/>
                          <a:chExt cx="104775" cy="28575"/>
                        </a:xfrm>
                      </wpg:grpSpPr>
                      <wps:wsp>
                        <wps:cNvPr id="136" name="Graphic 136"/>
                        <wps:cNvSpPr/>
                        <wps:spPr>
                          <a:xfrm>
                            <a:off x="0" y="14287"/>
                            <a:ext cx="104775" cy="1270"/>
                          </a:xfrm>
                          <a:custGeom>
                            <a:avLst/>
                            <a:gdLst/>
                            <a:ahLst/>
                            <a:cxnLst/>
                            <a:rect l="l" t="t" r="r" b="b"/>
                            <a:pathLst>
                              <a:path w="104775" h="0">
                                <a:moveTo>
                                  <a:pt x="0" y="0"/>
                                </a:moveTo>
                                <a:lnTo>
                                  <a:pt x="104775" y="0"/>
                                </a:lnTo>
                              </a:path>
                            </a:pathLst>
                          </a:custGeom>
                          <a:ln w="28575">
                            <a:solidFill>
                              <a:srgbClr val="919191"/>
                            </a:solidFill>
                            <a:prstDash val="solid"/>
                          </a:ln>
                        </wps:spPr>
                        <wps:bodyPr wrap="square" lIns="0" tIns="0" rIns="0" bIns="0" rtlCol="0">
                          <a:prstTxWarp prst="textNoShape">
                            <a:avLst/>
                          </a:prstTxWarp>
                          <a:noAutofit/>
                        </wps:bodyPr>
                      </wps:wsp>
                      <wps:wsp>
                        <wps:cNvPr id="137" name="Graphic 137"/>
                        <wps:cNvSpPr/>
                        <wps:spPr>
                          <a:xfrm>
                            <a:off x="57150" y="14287"/>
                            <a:ext cx="1270" cy="1270"/>
                          </a:xfrm>
                          <a:custGeom>
                            <a:avLst/>
                            <a:gdLst/>
                            <a:ahLst/>
                            <a:cxnLst/>
                            <a:rect l="l" t="t" r="r" b="b"/>
                            <a:pathLst>
                              <a:path w="0" h="0">
                                <a:moveTo>
                                  <a:pt x="0" y="0"/>
                                </a:moveTo>
                                <a:lnTo>
                                  <a:pt x="0" y="0"/>
                                </a:lnTo>
                              </a:path>
                            </a:pathLst>
                          </a:custGeom>
                          <a:solidFill>
                            <a:srgbClr val="919191"/>
                          </a:solidFill>
                        </wps:spPr>
                        <wps:bodyPr wrap="square" lIns="0" tIns="0" rIns="0" bIns="0" rtlCol="0">
                          <a:prstTxWarp prst="textNoShape">
                            <a:avLst/>
                          </a:prstTxWarp>
                          <a:noAutofit/>
                        </wps:bodyPr>
                      </wps:wsp>
                    </wpg:wgp>
                  </a:graphicData>
                </a:graphic>
              </wp:anchor>
            </w:drawing>
          </mc:Choice>
          <mc:Fallback>
            <w:pict>
              <v:group style="position:absolute;margin-left:100.5pt;margin-top:-113.44001pt;width:8.25pt;height:2.25pt;mso-position-horizontal-relative:page;mso-position-vertical-relative:paragraph;z-index:15754240" id="docshapegroup103" coordorigin="2010,-2269" coordsize="165,45">
                <v:line style="position:absolute" from="2010,-2246" to="2175,-2246" stroked="true" strokeweight="2.25pt" strokecolor="#919191">
                  <v:stroke dashstyle="solid"/>
                </v:line>
                <v:shape style="position:absolute;left:2100;top:-2247;width:2;height:2" id="docshape104" coordorigin="2100,-2246" coordsize="0,0" path="m2100,-2246l2100,-2246e" filled="true" fillcolor="#919191" stroked="false">
                  <v:path arrowok="t"/>
                  <v:fill type="solid"/>
                </v:shape>
                <w10:wrap type="none"/>
              </v:group>
            </w:pict>
          </mc:Fallback>
        </mc:AlternateContent>
      </w:r>
      <w:r>
        <w:rPr>
          <w:rFonts w:ascii="Arial MT"/>
          <w:color w:val="585858"/>
          <w:spacing w:val="-4"/>
          <w:sz w:val="16"/>
        </w:rPr>
        <w:t>FY19</w:t>
      </w:r>
      <w:r>
        <w:rPr>
          <w:rFonts w:ascii="Arial MT"/>
          <w:color w:val="585858"/>
          <w:sz w:val="16"/>
        </w:rPr>
        <w:tab/>
      </w:r>
      <w:r>
        <w:rPr>
          <w:rFonts w:ascii="Arial MT"/>
          <w:color w:val="585858"/>
          <w:spacing w:val="-4"/>
          <w:sz w:val="16"/>
        </w:rPr>
        <w:t>FY20</w:t>
      </w:r>
      <w:r>
        <w:rPr>
          <w:rFonts w:ascii="Arial MT"/>
          <w:color w:val="585858"/>
          <w:sz w:val="16"/>
        </w:rPr>
        <w:tab/>
      </w:r>
      <w:r>
        <w:rPr>
          <w:rFonts w:ascii="Arial MT"/>
          <w:color w:val="585858"/>
          <w:spacing w:val="-4"/>
          <w:sz w:val="16"/>
        </w:rPr>
        <w:t>FY21</w:t>
      </w:r>
      <w:r>
        <w:rPr>
          <w:rFonts w:ascii="Arial MT"/>
          <w:color w:val="585858"/>
          <w:sz w:val="16"/>
        </w:rPr>
        <w:tab/>
      </w:r>
      <w:r>
        <w:rPr>
          <w:rFonts w:ascii="Arial MT"/>
          <w:color w:val="585858"/>
          <w:spacing w:val="-4"/>
          <w:sz w:val="16"/>
        </w:rPr>
        <w:t>FY22</w:t>
      </w:r>
      <w:r>
        <w:rPr>
          <w:rFonts w:ascii="Arial MT"/>
          <w:color w:val="585858"/>
          <w:sz w:val="16"/>
        </w:rPr>
        <w:tab/>
      </w:r>
      <w:r>
        <w:rPr>
          <w:rFonts w:ascii="Arial MT"/>
          <w:color w:val="585858"/>
          <w:spacing w:val="-4"/>
          <w:sz w:val="16"/>
        </w:rPr>
        <w:t>FY23</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spacing w:before="4"/>
        <w:rPr>
          <w:rFonts w:ascii="Arial MT"/>
          <w:sz w:val="16"/>
        </w:rPr>
      </w:pPr>
    </w:p>
    <w:p>
      <w:pPr>
        <w:spacing w:before="0"/>
        <w:ind w:left="0" w:right="0" w:firstLine="0"/>
        <w:jc w:val="right"/>
        <w:rPr>
          <w:rFonts w:ascii="Arial MT"/>
          <w:sz w:val="16"/>
        </w:rPr>
      </w:pPr>
      <w:r>
        <w:rPr>
          <w:rFonts w:ascii="Arial MT"/>
          <w:color w:val="585858"/>
          <w:spacing w:val="-2"/>
          <w:sz w:val="16"/>
        </w:rPr>
        <w:t>4,000</w:t>
      </w:r>
    </w:p>
    <w:p>
      <w:pPr>
        <w:pStyle w:val="BodyText"/>
        <w:spacing w:before="67"/>
        <w:rPr>
          <w:rFonts w:ascii="Arial MT"/>
          <w:sz w:val="16"/>
        </w:rPr>
      </w:pPr>
    </w:p>
    <w:p>
      <w:pPr>
        <w:spacing w:before="0"/>
        <w:ind w:left="0" w:right="0" w:firstLine="0"/>
        <w:jc w:val="right"/>
        <w:rPr>
          <w:rFonts w:ascii="Arial MT"/>
          <w:sz w:val="16"/>
        </w:rPr>
      </w:pPr>
      <w:r>
        <w:rPr>
          <w:rFonts w:ascii="Arial MT"/>
          <w:color w:val="585858"/>
          <w:spacing w:val="-2"/>
          <w:sz w:val="16"/>
        </w:rPr>
        <w:t>3,000</w:t>
      </w:r>
    </w:p>
    <w:p>
      <w:pPr>
        <w:pStyle w:val="BodyText"/>
        <w:spacing w:before="67"/>
        <w:rPr>
          <w:rFonts w:ascii="Arial MT"/>
          <w:sz w:val="16"/>
        </w:rPr>
      </w:pPr>
    </w:p>
    <w:p>
      <w:pPr>
        <w:spacing w:before="0"/>
        <w:ind w:left="0" w:right="0" w:firstLine="0"/>
        <w:jc w:val="right"/>
        <w:rPr>
          <w:rFonts w:ascii="Arial MT"/>
          <w:sz w:val="16"/>
        </w:rPr>
      </w:pPr>
      <w:r>
        <w:rPr>
          <w:rFonts w:ascii="Arial MT"/>
          <w:color w:val="585858"/>
          <w:spacing w:val="-2"/>
          <w:sz w:val="16"/>
        </w:rPr>
        <w:t>2,000</w:t>
      </w:r>
    </w:p>
    <w:p>
      <w:pPr>
        <w:pStyle w:val="BodyText"/>
        <w:spacing w:before="67"/>
        <w:rPr>
          <w:rFonts w:ascii="Arial MT"/>
          <w:sz w:val="16"/>
        </w:rPr>
      </w:pPr>
    </w:p>
    <w:p>
      <w:pPr>
        <w:spacing w:before="0"/>
        <w:ind w:left="0" w:right="0" w:firstLine="0"/>
        <w:jc w:val="right"/>
        <w:rPr>
          <w:rFonts w:ascii="Arial MT"/>
          <w:sz w:val="16"/>
        </w:rPr>
      </w:pPr>
      <w:r>
        <w:rPr>
          <w:rFonts w:ascii="Arial MT"/>
          <w:color w:val="585858"/>
          <w:spacing w:val="-2"/>
          <w:sz w:val="16"/>
        </w:rPr>
        <w:t>1,000</w:t>
      </w:r>
    </w:p>
    <w:p>
      <w:pPr>
        <w:pStyle w:val="BodyText"/>
        <w:spacing w:before="67"/>
        <w:rPr>
          <w:rFonts w:ascii="Arial MT"/>
          <w:sz w:val="16"/>
        </w:rPr>
      </w:pPr>
    </w:p>
    <w:p>
      <w:pPr>
        <w:spacing w:before="0"/>
        <w:ind w:left="0" w:right="0" w:firstLine="0"/>
        <w:jc w:val="right"/>
        <w:rPr>
          <w:rFonts w:ascii="Arial MT"/>
          <w:sz w:val="16"/>
        </w:rPr>
      </w:pPr>
      <w:r>
        <w:rPr>
          <w:rFonts w:ascii="Arial MT"/>
          <w:color w:val="585858"/>
          <w:spacing w:val="-10"/>
          <w:sz w:val="16"/>
        </w:rPr>
        <w:t>0</w:t>
      </w:r>
    </w:p>
    <w:p>
      <w:pPr>
        <w:spacing w:line="235" w:lineRule="auto" w:before="143"/>
        <w:ind w:left="124" w:right="1742" w:firstLine="0"/>
        <w:jc w:val="left"/>
        <w:rPr>
          <w:rFonts w:ascii="Arial MT"/>
          <w:sz w:val="16"/>
        </w:rPr>
      </w:pPr>
      <w:r>
        <w:rPr/>
        <w:br w:type="column"/>
      </w:r>
      <w:r>
        <w:rPr>
          <w:position w:val="2"/>
        </w:rPr>
        <w:drawing>
          <wp:inline distT="0" distB="0" distL="0" distR="0">
            <wp:extent cx="190500" cy="28575"/>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24" cstate="print"/>
                    <a:stretch>
                      <a:fillRect/>
                    </a:stretch>
                  </pic:blipFill>
                  <pic:spPr>
                    <a:xfrm>
                      <a:off x="0" y="0"/>
                      <a:ext cx="190500" cy="28575"/>
                    </a:xfrm>
                    <a:prstGeom prst="rect">
                      <a:avLst/>
                    </a:prstGeom>
                  </pic:spPr>
                </pic:pic>
              </a:graphicData>
            </a:graphic>
          </wp:inline>
        </w:drawing>
      </w:r>
      <w:r>
        <w:rPr>
          <w:position w:val="2"/>
        </w:rPr>
      </w:r>
      <w:r>
        <w:rPr>
          <w:sz w:val="20"/>
        </w:rPr>
        <w:t> </w:t>
      </w:r>
      <w:r>
        <w:rPr>
          <w:rFonts w:ascii="Arial MT"/>
          <w:color w:val="585858"/>
          <w:sz w:val="16"/>
        </w:rPr>
        <w:t>Loan interest revenue, net</w:t>
      </w:r>
      <w:r>
        <w:rPr>
          <w:rFonts w:ascii="Arial MT"/>
          <w:color w:val="585858"/>
          <w:spacing w:val="40"/>
          <w:sz w:val="16"/>
        </w:rPr>
        <w:t> </w:t>
      </w:r>
      <w:r>
        <w:rPr>
          <w:rFonts w:ascii="Arial MT"/>
          <w:color w:val="585858"/>
          <w:position w:val="2"/>
          <w:sz w:val="16"/>
        </w:rPr>
        <w:drawing>
          <wp:inline distT="0" distB="0" distL="0" distR="0">
            <wp:extent cx="190500" cy="2857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25" cstate="print"/>
                    <a:stretch>
                      <a:fillRect/>
                    </a:stretch>
                  </pic:blipFill>
                  <pic:spPr>
                    <a:xfrm>
                      <a:off x="0" y="0"/>
                      <a:ext cx="190500" cy="28575"/>
                    </a:xfrm>
                    <a:prstGeom prst="rect">
                      <a:avLst/>
                    </a:prstGeom>
                  </pic:spPr>
                </pic:pic>
              </a:graphicData>
            </a:graphic>
          </wp:inline>
        </w:drawing>
      </w:r>
      <w:r>
        <w:rPr>
          <w:rFonts w:ascii="Arial MT"/>
          <w:color w:val="585858"/>
          <w:position w:val="2"/>
          <w:sz w:val="16"/>
        </w:rPr>
      </w:r>
      <w:r>
        <w:rPr>
          <w:color w:val="585858"/>
          <w:spacing w:val="10"/>
          <w:sz w:val="16"/>
        </w:rPr>
        <w:t> </w:t>
      </w:r>
      <w:r>
        <w:rPr>
          <w:rFonts w:ascii="Arial MT"/>
          <w:color w:val="585858"/>
          <w:sz w:val="16"/>
        </w:rPr>
        <w:t>Loan</w:t>
      </w:r>
      <w:r>
        <w:rPr>
          <w:rFonts w:ascii="Arial MT"/>
          <w:color w:val="585858"/>
          <w:spacing w:val="-7"/>
          <w:sz w:val="16"/>
        </w:rPr>
        <w:t> </w:t>
      </w:r>
      <w:r>
        <w:rPr>
          <w:rFonts w:ascii="Arial MT"/>
          <w:color w:val="585858"/>
          <w:sz w:val="16"/>
        </w:rPr>
        <w:t>interest</w:t>
      </w:r>
      <w:r>
        <w:rPr>
          <w:rFonts w:ascii="Arial MT"/>
          <w:color w:val="585858"/>
          <w:spacing w:val="-7"/>
          <w:sz w:val="16"/>
        </w:rPr>
        <w:t> </w:t>
      </w:r>
      <w:r>
        <w:rPr>
          <w:rFonts w:ascii="Arial MT"/>
          <w:color w:val="585858"/>
          <w:sz w:val="16"/>
        </w:rPr>
        <w:t>revenue,</w:t>
      </w:r>
      <w:r>
        <w:rPr>
          <w:rFonts w:ascii="Arial MT"/>
          <w:color w:val="585858"/>
          <w:spacing w:val="-7"/>
          <w:sz w:val="16"/>
        </w:rPr>
        <w:t> </w:t>
      </w:r>
      <w:r>
        <w:rPr>
          <w:rFonts w:ascii="Arial MT"/>
          <w:color w:val="585858"/>
          <w:sz w:val="16"/>
        </w:rPr>
        <w:t>net</w:t>
      </w:r>
      <w:r>
        <w:rPr>
          <w:rFonts w:ascii="Arial MT"/>
          <w:color w:val="585858"/>
          <w:spacing w:val="-7"/>
          <w:sz w:val="16"/>
        </w:rPr>
        <w:t> </w:t>
      </w:r>
      <w:r>
        <w:rPr>
          <w:rFonts w:ascii="Arial MT"/>
          <w:color w:val="585858"/>
          <w:sz w:val="16"/>
        </w:rPr>
        <w:t>and</w:t>
      </w:r>
    </w:p>
    <w:p>
      <w:pPr>
        <w:spacing w:before="9"/>
        <w:ind w:left="484" w:right="0" w:firstLine="0"/>
        <w:jc w:val="left"/>
        <w:rPr>
          <w:rFonts w:ascii="Arial MT"/>
          <w:sz w:val="16"/>
        </w:rPr>
      </w:pPr>
      <w:r>
        <w:rPr>
          <w:rFonts w:ascii="Arial MT"/>
          <w:color w:val="585858"/>
          <w:sz w:val="16"/>
        </w:rPr>
        <w:t>Other</w:t>
      </w:r>
      <w:r>
        <w:rPr>
          <w:rFonts w:ascii="Arial MT"/>
          <w:color w:val="585858"/>
          <w:spacing w:val="-3"/>
          <w:sz w:val="16"/>
        </w:rPr>
        <w:t> </w:t>
      </w:r>
      <w:r>
        <w:rPr>
          <w:rFonts w:ascii="Arial MT"/>
          <w:color w:val="585858"/>
          <w:sz w:val="16"/>
        </w:rPr>
        <w:t>ALM</w:t>
      </w:r>
      <w:r>
        <w:rPr>
          <w:rFonts w:ascii="Arial MT"/>
          <w:color w:val="585858"/>
          <w:spacing w:val="-3"/>
          <w:sz w:val="16"/>
        </w:rPr>
        <w:t> </w:t>
      </w:r>
      <w:r>
        <w:rPr>
          <w:rFonts w:ascii="Arial MT"/>
          <w:color w:val="585858"/>
          <w:sz w:val="16"/>
        </w:rPr>
        <w:t>derivatives,</w:t>
      </w:r>
      <w:r>
        <w:rPr>
          <w:rFonts w:ascii="Arial MT"/>
          <w:color w:val="585858"/>
          <w:spacing w:val="-3"/>
          <w:sz w:val="16"/>
        </w:rPr>
        <w:t> </w:t>
      </w:r>
      <w:r>
        <w:rPr>
          <w:rFonts w:ascii="Arial MT"/>
          <w:color w:val="585858"/>
          <w:sz w:val="16"/>
        </w:rPr>
        <w:t>net</w:t>
      </w:r>
      <w:r>
        <w:rPr>
          <w:rFonts w:ascii="Arial MT"/>
          <w:color w:val="585858"/>
          <w:spacing w:val="-2"/>
          <w:sz w:val="16"/>
        </w:rPr>
        <w:t> combined</w:t>
      </w:r>
    </w:p>
    <w:p>
      <w:pPr>
        <w:pStyle w:val="BodyText"/>
        <w:spacing w:before="3"/>
        <w:rPr>
          <w:rFonts w:ascii="Arial MT"/>
          <w:sz w:val="7"/>
        </w:rPr>
      </w:pPr>
      <w:r>
        <w:rPr>
          <w:rFonts w:ascii="Arial MT"/>
          <w:sz w:val="7"/>
        </w:rPr>
        <mc:AlternateContent>
          <mc:Choice Requires="wps">
            <w:drawing>
              <wp:anchor distT="0" distB="0" distL="0" distR="0" allowOverlap="1" layoutInCell="1" locked="0" behindDoc="1" simplePos="0" relativeHeight="487610368">
                <wp:simplePos x="0" y="0"/>
                <wp:positionH relativeFrom="page">
                  <wp:posOffset>4648200</wp:posOffset>
                </wp:positionH>
                <wp:positionV relativeFrom="paragraph">
                  <wp:posOffset>68696</wp:posOffset>
                </wp:positionV>
                <wp:extent cx="2181225" cy="64452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181225" cy="644525"/>
                          <a:chExt cx="2181225" cy="644525"/>
                        </a:xfrm>
                      </wpg:grpSpPr>
                      <wps:wsp>
                        <wps:cNvPr id="141" name="Graphic 141"/>
                        <wps:cNvSpPr/>
                        <wps:spPr>
                          <a:xfrm>
                            <a:off x="0" y="4762"/>
                            <a:ext cx="2181225" cy="561975"/>
                          </a:xfrm>
                          <a:custGeom>
                            <a:avLst/>
                            <a:gdLst/>
                            <a:ahLst/>
                            <a:cxnLst/>
                            <a:rect l="l" t="t" r="r" b="b"/>
                            <a:pathLst>
                              <a:path w="2181225" h="561975">
                                <a:moveTo>
                                  <a:pt x="0" y="561975"/>
                                </a:moveTo>
                                <a:lnTo>
                                  <a:pt x="2181225" y="561975"/>
                                </a:lnTo>
                              </a:path>
                              <a:path w="2181225" h="561975">
                                <a:moveTo>
                                  <a:pt x="0" y="285750"/>
                                </a:moveTo>
                                <a:lnTo>
                                  <a:pt x="2181225" y="285750"/>
                                </a:lnTo>
                              </a:path>
                              <a:path w="2181225" h="561975">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wps:wsp>
                        <wps:cNvPr id="142" name="Graphic 142"/>
                        <wps:cNvSpPr/>
                        <wps:spPr>
                          <a:xfrm>
                            <a:off x="218122" y="44329"/>
                            <a:ext cx="1744980" cy="586105"/>
                          </a:xfrm>
                          <a:custGeom>
                            <a:avLst/>
                            <a:gdLst/>
                            <a:ahLst/>
                            <a:cxnLst/>
                            <a:rect l="l" t="t" r="r" b="b"/>
                            <a:pathLst>
                              <a:path w="1744980" h="586105">
                                <a:moveTo>
                                  <a:pt x="0" y="460466"/>
                                </a:moveTo>
                                <a:lnTo>
                                  <a:pt x="436244" y="476487"/>
                                </a:lnTo>
                                <a:lnTo>
                                  <a:pt x="872489" y="585597"/>
                                </a:lnTo>
                                <a:lnTo>
                                  <a:pt x="1308734" y="547477"/>
                                </a:lnTo>
                                <a:lnTo>
                                  <a:pt x="1744979" y="0"/>
                                </a:lnTo>
                              </a:path>
                            </a:pathLst>
                          </a:custGeom>
                          <a:ln w="28575">
                            <a:solidFill>
                              <a:srgbClr val="919191"/>
                            </a:solidFill>
                            <a:prstDash val="solid"/>
                          </a:ln>
                        </wps:spPr>
                        <wps:bodyPr wrap="square" lIns="0" tIns="0" rIns="0" bIns="0" rtlCol="0">
                          <a:prstTxWarp prst="textNoShape">
                            <a:avLst/>
                          </a:prstTxWarp>
                          <a:noAutofit/>
                        </wps:bodyPr>
                      </wps:wsp>
                      <wps:wsp>
                        <wps:cNvPr id="143" name="Graphic 143"/>
                        <wps:cNvSpPr/>
                        <wps:spPr>
                          <a:xfrm>
                            <a:off x="218122" y="279120"/>
                            <a:ext cx="1744980" cy="241935"/>
                          </a:xfrm>
                          <a:custGeom>
                            <a:avLst/>
                            <a:gdLst/>
                            <a:ahLst/>
                            <a:cxnLst/>
                            <a:rect l="l" t="t" r="r" b="b"/>
                            <a:pathLst>
                              <a:path w="1744980" h="241935">
                                <a:moveTo>
                                  <a:pt x="0" y="241420"/>
                                </a:moveTo>
                                <a:lnTo>
                                  <a:pt x="436244" y="197224"/>
                                </a:lnTo>
                                <a:lnTo>
                                  <a:pt x="872489" y="183965"/>
                                </a:lnTo>
                                <a:lnTo>
                                  <a:pt x="1308734" y="151646"/>
                                </a:lnTo>
                                <a:lnTo>
                                  <a:pt x="1744979" y="0"/>
                                </a:lnTo>
                              </a:path>
                            </a:pathLst>
                          </a:custGeom>
                          <a:ln w="28575">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6pt;margin-top:5.409208pt;width:171.75pt;height:50.75pt;mso-position-horizontal-relative:page;mso-position-vertical-relative:paragraph;z-index:-15706112;mso-wrap-distance-left:0;mso-wrap-distance-right:0" id="docshapegroup105" coordorigin="7320,108" coordsize="3435,1015">
                <v:shape style="position:absolute;left:7320;top:115;width:3435;height:885" id="docshape106" coordorigin="7320,116" coordsize="3435,885" path="m7320,1001l10755,1001m7320,566l10755,566m7320,116l10755,116e" filled="false" stroked="true" strokeweight=".75pt" strokecolor="#e6e6e6">
                  <v:path arrowok="t"/>
                  <v:stroke dashstyle="solid"/>
                </v:shape>
                <v:shape style="position:absolute;left:7663;top:178;width:2748;height:923" id="docshape107" coordorigin="7663,178" coordsize="2748,923" path="m7663,903l8350,928,9037,1100,9724,1040,10411,178e" filled="false" stroked="true" strokeweight="2.25pt" strokecolor="#919191">
                  <v:path arrowok="t"/>
                  <v:stroke dashstyle="solid"/>
                </v:shape>
                <v:shape style="position:absolute;left:7663;top:547;width:2748;height:381" id="docshape108" coordorigin="7663,548" coordsize="2748,381" path="m7663,928l8350,858,9037,837,9724,787,10411,548e" filled="false" stroked="true" strokeweight="2.25pt" strokecolor="#494949">
                  <v:path arrowok="t"/>
                  <v:stroke dashstyle="solid"/>
                </v:shape>
                <w10:wrap type="topAndBottom"/>
              </v:group>
            </w:pict>
          </mc:Fallback>
        </mc:AlternateContent>
      </w:r>
      <w:r>
        <w:rPr>
          <w:rFonts w:ascii="Arial MT"/>
          <w:sz w:val="7"/>
        </w:rPr>
        <mc:AlternateContent>
          <mc:Choice Requires="wps">
            <w:drawing>
              <wp:anchor distT="0" distB="0" distL="0" distR="0" allowOverlap="1" layoutInCell="1" locked="0" behindDoc="1" simplePos="0" relativeHeight="487610880">
                <wp:simplePos x="0" y="0"/>
                <wp:positionH relativeFrom="page">
                  <wp:posOffset>4648200</wp:posOffset>
                </wp:positionH>
                <wp:positionV relativeFrom="paragraph">
                  <wp:posOffset>911659</wp:posOffset>
                </wp:positionV>
                <wp:extent cx="218122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366pt;margin-top:71.78421pt;width:171.75pt;height:.1pt;mso-position-horizontal-relative:page;mso-position-vertical-relative:paragraph;z-index:-15705600;mso-wrap-distance-left:0;mso-wrap-distance-right:0" id="docshape109" coordorigin="7320,1436" coordsize="3435,0" path="m7320,1436l10755,1436e" filled="false" stroked="true" strokeweight=".75pt" strokecolor="#e6e6e6">
                <v:path arrowok="t"/>
                <v:stroke dashstyle="solid"/>
                <w10:wrap type="topAndBottom"/>
              </v:shape>
            </w:pict>
          </mc:Fallback>
        </mc:AlternateContent>
      </w:r>
      <w:r>
        <w:rPr>
          <w:rFonts w:ascii="Arial MT"/>
          <w:sz w:val="7"/>
        </w:rPr>
        <mc:AlternateContent>
          <mc:Choice Requires="wps">
            <w:drawing>
              <wp:anchor distT="0" distB="0" distL="0" distR="0" allowOverlap="1" layoutInCell="1" locked="0" behindDoc="1" simplePos="0" relativeHeight="487611392">
                <wp:simplePos x="0" y="0"/>
                <wp:positionH relativeFrom="page">
                  <wp:posOffset>4648200</wp:posOffset>
                </wp:positionH>
                <wp:positionV relativeFrom="paragraph">
                  <wp:posOffset>1187884</wp:posOffset>
                </wp:positionV>
                <wp:extent cx="218122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shape style="position:absolute;margin-left:366pt;margin-top:93.53421pt;width:171.75pt;height:.1pt;mso-position-horizontal-relative:page;mso-position-vertical-relative:paragraph;z-index:-15705088;mso-wrap-distance-left:0;mso-wrap-distance-right:0" id="docshape110" coordorigin="7320,1871" coordsize="3435,0" path="m7320,1871l10755,1871e" filled="false" stroked="true" strokeweight=".75pt" strokecolor="#e6e6e6">
                <v:path arrowok="t"/>
                <v:stroke dashstyle="solid"/>
                <w10:wrap type="topAndBottom"/>
              </v:shape>
            </w:pict>
          </mc:Fallback>
        </mc:AlternateContent>
      </w:r>
    </w:p>
    <w:p>
      <w:pPr>
        <w:pStyle w:val="BodyText"/>
        <w:spacing w:before="59"/>
        <w:rPr>
          <w:rFonts w:ascii="Arial MT"/>
        </w:rPr>
      </w:pPr>
    </w:p>
    <w:p>
      <w:pPr>
        <w:pStyle w:val="BodyText"/>
        <w:spacing w:before="173"/>
        <w:rPr>
          <w:rFonts w:ascii="Arial MT"/>
        </w:rPr>
      </w:pPr>
    </w:p>
    <w:p>
      <w:pPr>
        <w:tabs>
          <w:tab w:pos="1013" w:val="left" w:leader="none"/>
          <w:tab w:pos="1703" w:val="left" w:leader="none"/>
          <w:tab w:pos="2393" w:val="left" w:leader="none"/>
          <w:tab w:pos="3083" w:val="left" w:leader="none"/>
        </w:tabs>
        <w:spacing w:before="116"/>
        <w:ind w:left="323" w:right="0" w:firstLine="0"/>
        <w:jc w:val="left"/>
        <w:rPr>
          <w:rFonts w:ascii="Arial MT"/>
          <w:sz w:val="16"/>
        </w:rPr>
      </w:pPr>
      <w:r>
        <w:rPr>
          <w:rFonts w:ascii="Arial MT"/>
          <w:color w:val="585858"/>
          <w:spacing w:val="-4"/>
          <w:sz w:val="16"/>
        </w:rPr>
        <w:t>FY19</w:t>
      </w:r>
      <w:r>
        <w:rPr>
          <w:rFonts w:ascii="Arial MT"/>
          <w:color w:val="585858"/>
          <w:sz w:val="16"/>
        </w:rPr>
        <w:tab/>
      </w:r>
      <w:r>
        <w:rPr>
          <w:rFonts w:ascii="Arial MT"/>
          <w:color w:val="585858"/>
          <w:spacing w:val="-4"/>
          <w:sz w:val="16"/>
        </w:rPr>
        <w:t>FY20</w:t>
      </w:r>
      <w:r>
        <w:rPr>
          <w:rFonts w:ascii="Arial MT"/>
          <w:color w:val="585858"/>
          <w:sz w:val="16"/>
        </w:rPr>
        <w:tab/>
      </w:r>
      <w:r>
        <w:rPr>
          <w:rFonts w:ascii="Arial MT"/>
          <w:color w:val="585858"/>
          <w:spacing w:val="-4"/>
          <w:sz w:val="16"/>
        </w:rPr>
        <w:t>FY21</w:t>
      </w:r>
      <w:r>
        <w:rPr>
          <w:rFonts w:ascii="Arial MT"/>
          <w:color w:val="585858"/>
          <w:sz w:val="16"/>
        </w:rPr>
        <w:tab/>
      </w:r>
      <w:r>
        <w:rPr>
          <w:rFonts w:ascii="Arial MT"/>
          <w:color w:val="585858"/>
          <w:spacing w:val="-4"/>
          <w:sz w:val="16"/>
        </w:rPr>
        <w:t>FY22</w:t>
      </w:r>
      <w:r>
        <w:rPr>
          <w:rFonts w:ascii="Arial MT"/>
          <w:color w:val="585858"/>
          <w:sz w:val="16"/>
        </w:rPr>
        <w:tab/>
      </w:r>
      <w:r>
        <w:rPr>
          <w:rFonts w:ascii="Arial MT"/>
          <w:color w:val="585858"/>
          <w:spacing w:val="-4"/>
          <w:sz w:val="16"/>
        </w:rPr>
        <w:t>FY23</w:t>
      </w:r>
    </w:p>
    <w:p>
      <w:pPr>
        <w:spacing w:after="0"/>
        <w:jc w:val="left"/>
        <w:rPr>
          <w:rFonts w:ascii="Arial MT"/>
          <w:sz w:val="16"/>
        </w:rPr>
        <w:sectPr>
          <w:type w:val="continuous"/>
          <w:pgSz w:w="12240" w:h="15840"/>
          <w:pgMar w:header="744" w:footer="583" w:top="1820" w:bottom="280" w:left="720" w:right="720"/>
          <w:cols w:num="4" w:equalWidth="0">
            <w:col w:w="1411" w:space="40"/>
            <w:col w:w="3416" w:space="172"/>
            <w:col w:w="1322" w:space="39"/>
            <w:col w:w="4400"/>
          </w:cols>
        </w:sectPr>
      </w:pPr>
    </w:p>
    <w:p>
      <w:pPr>
        <w:pStyle w:val="BodyText"/>
        <w:rPr>
          <w:rFonts w:ascii="Arial MT"/>
        </w:rPr>
      </w:pPr>
    </w:p>
    <w:p>
      <w:pPr>
        <w:pStyle w:val="BodyText"/>
        <w:spacing w:before="221"/>
        <w:rPr>
          <w:rFonts w:ascii="Arial MT"/>
        </w:rPr>
      </w:pPr>
    </w:p>
    <w:p>
      <w:pPr>
        <w:pStyle w:val="BodyText"/>
        <w:spacing w:line="249" w:lineRule="auto" w:before="1"/>
        <w:ind w:left="720" w:right="718"/>
        <w:jc w:val="both"/>
      </w:pPr>
      <w:r>
        <w:rPr/>
        <w:t>IBRD’s FY23 loan interest revenue, net of funding costs was $3,874 million, an increase of $1,982 million</w:t>
      </w:r>
      <w:r>
        <w:rPr>
          <w:spacing w:val="40"/>
        </w:rPr>
        <w:t> </w:t>
      </w:r>
      <w:r>
        <w:rPr/>
        <w:t>compared with $1,892 million in FY22 (Figure 3). Other ALM derivatives moderate the impact of interest rate changes on the portion of the loan portfolio that is sensitive to interest rate movements, thereby partially stabilizing the net interest revenue earned from these loans (see Figure 3). Other ALM derivatives comprise interest rate swaps, which</w:t>
      </w:r>
      <w:r>
        <w:rPr>
          <w:spacing w:val="-1"/>
        </w:rPr>
        <w:t> </w:t>
      </w:r>
      <w:r>
        <w:rPr/>
        <w:t>are</w:t>
      </w:r>
      <w:r>
        <w:rPr>
          <w:spacing w:val="-1"/>
        </w:rPr>
        <w:t> </w:t>
      </w:r>
      <w:r>
        <w:rPr/>
        <w:t>used</w:t>
      </w:r>
      <w:r>
        <w:rPr>
          <w:spacing w:val="-1"/>
        </w:rPr>
        <w:t> </w:t>
      </w:r>
      <w:r>
        <w:rPr/>
        <w:t>to</w:t>
      </w:r>
      <w:r>
        <w:rPr>
          <w:spacing w:val="-1"/>
        </w:rPr>
        <w:t> </w:t>
      </w:r>
      <w:r>
        <w:rPr/>
        <w:t>convert</w:t>
      </w:r>
      <w:r>
        <w:rPr>
          <w:spacing w:val="-1"/>
        </w:rPr>
        <w:t> </w:t>
      </w:r>
      <w:r>
        <w:rPr/>
        <w:t>the</w:t>
      </w:r>
      <w:r>
        <w:rPr>
          <w:spacing w:val="-1"/>
        </w:rPr>
        <w:t> </w:t>
      </w:r>
      <w:r>
        <w:rPr/>
        <w:t>variable</w:t>
      </w:r>
      <w:r>
        <w:rPr>
          <w:spacing w:val="-1"/>
        </w:rPr>
        <w:t> </w:t>
      </w:r>
      <w:r>
        <w:rPr/>
        <w:t>rate</w:t>
      </w:r>
      <w:r>
        <w:rPr>
          <w:spacing w:val="-1"/>
        </w:rPr>
        <w:t> </w:t>
      </w:r>
      <w:r>
        <w:rPr/>
        <w:t>cash</w:t>
      </w:r>
      <w:r>
        <w:rPr>
          <w:spacing w:val="-1"/>
        </w:rPr>
        <w:t> </w:t>
      </w:r>
      <w:r>
        <w:rPr/>
        <w:t>flows</w:t>
      </w:r>
      <w:r>
        <w:rPr>
          <w:spacing w:val="-1"/>
        </w:rPr>
        <w:t> </w:t>
      </w:r>
      <w:r>
        <w:rPr/>
        <w:t>from</w:t>
      </w:r>
      <w:r>
        <w:rPr>
          <w:spacing w:val="-1"/>
        </w:rPr>
        <w:t> </w:t>
      </w:r>
      <w:r>
        <w:rPr/>
        <w:t>these</w:t>
      </w:r>
      <w:r>
        <w:rPr>
          <w:spacing w:val="-1"/>
        </w:rPr>
        <w:t> </w:t>
      </w:r>
      <w:r>
        <w:rPr/>
        <w:t>loans</w:t>
      </w:r>
      <w:r>
        <w:rPr>
          <w:spacing w:val="-1"/>
        </w:rPr>
        <w:t> </w:t>
      </w:r>
      <w:r>
        <w:rPr/>
        <w:t>to</w:t>
      </w:r>
      <w:r>
        <w:rPr>
          <w:spacing w:val="-1"/>
        </w:rPr>
        <w:t> </w:t>
      </w:r>
      <w:r>
        <w:rPr/>
        <w:t>fixed</w:t>
      </w:r>
      <w:r>
        <w:rPr>
          <w:spacing w:val="-1"/>
        </w:rPr>
        <w:t> </w:t>
      </w:r>
      <w:r>
        <w:rPr/>
        <w:t>rate</w:t>
      </w:r>
      <w:r>
        <w:rPr>
          <w:spacing w:val="-1"/>
        </w:rPr>
        <w:t> </w:t>
      </w:r>
      <w:r>
        <w:rPr/>
        <w:t>cash</w:t>
      </w:r>
      <w:r>
        <w:rPr>
          <w:spacing w:val="-1"/>
        </w:rPr>
        <w:t> </w:t>
      </w:r>
      <w:r>
        <w:rPr/>
        <w:t>flows.</w:t>
      </w:r>
      <w:r>
        <w:rPr>
          <w:spacing w:val="-1"/>
        </w:rPr>
        <w:t> </w:t>
      </w:r>
      <w:r>
        <w:rPr/>
        <w:t>The</w:t>
      </w:r>
      <w:r>
        <w:rPr>
          <w:spacing w:val="-1"/>
        </w:rPr>
        <w:t> </w:t>
      </w:r>
      <w:r>
        <w:rPr/>
        <w:t>combined</w:t>
      </w:r>
      <w:r>
        <w:rPr>
          <w:spacing w:val="-1"/>
        </w:rPr>
        <w:t> </w:t>
      </w:r>
      <w:r>
        <w:rPr/>
        <w:t>effect of the increase in loan interest revenue, net of $1,982 million and the decrease in interest revenue from Other ALM derivatives,</w:t>
      </w:r>
      <w:r>
        <w:rPr>
          <w:spacing w:val="19"/>
        </w:rPr>
        <w:t> </w:t>
      </w:r>
      <w:r>
        <w:rPr/>
        <w:t>net</w:t>
      </w:r>
      <w:r>
        <w:rPr>
          <w:spacing w:val="19"/>
        </w:rPr>
        <w:t> </w:t>
      </w:r>
      <w:r>
        <w:rPr/>
        <w:t>of</w:t>
      </w:r>
      <w:r>
        <w:rPr>
          <w:spacing w:val="19"/>
        </w:rPr>
        <w:t> </w:t>
      </w:r>
      <w:r>
        <w:rPr/>
        <w:t>$1,433</w:t>
      </w:r>
      <w:r>
        <w:rPr>
          <w:spacing w:val="19"/>
        </w:rPr>
        <w:t> </w:t>
      </w:r>
      <w:r>
        <w:rPr/>
        <w:t>million</w:t>
      </w:r>
      <w:r>
        <w:rPr>
          <w:spacing w:val="19"/>
        </w:rPr>
        <w:t> </w:t>
      </w:r>
      <w:r>
        <w:rPr/>
        <w:t>from</w:t>
      </w:r>
      <w:r>
        <w:rPr>
          <w:spacing w:val="19"/>
        </w:rPr>
        <w:t> </w:t>
      </w:r>
      <w:r>
        <w:rPr/>
        <w:t>FY22</w:t>
      </w:r>
      <w:r>
        <w:rPr>
          <w:spacing w:val="19"/>
        </w:rPr>
        <w:t> </w:t>
      </w:r>
      <w:r>
        <w:rPr/>
        <w:t>to</w:t>
      </w:r>
      <w:r>
        <w:rPr>
          <w:spacing w:val="19"/>
        </w:rPr>
        <w:t> </w:t>
      </w:r>
      <w:r>
        <w:rPr/>
        <w:t>FY23,</w:t>
      </w:r>
      <w:r>
        <w:rPr>
          <w:spacing w:val="19"/>
        </w:rPr>
        <w:t> </w:t>
      </w:r>
      <w:r>
        <w:rPr/>
        <w:t>resulted</w:t>
      </w:r>
      <w:r>
        <w:rPr>
          <w:spacing w:val="19"/>
        </w:rPr>
        <w:t> </w:t>
      </w:r>
      <w:r>
        <w:rPr/>
        <w:t>in</w:t>
      </w:r>
      <w:r>
        <w:rPr>
          <w:spacing w:val="19"/>
        </w:rPr>
        <w:t> </w:t>
      </w:r>
      <w:r>
        <w:rPr/>
        <w:t>a</w:t>
      </w:r>
      <w:r>
        <w:rPr>
          <w:spacing w:val="19"/>
        </w:rPr>
        <w:t> </w:t>
      </w:r>
      <w:r>
        <w:rPr/>
        <w:t>total</w:t>
      </w:r>
      <w:r>
        <w:rPr>
          <w:spacing w:val="19"/>
        </w:rPr>
        <w:t> </w:t>
      </w:r>
      <w:r>
        <w:rPr/>
        <w:t>increase</w:t>
      </w:r>
      <w:r>
        <w:rPr>
          <w:spacing w:val="19"/>
        </w:rPr>
        <w:t> </w:t>
      </w:r>
      <w:r>
        <w:rPr/>
        <w:t>in</w:t>
      </w:r>
      <w:r>
        <w:rPr>
          <w:spacing w:val="19"/>
        </w:rPr>
        <w:t> </w:t>
      </w:r>
      <w:r>
        <w:rPr/>
        <w:t>net</w:t>
      </w:r>
      <w:r>
        <w:rPr>
          <w:spacing w:val="19"/>
        </w:rPr>
        <w:t> </w:t>
      </w:r>
      <w:r>
        <w:rPr/>
        <w:t>loan</w:t>
      </w:r>
      <w:r>
        <w:rPr>
          <w:spacing w:val="19"/>
        </w:rPr>
        <w:t> </w:t>
      </w:r>
      <w:r>
        <w:rPr/>
        <w:t>interest</w:t>
      </w:r>
      <w:r>
        <w:rPr>
          <w:spacing w:val="19"/>
        </w:rPr>
        <w:t> </w:t>
      </w:r>
      <w:r>
        <w:rPr/>
        <w:t>revenue</w:t>
      </w:r>
      <w:r>
        <w:rPr>
          <w:spacing w:val="19"/>
        </w:rPr>
        <w:t> </w:t>
      </w:r>
      <w:r>
        <w:rPr/>
        <w:t>of</w:t>
      </w:r>
    </w:p>
    <w:p>
      <w:pPr>
        <w:pStyle w:val="BodyText"/>
        <w:spacing w:after="0" w:line="249" w:lineRule="auto"/>
        <w:jc w:val="both"/>
        <w:sectPr>
          <w:type w:val="continuous"/>
          <w:pgSz w:w="12240" w:h="15840"/>
          <w:pgMar w:header="744" w:footer="583" w:top="1820" w:bottom="280" w:left="720" w:right="720"/>
        </w:sectPr>
      </w:pPr>
    </w:p>
    <w:p>
      <w:pPr>
        <w:pStyle w:val="BodyText"/>
        <w:spacing w:before="127"/>
      </w:pPr>
    </w:p>
    <w:p>
      <w:pPr>
        <w:pStyle w:val="BodyText"/>
        <w:spacing w:line="249" w:lineRule="auto" w:before="1"/>
        <w:ind w:left="720" w:right="718"/>
        <w:jc w:val="both"/>
      </w:pPr>
      <w:r>
        <w:rPr/>
        <w:t>$549 million. The increase was primarily due to the higher average loan balance and partially due to the interest rate reset lag between the Secured Overnight Financing Rate SOFR-based loans and the mixed 6-month LIBOR and SOFR based borrowing portfolio, in a rising interest rate environment.</w:t>
      </w:r>
    </w:p>
    <w:p>
      <w:pPr>
        <w:pStyle w:val="Heading6"/>
        <w:spacing w:before="117"/>
      </w:pPr>
      <w:r>
        <w:rPr/>
        <w:t>Provision</w:t>
      </w:r>
      <w:r>
        <w:rPr>
          <w:spacing w:val="-1"/>
        </w:rPr>
        <w:t> </w:t>
      </w:r>
      <w:r>
        <w:rPr/>
        <w:t>for</w:t>
      </w:r>
      <w:r>
        <w:rPr>
          <w:spacing w:val="-1"/>
        </w:rPr>
        <w:t> </w:t>
      </w:r>
      <w:r>
        <w:rPr/>
        <w:t>losses</w:t>
      </w:r>
      <w:r>
        <w:rPr>
          <w:spacing w:val="-1"/>
        </w:rPr>
        <w:t> </w:t>
      </w:r>
      <w:r>
        <w:rPr/>
        <w:t>on</w:t>
      </w:r>
      <w:r>
        <w:rPr>
          <w:spacing w:val="-1"/>
        </w:rPr>
        <w:t> </w:t>
      </w:r>
      <w:r>
        <w:rPr/>
        <w:t>loans</w:t>
      </w:r>
      <w:r>
        <w:rPr>
          <w:spacing w:val="-1"/>
        </w:rPr>
        <w:t> </w:t>
      </w:r>
      <w:r>
        <w:rPr/>
        <w:t>and</w:t>
      </w:r>
      <w:r>
        <w:rPr>
          <w:spacing w:val="-1"/>
        </w:rPr>
        <w:t> </w:t>
      </w:r>
      <w:r>
        <w:rPr/>
        <w:t>other </w:t>
      </w:r>
      <w:r>
        <w:rPr>
          <w:spacing w:val="-2"/>
        </w:rPr>
        <w:t>exposures</w:t>
      </w:r>
    </w:p>
    <w:p>
      <w:pPr>
        <w:pStyle w:val="BodyText"/>
        <w:spacing w:line="249" w:lineRule="auto" w:before="136"/>
        <w:ind w:left="720" w:right="718"/>
        <w:jc w:val="both"/>
      </w:pPr>
      <w:r>
        <w:rPr/>
        <w:t>During FY23, IBRD recorded a provision for losses on loans and other exposures expense of $683 million, $121 million higher expense compared to FY22. This increase was primarily driven by the increase in the loss given default (severity) due to the increase in the implied forward interest rates in FY23 compared to FY22. The severity reflects the expected losses from delays in receiving interest payments since IBRD does not charge interest for overdue interest. As the majority of IBRD’s loans carry a variable interest rate, changes in forward interest rates impact the expected losses that are recorded through the provision for losses on loans and other exposures in the Statements of Income.</w:t>
      </w:r>
    </w:p>
    <w:p>
      <w:pPr>
        <w:pStyle w:val="BodyText"/>
        <w:spacing w:before="10"/>
        <w:rPr>
          <w:sz w:val="8"/>
        </w:rPr>
      </w:pPr>
    </w:p>
    <w:p>
      <w:pPr>
        <w:pStyle w:val="BodyText"/>
        <w:spacing w:after="0"/>
        <w:rPr>
          <w:sz w:val="8"/>
        </w:rPr>
        <w:sectPr>
          <w:pgSz w:w="12240" w:h="15840"/>
          <w:pgMar w:header="744" w:footer="713" w:top="1020" w:bottom="900" w:left="720" w:right="720"/>
        </w:sectPr>
      </w:pPr>
    </w:p>
    <w:p>
      <w:pPr>
        <w:spacing w:before="94"/>
        <w:ind w:left="720" w:right="0" w:firstLine="0"/>
        <w:jc w:val="left"/>
        <w:rPr>
          <w:rFonts w:ascii="Arial"/>
          <w:b/>
          <w:sz w:val="18"/>
        </w:rPr>
      </w:pPr>
      <w:bookmarkStart w:name="_bookmark11" w:id="23"/>
      <w:bookmarkEnd w:id="23"/>
      <w:r>
        <w:rPr/>
      </w:r>
      <w:r>
        <w:rPr>
          <w:rFonts w:ascii="Arial"/>
          <w:b/>
          <w:sz w:val="18"/>
        </w:rPr>
        <w:t>Figure</w:t>
      </w:r>
      <w:r>
        <w:rPr>
          <w:rFonts w:ascii="Arial"/>
          <w:b/>
          <w:spacing w:val="-2"/>
          <w:sz w:val="18"/>
        </w:rPr>
        <w:t> </w:t>
      </w:r>
      <w:r>
        <w:rPr>
          <w:rFonts w:ascii="Arial"/>
          <w:b/>
          <w:sz w:val="18"/>
        </w:rPr>
        <w:t>4:</w:t>
      </w:r>
      <w:r>
        <w:rPr>
          <w:rFonts w:ascii="Arial"/>
          <w:b/>
          <w:spacing w:val="-1"/>
          <w:sz w:val="18"/>
        </w:rPr>
        <w:t> </w:t>
      </w:r>
      <w:r>
        <w:rPr>
          <w:rFonts w:ascii="Arial"/>
          <w:b/>
          <w:sz w:val="18"/>
        </w:rPr>
        <w:t>Change</w:t>
      </w:r>
      <w:r>
        <w:rPr>
          <w:rFonts w:ascii="Arial"/>
          <w:b/>
          <w:spacing w:val="-1"/>
          <w:sz w:val="18"/>
        </w:rPr>
        <w:t> </w:t>
      </w:r>
      <w:r>
        <w:rPr>
          <w:rFonts w:ascii="Arial"/>
          <w:b/>
          <w:sz w:val="18"/>
        </w:rPr>
        <w:t>in</w:t>
      </w:r>
      <w:r>
        <w:rPr>
          <w:rFonts w:ascii="Arial"/>
          <w:b/>
          <w:spacing w:val="-1"/>
          <w:sz w:val="18"/>
        </w:rPr>
        <w:t> </w:t>
      </w:r>
      <w:r>
        <w:rPr>
          <w:rFonts w:ascii="Arial"/>
          <w:b/>
          <w:sz w:val="18"/>
        </w:rPr>
        <w:t>Net</w:t>
      </w:r>
      <w:r>
        <w:rPr>
          <w:rFonts w:ascii="Arial"/>
          <w:b/>
          <w:spacing w:val="-1"/>
          <w:sz w:val="18"/>
        </w:rPr>
        <w:t> </w:t>
      </w:r>
      <w:r>
        <w:rPr>
          <w:rFonts w:ascii="Arial"/>
          <w:b/>
          <w:sz w:val="18"/>
        </w:rPr>
        <w:t>Loans</w:t>
      </w:r>
      <w:r>
        <w:rPr>
          <w:rFonts w:ascii="Arial"/>
          <w:b/>
          <w:spacing w:val="-1"/>
          <w:sz w:val="18"/>
        </w:rPr>
        <w:t> </w:t>
      </w:r>
      <w:r>
        <w:rPr>
          <w:rFonts w:ascii="Arial"/>
          <w:b/>
          <w:spacing w:val="-2"/>
          <w:sz w:val="18"/>
        </w:rPr>
        <w:t>Outstanding</w:t>
      </w:r>
    </w:p>
    <w:p>
      <w:pPr>
        <w:spacing w:before="13"/>
        <w:ind w:left="720" w:right="0" w:firstLine="0"/>
        <w:jc w:val="left"/>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169"/>
        <w:ind w:left="742"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70543360">
                <wp:simplePos x="0" y="0"/>
                <wp:positionH relativeFrom="page">
                  <wp:posOffset>1193038</wp:posOffset>
                </wp:positionH>
                <wp:positionV relativeFrom="paragraph">
                  <wp:posOffset>148135</wp:posOffset>
                </wp:positionV>
                <wp:extent cx="2962275" cy="149542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2962275" cy="1495425"/>
                          <a:chExt cx="2962275" cy="1495425"/>
                        </a:xfrm>
                      </wpg:grpSpPr>
                      <wps:wsp>
                        <wps:cNvPr id="147" name="Graphic 147"/>
                        <wps:cNvSpPr/>
                        <wps:spPr>
                          <a:xfrm>
                            <a:off x="0" y="4762"/>
                            <a:ext cx="2962275" cy="1485900"/>
                          </a:xfrm>
                          <a:custGeom>
                            <a:avLst/>
                            <a:gdLst/>
                            <a:ahLst/>
                            <a:cxnLst/>
                            <a:rect l="l" t="t" r="r" b="b"/>
                            <a:pathLst>
                              <a:path w="2962275" h="1485900">
                                <a:moveTo>
                                  <a:pt x="57150" y="1485900"/>
                                </a:moveTo>
                                <a:lnTo>
                                  <a:pt x="2962275" y="1485900"/>
                                </a:lnTo>
                              </a:path>
                              <a:path w="2962275" h="1485900">
                                <a:moveTo>
                                  <a:pt x="57150" y="1485900"/>
                                </a:moveTo>
                                <a:lnTo>
                                  <a:pt x="0" y="1485900"/>
                                </a:lnTo>
                              </a:path>
                              <a:path w="2962275" h="1485900">
                                <a:moveTo>
                                  <a:pt x="57150" y="1190625"/>
                                </a:moveTo>
                                <a:lnTo>
                                  <a:pt x="0" y="1190625"/>
                                </a:lnTo>
                              </a:path>
                              <a:path w="2962275" h="1485900">
                                <a:moveTo>
                                  <a:pt x="57150" y="895350"/>
                                </a:moveTo>
                                <a:lnTo>
                                  <a:pt x="0" y="895350"/>
                                </a:lnTo>
                              </a:path>
                              <a:path w="2962275" h="1485900">
                                <a:moveTo>
                                  <a:pt x="57150" y="600075"/>
                                </a:moveTo>
                                <a:lnTo>
                                  <a:pt x="0" y="600075"/>
                                </a:lnTo>
                              </a:path>
                              <a:path w="2962275" h="1485900">
                                <a:moveTo>
                                  <a:pt x="57150" y="304800"/>
                                </a:moveTo>
                                <a:lnTo>
                                  <a:pt x="0" y="304800"/>
                                </a:lnTo>
                              </a:path>
                              <a:path w="2962275" h="1485900">
                                <a:moveTo>
                                  <a:pt x="57150" y="0"/>
                                </a:moveTo>
                                <a:lnTo>
                                  <a:pt x="0" y="0"/>
                                </a:lnTo>
                              </a:path>
                              <a:path w="2962275" h="1485900">
                                <a:moveTo>
                                  <a:pt x="52387" y="4762"/>
                                </a:moveTo>
                                <a:lnTo>
                                  <a:pt x="52387" y="1481137"/>
                                </a:lnTo>
                              </a:path>
                            </a:pathLst>
                          </a:custGeom>
                          <a:ln w="9525">
                            <a:solidFill>
                              <a:srgbClr val="8A8A8A"/>
                            </a:solidFill>
                            <a:prstDash val="solid"/>
                          </a:ln>
                        </wps:spPr>
                        <wps:bodyPr wrap="square" lIns="0" tIns="0" rIns="0" bIns="0" rtlCol="0">
                          <a:prstTxWarp prst="textNoShape">
                            <a:avLst/>
                          </a:prstTxWarp>
                          <a:noAutofit/>
                        </wps:bodyPr>
                      </wps:wsp>
                      <wps:wsp>
                        <wps:cNvPr id="148" name="Graphic 148"/>
                        <wps:cNvSpPr/>
                        <wps:spPr>
                          <a:xfrm>
                            <a:off x="148951" y="685800"/>
                            <a:ext cx="400050" cy="800100"/>
                          </a:xfrm>
                          <a:custGeom>
                            <a:avLst/>
                            <a:gdLst/>
                            <a:ahLst/>
                            <a:cxnLst/>
                            <a:rect l="l" t="t" r="r" b="b"/>
                            <a:pathLst>
                              <a:path w="400050" h="800100">
                                <a:moveTo>
                                  <a:pt x="400050" y="0"/>
                                </a:moveTo>
                                <a:lnTo>
                                  <a:pt x="0" y="0"/>
                                </a:lnTo>
                                <a:lnTo>
                                  <a:pt x="0" y="800100"/>
                                </a:lnTo>
                                <a:lnTo>
                                  <a:pt x="400050" y="800100"/>
                                </a:lnTo>
                                <a:lnTo>
                                  <a:pt x="400050" y="0"/>
                                </a:lnTo>
                                <a:close/>
                              </a:path>
                            </a:pathLst>
                          </a:custGeom>
                          <a:solidFill>
                            <a:srgbClr val="6D6D6D"/>
                          </a:solidFill>
                        </wps:spPr>
                        <wps:bodyPr wrap="square" lIns="0" tIns="0" rIns="0" bIns="0" rtlCol="0">
                          <a:prstTxWarp prst="textNoShape">
                            <a:avLst/>
                          </a:prstTxWarp>
                          <a:noAutofit/>
                        </wps:bodyPr>
                      </wps:wsp>
                      <wps:wsp>
                        <wps:cNvPr id="149" name="Graphic 149"/>
                        <wps:cNvSpPr/>
                        <wps:spPr>
                          <a:xfrm>
                            <a:off x="729976" y="314325"/>
                            <a:ext cx="400050" cy="371475"/>
                          </a:xfrm>
                          <a:custGeom>
                            <a:avLst/>
                            <a:gdLst/>
                            <a:ahLst/>
                            <a:cxnLst/>
                            <a:rect l="l" t="t" r="r" b="b"/>
                            <a:pathLst>
                              <a:path w="400050" h="371475">
                                <a:moveTo>
                                  <a:pt x="400050" y="0"/>
                                </a:moveTo>
                                <a:lnTo>
                                  <a:pt x="0" y="0"/>
                                </a:lnTo>
                                <a:lnTo>
                                  <a:pt x="0" y="371475"/>
                                </a:lnTo>
                                <a:lnTo>
                                  <a:pt x="400050" y="371475"/>
                                </a:lnTo>
                                <a:lnTo>
                                  <a:pt x="400050" y="0"/>
                                </a:lnTo>
                                <a:close/>
                              </a:path>
                            </a:pathLst>
                          </a:custGeom>
                          <a:solidFill>
                            <a:srgbClr val="B5B5B5"/>
                          </a:solidFill>
                        </wps:spPr>
                        <wps:bodyPr wrap="square" lIns="0" tIns="0" rIns="0" bIns="0" rtlCol="0">
                          <a:prstTxWarp prst="textNoShape">
                            <a:avLst/>
                          </a:prstTxWarp>
                          <a:noAutofit/>
                        </wps:bodyPr>
                      </wps:wsp>
                      <wps:wsp>
                        <wps:cNvPr id="150" name="Graphic 150"/>
                        <wps:cNvSpPr/>
                        <wps:spPr>
                          <a:xfrm>
                            <a:off x="1311001" y="314325"/>
                            <a:ext cx="400050" cy="19050"/>
                          </a:xfrm>
                          <a:custGeom>
                            <a:avLst/>
                            <a:gdLst/>
                            <a:ahLst/>
                            <a:cxnLst/>
                            <a:rect l="l" t="t" r="r" b="b"/>
                            <a:pathLst>
                              <a:path w="400050" h="19050">
                                <a:moveTo>
                                  <a:pt x="400050" y="0"/>
                                </a:moveTo>
                                <a:lnTo>
                                  <a:pt x="0" y="0"/>
                                </a:lnTo>
                                <a:lnTo>
                                  <a:pt x="0" y="19050"/>
                                </a:lnTo>
                                <a:lnTo>
                                  <a:pt x="400050" y="19050"/>
                                </a:lnTo>
                                <a:lnTo>
                                  <a:pt x="400050" y="0"/>
                                </a:lnTo>
                                <a:close/>
                              </a:path>
                            </a:pathLst>
                          </a:custGeom>
                          <a:solidFill>
                            <a:srgbClr val="DADADA"/>
                          </a:solidFill>
                        </wps:spPr>
                        <wps:bodyPr wrap="square" lIns="0" tIns="0" rIns="0" bIns="0" rtlCol="0">
                          <a:prstTxWarp prst="textNoShape">
                            <a:avLst/>
                          </a:prstTxWarp>
                          <a:noAutofit/>
                        </wps:bodyPr>
                      </wps:wsp>
                      <wps:wsp>
                        <wps:cNvPr id="151" name="Graphic 151"/>
                        <wps:cNvSpPr/>
                        <wps:spPr>
                          <a:xfrm>
                            <a:off x="1892026" y="276225"/>
                            <a:ext cx="400050" cy="57150"/>
                          </a:xfrm>
                          <a:custGeom>
                            <a:avLst/>
                            <a:gdLst/>
                            <a:ahLst/>
                            <a:cxnLst/>
                            <a:rect l="l" t="t" r="r" b="b"/>
                            <a:pathLst>
                              <a:path w="400050" h="57150">
                                <a:moveTo>
                                  <a:pt x="400050" y="0"/>
                                </a:moveTo>
                                <a:lnTo>
                                  <a:pt x="0" y="0"/>
                                </a:lnTo>
                                <a:lnTo>
                                  <a:pt x="0" y="57150"/>
                                </a:lnTo>
                                <a:lnTo>
                                  <a:pt x="400050" y="57150"/>
                                </a:lnTo>
                                <a:lnTo>
                                  <a:pt x="400050" y="0"/>
                                </a:lnTo>
                                <a:close/>
                              </a:path>
                            </a:pathLst>
                          </a:custGeom>
                          <a:solidFill>
                            <a:srgbClr val="B5B5B5"/>
                          </a:solidFill>
                        </wps:spPr>
                        <wps:bodyPr wrap="square" lIns="0" tIns="0" rIns="0" bIns="0" rtlCol="0">
                          <a:prstTxWarp prst="textNoShape">
                            <a:avLst/>
                          </a:prstTxWarp>
                          <a:noAutofit/>
                        </wps:bodyPr>
                      </wps:wsp>
                      <wps:wsp>
                        <wps:cNvPr id="152" name="Graphic 152"/>
                        <wps:cNvSpPr/>
                        <wps:spPr>
                          <a:xfrm>
                            <a:off x="2473051" y="276225"/>
                            <a:ext cx="400050" cy="1209675"/>
                          </a:xfrm>
                          <a:custGeom>
                            <a:avLst/>
                            <a:gdLst/>
                            <a:ahLst/>
                            <a:cxnLst/>
                            <a:rect l="l" t="t" r="r" b="b"/>
                            <a:pathLst>
                              <a:path w="400050" h="1209675">
                                <a:moveTo>
                                  <a:pt x="400050" y="0"/>
                                </a:moveTo>
                                <a:lnTo>
                                  <a:pt x="0" y="0"/>
                                </a:lnTo>
                                <a:lnTo>
                                  <a:pt x="0" y="1209675"/>
                                </a:lnTo>
                                <a:lnTo>
                                  <a:pt x="400050" y="1209675"/>
                                </a:lnTo>
                                <a:lnTo>
                                  <a:pt x="400050" y="0"/>
                                </a:lnTo>
                                <a:close/>
                              </a:path>
                            </a:pathLst>
                          </a:custGeom>
                          <a:solidFill>
                            <a:srgbClr val="6D6D6D"/>
                          </a:solidFill>
                        </wps:spPr>
                        <wps:bodyPr wrap="square" lIns="0" tIns="0" rIns="0" bIns="0" rtlCol="0">
                          <a:prstTxWarp prst="textNoShape">
                            <a:avLst/>
                          </a:prstTxWarp>
                          <a:noAutofit/>
                        </wps:bodyPr>
                      </wps:wsp>
                      <wps:wsp>
                        <wps:cNvPr id="153" name="Textbox 153"/>
                        <wps:cNvSpPr txBox="1"/>
                        <wps:spPr>
                          <a:xfrm>
                            <a:off x="828675" y="162913"/>
                            <a:ext cx="210820" cy="113664"/>
                          </a:xfrm>
                          <a:prstGeom prst="rect">
                            <a:avLst/>
                          </a:prstGeom>
                        </wps:spPr>
                        <wps:txbx>
                          <w:txbxContent>
                            <w:p>
                              <w:pPr>
                                <w:spacing w:line="179" w:lineRule="exact" w:before="0"/>
                                <w:ind w:left="0" w:right="0" w:firstLine="0"/>
                                <w:jc w:val="left"/>
                                <w:rPr>
                                  <w:rFonts w:ascii="Arial MT"/>
                                  <w:sz w:val="16"/>
                                </w:rPr>
                              </w:pPr>
                              <w:r>
                                <w:rPr>
                                  <w:rFonts w:ascii="Arial MT"/>
                                  <w:spacing w:val="-4"/>
                                  <w:sz w:val="16"/>
                                </w:rPr>
                                <w:t>12.7</w:t>
                              </w:r>
                            </w:p>
                          </w:txbxContent>
                        </wps:txbx>
                        <wps:bodyPr wrap="square" lIns="0" tIns="0" rIns="0" bIns="0" rtlCol="0">
                          <a:noAutofit/>
                        </wps:bodyPr>
                      </wps:wsp>
                      <wps:wsp>
                        <wps:cNvPr id="154" name="Textbox 154"/>
                        <wps:cNvSpPr txBox="1"/>
                        <wps:spPr>
                          <a:xfrm>
                            <a:off x="2019300" y="124813"/>
                            <a:ext cx="154305" cy="113664"/>
                          </a:xfrm>
                          <a:prstGeom prst="rect">
                            <a:avLst/>
                          </a:prstGeom>
                        </wps:spPr>
                        <wps:txbx>
                          <w:txbxContent>
                            <w:p>
                              <w:pPr>
                                <w:spacing w:line="179" w:lineRule="exact" w:before="0"/>
                                <w:ind w:left="0" w:right="0" w:firstLine="0"/>
                                <w:jc w:val="left"/>
                                <w:rPr>
                                  <w:rFonts w:ascii="Arial MT"/>
                                  <w:sz w:val="16"/>
                                </w:rPr>
                              </w:pPr>
                              <w:r>
                                <w:rPr>
                                  <w:rFonts w:ascii="Arial MT"/>
                                  <w:spacing w:val="-5"/>
                                  <w:sz w:val="16"/>
                                </w:rPr>
                                <w:t>1.8</w:t>
                              </w:r>
                            </w:p>
                          </w:txbxContent>
                        </wps:txbx>
                        <wps:bodyPr wrap="square" lIns="0" tIns="0" rIns="0" bIns="0" rtlCol="0">
                          <a:noAutofit/>
                        </wps:bodyPr>
                      </wps:wsp>
                      <wps:wsp>
                        <wps:cNvPr id="155" name="Textbox 155"/>
                        <wps:cNvSpPr txBox="1"/>
                        <wps:spPr>
                          <a:xfrm>
                            <a:off x="2543175" y="124813"/>
                            <a:ext cx="267335"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241.0</w:t>
                              </w:r>
                            </w:p>
                          </w:txbxContent>
                        </wps:txbx>
                        <wps:bodyPr wrap="square" lIns="0" tIns="0" rIns="0" bIns="0" rtlCol="0">
                          <a:noAutofit/>
                        </wps:bodyPr>
                      </wps:wsp>
                      <wps:wsp>
                        <wps:cNvPr id="156" name="Textbox 156"/>
                        <wps:cNvSpPr txBox="1"/>
                        <wps:spPr>
                          <a:xfrm>
                            <a:off x="1400175" y="391513"/>
                            <a:ext cx="221615" cy="113664"/>
                          </a:xfrm>
                          <a:prstGeom prst="rect">
                            <a:avLst/>
                          </a:prstGeom>
                        </wps:spPr>
                        <wps:txbx>
                          <w:txbxContent>
                            <w:p>
                              <w:pPr>
                                <w:spacing w:line="179" w:lineRule="exact" w:before="0"/>
                                <w:ind w:left="0" w:right="0" w:firstLine="0"/>
                                <w:jc w:val="left"/>
                                <w:rPr>
                                  <w:rFonts w:ascii="Arial MT"/>
                                  <w:sz w:val="16"/>
                                </w:rPr>
                              </w:pPr>
                              <w:r>
                                <w:rPr>
                                  <w:rFonts w:ascii="Arial MT"/>
                                  <w:spacing w:val="-4"/>
                                  <w:sz w:val="16"/>
                                </w:rPr>
                                <w:t>(0.6)</w:t>
                              </w:r>
                            </w:p>
                          </w:txbxContent>
                        </wps:txbx>
                        <wps:bodyPr wrap="square" lIns="0" tIns="0" rIns="0" bIns="0" rtlCol="0">
                          <a:noAutofit/>
                        </wps:bodyPr>
                      </wps:wsp>
                      <wps:wsp>
                        <wps:cNvPr id="157" name="Textbox 157"/>
                        <wps:cNvSpPr txBox="1"/>
                        <wps:spPr>
                          <a:xfrm>
                            <a:off x="219075" y="534388"/>
                            <a:ext cx="267335"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227.1</w:t>
                              </w:r>
                            </w:p>
                          </w:txbxContent>
                        </wps:txbx>
                        <wps:bodyPr wrap="square" lIns="0" tIns="0" rIns="0" bIns="0" rtlCol="0">
                          <a:noAutofit/>
                        </wps:bodyPr>
                      </wps:wsp>
                    </wpg:wgp>
                  </a:graphicData>
                </a:graphic>
              </wp:anchor>
            </w:drawing>
          </mc:Choice>
          <mc:Fallback>
            <w:pict>
              <v:group style="position:absolute;margin-left:93.940002pt;margin-top:11.664248pt;width:233.25pt;height:117.75pt;mso-position-horizontal-relative:page;mso-position-vertical-relative:paragraph;z-index:-32773120" id="docshapegroup111" coordorigin="1879,233" coordsize="4665,2355">
                <v:shape style="position:absolute;left:1878;top:240;width:4665;height:2340" id="docshape112" coordorigin="1879,241" coordsize="4665,2340" path="m1969,2581l6544,2581m1969,2581l1879,2581m1969,2116l1879,2116m1969,1651l1879,1651m1969,1186l1879,1186m1969,721l1879,721m1969,241l1879,241m1961,248l1961,2573e" filled="false" stroked="true" strokeweight=".75pt" strokecolor="#8a8a8a">
                  <v:path arrowok="t"/>
                  <v:stroke dashstyle="solid"/>
                </v:shape>
                <v:rect style="position:absolute;left:2113;top:1313;width:630;height:1260" id="docshape113" filled="true" fillcolor="#6d6d6d" stroked="false">
                  <v:fill type="solid"/>
                </v:rect>
                <v:rect style="position:absolute;left:3028;top:728;width:630;height:585" id="docshape114" filled="true" fillcolor="#b5b5b5" stroked="false">
                  <v:fill type="solid"/>
                </v:rect>
                <v:rect style="position:absolute;left:3943;top:728;width:630;height:30" id="docshape115" filled="true" fillcolor="#dadada" stroked="false">
                  <v:fill type="solid"/>
                </v:rect>
                <v:rect style="position:absolute;left:4858;top:668;width:630;height:90" id="docshape116" filled="true" fillcolor="#b5b5b5" stroked="false">
                  <v:fill type="solid"/>
                </v:rect>
                <v:rect style="position:absolute;left:5773;top:668;width:630;height:1905" id="docshape117" filled="true" fillcolor="#6d6d6d" stroked="false">
                  <v:fill type="solid"/>
                </v:rect>
                <v:shape style="position:absolute;left:3183;top:489;width:332;height:179" type="#_x0000_t202" id="docshape118" filled="false" stroked="false">
                  <v:textbox inset="0,0,0,0">
                    <w:txbxContent>
                      <w:p>
                        <w:pPr>
                          <w:spacing w:line="179" w:lineRule="exact" w:before="0"/>
                          <w:ind w:left="0" w:right="0" w:firstLine="0"/>
                          <w:jc w:val="left"/>
                          <w:rPr>
                            <w:rFonts w:ascii="Arial MT"/>
                            <w:sz w:val="16"/>
                          </w:rPr>
                        </w:pPr>
                        <w:r>
                          <w:rPr>
                            <w:rFonts w:ascii="Arial MT"/>
                            <w:spacing w:val="-4"/>
                            <w:sz w:val="16"/>
                          </w:rPr>
                          <w:t>12.7</w:t>
                        </w:r>
                      </w:p>
                    </w:txbxContent>
                  </v:textbox>
                  <w10:wrap type="none"/>
                </v:shape>
                <v:shape style="position:absolute;left:5058;top:429;width:243;height:179" type="#_x0000_t202" id="docshape119" filled="false" stroked="false">
                  <v:textbox inset="0,0,0,0">
                    <w:txbxContent>
                      <w:p>
                        <w:pPr>
                          <w:spacing w:line="179" w:lineRule="exact" w:before="0"/>
                          <w:ind w:left="0" w:right="0" w:firstLine="0"/>
                          <w:jc w:val="left"/>
                          <w:rPr>
                            <w:rFonts w:ascii="Arial MT"/>
                            <w:sz w:val="16"/>
                          </w:rPr>
                        </w:pPr>
                        <w:r>
                          <w:rPr>
                            <w:rFonts w:ascii="Arial MT"/>
                            <w:spacing w:val="-5"/>
                            <w:sz w:val="16"/>
                          </w:rPr>
                          <w:t>1.8</w:t>
                        </w:r>
                      </w:p>
                    </w:txbxContent>
                  </v:textbox>
                  <w10:wrap type="none"/>
                </v:shape>
                <v:shape style="position:absolute;left:5883;top:429;width:421;height:179" type="#_x0000_t202" id="docshape120" filled="false" stroked="false">
                  <v:textbox inset="0,0,0,0">
                    <w:txbxContent>
                      <w:p>
                        <w:pPr>
                          <w:spacing w:line="179" w:lineRule="exact" w:before="0"/>
                          <w:ind w:left="0" w:right="0" w:firstLine="0"/>
                          <w:jc w:val="left"/>
                          <w:rPr>
                            <w:rFonts w:ascii="Arial MT"/>
                            <w:sz w:val="16"/>
                          </w:rPr>
                        </w:pPr>
                        <w:r>
                          <w:rPr>
                            <w:rFonts w:ascii="Arial MT"/>
                            <w:spacing w:val="-2"/>
                            <w:sz w:val="16"/>
                          </w:rPr>
                          <w:t>241.0</w:t>
                        </w:r>
                      </w:p>
                    </w:txbxContent>
                  </v:textbox>
                  <w10:wrap type="none"/>
                </v:shape>
                <v:shape style="position:absolute;left:4083;top:849;width:349;height:179" type="#_x0000_t202" id="docshape121" filled="false" stroked="false">
                  <v:textbox inset="0,0,0,0">
                    <w:txbxContent>
                      <w:p>
                        <w:pPr>
                          <w:spacing w:line="179" w:lineRule="exact" w:before="0"/>
                          <w:ind w:left="0" w:right="0" w:firstLine="0"/>
                          <w:jc w:val="left"/>
                          <w:rPr>
                            <w:rFonts w:ascii="Arial MT"/>
                            <w:sz w:val="16"/>
                          </w:rPr>
                        </w:pPr>
                        <w:r>
                          <w:rPr>
                            <w:rFonts w:ascii="Arial MT"/>
                            <w:spacing w:val="-4"/>
                            <w:sz w:val="16"/>
                          </w:rPr>
                          <w:t>(0.6)</w:t>
                        </w:r>
                      </w:p>
                    </w:txbxContent>
                  </v:textbox>
                  <w10:wrap type="none"/>
                </v:shape>
                <v:shape style="position:absolute;left:2223;top:1074;width:421;height:179" type="#_x0000_t202" id="docshape122" filled="false" stroked="false">
                  <v:textbox inset="0,0,0,0">
                    <w:txbxContent>
                      <w:p>
                        <w:pPr>
                          <w:spacing w:line="179" w:lineRule="exact" w:before="0"/>
                          <w:ind w:left="0" w:right="0" w:firstLine="0"/>
                          <w:jc w:val="left"/>
                          <w:rPr>
                            <w:rFonts w:ascii="Arial MT"/>
                            <w:sz w:val="16"/>
                          </w:rPr>
                        </w:pPr>
                        <w:r>
                          <w:rPr>
                            <w:rFonts w:ascii="Arial MT"/>
                            <w:spacing w:val="-2"/>
                            <w:sz w:val="16"/>
                          </w:rPr>
                          <w:t>227.1</w:t>
                        </w:r>
                      </w:p>
                    </w:txbxContent>
                  </v:textbox>
                  <w10:wrap type="none"/>
                </v:shape>
                <w10:wrap type="none"/>
              </v:group>
            </w:pict>
          </mc:Fallback>
        </mc:AlternateContent>
      </w:r>
      <w:r>
        <w:rPr>
          <w:rFonts w:ascii="Arial MT"/>
          <w:color w:val="585858"/>
          <w:spacing w:val="-5"/>
          <w:sz w:val="16"/>
        </w:rPr>
        <w:t>250</w:t>
      </w:r>
    </w:p>
    <w:p>
      <w:pPr>
        <w:pStyle w:val="BodyText"/>
        <w:spacing w:before="97"/>
        <w:rPr>
          <w:rFonts w:ascii="Arial MT"/>
          <w:sz w:val="16"/>
        </w:rPr>
      </w:pPr>
    </w:p>
    <w:p>
      <w:pPr>
        <w:spacing w:before="0"/>
        <w:ind w:left="742" w:right="0" w:firstLine="0"/>
        <w:jc w:val="left"/>
        <w:rPr>
          <w:rFonts w:ascii="Arial MT"/>
          <w:sz w:val="16"/>
        </w:rPr>
      </w:pPr>
      <w:r>
        <w:rPr>
          <w:rFonts w:ascii="Arial MT"/>
          <w:color w:val="585858"/>
          <w:spacing w:val="-5"/>
          <w:sz w:val="16"/>
        </w:rPr>
        <w:t>240</w:t>
      </w:r>
    </w:p>
    <w:p>
      <w:pPr>
        <w:pStyle w:val="BodyText"/>
        <w:spacing w:before="97"/>
        <w:rPr>
          <w:rFonts w:ascii="Arial MT"/>
          <w:sz w:val="16"/>
        </w:rPr>
      </w:pPr>
    </w:p>
    <w:p>
      <w:pPr>
        <w:spacing w:before="0"/>
        <w:ind w:left="742" w:right="0" w:firstLine="0"/>
        <w:jc w:val="left"/>
        <w:rPr>
          <w:rFonts w:ascii="Arial MT"/>
          <w:sz w:val="16"/>
        </w:rPr>
      </w:pPr>
      <w:r>
        <w:rPr>
          <w:rFonts w:ascii="Arial MT"/>
          <w:color w:val="585858"/>
          <w:spacing w:val="-5"/>
          <w:sz w:val="16"/>
        </w:rPr>
        <w:t>230</w:t>
      </w:r>
    </w:p>
    <w:p>
      <w:pPr>
        <w:spacing w:before="94"/>
        <w:ind w:left="851" w:right="0" w:firstLine="0"/>
        <w:jc w:val="left"/>
        <w:rPr>
          <w:rFonts w:ascii="Arial"/>
          <w:b/>
          <w:sz w:val="18"/>
        </w:rPr>
      </w:pPr>
      <w:r>
        <w:rPr/>
        <w:br w:type="column"/>
      </w:r>
      <w:r>
        <w:rPr>
          <w:rFonts w:ascii="Arial"/>
          <w:b/>
          <w:sz w:val="18"/>
        </w:rPr>
        <w:t>Figure</w:t>
      </w:r>
      <w:r>
        <w:rPr>
          <w:rFonts w:ascii="Arial"/>
          <w:b/>
          <w:spacing w:val="-2"/>
          <w:sz w:val="18"/>
        </w:rPr>
        <w:t> </w:t>
      </w:r>
      <w:r>
        <w:rPr>
          <w:rFonts w:ascii="Arial"/>
          <w:b/>
          <w:sz w:val="18"/>
        </w:rPr>
        <w:t>5:</w:t>
      </w:r>
      <w:r>
        <w:rPr>
          <w:rFonts w:ascii="Arial"/>
          <w:b/>
          <w:spacing w:val="-1"/>
          <w:sz w:val="18"/>
        </w:rPr>
        <w:t> </w:t>
      </w:r>
      <w:r>
        <w:rPr>
          <w:rFonts w:ascii="Arial"/>
          <w:b/>
          <w:sz w:val="18"/>
        </w:rPr>
        <w:t>Net</w:t>
      </w:r>
      <w:r>
        <w:rPr>
          <w:rFonts w:ascii="Arial"/>
          <w:b/>
          <w:spacing w:val="-1"/>
          <w:sz w:val="18"/>
        </w:rPr>
        <w:t> </w:t>
      </w:r>
      <w:r>
        <w:rPr>
          <w:rFonts w:ascii="Arial"/>
          <w:b/>
          <w:sz w:val="18"/>
        </w:rPr>
        <w:t>Loans</w:t>
      </w:r>
      <w:r>
        <w:rPr>
          <w:rFonts w:ascii="Arial"/>
          <w:b/>
          <w:spacing w:val="-1"/>
          <w:sz w:val="18"/>
        </w:rPr>
        <w:t> </w:t>
      </w:r>
      <w:r>
        <w:rPr>
          <w:rFonts w:ascii="Arial"/>
          <w:b/>
          <w:spacing w:val="-2"/>
          <w:sz w:val="18"/>
        </w:rPr>
        <w:t>Outstanding</w:t>
      </w:r>
    </w:p>
    <w:p>
      <w:pPr>
        <w:spacing w:before="13"/>
        <w:ind w:left="851" w:right="0" w:firstLine="0"/>
        <w:jc w:val="left"/>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124"/>
        <w:rPr>
          <w:rFonts w:ascii="Arial"/>
          <w:i/>
          <w:sz w:val="16"/>
        </w:rPr>
      </w:pPr>
    </w:p>
    <w:p>
      <w:pPr>
        <w:spacing w:before="0"/>
        <w:ind w:left="720"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70542848">
                <wp:simplePos x="0" y="0"/>
                <wp:positionH relativeFrom="page">
                  <wp:posOffset>4924425</wp:posOffset>
                </wp:positionH>
                <wp:positionV relativeFrom="paragraph">
                  <wp:posOffset>32294</wp:posOffset>
                </wp:positionV>
                <wp:extent cx="2038350" cy="140906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2038350" cy="1409065"/>
                          <a:chExt cx="2038350" cy="1409065"/>
                        </a:xfrm>
                      </wpg:grpSpPr>
                      <wps:wsp>
                        <wps:cNvPr id="159" name="Graphic 159"/>
                        <wps:cNvSpPr/>
                        <wps:spPr>
                          <a:xfrm>
                            <a:off x="0" y="13299"/>
                            <a:ext cx="1700530" cy="1395730"/>
                          </a:xfrm>
                          <a:custGeom>
                            <a:avLst/>
                            <a:gdLst/>
                            <a:ahLst/>
                            <a:cxnLst/>
                            <a:rect l="l" t="t" r="r" b="b"/>
                            <a:pathLst>
                              <a:path w="1700530" h="1395730">
                                <a:moveTo>
                                  <a:pt x="385762" y="1338262"/>
                                </a:moveTo>
                                <a:lnTo>
                                  <a:pt x="385762" y="1395412"/>
                                </a:lnTo>
                              </a:path>
                              <a:path w="1700530" h="1395730">
                                <a:moveTo>
                                  <a:pt x="1042987" y="1338262"/>
                                </a:moveTo>
                                <a:lnTo>
                                  <a:pt x="1042987" y="1395412"/>
                                </a:lnTo>
                              </a:path>
                              <a:path w="1700530" h="1395730">
                                <a:moveTo>
                                  <a:pt x="1700212" y="1338262"/>
                                </a:moveTo>
                                <a:lnTo>
                                  <a:pt x="1700212" y="1395412"/>
                                </a:lnTo>
                              </a:path>
                              <a:path w="1700530" h="1395730">
                                <a:moveTo>
                                  <a:pt x="57150" y="1343025"/>
                                </a:moveTo>
                                <a:lnTo>
                                  <a:pt x="0" y="1343025"/>
                                </a:lnTo>
                              </a:path>
                              <a:path w="1700530" h="1395730">
                                <a:moveTo>
                                  <a:pt x="57150" y="1076325"/>
                                </a:moveTo>
                                <a:lnTo>
                                  <a:pt x="0" y="1076325"/>
                                </a:lnTo>
                              </a:path>
                              <a:path w="1700530" h="1395730">
                                <a:moveTo>
                                  <a:pt x="57150" y="809625"/>
                                </a:moveTo>
                                <a:lnTo>
                                  <a:pt x="0" y="809625"/>
                                </a:lnTo>
                              </a:path>
                              <a:path w="1700530" h="1395730">
                                <a:moveTo>
                                  <a:pt x="57150" y="542925"/>
                                </a:moveTo>
                                <a:lnTo>
                                  <a:pt x="0" y="542925"/>
                                </a:lnTo>
                              </a:path>
                              <a:path w="1700530" h="1395730">
                                <a:moveTo>
                                  <a:pt x="57150" y="276225"/>
                                </a:moveTo>
                                <a:lnTo>
                                  <a:pt x="0" y="276225"/>
                                </a:lnTo>
                              </a:path>
                              <a:path w="1700530" h="1395730">
                                <a:moveTo>
                                  <a:pt x="57150" y="0"/>
                                </a:moveTo>
                                <a:lnTo>
                                  <a:pt x="0" y="0"/>
                                </a:lnTo>
                              </a:path>
                              <a:path w="1700530" h="1395730">
                                <a:moveTo>
                                  <a:pt x="52387" y="4762"/>
                                </a:moveTo>
                                <a:lnTo>
                                  <a:pt x="52387" y="1338262"/>
                                </a:lnTo>
                              </a:path>
                            </a:pathLst>
                          </a:custGeom>
                          <a:ln w="9525">
                            <a:solidFill>
                              <a:srgbClr val="8A8A8A"/>
                            </a:solidFill>
                            <a:prstDash val="solid"/>
                          </a:ln>
                        </wps:spPr>
                        <wps:bodyPr wrap="square" lIns="0" tIns="0" rIns="0" bIns="0" rtlCol="0">
                          <a:prstTxWarp prst="textNoShape">
                            <a:avLst/>
                          </a:prstTxWarp>
                          <a:noAutofit/>
                        </wps:bodyPr>
                      </wps:wsp>
                      <wps:wsp>
                        <wps:cNvPr id="160" name="Graphic 160"/>
                        <wps:cNvSpPr/>
                        <wps:spPr>
                          <a:xfrm>
                            <a:off x="57150" y="1356324"/>
                            <a:ext cx="1981200" cy="1270"/>
                          </a:xfrm>
                          <a:custGeom>
                            <a:avLst/>
                            <a:gdLst/>
                            <a:ahLst/>
                            <a:cxnLst/>
                            <a:rect l="l" t="t" r="r" b="b"/>
                            <a:pathLst>
                              <a:path w="1981200" h="0">
                                <a:moveTo>
                                  <a:pt x="0" y="0"/>
                                </a:moveTo>
                                <a:lnTo>
                                  <a:pt x="1981200" y="0"/>
                                </a:lnTo>
                              </a:path>
                            </a:pathLst>
                          </a:custGeom>
                          <a:ln w="9525">
                            <a:solidFill>
                              <a:srgbClr val="585858"/>
                            </a:solidFill>
                            <a:prstDash val="solid"/>
                          </a:ln>
                        </wps:spPr>
                        <wps:bodyPr wrap="square" lIns="0" tIns="0" rIns="0" bIns="0" rtlCol="0">
                          <a:prstTxWarp prst="textNoShape">
                            <a:avLst/>
                          </a:prstTxWarp>
                          <a:noAutofit/>
                        </wps:bodyPr>
                      </wps:wsp>
                      <wps:wsp>
                        <wps:cNvPr id="161" name="Graphic 161"/>
                        <wps:cNvSpPr/>
                        <wps:spPr>
                          <a:xfrm>
                            <a:off x="281686" y="151424"/>
                            <a:ext cx="879475" cy="1200150"/>
                          </a:xfrm>
                          <a:custGeom>
                            <a:avLst/>
                            <a:gdLst/>
                            <a:ahLst/>
                            <a:cxnLst/>
                            <a:rect l="l" t="t" r="r" b="b"/>
                            <a:pathLst>
                              <a:path w="879475" h="1200150">
                                <a:moveTo>
                                  <a:pt x="219075" y="38100"/>
                                </a:moveTo>
                                <a:lnTo>
                                  <a:pt x="0" y="38100"/>
                                </a:lnTo>
                                <a:lnTo>
                                  <a:pt x="0" y="1200150"/>
                                </a:lnTo>
                                <a:lnTo>
                                  <a:pt x="219075" y="1200150"/>
                                </a:lnTo>
                                <a:lnTo>
                                  <a:pt x="219075" y="38100"/>
                                </a:lnTo>
                                <a:close/>
                              </a:path>
                              <a:path w="879475" h="1200150">
                                <a:moveTo>
                                  <a:pt x="879475" y="0"/>
                                </a:moveTo>
                                <a:lnTo>
                                  <a:pt x="660400" y="0"/>
                                </a:lnTo>
                                <a:lnTo>
                                  <a:pt x="660400" y="1200150"/>
                                </a:lnTo>
                                <a:lnTo>
                                  <a:pt x="879475" y="1200150"/>
                                </a:lnTo>
                                <a:lnTo>
                                  <a:pt x="879475" y="0"/>
                                </a:lnTo>
                                <a:close/>
                              </a:path>
                            </a:pathLst>
                          </a:custGeom>
                          <a:solidFill>
                            <a:srgbClr val="DADADA"/>
                          </a:solidFill>
                        </wps:spPr>
                        <wps:bodyPr wrap="square" lIns="0" tIns="0" rIns="0" bIns="0" rtlCol="0">
                          <a:prstTxWarp prst="textNoShape">
                            <a:avLst/>
                          </a:prstTxWarp>
                          <a:noAutofit/>
                        </wps:bodyPr>
                      </wps:wsp>
                      <wps:wsp>
                        <wps:cNvPr id="162" name="Graphic 162"/>
                        <wps:cNvSpPr/>
                        <wps:spPr>
                          <a:xfrm>
                            <a:off x="1602486" y="75211"/>
                            <a:ext cx="219075" cy="1276350"/>
                          </a:xfrm>
                          <a:custGeom>
                            <a:avLst/>
                            <a:gdLst/>
                            <a:ahLst/>
                            <a:cxnLst/>
                            <a:rect l="l" t="t" r="r" b="b"/>
                            <a:pathLst>
                              <a:path w="219075" h="1276350">
                                <a:moveTo>
                                  <a:pt x="219075" y="0"/>
                                </a:moveTo>
                                <a:lnTo>
                                  <a:pt x="0" y="0"/>
                                </a:lnTo>
                                <a:lnTo>
                                  <a:pt x="0" y="1276350"/>
                                </a:lnTo>
                                <a:lnTo>
                                  <a:pt x="219075" y="1276350"/>
                                </a:lnTo>
                                <a:lnTo>
                                  <a:pt x="219075" y="0"/>
                                </a:lnTo>
                                <a:close/>
                              </a:path>
                            </a:pathLst>
                          </a:custGeom>
                          <a:solidFill>
                            <a:srgbClr val="6D6D6D"/>
                          </a:solidFill>
                        </wps:spPr>
                        <wps:bodyPr wrap="square" lIns="0" tIns="0" rIns="0" bIns="0" rtlCol="0">
                          <a:prstTxWarp prst="textNoShape">
                            <a:avLst/>
                          </a:prstTxWarp>
                          <a:noAutofit/>
                        </wps:bodyPr>
                      </wps:wsp>
                      <wps:wsp>
                        <wps:cNvPr id="163" name="Textbox 163"/>
                        <wps:cNvSpPr txBox="1"/>
                        <wps:spPr>
                          <a:xfrm>
                            <a:off x="304800" y="38100"/>
                            <a:ext cx="182245" cy="113664"/>
                          </a:xfrm>
                          <a:prstGeom prst="rect">
                            <a:avLst/>
                          </a:prstGeom>
                        </wps:spPr>
                        <wps:txbx>
                          <w:txbxContent>
                            <w:p>
                              <w:pPr>
                                <w:spacing w:line="179" w:lineRule="exact" w:before="0"/>
                                <w:ind w:left="0" w:right="0" w:firstLine="0"/>
                                <w:jc w:val="left"/>
                                <w:rPr>
                                  <w:rFonts w:ascii="Arial MT"/>
                                  <w:sz w:val="16"/>
                                </w:rPr>
                              </w:pPr>
                              <w:r>
                                <w:rPr>
                                  <w:rFonts w:ascii="Arial MT"/>
                                  <w:spacing w:val="-5"/>
                                  <w:sz w:val="16"/>
                                </w:rPr>
                                <w:t>219</w:t>
                              </w:r>
                            </w:p>
                          </w:txbxContent>
                        </wps:txbx>
                        <wps:bodyPr wrap="square" lIns="0" tIns="0" rIns="0" bIns="0" rtlCol="0">
                          <a:noAutofit/>
                        </wps:bodyPr>
                      </wps:wsp>
                      <wps:wsp>
                        <wps:cNvPr id="164" name="Textbox 164"/>
                        <wps:cNvSpPr txBox="1"/>
                        <wps:spPr>
                          <a:xfrm>
                            <a:off x="962025" y="0"/>
                            <a:ext cx="182245" cy="113664"/>
                          </a:xfrm>
                          <a:prstGeom prst="rect">
                            <a:avLst/>
                          </a:prstGeom>
                        </wps:spPr>
                        <wps:txbx>
                          <w:txbxContent>
                            <w:p>
                              <w:pPr>
                                <w:spacing w:line="179" w:lineRule="exact" w:before="0"/>
                                <w:ind w:left="0" w:right="0" w:firstLine="0"/>
                                <w:jc w:val="left"/>
                                <w:rPr>
                                  <w:rFonts w:ascii="Arial MT"/>
                                  <w:sz w:val="16"/>
                                </w:rPr>
                              </w:pPr>
                              <w:r>
                                <w:rPr>
                                  <w:rFonts w:ascii="Arial MT"/>
                                  <w:spacing w:val="-5"/>
                                  <w:sz w:val="16"/>
                                </w:rPr>
                                <w:t>227</w:t>
                              </w:r>
                            </w:p>
                          </w:txbxContent>
                        </wps:txbx>
                        <wps:bodyPr wrap="square" lIns="0" tIns="0" rIns="0" bIns="0" rtlCol="0">
                          <a:noAutofit/>
                        </wps:bodyPr>
                      </wps:wsp>
                    </wpg:wgp>
                  </a:graphicData>
                </a:graphic>
              </wp:anchor>
            </w:drawing>
          </mc:Choice>
          <mc:Fallback>
            <w:pict>
              <v:group style="position:absolute;margin-left:387.75pt;margin-top:2.542852pt;width:160.5pt;height:110.95pt;mso-position-horizontal-relative:page;mso-position-vertical-relative:paragraph;z-index:-32773632" id="docshapegroup123" coordorigin="7755,51" coordsize="3210,2219">
                <v:shape style="position:absolute;left:7755;top:71;width:2678;height:2198" id="docshape124" coordorigin="7755,72" coordsize="2678,2198" path="m8363,2179l8363,2269m9398,2179l9398,2269m10433,2179l10433,2269m7845,2187l7755,2187m7845,1767l7755,1767m7845,1347l7755,1347m7845,927l7755,927m7845,507l7755,507m7845,72l7755,72m7838,79l7838,2179e" filled="false" stroked="true" strokeweight=".75pt" strokecolor="#8a8a8a">
                  <v:path arrowok="t"/>
                  <v:stroke dashstyle="solid"/>
                </v:shape>
                <v:line style="position:absolute" from="7845,2187" to="10965,2187" stroked="true" strokeweight=".75pt" strokecolor="#585858">
                  <v:stroke dashstyle="solid"/>
                </v:line>
                <v:shape style="position:absolute;left:8198;top:289;width:1385;height:1890" id="docshape125" coordorigin="8199,289" coordsize="1385,1890" path="m8544,349l8199,349,8199,2179,8544,2179,8544,349xm9584,289l9239,289,9239,2179,9584,2179,9584,289xe" filled="true" fillcolor="#dadada" stroked="false">
                  <v:path arrowok="t"/>
                  <v:fill type="solid"/>
                </v:shape>
                <v:rect style="position:absolute;left:10278;top:169;width:345;height:2010" id="docshape126" filled="true" fillcolor="#6d6d6d" stroked="false">
                  <v:fill type="solid"/>
                </v:rect>
                <v:shape style="position:absolute;left:8235;top:110;width:287;height:179" type="#_x0000_t202" id="docshape127" filled="false" stroked="false">
                  <v:textbox inset="0,0,0,0">
                    <w:txbxContent>
                      <w:p>
                        <w:pPr>
                          <w:spacing w:line="179" w:lineRule="exact" w:before="0"/>
                          <w:ind w:left="0" w:right="0" w:firstLine="0"/>
                          <w:jc w:val="left"/>
                          <w:rPr>
                            <w:rFonts w:ascii="Arial MT"/>
                            <w:sz w:val="16"/>
                          </w:rPr>
                        </w:pPr>
                        <w:r>
                          <w:rPr>
                            <w:rFonts w:ascii="Arial MT"/>
                            <w:spacing w:val="-5"/>
                            <w:sz w:val="16"/>
                          </w:rPr>
                          <w:t>219</w:t>
                        </w:r>
                      </w:p>
                    </w:txbxContent>
                  </v:textbox>
                  <w10:wrap type="none"/>
                </v:shape>
                <v:shape style="position:absolute;left:9270;top:50;width:287;height:179" type="#_x0000_t202" id="docshape128" filled="false" stroked="false">
                  <v:textbox inset="0,0,0,0">
                    <w:txbxContent>
                      <w:p>
                        <w:pPr>
                          <w:spacing w:line="179" w:lineRule="exact" w:before="0"/>
                          <w:ind w:left="0" w:right="0" w:firstLine="0"/>
                          <w:jc w:val="left"/>
                          <w:rPr>
                            <w:rFonts w:ascii="Arial MT"/>
                            <w:sz w:val="16"/>
                          </w:rPr>
                        </w:pPr>
                        <w:r>
                          <w:rPr>
                            <w:rFonts w:ascii="Arial MT"/>
                            <w:spacing w:val="-5"/>
                            <w:sz w:val="16"/>
                          </w:rPr>
                          <w:t>227</w:t>
                        </w:r>
                      </w:p>
                    </w:txbxContent>
                  </v:textbox>
                  <w10:wrap type="none"/>
                </v:shape>
                <w10:wrap type="none"/>
              </v:group>
            </w:pict>
          </mc:Fallback>
        </mc:AlternateContent>
      </w:r>
      <w:r>
        <w:rPr>
          <w:rFonts w:ascii="Arial MT"/>
          <w:spacing w:val="-5"/>
          <w:sz w:val="16"/>
        </w:rPr>
        <w:t>250</w:t>
      </w:r>
    </w:p>
    <w:p>
      <w:pPr>
        <w:pStyle w:val="BodyText"/>
        <w:spacing w:before="52"/>
        <w:rPr>
          <w:rFonts w:ascii="Arial MT"/>
          <w:sz w:val="16"/>
        </w:rPr>
      </w:pPr>
    </w:p>
    <w:p>
      <w:pPr>
        <w:spacing w:before="0"/>
        <w:ind w:left="720" w:right="0" w:firstLine="0"/>
        <w:jc w:val="left"/>
        <w:rPr>
          <w:rFonts w:ascii="Arial MT"/>
          <w:sz w:val="16"/>
        </w:rPr>
      </w:pPr>
      <w:r>
        <w:rPr>
          <w:rFonts w:ascii="Arial MT"/>
          <w:spacing w:val="-5"/>
          <w:sz w:val="16"/>
        </w:rPr>
        <w:t>200</w:t>
      </w:r>
    </w:p>
    <w:p>
      <w:pPr>
        <w:pStyle w:val="BodyText"/>
        <w:spacing w:before="52"/>
        <w:rPr>
          <w:rFonts w:ascii="Arial MT"/>
          <w:sz w:val="16"/>
        </w:rPr>
      </w:pPr>
    </w:p>
    <w:p>
      <w:pPr>
        <w:spacing w:before="0"/>
        <w:ind w:left="720" w:right="0" w:firstLine="0"/>
        <w:jc w:val="left"/>
        <w:rPr>
          <w:rFonts w:ascii="Arial MT"/>
          <w:sz w:val="16"/>
        </w:rPr>
      </w:pPr>
      <w:r>
        <w:rPr>
          <w:rFonts w:ascii="Arial MT"/>
          <w:spacing w:val="-5"/>
          <w:sz w:val="16"/>
        </w:rPr>
        <w:t>150</w:t>
      </w:r>
    </w:p>
    <w:p>
      <w:pPr>
        <w:pStyle w:val="BodyText"/>
        <w:rPr>
          <w:rFonts w:ascii="Arial MT"/>
          <w:sz w:val="16"/>
        </w:rPr>
      </w:pPr>
      <w:r>
        <w:rPr/>
        <w:br w:type="column"/>
      </w:r>
      <w:r>
        <w:rPr>
          <w:rFonts w:ascii="Arial MT"/>
          <w:sz w:val="16"/>
        </w:rPr>
      </w:r>
    </w:p>
    <w:p>
      <w:pPr>
        <w:pStyle w:val="BodyText"/>
        <w:rPr>
          <w:rFonts w:ascii="Arial MT"/>
          <w:sz w:val="16"/>
        </w:rPr>
      </w:pPr>
    </w:p>
    <w:p>
      <w:pPr>
        <w:pStyle w:val="BodyText"/>
        <w:spacing w:before="179"/>
        <w:rPr>
          <w:rFonts w:ascii="Arial MT"/>
          <w:sz w:val="16"/>
        </w:rPr>
      </w:pPr>
    </w:p>
    <w:p>
      <w:pPr>
        <w:spacing w:before="0"/>
        <w:ind w:left="4" w:right="0" w:firstLine="0"/>
        <w:jc w:val="left"/>
        <w:rPr>
          <w:rFonts w:ascii="Arial MT"/>
          <w:sz w:val="16"/>
        </w:rPr>
      </w:pPr>
      <w:r>
        <w:rPr>
          <w:rFonts w:ascii="Arial MT"/>
          <w:spacing w:val="-5"/>
          <w:sz w:val="16"/>
        </w:rPr>
        <w:t>241</w:t>
      </w:r>
    </w:p>
    <w:p>
      <w:pPr>
        <w:spacing w:after="0"/>
        <w:jc w:val="left"/>
        <w:rPr>
          <w:rFonts w:ascii="Arial MT"/>
          <w:sz w:val="16"/>
        </w:rPr>
        <w:sectPr>
          <w:type w:val="continuous"/>
          <w:pgSz w:w="12240" w:h="15840"/>
          <w:pgMar w:header="744" w:footer="713" w:top="1820" w:bottom="280" w:left="720" w:right="720"/>
          <w:cols w:num="3" w:equalWidth="0">
            <w:col w:w="4471" w:space="1428"/>
            <w:col w:w="3642" w:space="39"/>
            <w:col w:w="1220"/>
          </w:cols>
        </w:sectPr>
      </w:pPr>
    </w:p>
    <w:p>
      <w:pPr>
        <w:pStyle w:val="BodyText"/>
        <w:spacing w:before="52"/>
        <w:rPr>
          <w:rFonts w:ascii="Arial MT"/>
          <w:sz w:val="16"/>
        </w:rPr>
      </w:pPr>
    </w:p>
    <w:p>
      <w:pPr>
        <w:tabs>
          <w:tab w:pos="6618" w:val="left" w:leader="none"/>
        </w:tabs>
        <w:spacing w:before="0"/>
        <w:ind w:left="742" w:right="0" w:firstLine="0"/>
        <w:jc w:val="left"/>
        <w:rPr>
          <w:rFonts w:ascii="Arial MT"/>
          <w:sz w:val="16"/>
        </w:rPr>
      </w:pPr>
      <w:r>
        <w:rPr>
          <w:rFonts w:ascii="Arial MT"/>
          <w:color w:val="585858"/>
          <w:spacing w:val="-5"/>
          <w:sz w:val="16"/>
        </w:rPr>
        <w:t>220</w:t>
      </w:r>
      <w:r>
        <w:rPr>
          <w:rFonts w:ascii="Arial MT"/>
          <w:color w:val="585858"/>
          <w:sz w:val="16"/>
        </w:rPr>
        <w:tab/>
      </w:r>
      <w:r>
        <w:rPr>
          <w:rFonts w:ascii="Arial MT"/>
          <w:spacing w:val="-5"/>
          <w:sz w:val="16"/>
        </w:rPr>
        <w:t>100</w:t>
      </w:r>
    </w:p>
    <w:p>
      <w:pPr>
        <w:pStyle w:val="BodyText"/>
        <w:spacing w:before="3"/>
        <w:rPr>
          <w:rFonts w:ascii="Arial MT"/>
          <w:sz w:val="12"/>
        </w:rPr>
      </w:pPr>
    </w:p>
    <w:p>
      <w:pPr>
        <w:pStyle w:val="BodyText"/>
        <w:spacing w:after="0"/>
        <w:rPr>
          <w:rFonts w:ascii="Arial MT"/>
          <w:sz w:val="12"/>
        </w:rPr>
        <w:sectPr>
          <w:type w:val="continuous"/>
          <w:pgSz w:w="12240" w:h="15840"/>
          <w:pgMar w:header="744" w:footer="713" w:top="1820" w:bottom="280" w:left="720" w:right="720"/>
        </w:sectPr>
      </w:pPr>
    </w:p>
    <w:p>
      <w:pPr>
        <w:spacing w:before="136"/>
        <w:ind w:left="0" w:right="0" w:firstLine="0"/>
        <w:jc w:val="right"/>
        <w:rPr>
          <w:rFonts w:ascii="Arial MT"/>
          <w:sz w:val="16"/>
        </w:rPr>
      </w:pPr>
      <w:r>
        <w:rPr>
          <w:rFonts w:ascii="Arial MT"/>
          <w:color w:val="585858"/>
          <w:spacing w:val="-5"/>
          <w:sz w:val="16"/>
        </w:rPr>
        <w:t>210</w:t>
      </w:r>
    </w:p>
    <w:p>
      <w:pPr>
        <w:pStyle w:val="BodyText"/>
        <w:spacing w:before="97"/>
        <w:rPr>
          <w:rFonts w:ascii="Arial MT"/>
          <w:sz w:val="16"/>
        </w:rPr>
      </w:pPr>
    </w:p>
    <w:p>
      <w:pPr>
        <w:spacing w:before="0"/>
        <w:ind w:left="0" w:right="0" w:firstLine="0"/>
        <w:jc w:val="right"/>
        <w:rPr>
          <w:rFonts w:ascii="Arial MT"/>
          <w:sz w:val="16"/>
        </w:rPr>
      </w:pPr>
      <w:r>
        <w:rPr>
          <w:rFonts w:ascii="Arial MT"/>
          <w:color w:val="585858"/>
          <w:spacing w:val="-5"/>
          <w:sz w:val="16"/>
        </w:rPr>
        <w:t>200</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0"/>
        <w:rPr>
          <w:rFonts w:ascii="Arial MT"/>
          <w:sz w:val="14"/>
        </w:rPr>
      </w:pPr>
    </w:p>
    <w:p>
      <w:pPr>
        <w:spacing w:before="1"/>
        <w:ind w:left="315" w:right="0" w:firstLine="0"/>
        <w:jc w:val="left"/>
        <w:rPr>
          <w:rFonts w:ascii="Arial MT"/>
          <w:sz w:val="14"/>
        </w:rPr>
      </w:pPr>
      <w:r>
        <w:rPr>
          <w:rFonts w:ascii="Arial MT"/>
          <w:sz w:val="14"/>
        </w:rPr>
        <w:t>Net</w:t>
      </w:r>
      <w:r>
        <w:rPr>
          <w:rFonts w:ascii="Arial MT"/>
          <w:spacing w:val="-2"/>
          <w:sz w:val="14"/>
        </w:rPr>
        <w:t> </w:t>
      </w:r>
      <w:r>
        <w:rPr>
          <w:rFonts w:ascii="Arial MT"/>
          <w:spacing w:val="-2"/>
          <w:sz w:val="14"/>
        </w:rPr>
        <w:t>Loans</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0"/>
        <w:rPr>
          <w:rFonts w:ascii="Arial MT"/>
          <w:sz w:val="14"/>
        </w:rPr>
      </w:pPr>
    </w:p>
    <w:p>
      <w:pPr>
        <w:spacing w:before="1"/>
        <w:ind w:left="302" w:right="0" w:firstLine="0"/>
        <w:jc w:val="left"/>
        <w:rPr>
          <w:rFonts w:ascii="Arial MT"/>
          <w:sz w:val="14"/>
        </w:rPr>
      </w:pPr>
      <w:r>
        <w:rPr>
          <w:rFonts w:ascii="Arial MT"/>
          <w:sz w:val="14"/>
        </w:rPr>
        <w:t>Net</w:t>
      </w:r>
      <w:r>
        <w:rPr>
          <w:rFonts w:ascii="Arial MT"/>
          <w:spacing w:val="-2"/>
          <w:sz w:val="14"/>
        </w:rPr>
        <w:t> </w:t>
      </w:r>
      <w:r>
        <w:rPr>
          <w:rFonts w:ascii="Arial MT"/>
          <w:spacing w:val="-4"/>
          <w:sz w:val="14"/>
        </w:rPr>
        <w:t>loan</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0"/>
        <w:rPr>
          <w:rFonts w:ascii="Arial MT"/>
          <w:sz w:val="14"/>
        </w:rPr>
      </w:pPr>
    </w:p>
    <w:p>
      <w:pPr>
        <w:spacing w:before="1"/>
        <w:ind w:left="202" w:right="0" w:firstLine="0"/>
        <w:jc w:val="left"/>
        <w:rPr>
          <w:rFonts w:ascii="Arial MT"/>
          <w:sz w:val="14"/>
        </w:rPr>
      </w:pPr>
      <w:r>
        <w:rPr>
          <w:rFonts w:ascii="Arial MT"/>
          <w:spacing w:val="-2"/>
          <w:sz w:val="14"/>
        </w:rPr>
        <w:t>Accumulated</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0"/>
        <w:rPr>
          <w:rFonts w:ascii="Arial MT"/>
          <w:sz w:val="14"/>
        </w:rPr>
      </w:pPr>
    </w:p>
    <w:p>
      <w:pPr>
        <w:spacing w:before="1"/>
        <w:ind w:left="126" w:right="0" w:firstLine="0"/>
        <w:jc w:val="left"/>
        <w:rPr>
          <w:rFonts w:ascii="Arial MT"/>
          <w:sz w:val="14"/>
        </w:rPr>
      </w:pPr>
      <w:r>
        <w:rPr>
          <w:rFonts w:ascii="Arial MT"/>
          <w:spacing w:val="-2"/>
          <w:sz w:val="14"/>
        </w:rPr>
        <w:t>Translation</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10"/>
        <w:rPr>
          <w:rFonts w:ascii="Arial MT"/>
          <w:sz w:val="14"/>
        </w:rPr>
      </w:pPr>
    </w:p>
    <w:p>
      <w:pPr>
        <w:spacing w:before="1"/>
        <w:ind w:left="207" w:right="0" w:firstLine="0"/>
        <w:jc w:val="left"/>
        <w:rPr>
          <w:rFonts w:ascii="Arial MT"/>
          <w:sz w:val="14"/>
        </w:rPr>
      </w:pPr>
      <w:r>
        <w:rPr>
          <w:rFonts w:ascii="Arial MT"/>
          <w:sz w:val="14"/>
        </w:rPr>
        <w:t>Net</w:t>
      </w:r>
      <w:r>
        <w:rPr>
          <w:rFonts w:ascii="Arial MT"/>
          <w:spacing w:val="-2"/>
          <w:sz w:val="14"/>
        </w:rPr>
        <w:t> Loans</w:t>
      </w:r>
    </w:p>
    <w:p>
      <w:pPr>
        <w:spacing w:before="95"/>
        <w:ind w:left="742" w:right="0" w:firstLine="0"/>
        <w:jc w:val="left"/>
        <w:rPr>
          <w:rFonts w:ascii="Arial MT"/>
          <w:sz w:val="16"/>
        </w:rPr>
      </w:pPr>
      <w:r>
        <w:rPr/>
        <w:br w:type="column"/>
      </w:r>
      <w:r>
        <w:rPr>
          <w:rFonts w:ascii="Arial MT"/>
          <w:spacing w:val="-5"/>
          <w:sz w:val="16"/>
        </w:rPr>
        <w:t>50</w:t>
      </w:r>
    </w:p>
    <w:p>
      <w:pPr>
        <w:pStyle w:val="BodyText"/>
        <w:spacing w:before="52"/>
        <w:rPr>
          <w:rFonts w:ascii="Arial MT"/>
          <w:sz w:val="16"/>
        </w:rPr>
      </w:pPr>
    </w:p>
    <w:p>
      <w:pPr>
        <w:spacing w:before="0"/>
        <w:ind w:left="831" w:right="0" w:firstLine="0"/>
        <w:jc w:val="left"/>
        <w:rPr>
          <w:rFonts w:ascii="Arial MT"/>
          <w:sz w:val="16"/>
        </w:rPr>
      </w:pPr>
      <w:r>
        <w:rPr>
          <w:rFonts w:ascii="Arial MT"/>
          <w:spacing w:val="-10"/>
          <w:sz w:val="16"/>
        </w:rPr>
        <w:t>0</w:t>
      </w:r>
    </w:p>
    <w:p>
      <w:pPr>
        <w:tabs>
          <w:tab w:pos="2468" w:val="left" w:leader="none"/>
          <w:tab w:pos="3503" w:val="left" w:leader="none"/>
        </w:tabs>
        <w:spacing w:before="26"/>
        <w:ind w:left="1418" w:right="0" w:firstLine="0"/>
        <w:jc w:val="left"/>
        <w:rPr>
          <w:rFonts w:ascii="Arial MT"/>
          <w:sz w:val="16"/>
        </w:rPr>
      </w:pPr>
      <w:r>
        <w:rPr>
          <w:rFonts w:ascii="Arial MT"/>
          <w:spacing w:val="-2"/>
          <w:sz w:val="16"/>
        </w:rPr>
        <w:t>Jun-</w:t>
      </w:r>
      <w:r>
        <w:rPr>
          <w:rFonts w:ascii="Arial MT"/>
          <w:spacing w:val="-5"/>
          <w:sz w:val="16"/>
        </w:rPr>
        <w:t>21</w:t>
      </w:r>
      <w:r>
        <w:rPr>
          <w:rFonts w:ascii="Arial MT"/>
          <w:sz w:val="16"/>
        </w:rPr>
        <w:tab/>
      </w:r>
      <w:r>
        <w:rPr>
          <w:rFonts w:ascii="Arial MT"/>
          <w:spacing w:val="-2"/>
          <w:sz w:val="16"/>
        </w:rPr>
        <w:t>Jun-</w:t>
      </w:r>
      <w:r>
        <w:rPr>
          <w:rFonts w:ascii="Arial MT"/>
          <w:spacing w:val="-5"/>
          <w:sz w:val="16"/>
        </w:rPr>
        <w:t>22</w:t>
      </w:r>
      <w:r>
        <w:rPr>
          <w:rFonts w:ascii="Arial MT"/>
          <w:sz w:val="16"/>
        </w:rPr>
        <w:tab/>
      </w:r>
      <w:r>
        <w:rPr>
          <w:rFonts w:ascii="Arial MT"/>
          <w:spacing w:val="-2"/>
          <w:sz w:val="16"/>
        </w:rPr>
        <w:t>Jun-</w:t>
      </w:r>
      <w:r>
        <w:rPr>
          <w:rFonts w:ascii="Arial MT"/>
          <w:spacing w:val="-5"/>
          <w:sz w:val="16"/>
        </w:rPr>
        <w:t>23</w:t>
      </w:r>
    </w:p>
    <w:p>
      <w:pPr>
        <w:spacing w:after="0"/>
        <w:jc w:val="left"/>
        <w:rPr>
          <w:rFonts w:ascii="Arial MT"/>
          <w:sz w:val="16"/>
        </w:rPr>
        <w:sectPr>
          <w:type w:val="continuous"/>
          <w:pgSz w:w="12240" w:h="15840"/>
          <w:pgMar w:header="744" w:footer="713" w:top="1820" w:bottom="280" w:left="720" w:right="720"/>
          <w:cols w:num="7" w:equalWidth="0">
            <w:col w:w="1010" w:space="40"/>
            <w:col w:w="954" w:space="39"/>
            <w:col w:w="825" w:space="40"/>
            <w:col w:w="1012" w:space="39"/>
            <w:col w:w="820" w:space="39"/>
            <w:col w:w="886" w:space="261"/>
            <w:col w:w="4835"/>
          </w:cols>
        </w:sectPr>
      </w:pPr>
    </w:p>
    <w:p>
      <w:pPr>
        <w:spacing w:line="249" w:lineRule="auto" w:before="7"/>
        <w:ind w:left="1361" w:right="0" w:hanging="39"/>
        <w:jc w:val="both"/>
        <w:rPr>
          <w:rFonts w:ascii="Arial MT"/>
          <w:sz w:val="14"/>
        </w:rPr>
      </w:pPr>
      <w:r>
        <w:rPr>
          <w:rFonts w:ascii="Arial MT"/>
          <w:spacing w:val="-2"/>
          <w:sz w:val="14"/>
        </w:rPr>
        <w:t>outstanding</w:t>
      </w:r>
      <w:r>
        <w:rPr>
          <w:rFonts w:ascii="Arial MT"/>
          <w:spacing w:val="40"/>
          <w:sz w:val="14"/>
        </w:rPr>
        <w:t> </w:t>
      </w:r>
      <w:r>
        <w:rPr>
          <w:rFonts w:ascii="Arial MT"/>
          <w:sz w:val="14"/>
        </w:rPr>
        <w:t>as</w:t>
      </w:r>
      <w:r>
        <w:rPr>
          <w:rFonts w:ascii="Arial MT"/>
          <w:spacing w:val="-1"/>
          <w:sz w:val="14"/>
        </w:rPr>
        <w:t> </w:t>
      </w:r>
      <w:r>
        <w:rPr>
          <w:rFonts w:ascii="Arial MT"/>
          <w:sz w:val="14"/>
        </w:rPr>
        <w:t>of</w:t>
      </w:r>
      <w:r>
        <w:rPr>
          <w:rFonts w:ascii="Arial MT"/>
          <w:spacing w:val="-1"/>
          <w:sz w:val="14"/>
        </w:rPr>
        <w:t> </w:t>
      </w:r>
      <w:r>
        <w:rPr>
          <w:rFonts w:ascii="Arial MT"/>
          <w:sz w:val="14"/>
        </w:rPr>
        <w:t>June</w:t>
      </w:r>
      <w:r>
        <w:rPr>
          <w:rFonts w:ascii="Arial MT"/>
          <w:spacing w:val="40"/>
          <w:sz w:val="14"/>
        </w:rPr>
        <w:t> </w:t>
      </w:r>
      <w:r>
        <w:rPr>
          <w:rFonts w:ascii="Arial MT"/>
          <w:sz w:val="14"/>
        </w:rPr>
        <w:t>30,</w:t>
      </w:r>
      <w:r>
        <w:rPr>
          <w:rFonts w:ascii="Arial MT"/>
          <w:spacing w:val="-2"/>
          <w:sz w:val="14"/>
        </w:rPr>
        <w:t> </w:t>
      </w:r>
      <w:r>
        <w:rPr>
          <w:rFonts w:ascii="Arial MT"/>
          <w:sz w:val="14"/>
        </w:rPr>
        <w:t>2022</w:t>
      </w:r>
    </w:p>
    <w:p>
      <w:pPr>
        <w:spacing w:before="7"/>
        <w:ind w:left="0" w:right="0" w:firstLine="0"/>
        <w:jc w:val="right"/>
        <w:rPr>
          <w:rFonts w:ascii="Arial MT"/>
          <w:sz w:val="14"/>
        </w:rPr>
      </w:pPr>
      <w:r>
        <w:rPr/>
        <w:br w:type="column"/>
      </w:r>
      <w:r>
        <w:rPr>
          <w:rFonts w:ascii="Arial MT"/>
          <w:sz w:val="14"/>
        </w:rPr>
        <w:t>disbursements</w:t>
      </w:r>
      <w:r>
        <w:rPr>
          <w:rFonts w:ascii="Arial MT"/>
          <w:spacing w:val="23"/>
          <w:sz w:val="14"/>
        </w:rPr>
        <w:t> </w:t>
      </w:r>
      <w:r>
        <w:rPr>
          <w:rFonts w:ascii="Arial MT"/>
          <w:sz w:val="14"/>
        </w:rPr>
        <w:t>provision</w:t>
      </w:r>
      <w:r>
        <w:rPr>
          <w:rFonts w:ascii="Arial MT"/>
          <w:spacing w:val="-4"/>
          <w:sz w:val="14"/>
        </w:rPr>
        <w:t> </w:t>
      </w:r>
      <w:r>
        <w:rPr>
          <w:rFonts w:ascii="Arial MT"/>
          <w:spacing w:val="-5"/>
          <w:sz w:val="14"/>
        </w:rPr>
        <w:t>for</w:t>
      </w:r>
    </w:p>
    <w:p>
      <w:pPr>
        <w:spacing w:before="7"/>
        <w:ind w:left="0" w:right="29" w:firstLine="0"/>
        <w:jc w:val="right"/>
        <w:rPr>
          <w:rFonts w:ascii="Arial MT"/>
          <w:sz w:val="14"/>
        </w:rPr>
      </w:pPr>
      <w:r>
        <w:rPr>
          <w:rFonts w:ascii="Arial MT"/>
          <w:sz w:val="14"/>
        </w:rPr>
        <w:t>loan</w:t>
      </w:r>
      <w:r>
        <w:rPr>
          <w:rFonts w:ascii="Arial MT"/>
          <w:spacing w:val="-3"/>
          <w:sz w:val="14"/>
        </w:rPr>
        <w:t> </w:t>
      </w:r>
      <w:r>
        <w:rPr>
          <w:rFonts w:ascii="Arial MT"/>
          <w:spacing w:val="-2"/>
          <w:sz w:val="14"/>
        </w:rPr>
        <w:t>losses</w:t>
      </w:r>
    </w:p>
    <w:p>
      <w:pPr>
        <w:spacing w:line="249" w:lineRule="auto" w:before="7"/>
        <w:ind w:left="162" w:right="0" w:hanging="47"/>
        <w:jc w:val="left"/>
        <w:rPr>
          <w:rFonts w:ascii="Arial MT"/>
          <w:sz w:val="14"/>
        </w:rPr>
      </w:pPr>
      <w:r>
        <w:rPr/>
        <w:br w:type="column"/>
      </w:r>
      <w:r>
        <w:rPr>
          <w:rFonts w:ascii="Arial MT"/>
          <w:spacing w:val="-2"/>
          <w:sz w:val="14"/>
        </w:rPr>
        <w:t>adjustments</w:t>
      </w:r>
      <w:r>
        <w:rPr>
          <w:rFonts w:ascii="Arial MT"/>
          <w:spacing w:val="40"/>
          <w:sz w:val="14"/>
        </w:rPr>
        <w:t> </w:t>
      </w:r>
      <w:r>
        <w:rPr>
          <w:rFonts w:ascii="Arial MT"/>
          <w:sz w:val="14"/>
        </w:rPr>
        <w:t>and</w:t>
      </w:r>
      <w:r>
        <w:rPr>
          <w:rFonts w:ascii="Arial MT"/>
          <w:spacing w:val="-2"/>
          <w:sz w:val="14"/>
        </w:rPr>
        <w:t> </w:t>
      </w:r>
      <w:r>
        <w:rPr>
          <w:rFonts w:ascii="Arial MT"/>
          <w:sz w:val="14"/>
        </w:rPr>
        <w:t>others</w:t>
      </w:r>
    </w:p>
    <w:p>
      <w:pPr>
        <w:spacing w:line="249" w:lineRule="auto" w:before="7"/>
        <w:ind w:left="174" w:right="5091" w:hanging="39"/>
        <w:jc w:val="both"/>
        <w:rPr>
          <w:rFonts w:ascii="Arial MT"/>
          <w:sz w:val="14"/>
        </w:rPr>
      </w:pPr>
      <w:r>
        <w:rPr/>
        <w:br w:type="column"/>
      </w:r>
      <w:r>
        <w:rPr>
          <w:rFonts w:ascii="Arial MT"/>
          <w:spacing w:val="-2"/>
          <w:sz w:val="14"/>
        </w:rPr>
        <w:t>outstanding</w:t>
      </w:r>
      <w:r>
        <w:rPr>
          <w:rFonts w:ascii="Arial MT"/>
          <w:spacing w:val="40"/>
          <w:sz w:val="14"/>
        </w:rPr>
        <w:t> </w:t>
      </w:r>
      <w:r>
        <w:rPr>
          <w:rFonts w:ascii="Arial MT"/>
          <w:sz w:val="14"/>
        </w:rPr>
        <w:t>as of June</w:t>
      </w:r>
      <w:r>
        <w:rPr>
          <w:rFonts w:ascii="Arial MT"/>
          <w:spacing w:val="40"/>
          <w:sz w:val="14"/>
        </w:rPr>
        <w:t> </w:t>
      </w:r>
      <w:r>
        <w:rPr>
          <w:rFonts w:ascii="Arial MT"/>
          <w:sz w:val="14"/>
        </w:rPr>
        <w:t>30,</w:t>
      </w:r>
      <w:r>
        <w:rPr>
          <w:rFonts w:ascii="Arial MT"/>
          <w:spacing w:val="-2"/>
          <w:sz w:val="14"/>
        </w:rPr>
        <w:t> </w:t>
      </w:r>
      <w:r>
        <w:rPr>
          <w:rFonts w:ascii="Arial MT"/>
          <w:sz w:val="14"/>
        </w:rPr>
        <w:t>2023</w:t>
      </w:r>
    </w:p>
    <w:p>
      <w:pPr>
        <w:spacing w:after="0" w:line="249" w:lineRule="auto"/>
        <w:jc w:val="both"/>
        <w:rPr>
          <w:rFonts w:ascii="Arial MT"/>
          <w:sz w:val="14"/>
        </w:rPr>
        <w:sectPr>
          <w:type w:val="continuous"/>
          <w:pgSz w:w="12240" w:h="15840"/>
          <w:pgMar w:header="744" w:footer="713" w:top="1820" w:bottom="280" w:left="720" w:right="720"/>
          <w:cols w:num="4" w:equalWidth="0">
            <w:col w:w="2047" w:space="40"/>
            <w:col w:w="1810" w:space="39"/>
            <w:col w:w="872" w:space="39"/>
            <w:col w:w="5953"/>
          </w:cols>
        </w:sectPr>
      </w:pPr>
    </w:p>
    <w:p>
      <w:pPr>
        <w:pStyle w:val="BodyText"/>
        <w:spacing w:before="105"/>
        <w:rPr>
          <w:rFonts w:ascii="Arial MT"/>
        </w:rPr>
      </w:pPr>
    </w:p>
    <w:p>
      <w:pPr>
        <w:pStyle w:val="BodyText"/>
        <w:spacing w:line="249" w:lineRule="auto"/>
        <w:ind w:left="720" w:right="719"/>
        <w:jc w:val="both"/>
      </w:pPr>
      <w:r>
        <w:rPr/>
        <w:t>As of June 30, 2023, IBRD’s net loans outstanding totaled $241.0 billion, $13.9 billion or 6% higher than June 30, 2022 (see Figure 5). The increase was mainly attributable to $12.7 billion of net loan disbursements in FY23 and currency translation gains of $1.8 billion, primarily due to the 4.4% appreciation of the euro against the U.S. dollar during the year.</w:t>
      </w:r>
    </w:p>
    <w:p>
      <w:pPr>
        <w:pStyle w:val="BodyText"/>
        <w:spacing w:line="249" w:lineRule="auto" w:before="123"/>
        <w:ind w:left="720" w:right="719"/>
        <w:jc w:val="both"/>
      </w:pPr>
      <w:r>
        <w:rPr/>
        <w:t>Gross disbursements were $25.5 billion, 9.5% lower compared to FY22, primarily due to lower COVID-19 related gross disbursements in FY23.</w:t>
      </w:r>
    </w:p>
    <w:p>
      <w:pPr>
        <w:pStyle w:val="Heading4"/>
        <w:spacing w:before="113"/>
      </w:pPr>
      <w:r>
        <w:rPr/>
        <w:t>Results</w:t>
      </w:r>
      <w:r>
        <w:rPr>
          <w:spacing w:val="-4"/>
        </w:rPr>
        <w:t> </w:t>
      </w:r>
      <w:r>
        <w:rPr/>
        <w:t>from</w:t>
      </w:r>
      <w:r>
        <w:rPr>
          <w:spacing w:val="-2"/>
        </w:rPr>
        <w:t> </w:t>
      </w:r>
      <w:r>
        <w:rPr/>
        <w:t>Investing</w:t>
      </w:r>
      <w:r>
        <w:rPr>
          <w:spacing w:val="-2"/>
        </w:rPr>
        <w:t> activities</w:t>
      </w:r>
    </w:p>
    <w:p>
      <w:pPr>
        <w:pStyle w:val="Heading6"/>
        <w:spacing w:before="135"/>
      </w:pPr>
      <w:r>
        <w:rPr/>
        <w:t>Net</w:t>
      </w:r>
      <w:r>
        <w:rPr>
          <w:spacing w:val="-1"/>
        </w:rPr>
        <w:t> </w:t>
      </w:r>
      <w:r>
        <w:rPr/>
        <w:t>Investment</w:t>
      </w:r>
      <w:r>
        <w:rPr>
          <w:spacing w:val="-1"/>
        </w:rPr>
        <w:t> </w:t>
      </w:r>
      <w:r>
        <w:rPr>
          <w:spacing w:val="-2"/>
        </w:rPr>
        <w:t>Portfolio</w:t>
      </w:r>
    </w:p>
    <w:p>
      <w:pPr>
        <w:pStyle w:val="BodyText"/>
        <w:spacing w:line="249" w:lineRule="auto" w:before="136"/>
        <w:ind w:left="720" w:right="718"/>
        <w:jc w:val="both"/>
      </w:pPr>
      <w:r>
        <w:rPr/>
        <w:t>IBRD’s net investment portfolio was $79.2 billion as of June 30, 2023 ($82.1 billion as of June 30, 2022). Of this amount, $75.4 billion related to the liquid asset portfolio ($78.8 billion as of June 30, 2022). See Note C: Investments in the Notes to the Financial Statements. The decrease in the liquid asset portfolio is primarily due to</w:t>
      </w:r>
      <w:r>
        <w:rPr>
          <w:spacing w:val="40"/>
        </w:rPr>
        <w:t> </w:t>
      </w:r>
      <w:r>
        <w:rPr/>
        <w:t>the net loan disbursements during the year and in line with the lower target liquidity level in FY23 (see Section VI).</w:t>
      </w:r>
    </w:p>
    <w:p>
      <w:pPr>
        <w:pStyle w:val="Heading6"/>
        <w:spacing w:before="118"/>
      </w:pPr>
      <w:r>
        <w:rPr/>
        <w:t>Net</w:t>
      </w:r>
      <w:r>
        <w:rPr>
          <w:spacing w:val="-1"/>
        </w:rPr>
        <w:t> </w:t>
      </w:r>
      <w:r>
        <w:rPr/>
        <w:t>Investment</w:t>
      </w:r>
      <w:r>
        <w:rPr>
          <w:spacing w:val="-1"/>
        </w:rPr>
        <w:t> </w:t>
      </w:r>
      <w:r>
        <w:rPr>
          <w:spacing w:val="-2"/>
        </w:rPr>
        <w:t>Revenue</w:t>
      </w:r>
    </w:p>
    <w:p>
      <w:pPr>
        <w:pStyle w:val="BodyText"/>
        <w:spacing w:line="249" w:lineRule="auto" w:before="136"/>
        <w:ind w:left="720" w:right="720"/>
        <w:jc w:val="both"/>
      </w:pPr>
      <w:r>
        <w:rPr/>
        <w:t>During FY23, IBRD’s net investment revenue increased by $191 million, compared to FY22. This was primarily driven by higher interest income due to the increase in average interest rates in FY23.</w:t>
      </w:r>
    </w:p>
    <w:p>
      <w:pPr>
        <w:pStyle w:val="BodyText"/>
        <w:spacing w:after="0" w:line="249" w:lineRule="auto"/>
        <w:jc w:val="both"/>
        <w:sectPr>
          <w:type w:val="continuous"/>
          <w:pgSz w:w="12240" w:h="15840"/>
          <w:pgMar w:header="744" w:footer="713" w:top="1820" w:bottom="280" w:left="720" w:right="720"/>
        </w:sectPr>
      </w:pPr>
    </w:p>
    <w:p>
      <w:pPr>
        <w:pStyle w:val="BodyText"/>
        <w:spacing w:before="44"/>
      </w:pPr>
    </w:p>
    <w:p>
      <w:pPr>
        <w:pStyle w:val="BodyText"/>
        <w:spacing w:after="0"/>
        <w:sectPr>
          <w:pgSz w:w="12240" w:h="15840"/>
          <w:pgMar w:header="744" w:footer="583" w:top="1020" w:bottom="780" w:left="720" w:right="720"/>
        </w:sectPr>
      </w:pPr>
    </w:p>
    <w:p>
      <w:pPr>
        <w:spacing w:before="94"/>
        <w:ind w:left="720" w:right="0" w:firstLine="0"/>
        <w:jc w:val="left"/>
        <w:rPr>
          <w:rFonts w:ascii="Arial"/>
          <w:b/>
          <w:sz w:val="18"/>
        </w:rPr>
      </w:pPr>
      <w:bookmarkStart w:name="_bookmark12" w:id="24"/>
      <w:bookmarkEnd w:id="24"/>
      <w:r>
        <w:rPr/>
      </w:r>
      <w:r>
        <w:rPr>
          <w:rFonts w:ascii="Arial"/>
          <w:b/>
          <w:sz w:val="18"/>
        </w:rPr>
        <w:t>Figure</w:t>
      </w:r>
      <w:r>
        <w:rPr>
          <w:rFonts w:ascii="Arial"/>
          <w:b/>
          <w:spacing w:val="-3"/>
          <w:sz w:val="18"/>
        </w:rPr>
        <w:t> </w:t>
      </w:r>
      <w:r>
        <w:rPr>
          <w:rFonts w:ascii="Arial"/>
          <w:b/>
          <w:sz w:val="18"/>
        </w:rPr>
        <w:t>6:</w:t>
      </w:r>
      <w:r>
        <w:rPr>
          <w:rFonts w:ascii="Arial"/>
          <w:b/>
          <w:spacing w:val="-2"/>
          <w:sz w:val="18"/>
        </w:rPr>
        <w:t> </w:t>
      </w:r>
      <w:r>
        <w:rPr>
          <w:rFonts w:ascii="Arial"/>
          <w:b/>
          <w:sz w:val="18"/>
        </w:rPr>
        <w:t>Net</w:t>
      </w:r>
      <w:r>
        <w:rPr>
          <w:rFonts w:ascii="Arial"/>
          <w:b/>
          <w:spacing w:val="-2"/>
          <w:sz w:val="18"/>
        </w:rPr>
        <w:t> </w:t>
      </w:r>
      <w:r>
        <w:rPr>
          <w:rFonts w:ascii="Arial"/>
          <w:b/>
          <w:sz w:val="18"/>
        </w:rPr>
        <w:t>Investment</w:t>
      </w:r>
      <w:r>
        <w:rPr>
          <w:rFonts w:ascii="Arial"/>
          <w:b/>
          <w:spacing w:val="-2"/>
          <w:sz w:val="18"/>
        </w:rPr>
        <w:t> Portfolio</w:t>
      </w:r>
    </w:p>
    <w:p>
      <w:pPr>
        <w:spacing w:before="13"/>
        <w:ind w:left="720" w:right="0" w:firstLine="0"/>
        <w:jc w:val="left"/>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94"/>
        <w:ind w:left="720" w:right="0" w:firstLine="0"/>
        <w:jc w:val="left"/>
        <w:rPr>
          <w:rFonts w:ascii="Arial"/>
          <w:b/>
          <w:sz w:val="18"/>
        </w:rPr>
      </w:pPr>
      <w:r>
        <w:rPr/>
        <w:br w:type="column"/>
      </w:r>
      <w:r>
        <w:rPr>
          <w:rFonts w:ascii="Arial"/>
          <w:b/>
          <w:sz w:val="18"/>
        </w:rPr>
        <w:t>Figure</w:t>
      </w:r>
      <w:r>
        <w:rPr>
          <w:rFonts w:ascii="Arial"/>
          <w:b/>
          <w:spacing w:val="-3"/>
          <w:sz w:val="18"/>
        </w:rPr>
        <w:t> </w:t>
      </w:r>
      <w:r>
        <w:rPr>
          <w:rFonts w:ascii="Arial"/>
          <w:b/>
          <w:sz w:val="18"/>
        </w:rPr>
        <w:t>7:</w:t>
      </w:r>
      <w:r>
        <w:rPr>
          <w:rFonts w:ascii="Arial"/>
          <w:b/>
          <w:spacing w:val="-3"/>
          <w:sz w:val="18"/>
        </w:rPr>
        <w:t> </w:t>
      </w:r>
      <w:r>
        <w:rPr>
          <w:rFonts w:ascii="Arial"/>
          <w:b/>
          <w:sz w:val="18"/>
        </w:rPr>
        <w:t>Investment</w:t>
      </w:r>
      <w:r>
        <w:rPr>
          <w:rFonts w:ascii="Arial"/>
          <w:b/>
          <w:spacing w:val="-3"/>
          <w:sz w:val="18"/>
        </w:rPr>
        <w:t> </w:t>
      </w:r>
      <w:r>
        <w:rPr>
          <w:rFonts w:ascii="Arial"/>
          <w:b/>
          <w:sz w:val="18"/>
        </w:rPr>
        <w:t>Revenue,</w:t>
      </w:r>
      <w:r>
        <w:rPr>
          <w:rFonts w:ascii="Arial"/>
          <w:b/>
          <w:spacing w:val="-3"/>
          <w:sz w:val="18"/>
        </w:rPr>
        <w:t> </w:t>
      </w:r>
      <w:r>
        <w:rPr>
          <w:rFonts w:ascii="Arial"/>
          <w:b/>
          <w:spacing w:val="-5"/>
          <w:sz w:val="18"/>
        </w:rPr>
        <w:t>net</w:t>
      </w:r>
    </w:p>
    <w:p>
      <w:pPr>
        <w:spacing w:before="13"/>
        <w:ind w:left="720" w:right="0" w:firstLine="0"/>
        <w:jc w:val="left"/>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left"/>
        <w:rPr>
          <w:rFonts w:ascii="Arial"/>
          <w:i/>
          <w:sz w:val="16"/>
        </w:rPr>
        <w:sectPr>
          <w:type w:val="continuous"/>
          <w:pgSz w:w="12240" w:h="15840"/>
          <w:pgMar w:header="744" w:footer="583" w:top="1820" w:bottom="280" w:left="720" w:right="720"/>
          <w:cols w:num="2" w:equalWidth="0">
            <w:col w:w="3651" w:space="1389"/>
            <w:col w:w="5760"/>
          </w:cols>
        </w:sectPr>
      </w:pPr>
    </w:p>
    <w:p>
      <w:pPr>
        <w:pStyle w:val="BodyText"/>
        <w:spacing w:before="6"/>
        <w:rPr>
          <w:rFonts w:ascii="Arial"/>
          <w:i/>
          <w:sz w:val="18"/>
        </w:rPr>
      </w:pPr>
    </w:p>
    <w:p>
      <w:pPr>
        <w:pStyle w:val="BodyText"/>
        <w:spacing w:after="0"/>
        <w:rPr>
          <w:rFonts w:ascii="Arial"/>
          <w:i/>
          <w:sz w:val="18"/>
        </w:rPr>
        <w:sectPr>
          <w:type w:val="continuous"/>
          <w:pgSz w:w="12240" w:h="15840"/>
          <w:pgMar w:header="744" w:footer="583" w:top="1820" w:bottom="280" w:left="720" w:right="720"/>
        </w:sectPr>
      </w:pPr>
    </w:p>
    <w:p>
      <w:pPr>
        <w:pStyle w:val="BodyText"/>
        <w:rPr>
          <w:rFonts w:ascii="Arial"/>
          <w:i/>
          <w:sz w:val="16"/>
        </w:rPr>
      </w:pPr>
    </w:p>
    <w:p>
      <w:pPr>
        <w:pStyle w:val="BodyText"/>
        <w:spacing w:before="12"/>
        <w:rPr>
          <w:rFonts w:ascii="Arial"/>
          <w:i/>
          <w:sz w:val="16"/>
        </w:rPr>
      </w:pPr>
    </w:p>
    <w:p>
      <w:pPr>
        <w:spacing w:before="0"/>
        <w:ind w:left="0" w:right="0"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58336">
                <wp:simplePos x="0" y="0"/>
                <wp:positionH relativeFrom="page">
                  <wp:posOffset>1181100</wp:posOffset>
                </wp:positionH>
                <wp:positionV relativeFrom="paragraph">
                  <wp:posOffset>-140270</wp:posOffset>
                </wp:positionV>
                <wp:extent cx="104775" cy="10477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104775" cy="104775"/>
                        </a:xfrm>
                        <a:custGeom>
                          <a:avLst/>
                          <a:gdLst/>
                          <a:ahLst/>
                          <a:cxnLst/>
                          <a:rect l="l" t="t" r="r" b="b"/>
                          <a:pathLst>
                            <a:path w="104775" h="104775">
                              <a:moveTo>
                                <a:pt x="104775" y="0"/>
                              </a:moveTo>
                              <a:lnTo>
                                <a:pt x="0" y="0"/>
                              </a:lnTo>
                              <a:lnTo>
                                <a:pt x="0" y="104775"/>
                              </a:lnTo>
                              <a:lnTo>
                                <a:pt x="104775" y="104775"/>
                              </a:lnTo>
                              <a:lnTo>
                                <a:pt x="104775"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93pt;margin-top:-11.044912pt;width:8.25pt;height:8.25pt;mso-position-horizontal-relative:page;mso-position-vertical-relative:paragraph;z-index:15758336" id="docshape129" filled="true" fillcolor="#dadada" stroked="false">
                <v:fill type="solid"/>
                <w10:wrap type="none"/>
              </v:rect>
            </w:pict>
          </mc:Fallback>
        </mc:AlternateContent>
      </w:r>
      <w:r>
        <w:rPr>
          <w:rFonts w:ascii="Arial MT"/>
          <w:spacing w:val="-5"/>
          <w:sz w:val="16"/>
        </w:rPr>
        <w:t>100</w:t>
      </w:r>
    </w:p>
    <w:p>
      <w:pPr>
        <w:pStyle w:val="BodyText"/>
        <w:spacing w:before="22"/>
        <w:rPr>
          <w:rFonts w:ascii="Arial MT"/>
          <w:sz w:val="16"/>
        </w:rPr>
      </w:pPr>
    </w:p>
    <w:p>
      <w:pPr>
        <w:spacing w:before="0"/>
        <w:ind w:left="0" w:right="0" w:firstLine="0"/>
        <w:jc w:val="right"/>
        <w:rPr>
          <w:rFonts w:ascii="Arial MT"/>
          <w:sz w:val="16"/>
        </w:rPr>
      </w:pPr>
      <w:r>
        <w:rPr>
          <w:rFonts w:ascii="Arial MT"/>
          <w:spacing w:val="-5"/>
          <w:sz w:val="16"/>
        </w:rPr>
        <w:t>80</w:t>
      </w:r>
    </w:p>
    <w:p>
      <w:pPr>
        <w:pStyle w:val="BodyText"/>
        <w:spacing w:before="22"/>
        <w:rPr>
          <w:rFonts w:ascii="Arial MT"/>
          <w:sz w:val="16"/>
        </w:rPr>
      </w:pPr>
    </w:p>
    <w:p>
      <w:pPr>
        <w:spacing w:before="0"/>
        <w:ind w:left="0" w:right="0" w:firstLine="0"/>
        <w:jc w:val="right"/>
        <w:rPr>
          <w:rFonts w:ascii="Arial MT"/>
          <w:sz w:val="16"/>
        </w:rPr>
      </w:pPr>
      <w:r>
        <w:rPr>
          <w:rFonts w:ascii="Arial MT"/>
          <w:spacing w:val="-5"/>
          <w:sz w:val="16"/>
        </w:rPr>
        <w:t>60</w:t>
      </w:r>
    </w:p>
    <w:p>
      <w:pPr>
        <w:pStyle w:val="BodyText"/>
        <w:spacing w:before="37"/>
        <w:rPr>
          <w:rFonts w:ascii="Arial MT"/>
          <w:sz w:val="16"/>
        </w:rPr>
      </w:pPr>
    </w:p>
    <w:p>
      <w:pPr>
        <w:spacing w:before="0"/>
        <w:ind w:left="0" w:right="0" w:firstLine="0"/>
        <w:jc w:val="right"/>
        <w:rPr>
          <w:rFonts w:ascii="Arial MT"/>
          <w:sz w:val="16"/>
        </w:rPr>
      </w:pPr>
      <w:r>
        <w:rPr>
          <w:rFonts w:ascii="Arial MT"/>
          <w:spacing w:val="-5"/>
          <w:sz w:val="16"/>
        </w:rPr>
        <w:t>40</w:t>
      </w:r>
    </w:p>
    <w:p>
      <w:pPr>
        <w:pStyle w:val="BodyText"/>
        <w:spacing w:before="22"/>
        <w:rPr>
          <w:rFonts w:ascii="Arial MT"/>
          <w:sz w:val="16"/>
        </w:rPr>
      </w:pPr>
    </w:p>
    <w:p>
      <w:pPr>
        <w:spacing w:before="0"/>
        <w:ind w:left="0" w:right="0" w:firstLine="0"/>
        <w:jc w:val="right"/>
        <w:rPr>
          <w:rFonts w:ascii="Arial MT"/>
          <w:sz w:val="16"/>
        </w:rPr>
      </w:pPr>
      <w:r>
        <w:rPr>
          <w:rFonts w:ascii="Arial MT"/>
          <w:spacing w:val="-5"/>
          <w:sz w:val="16"/>
        </w:rPr>
        <w:t>20</w:t>
      </w:r>
    </w:p>
    <w:p>
      <w:pPr>
        <w:spacing w:before="154"/>
        <w:ind w:left="139" w:right="0" w:firstLine="0"/>
        <w:jc w:val="left"/>
        <w:rPr>
          <w:rFonts w:ascii="Arial MT"/>
          <w:position w:val="2"/>
          <w:sz w:val="16"/>
        </w:rPr>
      </w:pPr>
      <w:r>
        <w:rPr/>
        <w:br w:type="column"/>
      </w:r>
      <w:r>
        <w:rPr>
          <w:rFonts w:ascii="Arial MT"/>
          <w:color w:val="585858"/>
          <w:position w:val="2"/>
          <w:sz w:val="16"/>
        </w:rPr>
        <w:t>Liquid</w:t>
      </w:r>
      <w:r>
        <w:rPr>
          <w:rFonts w:ascii="Arial MT"/>
          <w:color w:val="585858"/>
          <w:spacing w:val="-3"/>
          <w:position w:val="2"/>
          <w:sz w:val="16"/>
        </w:rPr>
        <w:t> </w:t>
      </w:r>
      <w:r>
        <w:rPr>
          <w:rFonts w:ascii="Arial MT"/>
          <w:color w:val="585858"/>
          <w:position w:val="2"/>
          <w:sz w:val="16"/>
        </w:rPr>
        <w:t>asset</w:t>
      </w:r>
      <w:r>
        <w:rPr>
          <w:rFonts w:ascii="Arial MT"/>
          <w:color w:val="585858"/>
          <w:spacing w:val="-2"/>
          <w:position w:val="2"/>
          <w:sz w:val="16"/>
        </w:rPr>
        <w:t> </w:t>
      </w:r>
      <w:r>
        <w:rPr>
          <w:rFonts w:ascii="Arial MT"/>
          <w:color w:val="585858"/>
          <w:position w:val="2"/>
          <w:sz w:val="16"/>
        </w:rPr>
        <w:t>portfolio</w:t>
      </w:r>
      <w:r>
        <w:rPr>
          <w:rFonts w:ascii="Arial MT"/>
          <w:color w:val="585858"/>
          <w:spacing w:val="49"/>
          <w:position w:val="2"/>
          <w:sz w:val="16"/>
        </w:rPr>
        <w:t>  </w:t>
      </w:r>
      <w:r>
        <w:rPr>
          <w:rFonts w:ascii="Arial MT"/>
          <w:color w:val="585858"/>
          <w:spacing w:val="19"/>
          <w:sz w:val="16"/>
        </w:rPr>
        <w:drawing>
          <wp:inline distT="0" distB="0" distL="0" distR="0">
            <wp:extent cx="104775" cy="104775"/>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26" cstate="print"/>
                    <a:stretch>
                      <a:fillRect/>
                    </a:stretch>
                  </pic:blipFill>
                  <pic:spPr>
                    <a:xfrm>
                      <a:off x="0" y="0"/>
                      <a:ext cx="104775" cy="104775"/>
                    </a:xfrm>
                    <a:prstGeom prst="rect">
                      <a:avLst/>
                    </a:prstGeom>
                  </pic:spPr>
                </pic:pic>
              </a:graphicData>
            </a:graphic>
          </wp:inline>
        </w:drawing>
      </w:r>
      <w:r>
        <w:rPr>
          <w:rFonts w:ascii="Arial MT"/>
          <w:color w:val="585858"/>
          <w:spacing w:val="19"/>
          <w:sz w:val="16"/>
        </w:rPr>
      </w:r>
      <w:r>
        <w:rPr>
          <w:color w:val="585858"/>
          <w:position w:val="2"/>
          <w:sz w:val="16"/>
        </w:rPr>
        <w:t> </w:t>
      </w:r>
      <w:r>
        <w:rPr>
          <w:rFonts w:ascii="Arial MT"/>
          <w:color w:val="585858"/>
          <w:position w:val="2"/>
          <w:sz w:val="16"/>
        </w:rPr>
        <w:t>Other</w:t>
      </w:r>
      <w:r>
        <w:rPr>
          <w:rFonts w:ascii="Arial MT"/>
          <w:color w:val="585858"/>
          <w:spacing w:val="-2"/>
          <w:position w:val="2"/>
          <w:sz w:val="16"/>
        </w:rPr>
        <w:t> </w:t>
      </w:r>
      <w:r>
        <w:rPr>
          <w:rFonts w:ascii="Arial MT"/>
          <w:color w:val="585858"/>
          <w:position w:val="2"/>
          <w:sz w:val="16"/>
        </w:rPr>
        <w:t>investments</w:t>
      </w:r>
      <w:r>
        <w:rPr>
          <w:rFonts w:ascii="Arial MT"/>
          <w:color w:val="585858"/>
          <w:spacing w:val="-2"/>
          <w:position w:val="2"/>
          <w:sz w:val="16"/>
        </w:rPr>
        <w:t> portfolio</w:t>
      </w:r>
    </w:p>
    <w:p>
      <w:pPr>
        <w:spacing w:before="95"/>
        <w:ind w:left="0" w:right="4557" w:firstLine="0"/>
        <w:jc w:val="right"/>
        <w:rPr>
          <w:rFonts w:ascii="Arial MT"/>
          <w:sz w:val="16"/>
        </w:rPr>
      </w:pPr>
      <w:r>
        <w:rPr/>
        <w:br w:type="column"/>
      </w:r>
      <w:r>
        <w:rPr>
          <w:rFonts w:ascii="Arial MT"/>
          <w:spacing w:val="-5"/>
          <w:sz w:val="16"/>
        </w:rPr>
        <w:t>250</w:t>
      </w:r>
    </w:p>
    <w:p>
      <w:pPr>
        <w:pStyle w:val="BodyText"/>
        <w:spacing w:before="7"/>
        <w:rPr>
          <w:rFonts w:ascii="Arial MT"/>
          <w:sz w:val="16"/>
        </w:rPr>
      </w:pPr>
    </w:p>
    <w:p>
      <w:pPr>
        <w:spacing w:before="0"/>
        <w:ind w:left="0" w:right="455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57824">
                <wp:simplePos x="0" y="0"/>
                <wp:positionH relativeFrom="page">
                  <wp:posOffset>1352550</wp:posOffset>
                </wp:positionH>
                <wp:positionV relativeFrom="paragraph">
                  <wp:posOffset>-6920</wp:posOffset>
                </wp:positionV>
                <wp:extent cx="2514600" cy="130492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2514600" cy="1304925"/>
                          <a:chExt cx="2514600" cy="1304925"/>
                        </a:xfrm>
                      </wpg:grpSpPr>
                      <wps:wsp>
                        <wps:cNvPr id="168" name="Graphic 168"/>
                        <wps:cNvSpPr/>
                        <wps:spPr>
                          <a:xfrm>
                            <a:off x="4762" y="0"/>
                            <a:ext cx="2085975" cy="1304925"/>
                          </a:xfrm>
                          <a:custGeom>
                            <a:avLst/>
                            <a:gdLst/>
                            <a:ahLst/>
                            <a:cxnLst/>
                            <a:rect l="l" t="t" r="r" b="b"/>
                            <a:pathLst>
                              <a:path w="2085975" h="1304925">
                                <a:moveTo>
                                  <a:pt x="419100" y="1247775"/>
                                </a:moveTo>
                                <a:lnTo>
                                  <a:pt x="419100" y="1304925"/>
                                </a:lnTo>
                              </a:path>
                              <a:path w="2085975" h="1304925">
                                <a:moveTo>
                                  <a:pt x="1257300" y="1247775"/>
                                </a:moveTo>
                                <a:lnTo>
                                  <a:pt x="1257300" y="1304925"/>
                                </a:lnTo>
                              </a:path>
                              <a:path w="2085975" h="1304925">
                                <a:moveTo>
                                  <a:pt x="2085975" y="1247775"/>
                                </a:moveTo>
                                <a:lnTo>
                                  <a:pt x="2085975" y="1304925"/>
                                </a:lnTo>
                              </a:path>
                              <a:path w="2085975" h="1304925">
                                <a:moveTo>
                                  <a:pt x="0" y="0"/>
                                </a:moveTo>
                                <a:lnTo>
                                  <a:pt x="0" y="1247775"/>
                                </a:lnTo>
                              </a:path>
                            </a:pathLst>
                          </a:custGeom>
                          <a:ln w="9525">
                            <a:solidFill>
                              <a:srgbClr val="8A8A8A"/>
                            </a:solidFill>
                            <a:prstDash val="solid"/>
                          </a:ln>
                        </wps:spPr>
                        <wps:bodyPr wrap="square" lIns="0" tIns="0" rIns="0" bIns="0" rtlCol="0">
                          <a:prstTxWarp prst="textNoShape">
                            <a:avLst/>
                          </a:prstTxWarp>
                          <a:noAutofit/>
                        </wps:bodyPr>
                      </wps:wsp>
                      <wps:wsp>
                        <wps:cNvPr id="169" name="Graphic 169"/>
                        <wps:cNvSpPr/>
                        <wps:spPr>
                          <a:xfrm>
                            <a:off x="9525" y="1252537"/>
                            <a:ext cx="2505075" cy="1270"/>
                          </a:xfrm>
                          <a:custGeom>
                            <a:avLst/>
                            <a:gdLst/>
                            <a:ahLst/>
                            <a:cxnLst/>
                            <a:rect l="l" t="t" r="r" b="b"/>
                            <a:pathLst>
                              <a:path w="2505075" h="0">
                                <a:moveTo>
                                  <a:pt x="0" y="0"/>
                                </a:moveTo>
                                <a:lnTo>
                                  <a:pt x="2505075" y="0"/>
                                </a:lnTo>
                              </a:path>
                            </a:pathLst>
                          </a:custGeom>
                          <a:ln w="9525">
                            <a:solidFill>
                              <a:srgbClr val="000000"/>
                            </a:solidFill>
                            <a:prstDash val="solid"/>
                          </a:ln>
                        </wps:spPr>
                        <wps:bodyPr wrap="square" lIns="0" tIns="0" rIns="0" bIns="0" rtlCol="0">
                          <a:prstTxWarp prst="textNoShape">
                            <a:avLst/>
                          </a:prstTxWarp>
                          <a:noAutofit/>
                        </wps:bodyPr>
                      </wps:wsp>
                      <wps:wsp>
                        <wps:cNvPr id="170" name="Graphic 170"/>
                        <wps:cNvSpPr/>
                        <wps:spPr>
                          <a:xfrm>
                            <a:off x="1896681" y="314324"/>
                            <a:ext cx="409575" cy="933450"/>
                          </a:xfrm>
                          <a:custGeom>
                            <a:avLst/>
                            <a:gdLst/>
                            <a:ahLst/>
                            <a:cxnLst/>
                            <a:rect l="l" t="t" r="r" b="b"/>
                            <a:pathLst>
                              <a:path w="409575" h="933450">
                                <a:moveTo>
                                  <a:pt x="409575" y="0"/>
                                </a:moveTo>
                                <a:lnTo>
                                  <a:pt x="0" y="0"/>
                                </a:lnTo>
                                <a:lnTo>
                                  <a:pt x="0" y="933450"/>
                                </a:lnTo>
                                <a:lnTo>
                                  <a:pt x="409575" y="933450"/>
                                </a:lnTo>
                                <a:lnTo>
                                  <a:pt x="409575" y="0"/>
                                </a:lnTo>
                                <a:close/>
                              </a:path>
                            </a:pathLst>
                          </a:custGeom>
                          <a:solidFill>
                            <a:srgbClr val="DADADA"/>
                          </a:solidFill>
                        </wps:spPr>
                        <wps:bodyPr wrap="square" lIns="0" tIns="0" rIns="0" bIns="0" rtlCol="0">
                          <a:prstTxWarp prst="textNoShape">
                            <a:avLst/>
                          </a:prstTxWarp>
                          <a:noAutofit/>
                        </wps:bodyPr>
                      </wps:wsp>
                      <wps:wsp>
                        <wps:cNvPr id="171" name="Graphic 171"/>
                        <wps:cNvSpPr/>
                        <wps:spPr>
                          <a:xfrm>
                            <a:off x="226631" y="190512"/>
                            <a:ext cx="2079625" cy="123825"/>
                          </a:xfrm>
                          <a:custGeom>
                            <a:avLst/>
                            <a:gdLst/>
                            <a:ahLst/>
                            <a:cxnLst/>
                            <a:rect l="l" t="t" r="r" b="b"/>
                            <a:pathLst>
                              <a:path w="2079625" h="123825">
                                <a:moveTo>
                                  <a:pt x="409575" y="0"/>
                                </a:moveTo>
                                <a:lnTo>
                                  <a:pt x="0" y="0"/>
                                </a:lnTo>
                                <a:lnTo>
                                  <a:pt x="0" y="38100"/>
                                </a:lnTo>
                                <a:lnTo>
                                  <a:pt x="409575" y="38100"/>
                                </a:lnTo>
                                <a:lnTo>
                                  <a:pt x="409575" y="0"/>
                                </a:lnTo>
                                <a:close/>
                              </a:path>
                              <a:path w="2079625" h="123825">
                                <a:moveTo>
                                  <a:pt x="1244600" y="47625"/>
                                </a:moveTo>
                                <a:lnTo>
                                  <a:pt x="835025" y="47625"/>
                                </a:lnTo>
                                <a:lnTo>
                                  <a:pt x="835025" y="85725"/>
                                </a:lnTo>
                                <a:lnTo>
                                  <a:pt x="1244600" y="85725"/>
                                </a:lnTo>
                                <a:lnTo>
                                  <a:pt x="1244600" y="47625"/>
                                </a:lnTo>
                                <a:close/>
                              </a:path>
                              <a:path w="2079625" h="123825">
                                <a:moveTo>
                                  <a:pt x="2079625" y="76200"/>
                                </a:moveTo>
                                <a:lnTo>
                                  <a:pt x="1670050" y="76200"/>
                                </a:lnTo>
                                <a:lnTo>
                                  <a:pt x="1670050" y="123825"/>
                                </a:lnTo>
                                <a:lnTo>
                                  <a:pt x="2079625" y="123825"/>
                                </a:lnTo>
                                <a:lnTo>
                                  <a:pt x="2079625" y="76200"/>
                                </a:lnTo>
                                <a:close/>
                              </a:path>
                            </a:pathLst>
                          </a:custGeom>
                          <a:solidFill>
                            <a:srgbClr val="242424"/>
                          </a:solidFill>
                        </wps:spPr>
                        <wps:bodyPr wrap="square" lIns="0" tIns="0" rIns="0" bIns="0" rtlCol="0">
                          <a:prstTxWarp prst="textNoShape">
                            <a:avLst/>
                          </a:prstTxWarp>
                          <a:noAutofit/>
                        </wps:bodyPr>
                      </wps:wsp>
                      <wps:wsp>
                        <wps:cNvPr id="172" name="Textbox 172"/>
                        <wps:cNvSpPr txBox="1"/>
                        <wps:spPr>
                          <a:xfrm>
                            <a:off x="400050" y="77188"/>
                            <a:ext cx="69215"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10"/>
                                  <w:sz w:val="16"/>
                                </w:rPr>
                                <w:t>3</w:t>
                              </w:r>
                            </w:p>
                          </w:txbxContent>
                        </wps:txbx>
                        <wps:bodyPr wrap="square" lIns="0" tIns="0" rIns="0" bIns="0" rtlCol="0">
                          <a:noAutofit/>
                        </wps:bodyPr>
                      </wps:wsp>
                      <wps:wsp>
                        <wps:cNvPr id="173" name="Textbox 173"/>
                        <wps:cNvSpPr txBox="1"/>
                        <wps:spPr>
                          <a:xfrm>
                            <a:off x="1228725" y="124813"/>
                            <a:ext cx="69215"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10"/>
                                  <w:sz w:val="16"/>
                                </w:rPr>
                                <w:t>3</w:t>
                              </w:r>
                            </w:p>
                          </w:txbxContent>
                        </wps:txbx>
                        <wps:bodyPr wrap="square" lIns="0" tIns="0" rIns="0" bIns="0" rtlCol="0">
                          <a:noAutofit/>
                        </wps:bodyPr>
                      </wps:wsp>
                      <wps:wsp>
                        <wps:cNvPr id="174" name="Textbox 174"/>
                        <wps:cNvSpPr txBox="1"/>
                        <wps:spPr>
                          <a:xfrm>
                            <a:off x="2066925" y="162913"/>
                            <a:ext cx="69215"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10"/>
                                  <w:sz w:val="16"/>
                                </w:rPr>
                                <w:t>4</w:t>
                              </w:r>
                            </w:p>
                          </w:txbxContent>
                        </wps:txbx>
                        <wps:bodyPr wrap="square" lIns="0" tIns="0" rIns="0" bIns="0" rtlCol="0">
                          <a:noAutofit/>
                        </wps:bodyPr>
                      </wps:wsp>
                      <wps:wsp>
                        <wps:cNvPr id="175" name="Textbox 175"/>
                        <wps:cNvSpPr txBox="1"/>
                        <wps:spPr>
                          <a:xfrm>
                            <a:off x="2038350" y="734413"/>
                            <a:ext cx="125730" cy="113664"/>
                          </a:xfrm>
                          <a:prstGeom prst="rect">
                            <a:avLst/>
                          </a:prstGeom>
                        </wps:spPr>
                        <wps:txbx>
                          <w:txbxContent>
                            <w:p>
                              <w:pPr>
                                <w:spacing w:line="179" w:lineRule="exact" w:before="0"/>
                                <w:ind w:left="0" w:right="0" w:firstLine="0"/>
                                <w:jc w:val="left"/>
                                <w:rPr>
                                  <w:rFonts w:ascii="Arial MT"/>
                                  <w:sz w:val="16"/>
                                </w:rPr>
                              </w:pPr>
                              <w:r>
                                <w:rPr>
                                  <w:rFonts w:ascii="Arial MT"/>
                                  <w:spacing w:val="-5"/>
                                  <w:sz w:val="16"/>
                                </w:rPr>
                                <w:t>75</w:t>
                              </w:r>
                            </w:p>
                          </w:txbxContent>
                        </wps:txbx>
                        <wps:bodyPr wrap="square" lIns="0" tIns="0" rIns="0" bIns="0" rtlCol="0">
                          <a:noAutofit/>
                        </wps:bodyPr>
                      </wps:wsp>
                      <wps:wsp>
                        <wps:cNvPr id="176" name="Textbox 176"/>
                        <wps:cNvSpPr txBox="1"/>
                        <wps:spPr>
                          <a:xfrm>
                            <a:off x="226631" y="228599"/>
                            <a:ext cx="409575" cy="1019175"/>
                          </a:xfrm>
                          <a:prstGeom prst="rect">
                            <a:avLst/>
                          </a:prstGeom>
                          <a:solidFill>
                            <a:srgbClr val="DADADA"/>
                          </a:solidFill>
                        </wps:spPr>
                        <wps:txbx>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79"/>
                                <w:rPr>
                                  <w:rFonts w:ascii="Arial"/>
                                  <w:b/>
                                  <w:color w:val="000000"/>
                                  <w:sz w:val="16"/>
                                </w:rPr>
                              </w:pPr>
                            </w:p>
                            <w:p>
                              <w:pPr>
                                <w:spacing w:before="0"/>
                                <w:ind w:left="20" w:right="28" w:firstLine="0"/>
                                <w:jc w:val="center"/>
                                <w:rPr>
                                  <w:rFonts w:ascii="Arial MT"/>
                                  <w:color w:val="000000"/>
                                  <w:sz w:val="16"/>
                                </w:rPr>
                              </w:pPr>
                              <w:r>
                                <w:rPr>
                                  <w:rFonts w:ascii="Arial MT"/>
                                  <w:color w:val="000000"/>
                                  <w:spacing w:val="-5"/>
                                  <w:sz w:val="16"/>
                                </w:rPr>
                                <w:t>83</w:t>
                              </w:r>
                            </w:p>
                          </w:txbxContent>
                        </wps:txbx>
                        <wps:bodyPr wrap="square" lIns="0" tIns="0" rIns="0" bIns="0" rtlCol="0">
                          <a:noAutofit/>
                        </wps:bodyPr>
                      </wps:wsp>
                      <wps:wsp>
                        <wps:cNvPr id="177" name="Textbox 177"/>
                        <wps:cNvSpPr txBox="1"/>
                        <wps:spPr>
                          <a:xfrm>
                            <a:off x="1061656" y="252412"/>
                            <a:ext cx="409575" cy="995680"/>
                          </a:xfrm>
                          <a:prstGeom prst="rect">
                            <a:avLst/>
                          </a:prstGeom>
                          <a:solidFill>
                            <a:srgbClr val="DADADA"/>
                          </a:solidFill>
                        </wps:spPr>
                        <wps:txbx>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71"/>
                                <w:rPr>
                                  <w:rFonts w:ascii="Arial"/>
                                  <w:b/>
                                  <w:color w:val="000000"/>
                                  <w:sz w:val="16"/>
                                </w:rPr>
                              </w:pPr>
                            </w:p>
                            <w:p>
                              <w:pPr>
                                <w:spacing w:before="1"/>
                                <w:ind w:left="0" w:right="28" w:firstLine="0"/>
                                <w:jc w:val="center"/>
                                <w:rPr>
                                  <w:rFonts w:ascii="Arial MT"/>
                                  <w:color w:val="000000"/>
                                  <w:sz w:val="16"/>
                                </w:rPr>
                              </w:pPr>
                              <w:r>
                                <w:rPr>
                                  <w:rFonts w:ascii="Arial MT"/>
                                  <w:color w:val="000000"/>
                                  <w:spacing w:val="-5"/>
                                  <w:sz w:val="16"/>
                                </w:rPr>
                                <w:t>79</w:t>
                              </w:r>
                            </w:p>
                          </w:txbxContent>
                        </wps:txbx>
                        <wps:bodyPr wrap="square" lIns="0" tIns="0" rIns="0" bIns="0" rtlCol="0">
                          <a:noAutofit/>
                        </wps:bodyPr>
                      </wps:wsp>
                    </wpg:wgp>
                  </a:graphicData>
                </a:graphic>
              </wp:anchor>
            </w:drawing>
          </mc:Choice>
          <mc:Fallback>
            <w:pict>
              <v:group style="position:absolute;margin-left:106.5pt;margin-top:-.544912pt;width:198pt;height:102.75pt;mso-position-horizontal-relative:page;mso-position-vertical-relative:paragraph;z-index:15757824" id="docshapegroup130" coordorigin="2130,-11" coordsize="3960,2055">
                <v:shape style="position:absolute;left:2137;top:-11;width:3285;height:2055" id="docshape131" coordorigin="2138,-11" coordsize="3285,2055" path="m2798,1954l2798,2044m4118,1954l4118,2044m5423,1954l5423,2044m2138,-11l2138,1954e" filled="false" stroked="true" strokeweight=".75pt" strokecolor="#8a8a8a">
                  <v:path arrowok="t"/>
                  <v:stroke dashstyle="solid"/>
                </v:shape>
                <v:line style="position:absolute" from="2145,1962" to="6090,1962" stroked="true" strokeweight=".75pt" strokecolor="#000000">
                  <v:stroke dashstyle="solid"/>
                </v:line>
                <v:rect style="position:absolute;left:5116;top:484;width:645;height:1470" id="docshape132" filled="true" fillcolor="#dadada" stroked="false">
                  <v:fill type="solid"/>
                </v:rect>
                <v:shape style="position:absolute;left:2486;top:289;width:3275;height:195" id="docshape133" coordorigin="2487,289" coordsize="3275,195" path="m3132,289l2487,289,2487,349,3132,349,3132,289xm4447,364l3802,364,3802,424,4447,424,4447,364xm5762,409l5117,409,5117,484,5762,484,5762,409xe" filled="true" fillcolor="#242424" stroked="false">
                  <v:path arrowok="t"/>
                  <v:fill type="solid"/>
                </v:shape>
                <v:shape style="position:absolute;left:2760;top:110;width:109;height:179" type="#_x0000_t202" id="docshape134" filled="false" stroked="false">
                  <v:textbox inset="0,0,0,0">
                    <w:txbxContent>
                      <w:p>
                        <w:pPr>
                          <w:spacing w:line="179" w:lineRule="exact" w:before="0"/>
                          <w:ind w:left="0" w:right="0" w:firstLine="0"/>
                          <w:jc w:val="left"/>
                          <w:rPr>
                            <w:rFonts w:ascii="Arial MT"/>
                            <w:sz w:val="16"/>
                          </w:rPr>
                        </w:pPr>
                        <w:r>
                          <w:rPr>
                            <w:rFonts w:ascii="Arial MT"/>
                            <w:color w:val="585858"/>
                            <w:spacing w:val="-10"/>
                            <w:sz w:val="16"/>
                          </w:rPr>
                          <w:t>3</w:t>
                        </w:r>
                      </w:p>
                    </w:txbxContent>
                  </v:textbox>
                  <w10:wrap type="none"/>
                </v:shape>
                <v:shape style="position:absolute;left:4065;top:185;width:109;height:179" type="#_x0000_t202" id="docshape135" filled="false" stroked="false">
                  <v:textbox inset="0,0,0,0">
                    <w:txbxContent>
                      <w:p>
                        <w:pPr>
                          <w:spacing w:line="179" w:lineRule="exact" w:before="0"/>
                          <w:ind w:left="0" w:right="0" w:firstLine="0"/>
                          <w:jc w:val="left"/>
                          <w:rPr>
                            <w:rFonts w:ascii="Arial MT"/>
                            <w:sz w:val="16"/>
                          </w:rPr>
                        </w:pPr>
                        <w:r>
                          <w:rPr>
                            <w:rFonts w:ascii="Arial MT"/>
                            <w:color w:val="585858"/>
                            <w:spacing w:val="-10"/>
                            <w:sz w:val="16"/>
                          </w:rPr>
                          <w:t>3</w:t>
                        </w:r>
                      </w:p>
                    </w:txbxContent>
                  </v:textbox>
                  <w10:wrap type="none"/>
                </v:shape>
                <v:shape style="position:absolute;left:5385;top:245;width:109;height:179" type="#_x0000_t202" id="docshape136" filled="false" stroked="false">
                  <v:textbox inset="0,0,0,0">
                    <w:txbxContent>
                      <w:p>
                        <w:pPr>
                          <w:spacing w:line="179" w:lineRule="exact" w:before="0"/>
                          <w:ind w:left="0" w:right="0" w:firstLine="0"/>
                          <w:jc w:val="left"/>
                          <w:rPr>
                            <w:rFonts w:ascii="Arial MT"/>
                            <w:sz w:val="16"/>
                          </w:rPr>
                        </w:pPr>
                        <w:r>
                          <w:rPr>
                            <w:rFonts w:ascii="Arial MT"/>
                            <w:color w:val="585858"/>
                            <w:spacing w:val="-10"/>
                            <w:sz w:val="16"/>
                          </w:rPr>
                          <w:t>4</w:t>
                        </w:r>
                      </w:p>
                    </w:txbxContent>
                  </v:textbox>
                  <w10:wrap type="none"/>
                </v:shape>
                <v:shape style="position:absolute;left:5340;top:1145;width:198;height:179" type="#_x0000_t202" id="docshape137" filled="false" stroked="false">
                  <v:textbox inset="0,0,0,0">
                    <w:txbxContent>
                      <w:p>
                        <w:pPr>
                          <w:spacing w:line="179" w:lineRule="exact" w:before="0"/>
                          <w:ind w:left="0" w:right="0" w:firstLine="0"/>
                          <w:jc w:val="left"/>
                          <w:rPr>
                            <w:rFonts w:ascii="Arial MT"/>
                            <w:sz w:val="16"/>
                          </w:rPr>
                        </w:pPr>
                        <w:r>
                          <w:rPr>
                            <w:rFonts w:ascii="Arial MT"/>
                            <w:spacing w:val="-5"/>
                            <w:sz w:val="16"/>
                          </w:rPr>
                          <w:t>75</w:t>
                        </w:r>
                      </w:p>
                    </w:txbxContent>
                  </v:textbox>
                  <w10:wrap type="none"/>
                </v:shape>
                <v:shape style="position:absolute;left:2486;top:349;width:645;height:1605" type="#_x0000_t202" id="docshape138" filled="true" fillcolor="#dadada" stroked="false">
                  <v:textbox inset="0,0,0,0">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79"/>
                          <w:rPr>
                            <w:rFonts w:ascii="Arial"/>
                            <w:b/>
                            <w:color w:val="000000"/>
                            <w:sz w:val="16"/>
                          </w:rPr>
                        </w:pPr>
                      </w:p>
                      <w:p>
                        <w:pPr>
                          <w:spacing w:before="0"/>
                          <w:ind w:left="20" w:right="28" w:firstLine="0"/>
                          <w:jc w:val="center"/>
                          <w:rPr>
                            <w:rFonts w:ascii="Arial MT"/>
                            <w:color w:val="000000"/>
                            <w:sz w:val="16"/>
                          </w:rPr>
                        </w:pPr>
                        <w:r>
                          <w:rPr>
                            <w:rFonts w:ascii="Arial MT"/>
                            <w:color w:val="000000"/>
                            <w:spacing w:val="-5"/>
                            <w:sz w:val="16"/>
                          </w:rPr>
                          <w:t>83</w:t>
                        </w:r>
                      </w:p>
                    </w:txbxContent>
                  </v:textbox>
                  <v:fill type="solid"/>
                  <w10:wrap type="none"/>
                </v:shape>
                <v:shape style="position:absolute;left:3801;top:386;width:645;height:1568" type="#_x0000_t202" id="docshape139" filled="true" fillcolor="#dadada" stroked="false">
                  <v:textbox inset="0,0,0,0">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71"/>
                          <w:rPr>
                            <w:rFonts w:ascii="Arial"/>
                            <w:b/>
                            <w:color w:val="000000"/>
                            <w:sz w:val="16"/>
                          </w:rPr>
                        </w:pPr>
                      </w:p>
                      <w:p>
                        <w:pPr>
                          <w:spacing w:before="1"/>
                          <w:ind w:left="0" w:right="28" w:firstLine="0"/>
                          <w:jc w:val="center"/>
                          <w:rPr>
                            <w:rFonts w:ascii="Arial MT"/>
                            <w:color w:val="000000"/>
                            <w:sz w:val="16"/>
                          </w:rPr>
                        </w:pPr>
                        <w:r>
                          <w:rPr>
                            <w:rFonts w:ascii="Arial MT"/>
                            <w:color w:val="000000"/>
                            <w:spacing w:val="-5"/>
                            <w:sz w:val="16"/>
                          </w:rPr>
                          <w:t>79</w:t>
                        </w:r>
                      </w:p>
                    </w:txbxContent>
                  </v:textbox>
                  <v:fill type="solid"/>
                  <w10:wrap type="none"/>
                </v:shape>
                <w10:wrap type="none"/>
              </v:group>
            </w:pict>
          </mc:Fallback>
        </mc:AlternateContent>
      </w:r>
      <w:r>
        <w:rPr>
          <w:rFonts w:ascii="Arial MT"/>
          <w:sz w:val="16"/>
        </w:rPr>
        <mc:AlternateContent>
          <mc:Choice Requires="wps">
            <w:drawing>
              <wp:anchor distT="0" distB="0" distL="0" distR="0" allowOverlap="1" layoutInCell="1" locked="0" behindDoc="0" simplePos="0" relativeHeight="15758848">
                <wp:simplePos x="0" y="0"/>
                <wp:positionH relativeFrom="page">
                  <wp:posOffset>4572000</wp:posOffset>
                </wp:positionH>
                <wp:positionV relativeFrom="paragraph">
                  <wp:posOffset>50229</wp:posOffset>
                </wp:positionV>
                <wp:extent cx="2257425" cy="98107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257425" cy="981075"/>
                          <a:chExt cx="2257425" cy="981075"/>
                        </a:xfrm>
                      </wpg:grpSpPr>
                      <wps:wsp>
                        <wps:cNvPr id="179" name="Graphic 179"/>
                        <wps:cNvSpPr/>
                        <wps:spPr>
                          <a:xfrm>
                            <a:off x="0" y="4762"/>
                            <a:ext cx="2257425" cy="952500"/>
                          </a:xfrm>
                          <a:custGeom>
                            <a:avLst/>
                            <a:gdLst/>
                            <a:ahLst/>
                            <a:cxnLst/>
                            <a:rect l="l" t="t" r="r" b="b"/>
                            <a:pathLst>
                              <a:path w="2257425" h="952500">
                                <a:moveTo>
                                  <a:pt x="0" y="952500"/>
                                </a:moveTo>
                                <a:lnTo>
                                  <a:pt x="2257425" y="952500"/>
                                </a:lnTo>
                              </a:path>
                              <a:path w="2257425" h="952500">
                                <a:moveTo>
                                  <a:pt x="0" y="714375"/>
                                </a:moveTo>
                                <a:lnTo>
                                  <a:pt x="2257425" y="714375"/>
                                </a:lnTo>
                              </a:path>
                              <a:path w="2257425" h="952500">
                                <a:moveTo>
                                  <a:pt x="0" y="476250"/>
                                </a:moveTo>
                                <a:lnTo>
                                  <a:pt x="2257425" y="476250"/>
                                </a:lnTo>
                              </a:path>
                              <a:path w="2257425" h="952500">
                                <a:moveTo>
                                  <a:pt x="0" y="238125"/>
                                </a:moveTo>
                                <a:lnTo>
                                  <a:pt x="2257425" y="238125"/>
                                </a:lnTo>
                              </a:path>
                              <a:path w="2257425" h="952500">
                                <a:moveTo>
                                  <a:pt x="0" y="0"/>
                                </a:moveTo>
                                <a:lnTo>
                                  <a:pt x="2257425" y="0"/>
                                </a:lnTo>
                              </a:path>
                            </a:pathLst>
                          </a:custGeom>
                          <a:ln w="9525">
                            <a:solidFill>
                              <a:srgbClr val="E6E6E6"/>
                            </a:solidFill>
                            <a:prstDash val="solid"/>
                          </a:ln>
                        </wps:spPr>
                        <wps:bodyPr wrap="square" lIns="0" tIns="0" rIns="0" bIns="0" rtlCol="0">
                          <a:prstTxWarp prst="textNoShape">
                            <a:avLst/>
                          </a:prstTxWarp>
                          <a:noAutofit/>
                        </wps:bodyPr>
                      </wps:wsp>
                      <wps:wsp>
                        <wps:cNvPr id="180" name="Graphic 180"/>
                        <wps:cNvSpPr/>
                        <wps:spPr>
                          <a:xfrm>
                            <a:off x="225742" y="57150"/>
                            <a:ext cx="1805939" cy="909955"/>
                          </a:xfrm>
                          <a:custGeom>
                            <a:avLst/>
                            <a:gdLst/>
                            <a:ahLst/>
                            <a:cxnLst/>
                            <a:rect l="l" t="t" r="r" b="b"/>
                            <a:pathLst>
                              <a:path w="1805939" h="909955">
                                <a:moveTo>
                                  <a:pt x="0" y="338137"/>
                                </a:moveTo>
                                <a:lnTo>
                                  <a:pt x="451485" y="400050"/>
                                </a:lnTo>
                                <a:lnTo>
                                  <a:pt x="902970" y="485775"/>
                                </a:lnTo>
                                <a:lnTo>
                                  <a:pt x="1354455" y="909637"/>
                                </a:lnTo>
                                <a:lnTo>
                                  <a:pt x="1805940" y="0"/>
                                </a:lnTo>
                              </a:path>
                            </a:pathLst>
                          </a:custGeom>
                          <a:ln w="28575">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pt;margin-top:3.955088pt;width:177.75pt;height:77.25pt;mso-position-horizontal-relative:page;mso-position-vertical-relative:paragraph;z-index:15758848" id="docshapegroup140" coordorigin="7200,79" coordsize="3555,1545">
                <v:shape style="position:absolute;left:7200;top:86;width:3555;height:1500" id="docshape141" coordorigin="7200,87" coordsize="3555,1500" path="m7200,1587l10755,1587m7200,1212l10755,1212m7200,837l10755,837m7200,462l10755,462m7200,87l10755,87e" filled="false" stroked="true" strokeweight=".75pt" strokecolor="#e6e6e6">
                  <v:path arrowok="t"/>
                  <v:stroke dashstyle="solid"/>
                </v:shape>
                <v:shape style="position:absolute;left:7555;top:169;width:2844;height:1433" id="docshape142" coordorigin="7555,169" coordsize="2844,1433" path="m7555,702l8266,799,8977,934,9688,1602,10399,169e" filled="false" stroked="true" strokeweight="2.25pt" strokecolor="#494949">
                  <v:path arrowok="t"/>
                  <v:stroke dashstyle="solid"/>
                </v:shape>
                <w10:wrap type="none"/>
              </v:group>
            </w:pict>
          </mc:Fallback>
        </mc:AlternateContent>
      </w:r>
      <w:r>
        <w:rPr>
          <w:rFonts w:ascii="Arial MT"/>
          <w:sz w:val="16"/>
        </w:rPr>
        <mc:AlternateContent>
          <mc:Choice Requires="wps">
            <w:drawing>
              <wp:anchor distT="0" distB="0" distL="0" distR="0" allowOverlap="1" layoutInCell="1" locked="0" behindDoc="0" simplePos="0" relativeHeight="15759360">
                <wp:simplePos x="0" y="0"/>
                <wp:positionH relativeFrom="page">
                  <wp:posOffset>4572000</wp:posOffset>
                </wp:positionH>
                <wp:positionV relativeFrom="paragraph">
                  <wp:posOffset>-192657</wp:posOffset>
                </wp:positionV>
                <wp:extent cx="225742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257425" cy="1270"/>
                        </a:xfrm>
                        <a:custGeom>
                          <a:avLst/>
                          <a:gdLst/>
                          <a:ahLst/>
                          <a:cxnLst/>
                          <a:rect l="l" t="t" r="r" b="b"/>
                          <a:pathLst>
                            <a:path w="2257425" h="0">
                              <a:moveTo>
                                <a:pt x="0" y="0"/>
                              </a:moveTo>
                              <a:lnTo>
                                <a:pt x="22574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360pt,-15.169912pt" to="537.75pt,-15.169912pt" stroked="true" strokeweight=".75pt" strokecolor="#e6e6e6">
                <v:stroke dashstyle="solid"/>
                <w10:wrap type="none"/>
              </v:line>
            </w:pict>
          </mc:Fallback>
        </mc:AlternateContent>
      </w:r>
      <w:r>
        <w:rPr>
          <w:rFonts w:ascii="Arial MT"/>
          <w:spacing w:val="-5"/>
          <w:sz w:val="16"/>
        </w:rPr>
        <w:t>200</w:t>
      </w:r>
    </w:p>
    <w:p>
      <w:pPr>
        <w:pStyle w:val="BodyText"/>
        <w:spacing w:before="7"/>
        <w:rPr>
          <w:rFonts w:ascii="Arial MT"/>
          <w:sz w:val="16"/>
        </w:rPr>
      </w:pPr>
    </w:p>
    <w:p>
      <w:pPr>
        <w:spacing w:before="0"/>
        <w:ind w:left="0" w:right="4557" w:firstLine="0"/>
        <w:jc w:val="right"/>
        <w:rPr>
          <w:rFonts w:ascii="Arial MT"/>
          <w:sz w:val="16"/>
        </w:rPr>
      </w:pPr>
      <w:r>
        <w:rPr>
          <w:rFonts w:ascii="Arial MT"/>
          <w:spacing w:val="-5"/>
          <w:sz w:val="16"/>
        </w:rPr>
        <w:t>150</w:t>
      </w:r>
    </w:p>
    <w:p>
      <w:pPr>
        <w:pStyle w:val="BodyText"/>
        <w:spacing w:before="7"/>
        <w:rPr>
          <w:rFonts w:ascii="Arial MT"/>
          <w:sz w:val="16"/>
        </w:rPr>
      </w:pPr>
    </w:p>
    <w:p>
      <w:pPr>
        <w:spacing w:before="0"/>
        <w:ind w:left="0" w:right="4557" w:firstLine="0"/>
        <w:jc w:val="right"/>
        <w:rPr>
          <w:rFonts w:ascii="Arial MT"/>
          <w:sz w:val="16"/>
        </w:rPr>
      </w:pPr>
      <w:r>
        <w:rPr>
          <w:rFonts w:ascii="Arial MT"/>
          <w:spacing w:val="-5"/>
          <w:sz w:val="16"/>
        </w:rPr>
        <w:t>100</w:t>
      </w:r>
    </w:p>
    <w:p>
      <w:pPr>
        <w:pStyle w:val="BodyText"/>
        <w:spacing w:before="7"/>
        <w:rPr>
          <w:rFonts w:ascii="Arial MT"/>
          <w:sz w:val="16"/>
        </w:rPr>
      </w:pPr>
    </w:p>
    <w:p>
      <w:pPr>
        <w:spacing w:before="0"/>
        <w:ind w:left="0" w:right="4557" w:firstLine="0"/>
        <w:jc w:val="right"/>
        <w:rPr>
          <w:rFonts w:ascii="Arial MT"/>
          <w:sz w:val="16"/>
        </w:rPr>
      </w:pPr>
      <w:r>
        <w:rPr>
          <w:rFonts w:ascii="Arial MT"/>
          <w:spacing w:val="-5"/>
          <w:sz w:val="16"/>
        </w:rPr>
        <w:t>50</w:t>
      </w:r>
    </w:p>
    <w:p>
      <w:pPr>
        <w:pStyle w:val="BodyText"/>
        <w:spacing w:before="7"/>
        <w:rPr>
          <w:rFonts w:ascii="Arial MT"/>
          <w:sz w:val="16"/>
        </w:rPr>
      </w:pPr>
    </w:p>
    <w:p>
      <w:pPr>
        <w:spacing w:before="0"/>
        <w:ind w:left="0" w:right="4557" w:firstLine="0"/>
        <w:jc w:val="right"/>
        <w:rPr>
          <w:rFonts w:ascii="Arial MT"/>
          <w:sz w:val="16"/>
        </w:rPr>
      </w:pPr>
      <w:r>
        <w:rPr>
          <w:rFonts w:ascii="Arial MT"/>
          <w:spacing w:val="-10"/>
          <w:sz w:val="16"/>
        </w:rPr>
        <w:t>0</w:t>
      </w:r>
    </w:p>
    <w:p>
      <w:pPr>
        <w:spacing w:after="0"/>
        <w:jc w:val="right"/>
        <w:rPr>
          <w:rFonts w:ascii="Arial MT"/>
          <w:sz w:val="16"/>
        </w:rPr>
        <w:sectPr>
          <w:type w:val="continuous"/>
          <w:pgSz w:w="12240" w:h="15840"/>
          <w:pgMar w:header="744" w:footer="583" w:top="1820" w:bottom="280" w:left="720" w:right="720"/>
          <w:cols w:num="3" w:equalWidth="0">
            <w:col w:w="1186" w:space="40"/>
            <w:col w:w="3942" w:space="39"/>
            <w:col w:w="5593"/>
          </w:cols>
        </w:sectPr>
      </w:pPr>
    </w:p>
    <w:p>
      <w:pPr>
        <w:pStyle w:val="BodyText"/>
        <w:spacing w:before="7"/>
        <w:rPr>
          <w:rFonts w:ascii="Arial MT"/>
          <w:sz w:val="16"/>
        </w:rPr>
      </w:pPr>
    </w:p>
    <w:p>
      <w:pPr>
        <w:spacing w:before="0"/>
        <w:ind w:left="1096" w:right="0" w:firstLine="0"/>
        <w:jc w:val="left"/>
        <w:rPr>
          <w:rFonts w:ascii="Arial MT"/>
          <w:sz w:val="16"/>
        </w:rPr>
      </w:pPr>
      <w:r>
        <w:rPr>
          <w:rFonts w:ascii="Arial MT"/>
          <w:spacing w:val="-10"/>
          <w:sz w:val="16"/>
        </w:rPr>
        <w:t>0</w:t>
      </w:r>
    </w:p>
    <w:p>
      <w:pPr>
        <w:tabs>
          <w:tab w:pos="3135" w:val="left" w:leader="none"/>
          <w:tab w:pos="4455" w:val="left" w:leader="none"/>
        </w:tabs>
        <w:spacing w:before="26"/>
        <w:ind w:left="1815" w:right="0" w:firstLine="0"/>
        <w:jc w:val="left"/>
        <w:rPr>
          <w:rFonts w:ascii="Arial MT"/>
          <w:sz w:val="16"/>
        </w:rPr>
      </w:pPr>
      <w:r>
        <w:rPr>
          <w:rFonts w:ascii="Arial MT"/>
          <w:sz w:val="16"/>
        </w:rPr>
        <w:t>Jun</w:t>
      </w:r>
      <w:r>
        <w:rPr>
          <w:rFonts w:ascii="Arial MT"/>
          <w:spacing w:val="-1"/>
          <w:sz w:val="16"/>
        </w:rPr>
        <w:t> </w:t>
      </w:r>
      <w:r>
        <w:rPr>
          <w:rFonts w:ascii="Arial MT"/>
          <w:spacing w:val="-5"/>
          <w:sz w:val="16"/>
        </w:rPr>
        <w:t>21</w:t>
      </w:r>
      <w:r>
        <w:rPr>
          <w:rFonts w:ascii="Arial MT"/>
          <w:sz w:val="16"/>
        </w:rPr>
        <w:tab/>
        <w:t>Jun</w:t>
      </w:r>
      <w:r>
        <w:rPr>
          <w:rFonts w:ascii="Arial MT"/>
          <w:spacing w:val="-1"/>
          <w:sz w:val="16"/>
        </w:rPr>
        <w:t> </w:t>
      </w:r>
      <w:r>
        <w:rPr>
          <w:rFonts w:ascii="Arial MT"/>
          <w:spacing w:val="-5"/>
          <w:sz w:val="16"/>
        </w:rPr>
        <w:t>22</w:t>
      </w:r>
      <w:r>
        <w:rPr>
          <w:rFonts w:ascii="Arial MT"/>
          <w:sz w:val="16"/>
        </w:rPr>
        <w:tab/>
        <w:t>Jun</w:t>
      </w:r>
      <w:r>
        <w:rPr>
          <w:rFonts w:ascii="Arial MT"/>
          <w:spacing w:val="-3"/>
          <w:sz w:val="16"/>
        </w:rPr>
        <w:t> </w:t>
      </w:r>
      <w:r>
        <w:rPr>
          <w:rFonts w:ascii="Arial MT"/>
          <w:spacing w:val="-5"/>
          <w:sz w:val="16"/>
        </w:rPr>
        <w:t>23</w:t>
      </w:r>
    </w:p>
    <w:p>
      <w:pPr>
        <w:pStyle w:val="BodyText"/>
        <w:spacing w:before="7"/>
        <w:rPr>
          <w:rFonts w:ascii="Arial MT"/>
          <w:sz w:val="16"/>
        </w:rPr>
      </w:pPr>
      <w:r>
        <w:rPr/>
        <w:br w:type="column"/>
      </w:r>
      <w:r>
        <w:rPr>
          <w:rFonts w:ascii="Arial MT"/>
          <w:sz w:val="16"/>
        </w:rPr>
      </w:r>
    </w:p>
    <w:p>
      <w:pPr>
        <w:spacing w:before="0"/>
        <w:ind w:left="0" w:right="0" w:firstLine="0"/>
        <w:jc w:val="right"/>
        <w:rPr>
          <w:rFonts w:ascii="Arial MT"/>
          <w:sz w:val="16"/>
        </w:rPr>
      </w:pPr>
      <w:r>
        <w:rPr>
          <w:rFonts w:ascii="Arial MT"/>
          <w:spacing w:val="-4"/>
          <w:sz w:val="16"/>
        </w:rPr>
        <w:t>(50)</w:t>
      </w:r>
    </w:p>
    <w:p>
      <w:pPr>
        <w:pStyle w:val="BodyText"/>
        <w:spacing w:before="23" w:after="25"/>
        <w:rPr>
          <w:rFonts w:ascii="Arial MT"/>
        </w:rPr>
      </w:pPr>
      <w:r>
        <w:rPr/>
        <w:br w:type="column"/>
      </w:r>
      <w:r>
        <w:rPr>
          <w:rFonts w:ascii="Arial MT"/>
        </w:rPr>
      </w:r>
    </w:p>
    <w:p>
      <w:pPr>
        <w:spacing w:line="20" w:lineRule="exact"/>
        <w:ind w:left="199" w:right="0" w:firstLine="0"/>
        <w:rPr>
          <w:rFonts w:ascii="Arial MT"/>
          <w:sz w:val="2"/>
        </w:rPr>
      </w:pPr>
      <w:r>
        <w:rPr>
          <w:rFonts w:ascii="Arial MT"/>
          <w:sz w:val="2"/>
        </w:rPr>
        <mc:AlternateContent>
          <mc:Choice Requires="wps">
            <w:drawing>
              <wp:inline distT="0" distB="0" distL="0" distR="0">
                <wp:extent cx="2257425" cy="9525"/>
                <wp:effectExtent l="9525" t="0" r="0" b="0"/>
                <wp:docPr id="182" name="Group 182"/>
                <wp:cNvGraphicFramePr>
                  <a:graphicFrameLocks/>
                </wp:cNvGraphicFramePr>
                <a:graphic>
                  <a:graphicData uri="http://schemas.microsoft.com/office/word/2010/wordprocessingGroup">
                    <wpg:wgp>
                      <wpg:cNvPr id="182" name="Group 182"/>
                      <wpg:cNvGrpSpPr/>
                      <wpg:grpSpPr>
                        <a:xfrm>
                          <a:off x="0" y="0"/>
                          <a:ext cx="2257425" cy="9525"/>
                          <a:chExt cx="2257425" cy="9525"/>
                        </a:xfrm>
                      </wpg:grpSpPr>
                      <wps:wsp>
                        <wps:cNvPr id="183" name="Graphic 183"/>
                        <wps:cNvSpPr/>
                        <wps:spPr>
                          <a:xfrm>
                            <a:off x="0" y="4762"/>
                            <a:ext cx="2257425" cy="1270"/>
                          </a:xfrm>
                          <a:custGeom>
                            <a:avLst/>
                            <a:gdLst/>
                            <a:ahLst/>
                            <a:cxnLst/>
                            <a:rect l="l" t="t" r="r" b="b"/>
                            <a:pathLst>
                              <a:path w="2257425" h="0">
                                <a:moveTo>
                                  <a:pt x="0" y="0"/>
                                </a:moveTo>
                                <a:lnTo>
                                  <a:pt x="2257425" y="0"/>
                                </a:lnTo>
                              </a:path>
                            </a:pathLst>
                          </a:custGeom>
                          <a:ln w="9525">
                            <a:solidFill>
                              <a:srgbClr val="E6E6E6"/>
                            </a:solidFill>
                            <a:prstDash val="solid"/>
                          </a:ln>
                        </wps:spPr>
                        <wps:bodyPr wrap="square" lIns="0" tIns="0" rIns="0" bIns="0" rtlCol="0">
                          <a:prstTxWarp prst="textNoShape">
                            <a:avLst/>
                          </a:prstTxWarp>
                          <a:noAutofit/>
                        </wps:bodyPr>
                      </wps:wsp>
                    </wpg:wgp>
                  </a:graphicData>
                </a:graphic>
              </wp:inline>
            </w:drawing>
          </mc:Choice>
          <mc:Fallback>
            <w:pict>
              <v:group style="width:177.75pt;height:.75pt;mso-position-horizontal-relative:char;mso-position-vertical-relative:line" id="docshapegroup143" coordorigin="0,0" coordsize="3555,15">
                <v:line style="position:absolute" from="0,8" to="3555,8" stroked="true" strokeweight=".75pt" strokecolor="#e6e6e6">
                  <v:stroke dashstyle="solid"/>
                </v:line>
              </v:group>
            </w:pict>
          </mc:Fallback>
        </mc:AlternateContent>
      </w:r>
      <w:r>
        <w:rPr>
          <w:rFonts w:ascii="Arial MT"/>
          <w:sz w:val="2"/>
        </w:rPr>
      </w:r>
    </w:p>
    <w:p>
      <w:pPr>
        <w:tabs>
          <w:tab w:pos="1058" w:val="left" w:leader="none"/>
          <w:tab w:pos="1763" w:val="left" w:leader="none"/>
          <w:tab w:pos="2468" w:val="left" w:leader="none"/>
          <w:tab w:pos="3188" w:val="left" w:leader="none"/>
        </w:tabs>
        <w:spacing w:before="104"/>
        <w:ind w:left="338" w:right="0" w:firstLine="0"/>
        <w:jc w:val="left"/>
        <w:rPr>
          <w:rFonts w:ascii="Arial MT"/>
          <w:sz w:val="16"/>
        </w:rPr>
      </w:pPr>
      <w:r>
        <w:rPr>
          <w:rFonts w:ascii="Arial MT"/>
          <w:spacing w:val="-4"/>
          <w:sz w:val="16"/>
        </w:rPr>
        <w:t>FY19</w:t>
      </w:r>
      <w:r>
        <w:rPr>
          <w:rFonts w:ascii="Arial MT"/>
          <w:sz w:val="16"/>
        </w:rPr>
        <w:tab/>
      </w:r>
      <w:r>
        <w:rPr>
          <w:rFonts w:ascii="Arial MT"/>
          <w:spacing w:val="-4"/>
          <w:sz w:val="16"/>
        </w:rPr>
        <w:t>FY20</w:t>
      </w:r>
      <w:r>
        <w:rPr>
          <w:rFonts w:ascii="Arial MT"/>
          <w:sz w:val="16"/>
        </w:rPr>
        <w:tab/>
      </w:r>
      <w:r>
        <w:rPr>
          <w:rFonts w:ascii="Arial MT"/>
          <w:spacing w:val="-4"/>
          <w:sz w:val="16"/>
        </w:rPr>
        <w:t>FY21</w:t>
      </w:r>
      <w:r>
        <w:rPr>
          <w:rFonts w:ascii="Arial MT"/>
          <w:sz w:val="16"/>
        </w:rPr>
        <w:tab/>
      </w:r>
      <w:r>
        <w:rPr>
          <w:rFonts w:ascii="Arial MT"/>
          <w:spacing w:val="-4"/>
          <w:sz w:val="16"/>
        </w:rPr>
        <w:t>FY22</w:t>
      </w:r>
      <w:r>
        <w:rPr>
          <w:rFonts w:ascii="Arial MT"/>
          <w:sz w:val="16"/>
        </w:rPr>
        <w:tab/>
      </w:r>
      <w:r>
        <w:rPr>
          <w:rFonts w:ascii="Arial MT"/>
          <w:spacing w:val="-4"/>
          <w:sz w:val="16"/>
        </w:rPr>
        <w:t>FY23</w:t>
      </w:r>
    </w:p>
    <w:p>
      <w:pPr>
        <w:spacing w:after="0"/>
        <w:jc w:val="left"/>
        <w:rPr>
          <w:rFonts w:ascii="Arial MT"/>
          <w:sz w:val="16"/>
        </w:rPr>
        <w:sectPr>
          <w:type w:val="continuous"/>
          <w:pgSz w:w="12240" w:h="15840"/>
          <w:pgMar w:header="744" w:footer="583" w:top="1820" w:bottom="280" w:left="720" w:right="720"/>
          <w:cols w:num="3" w:equalWidth="0">
            <w:col w:w="4936" w:space="40"/>
            <w:col w:w="1265" w:space="39"/>
            <w:col w:w="4520"/>
          </w:cols>
        </w:sectPr>
      </w:pPr>
    </w:p>
    <w:p>
      <w:pPr>
        <w:pStyle w:val="Heading4"/>
        <w:spacing w:before="253"/>
      </w:pPr>
      <w:r>
        <w:rPr/>
        <w:t>Results</w:t>
      </w:r>
      <w:r>
        <w:rPr>
          <w:spacing w:val="-3"/>
        </w:rPr>
        <w:t> </w:t>
      </w:r>
      <w:r>
        <w:rPr/>
        <w:t>from</w:t>
      </w:r>
      <w:r>
        <w:rPr>
          <w:spacing w:val="-2"/>
        </w:rPr>
        <w:t> </w:t>
      </w:r>
      <w:r>
        <w:rPr/>
        <w:t>Borrowing</w:t>
      </w:r>
      <w:r>
        <w:rPr>
          <w:spacing w:val="-1"/>
        </w:rPr>
        <w:t> </w:t>
      </w:r>
      <w:r>
        <w:rPr>
          <w:spacing w:val="-2"/>
        </w:rPr>
        <w:t>activities</w:t>
      </w:r>
    </w:p>
    <w:p>
      <w:pPr>
        <w:pStyle w:val="BodyText"/>
        <w:spacing w:line="232" w:lineRule="auto" w:before="145"/>
        <w:ind w:left="720" w:right="718"/>
        <w:jc w:val="both"/>
      </w:pPr>
      <w:r>
        <w:rPr/>
        <w:t>As of June 30, 2023, the borrowing portfolio was $266.8 billion, $9.9 billion higher than June 30, 2022 (see Note E: Borrowings in the Notes to the Financial Statements). The increase was primarily due to net new debt issuances during the year. New issuances of medium-and long-term debt of $42.2 billion during the year (Table 23) were highly diversified by investor profile and location, with an average maturity of 6.3 years. The funds raised financed development lending operations and satisfied the liquidity requirements.</w:t>
      </w:r>
    </w:p>
    <w:p>
      <w:pPr>
        <w:spacing w:before="209"/>
        <w:ind w:left="720" w:right="0" w:firstLine="0"/>
        <w:jc w:val="both"/>
        <w:rPr>
          <w:rFonts w:ascii="Arial"/>
          <w:b/>
          <w:sz w:val="18"/>
        </w:rPr>
      </w:pPr>
      <w:bookmarkStart w:name="_bookmark13" w:id="25"/>
      <w:bookmarkEnd w:id="25"/>
      <w:r>
        <w:rPr/>
      </w:r>
      <w:r>
        <w:rPr>
          <w:rFonts w:ascii="Arial"/>
          <w:b/>
          <w:sz w:val="18"/>
        </w:rPr>
        <w:t>Figure</w:t>
      </w:r>
      <w:r>
        <w:rPr>
          <w:rFonts w:ascii="Arial"/>
          <w:b/>
          <w:spacing w:val="-2"/>
          <w:sz w:val="18"/>
        </w:rPr>
        <w:t> </w:t>
      </w:r>
      <w:r>
        <w:rPr>
          <w:rFonts w:ascii="Arial"/>
          <w:b/>
          <w:sz w:val="18"/>
        </w:rPr>
        <w:t>8:</w:t>
      </w:r>
      <w:r>
        <w:rPr>
          <w:rFonts w:ascii="Arial"/>
          <w:b/>
          <w:spacing w:val="-2"/>
          <w:sz w:val="18"/>
        </w:rPr>
        <w:t> </w:t>
      </w:r>
      <w:r>
        <w:rPr>
          <w:rFonts w:ascii="Arial"/>
          <w:b/>
          <w:sz w:val="18"/>
        </w:rPr>
        <w:t>Borrowing</w:t>
      </w:r>
      <w:r>
        <w:rPr>
          <w:rFonts w:ascii="Arial"/>
          <w:b/>
          <w:spacing w:val="-1"/>
          <w:sz w:val="18"/>
        </w:rPr>
        <w:t> </w:t>
      </w:r>
      <w:r>
        <w:rPr>
          <w:rFonts w:ascii="Arial"/>
          <w:b/>
          <w:sz w:val="18"/>
        </w:rPr>
        <w:t>Portfolio</w:t>
      </w:r>
      <w:r>
        <w:rPr>
          <w:rFonts w:ascii="Arial"/>
          <w:b/>
          <w:spacing w:val="-2"/>
          <w:sz w:val="18"/>
        </w:rPr>
        <w:t> </w:t>
      </w:r>
      <w:r>
        <w:rPr>
          <w:rFonts w:ascii="Arial"/>
          <w:b/>
          <w:sz w:val="18"/>
        </w:rPr>
        <w:t>(original</w:t>
      </w:r>
      <w:r>
        <w:rPr>
          <w:rFonts w:ascii="Arial"/>
          <w:b/>
          <w:spacing w:val="-1"/>
          <w:sz w:val="18"/>
        </w:rPr>
        <w:t> </w:t>
      </w:r>
      <w:r>
        <w:rPr>
          <w:rFonts w:ascii="Arial"/>
          <w:b/>
          <w:spacing w:val="-2"/>
          <w:sz w:val="18"/>
        </w:rPr>
        <w:t>maturities)</w:t>
      </w:r>
    </w:p>
    <w:p>
      <w:pPr>
        <w:spacing w:before="28"/>
        <w:ind w:left="720" w:right="0" w:firstLine="0"/>
        <w:jc w:val="both"/>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rPr>
          <w:rFonts w:ascii="Arial"/>
          <w:i/>
          <w:sz w:val="16"/>
        </w:rPr>
      </w:pPr>
    </w:p>
    <w:p>
      <w:pPr>
        <w:pStyle w:val="BodyText"/>
        <w:spacing w:before="8"/>
        <w:rPr>
          <w:rFonts w:ascii="Arial"/>
          <w:i/>
          <w:sz w:val="16"/>
        </w:rPr>
      </w:pPr>
    </w:p>
    <w:p>
      <w:pPr>
        <w:tabs>
          <w:tab w:pos="2947" w:val="left" w:leader="none"/>
        </w:tabs>
        <w:spacing w:before="0"/>
        <w:ind w:left="1522" w:right="0" w:firstLine="0"/>
        <w:jc w:val="left"/>
        <w:rPr>
          <w:rFonts w:ascii="Arial MT"/>
          <w:position w:val="2"/>
          <w:sz w:val="16"/>
        </w:rPr>
      </w:pPr>
      <w:r>
        <w:rPr/>
        <w:drawing>
          <wp:inline distT="0" distB="0" distL="0" distR="0">
            <wp:extent cx="104775" cy="10477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27" cstate="print"/>
                    <a:stretch>
                      <a:fillRect/>
                    </a:stretch>
                  </pic:blipFill>
                  <pic:spPr>
                    <a:xfrm>
                      <a:off x="0" y="0"/>
                      <a:ext cx="104775" cy="104775"/>
                    </a:xfrm>
                    <a:prstGeom prst="rect">
                      <a:avLst/>
                    </a:prstGeom>
                  </pic:spPr>
                </pic:pic>
              </a:graphicData>
            </a:graphic>
          </wp:inline>
        </w:drawing>
      </w:r>
      <w:r>
        <w:rPr/>
      </w:r>
      <w:r>
        <w:rPr>
          <w:spacing w:val="80"/>
          <w:position w:val="2"/>
          <w:sz w:val="20"/>
        </w:rPr>
        <w:t> </w:t>
      </w:r>
      <w:r>
        <w:rPr>
          <w:rFonts w:ascii="Arial MT"/>
          <w:color w:val="585858"/>
          <w:spacing w:val="-2"/>
          <w:position w:val="2"/>
          <w:sz w:val="16"/>
        </w:rPr>
        <w:t>Short-</w:t>
      </w:r>
      <w:r>
        <w:rPr>
          <w:rFonts w:ascii="Arial MT"/>
          <w:color w:val="585858"/>
          <w:position w:val="2"/>
          <w:sz w:val="16"/>
        </w:rPr>
        <w:t>term</w:t>
        <w:tab/>
      </w:r>
      <w:r>
        <w:rPr>
          <w:rFonts w:ascii="Arial MT"/>
          <w:color w:val="585858"/>
          <w:sz w:val="16"/>
        </w:rPr>
        <w:drawing>
          <wp:inline distT="0" distB="0" distL="0" distR="0">
            <wp:extent cx="104775" cy="104775"/>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28" cstate="print"/>
                    <a:stretch>
                      <a:fillRect/>
                    </a:stretch>
                  </pic:blipFill>
                  <pic:spPr>
                    <a:xfrm>
                      <a:off x="0" y="0"/>
                      <a:ext cx="104775" cy="104775"/>
                    </a:xfrm>
                    <a:prstGeom prst="rect">
                      <a:avLst/>
                    </a:prstGeom>
                  </pic:spPr>
                </pic:pic>
              </a:graphicData>
            </a:graphic>
          </wp:inline>
        </w:drawing>
      </w:r>
      <w:r>
        <w:rPr>
          <w:rFonts w:ascii="Arial MT"/>
          <w:color w:val="585858"/>
          <w:sz w:val="16"/>
        </w:rPr>
      </w:r>
      <w:r>
        <w:rPr>
          <w:color w:val="585858"/>
          <w:spacing w:val="80"/>
          <w:position w:val="2"/>
          <w:sz w:val="16"/>
        </w:rPr>
        <w:t> </w:t>
      </w:r>
      <w:r>
        <w:rPr>
          <w:rFonts w:ascii="Arial MT"/>
          <w:color w:val="585858"/>
          <w:position w:val="2"/>
          <w:sz w:val="16"/>
        </w:rPr>
        <w:t>Medium-and long-term</w:t>
      </w:r>
    </w:p>
    <w:p>
      <w:pPr>
        <w:spacing w:before="162"/>
        <w:ind w:left="918"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59872">
                <wp:simplePos x="0" y="0"/>
                <wp:positionH relativeFrom="page">
                  <wp:posOffset>1352550</wp:posOffset>
                </wp:positionH>
                <wp:positionV relativeFrom="paragraph">
                  <wp:posOffset>153169</wp:posOffset>
                </wp:positionV>
                <wp:extent cx="2514600" cy="115252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2514600" cy="1152525"/>
                          <a:chExt cx="2514600" cy="1152525"/>
                        </a:xfrm>
                      </wpg:grpSpPr>
                      <wps:wsp>
                        <wps:cNvPr id="187" name="Graphic 187"/>
                        <wps:cNvSpPr/>
                        <wps:spPr>
                          <a:xfrm>
                            <a:off x="4762" y="0"/>
                            <a:ext cx="2085975" cy="1152525"/>
                          </a:xfrm>
                          <a:custGeom>
                            <a:avLst/>
                            <a:gdLst/>
                            <a:ahLst/>
                            <a:cxnLst/>
                            <a:rect l="l" t="t" r="r" b="b"/>
                            <a:pathLst>
                              <a:path w="2085975" h="1152525">
                                <a:moveTo>
                                  <a:pt x="419100" y="1095375"/>
                                </a:moveTo>
                                <a:lnTo>
                                  <a:pt x="419100" y="1152525"/>
                                </a:lnTo>
                              </a:path>
                              <a:path w="2085975" h="1152525">
                                <a:moveTo>
                                  <a:pt x="1257300" y="1095375"/>
                                </a:moveTo>
                                <a:lnTo>
                                  <a:pt x="1257300" y="1152525"/>
                                </a:lnTo>
                              </a:path>
                              <a:path w="2085975" h="1152525">
                                <a:moveTo>
                                  <a:pt x="2085975" y="1095375"/>
                                </a:moveTo>
                                <a:lnTo>
                                  <a:pt x="2085975" y="1152525"/>
                                </a:lnTo>
                              </a:path>
                              <a:path w="2085975" h="1152525">
                                <a:moveTo>
                                  <a:pt x="0" y="0"/>
                                </a:moveTo>
                                <a:lnTo>
                                  <a:pt x="0" y="1095375"/>
                                </a:lnTo>
                              </a:path>
                            </a:pathLst>
                          </a:custGeom>
                          <a:ln w="9525">
                            <a:solidFill>
                              <a:srgbClr val="8A8A8A"/>
                            </a:solidFill>
                            <a:prstDash val="solid"/>
                          </a:ln>
                        </wps:spPr>
                        <wps:bodyPr wrap="square" lIns="0" tIns="0" rIns="0" bIns="0" rtlCol="0">
                          <a:prstTxWarp prst="textNoShape">
                            <a:avLst/>
                          </a:prstTxWarp>
                          <a:noAutofit/>
                        </wps:bodyPr>
                      </wps:wsp>
                      <wps:wsp>
                        <wps:cNvPr id="188" name="Graphic 188"/>
                        <wps:cNvSpPr/>
                        <wps:spPr>
                          <a:xfrm>
                            <a:off x="9525" y="1100137"/>
                            <a:ext cx="2505075" cy="1270"/>
                          </a:xfrm>
                          <a:custGeom>
                            <a:avLst/>
                            <a:gdLst/>
                            <a:ahLst/>
                            <a:cxnLst/>
                            <a:rect l="l" t="t" r="r" b="b"/>
                            <a:pathLst>
                              <a:path w="2505075" h="0">
                                <a:moveTo>
                                  <a:pt x="0" y="0"/>
                                </a:moveTo>
                                <a:lnTo>
                                  <a:pt x="2505075" y="0"/>
                                </a:lnTo>
                              </a:path>
                            </a:pathLst>
                          </a:custGeom>
                          <a:ln w="9525">
                            <a:solidFill>
                              <a:srgbClr val="000000"/>
                            </a:solidFill>
                            <a:prstDash val="solid"/>
                          </a:ln>
                        </wps:spPr>
                        <wps:bodyPr wrap="square" lIns="0" tIns="0" rIns="0" bIns="0" rtlCol="0">
                          <a:prstTxWarp prst="textNoShape">
                            <a:avLst/>
                          </a:prstTxWarp>
                          <a:noAutofit/>
                        </wps:bodyPr>
                      </wps:wsp>
                      <wps:wsp>
                        <wps:cNvPr id="189" name="Graphic 189"/>
                        <wps:cNvSpPr/>
                        <wps:spPr>
                          <a:xfrm>
                            <a:off x="260032" y="133362"/>
                            <a:ext cx="2012950" cy="85725"/>
                          </a:xfrm>
                          <a:custGeom>
                            <a:avLst/>
                            <a:gdLst/>
                            <a:ahLst/>
                            <a:cxnLst/>
                            <a:rect l="l" t="t" r="r" b="b"/>
                            <a:pathLst>
                              <a:path w="2012950" h="85725">
                                <a:moveTo>
                                  <a:pt x="342900" y="47625"/>
                                </a:moveTo>
                                <a:lnTo>
                                  <a:pt x="0" y="47625"/>
                                </a:lnTo>
                                <a:lnTo>
                                  <a:pt x="0" y="76200"/>
                                </a:lnTo>
                                <a:lnTo>
                                  <a:pt x="342900" y="76200"/>
                                </a:lnTo>
                                <a:lnTo>
                                  <a:pt x="342900" y="47625"/>
                                </a:lnTo>
                                <a:close/>
                              </a:path>
                              <a:path w="2012950" h="85725">
                                <a:moveTo>
                                  <a:pt x="1177925" y="38100"/>
                                </a:moveTo>
                                <a:lnTo>
                                  <a:pt x="835025" y="38100"/>
                                </a:lnTo>
                                <a:lnTo>
                                  <a:pt x="835025" y="85725"/>
                                </a:lnTo>
                                <a:lnTo>
                                  <a:pt x="1177925" y="85725"/>
                                </a:lnTo>
                                <a:lnTo>
                                  <a:pt x="1177925" y="38100"/>
                                </a:lnTo>
                                <a:close/>
                              </a:path>
                              <a:path w="2012950" h="85725">
                                <a:moveTo>
                                  <a:pt x="2012950" y="0"/>
                                </a:moveTo>
                                <a:lnTo>
                                  <a:pt x="1670050" y="0"/>
                                </a:lnTo>
                                <a:lnTo>
                                  <a:pt x="1670050" y="38100"/>
                                </a:lnTo>
                                <a:lnTo>
                                  <a:pt x="2012950" y="38100"/>
                                </a:lnTo>
                                <a:lnTo>
                                  <a:pt x="2012950" y="0"/>
                                </a:lnTo>
                                <a:close/>
                              </a:path>
                            </a:pathLst>
                          </a:custGeom>
                          <a:solidFill>
                            <a:srgbClr val="494949"/>
                          </a:solidFill>
                        </wps:spPr>
                        <wps:bodyPr wrap="square" lIns="0" tIns="0" rIns="0" bIns="0" rtlCol="0">
                          <a:prstTxWarp prst="textNoShape">
                            <a:avLst/>
                          </a:prstTxWarp>
                          <a:noAutofit/>
                        </wps:bodyPr>
                      </wps:wsp>
                      <wps:wsp>
                        <wps:cNvPr id="190" name="Textbox 190"/>
                        <wps:cNvSpPr txBox="1"/>
                        <wps:spPr>
                          <a:xfrm>
                            <a:off x="371475" y="58138"/>
                            <a:ext cx="125730"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5"/>
                                  <w:sz w:val="16"/>
                                </w:rPr>
                                <w:t>10</w:t>
                              </w:r>
                            </w:p>
                          </w:txbxContent>
                        </wps:txbx>
                        <wps:bodyPr wrap="square" lIns="0" tIns="0" rIns="0" bIns="0" rtlCol="0">
                          <a:noAutofit/>
                        </wps:bodyPr>
                      </wps:wsp>
                      <wps:wsp>
                        <wps:cNvPr id="191" name="Textbox 191"/>
                        <wps:cNvSpPr txBox="1"/>
                        <wps:spPr>
                          <a:xfrm>
                            <a:off x="1200150" y="67663"/>
                            <a:ext cx="125730"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5"/>
                                  <w:sz w:val="16"/>
                                </w:rPr>
                                <w:t>15</w:t>
                              </w:r>
                            </w:p>
                          </w:txbxContent>
                        </wps:txbx>
                        <wps:bodyPr wrap="square" lIns="0" tIns="0" rIns="0" bIns="0" rtlCol="0">
                          <a:noAutofit/>
                        </wps:bodyPr>
                      </wps:wsp>
                      <wps:wsp>
                        <wps:cNvPr id="192" name="Textbox 192"/>
                        <wps:cNvSpPr txBox="1"/>
                        <wps:spPr>
                          <a:xfrm>
                            <a:off x="2038350" y="20038"/>
                            <a:ext cx="125730" cy="113664"/>
                          </a:xfrm>
                          <a:prstGeom prst="rect">
                            <a:avLst/>
                          </a:prstGeom>
                        </wps:spPr>
                        <wps:txbx>
                          <w:txbxContent>
                            <w:p>
                              <w:pPr>
                                <w:spacing w:line="179" w:lineRule="exact" w:before="0"/>
                                <w:ind w:left="0" w:right="0" w:firstLine="0"/>
                                <w:jc w:val="left"/>
                                <w:rPr>
                                  <w:rFonts w:ascii="Arial MT"/>
                                  <w:sz w:val="16"/>
                                </w:rPr>
                              </w:pPr>
                              <w:r>
                                <w:rPr>
                                  <w:rFonts w:ascii="Arial MT"/>
                                  <w:color w:val="585858"/>
                                  <w:spacing w:val="-5"/>
                                  <w:sz w:val="16"/>
                                </w:rPr>
                                <w:t>10</w:t>
                              </w:r>
                            </w:p>
                          </w:txbxContent>
                        </wps:txbx>
                        <wps:bodyPr wrap="square" lIns="0" tIns="0" rIns="0" bIns="0" rtlCol="0">
                          <a:noAutofit/>
                        </wps:bodyPr>
                      </wps:wsp>
                      <wps:wsp>
                        <wps:cNvPr id="193" name="Textbox 193"/>
                        <wps:cNvSpPr txBox="1"/>
                        <wps:spPr>
                          <a:xfrm>
                            <a:off x="1930082" y="171449"/>
                            <a:ext cx="342900" cy="923925"/>
                          </a:xfrm>
                          <a:prstGeom prst="rect">
                            <a:avLst/>
                          </a:prstGeom>
                          <a:solidFill>
                            <a:srgbClr val="DADADA"/>
                          </a:solidFill>
                        </wps:spPr>
                        <wps:txbx>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04"/>
                                <w:rPr>
                                  <w:rFonts w:ascii="Arial"/>
                                  <w:b/>
                                  <w:color w:val="000000"/>
                                  <w:sz w:val="16"/>
                                </w:rPr>
                              </w:pPr>
                            </w:p>
                            <w:p>
                              <w:pPr>
                                <w:spacing w:before="0"/>
                                <w:ind w:left="125" w:right="0" w:firstLine="0"/>
                                <w:jc w:val="left"/>
                                <w:rPr>
                                  <w:rFonts w:ascii="Arial MT"/>
                                  <w:color w:val="000000"/>
                                  <w:sz w:val="16"/>
                                </w:rPr>
                              </w:pPr>
                              <w:r>
                                <w:rPr>
                                  <w:rFonts w:ascii="Arial MT"/>
                                  <w:color w:val="000000"/>
                                  <w:spacing w:val="-5"/>
                                  <w:sz w:val="16"/>
                                </w:rPr>
                                <w:t>257</w:t>
                              </w:r>
                            </w:p>
                          </w:txbxContent>
                        </wps:txbx>
                        <wps:bodyPr wrap="square" lIns="0" tIns="0" rIns="0" bIns="0" rtlCol="0">
                          <a:noAutofit/>
                        </wps:bodyPr>
                      </wps:wsp>
                      <wps:wsp>
                        <wps:cNvPr id="194" name="Textbox 194"/>
                        <wps:cNvSpPr txBox="1"/>
                        <wps:spPr>
                          <a:xfrm>
                            <a:off x="1095057" y="205382"/>
                            <a:ext cx="342900" cy="890269"/>
                          </a:xfrm>
                          <a:prstGeom prst="rect">
                            <a:avLst/>
                          </a:prstGeom>
                          <a:solidFill>
                            <a:srgbClr val="DADADA"/>
                          </a:solidFill>
                        </wps:spPr>
                        <wps:txbx>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80"/>
                                <w:rPr>
                                  <w:rFonts w:ascii="Arial"/>
                                  <w:b/>
                                  <w:color w:val="000000"/>
                                  <w:sz w:val="16"/>
                                </w:rPr>
                              </w:pPr>
                            </w:p>
                            <w:p>
                              <w:pPr>
                                <w:spacing w:before="1"/>
                                <w:ind w:left="120" w:right="0" w:firstLine="0"/>
                                <w:jc w:val="left"/>
                                <w:rPr>
                                  <w:rFonts w:ascii="Arial MT"/>
                                  <w:color w:val="000000"/>
                                  <w:sz w:val="16"/>
                                </w:rPr>
                              </w:pPr>
                              <w:r>
                                <w:rPr>
                                  <w:rFonts w:ascii="Arial MT"/>
                                  <w:color w:val="000000"/>
                                  <w:spacing w:val="-5"/>
                                  <w:sz w:val="16"/>
                                </w:rPr>
                                <w:t>242</w:t>
                              </w:r>
                            </w:p>
                          </w:txbxContent>
                        </wps:txbx>
                        <wps:bodyPr wrap="square" lIns="0" tIns="0" rIns="0" bIns="0" rtlCol="0">
                          <a:noAutofit/>
                        </wps:bodyPr>
                      </wps:wsp>
                      <wps:wsp>
                        <wps:cNvPr id="195" name="Textbox 195"/>
                        <wps:cNvSpPr txBox="1"/>
                        <wps:spPr>
                          <a:xfrm>
                            <a:off x="260032" y="209549"/>
                            <a:ext cx="342900" cy="885825"/>
                          </a:xfrm>
                          <a:prstGeom prst="rect">
                            <a:avLst/>
                          </a:prstGeom>
                          <a:solidFill>
                            <a:srgbClr val="DADADA"/>
                          </a:solidFill>
                        </wps:spPr>
                        <wps:txbx>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74"/>
                                <w:rPr>
                                  <w:rFonts w:ascii="Arial"/>
                                  <w:b/>
                                  <w:color w:val="000000"/>
                                  <w:sz w:val="16"/>
                                </w:rPr>
                              </w:pPr>
                            </w:p>
                            <w:p>
                              <w:pPr>
                                <w:spacing w:before="0"/>
                                <w:ind w:left="130" w:right="0" w:firstLine="0"/>
                                <w:jc w:val="left"/>
                                <w:rPr>
                                  <w:rFonts w:ascii="Arial MT"/>
                                  <w:color w:val="000000"/>
                                  <w:sz w:val="16"/>
                                </w:rPr>
                              </w:pPr>
                              <w:r>
                                <w:rPr>
                                  <w:rFonts w:ascii="Arial MT"/>
                                  <w:color w:val="000000"/>
                                  <w:spacing w:val="-5"/>
                                  <w:sz w:val="16"/>
                                </w:rPr>
                                <w:t>244</w:t>
                              </w:r>
                            </w:p>
                          </w:txbxContent>
                        </wps:txbx>
                        <wps:bodyPr wrap="square" lIns="0" tIns="0" rIns="0" bIns="0" rtlCol="0">
                          <a:noAutofit/>
                        </wps:bodyPr>
                      </wps:wsp>
                    </wpg:wgp>
                  </a:graphicData>
                </a:graphic>
              </wp:anchor>
            </w:drawing>
          </mc:Choice>
          <mc:Fallback>
            <w:pict>
              <v:group style="position:absolute;margin-left:106.5pt;margin-top:12.060586pt;width:198pt;height:90.75pt;mso-position-horizontal-relative:page;mso-position-vertical-relative:paragraph;z-index:15759872" id="docshapegroup144" coordorigin="2130,241" coordsize="3960,1815">
                <v:shape style="position:absolute;left:2137;top:241;width:3285;height:1815" id="docshape145" coordorigin="2138,241" coordsize="3285,1815" path="m2798,1966l2798,2056m4118,1966l4118,2056m5423,1966l5423,2056m2138,241l2138,1966e" filled="false" stroked="true" strokeweight=".75pt" strokecolor="#8a8a8a">
                  <v:path arrowok="t"/>
                  <v:stroke dashstyle="solid"/>
                </v:shape>
                <v:line style="position:absolute" from="2145,1974" to="6090,1974" stroked="true" strokeweight=".75pt" strokecolor="#000000">
                  <v:stroke dashstyle="solid"/>
                </v:line>
                <v:shape style="position:absolute;left:2539;top:451;width:3170;height:135" id="docshape146" coordorigin="2540,451" coordsize="3170,135" path="m3080,526l2540,526,2540,571,3080,571,3080,526xm4395,511l3855,511,3855,586,4395,586,4395,511xm5710,451l5170,451,5170,511,5710,511,5710,451xe" filled="true" fillcolor="#494949" stroked="false">
                  <v:path arrowok="t"/>
                  <v:fill type="solid"/>
                </v:shape>
                <v:shape style="position:absolute;left:2715;top:332;width:198;height:179" type="#_x0000_t202" id="docshape147" filled="false" stroked="false">
                  <v:textbox inset="0,0,0,0">
                    <w:txbxContent>
                      <w:p>
                        <w:pPr>
                          <w:spacing w:line="179" w:lineRule="exact" w:before="0"/>
                          <w:ind w:left="0" w:right="0" w:firstLine="0"/>
                          <w:jc w:val="left"/>
                          <w:rPr>
                            <w:rFonts w:ascii="Arial MT"/>
                            <w:sz w:val="16"/>
                          </w:rPr>
                        </w:pPr>
                        <w:r>
                          <w:rPr>
                            <w:rFonts w:ascii="Arial MT"/>
                            <w:color w:val="585858"/>
                            <w:spacing w:val="-5"/>
                            <w:sz w:val="16"/>
                          </w:rPr>
                          <w:t>10</w:t>
                        </w:r>
                      </w:p>
                    </w:txbxContent>
                  </v:textbox>
                  <w10:wrap type="none"/>
                </v:shape>
                <v:shape style="position:absolute;left:4020;top:347;width:198;height:179" type="#_x0000_t202" id="docshape148" filled="false" stroked="false">
                  <v:textbox inset="0,0,0,0">
                    <w:txbxContent>
                      <w:p>
                        <w:pPr>
                          <w:spacing w:line="179" w:lineRule="exact" w:before="0"/>
                          <w:ind w:left="0" w:right="0" w:firstLine="0"/>
                          <w:jc w:val="left"/>
                          <w:rPr>
                            <w:rFonts w:ascii="Arial MT"/>
                            <w:sz w:val="16"/>
                          </w:rPr>
                        </w:pPr>
                        <w:r>
                          <w:rPr>
                            <w:rFonts w:ascii="Arial MT"/>
                            <w:color w:val="585858"/>
                            <w:spacing w:val="-5"/>
                            <w:sz w:val="16"/>
                          </w:rPr>
                          <w:t>15</w:t>
                        </w:r>
                      </w:p>
                    </w:txbxContent>
                  </v:textbox>
                  <w10:wrap type="none"/>
                </v:shape>
                <v:shape style="position:absolute;left:5340;top:272;width:198;height:179" type="#_x0000_t202" id="docshape149" filled="false" stroked="false">
                  <v:textbox inset="0,0,0,0">
                    <w:txbxContent>
                      <w:p>
                        <w:pPr>
                          <w:spacing w:line="179" w:lineRule="exact" w:before="0"/>
                          <w:ind w:left="0" w:right="0" w:firstLine="0"/>
                          <w:jc w:val="left"/>
                          <w:rPr>
                            <w:rFonts w:ascii="Arial MT"/>
                            <w:sz w:val="16"/>
                          </w:rPr>
                        </w:pPr>
                        <w:r>
                          <w:rPr>
                            <w:rFonts w:ascii="Arial MT"/>
                            <w:color w:val="585858"/>
                            <w:spacing w:val="-5"/>
                            <w:sz w:val="16"/>
                          </w:rPr>
                          <w:t>10</w:t>
                        </w:r>
                      </w:p>
                    </w:txbxContent>
                  </v:textbox>
                  <w10:wrap type="none"/>
                </v:shape>
                <v:shape style="position:absolute;left:5169;top:511;width:540;height:1455" type="#_x0000_t202" id="docshape150" filled="true" fillcolor="#dadada" stroked="false">
                  <v:textbox inset="0,0,0,0">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104"/>
                          <w:rPr>
                            <w:rFonts w:ascii="Arial"/>
                            <w:b/>
                            <w:color w:val="000000"/>
                            <w:sz w:val="16"/>
                          </w:rPr>
                        </w:pPr>
                      </w:p>
                      <w:p>
                        <w:pPr>
                          <w:spacing w:before="0"/>
                          <w:ind w:left="125" w:right="0" w:firstLine="0"/>
                          <w:jc w:val="left"/>
                          <w:rPr>
                            <w:rFonts w:ascii="Arial MT"/>
                            <w:color w:val="000000"/>
                            <w:sz w:val="16"/>
                          </w:rPr>
                        </w:pPr>
                        <w:r>
                          <w:rPr>
                            <w:rFonts w:ascii="Arial MT"/>
                            <w:color w:val="000000"/>
                            <w:spacing w:val="-5"/>
                            <w:sz w:val="16"/>
                          </w:rPr>
                          <w:t>257</w:t>
                        </w:r>
                      </w:p>
                    </w:txbxContent>
                  </v:textbox>
                  <v:fill type="solid"/>
                  <w10:wrap type="none"/>
                </v:shape>
                <v:shape style="position:absolute;left:3854;top:564;width:540;height:1402" type="#_x0000_t202" id="docshape151" filled="true" fillcolor="#dadada" stroked="false">
                  <v:textbox inset="0,0,0,0">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80"/>
                          <w:rPr>
                            <w:rFonts w:ascii="Arial"/>
                            <w:b/>
                            <w:color w:val="000000"/>
                            <w:sz w:val="16"/>
                          </w:rPr>
                        </w:pPr>
                      </w:p>
                      <w:p>
                        <w:pPr>
                          <w:spacing w:before="1"/>
                          <w:ind w:left="120" w:right="0" w:firstLine="0"/>
                          <w:jc w:val="left"/>
                          <w:rPr>
                            <w:rFonts w:ascii="Arial MT"/>
                            <w:color w:val="000000"/>
                            <w:sz w:val="16"/>
                          </w:rPr>
                        </w:pPr>
                        <w:r>
                          <w:rPr>
                            <w:rFonts w:ascii="Arial MT"/>
                            <w:color w:val="000000"/>
                            <w:spacing w:val="-5"/>
                            <w:sz w:val="16"/>
                          </w:rPr>
                          <w:t>242</w:t>
                        </w:r>
                      </w:p>
                    </w:txbxContent>
                  </v:textbox>
                  <v:fill type="solid"/>
                  <w10:wrap type="none"/>
                </v:shape>
                <v:shape style="position:absolute;left:2539;top:571;width:540;height:1395" type="#_x0000_t202" id="docshape152" filled="true" fillcolor="#dadada" stroked="false">
                  <v:textbox inset="0,0,0,0">
                    <w:txbxContent>
                      <w:p>
                        <w:pPr>
                          <w:spacing w:line="240" w:lineRule="auto" w:before="0"/>
                          <w:rPr>
                            <w:rFonts w:ascii="Arial"/>
                            <w:b/>
                            <w:color w:val="000000"/>
                            <w:sz w:val="16"/>
                          </w:rPr>
                        </w:pPr>
                      </w:p>
                      <w:p>
                        <w:pPr>
                          <w:spacing w:line="240" w:lineRule="auto" w:before="0"/>
                          <w:rPr>
                            <w:rFonts w:ascii="Arial"/>
                            <w:b/>
                            <w:color w:val="000000"/>
                            <w:sz w:val="16"/>
                          </w:rPr>
                        </w:pPr>
                      </w:p>
                      <w:p>
                        <w:pPr>
                          <w:spacing w:line="240" w:lineRule="auto" w:before="74"/>
                          <w:rPr>
                            <w:rFonts w:ascii="Arial"/>
                            <w:b/>
                            <w:color w:val="000000"/>
                            <w:sz w:val="16"/>
                          </w:rPr>
                        </w:pPr>
                      </w:p>
                      <w:p>
                        <w:pPr>
                          <w:spacing w:before="0"/>
                          <w:ind w:left="130" w:right="0" w:firstLine="0"/>
                          <w:jc w:val="left"/>
                          <w:rPr>
                            <w:rFonts w:ascii="Arial MT"/>
                            <w:color w:val="000000"/>
                            <w:sz w:val="16"/>
                          </w:rPr>
                        </w:pPr>
                        <w:r>
                          <w:rPr>
                            <w:rFonts w:ascii="Arial MT"/>
                            <w:color w:val="000000"/>
                            <w:spacing w:val="-5"/>
                            <w:sz w:val="16"/>
                          </w:rPr>
                          <w:t>244</w:t>
                        </w:r>
                      </w:p>
                    </w:txbxContent>
                  </v:textbox>
                  <v:fill type="solid"/>
                  <w10:wrap type="none"/>
                </v:shape>
                <w10:wrap type="none"/>
              </v:group>
            </w:pict>
          </mc:Fallback>
        </mc:AlternateContent>
      </w:r>
      <w:r>
        <w:rPr>
          <w:rFonts w:ascii="Arial MT"/>
          <w:spacing w:val="-5"/>
          <w:sz w:val="16"/>
        </w:rPr>
        <w:t>300</w:t>
      </w:r>
    </w:p>
    <w:p>
      <w:pPr>
        <w:spacing w:before="101"/>
        <w:ind w:left="918" w:right="0" w:firstLine="0"/>
        <w:jc w:val="left"/>
        <w:rPr>
          <w:rFonts w:ascii="Arial MT"/>
          <w:sz w:val="16"/>
        </w:rPr>
      </w:pPr>
      <w:r>
        <w:rPr>
          <w:rFonts w:ascii="Arial MT"/>
          <w:spacing w:val="-5"/>
          <w:sz w:val="16"/>
        </w:rPr>
        <w:t>250</w:t>
      </w:r>
    </w:p>
    <w:p>
      <w:pPr>
        <w:spacing w:before="101"/>
        <w:ind w:left="918" w:right="0" w:firstLine="0"/>
        <w:jc w:val="left"/>
        <w:rPr>
          <w:rFonts w:ascii="Arial MT"/>
          <w:sz w:val="16"/>
        </w:rPr>
      </w:pPr>
      <w:r>
        <w:rPr>
          <w:rFonts w:ascii="Arial MT"/>
          <w:spacing w:val="-5"/>
          <w:sz w:val="16"/>
        </w:rPr>
        <w:t>200</w:t>
      </w:r>
    </w:p>
    <w:p>
      <w:pPr>
        <w:spacing w:before="116"/>
        <w:ind w:left="918" w:right="0" w:firstLine="0"/>
        <w:jc w:val="left"/>
        <w:rPr>
          <w:rFonts w:ascii="Arial MT"/>
          <w:sz w:val="16"/>
        </w:rPr>
      </w:pPr>
      <w:r>
        <w:rPr>
          <w:rFonts w:ascii="Arial MT"/>
          <w:spacing w:val="-5"/>
          <w:sz w:val="16"/>
        </w:rPr>
        <w:t>150</w:t>
      </w:r>
    </w:p>
    <w:p>
      <w:pPr>
        <w:spacing w:before="101"/>
        <w:ind w:left="918" w:right="0" w:firstLine="0"/>
        <w:jc w:val="left"/>
        <w:rPr>
          <w:rFonts w:ascii="Arial MT"/>
          <w:sz w:val="16"/>
        </w:rPr>
      </w:pPr>
      <w:r>
        <w:rPr>
          <w:rFonts w:ascii="Arial MT"/>
          <w:spacing w:val="-5"/>
          <w:sz w:val="16"/>
        </w:rPr>
        <w:t>100</w:t>
      </w:r>
    </w:p>
    <w:p>
      <w:pPr>
        <w:spacing w:before="101"/>
        <w:ind w:left="1007" w:right="0" w:firstLine="0"/>
        <w:jc w:val="left"/>
        <w:rPr>
          <w:rFonts w:ascii="Arial MT"/>
          <w:sz w:val="16"/>
        </w:rPr>
      </w:pPr>
      <w:r>
        <w:rPr>
          <w:rFonts w:ascii="Arial MT"/>
          <w:spacing w:val="-5"/>
          <w:sz w:val="16"/>
        </w:rPr>
        <w:t>50</w:t>
      </w:r>
    </w:p>
    <w:p>
      <w:pPr>
        <w:spacing w:before="101"/>
        <w:ind w:left="1096" w:right="0" w:firstLine="0"/>
        <w:jc w:val="left"/>
        <w:rPr>
          <w:rFonts w:ascii="Arial MT"/>
          <w:sz w:val="16"/>
        </w:rPr>
      </w:pPr>
      <w:r>
        <w:rPr>
          <w:rFonts w:ascii="Arial MT"/>
          <w:spacing w:val="-10"/>
          <w:sz w:val="16"/>
        </w:rPr>
        <w:t>0</w:t>
      </w:r>
    </w:p>
    <w:p>
      <w:pPr>
        <w:tabs>
          <w:tab w:pos="3135" w:val="left" w:leader="none"/>
          <w:tab w:pos="4455" w:val="left" w:leader="none"/>
        </w:tabs>
        <w:spacing w:before="26"/>
        <w:ind w:left="1815" w:right="0" w:firstLine="0"/>
        <w:jc w:val="left"/>
        <w:rPr>
          <w:rFonts w:ascii="Arial MT"/>
          <w:sz w:val="16"/>
        </w:rPr>
      </w:pPr>
      <w:r>
        <w:rPr>
          <w:rFonts w:ascii="Arial MT"/>
          <w:sz w:val="16"/>
        </w:rPr>
        <w:t>Jun</w:t>
      </w:r>
      <w:r>
        <w:rPr>
          <w:rFonts w:ascii="Arial MT"/>
          <w:spacing w:val="-1"/>
          <w:sz w:val="16"/>
        </w:rPr>
        <w:t> </w:t>
      </w:r>
      <w:r>
        <w:rPr>
          <w:rFonts w:ascii="Arial MT"/>
          <w:spacing w:val="-5"/>
          <w:sz w:val="16"/>
        </w:rPr>
        <w:t>21</w:t>
      </w:r>
      <w:r>
        <w:rPr>
          <w:rFonts w:ascii="Arial MT"/>
          <w:sz w:val="16"/>
        </w:rPr>
        <w:tab/>
        <w:t>Jun</w:t>
      </w:r>
      <w:r>
        <w:rPr>
          <w:rFonts w:ascii="Arial MT"/>
          <w:spacing w:val="-1"/>
          <w:sz w:val="16"/>
        </w:rPr>
        <w:t> </w:t>
      </w:r>
      <w:r>
        <w:rPr>
          <w:rFonts w:ascii="Arial MT"/>
          <w:spacing w:val="-5"/>
          <w:sz w:val="16"/>
        </w:rPr>
        <w:t>22</w:t>
      </w:r>
      <w:r>
        <w:rPr>
          <w:rFonts w:ascii="Arial MT"/>
          <w:sz w:val="16"/>
        </w:rPr>
        <w:tab/>
        <w:t>Jun</w:t>
      </w:r>
      <w:r>
        <w:rPr>
          <w:rFonts w:ascii="Arial MT"/>
          <w:spacing w:val="-3"/>
          <w:sz w:val="16"/>
        </w:rPr>
        <w:t> </w:t>
      </w:r>
      <w:r>
        <w:rPr>
          <w:rFonts w:ascii="Arial MT"/>
          <w:spacing w:val="-5"/>
          <w:sz w:val="16"/>
        </w:rPr>
        <w:t>23</w:t>
      </w:r>
    </w:p>
    <w:p>
      <w:pPr>
        <w:pStyle w:val="BodyText"/>
        <w:spacing w:before="200"/>
        <w:rPr>
          <w:rFonts w:ascii="Arial MT"/>
          <w:sz w:val="22"/>
        </w:rPr>
      </w:pPr>
    </w:p>
    <w:p>
      <w:pPr>
        <w:pStyle w:val="Heading4"/>
      </w:pPr>
      <w:r>
        <w:rPr/>
        <w:t>Net</w:t>
      </w:r>
      <w:r>
        <w:rPr>
          <w:spacing w:val="-3"/>
        </w:rPr>
        <w:t> </w:t>
      </w:r>
      <w:r>
        <w:rPr/>
        <w:t>Other</w:t>
      </w:r>
      <w:r>
        <w:rPr>
          <w:spacing w:val="-1"/>
        </w:rPr>
        <w:t> </w:t>
      </w:r>
      <w:r>
        <w:rPr>
          <w:spacing w:val="-2"/>
        </w:rPr>
        <w:t>Revenue</w:t>
      </w:r>
    </w:p>
    <w:p>
      <w:pPr>
        <w:pStyle w:val="BodyText"/>
        <w:spacing w:line="232" w:lineRule="auto" w:before="146"/>
        <w:ind w:left="720" w:right="718"/>
        <w:jc w:val="both"/>
      </w:pPr>
      <w:r>
        <w:rPr/>
        <w:t>Net other revenue represents certain non-interest sources of revenue, which was higher by $115 million during FY23. The increase was mainly due to the higher investment earnings from the PEBP and PCRF holdings,</w:t>
      </w:r>
      <w:r>
        <w:rPr>
          <w:spacing w:val="40"/>
        </w:rPr>
        <w:t> </w:t>
      </w:r>
      <w:r>
        <w:rPr/>
        <w:t>consistent with prevailing market conditions.</w:t>
      </w:r>
    </w:p>
    <w:p>
      <w:pPr>
        <w:pStyle w:val="BodyText"/>
        <w:spacing w:before="61"/>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4"/>
        <w:gridCol w:w="2806"/>
        <w:gridCol w:w="1084"/>
        <w:gridCol w:w="1016"/>
      </w:tblGrid>
      <w:tr>
        <w:trPr>
          <w:trHeight w:val="471" w:hRule="atLeast"/>
        </w:trPr>
        <w:tc>
          <w:tcPr>
            <w:tcW w:w="4424" w:type="dxa"/>
          </w:tcPr>
          <w:p>
            <w:pPr>
              <w:pStyle w:val="TableParagraph"/>
              <w:spacing w:line="201" w:lineRule="exact"/>
              <w:ind w:left="52"/>
              <w:rPr>
                <w:rFonts w:ascii="Arial"/>
                <w:b/>
                <w:sz w:val="18"/>
              </w:rPr>
            </w:pPr>
            <w:bookmarkStart w:name="_bookmark14" w:id="26"/>
            <w:bookmarkEnd w:id="26"/>
            <w:r>
              <w:rPr/>
            </w:r>
            <w:r>
              <w:rPr>
                <w:rFonts w:ascii="Arial"/>
                <w:b/>
                <w:sz w:val="18"/>
              </w:rPr>
              <w:t>Table</w:t>
            </w:r>
            <w:r>
              <w:rPr>
                <w:rFonts w:ascii="Arial"/>
                <w:b/>
                <w:spacing w:val="-4"/>
                <w:sz w:val="18"/>
              </w:rPr>
              <w:t> </w:t>
            </w:r>
            <w:r>
              <w:rPr>
                <w:rFonts w:ascii="Arial"/>
                <w:b/>
                <w:sz w:val="18"/>
              </w:rPr>
              <w:t>3:</w:t>
            </w:r>
            <w:r>
              <w:rPr>
                <w:rFonts w:ascii="Arial"/>
                <w:b/>
                <w:spacing w:val="-1"/>
                <w:sz w:val="18"/>
              </w:rPr>
              <w:t> </w:t>
            </w:r>
            <w:r>
              <w:rPr>
                <w:rFonts w:ascii="Arial"/>
                <w:b/>
                <w:sz w:val="18"/>
              </w:rPr>
              <w:t>Net</w:t>
            </w:r>
            <w:r>
              <w:rPr>
                <w:rFonts w:ascii="Arial"/>
                <w:b/>
                <w:spacing w:val="-1"/>
                <w:sz w:val="18"/>
              </w:rPr>
              <w:t> </w:t>
            </w:r>
            <w:r>
              <w:rPr>
                <w:rFonts w:ascii="Arial"/>
                <w:b/>
                <w:sz w:val="18"/>
              </w:rPr>
              <w:t>Other</w:t>
            </w:r>
            <w:r>
              <w:rPr>
                <w:rFonts w:ascii="Arial"/>
                <w:b/>
                <w:spacing w:val="-1"/>
                <w:sz w:val="18"/>
              </w:rPr>
              <w:t> </w:t>
            </w:r>
            <w:r>
              <w:rPr>
                <w:rFonts w:ascii="Arial"/>
                <w:b/>
                <w:spacing w:val="-2"/>
                <w:sz w:val="18"/>
              </w:rPr>
              <w:t>Revenue</w:t>
            </w:r>
          </w:p>
          <w:p>
            <w:pPr>
              <w:pStyle w:val="TableParagraph"/>
              <w:spacing w:before="54"/>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4906" w:type="dxa"/>
            <w:gridSpan w:val="3"/>
          </w:tcPr>
          <w:p>
            <w:pPr>
              <w:pStyle w:val="TableParagraph"/>
              <w:rPr>
                <w:rFonts w:ascii="Times New Roman"/>
                <w:sz w:val="18"/>
              </w:rPr>
            </w:pPr>
          </w:p>
        </w:tc>
      </w:tr>
      <w:tr>
        <w:trPr>
          <w:trHeight w:val="230" w:hRule="atLeast"/>
        </w:trPr>
        <w:tc>
          <w:tcPr>
            <w:tcW w:w="4424" w:type="dxa"/>
            <w:tcBorders>
              <w:bottom w:val="single" w:sz="8" w:space="0" w:color="6C6C6C"/>
            </w:tcBorders>
          </w:tcPr>
          <w:p>
            <w:pPr>
              <w:pStyle w:val="TableParagraph"/>
              <w:spacing w:line="183" w:lineRule="exact" w:before="27"/>
              <w:ind w:left="52"/>
              <w:rPr>
                <w:rFonts w:ascii="Arial"/>
                <w:i/>
                <w:sz w:val="16"/>
              </w:rPr>
            </w:pPr>
            <w:r>
              <w:rPr>
                <w:rFonts w:ascii="Arial"/>
                <w:i/>
                <w:color w:val="7F7F7F"/>
                <w:sz w:val="16"/>
              </w:rPr>
              <w:t>For</w:t>
            </w:r>
            <w:r>
              <w:rPr>
                <w:rFonts w:ascii="Arial"/>
                <w:i/>
                <w:color w:val="7F7F7F"/>
                <w:spacing w:val="-3"/>
                <w:sz w:val="16"/>
              </w:rPr>
              <w:t> </w:t>
            </w:r>
            <w:r>
              <w:rPr>
                <w:rFonts w:ascii="Arial"/>
                <w:i/>
                <w:color w:val="7F7F7F"/>
                <w:sz w:val="16"/>
              </w:rPr>
              <w:t>the</w:t>
            </w:r>
            <w:r>
              <w:rPr>
                <w:rFonts w:ascii="Arial"/>
                <w:i/>
                <w:color w:val="7F7F7F"/>
                <w:spacing w:val="-3"/>
                <w:sz w:val="16"/>
              </w:rPr>
              <w:t> </w:t>
            </w:r>
            <w:r>
              <w:rPr>
                <w:rFonts w:ascii="Arial"/>
                <w:i/>
                <w:color w:val="7F7F7F"/>
                <w:sz w:val="16"/>
              </w:rPr>
              <w:t>fiscal</w:t>
            </w:r>
            <w:r>
              <w:rPr>
                <w:rFonts w:ascii="Arial"/>
                <w:i/>
                <w:color w:val="7F7F7F"/>
                <w:spacing w:val="-2"/>
                <w:sz w:val="16"/>
              </w:rPr>
              <w:t> </w:t>
            </w:r>
            <w:r>
              <w:rPr>
                <w:rFonts w:ascii="Arial"/>
                <w:i/>
                <w:color w:val="7F7F7F"/>
                <w:sz w:val="16"/>
              </w:rPr>
              <w:t>year</w:t>
            </w:r>
            <w:r>
              <w:rPr>
                <w:rFonts w:ascii="Arial"/>
                <w:i/>
                <w:color w:val="7F7F7F"/>
                <w:spacing w:val="-2"/>
                <w:sz w:val="16"/>
              </w:rPr>
              <w:t> </w:t>
            </w:r>
            <w:r>
              <w:rPr>
                <w:rFonts w:ascii="Arial"/>
                <w:i/>
                <w:color w:val="7F7F7F"/>
                <w:sz w:val="16"/>
              </w:rPr>
              <w:t>ended</w:t>
            </w:r>
            <w:r>
              <w:rPr>
                <w:rFonts w:ascii="Arial"/>
                <w:i/>
                <w:color w:val="7F7F7F"/>
                <w:spacing w:val="-3"/>
                <w:sz w:val="16"/>
              </w:rPr>
              <w:t> </w:t>
            </w:r>
            <w:r>
              <w:rPr>
                <w:rFonts w:ascii="Arial"/>
                <w:i/>
                <w:color w:val="7F7F7F"/>
                <w:sz w:val="16"/>
              </w:rPr>
              <w:t>June</w:t>
            </w:r>
            <w:r>
              <w:rPr>
                <w:rFonts w:ascii="Arial"/>
                <w:i/>
                <w:color w:val="7F7F7F"/>
                <w:spacing w:val="-3"/>
                <w:sz w:val="16"/>
              </w:rPr>
              <w:t> </w:t>
            </w:r>
            <w:r>
              <w:rPr>
                <w:rFonts w:ascii="Arial"/>
                <w:i/>
                <w:color w:val="7F7F7F"/>
                <w:spacing w:val="-5"/>
                <w:sz w:val="16"/>
              </w:rPr>
              <w:t>30,</w:t>
            </w:r>
          </w:p>
        </w:tc>
        <w:tc>
          <w:tcPr>
            <w:tcW w:w="2806" w:type="dxa"/>
            <w:tcBorders>
              <w:bottom w:val="single" w:sz="8" w:space="0" w:color="6C6C6C"/>
            </w:tcBorders>
          </w:tcPr>
          <w:p>
            <w:pPr>
              <w:pStyle w:val="TableParagraph"/>
              <w:spacing w:line="183" w:lineRule="exact" w:before="27"/>
              <w:ind w:right="80"/>
              <w:jc w:val="right"/>
              <w:rPr>
                <w:rFonts w:ascii="Arial"/>
                <w:i/>
                <w:sz w:val="16"/>
              </w:rPr>
            </w:pPr>
            <w:r>
              <w:rPr>
                <w:rFonts w:ascii="Arial"/>
                <w:i/>
                <w:color w:val="7F7F7F"/>
                <w:spacing w:val="-4"/>
                <w:sz w:val="16"/>
              </w:rPr>
              <w:t>2023</w:t>
            </w:r>
          </w:p>
        </w:tc>
        <w:tc>
          <w:tcPr>
            <w:tcW w:w="1084" w:type="dxa"/>
            <w:tcBorders>
              <w:bottom w:val="single" w:sz="8" w:space="0" w:color="6C6C6C"/>
            </w:tcBorders>
          </w:tcPr>
          <w:p>
            <w:pPr>
              <w:pStyle w:val="TableParagraph"/>
              <w:spacing w:line="183" w:lineRule="exact" w:before="27"/>
              <w:ind w:right="99"/>
              <w:jc w:val="right"/>
              <w:rPr>
                <w:rFonts w:ascii="Arial"/>
                <w:i/>
                <w:sz w:val="16"/>
              </w:rPr>
            </w:pPr>
            <w:r>
              <w:rPr>
                <w:rFonts w:ascii="Arial"/>
                <w:i/>
                <w:color w:val="7F7F7F"/>
                <w:spacing w:val="-4"/>
                <w:sz w:val="16"/>
              </w:rPr>
              <w:t>2022</w:t>
            </w:r>
          </w:p>
        </w:tc>
        <w:tc>
          <w:tcPr>
            <w:tcW w:w="1016" w:type="dxa"/>
            <w:tcBorders>
              <w:bottom w:val="single" w:sz="8" w:space="0" w:color="6C6C6C"/>
            </w:tcBorders>
          </w:tcPr>
          <w:p>
            <w:pPr>
              <w:pStyle w:val="TableParagraph"/>
              <w:spacing w:line="183" w:lineRule="exact" w:before="27"/>
              <w:ind w:right="50"/>
              <w:jc w:val="right"/>
              <w:rPr>
                <w:rFonts w:ascii="Arial"/>
                <w:i/>
                <w:sz w:val="16"/>
              </w:rPr>
            </w:pPr>
            <w:r>
              <w:rPr>
                <w:rFonts w:ascii="Arial"/>
                <w:i/>
                <w:color w:val="7F7F7F"/>
                <w:spacing w:val="-2"/>
                <w:sz w:val="16"/>
              </w:rPr>
              <w:t>Variance</w:t>
            </w:r>
          </w:p>
        </w:tc>
      </w:tr>
      <w:tr>
        <w:trPr>
          <w:trHeight w:val="227" w:hRule="atLeast"/>
        </w:trPr>
        <w:tc>
          <w:tcPr>
            <w:tcW w:w="4424" w:type="dxa"/>
            <w:tcBorders>
              <w:top w:val="single" w:sz="8" w:space="0" w:color="6C6C6C"/>
            </w:tcBorders>
          </w:tcPr>
          <w:p>
            <w:pPr>
              <w:pStyle w:val="TableParagraph"/>
              <w:spacing w:before="12"/>
              <w:ind w:left="52"/>
              <w:rPr>
                <w:sz w:val="16"/>
              </w:rPr>
            </w:pPr>
            <w:r>
              <w:rPr>
                <w:sz w:val="16"/>
              </w:rPr>
              <w:t>Loan</w:t>
            </w:r>
            <w:r>
              <w:rPr>
                <w:spacing w:val="-7"/>
                <w:sz w:val="16"/>
              </w:rPr>
              <w:t> </w:t>
            </w:r>
            <w:r>
              <w:rPr>
                <w:sz w:val="16"/>
              </w:rPr>
              <w:t>commitment</w:t>
            </w:r>
            <w:r>
              <w:rPr>
                <w:spacing w:val="-3"/>
                <w:sz w:val="16"/>
              </w:rPr>
              <w:t> </w:t>
            </w:r>
            <w:r>
              <w:rPr>
                <w:spacing w:val="-4"/>
                <w:sz w:val="16"/>
              </w:rPr>
              <w:t>fees</w:t>
            </w:r>
          </w:p>
        </w:tc>
        <w:tc>
          <w:tcPr>
            <w:tcW w:w="2806" w:type="dxa"/>
            <w:tcBorders>
              <w:top w:val="single" w:sz="8" w:space="0" w:color="6C6C6C"/>
            </w:tcBorders>
          </w:tcPr>
          <w:p>
            <w:pPr>
              <w:pStyle w:val="TableParagraph"/>
              <w:tabs>
                <w:tab w:pos="617" w:val="left" w:leader="none"/>
              </w:tabs>
              <w:spacing w:before="12"/>
              <w:ind w:right="96"/>
              <w:jc w:val="right"/>
              <w:rPr>
                <w:sz w:val="16"/>
              </w:rPr>
            </w:pPr>
            <w:r>
              <w:rPr>
                <w:spacing w:val="-10"/>
                <w:sz w:val="16"/>
              </w:rPr>
              <w:t>$</w:t>
            </w:r>
            <w:r>
              <w:rPr>
                <w:sz w:val="16"/>
              </w:rPr>
              <w:tab/>
            </w:r>
            <w:r>
              <w:rPr>
                <w:spacing w:val="-5"/>
                <w:sz w:val="16"/>
              </w:rPr>
              <w:t>124</w:t>
            </w:r>
          </w:p>
        </w:tc>
        <w:tc>
          <w:tcPr>
            <w:tcW w:w="1084" w:type="dxa"/>
            <w:tcBorders>
              <w:top w:val="single" w:sz="8" w:space="0" w:color="6C6C6C"/>
            </w:tcBorders>
          </w:tcPr>
          <w:p>
            <w:pPr>
              <w:pStyle w:val="TableParagraph"/>
              <w:tabs>
                <w:tab w:pos="700" w:val="left" w:leader="none"/>
              </w:tabs>
              <w:spacing w:before="12"/>
              <w:ind w:left="82"/>
              <w:rPr>
                <w:sz w:val="16"/>
              </w:rPr>
            </w:pPr>
            <w:r>
              <w:rPr>
                <w:spacing w:val="-10"/>
                <w:sz w:val="16"/>
              </w:rPr>
              <w:t>$</w:t>
            </w:r>
            <w:r>
              <w:rPr>
                <w:sz w:val="16"/>
              </w:rPr>
              <w:tab/>
            </w:r>
            <w:r>
              <w:rPr>
                <w:spacing w:val="-5"/>
                <w:sz w:val="16"/>
              </w:rPr>
              <w:t>126</w:t>
            </w:r>
          </w:p>
        </w:tc>
        <w:tc>
          <w:tcPr>
            <w:tcW w:w="1016" w:type="dxa"/>
            <w:tcBorders>
              <w:top w:val="single" w:sz="8" w:space="0" w:color="6C6C6C"/>
            </w:tcBorders>
          </w:tcPr>
          <w:p>
            <w:pPr>
              <w:pStyle w:val="TableParagraph"/>
              <w:tabs>
                <w:tab w:pos="741" w:val="left" w:leader="none"/>
              </w:tabs>
              <w:spacing w:before="12"/>
              <w:ind w:right="12"/>
              <w:jc w:val="right"/>
              <w:rPr>
                <w:sz w:val="16"/>
              </w:rPr>
            </w:pPr>
            <w:r>
              <w:rPr>
                <w:spacing w:val="-10"/>
                <w:sz w:val="16"/>
              </w:rPr>
              <w:t>$</w:t>
            </w:r>
            <w:r>
              <w:rPr>
                <w:sz w:val="16"/>
              </w:rPr>
              <w:tab/>
            </w:r>
            <w:r>
              <w:rPr>
                <w:spacing w:val="-5"/>
                <w:sz w:val="16"/>
              </w:rPr>
              <w:t>(2)</w:t>
            </w:r>
          </w:p>
        </w:tc>
      </w:tr>
      <w:tr>
        <w:trPr>
          <w:trHeight w:val="240" w:hRule="atLeast"/>
        </w:trPr>
        <w:tc>
          <w:tcPr>
            <w:tcW w:w="4424" w:type="dxa"/>
          </w:tcPr>
          <w:p>
            <w:pPr>
              <w:pStyle w:val="TableParagraph"/>
              <w:spacing w:before="25"/>
              <w:ind w:left="52"/>
              <w:rPr>
                <w:sz w:val="16"/>
              </w:rPr>
            </w:pPr>
            <w:r>
              <w:rPr>
                <w:sz w:val="16"/>
              </w:rPr>
              <w:t>Guarantee</w:t>
            </w:r>
            <w:r>
              <w:rPr>
                <w:spacing w:val="-8"/>
                <w:sz w:val="16"/>
              </w:rPr>
              <w:t> </w:t>
            </w:r>
            <w:r>
              <w:rPr>
                <w:spacing w:val="-4"/>
                <w:sz w:val="16"/>
              </w:rPr>
              <w:t>fees</w:t>
            </w:r>
          </w:p>
        </w:tc>
        <w:tc>
          <w:tcPr>
            <w:tcW w:w="2806" w:type="dxa"/>
          </w:tcPr>
          <w:p>
            <w:pPr>
              <w:pStyle w:val="TableParagraph"/>
              <w:spacing w:before="25"/>
              <w:ind w:right="96"/>
              <w:jc w:val="right"/>
              <w:rPr>
                <w:sz w:val="16"/>
              </w:rPr>
            </w:pPr>
            <w:r>
              <w:rPr>
                <w:spacing w:val="-5"/>
                <w:sz w:val="16"/>
              </w:rPr>
              <w:t>15</w:t>
            </w:r>
          </w:p>
        </w:tc>
        <w:tc>
          <w:tcPr>
            <w:tcW w:w="1084" w:type="dxa"/>
          </w:tcPr>
          <w:p>
            <w:pPr>
              <w:pStyle w:val="TableParagraph"/>
              <w:spacing w:before="25"/>
              <w:ind w:right="115"/>
              <w:jc w:val="right"/>
              <w:rPr>
                <w:sz w:val="16"/>
              </w:rPr>
            </w:pPr>
            <w:r>
              <w:rPr>
                <w:spacing w:val="-5"/>
                <w:sz w:val="16"/>
              </w:rPr>
              <w:t>14</w:t>
            </w:r>
          </w:p>
        </w:tc>
        <w:tc>
          <w:tcPr>
            <w:tcW w:w="1016" w:type="dxa"/>
          </w:tcPr>
          <w:p>
            <w:pPr>
              <w:pStyle w:val="TableParagraph"/>
              <w:spacing w:before="25"/>
              <w:ind w:right="66"/>
              <w:jc w:val="right"/>
              <w:rPr>
                <w:sz w:val="16"/>
              </w:rPr>
            </w:pPr>
            <w:r>
              <w:rPr>
                <w:spacing w:val="-10"/>
                <w:sz w:val="16"/>
              </w:rPr>
              <w:t>1</w:t>
            </w:r>
          </w:p>
        </w:tc>
      </w:tr>
      <w:tr>
        <w:trPr>
          <w:trHeight w:val="240" w:hRule="atLeast"/>
        </w:trPr>
        <w:tc>
          <w:tcPr>
            <w:tcW w:w="4424" w:type="dxa"/>
          </w:tcPr>
          <w:p>
            <w:pPr>
              <w:pStyle w:val="TableParagraph"/>
              <w:spacing w:before="25"/>
              <w:ind w:left="52"/>
              <w:rPr>
                <w:sz w:val="16"/>
              </w:rPr>
            </w:pPr>
            <w:r>
              <w:rPr>
                <w:sz w:val="16"/>
              </w:rPr>
              <w:t>Net</w:t>
            </w:r>
            <w:r>
              <w:rPr>
                <w:spacing w:val="-5"/>
                <w:sz w:val="16"/>
              </w:rPr>
              <w:t> </w:t>
            </w:r>
            <w:r>
              <w:rPr>
                <w:sz w:val="16"/>
              </w:rPr>
              <w:t>Earnings</w:t>
            </w:r>
            <w:r>
              <w:rPr>
                <w:spacing w:val="-2"/>
                <w:sz w:val="16"/>
              </w:rPr>
              <w:t> </w:t>
            </w:r>
            <w:r>
              <w:rPr>
                <w:sz w:val="16"/>
              </w:rPr>
              <w:t>from</w:t>
            </w:r>
            <w:r>
              <w:rPr>
                <w:spacing w:val="-2"/>
                <w:sz w:val="16"/>
              </w:rPr>
              <w:t> </w:t>
            </w:r>
            <w:r>
              <w:rPr>
                <w:sz w:val="16"/>
              </w:rPr>
              <w:t>PEBP</w:t>
            </w:r>
            <w:r>
              <w:rPr>
                <w:spacing w:val="-4"/>
                <w:sz w:val="16"/>
              </w:rPr>
              <w:t> </w:t>
            </w:r>
            <w:r>
              <w:rPr>
                <w:sz w:val="16"/>
              </w:rPr>
              <w:t>and</w:t>
            </w:r>
            <w:r>
              <w:rPr>
                <w:spacing w:val="-3"/>
                <w:sz w:val="16"/>
              </w:rPr>
              <w:t> </w:t>
            </w:r>
            <w:r>
              <w:rPr>
                <w:spacing w:val="-4"/>
                <w:sz w:val="16"/>
              </w:rPr>
              <w:t>PCRF</w:t>
            </w:r>
          </w:p>
        </w:tc>
        <w:tc>
          <w:tcPr>
            <w:tcW w:w="2806" w:type="dxa"/>
          </w:tcPr>
          <w:p>
            <w:pPr>
              <w:pStyle w:val="TableParagraph"/>
              <w:spacing w:before="25"/>
              <w:ind w:right="96"/>
              <w:jc w:val="right"/>
              <w:rPr>
                <w:sz w:val="16"/>
              </w:rPr>
            </w:pPr>
            <w:r>
              <w:rPr>
                <w:spacing w:val="-5"/>
                <w:sz w:val="16"/>
              </w:rPr>
              <w:t>74</w:t>
            </w:r>
          </w:p>
        </w:tc>
        <w:tc>
          <w:tcPr>
            <w:tcW w:w="1084" w:type="dxa"/>
          </w:tcPr>
          <w:p>
            <w:pPr>
              <w:pStyle w:val="TableParagraph"/>
              <w:spacing w:before="25"/>
              <w:ind w:right="61"/>
              <w:jc w:val="right"/>
              <w:rPr>
                <w:sz w:val="16"/>
              </w:rPr>
            </w:pPr>
            <w:r>
              <w:rPr>
                <w:spacing w:val="-4"/>
                <w:sz w:val="16"/>
              </w:rPr>
              <w:t>(33)</w:t>
            </w:r>
          </w:p>
        </w:tc>
        <w:tc>
          <w:tcPr>
            <w:tcW w:w="1016" w:type="dxa"/>
          </w:tcPr>
          <w:p>
            <w:pPr>
              <w:pStyle w:val="TableParagraph"/>
              <w:spacing w:before="25"/>
              <w:ind w:right="66"/>
              <w:jc w:val="right"/>
              <w:rPr>
                <w:sz w:val="16"/>
              </w:rPr>
            </w:pPr>
            <w:r>
              <w:rPr>
                <w:spacing w:val="-5"/>
                <w:sz w:val="16"/>
              </w:rPr>
              <w:t>107</w:t>
            </w:r>
          </w:p>
        </w:tc>
      </w:tr>
      <w:tr>
        <w:trPr>
          <w:trHeight w:val="209" w:hRule="atLeast"/>
        </w:trPr>
        <w:tc>
          <w:tcPr>
            <w:tcW w:w="4424" w:type="dxa"/>
          </w:tcPr>
          <w:p>
            <w:pPr>
              <w:pStyle w:val="TableParagraph"/>
              <w:spacing w:line="164" w:lineRule="exact" w:before="25"/>
              <w:ind w:left="52"/>
              <w:rPr>
                <w:sz w:val="16"/>
              </w:rPr>
            </w:pPr>
            <w:r>
              <w:rPr>
                <w:spacing w:val="-2"/>
                <w:sz w:val="16"/>
              </w:rPr>
              <w:t>Others</w:t>
            </w:r>
          </w:p>
        </w:tc>
        <w:tc>
          <w:tcPr>
            <w:tcW w:w="2806" w:type="dxa"/>
          </w:tcPr>
          <w:p>
            <w:pPr>
              <w:pStyle w:val="TableParagraph"/>
              <w:spacing w:line="164" w:lineRule="exact" w:before="25"/>
              <w:ind w:right="96"/>
              <w:jc w:val="right"/>
              <w:rPr>
                <w:sz w:val="16"/>
              </w:rPr>
            </w:pPr>
            <w:r>
              <w:rPr>
                <w:spacing w:val="-10"/>
                <w:sz w:val="16"/>
              </w:rPr>
              <w:t>5</w:t>
            </w:r>
          </w:p>
        </w:tc>
        <w:tc>
          <w:tcPr>
            <w:tcW w:w="1084" w:type="dxa"/>
          </w:tcPr>
          <w:p>
            <w:pPr>
              <w:pStyle w:val="TableParagraph"/>
              <w:spacing w:line="164" w:lineRule="exact" w:before="25"/>
              <w:ind w:right="61"/>
              <w:jc w:val="right"/>
              <w:rPr>
                <w:sz w:val="16"/>
              </w:rPr>
            </w:pPr>
            <w:r>
              <w:rPr>
                <w:spacing w:val="-5"/>
                <w:sz w:val="16"/>
              </w:rPr>
              <w:t>(4)</w:t>
            </w:r>
          </w:p>
        </w:tc>
        <w:tc>
          <w:tcPr>
            <w:tcW w:w="1016" w:type="dxa"/>
          </w:tcPr>
          <w:p>
            <w:pPr>
              <w:pStyle w:val="TableParagraph"/>
              <w:spacing w:line="164" w:lineRule="exact" w:before="25"/>
              <w:ind w:right="66"/>
              <w:jc w:val="right"/>
              <w:rPr>
                <w:sz w:val="16"/>
              </w:rPr>
            </w:pPr>
            <w:r>
              <w:rPr>
                <w:spacing w:val="-10"/>
                <w:sz w:val="16"/>
              </w:rPr>
              <w:t>9</w:t>
            </w:r>
          </w:p>
        </w:tc>
      </w:tr>
    </w:tbl>
    <w:p>
      <w:pPr>
        <w:pStyle w:val="BodyText"/>
        <w:spacing w:before="2"/>
        <w:rPr>
          <w:sz w:val="2"/>
        </w:rPr>
      </w:pPr>
    </w:p>
    <w:p>
      <w:pPr>
        <w:spacing w:line="20" w:lineRule="exact"/>
        <w:ind w:left="6905" w:right="0" w:firstLine="0"/>
        <w:rPr>
          <w:sz w:val="2"/>
        </w:rPr>
      </w:pPr>
      <w:r>
        <w:rPr>
          <w:sz w:val="2"/>
        </w:rPr>
        <mc:AlternateContent>
          <mc:Choice Requires="wps">
            <w:drawing>
              <wp:inline distT="0" distB="0" distL="0" distR="0">
                <wp:extent cx="1990725" cy="12700"/>
                <wp:effectExtent l="9525" t="0" r="0" b="6350"/>
                <wp:docPr id="196" name="Group 196"/>
                <wp:cNvGraphicFramePr>
                  <a:graphicFrameLocks/>
                </wp:cNvGraphicFramePr>
                <a:graphic>
                  <a:graphicData uri="http://schemas.microsoft.com/office/word/2010/wordprocessingGroup">
                    <wpg:wgp>
                      <wpg:cNvPr id="196" name="Group 196"/>
                      <wpg:cNvGrpSpPr/>
                      <wpg:grpSpPr>
                        <a:xfrm>
                          <a:off x="0" y="0"/>
                          <a:ext cx="1990725" cy="12700"/>
                          <a:chExt cx="1990725" cy="12700"/>
                        </a:xfrm>
                      </wpg:grpSpPr>
                      <wps:wsp>
                        <wps:cNvPr id="197" name="Graphic 197"/>
                        <wps:cNvSpPr/>
                        <wps:spPr>
                          <a:xfrm>
                            <a:off x="0" y="6350"/>
                            <a:ext cx="1990725" cy="1270"/>
                          </a:xfrm>
                          <a:custGeom>
                            <a:avLst/>
                            <a:gdLst/>
                            <a:ahLst/>
                            <a:cxnLst/>
                            <a:rect l="l" t="t" r="r" b="b"/>
                            <a:pathLst>
                              <a:path w="1990725" h="0">
                                <a:moveTo>
                                  <a:pt x="0" y="0"/>
                                </a:moveTo>
                                <a:lnTo>
                                  <a:pt x="638175" y="0"/>
                                </a:lnTo>
                              </a:path>
                              <a:path w="1990725" h="0">
                                <a:moveTo>
                                  <a:pt x="676275" y="0"/>
                                </a:moveTo>
                                <a:lnTo>
                                  <a:pt x="1314450" y="0"/>
                                </a:lnTo>
                              </a:path>
                              <a:path w="1990725" h="0">
                                <a:moveTo>
                                  <a:pt x="1352550" y="0"/>
                                </a:moveTo>
                                <a:lnTo>
                                  <a:pt x="19907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75pt;height:1pt;mso-position-horizontal-relative:char;mso-position-vertical-relative:line" id="docshapegroup153" coordorigin="0,0" coordsize="3135,20">
                <v:shape style="position:absolute;left:0;top:10;width:3135;height:2" id="docshape154" coordorigin="0,10" coordsize="3135,0" path="m0,10l1005,10m1065,10l2070,10m2130,10l3135,10e" filled="false" stroked="true" strokeweight="1pt" strokecolor="#000000">
                  <v:path arrowok="t"/>
                  <v:stroke dashstyle="solid"/>
                </v:shape>
              </v:group>
            </w:pict>
          </mc:Fallback>
        </mc:AlternateContent>
      </w:r>
      <w:r>
        <w:rPr>
          <w:sz w:val="2"/>
        </w:rPr>
      </w:r>
    </w:p>
    <w:p>
      <w:pPr>
        <w:tabs>
          <w:tab w:pos="6914" w:val="left" w:leader="none"/>
          <w:tab w:pos="7585" w:val="left" w:leader="none"/>
          <w:tab w:pos="8650" w:val="left" w:leader="none"/>
          <w:tab w:pos="9715" w:val="left" w:leader="none"/>
        </w:tabs>
        <w:spacing w:before="13"/>
        <w:ind w:left="772" w:right="0" w:firstLine="0"/>
        <w:jc w:val="both"/>
        <w:rPr>
          <w:rFonts w:ascii="Arial"/>
          <w:b/>
          <w:sz w:val="16"/>
        </w:rPr>
      </w:pPr>
      <w:r>
        <w:rPr>
          <w:rFonts w:ascii="Arial"/>
          <w:b/>
          <w:sz w:val="16"/>
        </w:rPr>
        <mc:AlternateContent>
          <mc:Choice Requires="wps">
            <w:drawing>
              <wp:anchor distT="0" distB="0" distL="0" distR="0" allowOverlap="1" layoutInCell="1" locked="0" behindDoc="1" simplePos="0" relativeHeight="487616000">
                <wp:simplePos x="0" y="0"/>
                <wp:positionH relativeFrom="page">
                  <wp:posOffset>4848225</wp:posOffset>
                </wp:positionH>
                <wp:positionV relativeFrom="paragraph">
                  <wp:posOffset>159100</wp:posOffset>
                </wp:positionV>
                <wp:extent cx="1990725" cy="127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990725" cy="1270"/>
                        </a:xfrm>
                        <a:custGeom>
                          <a:avLst/>
                          <a:gdLst/>
                          <a:ahLst/>
                          <a:cxnLst/>
                          <a:rect l="l" t="t" r="r" b="b"/>
                          <a:pathLst>
                            <a:path w="1990725" h="0">
                              <a:moveTo>
                                <a:pt x="0" y="0"/>
                              </a:moveTo>
                              <a:lnTo>
                                <a:pt x="638175" y="0"/>
                              </a:lnTo>
                            </a:path>
                            <a:path w="1990725" h="0">
                              <a:moveTo>
                                <a:pt x="676275" y="0"/>
                              </a:moveTo>
                              <a:lnTo>
                                <a:pt x="1314450" y="0"/>
                              </a:lnTo>
                            </a:path>
                            <a:path w="1990725" h="0">
                              <a:moveTo>
                                <a:pt x="1352550" y="0"/>
                              </a:moveTo>
                              <a:lnTo>
                                <a:pt x="1990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1.75pt;margin-top:12.527598pt;width:156.75pt;height:.1pt;mso-position-horizontal-relative:page;mso-position-vertical-relative:paragraph;z-index:-15700480;mso-wrap-distance-left:0;mso-wrap-distance-right:0" id="docshape155" coordorigin="7635,251" coordsize="3135,0" path="m7635,251l8640,251m8700,251l9705,251m9765,251l10770,251e" filled="false" stroked="true" strokeweight="1pt" strokecolor="#000000">
                <v:path arrowok="t"/>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616512">
                <wp:simplePos x="0" y="0"/>
                <wp:positionH relativeFrom="page">
                  <wp:posOffset>914400</wp:posOffset>
                </wp:positionH>
                <wp:positionV relativeFrom="paragraph">
                  <wp:posOffset>298800</wp:posOffset>
                </wp:positionV>
                <wp:extent cx="5924550" cy="127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5924550" cy="1270"/>
                        </a:xfrm>
                        <a:custGeom>
                          <a:avLst/>
                          <a:gdLst/>
                          <a:ahLst/>
                          <a:cxnLst/>
                          <a:rect l="l" t="t" r="r" b="b"/>
                          <a:pathLst>
                            <a:path w="5924550" h="0">
                              <a:moveTo>
                                <a:pt x="0" y="0"/>
                              </a:moveTo>
                              <a:lnTo>
                                <a:pt x="592455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527599pt;width:466.5pt;height:.1pt;mso-position-horizontal-relative:page;mso-position-vertical-relative:paragraph;z-index:-15699968;mso-wrap-distance-left:0;mso-wrap-distance-right:0" id="docshape156" coordorigin="1440,471" coordsize="9330,0" path="m1440,471l10770,471e" filled="false" stroked="true" strokeweight="1pt" strokecolor="#6c6c6c">
                <v:path arrowok="t"/>
                <v:stroke dashstyle="solid"/>
                <w10:wrap type="topAndBottom"/>
              </v:shape>
            </w:pict>
          </mc:Fallback>
        </mc:AlternateContent>
      </w:r>
      <w:r>
        <w:rPr>
          <w:rFonts w:ascii="Arial"/>
          <w:b/>
          <w:sz w:val="16"/>
        </w:rPr>
        <w:t>Net</w:t>
      </w:r>
      <w:r>
        <w:rPr>
          <w:rFonts w:ascii="Arial"/>
          <w:b/>
          <w:spacing w:val="-4"/>
          <w:sz w:val="16"/>
        </w:rPr>
        <w:t> </w:t>
      </w:r>
      <w:r>
        <w:rPr>
          <w:rFonts w:ascii="Arial"/>
          <w:b/>
          <w:sz w:val="16"/>
        </w:rPr>
        <w:t>other</w:t>
      </w:r>
      <w:r>
        <w:rPr>
          <w:rFonts w:ascii="Arial"/>
          <w:b/>
          <w:spacing w:val="-4"/>
          <w:sz w:val="16"/>
        </w:rPr>
        <w:t> </w:t>
      </w:r>
      <w:r>
        <w:rPr>
          <w:rFonts w:ascii="Arial"/>
          <w:b/>
          <w:sz w:val="16"/>
        </w:rPr>
        <w:t>revenue</w:t>
      </w:r>
      <w:r>
        <w:rPr>
          <w:rFonts w:ascii="Arial"/>
          <w:b/>
          <w:spacing w:val="-5"/>
          <w:sz w:val="16"/>
        </w:rPr>
        <w:t> </w:t>
      </w:r>
      <w:r>
        <w:rPr>
          <w:rFonts w:ascii="Arial"/>
          <w:b/>
          <w:sz w:val="16"/>
        </w:rPr>
        <w:t>(Table</w:t>
      </w:r>
      <w:r>
        <w:rPr>
          <w:rFonts w:ascii="Arial"/>
          <w:b/>
          <w:spacing w:val="-4"/>
          <w:sz w:val="16"/>
        </w:rPr>
        <w:t> </w:t>
      </w:r>
      <w:r>
        <w:rPr>
          <w:rFonts w:ascii="Arial"/>
          <w:b/>
          <w:spacing w:val="-5"/>
          <w:sz w:val="16"/>
        </w:rPr>
        <w:t>1)</w:t>
      </w:r>
      <w:r>
        <w:rPr>
          <w:rFonts w:ascii="Arial"/>
          <w:b/>
          <w:sz w:val="16"/>
        </w:rPr>
        <w:tab/>
      </w:r>
      <w:r>
        <w:rPr>
          <w:rFonts w:ascii="Arial"/>
          <w:b/>
          <w:sz w:val="16"/>
          <w:u w:val="single"/>
        </w:rPr>
        <w:t> $</w:t>
        <w:tab/>
        <w:t>218</w:t>
      </w:r>
      <w:r>
        <w:rPr>
          <w:rFonts w:ascii="Arial"/>
          <w:b/>
          <w:spacing w:val="44"/>
          <w:sz w:val="16"/>
          <w:u w:val="single"/>
        </w:rPr>
        <w:t>  </w:t>
      </w:r>
      <w:r>
        <w:rPr>
          <w:rFonts w:ascii="Arial"/>
          <w:b/>
          <w:spacing w:val="-10"/>
          <w:sz w:val="16"/>
          <w:u w:val="single"/>
        </w:rPr>
        <w:t>$</w:t>
      </w:r>
      <w:r>
        <w:rPr>
          <w:rFonts w:ascii="Arial"/>
          <w:b/>
          <w:sz w:val="16"/>
          <w:u w:val="single"/>
        </w:rPr>
        <w:tab/>
        <w:t>103</w:t>
      </w:r>
      <w:r>
        <w:rPr>
          <w:rFonts w:ascii="Arial"/>
          <w:b/>
          <w:spacing w:val="44"/>
          <w:sz w:val="16"/>
          <w:u w:val="single"/>
        </w:rPr>
        <w:t>  </w:t>
      </w:r>
      <w:r>
        <w:rPr>
          <w:rFonts w:ascii="Arial"/>
          <w:b/>
          <w:spacing w:val="-10"/>
          <w:sz w:val="16"/>
          <w:u w:val="single"/>
        </w:rPr>
        <w:t>$</w:t>
      </w:r>
      <w:r>
        <w:rPr>
          <w:rFonts w:ascii="Arial"/>
          <w:b/>
          <w:sz w:val="16"/>
          <w:u w:val="single"/>
        </w:rPr>
        <w:tab/>
      </w:r>
      <w:r>
        <w:rPr>
          <w:rFonts w:ascii="Arial"/>
          <w:b/>
          <w:spacing w:val="-5"/>
          <w:sz w:val="16"/>
          <w:u w:val="single"/>
        </w:rPr>
        <w:t>115</w:t>
      </w:r>
    </w:p>
    <w:p>
      <w:pPr>
        <w:pStyle w:val="BodyText"/>
        <w:spacing w:before="2"/>
        <w:rPr>
          <w:rFonts w:ascii="Arial"/>
          <w:b/>
          <w:sz w:val="16"/>
        </w:rPr>
      </w:pPr>
    </w:p>
    <w:p>
      <w:pPr>
        <w:pStyle w:val="BodyText"/>
        <w:spacing w:after="0"/>
        <w:rPr>
          <w:rFonts w:ascii="Arial"/>
          <w:b/>
          <w:sz w:val="16"/>
        </w:rPr>
        <w:sectPr>
          <w:type w:val="continuous"/>
          <w:pgSz w:w="12240" w:h="15840"/>
          <w:pgMar w:header="744" w:footer="583" w:top="1820" w:bottom="280" w:left="720" w:right="720"/>
        </w:sectPr>
      </w:pPr>
    </w:p>
    <w:p>
      <w:pPr>
        <w:pStyle w:val="BodyText"/>
        <w:spacing w:before="96"/>
        <w:rPr>
          <w:rFonts w:ascii="Arial"/>
          <w:b/>
          <w:sz w:val="22"/>
        </w:rPr>
      </w:pPr>
    </w:p>
    <w:p>
      <w:pPr>
        <w:pStyle w:val="Heading4"/>
      </w:pPr>
      <w:r>
        <w:rPr/>
        <w:t>Net</w:t>
      </w:r>
      <w:r>
        <w:rPr>
          <w:spacing w:val="-3"/>
        </w:rPr>
        <w:t> </w:t>
      </w:r>
      <w:r>
        <w:rPr/>
        <w:t>Non-Interest</w:t>
      </w:r>
      <w:r>
        <w:rPr>
          <w:spacing w:val="-3"/>
        </w:rPr>
        <w:t> </w:t>
      </w:r>
      <w:r>
        <w:rPr>
          <w:spacing w:val="-2"/>
        </w:rPr>
        <w:t>Expenses</w:t>
      </w:r>
    </w:p>
    <w:p>
      <w:pPr>
        <w:pStyle w:val="BodyText"/>
        <w:spacing w:line="249" w:lineRule="auto" w:before="140"/>
        <w:ind w:left="720" w:right="718"/>
        <w:jc w:val="both"/>
      </w:pPr>
      <w:r>
        <w:rPr/>
        <w:t>As shown in Table 4, IBRD’s net non-interest expenses are primarily comprised of administrative expenses, net of revenue from externally funded activities. IBRD and IDA's administrative budget is a single resource envelope that funds the combined work programs of both entities. The allocation of net administrative expenses between IBRD and IDA is based on an agreed cost and revenue sharing methodology, approved by their Boards, which is primarily driven by the relative level of lending, knowledge services, and other services between these two entities. The administrative expenses shown in Table 4 include costs related to IBRD-executed trust funds and other externally funded activities.</w:t>
      </w:r>
    </w:p>
    <w:p>
      <w:pPr>
        <w:spacing w:line="196" w:lineRule="exact" w:before="136"/>
        <w:ind w:left="720" w:right="0" w:firstLine="0"/>
        <w:jc w:val="both"/>
        <w:rPr>
          <w:rFonts w:ascii="Arial"/>
          <w:b/>
          <w:sz w:val="18"/>
        </w:rPr>
      </w:pPr>
      <w:bookmarkStart w:name="_bookmark15" w:id="27"/>
      <w:bookmarkEnd w:id="27"/>
      <w:r>
        <w:rPr/>
      </w:r>
      <w:r>
        <w:rPr>
          <w:rFonts w:ascii="Arial"/>
          <w:b/>
          <w:sz w:val="18"/>
        </w:rPr>
        <w:t>Figure</w:t>
      </w:r>
      <w:r>
        <w:rPr>
          <w:rFonts w:ascii="Arial"/>
          <w:b/>
          <w:spacing w:val="-3"/>
          <w:sz w:val="18"/>
        </w:rPr>
        <w:t> </w:t>
      </w:r>
      <w:r>
        <w:rPr>
          <w:rFonts w:ascii="Arial"/>
          <w:b/>
          <w:sz w:val="18"/>
        </w:rPr>
        <w:t>9:</w:t>
      </w:r>
      <w:r>
        <w:rPr>
          <w:rFonts w:ascii="Arial"/>
          <w:b/>
          <w:spacing w:val="-2"/>
          <w:sz w:val="18"/>
        </w:rPr>
        <w:t> </w:t>
      </w:r>
      <w:r>
        <w:rPr>
          <w:rFonts w:ascii="Arial"/>
          <w:b/>
          <w:sz w:val="18"/>
        </w:rPr>
        <w:t>Net</w:t>
      </w:r>
      <w:r>
        <w:rPr>
          <w:rFonts w:ascii="Arial"/>
          <w:b/>
          <w:spacing w:val="-3"/>
          <w:sz w:val="18"/>
        </w:rPr>
        <w:t> </w:t>
      </w:r>
      <w:r>
        <w:rPr>
          <w:rFonts w:ascii="Arial"/>
          <w:b/>
          <w:sz w:val="18"/>
        </w:rPr>
        <w:t>Non-Interest</w:t>
      </w:r>
      <w:r>
        <w:rPr>
          <w:rFonts w:ascii="Arial"/>
          <w:b/>
          <w:spacing w:val="-2"/>
          <w:sz w:val="18"/>
        </w:rPr>
        <w:t> </w:t>
      </w:r>
      <w:r>
        <w:rPr>
          <w:rFonts w:ascii="Arial"/>
          <w:b/>
          <w:sz w:val="18"/>
        </w:rPr>
        <w:t>Expenses</w:t>
      </w:r>
      <w:r>
        <w:rPr>
          <w:rFonts w:ascii="Arial"/>
          <w:b/>
          <w:spacing w:val="-3"/>
          <w:sz w:val="18"/>
        </w:rPr>
        <w:t> </w:t>
      </w:r>
      <w:r>
        <w:rPr>
          <w:rFonts w:ascii="Arial"/>
          <w:b/>
          <w:sz w:val="18"/>
        </w:rPr>
        <w:t>(GAAP</w:t>
      </w:r>
      <w:r>
        <w:rPr>
          <w:rFonts w:ascii="Arial"/>
          <w:b/>
          <w:spacing w:val="-2"/>
          <w:sz w:val="18"/>
        </w:rPr>
        <w:t> basis)</w:t>
      </w:r>
    </w:p>
    <w:p>
      <w:pPr>
        <w:spacing w:line="173" w:lineRule="exact" w:before="0"/>
        <w:ind w:left="720"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91"/>
        <w:rPr>
          <w:rFonts w:ascii="Arial"/>
          <w:i/>
          <w:sz w:val="16"/>
        </w:rPr>
      </w:pPr>
    </w:p>
    <w:p>
      <w:pPr>
        <w:spacing w:before="1"/>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2944">
                <wp:simplePos x="0" y="0"/>
                <wp:positionH relativeFrom="page">
                  <wp:posOffset>1447800</wp:posOffset>
                </wp:positionH>
                <wp:positionV relativeFrom="paragraph">
                  <wp:posOffset>45819</wp:posOffset>
                </wp:positionV>
                <wp:extent cx="2181225"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114pt,3.607812pt" to="285.75pt,3.607812pt" stroked="true" strokeweight=".75pt" strokecolor="#e6e6e6">
                <v:stroke dashstyle="solid"/>
                <w10:wrap type="none"/>
              </v:line>
            </w:pict>
          </mc:Fallback>
        </mc:AlternateContent>
      </w:r>
      <w:r>
        <w:rPr>
          <w:rFonts w:ascii="Arial MT"/>
          <w:spacing w:val="-2"/>
          <w:sz w:val="16"/>
        </w:rPr>
        <w:t>1,800</w:t>
      </w:r>
    </w:p>
    <w:p>
      <w:pPr>
        <w:spacing w:before="71"/>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2432">
                <wp:simplePos x="0" y="0"/>
                <wp:positionH relativeFrom="page">
                  <wp:posOffset>1447800</wp:posOffset>
                </wp:positionH>
                <wp:positionV relativeFrom="paragraph">
                  <wp:posOffset>95041</wp:posOffset>
                </wp:positionV>
                <wp:extent cx="2181225" cy="18732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181225" cy="187325"/>
                          <a:chExt cx="2181225" cy="187325"/>
                        </a:xfrm>
                      </wpg:grpSpPr>
                      <wps:wsp>
                        <wps:cNvPr id="202" name="Graphic 202"/>
                        <wps:cNvSpPr/>
                        <wps:spPr>
                          <a:xfrm>
                            <a:off x="0" y="4762"/>
                            <a:ext cx="2181225" cy="152400"/>
                          </a:xfrm>
                          <a:custGeom>
                            <a:avLst/>
                            <a:gdLst/>
                            <a:ahLst/>
                            <a:cxnLst/>
                            <a:rect l="l" t="t" r="r" b="b"/>
                            <a:pathLst>
                              <a:path w="2181225" h="152400">
                                <a:moveTo>
                                  <a:pt x="0" y="152400"/>
                                </a:moveTo>
                                <a:lnTo>
                                  <a:pt x="2181225" y="152400"/>
                                </a:lnTo>
                              </a:path>
                              <a:path w="2181225" h="15240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wps:wsp>
                        <wps:cNvPr id="203" name="Graphic 203"/>
                        <wps:cNvSpPr/>
                        <wps:spPr>
                          <a:xfrm>
                            <a:off x="218122" y="52387"/>
                            <a:ext cx="1744980" cy="120650"/>
                          </a:xfrm>
                          <a:custGeom>
                            <a:avLst/>
                            <a:gdLst/>
                            <a:ahLst/>
                            <a:cxnLst/>
                            <a:rect l="l" t="t" r="r" b="b"/>
                            <a:pathLst>
                              <a:path w="1744980" h="120650">
                                <a:moveTo>
                                  <a:pt x="0" y="120650"/>
                                </a:moveTo>
                                <a:lnTo>
                                  <a:pt x="43624" y="118090"/>
                                </a:lnTo>
                                <a:lnTo>
                                  <a:pt x="152685" y="110648"/>
                                </a:lnTo>
                                <a:lnTo>
                                  <a:pt x="294465" y="98682"/>
                                </a:lnTo>
                                <a:lnTo>
                                  <a:pt x="436244" y="82550"/>
                                </a:lnTo>
                                <a:lnTo>
                                  <a:pt x="491418" y="73363"/>
                                </a:lnTo>
                                <a:lnTo>
                                  <a:pt x="541566" y="62400"/>
                                </a:lnTo>
                                <a:lnTo>
                                  <a:pt x="588122" y="50423"/>
                                </a:lnTo>
                                <a:lnTo>
                                  <a:pt x="632525" y="38195"/>
                                </a:lnTo>
                                <a:lnTo>
                                  <a:pt x="676209" y="26480"/>
                                </a:lnTo>
                                <a:lnTo>
                                  <a:pt x="720612" y="16039"/>
                                </a:lnTo>
                                <a:lnTo>
                                  <a:pt x="767168" y="7637"/>
                                </a:lnTo>
                                <a:lnTo>
                                  <a:pt x="817316" y="2036"/>
                                </a:lnTo>
                                <a:lnTo>
                                  <a:pt x="872489" y="0"/>
                                </a:lnTo>
                                <a:lnTo>
                                  <a:pt x="922396" y="3259"/>
                                </a:lnTo>
                                <a:lnTo>
                                  <a:pt x="968114" y="12107"/>
                                </a:lnTo>
                                <a:lnTo>
                                  <a:pt x="1010692" y="25146"/>
                                </a:lnTo>
                                <a:lnTo>
                                  <a:pt x="1051175" y="40978"/>
                                </a:lnTo>
                                <a:lnTo>
                                  <a:pt x="1090612" y="58208"/>
                                </a:lnTo>
                                <a:lnTo>
                                  <a:pt x="1130049" y="75438"/>
                                </a:lnTo>
                                <a:lnTo>
                                  <a:pt x="1170532" y="91270"/>
                                </a:lnTo>
                                <a:lnTo>
                                  <a:pt x="1213110" y="104309"/>
                                </a:lnTo>
                                <a:lnTo>
                                  <a:pt x="1258828" y="113157"/>
                                </a:lnTo>
                                <a:lnTo>
                                  <a:pt x="1308734" y="116417"/>
                                </a:lnTo>
                                <a:lnTo>
                                  <a:pt x="1450514" y="109885"/>
                                </a:lnTo>
                                <a:lnTo>
                                  <a:pt x="1592294" y="95514"/>
                                </a:lnTo>
                                <a:lnTo>
                                  <a:pt x="1701355" y="81144"/>
                                </a:lnTo>
                                <a:lnTo>
                                  <a:pt x="1744979" y="74612"/>
                                </a:lnTo>
                              </a:path>
                            </a:pathLst>
                          </a:custGeom>
                          <a:ln w="28575">
                            <a:solidFill>
                              <a:srgbClr val="49494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pt;margin-top:7.483594pt;width:171.75pt;height:14.75pt;mso-position-horizontal-relative:page;mso-position-vertical-relative:paragraph;z-index:15762432" id="docshapegroup157" coordorigin="2280,150" coordsize="3435,295">
                <v:shape style="position:absolute;left:2280;top:157;width:3435;height:240" id="docshape158" coordorigin="2280,157" coordsize="3435,240" path="m2280,397l5715,397m2280,157l5715,157e" filled="false" stroked="true" strokeweight=".75pt" strokecolor="#e6e6e6">
                  <v:path arrowok="t"/>
                  <v:stroke dashstyle="solid"/>
                </v:shape>
                <v:shape style="position:absolute;left:2623;top:232;width:2748;height:190" id="docshape159" coordorigin="2623,232" coordsize="2748,190" path="m2623,422l2692,418,2864,406,3087,388,3310,362,3397,348,3476,330,3550,312,3620,292,3688,274,3758,257,3832,244,3911,235,3997,232,4076,237,4148,251,4215,272,4279,297,4341,324,4403,351,4467,376,4534,396,4606,410,4684,416,4908,405,5131,383,5303,360,5371,350e" filled="false" stroked="true" strokeweight="2.25pt" strokecolor="#494949">
                  <v:path arrowok="t"/>
                  <v:stroke dashstyle="solid"/>
                </v:shape>
                <w10:wrap type="none"/>
              </v:group>
            </w:pict>
          </mc:Fallback>
        </mc:AlternateContent>
      </w:r>
      <w:r>
        <w:rPr>
          <w:rFonts w:ascii="Arial MT"/>
          <w:spacing w:val="-2"/>
          <w:sz w:val="16"/>
        </w:rPr>
        <w:t>1,500</w:t>
      </w:r>
    </w:p>
    <w:p>
      <w:pPr>
        <w:spacing w:before="56"/>
        <w:ind w:left="0" w:right="9477" w:firstLine="0"/>
        <w:jc w:val="right"/>
        <w:rPr>
          <w:rFonts w:ascii="Arial MT"/>
          <w:sz w:val="16"/>
        </w:rPr>
      </w:pPr>
      <w:r>
        <w:rPr>
          <w:rFonts w:ascii="Arial MT"/>
          <w:spacing w:val="-2"/>
          <w:sz w:val="16"/>
        </w:rPr>
        <w:t>1,200</w:t>
      </w:r>
    </w:p>
    <w:p>
      <w:pPr>
        <w:spacing w:before="71"/>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1920">
                <wp:simplePos x="0" y="0"/>
                <wp:positionH relativeFrom="page">
                  <wp:posOffset>1447800</wp:posOffset>
                </wp:positionH>
                <wp:positionV relativeFrom="paragraph">
                  <wp:posOffset>99823</wp:posOffset>
                </wp:positionV>
                <wp:extent cx="2181225" cy="12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114pt,7.860156pt" to="285.75pt,7.860156pt" stroked="true" strokeweight=".75pt" strokecolor="#e6e6e6">
                <v:stroke dashstyle="solid"/>
                <w10:wrap type="none"/>
              </v:line>
            </w:pict>
          </mc:Fallback>
        </mc:AlternateContent>
      </w:r>
      <w:r>
        <w:rPr>
          <w:rFonts w:ascii="Arial MT"/>
          <w:spacing w:val="-5"/>
          <w:sz w:val="16"/>
        </w:rPr>
        <w:t>900</w:t>
      </w:r>
    </w:p>
    <w:p>
      <w:pPr>
        <w:spacing w:before="71"/>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1408">
                <wp:simplePos x="0" y="0"/>
                <wp:positionH relativeFrom="page">
                  <wp:posOffset>1447800</wp:posOffset>
                </wp:positionH>
                <wp:positionV relativeFrom="paragraph">
                  <wp:posOffset>99833</wp:posOffset>
                </wp:positionV>
                <wp:extent cx="2181225" cy="127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114pt,7.860938pt" to="285.75pt,7.860938pt" stroked="true" strokeweight=".75pt" strokecolor="#e6e6e6">
                <v:stroke dashstyle="solid"/>
                <w10:wrap type="none"/>
              </v:line>
            </w:pict>
          </mc:Fallback>
        </mc:AlternateContent>
      </w:r>
      <w:r>
        <w:rPr>
          <w:rFonts w:ascii="Arial MT"/>
          <w:spacing w:val="-5"/>
          <w:sz w:val="16"/>
        </w:rPr>
        <w:t>600</w:t>
      </w:r>
    </w:p>
    <w:p>
      <w:pPr>
        <w:spacing w:before="56"/>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0896">
                <wp:simplePos x="0" y="0"/>
                <wp:positionH relativeFrom="page">
                  <wp:posOffset>1447800</wp:posOffset>
                </wp:positionH>
                <wp:positionV relativeFrom="paragraph">
                  <wp:posOffset>90318</wp:posOffset>
                </wp:positionV>
                <wp:extent cx="218122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14pt,7.111719pt" to="285.75pt,7.111719pt" stroked="true" strokeweight=".75pt" strokecolor="#e6e6e6">
                <v:stroke dashstyle="solid"/>
                <w10:wrap type="none"/>
              </v:line>
            </w:pict>
          </mc:Fallback>
        </mc:AlternateContent>
      </w:r>
      <w:r>
        <w:rPr>
          <w:rFonts w:ascii="Arial MT"/>
          <w:spacing w:val="-5"/>
          <w:sz w:val="16"/>
        </w:rPr>
        <w:t>300</w:t>
      </w:r>
    </w:p>
    <w:p>
      <w:pPr>
        <w:spacing w:before="71"/>
        <w:ind w:left="0" w:right="9477"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0384">
                <wp:simplePos x="0" y="0"/>
                <wp:positionH relativeFrom="page">
                  <wp:posOffset>1447800</wp:posOffset>
                </wp:positionH>
                <wp:positionV relativeFrom="paragraph">
                  <wp:posOffset>99853</wp:posOffset>
                </wp:positionV>
                <wp:extent cx="2181225"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181225" cy="1270"/>
                        </a:xfrm>
                        <a:custGeom>
                          <a:avLst/>
                          <a:gdLst/>
                          <a:ahLst/>
                          <a:cxnLst/>
                          <a:rect l="l" t="t" r="r" b="b"/>
                          <a:pathLst>
                            <a:path w="2181225" h="0">
                              <a:moveTo>
                                <a:pt x="0" y="0"/>
                              </a:moveTo>
                              <a:lnTo>
                                <a:pt x="2181225" y="0"/>
                              </a:lnTo>
                            </a:path>
                          </a:pathLst>
                        </a:custGeom>
                        <a:ln w="9525">
                          <a:solidFill>
                            <a:srgbClr val="E6E6E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114pt,7.8625pt" to="285.75pt,7.8625pt" stroked="true" strokeweight=".75pt" strokecolor="#e6e6e6">
                <v:stroke dashstyle="solid"/>
                <w10:wrap type="none"/>
              </v:line>
            </w:pict>
          </mc:Fallback>
        </mc:AlternateContent>
      </w:r>
      <w:r>
        <w:rPr>
          <w:rFonts w:ascii="Arial MT"/>
          <w:spacing w:val="-10"/>
          <w:sz w:val="16"/>
        </w:rPr>
        <w:t>0</w:t>
      </w:r>
    </w:p>
    <w:p>
      <w:pPr>
        <w:tabs>
          <w:tab w:pos="2373" w:val="left" w:leader="none"/>
          <w:tab w:pos="3063" w:val="left" w:leader="none"/>
          <w:tab w:pos="3753" w:val="left" w:leader="none"/>
          <w:tab w:pos="4443" w:val="left" w:leader="none"/>
        </w:tabs>
        <w:spacing w:before="26"/>
        <w:ind w:left="1684" w:right="0" w:firstLine="0"/>
        <w:jc w:val="left"/>
        <w:rPr>
          <w:rFonts w:ascii="Arial MT"/>
          <w:sz w:val="16"/>
        </w:rPr>
      </w:pPr>
      <w:r>
        <w:rPr>
          <w:rFonts w:ascii="Arial MT"/>
          <w:spacing w:val="-4"/>
          <w:sz w:val="16"/>
        </w:rPr>
        <w:t>FY19</w:t>
      </w:r>
      <w:r>
        <w:rPr>
          <w:rFonts w:ascii="Arial MT"/>
          <w:sz w:val="16"/>
        </w:rPr>
        <w:tab/>
      </w:r>
      <w:r>
        <w:rPr>
          <w:rFonts w:ascii="Arial MT"/>
          <w:spacing w:val="-4"/>
          <w:sz w:val="16"/>
        </w:rPr>
        <w:t>FY20</w:t>
      </w:r>
      <w:r>
        <w:rPr>
          <w:rFonts w:ascii="Arial MT"/>
          <w:sz w:val="16"/>
        </w:rPr>
        <w:tab/>
      </w:r>
      <w:r>
        <w:rPr>
          <w:rFonts w:ascii="Arial MT"/>
          <w:spacing w:val="-4"/>
          <w:sz w:val="16"/>
        </w:rPr>
        <w:t>FY21</w:t>
      </w:r>
      <w:r>
        <w:rPr>
          <w:rFonts w:ascii="Arial MT"/>
          <w:sz w:val="16"/>
        </w:rPr>
        <w:tab/>
      </w:r>
      <w:r>
        <w:rPr>
          <w:rFonts w:ascii="Arial MT"/>
          <w:spacing w:val="-4"/>
          <w:sz w:val="16"/>
        </w:rPr>
        <w:t>FY22</w:t>
      </w:r>
      <w:r>
        <w:rPr>
          <w:rFonts w:ascii="Arial MT"/>
          <w:sz w:val="16"/>
        </w:rPr>
        <w:tab/>
      </w:r>
      <w:r>
        <w:rPr>
          <w:rFonts w:ascii="Arial MT"/>
          <w:spacing w:val="-4"/>
          <w:sz w:val="16"/>
        </w:rPr>
        <w:t>FY23</w:t>
      </w:r>
    </w:p>
    <w:p>
      <w:pPr>
        <w:pStyle w:val="BodyText"/>
        <w:spacing w:before="157"/>
        <w:rPr>
          <w:rFonts w:ascii="Arial MT"/>
        </w:rPr>
      </w:pPr>
    </w:p>
    <w:p>
      <w:pPr>
        <w:pStyle w:val="BodyText"/>
        <w:spacing w:line="232" w:lineRule="auto"/>
        <w:ind w:left="720" w:right="718"/>
        <w:jc w:val="both"/>
      </w:pPr>
      <w:r>
        <w:rPr/>
        <w:t>The</w:t>
      </w:r>
      <w:r>
        <w:rPr>
          <w:spacing w:val="-2"/>
        </w:rPr>
        <w:t> </w:t>
      </w:r>
      <w:r>
        <w:rPr/>
        <w:t>increase</w:t>
      </w:r>
      <w:r>
        <w:rPr>
          <w:spacing w:val="-2"/>
        </w:rPr>
        <w:t> </w:t>
      </w:r>
      <w:r>
        <w:rPr/>
        <w:t>in</w:t>
      </w:r>
      <w:r>
        <w:rPr>
          <w:spacing w:val="-1"/>
        </w:rPr>
        <w:t> </w:t>
      </w:r>
      <w:r>
        <w:rPr/>
        <w:t>net</w:t>
      </w:r>
      <w:r>
        <w:rPr>
          <w:spacing w:val="-2"/>
        </w:rPr>
        <w:t> </w:t>
      </w:r>
      <w:r>
        <w:rPr/>
        <w:t>non-interest</w:t>
      </w:r>
      <w:r>
        <w:rPr>
          <w:spacing w:val="-2"/>
        </w:rPr>
        <w:t> </w:t>
      </w:r>
      <w:r>
        <w:rPr/>
        <w:t>expenses</w:t>
      </w:r>
      <w:r>
        <w:rPr>
          <w:spacing w:val="-2"/>
        </w:rPr>
        <w:t> </w:t>
      </w:r>
      <w:r>
        <w:rPr/>
        <w:t>on</w:t>
      </w:r>
      <w:r>
        <w:rPr>
          <w:spacing w:val="-1"/>
        </w:rPr>
        <w:t> </w:t>
      </w:r>
      <w:r>
        <w:rPr/>
        <w:t>both</w:t>
      </w:r>
      <w:r>
        <w:rPr>
          <w:spacing w:val="-1"/>
        </w:rPr>
        <w:t> </w:t>
      </w:r>
      <w:r>
        <w:rPr/>
        <w:t>a</w:t>
      </w:r>
      <w:r>
        <w:rPr>
          <w:spacing w:val="-2"/>
        </w:rPr>
        <w:t> </w:t>
      </w:r>
      <w:r>
        <w:rPr/>
        <w:t>GAAP</w:t>
      </w:r>
      <w:r>
        <w:rPr>
          <w:spacing w:val="-2"/>
        </w:rPr>
        <w:t> </w:t>
      </w:r>
      <w:r>
        <w:rPr/>
        <w:t>basis</w:t>
      </w:r>
      <w:r>
        <w:rPr>
          <w:spacing w:val="-2"/>
        </w:rPr>
        <w:t> </w:t>
      </w:r>
      <w:r>
        <w:rPr/>
        <w:t>and</w:t>
      </w:r>
      <w:r>
        <w:rPr>
          <w:spacing w:val="-1"/>
        </w:rPr>
        <w:t> </w:t>
      </w:r>
      <w:r>
        <w:rPr/>
        <w:t>allocable</w:t>
      </w:r>
      <w:r>
        <w:rPr>
          <w:spacing w:val="-2"/>
        </w:rPr>
        <w:t> </w:t>
      </w:r>
      <w:r>
        <w:rPr/>
        <w:t>income</w:t>
      </w:r>
      <w:r>
        <w:rPr>
          <w:spacing w:val="-2"/>
        </w:rPr>
        <w:t> </w:t>
      </w:r>
      <w:r>
        <w:rPr/>
        <w:t>basis</w:t>
      </w:r>
      <w:r>
        <w:rPr>
          <w:spacing w:val="-2"/>
        </w:rPr>
        <w:t> </w:t>
      </w:r>
      <w:r>
        <w:rPr/>
        <w:t>from</w:t>
      </w:r>
      <w:r>
        <w:rPr>
          <w:spacing w:val="-2"/>
        </w:rPr>
        <w:t> </w:t>
      </w:r>
      <w:r>
        <w:rPr/>
        <w:t>FY22</w:t>
      </w:r>
      <w:r>
        <w:rPr>
          <w:spacing w:val="-1"/>
        </w:rPr>
        <w:t> </w:t>
      </w:r>
      <w:r>
        <w:rPr/>
        <w:t>to</w:t>
      </w:r>
      <w:r>
        <w:rPr>
          <w:spacing w:val="-1"/>
        </w:rPr>
        <w:t> </w:t>
      </w:r>
      <w:r>
        <w:rPr/>
        <w:t>FY23</w:t>
      </w:r>
      <w:r>
        <w:rPr>
          <w:spacing w:val="-1"/>
        </w:rPr>
        <w:t> </w:t>
      </w:r>
      <w:r>
        <w:rPr/>
        <w:t>was primarily driven by higher staff costs and higher travel expenses (Table 4). Travel expenses have been gradually increasing since the easing of the COVID-19-related travel restrictions and office closures and are now approximately 83% of the pre-COVID level for the World Bank.</w:t>
      </w:r>
    </w:p>
    <w:p>
      <w:pPr>
        <w:pStyle w:val="BodyText"/>
        <w:spacing w:line="232" w:lineRule="auto" w:before="228"/>
        <w:ind w:left="720" w:right="718"/>
        <w:jc w:val="both"/>
      </w:pPr>
      <w:r>
        <w:rPr/>
        <w:t>IBRD’s goal is to have its net administrative expenses covered by its loan spread revenue (Box 2) and certain fee revenue, using an efficiency measure referred to as the Budget Anchor. In FY23, IBRD’s Budget Anchor was</w:t>
      </w:r>
      <w:r>
        <w:rPr>
          <w:spacing w:val="40"/>
        </w:rPr>
        <w:t> </w:t>
      </w:r>
      <w:r>
        <w:rPr/>
        <w:t>60.3%, an improvement of 5.1 percentage points compared with 65.4% in FY22. The improvement was due to an increase in loan spread revenue, partially offset by an increase in net non-interest expenses during the year (see</w:t>
      </w:r>
      <w:r>
        <w:rPr>
          <w:spacing w:val="40"/>
        </w:rPr>
        <w:t> </w:t>
      </w:r>
      <w:r>
        <w:rPr/>
        <w:t>Table 5 for details of the Budget Anchor components).</w:t>
      </w:r>
    </w:p>
    <w:p>
      <w:pPr>
        <w:pStyle w:val="BodyText"/>
        <w:spacing w:after="0" w:line="232" w:lineRule="auto"/>
        <w:jc w:val="both"/>
        <w:sectPr>
          <w:pgSz w:w="12240" w:h="15840"/>
          <w:pgMar w:header="744" w:footer="713" w:top="1020" w:bottom="900" w:left="720" w:right="72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0"/>
        <w:rPr>
          <w:sz w:val="16"/>
        </w:rPr>
      </w:pPr>
    </w:p>
    <w:p>
      <w:pPr>
        <w:spacing w:before="0"/>
        <w:ind w:left="828"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63456">
                <wp:simplePos x="0" y="0"/>
                <wp:positionH relativeFrom="page">
                  <wp:posOffset>876300</wp:posOffset>
                </wp:positionH>
                <wp:positionV relativeFrom="paragraph">
                  <wp:posOffset>-3768863</wp:posOffset>
                </wp:positionV>
                <wp:extent cx="6115050" cy="420687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6115050" cy="42068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5"/>
                              <w:gridCol w:w="436"/>
                              <w:gridCol w:w="786"/>
                              <w:gridCol w:w="475"/>
                              <w:gridCol w:w="786"/>
                              <w:gridCol w:w="459"/>
                              <w:gridCol w:w="615"/>
                            </w:tblGrid>
                            <w:tr>
                              <w:trPr>
                                <w:trHeight w:val="670" w:hRule="atLeast"/>
                              </w:trPr>
                              <w:tc>
                                <w:tcPr>
                                  <w:tcW w:w="5955" w:type="dxa"/>
                                  <w:tcBorders>
                                    <w:bottom w:val="single" w:sz="8" w:space="0" w:color="6C6C6C"/>
                                  </w:tcBorders>
                                </w:tcPr>
                                <w:p>
                                  <w:pPr>
                                    <w:pStyle w:val="TableParagraph"/>
                                    <w:spacing w:line="201" w:lineRule="exact"/>
                                    <w:ind w:left="52"/>
                                    <w:rPr>
                                      <w:rFonts w:ascii="Arial"/>
                                      <w:b/>
                                      <w:sz w:val="18"/>
                                    </w:rPr>
                                  </w:pPr>
                                  <w:r>
                                    <w:rPr>
                                      <w:rFonts w:ascii="Arial"/>
                                      <w:b/>
                                      <w:sz w:val="18"/>
                                    </w:rPr>
                                    <w:t>Table</w:t>
                                  </w:r>
                                  <w:r>
                                    <w:rPr>
                                      <w:rFonts w:ascii="Arial"/>
                                      <w:b/>
                                      <w:spacing w:val="-3"/>
                                      <w:sz w:val="18"/>
                                    </w:rPr>
                                    <w:t> </w:t>
                                  </w:r>
                                  <w:r>
                                    <w:rPr>
                                      <w:rFonts w:ascii="Arial"/>
                                      <w:b/>
                                      <w:sz w:val="18"/>
                                    </w:rPr>
                                    <w:t>4:</w:t>
                                  </w:r>
                                  <w:r>
                                    <w:rPr>
                                      <w:rFonts w:ascii="Arial"/>
                                      <w:b/>
                                      <w:spacing w:val="-2"/>
                                      <w:sz w:val="18"/>
                                    </w:rPr>
                                    <w:t> </w:t>
                                  </w:r>
                                  <w:r>
                                    <w:rPr>
                                      <w:rFonts w:ascii="Arial"/>
                                      <w:b/>
                                      <w:sz w:val="18"/>
                                    </w:rPr>
                                    <w:t>Net</w:t>
                                  </w:r>
                                  <w:r>
                                    <w:rPr>
                                      <w:rFonts w:ascii="Arial"/>
                                      <w:b/>
                                      <w:spacing w:val="-2"/>
                                      <w:sz w:val="18"/>
                                    </w:rPr>
                                    <w:t> </w:t>
                                  </w:r>
                                  <w:r>
                                    <w:rPr>
                                      <w:rFonts w:ascii="Arial"/>
                                      <w:b/>
                                      <w:sz w:val="18"/>
                                    </w:rPr>
                                    <w:t>Non-Interest</w:t>
                                  </w:r>
                                  <w:r>
                                    <w:rPr>
                                      <w:rFonts w:ascii="Arial"/>
                                      <w:b/>
                                      <w:spacing w:val="-2"/>
                                      <w:sz w:val="18"/>
                                    </w:rPr>
                                    <w:t> Expenses</w:t>
                                  </w:r>
                                </w:p>
                                <w:p>
                                  <w:pPr>
                                    <w:pStyle w:val="TableParagraph"/>
                                    <w:spacing w:before="41"/>
                                    <w:ind w:left="52"/>
                                    <w:rPr>
                                      <w:sz w:val="16"/>
                                    </w:rPr>
                                  </w:pPr>
                                  <w:r>
                                    <w:rPr>
                                      <w:sz w:val="16"/>
                                    </w:rPr>
                                    <w:t>In</w:t>
                                  </w:r>
                                  <w:r>
                                    <w:rPr>
                                      <w:spacing w:val="-3"/>
                                      <w:sz w:val="16"/>
                                    </w:rPr>
                                    <w:t> </w:t>
                                  </w:r>
                                  <w:r>
                                    <w:rPr>
                                      <w:sz w:val="16"/>
                                    </w:rPr>
                                    <w:t>millions</w:t>
                                  </w:r>
                                  <w:r>
                                    <w:rPr>
                                      <w:spacing w:val="-2"/>
                                      <w:sz w:val="16"/>
                                    </w:rPr>
                                    <w:t> </w:t>
                                  </w:r>
                                  <w:r>
                                    <w:rPr>
                                      <w:sz w:val="16"/>
                                    </w:rPr>
                                    <w:t>of</w:t>
                                  </w:r>
                                  <w:r>
                                    <w:rPr>
                                      <w:spacing w:val="-2"/>
                                      <w:sz w:val="16"/>
                                    </w:rPr>
                                    <w:t> </w:t>
                                  </w:r>
                                  <w:r>
                                    <w:rPr>
                                      <w:sz w:val="16"/>
                                    </w:rPr>
                                    <w:t>U.S.</w:t>
                                  </w:r>
                                  <w:r>
                                    <w:rPr>
                                      <w:spacing w:val="-2"/>
                                      <w:sz w:val="16"/>
                                    </w:rPr>
                                    <w:t> dollars</w:t>
                                  </w:r>
                                </w:p>
                                <w:p>
                                  <w:pPr>
                                    <w:pStyle w:val="TableParagraph"/>
                                    <w:spacing w:line="183" w:lineRule="exact" w:before="41"/>
                                    <w:ind w:left="108"/>
                                    <w:rPr>
                                      <w:rFonts w:ascii="Arial"/>
                                      <w:i/>
                                      <w:sz w:val="16"/>
                                    </w:rPr>
                                  </w:pPr>
                                  <w:r>
                                    <w:rPr>
                                      <w:rFonts w:ascii="Arial"/>
                                      <w:i/>
                                      <w:color w:val="A5A5A5"/>
                                      <w:sz w:val="16"/>
                                    </w:rPr>
                                    <w:t>For</w:t>
                                  </w:r>
                                  <w:r>
                                    <w:rPr>
                                      <w:rFonts w:ascii="Arial"/>
                                      <w:i/>
                                      <w:color w:val="A5A5A5"/>
                                      <w:spacing w:val="-3"/>
                                      <w:sz w:val="16"/>
                                    </w:rPr>
                                    <w:t> </w:t>
                                  </w:r>
                                  <w:r>
                                    <w:rPr>
                                      <w:rFonts w:ascii="Arial"/>
                                      <w:i/>
                                      <w:color w:val="A5A5A5"/>
                                      <w:sz w:val="16"/>
                                    </w:rPr>
                                    <w:t>the</w:t>
                                  </w:r>
                                  <w:r>
                                    <w:rPr>
                                      <w:rFonts w:ascii="Arial"/>
                                      <w:i/>
                                      <w:color w:val="A5A5A5"/>
                                      <w:spacing w:val="-3"/>
                                      <w:sz w:val="16"/>
                                    </w:rPr>
                                    <w:t> </w:t>
                                  </w:r>
                                  <w:r>
                                    <w:rPr>
                                      <w:rFonts w:ascii="Arial"/>
                                      <w:i/>
                                      <w:color w:val="A5A5A5"/>
                                      <w:sz w:val="16"/>
                                    </w:rPr>
                                    <w:t>fiscal</w:t>
                                  </w:r>
                                  <w:r>
                                    <w:rPr>
                                      <w:rFonts w:ascii="Arial"/>
                                      <w:i/>
                                      <w:color w:val="A5A5A5"/>
                                      <w:spacing w:val="-2"/>
                                      <w:sz w:val="16"/>
                                    </w:rPr>
                                    <w:t> </w:t>
                                  </w:r>
                                  <w:r>
                                    <w:rPr>
                                      <w:rFonts w:ascii="Arial"/>
                                      <w:i/>
                                      <w:color w:val="A5A5A5"/>
                                      <w:sz w:val="16"/>
                                    </w:rPr>
                                    <w:t>year</w:t>
                                  </w:r>
                                  <w:r>
                                    <w:rPr>
                                      <w:rFonts w:ascii="Arial"/>
                                      <w:i/>
                                      <w:color w:val="A5A5A5"/>
                                      <w:spacing w:val="-2"/>
                                      <w:sz w:val="16"/>
                                    </w:rPr>
                                    <w:t> </w:t>
                                  </w:r>
                                  <w:r>
                                    <w:rPr>
                                      <w:rFonts w:ascii="Arial"/>
                                      <w:i/>
                                      <w:color w:val="A5A5A5"/>
                                      <w:sz w:val="16"/>
                                    </w:rPr>
                                    <w:t>ended</w:t>
                                  </w:r>
                                  <w:r>
                                    <w:rPr>
                                      <w:rFonts w:ascii="Arial"/>
                                      <w:i/>
                                      <w:color w:val="A5A5A5"/>
                                      <w:spacing w:val="-3"/>
                                      <w:sz w:val="16"/>
                                    </w:rPr>
                                    <w:t> </w:t>
                                  </w:r>
                                  <w:r>
                                    <w:rPr>
                                      <w:rFonts w:ascii="Arial"/>
                                      <w:i/>
                                      <w:color w:val="A5A5A5"/>
                                      <w:sz w:val="16"/>
                                    </w:rPr>
                                    <w:t>June</w:t>
                                  </w:r>
                                  <w:r>
                                    <w:rPr>
                                      <w:rFonts w:ascii="Arial"/>
                                      <w:i/>
                                      <w:color w:val="A5A5A5"/>
                                      <w:spacing w:val="-3"/>
                                      <w:sz w:val="16"/>
                                    </w:rPr>
                                    <w:t> </w:t>
                                  </w:r>
                                  <w:r>
                                    <w:rPr>
                                      <w:rFonts w:ascii="Arial"/>
                                      <w:i/>
                                      <w:color w:val="A5A5A5"/>
                                      <w:spacing w:val="-5"/>
                                      <w:sz w:val="16"/>
                                    </w:rPr>
                                    <w:t>30,</w:t>
                                  </w:r>
                                </w:p>
                              </w:tc>
                              <w:tc>
                                <w:tcPr>
                                  <w:tcW w:w="1222"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736"/>
                                    <w:rPr>
                                      <w:rFonts w:ascii="Arial"/>
                                      <w:i/>
                                      <w:sz w:val="16"/>
                                    </w:rPr>
                                  </w:pPr>
                                  <w:r>
                                    <w:rPr>
                                      <w:rFonts w:ascii="Arial"/>
                                      <w:i/>
                                      <w:color w:val="A5A5A5"/>
                                      <w:spacing w:val="-4"/>
                                      <w:sz w:val="16"/>
                                    </w:rPr>
                                    <w:t>2023</w:t>
                                  </w:r>
                                </w:p>
                              </w:tc>
                              <w:tc>
                                <w:tcPr>
                                  <w:tcW w:w="1261"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774"/>
                                    <w:rPr>
                                      <w:rFonts w:ascii="Arial"/>
                                      <w:i/>
                                      <w:sz w:val="16"/>
                                    </w:rPr>
                                  </w:pPr>
                                  <w:r>
                                    <w:rPr>
                                      <w:rFonts w:ascii="Arial"/>
                                      <w:i/>
                                      <w:color w:val="A5A5A5"/>
                                      <w:spacing w:val="-4"/>
                                      <w:sz w:val="16"/>
                                    </w:rPr>
                                    <w:t>2022</w:t>
                                  </w:r>
                                </w:p>
                              </w:tc>
                              <w:tc>
                                <w:tcPr>
                                  <w:tcW w:w="1074"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388"/>
                                    <w:rPr>
                                      <w:rFonts w:ascii="Arial"/>
                                      <w:i/>
                                      <w:sz w:val="16"/>
                                    </w:rPr>
                                  </w:pPr>
                                  <w:r>
                                    <w:rPr>
                                      <w:rFonts w:ascii="Arial"/>
                                      <w:i/>
                                      <w:color w:val="A5A5A5"/>
                                      <w:spacing w:val="-2"/>
                                      <w:sz w:val="16"/>
                                    </w:rPr>
                                    <w:t>Variance</w:t>
                                  </w:r>
                                </w:p>
                              </w:tc>
                            </w:tr>
                            <w:tr>
                              <w:trPr>
                                <w:trHeight w:val="210" w:hRule="atLeast"/>
                              </w:trPr>
                              <w:tc>
                                <w:tcPr>
                                  <w:tcW w:w="5955" w:type="dxa"/>
                                  <w:tcBorders>
                                    <w:top w:val="single" w:sz="8" w:space="0" w:color="6C6C6C"/>
                                  </w:tcBorders>
                                </w:tcPr>
                                <w:p>
                                  <w:pPr>
                                    <w:pStyle w:val="TableParagraph"/>
                                    <w:spacing w:before="5"/>
                                    <w:ind w:left="108"/>
                                    <w:rPr>
                                      <w:sz w:val="16"/>
                                    </w:rPr>
                                  </w:pPr>
                                  <w:r>
                                    <w:rPr>
                                      <w:sz w:val="16"/>
                                    </w:rPr>
                                    <w:t>Administrative</w:t>
                                  </w:r>
                                  <w:r>
                                    <w:rPr>
                                      <w:spacing w:val="-7"/>
                                      <w:sz w:val="16"/>
                                    </w:rPr>
                                    <w:t> </w:t>
                                  </w:r>
                                  <w:r>
                                    <w:rPr>
                                      <w:spacing w:val="-2"/>
                                      <w:sz w:val="16"/>
                                    </w:rPr>
                                    <w:t>expenses</w:t>
                                  </w:r>
                                </w:p>
                              </w:tc>
                              <w:tc>
                                <w:tcPr>
                                  <w:tcW w:w="1222" w:type="dxa"/>
                                  <w:gridSpan w:val="2"/>
                                  <w:tcBorders>
                                    <w:top w:val="single" w:sz="8" w:space="0" w:color="6C6C6C"/>
                                  </w:tcBorders>
                                </w:tcPr>
                                <w:p>
                                  <w:pPr>
                                    <w:pStyle w:val="TableParagraph"/>
                                    <w:rPr>
                                      <w:rFonts w:ascii="Times New Roman"/>
                                      <w:sz w:val="14"/>
                                    </w:rPr>
                                  </w:pPr>
                                </w:p>
                              </w:tc>
                              <w:tc>
                                <w:tcPr>
                                  <w:tcW w:w="1261" w:type="dxa"/>
                                  <w:gridSpan w:val="2"/>
                                  <w:tcBorders>
                                    <w:top w:val="single" w:sz="8" w:space="0" w:color="6C6C6C"/>
                                  </w:tcBorders>
                                </w:tcPr>
                                <w:p>
                                  <w:pPr>
                                    <w:pStyle w:val="TableParagraph"/>
                                    <w:rPr>
                                      <w:rFonts w:ascii="Times New Roman"/>
                                      <w:sz w:val="14"/>
                                    </w:rPr>
                                  </w:pPr>
                                </w:p>
                              </w:tc>
                              <w:tc>
                                <w:tcPr>
                                  <w:tcW w:w="1074" w:type="dxa"/>
                                  <w:gridSpan w:val="2"/>
                                  <w:tcBorders>
                                    <w:top w:val="single" w:sz="8" w:space="0" w:color="6C6C6C"/>
                                  </w:tcBorders>
                                </w:tcPr>
                                <w:p>
                                  <w:pPr>
                                    <w:pStyle w:val="TableParagraph"/>
                                    <w:rPr>
                                      <w:rFonts w:ascii="Times New Roman"/>
                                      <w:sz w:val="14"/>
                                    </w:rPr>
                                  </w:pPr>
                                </w:p>
                              </w:tc>
                            </w:tr>
                            <w:tr>
                              <w:trPr>
                                <w:trHeight w:val="225" w:hRule="atLeast"/>
                              </w:trPr>
                              <w:tc>
                                <w:tcPr>
                                  <w:tcW w:w="5955" w:type="dxa"/>
                                </w:tcPr>
                                <w:p>
                                  <w:pPr>
                                    <w:pStyle w:val="TableParagraph"/>
                                    <w:spacing w:before="19"/>
                                    <w:ind w:left="267"/>
                                    <w:rPr>
                                      <w:sz w:val="16"/>
                                    </w:rPr>
                                  </w:pPr>
                                  <w:r>
                                    <w:rPr>
                                      <w:sz w:val="16"/>
                                    </w:rPr>
                                    <w:t>Staff</w:t>
                                  </w:r>
                                  <w:r>
                                    <w:rPr>
                                      <w:spacing w:val="-4"/>
                                      <w:sz w:val="16"/>
                                    </w:rPr>
                                    <w:t> </w:t>
                                  </w:r>
                                  <w:r>
                                    <w:rPr>
                                      <w:spacing w:val="-2"/>
                                      <w:sz w:val="16"/>
                                    </w:rPr>
                                    <w:t>costs</w:t>
                                  </w:r>
                                </w:p>
                              </w:tc>
                              <w:tc>
                                <w:tcPr>
                                  <w:tcW w:w="1222" w:type="dxa"/>
                                  <w:gridSpan w:val="2"/>
                                </w:tcPr>
                                <w:p>
                                  <w:pPr>
                                    <w:pStyle w:val="TableParagraph"/>
                                    <w:tabs>
                                      <w:tab w:pos="729" w:val="left" w:leader="none"/>
                                    </w:tabs>
                                    <w:spacing w:before="19"/>
                                    <w:ind w:left="52"/>
                                    <w:rPr>
                                      <w:sz w:val="16"/>
                                    </w:rPr>
                                  </w:pPr>
                                  <w:r>
                                    <w:rPr>
                                      <w:spacing w:val="-10"/>
                                      <w:sz w:val="16"/>
                                    </w:rPr>
                                    <w:t>$</w:t>
                                  </w:r>
                                  <w:r>
                                    <w:rPr>
                                      <w:sz w:val="16"/>
                                    </w:rPr>
                                    <w:tab/>
                                  </w:r>
                                  <w:r>
                                    <w:rPr>
                                      <w:spacing w:val="-2"/>
                                      <w:sz w:val="16"/>
                                    </w:rPr>
                                    <w:t>1,082</w:t>
                                  </w:r>
                                </w:p>
                              </w:tc>
                              <w:tc>
                                <w:tcPr>
                                  <w:tcW w:w="1261" w:type="dxa"/>
                                  <w:gridSpan w:val="2"/>
                                </w:tcPr>
                                <w:p>
                                  <w:pPr>
                                    <w:pStyle w:val="TableParagraph"/>
                                    <w:tabs>
                                      <w:tab w:pos="767" w:val="left" w:leader="none"/>
                                    </w:tabs>
                                    <w:spacing w:before="19"/>
                                    <w:ind w:left="90"/>
                                    <w:rPr>
                                      <w:sz w:val="16"/>
                                    </w:rPr>
                                  </w:pPr>
                                  <w:r>
                                    <w:rPr>
                                      <w:spacing w:val="-10"/>
                                      <w:sz w:val="16"/>
                                    </w:rPr>
                                    <w:t>$</w:t>
                                  </w:r>
                                  <w:r>
                                    <w:rPr>
                                      <w:sz w:val="16"/>
                                    </w:rPr>
                                    <w:tab/>
                                  </w:r>
                                  <w:r>
                                    <w:rPr>
                                      <w:spacing w:val="-2"/>
                                      <w:sz w:val="16"/>
                                    </w:rPr>
                                    <w:t>1,003</w:t>
                                  </w:r>
                                </w:p>
                              </w:tc>
                              <w:tc>
                                <w:tcPr>
                                  <w:tcW w:w="1074" w:type="dxa"/>
                                  <w:gridSpan w:val="2"/>
                                </w:tcPr>
                                <w:p>
                                  <w:pPr>
                                    <w:pStyle w:val="TableParagraph"/>
                                    <w:tabs>
                                      <w:tab w:pos="825" w:val="left" w:leader="none"/>
                                    </w:tabs>
                                    <w:spacing w:before="16"/>
                                    <w:ind w:left="89"/>
                                    <w:rPr>
                                      <w:sz w:val="16"/>
                                    </w:rPr>
                                  </w:pPr>
                                  <w:r>
                                    <w:rPr>
                                      <w:spacing w:val="-10"/>
                                      <w:sz w:val="16"/>
                                    </w:rPr>
                                    <w:t>$</w:t>
                                  </w:r>
                                  <w:r>
                                    <w:rPr>
                                      <w:sz w:val="16"/>
                                    </w:rPr>
                                    <w:tab/>
                                  </w:r>
                                  <w:r>
                                    <w:rPr>
                                      <w:spacing w:val="-5"/>
                                      <w:sz w:val="16"/>
                                    </w:rPr>
                                    <w:t>79</w:t>
                                  </w:r>
                                </w:p>
                              </w:tc>
                            </w:tr>
                            <w:tr>
                              <w:trPr>
                                <w:trHeight w:val="225" w:hRule="atLeast"/>
                              </w:trPr>
                              <w:tc>
                                <w:tcPr>
                                  <w:tcW w:w="5955" w:type="dxa"/>
                                </w:tcPr>
                                <w:p>
                                  <w:pPr>
                                    <w:pStyle w:val="TableParagraph"/>
                                    <w:spacing w:before="19"/>
                                    <w:ind w:left="267"/>
                                    <w:rPr>
                                      <w:sz w:val="16"/>
                                    </w:rPr>
                                  </w:pPr>
                                  <w:r>
                                    <w:rPr>
                                      <w:spacing w:val="-2"/>
                                      <w:sz w:val="16"/>
                                    </w:rPr>
                                    <w:t>Travel</w:t>
                                  </w:r>
                                </w:p>
                              </w:tc>
                              <w:tc>
                                <w:tcPr>
                                  <w:tcW w:w="1222" w:type="dxa"/>
                                  <w:gridSpan w:val="2"/>
                                </w:tcPr>
                                <w:p>
                                  <w:pPr>
                                    <w:pStyle w:val="TableParagraph"/>
                                    <w:spacing w:before="19"/>
                                    <w:ind w:right="90"/>
                                    <w:jc w:val="right"/>
                                    <w:rPr>
                                      <w:sz w:val="16"/>
                                    </w:rPr>
                                  </w:pPr>
                                  <w:r>
                                    <w:rPr>
                                      <w:spacing w:val="-5"/>
                                      <w:sz w:val="16"/>
                                    </w:rPr>
                                    <w:t>142</w:t>
                                  </w:r>
                                </w:p>
                              </w:tc>
                              <w:tc>
                                <w:tcPr>
                                  <w:tcW w:w="1261" w:type="dxa"/>
                                  <w:gridSpan w:val="2"/>
                                </w:tcPr>
                                <w:p>
                                  <w:pPr>
                                    <w:pStyle w:val="TableParagraph"/>
                                    <w:spacing w:before="19"/>
                                    <w:ind w:right="91"/>
                                    <w:jc w:val="right"/>
                                    <w:rPr>
                                      <w:sz w:val="16"/>
                                    </w:rPr>
                                  </w:pPr>
                                  <w:r>
                                    <w:rPr>
                                      <w:spacing w:val="-5"/>
                                      <w:sz w:val="16"/>
                                    </w:rPr>
                                    <w:t>60</w:t>
                                  </w:r>
                                </w:p>
                              </w:tc>
                              <w:tc>
                                <w:tcPr>
                                  <w:tcW w:w="1074" w:type="dxa"/>
                                  <w:gridSpan w:val="2"/>
                                </w:tcPr>
                                <w:p>
                                  <w:pPr>
                                    <w:pStyle w:val="TableParagraph"/>
                                    <w:spacing w:before="16"/>
                                    <w:ind w:right="68"/>
                                    <w:jc w:val="right"/>
                                    <w:rPr>
                                      <w:sz w:val="16"/>
                                    </w:rPr>
                                  </w:pPr>
                                  <w:r>
                                    <w:rPr>
                                      <w:spacing w:val="-5"/>
                                      <w:sz w:val="16"/>
                                    </w:rPr>
                                    <w:t>82</w:t>
                                  </w:r>
                                </w:p>
                              </w:tc>
                            </w:tr>
                            <w:tr>
                              <w:trPr>
                                <w:trHeight w:val="216" w:hRule="atLeast"/>
                              </w:trPr>
                              <w:tc>
                                <w:tcPr>
                                  <w:tcW w:w="5955" w:type="dxa"/>
                                </w:tcPr>
                                <w:p>
                                  <w:pPr>
                                    <w:pStyle w:val="TableParagraph"/>
                                    <w:spacing w:line="176" w:lineRule="exact" w:before="19"/>
                                    <w:ind w:left="267"/>
                                    <w:rPr>
                                      <w:sz w:val="16"/>
                                    </w:rPr>
                                  </w:pPr>
                                  <w:r>
                                    <w:rPr>
                                      <w:sz w:val="16"/>
                                    </w:rPr>
                                    <w:t>Consultant</w:t>
                                  </w:r>
                                  <w:r>
                                    <w:rPr>
                                      <w:spacing w:val="-5"/>
                                      <w:sz w:val="16"/>
                                    </w:rPr>
                                    <w:t> </w:t>
                                  </w:r>
                                  <w:r>
                                    <w:rPr>
                                      <w:sz w:val="16"/>
                                    </w:rPr>
                                    <w:t>fees</w:t>
                                  </w:r>
                                  <w:r>
                                    <w:rPr>
                                      <w:spacing w:val="-4"/>
                                      <w:sz w:val="16"/>
                                    </w:rPr>
                                    <w:t> </w:t>
                                  </w:r>
                                  <w:r>
                                    <w:rPr>
                                      <w:sz w:val="16"/>
                                    </w:rPr>
                                    <w:t>and</w:t>
                                  </w:r>
                                  <w:r>
                                    <w:rPr>
                                      <w:spacing w:val="-4"/>
                                      <w:sz w:val="16"/>
                                    </w:rPr>
                                    <w:t> </w:t>
                                  </w:r>
                                  <w:r>
                                    <w:rPr>
                                      <w:sz w:val="16"/>
                                    </w:rPr>
                                    <w:t>contractual</w:t>
                                  </w:r>
                                  <w:r>
                                    <w:rPr>
                                      <w:spacing w:val="-4"/>
                                      <w:sz w:val="16"/>
                                    </w:rPr>
                                    <w:t> </w:t>
                                  </w:r>
                                  <w:r>
                                    <w:rPr>
                                      <w:spacing w:val="-2"/>
                                      <w:sz w:val="16"/>
                                    </w:rPr>
                                    <w:t>services</w:t>
                                  </w:r>
                                </w:p>
                              </w:tc>
                              <w:tc>
                                <w:tcPr>
                                  <w:tcW w:w="1222" w:type="dxa"/>
                                  <w:gridSpan w:val="2"/>
                                </w:tcPr>
                                <w:p>
                                  <w:pPr>
                                    <w:pStyle w:val="TableParagraph"/>
                                    <w:spacing w:line="176" w:lineRule="exact" w:before="19"/>
                                    <w:ind w:right="90"/>
                                    <w:jc w:val="right"/>
                                    <w:rPr>
                                      <w:sz w:val="16"/>
                                    </w:rPr>
                                  </w:pPr>
                                  <w:r>
                                    <w:rPr>
                                      <w:spacing w:val="-5"/>
                                      <w:sz w:val="16"/>
                                    </w:rPr>
                                    <w:t>505</w:t>
                                  </w:r>
                                </w:p>
                              </w:tc>
                              <w:tc>
                                <w:tcPr>
                                  <w:tcW w:w="1261" w:type="dxa"/>
                                  <w:gridSpan w:val="2"/>
                                </w:tcPr>
                                <w:p>
                                  <w:pPr>
                                    <w:pStyle w:val="TableParagraph"/>
                                    <w:spacing w:line="176" w:lineRule="exact" w:before="19"/>
                                    <w:ind w:right="91"/>
                                    <w:jc w:val="right"/>
                                    <w:rPr>
                                      <w:sz w:val="16"/>
                                    </w:rPr>
                                  </w:pPr>
                                  <w:r>
                                    <w:rPr>
                                      <w:spacing w:val="-5"/>
                                      <w:sz w:val="16"/>
                                    </w:rPr>
                                    <w:t>490</w:t>
                                  </w:r>
                                </w:p>
                              </w:tc>
                              <w:tc>
                                <w:tcPr>
                                  <w:tcW w:w="1074" w:type="dxa"/>
                                  <w:gridSpan w:val="2"/>
                                </w:tcPr>
                                <w:p>
                                  <w:pPr>
                                    <w:pStyle w:val="TableParagraph"/>
                                    <w:spacing w:line="180" w:lineRule="exact" w:before="16"/>
                                    <w:ind w:right="68"/>
                                    <w:jc w:val="right"/>
                                    <w:rPr>
                                      <w:sz w:val="16"/>
                                    </w:rPr>
                                  </w:pPr>
                                  <w:r>
                                    <w:rPr>
                                      <w:spacing w:val="-5"/>
                                      <w:sz w:val="16"/>
                                    </w:rPr>
                                    <w:t>15</w:t>
                                  </w:r>
                                </w:p>
                              </w:tc>
                            </w:tr>
                            <w:tr>
                              <w:trPr>
                                <w:trHeight w:val="233" w:hRule="atLeast"/>
                              </w:trPr>
                              <w:tc>
                                <w:tcPr>
                                  <w:tcW w:w="5955" w:type="dxa"/>
                                </w:tcPr>
                                <w:p>
                                  <w:pPr>
                                    <w:pStyle w:val="TableParagraph"/>
                                    <w:spacing w:before="28"/>
                                    <w:ind w:left="267"/>
                                    <w:rPr>
                                      <w:sz w:val="16"/>
                                    </w:rPr>
                                  </w:pPr>
                                  <w:r>
                                    <w:rPr>
                                      <w:sz w:val="16"/>
                                    </w:rPr>
                                    <w:t>Pension</w:t>
                                  </w:r>
                                  <w:r>
                                    <w:rPr>
                                      <w:spacing w:val="-6"/>
                                      <w:sz w:val="16"/>
                                    </w:rPr>
                                    <w:t> </w:t>
                                  </w:r>
                                  <w:r>
                                    <w:rPr>
                                      <w:sz w:val="16"/>
                                    </w:rPr>
                                    <w:t>and</w:t>
                                  </w:r>
                                  <w:r>
                                    <w:rPr>
                                      <w:spacing w:val="-5"/>
                                      <w:sz w:val="16"/>
                                    </w:rPr>
                                    <w:t> </w:t>
                                  </w:r>
                                  <w:r>
                                    <w:rPr>
                                      <w:sz w:val="16"/>
                                    </w:rPr>
                                    <w:t>other</w:t>
                                  </w:r>
                                  <w:r>
                                    <w:rPr>
                                      <w:spacing w:val="-4"/>
                                      <w:sz w:val="16"/>
                                    </w:rPr>
                                    <w:t> </w:t>
                                  </w:r>
                                  <w:r>
                                    <w:rPr>
                                      <w:sz w:val="16"/>
                                    </w:rPr>
                                    <w:t>postretirement</w:t>
                                  </w:r>
                                  <w:r>
                                    <w:rPr>
                                      <w:spacing w:val="-4"/>
                                      <w:sz w:val="16"/>
                                    </w:rPr>
                                    <w:t> </w:t>
                                  </w:r>
                                  <w:r>
                                    <w:rPr>
                                      <w:sz w:val="16"/>
                                    </w:rPr>
                                    <w:t>benefits</w:t>
                                  </w:r>
                                  <w:r>
                                    <w:rPr>
                                      <w:spacing w:val="-6"/>
                                      <w:sz w:val="16"/>
                                    </w:rPr>
                                    <w:t> </w:t>
                                  </w:r>
                                  <w:r>
                                    <w:rPr>
                                      <w:spacing w:val="-10"/>
                                      <w:sz w:val="16"/>
                                      <w:vertAlign w:val="superscript"/>
                                    </w:rPr>
                                    <w:t>a</w:t>
                                  </w:r>
                                </w:p>
                              </w:tc>
                              <w:tc>
                                <w:tcPr>
                                  <w:tcW w:w="1222" w:type="dxa"/>
                                  <w:gridSpan w:val="2"/>
                                </w:tcPr>
                                <w:p>
                                  <w:pPr>
                                    <w:pStyle w:val="TableParagraph"/>
                                    <w:spacing w:before="28"/>
                                    <w:ind w:right="90"/>
                                    <w:jc w:val="right"/>
                                    <w:rPr>
                                      <w:sz w:val="16"/>
                                    </w:rPr>
                                  </w:pPr>
                                  <w:r>
                                    <w:rPr>
                                      <w:spacing w:val="-5"/>
                                      <w:sz w:val="16"/>
                                    </w:rPr>
                                    <w:t>351</w:t>
                                  </w:r>
                                </w:p>
                              </w:tc>
                              <w:tc>
                                <w:tcPr>
                                  <w:tcW w:w="1261" w:type="dxa"/>
                                  <w:gridSpan w:val="2"/>
                                </w:tcPr>
                                <w:p>
                                  <w:pPr>
                                    <w:pStyle w:val="TableParagraph"/>
                                    <w:spacing w:before="28"/>
                                    <w:ind w:right="91"/>
                                    <w:jc w:val="right"/>
                                    <w:rPr>
                                      <w:sz w:val="16"/>
                                    </w:rPr>
                                  </w:pPr>
                                  <w:r>
                                    <w:rPr>
                                      <w:spacing w:val="-5"/>
                                      <w:sz w:val="16"/>
                                    </w:rPr>
                                    <w:t>451</w:t>
                                  </w:r>
                                </w:p>
                              </w:tc>
                              <w:tc>
                                <w:tcPr>
                                  <w:tcW w:w="1074" w:type="dxa"/>
                                  <w:gridSpan w:val="2"/>
                                </w:tcPr>
                                <w:p>
                                  <w:pPr>
                                    <w:pStyle w:val="TableParagraph"/>
                                    <w:spacing w:before="25"/>
                                    <w:ind w:left="684"/>
                                    <w:rPr>
                                      <w:sz w:val="16"/>
                                    </w:rPr>
                                  </w:pPr>
                                  <w:r>
                                    <w:rPr>
                                      <w:spacing w:val="-2"/>
                                      <w:sz w:val="16"/>
                                    </w:rPr>
                                    <w:t>(100)</w:t>
                                  </w:r>
                                </w:p>
                              </w:tc>
                            </w:tr>
                            <w:tr>
                              <w:trPr>
                                <w:trHeight w:val="225" w:hRule="atLeast"/>
                              </w:trPr>
                              <w:tc>
                                <w:tcPr>
                                  <w:tcW w:w="5955" w:type="dxa"/>
                                </w:tcPr>
                                <w:p>
                                  <w:pPr>
                                    <w:pStyle w:val="TableParagraph"/>
                                    <w:spacing w:before="19"/>
                                    <w:ind w:left="267"/>
                                    <w:rPr>
                                      <w:sz w:val="16"/>
                                    </w:rPr>
                                  </w:pPr>
                                  <w:r>
                                    <w:rPr>
                                      <w:sz w:val="16"/>
                                    </w:rPr>
                                    <w:t>Communications</w:t>
                                  </w:r>
                                  <w:r>
                                    <w:rPr>
                                      <w:spacing w:val="-6"/>
                                      <w:sz w:val="16"/>
                                    </w:rPr>
                                    <w:t> </w:t>
                                  </w:r>
                                  <w:r>
                                    <w:rPr>
                                      <w:sz w:val="16"/>
                                    </w:rPr>
                                    <w:t>and</w:t>
                                  </w:r>
                                  <w:r>
                                    <w:rPr>
                                      <w:spacing w:val="-6"/>
                                      <w:sz w:val="16"/>
                                    </w:rPr>
                                    <w:t> </w:t>
                                  </w:r>
                                  <w:r>
                                    <w:rPr>
                                      <w:spacing w:val="-2"/>
                                      <w:sz w:val="16"/>
                                    </w:rPr>
                                    <w:t>technology</w:t>
                                  </w:r>
                                </w:p>
                              </w:tc>
                              <w:tc>
                                <w:tcPr>
                                  <w:tcW w:w="1222" w:type="dxa"/>
                                  <w:gridSpan w:val="2"/>
                                </w:tcPr>
                                <w:p>
                                  <w:pPr>
                                    <w:pStyle w:val="TableParagraph"/>
                                    <w:spacing w:before="19"/>
                                    <w:ind w:right="90"/>
                                    <w:jc w:val="right"/>
                                    <w:rPr>
                                      <w:sz w:val="16"/>
                                    </w:rPr>
                                  </w:pPr>
                                  <w:r>
                                    <w:rPr>
                                      <w:spacing w:val="-5"/>
                                      <w:sz w:val="16"/>
                                    </w:rPr>
                                    <w:t>91</w:t>
                                  </w:r>
                                </w:p>
                              </w:tc>
                              <w:tc>
                                <w:tcPr>
                                  <w:tcW w:w="1261" w:type="dxa"/>
                                  <w:gridSpan w:val="2"/>
                                </w:tcPr>
                                <w:p>
                                  <w:pPr>
                                    <w:pStyle w:val="TableParagraph"/>
                                    <w:spacing w:before="19"/>
                                    <w:ind w:right="91"/>
                                    <w:jc w:val="right"/>
                                    <w:rPr>
                                      <w:sz w:val="16"/>
                                    </w:rPr>
                                  </w:pPr>
                                  <w:r>
                                    <w:rPr>
                                      <w:spacing w:val="-5"/>
                                      <w:sz w:val="16"/>
                                    </w:rPr>
                                    <w:t>73</w:t>
                                  </w:r>
                                </w:p>
                              </w:tc>
                              <w:tc>
                                <w:tcPr>
                                  <w:tcW w:w="1074" w:type="dxa"/>
                                  <w:gridSpan w:val="2"/>
                                </w:tcPr>
                                <w:p>
                                  <w:pPr>
                                    <w:pStyle w:val="TableParagraph"/>
                                    <w:spacing w:before="16"/>
                                    <w:ind w:right="68"/>
                                    <w:jc w:val="right"/>
                                    <w:rPr>
                                      <w:sz w:val="16"/>
                                    </w:rPr>
                                  </w:pPr>
                                  <w:r>
                                    <w:rPr>
                                      <w:spacing w:val="-5"/>
                                      <w:sz w:val="16"/>
                                    </w:rPr>
                                    <w:t>18</w:t>
                                  </w:r>
                                </w:p>
                              </w:tc>
                            </w:tr>
                            <w:tr>
                              <w:trPr>
                                <w:trHeight w:val="225" w:hRule="atLeast"/>
                              </w:trPr>
                              <w:tc>
                                <w:tcPr>
                                  <w:tcW w:w="5955" w:type="dxa"/>
                                </w:tcPr>
                                <w:p>
                                  <w:pPr>
                                    <w:pStyle w:val="TableParagraph"/>
                                    <w:spacing w:before="19"/>
                                    <w:ind w:left="267"/>
                                    <w:rPr>
                                      <w:sz w:val="16"/>
                                    </w:rPr>
                                  </w:pPr>
                                  <w:r>
                                    <w:rPr>
                                      <w:sz w:val="16"/>
                                    </w:rPr>
                                    <w:t>Premises</w:t>
                                  </w:r>
                                  <w:r>
                                    <w:rPr>
                                      <w:spacing w:val="-3"/>
                                      <w:sz w:val="16"/>
                                    </w:rPr>
                                    <w:t> </w:t>
                                  </w:r>
                                  <w:r>
                                    <w:rPr>
                                      <w:sz w:val="16"/>
                                    </w:rPr>
                                    <w:t>and</w:t>
                                  </w:r>
                                  <w:r>
                                    <w:rPr>
                                      <w:spacing w:val="-3"/>
                                      <w:sz w:val="16"/>
                                    </w:rPr>
                                    <w:t> </w:t>
                                  </w:r>
                                  <w:r>
                                    <w:rPr>
                                      <w:spacing w:val="-2"/>
                                      <w:sz w:val="16"/>
                                    </w:rPr>
                                    <w:t>equipment</w:t>
                                  </w:r>
                                </w:p>
                              </w:tc>
                              <w:tc>
                                <w:tcPr>
                                  <w:tcW w:w="1222" w:type="dxa"/>
                                  <w:gridSpan w:val="2"/>
                                </w:tcPr>
                                <w:p>
                                  <w:pPr>
                                    <w:pStyle w:val="TableParagraph"/>
                                    <w:spacing w:before="19"/>
                                    <w:ind w:right="90"/>
                                    <w:jc w:val="right"/>
                                    <w:rPr>
                                      <w:sz w:val="16"/>
                                    </w:rPr>
                                  </w:pPr>
                                  <w:r>
                                    <w:rPr>
                                      <w:spacing w:val="-5"/>
                                      <w:sz w:val="16"/>
                                    </w:rPr>
                                    <w:t>128</w:t>
                                  </w:r>
                                </w:p>
                              </w:tc>
                              <w:tc>
                                <w:tcPr>
                                  <w:tcW w:w="1261" w:type="dxa"/>
                                  <w:gridSpan w:val="2"/>
                                </w:tcPr>
                                <w:p>
                                  <w:pPr>
                                    <w:pStyle w:val="TableParagraph"/>
                                    <w:spacing w:before="19"/>
                                    <w:ind w:right="91"/>
                                    <w:jc w:val="right"/>
                                    <w:rPr>
                                      <w:sz w:val="16"/>
                                    </w:rPr>
                                  </w:pPr>
                                  <w:r>
                                    <w:rPr>
                                      <w:spacing w:val="-5"/>
                                      <w:sz w:val="16"/>
                                    </w:rPr>
                                    <w:t>128</w:t>
                                  </w:r>
                                </w:p>
                              </w:tc>
                              <w:tc>
                                <w:tcPr>
                                  <w:tcW w:w="1074" w:type="dxa"/>
                                  <w:gridSpan w:val="2"/>
                                </w:tcPr>
                                <w:p>
                                  <w:pPr>
                                    <w:pStyle w:val="TableParagraph"/>
                                    <w:spacing w:before="16"/>
                                    <w:ind w:right="68"/>
                                    <w:jc w:val="right"/>
                                    <w:rPr>
                                      <w:sz w:val="16"/>
                                    </w:rPr>
                                  </w:pPr>
                                  <w:r>
                                    <w:rPr>
                                      <w:sz w:val="16"/>
                                    </w:rPr>
                                    <w:t>—</w:t>
                                  </w:r>
                                </w:p>
                              </w:tc>
                            </w:tr>
                            <w:tr>
                              <w:trPr>
                                <w:trHeight w:val="219" w:hRule="atLeast"/>
                              </w:trPr>
                              <w:tc>
                                <w:tcPr>
                                  <w:tcW w:w="5955" w:type="dxa"/>
                                </w:tcPr>
                                <w:p>
                                  <w:pPr>
                                    <w:pStyle w:val="TableParagraph"/>
                                    <w:spacing w:line="180" w:lineRule="exact" w:before="19"/>
                                    <w:ind w:left="267"/>
                                    <w:rPr>
                                      <w:sz w:val="16"/>
                                    </w:rPr>
                                  </w:pPr>
                                  <w:r>
                                    <w:rPr>
                                      <w:sz w:val="16"/>
                                    </w:rPr>
                                    <w:t>Other</w:t>
                                  </w:r>
                                  <w:r>
                                    <w:rPr>
                                      <w:spacing w:val="-2"/>
                                      <w:sz w:val="16"/>
                                    </w:rPr>
                                    <w:t> expenses</w:t>
                                  </w:r>
                                </w:p>
                              </w:tc>
                              <w:tc>
                                <w:tcPr>
                                  <w:tcW w:w="1222" w:type="dxa"/>
                                  <w:gridSpan w:val="2"/>
                                  <w:tcBorders>
                                    <w:bottom w:val="single" w:sz="8" w:space="0" w:color="6C6C6C"/>
                                  </w:tcBorders>
                                </w:tcPr>
                                <w:p>
                                  <w:pPr>
                                    <w:pStyle w:val="TableParagraph"/>
                                    <w:spacing w:line="180" w:lineRule="exact" w:before="19"/>
                                    <w:ind w:right="90"/>
                                    <w:jc w:val="right"/>
                                    <w:rPr>
                                      <w:sz w:val="16"/>
                                    </w:rPr>
                                  </w:pPr>
                                  <w:r>
                                    <w:rPr>
                                      <w:spacing w:val="-5"/>
                                      <w:sz w:val="16"/>
                                    </w:rPr>
                                    <w:t>21</w:t>
                                  </w:r>
                                </w:p>
                              </w:tc>
                              <w:tc>
                                <w:tcPr>
                                  <w:tcW w:w="1261" w:type="dxa"/>
                                  <w:gridSpan w:val="2"/>
                                  <w:tcBorders>
                                    <w:bottom w:val="single" w:sz="8" w:space="0" w:color="6C6C6C"/>
                                  </w:tcBorders>
                                </w:tcPr>
                                <w:p>
                                  <w:pPr>
                                    <w:pStyle w:val="TableParagraph"/>
                                    <w:spacing w:line="180" w:lineRule="exact" w:before="19"/>
                                    <w:ind w:right="91"/>
                                    <w:jc w:val="right"/>
                                    <w:rPr>
                                      <w:sz w:val="16"/>
                                    </w:rPr>
                                  </w:pPr>
                                  <w:r>
                                    <w:rPr>
                                      <w:spacing w:val="-5"/>
                                      <w:sz w:val="16"/>
                                    </w:rPr>
                                    <w:t>20</w:t>
                                  </w:r>
                                </w:p>
                              </w:tc>
                              <w:tc>
                                <w:tcPr>
                                  <w:tcW w:w="1074" w:type="dxa"/>
                                  <w:gridSpan w:val="2"/>
                                  <w:tcBorders>
                                    <w:bottom w:val="single" w:sz="8" w:space="0" w:color="6C6C6C"/>
                                  </w:tcBorders>
                                </w:tcPr>
                                <w:p>
                                  <w:pPr>
                                    <w:pStyle w:val="TableParagraph"/>
                                    <w:spacing w:line="184" w:lineRule="exact" w:before="16"/>
                                    <w:ind w:right="68"/>
                                    <w:jc w:val="right"/>
                                    <w:rPr>
                                      <w:sz w:val="16"/>
                                    </w:rPr>
                                  </w:pPr>
                                  <w:r>
                                    <w:rPr>
                                      <w:spacing w:val="-10"/>
                                      <w:sz w:val="16"/>
                                    </w:rPr>
                                    <w:t>1</w:t>
                                  </w:r>
                                </w:p>
                              </w:tc>
                            </w:tr>
                            <w:tr>
                              <w:trPr>
                                <w:trHeight w:val="205" w:hRule="atLeast"/>
                              </w:trPr>
                              <w:tc>
                                <w:tcPr>
                                  <w:tcW w:w="5955" w:type="dxa"/>
                                </w:tcPr>
                                <w:p>
                                  <w:pPr>
                                    <w:pStyle w:val="TableParagraph"/>
                                    <w:spacing w:line="180" w:lineRule="exact" w:before="5"/>
                                    <w:ind w:left="445"/>
                                    <w:rPr>
                                      <w:rFonts w:ascii="Arial"/>
                                      <w:b/>
                                      <w:sz w:val="16"/>
                                    </w:rPr>
                                  </w:pPr>
                                  <w:r>
                                    <w:rPr>
                                      <w:rFonts w:ascii="Arial"/>
                                      <w:b/>
                                      <w:sz w:val="16"/>
                                    </w:rPr>
                                    <w:t>Total</w:t>
                                  </w:r>
                                  <w:r>
                                    <w:rPr>
                                      <w:rFonts w:ascii="Arial"/>
                                      <w:b/>
                                      <w:spacing w:val="-6"/>
                                      <w:sz w:val="16"/>
                                    </w:rPr>
                                    <w:t> </w:t>
                                  </w:r>
                                  <w:r>
                                    <w:rPr>
                                      <w:rFonts w:ascii="Arial"/>
                                      <w:b/>
                                      <w:sz w:val="16"/>
                                    </w:rPr>
                                    <w:t>administrative</w:t>
                                  </w:r>
                                  <w:r>
                                    <w:rPr>
                                      <w:rFonts w:ascii="Arial"/>
                                      <w:b/>
                                      <w:spacing w:val="-6"/>
                                      <w:sz w:val="16"/>
                                    </w:rPr>
                                    <w:t> </w:t>
                                  </w:r>
                                  <w:r>
                                    <w:rPr>
                                      <w:rFonts w:ascii="Arial"/>
                                      <w:b/>
                                      <w:spacing w:val="-2"/>
                                      <w:sz w:val="16"/>
                                    </w:rPr>
                                    <w:t>expenses</w:t>
                                  </w:r>
                                </w:p>
                              </w:tc>
                              <w:tc>
                                <w:tcPr>
                                  <w:tcW w:w="1222" w:type="dxa"/>
                                  <w:gridSpan w:val="2"/>
                                  <w:tcBorders>
                                    <w:top w:val="single" w:sz="8" w:space="0" w:color="6C6C6C"/>
                                    <w:bottom w:val="single" w:sz="8" w:space="0" w:color="6C6C6C"/>
                                  </w:tcBorders>
                                </w:tcPr>
                                <w:p>
                                  <w:pPr>
                                    <w:pStyle w:val="TableParagraph"/>
                                    <w:tabs>
                                      <w:tab w:pos="729" w:val="left" w:leader="none"/>
                                    </w:tabs>
                                    <w:spacing w:line="180" w:lineRule="exact" w:before="5"/>
                                    <w:ind w:left="52"/>
                                    <w:rPr>
                                      <w:rFonts w:ascii="Arial"/>
                                      <w:b/>
                                      <w:sz w:val="16"/>
                                    </w:rPr>
                                  </w:pPr>
                                  <w:r>
                                    <w:rPr>
                                      <w:rFonts w:ascii="Arial"/>
                                      <w:b/>
                                      <w:spacing w:val="-10"/>
                                      <w:sz w:val="16"/>
                                    </w:rPr>
                                    <w:t>$</w:t>
                                  </w:r>
                                  <w:r>
                                    <w:rPr>
                                      <w:rFonts w:ascii="Arial"/>
                                      <w:b/>
                                      <w:sz w:val="16"/>
                                    </w:rPr>
                                    <w:tab/>
                                  </w:r>
                                  <w:r>
                                    <w:rPr>
                                      <w:rFonts w:ascii="Arial"/>
                                      <w:b/>
                                      <w:spacing w:val="-2"/>
                                      <w:sz w:val="16"/>
                                    </w:rPr>
                                    <w:t>2,320</w:t>
                                  </w:r>
                                </w:p>
                              </w:tc>
                              <w:tc>
                                <w:tcPr>
                                  <w:tcW w:w="1261" w:type="dxa"/>
                                  <w:gridSpan w:val="2"/>
                                  <w:tcBorders>
                                    <w:top w:val="single" w:sz="8" w:space="0" w:color="6C6C6C"/>
                                    <w:bottom w:val="single" w:sz="8" w:space="0" w:color="6C6C6C"/>
                                  </w:tcBorders>
                                </w:tcPr>
                                <w:p>
                                  <w:pPr>
                                    <w:pStyle w:val="TableParagraph"/>
                                    <w:tabs>
                                      <w:tab w:pos="767" w:val="left" w:leader="none"/>
                                    </w:tabs>
                                    <w:spacing w:line="180" w:lineRule="exact" w:before="5"/>
                                    <w:ind w:left="90"/>
                                    <w:rPr>
                                      <w:rFonts w:ascii="Arial"/>
                                      <w:b/>
                                      <w:sz w:val="16"/>
                                    </w:rPr>
                                  </w:pPr>
                                  <w:r>
                                    <w:rPr>
                                      <w:rFonts w:ascii="Arial"/>
                                      <w:b/>
                                      <w:spacing w:val="-10"/>
                                      <w:sz w:val="16"/>
                                    </w:rPr>
                                    <w:t>$</w:t>
                                  </w:r>
                                  <w:r>
                                    <w:rPr>
                                      <w:rFonts w:ascii="Arial"/>
                                      <w:b/>
                                      <w:sz w:val="16"/>
                                    </w:rPr>
                                    <w:tab/>
                                  </w:r>
                                  <w:r>
                                    <w:rPr>
                                      <w:rFonts w:ascii="Arial"/>
                                      <w:b/>
                                      <w:spacing w:val="-2"/>
                                      <w:sz w:val="16"/>
                                    </w:rPr>
                                    <w:t>2,225</w:t>
                                  </w:r>
                                </w:p>
                              </w:tc>
                              <w:tc>
                                <w:tcPr>
                                  <w:tcW w:w="1074" w:type="dxa"/>
                                  <w:gridSpan w:val="2"/>
                                  <w:tcBorders>
                                    <w:top w:val="single" w:sz="8" w:space="0" w:color="6C6C6C"/>
                                    <w:bottom w:val="single" w:sz="8" w:space="0" w:color="6C6C6C"/>
                                  </w:tcBorders>
                                </w:tcPr>
                                <w:p>
                                  <w:pPr>
                                    <w:pStyle w:val="TableParagraph"/>
                                    <w:tabs>
                                      <w:tab w:pos="825" w:val="left" w:leader="none"/>
                                    </w:tabs>
                                    <w:spacing w:line="180" w:lineRule="exact" w:before="5"/>
                                    <w:ind w:left="89"/>
                                    <w:rPr>
                                      <w:rFonts w:ascii="Arial"/>
                                      <w:b/>
                                      <w:sz w:val="16"/>
                                    </w:rPr>
                                  </w:pPr>
                                  <w:r>
                                    <w:rPr>
                                      <w:rFonts w:ascii="Arial"/>
                                      <w:b/>
                                      <w:spacing w:val="-10"/>
                                      <w:sz w:val="16"/>
                                    </w:rPr>
                                    <w:t>$</w:t>
                                  </w:r>
                                  <w:r>
                                    <w:rPr>
                                      <w:rFonts w:ascii="Arial"/>
                                      <w:b/>
                                      <w:sz w:val="16"/>
                                    </w:rPr>
                                    <w:tab/>
                                  </w:r>
                                  <w:r>
                                    <w:rPr>
                                      <w:rFonts w:ascii="Arial"/>
                                      <w:b/>
                                      <w:spacing w:val="-5"/>
                                      <w:sz w:val="16"/>
                                    </w:rPr>
                                    <w:t>95</w:t>
                                  </w:r>
                                </w:p>
                              </w:tc>
                            </w:tr>
                            <w:tr>
                              <w:trPr>
                                <w:trHeight w:val="212" w:hRule="atLeast"/>
                              </w:trPr>
                              <w:tc>
                                <w:tcPr>
                                  <w:tcW w:w="5955" w:type="dxa"/>
                                </w:tcPr>
                                <w:p>
                                  <w:pPr>
                                    <w:pStyle w:val="TableParagraph"/>
                                    <w:spacing w:before="5"/>
                                    <w:ind w:left="108"/>
                                    <w:rPr>
                                      <w:sz w:val="16"/>
                                    </w:rPr>
                                  </w:pPr>
                                  <w:r>
                                    <w:rPr>
                                      <w:sz w:val="16"/>
                                    </w:rPr>
                                    <w:t>Contributions</w:t>
                                  </w:r>
                                  <w:r>
                                    <w:rPr>
                                      <w:spacing w:val="-6"/>
                                      <w:sz w:val="16"/>
                                    </w:rPr>
                                    <w:t> </w:t>
                                  </w:r>
                                  <w:r>
                                    <w:rPr>
                                      <w:sz w:val="16"/>
                                    </w:rPr>
                                    <w:t>to</w:t>
                                  </w:r>
                                  <w:r>
                                    <w:rPr>
                                      <w:spacing w:val="-4"/>
                                      <w:sz w:val="16"/>
                                    </w:rPr>
                                    <w:t> </w:t>
                                  </w:r>
                                  <w:r>
                                    <w:rPr>
                                      <w:sz w:val="16"/>
                                    </w:rPr>
                                    <w:t>special</w:t>
                                  </w:r>
                                  <w:r>
                                    <w:rPr>
                                      <w:spacing w:val="-4"/>
                                      <w:sz w:val="16"/>
                                    </w:rPr>
                                    <w:t> </w:t>
                                  </w:r>
                                  <w:r>
                                    <w:rPr>
                                      <w:sz w:val="16"/>
                                    </w:rPr>
                                    <w:t>programs</w:t>
                                  </w:r>
                                  <w:r>
                                    <w:rPr>
                                      <w:spacing w:val="-4"/>
                                      <w:sz w:val="16"/>
                                    </w:rPr>
                                    <w:t> </w:t>
                                  </w:r>
                                  <w:r>
                                    <w:rPr>
                                      <w:sz w:val="16"/>
                                    </w:rPr>
                                    <w:t>(See</w:t>
                                  </w:r>
                                  <w:r>
                                    <w:rPr>
                                      <w:spacing w:val="-4"/>
                                      <w:sz w:val="16"/>
                                    </w:rPr>
                                    <w:t> </w:t>
                                  </w:r>
                                  <w:r>
                                    <w:rPr>
                                      <w:sz w:val="16"/>
                                    </w:rPr>
                                    <w:t>Section</w:t>
                                  </w:r>
                                  <w:r>
                                    <w:rPr>
                                      <w:spacing w:val="-4"/>
                                      <w:sz w:val="16"/>
                                    </w:rPr>
                                    <w:t> </w:t>
                                  </w:r>
                                  <w:r>
                                    <w:rPr>
                                      <w:spacing w:val="-5"/>
                                      <w:sz w:val="16"/>
                                    </w:rPr>
                                    <w:t>V)</w:t>
                                  </w:r>
                                </w:p>
                              </w:tc>
                              <w:tc>
                                <w:tcPr>
                                  <w:tcW w:w="1222" w:type="dxa"/>
                                  <w:gridSpan w:val="2"/>
                                  <w:tcBorders>
                                    <w:top w:val="single" w:sz="8" w:space="0" w:color="6C6C6C"/>
                                  </w:tcBorders>
                                </w:tcPr>
                                <w:p>
                                  <w:pPr>
                                    <w:pStyle w:val="TableParagraph"/>
                                    <w:spacing w:before="5"/>
                                    <w:ind w:right="90"/>
                                    <w:jc w:val="right"/>
                                    <w:rPr>
                                      <w:sz w:val="16"/>
                                    </w:rPr>
                                  </w:pPr>
                                  <w:r>
                                    <w:rPr>
                                      <w:spacing w:val="-5"/>
                                      <w:sz w:val="16"/>
                                    </w:rPr>
                                    <w:t>17</w:t>
                                  </w:r>
                                </w:p>
                              </w:tc>
                              <w:tc>
                                <w:tcPr>
                                  <w:tcW w:w="1261" w:type="dxa"/>
                                  <w:gridSpan w:val="2"/>
                                  <w:tcBorders>
                                    <w:top w:val="single" w:sz="8" w:space="0" w:color="6C6C6C"/>
                                  </w:tcBorders>
                                </w:tcPr>
                                <w:p>
                                  <w:pPr>
                                    <w:pStyle w:val="TableParagraph"/>
                                    <w:spacing w:before="5"/>
                                    <w:ind w:right="91"/>
                                    <w:jc w:val="right"/>
                                    <w:rPr>
                                      <w:sz w:val="16"/>
                                    </w:rPr>
                                  </w:pPr>
                                  <w:r>
                                    <w:rPr>
                                      <w:spacing w:val="-5"/>
                                      <w:sz w:val="16"/>
                                    </w:rPr>
                                    <w:t>17</w:t>
                                  </w:r>
                                </w:p>
                              </w:tc>
                              <w:tc>
                                <w:tcPr>
                                  <w:tcW w:w="1074" w:type="dxa"/>
                                  <w:gridSpan w:val="2"/>
                                  <w:tcBorders>
                                    <w:top w:val="single" w:sz="8" w:space="0" w:color="6C6C6C"/>
                                  </w:tcBorders>
                                </w:tcPr>
                                <w:p>
                                  <w:pPr>
                                    <w:pStyle w:val="TableParagraph"/>
                                    <w:spacing w:before="1"/>
                                    <w:ind w:right="68"/>
                                    <w:jc w:val="right"/>
                                    <w:rPr>
                                      <w:sz w:val="16"/>
                                    </w:rPr>
                                  </w:pPr>
                                  <w:r>
                                    <w:rPr>
                                      <w:sz w:val="16"/>
                                    </w:rPr>
                                    <w:t>—</w:t>
                                  </w:r>
                                </w:p>
                              </w:tc>
                            </w:tr>
                            <w:tr>
                              <w:trPr>
                                <w:trHeight w:val="223" w:hRule="atLeast"/>
                              </w:trPr>
                              <w:tc>
                                <w:tcPr>
                                  <w:tcW w:w="5955" w:type="dxa"/>
                                </w:tcPr>
                                <w:p>
                                  <w:pPr>
                                    <w:pStyle w:val="TableParagraph"/>
                                    <w:spacing w:before="18"/>
                                    <w:ind w:left="108"/>
                                    <w:rPr>
                                      <w:sz w:val="16"/>
                                    </w:rPr>
                                  </w:pPr>
                                  <w:r>
                                    <w:rPr>
                                      <w:sz w:val="16"/>
                                    </w:rPr>
                                    <w:t>Revenue</w:t>
                                  </w:r>
                                  <w:r>
                                    <w:rPr>
                                      <w:spacing w:val="-7"/>
                                      <w:sz w:val="16"/>
                                    </w:rPr>
                                    <w:t> </w:t>
                                  </w:r>
                                  <w:r>
                                    <w:rPr>
                                      <w:sz w:val="16"/>
                                    </w:rPr>
                                    <w:t>from</w:t>
                                  </w:r>
                                  <w:r>
                                    <w:rPr>
                                      <w:spacing w:val="-4"/>
                                      <w:sz w:val="16"/>
                                    </w:rPr>
                                    <w:t> </w:t>
                                  </w:r>
                                  <w:r>
                                    <w:rPr>
                                      <w:sz w:val="16"/>
                                    </w:rPr>
                                    <w:t>externally</w:t>
                                  </w:r>
                                  <w:r>
                                    <w:rPr>
                                      <w:spacing w:val="-3"/>
                                      <w:sz w:val="16"/>
                                    </w:rPr>
                                    <w:t> </w:t>
                                  </w:r>
                                  <w:r>
                                    <w:rPr>
                                      <w:sz w:val="16"/>
                                    </w:rPr>
                                    <w:t>funded</w:t>
                                  </w:r>
                                  <w:r>
                                    <w:rPr>
                                      <w:spacing w:val="-5"/>
                                      <w:sz w:val="16"/>
                                    </w:rPr>
                                    <w:t> </w:t>
                                  </w:r>
                                  <w:r>
                                    <w:rPr>
                                      <w:sz w:val="16"/>
                                    </w:rPr>
                                    <w:t>activities:</w:t>
                                  </w:r>
                                  <w:r>
                                    <w:rPr>
                                      <w:spacing w:val="-3"/>
                                      <w:sz w:val="16"/>
                                    </w:rPr>
                                    <w:t> </w:t>
                                  </w:r>
                                  <w:r>
                                    <w:rPr>
                                      <w:sz w:val="16"/>
                                    </w:rPr>
                                    <w:t>(See</w:t>
                                  </w:r>
                                  <w:r>
                                    <w:rPr>
                                      <w:spacing w:val="-5"/>
                                      <w:sz w:val="16"/>
                                    </w:rPr>
                                    <w:t> </w:t>
                                  </w:r>
                                  <w:r>
                                    <w:rPr>
                                      <w:sz w:val="16"/>
                                    </w:rPr>
                                    <w:t>Section</w:t>
                                  </w:r>
                                  <w:r>
                                    <w:rPr>
                                      <w:spacing w:val="-4"/>
                                      <w:sz w:val="16"/>
                                    </w:rPr>
                                    <w:t> </w:t>
                                  </w:r>
                                  <w:r>
                                    <w:rPr>
                                      <w:spacing w:val="-5"/>
                                      <w:sz w:val="16"/>
                                    </w:rPr>
                                    <w:t>V)</w:t>
                                  </w:r>
                                </w:p>
                              </w:tc>
                              <w:tc>
                                <w:tcPr>
                                  <w:tcW w:w="1222" w:type="dxa"/>
                                  <w:gridSpan w:val="2"/>
                                </w:tcPr>
                                <w:p>
                                  <w:pPr>
                                    <w:pStyle w:val="TableParagraph"/>
                                    <w:rPr>
                                      <w:rFonts w:ascii="Times New Roman"/>
                                      <w:sz w:val="14"/>
                                    </w:rPr>
                                  </w:pPr>
                                </w:p>
                              </w:tc>
                              <w:tc>
                                <w:tcPr>
                                  <w:tcW w:w="1261" w:type="dxa"/>
                                  <w:gridSpan w:val="2"/>
                                </w:tcPr>
                                <w:p>
                                  <w:pPr>
                                    <w:pStyle w:val="TableParagraph"/>
                                    <w:rPr>
                                      <w:rFonts w:ascii="Times New Roman"/>
                                      <w:sz w:val="14"/>
                                    </w:rPr>
                                  </w:pPr>
                                </w:p>
                              </w:tc>
                              <w:tc>
                                <w:tcPr>
                                  <w:tcW w:w="1074" w:type="dxa"/>
                                  <w:gridSpan w:val="2"/>
                                </w:tcPr>
                                <w:p>
                                  <w:pPr>
                                    <w:pStyle w:val="TableParagraph"/>
                                    <w:rPr>
                                      <w:rFonts w:ascii="Times New Roman"/>
                                      <w:sz w:val="14"/>
                                    </w:rPr>
                                  </w:pPr>
                                </w:p>
                              </w:tc>
                            </w:tr>
                            <w:tr>
                              <w:trPr>
                                <w:trHeight w:val="225" w:hRule="atLeast"/>
                              </w:trPr>
                              <w:tc>
                                <w:tcPr>
                                  <w:tcW w:w="5955" w:type="dxa"/>
                                </w:tcPr>
                                <w:p>
                                  <w:pPr>
                                    <w:pStyle w:val="TableParagraph"/>
                                    <w:spacing w:before="19"/>
                                    <w:ind w:left="267"/>
                                    <w:rPr>
                                      <w:sz w:val="16"/>
                                    </w:rPr>
                                  </w:pPr>
                                  <w:r>
                                    <w:rPr>
                                      <w:sz w:val="16"/>
                                    </w:rPr>
                                    <w:t>Reimbursable</w:t>
                                  </w:r>
                                  <w:r>
                                    <w:rPr>
                                      <w:spacing w:val="-6"/>
                                      <w:sz w:val="16"/>
                                    </w:rPr>
                                    <w:t> </w:t>
                                  </w:r>
                                  <w:r>
                                    <w:rPr>
                                      <w:sz w:val="16"/>
                                    </w:rPr>
                                    <w:t>revenue</w:t>
                                  </w:r>
                                  <w:r>
                                    <w:rPr>
                                      <w:spacing w:val="-4"/>
                                      <w:sz w:val="16"/>
                                    </w:rPr>
                                    <w:t> </w:t>
                                  </w:r>
                                  <w:r>
                                    <w:rPr>
                                      <w:sz w:val="16"/>
                                    </w:rPr>
                                    <w:t>–</w:t>
                                  </w:r>
                                  <w:r>
                                    <w:rPr>
                                      <w:spacing w:val="-4"/>
                                      <w:sz w:val="16"/>
                                    </w:rPr>
                                    <w:t> </w:t>
                                  </w:r>
                                  <w:r>
                                    <w:rPr>
                                      <w:sz w:val="16"/>
                                    </w:rPr>
                                    <w:t>IBRD</w:t>
                                  </w:r>
                                  <w:r>
                                    <w:rPr>
                                      <w:spacing w:val="-3"/>
                                      <w:sz w:val="16"/>
                                    </w:rPr>
                                    <w:t> </w:t>
                                  </w:r>
                                  <w:r>
                                    <w:rPr>
                                      <w:sz w:val="16"/>
                                    </w:rPr>
                                    <w:t>executed</w:t>
                                  </w:r>
                                  <w:r>
                                    <w:rPr>
                                      <w:spacing w:val="-4"/>
                                      <w:sz w:val="16"/>
                                    </w:rPr>
                                    <w:t> </w:t>
                                  </w:r>
                                  <w:r>
                                    <w:rPr>
                                      <w:sz w:val="16"/>
                                    </w:rPr>
                                    <w:t>trust</w:t>
                                  </w:r>
                                  <w:r>
                                    <w:rPr>
                                      <w:spacing w:val="-3"/>
                                      <w:sz w:val="16"/>
                                    </w:rPr>
                                    <w:t> </w:t>
                                  </w:r>
                                  <w:r>
                                    <w:rPr>
                                      <w:spacing w:val="-2"/>
                                      <w:sz w:val="16"/>
                                    </w:rPr>
                                    <w:t>funds</w:t>
                                  </w:r>
                                </w:p>
                              </w:tc>
                              <w:tc>
                                <w:tcPr>
                                  <w:tcW w:w="1222" w:type="dxa"/>
                                  <w:gridSpan w:val="2"/>
                                </w:tcPr>
                                <w:p>
                                  <w:pPr>
                                    <w:pStyle w:val="TableParagraph"/>
                                    <w:spacing w:before="19"/>
                                    <w:ind w:left="756"/>
                                    <w:rPr>
                                      <w:sz w:val="16"/>
                                    </w:rPr>
                                  </w:pPr>
                                  <w:r>
                                    <w:rPr>
                                      <w:spacing w:val="-2"/>
                                      <w:sz w:val="16"/>
                                    </w:rPr>
                                    <w:t>(570)</w:t>
                                  </w:r>
                                </w:p>
                              </w:tc>
                              <w:tc>
                                <w:tcPr>
                                  <w:tcW w:w="1261" w:type="dxa"/>
                                  <w:gridSpan w:val="2"/>
                                </w:tcPr>
                                <w:p>
                                  <w:pPr>
                                    <w:pStyle w:val="TableParagraph"/>
                                    <w:spacing w:before="19"/>
                                    <w:ind w:left="794"/>
                                    <w:rPr>
                                      <w:sz w:val="16"/>
                                    </w:rPr>
                                  </w:pPr>
                                  <w:r>
                                    <w:rPr>
                                      <w:spacing w:val="-2"/>
                                      <w:sz w:val="16"/>
                                    </w:rPr>
                                    <w:t>(494)</w:t>
                                  </w:r>
                                </w:p>
                              </w:tc>
                              <w:tc>
                                <w:tcPr>
                                  <w:tcW w:w="1074" w:type="dxa"/>
                                  <w:gridSpan w:val="2"/>
                                </w:tcPr>
                                <w:p>
                                  <w:pPr>
                                    <w:pStyle w:val="TableParagraph"/>
                                    <w:spacing w:before="16"/>
                                    <w:ind w:right="14"/>
                                    <w:jc w:val="right"/>
                                    <w:rPr>
                                      <w:sz w:val="16"/>
                                    </w:rPr>
                                  </w:pPr>
                                  <w:r>
                                    <w:rPr>
                                      <w:spacing w:val="-4"/>
                                      <w:sz w:val="16"/>
                                    </w:rPr>
                                    <w:t>(76)</w:t>
                                  </w:r>
                                </w:p>
                              </w:tc>
                            </w:tr>
                            <w:tr>
                              <w:trPr>
                                <w:trHeight w:val="225" w:hRule="atLeast"/>
                              </w:trPr>
                              <w:tc>
                                <w:tcPr>
                                  <w:tcW w:w="5955" w:type="dxa"/>
                                </w:tcPr>
                                <w:p>
                                  <w:pPr>
                                    <w:pStyle w:val="TableParagraph"/>
                                    <w:spacing w:before="19"/>
                                    <w:ind w:left="267"/>
                                    <w:rPr>
                                      <w:sz w:val="16"/>
                                    </w:rPr>
                                  </w:pPr>
                                  <w:r>
                                    <w:rPr>
                                      <w:sz w:val="16"/>
                                    </w:rPr>
                                    <w:t>Reimbursable</w:t>
                                  </w:r>
                                  <w:r>
                                    <w:rPr>
                                      <w:spacing w:val="-7"/>
                                      <w:sz w:val="16"/>
                                    </w:rPr>
                                    <w:t> </w:t>
                                  </w:r>
                                  <w:r>
                                    <w:rPr>
                                      <w:sz w:val="16"/>
                                    </w:rPr>
                                    <w:t>advisory</w:t>
                                  </w:r>
                                  <w:r>
                                    <w:rPr>
                                      <w:spacing w:val="-6"/>
                                      <w:sz w:val="16"/>
                                    </w:rPr>
                                    <w:t> </w:t>
                                  </w:r>
                                  <w:r>
                                    <w:rPr>
                                      <w:spacing w:val="-2"/>
                                      <w:sz w:val="16"/>
                                    </w:rPr>
                                    <w:t>services</w:t>
                                  </w:r>
                                </w:p>
                              </w:tc>
                              <w:tc>
                                <w:tcPr>
                                  <w:tcW w:w="1222" w:type="dxa"/>
                                  <w:gridSpan w:val="2"/>
                                </w:tcPr>
                                <w:p>
                                  <w:pPr>
                                    <w:pStyle w:val="TableParagraph"/>
                                    <w:spacing w:before="19"/>
                                    <w:ind w:right="90"/>
                                    <w:jc w:val="right"/>
                                    <w:rPr>
                                      <w:sz w:val="16"/>
                                    </w:rPr>
                                  </w:pPr>
                                  <w:r>
                                    <w:rPr>
                                      <w:spacing w:val="-4"/>
                                      <w:sz w:val="16"/>
                                    </w:rPr>
                                    <w:t>(52)</w:t>
                                  </w:r>
                                </w:p>
                              </w:tc>
                              <w:tc>
                                <w:tcPr>
                                  <w:tcW w:w="1261" w:type="dxa"/>
                                  <w:gridSpan w:val="2"/>
                                </w:tcPr>
                                <w:p>
                                  <w:pPr>
                                    <w:pStyle w:val="TableParagraph"/>
                                    <w:spacing w:before="19"/>
                                    <w:ind w:right="91"/>
                                    <w:jc w:val="right"/>
                                    <w:rPr>
                                      <w:sz w:val="16"/>
                                    </w:rPr>
                                  </w:pPr>
                                  <w:r>
                                    <w:rPr>
                                      <w:spacing w:val="-4"/>
                                      <w:sz w:val="16"/>
                                    </w:rPr>
                                    <w:t>(47)</w:t>
                                  </w:r>
                                </w:p>
                              </w:tc>
                              <w:tc>
                                <w:tcPr>
                                  <w:tcW w:w="1074" w:type="dxa"/>
                                  <w:gridSpan w:val="2"/>
                                </w:tcPr>
                                <w:p>
                                  <w:pPr>
                                    <w:pStyle w:val="TableParagraph"/>
                                    <w:spacing w:before="16"/>
                                    <w:ind w:right="14"/>
                                    <w:jc w:val="right"/>
                                    <w:rPr>
                                      <w:sz w:val="16"/>
                                    </w:rPr>
                                  </w:pPr>
                                  <w:r>
                                    <w:rPr>
                                      <w:spacing w:val="-5"/>
                                      <w:sz w:val="16"/>
                                    </w:rPr>
                                    <w:t>(5)</w:t>
                                  </w:r>
                                </w:p>
                              </w:tc>
                            </w:tr>
                            <w:tr>
                              <w:trPr>
                                <w:trHeight w:val="225" w:hRule="atLeast"/>
                              </w:trPr>
                              <w:tc>
                                <w:tcPr>
                                  <w:tcW w:w="5955" w:type="dxa"/>
                                </w:tcPr>
                                <w:p>
                                  <w:pPr>
                                    <w:pStyle w:val="TableParagraph"/>
                                    <w:spacing w:before="19"/>
                                    <w:ind w:left="267"/>
                                    <w:rPr>
                                      <w:sz w:val="16"/>
                                    </w:rPr>
                                  </w:pPr>
                                  <w:r>
                                    <w:rPr>
                                      <w:sz w:val="16"/>
                                    </w:rPr>
                                    <w:t>Revenue</w:t>
                                  </w:r>
                                  <w:r>
                                    <w:rPr>
                                      <w:spacing w:val="-5"/>
                                      <w:sz w:val="16"/>
                                    </w:rPr>
                                    <w:t> </w:t>
                                  </w:r>
                                  <w:r>
                                    <w:rPr>
                                      <w:sz w:val="16"/>
                                    </w:rPr>
                                    <w:t>-</w:t>
                                  </w:r>
                                  <w:r>
                                    <w:rPr>
                                      <w:spacing w:val="-6"/>
                                      <w:sz w:val="16"/>
                                    </w:rPr>
                                    <w:t> </w:t>
                                  </w:r>
                                  <w:r>
                                    <w:rPr>
                                      <w:sz w:val="16"/>
                                    </w:rPr>
                                    <w:t>Trust</w:t>
                                  </w:r>
                                  <w:r>
                                    <w:rPr>
                                      <w:spacing w:val="-4"/>
                                      <w:sz w:val="16"/>
                                    </w:rPr>
                                    <w:t> </w:t>
                                  </w:r>
                                  <w:r>
                                    <w:rPr>
                                      <w:sz w:val="16"/>
                                    </w:rPr>
                                    <w:t>fund</w:t>
                                  </w:r>
                                  <w:r>
                                    <w:rPr>
                                      <w:spacing w:val="-4"/>
                                      <w:sz w:val="16"/>
                                    </w:rPr>
                                    <w:t> </w:t>
                                  </w:r>
                                  <w:r>
                                    <w:rPr>
                                      <w:spacing w:val="-2"/>
                                      <w:sz w:val="16"/>
                                    </w:rPr>
                                    <w:t>administration</w:t>
                                  </w:r>
                                </w:p>
                              </w:tc>
                              <w:tc>
                                <w:tcPr>
                                  <w:tcW w:w="1222" w:type="dxa"/>
                                  <w:gridSpan w:val="2"/>
                                </w:tcPr>
                                <w:p>
                                  <w:pPr>
                                    <w:pStyle w:val="TableParagraph"/>
                                    <w:spacing w:before="19"/>
                                    <w:ind w:right="90"/>
                                    <w:jc w:val="right"/>
                                    <w:rPr>
                                      <w:sz w:val="16"/>
                                    </w:rPr>
                                  </w:pPr>
                                  <w:r>
                                    <w:rPr>
                                      <w:spacing w:val="-4"/>
                                      <w:sz w:val="16"/>
                                    </w:rPr>
                                    <w:t>(62)</w:t>
                                  </w:r>
                                </w:p>
                              </w:tc>
                              <w:tc>
                                <w:tcPr>
                                  <w:tcW w:w="1261" w:type="dxa"/>
                                  <w:gridSpan w:val="2"/>
                                </w:tcPr>
                                <w:p>
                                  <w:pPr>
                                    <w:pStyle w:val="TableParagraph"/>
                                    <w:spacing w:before="19"/>
                                    <w:ind w:right="91"/>
                                    <w:jc w:val="right"/>
                                    <w:rPr>
                                      <w:sz w:val="16"/>
                                    </w:rPr>
                                  </w:pPr>
                                  <w:r>
                                    <w:rPr>
                                      <w:spacing w:val="-4"/>
                                      <w:sz w:val="16"/>
                                    </w:rPr>
                                    <w:t>(50)</w:t>
                                  </w:r>
                                </w:p>
                              </w:tc>
                              <w:tc>
                                <w:tcPr>
                                  <w:tcW w:w="1074" w:type="dxa"/>
                                  <w:gridSpan w:val="2"/>
                                </w:tcPr>
                                <w:p>
                                  <w:pPr>
                                    <w:pStyle w:val="TableParagraph"/>
                                    <w:spacing w:before="16"/>
                                    <w:ind w:right="14"/>
                                    <w:jc w:val="right"/>
                                    <w:rPr>
                                      <w:sz w:val="16"/>
                                    </w:rPr>
                                  </w:pPr>
                                  <w:r>
                                    <w:rPr>
                                      <w:spacing w:val="-4"/>
                                      <w:sz w:val="16"/>
                                    </w:rPr>
                                    <w:t>(12)</w:t>
                                  </w:r>
                                </w:p>
                              </w:tc>
                            </w:tr>
                            <w:tr>
                              <w:trPr>
                                <w:trHeight w:val="225" w:hRule="atLeast"/>
                              </w:trPr>
                              <w:tc>
                                <w:tcPr>
                                  <w:tcW w:w="5955" w:type="dxa"/>
                                </w:tcPr>
                                <w:p>
                                  <w:pPr>
                                    <w:pStyle w:val="TableParagraph"/>
                                    <w:spacing w:before="19"/>
                                    <w:ind w:left="267"/>
                                    <w:rPr>
                                      <w:sz w:val="16"/>
                                    </w:rPr>
                                  </w:pPr>
                                  <w:r>
                                    <w:rPr>
                                      <w:sz w:val="16"/>
                                    </w:rPr>
                                    <w:t>Restricted</w:t>
                                  </w:r>
                                  <w:r>
                                    <w:rPr>
                                      <w:spacing w:val="-6"/>
                                      <w:sz w:val="16"/>
                                    </w:rPr>
                                    <w:t> </w:t>
                                  </w:r>
                                  <w:r>
                                    <w:rPr>
                                      <w:sz w:val="16"/>
                                    </w:rPr>
                                    <w:t>revenue</w:t>
                                  </w:r>
                                  <w:r>
                                    <w:rPr>
                                      <w:spacing w:val="-6"/>
                                      <w:sz w:val="16"/>
                                    </w:rPr>
                                    <w:t> </w:t>
                                  </w:r>
                                  <w:r>
                                    <w:rPr>
                                      <w:sz w:val="16"/>
                                    </w:rPr>
                                    <w:t>(primarily</w:t>
                                  </w:r>
                                  <w:r>
                                    <w:rPr>
                                      <w:spacing w:val="-5"/>
                                      <w:sz w:val="16"/>
                                    </w:rPr>
                                    <w:t> </w:t>
                                  </w:r>
                                  <w:r>
                                    <w:rPr>
                                      <w:sz w:val="16"/>
                                    </w:rPr>
                                    <w:t>externally</w:t>
                                  </w:r>
                                  <w:r>
                                    <w:rPr>
                                      <w:spacing w:val="-5"/>
                                      <w:sz w:val="16"/>
                                    </w:rPr>
                                    <w:t> </w:t>
                                  </w:r>
                                  <w:r>
                                    <w:rPr>
                                      <w:sz w:val="16"/>
                                    </w:rPr>
                                    <w:t>financed</w:t>
                                  </w:r>
                                  <w:r>
                                    <w:rPr>
                                      <w:spacing w:val="-5"/>
                                      <w:sz w:val="16"/>
                                    </w:rPr>
                                    <w:t> </w:t>
                                  </w:r>
                                  <w:r>
                                    <w:rPr>
                                      <w:spacing w:val="-2"/>
                                      <w:sz w:val="16"/>
                                    </w:rPr>
                                    <w:t>outputs)</w:t>
                                  </w:r>
                                </w:p>
                              </w:tc>
                              <w:tc>
                                <w:tcPr>
                                  <w:tcW w:w="1222" w:type="dxa"/>
                                  <w:gridSpan w:val="2"/>
                                </w:tcPr>
                                <w:p>
                                  <w:pPr>
                                    <w:pStyle w:val="TableParagraph"/>
                                    <w:spacing w:before="19"/>
                                    <w:ind w:right="90"/>
                                    <w:jc w:val="right"/>
                                    <w:rPr>
                                      <w:sz w:val="16"/>
                                    </w:rPr>
                                  </w:pPr>
                                  <w:r>
                                    <w:rPr>
                                      <w:spacing w:val="-5"/>
                                      <w:sz w:val="16"/>
                                    </w:rPr>
                                    <w:t>(3)</w:t>
                                  </w:r>
                                </w:p>
                              </w:tc>
                              <w:tc>
                                <w:tcPr>
                                  <w:tcW w:w="1261" w:type="dxa"/>
                                  <w:gridSpan w:val="2"/>
                                </w:tcPr>
                                <w:p>
                                  <w:pPr>
                                    <w:pStyle w:val="TableParagraph"/>
                                    <w:spacing w:before="19"/>
                                    <w:ind w:right="91"/>
                                    <w:jc w:val="right"/>
                                    <w:rPr>
                                      <w:sz w:val="16"/>
                                    </w:rPr>
                                  </w:pPr>
                                  <w:r>
                                    <w:rPr>
                                      <w:spacing w:val="-5"/>
                                      <w:sz w:val="16"/>
                                    </w:rPr>
                                    <w:t>(4)</w:t>
                                  </w:r>
                                </w:p>
                              </w:tc>
                              <w:tc>
                                <w:tcPr>
                                  <w:tcW w:w="1074" w:type="dxa"/>
                                  <w:gridSpan w:val="2"/>
                                </w:tcPr>
                                <w:p>
                                  <w:pPr>
                                    <w:pStyle w:val="TableParagraph"/>
                                    <w:spacing w:before="16"/>
                                    <w:ind w:right="68"/>
                                    <w:jc w:val="right"/>
                                    <w:rPr>
                                      <w:sz w:val="16"/>
                                    </w:rPr>
                                  </w:pPr>
                                  <w:r>
                                    <w:rPr>
                                      <w:spacing w:val="-10"/>
                                      <w:sz w:val="16"/>
                                    </w:rPr>
                                    <w:t>1</w:t>
                                  </w:r>
                                </w:p>
                              </w:tc>
                            </w:tr>
                            <w:tr>
                              <w:trPr>
                                <w:trHeight w:val="225" w:hRule="atLeast"/>
                              </w:trPr>
                              <w:tc>
                                <w:tcPr>
                                  <w:tcW w:w="5955" w:type="dxa"/>
                                </w:tcPr>
                                <w:p>
                                  <w:pPr>
                                    <w:pStyle w:val="TableParagraph"/>
                                    <w:spacing w:before="19"/>
                                    <w:ind w:left="267"/>
                                    <w:rPr>
                                      <w:sz w:val="16"/>
                                    </w:rPr>
                                  </w:pPr>
                                  <w:r>
                                    <w:rPr>
                                      <w:sz w:val="16"/>
                                    </w:rPr>
                                    <w:t>Revenue</w:t>
                                  </w:r>
                                  <w:r>
                                    <w:rPr>
                                      <w:spacing w:val="-5"/>
                                      <w:sz w:val="16"/>
                                    </w:rPr>
                                    <w:t> </w:t>
                                  </w:r>
                                  <w:r>
                                    <w:rPr>
                                      <w:sz w:val="16"/>
                                    </w:rPr>
                                    <w:t>-</w:t>
                                  </w:r>
                                  <w:r>
                                    <w:rPr>
                                      <w:spacing w:val="-12"/>
                                      <w:sz w:val="16"/>
                                    </w:rPr>
                                    <w:t> </w:t>
                                  </w:r>
                                  <w:r>
                                    <w:rPr>
                                      <w:sz w:val="16"/>
                                    </w:rPr>
                                    <w:t>Asset</w:t>
                                  </w:r>
                                  <w:r>
                                    <w:rPr>
                                      <w:spacing w:val="-3"/>
                                      <w:sz w:val="16"/>
                                    </w:rPr>
                                    <w:t> </w:t>
                                  </w:r>
                                  <w:r>
                                    <w:rPr>
                                      <w:sz w:val="16"/>
                                    </w:rPr>
                                    <w:t>management</w:t>
                                  </w:r>
                                  <w:r>
                                    <w:rPr>
                                      <w:spacing w:val="-3"/>
                                      <w:sz w:val="16"/>
                                    </w:rPr>
                                    <w:t> </w:t>
                                  </w:r>
                                  <w:r>
                                    <w:rPr>
                                      <w:spacing w:val="-2"/>
                                      <w:sz w:val="16"/>
                                    </w:rPr>
                                    <w:t>services</w:t>
                                  </w:r>
                                </w:p>
                              </w:tc>
                              <w:tc>
                                <w:tcPr>
                                  <w:tcW w:w="1222" w:type="dxa"/>
                                  <w:gridSpan w:val="2"/>
                                </w:tcPr>
                                <w:p>
                                  <w:pPr>
                                    <w:pStyle w:val="TableParagraph"/>
                                    <w:spacing w:before="19"/>
                                    <w:ind w:right="90"/>
                                    <w:jc w:val="right"/>
                                    <w:rPr>
                                      <w:sz w:val="16"/>
                                    </w:rPr>
                                  </w:pPr>
                                  <w:r>
                                    <w:rPr>
                                      <w:spacing w:val="-4"/>
                                      <w:sz w:val="16"/>
                                    </w:rPr>
                                    <w:t>(16)</w:t>
                                  </w:r>
                                </w:p>
                              </w:tc>
                              <w:tc>
                                <w:tcPr>
                                  <w:tcW w:w="1261" w:type="dxa"/>
                                  <w:gridSpan w:val="2"/>
                                </w:tcPr>
                                <w:p>
                                  <w:pPr>
                                    <w:pStyle w:val="TableParagraph"/>
                                    <w:spacing w:before="19"/>
                                    <w:ind w:right="91"/>
                                    <w:jc w:val="right"/>
                                    <w:rPr>
                                      <w:sz w:val="16"/>
                                    </w:rPr>
                                  </w:pPr>
                                  <w:r>
                                    <w:rPr>
                                      <w:spacing w:val="-4"/>
                                      <w:sz w:val="16"/>
                                    </w:rPr>
                                    <w:t>(18)</w:t>
                                  </w:r>
                                </w:p>
                              </w:tc>
                              <w:tc>
                                <w:tcPr>
                                  <w:tcW w:w="1074" w:type="dxa"/>
                                  <w:gridSpan w:val="2"/>
                                </w:tcPr>
                                <w:p>
                                  <w:pPr>
                                    <w:pStyle w:val="TableParagraph"/>
                                    <w:spacing w:before="16"/>
                                    <w:ind w:right="68"/>
                                    <w:jc w:val="right"/>
                                    <w:rPr>
                                      <w:sz w:val="16"/>
                                    </w:rPr>
                                  </w:pPr>
                                  <w:r>
                                    <w:rPr>
                                      <w:spacing w:val="-10"/>
                                      <w:sz w:val="16"/>
                                    </w:rPr>
                                    <w:t>2</w:t>
                                  </w:r>
                                </w:p>
                              </w:tc>
                            </w:tr>
                            <w:tr>
                              <w:trPr>
                                <w:trHeight w:val="219" w:hRule="atLeast"/>
                              </w:trPr>
                              <w:tc>
                                <w:tcPr>
                                  <w:tcW w:w="5955" w:type="dxa"/>
                                </w:tcPr>
                                <w:p>
                                  <w:pPr>
                                    <w:pStyle w:val="TableParagraph"/>
                                    <w:spacing w:line="180" w:lineRule="exact" w:before="19"/>
                                    <w:ind w:left="267"/>
                                    <w:rPr>
                                      <w:sz w:val="16"/>
                                    </w:rPr>
                                  </w:pPr>
                                  <w:r>
                                    <w:rPr>
                                      <w:sz w:val="16"/>
                                    </w:rPr>
                                    <w:t>Other</w:t>
                                  </w:r>
                                  <w:r>
                                    <w:rPr>
                                      <w:spacing w:val="-4"/>
                                      <w:sz w:val="16"/>
                                    </w:rPr>
                                    <w:t> </w:t>
                                  </w:r>
                                  <w:r>
                                    <w:rPr>
                                      <w:spacing w:val="-2"/>
                                      <w:sz w:val="16"/>
                                    </w:rPr>
                                    <w:t>revenue</w:t>
                                  </w:r>
                                </w:p>
                              </w:tc>
                              <w:tc>
                                <w:tcPr>
                                  <w:tcW w:w="1222" w:type="dxa"/>
                                  <w:gridSpan w:val="2"/>
                                  <w:tcBorders>
                                    <w:bottom w:val="single" w:sz="8" w:space="0" w:color="6C6C6C"/>
                                  </w:tcBorders>
                                </w:tcPr>
                                <w:p>
                                  <w:pPr>
                                    <w:pStyle w:val="TableParagraph"/>
                                    <w:spacing w:line="180" w:lineRule="exact" w:before="19"/>
                                    <w:ind w:left="756"/>
                                    <w:rPr>
                                      <w:sz w:val="16"/>
                                    </w:rPr>
                                  </w:pPr>
                                  <w:r>
                                    <w:rPr>
                                      <w:spacing w:val="-2"/>
                                      <w:sz w:val="16"/>
                                    </w:rPr>
                                    <w:t>(175)</w:t>
                                  </w:r>
                                </w:p>
                              </w:tc>
                              <w:tc>
                                <w:tcPr>
                                  <w:tcW w:w="1261" w:type="dxa"/>
                                  <w:gridSpan w:val="2"/>
                                  <w:tcBorders>
                                    <w:bottom w:val="single" w:sz="8" w:space="0" w:color="6C6C6C"/>
                                  </w:tcBorders>
                                </w:tcPr>
                                <w:p>
                                  <w:pPr>
                                    <w:pStyle w:val="TableParagraph"/>
                                    <w:spacing w:line="180" w:lineRule="exact" w:before="19"/>
                                    <w:ind w:left="794"/>
                                    <w:rPr>
                                      <w:sz w:val="16"/>
                                    </w:rPr>
                                  </w:pPr>
                                  <w:r>
                                    <w:rPr>
                                      <w:spacing w:val="-2"/>
                                      <w:sz w:val="16"/>
                                    </w:rPr>
                                    <w:t>(174)</w:t>
                                  </w:r>
                                </w:p>
                              </w:tc>
                              <w:tc>
                                <w:tcPr>
                                  <w:tcW w:w="1074" w:type="dxa"/>
                                  <w:gridSpan w:val="2"/>
                                  <w:tcBorders>
                                    <w:bottom w:val="single" w:sz="8" w:space="0" w:color="6C6C6C"/>
                                  </w:tcBorders>
                                </w:tcPr>
                                <w:p>
                                  <w:pPr>
                                    <w:pStyle w:val="TableParagraph"/>
                                    <w:spacing w:line="184" w:lineRule="exact" w:before="16"/>
                                    <w:ind w:right="14"/>
                                    <w:jc w:val="right"/>
                                    <w:rPr>
                                      <w:sz w:val="16"/>
                                    </w:rPr>
                                  </w:pPr>
                                  <w:r>
                                    <w:rPr>
                                      <w:spacing w:val="-5"/>
                                      <w:sz w:val="16"/>
                                    </w:rPr>
                                    <w:t>(1)</w:t>
                                  </w:r>
                                </w:p>
                              </w:tc>
                            </w:tr>
                            <w:tr>
                              <w:trPr>
                                <w:trHeight w:val="205" w:hRule="atLeast"/>
                              </w:trPr>
                              <w:tc>
                                <w:tcPr>
                                  <w:tcW w:w="5955" w:type="dxa"/>
                                </w:tcPr>
                                <w:p>
                                  <w:pPr>
                                    <w:pStyle w:val="TableParagraph"/>
                                    <w:spacing w:line="180" w:lineRule="exact" w:before="5"/>
                                    <w:ind w:left="435"/>
                                    <w:rPr>
                                      <w:rFonts w:ascii="Arial"/>
                                      <w:b/>
                                      <w:sz w:val="16"/>
                                    </w:rPr>
                                  </w:pPr>
                                  <w:r>
                                    <w:rPr>
                                      <w:rFonts w:ascii="Arial"/>
                                      <w:b/>
                                      <w:sz w:val="16"/>
                                    </w:rPr>
                                    <w:t>Total</w:t>
                                  </w:r>
                                  <w:r>
                                    <w:rPr>
                                      <w:rFonts w:ascii="Arial"/>
                                      <w:b/>
                                      <w:spacing w:val="-5"/>
                                      <w:sz w:val="16"/>
                                    </w:rPr>
                                    <w:t> </w:t>
                                  </w:r>
                                  <w:r>
                                    <w:rPr>
                                      <w:rFonts w:ascii="Arial"/>
                                      <w:b/>
                                      <w:sz w:val="16"/>
                                    </w:rPr>
                                    <w:t>Revenue</w:t>
                                  </w:r>
                                  <w:r>
                                    <w:rPr>
                                      <w:rFonts w:ascii="Arial"/>
                                      <w:b/>
                                      <w:spacing w:val="-5"/>
                                      <w:sz w:val="16"/>
                                    </w:rPr>
                                    <w:t> </w:t>
                                  </w:r>
                                  <w:r>
                                    <w:rPr>
                                      <w:rFonts w:ascii="Arial"/>
                                      <w:b/>
                                      <w:sz w:val="16"/>
                                    </w:rPr>
                                    <w:t>from</w:t>
                                  </w:r>
                                  <w:r>
                                    <w:rPr>
                                      <w:rFonts w:ascii="Arial"/>
                                      <w:b/>
                                      <w:spacing w:val="-4"/>
                                      <w:sz w:val="16"/>
                                    </w:rPr>
                                    <w:t> </w:t>
                                  </w:r>
                                  <w:r>
                                    <w:rPr>
                                      <w:rFonts w:ascii="Arial"/>
                                      <w:b/>
                                      <w:sz w:val="16"/>
                                    </w:rPr>
                                    <w:t>externally</w:t>
                                  </w:r>
                                  <w:r>
                                    <w:rPr>
                                      <w:rFonts w:ascii="Arial"/>
                                      <w:b/>
                                      <w:spacing w:val="-5"/>
                                      <w:sz w:val="16"/>
                                    </w:rPr>
                                    <w:t> </w:t>
                                  </w:r>
                                  <w:r>
                                    <w:rPr>
                                      <w:rFonts w:ascii="Arial"/>
                                      <w:b/>
                                      <w:sz w:val="16"/>
                                    </w:rPr>
                                    <w:t>funded</w:t>
                                  </w:r>
                                  <w:r>
                                    <w:rPr>
                                      <w:rFonts w:ascii="Arial"/>
                                      <w:b/>
                                      <w:spacing w:val="-5"/>
                                      <w:sz w:val="16"/>
                                    </w:rPr>
                                    <w:t> </w:t>
                                  </w:r>
                                  <w:r>
                                    <w:rPr>
                                      <w:rFonts w:ascii="Arial"/>
                                      <w:b/>
                                      <w:spacing w:val="-2"/>
                                      <w:sz w:val="16"/>
                                    </w:rPr>
                                    <w:t>activities</w:t>
                                  </w:r>
                                </w:p>
                              </w:tc>
                              <w:tc>
                                <w:tcPr>
                                  <w:tcW w:w="1222" w:type="dxa"/>
                                  <w:gridSpan w:val="2"/>
                                  <w:tcBorders>
                                    <w:top w:val="single" w:sz="8" w:space="0" w:color="6C6C6C"/>
                                    <w:bottom w:val="single" w:sz="8" w:space="0" w:color="6C6C6C"/>
                                  </w:tcBorders>
                                </w:tcPr>
                                <w:p>
                                  <w:pPr>
                                    <w:pStyle w:val="TableParagraph"/>
                                    <w:tabs>
                                      <w:tab w:pos="756" w:val="left" w:leader="none"/>
                                    </w:tabs>
                                    <w:spacing w:line="180" w:lineRule="exact" w:before="5"/>
                                    <w:ind w:left="52"/>
                                    <w:rPr>
                                      <w:rFonts w:ascii="Arial"/>
                                      <w:b/>
                                      <w:sz w:val="16"/>
                                    </w:rPr>
                                  </w:pPr>
                                  <w:r>
                                    <w:rPr>
                                      <w:rFonts w:ascii="Arial"/>
                                      <w:b/>
                                      <w:spacing w:val="-10"/>
                                      <w:sz w:val="16"/>
                                    </w:rPr>
                                    <w:t>$</w:t>
                                  </w:r>
                                  <w:r>
                                    <w:rPr>
                                      <w:rFonts w:ascii="Arial"/>
                                      <w:b/>
                                      <w:sz w:val="16"/>
                                    </w:rPr>
                                    <w:tab/>
                                  </w:r>
                                  <w:r>
                                    <w:rPr>
                                      <w:rFonts w:ascii="Arial"/>
                                      <w:b/>
                                      <w:spacing w:val="-2"/>
                                      <w:sz w:val="16"/>
                                    </w:rPr>
                                    <w:t>(878)</w:t>
                                  </w:r>
                                </w:p>
                              </w:tc>
                              <w:tc>
                                <w:tcPr>
                                  <w:tcW w:w="1261" w:type="dxa"/>
                                  <w:gridSpan w:val="2"/>
                                  <w:tcBorders>
                                    <w:top w:val="single" w:sz="8" w:space="0" w:color="6C6C6C"/>
                                    <w:bottom w:val="single" w:sz="8" w:space="0" w:color="6C6C6C"/>
                                  </w:tcBorders>
                                </w:tcPr>
                                <w:p>
                                  <w:pPr>
                                    <w:pStyle w:val="TableParagraph"/>
                                    <w:tabs>
                                      <w:tab w:pos="794" w:val="left" w:leader="none"/>
                                    </w:tabs>
                                    <w:spacing w:line="180" w:lineRule="exact" w:before="5"/>
                                    <w:ind w:left="90"/>
                                    <w:rPr>
                                      <w:rFonts w:ascii="Arial"/>
                                      <w:b/>
                                      <w:sz w:val="16"/>
                                    </w:rPr>
                                  </w:pPr>
                                  <w:r>
                                    <w:rPr>
                                      <w:rFonts w:ascii="Arial"/>
                                      <w:b/>
                                      <w:spacing w:val="-10"/>
                                      <w:sz w:val="16"/>
                                    </w:rPr>
                                    <w:t>$</w:t>
                                  </w:r>
                                  <w:r>
                                    <w:rPr>
                                      <w:rFonts w:ascii="Arial"/>
                                      <w:b/>
                                      <w:sz w:val="16"/>
                                    </w:rPr>
                                    <w:tab/>
                                  </w:r>
                                  <w:r>
                                    <w:rPr>
                                      <w:rFonts w:ascii="Arial"/>
                                      <w:b/>
                                      <w:spacing w:val="-2"/>
                                      <w:sz w:val="16"/>
                                    </w:rPr>
                                    <w:t>(787)</w:t>
                                  </w:r>
                                </w:p>
                              </w:tc>
                              <w:tc>
                                <w:tcPr>
                                  <w:tcW w:w="1074" w:type="dxa"/>
                                  <w:gridSpan w:val="2"/>
                                  <w:tcBorders>
                                    <w:top w:val="single" w:sz="8" w:space="0" w:color="6C6C6C"/>
                                    <w:bottom w:val="single" w:sz="8" w:space="0" w:color="6C6C6C"/>
                                  </w:tcBorders>
                                </w:tcPr>
                                <w:p>
                                  <w:pPr>
                                    <w:pStyle w:val="TableParagraph"/>
                                    <w:tabs>
                                      <w:tab w:pos="772" w:val="left" w:leader="none"/>
                                    </w:tabs>
                                    <w:spacing w:line="180" w:lineRule="exact" w:before="5"/>
                                    <w:ind w:left="89"/>
                                    <w:rPr>
                                      <w:rFonts w:ascii="Arial"/>
                                      <w:b/>
                                      <w:sz w:val="16"/>
                                    </w:rPr>
                                  </w:pPr>
                                  <w:r>
                                    <w:rPr>
                                      <w:rFonts w:ascii="Arial"/>
                                      <w:b/>
                                      <w:spacing w:val="-10"/>
                                      <w:sz w:val="16"/>
                                    </w:rPr>
                                    <w:t>$</w:t>
                                  </w:r>
                                  <w:r>
                                    <w:rPr>
                                      <w:rFonts w:ascii="Arial"/>
                                      <w:b/>
                                      <w:sz w:val="16"/>
                                    </w:rPr>
                                    <w:tab/>
                                  </w:r>
                                  <w:r>
                                    <w:rPr>
                                      <w:rFonts w:ascii="Arial"/>
                                      <w:b/>
                                      <w:spacing w:val="-4"/>
                                      <w:sz w:val="16"/>
                                    </w:rPr>
                                    <w:t>(91)</w:t>
                                  </w:r>
                                </w:p>
                              </w:tc>
                            </w:tr>
                            <w:tr>
                              <w:trPr>
                                <w:trHeight w:val="216" w:hRule="atLeast"/>
                              </w:trPr>
                              <w:tc>
                                <w:tcPr>
                                  <w:tcW w:w="5955" w:type="dxa"/>
                                </w:tcPr>
                                <w:p>
                                  <w:pPr>
                                    <w:pStyle w:val="TableParagraph"/>
                                    <w:spacing w:line="184" w:lineRule="exact" w:before="12"/>
                                    <w:ind w:left="142"/>
                                    <w:rPr>
                                      <w:sz w:val="16"/>
                                    </w:rPr>
                                  </w:pPr>
                                  <w:r>
                                    <w:rPr>
                                      <w:sz w:val="16"/>
                                    </w:rPr>
                                    <w:t>Net</w:t>
                                  </w:r>
                                  <w:r>
                                    <w:rPr>
                                      <w:spacing w:val="-10"/>
                                      <w:sz w:val="16"/>
                                    </w:rPr>
                                    <w:t> </w:t>
                                  </w:r>
                                  <w:r>
                                    <w:rPr>
                                      <w:sz w:val="16"/>
                                    </w:rPr>
                                    <w:t>non-interest</w:t>
                                  </w:r>
                                  <w:r>
                                    <w:rPr>
                                      <w:spacing w:val="-9"/>
                                      <w:sz w:val="16"/>
                                    </w:rPr>
                                    <w:t> </w:t>
                                  </w:r>
                                  <w:r>
                                    <w:rPr>
                                      <w:sz w:val="16"/>
                                    </w:rPr>
                                    <w:t>expenses</w:t>
                                  </w:r>
                                  <w:r>
                                    <w:rPr>
                                      <w:spacing w:val="-9"/>
                                      <w:sz w:val="16"/>
                                    </w:rPr>
                                    <w:t> </w:t>
                                  </w:r>
                                  <w:r>
                                    <w:rPr>
                                      <w:sz w:val="16"/>
                                    </w:rPr>
                                    <w:t>(Table</w:t>
                                  </w:r>
                                  <w:r>
                                    <w:rPr>
                                      <w:spacing w:val="-9"/>
                                      <w:sz w:val="16"/>
                                    </w:rPr>
                                    <w:t> </w:t>
                                  </w:r>
                                  <w:r>
                                    <w:rPr>
                                      <w:spacing w:val="-5"/>
                                      <w:sz w:val="16"/>
                                    </w:rPr>
                                    <w:t>1)</w:t>
                                  </w:r>
                                </w:p>
                              </w:tc>
                              <w:tc>
                                <w:tcPr>
                                  <w:tcW w:w="1222" w:type="dxa"/>
                                  <w:gridSpan w:val="2"/>
                                  <w:tcBorders>
                                    <w:top w:val="single" w:sz="8" w:space="0" w:color="6C6C6C"/>
                                  </w:tcBorders>
                                </w:tcPr>
                                <w:p>
                                  <w:pPr>
                                    <w:pStyle w:val="TableParagraph"/>
                                    <w:spacing w:line="184" w:lineRule="exact" w:before="12"/>
                                    <w:ind w:left="729"/>
                                    <w:rPr>
                                      <w:sz w:val="16"/>
                                    </w:rPr>
                                  </w:pPr>
                                  <w:r>
                                    <w:rPr>
                                      <w:spacing w:val="-2"/>
                                      <w:sz w:val="16"/>
                                    </w:rPr>
                                    <w:t>1,459</w:t>
                                  </w:r>
                                </w:p>
                              </w:tc>
                              <w:tc>
                                <w:tcPr>
                                  <w:tcW w:w="1261" w:type="dxa"/>
                                  <w:gridSpan w:val="2"/>
                                  <w:tcBorders>
                                    <w:top w:val="single" w:sz="8" w:space="0" w:color="6C6C6C"/>
                                  </w:tcBorders>
                                </w:tcPr>
                                <w:p>
                                  <w:pPr>
                                    <w:pStyle w:val="TableParagraph"/>
                                    <w:spacing w:line="184" w:lineRule="exact" w:before="12"/>
                                    <w:ind w:left="767"/>
                                    <w:rPr>
                                      <w:sz w:val="16"/>
                                    </w:rPr>
                                  </w:pPr>
                                  <w:r>
                                    <w:rPr>
                                      <w:spacing w:val="-2"/>
                                      <w:sz w:val="16"/>
                                    </w:rPr>
                                    <w:t>1,455</w:t>
                                  </w:r>
                                </w:p>
                              </w:tc>
                              <w:tc>
                                <w:tcPr>
                                  <w:tcW w:w="1074" w:type="dxa"/>
                                  <w:gridSpan w:val="2"/>
                                  <w:tcBorders>
                                    <w:top w:val="single" w:sz="8" w:space="0" w:color="6C6C6C"/>
                                  </w:tcBorders>
                                </w:tcPr>
                                <w:p>
                                  <w:pPr>
                                    <w:pStyle w:val="TableParagraph"/>
                                    <w:spacing w:line="184" w:lineRule="exact" w:before="12"/>
                                    <w:ind w:right="68"/>
                                    <w:jc w:val="right"/>
                                    <w:rPr>
                                      <w:sz w:val="16"/>
                                    </w:rPr>
                                  </w:pPr>
                                  <w:r>
                                    <w:rPr>
                                      <w:spacing w:val="-10"/>
                                      <w:sz w:val="16"/>
                                    </w:rPr>
                                    <w:t>4</w:t>
                                  </w:r>
                                </w:p>
                              </w:tc>
                            </w:tr>
                            <w:tr>
                              <w:trPr>
                                <w:trHeight w:val="243" w:hRule="atLeast"/>
                              </w:trPr>
                              <w:tc>
                                <w:tcPr>
                                  <w:tcW w:w="5955" w:type="dxa"/>
                                </w:tcPr>
                                <w:p>
                                  <w:pPr>
                                    <w:pStyle w:val="TableParagraph"/>
                                    <w:spacing w:before="36"/>
                                    <w:ind w:left="142"/>
                                    <w:rPr>
                                      <w:sz w:val="16"/>
                                    </w:rPr>
                                  </w:pPr>
                                  <w:r>
                                    <w:rPr>
                                      <w:sz w:val="16"/>
                                    </w:rPr>
                                    <w:t>Net</w:t>
                                  </w:r>
                                  <w:r>
                                    <w:rPr>
                                      <w:spacing w:val="-4"/>
                                      <w:sz w:val="16"/>
                                    </w:rPr>
                                    <w:t> </w:t>
                                  </w:r>
                                  <w:r>
                                    <w:rPr>
                                      <w:sz w:val="16"/>
                                    </w:rPr>
                                    <w:t>pension</w:t>
                                  </w:r>
                                  <w:r>
                                    <w:rPr>
                                      <w:spacing w:val="-5"/>
                                      <w:sz w:val="16"/>
                                    </w:rPr>
                                    <w:t> </w:t>
                                  </w:r>
                                  <w:r>
                                    <w:rPr>
                                      <w:sz w:val="16"/>
                                    </w:rPr>
                                    <w:t>cost,</w:t>
                                  </w:r>
                                  <w:r>
                                    <w:rPr>
                                      <w:spacing w:val="-4"/>
                                      <w:sz w:val="16"/>
                                    </w:rPr>
                                    <w:t> </w:t>
                                  </w:r>
                                  <w:r>
                                    <w:rPr>
                                      <w:sz w:val="16"/>
                                    </w:rPr>
                                    <w:t>other</w:t>
                                  </w:r>
                                  <w:r>
                                    <w:rPr>
                                      <w:spacing w:val="-4"/>
                                      <w:sz w:val="16"/>
                                    </w:rPr>
                                    <w:t> </w:t>
                                  </w:r>
                                  <w:r>
                                    <w:rPr>
                                      <w:sz w:val="16"/>
                                    </w:rPr>
                                    <w:t>than</w:t>
                                  </w:r>
                                  <w:r>
                                    <w:rPr>
                                      <w:spacing w:val="-4"/>
                                      <w:sz w:val="16"/>
                                    </w:rPr>
                                    <w:t> </w:t>
                                  </w:r>
                                  <w:r>
                                    <w:rPr>
                                      <w:sz w:val="16"/>
                                    </w:rPr>
                                    <w:t>service</w:t>
                                  </w:r>
                                  <w:r>
                                    <w:rPr>
                                      <w:spacing w:val="-5"/>
                                      <w:sz w:val="16"/>
                                    </w:rPr>
                                    <w:t> </w:t>
                                  </w:r>
                                  <w:r>
                                    <w:rPr>
                                      <w:sz w:val="16"/>
                                    </w:rPr>
                                    <w:t>cost</w:t>
                                  </w:r>
                                  <w:r>
                                    <w:rPr>
                                      <w:spacing w:val="-6"/>
                                      <w:sz w:val="16"/>
                                    </w:rPr>
                                    <w:t> </w:t>
                                  </w:r>
                                  <w:r>
                                    <w:rPr>
                                      <w:sz w:val="16"/>
                                      <w:vertAlign w:val="superscript"/>
                                    </w:rPr>
                                    <w:t>b</w:t>
                                  </w:r>
                                  <w:r>
                                    <w:rPr>
                                      <w:spacing w:val="-4"/>
                                      <w:sz w:val="16"/>
                                      <w:vertAlign w:val="baseline"/>
                                    </w:rPr>
                                    <w:t> </w:t>
                                  </w:r>
                                  <w:r>
                                    <w:rPr>
                                      <w:sz w:val="16"/>
                                      <w:vertAlign w:val="baseline"/>
                                    </w:rPr>
                                    <w:t>(Table</w:t>
                                  </w:r>
                                  <w:r>
                                    <w:rPr>
                                      <w:spacing w:val="-5"/>
                                      <w:sz w:val="16"/>
                                      <w:vertAlign w:val="baseline"/>
                                    </w:rPr>
                                    <w:t> 1)</w:t>
                                  </w:r>
                                </w:p>
                              </w:tc>
                              <w:tc>
                                <w:tcPr>
                                  <w:tcW w:w="1222" w:type="dxa"/>
                                  <w:gridSpan w:val="2"/>
                                  <w:tcBorders>
                                    <w:bottom w:val="single" w:sz="8" w:space="0" w:color="6C6C6C"/>
                                  </w:tcBorders>
                                </w:tcPr>
                                <w:p>
                                  <w:pPr>
                                    <w:pStyle w:val="TableParagraph"/>
                                    <w:spacing w:before="36"/>
                                    <w:ind w:left="756"/>
                                    <w:rPr>
                                      <w:sz w:val="16"/>
                                    </w:rPr>
                                  </w:pPr>
                                  <w:r>
                                    <w:rPr>
                                      <w:spacing w:val="-2"/>
                                      <w:sz w:val="16"/>
                                    </w:rPr>
                                    <w:t>(205)</w:t>
                                  </w:r>
                                </w:p>
                              </w:tc>
                              <w:tc>
                                <w:tcPr>
                                  <w:tcW w:w="1261" w:type="dxa"/>
                                  <w:gridSpan w:val="2"/>
                                  <w:tcBorders>
                                    <w:bottom w:val="single" w:sz="8" w:space="0" w:color="6C6C6C"/>
                                  </w:tcBorders>
                                </w:tcPr>
                                <w:p>
                                  <w:pPr>
                                    <w:pStyle w:val="TableParagraph"/>
                                    <w:spacing w:before="36"/>
                                    <w:ind w:left="794"/>
                                    <w:rPr>
                                      <w:sz w:val="16"/>
                                    </w:rPr>
                                  </w:pPr>
                                  <w:r>
                                    <w:rPr>
                                      <w:spacing w:val="-2"/>
                                      <w:sz w:val="16"/>
                                    </w:rPr>
                                    <w:t>(280)</w:t>
                                  </w:r>
                                </w:p>
                              </w:tc>
                              <w:tc>
                                <w:tcPr>
                                  <w:tcW w:w="1074" w:type="dxa"/>
                                  <w:gridSpan w:val="2"/>
                                  <w:tcBorders>
                                    <w:bottom w:val="single" w:sz="8" w:space="0" w:color="6C6C6C"/>
                                  </w:tcBorders>
                                </w:tcPr>
                                <w:p>
                                  <w:pPr>
                                    <w:pStyle w:val="TableParagraph"/>
                                    <w:spacing w:before="36"/>
                                    <w:ind w:right="68"/>
                                    <w:jc w:val="right"/>
                                    <w:rPr>
                                      <w:sz w:val="16"/>
                                    </w:rPr>
                                  </w:pPr>
                                  <w:r>
                                    <w:rPr>
                                      <w:spacing w:val="-5"/>
                                      <w:sz w:val="16"/>
                                    </w:rPr>
                                    <w:t>75</w:t>
                                  </w:r>
                                </w:p>
                              </w:tc>
                            </w:tr>
                            <w:tr>
                              <w:trPr>
                                <w:trHeight w:val="185" w:hRule="atLeast"/>
                              </w:trPr>
                              <w:tc>
                                <w:tcPr>
                                  <w:tcW w:w="5955" w:type="dxa"/>
                                </w:tcPr>
                                <w:p>
                                  <w:pPr>
                                    <w:pStyle w:val="TableParagraph"/>
                                    <w:spacing w:line="160" w:lineRule="exact" w:before="5"/>
                                    <w:ind w:left="108"/>
                                    <w:rPr>
                                      <w:rFonts w:ascii="Arial"/>
                                      <w:b/>
                                      <w:sz w:val="16"/>
                                    </w:rPr>
                                  </w:pPr>
                                  <w:r>
                                    <w:rPr>
                                      <w:rFonts w:ascii="Arial"/>
                                      <w:b/>
                                      <w:sz w:val="16"/>
                                    </w:rPr>
                                    <w:t>Net</w:t>
                                  </w:r>
                                  <w:r>
                                    <w:rPr>
                                      <w:rFonts w:ascii="Arial"/>
                                      <w:b/>
                                      <w:spacing w:val="-4"/>
                                      <w:sz w:val="16"/>
                                    </w:rPr>
                                    <w:t> </w:t>
                                  </w:r>
                                  <w:r>
                                    <w:rPr>
                                      <w:rFonts w:ascii="Arial"/>
                                      <w:b/>
                                      <w:sz w:val="16"/>
                                    </w:rPr>
                                    <w:t>Non-Interest</w:t>
                                  </w:r>
                                  <w:r>
                                    <w:rPr>
                                      <w:rFonts w:ascii="Arial"/>
                                      <w:b/>
                                      <w:spacing w:val="-4"/>
                                      <w:sz w:val="16"/>
                                    </w:rPr>
                                    <w:t> </w:t>
                                  </w:r>
                                  <w:r>
                                    <w:rPr>
                                      <w:rFonts w:ascii="Arial"/>
                                      <w:b/>
                                      <w:sz w:val="16"/>
                                    </w:rPr>
                                    <w:t>Expenses</w:t>
                                  </w:r>
                                  <w:r>
                                    <w:rPr>
                                      <w:rFonts w:ascii="Arial"/>
                                      <w:b/>
                                      <w:spacing w:val="-4"/>
                                      <w:sz w:val="16"/>
                                    </w:rPr>
                                    <w:t> </w:t>
                                  </w:r>
                                  <w:r>
                                    <w:rPr>
                                      <w:rFonts w:ascii="Arial"/>
                                      <w:b/>
                                      <w:sz w:val="16"/>
                                    </w:rPr>
                                    <w:t>-</w:t>
                                  </w:r>
                                  <w:r>
                                    <w:rPr>
                                      <w:rFonts w:ascii="Arial"/>
                                      <w:b/>
                                      <w:spacing w:val="-4"/>
                                      <w:sz w:val="16"/>
                                    </w:rPr>
                                    <w:t> </w:t>
                                  </w:r>
                                  <w:r>
                                    <w:rPr>
                                      <w:rFonts w:ascii="Arial"/>
                                      <w:b/>
                                      <w:sz w:val="16"/>
                                    </w:rPr>
                                    <w:t>GAAP</w:t>
                                  </w:r>
                                  <w:r>
                                    <w:rPr>
                                      <w:rFonts w:ascii="Arial"/>
                                      <w:b/>
                                      <w:spacing w:val="-3"/>
                                      <w:sz w:val="16"/>
                                    </w:rPr>
                                    <w:t> </w:t>
                                  </w:r>
                                  <w:r>
                                    <w:rPr>
                                      <w:rFonts w:ascii="Arial"/>
                                      <w:b/>
                                      <w:spacing w:val="-2"/>
                                      <w:sz w:val="16"/>
                                    </w:rPr>
                                    <w:t>Basis</w:t>
                                  </w:r>
                                </w:p>
                              </w:tc>
                              <w:tc>
                                <w:tcPr>
                                  <w:tcW w:w="1222" w:type="dxa"/>
                                  <w:gridSpan w:val="2"/>
                                  <w:tcBorders>
                                    <w:top w:val="single" w:sz="8" w:space="0" w:color="6C6C6C"/>
                                    <w:bottom w:val="double" w:sz="8" w:space="0" w:color="6C6C6C"/>
                                  </w:tcBorders>
                                </w:tcPr>
                                <w:p>
                                  <w:pPr>
                                    <w:pStyle w:val="TableParagraph"/>
                                    <w:tabs>
                                      <w:tab w:pos="729" w:val="left" w:leader="none"/>
                                    </w:tabs>
                                    <w:spacing w:line="160" w:lineRule="exact" w:before="5"/>
                                    <w:ind w:left="52"/>
                                    <w:rPr>
                                      <w:rFonts w:ascii="Arial"/>
                                      <w:b/>
                                      <w:sz w:val="16"/>
                                    </w:rPr>
                                  </w:pPr>
                                  <w:r>
                                    <w:rPr>
                                      <w:rFonts w:ascii="Arial"/>
                                      <w:b/>
                                      <w:spacing w:val="-10"/>
                                      <w:sz w:val="16"/>
                                    </w:rPr>
                                    <w:t>$</w:t>
                                  </w:r>
                                  <w:r>
                                    <w:rPr>
                                      <w:rFonts w:ascii="Arial"/>
                                      <w:b/>
                                      <w:sz w:val="16"/>
                                    </w:rPr>
                                    <w:tab/>
                                  </w:r>
                                  <w:r>
                                    <w:rPr>
                                      <w:rFonts w:ascii="Arial"/>
                                      <w:b/>
                                      <w:spacing w:val="-2"/>
                                      <w:sz w:val="16"/>
                                    </w:rPr>
                                    <w:t>1,254</w:t>
                                  </w:r>
                                </w:p>
                              </w:tc>
                              <w:tc>
                                <w:tcPr>
                                  <w:tcW w:w="1261" w:type="dxa"/>
                                  <w:gridSpan w:val="2"/>
                                  <w:tcBorders>
                                    <w:top w:val="single" w:sz="8" w:space="0" w:color="6C6C6C"/>
                                    <w:bottom w:val="double" w:sz="8" w:space="0" w:color="6C6C6C"/>
                                  </w:tcBorders>
                                </w:tcPr>
                                <w:p>
                                  <w:pPr>
                                    <w:pStyle w:val="TableParagraph"/>
                                    <w:tabs>
                                      <w:tab w:pos="767" w:val="left" w:leader="none"/>
                                    </w:tabs>
                                    <w:spacing w:line="160" w:lineRule="exact" w:before="5"/>
                                    <w:ind w:left="90"/>
                                    <w:rPr>
                                      <w:rFonts w:ascii="Arial"/>
                                      <w:b/>
                                      <w:sz w:val="16"/>
                                    </w:rPr>
                                  </w:pPr>
                                  <w:r>
                                    <w:rPr>
                                      <w:rFonts w:ascii="Arial"/>
                                      <w:b/>
                                      <w:spacing w:val="-10"/>
                                      <w:sz w:val="16"/>
                                    </w:rPr>
                                    <w:t>$</w:t>
                                  </w:r>
                                  <w:r>
                                    <w:rPr>
                                      <w:rFonts w:ascii="Arial"/>
                                      <w:b/>
                                      <w:sz w:val="16"/>
                                    </w:rPr>
                                    <w:tab/>
                                  </w:r>
                                  <w:r>
                                    <w:rPr>
                                      <w:rFonts w:ascii="Arial"/>
                                      <w:b/>
                                      <w:spacing w:val="-2"/>
                                      <w:sz w:val="16"/>
                                    </w:rPr>
                                    <w:t>1,175</w:t>
                                  </w:r>
                                </w:p>
                              </w:tc>
                              <w:tc>
                                <w:tcPr>
                                  <w:tcW w:w="1074" w:type="dxa"/>
                                  <w:gridSpan w:val="2"/>
                                  <w:tcBorders>
                                    <w:top w:val="single" w:sz="8" w:space="0" w:color="6C6C6C"/>
                                    <w:bottom w:val="double" w:sz="8" w:space="0" w:color="6C6C6C"/>
                                  </w:tcBorders>
                                </w:tcPr>
                                <w:p>
                                  <w:pPr>
                                    <w:pStyle w:val="TableParagraph"/>
                                    <w:tabs>
                                      <w:tab w:pos="825" w:val="left" w:leader="none"/>
                                    </w:tabs>
                                    <w:spacing w:line="160" w:lineRule="exact" w:before="5"/>
                                    <w:ind w:left="89"/>
                                    <w:rPr>
                                      <w:rFonts w:ascii="Arial"/>
                                      <w:b/>
                                      <w:sz w:val="16"/>
                                    </w:rPr>
                                  </w:pPr>
                                  <w:r>
                                    <w:rPr>
                                      <w:rFonts w:ascii="Arial"/>
                                      <w:b/>
                                      <w:spacing w:val="-10"/>
                                      <w:sz w:val="16"/>
                                    </w:rPr>
                                    <w:t>$</w:t>
                                  </w:r>
                                  <w:r>
                                    <w:rPr>
                                      <w:rFonts w:ascii="Arial"/>
                                      <w:b/>
                                      <w:sz w:val="16"/>
                                    </w:rPr>
                                    <w:tab/>
                                  </w:r>
                                  <w:r>
                                    <w:rPr>
                                      <w:rFonts w:ascii="Arial"/>
                                      <w:b/>
                                      <w:spacing w:val="-5"/>
                                      <w:sz w:val="16"/>
                                    </w:rPr>
                                    <w:t>79</w:t>
                                  </w:r>
                                </w:p>
                              </w:tc>
                            </w:tr>
                            <w:tr>
                              <w:trPr>
                                <w:trHeight w:val="214" w:hRule="atLeast"/>
                              </w:trPr>
                              <w:tc>
                                <w:tcPr>
                                  <w:tcW w:w="5955" w:type="dxa"/>
                                </w:tcPr>
                                <w:p>
                                  <w:pPr>
                                    <w:pStyle w:val="TableParagraph"/>
                                    <w:spacing w:line="164" w:lineRule="exact" w:before="30"/>
                                    <w:ind w:left="108"/>
                                    <w:rPr>
                                      <w:rFonts w:ascii="Arial"/>
                                      <w:b/>
                                      <w:sz w:val="16"/>
                                    </w:rPr>
                                  </w:pPr>
                                  <w:r>
                                    <w:rPr>
                                      <w:rFonts w:ascii="Arial"/>
                                      <w:b/>
                                      <w:sz w:val="16"/>
                                    </w:rPr>
                                    <w:t>Adjustments</w:t>
                                  </w:r>
                                  <w:r>
                                    <w:rPr>
                                      <w:rFonts w:ascii="Arial"/>
                                      <w:b/>
                                      <w:spacing w:val="-5"/>
                                      <w:sz w:val="16"/>
                                    </w:rPr>
                                    <w:t> </w:t>
                                  </w:r>
                                  <w:r>
                                    <w:rPr>
                                      <w:rFonts w:ascii="Arial"/>
                                      <w:b/>
                                      <w:sz w:val="16"/>
                                    </w:rPr>
                                    <w:t>to</w:t>
                                  </w:r>
                                  <w:r>
                                    <w:rPr>
                                      <w:rFonts w:ascii="Arial"/>
                                      <w:b/>
                                      <w:spacing w:val="-5"/>
                                      <w:sz w:val="16"/>
                                    </w:rPr>
                                    <w:t> </w:t>
                                  </w:r>
                                  <w:r>
                                    <w:rPr>
                                      <w:rFonts w:ascii="Arial"/>
                                      <w:b/>
                                      <w:sz w:val="16"/>
                                    </w:rPr>
                                    <w:t>arrive</w:t>
                                  </w:r>
                                  <w:r>
                                    <w:rPr>
                                      <w:rFonts w:ascii="Arial"/>
                                      <w:b/>
                                      <w:spacing w:val="-5"/>
                                      <w:sz w:val="16"/>
                                    </w:rPr>
                                    <w:t> </w:t>
                                  </w:r>
                                  <w:r>
                                    <w:rPr>
                                      <w:rFonts w:ascii="Arial"/>
                                      <w:b/>
                                      <w:sz w:val="16"/>
                                    </w:rPr>
                                    <w:t>at</w:t>
                                  </w:r>
                                  <w:r>
                                    <w:rPr>
                                      <w:rFonts w:ascii="Arial"/>
                                      <w:b/>
                                      <w:spacing w:val="-4"/>
                                      <w:sz w:val="16"/>
                                    </w:rPr>
                                    <w:t> </w:t>
                                  </w:r>
                                  <w:r>
                                    <w:rPr>
                                      <w:rFonts w:ascii="Arial"/>
                                      <w:b/>
                                      <w:sz w:val="16"/>
                                    </w:rPr>
                                    <w:t>net</w:t>
                                  </w:r>
                                  <w:r>
                                    <w:rPr>
                                      <w:rFonts w:ascii="Arial"/>
                                      <w:b/>
                                      <w:spacing w:val="-3"/>
                                      <w:sz w:val="16"/>
                                    </w:rPr>
                                    <w:t> </w:t>
                                  </w:r>
                                  <w:r>
                                    <w:rPr>
                                      <w:rFonts w:ascii="Arial"/>
                                      <w:b/>
                                      <w:sz w:val="16"/>
                                    </w:rPr>
                                    <w:t>non-interest</w:t>
                                  </w:r>
                                  <w:r>
                                    <w:rPr>
                                      <w:rFonts w:ascii="Arial"/>
                                      <w:b/>
                                      <w:spacing w:val="-4"/>
                                      <w:sz w:val="16"/>
                                    </w:rPr>
                                    <w:t> </w:t>
                                  </w:r>
                                  <w:r>
                                    <w:rPr>
                                      <w:rFonts w:ascii="Arial"/>
                                      <w:b/>
                                      <w:sz w:val="16"/>
                                    </w:rPr>
                                    <w:t>expenses</w:t>
                                  </w:r>
                                  <w:r>
                                    <w:rPr>
                                      <w:rFonts w:ascii="Arial"/>
                                      <w:b/>
                                      <w:spacing w:val="-5"/>
                                      <w:sz w:val="16"/>
                                    </w:rPr>
                                    <w:t> </w:t>
                                  </w:r>
                                  <w:r>
                                    <w:rPr>
                                      <w:rFonts w:ascii="Arial"/>
                                      <w:b/>
                                      <w:sz w:val="16"/>
                                    </w:rPr>
                                    <w:t>-</w:t>
                                  </w:r>
                                  <w:r>
                                    <w:rPr>
                                      <w:rFonts w:ascii="Arial"/>
                                      <w:b/>
                                      <w:spacing w:val="-4"/>
                                      <w:sz w:val="16"/>
                                    </w:rPr>
                                    <w:t> </w:t>
                                  </w:r>
                                  <w:r>
                                    <w:rPr>
                                      <w:rFonts w:ascii="Arial"/>
                                      <w:b/>
                                      <w:sz w:val="16"/>
                                    </w:rPr>
                                    <w:t>allocable</w:t>
                                  </w:r>
                                  <w:r>
                                    <w:rPr>
                                      <w:rFonts w:ascii="Arial"/>
                                      <w:b/>
                                      <w:spacing w:val="-5"/>
                                      <w:sz w:val="16"/>
                                    </w:rPr>
                                    <w:t> </w:t>
                                  </w:r>
                                  <w:r>
                                    <w:rPr>
                                      <w:rFonts w:ascii="Arial"/>
                                      <w:b/>
                                      <w:sz w:val="16"/>
                                    </w:rPr>
                                    <w:t>income</w:t>
                                  </w:r>
                                  <w:r>
                                    <w:rPr>
                                      <w:rFonts w:ascii="Arial"/>
                                      <w:b/>
                                      <w:spacing w:val="-4"/>
                                      <w:sz w:val="16"/>
                                    </w:rPr>
                                    <w:t> </w:t>
                                  </w:r>
                                  <w:r>
                                    <w:rPr>
                                      <w:rFonts w:ascii="Arial"/>
                                      <w:b/>
                                      <w:spacing w:val="-2"/>
                                      <w:sz w:val="16"/>
                                    </w:rPr>
                                    <w:t>basis</w:t>
                                  </w:r>
                                </w:p>
                              </w:tc>
                              <w:tc>
                                <w:tcPr>
                                  <w:tcW w:w="1222" w:type="dxa"/>
                                  <w:gridSpan w:val="2"/>
                                  <w:tcBorders>
                                    <w:top w:val="double" w:sz="8" w:space="0" w:color="6C6C6C"/>
                                  </w:tcBorders>
                                </w:tcPr>
                                <w:p>
                                  <w:pPr>
                                    <w:pStyle w:val="TableParagraph"/>
                                    <w:rPr>
                                      <w:rFonts w:ascii="Times New Roman"/>
                                      <w:sz w:val="14"/>
                                    </w:rPr>
                                  </w:pPr>
                                </w:p>
                              </w:tc>
                              <w:tc>
                                <w:tcPr>
                                  <w:tcW w:w="1261" w:type="dxa"/>
                                  <w:gridSpan w:val="2"/>
                                  <w:tcBorders>
                                    <w:top w:val="double" w:sz="8" w:space="0" w:color="6C6C6C"/>
                                  </w:tcBorders>
                                </w:tcPr>
                                <w:p>
                                  <w:pPr>
                                    <w:pStyle w:val="TableParagraph"/>
                                    <w:rPr>
                                      <w:rFonts w:ascii="Times New Roman"/>
                                      <w:sz w:val="14"/>
                                    </w:rPr>
                                  </w:pPr>
                                </w:p>
                              </w:tc>
                              <w:tc>
                                <w:tcPr>
                                  <w:tcW w:w="1074" w:type="dxa"/>
                                  <w:gridSpan w:val="2"/>
                                  <w:tcBorders>
                                    <w:top w:val="double" w:sz="8" w:space="0" w:color="6C6C6C"/>
                                  </w:tcBorders>
                                </w:tcPr>
                                <w:p>
                                  <w:pPr>
                                    <w:pStyle w:val="TableParagraph"/>
                                    <w:rPr>
                                      <w:rFonts w:ascii="Times New Roman"/>
                                      <w:sz w:val="14"/>
                                    </w:rPr>
                                  </w:pPr>
                                </w:p>
                              </w:tc>
                            </w:tr>
                            <w:tr>
                              <w:trPr>
                                <w:trHeight w:val="465" w:hRule="atLeast"/>
                              </w:trPr>
                              <w:tc>
                                <w:tcPr>
                                  <w:tcW w:w="5955" w:type="dxa"/>
                                </w:tcPr>
                                <w:p>
                                  <w:pPr>
                                    <w:pStyle w:val="TableParagraph"/>
                                    <w:spacing w:before="96"/>
                                    <w:ind w:left="108"/>
                                    <w:rPr>
                                      <w:sz w:val="16"/>
                                    </w:rPr>
                                  </w:pPr>
                                  <w:r>
                                    <w:rPr>
                                      <w:sz w:val="16"/>
                                    </w:rPr>
                                    <w:t>Pension,</w:t>
                                  </w:r>
                                  <w:r>
                                    <w:rPr>
                                      <w:spacing w:val="-7"/>
                                      <w:sz w:val="16"/>
                                    </w:rPr>
                                    <w:t> </w:t>
                                  </w:r>
                                  <w:r>
                                    <w:rPr>
                                      <w:sz w:val="16"/>
                                    </w:rPr>
                                    <w:t>Externally</w:t>
                                  </w:r>
                                  <w:r>
                                    <w:rPr>
                                      <w:spacing w:val="-3"/>
                                      <w:sz w:val="16"/>
                                    </w:rPr>
                                    <w:t> </w:t>
                                  </w:r>
                                  <w:r>
                                    <w:rPr>
                                      <w:sz w:val="16"/>
                                    </w:rPr>
                                    <w:t>Financed</w:t>
                                  </w:r>
                                  <w:r>
                                    <w:rPr>
                                      <w:spacing w:val="-5"/>
                                      <w:sz w:val="16"/>
                                    </w:rPr>
                                    <w:t> </w:t>
                                  </w:r>
                                  <w:r>
                                    <w:rPr>
                                      <w:sz w:val="16"/>
                                    </w:rPr>
                                    <w:t>Outputs</w:t>
                                  </w:r>
                                  <w:r>
                                    <w:rPr>
                                      <w:spacing w:val="-4"/>
                                      <w:sz w:val="16"/>
                                    </w:rPr>
                                    <w:t> </w:t>
                                  </w:r>
                                  <w:r>
                                    <w:rPr>
                                      <w:sz w:val="16"/>
                                    </w:rPr>
                                    <w:t>(EFO)</w:t>
                                  </w:r>
                                  <w:r>
                                    <w:rPr>
                                      <w:spacing w:val="-3"/>
                                      <w:sz w:val="16"/>
                                    </w:rPr>
                                    <w:t> </w:t>
                                  </w:r>
                                  <w:r>
                                    <w:rPr>
                                      <w:sz w:val="16"/>
                                    </w:rPr>
                                    <w:t>and</w:t>
                                  </w:r>
                                  <w:r>
                                    <w:rPr>
                                      <w:spacing w:val="-5"/>
                                      <w:sz w:val="16"/>
                                    </w:rPr>
                                    <w:t> </w:t>
                                  </w:r>
                                  <w:r>
                                    <w:rPr>
                                      <w:sz w:val="16"/>
                                    </w:rPr>
                                    <w:t>Reserve</w:t>
                                  </w:r>
                                  <w:r>
                                    <w:rPr>
                                      <w:spacing w:val="-11"/>
                                      <w:sz w:val="16"/>
                                    </w:rPr>
                                    <w:t> </w:t>
                                  </w:r>
                                  <w:r>
                                    <w:rPr>
                                      <w:sz w:val="16"/>
                                    </w:rPr>
                                    <w:t>Advisory</w:t>
                                  </w:r>
                                  <w:r>
                                    <w:rPr>
                                      <w:spacing w:val="-3"/>
                                      <w:sz w:val="16"/>
                                    </w:rPr>
                                    <w:t> </w:t>
                                  </w:r>
                                  <w:r>
                                    <w:rPr>
                                      <w:spacing w:val="-5"/>
                                      <w:sz w:val="16"/>
                                    </w:rPr>
                                    <w:t>and</w:t>
                                  </w:r>
                                </w:p>
                              </w:tc>
                              <w:tc>
                                <w:tcPr>
                                  <w:tcW w:w="436" w:type="dxa"/>
                                  <w:tcBorders>
                                    <w:bottom w:val="single" w:sz="8" w:space="0" w:color="6C6C6C"/>
                                  </w:tcBorders>
                                </w:tcPr>
                                <w:p>
                                  <w:pPr>
                                    <w:pStyle w:val="TableParagraph"/>
                                    <w:rPr>
                                      <w:rFonts w:ascii="Times New Roman"/>
                                      <w:sz w:val="16"/>
                                    </w:rPr>
                                  </w:pPr>
                                </w:p>
                              </w:tc>
                              <w:tc>
                                <w:tcPr>
                                  <w:tcW w:w="786" w:type="dxa"/>
                                  <w:tcBorders>
                                    <w:bottom w:val="single" w:sz="8" w:space="0" w:color="6C6C6C"/>
                                  </w:tcBorders>
                                </w:tcPr>
                                <w:p>
                                  <w:pPr>
                                    <w:pStyle w:val="TableParagraph"/>
                                    <w:spacing w:before="176"/>
                                    <w:ind w:right="90"/>
                                    <w:jc w:val="right"/>
                                    <w:rPr>
                                      <w:sz w:val="16"/>
                                    </w:rPr>
                                  </w:pPr>
                                  <w:r>
                                    <w:rPr>
                                      <w:spacing w:val="-5"/>
                                      <w:sz w:val="16"/>
                                    </w:rPr>
                                    <w:t>107</w:t>
                                  </w:r>
                                </w:p>
                              </w:tc>
                              <w:tc>
                                <w:tcPr>
                                  <w:tcW w:w="475" w:type="dxa"/>
                                  <w:tcBorders>
                                    <w:bottom w:val="single" w:sz="8" w:space="0" w:color="6C6C6C"/>
                                  </w:tcBorders>
                                </w:tcPr>
                                <w:p>
                                  <w:pPr>
                                    <w:pStyle w:val="TableParagraph"/>
                                    <w:rPr>
                                      <w:rFonts w:ascii="Times New Roman"/>
                                      <w:sz w:val="16"/>
                                    </w:rPr>
                                  </w:pPr>
                                </w:p>
                              </w:tc>
                              <w:tc>
                                <w:tcPr>
                                  <w:tcW w:w="786" w:type="dxa"/>
                                  <w:tcBorders>
                                    <w:bottom w:val="single" w:sz="8" w:space="0" w:color="6C6C6C"/>
                                  </w:tcBorders>
                                </w:tcPr>
                                <w:p>
                                  <w:pPr>
                                    <w:pStyle w:val="TableParagraph"/>
                                    <w:spacing w:before="176"/>
                                    <w:ind w:right="91"/>
                                    <w:jc w:val="right"/>
                                    <w:rPr>
                                      <w:sz w:val="16"/>
                                    </w:rPr>
                                  </w:pPr>
                                  <w:r>
                                    <w:rPr>
                                      <w:spacing w:val="-5"/>
                                      <w:sz w:val="16"/>
                                    </w:rPr>
                                    <w:t>70</w:t>
                                  </w:r>
                                </w:p>
                              </w:tc>
                              <w:tc>
                                <w:tcPr>
                                  <w:tcW w:w="459" w:type="dxa"/>
                                  <w:tcBorders>
                                    <w:bottom w:val="single" w:sz="8" w:space="0" w:color="6C6C6C"/>
                                  </w:tcBorders>
                                </w:tcPr>
                                <w:p>
                                  <w:pPr>
                                    <w:pStyle w:val="TableParagraph"/>
                                    <w:rPr>
                                      <w:rFonts w:ascii="Times New Roman"/>
                                      <w:sz w:val="16"/>
                                    </w:rPr>
                                  </w:pPr>
                                </w:p>
                              </w:tc>
                              <w:tc>
                                <w:tcPr>
                                  <w:tcW w:w="615" w:type="dxa"/>
                                  <w:tcBorders>
                                    <w:bottom w:val="single" w:sz="8" w:space="0" w:color="6C6C6C"/>
                                  </w:tcBorders>
                                </w:tcPr>
                                <w:p>
                                  <w:pPr>
                                    <w:pStyle w:val="TableParagraph"/>
                                    <w:spacing w:before="176"/>
                                    <w:ind w:right="68"/>
                                    <w:jc w:val="right"/>
                                    <w:rPr>
                                      <w:sz w:val="16"/>
                                    </w:rPr>
                                  </w:pPr>
                                  <w:r>
                                    <w:rPr>
                                      <w:spacing w:val="-5"/>
                                      <w:sz w:val="16"/>
                                    </w:rPr>
                                    <w:t>37</w:t>
                                  </w:r>
                                </w:p>
                              </w:tc>
                            </w:tr>
                            <w:tr>
                              <w:trPr>
                                <w:trHeight w:val="200" w:hRule="atLeast"/>
                              </w:trPr>
                              <w:tc>
                                <w:tcPr>
                                  <w:tcW w:w="5955" w:type="dxa"/>
                                </w:tcPr>
                                <w:p>
                                  <w:pPr>
                                    <w:pStyle w:val="TableParagraph"/>
                                    <w:spacing w:line="167" w:lineRule="exact" w:before="12"/>
                                    <w:ind w:left="108"/>
                                    <w:rPr>
                                      <w:rFonts w:ascii="Arial"/>
                                      <w:b/>
                                      <w:sz w:val="16"/>
                                    </w:rPr>
                                  </w:pPr>
                                  <w:r>
                                    <w:rPr>
                                      <w:rFonts w:ascii="Arial"/>
                                      <w:b/>
                                      <w:sz w:val="16"/>
                                    </w:rPr>
                                    <w:t>Net</w:t>
                                  </w:r>
                                  <w:r>
                                    <w:rPr>
                                      <w:rFonts w:ascii="Arial"/>
                                      <w:b/>
                                      <w:spacing w:val="-5"/>
                                      <w:sz w:val="16"/>
                                    </w:rPr>
                                    <w:t> </w:t>
                                  </w:r>
                                  <w:r>
                                    <w:rPr>
                                      <w:rFonts w:ascii="Arial"/>
                                      <w:b/>
                                      <w:sz w:val="16"/>
                                    </w:rPr>
                                    <w:t>non-interest</w:t>
                                  </w:r>
                                  <w:r>
                                    <w:rPr>
                                      <w:rFonts w:ascii="Arial"/>
                                      <w:b/>
                                      <w:spacing w:val="-4"/>
                                      <w:sz w:val="16"/>
                                    </w:rPr>
                                    <w:t> </w:t>
                                  </w:r>
                                  <w:r>
                                    <w:rPr>
                                      <w:rFonts w:ascii="Arial"/>
                                      <w:b/>
                                      <w:sz w:val="16"/>
                                    </w:rPr>
                                    <w:t>expenses</w:t>
                                  </w:r>
                                  <w:r>
                                    <w:rPr>
                                      <w:rFonts w:ascii="Arial"/>
                                      <w:b/>
                                      <w:spacing w:val="-6"/>
                                      <w:sz w:val="16"/>
                                    </w:rPr>
                                    <w:t> </w:t>
                                  </w:r>
                                  <w:r>
                                    <w:rPr>
                                      <w:rFonts w:ascii="Arial"/>
                                      <w:b/>
                                      <w:sz w:val="16"/>
                                    </w:rPr>
                                    <w:t>-</w:t>
                                  </w:r>
                                  <w:r>
                                    <w:rPr>
                                      <w:rFonts w:ascii="Arial"/>
                                      <w:b/>
                                      <w:spacing w:val="-4"/>
                                      <w:sz w:val="16"/>
                                    </w:rPr>
                                    <w:t> </w:t>
                                  </w:r>
                                  <w:r>
                                    <w:rPr>
                                      <w:rFonts w:ascii="Arial"/>
                                      <w:b/>
                                      <w:sz w:val="16"/>
                                    </w:rPr>
                                    <w:t>Allocable</w:t>
                                  </w:r>
                                  <w:r>
                                    <w:rPr>
                                      <w:rFonts w:ascii="Arial"/>
                                      <w:b/>
                                      <w:spacing w:val="-5"/>
                                      <w:sz w:val="16"/>
                                    </w:rPr>
                                    <w:t> </w:t>
                                  </w:r>
                                  <w:r>
                                    <w:rPr>
                                      <w:rFonts w:ascii="Arial"/>
                                      <w:b/>
                                      <w:sz w:val="16"/>
                                    </w:rPr>
                                    <w:t>income</w:t>
                                  </w:r>
                                  <w:r>
                                    <w:rPr>
                                      <w:rFonts w:ascii="Arial"/>
                                      <w:b/>
                                      <w:spacing w:val="-5"/>
                                      <w:sz w:val="16"/>
                                    </w:rPr>
                                    <w:t> </w:t>
                                  </w:r>
                                  <w:r>
                                    <w:rPr>
                                      <w:rFonts w:ascii="Arial"/>
                                      <w:b/>
                                      <w:spacing w:val="-2"/>
                                      <w:sz w:val="16"/>
                                    </w:rPr>
                                    <w:t>basis</w:t>
                                  </w:r>
                                </w:p>
                              </w:tc>
                              <w:tc>
                                <w:tcPr>
                                  <w:tcW w:w="436" w:type="dxa"/>
                                  <w:tcBorders>
                                    <w:top w:val="single" w:sz="8" w:space="0" w:color="6C6C6C"/>
                                    <w:bottom w:val="double" w:sz="8" w:space="0" w:color="6C6C6C"/>
                                  </w:tcBorders>
                                </w:tcPr>
                                <w:p>
                                  <w:pPr>
                                    <w:pStyle w:val="TableParagraph"/>
                                    <w:spacing w:line="167" w:lineRule="exact" w:before="12"/>
                                    <w:ind w:left="52"/>
                                    <w:rPr>
                                      <w:rFonts w:ascii="Arial"/>
                                      <w:b/>
                                      <w:sz w:val="16"/>
                                    </w:rPr>
                                  </w:pPr>
                                  <w:r>
                                    <w:rPr>
                                      <w:rFonts w:ascii="Arial"/>
                                      <w:b/>
                                      <w:spacing w:val="-10"/>
                                      <w:sz w:val="16"/>
                                    </w:rPr>
                                    <w:t>$</w:t>
                                  </w:r>
                                </w:p>
                              </w:tc>
                              <w:tc>
                                <w:tcPr>
                                  <w:tcW w:w="786" w:type="dxa"/>
                                  <w:tcBorders>
                                    <w:top w:val="single" w:sz="8" w:space="0" w:color="6C6C6C"/>
                                    <w:bottom w:val="double" w:sz="8" w:space="0" w:color="6C6C6C"/>
                                  </w:tcBorders>
                                </w:tcPr>
                                <w:p>
                                  <w:pPr>
                                    <w:pStyle w:val="TableParagraph"/>
                                    <w:spacing w:line="167" w:lineRule="exact" w:before="12"/>
                                    <w:ind w:right="90"/>
                                    <w:jc w:val="right"/>
                                    <w:rPr>
                                      <w:rFonts w:ascii="Arial"/>
                                      <w:b/>
                                      <w:sz w:val="16"/>
                                    </w:rPr>
                                  </w:pPr>
                                  <w:r>
                                    <w:rPr>
                                      <w:rFonts w:ascii="Arial"/>
                                      <w:b/>
                                      <w:spacing w:val="-2"/>
                                      <w:sz w:val="16"/>
                                    </w:rPr>
                                    <w:t>1,361</w:t>
                                  </w:r>
                                </w:p>
                              </w:tc>
                              <w:tc>
                                <w:tcPr>
                                  <w:tcW w:w="475" w:type="dxa"/>
                                  <w:tcBorders>
                                    <w:top w:val="single" w:sz="8" w:space="0" w:color="6C6C6C"/>
                                    <w:bottom w:val="double" w:sz="8" w:space="0" w:color="6C6C6C"/>
                                  </w:tcBorders>
                                </w:tcPr>
                                <w:p>
                                  <w:pPr>
                                    <w:pStyle w:val="TableParagraph"/>
                                    <w:spacing w:line="167" w:lineRule="exact" w:before="12"/>
                                    <w:ind w:left="90"/>
                                    <w:rPr>
                                      <w:rFonts w:ascii="Arial"/>
                                      <w:b/>
                                      <w:sz w:val="16"/>
                                    </w:rPr>
                                  </w:pPr>
                                  <w:r>
                                    <w:rPr>
                                      <w:rFonts w:ascii="Arial"/>
                                      <w:b/>
                                      <w:spacing w:val="-10"/>
                                      <w:sz w:val="16"/>
                                    </w:rPr>
                                    <w:t>$</w:t>
                                  </w:r>
                                </w:p>
                              </w:tc>
                              <w:tc>
                                <w:tcPr>
                                  <w:tcW w:w="786" w:type="dxa"/>
                                  <w:tcBorders>
                                    <w:top w:val="single" w:sz="8" w:space="0" w:color="6C6C6C"/>
                                    <w:bottom w:val="double" w:sz="8" w:space="0" w:color="6C6C6C"/>
                                  </w:tcBorders>
                                </w:tcPr>
                                <w:p>
                                  <w:pPr>
                                    <w:pStyle w:val="TableParagraph"/>
                                    <w:spacing w:line="167" w:lineRule="exact" w:before="12"/>
                                    <w:ind w:right="91"/>
                                    <w:jc w:val="right"/>
                                    <w:rPr>
                                      <w:rFonts w:ascii="Arial"/>
                                      <w:b/>
                                      <w:sz w:val="16"/>
                                    </w:rPr>
                                  </w:pPr>
                                  <w:r>
                                    <w:rPr>
                                      <w:rFonts w:ascii="Arial"/>
                                      <w:b/>
                                      <w:spacing w:val="-2"/>
                                      <w:sz w:val="16"/>
                                    </w:rPr>
                                    <w:t>1,245</w:t>
                                  </w:r>
                                </w:p>
                              </w:tc>
                              <w:tc>
                                <w:tcPr>
                                  <w:tcW w:w="459" w:type="dxa"/>
                                  <w:tcBorders>
                                    <w:top w:val="single" w:sz="8" w:space="0" w:color="6C6C6C"/>
                                    <w:bottom w:val="double" w:sz="8" w:space="0" w:color="6C6C6C"/>
                                  </w:tcBorders>
                                </w:tcPr>
                                <w:p>
                                  <w:pPr>
                                    <w:pStyle w:val="TableParagraph"/>
                                    <w:spacing w:line="167" w:lineRule="exact" w:before="12"/>
                                    <w:ind w:left="89"/>
                                    <w:rPr>
                                      <w:rFonts w:ascii="Arial"/>
                                      <w:b/>
                                      <w:sz w:val="16"/>
                                    </w:rPr>
                                  </w:pPr>
                                  <w:r>
                                    <w:rPr>
                                      <w:rFonts w:ascii="Arial"/>
                                      <w:b/>
                                      <w:spacing w:val="-10"/>
                                      <w:sz w:val="16"/>
                                    </w:rPr>
                                    <w:t>$</w:t>
                                  </w:r>
                                </w:p>
                              </w:tc>
                              <w:tc>
                                <w:tcPr>
                                  <w:tcW w:w="615" w:type="dxa"/>
                                  <w:tcBorders>
                                    <w:top w:val="single" w:sz="8" w:space="0" w:color="6C6C6C"/>
                                    <w:bottom w:val="double" w:sz="8" w:space="0" w:color="6C6C6C"/>
                                  </w:tcBorders>
                                </w:tcPr>
                                <w:p>
                                  <w:pPr>
                                    <w:pStyle w:val="TableParagraph"/>
                                    <w:spacing w:line="167" w:lineRule="exact" w:before="12"/>
                                    <w:ind w:right="70"/>
                                    <w:jc w:val="right"/>
                                    <w:rPr>
                                      <w:rFonts w:ascii="Arial"/>
                                      <w:b/>
                                      <w:sz w:val="16"/>
                                    </w:rPr>
                                  </w:pPr>
                                  <w:r>
                                    <w:rPr>
                                      <w:rFonts w:ascii="Arial"/>
                                      <w:b/>
                                      <w:spacing w:val="-5"/>
                                      <w:sz w:val="16"/>
                                    </w:rPr>
                                    <w:t>116</w:t>
                                  </w:r>
                                </w:p>
                              </w:tc>
                            </w:tr>
                            <w:tr>
                              <w:trPr>
                                <w:trHeight w:val="185" w:hRule="atLeast"/>
                              </w:trPr>
                              <w:tc>
                                <w:tcPr>
                                  <w:tcW w:w="5955" w:type="dxa"/>
                                  <w:tcBorders>
                                    <w:bottom w:val="single" w:sz="8" w:space="0" w:color="000000"/>
                                  </w:tcBorders>
                                </w:tcPr>
                                <w:p>
                                  <w:pPr>
                                    <w:pStyle w:val="TableParagraph"/>
                                    <w:rPr>
                                      <w:rFonts w:ascii="Times New Roman"/>
                                      <w:sz w:val="12"/>
                                    </w:rPr>
                                  </w:pPr>
                                </w:p>
                              </w:tc>
                              <w:tc>
                                <w:tcPr>
                                  <w:tcW w:w="436" w:type="dxa"/>
                                  <w:tcBorders>
                                    <w:top w:val="double" w:sz="8" w:space="0" w:color="6C6C6C"/>
                                    <w:bottom w:val="single" w:sz="8" w:space="0" w:color="000000"/>
                                  </w:tcBorders>
                                </w:tcPr>
                                <w:p>
                                  <w:pPr>
                                    <w:pStyle w:val="TableParagraph"/>
                                    <w:rPr>
                                      <w:rFonts w:ascii="Times New Roman"/>
                                      <w:sz w:val="12"/>
                                    </w:rPr>
                                  </w:pPr>
                                </w:p>
                              </w:tc>
                              <w:tc>
                                <w:tcPr>
                                  <w:tcW w:w="786" w:type="dxa"/>
                                  <w:tcBorders>
                                    <w:top w:val="double" w:sz="8" w:space="0" w:color="6C6C6C"/>
                                    <w:bottom w:val="single" w:sz="8" w:space="0" w:color="000000"/>
                                  </w:tcBorders>
                                </w:tcPr>
                                <w:p>
                                  <w:pPr>
                                    <w:pStyle w:val="TableParagraph"/>
                                    <w:rPr>
                                      <w:rFonts w:ascii="Times New Roman"/>
                                      <w:sz w:val="12"/>
                                    </w:rPr>
                                  </w:pPr>
                                </w:p>
                              </w:tc>
                              <w:tc>
                                <w:tcPr>
                                  <w:tcW w:w="475" w:type="dxa"/>
                                  <w:tcBorders>
                                    <w:top w:val="double" w:sz="8" w:space="0" w:color="6C6C6C"/>
                                    <w:bottom w:val="single" w:sz="8" w:space="0" w:color="000000"/>
                                  </w:tcBorders>
                                </w:tcPr>
                                <w:p>
                                  <w:pPr>
                                    <w:pStyle w:val="TableParagraph"/>
                                    <w:rPr>
                                      <w:rFonts w:ascii="Times New Roman"/>
                                      <w:sz w:val="12"/>
                                    </w:rPr>
                                  </w:pPr>
                                </w:p>
                              </w:tc>
                              <w:tc>
                                <w:tcPr>
                                  <w:tcW w:w="786" w:type="dxa"/>
                                  <w:tcBorders>
                                    <w:top w:val="double" w:sz="8" w:space="0" w:color="6C6C6C"/>
                                    <w:bottom w:val="single" w:sz="8" w:space="0" w:color="000000"/>
                                  </w:tcBorders>
                                </w:tcPr>
                                <w:p>
                                  <w:pPr>
                                    <w:pStyle w:val="TableParagraph"/>
                                    <w:rPr>
                                      <w:rFonts w:ascii="Times New Roman"/>
                                      <w:sz w:val="12"/>
                                    </w:rPr>
                                  </w:pPr>
                                </w:p>
                              </w:tc>
                              <w:tc>
                                <w:tcPr>
                                  <w:tcW w:w="459" w:type="dxa"/>
                                  <w:tcBorders>
                                    <w:top w:val="double" w:sz="8" w:space="0" w:color="6C6C6C"/>
                                    <w:bottom w:val="single" w:sz="8" w:space="0" w:color="000000"/>
                                  </w:tcBorders>
                                </w:tcPr>
                                <w:p>
                                  <w:pPr>
                                    <w:pStyle w:val="TableParagraph"/>
                                    <w:rPr>
                                      <w:rFonts w:ascii="Times New Roman"/>
                                      <w:sz w:val="12"/>
                                    </w:rPr>
                                  </w:pPr>
                                </w:p>
                              </w:tc>
                              <w:tc>
                                <w:tcPr>
                                  <w:tcW w:w="615" w:type="dxa"/>
                                  <w:tcBorders>
                                    <w:top w:val="double" w:sz="8" w:space="0" w:color="6C6C6C"/>
                                    <w:bottom w:val="single" w:sz="8" w:space="0" w:color="000000"/>
                                  </w:tcBorders>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69pt;margin-top:-296.760925pt;width:481.5pt;height:331.25pt;mso-position-horizontal-relative:page;mso-position-vertical-relative:paragraph;z-index:15763456" type="#_x0000_t202" id="docshape16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5"/>
                        <w:gridCol w:w="436"/>
                        <w:gridCol w:w="786"/>
                        <w:gridCol w:w="475"/>
                        <w:gridCol w:w="786"/>
                        <w:gridCol w:w="459"/>
                        <w:gridCol w:w="615"/>
                      </w:tblGrid>
                      <w:tr>
                        <w:trPr>
                          <w:trHeight w:val="670" w:hRule="atLeast"/>
                        </w:trPr>
                        <w:tc>
                          <w:tcPr>
                            <w:tcW w:w="5955" w:type="dxa"/>
                            <w:tcBorders>
                              <w:bottom w:val="single" w:sz="8" w:space="0" w:color="6C6C6C"/>
                            </w:tcBorders>
                          </w:tcPr>
                          <w:p>
                            <w:pPr>
                              <w:pStyle w:val="TableParagraph"/>
                              <w:spacing w:line="201" w:lineRule="exact"/>
                              <w:ind w:left="52"/>
                              <w:rPr>
                                <w:rFonts w:ascii="Arial"/>
                                <w:b/>
                                <w:sz w:val="18"/>
                              </w:rPr>
                            </w:pPr>
                            <w:r>
                              <w:rPr>
                                <w:rFonts w:ascii="Arial"/>
                                <w:b/>
                                <w:sz w:val="18"/>
                              </w:rPr>
                              <w:t>Table</w:t>
                            </w:r>
                            <w:r>
                              <w:rPr>
                                <w:rFonts w:ascii="Arial"/>
                                <w:b/>
                                <w:spacing w:val="-3"/>
                                <w:sz w:val="18"/>
                              </w:rPr>
                              <w:t> </w:t>
                            </w:r>
                            <w:r>
                              <w:rPr>
                                <w:rFonts w:ascii="Arial"/>
                                <w:b/>
                                <w:sz w:val="18"/>
                              </w:rPr>
                              <w:t>4:</w:t>
                            </w:r>
                            <w:r>
                              <w:rPr>
                                <w:rFonts w:ascii="Arial"/>
                                <w:b/>
                                <w:spacing w:val="-2"/>
                                <w:sz w:val="18"/>
                              </w:rPr>
                              <w:t> </w:t>
                            </w:r>
                            <w:r>
                              <w:rPr>
                                <w:rFonts w:ascii="Arial"/>
                                <w:b/>
                                <w:sz w:val="18"/>
                              </w:rPr>
                              <w:t>Net</w:t>
                            </w:r>
                            <w:r>
                              <w:rPr>
                                <w:rFonts w:ascii="Arial"/>
                                <w:b/>
                                <w:spacing w:val="-2"/>
                                <w:sz w:val="18"/>
                              </w:rPr>
                              <w:t> </w:t>
                            </w:r>
                            <w:r>
                              <w:rPr>
                                <w:rFonts w:ascii="Arial"/>
                                <w:b/>
                                <w:sz w:val="18"/>
                              </w:rPr>
                              <w:t>Non-Interest</w:t>
                            </w:r>
                            <w:r>
                              <w:rPr>
                                <w:rFonts w:ascii="Arial"/>
                                <w:b/>
                                <w:spacing w:val="-2"/>
                                <w:sz w:val="18"/>
                              </w:rPr>
                              <w:t> Expenses</w:t>
                            </w:r>
                          </w:p>
                          <w:p>
                            <w:pPr>
                              <w:pStyle w:val="TableParagraph"/>
                              <w:spacing w:before="41"/>
                              <w:ind w:left="52"/>
                              <w:rPr>
                                <w:sz w:val="16"/>
                              </w:rPr>
                            </w:pPr>
                            <w:r>
                              <w:rPr>
                                <w:sz w:val="16"/>
                              </w:rPr>
                              <w:t>In</w:t>
                            </w:r>
                            <w:r>
                              <w:rPr>
                                <w:spacing w:val="-3"/>
                                <w:sz w:val="16"/>
                              </w:rPr>
                              <w:t> </w:t>
                            </w:r>
                            <w:r>
                              <w:rPr>
                                <w:sz w:val="16"/>
                              </w:rPr>
                              <w:t>millions</w:t>
                            </w:r>
                            <w:r>
                              <w:rPr>
                                <w:spacing w:val="-2"/>
                                <w:sz w:val="16"/>
                              </w:rPr>
                              <w:t> </w:t>
                            </w:r>
                            <w:r>
                              <w:rPr>
                                <w:sz w:val="16"/>
                              </w:rPr>
                              <w:t>of</w:t>
                            </w:r>
                            <w:r>
                              <w:rPr>
                                <w:spacing w:val="-2"/>
                                <w:sz w:val="16"/>
                              </w:rPr>
                              <w:t> </w:t>
                            </w:r>
                            <w:r>
                              <w:rPr>
                                <w:sz w:val="16"/>
                              </w:rPr>
                              <w:t>U.S.</w:t>
                            </w:r>
                            <w:r>
                              <w:rPr>
                                <w:spacing w:val="-2"/>
                                <w:sz w:val="16"/>
                              </w:rPr>
                              <w:t> dollars</w:t>
                            </w:r>
                          </w:p>
                          <w:p>
                            <w:pPr>
                              <w:pStyle w:val="TableParagraph"/>
                              <w:spacing w:line="183" w:lineRule="exact" w:before="41"/>
                              <w:ind w:left="108"/>
                              <w:rPr>
                                <w:rFonts w:ascii="Arial"/>
                                <w:i/>
                                <w:sz w:val="16"/>
                              </w:rPr>
                            </w:pPr>
                            <w:r>
                              <w:rPr>
                                <w:rFonts w:ascii="Arial"/>
                                <w:i/>
                                <w:color w:val="A5A5A5"/>
                                <w:sz w:val="16"/>
                              </w:rPr>
                              <w:t>For</w:t>
                            </w:r>
                            <w:r>
                              <w:rPr>
                                <w:rFonts w:ascii="Arial"/>
                                <w:i/>
                                <w:color w:val="A5A5A5"/>
                                <w:spacing w:val="-3"/>
                                <w:sz w:val="16"/>
                              </w:rPr>
                              <w:t> </w:t>
                            </w:r>
                            <w:r>
                              <w:rPr>
                                <w:rFonts w:ascii="Arial"/>
                                <w:i/>
                                <w:color w:val="A5A5A5"/>
                                <w:sz w:val="16"/>
                              </w:rPr>
                              <w:t>the</w:t>
                            </w:r>
                            <w:r>
                              <w:rPr>
                                <w:rFonts w:ascii="Arial"/>
                                <w:i/>
                                <w:color w:val="A5A5A5"/>
                                <w:spacing w:val="-3"/>
                                <w:sz w:val="16"/>
                              </w:rPr>
                              <w:t> </w:t>
                            </w:r>
                            <w:r>
                              <w:rPr>
                                <w:rFonts w:ascii="Arial"/>
                                <w:i/>
                                <w:color w:val="A5A5A5"/>
                                <w:sz w:val="16"/>
                              </w:rPr>
                              <w:t>fiscal</w:t>
                            </w:r>
                            <w:r>
                              <w:rPr>
                                <w:rFonts w:ascii="Arial"/>
                                <w:i/>
                                <w:color w:val="A5A5A5"/>
                                <w:spacing w:val="-2"/>
                                <w:sz w:val="16"/>
                              </w:rPr>
                              <w:t> </w:t>
                            </w:r>
                            <w:r>
                              <w:rPr>
                                <w:rFonts w:ascii="Arial"/>
                                <w:i/>
                                <w:color w:val="A5A5A5"/>
                                <w:sz w:val="16"/>
                              </w:rPr>
                              <w:t>year</w:t>
                            </w:r>
                            <w:r>
                              <w:rPr>
                                <w:rFonts w:ascii="Arial"/>
                                <w:i/>
                                <w:color w:val="A5A5A5"/>
                                <w:spacing w:val="-2"/>
                                <w:sz w:val="16"/>
                              </w:rPr>
                              <w:t> </w:t>
                            </w:r>
                            <w:r>
                              <w:rPr>
                                <w:rFonts w:ascii="Arial"/>
                                <w:i/>
                                <w:color w:val="A5A5A5"/>
                                <w:sz w:val="16"/>
                              </w:rPr>
                              <w:t>ended</w:t>
                            </w:r>
                            <w:r>
                              <w:rPr>
                                <w:rFonts w:ascii="Arial"/>
                                <w:i/>
                                <w:color w:val="A5A5A5"/>
                                <w:spacing w:val="-3"/>
                                <w:sz w:val="16"/>
                              </w:rPr>
                              <w:t> </w:t>
                            </w:r>
                            <w:r>
                              <w:rPr>
                                <w:rFonts w:ascii="Arial"/>
                                <w:i/>
                                <w:color w:val="A5A5A5"/>
                                <w:sz w:val="16"/>
                              </w:rPr>
                              <w:t>June</w:t>
                            </w:r>
                            <w:r>
                              <w:rPr>
                                <w:rFonts w:ascii="Arial"/>
                                <w:i/>
                                <w:color w:val="A5A5A5"/>
                                <w:spacing w:val="-3"/>
                                <w:sz w:val="16"/>
                              </w:rPr>
                              <w:t> </w:t>
                            </w:r>
                            <w:r>
                              <w:rPr>
                                <w:rFonts w:ascii="Arial"/>
                                <w:i/>
                                <w:color w:val="A5A5A5"/>
                                <w:spacing w:val="-5"/>
                                <w:sz w:val="16"/>
                              </w:rPr>
                              <w:t>30,</w:t>
                            </w:r>
                          </w:p>
                        </w:tc>
                        <w:tc>
                          <w:tcPr>
                            <w:tcW w:w="1222"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736"/>
                              <w:rPr>
                                <w:rFonts w:ascii="Arial"/>
                                <w:i/>
                                <w:sz w:val="16"/>
                              </w:rPr>
                            </w:pPr>
                            <w:r>
                              <w:rPr>
                                <w:rFonts w:ascii="Arial"/>
                                <w:i/>
                                <w:color w:val="A5A5A5"/>
                                <w:spacing w:val="-4"/>
                                <w:sz w:val="16"/>
                              </w:rPr>
                              <w:t>2023</w:t>
                            </w:r>
                          </w:p>
                        </w:tc>
                        <w:tc>
                          <w:tcPr>
                            <w:tcW w:w="1261"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774"/>
                              <w:rPr>
                                <w:rFonts w:ascii="Arial"/>
                                <w:i/>
                                <w:sz w:val="16"/>
                              </w:rPr>
                            </w:pPr>
                            <w:r>
                              <w:rPr>
                                <w:rFonts w:ascii="Arial"/>
                                <w:i/>
                                <w:color w:val="A5A5A5"/>
                                <w:spacing w:val="-4"/>
                                <w:sz w:val="16"/>
                              </w:rPr>
                              <w:t>2022</w:t>
                            </w:r>
                          </w:p>
                        </w:tc>
                        <w:tc>
                          <w:tcPr>
                            <w:tcW w:w="1074" w:type="dxa"/>
                            <w:gridSpan w:val="2"/>
                            <w:tcBorders>
                              <w:bottom w:val="single" w:sz="8" w:space="0" w:color="6C6C6C"/>
                            </w:tcBorders>
                          </w:tcPr>
                          <w:p>
                            <w:pPr>
                              <w:pStyle w:val="TableParagraph"/>
                              <w:rPr>
                                <w:rFonts w:ascii="Arial"/>
                                <w:i/>
                                <w:sz w:val="16"/>
                              </w:rPr>
                            </w:pPr>
                          </w:p>
                          <w:p>
                            <w:pPr>
                              <w:pStyle w:val="TableParagraph"/>
                              <w:spacing w:before="99"/>
                              <w:rPr>
                                <w:rFonts w:ascii="Arial"/>
                                <w:i/>
                                <w:sz w:val="16"/>
                              </w:rPr>
                            </w:pPr>
                          </w:p>
                          <w:p>
                            <w:pPr>
                              <w:pStyle w:val="TableParagraph"/>
                              <w:spacing w:line="183" w:lineRule="exact"/>
                              <w:ind w:left="388"/>
                              <w:rPr>
                                <w:rFonts w:ascii="Arial"/>
                                <w:i/>
                                <w:sz w:val="16"/>
                              </w:rPr>
                            </w:pPr>
                            <w:r>
                              <w:rPr>
                                <w:rFonts w:ascii="Arial"/>
                                <w:i/>
                                <w:color w:val="A5A5A5"/>
                                <w:spacing w:val="-2"/>
                                <w:sz w:val="16"/>
                              </w:rPr>
                              <w:t>Variance</w:t>
                            </w:r>
                          </w:p>
                        </w:tc>
                      </w:tr>
                      <w:tr>
                        <w:trPr>
                          <w:trHeight w:val="210" w:hRule="atLeast"/>
                        </w:trPr>
                        <w:tc>
                          <w:tcPr>
                            <w:tcW w:w="5955" w:type="dxa"/>
                            <w:tcBorders>
                              <w:top w:val="single" w:sz="8" w:space="0" w:color="6C6C6C"/>
                            </w:tcBorders>
                          </w:tcPr>
                          <w:p>
                            <w:pPr>
                              <w:pStyle w:val="TableParagraph"/>
                              <w:spacing w:before="5"/>
                              <w:ind w:left="108"/>
                              <w:rPr>
                                <w:sz w:val="16"/>
                              </w:rPr>
                            </w:pPr>
                            <w:r>
                              <w:rPr>
                                <w:sz w:val="16"/>
                              </w:rPr>
                              <w:t>Administrative</w:t>
                            </w:r>
                            <w:r>
                              <w:rPr>
                                <w:spacing w:val="-7"/>
                                <w:sz w:val="16"/>
                              </w:rPr>
                              <w:t> </w:t>
                            </w:r>
                            <w:r>
                              <w:rPr>
                                <w:spacing w:val="-2"/>
                                <w:sz w:val="16"/>
                              </w:rPr>
                              <w:t>expenses</w:t>
                            </w:r>
                          </w:p>
                        </w:tc>
                        <w:tc>
                          <w:tcPr>
                            <w:tcW w:w="1222" w:type="dxa"/>
                            <w:gridSpan w:val="2"/>
                            <w:tcBorders>
                              <w:top w:val="single" w:sz="8" w:space="0" w:color="6C6C6C"/>
                            </w:tcBorders>
                          </w:tcPr>
                          <w:p>
                            <w:pPr>
                              <w:pStyle w:val="TableParagraph"/>
                              <w:rPr>
                                <w:rFonts w:ascii="Times New Roman"/>
                                <w:sz w:val="14"/>
                              </w:rPr>
                            </w:pPr>
                          </w:p>
                        </w:tc>
                        <w:tc>
                          <w:tcPr>
                            <w:tcW w:w="1261" w:type="dxa"/>
                            <w:gridSpan w:val="2"/>
                            <w:tcBorders>
                              <w:top w:val="single" w:sz="8" w:space="0" w:color="6C6C6C"/>
                            </w:tcBorders>
                          </w:tcPr>
                          <w:p>
                            <w:pPr>
                              <w:pStyle w:val="TableParagraph"/>
                              <w:rPr>
                                <w:rFonts w:ascii="Times New Roman"/>
                                <w:sz w:val="14"/>
                              </w:rPr>
                            </w:pPr>
                          </w:p>
                        </w:tc>
                        <w:tc>
                          <w:tcPr>
                            <w:tcW w:w="1074" w:type="dxa"/>
                            <w:gridSpan w:val="2"/>
                            <w:tcBorders>
                              <w:top w:val="single" w:sz="8" w:space="0" w:color="6C6C6C"/>
                            </w:tcBorders>
                          </w:tcPr>
                          <w:p>
                            <w:pPr>
                              <w:pStyle w:val="TableParagraph"/>
                              <w:rPr>
                                <w:rFonts w:ascii="Times New Roman"/>
                                <w:sz w:val="14"/>
                              </w:rPr>
                            </w:pPr>
                          </w:p>
                        </w:tc>
                      </w:tr>
                      <w:tr>
                        <w:trPr>
                          <w:trHeight w:val="225" w:hRule="atLeast"/>
                        </w:trPr>
                        <w:tc>
                          <w:tcPr>
                            <w:tcW w:w="5955" w:type="dxa"/>
                          </w:tcPr>
                          <w:p>
                            <w:pPr>
                              <w:pStyle w:val="TableParagraph"/>
                              <w:spacing w:before="19"/>
                              <w:ind w:left="267"/>
                              <w:rPr>
                                <w:sz w:val="16"/>
                              </w:rPr>
                            </w:pPr>
                            <w:r>
                              <w:rPr>
                                <w:sz w:val="16"/>
                              </w:rPr>
                              <w:t>Staff</w:t>
                            </w:r>
                            <w:r>
                              <w:rPr>
                                <w:spacing w:val="-4"/>
                                <w:sz w:val="16"/>
                              </w:rPr>
                              <w:t> </w:t>
                            </w:r>
                            <w:r>
                              <w:rPr>
                                <w:spacing w:val="-2"/>
                                <w:sz w:val="16"/>
                              </w:rPr>
                              <w:t>costs</w:t>
                            </w:r>
                          </w:p>
                        </w:tc>
                        <w:tc>
                          <w:tcPr>
                            <w:tcW w:w="1222" w:type="dxa"/>
                            <w:gridSpan w:val="2"/>
                          </w:tcPr>
                          <w:p>
                            <w:pPr>
                              <w:pStyle w:val="TableParagraph"/>
                              <w:tabs>
                                <w:tab w:pos="729" w:val="left" w:leader="none"/>
                              </w:tabs>
                              <w:spacing w:before="19"/>
                              <w:ind w:left="52"/>
                              <w:rPr>
                                <w:sz w:val="16"/>
                              </w:rPr>
                            </w:pPr>
                            <w:r>
                              <w:rPr>
                                <w:spacing w:val="-10"/>
                                <w:sz w:val="16"/>
                              </w:rPr>
                              <w:t>$</w:t>
                            </w:r>
                            <w:r>
                              <w:rPr>
                                <w:sz w:val="16"/>
                              </w:rPr>
                              <w:tab/>
                            </w:r>
                            <w:r>
                              <w:rPr>
                                <w:spacing w:val="-2"/>
                                <w:sz w:val="16"/>
                              </w:rPr>
                              <w:t>1,082</w:t>
                            </w:r>
                          </w:p>
                        </w:tc>
                        <w:tc>
                          <w:tcPr>
                            <w:tcW w:w="1261" w:type="dxa"/>
                            <w:gridSpan w:val="2"/>
                          </w:tcPr>
                          <w:p>
                            <w:pPr>
                              <w:pStyle w:val="TableParagraph"/>
                              <w:tabs>
                                <w:tab w:pos="767" w:val="left" w:leader="none"/>
                              </w:tabs>
                              <w:spacing w:before="19"/>
                              <w:ind w:left="90"/>
                              <w:rPr>
                                <w:sz w:val="16"/>
                              </w:rPr>
                            </w:pPr>
                            <w:r>
                              <w:rPr>
                                <w:spacing w:val="-10"/>
                                <w:sz w:val="16"/>
                              </w:rPr>
                              <w:t>$</w:t>
                            </w:r>
                            <w:r>
                              <w:rPr>
                                <w:sz w:val="16"/>
                              </w:rPr>
                              <w:tab/>
                            </w:r>
                            <w:r>
                              <w:rPr>
                                <w:spacing w:val="-2"/>
                                <w:sz w:val="16"/>
                              </w:rPr>
                              <w:t>1,003</w:t>
                            </w:r>
                          </w:p>
                        </w:tc>
                        <w:tc>
                          <w:tcPr>
                            <w:tcW w:w="1074" w:type="dxa"/>
                            <w:gridSpan w:val="2"/>
                          </w:tcPr>
                          <w:p>
                            <w:pPr>
                              <w:pStyle w:val="TableParagraph"/>
                              <w:tabs>
                                <w:tab w:pos="825" w:val="left" w:leader="none"/>
                              </w:tabs>
                              <w:spacing w:before="16"/>
                              <w:ind w:left="89"/>
                              <w:rPr>
                                <w:sz w:val="16"/>
                              </w:rPr>
                            </w:pPr>
                            <w:r>
                              <w:rPr>
                                <w:spacing w:val="-10"/>
                                <w:sz w:val="16"/>
                              </w:rPr>
                              <w:t>$</w:t>
                            </w:r>
                            <w:r>
                              <w:rPr>
                                <w:sz w:val="16"/>
                              </w:rPr>
                              <w:tab/>
                            </w:r>
                            <w:r>
                              <w:rPr>
                                <w:spacing w:val="-5"/>
                                <w:sz w:val="16"/>
                              </w:rPr>
                              <w:t>79</w:t>
                            </w:r>
                          </w:p>
                        </w:tc>
                      </w:tr>
                      <w:tr>
                        <w:trPr>
                          <w:trHeight w:val="225" w:hRule="atLeast"/>
                        </w:trPr>
                        <w:tc>
                          <w:tcPr>
                            <w:tcW w:w="5955" w:type="dxa"/>
                          </w:tcPr>
                          <w:p>
                            <w:pPr>
                              <w:pStyle w:val="TableParagraph"/>
                              <w:spacing w:before="19"/>
                              <w:ind w:left="267"/>
                              <w:rPr>
                                <w:sz w:val="16"/>
                              </w:rPr>
                            </w:pPr>
                            <w:r>
                              <w:rPr>
                                <w:spacing w:val="-2"/>
                                <w:sz w:val="16"/>
                              </w:rPr>
                              <w:t>Travel</w:t>
                            </w:r>
                          </w:p>
                        </w:tc>
                        <w:tc>
                          <w:tcPr>
                            <w:tcW w:w="1222" w:type="dxa"/>
                            <w:gridSpan w:val="2"/>
                          </w:tcPr>
                          <w:p>
                            <w:pPr>
                              <w:pStyle w:val="TableParagraph"/>
                              <w:spacing w:before="19"/>
                              <w:ind w:right="90"/>
                              <w:jc w:val="right"/>
                              <w:rPr>
                                <w:sz w:val="16"/>
                              </w:rPr>
                            </w:pPr>
                            <w:r>
                              <w:rPr>
                                <w:spacing w:val="-5"/>
                                <w:sz w:val="16"/>
                              </w:rPr>
                              <w:t>142</w:t>
                            </w:r>
                          </w:p>
                        </w:tc>
                        <w:tc>
                          <w:tcPr>
                            <w:tcW w:w="1261" w:type="dxa"/>
                            <w:gridSpan w:val="2"/>
                          </w:tcPr>
                          <w:p>
                            <w:pPr>
                              <w:pStyle w:val="TableParagraph"/>
                              <w:spacing w:before="19"/>
                              <w:ind w:right="91"/>
                              <w:jc w:val="right"/>
                              <w:rPr>
                                <w:sz w:val="16"/>
                              </w:rPr>
                            </w:pPr>
                            <w:r>
                              <w:rPr>
                                <w:spacing w:val="-5"/>
                                <w:sz w:val="16"/>
                              </w:rPr>
                              <w:t>60</w:t>
                            </w:r>
                          </w:p>
                        </w:tc>
                        <w:tc>
                          <w:tcPr>
                            <w:tcW w:w="1074" w:type="dxa"/>
                            <w:gridSpan w:val="2"/>
                          </w:tcPr>
                          <w:p>
                            <w:pPr>
                              <w:pStyle w:val="TableParagraph"/>
                              <w:spacing w:before="16"/>
                              <w:ind w:right="68"/>
                              <w:jc w:val="right"/>
                              <w:rPr>
                                <w:sz w:val="16"/>
                              </w:rPr>
                            </w:pPr>
                            <w:r>
                              <w:rPr>
                                <w:spacing w:val="-5"/>
                                <w:sz w:val="16"/>
                              </w:rPr>
                              <w:t>82</w:t>
                            </w:r>
                          </w:p>
                        </w:tc>
                      </w:tr>
                      <w:tr>
                        <w:trPr>
                          <w:trHeight w:val="216" w:hRule="atLeast"/>
                        </w:trPr>
                        <w:tc>
                          <w:tcPr>
                            <w:tcW w:w="5955" w:type="dxa"/>
                          </w:tcPr>
                          <w:p>
                            <w:pPr>
                              <w:pStyle w:val="TableParagraph"/>
                              <w:spacing w:line="176" w:lineRule="exact" w:before="19"/>
                              <w:ind w:left="267"/>
                              <w:rPr>
                                <w:sz w:val="16"/>
                              </w:rPr>
                            </w:pPr>
                            <w:r>
                              <w:rPr>
                                <w:sz w:val="16"/>
                              </w:rPr>
                              <w:t>Consultant</w:t>
                            </w:r>
                            <w:r>
                              <w:rPr>
                                <w:spacing w:val="-5"/>
                                <w:sz w:val="16"/>
                              </w:rPr>
                              <w:t> </w:t>
                            </w:r>
                            <w:r>
                              <w:rPr>
                                <w:sz w:val="16"/>
                              </w:rPr>
                              <w:t>fees</w:t>
                            </w:r>
                            <w:r>
                              <w:rPr>
                                <w:spacing w:val="-4"/>
                                <w:sz w:val="16"/>
                              </w:rPr>
                              <w:t> </w:t>
                            </w:r>
                            <w:r>
                              <w:rPr>
                                <w:sz w:val="16"/>
                              </w:rPr>
                              <w:t>and</w:t>
                            </w:r>
                            <w:r>
                              <w:rPr>
                                <w:spacing w:val="-4"/>
                                <w:sz w:val="16"/>
                              </w:rPr>
                              <w:t> </w:t>
                            </w:r>
                            <w:r>
                              <w:rPr>
                                <w:sz w:val="16"/>
                              </w:rPr>
                              <w:t>contractual</w:t>
                            </w:r>
                            <w:r>
                              <w:rPr>
                                <w:spacing w:val="-4"/>
                                <w:sz w:val="16"/>
                              </w:rPr>
                              <w:t> </w:t>
                            </w:r>
                            <w:r>
                              <w:rPr>
                                <w:spacing w:val="-2"/>
                                <w:sz w:val="16"/>
                              </w:rPr>
                              <w:t>services</w:t>
                            </w:r>
                          </w:p>
                        </w:tc>
                        <w:tc>
                          <w:tcPr>
                            <w:tcW w:w="1222" w:type="dxa"/>
                            <w:gridSpan w:val="2"/>
                          </w:tcPr>
                          <w:p>
                            <w:pPr>
                              <w:pStyle w:val="TableParagraph"/>
                              <w:spacing w:line="176" w:lineRule="exact" w:before="19"/>
                              <w:ind w:right="90"/>
                              <w:jc w:val="right"/>
                              <w:rPr>
                                <w:sz w:val="16"/>
                              </w:rPr>
                            </w:pPr>
                            <w:r>
                              <w:rPr>
                                <w:spacing w:val="-5"/>
                                <w:sz w:val="16"/>
                              </w:rPr>
                              <w:t>505</w:t>
                            </w:r>
                          </w:p>
                        </w:tc>
                        <w:tc>
                          <w:tcPr>
                            <w:tcW w:w="1261" w:type="dxa"/>
                            <w:gridSpan w:val="2"/>
                          </w:tcPr>
                          <w:p>
                            <w:pPr>
                              <w:pStyle w:val="TableParagraph"/>
                              <w:spacing w:line="176" w:lineRule="exact" w:before="19"/>
                              <w:ind w:right="91"/>
                              <w:jc w:val="right"/>
                              <w:rPr>
                                <w:sz w:val="16"/>
                              </w:rPr>
                            </w:pPr>
                            <w:r>
                              <w:rPr>
                                <w:spacing w:val="-5"/>
                                <w:sz w:val="16"/>
                              </w:rPr>
                              <w:t>490</w:t>
                            </w:r>
                          </w:p>
                        </w:tc>
                        <w:tc>
                          <w:tcPr>
                            <w:tcW w:w="1074" w:type="dxa"/>
                            <w:gridSpan w:val="2"/>
                          </w:tcPr>
                          <w:p>
                            <w:pPr>
                              <w:pStyle w:val="TableParagraph"/>
                              <w:spacing w:line="180" w:lineRule="exact" w:before="16"/>
                              <w:ind w:right="68"/>
                              <w:jc w:val="right"/>
                              <w:rPr>
                                <w:sz w:val="16"/>
                              </w:rPr>
                            </w:pPr>
                            <w:r>
                              <w:rPr>
                                <w:spacing w:val="-5"/>
                                <w:sz w:val="16"/>
                              </w:rPr>
                              <w:t>15</w:t>
                            </w:r>
                          </w:p>
                        </w:tc>
                      </w:tr>
                      <w:tr>
                        <w:trPr>
                          <w:trHeight w:val="233" w:hRule="atLeast"/>
                        </w:trPr>
                        <w:tc>
                          <w:tcPr>
                            <w:tcW w:w="5955" w:type="dxa"/>
                          </w:tcPr>
                          <w:p>
                            <w:pPr>
                              <w:pStyle w:val="TableParagraph"/>
                              <w:spacing w:before="28"/>
                              <w:ind w:left="267"/>
                              <w:rPr>
                                <w:sz w:val="16"/>
                              </w:rPr>
                            </w:pPr>
                            <w:r>
                              <w:rPr>
                                <w:sz w:val="16"/>
                              </w:rPr>
                              <w:t>Pension</w:t>
                            </w:r>
                            <w:r>
                              <w:rPr>
                                <w:spacing w:val="-6"/>
                                <w:sz w:val="16"/>
                              </w:rPr>
                              <w:t> </w:t>
                            </w:r>
                            <w:r>
                              <w:rPr>
                                <w:sz w:val="16"/>
                              </w:rPr>
                              <w:t>and</w:t>
                            </w:r>
                            <w:r>
                              <w:rPr>
                                <w:spacing w:val="-5"/>
                                <w:sz w:val="16"/>
                              </w:rPr>
                              <w:t> </w:t>
                            </w:r>
                            <w:r>
                              <w:rPr>
                                <w:sz w:val="16"/>
                              </w:rPr>
                              <w:t>other</w:t>
                            </w:r>
                            <w:r>
                              <w:rPr>
                                <w:spacing w:val="-4"/>
                                <w:sz w:val="16"/>
                              </w:rPr>
                              <w:t> </w:t>
                            </w:r>
                            <w:r>
                              <w:rPr>
                                <w:sz w:val="16"/>
                              </w:rPr>
                              <w:t>postretirement</w:t>
                            </w:r>
                            <w:r>
                              <w:rPr>
                                <w:spacing w:val="-4"/>
                                <w:sz w:val="16"/>
                              </w:rPr>
                              <w:t> </w:t>
                            </w:r>
                            <w:r>
                              <w:rPr>
                                <w:sz w:val="16"/>
                              </w:rPr>
                              <w:t>benefits</w:t>
                            </w:r>
                            <w:r>
                              <w:rPr>
                                <w:spacing w:val="-6"/>
                                <w:sz w:val="16"/>
                              </w:rPr>
                              <w:t> </w:t>
                            </w:r>
                            <w:r>
                              <w:rPr>
                                <w:spacing w:val="-10"/>
                                <w:sz w:val="16"/>
                                <w:vertAlign w:val="superscript"/>
                              </w:rPr>
                              <w:t>a</w:t>
                            </w:r>
                          </w:p>
                        </w:tc>
                        <w:tc>
                          <w:tcPr>
                            <w:tcW w:w="1222" w:type="dxa"/>
                            <w:gridSpan w:val="2"/>
                          </w:tcPr>
                          <w:p>
                            <w:pPr>
                              <w:pStyle w:val="TableParagraph"/>
                              <w:spacing w:before="28"/>
                              <w:ind w:right="90"/>
                              <w:jc w:val="right"/>
                              <w:rPr>
                                <w:sz w:val="16"/>
                              </w:rPr>
                            </w:pPr>
                            <w:r>
                              <w:rPr>
                                <w:spacing w:val="-5"/>
                                <w:sz w:val="16"/>
                              </w:rPr>
                              <w:t>351</w:t>
                            </w:r>
                          </w:p>
                        </w:tc>
                        <w:tc>
                          <w:tcPr>
                            <w:tcW w:w="1261" w:type="dxa"/>
                            <w:gridSpan w:val="2"/>
                          </w:tcPr>
                          <w:p>
                            <w:pPr>
                              <w:pStyle w:val="TableParagraph"/>
                              <w:spacing w:before="28"/>
                              <w:ind w:right="91"/>
                              <w:jc w:val="right"/>
                              <w:rPr>
                                <w:sz w:val="16"/>
                              </w:rPr>
                            </w:pPr>
                            <w:r>
                              <w:rPr>
                                <w:spacing w:val="-5"/>
                                <w:sz w:val="16"/>
                              </w:rPr>
                              <w:t>451</w:t>
                            </w:r>
                          </w:p>
                        </w:tc>
                        <w:tc>
                          <w:tcPr>
                            <w:tcW w:w="1074" w:type="dxa"/>
                            <w:gridSpan w:val="2"/>
                          </w:tcPr>
                          <w:p>
                            <w:pPr>
                              <w:pStyle w:val="TableParagraph"/>
                              <w:spacing w:before="25"/>
                              <w:ind w:left="684"/>
                              <w:rPr>
                                <w:sz w:val="16"/>
                              </w:rPr>
                            </w:pPr>
                            <w:r>
                              <w:rPr>
                                <w:spacing w:val="-2"/>
                                <w:sz w:val="16"/>
                              </w:rPr>
                              <w:t>(100)</w:t>
                            </w:r>
                          </w:p>
                        </w:tc>
                      </w:tr>
                      <w:tr>
                        <w:trPr>
                          <w:trHeight w:val="225" w:hRule="atLeast"/>
                        </w:trPr>
                        <w:tc>
                          <w:tcPr>
                            <w:tcW w:w="5955" w:type="dxa"/>
                          </w:tcPr>
                          <w:p>
                            <w:pPr>
                              <w:pStyle w:val="TableParagraph"/>
                              <w:spacing w:before="19"/>
                              <w:ind w:left="267"/>
                              <w:rPr>
                                <w:sz w:val="16"/>
                              </w:rPr>
                            </w:pPr>
                            <w:r>
                              <w:rPr>
                                <w:sz w:val="16"/>
                              </w:rPr>
                              <w:t>Communications</w:t>
                            </w:r>
                            <w:r>
                              <w:rPr>
                                <w:spacing w:val="-6"/>
                                <w:sz w:val="16"/>
                              </w:rPr>
                              <w:t> </w:t>
                            </w:r>
                            <w:r>
                              <w:rPr>
                                <w:sz w:val="16"/>
                              </w:rPr>
                              <w:t>and</w:t>
                            </w:r>
                            <w:r>
                              <w:rPr>
                                <w:spacing w:val="-6"/>
                                <w:sz w:val="16"/>
                              </w:rPr>
                              <w:t> </w:t>
                            </w:r>
                            <w:r>
                              <w:rPr>
                                <w:spacing w:val="-2"/>
                                <w:sz w:val="16"/>
                              </w:rPr>
                              <w:t>technology</w:t>
                            </w:r>
                          </w:p>
                        </w:tc>
                        <w:tc>
                          <w:tcPr>
                            <w:tcW w:w="1222" w:type="dxa"/>
                            <w:gridSpan w:val="2"/>
                          </w:tcPr>
                          <w:p>
                            <w:pPr>
                              <w:pStyle w:val="TableParagraph"/>
                              <w:spacing w:before="19"/>
                              <w:ind w:right="90"/>
                              <w:jc w:val="right"/>
                              <w:rPr>
                                <w:sz w:val="16"/>
                              </w:rPr>
                            </w:pPr>
                            <w:r>
                              <w:rPr>
                                <w:spacing w:val="-5"/>
                                <w:sz w:val="16"/>
                              </w:rPr>
                              <w:t>91</w:t>
                            </w:r>
                          </w:p>
                        </w:tc>
                        <w:tc>
                          <w:tcPr>
                            <w:tcW w:w="1261" w:type="dxa"/>
                            <w:gridSpan w:val="2"/>
                          </w:tcPr>
                          <w:p>
                            <w:pPr>
                              <w:pStyle w:val="TableParagraph"/>
                              <w:spacing w:before="19"/>
                              <w:ind w:right="91"/>
                              <w:jc w:val="right"/>
                              <w:rPr>
                                <w:sz w:val="16"/>
                              </w:rPr>
                            </w:pPr>
                            <w:r>
                              <w:rPr>
                                <w:spacing w:val="-5"/>
                                <w:sz w:val="16"/>
                              </w:rPr>
                              <w:t>73</w:t>
                            </w:r>
                          </w:p>
                        </w:tc>
                        <w:tc>
                          <w:tcPr>
                            <w:tcW w:w="1074" w:type="dxa"/>
                            <w:gridSpan w:val="2"/>
                          </w:tcPr>
                          <w:p>
                            <w:pPr>
                              <w:pStyle w:val="TableParagraph"/>
                              <w:spacing w:before="16"/>
                              <w:ind w:right="68"/>
                              <w:jc w:val="right"/>
                              <w:rPr>
                                <w:sz w:val="16"/>
                              </w:rPr>
                            </w:pPr>
                            <w:r>
                              <w:rPr>
                                <w:spacing w:val="-5"/>
                                <w:sz w:val="16"/>
                              </w:rPr>
                              <w:t>18</w:t>
                            </w:r>
                          </w:p>
                        </w:tc>
                      </w:tr>
                      <w:tr>
                        <w:trPr>
                          <w:trHeight w:val="225" w:hRule="atLeast"/>
                        </w:trPr>
                        <w:tc>
                          <w:tcPr>
                            <w:tcW w:w="5955" w:type="dxa"/>
                          </w:tcPr>
                          <w:p>
                            <w:pPr>
                              <w:pStyle w:val="TableParagraph"/>
                              <w:spacing w:before="19"/>
                              <w:ind w:left="267"/>
                              <w:rPr>
                                <w:sz w:val="16"/>
                              </w:rPr>
                            </w:pPr>
                            <w:r>
                              <w:rPr>
                                <w:sz w:val="16"/>
                              </w:rPr>
                              <w:t>Premises</w:t>
                            </w:r>
                            <w:r>
                              <w:rPr>
                                <w:spacing w:val="-3"/>
                                <w:sz w:val="16"/>
                              </w:rPr>
                              <w:t> </w:t>
                            </w:r>
                            <w:r>
                              <w:rPr>
                                <w:sz w:val="16"/>
                              </w:rPr>
                              <w:t>and</w:t>
                            </w:r>
                            <w:r>
                              <w:rPr>
                                <w:spacing w:val="-3"/>
                                <w:sz w:val="16"/>
                              </w:rPr>
                              <w:t> </w:t>
                            </w:r>
                            <w:r>
                              <w:rPr>
                                <w:spacing w:val="-2"/>
                                <w:sz w:val="16"/>
                              </w:rPr>
                              <w:t>equipment</w:t>
                            </w:r>
                          </w:p>
                        </w:tc>
                        <w:tc>
                          <w:tcPr>
                            <w:tcW w:w="1222" w:type="dxa"/>
                            <w:gridSpan w:val="2"/>
                          </w:tcPr>
                          <w:p>
                            <w:pPr>
                              <w:pStyle w:val="TableParagraph"/>
                              <w:spacing w:before="19"/>
                              <w:ind w:right="90"/>
                              <w:jc w:val="right"/>
                              <w:rPr>
                                <w:sz w:val="16"/>
                              </w:rPr>
                            </w:pPr>
                            <w:r>
                              <w:rPr>
                                <w:spacing w:val="-5"/>
                                <w:sz w:val="16"/>
                              </w:rPr>
                              <w:t>128</w:t>
                            </w:r>
                          </w:p>
                        </w:tc>
                        <w:tc>
                          <w:tcPr>
                            <w:tcW w:w="1261" w:type="dxa"/>
                            <w:gridSpan w:val="2"/>
                          </w:tcPr>
                          <w:p>
                            <w:pPr>
                              <w:pStyle w:val="TableParagraph"/>
                              <w:spacing w:before="19"/>
                              <w:ind w:right="91"/>
                              <w:jc w:val="right"/>
                              <w:rPr>
                                <w:sz w:val="16"/>
                              </w:rPr>
                            </w:pPr>
                            <w:r>
                              <w:rPr>
                                <w:spacing w:val="-5"/>
                                <w:sz w:val="16"/>
                              </w:rPr>
                              <w:t>128</w:t>
                            </w:r>
                          </w:p>
                        </w:tc>
                        <w:tc>
                          <w:tcPr>
                            <w:tcW w:w="1074" w:type="dxa"/>
                            <w:gridSpan w:val="2"/>
                          </w:tcPr>
                          <w:p>
                            <w:pPr>
                              <w:pStyle w:val="TableParagraph"/>
                              <w:spacing w:before="16"/>
                              <w:ind w:right="68"/>
                              <w:jc w:val="right"/>
                              <w:rPr>
                                <w:sz w:val="16"/>
                              </w:rPr>
                            </w:pPr>
                            <w:r>
                              <w:rPr>
                                <w:sz w:val="16"/>
                              </w:rPr>
                              <w:t>—</w:t>
                            </w:r>
                          </w:p>
                        </w:tc>
                      </w:tr>
                      <w:tr>
                        <w:trPr>
                          <w:trHeight w:val="219" w:hRule="atLeast"/>
                        </w:trPr>
                        <w:tc>
                          <w:tcPr>
                            <w:tcW w:w="5955" w:type="dxa"/>
                          </w:tcPr>
                          <w:p>
                            <w:pPr>
                              <w:pStyle w:val="TableParagraph"/>
                              <w:spacing w:line="180" w:lineRule="exact" w:before="19"/>
                              <w:ind w:left="267"/>
                              <w:rPr>
                                <w:sz w:val="16"/>
                              </w:rPr>
                            </w:pPr>
                            <w:r>
                              <w:rPr>
                                <w:sz w:val="16"/>
                              </w:rPr>
                              <w:t>Other</w:t>
                            </w:r>
                            <w:r>
                              <w:rPr>
                                <w:spacing w:val="-2"/>
                                <w:sz w:val="16"/>
                              </w:rPr>
                              <w:t> expenses</w:t>
                            </w:r>
                          </w:p>
                        </w:tc>
                        <w:tc>
                          <w:tcPr>
                            <w:tcW w:w="1222" w:type="dxa"/>
                            <w:gridSpan w:val="2"/>
                            <w:tcBorders>
                              <w:bottom w:val="single" w:sz="8" w:space="0" w:color="6C6C6C"/>
                            </w:tcBorders>
                          </w:tcPr>
                          <w:p>
                            <w:pPr>
                              <w:pStyle w:val="TableParagraph"/>
                              <w:spacing w:line="180" w:lineRule="exact" w:before="19"/>
                              <w:ind w:right="90"/>
                              <w:jc w:val="right"/>
                              <w:rPr>
                                <w:sz w:val="16"/>
                              </w:rPr>
                            </w:pPr>
                            <w:r>
                              <w:rPr>
                                <w:spacing w:val="-5"/>
                                <w:sz w:val="16"/>
                              </w:rPr>
                              <w:t>21</w:t>
                            </w:r>
                          </w:p>
                        </w:tc>
                        <w:tc>
                          <w:tcPr>
                            <w:tcW w:w="1261" w:type="dxa"/>
                            <w:gridSpan w:val="2"/>
                            <w:tcBorders>
                              <w:bottom w:val="single" w:sz="8" w:space="0" w:color="6C6C6C"/>
                            </w:tcBorders>
                          </w:tcPr>
                          <w:p>
                            <w:pPr>
                              <w:pStyle w:val="TableParagraph"/>
                              <w:spacing w:line="180" w:lineRule="exact" w:before="19"/>
                              <w:ind w:right="91"/>
                              <w:jc w:val="right"/>
                              <w:rPr>
                                <w:sz w:val="16"/>
                              </w:rPr>
                            </w:pPr>
                            <w:r>
                              <w:rPr>
                                <w:spacing w:val="-5"/>
                                <w:sz w:val="16"/>
                              </w:rPr>
                              <w:t>20</w:t>
                            </w:r>
                          </w:p>
                        </w:tc>
                        <w:tc>
                          <w:tcPr>
                            <w:tcW w:w="1074" w:type="dxa"/>
                            <w:gridSpan w:val="2"/>
                            <w:tcBorders>
                              <w:bottom w:val="single" w:sz="8" w:space="0" w:color="6C6C6C"/>
                            </w:tcBorders>
                          </w:tcPr>
                          <w:p>
                            <w:pPr>
                              <w:pStyle w:val="TableParagraph"/>
                              <w:spacing w:line="184" w:lineRule="exact" w:before="16"/>
                              <w:ind w:right="68"/>
                              <w:jc w:val="right"/>
                              <w:rPr>
                                <w:sz w:val="16"/>
                              </w:rPr>
                            </w:pPr>
                            <w:r>
                              <w:rPr>
                                <w:spacing w:val="-10"/>
                                <w:sz w:val="16"/>
                              </w:rPr>
                              <w:t>1</w:t>
                            </w:r>
                          </w:p>
                        </w:tc>
                      </w:tr>
                      <w:tr>
                        <w:trPr>
                          <w:trHeight w:val="205" w:hRule="atLeast"/>
                        </w:trPr>
                        <w:tc>
                          <w:tcPr>
                            <w:tcW w:w="5955" w:type="dxa"/>
                          </w:tcPr>
                          <w:p>
                            <w:pPr>
                              <w:pStyle w:val="TableParagraph"/>
                              <w:spacing w:line="180" w:lineRule="exact" w:before="5"/>
                              <w:ind w:left="445"/>
                              <w:rPr>
                                <w:rFonts w:ascii="Arial"/>
                                <w:b/>
                                <w:sz w:val="16"/>
                              </w:rPr>
                            </w:pPr>
                            <w:r>
                              <w:rPr>
                                <w:rFonts w:ascii="Arial"/>
                                <w:b/>
                                <w:sz w:val="16"/>
                              </w:rPr>
                              <w:t>Total</w:t>
                            </w:r>
                            <w:r>
                              <w:rPr>
                                <w:rFonts w:ascii="Arial"/>
                                <w:b/>
                                <w:spacing w:val="-6"/>
                                <w:sz w:val="16"/>
                              </w:rPr>
                              <w:t> </w:t>
                            </w:r>
                            <w:r>
                              <w:rPr>
                                <w:rFonts w:ascii="Arial"/>
                                <w:b/>
                                <w:sz w:val="16"/>
                              </w:rPr>
                              <w:t>administrative</w:t>
                            </w:r>
                            <w:r>
                              <w:rPr>
                                <w:rFonts w:ascii="Arial"/>
                                <w:b/>
                                <w:spacing w:val="-6"/>
                                <w:sz w:val="16"/>
                              </w:rPr>
                              <w:t> </w:t>
                            </w:r>
                            <w:r>
                              <w:rPr>
                                <w:rFonts w:ascii="Arial"/>
                                <w:b/>
                                <w:spacing w:val="-2"/>
                                <w:sz w:val="16"/>
                              </w:rPr>
                              <w:t>expenses</w:t>
                            </w:r>
                          </w:p>
                        </w:tc>
                        <w:tc>
                          <w:tcPr>
                            <w:tcW w:w="1222" w:type="dxa"/>
                            <w:gridSpan w:val="2"/>
                            <w:tcBorders>
                              <w:top w:val="single" w:sz="8" w:space="0" w:color="6C6C6C"/>
                              <w:bottom w:val="single" w:sz="8" w:space="0" w:color="6C6C6C"/>
                            </w:tcBorders>
                          </w:tcPr>
                          <w:p>
                            <w:pPr>
                              <w:pStyle w:val="TableParagraph"/>
                              <w:tabs>
                                <w:tab w:pos="729" w:val="left" w:leader="none"/>
                              </w:tabs>
                              <w:spacing w:line="180" w:lineRule="exact" w:before="5"/>
                              <w:ind w:left="52"/>
                              <w:rPr>
                                <w:rFonts w:ascii="Arial"/>
                                <w:b/>
                                <w:sz w:val="16"/>
                              </w:rPr>
                            </w:pPr>
                            <w:r>
                              <w:rPr>
                                <w:rFonts w:ascii="Arial"/>
                                <w:b/>
                                <w:spacing w:val="-10"/>
                                <w:sz w:val="16"/>
                              </w:rPr>
                              <w:t>$</w:t>
                            </w:r>
                            <w:r>
                              <w:rPr>
                                <w:rFonts w:ascii="Arial"/>
                                <w:b/>
                                <w:sz w:val="16"/>
                              </w:rPr>
                              <w:tab/>
                            </w:r>
                            <w:r>
                              <w:rPr>
                                <w:rFonts w:ascii="Arial"/>
                                <w:b/>
                                <w:spacing w:val="-2"/>
                                <w:sz w:val="16"/>
                              </w:rPr>
                              <w:t>2,320</w:t>
                            </w:r>
                          </w:p>
                        </w:tc>
                        <w:tc>
                          <w:tcPr>
                            <w:tcW w:w="1261" w:type="dxa"/>
                            <w:gridSpan w:val="2"/>
                            <w:tcBorders>
                              <w:top w:val="single" w:sz="8" w:space="0" w:color="6C6C6C"/>
                              <w:bottom w:val="single" w:sz="8" w:space="0" w:color="6C6C6C"/>
                            </w:tcBorders>
                          </w:tcPr>
                          <w:p>
                            <w:pPr>
                              <w:pStyle w:val="TableParagraph"/>
                              <w:tabs>
                                <w:tab w:pos="767" w:val="left" w:leader="none"/>
                              </w:tabs>
                              <w:spacing w:line="180" w:lineRule="exact" w:before="5"/>
                              <w:ind w:left="90"/>
                              <w:rPr>
                                <w:rFonts w:ascii="Arial"/>
                                <w:b/>
                                <w:sz w:val="16"/>
                              </w:rPr>
                            </w:pPr>
                            <w:r>
                              <w:rPr>
                                <w:rFonts w:ascii="Arial"/>
                                <w:b/>
                                <w:spacing w:val="-10"/>
                                <w:sz w:val="16"/>
                              </w:rPr>
                              <w:t>$</w:t>
                            </w:r>
                            <w:r>
                              <w:rPr>
                                <w:rFonts w:ascii="Arial"/>
                                <w:b/>
                                <w:sz w:val="16"/>
                              </w:rPr>
                              <w:tab/>
                            </w:r>
                            <w:r>
                              <w:rPr>
                                <w:rFonts w:ascii="Arial"/>
                                <w:b/>
                                <w:spacing w:val="-2"/>
                                <w:sz w:val="16"/>
                              </w:rPr>
                              <w:t>2,225</w:t>
                            </w:r>
                          </w:p>
                        </w:tc>
                        <w:tc>
                          <w:tcPr>
                            <w:tcW w:w="1074" w:type="dxa"/>
                            <w:gridSpan w:val="2"/>
                            <w:tcBorders>
                              <w:top w:val="single" w:sz="8" w:space="0" w:color="6C6C6C"/>
                              <w:bottom w:val="single" w:sz="8" w:space="0" w:color="6C6C6C"/>
                            </w:tcBorders>
                          </w:tcPr>
                          <w:p>
                            <w:pPr>
                              <w:pStyle w:val="TableParagraph"/>
                              <w:tabs>
                                <w:tab w:pos="825" w:val="left" w:leader="none"/>
                              </w:tabs>
                              <w:spacing w:line="180" w:lineRule="exact" w:before="5"/>
                              <w:ind w:left="89"/>
                              <w:rPr>
                                <w:rFonts w:ascii="Arial"/>
                                <w:b/>
                                <w:sz w:val="16"/>
                              </w:rPr>
                            </w:pPr>
                            <w:r>
                              <w:rPr>
                                <w:rFonts w:ascii="Arial"/>
                                <w:b/>
                                <w:spacing w:val="-10"/>
                                <w:sz w:val="16"/>
                              </w:rPr>
                              <w:t>$</w:t>
                            </w:r>
                            <w:r>
                              <w:rPr>
                                <w:rFonts w:ascii="Arial"/>
                                <w:b/>
                                <w:sz w:val="16"/>
                              </w:rPr>
                              <w:tab/>
                            </w:r>
                            <w:r>
                              <w:rPr>
                                <w:rFonts w:ascii="Arial"/>
                                <w:b/>
                                <w:spacing w:val="-5"/>
                                <w:sz w:val="16"/>
                              </w:rPr>
                              <w:t>95</w:t>
                            </w:r>
                          </w:p>
                        </w:tc>
                      </w:tr>
                      <w:tr>
                        <w:trPr>
                          <w:trHeight w:val="212" w:hRule="atLeast"/>
                        </w:trPr>
                        <w:tc>
                          <w:tcPr>
                            <w:tcW w:w="5955" w:type="dxa"/>
                          </w:tcPr>
                          <w:p>
                            <w:pPr>
                              <w:pStyle w:val="TableParagraph"/>
                              <w:spacing w:before="5"/>
                              <w:ind w:left="108"/>
                              <w:rPr>
                                <w:sz w:val="16"/>
                              </w:rPr>
                            </w:pPr>
                            <w:r>
                              <w:rPr>
                                <w:sz w:val="16"/>
                              </w:rPr>
                              <w:t>Contributions</w:t>
                            </w:r>
                            <w:r>
                              <w:rPr>
                                <w:spacing w:val="-6"/>
                                <w:sz w:val="16"/>
                              </w:rPr>
                              <w:t> </w:t>
                            </w:r>
                            <w:r>
                              <w:rPr>
                                <w:sz w:val="16"/>
                              </w:rPr>
                              <w:t>to</w:t>
                            </w:r>
                            <w:r>
                              <w:rPr>
                                <w:spacing w:val="-4"/>
                                <w:sz w:val="16"/>
                              </w:rPr>
                              <w:t> </w:t>
                            </w:r>
                            <w:r>
                              <w:rPr>
                                <w:sz w:val="16"/>
                              </w:rPr>
                              <w:t>special</w:t>
                            </w:r>
                            <w:r>
                              <w:rPr>
                                <w:spacing w:val="-4"/>
                                <w:sz w:val="16"/>
                              </w:rPr>
                              <w:t> </w:t>
                            </w:r>
                            <w:r>
                              <w:rPr>
                                <w:sz w:val="16"/>
                              </w:rPr>
                              <w:t>programs</w:t>
                            </w:r>
                            <w:r>
                              <w:rPr>
                                <w:spacing w:val="-4"/>
                                <w:sz w:val="16"/>
                              </w:rPr>
                              <w:t> </w:t>
                            </w:r>
                            <w:r>
                              <w:rPr>
                                <w:sz w:val="16"/>
                              </w:rPr>
                              <w:t>(See</w:t>
                            </w:r>
                            <w:r>
                              <w:rPr>
                                <w:spacing w:val="-4"/>
                                <w:sz w:val="16"/>
                              </w:rPr>
                              <w:t> </w:t>
                            </w:r>
                            <w:r>
                              <w:rPr>
                                <w:sz w:val="16"/>
                              </w:rPr>
                              <w:t>Section</w:t>
                            </w:r>
                            <w:r>
                              <w:rPr>
                                <w:spacing w:val="-4"/>
                                <w:sz w:val="16"/>
                              </w:rPr>
                              <w:t> </w:t>
                            </w:r>
                            <w:r>
                              <w:rPr>
                                <w:spacing w:val="-5"/>
                                <w:sz w:val="16"/>
                              </w:rPr>
                              <w:t>V)</w:t>
                            </w:r>
                          </w:p>
                        </w:tc>
                        <w:tc>
                          <w:tcPr>
                            <w:tcW w:w="1222" w:type="dxa"/>
                            <w:gridSpan w:val="2"/>
                            <w:tcBorders>
                              <w:top w:val="single" w:sz="8" w:space="0" w:color="6C6C6C"/>
                            </w:tcBorders>
                          </w:tcPr>
                          <w:p>
                            <w:pPr>
                              <w:pStyle w:val="TableParagraph"/>
                              <w:spacing w:before="5"/>
                              <w:ind w:right="90"/>
                              <w:jc w:val="right"/>
                              <w:rPr>
                                <w:sz w:val="16"/>
                              </w:rPr>
                            </w:pPr>
                            <w:r>
                              <w:rPr>
                                <w:spacing w:val="-5"/>
                                <w:sz w:val="16"/>
                              </w:rPr>
                              <w:t>17</w:t>
                            </w:r>
                          </w:p>
                        </w:tc>
                        <w:tc>
                          <w:tcPr>
                            <w:tcW w:w="1261" w:type="dxa"/>
                            <w:gridSpan w:val="2"/>
                            <w:tcBorders>
                              <w:top w:val="single" w:sz="8" w:space="0" w:color="6C6C6C"/>
                            </w:tcBorders>
                          </w:tcPr>
                          <w:p>
                            <w:pPr>
                              <w:pStyle w:val="TableParagraph"/>
                              <w:spacing w:before="5"/>
                              <w:ind w:right="91"/>
                              <w:jc w:val="right"/>
                              <w:rPr>
                                <w:sz w:val="16"/>
                              </w:rPr>
                            </w:pPr>
                            <w:r>
                              <w:rPr>
                                <w:spacing w:val="-5"/>
                                <w:sz w:val="16"/>
                              </w:rPr>
                              <w:t>17</w:t>
                            </w:r>
                          </w:p>
                        </w:tc>
                        <w:tc>
                          <w:tcPr>
                            <w:tcW w:w="1074" w:type="dxa"/>
                            <w:gridSpan w:val="2"/>
                            <w:tcBorders>
                              <w:top w:val="single" w:sz="8" w:space="0" w:color="6C6C6C"/>
                            </w:tcBorders>
                          </w:tcPr>
                          <w:p>
                            <w:pPr>
                              <w:pStyle w:val="TableParagraph"/>
                              <w:spacing w:before="1"/>
                              <w:ind w:right="68"/>
                              <w:jc w:val="right"/>
                              <w:rPr>
                                <w:sz w:val="16"/>
                              </w:rPr>
                            </w:pPr>
                            <w:r>
                              <w:rPr>
                                <w:sz w:val="16"/>
                              </w:rPr>
                              <w:t>—</w:t>
                            </w:r>
                          </w:p>
                        </w:tc>
                      </w:tr>
                      <w:tr>
                        <w:trPr>
                          <w:trHeight w:val="223" w:hRule="atLeast"/>
                        </w:trPr>
                        <w:tc>
                          <w:tcPr>
                            <w:tcW w:w="5955" w:type="dxa"/>
                          </w:tcPr>
                          <w:p>
                            <w:pPr>
                              <w:pStyle w:val="TableParagraph"/>
                              <w:spacing w:before="18"/>
                              <w:ind w:left="108"/>
                              <w:rPr>
                                <w:sz w:val="16"/>
                              </w:rPr>
                            </w:pPr>
                            <w:r>
                              <w:rPr>
                                <w:sz w:val="16"/>
                              </w:rPr>
                              <w:t>Revenue</w:t>
                            </w:r>
                            <w:r>
                              <w:rPr>
                                <w:spacing w:val="-7"/>
                                <w:sz w:val="16"/>
                              </w:rPr>
                              <w:t> </w:t>
                            </w:r>
                            <w:r>
                              <w:rPr>
                                <w:sz w:val="16"/>
                              </w:rPr>
                              <w:t>from</w:t>
                            </w:r>
                            <w:r>
                              <w:rPr>
                                <w:spacing w:val="-4"/>
                                <w:sz w:val="16"/>
                              </w:rPr>
                              <w:t> </w:t>
                            </w:r>
                            <w:r>
                              <w:rPr>
                                <w:sz w:val="16"/>
                              </w:rPr>
                              <w:t>externally</w:t>
                            </w:r>
                            <w:r>
                              <w:rPr>
                                <w:spacing w:val="-3"/>
                                <w:sz w:val="16"/>
                              </w:rPr>
                              <w:t> </w:t>
                            </w:r>
                            <w:r>
                              <w:rPr>
                                <w:sz w:val="16"/>
                              </w:rPr>
                              <w:t>funded</w:t>
                            </w:r>
                            <w:r>
                              <w:rPr>
                                <w:spacing w:val="-5"/>
                                <w:sz w:val="16"/>
                              </w:rPr>
                              <w:t> </w:t>
                            </w:r>
                            <w:r>
                              <w:rPr>
                                <w:sz w:val="16"/>
                              </w:rPr>
                              <w:t>activities:</w:t>
                            </w:r>
                            <w:r>
                              <w:rPr>
                                <w:spacing w:val="-3"/>
                                <w:sz w:val="16"/>
                              </w:rPr>
                              <w:t> </w:t>
                            </w:r>
                            <w:r>
                              <w:rPr>
                                <w:sz w:val="16"/>
                              </w:rPr>
                              <w:t>(See</w:t>
                            </w:r>
                            <w:r>
                              <w:rPr>
                                <w:spacing w:val="-5"/>
                                <w:sz w:val="16"/>
                              </w:rPr>
                              <w:t> </w:t>
                            </w:r>
                            <w:r>
                              <w:rPr>
                                <w:sz w:val="16"/>
                              </w:rPr>
                              <w:t>Section</w:t>
                            </w:r>
                            <w:r>
                              <w:rPr>
                                <w:spacing w:val="-4"/>
                                <w:sz w:val="16"/>
                              </w:rPr>
                              <w:t> </w:t>
                            </w:r>
                            <w:r>
                              <w:rPr>
                                <w:spacing w:val="-5"/>
                                <w:sz w:val="16"/>
                              </w:rPr>
                              <w:t>V)</w:t>
                            </w:r>
                          </w:p>
                        </w:tc>
                        <w:tc>
                          <w:tcPr>
                            <w:tcW w:w="1222" w:type="dxa"/>
                            <w:gridSpan w:val="2"/>
                          </w:tcPr>
                          <w:p>
                            <w:pPr>
                              <w:pStyle w:val="TableParagraph"/>
                              <w:rPr>
                                <w:rFonts w:ascii="Times New Roman"/>
                                <w:sz w:val="14"/>
                              </w:rPr>
                            </w:pPr>
                          </w:p>
                        </w:tc>
                        <w:tc>
                          <w:tcPr>
                            <w:tcW w:w="1261" w:type="dxa"/>
                            <w:gridSpan w:val="2"/>
                          </w:tcPr>
                          <w:p>
                            <w:pPr>
                              <w:pStyle w:val="TableParagraph"/>
                              <w:rPr>
                                <w:rFonts w:ascii="Times New Roman"/>
                                <w:sz w:val="14"/>
                              </w:rPr>
                            </w:pPr>
                          </w:p>
                        </w:tc>
                        <w:tc>
                          <w:tcPr>
                            <w:tcW w:w="1074" w:type="dxa"/>
                            <w:gridSpan w:val="2"/>
                          </w:tcPr>
                          <w:p>
                            <w:pPr>
                              <w:pStyle w:val="TableParagraph"/>
                              <w:rPr>
                                <w:rFonts w:ascii="Times New Roman"/>
                                <w:sz w:val="14"/>
                              </w:rPr>
                            </w:pPr>
                          </w:p>
                        </w:tc>
                      </w:tr>
                      <w:tr>
                        <w:trPr>
                          <w:trHeight w:val="225" w:hRule="atLeast"/>
                        </w:trPr>
                        <w:tc>
                          <w:tcPr>
                            <w:tcW w:w="5955" w:type="dxa"/>
                          </w:tcPr>
                          <w:p>
                            <w:pPr>
                              <w:pStyle w:val="TableParagraph"/>
                              <w:spacing w:before="19"/>
                              <w:ind w:left="267"/>
                              <w:rPr>
                                <w:sz w:val="16"/>
                              </w:rPr>
                            </w:pPr>
                            <w:r>
                              <w:rPr>
                                <w:sz w:val="16"/>
                              </w:rPr>
                              <w:t>Reimbursable</w:t>
                            </w:r>
                            <w:r>
                              <w:rPr>
                                <w:spacing w:val="-6"/>
                                <w:sz w:val="16"/>
                              </w:rPr>
                              <w:t> </w:t>
                            </w:r>
                            <w:r>
                              <w:rPr>
                                <w:sz w:val="16"/>
                              </w:rPr>
                              <w:t>revenue</w:t>
                            </w:r>
                            <w:r>
                              <w:rPr>
                                <w:spacing w:val="-4"/>
                                <w:sz w:val="16"/>
                              </w:rPr>
                              <w:t> </w:t>
                            </w:r>
                            <w:r>
                              <w:rPr>
                                <w:sz w:val="16"/>
                              </w:rPr>
                              <w:t>–</w:t>
                            </w:r>
                            <w:r>
                              <w:rPr>
                                <w:spacing w:val="-4"/>
                                <w:sz w:val="16"/>
                              </w:rPr>
                              <w:t> </w:t>
                            </w:r>
                            <w:r>
                              <w:rPr>
                                <w:sz w:val="16"/>
                              </w:rPr>
                              <w:t>IBRD</w:t>
                            </w:r>
                            <w:r>
                              <w:rPr>
                                <w:spacing w:val="-3"/>
                                <w:sz w:val="16"/>
                              </w:rPr>
                              <w:t> </w:t>
                            </w:r>
                            <w:r>
                              <w:rPr>
                                <w:sz w:val="16"/>
                              </w:rPr>
                              <w:t>executed</w:t>
                            </w:r>
                            <w:r>
                              <w:rPr>
                                <w:spacing w:val="-4"/>
                                <w:sz w:val="16"/>
                              </w:rPr>
                              <w:t> </w:t>
                            </w:r>
                            <w:r>
                              <w:rPr>
                                <w:sz w:val="16"/>
                              </w:rPr>
                              <w:t>trust</w:t>
                            </w:r>
                            <w:r>
                              <w:rPr>
                                <w:spacing w:val="-3"/>
                                <w:sz w:val="16"/>
                              </w:rPr>
                              <w:t> </w:t>
                            </w:r>
                            <w:r>
                              <w:rPr>
                                <w:spacing w:val="-2"/>
                                <w:sz w:val="16"/>
                              </w:rPr>
                              <w:t>funds</w:t>
                            </w:r>
                          </w:p>
                        </w:tc>
                        <w:tc>
                          <w:tcPr>
                            <w:tcW w:w="1222" w:type="dxa"/>
                            <w:gridSpan w:val="2"/>
                          </w:tcPr>
                          <w:p>
                            <w:pPr>
                              <w:pStyle w:val="TableParagraph"/>
                              <w:spacing w:before="19"/>
                              <w:ind w:left="756"/>
                              <w:rPr>
                                <w:sz w:val="16"/>
                              </w:rPr>
                            </w:pPr>
                            <w:r>
                              <w:rPr>
                                <w:spacing w:val="-2"/>
                                <w:sz w:val="16"/>
                              </w:rPr>
                              <w:t>(570)</w:t>
                            </w:r>
                          </w:p>
                        </w:tc>
                        <w:tc>
                          <w:tcPr>
                            <w:tcW w:w="1261" w:type="dxa"/>
                            <w:gridSpan w:val="2"/>
                          </w:tcPr>
                          <w:p>
                            <w:pPr>
                              <w:pStyle w:val="TableParagraph"/>
                              <w:spacing w:before="19"/>
                              <w:ind w:left="794"/>
                              <w:rPr>
                                <w:sz w:val="16"/>
                              </w:rPr>
                            </w:pPr>
                            <w:r>
                              <w:rPr>
                                <w:spacing w:val="-2"/>
                                <w:sz w:val="16"/>
                              </w:rPr>
                              <w:t>(494)</w:t>
                            </w:r>
                          </w:p>
                        </w:tc>
                        <w:tc>
                          <w:tcPr>
                            <w:tcW w:w="1074" w:type="dxa"/>
                            <w:gridSpan w:val="2"/>
                          </w:tcPr>
                          <w:p>
                            <w:pPr>
                              <w:pStyle w:val="TableParagraph"/>
                              <w:spacing w:before="16"/>
                              <w:ind w:right="14"/>
                              <w:jc w:val="right"/>
                              <w:rPr>
                                <w:sz w:val="16"/>
                              </w:rPr>
                            </w:pPr>
                            <w:r>
                              <w:rPr>
                                <w:spacing w:val="-4"/>
                                <w:sz w:val="16"/>
                              </w:rPr>
                              <w:t>(76)</w:t>
                            </w:r>
                          </w:p>
                        </w:tc>
                      </w:tr>
                      <w:tr>
                        <w:trPr>
                          <w:trHeight w:val="225" w:hRule="atLeast"/>
                        </w:trPr>
                        <w:tc>
                          <w:tcPr>
                            <w:tcW w:w="5955" w:type="dxa"/>
                          </w:tcPr>
                          <w:p>
                            <w:pPr>
                              <w:pStyle w:val="TableParagraph"/>
                              <w:spacing w:before="19"/>
                              <w:ind w:left="267"/>
                              <w:rPr>
                                <w:sz w:val="16"/>
                              </w:rPr>
                            </w:pPr>
                            <w:r>
                              <w:rPr>
                                <w:sz w:val="16"/>
                              </w:rPr>
                              <w:t>Reimbursable</w:t>
                            </w:r>
                            <w:r>
                              <w:rPr>
                                <w:spacing w:val="-7"/>
                                <w:sz w:val="16"/>
                              </w:rPr>
                              <w:t> </w:t>
                            </w:r>
                            <w:r>
                              <w:rPr>
                                <w:sz w:val="16"/>
                              </w:rPr>
                              <w:t>advisory</w:t>
                            </w:r>
                            <w:r>
                              <w:rPr>
                                <w:spacing w:val="-6"/>
                                <w:sz w:val="16"/>
                              </w:rPr>
                              <w:t> </w:t>
                            </w:r>
                            <w:r>
                              <w:rPr>
                                <w:spacing w:val="-2"/>
                                <w:sz w:val="16"/>
                              </w:rPr>
                              <w:t>services</w:t>
                            </w:r>
                          </w:p>
                        </w:tc>
                        <w:tc>
                          <w:tcPr>
                            <w:tcW w:w="1222" w:type="dxa"/>
                            <w:gridSpan w:val="2"/>
                          </w:tcPr>
                          <w:p>
                            <w:pPr>
                              <w:pStyle w:val="TableParagraph"/>
                              <w:spacing w:before="19"/>
                              <w:ind w:right="90"/>
                              <w:jc w:val="right"/>
                              <w:rPr>
                                <w:sz w:val="16"/>
                              </w:rPr>
                            </w:pPr>
                            <w:r>
                              <w:rPr>
                                <w:spacing w:val="-4"/>
                                <w:sz w:val="16"/>
                              </w:rPr>
                              <w:t>(52)</w:t>
                            </w:r>
                          </w:p>
                        </w:tc>
                        <w:tc>
                          <w:tcPr>
                            <w:tcW w:w="1261" w:type="dxa"/>
                            <w:gridSpan w:val="2"/>
                          </w:tcPr>
                          <w:p>
                            <w:pPr>
                              <w:pStyle w:val="TableParagraph"/>
                              <w:spacing w:before="19"/>
                              <w:ind w:right="91"/>
                              <w:jc w:val="right"/>
                              <w:rPr>
                                <w:sz w:val="16"/>
                              </w:rPr>
                            </w:pPr>
                            <w:r>
                              <w:rPr>
                                <w:spacing w:val="-4"/>
                                <w:sz w:val="16"/>
                              </w:rPr>
                              <w:t>(47)</w:t>
                            </w:r>
                          </w:p>
                        </w:tc>
                        <w:tc>
                          <w:tcPr>
                            <w:tcW w:w="1074" w:type="dxa"/>
                            <w:gridSpan w:val="2"/>
                          </w:tcPr>
                          <w:p>
                            <w:pPr>
                              <w:pStyle w:val="TableParagraph"/>
                              <w:spacing w:before="16"/>
                              <w:ind w:right="14"/>
                              <w:jc w:val="right"/>
                              <w:rPr>
                                <w:sz w:val="16"/>
                              </w:rPr>
                            </w:pPr>
                            <w:r>
                              <w:rPr>
                                <w:spacing w:val="-5"/>
                                <w:sz w:val="16"/>
                              </w:rPr>
                              <w:t>(5)</w:t>
                            </w:r>
                          </w:p>
                        </w:tc>
                      </w:tr>
                      <w:tr>
                        <w:trPr>
                          <w:trHeight w:val="225" w:hRule="atLeast"/>
                        </w:trPr>
                        <w:tc>
                          <w:tcPr>
                            <w:tcW w:w="5955" w:type="dxa"/>
                          </w:tcPr>
                          <w:p>
                            <w:pPr>
                              <w:pStyle w:val="TableParagraph"/>
                              <w:spacing w:before="19"/>
                              <w:ind w:left="267"/>
                              <w:rPr>
                                <w:sz w:val="16"/>
                              </w:rPr>
                            </w:pPr>
                            <w:r>
                              <w:rPr>
                                <w:sz w:val="16"/>
                              </w:rPr>
                              <w:t>Revenue</w:t>
                            </w:r>
                            <w:r>
                              <w:rPr>
                                <w:spacing w:val="-5"/>
                                <w:sz w:val="16"/>
                              </w:rPr>
                              <w:t> </w:t>
                            </w:r>
                            <w:r>
                              <w:rPr>
                                <w:sz w:val="16"/>
                              </w:rPr>
                              <w:t>-</w:t>
                            </w:r>
                            <w:r>
                              <w:rPr>
                                <w:spacing w:val="-6"/>
                                <w:sz w:val="16"/>
                              </w:rPr>
                              <w:t> </w:t>
                            </w:r>
                            <w:r>
                              <w:rPr>
                                <w:sz w:val="16"/>
                              </w:rPr>
                              <w:t>Trust</w:t>
                            </w:r>
                            <w:r>
                              <w:rPr>
                                <w:spacing w:val="-4"/>
                                <w:sz w:val="16"/>
                              </w:rPr>
                              <w:t> </w:t>
                            </w:r>
                            <w:r>
                              <w:rPr>
                                <w:sz w:val="16"/>
                              </w:rPr>
                              <w:t>fund</w:t>
                            </w:r>
                            <w:r>
                              <w:rPr>
                                <w:spacing w:val="-4"/>
                                <w:sz w:val="16"/>
                              </w:rPr>
                              <w:t> </w:t>
                            </w:r>
                            <w:r>
                              <w:rPr>
                                <w:spacing w:val="-2"/>
                                <w:sz w:val="16"/>
                              </w:rPr>
                              <w:t>administration</w:t>
                            </w:r>
                          </w:p>
                        </w:tc>
                        <w:tc>
                          <w:tcPr>
                            <w:tcW w:w="1222" w:type="dxa"/>
                            <w:gridSpan w:val="2"/>
                          </w:tcPr>
                          <w:p>
                            <w:pPr>
                              <w:pStyle w:val="TableParagraph"/>
                              <w:spacing w:before="19"/>
                              <w:ind w:right="90"/>
                              <w:jc w:val="right"/>
                              <w:rPr>
                                <w:sz w:val="16"/>
                              </w:rPr>
                            </w:pPr>
                            <w:r>
                              <w:rPr>
                                <w:spacing w:val="-4"/>
                                <w:sz w:val="16"/>
                              </w:rPr>
                              <w:t>(62)</w:t>
                            </w:r>
                          </w:p>
                        </w:tc>
                        <w:tc>
                          <w:tcPr>
                            <w:tcW w:w="1261" w:type="dxa"/>
                            <w:gridSpan w:val="2"/>
                          </w:tcPr>
                          <w:p>
                            <w:pPr>
                              <w:pStyle w:val="TableParagraph"/>
                              <w:spacing w:before="19"/>
                              <w:ind w:right="91"/>
                              <w:jc w:val="right"/>
                              <w:rPr>
                                <w:sz w:val="16"/>
                              </w:rPr>
                            </w:pPr>
                            <w:r>
                              <w:rPr>
                                <w:spacing w:val="-4"/>
                                <w:sz w:val="16"/>
                              </w:rPr>
                              <w:t>(50)</w:t>
                            </w:r>
                          </w:p>
                        </w:tc>
                        <w:tc>
                          <w:tcPr>
                            <w:tcW w:w="1074" w:type="dxa"/>
                            <w:gridSpan w:val="2"/>
                          </w:tcPr>
                          <w:p>
                            <w:pPr>
                              <w:pStyle w:val="TableParagraph"/>
                              <w:spacing w:before="16"/>
                              <w:ind w:right="14"/>
                              <w:jc w:val="right"/>
                              <w:rPr>
                                <w:sz w:val="16"/>
                              </w:rPr>
                            </w:pPr>
                            <w:r>
                              <w:rPr>
                                <w:spacing w:val="-4"/>
                                <w:sz w:val="16"/>
                              </w:rPr>
                              <w:t>(12)</w:t>
                            </w:r>
                          </w:p>
                        </w:tc>
                      </w:tr>
                      <w:tr>
                        <w:trPr>
                          <w:trHeight w:val="225" w:hRule="atLeast"/>
                        </w:trPr>
                        <w:tc>
                          <w:tcPr>
                            <w:tcW w:w="5955" w:type="dxa"/>
                          </w:tcPr>
                          <w:p>
                            <w:pPr>
                              <w:pStyle w:val="TableParagraph"/>
                              <w:spacing w:before="19"/>
                              <w:ind w:left="267"/>
                              <w:rPr>
                                <w:sz w:val="16"/>
                              </w:rPr>
                            </w:pPr>
                            <w:r>
                              <w:rPr>
                                <w:sz w:val="16"/>
                              </w:rPr>
                              <w:t>Restricted</w:t>
                            </w:r>
                            <w:r>
                              <w:rPr>
                                <w:spacing w:val="-6"/>
                                <w:sz w:val="16"/>
                              </w:rPr>
                              <w:t> </w:t>
                            </w:r>
                            <w:r>
                              <w:rPr>
                                <w:sz w:val="16"/>
                              </w:rPr>
                              <w:t>revenue</w:t>
                            </w:r>
                            <w:r>
                              <w:rPr>
                                <w:spacing w:val="-6"/>
                                <w:sz w:val="16"/>
                              </w:rPr>
                              <w:t> </w:t>
                            </w:r>
                            <w:r>
                              <w:rPr>
                                <w:sz w:val="16"/>
                              </w:rPr>
                              <w:t>(primarily</w:t>
                            </w:r>
                            <w:r>
                              <w:rPr>
                                <w:spacing w:val="-5"/>
                                <w:sz w:val="16"/>
                              </w:rPr>
                              <w:t> </w:t>
                            </w:r>
                            <w:r>
                              <w:rPr>
                                <w:sz w:val="16"/>
                              </w:rPr>
                              <w:t>externally</w:t>
                            </w:r>
                            <w:r>
                              <w:rPr>
                                <w:spacing w:val="-5"/>
                                <w:sz w:val="16"/>
                              </w:rPr>
                              <w:t> </w:t>
                            </w:r>
                            <w:r>
                              <w:rPr>
                                <w:sz w:val="16"/>
                              </w:rPr>
                              <w:t>financed</w:t>
                            </w:r>
                            <w:r>
                              <w:rPr>
                                <w:spacing w:val="-5"/>
                                <w:sz w:val="16"/>
                              </w:rPr>
                              <w:t> </w:t>
                            </w:r>
                            <w:r>
                              <w:rPr>
                                <w:spacing w:val="-2"/>
                                <w:sz w:val="16"/>
                              </w:rPr>
                              <w:t>outputs)</w:t>
                            </w:r>
                          </w:p>
                        </w:tc>
                        <w:tc>
                          <w:tcPr>
                            <w:tcW w:w="1222" w:type="dxa"/>
                            <w:gridSpan w:val="2"/>
                          </w:tcPr>
                          <w:p>
                            <w:pPr>
                              <w:pStyle w:val="TableParagraph"/>
                              <w:spacing w:before="19"/>
                              <w:ind w:right="90"/>
                              <w:jc w:val="right"/>
                              <w:rPr>
                                <w:sz w:val="16"/>
                              </w:rPr>
                            </w:pPr>
                            <w:r>
                              <w:rPr>
                                <w:spacing w:val="-5"/>
                                <w:sz w:val="16"/>
                              </w:rPr>
                              <w:t>(3)</w:t>
                            </w:r>
                          </w:p>
                        </w:tc>
                        <w:tc>
                          <w:tcPr>
                            <w:tcW w:w="1261" w:type="dxa"/>
                            <w:gridSpan w:val="2"/>
                          </w:tcPr>
                          <w:p>
                            <w:pPr>
                              <w:pStyle w:val="TableParagraph"/>
                              <w:spacing w:before="19"/>
                              <w:ind w:right="91"/>
                              <w:jc w:val="right"/>
                              <w:rPr>
                                <w:sz w:val="16"/>
                              </w:rPr>
                            </w:pPr>
                            <w:r>
                              <w:rPr>
                                <w:spacing w:val="-5"/>
                                <w:sz w:val="16"/>
                              </w:rPr>
                              <w:t>(4)</w:t>
                            </w:r>
                          </w:p>
                        </w:tc>
                        <w:tc>
                          <w:tcPr>
                            <w:tcW w:w="1074" w:type="dxa"/>
                            <w:gridSpan w:val="2"/>
                          </w:tcPr>
                          <w:p>
                            <w:pPr>
                              <w:pStyle w:val="TableParagraph"/>
                              <w:spacing w:before="16"/>
                              <w:ind w:right="68"/>
                              <w:jc w:val="right"/>
                              <w:rPr>
                                <w:sz w:val="16"/>
                              </w:rPr>
                            </w:pPr>
                            <w:r>
                              <w:rPr>
                                <w:spacing w:val="-10"/>
                                <w:sz w:val="16"/>
                              </w:rPr>
                              <w:t>1</w:t>
                            </w:r>
                          </w:p>
                        </w:tc>
                      </w:tr>
                      <w:tr>
                        <w:trPr>
                          <w:trHeight w:val="225" w:hRule="atLeast"/>
                        </w:trPr>
                        <w:tc>
                          <w:tcPr>
                            <w:tcW w:w="5955" w:type="dxa"/>
                          </w:tcPr>
                          <w:p>
                            <w:pPr>
                              <w:pStyle w:val="TableParagraph"/>
                              <w:spacing w:before="19"/>
                              <w:ind w:left="267"/>
                              <w:rPr>
                                <w:sz w:val="16"/>
                              </w:rPr>
                            </w:pPr>
                            <w:r>
                              <w:rPr>
                                <w:sz w:val="16"/>
                              </w:rPr>
                              <w:t>Revenue</w:t>
                            </w:r>
                            <w:r>
                              <w:rPr>
                                <w:spacing w:val="-5"/>
                                <w:sz w:val="16"/>
                              </w:rPr>
                              <w:t> </w:t>
                            </w:r>
                            <w:r>
                              <w:rPr>
                                <w:sz w:val="16"/>
                              </w:rPr>
                              <w:t>-</w:t>
                            </w:r>
                            <w:r>
                              <w:rPr>
                                <w:spacing w:val="-12"/>
                                <w:sz w:val="16"/>
                              </w:rPr>
                              <w:t> </w:t>
                            </w:r>
                            <w:r>
                              <w:rPr>
                                <w:sz w:val="16"/>
                              </w:rPr>
                              <w:t>Asset</w:t>
                            </w:r>
                            <w:r>
                              <w:rPr>
                                <w:spacing w:val="-3"/>
                                <w:sz w:val="16"/>
                              </w:rPr>
                              <w:t> </w:t>
                            </w:r>
                            <w:r>
                              <w:rPr>
                                <w:sz w:val="16"/>
                              </w:rPr>
                              <w:t>management</w:t>
                            </w:r>
                            <w:r>
                              <w:rPr>
                                <w:spacing w:val="-3"/>
                                <w:sz w:val="16"/>
                              </w:rPr>
                              <w:t> </w:t>
                            </w:r>
                            <w:r>
                              <w:rPr>
                                <w:spacing w:val="-2"/>
                                <w:sz w:val="16"/>
                              </w:rPr>
                              <w:t>services</w:t>
                            </w:r>
                          </w:p>
                        </w:tc>
                        <w:tc>
                          <w:tcPr>
                            <w:tcW w:w="1222" w:type="dxa"/>
                            <w:gridSpan w:val="2"/>
                          </w:tcPr>
                          <w:p>
                            <w:pPr>
                              <w:pStyle w:val="TableParagraph"/>
                              <w:spacing w:before="19"/>
                              <w:ind w:right="90"/>
                              <w:jc w:val="right"/>
                              <w:rPr>
                                <w:sz w:val="16"/>
                              </w:rPr>
                            </w:pPr>
                            <w:r>
                              <w:rPr>
                                <w:spacing w:val="-4"/>
                                <w:sz w:val="16"/>
                              </w:rPr>
                              <w:t>(16)</w:t>
                            </w:r>
                          </w:p>
                        </w:tc>
                        <w:tc>
                          <w:tcPr>
                            <w:tcW w:w="1261" w:type="dxa"/>
                            <w:gridSpan w:val="2"/>
                          </w:tcPr>
                          <w:p>
                            <w:pPr>
                              <w:pStyle w:val="TableParagraph"/>
                              <w:spacing w:before="19"/>
                              <w:ind w:right="91"/>
                              <w:jc w:val="right"/>
                              <w:rPr>
                                <w:sz w:val="16"/>
                              </w:rPr>
                            </w:pPr>
                            <w:r>
                              <w:rPr>
                                <w:spacing w:val="-4"/>
                                <w:sz w:val="16"/>
                              </w:rPr>
                              <w:t>(18)</w:t>
                            </w:r>
                          </w:p>
                        </w:tc>
                        <w:tc>
                          <w:tcPr>
                            <w:tcW w:w="1074" w:type="dxa"/>
                            <w:gridSpan w:val="2"/>
                          </w:tcPr>
                          <w:p>
                            <w:pPr>
                              <w:pStyle w:val="TableParagraph"/>
                              <w:spacing w:before="16"/>
                              <w:ind w:right="68"/>
                              <w:jc w:val="right"/>
                              <w:rPr>
                                <w:sz w:val="16"/>
                              </w:rPr>
                            </w:pPr>
                            <w:r>
                              <w:rPr>
                                <w:spacing w:val="-10"/>
                                <w:sz w:val="16"/>
                              </w:rPr>
                              <w:t>2</w:t>
                            </w:r>
                          </w:p>
                        </w:tc>
                      </w:tr>
                      <w:tr>
                        <w:trPr>
                          <w:trHeight w:val="219" w:hRule="atLeast"/>
                        </w:trPr>
                        <w:tc>
                          <w:tcPr>
                            <w:tcW w:w="5955" w:type="dxa"/>
                          </w:tcPr>
                          <w:p>
                            <w:pPr>
                              <w:pStyle w:val="TableParagraph"/>
                              <w:spacing w:line="180" w:lineRule="exact" w:before="19"/>
                              <w:ind w:left="267"/>
                              <w:rPr>
                                <w:sz w:val="16"/>
                              </w:rPr>
                            </w:pPr>
                            <w:r>
                              <w:rPr>
                                <w:sz w:val="16"/>
                              </w:rPr>
                              <w:t>Other</w:t>
                            </w:r>
                            <w:r>
                              <w:rPr>
                                <w:spacing w:val="-4"/>
                                <w:sz w:val="16"/>
                              </w:rPr>
                              <w:t> </w:t>
                            </w:r>
                            <w:r>
                              <w:rPr>
                                <w:spacing w:val="-2"/>
                                <w:sz w:val="16"/>
                              </w:rPr>
                              <w:t>revenue</w:t>
                            </w:r>
                          </w:p>
                        </w:tc>
                        <w:tc>
                          <w:tcPr>
                            <w:tcW w:w="1222" w:type="dxa"/>
                            <w:gridSpan w:val="2"/>
                            <w:tcBorders>
                              <w:bottom w:val="single" w:sz="8" w:space="0" w:color="6C6C6C"/>
                            </w:tcBorders>
                          </w:tcPr>
                          <w:p>
                            <w:pPr>
                              <w:pStyle w:val="TableParagraph"/>
                              <w:spacing w:line="180" w:lineRule="exact" w:before="19"/>
                              <w:ind w:left="756"/>
                              <w:rPr>
                                <w:sz w:val="16"/>
                              </w:rPr>
                            </w:pPr>
                            <w:r>
                              <w:rPr>
                                <w:spacing w:val="-2"/>
                                <w:sz w:val="16"/>
                              </w:rPr>
                              <w:t>(175)</w:t>
                            </w:r>
                          </w:p>
                        </w:tc>
                        <w:tc>
                          <w:tcPr>
                            <w:tcW w:w="1261" w:type="dxa"/>
                            <w:gridSpan w:val="2"/>
                            <w:tcBorders>
                              <w:bottom w:val="single" w:sz="8" w:space="0" w:color="6C6C6C"/>
                            </w:tcBorders>
                          </w:tcPr>
                          <w:p>
                            <w:pPr>
                              <w:pStyle w:val="TableParagraph"/>
                              <w:spacing w:line="180" w:lineRule="exact" w:before="19"/>
                              <w:ind w:left="794"/>
                              <w:rPr>
                                <w:sz w:val="16"/>
                              </w:rPr>
                            </w:pPr>
                            <w:r>
                              <w:rPr>
                                <w:spacing w:val="-2"/>
                                <w:sz w:val="16"/>
                              </w:rPr>
                              <w:t>(174)</w:t>
                            </w:r>
                          </w:p>
                        </w:tc>
                        <w:tc>
                          <w:tcPr>
                            <w:tcW w:w="1074" w:type="dxa"/>
                            <w:gridSpan w:val="2"/>
                            <w:tcBorders>
                              <w:bottom w:val="single" w:sz="8" w:space="0" w:color="6C6C6C"/>
                            </w:tcBorders>
                          </w:tcPr>
                          <w:p>
                            <w:pPr>
                              <w:pStyle w:val="TableParagraph"/>
                              <w:spacing w:line="184" w:lineRule="exact" w:before="16"/>
                              <w:ind w:right="14"/>
                              <w:jc w:val="right"/>
                              <w:rPr>
                                <w:sz w:val="16"/>
                              </w:rPr>
                            </w:pPr>
                            <w:r>
                              <w:rPr>
                                <w:spacing w:val="-5"/>
                                <w:sz w:val="16"/>
                              </w:rPr>
                              <w:t>(1)</w:t>
                            </w:r>
                          </w:p>
                        </w:tc>
                      </w:tr>
                      <w:tr>
                        <w:trPr>
                          <w:trHeight w:val="205" w:hRule="atLeast"/>
                        </w:trPr>
                        <w:tc>
                          <w:tcPr>
                            <w:tcW w:w="5955" w:type="dxa"/>
                          </w:tcPr>
                          <w:p>
                            <w:pPr>
                              <w:pStyle w:val="TableParagraph"/>
                              <w:spacing w:line="180" w:lineRule="exact" w:before="5"/>
                              <w:ind w:left="435"/>
                              <w:rPr>
                                <w:rFonts w:ascii="Arial"/>
                                <w:b/>
                                <w:sz w:val="16"/>
                              </w:rPr>
                            </w:pPr>
                            <w:r>
                              <w:rPr>
                                <w:rFonts w:ascii="Arial"/>
                                <w:b/>
                                <w:sz w:val="16"/>
                              </w:rPr>
                              <w:t>Total</w:t>
                            </w:r>
                            <w:r>
                              <w:rPr>
                                <w:rFonts w:ascii="Arial"/>
                                <w:b/>
                                <w:spacing w:val="-5"/>
                                <w:sz w:val="16"/>
                              </w:rPr>
                              <w:t> </w:t>
                            </w:r>
                            <w:r>
                              <w:rPr>
                                <w:rFonts w:ascii="Arial"/>
                                <w:b/>
                                <w:sz w:val="16"/>
                              </w:rPr>
                              <w:t>Revenue</w:t>
                            </w:r>
                            <w:r>
                              <w:rPr>
                                <w:rFonts w:ascii="Arial"/>
                                <w:b/>
                                <w:spacing w:val="-5"/>
                                <w:sz w:val="16"/>
                              </w:rPr>
                              <w:t> </w:t>
                            </w:r>
                            <w:r>
                              <w:rPr>
                                <w:rFonts w:ascii="Arial"/>
                                <w:b/>
                                <w:sz w:val="16"/>
                              </w:rPr>
                              <w:t>from</w:t>
                            </w:r>
                            <w:r>
                              <w:rPr>
                                <w:rFonts w:ascii="Arial"/>
                                <w:b/>
                                <w:spacing w:val="-4"/>
                                <w:sz w:val="16"/>
                              </w:rPr>
                              <w:t> </w:t>
                            </w:r>
                            <w:r>
                              <w:rPr>
                                <w:rFonts w:ascii="Arial"/>
                                <w:b/>
                                <w:sz w:val="16"/>
                              </w:rPr>
                              <w:t>externally</w:t>
                            </w:r>
                            <w:r>
                              <w:rPr>
                                <w:rFonts w:ascii="Arial"/>
                                <w:b/>
                                <w:spacing w:val="-5"/>
                                <w:sz w:val="16"/>
                              </w:rPr>
                              <w:t> </w:t>
                            </w:r>
                            <w:r>
                              <w:rPr>
                                <w:rFonts w:ascii="Arial"/>
                                <w:b/>
                                <w:sz w:val="16"/>
                              </w:rPr>
                              <w:t>funded</w:t>
                            </w:r>
                            <w:r>
                              <w:rPr>
                                <w:rFonts w:ascii="Arial"/>
                                <w:b/>
                                <w:spacing w:val="-5"/>
                                <w:sz w:val="16"/>
                              </w:rPr>
                              <w:t> </w:t>
                            </w:r>
                            <w:r>
                              <w:rPr>
                                <w:rFonts w:ascii="Arial"/>
                                <w:b/>
                                <w:spacing w:val="-2"/>
                                <w:sz w:val="16"/>
                              </w:rPr>
                              <w:t>activities</w:t>
                            </w:r>
                          </w:p>
                        </w:tc>
                        <w:tc>
                          <w:tcPr>
                            <w:tcW w:w="1222" w:type="dxa"/>
                            <w:gridSpan w:val="2"/>
                            <w:tcBorders>
                              <w:top w:val="single" w:sz="8" w:space="0" w:color="6C6C6C"/>
                              <w:bottom w:val="single" w:sz="8" w:space="0" w:color="6C6C6C"/>
                            </w:tcBorders>
                          </w:tcPr>
                          <w:p>
                            <w:pPr>
                              <w:pStyle w:val="TableParagraph"/>
                              <w:tabs>
                                <w:tab w:pos="756" w:val="left" w:leader="none"/>
                              </w:tabs>
                              <w:spacing w:line="180" w:lineRule="exact" w:before="5"/>
                              <w:ind w:left="52"/>
                              <w:rPr>
                                <w:rFonts w:ascii="Arial"/>
                                <w:b/>
                                <w:sz w:val="16"/>
                              </w:rPr>
                            </w:pPr>
                            <w:r>
                              <w:rPr>
                                <w:rFonts w:ascii="Arial"/>
                                <w:b/>
                                <w:spacing w:val="-10"/>
                                <w:sz w:val="16"/>
                              </w:rPr>
                              <w:t>$</w:t>
                            </w:r>
                            <w:r>
                              <w:rPr>
                                <w:rFonts w:ascii="Arial"/>
                                <w:b/>
                                <w:sz w:val="16"/>
                              </w:rPr>
                              <w:tab/>
                            </w:r>
                            <w:r>
                              <w:rPr>
                                <w:rFonts w:ascii="Arial"/>
                                <w:b/>
                                <w:spacing w:val="-2"/>
                                <w:sz w:val="16"/>
                              </w:rPr>
                              <w:t>(878)</w:t>
                            </w:r>
                          </w:p>
                        </w:tc>
                        <w:tc>
                          <w:tcPr>
                            <w:tcW w:w="1261" w:type="dxa"/>
                            <w:gridSpan w:val="2"/>
                            <w:tcBorders>
                              <w:top w:val="single" w:sz="8" w:space="0" w:color="6C6C6C"/>
                              <w:bottom w:val="single" w:sz="8" w:space="0" w:color="6C6C6C"/>
                            </w:tcBorders>
                          </w:tcPr>
                          <w:p>
                            <w:pPr>
                              <w:pStyle w:val="TableParagraph"/>
                              <w:tabs>
                                <w:tab w:pos="794" w:val="left" w:leader="none"/>
                              </w:tabs>
                              <w:spacing w:line="180" w:lineRule="exact" w:before="5"/>
                              <w:ind w:left="90"/>
                              <w:rPr>
                                <w:rFonts w:ascii="Arial"/>
                                <w:b/>
                                <w:sz w:val="16"/>
                              </w:rPr>
                            </w:pPr>
                            <w:r>
                              <w:rPr>
                                <w:rFonts w:ascii="Arial"/>
                                <w:b/>
                                <w:spacing w:val="-10"/>
                                <w:sz w:val="16"/>
                              </w:rPr>
                              <w:t>$</w:t>
                            </w:r>
                            <w:r>
                              <w:rPr>
                                <w:rFonts w:ascii="Arial"/>
                                <w:b/>
                                <w:sz w:val="16"/>
                              </w:rPr>
                              <w:tab/>
                            </w:r>
                            <w:r>
                              <w:rPr>
                                <w:rFonts w:ascii="Arial"/>
                                <w:b/>
                                <w:spacing w:val="-2"/>
                                <w:sz w:val="16"/>
                              </w:rPr>
                              <w:t>(787)</w:t>
                            </w:r>
                          </w:p>
                        </w:tc>
                        <w:tc>
                          <w:tcPr>
                            <w:tcW w:w="1074" w:type="dxa"/>
                            <w:gridSpan w:val="2"/>
                            <w:tcBorders>
                              <w:top w:val="single" w:sz="8" w:space="0" w:color="6C6C6C"/>
                              <w:bottom w:val="single" w:sz="8" w:space="0" w:color="6C6C6C"/>
                            </w:tcBorders>
                          </w:tcPr>
                          <w:p>
                            <w:pPr>
                              <w:pStyle w:val="TableParagraph"/>
                              <w:tabs>
                                <w:tab w:pos="772" w:val="left" w:leader="none"/>
                              </w:tabs>
                              <w:spacing w:line="180" w:lineRule="exact" w:before="5"/>
                              <w:ind w:left="89"/>
                              <w:rPr>
                                <w:rFonts w:ascii="Arial"/>
                                <w:b/>
                                <w:sz w:val="16"/>
                              </w:rPr>
                            </w:pPr>
                            <w:r>
                              <w:rPr>
                                <w:rFonts w:ascii="Arial"/>
                                <w:b/>
                                <w:spacing w:val="-10"/>
                                <w:sz w:val="16"/>
                              </w:rPr>
                              <w:t>$</w:t>
                            </w:r>
                            <w:r>
                              <w:rPr>
                                <w:rFonts w:ascii="Arial"/>
                                <w:b/>
                                <w:sz w:val="16"/>
                              </w:rPr>
                              <w:tab/>
                            </w:r>
                            <w:r>
                              <w:rPr>
                                <w:rFonts w:ascii="Arial"/>
                                <w:b/>
                                <w:spacing w:val="-4"/>
                                <w:sz w:val="16"/>
                              </w:rPr>
                              <w:t>(91)</w:t>
                            </w:r>
                          </w:p>
                        </w:tc>
                      </w:tr>
                      <w:tr>
                        <w:trPr>
                          <w:trHeight w:val="216" w:hRule="atLeast"/>
                        </w:trPr>
                        <w:tc>
                          <w:tcPr>
                            <w:tcW w:w="5955" w:type="dxa"/>
                          </w:tcPr>
                          <w:p>
                            <w:pPr>
                              <w:pStyle w:val="TableParagraph"/>
                              <w:spacing w:line="184" w:lineRule="exact" w:before="12"/>
                              <w:ind w:left="142"/>
                              <w:rPr>
                                <w:sz w:val="16"/>
                              </w:rPr>
                            </w:pPr>
                            <w:r>
                              <w:rPr>
                                <w:sz w:val="16"/>
                              </w:rPr>
                              <w:t>Net</w:t>
                            </w:r>
                            <w:r>
                              <w:rPr>
                                <w:spacing w:val="-10"/>
                                <w:sz w:val="16"/>
                              </w:rPr>
                              <w:t> </w:t>
                            </w:r>
                            <w:r>
                              <w:rPr>
                                <w:sz w:val="16"/>
                              </w:rPr>
                              <w:t>non-interest</w:t>
                            </w:r>
                            <w:r>
                              <w:rPr>
                                <w:spacing w:val="-9"/>
                                <w:sz w:val="16"/>
                              </w:rPr>
                              <w:t> </w:t>
                            </w:r>
                            <w:r>
                              <w:rPr>
                                <w:sz w:val="16"/>
                              </w:rPr>
                              <w:t>expenses</w:t>
                            </w:r>
                            <w:r>
                              <w:rPr>
                                <w:spacing w:val="-9"/>
                                <w:sz w:val="16"/>
                              </w:rPr>
                              <w:t> </w:t>
                            </w:r>
                            <w:r>
                              <w:rPr>
                                <w:sz w:val="16"/>
                              </w:rPr>
                              <w:t>(Table</w:t>
                            </w:r>
                            <w:r>
                              <w:rPr>
                                <w:spacing w:val="-9"/>
                                <w:sz w:val="16"/>
                              </w:rPr>
                              <w:t> </w:t>
                            </w:r>
                            <w:r>
                              <w:rPr>
                                <w:spacing w:val="-5"/>
                                <w:sz w:val="16"/>
                              </w:rPr>
                              <w:t>1)</w:t>
                            </w:r>
                          </w:p>
                        </w:tc>
                        <w:tc>
                          <w:tcPr>
                            <w:tcW w:w="1222" w:type="dxa"/>
                            <w:gridSpan w:val="2"/>
                            <w:tcBorders>
                              <w:top w:val="single" w:sz="8" w:space="0" w:color="6C6C6C"/>
                            </w:tcBorders>
                          </w:tcPr>
                          <w:p>
                            <w:pPr>
                              <w:pStyle w:val="TableParagraph"/>
                              <w:spacing w:line="184" w:lineRule="exact" w:before="12"/>
                              <w:ind w:left="729"/>
                              <w:rPr>
                                <w:sz w:val="16"/>
                              </w:rPr>
                            </w:pPr>
                            <w:r>
                              <w:rPr>
                                <w:spacing w:val="-2"/>
                                <w:sz w:val="16"/>
                              </w:rPr>
                              <w:t>1,459</w:t>
                            </w:r>
                          </w:p>
                        </w:tc>
                        <w:tc>
                          <w:tcPr>
                            <w:tcW w:w="1261" w:type="dxa"/>
                            <w:gridSpan w:val="2"/>
                            <w:tcBorders>
                              <w:top w:val="single" w:sz="8" w:space="0" w:color="6C6C6C"/>
                            </w:tcBorders>
                          </w:tcPr>
                          <w:p>
                            <w:pPr>
                              <w:pStyle w:val="TableParagraph"/>
                              <w:spacing w:line="184" w:lineRule="exact" w:before="12"/>
                              <w:ind w:left="767"/>
                              <w:rPr>
                                <w:sz w:val="16"/>
                              </w:rPr>
                            </w:pPr>
                            <w:r>
                              <w:rPr>
                                <w:spacing w:val="-2"/>
                                <w:sz w:val="16"/>
                              </w:rPr>
                              <w:t>1,455</w:t>
                            </w:r>
                          </w:p>
                        </w:tc>
                        <w:tc>
                          <w:tcPr>
                            <w:tcW w:w="1074" w:type="dxa"/>
                            <w:gridSpan w:val="2"/>
                            <w:tcBorders>
                              <w:top w:val="single" w:sz="8" w:space="0" w:color="6C6C6C"/>
                            </w:tcBorders>
                          </w:tcPr>
                          <w:p>
                            <w:pPr>
                              <w:pStyle w:val="TableParagraph"/>
                              <w:spacing w:line="184" w:lineRule="exact" w:before="12"/>
                              <w:ind w:right="68"/>
                              <w:jc w:val="right"/>
                              <w:rPr>
                                <w:sz w:val="16"/>
                              </w:rPr>
                            </w:pPr>
                            <w:r>
                              <w:rPr>
                                <w:spacing w:val="-10"/>
                                <w:sz w:val="16"/>
                              </w:rPr>
                              <w:t>4</w:t>
                            </w:r>
                          </w:p>
                        </w:tc>
                      </w:tr>
                      <w:tr>
                        <w:trPr>
                          <w:trHeight w:val="243" w:hRule="atLeast"/>
                        </w:trPr>
                        <w:tc>
                          <w:tcPr>
                            <w:tcW w:w="5955" w:type="dxa"/>
                          </w:tcPr>
                          <w:p>
                            <w:pPr>
                              <w:pStyle w:val="TableParagraph"/>
                              <w:spacing w:before="36"/>
                              <w:ind w:left="142"/>
                              <w:rPr>
                                <w:sz w:val="16"/>
                              </w:rPr>
                            </w:pPr>
                            <w:r>
                              <w:rPr>
                                <w:sz w:val="16"/>
                              </w:rPr>
                              <w:t>Net</w:t>
                            </w:r>
                            <w:r>
                              <w:rPr>
                                <w:spacing w:val="-4"/>
                                <w:sz w:val="16"/>
                              </w:rPr>
                              <w:t> </w:t>
                            </w:r>
                            <w:r>
                              <w:rPr>
                                <w:sz w:val="16"/>
                              </w:rPr>
                              <w:t>pension</w:t>
                            </w:r>
                            <w:r>
                              <w:rPr>
                                <w:spacing w:val="-5"/>
                                <w:sz w:val="16"/>
                              </w:rPr>
                              <w:t> </w:t>
                            </w:r>
                            <w:r>
                              <w:rPr>
                                <w:sz w:val="16"/>
                              </w:rPr>
                              <w:t>cost,</w:t>
                            </w:r>
                            <w:r>
                              <w:rPr>
                                <w:spacing w:val="-4"/>
                                <w:sz w:val="16"/>
                              </w:rPr>
                              <w:t> </w:t>
                            </w:r>
                            <w:r>
                              <w:rPr>
                                <w:sz w:val="16"/>
                              </w:rPr>
                              <w:t>other</w:t>
                            </w:r>
                            <w:r>
                              <w:rPr>
                                <w:spacing w:val="-4"/>
                                <w:sz w:val="16"/>
                              </w:rPr>
                              <w:t> </w:t>
                            </w:r>
                            <w:r>
                              <w:rPr>
                                <w:sz w:val="16"/>
                              </w:rPr>
                              <w:t>than</w:t>
                            </w:r>
                            <w:r>
                              <w:rPr>
                                <w:spacing w:val="-4"/>
                                <w:sz w:val="16"/>
                              </w:rPr>
                              <w:t> </w:t>
                            </w:r>
                            <w:r>
                              <w:rPr>
                                <w:sz w:val="16"/>
                              </w:rPr>
                              <w:t>service</w:t>
                            </w:r>
                            <w:r>
                              <w:rPr>
                                <w:spacing w:val="-5"/>
                                <w:sz w:val="16"/>
                              </w:rPr>
                              <w:t> </w:t>
                            </w:r>
                            <w:r>
                              <w:rPr>
                                <w:sz w:val="16"/>
                              </w:rPr>
                              <w:t>cost</w:t>
                            </w:r>
                            <w:r>
                              <w:rPr>
                                <w:spacing w:val="-6"/>
                                <w:sz w:val="16"/>
                              </w:rPr>
                              <w:t> </w:t>
                            </w:r>
                            <w:r>
                              <w:rPr>
                                <w:sz w:val="16"/>
                                <w:vertAlign w:val="superscript"/>
                              </w:rPr>
                              <w:t>b</w:t>
                            </w:r>
                            <w:r>
                              <w:rPr>
                                <w:spacing w:val="-4"/>
                                <w:sz w:val="16"/>
                                <w:vertAlign w:val="baseline"/>
                              </w:rPr>
                              <w:t> </w:t>
                            </w:r>
                            <w:r>
                              <w:rPr>
                                <w:sz w:val="16"/>
                                <w:vertAlign w:val="baseline"/>
                              </w:rPr>
                              <w:t>(Table</w:t>
                            </w:r>
                            <w:r>
                              <w:rPr>
                                <w:spacing w:val="-5"/>
                                <w:sz w:val="16"/>
                                <w:vertAlign w:val="baseline"/>
                              </w:rPr>
                              <w:t> 1)</w:t>
                            </w:r>
                          </w:p>
                        </w:tc>
                        <w:tc>
                          <w:tcPr>
                            <w:tcW w:w="1222" w:type="dxa"/>
                            <w:gridSpan w:val="2"/>
                            <w:tcBorders>
                              <w:bottom w:val="single" w:sz="8" w:space="0" w:color="6C6C6C"/>
                            </w:tcBorders>
                          </w:tcPr>
                          <w:p>
                            <w:pPr>
                              <w:pStyle w:val="TableParagraph"/>
                              <w:spacing w:before="36"/>
                              <w:ind w:left="756"/>
                              <w:rPr>
                                <w:sz w:val="16"/>
                              </w:rPr>
                            </w:pPr>
                            <w:r>
                              <w:rPr>
                                <w:spacing w:val="-2"/>
                                <w:sz w:val="16"/>
                              </w:rPr>
                              <w:t>(205)</w:t>
                            </w:r>
                          </w:p>
                        </w:tc>
                        <w:tc>
                          <w:tcPr>
                            <w:tcW w:w="1261" w:type="dxa"/>
                            <w:gridSpan w:val="2"/>
                            <w:tcBorders>
                              <w:bottom w:val="single" w:sz="8" w:space="0" w:color="6C6C6C"/>
                            </w:tcBorders>
                          </w:tcPr>
                          <w:p>
                            <w:pPr>
                              <w:pStyle w:val="TableParagraph"/>
                              <w:spacing w:before="36"/>
                              <w:ind w:left="794"/>
                              <w:rPr>
                                <w:sz w:val="16"/>
                              </w:rPr>
                            </w:pPr>
                            <w:r>
                              <w:rPr>
                                <w:spacing w:val="-2"/>
                                <w:sz w:val="16"/>
                              </w:rPr>
                              <w:t>(280)</w:t>
                            </w:r>
                          </w:p>
                        </w:tc>
                        <w:tc>
                          <w:tcPr>
                            <w:tcW w:w="1074" w:type="dxa"/>
                            <w:gridSpan w:val="2"/>
                            <w:tcBorders>
                              <w:bottom w:val="single" w:sz="8" w:space="0" w:color="6C6C6C"/>
                            </w:tcBorders>
                          </w:tcPr>
                          <w:p>
                            <w:pPr>
                              <w:pStyle w:val="TableParagraph"/>
                              <w:spacing w:before="36"/>
                              <w:ind w:right="68"/>
                              <w:jc w:val="right"/>
                              <w:rPr>
                                <w:sz w:val="16"/>
                              </w:rPr>
                            </w:pPr>
                            <w:r>
                              <w:rPr>
                                <w:spacing w:val="-5"/>
                                <w:sz w:val="16"/>
                              </w:rPr>
                              <w:t>75</w:t>
                            </w:r>
                          </w:p>
                        </w:tc>
                      </w:tr>
                      <w:tr>
                        <w:trPr>
                          <w:trHeight w:val="185" w:hRule="atLeast"/>
                        </w:trPr>
                        <w:tc>
                          <w:tcPr>
                            <w:tcW w:w="5955" w:type="dxa"/>
                          </w:tcPr>
                          <w:p>
                            <w:pPr>
                              <w:pStyle w:val="TableParagraph"/>
                              <w:spacing w:line="160" w:lineRule="exact" w:before="5"/>
                              <w:ind w:left="108"/>
                              <w:rPr>
                                <w:rFonts w:ascii="Arial"/>
                                <w:b/>
                                <w:sz w:val="16"/>
                              </w:rPr>
                            </w:pPr>
                            <w:r>
                              <w:rPr>
                                <w:rFonts w:ascii="Arial"/>
                                <w:b/>
                                <w:sz w:val="16"/>
                              </w:rPr>
                              <w:t>Net</w:t>
                            </w:r>
                            <w:r>
                              <w:rPr>
                                <w:rFonts w:ascii="Arial"/>
                                <w:b/>
                                <w:spacing w:val="-4"/>
                                <w:sz w:val="16"/>
                              </w:rPr>
                              <w:t> </w:t>
                            </w:r>
                            <w:r>
                              <w:rPr>
                                <w:rFonts w:ascii="Arial"/>
                                <w:b/>
                                <w:sz w:val="16"/>
                              </w:rPr>
                              <w:t>Non-Interest</w:t>
                            </w:r>
                            <w:r>
                              <w:rPr>
                                <w:rFonts w:ascii="Arial"/>
                                <w:b/>
                                <w:spacing w:val="-4"/>
                                <w:sz w:val="16"/>
                              </w:rPr>
                              <w:t> </w:t>
                            </w:r>
                            <w:r>
                              <w:rPr>
                                <w:rFonts w:ascii="Arial"/>
                                <w:b/>
                                <w:sz w:val="16"/>
                              </w:rPr>
                              <w:t>Expenses</w:t>
                            </w:r>
                            <w:r>
                              <w:rPr>
                                <w:rFonts w:ascii="Arial"/>
                                <w:b/>
                                <w:spacing w:val="-4"/>
                                <w:sz w:val="16"/>
                              </w:rPr>
                              <w:t> </w:t>
                            </w:r>
                            <w:r>
                              <w:rPr>
                                <w:rFonts w:ascii="Arial"/>
                                <w:b/>
                                <w:sz w:val="16"/>
                              </w:rPr>
                              <w:t>-</w:t>
                            </w:r>
                            <w:r>
                              <w:rPr>
                                <w:rFonts w:ascii="Arial"/>
                                <w:b/>
                                <w:spacing w:val="-4"/>
                                <w:sz w:val="16"/>
                              </w:rPr>
                              <w:t> </w:t>
                            </w:r>
                            <w:r>
                              <w:rPr>
                                <w:rFonts w:ascii="Arial"/>
                                <w:b/>
                                <w:sz w:val="16"/>
                              </w:rPr>
                              <w:t>GAAP</w:t>
                            </w:r>
                            <w:r>
                              <w:rPr>
                                <w:rFonts w:ascii="Arial"/>
                                <w:b/>
                                <w:spacing w:val="-3"/>
                                <w:sz w:val="16"/>
                              </w:rPr>
                              <w:t> </w:t>
                            </w:r>
                            <w:r>
                              <w:rPr>
                                <w:rFonts w:ascii="Arial"/>
                                <w:b/>
                                <w:spacing w:val="-2"/>
                                <w:sz w:val="16"/>
                              </w:rPr>
                              <w:t>Basis</w:t>
                            </w:r>
                          </w:p>
                        </w:tc>
                        <w:tc>
                          <w:tcPr>
                            <w:tcW w:w="1222" w:type="dxa"/>
                            <w:gridSpan w:val="2"/>
                            <w:tcBorders>
                              <w:top w:val="single" w:sz="8" w:space="0" w:color="6C6C6C"/>
                              <w:bottom w:val="double" w:sz="8" w:space="0" w:color="6C6C6C"/>
                            </w:tcBorders>
                          </w:tcPr>
                          <w:p>
                            <w:pPr>
                              <w:pStyle w:val="TableParagraph"/>
                              <w:tabs>
                                <w:tab w:pos="729" w:val="left" w:leader="none"/>
                              </w:tabs>
                              <w:spacing w:line="160" w:lineRule="exact" w:before="5"/>
                              <w:ind w:left="52"/>
                              <w:rPr>
                                <w:rFonts w:ascii="Arial"/>
                                <w:b/>
                                <w:sz w:val="16"/>
                              </w:rPr>
                            </w:pPr>
                            <w:r>
                              <w:rPr>
                                <w:rFonts w:ascii="Arial"/>
                                <w:b/>
                                <w:spacing w:val="-10"/>
                                <w:sz w:val="16"/>
                              </w:rPr>
                              <w:t>$</w:t>
                            </w:r>
                            <w:r>
                              <w:rPr>
                                <w:rFonts w:ascii="Arial"/>
                                <w:b/>
                                <w:sz w:val="16"/>
                              </w:rPr>
                              <w:tab/>
                            </w:r>
                            <w:r>
                              <w:rPr>
                                <w:rFonts w:ascii="Arial"/>
                                <w:b/>
                                <w:spacing w:val="-2"/>
                                <w:sz w:val="16"/>
                              </w:rPr>
                              <w:t>1,254</w:t>
                            </w:r>
                          </w:p>
                        </w:tc>
                        <w:tc>
                          <w:tcPr>
                            <w:tcW w:w="1261" w:type="dxa"/>
                            <w:gridSpan w:val="2"/>
                            <w:tcBorders>
                              <w:top w:val="single" w:sz="8" w:space="0" w:color="6C6C6C"/>
                              <w:bottom w:val="double" w:sz="8" w:space="0" w:color="6C6C6C"/>
                            </w:tcBorders>
                          </w:tcPr>
                          <w:p>
                            <w:pPr>
                              <w:pStyle w:val="TableParagraph"/>
                              <w:tabs>
                                <w:tab w:pos="767" w:val="left" w:leader="none"/>
                              </w:tabs>
                              <w:spacing w:line="160" w:lineRule="exact" w:before="5"/>
                              <w:ind w:left="90"/>
                              <w:rPr>
                                <w:rFonts w:ascii="Arial"/>
                                <w:b/>
                                <w:sz w:val="16"/>
                              </w:rPr>
                            </w:pPr>
                            <w:r>
                              <w:rPr>
                                <w:rFonts w:ascii="Arial"/>
                                <w:b/>
                                <w:spacing w:val="-10"/>
                                <w:sz w:val="16"/>
                              </w:rPr>
                              <w:t>$</w:t>
                            </w:r>
                            <w:r>
                              <w:rPr>
                                <w:rFonts w:ascii="Arial"/>
                                <w:b/>
                                <w:sz w:val="16"/>
                              </w:rPr>
                              <w:tab/>
                            </w:r>
                            <w:r>
                              <w:rPr>
                                <w:rFonts w:ascii="Arial"/>
                                <w:b/>
                                <w:spacing w:val="-2"/>
                                <w:sz w:val="16"/>
                              </w:rPr>
                              <w:t>1,175</w:t>
                            </w:r>
                          </w:p>
                        </w:tc>
                        <w:tc>
                          <w:tcPr>
                            <w:tcW w:w="1074" w:type="dxa"/>
                            <w:gridSpan w:val="2"/>
                            <w:tcBorders>
                              <w:top w:val="single" w:sz="8" w:space="0" w:color="6C6C6C"/>
                              <w:bottom w:val="double" w:sz="8" w:space="0" w:color="6C6C6C"/>
                            </w:tcBorders>
                          </w:tcPr>
                          <w:p>
                            <w:pPr>
                              <w:pStyle w:val="TableParagraph"/>
                              <w:tabs>
                                <w:tab w:pos="825" w:val="left" w:leader="none"/>
                              </w:tabs>
                              <w:spacing w:line="160" w:lineRule="exact" w:before="5"/>
                              <w:ind w:left="89"/>
                              <w:rPr>
                                <w:rFonts w:ascii="Arial"/>
                                <w:b/>
                                <w:sz w:val="16"/>
                              </w:rPr>
                            </w:pPr>
                            <w:r>
                              <w:rPr>
                                <w:rFonts w:ascii="Arial"/>
                                <w:b/>
                                <w:spacing w:val="-10"/>
                                <w:sz w:val="16"/>
                              </w:rPr>
                              <w:t>$</w:t>
                            </w:r>
                            <w:r>
                              <w:rPr>
                                <w:rFonts w:ascii="Arial"/>
                                <w:b/>
                                <w:sz w:val="16"/>
                              </w:rPr>
                              <w:tab/>
                            </w:r>
                            <w:r>
                              <w:rPr>
                                <w:rFonts w:ascii="Arial"/>
                                <w:b/>
                                <w:spacing w:val="-5"/>
                                <w:sz w:val="16"/>
                              </w:rPr>
                              <w:t>79</w:t>
                            </w:r>
                          </w:p>
                        </w:tc>
                      </w:tr>
                      <w:tr>
                        <w:trPr>
                          <w:trHeight w:val="214" w:hRule="atLeast"/>
                        </w:trPr>
                        <w:tc>
                          <w:tcPr>
                            <w:tcW w:w="5955" w:type="dxa"/>
                          </w:tcPr>
                          <w:p>
                            <w:pPr>
                              <w:pStyle w:val="TableParagraph"/>
                              <w:spacing w:line="164" w:lineRule="exact" w:before="30"/>
                              <w:ind w:left="108"/>
                              <w:rPr>
                                <w:rFonts w:ascii="Arial"/>
                                <w:b/>
                                <w:sz w:val="16"/>
                              </w:rPr>
                            </w:pPr>
                            <w:r>
                              <w:rPr>
                                <w:rFonts w:ascii="Arial"/>
                                <w:b/>
                                <w:sz w:val="16"/>
                              </w:rPr>
                              <w:t>Adjustments</w:t>
                            </w:r>
                            <w:r>
                              <w:rPr>
                                <w:rFonts w:ascii="Arial"/>
                                <w:b/>
                                <w:spacing w:val="-5"/>
                                <w:sz w:val="16"/>
                              </w:rPr>
                              <w:t> </w:t>
                            </w:r>
                            <w:r>
                              <w:rPr>
                                <w:rFonts w:ascii="Arial"/>
                                <w:b/>
                                <w:sz w:val="16"/>
                              </w:rPr>
                              <w:t>to</w:t>
                            </w:r>
                            <w:r>
                              <w:rPr>
                                <w:rFonts w:ascii="Arial"/>
                                <w:b/>
                                <w:spacing w:val="-5"/>
                                <w:sz w:val="16"/>
                              </w:rPr>
                              <w:t> </w:t>
                            </w:r>
                            <w:r>
                              <w:rPr>
                                <w:rFonts w:ascii="Arial"/>
                                <w:b/>
                                <w:sz w:val="16"/>
                              </w:rPr>
                              <w:t>arrive</w:t>
                            </w:r>
                            <w:r>
                              <w:rPr>
                                <w:rFonts w:ascii="Arial"/>
                                <w:b/>
                                <w:spacing w:val="-5"/>
                                <w:sz w:val="16"/>
                              </w:rPr>
                              <w:t> </w:t>
                            </w:r>
                            <w:r>
                              <w:rPr>
                                <w:rFonts w:ascii="Arial"/>
                                <w:b/>
                                <w:sz w:val="16"/>
                              </w:rPr>
                              <w:t>at</w:t>
                            </w:r>
                            <w:r>
                              <w:rPr>
                                <w:rFonts w:ascii="Arial"/>
                                <w:b/>
                                <w:spacing w:val="-4"/>
                                <w:sz w:val="16"/>
                              </w:rPr>
                              <w:t> </w:t>
                            </w:r>
                            <w:r>
                              <w:rPr>
                                <w:rFonts w:ascii="Arial"/>
                                <w:b/>
                                <w:sz w:val="16"/>
                              </w:rPr>
                              <w:t>net</w:t>
                            </w:r>
                            <w:r>
                              <w:rPr>
                                <w:rFonts w:ascii="Arial"/>
                                <w:b/>
                                <w:spacing w:val="-3"/>
                                <w:sz w:val="16"/>
                              </w:rPr>
                              <w:t> </w:t>
                            </w:r>
                            <w:r>
                              <w:rPr>
                                <w:rFonts w:ascii="Arial"/>
                                <w:b/>
                                <w:sz w:val="16"/>
                              </w:rPr>
                              <w:t>non-interest</w:t>
                            </w:r>
                            <w:r>
                              <w:rPr>
                                <w:rFonts w:ascii="Arial"/>
                                <w:b/>
                                <w:spacing w:val="-4"/>
                                <w:sz w:val="16"/>
                              </w:rPr>
                              <w:t> </w:t>
                            </w:r>
                            <w:r>
                              <w:rPr>
                                <w:rFonts w:ascii="Arial"/>
                                <w:b/>
                                <w:sz w:val="16"/>
                              </w:rPr>
                              <w:t>expenses</w:t>
                            </w:r>
                            <w:r>
                              <w:rPr>
                                <w:rFonts w:ascii="Arial"/>
                                <w:b/>
                                <w:spacing w:val="-5"/>
                                <w:sz w:val="16"/>
                              </w:rPr>
                              <w:t> </w:t>
                            </w:r>
                            <w:r>
                              <w:rPr>
                                <w:rFonts w:ascii="Arial"/>
                                <w:b/>
                                <w:sz w:val="16"/>
                              </w:rPr>
                              <w:t>-</w:t>
                            </w:r>
                            <w:r>
                              <w:rPr>
                                <w:rFonts w:ascii="Arial"/>
                                <w:b/>
                                <w:spacing w:val="-4"/>
                                <w:sz w:val="16"/>
                              </w:rPr>
                              <w:t> </w:t>
                            </w:r>
                            <w:r>
                              <w:rPr>
                                <w:rFonts w:ascii="Arial"/>
                                <w:b/>
                                <w:sz w:val="16"/>
                              </w:rPr>
                              <w:t>allocable</w:t>
                            </w:r>
                            <w:r>
                              <w:rPr>
                                <w:rFonts w:ascii="Arial"/>
                                <w:b/>
                                <w:spacing w:val="-5"/>
                                <w:sz w:val="16"/>
                              </w:rPr>
                              <w:t> </w:t>
                            </w:r>
                            <w:r>
                              <w:rPr>
                                <w:rFonts w:ascii="Arial"/>
                                <w:b/>
                                <w:sz w:val="16"/>
                              </w:rPr>
                              <w:t>income</w:t>
                            </w:r>
                            <w:r>
                              <w:rPr>
                                <w:rFonts w:ascii="Arial"/>
                                <w:b/>
                                <w:spacing w:val="-4"/>
                                <w:sz w:val="16"/>
                              </w:rPr>
                              <w:t> </w:t>
                            </w:r>
                            <w:r>
                              <w:rPr>
                                <w:rFonts w:ascii="Arial"/>
                                <w:b/>
                                <w:spacing w:val="-2"/>
                                <w:sz w:val="16"/>
                              </w:rPr>
                              <w:t>basis</w:t>
                            </w:r>
                          </w:p>
                        </w:tc>
                        <w:tc>
                          <w:tcPr>
                            <w:tcW w:w="1222" w:type="dxa"/>
                            <w:gridSpan w:val="2"/>
                            <w:tcBorders>
                              <w:top w:val="double" w:sz="8" w:space="0" w:color="6C6C6C"/>
                            </w:tcBorders>
                          </w:tcPr>
                          <w:p>
                            <w:pPr>
                              <w:pStyle w:val="TableParagraph"/>
                              <w:rPr>
                                <w:rFonts w:ascii="Times New Roman"/>
                                <w:sz w:val="14"/>
                              </w:rPr>
                            </w:pPr>
                          </w:p>
                        </w:tc>
                        <w:tc>
                          <w:tcPr>
                            <w:tcW w:w="1261" w:type="dxa"/>
                            <w:gridSpan w:val="2"/>
                            <w:tcBorders>
                              <w:top w:val="double" w:sz="8" w:space="0" w:color="6C6C6C"/>
                            </w:tcBorders>
                          </w:tcPr>
                          <w:p>
                            <w:pPr>
                              <w:pStyle w:val="TableParagraph"/>
                              <w:rPr>
                                <w:rFonts w:ascii="Times New Roman"/>
                                <w:sz w:val="14"/>
                              </w:rPr>
                            </w:pPr>
                          </w:p>
                        </w:tc>
                        <w:tc>
                          <w:tcPr>
                            <w:tcW w:w="1074" w:type="dxa"/>
                            <w:gridSpan w:val="2"/>
                            <w:tcBorders>
                              <w:top w:val="double" w:sz="8" w:space="0" w:color="6C6C6C"/>
                            </w:tcBorders>
                          </w:tcPr>
                          <w:p>
                            <w:pPr>
                              <w:pStyle w:val="TableParagraph"/>
                              <w:rPr>
                                <w:rFonts w:ascii="Times New Roman"/>
                                <w:sz w:val="14"/>
                              </w:rPr>
                            </w:pPr>
                          </w:p>
                        </w:tc>
                      </w:tr>
                      <w:tr>
                        <w:trPr>
                          <w:trHeight w:val="465" w:hRule="atLeast"/>
                        </w:trPr>
                        <w:tc>
                          <w:tcPr>
                            <w:tcW w:w="5955" w:type="dxa"/>
                          </w:tcPr>
                          <w:p>
                            <w:pPr>
                              <w:pStyle w:val="TableParagraph"/>
                              <w:spacing w:before="96"/>
                              <w:ind w:left="108"/>
                              <w:rPr>
                                <w:sz w:val="16"/>
                              </w:rPr>
                            </w:pPr>
                            <w:r>
                              <w:rPr>
                                <w:sz w:val="16"/>
                              </w:rPr>
                              <w:t>Pension,</w:t>
                            </w:r>
                            <w:r>
                              <w:rPr>
                                <w:spacing w:val="-7"/>
                                <w:sz w:val="16"/>
                              </w:rPr>
                              <w:t> </w:t>
                            </w:r>
                            <w:r>
                              <w:rPr>
                                <w:sz w:val="16"/>
                              </w:rPr>
                              <w:t>Externally</w:t>
                            </w:r>
                            <w:r>
                              <w:rPr>
                                <w:spacing w:val="-3"/>
                                <w:sz w:val="16"/>
                              </w:rPr>
                              <w:t> </w:t>
                            </w:r>
                            <w:r>
                              <w:rPr>
                                <w:sz w:val="16"/>
                              </w:rPr>
                              <w:t>Financed</w:t>
                            </w:r>
                            <w:r>
                              <w:rPr>
                                <w:spacing w:val="-5"/>
                                <w:sz w:val="16"/>
                              </w:rPr>
                              <w:t> </w:t>
                            </w:r>
                            <w:r>
                              <w:rPr>
                                <w:sz w:val="16"/>
                              </w:rPr>
                              <w:t>Outputs</w:t>
                            </w:r>
                            <w:r>
                              <w:rPr>
                                <w:spacing w:val="-4"/>
                                <w:sz w:val="16"/>
                              </w:rPr>
                              <w:t> </w:t>
                            </w:r>
                            <w:r>
                              <w:rPr>
                                <w:sz w:val="16"/>
                              </w:rPr>
                              <w:t>(EFO)</w:t>
                            </w:r>
                            <w:r>
                              <w:rPr>
                                <w:spacing w:val="-3"/>
                                <w:sz w:val="16"/>
                              </w:rPr>
                              <w:t> </w:t>
                            </w:r>
                            <w:r>
                              <w:rPr>
                                <w:sz w:val="16"/>
                              </w:rPr>
                              <w:t>and</w:t>
                            </w:r>
                            <w:r>
                              <w:rPr>
                                <w:spacing w:val="-5"/>
                                <w:sz w:val="16"/>
                              </w:rPr>
                              <w:t> </w:t>
                            </w:r>
                            <w:r>
                              <w:rPr>
                                <w:sz w:val="16"/>
                              </w:rPr>
                              <w:t>Reserve</w:t>
                            </w:r>
                            <w:r>
                              <w:rPr>
                                <w:spacing w:val="-11"/>
                                <w:sz w:val="16"/>
                              </w:rPr>
                              <w:t> </w:t>
                            </w:r>
                            <w:r>
                              <w:rPr>
                                <w:sz w:val="16"/>
                              </w:rPr>
                              <w:t>Advisory</w:t>
                            </w:r>
                            <w:r>
                              <w:rPr>
                                <w:spacing w:val="-3"/>
                                <w:sz w:val="16"/>
                              </w:rPr>
                              <w:t> </w:t>
                            </w:r>
                            <w:r>
                              <w:rPr>
                                <w:spacing w:val="-5"/>
                                <w:sz w:val="16"/>
                              </w:rPr>
                              <w:t>and</w:t>
                            </w:r>
                          </w:p>
                        </w:tc>
                        <w:tc>
                          <w:tcPr>
                            <w:tcW w:w="436" w:type="dxa"/>
                            <w:tcBorders>
                              <w:bottom w:val="single" w:sz="8" w:space="0" w:color="6C6C6C"/>
                            </w:tcBorders>
                          </w:tcPr>
                          <w:p>
                            <w:pPr>
                              <w:pStyle w:val="TableParagraph"/>
                              <w:rPr>
                                <w:rFonts w:ascii="Times New Roman"/>
                                <w:sz w:val="16"/>
                              </w:rPr>
                            </w:pPr>
                          </w:p>
                        </w:tc>
                        <w:tc>
                          <w:tcPr>
                            <w:tcW w:w="786" w:type="dxa"/>
                            <w:tcBorders>
                              <w:bottom w:val="single" w:sz="8" w:space="0" w:color="6C6C6C"/>
                            </w:tcBorders>
                          </w:tcPr>
                          <w:p>
                            <w:pPr>
                              <w:pStyle w:val="TableParagraph"/>
                              <w:spacing w:before="176"/>
                              <w:ind w:right="90"/>
                              <w:jc w:val="right"/>
                              <w:rPr>
                                <w:sz w:val="16"/>
                              </w:rPr>
                            </w:pPr>
                            <w:r>
                              <w:rPr>
                                <w:spacing w:val="-5"/>
                                <w:sz w:val="16"/>
                              </w:rPr>
                              <w:t>107</w:t>
                            </w:r>
                          </w:p>
                        </w:tc>
                        <w:tc>
                          <w:tcPr>
                            <w:tcW w:w="475" w:type="dxa"/>
                            <w:tcBorders>
                              <w:bottom w:val="single" w:sz="8" w:space="0" w:color="6C6C6C"/>
                            </w:tcBorders>
                          </w:tcPr>
                          <w:p>
                            <w:pPr>
                              <w:pStyle w:val="TableParagraph"/>
                              <w:rPr>
                                <w:rFonts w:ascii="Times New Roman"/>
                                <w:sz w:val="16"/>
                              </w:rPr>
                            </w:pPr>
                          </w:p>
                        </w:tc>
                        <w:tc>
                          <w:tcPr>
                            <w:tcW w:w="786" w:type="dxa"/>
                            <w:tcBorders>
                              <w:bottom w:val="single" w:sz="8" w:space="0" w:color="6C6C6C"/>
                            </w:tcBorders>
                          </w:tcPr>
                          <w:p>
                            <w:pPr>
                              <w:pStyle w:val="TableParagraph"/>
                              <w:spacing w:before="176"/>
                              <w:ind w:right="91"/>
                              <w:jc w:val="right"/>
                              <w:rPr>
                                <w:sz w:val="16"/>
                              </w:rPr>
                            </w:pPr>
                            <w:r>
                              <w:rPr>
                                <w:spacing w:val="-5"/>
                                <w:sz w:val="16"/>
                              </w:rPr>
                              <w:t>70</w:t>
                            </w:r>
                          </w:p>
                        </w:tc>
                        <w:tc>
                          <w:tcPr>
                            <w:tcW w:w="459" w:type="dxa"/>
                            <w:tcBorders>
                              <w:bottom w:val="single" w:sz="8" w:space="0" w:color="6C6C6C"/>
                            </w:tcBorders>
                          </w:tcPr>
                          <w:p>
                            <w:pPr>
                              <w:pStyle w:val="TableParagraph"/>
                              <w:rPr>
                                <w:rFonts w:ascii="Times New Roman"/>
                                <w:sz w:val="16"/>
                              </w:rPr>
                            </w:pPr>
                          </w:p>
                        </w:tc>
                        <w:tc>
                          <w:tcPr>
                            <w:tcW w:w="615" w:type="dxa"/>
                            <w:tcBorders>
                              <w:bottom w:val="single" w:sz="8" w:space="0" w:color="6C6C6C"/>
                            </w:tcBorders>
                          </w:tcPr>
                          <w:p>
                            <w:pPr>
                              <w:pStyle w:val="TableParagraph"/>
                              <w:spacing w:before="176"/>
                              <w:ind w:right="68"/>
                              <w:jc w:val="right"/>
                              <w:rPr>
                                <w:sz w:val="16"/>
                              </w:rPr>
                            </w:pPr>
                            <w:r>
                              <w:rPr>
                                <w:spacing w:val="-5"/>
                                <w:sz w:val="16"/>
                              </w:rPr>
                              <w:t>37</w:t>
                            </w:r>
                          </w:p>
                        </w:tc>
                      </w:tr>
                      <w:tr>
                        <w:trPr>
                          <w:trHeight w:val="200" w:hRule="atLeast"/>
                        </w:trPr>
                        <w:tc>
                          <w:tcPr>
                            <w:tcW w:w="5955" w:type="dxa"/>
                          </w:tcPr>
                          <w:p>
                            <w:pPr>
                              <w:pStyle w:val="TableParagraph"/>
                              <w:spacing w:line="167" w:lineRule="exact" w:before="12"/>
                              <w:ind w:left="108"/>
                              <w:rPr>
                                <w:rFonts w:ascii="Arial"/>
                                <w:b/>
                                <w:sz w:val="16"/>
                              </w:rPr>
                            </w:pPr>
                            <w:r>
                              <w:rPr>
                                <w:rFonts w:ascii="Arial"/>
                                <w:b/>
                                <w:sz w:val="16"/>
                              </w:rPr>
                              <w:t>Net</w:t>
                            </w:r>
                            <w:r>
                              <w:rPr>
                                <w:rFonts w:ascii="Arial"/>
                                <w:b/>
                                <w:spacing w:val="-5"/>
                                <w:sz w:val="16"/>
                              </w:rPr>
                              <w:t> </w:t>
                            </w:r>
                            <w:r>
                              <w:rPr>
                                <w:rFonts w:ascii="Arial"/>
                                <w:b/>
                                <w:sz w:val="16"/>
                              </w:rPr>
                              <w:t>non-interest</w:t>
                            </w:r>
                            <w:r>
                              <w:rPr>
                                <w:rFonts w:ascii="Arial"/>
                                <w:b/>
                                <w:spacing w:val="-4"/>
                                <w:sz w:val="16"/>
                              </w:rPr>
                              <w:t> </w:t>
                            </w:r>
                            <w:r>
                              <w:rPr>
                                <w:rFonts w:ascii="Arial"/>
                                <w:b/>
                                <w:sz w:val="16"/>
                              </w:rPr>
                              <w:t>expenses</w:t>
                            </w:r>
                            <w:r>
                              <w:rPr>
                                <w:rFonts w:ascii="Arial"/>
                                <w:b/>
                                <w:spacing w:val="-6"/>
                                <w:sz w:val="16"/>
                              </w:rPr>
                              <w:t> </w:t>
                            </w:r>
                            <w:r>
                              <w:rPr>
                                <w:rFonts w:ascii="Arial"/>
                                <w:b/>
                                <w:sz w:val="16"/>
                              </w:rPr>
                              <w:t>-</w:t>
                            </w:r>
                            <w:r>
                              <w:rPr>
                                <w:rFonts w:ascii="Arial"/>
                                <w:b/>
                                <w:spacing w:val="-4"/>
                                <w:sz w:val="16"/>
                              </w:rPr>
                              <w:t> </w:t>
                            </w:r>
                            <w:r>
                              <w:rPr>
                                <w:rFonts w:ascii="Arial"/>
                                <w:b/>
                                <w:sz w:val="16"/>
                              </w:rPr>
                              <w:t>Allocable</w:t>
                            </w:r>
                            <w:r>
                              <w:rPr>
                                <w:rFonts w:ascii="Arial"/>
                                <w:b/>
                                <w:spacing w:val="-5"/>
                                <w:sz w:val="16"/>
                              </w:rPr>
                              <w:t> </w:t>
                            </w:r>
                            <w:r>
                              <w:rPr>
                                <w:rFonts w:ascii="Arial"/>
                                <w:b/>
                                <w:sz w:val="16"/>
                              </w:rPr>
                              <w:t>income</w:t>
                            </w:r>
                            <w:r>
                              <w:rPr>
                                <w:rFonts w:ascii="Arial"/>
                                <w:b/>
                                <w:spacing w:val="-5"/>
                                <w:sz w:val="16"/>
                              </w:rPr>
                              <w:t> </w:t>
                            </w:r>
                            <w:r>
                              <w:rPr>
                                <w:rFonts w:ascii="Arial"/>
                                <w:b/>
                                <w:spacing w:val="-2"/>
                                <w:sz w:val="16"/>
                              </w:rPr>
                              <w:t>basis</w:t>
                            </w:r>
                          </w:p>
                        </w:tc>
                        <w:tc>
                          <w:tcPr>
                            <w:tcW w:w="436" w:type="dxa"/>
                            <w:tcBorders>
                              <w:top w:val="single" w:sz="8" w:space="0" w:color="6C6C6C"/>
                              <w:bottom w:val="double" w:sz="8" w:space="0" w:color="6C6C6C"/>
                            </w:tcBorders>
                          </w:tcPr>
                          <w:p>
                            <w:pPr>
                              <w:pStyle w:val="TableParagraph"/>
                              <w:spacing w:line="167" w:lineRule="exact" w:before="12"/>
                              <w:ind w:left="52"/>
                              <w:rPr>
                                <w:rFonts w:ascii="Arial"/>
                                <w:b/>
                                <w:sz w:val="16"/>
                              </w:rPr>
                            </w:pPr>
                            <w:r>
                              <w:rPr>
                                <w:rFonts w:ascii="Arial"/>
                                <w:b/>
                                <w:spacing w:val="-10"/>
                                <w:sz w:val="16"/>
                              </w:rPr>
                              <w:t>$</w:t>
                            </w:r>
                          </w:p>
                        </w:tc>
                        <w:tc>
                          <w:tcPr>
                            <w:tcW w:w="786" w:type="dxa"/>
                            <w:tcBorders>
                              <w:top w:val="single" w:sz="8" w:space="0" w:color="6C6C6C"/>
                              <w:bottom w:val="double" w:sz="8" w:space="0" w:color="6C6C6C"/>
                            </w:tcBorders>
                          </w:tcPr>
                          <w:p>
                            <w:pPr>
                              <w:pStyle w:val="TableParagraph"/>
                              <w:spacing w:line="167" w:lineRule="exact" w:before="12"/>
                              <w:ind w:right="90"/>
                              <w:jc w:val="right"/>
                              <w:rPr>
                                <w:rFonts w:ascii="Arial"/>
                                <w:b/>
                                <w:sz w:val="16"/>
                              </w:rPr>
                            </w:pPr>
                            <w:r>
                              <w:rPr>
                                <w:rFonts w:ascii="Arial"/>
                                <w:b/>
                                <w:spacing w:val="-2"/>
                                <w:sz w:val="16"/>
                              </w:rPr>
                              <w:t>1,361</w:t>
                            </w:r>
                          </w:p>
                        </w:tc>
                        <w:tc>
                          <w:tcPr>
                            <w:tcW w:w="475" w:type="dxa"/>
                            <w:tcBorders>
                              <w:top w:val="single" w:sz="8" w:space="0" w:color="6C6C6C"/>
                              <w:bottom w:val="double" w:sz="8" w:space="0" w:color="6C6C6C"/>
                            </w:tcBorders>
                          </w:tcPr>
                          <w:p>
                            <w:pPr>
                              <w:pStyle w:val="TableParagraph"/>
                              <w:spacing w:line="167" w:lineRule="exact" w:before="12"/>
                              <w:ind w:left="90"/>
                              <w:rPr>
                                <w:rFonts w:ascii="Arial"/>
                                <w:b/>
                                <w:sz w:val="16"/>
                              </w:rPr>
                            </w:pPr>
                            <w:r>
                              <w:rPr>
                                <w:rFonts w:ascii="Arial"/>
                                <w:b/>
                                <w:spacing w:val="-10"/>
                                <w:sz w:val="16"/>
                              </w:rPr>
                              <w:t>$</w:t>
                            </w:r>
                          </w:p>
                        </w:tc>
                        <w:tc>
                          <w:tcPr>
                            <w:tcW w:w="786" w:type="dxa"/>
                            <w:tcBorders>
                              <w:top w:val="single" w:sz="8" w:space="0" w:color="6C6C6C"/>
                              <w:bottom w:val="double" w:sz="8" w:space="0" w:color="6C6C6C"/>
                            </w:tcBorders>
                          </w:tcPr>
                          <w:p>
                            <w:pPr>
                              <w:pStyle w:val="TableParagraph"/>
                              <w:spacing w:line="167" w:lineRule="exact" w:before="12"/>
                              <w:ind w:right="91"/>
                              <w:jc w:val="right"/>
                              <w:rPr>
                                <w:rFonts w:ascii="Arial"/>
                                <w:b/>
                                <w:sz w:val="16"/>
                              </w:rPr>
                            </w:pPr>
                            <w:r>
                              <w:rPr>
                                <w:rFonts w:ascii="Arial"/>
                                <w:b/>
                                <w:spacing w:val="-2"/>
                                <w:sz w:val="16"/>
                              </w:rPr>
                              <w:t>1,245</w:t>
                            </w:r>
                          </w:p>
                        </w:tc>
                        <w:tc>
                          <w:tcPr>
                            <w:tcW w:w="459" w:type="dxa"/>
                            <w:tcBorders>
                              <w:top w:val="single" w:sz="8" w:space="0" w:color="6C6C6C"/>
                              <w:bottom w:val="double" w:sz="8" w:space="0" w:color="6C6C6C"/>
                            </w:tcBorders>
                          </w:tcPr>
                          <w:p>
                            <w:pPr>
                              <w:pStyle w:val="TableParagraph"/>
                              <w:spacing w:line="167" w:lineRule="exact" w:before="12"/>
                              <w:ind w:left="89"/>
                              <w:rPr>
                                <w:rFonts w:ascii="Arial"/>
                                <w:b/>
                                <w:sz w:val="16"/>
                              </w:rPr>
                            </w:pPr>
                            <w:r>
                              <w:rPr>
                                <w:rFonts w:ascii="Arial"/>
                                <w:b/>
                                <w:spacing w:val="-10"/>
                                <w:sz w:val="16"/>
                              </w:rPr>
                              <w:t>$</w:t>
                            </w:r>
                          </w:p>
                        </w:tc>
                        <w:tc>
                          <w:tcPr>
                            <w:tcW w:w="615" w:type="dxa"/>
                            <w:tcBorders>
                              <w:top w:val="single" w:sz="8" w:space="0" w:color="6C6C6C"/>
                              <w:bottom w:val="double" w:sz="8" w:space="0" w:color="6C6C6C"/>
                            </w:tcBorders>
                          </w:tcPr>
                          <w:p>
                            <w:pPr>
                              <w:pStyle w:val="TableParagraph"/>
                              <w:spacing w:line="167" w:lineRule="exact" w:before="12"/>
                              <w:ind w:right="70"/>
                              <w:jc w:val="right"/>
                              <w:rPr>
                                <w:rFonts w:ascii="Arial"/>
                                <w:b/>
                                <w:sz w:val="16"/>
                              </w:rPr>
                            </w:pPr>
                            <w:r>
                              <w:rPr>
                                <w:rFonts w:ascii="Arial"/>
                                <w:b/>
                                <w:spacing w:val="-5"/>
                                <w:sz w:val="16"/>
                              </w:rPr>
                              <w:t>116</w:t>
                            </w:r>
                          </w:p>
                        </w:tc>
                      </w:tr>
                      <w:tr>
                        <w:trPr>
                          <w:trHeight w:val="185" w:hRule="atLeast"/>
                        </w:trPr>
                        <w:tc>
                          <w:tcPr>
                            <w:tcW w:w="5955" w:type="dxa"/>
                            <w:tcBorders>
                              <w:bottom w:val="single" w:sz="8" w:space="0" w:color="000000"/>
                            </w:tcBorders>
                          </w:tcPr>
                          <w:p>
                            <w:pPr>
                              <w:pStyle w:val="TableParagraph"/>
                              <w:rPr>
                                <w:rFonts w:ascii="Times New Roman"/>
                                <w:sz w:val="12"/>
                              </w:rPr>
                            </w:pPr>
                          </w:p>
                        </w:tc>
                        <w:tc>
                          <w:tcPr>
                            <w:tcW w:w="436" w:type="dxa"/>
                            <w:tcBorders>
                              <w:top w:val="double" w:sz="8" w:space="0" w:color="6C6C6C"/>
                              <w:bottom w:val="single" w:sz="8" w:space="0" w:color="000000"/>
                            </w:tcBorders>
                          </w:tcPr>
                          <w:p>
                            <w:pPr>
                              <w:pStyle w:val="TableParagraph"/>
                              <w:rPr>
                                <w:rFonts w:ascii="Times New Roman"/>
                                <w:sz w:val="12"/>
                              </w:rPr>
                            </w:pPr>
                          </w:p>
                        </w:tc>
                        <w:tc>
                          <w:tcPr>
                            <w:tcW w:w="786" w:type="dxa"/>
                            <w:tcBorders>
                              <w:top w:val="double" w:sz="8" w:space="0" w:color="6C6C6C"/>
                              <w:bottom w:val="single" w:sz="8" w:space="0" w:color="000000"/>
                            </w:tcBorders>
                          </w:tcPr>
                          <w:p>
                            <w:pPr>
                              <w:pStyle w:val="TableParagraph"/>
                              <w:rPr>
                                <w:rFonts w:ascii="Times New Roman"/>
                                <w:sz w:val="12"/>
                              </w:rPr>
                            </w:pPr>
                          </w:p>
                        </w:tc>
                        <w:tc>
                          <w:tcPr>
                            <w:tcW w:w="475" w:type="dxa"/>
                            <w:tcBorders>
                              <w:top w:val="double" w:sz="8" w:space="0" w:color="6C6C6C"/>
                              <w:bottom w:val="single" w:sz="8" w:space="0" w:color="000000"/>
                            </w:tcBorders>
                          </w:tcPr>
                          <w:p>
                            <w:pPr>
                              <w:pStyle w:val="TableParagraph"/>
                              <w:rPr>
                                <w:rFonts w:ascii="Times New Roman"/>
                                <w:sz w:val="12"/>
                              </w:rPr>
                            </w:pPr>
                          </w:p>
                        </w:tc>
                        <w:tc>
                          <w:tcPr>
                            <w:tcW w:w="786" w:type="dxa"/>
                            <w:tcBorders>
                              <w:top w:val="double" w:sz="8" w:space="0" w:color="6C6C6C"/>
                              <w:bottom w:val="single" w:sz="8" w:space="0" w:color="000000"/>
                            </w:tcBorders>
                          </w:tcPr>
                          <w:p>
                            <w:pPr>
                              <w:pStyle w:val="TableParagraph"/>
                              <w:rPr>
                                <w:rFonts w:ascii="Times New Roman"/>
                                <w:sz w:val="12"/>
                              </w:rPr>
                            </w:pPr>
                          </w:p>
                        </w:tc>
                        <w:tc>
                          <w:tcPr>
                            <w:tcW w:w="459" w:type="dxa"/>
                            <w:tcBorders>
                              <w:top w:val="double" w:sz="8" w:space="0" w:color="6C6C6C"/>
                              <w:bottom w:val="single" w:sz="8" w:space="0" w:color="000000"/>
                            </w:tcBorders>
                          </w:tcPr>
                          <w:p>
                            <w:pPr>
                              <w:pStyle w:val="TableParagraph"/>
                              <w:rPr>
                                <w:rFonts w:ascii="Times New Roman"/>
                                <w:sz w:val="12"/>
                              </w:rPr>
                            </w:pPr>
                          </w:p>
                        </w:tc>
                        <w:tc>
                          <w:tcPr>
                            <w:tcW w:w="615" w:type="dxa"/>
                            <w:tcBorders>
                              <w:top w:val="double" w:sz="8" w:space="0" w:color="6C6C6C"/>
                              <w:bottom w:val="single" w:sz="8" w:space="0" w:color="000000"/>
                            </w:tcBorders>
                          </w:tcPr>
                          <w:p>
                            <w:pPr>
                              <w:pStyle w:val="TableParagraph"/>
                              <w:rPr>
                                <w:rFonts w:ascii="Times New Roman"/>
                                <w:sz w:val="12"/>
                              </w:rPr>
                            </w:pPr>
                          </w:p>
                        </w:tc>
                      </w:tr>
                    </w:tbl>
                    <w:p>
                      <w:pPr>
                        <w:pStyle w:val="BodyText"/>
                      </w:pPr>
                    </w:p>
                  </w:txbxContent>
                </v:textbox>
                <w10:wrap type="none"/>
              </v:shape>
            </w:pict>
          </mc:Fallback>
        </mc:AlternateContent>
      </w:r>
      <w:bookmarkStart w:name="_bookmark16" w:id="28"/>
      <w:bookmarkEnd w:id="28"/>
      <w:r>
        <w:rPr/>
      </w:r>
      <w:r>
        <w:rPr>
          <w:rFonts w:ascii="Arial MT"/>
          <w:sz w:val="16"/>
        </w:rPr>
        <w:t>Management</w:t>
      </w:r>
      <w:r>
        <w:rPr>
          <w:rFonts w:ascii="Arial MT"/>
          <w:spacing w:val="-5"/>
          <w:sz w:val="16"/>
        </w:rPr>
        <w:t> </w:t>
      </w:r>
      <w:r>
        <w:rPr>
          <w:rFonts w:ascii="Arial MT"/>
          <w:sz w:val="16"/>
        </w:rPr>
        <w:t>Partnership</w:t>
      </w:r>
      <w:r>
        <w:rPr>
          <w:rFonts w:ascii="Arial MT"/>
          <w:spacing w:val="-6"/>
          <w:sz w:val="16"/>
        </w:rPr>
        <w:t> </w:t>
      </w:r>
      <w:r>
        <w:rPr>
          <w:rFonts w:ascii="Arial MT"/>
          <w:sz w:val="16"/>
        </w:rPr>
        <w:t>(RAMP)</w:t>
      </w:r>
      <w:r>
        <w:rPr>
          <w:rFonts w:ascii="Arial MT"/>
          <w:spacing w:val="-5"/>
          <w:sz w:val="16"/>
        </w:rPr>
        <w:t> </w:t>
      </w:r>
      <w:r>
        <w:rPr>
          <w:rFonts w:ascii="Arial MT"/>
          <w:sz w:val="16"/>
        </w:rPr>
        <w:t>adjustments</w:t>
      </w:r>
      <w:r>
        <w:rPr>
          <w:rFonts w:ascii="Arial MT"/>
          <w:spacing w:val="-6"/>
          <w:sz w:val="16"/>
        </w:rPr>
        <w:t> </w:t>
      </w:r>
      <w:r>
        <w:rPr>
          <w:rFonts w:ascii="Arial MT"/>
          <w:spacing w:val="-10"/>
          <w:sz w:val="16"/>
          <w:vertAlign w:val="superscript"/>
        </w:rPr>
        <w:t>c</w:t>
      </w:r>
    </w:p>
    <w:p>
      <w:pPr>
        <w:pStyle w:val="BodyText"/>
        <w:rPr>
          <w:rFonts w:ascii="Arial MT"/>
          <w:sz w:val="16"/>
        </w:rPr>
      </w:pPr>
    </w:p>
    <w:p>
      <w:pPr>
        <w:pStyle w:val="BodyText"/>
        <w:rPr>
          <w:rFonts w:ascii="Arial MT"/>
          <w:sz w:val="16"/>
        </w:rPr>
      </w:pPr>
    </w:p>
    <w:p>
      <w:pPr>
        <w:pStyle w:val="BodyText"/>
        <w:spacing w:before="9"/>
        <w:rPr>
          <w:rFonts w:ascii="Arial MT"/>
          <w:sz w:val="16"/>
        </w:rPr>
      </w:pPr>
    </w:p>
    <w:p>
      <w:pPr>
        <w:pStyle w:val="ListParagraph"/>
        <w:numPr>
          <w:ilvl w:val="0"/>
          <w:numId w:val="5"/>
        </w:numPr>
        <w:tabs>
          <w:tab w:pos="950" w:val="left" w:leader="none"/>
          <w:tab w:pos="952" w:val="left" w:leader="none"/>
        </w:tabs>
        <w:spacing w:line="249" w:lineRule="auto" w:before="0" w:after="0"/>
        <w:ind w:left="952" w:right="969" w:hanging="180"/>
        <w:jc w:val="left"/>
        <w:rPr>
          <w:rFonts w:ascii="Arial"/>
          <w:i/>
          <w:sz w:val="16"/>
        </w:rPr>
      </w:pPr>
      <w:r>
        <w:rPr>
          <w:rFonts w:ascii="Arial"/>
          <w:i/>
          <w:sz w:val="16"/>
        </w:rPr>
        <w:t>Represents</w:t>
      </w:r>
      <w:r>
        <w:rPr>
          <w:rFonts w:ascii="Arial"/>
          <w:i/>
          <w:spacing w:val="-3"/>
          <w:sz w:val="16"/>
        </w:rPr>
        <w:t> </w:t>
      </w:r>
      <w:r>
        <w:rPr>
          <w:rFonts w:ascii="Arial"/>
          <w:i/>
          <w:sz w:val="16"/>
        </w:rPr>
        <w:t>the</w:t>
      </w:r>
      <w:r>
        <w:rPr>
          <w:rFonts w:ascii="Arial"/>
          <w:i/>
          <w:spacing w:val="-4"/>
          <w:sz w:val="16"/>
        </w:rPr>
        <w:t> </w:t>
      </w:r>
      <w:r>
        <w:rPr>
          <w:rFonts w:ascii="Arial"/>
          <w:i/>
          <w:sz w:val="16"/>
        </w:rPr>
        <w:t>service</w:t>
      </w:r>
      <w:r>
        <w:rPr>
          <w:rFonts w:ascii="Arial"/>
          <w:i/>
          <w:spacing w:val="-4"/>
          <w:sz w:val="16"/>
        </w:rPr>
        <w:t> </w:t>
      </w:r>
      <w:r>
        <w:rPr>
          <w:rFonts w:ascii="Arial"/>
          <w:i/>
          <w:sz w:val="16"/>
        </w:rPr>
        <w:t>cost</w:t>
      </w:r>
      <w:r>
        <w:rPr>
          <w:rFonts w:ascii="Arial"/>
          <w:i/>
          <w:spacing w:val="-3"/>
          <w:sz w:val="16"/>
        </w:rPr>
        <w:t> </w:t>
      </w:r>
      <w:r>
        <w:rPr>
          <w:rFonts w:ascii="Arial"/>
          <w:i/>
          <w:sz w:val="16"/>
        </w:rPr>
        <w:t>component</w:t>
      </w:r>
      <w:r>
        <w:rPr>
          <w:rFonts w:ascii="Arial"/>
          <w:i/>
          <w:spacing w:val="-3"/>
          <w:sz w:val="16"/>
        </w:rPr>
        <w:t> </w:t>
      </w:r>
      <w:r>
        <w:rPr>
          <w:rFonts w:ascii="Arial"/>
          <w:i/>
          <w:sz w:val="16"/>
        </w:rPr>
        <w:t>of</w:t>
      </w:r>
      <w:r>
        <w:rPr>
          <w:rFonts w:ascii="Arial"/>
          <w:i/>
          <w:spacing w:val="-3"/>
          <w:sz w:val="16"/>
        </w:rPr>
        <w:t> </w:t>
      </w:r>
      <w:r>
        <w:rPr>
          <w:rFonts w:ascii="Arial"/>
          <w:i/>
          <w:sz w:val="16"/>
        </w:rPr>
        <w:t>net</w:t>
      </w:r>
      <w:r>
        <w:rPr>
          <w:rFonts w:ascii="Arial"/>
          <w:i/>
          <w:spacing w:val="-3"/>
          <w:sz w:val="16"/>
        </w:rPr>
        <w:t> </w:t>
      </w:r>
      <w:r>
        <w:rPr>
          <w:rFonts w:ascii="Arial"/>
          <w:i/>
          <w:sz w:val="16"/>
        </w:rPr>
        <w:t>periodic</w:t>
      </w:r>
      <w:r>
        <w:rPr>
          <w:rFonts w:ascii="Arial"/>
          <w:i/>
          <w:spacing w:val="-3"/>
          <w:sz w:val="16"/>
        </w:rPr>
        <w:t> </w:t>
      </w:r>
      <w:r>
        <w:rPr>
          <w:rFonts w:ascii="Arial"/>
          <w:i/>
          <w:sz w:val="16"/>
        </w:rPr>
        <w:t>pension</w:t>
      </w:r>
      <w:r>
        <w:rPr>
          <w:rFonts w:ascii="Arial"/>
          <w:i/>
          <w:spacing w:val="-4"/>
          <w:sz w:val="16"/>
        </w:rPr>
        <w:t> </w:t>
      </w:r>
      <w:r>
        <w:rPr>
          <w:rFonts w:ascii="Arial"/>
          <w:i/>
          <w:sz w:val="16"/>
        </w:rPr>
        <w:t>cost.</w:t>
      </w:r>
      <w:r>
        <w:rPr>
          <w:rFonts w:ascii="Arial"/>
          <w:i/>
          <w:spacing w:val="-3"/>
          <w:sz w:val="16"/>
        </w:rPr>
        <w:t> </w:t>
      </w:r>
      <w:r>
        <w:rPr>
          <w:rFonts w:ascii="Arial"/>
          <w:i/>
          <w:sz w:val="16"/>
        </w:rPr>
        <w:t>See</w:t>
      </w:r>
      <w:r>
        <w:rPr>
          <w:rFonts w:ascii="Arial"/>
          <w:i/>
          <w:spacing w:val="-4"/>
          <w:sz w:val="16"/>
        </w:rPr>
        <w:t> </w:t>
      </w:r>
      <w:r>
        <w:rPr>
          <w:rFonts w:ascii="Arial"/>
          <w:i/>
          <w:sz w:val="16"/>
        </w:rPr>
        <w:t>Notes</w:t>
      </w:r>
      <w:r>
        <w:rPr>
          <w:rFonts w:ascii="Arial"/>
          <w:i/>
          <w:spacing w:val="-3"/>
          <w:sz w:val="16"/>
        </w:rPr>
        <w:t> </w:t>
      </w:r>
      <w:r>
        <w:rPr>
          <w:rFonts w:ascii="Arial"/>
          <w:i/>
          <w:sz w:val="16"/>
        </w:rPr>
        <w:t>to</w:t>
      </w:r>
      <w:r>
        <w:rPr>
          <w:rFonts w:ascii="Arial"/>
          <w:i/>
          <w:spacing w:val="-4"/>
          <w:sz w:val="16"/>
        </w:rPr>
        <w:t> </w:t>
      </w:r>
      <w:r>
        <w:rPr>
          <w:rFonts w:ascii="Arial"/>
          <w:i/>
          <w:sz w:val="16"/>
        </w:rPr>
        <w:t>Financial</w:t>
      </w:r>
      <w:r>
        <w:rPr>
          <w:rFonts w:ascii="Arial"/>
          <w:i/>
          <w:spacing w:val="-3"/>
          <w:sz w:val="16"/>
        </w:rPr>
        <w:t> </w:t>
      </w:r>
      <w:r>
        <w:rPr>
          <w:rFonts w:ascii="Arial"/>
          <w:i/>
          <w:sz w:val="16"/>
        </w:rPr>
        <w:t>Statements,</w:t>
      </w:r>
      <w:r>
        <w:rPr>
          <w:rFonts w:ascii="Arial"/>
          <w:i/>
          <w:spacing w:val="-3"/>
          <w:sz w:val="16"/>
        </w:rPr>
        <w:t> </w:t>
      </w:r>
      <w:r>
        <w:rPr>
          <w:rFonts w:ascii="Arial"/>
          <w:i/>
          <w:sz w:val="16"/>
        </w:rPr>
        <w:t>Note</w:t>
      </w:r>
      <w:r>
        <w:rPr>
          <w:rFonts w:ascii="Arial"/>
          <w:i/>
          <w:spacing w:val="-4"/>
          <w:sz w:val="16"/>
        </w:rPr>
        <w:t> </w:t>
      </w:r>
      <w:r>
        <w:rPr>
          <w:rFonts w:ascii="Arial"/>
          <w:i/>
          <w:sz w:val="16"/>
        </w:rPr>
        <w:t>J:</w:t>
      </w:r>
      <w:r>
        <w:rPr>
          <w:rFonts w:ascii="Arial"/>
          <w:i/>
          <w:spacing w:val="-3"/>
          <w:sz w:val="16"/>
        </w:rPr>
        <w:t> </w:t>
      </w:r>
      <w:r>
        <w:rPr>
          <w:rFonts w:ascii="Arial"/>
          <w:i/>
          <w:sz w:val="16"/>
        </w:rPr>
        <w:t>Pension</w:t>
      </w:r>
      <w:r>
        <w:rPr>
          <w:rFonts w:ascii="Arial"/>
          <w:i/>
          <w:spacing w:val="-4"/>
          <w:sz w:val="16"/>
        </w:rPr>
        <w:t> </w:t>
      </w:r>
      <w:r>
        <w:rPr>
          <w:rFonts w:ascii="Arial"/>
          <w:i/>
          <w:sz w:val="16"/>
        </w:rPr>
        <w:t>and Other Post-Retirement Benefits.</w:t>
      </w:r>
    </w:p>
    <w:p>
      <w:pPr>
        <w:pStyle w:val="ListParagraph"/>
        <w:numPr>
          <w:ilvl w:val="0"/>
          <w:numId w:val="5"/>
        </w:numPr>
        <w:tabs>
          <w:tab w:pos="948" w:val="left" w:leader="none"/>
        </w:tabs>
        <w:spacing w:line="240" w:lineRule="auto" w:before="49" w:after="0"/>
        <w:ind w:left="948" w:right="0" w:hanging="176"/>
        <w:jc w:val="left"/>
        <w:rPr>
          <w:rFonts w:ascii="Arial"/>
          <w:i/>
          <w:sz w:val="16"/>
        </w:rPr>
      </w:pPr>
      <w:r>
        <w:rPr>
          <w:rFonts w:ascii="Arial"/>
          <w:i/>
          <w:sz w:val="16"/>
        </w:rPr>
        <w:t>Amount</w:t>
      </w:r>
      <w:r>
        <w:rPr>
          <w:rFonts w:ascii="Arial"/>
          <w:i/>
          <w:spacing w:val="-5"/>
          <w:sz w:val="16"/>
        </w:rPr>
        <w:t> </w:t>
      </w:r>
      <w:r>
        <w:rPr>
          <w:rFonts w:ascii="Arial"/>
          <w:i/>
          <w:sz w:val="16"/>
        </w:rPr>
        <w:t>is</w:t>
      </w:r>
      <w:r>
        <w:rPr>
          <w:rFonts w:ascii="Arial"/>
          <w:i/>
          <w:spacing w:val="-3"/>
          <w:sz w:val="16"/>
        </w:rPr>
        <w:t> </w:t>
      </w:r>
      <w:r>
        <w:rPr>
          <w:rFonts w:ascii="Arial"/>
          <w:i/>
          <w:sz w:val="16"/>
        </w:rPr>
        <w:t>included</w:t>
      </w:r>
      <w:r>
        <w:rPr>
          <w:rFonts w:ascii="Arial"/>
          <w:i/>
          <w:spacing w:val="-4"/>
          <w:sz w:val="16"/>
        </w:rPr>
        <w:t> </w:t>
      </w:r>
      <w:r>
        <w:rPr>
          <w:rFonts w:ascii="Arial"/>
          <w:i/>
          <w:sz w:val="16"/>
        </w:rPr>
        <w:t>in</w:t>
      </w:r>
      <w:r>
        <w:rPr>
          <w:rFonts w:ascii="Arial"/>
          <w:i/>
          <w:spacing w:val="-4"/>
          <w:sz w:val="16"/>
        </w:rPr>
        <w:t> </w:t>
      </w:r>
      <w:r>
        <w:rPr>
          <w:rFonts w:ascii="Arial"/>
          <w:i/>
          <w:sz w:val="16"/>
        </w:rPr>
        <w:t>Other</w:t>
      </w:r>
      <w:r>
        <w:rPr>
          <w:rFonts w:ascii="Arial"/>
          <w:i/>
          <w:spacing w:val="-3"/>
          <w:sz w:val="16"/>
        </w:rPr>
        <w:t> </w:t>
      </w:r>
      <w:r>
        <w:rPr>
          <w:rFonts w:ascii="Arial"/>
          <w:i/>
          <w:sz w:val="16"/>
        </w:rPr>
        <w:t>Non-interest</w:t>
      </w:r>
      <w:r>
        <w:rPr>
          <w:rFonts w:ascii="Arial"/>
          <w:i/>
          <w:spacing w:val="-2"/>
          <w:sz w:val="16"/>
        </w:rPr>
        <w:t> </w:t>
      </w:r>
      <w:r>
        <w:rPr>
          <w:rFonts w:ascii="Arial"/>
          <w:i/>
          <w:sz w:val="16"/>
        </w:rPr>
        <w:t>expenses</w:t>
      </w:r>
      <w:r>
        <w:rPr>
          <w:rFonts w:ascii="Arial"/>
          <w:i/>
          <w:spacing w:val="-3"/>
          <w:sz w:val="16"/>
        </w:rPr>
        <w:t> </w:t>
      </w:r>
      <w:r>
        <w:rPr>
          <w:rFonts w:ascii="Arial"/>
          <w:i/>
          <w:sz w:val="16"/>
        </w:rPr>
        <w:t>in</w:t>
      </w:r>
      <w:r>
        <w:rPr>
          <w:rFonts w:ascii="Arial"/>
          <w:i/>
          <w:spacing w:val="-4"/>
          <w:sz w:val="16"/>
        </w:rPr>
        <w:t> </w:t>
      </w:r>
      <w:r>
        <w:rPr>
          <w:rFonts w:ascii="Arial"/>
          <w:i/>
          <w:sz w:val="16"/>
        </w:rPr>
        <w:t>the</w:t>
      </w:r>
      <w:r>
        <w:rPr>
          <w:rFonts w:ascii="Arial"/>
          <w:i/>
          <w:spacing w:val="-4"/>
          <w:sz w:val="16"/>
        </w:rPr>
        <w:t> </w:t>
      </w:r>
      <w:r>
        <w:rPr>
          <w:rFonts w:ascii="Arial"/>
          <w:i/>
          <w:sz w:val="16"/>
        </w:rPr>
        <w:t>Statements</w:t>
      </w:r>
      <w:r>
        <w:rPr>
          <w:rFonts w:ascii="Arial"/>
          <w:i/>
          <w:spacing w:val="-3"/>
          <w:sz w:val="16"/>
        </w:rPr>
        <w:t> </w:t>
      </w:r>
      <w:r>
        <w:rPr>
          <w:rFonts w:ascii="Arial"/>
          <w:i/>
          <w:sz w:val="16"/>
        </w:rPr>
        <w:t>of</w:t>
      </w:r>
      <w:r>
        <w:rPr>
          <w:rFonts w:ascii="Arial"/>
          <w:i/>
          <w:spacing w:val="-2"/>
          <w:sz w:val="16"/>
        </w:rPr>
        <w:t> </w:t>
      </w:r>
      <w:r>
        <w:rPr>
          <w:rFonts w:ascii="Arial"/>
          <w:i/>
          <w:sz w:val="16"/>
        </w:rPr>
        <w:t>Income</w:t>
      </w:r>
      <w:r>
        <w:rPr>
          <w:rFonts w:ascii="Arial"/>
          <w:i/>
          <w:spacing w:val="-4"/>
          <w:sz w:val="16"/>
        </w:rPr>
        <w:t> </w:t>
      </w:r>
      <w:r>
        <w:rPr>
          <w:rFonts w:ascii="Arial"/>
          <w:i/>
          <w:sz w:val="16"/>
        </w:rPr>
        <w:t>(see</w:t>
      </w:r>
      <w:r>
        <w:rPr>
          <w:rFonts w:ascii="Arial"/>
          <w:i/>
          <w:spacing w:val="-7"/>
          <w:sz w:val="16"/>
        </w:rPr>
        <w:t> </w:t>
      </w:r>
      <w:r>
        <w:rPr>
          <w:rFonts w:ascii="Arial"/>
          <w:i/>
          <w:sz w:val="16"/>
        </w:rPr>
        <w:t>Table</w:t>
      </w:r>
      <w:r>
        <w:rPr>
          <w:rFonts w:ascii="Arial"/>
          <w:i/>
          <w:spacing w:val="-3"/>
          <w:sz w:val="16"/>
        </w:rPr>
        <w:t> </w:t>
      </w:r>
      <w:r>
        <w:rPr>
          <w:rFonts w:ascii="Arial"/>
          <w:i/>
          <w:spacing w:val="-5"/>
          <w:sz w:val="16"/>
        </w:rPr>
        <w:t>1).</w:t>
      </w:r>
    </w:p>
    <w:p>
      <w:pPr>
        <w:pStyle w:val="ListParagraph"/>
        <w:numPr>
          <w:ilvl w:val="0"/>
          <w:numId w:val="5"/>
        </w:numPr>
        <w:tabs>
          <w:tab w:pos="940" w:val="left" w:leader="none"/>
        </w:tabs>
        <w:spacing w:line="240" w:lineRule="auto" w:before="11" w:after="0"/>
        <w:ind w:left="940" w:right="0" w:hanging="168"/>
        <w:jc w:val="left"/>
        <w:rPr>
          <w:rFonts w:ascii="Arial"/>
          <w:i/>
          <w:sz w:val="16"/>
        </w:rPr>
      </w:pPr>
      <w:r>
        <w:rPr>
          <w:rFonts w:ascii="Arial"/>
          <w:i/>
          <w:sz w:val="16"/>
        </w:rPr>
        <w:t>Adjustments</w:t>
      </w:r>
      <w:r>
        <w:rPr>
          <w:rFonts w:ascii="Arial"/>
          <w:i/>
          <w:spacing w:val="-4"/>
          <w:sz w:val="16"/>
        </w:rPr>
        <w:t> </w:t>
      </w:r>
      <w:r>
        <w:rPr>
          <w:rFonts w:ascii="Arial"/>
          <w:i/>
          <w:sz w:val="16"/>
        </w:rPr>
        <w:t>are</w:t>
      </w:r>
      <w:r>
        <w:rPr>
          <w:rFonts w:ascii="Arial"/>
          <w:i/>
          <w:spacing w:val="-4"/>
          <w:sz w:val="16"/>
        </w:rPr>
        <w:t> </w:t>
      </w:r>
      <w:r>
        <w:rPr>
          <w:rFonts w:ascii="Arial"/>
          <w:i/>
          <w:sz w:val="16"/>
        </w:rPr>
        <w:t>included</w:t>
      </w:r>
      <w:r>
        <w:rPr>
          <w:rFonts w:ascii="Arial"/>
          <w:i/>
          <w:spacing w:val="-4"/>
          <w:sz w:val="16"/>
        </w:rPr>
        <w:t> </w:t>
      </w:r>
      <w:r>
        <w:rPr>
          <w:rFonts w:ascii="Arial"/>
          <w:i/>
          <w:sz w:val="16"/>
        </w:rPr>
        <w:t>in</w:t>
      </w:r>
      <w:r>
        <w:rPr>
          <w:rFonts w:ascii="Arial"/>
          <w:i/>
          <w:spacing w:val="-4"/>
          <w:sz w:val="16"/>
        </w:rPr>
        <w:t> </w:t>
      </w:r>
      <w:r>
        <w:rPr>
          <w:rFonts w:ascii="Arial"/>
          <w:i/>
          <w:sz w:val="16"/>
        </w:rPr>
        <w:t>the</w:t>
      </w:r>
      <w:r>
        <w:rPr>
          <w:rFonts w:ascii="Arial"/>
          <w:i/>
          <w:spacing w:val="-4"/>
          <w:sz w:val="16"/>
        </w:rPr>
        <w:t> </w:t>
      </w:r>
      <w:r>
        <w:rPr>
          <w:rFonts w:ascii="Arial"/>
          <w:i/>
          <w:sz w:val="16"/>
        </w:rPr>
        <w:t>Pension</w:t>
      </w:r>
      <w:r>
        <w:rPr>
          <w:rFonts w:ascii="Arial"/>
          <w:i/>
          <w:spacing w:val="-4"/>
          <w:sz w:val="16"/>
        </w:rPr>
        <w:t> </w:t>
      </w:r>
      <w:r>
        <w:rPr>
          <w:rFonts w:ascii="Arial"/>
          <w:i/>
          <w:sz w:val="16"/>
        </w:rPr>
        <w:t>and</w:t>
      </w:r>
      <w:r>
        <w:rPr>
          <w:rFonts w:ascii="Arial"/>
          <w:i/>
          <w:spacing w:val="-4"/>
          <w:sz w:val="16"/>
        </w:rPr>
        <w:t> </w:t>
      </w:r>
      <w:r>
        <w:rPr>
          <w:rFonts w:ascii="Arial"/>
          <w:i/>
          <w:sz w:val="16"/>
        </w:rPr>
        <w:t>other</w:t>
      </w:r>
      <w:r>
        <w:rPr>
          <w:rFonts w:ascii="Arial"/>
          <w:i/>
          <w:spacing w:val="-3"/>
          <w:sz w:val="16"/>
        </w:rPr>
        <w:t> </w:t>
      </w:r>
      <w:r>
        <w:rPr>
          <w:rFonts w:ascii="Arial"/>
          <w:i/>
          <w:sz w:val="16"/>
        </w:rPr>
        <w:t>adjustments</w:t>
      </w:r>
      <w:r>
        <w:rPr>
          <w:rFonts w:ascii="Arial"/>
          <w:i/>
          <w:spacing w:val="-3"/>
          <w:sz w:val="16"/>
        </w:rPr>
        <w:t> </w:t>
      </w:r>
      <w:r>
        <w:rPr>
          <w:rFonts w:ascii="Arial"/>
          <w:i/>
          <w:sz w:val="16"/>
        </w:rPr>
        <w:t>line</w:t>
      </w:r>
      <w:r>
        <w:rPr>
          <w:rFonts w:ascii="Arial"/>
          <w:i/>
          <w:spacing w:val="-5"/>
          <w:sz w:val="16"/>
        </w:rPr>
        <w:t> </w:t>
      </w:r>
      <w:r>
        <w:rPr>
          <w:rFonts w:ascii="Arial"/>
          <w:i/>
          <w:sz w:val="16"/>
        </w:rPr>
        <w:t>in</w:t>
      </w:r>
      <w:r>
        <w:rPr>
          <w:rFonts w:ascii="Arial"/>
          <w:i/>
          <w:spacing w:val="-6"/>
          <w:sz w:val="16"/>
        </w:rPr>
        <w:t> </w:t>
      </w:r>
      <w:r>
        <w:rPr>
          <w:rFonts w:ascii="Arial"/>
          <w:i/>
          <w:sz w:val="16"/>
        </w:rPr>
        <w:t>Table</w:t>
      </w:r>
      <w:r>
        <w:rPr>
          <w:rFonts w:ascii="Arial"/>
          <w:i/>
          <w:spacing w:val="-4"/>
          <w:sz w:val="16"/>
        </w:rPr>
        <w:t> </w:t>
      </w:r>
      <w:r>
        <w:rPr>
          <w:rFonts w:ascii="Arial"/>
          <w:i/>
          <w:spacing w:val="-5"/>
          <w:sz w:val="16"/>
        </w:rPr>
        <w:t>1.</w:t>
      </w:r>
    </w:p>
    <w:p>
      <w:pPr>
        <w:pStyle w:val="BodyText"/>
        <w:spacing w:before="164"/>
        <w:rPr>
          <w:rFonts w:ascii="Arial"/>
          <w:i/>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5"/>
        <w:gridCol w:w="1354"/>
        <w:gridCol w:w="1365"/>
        <w:gridCol w:w="1316"/>
      </w:tblGrid>
      <w:tr>
        <w:trPr>
          <w:trHeight w:val="231" w:hRule="atLeast"/>
        </w:trPr>
        <w:tc>
          <w:tcPr>
            <w:tcW w:w="5325" w:type="dxa"/>
          </w:tcPr>
          <w:p>
            <w:pPr>
              <w:pStyle w:val="TableParagraph"/>
              <w:spacing w:line="201" w:lineRule="exact"/>
              <w:ind w:left="52"/>
              <w:rPr>
                <w:rFonts w:ascii="Arial"/>
                <w:b/>
                <w:sz w:val="18"/>
              </w:rPr>
            </w:pPr>
            <w:bookmarkStart w:name="_bookmark17" w:id="29"/>
            <w:bookmarkEnd w:id="29"/>
            <w:r>
              <w:rPr/>
            </w:r>
            <w:r>
              <w:rPr>
                <w:rFonts w:ascii="Arial"/>
                <w:b/>
                <w:sz w:val="18"/>
              </w:rPr>
              <w:t>Table</w:t>
            </w:r>
            <w:r>
              <w:rPr>
                <w:rFonts w:ascii="Arial"/>
                <w:b/>
                <w:spacing w:val="-2"/>
                <w:sz w:val="18"/>
              </w:rPr>
              <w:t> </w:t>
            </w:r>
            <w:r>
              <w:rPr>
                <w:rFonts w:ascii="Arial"/>
                <w:b/>
                <w:sz w:val="18"/>
              </w:rPr>
              <w:t>5:</w:t>
            </w:r>
            <w:r>
              <w:rPr>
                <w:rFonts w:ascii="Arial"/>
                <w:b/>
                <w:spacing w:val="-1"/>
                <w:sz w:val="18"/>
              </w:rPr>
              <w:t> </w:t>
            </w:r>
            <w:r>
              <w:rPr>
                <w:rFonts w:ascii="Arial"/>
                <w:b/>
                <w:sz w:val="18"/>
              </w:rPr>
              <w:t>Budget</w:t>
            </w:r>
            <w:r>
              <w:rPr>
                <w:rFonts w:ascii="Arial"/>
                <w:b/>
                <w:spacing w:val="-2"/>
                <w:sz w:val="18"/>
              </w:rPr>
              <w:t> </w:t>
            </w:r>
            <w:r>
              <w:rPr>
                <w:rFonts w:ascii="Arial"/>
                <w:b/>
                <w:sz w:val="18"/>
              </w:rPr>
              <w:t>Anchor</w:t>
            </w:r>
            <w:r>
              <w:rPr>
                <w:rFonts w:ascii="Arial"/>
                <w:b/>
                <w:spacing w:val="-1"/>
                <w:sz w:val="18"/>
              </w:rPr>
              <w:t> </w:t>
            </w:r>
            <w:r>
              <w:rPr>
                <w:rFonts w:ascii="Arial"/>
                <w:b/>
                <w:spacing w:val="-2"/>
                <w:sz w:val="18"/>
              </w:rPr>
              <w:t>Ratio</w:t>
            </w:r>
          </w:p>
        </w:tc>
        <w:tc>
          <w:tcPr>
            <w:tcW w:w="4035" w:type="dxa"/>
            <w:gridSpan w:val="3"/>
            <w:vMerge w:val="restart"/>
          </w:tcPr>
          <w:p>
            <w:pPr>
              <w:pStyle w:val="TableParagraph"/>
              <w:rPr>
                <w:rFonts w:ascii="Times New Roman"/>
                <w:sz w:val="16"/>
              </w:rPr>
            </w:pPr>
          </w:p>
        </w:tc>
      </w:tr>
      <w:tr>
        <w:trPr>
          <w:trHeight w:val="238" w:hRule="atLeast"/>
        </w:trPr>
        <w:tc>
          <w:tcPr>
            <w:tcW w:w="5325" w:type="dxa"/>
          </w:tcPr>
          <w:p>
            <w:pPr>
              <w:pStyle w:val="TableParagraph"/>
              <w:spacing w:before="25"/>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4035" w:type="dxa"/>
            <w:gridSpan w:val="3"/>
            <w:vMerge/>
            <w:tcBorders>
              <w:top w:val="nil"/>
            </w:tcBorders>
          </w:tcPr>
          <w:p>
            <w:pPr>
              <w:rPr>
                <w:sz w:val="2"/>
                <w:szCs w:val="2"/>
              </w:rPr>
            </w:pPr>
          </w:p>
        </w:tc>
      </w:tr>
      <w:tr>
        <w:trPr>
          <w:trHeight w:val="230" w:hRule="atLeast"/>
        </w:trPr>
        <w:tc>
          <w:tcPr>
            <w:tcW w:w="5325" w:type="dxa"/>
            <w:tcBorders>
              <w:bottom w:val="single" w:sz="8" w:space="0" w:color="6C6C6C"/>
            </w:tcBorders>
          </w:tcPr>
          <w:p>
            <w:pPr>
              <w:pStyle w:val="TableParagraph"/>
              <w:spacing w:before="23"/>
              <w:ind w:left="52"/>
              <w:rPr>
                <w:rFonts w:ascii="Arial"/>
                <w:i/>
                <w:sz w:val="16"/>
              </w:rPr>
            </w:pPr>
            <w:r>
              <w:rPr>
                <w:rFonts w:ascii="Arial"/>
                <w:i/>
                <w:color w:val="7F7F7F"/>
                <w:sz w:val="16"/>
              </w:rPr>
              <w:t>For</w:t>
            </w:r>
            <w:r>
              <w:rPr>
                <w:rFonts w:ascii="Arial"/>
                <w:i/>
                <w:color w:val="7F7F7F"/>
                <w:spacing w:val="-3"/>
                <w:sz w:val="16"/>
              </w:rPr>
              <w:t> </w:t>
            </w:r>
            <w:r>
              <w:rPr>
                <w:rFonts w:ascii="Arial"/>
                <w:i/>
                <w:color w:val="7F7F7F"/>
                <w:sz w:val="16"/>
              </w:rPr>
              <w:t>the</w:t>
            </w:r>
            <w:r>
              <w:rPr>
                <w:rFonts w:ascii="Arial"/>
                <w:i/>
                <w:color w:val="7F7F7F"/>
                <w:spacing w:val="-3"/>
                <w:sz w:val="16"/>
              </w:rPr>
              <w:t> </w:t>
            </w:r>
            <w:r>
              <w:rPr>
                <w:rFonts w:ascii="Arial"/>
                <w:i/>
                <w:color w:val="7F7F7F"/>
                <w:sz w:val="16"/>
              </w:rPr>
              <w:t>fiscal</w:t>
            </w:r>
            <w:r>
              <w:rPr>
                <w:rFonts w:ascii="Arial"/>
                <w:i/>
                <w:color w:val="7F7F7F"/>
                <w:spacing w:val="-2"/>
                <w:sz w:val="16"/>
              </w:rPr>
              <w:t> </w:t>
            </w:r>
            <w:r>
              <w:rPr>
                <w:rFonts w:ascii="Arial"/>
                <w:i/>
                <w:color w:val="7F7F7F"/>
                <w:sz w:val="16"/>
              </w:rPr>
              <w:t>year</w:t>
            </w:r>
            <w:r>
              <w:rPr>
                <w:rFonts w:ascii="Arial"/>
                <w:i/>
                <w:color w:val="7F7F7F"/>
                <w:spacing w:val="-2"/>
                <w:sz w:val="16"/>
              </w:rPr>
              <w:t> </w:t>
            </w:r>
            <w:r>
              <w:rPr>
                <w:rFonts w:ascii="Arial"/>
                <w:i/>
                <w:color w:val="7F7F7F"/>
                <w:sz w:val="16"/>
              </w:rPr>
              <w:t>ended</w:t>
            </w:r>
            <w:r>
              <w:rPr>
                <w:rFonts w:ascii="Arial"/>
                <w:i/>
                <w:color w:val="7F7F7F"/>
                <w:spacing w:val="-3"/>
                <w:sz w:val="16"/>
              </w:rPr>
              <w:t> </w:t>
            </w:r>
            <w:r>
              <w:rPr>
                <w:rFonts w:ascii="Arial"/>
                <w:i/>
                <w:color w:val="7F7F7F"/>
                <w:sz w:val="16"/>
              </w:rPr>
              <w:t>June</w:t>
            </w:r>
            <w:r>
              <w:rPr>
                <w:rFonts w:ascii="Arial"/>
                <w:i/>
                <w:color w:val="7F7F7F"/>
                <w:spacing w:val="-3"/>
                <w:sz w:val="16"/>
              </w:rPr>
              <w:t> </w:t>
            </w:r>
            <w:r>
              <w:rPr>
                <w:rFonts w:ascii="Arial"/>
                <w:i/>
                <w:color w:val="7F7F7F"/>
                <w:spacing w:val="-5"/>
                <w:sz w:val="16"/>
              </w:rPr>
              <w:t>30,</w:t>
            </w:r>
          </w:p>
        </w:tc>
        <w:tc>
          <w:tcPr>
            <w:tcW w:w="1354" w:type="dxa"/>
            <w:tcBorders>
              <w:bottom w:val="single" w:sz="8" w:space="0" w:color="6C6C6C"/>
            </w:tcBorders>
          </w:tcPr>
          <w:p>
            <w:pPr>
              <w:pStyle w:val="TableParagraph"/>
              <w:spacing w:line="183" w:lineRule="exact" w:before="27"/>
              <w:ind w:right="154"/>
              <w:jc w:val="right"/>
              <w:rPr>
                <w:rFonts w:ascii="Arial"/>
                <w:i/>
                <w:sz w:val="16"/>
              </w:rPr>
            </w:pPr>
            <w:r>
              <w:rPr>
                <w:rFonts w:ascii="Arial"/>
                <w:i/>
                <w:color w:val="A5A5A5"/>
                <w:spacing w:val="-4"/>
                <w:sz w:val="16"/>
              </w:rPr>
              <w:t>2023</w:t>
            </w:r>
          </w:p>
        </w:tc>
        <w:tc>
          <w:tcPr>
            <w:tcW w:w="1365" w:type="dxa"/>
            <w:tcBorders>
              <w:bottom w:val="single" w:sz="8" w:space="0" w:color="6C6C6C"/>
            </w:tcBorders>
          </w:tcPr>
          <w:p>
            <w:pPr>
              <w:pStyle w:val="TableParagraph"/>
              <w:spacing w:line="183" w:lineRule="exact" w:before="27"/>
              <w:ind w:right="154"/>
              <w:jc w:val="right"/>
              <w:rPr>
                <w:rFonts w:ascii="Arial"/>
                <w:i/>
                <w:sz w:val="16"/>
              </w:rPr>
            </w:pPr>
            <w:r>
              <w:rPr>
                <w:rFonts w:ascii="Arial"/>
                <w:i/>
                <w:color w:val="A5A5A5"/>
                <w:spacing w:val="-4"/>
                <w:sz w:val="16"/>
              </w:rPr>
              <w:t>2022</w:t>
            </w:r>
          </w:p>
        </w:tc>
        <w:tc>
          <w:tcPr>
            <w:tcW w:w="1316" w:type="dxa"/>
            <w:tcBorders>
              <w:bottom w:val="single" w:sz="8" w:space="0" w:color="6C6C6C"/>
            </w:tcBorders>
          </w:tcPr>
          <w:p>
            <w:pPr>
              <w:pStyle w:val="TableParagraph"/>
              <w:spacing w:before="23"/>
              <w:ind w:right="50"/>
              <w:jc w:val="right"/>
              <w:rPr>
                <w:rFonts w:ascii="Arial"/>
                <w:i/>
                <w:sz w:val="16"/>
              </w:rPr>
            </w:pPr>
            <w:r>
              <w:rPr>
                <w:rFonts w:ascii="Arial"/>
                <w:i/>
                <w:color w:val="7F7F7F"/>
                <w:spacing w:val="-2"/>
                <w:sz w:val="16"/>
              </w:rPr>
              <w:t>Variance</w:t>
            </w:r>
          </w:p>
        </w:tc>
      </w:tr>
      <w:tr>
        <w:trPr>
          <w:trHeight w:val="220" w:hRule="atLeast"/>
        </w:trPr>
        <w:tc>
          <w:tcPr>
            <w:tcW w:w="5325" w:type="dxa"/>
            <w:tcBorders>
              <w:top w:val="single" w:sz="8" w:space="0" w:color="6C6C6C"/>
            </w:tcBorders>
          </w:tcPr>
          <w:p>
            <w:pPr>
              <w:pStyle w:val="TableParagraph"/>
              <w:spacing w:before="12"/>
              <w:ind w:left="52"/>
              <w:rPr>
                <w:sz w:val="16"/>
              </w:rPr>
            </w:pPr>
            <w:r>
              <w:rPr>
                <w:sz w:val="16"/>
              </w:rPr>
              <w:t>Total</w:t>
            </w:r>
            <w:r>
              <w:rPr>
                <w:spacing w:val="-14"/>
                <w:sz w:val="16"/>
              </w:rPr>
              <w:t> </w:t>
            </w:r>
            <w:r>
              <w:rPr>
                <w:sz w:val="16"/>
              </w:rPr>
              <w:t>Net</w:t>
            </w:r>
            <w:r>
              <w:rPr>
                <w:spacing w:val="-10"/>
                <w:sz w:val="16"/>
              </w:rPr>
              <w:t> </w:t>
            </w:r>
            <w:r>
              <w:rPr>
                <w:sz w:val="16"/>
              </w:rPr>
              <w:t>non-interest</w:t>
            </w:r>
            <w:r>
              <w:rPr>
                <w:spacing w:val="-10"/>
                <w:sz w:val="16"/>
              </w:rPr>
              <w:t> </w:t>
            </w:r>
            <w:r>
              <w:rPr>
                <w:sz w:val="16"/>
              </w:rPr>
              <w:t>expenses</w:t>
            </w:r>
            <w:r>
              <w:rPr>
                <w:spacing w:val="-10"/>
                <w:sz w:val="16"/>
              </w:rPr>
              <w:t> </w:t>
            </w:r>
            <w:r>
              <w:rPr>
                <w:sz w:val="16"/>
              </w:rPr>
              <w:t>(From</w:t>
            </w:r>
            <w:r>
              <w:rPr>
                <w:spacing w:val="-11"/>
                <w:sz w:val="16"/>
              </w:rPr>
              <w:t> </w:t>
            </w:r>
            <w:r>
              <w:rPr>
                <w:sz w:val="16"/>
              </w:rPr>
              <w:t>Table</w:t>
            </w:r>
            <w:r>
              <w:rPr>
                <w:spacing w:val="-10"/>
                <w:sz w:val="16"/>
              </w:rPr>
              <w:t> </w:t>
            </w:r>
            <w:r>
              <w:rPr>
                <w:spacing w:val="-5"/>
                <w:sz w:val="16"/>
              </w:rPr>
              <w:t>4)</w:t>
            </w:r>
          </w:p>
        </w:tc>
        <w:tc>
          <w:tcPr>
            <w:tcW w:w="1354" w:type="dxa"/>
            <w:tcBorders>
              <w:top w:val="single" w:sz="8" w:space="0" w:color="6C6C6C"/>
            </w:tcBorders>
          </w:tcPr>
          <w:p>
            <w:pPr>
              <w:pStyle w:val="TableParagraph"/>
              <w:tabs>
                <w:tab w:pos="694" w:val="left" w:leader="none"/>
              </w:tabs>
              <w:spacing w:line="184" w:lineRule="exact" w:before="16"/>
              <w:ind w:left="52"/>
              <w:rPr>
                <w:sz w:val="16"/>
              </w:rPr>
            </w:pPr>
            <w:r>
              <w:rPr>
                <w:spacing w:val="-10"/>
                <w:sz w:val="16"/>
              </w:rPr>
              <w:t>$</w:t>
            </w:r>
            <w:r>
              <w:rPr>
                <w:sz w:val="16"/>
              </w:rPr>
              <w:tab/>
            </w:r>
            <w:r>
              <w:rPr>
                <w:spacing w:val="-2"/>
                <w:sz w:val="16"/>
              </w:rPr>
              <w:t>1,254</w:t>
            </w:r>
          </w:p>
        </w:tc>
        <w:tc>
          <w:tcPr>
            <w:tcW w:w="1365" w:type="dxa"/>
            <w:tcBorders>
              <w:top w:val="single" w:sz="8" w:space="0" w:color="6C6C6C"/>
            </w:tcBorders>
          </w:tcPr>
          <w:p>
            <w:pPr>
              <w:pStyle w:val="TableParagraph"/>
              <w:tabs>
                <w:tab w:pos="705" w:val="left" w:leader="none"/>
              </w:tabs>
              <w:spacing w:line="184" w:lineRule="exact" w:before="16"/>
              <w:ind w:left="63"/>
              <w:rPr>
                <w:sz w:val="16"/>
              </w:rPr>
            </w:pPr>
            <w:r>
              <w:rPr>
                <w:spacing w:val="-10"/>
                <w:sz w:val="16"/>
              </w:rPr>
              <w:t>$</w:t>
            </w:r>
            <w:r>
              <w:rPr>
                <w:sz w:val="16"/>
              </w:rPr>
              <w:tab/>
            </w:r>
            <w:r>
              <w:rPr>
                <w:spacing w:val="-2"/>
                <w:sz w:val="16"/>
              </w:rPr>
              <w:t>1,175</w:t>
            </w:r>
          </w:p>
        </w:tc>
        <w:tc>
          <w:tcPr>
            <w:tcW w:w="1316" w:type="dxa"/>
            <w:tcBorders>
              <w:top w:val="single" w:sz="8" w:space="0" w:color="6C6C6C"/>
            </w:tcBorders>
          </w:tcPr>
          <w:p>
            <w:pPr>
              <w:pStyle w:val="TableParagraph"/>
              <w:tabs>
                <w:tab w:pos="1006" w:val="left" w:leader="none"/>
              </w:tabs>
              <w:spacing w:line="184" w:lineRule="exact" w:before="16"/>
              <w:ind w:right="66"/>
              <w:jc w:val="right"/>
              <w:rPr>
                <w:sz w:val="16"/>
              </w:rPr>
            </w:pPr>
            <w:r>
              <w:rPr>
                <w:spacing w:val="-10"/>
                <w:sz w:val="16"/>
              </w:rPr>
              <w:t>$</w:t>
            </w:r>
            <w:r>
              <w:rPr>
                <w:sz w:val="16"/>
              </w:rPr>
              <w:tab/>
            </w:r>
            <w:r>
              <w:rPr>
                <w:spacing w:val="-5"/>
                <w:sz w:val="16"/>
              </w:rPr>
              <w:t>79</w:t>
            </w:r>
          </w:p>
        </w:tc>
      </w:tr>
      <w:tr>
        <w:trPr>
          <w:trHeight w:val="238" w:hRule="atLeast"/>
        </w:trPr>
        <w:tc>
          <w:tcPr>
            <w:tcW w:w="5325" w:type="dxa"/>
          </w:tcPr>
          <w:p>
            <w:pPr>
              <w:pStyle w:val="TableParagraph"/>
              <w:spacing w:line="182" w:lineRule="exact" w:before="36"/>
              <w:ind w:left="52"/>
              <w:rPr>
                <w:sz w:val="16"/>
              </w:rPr>
            </w:pPr>
            <w:r>
              <w:rPr>
                <w:sz w:val="16"/>
              </w:rPr>
              <w:t>Pension</w:t>
            </w:r>
            <w:r>
              <w:rPr>
                <w:spacing w:val="-8"/>
                <w:sz w:val="16"/>
              </w:rPr>
              <w:t> </w:t>
            </w:r>
            <w:r>
              <w:rPr>
                <w:sz w:val="16"/>
              </w:rPr>
              <w:t>adjustment</w:t>
            </w:r>
            <w:r>
              <w:rPr>
                <w:spacing w:val="-7"/>
                <w:sz w:val="16"/>
              </w:rPr>
              <w:t> </w:t>
            </w:r>
            <w:r>
              <w:rPr>
                <w:sz w:val="16"/>
              </w:rPr>
              <w:t>(From</w:t>
            </w:r>
            <w:r>
              <w:rPr>
                <w:spacing w:val="-11"/>
                <w:sz w:val="16"/>
              </w:rPr>
              <w:t> </w:t>
            </w:r>
            <w:r>
              <w:rPr>
                <w:sz w:val="16"/>
              </w:rPr>
              <w:t>Table</w:t>
            </w:r>
            <w:r>
              <w:rPr>
                <w:spacing w:val="-8"/>
                <w:sz w:val="16"/>
              </w:rPr>
              <w:t> </w:t>
            </w:r>
            <w:r>
              <w:rPr>
                <w:sz w:val="16"/>
              </w:rPr>
              <w:t>7)</w:t>
            </w:r>
            <w:r>
              <w:rPr>
                <w:spacing w:val="-7"/>
                <w:sz w:val="16"/>
              </w:rPr>
              <w:t> </w:t>
            </w:r>
            <w:r>
              <w:rPr>
                <w:spacing w:val="-12"/>
                <w:sz w:val="16"/>
                <w:vertAlign w:val="superscript"/>
              </w:rPr>
              <w:t>a</w:t>
            </w:r>
          </w:p>
        </w:tc>
        <w:tc>
          <w:tcPr>
            <w:tcW w:w="1354" w:type="dxa"/>
          </w:tcPr>
          <w:p>
            <w:pPr>
              <w:pStyle w:val="TableParagraph"/>
              <w:spacing w:line="182" w:lineRule="exact" w:before="36"/>
              <w:ind w:left="828"/>
              <w:rPr>
                <w:sz w:val="16"/>
              </w:rPr>
            </w:pPr>
            <w:r>
              <w:rPr>
                <w:spacing w:val="-5"/>
                <w:sz w:val="16"/>
              </w:rPr>
              <w:t>119</w:t>
            </w:r>
          </w:p>
        </w:tc>
        <w:tc>
          <w:tcPr>
            <w:tcW w:w="1365" w:type="dxa"/>
          </w:tcPr>
          <w:p>
            <w:pPr>
              <w:pStyle w:val="TableParagraph"/>
              <w:spacing w:line="182" w:lineRule="exact" w:before="36"/>
              <w:ind w:right="257"/>
              <w:jc w:val="right"/>
              <w:rPr>
                <w:sz w:val="16"/>
              </w:rPr>
            </w:pPr>
            <w:r>
              <w:rPr>
                <w:spacing w:val="-5"/>
                <w:sz w:val="16"/>
              </w:rPr>
              <w:t>79</w:t>
            </w:r>
          </w:p>
        </w:tc>
        <w:tc>
          <w:tcPr>
            <w:tcW w:w="1316" w:type="dxa"/>
          </w:tcPr>
          <w:p>
            <w:pPr>
              <w:pStyle w:val="TableParagraph"/>
              <w:spacing w:line="182" w:lineRule="exact" w:before="36"/>
              <w:ind w:right="66"/>
              <w:jc w:val="right"/>
              <w:rPr>
                <w:sz w:val="16"/>
              </w:rPr>
            </w:pPr>
            <w:r>
              <w:rPr>
                <w:spacing w:val="-5"/>
                <w:sz w:val="16"/>
              </w:rPr>
              <w:t>40</w:t>
            </w:r>
          </w:p>
        </w:tc>
      </w:tr>
      <w:tr>
        <w:trPr>
          <w:trHeight w:val="240" w:hRule="atLeast"/>
        </w:trPr>
        <w:tc>
          <w:tcPr>
            <w:tcW w:w="5325" w:type="dxa"/>
          </w:tcPr>
          <w:p>
            <w:pPr>
              <w:pStyle w:val="TableParagraph"/>
              <w:spacing w:before="34"/>
              <w:ind w:left="52"/>
              <w:rPr>
                <w:sz w:val="16"/>
              </w:rPr>
            </w:pPr>
            <w:r>
              <w:rPr>
                <w:sz w:val="16"/>
              </w:rPr>
              <w:t>RAMP</w:t>
            </w:r>
            <w:r>
              <w:rPr>
                <w:spacing w:val="-7"/>
                <w:sz w:val="16"/>
              </w:rPr>
              <w:t> </w:t>
            </w:r>
            <w:r>
              <w:rPr>
                <w:sz w:val="16"/>
              </w:rPr>
              <w:t>adjustment</w:t>
            </w:r>
            <w:r>
              <w:rPr>
                <w:spacing w:val="-4"/>
                <w:sz w:val="16"/>
              </w:rPr>
              <w:t> </w:t>
            </w:r>
            <w:r>
              <w:rPr>
                <w:spacing w:val="-10"/>
                <w:sz w:val="16"/>
                <w:vertAlign w:val="superscript"/>
              </w:rPr>
              <w:t>a</w:t>
            </w:r>
          </w:p>
        </w:tc>
        <w:tc>
          <w:tcPr>
            <w:tcW w:w="1354" w:type="dxa"/>
          </w:tcPr>
          <w:p>
            <w:pPr>
              <w:pStyle w:val="TableParagraph"/>
              <w:spacing w:line="182" w:lineRule="exact" w:before="38"/>
              <w:ind w:right="204"/>
              <w:jc w:val="right"/>
              <w:rPr>
                <w:sz w:val="16"/>
              </w:rPr>
            </w:pPr>
            <w:r>
              <w:rPr>
                <w:spacing w:val="-5"/>
                <w:sz w:val="16"/>
              </w:rPr>
              <w:t>(1)</w:t>
            </w:r>
          </w:p>
        </w:tc>
        <w:tc>
          <w:tcPr>
            <w:tcW w:w="1365" w:type="dxa"/>
          </w:tcPr>
          <w:p>
            <w:pPr>
              <w:pStyle w:val="TableParagraph"/>
              <w:spacing w:line="182" w:lineRule="exact" w:before="38"/>
              <w:ind w:right="257"/>
              <w:jc w:val="right"/>
              <w:rPr>
                <w:sz w:val="16"/>
              </w:rPr>
            </w:pPr>
            <w:r>
              <w:rPr>
                <w:spacing w:val="-10"/>
                <w:sz w:val="16"/>
              </w:rPr>
              <w:t>7</w:t>
            </w:r>
          </w:p>
        </w:tc>
        <w:tc>
          <w:tcPr>
            <w:tcW w:w="1316" w:type="dxa"/>
          </w:tcPr>
          <w:p>
            <w:pPr>
              <w:pStyle w:val="TableParagraph"/>
              <w:spacing w:line="182" w:lineRule="exact" w:before="38"/>
              <w:ind w:right="12"/>
              <w:jc w:val="right"/>
              <w:rPr>
                <w:sz w:val="16"/>
              </w:rPr>
            </w:pPr>
            <w:r>
              <w:rPr>
                <w:spacing w:val="-5"/>
                <w:sz w:val="16"/>
              </w:rPr>
              <w:t>(8)</w:t>
            </w:r>
          </w:p>
        </w:tc>
      </w:tr>
      <w:tr>
        <w:trPr>
          <w:trHeight w:val="241" w:hRule="atLeast"/>
        </w:trPr>
        <w:tc>
          <w:tcPr>
            <w:tcW w:w="5325" w:type="dxa"/>
          </w:tcPr>
          <w:p>
            <w:pPr>
              <w:pStyle w:val="TableParagraph"/>
              <w:spacing w:before="34"/>
              <w:ind w:left="52"/>
              <w:rPr>
                <w:sz w:val="16"/>
              </w:rPr>
            </w:pPr>
            <w:r>
              <w:rPr>
                <w:sz w:val="16"/>
              </w:rPr>
              <w:t>EFO</w:t>
            </w:r>
            <w:r>
              <w:rPr>
                <w:spacing w:val="-4"/>
                <w:sz w:val="16"/>
              </w:rPr>
              <w:t> </w:t>
            </w:r>
            <w:r>
              <w:rPr>
                <w:sz w:val="16"/>
              </w:rPr>
              <w:t>adjustment</w:t>
            </w:r>
            <w:r>
              <w:rPr>
                <w:spacing w:val="-4"/>
                <w:sz w:val="16"/>
              </w:rPr>
              <w:t> </w:t>
            </w:r>
            <w:r>
              <w:rPr>
                <w:spacing w:val="-10"/>
                <w:sz w:val="16"/>
                <w:vertAlign w:val="superscript"/>
              </w:rPr>
              <w:t>a</w:t>
            </w:r>
          </w:p>
        </w:tc>
        <w:tc>
          <w:tcPr>
            <w:tcW w:w="1354" w:type="dxa"/>
            <w:tcBorders>
              <w:bottom w:val="single" w:sz="8" w:space="0" w:color="6C6C6C"/>
            </w:tcBorders>
          </w:tcPr>
          <w:p>
            <w:pPr>
              <w:pStyle w:val="TableParagraph"/>
              <w:spacing w:line="184" w:lineRule="exact" w:before="38"/>
              <w:ind w:left="863"/>
              <w:rPr>
                <w:sz w:val="16"/>
              </w:rPr>
            </w:pPr>
            <w:r>
              <w:rPr>
                <w:spacing w:val="-4"/>
                <w:sz w:val="16"/>
              </w:rPr>
              <w:t>(11)</w:t>
            </w:r>
          </w:p>
        </w:tc>
        <w:tc>
          <w:tcPr>
            <w:tcW w:w="1365" w:type="dxa"/>
            <w:tcBorders>
              <w:bottom w:val="single" w:sz="8" w:space="0" w:color="6C6C6C"/>
            </w:tcBorders>
          </w:tcPr>
          <w:p>
            <w:pPr>
              <w:pStyle w:val="TableParagraph"/>
              <w:spacing w:line="184" w:lineRule="exact" w:before="38"/>
              <w:ind w:left="874"/>
              <w:rPr>
                <w:sz w:val="16"/>
              </w:rPr>
            </w:pPr>
            <w:r>
              <w:rPr>
                <w:spacing w:val="-4"/>
                <w:sz w:val="16"/>
              </w:rPr>
              <w:t>(16)</w:t>
            </w:r>
          </w:p>
        </w:tc>
        <w:tc>
          <w:tcPr>
            <w:tcW w:w="1316" w:type="dxa"/>
            <w:tcBorders>
              <w:bottom w:val="single" w:sz="8" w:space="0" w:color="6C6C6C"/>
            </w:tcBorders>
          </w:tcPr>
          <w:p>
            <w:pPr>
              <w:pStyle w:val="TableParagraph"/>
              <w:spacing w:line="184" w:lineRule="exact" w:before="38"/>
              <w:ind w:right="66"/>
              <w:jc w:val="right"/>
              <w:rPr>
                <w:sz w:val="16"/>
              </w:rPr>
            </w:pPr>
            <w:r>
              <w:rPr>
                <w:spacing w:val="-10"/>
                <w:sz w:val="16"/>
              </w:rPr>
              <w:t>5</w:t>
            </w:r>
          </w:p>
        </w:tc>
      </w:tr>
      <w:tr>
        <w:trPr>
          <w:trHeight w:val="200" w:hRule="atLeast"/>
        </w:trPr>
        <w:tc>
          <w:tcPr>
            <w:tcW w:w="5325" w:type="dxa"/>
          </w:tcPr>
          <w:p>
            <w:pPr>
              <w:pStyle w:val="TableParagraph"/>
              <w:spacing w:line="167" w:lineRule="exact" w:before="12"/>
              <w:ind w:left="52"/>
              <w:rPr>
                <w:rFonts w:ascii="Arial" w:hAnsi="Arial"/>
                <w:b/>
                <w:sz w:val="16"/>
              </w:rPr>
            </w:pPr>
            <w:r>
              <w:rPr>
                <w:rFonts w:ascii="Arial" w:hAnsi="Arial"/>
                <w:b/>
                <w:sz w:val="16"/>
              </w:rPr>
              <w:t>Net</w:t>
            </w:r>
            <w:r>
              <w:rPr>
                <w:rFonts w:ascii="Arial" w:hAnsi="Arial"/>
                <w:b/>
                <w:spacing w:val="-4"/>
                <w:sz w:val="16"/>
              </w:rPr>
              <w:t> </w:t>
            </w:r>
            <w:r>
              <w:rPr>
                <w:rFonts w:ascii="Arial" w:hAnsi="Arial"/>
                <w:b/>
                <w:sz w:val="16"/>
              </w:rPr>
              <w:t>administrative</w:t>
            </w:r>
            <w:r>
              <w:rPr>
                <w:rFonts w:ascii="Arial" w:hAnsi="Arial"/>
                <w:b/>
                <w:spacing w:val="-5"/>
                <w:sz w:val="16"/>
              </w:rPr>
              <w:t> </w:t>
            </w:r>
            <w:r>
              <w:rPr>
                <w:rFonts w:ascii="Arial" w:hAnsi="Arial"/>
                <w:b/>
                <w:sz w:val="16"/>
              </w:rPr>
              <w:t>expenses</w:t>
            </w:r>
            <w:r>
              <w:rPr>
                <w:rFonts w:ascii="Arial" w:hAnsi="Arial"/>
                <w:b/>
                <w:spacing w:val="-5"/>
                <w:sz w:val="16"/>
              </w:rPr>
              <w:t> </w:t>
            </w:r>
            <w:r>
              <w:rPr>
                <w:rFonts w:ascii="Arial" w:hAnsi="Arial"/>
                <w:b/>
                <w:sz w:val="16"/>
              </w:rPr>
              <w:t>–</w:t>
            </w:r>
            <w:r>
              <w:rPr>
                <w:rFonts w:ascii="Arial" w:hAnsi="Arial"/>
                <w:b/>
                <w:spacing w:val="-5"/>
                <w:sz w:val="16"/>
              </w:rPr>
              <w:t> </w:t>
            </w:r>
            <w:r>
              <w:rPr>
                <w:rFonts w:ascii="Arial" w:hAnsi="Arial"/>
                <w:b/>
                <w:sz w:val="16"/>
              </w:rPr>
              <w:t>for</w:t>
            </w:r>
            <w:r>
              <w:rPr>
                <w:rFonts w:ascii="Arial" w:hAnsi="Arial"/>
                <w:b/>
                <w:spacing w:val="-4"/>
                <w:sz w:val="16"/>
              </w:rPr>
              <w:t> </w:t>
            </w:r>
            <w:r>
              <w:rPr>
                <w:rFonts w:ascii="Arial" w:hAnsi="Arial"/>
                <w:b/>
                <w:sz w:val="16"/>
              </w:rPr>
              <w:t>Budget</w:t>
            </w:r>
            <w:r>
              <w:rPr>
                <w:rFonts w:ascii="Arial" w:hAnsi="Arial"/>
                <w:b/>
                <w:spacing w:val="-3"/>
                <w:sz w:val="16"/>
              </w:rPr>
              <w:t> </w:t>
            </w:r>
            <w:r>
              <w:rPr>
                <w:rFonts w:ascii="Arial" w:hAnsi="Arial"/>
                <w:b/>
                <w:spacing w:val="-2"/>
                <w:sz w:val="16"/>
              </w:rPr>
              <w:t>Anchor</w:t>
            </w:r>
          </w:p>
        </w:tc>
        <w:tc>
          <w:tcPr>
            <w:tcW w:w="1354" w:type="dxa"/>
            <w:tcBorders>
              <w:top w:val="single" w:sz="8" w:space="0" w:color="6C6C6C"/>
              <w:bottom w:val="double" w:sz="8" w:space="0" w:color="6C6C6C"/>
            </w:tcBorders>
          </w:tcPr>
          <w:p>
            <w:pPr>
              <w:pStyle w:val="TableParagraph"/>
              <w:tabs>
                <w:tab w:pos="694" w:val="left" w:leader="none"/>
              </w:tabs>
              <w:spacing w:line="164" w:lineRule="exact" w:before="16"/>
              <w:ind w:left="52"/>
              <w:rPr>
                <w:rFonts w:ascii="Arial"/>
                <w:b/>
                <w:sz w:val="16"/>
              </w:rPr>
            </w:pPr>
            <w:r>
              <w:rPr>
                <w:rFonts w:ascii="Arial"/>
                <w:b/>
                <w:spacing w:val="-10"/>
                <w:sz w:val="16"/>
              </w:rPr>
              <w:t>$</w:t>
            </w:r>
            <w:r>
              <w:rPr>
                <w:rFonts w:ascii="Arial"/>
                <w:b/>
                <w:sz w:val="16"/>
              </w:rPr>
              <w:tab/>
            </w:r>
            <w:r>
              <w:rPr>
                <w:rFonts w:ascii="Arial"/>
                <w:b/>
                <w:spacing w:val="-2"/>
                <w:sz w:val="16"/>
              </w:rPr>
              <w:t>1,361</w:t>
            </w:r>
          </w:p>
        </w:tc>
        <w:tc>
          <w:tcPr>
            <w:tcW w:w="1365" w:type="dxa"/>
            <w:tcBorders>
              <w:top w:val="single" w:sz="8" w:space="0" w:color="6C6C6C"/>
              <w:bottom w:val="double" w:sz="8" w:space="0" w:color="6C6C6C"/>
            </w:tcBorders>
          </w:tcPr>
          <w:p>
            <w:pPr>
              <w:pStyle w:val="TableParagraph"/>
              <w:tabs>
                <w:tab w:pos="705" w:val="left" w:leader="none"/>
              </w:tabs>
              <w:spacing w:line="164" w:lineRule="exact" w:before="16"/>
              <w:ind w:left="63"/>
              <w:rPr>
                <w:rFonts w:ascii="Arial"/>
                <w:b/>
                <w:sz w:val="16"/>
              </w:rPr>
            </w:pPr>
            <w:r>
              <w:rPr>
                <w:rFonts w:ascii="Arial"/>
                <w:b/>
                <w:spacing w:val="-10"/>
                <w:sz w:val="16"/>
              </w:rPr>
              <w:t>$</w:t>
            </w:r>
            <w:r>
              <w:rPr>
                <w:rFonts w:ascii="Arial"/>
                <w:b/>
                <w:sz w:val="16"/>
              </w:rPr>
              <w:tab/>
            </w:r>
            <w:r>
              <w:rPr>
                <w:rFonts w:ascii="Arial"/>
                <w:b/>
                <w:spacing w:val="-2"/>
                <w:sz w:val="16"/>
              </w:rPr>
              <w:t>1,245</w:t>
            </w:r>
          </w:p>
        </w:tc>
        <w:tc>
          <w:tcPr>
            <w:tcW w:w="1316" w:type="dxa"/>
            <w:tcBorders>
              <w:top w:val="single" w:sz="8" w:space="0" w:color="6C6C6C"/>
              <w:bottom w:val="double" w:sz="8" w:space="0" w:color="6C6C6C"/>
            </w:tcBorders>
          </w:tcPr>
          <w:p>
            <w:pPr>
              <w:pStyle w:val="TableParagraph"/>
              <w:tabs>
                <w:tab w:pos="917" w:val="left" w:leader="none"/>
              </w:tabs>
              <w:spacing w:line="164" w:lineRule="exact" w:before="16"/>
              <w:ind w:right="66"/>
              <w:jc w:val="right"/>
              <w:rPr>
                <w:rFonts w:ascii="Arial"/>
                <w:b/>
                <w:sz w:val="16"/>
              </w:rPr>
            </w:pPr>
            <w:r>
              <w:rPr>
                <w:rFonts w:ascii="Arial"/>
                <w:b/>
                <w:spacing w:val="-10"/>
                <w:sz w:val="16"/>
              </w:rPr>
              <w:t>$</w:t>
            </w:r>
            <w:r>
              <w:rPr>
                <w:rFonts w:ascii="Arial"/>
                <w:b/>
                <w:sz w:val="16"/>
              </w:rPr>
              <w:tab/>
            </w:r>
            <w:r>
              <w:rPr>
                <w:rFonts w:ascii="Arial"/>
                <w:b/>
                <w:spacing w:val="-5"/>
                <w:sz w:val="16"/>
              </w:rPr>
              <w:t>116</w:t>
            </w:r>
          </w:p>
        </w:tc>
      </w:tr>
      <w:tr>
        <w:trPr>
          <w:trHeight w:val="449" w:hRule="atLeast"/>
        </w:trPr>
        <w:tc>
          <w:tcPr>
            <w:tcW w:w="5325" w:type="dxa"/>
          </w:tcPr>
          <w:p>
            <w:pPr>
              <w:pStyle w:val="TableParagraph"/>
              <w:spacing w:before="52"/>
              <w:rPr>
                <w:rFonts w:ascii="Arial"/>
                <w:i/>
                <w:sz w:val="16"/>
              </w:rPr>
            </w:pPr>
          </w:p>
          <w:p>
            <w:pPr>
              <w:pStyle w:val="TableParagraph"/>
              <w:ind w:left="52"/>
              <w:rPr>
                <w:sz w:val="16"/>
              </w:rPr>
            </w:pPr>
            <w:r>
              <w:rPr>
                <w:sz w:val="16"/>
              </w:rPr>
              <w:t>Loan</w:t>
            </w:r>
            <w:r>
              <w:rPr>
                <w:spacing w:val="-5"/>
                <w:sz w:val="16"/>
              </w:rPr>
              <w:t> </w:t>
            </w:r>
            <w:r>
              <w:rPr>
                <w:sz w:val="16"/>
              </w:rPr>
              <w:t>spread</w:t>
            </w:r>
            <w:r>
              <w:rPr>
                <w:spacing w:val="-5"/>
                <w:sz w:val="16"/>
              </w:rPr>
              <w:t> </w:t>
            </w:r>
            <w:r>
              <w:rPr>
                <w:sz w:val="16"/>
              </w:rPr>
              <w:t>revenue,</w:t>
            </w:r>
            <w:r>
              <w:rPr>
                <w:spacing w:val="-3"/>
                <w:sz w:val="16"/>
              </w:rPr>
              <w:t> </w:t>
            </w:r>
            <w:r>
              <w:rPr>
                <w:spacing w:val="-5"/>
                <w:sz w:val="16"/>
              </w:rPr>
              <w:t>net</w:t>
            </w:r>
          </w:p>
        </w:tc>
        <w:tc>
          <w:tcPr>
            <w:tcW w:w="1354" w:type="dxa"/>
            <w:tcBorders>
              <w:top w:val="double" w:sz="8" w:space="0" w:color="6C6C6C"/>
            </w:tcBorders>
          </w:tcPr>
          <w:p>
            <w:pPr>
              <w:pStyle w:val="TableParagraph"/>
              <w:spacing w:before="52"/>
              <w:rPr>
                <w:rFonts w:ascii="Arial"/>
                <w:i/>
                <w:sz w:val="16"/>
              </w:rPr>
            </w:pPr>
          </w:p>
          <w:p>
            <w:pPr>
              <w:pStyle w:val="TableParagraph"/>
              <w:ind w:left="695"/>
              <w:rPr>
                <w:sz w:val="16"/>
              </w:rPr>
            </w:pPr>
            <w:r>
              <w:rPr>
                <w:spacing w:val="-2"/>
                <w:sz w:val="16"/>
              </w:rPr>
              <w:t>2,118</w:t>
            </w:r>
          </w:p>
        </w:tc>
        <w:tc>
          <w:tcPr>
            <w:tcW w:w="1365" w:type="dxa"/>
            <w:tcBorders>
              <w:top w:val="double" w:sz="8" w:space="0" w:color="6C6C6C"/>
            </w:tcBorders>
          </w:tcPr>
          <w:p>
            <w:pPr>
              <w:pStyle w:val="TableParagraph"/>
              <w:spacing w:before="52"/>
              <w:rPr>
                <w:rFonts w:ascii="Arial"/>
                <w:i/>
                <w:sz w:val="16"/>
              </w:rPr>
            </w:pPr>
          </w:p>
          <w:p>
            <w:pPr>
              <w:pStyle w:val="TableParagraph"/>
              <w:ind w:left="706"/>
              <w:rPr>
                <w:sz w:val="16"/>
              </w:rPr>
            </w:pPr>
            <w:r>
              <w:rPr>
                <w:spacing w:val="-2"/>
                <w:sz w:val="16"/>
              </w:rPr>
              <w:t>1,765</w:t>
            </w:r>
          </w:p>
        </w:tc>
        <w:tc>
          <w:tcPr>
            <w:tcW w:w="1316" w:type="dxa"/>
            <w:tcBorders>
              <w:top w:val="double" w:sz="8" w:space="0" w:color="6C6C6C"/>
            </w:tcBorders>
          </w:tcPr>
          <w:p>
            <w:pPr>
              <w:pStyle w:val="TableParagraph"/>
              <w:spacing w:before="52"/>
              <w:rPr>
                <w:rFonts w:ascii="Arial"/>
                <w:i/>
                <w:sz w:val="16"/>
              </w:rPr>
            </w:pPr>
          </w:p>
          <w:p>
            <w:pPr>
              <w:pStyle w:val="TableParagraph"/>
              <w:ind w:right="66"/>
              <w:jc w:val="right"/>
              <w:rPr>
                <w:sz w:val="16"/>
              </w:rPr>
            </w:pPr>
            <w:r>
              <w:rPr>
                <w:spacing w:val="-5"/>
                <w:sz w:val="16"/>
              </w:rPr>
              <w:t>353</w:t>
            </w:r>
          </w:p>
        </w:tc>
      </w:tr>
      <w:tr>
        <w:trPr>
          <w:trHeight w:val="240" w:hRule="atLeast"/>
        </w:trPr>
        <w:tc>
          <w:tcPr>
            <w:tcW w:w="5325" w:type="dxa"/>
          </w:tcPr>
          <w:p>
            <w:pPr>
              <w:pStyle w:val="TableParagraph"/>
              <w:spacing w:before="23"/>
              <w:ind w:left="52"/>
              <w:rPr>
                <w:sz w:val="16"/>
              </w:rPr>
            </w:pPr>
            <w:r>
              <w:rPr>
                <w:sz w:val="16"/>
              </w:rPr>
              <w:t>Loan</w:t>
            </w:r>
            <w:r>
              <w:rPr>
                <w:spacing w:val="-10"/>
                <w:sz w:val="16"/>
              </w:rPr>
              <w:t> </w:t>
            </w:r>
            <w:r>
              <w:rPr>
                <w:sz w:val="16"/>
              </w:rPr>
              <w:t>commitment</w:t>
            </w:r>
            <w:r>
              <w:rPr>
                <w:spacing w:val="-6"/>
                <w:sz w:val="16"/>
              </w:rPr>
              <w:t> </w:t>
            </w:r>
            <w:r>
              <w:rPr>
                <w:sz w:val="16"/>
              </w:rPr>
              <w:t>fees</w:t>
            </w:r>
            <w:r>
              <w:rPr>
                <w:spacing w:val="-7"/>
                <w:sz w:val="16"/>
              </w:rPr>
              <w:t> </w:t>
            </w:r>
            <w:r>
              <w:rPr>
                <w:sz w:val="16"/>
              </w:rPr>
              <w:t>(From</w:t>
            </w:r>
            <w:r>
              <w:rPr>
                <w:spacing w:val="-10"/>
                <w:sz w:val="16"/>
              </w:rPr>
              <w:t> </w:t>
            </w:r>
            <w:r>
              <w:rPr>
                <w:sz w:val="16"/>
              </w:rPr>
              <w:t>Table</w:t>
            </w:r>
            <w:r>
              <w:rPr>
                <w:spacing w:val="-7"/>
                <w:sz w:val="16"/>
              </w:rPr>
              <w:t> </w:t>
            </w:r>
            <w:r>
              <w:rPr>
                <w:spacing w:val="-5"/>
                <w:sz w:val="16"/>
              </w:rPr>
              <w:t>3)</w:t>
            </w:r>
          </w:p>
        </w:tc>
        <w:tc>
          <w:tcPr>
            <w:tcW w:w="1354" w:type="dxa"/>
          </w:tcPr>
          <w:p>
            <w:pPr>
              <w:pStyle w:val="TableParagraph"/>
              <w:spacing w:before="27"/>
              <w:ind w:left="828"/>
              <w:rPr>
                <w:sz w:val="16"/>
              </w:rPr>
            </w:pPr>
            <w:r>
              <w:rPr>
                <w:spacing w:val="-5"/>
                <w:sz w:val="16"/>
              </w:rPr>
              <w:t>124</w:t>
            </w:r>
          </w:p>
        </w:tc>
        <w:tc>
          <w:tcPr>
            <w:tcW w:w="1365" w:type="dxa"/>
          </w:tcPr>
          <w:p>
            <w:pPr>
              <w:pStyle w:val="TableParagraph"/>
              <w:spacing w:before="27"/>
              <w:ind w:left="839"/>
              <w:rPr>
                <w:sz w:val="16"/>
              </w:rPr>
            </w:pPr>
            <w:r>
              <w:rPr>
                <w:spacing w:val="-5"/>
                <w:sz w:val="16"/>
              </w:rPr>
              <w:t>126</w:t>
            </w:r>
          </w:p>
        </w:tc>
        <w:tc>
          <w:tcPr>
            <w:tcW w:w="1316" w:type="dxa"/>
          </w:tcPr>
          <w:p>
            <w:pPr>
              <w:pStyle w:val="TableParagraph"/>
              <w:spacing w:before="27"/>
              <w:ind w:right="12"/>
              <w:jc w:val="right"/>
              <w:rPr>
                <w:sz w:val="16"/>
              </w:rPr>
            </w:pPr>
            <w:r>
              <w:rPr>
                <w:spacing w:val="-5"/>
                <w:sz w:val="16"/>
              </w:rPr>
              <w:t>(2)</w:t>
            </w:r>
          </w:p>
        </w:tc>
      </w:tr>
      <w:tr>
        <w:trPr>
          <w:trHeight w:val="230" w:hRule="atLeast"/>
        </w:trPr>
        <w:tc>
          <w:tcPr>
            <w:tcW w:w="5325" w:type="dxa"/>
          </w:tcPr>
          <w:p>
            <w:pPr>
              <w:pStyle w:val="TableParagraph"/>
              <w:spacing w:before="23"/>
              <w:ind w:left="52"/>
              <w:rPr>
                <w:sz w:val="16"/>
              </w:rPr>
            </w:pPr>
            <w:r>
              <w:rPr>
                <w:sz w:val="16"/>
              </w:rPr>
              <w:t>Guarantee</w:t>
            </w:r>
            <w:r>
              <w:rPr>
                <w:spacing w:val="-11"/>
                <w:sz w:val="16"/>
              </w:rPr>
              <w:t> </w:t>
            </w:r>
            <w:r>
              <w:rPr>
                <w:sz w:val="16"/>
              </w:rPr>
              <w:t>fees</w:t>
            </w:r>
            <w:r>
              <w:rPr>
                <w:spacing w:val="-8"/>
                <w:sz w:val="16"/>
              </w:rPr>
              <w:t> </w:t>
            </w:r>
            <w:r>
              <w:rPr>
                <w:sz w:val="16"/>
              </w:rPr>
              <w:t>(From</w:t>
            </w:r>
            <w:r>
              <w:rPr>
                <w:spacing w:val="-11"/>
                <w:sz w:val="16"/>
              </w:rPr>
              <w:t> </w:t>
            </w:r>
            <w:r>
              <w:rPr>
                <w:sz w:val="16"/>
              </w:rPr>
              <w:t>Table</w:t>
            </w:r>
            <w:r>
              <w:rPr>
                <w:spacing w:val="-8"/>
                <w:sz w:val="16"/>
              </w:rPr>
              <w:t> </w:t>
            </w:r>
            <w:r>
              <w:rPr>
                <w:spacing w:val="-5"/>
                <w:sz w:val="16"/>
              </w:rPr>
              <w:t>3)</w:t>
            </w:r>
          </w:p>
        </w:tc>
        <w:tc>
          <w:tcPr>
            <w:tcW w:w="1354" w:type="dxa"/>
            <w:tcBorders>
              <w:bottom w:val="single" w:sz="8" w:space="0" w:color="6C6C6C"/>
            </w:tcBorders>
          </w:tcPr>
          <w:p>
            <w:pPr>
              <w:pStyle w:val="TableParagraph"/>
              <w:spacing w:line="184" w:lineRule="exact" w:before="27"/>
              <w:ind w:right="257"/>
              <w:jc w:val="right"/>
              <w:rPr>
                <w:sz w:val="16"/>
              </w:rPr>
            </w:pPr>
            <w:r>
              <w:rPr>
                <w:spacing w:val="-5"/>
                <w:sz w:val="16"/>
              </w:rPr>
              <w:t>15</w:t>
            </w:r>
          </w:p>
        </w:tc>
        <w:tc>
          <w:tcPr>
            <w:tcW w:w="1365" w:type="dxa"/>
            <w:tcBorders>
              <w:bottom w:val="single" w:sz="8" w:space="0" w:color="6C6C6C"/>
            </w:tcBorders>
          </w:tcPr>
          <w:p>
            <w:pPr>
              <w:pStyle w:val="TableParagraph"/>
              <w:spacing w:line="184" w:lineRule="exact" w:before="27"/>
              <w:ind w:right="257"/>
              <w:jc w:val="right"/>
              <w:rPr>
                <w:sz w:val="16"/>
              </w:rPr>
            </w:pPr>
            <w:r>
              <w:rPr>
                <w:spacing w:val="-5"/>
                <w:sz w:val="16"/>
              </w:rPr>
              <w:t>14</w:t>
            </w:r>
          </w:p>
        </w:tc>
        <w:tc>
          <w:tcPr>
            <w:tcW w:w="1316" w:type="dxa"/>
            <w:tcBorders>
              <w:bottom w:val="single" w:sz="8" w:space="0" w:color="6C6C6C"/>
            </w:tcBorders>
          </w:tcPr>
          <w:p>
            <w:pPr>
              <w:pStyle w:val="TableParagraph"/>
              <w:spacing w:line="184" w:lineRule="exact" w:before="27"/>
              <w:ind w:right="66"/>
              <w:jc w:val="right"/>
              <w:rPr>
                <w:sz w:val="16"/>
              </w:rPr>
            </w:pPr>
            <w:r>
              <w:rPr>
                <w:spacing w:val="-10"/>
                <w:sz w:val="16"/>
              </w:rPr>
              <w:t>1</w:t>
            </w:r>
          </w:p>
        </w:tc>
      </w:tr>
      <w:tr>
        <w:trPr>
          <w:trHeight w:val="200" w:hRule="atLeast"/>
        </w:trPr>
        <w:tc>
          <w:tcPr>
            <w:tcW w:w="5325" w:type="dxa"/>
          </w:tcPr>
          <w:p>
            <w:pPr>
              <w:pStyle w:val="TableParagraph"/>
              <w:spacing w:line="167" w:lineRule="exact" w:before="12"/>
              <w:ind w:left="52"/>
              <w:rPr>
                <w:rFonts w:ascii="Arial"/>
                <w:b/>
                <w:sz w:val="16"/>
              </w:rPr>
            </w:pPr>
            <w:r>
              <w:rPr>
                <w:rFonts w:ascii="Arial"/>
                <w:b/>
                <w:sz w:val="16"/>
              </w:rPr>
              <w:t>Budget</w:t>
            </w:r>
            <w:r>
              <w:rPr>
                <w:rFonts w:ascii="Arial"/>
                <w:b/>
                <w:spacing w:val="-5"/>
                <w:sz w:val="16"/>
              </w:rPr>
              <w:t> </w:t>
            </w:r>
            <w:r>
              <w:rPr>
                <w:rFonts w:ascii="Arial"/>
                <w:b/>
                <w:sz w:val="16"/>
              </w:rPr>
              <w:t>anchor</w:t>
            </w:r>
            <w:r>
              <w:rPr>
                <w:rFonts w:ascii="Arial"/>
                <w:b/>
                <w:spacing w:val="-5"/>
                <w:sz w:val="16"/>
              </w:rPr>
              <w:t> </w:t>
            </w:r>
            <w:r>
              <w:rPr>
                <w:rFonts w:ascii="Arial"/>
                <w:b/>
                <w:spacing w:val="-2"/>
                <w:sz w:val="16"/>
              </w:rPr>
              <w:t>revenue</w:t>
            </w:r>
          </w:p>
        </w:tc>
        <w:tc>
          <w:tcPr>
            <w:tcW w:w="1354" w:type="dxa"/>
            <w:tcBorders>
              <w:top w:val="single" w:sz="8" w:space="0" w:color="6C6C6C"/>
              <w:bottom w:val="double" w:sz="8" w:space="0" w:color="6C6C6C"/>
            </w:tcBorders>
          </w:tcPr>
          <w:p>
            <w:pPr>
              <w:pStyle w:val="TableParagraph"/>
              <w:tabs>
                <w:tab w:pos="694" w:val="left" w:leader="none"/>
              </w:tabs>
              <w:spacing w:line="164" w:lineRule="exact" w:before="16"/>
              <w:ind w:left="52"/>
              <w:rPr>
                <w:rFonts w:ascii="Arial"/>
                <w:b/>
                <w:sz w:val="16"/>
              </w:rPr>
            </w:pPr>
            <w:r>
              <w:rPr>
                <w:rFonts w:ascii="Arial"/>
                <w:b/>
                <w:spacing w:val="-10"/>
                <w:sz w:val="16"/>
              </w:rPr>
              <w:t>$</w:t>
            </w:r>
            <w:r>
              <w:rPr>
                <w:rFonts w:ascii="Arial"/>
                <w:b/>
                <w:sz w:val="16"/>
              </w:rPr>
              <w:tab/>
            </w:r>
            <w:r>
              <w:rPr>
                <w:rFonts w:ascii="Arial"/>
                <w:b/>
                <w:spacing w:val="-2"/>
                <w:sz w:val="16"/>
              </w:rPr>
              <w:t>2,257</w:t>
            </w:r>
          </w:p>
        </w:tc>
        <w:tc>
          <w:tcPr>
            <w:tcW w:w="1365" w:type="dxa"/>
            <w:tcBorders>
              <w:top w:val="single" w:sz="8" w:space="0" w:color="6C6C6C"/>
              <w:bottom w:val="double" w:sz="8" w:space="0" w:color="6C6C6C"/>
            </w:tcBorders>
          </w:tcPr>
          <w:p>
            <w:pPr>
              <w:pStyle w:val="TableParagraph"/>
              <w:tabs>
                <w:tab w:pos="705" w:val="left" w:leader="none"/>
              </w:tabs>
              <w:spacing w:line="164" w:lineRule="exact" w:before="16"/>
              <w:ind w:left="63"/>
              <w:rPr>
                <w:rFonts w:ascii="Arial"/>
                <w:b/>
                <w:sz w:val="16"/>
              </w:rPr>
            </w:pPr>
            <w:r>
              <w:rPr>
                <w:rFonts w:ascii="Arial"/>
                <w:b/>
                <w:spacing w:val="-10"/>
                <w:sz w:val="16"/>
              </w:rPr>
              <w:t>$</w:t>
            </w:r>
            <w:r>
              <w:rPr>
                <w:rFonts w:ascii="Arial"/>
                <w:b/>
                <w:sz w:val="16"/>
              </w:rPr>
              <w:tab/>
            </w:r>
            <w:r>
              <w:rPr>
                <w:rFonts w:ascii="Arial"/>
                <w:b/>
                <w:spacing w:val="-2"/>
                <w:sz w:val="16"/>
              </w:rPr>
              <w:t>1,905</w:t>
            </w:r>
          </w:p>
        </w:tc>
        <w:tc>
          <w:tcPr>
            <w:tcW w:w="1316" w:type="dxa"/>
            <w:tcBorders>
              <w:top w:val="single" w:sz="8" w:space="0" w:color="6C6C6C"/>
              <w:bottom w:val="double" w:sz="8" w:space="0" w:color="6C6C6C"/>
            </w:tcBorders>
          </w:tcPr>
          <w:p>
            <w:pPr>
              <w:pStyle w:val="TableParagraph"/>
              <w:tabs>
                <w:tab w:pos="917" w:val="left" w:leader="none"/>
              </w:tabs>
              <w:spacing w:line="164" w:lineRule="exact" w:before="16"/>
              <w:ind w:right="66"/>
              <w:jc w:val="right"/>
              <w:rPr>
                <w:rFonts w:ascii="Arial"/>
                <w:b/>
                <w:sz w:val="16"/>
              </w:rPr>
            </w:pPr>
            <w:r>
              <w:rPr>
                <w:rFonts w:ascii="Arial"/>
                <w:b/>
                <w:spacing w:val="-10"/>
                <w:sz w:val="16"/>
              </w:rPr>
              <w:t>$</w:t>
            </w:r>
            <w:r>
              <w:rPr>
                <w:rFonts w:ascii="Arial"/>
                <w:b/>
                <w:sz w:val="16"/>
              </w:rPr>
              <w:tab/>
            </w:r>
            <w:r>
              <w:rPr>
                <w:rFonts w:ascii="Arial"/>
                <w:b/>
                <w:spacing w:val="-5"/>
                <w:sz w:val="16"/>
              </w:rPr>
              <w:t>352</w:t>
            </w:r>
          </w:p>
        </w:tc>
      </w:tr>
      <w:tr>
        <w:trPr>
          <w:trHeight w:val="200" w:hRule="atLeast"/>
        </w:trPr>
        <w:tc>
          <w:tcPr>
            <w:tcW w:w="5325" w:type="dxa"/>
            <w:tcBorders>
              <w:bottom w:val="single" w:sz="8" w:space="0" w:color="6C6C6C"/>
            </w:tcBorders>
          </w:tcPr>
          <w:p>
            <w:pPr>
              <w:pStyle w:val="TableParagraph"/>
              <w:spacing w:line="180" w:lineRule="exact"/>
              <w:ind w:left="52"/>
              <w:rPr>
                <w:rFonts w:ascii="Arial"/>
                <w:b/>
                <w:sz w:val="16"/>
              </w:rPr>
            </w:pPr>
            <w:r>
              <w:rPr>
                <w:rFonts w:ascii="Arial"/>
                <w:b/>
                <w:sz w:val="16"/>
              </w:rPr>
              <w:t>Budget</w:t>
            </w:r>
            <w:r>
              <w:rPr>
                <w:rFonts w:ascii="Arial"/>
                <w:b/>
                <w:spacing w:val="-5"/>
                <w:sz w:val="16"/>
              </w:rPr>
              <w:t> </w:t>
            </w:r>
            <w:r>
              <w:rPr>
                <w:rFonts w:ascii="Arial"/>
                <w:b/>
                <w:spacing w:val="-2"/>
                <w:sz w:val="16"/>
              </w:rPr>
              <w:t>Anchor</w:t>
            </w:r>
          </w:p>
        </w:tc>
        <w:tc>
          <w:tcPr>
            <w:tcW w:w="1354" w:type="dxa"/>
            <w:tcBorders>
              <w:top w:val="double" w:sz="8" w:space="0" w:color="6C6C6C"/>
              <w:bottom w:val="single" w:sz="8" w:space="0" w:color="6C6C6C"/>
            </w:tcBorders>
          </w:tcPr>
          <w:p>
            <w:pPr>
              <w:pStyle w:val="TableParagraph"/>
              <w:spacing w:line="180" w:lineRule="exact"/>
              <w:ind w:right="61"/>
              <w:jc w:val="right"/>
              <w:rPr>
                <w:rFonts w:ascii="Arial"/>
                <w:b/>
                <w:sz w:val="16"/>
              </w:rPr>
            </w:pPr>
            <w:r>
              <w:rPr>
                <w:rFonts w:ascii="Arial"/>
                <w:b/>
                <w:sz w:val="16"/>
              </w:rPr>
              <w:t>60.3</w:t>
            </w:r>
            <w:r>
              <w:rPr>
                <w:rFonts w:ascii="Arial"/>
                <w:b/>
                <w:spacing w:val="6"/>
                <w:sz w:val="16"/>
              </w:rPr>
              <w:t> </w:t>
            </w:r>
            <w:r>
              <w:rPr>
                <w:rFonts w:ascii="Arial"/>
                <w:b/>
                <w:spacing w:val="-10"/>
                <w:sz w:val="16"/>
              </w:rPr>
              <w:t>%</w:t>
            </w:r>
          </w:p>
        </w:tc>
        <w:tc>
          <w:tcPr>
            <w:tcW w:w="1365" w:type="dxa"/>
            <w:tcBorders>
              <w:top w:val="double" w:sz="8" w:space="0" w:color="6C6C6C"/>
              <w:bottom w:val="single" w:sz="8" w:space="0" w:color="6C6C6C"/>
            </w:tcBorders>
          </w:tcPr>
          <w:p>
            <w:pPr>
              <w:pStyle w:val="TableParagraph"/>
              <w:spacing w:line="180" w:lineRule="exact"/>
              <w:ind w:right="61"/>
              <w:jc w:val="right"/>
              <w:rPr>
                <w:rFonts w:ascii="Arial"/>
                <w:b/>
                <w:sz w:val="16"/>
              </w:rPr>
            </w:pPr>
            <w:r>
              <w:rPr>
                <w:rFonts w:ascii="Arial"/>
                <w:b/>
                <w:sz w:val="16"/>
              </w:rPr>
              <w:t>65.4</w:t>
            </w:r>
            <w:r>
              <w:rPr>
                <w:rFonts w:ascii="Arial"/>
                <w:b/>
                <w:spacing w:val="6"/>
                <w:sz w:val="16"/>
              </w:rPr>
              <w:t> </w:t>
            </w:r>
            <w:r>
              <w:rPr>
                <w:rFonts w:ascii="Arial"/>
                <w:b/>
                <w:spacing w:val="-10"/>
                <w:sz w:val="16"/>
              </w:rPr>
              <w:t>%</w:t>
            </w:r>
          </w:p>
        </w:tc>
        <w:tc>
          <w:tcPr>
            <w:tcW w:w="1316" w:type="dxa"/>
            <w:tcBorders>
              <w:top w:val="double" w:sz="8" w:space="0" w:color="6C6C6C"/>
              <w:bottom w:val="single" w:sz="8" w:space="0" w:color="6C6C6C"/>
            </w:tcBorders>
          </w:tcPr>
          <w:p>
            <w:pPr>
              <w:pStyle w:val="TableParagraph"/>
              <w:rPr>
                <w:rFonts w:ascii="Times New Roman"/>
                <w:sz w:val="12"/>
              </w:rPr>
            </w:pPr>
          </w:p>
        </w:tc>
      </w:tr>
    </w:tbl>
    <w:p>
      <w:pPr>
        <w:pStyle w:val="ListParagraph"/>
        <w:numPr>
          <w:ilvl w:val="0"/>
          <w:numId w:val="6"/>
        </w:numPr>
        <w:tabs>
          <w:tab w:pos="950" w:val="left" w:leader="none"/>
          <w:tab w:pos="952" w:val="left" w:leader="none"/>
        </w:tabs>
        <w:spacing w:line="249" w:lineRule="auto" w:before="33" w:after="0"/>
        <w:ind w:left="952" w:right="819" w:hanging="180"/>
        <w:jc w:val="left"/>
        <w:rPr>
          <w:rFonts w:ascii="Arial"/>
          <w:i/>
          <w:sz w:val="16"/>
        </w:rPr>
      </w:pPr>
      <w:r>
        <w:rPr>
          <w:rFonts w:ascii="Arial"/>
          <w:i/>
          <w:sz w:val="16"/>
        </w:rPr>
        <w:t>These</w:t>
      </w:r>
      <w:r>
        <w:rPr>
          <w:rFonts w:ascii="Arial"/>
          <w:i/>
          <w:spacing w:val="-4"/>
          <w:sz w:val="16"/>
        </w:rPr>
        <w:t> </w:t>
      </w:r>
      <w:r>
        <w:rPr>
          <w:rFonts w:ascii="Arial"/>
          <w:i/>
          <w:sz w:val="16"/>
        </w:rPr>
        <w:t>adjustments</w:t>
      </w:r>
      <w:r>
        <w:rPr>
          <w:rFonts w:ascii="Arial"/>
          <w:i/>
          <w:spacing w:val="-3"/>
          <w:sz w:val="16"/>
        </w:rPr>
        <w:t> </w:t>
      </w:r>
      <w:r>
        <w:rPr>
          <w:rFonts w:ascii="Arial"/>
          <w:i/>
          <w:sz w:val="16"/>
        </w:rPr>
        <w:t>are</w:t>
      </w:r>
      <w:r>
        <w:rPr>
          <w:rFonts w:ascii="Arial"/>
          <w:i/>
          <w:spacing w:val="-4"/>
          <w:sz w:val="16"/>
        </w:rPr>
        <w:t> </w:t>
      </w:r>
      <w:r>
        <w:rPr>
          <w:rFonts w:ascii="Arial"/>
          <w:i/>
          <w:sz w:val="16"/>
        </w:rPr>
        <w:t>made</w:t>
      </w:r>
      <w:r>
        <w:rPr>
          <w:rFonts w:ascii="Arial"/>
          <w:i/>
          <w:spacing w:val="-4"/>
          <w:sz w:val="16"/>
        </w:rPr>
        <w:t> </w:t>
      </w:r>
      <w:r>
        <w:rPr>
          <w:rFonts w:ascii="Arial"/>
          <w:i/>
          <w:sz w:val="16"/>
        </w:rPr>
        <w:t>to</w:t>
      </w:r>
      <w:r>
        <w:rPr>
          <w:rFonts w:ascii="Arial"/>
          <w:i/>
          <w:spacing w:val="-4"/>
          <w:sz w:val="16"/>
        </w:rPr>
        <w:t> </w:t>
      </w:r>
      <w:r>
        <w:rPr>
          <w:rFonts w:ascii="Arial"/>
          <w:i/>
          <w:sz w:val="16"/>
        </w:rPr>
        <w:t>arrive</w:t>
      </w:r>
      <w:r>
        <w:rPr>
          <w:rFonts w:ascii="Arial"/>
          <w:i/>
          <w:spacing w:val="-4"/>
          <w:sz w:val="16"/>
        </w:rPr>
        <w:t> </w:t>
      </w:r>
      <w:r>
        <w:rPr>
          <w:rFonts w:ascii="Arial"/>
          <w:i/>
          <w:sz w:val="16"/>
        </w:rPr>
        <w:t>at</w:t>
      </w:r>
      <w:r>
        <w:rPr>
          <w:rFonts w:ascii="Arial"/>
          <w:i/>
          <w:spacing w:val="-3"/>
          <w:sz w:val="16"/>
        </w:rPr>
        <w:t> </w:t>
      </w:r>
      <w:r>
        <w:rPr>
          <w:rFonts w:ascii="Arial"/>
          <w:i/>
          <w:sz w:val="16"/>
        </w:rPr>
        <w:t>net</w:t>
      </w:r>
      <w:r>
        <w:rPr>
          <w:rFonts w:ascii="Arial"/>
          <w:i/>
          <w:spacing w:val="-3"/>
          <w:sz w:val="16"/>
        </w:rPr>
        <w:t> </w:t>
      </w:r>
      <w:r>
        <w:rPr>
          <w:rFonts w:ascii="Arial"/>
          <w:i/>
          <w:sz w:val="16"/>
        </w:rPr>
        <w:t>administrative</w:t>
      </w:r>
      <w:r>
        <w:rPr>
          <w:rFonts w:ascii="Arial"/>
          <w:i/>
          <w:spacing w:val="-4"/>
          <w:sz w:val="16"/>
        </w:rPr>
        <w:t> </w:t>
      </w:r>
      <w:r>
        <w:rPr>
          <w:rFonts w:ascii="Arial"/>
          <w:i/>
          <w:sz w:val="16"/>
        </w:rPr>
        <w:t>expenses</w:t>
      </w:r>
      <w:r>
        <w:rPr>
          <w:rFonts w:ascii="Arial"/>
          <w:i/>
          <w:spacing w:val="-3"/>
          <w:sz w:val="16"/>
        </w:rPr>
        <w:t> </w:t>
      </w:r>
      <w:r>
        <w:rPr>
          <w:rFonts w:ascii="Arial"/>
          <w:i/>
          <w:sz w:val="16"/>
        </w:rPr>
        <w:t>used</w:t>
      </w:r>
      <w:r>
        <w:rPr>
          <w:rFonts w:ascii="Arial"/>
          <w:i/>
          <w:spacing w:val="-4"/>
          <w:sz w:val="16"/>
        </w:rPr>
        <w:t> </w:t>
      </w:r>
      <w:r>
        <w:rPr>
          <w:rFonts w:ascii="Arial"/>
          <w:i/>
          <w:sz w:val="16"/>
        </w:rPr>
        <w:t>for</w:t>
      </w:r>
      <w:r>
        <w:rPr>
          <w:rFonts w:ascii="Arial"/>
          <w:i/>
          <w:spacing w:val="-3"/>
          <w:sz w:val="16"/>
        </w:rPr>
        <w:t> </w:t>
      </w:r>
      <w:r>
        <w:rPr>
          <w:rFonts w:ascii="Arial"/>
          <w:i/>
          <w:sz w:val="16"/>
        </w:rPr>
        <w:t>allocable</w:t>
      </w:r>
      <w:r>
        <w:rPr>
          <w:rFonts w:ascii="Arial"/>
          <w:i/>
          <w:spacing w:val="-4"/>
          <w:sz w:val="16"/>
        </w:rPr>
        <w:t> </w:t>
      </w:r>
      <w:r>
        <w:rPr>
          <w:rFonts w:ascii="Arial"/>
          <w:i/>
          <w:sz w:val="16"/>
        </w:rPr>
        <w:t>income</w:t>
      </w:r>
      <w:r>
        <w:rPr>
          <w:rFonts w:ascii="Arial"/>
          <w:i/>
          <w:spacing w:val="-4"/>
          <w:sz w:val="16"/>
        </w:rPr>
        <w:t> </w:t>
      </w:r>
      <w:r>
        <w:rPr>
          <w:rFonts w:ascii="Arial"/>
          <w:i/>
          <w:sz w:val="16"/>
        </w:rPr>
        <w:t>purposes.</w:t>
      </w:r>
      <w:r>
        <w:rPr>
          <w:rFonts w:ascii="Arial"/>
          <w:i/>
          <w:spacing w:val="-3"/>
          <w:sz w:val="16"/>
        </w:rPr>
        <w:t> </w:t>
      </w:r>
      <w:r>
        <w:rPr>
          <w:rFonts w:ascii="Arial"/>
          <w:i/>
          <w:sz w:val="16"/>
        </w:rPr>
        <w:t>For</w:t>
      </w:r>
      <w:r>
        <w:rPr>
          <w:rFonts w:ascii="Arial"/>
          <w:i/>
          <w:spacing w:val="-3"/>
          <w:sz w:val="16"/>
        </w:rPr>
        <w:t> </w:t>
      </w:r>
      <w:r>
        <w:rPr>
          <w:rFonts w:ascii="Arial"/>
          <w:i/>
          <w:sz w:val="16"/>
        </w:rPr>
        <w:t>more</w:t>
      </w:r>
      <w:r>
        <w:rPr>
          <w:rFonts w:ascii="Arial"/>
          <w:i/>
          <w:spacing w:val="-4"/>
          <w:sz w:val="16"/>
        </w:rPr>
        <w:t> </w:t>
      </w:r>
      <w:r>
        <w:rPr>
          <w:rFonts w:ascii="Arial"/>
          <w:i/>
          <w:sz w:val="16"/>
        </w:rPr>
        <w:t>information see Table 7 in Net Income Allocation section.</w:t>
      </w:r>
    </w:p>
    <w:p>
      <w:pPr>
        <w:pStyle w:val="ListParagraph"/>
        <w:spacing w:after="0" w:line="249" w:lineRule="auto"/>
        <w:jc w:val="left"/>
        <w:rPr>
          <w:rFonts w:ascii="Arial"/>
          <w:i/>
          <w:sz w:val="16"/>
        </w:rPr>
        <w:sectPr>
          <w:pgSz w:w="12240" w:h="15840"/>
          <w:pgMar w:header="744" w:footer="583" w:top="1020" w:bottom="780" w:left="720" w:right="720"/>
        </w:sectPr>
      </w:pPr>
    </w:p>
    <w:p>
      <w:pPr>
        <w:pStyle w:val="BodyText"/>
        <w:spacing w:before="96"/>
        <w:rPr>
          <w:rFonts w:ascii="Arial"/>
          <w:i/>
          <w:sz w:val="22"/>
        </w:rPr>
      </w:pPr>
    </w:p>
    <w:p>
      <w:pPr>
        <w:pStyle w:val="Heading4"/>
      </w:pPr>
      <w:r>
        <w:rPr/>
        <w:t>Unrealized</w:t>
      </w:r>
      <w:r>
        <w:rPr>
          <w:spacing w:val="-6"/>
        </w:rPr>
        <w:t> </w:t>
      </w:r>
      <w:r>
        <w:rPr/>
        <w:t>mark-to-market</w:t>
      </w:r>
      <w:r>
        <w:rPr>
          <w:spacing w:val="-2"/>
        </w:rPr>
        <w:t> </w:t>
      </w:r>
      <w:r>
        <w:rPr/>
        <w:t>gains/losses</w:t>
      </w:r>
      <w:r>
        <w:rPr>
          <w:spacing w:val="-4"/>
        </w:rPr>
        <w:t> </w:t>
      </w:r>
      <w:r>
        <w:rPr/>
        <w:t>on</w:t>
      </w:r>
      <w:r>
        <w:rPr>
          <w:spacing w:val="-3"/>
        </w:rPr>
        <w:t> </w:t>
      </w:r>
      <w:r>
        <w:rPr/>
        <w:t>non-trading</w:t>
      </w:r>
      <w:r>
        <w:rPr>
          <w:spacing w:val="-6"/>
        </w:rPr>
        <w:t> </w:t>
      </w:r>
      <w:r>
        <w:rPr>
          <w:spacing w:val="-2"/>
        </w:rPr>
        <w:t>portfolios</w:t>
      </w:r>
    </w:p>
    <w:p>
      <w:pPr>
        <w:pStyle w:val="BodyText"/>
        <w:spacing w:line="232" w:lineRule="auto" w:before="145"/>
        <w:ind w:left="720" w:right="718"/>
        <w:jc w:val="both"/>
      </w:pPr>
      <w:r>
        <w:rPr/>
        <w:t>Unrealized mark-to-market gains and losses associated with the non-trading portfolios are excluded from reported net income to arrive at allocable income. As a result, from a long-term financial sustainability perspective, income allocations are generally based on amounts that have been realized (except for the Investments-Trading portfolio, as previously discussed). For FY23, $167 million of net unrealized mark-to-market losses ($3,356 million net unrealized mark-to-market gains in FY22) were excluded from reported net income to arrive at allocable income</w:t>
      </w:r>
      <w:r>
        <w:rPr>
          <w:spacing w:val="40"/>
        </w:rPr>
        <w:t> </w:t>
      </w:r>
      <w:r>
        <w:rPr/>
        <w:t>(see Table 1).</w:t>
      </w:r>
    </w:p>
    <w:p>
      <w:pPr>
        <w:pStyle w:val="BodyText"/>
        <w:spacing w:before="40"/>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9"/>
        <w:gridCol w:w="372"/>
        <w:gridCol w:w="1130"/>
        <w:gridCol w:w="1141"/>
        <w:gridCol w:w="1092"/>
      </w:tblGrid>
      <w:tr>
        <w:trPr>
          <w:trHeight w:val="731" w:hRule="atLeast"/>
        </w:trPr>
        <w:tc>
          <w:tcPr>
            <w:tcW w:w="5629" w:type="dxa"/>
            <w:tcBorders>
              <w:bottom w:val="single" w:sz="4" w:space="0" w:color="929292"/>
            </w:tcBorders>
          </w:tcPr>
          <w:p>
            <w:pPr>
              <w:pStyle w:val="TableParagraph"/>
              <w:spacing w:before="18"/>
              <w:ind w:left="52"/>
              <w:rPr>
                <w:rFonts w:ascii="Arial"/>
                <w:b/>
                <w:sz w:val="18"/>
              </w:rPr>
            </w:pPr>
            <w:r>
              <w:rPr>
                <w:rFonts w:ascii="Arial"/>
                <w:b/>
                <w:sz w:val="18"/>
              </w:rPr>
              <w:t>Table</w:t>
            </w:r>
            <w:r>
              <w:rPr>
                <w:rFonts w:ascii="Arial"/>
                <w:b/>
                <w:spacing w:val="-4"/>
                <w:sz w:val="18"/>
              </w:rPr>
              <w:t> </w:t>
            </w:r>
            <w:r>
              <w:rPr>
                <w:rFonts w:ascii="Arial"/>
                <w:b/>
                <w:sz w:val="18"/>
              </w:rPr>
              <w:t>6:</w:t>
            </w:r>
            <w:r>
              <w:rPr>
                <w:rFonts w:ascii="Arial"/>
                <w:b/>
                <w:spacing w:val="-3"/>
                <w:sz w:val="18"/>
              </w:rPr>
              <w:t> </w:t>
            </w:r>
            <w:r>
              <w:rPr>
                <w:rFonts w:ascii="Arial"/>
                <w:b/>
                <w:sz w:val="18"/>
              </w:rPr>
              <w:t>Unrealized</w:t>
            </w:r>
            <w:r>
              <w:rPr>
                <w:rFonts w:ascii="Arial"/>
                <w:b/>
                <w:spacing w:val="-3"/>
                <w:sz w:val="18"/>
              </w:rPr>
              <w:t> </w:t>
            </w:r>
            <w:r>
              <w:rPr>
                <w:rFonts w:ascii="Arial"/>
                <w:b/>
                <w:sz w:val="18"/>
              </w:rPr>
              <w:t>Mark-to-Market</w:t>
            </w:r>
            <w:r>
              <w:rPr>
                <w:rFonts w:ascii="Arial"/>
                <w:b/>
                <w:spacing w:val="-4"/>
                <w:sz w:val="18"/>
              </w:rPr>
              <w:t> </w:t>
            </w:r>
            <w:r>
              <w:rPr>
                <w:rFonts w:ascii="Arial"/>
                <w:b/>
                <w:sz w:val="18"/>
              </w:rPr>
              <w:t>gains/(losses)</w:t>
            </w:r>
            <w:r>
              <w:rPr>
                <w:rFonts w:ascii="Arial"/>
                <w:b/>
                <w:spacing w:val="-3"/>
                <w:sz w:val="18"/>
              </w:rPr>
              <w:t> </w:t>
            </w:r>
            <w:r>
              <w:rPr>
                <w:rFonts w:ascii="Arial"/>
                <w:b/>
                <w:sz w:val="18"/>
              </w:rPr>
              <w:t>on</w:t>
            </w:r>
            <w:r>
              <w:rPr>
                <w:rFonts w:ascii="Arial"/>
                <w:b/>
                <w:spacing w:val="-3"/>
                <w:sz w:val="18"/>
              </w:rPr>
              <w:t> </w:t>
            </w:r>
            <w:r>
              <w:rPr>
                <w:rFonts w:ascii="Arial"/>
                <w:b/>
                <w:sz w:val="18"/>
              </w:rPr>
              <w:t>non-</w:t>
            </w:r>
            <w:r>
              <w:rPr>
                <w:rFonts w:ascii="Arial"/>
                <w:b/>
                <w:spacing w:val="-2"/>
                <w:sz w:val="18"/>
              </w:rPr>
              <w:t>trading</w:t>
            </w:r>
          </w:p>
          <w:p>
            <w:pPr>
              <w:pStyle w:val="TableParagraph"/>
              <w:spacing w:before="58"/>
              <w:ind w:left="52"/>
              <w:rPr>
                <w:rFonts w:ascii="Arial"/>
                <w:i/>
                <w:sz w:val="16"/>
              </w:rPr>
            </w:pPr>
            <w:bookmarkStart w:name="_bookmark18" w:id="30"/>
            <w:bookmarkEnd w:id="30"/>
            <w:r>
              <w:rPr/>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TableParagraph"/>
              <w:spacing w:before="56"/>
              <w:ind w:left="52"/>
              <w:rPr>
                <w:rFonts w:ascii="Arial"/>
                <w:i/>
                <w:sz w:val="16"/>
              </w:rPr>
            </w:pPr>
            <w:r>
              <w:rPr>
                <w:rFonts w:ascii="Arial"/>
                <w:i/>
                <w:color w:val="929292"/>
                <w:sz w:val="16"/>
              </w:rPr>
              <w:t>For</w:t>
            </w:r>
            <w:r>
              <w:rPr>
                <w:rFonts w:ascii="Arial"/>
                <w:i/>
                <w:color w:val="929292"/>
                <w:spacing w:val="-3"/>
                <w:sz w:val="16"/>
              </w:rPr>
              <w:t> </w:t>
            </w:r>
            <w:r>
              <w:rPr>
                <w:rFonts w:ascii="Arial"/>
                <w:i/>
                <w:color w:val="929292"/>
                <w:sz w:val="16"/>
              </w:rPr>
              <w:t>the</w:t>
            </w:r>
            <w:r>
              <w:rPr>
                <w:rFonts w:ascii="Arial"/>
                <w:i/>
                <w:color w:val="929292"/>
                <w:spacing w:val="-3"/>
                <w:sz w:val="16"/>
              </w:rPr>
              <w:t> </w:t>
            </w:r>
            <w:r>
              <w:rPr>
                <w:rFonts w:ascii="Arial"/>
                <w:i/>
                <w:color w:val="929292"/>
                <w:sz w:val="16"/>
              </w:rPr>
              <w:t>fiscal</w:t>
            </w:r>
            <w:r>
              <w:rPr>
                <w:rFonts w:ascii="Arial"/>
                <w:i/>
                <w:color w:val="929292"/>
                <w:spacing w:val="-2"/>
                <w:sz w:val="16"/>
              </w:rPr>
              <w:t> </w:t>
            </w:r>
            <w:r>
              <w:rPr>
                <w:rFonts w:ascii="Arial"/>
                <w:i/>
                <w:color w:val="929292"/>
                <w:sz w:val="16"/>
              </w:rPr>
              <w:t>year</w:t>
            </w:r>
            <w:r>
              <w:rPr>
                <w:rFonts w:ascii="Arial"/>
                <w:i/>
                <w:color w:val="929292"/>
                <w:spacing w:val="-2"/>
                <w:sz w:val="16"/>
              </w:rPr>
              <w:t> </w:t>
            </w:r>
            <w:r>
              <w:rPr>
                <w:rFonts w:ascii="Arial"/>
                <w:i/>
                <w:color w:val="929292"/>
                <w:sz w:val="16"/>
              </w:rPr>
              <w:t>ended</w:t>
            </w:r>
            <w:r>
              <w:rPr>
                <w:rFonts w:ascii="Arial"/>
                <w:i/>
                <w:color w:val="929292"/>
                <w:spacing w:val="-3"/>
                <w:sz w:val="16"/>
              </w:rPr>
              <w:t> </w:t>
            </w:r>
            <w:r>
              <w:rPr>
                <w:rFonts w:ascii="Arial"/>
                <w:i/>
                <w:color w:val="929292"/>
                <w:sz w:val="16"/>
              </w:rPr>
              <w:t>June</w:t>
            </w:r>
            <w:r>
              <w:rPr>
                <w:rFonts w:ascii="Arial"/>
                <w:i/>
                <w:color w:val="929292"/>
                <w:spacing w:val="-3"/>
                <w:sz w:val="16"/>
              </w:rPr>
              <w:t> </w:t>
            </w:r>
            <w:r>
              <w:rPr>
                <w:rFonts w:ascii="Arial"/>
                <w:i/>
                <w:color w:val="929292"/>
                <w:spacing w:val="-5"/>
                <w:sz w:val="16"/>
              </w:rPr>
              <w:t>30,</w:t>
            </w:r>
          </w:p>
        </w:tc>
        <w:tc>
          <w:tcPr>
            <w:tcW w:w="1502" w:type="dxa"/>
            <w:gridSpan w:val="2"/>
            <w:tcBorders>
              <w:bottom w:val="single" w:sz="4" w:space="0" w:color="929292"/>
            </w:tcBorders>
          </w:tcPr>
          <w:p>
            <w:pPr>
              <w:pStyle w:val="TableParagraph"/>
              <w:spacing w:before="18"/>
              <w:ind w:left="24"/>
              <w:rPr>
                <w:rFonts w:ascii="Arial"/>
                <w:b/>
                <w:sz w:val="18"/>
              </w:rPr>
            </w:pPr>
            <w:r>
              <w:rPr>
                <w:rFonts w:ascii="Arial"/>
                <w:b/>
                <w:sz w:val="18"/>
              </w:rPr>
              <w:t>portfolios</w:t>
            </w:r>
            <w:r>
              <w:rPr>
                <w:rFonts w:ascii="Arial"/>
                <w:b/>
                <w:spacing w:val="-9"/>
                <w:sz w:val="18"/>
              </w:rPr>
              <w:t> </w:t>
            </w:r>
            <w:r>
              <w:rPr>
                <w:rFonts w:ascii="Arial"/>
                <w:b/>
                <w:spacing w:val="-10"/>
                <w:sz w:val="18"/>
                <w:vertAlign w:val="superscript"/>
              </w:rPr>
              <w:t>a</w:t>
            </w:r>
          </w:p>
          <w:p>
            <w:pPr>
              <w:pStyle w:val="TableParagraph"/>
              <w:spacing w:before="91"/>
              <w:rPr>
                <w:rFonts w:ascii="Times New Roman"/>
                <w:sz w:val="18"/>
              </w:rPr>
            </w:pPr>
          </w:p>
          <w:p>
            <w:pPr>
              <w:pStyle w:val="TableParagraph"/>
              <w:ind w:right="101"/>
              <w:jc w:val="right"/>
              <w:rPr>
                <w:rFonts w:ascii="Arial"/>
                <w:i/>
                <w:sz w:val="16"/>
              </w:rPr>
            </w:pPr>
            <w:r>
              <w:rPr>
                <w:rFonts w:ascii="Arial"/>
                <w:i/>
                <w:color w:val="929292"/>
                <w:spacing w:val="-4"/>
                <w:sz w:val="16"/>
              </w:rPr>
              <w:t>2023</w:t>
            </w:r>
          </w:p>
        </w:tc>
        <w:tc>
          <w:tcPr>
            <w:tcW w:w="1141" w:type="dxa"/>
            <w:tcBorders>
              <w:bottom w:val="single" w:sz="4" w:space="0" w:color="929292"/>
            </w:tcBorders>
          </w:tcPr>
          <w:p>
            <w:pPr>
              <w:pStyle w:val="TableParagraph"/>
              <w:rPr>
                <w:rFonts w:ascii="Times New Roman"/>
                <w:sz w:val="16"/>
              </w:rPr>
            </w:pPr>
          </w:p>
          <w:p>
            <w:pPr>
              <w:pStyle w:val="TableParagraph"/>
              <w:spacing w:before="155"/>
              <w:rPr>
                <w:rFonts w:ascii="Times New Roman"/>
                <w:sz w:val="16"/>
              </w:rPr>
            </w:pPr>
          </w:p>
          <w:p>
            <w:pPr>
              <w:pStyle w:val="TableParagraph"/>
              <w:ind w:right="102"/>
              <w:jc w:val="right"/>
              <w:rPr>
                <w:rFonts w:ascii="Arial"/>
                <w:i/>
                <w:sz w:val="16"/>
              </w:rPr>
            </w:pPr>
            <w:r>
              <w:rPr>
                <w:rFonts w:ascii="Arial"/>
                <w:i/>
                <w:color w:val="929292"/>
                <w:spacing w:val="-4"/>
                <w:sz w:val="16"/>
              </w:rPr>
              <w:t>2022</w:t>
            </w:r>
          </w:p>
        </w:tc>
        <w:tc>
          <w:tcPr>
            <w:tcW w:w="1092" w:type="dxa"/>
            <w:tcBorders>
              <w:bottom w:val="single" w:sz="4" w:space="0" w:color="929292"/>
            </w:tcBorders>
          </w:tcPr>
          <w:p>
            <w:pPr>
              <w:pStyle w:val="TableParagraph"/>
              <w:rPr>
                <w:rFonts w:ascii="Times New Roman"/>
                <w:sz w:val="16"/>
              </w:rPr>
            </w:pPr>
          </w:p>
          <w:p>
            <w:pPr>
              <w:pStyle w:val="TableParagraph"/>
              <w:spacing w:before="155"/>
              <w:rPr>
                <w:rFonts w:ascii="Times New Roman"/>
                <w:sz w:val="16"/>
              </w:rPr>
            </w:pPr>
          </w:p>
          <w:p>
            <w:pPr>
              <w:pStyle w:val="TableParagraph"/>
              <w:ind w:left="232"/>
              <w:rPr>
                <w:rFonts w:ascii="Arial"/>
                <w:i/>
                <w:sz w:val="16"/>
              </w:rPr>
            </w:pPr>
            <w:r>
              <w:rPr>
                <w:rFonts w:ascii="Arial"/>
                <w:i/>
                <w:color w:val="929292"/>
                <w:spacing w:val="-2"/>
                <w:sz w:val="16"/>
              </w:rPr>
              <w:t>Variance</w:t>
            </w:r>
          </w:p>
        </w:tc>
      </w:tr>
      <w:tr>
        <w:trPr>
          <w:trHeight w:val="235" w:hRule="atLeast"/>
        </w:trPr>
        <w:tc>
          <w:tcPr>
            <w:tcW w:w="5629" w:type="dxa"/>
            <w:tcBorders>
              <w:top w:val="single" w:sz="4" w:space="0" w:color="929292"/>
            </w:tcBorders>
          </w:tcPr>
          <w:p>
            <w:pPr>
              <w:pStyle w:val="TableParagraph"/>
              <w:spacing w:before="21"/>
              <w:ind w:left="52"/>
              <w:rPr>
                <w:sz w:val="16"/>
              </w:rPr>
            </w:pPr>
            <w:r>
              <w:rPr>
                <w:sz w:val="16"/>
              </w:rPr>
              <w:t>Loan</w:t>
            </w:r>
            <w:r>
              <w:rPr>
                <w:spacing w:val="-5"/>
                <w:sz w:val="16"/>
              </w:rPr>
              <w:t> </w:t>
            </w:r>
            <w:r>
              <w:rPr>
                <w:sz w:val="16"/>
              </w:rPr>
              <w:t>related</w:t>
            </w:r>
            <w:r>
              <w:rPr>
                <w:spacing w:val="-4"/>
                <w:sz w:val="16"/>
              </w:rPr>
              <w:t> </w:t>
            </w:r>
            <w:r>
              <w:rPr>
                <w:spacing w:val="-2"/>
                <w:sz w:val="16"/>
              </w:rPr>
              <w:t>derivatives</w:t>
            </w:r>
          </w:p>
        </w:tc>
        <w:tc>
          <w:tcPr>
            <w:tcW w:w="1502" w:type="dxa"/>
            <w:gridSpan w:val="2"/>
            <w:tcBorders>
              <w:top w:val="single" w:sz="4" w:space="0" w:color="929292"/>
            </w:tcBorders>
          </w:tcPr>
          <w:p>
            <w:pPr>
              <w:pStyle w:val="TableParagraph"/>
              <w:tabs>
                <w:tab w:pos="983" w:val="left" w:leader="none"/>
              </w:tabs>
              <w:spacing w:before="21"/>
              <w:ind w:left="423"/>
              <w:rPr>
                <w:sz w:val="16"/>
              </w:rPr>
            </w:pPr>
            <w:r>
              <w:rPr>
                <w:spacing w:val="-10"/>
                <w:sz w:val="16"/>
              </w:rPr>
              <w:t>$</w:t>
            </w:r>
            <w:r>
              <w:rPr>
                <w:sz w:val="16"/>
              </w:rPr>
              <w:tab/>
            </w:r>
            <w:r>
              <w:rPr>
                <w:spacing w:val="-2"/>
                <w:sz w:val="16"/>
              </w:rPr>
              <w:t>1,673</w:t>
            </w:r>
          </w:p>
        </w:tc>
        <w:tc>
          <w:tcPr>
            <w:tcW w:w="1141" w:type="dxa"/>
            <w:tcBorders>
              <w:top w:val="single" w:sz="4" w:space="0" w:color="929292"/>
            </w:tcBorders>
          </w:tcPr>
          <w:p>
            <w:pPr>
              <w:pStyle w:val="TableParagraph"/>
              <w:tabs>
                <w:tab w:pos="559" w:val="left" w:leader="none"/>
              </w:tabs>
              <w:spacing w:before="21"/>
              <w:ind w:right="118"/>
              <w:jc w:val="right"/>
              <w:rPr>
                <w:sz w:val="16"/>
              </w:rPr>
            </w:pPr>
            <w:r>
              <w:rPr>
                <w:spacing w:val="-10"/>
                <w:sz w:val="16"/>
              </w:rPr>
              <w:t>$</w:t>
            </w:r>
            <w:r>
              <w:rPr>
                <w:sz w:val="16"/>
              </w:rPr>
              <w:tab/>
            </w:r>
            <w:r>
              <w:rPr>
                <w:spacing w:val="-2"/>
                <w:sz w:val="16"/>
              </w:rPr>
              <w:t>5,988</w:t>
            </w:r>
          </w:p>
        </w:tc>
        <w:tc>
          <w:tcPr>
            <w:tcW w:w="1092" w:type="dxa"/>
            <w:tcBorders>
              <w:top w:val="single" w:sz="4" w:space="0" w:color="929292"/>
            </w:tcBorders>
          </w:tcPr>
          <w:p>
            <w:pPr>
              <w:pStyle w:val="TableParagraph"/>
              <w:tabs>
                <w:tab w:pos="506" w:val="left" w:leader="none"/>
              </w:tabs>
              <w:spacing w:before="21"/>
              <w:ind w:right="16"/>
              <w:jc w:val="right"/>
              <w:rPr>
                <w:sz w:val="16"/>
              </w:rPr>
            </w:pPr>
            <w:r>
              <w:rPr>
                <w:spacing w:val="-10"/>
                <w:sz w:val="16"/>
              </w:rPr>
              <w:t>$</w:t>
            </w:r>
            <w:r>
              <w:rPr>
                <w:sz w:val="16"/>
              </w:rPr>
              <w:tab/>
            </w:r>
            <w:r>
              <w:rPr>
                <w:spacing w:val="-2"/>
                <w:sz w:val="16"/>
              </w:rPr>
              <w:t>(4,315)</w:t>
            </w:r>
          </w:p>
        </w:tc>
      </w:tr>
      <w:tr>
        <w:trPr>
          <w:trHeight w:val="240" w:hRule="atLeast"/>
        </w:trPr>
        <w:tc>
          <w:tcPr>
            <w:tcW w:w="5629" w:type="dxa"/>
          </w:tcPr>
          <w:p>
            <w:pPr>
              <w:pStyle w:val="TableParagraph"/>
              <w:spacing w:before="25"/>
              <w:ind w:left="52"/>
              <w:rPr>
                <w:sz w:val="16"/>
              </w:rPr>
            </w:pPr>
            <w:r>
              <w:rPr>
                <w:sz w:val="16"/>
              </w:rPr>
              <w:t>Other</w:t>
            </w:r>
            <w:r>
              <w:rPr>
                <w:spacing w:val="-8"/>
                <w:sz w:val="16"/>
              </w:rPr>
              <w:t> </w:t>
            </w:r>
            <w:r>
              <w:rPr>
                <w:sz w:val="16"/>
              </w:rPr>
              <w:t>asset/liability</w:t>
            </w:r>
            <w:r>
              <w:rPr>
                <w:spacing w:val="-6"/>
                <w:sz w:val="16"/>
              </w:rPr>
              <w:t> </w:t>
            </w:r>
            <w:r>
              <w:rPr>
                <w:sz w:val="16"/>
              </w:rPr>
              <w:t>management</w:t>
            </w:r>
            <w:r>
              <w:rPr>
                <w:spacing w:val="-6"/>
                <w:sz w:val="16"/>
              </w:rPr>
              <w:t> </w:t>
            </w:r>
            <w:r>
              <w:rPr>
                <w:sz w:val="16"/>
              </w:rPr>
              <w:t>derivatives,</w:t>
            </w:r>
            <w:r>
              <w:rPr>
                <w:spacing w:val="-6"/>
                <w:sz w:val="16"/>
              </w:rPr>
              <w:t> </w:t>
            </w:r>
            <w:r>
              <w:rPr>
                <w:spacing w:val="-5"/>
                <w:sz w:val="16"/>
              </w:rPr>
              <w:t>net</w:t>
            </w:r>
          </w:p>
        </w:tc>
        <w:tc>
          <w:tcPr>
            <w:tcW w:w="1502" w:type="dxa"/>
            <w:gridSpan w:val="2"/>
          </w:tcPr>
          <w:p>
            <w:pPr>
              <w:pStyle w:val="TableParagraph"/>
              <w:spacing w:before="25"/>
              <w:ind w:left="930"/>
              <w:rPr>
                <w:sz w:val="16"/>
              </w:rPr>
            </w:pPr>
            <w:r>
              <w:rPr>
                <w:spacing w:val="-2"/>
                <w:sz w:val="16"/>
              </w:rPr>
              <w:t>(1,642)</w:t>
            </w:r>
          </w:p>
        </w:tc>
        <w:tc>
          <w:tcPr>
            <w:tcW w:w="1141" w:type="dxa"/>
          </w:tcPr>
          <w:p>
            <w:pPr>
              <w:pStyle w:val="TableParagraph"/>
              <w:spacing w:before="25"/>
              <w:ind w:right="64"/>
              <w:jc w:val="right"/>
              <w:rPr>
                <w:sz w:val="16"/>
              </w:rPr>
            </w:pPr>
            <w:r>
              <w:rPr>
                <w:spacing w:val="-2"/>
                <w:sz w:val="16"/>
              </w:rPr>
              <w:t>(3,392)</w:t>
            </w:r>
          </w:p>
        </w:tc>
        <w:tc>
          <w:tcPr>
            <w:tcW w:w="1092" w:type="dxa"/>
          </w:tcPr>
          <w:p>
            <w:pPr>
              <w:pStyle w:val="TableParagraph"/>
              <w:spacing w:before="25"/>
              <w:ind w:right="70"/>
              <w:jc w:val="right"/>
              <w:rPr>
                <w:sz w:val="16"/>
              </w:rPr>
            </w:pPr>
            <w:r>
              <w:rPr>
                <w:spacing w:val="-2"/>
                <w:sz w:val="16"/>
              </w:rPr>
              <w:t>1,750</w:t>
            </w:r>
          </w:p>
        </w:tc>
      </w:tr>
      <w:tr>
        <w:trPr>
          <w:trHeight w:val="240" w:hRule="atLeast"/>
        </w:trPr>
        <w:tc>
          <w:tcPr>
            <w:tcW w:w="5629" w:type="dxa"/>
          </w:tcPr>
          <w:p>
            <w:pPr>
              <w:pStyle w:val="TableParagraph"/>
              <w:spacing w:before="25"/>
              <w:ind w:left="52"/>
              <w:rPr>
                <w:sz w:val="16"/>
              </w:rPr>
            </w:pPr>
            <w:r>
              <w:rPr>
                <w:sz w:val="16"/>
              </w:rPr>
              <w:t>Borrowings,</w:t>
            </w:r>
            <w:r>
              <w:rPr>
                <w:spacing w:val="-6"/>
                <w:sz w:val="16"/>
              </w:rPr>
              <w:t> </w:t>
            </w:r>
            <w:r>
              <w:rPr>
                <w:sz w:val="16"/>
              </w:rPr>
              <w:t>including</w:t>
            </w:r>
            <w:r>
              <w:rPr>
                <w:spacing w:val="-7"/>
                <w:sz w:val="16"/>
              </w:rPr>
              <w:t> </w:t>
            </w:r>
            <w:r>
              <w:rPr>
                <w:sz w:val="16"/>
              </w:rPr>
              <w:t>related</w:t>
            </w:r>
            <w:r>
              <w:rPr>
                <w:spacing w:val="-6"/>
                <w:sz w:val="16"/>
              </w:rPr>
              <w:t> </w:t>
            </w:r>
            <w:r>
              <w:rPr>
                <w:spacing w:val="-2"/>
                <w:sz w:val="16"/>
              </w:rPr>
              <w:t>derivatives</w:t>
            </w:r>
          </w:p>
        </w:tc>
        <w:tc>
          <w:tcPr>
            <w:tcW w:w="1502" w:type="dxa"/>
            <w:gridSpan w:val="2"/>
          </w:tcPr>
          <w:p>
            <w:pPr>
              <w:pStyle w:val="TableParagraph"/>
              <w:spacing w:before="25"/>
              <w:ind w:right="63"/>
              <w:jc w:val="right"/>
              <w:rPr>
                <w:sz w:val="16"/>
              </w:rPr>
            </w:pPr>
            <w:r>
              <w:rPr>
                <w:spacing w:val="-2"/>
                <w:sz w:val="16"/>
              </w:rPr>
              <w:t>(198)</w:t>
            </w:r>
          </w:p>
        </w:tc>
        <w:tc>
          <w:tcPr>
            <w:tcW w:w="1141" w:type="dxa"/>
          </w:tcPr>
          <w:p>
            <w:pPr>
              <w:pStyle w:val="TableParagraph"/>
              <w:spacing w:before="25"/>
              <w:ind w:right="118"/>
              <w:jc w:val="right"/>
              <w:rPr>
                <w:sz w:val="16"/>
              </w:rPr>
            </w:pPr>
            <w:r>
              <w:rPr>
                <w:spacing w:val="-5"/>
                <w:sz w:val="16"/>
              </w:rPr>
              <w:t>747</w:t>
            </w:r>
          </w:p>
        </w:tc>
        <w:tc>
          <w:tcPr>
            <w:tcW w:w="1092" w:type="dxa"/>
          </w:tcPr>
          <w:p>
            <w:pPr>
              <w:pStyle w:val="TableParagraph"/>
              <w:spacing w:before="25"/>
              <w:ind w:right="16"/>
              <w:jc w:val="right"/>
              <w:rPr>
                <w:sz w:val="16"/>
              </w:rPr>
            </w:pPr>
            <w:r>
              <w:rPr>
                <w:spacing w:val="-2"/>
                <w:sz w:val="16"/>
              </w:rPr>
              <w:t>(945)</w:t>
            </w:r>
          </w:p>
        </w:tc>
      </w:tr>
      <w:tr>
        <w:trPr>
          <w:trHeight w:val="240" w:hRule="atLeast"/>
        </w:trPr>
        <w:tc>
          <w:tcPr>
            <w:tcW w:w="5629" w:type="dxa"/>
          </w:tcPr>
          <w:p>
            <w:pPr>
              <w:pStyle w:val="TableParagraph"/>
              <w:spacing w:before="25"/>
              <w:ind w:left="52"/>
              <w:rPr>
                <w:sz w:val="16"/>
              </w:rPr>
            </w:pPr>
            <w:r>
              <w:rPr>
                <w:sz w:val="16"/>
              </w:rPr>
              <w:t>Client</w:t>
            </w:r>
            <w:r>
              <w:rPr>
                <w:spacing w:val="-6"/>
                <w:sz w:val="16"/>
              </w:rPr>
              <w:t> </w:t>
            </w:r>
            <w:r>
              <w:rPr>
                <w:sz w:val="16"/>
              </w:rPr>
              <w:t>operations</w:t>
            </w:r>
            <w:r>
              <w:rPr>
                <w:spacing w:val="-6"/>
                <w:sz w:val="16"/>
              </w:rPr>
              <w:t> </w:t>
            </w:r>
            <w:r>
              <w:rPr>
                <w:spacing w:val="-2"/>
                <w:sz w:val="16"/>
              </w:rPr>
              <w:t>derivatives</w:t>
            </w:r>
          </w:p>
        </w:tc>
        <w:tc>
          <w:tcPr>
            <w:tcW w:w="1502" w:type="dxa"/>
            <w:gridSpan w:val="2"/>
          </w:tcPr>
          <w:p>
            <w:pPr>
              <w:pStyle w:val="TableParagraph"/>
              <w:spacing w:before="25"/>
              <w:ind w:right="117"/>
              <w:jc w:val="right"/>
              <w:rPr>
                <w:sz w:val="16"/>
              </w:rPr>
            </w:pPr>
            <w:r>
              <w:rPr>
                <w:spacing w:val="-10"/>
                <w:sz w:val="16"/>
              </w:rPr>
              <w:t>1</w:t>
            </w:r>
          </w:p>
        </w:tc>
        <w:tc>
          <w:tcPr>
            <w:tcW w:w="1141" w:type="dxa"/>
          </w:tcPr>
          <w:p>
            <w:pPr>
              <w:pStyle w:val="TableParagraph"/>
              <w:spacing w:before="25"/>
              <w:ind w:right="118"/>
              <w:jc w:val="right"/>
              <w:rPr>
                <w:sz w:val="16"/>
              </w:rPr>
            </w:pPr>
            <w:r>
              <w:rPr>
                <w:spacing w:val="-10"/>
                <w:sz w:val="16"/>
              </w:rPr>
              <w:t>8</w:t>
            </w:r>
          </w:p>
        </w:tc>
        <w:tc>
          <w:tcPr>
            <w:tcW w:w="1092" w:type="dxa"/>
          </w:tcPr>
          <w:p>
            <w:pPr>
              <w:pStyle w:val="TableParagraph"/>
              <w:spacing w:before="25"/>
              <w:ind w:right="16"/>
              <w:jc w:val="right"/>
              <w:rPr>
                <w:sz w:val="16"/>
              </w:rPr>
            </w:pPr>
            <w:r>
              <w:rPr>
                <w:spacing w:val="-5"/>
                <w:sz w:val="16"/>
              </w:rPr>
              <w:t>(7)</w:t>
            </w:r>
          </w:p>
        </w:tc>
      </w:tr>
      <w:tr>
        <w:trPr>
          <w:trHeight w:val="229" w:hRule="atLeast"/>
        </w:trPr>
        <w:tc>
          <w:tcPr>
            <w:tcW w:w="5629" w:type="dxa"/>
          </w:tcPr>
          <w:p>
            <w:pPr>
              <w:pStyle w:val="TableParagraph"/>
              <w:spacing w:line="184" w:lineRule="exact" w:before="25"/>
              <w:ind w:left="52"/>
              <w:rPr>
                <w:sz w:val="16"/>
              </w:rPr>
            </w:pPr>
            <w:r>
              <w:rPr>
                <w:sz w:val="16"/>
              </w:rPr>
              <w:t>Others,</w:t>
            </w:r>
            <w:r>
              <w:rPr>
                <w:spacing w:val="-2"/>
                <w:sz w:val="16"/>
              </w:rPr>
              <w:t> </w:t>
            </w:r>
            <w:r>
              <w:rPr>
                <w:spacing w:val="-5"/>
                <w:sz w:val="16"/>
              </w:rPr>
              <w:t>net</w:t>
            </w:r>
          </w:p>
        </w:tc>
        <w:tc>
          <w:tcPr>
            <w:tcW w:w="1502" w:type="dxa"/>
            <w:gridSpan w:val="2"/>
          </w:tcPr>
          <w:p>
            <w:pPr>
              <w:pStyle w:val="TableParagraph"/>
              <w:spacing w:line="184" w:lineRule="exact" w:before="25"/>
              <w:ind w:right="63"/>
              <w:jc w:val="right"/>
              <w:rPr>
                <w:sz w:val="16"/>
              </w:rPr>
            </w:pPr>
            <w:r>
              <w:rPr>
                <w:spacing w:val="-5"/>
                <w:sz w:val="16"/>
              </w:rPr>
              <w:t>(1)</w:t>
            </w:r>
          </w:p>
        </w:tc>
        <w:tc>
          <w:tcPr>
            <w:tcW w:w="1141" w:type="dxa"/>
          </w:tcPr>
          <w:p>
            <w:pPr>
              <w:pStyle w:val="TableParagraph"/>
              <w:spacing w:line="184" w:lineRule="exact" w:before="25"/>
              <w:ind w:right="118"/>
              <w:jc w:val="right"/>
              <w:rPr>
                <w:sz w:val="16"/>
              </w:rPr>
            </w:pPr>
            <w:r>
              <w:rPr>
                <w:spacing w:val="-10"/>
                <w:sz w:val="16"/>
              </w:rPr>
              <w:t>5</w:t>
            </w:r>
          </w:p>
        </w:tc>
        <w:tc>
          <w:tcPr>
            <w:tcW w:w="1092" w:type="dxa"/>
          </w:tcPr>
          <w:p>
            <w:pPr>
              <w:pStyle w:val="TableParagraph"/>
              <w:spacing w:line="184" w:lineRule="exact" w:before="25"/>
              <w:ind w:right="16"/>
              <w:jc w:val="right"/>
              <w:rPr>
                <w:sz w:val="16"/>
              </w:rPr>
            </w:pPr>
            <w:r>
              <w:rPr>
                <w:spacing w:val="-5"/>
                <w:sz w:val="16"/>
              </w:rPr>
              <w:t>(6)</w:t>
            </w:r>
          </w:p>
        </w:tc>
      </w:tr>
      <w:tr>
        <w:trPr>
          <w:trHeight w:val="240" w:hRule="atLeast"/>
        </w:trPr>
        <w:tc>
          <w:tcPr>
            <w:tcW w:w="6001" w:type="dxa"/>
            <w:gridSpan w:val="2"/>
          </w:tcPr>
          <w:p>
            <w:pPr>
              <w:pStyle w:val="TableParagraph"/>
              <w:spacing w:before="16"/>
              <w:ind w:left="52"/>
              <w:rPr>
                <w:rFonts w:ascii="Arial"/>
                <w:b/>
                <w:sz w:val="16"/>
              </w:rPr>
            </w:pPr>
            <w:r>
              <w:rPr>
                <w:rFonts w:ascii="Arial"/>
                <w:b/>
                <w:spacing w:val="-2"/>
                <w:sz w:val="16"/>
              </w:rPr>
              <w:t>Total</w:t>
            </w:r>
          </w:p>
        </w:tc>
        <w:tc>
          <w:tcPr>
            <w:tcW w:w="3363" w:type="dxa"/>
            <w:gridSpan w:val="3"/>
            <w:tcBorders>
              <w:bottom w:val="single" w:sz="8" w:space="0" w:color="000000"/>
            </w:tcBorders>
          </w:tcPr>
          <w:p>
            <w:pPr>
              <w:pStyle w:val="TableParagraph"/>
              <w:tabs>
                <w:tab w:pos="691" w:val="left" w:leader="none"/>
                <w:tab w:pos="1751" w:val="left" w:leader="none"/>
                <w:tab w:pos="2837" w:val="left" w:leader="none"/>
              </w:tabs>
              <w:spacing w:before="16"/>
              <w:ind w:left="-2"/>
              <w:rPr>
                <w:rFonts w:ascii="Arial"/>
                <w:b/>
                <w:sz w:val="16"/>
              </w:rPr>
            </w:pPr>
            <w:r>
              <w:rPr>
                <w:rFonts w:ascii="Arial"/>
                <w:b/>
                <w:spacing w:val="12"/>
                <w:sz w:val="16"/>
                <w:u w:val="single"/>
              </w:rPr>
              <w:t> </w:t>
            </w:r>
            <w:r>
              <w:rPr>
                <w:rFonts w:ascii="Arial"/>
                <w:b/>
                <w:spacing w:val="-10"/>
                <w:sz w:val="16"/>
                <w:u w:val="single"/>
              </w:rPr>
              <w:t>$</w:t>
            </w:r>
            <w:r>
              <w:rPr>
                <w:rFonts w:ascii="Arial"/>
                <w:b/>
                <w:sz w:val="16"/>
                <w:u w:val="single"/>
              </w:rPr>
              <w:tab/>
              <w:t>(167)</w:t>
            </w:r>
            <w:r>
              <w:rPr>
                <w:rFonts w:ascii="Arial"/>
                <w:b/>
                <w:spacing w:val="79"/>
                <w:sz w:val="16"/>
                <w:u w:val="single"/>
              </w:rPr>
              <w:t> </w:t>
            </w:r>
            <w:r>
              <w:rPr>
                <w:rFonts w:ascii="Arial"/>
                <w:b/>
                <w:spacing w:val="-10"/>
                <w:sz w:val="16"/>
                <w:u w:val="single"/>
              </w:rPr>
              <w:t>$</w:t>
            </w:r>
            <w:r>
              <w:rPr>
                <w:rFonts w:ascii="Arial"/>
                <w:b/>
                <w:sz w:val="16"/>
                <w:u w:val="single"/>
              </w:rPr>
              <w:tab/>
              <w:t>3,356</w:t>
            </w:r>
            <w:r>
              <w:rPr>
                <w:rFonts w:ascii="Arial"/>
                <w:b/>
                <w:spacing w:val="43"/>
                <w:sz w:val="16"/>
                <w:u w:val="single"/>
              </w:rPr>
              <w:t>  </w:t>
            </w:r>
            <w:r>
              <w:rPr>
                <w:rFonts w:ascii="Arial"/>
                <w:b/>
                <w:spacing w:val="-10"/>
                <w:sz w:val="16"/>
                <w:u w:val="single"/>
              </w:rPr>
              <w:t>$</w:t>
            </w:r>
            <w:r>
              <w:rPr>
                <w:rFonts w:ascii="Arial"/>
                <w:b/>
                <w:sz w:val="16"/>
                <w:u w:val="single"/>
              </w:rPr>
              <w:tab/>
            </w:r>
            <w:r>
              <w:rPr>
                <w:rFonts w:ascii="Arial"/>
                <w:b/>
                <w:spacing w:val="-2"/>
                <w:sz w:val="16"/>
                <w:u w:val="single"/>
              </w:rPr>
              <w:t>(3,523)</w:t>
            </w:r>
          </w:p>
        </w:tc>
      </w:tr>
    </w:tbl>
    <w:p>
      <w:pPr>
        <w:pStyle w:val="BodyText"/>
        <w:spacing w:before="4"/>
        <w:rPr>
          <w:sz w:val="16"/>
        </w:rPr>
      </w:pPr>
      <w:r>
        <w:rPr>
          <w:sz w:val="16"/>
        </w:rPr>
        <mc:AlternateContent>
          <mc:Choice Requires="wps">
            <w:drawing>
              <wp:anchor distT="0" distB="0" distL="0" distR="0" allowOverlap="1" layoutInCell="1" locked="0" behindDoc="1" simplePos="0" relativeHeight="487623168">
                <wp:simplePos x="0" y="0"/>
                <wp:positionH relativeFrom="page">
                  <wp:posOffset>914400</wp:posOffset>
                </wp:positionH>
                <wp:positionV relativeFrom="paragraph">
                  <wp:posOffset>134614</wp:posOffset>
                </wp:positionV>
                <wp:extent cx="5943600"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943600" cy="1270"/>
                        </a:xfrm>
                        <a:custGeom>
                          <a:avLst/>
                          <a:gdLst/>
                          <a:ahLst/>
                          <a:cxnLst/>
                          <a:rect l="l" t="t" r="r" b="b"/>
                          <a:pathLst>
                            <a:path w="5943600" h="0">
                              <a:moveTo>
                                <a:pt x="0" y="0"/>
                              </a:moveTo>
                              <a:lnTo>
                                <a:pt x="5943600" y="0"/>
                              </a:lnTo>
                            </a:path>
                          </a:pathLst>
                        </a:custGeom>
                        <a:ln w="6350">
                          <a:solidFill>
                            <a:srgbClr val="929292"/>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996pt;width:468pt;height:.1pt;mso-position-horizontal-relative:page;mso-position-vertical-relative:paragraph;z-index:-15693312;mso-wrap-distance-left:0;mso-wrap-distance-right:0" id="docshape161" coordorigin="1440,212" coordsize="9360,0" path="m1440,212l10800,212e" filled="false" stroked="true" strokeweight=".5pt" strokecolor="#929292">
                <v:path arrowok="t"/>
                <v:stroke dashstyle="solid"/>
                <w10:wrap type="topAndBottom"/>
              </v:shape>
            </w:pict>
          </mc:Fallback>
        </mc:AlternateContent>
      </w:r>
    </w:p>
    <w:p>
      <w:pPr>
        <w:pStyle w:val="ListParagraph"/>
        <w:numPr>
          <w:ilvl w:val="0"/>
          <w:numId w:val="7"/>
        </w:numPr>
        <w:tabs>
          <w:tab w:pos="948" w:val="left" w:leader="none"/>
        </w:tabs>
        <w:spacing w:line="240" w:lineRule="auto" w:before="21" w:after="0"/>
        <w:ind w:left="948" w:right="0" w:hanging="176"/>
        <w:jc w:val="left"/>
        <w:rPr>
          <w:rFonts w:ascii="Arial"/>
          <w:i/>
          <w:sz w:val="16"/>
        </w:rPr>
      </w:pPr>
      <w:r>
        <w:rPr>
          <w:rFonts w:ascii="Arial"/>
          <w:i/>
          <w:sz w:val="16"/>
        </w:rPr>
        <w:t>Adjusted</w:t>
      </w:r>
      <w:r>
        <w:rPr>
          <w:rFonts w:ascii="Arial"/>
          <w:i/>
          <w:spacing w:val="-7"/>
          <w:sz w:val="16"/>
        </w:rPr>
        <w:t> </w:t>
      </w:r>
      <w:r>
        <w:rPr>
          <w:rFonts w:ascii="Arial"/>
          <w:i/>
          <w:sz w:val="16"/>
        </w:rPr>
        <w:t>to</w:t>
      </w:r>
      <w:r>
        <w:rPr>
          <w:rFonts w:ascii="Arial"/>
          <w:i/>
          <w:spacing w:val="-4"/>
          <w:sz w:val="16"/>
        </w:rPr>
        <w:t> </w:t>
      </w:r>
      <w:r>
        <w:rPr>
          <w:rFonts w:ascii="Arial"/>
          <w:i/>
          <w:sz w:val="16"/>
        </w:rPr>
        <w:t>exclude</w:t>
      </w:r>
      <w:r>
        <w:rPr>
          <w:rFonts w:ascii="Arial"/>
          <w:i/>
          <w:spacing w:val="-5"/>
          <w:sz w:val="16"/>
        </w:rPr>
        <w:t> </w:t>
      </w:r>
      <w:r>
        <w:rPr>
          <w:rFonts w:ascii="Arial"/>
          <w:i/>
          <w:sz w:val="16"/>
        </w:rPr>
        <w:t>amounts</w:t>
      </w:r>
      <w:r>
        <w:rPr>
          <w:rFonts w:ascii="Arial"/>
          <w:i/>
          <w:spacing w:val="-3"/>
          <w:sz w:val="16"/>
        </w:rPr>
        <w:t> </w:t>
      </w:r>
      <w:r>
        <w:rPr>
          <w:rFonts w:ascii="Arial"/>
          <w:i/>
          <w:sz w:val="16"/>
        </w:rPr>
        <w:t>reclassified</w:t>
      </w:r>
      <w:r>
        <w:rPr>
          <w:rFonts w:ascii="Arial"/>
          <w:i/>
          <w:spacing w:val="-5"/>
          <w:sz w:val="16"/>
        </w:rPr>
        <w:t> </w:t>
      </w:r>
      <w:r>
        <w:rPr>
          <w:rFonts w:ascii="Arial"/>
          <w:i/>
          <w:sz w:val="16"/>
        </w:rPr>
        <w:t>to</w:t>
      </w:r>
      <w:r>
        <w:rPr>
          <w:rFonts w:ascii="Arial"/>
          <w:i/>
          <w:spacing w:val="-4"/>
          <w:sz w:val="16"/>
        </w:rPr>
        <w:t> </w:t>
      </w:r>
      <w:r>
        <w:rPr>
          <w:rFonts w:ascii="Arial"/>
          <w:i/>
          <w:sz w:val="16"/>
        </w:rPr>
        <w:t>realized</w:t>
      </w:r>
      <w:r>
        <w:rPr>
          <w:rFonts w:ascii="Arial"/>
          <w:i/>
          <w:spacing w:val="-4"/>
          <w:sz w:val="16"/>
        </w:rPr>
        <w:t> </w:t>
      </w:r>
      <w:r>
        <w:rPr>
          <w:rFonts w:ascii="Arial"/>
          <w:i/>
          <w:sz w:val="16"/>
        </w:rPr>
        <w:t>mark-to-market</w:t>
      </w:r>
      <w:r>
        <w:rPr>
          <w:rFonts w:ascii="Arial"/>
          <w:i/>
          <w:spacing w:val="-4"/>
          <w:sz w:val="16"/>
        </w:rPr>
        <w:t> </w:t>
      </w:r>
      <w:r>
        <w:rPr>
          <w:rFonts w:ascii="Arial"/>
          <w:i/>
          <w:sz w:val="16"/>
        </w:rPr>
        <w:t>gains</w:t>
      </w:r>
      <w:r>
        <w:rPr>
          <w:rFonts w:ascii="Arial"/>
          <w:i/>
          <w:spacing w:val="-3"/>
          <w:sz w:val="16"/>
        </w:rPr>
        <w:t> </w:t>
      </w:r>
      <w:r>
        <w:rPr>
          <w:rFonts w:ascii="Arial"/>
          <w:i/>
          <w:spacing w:val="-2"/>
          <w:sz w:val="16"/>
        </w:rPr>
        <w:t>(losses).</w:t>
      </w:r>
    </w:p>
    <w:p>
      <w:pPr>
        <w:pStyle w:val="BodyText"/>
        <w:spacing w:before="13"/>
        <w:rPr>
          <w:rFonts w:ascii="Arial"/>
          <w:i/>
          <w:sz w:val="16"/>
        </w:rPr>
      </w:pPr>
    </w:p>
    <w:p>
      <w:pPr>
        <w:pStyle w:val="Heading6"/>
      </w:pPr>
      <w:r>
        <w:rPr/>
        <w:t>Loan</w:t>
      </w:r>
      <w:r>
        <w:rPr>
          <w:spacing w:val="-1"/>
        </w:rPr>
        <w:t> </w:t>
      </w:r>
      <w:r>
        <w:rPr>
          <w:spacing w:val="-2"/>
        </w:rPr>
        <w:t>Portfolio</w:t>
      </w:r>
    </w:p>
    <w:p>
      <w:pPr>
        <w:pStyle w:val="BodyText"/>
        <w:spacing w:line="249" w:lineRule="auto" w:before="136"/>
        <w:ind w:left="720" w:right="718"/>
        <w:jc w:val="both"/>
      </w:pPr>
      <w:r>
        <w:rPr/>
        <w:t>Loans are reported at amortized cost on the Balance Sheets and therefore the mark-to-market effect on loans is not reflected in reported net income. However, the derivatives used to convert the loans from fixed-rate to variable-rate instruments, for asset / liability management purposes, are reported at fair value. From an economic perspective, IBRD’s loans after the effect of derivatives carry variable interest rates and have a low sensitivity to interest rates. The unrealized mark-to-market gains on loan related derivatives were $1,673 million in FY23, primarily due to the increase in interest rates during the year. The lower unrealized mark-to-market gains in FY23 were primarily due to the less prominent increase in interest rates compared to FY22. See Section IX: Risk Management for additional details on how IBRD uses derivatives in the loan portfolio.</w:t>
      </w:r>
    </w:p>
    <w:p>
      <w:pPr>
        <w:pStyle w:val="Heading6"/>
        <w:spacing w:before="121"/>
      </w:pPr>
      <w:r>
        <w:rPr/>
        <w:t>Other</w:t>
      </w:r>
      <w:r>
        <w:rPr>
          <w:spacing w:val="-2"/>
        </w:rPr>
        <w:t> </w:t>
      </w:r>
      <w:r>
        <w:rPr/>
        <w:t>ALM</w:t>
      </w:r>
      <w:r>
        <w:rPr>
          <w:spacing w:val="-2"/>
        </w:rPr>
        <w:t> Portfolio</w:t>
      </w:r>
    </w:p>
    <w:p>
      <w:pPr>
        <w:pStyle w:val="BodyText"/>
        <w:spacing w:line="249" w:lineRule="auto" w:before="119"/>
        <w:ind w:left="720" w:right="717"/>
        <w:jc w:val="both"/>
      </w:pPr>
      <w:r>
        <w:rPr/>
        <w:t>IBRD uses derivatives to stabilize its interest revenue from the portion of loans that is sensitive to changes in short - term interest rates. The Other ALM portfolio consists of derivatives which convert variable rate loan cash flows to fixed rate loan cash flows. In FY23, IBRD recorded unrealized mark-to-market losses of $1,642 million on this portfolio primarily due to the increase in interest rates during the year. The lower unrealized mark-to-market losses in FY23 were primarily due to the less prominent increase in interest rates compared to FY22. As of June 30, 2023, the duration of this portfolio was 3.9 years, within the Board established limit of 5 years.</w:t>
      </w:r>
    </w:p>
    <w:p>
      <w:pPr>
        <w:pStyle w:val="Heading6"/>
        <w:spacing w:before="120"/>
      </w:pPr>
      <w:r>
        <w:rPr/>
        <w:t>Borrowing</w:t>
      </w:r>
      <w:r>
        <w:rPr>
          <w:spacing w:val="-1"/>
        </w:rPr>
        <w:t> </w:t>
      </w:r>
      <w:r>
        <w:rPr>
          <w:spacing w:val="-2"/>
        </w:rPr>
        <w:t>Portfolio</w:t>
      </w:r>
    </w:p>
    <w:p>
      <w:pPr>
        <w:pStyle w:val="BodyText"/>
        <w:spacing w:line="232" w:lineRule="auto" w:before="141"/>
        <w:ind w:left="720" w:right="718"/>
        <w:jc w:val="both"/>
      </w:pPr>
      <w:r>
        <w:rPr/>
        <w:t>IBRD’s bonds and the related derivatives are reported at fair value. IBRD recorded $198 million of net unrealized mark-to-market losses on IBRD’s bonds and associated derivatives, due to the increase in interest rates for the year ended</w:t>
      </w:r>
      <w:r>
        <w:rPr>
          <w:spacing w:val="-1"/>
        </w:rPr>
        <w:t> </w:t>
      </w:r>
      <w:r>
        <w:rPr/>
        <w:t>June</w:t>
      </w:r>
      <w:r>
        <w:rPr>
          <w:spacing w:val="-1"/>
        </w:rPr>
        <w:t> </w:t>
      </w:r>
      <w:r>
        <w:rPr/>
        <w:t>30,</w:t>
      </w:r>
      <w:r>
        <w:rPr>
          <w:spacing w:val="-1"/>
        </w:rPr>
        <w:t> </w:t>
      </w:r>
      <w:r>
        <w:rPr/>
        <w:t>2023.</w:t>
      </w:r>
      <w:r>
        <w:rPr>
          <w:spacing w:val="-1"/>
        </w:rPr>
        <w:t> </w:t>
      </w:r>
      <w:r>
        <w:rPr/>
        <w:t>The</w:t>
      </w:r>
      <w:r>
        <w:rPr>
          <w:spacing w:val="-1"/>
        </w:rPr>
        <w:t> </w:t>
      </w:r>
      <w:r>
        <w:rPr/>
        <w:t>losses</w:t>
      </w:r>
      <w:r>
        <w:rPr>
          <w:spacing w:val="-1"/>
        </w:rPr>
        <w:t> </w:t>
      </w:r>
      <w:r>
        <w:rPr/>
        <w:t>on</w:t>
      </w:r>
      <w:r>
        <w:rPr>
          <w:spacing w:val="-1"/>
        </w:rPr>
        <w:t> </w:t>
      </w:r>
      <w:r>
        <w:rPr/>
        <w:t>the</w:t>
      </w:r>
      <w:r>
        <w:rPr>
          <w:spacing w:val="-1"/>
        </w:rPr>
        <w:t> </w:t>
      </w:r>
      <w:r>
        <w:rPr/>
        <w:t>bond-related</w:t>
      </w:r>
      <w:r>
        <w:rPr>
          <w:spacing w:val="-1"/>
        </w:rPr>
        <w:t> </w:t>
      </w:r>
      <w:r>
        <w:rPr/>
        <w:t>derivatives</w:t>
      </w:r>
      <w:r>
        <w:rPr>
          <w:spacing w:val="-1"/>
        </w:rPr>
        <w:t> </w:t>
      </w:r>
      <w:r>
        <w:rPr/>
        <w:t>exceeded</w:t>
      </w:r>
      <w:r>
        <w:rPr>
          <w:spacing w:val="-1"/>
        </w:rPr>
        <w:t> </w:t>
      </w:r>
      <w:r>
        <w:rPr/>
        <w:t>the</w:t>
      </w:r>
      <w:r>
        <w:rPr>
          <w:spacing w:val="-1"/>
        </w:rPr>
        <w:t> </w:t>
      </w:r>
      <w:r>
        <w:rPr/>
        <w:t>gains</w:t>
      </w:r>
      <w:r>
        <w:rPr>
          <w:spacing w:val="-1"/>
        </w:rPr>
        <w:t> </w:t>
      </w:r>
      <w:r>
        <w:rPr/>
        <w:t>on</w:t>
      </w:r>
      <w:r>
        <w:rPr>
          <w:spacing w:val="-1"/>
        </w:rPr>
        <w:t> </w:t>
      </w:r>
      <w:r>
        <w:rPr/>
        <w:t>the</w:t>
      </w:r>
      <w:r>
        <w:rPr>
          <w:spacing w:val="-1"/>
        </w:rPr>
        <w:t> </w:t>
      </w:r>
      <w:r>
        <w:rPr/>
        <w:t>bonds.</w:t>
      </w:r>
      <w:r>
        <w:rPr>
          <w:spacing w:val="-1"/>
        </w:rPr>
        <w:t> </w:t>
      </w:r>
      <w:r>
        <w:rPr/>
        <w:t>The</w:t>
      </w:r>
      <w:r>
        <w:rPr>
          <w:spacing w:val="-1"/>
        </w:rPr>
        <w:t> </w:t>
      </w:r>
      <w:r>
        <w:rPr/>
        <w:t>net</w:t>
      </w:r>
      <w:r>
        <w:rPr>
          <w:spacing w:val="-1"/>
        </w:rPr>
        <w:t> </w:t>
      </w:r>
      <w:r>
        <w:rPr/>
        <w:t>unrealized mark-to-market gains on IBRD’s bonds exclude changes in IBRD’s own credit, referred to as the Debit Valuation Adjustment (DVA) on Fair Value Option elected liabilities, which is instead recorded in Accumulated Other Comprehensive Income (AOCI). In FY23, the DVA was $13 million of unrealized mark-to-market losses, resulting mainly from the tightening of IBRD’s credit spreads relative to the applicable reference rate during the year. As of June 30, 2023, IBRD’s Balance Sheets included a cumulative DVA of $351 million of mark-to-market gains reflected in AOCI (See Notes to the Financial Statements, Note L –Fair Value Disclosures).</w:t>
      </w:r>
    </w:p>
    <w:p>
      <w:pPr>
        <w:pStyle w:val="BodyText"/>
        <w:spacing w:after="0" w:line="232" w:lineRule="auto"/>
        <w:jc w:val="both"/>
        <w:sectPr>
          <w:pgSz w:w="12240" w:h="15840"/>
          <w:pgMar w:header="744" w:footer="713" w:top="1020" w:bottom="900" w:left="720" w:right="720"/>
        </w:sectPr>
      </w:pPr>
    </w:p>
    <w:p>
      <w:pPr>
        <w:pStyle w:val="BodyText"/>
        <w:spacing w:before="79"/>
        <w:rPr>
          <w:sz w:val="24"/>
        </w:rPr>
      </w:pPr>
    </w:p>
    <w:p>
      <w:pPr>
        <w:pStyle w:val="Heading1"/>
      </w:pPr>
      <w:bookmarkStart w:name="Net Income Allocation" w:id="31"/>
      <w:bookmarkEnd w:id="31"/>
      <w:r>
        <w:rPr>
          <w:b w:val="0"/>
        </w:rPr>
      </w:r>
      <w:bookmarkStart w:name="_bookmark19" w:id="32"/>
      <w:bookmarkEnd w:id="32"/>
      <w:r>
        <w:rPr>
          <w:b w:val="0"/>
        </w:rPr>
      </w:r>
      <w:r>
        <w:rPr/>
        <w:t>Net</w:t>
      </w:r>
      <w:r>
        <w:rPr>
          <w:spacing w:val="-4"/>
        </w:rPr>
        <w:t> </w:t>
      </w:r>
      <w:r>
        <w:rPr/>
        <w:t>Income</w:t>
      </w:r>
      <w:r>
        <w:rPr>
          <w:spacing w:val="-2"/>
        </w:rPr>
        <w:t> Allocation</w:t>
      </w:r>
    </w:p>
    <w:p>
      <w:pPr>
        <w:pStyle w:val="BodyText"/>
        <w:spacing w:line="232" w:lineRule="auto" w:before="140"/>
        <w:ind w:left="720" w:right="717"/>
        <w:jc w:val="both"/>
      </w:pPr>
      <w:r>
        <w:rPr/>
        <w:t>Management</w:t>
      </w:r>
      <w:r>
        <w:rPr>
          <w:spacing w:val="-2"/>
        </w:rPr>
        <w:t> </w:t>
      </w:r>
      <w:r>
        <w:rPr/>
        <w:t>recommends</w:t>
      </w:r>
      <w:r>
        <w:rPr>
          <w:spacing w:val="-2"/>
        </w:rPr>
        <w:t> </w:t>
      </w:r>
      <w:r>
        <w:rPr/>
        <w:t>allocations</w:t>
      </w:r>
      <w:r>
        <w:rPr>
          <w:spacing w:val="-2"/>
        </w:rPr>
        <w:t> </w:t>
      </w:r>
      <w:r>
        <w:rPr/>
        <w:t>of</w:t>
      </w:r>
      <w:r>
        <w:rPr>
          <w:spacing w:val="-2"/>
        </w:rPr>
        <w:t> </w:t>
      </w:r>
      <w:r>
        <w:rPr/>
        <w:t>income</w:t>
      </w:r>
      <w:r>
        <w:rPr>
          <w:spacing w:val="-2"/>
        </w:rPr>
        <w:t> </w:t>
      </w:r>
      <w:r>
        <w:rPr/>
        <w:t>to</w:t>
      </w:r>
      <w:r>
        <w:rPr>
          <w:spacing w:val="-2"/>
        </w:rPr>
        <w:t> </w:t>
      </w:r>
      <w:r>
        <w:rPr/>
        <w:t>the</w:t>
      </w:r>
      <w:r>
        <w:rPr>
          <w:spacing w:val="-2"/>
        </w:rPr>
        <w:t> </w:t>
      </w:r>
      <w:r>
        <w:rPr/>
        <w:t>Board,</w:t>
      </w:r>
      <w:r>
        <w:rPr>
          <w:spacing w:val="-2"/>
        </w:rPr>
        <w:t> </w:t>
      </w:r>
      <w:r>
        <w:rPr/>
        <w:t>at</w:t>
      </w:r>
      <w:r>
        <w:rPr>
          <w:spacing w:val="-2"/>
        </w:rPr>
        <w:t> </w:t>
      </w:r>
      <w:r>
        <w:rPr/>
        <w:t>the</w:t>
      </w:r>
      <w:r>
        <w:rPr>
          <w:spacing w:val="-2"/>
        </w:rPr>
        <w:t> </w:t>
      </w:r>
      <w:r>
        <w:rPr/>
        <w:t>end</w:t>
      </w:r>
      <w:r>
        <w:rPr>
          <w:spacing w:val="-2"/>
        </w:rPr>
        <w:t> </w:t>
      </w:r>
      <w:r>
        <w:rPr/>
        <w:t>of</w:t>
      </w:r>
      <w:r>
        <w:rPr>
          <w:spacing w:val="-2"/>
        </w:rPr>
        <w:t> </w:t>
      </w:r>
      <w:r>
        <w:rPr/>
        <w:t>each</w:t>
      </w:r>
      <w:r>
        <w:rPr>
          <w:spacing w:val="-2"/>
        </w:rPr>
        <w:t> </w:t>
      </w:r>
      <w:r>
        <w:rPr/>
        <w:t>fiscal</w:t>
      </w:r>
      <w:r>
        <w:rPr>
          <w:spacing w:val="-2"/>
        </w:rPr>
        <w:t> </w:t>
      </w:r>
      <w:r>
        <w:rPr/>
        <w:t>year,</w:t>
      </w:r>
      <w:r>
        <w:rPr>
          <w:spacing w:val="-2"/>
        </w:rPr>
        <w:t> </w:t>
      </w:r>
      <w:r>
        <w:rPr/>
        <w:t>to</w:t>
      </w:r>
      <w:r>
        <w:rPr>
          <w:spacing w:val="-2"/>
        </w:rPr>
        <w:t> </w:t>
      </w:r>
      <w:r>
        <w:rPr/>
        <w:t>augment</w:t>
      </w:r>
      <w:r>
        <w:rPr>
          <w:spacing w:val="-2"/>
        </w:rPr>
        <w:t> </w:t>
      </w:r>
      <w:r>
        <w:rPr/>
        <w:t>reserves</w:t>
      </w:r>
      <w:r>
        <w:rPr>
          <w:spacing w:val="-2"/>
        </w:rPr>
        <w:t> </w:t>
      </w:r>
      <w:r>
        <w:rPr/>
        <w:t>and support developmental activities. These allocations are based on allocable income. As illustrated in Table 7, the key differences between allocable income and reported net income relate to unrealized mark-to-market gains and losses on IBRD’s non-trading portfolios, and expenses related to Board of Governors-approved and other transfers.</w:t>
      </w:r>
    </w:p>
    <w:p>
      <w:pPr>
        <w:pStyle w:val="BodyText"/>
        <w:spacing w:before="63"/>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25"/>
        <w:gridCol w:w="1429"/>
        <w:gridCol w:w="1391"/>
      </w:tblGrid>
      <w:tr>
        <w:trPr>
          <w:trHeight w:val="230" w:hRule="atLeast"/>
        </w:trPr>
        <w:tc>
          <w:tcPr>
            <w:tcW w:w="6525" w:type="dxa"/>
          </w:tcPr>
          <w:p>
            <w:pPr>
              <w:pStyle w:val="TableParagraph"/>
              <w:spacing w:line="201" w:lineRule="exact"/>
              <w:ind w:left="52"/>
              <w:rPr>
                <w:rFonts w:ascii="Arial"/>
                <w:b/>
                <w:sz w:val="18"/>
              </w:rPr>
            </w:pPr>
            <w:bookmarkStart w:name="_bookmark20" w:id="33"/>
            <w:bookmarkEnd w:id="33"/>
            <w:r>
              <w:rPr/>
            </w:r>
            <w:r>
              <w:rPr>
                <w:rFonts w:ascii="Arial"/>
                <w:b/>
                <w:sz w:val="18"/>
              </w:rPr>
              <w:t>Table</w:t>
            </w:r>
            <w:r>
              <w:rPr>
                <w:rFonts w:ascii="Arial"/>
                <w:b/>
                <w:spacing w:val="-2"/>
                <w:sz w:val="18"/>
              </w:rPr>
              <w:t> </w:t>
            </w:r>
            <w:r>
              <w:rPr>
                <w:rFonts w:ascii="Arial"/>
                <w:b/>
                <w:sz w:val="18"/>
              </w:rPr>
              <w:t>7:</w:t>
            </w:r>
            <w:r>
              <w:rPr>
                <w:rFonts w:ascii="Arial"/>
                <w:b/>
                <w:spacing w:val="-2"/>
                <w:sz w:val="18"/>
              </w:rPr>
              <w:t> </w:t>
            </w:r>
            <w:r>
              <w:rPr>
                <w:rFonts w:ascii="Arial"/>
                <w:b/>
                <w:sz w:val="18"/>
              </w:rPr>
              <w:t>Allocable</w:t>
            </w:r>
            <w:r>
              <w:rPr>
                <w:rFonts w:ascii="Arial"/>
                <w:b/>
                <w:spacing w:val="-1"/>
                <w:sz w:val="18"/>
              </w:rPr>
              <w:t> </w:t>
            </w:r>
            <w:r>
              <w:rPr>
                <w:rFonts w:ascii="Arial"/>
                <w:b/>
                <w:spacing w:val="-2"/>
                <w:sz w:val="18"/>
              </w:rPr>
              <w:t>Income</w:t>
            </w:r>
          </w:p>
        </w:tc>
        <w:tc>
          <w:tcPr>
            <w:tcW w:w="2820" w:type="dxa"/>
            <w:gridSpan w:val="2"/>
            <w:vMerge w:val="restart"/>
          </w:tcPr>
          <w:p>
            <w:pPr>
              <w:pStyle w:val="TableParagraph"/>
              <w:rPr>
                <w:rFonts w:ascii="Times New Roman"/>
                <w:sz w:val="18"/>
              </w:rPr>
            </w:pPr>
          </w:p>
        </w:tc>
      </w:tr>
      <w:tr>
        <w:trPr>
          <w:trHeight w:val="239" w:hRule="atLeast"/>
        </w:trPr>
        <w:tc>
          <w:tcPr>
            <w:tcW w:w="6525" w:type="dxa"/>
          </w:tcPr>
          <w:p>
            <w:pPr>
              <w:pStyle w:val="TableParagraph"/>
              <w:spacing w:before="24"/>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2820" w:type="dxa"/>
            <w:gridSpan w:val="2"/>
            <w:vMerge/>
            <w:tcBorders>
              <w:top w:val="nil"/>
            </w:tcBorders>
          </w:tcPr>
          <w:p>
            <w:pPr>
              <w:rPr>
                <w:sz w:val="2"/>
                <w:szCs w:val="2"/>
              </w:rPr>
            </w:pPr>
          </w:p>
        </w:tc>
      </w:tr>
      <w:tr>
        <w:trPr>
          <w:trHeight w:val="232" w:hRule="atLeast"/>
        </w:trPr>
        <w:tc>
          <w:tcPr>
            <w:tcW w:w="6525" w:type="dxa"/>
            <w:tcBorders>
              <w:bottom w:val="single" w:sz="8" w:space="0" w:color="000000"/>
            </w:tcBorders>
          </w:tcPr>
          <w:p>
            <w:pPr>
              <w:pStyle w:val="TableParagraph"/>
              <w:spacing w:before="25"/>
              <w:ind w:left="52"/>
              <w:rPr>
                <w:rFonts w:ascii="Arial"/>
                <w:i/>
                <w:sz w:val="16"/>
              </w:rPr>
            </w:pPr>
            <w:r>
              <w:rPr>
                <w:rFonts w:ascii="Arial"/>
                <w:i/>
                <w:color w:val="484848"/>
                <w:sz w:val="16"/>
              </w:rPr>
              <w:t>For</w:t>
            </w:r>
            <w:r>
              <w:rPr>
                <w:rFonts w:ascii="Arial"/>
                <w:i/>
                <w:color w:val="484848"/>
                <w:spacing w:val="-3"/>
                <w:sz w:val="16"/>
              </w:rPr>
              <w:t> </w:t>
            </w:r>
            <w:r>
              <w:rPr>
                <w:rFonts w:ascii="Arial"/>
                <w:i/>
                <w:color w:val="484848"/>
                <w:sz w:val="16"/>
              </w:rPr>
              <w:t>the</w:t>
            </w:r>
            <w:r>
              <w:rPr>
                <w:rFonts w:ascii="Arial"/>
                <w:i/>
                <w:color w:val="484848"/>
                <w:spacing w:val="-3"/>
                <w:sz w:val="16"/>
              </w:rPr>
              <w:t> </w:t>
            </w:r>
            <w:r>
              <w:rPr>
                <w:rFonts w:ascii="Arial"/>
                <w:i/>
                <w:color w:val="484848"/>
                <w:sz w:val="16"/>
              </w:rPr>
              <w:t>fiscal</w:t>
            </w:r>
            <w:r>
              <w:rPr>
                <w:rFonts w:ascii="Arial"/>
                <w:i/>
                <w:color w:val="484848"/>
                <w:spacing w:val="-2"/>
                <w:sz w:val="16"/>
              </w:rPr>
              <w:t> </w:t>
            </w:r>
            <w:r>
              <w:rPr>
                <w:rFonts w:ascii="Arial"/>
                <w:i/>
                <w:color w:val="484848"/>
                <w:sz w:val="16"/>
              </w:rPr>
              <w:t>years</w:t>
            </w:r>
            <w:r>
              <w:rPr>
                <w:rFonts w:ascii="Arial"/>
                <w:i/>
                <w:color w:val="484848"/>
                <w:spacing w:val="-2"/>
                <w:sz w:val="16"/>
              </w:rPr>
              <w:t> </w:t>
            </w:r>
            <w:r>
              <w:rPr>
                <w:rFonts w:ascii="Arial"/>
                <w:i/>
                <w:color w:val="484848"/>
                <w:sz w:val="16"/>
              </w:rPr>
              <w:t>ended</w:t>
            </w:r>
            <w:r>
              <w:rPr>
                <w:rFonts w:ascii="Arial"/>
                <w:i/>
                <w:color w:val="484848"/>
                <w:spacing w:val="-3"/>
                <w:sz w:val="16"/>
              </w:rPr>
              <w:t> </w:t>
            </w:r>
            <w:r>
              <w:rPr>
                <w:rFonts w:ascii="Arial"/>
                <w:i/>
                <w:color w:val="484848"/>
                <w:sz w:val="16"/>
              </w:rPr>
              <w:t>June</w:t>
            </w:r>
            <w:r>
              <w:rPr>
                <w:rFonts w:ascii="Arial"/>
                <w:i/>
                <w:color w:val="484848"/>
                <w:spacing w:val="-3"/>
                <w:sz w:val="16"/>
              </w:rPr>
              <w:t> </w:t>
            </w:r>
            <w:r>
              <w:rPr>
                <w:rFonts w:ascii="Arial"/>
                <w:i/>
                <w:color w:val="484848"/>
                <w:spacing w:val="-5"/>
                <w:sz w:val="16"/>
              </w:rPr>
              <w:t>30,</w:t>
            </w:r>
          </w:p>
        </w:tc>
        <w:tc>
          <w:tcPr>
            <w:tcW w:w="1429" w:type="dxa"/>
            <w:tcBorders>
              <w:bottom w:val="single" w:sz="8" w:space="0" w:color="000000"/>
            </w:tcBorders>
          </w:tcPr>
          <w:p>
            <w:pPr>
              <w:pStyle w:val="TableParagraph"/>
              <w:spacing w:before="25"/>
              <w:ind w:left="916"/>
              <w:rPr>
                <w:rFonts w:ascii="Arial"/>
                <w:i/>
                <w:sz w:val="16"/>
              </w:rPr>
            </w:pPr>
            <w:r>
              <w:rPr>
                <w:rFonts w:ascii="Arial"/>
                <w:i/>
                <w:color w:val="484848"/>
                <w:spacing w:val="-4"/>
                <w:sz w:val="16"/>
              </w:rPr>
              <w:t>2023</w:t>
            </w:r>
          </w:p>
        </w:tc>
        <w:tc>
          <w:tcPr>
            <w:tcW w:w="1391" w:type="dxa"/>
            <w:tcBorders>
              <w:bottom w:val="single" w:sz="8" w:space="0" w:color="000000"/>
            </w:tcBorders>
          </w:tcPr>
          <w:p>
            <w:pPr>
              <w:pStyle w:val="TableParagraph"/>
              <w:spacing w:before="25"/>
              <w:ind w:right="105"/>
              <w:jc w:val="right"/>
              <w:rPr>
                <w:rFonts w:ascii="Arial"/>
                <w:i/>
                <w:sz w:val="16"/>
              </w:rPr>
            </w:pPr>
            <w:r>
              <w:rPr>
                <w:rFonts w:ascii="Arial"/>
                <w:i/>
                <w:color w:val="484848"/>
                <w:spacing w:val="-4"/>
                <w:sz w:val="16"/>
              </w:rPr>
              <w:t>2022</w:t>
            </w:r>
          </w:p>
        </w:tc>
      </w:tr>
      <w:tr>
        <w:trPr>
          <w:trHeight w:val="225" w:hRule="atLeast"/>
        </w:trPr>
        <w:tc>
          <w:tcPr>
            <w:tcW w:w="6525" w:type="dxa"/>
            <w:tcBorders>
              <w:top w:val="single" w:sz="8" w:space="0" w:color="000000"/>
            </w:tcBorders>
          </w:tcPr>
          <w:p>
            <w:pPr>
              <w:pStyle w:val="TableParagraph"/>
              <w:spacing w:before="9"/>
              <w:ind w:left="108"/>
              <w:rPr>
                <w:rFonts w:ascii="Arial"/>
                <w:b/>
                <w:sz w:val="16"/>
              </w:rPr>
            </w:pPr>
            <w:r>
              <w:rPr>
                <w:rFonts w:ascii="Arial"/>
                <w:b/>
                <w:sz w:val="16"/>
              </w:rPr>
              <w:t>Net</w:t>
            </w:r>
            <w:r>
              <w:rPr>
                <w:rFonts w:ascii="Arial"/>
                <w:b/>
                <w:spacing w:val="-2"/>
                <w:sz w:val="16"/>
              </w:rPr>
              <w:t> Income</w:t>
            </w:r>
          </w:p>
        </w:tc>
        <w:tc>
          <w:tcPr>
            <w:tcW w:w="1429" w:type="dxa"/>
            <w:tcBorders>
              <w:top w:val="single" w:sz="8" w:space="0" w:color="000000"/>
            </w:tcBorders>
          </w:tcPr>
          <w:p>
            <w:pPr>
              <w:pStyle w:val="TableParagraph"/>
              <w:tabs>
                <w:tab w:pos="909" w:val="left" w:leader="none"/>
              </w:tabs>
              <w:spacing w:before="12"/>
              <w:ind w:left="52"/>
              <w:rPr>
                <w:rFonts w:ascii="Arial"/>
                <w:b/>
                <w:sz w:val="16"/>
              </w:rPr>
            </w:pPr>
            <w:r>
              <w:rPr>
                <w:rFonts w:ascii="Arial"/>
                <w:b/>
                <w:spacing w:val="-10"/>
                <w:sz w:val="16"/>
              </w:rPr>
              <w:t>$</w:t>
            </w:r>
            <w:r>
              <w:rPr>
                <w:rFonts w:ascii="Arial"/>
                <w:b/>
                <w:sz w:val="16"/>
              </w:rPr>
              <w:tab/>
            </w:r>
            <w:r>
              <w:rPr>
                <w:rFonts w:ascii="Arial"/>
                <w:b/>
                <w:spacing w:val="-2"/>
                <w:sz w:val="16"/>
              </w:rPr>
              <w:t>1,144</w:t>
            </w:r>
          </w:p>
        </w:tc>
        <w:tc>
          <w:tcPr>
            <w:tcW w:w="1391" w:type="dxa"/>
            <w:tcBorders>
              <w:top w:val="single" w:sz="8" w:space="0" w:color="000000"/>
            </w:tcBorders>
          </w:tcPr>
          <w:p>
            <w:pPr>
              <w:pStyle w:val="TableParagraph"/>
              <w:tabs>
                <w:tab w:pos="920" w:val="left" w:leader="none"/>
              </w:tabs>
              <w:spacing w:before="12"/>
              <w:ind w:left="63"/>
              <w:rPr>
                <w:rFonts w:ascii="Arial"/>
                <w:b/>
                <w:sz w:val="16"/>
              </w:rPr>
            </w:pPr>
            <w:r>
              <w:rPr>
                <w:rFonts w:ascii="Arial"/>
                <w:b/>
                <w:spacing w:val="-10"/>
                <w:sz w:val="16"/>
              </w:rPr>
              <w:t>$</w:t>
            </w:r>
            <w:r>
              <w:rPr>
                <w:rFonts w:ascii="Arial"/>
                <w:b/>
                <w:sz w:val="16"/>
              </w:rPr>
              <w:tab/>
            </w:r>
            <w:r>
              <w:rPr>
                <w:rFonts w:ascii="Arial"/>
                <w:b/>
                <w:spacing w:val="-2"/>
                <w:sz w:val="16"/>
              </w:rPr>
              <w:t>3,990</w:t>
            </w:r>
          </w:p>
        </w:tc>
      </w:tr>
      <w:tr>
        <w:trPr>
          <w:trHeight w:val="240" w:hRule="atLeast"/>
        </w:trPr>
        <w:tc>
          <w:tcPr>
            <w:tcW w:w="6525" w:type="dxa"/>
          </w:tcPr>
          <w:p>
            <w:pPr>
              <w:pStyle w:val="TableParagraph"/>
              <w:spacing w:before="23"/>
              <w:ind w:left="108"/>
              <w:rPr>
                <w:rFonts w:ascii="Arial"/>
                <w:b/>
                <w:sz w:val="16"/>
              </w:rPr>
            </w:pPr>
            <w:r>
              <w:rPr>
                <w:rFonts w:ascii="Arial"/>
                <w:b/>
                <w:sz w:val="16"/>
              </w:rPr>
              <w:t>Adjustments</w:t>
            </w:r>
            <w:r>
              <w:rPr>
                <w:rFonts w:ascii="Arial"/>
                <w:b/>
                <w:spacing w:val="-5"/>
                <w:sz w:val="16"/>
              </w:rPr>
              <w:t> </w:t>
            </w:r>
            <w:r>
              <w:rPr>
                <w:rFonts w:ascii="Arial"/>
                <w:b/>
                <w:sz w:val="16"/>
              </w:rPr>
              <w:t>to</w:t>
            </w:r>
            <w:r>
              <w:rPr>
                <w:rFonts w:ascii="Arial"/>
                <w:b/>
                <w:spacing w:val="-4"/>
                <w:sz w:val="16"/>
              </w:rPr>
              <w:t> </w:t>
            </w:r>
            <w:r>
              <w:rPr>
                <w:rFonts w:ascii="Arial"/>
                <w:b/>
                <w:sz w:val="16"/>
              </w:rPr>
              <w:t>Reconcile</w:t>
            </w:r>
            <w:r>
              <w:rPr>
                <w:rFonts w:ascii="Arial"/>
                <w:b/>
                <w:spacing w:val="-5"/>
                <w:sz w:val="16"/>
              </w:rPr>
              <w:t> </w:t>
            </w:r>
            <w:r>
              <w:rPr>
                <w:rFonts w:ascii="Arial"/>
                <w:b/>
                <w:sz w:val="16"/>
              </w:rPr>
              <w:t>Net</w:t>
            </w:r>
            <w:r>
              <w:rPr>
                <w:rFonts w:ascii="Arial"/>
                <w:b/>
                <w:spacing w:val="-3"/>
                <w:sz w:val="16"/>
              </w:rPr>
              <w:t> </w:t>
            </w:r>
            <w:r>
              <w:rPr>
                <w:rFonts w:ascii="Arial"/>
                <w:b/>
                <w:sz w:val="16"/>
              </w:rPr>
              <w:t>Income</w:t>
            </w:r>
            <w:r>
              <w:rPr>
                <w:rFonts w:ascii="Arial"/>
                <w:b/>
                <w:spacing w:val="-5"/>
                <w:sz w:val="16"/>
              </w:rPr>
              <w:t> </w:t>
            </w:r>
            <w:r>
              <w:rPr>
                <w:rFonts w:ascii="Arial"/>
                <w:b/>
                <w:sz w:val="16"/>
              </w:rPr>
              <w:t>to</w:t>
            </w:r>
            <w:r>
              <w:rPr>
                <w:rFonts w:ascii="Arial"/>
                <w:b/>
                <w:spacing w:val="-4"/>
                <w:sz w:val="16"/>
              </w:rPr>
              <w:t> </w:t>
            </w:r>
            <w:r>
              <w:rPr>
                <w:rFonts w:ascii="Arial"/>
                <w:b/>
                <w:sz w:val="16"/>
              </w:rPr>
              <w:t>Allocable</w:t>
            </w:r>
            <w:r>
              <w:rPr>
                <w:rFonts w:ascii="Arial"/>
                <w:b/>
                <w:spacing w:val="-4"/>
                <w:sz w:val="16"/>
              </w:rPr>
              <w:t> </w:t>
            </w:r>
            <w:r>
              <w:rPr>
                <w:rFonts w:ascii="Arial"/>
                <w:b/>
                <w:spacing w:val="-2"/>
                <w:sz w:val="16"/>
              </w:rPr>
              <w:t>Income:</w:t>
            </w:r>
          </w:p>
        </w:tc>
        <w:tc>
          <w:tcPr>
            <w:tcW w:w="1429" w:type="dxa"/>
          </w:tcPr>
          <w:p>
            <w:pPr>
              <w:pStyle w:val="TableParagraph"/>
              <w:rPr>
                <w:rFonts w:ascii="Times New Roman"/>
                <w:sz w:val="16"/>
              </w:rPr>
            </w:pPr>
          </w:p>
        </w:tc>
        <w:tc>
          <w:tcPr>
            <w:tcW w:w="1391" w:type="dxa"/>
          </w:tcPr>
          <w:p>
            <w:pPr>
              <w:pStyle w:val="TableParagraph"/>
              <w:rPr>
                <w:rFonts w:ascii="Times New Roman"/>
                <w:sz w:val="16"/>
              </w:rPr>
            </w:pPr>
          </w:p>
        </w:tc>
      </w:tr>
      <w:tr>
        <w:trPr>
          <w:trHeight w:val="230" w:hRule="atLeast"/>
        </w:trPr>
        <w:tc>
          <w:tcPr>
            <w:tcW w:w="6525" w:type="dxa"/>
          </w:tcPr>
          <w:p>
            <w:pPr>
              <w:pStyle w:val="TableParagraph"/>
              <w:spacing w:line="184" w:lineRule="exact" w:before="27"/>
              <w:ind w:left="267"/>
              <w:rPr>
                <w:sz w:val="16"/>
              </w:rPr>
            </w:pPr>
            <w:r>
              <w:rPr>
                <w:sz w:val="16"/>
              </w:rPr>
              <w:t>Board</w:t>
            </w:r>
            <w:r>
              <w:rPr>
                <w:spacing w:val="-5"/>
                <w:sz w:val="16"/>
              </w:rPr>
              <w:t> </w:t>
            </w:r>
            <w:r>
              <w:rPr>
                <w:sz w:val="16"/>
              </w:rPr>
              <w:t>of</w:t>
            </w:r>
            <w:r>
              <w:rPr>
                <w:spacing w:val="-3"/>
                <w:sz w:val="16"/>
              </w:rPr>
              <w:t> </w:t>
            </w:r>
            <w:r>
              <w:rPr>
                <w:sz w:val="16"/>
              </w:rPr>
              <w:t>Governors-approved</w:t>
            </w:r>
            <w:r>
              <w:rPr>
                <w:spacing w:val="-5"/>
                <w:sz w:val="16"/>
              </w:rPr>
              <w:t> </w:t>
            </w:r>
            <w:r>
              <w:rPr>
                <w:sz w:val="16"/>
              </w:rPr>
              <w:t>and</w:t>
            </w:r>
            <w:r>
              <w:rPr>
                <w:spacing w:val="-4"/>
                <w:sz w:val="16"/>
              </w:rPr>
              <w:t> </w:t>
            </w:r>
            <w:r>
              <w:rPr>
                <w:sz w:val="16"/>
              </w:rPr>
              <w:t>other</w:t>
            </w:r>
            <w:r>
              <w:rPr>
                <w:spacing w:val="-3"/>
                <w:sz w:val="16"/>
              </w:rPr>
              <w:t> </w:t>
            </w:r>
            <w:r>
              <w:rPr>
                <w:spacing w:val="-2"/>
                <w:sz w:val="16"/>
              </w:rPr>
              <w:t>transfers</w:t>
            </w:r>
          </w:p>
        </w:tc>
        <w:tc>
          <w:tcPr>
            <w:tcW w:w="1429" w:type="dxa"/>
          </w:tcPr>
          <w:p>
            <w:pPr>
              <w:pStyle w:val="TableParagraph"/>
              <w:spacing w:line="184" w:lineRule="exact" w:before="27"/>
              <w:ind w:right="115"/>
              <w:jc w:val="right"/>
              <w:rPr>
                <w:sz w:val="16"/>
              </w:rPr>
            </w:pPr>
            <w:r>
              <w:rPr>
                <w:spacing w:val="-5"/>
                <w:sz w:val="16"/>
              </w:rPr>
              <w:t>221</w:t>
            </w:r>
          </w:p>
        </w:tc>
        <w:tc>
          <w:tcPr>
            <w:tcW w:w="1391" w:type="dxa"/>
          </w:tcPr>
          <w:p>
            <w:pPr>
              <w:pStyle w:val="TableParagraph"/>
              <w:spacing w:line="184" w:lineRule="exact" w:before="27"/>
              <w:ind w:right="66"/>
              <w:jc w:val="right"/>
              <w:rPr>
                <w:sz w:val="16"/>
              </w:rPr>
            </w:pPr>
            <w:r>
              <w:rPr>
                <w:spacing w:val="-5"/>
                <w:sz w:val="16"/>
              </w:rPr>
              <w:t>354</w:t>
            </w:r>
          </w:p>
        </w:tc>
      </w:tr>
      <w:tr>
        <w:trPr>
          <w:trHeight w:val="240" w:hRule="atLeast"/>
        </w:trPr>
        <w:tc>
          <w:tcPr>
            <w:tcW w:w="6525" w:type="dxa"/>
          </w:tcPr>
          <w:p>
            <w:pPr>
              <w:pStyle w:val="TableParagraph"/>
              <w:spacing w:line="184" w:lineRule="exact" w:before="36"/>
              <w:ind w:left="267"/>
              <w:rPr>
                <w:sz w:val="16"/>
              </w:rPr>
            </w:pPr>
            <w:r>
              <w:rPr>
                <w:sz w:val="16"/>
              </w:rPr>
              <w:t>Non-functional</w:t>
            </w:r>
            <w:r>
              <w:rPr>
                <w:spacing w:val="-6"/>
                <w:sz w:val="16"/>
              </w:rPr>
              <w:t> </w:t>
            </w:r>
            <w:r>
              <w:rPr>
                <w:sz w:val="16"/>
              </w:rPr>
              <w:t>currency</w:t>
            </w:r>
            <w:r>
              <w:rPr>
                <w:spacing w:val="-5"/>
                <w:sz w:val="16"/>
              </w:rPr>
              <w:t> </w:t>
            </w:r>
            <w:r>
              <w:rPr>
                <w:sz w:val="16"/>
              </w:rPr>
              <w:t>translation</w:t>
            </w:r>
            <w:r>
              <w:rPr>
                <w:spacing w:val="-6"/>
                <w:sz w:val="16"/>
              </w:rPr>
              <w:t> </w:t>
            </w:r>
            <w:r>
              <w:rPr>
                <w:sz w:val="16"/>
              </w:rPr>
              <w:t>adjustments</w:t>
            </w:r>
            <w:r>
              <w:rPr>
                <w:spacing w:val="-5"/>
                <w:sz w:val="16"/>
              </w:rPr>
              <w:t> </w:t>
            </w:r>
            <w:r>
              <w:rPr>
                <w:sz w:val="16"/>
              </w:rPr>
              <w:t>gains,</w:t>
            </w:r>
            <w:r>
              <w:rPr>
                <w:spacing w:val="-5"/>
                <w:sz w:val="16"/>
              </w:rPr>
              <w:t> </w:t>
            </w:r>
            <w:r>
              <w:rPr>
                <w:sz w:val="16"/>
              </w:rPr>
              <w:t>net</w:t>
            </w:r>
            <w:r>
              <w:rPr>
                <w:spacing w:val="-7"/>
                <w:sz w:val="16"/>
              </w:rPr>
              <w:t> </w:t>
            </w:r>
            <w:r>
              <w:rPr>
                <w:spacing w:val="-10"/>
                <w:sz w:val="16"/>
                <w:vertAlign w:val="superscript"/>
              </w:rPr>
              <w:t>a</w:t>
            </w:r>
          </w:p>
        </w:tc>
        <w:tc>
          <w:tcPr>
            <w:tcW w:w="1429" w:type="dxa"/>
          </w:tcPr>
          <w:p>
            <w:pPr>
              <w:pStyle w:val="TableParagraph"/>
              <w:spacing w:line="184" w:lineRule="exact" w:before="36"/>
              <w:ind w:right="61"/>
              <w:jc w:val="right"/>
              <w:rPr>
                <w:sz w:val="16"/>
              </w:rPr>
            </w:pPr>
            <w:r>
              <w:rPr>
                <w:spacing w:val="-4"/>
                <w:sz w:val="16"/>
              </w:rPr>
              <w:t>(39)</w:t>
            </w:r>
          </w:p>
        </w:tc>
        <w:tc>
          <w:tcPr>
            <w:tcW w:w="1391" w:type="dxa"/>
          </w:tcPr>
          <w:p>
            <w:pPr>
              <w:pStyle w:val="TableParagraph"/>
              <w:spacing w:line="184" w:lineRule="exact" w:before="36"/>
              <w:ind w:right="12"/>
              <w:jc w:val="right"/>
              <w:rPr>
                <w:sz w:val="16"/>
              </w:rPr>
            </w:pPr>
            <w:r>
              <w:rPr>
                <w:spacing w:val="-2"/>
                <w:sz w:val="16"/>
              </w:rPr>
              <w:t>(150)</w:t>
            </w:r>
          </w:p>
        </w:tc>
      </w:tr>
      <w:tr>
        <w:trPr>
          <w:trHeight w:val="240" w:hRule="atLeast"/>
        </w:trPr>
        <w:tc>
          <w:tcPr>
            <w:tcW w:w="6525" w:type="dxa"/>
          </w:tcPr>
          <w:p>
            <w:pPr>
              <w:pStyle w:val="TableParagraph"/>
              <w:spacing w:line="184" w:lineRule="exact" w:before="36"/>
              <w:ind w:left="267"/>
              <w:rPr>
                <w:sz w:val="16"/>
              </w:rPr>
            </w:pPr>
            <w:r>
              <w:rPr>
                <w:sz w:val="16"/>
              </w:rPr>
              <w:t>Unrealized</w:t>
            </w:r>
            <w:r>
              <w:rPr>
                <w:spacing w:val="-6"/>
                <w:sz w:val="16"/>
              </w:rPr>
              <w:t> </w:t>
            </w:r>
            <w:r>
              <w:rPr>
                <w:sz w:val="16"/>
              </w:rPr>
              <w:t>mark-to-market</w:t>
            </w:r>
            <w:r>
              <w:rPr>
                <w:spacing w:val="-4"/>
                <w:sz w:val="16"/>
              </w:rPr>
              <w:t> </w:t>
            </w:r>
            <w:r>
              <w:rPr>
                <w:sz w:val="16"/>
              </w:rPr>
              <w:t>losses</w:t>
            </w:r>
            <w:r>
              <w:rPr>
                <w:spacing w:val="-4"/>
                <w:sz w:val="16"/>
              </w:rPr>
              <w:t> </w:t>
            </w:r>
            <w:r>
              <w:rPr>
                <w:sz w:val="16"/>
              </w:rPr>
              <w:t>(gains)</w:t>
            </w:r>
            <w:r>
              <w:rPr>
                <w:spacing w:val="-5"/>
                <w:sz w:val="16"/>
              </w:rPr>
              <w:t> </w:t>
            </w:r>
            <w:r>
              <w:rPr>
                <w:sz w:val="16"/>
              </w:rPr>
              <w:t>on</w:t>
            </w:r>
            <w:r>
              <w:rPr>
                <w:spacing w:val="-5"/>
                <w:sz w:val="16"/>
              </w:rPr>
              <w:t> </w:t>
            </w:r>
            <w:r>
              <w:rPr>
                <w:sz w:val="16"/>
              </w:rPr>
              <w:t>non-trading</w:t>
            </w:r>
            <w:r>
              <w:rPr>
                <w:spacing w:val="-5"/>
                <w:sz w:val="16"/>
              </w:rPr>
              <w:t> </w:t>
            </w:r>
            <w:r>
              <w:rPr>
                <w:sz w:val="16"/>
              </w:rPr>
              <w:t>portfolios,</w:t>
            </w:r>
            <w:r>
              <w:rPr>
                <w:spacing w:val="-5"/>
                <w:sz w:val="16"/>
              </w:rPr>
              <w:t> </w:t>
            </w:r>
            <w:r>
              <w:rPr>
                <w:sz w:val="16"/>
              </w:rPr>
              <w:t>net</w:t>
            </w:r>
            <w:r>
              <w:rPr>
                <w:spacing w:val="-7"/>
                <w:sz w:val="16"/>
              </w:rPr>
              <w:t> </w:t>
            </w:r>
            <w:r>
              <w:rPr>
                <w:spacing w:val="-10"/>
                <w:sz w:val="16"/>
                <w:vertAlign w:val="superscript"/>
              </w:rPr>
              <w:t>b</w:t>
            </w:r>
          </w:p>
        </w:tc>
        <w:tc>
          <w:tcPr>
            <w:tcW w:w="1429" w:type="dxa"/>
          </w:tcPr>
          <w:p>
            <w:pPr>
              <w:pStyle w:val="TableParagraph"/>
              <w:spacing w:line="184" w:lineRule="exact" w:before="36"/>
              <w:ind w:right="115"/>
              <w:jc w:val="right"/>
              <w:rPr>
                <w:sz w:val="16"/>
              </w:rPr>
            </w:pPr>
            <w:r>
              <w:rPr>
                <w:spacing w:val="-5"/>
                <w:sz w:val="16"/>
              </w:rPr>
              <w:t>167</w:t>
            </w:r>
          </w:p>
        </w:tc>
        <w:tc>
          <w:tcPr>
            <w:tcW w:w="1391" w:type="dxa"/>
          </w:tcPr>
          <w:p>
            <w:pPr>
              <w:pStyle w:val="TableParagraph"/>
              <w:spacing w:line="184" w:lineRule="exact" w:before="36"/>
              <w:ind w:right="12"/>
              <w:jc w:val="right"/>
              <w:rPr>
                <w:sz w:val="16"/>
              </w:rPr>
            </w:pPr>
            <w:r>
              <w:rPr>
                <w:spacing w:val="-2"/>
                <w:sz w:val="16"/>
              </w:rPr>
              <w:t>(3,356)</w:t>
            </w:r>
          </w:p>
        </w:tc>
      </w:tr>
      <w:tr>
        <w:trPr>
          <w:trHeight w:val="250" w:hRule="atLeast"/>
        </w:trPr>
        <w:tc>
          <w:tcPr>
            <w:tcW w:w="6525" w:type="dxa"/>
          </w:tcPr>
          <w:p>
            <w:pPr>
              <w:pStyle w:val="TableParagraph"/>
              <w:spacing w:before="36"/>
              <w:ind w:left="267"/>
              <w:rPr>
                <w:sz w:val="16"/>
              </w:rPr>
            </w:pPr>
            <w:r>
              <w:rPr>
                <w:sz w:val="16"/>
              </w:rPr>
              <w:t>Pension</w:t>
            </w:r>
            <w:r>
              <w:rPr>
                <w:spacing w:val="-5"/>
                <w:sz w:val="16"/>
              </w:rPr>
              <w:t> </w:t>
            </w:r>
            <w:r>
              <w:rPr>
                <w:spacing w:val="-10"/>
                <w:sz w:val="16"/>
                <w:vertAlign w:val="superscript"/>
              </w:rPr>
              <w:t>c</w:t>
            </w:r>
          </w:p>
        </w:tc>
        <w:tc>
          <w:tcPr>
            <w:tcW w:w="1429" w:type="dxa"/>
          </w:tcPr>
          <w:p>
            <w:pPr>
              <w:pStyle w:val="TableParagraph"/>
              <w:spacing w:before="36"/>
              <w:ind w:right="61"/>
              <w:jc w:val="right"/>
              <w:rPr>
                <w:sz w:val="16"/>
              </w:rPr>
            </w:pPr>
            <w:r>
              <w:rPr>
                <w:spacing w:val="-2"/>
                <w:sz w:val="16"/>
              </w:rPr>
              <w:t>(119)</w:t>
            </w:r>
          </w:p>
        </w:tc>
        <w:tc>
          <w:tcPr>
            <w:tcW w:w="1391" w:type="dxa"/>
          </w:tcPr>
          <w:p>
            <w:pPr>
              <w:pStyle w:val="TableParagraph"/>
              <w:spacing w:before="36"/>
              <w:ind w:right="12"/>
              <w:jc w:val="right"/>
              <w:rPr>
                <w:sz w:val="16"/>
              </w:rPr>
            </w:pPr>
            <w:r>
              <w:rPr>
                <w:spacing w:val="-4"/>
                <w:sz w:val="16"/>
              </w:rPr>
              <w:t>(79)</w:t>
            </w:r>
          </w:p>
        </w:tc>
      </w:tr>
      <w:tr>
        <w:trPr>
          <w:trHeight w:val="240" w:hRule="atLeast"/>
        </w:trPr>
        <w:tc>
          <w:tcPr>
            <w:tcW w:w="6525" w:type="dxa"/>
          </w:tcPr>
          <w:p>
            <w:pPr>
              <w:pStyle w:val="TableParagraph"/>
              <w:spacing w:before="25"/>
              <w:ind w:left="267"/>
              <w:rPr>
                <w:sz w:val="16"/>
              </w:rPr>
            </w:pPr>
            <w:r>
              <w:rPr>
                <w:sz w:val="16"/>
              </w:rPr>
              <w:t>PEBP</w:t>
            </w:r>
            <w:r>
              <w:rPr>
                <w:spacing w:val="-5"/>
                <w:sz w:val="16"/>
              </w:rPr>
              <w:t> </w:t>
            </w:r>
            <w:r>
              <w:rPr>
                <w:sz w:val="16"/>
              </w:rPr>
              <w:t>and</w:t>
            </w:r>
            <w:r>
              <w:rPr>
                <w:spacing w:val="-2"/>
                <w:sz w:val="16"/>
              </w:rPr>
              <w:t> </w:t>
            </w:r>
            <w:r>
              <w:rPr>
                <w:sz w:val="16"/>
              </w:rPr>
              <w:t>PCRF</w:t>
            </w:r>
            <w:r>
              <w:rPr>
                <w:spacing w:val="-2"/>
                <w:sz w:val="16"/>
              </w:rPr>
              <w:t> adjustment</w:t>
            </w:r>
          </w:p>
        </w:tc>
        <w:tc>
          <w:tcPr>
            <w:tcW w:w="1429" w:type="dxa"/>
          </w:tcPr>
          <w:p>
            <w:pPr>
              <w:pStyle w:val="TableParagraph"/>
              <w:spacing w:before="25"/>
              <w:ind w:right="61"/>
              <w:jc w:val="right"/>
              <w:rPr>
                <w:sz w:val="16"/>
              </w:rPr>
            </w:pPr>
            <w:r>
              <w:rPr>
                <w:spacing w:val="-4"/>
                <w:sz w:val="16"/>
              </w:rPr>
              <w:t>(74)</w:t>
            </w:r>
          </w:p>
        </w:tc>
        <w:tc>
          <w:tcPr>
            <w:tcW w:w="1391" w:type="dxa"/>
          </w:tcPr>
          <w:p>
            <w:pPr>
              <w:pStyle w:val="TableParagraph"/>
              <w:spacing w:before="25"/>
              <w:ind w:right="66"/>
              <w:jc w:val="right"/>
              <w:rPr>
                <w:sz w:val="16"/>
              </w:rPr>
            </w:pPr>
            <w:r>
              <w:rPr>
                <w:spacing w:val="-5"/>
                <w:sz w:val="16"/>
              </w:rPr>
              <w:t>33</w:t>
            </w:r>
          </w:p>
        </w:tc>
      </w:tr>
      <w:tr>
        <w:trPr>
          <w:trHeight w:val="232" w:hRule="atLeast"/>
        </w:trPr>
        <w:tc>
          <w:tcPr>
            <w:tcW w:w="6525" w:type="dxa"/>
          </w:tcPr>
          <w:p>
            <w:pPr>
              <w:pStyle w:val="TableParagraph"/>
              <w:spacing w:before="25"/>
              <w:ind w:left="267"/>
              <w:rPr>
                <w:sz w:val="16"/>
              </w:rPr>
            </w:pPr>
            <w:r>
              <w:rPr>
                <w:sz w:val="16"/>
              </w:rPr>
              <w:t>Other</w:t>
            </w:r>
            <w:r>
              <w:rPr>
                <w:spacing w:val="-4"/>
                <w:sz w:val="16"/>
              </w:rPr>
              <w:t> </w:t>
            </w:r>
            <w:r>
              <w:rPr>
                <w:spacing w:val="-2"/>
                <w:sz w:val="16"/>
              </w:rPr>
              <w:t>adjustments</w:t>
            </w:r>
          </w:p>
        </w:tc>
        <w:tc>
          <w:tcPr>
            <w:tcW w:w="1429" w:type="dxa"/>
            <w:tcBorders>
              <w:bottom w:val="single" w:sz="8" w:space="0" w:color="000000"/>
            </w:tcBorders>
          </w:tcPr>
          <w:p>
            <w:pPr>
              <w:pStyle w:val="TableParagraph"/>
              <w:spacing w:before="25"/>
              <w:ind w:right="115"/>
              <w:jc w:val="right"/>
              <w:rPr>
                <w:sz w:val="16"/>
              </w:rPr>
            </w:pPr>
            <w:r>
              <w:rPr>
                <w:spacing w:val="-5"/>
                <w:sz w:val="16"/>
              </w:rPr>
              <w:t>12</w:t>
            </w:r>
          </w:p>
        </w:tc>
        <w:tc>
          <w:tcPr>
            <w:tcW w:w="1391" w:type="dxa"/>
            <w:tcBorders>
              <w:bottom w:val="single" w:sz="8" w:space="0" w:color="000000"/>
            </w:tcBorders>
          </w:tcPr>
          <w:p>
            <w:pPr>
              <w:pStyle w:val="TableParagraph"/>
              <w:spacing w:before="25"/>
              <w:ind w:right="66"/>
              <w:jc w:val="right"/>
              <w:rPr>
                <w:sz w:val="16"/>
              </w:rPr>
            </w:pPr>
            <w:r>
              <w:rPr>
                <w:spacing w:val="-5"/>
                <w:sz w:val="16"/>
              </w:rPr>
              <w:t>14</w:t>
            </w:r>
          </w:p>
        </w:tc>
      </w:tr>
      <w:tr>
        <w:trPr>
          <w:trHeight w:val="200" w:hRule="atLeast"/>
        </w:trPr>
        <w:tc>
          <w:tcPr>
            <w:tcW w:w="6525" w:type="dxa"/>
          </w:tcPr>
          <w:p>
            <w:pPr>
              <w:pStyle w:val="TableParagraph"/>
              <w:spacing w:line="171" w:lineRule="exact" w:before="9"/>
              <w:ind w:left="108"/>
              <w:rPr>
                <w:rFonts w:ascii="Arial"/>
                <w:b/>
                <w:sz w:val="16"/>
              </w:rPr>
            </w:pPr>
            <w:r>
              <w:rPr>
                <w:rFonts w:ascii="Arial"/>
                <w:b/>
                <w:sz w:val="16"/>
              </w:rPr>
              <w:t>Allocable</w:t>
            </w:r>
            <w:r>
              <w:rPr>
                <w:rFonts w:ascii="Arial"/>
                <w:b/>
                <w:spacing w:val="-6"/>
                <w:sz w:val="16"/>
              </w:rPr>
              <w:t> </w:t>
            </w:r>
            <w:r>
              <w:rPr>
                <w:rFonts w:ascii="Arial"/>
                <w:b/>
                <w:spacing w:val="-2"/>
                <w:sz w:val="16"/>
              </w:rPr>
              <w:t>Income</w:t>
            </w:r>
          </w:p>
        </w:tc>
        <w:tc>
          <w:tcPr>
            <w:tcW w:w="1429" w:type="dxa"/>
            <w:tcBorders>
              <w:top w:val="single" w:sz="8" w:space="0" w:color="000000"/>
              <w:bottom w:val="double" w:sz="8" w:space="0" w:color="000000"/>
            </w:tcBorders>
          </w:tcPr>
          <w:p>
            <w:pPr>
              <w:pStyle w:val="TableParagraph"/>
              <w:tabs>
                <w:tab w:pos="909" w:val="left" w:leader="none"/>
              </w:tabs>
              <w:spacing w:line="167" w:lineRule="exact" w:before="12"/>
              <w:ind w:left="52"/>
              <w:rPr>
                <w:rFonts w:ascii="Arial"/>
                <w:b/>
                <w:sz w:val="16"/>
              </w:rPr>
            </w:pPr>
            <w:r>
              <w:rPr>
                <w:rFonts w:ascii="Arial"/>
                <w:b/>
                <w:spacing w:val="-10"/>
                <w:sz w:val="16"/>
              </w:rPr>
              <w:t>$</w:t>
            </w:r>
            <w:r>
              <w:rPr>
                <w:rFonts w:ascii="Arial"/>
                <w:b/>
                <w:sz w:val="16"/>
              </w:rPr>
              <w:tab/>
            </w:r>
            <w:r>
              <w:rPr>
                <w:rFonts w:ascii="Arial"/>
                <w:b/>
                <w:spacing w:val="-2"/>
                <w:sz w:val="16"/>
              </w:rPr>
              <w:t>1,312</w:t>
            </w:r>
          </w:p>
        </w:tc>
        <w:tc>
          <w:tcPr>
            <w:tcW w:w="1391" w:type="dxa"/>
            <w:tcBorders>
              <w:top w:val="single" w:sz="8" w:space="0" w:color="000000"/>
              <w:bottom w:val="double" w:sz="8" w:space="0" w:color="000000"/>
            </w:tcBorders>
          </w:tcPr>
          <w:p>
            <w:pPr>
              <w:pStyle w:val="TableParagraph"/>
              <w:tabs>
                <w:tab w:pos="1054" w:val="left" w:leader="none"/>
              </w:tabs>
              <w:spacing w:line="167" w:lineRule="exact" w:before="12"/>
              <w:ind w:left="63"/>
              <w:rPr>
                <w:rFonts w:ascii="Arial"/>
                <w:b/>
                <w:sz w:val="16"/>
              </w:rPr>
            </w:pPr>
            <w:r>
              <w:rPr>
                <w:rFonts w:ascii="Arial"/>
                <w:b/>
                <w:spacing w:val="-10"/>
                <w:sz w:val="16"/>
              </w:rPr>
              <w:t>$</w:t>
            </w:r>
            <w:r>
              <w:rPr>
                <w:rFonts w:ascii="Arial"/>
                <w:b/>
                <w:sz w:val="16"/>
              </w:rPr>
              <w:tab/>
            </w:r>
            <w:r>
              <w:rPr>
                <w:rFonts w:ascii="Arial"/>
                <w:b/>
                <w:spacing w:val="-5"/>
                <w:sz w:val="16"/>
              </w:rPr>
              <w:t>806</w:t>
            </w:r>
          </w:p>
        </w:tc>
      </w:tr>
      <w:tr>
        <w:trPr>
          <w:trHeight w:val="443" w:hRule="atLeast"/>
        </w:trPr>
        <w:tc>
          <w:tcPr>
            <w:tcW w:w="6525" w:type="dxa"/>
          </w:tcPr>
          <w:p>
            <w:pPr>
              <w:pStyle w:val="TableParagraph"/>
              <w:spacing w:before="44"/>
              <w:rPr>
                <w:rFonts w:ascii="Times New Roman"/>
                <w:sz w:val="16"/>
              </w:rPr>
            </w:pPr>
          </w:p>
          <w:p>
            <w:pPr>
              <w:pStyle w:val="TableParagraph"/>
              <w:spacing w:before="1"/>
              <w:ind w:left="108"/>
              <w:rPr>
                <w:rFonts w:ascii="Arial"/>
                <w:b/>
                <w:sz w:val="16"/>
              </w:rPr>
            </w:pPr>
            <w:r>
              <w:rPr>
                <w:rFonts w:ascii="Arial"/>
                <w:b/>
                <w:sz w:val="16"/>
              </w:rPr>
              <w:t>Recommended</w:t>
            </w:r>
            <w:r>
              <w:rPr>
                <w:rFonts w:ascii="Arial"/>
                <w:b/>
                <w:spacing w:val="-11"/>
                <w:sz w:val="16"/>
              </w:rPr>
              <w:t> </w:t>
            </w:r>
            <w:r>
              <w:rPr>
                <w:rFonts w:ascii="Arial"/>
                <w:b/>
                <w:spacing w:val="-2"/>
                <w:sz w:val="16"/>
              </w:rPr>
              <w:t>Allocations</w:t>
            </w:r>
          </w:p>
        </w:tc>
        <w:tc>
          <w:tcPr>
            <w:tcW w:w="1429" w:type="dxa"/>
            <w:tcBorders>
              <w:top w:val="double" w:sz="8" w:space="0" w:color="000000"/>
            </w:tcBorders>
          </w:tcPr>
          <w:p>
            <w:pPr>
              <w:pStyle w:val="TableParagraph"/>
              <w:rPr>
                <w:rFonts w:ascii="Times New Roman"/>
                <w:sz w:val="18"/>
              </w:rPr>
            </w:pPr>
          </w:p>
        </w:tc>
        <w:tc>
          <w:tcPr>
            <w:tcW w:w="1391" w:type="dxa"/>
            <w:tcBorders>
              <w:top w:val="double" w:sz="8" w:space="0" w:color="000000"/>
            </w:tcBorders>
          </w:tcPr>
          <w:p>
            <w:pPr>
              <w:pStyle w:val="TableParagraph"/>
              <w:rPr>
                <w:rFonts w:ascii="Times New Roman"/>
                <w:sz w:val="18"/>
              </w:rPr>
            </w:pPr>
          </w:p>
        </w:tc>
      </w:tr>
      <w:tr>
        <w:trPr>
          <w:trHeight w:val="241" w:hRule="atLeast"/>
        </w:trPr>
        <w:tc>
          <w:tcPr>
            <w:tcW w:w="6525" w:type="dxa"/>
          </w:tcPr>
          <w:p>
            <w:pPr>
              <w:pStyle w:val="TableParagraph"/>
              <w:spacing w:before="25"/>
              <w:ind w:left="232"/>
              <w:rPr>
                <w:sz w:val="16"/>
              </w:rPr>
            </w:pPr>
            <w:r>
              <w:rPr>
                <w:sz w:val="16"/>
              </w:rPr>
              <w:t>General</w:t>
            </w:r>
            <w:r>
              <w:rPr>
                <w:spacing w:val="-6"/>
                <w:sz w:val="16"/>
              </w:rPr>
              <w:t> </w:t>
            </w:r>
            <w:r>
              <w:rPr>
                <w:spacing w:val="-2"/>
                <w:sz w:val="16"/>
              </w:rPr>
              <w:t>Reserve</w:t>
            </w:r>
          </w:p>
        </w:tc>
        <w:tc>
          <w:tcPr>
            <w:tcW w:w="1429" w:type="dxa"/>
          </w:tcPr>
          <w:p>
            <w:pPr>
              <w:pStyle w:val="TableParagraph"/>
              <w:spacing w:before="29"/>
              <w:ind w:right="115"/>
              <w:jc w:val="right"/>
              <w:rPr>
                <w:sz w:val="16"/>
              </w:rPr>
            </w:pPr>
            <w:r>
              <w:rPr>
                <w:spacing w:val="-5"/>
                <w:sz w:val="16"/>
              </w:rPr>
              <w:t>921</w:t>
            </w:r>
          </w:p>
        </w:tc>
        <w:tc>
          <w:tcPr>
            <w:tcW w:w="1391" w:type="dxa"/>
          </w:tcPr>
          <w:p>
            <w:pPr>
              <w:pStyle w:val="TableParagraph"/>
              <w:spacing w:before="29"/>
              <w:ind w:right="66"/>
              <w:jc w:val="right"/>
              <w:rPr>
                <w:sz w:val="16"/>
              </w:rPr>
            </w:pPr>
            <w:r>
              <w:rPr>
                <w:spacing w:val="-5"/>
                <w:sz w:val="16"/>
              </w:rPr>
              <w:t>589</w:t>
            </w:r>
          </w:p>
        </w:tc>
      </w:tr>
      <w:tr>
        <w:trPr>
          <w:trHeight w:val="240" w:hRule="atLeast"/>
        </w:trPr>
        <w:tc>
          <w:tcPr>
            <w:tcW w:w="6525" w:type="dxa"/>
          </w:tcPr>
          <w:p>
            <w:pPr>
              <w:pStyle w:val="TableParagraph"/>
              <w:spacing w:before="23"/>
              <w:ind w:left="232"/>
              <w:rPr>
                <w:sz w:val="16"/>
              </w:rPr>
            </w:pPr>
            <w:r>
              <w:rPr>
                <w:spacing w:val="-2"/>
                <w:sz w:val="16"/>
              </w:rPr>
              <w:t>Surplus</w:t>
            </w:r>
          </w:p>
        </w:tc>
        <w:tc>
          <w:tcPr>
            <w:tcW w:w="1429" w:type="dxa"/>
          </w:tcPr>
          <w:p>
            <w:pPr>
              <w:pStyle w:val="TableParagraph"/>
              <w:spacing w:before="27"/>
              <w:ind w:right="115"/>
              <w:jc w:val="right"/>
              <w:rPr>
                <w:sz w:val="16"/>
              </w:rPr>
            </w:pPr>
            <w:r>
              <w:rPr>
                <w:spacing w:val="-5"/>
                <w:sz w:val="16"/>
              </w:rPr>
              <w:t>100</w:t>
            </w:r>
          </w:p>
        </w:tc>
        <w:tc>
          <w:tcPr>
            <w:tcW w:w="1391" w:type="dxa"/>
          </w:tcPr>
          <w:p>
            <w:pPr>
              <w:pStyle w:val="TableParagraph"/>
              <w:spacing w:before="27"/>
              <w:ind w:right="66"/>
              <w:jc w:val="right"/>
              <w:rPr>
                <w:sz w:val="16"/>
              </w:rPr>
            </w:pPr>
            <w:r>
              <w:rPr>
                <w:spacing w:val="-5"/>
                <w:sz w:val="16"/>
              </w:rPr>
              <w:t>100</w:t>
            </w:r>
          </w:p>
        </w:tc>
      </w:tr>
      <w:tr>
        <w:trPr>
          <w:trHeight w:val="234" w:hRule="atLeast"/>
        </w:trPr>
        <w:tc>
          <w:tcPr>
            <w:tcW w:w="6525" w:type="dxa"/>
          </w:tcPr>
          <w:p>
            <w:pPr>
              <w:pStyle w:val="TableParagraph"/>
              <w:spacing w:before="23"/>
              <w:ind w:left="232"/>
              <w:rPr>
                <w:sz w:val="16"/>
              </w:rPr>
            </w:pPr>
            <w:r>
              <w:rPr>
                <w:sz w:val="16"/>
              </w:rPr>
              <w:t>Transfer</w:t>
            </w:r>
            <w:r>
              <w:rPr>
                <w:spacing w:val="-5"/>
                <w:sz w:val="16"/>
              </w:rPr>
              <w:t> </w:t>
            </w:r>
            <w:r>
              <w:rPr>
                <w:sz w:val="16"/>
              </w:rPr>
              <w:t>to</w:t>
            </w:r>
            <w:r>
              <w:rPr>
                <w:spacing w:val="-5"/>
                <w:sz w:val="16"/>
              </w:rPr>
              <w:t> IDA</w:t>
            </w:r>
          </w:p>
        </w:tc>
        <w:tc>
          <w:tcPr>
            <w:tcW w:w="1429" w:type="dxa"/>
            <w:tcBorders>
              <w:bottom w:val="single" w:sz="8" w:space="0" w:color="000000"/>
            </w:tcBorders>
          </w:tcPr>
          <w:p>
            <w:pPr>
              <w:pStyle w:val="TableParagraph"/>
              <w:spacing w:before="27"/>
              <w:ind w:right="115"/>
              <w:jc w:val="right"/>
              <w:rPr>
                <w:sz w:val="16"/>
              </w:rPr>
            </w:pPr>
            <w:r>
              <w:rPr>
                <w:spacing w:val="-5"/>
                <w:sz w:val="16"/>
              </w:rPr>
              <w:t>291</w:t>
            </w:r>
          </w:p>
        </w:tc>
        <w:tc>
          <w:tcPr>
            <w:tcW w:w="1391" w:type="dxa"/>
            <w:tcBorders>
              <w:bottom w:val="single" w:sz="8" w:space="0" w:color="000000"/>
            </w:tcBorders>
          </w:tcPr>
          <w:p>
            <w:pPr>
              <w:pStyle w:val="TableParagraph"/>
              <w:spacing w:before="27"/>
              <w:ind w:right="66"/>
              <w:jc w:val="right"/>
              <w:rPr>
                <w:sz w:val="16"/>
              </w:rPr>
            </w:pPr>
            <w:r>
              <w:rPr>
                <w:spacing w:val="-5"/>
                <w:sz w:val="16"/>
              </w:rPr>
              <w:t>117</w:t>
            </w:r>
          </w:p>
        </w:tc>
      </w:tr>
      <w:tr>
        <w:trPr>
          <w:trHeight w:val="200" w:hRule="atLeast"/>
        </w:trPr>
        <w:tc>
          <w:tcPr>
            <w:tcW w:w="6525" w:type="dxa"/>
          </w:tcPr>
          <w:p>
            <w:pPr>
              <w:pStyle w:val="TableParagraph"/>
              <w:spacing w:line="171" w:lineRule="exact" w:before="9"/>
              <w:ind w:left="108"/>
              <w:rPr>
                <w:rFonts w:ascii="Arial"/>
                <w:b/>
                <w:sz w:val="16"/>
              </w:rPr>
            </w:pPr>
            <w:r>
              <w:rPr>
                <w:rFonts w:ascii="Arial"/>
                <w:b/>
                <w:sz w:val="16"/>
              </w:rPr>
              <w:t>Total</w:t>
            </w:r>
            <w:r>
              <w:rPr>
                <w:rFonts w:ascii="Arial"/>
                <w:b/>
                <w:spacing w:val="-3"/>
                <w:sz w:val="16"/>
              </w:rPr>
              <w:t> </w:t>
            </w:r>
            <w:r>
              <w:rPr>
                <w:rFonts w:ascii="Arial"/>
                <w:b/>
                <w:spacing w:val="-2"/>
                <w:sz w:val="16"/>
              </w:rPr>
              <w:t>Allocations</w:t>
            </w:r>
          </w:p>
        </w:tc>
        <w:tc>
          <w:tcPr>
            <w:tcW w:w="1429" w:type="dxa"/>
            <w:tcBorders>
              <w:top w:val="single" w:sz="8" w:space="0" w:color="000000"/>
              <w:bottom w:val="double" w:sz="8" w:space="0" w:color="000000"/>
            </w:tcBorders>
          </w:tcPr>
          <w:p>
            <w:pPr>
              <w:pStyle w:val="TableParagraph"/>
              <w:tabs>
                <w:tab w:pos="909" w:val="left" w:leader="none"/>
              </w:tabs>
              <w:spacing w:line="167" w:lineRule="exact" w:before="12"/>
              <w:ind w:left="52"/>
              <w:rPr>
                <w:rFonts w:ascii="Arial"/>
                <w:b/>
                <w:sz w:val="16"/>
              </w:rPr>
            </w:pPr>
            <w:r>
              <w:rPr>
                <w:rFonts w:ascii="Arial"/>
                <w:b/>
                <w:spacing w:val="-10"/>
                <w:sz w:val="16"/>
              </w:rPr>
              <w:t>$</w:t>
            </w:r>
            <w:r>
              <w:rPr>
                <w:rFonts w:ascii="Arial"/>
                <w:b/>
                <w:sz w:val="16"/>
              </w:rPr>
              <w:tab/>
            </w:r>
            <w:r>
              <w:rPr>
                <w:rFonts w:ascii="Arial"/>
                <w:b/>
                <w:spacing w:val="-2"/>
                <w:sz w:val="16"/>
              </w:rPr>
              <w:t>1,312</w:t>
            </w:r>
          </w:p>
        </w:tc>
        <w:tc>
          <w:tcPr>
            <w:tcW w:w="1391" w:type="dxa"/>
            <w:tcBorders>
              <w:top w:val="single" w:sz="8" w:space="0" w:color="000000"/>
              <w:bottom w:val="double" w:sz="8" w:space="0" w:color="000000"/>
            </w:tcBorders>
          </w:tcPr>
          <w:p>
            <w:pPr>
              <w:pStyle w:val="TableParagraph"/>
              <w:tabs>
                <w:tab w:pos="1054" w:val="left" w:leader="none"/>
              </w:tabs>
              <w:spacing w:line="167" w:lineRule="exact" w:before="12"/>
              <w:ind w:left="63"/>
              <w:rPr>
                <w:rFonts w:ascii="Arial"/>
                <w:b/>
                <w:sz w:val="16"/>
              </w:rPr>
            </w:pPr>
            <w:r>
              <w:rPr>
                <w:rFonts w:ascii="Arial"/>
                <w:b/>
                <w:spacing w:val="-10"/>
                <w:sz w:val="16"/>
              </w:rPr>
              <w:t>$</w:t>
            </w:r>
            <w:r>
              <w:rPr>
                <w:rFonts w:ascii="Arial"/>
                <w:b/>
                <w:sz w:val="16"/>
              </w:rPr>
              <w:tab/>
            </w:r>
            <w:r>
              <w:rPr>
                <w:rFonts w:ascii="Arial"/>
                <w:b/>
                <w:spacing w:val="-5"/>
                <w:sz w:val="16"/>
              </w:rPr>
              <w:t>806</w:t>
            </w:r>
          </w:p>
        </w:tc>
      </w:tr>
      <w:tr>
        <w:trPr>
          <w:trHeight w:val="200" w:hRule="atLeast"/>
        </w:trPr>
        <w:tc>
          <w:tcPr>
            <w:tcW w:w="6525" w:type="dxa"/>
            <w:tcBorders>
              <w:bottom w:val="single" w:sz="8" w:space="0" w:color="000000"/>
            </w:tcBorders>
          </w:tcPr>
          <w:p>
            <w:pPr>
              <w:pStyle w:val="TableParagraph"/>
              <w:rPr>
                <w:rFonts w:ascii="Times New Roman"/>
                <w:sz w:val="12"/>
              </w:rPr>
            </w:pPr>
          </w:p>
        </w:tc>
        <w:tc>
          <w:tcPr>
            <w:tcW w:w="1429" w:type="dxa"/>
            <w:tcBorders>
              <w:top w:val="double" w:sz="8" w:space="0" w:color="000000"/>
              <w:bottom w:val="single" w:sz="8" w:space="0" w:color="000000"/>
            </w:tcBorders>
          </w:tcPr>
          <w:p>
            <w:pPr>
              <w:pStyle w:val="TableParagraph"/>
              <w:rPr>
                <w:rFonts w:ascii="Times New Roman"/>
                <w:sz w:val="12"/>
              </w:rPr>
            </w:pPr>
          </w:p>
        </w:tc>
        <w:tc>
          <w:tcPr>
            <w:tcW w:w="1391" w:type="dxa"/>
            <w:tcBorders>
              <w:top w:val="double" w:sz="8" w:space="0" w:color="000000"/>
              <w:bottom w:val="single" w:sz="8" w:space="0" w:color="000000"/>
            </w:tcBorders>
          </w:tcPr>
          <w:p>
            <w:pPr>
              <w:pStyle w:val="TableParagraph"/>
              <w:rPr>
                <w:rFonts w:ascii="Times New Roman"/>
                <w:sz w:val="12"/>
              </w:rPr>
            </w:pPr>
          </w:p>
        </w:tc>
      </w:tr>
    </w:tbl>
    <w:p>
      <w:pPr>
        <w:pStyle w:val="ListParagraph"/>
        <w:numPr>
          <w:ilvl w:val="0"/>
          <w:numId w:val="8"/>
        </w:numPr>
        <w:tabs>
          <w:tab w:pos="948" w:val="left" w:leader="none"/>
        </w:tabs>
        <w:spacing w:line="240" w:lineRule="auto" w:before="19" w:after="0"/>
        <w:ind w:left="948" w:right="0" w:hanging="176"/>
        <w:jc w:val="left"/>
        <w:rPr>
          <w:rFonts w:ascii="Arial"/>
          <w:i/>
          <w:sz w:val="16"/>
        </w:rPr>
      </w:pPr>
      <w:r>
        <w:rPr>
          <w:rFonts w:ascii="Arial"/>
          <w:i/>
          <w:sz w:val="16"/>
        </w:rPr>
        <w:t>Translation</w:t>
      </w:r>
      <w:r>
        <w:rPr>
          <w:rFonts w:ascii="Arial"/>
          <w:i/>
          <w:spacing w:val="-6"/>
          <w:sz w:val="16"/>
        </w:rPr>
        <w:t> </w:t>
      </w:r>
      <w:r>
        <w:rPr>
          <w:rFonts w:ascii="Arial"/>
          <w:i/>
          <w:sz w:val="16"/>
        </w:rPr>
        <w:t>adjustments</w:t>
      </w:r>
      <w:r>
        <w:rPr>
          <w:rFonts w:ascii="Arial"/>
          <w:i/>
          <w:spacing w:val="-5"/>
          <w:sz w:val="16"/>
        </w:rPr>
        <w:t> </w:t>
      </w:r>
      <w:r>
        <w:rPr>
          <w:rFonts w:ascii="Arial"/>
          <w:i/>
          <w:sz w:val="16"/>
        </w:rPr>
        <w:t>relating</w:t>
      </w:r>
      <w:r>
        <w:rPr>
          <w:rFonts w:ascii="Arial"/>
          <w:i/>
          <w:spacing w:val="-6"/>
          <w:sz w:val="16"/>
        </w:rPr>
        <w:t> </w:t>
      </w:r>
      <w:r>
        <w:rPr>
          <w:rFonts w:ascii="Arial"/>
          <w:i/>
          <w:sz w:val="16"/>
        </w:rPr>
        <w:t>to</w:t>
      </w:r>
      <w:r>
        <w:rPr>
          <w:rFonts w:ascii="Arial"/>
          <w:i/>
          <w:spacing w:val="-6"/>
          <w:sz w:val="16"/>
        </w:rPr>
        <w:t> </w:t>
      </w:r>
      <w:r>
        <w:rPr>
          <w:rFonts w:ascii="Arial"/>
          <w:i/>
          <w:sz w:val="16"/>
        </w:rPr>
        <w:t>assets</w:t>
      </w:r>
      <w:r>
        <w:rPr>
          <w:rFonts w:ascii="Arial"/>
          <w:i/>
          <w:spacing w:val="-5"/>
          <w:sz w:val="16"/>
        </w:rPr>
        <w:t> </w:t>
      </w:r>
      <w:r>
        <w:rPr>
          <w:rFonts w:ascii="Arial"/>
          <w:i/>
          <w:sz w:val="16"/>
        </w:rPr>
        <w:t>and</w:t>
      </w:r>
      <w:r>
        <w:rPr>
          <w:rFonts w:ascii="Arial"/>
          <w:i/>
          <w:spacing w:val="-6"/>
          <w:sz w:val="16"/>
        </w:rPr>
        <w:t> </w:t>
      </w:r>
      <w:r>
        <w:rPr>
          <w:rFonts w:ascii="Arial"/>
          <w:i/>
          <w:sz w:val="16"/>
        </w:rPr>
        <w:t>liabilities</w:t>
      </w:r>
      <w:r>
        <w:rPr>
          <w:rFonts w:ascii="Arial"/>
          <w:i/>
          <w:spacing w:val="-5"/>
          <w:sz w:val="16"/>
        </w:rPr>
        <w:t> </w:t>
      </w:r>
      <w:r>
        <w:rPr>
          <w:rFonts w:ascii="Arial"/>
          <w:i/>
          <w:sz w:val="16"/>
        </w:rPr>
        <w:t>denominated</w:t>
      </w:r>
      <w:r>
        <w:rPr>
          <w:rFonts w:ascii="Arial"/>
          <w:i/>
          <w:spacing w:val="-6"/>
          <w:sz w:val="16"/>
        </w:rPr>
        <w:t> </w:t>
      </w:r>
      <w:r>
        <w:rPr>
          <w:rFonts w:ascii="Arial"/>
          <w:i/>
          <w:sz w:val="16"/>
        </w:rPr>
        <w:t>in</w:t>
      </w:r>
      <w:r>
        <w:rPr>
          <w:rFonts w:ascii="Arial"/>
          <w:i/>
          <w:spacing w:val="-6"/>
          <w:sz w:val="16"/>
        </w:rPr>
        <w:t> </w:t>
      </w:r>
      <w:r>
        <w:rPr>
          <w:rFonts w:ascii="Arial"/>
          <w:i/>
          <w:sz w:val="16"/>
        </w:rPr>
        <w:t>non-functional</w:t>
      </w:r>
      <w:r>
        <w:rPr>
          <w:rFonts w:ascii="Arial"/>
          <w:i/>
          <w:spacing w:val="-4"/>
          <w:sz w:val="16"/>
        </w:rPr>
        <w:t> </w:t>
      </w:r>
      <w:r>
        <w:rPr>
          <w:rFonts w:ascii="Arial"/>
          <w:i/>
          <w:spacing w:val="-2"/>
          <w:sz w:val="16"/>
        </w:rPr>
        <w:t>currencies.</w:t>
      </w:r>
    </w:p>
    <w:p>
      <w:pPr>
        <w:pStyle w:val="ListParagraph"/>
        <w:numPr>
          <w:ilvl w:val="0"/>
          <w:numId w:val="8"/>
        </w:numPr>
        <w:tabs>
          <w:tab w:pos="948" w:val="left" w:leader="none"/>
        </w:tabs>
        <w:spacing w:line="240" w:lineRule="auto" w:before="56" w:after="0"/>
        <w:ind w:left="948" w:right="0" w:hanging="176"/>
        <w:jc w:val="left"/>
        <w:rPr>
          <w:rFonts w:ascii="Arial"/>
          <w:i/>
          <w:sz w:val="16"/>
        </w:rPr>
      </w:pPr>
      <w:r>
        <w:rPr>
          <w:rFonts w:ascii="Arial"/>
          <w:i/>
          <w:sz w:val="16"/>
        </w:rPr>
        <w:t>Adjusted</w:t>
      </w:r>
      <w:r>
        <w:rPr>
          <w:rFonts w:ascii="Arial"/>
          <w:i/>
          <w:spacing w:val="-5"/>
          <w:sz w:val="16"/>
        </w:rPr>
        <w:t> </w:t>
      </w:r>
      <w:r>
        <w:rPr>
          <w:rFonts w:ascii="Arial"/>
          <w:i/>
          <w:sz w:val="16"/>
        </w:rPr>
        <w:t>to</w:t>
      </w:r>
      <w:r>
        <w:rPr>
          <w:rFonts w:ascii="Arial"/>
          <w:i/>
          <w:spacing w:val="-4"/>
          <w:sz w:val="16"/>
        </w:rPr>
        <w:t> </w:t>
      </w:r>
      <w:r>
        <w:rPr>
          <w:rFonts w:ascii="Arial"/>
          <w:i/>
          <w:sz w:val="16"/>
        </w:rPr>
        <w:t>exclude</w:t>
      </w:r>
      <w:r>
        <w:rPr>
          <w:rFonts w:ascii="Arial"/>
          <w:i/>
          <w:spacing w:val="-5"/>
          <w:sz w:val="16"/>
        </w:rPr>
        <w:t> </w:t>
      </w:r>
      <w:r>
        <w:rPr>
          <w:rFonts w:ascii="Arial"/>
          <w:i/>
          <w:sz w:val="16"/>
        </w:rPr>
        <w:t>amounts</w:t>
      </w:r>
      <w:r>
        <w:rPr>
          <w:rFonts w:ascii="Arial"/>
          <w:i/>
          <w:spacing w:val="-3"/>
          <w:sz w:val="16"/>
        </w:rPr>
        <w:t> </w:t>
      </w:r>
      <w:r>
        <w:rPr>
          <w:rFonts w:ascii="Arial"/>
          <w:i/>
          <w:sz w:val="16"/>
        </w:rPr>
        <w:t>reclassified</w:t>
      </w:r>
      <w:r>
        <w:rPr>
          <w:rFonts w:ascii="Arial"/>
          <w:i/>
          <w:spacing w:val="-4"/>
          <w:sz w:val="16"/>
        </w:rPr>
        <w:t> </w:t>
      </w:r>
      <w:r>
        <w:rPr>
          <w:rFonts w:ascii="Arial"/>
          <w:i/>
          <w:sz w:val="16"/>
        </w:rPr>
        <w:t>to</w:t>
      </w:r>
      <w:r>
        <w:rPr>
          <w:rFonts w:ascii="Arial"/>
          <w:i/>
          <w:spacing w:val="-5"/>
          <w:sz w:val="16"/>
        </w:rPr>
        <w:t> </w:t>
      </w:r>
      <w:r>
        <w:rPr>
          <w:rFonts w:ascii="Arial"/>
          <w:i/>
          <w:sz w:val="16"/>
        </w:rPr>
        <w:t>realized</w:t>
      </w:r>
      <w:r>
        <w:rPr>
          <w:rFonts w:ascii="Arial"/>
          <w:i/>
          <w:spacing w:val="-4"/>
          <w:sz w:val="16"/>
        </w:rPr>
        <w:t> </w:t>
      </w:r>
      <w:r>
        <w:rPr>
          <w:rFonts w:ascii="Arial"/>
          <w:i/>
          <w:sz w:val="16"/>
        </w:rPr>
        <w:t>gains</w:t>
      </w:r>
      <w:r>
        <w:rPr>
          <w:rFonts w:ascii="Arial"/>
          <w:i/>
          <w:spacing w:val="-3"/>
          <w:sz w:val="16"/>
        </w:rPr>
        <w:t> </w:t>
      </w:r>
      <w:r>
        <w:rPr>
          <w:rFonts w:ascii="Arial"/>
          <w:i/>
          <w:spacing w:val="-2"/>
          <w:sz w:val="16"/>
        </w:rPr>
        <w:t>(losses).</w:t>
      </w:r>
    </w:p>
    <w:p>
      <w:pPr>
        <w:pStyle w:val="ListParagraph"/>
        <w:numPr>
          <w:ilvl w:val="0"/>
          <w:numId w:val="8"/>
        </w:numPr>
        <w:tabs>
          <w:tab w:pos="940" w:val="left" w:leader="none"/>
        </w:tabs>
        <w:spacing w:line="240" w:lineRule="auto" w:before="56" w:after="0"/>
        <w:ind w:left="940" w:right="0" w:hanging="168"/>
        <w:jc w:val="left"/>
        <w:rPr>
          <w:rFonts w:ascii="Arial"/>
          <w:i/>
          <w:sz w:val="16"/>
        </w:rPr>
      </w:pPr>
      <w:r>
        <w:rPr>
          <w:rFonts w:ascii="Arial"/>
          <w:i/>
          <w:sz w:val="16"/>
        </w:rPr>
        <w:t>Represents</w:t>
      </w:r>
      <w:r>
        <w:rPr>
          <w:rFonts w:ascii="Arial"/>
          <w:i/>
          <w:spacing w:val="-6"/>
          <w:sz w:val="16"/>
        </w:rPr>
        <w:t> </w:t>
      </w:r>
      <w:r>
        <w:rPr>
          <w:rFonts w:ascii="Arial"/>
          <w:i/>
          <w:sz w:val="16"/>
        </w:rPr>
        <w:t>the</w:t>
      </w:r>
      <w:r>
        <w:rPr>
          <w:rFonts w:ascii="Arial"/>
          <w:i/>
          <w:spacing w:val="-5"/>
          <w:sz w:val="16"/>
        </w:rPr>
        <w:t> </w:t>
      </w:r>
      <w:r>
        <w:rPr>
          <w:rFonts w:ascii="Arial"/>
          <w:i/>
          <w:sz w:val="16"/>
        </w:rPr>
        <w:t>difference</w:t>
      </w:r>
      <w:r>
        <w:rPr>
          <w:rFonts w:ascii="Arial"/>
          <w:i/>
          <w:spacing w:val="-4"/>
          <w:sz w:val="16"/>
        </w:rPr>
        <w:t> </w:t>
      </w:r>
      <w:r>
        <w:rPr>
          <w:rFonts w:ascii="Arial"/>
          <w:i/>
          <w:sz w:val="16"/>
        </w:rPr>
        <w:t>between</w:t>
      </w:r>
      <w:r>
        <w:rPr>
          <w:rFonts w:ascii="Arial"/>
          <w:i/>
          <w:spacing w:val="-5"/>
          <w:sz w:val="16"/>
        </w:rPr>
        <w:t> </w:t>
      </w:r>
      <w:r>
        <w:rPr>
          <w:rFonts w:ascii="Arial"/>
          <w:i/>
          <w:sz w:val="16"/>
        </w:rPr>
        <w:t>the</w:t>
      </w:r>
      <w:r>
        <w:rPr>
          <w:rFonts w:ascii="Arial"/>
          <w:i/>
          <w:spacing w:val="-4"/>
          <w:sz w:val="16"/>
        </w:rPr>
        <w:t> </w:t>
      </w:r>
      <w:r>
        <w:rPr>
          <w:rFonts w:ascii="Arial"/>
          <w:i/>
          <w:sz w:val="16"/>
        </w:rPr>
        <w:t>pension</w:t>
      </w:r>
      <w:r>
        <w:rPr>
          <w:rFonts w:ascii="Arial"/>
          <w:i/>
          <w:spacing w:val="-4"/>
          <w:sz w:val="16"/>
        </w:rPr>
        <w:t> </w:t>
      </w:r>
      <w:r>
        <w:rPr>
          <w:rFonts w:ascii="Arial"/>
          <w:i/>
          <w:sz w:val="16"/>
        </w:rPr>
        <w:t>cost</w:t>
      </w:r>
      <w:r>
        <w:rPr>
          <w:rFonts w:ascii="Arial"/>
          <w:i/>
          <w:spacing w:val="-4"/>
          <w:sz w:val="16"/>
        </w:rPr>
        <w:t> </w:t>
      </w:r>
      <w:r>
        <w:rPr>
          <w:rFonts w:ascii="Arial"/>
          <w:i/>
          <w:sz w:val="16"/>
        </w:rPr>
        <w:t>incurred</w:t>
      </w:r>
      <w:r>
        <w:rPr>
          <w:rFonts w:ascii="Arial"/>
          <w:i/>
          <w:spacing w:val="-5"/>
          <w:sz w:val="16"/>
        </w:rPr>
        <w:t> </w:t>
      </w:r>
      <w:r>
        <w:rPr>
          <w:rFonts w:ascii="Arial"/>
          <w:i/>
          <w:sz w:val="16"/>
        </w:rPr>
        <w:t>and</w:t>
      </w:r>
      <w:r>
        <w:rPr>
          <w:rFonts w:ascii="Arial"/>
          <w:i/>
          <w:spacing w:val="-4"/>
          <w:sz w:val="16"/>
        </w:rPr>
        <w:t> </w:t>
      </w:r>
      <w:r>
        <w:rPr>
          <w:rFonts w:ascii="Arial"/>
          <w:i/>
          <w:sz w:val="16"/>
        </w:rPr>
        <w:t>pension</w:t>
      </w:r>
      <w:r>
        <w:rPr>
          <w:rFonts w:ascii="Arial"/>
          <w:i/>
          <w:spacing w:val="-4"/>
          <w:sz w:val="16"/>
        </w:rPr>
        <w:t> </w:t>
      </w:r>
      <w:r>
        <w:rPr>
          <w:rFonts w:ascii="Arial"/>
          <w:i/>
          <w:spacing w:val="-2"/>
          <w:sz w:val="16"/>
        </w:rPr>
        <w:t>contributions.</w:t>
      </w:r>
    </w:p>
    <w:p>
      <w:pPr>
        <w:pStyle w:val="BodyText"/>
        <w:spacing w:before="55"/>
        <w:rPr>
          <w:rFonts w:ascii="Arial"/>
          <w:i/>
        </w:rPr>
      </w:pPr>
    </w:p>
    <w:p>
      <w:pPr>
        <w:pStyle w:val="BodyText"/>
        <w:spacing w:line="249" w:lineRule="auto"/>
        <w:ind w:left="720" w:right="720"/>
        <w:jc w:val="both"/>
      </w:pPr>
      <w:r>
        <w:rPr/>
        <w:t>All of the adjustments between reported net income and allocable income are recommended by management and approved by the Board:</w:t>
      </w:r>
    </w:p>
    <w:p>
      <w:pPr>
        <w:spacing w:before="122"/>
        <w:ind w:left="720" w:right="0" w:firstLine="0"/>
        <w:jc w:val="left"/>
        <w:rPr>
          <w:i/>
          <w:sz w:val="20"/>
        </w:rPr>
      </w:pPr>
      <w:r>
        <w:rPr>
          <w:i/>
          <w:sz w:val="20"/>
        </w:rPr>
        <w:t>Board</w:t>
      </w:r>
      <w:r>
        <w:rPr>
          <w:i/>
          <w:spacing w:val="-3"/>
          <w:sz w:val="20"/>
        </w:rPr>
        <w:t> </w:t>
      </w:r>
      <w:r>
        <w:rPr>
          <w:i/>
          <w:sz w:val="20"/>
        </w:rPr>
        <w:t>of</w:t>
      </w:r>
      <w:r>
        <w:rPr>
          <w:i/>
          <w:spacing w:val="-4"/>
          <w:sz w:val="20"/>
        </w:rPr>
        <w:t> </w:t>
      </w:r>
      <w:r>
        <w:rPr>
          <w:i/>
          <w:sz w:val="20"/>
        </w:rPr>
        <w:t>Governors-approved</w:t>
      </w:r>
      <w:r>
        <w:rPr>
          <w:i/>
          <w:spacing w:val="-2"/>
          <w:sz w:val="20"/>
        </w:rPr>
        <w:t> </w:t>
      </w:r>
      <w:r>
        <w:rPr>
          <w:i/>
          <w:sz w:val="20"/>
        </w:rPr>
        <w:t>and</w:t>
      </w:r>
      <w:r>
        <w:rPr>
          <w:i/>
          <w:spacing w:val="-3"/>
          <w:sz w:val="20"/>
        </w:rPr>
        <w:t> </w:t>
      </w:r>
      <w:r>
        <w:rPr>
          <w:i/>
          <w:sz w:val="20"/>
        </w:rPr>
        <w:t>other</w:t>
      </w:r>
      <w:r>
        <w:rPr>
          <w:i/>
          <w:spacing w:val="-3"/>
          <w:sz w:val="20"/>
        </w:rPr>
        <w:t> </w:t>
      </w:r>
      <w:r>
        <w:rPr>
          <w:i/>
          <w:spacing w:val="-2"/>
          <w:sz w:val="20"/>
        </w:rPr>
        <w:t>transfers</w:t>
      </w:r>
    </w:p>
    <w:p>
      <w:pPr>
        <w:pStyle w:val="BodyText"/>
        <w:spacing w:line="249" w:lineRule="auto" w:before="130"/>
        <w:ind w:left="720" w:right="719"/>
        <w:jc w:val="both"/>
      </w:pPr>
      <w:r>
        <w:rPr/>
        <w:t>Board of Governors-approved and other transfers refer to the allocations recommended by the Board and approved by the Governors, as part of the prior year’s net income allocation process and subsequent decisions on uses of surplus, as well as on payments from restricted retained earnings.</w:t>
      </w:r>
    </w:p>
    <w:p>
      <w:pPr>
        <w:pStyle w:val="BodyText"/>
        <w:spacing w:line="249" w:lineRule="auto" w:before="122"/>
        <w:ind w:left="720" w:right="719"/>
        <w:jc w:val="both"/>
      </w:pPr>
      <w:r>
        <w:rPr/>
        <w:t>Since these amounts primarily relate to allocations out of IBRD’s FY22 allocable income, Surplus, or restricted retained earnings, they are excluded from FY23 reported net income in calculating FY23 allocable income.</w:t>
      </w:r>
    </w:p>
    <w:p>
      <w:pPr>
        <w:spacing w:before="122"/>
        <w:ind w:left="720" w:right="0" w:firstLine="0"/>
        <w:jc w:val="left"/>
        <w:rPr>
          <w:i/>
          <w:sz w:val="20"/>
        </w:rPr>
      </w:pPr>
      <w:r>
        <w:rPr>
          <w:i/>
          <w:sz w:val="20"/>
        </w:rPr>
        <w:t>Non-functional</w:t>
      </w:r>
      <w:r>
        <w:rPr>
          <w:i/>
          <w:spacing w:val="-7"/>
          <w:sz w:val="20"/>
        </w:rPr>
        <w:t> </w:t>
      </w:r>
      <w:r>
        <w:rPr>
          <w:i/>
          <w:sz w:val="20"/>
        </w:rPr>
        <w:t>currency</w:t>
      </w:r>
      <w:r>
        <w:rPr>
          <w:i/>
          <w:spacing w:val="-6"/>
          <w:sz w:val="20"/>
        </w:rPr>
        <w:t> </w:t>
      </w:r>
      <w:r>
        <w:rPr>
          <w:i/>
          <w:sz w:val="20"/>
        </w:rPr>
        <w:t>translation</w:t>
      </w:r>
      <w:r>
        <w:rPr>
          <w:i/>
          <w:spacing w:val="-5"/>
          <w:sz w:val="20"/>
        </w:rPr>
        <w:t> </w:t>
      </w:r>
      <w:r>
        <w:rPr>
          <w:i/>
          <w:sz w:val="20"/>
        </w:rPr>
        <w:t>adjustment</w:t>
      </w:r>
      <w:r>
        <w:rPr>
          <w:i/>
          <w:spacing w:val="-6"/>
          <w:sz w:val="20"/>
        </w:rPr>
        <w:t> </w:t>
      </w:r>
      <w:r>
        <w:rPr>
          <w:i/>
          <w:spacing w:val="-2"/>
          <w:sz w:val="20"/>
        </w:rPr>
        <w:t>gains/losses</w:t>
      </w:r>
    </w:p>
    <w:p>
      <w:pPr>
        <w:pStyle w:val="BodyText"/>
        <w:spacing w:line="249" w:lineRule="auto" w:before="130"/>
        <w:ind w:left="720" w:right="718"/>
        <w:jc w:val="both"/>
      </w:pPr>
      <w:r>
        <w:rPr/>
        <w:t>Translation gains and losses relating to non-functional currencies are reflected in reported net income. Since these are unrealized gains/losses that relate to asset/liability positions still held by IBRD, they are excluded from reported net income to arrive at allocable income.</w:t>
      </w:r>
    </w:p>
    <w:p>
      <w:pPr>
        <w:spacing w:before="123"/>
        <w:ind w:left="720" w:right="0" w:firstLine="0"/>
        <w:jc w:val="left"/>
        <w:rPr>
          <w:i/>
          <w:sz w:val="20"/>
        </w:rPr>
      </w:pPr>
      <w:r>
        <w:rPr>
          <w:i/>
          <w:sz w:val="20"/>
        </w:rPr>
        <w:t>Unrealized</w:t>
      </w:r>
      <w:r>
        <w:rPr>
          <w:i/>
          <w:spacing w:val="-6"/>
          <w:sz w:val="20"/>
        </w:rPr>
        <w:t> </w:t>
      </w:r>
      <w:r>
        <w:rPr>
          <w:i/>
          <w:sz w:val="20"/>
        </w:rPr>
        <w:t>mark-to-market</w:t>
      </w:r>
      <w:r>
        <w:rPr>
          <w:i/>
          <w:spacing w:val="-5"/>
          <w:sz w:val="20"/>
        </w:rPr>
        <w:t> </w:t>
      </w:r>
      <w:r>
        <w:rPr>
          <w:i/>
          <w:sz w:val="20"/>
        </w:rPr>
        <w:t>gains/losses</w:t>
      </w:r>
      <w:r>
        <w:rPr>
          <w:i/>
          <w:spacing w:val="-6"/>
          <w:sz w:val="20"/>
        </w:rPr>
        <w:t> </w:t>
      </w:r>
      <w:r>
        <w:rPr>
          <w:i/>
          <w:sz w:val="20"/>
        </w:rPr>
        <w:t>on</w:t>
      </w:r>
      <w:r>
        <w:rPr>
          <w:i/>
          <w:spacing w:val="-5"/>
          <w:sz w:val="20"/>
        </w:rPr>
        <w:t> </w:t>
      </w:r>
      <w:r>
        <w:rPr>
          <w:i/>
          <w:sz w:val="20"/>
        </w:rPr>
        <w:t>non-trading</w:t>
      </w:r>
      <w:r>
        <w:rPr>
          <w:i/>
          <w:spacing w:val="-5"/>
          <w:sz w:val="20"/>
        </w:rPr>
        <w:t> </w:t>
      </w:r>
      <w:r>
        <w:rPr>
          <w:i/>
          <w:spacing w:val="-2"/>
          <w:sz w:val="20"/>
        </w:rPr>
        <w:t>portfolios</w:t>
      </w:r>
    </w:p>
    <w:p>
      <w:pPr>
        <w:pStyle w:val="BodyText"/>
        <w:spacing w:line="232" w:lineRule="auto" w:before="95"/>
        <w:ind w:left="720" w:right="719"/>
        <w:jc w:val="both"/>
      </w:pPr>
      <w:r>
        <w:rPr/>
        <w:t>These mainly comprise unrealized mark-to-market gains and losses on the loan, borrowing, and other ALM portfolios as previously discussed.</w:t>
      </w:r>
    </w:p>
    <w:p>
      <w:pPr>
        <w:pStyle w:val="BodyText"/>
        <w:spacing w:after="0" w:line="232" w:lineRule="auto"/>
        <w:jc w:val="both"/>
        <w:sectPr>
          <w:pgSz w:w="12240" w:h="15840"/>
          <w:pgMar w:header="744" w:footer="583" w:top="1020" w:bottom="780" w:left="720" w:right="720"/>
        </w:sectPr>
      </w:pPr>
    </w:p>
    <w:p>
      <w:pPr>
        <w:pStyle w:val="BodyText"/>
        <w:spacing w:before="128"/>
      </w:pPr>
    </w:p>
    <w:p>
      <w:pPr>
        <w:spacing w:before="0"/>
        <w:ind w:left="720" w:right="0" w:firstLine="0"/>
        <w:jc w:val="both"/>
        <w:rPr>
          <w:i/>
          <w:sz w:val="20"/>
        </w:rPr>
      </w:pPr>
      <w:r>
        <w:rPr>
          <w:i/>
          <w:sz w:val="20"/>
        </w:rPr>
        <w:t>Unrealized</w:t>
      </w:r>
      <w:r>
        <w:rPr>
          <w:i/>
          <w:spacing w:val="-8"/>
          <w:sz w:val="20"/>
        </w:rPr>
        <w:t> </w:t>
      </w:r>
      <w:r>
        <w:rPr>
          <w:i/>
          <w:sz w:val="20"/>
        </w:rPr>
        <w:t>mark-to-market</w:t>
      </w:r>
      <w:r>
        <w:rPr>
          <w:i/>
          <w:spacing w:val="-5"/>
          <w:sz w:val="20"/>
        </w:rPr>
        <w:t> </w:t>
      </w:r>
      <w:r>
        <w:rPr>
          <w:i/>
          <w:sz w:val="20"/>
        </w:rPr>
        <w:t>gains/losses</w:t>
      </w:r>
      <w:r>
        <w:rPr>
          <w:i/>
          <w:spacing w:val="-6"/>
          <w:sz w:val="20"/>
        </w:rPr>
        <w:t> </w:t>
      </w:r>
      <w:r>
        <w:rPr>
          <w:i/>
          <w:sz w:val="20"/>
        </w:rPr>
        <w:t>on</w:t>
      </w:r>
      <w:r>
        <w:rPr>
          <w:i/>
          <w:spacing w:val="-5"/>
          <w:sz w:val="20"/>
        </w:rPr>
        <w:t> </w:t>
      </w:r>
      <w:r>
        <w:rPr>
          <w:i/>
          <w:sz w:val="20"/>
        </w:rPr>
        <w:t>certain</w:t>
      </w:r>
      <w:r>
        <w:rPr>
          <w:i/>
          <w:spacing w:val="-5"/>
          <w:sz w:val="20"/>
        </w:rPr>
        <w:t> </w:t>
      </w:r>
      <w:r>
        <w:rPr>
          <w:i/>
          <w:sz w:val="20"/>
        </w:rPr>
        <w:t>positions</w:t>
      </w:r>
      <w:r>
        <w:rPr>
          <w:i/>
          <w:spacing w:val="-6"/>
          <w:sz w:val="20"/>
        </w:rPr>
        <w:t> </w:t>
      </w:r>
      <w:r>
        <w:rPr>
          <w:i/>
          <w:sz w:val="20"/>
        </w:rPr>
        <w:t>in</w:t>
      </w:r>
      <w:r>
        <w:rPr>
          <w:i/>
          <w:spacing w:val="-5"/>
          <w:sz w:val="20"/>
        </w:rPr>
        <w:t> </w:t>
      </w:r>
      <w:r>
        <w:rPr>
          <w:i/>
          <w:sz w:val="20"/>
        </w:rPr>
        <w:t>the</w:t>
      </w:r>
      <w:r>
        <w:rPr>
          <w:i/>
          <w:spacing w:val="-6"/>
          <w:sz w:val="20"/>
        </w:rPr>
        <w:t> </w:t>
      </w:r>
      <w:r>
        <w:rPr>
          <w:i/>
          <w:sz w:val="20"/>
        </w:rPr>
        <w:t>investments-trading</w:t>
      </w:r>
      <w:r>
        <w:rPr>
          <w:i/>
          <w:spacing w:val="-5"/>
          <w:sz w:val="20"/>
        </w:rPr>
        <w:t> </w:t>
      </w:r>
      <w:r>
        <w:rPr>
          <w:i/>
          <w:sz w:val="20"/>
        </w:rPr>
        <w:t>portfolio,</w:t>
      </w:r>
      <w:r>
        <w:rPr>
          <w:i/>
          <w:spacing w:val="-5"/>
          <w:sz w:val="20"/>
        </w:rPr>
        <w:t> net</w:t>
      </w:r>
    </w:p>
    <w:p>
      <w:pPr>
        <w:pStyle w:val="BodyText"/>
        <w:spacing w:line="232" w:lineRule="auto" w:before="135"/>
        <w:ind w:left="720" w:right="719"/>
        <w:jc w:val="both"/>
      </w:pPr>
      <w:r>
        <w:rPr/>
        <w:t>This adjustment applies to trades where the unrealized gains and losses on derivative forward contracts are recorded in the Statements of Income and the underlying physical assets being purchased and sold are recorded at amortized cost during the holding period.</w:t>
      </w:r>
      <w:r>
        <w:rPr>
          <w:spacing w:val="40"/>
        </w:rPr>
        <w:t> </w:t>
      </w:r>
      <w:r>
        <w:rPr/>
        <w:t>In these cases, the unrealized gains and losses on the forward contract at the end of the reporting period (if any) are excluded from net income when calculating allocable income. As of June 30, 2023, there were no active trades requiring adjustment.</w:t>
      </w:r>
    </w:p>
    <w:p>
      <w:pPr>
        <w:spacing w:before="223"/>
        <w:ind w:left="720" w:right="0" w:firstLine="0"/>
        <w:jc w:val="both"/>
        <w:rPr>
          <w:i/>
          <w:sz w:val="20"/>
        </w:rPr>
      </w:pPr>
      <w:r>
        <w:rPr>
          <w:i/>
          <w:sz w:val="20"/>
        </w:rPr>
        <w:t>Pension,</w:t>
      </w:r>
      <w:r>
        <w:rPr>
          <w:i/>
          <w:spacing w:val="-3"/>
          <w:sz w:val="20"/>
        </w:rPr>
        <w:t> </w:t>
      </w:r>
      <w:r>
        <w:rPr>
          <w:i/>
          <w:sz w:val="20"/>
        </w:rPr>
        <w:t>PEBP</w:t>
      </w:r>
      <w:r>
        <w:rPr>
          <w:i/>
          <w:spacing w:val="-3"/>
          <w:sz w:val="20"/>
        </w:rPr>
        <w:t> </w:t>
      </w:r>
      <w:r>
        <w:rPr>
          <w:i/>
          <w:sz w:val="20"/>
        </w:rPr>
        <w:t>and</w:t>
      </w:r>
      <w:r>
        <w:rPr>
          <w:i/>
          <w:spacing w:val="-3"/>
          <w:sz w:val="20"/>
        </w:rPr>
        <w:t> </w:t>
      </w:r>
      <w:r>
        <w:rPr>
          <w:i/>
          <w:sz w:val="20"/>
        </w:rPr>
        <w:t>PCRF</w:t>
      </w:r>
      <w:r>
        <w:rPr>
          <w:i/>
          <w:spacing w:val="-3"/>
          <w:sz w:val="20"/>
        </w:rPr>
        <w:t> </w:t>
      </w:r>
      <w:r>
        <w:rPr>
          <w:i/>
          <w:spacing w:val="-2"/>
          <w:sz w:val="20"/>
        </w:rPr>
        <w:t>adjustments</w:t>
      </w:r>
    </w:p>
    <w:p>
      <w:pPr>
        <w:pStyle w:val="BodyText"/>
        <w:spacing w:line="249" w:lineRule="auto" w:before="90"/>
        <w:ind w:left="720" w:right="718"/>
        <w:jc w:val="both"/>
      </w:pPr>
      <w:r>
        <w:rPr/>
        <w:t>The Pension adjustment reflects the difference between the accounting expense and IBRD’s cash contributions to</w:t>
      </w:r>
      <w:r>
        <w:rPr>
          <w:spacing w:val="40"/>
        </w:rPr>
        <w:t> </w:t>
      </w:r>
      <w:r>
        <w:rPr/>
        <w:t>the pension plans, the Post-Employment Benefit Plan (PEBP), and the Post-Retirement Contribution Reserve Fund (PCRF). It also includes investment revenue earned on pension plan, PEBP, and PCRF assets. The PCRF was established by the Board to stabilize contributions to the pension and post-retirement benefits plans. Management bases allocation decisions on IBRD’s cash contributions to the pension plans, PEBP and PCRF, rather than pension accounting expenses. In addition, Management has designated the income from these assets to meet the future needs of the pension plans. As a result, PEBP and PCRF investment revenues are excluded from allocable income.</w:t>
      </w:r>
    </w:p>
    <w:p>
      <w:pPr>
        <w:spacing w:before="126"/>
        <w:ind w:left="720" w:right="0" w:firstLine="0"/>
        <w:jc w:val="both"/>
        <w:rPr>
          <w:i/>
          <w:sz w:val="20"/>
        </w:rPr>
      </w:pPr>
      <w:r>
        <w:rPr>
          <w:i/>
          <w:sz w:val="20"/>
        </w:rPr>
        <w:t>Other</w:t>
      </w:r>
      <w:r>
        <w:rPr>
          <w:i/>
          <w:spacing w:val="-4"/>
          <w:sz w:val="20"/>
        </w:rPr>
        <w:t> </w:t>
      </w:r>
      <w:r>
        <w:rPr>
          <w:i/>
          <w:spacing w:val="-2"/>
          <w:sz w:val="20"/>
        </w:rPr>
        <w:t>Adjustments</w:t>
      </w:r>
    </w:p>
    <w:p>
      <w:pPr>
        <w:pStyle w:val="ListParagraph"/>
        <w:numPr>
          <w:ilvl w:val="0"/>
          <w:numId w:val="9"/>
        </w:numPr>
        <w:tabs>
          <w:tab w:pos="1260" w:val="left" w:leader="none"/>
        </w:tabs>
        <w:spacing w:line="249" w:lineRule="auto" w:before="90" w:after="0"/>
        <w:ind w:left="1260" w:right="717" w:hanging="360"/>
        <w:jc w:val="both"/>
        <w:rPr>
          <w:sz w:val="20"/>
        </w:rPr>
      </w:pPr>
      <w:r>
        <w:rPr>
          <w:sz w:val="20"/>
        </w:rPr>
        <w:t>Under certain arrangements (such as Externally Financed Outputs), IBRD enters into agreements with donors under which it receives grants to finance specified IBRD outputs or services.</w:t>
      </w:r>
      <w:r>
        <w:rPr>
          <w:spacing w:val="40"/>
          <w:sz w:val="20"/>
        </w:rPr>
        <w:t> </w:t>
      </w:r>
      <w:r>
        <w:rPr>
          <w:sz w:val="20"/>
        </w:rPr>
        <w:t>These funds may be utilized only for the purposes specified in the agreements and are, therefore, considered restricted until IBRD has fulfilled those purposes. Management excludes amounts arising from these arrangements from allocable income because IBRD has no discretion over the use of the related funds. In line with this, in FY23, the income of $11 million was transferred out of restricted retained earnings (Table 7). Consequently, the net balance of these restricted funds decreased by the same amount.</w:t>
      </w:r>
    </w:p>
    <w:p>
      <w:pPr>
        <w:pStyle w:val="ListParagraph"/>
        <w:numPr>
          <w:ilvl w:val="0"/>
          <w:numId w:val="9"/>
        </w:numPr>
        <w:tabs>
          <w:tab w:pos="1260" w:val="left" w:leader="none"/>
        </w:tabs>
        <w:spacing w:line="237" w:lineRule="auto" w:before="134" w:after="0"/>
        <w:ind w:left="1260" w:right="718" w:hanging="360"/>
        <w:jc w:val="both"/>
        <w:rPr>
          <w:rFonts w:ascii="Arial MT" w:hAnsi="Arial MT"/>
          <w:sz w:val="20"/>
        </w:rPr>
      </w:pPr>
      <w:r>
        <w:rPr>
          <w:sz w:val="20"/>
        </w:rPr>
        <w:t>Under the Board-approved framework, RAMP fees are dedicated for the purpose of providing technical assistance and asset management services to external clients. Due to the potential timing mismatch between fee revenue (recognized as earned) and program expenditures (recognized when incurred), fees earned in a given fiscal year may be used to provide services in a future fiscal year. To ensure that RAMP revenues are only</w:t>
      </w:r>
      <w:r>
        <w:rPr>
          <w:spacing w:val="-2"/>
          <w:sz w:val="20"/>
        </w:rPr>
        <w:t> </w:t>
      </w:r>
      <w:r>
        <w:rPr>
          <w:sz w:val="20"/>
        </w:rPr>
        <w:t>used</w:t>
      </w:r>
      <w:r>
        <w:rPr>
          <w:spacing w:val="-2"/>
          <w:sz w:val="20"/>
        </w:rPr>
        <w:t> </w:t>
      </w:r>
      <w:r>
        <w:rPr>
          <w:sz w:val="20"/>
        </w:rPr>
        <w:t>for</w:t>
      </w:r>
      <w:r>
        <w:rPr>
          <w:spacing w:val="-2"/>
          <w:sz w:val="20"/>
        </w:rPr>
        <w:t> </w:t>
      </w:r>
      <w:r>
        <w:rPr>
          <w:sz w:val="20"/>
        </w:rPr>
        <w:t>the</w:t>
      </w:r>
      <w:r>
        <w:rPr>
          <w:spacing w:val="-2"/>
          <w:sz w:val="20"/>
        </w:rPr>
        <w:t> </w:t>
      </w:r>
      <w:r>
        <w:rPr>
          <w:sz w:val="20"/>
        </w:rPr>
        <w:t>delivery</w:t>
      </w:r>
      <w:r>
        <w:rPr>
          <w:spacing w:val="-2"/>
          <w:sz w:val="20"/>
        </w:rPr>
        <w:t> </w:t>
      </w:r>
      <w:r>
        <w:rPr>
          <w:sz w:val="20"/>
        </w:rPr>
        <w:t>of</w:t>
      </w:r>
      <w:r>
        <w:rPr>
          <w:spacing w:val="-2"/>
          <w:sz w:val="20"/>
        </w:rPr>
        <w:t> </w:t>
      </w:r>
      <w:r>
        <w:rPr>
          <w:sz w:val="20"/>
        </w:rPr>
        <w:t>RAMP</w:t>
      </w:r>
      <w:r>
        <w:rPr>
          <w:spacing w:val="-2"/>
          <w:sz w:val="20"/>
        </w:rPr>
        <w:t> </w:t>
      </w:r>
      <w:r>
        <w:rPr>
          <w:sz w:val="20"/>
        </w:rPr>
        <w:t>services,</w:t>
      </w:r>
      <w:r>
        <w:rPr>
          <w:spacing w:val="-2"/>
          <w:sz w:val="20"/>
        </w:rPr>
        <w:t> </w:t>
      </w:r>
      <w:r>
        <w:rPr>
          <w:sz w:val="20"/>
        </w:rPr>
        <w:t>and</w:t>
      </w:r>
      <w:r>
        <w:rPr>
          <w:spacing w:val="-2"/>
          <w:sz w:val="20"/>
        </w:rPr>
        <w:t> </w:t>
      </w:r>
      <w:r>
        <w:rPr>
          <w:sz w:val="20"/>
        </w:rPr>
        <w:t>not</w:t>
      </w:r>
      <w:r>
        <w:rPr>
          <w:spacing w:val="-2"/>
          <w:sz w:val="20"/>
        </w:rPr>
        <w:t> </w:t>
      </w:r>
      <w:r>
        <w:rPr>
          <w:sz w:val="20"/>
        </w:rPr>
        <w:t>allocated</w:t>
      </w:r>
      <w:r>
        <w:rPr>
          <w:spacing w:val="-2"/>
          <w:sz w:val="20"/>
        </w:rPr>
        <w:t> </w:t>
      </w:r>
      <w:r>
        <w:rPr>
          <w:sz w:val="20"/>
        </w:rPr>
        <w:t>for</w:t>
      </w:r>
      <w:r>
        <w:rPr>
          <w:spacing w:val="-2"/>
          <w:sz w:val="20"/>
        </w:rPr>
        <w:t> </w:t>
      </w:r>
      <w:r>
        <w:rPr>
          <w:sz w:val="20"/>
        </w:rPr>
        <w:t>other</w:t>
      </w:r>
      <w:r>
        <w:rPr>
          <w:spacing w:val="-2"/>
          <w:sz w:val="20"/>
        </w:rPr>
        <w:t> </w:t>
      </w:r>
      <w:r>
        <w:rPr>
          <w:sz w:val="20"/>
        </w:rPr>
        <w:t>purposes,</w:t>
      </w:r>
      <w:r>
        <w:rPr>
          <w:spacing w:val="-2"/>
          <w:sz w:val="20"/>
        </w:rPr>
        <w:t> </w:t>
      </w:r>
      <w:r>
        <w:rPr>
          <w:sz w:val="20"/>
        </w:rPr>
        <w:t>any</w:t>
      </w:r>
      <w:r>
        <w:rPr>
          <w:spacing w:val="-2"/>
          <w:sz w:val="20"/>
        </w:rPr>
        <w:t> </w:t>
      </w:r>
      <w:r>
        <w:rPr>
          <w:sz w:val="20"/>
        </w:rPr>
        <w:t>difference</w:t>
      </w:r>
      <w:r>
        <w:rPr>
          <w:spacing w:val="-2"/>
          <w:sz w:val="20"/>
        </w:rPr>
        <w:t> </w:t>
      </w:r>
      <w:r>
        <w:rPr>
          <w:sz w:val="20"/>
        </w:rPr>
        <w:t>between</w:t>
      </w:r>
      <w:r>
        <w:rPr>
          <w:spacing w:val="-2"/>
          <w:sz w:val="20"/>
        </w:rPr>
        <w:t> </w:t>
      </w:r>
      <w:r>
        <w:rPr>
          <w:sz w:val="20"/>
        </w:rPr>
        <w:t>fee revenue and expenses from RAMP included in reported net income are excluded to arrive at allocable net income. Allocable income for FY23 was adjusted for the excess of RAMP expenses over the fee revenue</w:t>
      </w:r>
      <w:r>
        <w:rPr>
          <w:spacing w:val="40"/>
          <w:sz w:val="20"/>
        </w:rPr>
        <w:t> </w:t>
      </w:r>
      <w:r>
        <w:rPr>
          <w:sz w:val="20"/>
        </w:rPr>
        <w:t>from RAMP of $1 million (Table 7).</w:t>
      </w:r>
    </w:p>
    <w:p>
      <w:pPr>
        <w:pStyle w:val="Heading4"/>
        <w:spacing w:before="118"/>
      </w:pPr>
      <w:r>
        <w:rPr/>
        <w:t>Income</w:t>
      </w:r>
      <w:r>
        <w:rPr>
          <w:spacing w:val="-2"/>
        </w:rPr>
        <w:t> Allocation</w:t>
      </w:r>
    </w:p>
    <w:p>
      <w:pPr>
        <w:pStyle w:val="BodyText"/>
        <w:spacing w:line="249" w:lineRule="auto" w:before="139"/>
        <w:ind w:left="720" w:right="718"/>
        <w:jc w:val="both"/>
      </w:pPr>
      <w:r>
        <w:rPr/>
        <w:t>Since 1964, IBRD has made transfers to IDA from its net income, upon approval by the Board of Governors. In FY17, the Board approved a formula-based approach for determining IBRD’s transfers to IDA. The approach links transfers to IBRD’s allocable income for the year, ensuring that most allocable income is retained to grow IBRD’s reserves. In addition, as part of the commitment made under the 2018 capital package, the incremental revenue from the</w:t>
      </w:r>
      <w:r>
        <w:rPr>
          <w:spacing w:val="-1"/>
        </w:rPr>
        <w:t> </w:t>
      </w:r>
      <w:r>
        <w:rPr/>
        <w:t>2018</w:t>
      </w:r>
      <w:r>
        <w:rPr>
          <w:spacing w:val="-1"/>
        </w:rPr>
        <w:t> </w:t>
      </w:r>
      <w:r>
        <w:rPr/>
        <w:t>price</w:t>
      </w:r>
      <w:r>
        <w:rPr>
          <w:spacing w:val="-1"/>
        </w:rPr>
        <w:t> </w:t>
      </w:r>
      <w:r>
        <w:rPr/>
        <w:t>increase</w:t>
      </w:r>
      <w:r>
        <w:rPr>
          <w:spacing w:val="-1"/>
        </w:rPr>
        <w:t> </w:t>
      </w:r>
      <w:r>
        <w:rPr/>
        <w:t>is</w:t>
      </w:r>
      <w:r>
        <w:rPr>
          <w:spacing w:val="-1"/>
        </w:rPr>
        <w:t> </w:t>
      </w:r>
      <w:r>
        <w:rPr/>
        <w:t>excluded</w:t>
      </w:r>
      <w:r>
        <w:rPr>
          <w:spacing w:val="-1"/>
        </w:rPr>
        <w:t> </w:t>
      </w:r>
      <w:r>
        <w:rPr/>
        <w:t>from</w:t>
      </w:r>
      <w:r>
        <w:rPr>
          <w:spacing w:val="-1"/>
        </w:rPr>
        <w:t> </w:t>
      </w:r>
      <w:r>
        <w:rPr/>
        <w:t>the</w:t>
      </w:r>
      <w:r>
        <w:rPr>
          <w:spacing w:val="-1"/>
        </w:rPr>
        <w:t> </w:t>
      </w:r>
      <w:r>
        <w:rPr/>
        <w:t>formula</w:t>
      </w:r>
      <w:r>
        <w:rPr>
          <w:spacing w:val="-1"/>
        </w:rPr>
        <w:t> </w:t>
      </w:r>
      <w:r>
        <w:rPr/>
        <w:t>used</w:t>
      </w:r>
      <w:r>
        <w:rPr>
          <w:spacing w:val="-1"/>
        </w:rPr>
        <w:t> </w:t>
      </w:r>
      <w:r>
        <w:rPr/>
        <w:t>to</w:t>
      </w:r>
      <w:r>
        <w:rPr>
          <w:spacing w:val="-1"/>
        </w:rPr>
        <w:t> </w:t>
      </w:r>
      <w:r>
        <w:rPr/>
        <w:t>calculate</w:t>
      </w:r>
      <w:r>
        <w:rPr>
          <w:spacing w:val="-1"/>
        </w:rPr>
        <w:t> </w:t>
      </w:r>
      <w:r>
        <w:rPr/>
        <w:t>the</w:t>
      </w:r>
      <w:r>
        <w:rPr>
          <w:spacing w:val="-1"/>
        </w:rPr>
        <w:t> </w:t>
      </w:r>
      <w:r>
        <w:rPr/>
        <w:t>amount</w:t>
      </w:r>
      <w:r>
        <w:rPr>
          <w:spacing w:val="-1"/>
        </w:rPr>
        <w:t> </w:t>
      </w:r>
      <w:r>
        <w:rPr/>
        <w:t>to</w:t>
      </w:r>
      <w:r>
        <w:rPr>
          <w:spacing w:val="-1"/>
        </w:rPr>
        <w:t> </w:t>
      </w:r>
      <w:r>
        <w:rPr/>
        <w:t>be</w:t>
      </w:r>
      <w:r>
        <w:rPr>
          <w:spacing w:val="-1"/>
        </w:rPr>
        <w:t> </w:t>
      </w:r>
      <w:r>
        <w:rPr/>
        <w:t>transferred</w:t>
      </w:r>
      <w:r>
        <w:rPr>
          <w:spacing w:val="-1"/>
        </w:rPr>
        <w:t> </w:t>
      </w:r>
      <w:r>
        <w:rPr/>
        <w:t>to</w:t>
      </w:r>
      <w:r>
        <w:rPr>
          <w:spacing w:val="-1"/>
        </w:rPr>
        <w:t> </w:t>
      </w:r>
      <w:r>
        <w:rPr/>
        <w:t>IDA,</w:t>
      </w:r>
      <w:r>
        <w:rPr>
          <w:spacing w:val="-1"/>
        </w:rPr>
        <w:t> </w:t>
      </w:r>
      <w:r>
        <w:rPr/>
        <w:t>and</w:t>
      </w:r>
      <w:r>
        <w:rPr>
          <w:spacing w:val="-1"/>
        </w:rPr>
        <w:t> </w:t>
      </w:r>
      <w:r>
        <w:rPr/>
        <w:t>fully retained in IBRD’s reserves.</w:t>
      </w:r>
    </w:p>
    <w:p>
      <w:pPr>
        <w:pStyle w:val="BodyText"/>
        <w:spacing w:line="232" w:lineRule="auto" w:before="131"/>
        <w:ind w:left="720" w:right="720"/>
        <w:jc w:val="both"/>
      </w:pPr>
      <w:r>
        <w:rPr/>
        <w:t>IBRD’s strong support of IDA is reflected in the $16.5 billion of cumulative income transfers it has made since IDA’s first replenishment.</w:t>
      </w:r>
    </w:p>
    <w:p>
      <w:pPr>
        <w:pStyle w:val="BodyText"/>
        <w:spacing w:line="249" w:lineRule="auto" w:before="116"/>
        <w:ind w:left="720" w:right="718"/>
        <w:jc w:val="both"/>
      </w:pPr>
      <w:r>
        <w:rPr/>
        <w:t>Annual IDA transfer recommendations are subject to approval by the Governors as part of the net income allocation process in accordance with IBRD’s Articles. In making their decisions, Governors will continue to take the overall financial standing of IBRD into consideration.</w:t>
      </w:r>
    </w:p>
    <w:p>
      <w:pPr>
        <w:pStyle w:val="BodyText"/>
        <w:spacing w:after="0" w:line="249" w:lineRule="auto"/>
        <w:jc w:val="both"/>
        <w:sectPr>
          <w:pgSz w:w="12240" w:h="15840"/>
          <w:pgMar w:header="744" w:footer="713" w:top="1020" w:bottom="900" w:left="720" w:right="720"/>
        </w:sectPr>
      </w:pPr>
    </w:p>
    <w:p>
      <w:pPr>
        <w:pStyle w:val="BodyText"/>
        <w:spacing w:before="135"/>
      </w:pPr>
    </w:p>
    <w:p>
      <w:pPr>
        <w:pStyle w:val="BodyText"/>
        <w:spacing w:line="230" w:lineRule="auto"/>
        <w:ind w:left="720" w:right="720"/>
        <w:jc w:val="both"/>
        <w:rPr>
          <w:sz w:val="24"/>
        </w:rPr>
      </w:pPr>
      <w:r>
        <w:rPr/>
        <w:t>Allocable income in FY23 was $1,312 million, and out of this, the Board approved the allocation of $921 million to the General Reserve on August 3, 2023, and the Board recommended to IBRD’s Governors a transfer of $291 million to IDA and $100 million to Surplus</w:t>
      </w:r>
      <w:r>
        <w:rPr>
          <w:sz w:val="24"/>
        </w:rPr>
        <w:t>.</w:t>
      </w:r>
    </w:p>
    <w:p>
      <w:pPr>
        <w:pStyle w:val="BodyText"/>
        <w:spacing w:before="7"/>
      </w:pPr>
    </w:p>
    <w:p>
      <w:pPr>
        <w:spacing w:line="206" w:lineRule="exact" w:before="0"/>
        <w:ind w:left="720" w:right="0" w:firstLine="0"/>
        <w:jc w:val="both"/>
        <w:rPr>
          <w:rFonts w:ascii="Arial"/>
          <w:b/>
          <w:sz w:val="18"/>
        </w:rPr>
      </w:pPr>
      <w:bookmarkStart w:name="_bookmark21" w:id="34"/>
      <w:bookmarkEnd w:id="34"/>
      <w:r>
        <w:rPr/>
      </w:r>
      <w:r>
        <w:rPr>
          <w:rFonts w:ascii="Arial"/>
          <w:b/>
          <w:sz w:val="18"/>
        </w:rPr>
        <w:t>Figure</w:t>
      </w:r>
      <w:r>
        <w:rPr>
          <w:rFonts w:ascii="Arial"/>
          <w:b/>
          <w:spacing w:val="-4"/>
          <w:sz w:val="18"/>
        </w:rPr>
        <w:t> </w:t>
      </w:r>
      <w:r>
        <w:rPr>
          <w:rFonts w:ascii="Arial"/>
          <w:b/>
          <w:sz w:val="18"/>
        </w:rPr>
        <w:t>10:</w:t>
      </w:r>
      <w:r>
        <w:rPr>
          <w:rFonts w:ascii="Arial"/>
          <w:b/>
          <w:spacing w:val="-2"/>
          <w:sz w:val="18"/>
        </w:rPr>
        <w:t> </w:t>
      </w:r>
      <w:r>
        <w:rPr>
          <w:rFonts w:ascii="Arial"/>
          <w:b/>
          <w:sz w:val="18"/>
        </w:rPr>
        <w:t>FY23</w:t>
      </w:r>
      <w:r>
        <w:rPr>
          <w:rFonts w:ascii="Arial"/>
          <w:b/>
          <w:spacing w:val="-2"/>
          <w:sz w:val="18"/>
        </w:rPr>
        <w:t> </w:t>
      </w:r>
      <w:r>
        <w:rPr>
          <w:rFonts w:ascii="Arial"/>
          <w:b/>
          <w:sz w:val="18"/>
        </w:rPr>
        <w:t>Allocable</w:t>
      </w:r>
      <w:r>
        <w:rPr>
          <w:rFonts w:ascii="Arial"/>
          <w:b/>
          <w:spacing w:val="-1"/>
          <w:sz w:val="18"/>
        </w:rPr>
        <w:t> </w:t>
      </w:r>
      <w:r>
        <w:rPr>
          <w:rFonts w:ascii="Arial"/>
          <w:b/>
          <w:sz w:val="18"/>
        </w:rPr>
        <w:t>Income</w:t>
      </w:r>
      <w:r>
        <w:rPr>
          <w:rFonts w:ascii="Arial"/>
          <w:b/>
          <w:spacing w:val="-2"/>
          <w:sz w:val="18"/>
        </w:rPr>
        <w:t> </w:t>
      </w:r>
      <w:r>
        <w:rPr>
          <w:rFonts w:ascii="Arial"/>
          <w:b/>
          <w:sz w:val="18"/>
        </w:rPr>
        <w:t>and</w:t>
      </w:r>
      <w:r>
        <w:rPr>
          <w:rFonts w:ascii="Arial"/>
          <w:b/>
          <w:spacing w:val="-2"/>
          <w:sz w:val="18"/>
        </w:rPr>
        <w:t> </w:t>
      </w:r>
      <w:r>
        <w:rPr>
          <w:rFonts w:ascii="Arial"/>
          <w:b/>
          <w:sz w:val="18"/>
        </w:rPr>
        <w:t>Income</w:t>
      </w:r>
      <w:r>
        <w:rPr>
          <w:rFonts w:ascii="Arial"/>
          <w:b/>
          <w:spacing w:val="-1"/>
          <w:sz w:val="18"/>
        </w:rPr>
        <w:t> </w:t>
      </w:r>
      <w:r>
        <w:rPr>
          <w:rFonts w:ascii="Arial"/>
          <w:b/>
          <w:spacing w:val="-2"/>
          <w:sz w:val="18"/>
        </w:rPr>
        <w:t>Allocation</w:t>
      </w:r>
    </w:p>
    <w:p>
      <w:pPr>
        <w:spacing w:line="183" w:lineRule="exact" w:before="0"/>
        <w:ind w:left="720"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175"/>
        <w:rPr>
          <w:rFonts w:ascii="Arial"/>
          <w:i/>
          <w:sz w:val="16"/>
        </w:rPr>
      </w:pPr>
    </w:p>
    <w:p>
      <w:pPr>
        <w:spacing w:before="0"/>
        <w:ind w:left="0" w:right="9282"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5504">
                <wp:simplePos x="0" y="0"/>
                <wp:positionH relativeFrom="page">
                  <wp:posOffset>1571625</wp:posOffset>
                </wp:positionH>
                <wp:positionV relativeFrom="paragraph">
                  <wp:posOffset>-174270</wp:posOffset>
                </wp:positionV>
                <wp:extent cx="5105400" cy="44767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5105400" cy="447675"/>
                        </a:xfrm>
                        <a:prstGeom prst="rect">
                          <a:avLst/>
                        </a:prstGeom>
                        <a:solidFill>
                          <a:srgbClr val="6D6D6D"/>
                        </a:solidFill>
                      </wps:spPr>
                      <wps:txbx>
                        <w:txbxContent>
                          <w:p>
                            <w:pPr>
                              <w:spacing w:before="105"/>
                              <w:ind w:left="30" w:right="0" w:firstLine="0"/>
                              <w:jc w:val="center"/>
                              <w:rPr>
                                <w:rFonts w:ascii="Arial MT"/>
                                <w:color w:val="000000"/>
                                <w:sz w:val="16"/>
                              </w:rPr>
                            </w:pPr>
                            <w:r>
                              <w:rPr>
                                <w:rFonts w:ascii="Arial MT"/>
                                <w:color w:val="FFFFFF"/>
                                <w:sz w:val="16"/>
                              </w:rPr>
                              <w:t>Allocable</w:t>
                            </w:r>
                            <w:r>
                              <w:rPr>
                                <w:rFonts w:ascii="Arial MT"/>
                                <w:color w:val="FFFFFF"/>
                                <w:spacing w:val="-7"/>
                                <w:sz w:val="16"/>
                              </w:rPr>
                              <w:t> </w:t>
                            </w:r>
                            <w:r>
                              <w:rPr>
                                <w:rFonts w:ascii="Arial MT"/>
                                <w:color w:val="FFFFFF"/>
                                <w:spacing w:val="-2"/>
                                <w:sz w:val="16"/>
                              </w:rPr>
                              <w:t>Income</w:t>
                            </w:r>
                          </w:p>
                          <w:p>
                            <w:pPr>
                              <w:spacing w:before="8"/>
                              <w:ind w:left="30" w:right="0" w:firstLine="0"/>
                              <w:jc w:val="center"/>
                              <w:rPr>
                                <w:rFonts w:ascii="Arial MT"/>
                                <w:color w:val="000000"/>
                                <w:sz w:val="16"/>
                              </w:rPr>
                            </w:pPr>
                            <w:r>
                              <w:rPr>
                                <w:rFonts w:ascii="Arial MT"/>
                                <w:color w:val="FFFFFF"/>
                                <w:spacing w:val="-2"/>
                                <w:sz w:val="16"/>
                              </w:rPr>
                              <w:t>$1,312</w:t>
                            </w:r>
                          </w:p>
                        </w:txbxContent>
                      </wps:txbx>
                      <wps:bodyPr wrap="square" lIns="0" tIns="0" rIns="0" bIns="0" rtlCol="0">
                        <a:noAutofit/>
                      </wps:bodyPr>
                    </wps:wsp>
                  </a:graphicData>
                </a:graphic>
              </wp:anchor>
            </w:drawing>
          </mc:Choice>
          <mc:Fallback>
            <w:pict>
              <v:shape style="position:absolute;margin-left:123.75pt;margin-top:-13.72205pt;width:402pt;height:35.25pt;mso-position-horizontal-relative:page;mso-position-vertical-relative:paragraph;z-index:15765504" type="#_x0000_t202" id="docshape162" filled="true" fillcolor="#6d6d6d" stroked="false">
                <v:textbox inset="0,0,0,0">
                  <w:txbxContent>
                    <w:p>
                      <w:pPr>
                        <w:spacing w:before="105"/>
                        <w:ind w:left="30" w:right="0" w:firstLine="0"/>
                        <w:jc w:val="center"/>
                        <w:rPr>
                          <w:rFonts w:ascii="Arial MT"/>
                          <w:color w:val="000000"/>
                          <w:sz w:val="16"/>
                        </w:rPr>
                      </w:pPr>
                      <w:r>
                        <w:rPr>
                          <w:rFonts w:ascii="Arial MT"/>
                          <w:color w:val="FFFFFF"/>
                          <w:sz w:val="16"/>
                        </w:rPr>
                        <w:t>Allocable</w:t>
                      </w:r>
                      <w:r>
                        <w:rPr>
                          <w:rFonts w:ascii="Arial MT"/>
                          <w:color w:val="FFFFFF"/>
                          <w:spacing w:val="-7"/>
                          <w:sz w:val="16"/>
                        </w:rPr>
                        <w:t> </w:t>
                      </w:r>
                      <w:r>
                        <w:rPr>
                          <w:rFonts w:ascii="Arial MT"/>
                          <w:color w:val="FFFFFF"/>
                          <w:spacing w:val="-2"/>
                          <w:sz w:val="16"/>
                        </w:rPr>
                        <w:t>Income</w:t>
                      </w:r>
                    </w:p>
                    <w:p>
                      <w:pPr>
                        <w:spacing w:before="8"/>
                        <w:ind w:left="30" w:right="0" w:firstLine="0"/>
                        <w:jc w:val="center"/>
                        <w:rPr>
                          <w:rFonts w:ascii="Arial MT"/>
                          <w:color w:val="000000"/>
                          <w:sz w:val="16"/>
                        </w:rPr>
                      </w:pPr>
                      <w:r>
                        <w:rPr>
                          <w:rFonts w:ascii="Arial MT"/>
                          <w:color w:val="FFFFFF"/>
                          <w:spacing w:val="-2"/>
                          <w:sz w:val="16"/>
                        </w:rPr>
                        <w:t>$1,312</w:t>
                      </w:r>
                    </w:p>
                  </w:txbxContent>
                </v:textbox>
                <v:fill type="solid"/>
                <w10:wrap type="none"/>
              </v:shape>
            </w:pict>
          </mc:Fallback>
        </mc:AlternateContent>
      </w:r>
      <w:r>
        <w:rPr>
          <w:rFonts w:ascii="Arial MT"/>
          <w:color w:val="585858"/>
          <w:spacing w:val="-2"/>
          <w:sz w:val="16"/>
        </w:rPr>
        <w:t>Income</w:t>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75"/>
        <w:rPr>
          <w:rFonts w:ascii="Arial MT"/>
          <w:sz w:val="16"/>
        </w:rPr>
      </w:pPr>
    </w:p>
    <w:p>
      <w:pPr>
        <w:spacing w:before="0"/>
        <w:ind w:left="0" w:right="9281" w:firstLine="0"/>
        <w:jc w:val="right"/>
        <w:rPr>
          <w:rFonts w:ascii="Arial MT"/>
          <w:sz w:val="16"/>
        </w:rPr>
      </w:pPr>
      <w:r>
        <w:rPr>
          <w:rFonts w:ascii="Arial MT"/>
          <w:sz w:val="16"/>
        </w:rPr>
        <mc:AlternateContent>
          <mc:Choice Requires="wps">
            <w:drawing>
              <wp:anchor distT="0" distB="0" distL="0" distR="0" allowOverlap="1" layoutInCell="1" locked="0" behindDoc="0" simplePos="0" relativeHeight="15764992">
                <wp:simplePos x="0" y="0"/>
                <wp:positionH relativeFrom="page">
                  <wp:posOffset>1571625</wp:posOffset>
                </wp:positionH>
                <wp:positionV relativeFrom="paragraph">
                  <wp:posOffset>-178982</wp:posOffset>
                </wp:positionV>
                <wp:extent cx="5105400" cy="44767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105400" cy="447675"/>
                          <a:chExt cx="5105400" cy="447675"/>
                        </a:xfrm>
                      </wpg:grpSpPr>
                      <wps:wsp>
                        <wps:cNvPr id="212" name="Textbox 212"/>
                        <wps:cNvSpPr txBox="1"/>
                        <wps:spPr>
                          <a:xfrm>
                            <a:off x="4714875" y="0"/>
                            <a:ext cx="390525" cy="447675"/>
                          </a:xfrm>
                          <a:prstGeom prst="rect">
                            <a:avLst/>
                          </a:prstGeom>
                          <a:solidFill>
                            <a:srgbClr val="6D6D6D"/>
                          </a:solidFill>
                        </wps:spPr>
                        <wps:txbx>
                          <w:txbxContent>
                            <w:p>
                              <w:pPr>
                                <w:spacing w:before="127"/>
                                <w:ind w:left="44" w:right="0" w:firstLine="0"/>
                                <w:jc w:val="left"/>
                                <w:rPr>
                                  <w:rFonts w:ascii="Arial MT"/>
                                  <w:color w:val="000000"/>
                                  <w:sz w:val="16"/>
                                </w:rPr>
                              </w:pPr>
                              <w:r>
                                <w:rPr>
                                  <w:rFonts w:ascii="Arial MT"/>
                                  <w:color w:val="FFFFFF"/>
                                  <w:spacing w:val="-2"/>
                                  <w:sz w:val="16"/>
                                </w:rPr>
                                <w:t>Surplus</w:t>
                              </w:r>
                            </w:p>
                            <w:p>
                              <w:pPr>
                                <w:spacing w:before="27"/>
                                <w:ind w:left="137" w:right="0" w:firstLine="0"/>
                                <w:jc w:val="left"/>
                                <w:rPr>
                                  <w:rFonts w:ascii="Arial MT"/>
                                  <w:color w:val="000000"/>
                                  <w:sz w:val="16"/>
                                </w:rPr>
                              </w:pPr>
                              <w:r>
                                <w:rPr>
                                  <w:rFonts w:ascii="Arial MT"/>
                                  <w:color w:val="FFFFFF"/>
                                  <w:spacing w:val="-4"/>
                                  <w:sz w:val="16"/>
                                </w:rPr>
                                <w:t>$100</w:t>
                              </w:r>
                            </w:p>
                          </w:txbxContent>
                        </wps:txbx>
                        <wps:bodyPr wrap="square" lIns="0" tIns="0" rIns="0" bIns="0" rtlCol="0">
                          <a:noAutofit/>
                        </wps:bodyPr>
                      </wps:wsp>
                      <wps:wsp>
                        <wps:cNvPr id="213" name="Textbox 213"/>
                        <wps:cNvSpPr txBox="1"/>
                        <wps:spPr>
                          <a:xfrm>
                            <a:off x="1123950" y="0"/>
                            <a:ext cx="3590925" cy="447675"/>
                          </a:xfrm>
                          <a:prstGeom prst="rect">
                            <a:avLst/>
                          </a:prstGeom>
                          <a:solidFill>
                            <a:srgbClr val="919191"/>
                          </a:solidFill>
                        </wps:spPr>
                        <wps:txbx>
                          <w:txbxContent>
                            <w:p>
                              <w:pPr>
                                <w:spacing w:before="127"/>
                                <w:ind w:left="0" w:right="522" w:firstLine="0"/>
                                <w:jc w:val="center"/>
                                <w:rPr>
                                  <w:rFonts w:ascii="Arial MT"/>
                                  <w:color w:val="000000"/>
                                  <w:sz w:val="16"/>
                                </w:rPr>
                              </w:pPr>
                              <w:r>
                                <w:rPr>
                                  <w:rFonts w:ascii="Arial MT"/>
                                  <w:color w:val="FFFFFF"/>
                                  <w:sz w:val="16"/>
                                </w:rPr>
                                <w:t>General</w:t>
                              </w:r>
                              <w:r>
                                <w:rPr>
                                  <w:rFonts w:ascii="Arial MT"/>
                                  <w:color w:val="FFFFFF"/>
                                  <w:spacing w:val="-6"/>
                                  <w:sz w:val="16"/>
                                </w:rPr>
                                <w:t> </w:t>
                              </w:r>
                              <w:r>
                                <w:rPr>
                                  <w:rFonts w:ascii="Arial MT"/>
                                  <w:color w:val="FFFFFF"/>
                                  <w:spacing w:val="-2"/>
                                  <w:sz w:val="16"/>
                                </w:rPr>
                                <w:t>Reserves</w:t>
                              </w:r>
                            </w:p>
                            <w:p>
                              <w:pPr>
                                <w:spacing w:before="27"/>
                                <w:ind w:left="0" w:right="522" w:firstLine="0"/>
                                <w:jc w:val="center"/>
                                <w:rPr>
                                  <w:rFonts w:ascii="Arial MT"/>
                                  <w:color w:val="000000"/>
                                  <w:sz w:val="16"/>
                                </w:rPr>
                              </w:pPr>
                              <w:r>
                                <w:rPr>
                                  <w:rFonts w:ascii="Arial MT"/>
                                  <w:color w:val="FFFFFF"/>
                                  <w:spacing w:val="-4"/>
                                  <w:sz w:val="16"/>
                                </w:rPr>
                                <w:t>$921</w:t>
                              </w:r>
                            </w:p>
                          </w:txbxContent>
                        </wps:txbx>
                        <wps:bodyPr wrap="square" lIns="0" tIns="0" rIns="0" bIns="0" rtlCol="0">
                          <a:noAutofit/>
                        </wps:bodyPr>
                      </wps:wsp>
                      <wps:wsp>
                        <wps:cNvPr id="214" name="Textbox 214"/>
                        <wps:cNvSpPr txBox="1"/>
                        <wps:spPr>
                          <a:xfrm>
                            <a:off x="0" y="0"/>
                            <a:ext cx="1123950" cy="447675"/>
                          </a:xfrm>
                          <a:prstGeom prst="rect">
                            <a:avLst/>
                          </a:prstGeom>
                          <a:solidFill>
                            <a:srgbClr val="DADADA"/>
                          </a:solidFill>
                        </wps:spPr>
                        <wps:txbx>
                          <w:txbxContent>
                            <w:p>
                              <w:pPr>
                                <w:spacing w:before="156"/>
                                <w:ind w:left="1" w:right="5" w:firstLine="0"/>
                                <w:jc w:val="center"/>
                                <w:rPr>
                                  <w:rFonts w:ascii="Arial MT"/>
                                  <w:color w:val="000000"/>
                                  <w:sz w:val="16"/>
                                </w:rPr>
                              </w:pPr>
                              <w:r>
                                <w:rPr>
                                  <w:rFonts w:ascii="Arial MT"/>
                                  <w:color w:val="000000"/>
                                  <w:spacing w:val="-2"/>
                                  <w:sz w:val="16"/>
                                </w:rPr>
                                <w:t>IDA</w:t>
                              </w:r>
                              <w:r>
                                <w:rPr>
                                  <w:rFonts w:ascii="Arial MT"/>
                                  <w:color w:val="000000"/>
                                  <w:spacing w:val="-9"/>
                                  <w:sz w:val="16"/>
                                </w:rPr>
                                <w:t> </w:t>
                              </w:r>
                              <w:r>
                                <w:rPr>
                                  <w:rFonts w:ascii="Arial MT"/>
                                  <w:color w:val="000000"/>
                                  <w:spacing w:val="-2"/>
                                  <w:sz w:val="16"/>
                                </w:rPr>
                                <w:t>Transfers</w:t>
                              </w:r>
                            </w:p>
                            <w:p>
                              <w:pPr>
                                <w:spacing w:before="46"/>
                                <w:ind w:left="0" w:right="5" w:firstLine="0"/>
                                <w:jc w:val="center"/>
                                <w:rPr>
                                  <w:rFonts w:ascii="Arial MT"/>
                                  <w:color w:val="000000"/>
                                  <w:sz w:val="16"/>
                                </w:rPr>
                              </w:pPr>
                              <w:r>
                                <w:rPr>
                                  <w:rFonts w:ascii="Arial MT"/>
                                  <w:color w:val="000000"/>
                                  <w:spacing w:val="-4"/>
                                  <w:sz w:val="16"/>
                                </w:rPr>
                                <w:t>$291</w:t>
                              </w:r>
                            </w:p>
                          </w:txbxContent>
                        </wps:txbx>
                        <wps:bodyPr wrap="square" lIns="0" tIns="0" rIns="0" bIns="0" rtlCol="0">
                          <a:noAutofit/>
                        </wps:bodyPr>
                      </wps:wsp>
                    </wpg:wgp>
                  </a:graphicData>
                </a:graphic>
              </wp:anchor>
            </w:drawing>
          </mc:Choice>
          <mc:Fallback>
            <w:pict>
              <v:group style="position:absolute;margin-left:123.75pt;margin-top:-14.093143pt;width:402pt;height:35.25pt;mso-position-horizontal-relative:page;mso-position-vertical-relative:paragraph;z-index:15764992" id="docshapegroup163" coordorigin="2475,-282" coordsize="8040,705">
                <v:shape style="position:absolute;left:9900;top:-282;width:615;height:705" type="#_x0000_t202" id="docshape164" filled="true" fillcolor="#6d6d6d" stroked="false">
                  <v:textbox inset="0,0,0,0">
                    <w:txbxContent>
                      <w:p>
                        <w:pPr>
                          <w:spacing w:before="127"/>
                          <w:ind w:left="44" w:right="0" w:firstLine="0"/>
                          <w:jc w:val="left"/>
                          <w:rPr>
                            <w:rFonts w:ascii="Arial MT"/>
                            <w:color w:val="000000"/>
                            <w:sz w:val="16"/>
                          </w:rPr>
                        </w:pPr>
                        <w:r>
                          <w:rPr>
                            <w:rFonts w:ascii="Arial MT"/>
                            <w:color w:val="FFFFFF"/>
                            <w:spacing w:val="-2"/>
                            <w:sz w:val="16"/>
                          </w:rPr>
                          <w:t>Surplus</w:t>
                        </w:r>
                      </w:p>
                      <w:p>
                        <w:pPr>
                          <w:spacing w:before="27"/>
                          <w:ind w:left="137" w:right="0" w:firstLine="0"/>
                          <w:jc w:val="left"/>
                          <w:rPr>
                            <w:rFonts w:ascii="Arial MT"/>
                            <w:color w:val="000000"/>
                            <w:sz w:val="16"/>
                          </w:rPr>
                        </w:pPr>
                        <w:r>
                          <w:rPr>
                            <w:rFonts w:ascii="Arial MT"/>
                            <w:color w:val="FFFFFF"/>
                            <w:spacing w:val="-4"/>
                            <w:sz w:val="16"/>
                          </w:rPr>
                          <w:t>$100</w:t>
                        </w:r>
                      </w:p>
                    </w:txbxContent>
                  </v:textbox>
                  <v:fill type="solid"/>
                  <w10:wrap type="none"/>
                </v:shape>
                <v:shape style="position:absolute;left:4245;top:-282;width:5655;height:705" type="#_x0000_t202" id="docshape165" filled="true" fillcolor="#919191" stroked="false">
                  <v:textbox inset="0,0,0,0">
                    <w:txbxContent>
                      <w:p>
                        <w:pPr>
                          <w:spacing w:before="127"/>
                          <w:ind w:left="0" w:right="522" w:firstLine="0"/>
                          <w:jc w:val="center"/>
                          <w:rPr>
                            <w:rFonts w:ascii="Arial MT"/>
                            <w:color w:val="000000"/>
                            <w:sz w:val="16"/>
                          </w:rPr>
                        </w:pPr>
                        <w:r>
                          <w:rPr>
                            <w:rFonts w:ascii="Arial MT"/>
                            <w:color w:val="FFFFFF"/>
                            <w:sz w:val="16"/>
                          </w:rPr>
                          <w:t>General</w:t>
                        </w:r>
                        <w:r>
                          <w:rPr>
                            <w:rFonts w:ascii="Arial MT"/>
                            <w:color w:val="FFFFFF"/>
                            <w:spacing w:val="-6"/>
                            <w:sz w:val="16"/>
                          </w:rPr>
                          <w:t> </w:t>
                        </w:r>
                        <w:r>
                          <w:rPr>
                            <w:rFonts w:ascii="Arial MT"/>
                            <w:color w:val="FFFFFF"/>
                            <w:spacing w:val="-2"/>
                            <w:sz w:val="16"/>
                          </w:rPr>
                          <w:t>Reserves</w:t>
                        </w:r>
                      </w:p>
                      <w:p>
                        <w:pPr>
                          <w:spacing w:before="27"/>
                          <w:ind w:left="0" w:right="522" w:firstLine="0"/>
                          <w:jc w:val="center"/>
                          <w:rPr>
                            <w:rFonts w:ascii="Arial MT"/>
                            <w:color w:val="000000"/>
                            <w:sz w:val="16"/>
                          </w:rPr>
                        </w:pPr>
                        <w:r>
                          <w:rPr>
                            <w:rFonts w:ascii="Arial MT"/>
                            <w:color w:val="FFFFFF"/>
                            <w:spacing w:val="-4"/>
                            <w:sz w:val="16"/>
                          </w:rPr>
                          <w:t>$921</w:t>
                        </w:r>
                      </w:p>
                    </w:txbxContent>
                  </v:textbox>
                  <v:fill type="solid"/>
                  <w10:wrap type="none"/>
                </v:shape>
                <v:shape style="position:absolute;left:2475;top:-282;width:1770;height:705" type="#_x0000_t202" id="docshape166" filled="true" fillcolor="#dadada" stroked="false">
                  <v:textbox inset="0,0,0,0">
                    <w:txbxContent>
                      <w:p>
                        <w:pPr>
                          <w:spacing w:before="156"/>
                          <w:ind w:left="1" w:right="5" w:firstLine="0"/>
                          <w:jc w:val="center"/>
                          <w:rPr>
                            <w:rFonts w:ascii="Arial MT"/>
                            <w:color w:val="000000"/>
                            <w:sz w:val="16"/>
                          </w:rPr>
                        </w:pPr>
                        <w:r>
                          <w:rPr>
                            <w:rFonts w:ascii="Arial MT"/>
                            <w:color w:val="000000"/>
                            <w:spacing w:val="-2"/>
                            <w:sz w:val="16"/>
                          </w:rPr>
                          <w:t>IDA</w:t>
                        </w:r>
                        <w:r>
                          <w:rPr>
                            <w:rFonts w:ascii="Arial MT"/>
                            <w:color w:val="000000"/>
                            <w:spacing w:val="-9"/>
                            <w:sz w:val="16"/>
                          </w:rPr>
                          <w:t> </w:t>
                        </w:r>
                        <w:r>
                          <w:rPr>
                            <w:rFonts w:ascii="Arial MT"/>
                            <w:color w:val="000000"/>
                            <w:spacing w:val="-2"/>
                            <w:sz w:val="16"/>
                          </w:rPr>
                          <w:t>Transfers</w:t>
                        </w:r>
                      </w:p>
                      <w:p>
                        <w:pPr>
                          <w:spacing w:before="46"/>
                          <w:ind w:left="0" w:right="5" w:firstLine="0"/>
                          <w:jc w:val="center"/>
                          <w:rPr>
                            <w:rFonts w:ascii="Arial MT"/>
                            <w:color w:val="000000"/>
                            <w:sz w:val="16"/>
                          </w:rPr>
                        </w:pPr>
                        <w:r>
                          <w:rPr>
                            <w:rFonts w:ascii="Arial MT"/>
                            <w:color w:val="000000"/>
                            <w:spacing w:val="-4"/>
                            <w:sz w:val="16"/>
                          </w:rPr>
                          <w:t>$291</w:t>
                        </w:r>
                      </w:p>
                    </w:txbxContent>
                  </v:textbox>
                  <v:fill type="solid"/>
                  <w10:wrap type="none"/>
                </v:shape>
                <w10:wrap type="none"/>
              </v:group>
            </w:pict>
          </mc:Fallback>
        </mc:AlternateContent>
      </w:r>
      <w:r>
        <w:rPr>
          <w:rFonts w:ascii="Arial MT"/>
          <w:color w:val="585858"/>
          <w:spacing w:val="-2"/>
          <w:sz w:val="16"/>
        </w:rPr>
        <w:t>Allocation</w:t>
      </w:r>
    </w:p>
    <w:p>
      <w:pPr>
        <w:pStyle w:val="BodyText"/>
        <w:spacing w:before="172"/>
        <w:rPr>
          <w:rFonts w:ascii="Arial MT"/>
        </w:rPr>
      </w:pPr>
      <w:r>
        <w:rPr>
          <w:rFonts w:ascii="Arial MT"/>
        </w:rPr>
        <mc:AlternateContent>
          <mc:Choice Requires="wps">
            <w:drawing>
              <wp:anchor distT="0" distB="0" distL="0" distR="0" allowOverlap="1" layoutInCell="1" locked="0" behindDoc="1" simplePos="0" relativeHeight="487623680">
                <wp:simplePos x="0" y="0"/>
                <wp:positionH relativeFrom="page">
                  <wp:posOffset>1566862</wp:posOffset>
                </wp:positionH>
                <wp:positionV relativeFrom="paragraph">
                  <wp:posOffset>276163</wp:posOffset>
                </wp:positionV>
                <wp:extent cx="5153025" cy="5715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153025" cy="57150"/>
                        </a:xfrm>
                        <a:custGeom>
                          <a:avLst/>
                          <a:gdLst/>
                          <a:ahLst/>
                          <a:cxnLst/>
                          <a:rect l="l" t="t" r="r" b="b"/>
                          <a:pathLst>
                            <a:path w="5153025" h="57150">
                              <a:moveTo>
                                <a:pt x="0" y="0"/>
                              </a:moveTo>
                              <a:lnTo>
                                <a:pt x="0" y="57150"/>
                              </a:lnTo>
                            </a:path>
                            <a:path w="5153025" h="57150">
                              <a:moveTo>
                                <a:pt x="1285875" y="0"/>
                              </a:moveTo>
                              <a:lnTo>
                                <a:pt x="1285875" y="57150"/>
                              </a:lnTo>
                            </a:path>
                            <a:path w="5153025" h="57150">
                              <a:moveTo>
                                <a:pt x="2571750" y="0"/>
                              </a:moveTo>
                              <a:lnTo>
                                <a:pt x="2571750" y="57150"/>
                              </a:lnTo>
                            </a:path>
                            <a:path w="5153025" h="57150">
                              <a:moveTo>
                                <a:pt x="3857625" y="0"/>
                              </a:moveTo>
                              <a:lnTo>
                                <a:pt x="3857625" y="57150"/>
                              </a:lnTo>
                            </a:path>
                            <a:path w="5153025" h="57150">
                              <a:moveTo>
                                <a:pt x="5153025" y="0"/>
                              </a:moveTo>
                              <a:lnTo>
                                <a:pt x="5153025" y="57150"/>
                              </a:lnTo>
                            </a:path>
                            <a:path w="5153025" h="57150">
                              <a:moveTo>
                                <a:pt x="4762" y="4762"/>
                              </a:moveTo>
                              <a:lnTo>
                                <a:pt x="5148262" y="4762"/>
                              </a:lnTo>
                            </a:path>
                          </a:pathLst>
                        </a:custGeom>
                        <a:ln w="9525">
                          <a:solidFill>
                            <a:srgbClr val="8A8A8A"/>
                          </a:solidFill>
                          <a:prstDash val="solid"/>
                        </a:ln>
                      </wps:spPr>
                      <wps:bodyPr wrap="square" lIns="0" tIns="0" rIns="0" bIns="0" rtlCol="0">
                        <a:prstTxWarp prst="textNoShape">
                          <a:avLst/>
                        </a:prstTxWarp>
                        <a:noAutofit/>
                      </wps:bodyPr>
                    </wps:wsp>
                  </a:graphicData>
                </a:graphic>
              </wp:anchor>
            </w:drawing>
          </mc:Choice>
          <mc:Fallback>
            <w:pict>
              <v:shape style="position:absolute;margin-left:123.375pt;margin-top:21.745138pt;width:405.75pt;height:4.5pt;mso-position-horizontal-relative:page;mso-position-vertical-relative:paragraph;z-index:-15692800;mso-wrap-distance-left:0;mso-wrap-distance-right:0" id="docshape167" coordorigin="2468,435" coordsize="8115,90" path="m2468,435l2468,525m4493,435l4493,525m6518,435l6518,525m8543,435l8543,525m10583,435l10583,525m2475,442l10575,442e" filled="false" stroked="true" strokeweight=".75pt" strokecolor="#8a8a8a">
                <v:path arrowok="t"/>
                <v:stroke dashstyle="solid"/>
                <w10:wrap type="topAndBottom"/>
              </v:shape>
            </w:pict>
          </mc:Fallback>
        </mc:AlternateContent>
      </w:r>
    </w:p>
    <w:p>
      <w:pPr>
        <w:tabs>
          <w:tab w:pos="3631" w:val="left" w:leader="none"/>
          <w:tab w:pos="5656" w:val="left" w:leader="none"/>
          <w:tab w:pos="7681" w:val="left" w:leader="none"/>
          <w:tab w:pos="9647" w:val="left" w:leader="none"/>
        </w:tabs>
        <w:spacing w:before="41"/>
        <w:ind w:left="1667" w:right="0" w:firstLine="0"/>
        <w:jc w:val="left"/>
        <w:rPr>
          <w:rFonts w:ascii="Arial MT" w:hAnsi="Arial MT"/>
          <w:sz w:val="16"/>
        </w:rPr>
      </w:pPr>
      <w:r>
        <w:rPr>
          <w:rFonts w:ascii="Arial MT" w:hAnsi="Arial MT"/>
          <w:color w:val="585858"/>
          <w:sz w:val="16"/>
        </w:rPr>
        <w:t>—</w:t>
        <w:tab/>
      </w:r>
      <w:r>
        <w:rPr>
          <w:rFonts w:ascii="Arial MT" w:hAnsi="Arial MT"/>
          <w:color w:val="585858"/>
          <w:spacing w:val="-5"/>
          <w:sz w:val="16"/>
        </w:rPr>
        <w:t>330</w:t>
      </w:r>
      <w:r>
        <w:rPr>
          <w:rFonts w:ascii="Arial MT" w:hAnsi="Arial MT"/>
          <w:color w:val="585858"/>
          <w:sz w:val="16"/>
        </w:rPr>
        <w:tab/>
      </w:r>
      <w:r>
        <w:rPr>
          <w:rFonts w:ascii="Arial MT" w:hAnsi="Arial MT"/>
          <w:color w:val="585858"/>
          <w:spacing w:val="-5"/>
          <w:sz w:val="16"/>
        </w:rPr>
        <w:t>660</w:t>
      </w:r>
      <w:r>
        <w:rPr>
          <w:rFonts w:ascii="Arial MT" w:hAnsi="Arial MT"/>
          <w:color w:val="585858"/>
          <w:sz w:val="16"/>
        </w:rPr>
        <w:tab/>
      </w:r>
      <w:r>
        <w:rPr>
          <w:rFonts w:ascii="Arial MT" w:hAnsi="Arial MT"/>
          <w:color w:val="585858"/>
          <w:spacing w:val="-5"/>
          <w:sz w:val="16"/>
        </w:rPr>
        <w:t>990</w:t>
      </w:r>
      <w:r>
        <w:rPr>
          <w:rFonts w:ascii="Arial MT" w:hAnsi="Arial MT"/>
          <w:color w:val="585858"/>
          <w:sz w:val="16"/>
        </w:rPr>
        <w:tab/>
      </w:r>
      <w:r>
        <w:rPr>
          <w:rFonts w:ascii="Arial MT" w:hAnsi="Arial MT"/>
          <w:color w:val="585858"/>
          <w:spacing w:val="-2"/>
          <w:sz w:val="16"/>
        </w:rPr>
        <w:t>1,320</w:t>
      </w:r>
    </w:p>
    <w:p>
      <w:pPr>
        <w:spacing w:after="0"/>
        <w:jc w:val="left"/>
        <w:rPr>
          <w:rFonts w:ascii="Arial MT" w:hAnsi="Arial MT"/>
          <w:sz w:val="16"/>
        </w:rPr>
        <w:sectPr>
          <w:pgSz w:w="12240" w:h="15840"/>
          <w:pgMar w:header="744" w:footer="583" w:top="1020" w:bottom="780" w:left="720" w:right="720"/>
        </w:sectPr>
      </w:pPr>
    </w:p>
    <w:p>
      <w:pPr>
        <w:pStyle w:val="BodyText"/>
        <w:spacing w:before="77"/>
        <w:rPr>
          <w:rFonts w:ascii="Arial MT"/>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25216">
                <wp:simplePos x="0" y="0"/>
                <wp:positionH relativeFrom="page">
                  <wp:posOffset>914400</wp:posOffset>
                </wp:positionH>
                <wp:positionV relativeFrom="paragraph">
                  <wp:posOffset>233062</wp:posOffset>
                </wp:positionV>
                <wp:extent cx="5943600"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91264;mso-wrap-distance-left:0;mso-wrap-distance-right:0" id="docshape180" coordorigin="1440,367" coordsize="9360,0" path="m1440,367l10800,367e" filled="false" stroked="true" strokeweight="1pt" strokecolor="#000000">
                <v:path arrowok="t"/>
                <v:stroke dashstyle="solid"/>
                <w10:wrap type="topAndBottom"/>
              </v:shape>
            </w:pict>
          </mc:Fallback>
        </mc:AlternateContent>
      </w:r>
      <w:bookmarkStart w:name="Section IV: Lending Activities" w:id="35"/>
      <w:bookmarkEnd w:id="35"/>
      <w:r>
        <w:rPr/>
      </w:r>
      <w:r>
        <w:rPr>
          <w:rFonts w:ascii="Arial"/>
          <w:b/>
          <w:sz w:val="28"/>
        </w:rPr>
        <w:t>Section</w:t>
      </w:r>
      <w:r>
        <w:rPr>
          <w:rFonts w:ascii="Arial"/>
          <w:b/>
          <w:spacing w:val="-1"/>
          <w:sz w:val="28"/>
        </w:rPr>
        <w:t> </w:t>
      </w:r>
      <w:r>
        <w:rPr>
          <w:rFonts w:ascii="Arial"/>
          <w:b/>
          <w:sz w:val="28"/>
        </w:rPr>
        <w:t>IV:</w:t>
      </w:r>
      <w:r>
        <w:rPr>
          <w:rFonts w:ascii="Arial"/>
          <w:b/>
          <w:spacing w:val="-1"/>
          <w:sz w:val="28"/>
        </w:rPr>
        <w:t> </w:t>
      </w:r>
      <w:r>
        <w:rPr>
          <w:rFonts w:ascii="Arial"/>
          <w:b/>
          <w:sz w:val="28"/>
        </w:rPr>
        <w:t>Lending</w:t>
      </w:r>
      <w:r>
        <w:rPr>
          <w:rFonts w:ascii="Arial"/>
          <w:b/>
          <w:spacing w:val="-1"/>
          <w:sz w:val="28"/>
        </w:rPr>
        <w:t> </w:t>
      </w:r>
      <w:r>
        <w:rPr>
          <w:rFonts w:ascii="Arial"/>
          <w:b/>
          <w:spacing w:val="-2"/>
          <w:sz w:val="28"/>
        </w:rPr>
        <w:t>Activities</w:t>
      </w:r>
    </w:p>
    <w:p>
      <w:pPr>
        <w:pStyle w:val="BodyText"/>
        <w:spacing w:line="249" w:lineRule="auto" w:before="162"/>
        <w:ind w:left="720" w:right="719"/>
        <w:jc w:val="both"/>
      </w:pPr>
      <w:r>
        <w:rPr/>
        <w:t>IBRD provides financing instruments and knowledge services to middle-income and creditworthy low-income countries, while ensuring that social, environmental, and governance considerations are taken into account. Country teams with an understanding of each country’s circumstances work with clients to tailor the mix of instruments, products, and services.</w:t>
      </w:r>
    </w:p>
    <w:p>
      <w:pPr>
        <w:pStyle w:val="BodyText"/>
        <w:spacing w:line="249" w:lineRule="auto" w:before="123"/>
        <w:ind w:left="720" w:right="719"/>
        <w:jc w:val="both"/>
      </w:pPr>
      <w:r>
        <w:rPr/>
        <w:t>Engagement with borrowing members is increasingly aligned with IBRD’s strategic priorities, including engagements that support global public goods such as climate, fragility and gender.</w:t>
      </w:r>
    </w:p>
    <w:p>
      <w:pPr>
        <w:pStyle w:val="BodyText"/>
        <w:spacing w:line="249" w:lineRule="auto" w:before="122"/>
        <w:ind w:left="720" w:right="719"/>
        <w:jc w:val="both"/>
      </w:pPr>
      <w:r>
        <w:rPr/>
        <w:t>Projects and programs supported by IBRD are designed to achieve a positive social impact and undergo a rigorous review and internal approval process, aimed at safeguarding equitable and sustainable economic growth, that includes early screening to identify environmental and social impacts and designing mitigation actions. From July 1, 2023, new financing and guarantees provided by IBRD are being tracked against the objectives of the Paris Agreement and a country's pathway towards low greenhouse gas emissions and climate-resilient development.</w:t>
      </w:r>
    </w:p>
    <w:p>
      <w:pPr>
        <w:pStyle w:val="BodyText"/>
        <w:spacing w:line="249" w:lineRule="auto" w:before="124"/>
        <w:ind w:left="720" w:right="719"/>
        <w:jc w:val="both"/>
      </w:pPr>
      <w:r>
        <w:rPr/>
        <w:t>Financing</w:t>
      </w:r>
      <w:r>
        <w:rPr>
          <w:spacing w:val="-1"/>
        </w:rPr>
        <w:t> </w:t>
      </w:r>
      <w:r>
        <w:rPr/>
        <w:t>cycles</w:t>
      </w:r>
      <w:r>
        <w:rPr>
          <w:spacing w:val="-1"/>
        </w:rPr>
        <w:t> </w:t>
      </w:r>
      <w:r>
        <w:rPr/>
        <w:t>involve</w:t>
      </w:r>
      <w:r>
        <w:rPr>
          <w:spacing w:val="-1"/>
        </w:rPr>
        <w:t> </w:t>
      </w:r>
      <w:r>
        <w:rPr/>
        <w:t>identifying</w:t>
      </w:r>
      <w:r>
        <w:rPr>
          <w:spacing w:val="-1"/>
        </w:rPr>
        <w:t> </w:t>
      </w:r>
      <w:r>
        <w:rPr/>
        <w:t>and</w:t>
      </w:r>
      <w:r>
        <w:rPr>
          <w:spacing w:val="-1"/>
        </w:rPr>
        <w:t> </w:t>
      </w:r>
      <w:r>
        <w:rPr/>
        <w:t>appraising</w:t>
      </w:r>
      <w:r>
        <w:rPr>
          <w:spacing w:val="-1"/>
        </w:rPr>
        <w:t> </w:t>
      </w:r>
      <w:r>
        <w:rPr/>
        <w:t>a</w:t>
      </w:r>
      <w:r>
        <w:rPr>
          <w:spacing w:val="-1"/>
        </w:rPr>
        <w:t> </w:t>
      </w:r>
      <w:r>
        <w:rPr/>
        <w:t>project</w:t>
      </w:r>
      <w:r>
        <w:rPr>
          <w:spacing w:val="-1"/>
        </w:rPr>
        <w:t> </w:t>
      </w:r>
      <w:r>
        <w:rPr/>
        <w:t>and</w:t>
      </w:r>
      <w:r>
        <w:rPr>
          <w:spacing w:val="-1"/>
        </w:rPr>
        <w:t> </w:t>
      </w:r>
      <w:r>
        <w:rPr/>
        <w:t>approving</w:t>
      </w:r>
      <w:r>
        <w:rPr>
          <w:spacing w:val="-1"/>
        </w:rPr>
        <w:t> </w:t>
      </w:r>
      <w:r>
        <w:rPr/>
        <w:t>and</w:t>
      </w:r>
      <w:r>
        <w:rPr>
          <w:spacing w:val="-1"/>
        </w:rPr>
        <w:t> </w:t>
      </w:r>
      <w:r>
        <w:rPr/>
        <w:t>disbursing</w:t>
      </w:r>
      <w:r>
        <w:rPr>
          <w:spacing w:val="-1"/>
        </w:rPr>
        <w:t> </w:t>
      </w:r>
      <w:r>
        <w:rPr/>
        <w:t>the</w:t>
      </w:r>
      <w:r>
        <w:rPr>
          <w:spacing w:val="-1"/>
        </w:rPr>
        <w:t> </w:t>
      </w:r>
      <w:r>
        <w:rPr/>
        <w:t>funds.</w:t>
      </w:r>
      <w:r>
        <w:rPr>
          <w:spacing w:val="-1"/>
        </w:rPr>
        <w:t> </w:t>
      </w:r>
      <w:r>
        <w:rPr/>
        <w:t>In</w:t>
      </w:r>
      <w:r>
        <w:rPr>
          <w:spacing w:val="-1"/>
        </w:rPr>
        <w:t> </w:t>
      </w:r>
      <w:r>
        <w:rPr/>
        <w:t>response</w:t>
      </w:r>
      <w:r>
        <w:rPr>
          <w:spacing w:val="-1"/>
        </w:rPr>
        <w:t> </w:t>
      </w:r>
      <w:r>
        <w:rPr/>
        <w:t>to emergency situations, such as natural disasters and crises, IBRD is able to accelerate the preparation and approval </w:t>
      </w:r>
      <w:r>
        <w:rPr>
          <w:spacing w:val="-2"/>
        </w:rPr>
        <w:t>cycle.</w:t>
      </w:r>
    </w:p>
    <w:p>
      <w:pPr>
        <w:pStyle w:val="BodyText"/>
        <w:spacing w:line="249" w:lineRule="auto" w:before="122"/>
        <w:ind w:left="720" w:right="719"/>
        <w:jc w:val="both"/>
      </w:pPr>
      <w:r>
        <w:rPr/>
        <w:t>Loan disbursements must meet the requirements set out in loan agreements. During implementation of IBRD-supported operations, IBRD’s staff review progress, monitor compliance with IBRD policies, and help resolve any problems that may arise. The Independent Evaluation Group, an IBRD unit whose Director General reports to the Board, evaluates the extent to which operations have met their development objectives.</w:t>
      </w:r>
    </w:p>
    <w:p>
      <w:pPr>
        <w:pStyle w:val="BodyText"/>
        <w:spacing w:line="249" w:lineRule="auto" w:before="123"/>
        <w:ind w:left="720" w:right="718"/>
        <w:jc w:val="both"/>
      </w:pPr>
      <w:r>
        <w:rPr/>
        <w:t>All IBRD loans, are made to, or guaranteed by, member countries. IBRD may also make loans to IFC without any guarantee. In most cases, IBRD’s Board approves each loan and guarantee after appraisal of a project by staff.</w:t>
      </w:r>
      <w:r>
        <w:rPr>
          <w:spacing w:val="40"/>
        </w:rPr>
        <w:t> </w:t>
      </w:r>
      <w:r>
        <w:rPr/>
        <w:t>Under</w:t>
      </w:r>
      <w:r>
        <w:rPr>
          <w:spacing w:val="-1"/>
        </w:rPr>
        <w:t> </w:t>
      </w:r>
      <w:r>
        <w:rPr/>
        <w:t>the</w:t>
      </w:r>
      <w:r>
        <w:rPr>
          <w:spacing w:val="-1"/>
        </w:rPr>
        <w:t> </w:t>
      </w:r>
      <w:r>
        <w:rPr/>
        <w:t>Multiphase</w:t>
      </w:r>
      <w:r>
        <w:rPr>
          <w:spacing w:val="-1"/>
        </w:rPr>
        <w:t> </w:t>
      </w:r>
      <w:r>
        <w:rPr/>
        <w:t>Programmatic</w:t>
      </w:r>
      <w:r>
        <w:rPr>
          <w:spacing w:val="-1"/>
        </w:rPr>
        <w:t> </w:t>
      </w:r>
      <w:r>
        <w:rPr/>
        <w:t>Approach,</w:t>
      </w:r>
      <w:r>
        <w:rPr>
          <w:spacing w:val="-1"/>
        </w:rPr>
        <w:t> </w:t>
      </w:r>
      <w:r>
        <w:rPr/>
        <w:t>the</w:t>
      </w:r>
      <w:r>
        <w:rPr>
          <w:spacing w:val="-1"/>
        </w:rPr>
        <w:t> </w:t>
      </w:r>
      <w:r>
        <w:rPr/>
        <w:t>Board</w:t>
      </w:r>
      <w:r>
        <w:rPr>
          <w:spacing w:val="-1"/>
        </w:rPr>
        <w:t> </w:t>
      </w:r>
      <w:r>
        <w:rPr/>
        <w:t>may</w:t>
      </w:r>
      <w:r>
        <w:rPr>
          <w:spacing w:val="-1"/>
        </w:rPr>
        <w:t> </w:t>
      </w:r>
      <w:r>
        <w:rPr/>
        <w:t>approve</w:t>
      </w:r>
      <w:r>
        <w:rPr>
          <w:spacing w:val="-1"/>
        </w:rPr>
        <w:t> </w:t>
      </w:r>
      <w:r>
        <w:rPr/>
        <w:t>an</w:t>
      </w:r>
      <w:r>
        <w:rPr>
          <w:spacing w:val="-1"/>
        </w:rPr>
        <w:t> </w:t>
      </w:r>
      <w:r>
        <w:rPr/>
        <w:t>overall</w:t>
      </w:r>
      <w:r>
        <w:rPr>
          <w:spacing w:val="-1"/>
        </w:rPr>
        <w:t> </w:t>
      </w:r>
      <w:r>
        <w:rPr/>
        <w:t>program</w:t>
      </w:r>
      <w:r>
        <w:rPr>
          <w:spacing w:val="-1"/>
        </w:rPr>
        <w:t> </w:t>
      </w:r>
      <w:r>
        <w:rPr/>
        <w:t>framework,</w:t>
      </w:r>
      <w:r>
        <w:rPr>
          <w:spacing w:val="-1"/>
        </w:rPr>
        <w:t> </w:t>
      </w:r>
      <w:r>
        <w:rPr/>
        <w:t>its</w:t>
      </w:r>
      <w:r>
        <w:rPr>
          <w:spacing w:val="-1"/>
        </w:rPr>
        <w:t> </w:t>
      </w:r>
      <w:r>
        <w:rPr/>
        <w:t>financing envelope and the first appraised phase, and then authorize Management to appraise and commit financing for later program phases.</w:t>
      </w:r>
    </w:p>
    <w:p>
      <w:pPr>
        <w:pStyle w:val="BodyText"/>
        <w:spacing w:line="249" w:lineRule="auto" w:before="124"/>
        <w:ind w:left="720" w:right="718"/>
        <w:jc w:val="both"/>
      </w:pPr>
      <w:r>
        <w:rPr/>
        <w:t>For FY24, eligible countries with 2022 per capita Gross National Income (GNI) of more than $1,315 are eligible for new lending from IBRD.</w:t>
      </w:r>
    </w:p>
    <w:p>
      <w:pPr>
        <w:spacing w:before="120"/>
        <w:ind w:left="720" w:right="0" w:firstLine="0"/>
        <w:jc w:val="both"/>
        <w:rPr>
          <w:rFonts w:ascii="Arial"/>
          <w:b/>
          <w:sz w:val="24"/>
        </w:rPr>
      </w:pPr>
      <w:bookmarkStart w:name="Net Lending Commitments and Gross Disbur" w:id="36"/>
      <w:bookmarkEnd w:id="36"/>
      <w:r>
        <w:rPr/>
      </w:r>
      <w:bookmarkStart w:name="_bookmark22" w:id="37"/>
      <w:bookmarkEnd w:id="37"/>
      <w:r>
        <w:rPr/>
      </w:r>
      <w:r>
        <w:rPr>
          <w:rFonts w:ascii="Arial"/>
          <w:b/>
          <w:sz w:val="24"/>
        </w:rPr>
        <w:t>Net</w:t>
      </w:r>
      <w:r>
        <w:rPr>
          <w:rFonts w:ascii="Arial"/>
          <w:b/>
          <w:spacing w:val="-5"/>
          <w:sz w:val="24"/>
        </w:rPr>
        <w:t> </w:t>
      </w:r>
      <w:r>
        <w:rPr>
          <w:rFonts w:ascii="Arial"/>
          <w:b/>
          <w:sz w:val="24"/>
        </w:rPr>
        <w:t>Lending</w:t>
      </w:r>
      <w:r>
        <w:rPr>
          <w:rFonts w:ascii="Arial"/>
          <w:b/>
          <w:spacing w:val="-2"/>
          <w:sz w:val="24"/>
        </w:rPr>
        <w:t> </w:t>
      </w:r>
      <w:r>
        <w:rPr>
          <w:rFonts w:ascii="Arial"/>
          <w:b/>
          <w:sz w:val="24"/>
        </w:rPr>
        <w:t>Commitments</w:t>
      </w:r>
      <w:r>
        <w:rPr>
          <w:rFonts w:ascii="Arial"/>
          <w:b/>
          <w:spacing w:val="-2"/>
          <w:sz w:val="24"/>
        </w:rPr>
        <w:t> </w:t>
      </w:r>
      <w:r>
        <w:rPr>
          <w:rFonts w:ascii="Arial"/>
          <w:b/>
          <w:sz w:val="24"/>
        </w:rPr>
        <w:t>and</w:t>
      </w:r>
      <w:r>
        <w:rPr>
          <w:rFonts w:ascii="Arial"/>
          <w:b/>
          <w:spacing w:val="-2"/>
          <w:sz w:val="24"/>
        </w:rPr>
        <w:t> </w:t>
      </w:r>
      <w:r>
        <w:rPr>
          <w:rFonts w:ascii="Arial"/>
          <w:b/>
          <w:sz w:val="24"/>
        </w:rPr>
        <w:t>Gross</w:t>
      </w:r>
      <w:r>
        <w:rPr>
          <w:rFonts w:ascii="Arial"/>
          <w:b/>
          <w:spacing w:val="-2"/>
          <w:sz w:val="24"/>
        </w:rPr>
        <w:t> Disbursements</w:t>
      </w:r>
    </w:p>
    <w:p>
      <w:pPr>
        <w:pStyle w:val="BodyText"/>
        <w:spacing w:line="232" w:lineRule="auto" w:before="140"/>
        <w:ind w:left="720" w:right="718"/>
        <w:jc w:val="both"/>
      </w:pPr>
      <w:r>
        <w:rPr/>
        <w:t>IBRD provided $38.6 billion of new net loan commitments in FY23, through 136 operations (including blend operations), an increase of $5.5 billion (17%) compared to FY22, mainly driven by the increase in Investment Project Financing commitments (Figure 11).</w:t>
      </w:r>
    </w:p>
    <w:p>
      <w:pPr>
        <w:pStyle w:val="BodyText"/>
        <w:spacing w:before="100"/>
      </w:pPr>
    </w:p>
    <w:p>
      <w:pPr>
        <w:spacing w:before="0"/>
        <w:ind w:left="772" w:right="0" w:firstLine="0"/>
        <w:jc w:val="both"/>
        <w:rPr>
          <w:rFonts w:ascii="Arial"/>
          <w:b/>
          <w:sz w:val="18"/>
        </w:rPr>
      </w:pPr>
      <w:bookmarkStart w:name="_bookmark23" w:id="38"/>
      <w:bookmarkEnd w:id="38"/>
      <w:r>
        <w:rPr/>
      </w:r>
      <w:r>
        <w:rPr>
          <w:rFonts w:ascii="Arial"/>
          <w:b/>
          <w:sz w:val="18"/>
        </w:rPr>
        <w:t>Table</w:t>
      </w:r>
      <w:r>
        <w:rPr>
          <w:rFonts w:ascii="Arial"/>
          <w:b/>
          <w:spacing w:val="-2"/>
          <w:sz w:val="18"/>
        </w:rPr>
        <w:t> </w:t>
      </w:r>
      <w:r>
        <w:rPr>
          <w:rFonts w:ascii="Arial"/>
          <w:b/>
          <w:sz w:val="18"/>
        </w:rPr>
        <w:t>8:</w:t>
      </w:r>
      <w:r>
        <w:rPr>
          <w:rFonts w:ascii="Arial"/>
          <w:b/>
          <w:spacing w:val="-2"/>
          <w:sz w:val="18"/>
        </w:rPr>
        <w:t> </w:t>
      </w:r>
      <w:r>
        <w:rPr>
          <w:rFonts w:ascii="Arial"/>
          <w:b/>
          <w:sz w:val="18"/>
        </w:rPr>
        <w:t>Net</w:t>
      </w:r>
      <w:r>
        <w:rPr>
          <w:rFonts w:ascii="Arial"/>
          <w:b/>
          <w:spacing w:val="-2"/>
          <w:sz w:val="18"/>
        </w:rPr>
        <w:t> </w:t>
      </w:r>
      <w:r>
        <w:rPr>
          <w:rFonts w:ascii="Arial"/>
          <w:b/>
          <w:sz w:val="18"/>
        </w:rPr>
        <w:t>Commitments</w:t>
      </w:r>
      <w:r>
        <w:rPr>
          <w:rFonts w:ascii="Arial"/>
          <w:b/>
          <w:spacing w:val="-2"/>
          <w:sz w:val="18"/>
        </w:rPr>
        <w:t> </w:t>
      </w:r>
      <w:r>
        <w:rPr>
          <w:rFonts w:ascii="Arial"/>
          <w:b/>
          <w:sz w:val="18"/>
        </w:rPr>
        <w:t>by</w:t>
      </w:r>
      <w:r>
        <w:rPr>
          <w:rFonts w:ascii="Arial"/>
          <w:b/>
          <w:spacing w:val="-1"/>
          <w:sz w:val="18"/>
        </w:rPr>
        <w:t> </w:t>
      </w:r>
      <w:r>
        <w:rPr>
          <w:rFonts w:ascii="Arial"/>
          <w:b/>
          <w:spacing w:val="-2"/>
          <w:sz w:val="18"/>
        </w:rPr>
        <w:t>Region</w:t>
      </w:r>
    </w:p>
    <w:p>
      <w:pPr>
        <w:spacing w:before="55"/>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3"/>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1558"/>
        <w:gridCol w:w="952"/>
        <w:gridCol w:w="1456"/>
        <w:gridCol w:w="1065"/>
        <w:gridCol w:w="341"/>
        <w:gridCol w:w="871"/>
      </w:tblGrid>
      <w:tr>
        <w:trPr>
          <w:trHeight w:val="202" w:hRule="atLeast"/>
        </w:trPr>
        <w:tc>
          <w:tcPr>
            <w:tcW w:w="7086" w:type="dxa"/>
            <w:gridSpan w:val="4"/>
            <w:tcBorders>
              <w:bottom w:val="single" w:sz="8" w:space="0" w:color="6C6C6C"/>
            </w:tcBorders>
          </w:tcPr>
          <w:p>
            <w:pPr>
              <w:pStyle w:val="TableParagraph"/>
              <w:tabs>
                <w:tab w:pos="3912" w:val="left" w:leader="none"/>
                <w:tab w:pos="4646" w:val="left" w:leader="none"/>
                <w:tab w:pos="6787" w:val="right" w:leader="none"/>
              </w:tabs>
              <w:spacing w:line="179" w:lineRule="exact"/>
              <w:ind w:left="52"/>
              <w:rPr>
                <w:rFonts w:ascii="Arial"/>
                <w:i/>
                <w:sz w:val="16"/>
              </w:rPr>
            </w:pPr>
            <w:r>
              <w:rPr>
                <w:rFonts w:ascii="Arial"/>
                <w:i/>
                <w:color w:val="7F7F7F"/>
                <w:sz w:val="16"/>
              </w:rPr>
              <w:t>For</w:t>
            </w:r>
            <w:r>
              <w:rPr>
                <w:rFonts w:ascii="Arial"/>
                <w:i/>
                <w:color w:val="7F7F7F"/>
                <w:spacing w:val="-3"/>
                <w:sz w:val="16"/>
              </w:rPr>
              <w:t> </w:t>
            </w:r>
            <w:r>
              <w:rPr>
                <w:rFonts w:ascii="Arial"/>
                <w:i/>
                <w:color w:val="7F7F7F"/>
                <w:sz w:val="16"/>
              </w:rPr>
              <w:t>the</w:t>
            </w:r>
            <w:r>
              <w:rPr>
                <w:rFonts w:ascii="Arial"/>
                <w:i/>
                <w:color w:val="7F7F7F"/>
                <w:spacing w:val="-3"/>
                <w:sz w:val="16"/>
              </w:rPr>
              <w:t> </w:t>
            </w:r>
            <w:r>
              <w:rPr>
                <w:rFonts w:ascii="Arial"/>
                <w:i/>
                <w:color w:val="7F7F7F"/>
                <w:sz w:val="16"/>
              </w:rPr>
              <w:t>fiscal</w:t>
            </w:r>
            <w:r>
              <w:rPr>
                <w:rFonts w:ascii="Arial"/>
                <w:i/>
                <w:color w:val="7F7F7F"/>
                <w:spacing w:val="-2"/>
                <w:sz w:val="16"/>
              </w:rPr>
              <w:t> </w:t>
            </w:r>
            <w:r>
              <w:rPr>
                <w:rFonts w:ascii="Arial"/>
                <w:i/>
                <w:color w:val="7F7F7F"/>
                <w:sz w:val="16"/>
              </w:rPr>
              <w:t>year</w:t>
            </w:r>
            <w:r>
              <w:rPr>
                <w:rFonts w:ascii="Arial"/>
                <w:i/>
                <w:color w:val="7F7F7F"/>
                <w:spacing w:val="-2"/>
                <w:sz w:val="16"/>
              </w:rPr>
              <w:t> </w:t>
            </w:r>
            <w:r>
              <w:rPr>
                <w:rFonts w:ascii="Arial"/>
                <w:i/>
                <w:color w:val="7F7F7F"/>
                <w:sz w:val="16"/>
              </w:rPr>
              <w:t>ended</w:t>
            </w:r>
            <w:r>
              <w:rPr>
                <w:rFonts w:ascii="Arial"/>
                <w:i/>
                <w:color w:val="7F7F7F"/>
                <w:spacing w:val="-3"/>
                <w:sz w:val="16"/>
              </w:rPr>
              <w:t> </w:t>
            </w:r>
            <w:r>
              <w:rPr>
                <w:rFonts w:ascii="Arial"/>
                <w:i/>
                <w:color w:val="7F7F7F"/>
                <w:sz w:val="16"/>
              </w:rPr>
              <w:t>June</w:t>
            </w:r>
            <w:r>
              <w:rPr>
                <w:rFonts w:ascii="Arial"/>
                <w:i/>
                <w:color w:val="7F7F7F"/>
                <w:spacing w:val="-3"/>
                <w:sz w:val="16"/>
              </w:rPr>
              <w:t> </w:t>
            </w:r>
            <w:r>
              <w:rPr>
                <w:rFonts w:ascii="Arial"/>
                <w:i/>
                <w:color w:val="7F7F7F"/>
                <w:spacing w:val="-5"/>
                <w:sz w:val="16"/>
              </w:rPr>
              <w:t>30,</w:t>
            </w:r>
            <w:r>
              <w:rPr>
                <w:rFonts w:ascii="Arial"/>
                <w:i/>
                <w:color w:val="7F7F7F"/>
                <w:sz w:val="16"/>
              </w:rPr>
              <w:tab/>
            </w:r>
            <w:r>
              <w:rPr>
                <w:rFonts w:ascii="Arial"/>
                <w:i/>
                <w:color w:val="7F7F7F"/>
                <w:spacing w:val="-4"/>
                <w:sz w:val="16"/>
              </w:rPr>
              <w:t>2023</w:t>
            </w:r>
            <w:r>
              <w:rPr>
                <w:rFonts w:ascii="Arial"/>
                <w:i/>
                <w:color w:val="7F7F7F"/>
                <w:sz w:val="16"/>
              </w:rPr>
              <w:tab/>
              <w:t>%</w:t>
            </w:r>
            <w:r>
              <w:rPr>
                <w:rFonts w:ascii="Arial"/>
                <w:i/>
                <w:color w:val="7F7F7F"/>
                <w:spacing w:val="-3"/>
                <w:sz w:val="16"/>
              </w:rPr>
              <w:t> </w:t>
            </w:r>
            <w:r>
              <w:rPr>
                <w:rFonts w:ascii="Arial"/>
                <w:i/>
                <w:color w:val="7F7F7F"/>
                <w:sz w:val="16"/>
              </w:rPr>
              <w:t>of </w:t>
            </w:r>
            <w:r>
              <w:rPr>
                <w:rFonts w:ascii="Arial"/>
                <w:i/>
                <w:color w:val="7F7F7F"/>
                <w:spacing w:val="-2"/>
                <w:sz w:val="16"/>
              </w:rPr>
              <w:t>total</w:t>
            </w:r>
            <w:r>
              <w:rPr>
                <w:rFonts w:ascii="Times New Roman"/>
                <w:color w:val="7F7F7F"/>
                <w:sz w:val="16"/>
              </w:rPr>
              <w:tab/>
            </w:r>
            <w:r>
              <w:rPr>
                <w:rFonts w:ascii="Arial"/>
                <w:i/>
                <w:color w:val="7F7F7F"/>
                <w:spacing w:val="-4"/>
                <w:sz w:val="16"/>
              </w:rPr>
              <w:t>2022</w:t>
            </w:r>
          </w:p>
        </w:tc>
        <w:tc>
          <w:tcPr>
            <w:tcW w:w="1065" w:type="dxa"/>
            <w:tcBorders>
              <w:bottom w:val="single" w:sz="8" w:space="0" w:color="6C6C6C"/>
            </w:tcBorders>
          </w:tcPr>
          <w:p>
            <w:pPr>
              <w:pStyle w:val="TableParagraph"/>
              <w:spacing w:line="179" w:lineRule="exact"/>
              <w:ind w:right="101"/>
              <w:jc w:val="right"/>
              <w:rPr>
                <w:rFonts w:ascii="Arial"/>
                <w:i/>
                <w:sz w:val="16"/>
              </w:rPr>
            </w:pPr>
            <w:r>
              <w:rPr>
                <w:rFonts w:ascii="Arial"/>
                <w:i/>
                <w:color w:val="7F7F7F"/>
                <w:sz w:val="16"/>
              </w:rPr>
              <w:t>%</w:t>
            </w:r>
            <w:r>
              <w:rPr>
                <w:rFonts w:ascii="Arial"/>
                <w:i/>
                <w:color w:val="7F7F7F"/>
                <w:spacing w:val="-3"/>
                <w:sz w:val="16"/>
              </w:rPr>
              <w:t> </w:t>
            </w:r>
            <w:r>
              <w:rPr>
                <w:rFonts w:ascii="Arial"/>
                <w:i/>
                <w:color w:val="7F7F7F"/>
                <w:sz w:val="16"/>
              </w:rPr>
              <w:t>of </w:t>
            </w:r>
            <w:r>
              <w:rPr>
                <w:rFonts w:ascii="Arial"/>
                <w:i/>
                <w:color w:val="7F7F7F"/>
                <w:spacing w:val="-2"/>
                <w:sz w:val="16"/>
              </w:rPr>
              <w:t>total</w:t>
            </w:r>
          </w:p>
        </w:tc>
        <w:tc>
          <w:tcPr>
            <w:tcW w:w="341" w:type="dxa"/>
            <w:tcBorders>
              <w:bottom w:val="single" w:sz="8" w:space="0" w:color="6C6C6C"/>
            </w:tcBorders>
          </w:tcPr>
          <w:p>
            <w:pPr>
              <w:pStyle w:val="TableParagraph"/>
              <w:rPr>
                <w:rFonts w:ascii="Times New Roman"/>
                <w:sz w:val="14"/>
              </w:rPr>
            </w:pPr>
          </w:p>
        </w:tc>
        <w:tc>
          <w:tcPr>
            <w:tcW w:w="871" w:type="dxa"/>
            <w:tcBorders>
              <w:bottom w:val="single" w:sz="8" w:space="0" w:color="6C6C6C"/>
            </w:tcBorders>
          </w:tcPr>
          <w:p>
            <w:pPr>
              <w:pStyle w:val="TableParagraph"/>
              <w:spacing w:line="179" w:lineRule="exact"/>
              <w:ind w:right="53"/>
              <w:jc w:val="right"/>
              <w:rPr>
                <w:rFonts w:ascii="Arial"/>
                <w:i/>
                <w:sz w:val="16"/>
              </w:rPr>
            </w:pPr>
            <w:r>
              <w:rPr>
                <w:rFonts w:ascii="Arial"/>
                <w:i/>
                <w:color w:val="7F7F7F"/>
                <w:spacing w:val="-2"/>
                <w:sz w:val="16"/>
              </w:rPr>
              <w:t>Variance</w:t>
            </w:r>
          </w:p>
        </w:tc>
      </w:tr>
      <w:tr>
        <w:trPr>
          <w:trHeight w:val="200" w:hRule="atLeast"/>
        </w:trPr>
        <w:tc>
          <w:tcPr>
            <w:tcW w:w="7086" w:type="dxa"/>
            <w:gridSpan w:val="4"/>
            <w:tcBorders>
              <w:top w:val="single" w:sz="8" w:space="0" w:color="6C6C6C"/>
            </w:tcBorders>
          </w:tcPr>
          <w:p>
            <w:pPr>
              <w:pStyle w:val="TableParagraph"/>
              <w:tabs>
                <w:tab w:pos="3172" w:val="left" w:leader="none"/>
                <w:tab w:pos="3852" w:val="left" w:leader="none"/>
                <w:tab w:pos="5280" w:val="left" w:leader="none"/>
                <w:tab w:pos="6372" w:val="left" w:leader="none"/>
              </w:tabs>
              <w:spacing w:line="164" w:lineRule="exact" w:before="16"/>
              <w:ind w:left="52"/>
              <w:rPr>
                <w:sz w:val="16"/>
              </w:rPr>
            </w:pPr>
            <w:r>
              <w:rPr>
                <w:sz w:val="16"/>
              </w:rPr>
              <w:t>Eastern</w:t>
            </w:r>
            <w:r>
              <w:rPr>
                <w:spacing w:val="-5"/>
                <w:sz w:val="16"/>
              </w:rPr>
              <w:t> </w:t>
            </w:r>
            <w:r>
              <w:rPr>
                <w:sz w:val="16"/>
              </w:rPr>
              <w:t>and</w:t>
            </w:r>
            <w:r>
              <w:rPr>
                <w:spacing w:val="-3"/>
                <w:sz w:val="16"/>
              </w:rPr>
              <w:t> </w:t>
            </w:r>
            <w:r>
              <w:rPr>
                <w:sz w:val="16"/>
              </w:rPr>
              <w:t>Southern</w:t>
            </w:r>
            <w:r>
              <w:rPr>
                <w:spacing w:val="-11"/>
                <w:sz w:val="16"/>
              </w:rPr>
              <w:t> </w:t>
            </w:r>
            <w:r>
              <w:rPr>
                <w:spacing w:val="-2"/>
                <w:sz w:val="16"/>
              </w:rPr>
              <w:t>Africa</w:t>
            </w:r>
            <w:r>
              <w:rPr>
                <w:sz w:val="16"/>
              </w:rPr>
              <w:tab/>
            </w:r>
            <w:r>
              <w:rPr>
                <w:spacing w:val="-10"/>
                <w:sz w:val="16"/>
              </w:rPr>
              <w:t>$</w:t>
            </w:r>
            <w:r>
              <w:rPr>
                <w:sz w:val="16"/>
              </w:rPr>
              <w:tab/>
            </w:r>
            <w:r>
              <w:rPr>
                <w:spacing w:val="-4"/>
                <w:sz w:val="16"/>
              </w:rPr>
              <w:t>2,364</w:t>
            </w:r>
            <w:r>
              <w:rPr>
                <w:sz w:val="16"/>
              </w:rPr>
              <w:tab/>
              <w:t>6</w:t>
            </w:r>
            <w:r>
              <w:rPr>
                <w:spacing w:val="8"/>
                <w:sz w:val="16"/>
              </w:rPr>
              <w:t> </w:t>
            </w:r>
            <w:r>
              <w:rPr>
                <w:sz w:val="16"/>
              </w:rPr>
              <w:t>%</w:t>
            </w:r>
            <w:r>
              <w:rPr>
                <w:spacing w:val="59"/>
                <w:w w:val="150"/>
                <w:sz w:val="16"/>
              </w:rPr>
              <w:t> </w:t>
            </w:r>
            <w:r>
              <w:rPr>
                <w:spacing w:val="-10"/>
                <w:sz w:val="16"/>
              </w:rPr>
              <w:t>$</w:t>
            </w:r>
            <w:r>
              <w:rPr>
                <w:sz w:val="16"/>
              </w:rPr>
              <w:tab/>
            </w:r>
            <w:r>
              <w:rPr>
                <w:spacing w:val="-2"/>
                <w:sz w:val="16"/>
              </w:rPr>
              <w:t>2,907</w:t>
            </w:r>
          </w:p>
        </w:tc>
        <w:tc>
          <w:tcPr>
            <w:tcW w:w="1065" w:type="dxa"/>
            <w:tcBorders>
              <w:top w:val="single" w:sz="8" w:space="0" w:color="6C6C6C"/>
            </w:tcBorders>
          </w:tcPr>
          <w:p>
            <w:pPr>
              <w:pStyle w:val="TableParagraph"/>
              <w:spacing w:line="164" w:lineRule="exact" w:before="16"/>
              <w:ind w:right="64"/>
              <w:jc w:val="right"/>
              <w:rPr>
                <w:sz w:val="16"/>
              </w:rPr>
            </w:pPr>
            <w:r>
              <w:rPr>
                <w:sz w:val="16"/>
              </w:rPr>
              <w:t>9</w:t>
            </w:r>
            <w:r>
              <w:rPr>
                <w:spacing w:val="6"/>
                <w:sz w:val="16"/>
              </w:rPr>
              <w:t> </w:t>
            </w:r>
            <w:r>
              <w:rPr>
                <w:spacing w:val="-10"/>
                <w:sz w:val="16"/>
              </w:rPr>
              <w:t>%</w:t>
            </w:r>
          </w:p>
        </w:tc>
        <w:tc>
          <w:tcPr>
            <w:tcW w:w="341" w:type="dxa"/>
            <w:tcBorders>
              <w:top w:val="single" w:sz="8" w:space="0" w:color="6C6C6C"/>
            </w:tcBorders>
          </w:tcPr>
          <w:p>
            <w:pPr>
              <w:pStyle w:val="TableParagraph"/>
              <w:spacing w:line="168" w:lineRule="exact" w:before="12"/>
              <w:ind w:left="61"/>
              <w:rPr>
                <w:sz w:val="16"/>
              </w:rPr>
            </w:pPr>
            <w:r>
              <w:rPr>
                <w:spacing w:val="-10"/>
                <w:sz w:val="16"/>
              </w:rPr>
              <w:t>$</w:t>
            </w:r>
          </w:p>
        </w:tc>
        <w:tc>
          <w:tcPr>
            <w:tcW w:w="871" w:type="dxa"/>
            <w:tcBorders>
              <w:top w:val="single" w:sz="8" w:space="0" w:color="6C6C6C"/>
            </w:tcBorders>
          </w:tcPr>
          <w:p>
            <w:pPr>
              <w:pStyle w:val="TableParagraph"/>
              <w:spacing w:line="168" w:lineRule="exact" w:before="12"/>
              <w:ind w:right="15"/>
              <w:jc w:val="right"/>
              <w:rPr>
                <w:sz w:val="16"/>
              </w:rPr>
            </w:pPr>
            <w:r>
              <w:rPr>
                <w:spacing w:val="-2"/>
                <w:sz w:val="16"/>
              </w:rPr>
              <w:t>(543)</w:t>
            </w:r>
          </w:p>
        </w:tc>
      </w:tr>
      <w:tr>
        <w:trPr>
          <w:trHeight w:val="268" w:hRule="atLeast"/>
        </w:trPr>
        <w:tc>
          <w:tcPr>
            <w:tcW w:w="3120" w:type="dxa"/>
          </w:tcPr>
          <w:p>
            <w:pPr>
              <w:pStyle w:val="TableParagraph"/>
              <w:spacing w:before="52"/>
              <w:ind w:left="52"/>
              <w:rPr>
                <w:sz w:val="16"/>
              </w:rPr>
            </w:pPr>
            <w:r>
              <w:rPr>
                <w:sz w:val="16"/>
              </w:rPr>
              <w:t>Western</w:t>
            </w:r>
            <w:r>
              <w:rPr>
                <w:spacing w:val="-6"/>
                <w:sz w:val="16"/>
              </w:rPr>
              <w:t> </w:t>
            </w:r>
            <w:r>
              <w:rPr>
                <w:sz w:val="16"/>
              </w:rPr>
              <w:t>and</w:t>
            </w:r>
            <w:r>
              <w:rPr>
                <w:spacing w:val="-5"/>
                <w:sz w:val="16"/>
              </w:rPr>
              <w:t> </w:t>
            </w:r>
            <w:r>
              <w:rPr>
                <w:sz w:val="16"/>
              </w:rPr>
              <w:t>Central</w:t>
            </w:r>
            <w:r>
              <w:rPr>
                <w:spacing w:val="-11"/>
                <w:sz w:val="16"/>
              </w:rPr>
              <w:t> </w:t>
            </w:r>
            <w:r>
              <w:rPr>
                <w:spacing w:val="-2"/>
                <w:sz w:val="16"/>
              </w:rPr>
              <w:t>Africa</w:t>
            </w:r>
          </w:p>
        </w:tc>
        <w:tc>
          <w:tcPr>
            <w:tcW w:w="1558" w:type="dxa"/>
          </w:tcPr>
          <w:p>
            <w:pPr>
              <w:pStyle w:val="TableParagraph"/>
              <w:spacing w:before="52"/>
              <w:ind w:right="424"/>
              <w:jc w:val="right"/>
              <w:rPr>
                <w:sz w:val="16"/>
              </w:rPr>
            </w:pPr>
            <w:r>
              <w:rPr>
                <w:spacing w:val="-5"/>
                <w:sz w:val="16"/>
              </w:rPr>
              <w:t>564</w:t>
            </w:r>
          </w:p>
        </w:tc>
        <w:tc>
          <w:tcPr>
            <w:tcW w:w="952" w:type="dxa"/>
          </w:tcPr>
          <w:p>
            <w:pPr>
              <w:pStyle w:val="TableParagraph"/>
              <w:spacing w:before="56"/>
              <w:ind w:left="360" w:right="18"/>
              <w:jc w:val="center"/>
              <w:rPr>
                <w:sz w:val="16"/>
              </w:rPr>
            </w:pPr>
            <w:r>
              <w:rPr>
                <w:spacing w:val="-10"/>
                <w:sz w:val="16"/>
              </w:rPr>
              <w:t>2</w:t>
            </w:r>
          </w:p>
        </w:tc>
        <w:tc>
          <w:tcPr>
            <w:tcW w:w="1456" w:type="dxa"/>
          </w:tcPr>
          <w:p>
            <w:pPr>
              <w:pStyle w:val="TableParagraph"/>
              <w:spacing w:before="52"/>
              <w:ind w:right="312"/>
              <w:jc w:val="right"/>
              <w:rPr>
                <w:sz w:val="16"/>
              </w:rPr>
            </w:pPr>
            <w:r>
              <w:rPr>
                <w:spacing w:val="-5"/>
                <w:sz w:val="16"/>
              </w:rPr>
              <w:t>386</w:t>
            </w:r>
          </w:p>
        </w:tc>
        <w:tc>
          <w:tcPr>
            <w:tcW w:w="1065" w:type="dxa"/>
          </w:tcPr>
          <w:p>
            <w:pPr>
              <w:pStyle w:val="TableParagraph"/>
              <w:spacing w:before="56"/>
              <w:ind w:right="259"/>
              <w:jc w:val="right"/>
              <w:rPr>
                <w:sz w:val="16"/>
              </w:rPr>
            </w:pPr>
            <w:r>
              <w:rPr>
                <w:spacing w:val="-10"/>
                <w:sz w:val="16"/>
              </w:rPr>
              <w:t>1</w:t>
            </w:r>
          </w:p>
        </w:tc>
        <w:tc>
          <w:tcPr>
            <w:tcW w:w="1212" w:type="dxa"/>
            <w:gridSpan w:val="2"/>
          </w:tcPr>
          <w:p>
            <w:pPr>
              <w:pStyle w:val="TableParagraph"/>
              <w:spacing w:before="52"/>
              <w:ind w:right="69"/>
              <w:jc w:val="right"/>
              <w:rPr>
                <w:sz w:val="16"/>
              </w:rPr>
            </w:pPr>
            <w:r>
              <w:rPr>
                <w:spacing w:val="-5"/>
                <w:sz w:val="16"/>
              </w:rPr>
              <w:t>178</w:t>
            </w:r>
          </w:p>
        </w:tc>
      </w:tr>
      <w:tr>
        <w:trPr>
          <w:trHeight w:val="240" w:hRule="atLeast"/>
        </w:trPr>
        <w:tc>
          <w:tcPr>
            <w:tcW w:w="3120" w:type="dxa"/>
          </w:tcPr>
          <w:p>
            <w:pPr>
              <w:pStyle w:val="TableParagraph"/>
              <w:spacing w:before="23"/>
              <w:ind w:left="52"/>
              <w:rPr>
                <w:sz w:val="16"/>
              </w:rPr>
            </w:pPr>
            <w:r>
              <w:rPr>
                <w:sz w:val="16"/>
              </w:rPr>
              <w:t>East</w:t>
            </w:r>
            <w:r>
              <w:rPr>
                <w:spacing w:val="-11"/>
                <w:sz w:val="16"/>
              </w:rPr>
              <w:t> </w:t>
            </w:r>
            <w:r>
              <w:rPr>
                <w:sz w:val="16"/>
              </w:rPr>
              <w:t>Asia</w:t>
            </w:r>
            <w:r>
              <w:rPr>
                <w:spacing w:val="-2"/>
                <w:sz w:val="16"/>
              </w:rPr>
              <w:t> </w:t>
            </w:r>
            <w:r>
              <w:rPr>
                <w:sz w:val="16"/>
              </w:rPr>
              <w:t>and</w:t>
            </w:r>
            <w:r>
              <w:rPr>
                <w:spacing w:val="-2"/>
                <w:sz w:val="16"/>
              </w:rPr>
              <w:t> Pacific</w:t>
            </w:r>
          </w:p>
        </w:tc>
        <w:tc>
          <w:tcPr>
            <w:tcW w:w="1558" w:type="dxa"/>
          </w:tcPr>
          <w:p>
            <w:pPr>
              <w:pStyle w:val="TableParagraph"/>
              <w:spacing w:before="23"/>
              <w:ind w:right="424"/>
              <w:jc w:val="right"/>
              <w:rPr>
                <w:sz w:val="16"/>
              </w:rPr>
            </w:pPr>
            <w:r>
              <w:rPr>
                <w:spacing w:val="-2"/>
                <w:sz w:val="16"/>
              </w:rPr>
              <w:t>6,636</w:t>
            </w:r>
          </w:p>
        </w:tc>
        <w:tc>
          <w:tcPr>
            <w:tcW w:w="952" w:type="dxa"/>
          </w:tcPr>
          <w:p>
            <w:pPr>
              <w:pStyle w:val="TableParagraph"/>
              <w:spacing w:before="27"/>
              <w:ind w:left="253"/>
              <w:jc w:val="center"/>
              <w:rPr>
                <w:sz w:val="16"/>
              </w:rPr>
            </w:pPr>
            <w:r>
              <w:rPr>
                <w:spacing w:val="-5"/>
                <w:sz w:val="16"/>
              </w:rPr>
              <w:t>17</w:t>
            </w:r>
          </w:p>
        </w:tc>
        <w:tc>
          <w:tcPr>
            <w:tcW w:w="1456" w:type="dxa"/>
          </w:tcPr>
          <w:p>
            <w:pPr>
              <w:pStyle w:val="TableParagraph"/>
              <w:spacing w:before="23"/>
              <w:ind w:right="312"/>
              <w:jc w:val="right"/>
              <w:rPr>
                <w:sz w:val="16"/>
              </w:rPr>
            </w:pPr>
            <w:r>
              <w:rPr>
                <w:spacing w:val="-2"/>
                <w:sz w:val="16"/>
              </w:rPr>
              <w:t>5,482</w:t>
            </w:r>
          </w:p>
        </w:tc>
        <w:tc>
          <w:tcPr>
            <w:tcW w:w="1065" w:type="dxa"/>
          </w:tcPr>
          <w:p>
            <w:pPr>
              <w:pStyle w:val="TableParagraph"/>
              <w:spacing w:before="27"/>
              <w:ind w:left="626"/>
              <w:rPr>
                <w:sz w:val="16"/>
              </w:rPr>
            </w:pPr>
            <w:r>
              <w:rPr>
                <w:spacing w:val="-5"/>
                <w:sz w:val="16"/>
              </w:rPr>
              <w:t>17</w:t>
            </w:r>
          </w:p>
        </w:tc>
        <w:tc>
          <w:tcPr>
            <w:tcW w:w="1212" w:type="dxa"/>
            <w:gridSpan w:val="2"/>
          </w:tcPr>
          <w:p>
            <w:pPr>
              <w:pStyle w:val="TableParagraph"/>
              <w:spacing w:before="23"/>
              <w:ind w:left="741"/>
              <w:rPr>
                <w:sz w:val="16"/>
              </w:rPr>
            </w:pPr>
            <w:r>
              <w:rPr>
                <w:spacing w:val="-2"/>
                <w:sz w:val="16"/>
              </w:rPr>
              <w:t>1,154</w:t>
            </w:r>
          </w:p>
        </w:tc>
      </w:tr>
      <w:tr>
        <w:trPr>
          <w:trHeight w:val="240" w:hRule="atLeast"/>
        </w:trPr>
        <w:tc>
          <w:tcPr>
            <w:tcW w:w="3120" w:type="dxa"/>
          </w:tcPr>
          <w:p>
            <w:pPr>
              <w:pStyle w:val="TableParagraph"/>
              <w:spacing w:before="23"/>
              <w:ind w:left="52"/>
              <w:rPr>
                <w:sz w:val="16"/>
              </w:rPr>
            </w:pPr>
            <w:r>
              <w:rPr>
                <w:sz w:val="16"/>
              </w:rPr>
              <w:t>Europe</w:t>
            </w:r>
            <w:r>
              <w:rPr>
                <w:spacing w:val="-7"/>
                <w:sz w:val="16"/>
              </w:rPr>
              <w:t> </w:t>
            </w:r>
            <w:r>
              <w:rPr>
                <w:sz w:val="16"/>
              </w:rPr>
              <w:t>and</w:t>
            </w:r>
            <w:r>
              <w:rPr>
                <w:spacing w:val="-4"/>
                <w:sz w:val="16"/>
              </w:rPr>
              <w:t> </w:t>
            </w:r>
            <w:r>
              <w:rPr>
                <w:sz w:val="16"/>
              </w:rPr>
              <w:t>Central</w:t>
            </w:r>
            <w:r>
              <w:rPr>
                <w:spacing w:val="-11"/>
                <w:sz w:val="16"/>
              </w:rPr>
              <w:t> </w:t>
            </w:r>
            <w:r>
              <w:rPr>
                <w:spacing w:val="-4"/>
                <w:sz w:val="16"/>
              </w:rPr>
              <w:t>Asia</w:t>
            </w:r>
          </w:p>
        </w:tc>
        <w:tc>
          <w:tcPr>
            <w:tcW w:w="1558" w:type="dxa"/>
          </w:tcPr>
          <w:p>
            <w:pPr>
              <w:pStyle w:val="TableParagraph"/>
              <w:spacing w:before="23"/>
              <w:ind w:right="424"/>
              <w:jc w:val="right"/>
              <w:rPr>
                <w:sz w:val="16"/>
              </w:rPr>
            </w:pPr>
            <w:r>
              <w:rPr>
                <w:spacing w:val="-2"/>
                <w:sz w:val="16"/>
              </w:rPr>
              <w:t>10,162</w:t>
            </w:r>
          </w:p>
        </w:tc>
        <w:tc>
          <w:tcPr>
            <w:tcW w:w="952" w:type="dxa"/>
          </w:tcPr>
          <w:p>
            <w:pPr>
              <w:pStyle w:val="TableParagraph"/>
              <w:spacing w:before="27"/>
              <w:ind w:left="253"/>
              <w:jc w:val="center"/>
              <w:rPr>
                <w:sz w:val="16"/>
              </w:rPr>
            </w:pPr>
            <w:r>
              <w:rPr>
                <w:spacing w:val="-5"/>
                <w:sz w:val="16"/>
              </w:rPr>
              <w:t>26</w:t>
            </w:r>
          </w:p>
        </w:tc>
        <w:tc>
          <w:tcPr>
            <w:tcW w:w="1456" w:type="dxa"/>
          </w:tcPr>
          <w:p>
            <w:pPr>
              <w:pStyle w:val="TableParagraph"/>
              <w:spacing w:before="23"/>
              <w:ind w:right="312"/>
              <w:jc w:val="right"/>
              <w:rPr>
                <w:sz w:val="16"/>
              </w:rPr>
            </w:pPr>
            <w:r>
              <w:rPr>
                <w:spacing w:val="-2"/>
                <w:sz w:val="16"/>
              </w:rPr>
              <w:t>5,974</w:t>
            </w:r>
          </w:p>
        </w:tc>
        <w:tc>
          <w:tcPr>
            <w:tcW w:w="1065" w:type="dxa"/>
          </w:tcPr>
          <w:p>
            <w:pPr>
              <w:pStyle w:val="TableParagraph"/>
              <w:spacing w:before="27"/>
              <w:ind w:left="626"/>
              <w:rPr>
                <w:sz w:val="16"/>
              </w:rPr>
            </w:pPr>
            <w:r>
              <w:rPr>
                <w:spacing w:val="-5"/>
                <w:sz w:val="16"/>
              </w:rPr>
              <w:t>18</w:t>
            </w:r>
          </w:p>
        </w:tc>
        <w:tc>
          <w:tcPr>
            <w:tcW w:w="1212" w:type="dxa"/>
            <w:gridSpan w:val="2"/>
          </w:tcPr>
          <w:p>
            <w:pPr>
              <w:pStyle w:val="TableParagraph"/>
              <w:spacing w:before="23"/>
              <w:ind w:left="741"/>
              <w:rPr>
                <w:sz w:val="16"/>
              </w:rPr>
            </w:pPr>
            <w:r>
              <w:rPr>
                <w:spacing w:val="-2"/>
                <w:sz w:val="16"/>
              </w:rPr>
              <w:t>4,188</w:t>
            </w:r>
          </w:p>
        </w:tc>
      </w:tr>
      <w:tr>
        <w:trPr>
          <w:trHeight w:val="240" w:hRule="atLeast"/>
        </w:trPr>
        <w:tc>
          <w:tcPr>
            <w:tcW w:w="3120" w:type="dxa"/>
          </w:tcPr>
          <w:p>
            <w:pPr>
              <w:pStyle w:val="TableParagraph"/>
              <w:spacing w:before="23"/>
              <w:ind w:left="52"/>
              <w:rPr>
                <w:sz w:val="16"/>
              </w:rPr>
            </w:pPr>
            <w:r>
              <w:rPr>
                <w:sz w:val="16"/>
              </w:rPr>
              <w:t>Latin</w:t>
            </w:r>
            <w:r>
              <w:rPr>
                <w:spacing w:val="-11"/>
                <w:sz w:val="16"/>
              </w:rPr>
              <w:t> </w:t>
            </w:r>
            <w:r>
              <w:rPr>
                <w:sz w:val="16"/>
              </w:rPr>
              <w:t>America</w:t>
            </w:r>
            <w:r>
              <w:rPr>
                <w:spacing w:val="-3"/>
                <w:sz w:val="16"/>
              </w:rPr>
              <w:t> </w:t>
            </w:r>
            <w:r>
              <w:rPr>
                <w:sz w:val="16"/>
              </w:rPr>
              <w:t>and</w:t>
            </w:r>
            <w:r>
              <w:rPr>
                <w:spacing w:val="-3"/>
                <w:sz w:val="16"/>
              </w:rPr>
              <w:t> </w:t>
            </w:r>
            <w:r>
              <w:rPr>
                <w:sz w:val="16"/>
              </w:rPr>
              <w:t>the</w:t>
            </w:r>
            <w:r>
              <w:rPr>
                <w:spacing w:val="-3"/>
                <w:sz w:val="16"/>
              </w:rPr>
              <w:t> </w:t>
            </w:r>
            <w:r>
              <w:rPr>
                <w:spacing w:val="-2"/>
                <w:sz w:val="16"/>
              </w:rPr>
              <w:t>Caribbean</w:t>
            </w:r>
          </w:p>
        </w:tc>
        <w:tc>
          <w:tcPr>
            <w:tcW w:w="1558" w:type="dxa"/>
          </w:tcPr>
          <w:p>
            <w:pPr>
              <w:pStyle w:val="TableParagraph"/>
              <w:spacing w:before="23"/>
              <w:ind w:right="424"/>
              <w:jc w:val="right"/>
              <w:rPr>
                <w:sz w:val="16"/>
              </w:rPr>
            </w:pPr>
            <w:r>
              <w:rPr>
                <w:spacing w:val="-2"/>
                <w:sz w:val="16"/>
              </w:rPr>
              <w:t>9,828</w:t>
            </w:r>
          </w:p>
        </w:tc>
        <w:tc>
          <w:tcPr>
            <w:tcW w:w="952" w:type="dxa"/>
          </w:tcPr>
          <w:p>
            <w:pPr>
              <w:pStyle w:val="TableParagraph"/>
              <w:spacing w:before="27"/>
              <w:ind w:left="253"/>
              <w:jc w:val="center"/>
              <w:rPr>
                <w:sz w:val="16"/>
              </w:rPr>
            </w:pPr>
            <w:r>
              <w:rPr>
                <w:spacing w:val="-5"/>
                <w:sz w:val="16"/>
              </w:rPr>
              <w:t>26</w:t>
            </w:r>
          </w:p>
        </w:tc>
        <w:tc>
          <w:tcPr>
            <w:tcW w:w="1456" w:type="dxa"/>
          </w:tcPr>
          <w:p>
            <w:pPr>
              <w:pStyle w:val="TableParagraph"/>
              <w:spacing w:before="23"/>
              <w:ind w:right="312"/>
              <w:jc w:val="right"/>
              <w:rPr>
                <w:sz w:val="16"/>
              </w:rPr>
            </w:pPr>
            <w:r>
              <w:rPr>
                <w:spacing w:val="-2"/>
                <w:sz w:val="16"/>
              </w:rPr>
              <w:t>9,407</w:t>
            </w:r>
          </w:p>
        </w:tc>
        <w:tc>
          <w:tcPr>
            <w:tcW w:w="1065" w:type="dxa"/>
          </w:tcPr>
          <w:p>
            <w:pPr>
              <w:pStyle w:val="TableParagraph"/>
              <w:spacing w:before="27"/>
              <w:ind w:left="626"/>
              <w:rPr>
                <w:sz w:val="16"/>
              </w:rPr>
            </w:pPr>
            <w:r>
              <w:rPr>
                <w:spacing w:val="-5"/>
                <w:sz w:val="16"/>
              </w:rPr>
              <w:t>28</w:t>
            </w:r>
          </w:p>
        </w:tc>
        <w:tc>
          <w:tcPr>
            <w:tcW w:w="1212" w:type="dxa"/>
            <w:gridSpan w:val="2"/>
          </w:tcPr>
          <w:p>
            <w:pPr>
              <w:pStyle w:val="TableParagraph"/>
              <w:spacing w:before="27"/>
              <w:ind w:right="69"/>
              <w:jc w:val="right"/>
              <w:rPr>
                <w:sz w:val="16"/>
              </w:rPr>
            </w:pPr>
            <w:r>
              <w:rPr>
                <w:spacing w:val="-5"/>
                <w:sz w:val="16"/>
              </w:rPr>
              <w:t>421</w:t>
            </w:r>
          </w:p>
        </w:tc>
      </w:tr>
      <w:tr>
        <w:trPr>
          <w:trHeight w:val="240" w:hRule="atLeast"/>
        </w:trPr>
        <w:tc>
          <w:tcPr>
            <w:tcW w:w="3120" w:type="dxa"/>
          </w:tcPr>
          <w:p>
            <w:pPr>
              <w:pStyle w:val="TableParagraph"/>
              <w:spacing w:before="23"/>
              <w:ind w:left="52"/>
              <w:rPr>
                <w:sz w:val="16"/>
              </w:rPr>
            </w:pPr>
            <w:r>
              <w:rPr>
                <w:sz w:val="16"/>
              </w:rPr>
              <w:t>Middle</w:t>
            </w:r>
            <w:r>
              <w:rPr>
                <w:spacing w:val="-4"/>
                <w:sz w:val="16"/>
              </w:rPr>
              <w:t> </w:t>
            </w:r>
            <w:r>
              <w:rPr>
                <w:sz w:val="16"/>
              </w:rPr>
              <w:t>East</w:t>
            </w:r>
            <w:r>
              <w:rPr>
                <w:spacing w:val="-2"/>
                <w:sz w:val="16"/>
              </w:rPr>
              <w:t> </w:t>
            </w:r>
            <w:r>
              <w:rPr>
                <w:sz w:val="16"/>
              </w:rPr>
              <w:t>and</w:t>
            </w:r>
            <w:r>
              <w:rPr>
                <w:spacing w:val="-4"/>
                <w:sz w:val="16"/>
              </w:rPr>
              <w:t> </w:t>
            </w:r>
            <w:r>
              <w:rPr>
                <w:sz w:val="16"/>
              </w:rPr>
              <w:t>North</w:t>
            </w:r>
            <w:r>
              <w:rPr>
                <w:spacing w:val="-10"/>
                <w:sz w:val="16"/>
              </w:rPr>
              <w:t> </w:t>
            </w:r>
            <w:r>
              <w:rPr>
                <w:spacing w:val="-2"/>
                <w:sz w:val="16"/>
              </w:rPr>
              <w:t>Africa</w:t>
            </w:r>
          </w:p>
        </w:tc>
        <w:tc>
          <w:tcPr>
            <w:tcW w:w="1558" w:type="dxa"/>
          </w:tcPr>
          <w:p>
            <w:pPr>
              <w:pStyle w:val="TableParagraph"/>
              <w:spacing w:before="23"/>
              <w:ind w:right="424"/>
              <w:jc w:val="right"/>
              <w:rPr>
                <w:sz w:val="16"/>
              </w:rPr>
            </w:pPr>
            <w:r>
              <w:rPr>
                <w:spacing w:val="-2"/>
                <w:sz w:val="16"/>
              </w:rPr>
              <w:t>4,697</w:t>
            </w:r>
          </w:p>
        </w:tc>
        <w:tc>
          <w:tcPr>
            <w:tcW w:w="952" w:type="dxa"/>
          </w:tcPr>
          <w:p>
            <w:pPr>
              <w:pStyle w:val="TableParagraph"/>
              <w:spacing w:before="27"/>
              <w:ind w:left="253"/>
              <w:jc w:val="center"/>
              <w:rPr>
                <w:sz w:val="16"/>
              </w:rPr>
            </w:pPr>
            <w:r>
              <w:rPr>
                <w:spacing w:val="-5"/>
                <w:sz w:val="16"/>
              </w:rPr>
              <w:t>12</w:t>
            </w:r>
          </w:p>
        </w:tc>
        <w:tc>
          <w:tcPr>
            <w:tcW w:w="1456" w:type="dxa"/>
          </w:tcPr>
          <w:p>
            <w:pPr>
              <w:pStyle w:val="TableParagraph"/>
              <w:spacing w:before="23"/>
              <w:ind w:right="312"/>
              <w:jc w:val="right"/>
              <w:rPr>
                <w:sz w:val="16"/>
              </w:rPr>
            </w:pPr>
            <w:r>
              <w:rPr>
                <w:spacing w:val="-2"/>
                <w:sz w:val="16"/>
              </w:rPr>
              <w:t>4,135</w:t>
            </w:r>
          </w:p>
        </w:tc>
        <w:tc>
          <w:tcPr>
            <w:tcW w:w="1065" w:type="dxa"/>
          </w:tcPr>
          <w:p>
            <w:pPr>
              <w:pStyle w:val="TableParagraph"/>
              <w:spacing w:before="27"/>
              <w:ind w:left="626"/>
              <w:rPr>
                <w:sz w:val="16"/>
              </w:rPr>
            </w:pPr>
            <w:r>
              <w:rPr>
                <w:spacing w:val="-5"/>
                <w:sz w:val="16"/>
              </w:rPr>
              <w:t>13</w:t>
            </w:r>
          </w:p>
        </w:tc>
        <w:tc>
          <w:tcPr>
            <w:tcW w:w="1212" w:type="dxa"/>
            <w:gridSpan w:val="2"/>
          </w:tcPr>
          <w:p>
            <w:pPr>
              <w:pStyle w:val="TableParagraph"/>
              <w:spacing w:before="23"/>
              <w:ind w:right="69"/>
              <w:jc w:val="right"/>
              <w:rPr>
                <w:sz w:val="16"/>
              </w:rPr>
            </w:pPr>
            <w:r>
              <w:rPr>
                <w:spacing w:val="-5"/>
                <w:sz w:val="16"/>
              </w:rPr>
              <w:t>562</w:t>
            </w:r>
          </w:p>
        </w:tc>
      </w:tr>
      <w:tr>
        <w:trPr>
          <w:trHeight w:val="230" w:hRule="atLeast"/>
        </w:trPr>
        <w:tc>
          <w:tcPr>
            <w:tcW w:w="3120" w:type="dxa"/>
          </w:tcPr>
          <w:p>
            <w:pPr>
              <w:pStyle w:val="TableParagraph"/>
              <w:spacing w:before="23"/>
              <w:ind w:left="52"/>
              <w:rPr>
                <w:sz w:val="16"/>
              </w:rPr>
            </w:pPr>
            <w:r>
              <w:rPr>
                <w:sz w:val="16"/>
              </w:rPr>
              <w:t>South</w:t>
            </w:r>
            <w:r>
              <w:rPr>
                <w:spacing w:val="-13"/>
                <w:sz w:val="16"/>
              </w:rPr>
              <w:t> </w:t>
            </w:r>
            <w:r>
              <w:rPr>
                <w:spacing w:val="-4"/>
                <w:sz w:val="16"/>
              </w:rPr>
              <w:t>Asia</w:t>
            </w:r>
          </w:p>
        </w:tc>
        <w:tc>
          <w:tcPr>
            <w:tcW w:w="1558" w:type="dxa"/>
            <w:tcBorders>
              <w:bottom w:val="single" w:sz="8" w:space="0" w:color="6C6C6C"/>
            </w:tcBorders>
          </w:tcPr>
          <w:p>
            <w:pPr>
              <w:pStyle w:val="TableParagraph"/>
              <w:spacing w:before="23"/>
              <w:ind w:right="424"/>
              <w:jc w:val="right"/>
              <w:rPr>
                <w:sz w:val="16"/>
              </w:rPr>
            </w:pPr>
            <w:r>
              <w:rPr>
                <w:spacing w:val="-2"/>
                <w:sz w:val="16"/>
              </w:rPr>
              <w:t>4,321</w:t>
            </w:r>
          </w:p>
        </w:tc>
        <w:tc>
          <w:tcPr>
            <w:tcW w:w="952" w:type="dxa"/>
            <w:tcBorders>
              <w:bottom w:val="single" w:sz="8" w:space="0" w:color="6C6C6C"/>
            </w:tcBorders>
          </w:tcPr>
          <w:p>
            <w:pPr>
              <w:pStyle w:val="TableParagraph"/>
              <w:spacing w:line="184" w:lineRule="exact" w:before="27"/>
              <w:ind w:left="253"/>
              <w:jc w:val="center"/>
              <w:rPr>
                <w:sz w:val="16"/>
              </w:rPr>
            </w:pPr>
            <w:r>
              <w:rPr>
                <w:spacing w:val="-5"/>
                <w:sz w:val="16"/>
              </w:rPr>
              <w:t>11</w:t>
            </w:r>
          </w:p>
        </w:tc>
        <w:tc>
          <w:tcPr>
            <w:tcW w:w="1456" w:type="dxa"/>
            <w:tcBorders>
              <w:bottom w:val="single" w:sz="8" w:space="0" w:color="6C6C6C"/>
            </w:tcBorders>
          </w:tcPr>
          <w:p>
            <w:pPr>
              <w:pStyle w:val="TableParagraph"/>
              <w:spacing w:before="23"/>
              <w:ind w:right="312"/>
              <w:jc w:val="right"/>
              <w:rPr>
                <w:sz w:val="16"/>
              </w:rPr>
            </w:pPr>
            <w:r>
              <w:rPr>
                <w:spacing w:val="-2"/>
                <w:sz w:val="16"/>
              </w:rPr>
              <w:t>4,781</w:t>
            </w:r>
          </w:p>
        </w:tc>
        <w:tc>
          <w:tcPr>
            <w:tcW w:w="1065" w:type="dxa"/>
            <w:tcBorders>
              <w:bottom w:val="single" w:sz="8" w:space="0" w:color="6C6C6C"/>
            </w:tcBorders>
          </w:tcPr>
          <w:p>
            <w:pPr>
              <w:pStyle w:val="TableParagraph"/>
              <w:spacing w:line="184" w:lineRule="exact" w:before="27"/>
              <w:ind w:left="626"/>
              <w:rPr>
                <w:sz w:val="16"/>
              </w:rPr>
            </w:pPr>
            <w:r>
              <w:rPr>
                <w:spacing w:val="-5"/>
                <w:sz w:val="16"/>
              </w:rPr>
              <w:t>14</w:t>
            </w:r>
          </w:p>
        </w:tc>
        <w:tc>
          <w:tcPr>
            <w:tcW w:w="1212" w:type="dxa"/>
            <w:gridSpan w:val="2"/>
            <w:tcBorders>
              <w:bottom w:val="single" w:sz="8" w:space="0" w:color="6C6C6C"/>
            </w:tcBorders>
          </w:tcPr>
          <w:p>
            <w:pPr>
              <w:pStyle w:val="TableParagraph"/>
              <w:spacing w:before="23"/>
              <w:ind w:right="15"/>
              <w:jc w:val="right"/>
              <w:rPr>
                <w:sz w:val="16"/>
              </w:rPr>
            </w:pPr>
            <w:r>
              <w:rPr>
                <w:spacing w:val="-2"/>
                <w:sz w:val="16"/>
              </w:rPr>
              <w:t>(460)</w:t>
            </w:r>
          </w:p>
        </w:tc>
      </w:tr>
      <w:tr>
        <w:trPr>
          <w:trHeight w:val="200" w:hRule="atLeast"/>
        </w:trPr>
        <w:tc>
          <w:tcPr>
            <w:tcW w:w="3120" w:type="dxa"/>
          </w:tcPr>
          <w:p>
            <w:pPr>
              <w:pStyle w:val="TableParagraph"/>
              <w:spacing w:line="167" w:lineRule="exact" w:before="12"/>
              <w:ind w:left="52"/>
              <w:rPr>
                <w:rFonts w:ascii="Arial"/>
                <w:b/>
                <w:sz w:val="16"/>
              </w:rPr>
            </w:pPr>
            <w:r>
              <w:rPr>
                <w:rFonts w:ascii="Arial"/>
                <w:b/>
                <w:spacing w:val="-2"/>
                <w:sz w:val="16"/>
              </w:rPr>
              <w:t>Total</w:t>
            </w:r>
          </w:p>
        </w:tc>
        <w:tc>
          <w:tcPr>
            <w:tcW w:w="1558" w:type="dxa"/>
            <w:tcBorders>
              <w:top w:val="single" w:sz="8" w:space="0" w:color="6C6C6C"/>
              <w:bottom w:val="double" w:sz="8" w:space="0" w:color="6C6C6C"/>
            </w:tcBorders>
          </w:tcPr>
          <w:p>
            <w:pPr>
              <w:pStyle w:val="TableParagraph"/>
              <w:tabs>
                <w:tab w:pos="590" w:val="left" w:leader="none"/>
              </w:tabs>
              <w:spacing w:line="167" w:lineRule="exact" w:before="12"/>
              <w:ind w:right="424"/>
              <w:jc w:val="right"/>
              <w:rPr>
                <w:rFonts w:ascii="Arial"/>
                <w:b/>
                <w:sz w:val="16"/>
              </w:rPr>
            </w:pPr>
            <w:r>
              <w:rPr>
                <w:rFonts w:ascii="Arial"/>
                <w:b/>
                <w:spacing w:val="-10"/>
                <w:sz w:val="16"/>
              </w:rPr>
              <w:t>$</w:t>
            </w:r>
            <w:r>
              <w:rPr>
                <w:rFonts w:ascii="Arial"/>
                <w:b/>
                <w:sz w:val="16"/>
              </w:rPr>
              <w:tab/>
            </w:r>
            <w:r>
              <w:rPr>
                <w:rFonts w:ascii="Arial"/>
                <w:b/>
                <w:spacing w:val="-2"/>
                <w:sz w:val="16"/>
              </w:rPr>
              <w:t>38,572</w:t>
            </w:r>
          </w:p>
        </w:tc>
        <w:tc>
          <w:tcPr>
            <w:tcW w:w="952" w:type="dxa"/>
            <w:tcBorders>
              <w:top w:val="single" w:sz="8" w:space="0" w:color="6C6C6C"/>
              <w:bottom w:val="double" w:sz="8" w:space="0" w:color="6C6C6C"/>
            </w:tcBorders>
          </w:tcPr>
          <w:p>
            <w:pPr>
              <w:pStyle w:val="TableParagraph"/>
              <w:spacing w:line="164" w:lineRule="exact" w:before="16"/>
              <w:ind w:left="360"/>
              <w:jc w:val="center"/>
              <w:rPr>
                <w:rFonts w:ascii="Arial"/>
                <w:b/>
                <w:sz w:val="16"/>
              </w:rPr>
            </w:pPr>
            <w:r>
              <w:rPr>
                <w:rFonts w:ascii="Arial"/>
                <w:b/>
                <w:sz w:val="16"/>
              </w:rPr>
              <w:t>100</w:t>
            </w:r>
            <w:r>
              <w:rPr>
                <w:rFonts w:ascii="Arial"/>
                <w:b/>
                <w:spacing w:val="6"/>
                <w:sz w:val="16"/>
              </w:rPr>
              <w:t> </w:t>
            </w:r>
            <w:r>
              <w:rPr>
                <w:rFonts w:ascii="Arial"/>
                <w:b/>
                <w:spacing w:val="-10"/>
                <w:sz w:val="16"/>
              </w:rPr>
              <w:t>%</w:t>
            </w:r>
          </w:p>
        </w:tc>
        <w:tc>
          <w:tcPr>
            <w:tcW w:w="1456" w:type="dxa"/>
            <w:tcBorders>
              <w:top w:val="single" w:sz="8" w:space="0" w:color="6C6C6C"/>
              <w:bottom w:val="double" w:sz="8" w:space="0" w:color="6C6C6C"/>
            </w:tcBorders>
          </w:tcPr>
          <w:p>
            <w:pPr>
              <w:pStyle w:val="TableParagraph"/>
              <w:tabs>
                <w:tab w:pos="590" w:val="left" w:leader="none"/>
              </w:tabs>
              <w:spacing w:line="167" w:lineRule="exact" w:before="12"/>
              <w:ind w:right="312"/>
              <w:jc w:val="right"/>
              <w:rPr>
                <w:rFonts w:ascii="Arial"/>
                <w:b/>
                <w:sz w:val="16"/>
              </w:rPr>
            </w:pPr>
            <w:r>
              <w:rPr>
                <w:rFonts w:ascii="Arial"/>
                <w:b/>
                <w:spacing w:val="-10"/>
                <w:sz w:val="16"/>
              </w:rPr>
              <w:t>$</w:t>
            </w:r>
            <w:r>
              <w:rPr>
                <w:rFonts w:ascii="Arial"/>
                <w:b/>
                <w:sz w:val="16"/>
              </w:rPr>
              <w:tab/>
            </w:r>
            <w:r>
              <w:rPr>
                <w:rFonts w:ascii="Arial"/>
                <w:b/>
                <w:spacing w:val="-2"/>
                <w:sz w:val="16"/>
              </w:rPr>
              <w:t>33,072</w:t>
            </w:r>
          </w:p>
        </w:tc>
        <w:tc>
          <w:tcPr>
            <w:tcW w:w="1065" w:type="dxa"/>
            <w:tcBorders>
              <w:top w:val="single" w:sz="8" w:space="0" w:color="6C6C6C"/>
              <w:bottom w:val="double" w:sz="8" w:space="0" w:color="6C6C6C"/>
            </w:tcBorders>
          </w:tcPr>
          <w:p>
            <w:pPr>
              <w:pStyle w:val="TableParagraph"/>
              <w:spacing w:line="164" w:lineRule="exact" w:before="16"/>
              <w:ind w:right="64"/>
              <w:jc w:val="right"/>
              <w:rPr>
                <w:rFonts w:ascii="Arial"/>
                <w:b/>
                <w:sz w:val="16"/>
              </w:rPr>
            </w:pPr>
            <w:r>
              <w:rPr>
                <w:rFonts w:ascii="Arial"/>
                <w:b/>
                <w:sz w:val="16"/>
              </w:rPr>
              <w:t>100</w:t>
            </w:r>
            <w:r>
              <w:rPr>
                <w:rFonts w:ascii="Arial"/>
                <w:b/>
                <w:spacing w:val="6"/>
                <w:sz w:val="16"/>
              </w:rPr>
              <w:t> </w:t>
            </w:r>
            <w:r>
              <w:rPr>
                <w:rFonts w:ascii="Arial"/>
                <w:b/>
                <w:spacing w:val="-10"/>
                <w:sz w:val="16"/>
              </w:rPr>
              <w:t>%</w:t>
            </w:r>
          </w:p>
        </w:tc>
        <w:tc>
          <w:tcPr>
            <w:tcW w:w="1212" w:type="dxa"/>
            <w:gridSpan w:val="2"/>
            <w:tcBorders>
              <w:top w:val="single" w:sz="8" w:space="0" w:color="6C6C6C"/>
              <w:bottom w:val="double" w:sz="8" w:space="0" w:color="6C6C6C"/>
            </w:tcBorders>
          </w:tcPr>
          <w:p>
            <w:pPr>
              <w:pStyle w:val="TableParagraph"/>
              <w:tabs>
                <w:tab w:pos="741" w:val="left" w:leader="none"/>
              </w:tabs>
              <w:spacing w:line="167" w:lineRule="exact" w:before="12"/>
              <w:ind w:left="61"/>
              <w:rPr>
                <w:rFonts w:ascii="Arial"/>
                <w:b/>
                <w:sz w:val="16"/>
              </w:rPr>
            </w:pPr>
            <w:r>
              <w:rPr>
                <w:rFonts w:ascii="Arial"/>
                <w:b/>
                <w:spacing w:val="-10"/>
                <w:sz w:val="16"/>
              </w:rPr>
              <w:t>$</w:t>
            </w:r>
            <w:r>
              <w:rPr>
                <w:rFonts w:ascii="Arial"/>
                <w:b/>
                <w:sz w:val="16"/>
              </w:rPr>
              <w:tab/>
            </w:r>
            <w:r>
              <w:rPr>
                <w:rFonts w:ascii="Arial"/>
                <w:b/>
                <w:spacing w:val="-2"/>
                <w:sz w:val="16"/>
              </w:rPr>
              <w:t>5,500</w:t>
            </w:r>
          </w:p>
        </w:tc>
      </w:tr>
    </w:tbl>
    <w:p>
      <w:pPr>
        <w:pStyle w:val="BodyText"/>
        <w:spacing w:before="4"/>
        <w:rPr>
          <w:rFonts w:ascii="Arial"/>
          <w:i/>
          <w:sz w:val="16"/>
        </w:rPr>
      </w:pPr>
      <w:r>
        <w:rPr>
          <w:rFonts w:ascii="Arial"/>
          <w:i/>
          <w:sz w:val="16"/>
        </w:rPr>
        <mc:AlternateContent>
          <mc:Choice Requires="wps">
            <w:drawing>
              <wp:anchor distT="0" distB="0" distL="0" distR="0" allowOverlap="1" layoutInCell="1" locked="0" behindDoc="1" simplePos="0" relativeHeight="487625728">
                <wp:simplePos x="0" y="0"/>
                <wp:positionH relativeFrom="page">
                  <wp:posOffset>914400</wp:posOffset>
                </wp:positionH>
                <wp:positionV relativeFrom="paragraph">
                  <wp:posOffset>134610</wp:posOffset>
                </wp:positionV>
                <wp:extent cx="594360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99218pt;width:468pt;height:.1pt;mso-position-horizontal-relative:page;mso-position-vertical-relative:paragraph;z-index:-15690752;mso-wrap-distance-left:0;mso-wrap-distance-right:0" id="docshape181" coordorigin="1440,212" coordsize="9360,0" path="m1440,212l10800,212e" filled="false" stroked="true" strokeweight="1pt" strokecolor="#6c6c6c">
                <v:path arrowok="t"/>
                <v:stroke dashstyle="solid"/>
                <w10:wrap type="topAndBottom"/>
              </v:shape>
            </w:pict>
          </mc:Fallback>
        </mc:AlternateContent>
      </w:r>
    </w:p>
    <w:p>
      <w:pPr>
        <w:pStyle w:val="BodyText"/>
        <w:spacing w:after="0"/>
        <w:rPr>
          <w:rFonts w:ascii="Arial"/>
          <w:i/>
          <w:sz w:val="16"/>
        </w:rPr>
        <w:sectPr>
          <w:headerReference w:type="default" r:id="rId29"/>
          <w:headerReference w:type="even" r:id="rId30"/>
          <w:footerReference w:type="default" r:id="rId31"/>
          <w:footerReference w:type="even" r:id="rId32"/>
          <w:pgSz w:w="12240" w:h="15840"/>
          <w:pgMar w:header="744" w:footer="713" w:top="1020" w:bottom="900" w:left="720" w:right="720"/>
          <w:pgNumType w:start="19"/>
        </w:sectPr>
      </w:pPr>
    </w:p>
    <w:p>
      <w:pPr>
        <w:pStyle w:val="BodyText"/>
        <w:rPr>
          <w:rFonts w:ascii="Arial"/>
          <w:i/>
          <w:sz w:val="18"/>
        </w:rPr>
      </w:pPr>
    </w:p>
    <w:p>
      <w:pPr>
        <w:pStyle w:val="BodyText"/>
        <w:spacing w:before="8"/>
        <w:rPr>
          <w:rFonts w:ascii="Arial"/>
          <w:i/>
          <w:sz w:val="18"/>
        </w:rPr>
      </w:pPr>
    </w:p>
    <w:p>
      <w:pPr>
        <w:spacing w:before="0"/>
        <w:ind w:left="772" w:right="0" w:firstLine="0"/>
        <w:jc w:val="left"/>
        <w:rPr>
          <w:rFonts w:ascii="Arial"/>
          <w:b/>
          <w:sz w:val="18"/>
        </w:rPr>
      </w:pPr>
      <w:bookmarkStart w:name="_bookmark24" w:id="39"/>
      <w:bookmarkEnd w:id="39"/>
      <w:r>
        <w:rPr/>
      </w:r>
      <w:r>
        <w:rPr>
          <w:rFonts w:ascii="Arial"/>
          <w:b/>
          <w:sz w:val="18"/>
        </w:rPr>
        <w:t>Table</w:t>
      </w:r>
      <w:r>
        <w:rPr>
          <w:rFonts w:ascii="Arial"/>
          <w:b/>
          <w:spacing w:val="-3"/>
          <w:sz w:val="18"/>
        </w:rPr>
        <w:t> </w:t>
      </w:r>
      <w:r>
        <w:rPr>
          <w:rFonts w:ascii="Arial"/>
          <w:b/>
          <w:sz w:val="18"/>
        </w:rPr>
        <w:t>9:</w:t>
      </w:r>
      <w:r>
        <w:rPr>
          <w:rFonts w:ascii="Arial"/>
          <w:b/>
          <w:spacing w:val="-2"/>
          <w:sz w:val="18"/>
        </w:rPr>
        <w:t> </w:t>
      </w:r>
      <w:r>
        <w:rPr>
          <w:rFonts w:ascii="Arial"/>
          <w:b/>
          <w:sz w:val="18"/>
        </w:rPr>
        <w:t>Gross</w:t>
      </w:r>
      <w:r>
        <w:rPr>
          <w:rFonts w:ascii="Arial"/>
          <w:b/>
          <w:spacing w:val="-2"/>
          <w:sz w:val="18"/>
        </w:rPr>
        <w:t> </w:t>
      </w:r>
      <w:r>
        <w:rPr>
          <w:rFonts w:ascii="Arial"/>
          <w:b/>
          <w:sz w:val="18"/>
        </w:rPr>
        <w:t>Disbursements</w:t>
      </w:r>
      <w:r>
        <w:rPr>
          <w:rFonts w:ascii="Arial"/>
          <w:b/>
          <w:spacing w:val="-2"/>
          <w:sz w:val="18"/>
        </w:rPr>
        <w:t> </w:t>
      </w:r>
      <w:r>
        <w:rPr>
          <w:rFonts w:ascii="Arial"/>
          <w:b/>
          <w:sz w:val="18"/>
        </w:rPr>
        <w:t>by</w:t>
      </w:r>
      <w:r>
        <w:rPr>
          <w:rFonts w:ascii="Arial"/>
          <w:b/>
          <w:spacing w:val="-2"/>
          <w:sz w:val="18"/>
        </w:rPr>
        <w:t> Region</w:t>
      </w:r>
    </w:p>
    <w:p>
      <w:pPr>
        <w:spacing w:before="54"/>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4"/>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1558"/>
        <w:gridCol w:w="952"/>
        <w:gridCol w:w="1456"/>
        <w:gridCol w:w="1065"/>
        <w:gridCol w:w="341"/>
        <w:gridCol w:w="871"/>
      </w:tblGrid>
      <w:tr>
        <w:trPr>
          <w:trHeight w:val="202" w:hRule="atLeast"/>
        </w:trPr>
        <w:tc>
          <w:tcPr>
            <w:tcW w:w="7086" w:type="dxa"/>
            <w:gridSpan w:val="4"/>
            <w:tcBorders>
              <w:bottom w:val="single" w:sz="8" w:space="0" w:color="6C6C6C"/>
            </w:tcBorders>
          </w:tcPr>
          <w:p>
            <w:pPr>
              <w:pStyle w:val="TableParagraph"/>
              <w:tabs>
                <w:tab w:pos="3912" w:val="left" w:leader="none"/>
                <w:tab w:pos="4646" w:val="left" w:leader="none"/>
                <w:tab w:pos="6787" w:val="right" w:leader="none"/>
              </w:tabs>
              <w:spacing w:line="179" w:lineRule="exact"/>
              <w:ind w:left="52"/>
              <w:rPr>
                <w:rFonts w:ascii="Arial"/>
                <w:i/>
                <w:sz w:val="16"/>
              </w:rPr>
            </w:pPr>
            <w:r>
              <w:rPr>
                <w:rFonts w:ascii="Arial"/>
                <w:i/>
                <w:color w:val="7F7F7F"/>
                <w:sz w:val="16"/>
              </w:rPr>
              <w:t>For</w:t>
            </w:r>
            <w:r>
              <w:rPr>
                <w:rFonts w:ascii="Arial"/>
                <w:i/>
                <w:color w:val="7F7F7F"/>
                <w:spacing w:val="-3"/>
                <w:sz w:val="16"/>
              </w:rPr>
              <w:t> </w:t>
            </w:r>
            <w:r>
              <w:rPr>
                <w:rFonts w:ascii="Arial"/>
                <w:i/>
                <w:color w:val="7F7F7F"/>
                <w:sz w:val="16"/>
              </w:rPr>
              <w:t>the</w:t>
            </w:r>
            <w:r>
              <w:rPr>
                <w:rFonts w:ascii="Arial"/>
                <w:i/>
                <w:color w:val="7F7F7F"/>
                <w:spacing w:val="-3"/>
                <w:sz w:val="16"/>
              </w:rPr>
              <w:t> </w:t>
            </w:r>
            <w:r>
              <w:rPr>
                <w:rFonts w:ascii="Arial"/>
                <w:i/>
                <w:color w:val="7F7F7F"/>
                <w:sz w:val="16"/>
              </w:rPr>
              <w:t>fiscal</w:t>
            </w:r>
            <w:r>
              <w:rPr>
                <w:rFonts w:ascii="Arial"/>
                <w:i/>
                <w:color w:val="7F7F7F"/>
                <w:spacing w:val="-2"/>
                <w:sz w:val="16"/>
              </w:rPr>
              <w:t> </w:t>
            </w:r>
            <w:r>
              <w:rPr>
                <w:rFonts w:ascii="Arial"/>
                <w:i/>
                <w:color w:val="7F7F7F"/>
                <w:sz w:val="16"/>
              </w:rPr>
              <w:t>year</w:t>
            </w:r>
            <w:r>
              <w:rPr>
                <w:rFonts w:ascii="Arial"/>
                <w:i/>
                <w:color w:val="7F7F7F"/>
                <w:spacing w:val="-2"/>
                <w:sz w:val="16"/>
              </w:rPr>
              <w:t> </w:t>
            </w:r>
            <w:r>
              <w:rPr>
                <w:rFonts w:ascii="Arial"/>
                <w:i/>
                <w:color w:val="7F7F7F"/>
                <w:sz w:val="16"/>
              </w:rPr>
              <w:t>ended</w:t>
            </w:r>
            <w:r>
              <w:rPr>
                <w:rFonts w:ascii="Arial"/>
                <w:i/>
                <w:color w:val="7F7F7F"/>
                <w:spacing w:val="-3"/>
                <w:sz w:val="16"/>
              </w:rPr>
              <w:t> </w:t>
            </w:r>
            <w:r>
              <w:rPr>
                <w:rFonts w:ascii="Arial"/>
                <w:i/>
                <w:color w:val="7F7F7F"/>
                <w:sz w:val="16"/>
              </w:rPr>
              <w:t>June</w:t>
            </w:r>
            <w:r>
              <w:rPr>
                <w:rFonts w:ascii="Arial"/>
                <w:i/>
                <w:color w:val="7F7F7F"/>
                <w:spacing w:val="-3"/>
                <w:sz w:val="16"/>
              </w:rPr>
              <w:t> </w:t>
            </w:r>
            <w:r>
              <w:rPr>
                <w:rFonts w:ascii="Arial"/>
                <w:i/>
                <w:color w:val="7F7F7F"/>
                <w:spacing w:val="-5"/>
                <w:sz w:val="16"/>
              </w:rPr>
              <w:t>30,</w:t>
            </w:r>
            <w:r>
              <w:rPr>
                <w:rFonts w:ascii="Arial"/>
                <w:i/>
                <w:color w:val="7F7F7F"/>
                <w:sz w:val="16"/>
              </w:rPr>
              <w:tab/>
            </w:r>
            <w:r>
              <w:rPr>
                <w:rFonts w:ascii="Arial"/>
                <w:i/>
                <w:color w:val="7F7F7F"/>
                <w:spacing w:val="-4"/>
                <w:sz w:val="16"/>
              </w:rPr>
              <w:t>2023</w:t>
            </w:r>
            <w:r>
              <w:rPr>
                <w:rFonts w:ascii="Arial"/>
                <w:i/>
                <w:color w:val="7F7F7F"/>
                <w:sz w:val="16"/>
              </w:rPr>
              <w:tab/>
              <w:t>%</w:t>
            </w:r>
            <w:r>
              <w:rPr>
                <w:rFonts w:ascii="Arial"/>
                <w:i/>
                <w:color w:val="7F7F7F"/>
                <w:spacing w:val="-3"/>
                <w:sz w:val="16"/>
              </w:rPr>
              <w:t> </w:t>
            </w:r>
            <w:r>
              <w:rPr>
                <w:rFonts w:ascii="Arial"/>
                <w:i/>
                <w:color w:val="7F7F7F"/>
                <w:sz w:val="16"/>
              </w:rPr>
              <w:t>of </w:t>
            </w:r>
            <w:r>
              <w:rPr>
                <w:rFonts w:ascii="Arial"/>
                <w:i/>
                <w:color w:val="7F7F7F"/>
                <w:spacing w:val="-2"/>
                <w:sz w:val="16"/>
              </w:rPr>
              <w:t>total</w:t>
            </w:r>
            <w:r>
              <w:rPr>
                <w:rFonts w:ascii="Times New Roman"/>
                <w:color w:val="7F7F7F"/>
                <w:sz w:val="16"/>
              </w:rPr>
              <w:tab/>
            </w:r>
            <w:r>
              <w:rPr>
                <w:rFonts w:ascii="Arial"/>
                <w:i/>
                <w:color w:val="7F7F7F"/>
                <w:spacing w:val="-4"/>
                <w:sz w:val="16"/>
              </w:rPr>
              <w:t>2022</w:t>
            </w:r>
          </w:p>
        </w:tc>
        <w:tc>
          <w:tcPr>
            <w:tcW w:w="1065" w:type="dxa"/>
            <w:tcBorders>
              <w:bottom w:val="single" w:sz="8" w:space="0" w:color="6C6C6C"/>
            </w:tcBorders>
          </w:tcPr>
          <w:p>
            <w:pPr>
              <w:pStyle w:val="TableParagraph"/>
              <w:spacing w:line="179" w:lineRule="exact"/>
              <w:ind w:right="101"/>
              <w:jc w:val="right"/>
              <w:rPr>
                <w:rFonts w:ascii="Arial"/>
                <w:i/>
                <w:sz w:val="16"/>
              </w:rPr>
            </w:pPr>
            <w:r>
              <w:rPr>
                <w:rFonts w:ascii="Arial"/>
                <w:i/>
                <w:color w:val="7F7F7F"/>
                <w:sz w:val="16"/>
              </w:rPr>
              <w:t>%</w:t>
            </w:r>
            <w:r>
              <w:rPr>
                <w:rFonts w:ascii="Arial"/>
                <w:i/>
                <w:color w:val="7F7F7F"/>
                <w:spacing w:val="-3"/>
                <w:sz w:val="16"/>
              </w:rPr>
              <w:t> </w:t>
            </w:r>
            <w:r>
              <w:rPr>
                <w:rFonts w:ascii="Arial"/>
                <w:i/>
                <w:color w:val="7F7F7F"/>
                <w:sz w:val="16"/>
              </w:rPr>
              <w:t>of </w:t>
            </w:r>
            <w:r>
              <w:rPr>
                <w:rFonts w:ascii="Arial"/>
                <w:i/>
                <w:color w:val="7F7F7F"/>
                <w:spacing w:val="-2"/>
                <w:sz w:val="16"/>
              </w:rPr>
              <w:t>total</w:t>
            </w:r>
          </w:p>
        </w:tc>
        <w:tc>
          <w:tcPr>
            <w:tcW w:w="341" w:type="dxa"/>
            <w:tcBorders>
              <w:bottom w:val="single" w:sz="8" w:space="0" w:color="6C6C6C"/>
            </w:tcBorders>
          </w:tcPr>
          <w:p>
            <w:pPr>
              <w:pStyle w:val="TableParagraph"/>
              <w:rPr>
                <w:rFonts w:ascii="Times New Roman"/>
                <w:sz w:val="14"/>
              </w:rPr>
            </w:pPr>
          </w:p>
        </w:tc>
        <w:tc>
          <w:tcPr>
            <w:tcW w:w="871" w:type="dxa"/>
            <w:tcBorders>
              <w:bottom w:val="single" w:sz="8" w:space="0" w:color="6C6C6C"/>
            </w:tcBorders>
          </w:tcPr>
          <w:p>
            <w:pPr>
              <w:pStyle w:val="TableParagraph"/>
              <w:spacing w:line="179" w:lineRule="exact"/>
              <w:ind w:right="53"/>
              <w:jc w:val="right"/>
              <w:rPr>
                <w:rFonts w:ascii="Arial"/>
                <w:i/>
                <w:sz w:val="16"/>
              </w:rPr>
            </w:pPr>
            <w:r>
              <w:rPr>
                <w:rFonts w:ascii="Arial"/>
                <w:i/>
                <w:color w:val="7F7F7F"/>
                <w:spacing w:val="-2"/>
                <w:sz w:val="16"/>
              </w:rPr>
              <w:t>Variance</w:t>
            </w:r>
          </w:p>
        </w:tc>
      </w:tr>
      <w:tr>
        <w:trPr>
          <w:trHeight w:val="196" w:hRule="atLeast"/>
        </w:trPr>
        <w:tc>
          <w:tcPr>
            <w:tcW w:w="7086" w:type="dxa"/>
            <w:gridSpan w:val="4"/>
            <w:tcBorders>
              <w:top w:val="single" w:sz="8" w:space="0" w:color="6C6C6C"/>
            </w:tcBorders>
          </w:tcPr>
          <w:p>
            <w:pPr>
              <w:pStyle w:val="TableParagraph"/>
              <w:tabs>
                <w:tab w:pos="3172" w:val="left" w:leader="none"/>
                <w:tab w:pos="3852" w:val="left" w:leader="none"/>
                <w:tab w:pos="5280" w:val="left" w:leader="none"/>
                <w:tab w:pos="6372" w:val="left" w:leader="none"/>
              </w:tabs>
              <w:spacing w:line="164" w:lineRule="exact" w:before="12"/>
              <w:ind w:left="52"/>
              <w:rPr>
                <w:sz w:val="16"/>
              </w:rPr>
            </w:pPr>
            <w:r>
              <w:rPr>
                <w:sz w:val="16"/>
              </w:rPr>
              <w:t>Eastern</w:t>
            </w:r>
            <w:r>
              <w:rPr>
                <w:spacing w:val="-5"/>
                <w:sz w:val="16"/>
              </w:rPr>
              <w:t> </w:t>
            </w:r>
            <w:r>
              <w:rPr>
                <w:sz w:val="16"/>
              </w:rPr>
              <w:t>and</w:t>
            </w:r>
            <w:r>
              <w:rPr>
                <w:spacing w:val="-3"/>
                <w:sz w:val="16"/>
              </w:rPr>
              <w:t> </w:t>
            </w:r>
            <w:r>
              <w:rPr>
                <w:sz w:val="16"/>
              </w:rPr>
              <w:t>Southern</w:t>
            </w:r>
            <w:r>
              <w:rPr>
                <w:spacing w:val="-11"/>
                <w:sz w:val="16"/>
              </w:rPr>
              <w:t> </w:t>
            </w:r>
            <w:r>
              <w:rPr>
                <w:spacing w:val="-2"/>
                <w:sz w:val="16"/>
              </w:rPr>
              <w:t>Africa</w:t>
            </w:r>
            <w:r>
              <w:rPr>
                <w:sz w:val="16"/>
              </w:rPr>
              <w:tab/>
            </w:r>
            <w:r>
              <w:rPr>
                <w:spacing w:val="-10"/>
                <w:sz w:val="16"/>
              </w:rPr>
              <w:t>$</w:t>
            </w:r>
            <w:r>
              <w:rPr>
                <w:sz w:val="16"/>
              </w:rPr>
              <w:tab/>
            </w:r>
            <w:r>
              <w:rPr>
                <w:spacing w:val="-4"/>
                <w:sz w:val="16"/>
              </w:rPr>
              <w:t>1,690</w:t>
            </w:r>
            <w:r>
              <w:rPr>
                <w:sz w:val="16"/>
              </w:rPr>
              <w:tab/>
              <w:t>7</w:t>
            </w:r>
            <w:r>
              <w:rPr>
                <w:spacing w:val="8"/>
                <w:sz w:val="16"/>
              </w:rPr>
              <w:t> </w:t>
            </w:r>
            <w:r>
              <w:rPr>
                <w:sz w:val="16"/>
              </w:rPr>
              <w:t>%</w:t>
            </w:r>
            <w:r>
              <w:rPr>
                <w:spacing w:val="59"/>
                <w:w w:val="150"/>
                <w:sz w:val="16"/>
              </w:rPr>
              <w:t> </w:t>
            </w:r>
            <w:r>
              <w:rPr>
                <w:spacing w:val="-10"/>
                <w:sz w:val="16"/>
              </w:rPr>
              <w:t>$</w:t>
            </w:r>
            <w:r>
              <w:rPr>
                <w:sz w:val="16"/>
              </w:rPr>
              <w:tab/>
            </w:r>
            <w:r>
              <w:rPr>
                <w:spacing w:val="-2"/>
                <w:sz w:val="16"/>
              </w:rPr>
              <w:t>2,441</w:t>
            </w:r>
          </w:p>
        </w:tc>
        <w:tc>
          <w:tcPr>
            <w:tcW w:w="1065" w:type="dxa"/>
            <w:tcBorders>
              <w:top w:val="single" w:sz="8" w:space="0" w:color="6C6C6C"/>
            </w:tcBorders>
          </w:tcPr>
          <w:p>
            <w:pPr>
              <w:pStyle w:val="TableParagraph"/>
              <w:spacing w:line="164" w:lineRule="exact" w:before="12"/>
              <w:ind w:right="64"/>
              <w:jc w:val="right"/>
              <w:rPr>
                <w:sz w:val="16"/>
              </w:rPr>
            </w:pPr>
            <w:r>
              <w:rPr>
                <w:sz w:val="16"/>
              </w:rPr>
              <w:t>9</w:t>
            </w:r>
            <w:r>
              <w:rPr>
                <w:spacing w:val="6"/>
                <w:sz w:val="16"/>
              </w:rPr>
              <w:t> </w:t>
            </w:r>
            <w:r>
              <w:rPr>
                <w:spacing w:val="-10"/>
                <w:sz w:val="16"/>
              </w:rPr>
              <w:t>%</w:t>
            </w:r>
          </w:p>
        </w:tc>
        <w:tc>
          <w:tcPr>
            <w:tcW w:w="341" w:type="dxa"/>
            <w:tcBorders>
              <w:top w:val="single" w:sz="8" w:space="0" w:color="6C6C6C"/>
            </w:tcBorders>
          </w:tcPr>
          <w:p>
            <w:pPr>
              <w:pStyle w:val="TableParagraph"/>
              <w:spacing w:line="164" w:lineRule="exact" w:before="12"/>
              <w:ind w:left="61"/>
              <w:rPr>
                <w:sz w:val="16"/>
              </w:rPr>
            </w:pPr>
            <w:r>
              <w:rPr>
                <w:spacing w:val="-10"/>
                <w:sz w:val="16"/>
              </w:rPr>
              <w:t>$</w:t>
            </w:r>
          </w:p>
        </w:tc>
        <w:tc>
          <w:tcPr>
            <w:tcW w:w="871" w:type="dxa"/>
            <w:tcBorders>
              <w:top w:val="single" w:sz="8" w:space="0" w:color="6C6C6C"/>
            </w:tcBorders>
          </w:tcPr>
          <w:p>
            <w:pPr>
              <w:pStyle w:val="TableParagraph"/>
              <w:spacing w:line="164" w:lineRule="exact" w:before="12"/>
              <w:ind w:right="15"/>
              <w:jc w:val="right"/>
              <w:rPr>
                <w:sz w:val="16"/>
              </w:rPr>
            </w:pPr>
            <w:r>
              <w:rPr>
                <w:spacing w:val="-2"/>
                <w:sz w:val="16"/>
              </w:rPr>
              <w:t>(751)</w:t>
            </w:r>
          </w:p>
        </w:tc>
      </w:tr>
      <w:tr>
        <w:trPr>
          <w:trHeight w:val="270" w:hRule="atLeast"/>
        </w:trPr>
        <w:tc>
          <w:tcPr>
            <w:tcW w:w="3120" w:type="dxa"/>
          </w:tcPr>
          <w:p>
            <w:pPr>
              <w:pStyle w:val="TableParagraph"/>
              <w:spacing w:before="56"/>
              <w:ind w:left="52"/>
              <w:rPr>
                <w:sz w:val="16"/>
              </w:rPr>
            </w:pPr>
            <w:r>
              <w:rPr>
                <w:sz w:val="16"/>
              </w:rPr>
              <w:t>Western</w:t>
            </w:r>
            <w:r>
              <w:rPr>
                <w:spacing w:val="-6"/>
                <w:sz w:val="16"/>
              </w:rPr>
              <w:t> </w:t>
            </w:r>
            <w:r>
              <w:rPr>
                <w:sz w:val="16"/>
              </w:rPr>
              <w:t>and</w:t>
            </w:r>
            <w:r>
              <w:rPr>
                <w:spacing w:val="-5"/>
                <w:sz w:val="16"/>
              </w:rPr>
              <w:t> </w:t>
            </w:r>
            <w:r>
              <w:rPr>
                <w:sz w:val="16"/>
              </w:rPr>
              <w:t>Central</w:t>
            </w:r>
            <w:r>
              <w:rPr>
                <w:spacing w:val="-11"/>
                <w:sz w:val="16"/>
              </w:rPr>
              <w:t> </w:t>
            </w:r>
            <w:r>
              <w:rPr>
                <w:spacing w:val="-2"/>
                <w:sz w:val="16"/>
              </w:rPr>
              <w:t>Africa</w:t>
            </w:r>
          </w:p>
        </w:tc>
        <w:tc>
          <w:tcPr>
            <w:tcW w:w="1558" w:type="dxa"/>
          </w:tcPr>
          <w:p>
            <w:pPr>
              <w:pStyle w:val="TableParagraph"/>
              <w:spacing w:before="56"/>
              <w:ind w:right="424"/>
              <w:jc w:val="right"/>
              <w:rPr>
                <w:sz w:val="16"/>
              </w:rPr>
            </w:pPr>
            <w:r>
              <w:rPr>
                <w:spacing w:val="-5"/>
                <w:sz w:val="16"/>
              </w:rPr>
              <w:t>161</w:t>
            </w:r>
          </w:p>
        </w:tc>
        <w:tc>
          <w:tcPr>
            <w:tcW w:w="952" w:type="dxa"/>
          </w:tcPr>
          <w:p>
            <w:pPr>
              <w:pStyle w:val="TableParagraph"/>
              <w:spacing w:before="56"/>
              <w:ind w:left="360" w:right="18"/>
              <w:jc w:val="center"/>
              <w:rPr>
                <w:sz w:val="16"/>
              </w:rPr>
            </w:pPr>
            <w:r>
              <w:rPr>
                <w:spacing w:val="-10"/>
                <w:sz w:val="16"/>
              </w:rPr>
              <w:t>1</w:t>
            </w:r>
          </w:p>
        </w:tc>
        <w:tc>
          <w:tcPr>
            <w:tcW w:w="1456" w:type="dxa"/>
          </w:tcPr>
          <w:p>
            <w:pPr>
              <w:pStyle w:val="TableParagraph"/>
              <w:spacing w:before="56"/>
              <w:ind w:right="312"/>
              <w:jc w:val="right"/>
              <w:rPr>
                <w:sz w:val="16"/>
              </w:rPr>
            </w:pPr>
            <w:r>
              <w:rPr>
                <w:spacing w:val="-5"/>
                <w:sz w:val="16"/>
              </w:rPr>
              <w:t>261</w:t>
            </w:r>
          </w:p>
        </w:tc>
        <w:tc>
          <w:tcPr>
            <w:tcW w:w="1065" w:type="dxa"/>
          </w:tcPr>
          <w:p>
            <w:pPr>
              <w:pStyle w:val="TableParagraph"/>
              <w:spacing w:before="56"/>
              <w:ind w:right="259"/>
              <w:jc w:val="right"/>
              <w:rPr>
                <w:sz w:val="16"/>
              </w:rPr>
            </w:pPr>
            <w:r>
              <w:rPr>
                <w:spacing w:val="-10"/>
                <w:sz w:val="16"/>
              </w:rPr>
              <w:t>1</w:t>
            </w:r>
          </w:p>
        </w:tc>
        <w:tc>
          <w:tcPr>
            <w:tcW w:w="1212" w:type="dxa"/>
            <w:gridSpan w:val="2"/>
          </w:tcPr>
          <w:p>
            <w:pPr>
              <w:pStyle w:val="TableParagraph"/>
              <w:spacing w:before="56"/>
              <w:ind w:right="15"/>
              <w:jc w:val="right"/>
              <w:rPr>
                <w:sz w:val="16"/>
              </w:rPr>
            </w:pPr>
            <w:r>
              <w:rPr>
                <w:spacing w:val="-2"/>
                <w:sz w:val="16"/>
              </w:rPr>
              <w:t>(100)</w:t>
            </w:r>
          </w:p>
        </w:tc>
      </w:tr>
      <w:tr>
        <w:trPr>
          <w:trHeight w:val="240" w:hRule="atLeast"/>
        </w:trPr>
        <w:tc>
          <w:tcPr>
            <w:tcW w:w="3120" w:type="dxa"/>
          </w:tcPr>
          <w:p>
            <w:pPr>
              <w:pStyle w:val="TableParagraph"/>
              <w:spacing w:before="25"/>
              <w:ind w:left="52"/>
              <w:rPr>
                <w:sz w:val="16"/>
              </w:rPr>
            </w:pPr>
            <w:r>
              <w:rPr>
                <w:sz w:val="16"/>
              </w:rPr>
              <w:t>East</w:t>
            </w:r>
            <w:r>
              <w:rPr>
                <w:spacing w:val="-11"/>
                <w:sz w:val="16"/>
              </w:rPr>
              <w:t> </w:t>
            </w:r>
            <w:r>
              <w:rPr>
                <w:sz w:val="16"/>
              </w:rPr>
              <w:t>Asia</w:t>
            </w:r>
            <w:r>
              <w:rPr>
                <w:spacing w:val="-2"/>
                <w:sz w:val="16"/>
              </w:rPr>
              <w:t> </w:t>
            </w:r>
            <w:r>
              <w:rPr>
                <w:sz w:val="16"/>
              </w:rPr>
              <w:t>and</w:t>
            </w:r>
            <w:r>
              <w:rPr>
                <w:spacing w:val="-2"/>
                <w:sz w:val="16"/>
              </w:rPr>
              <w:t> Pacific</w:t>
            </w:r>
          </w:p>
        </w:tc>
        <w:tc>
          <w:tcPr>
            <w:tcW w:w="1558" w:type="dxa"/>
          </w:tcPr>
          <w:p>
            <w:pPr>
              <w:pStyle w:val="TableParagraph"/>
              <w:spacing w:before="25"/>
              <w:ind w:right="424"/>
              <w:jc w:val="right"/>
              <w:rPr>
                <w:sz w:val="16"/>
              </w:rPr>
            </w:pPr>
            <w:r>
              <w:rPr>
                <w:spacing w:val="-2"/>
                <w:sz w:val="16"/>
              </w:rPr>
              <w:t>4,350</w:t>
            </w:r>
          </w:p>
        </w:tc>
        <w:tc>
          <w:tcPr>
            <w:tcW w:w="952" w:type="dxa"/>
          </w:tcPr>
          <w:p>
            <w:pPr>
              <w:pStyle w:val="TableParagraph"/>
              <w:spacing w:before="25"/>
              <w:ind w:left="253"/>
              <w:jc w:val="center"/>
              <w:rPr>
                <w:sz w:val="16"/>
              </w:rPr>
            </w:pPr>
            <w:r>
              <w:rPr>
                <w:spacing w:val="-5"/>
                <w:sz w:val="16"/>
              </w:rPr>
              <w:t>17</w:t>
            </w:r>
          </w:p>
        </w:tc>
        <w:tc>
          <w:tcPr>
            <w:tcW w:w="1456" w:type="dxa"/>
          </w:tcPr>
          <w:p>
            <w:pPr>
              <w:pStyle w:val="TableParagraph"/>
              <w:spacing w:before="25"/>
              <w:ind w:right="312"/>
              <w:jc w:val="right"/>
              <w:rPr>
                <w:sz w:val="16"/>
              </w:rPr>
            </w:pPr>
            <w:r>
              <w:rPr>
                <w:spacing w:val="-2"/>
                <w:sz w:val="16"/>
              </w:rPr>
              <w:t>5,439</w:t>
            </w:r>
          </w:p>
        </w:tc>
        <w:tc>
          <w:tcPr>
            <w:tcW w:w="1065" w:type="dxa"/>
          </w:tcPr>
          <w:p>
            <w:pPr>
              <w:pStyle w:val="TableParagraph"/>
              <w:spacing w:before="25"/>
              <w:ind w:left="626"/>
              <w:rPr>
                <w:sz w:val="16"/>
              </w:rPr>
            </w:pPr>
            <w:r>
              <w:rPr>
                <w:spacing w:val="-5"/>
                <w:sz w:val="16"/>
              </w:rPr>
              <w:t>19</w:t>
            </w:r>
          </w:p>
        </w:tc>
        <w:tc>
          <w:tcPr>
            <w:tcW w:w="1212" w:type="dxa"/>
            <w:gridSpan w:val="2"/>
          </w:tcPr>
          <w:p>
            <w:pPr>
              <w:pStyle w:val="TableParagraph"/>
              <w:spacing w:before="25"/>
              <w:ind w:left="688"/>
              <w:rPr>
                <w:sz w:val="16"/>
              </w:rPr>
            </w:pPr>
            <w:r>
              <w:rPr>
                <w:spacing w:val="-2"/>
                <w:sz w:val="16"/>
              </w:rPr>
              <w:t>(1,089)</w:t>
            </w:r>
          </w:p>
        </w:tc>
      </w:tr>
      <w:tr>
        <w:trPr>
          <w:trHeight w:val="240" w:hRule="atLeast"/>
        </w:trPr>
        <w:tc>
          <w:tcPr>
            <w:tcW w:w="3120" w:type="dxa"/>
          </w:tcPr>
          <w:p>
            <w:pPr>
              <w:pStyle w:val="TableParagraph"/>
              <w:spacing w:before="25"/>
              <w:ind w:left="52"/>
              <w:rPr>
                <w:sz w:val="16"/>
              </w:rPr>
            </w:pPr>
            <w:r>
              <w:rPr>
                <w:sz w:val="16"/>
              </w:rPr>
              <w:t>Europe</w:t>
            </w:r>
            <w:r>
              <w:rPr>
                <w:spacing w:val="-7"/>
                <w:sz w:val="16"/>
              </w:rPr>
              <w:t> </w:t>
            </w:r>
            <w:r>
              <w:rPr>
                <w:sz w:val="16"/>
              </w:rPr>
              <w:t>and</w:t>
            </w:r>
            <w:r>
              <w:rPr>
                <w:spacing w:val="-4"/>
                <w:sz w:val="16"/>
              </w:rPr>
              <w:t> </w:t>
            </w:r>
            <w:r>
              <w:rPr>
                <w:sz w:val="16"/>
              </w:rPr>
              <w:t>Central</w:t>
            </w:r>
            <w:r>
              <w:rPr>
                <w:spacing w:val="-11"/>
                <w:sz w:val="16"/>
              </w:rPr>
              <w:t> </w:t>
            </w:r>
            <w:r>
              <w:rPr>
                <w:spacing w:val="-4"/>
                <w:sz w:val="16"/>
              </w:rPr>
              <w:t>Asia</w:t>
            </w:r>
          </w:p>
        </w:tc>
        <w:tc>
          <w:tcPr>
            <w:tcW w:w="1558" w:type="dxa"/>
          </w:tcPr>
          <w:p>
            <w:pPr>
              <w:pStyle w:val="TableParagraph"/>
              <w:spacing w:before="25"/>
              <w:ind w:right="424"/>
              <w:jc w:val="right"/>
              <w:rPr>
                <w:sz w:val="16"/>
              </w:rPr>
            </w:pPr>
            <w:r>
              <w:rPr>
                <w:spacing w:val="-2"/>
                <w:sz w:val="16"/>
              </w:rPr>
              <w:t>4,833</w:t>
            </w:r>
          </w:p>
        </w:tc>
        <w:tc>
          <w:tcPr>
            <w:tcW w:w="952" w:type="dxa"/>
          </w:tcPr>
          <w:p>
            <w:pPr>
              <w:pStyle w:val="TableParagraph"/>
              <w:spacing w:before="25"/>
              <w:ind w:left="253"/>
              <w:jc w:val="center"/>
              <w:rPr>
                <w:sz w:val="16"/>
              </w:rPr>
            </w:pPr>
            <w:r>
              <w:rPr>
                <w:spacing w:val="-5"/>
                <w:sz w:val="16"/>
              </w:rPr>
              <w:t>19</w:t>
            </w:r>
          </w:p>
        </w:tc>
        <w:tc>
          <w:tcPr>
            <w:tcW w:w="1456" w:type="dxa"/>
          </w:tcPr>
          <w:p>
            <w:pPr>
              <w:pStyle w:val="TableParagraph"/>
              <w:spacing w:before="25"/>
              <w:ind w:right="312"/>
              <w:jc w:val="right"/>
              <w:rPr>
                <w:sz w:val="16"/>
              </w:rPr>
            </w:pPr>
            <w:r>
              <w:rPr>
                <w:spacing w:val="-2"/>
                <w:sz w:val="16"/>
              </w:rPr>
              <w:t>4,580</w:t>
            </w:r>
          </w:p>
        </w:tc>
        <w:tc>
          <w:tcPr>
            <w:tcW w:w="1065" w:type="dxa"/>
          </w:tcPr>
          <w:p>
            <w:pPr>
              <w:pStyle w:val="TableParagraph"/>
              <w:spacing w:before="25"/>
              <w:ind w:left="626"/>
              <w:rPr>
                <w:sz w:val="16"/>
              </w:rPr>
            </w:pPr>
            <w:r>
              <w:rPr>
                <w:spacing w:val="-5"/>
                <w:sz w:val="16"/>
              </w:rPr>
              <w:t>16</w:t>
            </w:r>
          </w:p>
        </w:tc>
        <w:tc>
          <w:tcPr>
            <w:tcW w:w="1212" w:type="dxa"/>
            <w:gridSpan w:val="2"/>
          </w:tcPr>
          <w:p>
            <w:pPr>
              <w:pStyle w:val="TableParagraph"/>
              <w:spacing w:before="25"/>
              <w:ind w:right="69"/>
              <w:jc w:val="right"/>
              <w:rPr>
                <w:sz w:val="16"/>
              </w:rPr>
            </w:pPr>
            <w:r>
              <w:rPr>
                <w:spacing w:val="-5"/>
                <w:sz w:val="16"/>
              </w:rPr>
              <w:t>253</w:t>
            </w:r>
          </w:p>
        </w:tc>
      </w:tr>
      <w:tr>
        <w:trPr>
          <w:trHeight w:val="240" w:hRule="atLeast"/>
        </w:trPr>
        <w:tc>
          <w:tcPr>
            <w:tcW w:w="3120" w:type="dxa"/>
          </w:tcPr>
          <w:p>
            <w:pPr>
              <w:pStyle w:val="TableParagraph"/>
              <w:spacing w:before="25"/>
              <w:ind w:left="52"/>
              <w:rPr>
                <w:sz w:val="16"/>
              </w:rPr>
            </w:pPr>
            <w:r>
              <w:rPr>
                <w:sz w:val="16"/>
              </w:rPr>
              <w:t>Latin</w:t>
            </w:r>
            <w:r>
              <w:rPr>
                <w:spacing w:val="-11"/>
                <w:sz w:val="16"/>
              </w:rPr>
              <w:t> </w:t>
            </w:r>
            <w:r>
              <w:rPr>
                <w:sz w:val="16"/>
              </w:rPr>
              <w:t>America</w:t>
            </w:r>
            <w:r>
              <w:rPr>
                <w:spacing w:val="-3"/>
                <w:sz w:val="16"/>
              </w:rPr>
              <w:t> </w:t>
            </w:r>
            <w:r>
              <w:rPr>
                <w:sz w:val="16"/>
              </w:rPr>
              <w:t>and</w:t>
            </w:r>
            <w:r>
              <w:rPr>
                <w:spacing w:val="-3"/>
                <w:sz w:val="16"/>
              </w:rPr>
              <w:t> </w:t>
            </w:r>
            <w:r>
              <w:rPr>
                <w:sz w:val="16"/>
              </w:rPr>
              <w:t>the</w:t>
            </w:r>
            <w:r>
              <w:rPr>
                <w:spacing w:val="-3"/>
                <w:sz w:val="16"/>
              </w:rPr>
              <w:t> </w:t>
            </w:r>
            <w:r>
              <w:rPr>
                <w:spacing w:val="-2"/>
                <w:sz w:val="16"/>
              </w:rPr>
              <w:t>Caribbean</w:t>
            </w:r>
          </w:p>
        </w:tc>
        <w:tc>
          <w:tcPr>
            <w:tcW w:w="1558" w:type="dxa"/>
          </w:tcPr>
          <w:p>
            <w:pPr>
              <w:pStyle w:val="TableParagraph"/>
              <w:spacing w:before="25"/>
              <w:ind w:right="424"/>
              <w:jc w:val="right"/>
              <w:rPr>
                <w:sz w:val="16"/>
              </w:rPr>
            </w:pPr>
            <w:r>
              <w:rPr>
                <w:spacing w:val="-2"/>
                <w:sz w:val="16"/>
              </w:rPr>
              <w:t>8,216</w:t>
            </w:r>
          </w:p>
        </w:tc>
        <w:tc>
          <w:tcPr>
            <w:tcW w:w="952" w:type="dxa"/>
          </w:tcPr>
          <w:p>
            <w:pPr>
              <w:pStyle w:val="TableParagraph"/>
              <w:spacing w:before="25"/>
              <w:ind w:left="253"/>
              <w:jc w:val="center"/>
              <w:rPr>
                <w:sz w:val="16"/>
              </w:rPr>
            </w:pPr>
            <w:r>
              <w:rPr>
                <w:spacing w:val="-5"/>
                <w:sz w:val="16"/>
              </w:rPr>
              <w:t>32</w:t>
            </w:r>
          </w:p>
        </w:tc>
        <w:tc>
          <w:tcPr>
            <w:tcW w:w="1456" w:type="dxa"/>
          </w:tcPr>
          <w:p>
            <w:pPr>
              <w:pStyle w:val="TableParagraph"/>
              <w:spacing w:before="25"/>
              <w:ind w:right="312"/>
              <w:jc w:val="right"/>
              <w:rPr>
                <w:sz w:val="16"/>
              </w:rPr>
            </w:pPr>
            <w:r>
              <w:rPr>
                <w:spacing w:val="-2"/>
                <w:sz w:val="16"/>
              </w:rPr>
              <w:t>8,911</w:t>
            </w:r>
          </w:p>
        </w:tc>
        <w:tc>
          <w:tcPr>
            <w:tcW w:w="1065" w:type="dxa"/>
          </w:tcPr>
          <w:p>
            <w:pPr>
              <w:pStyle w:val="TableParagraph"/>
              <w:spacing w:before="25"/>
              <w:ind w:left="626"/>
              <w:rPr>
                <w:sz w:val="16"/>
              </w:rPr>
            </w:pPr>
            <w:r>
              <w:rPr>
                <w:spacing w:val="-5"/>
                <w:sz w:val="16"/>
              </w:rPr>
              <w:t>32</w:t>
            </w:r>
          </w:p>
        </w:tc>
        <w:tc>
          <w:tcPr>
            <w:tcW w:w="1212" w:type="dxa"/>
            <w:gridSpan w:val="2"/>
          </w:tcPr>
          <w:p>
            <w:pPr>
              <w:pStyle w:val="TableParagraph"/>
              <w:spacing w:before="25"/>
              <w:ind w:right="15"/>
              <w:jc w:val="right"/>
              <w:rPr>
                <w:sz w:val="16"/>
              </w:rPr>
            </w:pPr>
            <w:r>
              <w:rPr>
                <w:spacing w:val="-2"/>
                <w:sz w:val="16"/>
              </w:rPr>
              <w:t>(695)</w:t>
            </w:r>
          </w:p>
        </w:tc>
      </w:tr>
      <w:tr>
        <w:trPr>
          <w:trHeight w:val="240" w:hRule="atLeast"/>
        </w:trPr>
        <w:tc>
          <w:tcPr>
            <w:tcW w:w="3120" w:type="dxa"/>
          </w:tcPr>
          <w:p>
            <w:pPr>
              <w:pStyle w:val="TableParagraph"/>
              <w:spacing w:before="25"/>
              <w:ind w:left="52"/>
              <w:rPr>
                <w:sz w:val="16"/>
              </w:rPr>
            </w:pPr>
            <w:r>
              <w:rPr>
                <w:sz w:val="16"/>
              </w:rPr>
              <w:t>Middle</w:t>
            </w:r>
            <w:r>
              <w:rPr>
                <w:spacing w:val="-4"/>
                <w:sz w:val="16"/>
              </w:rPr>
              <w:t> </w:t>
            </w:r>
            <w:r>
              <w:rPr>
                <w:sz w:val="16"/>
              </w:rPr>
              <w:t>East</w:t>
            </w:r>
            <w:r>
              <w:rPr>
                <w:spacing w:val="-2"/>
                <w:sz w:val="16"/>
              </w:rPr>
              <w:t> </w:t>
            </w:r>
            <w:r>
              <w:rPr>
                <w:sz w:val="16"/>
              </w:rPr>
              <w:t>and</w:t>
            </w:r>
            <w:r>
              <w:rPr>
                <w:spacing w:val="-4"/>
                <w:sz w:val="16"/>
              </w:rPr>
              <w:t> </w:t>
            </w:r>
            <w:r>
              <w:rPr>
                <w:sz w:val="16"/>
              </w:rPr>
              <w:t>North</w:t>
            </w:r>
            <w:r>
              <w:rPr>
                <w:spacing w:val="-10"/>
                <w:sz w:val="16"/>
              </w:rPr>
              <w:t> </w:t>
            </w:r>
            <w:r>
              <w:rPr>
                <w:spacing w:val="-2"/>
                <w:sz w:val="16"/>
              </w:rPr>
              <w:t>Africa</w:t>
            </w:r>
          </w:p>
        </w:tc>
        <w:tc>
          <w:tcPr>
            <w:tcW w:w="1558" w:type="dxa"/>
          </w:tcPr>
          <w:p>
            <w:pPr>
              <w:pStyle w:val="TableParagraph"/>
              <w:spacing w:before="25"/>
              <w:ind w:right="424"/>
              <w:jc w:val="right"/>
              <w:rPr>
                <w:sz w:val="16"/>
              </w:rPr>
            </w:pPr>
            <w:r>
              <w:rPr>
                <w:spacing w:val="-2"/>
                <w:sz w:val="16"/>
              </w:rPr>
              <w:t>2,964</w:t>
            </w:r>
          </w:p>
        </w:tc>
        <w:tc>
          <w:tcPr>
            <w:tcW w:w="952" w:type="dxa"/>
          </w:tcPr>
          <w:p>
            <w:pPr>
              <w:pStyle w:val="TableParagraph"/>
              <w:spacing w:before="25"/>
              <w:ind w:left="253"/>
              <w:jc w:val="center"/>
              <w:rPr>
                <w:sz w:val="16"/>
              </w:rPr>
            </w:pPr>
            <w:r>
              <w:rPr>
                <w:spacing w:val="-5"/>
                <w:sz w:val="16"/>
              </w:rPr>
              <w:t>11</w:t>
            </w:r>
          </w:p>
        </w:tc>
        <w:tc>
          <w:tcPr>
            <w:tcW w:w="1456" w:type="dxa"/>
          </w:tcPr>
          <w:p>
            <w:pPr>
              <w:pStyle w:val="TableParagraph"/>
              <w:spacing w:before="25"/>
              <w:ind w:right="312"/>
              <w:jc w:val="right"/>
              <w:rPr>
                <w:sz w:val="16"/>
              </w:rPr>
            </w:pPr>
            <w:r>
              <w:rPr>
                <w:spacing w:val="-2"/>
                <w:sz w:val="16"/>
              </w:rPr>
              <w:t>3,407</w:t>
            </w:r>
          </w:p>
        </w:tc>
        <w:tc>
          <w:tcPr>
            <w:tcW w:w="1065" w:type="dxa"/>
          </w:tcPr>
          <w:p>
            <w:pPr>
              <w:pStyle w:val="TableParagraph"/>
              <w:spacing w:before="25"/>
              <w:ind w:left="626"/>
              <w:rPr>
                <w:sz w:val="16"/>
              </w:rPr>
            </w:pPr>
            <w:r>
              <w:rPr>
                <w:spacing w:val="-5"/>
                <w:sz w:val="16"/>
              </w:rPr>
              <w:t>12</w:t>
            </w:r>
          </w:p>
        </w:tc>
        <w:tc>
          <w:tcPr>
            <w:tcW w:w="1212" w:type="dxa"/>
            <w:gridSpan w:val="2"/>
          </w:tcPr>
          <w:p>
            <w:pPr>
              <w:pStyle w:val="TableParagraph"/>
              <w:spacing w:before="25"/>
              <w:ind w:right="15"/>
              <w:jc w:val="right"/>
              <w:rPr>
                <w:sz w:val="16"/>
              </w:rPr>
            </w:pPr>
            <w:r>
              <w:rPr>
                <w:spacing w:val="-2"/>
                <w:sz w:val="16"/>
              </w:rPr>
              <w:t>(443)</w:t>
            </w:r>
          </w:p>
        </w:tc>
      </w:tr>
      <w:tr>
        <w:trPr>
          <w:trHeight w:val="232" w:hRule="atLeast"/>
        </w:trPr>
        <w:tc>
          <w:tcPr>
            <w:tcW w:w="3120" w:type="dxa"/>
          </w:tcPr>
          <w:p>
            <w:pPr>
              <w:pStyle w:val="TableParagraph"/>
              <w:spacing w:before="25"/>
              <w:ind w:left="52"/>
              <w:rPr>
                <w:sz w:val="16"/>
              </w:rPr>
            </w:pPr>
            <w:r>
              <w:rPr>
                <w:sz w:val="16"/>
              </w:rPr>
              <w:t>South</w:t>
            </w:r>
            <w:r>
              <w:rPr>
                <w:spacing w:val="-13"/>
                <w:sz w:val="16"/>
              </w:rPr>
              <w:t> </w:t>
            </w:r>
            <w:r>
              <w:rPr>
                <w:spacing w:val="-4"/>
                <w:sz w:val="16"/>
              </w:rPr>
              <w:t>Asia</w:t>
            </w:r>
          </w:p>
        </w:tc>
        <w:tc>
          <w:tcPr>
            <w:tcW w:w="1558" w:type="dxa"/>
            <w:tcBorders>
              <w:bottom w:val="single" w:sz="8" w:space="0" w:color="6C6C6C"/>
            </w:tcBorders>
          </w:tcPr>
          <w:p>
            <w:pPr>
              <w:pStyle w:val="TableParagraph"/>
              <w:spacing w:before="25"/>
              <w:ind w:right="424"/>
              <w:jc w:val="right"/>
              <w:rPr>
                <w:sz w:val="16"/>
              </w:rPr>
            </w:pPr>
            <w:r>
              <w:rPr>
                <w:spacing w:val="-2"/>
                <w:sz w:val="16"/>
              </w:rPr>
              <w:t>3,290</w:t>
            </w:r>
          </w:p>
        </w:tc>
        <w:tc>
          <w:tcPr>
            <w:tcW w:w="952" w:type="dxa"/>
            <w:tcBorders>
              <w:bottom w:val="single" w:sz="8" w:space="0" w:color="6C6C6C"/>
            </w:tcBorders>
          </w:tcPr>
          <w:p>
            <w:pPr>
              <w:pStyle w:val="TableParagraph"/>
              <w:spacing w:before="25"/>
              <w:ind w:left="253"/>
              <w:jc w:val="center"/>
              <w:rPr>
                <w:sz w:val="16"/>
              </w:rPr>
            </w:pPr>
            <w:r>
              <w:rPr>
                <w:spacing w:val="-5"/>
                <w:sz w:val="16"/>
              </w:rPr>
              <w:t>13</w:t>
            </w:r>
          </w:p>
        </w:tc>
        <w:tc>
          <w:tcPr>
            <w:tcW w:w="1456" w:type="dxa"/>
            <w:tcBorders>
              <w:bottom w:val="single" w:sz="8" w:space="0" w:color="6C6C6C"/>
            </w:tcBorders>
          </w:tcPr>
          <w:p>
            <w:pPr>
              <w:pStyle w:val="TableParagraph"/>
              <w:spacing w:before="25"/>
              <w:ind w:right="312"/>
              <w:jc w:val="right"/>
              <w:rPr>
                <w:sz w:val="16"/>
              </w:rPr>
            </w:pPr>
            <w:r>
              <w:rPr>
                <w:spacing w:val="-2"/>
                <w:sz w:val="16"/>
              </w:rPr>
              <w:t>3,129</w:t>
            </w:r>
          </w:p>
        </w:tc>
        <w:tc>
          <w:tcPr>
            <w:tcW w:w="1065" w:type="dxa"/>
            <w:tcBorders>
              <w:bottom w:val="single" w:sz="8" w:space="0" w:color="6C6C6C"/>
            </w:tcBorders>
          </w:tcPr>
          <w:p>
            <w:pPr>
              <w:pStyle w:val="TableParagraph"/>
              <w:spacing w:before="25"/>
              <w:ind w:left="626"/>
              <w:rPr>
                <w:sz w:val="16"/>
              </w:rPr>
            </w:pPr>
            <w:r>
              <w:rPr>
                <w:spacing w:val="-5"/>
                <w:sz w:val="16"/>
              </w:rPr>
              <w:t>11</w:t>
            </w:r>
          </w:p>
        </w:tc>
        <w:tc>
          <w:tcPr>
            <w:tcW w:w="1212" w:type="dxa"/>
            <w:gridSpan w:val="2"/>
            <w:tcBorders>
              <w:bottom w:val="single" w:sz="8" w:space="0" w:color="6C6C6C"/>
            </w:tcBorders>
          </w:tcPr>
          <w:p>
            <w:pPr>
              <w:pStyle w:val="TableParagraph"/>
              <w:spacing w:before="25"/>
              <w:ind w:right="69"/>
              <w:jc w:val="right"/>
              <w:rPr>
                <w:sz w:val="16"/>
              </w:rPr>
            </w:pPr>
            <w:r>
              <w:rPr>
                <w:spacing w:val="-5"/>
                <w:sz w:val="16"/>
              </w:rPr>
              <w:t>161</w:t>
            </w:r>
          </w:p>
        </w:tc>
      </w:tr>
      <w:tr>
        <w:trPr>
          <w:trHeight w:val="200" w:hRule="atLeast"/>
        </w:trPr>
        <w:tc>
          <w:tcPr>
            <w:tcW w:w="3120" w:type="dxa"/>
          </w:tcPr>
          <w:p>
            <w:pPr>
              <w:pStyle w:val="TableParagraph"/>
              <w:spacing w:line="167" w:lineRule="exact" w:before="12"/>
              <w:ind w:left="52"/>
              <w:rPr>
                <w:rFonts w:ascii="Arial"/>
                <w:b/>
                <w:sz w:val="16"/>
              </w:rPr>
            </w:pPr>
            <w:r>
              <w:rPr>
                <w:rFonts w:ascii="Arial"/>
                <w:b/>
                <w:spacing w:val="-2"/>
                <w:sz w:val="16"/>
              </w:rPr>
              <w:t>Total</w:t>
            </w:r>
          </w:p>
        </w:tc>
        <w:tc>
          <w:tcPr>
            <w:tcW w:w="1558" w:type="dxa"/>
            <w:tcBorders>
              <w:top w:val="single" w:sz="8" w:space="0" w:color="6C6C6C"/>
              <w:bottom w:val="double" w:sz="8" w:space="0" w:color="6C6C6C"/>
            </w:tcBorders>
          </w:tcPr>
          <w:p>
            <w:pPr>
              <w:pStyle w:val="TableParagraph"/>
              <w:tabs>
                <w:tab w:pos="590" w:val="left" w:leader="none"/>
              </w:tabs>
              <w:spacing w:line="167" w:lineRule="exact" w:before="12"/>
              <w:ind w:right="424"/>
              <w:jc w:val="right"/>
              <w:rPr>
                <w:rFonts w:ascii="Arial"/>
                <w:b/>
                <w:sz w:val="16"/>
              </w:rPr>
            </w:pPr>
            <w:r>
              <w:rPr>
                <w:rFonts w:ascii="Arial"/>
                <w:b/>
                <w:spacing w:val="-10"/>
                <w:sz w:val="16"/>
              </w:rPr>
              <w:t>$</w:t>
            </w:r>
            <w:r>
              <w:rPr>
                <w:rFonts w:ascii="Arial"/>
                <w:b/>
                <w:sz w:val="16"/>
              </w:rPr>
              <w:tab/>
            </w:r>
            <w:r>
              <w:rPr>
                <w:rFonts w:ascii="Arial"/>
                <w:b/>
                <w:spacing w:val="-2"/>
                <w:sz w:val="16"/>
              </w:rPr>
              <w:t>25,504</w:t>
            </w:r>
          </w:p>
        </w:tc>
        <w:tc>
          <w:tcPr>
            <w:tcW w:w="952" w:type="dxa"/>
            <w:tcBorders>
              <w:top w:val="single" w:sz="8" w:space="0" w:color="6C6C6C"/>
              <w:bottom w:val="double" w:sz="8" w:space="0" w:color="6C6C6C"/>
            </w:tcBorders>
          </w:tcPr>
          <w:p>
            <w:pPr>
              <w:pStyle w:val="TableParagraph"/>
              <w:spacing w:line="167" w:lineRule="exact" w:before="12"/>
              <w:ind w:left="360"/>
              <w:jc w:val="center"/>
              <w:rPr>
                <w:rFonts w:ascii="Arial"/>
                <w:b/>
                <w:sz w:val="16"/>
              </w:rPr>
            </w:pPr>
            <w:r>
              <w:rPr>
                <w:rFonts w:ascii="Arial"/>
                <w:b/>
                <w:sz w:val="16"/>
              </w:rPr>
              <w:t>100</w:t>
            </w:r>
            <w:r>
              <w:rPr>
                <w:rFonts w:ascii="Arial"/>
                <w:b/>
                <w:spacing w:val="6"/>
                <w:sz w:val="16"/>
              </w:rPr>
              <w:t> </w:t>
            </w:r>
            <w:r>
              <w:rPr>
                <w:rFonts w:ascii="Arial"/>
                <w:b/>
                <w:spacing w:val="-10"/>
                <w:sz w:val="16"/>
              </w:rPr>
              <w:t>%</w:t>
            </w:r>
          </w:p>
        </w:tc>
        <w:tc>
          <w:tcPr>
            <w:tcW w:w="1456" w:type="dxa"/>
            <w:tcBorders>
              <w:top w:val="single" w:sz="8" w:space="0" w:color="6C6C6C"/>
              <w:bottom w:val="double" w:sz="8" w:space="0" w:color="6C6C6C"/>
            </w:tcBorders>
          </w:tcPr>
          <w:p>
            <w:pPr>
              <w:pStyle w:val="TableParagraph"/>
              <w:tabs>
                <w:tab w:pos="590" w:val="left" w:leader="none"/>
              </w:tabs>
              <w:spacing w:line="167" w:lineRule="exact" w:before="12"/>
              <w:ind w:right="312"/>
              <w:jc w:val="right"/>
              <w:rPr>
                <w:rFonts w:ascii="Arial"/>
                <w:b/>
                <w:sz w:val="16"/>
              </w:rPr>
            </w:pPr>
            <w:r>
              <w:rPr>
                <w:rFonts w:ascii="Arial"/>
                <w:b/>
                <w:spacing w:val="-10"/>
                <w:sz w:val="16"/>
              </w:rPr>
              <w:t>$</w:t>
            </w:r>
            <w:r>
              <w:rPr>
                <w:rFonts w:ascii="Arial"/>
                <w:b/>
                <w:sz w:val="16"/>
              </w:rPr>
              <w:tab/>
            </w:r>
            <w:r>
              <w:rPr>
                <w:rFonts w:ascii="Arial"/>
                <w:b/>
                <w:spacing w:val="-2"/>
                <w:sz w:val="16"/>
              </w:rPr>
              <w:t>28,168</w:t>
            </w:r>
          </w:p>
        </w:tc>
        <w:tc>
          <w:tcPr>
            <w:tcW w:w="1065" w:type="dxa"/>
            <w:tcBorders>
              <w:top w:val="single" w:sz="8" w:space="0" w:color="6C6C6C"/>
              <w:bottom w:val="double" w:sz="8" w:space="0" w:color="6C6C6C"/>
            </w:tcBorders>
          </w:tcPr>
          <w:p>
            <w:pPr>
              <w:pStyle w:val="TableParagraph"/>
              <w:spacing w:line="167" w:lineRule="exact" w:before="12"/>
              <w:ind w:right="64"/>
              <w:jc w:val="right"/>
              <w:rPr>
                <w:rFonts w:ascii="Arial"/>
                <w:b/>
                <w:sz w:val="16"/>
              </w:rPr>
            </w:pPr>
            <w:r>
              <w:rPr>
                <w:rFonts w:ascii="Arial"/>
                <w:b/>
                <w:sz w:val="16"/>
              </w:rPr>
              <w:t>100</w:t>
            </w:r>
            <w:r>
              <w:rPr>
                <w:rFonts w:ascii="Arial"/>
                <w:b/>
                <w:spacing w:val="6"/>
                <w:sz w:val="16"/>
              </w:rPr>
              <w:t> </w:t>
            </w:r>
            <w:r>
              <w:rPr>
                <w:rFonts w:ascii="Arial"/>
                <w:b/>
                <w:spacing w:val="-10"/>
                <w:sz w:val="16"/>
              </w:rPr>
              <w:t>%</w:t>
            </w:r>
          </w:p>
        </w:tc>
        <w:tc>
          <w:tcPr>
            <w:tcW w:w="1212" w:type="dxa"/>
            <w:gridSpan w:val="2"/>
            <w:tcBorders>
              <w:top w:val="single" w:sz="8" w:space="0" w:color="6C6C6C"/>
              <w:bottom w:val="double" w:sz="8" w:space="0" w:color="6C6C6C"/>
            </w:tcBorders>
          </w:tcPr>
          <w:p>
            <w:pPr>
              <w:pStyle w:val="TableParagraph"/>
              <w:tabs>
                <w:tab w:pos="687" w:val="left" w:leader="none"/>
              </w:tabs>
              <w:spacing w:line="167" w:lineRule="exact" w:before="12"/>
              <w:ind w:left="61"/>
              <w:rPr>
                <w:rFonts w:ascii="Arial"/>
                <w:b/>
                <w:sz w:val="16"/>
              </w:rPr>
            </w:pPr>
            <w:r>
              <w:rPr>
                <w:rFonts w:ascii="Arial"/>
                <w:b/>
                <w:spacing w:val="-10"/>
                <w:sz w:val="16"/>
              </w:rPr>
              <w:t>$</w:t>
            </w:r>
            <w:r>
              <w:rPr>
                <w:rFonts w:ascii="Arial"/>
                <w:b/>
                <w:sz w:val="16"/>
              </w:rPr>
              <w:tab/>
            </w:r>
            <w:r>
              <w:rPr>
                <w:rFonts w:ascii="Arial"/>
                <w:b/>
                <w:spacing w:val="-2"/>
                <w:sz w:val="16"/>
              </w:rPr>
              <w:t>(2,664)</w:t>
            </w:r>
          </w:p>
        </w:tc>
      </w:tr>
    </w:tbl>
    <w:p>
      <w:pPr>
        <w:pStyle w:val="BodyText"/>
        <w:spacing w:before="4"/>
        <w:rPr>
          <w:rFonts w:ascii="Arial"/>
          <w:i/>
          <w:sz w:val="16"/>
        </w:rPr>
      </w:pPr>
      <w:r>
        <w:rPr>
          <w:rFonts w:ascii="Arial"/>
          <w:i/>
          <w:sz w:val="16"/>
        </w:rPr>
        <mc:AlternateContent>
          <mc:Choice Requires="wps">
            <w:drawing>
              <wp:anchor distT="0" distB="0" distL="0" distR="0" allowOverlap="1" layoutInCell="1" locked="0" behindDoc="1" simplePos="0" relativeHeight="487626240">
                <wp:simplePos x="0" y="0"/>
                <wp:positionH relativeFrom="page">
                  <wp:posOffset>914400</wp:posOffset>
                </wp:positionH>
                <wp:positionV relativeFrom="paragraph">
                  <wp:posOffset>134983</wp:posOffset>
                </wp:positionV>
                <wp:extent cx="594360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628653pt;width:468pt;height:.1pt;mso-position-horizontal-relative:page;mso-position-vertical-relative:paragraph;z-index:-15690240;mso-wrap-distance-left:0;mso-wrap-distance-right:0" id="docshape182" coordorigin="1440,213" coordsize="9360,0" path="m1440,213l10800,213e" filled="false" stroked="true" strokeweight="1pt" strokecolor="#6c6c6c">
                <v:path arrowok="t"/>
                <v:stroke dashstyle="solid"/>
                <w10:wrap type="topAndBottom"/>
              </v:shape>
            </w:pict>
          </mc:Fallback>
        </mc:AlternateContent>
      </w:r>
    </w:p>
    <w:p>
      <w:pPr>
        <w:pStyle w:val="BodyText"/>
        <w:spacing w:before="170"/>
        <w:rPr>
          <w:rFonts w:ascii="Arial"/>
          <w:i/>
          <w:sz w:val="16"/>
        </w:rPr>
      </w:pPr>
    </w:p>
    <w:p>
      <w:pPr>
        <w:pStyle w:val="Heading1"/>
        <w:jc w:val="left"/>
      </w:pPr>
      <w:bookmarkStart w:name="Lending Categories" w:id="40"/>
      <w:bookmarkEnd w:id="40"/>
      <w:r>
        <w:rPr>
          <w:b w:val="0"/>
        </w:rPr>
      </w:r>
      <w:bookmarkStart w:name="_bookmark25" w:id="41"/>
      <w:bookmarkEnd w:id="41"/>
      <w:r>
        <w:rPr>
          <w:b w:val="0"/>
        </w:rPr>
      </w:r>
      <w:r>
        <w:rPr/>
        <w:t>Lending</w:t>
      </w:r>
      <w:r>
        <w:rPr>
          <w:spacing w:val="-1"/>
        </w:rPr>
        <w:t> </w:t>
      </w:r>
      <w:r>
        <w:rPr>
          <w:spacing w:val="-2"/>
        </w:rPr>
        <w:t>Categories</w:t>
      </w:r>
    </w:p>
    <w:p>
      <w:pPr>
        <w:pStyle w:val="BodyText"/>
        <w:spacing w:line="249" w:lineRule="auto" w:before="135"/>
        <w:ind w:left="720" w:right="719"/>
        <w:jc w:val="both"/>
      </w:pPr>
      <w:r>
        <w:rPr/>
        <w:t>IBRD’s lending is classified in three categories: investment project financing, development policy financing, and program-for-results (Figure 11).</w:t>
      </w:r>
    </w:p>
    <w:p>
      <w:pPr>
        <w:pStyle w:val="Heading4"/>
        <w:spacing w:before="113"/>
      </w:pPr>
      <w:r>
        <w:rPr/>
        <w:t>Investment</w:t>
      </w:r>
      <w:r>
        <w:rPr>
          <w:spacing w:val="-3"/>
        </w:rPr>
        <w:t> </w:t>
      </w:r>
      <w:r>
        <w:rPr/>
        <w:t>Project</w:t>
      </w:r>
      <w:r>
        <w:rPr>
          <w:spacing w:val="-3"/>
        </w:rPr>
        <w:t> </w:t>
      </w:r>
      <w:r>
        <w:rPr/>
        <w:t>Financing</w:t>
      </w:r>
      <w:r>
        <w:rPr>
          <w:spacing w:val="-3"/>
        </w:rPr>
        <w:t> </w:t>
      </w:r>
      <w:r>
        <w:rPr>
          <w:spacing w:val="-4"/>
        </w:rPr>
        <w:t>(IPF)</w:t>
      </w:r>
    </w:p>
    <w:p>
      <w:pPr>
        <w:pStyle w:val="BodyText"/>
        <w:spacing w:line="249" w:lineRule="auto" w:before="139"/>
        <w:ind w:left="720" w:right="717"/>
        <w:jc w:val="both"/>
      </w:pPr>
      <w:r>
        <w:rPr/>
        <w:t>IPF provides financing for a wide range of activities aimed at creating the physical and social infrastructure necessary to reduce poverty and create sustainable development. IPF is usually disbursed over the long-term (roughly a 5 to 10-year horizon). FY23 net commitments under this lending category were $17.4 billion, compared with $14.1 billion in FY22.</w:t>
      </w:r>
    </w:p>
    <w:p>
      <w:pPr>
        <w:pStyle w:val="Heading4"/>
        <w:spacing w:before="115"/>
      </w:pPr>
      <w:r>
        <w:rPr/>
        <w:t>Development</w:t>
      </w:r>
      <w:r>
        <w:rPr>
          <w:spacing w:val="-3"/>
        </w:rPr>
        <w:t> </w:t>
      </w:r>
      <w:r>
        <w:rPr/>
        <w:t>Policy</w:t>
      </w:r>
      <w:r>
        <w:rPr>
          <w:spacing w:val="-3"/>
        </w:rPr>
        <w:t> </w:t>
      </w:r>
      <w:r>
        <w:rPr/>
        <w:t>Financing</w:t>
      </w:r>
      <w:r>
        <w:rPr>
          <w:spacing w:val="-2"/>
        </w:rPr>
        <w:t> </w:t>
      </w:r>
      <w:r>
        <w:rPr>
          <w:spacing w:val="-4"/>
        </w:rPr>
        <w:t>(DPF)</w:t>
      </w:r>
    </w:p>
    <w:p>
      <w:pPr>
        <w:pStyle w:val="BodyText"/>
        <w:spacing w:line="249" w:lineRule="auto" w:before="140"/>
        <w:ind w:left="720" w:right="718"/>
        <w:jc w:val="both"/>
      </w:pPr>
      <w:r>
        <w:rPr/>
        <w:t>DPF aims to support borrowers in achieving sustainable development through a program of policy and institutional actions.</w:t>
      </w:r>
      <w:r>
        <w:rPr>
          <w:spacing w:val="40"/>
        </w:rPr>
        <w:t> </w:t>
      </w:r>
      <w:r>
        <w:rPr/>
        <w:t>Examples of DPF projects include strengthening public financial management, improving the investment climate, addressing bottlenecks to improve service delivery, and diversifying the economy. DPF supports reforms through non-earmarked general budget financing. DPF provides fast-disbursing financing (roughly 1 to 3 years) to help borrowers address actual or anticipated financing requirements. FY23 net commitments under this lending category were $14.0 billion, compared with $13.2 billion in FY22.</w:t>
      </w:r>
    </w:p>
    <w:p>
      <w:pPr>
        <w:pStyle w:val="Heading4"/>
        <w:spacing w:before="116"/>
      </w:pPr>
      <w:r>
        <w:rPr/>
        <w:t>Program-for-Results</w:t>
      </w:r>
      <w:r>
        <w:rPr>
          <w:spacing w:val="-5"/>
        </w:rPr>
        <w:t> </w:t>
      </w:r>
      <w:r>
        <w:rPr>
          <w:spacing w:val="-2"/>
        </w:rPr>
        <w:t>(PforR)</w:t>
      </w:r>
    </w:p>
    <w:p>
      <w:pPr>
        <w:pStyle w:val="BodyText"/>
        <w:spacing w:line="249" w:lineRule="auto" w:before="96"/>
        <w:ind w:left="720" w:right="718"/>
        <w:jc w:val="both"/>
      </w:pPr>
      <w:r>
        <w:rPr/>
        <w:t>PforR helps countries improve the design and implementation of their development programs and achieve specific results by strengthening institutions and building capacity. PforR disburses when agreed results are achieved and verified. Results are identified and agreed upon during the loan preparation stage.</w:t>
      </w:r>
    </w:p>
    <w:p>
      <w:pPr>
        <w:pStyle w:val="BodyText"/>
        <w:spacing w:before="122"/>
        <w:ind w:left="720"/>
        <w:jc w:val="both"/>
      </w:pPr>
      <w:r>
        <w:rPr/>
        <w:t>FY23</w:t>
      </w:r>
      <w:r>
        <w:rPr>
          <w:spacing w:val="-3"/>
        </w:rPr>
        <w:t> </w:t>
      </w:r>
      <w:r>
        <w:rPr/>
        <w:t>net</w:t>
      </w:r>
      <w:r>
        <w:rPr>
          <w:spacing w:val="-4"/>
        </w:rPr>
        <w:t> </w:t>
      </w:r>
      <w:r>
        <w:rPr/>
        <w:t>commitments</w:t>
      </w:r>
      <w:r>
        <w:rPr>
          <w:spacing w:val="-3"/>
        </w:rPr>
        <w:t> </w:t>
      </w:r>
      <w:r>
        <w:rPr/>
        <w:t>under</w:t>
      </w:r>
      <w:r>
        <w:rPr>
          <w:spacing w:val="-3"/>
        </w:rPr>
        <w:t> </w:t>
      </w:r>
      <w:r>
        <w:rPr/>
        <w:t>this</w:t>
      </w:r>
      <w:r>
        <w:rPr>
          <w:spacing w:val="-3"/>
        </w:rPr>
        <w:t> </w:t>
      </w:r>
      <w:r>
        <w:rPr/>
        <w:t>lending</w:t>
      </w:r>
      <w:r>
        <w:rPr>
          <w:spacing w:val="-3"/>
        </w:rPr>
        <w:t> </w:t>
      </w:r>
      <w:r>
        <w:rPr/>
        <w:t>category</w:t>
      </w:r>
      <w:r>
        <w:rPr>
          <w:spacing w:val="-3"/>
        </w:rPr>
        <w:t> </w:t>
      </w:r>
      <w:r>
        <w:rPr/>
        <w:t>were</w:t>
      </w:r>
      <w:r>
        <w:rPr>
          <w:spacing w:val="-3"/>
        </w:rPr>
        <w:t> </w:t>
      </w:r>
      <w:r>
        <w:rPr/>
        <w:t>$7.2</w:t>
      </w:r>
      <w:r>
        <w:rPr>
          <w:spacing w:val="-3"/>
        </w:rPr>
        <w:t> </w:t>
      </w:r>
      <w:r>
        <w:rPr/>
        <w:t>billion</w:t>
      </w:r>
      <w:r>
        <w:rPr>
          <w:spacing w:val="-2"/>
        </w:rPr>
        <w:t> </w:t>
      </w:r>
      <w:r>
        <w:rPr/>
        <w:t>compared</w:t>
      </w:r>
      <w:r>
        <w:rPr>
          <w:spacing w:val="-3"/>
        </w:rPr>
        <w:t> </w:t>
      </w:r>
      <w:r>
        <w:rPr/>
        <w:t>with</w:t>
      </w:r>
      <w:r>
        <w:rPr>
          <w:spacing w:val="-3"/>
        </w:rPr>
        <w:t> </w:t>
      </w:r>
      <w:r>
        <w:rPr/>
        <w:t>$5.8</w:t>
      </w:r>
      <w:r>
        <w:rPr>
          <w:spacing w:val="-2"/>
        </w:rPr>
        <w:t> </w:t>
      </w:r>
      <w:r>
        <w:rPr/>
        <w:t>billion</w:t>
      </w:r>
      <w:r>
        <w:rPr>
          <w:spacing w:val="-3"/>
        </w:rPr>
        <w:t> </w:t>
      </w:r>
      <w:r>
        <w:rPr/>
        <w:t>in</w:t>
      </w:r>
      <w:r>
        <w:rPr>
          <w:spacing w:val="-2"/>
        </w:rPr>
        <w:t> FY22.</w:t>
      </w:r>
    </w:p>
    <w:p>
      <w:pPr>
        <w:spacing w:before="140"/>
        <w:ind w:left="720" w:right="0" w:firstLine="0"/>
        <w:jc w:val="left"/>
        <w:rPr>
          <w:rFonts w:ascii="Arial"/>
          <w:b/>
          <w:sz w:val="18"/>
        </w:rPr>
      </w:pPr>
      <w:bookmarkStart w:name="_bookmark26" w:id="42"/>
      <w:bookmarkEnd w:id="42"/>
      <w:r>
        <w:rPr/>
      </w:r>
      <w:r>
        <w:rPr>
          <w:rFonts w:ascii="Arial"/>
          <w:b/>
          <w:sz w:val="18"/>
        </w:rPr>
        <w:t>Figure</w:t>
      </w:r>
      <w:r>
        <w:rPr>
          <w:rFonts w:ascii="Arial"/>
          <w:b/>
          <w:spacing w:val="-4"/>
          <w:sz w:val="18"/>
        </w:rPr>
        <w:t> </w:t>
      </w:r>
      <w:r>
        <w:rPr>
          <w:rFonts w:ascii="Arial"/>
          <w:b/>
          <w:sz w:val="18"/>
        </w:rPr>
        <w:t>11:</w:t>
      </w:r>
      <w:r>
        <w:rPr>
          <w:rFonts w:ascii="Arial"/>
          <w:b/>
          <w:spacing w:val="-2"/>
          <w:sz w:val="18"/>
        </w:rPr>
        <w:t> </w:t>
      </w:r>
      <w:r>
        <w:rPr>
          <w:rFonts w:ascii="Arial"/>
          <w:b/>
          <w:sz w:val="18"/>
        </w:rPr>
        <w:t>Percentage</w:t>
      </w:r>
      <w:r>
        <w:rPr>
          <w:rFonts w:ascii="Arial"/>
          <w:b/>
          <w:spacing w:val="-2"/>
          <w:sz w:val="18"/>
        </w:rPr>
        <w:t> </w:t>
      </w:r>
      <w:r>
        <w:rPr>
          <w:rFonts w:ascii="Arial"/>
          <w:b/>
          <w:sz w:val="18"/>
        </w:rPr>
        <w:t>Share</w:t>
      </w:r>
      <w:r>
        <w:rPr>
          <w:rFonts w:ascii="Arial"/>
          <w:b/>
          <w:spacing w:val="-2"/>
          <w:sz w:val="18"/>
        </w:rPr>
        <w:t> </w:t>
      </w:r>
      <w:r>
        <w:rPr>
          <w:rFonts w:ascii="Arial"/>
          <w:b/>
          <w:sz w:val="18"/>
        </w:rPr>
        <w:t>of</w:t>
      </w:r>
      <w:r>
        <w:rPr>
          <w:rFonts w:ascii="Arial"/>
          <w:b/>
          <w:spacing w:val="-2"/>
          <w:sz w:val="18"/>
        </w:rPr>
        <w:t> </w:t>
      </w:r>
      <w:r>
        <w:rPr>
          <w:rFonts w:ascii="Arial"/>
          <w:b/>
          <w:sz w:val="18"/>
        </w:rPr>
        <w:t>Lending</w:t>
      </w:r>
      <w:r>
        <w:rPr>
          <w:rFonts w:ascii="Arial"/>
          <w:b/>
          <w:spacing w:val="-2"/>
          <w:sz w:val="18"/>
        </w:rPr>
        <w:t> </w:t>
      </w:r>
      <w:r>
        <w:rPr>
          <w:rFonts w:ascii="Arial"/>
          <w:b/>
          <w:sz w:val="18"/>
        </w:rPr>
        <w:t>Categories</w:t>
      </w:r>
      <w:r>
        <w:rPr>
          <w:rFonts w:ascii="Arial"/>
          <w:b/>
          <w:spacing w:val="-2"/>
          <w:sz w:val="18"/>
        </w:rPr>
        <w:t> </w:t>
      </w:r>
      <w:r>
        <w:rPr>
          <w:rFonts w:ascii="Arial"/>
          <w:b/>
          <w:sz w:val="18"/>
        </w:rPr>
        <w:t>for</w:t>
      </w:r>
      <w:r>
        <w:rPr>
          <w:rFonts w:ascii="Arial"/>
          <w:b/>
          <w:spacing w:val="-2"/>
          <w:sz w:val="18"/>
        </w:rPr>
        <w:t> </w:t>
      </w:r>
      <w:r>
        <w:rPr>
          <w:rFonts w:ascii="Arial"/>
          <w:b/>
          <w:sz w:val="18"/>
        </w:rPr>
        <w:t>Annual</w:t>
      </w:r>
      <w:r>
        <w:rPr>
          <w:rFonts w:ascii="Arial"/>
          <w:b/>
          <w:spacing w:val="-2"/>
          <w:sz w:val="18"/>
        </w:rPr>
        <w:t> </w:t>
      </w:r>
      <w:r>
        <w:rPr>
          <w:rFonts w:ascii="Arial"/>
          <w:b/>
          <w:sz w:val="18"/>
        </w:rPr>
        <w:t>Net</w:t>
      </w:r>
      <w:r>
        <w:rPr>
          <w:rFonts w:ascii="Arial"/>
          <w:b/>
          <w:spacing w:val="-2"/>
          <w:sz w:val="18"/>
        </w:rPr>
        <w:t> Commitments</w:t>
      </w:r>
    </w:p>
    <w:p>
      <w:pPr>
        <w:tabs>
          <w:tab w:pos="1887" w:val="left" w:leader="none"/>
          <w:tab w:pos="2877" w:val="left" w:leader="none"/>
          <w:tab w:pos="3890" w:val="left" w:leader="none"/>
          <w:tab w:pos="4872" w:val="left" w:leader="none"/>
          <w:tab w:pos="5877" w:val="left" w:leader="none"/>
        </w:tabs>
        <w:spacing w:before="73"/>
        <w:ind w:left="772" w:right="0" w:firstLine="0"/>
        <w:jc w:val="both"/>
        <w:rPr>
          <w:rFonts w:ascii="Arial MT"/>
          <w:sz w:val="16"/>
        </w:rPr>
      </w:pPr>
      <w:r>
        <w:rPr>
          <w:rFonts w:ascii="Arial MT"/>
          <w:spacing w:val="-2"/>
          <w:sz w:val="16"/>
        </w:rPr>
        <w:t>Percent</w:t>
      </w:r>
      <w:r>
        <w:rPr>
          <w:rFonts w:ascii="Arial MT"/>
          <w:sz w:val="16"/>
        </w:rPr>
        <w:tab/>
      </w:r>
      <w:r>
        <w:rPr>
          <w:rFonts w:ascii="Arial MT"/>
          <w:spacing w:val="-5"/>
          <w:sz w:val="16"/>
        </w:rPr>
        <w:t>$23</w:t>
      </w:r>
      <w:r>
        <w:rPr>
          <w:rFonts w:ascii="Arial MT"/>
          <w:sz w:val="16"/>
        </w:rPr>
        <w:tab/>
      </w:r>
      <w:r>
        <w:rPr>
          <w:rFonts w:ascii="Arial MT"/>
          <w:spacing w:val="-5"/>
          <w:sz w:val="16"/>
        </w:rPr>
        <w:t>$28</w:t>
      </w:r>
      <w:r>
        <w:rPr>
          <w:rFonts w:ascii="Arial MT"/>
          <w:sz w:val="16"/>
        </w:rPr>
        <w:tab/>
      </w:r>
      <w:r>
        <w:rPr>
          <w:rFonts w:ascii="Arial MT"/>
          <w:spacing w:val="-5"/>
          <w:sz w:val="16"/>
        </w:rPr>
        <w:t>$31</w:t>
      </w:r>
      <w:r>
        <w:rPr>
          <w:rFonts w:ascii="Arial MT"/>
          <w:sz w:val="16"/>
        </w:rPr>
        <w:tab/>
      </w:r>
      <w:r>
        <w:rPr>
          <w:rFonts w:ascii="Arial MT"/>
          <w:spacing w:val="-5"/>
          <w:sz w:val="16"/>
        </w:rPr>
        <w:t>$33</w:t>
      </w:r>
      <w:r>
        <w:rPr>
          <w:rFonts w:ascii="Arial MT"/>
          <w:sz w:val="16"/>
        </w:rPr>
        <w:tab/>
        <w:t>$39</w:t>
      </w:r>
      <w:r>
        <w:rPr>
          <w:rFonts w:ascii="Arial MT"/>
          <w:spacing w:val="76"/>
          <w:w w:val="150"/>
          <w:sz w:val="16"/>
        </w:rPr>
        <w:t>   </w:t>
      </w:r>
      <w:r>
        <w:rPr>
          <w:rFonts w:ascii="Arial MT"/>
          <w:spacing w:val="-2"/>
          <w:sz w:val="16"/>
        </w:rPr>
        <w:t>billions</w:t>
      </w:r>
    </w:p>
    <w:p>
      <w:pPr>
        <w:spacing w:before="146"/>
        <w:ind w:left="917"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67552">
                <wp:simplePos x="0" y="0"/>
                <wp:positionH relativeFrom="page">
                  <wp:posOffset>1362075</wp:posOffset>
                </wp:positionH>
                <wp:positionV relativeFrom="paragraph">
                  <wp:posOffset>120942</wp:posOffset>
                </wp:positionV>
                <wp:extent cx="3219450" cy="142875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3219450" cy="1428750"/>
                          <a:chExt cx="3219450" cy="1428750"/>
                        </a:xfrm>
                      </wpg:grpSpPr>
                      <wps:wsp>
                        <wps:cNvPr id="234" name="Graphic 234"/>
                        <wps:cNvSpPr/>
                        <wps:spPr>
                          <a:xfrm>
                            <a:off x="0" y="4762"/>
                            <a:ext cx="3219450" cy="1424305"/>
                          </a:xfrm>
                          <a:custGeom>
                            <a:avLst/>
                            <a:gdLst/>
                            <a:ahLst/>
                            <a:cxnLst/>
                            <a:rect l="l" t="t" r="r" b="b"/>
                            <a:pathLst>
                              <a:path w="3219450" h="1424305">
                                <a:moveTo>
                                  <a:pt x="366712" y="1366837"/>
                                </a:moveTo>
                                <a:lnTo>
                                  <a:pt x="366712" y="1423987"/>
                                </a:lnTo>
                              </a:path>
                              <a:path w="3219450" h="1424305">
                                <a:moveTo>
                                  <a:pt x="1004887" y="1366837"/>
                                </a:moveTo>
                                <a:lnTo>
                                  <a:pt x="1004887" y="1423987"/>
                                </a:lnTo>
                              </a:path>
                              <a:path w="3219450" h="1424305">
                                <a:moveTo>
                                  <a:pt x="1633537" y="1366837"/>
                                </a:moveTo>
                                <a:lnTo>
                                  <a:pt x="1633537" y="1423987"/>
                                </a:lnTo>
                              </a:path>
                              <a:path w="3219450" h="1424305">
                                <a:moveTo>
                                  <a:pt x="2262187" y="1366837"/>
                                </a:moveTo>
                                <a:lnTo>
                                  <a:pt x="2262187" y="1423987"/>
                                </a:lnTo>
                              </a:path>
                              <a:path w="3219450" h="1424305">
                                <a:moveTo>
                                  <a:pt x="2900362" y="1366837"/>
                                </a:moveTo>
                                <a:lnTo>
                                  <a:pt x="2900362" y="1423987"/>
                                </a:lnTo>
                              </a:path>
                              <a:path w="3219450" h="1424305">
                                <a:moveTo>
                                  <a:pt x="57150" y="1371600"/>
                                </a:moveTo>
                                <a:lnTo>
                                  <a:pt x="3219450" y="1371600"/>
                                </a:lnTo>
                              </a:path>
                              <a:path w="3219450" h="1424305">
                                <a:moveTo>
                                  <a:pt x="57150" y="1371600"/>
                                </a:moveTo>
                                <a:lnTo>
                                  <a:pt x="0" y="1371600"/>
                                </a:lnTo>
                              </a:path>
                              <a:path w="3219450" h="1424305">
                                <a:moveTo>
                                  <a:pt x="57150" y="1095375"/>
                                </a:moveTo>
                                <a:lnTo>
                                  <a:pt x="0" y="1095375"/>
                                </a:lnTo>
                              </a:path>
                              <a:path w="3219450" h="1424305">
                                <a:moveTo>
                                  <a:pt x="57150" y="828675"/>
                                </a:moveTo>
                                <a:lnTo>
                                  <a:pt x="0" y="828675"/>
                                </a:lnTo>
                              </a:path>
                              <a:path w="3219450" h="1424305">
                                <a:moveTo>
                                  <a:pt x="57150" y="552450"/>
                                </a:moveTo>
                                <a:lnTo>
                                  <a:pt x="0" y="552450"/>
                                </a:lnTo>
                              </a:path>
                              <a:path w="3219450" h="1424305">
                                <a:moveTo>
                                  <a:pt x="57150" y="285750"/>
                                </a:moveTo>
                                <a:lnTo>
                                  <a:pt x="0" y="285750"/>
                                </a:lnTo>
                              </a:path>
                              <a:path w="3219450" h="1424305">
                                <a:moveTo>
                                  <a:pt x="57150" y="0"/>
                                </a:moveTo>
                                <a:lnTo>
                                  <a:pt x="0" y="0"/>
                                </a:lnTo>
                              </a:path>
                              <a:path w="3219450" h="1424305">
                                <a:moveTo>
                                  <a:pt x="52387" y="4762"/>
                                </a:moveTo>
                                <a:lnTo>
                                  <a:pt x="52387" y="1366837"/>
                                </a:lnTo>
                              </a:path>
                            </a:pathLst>
                          </a:custGeom>
                          <a:ln w="9525">
                            <a:solidFill>
                              <a:srgbClr val="8A8A8A"/>
                            </a:solidFill>
                            <a:prstDash val="solid"/>
                          </a:ln>
                        </wps:spPr>
                        <wps:bodyPr wrap="square" lIns="0" tIns="0" rIns="0" bIns="0" rtlCol="0">
                          <a:prstTxWarp prst="textNoShape">
                            <a:avLst/>
                          </a:prstTxWarp>
                          <a:noAutofit/>
                        </wps:bodyPr>
                      </wps:wsp>
                      <wps:wsp>
                        <wps:cNvPr id="235" name="Graphic 235"/>
                        <wps:cNvSpPr/>
                        <wps:spPr>
                          <a:xfrm>
                            <a:off x="221589" y="647700"/>
                            <a:ext cx="2834640" cy="723900"/>
                          </a:xfrm>
                          <a:custGeom>
                            <a:avLst/>
                            <a:gdLst/>
                            <a:ahLst/>
                            <a:cxnLst/>
                            <a:rect l="l" t="t" r="r" b="b"/>
                            <a:pathLst>
                              <a:path w="2834640" h="723900">
                                <a:moveTo>
                                  <a:pt x="304800" y="57150"/>
                                </a:moveTo>
                                <a:lnTo>
                                  <a:pt x="0" y="57150"/>
                                </a:lnTo>
                                <a:lnTo>
                                  <a:pt x="0" y="723900"/>
                                </a:lnTo>
                                <a:lnTo>
                                  <a:pt x="304800" y="723900"/>
                                </a:lnTo>
                                <a:lnTo>
                                  <a:pt x="304800" y="57150"/>
                                </a:lnTo>
                                <a:close/>
                              </a:path>
                              <a:path w="2834640" h="723900">
                                <a:moveTo>
                                  <a:pt x="937260" y="0"/>
                                </a:moveTo>
                                <a:lnTo>
                                  <a:pt x="632460" y="0"/>
                                </a:lnTo>
                                <a:lnTo>
                                  <a:pt x="632460" y="723900"/>
                                </a:lnTo>
                                <a:lnTo>
                                  <a:pt x="937260" y="723900"/>
                                </a:lnTo>
                                <a:lnTo>
                                  <a:pt x="937260" y="0"/>
                                </a:lnTo>
                                <a:close/>
                              </a:path>
                              <a:path w="2834640" h="723900">
                                <a:moveTo>
                                  <a:pt x="1569720" y="76200"/>
                                </a:moveTo>
                                <a:lnTo>
                                  <a:pt x="1264920" y="76200"/>
                                </a:lnTo>
                                <a:lnTo>
                                  <a:pt x="1264920" y="723900"/>
                                </a:lnTo>
                                <a:lnTo>
                                  <a:pt x="1569720" y="723900"/>
                                </a:lnTo>
                                <a:lnTo>
                                  <a:pt x="1569720" y="76200"/>
                                </a:lnTo>
                                <a:close/>
                              </a:path>
                              <a:path w="2834640" h="723900">
                                <a:moveTo>
                                  <a:pt x="2202180" y="161925"/>
                                </a:moveTo>
                                <a:lnTo>
                                  <a:pt x="1897380" y="161925"/>
                                </a:lnTo>
                                <a:lnTo>
                                  <a:pt x="1897380" y="723900"/>
                                </a:lnTo>
                                <a:lnTo>
                                  <a:pt x="2202180" y="723900"/>
                                </a:lnTo>
                                <a:lnTo>
                                  <a:pt x="2202180" y="161925"/>
                                </a:lnTo>
                                <a:close/>
                              </a:path>
                              <a:path w="2834640" h="723900">
                                <a:moveTo>
                                  <a:pt x="2834640" y="123825"/>
                                </a:moveTo>
                                <a:lnTo>
                                  <a:pt x="2529840" y="123825"/>
                                </a:lnTo>
                                <a:lnTo>
                                  <a:pt x="2529840" y="723900"/>
                                </a:lnTo>
                                <a:lnTo>
                                  <a:pt x="2834640" y="723900"/>
                                </a:lnTo>
                                <a:lnTo>
                                  <a:pt x="2834640" y="123825"/>
                                </a:lnTo>
                                <a:close/>
                              </a:path>
                            </a:pathLst>
                          </a:custGeom>
                          <a:solidFill>
                            <a:srgbClr val="D9D9D9"/>
                          </a:solidFill>
                        </wps:spPr>
                        <wps:bodyPr wrap="square" lIns="0" tIns="0" rIns="0" bIns="0" rtlCol="0">
                          <a:prstTxWarp prst="textNoShape">
                            <a:avLst/>
                          </a:prstTxWarp>
                          <a:noAutofit/>
                        </wps:bodyPr>
                      </wps:wsp>
                      <wps:wsp>
                        <wps:cNvPr id="236" name="Graphic 236"/>
                        <wps:cNvSpPr/>
                        <wps:spPr>
                          <a:xfrm>
                            <a:off x="221589" y="152400"/>
                            <a:ext cx="2834640" cy="657225"/>
                          </a:xfrm>
                          <a:custGeom>
                            <a:avLst/>
                            <a:gdLst/>
                            <a:ahLst/>
                            <a:cxnLst/>
                            <a:rect l="l" t="t" r="r" b="b"/>
                            <a:pathLst>
                              <a:path w="2834640" h="657225">
                                <a:moveTo>
                                  <a:pt x="304800" y="19050"/>
                                </a:moveTo>
                                <a:lnTo>
                                  <a:pt x="0" y="19050"/>
                                </a:lnTo>
                                <a:lnTo>
                                  <a:pt x="0" y="552450"/>
                                </a:lnTo>
                                <a:lnTo>
                                  <a:pt x="304800" y="552450"/>
                                </a:lnTo>
                                <a:lnTo>
                                  <a:pt x="304800" y="19050"/>
                                </a:lnTo>
                                <a:close/>
                              </a:path>
                              <a:path w="2834640" h="657225">
                                <a:moveTo>
                                  <a:pt x="937260" y="0"/>
                                </a:moveTo>
                                <a:lnTo>
                                  <a:pt x="632460" y="0"/>
                                </a:lnTo>
                                <a:lnTo>
                                  <a:pt x="632460" y="495300"/>
                                </a:lnTo>
                                <a:lnTo>
                                  <a:pt x="937260" y="495300"/>
                                </a:lnTo>
                                <a:lnTo>
                                  <a:pt x="937260" y="0"/>
                                </a:lnTo>
                                <a:close/>
                              </a:path>
                              <a:path w="2834640" h="657225">
                                <a:moveTo>
                                  <a:pt x="1569720" y="95250"/>
                                </a:moveTo>
                                <a:lnTo>
                                  <a:pt x="1264920" y="95250"/>
                                </a:lnTo>
                                <a:lnTo>
                                  <a:pt x="1264920" y="571500"/>
                                </a:lnTo>
                                <a:lnTo>
                                  <a:pt x="1569720" y="571500"/>
                                </a:lnTo>
                                <a:lnTo>
                                  <a:pt x="1569720" y="95250"/>
                                </a:lnTo>
                                <a:close/>
                              </a:path>
                              <a:path w="2834640" h="657225">
                                <a:moveTo>
                                  <a:pt x="2202180" y="114300"/>
                                </a:moveTo>
                                <a:lnTo>
                                  <a:pt x="1897380" y="114300"/>
                                </a:lnTo>
                                <a:lnTo>
                                  <a:pt x="1897380" y="657225"/>
                                </a:lnTo>
                                <a:lnTo>
                                  <a:pt x="2202180" y="657225"/>
                                </a:lnTo>
                                <a:lnTo>
                                  <a:pt x="2202180" y="114300"/>
                                </a:lnTo>
                                <a:close/>
                              </a:path>
                              <a:path w="2834640" h="657225">
                                <a:moveTo>
                                  <a:pt x="2834640" y="123825"/>
                                </a:moveTo>
                                <a:lnTo>
                                  <a:pt x="2529840" y="123825"/>
                                </a:lnTo>
                                <a:lnTo>
                                  <a:pt x="2529840" y="619125"/>
                                </a:lnTo>
                                <a:lnTo>
                                  <a:pt x="2834640" y="619125"/>
                                </a:lnTo>
                                <a:lnTo>
                                  <a:pt x="2834640" y="123825"/>
                                </a:lnTo>
                                <a:close/>
                              </a:path>
                            </a:pathLst>
                          </a:custGeom>
                          <a:solidFill>
                            <a:srgbClr val="959595"/>
                          </a:solidFill>
                        </wps:spPr>
                        <wps:bodyPr wrap="square" lIns="0" tIns="0" rIns="0" bIns="0" rtlCol="0">
                          <a:prstTxWarp prst="textNoShape">
                            <a:avLst/>
                          </a:prstTxWarp>
                          <a:noAutofit/>
                        </wps:bodyPr>
                      </wps:wsp>
                      <wps:wsp>
                        <wps:cNvPr id="237" name="Graphic 237"/>
                        <wps:cNvSpPr/>
                        <wps:spPr>
                          <a:xfrm>
                            <a:off x="221589" y="9525"/>
                            <a:ext cx="2834640" cy="266700"/>
                          </a:xfrm>
                          <a:custGeom>
                            <a:avLst/>
                            <a:gdLst/>
                            <a:ahLst/>
                            <a:cxnLst/>
                            <a:rect l="l" t="t" r="r" b="b"/>
                            <a:pathLst>
                              <a:path w="2834640" h="266700">
                                <a:moveTo>
                                  <a:pt x="304800" y="0"/>
                                </a:moveTo>
                                <a:lnTo>
                                  <a:pt x="0" y="0"/>
                                </a:lnTo>
                                <a:lnTo>
                                  <a:pt x="0" y="161925"/>
                                </a:lnTo>
                                <a:lnTo>
                                  <a:pt x="304800" y="161925"/>
                                </a:lnTo>
                                <a:lnTo>
                                  <a:pt x="304800" y="0"/>
                                </a:lnTo>
                                <a:close/>
                              </a:path>
                              <a:path w="2834640" h="266700">
                                <a:moveTo>
                                  <a:pt x="937260" y="0"/>
                                </a:moveTo>
                                <a:lnTo>
                                  <a:pt x="632460" y="0"/>
                                </a:lnTo>
                                <a:lnTo>
                                  <a:pt x="632460" y="142875"/>
                                </a:lnTo>
                                <a:lnTo>
                                  <a:pt x="937260" y="142875"/>
                                </a:lnTo>
                                <a:lnTo>
                                  <a:pt x="937260" y="0"/>
                                </a:lnTo>
                                <a:close/>
                              </a:path>
                              <a:path w="2834640" h="266700">
                                <a:moveTo>
                                  <a:pt x="1569720" y="0"/>
                                </a:moveTo>
                                <a:lnTo>
                                  <a:pt x="1264920" y="0"/>
                                </a:lnTo>
                                <a:lnTo>
                                  <a:pt x="1264920" y="238125"/>
                                </a:lnTo>
                                <a:lnTo>
                                  <a:pt x="1569720" y="238125"/>
                                </a:lnTo>
                                <a:lnTo>
                                  <a:pt x="1569720" y="0"/>
                                </a:lnTo>
                                <a:close/>
                              </a:path>
                              <a:path w="2834640" h="266700">
                                <a:moveTo>
                                  <a:pt x="2202180" y="0"/>
                                </a:moveTo>
                                <a:lnTo>
                                  <a:pt x="1897380" y="0"/>
                                </a:lnTo>
                                <a:lnTo>
                                  <a:pt x="1897380" y="257175"/>
                                </a:lnTo>
                                <a:lnTo>
                                  <a:pt x="2202180" y="257175"/>
                                </a:lnTo>
                                <a:lnTo>
                                  <a:pt x="2202180" y="0"/>
                                </a:lnTo>
                                <a:close/>
                              </a:path>
                              <a:path w="2834640" h="266700">
                                <a:moveTo>
                                  <a:pt x="2834640" y="0"/>
                                </a:moveTo>
                                <a:lnTo>
                                  <a:pt x="2529840" y="0"/>
                                </a:lnTo>
                                <a:lnTo>
                                  <a:pt x="2529840" y="266700"/>
                                </a:lnTo>
                                <a:lnTo>
                                  <a:pt x="2834640" y="266700"/>
                                </a:lnTo>
                                <a:lnTo>
                                  <a:pt x="2834640" y="0"/>
                                </a:lnTo>
                                <a:close/>
                              </a:path>
                            </a:pathLst>
                          </a:custGeom>
                          <a:solidFill>
                            <a:srgbClr val="585858"/>
                          </a:solidFill>
                        </wps:spPr>
                        <wps:bodyPr wrap="square" lIns="0" tIns="0" rIns="0" bIns="0" rtlCol="0">
                          <a:prstTxWarp prst="textNoShape">
                            <a:avLst/>
                          </a:prstTxWarp>
                          <a:noAutofit/>
                        </wps:bodyPr>
                      </wps:wsp>
                      <wps:wsp>
                        <wps:cNvPr id="238" name="Textbox 238"/>
                        <wps:cNvSpPr txBox="1"/>
                        <wps:spPr>
                          <a:xfrm>
                            <a:off x="323850" y="50839"/>
                            <a:ext cx="111760"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11</w:t>
                              </w:r>
                            </w:p>
                          </w:txbxContent>
                        </wps:txbx>
                        <wps:bodyPr wrap="square" lIns="0" tIns="0" rIns="0" bIns="0" rtlCol="0">
                          <a:noAutofit/>
                        </wps:bodyPr>
                      </wps:wsp>
                      <wps:wsp>
                        <wps:cNvPr id="239" name="Textbox 239"/>
                        <wps:cNvSpPr txBox="1"/>
                        <wps:spPr>
                          <a:xfrm>
                            <a:off x="952500" y="41314"/>
                            <a:ext cx="111760"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10</w:t>
                              </w:r>
                            </w:p>
                          </w:txbxContent>
                        </wps:txbx>
                        <wps:bodyPr wrap="square" lIns="0" tIns="0" rIns="0" bIns="0" rtlCol="0">
                          <a:noAutofit/>
                        </wps:bodyPr>
                      </wps:wsp>
                      <wps:wsp>
                        <wps:cNvPr id="240" name="Textbox 240"/>
                        <wps:cNvSpPr txBox="1"/>
                        <wps:spPr>
                          <a:xfrm>
                            <a:off x="1581150" y="88939"/>
                            <a:ext cx="111760"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17</w:t>
                              </w:r>
                            </w:p>
                          </w:txbxContent>
                        </wps:txbx>
                        <wps:bodyPr wrap="square" lIns="0" tIns="0" rIns="0" bIns="0" rtlCol="0">
                          <a:noAutofit/>
                        </wps:bodyPr>
                      </wps:wsp>
                      <wps:wsp>
                        <wps:cNvPr id="241" name="Textbox 241"/>
                        <wps:cNvSpPr txBox="1"/>
                        <wps:spPr>
                          <a:xfrm>
                            <a:off x="2209800" y="98464"/>
                            <a:ext cx="111760"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18</w:t>
                              </w:r>
                            </w:p>
                          </w:txbxContent>
                        </wps:txbx>
                        <wps:bodyPr wrap="square" lIns="0" tIns="0" rIns="0" bIns="0" rtlCol="0">
                          <a:noAutofit/>
                        </wps:bodyPr>
                      </wps:wsp>
                      <wps:wsp>
                        <wps:cNvPr id="242" name="Textbox 242"/>
                        <wps:cNvSpPr txBox="1"/>
                        <wps:spPr>
                          <a:xfrm>
                            <a:off x="2847975" y="107989"/>
                            <a:ext cx="111760"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19</w:t>
                              </w:r>
                            </w:p>
                          </w:txbxContent>
                        </wps:txbx>
                        <wps:bodyPr wrap="square" lIns="0" tIns="0" rIns="0" bIns="0" rtlCol="0">
                          <a:noAutofit/>
                        </wps:bodyPr>
                      </wps:wsp>
                      <wps:wsp>
                        <wps:cNvPr id="243" name="Textbox 243"/>
                        <wps:cNvSpPr txBox="1"/>
                        <wps:spPr>
                          <a:xfrm>
                            <a:off x="314325" y="40326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39</w:t>
                              </w:r>
                            </w:p>
                          </w:txbxContent>
                        </wps:txbx>
                        <wps:bodyPr wrap="square" lIns="0" tIns="0" rIns="0" bIns="0" rtlCol="0">
                          <a:noAutofit/>
                        </wps:bodyPr>
                      </wps:wsp>
                      <wps:wsp>
                        <wps:cNvPr id="244" name="Textbox 244"/>
                        <wps:cNvSpPr txBox="1"/>
                        <wps:spPr>
                          <a:xfrm>
                            <a:off x="952500" y="36516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36</w:t>
                              </w:r>
                            </w:p>
                          </w:txbxContent>
                        </wps:txbx>
                        <wps:bodyPr wrap="square" lIns="0" tIns="0" rIns="0" bIns="0" rtlCol="0">
                          <a:noAutofit/>
                        </wps:bodyPr>
                      </wps:wsp>
                      <wps:wsp>
                        <wps:cNvPr id="245" name="Textbox 245"/>
                        <wps:cNvSpPr txBox="1"/>
                        <wps:spPr>
                          <a:xfrm>
                            <a:off x="1581150" y="450889"/>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35</w:t>
                              </w:r>
                            </w:p>
                          </w:txbxContent>
                        </wps:txbx>
                        <wps:bodyPr wrap="square" lIns="0" tIns="0" rIns="0" bIns="0" rtlCol="0">
                          <a:noAutofit/>
                        </wps:bodyPr>
                      </wps:wsp>
                      <wps:wsp>
                        <wps:cNvPr id="246" name="Textbox 246"/>
                        <wps:cNvSpPr txBox="1"/>
                        <wps:spPr>
                          <a:xfrm>
                            <a:off x="2209800" y="49851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40</w:t>
                              </w:r>
                            </w:p>
                          </w:txbxContent>
                        </wps:txbx>
                        <wps:bodyPr wrap="square" lIns="0" tIns="0" rIns="0" bIns="0" rtlCol="0">
                          <a:noAutofit/>
                        </wps:bodyPr>
                      </wps:wsp>
                      <wps:wsp>
                        <wps:cNvPr id="247" name="Textbox 247"/>
                        <wps:cNvSpPr txBox="1"/>
                        <wps:spPr>
                          <a:xfrm>
                            <a:off x="2847975" y="488989"/>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36</w:t>
                              </w:r>
                            </w:p>
                          </w:txbxContent>
                        </wps:txbx>
                        <wps:bodyPr wrap="square" lIns="0" tIns="0" rIns="0" bIns="0" rtlCol="0">
                          <a:noAutofit/>
                        </wps:bodyPr>
                      </wps:wsp>
                      <wps:wsp>
                        <wps:cNvPr id="248" name="Textbox 248"/>
                        <wps:cNvSpPr txBox="1"/>
                        <wps:spPr>
                          <a:xfrm>
                            <a:off x="314325" y="1003339"/>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50</w:t>
                              </w:r>
                            </w:p>
                          </w:txbxContent>
                        </wps:txbx>
                        <wps:bodyPr wrap="square" lIns="0" tIns="0" rIns="0" bIns="0" rtlCol="0">
                          <a:noAutofit/>
                        </wps:bodyPr>
                      </wps:wsp>
                      <wps:wsp>
                        <wps:cNvPr id="249" name="Textbox 249"/>
                        <wps:cNvSpPr txBox="1"/>
                        <wps:spPr>
                          <a:xfrm>
                            <a:off x="952500" y="97476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54</w:t>
                              </w:r>
                            </w:p>
                          </w:txbxContent>
                        </wps:txbx>
                        <wps:bodyPr wrap="square" lIns="0" tIns="0" rIns="0" bIns="0" rtlCol="0">
                          <a:noAutofit/>
                        </wps:bodyPr>
                      </wps:wsp>
                      <wps:wsp>
                        <wps:cNvPr id="250" name="Textbox 250"/>
                        <wps:cNvSpPr txBox="1"/>
                        <wps:spPr>
                          <a:xfrm>
                            <a:off x="1581150" y="101286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48</w:t>
                              </w:r>
                            </w:p>
                          </w:txbxContent>
                        </wps:txbx>
                        <wps:bodyPr wrap="square" lIns="0" tIns="0" rIns="0" bIns="0" rtlCol="0">
                          <a:noAutofit/>
                        </wps:bodyPr>
                      </wps:wsp>
                      <wps:wsp>
                        <wps:cNvPr id="251" name="Textbox 251"/>
                        <wps:cNvSpPr txBox="1"/>
                        <wps:spPr>
                          <a:xfrm>
                            <a:off x="2209800" y="105096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42</w:t>
                              </w:r>
                            </w:p>
                          </w:txbxContent>
                        </wps:txbx>
                        <wps:bodyPr wrap="square" lIns="0" tIns="0" rIns="0" bIns="0" rtlCol="0">
                          <a:noAutofit/>
                        </wps:bodyPr>
                      </wps:wsp>
                      <wps:wsp>
                        <wps:cNvPr id="252" name="Textbox 252"/>
                        <wps:cNvSpPr txBox="1"/>
                        <wps:spPr>
                          <a:xfrm>
                            <a:off x="2847975" y="1031914"/>
                            <a:ext cx="111760" cy="99695"/>
                          </a:xfrm>
                          <a:prstGeom prst="rect">
                            <a:avLst/>
                          </a:prstGeom>
                        </wps:spPr>
                        <wps:txbx>
                          <w:txbxContent>
                            <w:p>
                              <w:pPr>
                                <w:spacing w:line="156" w:lineRule="exact" w:before="0"/>
                                <w:ind w:left="0" w:right="0" w:firstLine="0"/>
                                <w:jc w:val="left"/>
                                <w:rPr>
                                  <w:rFonts w:ascii="Arial MT"/>
                                  <w:sz w:val="14"/>
                                </w:rPr>
                              </w:pPr>
                              <w:r>
                                <w:rPr>
                                  <w:rFonts w:ascii="Arial MT"/>
                                  <w:spacing w:val="-5"/>
                                  <w:sz w:val="14"/>
                                </w:rPr>
                                <w:t>45</w:t>
                              </w:r>
                            </w:p>
                          </w:txbxContent>
                        </wps:txbx>
                        <wps:bodyPr wrap="square" lIns="0" tIns="0" rIns="0" bIns="0" rtlCol="0">
                          <a:noAutofit/>
                        </wps:bodyPr>
                      </wps:wsp>
                    </wpg:wgp>
                  </a:graphicData>
                </a:graphic>
              </wp:anchor>
            </w:drawing>
          </mc:Choice>
          <mc:Fallback>
            <w:pict>
              <v:group style="position:absolute;margin-left:107.25pt;margin-top:9.523026pt;width:253.5pt;height:112.5pt;mso-position-horizontal-relative:page;mso-position-vertical-relative:paragraph;z-index:15767552" id="docshapegroup183" coordorigin="2145,190" coordsize="5070,2250">
                <v:shape style="position:absolute;left:2145;top:197;width:5070;height:2243" id="docshape184" coordorigin="2145,198" coordsize="5070,2243" path="m2723,2350l2723,2440m3728,2350l3728,2440m4718,2350l4718,2440m5708,2350l5708,2440m6713,2350l6713,2440m2235,2358l7215,2358m2235,2358l2145,2358m2235,1923l2145,1923m2235,1503l2145,1503m2235,1068l2145,1068m2235,648l2145,648m2235,198l2145,198m2228,205l2228,2350e" filled="false" stroked="true" strokeweight=".75pt" strokecolor="#8a8a8a">
                  <v:path arrowok="t"/>
                  <v:stroke dashstyle="solid"/>
                </v:shape>
                <v:shape style="position:absolute;left:2493;top:1210;width:4464;height:1140" id="docshape185" coordorigin="2494,1210" coordsize="4464,1140" path="m2974,1300l2494,1300,2494,2350,2974,2350,2974,1300xm3970,1210l3490,1210,3490,2350,3970,2350,3970,1210xm4966,1330l4486,1330,4486,2350,4966,2350,4966,1330xm5962,1465l5482,1465,5482,2350,5962,2350,5962,1465xm6958,1405l6478,1405,6478,2350,6958,2350,6958,1405xe" filled="true" fillcolor="#d9d9d9" stroked="false">
                  <v:path arrowok="t"/>
                  <v:fill type="solid"/>
                </v:shape>
                <v:shape style="position:absolute;left:2493;top:430;width:4464;height:1035" id="docshape186" coordorigin="2494,430" coordsize="4464,1035" path="m2974,460l2494,460,2494,1300,2974,1300,2974,460xm3970,430l3490,430,3490,1210,3970,1210,3970,430xm4966,580l4486,580,4486,1330,4966,1330,4966,580xm5962,610l5482,610,5482,1465,5962,1465,5962,610xm6958,625l6478,625,6478,1405,6958,1405,6958,625xe" filled="true" fillcolor="#959595" stroked="false">
                  <v:path arrowok="t"/>
                  <v:fill type="solid"/>
                </v:shape>
                <v:shape style="position:absolute;left:2493;top:205;width:4464;height:420" id="docshape187" coordorigin="2494,205" coordsize="4464,420" path="m2974,205l2494,205,2494,460,2974,460,2974,205xm3970,205l3490,205,3490,430,3970,430,3970,205xm4966,205l4486,205,4486,580,4966,580,4966,205xm5962,205l5482,205,5482,610,5962,610,5962,205xm6958,205l6478,205,6478,625,6958,625,6958,205xe" filled="true" fillcolor="#585858" stroked="false">
                  <v:path arrowok="t"/>
                  <v:fill type="solid"/>
                </v:shape>
                <v:shape style="position:absolute;left:2655;top:270;width:176;height:157" type="#_x0000_t202" id="docshape188"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11</w:t>
                        </w:r>
                      </w:p>
                    </w:txbxContent>
                  </v:textbox>
                  <w10:wrap type="none"/>
                </v:shape>
                <v:shape style="position:absolute;left:3645;top:255;width:176;height:157" type="#_x0000_t202" id="docshape189"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10</w:t>
                        </w:r>
                      </w:p>
                    </w:txbxContent>
                  </v:textbox>
                  <w10:wrap type="none"/>
                </v:shape>
                <v:shape style="position:absolute;left:4635;top:330;width:176;height:157" type="#_x0000_t202" id="docshape190"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17</w:t>
                        </w:r>
                      </w:p>
                    </w:txbxContent>
                  </v:textbox>
                  <w10:wrap type="none"/>
                </v:shape>
                <v:shape style="position:absolute;left:5625;top:345;width:176;height:157" type="#_x0000_t202" id="docshape191"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18</w:t>
                        </w:r>
                      </w:p>
                    </w:txbxContent>
                  </v:textbox>
                  <w10:wrap type="none"/>
                </v:shape>
                <v:shape style="position:absolute;left:6630;top:360;width:176;height:157" type="#_x0000_t202" id="docshape192"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19</w:t>
                        </w:r>
                      </w:p>
                    </w:txbxContent>
                  </v:textbox>
                  <w10:wrap type="none"/>
                </v:shape>
                <v:shape style="position:absolute;left:2640;top:825;width:176;height:157" type="#_x0000_t202" id="docshape193" filled="false" stroked="false">
                  <v:textbox inset="0,0,0,0">
                    <w:txbxContent>
                      <w:p>
                        <w:pPr>
                          <w:spacing w:line="156" w:lineRule="exact" w:before="0"/>
                          <w:ind w:left="0" w:right="0" w:firstLine="0"/>
                          <w:jc w:val="left"/>
                          <w:rPr>
                            <w:rFonts w:ascii="Arial MT"/>
                            <w:sz w:val="14"/>
                          </w:rPr>
                        </w:pPr>
                        <w:r>
                          <w:rPr>
                            <w:rFonts w:ascii="Arial MT"/>
                            <w:spacing w:val="-5"/>
                            <w:sz w:val="14"/>
                          </w:rPr>
                          <w:t>39</w:t>
                        </w:r>
                      </w:p>
                    </w:txbxContent>
                  </v:textbox>
                  <w10:wrap type="none"/>
                </v:shape>
                <v:shape style="position:absolute;left:3645;top:765;width:176;height:157" type="#_x0000_t202" id="docshape194" filled="false" stroked="false">
                  <v:textbox inset="0,0,0,0">
                    <w:txbxContent>
                      <w:p>
                        <w:pPr>
                          <w:spacing w:line="156" w:lineRule="exact" w:before="0"/>
                          <w:ind w:left="0" w:right="0" w:firstLine="0"/>
                          <w:jc w:val="left"/>
                          <w:rPr>
                            <w:rFonts w:ascii="Arial MT"/>
                            <w:sz w:val="14"/>
                          </w:rPr>
                        </w:pPr>
                        <w:r>
                          <w:rPr>
                            <w:rFonts w:ascii="Arial MT"/>
                            <w:spacing w:val="-5"/>
                            <w:sz w:val="14"/>
                          </w:rPr>
                          <w:t>36</w:t>
                        </w:r>
                      </w:p>
                    </w:txbxContent>
                  </v:textbox>
                  <w10:wrap type="none"/>
                </v:shape>
                <v:shape style="position:absolute;left:4635;top:900;width:176;height:157" type="#_x0000_t202" id="docshape195" filled="false" stroked="false">
                  <v:textbox inset="0,0,0,0">
                    <w:txbxContent>
                      <w:p>
                        <w:pPr>
                          <w:spacing w:line="156" w:lineRule="exact" w:before="0"/>
                          <w:ind w:left="0" w:right="0" w:firstLine="0"/>
                          <w:jc w:val="left"/>
                          <w:rPr>
                            <w:rFonts w:ascii="Arial MT"/>
                            <w:sz w:val="14"/>
                          </w:rPr>
                        </w:pPr>
                        <w:r>
                          <w:rPr>
                            <w:rFonts w:ascii="Arial MT"/>
                            <w:spacing w:val="-5"/>
                            <w:sz w:val="14"/>
                          </w:rPr>
                          <w:t>35</w:t>
                        </w:r>
                      </w:p>
                    </w:txbxContent>
                  </v:textbox>
                  <w10:wrap type="none"/>
                </v:shape>
                <v:shape style="position:absolute;left:5625;top:975;width:176;height:157" type="#_x0000_t202" id="docshape196" filled="false" stroked="false">
                  <v:textbox inset="0,0,0,0">
                    <w:txbxContent>
                      <w:p>
                        <w:pPr>
                          <w:spacing w:line="156" w:lineRule="exact" w:before="0"/>
                          <w:ind w:left="0" w:right="0" w:firstLine="0"/>
                          <w:jc w:val="left"/>
                          <w:rPr>
                            <w:rFonts w:ascii="Arial MT"/>
                            <w:sz w:val="14"/>
                          </w:rPr>
                        </w:pPr>
                        <w:r>
                          <w:rPr>
                            <w:rFonts w:ascii="Arial MT"/>
                            <w:spacing w:val="-5"/>
                            <w:sz w:val="14"/>
                          </w:rPr>
                          <w:t>40</w:t>
                        </w:r>
                      </w:p>
                    </w:txbxContent>
                  </v:textbox>
                  <w10:wrap type="none"/>
                </v:shape>
                <v:shape style="position:absolute;left:6630;top:960;width:176;height:157" type="#_x0000_t202" id="docshape197" filled="false" stroked="false">
                  <v:textbox inset="0,0,0,0">
                    <w:txbxContent>
                      <w:p>
                        <w:pPr>
                          <w:spacing w:line="156" w:lineRule="exact" w:before="0"/>
                          <w:ind w:left="0" w:right="0" w:firstLine="0"/>
                          <w:jc w:val="left"/>
                          <w:rPr>
                            <w:rFonts w:ascii="Arial MT"/>
                            <w:sz w:val="14"/>
                          </w:rPr>
                        </w:pPr>
                        <w:r>
                          <w:rPr>
                            <w:rFonts w:ascii="Arial MT"/>
                            <w:spacing w:val="-5"/>
                            <w:sz w:val="14"/>
                          </w:rPr>
                          <w:t>36</w:t>
                        </w:r>
                      </w:p>
                    </w:txbxContent>
                  </v:textbox>
                  <w10:wrap type="none"/>
                </v:shape>
                <v:shape style="position:absolute;left:2640;top:1770;width:176;height:157" type="#_x0000_t202" id="docshape198" filled="false" stroked="false">
                  <v:textbox inset="0,0,0,0">
                    <w:txbxContent>
                      <w:p>
                        <w:pPr>
                          <w:spacing w:line="156" w:lineRule="exact" w:before="0"/>
                          <w:ind w:left="0" w:right="0" w:firstLine="0"/>
                          <w:jc w:val="left"/>
                          <w:rPr>
                            <w:rFonts w:ascii="Arial MT"/>
                            <w:sz w:val="14"/>
                          </w:rPr>
                        </w:pPr>
                        <w:r>
                          <w:rPr>
                            <w:rFonts w:ascii="Arial MT"/>
                            <w:spacing w:val="-5"/>
                            <w:sz w:val="14"/>
                          </w:rPr>
                          <w:t>50</w:t>
                        </w:r>
                      </w:p>
                    </w:txbxContent>
                  </v:textbox>
                  <w10:wrap type="none"/>
                </v:shape>
                <v:shape style="position:absolute;left:3645;top:1725;width:176;height:157" type="#_x0000_t202" id="docshape199" filled="false" stroked="false">
                  <v:textbox inset="0,0,0,0">
                    <w:txbxContent>
                      <w:p>
                        <w:pPr>
                          <w:spacing w:line="156" w:lineRule="exact" w:before="0"/>
                          <w:ind w:left="0" w:right="0" w:firstLine="0"/>
                          <w:jc w:val="left"/>
                          <w:rPr>
                            <w:rFonts w:ascii="Arial MT"/>
                            <w:sz w:val="14"/>
                          </w:rPr>
                        </w:pPr>
                        <w:r>
                          <w:rPr>
                            <w:rFonts w:ascii="Arial MT"/>
                            <w:spacing w:val="-5"/>
                            <w:sz w:val="14"/>
                          </w:rPr>
                          <w:t>54</w:t>
                        </w:r>
                      </w:p>
                    </w:txbxContent>
                  </v:textbox>
                  <w10:wrap type="none"/>
                </v:shape>
                <v:shape style="position:absolute;left:4635;top:1785;width:176;height:157" type="#_x0000_t202" id="docshape200" filled="false" stroked="false">
                  <v:textbox inset="0,0,0,0">
                    <w:txbxContent>
                      <w:p>
                        <w:pPr>
                          <w:spacing w:line="156" w:lineRule="exact" w:before="0"/>
                          <w:ind w:left="0" w:right="0" w:firstLine="0"/>
                          <w:jc w:val="left"/>
                          <w:rPr>
                            <w:rFonts w:ascii="Arial MT"/>
                            <w:sz w:val="14"/>
                          </w:rPr>
                        </w:pPr>
                        <w:r>
                          <w:rPr>
                            <w:rFonts w:ascii="Arial MT"/>
                            <w:spacing w:val="-5"/>
                            <w:sz w:val="14"/>
                          </w:rPr>
                          <w:t>48</w:t>
                        </w:r>
                      </w:p>
                    </w:txbxContent>
                  </v:textbox>
                  <w10:wrap type="none"/>
                </v:shape>
                <v:shape style="position:absolute;left:5625;top:1845;width:176;height:157" type="#_x0000_t202" id="docshape201" filled="false" stroked="false">
                  <v:textbox inset="0,0,0,0">
                    <w:txbxContent>
                      <w:p>
                        <w:pPr>
                          <w:spacing w:line="156" w:lineRule="exact" w:before="0"/>
                          <w:ind w:left="0" w:right="0" w:firstLine="0"/>
                          <w:jc w:val="left"/>
                          <w:rPr>
                            <w:rFonts w:ascii="Arial MT"/>
                            <w:sz w:val="14"/>
                          </w:rPr>
                        </w:pPr>
                        <w:r>
                          <w:rPr>
                            <w:rFonts w:ascii="Arial MT"/>
                            <w:spacing w:val="-5"/>
                            <w:sz w:val="14"/>
                          </w:rPr>
                          <w:t>42</w:t>
                        </w:r>
                      </w:p>
                    </w:txbxContent>
                  </v:textbox>
                  <w10:wrap type="none"/>
                </v:shape>
                <v:shape style="position:absolute;left:6630;top:1815;width:176;height:157" type="#_x0000_t202" id="docshape202" filled="false" stroked="false">
                  <v:textbox inset="0,0,0,0">
                    <w:txbxContent>
                      <w:p>
                        <w:pPr>
                          <w:spacing w:line="156" w:lineRule="exact" w:before="0"/>
                          <w:ind w:left="0" w:right="0" w:firstLine="0"/>
                          <w:jc w:val="left"/>
                          <w:rPr>
                            <w:rFonts w:ascii="Arial MT"/>
                            <w:sz w:val="14"/>
                          </w:rPr>
                        </w:pPr>
                        <w:r>
                          <w:rPr>
                            <w:rFonts w:ascii="Arial MT"/>
                            <w:spacing w:val="-5"/>
                            <w:sz w:val="14"/>
                          </w:rPr>
                          <w:t>45</w:t>
                        </w:r>
                      </w:p>
                    </w:txbxContent>
                  </v:textbox>
                  <w10:wrap type="none"/>
                </v:shape>
                <w10:wrap type="none"/>
              </v:group>
            </w:pict>
          </mc:Fallback>
        </mc:AlternateContent>
      </w:r>
      <w:r>
        <w:rPr>
          <w:rFonts w:ascii="Arial MT"/>
          <w:spacing w:val="-4"/>
          <w:sz w:val="14"/>
        </w:rPr>
        <w:t>100%</w:t>
      </w:r>
    </w:p>
    <w:p>
      <w:pPr>
        <w:pStyle w:val="BodyText"/>
        <w:spacing w:before="97"/>
        <w:rPr>
          <w:rFonts w:ascii="Arial MT"/>
          <w:sz w:val="14"/>
        </w:rPr>
      </w:pPr>
    </w:p>
    <w:p>
      <w:pPr>
        <w:spacing w:before="1"/>
        <w:ind w:left="995" w:right="0" w:firstLine="0"/>
        <w:jc w:val="left"/>
        <w:rPr>
          <w:rFonts w:ascii="Arial MT"/>
          <w:sz w:val="14"/>
        </w:rPr>
      </w:pPr>
      <w:r>
        <w:rPr>
          <w:rFonts w:ascii="Arial MT"/>
          <w:spacing w:val="-5"/>
          <w:sz w:val="14"/>
        </w:rPr>
        <w:t>80%</w:t>
      </w:r>
    </w:p>
    <w:p>
      <w:pPr>
        <w:pStyle w:val="BodyText"/>
        <w:spacing w:before="113"/>
        <w:rPr>
          <w:rFonts w:ascii="Arial MT"/>
          <w:sz w:val="14"/>
        </w:rPr>
      </w:pPr>
    </w:p>
    <w:p>
      <w:pPr>
        <w:spacing w:before="0"/>
        <w:ind w:left="995" w:right="0" w:firstLine="0"/>
        <w:jc w:val="left"/>
        <w:rPr>
          <w:rFonts w:ascii="Arial MT"/>
          <w:sz w:val="14"/>
        </w:rPr>
      </w:pPr>
      <w:r>
        <w:rPr>
          <w:rFonts w:ascii="Arial MT"/>
          <w:spacing w:val="-5"/>
          <w:sz w:val="14"/>
        </w:rPr>
        <w:t>60%</w:t>
      </w:r>
    </w:p>
    <w:p>
      <w:pPr>
        <w:pStyle w:val="BodyText"/>
        <w:spacing w:before="98"/>
        <w:rPr>
          <w:rFonts w:ascii="Arial MT"/>
          <w:sz w:val="14"/>
        </w:rPr>
      </w:pPr>
    </w:p>
    <w:p>
      <w:pPr>
        <w:spacing w:before="0"/>
        <w:ind w:left="995" w:right="0" w:firstLine="0"/>
        <w:jc w:val="left"/>
        <w:rPr>
          <w:rFonts w:ascii="Arial MT"/>
          <w:sz w:val="14"/>
        </w:rPr>
      </w:pPr>
      <w:r>
        <w:rPr>
          <w:rFonts w:ascii="Arial MT"/>
          <w:spacing w:val="-5"/>
          <w:sz w:val="14"/>
        </w:rPr>
        <w:t>40%</w:t>
      </w:r>
    </w:p>
    <w:p>
      <w:pPr>
        <w:pStyle w:val="BodyText"/>
        <w:spacing w:before="113"/>
        <w:rPr>
          <w:rFonts w:ascii="Arial MT"/>
          <w:sz w:val="14"/>
        </w:rPr>
      </w:pPr>
    </w:p>
    <w:p>
      <w:pPr>
        <w:spacing w:before="0"/>
        <w:ind w:left="995" w:right="0" w:firstLine="0"/>
        <w:jc w:val="left"/>
        <w:rPr>
          <w:rFonts w:ascii="Arial MT"/>
          <w:sz w:val="14"/>
        </w:rPr>
      </w:pPr>
      <w:r>
        <w:rPr>
          <w:rFonts w:ascii="Arial MT"/>
          <w:spacing w:val="-5"/>
          <w:sz w:val="14"/>
        </w:rPr>
        <w:t>20%</w:t>
      </w:r>
    </w:p>
    <w:p>
      <w:pPr>
        <w:pStyle w:val="BodyText"/>
        <w:spacing w:before="113"/>
        <w:rPr>
          <w:rFonts w:ascii="Arial MT"/>
          <w:sz w:val="14"/>
        </w:rPr>
      </w:pPr>
    </w:p>
    <w:p>
      <w:pPr>
        <w:spacing w:before="0"/>
        <w:ind w:left="1072" w:right="0" w:firstLine="0"/>
        <w:jc w:val="left"/>
        <w:rPr>
          <w:rFonts w:ascii="Arial MT"/>
          <w:sz w:val="14"/>
        </w:rPr>
      </w:pPr>
      <w:r>
        <w:rPr>
          <w:rFonts w:ascii="Arial MT"/>
          <w:spacing w:val="-5"/>
          <w:sz w:val="14"/>
        </w:rPr>
        <w:t>0%</w:t>
      </w:r>
    </w:p>
    <w:p>
      <w:pPr>
        <w:tabs>
          <w:tab w:pos="2825" w:val="left" w:leader="none"/>
          <w:tab w:pos="3830" w:val="left" w:leader="none"/>
          <w:tab w:pos="4820" w:val="left" w:leader="none"/>
          <w:tab w:pos="5810" w:val="left" w:leader="none"/>
        </w:tabs>
        <w:spacing w:before="34"/>
        <w:ind w:left="1835" w:right="0" w:firstLine="0"/>
        <w:jc w:val="left"/>
        <w:rPr>
          <w:rFonts w:ascii="Arial MT"/>
          <w:sz w:val="14"/>
        </w:rPr>
      </w:pPr>
      <w:r>
        <w:rPr>
          <w:rFonts w:ascii="Arial MT"/>
          <w:spacing w:val="-4"/>
          <w:sz w:val="14"/>
        </w:rPr>
        <w:t>FY19</w:t>
      </w:r>
      <w:r>
        <w:rPr>
          <w:rFonts w:ascii="Arial MT"/>
          <w:sz w:val="14"/>
        </w:rPr>
        <w:tab/>
      </w:r>
      <w:r>
        <w:rPr>
          <w:rFonts w:ascii="Arial MT"/>
          <w:spacing w:val="-4"/>
          <w:sz w:val="14"/>
        </w:rPr>
        <w:t>FY20</w:t>
      </w:r>
      <w:r>
        <w:rPr>
          <w:rFonts w:ascii="Arial MT"/>
          <w:sz w:val="14"/>
        </w:rPr>
        <w:tab/>
      </w:r>
      <w:r>
        <w:rPr>
          <w:rFonts w:ascii="Arial MT"/>
          <w:spacing w:val="-4"/>
          <w:sz w:val="14"/>
        </w:rPr>
        <w:t>FY21</w:t>
      </w:r>
      <w:r>
        <w:rPr>
          <w:rFonts w:ascii="Arial MT"/>
          <w:sz w:val="14"/>
        </w:rPr>
        <w:tab/>
      </w:r>
      <w:r>
        <w:rPr>
          <w:rFonts w:ascii="Arial MT"/>
          <w:spacing w:val="-4"/>
          <w:sz w:val="14"/>
        </w:rPr>
        <w:t>FY22</w:t>
      </w:r>
      <w:r>
        <w:rPr>
          <w:rFonts w:ascii="Arial MT"/>
          <w:sz w:val="14"/>
        </w:rPr>
        <w:tab/>
      </w:r>
      <w:r>
        <w:rPr>
          <w:rFonts w:ascii="Arial MT"/>
          <w:spacing w:val="-4"/>
          <w:sz w:val="14"/>
        </w:rPr>
        <w:t>FY23</w:t>
      </w:r>
    </w:p>
    <w:p>
      <w:pPr>
        <w:tabs>
          <w:tab w:pos="2954" w:val="left" w:leader="none"/>
          <w:tab w:pos="4784" w:val="left" w:leader="none"/>
        </w:tabs>
        <w:spacing w:before="137"/>
        <w:ind w:left="1440" w:right="0" w:firstLine="0"/>
        <w:jc w:val="left"/>
        <w:rPr>
          <w:rFonts w:ascii="Arial MT"/>
          <w:position w:val="2"/>
          <w:sz w:val="14"/>
        </w:rPr>
      </w:pPr>
      <w:r>
        <w:rPr>
          <w:rFonts w:ascii="Arial MT"/>
          <w:position w:val="2"/>
          <w:sz w:val="14"/>
        </w:rPr>
        <mc:AlternateContent>
          <mc:Choice Requires="wps">
            <w:drawing>
              <wp:anchor distT="0" distB="0" distL="0" distR="0" allowOverlap="1" layoutInCell="1" locked="0" behindDoc="0" simplePos="0" relativeHeight="15768064">
                <wp:simplePos x="0" y="0"/>
                <wp:positionH relativeFrom="page">
                  <wp:posOffset>1219200</wp:posOffset>
                </wp:positionH>
                <wp:positionV relativeFrom="paragraph">
                  <wp:posOffset>97551</wp:posOffset>
                </wp:positionV>
                <wp:extent cx="85725" cy="8572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85725" cy="85725"/>
                        </a:xfrm>
                        <a:custGeom>
                          <a:avLst/>
                          <a:gdLst/>
                          <a:ahLst/>
                          <a:cxnLst/>
                          <a:rect l="l" t="t" r="r" b="b"/>
                          <a:pathLst>
                            <a:path w="85725" h="85725">
                              <a:moveTo>
                                <a:pt x="85725" y="0"/>
                              </a:moveTo>
                              <a:lnTo>
                                <a:pt x="0" y="0"/>
                              </a:lnTo>
                              <a:lnTo>
                                <a:pt x="0" y="85725"/>
                              </a:lnTo>
                              <a:lnTo>
                                <a:pt x="85725" y="85725"/>
                              </a:lnTo>
                              <a:lnTo>
                                <a:pt x="857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96pt;margin-top:7.68123pt;width:6.75pt;height:6.75pt;mso-position-horizontal-relative:page;mso-position-vertical-relative:paragraph;z-index:15768064" id="docshape203" filled="true" fillcolor="#d9d9d9" stroked="false">
                <v:fill type="solid"/>
                <w10:wrap type="none"/>
              </v:rect>
            </w:pict>
          </mc:Fallback>
        </mc:AlternateContent>
      </w:r>
      <w:r>
        <w:rPr>
          <w:rFonts w:ascii="Arial MT"/>
          <w:position w:val="2"/>
          <w:sz w:val="14"/>
        </w:rPr>
        <w:t>Investment</w:t>
      </w:r>
      <w:r>
        <w:rPr>
          <w:rFonts w:ascii="Arial MT"/>
          <w:spacing w:val="-4"/>
          <w:position w:val="2"/>
          <w:sz w:val="14"/>
        </w:rPr>
        <w:t> </w:t>
      </w:r>
      <w:r>
        <w:rPr>
          <w:rFonts w:ascii="Arial MT"/>
          <w:spacing w:val="-2"/>
          <w:position w:val="2"/>
          <w:sz w:val="14"/>
        </w:rPr>
        <w:t>Project</w:t>
      </w:r>
      <w:r>
        <w:rPr>
          <w:rFonts w:ascii="Arial MT"/>
          <w:position w:val="2"/>
          <w:sz w:val="14"/>
        </w:rPr>
        <w:tab/>
      </w:r>
      <w:r>
        <w:rPr>
          <w:rFonts w:ascii="Arial MT"/>
          <w:sz w:val="14"/>
        </w:rPr>
        <w:drawing>
          <wp:inline distT="0" distB="0" distL="0" distR="0">
            <wp:extent cx="85725" cy="8572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33" cstate="print"/>
                    <a:stretch>
                      <a:fillRect/>
                    </a:stretch>
                  </pic:blipFill>
                  <pic:spPr>
                    <a:xfrm>
                      <a:off x="0" y="0"/>
                      <a:ext cx="85725" cy="85725"/>
                    </a:xfrm>
                    <a:prstGeom prst="rect">
                      <a:avLst/>
                    </a:prstGeom>
                  </pic:spPr>
                </pic:pic>
              </a:graphicData>
            </a:graphic>
          </wp:inline>
        </w:drawing>
      </w:r>
      <w:r>
        <w:rPr>
          <w:rFonts w:ascii="Arial MT"/>
          <w:sz w:val="14"/>
        </w:rPr>
      </w:r>
      <w:r>
        <w:rPr>
          <w:spacing w:val="40"/>
          <w:position w:val="2"/>
          <w:sz w:val="14"/>
        </w:rPr>
        <w:t> </w:t>
      </w:r>
      <w:r>
        <w:rPr>
          <w:rFonts w:ascii="Arial MT"/>
          <w:position w:val="2"/>
          <w:sz w:val="14"/>
        </w:rPr>
        <w:t>Development Policy</w:t>
        <w:tab/>
      </w:r>
      <w:r>
        <w:rPr>
          <w:rFonts w:ascii="Arial MT"/>
          <w:sz w:val="14"/>
        </w:rPr>
        <w:drawing>
          <wp:inline distT="0" distB="0" distL="0" distR="0">
            <wp:extent cx="85725" cy="8572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34" cstate="print"/>
                    <a:stretch>
                      <a:fillRect/>
                    </a:stretch>
                  </pic:blipFill>
                  <pic:spPr>
                    <a:xfrm>
                      <a:off x="0" y="0"/>
                      <a:ext cx="85725" cy="85725"/>
                    </a:xfrm>
                    <a:prstGeom prst="rect">
                      <a:avLst/>
                    </a:prstGeom>
                  </pic:spPr>
                </pic:pic>
              </a:graphicData>
            </a:graphic>
          </wp:inline>
        </w:drawing>
      </w:r>
      <w:r>
        <w:rPr>
          <w:rFonts w:ascii="Arial MT"/>
          <w:sz w:val="14"/>
        </w:rPr>
      </w:r>
      <w:r>
        <w:rPr>
          <w:spacing w:val="80"/>
          <w:position w:val="2"/>
          <w:sz w:val="14"/>
        </w:rPr>
        <w:t> </w:t>
      </w:r>
      <w:r>
        <w:rPr>
          <w:rFonts w:ascii="Arial MT"/>
          <w:spacing w:val="-2"/>
          <w:position w:val="2"/>
          <w:sz w:val="14"/>
        </w:rPr>
        <w:t>Program-for-Results</w:t>
      </w:r>
    </w:p>
    <w:p>
      <w:pPr>
        <w:spacing w:after="0"/>
        <w:jc w:val="left"/>
        <w:rPr>
          <w:rFonts w:ascii="Arial MT"/>
          <w:position w:val="2"/>
          <w:sz w:val="14"/>
        </w:rPr>
        <w:sectPr>
          <w:pgSz w:w="12240" w:h="15840"/>
          <w:pgMar w:header="744" w:footer="583" w:top="1020" w:bottom="780" w:left="720" w:right="720"/>
        </w:sectPr>
      </w:pPr>
    </w:p>
    <w:p>
      <w:pPr>
        <w:pStyle w:val="BodyText"/>
        <w:spacing w:before="79"/>
        <w:rPr>
          <w:rFonts w:ascii="Arial MT"/>
          <w:sz w:val="24"/>
        </w:rPr>
      </w:pPr>
    </w:p>
    <w:p>
      <w:pPr>
        <w:pStyle w:val="Heading1"/>
      </w:pPr>
      <w:bookmarkStart w:name="Currently Available Lending Products" w:id="43"/>
      <w:bookmarkEnd w:id="43"/>
      <w:r>
        <w:rPr>
          <w:b w:val="0"/>
        </w:rPr>
      </w:r>
      <w:bookmarkStart w:name="_bookmark27" w:id="44"/>
      <w:bookmarkEnd w:id="44"/>
      <w:r>
        <w:rPr>
          <w:b w:val="0"/>
        </w:rPr>
      </w:r>
      <w:r>
        <w:rPr/>
        <w:t>Currently</w:t>
      </w:r>
      <w:r>
        <w:rPr>
          <w:spacing w:val="-3"/>
        </w:rPr>
        <w:t> </w:t>
      </w:r>
      <w:r>
        <w:rPr/>
        <w:t>Available</w:t>
      </w:r>
      <w:r>
        <w:rPr>
          <w:spacing w:val="-3"/>
        </w:rPr>
        <w:t> </w:t>
      </w:r>
      <w:r>
        <w:rPr/>
        <w:t>Lending</w:t>
      </w:r>
      <w:r>
        <w:rPr>
          <w:spacing w:val="-3"/>
        </w:rPr>
        <w:t> </w:t>
      </w:r>
      <w:r>
        <w:rPr>
          <w:spacing w:val="-2"/>
        </w:rPr>
        <w:t>Products</w:t>
      </w:r>
    </w:p>
    <w:p>
      <w:pPr>
        <w:pStyle w:val="BodyText"/>
        <w:spacing w:line="208" w:lineRule="auto" w:before="159"/>
        <w:ind w:left="720" w:right="720"/>
        <w:jc w:val="both"/>
      </w:pPr>
      <w:r>
        <w:rPr/>
        <w:t>As of July 1, 2023, 84 member countries were eligible to borrow from IBRD. See Appendix for a list of eligible </w:t>
      </w:r>
      <w:r>
        <w:rPr>
          <w:spacing w:val="-2"/>
        </w:rPr>
        <w:t>countries.</w:t>
      </w:r>
    </w:p>
    <w:p>
      <w:pPr>
        <w:pStyle w:val="Heading4"/>
        <w:spacing w:before="87"/>
      </w:pPr>
      <w:r>
        <w:rPr/>
        <w:t>IBRD</w:t>
      </w:r>
      <w:r>
        <w:rPr>
          <w:spacing w:val="-3"/>
        </w:rPr>
        <w:t> </w:t>
      </w:r>
      <w:r>
        <w:rPr/>
        <w:t>Flexible</w:t>
      </w:r>
      <w:r>
        <w:rPr>
          <w:spacing w:val="-2"/>
        </w:rPr>
        <w:t> </w:t>
      </w:r>
      <w:r>
        <w:rPr/>
        <w:t>Loans</w:t>
      </w:r>
      <w:r>
        <w:rPr>
          <w:spacing w:val="-2"/>
        </w:rPr>
        <w:t> (IFLs)</w:t>
      </w:r>
    </w:p>
    <w:p>
      <w:pPr>
        <w:pStyle w:val="BodyText"/>
        <w:spacing w:line="249" w:lineRule="auto" w:before="139"/>
        <w:ind w:left="720" w:right="718"/>
        <w:jc w:val="both"/>
      </w:pPr>
      <w:r>
        <w:rPr/>
        <w:t>IFLs allow borrowers to customize their repayment terms (i.e., grace period, repayment period, and amortization profile) to meet their debt management or project needs. The IFL previously offered two types of loan terms: variable-spread terms and fixed-spread terms. Effective April 1, 2021, IBRD’s offering of loans on fixed spread terms as well as a related conversion feature from the variable spread terms to fixed spread terms was suspended</w:t>
      </w:r>
      <w:r>
        <w:rPr>
          <w:spacing w:val="40"/>
        </w:rPr>
        <w:t> </w:t>
      </w:r>
      <w:r>
        <w:rPr/>
        <w:t>(see section IX: Risk Management). As of June 30, 2023, 73% of IBRD’s loans outstanding carried variable-spread terms and 27% had fixed-spread terms. See Table 12 for details of loan terms for IFL loans.</w:t>
      </w:r>
    </w:p>
    <w:p>
      <w:pPr>
        <w:pStyle w:val="BodyText"/>
        <w:spacing w:line="249" w:lineRule="auto" w:before="125"/>
        <w:ind w:left="720" w:right="718"/>
        <w:jc w:val="both"/>
      </w:pPr>
      <w:r>
        <w:rPr/>
        <w:t>IFLs include options to manage the currency and/or interest rate risk over the life of the loan. The outstanding balance</w:t>
      </w:r>
      <w:r>
        <w:rPr>
          <w:spacing w:val="-1"/>
        </w:rPr>
        <w:t> </w:t>
      </w:r>
      <w:r>
        <w:rPr/>
        <w:t>of</w:t>
      </w:r>
      <w:r>
        <w:rPr>
          <w:spacing w:val="-1"/>
        </w:rPr>
        <w:t> </w:t>
      </w:r>
      <w:r>
        <w:rPr/>
        <w:t>loans</w:t>
      </w:r>
      <w:r>
        <w:rPr>
          <w:spacing w:val="-1"/>
        </w:rPr>
        <w:t> </w:t>
      </w:r>
      <w:r>
        <w:rPr/>
        <w:t>for</w:t>
      </w:r>
      <w:r>
        <w:rPr>
          <w:spacing w:val="-1"/>
        </w:rPr>
        <w:t> </w:t>
      </w:r>
      <w:r>
        <w:rPr/>
        <w:t>which</w:t>
      </w:r>
      <w:r>
        <w:rPr>
          <w:spacing w:val="-1"/>
        </w:rPr>
        <w:t> </w:t>
      </w:r>
      <w:r>
        <w:rPr/>
        <w:t>currency</w:t>
      </w:r>
      <w:r>
        <w:rPr>
          <w:spacing w:val="-1"/>
        </w:rPr>
        <w:t> </w:t>
      </w:r>
      <w:r>
        <w:rPr/>
        <w:t>or</w:t>
      </w:r>
      <w:r>
        <w:rPr>
          <w:spacing w:val="-1"/>
        </w:rPr>
        <w:t> </w:t>
      </w:r>
      <w:r>
        <w:rPr/>
        <w:t>interest</w:t>
      </w:r>
      <w:r>
        <w:rPr>
          <w:spacing w:val="-1"/>
        </w:rPr>
        <w:t> </w:t>
      </w:r>
      <w:r>
        <w:rPr/>
        <w:t>rate</w:t>
      </w:r>
      <w:r>
        <w:rPr>
          <w:spacing w:val="-1"/>
        </w:rPr>
        <w:t> </w:t>
      </w:r>
      <w:r>
        <w:rPr/>
        <w:t>conversions</w:t>
      </w:r>
      <w:r>
        <w:rPr>
          <w:spacing w:val="-1"/>
        </w:rPr>
        <w:t> </w:t>
      </w:r>
      <w:r>
        <w:rPr/>
        <w:t>have</w:t>
      </w:r>
      <w:r>
        <w:rPr>
          <w:spacing w:val="-1"/>
        </w:rPr>
        <w:t> </w:t>
      </w:r>
      <w:r>
        <w:rPr/>
        <w:t>been</w:t>
      </w:r>
      <w:r>
        <w:rPr>
          <w:spacing w:val="-1"/>
        </w:rPr>
        <w:t> </w:t>
      </w:r>
      <w:r>
        <w:rPr/>
        <w:t>exercised</w:t>
      </w:r>
      <w:r>
        <w:rPr>
          <w:spacing w:val="-1"/>
        </w:rPr>
        <w:t> </w:t>
      </w:r>
      <w:r>
        <w:rPr/>
        <w:t>was</w:t>
      </w:r>
      <w:r>
        <w:rPr>
          <w:spacing w:val="-1"/>
        </w:rPr>
        <w:t> </w:t>
      </w:r>
      <w:r>
        <w:rPr/>
        <w:t>$41.7</w:t>
      </w:r>
      <w:r>
        <w:rPr>
          <w:spacing w:val="-1"/>
        </w:rPr>
        <w:t> </w:t>
      </w:r>
      <w:r>
        <w:rPr/>
        <w:t>billion</w:t>
      </w:r>
      <w:r>
        <w:rPr>
          <w:spacing w:val="-1"/>
        </w:rPr>
        <w:t> </w:t>
      </w:r>
      <w:r>
        <w:rPr/>
        <w:t>as</w:t>
      </w:r>
      <w:r>
        <w:rPr>
          <w:spacing w:val="-1"/>
        </w:rPr>
        <w:t> </w:t>
      </w:r>
      <w:r>
        <w:rPr/>
        <w:t>of</w:t>
      </w:r>
      <w:r>
        <w:rPr>
          <w:spacing w:val="-1"/>
        </w:rPr>
        <w:t> </w:t>
      </w:r>
      <w:r>
        <w:rPr/>
        <w:t>June</w:t>
      </w:r>
      <w:r>
        <w:rPr>
          <w:spacing w:val="-1"/>
        </w:rPr>
        <w:t> </w:t>
      </w:r>
      <w:r>
        <w:rPr/>
        <w:t>30, 2023 and $41.6 billion as of June 30, 2022. IFLs may be denominated in the currency or currencies chosen by the borrower if IBRD can efficiently intermediate in that currency. Using currency conversions, some borrowing member countries have converted their IBRD loans into domestic currencies to reduce their foreign currency exposure for projects or programs that do not generate foreign currency revenue. These local currency loans may carry fixed or variable-spread terms. The balance of such loans outstanding was $3.4 billion as of June 30, 2023 and</w:t>
      </w:r>
    </w:p>
    <w:p>
      <w:pPr>
        <w:pStyle w:val="BodyText"/>
        <w:spacing w:line="249" w:lineRule="auto" w:before="6"/>
        <w:ind w:left="720" w:right="720"/>
        <w:jc w:val="both"/>
      </w:pPr>
      <w:r>
        <w:rPr/>
        <w:t>$3.7</w:t>
      </w:r>
      <w:r>
        <w:rPr>
          <w:spacing w:val="-1"/>
        </w:rPr>
        <w:t> </w:t>
      </w:r>
      <w:r>
        <w:rPr/>
        <w:t>billion</w:t>
      </w:r>
      <w:r>
        <w:rPr>
          <w:spacing w:val="-1"/>
        </w:rPr>
        <w:t> </w:t>
      </w:r>
      <w:r>
        <w:rPr/>
        <w:t>as</w:t>
      </w:r>
      <w:r>
        <w:rPr>
          <w:spacing w:val="-2"/>
        </w:rPr>
        <w:t> </w:t>
      </w:r>
      <w:r>
        <w:rPr/>
        <w:t>of</w:t>
      </w:r>
      <w:r>
        <w:rPr>
          <w:spacing w:val="-1"/>
        </w:rPr>
        <w:t> </w:t>
      </w:r>
      <w:r>
        <w:rPr/>
        <w:t>June</w:t>
      </w:r>
      <w:r>
        <w:rPr>
          <w:spacing w:val="-2"/>
        </w:rPr>
        <w:t> </w:t>
      </w:r>
      <w:r>
        <w:rPr/>
        <w:t>30,</w:t>
      </w:r>
      <w:r>
        <w:rPr>
          <w:spacing w:val="-1"/>
        </w:rPr>
        <w:t> </w:t>
      </w:r>
      <w:r>
        <w:rPr/>
        <w:t>2022,</w:t>
      </w:r>
      <w:r>
        <w:rPr>
          <w:spacing w:val="-1"/>
        </w:rPr>
        <w:t> </w:t>
      </w:r>
      <w:r>
        <w:rPr/>
        <w:t>respectively.</w:t>
      </w:r>
      <w:r>
        <w:rPr>
          <w:spacing w:val="-1"/>
        </w:rPr>
        <w:t> </w:t>
      </w:r>
      <w:r>
        <w:rPr/>
        <w:t>Box</w:t>
      </w:r>
      <w:r>
        <w:rPr>
          <w:spacing w:val="-1"/>
        </w:rPr>
        <w:t> </w:t>
      </w:r>
      <w:r>
        <w:rPr/>
        <w:t>2</w:t>
      </w:r>
      <w:r>
        <w:rPr>
          <w:spacing w:val="-1"/>
        </w:rPr>
        <w:t> </w:t>
      </w:r>
      <w:r>
        <w:rPr/>
        <w:t>below</w:t>
      </w:r>
      <w:r>
        <w:rPr>
          <w:spacing w:val="-2"/>
        </w:rPr>
        <w:t> </w:t>
      </w:r>
      <w:r>
        <w:rPr/>
        <w:t>shows</w:t>
      </w:r>
      <w:r>
        <w:rPr>
          <w:spacing w:val="-2"/>
        </w:rPr>
        <w:t> </w:t>
      </w:r>
      <w:r>
        <w:rPr/>
        <w:t>the</w:t>
      </w:r>
      <w:r>
        <w:rPr>
          <w:spacing w:val="-2"/>
        </w:rPr>
        <w:t> </w:t>
      </w:r>
      <w:r>
        <w:rPr/>
        <w:t>components</w:t>
      </w:r>
      <w:r>
        <w:rPr>
          <w:spacing w:val="-2"/>
        </w:rPr>
        <w:t> </w:t>
      </w:r>
      <w:r>
        <w:rPr/>
        <w:t>of</w:t>
      </w:r>
      <w:r>
        <w:rPr>
          <w:spacing w:val="-1"/>
        </w:rPr>
        <w:t> </w:t>
      </w:r>
      <w:r>
        <w:rPr/>
        <w:t>the</w:t>
      </w:r>
      <w:r>
        <w:rPr>
          <w:spacing w:val="-2"/>
        </w:rPr>
        <w:t> </w:t>
      </w:r>
      <w:r>
        <w:rPr/>
        <w:t>spread</w:t>
      </w:r>
      <w:r>
        <w:rPr>
          <w:spacing w:val="-1"/>
        </w:rPr>
        <w:t> </w:t>
      </w:r>
      <w:r>
        <w:rPr/>
        <w:t>on</w:t>
      </w:r>
      <w:r>
        <w:rPr>
          <w:spacing w:val="-1"/>
        </w:rPr>
        <w:t> </w:t>
      </w:r>
      <w:r>
        <w:rPr/>
        <w:t>IBRD’s</w:t>
      </w:r>
      <w:r>
        <w:rPr>
          <w:spacing w:val="-2"/>
        </w:rPr>
        <w:t> </w:t>
      </w:r>
      <w:r>
        <w:rPr/>
        <w:t>IFLs</w:t>
      </w:r>
      <w:r>
        <w:rPr>
          <w:spacing w:val="-2"/>
        </w:rPr>
        <w:t> </w:t>
      </w:r>
      <w:r>
        <w:rPr/>
        <w:t>and how these are determined.</w:t>
      </w:r>
    </w:p>
    <w:p>
      <w:pPr>
        <w:spacing w:before="132"/>
        <w:ind w:left="720" w:right="0" w:firstLine="0"/>
        <w:jc w:val="both"/>
        <w:rPr>
          <w:rFonts w:ascii="Arial"/>
          <w:b/>
          <w:sz w:val="18"/>
        </w:rPr>
      </w:pPr>
      <w:bookmarkStart w:name="_bookmark28" w:id="45"/>
      <w:bookmarkEnd w:id="45"/>
      <w:r>
        <w:rPr/>
      </w:r>
      <w:r>
        <w:rPr>
          <w:rFonts w:ascii="Arial"/>
          <w:b/>
          <w:sz w:val="18"/>
        </w:rPr>
        <w:t>Box</w:t>
      </w:r>
      <w:r>
        <w:rPr>
          <w:rFonts w:ascii="Arial"/>
          <w:b/>
          <w:spacing w:val="-2"/>
          <w:sz w:val="18"/>
        </w:rPr>
        <w:t> </w:t>
      </w:r>
      <w:r>
        <w:rPr>
          <w:rFonts w:ascii="Arial"/>
          <w:b/>
          <w:sz w:val="18"/>
        </w:rPr>
        <w:t>2:</w:t>
      </w:r>
      <w:r>
        <w:rPr>
          <w:rFonts w:ascii="Arial"/>
          <w:b/>
          <w:spacing w:val="-1"/>
          <w:sz w:val="18"/>
        </w:rPr>
        <w:t> </w:t>
      </w:r>
      <w:r>
        <w:rPr>
          <w:rFonts w:ascii="Arial"/>
          <w:b/>
          <w:sz w:val="18"/>
        </w:rPr>
        <w:t>Components</w:t>
      </w:r>
      <w:r>
        <w:rPr>
          <w:rFonts w:ascii="Arial"/>
          <w:b/>
          <w:spacing w:val="-1"/>
          <w:sz w:val="18"/>
        </w:rPr>
        <w:t> </w:t>
      </w:r>
      <w:r>
        <w:rPr>
          <w:rFonts w:ascii="Arial"/>
          <w:b/>
          <w:sz w:val="18"/>
        </w:rPr>
        <w:t>of</w:t>
      </w:r>
      <w:r>
        <w:rPr>
          <w:rFonts w:ascii="Arial"/>
          <w:b/>
          <w:spacing w:val="-1"/>
          <w:sz w:val="18"/>
        </w:rPr>
        <w:t> </w:t>
      </w:r>
      <w:r>
        <w:rPr>
          <w:rFonts w:ascii="Arial"/>
          <w:b/>
          <w:sz w:val="18"/>
        </w:rPr>
        <w:t>Loan</w:t>
      </w:r>
      <w:r>
        <w:rPr>
          <w:rFonts w:ascii="Arial"/>
          <w:b/>
          <w:spacing w:val="-1"/>
          <w:sz w:val="18"/>
        </w:rPr>
        <w:t> </w:t>
      </w:r>
      <w:r>
        <w:rPr>
          <w:rFonts w:ascii="Arial"/>
          <w:b/>
          <w:spacing w:val="-2"/>
          <w:sz w:val="18"/>
        </w:rPr>
        <w:t>spread</w:t>
      </w:r>
    </w:p>
    <w:p>
      <w:pPr>
        <w:pStyle w:val="BodyText"/>
        <w:spacing w:before="7"/>
        <w:rPr>
          <w:rFonts w:ascii="Arial"/>
          <w:b/>
          <w:sz w:val="13"/>
        </w:rPr>
      </w:pPr>
    </w:p>
    <w:tbl>
      <w:tblPr>
        <w:tblW w:w="0" w:type="auto"/>
        <w:jc w:val="left"/>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80"/>
        <w:gridCol w:w="5880"/>
      </w:tblGrid>
      <w:tr>
        <w:trPr>
          <w:trHeight w:val="220" w:hRule="atLeast"/>
        </w:trPr>
        <w:tc>
          <w:tcPr>
            <w:tcW w:w="3480" w:type="dxa"/>
          </w:tcPr>
          <w:p>
            <w:pPr>
              <w:pStyle w:val="TableParagraph"/>
              <w:spacing w:before="12"/>
              <w:ind w:left="21"/>
              <w:jc w:val="center"/>
              <w:rPr>
                <w:sz w:val="16"/>
              </w:rPr>
            </w:pPr>
            <w:r>
              <w:rPr>
                <w:sz w:val="16"/>
              </w:rPr>
              <w:t>Contractual</w:t>
            </w:r>
            <w:r>
              <w:rPr>
                <w:spacing w:val="-7"/>
                <w:sz w:val="16"/>
              </w:rPr>
              <w:t> </w:t>
            </w:r>
            <w:r>
              <w:rPr>
                <w:sz w:val="16"/>
              </w:rPr>
              <w:t>lending</w:t>
            </w:r>
            <w:r>
              <w:rPr>
                <w:spacing w:val="-6"/>
                <w:sz w:val="16"/>
              </w:rPr>
              <w:t> </w:t>
            </w:r>
            <w:r>
              <w:rPr>
                <w:spacing w:val="-2"/>
                <w:sz w:val="16"/>
              </w:rPr>
              <w:t>spread</w:t>
            </w:r>
          </w:p>
        </w:tc>
        <w:tc>
          <w:tcPr>
            <w:tcW w:w="5880" w:type="dxa"/>
            <w:vMerge w:val="restart"/>
          </w:tcPr>
          <w:p>
            <w:pPr>
              <w:pStyle w:val="TableParagraph"/>
              <w:spacing w:before="132"/>
              <w:ind w:left="1606"/>
              <w:rPr>
                <w:sz w:val="16"/>
              </w:rPr>
            </w:pPr>
            <w:r>
              <w:rPr>
                <w:sz w:val="16"/>
              </w:rPr>
              <w:t>Subject</w:t>
            </w:r>
            <w:r>
              <w:rPr>
                <w:spacing w:val="-4"/>
                <w:sz w:val="16"/>
              </w:rPr>
              <w:t> </w:t>
            </w:r>
            <w:r>
              <w:rPr>
                <w:sz w:val="16"/>
              </w:rPr>
              <w:t>to</w:t>
            </w:r>
            <w:r>
              <w:rPr>
                <w:spacing w:val="-3"/>
                <w:sz w:val="16"/>
              </w:rPr>
              <w:t> </w:t>
            </w:r>
            <w:r>
              <w:rPr>
                <w:sz w:val="16"/>
              </w:rPr>
              <w:t>the</w:t>
            </w:r>
            <w:r>
              <w:rPr>
                <w:spacing w:val="-4"/>
                <w:sz w:val="16"/>
              </w:rPr>
              <w:t> </w:t>
            </w:r>
            <w:r>
              <w:rPr>
                <w:sz w:val="16"/>
              </w:rPr>
              <w:t>Board's</w:t>
            </w:r>
            <w:r>
              <w:rPr>
                <w:spacing w:val="-3"/>
                <w:sz w:val="16"/>
              </w:rPr>
              <w:t> </w:t>
            </w:r>
            <w:r>
              <w:rPr>
                <w:sz w:val="16"/>
              </w:rPr>
              <w:t>periodic</w:t>
            </w:r>
            <w:r>
              <w:rPr>
                <w:spacing w:val="-3"/>
                <w:sz w:val="16"/>
              </w:rPr>
              <w:t> </w:t>
            </w:r>
            <w:r>
              <w:rPr>
                <w:spacing w:val="-2"/>
                <w:sz w:val="16"/>
              </w:rPr>
              <w:t>review</w:t>
            </w:r>
          </w:p>
        </w:tc>
      </w:tr>
      <w:tr>
        <w:trPr>
          <w:trHeight w:val="220" w:hRule="atLeast"/>
        </w:trPr>
        <w:tc>
          <w:tcPr>
            <w:tcW w:w="3480" w:type="dxa"/>
          </w:tcPr>
          <w:p>
            <w:pPr>
              <w:pStyle w:val="TableParagraph"/>
              <w:spacing w:before="12"/>
              <w:ind w:left="21" w:right="1"/>
              <w:jc w:val="center"/>
              <w:rPr>
                <w:sz w:val="16"/>
              </w:rPr>
            </w:pPr>
            <w:r>
              <w:rPr>
                <w:sz w:val="16"/>
              </w:rPr>
              <w:t>Maturity</w:t>
            </w:r>
            <w:r>
              <w:rPr>
                <w:spacing w:val="-5"/>
                <w:sz w:val="16"/>
              </w:rPr>
              <w:t> </w:t>
            </w:r>
            <w:r>
              <w:rPr>
                <w:spacing w:val="-2"/>
                <w:sz w:val="16"/>
              </w:rPr>
              <w:t>Premium</w:t>
            </w:r>
          </w:p>
        </w:tc>
        <w:tc>
          <w:tcPr>
            <w:tcW w:w="5880" w:type="dxa"/>
            <w:vMerge/>
            <w:tcBorders>
              <w:top w:val="nil"/>
            </w:tcBorders>
          </w:tcPr>
          <w:p>
            <w:pPr>
              <w:rPr>
                <w:sz w:val="2"/>
                <w:szCs w:val="2"/>
              </w:rPr>
            </w:pPr>
          </w:p>
        </w:tc>
      </w:tr>
      <w:tr>
        <w:trPr>
          <w:trHeight w:val="220" w:hRule="atLeast"/>
        </w:trPr>
        <w:tc>
          <w:tcPr>
            <w:tcW w:w="3480" w:type="dxa"/>
          </w:tcPr>
          <w:p>
            <w:pPr>
              <w:pStyle w:val="TableParagraph"/>
              <w:spacing w:before="12"/>
              <w:ind w:left="21" w:right="2"/>
              <w:jc w:val="center"/>
              <w:rPr>
                <w:sz w:val="16"/>
              </w:rPr>
            </w:pPr>
            <w:r>
              <w:rPr>
                <w:sz w:val="16"/>
              </w:rPr>
              <w:t>Market</w:t>
            </w:r>
            <w:r>
              <w:rPr>
                <w:spacing w:val="-3"/>
                <w:sz w:val="16"/>
              </w:rPr>
              <w:t> </w:t>
            </w:r>
            <w:r>
              <w:rPr>
                <w:sz w:val="16"/>
              </w:rPr>
              <w:t>Risk</w:t>
            </w:r>
            <w:r>
              <w:rPr>
                <w:spacing w:val="-2"/>
                <w:sz w:val="16"/>
              </w:rPr>
              <w:t> </w:t>
            </w:r>
            <w:r>
              <w:rPr>
                <w:sz w:val="16"/>
              </w:rPr>
              <w:t>Premium</w:t>
            </w:r>
            <w:r>
              <w:rPr>
                <w:spacing w:val="-4"/>
                <w:sz w:val="16"/>
              </w:rPr>
              <w:t> </w:t>
            </w:r>
            <w:r>
              <w:rPr>
                <w:spacing w:val="-10"/>
                <w:sz w:val="16"/>
                <w:vertAlign w:val="superscript"/>
              </w:rPr>
              <w:t>a</w:t>
            </w:r>
          </w:p>
        </w:tc>
        <w:tc>
          <w:tcPr>
            <w:tcW w:w="5880" w:type="dxa"/>
            <w:vMerge w:val="restart"/>
          </w:tcPr>
          <w:p>
            <w:pPr>
              <w:pStyle w:val="TableParagraph"/>
              <w:spacing w:before="132"/>
              <w:ind w:left="20"/>
              <w:jc w:val="center"/>
              <w:rPr>
                <w:sz w:val="16"/>
              </w:rPr>
            </w:pPr>
            <w:r>
              <w:rPr>
                <w:sz w:val="16"/>
              </w:rPr>
              <w:t>Set</w:t>
            </w:r>
            <w:r>
              <w:rPr>
                <w:spacing w:val="-1"/>
                <w:sz w:val="16"/>
              </w:rPr>
              <w:t> </w:t>
            </w:r>
            <w:r>
              <w:rPr>
                <w:sz w:val="16"/>
              </w:rPr>
              <w:t>by</w:t>
            </w:r>
            <w:r>
              <w:rPr>
                <w:spacing w:val="-1"/>
                <w:sz w:val="16"/>
              </w:rPr>
              <w:t> </w:t>
            </w:r>
            <w:r>
              <w:rPr>
                <w:spacing w:val="-2"/>
                <w:sz w:val="16"/>
              </w:rPr>
              <w:t>Management</w:t>
            </w:r>
          </w:p>
        </w:tc>
      </w:tr>
      <w:tr>
        <w:trPr>
          <w:trHeight w:val="220" w:hRule="atLeast"/>
        </w:trPr>
        <w:tc>
          <w:tcPr>
            <w:tcW w:w="3480" w:type="dxa"/>
          </w:tcPr>
          <w:p>
            <w:pPr>
              <w:pStyle w:val="TableParagraph"/>
              <w:spacing w:before="12"/>
              <w:ind w:left="21" w:right="1"/>
              <w:jc w:val="center"/>
              <w:rPr>
                <w:sz w:val="16"/>
              </w:rPr>
            </w:pPr>
            <w:r>
              <w:rPr>
                <w:sz w:val="16"/>
              </w:rPr>
              <w:t>Funding</w:t>
            </w:r>
            <w:r>
              <w:rPr>
                <w:spacing w:val="-5"/>
                <w:sz w:val="16"/>
              </w:rPr>
              <w:t> </w:t>
            </w:r>
            <w:r>
              <w:rPr>
                <w:sz w:val="16"/>
              </w:rPr>
              <w:t>Cost</w:t>
            </w:r>
            <w:r>
              <w:rPr>
                <w:spacing w:val="-4"/>
                <w:sz w:val="16"/>
              </w:rPr>
              <w:t> </w:t>
            </w:r>
            <w:r>
              <w:rPr>
                <w:spacing w:val="-2"/>
                <w:sz w:val="16"/>
              </w:rPr>
              <w:t>Margin</w:t>
            </w:r>
          </w:p>
        </w:tc>
        <w:tc>
          <w:tcPr>
            <w:tcW w:w="5880" w:type="dxa"/>
            <w:vMerge/>
            <w:tcBorders>
              <w:top w:val="nil"/>
            </w:tcBorders>
          </w:tcPr>
          <w:p>
            <w:pPr>
              <w:rPr>
                <w:sz w:val="2"/>
                <w:szCs w:val="2"/>
              </w:rPr>
            </w:pPr>
          </w:p>
        </w:tc>
      </w:tr>
    </w:tbl>
    <w:p>
      <w:pPr>
        <w:spacing w:before="19"/>
        <w:ind w:left="772" w:right="0" w:firstLine="0"/>
        <w:jc w:val="left"/>
        <w:rPr>
          <w:rFonts w:ascii="Arial"/>
          <w:i/>
          <w:sz w:val="14"/>
        </w:rPr>
      </w:pPr>
      <w:r>
        <w:rPr>
          <w:rFonts w:ascii="Arial"/>
          <w:i/>
          <w:sz w:val="14"/>
        </w:rPr>
        <w:t>a.</w:t>
      </w:r>
      <w:r>
        <w:rPr>
          <w:rFonts w:ascii="Arial"/>
          <w:i/>
          <w:spacing w:val="-5"/>
          <w:sz w:val="14"/>
        </w:rPr>
        <w:t> </w:t>
      </w:r>
      <w:r>
        <w:rPr>
          <w:rFonts w:ascii="Arial"/>
          <w:i/>
          <w:sz w:val="14"/>
        </w:rPr>
        <w:t>This</w:t>
      </w:r>
      <w:r>
        <w:rPr>
          <w:rFonts w:ascii="Arial"/>
          <w:i/>
          <w:spacing w:val="-3"/>
          <w:sz w:val="14"/>
        </w:rPr>
        <w:t> </w:t>
      </w:r>
      <w:r>
        <w:rPr>
          <w:rFonts w:ascii="Arial"/>
          <w:i/>
          <w:sz w:val="14"/>
        </w:rPr>
        <w:t>is</w:t>
      </w:r>
      <w:r>
        <w:rPr>
          <w:rFonts w:ascii="Arial"/>
          <w:i/>
          <w:spacing w:val="-2"/>
          <w:sz w:val="14"/>
        </w:rPr>
        <w:t> </w:t>
      </w:r>
      <w:r>
        <w:rPr>
          <w:rFonts w:ascii="Arial"/>
          <w:i/>
          <w:sz w:val="14"/>
        </w:rPr>
        <w:t>only</w:t>
      </w:r>
      <w:r>
        <w:rPr>
          <w:rFonts w:ascii="Arial"/>
          <w:i/>
          <w:spacing w:val="-3"/>
          <w:sz w:val="14"/>
        </w:rPr>
        <w:t> </w:t>
      </w:r>
      <w:r>
        <w:rPr>
          <w:rFonts w:ascii="Arial"/>
          <w:i/>
          <w:sz w:val="14"/>
        </w:rPr>
        <w:t>applicable</w:t>
      </w:r>
      <w:r>
        <w:rPr>
          <w:rFonts w:ascii="Arial"/>
          <w:i/>
          <w:spacing w:val="-3"/>
          <w:sz w:val="14"/>
        </w:rPr>
        <w:t> </w:t>
      </w:r>
      <w:r>
        <w:rPr>
          <w:rFonts w:ascii="Arial"/>
          <w:i/>
          <w:sz w:val="14"/>
        </w:rPr>
        <w:t>to</w:t>
      </w:r>
      <w:r>
        <w:rPr>
          <w:rFonts w:ascii="Arial"/>
          <w:i/>
          <w:spacing w:val="-2"/>
          <w:sz w:val="14"/>
        </w:rPr>
        <w:t> </w:t>
      </w:r>
      <w:r>
        <w:rPr>
          <w:rFonts w:ascii="Arial"/>
          <w:i/>
          <w:sz w:val="14"/>
        </w:rPr>
        <w:t>fixed</w:t>
      </w:r>
      <w:r>
        <w:rPr>
          <w:rFonts w:ascii="Arial"/>
          <w:i/>
          <w:spacing w:val="-3"/>
          <w:sz w:val="14"/>
        </w:rPr>
        <w:t> </w:t>
      </w:r>
      <w:r>
        <w:rPr>
          <w:rFonts w:ascii="Arial"/>
          <w:i/>
          <w:sz w:val="14"/>
        </w:rPr>
        <w:t>spread</w:t>
      </w:r>
      <w:r>
        <w:rPr>
          <w:rFonts w:ascii="Arial"/>
          <w:i/>
          <w:spacing w:val="-2"/>
          <w:sz w:val="14"/>
        </w:rPr>
        <w:t> </w:t>
      </w:r>
      <w:r>
        <w:rPr>
          <w:rFonts w:ascii="Arial"/>
          <w:i/>
          <w:sz w:val="14"/>
        </w:rPr>
        <w:t>loans</w:t>
      </w:r>
      <w:r>
        <w:rPr>
          <w:rFonts w:ascii="Arial"/>
          <w:i/>
          <w:spacing w:val="-3"/>
          <w:sz w:val="14"/>
        </w:rPr>
        <w:t> </w:t>
      </w:r>
      <w:r>
        <w:rPr>
          <w:rFonts w:ascii="Arial"/>
          <w:i/>
          <w:sz w:val="14"/>
        </w:rPr>
        <w:t>which</w:t>
      </w:r>
      <w:r>
        <w:rPr>
          <w:rFonts w:ascii="Arial"/>
          <w:i/>
          <w:spacing w:val="-3"/>
          <w:sz w:val="14"/>
        </w:rPr>
        <w:t> </w:t>
      </w:r>
      <w:r>
        <w:rPr>
          <w:rFonts w:ascii="Arial"/>
          <w:i/>
          <w:sz w:val="14"/>
        </w:rPr>
        <w:t>are</w:t>
      </w:r>
      <w:r>
        <w:rPr>
          <w:rFonts w:ascii="Arial"/>
          <w:i/>
          <w:spacing w:val="-2"/>
          <w:sz w:val="14"/>
        </w:rPr>
        <w:t> </w:t>
      </w:r>
      <w:r>
        <w:rPr>
          <w:rFonts w:ascii="Arial"/>
          <w:i/>
          <w:sz w:val="14"/>
        </w:rPr>
        <w:t>not</w:t>
      </w:r>
      <w:r>
        <w:rPr>
          <w:rFonts w:ascii="Arial"/>
          <w:i/>
          <w:spacing w:val="-3"/>
          <w:sz w:val="14"/>
        </w:rPr>
        <w:t> </w:t>
      </w:r>
      <w:r>
        <w:rPr>
          <w:rFonts w:ascii="Arial"/>
          <w:i/>
          <w:sz w:val="14"/>
        </w:rPr>
        <w:t>currently</w:t>
      </w:r>
      <w:r>
        <w:rPr>
          <w:rFonts w:ascii="Arial"/>
          <w:i/>
          <w:spacing w:val="-2"/>
          <w:sz w:val="14"/>
        </w:rPr>
        <w:t> offered.</w:t>
      </w:r>
    </w:p>
    <w:p>
      <w:pPr>
        <w:pStyle w:val="BodyText"/>
        <w:spacing w:before="51"/>
        <w:rPr>
          <w:rFonts w:ascii="Arial"/>
          <w:i/>
          <w:sz w:val="14"/>
        </w:rPr>
      </w:pPr>
    </w:p>
    <w:p>
      <w:pPr>
        <w:pStyle w:val="BodyText"/>
        <w:spacing w:line="232" w:lineRule="auto"/>
        <w:ind w:left="720" w:right="718"/>
        <w:jc w:val="both"/>
      </w:pPr>
      <w:r>
        <w:rPr/>
        <w:t>The ability to offer long-term financing distinguishes development banks from other sources of funding for member countries.</w:t>
      </w:r>
      <w:r>
        <w:rPr>
          <w:spacing w:val="40"/>
        </w:rPr>
        <w:t> </w:t>
      </w:r>
      <w:r>
        <w:rPr/>
        <w:t>Since IBRD introduced maturity-based pricing in 2010, most countries continue to choose loans with the longer maturities with a higher maturity premium, highlighting the value of longer maturities to member countries. However, in FY23, due to the ongoing multiple crises, some countries requested more fast-disbursing loans with shorter maturities (See Table 10).</w:t>
      </w:r>
    </w:p>
    <w:p>
      <w:pPr>
        <w:pStyle w:val="BodyText"/>
        <w:spacing w:before="10"/>
        <w:rPr>
          <w:sz w:val="16"/>
        </w:rPr>
      </w:pPr>
    </w:p>
    <w:p>
      <w:pPr>
        <w:pStyle w:val="BodyText"/>
        <w:spacing w:after="0"/>
        <w:rPr>
          <w:sz w:val="16"/>
        </w:rPr>
        <w:sectPr>
          <w:pgSz w:w="12240" w:h="15840"/>
          <w:pgMar w:header="744" w:footer="713" w:top="1020" w:bottom="900" w:left="720" w:right="720"/>
        </w:sectPr>
      </w:pPr>
    </w:p>
    <w:p>
      <w:pPr>
        <w:spacing w:before="94"/>
        <w:ind w:left="772" w:right="0" w:firstLine="0"/>
        <w:jc w:val="left"/>
        <w:rPr>
          <w:rFonts w:ascii="Arial"/>
          <w:b/>
          <w:sz w:val="18"/>
        </w:rPr>
      </w:pPr>
      <w:bookmarkStart w:name="_bookmark29" w:id="46"/>
      <w:bookmarkEnd w:id="46"/>
      <w:r>
        <w:rPr/>
      </w:r>
      <w:r>
        <w:rPr>
          <w:rFonts w:ascii="Arial"/>
          <w:b/>
          <w:sz w:val="18"/>
        </w:rPr>
        <w:t>Table</w:t>
      </w:r>
      <w:r>
        <w:rPr>
          <w:rFonts w:ascii="Arial"/>
          <w:b/>
          <w:spacing w:val="-2"/>
          <w:sz w:val="18"/>
        </w:rPr>
        <w:t> </w:t>
      </w:r>
      <w:r>
        <w:rPr>
          <w:rFonts w:ascii="Arial"/>
          <w:b/>
          <w:sz w:val="18"/>
        </w:rPr>
        <w:t>10:</w:t>
      </w:r>
      <w:r>
        <w:rPr>
          <w:rFonts w:ascii="Arial"/>
          <w:b/>
          <w:spacing w:val="-2"/>
          <w:sz w:val="18"/>
        </w:rPr>
        <w:t> </w:t>
      </w:r>
      <w:r>
        <w:rPr>
          <w:rFonts w:ascii="Arial"/>
          <w:b/>
          <w:sz w:val="18"/>
        </w:rPr>
        <w:t>Net</w:t>
      </w:r>
      <w:r>
        <w:rPr>
          <w:rFonts w:ascii="Arial"/>
          <w:b/>
          <w:spacing w:val="-2"/>
          <w:sz w:val="18"/>
        </w:rPr>
        <w:t> </w:t>
      </w:r>
      <w:r>
        <w:rPr>
          <w:rFonts w:ascii="Arial"/>
          <w:b/>
          <w:sz w:val="18"/>
        </w:rPr>
        <w:t>Commitments</w:t>
      </w:r>
      <w:r>
        <w:rPr>
          <w:rFonts w:ascii="Arial"/>
          <w:b/>
          <w:spacing w:val="-2"/>
          <w:sz w:val="18"/>
        </w:rPr>
        <w:t> </w:t>
      </w:r>
      <w:r>
        <w:rPr>
          <w:rFonts w:ascii="Arial"/>
          <w:b/>
          <w:sz w:val="18"/>
        </w:rPr>
        <w:t>by</w:t>
      </w:r>
      <w:r>
        <w:rPr>
          <w:rFonts w:ascii="Arial"/>
          <w:b/>
          <w:spacing w:val="-2"/>
          <w:sz w:val="18"/>
        </w:rPr>
        <w:t> Maturity</w:t>
      </w:r>
    </w:p>
    <w:p>
      <w:pPr>
        <w:spacing w:before="54"/>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line="208" w:lineRule="auto" w:before="78"/>
        <w:ind w:left="6813" w:right="0" w:hanging="373"/>
        <w:jc w:val="left"/>
        <w:rPr>
          <w:rFonts w:ascii="Arial"/>
          <w:i/>
          <w:sz w:val="16"/>
        </w:rPr>
      </w:pPr>
      <w:r>
        <w:rPr>
          <w:rFonts w:ascii="Arial"/>
          <w:i/>
          <w:sz w:val="16"/>
        </w:rPr>
        <mc:AlternateContent>
          <mc:Choice Requires="wps">
            <w:drawing>
              <wp:anchor distT="0" distB="0" distL="0" distR="0" allowOverlap="1" layoutInCell="1" locked="0" behindDoc="0" simplePos="0" relativeHeight="15770112">
                <wp:simplePos x="0" y="0"/>
                <wp:positionH relativeFrom="page">
                  <wp:posOffset>947800</wp:posOffset>
                </wp:positionH>
                <wp:positionV relativeFrom="paragraph">
                  <wp:posOffset>91584</wp:posOffset>
                </wp:positionV>
                <wp:extent cx="361315" cy="11366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361315" cy="113664"/>
                        </a:xfrm>
                        <a:prstGeom prst="rect">
                          <a:avLst/>
                        </a:prstGeom>
                      </wps:spPr>
                      <wps:txbx>
                        <w:txbxContent>
                          <w:p>
                            <w:pPr>
                              <w:spacing w:line="179" w:lineRule="exact" w:before="0"/>
                              <w:ind w:left="0" w:right="0" w:firstLine="0"/>
                              <w:jc w:val="left"/>
                              <w:rPr>
                                <w:rFonts w:ascii="Arial"/>
                                <w:i/>
                                <w:sz w:val="16"/>
                              </w:rPr>
                            </w:pPr>
                            <w:r>
                              <w:rPr>
                                <w:rFonts w:ascii="Arial"/>
                                <w:i/>
                                <w:color w:val="6C6C6C"/>
                                <w:spacing w:val="-2"/>
                                <w:sz w:val="16"/>
                              </w:rPr>
                              <w:t>Maturity</w:t>
                            </w:r>
                          </w:p>
                        </w:txbxContent>
                      </wps:txbx>
                      <wps:bodyPr wrap="square" lIns="0" tIns="0" rIns="0" bIns="0" rtlCol="0">
                        <a:noAutofit/>
                      </wps:bodyPr>
                    </wps:wsp>
                  </a:graphicData>
                </a:graphic>
              </wp:anchor>
            </w:drawing>
          </mc:Choice>
          <mc:Fallback>
            <w:pict>
              <v:shape style="position:absolute;margin-left:74.629997pt;margin-top:7.211368pt;width:28.45pt;height:8.950pt;mso-position-horizontal-relative:page;mso-position-vertical-relative:paragraph;z-index:15770112" type="#_x0000_t202" id="docshape204" filled="false" stroked="false">
                <v:textbox inset="0,0,0,0">
                  <w:txbxContent>
                    <w:p>
                      <w:pPr>
                        <w:spacing w:line="179" w:lineRule="exact" w:before="0"/>
                        <w:ind w:left="0" w:right="0" w:firstLine="0"/>
                        <w:jc w:val="left"/>
                        <w:rPr>
                          <w:rFonts w:ascii="Arial"/>
                          <w:i/>
                          <w:sz w:val="16"/>
                        </w:rPr>
                      </w:pPr>
                      <w:r>
                        <w:rPr>
                          <w:rFonts w:ascii="Arial"/>
                          <w:i/>
                          <w:color w:val="6C6C6C"/>
                          <w:spacing w:val="-2"/>
                          <w:sz w:val="16"/>
                        </w:rPr>
                        <w:t>Maturity</w:t>
                      </w:r>
                    </w:p>
                  </w:txbxContent>
                </v:textbox>
                <w10:wrap type="none"/>
              </v:shape>
            </w:pict>
          </mc:Fallback>
        </mc:AlternateContent>
      </w:r>
      <w:r>
        <w:rPr>
          <w:rFonts w:ascii="Arial"/>
          <w:i/>
          <w:color w:val="6C6C6C"/>
          <w:sz w:val="16"/>
        </w:rPr>
        <w:t>For</w:t>
      </w:r>
      <w:r>
        <w:rPr>
          <w:rFonts w:ascii="Arial"/>
          <w:i/>
          <w:color w:val="6C6C6C"/>
          <w:spacing w:val="-10"/>
          <w:sz w:val="16"/>
        </w:rPr>
        <w:t> </w:t>
      </w:r>
      <w:r>
        <w:rPr>
          <w:rFonts w:ascii="Arial"/>
          <w:i/>
          <w:color w:val="6C6C6C"/>
          <w:sz w:val="16"/>
        </w:rPr>
        <w:t>the</w:t>
      </w:r>
      <w:r>
        <w:rPr>
          <w:rFonts w:ascii="Arial"/>
          <w:i/>
          <w:color w:val="6C6C6C"/>
          <w:spacing w:val="-11"/>
          <w:sz w:val="16"/>
        </w:rPr>
        <w:t> </w:t>
      </w:r>
      <w:r>
        <w:rPr>
          <w:rFonts w:ascii="Arial"/>
          <w:i/>
          <w:color w:val="6C6C6C"/>
          <w:sz w:val="16"/>
        </w:rPr>
        <w:t>fiscal</w:t>
      </w:r>
      <w:r>
        <w:rPr>
          <w:rFonts w:ascii="Arial"/>
          <w:i/>
          <w:color w:val="6C6C6C"/>
          <w:spacing w:val="-10"/>
          <w:sz w:val="16"/>
        </w:rPr>
        <w:t> </w:t>
      </w:r>
      <w:r>
        <w:rPr>
          <w:rFonts w:ascii="Arial"/>
          <w:i/>
          <w:color w:val="6C6C6C"/>
          <w:sz w:val="16"/>
        </w:rPr>
        <w:t>year</w:t>
      </w:r>
      <w:r>
        <w:rPr>
          <w:rFonts w:ascii="Arial"/>
          <w:i/>
          <w:color w:val="6C6C6C"/>
          <w:spacing w:val="-10"/>
          <w:sz w:val="16"/>
        </w:rPr>
        <w:t> </w:t>
      </w:r>
      <w:r>
        <w:rPr>
          <w:rFonts w:ascii="Arial"/>
          <w:i/>
          <w:color w:val="6C6C6C"/>
          <w:sz w:val="16"/>
        </w:rPr>
        <w:t>ended June 30, 2023</w:t>
      </w:r>
    </w:p>
    <w:p>
      <w:pPr>
        <w:pStyle w:val="BodyText"/>
        <w:rPr>
          <w:rFonts w:ascii="Arial"/>
          <w:i/>
          <w:sz w:val="16"/>
        </w:rPr>
      </w:pPr>
      <w:r>
        <w:rPr/>
        <w:br w:type="column"/>
      </w:r>
      <w:r>
        <w:rPr>
          <w:rFonts w:ascii="Arial"/>
          <w:i/>
          <w:sz w:val="16"/>
        </w:rPr>
      </w:r>
    </w:p>
    <w:p>
      <w:pPr>
        <w:pStyle w:val="BodyText"/>
        <w:rPr>
          <w:rFonts w:ascii="Arial"/>
          <w:i/>
          <w:sz w:val="16"/>
        </w:rPr>
      </w:pPr>
    </w:p>
    <w:p>
      <w:pPr>
        <w:pStyle w:val="BodyText"/>
        <w:spacing w:before="65"/>
        <w:rPr>
          <w:rFonts w:ascii="Arial"/>
          <w:i/>
          <w:sz w:val="16"/>
        </w:rPr>
      </w:pPr>
    </w:p>
    <w:p>
      <w:pPr>
        <w:spacing w:line="208" w:lineRule="auto" w:before="0"/>
        <w:ind w:left="189" w:right="867" w:firstLine="115"/>
        <w:jc w:val="left"/>
        <w:rPr>
          <w:rFonts w:ascii="Arial"/>
          <w:i/>
          <w:sz w:val="16"/>
        </w:rPr>
      </w:pPr>
      <w:r>
        <w:rPr>
          <w:rFonts w:ascii="Arial"/>
          <w:i/>
          <w:color w:val="6C6C6C"/>
          <w:sz w:val="16"/>
        </w:rPr>
        <w:t>For the fiscal year ended</w:t>
      </w:r>
      <w:r>
        <w:rPr>
          <w:rFonts w:ascii="Arial"/>
          <w:i/>
          <w:color w:val="6C6C6C"/>
          <w:spacing w:val="-12"/>
          <w:sz w:val="16"/>
        </w:rPr>
        <w:t> </w:t>
      </w:r>
      <w:r>
        <w:rPr>
          <w:rFonts w:ascii="Arial"/>
          <w:i/>
          <w:color w:val="6C6C6C"/>
          <w:sz w:val="16"/>
        </w:rPr>
        <w:t>June</w:t>
      </w:r>
      <w:r>
        <w:rPr>
          <w:rFonts w:ascii="Arial"/>
          <w:i/>
          <w:color w:val="6C6C6C"/>
          <w:spacing w:val="-11"/>
          <w:sz w:val="16"/>
        </w:rPr>
        <w:t> </w:t>
      </w:r>
      <w:r>
        <w:rPr>
          <w:rFonts w:ascii="Arial"/>
          <w:i/>
          <w:color w:val="6C6C6C"/>
          <w:sz w:val="16"/>
        </w:rPr>
        <w:t>30,</w:t>
      </w:r>
      <w:r>
        <w:rPr>
          <w:rFonts w:ascii="Arial"/>
          <w:i/>
          <w:color w:val="6C6C6C"/>
          <w:spacing w:val="-11"/>
          <w:sz w:val="16"/>
        </w:rPr>
        <w:t> </w:t>
      </w:r>
      <w:r>
        <w:rPr>
          <w:rFonts w:ascii="Arial"/>
          <w:i/>
          <w:color w:val="6C6C6C"/>
          <w:sz w:val="16"/>
        </w:rPr>
        <w:t>2022</w:t>
      </w:r>
    </w:p>
    <w:p>
      <w:pPr>
        <w:spacing w:after="0" w:line="208" w:lineRule="auto"/>
        <w:jc w:val="left"/>
        <w:rPr>
          <w:rFonts w:ascii="Arial"/>
          <w:i/>
          <w:sz w:val="16"/>
        </w:rPr>
        <w:sectPr>
          <w:type w:val="continuous"/>
          <w:pgSz w:w="12240" w:h="15840"/>
          <w:pgMar w:header="744" w:footer="713" w:top="1820" w:bottom="280" w:left="720" w:right="720"/>
          <w:cols w:num="2" w:equalWidth="0">
            <w:col w:w="8201" w:space="40"/>
            <w:col w:w="2559"/>
          </w:cols>
        </w:sectPr>
      </w:pPr>
    </w:p>
    <w:p>
      <w:pPr>
        <w:pStyle w:val="BodyText"/>
        <w:spacing w:before="6"/>
        <w:rPr>
          <w:rFonts w:ascii="Arial"/>
          <w:i/>
          <w:sz w:val="3"/>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5"/>
        <w:gridCol w:w="2596"/>
        <w:gridCol w:w="1129"/>
        <w:gridCol w:w="729"/>
        <w:gridCol w:w="1106"/>
      </w:tblGrid>
      <w:tr>
        <w:trPr>
          <w:trHeight w:val="227" w:hRule="atLeast"/>
        </w:trPr>
        <w:tc>
          <w:tcPr>
            <w:tcW w:w="3795" w:type="dxa"/>
            <w:tcBorders>
              <w:top w:val="single" w:sz="8" w:space="0" w:color="000000"/>
            </w:tcBorders>
          </w:tcPr>
          <w:p>
            <w:pPr>
              <w:pStyle w:val="TableParagraph"/>
              <w:spacing w:before="12"/>
              <w:ind w:left="52"/>
              <w:rPr>
                <w:sz w:val="16"/>
              </w:rPr>
            </w:pPr>
            <w:r>
              <w:rPr>
                <w:sz w:val="16"/>
              </w:rPr>
              <w:t>&lt; 8</w:t>
            </w:r>
            <w:r>
              <w:rPr>
                <w:spacing w:val="-1"/>
                <w:sz w:val="16"/>
              </w:rPr>
              <w:t> </w:t>
            </w:r>
            <w:r>
              <w:rPr>
                <w:spacing w:val="-2"/>
                <w:sz w:val="16"/>
              </w:rPr>
              <w:t>years</w:t>
            </w:r>
          </w:p>
        </w:tc>
        <w:tc>
          <w:tcPr>
            <w:tcW w:w="2596" w:type="dxa"/>
            <w:tcBorders>
              <w:top w:val="single" w:sz="8" w:space="0" w:color="000000"/>
            </w:tcBorders>
          </w:tcPr>
          <w:p>
            <w:pPr>
              <w:pStyle w:val="TableParagraph"/>
              <w:spacing w:before="12"/>
              <w:ind w:right="547"/>
              <w:jc w:val="right"/>
              <w:rPr>
                <w:sz w:val="16"/>
              </w:rPr>
            </w:pPr>
            <w:r>
              <w:rPr>
                <w:spacing w:val="-10"/>
                <w:sz w:val="16"/>
              </w:rPr>
              <w:t>$</w:t>
            </w:r>
          </w:p>
        </w:tc>
        <w:tc>
          <w:tcPr>
            <w:tcW w:w="1129" w:type="dxa"/>
            <w:tcBorders>
              <w:top w:val="single" w:sz="8" w:space="0" w:color="000000"/>
            </w:tcBorders>
          </w:tcPr>
          <w:p>
            <w:pPr>
              <w:pStyle w:val="TableParagraph"/>
              <w:spacing w:before="12"/>
              <w:ind w:right="86"/>
              <w:jc w:val="right"/>
              <w:rPr>
                <w:sz w:val="16"/>
              </w:rPr>
            </w:pPr>
            <w:r>
              <w:rPr>
                <w:spacing w:val="-2"/>
                <w:sz w:val="16"/>
              </w:rPr>
              <w:t>5,838</w:t>
            </w:r>
          </w:p>
        </w:tc>
        <w:tc>
          <w:tcPr>
            <w:tcW w:w="729" w:type="dxa"/>
            <w:tcBorders>
              <w:top w:val="single" w:sz="8" w:space="0" w:color="000000"/>
            </w:tcBorders>
          </w:tcPr>
          <w:p>
            <w:pPr>
              <w:pStyle w:val="TableParagraph"/>
              <w:spacing w:before="12"/>
              <w:ind w:left="92"/>
              <w:rPr>
                <w:sz w:val="16"/>
              </w:rPr>
            </w:pPr>
            <w:r>
              <w:rPr>
                <w:spacing w:val="-10"/>
                <w:sz w:val="16"/>
              </w:rPr>
              <w:t>$</w:t>
            </w:r>
          </w:p>
        </w:tc>
        <w:tc>
          <w:tcPr>
            <w:tcW w:w="1106" w:type="dxa"/>
            <w:tcBorders>
              <w:top w:val="single" w:sz="8" w:space="0" w:color="000000"/>
            </w:tcBorders>
          </w:tcPr>
          <w:p>
            <w:pPr>
              <w:pStyle w:val="TableParagraph"/>
              <w:spacing w:before="12"/>
              <w:ind w:right="61"/>
              <w:jc w:val="right"/>
              <w:rPr>
                <w:sz w:val="16"/>
              </w:rPr>
            </w:pPr>
            <w:r>
              <w:rPr>
                <w:spacing w:val="-2"/>
                <w:sz w:val="16"/>
              </w:rPr>
              <w:t>2,992</w:t>
            </w:r>
          </w:p>
        </w:tc>
      </w:tr>
      <w:tr>
        <w:trPr>
          <w:trHeight w:val="240" w:hRule="atLeast"/>
        </w:trPr>
        <w:tc>
          <w:tcPr>
            <w:tcW w:w="3795" w:type="dxa"/>
          </w:tcPr>
          <w:p>
            <w:pPr>
              <w:pStyle w:val="TableParagraph"/>
              <w:spacing w:before="25"/>
              <w:ind w:left="52"/>
              <w:rPr>
                <w:sz w:val="16"/>
              </w:rPr>
            </w:pPr>
            <w:r>
              <w:rPr>
                <w:sz w:val="16"/>
              </w:rPr>
              <w:t>8-10</w:t>
            </w:r>
            <w:r>
              <w:rPr>
                <w:spacing w:val="-5"/>
                <w:sz w:val="16"/>
              </w:rPr>
              <w:t> </w:t>
            </w:r>
            <w:r>
              <w:rPr>
                <w:spacing w:val="-2"/>
                <w:sz w:val="16"/>
              </w:rPr>
              <w:t>years</w:t>
            </w:r>
          </w:p>
        </w:tc>
        <w:tc>
          <w:tcPr>
            <w:tcW w:w="2596" w:type="dxa"/>
          </w:tcPr>
          <w:p>
            <w:pPr>
              <w:pStyle w:val="TableParagraph"/>
              <w:rPr>
                <w:rFonts w:ascii="Times New Roman"/>
                <w:sz w:val="16"/>
              </w:rPr>
            </w:pPr>
          </w:p>
        </w:tc>
        <w:tc>
          <w:tcPr>
            <w:tcW w:w="1129" w:type="dxa"/>
          </w:tcPr>
          <w:p>
            <w:pPr>
              <w:pStyle w:val="TableParagraph"/>
              <w:spacing w:before="25"/>
              <w:ind w:right="86"/>
              <w:jc w:val="right"/>
              <w:rPr>
                <w:sz w:val="16"/>
              </w:rPr>
            </w:pPr>
            <w:r>
              <w:rPr>
                <w:spacing w:val="-2"/>
                <w:sz w:val="16"/>
              </w:rPr>
              <w:t>4,251</w:t>
            </w:r>
          </w:p>
        </w:tc>
        <w:tc>
          <w:tcPr>
            <w:tcW w:w="729"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2"/>
                <w:sz w:val="16"/>
              </w:rPr>
              <w:t>5,885</w:t>
            </w:r>
          </w:p>
        </w:tc>
      </w:tr>
      <w:tr>
        <w:trPr>
          <w:trHeight w:val="240" w:hRule="atLeast"/>
        </w:trPr>
        <w:tc>
          <w:tcPr>
            <w:tcW w:w="3795" w:type="dxa"/>
          </w:tcPr>
          <w:p>
            <w:pPr>
              <w:pStyle w:val="TableParagraph"/>
              <w:spacing w:before="25"/>
              <w:ind w:left="52"/>
              <w:rPr>
                <w:sz w:val="16"/>
              </w:rPr>
            </w:pPr>
            <w:r>
              <w:rPr>
                <w:sz w:val="16"/>
              </w:rPr>
              <w:t>10-12</w:t>
            </w:r>
            <w:r>
              <w:rPr>
                <w:spacing w:val="-4"/>
                <w:sz w:val="16"/>
              </w:rPr>
              <w:t> </w:t>
            </w:r>
            <w:r>
              <w:rPr>
                <w:spacing w:val="-2"/>
                <w:sz w:val="16"/>
              </w:rPr>
              <w:t>years</w:t>
            </w:r>
          </w:p>
        </w:tc>
        <w:tc>
          <w:tcPr>
            <w:tcW w:w="2596" w:type="dxa"/>
          </w:tcPr>
          <w:p>
            <w:pPr>
              <w:pStyle w:val="TableParagraph"/>
              <w:rPr>
                <w:rFonts w:ascii="Times New Roman"/>
                <w:sz w:val="16"/>
              </w:rPr>
            </w:pPr>
          </w:p>
        </w:tc>
        <w:tc>
          <w:tcPr>
            <w:tcW w:w="1129" w:type="dxa"/>
          </w:tcPr>
          <w:p>
            <w:pPr>
              <w:pStyle w:val="TableParagraph"/>
              <w:spacing w:before="25"/>
              <w:ind w:right="86"/>
              <w:jc w:val="right"/>
              <w:rPr>
                <w:sz w:val="16"/>
              </w:rPr>
            </w:pPr>
            <w:r>
              <w:rPr>
                <w:spacing w:val="-2"/>
                <w:sz w:val="16"/>
              </w:rPr>
              <w:t>14,898</w:t>
            </w:r>
          </w:p>
        </w:tc>
        <w:tc>
          <w:tcPr>
            <w:tcW w:w="729"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2"/>
                <w:sz w:val="16"/>
              </w:rPr>
              <w:t>15,716</w:t>
            </w:r>
          </w:p>
        </w:tc>
      </w:tr>
      <w:tr>
        <w:trPr>
          <w:trHeight w:val="240" w:hRule="atLeast"/>
        </w:trPr>
        <w:tc>
          <w:tcPr>
            <w:tcW w:w="3795" w:type="dxa"/>
          </w:tcPr>
          <w:p>
            <w:pPr>
              <w:pStyle w:val="TableParagraph"/>
              <w:spacing w:before="25"/>
              <w:ind w:left="52"/>
              <w:rPr>
                <w:sz w:val="16"/>
              </w:rPr>
            </w:pPr>
            <w:r>
              <w:rPr>
                <w:sz w:val="16"/>
              </w:rPr>
              <w:t>12-15</w:t>
            </w:r>
            <w:r>
              <w:rPr>
                <w:spacing w:val="-4"/>
                <w:sz w:val="16"/>
              </w:rPr>
              <w:t> </w:t>
            </w:r>
            <w:r>
              <w:rPr>
                <w:spacing w:val="-2"/>
                <w:sz w:val="16"/>
              </w:rPr>
              <w:t>years</w:t>
            </w:r>
          </w:p>
        </w:tc>
        <w:tc>
          <w:tcPr>
            <w:tcW w:w="2596" w:type="dxa"/>
          </w:tcPr>
          <w:p>
            <w:pPr>
              <w:pStyle w:val="TableParagraph"/>
              <w:rPr>
                <w:rFonts w:ascii="Times New Roman"/>
                <w:sz w:val="16"/>
              </w:rPr>
            </w:pPr>
          </w:p>
        </w:tc>
        <w:tc>
          <w:tcPr>
            <w:tcW w:w="1129" w:type="dxa"/>
          </w:tcPr>
          <w:p>
            <w:pPr>
              <w:pStyle w:val="TableParagraph"/>
              <w:spacing w:before="25"/>
              <w:ind w:right="86"/>
              <w:jc w:val="right"/>
              <w:rPr>
                <w:sz w:val="16"/>
              </w:rPr>
            </w:pPr>
            <w:r>
              <w:rPr>
                <w:spacing w:val="-2"/>
                <w:sz w:val="16"/>
              </w:rPr>
              <w:t>4,388</w:t>
            </w:r>
          </w:p>
        </w:tc>
        <w:tc>
          <w:tcPr>
            <w:tcW w:w="729"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2"/>
                <w:sz w:val="16"/>
              </w:rPr>
              <w:t>1,922</w:t>
            </w:r>
          </w:p>
        </w:tc>
      </w:tr>
      <w:tr>
        <w:trPr>
          <w:trHeight w:val="240" w:hRule="atLeast"/>
        </w:trPr>
        <w:tc>
          <w:tcPr>
            <w:tcW w:w="3795" w:type="dxa"/>
          </w:tcPr>
          <w:p>
            <w:pPr>
              <w:pStyle w:val="TableParagraph"/>
              <w:spacing w:before="25"/>
              <w:ind w:left="52"/>
              <w:rPr>
                <w:sz w:val="16"/>
              </w:rPr>
            </w:pPr>
            <w:r>
              <w:rPr>
                <w:sz w:val="16"/>
              </w:rPr>
              <w:t>15-18</w:t>
            </w:r>
            <w:r>
              <w:rPr>
                <w:spacing w:val="-4"/>
                <w:sz w:val="16"/>
              </w:rPr>
              <w:t> </w:t>
            </w:r>
            <w:r>
              <w:rPr>
                <w:spacing w:val="-2"/>
                <w:sz w:val="16"/>
              </w:rPr>
              <w:t>years</w:t>
            </w:r>
          </w:p>
        </w:tc>
        <w:tc>
          <w:tcPr>
            <w:tcW w:w="2596" w:type="dxa"/>
          </w:tcPr>
          <w:p>
            <w:pPr>
              <w:pStyle w:val="TableParagraph"/>
              <w:rPr>
                <w:rFonts w:ascii="Times New Roman"/>
                <w:sz w:val="16"/>
              </w:rPr>
            </w:pPr>
          </w:p>
        </w:tc>
        <w:tc>
          <w:tcPr>
            <w:tcW w:w="1129" w:type="dxa"/>
          </w:tcPr>
          <w:p>
            <w:pPr>
              <w:pStyle w:val="TableParagraph"/>
              <w:spacing w:before="25"/>
              <w:ind w:right="86"/>
              <w:jc w:val="right"/>
              <w:rPr>
                <w:sz w:val="16"/>
              </w:rPr>
            </w:pPr>
            <w:r>
              <w:rPr>
                <w:spacing w:val="-2"/>
                <w:sz w:val="16"/>
              </w:rPr>
              <w:t>2,559</w:t>
            </w:r>
          </w:p>
        </w:tc>
        <w:tc>
          <w:tcPr>
            <w:tcW w:w="729"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2"/>
                <w:sz w:val="16"/>
              </w:rPr>
              <w:t>3,330</w:t>
            </w:r>
          </w:p>
        </w:tc>
      </w:tr>
      <w:tr>
        <w:trPr>
          <w:trHeight w:val="240" w:hRule="atLeast"/>
        </w:trPr>
        <w:tc>
          <w:tcPr>
            <w:tcW w:w="3795" w:type="dxa"/>
          </w:tcPr>
          <w:p>
            <w:pPr>
              <w:pStyle w:val="TableParagraph"/>
              <w:spacing w:before="25"/>
              <w:ind w:left="52"/>
              <w:rPr>
                <w:sz w:val="16"/>
              </w:rPr>
            </w:pPr>
            <w:r>
              <w:rPr>
                <w:sz w:val="16"/>
              </w:rPr>
              <w:t>&gt;18</w:t>
            </w:r>
            <w:r>
              <w:rPr>
                <w:spacing w:val="-2"/>
                <w:sz w:val="16"/>
              </w:rPr>
              <w:t> years</w:t>
            </w:r>
          </w:p>
        </w:tc>
        <w:tc>
          <w:tcPr>
            <w:tcW w:w="2596" w:type="dxa"/>
          </w:tcPr>
          <w:p>
            <w:pPr>
              <w:pStyle w:val="TableParagraph"/>
              <w:rPr>
                <w:rFonts w:ascii="Times New Roman"/>
                <w:sz w:val="16"/>
              </w:rPr>
            </w:pPr>
          </w:p>
        </w:tc>
        <w:tc>
          <w:tcPr>
            <w:tcW w:w="1129" w:type="dxa"/>
          </w:tcPr>
          <w:p>
            <w:pPr>
              <w:pStyle w:val="TableParagraph"/>
              <w:spacing w:before="25"/>
              <w:ind w:right="86"/>
              <w:jc w:val="right"/>
              <w:rPr>
                <w:sz w:val="16"/>
              </w:rPr>
            </w:pPr>
            <w:r>
              <w:rPr>
                <w:sz w:val="16"/>
              </w:rPr>
              <mc:AlternateContent>
                <mc:Choice Requires="wps">
                  <w:drawing>
                    <wp:anchor distT="0" distB="0" distL="0" distR="0" allowOverlap="1" layoutInCell="1" locked="0" behindDoc="0" simplePos="0" relativeHeight="15769600">
                      <wp:simplePos x="0" y="0"/>
                      <wp:positionH relativeFrom="column">
                        <wp:posOffset>-439707</wp:posOffset>
                      </wp:positionH>
                      <wp:positionV relativeFrom="paragraph">
                        <wp:posOffset>300023</wp:posOffset>
                      </wp:positionV>
                      <wp:extent cx="2324100" cy="1270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2324100" cy="12700"/>
                                <a:chExt cx="2324100" cy="12700"/>
                              </a:xfrm>
                            </wpg:grpSpPr>
                            <wps:wsp>
                              <wps:cNvPr id="258" name="Graphic 258"/>
                              <wps:cNvSpPr/>
                              <wps:spPr>
                                <a:xfrm>
                                  <a:off x="0" y="6350"/>
                                  <a:ext cx="2324100" cy="1270"/>
                                </a:xfrm>
                                <a:custGeom>
                                  <a:avLst/>
                                  <a:gdLst/>
                                  <a:ahLst/>
                                  <a:cxnLst/>
                                  <a:rect l="l" t="t" r="r" b="b"/>
                                  <a:pathLst>
                                    <a:path w="2324100" h="0">
                                      <a:moveTo>
                                        <a:pt x="0" y="0"/>
                                      </a:moveTo>
                                      <a:lnTo>
                                        <a:pt x="1143000" y="0"/>
                                      </a:lnTo>
                                    </a:path>
                                    <a:path w="2324100" h="0">
                                      <a:moveTo>
                                        <a:pt x="1181100" y="0"/>
                                      </a:moveTo>
                                      <a:lnTo>
                                        <a:pt x="2324100" y="0"/>
                                      </a:lnTo>
                                    </a:path>
                                  </a:pathLst>
                                </a:custGeom>
                                <a:ln w="12700">
                                  <a:solidFill>
                                    <a:srgbClr val="6C6C6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622608pt;margin-top:23.623905pt;width:183pt;height:1pt;mso-position-horizontal-relative:column;mso-position-vertical-relative:paragraph;z-index:15769600" id="docshapegroup205" coordorigin="-692,472" coordsize="3660,20">
                      <v:shape style="position:absolute;left:-693;top:482;width:3660;height:2" id="docshape206" coordorigin="-692,482" coordsize="3660,0" path="m-692,482l1108,482m1168,482l2968,482e" filled="false" stroked="true" strokeweight="1pt" strokecolor="#6c6c6c">
                        <v:path arrowok="t"/>
                        <v:stroke dashstyle="solid"/>
                      </v:shape>
                      <w10:wrap type="none"/>
                    </v:group>
                  </w:pict>
                </mc:Fallback>
              </mc:AlternateContent>
            </w:r>
            <w:r>
              <w:rPr>
                <w:spacing w:val="-2"/>
                <w:sz w:val="16"/>
              </w:rPr>
              <w:t>6,597</w:t>
            </w:r>
          </w:p>
        </w:tc>
        <w:tc>
          <w:tcPr>
            <w:tcW w:w="729"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2"/>
                <w:sz w:val="16"/>
              </w:rPr>
              <w:t>3,227</w:t>
            </w:r>
          </w:p>
        </w:tc>
      </w:tr>
      <w:tr>
        <w:trPr>
          <w:trHeight w:val="252" w:hRule="atLeast"/>
        </w:trPr>
        <w:tc>
          <w:tcPr>
            <w:tcW w:w="3795" w:type="dxa"/>
          </w:tcPr>
          <w:p>
            <w:pPr>
              <w:pStyle w:val="TableParagraph"/>
              <w:spacing w:before="25"/>
              <w:ind w:left="52"/>
              <w:rPr>
                <w:sz w:val="16"/>
              </w:rPr>
            </w:pPr>
            <w:r>
              <w:rPr>
                <w:sz w:val="16"/>
              </w:rPr>
              <w:t>Guarantee</w:t>
            </w:r>
            <w:r>
              <w:rPr>
                <w:spacing w:val="-6"/>
                <w:sz w:val="16"/>
              </w:rPr>
              <w:t> </w:t>
            </w:r>
            <w:r>
              <w:rPr>
                <w:spacing w:val="-2"/>
                <w:sz w:val="16"/>
              </w:rPr>
              <w:t>Commitments</w:t>
            </w:r>
          </w:p>
        </w:tc>
        <w:tc>
          <w:tcPr>
            <w:tcW w:w="2596" w:type="dxa"/>
          </w:tcPr>
          <w:p>
            <w:pPr>
              <w:pStyle w:val="TableParagraph"/>
              <w:rPr>
                <w:rFonts w:ascii="Times New Roman"/>
                <w:sz w:val="18"/>
              </w:rPr>
            </w:pPr>
          </w:p>
        </w:tc>
        <w:tc>
          <w:tcPr>
            <w:tcW w:w="1129" w:type="dxa"/>
          </w:tcPr>
          <w:p>
            <w:pPr>
              <w:pStyle w:val="TableParagraph"/>
              <w:spacing w:before="25"/>
              <w:ind w:right="86"/>
              <w:jc w:val="right"/>
              <w:rPr>
                <w:sz w:val="16"/>
              </w:rPr>
            </w:pPr>
            <w:r>
              <w:rPr>
                <w:spacing w:val="-5"/>
                <w:sz w:val="16"/>
              </w:rPr>
              <w:t>41</w:t>
            </w:r>
          </w:p>
        </w:tc>
        <w:tc>
          <w:tcPr>
            <w:tcW w:w="729" w:type="dxa"/>
          </w:tcPr>
          <w:p>
            <w:pPr>
              <w:pStyle w:val="TableParagraph"/>
              <w:rPr>
                <w:rFonts w:ascii="Times New Roman"/>
                <w:sz w:val="18"/>
              </w:rPr>
            </w:pPr>
          </w:p>
        </w:tc>
        <w:tc>
          <w:tcPr>
            <w:tcW w:w="1106" w:type="dxa"/>
          </w:tcPr>
          <w:p>
            <w:pPr>
              <w:pStyle w:val="TableParagraph"/>
              <w:spacing w:before="25"/>
              <w:ind w:right="61"/>
              <w:jc w:val="right"/>
              <w:rPr>
                <w:sz w:val="16"/>
              </w:rPr>
            </w:pPr>
            <w:r>
              <w:rPr>
                <w:sz w:val="16"/>
              </w:rPr>
              <w:t>—</w:t>
            </w:r>
          </w:p>
        </w:tc>
      </w:tr>
    </w:tbl>
    <w:p>
      <w:pPr>
        <w:tabs>
          <w:tab w:pos="6419" w:val="left" w:leader="none"/>
          <w:tab w:pos="7663" w:val="left" w:leader="none"/>
          <w:tab w:pos="9523" w:val="left" w:leader="none"/>
        </w:tabs>
        <w:spacing w:before="3"/>
        <w:ind w:left="772"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627776">
                <wp:simplePos x="0" y="0"/>
                <wp:positionH relativeFrom="page">
                  <wp:posOffset>4533900</wp:posOffset>
                </wp:positionH>
                <wp:positionV relativeFrom="paragraph">
                  <wp:posOffset>153060</wp:posOffset>
                </wp:positionV>
                <wp:extent cx="2324100" cy="1270"/>
                <wp:effectExtent l="0" t="0" r="0" b="0"/>
                <wp:wrapTopAndBottom/>
                <wp:docPr id="259" name="Graphic 259"/>
                <wp:cNvGraphicFramePr>
                  <a:graphicFrameLocks/>
                </wp:cNvGraphicFramePr>
                <a:graphic>
                  <a:graphicData uri="http://schemas.microsoft.com/office/word/2010/wordprocessingShape">
                    <wps:wsp>
                      <wps:cNvPr id="259" name="Graphic 259"/>
                      <wps:cNvSpPr/>
                      <wps:spPr>
                        <a:xfrm>
                          <a:off x="0" y="0"/>
                          <a:ext cx="2324100" cy="1270"/>
                        </a:xfrm>
                        <a:custGeom>
                          <a:avLst/>
                          <a:gdLst/>
                          <a:ahLst/>
                          <a:cxnLst/>
                          <a:rect l="l" t="t" r="r" b="b"/>
                          <a:pathLst>
                            <a:path w="2324100" h="0">
                              <a:moveTo>
                                <a:pt x="0" y="0"/>
                              </a:moveTo>
                              <a:lnTo>
                                <a:pt x="1143000" y="0"/>
                              </a:lnTo>
                            </a:path>
                            <a:path w="2324100" h="0">
                              <a:moveTo>
                                <a:pt x="1181100" y="0"/>
                              </a:moveTo>
                              <a:lnTo>
                                <a:pt x="23241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357pt;margin-top:12.052041pt;width:183pt;height:.1pt;mso-position-horizontal-relative:page;mso-position-vertical-relative:paragraph;z-index:-15688704;mso-wrap-distance-left:0;mso-wrap-distance-right:0" id="docshape207" coordorigin="7140,241" coordsize="3660,0" path="m7140,241l8940,241m9000,241l10800,241e" filled="false" stroked="true" strokeweight="1pt" strokecolor="#6c6c6c">
                <v:path arrowok="t"/>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628288">
                <wp:simplePos x="0" y="0"/>
                <wp:positionH relativeFrom="page">
                  <wp:posOffset>914400</wp:posOffset>
                </wp:positionH>
                <wp:positionV relativeFrom="paragraph">
                  <wp:posOffset>292760</wp:posOffset>
                </wp:positionV>
                <wp:extent cx="5943600" cy="127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05204pt;width:468pt;height:.1pt;mso-position-horizontal-relative:page;mso-position-vertical-relative:paragraph;z-index:-15688192;mso-wrap-distance-left:0;mso-wrap-distance-right:0" id="docshape208" coordorigin="1440,461" coordsize="9360,0" path="m1440,461l10800,461e" filled="false" stroked="true" strokeweight="1pt" strokecolor="#6c6c6c">
                <v:path arrowok="t"/>
                <v:stroke dashstyle="solid"/>
                <w10:wrap type="topAndBottom"/>
              </v:shape>
            </w:pict>
          </mc:Fallback>
        </mc:AlternateContent>
      </w:r>
      <w:r>
        <w:rPr>
          <w:rFonts w:ascii="Arial"/>
          <w:b/>
          <w:sz w:val="16"/>
        </w:rPr>
        <w:t>Total</w:t>
      </w:r>
      <w:r>
        <w:rPr>
          <w:rFonts w:ascii="Arial"/>
          <w:b/>
          <w:spacing w:val="-3"/>
          <w:sz w:val="16"/>
        </w:rPr>
        <w:t> </w:t>
      </w:r>
      <w:r>
        <w:rPr>
          <w:rFonts w:ascii="Arial"/>
          <w:b/>
          <w:sz w:val="16"/>
        </w:rPr>
        <w:t>Net</w:t>
      </w:r>
      <w:r>
        <w:rPr>
          <w:rFonts w:ascii="Arial"/>
          <w:b/>
          <w:spacing w:val="-2"/>
          <w:sz w:val="16"/>
        </w:rPr>
        <w:t> Commitments</w:t>
      </w:r>
      <w:r>
        <w:rPr>
          <w:rFonts w:ascii="Arial"/>
          <w:b/>
          <w:sz w:val="16"/>
        </w:rPr>
        <w:tab/>
      </w:r>
      <w:r>
        <w:rPr>
          <w:rFonts w:ascii="Arial"/>
          <w:b/>
          <w:sz w:val="16"/>
          <w:u w:val="single" w:color="6C6C6C"/>
        </w:rPr>
        <w:t> $</w:t>
        <w:tab/>
        <w:t>38,572</w:t>
      </w:r>
      <w:r>
        <w:rPr>
          <w:rFonts w:ascii="Arial"/>
          <w:b/>
          <w:spacing w:val="43"/>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33,072</w:t>
      </w:r>
    </w:p>
    <w:p>
      <w:pPr>
        <w:pStyle w:val="BodyText"/>
        <w:spacing w:before="2"/>
        <w:rPr>
          <w:rFonts w:ascii="Arial"/>
          <w:b/>
          <w:sz w:val="16"/>
        </w:rPr>
      </w:pPr>
    </w:p>
    <w:p>
      <w:pPr>
        <w:pStyle w:val="BodyText"/>
        <w:spacing w:after="0"/>
        <w:rPr>
          <w:rFonts w:ascii="Arial"/>
          <w:b/>
          <w:sz w:val="16"/>
        </w:rPr>
        <w:sectPr>
          <w:type w:val="continuous"/>
          <w:pgSz w:w="12240" w:h="15840"/>
          <w:pgMar w:header="744" w:footer="713" w:top="1820" w:bottom="280" w:left="720" w:right="720"/>
        </w:sectPr>
      </w:pPr>
    </w:p>
    <w:p>
      <w:pPr>
        <w:pStyle w:val="BodyText"/>
        <w:spacing w:before="96"/>
        <w:rPr>
          <w:rFonts w:ascii="Arial"/>
          <w:b/>
          <w:sz w:val="22"/>
        </w:rPr>
      </w:pPr>
    </w:p>
    <w:p>
      <w:pPr>
        <w:pStyle w:val="Heading4"/>
      </w:pPr>
      <w:r>
        <w:rPr/>
        <w:t>Other</w:t>
      </w:r>
      <w:r>
        <w:rPr>
          <w:spacing w:val="-3"/>
        </w:rPr>
        <w:t> </w:t>
      </w:r>
      <w:r>
        <w:rPr/>
        <w:t>Lending</w:t>
      </w:r>
      <w:r>
        <w:rPr>
          <w:spacing w:val="-3"/>
        </w:rPr>
        <w:t> </w:t>
      </w:r>
      <w:r>
        <w:rPr/>
        <w:t>Products</w:t>
      </w:r>
      <w:r>
        <w:rPr>
          <w:spacing w:val="-3"/>
        </w:rPr>
        <w:t> </w:t>
      </w:r>
      <w:r>
        <w:rPr/>
        <w:t>Currently</w:t>
      </w:r>
      <w:r>
        <w:rPr>
          <w:spacing w:val="-2"/>
        </w:rPr>
        <w:t> Available</w:t>
      </w:r>
    </w:p>
    <w:p>
      <w:pPr>
        <w:pStyle w:val="BodyText"/>
        <w:spacing w:line="232" w:lineRule="auto" w:before="145"/>
        <w:ind w:left="720" w:right="720"/>
        <w:jc w:val="both"/>
      </w:pPr>
      <w:r>
        <w:rPr/>
        <w:t>In addition to IFLs, IBRD offers loans with a deferred drawdown option, Special Development Policy Loans (SDPLs), loan-related derivatives, and loans to IFC (See Box 3).</w:t>
      </w:r>
    </w:p>
    <w:p>
      <w:pPr>
        <w:pStyle w:val="BodyText"/>
        <w:spacing w:before="1"/>
      </w:pPr>
    </w:p>
    <w:p>
      <w:pPr>
        <w:spacing w:before="0" w:after="37"/>
        <w:ind w:left="720" w:right="0" w:firstLine="0"/>
        <w:jc w:val="both"/>
        <w:rPr>
          <w:rFonts w:ascii="Arial"/>
          <w:b/>
          <w:sz w:val="18"/>
        </w:rPr>
      </w:pPr>
      <w:bookmarkStart w:name="_bookmark30" w:id="47"/>
      <w:bookmarkEnd w:id="47"/>
      <w:r>
        <w:rPr/>
      </w:r>
      <w:r>
        <w:rPr>
          <w:rFonts w:ascii="Arial"/>
          <w:b/>
          <w:sz w:val="18"/>
        </w:rPr>
        <w:t>Box</w:t>
      </w:r>
      <w:r>
        <w:rPr>
          <w:rFonts w:ascii="Arial"/>
          <w:b/>
          <w:spacing w:val="-4"/>
          <w:sz w:val="18"/>
        </w:rPr>
        <w:t> </w:t>
      </w:r>
      <w:r>
        <w:rPr>
          <w:rFonts w:ascii="Arial"/>
          <w:b/>
          <w:sz w:val="18"/>
        </w:rPr>
        <w:t>3:</w:t>
      </w:r>
      <w:r>
        <w:rPr>
          <w:rFonts w:ascii="Arial"/>
          <w:b/>
          <w:spacing w:val="-2"/>
          <w:sz w:val="18"/>
        </w:rPr>
        <w:t> </w:t>
      </w:r>
      <w:r>
        <w:rPr>
          <w:rFonts w:ascii="Arial"/>
          <w:b/>
          <w:sz w:val="18"/>
        </w:rPr>
        <w:t>Other</w:t>
      </w:r>
      <w:r>
        <w:rPr>
          <w:rFonts w:ascii="Arial"/>
          <w:b/>
          <w:spacing w:val="-1"/>
          <w:sz w:val="18"/>
        </w:rPr>
        <w:t> </w:t>
      </w:r>
      <w:r>
        <w:rPr>
          <w:rFonts w:ascii="Arial"/>
          <w:b/>
          <w:sz w:val="18"/>
        </w:rPr>
        <w:t>Lending</w:t>
      </w:r>
      <w:r>
        <w:rPr>
          <w:rFonts w:ascii="Arial"/>
          <w:b/>
          <w:spacing w:val="-2"/>
          <w:sz w:val="18"/>
        </w:rPr>
        <w:t> </w:t>
      </w:r>
      <w:r>
        <w:rPr>
          <w:rFonts w:ascii="Arial"/>
          <w:b/>
          <w:sz w:val="18"/>
        </w:rPr>
        <w:t>Products</w:t>
      </w:r>
      <w:r>
        <w:rPr>
          <w:rFonts w:ascii="Arial"/>
          <w:b/>
          <w:spacing w:val="-2"/>
          <w:sz w:val="18"/>
        </w:rPr>
        <w:t> </w:t>
      </w:r>
      <w:r>
        <w:rPr>
          <w:rFonts w:ascii="Arial"/>
          <w:b/>
          <w:sz w:val="18"/>
        </w:rPr>
        <w:t>Currently</w:t>
      </w:r>
      <w:r>
        <w:rPr>
          <w:rFonts w:ascii="Arial"/>
          <w:b/>
          <w:spacing w:val="-1"/>
          <w:sz w:val="18"/>
        </w:rPr>
        <w:t> </w:t>
      </w:r>
      <w:r>
        <w:rPr>
          <w:rFonts w:ascii="Arial"/>
          <w:b/>
          <w:spacing w:val="-2"/>
          <w:sz w:val="18"/>
        </w:rPr>
        <w:t>Available</w:t>
      </w:r>
    </w:p>
    <w:tbl>
      <w:tblPr>
        <w:tblW w:w="0" w:type="auto"/>
        <w:jc w:val="left"/>
        <w:tblInd w:w="715"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1890"/>
        <w:gridCol w:w="7455"/>
      </w:tblGrid>
      <w:tr>
        <w:trPr>
          <w:trHeight w:val="220" w:hRule="atLeast"/>
        </w:trPr>
        <w:tc>
          <w:tcPr>
            <w:tcW w:w="1890" w:type="dxa"/>
          </w:tcPr>
          <w:p>
            <w:pPr>
              <w:pStyle w:val="TableParagraph"/>
              <w:spacing w:line="184" w:lineRule="exact" w:before="16"/>
              <w:ind w:left="52"/>
              <w:rPr>
                <w:rFonts w:ascii="Arial"/>
                <w:b/>
                <w:sz w:val="16"/>
              </w:rPr>
            </w:pPr>
            <w:r>
              <w:rPr>
                <w:rFonts w:ascii="Arial"/>
                <w:b/>
                <w:sz w:val="16"/>
              </w:rPr>
              <w:t>Lending</w:t>
            </w:r>
            <w:r>
              <w:rPr>
                <w:rFonts w:ascii="Arial"/>
                <w:b/>
                <w:spacing w:val="-6"/>
                <w:sz w:val="16"/>
              </w:rPr>
              <w:t> </w:t>
            </w:r>
            <w:r>
              <w:rPr>
                <w:rFonts w:ascii="Arial"/>
                <w:b/>
                <w:spacing w:val="-2"/>
                <w:sz w:val="16"/>
              </w:rPr>
              <w:t>Product</w:t>
            </w:r>
          </w:p>
        </w:tc>
        <w:tc>
          <w:tcPr>
            <w:tcW w:w="7455" w:type="dxa"/>
          </w:tcPr>
          <w:p>
            <w:pPr>
              <w:pStyle w:val="TableParagraph"/>
              <w:spacing w:line="184" w:lineRule="exact" w:before="16"/>
              <w:ind w:left="52"/>
              <w:rPr>
                <w:rFonts w:ascii="Arial"/>
                <w:b/>
                <w:sz w:val="16"/>
              </w:rPr>
            </w:pPr>
            <w:r>
              <w:rPr>
                <w:rFonts w:ascii="Arial"/>
                <w:b/>
                <w:spacing w:val="-2"/>
                <w:sz w:val="16"/>
              </w:rPr>
              <w:t>Description</w:t>
            </w:r>
          </w:p>
        </w:tc>
      </w:tr>
      <w:tr>
        <w:trPr>
          <w:trHeight w:val="1780" w:hRule="atLeast"/>
        </w:trPr>
        <w:tc>
          <w:tcPr>
            <w:tcW w:w="1890" w:type="dxa"/>
          </w:tcPr>
          <w:p>
            <w:pPr>
              <w:pStyle w:val="TableParagraph"/>
              <w:rPr>
                <w:rFonts w:ascii="Arial"/>
                <w:b/>
                <w:sz w:val="16"/>
              </w:rPr>
            </w:pPr>
          </w:p>
          <w:p>
            <w:pPr>
              <w:pStyle w:val="TableParagraph"/>
              <w:spacing w:before="172"/>
              <w:rPr>
                <w:rFonts w:ascii="Arial"/>
                <w:b/>
                <w:sz w:val="16"/>
              </w:rPr>
            </w:pPr>
          </w:p>
          <w:p>
            <w:pPr>
              <w:pStyle w:val="TableParagraph"/>
              <w:spacing w:line="249" w:lineRule="auto"/>
              <w:ind w:left="52"/>
              <w:rPr>
                <w:rFonts w:ascii="Arial"/>
                <w:b/>
                <w:sz w:val="16"/>
              </w:rPr>
            </w:pPr>
            <w:r>
              <w:rPr>
                <w:rFonts w:ascii="Arial"/>
                <w:b/>
                <w:sz w:val="16"/>
              </w:rPr>
              <w:t>Loans</w:t>
            </w:r>
            <w:r>
              <w:rPr>
                <w:rFonts w:ascii="Arial"/>
                <w:b/>
                <w:spacing w:val="25"/>
                <w:sz w:val="16"/>
              </w:rPr>
              <w:t> </w:t>
            </w:r>
            <w:r>
              <w:rPr>
                <w:rFonts w:ascii="Arial"/>
                <w:b/>
                <w:sz w:val="16"/>
              </w:rPr>
              <w:t>with</w:t>
            </w:r>
            <w:r>
              <w:rPr>
                <w:rFonts w:ascii="Arial"/>
                <w:b/>
                <w:spacing w:val="25"/>
                <w:sz w:val="16"/>
              </w:rPr>
              <w:t> </w:t>
            </w:r>
            <w:r>
              <w:rPr>
                <w:rFonts w:ascii="Arial"/>
                <w:b/>
                <w:sz w:val="16"/>
              </w:rPr>
              <w:t>a</w:t>
            </w:r>
            <w:r>
              <w:rPr>
                <w:rFonts w:ascii="Arial"/>
                <w:b/>
                <w:spacing w:val="25"/>
                <w:sz w:val="16"/>
              </w:rPr>
              <w:t> </w:t>
            </w:r>
            <w:r>
              <w:rPr>
                <w:rFonts w:ascii="Arial"/>
                <w:b/>
                <w:sz w:val="16"/>
              </w:rPr>
              <w:t>Deferred Drawdown Option</w:t>
            </w:r>
          </w:p>
        </w:tc>
        <w:tc>
          <w:tcPr>
            <w:tcW w:w="7455" w:type="dxa"/>
          </w:tcPr>
          <w:p>
            <w:pPr>
              <w:pStyle w:val="TableParagraph"/>
              <w:spacing w:line="208" w:lineRule="auto" w:before="92"/>
              <w:ind w:left="52" w:right="28"/>
              <w:jc w:val="both"/>
              <w:rPr>
                <w:sz w:val="16"/>
              </w:rPr>
            </w:pPr>
            <w:r>
              <w:rPr>
                <w:sz w:val="16"/>
              </w:rPr>
              <w:t>The Development Policy Loan Deferred Drawdown Option (DPL DDO) gives borrowers the flexibility to rapidly obtain the financing they require.</w:t>
            </w:r>
            <w:r>
              <w:rPr>
                <w:spacing w:val="40"/>
                <w:sz w:val="16"/>
              </w:rPr>
              <w:t> </w:t>
            </w:r>
            <w:r>
              <w:rPr>
                <w:sz w:val="16"/>
              </w:rPr>
              <w:t>For example, such funds could be needed owing to a shortfall in resources caused by unfavorable economic events, such as declines in growth or unfavorable shifts</w:t>
            </w:r>
            <w:r>
              <w:rPr>
                <w:spacing w:val="40"/>
                <w:sz w:val="16"/>
              </w:rPr>
              <w:t> </w:t>
            </w:r>
            <w:r>
              <w:rPr>
                <w:sz w:val="16"/>
              </w:rPr>
              <w:t>in commodity prices or terms of trade. The Catastrophe Risk DDO (CAT DDO) enables borrowers to access immediate funding to respond rapidly in the wake of a natural disaster. Under the DPL DDO, borrowers may defer disbursement for up to three years, renewable for an additional three years. The CAT DDO has a revolving feature and the three-year drawdown period may be renewed up to four times,</w:t>
            </w:r>
            <w:r>
              <w:rPr>
                <w:spacing w:val="-1"/>
                <w:sz w:val="16"/>
              </w:rPr>
              <w:t> </w:t>
            </w:r>
            <w:r>
              <w:rPr>
                <w:sz w:val="16"/>
              </w:rPr>
              <w:t>for</w:t>
            </w:r>
            <w:r>
              <w:rPr>
                <w:spacing w:val="-1"/>
                <w:sz w:val="16"/>
              </w:rPr>
              <w:t> </w:t>
            </w:r>
            <w:r>
              <w:rPr>
                <w:sz w:val="16"/>
              </w:rPr>
              <w:t>a</w:t>
            </w:r>
            <w:r>
              <w:rPr>
                <w:spacing w:val="-1"/>
                <w:sz w:val="16"/>
              </w:rPr>
              <w:t> </w:t>
            </w:r>
            <w:r>
              <w:rPr>
                <w:sz w:val="16"/>
              </w:rPr>
              <w:t>total</w:t>
            </w:r>
            <w:r>
              <w:rPr>
                <w:spacing w:val="-1"/>
                <w:sz w:val="16"/>
              </w:rPr>
              <w:t> </w:t>
            </w:r>
            <w:r>
              <w:rPr>
                <w:sz w:val="16"/>
              </w:rPr>
              <w:t>maximum</w:t>
            </w:r>
            <w:r>
              <w:rPr>
                <w:spacing w:val="-1"/>
                <w:sz w:val="16"/>
              </w:rPr>
              <w:t> </w:t>
            </w:r>
            <w:r>
              <w:rPr>
                <w:sz w:val="16"/>
              </w:rPr>
              <w:t>drawdown</w:t>
            </w:r>
            <w:r>
              <w:rPr>
                <w:spacing w:val="-1"/>
                <w:sz w:val="16"/>
              </w:rPr>
              <w:t> </w:t>
            </w:r>
            <w:r>
              <w:rPr>
                <w:sz w:val="16"/>
              </w:rPr>
              <w:t>period</w:t>
            </w:r>
            <w:r>
              <w:rPr>
                <w:spacing w:val="-1"/>
                <w:sz w:val="16"/>
              </w:rPr>
              <w:t> </w:t>
            </w:r>
            <w:r>
              <w:rPr>
                <w:sz w:val="16"/>
              </w:rPr>
              <w:t>of</w:t>
            </w:r>
            <w:r>
              <w:rPr>
                <w:spacing w:val="-1"/>
                <w:sz w:val="16"/>
              </w:rPr>
              <w:t> </w:t>
            </w:r>
            <w:r>
              <w:rPr>
                <w:sz w:val="16"/>
              </w:rPr>
              <w:t>15</w:t>
            </w:r>
            <w:r>
              <w:rPr>
                <w:spacing w:val="-1"/>
                <w:sz w:val="16"/>
              </w:rPr>
              <w:t> </w:t>
            </w:r>
            <w:r>
              <w:rPr>
                <w:sz w:val="16"/>
              </w:rPr>
              <w:t>years</w:t>
            </w:r>
            <w:r>
              <w:rPr>
                <w:spacing w:val="-1"/>
                <w:sz w:val="16"/>
              </w:rPr>
              <w:t> </w:t>
            </w:r>
            <w:r>
              <w:rPr>
                <w:sz w:val="16"/>
              </w:rPr>
              <w:t>(Table</w:t>
            </w:r>
            <w:r>
              <w:rPr>
                <w:spacing w:val="-1"/>
                <w:sz w:val="16"/>
              </w:rPr>
              <w:t> </w:t>
            </w:r>
            <w:r>
              <w:rPr>
                <w:sz w:val="16"/>
              </w:rPr>
              <w:t>12).</w:t>
            </w:r>
            <w:r>
              <w:rPr>
                <w:spacing w:val="-8"/>
                <w:sz w:val="16"/>
              </w:rPr>
              <w:t> </w:t>
            </w:r>
            <w:r>
              <w:rPr>
                <w:sz w:val="16"/>
              </w:rPr>
              <w:t>As</w:t>
            </w:r>
            <w:r>
              <w:rPr>
                <w:spacing w:val="-1"/>
                <w:sz w:val="16"/>
              </w:rPr>
              <w:t> </w:t>
            </w:r>
            <w:r>
              <w:rPr>
                <w:sz w:val="16"/>
              </w:rPr>
              <w:t>of</w:t>
            </w:r>
            <w:r>
              <w:rPr>
                <w:spacing w:val="-1"/>
                <w:sz w:val="16"/>
              </w:rPr>
              <w:t> </w:t>
            </w:r>
            <w:r>
              <w:rPr>
                <w:sz w:val="16"/>
              </w:rPr>
              <w:t>June</w:t>
            </w:r>
            <w:r>
              <w:rPr>
                <w:spacing w:val="-1"/>
                <w:sz w:val="16"/>
              </w:rPr>
              <w:t> </w:t>
            </w:r>
            <w:r>
              <w:rPr>
                <w:sz w:val="16"/>
              </w:rPr>
              <w:t>30,</w:t>
            </w:r>
            <w:r>
              <w:rPr>
                <w:spacing w:val="-1"/>
                <w:sz w:val="16"/>
              </w:rPr>
              <w:t> </w:t>
            </w:r>
            <w:r>
              <w:rPr>
                <w:sz w:val="16"/>
              </w:rPr>
              <w:t>2023,</w:t>
            </w:r>
            <w:r>
              <w:rPr>
                <w:spacing w:val="-1"/>
                <w:sz w:val="16"/>
              </w:rPr>
              <w:t> </w:t>
            </w:r>
            <w:r>
              <w:rPr>
                <w:sz w:val="16"/>
              </w:rPr>
              <w:t>the</w:t>
            </w:r>
            <w:r>
              <w:rPr>
                <w:spacing w:val="-1"/>
                <w:sz w:val="16"/>
              </w:rPr>
              <w:t> </w:t>
            </w:r>
            <w:r>
              <w:rPr>
                <w:sz w:val="16"/>
              </w:rPr>
              <w:t>amount</w:t>
            </w:r>
            <w:r>
              <w:rPr>
                <w:spacing w:val="-1"/>
                <w:sz w:val="16"/>
              </w:rPr>
              <w:t> </w:t>
            </w:r>
            <w:r>
              <w:rPr>
                <w:sz w:val="16"/>
              </w:rPr>
              <w:t>of DDOs disbursed and outstanding was $9.3 billion (compared to $8.8 billion on June 30, 2022), and the undisbursed amount of effective DDOs was $0.1 billion, compared to $0.6 billion a year earlier.</w:t>
            </w:r>
          </w:p>
        </w:tc>
      </w:tr>
      <w:tr>
        <w:trPr>
          <w:trHeight w:val="940" w:hRule="atLeast"/>
        </w:trPr>
        <w:tc>
          <w:tcPr>
            <w:tcW w:w="1890" w:type="dxa"/>
          </w:tcPr>
          <w:p>
            <w:pPr>
              <w:pStyle w:val="TableParagraph"/>
              <w:spacing w:before="128"/>
              <w:ind w:left="52"/>
              <w:rPr>
                <w:rFonts w:ascii="Arial"/>
                <w:b/>
                <w:sz w:val="16"/>
              </w:rPr>
            </w:pPr>
            <w:r>
              <w:rPr>
                <w:rFonts w:ascii="Arial"/>
                <w:b/>
                <w:sz w:val="16"/>
              </w:rPr>
              <w:t>Special Development Policy</w:t>
            </w:r>
            <w:r>
              <w:rPr>
                <w:rFonts w:ascii="Arial"/>
                <w:b/>
                <w:spacing w:val="-12"/>
                <w:sz w:val="16"/>
              </w:rPr>
              <w:t> </w:t>
            </w:r>
            <w:r>
              <w:rPr>
                <w:rFonts w:ascii="Arial"/>
                <w:b/>
                <w:sz w:val="16"/>
              </w:rPr>
              <w:t>Loans</w:t>
            </w:r>
            <w:r>
              <w:rPr>
                <w:rFonts w:ascii="Arial"/>
                <w:b/>
                <w:spacing w:val="-11"/>
                <w:sz w:val="16"/>
              </w:rPr>
              <w:t> </w:t>
            </w:r>
            <w:r>
              <w:rPr>
                <w:rFonts w:ascii="Arial"/>
                <w:b/>
                <w:sz w:val="16"/>
              </w:rPr>
              <w:t>(SDPLs)</w:t>
            </w:r>
          </w:p>
        </w:tc>
        <w:tc>
          <w:tcPr>
            <w:tcW w:w="7455" w:type="dxa"/>
          </w:tcPr>
          <w:p>
            <w:pPr>
              <w:pStyle w:val="TableParagraph"/>
              <w:spacing w:line="208" w:lineRule="auto" w:before="152"/>
              <w:ind w:left="52" w:right="26"/>
              <w:jc w:val="both"/>
              <w:rPr>
                <w:sz w:val="16"/>
              </w:rPr>
            </w:pPr>
            <w:r>
              <w:rPr>
                <w:sz w:val="16"/>
              </w:rPr>
              <w:t>SDPLs support structural and social reforms by creditworthy borrowers that face a possible global financial crisis or are already in a crisis and have extraordinary and urgent external financing needs. There was no amount outstanding as of June 30, 2023 and June 30, 2022. IBRD made no new SDPL commitments in either FY23 or FY22.</w:t>
            </w:r>
          </w:p>
        </w:tc>
      </w:tr>
      <w:tr>
        <w:trPr>
          <w:trHeight w:val="1585" w:hRule="atLeast"/>
        </w:trPr>
        <w:tc>
          <w:tcPr>
            <w:tcW w:w="1890" w:type="dxa"/>
          </w:tcPr>
          <w:p>
            <w:pPr>
              <w:pStyle w:val="TableParagraph"/>
              <w:rPr>
                <w:rFonts w:ascii="Arial"/>
                <w:b/>
                <w:sz w:val="16"/>
              </w:rPr>
            </w:pPr>
          </w:p>
          <w:p>
            <w:pPr>
              <w:pStyle w:val="TableParagraph"/>
              <w:spacing w:before="143"/>
              <w:rPr>
                <w:rFonts w:ascii="Arial"/>
                <w:b/>
                <w:sz w:val="16"/>
              </w:rPr>
            </w:pPr>
          </w:p>
          <w:p>
            <w:pPr>
              <w:pStyle w:val="TableParagraph"/>
              <w:ind w:left="52" w:right="16"/>
              <w:rPr>
                <w:rFonts w:ascii="Arial"/>
                <w:b/>
                <w:sz w:val="16"/>
              </w:rPr>
            </w:pPr>
            <w:r>
              <w:rPr>
                <w:rFonts w:ascii="Arial"/>
                <w:b/>
                <w:spacing w:val="-2"/>
                <w:sz w:val="16"/>
              </w:rPr>
              <w:t>Loan-</w:t>
            </w:r>
            <w:r>
              <w:rPr>
                <w:rFonts w:ascii="Arial"/>
                <w:b/>
                <w:spacing w:val="-2"/>
                <w:sz w:val="16"/>
              </w:rPr>
              <w:t>Related Derivatives</w:t>
            </w:r>
          </w:p>
        </w:tc>
        <w:tc>
          <w:tcPr>
            <w:tcW w:w="7455" w:type="dxa"/>
          </w:tcPr>
          <w:p>
            <w:pPr>
              <w:pStyle w:val="TableParagraph"/>
              <w:spacing w:line="208" w:lineRule="auto" w:before="154"/>
              <w:ind w:left="52" w:right="28"/>
              <w:jc w:val="both"/>
              <w:rPr>
                <w:sz w:val="16"/>
              </w:rPr>
            </w:pPr>
            <w:r>
              <w:rPr>
                <w:sz w:val="16"/>
              </w:rPr>
              <w:t>IBRD assists its borrowers with access to better risk management tools by offering derivative instruments, including currency and interest rate swaps and interest rate caps and collars, associated with their loans. These instruments may be executed either under a master derivatives agreement, which substantially conforms to industry standards, or under individually negotiated agreements. Under these arrangements, IBRD passes through the market cost of these instruments to its borrowers. The balance of loans outstanding for which borrowers had entered into currency or interest rate derivative transactions under a master derivatives agreement with IBRD was $9 billion as of June 30, 2023 and June 30, 2022.</w:t>
            </w:r>
          </w:p>
        </w:tc>
      </w:tr>
      <w:tr>
        <w:trPr>
          <w:trHeight w:val="700" w:hRule="atLeast"/>
        </w:trPr>
        <w:tc>
          <w:tcPr>
            <w:tcW w:w="1890" w:type="dxa"/>
          </w:tcPr>
          <w:p>
            <w:pPr>
              <w:pStyle w:val="TableParagraph"/>
              <w:spacing w:before="160"/>
              <w:ind w:left="107"/>
              <w:rPr>
                <w:rFonts w:ascii="Arial"/>
                <w:b/>
                <w:sz w:val="16"/>
              </w:rPr>
            </w:pPr>
            <w:r>
              <w:rPr>
                <w:rFonts w:ascii="Arial"/>
                <w:b/>
                <w:sz w:val="16"/>
              </w:rPr>
              <w:t>Loans</w:t>
            </w:r>
            <w:r>
              <w:rPr>
                <w:rFonts w:ascii="Arial"/>
                <w:b/>
                <w:spacing w:val="-3"/>
                <w:sz w:val="16"/>
              </w:rPr>
              <w:t> </w:t>
            </w:r>
            <w:r>
              <w:rPr>
                <w:rFonts w:ascii="Arial"/>
                <w:b/>
                <w:sz w:val="16"/>
              </w:rPr>
              <w:t>with</w:t>
            </w:r>
            <w:r>
              <w:rPr>
                <w:rFonts w:ascii="Arial"/>
                <w:b/>
                <w:spacing w:val="-3"/>
                <w:sz w:val="16"/>
              </w:rPr>
              <w:t> </w:t>
            </w:r>
            <w:r>
              <w:rPr>
                <w:rFonts w:ascii="Arial"/>
                <w:b/>
                <w:spacing w:val="-5"/>
                <w:sz w:val="16"/>
              </w:rPr>
              <w:t>IFC</w:t>
            </w:r>
          </w:p>
        </w:tc>
        <w:tc>
          <w:tcPr>
            <w:tcW w:w="7455" w:type="dxa"/>
          </w:tcPr>
          <w:p>
            <w:pPr>
              <w:pStyle w:val="TableParagraph"/>
              <w:spacing w:line="208" w:lineRule="auto" w:before="112"/>
              <w:ind w:left="52" w:right="30"/>
              <w:jc w:val="both"/>
              <w:rPr>
                <w:sz w:val="16"/>
              </w:rPr>
            </w:pPr>
            <w:r>
              <w:rPr>
                <w:sz w:val="16"/>
              </w:rPr>
              <w:t>IBRD provides loans to IFC in connection with the release of a member's National Currency Paid-In Capital (NCPIC) to IBRD. (See Section VIII for explanation of NCPIC).</w:t>
            </w:r>
            <w:r>
              <w:rPr>
                <w:spacing w:val="40"/>
                <w:sz w:val="16"/>
              </w:rPr>
              <w:t> </w:t>
            </w:r>
            <w:r>
              <w:rPr>
                <w:sz w:val="16"/>
              </w:rPr>
              <w:t>There was no outstanding amount as of June 30, 2023 and June 30, 2022.</w:t>
            </w:r>
          </w:p>
        </w:tc>
      </w:tr>
    </w:tbl>
    <w:p>
      <w:pPr>
        <w:pStyle w:val="Heading4"/>
        <w:spacing w:before="153"/>
      </w:pPr>
      <w:r>
        <w:rPr/>
        <w:t>Lending</w:t>
      </w:r>
      <w:r>
        <w:rPr>
          <w:spacing w:val="-4"/>
        </w:rPr>
        <w:t> </w:t>
      </w:r>
      <w:r>
        <w:rPr/>
        <w:t>Terms</w:t>
      </w:r>
      <w:r>
        <w:rPr>
          <w:spacing w:val="-3"/>
        </w:rPr>
        <w:t> </w:t>
      </w:r>
      <w:r>
        <w:rPr/>
        <w:t>Applicable</w:t>
      </w:r>
      <w:r>
        <w:rPr>
          <w:spacing w:val="-2"/>
        </w:rPr>
        <w:t> </w:t>
      </w:r>
      <w:r>
        <w:rPr/>
        <w:t>to</w:t>
      </w:r>
      <w:r>
        <w:rPr>
          <w:spacing w:val="-2"/>
        </w:rPr>
        <w:t> </w:t>
      </w:r>
      <w:r>
        <w:rPr/>
        <w:t>IBRD</w:t>
      </w:r>
      <w:r>
        <w:rPr>
          <w:spacing w:val="-2"/>
        </w:rPr>
        <w:t> Products</w:t>
      </w:r>
    </w:p>
    <w:p>
      <w:pPr>
        <w:pStyle w:val="BodyText"/>
        <w:spacing w:line="235" w:lineRule="auto" w:before="143"/>
        <w:ind w:left="720" w:right="718"/>
        <w:jc w:val="both"/>
        <w:rPr>
          <w:rFonts w:ascii="Arial MT"/>
          <w:sz w:val="21"/>
        </w:rPr>
      </w:pPr>
      <w:r>
        <w:rPr/>
        <w:t>Until the end of FY19, loans for all eligible members were subject to the same pricing. However, as part of the 2018 capital package, IBRD implemented a new pricing structure that classifies member countries into four pricing groups, based on income and other factors, and relates the maturity premium to the exemptions, discounts or surcharges applicable to each pricing group (See Table 11 below)</w:t>
      </w:r>
      <w:r>
        <w:rPr>
          <w:rFonts w:ascii="Arial MT"/>
          <w:color w:val="525252"/>
          <w:sz w:val="21"/>
        </w:rPr>
        <w:t>.</w:t>
      </w:r>
    </w:p>
    <w:p>
      <w:pPr>
        <w:pStyle w:val="BodyText"/>
        <w:spacing w:before="13"/>
        <w:rPr>
          <w:rFonts w:ascii="Arial MT"/>
        </w:rPr>
      </w:pPr>
    </w:p>
    <w:p>
      <w:pPr>
        <w:pStyle w:val="BodyText"/>
        <w:spacing w:after="0"/>
        <w:rPr>
          <w:rFonts w:ascii="Arial MT"/>
        </w:rPr>
        <w:sectPr>
          <w:pgSz w:w="12240" w:h="15840"/>
          <w:pgMar w:header="744" w:footer="583" w:top="1020" w:bottom="780" w:left="720" w:right="720"/>
        </w:sectPr>
      </w:pPr>
    </w:p>
    <w:p>
      <w:pPr>
        <w:spacing w:before="94"/>
        <w:ind w:left="720" w:right="0" w:firstLine="0"/>
        <w:jc w:val="left"/>
        <w:rPr>
          <w:rFonts w:ascii="Arial"/>
          <w:b/>
          <w:sz w:val="18"/>
        </w:rPr>
      </w:pPr>
      <w:r>
        <w:rPr>
          <w:rFonts w:ascii="Arial"/>
          <w:b/>
          <w:sz w:val="18"/>
        </w:rPr>
        <mc:AlternateContent>
          <mc:Choice Requires="wps">
            <w:drawing>
              <wp:anchor distT="0" distB="0" distL="0" distR="0" allowOverlap="1" layoutInCell="1" locked="0" behindDoc="0" simplePos="0" relativeHeight="15772160">
                <wp:simplePos x="0" y="0"/>
                <wp:positionH relativeFrom="page">
                  <wp:posOffset>914400</wp:posOffset>
                </wp:positionH>
                <wp:positionV relativeFrom="paragraph">
                  <wp:posOffset>221265</wp:posOffset>
                </wp:positionV>
                <wp:extent cx="5962650" cy="127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5962650" cy="1270"/>
                        </a:xfrm>
                        <a:custGeom>
                          <a:avLst/>
                          <a:gdLst/>
                          <a:ahLst/>
                          <a:cxnLst/>
                          <a:rect l="l" t="t" r="r" b="b"/>
                          <a:pathLst>
                            <a:path w="5962650" h="0">
                              <a:moveTo>
                                <a:pt x="0" y="0"/>
                              </a:moveTo>
                              <a:lnTo>
                                <a:pt x="596265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72pt,17.422457pt" to="541.5pt,17.422457pt" stroked="true" strokeweight="1pt" strokecolor="#6c6c6c">
                <v:stroke dashstyle="solid"/>
                <w10:wrap type="none"/>
              </v:line>
            </w:pict>
          </mc:Fallback>
        </mc:AlternateContent>
      </w:r>
      <w:bookmarkStart w:name="_bookmark31" w:id="48"/>
      <w:bookmarkEnd w:id="48"/>
      <w:r>
        <w:rPr/>
      </w:r>
      <w:r>
        <w:rPr>
          <w:rFonts w:ascii="Arial"/>
          <w:b/>
          <w:sz w:val="18"/>
        </w:rPr>
        <w:t>Table</w:t>
      </w:r>
      <w:r>
        <w:rPr>
          <w:rFonts w:ascii="Arial"/>
          <w:b/>
          <w:spacing w:val="-4"/>
          <w:sz w:val="18"/>
        </w:rPr>
        <w:t> </w:t>
      </w:r>
      <w:r>
        <w:rPr>
          <w:rFonts w:ascii="Arial"/>
          <w:b/>
          <w:sz w:val="18"/>
        </w:rPr>
        <w:t>11:</w:t>
      </w:r>
      <w:r>
        <w:rPr>
          <w:rFonts w:ascii="Arial"/>
          <w:b/>
          <w:spacing w:val="-2"/>
          <w:sz w:val="18"/>
        </w:rPr>
        <w:t> </w:t>
      </w:r>
      <w:r>
        <w:rPr>
          <w:rFonts w:ascii="Arial"/>
          <w:b/>
          <w:sz w:val="18"/>
        </w:rPr>
        <w:t>Country</w:t>
      </w:r>
      <w:r>
        <w:rPr>
          <w:rFonts w:ascii="Arial"/>
          <w:b/>
          <w:spacing w:val="-1"/>
          <w:sz w:val="18"/>
        </w:rPr>
        <w:t> </w:t>
      </w:r>
      <w:r>
        <w:rPr>
          <w:rFonts w:ascii="Arial"/>
          <w:b/>
          <w:sz w:val="18"/>
        </w:rPr>
        <w:t>Pricing</w:t>
      </w:r>
      <w:r>
        <w:rPr>
          <w:rFonts w:ascii="Arial"/>
          <w:b/>
          <w:spacing w:val="-2"/>
          <w:sz w:val="18"/>
        </w:rPr>
        <w:t> </w:t>
      </w:r>
      <w:r>
        <w:rPr>
          <w:rFonts w:ascii="Arial"/>
          <w:b/>
          <w:sz w:val="18"/>
        </w:rPr>
        <w:t>Group</w:t>
      </w:r>
      <w:r>
        <w:rPr>
          <w:rFonts w:ascii="Arial"/>
          <w:b/>
          <w:spacing w:val="-1"/>
          <w:sz w:val="18"/>
        </w:rPr>
        <w:t> </w:t>
      </w:r>
      <w:r>
        <w:rPr>
          <w:rFonts w:ascii="Arial"/>
          <w:b/>
          <w:sz w:val="18"/>
        </w:rPr>
        <w:t>and</w:t>
      </w:r>
      <w:r>
        <w:rPr>
          <w:rFonts w:ascii="Arial"/>
          <w:b/>
          <w:spacing w:val="-2"/>
          <w:sz w:val="18"/>
        </w:rPr>
        <w:t> </w:t>
      </w:r>
      <w:r>
        <w:rPr>
          <w:rFonts w:ascii="Arial"/>
          <w:b/>
          <w:sz w:val="18"/>
        </w:rPr>
        <w:t>Maturity</w:t>
      </w:r>
      <w:r>
        <w:rPr>
          <w:rFonts w:ascii="Arial"/>
          <w:b/>
          <w:spacing w:val="-2"/>
          <w:sz w:val="18"/>
        </w:rPr>
        <w:t> </w:t>
      </w:r>
      <w:r>
        <w:rPr>
          <w:rFonts w:ascii="Arial"/>
          <w:b/>
          <w:sz w:val="18"/>
        </w:rPr>
        <w:t>Premium</w:t>
      </w:r>
      <w:r>
        <w:rPr>
          <w:rFonts w:ascii="Arial"/>
          <w:b/>
          <w:spacing w:val="-1"/>
          <w:sz w:val="18"/>
        </w:rPr>
        <w:t> </w:t>
      </w:r>
      <w:r>
        <w:rPr>
          <w:rFonts w:ascii="Arial"/>
          <w:b/>
          <w:sz w:val="18"/>
        </w:rPr>
        <w:t>(in</w:t>
      </w:r>
      <w:r>
        <w:rPr>
          <w:rFonts w:ascii="Arial"/>
          <w:b/>
          <w:spacing w:val="-2"/>
          <w:sz w:val="18"/>
        </w:rPr>
        <w:t> </w:t>
      </w:r>
      <w:r>
        <w:rPr>
          <w:rFonts w:ascii="Arial"/>
          <w:b/>
          <w:sz w:val="18"/>
        </w:rPr>
        <w:t>basis</w:t>
      </w:r>
      <w:r>
        <w:rPr>
          <w:rFonts w:ascii="Arial"/>
          <w:b/>
          <w:spacing w:val="-1"/>
          <w:sz w:val="18"/>
        </w:rPr>
        <w:t> </w:t>
      </w:r>
      <w:r>
        <w:rPr>
          <w:rFonts w:ascii="Arial"/>
          <w:b/>
          <w:spacing w:val="-2"/>
          <w:sz w:val="18"/>
        </w:rPr>
        <w:t>points)</w:t>
      </w:r>
    </w:p>
    <w:p>
      <w:pPr>
        <w:pStyle w:val="BodyText"/>
        <w:spacing w:before="32"/>
        <w:rPr>
          <w:rFonts w:ascii="Arial"/>
          <w:b/>
          <w:sz w:val="18"/>
        </w:rPr>
      </w:pPr>
    </w:p>
    <w:p>
      <w:pPr>
        <w:tabs>
          <w:tab w:pos="5427" w:val="left" w:leader="none"/>
        </w:tabs>
        <w:spacing w:before="0"/>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72672">
                <wp:simplePos x="0" y="0"/>
                <wp:positionH relativeFrom="page">
                  <wp:posOffset>2124075</wp:posOffset>
                </wp:positionH>
                <wp:positionV relativeFrom="paragraph">
                  <wp:posOffset>135562</wp:posOffset>
                </wp:positionV>
                <wp:extent cx="4067175" cy="127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4067175" cy="1270"/>
                        </a:xfrm>
                        <a:custGeom>
                          <a:avLst/>
                          <a:gdLst/>
                          <a:ahLst/>
                          <a:cxnLst/>
                          <a:rect l="l" t="t" r="r" b="b"/>
                          <a:pathLst>
                            <a:path w="4067175" h="0">
                              <a:moveTo>
                                <a:pt x="0" y="0"/>
                              </a:moveTo>
                              <a:lnTo>
                                <a:pt x="4067175"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167.25pt,10.674214pt" to="487.5pt,10.674214pt" stroked="true" strokeweight="1pt" strokecolor="#6c6c6c">
                <v:stroke dashstyle="solid"/>
                <w10:wrap type="none"/>
              </v:line>
            </w:pict>
          </mc:Fallback>
        </mc:AlternateContent>
      </w:r>
      <w:r>
        <w:rPr>
          <w:rFonts w:ascii="Arial"/>
          <w:i/>
          <w:color w:val="7F7F7F"/>
          <w:sz w:val="16"/>
        </w:rPr>
        <w:t>Country</w:t>
      </w:r>
      <w:r>
        <w:rPr>
          <w:rFonts w:ascii="Arial"/>
          <w:i/>
          <w:color w:val="7F7F7F"/>
          <w:spacing w:val="-5"/>
          <w:sz w:val="16"/>
        </w:rPr>
        <w:t> </w:t>
      </w:r>
      <w:r>
        <w:rPr>
          <w:rFonts w:ascii="Arial"/>
          <w:i/>
          <w:color w:val="7F7F7F"/>
          <w:sz w:val="16"/>
        </w:rPr>
        <w:t>pricing</w:t>
      </w:r>
      <w:r>
        <w:rPr>
          <w:rFonts w:ascii="Arial"/>
          <w:i/>
          <w:color w:val="7F7F7F"/>
          <w:spacing w:val="-4"/>
          <w:sz w:val="16"/>
        </w:rPr>
        <w:t> </w:t>
      </w:r>
      <w:r>
        <w:rPr>
          <w:rFonts w:ascii="Arial"/>
          <w:i/>
          <w:color w:val="7F7F7F"/>
          <w:spacing w:val="-2"/>
          <w:sz w:val="16"/>
        </w:rPr>
        <w:t>group</w:t>
      </w:r>
      <w:r>
        <w:rPr>
          <w:rFonts w:ascii="Arial"/>
          <w:i/>
          <w:color w:val="7F7F7F"/>
          <w:sz w:val="16"/>
        </w:rPr>
        <w:tab/>
      </w:r>
      <w:r>
        <w:rPr>
          <w:rFonts w:ascii="Arial"/>
          <w:i/>
          <w:color w:val="7F7F7F"/>
          <w:spacing w:val="-2"/>
          <w:sz w:val="16"/>
        </w:rPr>
        <w:t>Description</w:t>
      </w:r>
    </w:p>
    <w:p>
      <w:pPr>
        <w:pStyle w:val="BodyText"/>
        <w:spacing w:before="6"/>
        <w:rPr>
          <w:rFonts w:ascii="Arial"/>
          <w:i/>
          <w:sz w:val="2"/>
        </w:rPr>
      </w:pPr>
    </w:p>
    <w:p>
      <w:pPr>
        <w:spacing w:line="20" w:lineRule="exact"/>
        <w:ind w:left="720" w:right="0" w:firstLine="0"/>
        <w:rPr>
          <w:rFonts w:ascii="Arial"/>
          <w:sz w:val="2"/>
        </w:rPr>
      </w:pPr>
      <w:r>
        <w:rPr>
          <w:rFonts w:ascii="Arial"/>
          <w:sz w:val="2"/>
        </w:rPr>
        <mc:AlternateContent>
          <mc:Choice Requires="wps">
            <w:drawing>
              <wp:inline distT="0" distB="0" distL="0" distR="0">
                <wp:extent cx="1085850" cy="12700"/>
                <wp:effectExtent l="9525" t="0" r="0" b="6350"/>
                <wp:docPr id="263" name="Group 263"/>
                <wp:cNvGraphicFramePr>
                  <a:graphicFrameLocks/>
                </wp:cNvGraphicFramePr>
                <a:graphic>
                  <a:graphicData uri="http://schemas.microsoft.com/office/word/2010/wordprocessingGroup">
                    <wpg:wgp>
                      <wpg:cNvPr id="263" name="Group 263"/>
                      <wpg:cNvGrpSpPr/>
                      <wpg:grpSpPr>
                        <a:xfrm>
                          <a:off x="0" y="0"/>
                          <a:ext cx="1085850" cy="12700"/>
                          <a:chExt cx="1085850" cy="12700"/>
                        </a:xfrm>
                      </wpg:grpSpPr>
                      <wps:wsp>
                        <wps:cNvPr id="264" name="Graphic 264"/>
                        <wps:cNvSpPr/>
                        <wps:spPr>
                          <a:xfrm>
                            <a:off x="0" y="6350"/>
                            <a:ext cx="1085850" cy="1270"/>
                          </a:xfrm>
                          <a:custGeom>
                            <a:avLst/>
                            <a:gdLst/>
                            <a:ahLst/>
                            <a:cxnLst/>
                            <a:rect l="l" t="t" r="r" b="b"/>
                            <a:pathLst>
                              <a:path w="1085850" h="0">
                                <a:moveTo>
                                  <a:pt x="0" y="0"/>
                                </a:moveTo>
                                <a:lnTo>
                                  <a:pt x="108585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85.5pt;height:1pt;mso-position-horizontal-relative:char;mso-position-vertical-relative:line" id="docshapegroup209" coordorigin="0,0" coordsize="1710,20">
                <v:line style="position:absolute" from="0,10" to="1710,10" stroked="true" strokeweight="1pt" strokecolor="#6c6c6c">
                  <v:stroke dashstyle="solid"/>
                </v:line>
              </v:group>
            </w:pict>
          </mc:Fallback>
        </mc:AlternateContent>
      </w:r>
      <w:r>
        <w:rPr>
          <w:rFonts w:ascii="Arial"/>
          <w:sz w:val="2"/>
        </w:rPr>
      </w:r>
    </w:p>
    <w:p>
      <w:pPr>
        <w:pStyle w:val="ListParagraph"/>
        <w:numPr>
          <w:ilvl w:val="0"/>
          <w:numId w:val="10"/>
        </w:numPr>
        <w:tabs>
          <w:tab w:pos="2677" w:val="left" w:leader="none"/>
        </w:tabs>
        <w:spacing w:line="208" w:lineRule="auto" w:before="141" w:after="0"/>
        <w:ind w:left="2677" w:right="0" w:hanging="1156"/>
        <w:jc w:val="left"/>
        <w:rPr>
          <w:rFonts w:ascii="Arial MT"/>
          <w:sz w:val="16"/>
        </w:rPr>
      </w:pPr>
      <w:r>
        <w:rPr>
          <w:rFonts w:ascii="Arial MT"/>
          <w:sz w:val="16"/>
        </w:rPr>
        <w:t>Blends </w:t>
      </w:r>
      <w:r>
        <w:rPr>
          <w:rFonts w:ascii="Arial MT"/>
          <w:sz w:val="16"/>
          <w:vertAlign w:val="superscript"/>
        </w:rPr>
        <w:t>b</w:t>
      </w:r>
      <w:r>
        <w:rPr>
          <w:rFonts w:ascii="Arial MT"/>
          <w:sz w:val="16"/>
          <w:vertAlign w:val="baseline"/>
        </w:rPr>
        <w:t>, small states, countries in fragile and conflict-affected situations (FCS) and recent</w:t>
      </w:r>
      <w:r>
        <w:rPr>
          <w:rFonts w:ascii="Arial MT"/>
          <w:spacing w:val="-5"/>
          <w:sz w:val="16"/>
          <w:vertAlign w:val="baseline"/>
        </w:rPr>
        <w:t> </w:t>
      </w:r>
      <w:r>
        <w:rPr>
          <w:rFonts w:ascii="Arial MT"/>
          <w:sz w:val="16"/>
          <w:vertAlign w:val="baseline"/>
        </w:rPr>
        <w:t>IDA</w:t>
      </w:r>
      <w:r>
        <w:rPr>
          <w:rFonts w:ascii="Arial MT"/>
          <w:spacing w:val="-12"/>
          <w:sz w:val="16"/>
          <w:vertAlign w:val="baseline"/>
        </w:rPr>
        <w:t> </w:t>
      </w:r>
      <w:r>
        <w:rPr>
          <w:rFonts w:ascii="Arial MT"/>
          <w:sz w:val="16"/>
          <w:vertAlign w:val="baseline"/>
        </w:rPr>
        <w:t>graduates.</w:t>
      </w:r>
      <w:r>
        <w:rPr>
          <w:rFonts w:ascii="Arial MT"/>
          <w:spacing w:val="-6"/>
          <w:sz w:val="16"/>
          <w:vertAlign w:val="baseline"/>
        </w:rPr>
        <w:t> </w:t>
      </w:r>
      <w:r>
        <w:rPr>
          <w:rFonts w:ascii="Arial MT"/>
          <w:sz w:val="16"/>
          <w:vertAlign w:val="baseline"/>
        </w:rPr>
        <w:t>These</w:t>
      </w:r>
      <w:r>
        <w:rPr>
          <w:rFonts w:ascii="Arial MT"/>
          <w:spacing w:val="-5"/>
          <w:sz w:val="16"/>
          <w:vertAlign w:val="baseline"/>
        </w:rPr>
        <w:t> </w:t>
      </w:r>
      <w:r>
        <w:rPr>
          <w:rFonts w:ascii="Arial MT"/>
          <w:sz w:val="16"/>
          <w:vertAlign w:val="baseline"/>
        </w:rPr>
        <w:t>countries</w:t>
      </w:r>
      <w:r>
        <w:rPr>
          <w:rFonts w:ascii="Arial MT"/>
          <w:spacing w:val="-4"/>
          <w:sz w:val="16"/>
          <w:vertAlign w:val="baseline"/>
        </w:rPr>
        <w:t> </w:t>
      </w:r>
      <w:r>
        <w:rPr>
          <w:rFonts w:ascii="Arial MT"/>
          <w:sz w:val="16"/>
          <w:vertAlign w:val="baseline"/>
        </w:rPr>
        <w:t>are</w:t>
      </w:r>
      <w:r>
        <w:rPr>
          <w:rFonts w:ascii="Arial MT"/>
          <w:spacing w:val="-5"/>
          <w:sz w:val="16"/>
          <w:vertAlign w:val="baseline"/>
        </w:rPr>
        <w:t> </w:t>
      </w:r>
      <w:r>
        <w:rPr>
          <w:rFonts w:ascii="Arial MT"/>
          <w:sz w:val="16"/>
          <w:vertAlign w:val="baseline"/>
        </w:rPr>
        <w:t>exempt</w:t>
      </w:r>
      <w:r>
        <w:rPr>
          <w:rFonts w:ascii="Arial MT"/>
          <w:spacing w:val="-4"/>
          <w:sz w:val="16"/>
          <w:vertAlign w:val="baseline"/>
        </w:rPr>
        <w:t> </w:t>
      </w:r>
      <w:r>
        <w:rPr>
          <w:rFonts w:ascii="Arial MT"/>
          <w:sz w:val="16"/>
          <w:vertAlign w:val="baseline"/>
        </w:rPr>
        <w:t>from</w:t>
      </w:r>
      <w:r>
        <w:rPr>
          <w:rFonts w:ascii="Arial MT"/>
          <w:spacing w:val="-4"/>
          <w:sz w:val="16"/>
          <w:vertAlign w:val="baseline"/>
        </w:rPr>
        <w:t> </w:t>
      </w:r>
      <w:r>
        <w:rPr>
          <w:rFonts w:ascii="Arial MT"/>
          <w:sz w:val="16"/>
          <w:vertAlign w:val="baseline"/>
        </w:rPr>
        <w:t>the</w:t>
      </w:r>
      <w:r>
        <w:rPr>
          <w:rFonts w:ascii="Arial MT"/>
          <w:spacing w:val="-5"/>
          <w:sz w:val="16"/>
          <w:vertAlign w:val="baseline"/>
        </w:rPr>
        <w:t> </w:t>
      </w:r>
      <w:r>
        <w:rPr>
          <w:rFonts w:ascii="Arial MT"/>
          <w:sz w:val="16"/>
          <w:vertAlign w:val="baseline"/>
        </w:rPr>
        <w:t>maturity</w:t>
      </w:r>
      <w:r>
        <w:rPr>
          <w:rFonts w:ascii="Arial MT"/>
          <w:spacing w:val="-4"/>
          <w:sz w:val="16"/>
          <w:vertAlign w:val="baseline"/>
        </w:rPr>
        <w:t> </w:t>
      </w:r>
      <w:r>
        <w:rPr>
          <w:rFonts w:ascii="Arial MT"/>
          <w:sz w:val="16"/>
          <w:vertAlign w:val="baseline"/>
        </w:rPr>
        <w:t>premium</w:t>
      </w:r>
      <w:r>
        <w:rPr>
          <w:rFonts w:ascii="Arial MT"/>
          <w:spacing w:val="-4"/>
          <w:sz w:val="16"/>
          <w:vertAlign w:val="baseline"/>
        </w:rPr>
        <w:t> </w:t>
      </w:r>
      <w:r>
        <w:rPr>
          <w:rFonts w:ascii="Arial MT"/>
          <w:sz w:val="16"/>
          <w:vertAlign w:val="baseline"/>
        </w:rPr>
        <w:t>increase regardless of their income levels.</w:t>
      </w:r>
    </w:p>
    <w:p>
      <w:pPr>
        <w:pStyle w:val="BodyText"/>
        <w:rPr>
          <w:rFonts w:ascii="Arial MT"/>
          <w:sz w:val="16"/>
        </w:rPr>
      </w:pPr>
      <w:r>
        <w:rPr/>
        <w:br w:type="column"/>
      </w:r>
      <w:r>
        <w:rPr>
          <w:rFonts w:ascii="Arial MT"/>
          <w:sz w:val="16"/>
        </w:rPr>
      </w:r>
    </w:p>
    <w:p>
      <w:pPr>
        <w:pStyle w:val="BodyText"/>
        <w:spacing w:before="31"/>
        <w:rPr>
          <w:rFonts w:ascii="Arial MT"/>
          <w:sz w:val="16"/>
        </w:rPr>
      </w:pPr>
    </w:p>
    <w:p>
      <w:pPr>
        <w:spacing w:line="208" w:lineRule="auto" w:before="0"/>
        <w:ind w:left="406" w:right="820" w:firstLine="0"/>
        <w:jc w:val="center"/>
        <w:rPr>
          <w:rFonts w:ascii="Arial"/>
          <w:i/>
          <w:sz w:val="16"/>
        </w:rPr>
      </w:pPr>
      <w:r>
        <w:rPr>
          <w:rFonts w:ascii="Arial"/>
          <w:i/>
          <w:color w:val="7F7F7F"/>
          <w:spacing w:val="-2"/>
          <w:sz w:val="16"/>
        </w:rPr>
        <w:t>Maturity Premium</w:t>
      </w:r>
      <w:r>
        <w:rPr>
          <w:rFonts w:ascii="Arial"/>
          <w:i/>
          <w:color w:val="7F7F7F"/>
          <w:spacing w:val="-8"/>
          <w:sz w:val="16"/>
        </w:rPr>
        <w:t> </w:t>
      </w:r>
      <w:r>
        <w:rPr>
          <w:rFonts w:ascii="Arial"/>
          <w:i/>
          <w:color w:val="7F7F7F"/>
          <w:spacing w:val="-10"/>
          <w:sz w:val="16"/>
          <w:vertAlign w:val="superscript"/>
        </w:rPr>
        <w:t>a</w:t>
      </w:r>
    </w:p>
    <w:p>
      <w:pPr>
        <w:pStyle w:val="BodyText"/>
        <w:spacing w:before="11"/>
        <w:rPr>
          <w:rFonts w:ascii="Arial"/>
          <w:i/>
          <w:sz w:val="2"/>
        </w:rPr>
      </w:pPr>
    </w:p>
    <w:p>
      <w:pPr>
        <w:spacing w:line="20" w:lineRule="exact"/>
        <w:ind w:left="274" w:right="0" w:firstLine="0"/>
        <w:rPr>
          <w:rFonts w:ascii="Arial"/>
          <w:sz w:val="2"/>
        </w:rPr>
      </w:pPr>
      <w:r>
        <w:rPr>
          <w:rFonts w:ascii="Arial"/>
          <w:sz w:val="2"/>
        </w:rPr>
        <mc:AlternateContent>
          <mc:Choice Requires="wps">
            <w:drawing>
              <wp:inline distT="0" distB="0" distL="0" distR="0">
                <wp:extent cx="628650" cy="12700"/>
                <wp:effectExtent l="9525" t="0" r="0" b="6350"/>
                <wp:docPr id="265" name="Group 265"/>
                <wp:cNvGraphicFramePr>
                  <a:graphicFrameLocks/>
                </wp:cNvGraphicFramePr>
                <a:graphic>
                  <a:graphicData uri="http://schemas.microsoft.com/office/word/2010/wordprocessingGroup">
                    <wpg:wgp>
                      <wpg:cNvPr id="265" name="Group 265"/>
                      <wpg:cNvGrpSpPr/>
                      <wpg:grpSpPr>
                        <a:xfrm>
                          <a:off x="0" y="0"/>
                          <a:ext cx="628650" cy="12700"/>
                          <a:chExt cx="628650" cy="12700"/>
                        </a:xfrm>
                      </wpg:grpSpPr>
                      <wps:wsp>
                        <wps:cNvPr id="266" name="Graphic 266"/>
                        <wps:cNvSpPr/>
                        <wps:spPr>
                          <a:xfrm>
                            <a:off x="0" y="6350"/>
                            <a:ext cx="628650" cy="1270"/>
                          </a:xfrm>
                          <a:custGeom>
                            <a:avLst/>
                            <a:gdLst/>
                            <a:ahLst/>
                            <a:cxnLst/>
                            <a:rect l="l" t="t" r="r" b="b"/>
                            <a:pathLst>
                              <a:path w="628650" h="0">
                                <a:moveTo>
                                  <a:pt x="0" y="0"/>
                                </a:moveTo>
                                <a:lnTo>
                                  <a:pt x="62865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49.5pt;height:1pt;mso-position-horizontal-relative:char;mso-position-vertical-relative:line" id="docshapegroup210" coordorigin="0,0" coordsize="990,20">
                <v:line style="position:absolute" from="0,10" to="990,10" stroked="true" strokeweight="1pt" strokecolor="#6c6c6c">
                  <v:stroke dashstyle="solid"/>
                </v:line>
              </v:group>
            </w:pict>
          </mc:Fallback>
        </mc:AlternateContent>
      </w:r>
      <w:r>
        <w:rPr>
          <w:rFonts w:ascii="Arial"/>
          <w:sz w:val="2"/>
        </w:rPr>
      </w:r>
    </w:p>
    <w:p>
      <w:pPr>
        <w:spacing w:before="119"/>
        <w:ind w:left="0" w:right="413" w:firstLine="0"/>
        <w:jc w:val="center"/>
        <w:rPr>
          <w:rFonts w:ascii="Arial MT"/>
          <w:sz w:val="16"/>
        </w:rPr>
      </w:pPr>
      <w:r>
        <w:rPr>
          <w:rFonts w:ascii="Arial MT"/>
          <w:sz w:val="16"/>
        </w:rPr>
        <w:t>0-50</w:t>
      </w:r>
      <w:r>
        <w:rPr>
          <w:rFonts w:ascii="Arial MT"/>
          <w:spacing w:val="-3"/>
          <w:sz w:val="16"/>
        </w:rPr>
        <w:t> </w:t>
      </w:r>
      <w:r>
        <w:rPr>
          <w:rFonts w:ascii="Arial MT"/>
          <w:spacing w:val="-10"/>
          <w:sz w:val="16"/>
          <w:vertAlign w:val="superscript"/>
        </w:rPr>
        <w:t>c</w:t>
      </w:r>
    </w:p>
    <w:p>
      <w:pPr>
        <w:spacing w:after="0"/>
        <w:jc w:val="center"/>
        <w:rPr>
          <w:rFonts w:ascii="Arial MT"/>
          <w:sz w:val="16"/>
        </w:rPr>
        <w:sectPr>
          <w:type w:val="continuous"/>
          <w:pgSz w:w="12240" w:h="15840"/>
          <w:pgMar w:header="744" w:footer="583" w:top="1820" w:bottom="280" w:left="720" w:right="720"/>
          <w:cols w:num="2" w:equalWidth="0">
            <w:col w:w="8806" w:space="40"/>
            <w:col w:w="1954"/>
          </w:cols>
        </w:sectPr>
      </w:pPr>
    </w:p>
    <w:p>
      <w:pPr>
        <w:pStyle w:val="ListParagraph"/>
        <w:numPr>
          <w:ilvl w:val="0"/>
          <w:numId w:val="10"/>
        </w:numPr>
        <w:tabs>
          <w:tab w:pos="1652" w:val="left" w:leader="none"/>
          <w:tab w:pos="8750" w:val="right" w:leader="none"/>
        </w:tabs>
        <w:spacing w:line="240" w:lineRule="auto" w:before="60" w:after="0"/>
        <w:ind w:left="1652" w:right="0" w:hanging="1156"/>
        <w:jc w:val="center"/>
        <w:rPr>
          <w:rFonts w:ascii="Arial MT"/>
          <w:sz w:val="16"/>
        </w:rPr>
      </w:pPr>
      <w:r>
        <w:rPr>
          <w:rFonts w:ascii="Arial MT"/>
          <w:sz w:val="16"/>
        </w:rPr>
        <w:t>Countries</w:t>
      </w:r>
      <w:r>
        <w:rPr>
          <w:rFonts w:ascii="Arial MT"/>
          <w:spacing w:val="-6"/>
          <w:sz w:val="16"/>
        </w:rPr>
        <w:t> </w:t>
      </w:r>
      <w:r>
        <w:rPr>
          <w:rFonts w:ascii="Arial MT"/>
          <w:sz w:val="16"/>
        </w:rPr>
        <w:t>below-GDI</w:t>
      </w:r>
      <w:r>
        <w:rPr>
          <w:rFonts w:ascii="Arial MT"/>
          <w:spacing w:val="-3"/>
          <w:sz w:val="16"/>
        </w:rPr>
        <w:t> </w:t>
      </w:r>
      <w:r>
        <w:rPr>
          <w:rFonts w:ascii="Arial MT"/>
          <w:sz w:val="16"/>
        </w:rPr>
        <w:t>which</w:t>
      </w:r>
      <w:r>
        <w:rPr>
          <w:rFonts w:ascii="Arial MT"/>
          <w:spacing w:val="-4"/>
          <w:sz w:val="16"/>
        </w:rPr>
        <w:t> </w:t>
      </w:r>
      <w:r>
        <w:rPr>
          <w:rFonts w:ascii="Arial MT"/>
          <w:sz w:val="16"/>
        </w:rPr>
        <w:t>do</w:t>
      </w:r>
      <w:r>
        <w:rPr>
          <w:rFonts w:ascii="Arial MT"/>
          <w:spacing w:val="-4"/>
          <w:sz w:val="16"/>
        </w:rPr>
        <w:t> </w:t>
      </w:r>
      <w:r>
        <w:rPr>
          <w:rFonts w:ascii="Arial MT"/>
          <w:sz w:val="16"/>
        </w:rPr>
        <w:t>not</w:t>
      </w:r>
      <w:r>
        <w:rPr>
          <w:rFonts w:ascii="Arial MT"/>
          <w:spacing w:val="-3"/>
          <w:sz w:val="16"/>
        </w:rPr>
        <w:t> </w:t>
      </w:r>
      <w:r>
        <w:rPr>
          <w:rFonts w:ascii="Arial MT"/>
          <w:sz w:val="16"/>
        </w:rPr>
        <w:t>qualify</w:t>
      </w:r>
      <w:r>
        <w:rPr>
          <w:rFonts w:ascii="Arial MT"/>
          <w:spacing w:val="-3"/>
          <w:sz w:val="16"/>
        </w:rPr>
        <w:t> </w:t>
      </w:r>
      <w:r>
        <w:rPr>
          <w:rFonts w:ascii="Arial MT"/>
          <w:sz w:val="16"/>
        </w:rPr>
        <w:t>for</w:t>
      </w:r>
      <w:r>
        <w:rPr>
          <w:rFonts w:ascii="Arial MT"/>
          <w:spacing w:val="-3"/>
          <w:sz w:val="16"/>
        </w:rPr>
        <w:t> </w:t>
      </w:r>
      <w:r>
        <w:rPr>
          <w:rFonts w:ascii="Arial MT"/>
          <w:sz w:val="16"/>
        </w:rPr>
        <w:t>an</w:t>
      </w:r>
      <w:r>
        <w:rPr>
          <w:rFonts w:ascii="Arial MT"/>
          <w:spacing w:val="-4"/>
          <w:sz w:val="16"/>
        </w:rPr>
        <w:t> </w:t>
      </w:r>
      <w:r>
        <w:rPr>
          <w:rFonts w:ascii="Arial MT"/>
          <w:sz w:val="16"/>
        </w:rPr>
        <w:t>exemption</w:t>
      </w:r>
      <w:r>
        <w:rPr>
          <w:rFonts w:ascii="Arial MT"/>
          <w:spacing w:val="-4"/>
          <w:sz w:val="16"/>
        </w:rPr>
        <w:t> </w:t>
      </w:r>
      <w:r>
        <w:rPr>
          <w:rFonts w:ascii="Arial MT"/>
          <w:sz w:val="16"/>
        </w:rPr>
        <w:t>listed</w:t>
      </w:r>
      <w:r>
        <w:rPr>
          <w:rFonts w:ascii="Arial MT"/>
          <w:spacing w:val="-4"/>
          <w:sz w:val="16"/>
        </w:rPr>
        <w:t> </w:t>
      </w:r>
      <w:r>
        <w:rPr>
          <w:rFonts w:ascii="Arial MT"/>
          <w:sz w:val="16"/>
        </w:rPr>
        <w:t>in</w:t>
      </w:r>
      <w:r>
        <w:rPr>
          <w:rFonts w:ascii="Arial MT"/>
          <w:spacing w:val="-4"/>
          <w:sz w:val="16"/>
        </w:rPr>
        <w:t> </w:t>
      </w:r>
      <w:r>
        <w:rPr>
          <w:rFonts w:ascii="Arial MT"/>
          <w:sz w:val="16"/>
        </w:rPr>
        <w:t>Group</w:t>
      </w:r>
      <w:r>
        <w:rPr>
          <w:rFonts w:ascii="Arial MT"/>
          <w:spacing w:val="-11"/>
          <w:sz w:val="16"/>
        </w:rPr>
        <w:t> </w:t>
      </w:r>
      <w:r>
        <w:rPr>
          <w:rFonts w:ascii="Arial MT"/>
          <w:spacing w:val="-5"/>
          <w:sz w:val="16"/>
        </w:rPr>
        <w:t>A.</w:t>
      </w:r>
      <w:r>
        <w:rPr>
          <w:sz w:val="16"/>
        </w:rPr>
        <w:tab/>
      </w:r>
      <w:r>
        <w:rPr>
          <w:rFonts w:ascii="Arial MT"/>
          <w:spacing w:val="-5"/>
          <w:sz w:val="16"/>
        </w:rPr>
        <w:t>0-</w:t>
      </w:r>
      <w:r>
        <w:rPr>
          <w:rFonts w:ascii="Arial MT"/>
          <w:spacing w:val="-2"/>
          <w:sz w:val="16"/>
        </w:rPr>
        <w:t>70</w:t>
      </w:r>
    </w:p>
    <w:p>
      <w:pPr>
        <w:spacing w:line="165" w:lineRule="exact" w:before="61"/>
        <w:ind w:left="427" w:right="0" w:firstLine="0"/>
        <w:jc w:val="center"/>
        <w:rPr>
          <w:rFonts w:ascii="Arial MT"/>
          <w:sz w:val="16"/>
        </w:rPr>
      </w:pPr>
      <w:r>
        <w:rPr>
          <w:rFonts w:ascii="Arial MT"/>
          <w:sz w:val="16"/>
        </w:rPr>
        <w:t>Countries</w:t>
      </w:r>
      <w:r>
        <w:rPr>
          <w:rFonts w:ascii="Arial MT"/>
          <w:spacing w:val="-6"/>
          <w:sz w:val="16"/>
        </w:rPr>
        <w:t> </w:t>
      </w:r>
      <w:r>
        <w:rPr>
          <w:rFonts w:ascii="Arial MT"/>
          <w:sz w:val="16"/>
        </w:rPr>
        <w:t>above-GDI,</w:t>
      </w:r>
      <w:r>
        <w:rPr>
          <w:rFonts w:ascii="Arial MT"/>
          <w:spacing w:val="-3"/>
          <w:sz w:val="16"/>
        </w:rPr>
        <w:t> </w:t>
      </w:r>
      <w:r>
        <w:rPr>
          <w:rFonts w:ascii="Arial MT"/>
          <w:sz w:val="16"/>
        </w:rPr>
        <w:t>but</w:t>
      </w:r>
      <w:r>
        <w:rPr>
          <w:rFonts w:ascii="Arial MT"/>
          <w:spacing w:val="-4"/>
          <w:sz w:val="16"/>
        </w:rPr>
        <w:t> </w:t>
      </w:r>
      <w:r>
        <w:rPr>
          <w:rFonts w:ascii="Arial MT"/>
          <w:sz w:val="16"/>
        </w:rPr>
        <w:t>below</w:t>
      </w:r>
      <w:r>
        <w:rPr>
          <w:rFonts w:ascii="Arial MT"/>
          <w:spacing w:val="-3"/>
          <w:sz w:val="16"/>
        </w:rPr>
        <w:t> </w:t>
      </w:r>
      <w:r>
        <w:rPr>
          <w:rFonts w:ascii="Arial MT"/>
          <w:sz w:val="16"/>
        </w:rPr>
        <w:t>high-income</w:t>
      </w:r>
      <w:r>
        <w:rPr>
          <w:rFonts w:ascii="Arial MT"/>
          <w:spacing w:val="-4"/>
          <w:sz w:val="16"/>
        </w:rPr>
        <w:t> </w:t>
      </w:r>
      <w:r>
        <w:rPr>
          <w:rFonts w:ascii="Arial MT"/>
          <w:sz w:val="16"/>
        </w:rPr>
        <w:t>status</w:t>
      </w:r>
      <w:r>
        <w:rPr>
          <w:rFonts w:ascii="Arial MT"/>
          <w:spacing w:val="-4"/>
          <w:sz w:val="16"/>
        </w:rPr>
        <w:t> </w:t>
      </w:r>
      <w:r>
        <w:rPr>
          <w:rFonts w:ascii="Arial MT"/>
          <w:sz w:val="16"/>
        </w:rPr>
        <w:t>and</w:t>
      </w:r>
      <w:r>
        <w:rPr>
          <w:rFonts w:ascii="Arial MT"/>
          <w:spacing w:val="-4"/>
          <w:sz w:val="16"/>
        </w:rPr>
        <w:t> </w:t>
      </w:r>
      <w:r>
        <w:rPr>
          <w:rFonts w:ascii="Arial MT"/>
          <w:sz w:val="16"/>
        </w:rPr>
        <w:t>which</w:t>
      </w:r>
      <w:r>
        <w:rPr>
          <w:rFonts w:ascii="Arial MT"/>
          <w:spacing w:val="-4"/>
          <w:sz w:val="16"/>
        </w:rPr>
        <w:t> </w:t>
      </w:r>
      <w:r>
        <w:rPr>
          <w:rFonts w:ascii="Arial MT"/>
          <w:sz w:val="16"/>
        </w:rPr>
        <w:t>do</w:t>
      </w:r>
      <w:r>
        <w:rPr>
          <w:rFonts w:ascii="Arial MT"/>
          <w:spacing w:val="-4"/>
          <w:sz w:val="16"/>
        </w:rPr>
        <w:t> </w:t>
      </w:r>
      <w:r>
        <w:rPr>
          <w:rFonts w:ascii="Arial MT"/>
          <w:sz w:val="16"/>
        </w:rPr>
        <w:t>not</w:t>
      </w:r>
      <w:r>
        <w:rPr>
          <w:rFonts w:ascii="Arial MT"/>
          <w:spacing w:val="-4"/>
          <w:sz w:val="16"/>
        </w:rPr>
        <w:t> </w:t>
      </w:r>
      <w:r>
        <w:rPr>
          <w:rFonts w:ascii="Arial MT"/>
          <w:sz w:val="16"/>
        </w:rPr>
        <w:t>qualify</w:t>
      </w:r>
      <w:r>
        <w:rPr>
          <w:rFonts w:ascii="Arial MT"/>
          <w:spacing w:val="-3"/>
          <w:sz w:val="16"/>
        </w:rPr>
        <w:t> </w:t>
      </w:r>
      <w:r>
        <w:rPr>
          <w:rFonts w:ascii="Arial MT"/>
          <w:sz w:val="16"/>
        </w:rPr>
        <w:t>for</w:t>
      </w:r>
      <w:r>
        <w:rPr>
          <w:rFonts w:ascii="Arial MT"/>
          <w:spacing w:val="-3"/>
          <w:sz w:val="16"/>
        </w:rPr>
        <w:t> </w:t>
      </w:r>
      <w:r>
        <w:rPr>
          <w:rFonts w:ascii="Arial MT"/>
          <w:spacing w:val="-5"/>
          <w:sz w:val="16"/>
        </w:rPr>
        <w:t>an</w:t>
      </w:r>
    </w:p>
    <w:p>
      <w:pPr>
        <w:pStyle w:val="ListParagraph"/>
        <w:numPr>
          <w:ilvl w:val="0"/>
          <w:numId w:val="10"/>
        </w:numPr>
        <w:tabs>
          <w:tab w:pos="2677" w:val="left" w:leader="none"/>
          <w:tab w:pos="9774" w:val="right" w:leader="none"/>
        </w:tabs>
        <w:spacing w:line="179" w:lineRule="exact" w:before="0" w:after="0"/>
        <w:ind w:left="2677" w:right="0" w:hanging="1160"/>
        <w:jc w:val="left"/>
        <w:rPr>
          <w:rFonts w:ascii="Arial MT"/>
          <w:sz w:val="16"/>
        </w:rPr>
      </w:pPr>
      <w:r>
        <w:rPr>
          <w:rFonts w:ascii="Arial MT"/>
          <w:sz w:val="16"/>
        </w:rPr>
        <w:t>exemption</w:t>
      </w:r>
      <w:r>
        <w:rPr>
          <w:rFonts w:ascii="Arial MT"/>
          <w:spacing w:val="-5"/>
          <w:sz w:val="16"/>
        </w:rPr>
        <w:t> </w:t>
      </w:r>
      <w:r>
        <w:rPr>
          <w:rFonts w:ascii="Arial MT"/>
          <w:sz w:val="16"/>
        </w:rPr>
        <w:t>listed</w:t>
      </w:r>
      <w:r>
        <w:rPr>
          <w:rFonts w:ascii="Arial MT"/>
          <w:spacing w:val="-3"/>
          <w:sz w:val="16"/>
        </w:rPr>
        <w:t> </w:t>
      </w:r>
      <w:r>
        <w:rPr>
          <w:rFonts w:ascii="Arial MT"/>
          <w:sz w:val="16"/>
        </w:rPr>
        <w:t>in</w:t>
      </w:r>
      <w:r>
        <w:rPr>
          <w:rFonts w:ascii="Arial MT"/>
          <w:spacing w:val="-4"/>
          <w:sz w:val="16"/>
        </w:rPr>
        <w:t> </w:t>
      </w:r>
      <w:r>
        <w:rPr>
          <w:rFonts w:ascii="Arial MT"/>
          <w:sz w:val="16"/>
        </w:rPr>
        <w:t>Group</w:t>
      </w:r>
      <w:r>
        <w:rPr>
          <w:rFonts w:ascii="Arial MT"/>
          <w:spacing w:val="-11"/>
          <w:sz w:val="16"/>
        </w:rPr>
        <w:t> </w:t>
      </w:r>
      <w:r>
        <w:rPr>
          <w:rFonts w:ascii="Arial MT"/>
          <w:spacing w:val="-5"/>
          <w:sz w:val="16"/>
        </w:rPr>
        <w:t>A.</w:t>
      </w:r>
      <w:r>
        <w:rPr>
          <w:sz w:val="16"/>
        </w:rPr>
        <w:tab/>
      </w:r>
      <w:r>
        <w:rPr>
          <w:rFonts w:ascii="Arial MT"/>
          <w:spacing w:val="-5"/>
          <w:sz w:val="16"/>
        </w:rPr>
        <w:t>0-</w:t>
      </w:r>
      <w:r>
        <w:rPr>
          <w:rFonts w:ascii="Arial MT"/>
          <w:spacing w:val="-2"/>
          <w:sz w:val="16"/>
        </w:rPr>
        <w:t>90</w:t>
      </w:r>
    </w:p>
    <w:p>
      <w:pPr>
        <w:pStyle w:val="ListParagraph"/>
        <w:spacing w:after="0" w:line="179" w:lineRule="exact"/>
        <w:jc w:val="left"/>
        <w:rPr>
          <w:rFonts w:ascii="Arial MT"/>
          <w:sz w:val="16"/>
        </w:rPr>
        <w:sectPr>
          <w:type w:val="continuous"/>
          <w:pgSz w:w="12240" w:h="15840"/>
          <w:pgMar w:header="744" w:footer="583" w:top="1820" w:bottom="280" w:left="720" w:right="720"/>
        </w:sectPr>
      </w:pPr>
    </w:p>
    <w:p>
      <w:pPr>
        <w:spacing w:line="208" w:lineRule="auto" w:before="74"/>
        <w:ind w:left="2677"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73184">
                <wp:simplePos x="0" y="0"/>
                <wp:positionH relativeFrom="page">
                  <wp:posOffset>1420622</wp:posOffset>
                </wp:positionH>
                <wp:positionV relativeFrom="paragraph">
                  <wp:posOffset>88931</wp:posOffset>
                </wp:positionV>
                <wp:extent cx="73660" cy="113664"/>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73660" cy="113664"/>
                        </a:xfrm>
                        <a:prstGeom prst="rect">
                          <a:avLst/>
                        </a:prstGeom>
                      </wps:spPr>
                      <wps:txbx>
                        <w:txbxContent>
                          <w:p>
                            <w:pPr>
                              <w:spacing w:line="179" w:lineRule="exact" w:before="0"/>
                              <w:ind w:left="0" w:right="0" w:firstLine="0"/>
                              <w:jc w:val="left"/>
                              <w:rPr>
                                <w:rFonts w:ascii="Arial MT"/>
                                <w:sz w:val="16"/>
                              </w:rPr>
                            </w:pPr>
                            <w:r>
                              <w:rPr>
                                <w:rFonts w:ascii="Arial MT"/>
                                <w:spacing w:val="-10"/>
                                <w:sz w:val="16"/>
                              </w:rPr>
                              <w:t>D</w:t>
                            </w:r>
                          </w:p>
                        </w:txbxContent>
                      </wps:txbx>
                      <wps:bodyPr wrap="square" lIns="0" tIns="0" rIns="0" bIns="0" rtlCol="0">
                        <a:noAutofit/>
                      </wps:bodyPr>
                    </wps:wsp>
                  </a:graphicData>
                </a:graphic>
              </wp:anchor>
            </w:drawing>
          </mc:Choice>
          <mc:Fallback>
            <w:pict>
              <v:shape style="position:absolute;margin-left:111.860001pt;margin-top:7.002503pt;width:5.8pt;height:8.950pt;mso-position-horizontal-relative:page;mso-position-vertical-relative:paragraph;z-index:15773184" type="#_x0000_t202" id="docshape211" filled="false" stroked="false">
                <v:textbox inset="0,0,0,0">
                  <w:txbxContent>
                    <w:p>
                      <w:pPr>
                        <w:spacing w:line="179" w:lineRule="exact" w:before="0"/>
                        <w:ind w:left="0" w:right="0" w:firstLine="0"/>
                        <w:jc w:val="left"/>
                        <w:rPr>
                          <w:rFonts w:ascii="Arial MT"/>
                          <w:sz w:val="16"/>
                        </w:rPr>
                      </w:pPr>
                      <w:r>
                        <w:rPr>
                          <w:rFonts w:ascii="Arial MT"/>
                          <w:spacing w:val="-10"/>
                          <w:sz w:val="16"/>
                        </w:rPr>
                        <w:t>D</w:t>
                      </w:r>
                    </w:p>
                  </w:txbxContent>
                </v:textbox>
                <w10:wrap type="none"/>
              </v:shape>
            </w:pict>
          </mc:Fallback>
        </mc:AlternateContent>
      </w:r>
      <w:r>
        <w:rPr>
          <w:rFonts w:ascii="Arial MT"/>
          <w:sz w:val="16"/>
        </w:rPr>
        <w:t>Countries</w:t>
      </w:r>
      <w:r>
        <w:rPr>
          <w:rFonts w:ascii="Arial MT"/>
          <w:spacing w:val="-3"/>
          <w:sz w:val="16"/>
        </w:rPr>
        <w:t> </w:t>
      </w:r>
      <w:r>
        <w:rPr>
          <w:rFonts w:ascii="Arial MT"/>
          <w:sz w:val="16"/>
        </w:rPr>
        <w:t>with</w:t>
      </w:r>
      <w:r>
        <w:rPr>
          <w:rFonts w:ascii="Arial MT"/>
          <w:spacing w:val="-4"/>
          <w:sz w:val="16"/>
        </w:rPr>
        <w:t> </w:t>
      </w:r>
      <w:r>
        <w:rPr>
          <w:rFonts w:ascii="Arial MT"/>
          <w:sz w:val="16"/>
        </w:rPr>
        <w:t>high</w:t>
      </w:r>
      <w:r>
        <w:rPr>
          <w:rFonts w:ascii="Arial MT"/>
          <w:spacing w:val="-4"/>
          <w:sz w:val="16"/>
        </w:rPr>
        <w:t> </w:t>
      </w:r>
      <w:r>
        <w:rPr>
          <w:rFonts w:ascii="Arial MT"/>
          <w:sz w:val="16"/>
        </w:rPr>
        <w:t>income</w:t>
      </w:r>
      <w:r>
        <w:rPr>
          <w:rFonts w:ascii="Arial MT"/>
          <w:spacing w:val="-4"/>
          <w:sz w:val="16"/>
        </w:rPr>
        <w:t> </w:t>
      </w:r>
      <w:r>
        <w:rPr>
          <w:rFonts w:ascii="Arial MT"/>
          <w:sz w:val="16"/>
        </w:rPr>
        <w:t>status</w:t>
      </w:r>
      <w:r>
        <w:rPr>
          <w:rFonts w:ascii="Arial MT"/>
          <w:spacing w:val="-3"/>
          <w:sz w:val="16"/>
        </w:rPr>
        <w:t> </w:t>
      </w:r>
      <w:r>
        <w:rPr>
          <w:rFonts w:ascii="Arial MT"/>
          <w:sz w:val="16"/>
        </w:rPr>
        <w:t>and</w:t>
      </w:r>
      <w:r>
        <w:rPr>
          <w:rFonts w:ascii="Arial MT"/>
          <w:spacing w:val="-4"/>
          <w:sz w:val="16"/>
        </w:rPr>
        <w:t> </w:t>
      </w:r>
      <w:r>
        <w:rPr>
          <w:rFonts w:ascii="Arial MT"/>
          <w:sz w:val="16"/>
        </w:rPr>
        <w:t>which</w:t>
      </w:r>
      <w:r>
        <w:rPr>
          <w:rFonts w:ascii="Arial MT"/>
          <w:spacing w:val="-4"/>
          <w:sz w:val="16"/>
        </w:rPr>
        <w:t> </w:t>
      </w:r>
      <w:r>
        <w:rPr>
          <w:rFonts w:ascii="Arial MT"/>
          <w:sz w:val="16"/>
        </w:rPr>
        <w:t>do</w:t>
      </w:r>
      <w:r>
        <w:rPr>
          <w:rFonts w:ascii="Arial MT"/>
          <w:spacing w:val="-4"/>
          <w:sz w:val="16"/>
        </w:rPr>
        <w:t> </w:t>
      </w:r>
      <w:r>
        <w:rPr>
          <w:rFonts w:ascii="Arial MT"/>
          <w:sz w:val="16"/>
        </w:rPr>
        <w:t>not</w:t>
      </w:r>
      <w:r>
        <w:rPr>
          <w:rFonts w:ascii="Arial MT"/>
          <w:spacing w:val="-3"/>
          <w:sz w:val="16"/>
        </w:rPr>
        <w:t> </w:t>
      </w:r>
      <w:r>
        <w:rPr>
          <w:rFonts w:ascii="Arial MT"/>
          <w:sz w:val="16"/>
        </w:rPr>
        <w:t>qualify</w:t>
      </w:r>
      <w:r>
        <w:rPr>
          <w:rFonts w:ascii="Arial MT"/>
          <w:spacing w:val="-3"/>
          <w:sz w:val="16"/>
        </w:rPr>
        <w:t> </w:t>
      </w:r>
      <w:r>
        <w:rPr>
          <w:rFonts w:ascii="Arial MT"/>
          <w:sz w:val="16"/>
        </w:rPr>
        <w:t>for</w:t>
      </w:r>
      <w:r>
        <w:rPr>
          <w:rFonts w:ascii="Arial MT"/>
          <w:spacing w:val="-3"/>
          <w:sz w:val="16"/>
        </w:rPr>
        <w:t> </w:t>
      </w:r>
      <w:r>
        <w:rPr>
          <w:rFonts w:ascii="Arial MT"/>
          <w:sz w:val="16"/>
        </w:rPr>
        <w:t>an</w:t>
      </w:r>
      <w:r>
        <w:rPr>
          <w:rFonts w:ascii="Arial MT"/>
          <w:spacing w:val="-4"/>
          <w:sz w:val="16"/>
        </w:rPr>
        <w:t> </w:t>
      </w:r>
      <w:r>
        <w:rPr>
          <w:rFonts w:ascii="Arial MT"/>
          <w:sz w:val="16"/>
        </w:rPr>
        <w:t>exemption</w:t>
      </w:r>
      <w:r>
        <w:rPr>
          <w:rFonts w:ascii="Arial MT"/>
          <w:spacing w:val="-4"/>
          <w:sz w:val="16"/>
        </w:rPr>
        <w:t> </w:t>
      </w:r>
      <w:r>
        <w:rPr>
          <w:rFonts w:ascii="Arial MT"/>
          <w:sz w:val="16"/>
        </w:rPr>
        <w:t>listed</w:t>
      </w:r>
      <w:r>
        <w:rPr>
          <w:rFonts w:ascii="Arial MT"/>
          <w:spacing w:val="-4"/>
          <w:sz w:val="16"/>
        </w:rPr>
        <w:t> </w:t>
      </w:r>
      <w:r>
        <w:rPr>
          <w:rFonts w:ascii="Arial MT"/>
          <w:sz w:val="16"/>
        </w:rPr>
        <w:t>in Group</w:t>
      </w:r>
      <w:r>
        <w:rPr>
          <w:rFonts w:ascii="Arial MT"/>
          <w:spacing w:val="-12"/>
          <w:sz w:val="16"/>
        </w:rPr>
        <w:t> </w:t>
      </w:r>
      <w:r>
        <w:rPr>
          <w:rFonts w:ascii="Arial MT"/>
          <w:sz w:val="16"/>
        </w:rPr>
        <w:t>A.</w:t>
      </w:r>
    </w:p>
    <w:p>
      <w:pPr>
        <w:spacing w:before="135"/>
        <w:ind w:left="0" w:right="255" w:firstLine="0"/>
        <w:jc w:val="center"/>
        <w:rPr>
          <w:rFonts w:ascii="Arial MT"/>
          <w:sz w:val="16"/>
        </w:rPr>
      </w:pPr>
      <w:r>
        <w:rPr/>
        <w:br w:type="column"/>
      </w:r>
      <w:r>
        <w:rPr>
          <w:rFonts w:ascii="Arial MT"/>
          <w:spacing w:val="-2"/>
          <w:sz w:val="16"/>
        </w:rPr>
        <w:t>5-</w:t>
      </w:r>
      <w:r>
        <w:rPr>
          <w:rFonts w:ascii="Arial MT"/>
          <w:spacing w:val="-5"/>
          <w:sz w:val="16"/>
        </w:rPr>
        <w:t>115</w:t>
      </w:r>
    </w:p>
    <w:p>
      <w:pPr>
        <w:spacing w:after="0"/>
        <w:jc w:val="center"/>
        <w:rPr>
          <w:rFonts w:ascii="Arial MT"/>
          <w:sz w:val="16"/>
        </w:rPr>
        <w:sectPr>
          <w:type w:val="continuous"/>
          <w:pgSz w:w="12240" w:h="15840"/>
          <w:pgMar w:header="744" w:footer="583" w:top="1820" w:bottom="280" w:left="720" w:right="720"/>
          <w:cols w:num="2" w:equalWidth="0">
            <w:col w:w="8649" w:space="40"/>
            <w:col w:w="2111"/>
          </w:cols>
        </w:sectPr>
      </w:pPr>
    </w:p>
    <w:p>
      <w:pPr>
        <w:pStyle w:val="BodyText"/>
        <w:spacing w:before="6"/>
        <w:rPr>
          <w:rFonts w:ascii="Arial MT"/>
          <w:sz w:val="3"/>
        </w:rPr>
      </w:pPr>
    </w:p>
    <w:p>
      <w:pPr>
        <w:spacing w:line="20" w:lineRule="exact"/>
        <w:ind w:left="720" w:right="0" w:firstLine="0"/>
        <w:rPr>
          <w:rFonts w:ascii="Arial MT"/>
          <w:sz w:val="2"/>
        </w:rPr>
      </w:pPr>
      <w:r>
        <w:rPr>
          <w:rFonts w:ascii="Arial MT"/>
          <w:sz w:val="2"/>
        </w:rPr>
        <mc:AlternateContent>
          <mc:Choice Requires="wps">
            <w:drawing>
              <wp:inline distT="0" distB="0" distL="0" distR="0">
                <wp:extent cx="5962650" cy="12700"/>
                <wp:effectExtent l="9525" t="0" r="0" b="6350"/>
                <wp:docPr id="268" name="Group 268"/>
                <wp:cNvGraphicFramePr>
                  <a:graphicFrameLocks/>
                </wp:cNvGraphicFramePr>
                <a:graphic>
                  <a:graphicData uri="http://schemas.microsoft.com/office/word/2010/wordprocessingGroup">
                    <wpg:wgp>
                      <wpg:cNvPr id="268" name="Group 268"/>
                      <wpg:cNvGrpSpPr/>
                      <wpg:grpSpPr>
                        <a:xfrm>
                          <a:off x="0" y="0"/>
                          <a:ext cx="5962650" cy="12700"/>
                          <a:chExt cx="5962650" cy="12700"/>
                        </a:xfrm>
                      </wpg:grpSpPr>
                      <wps:wsp>
                        <wps:cNvPr id="269" name="Graphic 269"/>
                        <wps:cNvSpPr/>
                        <wps:spPr>
                          <a:xfrm>
                            <a:off x="0" y="6350"/>
                            <a:ext cx="5962650" cy="1270"/>
                          </a:xfrm>
                          <a:custGeom>
                            <a:avLst/>
                            <a:gdLst/>
                            <a:ahLst/>
                            <a:cxnLst/>
                            <a:rect l="l" t="t" r="r" b="b"/>
                            <a:pathLst>
                              <a:path w="5962650" h="0">
                                <a:moveTo>
                                  <a:pt x="0" y="0"/>
                                </a:moveTo>
                                <a:lnTo>
                                  <a:pt x="596265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469.5pt;height:1pt;mso-position-horizontal-relative:char;mso-position-vertical-relative:line" id="docshapegroup212" coordorigin="0,0" coordsize="9390,20">
                <v:line style="position:absolute" from="0,10" to="9390,10" stroked="true" strokeweight="1pt" strokecolor="#6c6c6c">
                  <v:stroke dashstyle="solid"/>
                </v:line>
              </v:group>
            </w:pict>
          </mc:Fallback>
        </mc:AlternateContent>
      </w:r>
      <w:r>
        <w:rPr>
          <w:rFonts w:ascii="Arial MT"/>
          <w:sz w:val="2"/>
        </w:rPr>
      </w:r>
    </w:p>
    <w:p>
      <w:pPr>
        <w:pStyle w:val="ListParagraph"/>
        <w:numPr>
          <w:ilvl w:val="0"/>
          <w:numId w:val="11"/>
        </w:numPr>
        <w:tabs>
          <w:tab w:pos="968" w:val="left" w:leader="none"/>
          <w:tab w:pos="971" w:val="left" w:leader="none"/>
        </w:tabs>
        <w:spacing w:line="208" w:lineRule="auto" w:before="69" w:after="0"/>
        <w:ind w:left="971" w:right="761" w:hanging="180"/>
        <w:jc w:val="left"/>
        <w:rPr>
          <w:rFonts w:ascii="Arial" w:hAnsi="Arial"/>
          <w:i/>
          <w:sz w:val="16"/>
        </w:rPr>
      </w:pPr>
      <w:r>
        <w:rPr>
          <w:rFonts w:ascii="Arial" w:hAnsi="Arial"/>
          <w:i/>
          <w:sz w:val="16"/>
        </w:rPr>
        <w:t>Based</w:t>
      </w:r>
      <w:r>
        <w:rPr>
          <w:rFonts w:ascii="Arial" w:hAnsi="Arial"/>
          <w:i/>
          <w:spacing w:val="-1"/>
          <w:sz w:val="16"/>
        </w:rPr>
        <w:t> </w:t>
      </w:r>
      <w:r>
        <w:rPr>
          <w:rFonts w:ascii="Arial" w:hAnsi="Arial"/>
          <w:i/>
          <w:sz w:val="16"/>
        </w:rPr>
        <w:t>on</w:t>
      </w:r>
      <w:r>
        <w:rPr>
          <w:rFonts w:ascii="Arial" w:hAnsi="Arial"/>
          <w:i/>
          <w:spacing w:val="-1"/>
          <w:sz w:val="16"/>
        </w:rPr>
        <w:t> </w:t>
      </w:r>
      <w:r>
        <w:rPr>
          <w:rFonts w:ascii="Arial" w:hAnsi="Arial"/>
          <w:i/>
          <w:sz w:val="16"/>
        </w:rPr>
        <w:t>the</w:t>
      </w:r>
      <w:r>
        <w:rPr>
          <w:rFonts w:ascii="Arial" w:hAnsi="Arial"/>
          <w:i/>
          <w:spacing w:val="-1"/>
          <w:sz w:val="16"/>
        </w:rPr>
        <w:t> </w:t>
      </w:r>
      <w:r>
        <w:rPr>
          <w:rFonts w:ascii="Arial" w:hAnsi="Arial"/>
          <w:i/>
          <w:sz w:val="16"/>
        </w:rPr>
        <w:t>weighted</w:t>
      </w:r>
      <w:r>
        <w:rPr>
          <w:rFonts w:ascii="Arial" w:hAnsi="Arial"/>
          <w:i/>
          <w:spacing w:val="-1"/>
          <w:sz w:val="16"/>
        </w:rPr>
        <w:t> </w:t>
      </w:r>
      <w:r>
        <w:rPr>
          <w:rFonts w:ascii="Arial" w:hAnsi="Arial"/>
          <w:i/>
          <w:sz w:val="16"/>
        </w:rPr>
        <w:t>average</w:t>
      </w:r>
      <w:r>
        <w:rPr>
          <w:rFonts w:ascii="Arial" w:hAnsi="Arial"/>
          <w:i/>
          <w:spacing w:val="-1"/>
          <w:sz w:val="16"/>
        </w:rPr>
        <w:t> </w:t>
      </w:r>
      <w:r>
        <w:rPr>
          <w:rFonts w:ascii="Arial" w:hAnsi="Arial"/>
          <w:i/>
          <w:sz w:val="16"/>
        </w:rPr>
        <w:t>maturity</w:t>
      </w:r>
      <w:r>
        <w:rPr>
          <w:rFonts w:ascii="Arial" w:hAnsi="Arial"/>
          <w:i/>
          <w:spacing w:val="-1"/>
          <w:sz w:val="16"/>
        </w:rPr>
        <w:t> </w:t>
      </w:r>
      <w:r>
        <w:rPr>
          <w:rFonts w:ascii="Arial" w:hAnsi="Arial"/>
          <w:i/>
          <w:sz w:val="16"/>
        </w:rPr>
        <w:t>of</w:t>
      </w:r>
      <w:r>
        <w:rPr>
          <w:rFonts w:ascii="Arial" w:hAnsi="Arial"/>
          <w:i/>
          <w:spacing w:val="-1"/>
          <w:sz w:val="16"/>
        </w:rPr>
        <w:t> </w:t>
      </w:r>
      <w:r>
        <w:rPr>
          <w:rFonts w:ascii="Arial" w:hAnsi="Arial"/>
          <w:i/>
          <w:sz w:val="16"/>
        </w:rPr>
        <w:t>the</w:t>
      </w:r>
      <w:r>
        <w:rPr>
          <w:rFonts w:ascii="Arial" w:hAnsi="Arial"/>
          <w:i/>
          <w:spacing w:val="-1"/>
          <w:sz w:val="16"/>
        </w:rPr>
        <w:t> </w:t>
      </w:r>
      <w:r>
        <w:rPr>
          <w:rFonts w:ascii="Arial" w:hAnsi="Arial"/>
          <w:i/>
          <w:sz w:val="16"/>
        </w:rPr>
        <w:t>loan,</w:t>
      </w:r>
      <w:r>
        <w:rPr>
          <w:rFonts w:ascii="Arial" w:hAnsi="Arial"/>
          <w:i/>
          <w:spacing w:val="-1"/>
          <w:sz w:val="16"/>
        </w:rPr>
        <w:t> </w:t>
      </w:r>
      <w:r>
        <w:rPr>
          <w:rFonts w:ascii="Arial" w:hAnsi="Arial"/>
          <w:i/>
          <w:sz w:val="16"/>
        </w:rPr>
        <w:t>borrower’s</w:t>
      </w:r>
      <w:r>
        <w:rPr>
          <w:rFonts w:ascii="Arial" w:hAnsi="Arial"/>
          <w:i/>
          <w:spacing w:val="-1"/>
          <w:sz w:val="16"/>
        </w:rPr>
        <w:t> </w:t>
      </w:r>
      <w:r>
        <w:rPr>
          <w:rFonts w:ascii="Arial" w:hAnsi="Arial"/>
          <w:i/>
          <w:sz w:val="16"/>
        </w:rPr>
        <w:t>income,</w:t>
      </w:r>
      <w:r>
        <w:rPr>
          <w:rFonts w:ascii="Arial" w:hAnsi="Arial"/>
          <w:i/>
          <w:spacing w:val="-1"/>
          <w:sz w:val="16"/>
        </w:rPr>
        <w:t> </w:t>
      </w:r>
      <w:r>
        <w:rPr>
          <w:rFonts w:ascii="Arial" w:hAnsi="Arial"/>
          <w:i/>
          <w:sz w:val="16"/>
        </w:rPr>
        <w:t>and</w:t>
      </w:r>
      <w:r>
        <w:rPr>
          <w:rFonts w:ascii="Arial" w:hAnsi="Arial"/>
          <w:i/>
          <w:spacing w:val="-1"/>
          <w:sz w:val="16"/>
        </w:rPr>
        <w:t> </w:t>
      </w:r>
      <w:r>
        <w:rPr>
          <w:rFonts w:ascii="Arial" w:hAnsi="Arial"/>
          <w:i/>
          <w:sz w:val="16"/>
        </w:rPr>
        <w:t>other</w:t>
      </w:r>
      <w:r>
        <w:rPr>
          <w:rFonts w:ascii="Arial" w:hAnsi="Arial"/>
          <w:i/>
          <w:spacing w:val="-1"/>
          <w:sz w:val="16"/>
        </w:rPr>
        <w:t> </w:t>
      </w:r>
      <w:r>
        <w:rPr>
          <w:rFonts w:ascii="Arial" w:hAnsi="Arial"/>
          <w:i/>
          <w:sz w:val="16"/>
        </w:rPr>
        <w:t>factors,</w:t>
      </w:r>
      <w:r>
        <w:rPr>
          <w:rFonts w:ascii="Arial" w:hAnsi="Arial"/>
          <w:i/>
          <w:spacing w:val="-1"/>
          <w:sz w:val="16"/>
        </w:rPr>
        <w:t> </w:t>
      </w:r>
      <w:r>
        <w:rPr>
          <w:rFonts w:ascii="Arial" w:hAnsi="Arial"/>
          <w:i/>
          <w:sz w:val="16"/>
        </w:rPr>
        <w:t>approved</w:t>
      </w:r>
      <w:r>
        <w:rPr>
          <w:rFonts w:ascii="Arial" w:hAnsi="Arial"/>
          <w:i/>
          <w:spacing w:val="-1"/>
          <w:sz w:val="16"/>
        </w:rPr>
        <w:t> </w:t>
      </w:r>
      <w:r>
        <w:rPr>
          <w:rFonts w:ascii="Arial" w:hAnsi="Arial"/>
          <w:i/>
          <w:sz w:val="16"/>
        </w:rPr>
        <w:t>by</w:t>
      </w:r>
      <w:r>
        <w:rPr>
          <w:rFonts w:ascii="Arial" w:hAnsi="Arial"/>
          <w:i/>
          <w:spacing w:val="-1"/>
          <w:sz w:val="16"/>
        </w:rPr>
        <w:t> </w:t>
      </w:r>
      <w:r>
        <w:rPr>
          <w:rFonts w:ascii="Arial" w:hAnsi="Arial"/>
          <w:i/>
          <w:sz w:val="16"/>
        </w:rPr>
        <w:t>the</w:t>
      </w:r>
      <w:r>
        <w:rPr>
          <w:rFonts w:ascii="Arial" w:hAnsi="Arial"/>
          <w:i/>
          <w:spacing w:val="-1"/>
          <w:sz w:val="16"/>
        </w:rPr>
        <w:t> </w:t>
      </w:r>
      <w:r>
        <w:rPr>
          <w:rFonts w:ascii="Arial" w:hAnsi="Arial"/>
          <w:i/>
          <w:sz w:val="16"/>
        </w:rPr>
        <w:t>Board</w:t>
      </w:r>
      <w:r>
        <w:rPr>
          <w:rFonts w:ascii="Arial" w:hAnsi="Arial"/>
          <w:i/>
          <w:spacing w:val="-1"/>
          <w:sz w:val="16"/>
        </w:rPr>
        <w:t> </w:t>
      </w:r>
      <w:r>
        <w:rPr>
          <w:rFonts w:ascii="Arial" w:hAnsi="Arial"/>
          <w:i/>
          <w:sz w:val="16"/>
        </w:rPr>
        <w:t>and</w:t>
      </w:r>
      <w:r>
        <w:rPr>
          <w:rFonts w:ascii="Arial" w:hAnsi="Arial"/>
          <w:i/>
          <w:spacing w:val="-1"/>
          <w:sz w:val="16"/>
        </w:rPr>
        <w:t> </w:t>
      </w:r>
      <w:r>
        <w:rPr>
          <w:rFonts w:ascii="Arial" w:hAnsi="Arial"/>
          <w:i/>
          <w:sz w:val="16"/>
        </w:rPr>
        <w:t>reviewed </w:t>
      </w:r>
      <w:r>
        <w:rPr>
          <w:rFonts w:ascii="Arial" w:hAnsi="Arial"/>
          <w:i/>
          <w:spacing w:val="-2"/>
          <w:sz w:val="16"/>
        </w:rPr>
        <w:t>annually.</w:t>
      </w:r>
    </w:p>
    <w:p>
      <w:pPr>
        <w:pStyle w:val="ListParagraph"/>
        <w:numPr>
          <w:ilvl w:val="0"/>
          <w:numId w:val="11"/>
        </w:numPr>
        <w:tabs>
          <w:tab w:pos="948" w:val="left" w:leader="none"/>
        </w:tabs>
        <w:spacing w:line="164" w:lineRule="exact" w:before="0" w:after="0"/>
        <w:ind w:left="948" w:right="0" w:hanging="176"/>
        <w:jc w:val="left"/>
        <w:rPr>
          <w:rFonts w:ascii="Arial"/>
          <w:i/>
          <w:sz w:val="16"/>
        </w:rPr>
      </w:pPr>
      <w:r>
        <w:rPr>
          <w:rFonts w:ascii="Arial"/>
          <w:i/>
          <w:sz w:val="16"/>
        </w:rPr>
        <w:t>Countries</w:t>
      </w:r>
      <w:r>
        <w:rPr>
          <w:rFonts w:ascii="Arial"/>
          <w:i/>
          <w:spacing w:val="-4"/>
          <w:sz w:val="16"/>
        </w:rPr>
        <w:t> </w:t>
      </w:r>
      <w:r>
        <w:rPr>
          <w:rFonts w:ascii="Arial"/>
          <w:i/>
          <w:sz w:val="16"/>
        </w:rPr>
        <w:t>eligible</w:t>
      </w:r>
      <w:r>
        <w:rPr>
          <w:rFonts w:ascii="Arial"/>
          <w:i/>
          <w:spacing w:val="-3"/>
          <w:sz w:val="16"/>
        </w:rPr>
        <w:t> </w:t>
      </w:r>
      <w:r>
        <w:rPr>
          <w:rFonts w:ascii="Arial"/>
          <w:i/>
          <w:sz w:val="16"/>
        </w:rPr>
        <w:t>for</w:t>
      </w:r>
      <w:r>
        <w:rPr>
          <w:rFonts w:ascii="Arial"/>
          <w:i/>
          <w:spacing w:val="-3"/>
          <w:sz w:val="16"/>
        </w:rPr>
        <w:t> </w:t>
      </w:r>
      <w:r>
        <w:rPr>
          <w:rFonts w:ascii="Arial"/>
          <w:i/>
          <w:sz w:val="16"/>
        </w:rPr>
        <w:t>IDA</w:t>
      </w:r>
      <w:r>
        <w:rPr>
          <w:rFonts w:ascii="Arial"/>
          <w:i/>
          <w:spacing w:val="-4"/>
          <w:sz w:val="16"/>
        </w:rPr>
        <w:t> </w:t>
      </w:r>
      <w:r>
        <w:rPr>
          <w:rFonts w:ascii="Arial"/>
          <w:i/>
          <w:sz w:val="16"/>
        </w:rPr>
        <w:t>and</w:t>
      </w:r>
      <w:r>
        <w:rPr>
          <w:rFonts w:ascii="Arial"/>
          <w:i/>
          <w:spacing w:val="-3"/>
          <w:sz w:val="16"/>
        </w:rPr>
        <w:t> </w:t>
      </w:r>
      <w:r>
        <w:rPr>
          <w:rFonts w:ascii="Arial"/>
          <w:i/>
          <w:sz w:val="16"/>
        </w:rPr>
        <w:t>IBRD</w:t>
      </w:r>
      <w:r>
        <w:rPr>
          <w:rFonts w:ascii="Arial"/>
          <w:i/>
          <w:spacing w:val="-3"/>
          <w:sz w:val="16"/>
        </w:rPr>
        <w:t> </w:t>
      </w:r>
      <w:r>
        <w:rPr>
          <w:rFonts w:ascii="Arial"/>
          <w:i/>
          <w:spacing w:val="-2"/>
          <w:sz w:val="16"/>
        </w:rPr>
        <w:t>loans.</w:t>
      </w:r>
    </w:p>
    <w:p>
      <w:pPr>
        <w:pStyle w:val="ListParagraph"/>
        <w:numPr>
          <w:ilvl w:val="0"/>
          <w:numId w:val="11"/>
        </w:numPr>
        <w:tabs>
          <w:tab w:pos="940" w:val="left" w:leader="none"/>
        </w:tabs>
        <w:spacing w:line="240" w:lineRule="auto" w:before="8" w:after="0"/>
        <w:ind w:left="940" w:right="0" w:hanging="168"/>
        <w:jc w:val="left"/>
        <w:rPr>
          <w:rFonts w:ascii="Arial"/>
          <w:i/>
          <w:sz w:val="16"/>
        </w:rPr>
      </w:pPr>
      <w:r>
        <w:rPr>
          <w:rFonts w:ascii="Arial"/>
          <w:i/>
          <w:sz w:val="16"/>
        </w:rPr>
        <w:t>Member</w:t>
      </w:r>
      <w:r>
        <w:rPr>
          <w:rFonts w:ascii="Arial"/>
          <w:i/>
          <w:spacing w:val="-5"/>
          <w:sz w:val="16"/>
        </w:rPr>
        <w:t> </w:t>
      </w:r>
      <w:r>
        <w:rPr>
          <w:rFonts w:ascii="Arial"/>
          <w:i/>
          <w:sz w:val="16"/>
        </w:rPr>
        <w:t>countries</w:t>
      </w:r>
      <w:r>
        <w:rPr>
          <w:rFonts w:ascii="Arial"/>
          <w:i/>
          <w:spacing w:val="-3"/>
          <w:sz w:val="16"/>
        </w:rPr>
        <w:t> </w:t>
      </w:r>
      <w:r>
        <w:rPr>
          <w:rFonts w:ascii="Arial"/>
          <w:i/>
          <w:sz w:val="16"/>
        </w:rPr>
        <w:t>in</w:t>
      </w:r>
      <w:r>
        <w:rPr>
          <w:rFonts w:ascii="Arial"/>
          <w:i/>
          <w:spacing w:val="-3"/>
          <w:sz w:val="16"/>
        </w:rPr>
        <w:t> </w:t>
      </w:r>
      <w:r>
        <w:rPr>
          <w:rFonts w:ascii="Arial"/>
          <w:i/>
          <w:sz w:val="16"/>
        </w:rPr>
        <w:t>group</w:t>
      </w:r>
      <w:r>
        <w:rPr>
          <w:rFonts w:ascii="Arial"/>
          <w:i/>
          <w:spacing w:val="-4"/>
          <w:sz w:val="16"/>
        </w:rPr>
        <w:t> </w:t>
      </w:r>
      <w:r>
        <w:rPr>
          <w:rFonts w:ascii="Arial"/>
          <w:i/>
          <w:sz w:val="16"/>
        </w:rPr>
        <w:t>A</w:t>
      </w:r>
      <w:r>
        <w:rPr>
          <w:rFonts w:ascii="Arial"/>
          <w:i/>
          <w:spacing w:val="-2"/>
          <w:sz w:val="16"/>
        </w:rPr>
        <w:t> </w:t>
      </w:r>
      <w:r>
        <w:rPr>
          <w:rFonts w:ascii="Arial"/>
          <w:i/>
          <w:sz w:val="16"/>
        </w:rPr>
        <w:t>are</w:t>
      </w:r>
      <w:r>
        <w:rPr>
          <w:rFonts w:ascii="Arial"/>
          <w:i/>
          <w:spacing w:val="-4"/>
          <w:sz w:val="16"/>
        </w:rPr>
        <w:t> </w:t>
      </w:r>
      <w:r>
        <w:rPr>
          <w:rFonts w:ascii="Arial"/>
          <w:i/>
          <w:sz w:val="16"/>
        </w:rPr>
        <w:t>exempt</w:t>
      </w:r>
      <w:r>
        <w:rPr>
          <w:rFonts w:ascii="Arial"/>
          <w:i/>
          <w:spacing w:val="-2"/>
          <w:sz w:val="16"/>
        </w:rPr>
        <w:t> </w:t>
      </w:r>
      <w:r>
        <w:rPr>
          <w:rFonts w:ascii="Arial"/>
          <w:i/>
          <w:sz w:val="16"/>
        </w:rPr>
        <w:t>from</w:t>
      </w:r>
      <w:r>
        <w:rPr>
          <w:rFonts w:ascii="Arial"/>
          <w:i/>
          <w:spacing w:val="-3"/>
          <w:sz w:val="16"/>
        </w:rPr>
        <w:t> </w:t>
      </w:r>
      <w:r>
        <w:rPr>
          <w:rFonts w:ascii="Arial"/>
          <w:i/>
          <w:sz w:val="16"/>
        </w:rPr>
        <w:t>the</w:t>
      </w:r>
      <w:r>
        <w:rPr>
          <w:rFonts w:ascii="Arial"/>
          <w:i/>
          <w:spacing w:val="-4"/>
          <w:sz w:val="16"/>
        </w:rPr>
        <w:t> </w:t>
      </w:r>
      <w:r>
        <w:rPr>
          <w:rFonts w:ascii="Arial"/>
          <w:i/>
          <w:sz w:val="16"/>
        </w:rPr>
        <w:t>maturity</w:t>
      </w:r>
      <w:r>
        <w:rPr>
          <w:rFonts w:ascii="Arial"/>
          <w:i/>
          <w:spacing w:val="-2"/>
          <w:sz w:val="16"/>
        </w:rPr>
        <w:t> </w:t>
      </w:r>
      <w:r>
        <w:rPr>
          <w:rFonts w:ascii="Arial"/>
          <w:i/>
          <w:sz w:val="16"/>
        </w:rPr>
        <w:t>premium</w:t>
      </w:r>
      <w:r>
        <w:rPr>
          <w:rFonts w:ascii="Arial"/>
          <w:i/>
          <w:spacing w:val="-3"/>
          <w:sz w:val="16"/>
        </w:rPr>
        <w:t> </w:t>
      </w:r>
      <w:r>
        <w:rPr>
          <w:rFonts w:ascii="Arial"/>
          <w:i/>
          <w:sz w:val="16"/>
        </w:rPr>
        <w:t>increase</w:t>
      </w:r>
      <w:r>
        <w:rPr>
          <w:rFonts w:ascii="Arial"/>
          <w:i/>
          <w:spacing w:val="-3"/>
          <w:sz w:val="16"/>
        </w:rPr>
        <w:t> </w:t>
      </w:r>
      <w:r>
        <w:rPr>
          <w:rFonts w:ascii="Arial"/>
          <w:i/>
          <w:sz w:val="16"/>
        </w:rPr>
        <w:t>applicable</w:t>
      </w:r>
      <w:r>
        <w:rPr>
          <w:rFonts w:ascii="Arial"/>
          <w:i/>
          <w:spacing w:val="-4"/>
          <w:sz w:val="16"/>
        </w:rPr>
        <w:t> </w:t>
      </w:r>
      <w:r>
        <w:rPr>
          <w:rFonts w:ascii="Arial"/>
          <w:i/>
          <w:sz w:val="16"/>
        </w:rPr>
        <w:t>from</w:t>
      </w:r>
      <w:r>
        <w:rPr>
          <w:rFonts w:ascii="Arial"/>
          <w:i/>
          <w:spacing w:val="-2"/>
          <w:sz w:val="16"/>
        </w:rPr>
        <w:t> </w:t>
      </w:r>
      <w:r>
        <w:rPr>
          <w:rFonts w:ascii="Arial"/>
          <w:i/>
          <w:sz w:val="16"/>
        </w:rPr>
        <w:t>July</w:t>
      </w:r>
      <w:r>
        <w:rPr>
          <w:rFonts w:ascii="Arial"/>
          <w:i/>
          <w:spacing w:val="-3"/>
          <w:sz w:val="16"/>
        </w:rPr>
        <w:t> </w:t>
      </w:r>
      <w:r>
        <w:rPr>
          <w:rFonts w:ascii="Arial"/>
          <w:i/>
          <w:sz w:val="16"/>
        </w:rPr>
        <w:t>1,</w:t>
      </w:r>
      <w:r>
        <w:rPr>
          <w:rFonts w:ascii="Arial"/>
          <w:i/>
          <w:spacing w:val="-2"/>
          <w:sz w:val="16"/>
        </w:rPr>
        <w:t> 2018.</w:t>
      </w:r>
    </w:p>
    <w:p>
      <w:pPr>
        <w:pStyle w:val="ListParagraph"/>
        <w:spacing w:after="0" w:line="240" w:lineRule="auto"/>
        <w:jc w:val="left"/>
        <w:rPr>
          <w:rFonts w:ascii="Arial"/>
          <w:i/>
          <w:sz w:val="16"/>
        </w:rPr>
        <w:sectPr>
          <w:type w:val="continuous"/>
          <w:pgSz w:w="12240" w:h="15840"/>
          <w:pgMar w:header="744" w:footer="583" w:top="1820" w:bottom="280" w:left="720" w:right="720"/>
        </w:sectPr>
      </w:pPr>
    </w:p>
    <w:p>
      <w:pPr>
        <w:pStyle w:val="BodyText"/>
        <w:rPr>
          <w:rFonts w:ascii="Arial"/>
          <w:i/>
          <w:sz w:val="18"/>
        </w:rPr>
      </w:pPr>
    </w:p>
    <w:p>
      <w:pPr>
        <w:pStyle w:val="BodyText"/>
        <w:spacing w:before="10"/>
        <w:rPr>
          <w:rFonts w:ascii="Arial"/>
          <w:i/>
          <w:sz w:val="18"/>
        </w:rPr>
      </w:pPr>
    </w:p>
    <w:p>
      <w:pPr>
        <w:spacing w:before="0"/>
        <w:ind w:left="772" w:right="0" w:firstLine="0"/>
        <w:jc w:val="left"/>
        <w:rPr>
          <w:rFonts w:ascii="Arial"/>
          <w:b/>
          <w:sz w:val="18"/>
        </w:rPr>
      </w:pPr>
      <w:r>
        <w:rPr>
          <w:rFonts w:ascii="Arial"/>
          <w:b/>
          <w:sz w:val="18"/>
        </w:rPr>
        <w:t>Table</w:t>
      </w:r>
      <w:r>
        <w:rPr>
          <w:rFonts w:ascii="Arial"/>
          <w:b/>
          <w:spacing w:val="-4"/>
          <w:sz w:val="18"/>
        </w:rPr>
        <w:t> </w:t>
      </w:r>
      <w:r>
        <w:rPr>
          <w:rFonts w:ascii="Arial"/>
          <w:b/>
          <w:sz w:val="18"/>
        </w:rPr>
        <w:t>12:</w:t>
      </w:r>
      <w:r>
        <w:rPr>
          <w:rFonts w:ascii="Arial"/>
          <w:b/>
          <w:spacing w:val="-2"/>
          <w:sz w:val="18"/>
        </w:rPr>
        <w:t> </w:t>
      </w:r>
      <w:r>
        <w:rPr>
          <w:rFonts w:ascii="Arial"/>
          <w:b/>
          <w:sz w:val="18"/>
        </w:rPr>
        <w:t>Loan</w:t>
      </w:r>
      <w:r>
        <w:rPr>
          <w:rFonts w:ascii="Arial"/>
          <w:b/>
          <w:spacing w:val="-2"/>
          <w:sz w:val="18"/>
        </w:rPr>
        <w:t> </w:t>
      </w:r>
      <w:r>
        <w:rPr>
          <w:rFonts w:ascii="Arial"/>
          <w:b/>
          <w:sz w:val="18"/>
        </w:rPr>
        <w:t>Terms</w:t>
      </w:r>
      <w:r>
        <w:rPr>
          <w:rFonts w:ascii="Arial"/>
          <w:b/>
          <w:spacing w:val="-2"/>
          <w:sz w:val="18"/>
        </w:rPr>
        <w:t> </w:t>
      </w:r>
      <w:r>
        <w:rPr>
          <w:rFonts w:ascii="Arial"/>
          <w:b/>
          <w:sz w:val="18"/>
        </w:rPr>
        <w:t>Available</w:t>
      </w:r>
      <w:r>
        <w:rPr>
          <w:rFonts w:ascii="Arial"/>
          <w:b/>
          <w:spacing w:val="-2"/>
          <w:sz w:val="18"/>
        </w:rPr>
        <w:t> </w:t>
      </w:r>
      <w:r>
        <w:rPr>
          <w:rFonts w:ascii="Arial"/>
          <w:b/>
          <w:sz w:val="18"/>
        </w:rPr>
        <w:t>During</w:t>
      </w:r>
      <w:r>
        <w:rPr>
          <w:rFonts w:ascii="Arial"/>
          <w:b/>
          <w:spacing w:val="-2"/>
          <w:sz w:val="18"/>
        </w:rPr>
        <w:t> </w:t>
      </w:r>
      <w:r>
        <w:rPr>
          <w:rFonts w:ascii="Arial"/>
          <w:b/>
          <w:sz w:val="18"/>
        </w:rPr>
        <w:t>Fiscal</w:t>
      </w:r>
      <w:r>
        <w:rPr>
          <w:rFonts w:ascii="Arial"/>
          <w:b/>
          <w:spacing w:val="-2"/>
          <w:sz w:val="18"/>
        </w:rPr>
        <w:t> </w:t>
      </w:r>
      <w:r>
        <w:rPr>
          <w:rFonts w:ascii="Arial"/>
          <w:b/>
          <w:sz w:val="18"/>
        </w:rPr>
        <w:t>Year</w:t>
      </w:r>
      <w:r>
        <w:rPr>
          <w:rFonts w:ascii="Arial"/>
          <w:b/>
          <w:spacing w:val="-2"/>
          <w:sz w:val="18"/>
        </w:rPr>
        <w:t> </w:t>
      </w:r>
      <w:r>
        <w:rPr>
          <w:rFonts w:ascii="Arial"/>
          <w:b/>
          <w:sz w:val="18"/>
        </w:rPr>
        <w:t>Ended</w:t>
      </w:r>
      <w:r>
        <w:rPr>
          <w:rFonts w:ascii="Arial"/>
          <w:b/>
          <w:spacing w:val="-2"/>
          <w:sz w:val="18"/>
        </w:rPr>
        <w:t> </w:t>
      </w:r>
      <w:r>
        <w:rPr>
          <w:rFonts w:ascii="Arial"/>
          <w:b/>
          <w:sz w:val="18"/>
        </w:rPr>
        <w:t>June</w:t>
      </w:r>
      <w:r>
        <w:rPr>
          <w:rFonts w:ascii="Arial"/>
          <w:b/>
          <w:spacing w:val="-2"/>
          <w:sz w:val="18"/>
        </w:rPr>
        <w:t> </w:t>
      </w:r>
      <w:r>
        <w:rPr>
          <w:rFonts w:ascii="Arial"/>
          <w:b/>
          <w:sz w:val="18"/>
        </w:rPr>
        <w:t>30,</w:t>
      </w:r>
      <w:r>
        <w:rPr>
          <w:rFonts w:ascii="Arial"/>
          <w:b/>
          <w:spacing w:val="-2"/>
          <w:sz w:val="18"/>
        </w:rPr>
        <w:t> </w:t>
      </w:r>
      <w:r>
        <w:rPr>
          <w:rFonts w:ascii="Arial"/>
          <w:b/>
          <w:spacing w:val="-4"/>
          <w:sz w:val="18"/>
        </w:rPr>
        <w:t>2023</w:t>
      </w:r>
    </w:p>
    <w:p>
      <w:pPr>
        <w:spacing w:before="56"/>
        <w:ind w:left="772" w:right="0" w:firstLine="0"/>
        <w:jc w:val="left"/>
        <w:rPr>
          <w:rFonts w:ascii="Arial MT"/>
          <w:sz w:val="16"/>
        </w:rPr>
      </w:pPr>
      <w:bookmarkStart w:name="_bookmark32" w:id="49"/>
      <w:bookmarkEnd w:id="49"/>
      <w:r>
        <w:rPr/>
      </w:r>
      <w:r>
        <w:rPr>
          <w:rFonts w:ascii="Arial MT"/>
          <w:sz w:val="16"/>
        </w:rPr>
        <w:t>Basis</w:t>
      </w:r>
      <w:r>
        <w:rPr>
          <w:rFonts w:ascii="Arial MT"/>
          <w:spacing w:val="-4"/>
          <w:sz w:val="16"/>
        </w:rPr>
        <w:t> </w:t>
      </w:r>
      <w:r>
        <w:rPr>
          <w:rFonts w:ascii="Arial MT"/>
          <w:sz w:val="16"/>
        </w:rPr>
        <w:t>points,</w:t>
      </w:r>
      <w:r>
        <w:rPr>
          <w:rFonts w:ascii="Arial MT"/>
          <w:spacing w:val="-4"/>
          <w:sz w:val="16"/>
        </w:rPr>
        <w:t> </w:t>
      </w:r>
      <w:r>
        <w:rPr>
          <w:rFonts w:ascii="Arial MT"/>
          <w:sz w:val="16"/>
        </w:rPr>
        <w:t>unless</w:t>
      </w:r>
      <w:r>
        <w:rPr>
          <w:rFonts w:ascii="Arial MT"/>
          <w:spacing w:val="-4"/>
          <w:sz w:val="16"/>
        </w:rPr>
        <w:t> </w:t>
      </w:r>
      <w:r>
        <w:rPr>
          <w:rFonts w:ascii="Arial MT"/>
          <w:sz w:val="16"/>
        </w:rPr>
        <w:t>otherwise</w:t>
      </w:r>
      <w:r>
        <w:rPr>
          <w:rFonts w:ascii="Arial MT"/>
          <w:spacing w:val="-4"/>
          <w:sz w:val="16"/>
        </w:rPr>
        <w:t> noted</w:t>
      </w:r>
    </w:p>
    <w:p>
      <w:pPr>
        <w:tabs>
          <w:tab w:pos="7957" w:val="left" w:leader="none"/>
        </w:tabs>
        <w:spacing w:line="167" w:lineRule="exact" w:before="46"/>
        <w:ind w:left="5484" w:right="0" w:firstLine="0"/>
        <w:jc w:val="left"/>
        <w:rPr>
          <w:rFonts w:ascii="Arial"/>
          <w:i/>
          <w:position w:val="1"/>
          <w:sz w:val="16"/>
        </w:rPr>
      </w:pPr>
      <w:r>
        <w:rPr>
          <w:rFonts w:ascii="Arial"/>
          <w:i/>
          <w:color w:val="6C6C6C"/>
          <w:sz w:val="16"/>
        </w:rPr>
        <w:t>IBRD</w:t>
      </w:r>
      <w:r>
        <w:rPr>
          <w:rFonts w:ascii="Arial"/>
          <w:i/>
          <w:color w:val="6C6C6C"/>
          <w:spacing w:val="-3"/>
          <w:sz w:val="16"/>
        </w:rPr>
        <w:t> </w:t>
      </w:r>
      <w:r>
        <w:rPr>
          <w:rFonts w:ascii="Arial"/>
          <w:i/>
          <w:color w:val="6C6C6C"/>
          <w:sz w:val="16"/>
        </w:rPr>
        <w:t>Flexible</w:t>
      </w:r>
      <w:r>
        <w:rPr>
          <w:rFonts w:ascii="Arial"/>
          <w:i/>
          <w:color w:val="6C6C6C"/>
          <w:spacing w:val="-3"/>
          <w:sz w:val="16"/>
        </w:rPr>
        <w:t> </w:t>
      </w:r>
      <w:r>
        <w:rPr>
          <w:rFonts w:ascii="Arial"/>
          <w:i/>
          <w:color w:val="6C6C6C"/>
          <w:sz w:val="16"/>
        </w:rPr>
        <w:t>Loan</w:t>
      </w:r>
      <w:r>
        <w:rPr>
          <w:rFonts w:ascii="Arial"/>
          <w:i/>
          <w:color w:val="6C6C6C"/>
          <w:spacing w:val="-2"/>
          <w:sz w:val="16"/>
        </w:rPr>
        <w:t> </w:t>
      </w:r>
      <w:r>
        <w:rPr>
          <w:rFonts w:ascii="Arial"/>
          <w:i/>
          <w:color w:val="6C6C6C"/>
          <w:sz w:val="16"/>
        </w:rPr>
        <w:t>(IFL)</w:t>
      </w:r>
      <w:r>
        <w:rPr>
          <w:rFonts w:ascii="Arial"/>
          <w:i/>
          <w:color w:val="6C6C6C"/>
          <w:spacing w:val="-4"/>
          <w:sz w:val="16"/>
        </w:rPr>
        <w:t> </w:t>
      </w:r>
      <w:r>
        <w:rPr>
          <w:rFonts w:ascii="Arial"/>
          <w:i/>
          <w:color w:val="6C6C6C"/>
          <w:sz w:val="16"/>
          <w:vertAlign w:val="superscript"/>
        </w:rPr>
        <w:t>a</w:t>
      </w:r>
      <w:r>
        <w:rPr>
          <w:rFonts w:ascii="Arial"/>
          <w:i/>
          <w:color w:val="6C6C6C"/>
          <w:spacing w:val="-16"/>
          <w:sz w:val="16"/>
          <w:vertAlign w:val="baseline"/>
        </w:rPr>
        <w:t> </w:t>
      </w:r>
      <w:r>
        <w:rPr>
          <w:rFonts w:ascii="Arial"/>
          <w:i/>
          <w:color w:val="6C6C6C"/>
          <w:spacing w:val="-10"/>
          <w:sz w:val="16"/>
          <w:vertAlign w:val="superscript"/>
        </w:rPr>
        <w:t>b</w:t>
      </w:r>
      <w:r>
        <w:rPr>
          <w:rFonts w:ascii="Arial"/>
          <w:i/>
          <w:color w:val="6C6C6C"/>
          <w:sz w:val="16"/>
          <w:vertAlign w:val="baseline"/>
        </w:rPr>
        <w:tab/>
      </w:r>
      <w:r>
        <w:rPr>
          <w:rFonts w:ascii="Arial"/>
          <w:i/>
          <w:color w:val="7F7F7F"/>
          <w:position w:val="1"/>
          <w:sz w:val="16"/>
          <w:vertAlign w:val="baseline"/>
        </w:rPr>
        <w:t>Special</w:t>
      </w:r>
      <w:r>
        <w:rPr>
          <w:rFonts w:ascii="Arial"/>
          <w:i/>
          <w:color w:val="7F7F7F"/>
          <w:spacing w:val="-6"/>
          <w:position w:val="1"/>
          <w:sz w:val="16"/>
          <w:vertAlign w:val="baseline"/>
        </w:rPr>
        <w:t> </w:t>
      </w:r>
      <w:r>
        <w:rPr>
          <w:rFonts w:ascii="Arial"/>
          <w:i/>
          <w:color w:val="7F7F7F"/>
          <w:position w:val="1"/>
          <w:sz w:val="16"/>
          <w:vertAlign w:val="baseline"/>
        </w:rPr>
        <w:t>Development</w:t>
      </w:r>
      <w:r>
        <w:rPr>
          <w:rFonts w:ascii="Arial"/>
          <w:i/>
          <w:color w:val="7F7F7F"/>
          <w:spacing w:val="-6"/>
          <w:position w:val="1"/>
          <w:sz w:val="16"/>
          <w:vertAlign w:val="baseline"/>
        </w:rPr>
        <w:t> </w:t>
      </w:r>
      <w:r>
        <w:rPr>
          <w:rFonts w:ascii="Arial"/>
          <w:i/>
          <w:color w:val="7F7F7F"/>
          <w:spacing w:val="-2"/>
          <w:position w:val="1"/>
          <w:sz w:val="16"/>
          <w:vertAlign w:val="baseline"/>
        </w:rPr>
        <w:t>Policy</w:t>
      </w:r>
    </w:p>
    <w:p>
      <w:pPr>
        <w:spacing w:after="0" w:line="167" w:lineRule="exact"/>
        <w:jc w:val="left"/>
        <w:rPr>
          <w:rFonts w:ascii="Arial"/>
          <w:i/>
          <w:position w:val="1"/>
          <w:sz w:val="16"/>
        </w:rPr>
        <w:sectPr>
          <w:pgSz w:w="12240" w:h="15840"/>
          <w:pgMar w:header="744" w:footer="713" w:top="1020" w:bottom="900" w:left="720" w:right="720"/>
        </w:sectPr>
      </w:pPr>
    </w:p>
    <w:p>
      <w:pPr>
        <w:spacing w:before="83"/>
        <w:ind w:left="0" w:right="0" w:firstLine="0"/>
        <w:jc w:val="right"/>
        <w:rPr>
          <w:rFonts w:ascii="Arial"/>
          <w:i/>
          <w:sz w:val="16"/>
        </w:rPr>
      </w:pPr>
      <w:r>
        <w:rPr>
          <w:rFonts w:ascii="Arial"/>
          <w:i/>
          <w:color w:val="7F7F7F"/>
          <w:sz w:val="16"/>
        </w:rPr>
        <w:t>Variable-spread</w:t>
      </w:r>
      <w:r>
        <w:rPr>
          <w:rFonts w:ascii="Arial"/>
          <w:i/>
          <w:color w:val="7F7F7F"/>
          <w:spacing w:val="-10"/>
          <w:sz w:val="16"/>
        </w:rPr>
        <w:t> </w:t>
      </w:r>
      <w:r>
        <w:rPr>
          <w:rFonts w:ascii="Arial"/>
          <w:i/>
          <w:color w:val="7F7F7F"/>
          <w:spacing w:val="-2"/>
          <w:sz w:val="16"/>
        </w:rPr>
        <w:t>Terms</w:t>
      </w:r>
    </w:p>
    <w:p>
      <w:pPr>
        <w:spacing w:line="180" w:lineRule="exact" w:before="0"/>
        <w:ind w:left="1135" w:right="0" w:firstLine="0"/>
        <w:jc w:val="left"/>
        <w:rPr>
          <w:rFonts w:ascii="Arial"/>
          <w:i/>
          <w:sz w:val="16"/>
        </w:rPr>
      </w:pPr>
      <w:r>
        <w:rPr/>
        <w:br w:type="column"/>
      </w:r>
      <w:r>
        <w:rPr>
          <w:rFonts w:ascii="Arial"/>
          <w:i/>
          <w:color w:val="7F7F7F"/>
          <w:sz w:val="16"/>
        </w:rPr>
        <w:t>Loans</w:t>
      </w:r>
      <w:r>
        <w:rPr>
          <w:rFonts w:ascii="Arial"/>
          <w:i/>
          <w:color w:val="7F7F7F"/>
          <w:spacing w:val="-4"/>
          <w:sz w:val="16"/>
        </w:rPr>
        <w:t> </w:t>
      </w:r>
      <w:r>
        <w:rPr>
          <w:rFonts w:ascii="Arial"/>
          <w:i/>
          <w:color w:val="7F7F7F"/>
          <w:spacing w:val="-2"/>
          <w:sz w:val="16"/>
        </w:rPr>
        <w:t>(SDPL)</w:t>
      </w:r>
    </w:p>
    <w:p>
      <w:pPr>
        <w:spacing w:after="0" w:line="180" w:lineRule="exact"/>
        <w:jc w:val="left"/>
        <w:rPr>
          <w:rFonts w:ascii="Arial"/>
          <w:i/>
          <w:sz w:val="16"/>
        </w:rPr>
        <w:sectPr>
          <w:type w:val="continuous"/>
          <w:pgSz w:w="12240" w:h="15840"/>
          <w:pgMar w:header="744" w:footer="713" w:top="1820" w:bottom="280" w:left="720" w:right="720"/>
          <w:cols w:num="2" w:equalWidth="0">
            <w:col w:w="7271" w:space="40"/>
            <w:col w:w="3489"/>
          </w:cols>
        </w:sectPr>
      </w:pPr>
    </w:p>
    <w:p>
      <w:pPr>
        <w:pStyle w:val="BodyText"/>
        <w:spacing w:before="6"/>
        <w:rPr>
          <w:rFonts w:ascii="Arial"/>
          <w:i/>
          <w:sz w:val="2"/>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0"/>
        <w:gridCol w:w="2661"/>
        <w:gridCol w:w="2260"/>
      </w:tblGrid>
      <w:tr>
        <w:trPr>
          <w:trHeight w:val="220" w:hRule="atLeast"/>
        </w:trPr>
        <w:tc>
          <w:tcPr>
            <w:tcW w:w="4440" w:type="dxa"/>
            <w:tcBorders>
              <w:bottom w:val="single" w:sz="8" w:space="0" w:color="6C6C6C"/>
            </w:tcBorders>
          </w:tcPr>
          <w:p>
            <w:pPr>
              <w:pStyle w:val="TableParagraph"/>
              <w:spacing w:line="184" w:lineRule="exact" w:before="16"/>
              <w:ind w:left="52"/>
              <w:rPr>
                <w:rFonts w:ascii="Arial"/>
                <w:b/>
                <w:i/>
                <w:sz w:val="16"/>
              </w:rPr>
            </w:pPr>
            <w:r>
              <w:rPr>
                <w:rFonts w:ascii="Arial"/>
                <w:b/>
                <w:i/>
                <w:color w:val="7F7F7F"/>
                <w:sz w:val="16"/>
              </w:rPr>
              <w:t>Final</w:t>
            </w:r>
            <w:r>
              <w:rPr>
                <w:rFonts w:ascii="Arial"/>
                <w:b/>
                <w:i/>
                <w:color w:val="7F7F7F"/>
                <w:spacing w:val="-3"/>
                <w:sz w:val="16"/>
              </w:rPr>
              <w:t> </w:t>
            </w:r>
            <w:r>
              <w:rPr>
                <w:rFonts w:ascii="Arial"/>
                <w:b/>
                <w:i/>
                <w:color w:val="7F7F7F"/>
                <w:spacing w:val="-2"/>
                <w:sz w:val="16"/>
              </w:rPr>
              <w:t>maturity</w:t>
            </w:r>
          </w:p>
        </w:tc>
        <w:tc>
          <w:tcPr>
            <w:tcW w:w="2661" w:type="dxa"/>
            <w:tcBorders>
              <w:top w:val="single" w:sz="8" w:space="0" w:color="6C6C6C"/>
              <w:bottom w:val="single" w:sz="8" w:space="0" w:color="6C6C6C"/>
            </w:tcBorders>
          </w:tcPr>
          <w:p>
            <w:pPr>
              <w:pStyle w:val="TableParagraph"/>
              <w:spacing w:line="184" w:lineRule="exact" w:before="16"/>
              <w:ind w:right="64"/>
              <w:jc w:val="center"/>
              <w:rPr>
                <w:sz w:val="16"/>
              </w:rPr>
            </w:pPr>
            <w:r>
              <w:rPr>
                <w:sz w:val="16"/>
              </w:rPr>
              <w:t>35</w:t>
            </w:r>
            <w:r>
              <w:rPr>
                <w:spacing w:val="-2"/>
                <w:sz w:val="16"/>
              </w:rPr>
              <w:t> </w:t>
            </w:r>
            <w:r>
              <w:rPr>
                <w:spacing w:val="-4"/>
                <w:sz w:val="16"/>
              </w:rPr>
              <w:t>years</w:t>
            </w:r>
          </w:p>
        </w:tc>
        <w:tc>
          <w:tcPr>
            <w:tcW w:w="2260" w:type="dxa"/>
            <w:tcBorders>
              <w:top w:val="single" w:sz="8" w:space="0" w:color="6C6C6C"/>
              <w:bottom w:val="single" w:sz="8" w:space="0" w:color="6C6C6C"/>
            </w:tcBorders>
          </w:tcPr>
          <w:p>
            <w:pPr>
              <w:pStyle w:val="TableParagraph"/>
              <w:spacing w:line="184" w:lineRule="exact" w:before="16"/>
              <w:ind w:left="30" w:right="35"/>
              <w:jc w:val="center"/>
              <w:rPr>
                <w:sz w:val="16"/>
              </w:rPr>
            </w:pPr>
            <w:r>
              <w:rPr>
                <w:sz w:val="16"/>
              </w:rPr>
              <w:t>10</w:t>
            </w:r>
            <w:r>
              <w:rPr>
                <w:spacing w:val="-2"/>
                <w:sz w:val="16"/>
              </w:rPr>
              <w:t> </w:t>
            </w:r>
            <w:r>
              <w:rPr>
                <w:spacing w:val="-4"/>
                <w:sz w:val="16"/>
              </w:rPr>
              <w:t>years</w:t>
            </w:r>
          </w:p>
        </w:tc>
      </w:tr>
      <w:tr>
        <w:trPr>
          <w:trHeight w:val="220" w:hRule="atLeast"/>
        </w:trPr>
        <w:tc>
          <w:tcPr>
            <w:tcW w:w="4440" w:type="dxa"/>
            <w:tcBorders>
              <w:top w:val="single" w:sz="8" w:space="0" w:color="6C6C6C"/>
              <w:bottom w:val="single" w:sz="8" w:space="0" w:color="6C6C6C"/>
            </w:tcBorders>
          </w:tcPr>
          <w:p>
            <w:pPr>
              <w:pStyle w:val="TableParagraph"/>
              <w:spacing w:line="184" w:lineRule="exact" w:before="16"/>
              <w:ind w:left="52"/>
              <w:rPr>
                <w:rFonts w:ascii="Arial"/>
                <w:b/>
                <w:i/>
                <w:sz w:val="16"/>
              </w:rPr>
            </w:pPr>
            <w:r>
              <w:rPr>
                <w:rFonts w:ascii="Arial"/>
                <w:b/>
                <w:i/>
                <w:color w:val="7F7F7F"/>
                <w:sz w:val="16"/>
              </w:rPr>
              <w:t>Maximum</w:t>
            </w:r>
            <w:r>
              <w:rPr>
                <w:rFonts w:ascii="Arial"/>
                <w:b/>
                <w:i/>
                <w:color w:val="7F7F7F"/>
                <w:spacing w:val="-5"/>
                <w:sz w:val="16"/>
              </w:rPr>
              <w:t> </w:t>
            </w:r>
            <w:r>
              <w:rPr>
                <w:rFonts w:ascii="Arial"/>
                <w:b/>
                <w:i/>
                <w:color w:val="7F7F7F"/>
                <w:sz w:val="16"/>
              </w:rPr>
              <w:t>weighted</w:t>
            </w:r>
            <w:r>
              <w:rPr>
                <w:rFonts w:ascii="Arial"/>
                <w:b/>
                <w:i/>
                <w:color w:val="7F7F7F"/>
                <w:spacing w:val="-6"/>
                <w:sz w:val="16"/>
              </w:rPr>
              <w:t> </w:t>
            </w:r>
            <w:r>
              <w:rPr>
                <w:rFonts w:ascii="Arial"/>
                <w:b/>
                <w:i/>
                <w:color w:val="7F7F7F"/>
                <w:sz w:val="16"/>
              </w:rPr>
              <w:t>average</w:t>
            </w:r>
            <w:r>
              <w:rPr>
                <w:rFonts w:ascii="Arial"/>
                <w:b/>
                <w:i/>
                <w:color w:val="7F7F7F"/>
                <w:spacing w:val="-5"/>
                <w:sz w:val="16"/>
              </w:rPr>
              <w:t> </w:t>
            </w:r>
            <w:r>
              <w:rPr>
                <w:rFonts w:ascii="Arial"/>
                <w:b/>
                <w:i/>
                <w:color w:val="7F7F7F"/>
                <w:spacing w:val="-2"/>
                <w:sz w:val="16"/>
              </w:rPr>
              <w:t>maturity</w:t>
            </w:r>
          </w:p>
        </w:tc>
        <w:tc>
          <w:tcPr>
            <w:tcW w:w="2661" w:type="dxa"/>
            <w:tcBorders>
              <w:top w:val="single" w:sz="8" w:space="0" w:color="6C6C6C"/>
              <w:bottom w:val="single" w:sz="8" w:space="0" w:color="6C6C6C"/>
            </w:tcBorders>
          </w:tcPr>
          <w:p>
            <w:pPr>
              <w:pStyle w:val="TableParagraph"/>
              <w:spacing w:line="184" w:lineRule="exact" w:before="16"/>
              <w:ind w:right="64"/>
              <w:jc w:val="center"/>
              <w:rPr>
                <w:sz w:val="16"/>
              </w:rPr>
            </w:pPr>
            <w:r>
              <w:rPr>
                <w:sz w:val="16"/>
              </w:rPr>
              <w:t>20</w:t>
            </w:r>
            <w:r>
              <w:rPr>
                <w:spacing w:val="-2"/>
                <w:sz w:val="16"/>
              </w:rPr>
              <w:t> </w:t>
            </w:r>
            <w:r>
              <w:rPr>
                <w:spacing w:val="-4"/>
                <w:sz w:val="16"/>
              </w:rPr>
              <w:t>years</w:t>
            </w:r>
          </w:p>
        </w:tc>
        <w:tc>
          <w:tcPr>
            <w:tcW w:w="2260" w:type="dxa"/>
            <w:tcBorders>
              <w:top w:val="single" w:sz="8" w:space="0" w:color="6C6C6C"/>
              <w:bottom w:val="single" w:sz="8" w:space="0" w:color="6C6C6C"/>
            </w:tcBorders>
          </w:tcPr>
          <w:p>
            <w:pPr>
              <w:pStyle w:val="TableParagraph"/>
              <w:spacing w:line="184" w:lineRule="exact" w:before="16"/>
              <w:ind w:left="797"/>
              <w:rPr>
                <w:sz w:val="16"/>
              </w:rPr>
            </w:pPr>
            <w:r>
              <w:rPr>
                <w:sz w:val="16"/>
              </w:rPr>
              <w:t>7.5</w:t>
            </w:r>
            <w:r>
              <w:rPr>
                <w:spacing w:val="-4"/>
                <w:sz w:val="16"/>
              </w:rPr>
              <w:t> </w:t>
            </w:r>
            <w:r>
              <w:rPr>
                <w:spacing w:val="-2"/>
                <w:sz w:val="16"/>
              </w:rPr>
              <w:t>years</w:t>
            </w:r>
          </w:p>
        </w:tc>
      </w:tr>
      <w:tr>
        <w:trPr>
          <w:trHeight w:val="385" w:hRule="atLeast"/>
        </w:trPr>
        <w:tc>
          <w:tcPr>
            <w:tcW w:w="4440" w:type="dxa"/>
            <w:tcBorders>
              <w:top w:val="single" w:sz="8" w:space="0" w:color="6C6C6C"/>
              <w:bottom w:val="single" w:sz="8" w:space="0" w:color="6C6C6C"/>
            </w:tcBorders>
          </w:tcPr>
          <w:p>
            <w:pPr>
              <w:pStyle w:val="TableParagraph"/>
              <w:spacing w:line="184" w:lineRule="exact" w:before="181"/>
              <w:ind w:left="52"/>
              <w:rPr>
                <w:rFonts w:ascii="Arial"/>
                <w:b/>
                <w:i/>
                <w:sz w:val="16"/>
              </w:rPr>
            </w:pPr>
            <w:r>
              <w:rPr>
                <w:rFonts w:ascii="Arial"/>
                <w:b/>
                <w:i/>
                <w:color w:val="7F7F7F"/>
                <w:sz w:val="16"/>
              </w:rPr>
              <w:t>Reference</w:t>
            </w:r>
            <w:r>
              <w:rPr>
                <w:rFonts w:ascii="Arial"/>
                <w:b/>
                <w:i/>
                <w:color w:val="7F7F7F"/>
                <w:spacing w:val="-9"/>
                <w:sz w:val="16"/>
              </w:rPr>
              <w:t> </w:t>
            </w:r>
            <w:r>
              <w:rPr>
                <w:rFonts w:ascii="Arial"/>
                <w:b/>
                <w:i/>
                <w:color w:val="7F7F7F"/>
                <w:sz w:val="16"/>
              </w:rPr>
              <w:t>market</w:t>
            </w:r>
            <w:r>
              <w:rPr>
                <w:rFonts w:ascii="Arial"/>
                <w:b/>
                <w:i/>
                <w:color w:val="7F7F7F"/>
                <w:spacing w:val="-6"/>
                <w:sz w:val="16"/>
              </w:rPr>
              <w:t> </w:t>
            </w:r>
            <w:r>
              <w:rPr>
                <w:rFonts w:ascii="Arial"/>
                <w:b/>
                <w:i/>
                <w:color w:val="7F7F7F"/>
                <w:spacing w:val="-4"/>
                <w:sz w:val="16"/>
              </w:rPr>
              <w:t>rate</w:t>
            </w:r>
          </w:p>
        </w:tc>
        <w:tc>
          <w:tcPr>
            <w:tcW w:w="2661" w:type="dxa"/>
            <w:tcBorders>
              <w:top w:val="single" w:sz="8" w:space="0" w:color="6C6C6C"/>
              <w:bottom w:val="single" w:sz="8" w:space="0" w:color="6C6C6C"/>
            </w:tcBorders>
          </w:tcPr>
          <w:p>
            <w:pPr>
              <w:pStyle w:val="TableParagraph"/>
              <w:spacing w:line="184" w:lineRule="exact" w:before="181"/>
              <w:ind w:right="62"/>
              <w:jc w:val="center"/>
              <w:rPr>
                <w:sz w:val="16"/>
              </w:rPr>
            </w:pPr>
            <w:r>
              <w:rPr>
                <w:sz w:val="16"/>
              </w:rPr>
              <w:t>Market-based</w:t>
            </w:r>
            <w:r>
              <w:rPr>
                <w:spacing w:val="-5"/>
                <w:sz w:val="16"/>
              </w:rPr>
              <w:t> </w:t>
            </w:r>
            <w:r>
              <w:rPr>
                <w:sz w:val="16"/>
              </w:rPr>
              <w:t>variable</w:t>
            </w:r>
            <w:r>
              <w:rPr>
                <w:spacing w:val="-5"/>
                <w:sz w:val="16"/>
              </w:rPr>
              <w:t> </w:t>
            </w:r>
            <w:r>
              <w:rPr>
                <w:sz w:val="16"/>
              </w:rPr>
              <w:t>rate</w:t>
            </w:r>
            <w:r>
              <w:rPr>
                <w:spacing w:val="-4"/>
                <w:sz w:val="16"/>
              </w:rPr>
              <w:t> </w:t>
            </w:r>
            <w:r>
              <w:rPr>
                <w:spacing w:val="-2"/>
                <w:sz w:val="16"/>
              </w:rPr>
              <w:t>index</w:t>
            </w:r>
          </w:p>
        </w:tc>
        <w:tc>
          <w:tcPr>
            <w:tcW w:w="2260" w:type="dxa"/>
            <w:tcBorders>
              <w:top w:val="single" w:sz="8" w:space="0" w:color="6C6C6C"/>
              <w:bottom w:val="single" w:sz="8" w:space="0" w:color="6C6C6C"/>
            </w:tcBorders>
          </w:tcPr>
          <w:p>
            <w:pPr>
              <w:pStyle w:val="TableParagraph"/>
              <w:spacing w:line="208" w:lineRule="auto" w:before="41"/>
              <w:ind w:left="935" w:hanging="760"/>
              <w:rPr>
                <w:sz w:val="16"/>
              </w:rPr>
            </w:pPr>
            <w:r>
              <w:rPr>
                <w:sz w:val="16"/>
              </w:rPr>
              <w:t>Market-based</w:t>
            </w:r>
            <w:r>
              <w:rPr>
                <w:spacing w:val="-12"/>
                <w:sz w:val="16"/>
              </w:rPr>
              <w:t> </w:t>
            </w:r>
            <w:r>
              <w:rPr>
                <w:sz w:val="16"/>
              </w:rPr>
              <w:t>variable</w:t>
            </w:r>
            <w:r>
              <w:rPr>
                <w:spacing w:val="-11"/>
                <w:sz w:val="16"/>
              </w:rPr>
              <w:t> </w:t>
            </w:r>
            <w:r>
              <w:rPr>
                <w:sz w:val="16"/>
              </w:rPr>
              <w:t>rate </w:t>
            </w:r>
            <w:r>
              <w:rPr>
                <w:spacing w:val="-2"/>
                <w:sz w:val="16"/>
              </w:rPr>
              <w:t>index</w:t>
            </w:r>
          </w:p>
        </w:tc>
      </w:tr>
      <w:tr>
        <w:trPr>
          <w:trHeight w:val="230" w:hRule="atLeast"/>
        </w:trPr>
        <w:tc>
          <w:tcPr>
            <w:tcW w:w="4440" w:type="dxa"/>
            <w:tcBorders>
              <w:top w:val="single" w:sz="8" w:space="0" w:color="6C6C6C"/>
            </w:tcBorders>
          </w:tcPr>
          <w:p>
            <w:pPr>
              <w:pStyle w:val="TableParagraph"/>
              <w:spacing w:before="16"/>
              <w:ind w:left="52"/>
              <w:rPr>
                <w:rFonts w:ascii="Arial"/>
                <w:b/>
                <w:i/>
                <w:sz w:val="16"/>
              </w:rPr>
            </w:pPr>
            <w:r>
              <w:rPr>
                <w:rFonts w:ascii="Arial"/>
                <w:b/>
                <w:i/>
                <w:color w:val="7F7F7F"/>
                <w:spacing w:val="-2"/>
                <w:sz w:val="16"/>
              </w:rPr>
              <w:t>Spread</w:t>
            </w:r>
          </w:p>
        </w:tc>
        <w:tc>
          <w:tcPr>
            <w:tcW w:w="2661" w:type="dxa"/>
            <w:tcBorders>
              <w:top w:val="single" w:sz="8" w:space="0" w:color="6C6C6C"/>
            </w:tcBorders>
          </w:tcPr>
          <w:p>
            <w:pPr>
              <w:pStyle w:val="TableParagraph"/>
              <w:rPr>
                <w:rFonts w:ascii="Times New Roman"/>
                <w:sz w:val="16"/>
              </w:rPr>
            </w:pPr>
          </w:p>
        </w:tc>
        <w:tc>
          <w:tcPr>
            <w:tcW w:w="2260" w:type="dxa"/>
            <w:tcBorders>
              <w:top w:val="single" w:sz="8" w:space="0" w:color="6C6C6C"/>
            </w:tcBorders>
          </w:tcPr>
          <w:p>
            <w:pPr>
              <w:pStyle w:val="TableParagraph"/>
              <w:rPr>
                <w:rFonts w:ascii="Times New Roman"/>
                <w:sz w:val="16"/>
              </w:rPr>
            </w:pPr>
          </w:p>
        </w:tc>
      </w:tr>
      <w:tr>
        <w:trPr>
          <w:trHeight w:val="229" w:hRule="atLeast"/>
        </w:trPr>
        <w:tc>
          <w:tcPr>
            <w:tcW w:w="4440" w:type="dxa"/>
          </w:tcPr>
          <w:p>
            <w:pPr>
              <w:pStyle w:val="TableParagraph"/>
              <w:spacing w:line="184" w:lineRule="exact" w:before="25"/>
              <w:ind w:left="322"/>
              <w:rPr>
                <w:sz w:val="16"/>
              </w:rPr>
            </w:pPr>
            <w:r>
              <w:rPr>
                <w:sz w:val="16"/>
              </w:rPr>
              <w:t>Contractual</w:t>
            </w:r>
            <w:r>
              <w:rPr>
                <w:spacing w:val="-7"/>
                <w:sz w:val="16"/>
              </w:rPr>
              <w:t> </w:t>
            </w:r>
            <w:r>
              <w:rPr>
                <w:sz w:val="16"/>
              </w:rPr>
              <w:t>lending</w:t>
            </w:r>
            <w:r>
              <w:rPr>
                <w:spacing w:val="-6"/>
                <w:sz w:val="16"/>
              </w:rPr>
              <w:t> </w:t>
            </w:r>
            <w:r>
              <w:rPr>
                <w:spacing w:val="-2"/>
                <w:sz w:val="16"/>
              </w:rPr>
              <w:t>spread</w:t>
            </w:r>
          </w:p>
        </w:tc>
        <w:tc>
          <w:tcPr>
            <w:tcW w:w="2661" w:type="dxa"/>
          </w:tcPr>
          <w:p>
            <w:pPr>
              <w:pStyle w:val="TableParagraph"/>
              <w:spacing w:line="184" w:lineRule="exact" w:before="25"/>
              <w:ind w:right="64"/>
              <w:jc w:val="center"/>
              <w:rPr>
                <w:sz w:val="16"/>
              </w:rPr>
            </w:pPr>
            <w:r>
              <w:rPr>
                <w:spacing w:val="-5"/>
                <w:sz w:val="16"/>
              </w:rPr>
              <w:t>50</w:t>
            </w:r>
          </w:p>
        </w:tc>
        <w:tc>
          <w:tcPr>
            <w:tcW w:w="2260" w:type="dxa"/>
          </w:tcPr>
          <w:p>
            <w:pPr>
              <w:pStyle w:val="TableParagraph"/>
              <w:spacing w:line="184" w:lineRule="exact" w:before="25"/>
              <w:ind w:left="30" w:right="34"/>
              <w:jc w:val="center"/>
              <w:rPr>
                <w:sz w:val="16"/>
              </w:rPr>
            </w:pPr>
            <w:r>
              <w:rPr>
                <w:sz w:val="16"/>
              </w:rPr>
              <w:t>min.</w:t>
            </w:r>
            <w:r>
              <w:rPr>
                <w:spacing w:val="-2"/>
                <w:sz w:val="16"/>
              </w:rPr>
              <w:t> </w:t>
            </w:r>
            <w:r>
              <w:rPr>
                <w:spacing w:val="-5"/>
                <w:sz w:val="16"/>
              </w:rPr>
              <w:t>200</w:t>
            </w:r>
          </w:p>
        </w:tc>
      </w:tr>
      <w:tr>
        <w:trPr>
          <w:trHeight w:val="250" w:hRule="atLeast"/>
        </w:trPr>
        <w:tc>
          <w:tcPr>
            <w:tcW w:w="4440" w:type="dxa"/>
          </w:tcPr>
          <w:p>
            <w:pPr>
              <w:pStyle w:val="TableParagraph"/>
              <w:spacing w:before="36"/>
              <w:ind w:left="322"/>
              <w:rPr>
                <w:sz w:val="16"/>
              </w:rPr>
            </w:pPr>
            <w:r>
              <w:rPr>
                <w:sz w:val="16"/>
              </w:rPr>
              <w:t>Maturity</w:t>
            </w:r>
            <w:r>
              <w:rPr>
                <w:spacing w:val="-5"/>
                <w:sz w:val="16"/>
              </w:rPr>
              <w:t> </w:t>
            </w:r>
            <w:r>
              <w:rPr>
                <w:spacing w:val="-2"/>
                <w:sz w:val="16"/>
              </w:rPr>
              <w:t>premium</w:t>
            </w:r>
          </w:p>
        </w:tc>
        <w:tc>
          <w:tcPr>
            <w:tcW w:w="2661" w:type="dxa"/>
          </w:tcPr>
          <w:p>
            <w:pPr>
              <w:pStyle w:val="TableParagraph"/>
              <w:spacing w:before="36"/>
              <w:ind w:right="64"/>
              <w:jc w:val="center"/>
              <w:rPr>
                <w:sz w:val="16"/>
              </w:rPr>
            </w:pPr>
            <w:r>
              <w:rPr>
                <w:spacing w:val="-2"/>
                <w:sz w:val="16"/>
              </w:rPr>
              <w:t>0-115</w:t>
            </w:r>
            <w:r>
              <w:rPr>
                <w:spacing w:val="-5"/>
                <w:sz w:val="16"/>
              </w:rPr>
              <w:t> </w:t>
            </w:r>
            <w:r>
              <w:rPr>
                <w:spacing w:val="-10"/>
                <w:sz w:val="16"/>
                <w:vertAlign w:val="superscript"/>
              </w:rPr>
              <w:t>c</w:t>
            </w:r>
          </w:p>
        </w:tc>
        <w:tc>
          <w:tcPr>
            <w:tcW w:w="2260" w:type="dxa"/>
          </w:tcPr>
          <w:p>
            <w:pPr>
              <w:pStyle w:val="TableParagraph"/>
              <w:spacing w:before="36"/>
              <w:ind w:left="30"/>
              <w:jc w:val="center"/>
              <w:rPr>
                <w:sz w:val="16"/>
              </w:rPr>
            </w:pPr>
            <w:r>
              <w:rPr>
                <w:sz w:val="16"/>
              </w:rPr>
              <w:t>—</w:t>
            </w:r>
          </w:p>
        </w:tc>
      </w:tr>
      <w:tr>
        <w:trPr>
          <w:trHeight w:val="243" w:hRule="atLeast"/>
        </w:trPr>
        <w:tc>
          <w:tcPr>
            <w:tcW w:w="4440" w:type="dxa"/>
          </w:tcPr>
          <w:p>
            <w:pPr>
              <w:pStyle w:val="TableParagraph"/>
              <w:spacing w:before="25"/>
              <w:ind w:left="322"/>
              <w:rPr>
                <w:sz w:val="16"/>
              </w:rPr>
            </w:pPr>
            <w:r>
              <w:rPr>
                <w:sz w:val="16"/>
              </w:rPr>
              <w:t>Market</w:t>
            </w:r>
            <w:r>
              <w:rPr>
                <w:spacing w:val="-4"/>
                <w:sz w:val="16"/>
              </w:rPr>
              <w:t> </w:t>
            </w:r>
            <w:r>
              <w:rPr>
                <w:sz w:val="16"/>
              </w:rPr>
              <w:t>risk</w:t>
            </w:r>
            <w:r>
              <w:rPr>
                <w:spacing w:val="-1"/>
                <w:sz w:val="16"/>
              </w:rPr>
              <w:t> </w:t>
            </w:r>
            <w:r>
              <w:rPr>
                <w:spacing w:val="-2"/>
                <w:sz w:val="16"/>
              </w:rPr>
              <w:t>premium</w:t>
            </w:r>
          </w:p>
        </w:tc>
        <w:tc>
          <w:tcPr>
            <w:tcW w:w="2661" w:type="dxa"/>
          </w:tcPr>
          <w:p>
            <w:pPr>
              <w:pStyle w:val="TableParagraph"/>
              <w:spacing w:before="25"/>
              <w:ind w:right="26"/>
              <w:jc w:val="center"/>
              <w:rPr>
                <w:sz w:val="16"/>
              </w:rPr>
            </w:pPr>
            <w:r>
              <w:rPr>
                <w:sz w:val="16"/>
              </w:rPr>
              <w:t>—</w:t>
            </w:r>
          </w:p>
        </w:tc>
        <w:tc>
          <w:tcPr>
            <w:tcW w:w="2260" w:type="dxa"/>
          </w:tcPr>
          <w:p>
            <w:pPr>
              <w:pStyle w:val="TableParagraph"/>
              <w:spacing w:before="25"/>
              <w:ind w:left="30"/>
              <w:jc w:val="center"/>
              <w:rPr>
                <w:sz w:val="16"/>
              </w:rPr>
            </w:pPr>
            <w:r>
              <w:rPr>
                <w:sz w:val="16"/>
              </w:rPr>
              <w:t>—</w:t>
            </w:r>
          </w:p>
        </w:tc>
      </w:tr>
      <w:tr>
        <w:trPr>
          <w:trHeight w:val="219" w:hRule="atLeast"/>
        </w:trPr>
        <w:tc>
          <w:tcPr>
            <w:tcW w:w="4440" w:type="dxa"/>
          </w:tcPr>
          <w:p>
            <w:pPr>
              <w:pStyle w:val="TableParagraph"/>
              <w:rPr>
                <w:rFonts w:ascii="Times New Roman"/>
                <w:sz w:val="14"/>
              </w:rPr>
            </w:pPr>
          </w:p>
        </w:tc>
        <w:tc>
          <w:tcPr>
            <w:tcW w:w="2661" w:type="dxa"/>
          </w:tcPr>
          <w:p>
            <w:pPr>
              <w:pStyle w:val="TableParagraph"/>
              <w:spacing w:line="171" w:lineRule="exact" w:before="28"/>
              <w:ind w:right="63"/>
              <w:jc w:val="center"/>
              <w:rPr>
                <w:sz w:val="16"/>
              </w:rPr>
            </w:pPr>
            <w:r>
              <w:rPr>
                <w:sz w:val="16"/>
              </w:rPr>
              <w:t>Actual</w:t>
            </w:r>
            <w:r>
              <w:rPr>
                <w:spacing w:val="-4"/>
                <w:sz w:val="16"/>
              </w:rPr>
              <w:t> </w:t>
            </w:r>
            <w:r>
              <w:rPr>
                <w:sz w:val="16"/>
              </w:rPr>
              <w:t>average</w:t>
            </w:r>
            <w:r>
              <w:rPr>
                <w:spacing w:val="-5"/>
                <w:sz w:val="16"/>
              </w:rPr>
              <w:t> </w:t>
            </w:r>
            <w:r>
              <w:rPr>
                <w:sz w:val="16"/>
              </w:rPr>
              <w:t>funding</w:t>
            </w:r>
            <w:r>
              <w:rPr>
                <w:spacing w:val="-4"/>
                <w:sz w:val="16"/>
              </w:rPr>
              <w:t> cost</w:t>
            </w:r>
          </w:p>
        </w:tc>
        <w:tc>
          <w:tcPr>
            <w:tcW w:w="2260" w:type="dxa"/>
          </w:tcPr>
          <w:p>
            <w:pPr>
              <w:pStyle w:val="TableParagraph"/>
              <w:rPr>
                <w:rFonts w:ascii="Times New Roman"/>
                <w:sz w:val="14"/>
              </w:rPr>
            </w:pPr>
          </w:p>
        </w:tc>
      </w:tr>
      <w:tr>
        <w:trPr>
          <w:trHeight w:val="191" w:hRule="atLeast"/>
        </w:trPr>
        <w:tc>
          <w:tcPr>
            <w:tcW w:w="4440" w:type="dxa"/>
          </w:tcPr>
          <w:p>
            <w:pPr>
              <w:pStyle w:val="TableParagraph"/>
              <w:spacing w:line="171" w:lineRule="exact" w:before="1"/>
              <w:ind w:left="322"/>
              <w:rPr>
                <w:sz w:val="16"/>
              </w:rPr>
            </w:pPr>
            <w:r>
              <w:rPr>
                <w:sz w:val="16"/>
              </w:rPr>
              <w:t>Funding</w:t>
            </w:r>
            <w:r>
              <w:rPr>
                <w:spacing w:val="-5"/>
                <w:sz w:val="16"/>
              </w:rPr>
              <w:t> </w:t>
            </w:r>
            <w:r>
              <w:rPr>
                <w:sz w:val="16"/>
              </w:rPr>
              <w:t>cost</w:t>
            </w:r>
            <w:r>
              <w:rPr>
                <w:spacing w:val="-3"/>
                <w:sz w:val="16"/>
              </w:rPr>
              <w:t> </w:t>
            </w:r>
            <w:r>
              <w:rPr>
                <w:spacing w:val="-2"/>
                <w:sz w:val="16"/>
              </w:rPr>
              <w:t>margin</w:t>
            </w:r>
          </w:p>
        </w:tc>
        <w:tc>
          <w:tcPr>
            <w:tcW w:w="2661" w:type="dxa"/>
          </w:tcPr>
          <w:p>
            <w:pPr>
              <w:pStyle w:val="TableParagraph"/>
              <w:spacing w:line="171" w:lineRule="exact" w:before="1"/>
              <w:ind w:right="62"/>
              <w:jc w:val="center"/>
              <w:rPr>
                <w:sz w:val="16"/>
              </w:rPr>
            </w:pPr>
            <w:r>
              <w:rPr>
                <w:sz w:val="16"/>
              </w:rPr>
              <w:t>incurred</w:t>
            </w:r>
            <w:r>
              <w:rPr>
                <w:spacing w:val="-5"/>
                <w:sz w:val="16"/>
              </w:rPr>
              <w:t> </w:t>
            </w:r>
            <w:r>
              <w:rPr>
                <w:sz w:val="16"/>
              </w:rPr>
              <w:t>during</w:t>
            </w:r>
            <w:r>
              <w:rPr>
                <w:spacing w:val="-5"/>
                <w:sz w:val="16"/>
              </w:rPr>
              <w:t> </w:t>
            </w:r>
            <w:r>
              <w:rPr>
                <w:sz w:val="16"/>
              </w:rPr>
              <w:t>the</w:t>
            </w:r>
            <w:r>
              <w:rPr>
                <w:spacing w:val="-5"/>
                <w:sz w:val="16"/>
              </w:rPr>
              <w:t> </w:t>
            </w:r>
            <w:r>
              <w:rPr>
                <w:sz w:val="16"/>
              </w:rPr>
              <w:t>preceding</w:t>
            </w:r>
            <w:r>
              <w:rPr>
                <w:spacing w:val="-4"/>
                <w:sz w:val="16"/>
              </w:rPr>
              <w:t> six-</w:t>
            </w:r>
          </w:p>
        </w:tc>
        <w:tc>
          <w:tcPr>
            <w:tcW w:w="2260" w:type="dxa"/>
          </w:tcPr>
          <w:p>
            <w:pPr>
              <w:pStyle w:val="TableParagraph"/>
              <w:rPr>
                <w:rFonts w:ascii="Times New Roman"/>
                <w:sz w:val="12"/>
              </w:rPr>
            </w:pPr>
          </w:p>
        </w:tc>
      </w:tr>
      <w:tr>
        <w:trPr>
          <w:trHeight w:val="219" w:hRule="atLeast"/>
        </w:trPr>
        <w:tc>
          <w:tcPr>
            <w:tcW w:w="4440" w:type="dxa"/>
            <w:tcBorders>
              <w:bottom w:val="single" w:sz="8" w:space="0" w:color="6C6C6C"/>
            </w:tcBorders>
          </w:tcPr>
          <w:p>
            <w:pPr>
              <w:pStyle w:val="TableParagraph"/>
              <w:rPr>
                <w:rFonts w:ascii="Times New Roman"/>
                <w:sz w:val="14"/>
              </w:rPr>
            </w:pPr>
          </w:p>
        </w:tc>
        <w:tc>
          <w:tcPr>
            <w:tcW w:w="2661" w:type="dxa"/>
            <w:tcBorders>
              <w:bottom w:val="single" w:sz="8" w:space="0" w:color="6C6C6C"/>
            </w:tcBorders>
          </w:tcPr>
          <w:p>
            <w:pPr>
              <w:pStyle w:val="TableParagraph"/>
              <w:spacing w:before="1"/>
              <w:ind w:right="63"/>
              <w:jc w:val="center"/>
              <w:rPr>
                <w:sz w:val="16"/>
              </w:rPr>
            </w:pPr>
            <w:r>
              <w:rPr>
                <w:sz w:val="16"/>
              </w:rPr>
              <w:t>month</w:t>
            </w:r>
            <w:r>
              <w:rPr>
                <w:spacing w:val="-3"/>
                <w:sz w:val="16"/>
              </w:rPr>
              <w:t> </w:t>
            </w:r>
            <w:r>
              <w:rPr>
                <w:spacing w:val="-2"/>
                <w:sz w:val="16"/>
              </w:rPr>
              <w:t>period</w:t>
            </w:r>
          </w:p>
        </w:tc>
        <w:tc>
          <w:tcPr>
            <w:tcW w:w="2260" w:type="dxa"/>
            <w:tcBorders>
              <w:bottom w:val="single" w:sz="8" w:space="0" w:color="6C6C6C"/>
            </w:tcBorders>
          </w:tcPr>
          <w:p>
            <w:pPr>
              <w:pStyle w:val="TableParagraph"/>
              <w:spacing w:line="184" w:lineRule="exact" w:before="15"/>
              <w:ind w:left="30"/>
              <w:jc w:val="center"/>
              <w:rPr>
                <w:sz w:val="16"/>
              </w:rPr>
            </w:pPr>
            <w:r>
              <w:rPr>
                <w:sz w:val="16"/>
              </w:rPr>
              <w:t>—</w:t>
            </w:r>
          </w:p>
        </w:tc>
      </w:tr>
      <w:tr>
        <w:trPr>
          <w:trHeight w:val="230" w:hRule="atLeast"/>
        </w:trPr>
        <w:tc>
          <w:tcPr>
            <w:tcW w:w="4440" w:type="dxa"/>
            <w:tcBorders>
              <w:top w:val="single" w:sz="8" w:space="0" w:color="6C6C6C"/>
            </w:tcBorders>
          </w:tcPr>
          <w:p>
            <w:pPr>
              <w:pStyle w:val="TableParagraph"/>
              <w:spacing w:before="16"/>
              <w:ind w:left="52"/>
              <w:rPr>
                <w:rFonts w:ascii="Arial"/>
                <w:b/>
                <w:i/>
                <w:sz w:val="16"/>
              </w:rPr>
            </w:pPr>
            <w:r>
              <w:rPr>
                <w:rFonts w:ascii="Arial"/>
                <w:b/>
                <w:i/>
                <w:color w:val="7F7F7F"/>
                <w:spacing w:val="-2"/>
                <w:sz w:val="16"/>
              </w:rPr>
              <w:t>Charges</w:t>
            </w:r>
          </w:p>
        </w:tc>
        <w:tc>
          <w:tcPr>
            <w:tcW w:w="2661" w:type="dxa"/>
            <w:tcBorders>
              <w:top w:val="single" w:sz="8" w:space="0" w:color="6C6C6C"/>
            </w:tcBorders>
          </w:tcPr>
          <w:p>
            <w:pPr>
              <w:pStyle w:val="TableParagraph"/>
              <w:rPr>
                <w:rFonts w:ascii="Times New Roman"/>
                <w:sz w:val="16"/>
              </w:rPr>
            </w:pPr>
          </w:p>
        </w:tc>
        <w:tc>
          <w:tcPr>
            <w:tcW w:w="2260" w:type="dxa"/>
            <w:tcBorders>
              <w:top w:val="single" w:sz="8" w:space="0" w:color="6C6C6C"/>
            </w:tcBorders>
          </w:tcPr>
          <w:p>
            <w:pPr>
              <w:pStyle w:val="TableParagraph"/>
              <w:rPr>
                <w:rFonts w:ascii="Times New Roman"/>
                <w:sz w:val="16"/>
              </w:rPr>
            </w:pPr>
          </w:p>
        </w:tc>
      </w:tr>
      <w:tr>
        <w:trPr>
          <w:trHeight w:val="241" w:hRule="atLeast"/>
        </w:trPr>
        <w:tc>
          <w:tcPr>
            <w:tcW w:w="4440" w:type="dxa"/>
          </w:tcPr>
          <w:p>
            <w:pPr>
              <w:pStyle w:val="TableParagraph"/>
              <w:spacing w:before="25"/>
              <w:ind w:left="322"/>
              <w:rPr>
                <w:sz w:val="16"/>
              </w:rPr>
            </w:pPr>
            <w:r>
              <w:rPr>
                <w:sz w:val="16"/>
              </w:rPr>
              <w:t>Front-end</w:t>
            </w:r>
            <w:r>
              <w:rPr>
                <w:spacing w:val="-6"/>
                <w:sz w:val="16"/>
              </w:rPr>
              <w:t> </w:t>
            </w:r>
            <w:r>
              <w:rPr>
                <w:spacing w:val="-5"/>
                <w:sz w:val="16"/>
              </w:rPr>
              <w:t>fee</w:t>
            </w:r>
          </w:p>
        </w:tc>
        <w:tc>
          <w:tcPr>
            <w:tcW w:w="2661" w:type="dxa"/>
          </w:tcPr>
          <w:p>
            <w:pPr>
              <w:pStyle w:val="TableParagraph"/>
              <w:spacing w:before="25"/>
              <w:ind w:right="64"/>
              <w:jc w:val="center"/>
              <w:rPr>
                <w:sz w:val="16"/>
              </w:rPr>
            </w:pPr>
            <w:r>
              <w:rPr>
                <w:spacing w:val="-5"/>
                <w:sz w:val="16"/>
              </w:rPr>
              <w:t>25</w:t>
            </w:r>
          </w:p>
        </w:tc>
        <w:tc>
          <w:tcPr>
            <w:tcW w:w="2260" w:type="dxa"/>
          </w:tcPr>
          <w:p>
            <w:pPr>
              <w:pStyle w:val="TableParagraph"/>
              <w:spacing w:before="25"/>
              <w:ind w:left="30" w:right="35"/>
              <w:jc w:val="center"/>
              <w:rPr>
                <w:sz w:val="16"/>
              </w:rPr>
            </w:pPr>
            <w:r>
              <w:rPr>
                <w:spacing w:val="-5"/>
                <w:sz w:val="16"/>
              </w:rPr>
              <w:t>100</w:t>
            </w:r>
          </w:p>
        </w:tc>
      </w:tr>
      <w:tr>
        <w:trPr>
          <w:trHeight w:val="422" w:hRule="atLeast"/>
        </w:trPr>
        <w:tc>
          <w:tcPr>
            <w:tcW w:w="4440" w:type="dxa"/>
          </w:tcPr>
          <w:p>
            <w:pPr>
              <w:pStyle w:val="TableParagraph"/>
              <w:spacing w:line="190" w:lineRule="atLeast" w:before="21"/>
              <w:ind w:left="322"/>
              <w:rPr>
                <w:sz w:val="16"/>
              </w:rPr>
            </w:pPr>
            <w:r>
              <w:rPr>
                <w:sz w:val="16"/>
              </w:rPr>
              <w:t>Late</w:t>
            </w:r>
            <w:r>
              <w:rPr>
                <w:spacing w:val="-7"/>
                <w:sz w:val="16"/>
              </w:rPr>
              <w:t> </w:t>
            </w:r>
            <w:r>
              <w:rPr>
                <w:sz w:val="16"/>
              </w:rPr>
              <w:t>service</w:t>
            </w:r>
            <w:r>
              <w:rPr>
                <w:spacing w:val="-7"/>
                <w:sz w:val="16"/>
              </w:rPr>
              <w:t> </w:t>
            </w:r>
            <w:r>
              <w:rPr>
                <w:sz w:val="16"/>
              </w:rPr>
              <w:t>charge</w:t>
            </w:r>
            <w:r>
              <w:rPr>
                <w:spacing w:val="-7"/>
                <w:sz w:val="16"/>
              </w:rPr>
              <w:t> </w:t>
            </w:r>
            <w:r>
              <w:rPr>
                <w:sz w:val="16"/>
              </w:rPr>
              <w:t>on</w:t>
            </w:r>
            <w:r>
              <w:rPr>
                <w:spacing w:val="-7"/>
                <w:sz w:val="16"/>
              </w:rPr>
              <w:t> </w:t>
            </w:r>
            <w:r>
              <w:rPr>
                <w:sz w:val="16"/>
              </w:rPr>
              <w:t>principal</w:t>
            </w:r>
            <w:r>
              <w:rPr>
                <w:spacing w:val="-6"/>
                <w:sz w:val="16"/>
              </w:rPr>
              <w:t> </w:t>
            </w:r>
            <w:r>
              <w:rPr>
                <w:sz w:val="16"/>
              </w:rPr>
              <w:t>payments</w:t>
            </w:r>
            <w:r>
              <w:rPr>
                <w:spacing w:val="-6"/>
                <w:sz w:val="16"/>
              </w:rPr>
              <w:t> </w:t>
            </w:r>
            <w:r>
              <w:rPr>
                <w:sz w:val="16"/>
              </w:rPr>
              <w:t>received</w:t>
            </w:r>
            <w:r>
              <w:rPr>
                <w:spacing w:val="-7"/>
                <w:sz w:val="16"/>
              </w:rPr>
              <w:t> </w:t>
            </w:r>
            <w:r>
              <w:rPr>
                <w:sz w:val="16"/>
              </w:rPr>
              <w:t>after 30 days of due date </w:t>
            </w:r>
            <w:r>
              <w:rPr>
                <w:sz w:val="16"/>
                <w:vertAlign w:val="superscript"/>
              </w:rPr>
              <w:t>d</w:t>
            </w:r>
          </w:p>
        </w:tc>
        <w:tc>
          <w:tcPr>
            <w:tcW w:w="2661" w:type="dxa"/>
          </w:tcPr>
          <w:p>
            <w:pPr>
              <w:pStyle w:val="TableParagraph"/>
              <w:spacing w:before="34"/>
              <w:rPr>
                <w:rFonts w:ascii="Arial"/>
                <w:i/>
                <w:sz w:val="16"/>
              </w:rPr>
            </w:pPr>
          </w:p>
          <w:p>
            <w:pPr>
              <w:pStyle w:val="TableParagraph"/>
              <w:spacing w:line="184" w:lineRule="exact" w:before="1"/>
              <w:ind w:right="64"/>
              <w:jc w:val="center"/>
              <w:rPr>
                <w:sz w:val="16"/>
              </w:rPr>
            </w:pPr>
            <w:r>
              <w:rPr>
                <w:spacing w:val="-5"/>
                <w:sz w:val="16"/>
              </w:rPr>
              <w:t>50</w:t>
            </w:r>
          </w:p>
        </w:tc>
        <w:tc>
          <w:tcPr>
            <w:tcW w:w="2260" w:type="dxa"/>
          </w:tcPr>
          <w:p>
            <w:pPr>
              <w:pStyle w:val="TableParagraph"/>
              <w:spacing w:before="34"/>
              <w:rPr>
                <w:rFonts w:ascii="Arial"/>
                <w:i/>
                <w:sz w:val="16"/>
              </w:rPr>
            </w:pPr>
          </w:p>
          <w:p>
            <w:pPr>
              <w:pStyle w:val="TableParagraph"/>
              <w:spacing w:line="184" w:lineRule="exact" w:before="1"/>
              <w:ind w:left="30"/>
              <w:jc w:val="center"/>
              <w:rPr>
                <w:sz w:val="16"/>
              </w:rPr>
            </w:pPr>
            <w:r>
              <w:rPr>
                <w:sz w:val="16"/>
              </w:rPr>
              <w:t>—</w:t>
            </w:r>
          </w:p>
        </w:tc>
      </w:tr>
      <w:tr>
        <w:trPr>
          <w:trHeight w:val="220" w:hRule="atLeast"/>
        </w:trPr>
        <w:tc>
          <w:tcPr>
            <w:tcW w:w="4440" w:type="dxa"/>
          </w:tcPr>
          <w:p>
            <w:pPr>
              <w:pStyle w:val="TableParagraph"/>
              <w:spacing w:line="164" w:lineRule="exact" w:before="36"/>
              <w:ind w:left="322"/>
              <w:rPr>
                <w:sz w:val="16"/>
              </w:rPr>
            </w:pPr>
            <w:r>
              <w:rPr>
                <w:sz w:val="16"/>
              </w:rPr>
              <w:t>Commitment</w:t>
            </w:r>
            <w:r>
              <w:rPr>
                <w:spacing w:val="-2"/>
                <w:sz w:val="16"/>
              </w:rPr>
              <w:t> </w:t>
            </w:r>
            <w:r>
              <w:rPr>
                <w:sz w:val="16"/>
              </w:rPr>
              <w:t>Fee</w:t>
            </w:r>
            <w:r>
              <w:rPr>
                <w:spacing w:val="-2"/>
                <w:sz w:val="16"/>
              </w:rPr>
              <w:t> </w:t>
            </w:r>
            <w:r>
              <w:rPr>
                <w:sz w:val="16"/>
                <w:vertAlign w:val="superscript"/>
              </w:rPr>
              <w:t>e</w:t>
            </w:r>
            <w:r>
              <w:rPr>
                <w:spacing w:val="-16"/>
                <w:sz w:val="16"/>
                <w:vertAlign w:val="baseline"/>
              </w:rPr>
              <w:t> </w:t>
            </w:r>
            <w:r>
              <w:rPr>
                <w:spacing w:val="-10"/>
                <w:sz w:val="16"/>
                <w:vertAlign w:val="superscript"/>
              </w:rPr>
              <w:t>g</w:t>
            </w:r>
          </w:p>
        </w:tc>
        <w:tc>
          <w:tcPr>
            <w:tcW w:w="2661" w:type="dxa"/>
          </w:tcPr>
          <w:p>
            <w:pPr>
              <w:pStyle w:val="TableParagraph"/>
              <w:spacing w:line="164" w:lineRule="exact" w:before="36"/>
              <w:ind w:right="64"/>
              <w:jc w:val="center"/>
              <w:rPr>
                <w:sz w:val="16"/>
              </w:rPr>
            </w:pPr>
            <w:r>
              <w:rPr>
                <w:spacing w:val="-5"/>
                <w:sz w:val="16"/>
              </w:rPr>
              <w:t>25</w:t>
            </w:r>
          </w:p>
        </w:tc>
        <w:tc>
          <w:tcPr>
            <w:tcW w:w="2260" w:type="dxa"/>
          </w:tcPr>
          <w:p>
            <w:pPr>
              <w:pStyle w:val="TableParagraph"/>
              <w:spacing w:line="164" w:lineRule="exact" w:before="36"/>
              <w:ind w:left="30" w:right="35"/>
              <w:jc w:val="center"/>
              <w:rPr>
                <w:sz w:val="16"/>
              </w:rPr>
            </w:pPr>
            <w:r>
              <w:rPr>
                <w:spacing w:val="-5"/>
                <w:sz w:val="16"/>
              </w:rPr>
              <w:t>25</w:t>
            </w:r>
          </w:p>
        </w:tc>
      </w:tr>
    </w:tbl>
    <w:p>
      <w:pPr>
        <w:pStyle w:val="BodyText"/>
        <w:spacing w:before="16"/>
        <w:rPr>
          <w:rFonts w:ascii="Arial"/>
          <w:i/>
        </w:rPr>
      </w:pPr>
    </w:p>
    <w:p>
      <w:pPr>
        <w:spacing w:line="20" w:lineRule="exact"/>
        <w:ind w:left="720" w:right="0" w:firstLine="0"/>
        <w:rPr>
          <w:rFonts w:ascii="Arial"/>
          <w:sz w:val="2"/>
        </w:rPr>
      </w:pPr>
      <w:r>
        <w:rPr>
          <w:rFonts w:ascii="Arial"/>
          <w:sz w:val="2"/>
        </w:rPr>
        <mc:AlternateContent>
          <mc:Choice Requires="wps">
            <w:drawing>
              <wp:inline distT="0" distB="0" distL="0" distR="0">
                <wp:extent cx="5943600" cy="12700"/>
                <wp:effectExtent l="9525" t="0" r="0" b="6350"/>
                <wp:docPr id="270" name="Group 270"/>
                <wp:cNvGraphicFramePr>
                  <a:graphicFrameLocks/>
                </wp:cNvGraphicFramePr>
                <a:graphic>
                  <a:graphicData uri="http://schemas.microsoft.com/office/word/2010/wordprocessingGroup">
                    <wpg:wgp>
                      <wpg:cNvPr id="270" name="Group 270"/>
                      <wpg:cNvGrpSpPr/>
                      <wpg:grpSpPr>
                        <a:xfrm>
                          <a:off x="0" y="0"/>
                          <a:ext cx="5943600" cy="12700"/>
                          <a:chExt cx="5943600" cy="12700"/>
                        </a:xfrm>
                      </wpg:grpSpPr>
                      <wps:wsp>
                        <wps:cNvPr id="271" name="Graphic 271"/>
                        <wps:cNvSpPr/>
                        <wps:spPr>
                          <a:xfrm>
                            <a:off x="0" y="635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213" coordorigin="0,0" coordsize="9360,20">
                <v:line style="position:absolute" from="0,10" to="9360,10" stroked="true" strokeweight="1pt" strokecolor="#6c6c6c">
                  <v:stroke dashstyle="solid"/>
                </v:line>
              </v:group>
            </w:pict>
          </mc:Fallback>
        </mc:AlternateContent>
      </w:r>
      <w:r>
        <w:rPr>
          <w:rFonts w:ascii="Arial"/>
          <w:sz w:val="2"/>
        </w:rPr>
      </w:r>
    </w:p>
    <w:p>
      <w:pPr>
        <w:spacing w:after="0" w:line="20" w:lineRule="exact"/>
        <w:rPr>
          <w:rFonts w:ascii="Arial"/>
          <w:sz w:val="2"/>
        </w:rPr>
        <w:sectPr>
          <w:type w:val="continuous"/>
          <w:pgSz w:w="12240" w:h="15840"/>
          <w:pgMar w:header="744" w:footer="713" w:top="1820" w:bottom="280" w:left="720" w:right="720"/>
        </w:sectPr>
      </w:pPr>
    </w:p>
    <w:p>
      <w:pPr>
        <w:spacing w:line="208" w:lineRule="auto" w:before="31"/>
        <w:ind w:left="4777" w:right="0" w:firstLine="62"/>
        <w:jc w:val="left"/>
        <w:rPr>
          <w:rFonts w:ascii="Arial"/>
          <w:i/>
          <w:sz w:val="16"/>
        </w:rPr>
      </w:pPr>
      <w:r>
        <w:rPr>
          <w:rFonts w:ascii="Arial"/>
          <w:i/>
          <w:color w:val="7F7F7F"/>
          <w:sz w:val="16"/>
        </w:rPr>
        <w:t>Development Policy Loan Deferred</w:t>
      </w:r>
      <w:r>
        <w:rPr>
          <w:rFonts w:ascii="Arial"/>
          <w:i/>
          <w:color w:val="7F7F7F"/>
          <w:spacing w:val="-12"/>
          <w:sz w:val="16"/>
        </w:rPr>
        <w:t> </w:t>
      </w:r>
      <w:r>
        <w:rPr>
          <w:rFonts w:ascii="Arial"/>
          <w:i/>
          <w:color w:val="7F7F7F"/>
          <w:sz w:val="16"/>
        </w:rPr>
        <w:t>Drawdown</w:t>
      </w:r>
      <w:r>
        <w:rPr>
          <w:rFonts w:ascii="Arial"/>
          <w:i/>
          <w:color w:val="7F7F7F"/>
          <w:spacing w:val="-11"/>
          <w:sz w:val="16"/>
        </w:rPr>
        <w:t> </w:t>
      </w:r>
      <w:r>
        <w:rPr>
          <w:rFonts w:ascii="Arial"/>
          <w:i/>
          <w:color w:val="7F7F7F"/>
          <w:sz w:val="16"/>
        </w:rPr>
        <w:t>Option</w:t>
      </w:r>
    </w:p>
    <w:p>
      <w:pPr>
        <w:spacing w:line="208" w:lineRule="auto" w:before="31"/>
        <w:ind w:left="933" w:right="1173" w:firstLine="355"/>
        <w:jc w:val="left"/>
        <w:rPr>
          <w:rFonts w:ascii="Arial"/>
          <w:i/>
          <w:sz w:val="16"/>
        </w:rPr>
      </w:pPr>
      <w:r>
        <w:rPr/>
        <w:br w:type="column"/>
      </w:r>
      <w:r>
        <w:rPr>
          <w:rFonts w:ascii="Arial"/>
          <w:i/>
          <w:color w:val="7F7F7F"/>
          <w:sz w:val="16"/>
        </w:rPr>
        <w:t>Catastrophe Risk Deferred</w:t>
      </w:r>
      <w:r>
        <w:rPr>
          <w:rFonts w:ascii="Arial"/>
          <w:i/>
          <w:color w:val="7F7F7F"/>
          <w:spacing w:val="-12"/>
          <w:sz w:val="16"/>
        </w:rPr>
        <w:t> </w:t>
      </w:r>
      <w:r>
        <w:rPr>
          <w:rFonts w:ascii="Arial"/>
          <w:i/>
          <w:color w:val="7F7F7F"/>
          <w:sz w:val="16"/>
        </w:rPr>
        <w:t>Drawdown</w:t>
      </w:r>
      <w:r>
        <w:rPr>
          <w:rFonts w:ascii="Arial"/>
          <w:i/>
          <w:color w:val="7F7F7F"/>
          <w:spacing w:val="-11"/>
          <w:sz w:val="16"/>
        </w:rPr>
        <w:t> </w:t>
      </w:r>
      <w:r>
        <w:rPr>
          <w:rFonts w:ascii="Arial"/>
          <w:i/>
          <w:color w:val="7F7F7F"/>
          <w:sz w:val="16"/>
        </w:rPr>
        <w:t>Option</w:t>
      </w:r>
    </w:p>
    <w:p>
      <w:pPr>
        <w:spacing w:after="0" w:line="208" w:lineRule="auto"/>
        <w:jc w:val="left"/>
        <w:rPr>
          <w:rFonts w:ascii="Arial"/>
          <w:i/>
          <w:sz w:val="16"/>
        </w:rPr>
        <w:sectPr>
          <w:type w:val="continuous"/>
          <w:pgSz w:w="12240" w:h="15840"/>
          <w:pgMar w:header="744" w:footer="713" w:top="1820" w:bottom="280" w:left="720" w:right="720"/>
          <w:cols w:num="2" w:equalWidth="0">
            <w:col w:w="6715" w:space="40"/>
            <w:col w:w="4045"/>
          </w:cols>
        </w:sectPr>
      </w:pPr>
    </w:p>
    <w:p>
      <w:pPr>
        <w:spacing w:line="20" w:lineRule="exact"/>
        <w:ind w:left="4310" w:right="0" w:firstLine="0"/>
        <w:rPr>
          <w:rFonts w:ascii="Arial"/>
          <w:sz w:val="2"/>
        </w:rPr>
      </w:pPr>
      <w:r>
        <w:rPr>
          <w:rFonts w:ascii="Arial"/>
          <w:sz w:val="2"/>
        </w:rPr>
        <mc:AlternateContent>
          <mc:Choice Requires="wps">
            <w:drawing>
              <wp:inline distT="0" distB="0" distL="0" distR="0">
                <wp:extent cx="3657600" cy="12700"/>
                <wp:effectExtent l="9525" t="0" r="0" b="6350"/>
                <wp:docPr id="272" name="Group 272"/>
                <wp:cNvGraphicFramePr>
                  <a:graphicFrameLocks/>
                </wp:cNvGraphicFramePr>
                <a:graphic>
                  <a:graphicData uri="http://schemas.microsoft.com/office/word/2010/wordprocessingGroup">
                    <wpg:wgp>
                      <wpg:cNvPr id="272" name="Group 272"/>
                      <wpg:cNvGrpSpPr/>
                      <wpg:grpSpPr>
                        <a:xfrm>
                          <a:off x="0" y="0"/>
                          <a:ext cx="3657600" cy="12700"/>
                          <a:chExt cx="3657600" cy="12700"/>
                        </a:xfrm>
                      </wpg:grpSpPr>
                      <wps:wsp>
                        <wps:cNvPr id="273" name="Graphic 273"/>
                        <wps:cNvSpPr/>
                        <wps:spPr>
                          <a:xfrm>
                            <a:off x="0" y="6350"/>
                            <a:ext cx="3657600" cy="1270"/>
                          </a:xfrm>
                          <a:custGeom>
                            <a:avLst/>
                            <a:gdLst/>
                            <a:ahLst/>
                            <a:cxnLst/>
                            <a:rect l="l" t="t" r="r" b="b"/>
                            <a:pathLst>
                              <a:path w="3657600" h="0">
                                <a:moveTo>
                                  <a:pt x="0" y="0"/>
                                </a:moveTo>
                                <a:lnTo>
                                  <a:pt x="1809750" y="0"/>
                                </a:lnTo>
                              </a:path>
                              <a:path w="3657600" h="0">
                                <a:moveTo>
                                  <a:pt x="1847850" y="0"/>
                                </a:moveTo>
                                <a:lnTo>
                                  <a:pt x="365760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288pt;height:1pt;mso-position-horizontal-relative:char;mso-position-vertical-relative:line" id="docshapegroup214" coordorigin="0,0" coordsize="5760,20">
                <v:shape style="position:absolute;left:0;top:10;width:5760;height:2" id="docshape215" coordorigin="0,10" coordsize="5760,0" path="m0,10l2850,10m2910,10l5760,10e" filled="false" stroked="true" strokeweight="1pt" strokecolor="#6c6c6c">
                  <v:path arrowok="t"/>
                  <v:stroke dashstyle="solid"/>
                </v:shape>
              </v:group>
            </w:pict>
          </mc:Fallback>
        </mc:AlternateContent>
      </w:r>
      <w:r>
        <w:rPr>
          <w:rFonts w:ascii="Arial"/>
          <w:sz w:val="2"/>
        </w:rPr>
      </w:r>
    </w:p>
    <w:p>
      <w:pPr>
        <w:tabs>
          <w:tab w:pos="4581" w:val="left" w:leader="none"/>
          <w:tab w:pos="7491" w:val="left" w:leader="none"/>
        </w:tabs>
        <w:spacing w:before="40" w:after="30"/>
        <w:ind w:left="791" w:right="0" w:firstLine="0"/>
        <w:jc w:val="left"/>
        <w:rPr>
          <w:rFonts w:ascii="Arial MT"/>
          <w:sz w:val="16"/>
        </w:rPr>
      </w:pPr>
      <w:r>
        <w:rPr>
          <w:rFonts w:ascii="Arial"/>
          <w:b/>
          <w:i/>
          <w:color w:val="7F7F7F"/>
          <w:sz w:val="16"/>
        </w:rPr>
        <w:t>Reference</w:t>
      </w:r>
      <w:r>
        <w:rPr>
          <w:rFonts w:ascii="Arial"/>
          <w:b/>
          <w:i/>
          <w:color w:val="7F7F7F"/>
          <w:spacing w:val="-9"/>
          <w:sz w:val="16"/>
        </w:rPr>
        <w:t> </w:t>
      </w:r>
      <w:r>
        <w:rPr>
          <w:rFonts w:ascii="Arial"/>
          <w:b/>
          <w:i/>
          <w:color w:val="7F7F7F"/>
          <w:sz w:val="16"/>
        </w:rPr>
        <w:t>market</w:t>
      </w:r>
      <w:r>
        <w:rPr>
          <w:rFonts w:ascii="Arial"/>
          <w:b/>
          <w:i/>
          <w:color w:val="7F7F7F"/>
          <w:spacing w:val="-6"/>
          <w:sz w:val="16"/>
        </w:rPr>
        <w:t> </w:t>
      </w:r>
      <w:r>
        <w:rPr>
          <w:rFonts w:ascii="Arial"/>
          <w:b/>
          <w:i/>
          <w:color w:val="7F7F7F"/>
          <w:spacing w:val="-4"/>
          <w:sz w:val="16"/>
        </w:rPr>
        <w:t>rate</w:t>
      </w:r>
      <w:r>
        <w:rPr>
          <w:rFonts w:ascii="Arial"/>
          <w:b/>
          <w:i/>
          <w:color w:val="7F7F7F"/>
          <w:sz w:val="16"/>
        </w:rPr>
        <w:tab/>
      </w:r>
      <w:r>
        <w:rPr>
          <w:rFonts w:ascii="Arial MT"/>
          <w:sz w:val="16"/>
        </w:rPr>
        <w:t>Market-based</w:t>
      </w:r>
      <w:r>
        <w:rPr>
          <w:rFonts w:ascii="Arial MT"/>
          <w:spacing w:val="-7"/>
          <w:sz w:val="16"/>
        </w:rPr>
        <w:t> </w:t>
      </w:r>
      <w:r>
        <w:rPr>
          <w:rFonts w:ascii="Arial MT"/>
          <w:sz w:val="16"/>
        </w:rPr>
        <w:t>variable</w:t>
      </w:r>
      <w:r>
        <w:rPr>
          <w:rFonts w:ascii="Arial MT"/>
          <w:spacing w:val="-5"/>
          <w:sz w:val="16"/>
        </w:rPr>
        <w:t> </w:t>
      </w:r>
      <w:r>
        <w:rPr>
          <w:rFonts w:ascii="Arial MT"/>
          <w:sz w:val="16"/>
        </w:rPr>
        <w:t>rate</w:t>
      </w:r>
      <w:r>
        <w:rPr>
          <w:rFonts w:ascii="Arial MT"/>
          <w:spacing w:val="-4"/>
          <w:sz w:val="16"/>
        </w:rPr>
        <w:t> </w:t>
      </w:r>
      <w:r>
        <w:rPr>
          <w:rFonts w:ascii="Arial MT"/>
          <w:spacing w:val="-2"/>
          <w:sz w:val="16"/>
        </w:rPr>
        <w:t>index</w:t>
      </w:r>
      <w:r>
        <w:rPr>
          <w:rFonts w:ascii="Arial MT"/>
          <w:sz w:val="16"/>
        </w:rPr>
        <w:tab/>
        <w:t>Market-based</w:t>
      </w:r>
      <w:r>
        <w:rPr>
          <w:rFonts w:ascii="Arial MT"/>
          <w:spacing w:val="-7"/>
          <w:sz w:val="16"/>
        </w:rPr>
        <w:t> </w:t>
      </w:r>
      <w:r>
        <w:rPr>
          <w:rFonts w:ascii="Arial MT"/>
          <w:sz w:val="16"/>
        </w:rPr>
        <w:t>variable</w:t>
      </w:r>
      <w:r>
        <w:rPr>
          <w:rFonts w:ascii="Arial MT"/>
          <w:spacing w:val="-5"/>
          <w:sz w:val="16"/>
        </w:rPr>
        <w:t> </w:t>
      </w:r>
      <w:r>
        <w:rPr>
          <w:rFonts w:ascii="Arial MT"/>
          <w:sz w:val="16"/>
        </w:rPr>
        <w:t>rate</w:t>
      </w:r>
      <w:r>
        <w:rPr>
          <w:rFonts w:ascii="Arial MT"/>
          <w:spacing w:val="-4"/>
          <w:sz w:val="16"/>
        </w:rPr>
        <w:t> </w:t>
      </w:r>
      <w:r>
        <w:rPr>
          <w:rFonts w:ascii="Arial MT"/>
          <w:spacing w:val="-2"/>
          <w:sz w:val="16"/>
        </w:rPr>
        <w:t>index</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2"/>
        <w:gridCol w:w="3872"/>
        <w:gridCol w:w="2057"/>
      </w:tblGrid>
      <w:tr>
        <w:trPr>
          <w:trHeight w:val="220" w:hRule="atLeast"/>
        </w:trPr>
        <w:tc>
          <w:tcPr>
            <w:tcW w:w="3432" w:type="dxa"/>
            <w:tcBorders>
              <w:top w:val="single" w:sz="8" w:space="0" w:color="6C6C6C"/>
            </w:tcBorders>
          </w:tcPr>
          <w:p>
            <w:pPr>
              <w:pStyle w:val="TableParagraph"/>
              <w:spacing w:line="184" w:lineRule="exact" w:before="16"/>
              <w:ind w:left="71"/>
              <w:rPr>
                <w:sz w:val="16"/>
              </w:rPr>
            </w:pPr>
            <w:r>
              <w:rPr>
                <w:sz w:val="16"/>
              </w:rPr>
              <w:t>Contractual</w:t>
            </w:r>
            <w:r>
              <w:rPr>
                <w:spacing w:val="-7"/>
                <w:sz w:val="16"/>
              </w:rPr>
              <w:t> </w:t>
            </w:r>
            <w:r>
              <w:rPr>
                <w:sz w:val="16"/>
              </w:rPr>
              <w:t>lending</w:t>
            </w:r>
            <w:r>
              <w:rPr>
                <w:spacing w:val="-6"/>
                <w:sz w:val="16"/>
              </w:rPr>
              <w:t> </w:t>
            </w:r>
            <w:r>
              <w:rPr>
                <w:spacing w:val="-2"/>
                <w:sz w:val="16"/>
              </w:rPr>
              <w:t>spread</w:t>
            </w:r>
          </w:p>
        </w:tc>
        <w:tc>
          <w:tcPr>
            <w:tcW w:w="3872" w:type="dxa"/>
            <w:tcBorders>
              <w:top w:val="single" w:sz="8" w:space="0" w:color="6C6C6C"/>
            </w:tcBorders>
          </w:tcPr>
          <w:p>
            <w:pPr>
              <w:pStyle w:val="TableParagraph"/>
              <w:spacing w:line="184" w:lineRule="exact" w:before="16"/>
              <w:ind w:left="1449"/>
              <w:rPr>
                <w:sz w:val="16"/>
              </w:rPr>
            </w:pPr>
            <w:r>
              <w:rPr>
                <w:sz w:val="16"/>
              </w:rPr>
              <w:t>IFL</w:t>
            </w:r>
            <w:r>
              <w:rPr>
                <w:spacing w:val="-8"/>
                <w:sz w:val="16"/>
              </w:rPr>
              <w:t> </w:t>
            </w:r>
            <w:r>
              <w:rPr>
                <w:sz w:val="16"/>
              </w:rPr>
              <w:t>variable</w:t>
            </w:r>
            <w:r>
              <w:rPr>
                <w:spacing w:val="-4"/>
                <w:sz w:val="16"/>
              </w:rPr>
              <w:t> </w:t>
            </w:r>
            <w:r>
              <w:rPr>
                <w:sz w:val="16"/>
              </w:rPr>
              <w:t>in</w:t>
            </w:r>
            <w:r>
              <w:rPr>
                <w:spacing w:val="-3"/>
                <w:sz w:val="16"/>
              </w:rPr>
              <w:t> </w:t>
            </w:r>
            <w:r>
              <w:rPr>
                <w:sz w:val="16"/>
              </w:rPr>
              <w:t>effect</w:t>
            </w:r>
            <w:r>
              <w:rPr>
                <w:spacing w:val="-2"/>
                <w:sz w:val="16"/>
              </w:rPr>
              <w:t> </w:t>
            </w:r>
            <w:r>
              <w:rPr>
                <w:sz w:val="16"/>
              </w:rPr>
              <w:t>at</w:t>
            </w:r>
            <w:r>
              <w:rPr>
                <w:spacing w:val="-2"/>
                <w:sz w:val="16"/>
              </w:rPr>
              <w:t> </w:t>
            </w:r>
            <w:r>
              <w:rPr>
                <w:sz w:val="16"/>
              </w:rPr>
              <w:t>the</w:t>
            </w:r>
            <w:r>
              <w:rPr>
                <w:spacing w:val="-3"/>
                <w:sz w:val="16"/>
              </w:rPr>
              <w:t> </w:t>
            </w:r>
            <w:r>
              <w:rPr>
                <w:sz w:val="16"/>
              </w:rPr>
              <w:t>time</w:t>
            </w:r>
            <w:r>
              <w:rPr>
                <w:spacing w:val="-3"/>
                <w:sz w:val="16"/>
              </w:rPr>
              <w:t> </w:t>
            </w:r>
            <w:r>
              <w:rPr>
                <w:spacing w:val="-5"/>
                <w:sz w:val="16"/>
              </w:rPr>
              <w:t>of</w:t>
            </w:r>
          </w:p>
        </w:tc>
        <w:tc>
          <w:tcPr>
            <w:tcW w:w="2057" w:type="dxa"/>
            <w:tcBorders>
              <w:top w:val="single" w:sz="8" w:space="0" w:color="6C6C6C"/>
            </w:tcBorders>
          </w:tcPr>
          <w:p>
            <w:pPr>
              <w:pStyle w:val="TableParagraph"/>
              <w:spacing w:line="184" w:lineRule="exact" w:before="16"/>
              <w:ind w:left="21"/>
              <w:rPr>
                <w:sz w:val="16"/>
              </w:rPr>
            </w:pPr>
            <w:r>
              <w:rPr>
                <w:spacing w:val="-2"/>
                <w:sz w:val="16"/>
              </w:rPr>
              <w:t>withdrawal</w:t>
            </w:r>
          </w:p>
        </w:tc>
      </w:tr>
      <w:tr>
        <w:trPr>
          <w:trHeight w:val="250" w:hRule="atLeast"/>
        </w:trPr>
        <w:tc>
          <w:tcPr>
            <w:tcW w:w="3432" w:type="dxa"/>
          </w:tcPr>
          <w:p>
            <w:pPr>
              <w:pStyle w:val="TableParagraph"/>
              <w:spacing w:before="36"/>
              <w:ind w:left="71"/>
              <w:rPr>
                <w:sz w:val="16"/>
              </w:rPr>
            </w:pPr>
            <w:r>
              <w:rPr>
                <w:sz w:val="16"/>
              </w:rPr>
              <w:t>Front-end</w:t>
            </w:r>
            <w:r>
              <w:rPr>
                <w:spacing w:val="-6"/>
                <w:sz w:val="16"/>
              </w:rPr>
              <w:t> </w:t>
            </w:r>
            <w:r>
              <w:rPr>
                <w:spacing w:val="-5"/>
                <w:sz w:val="16"/>
              </w:rPr>
              <w:t>fee</w:t>
            </w:r>
          </w:p>
        </w:tc>
        <w:tc>
          <w:tcPr>
            <w:tcW w:w="3872" w:type="dxa"/>
          </w:tcPr>
          <w:p>
            <w:pPr>
              <w:pStyle w:val="TableParagraph"/>
              <w:spacing w:before="36"/>
              <w:ind w:left="1504"/>
              <w:rPr>
                <w:sz w:val="16"/>
              </w:rPr>
            </w:pPr>
            <w:r>
              <w:rPr>
                <w:spacing w:val="-5"/>
                <w:sz w:val="16"/>
              </w:rPr>
              <w:t>25</w:t>
            </w:r>
          </w:p>
        </w:tc>
        <w:tc>
          <w:tcPr>
            <w:tcW w:w="2057" w:type="dxa"/>
          </w:tcPr>
          <w:p>
            <w:pPr>
              <w:pStyle w:val="TableParagraph"/>
              <w:spacing w:before="36"/>
              <w:ind w:left="505"/>
              <w:rPr>
                <w:sz w:val="16"/>
              </w:rPr>
            </w:pPr>
            <w:r>
              <w:rPr>
                <w:sz w:val="16"/>
              </w:rPr>
              <w:t>50</w:t>
            </w:r>
            <w:r>
              <w:rPr>
                <w:spacing w:val="-4"/>
                <w:sz w:val="16"/>
              </w:rPr>
              <w:t> </w:t>
            </w:r>
            <w:r>
              <w:rPr>
                <w:spacing w:val="-10"/>
                <w:sz w:val="16"/>
                <w:vertAlign w:val="superscript"/>
              </w:rPr>
              <w:t>f</w:t>
            </w:r>
          </w:p>
        </w:tc>
      </w:tr>
      <w:tr>
        <w:trPr>
          <w:trHeight w:val="229" w:hRule="atLeast"/>
        </w:trPr>
        <w:tc>
          <w:tcPr>
            <w:tcW w:w="3432" w:type="dxa"/>
          </w:tcPr>
          <w:p>
            <w:pPr>
              <w:pStyle w:val="TableParagraph"/>
              <w:spacing w:line="184" w:lineRule="exact" w:before="25"/>
              <w:ind w:left="52"/>
              <w:rPr>
                <w:sz w:val="16"/>
              </w:rPr>
            </w:pPr>
            <w:r>
              <w:rPr>
                <w:sz w:val="16"/>
              </w:rPr>
              <w:t>Renewal</w:t>
            </w:r>
            <w:r>
              <w:rPr>
                <w:spacing w:val="-6"/>
                <w:sz w:val="16"/>
              </w:rPr>
              <w:t> </w:t>
            </w:r>
            <w:r>
              <w:rPr>
                <w:spacing w:val="-5"/>
                <w:sz w:val="16"/>
              </w:rPr>
              <w:t>fee</w:t>
            </w:r>
          </w:p>
        </w:tc>
        <w:tc>
          <w:tcPr>
            <w:tcW w:w="3872" w:type="dxa"/>
          </w:tcPr>
          <w:p>
            <w:pPr>
              <w:pStyle w:val="TableParagraph"/>
              <w:spacing w:line="184" w:lineRule="exact" w:before="25"/>
              <w:ind w:left="1531"/>
              <w:rPr>
                <w:sz w:val="16"/>
              </w:rPr>
            </w:pPr>
            <w:r>
              <w:rPr>
                <w:sz w:val="16"/>
              </w:rPr>
              <w:t>—</w:t>
            </w:r>
          </w:p>
        </w:tc>
        <w:tc>
          <w:tcPr>
            <w:tcW w:w="2057" w:type="dxa"/>
          </w:tcPr>
          <w:p>
            <w:pPr>
              <w:pStyle w:val="TableParagraph"/>
              <w:spacing w:line="184" w:lineRule="exact" w:before="25"/>
              <w:ind w:left="542"/>
              <w:rPr>
                <w:sz w:val="16"/>
              </w:rPr>
            </w:pPr>
            <w:r>
              <w:rPr>
                <w:spacing w:val="-5"/>
                <w:sz w:val="16"/>
              </w:rPr>
              <w:t>25</w:t>
            </w:r>
          </w:p>
        </w:tc>
      </w:tr>
      <w:tr>
        <w:trPr>
          <w:trHeight w:val="239" w:hRule="atLeast"/>
        </w:trPr>
        <w:tc>
          <w:tcPr>
            <w:tcW w:w="3432" w:type="dxa"/>
            <w:tcBorders>
              <w:bottom w:val="single" w:sz="8" w:space="0" w:color="6C6C6C"/>
            </w:tcBorders>
          </w:tcPr>
          <w:p>
            <w:pPr>
              <w:pStyle w:val="TableParagraph"/>
              <w:spacing w:line="184" w:lineRule="exact" w:before="36"/>
              <w:ind w:left="52"/>
              <w:rPr>
                <w:sz w:val="16"/>
              </w:rPr>
            </w:pPr>
            <w:r>
              <w:rPr>
                <w:sz w:val="16"/>
              </w:rPr>
              <w:t>Stand-by</w:t>
            </w:r>
            <w:r>
              <w:rPr>
                <w:spacing w:val="-4"/>
                <w:sz w:val="16"/>
              </w:rPr>
              <w:t> </w:t>
            </w:r>
            <w:r>
              <w:rPr>
                <w:spacing w:val="-5"/>
                <w:sz w:val="16"/>
              </w:rPr>
              <w:t>fee</w:t>
            </w:r>
          </w:p>
        </w:tc>
        <w:tc>
          <w:tcPr>
            <w:tcW w:w="3872" w:type="dxa"/>
            <w:tcBorders>
              <w:bottom w:val="single" w:sz="8" w:space="0" w:color="6C6C6C"/>
            </w:tcBorders>
          </w:tcPr>
          <w:p>
            <w:pPr>
              <w:pStyle w:val="TableParagraph"/>
              <w:spacing w:line="184" w:lineRule="exact" w:before="36"/>
              <w:ind w:left="1453"/>
              <w:rPr>
                <w:sz w:val="16"/>
              </w:rPr>
            </w:pPr>
            <w:r>
              <w:rPr>
                <w:sz w:val="16"/>
              </w:rPr>
              <w:t>50</w:t>
            </w:r>
            <w:r>
              <w:rPr>
                <w:spacing w:val="-4"/>
                <w:sz w:val="16"/>
              </w:rPr>
              <w:t> </w:t>
            </w:r>
            <w:r>
              <w:rPr>
                <w:spacing w:val="-12"/>
                <w:sz w:val="16"/>
                <w:vertAlign w:val="superscript"/>
              </w:rPr>
              <w:t>e</w:t>
            </w:r>
          </w:p>
        </w:tc>
        <w:tc>
          <w:tcPr>
            <w:tcW w:w="2057" w:type="dxa"/>
            <w:tcBorders>
              <w:bottom w:val="single" w:sz="8" w:space="0" w:color="6C6C6C"/>
            </w:tcBorders>
          </w:tcPr>
          <w:p>
            <w:pPr>
              <w:pStyle w:val="TableParagraph"/>
              <w:spacing w:line="184" w:lineRule="exact" w:before="36"/>
              <w:ind w:left="569"/>
              <w:rPr>
                <w:sz w:val="16"/>
              </w:rPr>
            </w:pPr>
            <w:r>
              <w:rPr>
                <w:sz w:val="16"/>
              </w:rPr>
              <w:t>—</w:t>
            </w:r>
          </w:p>
        </w:tc>
      </w:tr>
    </w:tbl>
    <w:p>
      <w:pPr>
        <w:pStyle w:val="ListParagraph"/>
        <w:numPr>
          <w:ilvl w:val="0"/>
          <w:numId w:val="12"/>
        </w:numPr>
        <w:tabs>
          <w:tab w:pos="950" w:val="left" w:leader="none"/>
        </w:tabs>
        <w:spacing w:line="172" w:lineRule="exact" w:before="23" w:after="0"/>
        <w:ind w:left="950" w:right="0" w:hanging="178"/>
        <w:jc w:val="left"/>
        <w:rPr>
          <w:rFonts w:ascii="Arial" w:hAnsi="Arial"/>
          <w:i/>
          <w:sz w:val="16"/>
        </w:rPr>
      </w:pPr>
      <w:r>
        <w:rPr>
          <w:rFonts w:ascii="Arial" w:hAnsi="Arial"/>
          <w:i/>
          <w:sz w:val="16"/>
        </w:rPr>
        <w:t>There</w:t>
      </w:r>
      <w:r>
        <w:rPr>
          <w:rFonts w:ascii="Arial" w:hAnsi="Arial"/>
          <w:i/>
          <w:spacing w:val="-6"/>
          <w:sz w:val="16"/>
        </w:rPr>
        <w:t> </w:t>
      </w:r>
      <w:r>
        <w:rPr>
          <w:rFonts w:ascii="Arial" w:hAnsi="Arial"/>
          <w:i/>
          <w:sz w:val="16"/>
        </w:rPr>
        <w:t>is</w:t>
      </w:r>
      <w:r>
        <w:rPr>
          <w:rFonts w:ascii="Arial" w:hAnsi="Arial"/>
          <w:i/>
          <w:spacing w:val="-2"/>
          <w:sz w:val="16"/>
        </w:rPr>
        <w:t> </w:t>
      </w:r>
      <w:r>
        <w:rPr>
          <w:rFonts w:ascii="Arial" w:hAnsi="Arial"/>
          <w:i/>
          <w:sz w:val="16"/>
        </w:rPr>
        <w:t>an</w:t>
      </w:r>
      <w:r>
        <w:rPr>
          <w:rFonts w:ascii="Arial" w:hAnsi="Arial"/>
          <w:i/>
          <w:spacing w:val="-3"/>
          <w:sz w:val="16"/>
        </w:rPr>
        <w:t> </w:t>
      </w:r>
      <w:r>
        <w:rPr>
          <w:rFonts w:ascii="Arial" w:hAnsi="Arial"/>
          <w:i/>
          <w:sz w:val="16"/>
        </w:rPr>
        <w:t>implicit</w:t>
      </w:r>
      <w:r>
        <w:rPr>
          <w:rFonts w:ascii="Arial" w:hAnsi="Arial"/>
          <w:i/>
          <w:spacing w:val="-2"/>
          <w:sz w:val="16"/>
        </w:rPr>
        <w:t> </w:t>
      </w:r>
      <w:r>
        <w:rPr>
          <w:rFonts w:ascii="Arial" w:hAnsi="Arial"/>
          <w:i/>
          <w:sz w:val="16"/>
        </w:rPr>
        <w:t>floor</w:t>
      </w:r>
      <w:r>
        <w:rPr>
          <w:rFonts w:ascii="Arial" w:hAnsi="Arial"/>
          <w:i/>
          <w:spacing w:val="-2"/>
          <w:sz w:val="16"/>
        </w:rPr>
        <w:t> </w:t>
      </w:r>
      <w:r>
        <w:rPr>
          <w:rFonts w:ascii="Arial" w:hAnsi="Arial"/>
          <w:i/>
          <w:sz w:val="16"/>
        </w:rPr>
        <w:t>of</w:t>
      </w:r>
      <w:r>
        <w:rPr>
          <w:rFonts w:ascii="Arial" w:hAnsi="Arial"/>
          <w:i/>
          <w:spacing w:val="-2"/>
          <w:sz w:val="16"/>
        </w:rPr>
        <w:t> </w:t>
      </w:r>
      <w:r>
        <w:rPr>
          <w:rFonts w:ascii="Arial" w:hAnsi="Arial"/>
          <w:i/>
          <w:sz w:val="16"/>
        </w:rPr>
        <w:t>zero</w:t>
      </w:r>
      <w:r>
        <w:rPr>
          <w:rFonts w:ascii="Arial" w:hAnsi="Arial"/>
          <w:i/>
          <w:spacing w:val="-4"/>
          <w:sz w:val="16"/>
        </w:rPr>
        <w:t> </w:t>
      </w:r>
      <w:r>
        <w:rPr>
          <w:rFonts w:ascii="Arial" w:hAnsi="Arial"/>
          <w:i/>
          <w:sz w:val="16"/>
        </w:rPr>
        <w:t>on</w:t>
      </w:r>
      <w:r>
        <w:rPr>
          <w:rFonts w:ascii="Arial" w:hAnsi="Arial"/>
          <w:i/>
          <w:spacing w:val="-3"/>
          <w:sz w:val="16"/>
        </w:rPr>
        <w:t> </w:t>
      </w:r>
      <w:r>
        <w:rPr>
          <w:rFonts w:ascii="Arial" w:hAnsi="Arial"/>
          <w:i/>
          <w:sz w:val="16"/>
        </w:rPr>
        <w:t>the</w:t>
      </w:r>
      <w:r>
        <w:rPr>
          <w:rFonts w:ascii="Arial" w:hAnsi="Arial"/>
          <w:i/>
          <w:spacing w:val="-3"/>
          <w:sz w:val="16"/>
        </w:rPr>
        <w:t> </w:t>
      </w:r>
      <w:r>
        <w:rPr>
          <w:rFonts w:ascii="Arial" w:hAnsi="Arial"/>
          <w:i/>
          <w:sz w:val="16"/>
        </w:rPr>
        <w:t>overall</w:t>
      </w:r>
      <w:r>
        <w:rPr>
          <w:rFonts w:ascii="Arial" w:hAnsi="Arial"/>
          <w:i/>
          <w:spacing w:val="-2"/>
          <w:sz w:val="16"/>
        </w:rPr>
        <w:t> </w:t>
      </w:r>
      <w:r>
        <w:rPr>
          <w:rFonts w:ascii="Arial" w:hAnsi="Arial"/>
          <w:i/>
          <w:sz w:val="16"/>
        </w:rPr>
        <w:t>interest</w:t>
      </w:r>
      <w:r>
        <w:rPr>
          <w:rFonts w:ascii="Arial" w:hAnsi="Arial"/>
          <w:i/>
          <w:spacing w:val="-2"/>
          <w:sz w:val="16"/>
        </w:rPr>
        <w:t> </w:t>
      </w:r>
      <w:r>
        <w:rPr>
          <w:rFonts w:ascii="Arial" w:hAnsi="Arial"/>
          <w:i/>
          <w:sz w:val="16"/>
        </w:rPr>
        <w:t>rate</w:t>
      </w:r>
      <w:r>
        <w:rPr>
          <w:rFonts w:ascii="Arial" w:hAnsi="Arial"/>
          <w:i/>
          <w:spacing w:val="-3"/>
          <w:sz w:val="16"/>
        </w:rPr>
        <w:t> </w:t>
      </w:r>
      <w:r>
        <w:rPr>
          <w:rFonts w:ascii="Arial" w:hAnsi="Arial"/>
          <w:i/>
          <w:sz w:val="16"/>
        </w:rPr>
        <w:t>in</w:t>
      </w:r>
      <w:r>
        <w:rPr>
          <w:rFonts w:ascii="Arial" w:hAnsi="Arial"/>
          <w:i/>
          <w:spacing w:val="-3"/>
          <w:sz w:val="16"/>
        </w:rPr>
        <w:t> </w:t>
      </w:r>
      <w:r>
        <w:rPr>
          <w:rFonts w:ascii="Arial" w:hAnsi="Arial"/>
          <w:i/>
          <w:sz w:val="16"/>
        </w:rPr>
        <w:t>IBRD’s</w:t>
      </w:r>
      <w:r>
        <w:rPr>
          <w:rFonts w:ascii="Arial" w:hAnsi="Arial"/>
          <w:i/>
          <w:spacing w:val="-2"/>
          <w:sz w:val="16"/>
        </w:rPr>
        <w:t> loans.</w:t>
      </w:r>
    </w:p>
    <w:p>
      <w:pPr>
        <w:pStyle w:val="ListParagraph"/>
        <w:numPr>
          <w:ilvl w:val="0"/>
          <w:numId w:val="12"/>
        </w:numPr>
        <w:tabs>
          <w:tab w:pos="950" w:val="left" w:leader="none"/>
        </w:tabs>
        <w:spacing w:line="160" w:lineRule="exact" w:before="0" w:after="0"/>
        <w:ind w:left="950" w:right="0" w:hanging="178"/>
        <w:jc w:val="left"/>
        <w:rPr>
          <w:rFonts w:ascii="Arial"/>
          <w:i/>
          <w:sz w:val="16"/>
        </w:rPr>
      </w:pPr>
      <w:r>
        <w:rPr>
          <w:rFonts w:ascii="Arial"/>
          <w:i/>
          <w:sz w:val="16"/>
        </w:rPr>
        <w:t>Effective</w:t>
      </w:r>
      <w:r>
        <w:rPr>
          <w:rFonts w:ascii="Arial"/>
          <w:i/>
          <w:spacing w:val="-6"/>
          <w:sz w:val="16"/>
        </w:rPr>
        <w:t> </w:t>
      </w:r>
      <w:r>
        <w:rPr>
          <w:rFonts w:ascii="Arial"/>
          <w:i/>
          <w:sz w:val="16"/>
        </w:rPr>
        <w:t>April</w:t>
      </w:r>
      <w:r>
        <w:rPr>
          <w:rFonts w:ascii="Arial"/>
          <w:i/>
          <w:spacing w:val="-3"/>
          <w:sz w:val="16"/>
        </w:rPr>
        <w:t> </w:t>
      </w:r>
      <w:r>
        <w:rPr>
          <w:rFonts w:ascii="Arial"/>
          <w:i/>
          <w:sz w:val="16"/>
        </w:rPr>
        <w:t>1,</w:t>
      </w:r>
      <w:r>
        <w:rPr>
          <w:rFonts w:ascii="Arial"/>
          <w:i/>
          <w:spacing w:val="-3"/>
          <w:sz w:val="16"/>
        </w:rPr>
        <w:t> </w:t>
      </w:r>
      <w:r>
        <w:rPr>
          <w:rFonts w:ascii="Arial"/>
          <w:i/>
          <w:sz w:val="16"/>
        </w:rPr>
        <w:t>2021,</w:t>
      </w:r>
      <w:r>
        <w:rPr>
          <w:rFonts w:ascii="Arial"/>
          <w:i/>
          <w:spacing w:val="-3"/>
          <w:sz w:val="16"/>
        </w:rPr>
        <w:t> </w:t>
      </w:r>
      <w:r>
        <w:rPr>
          <w:rFonts w:ascii="Arial"/>
          <w:i/>
          <w:sz w:val="16"/>
        </w:rPr>
        <w:t>IBRD</w:t>
      </w:r>
      <w:r>
        <w:rPr>
          <w:rFonts w:ascii="Arial"/>
          <w:i/>
          <w:spacing w:val="-3"/>
          <w:sz w:val="16"/>
        </w:rPr>
        <w:t> </w:t>
      </w:r>
      <w:r>
        <w:rPr>
          <w:rFonts w:ascii="Arial"/>
          <w:i/>
          <w:sz w:val="16"/>
        </w:rPr>
        <w:t>suspended</w:t>
      </w:r>
      <w:r>
        <w:rPr>
          <w:rFonts w:ascii="Arial"/>
          <w:i/>
          <w:spacing w:val="-3"/>
          <w:sz w:val="16"/>
        </w:rPr>
        <w:t> </w:t>
      </w:r>
      <w:r>
        <w:rPr>
          <w:rFonts w:ascii="Arial"/>
          <w:i/>
          <w:sz w:val="16"/>
        </w:rPr>
        <w:t>offering</w:t>
      </w:r>
      <w:r>
        <w:rPr>
          <w:rFonts w:ascii="Arial"/>
          <w:i/>
          <w:spacing w:val="-4"/>
          <w:sz w:val="16"/>
        </w:rPr>
        <w:t> </w:t>
      </w:r>
      <w:r>
        <w:rPr>
          <w:rFonts w:ascii="Arial"/>
          <w:i/>
          <w:sz w:val="16"/>
        </w:rPr>
        <w:t>loans</w:t>
      </w:r>
      <w:r>
        <w:rPr>
          <w:rFonts w:ascii="Arial"/>
          <w:i/>
          <w:spacing w:val="-3"/>
          <w:sz w:val="16"/>
        </w:rPr>
        <w:t> </w:t>
      </w:r>
      <w:r>
        <w:rPr>
          <w:rFonts w:ascii="Arial"/>
          <w:i/>
          <w:sz w:val="16"/>
        </w:rPr>
        <w:t>with</w:t>
      </w:r>
      <w:r>
        <w:rPr>
          <w:rFonts w:ascii="Arial"/>
          <w:i/>
          <w:spacing w:val="-4"/>
          <w:sz w:val="16"/>
        </w:rPr>
        <w:t> </w:t>
      </w:r>
      <w:r>
        <w:rPr>
          <w:rFonts w:ascii="Arial"/>
          <w:i/>
          <w:sz w:val="16"/>
        </w:rPr>
        <w:t>fixed</w:t>
      </w:r>
      <w:r>
        <w:rPr>
          <w:rFonts w:ascii="Arial"/>
          <w:i/>
          <w:spacing w:val="-4"/>
          <w:sz w:val="16"/>
        </w:rPr>
        <w:t> </w:t>
      </w:r>
      <w:r>
        <w:rPr>
          <w:rFonts w:ascii="Arial"/>
          <w:i/>
          <w:sz w:val="16"/>
        </w:rPr>
        <w:t>spread</w:t>
      </w:r>
      <w:r>
        <w:rPr>
          <w:rFonts w:ascii="Arial"/>
          <w:i/>
          <w:spacing w:val="-3"/>
          <w:sz w:val="16"/>
        </w:rPr>
        <w:t> </w:t>
      </w:r>
      <w:r>
        <w:rPr>
          <w:rFonts w:ascii="Arial"/>
          <w:i/>
          <w:spacing w:val="-2"/>
          <w:sz w:val="16"/>
        </w:rPr>
        <w:t>terms.</w:t>
      </w:r>
    </w:p>
    <w:p>
      <w:pPr>
        <w:pStyle w:val="ListParagraph"/>
        <w:numPr>
          <w:ilvl w:val="0"/>
          <w:numId w:val="12"/>
        </w:numPr>
        <w:tabs>
          <w:tab w:pos="951" w:val="left" w:leader="none"/>
        </w:tabs>
        <w:spacing w:line="160" w:lineRule="exact" w:before="0" w:after="0"/>
        <w:ind w:left="951" w:right="0" w:hanging="179"/>
        <w:jc w:val="left"/>
        <w:rPr>
          <w:rFonts w:ascii="Arial"/>
          <w:i/>
          <w:sz w:val="16"/>
        </w:rPr>
      </w:pPr>
      <w:r>
        <w:rPr>
          <w:rFonts w:ascii="Arial"/>
          <w:i/>
          <w:sz w:val="16"/>
        </w:rPr>
        <w:t>Based</w:t>
      </w:r>
      <w:r>
        <w:rPr>
          <w:rFonts w:ascii="Arial"/>
          <w:i/>
          <w:spacing w:val="-6"/>
          <w:sz w:val="16"/>
        </w:rPr>
        <w:t> </w:t>
      </w:r>
      <w:r>
        <w:rPr>
          <w:rFonts w:ascii="Arial"/>
          <w:i/>
          <w:sz w:val="16"/>
        </w:rPr>
        <w:t>on</w:t>
      </w:r>
      <w:r>
        <w:rPr>
          <w:rFonts w:ascii="Arial"/>
          <w:i/>
          <w:spacing w:val="-3"/>
          <w:sz w:val="16"/>
        </w:rPr>
        <w:t> </w:t>
      </w:r>
      <w:r>
        <w:rPr>
          <w:rFonts w:ascii="Arial"/>
          <w:i/>
          <w:sz w:val="16"/>
        </w:rPr>
        <w:t>the</w:t>
      </w:r>
      <w:r>
        <w:rPr>
          <w:rFonts w:ascii="Arial"/>
          <w:i/>
          <w:spacing w:val="-4"/>
          <w:sz w:val="16"/>
        </w:rPr>
        <w:t> </w:t>
      </w:r>
      <w:r>
        <w:rPr>
          <w:rFonts w:ascii="Arial"/>
          <w:i/>
          <w:sz w:val="16"/>
        </w:rPr>
        <w:t>weighted</w:t>
      </w:r>
      <w:r>
        <w:rPr>
          <w:rFonts w:ascii="Arial"/>
          <w:i/>
          <w:spacing w:val="-3"/>
          <w:sz w:val="16"/>
        </w:rPr>
        <w:t> </w:t>
      </w:r>
      <w:r>
        <w:rPr>
          <w:rFonts w:ascii="Arial"/>
          <w:i/>
          <w:sz w:val="16"/>
        </w:rPr>
        <w:t>average</w:t>
      </w:r>
      <w:r>
        <w:rPr>
          <w:rFonts w:ascii="Arial"/>
          <w:i/>
          <w:spacing w:val="-4"/>
          <w:sz w:val="16"/>
        </w:rPr>
        <w:t> </w:t>
      </w:r>
      <w:r>
        <w:rPr>
          <w:rFonts w:ascii="Arial"/>
          <w:i/>
          <w:sz w:val="16"/>
        </w:rPr>
        <w:t>maturity</w:t>
      </w:r>
      <w:r>
        <w:rPr>
          <w:rFonts w:ascii="Arial"/>
          <w:i/>
          <w:spacing w:val="-2"/>
          <w:sz w:val="16"/>
        </w:rPr>
        <w:t> </w:t>
      </w:r>
      <w:r>
        <w:rPr>
          <w:rFonts w:ascii="Arial"/>
          <w:i/>
          <w:sz w:val="16"/>
        </w:rPr>
        <w:t>of</w:t>
      </w:r>
      <w:r>
        <w:rPr>
          <w:rFonts w:ascii="Arial"/>
          <w:i/>
          <w:spacing w:val="-3"/>
          <w:sz w:val="16"/>
        </w:rPr>
        <w:t> </w:t>
      </w:r>
      <w:r>
        <w:rPr>
          <w:rFonts w:ascii="Arial"/>
          <w:i/>
          <w:sz w:val="16"/>
        </w:rPr>
        <w:t>the</w:t>
      </w:r>
      <w:r>
        <w:rPr>
          <w:rFonts w:ascii="Arial"/>
          <w:i/>
          <w:spacing w:val="-3"/>
          <w:sz w:val="16"/>
        </w:rPr>
        <w:t> </w:t>
      </w:r>
      <w:r>
        <w:rPr>
          <w:rFonts w:ascii="Arial"/>
          <w:i/>
          <w:sz w:val="16"/>
        </w:rPr>
        <w:t>loan</w:t>
      </w:r>
      <w:r>
        <w:rPr>
          <w:rFonts w:ascii="Arial"/>
          <w:i/>
          <w:spacing w:val="-4"/>
          <w:sz w:val="16"/>
        </w:rPr>
        <w:t> </w:t>
      </w:r>
      <w:r>
        <w:rPr>
          <w:rFonts w:ascii="Arial"/>
          <w:i/>
          <w:sz w:val="16"/>
        </w:rPr>
        <w:t>and</w:t>
      </w:r>
      <w:r>
        <w:rPr>
          <w:rFonts w:ascii="Arial"/>
          <w:i/>
          <w:spacing w:val="-3"/>
          <w:sz w:val="16"/>
        </w:rPr>
        <w:t> </w:t>
      </w:r>
      <w:r>
        <w:rPr>
          <w:rFonts w:ascii="Arial"/>
          <w:i/>
          <w:sz w:val="16"/>
        </w:rPr>
        <w:t>on</w:t>
      </w:r>
      <w:r>
        <w:rPr>
          <w:rFonts w:ascii="Arial"/>
          <w:i/>
          <w:spacing w:val="-4"/>
          <w:sz w:val="16"/>
        </w:rPr>
        <w:t> </w:t>
      </w:r>
      <w:r>
        <w:rPr>
          <w:rFonts w:ascii="Arial"/>
          <w:i/>
          <w:sz w:val="16"/>
        </w:rPr>
        <w:t>country</w:t>
      </w:r>
      <w:r>
        <w:rPr>
          <w:rFonts w:ascii="Arial"/>
          <w:i/>
          <w:spacing w:val="-2"/>
          <w:sz w:val="16"/>
        </w:rPr>
        <w:t> </w:t>
      </w:r>
      <w:r>
        <w:rPr>
          <w:rFonts w:ascii="Arial"/>
          <w:i/>
          <w:sz w:val="16"/>
        </w:rPr>
        <w:t>pricing</w:t>
      </w:r>
      <w:r>
        <w:rPr>
          <w:rFonts w:ascii="Arial"/>
          <w:i/>
          <w:spacing w:val="-3"/>
          <w:sz w:val="16"/>
        </w:rPr>
        <w:t> </w:t>
      </w:r>
      <w:r>
        <w:rPr>
          <w:rFonts w:ascii="Arial"/>
          <w:i/>
          <w:spacing w:val="-2"/>
          <w:sz w:val="16"/>
        </w:rPr>
        <w:t>group.</w:t>
      </w:r>
    </w:p>
    <w:p>
      <w:pPr>
        <w:pStyle w:val="ListParagraph"/>
        <w:numPr>
          <w:ilvl w:val="0"/>
          <w:numId w:val="12"/>
        </w:numPr>
        <w:tabs>
          <w:tab w:pos="950" w:val="left" w:leader="none"/>
        </w:tabs>
        <w:spacing w:line="160" w:lineRule="exact" w:before="0" w:after="0"/>
        <w:ind w:left="950" w:right="0" w:hanging="178"/>
        <w:jc w:val="left"/>
        <w:rPr>
          <w:rFonts w:ascii="Arial"/>
          <w:i/>
          <w:sz w:val="16"/>
        </w:rPr>
      </w:pPr>
      <w:r>
        <w:rPr>
          <w:rFonts w:ascii="Arial"/>
          <w:i/>
          <w:sz w:val="16"/>
        </w:rPr>
        <w:t>See</w:t>
      </w:r>
      <w:r>
        <w:rPr>
          <w:rFonts w:ascii="Arial"/>
          <w:i/>
          <w:spacing w:val="-5"/>
          <w:sz w:val="16"/>
        </w:rPr>
        <w:t> </w:t>
      </w:r>
      <w:r>
        <w:rPr>
          <w:rFonts w:ascii="Arial"/>
          <w:i/>
          <w:sz w:val="16"/>
        </w:rPr>
        <w:t>Box</w:t>
      </w:r>
      <w:r>
        <w:rPr>
          <w:rFonts w:ascii="Arial"/>
          <w:i/>
          <w:spacing w:val="-2"/>
          <w:sz w:val="16"/>
        </w:rPr>
        <w:t> </w:t>
      </w:r>
      <w:r>
        <w:rPr>
          <w:rFonts w:ascii="Arial"/>
          <w:i/>
          <w:sz w:val="16"/>
        </w:rPr>
        <w:t>7</w:t>
      </w:r>
      <w:r>
        <w:rPr>
          <w:rFonts w:ascii="Arial"/>
          <w:i/>
          <w:spacing w:val="-2"/>
          <w:sz w:val="16"/>
        </w:rPr>
        <w:t> </w:t>
      </w:r>
      <w:r>
        <w:rPr>
          <w:rFonts w:ascii="Arial"/>
          <w:i/>
          <w:sz w:val="16"/>
        </w:rPr>
        <w:t>in</w:t>
      </w:r>
      <w:r>
        <w:rPr>
          <w:rFonts w:ascii="Arial"/>
          <w:i/>
          <w:spacing w:val="-3"/>
          <w:sz w:val="16"/>
        </w:rPr>
        <w:t> </w:t>
      </w:r>
      <w:r>
        <w:rPr>
          <w:rFonts w:ascii="Arial"/>
          <w:i/>
          <w:sz w:val="16"/>
        </w:rPr>
        <w:t>Section</w:t>
      </w:r>
      <w:r>
        <w:rPr>
          <w:rFonts w:ascii="Arial"/>
          <w:i/>
          <w:spacing w:val="-2"/>
          <w:sz w:val="16"/>
        </w:rPr>
        <w:t> </w:t>
      </w:r>
      <w:r>
        <w:rPr>
          <w:rFonts w:ascii="Arial"/>
          <w:i/>
          <w:sz w:val="16"/>
        </w:rPr>
        <w:t>IX</w:t>
      </w:r>
      <w:r>
        <w:rPr>
          <w:rFonts w:ascii="Arial"/>
          <w:i/>
          <w:spacing w:val="-2"/>
          <w:sz w:val="16"/>
        </w:rPr>
        <w:t> </w:t>
      </w:r>
      <w:r>
        <w:rPr>
          <w:rFonts w:ascii="Arial"/>
          <w:i/>
          <w:sz w:val="16"/>
        </w:rPr>
        <w:t>for</w:t>
      </w:r>
      <w:r>
        <w:rPr>
          <w:rFonts w:ascii="Arial"/>
          <w:i/>
          <w:spacing w:val="-1"/>
          <w:sz w:val="16"/>
        </w:rPr>
        <w:t> </w:t>
      </w:r>
      <w:r>
        <w:rPr>
          <w:rFonts w:ascii="Arial"/>
          <w:i/>
          <w:sz w:val="16"/>
        </w:rPr>
        <w:t>a</w:t>
      </w:r>
      <w:r>
        <w:rPr>
          <w:rFonts w:ascii="Arial"/>
          <w:i/>
          <w:spacing w:val="-3"/>
          <w:sz w:val="16"/>
        </w:rPr>
        <w:t> </w:t>
      </w:r>
      <w:r>
        <w:rPr>
          <w:rFonts w:ascii="Arial"/>
          <w:i/>
          <w:sz w:val="16"/>
        </w:rPr>
        <w:t>discussion</w:t>
      </w:r>
      <w:r>
        <w:rPr>
          <w:rFonts w:ascii="Arial"/>
          <w:i/>
          <w:spacing w:val="-2"/>
          <w:sz w:val="16"/>
        </w:rPr>
        <w:t> </w:t>
      </w:r>
      <w:r>
        <w:rPr>
          <w:rFonts w:ascii="Arial"/>
          <w:i/>
          <w:sz w:val="16"/>
        </w:rPr>
        <w:t>of</w:t>
      </w:r>
      <w:r>
        <w:rPr>
          <w:rFonts w:ascii="Arial"/>
          <w:i/>
          <w:spacing w:val="-2"/>
          <w:sz w:val="16"/>
        </w:rPr>
        <w:t> </w:t>
      </w:r>
      <w:r>
        <w:rPr>
          <w:rFonts w:ascii="Arial"/>
          <w:i/>
          <w:sz w:val="16"/>
        </w:rPr>
        <w:t>overdue</w:t>
      </w:r>
      <w:r>
        <w:rPr>
          <w:rFonts w:ascii="Arial"/>
          <w:i/>
          <w:spacing w:val="-2"/>
          <w:sz w:val="16"/>
        </w:rPr>
        <w:t> payments.</w:t>
      </w:r>
    </w:p>
    <w:p>
      <w:pPr>
        <w:pStyle w:val="ListParagraph"/>
        <w:numPr>
          <w:ilvl w:val="0"/>
          <w:numId w:val="12"/>
        </w:numPr>
        <w:tabs>
          <w:tab w:pos="950" w:val="left" w:leader="none"/>
          <w:tab w:pos="952" w:val="left" w:leader="none"/>
        </w:tabs>
        <w:spacing w:line="208" w:lineRule="auto" w:before="8" w:after="0"/>
        <w:ind w:left="952" w:right="854" w:hanging="180"/>
        <w:jc w:val="left"/>
        <w:rPr>
          <w:rFonts w:ascii="Arial"/>
          <w:i/>
          <w:sz w:val="16"/>
        </w:rPr>
      </w:pPr>
      <w:r>
        <w:rPr>
          <w:rFonts w:ascii="Arial"/>
          <w:i/>
          <w:sz w:val="16"/>
        </w:rPr>
        <w:t>Certain</w:t>
      </w:r>
      <w:r>
        <w:rPr>
          <w:rFonts w:ascii="Arial"/>
          <w:i/>
          <w:spacing w:val="-4"/>
          <w:sz w:val="16"/>
        </w:rPr>
        <w:t> </w:t>
      </w:r>
      <w:r>
        <w:rPr>
          <w:rFonts w:ascii="Arial"/>
          <w:i/>
          <w:sz w:val="16"/>
        </w:rPr>
        <w:t>waivers</w:t>
      </w:r>
      <w:r>
        <w:rPr>
          <w:rFonts w:ascii="Arial"/>
          <w:i/>
          <w:spacing w:val="-3"/>
          <w:sz w:val="16"/>
        </w:rPr>
        <w:t> </w:t>
      </w:r>
      <w:r>
        <w:rPr>
          <w:rFonts w:ascii="Arial"/>
          <w:i/>
          <w:sz w:val="16"/>
        </w:rPr>
        <w:t>of</w:t>
      </w:r>
      <w:r>
        <w:rPr>
          <w:rFonts w:ascii="Arial"/>
          <w:i/>
          <w:spacing w:val="-3"/>
          <w:sz w:val="16"/>
        </w:rPr>
        <w:t> </w:t>
      </w:r>
      <w:r>
        <w:rPr>
          <w:rFonts w:ascii="Arial"/>
          <w:i/>
          <w:sz w:val="16"/>
        </w:rPr>
        <w:t>commitment</w:t>
      </w:r>
      <w:r>
        <w:rPr>
          <w:rFonts w:ascii="Arial"/>
          <w:i/>
          <w:spacing w:val="-3"/>
          <w:sz w:val="16"/>
        </w:rPr>
        <w:t> </w:t>
      </w:r>
      <w:r>
        <w:rPr>
          <w:rFonts w:ascii="Arial"/>
          <w:i/>
          <w:sz w:val="16"/>
        </w:rPr>
        <w:t>/</w:t>
      </w:r>
      <w:r>
        <w:rPr>
          <w:rFonts w:ascii="Arial"/>
          <w:i/>
          <w:spacing w:val="-3"/>
          <w:sz w:val="16"/>
        </w:rPr>
        <w:t> </w:t>
      </w:r>
      <w:r>
        <w:rPr>
          <w:rFonts w:ascii="Arial"/>
          <w:i/>
          <w:sz w:val="16"/>
        </w:rPr>
        <w:t>stand-by</w:t>
      </w:r>
      <w:r>
        <w:rPr>
          <w:rFonts w:ascii="Arial"/>
          <w:i/>
          <w:spacing w:val="-3"/>
          <w:sz w:val="16"/>
        </w:rPr>
        <w:t> </w:t>
      </w:r>
      <w:r>
        <w:rPr>
          <w:rFonts w:ascii="Arial"/>
          <w:i/>
          <w:sz w:val="16"/>
        </w:rPr>
        <w:t>fees</w:t>
      </w:r>
      <w:r>
        <w:rPr>
          <w:rFonts w:ascii="Arial"/>
          <w:i/>
          <w:spacing w:val="-3"/>
          <w:sz w:val="16"/>
        </w:rPr>
        <w:t> </w:t>
      </w:r>
      <w:r>
        <w:rPr>
          <w:rFonts w:ascii="Arial"/>
          <w:i/>
          <w:sz w:val="16"/>
        </w:rPr>
        <w:t>payable</w:t>
      </w:r>
      <w:r>
        <w:rPr>
          <w:rFonts w:ascii="Arial"/>
          <w:i/>
          <w:spacing w:val="-4"/>
          <w:sz w:val="16"/>
        </w:rPr>
        <w:t> </w:t>
      </w:r>
      <w:r>
        <w:rPr>
          <w:rFonts w:ascii="Arial"/>
          <w:i/>
          <w:sz w:val="16"/>
        </w:rPr>
        <w:t>during</w:t>
      </w:r>
      <w:r>
        <w:rPr>
          <w:rFonts w:ascii="Arial"/>
          <w:i/>
          <w:spacing w:val="-4"/>
          <w:sz w:val="16"/>
        </w:rPr>
        <w:t> </w:t>
      </w:r>
      <w:r>
        <w:rPr>
          <w:rFonts w:ascii="Arial"/>
          <w:i/>
          <w:sz w:val="16"/>
        </w:rPr>
        <w:t>the</w:t>
      </w:r>
      <w:r>
        <w:rPr>
          <w:rFonts w:ascii="Arial"/>
          <w:i/>
          <w:spacing w:val="-4"/>
          <w:sz w:val="16"/>
        </w:rPr>
        <w:t> </w:t>
      </w:r>
      <w:r>
        <w:rPr>
          <w:rFonts w:ascii="Arial"/>
          <w:i/>
          <w:sz w:val="16"/>
        </w:rPr>
        <w:t>first</w:t>
      </w:r>
      <w:r>
        <w:rPr>
          <w:rFonts w:ascii="Arial"/>
          <w:i/>
          <w:spacing w:val="-3"/>
          <w:sz w:val="16"/>
        </w:rPr>
        <w:t> </w:t>
      </w:r>
      <w:r>
        <w:rPr>
          <w:rFonts w:ascii="Arial"/>
          <w:i/>
          <w:sz w:val="16"/>
        </w:rPr>
        <w:t>year</w:t>
      </w:r>
      <w:r>
        <w:rPr>
          <w:rFonts w:ascii="Arial"/>
          <w:i/>
          <w:spacing w:val="-3"/>
          <w:sz w:val="16"/>
        </w:rPr>
        <w:t> </w:t>
      </w:r>
      <w:r>
        <w:rPr>
          <w:rFonts w:ascii="Arial"/>
          <w:i/>
          <w:sz w:val="16"/>
        </w:rPr>
        <w:t>of</w:t>
      </w:r>
      <w:r>
        <w:rPr>
          <w:rFonts w:ascii="Arial"/>
          <w:i/>
          <w:spacing w:val="-3"/>
          <w:sz w:val="16"/>
        </w:rPr>
        <w:t> </w:t>
      </w:r>
      <w:r>
        <w:rPr>
          <w:rFonts w:ascii="Arial"/>
          <w:i/>
          <w:sz w:val="16"/>
        </w:rPr>
        <w:t>financing</w:t>
      </w:r>
      <w:r>
        <w:rPr>
          <w:rFonts w:ascii="Arial"/>
          <w:i/>
          <w:spacing w:val="-4"/>
          <w:sz w:val="16"/>
        </w:rPr>
        <w:t> </w:t>
      </w:r>
      <w:r>
        <w:rPr>
          <w:rFonts w:ascii="Arial"/>
          <w:i/>
          <w:sz w:val="16"/>
        </w:rPr>
        <w:t>for</w:t>
      </w:r>
      <w:r>
        <w:rPr>
          <w:rFonts w:ascii="Arial"/>
          <w:i/>
          <w:spacing w:val="-3"/>
          <w:sz w:val="16"/>
        </w:rPr>
        <w:t> </w:t>
      </w:r>
      <w:r>
        <w:rPr>
          <w:rFonts w:ascii="Arial"/>
          <w:i/>
          <w:sz w:val="16"/>
        </w:rPr>
        <w:t>health-related</w:t>
      </w:r>
      <w:r>
        <w:rPr>
          <w:rFonts w:ascii="Arial"/>
          <w:i/>
          <w:spacing w:val="-4"/>
          <w:sz w:val="16"/>
        </w:rPr>
        <w:t> </w:t>
      </w:r>
      <w:r>
        <w:rPr>
          <w:rFonts w:ascii="Arial"/>
          <w:i/>
          <w:sz w:val="16"/>
        </w:rPr>
        <w:t>COVID-19</w:t>
      </w:r>
      <w:r>
        <w:rPr>
          <w:rFonts w:ascii="Arial"/>
          <w:i/>
          <w:spacing w:val="-4"/>
          <w:sz w:val="16"/>
        </w:rPr>
        <w:t> </w:t>
      </w:r>
      <w:r>
        <w:rPr>
          <w:rFonts w:ascii="Arial"/>
          <w:i/>
          <w:sz w:val="16"/>
        </w:rPr>
        <w:t>operations are approved under the Fast Track COVID-19 Facility.</w:t>
      </w:r>
    </w:p>
    <w:p>
      <w:pPr>
        <w:pStyle w:val="ListParagraph"/>
        <w:numPr>
          <w:ilvl w:val="0"/>
          <w:numId w:val="12"/>
        </w:numPr>
        <w:tabs>
          <w:tab w:pos="951" w:val="left" w:leader="none"/>
        </w:tabs>
        <w:spacing w:line="152" w:lineRule="exact" w:before="0" w:after="0"/>
        <w:ind w:left="951" w:right="0" w:hanging="179"/>
        <w:jc w:val="left"/>
        <w:rPr>
          <w:rFonts w:ascii="Arial"/>
          <w:i/>
          <w:sz w:val="16"/>
        </w:rPr>
      </w:pPr>
      <w:r>
        <w:rPr>
          <w:rFonts w:ascii="Arial"/>
          <w:i/>
          <w:sz w:val="16"/>
        </w:rPr>
        <w:t>For</w:t>
      </w:r>
      <w:r>
        <w:rPr>
          <w:rFonts w:ascii="Arial"/>
          <w:i/>
          <w:spacing w:val="-5"/>
          <w:sz w:val="16"/>
        </w:rPr>
        <w:t> </w:t>
      </w:r>
      <w:r>
        <w:rPr>
          <w:rFonts w:ascii="Arial"/>
          <w:i/>
          <w:sz w:val="16"/>
        </w:rPr>
        <w:t>CAT-DDOs</w:t>
      </w:r>
      <w:r>
        <w:rPr>
          <w:rFonts w:ascii="Arial"/>
          <w:i/>
          <w:spacing w:val="-3"/>
          <w:sz w:val="16"/>
        </w:rPr>
        <w:t> </w:t>
      </w:r>
      <w:r>
        <w:rPr>
          <w:rFonts w:ascii="Arial"/>
          <w:i/>
          <w:sz w:val="16"/>
        </w:rPr>
        <w:t>approved</w:t>
      </w:r>
      <w:r>
        <w:rPr>
          <w:rFonts w:ascii="Arial"/>
          <w:i/>
          <w:spacing w:val="-4"/>
          <w:sz w:val="16"/>
        </w:rPr>
        <w:t> </w:t>
      </w:r>
      <w:r>
        <w:rPr>
          <w:rFonts w:ascii="Arial"/>
          <w:i/>
          <w:sz w:val="16"/>
        </w:rPr>
        <w:t>under</w:t>
      </w:r>
      <w:r>
        <w:rPr>
          <w:rFonts w:ascii="Arial"/>
          <w:i/>
          <w:spacing w:val="-2"/>
          <w:sz w:val="16"/>
        </w:rPr>
        <w:t> </w:t>
      </w:r>
      <w:r>
        <w:rPr>
          <w:rFonts w:ascii="Arial"/>
          <w:i/>
          <w:sz w:val="16"/>
        </w:rPr>
        <w:t>the</w:t>
      </w:r>
      <w:r>
        <w:rPr>
          <w:rFonts w:ascii="Arial"/>
          <w:i/>
          <w:spacing w:val="-4"/>
          <w:sz w:val="16"/>
        </w:rPr>
        <w:t> </w:t>
      </w:r>
      <w:r>
        <w:rPr>
          <w:rFonts w:ascii="Arial"/>
          <w:i/>
          <w:sz w:val="16"/>
        </w:rPr>
        <w:t>Fast</w:t>
      </w:r>
      <w:r>
        <w:rPr>
          <w:rFonts w:ascii="Arial"/>
          <w:i/>
          <w:spacing w:val="-3"/>
          <w:sz w:val="16"/>
        </w:rPr>
        <w:t> </w:t>
      </w:r>
      <w:r>
        <w:rPr>
          <w:rFonts w:ascii="Arial"/>
          <w:i/>
          <w:sz w:val="16"/>
        </w:rPr>
        <w:t>Track</w:t>
      </w:r>
      <w:r>
        <w:rPr>
          <w:rFonts w:ascii="Arial"/>
          <w:i/>
          <w:spacing w:val="-2"/>
          <w:sz w:val="16"/>
        </w:rPr>
        <w:t> </w:t>
      </w:r>
      <w:r>
        <w:rPr>
          <w:rFonts w:ascii="Arial"/>
          <w:i/>
          <w:sz w:val="16"/>
        </w:rPr>
        <w:t>COVID-19</w:t>
      </w:r>
      <w:r>
        <w:rPr>
          <w:rFonts w:ascii="Arial"/>
          <w:i/>
          <w:spacing w:val="-4"/>
          <w:sz w:val="16"/>
        </w:rPr>
        <w:t> </w:t>
      </w:r>
      <w:r>
        <w:rPr>
          <w:rFonts w:ascii="Arial"/>
          <w:i/>
          <w:sz w:val="16"/>
        </w:rPr>
        <w:t>Facility,</w:t>
      </w:r>
      <w:r>
        <w:rPr>
          <w:rFonts w:ascii="Arial"/>
          <w:i/>
          <w:spacing w:val="-3"/>
          <w:sz w:val="16"/>
        </w:rPr>
        <w:t> </w:t>
      </w:r>
      <w:r>
        <w:rPr>
          <w:rFonts w:ascii="Arial"/>
          <w:i/>
          <w:sz w:val="16"/>
        </w:rPr>
        <w:t>the</w:t>
      </w:r>
      <w:r>
        <w:rPr>
          <w:rFonts w:ascii="Arial"/>
          <w:i/>
          <w:spacing w:val="-3"/>
          <w:sz w:val="16"/>
        </w:rPr>
        <w:t> </w:t>
      </w:r>
      <w:r>
        <w:rPr>
          <w:rFonts w:ascii="Arial"/>
          <w:i/>
          <w:sz w:val="16"/>
        </w:rPr>
        <w:t>Front-End</w:t>
      </w:r>
      <w:r>
        <w:rPr>
          <w:rFonts w:ascii="Arial"/>
          <w:i/>
          <w:spacing w:val="-4"/>
          <w:sz w:val="16"/>
        </w:rPr>
        <w:t> </w:t>
      </w:r>
      <w:r>
        <w:rPr>
          <w:rFonts w:ascii="Arial"/>
          <w:i/>
          <w:sz w:val="16"/>
        </w:rPr>
        <w:t>Fee</w:t>
      </w:r>
      <w:r>
        <w:rPr>
          <w:rFonts w:ascii="Arial"/>
          <w:i/>
          <w:spacing w:val="-4"/>
          <w:sz w:val="16"/>
        </w:rPr>
        <w:t> </w:t>
      </w:r>
      <w:r>
        <w:rPr>
          <w:rFonts w:ascii="Arial"/>
          <w:i/>
          <w:sz w:val="16"/>
        </w:rPr>
        <w:t>is</w:t>
      </w:r>
      <w:r>
        <w:rPr>
          <w:rFonts w:ascii="Arial"/>
          <w:i/>
          <w:spacing w:val="-2"/>
          <w:sz w:val="16"/>
        </w:rPr>
        <w:t> </w:t>
      </w:r>
      <w:r>
        <w:rPr>
          <w:rFonts w:ascii="Arial"/>
          <w:i/>
          <w:sz w:val="16"/>
        </w:rPr>
        <w:t>reduced</w:t>
      </w:r>
      <w:r>
        <w:rPr>
          <w:rFonts w:ascii="Arial"/>
          <w:i/>
          <w:spacing w:val="-4"/>
          <w:sz w:val="16"/>
        </w:rPr>
        <w:t> </w:t>
      </w:r>
      <w:r>
        <w:rPr>
          <w:rFonts w:ascii="Arial"/>
          <w:i/>
          <w:sz w:val="16"/>
        </w:rPr>
        <w:t>to</w:t>
      </w:r>
      <w:r>
        <w:rPr>
          <w:rFonts w:ascii="Arial"/>
          <w:i/>
          <w:spacing w:val="-3"/>
          <w:sz w:val="16"/>
        </w:rPr>
        <w:t> </w:t>
      </w:r>
      <w:r>
        <w:rPr>
          <w:rFonts w:ascii="Arial"/>
          <w:i/>
          <w:spacing w:val="-2"/>
          <w:sz w:val="16"/>
        </w:rPr>
        <w:t>25bps.</w:t>
      </w:r>
    </w:p>
    <w:p>
      <w:pPr>
        <w:pStyle w:val="ListParagraph"/>
        <w:numPr>
          <w:ilvl w:val="0"/>
          <w:numId w:val="12"/>
        </w:numPr>
        <w:tabs>
          <w:tab w:pos="950" w:val="left" w:leader="none"/>
          <w:tab w:pos="952" w:val="left" w:leader="none"/>
        </w:tabs>
        <w:spacing w:line="208" w:lineRule="auto" w:before="7" w:after="0"/>
        <w:ind w:left="952" w:right="1228" w:hanging="180"/>
        <w:jc w:val="left"/>
        <w:rPr>
          <w:rFonts w:ascii="Arial"/>
          <w:i/>
          <w:sz w:val="16"/>
        </w:rPr>
      </w:pPr>
      <w:r>
        <w:rPr>
          <w:rFonts w:ascii="Arial"/>
          <w:i/>
          <w:sz w:val="16"/>
        </w:rPr>
        <w:t>For</w:t>
      </w:r>
      <w:r>
        <w:rPr>
          <w:rFonts w:ascii="Arial"/>
          <w:i/>
          <w:spacing w:val="-3"/>
          <w:sz w:val="16"/>
        </w:rPr>
        <w:t> </w:t>
      </w:r>
      <w:r>
        <w:rPr>
          <w:rFonts w:ascii="Arial"/>
          <w:i/>
          <w:sz w:val="16"/>
        </w:rPr>
        <w:t>operations</w:t>
      </w:r>
      <w:r>
        <w:rPr>
          <w:rFonts w:ascii="Arial"/>
          <w:i/>
          <w:spacing w:val="-3"/>
          <w:sz w:val="16"/>
        </w:rPr>
        <w:t> </w:t>
      </w:r>
      <w:r>
        <w:rPr>
          <w:rFonts w:ascii="Arial"/>
          <w:i/>
          <w:sz w:val="16"/>
        </w:rPr>
        <w:t>approved</w:t>
      </w:r>
      <w:r>
        <w:rPr>
          <w:rFonts w:ascii="Arial"/>
          <w:i/>
          <w:spacing w:val="-4"/>
          <w:sz w:val="16"/>
        </w:rPr>
        <w:t> </w:t>
      </w:r>
      <w:r>
        <w:rPr>
          <w:rFonts w:ascii="Arial"/>
          <w:i/>
          <w:sz w:val="16"/>
        </w:rPr>
        <w:t>under</w:t>
      </w:r>
      <w:r>
        <w:rPr>
          <w:rFonts w:ascii="Arial"/>
          <w:i/>
          <w:spacing w:val="-3"/>
          <w:sz w:val="16"/>
        </w:rPr>
        <w:t> </w:t>
      </w:r>
      <w:r>
        <w:rPr>
          <w:rFonts w:ascii="Arial"/>
          <w:i/>
          <w:sz w:val="16"/>
        </w:rPr>
        <w:t>the</w:t>
      </w:r>
      <w:r>
        <w:rPr>
          <w:rFonts w:ascii="Arial"/>
          <w:i/>
          <w:spacing w:val="-4"/>
          <w:sz w:val="16"/>
        </w:rPr>
        <w:t> </w:t>
      </w:r>
      <w:r>
        <w:rPr>
          <w:rFonts w:ascii="Arial"/>
          <w:i/>
          <w:sz w:val="16"/>
        </w:rPr>
        <w:t>Additional</w:t>
      </w:r>
      <w:r>
        <w:rPr>
          <w:rFonts w:ascii="Arial"/>
          <w:i/>
          <w:spacing w:val="-3"/>
          <w:sz w:val="16"/>
        </w:rPr>
        <w:t> </w:t>
      </w:r>
      <w:r>
        <w:rPr>
          <w:rFonts w:ascii="Arial"/>
          <w:i/>
          <w:sz w:val="16"/>
        </w:rPr>
        <w:t>Financing</w:t>
      </w:r>
      <w:r>
        <w:rPr>
          <w:rFonts w:ascii="Arial"/>
          <w:i/>
          <w:spacing w:val="-4"/>
          <w:sz w:val="16"/>
        </w:rPr>
        <w:t> </w:t>
      </w:r>
      <w:r>
        <w:rPr>
          <w:rFonts w:ascii="Arial"/>
          <w:i/>
          <w:sz w:val="16"/>
        </w:rPr>
        <w:t>to</w:t>
      </w:r>
      <w:r>
        <w:rPr>
          <w:rFonts w:ascii="Arial"/>
          <w:i/>
          <w:spacing w:val="-4"/>
          <w:sz w:val="16"/>
        </w:rPr>
        <w:t> </w:t>
      </w:r>
      <w:r>
        <w:rPr>
          <w:rFonts w:ascii="Arial"/>
          <w:i/>
          <w:sz w:val="16"/>
        </w:rPr>
        <w:t>the</w:t>
      </w:r>
      <w:r>
        <w:rPr>
          <w:rFonts w:ascii="Arial"/>
          <w:i/>
          <w:spacing w:val="-4"/>
          <w:sz w:val="16"/>
        </w:rPr>
        <w:t> </w:t>
      </w:r>
      <w:r>
        <w:rPr>
          <w:rFonts w:ascii="Arial"/>
          <w:i/>
          <w:sz w:val="16"/>
        </w:rPr>
        <w:t>COVID-19</w:t>
      </w:r>
      <w:r>
        <w:rPr>
          <w:rFonts w:ascii="Arial"/>
          <w:i/>
          <w:spacing w:val="-4"/>
          <w:sz w:val="16"/>
        </w:rPr>
        <w:t> </w:t>
      </w:r>
      <w:r>
        <w:rPr>
          <w:rFonts w:ascii="Arial"/>
          <w:i/>
          <w:sz w:val="16"/>
        </w:rPr>
        <w:t>Strategic</w:t>
      </w:r>
      <w:r>
        <w:rPr>
          <w:rFonts w:ascii="Arial"/>
          <w:i/>
          <w:spacing w:val="-3"/>
          <w:sz w:val="16"/>
        </w:rPr>
        <w:t> </w:t>
      </w:r>
      <w:r>
        <w:rPr>
          <w:rFonts w:ascii="Arial"/>
          <w:i/>
          <w:sz w:val="16"/>
        </w:rPr>
        <w:t>Preparedness</w:t>
      </w:r>
      <w:r>
        <w:rPr>
          <w:rFonts w:ascii="Arial"/>
          <w:i/>
          <w:spacing w:val="-3"/>
          <w:sz w:val="16"/>
        </w:rPr>
        <w:t> </w:t>
      </w:r>
      <w:r>
        <w:rPr>
          <w:rFonts w:ascii="Arial"/>
          <w:i/>
          <w:sz w:val="16"/>
        </w:rPr>
        <w:t>and</w:t>
      </w:r>
      <w:r>
        <w:rPr>
          <w:rFonts w:ascii="Arial"/>
          <w:i/>
          <w:spacing w:val="-4"/>
          <w:sz w:val="16"/>
        </w:rPr>
        <w:t> </w:t>
      </w:r>
      <w:r>
        <w:rPr>
          <w:rFonts w:ascii="Arial"/>
          <w:i/>
          <w:sz w:val="16"/>
        </w:rPr>
        <w:t>Response</w:t>
      </w:r>
      <w:r>
        <w:rPr>
          <w:rFonts w:ascii="Arial"/>
          <w:i/>
          <w:spacing w:val="-4"/>
          <w:sz w:val="16"/>
        </w:rPr>
        <w:t> </w:t>
      </w:r>
      <w:r>
        <w:rPr>
          <w:rFonts w:ascii="Arial"/>
          <w:i/>
          <w:sz w:val="16"/>
        </w:rPr>
        <w:t>Program (SPRP), the commitment fee is waived for a period of up to 18 months starting from the date of approval of the relevant </w:t>
      </w:r>
      <w:r>
        <w:rPr>
          <w:rFonts w:ascii="Arial"/>
          <w:i/>
          <w:spacing w:val="-2"/>
          <w:sz w:val="16"/>
        </w:rPr>
        <w:t>operation.</w:t>
      </w:r>
    </w:p>
    <w:p>
      <w:pPr>
        <w:pStyle w:val="BodyText"/>
        <w:spacing w:before="19"/>
        <w:rPr>
          <w:rFonts w:ascii="Arial"/>
          <w:i/>
          <w:sz w:val="16"/>
        </w:rPr>
      </w:pPr>
    </w:p>
    <w:p>
      <w:pPr>
        <w:pStyle w:val="Heading1"/>
        <w:spacing w:before="1"/>
        <w:jc w:val="left"/>
      </w:pPr>
      <w:bookmarkStart w:name="Discontinued Lending Products" w:id="50"/>
      <w:bookmarkEnd w:id="50"/>
      <w:r>
        <w:rPr>
          <w:b w:val="0"/>
        </w:rPr>
      </w:r>
      <w:bookmarkStart w:name="_bookmark33" w:id="51"/>
      <w:bookmarkEnd w:id="51"/>
      <w:r>
        <w:rPr>
          <w:b w:val="0"/>
        </w:rPr>
      </w:r>
      <w:r>
        <w:rPr/>
        <w:t>Discontinued</w:t>
      </w:r>
      <w:r>
        <w:rPr>
          <w:spacing w:val="-3"/>
        </w:rPr>
        <w:t> </w:t>
      </w:r>
      <w:r>
        <w:rPr/>
        <w:t>Lending</w:t>
      </w:r>
      <w:r>
        <w:rPr>
          <w:spacing w:val="-2"/>
        </w:rPr>
        <w:t> Products</w:t>
      </w:r>
    </w:p>
    <w:p>
      <w:pPr>
        <w:pStyle w:val="BodyText"/>
        <w:spacing w:line="208" w:lineRule="auto" w:before="158"/>
        <w:ind w:left="720" w:right="718"/>
        <w:jc w:val="both"/>
      </w:pPr>
      <w:r>
        <w:rPr/>
        <w:t>IBRD’s loan portfolio includes lending products whose terms are no longer available for new commitments. These products</w:t>
      </w:r>
      <w:r>
        <w:rPr>
          <w:spacing w:val="-2"/>
        </w:rPr>
        <w:t> </w:t>
      </w:r>
      <w:r>
        <w:rPr/>
        <w:t>include</w:t>
      </w:r>
      <w:r>
        <w:rPr>
          <w:spacing w:val="1"/>
        </w:rPr>
        <w:t> </w:t>
      </w:r>
      <w:r>
        <w:rPr/>
        <w:t>currency</w:t>
      </w:r>
      <w:r>
        <w:rPr>
          <w:spacing w:val="1"/>
        </w:rPr>
        <w:t> </w:t>
      </w:r>
      <w:r>
        <w:rPr/>
        <w:t>pool</w:t>
      </w:r>
      <w:r>
        <w:rPr>
          <w:spacing w:val="1"/>
        </w:rPr>
        <w:t> </w:t>
      </w:r>
      <w:r>
        <w:rPr/>
        <w:t>loans</w:t>
      </w:r>
      <w:r>
        <w:rPr>
          <w:spacing w:val="1"/>
        </w:rPr>
        <w:t> </w:t>
      </w:r>
      <w:r>
        <w:rPr/>
        <w:t>and</w:t>
      </w:r>
      <w:r>
        <w:rPr>
          <w:spacing w:val="1"/>
        </w:rPr>
        <w:t> </w:t>
      </w:r>
      <w:r>
        <w:rPr/>
        <w:t>fixed-rate</w:t>
      </w:r>
      <w:r>
        <w:rPr>
          <w:spacing w:val="1"/>
        </w:rPr>
        <w:t> </w:t>
      </w:r>
      <w:r>
        <w:rPr/>
        <w:t>single-currency</w:t>
      </w:r>
      <w:r>
        <w:rPr>
          <w:spacing w:val="1"/>
        </w:rPr>
        <w:t> </w:t>
      </w:r>
      <w:r>
        <w:rPr/>
        <w:t>loans. As</w:t>
      </w:r>
      <w:r>
        <w:rPr>
          <w:spacing w:val="1"/>
        </w:rPr>
        <w:t> </w:t>
      </w:r>
      <w:r>
        <w:rPr/>
        <w:t>of</w:t>
      </w:r>
      <w:r>
        <w:rPr>
          <w:spacing w:val="1"/>
        </w:rPr>
        <w:t> </w:t>
      </w:r>
      <w:r>
        <w:rPr/>
        <w:t>June</w:t>
      </w:r>
      <w:r>
        <w:rPr>
          <w:spacing w:val="1"/>
        </w:rPr>
        <w:t> </w:t>
      </w:r>
      <w:r>
        <w:rPr/>
        <w:t>30,</w:t>
      </w:r>
      <w:r>
        <w:rPr>
          <w:spacing w:val="1"/>
        </w:rPr>
        <w:t> </w:t>
      </w:r>
      <w:r>
        <w:rPr/>
        <w:t>2023,</w:t>
      </w:r>
      <w:r>
        <w:rPr>
          <w:spacing w:val="1"/>
        </w:rPr>
        <w:t> </w:t>
      </w:r>
      <w:r>
        <w:rPr/>
        <w:t>loans</w:t>
      </w:r>
      <w:r>
        <w:rPr>
          <w:spacing w:val="1"/>
        </w:rPr>
        <w:t> </w:t>
      </w:r>
      <w:r>
        <w:rPr/>
        <w:t>outstanding</w:t>
      </w:r>
      <w:r>
        <w:rPr>
          <w:spacing w:val="1"/>
        </w:rPr>
        <w:t> </w:t>
      </w:r>
      <w:r>
        <w:rPr>
          <w:spacing w:val="-5"/>
        </w:rPr>
        <w:t>of</w:t>
      </w:r>
    </w:p>
    <w:p>
      <w:pPr>
        <w:pStyle w:val="BodyText"/>
        <w:spacing w:line="206" w:lineRule="exact"/>
        <w:ind w:left="720"/>
        <w:jc w:val="both"/>
      </w:pPr>
      <w:r>
        <w:rPr/>
        <w:t>$457</w:t>
      </w:r>
      <w:r>
        <w:rPr>
          <w:spacing w:val="-3"/>
        </w:rPr>
        <w:t> </w:t>
      </w:r>
      <w:r>
        <w:rPr/>
        <w:t>million</w:t>
      </w:r>
      <w:r>
        <w:rPr>
          <w:spacing w:val="-2"/>
        </w:rPr>
        <w:t> </w:t>
      </w:r>
      <w:r>
        <w:rPr/>
        <w:t>(0.2%</w:t>
      </w:r>
      <w:r>
        <w:rPr>
          <w:spacing w:val="-2"/>
        </w:rPr>
        <w:t> </w:t>
      </w:r>
      <w:r>
        <w:rPr/>
        <w:t>of</w:t>
      </w:r>
      <w:r>
        <w:rPr>
          <w:spacing w:val="-2"/>
        </w:rPr>
        <w:t> </w:t>
      </w:r>
      <w:r>
        <w:rPr/>
        <w:t>the</w:t>
      </w:r>
      <w:r>
        <w:rPr>
          <w:spacing w:val="-3"/>
        </w:rPr>
        <w:t> </w:t>
      </w:r>
      <w:r>
        <w:rPr/>
        <w:t>portfolio)</w:t>
      </w:r>
      <w:r>
        <w:rPr>
          <w:spacing w:val="-2"/>
        </w:rPr>
        <w:t> </w:t>
      </w:r>
      <w:r>
        <w:rPr/>
        <w:t>carried</w:t>
      </w:r>
      <w:r>
        <w:rPr>
          <w:spacing w:val="-2"/>
        </w:rPr>
        <w:t> </w:t>
      </w:r>
      <w:r>
        <w:rPr/>
        <w:t>terms</w:t>
      </w:r>
      <w:r>
        <w:rPr>
          <w:spacing w:val="-3"/>
        </w:rPr>
        <w:t> </w:t>
      </w:r>
      <w:r>
        <w:rPr/>
        <w:t>no</w:t>
      </w:r>
      <w:r>
        <w:rPr>
          <w:spacing w:val="-2"/>
        </w:rPr>
        <w:t> </w:t>
      </w:r>
      <w:r>
        <w:rPr/>
        <w:t>longer</w:t>
      </w:r>
      <w:r>
        <w:rPr>
          <w:spacing w:val="-2"/>
        </w:rPr>
        <w:t> </w:t>
      </w:r>
      <w:r>
        <w:rPr/>
        <w:t>offered,</w:t>
      </w:r>
      <w:r>
        <w:rPr>
          <w:spacing w:val="-2"/>
        </w:rPr>
        <w:t> </w:t>
      </w:r>
      <w:r>
        <w:rPr/>
        <w:t>with</w:t>
      </w:r>
      <w:r>
        <w:rPr>
          <w:spacing w:val="-2"/>
        </w:rPr>
        <w:t> </w:t>
      </w:r>
      <w:r>
        <w:rPr/>
        <w:t>final</w:t>
      </w:r>
      <w:r>
        <w:rPr>
          <w:spacing w:val="-3"/>
        </w:rPr>
        <w:t> </w:t>
      </w:r>
      <w:r>
        <w:rPr/>
        <w:t>maturity</w:t>
      </w:r>
      <w:r>
        <w:rPr>
          <w:spacing w:val="-2"/>
        </w:rPr>
        <w:t> </w:t>
      </w:r>
      <w:r>
        <w:rPr/>
        <w:t>in</w:t>
      </w:r>
      <w:r>
        <w:rPr>
          <w:spacing w:val="-2"/>
        </w:rPr>
        <w:t> </w:t>
      </w:r>
      <w:r>
        <w:rPr/>
        <w:t>May</w:t>
      </w:r>
      <w:r>
        <w:rPr>
          <w:spacing w:val="-2"/>
        </w:rPr>
        <w:t> 2026.</w:t>
      </w:r>
    </w:p>
    <w:p>
      <w:pPr>
        <w:pStyle w:val="Heading1"/>
        <w:spacing w:before="208"/>
        <w:jc w:val="left"/>
      </w:pPr>
      <w:bookmarkStart w:name="Waivers" w:id="52"/>
      <w:bookmarkEnd w:id="52"/>
      <w:r>
        <w:rPr>
          <w:b w:val="0"/>
        </w:rPr>
      </w:r>
      <w:bookmarkStart w:name="_bookmark34" w:id="53"/>
      <w:bookmarkEnd w:id="53"/>
      <w:r>
        <w:rPr>
          <w:b w:val="0"/>
        </w:rPr>
      </w:r>
      <w:r>
        <w:rPr>
          <w:spacing w:val="-2"/>
        </w:rPr>
        <w:t>Waivers</w:t>
      </w:r>
    </w:p>
    <w:p>
      <w:pPr>
        <w:pStyle w:val="BodyText"/>
        <w:spacing w:line="249" w:lineRule="auto" w:before="134"/>
        <w:ind w:left="720" w:right="718"/>
        <w:jc w:val="both"/>
      </w:pPr>
      <w:r>
        <w:rPr/>
        <w:t>Loan terms offered prior to September 28, 2007 included a partial waiver of interest and commitment charges on eligible loans. For these loans, waivers were approved on an annual basis by the Board through fiscal year 2023. In view of the small residual balance in these loans, the Board has now in addition approved the same waiver rates on all future payments for all eligible loans. The foregone income in FY23 due to such approved waivers was $16 million (FY22: $20 million).</w:t>
      </w:r>
    </w:p>
    <w:p>
      <w:pPr>
        <w:pStyle w:val="BodyText"/>
        <w:spacing w:line="232" w:lineRule="auto" w:before="130"/>
        <w:ind w:left="720" w:right="718"/>
        <w:jc w:val="both"/>
      </w:pPr>
      <w:r>
        <w:rPr/>
        <w:t>Figure 12 illustrates a breakdown of IBRD’s loans outstanding and undisbursed balances by loan terms, as well as loans outstanding by currency composition. The interest and currency profile of loans outstanding after the use of derivatives for risk management purposes is discussed under Market Risk in Section IX.</w:t>
      </w:r>
    </w:p>
    <w:p>
      <w:pPr>
        <w:pStyle w:val="BodyText"/>
        <w:spacing w:after="0" w:line="232" w:lineRule="auto"/>
        <w:jc w:val="both"/>
        <w:sectPr>
          <w:type w:val="continuous"/>
          <w:pgSz w:w="12240" w:h="15840"/>
          <w:pgMar w:header="744" w:footer="713" w:top="1820" w:bottom="280" w:left="720" w:right="720"/>
        </w:sectPr>
      </w:pPr>
    </w:p>
    <w:p>
      <w:pPr>
        <w:pStyle w:val="BodyText"/>
        <w:rPr>
          <w:sz w:val="18"/>
        </w:rPr>
      </w:pPr>
    </w:p>
    <w:p>
      <w:pPr>
        <w:pStyle w:val="BodyText"/>
        <w:spacing w:before="10"/>
        <w:rPr>
          <w:sz w:val="18"/>
        </w:rPr>
      </w:pPr>
    </w:p>
    <w:p>
      <w:pPr>
        <w:spacing w:before="0"/>
        <w:ind w:left="772" w:right="0" w:firstLine="0"/>
        <w:jc w:val="left"/>
        <w:rPr>
          <w:rFonts w:ascii="Arial"/>
          <w:b/>
          <w:sz w:val="18"/>
        </w:rPr>
      </w:pPr>
      <w:bookmarkStart w:name="_bookmark35" w:id="54"/>
      <w:bookmarkEnd w:id="54"/>
      <w:r>
        <w:rPr/>
      </w:r>
      <w:r>
        <w:rPr>
          <w:rFonts w:ascii="Arial"/>
          <w:b/>
          <w:sz w:val="18"/>
        </w:rPr>
        <w:t>Table</w:t>
      </w:r>
      <w:r>
        <w:rPr>
          <w:rFonts w:ascii="Arial"/>
          <w:b/>
          <w:spacing w:val="-3"/>
          <w:sz w:val="18"/>
        </w:rPr>
        <w:t> </w:t>
      </w:r>
      <w:r>
        <w:rPr>
          <w:rFonts w:ascii="Arial"/>
          <w:b/>
          <w:sz w:val="18"/>
        </w:rPr>
        <w:t>13:</w:t>
      </w:r>
      <w:r>
        <w:rPr>
          <w:rFonts w:ascii="Arial"/>
          <w:b/>
          <w:spacing w:val="-2"/>
          <w:sz w:val="18"/>
        </w:rPr>
        <w:t> </w:t>
      </w:r>
      <w:r>
        <w:rPr>
          <w:rFonts w:ascii="Arial"/>
          <w:b/>
          <w:sz w:val="18"/>
        </w:rPr>
        <w:t>Loans</w:t>
      </w:r>
      <w:r>
        <w:rPr>
          <w:rFonts w:ascii="Arial"/>
          <w:b/>
          <w:spacing w:val="-2"/>
          <w:sz w:val="18"/>
        </w:rPr>
        <w:t> </w:t>
      </w:r>
      <w:r>
        <w:rPr>
          <w:rFonts w:ascii="Arial"/>
          <w:b/>
          <w:sz w:val="18"/>
        </w:rPr>
        <w:t>outstanding</w:t>
      </w:r>
      <w:r>
        <w:rPr>
          <w:rFonts w:ascii="Arial"/>
          <w:b/>
          <w:spacing w:val="-2"/>
          <w:sz w:val="18"/>
        </w:rPr>
        <w:t> </w:t>
      </w:r>
      <w:r>
        <w:rPr>
          <w:rFonts w:ascii="Arial"/>
          <w:b/>
          <w:sz w:val="18"/>
        </w:rPr>
        <w:t>by</w:t>
      </w:r>
      <w:r>
        <w:rPr>
          <w:rFonts w:ascii="Arial"/>
          <w:b/>
          <w:spacing w:val="-3"/>
          <w:sz w:val="18"/>
        </w:rPr>
        <w:t> </w:t>
      </w:r>
      <w:r>
        <w:rPr>
          <w:rFonts w:ascii="Arial"/>
          <w:b/>
          <w:sz w:val="18"/>
        </w:rPr>
        <w:t>interest</w:t>
      </w:r>
      <w:r>
        <w:rPr>
          <w:rFonts w:ascii="Arial"/>
          <w:b/>
          <w:spacing w:val="-2"/>
          <w:sz w:val="18"/>
        </w:rPr>
        <w:t> </w:t>
      </w:r>
      <w:r>
        <w:rPr>
          <w:rFonts w:ascii="Arial"/>
          <w:b/>
          <w:sz w:val="18"/>
        </w:rPr>
        <w:t>rate</w:t>
      </w:r>
      <w:r>
        <w:rPr>
          <w:rFonts w:ascii="Arial"/>
          <w:b/>
          <w:spacing w:val="-2"/>
          <w:sz w:val="18"/>
        </w:rPr>
        <w:t> </w:t>
      </w:r>
      <w:r>
        <w:rPr>
          <w:rFonts w:ascii="Arial"/>
          <w:b/>
          <w:sz w:val="18"/>
        </w:rPr>
        <w:t>structure,</w:t>
      </w:r>
      <w:r>
        <w:rPr>
          <w:rFonts w:ascii="Arial"/>
          <w:b/>
          <w:spacing w:val="-2"/>
          <w:sz w:val="18"/>
        </w:rPr>
        <w:t> </w:t>
      </w:r>
      <w:r>
        <w:rPr>
          <w:rFonts w:ascii="Arial"/>
          <w:b/>
          <w:sz w:val="18"/>
        </w:rPr>
        <w:t>excluding</w:t>
      </w:r>
      <w:r>
        <w:rPr>
          <w:rFonts w:ascii="Arial"/>
          <w:b/>
          <w:spacing w:val="-2"/>
          <w:sz w:val="18"/>
        </w:rPr>
        <w:t> derivatives</w:t>
      </w:r>
    </w:p>
    <w:p>
      <w:pPr>
        <w:spacing w:before="56" w:after="20"/>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for</w:t>
      </w:r>
      <w:r>
        <w:rPr>
          <w:rFonts w:ascii="Arial"/>
          <w:i/>
          <w:spacing w:val="-2"/>
          <w:sz w:val="16"/>
        </w:rPr>
        <w:t> ratios</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7"/>
        <w:gridCol w:w="2338"/>
        <w:gridCol w:w="1530"/>
        <w:gridCol w:w="779"/>
        <w:gridCol w:w="2442"/>
        <w:gridCol w:w="860"/>
        <w:gridCol w:w="381"/>
        <w:gridCol w:w="184"/>
      </w:tblGrid>
      <w:tr>
        <w:trPr>
          <w:trHeight w:val="775" w:hRule="atLeast"/>
        </w:trPr>
        <w:tc>
          <w:tcPr>
            <w:tcW w:w="757" w:type="dxa"/>
            <w:tcBorders>
              <w:top w:val="single" w:sz="8" w:space="0" w:color="6C6C6C"/>
              <w:left w:val="single" w:sz="8" w:space="0" w:color="6C6C6C"/>
              <w:bottom w:val="single" w:sz="8" w:space="0" w:color="6C6C6C"/>
            </w:tcBorders>
          </w:tcPr>
          <w:p>
            <w:pPr>
              <w:pStyle w:val="TableParagraph"/>
              <w:spacing w:before="165"/>
              <w:rPr>
                <w:rFonts w:ascii="Arial"/>
                <w:i/>
                <w:sz w:val="16"/>
              </w:rPr>
            </w:pPr>
          </w:p>
          <w:p>
            <w:pPr>
              <w:pStyle w:val="TableParagraph"/>
              <w:spacing w:line="208" w:lineRule="auto" w:before="1"/>
              <w:ind w:left="212" w:right="53" w:hanging="76"/>
              <w:rPr>
                <w:rFonts w:ascii="Arial"/>
                <w:i/>
                <w:sz w:val="16"/>
              </w:rPr>
            </w:pPr>
            <w:r>
              <w:rPr>
                <w:rFonts w:ascii="Arial"/>
                <w:i/>
                <w:color w:val="929292"/>
                <w:spacing w:val="-2"/>
                <w:sz w:val="16"/>
              </w:rPr>
              <w:t>Product terms</w:t>
            </w:r>
          </w:p>
        </w:tc>
        <w:tc>
          <w:tcPr>
            <w:tcW w:w="2338" w:type="dxa"/>
            <w:tcBorders>
              <w:top w:val="single" w:sz="8" w:space="0" w:color="6C6C6C"/>
              <w:bottom w:val="single" w:sz="8" w:space="0" w:color="6C6C6C"/>
            </w:tcBorders>
          </w:tcPr>
          <w:p>
            <w:pPr>
              <w:pStyle w:val="TableParagraph"/>
              <w:spacing w:before="16"/>
              <w:ind w:left="1020"/>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2023</w:t>
            </w:r>
          </w:p>
          <w:p>
            <w:pPr>
              <w:pStyle w:val="TableParagraph"/>
              <w:tabs>
                <w:tab w:pos="1042" w:val="left" w:leader="none"/>
                <w:tab w:pos="1642" w:val="left" w:leader="none"/>
              </w:tabs>
              <w:spacing w:line="124" w:lineRule="auto" w:before="45"/>
              <w:ind w:left="313"/>
              <w:rPr>
                <w:rFonts w:ascii="Arial"/>
                <w:i/>
                <w:sz w:val="16"/>
              </w:rPr>
            </w:pPr>
            <w:r>
              <w:rPr>
                <w:rFonts w:ascii="Arial"/>
                <w:i/>
                <w:color w:val="929292"/>
                <w:spacing w:val="-2"/>
                <w:position w:val="-15"/>
                <w:sz w:val="16"/>
              </w:rPr>
              <w:t>Total</w:t>
            </w:r>
            <w:r>
              <w:rPr>
                <w:rFonts w:ascii="Arial"/>
                <w:i/>
                <w:color w:val="929292"/>
                <w:position w:val="-15"/>
                <w:sz w:val="16"/>
              </w:rPr>
              <w:tab/>
            </w:r>
            <w:r>
              <w:rPr>
                <w:rFonts w:ascii="Arial"/>
                <w:i/>
                <w:color w:val="929292"/>
                <w:position w:val="-7"/>
                <w:sz w:val="16"/>
              </w:rPr>
              <w:t>% </w:t>
            </w:r>
            <w:r>
              <w:rPr>
                <w:rFonts w:ascii="Arial"/>
                <w:i/>
                <w:color w:val="929292"/>
                <w:spacing w:val="-5"/>
                <w:position w:val="-7"/>
                <w:sz w:val="16"/>
              </w:rPr>
              <w:t>of</w:t>
            </w:r>
            <w:r>
              <w:rPr>
                <w:rFonts w:ascii="Arial"/>
                <w:i/>
                <w:color w:val="929292"/>
                <w:position w:val="-7"/>
                <w:sz w:val="16"/>
              </w:rPr>
              <w:tab/>
            </w:r>
            <w:r>
              <w:rPr>
                <w:rFonts w:ascii="Arial"/>
                <w:i/>
                <w:color w:val="929292"/>
                <w:sz w:val="16"/>
              </w:rPr>
              <w:t>Of </w:t>
            </w:r>
            <w:r>
              <w:rPr>
                <w:rFonts w:ascii="Arial"/>
                <w:i/>
                <w:color w:val="929292"/>
                <w:spacing w:val="-2"/>
                <w:sz w:val="16"/>
              </w:rPr>
              <w:t>which</w:t>
            </w:r>
          </w:p>
          <w:p>
            <w:pPr>
              <w:pStyle w:val="TableParagraph"/>
              <w:tabs>
                <w:tab w:pos="1615" w:val="left" w:leader="none"/>
              </w:tabs>
              <w:spacing w:line="91" w:lineRule="auto"/>
              <w:ind w:left="1025"/>
              <w:rPr>
                <w:rFonts w:ascii="Arial"/>
                <w:i/>
                <w:sz w:val="16"/>
              </w:rPr>
            </w:pPr>
            <w:r>
              <w:rPr>
                <w:rFonts w:ascii="Arial"/>
                <w:i/>
                <w:color w:val="929292"/>
                <w:spacing w:val="-2"/>
                <w:position w:val="-7"/>
                <w:sz w:val="16"/>
              </w:rPr>
              <w:t>Total</w:t>
            </w:r>
            <w:r>
              <w:rPr>
                <w:rFonts w:ascii="Arial"/>
                <w:i/>
                <w:color w:val="929292"/>
                <w:position w:val="-7"/>
                <w:sz w:val="16"/>
              </w:rPr>
              <w:tab/>
            </w:r>
            <w:r>
              <w:rPr>
                <w:rFonts w:ascii="Arial"/>
                <w:i/>
                <w:color w:val="929292"/>
                <w:spacing w:val="-2"/>
                <w:sz w:val="16"/>
              </w:rPr>
              <w:t>reference</w:t>
            </w:r>
          </w:p>
          <w:p>
            <w:pPr>
              <w:pStyle w:val="TableParagraph"/>
              <w:spacing w:line="151" w:lineRule="exact"/>
              <w:ind w:right="165"/>
              <w:jc w:val="right"/>
              <w:rPr>
                <w:rFonts w:ascii="Arial"/>
                <w:i/>
                <w:sz w:val="16"/>
              </w:rPr>
            </w:pPr>
            <w:r>
              <w:rPr>
                <w:rFonts w:ascii="Arial"/>
                <w:i/>
                <w:color w:val="929292"/>
                <w:sz w:val="16"/>
              </w:rPr>
              <w:t>rate</w:t>
            </w:r>
            <w:r>
              <w:rPr>
                <w:rFonts w:ascii="Arial"/>
                <w:i/>
                <w:color w:val="929292"/>
                <w:spacing w:val="-2"/>
                <w:sz w:val="16"/>
              </w:rPr>
              <w:t> </w:t>
            </w:r>
            <w:r>
              <w:rPr>
                <w:rFonts w:ascii="Arial"/>
                <w:i/>
                <w:color w:val="929292"/>
                <w:spacing w:val="-5"/>
                <w:sz w:val="16"/>
              </w:rPr>
              <w:t>is</w:t>
            </w:r>
          </w:p>
        </w:tc>
        <w:tc>
          <w:tcPr>
            <w:tcW w:w="1530" w:type="dxa"/>
            <w:tcBorders>
              <w:top w:val="single" w:sz="8" w:space="0" w:color="6C6C6C"/>
              <w:bottom w:val="single" w:sz="8" w:space="0" w:color="6C6C6C"/>
            </w:tcBorders>
          </w:tcPr>
          <w:p>
            <w:pPr>
              <w:pStyle w:val="TableParagraph"/>
              <w:rPr>
                <w:rFonts w:ascii="Arial"/>
                <w:i/>
                <w:sz w:val="16"/>
              </w:rPr>
            </w:pPr>
          </w:p>
          <w:p>
            <w:pPr>
              <w:pStyle w:val="TableParagraph"/>
              <w:spacing w:before="47"/>
              <w:rPr>
                <w:rFonts w:ascii="Arial"/>
                <w:i/>
                <w:sz w:val="16"/>
              </w:rPr>
            </w:pPr>
          </w:p>
          <w:p>
            <w:pPr>
              <w:pStyle w:val="TableParagraph"/>
              <w:tabs>
                <w:tab w:pos="1029" w:val="left" w:leader="none"/>
              </w:tabs>
              <w:spacing w:line="103" w:lineRule="auto" w:before="1"/>
              <w:ind w:left="1012" w:right="160" w:hanging="713"/>
              <w:rPr>
                <w:rFonts w:ascii="Arial"/>
                <w:i/>
                <w:sz w:val="16"/>
              </w:rPr>
            </w:pPr>
            <w:r>
              <w:rPr>
                <w:rFonts w:ascii="Arial"/>
                <w:i/>
                <w:color w:val="929292"/>
                <w:spacing w:val="-2"/>
                <w:sz w:val="16"/>
              </w:rPr>
              <w:t>Total</w:t>
            </w:r>
            <w:r>
              <w:rPr>
                <w:rFonts w:ascii="Arial"/>
                <w:i/>
                <w:color w:val="929292"/>
                <w:sz w:val="16"/>
              </w:rPr>
              <w:tab/>
              <w:tab/>
            </w:r>
            <w:r>
              <w:rPr>
                <w:rFonts w:ascii="Arial"/>
                <w:i/>
                <w:color w:val="929292"/>
                <w:position w:val="8"/>
                <w:sz w:val="16"/>
              </w:rPr>
              <w:t>%</w:t>
            </w:r>
            <w:r>
              <w:rPr>
                <w:rFonts w:ascii="Arial"/>
                <w:i/>
                <w:color w:val="929292"/>
                <w:spacing w:val="-12"/>
                <w:position w:val="8"/>
                <w:sz w:val="16"/>
              </w:rPr>
              <w:t> </w:t>
            </w:r>
            <w:r>
              <w:rPr>
                <w:rFonts w:ascii="Arial"/>
                <w:i/>
                <w:color w:val="929292"/>
                <w:position w:val="8"/>
                <w:sz w:val="16"/>
              </w:rPr>
              <w:t>of </w:t>
            </w:r>
            <w:r>
              <w:rPr>
                <w:rFonts w:ascii="Arial"/>
                <w:i/>
                <w:color w:val="929292"/>
                <w:spacing w:val="-2"/>
                <w:sz w:val="16"/>
              </w:rPr>
              <w:t>Total</w:t>
            </w:r>
          </w:p>
        </w:tc>
        <w:tc>
          <w:tcPr>
            <w:tcW w:w="779" w:type="dxa"/>
            <w:tcBorders>
              <w:top w:val="single" w:sz="8" w:space="0" w:color="6C6C6C"/>
              <w:bottom w:val="single" w:sz="8" w:space="0" w:color="6C6C6C"/>
            </w:tcBorders>
          </w:tcPr>
          <w:p>
            <w:pPr>
              <w:pStyle w:val="TableParagraph"/>
              <w:spacing w:before="165"/>
              <w:rPr>
                <w:rFonts w:ascii="Arial"/>
                <w:i/>
                <w:sz w:val="16"/>
              </w:rPr>
            </w:pPr>
          </w:p>
          <w:p>
            <w:pPr>
              <w:pStyle w:val="TableParagraph"/>
              <w:spacing w:line="208" w:lineRule="auto" w:before="1"/>
              <w:ind w:left="240" w:right="57" w:hanging="76"/>
              <w:rPr>
                <w:rFonts w:ascii="Arial"/>
                <w:i/>
                <w:sz w:val="16"/>
              </w:rPr>
            </w:pPr>
            <w:r>
              <w:rPr>
                <w:rFonts w:ascii="Arial"/>
                <w:i/>
                <w:color w:val="929292"/>
                <w:spacing w:val="-2"/>
                <w:sz w:val="16"/>
              </w:rPr>
              <w:t>Product terms</w:t>
            </w:r>
          </w:p>
        </w:tc>
        <w:tc>
          <w:tcPr>
            <w:tcW w:w="2442" w:type="dxa"/>
            <w:tcBorders>
              <w:top w:val="single" w:sz="8" w:space="0" w:color="6C6C6C"/>
              <w:bottom w:val="single" w:sz="8" w:space="0" w:color="6C6C6C"/>
            </w:tcBorders>
          </w:tcPr>
          <w:p>
            <w:pPr>
              <w:pStyle w:val="TableParagraph"/>
              <w:spacing w:before="16"/>
              <w:ind w:left="1038"/>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2022</w:t>
            </w:r>
          </w:p>
          <w:p>
            <w:pPr>
              <w:pStyle w:val="TableParagraph"/>
              <w:tabs>
                <w:tab w:pos="1045" w:val="left" w:leader="none"/>
                <w:tab w:pos="1667" w:val="left" w:leader="none"/>
              </w:tabs>
              <w:spacing w:line="124" w:lineRule="auto" w:before="45"/>
              <w:ind w:left="316"/>
              <w:rPr>
                <w:rFonts w:ascii="Arial"/>
                <w:i/>
                <w:sz w:val="16"/>
              </w:rPr>
            </w:pPr>
            <w:r>
              <w:rPr>
                <w:rFonts w:ascii="Arial"/>
                <w:i/>
                <w:color w:val="929292"/>
                <w:spacing w:val="-2"/>
                <w:position w:val="-15"/>
                <w:sz w:val="16"/>
              </w:rPr>
              <w:t>Total</w:t>
            </w:r>
            <w:r>
              <w:rPr>
                <w:rFonts w:ascii="Arial"/>
                <w:i/>
                <w:color w:val="929292"/>
                <w:position w:val="-15"/>
                <w:sz w:val="16"/>
              </w:rPr>
              <w:tab/>
            </w:r>
            <w:r>
              <w:rPr>
                <w:rFonts w:ascii="Arial"/>
                <w:i/>
                <w:color w:val="929292"/>
                <w:position w:val="-7"/>
                <w:sz w:val="16"/>
              </w:rPr>
              <w:t>% </w:t>
            </w:r>
            <w:r>
              <w:rPr>
                <w:rFonts w:ascii="Arial"/>
                <w:i/>
                <w:color w:val="929292"/>
                <w:spacing w:val="-5"/>
                <w:position w:val="-7"/>
                <w:sz w:val="16"/>
              </w:rPr>
              <w:t>of</w:t>
            </w:r>
            <w:r>
              <w:rPr>
                <w:rFonts w:ascii="Arial"/>
                <w:i/>
                <w:color w:val="929292"/>
                <w:position w:val="-7"/>
                <w:sz w:val="16"/>
              </w:rPr>
              <w:tab/>
            </w:r>
            <w:r>
              <w:rPr>
                <w:rFonts w:ascii="Arial"/>
                <w:i/>
                <w:color w:val="929292"/>
                <w:sz w:val="16"/>
              </w:rPr>
              <w:t>Of </w:t>
            </w:r>
            <w:r>
              <w:rPr>
                <w:rFonts w:ascii="Arial"/>
                <w:i/>
                <w:color w:val="929292"/>
                <w:spacing w:val="-2"/>
                <w:sz w:val="16"/>
              </w:rPr>
              <w:t>which</w:t>
            </w:r>
          </w:p>
          <w:p>
            <w:pPr>
              <w:pStyle w:val="TableParagraph"/>
              <w:tabs>
                <w:tab w:pos="1640" w:val="left" w:leader="none"/>
              </w:tabs>
              <w:spacing w:line="91" w:lineRule="auto"/>
              <w:ind w:left="1028"/>
              <w:rPr>
                <w:rFonts w:ascii="Arial"/>
                <w:i/>
                <w:sz w:val="16"/>
              </w:rPr>
            </w:pPr>
            <w:r>
              <w:rPr>
                <w:rFonts w:ascii="Arial"/>
                <w:i/>
                <w:color w:val="929292"/>
                <w:spacing w:val="-2"/>
                <w:position w:val="-7"/>
                <w:sz w:val="16"/>
              </w:rPr>
              <w:t>Total</w:t>
            </w:r>
            <w:r>
              <w:rPr>
                <w:rFonts w:ascii="Arial"/>
                <w:i/>
                <w:color w:val="929292"/>
                <w:position w:val="-7"/>
                <w:sz w:val="16"/>
              </w:rPr>
              <w:tab/>
            </w:r>
            <w:r>
              <w:rPr>
                <w:rFonts w:ascii="Arial"/>
                <w:i/>
                <w:color w:val="929292"/>
                <w:spacing w:val="-2"/>
                <w:sz w:val="16"/>
              </w:rPr>
              <w:t>reference</w:t>
            </w:r>
          </w:p>
          <w:p>
            <w:pPr>
              <w:pStyle w:val="TableParagraph"/>
              <w:spacing w:line="151" w:lineRule="exact"/>
              <w:ind w:right="243"/>
              <w:jc w:val="right"/>
              <w:rPr>
                <w:rFonts w:ascii="Arial"/>
                <w:i/>
                <w:sz w:val="16"/>
              </w:rPr>
            </w:pPr>
            <w:r>
              <w:rPr>
                <w:rFonts w:ascii="Arial"/>
                <w:i/>
                <w:color w:val="929292"/>
                <w:sz w:val="16"/>
              </w:rPr>
              <w:t>rate</w:t>
            </w:r>
            <w:r>
              <w:rPr>
                <w:rFonts w:ascii="Arial"/>
                <w:i/>
                <w:color w:val="929292"/>
                <w:spacing w:val="-2"/>
                <w:sz w:val="16"/>
              </w:rPr>
              <w:t> </w:t>
            </w:r>
            <w:r>
              <w:rPr>
                <w:rFonts w:ascii="Arial"/>
                <w:i/>
                <w:color w:val="929292"/>
                <w:spacing w:val="-5"/>
                <w:sz w:val="16"/>
              </w:rPr>
              <w:t>is</w:t>
            </w:r>
          </w:p>
        </w:tc>
        <w:tc>
          <w:tcPr>
            <w:tcW w:w="860" w:type="dxa"/>
            <w:tcBorders>
              <w:top w:val="single" w:sz="8" w:space="0" w:color="6C6C6C"/>
              <w:bottom w:val="single" w:sz="8" w:space="0" w:color="6C6C6C"/>
            </w:tcBorders>
          </w:tcPr>
          <w:p>
            <w:pPr>
              <w:pStyle w:val="TableParagraph"/>
              <w:rPr>
                <w:rFonts w:ascii="Arial"/>
                <w:i/>
                <w:sz w:val="16"/>
              </w:rPr>
            </w:pPr>
          </w:p>
          <w:p>
            <w:pPr>
              <w:pStyle w:val="TableParagraph"/>
              <w:spacing w:before="42"/>
              <w:rPr>
                <w:rFonts w:ascii="Arial"/>
                <w:i/>
                <w:sz w:val="16"/>
              </w:rPr>
            </w:pPr>
          </w:p>
          <w:p>
            <w:pPr>
              <w:pStyle w:val="TableParagraph"/>
              <w:ind w:left="244"/>
              <w:rPr>
                <w:rFonts w:ascii="Arial"/>
                <w:i/>
                <w:sz w:val="16"/>
              </w:rPr>
            </w:pPr>
            <w:r>
              <w:rPr>
                <w:rFonts w:ascii="Arial"/>
                <w:i/>
                <w:color w:val="929292"/>
                <w:spacing w:val="-2"/>
                <w:sz w:val="16"/>
              </w:rPr>
              <w:t>Total</w:t>
            </w:r>
          </w:p>
        </w:tc>
        <w:tc>
          <w:tcPr>
            <w:tcW w:w="565" w:type="dxa"/>
            <w:gridSpan w:val="2"/>
            <w:tcBorders>
              <w:top w:val="single" w:sz="8" w:space="0" w:color="6C6C6C"/>
              <w:bottom w:val="single" w:sz="8" w:space="0" w:color="6C6C6C"/>
              <w:right w:val="single" w:sz="8" w:space="0" w:color="6C6C6C"/>
            </w:tcBorders>
          </w:tcPr>
          <w:p>
            <w:pPr>
              <w:pStyle w:val="TableParagraph"/>
              <w:spacing w:before="165"/>
              <w:rPr>
                <w:rFonts w:ascii="Arial"/>
                <w:i/>
                <w:sz w:val="16"/>
              </w:rPr>
            </w:pPr>
          </w:p>
          <w:p>
            <w:pPr>
              <w:pStyle w:val="TableParagraph"/>
              <w:spacing w:line="208" w:lineRule="auto" w:before="1"/>
              <w:ind w:left="96" w:right="101" w:firstLine="17"/>
              <w:rPr>
                <w:rFonts w:ascii="Arial"/>
                <w:i/>
                <w:sz w:val="16"/>
              </w:rPr>
            </w:pPr>
            <w:r>
              <w:rPr>
                <w:rFonts w:ascii="Arial"/>
                <w:i/>
                <w:color w:val="929292"/>
                <w:sz w:val="16"/>
              </w:rPr>
              <w:t>%</w:t>
            </w:r>
            <w:r>
              <w:rPr>
                <w:rFonts w:ascii="Arial"/>
                <w:i/>
                <w:color w:val="929292"/>
                <w:spacing w:val="-12"/>
                <w:sz w:val="16"/>
              </w:rPr>
              <w:t> </w:t>
            </w:r>
            <w:r>
              <w:rPr>
                <w:rFonts w:ascii="Arial"/>
                <w:i/>
                <w:color w:val="929292"/>
                <w:sz w:val="16"/>
              </w:rPr>
              <w:t>of </w:t>
            </w:r>
            <w:r>
              <w:rPr>
                <w:rFonts w:ascii="Arial"/>
                <w:i/>
                <w:color w:val="929292"/>
                <w:spacing w:val="-2"/>
                <w:sz w:val="16"/>
              </w:rPr>
              <w:t>Total</w:t>
            </w:r>
          </w:p>
        </w:tc>
      </w:tr>
      <w:tr>
        <w:trPr>
          <w:trHeight w:val="154" w:hRule="atLeast"/>
        </w:trPr>
        <w:tc>
          <w:tcPr>
            <w:tcW w:w="757" w:type="dxa"/>
            <w:tcBorders>
              <w:top w:val="single" w:sz="8" w:space="0" w:color="6C6C6C"/>
              <w:left w:val="single" w:sz="8" w:space="0" w:color="6C6C6C"/>
            </w:tcBorders>
          </w:tcPr>
          <w:p>
            <w:pPr>
              <w:pStyle w:val="TableParagraph"/>
              <w:spacing w:line="135" w:lineRule="exact"/>
              <w:ind w:left="52"/>
              <w:rPr>
                <w:sz w:val="16"/>
              </w:rPr>
            </w:pPr>
            <w:r>
              <w:rPr>
                <w:spacing w:val="-2"/>
                <w:sz w:val="16"/>
              </w:rPr>
              <w:t>Fixed</w:t>
            </w:r>
          </w:p>
        </w:tc>
        <w:tc>
          <w:tcPr>
            <w:tcW w:w="2338" w:type="dxa"/>
            <w:tcBorders>
              <w:top w:val="single" w:sz="8" w:space="0" w:color="6C6C6C"/>
            </w:tcBorders>
          </w:tcPr>
          <w:p>
            <w:pPr>
              <w:pStyle w:val="TableParagraph"/>
              <w:rPr>
                <w:rFonts w:ascii="Times New Roman"/>
                <w:sz w:val="8"/>
              </w:rPr>
            </w:pPr>
          </w:p>
        </w:tc>
        <w:tc>
          <w:tcPr>
            <w:tcW w:w="1530" w:type="dxa"/>
            <w:tcBorders>
              <w:top w:val="single" w:sz="8" w:space="0" w:color="6C6C6C"/>
            </w:tcBorders>
          </w:tcPr>
          <w:p>
            <w:pPr>
              <w:pStyle w:val="TableParagraph"/>
              <w:rPr>
                <w:rFonts w:ascii="Times New Roman"/>
                <w:sz w:val="8"/>
              </w:rPr>
            </w:pPr>
          </w:p>
        </w:tc>
        <w:tc>
          <w:tcPr>
            <w:tcW w:w="779" w:type="dxa"/>
            <w:tcBorders>
              <w:top w:val="single" w:sz="8" w:space="0" w:color="6C6C6C"/>
            </w:tcBorders>
          </w:tcPr>
          <w:p>
            <w:pPr>
              <w:pStyle w:val="TableParagraph"/>
              <w:spacing w:line="135" w:lineRule="exact"/>
              <w:ind w:left="72"/>
              <w:rPr>
                <w:sz w:val="16"/>
              </w:rPr>
            </w:pPr>
            <w:r>
              <w:rPr>
                <w:spacing w:val="-2"/>
                <w:sz w:val="16"/>
              </w:rPr>
              <w:t>Fixed</w:t>
            </w:r>
          </w:p>
        </w:tc>
        <w:tc>
          <w:tcPr>
            <w:tcW w:w="2442" w:type="dxa"/>
            <w:tcBorders>
              <w:top w:val="single" w:sz="8" w:space="0" w:color="6C6C6C"/>
            </w:tcBorders>
          </w:tcPr>
          <w:p>
            <w:pPr>
              <w:pStyle w:val="TableParagraph"/>
              <w:rPr>
                <w:rFonts w:ascii="Times New Roman"/>
                <w:sz w:val="8"/>
              </w:rPr>
            </w:pPr>
          </w:p>
        </w:tc>
        <w:tc>
          <w:tcPr>
            <w:tcW w:w="860" w:type="dxa"/>
            <w:tcBorders>
              <w:top w:val="single" w:sz="8" w:space="0" w:color="6C6C6C"/>
            </w:tcBorders>
          </w:tcPr>
          <w:p>
            <w:pPr>
              <w:pStyle w:val="TableParagraph"/>
              <w:rPr>
                <w:rFonts w:ascii="Times New Roman"/>
                <w:sz w:val="8"/>
              </w:rPr>
            </w:pPr>
          </w:p>
        </w:tc>
        <w:tc>
          <w:tcPr>
            <w:tcW w:w="381" w:type="dxa"/>
            <w:tcBorders>
              <w:top w:val="single" w:sz="8" w:space="0" w:color="6C6C6C"/>
            </w:tcBorders>
          </w:tcPr>
          <w:p>
            <w:pPr>
              <w:pStyle w:val="TableParagraph"/>
              <w:rPr>
                <w:rFonts w:ascii="Times New Roman"/>
                <w:sz w:val="8"/>
              </w:rPr>
            </w:pPr>
          </w:p>
        </w:tc>
        <w:tc>
          <w:tcPr>
            <w:tcW w:w="184" w:type="dxa"/>
            <w:tcBorders>
              <w:top w:val="single" w:sz="8" w:space="0" w:color="6C6C6C"/>
              <w:right w:val="single" w:sz="8" w:space="0" w:color="6C6C6C"/>
            </w:tcBorders>
          </w:tcPr>
          <w:p>
            <w:pPr>
              <w:pStyle w:val="TableParagraph"/>
              <w:rPr>
                <w:rFonts w:ascii="Times New Roman"/>
                <w:sz w:val="8"/>
              </w:rPr>
            </w:pPr>
          </w:p>
        </w:tc>
      </w:tr>
      <w:tr>
        <w:trPr>
          <w:trHeight w:val="363" w:hRule="atLeast"/>
        </w:trPr>
        <w:tc>
          <w:tcPr>
            <w:tcW w:w="757" w:type="dxa"/>
            <w:tcBorders>
              <w:left w:val="single" w:sz="8" w:space="0" w:color="6C6C6C"/>
            </w:tcBorders>
          </w:tcPr>
          <w:p>
            <w:pPr>
              <w:pStyle w:val="TableParagraph"/>
              <w:spacing w:line="208" w:lineRule="auto" w:before="8"/>
              <w:ind w:left="52" w:right="171"/>
              <w:rPr>
                <w:sz w:val="16"/>
              </w:rPr>
            </w:pPr>
            <w:r>
              <w:rPr>
                <w:spacing w:val="-2"/>
                <w:sz w:val="16"/>
              </w:rPr>
              <w:t>Spread Loans</w:t>
            </w:r>
          </w:p>
        </w:tc>
        <w:tc>
          <w:tcPr>
            <w:tcW w:w="2338" w:type="dxa"/>
          </w:tcPr>
          <w:p>
            <w:pPr>
              <w:pStyle w:val="TableParagraph"/>
              <w:tabs>
                <w:tab w:pos="1114" w:val="left" w:leader="none"/>
              </w:tabs>
              <w:spacing w:line="171" w:lineRule="exact"/>
              <w:ind w:left="130"/>
              <w:rPr>
                <w:sz w:val="16"/>
              </w:rPr>
            </w:pPr>
            <w:r>
              <w:rPr>
                <w:sz w:val="16"/>
              </w:rPr>
              <w:t>$</w:t>
            </w:r>
            <w:r>
              <w:rPr>
                <w:spacing w:val="58"/>
                <w:w w:val="150"/>
                <w:sz w:val="16"/>
              </w:rPr>
              <w:t> </w:t>
            </w:r>
            <w:r>
              <w:rPr>
                <w:spacing w:val="-2"/>
                <w:sz w:val="16"/>
              </w:rPr>
              <w:t>65,340</w:t>
            </w:r>
            <w:r>
              <w:rPr>
                <w:sz w:val="16"/>
              </w:rPr>
              <w:tab/>
              <w:t>27</w:t>
            </w:r>
            <w:r>
              <w:rPr>
                <w:spacing w:val="5"/>
                <w:sz w:val="16"/>
              </w:rPr>
              <w:t> </w:t>
            </w:r>
            <w:r>
              <w:rPr>
                <w:sz w:val="16"/>
              </w:rPr>
              <w:t>%</w:t>
            </w:r>
            <w:r>
              <w:rPr>
                <w:spacing w:val="22"/>
                <w:sz w:val="16"/>
              </w:rPr>
              <w:t> </w:t>
            </w:r>
            <w:r>
              <w:rPr>
                <w:spacing w:val="-4"/>
                <w:sz w:val="16"/>
              </w:rPr>
              <w:t>Fixed</w:t>
            </w:r>
          </w:p>
        </w:tc>
        <w:tc>
          <w:tcPr>
            <w:tcW w:w="1530" w:type="dxa"/>
          </w:tcPr>
          <w:p>
            <w:pPr>
              <w:pStyle w:val="TableParagraph"/>
              <w:tabs>
                <w:tab w:pos="984" w:val="left" w:leader="none"/>
              </w:tabs>
              <w:spacing w:line="171" w:lineRule="exact"/>
              <w:ind w:right="53"/>
              <w:jc w:val="right"/>
              <w:rPr>
                <w:sz w:val="16"/>
              </w:rPr>
            </w:pPr>
            <w:r>
              <w:rPr>
                <w:sz w:val="16"/>
              </w:rPr>
              <w:t>$</w:t>
            </w:r>
            <w:r>
              <w:rPr>
                <w:spacing w:val="58"/>
                <w:w w:val="150"/>
                <w:sz w:val="16"/>
              </w:rPr>
              <w:t> </w:t>
            </w:r>
            <w:r>
              <w:rPr>
                <w:spacing w:val="-2"/>
                <w:sz w:val="16"/>
              </w:rPr>
              <w:t>32,678</w:t>
            </w:r>
            <w:r>
              <w:rPr>
                <w:sz w:val="16"/>
              </w:rPr>
              <w:tab/>
              <w:t>14</w:t>
            </w:r>
            <w:r>
              <w:rPr>
                <w:spacing w:val="7"/>
                <w:sz w:val="16"/>
              </w:rPr>
              <w:t> </w:t>
            </w:r>
            <w:r>
              <w:rPr>
                <w:spacing w:val="-10"/>
                <w:sz w:val="16"/>
              </w:rPr>
              <w:t>%</w:t>
            </w:r>
          </w:p>
        </w:tc>
        <w:tc>
          <w:tcPr>
            <w:tcW w:w="779" w:type="dxa"/>
          </w:tcPr>
          <w:p>
            <w:pPr>
              <w:pStyle w:val="TableParagraph"/>
              <w:spacing w:line="208" w:lineRule="auto" w:before="6"/>
              <w:ind w:left="72" w:right="183"/>
              <w:rPr>
                <w:sz w:val="16"/>
              </w:rPr>
            </w:pPr>
            <w:r>
              <w:rPr>
                <w:spacing w:val="-2"/>
                <w:sz w:val="16"/>
              </w:rPr>
              <w:t>Spread Loans</w:t>
            </w:r>
          </w:p>
        </w:tc>
        <w:tc>
          <w:tcPr>
            <w:tcW w:w="2442" w:type="dxa"/>
          </w:tcPr>
          <w:p>
            <w:pPr>
              <w:pStyle w:val="TableParagraph"/>
              <w:tabs>
                <w:tab w:pos="1117" w:val="left" w:leader="none"/>
              </w:tabs>
              <w:spacing w:line="171" w:lineRule="exact"/>
              <w:ind w:left="133"/>
              <w:rPr>
                <w:sz w:val="16"/>
              </w:rPr>
            </w:pPr>
            <w:r>
              <w:rPr>
                <w:sz w:val="16"/>
              </w:rPr>
              <w:t>$</w:t>
            </w:r>
            <w:r>
              <w:rPr>
                <w:spacing w:val="58"/>
                <w:w w:val="150"/>
                <w:sz w:val="16"/>
              </w:rPr>
              <w:t> </w:t>
            </w:r>
            <w:r>
              <w:rPr>
                <w:spacing w:val="-2"/>
                <w:sz w:val="16"/>
              </w:rPr>
              <w:t>66,075</w:t>
            </w:r>
            <w:r>
              <w:rPr>
                <w:sz w:val="16"/>
              </w:rPr>
              <w:tab/>
              <w:t>29</w:t>
            </w:r>
            <w:r>
              <w:rPr>
                <w:spacing w:val="5"/>
                <w:sz w:val="16"/>
              </w:rPr>
              <w:t> </w:t>
            </w:r>
            <w:r>
              <w:rPr>
                <w:sz w:val="16"/>
              </w:rPr>
              <w:t>%</w:t>
            </w:r>
            <w:r>
              <w:rPr>
                <w:spacing w:val="22"/>
                <w:sz w:val="16"/>
              </w:rPr>
              <w:t> </w:t>
            </w:r>
            <w:r>
              <w:rPr>
                <w:spacing w:val="-4"/>
                <w:sz w:val="16"/>
              </w:rPr>
              <w:t>Fixed</w:t>
            </w:r>
          </w:p>
        </w:tc>
        <w:tc>
          <w:tcPr>
            <w:tcW w:w="860" w:type="dxa"/>
          </w:tcPr>
          <w:p>
            <w:pPr>
              <w:pStyle w:val="TableParagraph"/>
              <w:spacing w:line="172" w:lineRule="exact"/>
              <w:ind w:right="92"/>
              <w:jc w:val="right"/>
              <w:rPr>
                <w:sz w:val="16"/>
              </w:rPr>
            </w:pPr>
            <w:r>
              <w:rPr>
                <w:sz w:val="16"/>
              </w:rPr>
              <w:t>$</w:t>
            </w:r>
            <w:r>
              <w:rPr>
                <w:spacing w:val="58"/>
                <w:w w:val="150"/>
                <w:sz w:val="16"/>
              </w:rPr>
              <w:t> </w:t>
            </w:r>
            <w:r>
              <w:rPr>
                <w:spacing w:val="-2"/>
                <w:sz w:val="16"/>
              </w:rPr>
              <w:t>33,097</w:t>
            </w:r>
          </w:p>
        </w:tc>
        <w:tc>
          <w:tcPr>
            <w:tcW w:w="381" w:type="dxa"/>
          </w:tcPr>
          <w:p>
            <w:pPr>
              <w:pStyle w:val="TableParagraph"/>
              <w:spacing w:line="172" w:lineRule="exact"/>
              <w:ind w:left="168"/>
              <w:jc w:val="center"/>
              <w:rPr>
                <w:sz w:val="16"/>
              </w:rPr>
            </w:pPr>
            <w:r>
              <w:rPr>
                <w:spacing w:val="-5"/>
                <w:sz w:val="16"/>
              </w:rPr>
              <w:t>14</w:t>
            </w:r>
          </w:p>
        </w:tc>
        <w:tc>
          <w:tcPr>
            <w:tcW w:w="184" w:type="dxa"/>
            <w:tcBorders>
              <w:right w:val="single" w:sz="8" w:space="0" w:color="6C6C6C"/>
            </w:tcBorders>
          </w:tcPr>
          <w:p>
            <w:pPr>
              <w:pStyle w:val="TableParagraph"/>
              <w:spacing w:line="172" w:lineRule="exact"/>
              <w:ind w:left="35" w:right="-15"/>
              <w:rPr>
                <w:sz w:val="16"/>
              </w:rPr>
            </w:pPr>
            <w:r>
              <w:rPr>
                <w:spacing w:val="-10"/>
                <w:sz w:val="16"/>
              </w:rPr>
              <w:t>%</w:t>
            </w:r>
          </w:p>
        </w:tc>
      </w:tr>
      <w:tr>
        <w:trPr>
          <w:trHeight w:val="236" w:hRule="atLeast"/>
        </w:trPr>
        <w:tc>
          <w:tcPr>
            <w:tcW w:w="757" w:type="dxa"/>
            <w:tcBorders>
              <w:left w:val="single" w:sz="8" w:space="0" w:color="6C6C6C"/>
            </w:tcBorders>
          </w:tcPr>
          <w:p>
            <w:pPr>
              <w:pStyle w:val="TableParagraph"/>
              <w:rPr>
                <w:rFonts w:ascii="Times New Roman"/>
                <w:sz w:val="16"/>
              </w:rPr>
            </w:pPr>
          </w:p>
        </w:tc>
        <w:tc>
          <w:tcPr>
            <w:tcW w:w="2338" w:type="dxa"/>
          </w:tcPr>
          <w:p>
            <w:pPr>
              <w:pStyle w:val="TableParagraph"/>
              <w:spacing w:before="25"/>
              <w:ind w:right="205"/>
              <w:jc w:val="right"/>
              <w:rPr>
                <w:sz w:val="16"/>
              </w:rPr>
            </w:pPr>
            <w:r>
              <w:rPr>
                <w:spacing w:val="-2"/>
                <w:sz w:val="16"/>
              </w:rPr>
              <w:t>Variable</w:t>
            </w:r>
          </w:p>
        </w:tc>
        <w:tc>
          <w:tcPr>
            <w:tcW w:w="1530" w:type="dxa"/>
          </w:tcPr>
          <w:p>
            <w:pPr>
              <w:pStyle w:val="TableParagraph"/>
              <w:tabs>
                <w:tab w:pos="1101" w:val="left" w:leader="none"/>
              </w:tabs>
              <w:spacing w:before="25"/>
              <w:ind w:left="348"/>
              <w:rPr>
                <w:sz w:val="16"/>
              </w:rPr>
            </w:pPr>
            <w:r>
              <w:rPr>
                <w:spacing w:val="-2"/>
                <w:sz w:val="16"/>
              </w:rPr>
              <w:t>32,662</w:t>
            </w:r>
            <w:r>
              <w:rPr>
                <w:sz w:val="16"/>
              </w:rPr>
              <w:tab/>
            </w:r>
            <w:r>
              <w:rPr>
                <w:spacing w:val="-5"/>
                <w:sz w:val="16"/>
              </w:rPr>
              <w:t>13</w:t>
            </w:r>
          </w:p>
        </w:tc>
        <w:tc>
          <w:tcPr>
            <w:tcW w:w="779" w:type="dxa"/>
          </w:tcPr>
          <w:p>
            <w:pPr>
              <w:pStyle w:val="TableParagraph"/>
              <w:rPr>
                <w:rFonts w:ascii="Times New Roman"/>
                <w:sz w:val="16"/>
              </w:rPr>
            </w:pPr>
          </w:p>
        </w:tc>
        <w:tc>
          <w:tcPr>
            <w:tcW w:w="2442" w:type="dxa"/>
          </w:tcPr>
          <w:p>
            <w:pPr>
              <w:pStyle w:val="TableParagraph"/>
              <w:spacing w:before="25"/>
              <w:ind w:right="306"/>
              <w:jc w:val="right"/>
              <w:rPr>
                <w:sz w:val="16"/>
              </w:rPr>
            </w:pPr>
            <w:r>
              <w:rPr>
                <w:spacing w:val="-2"/>
                <w:sz w:val="16"/>
              </w:rPr>
              <w:t>Variable</w:t>
            </w:r>
          </w:p>
        </w:tc>
        <w:tc>
          <w:tcPr>
            <w:tcW w:w="860" w:type="dxa"/>
          </w:tcPr>
          <w:p>
            <w:pPr>
              <w:pStyle w:val="TableParagraph"/>
              <w:spacing w:before="25"/>
              <w:ind w:right="76"/>
              <w:jc w:val="right"/>
              <w:rPr>
                <w:sz w:val="16"/>
              </w:rPr>
            </w:pPr>
            <w:r>
              <w:rPr>
                <w:spacing w:val="-2"/>
                <w:sz w:val="16"/>
              </w:rPr>
              <w:t>32,978</w:t>
            </w:r>
          </w:p>
        </w:tc>
        <w:tc>
          <w:tcPr>
            <w:tcW w:w="381" w:type="dxa"/>
          </w:tcPr>
          <w:p>
            <w:pPr>
              <w:pStyle w:val="TableParagraph"/>
              <w:spacing w:before="25"/>
              <w:ind w:left="168"/>
              <w:jc w:val="center"/>
              <w:rPr>
                <w:sz w:val="16"/>
              </w:rPr>
            </w:pPr>
            <w:r>
              <w:rPr>
                <w:spacing w:val="-5"/>
                <w:sz w:val="16"/>
              </w:rPr>
              <w:t>15</w:t>
            </w:r>
          </w:p>
        </w:tc>
        <w:tc>
          <w:tcPr>
            <w:tcW w:w="184" w:type="dxa"/>
            <w:tcBorders>
              <w:right w:val="single" w:sz="8" w:space="0" w:color="6C6C6C"/>
            </w:tcBorders>
          </w:tcPr>
          <w:p>
            <w:pPr>
              <w:pStyle w:val="TableParagraph"/>
              <w:rPr>
                <w:rFonts w:ascii="Times New Roman"/>
                <w:sz w:val="16"/>
              </w:rPr>
            </w:pPr>
          </w:p>
        </w:tc>
      </w:tr>
      <w:tr>
        <w:trPr>
          <w:trHeight w:val="197" w:hRule="atLeast"/>
        </w:trPr>
        <w:tc>
          <w:tcPr>
            <w:tcW w:w="757" w:type="dxa"/>
            <w:tcBorders>
              <w:left w:val="single" w:sz="8" w:space="0" w:color="6C6C6C"/>
            </w:tcBorders>
          </w:tcPr>
          <w:p>
            <w:pPr>
              <w:pStyle w:val="TableParagraph"/>
              <w:spacing w:line="154" w:lineRule="exact" w:before="23"/>
              <w:ind w:left="52"/>
              <w:rPr>
                <w:sz w:val="16"/>
              </w:rPr>
            </w:pPr>
            <w:r>
              <w:rPr>
                <w:spacing w:val="-2"/>
                <w:sz w:val="16"/>
              </w:rPr>
              <w:t>Variable</w:t>
            </w:r>
          </w:p>
        </w:tc>
        <w:tc>
          <w:tcPr>
            <w:tcW w:w="2338" w:type="dxa"/>
          </w:tcPr>
          <w:p>
            <w:pPr>
              <w:pStyle w:val="TableParagraph"/>
              <w:rPr>
                <w:rFonts w:ascii="Times New Roman"/>
                <w:sz w:val="12"/>
              </w:rPr>
            </w:pPr>
          </w:p>
        </w:tc>
        <w:tc>
          <w:tcPr>
            <w:tcW w:w="1530" w:type="dxa"/>
          </w:tcPr>
          <w:p>
            <w:pPr>
              <w:pStyle w:val="TableParagraph"/>
              <w:rPr>
                <w:rFonts w:ascii="Times New Roman"/>
                <w:sz w:val="12"/>
              </w:rPr>
            </w:pPr>
          </w:p>
        </w:tc>
        <w:tc>
          <w:tcPr>
            <w:tcW w:w="779" w:type="dxa"/>
          </w:tcPr>
          <w:p>
            <w:pPr>
              <w:pStyle w:val="TableParagraph"/>
              <w:spacing w:line="155" w:lineRule="exact" w:before="22"/>
              <w:ind w:left="72"/>
              <w:rPr>
                <w:sz w:val="16"/>
              </w:rPr>
            </w:pPr>
            <w:r>
              <w:rPr>
                <w:spacing w:val="-2"/>
                <w:sz w:val="16"/>
              </w:rPr>
              <w:t>Variable</w:t>
            </w:r>
          </w:p>
        </w:tc>
        <w:tc>
          <w:tcPr>
            <w:tcW w:w="2442" w:type="dxa"/>
          </w:tcPr>
          <w:p>
            <w:pPr>
              <w:pStyle w:val="TableParagraph"/>
              <w:rPr>
                <w:rFonts w:ascii="Times New Roman"/>
                <w:sz w:val="12"/>
              </w:rPr>
            </w:pPr>
          </w:p>
        </w:tc>
        <w:tc>
          <w:tcPr>
            <w:tcW w:w="860" w:type="dxa"/>
          </w:tcPr>
          <w:p>
            <w:pPr>
              <w:pStyle w:val="TableParagraph"/>
              <w:rPr>
                <w:rFonts w:ascii="Times New Roman"/>
                <w:sz w:val="12"/>
              </w:rPr>
            </w:pPr>
          </w:p>
        </w:tc>
        <w:tc>
          <w:tcPr>
            <w:tcW w:w="381" w:type="dxa"/>
          </w:tcPr>
          <w:p>
            <w:pPr>
              <w:pStyle w:val="TableParagraph"/>
              <w:rPr>
                <w:rFonts w:ascii="Times New Roman"/>
                <w:sz w:val="12"/>
              </w:rPr>
            </w:pPr>
          </w:p>
        </w:tc>
        <w:tc>
          <w:tcPr>
            <w:tcW w:w="184" w:type="dxa"/>
            <w:tcBorders>
              <w:right w:val="single" w:sz="8" w:space="0" w:color="6C6C6C"/>
            </w:tcBorders>
          </w:tcPr>
          <w:p>
            <w:pPr>
              <w:pStyle w:val="TableParagraph"/>
              <w:rPr>
                <w:rFonts w:ascii="Times New Roman"/>
                <w:sz w:val="12"/>
              </w:rPr>
            </w:pPr>
          </w:p>
        </w:tc>
      </w:tr>
      <w:tr>
        <w:trPr>
          <w:trHeight w:val="360" w:hRule="atLeast"/>
        </w:trPr>
        <w:tc>
          <w:tcPr>
            <w:tcW w:w="757" w:type="dxa"/>
            <w:tcBorders>
              <w:left w:val="single" w:sz="8" w:space="0" w:color="6C6C6C"/>
            </w:tcBorders>
          </w:tcPr>
          <w:p>
            <w:pPr>
              <w:pStyle w:val="TableParagraph"/>
              <w:spacing w:line="208" w:lineRule="auto" w:before="5"/>
              <w:ind w:left="52" w:right="171"/>
              <w:rPr>
                <w:sz w:val="16"/>
              </w:rPr>
            </w:pPr>
            <w:r>
              <w:rPr>
                <w:spacing w:val="-2"/>
                <w:sz w:val="16"/>
              </w:rPr>
              <w:t>Spread Loans</w:t>
            </w:r>
          </w:p>
        </w:tc>
        <w:tc>
          <w:tcPr>
            <w:tcW w:w="2338" w:type="dxa"/>
          </w:tcPr>
          <w:p>
            <w:pPr>
              <w:pStyle w:val="TableParagraph"/>
              <w:tabs>
                <w:tab w:pos="1114" w:val="left" w:leader="none"/>
                <w:tab w:pos="1555" w:val="left" w:leader="none"/>
              </w:tabs>
              <w:spacing w:line="169" w:lineRule="exact"/>
              <w:ind w:left="273"/>
              <w:rPr>
                <w:sz w:val="16"/>
              </w:rPr>
            </w:pPr>
            <w:r>
              <w:rPr>
                <w:spacing w:val="-2"/>
                <w:sz w:val="16"/>
              </w:rPr>
              <w:t>178,556</w:t>
            </w:r>
            <w:r>
              <w:rPr>
                <w:sz w:val="16"/>
              </w:rPr>
              <w:tab/>
            </w:r>
            <w:r>
              <w:rPr>
                <w:spacing w:val="-5"/>
                <w:sz w:val="16"/>
              </w:rPr>
              <w:t>73</w:t>
            </w:r>
            <w:r>
              <w:rPr>
                <w:sz w:val="16"/>
              </w:rPr>
              <w:tab/>
            </w:r>
            <w:r>
              <w:rPr>
                <w:spacing w:val="-4"/>
                <w:sz w:val="16"/>
              </w:rPr>
              <w:t>Fixed</w:t>
            </w:r>
          </w:p>
        </w:tc>
        <w:tc>
          <w:tcPr>
            <w:tcW w:w="1530" w:type="dxa"/>
          </w:tcPr>
          <w:p>
            <w:pPr>
              <w:pStyle w:val="TableParagraph"/>
              <w:tabs>
                <w:tab w:pos="1190" w:val="left" w:leader="none"/>
              </w:tabs>
              <w:spacing w:line="169" w:lineRule="exact"/>
              <w:ind w:left="437"/>
              <w:rPr>
                <w:sz w:val="16"/>
              </w:rPr>
            </w:pPr>
            <w:r>
              <w:rPr>
                <w:spacing w:val="-2"/>
                <w:sz w:val="16"/>
              </w:rPr>
              <w:t>7,770</w:t>
            </w:r>
            <w:r>
              <w:rPr>
                <w:sz w:val="16"/>
              </w:rPr>
              <w:tab/>
            </w:r>
            <w:r>
              <w:rPr>
                <w:spacing w:val="-10"/>
                <w:sz w:val="16"/>
              </w:rPr>
              <w:t>3</w:t>
            </w:r>
          </w:p>
        </w:tc>
        <w:tc>
          <w:tcPr>
            <w:tcW w:w="779" w:type="dxa"/>
          </w:tcPr>
          <w:p>
            <w:pPr>
              <w:pStyle w:val="TableParagraph"/>
              <w:spacing w:line="208" w:lineRule="auto" w:before="4"/>
              <w:ind w:left="72" w:right="183"/>
              <w:rPr>
                <w:sz w:val="16"/>
              </w:rPr>
            </w:pPr>
            <w:r>
              <w:rPr>
                <w:spacing w:val="-2"/>
                <w:sz w:val="16"/>
              </w:rPr>
              <w:t>Spread Loans</w:t>
            </w:r>
          </w:p>
        </w:tc>
        <w:tc>
          <w:tcPr>
            <w:tcW w:w="2442" w:type="dxa"/>
          </w:tcPr>
          <w:p>
            <w:pPr>
              <w:pStyle w:val="TableParagraph"/>
              <w:tabs>
                <w:tab w:pos="1117" w:val="left" w:leader="none"/>
                <w:tab w:pos="1558" w:val="left" w:leader="none"/>
              </w:tabs>
              <w:spacing w:line="169" w:lineRule="exact"/>
              <w:ind w:left="276"/>
              <w:rPr>
                <w:sz w:val="16"/>
              </w:rPr>
            </w:pPr>
            <w:r>
              <w:rPr>
                <w:spacing w:val="-2"/>
                <w:sz w:val="16"/>
              </w:rPr>
              <w:t>163,269</w:t>
            </w:r>
            <w:r>
              <w:rPr>
                <w:sz w:val="16"/>
              </w:rPr>
              <w:tab/>
            </w:r>
            <w:r>
              <w:rPr>
                <w:spacing w:val="-5"/>
                <w:sz w:val="16"/>
              </w:rPr>
              <w:t>71</w:t>
            </w:r>
            <w:r>
              <w:rPr>
                <w:sz w:val="16"/>
              </w:rPr>
              <w:tab/>
            </w:r>
            <w:r>
              <w:rPr>
                <w:spacing w:val="-4"/>
                <w:sz w:val="16"/>
              </w:rPr>
              <w:t>Fixed</w:t>
            </w:r>
          </w:p>
        </w:tc>
        <w:tc>
          <w:tcPr>
            <w:tcW w:w="860" w:type="dxa"/>
          </w:tcPr>
          <w:p>
            <w:pPr>
              <w:pStyle w:val="TableParagraph"/>
              <w:spacing w:line="169" w:lineRule="exact"/>
              <w:ind w:right="76"/>
              <w:jc w:val="right"/>
              <w:rPr>
                <w:sz w:val="16"/>
              </w:rPr>
            </w:pPr>
            <w:r>
              <w:rPr>
                <w:spacing w:val="-2"/>
                <w:sz w:val="16"/>
              </w:rPr>
              <w:t>7,150</w:t>
            </w:r>
          </w:p>
        </w:tc>
        <w:tc>
          <w:tcPr>
            <w:tcW w:w="381" w:type="dxa"/>
          </w:tcPr>
          <w:p>
            <w:pPr>
              <w:pStyle w:val="TableParagraph"/>
              <w:spacing w:line="169" w:lineRule="exact"/>
              <w:ind w:left="257"/>
              <w:jc w:val="center"/>
              <w:rPr>
                <w:sz w:val="16"/>
              </w:rPr>
            </w:pPr>
            <w:r>
              <w:rPr>
                <w:spacing w:val="-10"/>
                <w:sz w:val="16"/>
              </w:rPr>
              <w:t>3</w:t>
            </w:r>
          </w:p>
        </w:tc>
        <w:tc>
          <w:tcPr>
            <w:tcW w:w="184" w:type="dxa"/>
            <w:tcBorders>
              <w:right w:val="single" w:sz="8" w:space="0" w:color="6C6C6C"/>
            </w:tcBorders>
          </w:tcPr>
          <w:p>
            <w:pPr>
              <w:pStyle w:val="TableParagraph"/>
              <w:rPr>
                <w:rFonts w:ascii="Times New Roman"/>
                <w:sz w:val="16"/>
              </w:rPr>
            </w:pPr>
          </w:p>
        </w:tc>
      </w:tr>
      <w:tr>
        <w:trPr>
          <w:trHeight w:val="229" w:hRule="atLeast"/>
        </w:trPr>
        <w:tc>
          <w:tcPr>
            <w:tcW w:w="757" w:type="dxa"/>
            <w:tcBorders>
              <w:left w:val="single" w:sz="8" w:space="0" w:color="6C6C6C"/>
            </w:tcBorders>
          </w:tcPr>
          <w:p>
            <w:pPr>
              <w:pStyle w:val="TableParagraph"/>
              <w:rPr>
                <w:rFonts w:ascii="Times New Roman"/>
                <w:sz w:val="16"/>
              </w:rPr>
            </w:pPr>
          </w:p>
        </w:tc>
        <w:tc>
          <w:tcPr>
            <w:tcW w:w="2338" w:type="dxa"/>
          </w:tcPr>
          <w:p>
            <w:pPr>
              <w:pStyle w:val="TableParagraph"/>
              <w:spacing w:line="184" w:lineRule="exact" w:before="25"/>
              <w:ind w:right="205"/>
              <w:jc w:val="right"/>
              <w:rPr>
                <w:sz w:val="16"/>
              </w:rPr>
            </w:pPr>
            <w:r>
              <w:rPr>
                <w:spacing w:val="-2"/>
                <w:sz w:val="16"/>
              </w:rPr>
              <w:t>Variable</w:t>
            </w:r>
          </w:p>
        </w:tc>
        <w:tc>
          <w:tcPr>
            <w:tcW w:w="1530" w:type="dxa"/>
          </w:tcPr>
          <w:p>
            <w:pPr>
              <w:pStyle w:val="TableParagraph"/>
              <w:tabs>
                <w:tab w:pos="1101" w:val="left" w:leader="none"/>
              </w:tabs>
              <w:spacing w:line="184" w:lineRule="exact" w:before="25"/>
              <w:ind w:left="260"/>
              <w:rPr>
                <w:sz w:val="16"/>
              </w:rPr>
            </w:pPr>
            <w:r>
              <w:rPr>
                <w:spacing w:val="-2"/>
                <w:sz w:val="16"/>
              </w:rPr>
              <w:t>170,786</w:t>
            </w:r>
            <w:r>
              <w:rPr>
                <w:sz w:val="16"/>
              </w:rPr>
              <w:tab/>
            </w:r>
            <w:r>
              <w:rPr>
                <w:spacing w:val="-5"/>
                <w:sz w:val="16"/>
              </w:rPr>
              <w:t>70</w:t>
            </w:r>
          </w:p>
        </w:tc>
        <w:tc>
          <w:tcPr>
            <w:tcW w:w="779" w:type="dxa"/>
          </w:tcPr>
          <w:p>
            <w:pPr>
              <w:pStyle w:val="TableParagraph"/>
              <w:rPr>
                <w:rFonts w:ascii="Times New Roman"/>
                <w:sz w:val="16"/>
              </w:rPr>
            </w:pPr>
          </w:p>
        </w:tc>
        <w:tc>
          <w:tcPr>
            <w:tcW w:w="2442" w:type="dxa"/>
          </w:tcPr>
          <w:p>
            <w:pPr>
              <w:pStyle w:val="TableParagraph"/>
              <w:spacing w:line="184" w:lineRule="exact" w:before="25"/>
              <w:ind w:right="306"/>
              <w:jc w:val="right"/>
              <w:rPr>
                <w:sz w:val="16"/>
              </w:rPr>
            </w:pPr>
            <w:r>
              <w:rPr>
                <w:spacing w:val="-2"/>
                <w:sz w:val="16"/>
              </w:rPr>
              <w:t>Variable</w:t>
            </w:r>
          </w:p>
        </w:tc>
        <w:tc>
          <w:tcPr>
            <w:tcW w:w="860" w:type="dxa"/>
            <w:tcBorders>
              <w:bottom w:val="single" w:sz="8" w:space="0" w:color="6C6C6C"/>
            </w:tcBorders>
          </w:tcPr>
          <w:p>
            <w:pPr>
              <w:pStyle w:val="TableParagraph"/>
              <w:spacing w:line="184" w:lineRule="exact" w:before="25"/>
              <w:ind w:right="76"/>
              <w:jc w:val="right"/>
              <w:rPr>
                <w:sz w:val="16"/>
              </w:rPr>
            </w:pPr>
            <w:r>
              <w:rPr>
                <w:spacing w:val="-2"/>
                <w:sz w:val="16"/>
              </w:rPr>
              <w:t>156,119</w:t>
            </w:r>
          </w:p>
        </w:tc>
        <w:tc>
          <w:tcPr>
            <w:tcW w:w="381" w:type="dxa"/>
            <w:tcBorders>
              <w:bottom w:val="single" w:sz="8" w:space="0" w:color="6C6C6C"/>
            </w:tcBorders>
          </w:tcPr>
          <w:p>
            <w:pPr>
              <w:pStyle w:val="TableParagraph"/>
              <w:spacing w:line="184" w:lineRule="exact" w:before="25"/>
              <w:ind w:left="168"/>
              <w:jc w:val="center"/>
              <w:rPr>
                <w:sz w:val="16"/>
              </w:rPr>
            </w:pPr>
            <w:r>
              <w:rPr>
                <w:spacing w:val="-5"/>
                <w:sz w:val="16"/>
              </w:rPr>
              <w:t>68</w:t>
            </w:r>
          </w:p>
        </w:tc>
        <w:tc>
          <w:tcPr>
            <w:tcW w:w="184" w:type="dxa"/>
            <w:tcBorders>
              <w:bottom w:val="single" w:sz="8" w:space="0" w:color="6C6C6C"/>
              <w:right w:val="single" w:sz="8" w:space="0" w:color="6C6C6C"/>
            </w:tcBorders>
          </w:tcPr>
          <w:p>
            <w:pPr>
              <w:pStyle w:val="TableParagraph"/>
              <w:rPr>
                <w:rFonts w:ascii="Times New Roman"/>
                <w:sz w:val="16"/>
              </w:rPr>
            </w:pPr>
          </w:p>
        </w:tc>
      </w:tr>
      <w:tr>
        <w:trPr>
          <w:trHeight w:val="240" w:hRule="atLeast"/>
        </w:trPr>
        <w:tc>
          <w:tcPr>
            <w:tcW w:w="757" w:type="dxa"/>
            <w:tcBorders>
              <w:left w:val="single" w:sz="8" w:space="0" w:color="6C6C6C"/>
            </w:tcBorders>
          </w:tcPr>
          <w:p>
            <w:pPr>
              <w:pStyle w:val="TableParagraph"/>
              <w:spacing w:before="16"/>
              <w:ind w:left="52"/>
              <w:rPr>
                <w:sz w:val="16"/>
              </w:rPr>
            </w:pPr>
            <w:r>
              <w:rPr>
                <w:spacing w:val="-2"/>
                <w:sz w:val="16"/>
              </w:rPr>
              <w:t>Total</w:t>
            </w:r>
          </w:p>
        </w:tc>
        <w:tc>
          <w:tcPr>
            <w:tcW w:w="2338" w:type="dxa"/>
          </w:tcPr>
          <w:p>
            <w:pPr>
              <w:pStyle w:val="TableParagraph"/>
              <w:spacing w:line="20" w:lineRule="exact"/>
              <w:ind w:left="78"/>
              <w:rPr>
                <w:rFonts w:ascii="Arial"/>
                <w:sz w:val="2"/>
              </w:rPr>
            </w:pPr>
            <w:r>
              <w:rPr>
                <w:rFonts w:ascii="Arial"/>
                <w:sz w:val="2"/>
              </w:rPr>
              <mc:AlternateContent>
                <mc:Choice Requires="wps">
                  <w:drawing>
                    <wp:inline distT="0" distB="0" distL="0" distR="0">
                      <wp:extent cx="904875" cy="12700"/>
                      <wp:effectExtent l="9525" t="0" r="0" b="6350"/>
                      <wp:docPr id="274" name="Group 274"/>
                      <wp:cNvGraphicFramePr>
                        <a:graphicFrameLocks/>
                      </wp:cNvGraphicFramePr>
                      <a:graphic>
                        <a:graphicData uri="http://schemas.microsoft.com/office/word/2010/wordprocessingGroup">
                          <wpg:wgp>
                            <wpg:cNvPr id="274" name="Group 274"/>
                            <wpg:cNvGrpSpPr/>
                            <wpg:grpSpPr>
                              <a:xfrm>
                                <a:off x="0" y="0"/>
                                <a:ext cx="904875" cy="12700"/>
                                <a:chExt cx="904875" cy="12700"/>
                              </a:xfrm>
                            </wpg:grpSpPr>
                            <wps:wsp>
                              <wps:cNvPr id="275" name="Graphic 275"/>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16" coordorigin="0,0" coordsize="1425,20">
                      <v:line style="position:absolute" from="0,10" to="1425,10" stroked="true" strokeweight="1pt" strokecolor="#6c6c6c">
                        <v:stroke dashstyle="solid"/>
                      </v:line>
                    </v:group>
                  </w:pict>
                </mc:Fallback>
              </mc:AlternateContent>
            </w:r>
            <w:r>
              <w:rPr>
                <w:rFonts w:ascii="Arial"/>
                <w:sz w:val="2"/>
              </w:rPr>
            </w:r>
          </w:p>
          <w:p>
            <w:pPr>
              <w:pStyle w:val="TableParagraph"/>
              <w:ind w:left="78"/>
              <w:rPr>
                <w:sz w:val="16"/>
              </w:rPr>
            </w:pPr>
            <w:r>
              <w:rPr>
                <w:spacing w:val="10"/>
                <w:sz w:val="16"/>
                <w:u w:val="single" w:color="6C6C6C"/>
              </w:rPr>
              <w:t> </w:t>
            </w:r>
            <w:r>
              <w:rPr>
                <w:sz w:val="16"/>
                <w:u w:val="single" w:color="6C6C6C"/>
              </w:rPr>
              <w:t>$</w:t>
            </w:r>
            <w:r>
              <w:rPr>
                <w:spacing w:val="-7"/>
                <w:sz w:val="16"/>
                <w:u w:val="single" w:color="6C6C6C"/>
              </w:rPr>
              <w:t> </w:t>
            </w:r>
            <w:r>
              <w:rPr>
                <w:sz w:val="16"/>
                <w:u w:val="single" w:color="6C6C6C"/>
              </w:rPr>
              <w:t>243,896</w:t>
            </w:r>
            <w:r>
              <w:rPr>
                <w:spacing w:val="48"/>
                <w:sz w:val="16"/>
                <w:u w:val="single" w:color="6C6C6C"/>
              </w:rPr>
              <w:t>  </w:t>
            </w:r>
            <w:r>
              <w:rPr>
                <w:sz w:val="16"/>
                <w:u w:val="single" w:color="6C6C6C"/>
              </w:rPr>
              <w:t>100</w:t>
            </w:r>
            <w:r>
              <w:rPr>
                <w:spacing w:val="8"/>
                <w:sz w:val="16"/>
                <w:u w:val="single" w:color="6C6C6C"/>
              </w:rPr>
              <w:t> </w:t>
            </w:r>
            <w:r>
              <w:rPr>
                <w:spacing w:val="-10"/>
                <w:sz w:val="16"/>
                <w:u w:val="single" w:color="6C6C6C"/>
              </w:rPr>
              <w:t>%</w:t>
            </w:r>
          </w:p>
        </w:tc>
        <w:tc>
          <w:tcPr>
            <w:tcW w:w="1530" w:type="dxa"/>
          </w:tcPr>
          <w:p>
            <w:pPr>
              <w:pStyle w:val="TableParagraph"/>
              <w:spacing w:line="20" w:lineRule="exact"/>
              <w:ind w:left="65" w:right="-29"/>
              <w:rPr>
                <w:rFonts w:ascii="Arial"/>
                <w:sz w:val="2"/>
              </w:rPr>
            </w:pPr>
            <w:r>
              <w:rPr>
                <w:rFonts w:ascii="Arial"/>
                <w:sz w:val="2"/>
              </w:rPr>
              <mc:AlternateContent>
                <mc:Choice Requires="wps">
                  <w:drawing>
                    <wp:inline distT="0" distB="0" distL="0" distR="0">
                      <wp:extent cx="904875" cy="12700"/>
                      <wp:effectExtent l="9525" t="0" r="0" b="6350"/>
                      <wp:docPr id="276" name="Group 276"/>
                      <wp:cNvGraphicFramePr>
                        <a:graphicFrameLocks/>
                      </wp:cNvGraphicFramePr>
                      <a:graphic>
                        <a:graphicData uri="http://schemas.microsoft.com/office/word/2010/wordprocessingGroup">
                          <wpg:wgp>
                            <wpg:cNvPr id="276" name="Group 276"/>
                            <wpg:cNvGrpSpPr/>
                            <wpg:grpSpPr>
                              <a:xfrm>
                                <a:off x="0" y="0"/>
                                <a:ext cx="904875" cy="12700"/>
                                <a:chExt cx="904875" cy="12700"/>
                              </a:xfrm>
                            </wpg:grpSpPr>
                            <wps:wsp>
                              <wps:cNvPr id="277" name="Graphic 277"/>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17" coordorigin="0,0" coordsize="1425,20">
                      <v:line style="position:absolute" from="0,10" to="1425,10" stroked="true" strokeweight="1pt" strokecolor="#6c6c6c">
                        <v:stroke dashstyle="solid"/>
                      </v:line>
                    </v:group>
                  </w:pict>
                </mc:Fallback>
              </mc:AlternateContent>
            </w:r>
            <w:r>
              <w:rPr>
                <w:rFonts w:ascii="Arial"/>
                <w:sz w:val="2"/>
              </w:rPr>
            </w:r>
          </w:p>
          <w:p>
            <w:pPr>
              <w:pStyle w:val="TableParagraph"/>
              <w:ind w:right="53"/>
              <w:jc w:val="right"/>
              <w:rPr>
                <w:sz w:val="16"/>
              </w:rPr>
            </w:pPr>
            <w:r>
              <w:rPr>
                <w:spacing w:val="10"/>
                <w:sz w:val="16"/>
                <w:u w:val="single" w:color="6C6C6C"/>
              </w:rPr>
              <w:t> </w:t>
            </w:r>
            <w:r>
              <w:rPr>
                <w:sz w:val="16"/>
                <w:u w:val="single" w:color="6C6C6C"/>
              </w:rPr>
              <w:t>$</w:t>
            </w:r>
            <w:r>
              <w:rPr>
                <w:spacing w:val="-7"/>
                <w:sz w:val="16"/>
                <w:u w:val="single" w:color="6C6C6C"/>
              </w:rPr>
              <w:t> </w:t>
            </w:r>
            <w:r>
              <w:rPr>
                <w:sz w:val="16"/>
                <w:u w:val="single" w:color="6C6C6C"/>
              </w:rPr>
              <w:t>243,896</w:t>
            </w:r>
            <w:r>
              <w:rPr>
                <w:spacing w:val="48"/>
                <w:sz w:val="16"/>
                <w:u w:val="single" w:color="6C6C6C"/>
              </w:rPr>
              <w:t>  </w:t>
            </w:r>
            <w:r>
              <w:rPr>
                <w:sz w:val="16"/>
                <w:u w:val="single" w:color="6C6C6C"/>
              </w:rPr>
              <w:t>100</w:t>
            </w:r>
            <w:r>
              <w:rPr>
                <w:spacing w:val="8"/>
                <w:sz w:val="16"/>
                <w:u w:val="single" w:color="6C6C6C"/>
              </w:rPr>
              <w:t> </w:t>
            </w:r>
            <w:r>
              <w:rPr>
                <w:spacing w:val="-10"/>
                <w:sz w:val="16"/>
                <w:u w:val="single" w:color="6C6C6C"/>
              </w:rPr>
              <w:t>%</w:t>
            </w:r>
          </w:p>
        </w:tc>
        <w:tc>
          <w:tcPr>
            <w:tcW w:w="779" w:type="dxa"/>
          </w:tcPr>
          <w:p>
            <w:pPr>
              <w:pStyle w:val="TableParagraph"/>
              <w:rPr>
                <w:rFonts w:ascii="Times New Roman"/>
                <w:sz w:val="16"/>
              </w:rPr>
            </w:pPr>
          </w:p>
        </w:tc>
        <w:tc>
          <w:tcPr>
            <w:tcW w:w="2442" w:type="dxa"/>
          </w:tcPr>
          <w:p>
            <w:pPr>
              <w:pStyle w:val="TableParagraph"/>
              <w:spacing w:line="20" w:lineRule="exact"/>
              <w:ind w:left="81"/>
              <w:rPr>
                <w:rFonts w:ascii="Arial"/>
                <w:sz w:val="2"/>
              </w:rPr>
            </w:pPr>
            <w:r>
              <w:rPr>
                <w:rFonts w:ascii="Arial"/>
                <w:sz w:val="2"/>
              </w:rPr>
              <mc:AlternateContent>
                <mc:Choice Requires="wps">
                  <w:drawing>
                    <wp:inline distT="0" distB="0" distL="0" distR="0">
                      <wp:extent cx="904875" cy="12700"/>
                      <wp:effectExtent l="9525" t="0" r="0" b="6350"/>
                      <wp:docPr id="278" name="Group 278"/>
                      <wp:cNvGraphicFramePr>
                        <a:graphicFrameLocks/>
                      </wp:cNvGraphicFramePr>
                      <a:graphic>
                        <a:graphicData uri="http://schemas.microsoft.com/office/word/2010/wordprocessingGroup">
                          <wpg:wgp>
                            <wpg:cNvPr id="278" name="Group 278"/>
                            <wpg:cNvGrpSpPr/>
                            <wpg:grpSpPr>
                              <a:xfrm>
                                <a:off x="0" y="0"/>
                                <a:ext cx="904875" cy="12700"/>
                                <a:chExt cx="904875" cy="12700"/>
                              </a:xfrm>
                            </wpg:grpSpPr>
                            <wps:wsp>
                              <wps:cNvPr id="279" name="Graphic 279"/>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18" coordorigin="0,0" coordsize="1425,20">
                      <v:line style="position:absolute" from="0,10" to="1425,10" stroked="true" strokeweight="1pt" strokecolor="#6c6c6c">
                        <v:stroke dashstyle="solid"/>
                      </v:line>
                    </v:group>
                  </w:pict>
                </mc:Fallback>
              </mc:AlternateContent>
            </w:r>
            <w:r>
              <w:rPr>
                <w:rFonts w:ascii="Arial"/>
                <w:sz w:val="2"/>
              </w:rPr>
            </w:r>
          </w:p>
          <w:p>
            <w:pPr>
              <w:pStyle w:val="TableParagraph"/>
              <w:ind w:left="81"/>
              <w:rPr>
                <w:sz w:val="16"/>
              </w:rPr>
            </w:pPr>
            <w:r>
              <w:rPr>
                <w:spacing w:val="10"/>
                <w:sz w:val="16"/>
                <w:u w:val="single" w:color="6C6C6C"/>
              </w:rPr>
              <w:t> </w:t>
            </w:r>
            <w:r>
              <w:rPr>
                <w:sz w:val="16"/>
                <w:u w:val="single" w:color="6C6C6C"/>
              </w:rPr>
              <w:t>$</w:t>
            </w:r>
            <w:r>
              <w:rPr>
                <w:spacing w:val="-7"/>
                <w:sz w:val="16"/>
                <w:u w:val="single" w:color="6C6C6C"/>
              </w:rPr>
              <w:t> </w:t>
            </w:r>
            <w:r>
              <w:rPr>
                <w:sz w:val="16"/>
                <w:u w:val="single" w:color="6C6C6C"/>
              </w:rPr>
              <w:t>229,344</w:t>
            </w:r>
            <w:r>
              <w:rPr>
                <w:spacing w:val="48"/>
                <w:sz w:val="16"/>
                <w:u w:val="single" w:color="6C6C6C"/>
              </w:rPr>
              <w:t>  </w:t>
            </w:r>
            <w:r>
              <w:rPr>
                <w:sz w:val="16"/>
                <w:u w:val="single" w:color="6C6C6C"/>
              </w:rPr>
              <w:t>100</w:t>
            </w:r>
            <w:r>
              <w:rPr>
                <w:spacing w:val="8"/>
                <w:sz w:val="16"/>
                <w:u w:val="single" w:color="6C6C6C"/>
              </w:rPr>
              <w:t> </w:t>
            </w:r>
            <w:r>
              <w:rPr>
                <w:spacing w:val="-10"/>
                <w:sz w:val="16"/>
                <w:u w:val="single" w:color="6C6C6C"/>
              </w:rPr>
              <w:t>%</w:t>
            </w:r>
          </w:p>
        </w:tc>
        <w:tc>
          <w:tcPr>
            <w:tcW w:w="1425" w:type="dxa"/>
            <w:gridSpan w:val="3"/>
            <w:tcBorders>
              <w:top w:val="single" w:sz="8" w:space="0" w:color="6C6C6C"/>
              <w:bottom w:val="single" w:sz="8" w:space="0" w:color="6C6C6C"/>
              <w:right w:val="single" w:sz="8" w:space="0" w:color="6C6C6C"/>
            </w:tcBorders>
          </w:tcPr>
          <w:p>
            <w:pPr>
              <w:pStyle w:val="TableParagraph"/>
              <w:spacing w:before="16"/>
              <w:ind w:left="9" w:right="-15"/>
              <w:rPr>
                <w:sz w:val="16"/>
              </w:rPr>
            </w:pPr>
            <w:r>
              <w:rPr>
                <w:spacing w:val="10"/>
                <w:sz w:val="16"/>
                <w:u w:val="single" w:color="6C6C6C"/>
              </w:rPr>
              <w:t> </w:t>
            </w:r>
            <w:r>
              <w:rPr>
                <w:sz w:val="16"/>
                <w:u w:val="single" w:color="6C6C6C"/>
              </w:rPr>
              <w:t>$</w:t>
            </w:r>
            <w:r>
              <w:rPr>
                <w:spacing w:val="-7"/>
                <w:sz w:val="16"/>
                <w:u w:val="single" w:color="6C6C6C"/>
              </w:rPr>
              <w:t> </w:t>
            </w:r>
            <w:r>
              <w:rPr>
                <w:sz w:val="16"/>
                <w:u w:val="single" w:color="6C6C6C"/>
              </w:rPr>
              <w:t>229,344</w:t>
            </w:r>
            <w:r>
              <w:rPr>
                <w:spacing w:val="48"/>
                <w:sz w:val="16"/>
                <w:u w:val="single" w:color="6C6C6C"/>
              </w:rPr>
              <w:t>  </w:t>
            </w:r>
            <w:r>
              <w:rPr>
                <w:sz w:val="16"/>
                <w:u w:val="single" w:color="6C6C6C"/>
              </w:rPr>
              <w:t>100</w:t>
            </w:r>
            <w:r>
              <w:rPr>
                <w:spacing w:val="8"/>
                <w:sz w:val="16"/>
                <w:u w:val="single" w:color="6C6C6C"/>
              </w:rPr>
              <w:t> </w:t>
            </w:r>
            <w:r>
              <w:rPr>
                <w:spacing w:val="-10"/>
                <w:sz w:val="16"/>
                <w:u w:val="single" w:color="6C6C6C"/>
              </w:rPr>
              <w:t>%</w:t>
            </w:r>
          </w:p>
        </w:tc>
      </w:tr>
      <w:tr>
        <w:trPr>
          <w:trHeight w:val="200" w:hRule="atLeast"/>
        </w:trPr>
        <w:tc>
          <w:tcPr>
            <w:tcW w:w="757" w:type="dxa"/>
            <w:tcBorders>
              <w:left w:val="single" w:sz="8" w:space="0" w:color="6C6C6C"/>
              <w:bottom w:val="single" w:sz="8" w:space="0" w:color="6C6C6C"/>
            </w:tcBorders>
          </w:tcPr>
          <w:p>
            <w:pPr>
              <w:pStyle w:val="TableParagraph"/>
              <w:rPr>
                <w:rFonts w:ascii="Times New Roman"/>
                <w:sz w:val="12"/>
              </w:rPr>
            </w:pPr>
          </w:p>
        </w:tc>
        <w:tc>
          <w:tcPr>
            <w:tcW w:w="2338" w:type="dxa"/>
            <w:tcBorders>
              <w:bottom w:val="single" w:sz="8" w:space="0" w:color="6C6C6C"/>
            </w:tcBorders>
          </w:tcPr>
          <w:p>
            <w:pPr>
              <w:pStyle w:val="TableParagraph"/>
              <w:spacing w:line="20" w:lineRule="exact"/>
              <w:ind w:left="78"/>
              <w:rPr>
                <w:rFonts w:ascii="Arial"/>
                <w:sz w:val="2"/>
              </w:rPr>
            </w:pPr>
            <w:r>
              <w:rPr>
                <w:rFonts w:ascii="Arial"/>
                <w:sz w:val="2"/>
              </w:rPr>
              <mc:AlternateContent>
                <mc:Choice Requires="wps">
                  <w:drawing>
                    <wp:inline distT="0" distB="0" distL="0" distR="0">
                      <wp:extent cx="904875" cy="12700"/>
                      <wp:effectExtent l="9525" t="0" r="0" b="6350"/>
                      <wp:docPr id="280" name="Group 280"/>
                      <wp:cNvGraphicFramePr>
                        <a:graphicFrameLocks/>
                      </wp:cNvGraphicFramePr>
                      <a:graphic>
                        <a:graphicData uri="http://schemas.microsoft.com/office/word/2010/wordprocessingGroup">
                          <wpg:wgp>
                            <wpg:cNvPr id="280" name="Group 280"/>
                            <wpg:cNvGrpSpPr/>
                            <wpg:grpSpPr>
                              <a:xfrm>
                                <a:off x="0" y="0"/>
                                <a:ext cx="904875" cy="12700"/>
                                <a:chExt cx="904875" cy="12700"/>
                              </a:xfrm>
                            </wpg:grpSpPr>
                            <wps:wsp>
                              <wps:cNvPr id="281" name="Graphic 281"/>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19" coordorigin="0,0" coordsize="1425,20">
                      <v:line style="position:absolute" from="0,10" to="1425,10" stroked="true" strokeweight="1pt" strokecolor="#6c6c6c">
                        <v:stroke dashstyle="solid"/>
                      </v:line>
                    </v:group>
                  </w:pict>
                </mc:Fallback>
              </mc:AlternateContent>
            </w:r>
            <w:r>
              <w:rPr>
                <w:rFonts w:ascii="Arial"/>
                <w:sz w:val="2"/>
              </w:rPr>
            </w:r>
          </w:p>
        </w:tc>
        <w:tc>
          <w:tcPr>
            <w:tcW w:w="1530" w:type="dxa"/>
            <w:tcBorders>
              <w:bottom w:val="single" w:sz="8" w:space="0" w:color="6C6C6C"/>
            </w:tcBorders>
          </w:tcPr>
          <w:p>
            <w:pPr>
              <w:pStyle w:val="TableParagraph"/>
              <w:spacing w:line="20" w:lineRule="exact"/>
              <w:ind w:left="65" w:right="-29"/>
              <w:rPr>
                <w:rFonts w:ascii="Arial"/>
                <w:sz w:val="2"/>
              </w:rPr>
            </w:pPr>
            <w:r>
              <w:rPr>
                <w:rFonts w:ascii="Arial"/>
                <w:sz w:val="2"/>
              </w:rPr>
              <mc:AlternateContent>
                <mc:Choice Requires="wps">
                  <w:drawing>
                    <wp:inline distT="0" distB="0" distL="0" distR="0">
                      <wp:extent cx="904875" cy="12700"/>
                      <wp:effectExtent l="9525" t="0" r="0" b="6350"/>
                      <wp:docPr id="282" name="Group 282"/>
                      <wp:cNvGraphicFramePr>
                        <a:graphicFrameLocks/>
                      </wp:cNvGraphicFramePr>
                      <a:graphic>
                        <a:graphicData uri="http://schemas.microsoft.com/office/word/2010/wordprocessingGroup">
                          <wpg:wgp>
                            <wpg:cNvPr id="282" name="Group 282"/>
                            <wpg:cNvGrpSpPr/>
                            <wpg:grpSpPr>
                              <a:xfrm>
                                <a:off x="0" y="0"/>
                                <a:ext cx="904875" cy="12700"/>
                                <a:chExt cx="904875" cy="12700"/>
                              </a:xfrm>
                            </wpg:grpSpPr>
                            <wps:wsp>
                              <wps:cNvPr id="283" name="Graphic 283"/>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20" coordorigin="0,0" coordsize="1425,20">
                      <v:line style="position:absolute" from="0,10" to="1425,10" stroked="true" strokeweight="1pt" strokecolor="#6c6c6c">
                        <v:stroke dashstyle="solid"/>
                      </v:line>
                    </v:group>
                  </w:pict>
                </mc:Fallback>
              </mc:AlternateContent>
            </w:r>
            <w:r>
              <w:rPr>
                <w:rFonts w:ascii="Arial"/>
                <w:sz w:val="2"/>
              </w:rPr>
            </w:r>
          </w:p>
        </w:tc>
        <w:tc>
          <w:tcPr>
            <w:tcW w:w="779" w:type="dxa"/>
            <w:tcBorders>
              <w:bottom w:val="single" w:sz="8" w:space="0" w:color="6C6C6C"/>
            </w:tcBorders>
          </w:tcPr>
          <w:p>
            <w:pPr>
              <w:pStyle w:val="TableParagraph"/>
              <w:rPr>
                <w:rFonts w:ascii="Times New Roman"/>
                <w:sz w:val="12"/>
              </w:rPr>
            </w:pPr>
          </w:p>
        </w:tc>
        <w:tc>
          <w:tcPr>
            <w:tcW w:w="2442" w:type="dxa"/>
            <w:tcBorders>
              <w:bottom w:val="single" w:sz="8" w:space="0" w:color="6C6C6C"/>
            </w:tcBorders>
          </w:tcPr>
          <w:p>
            <w:pPr>
              <w:pStyle w:val="TableParagraph"/>
              <w:spacing w:line="20" w:lineRule="exact"/>
              <w:ind w:left="81"/>
              <w:rPr>
                <w:rFonts w:ascii="Arial"/>
                <w:sz w:val="2"/>
              </w:rPr>
            </w:pPr>
            <w:r>
              <w:rPr>
                <w:rFonts w:ascii="Arial"/>
                <w:sz w:val="2"/>
              </w:rPr>
              <mc:AlternateContent>
                <mc:Choice Requires="wps">
                  <w:drawing>
                    <wp:inline distT="0" distB="0" distL="0" distR="0">
                      <wp:extent cx="904875" cy="12700"/>
                      <wp:effectExtent l="9525" t="0" r="0" b="6350"/>
                      <wp:docPr id="284" name="Group 284"/>
                      <wp:cNvGraphicFramePr>
                        <a:graphicFrameLocks/>
                      </wp:cNvGraphicFramePr>
                      <a:graphic>
                        <a:graphicData uri="http://schemas.microsoft.com/office/word/2010/wordprocessingGroup">
                          <wpg:wgp>
                            <wpg:cNvPr id="284" name="Group 284"/>
                            <wpg:cNvGrpSpPr/>
                            <wpg:grpSpPr>
                              <a:xfrm>
                                <a:off x="0" y="0"/>
                                <a:ext cx="904875" cy="12700"/>
                                <a:chExt cx="904875" cy="12700"/>
                              </a:xfrm>
                            </wpg:grpSpPr>
                            <wps:wsp>
                              <wps:cNvPr id="285" name="Graphic 285"/>
                              <wps:cNvSpPr/>
                              <wps:spPr>
                                <a:xfrm>
                                  <a:off x="0" y="6350"/>
                                  <a:ext cx="904875" cy="1270"/>
                                </a:xfrm>
                                <a:custGeom>
                                  <a:avLst/>
                                  <a:gdLst/>
                                  <a:ahLst/>
                                  <a:cxnLst/>
                                  <a:rect l="l" t="t" r="r" b="b"/>
                                  <a:pathLst>
                                    <a:path w="904875" h="0">
                                      <a:moveTo>
                                        <a:pt x="0" y="0"/>
                                      </a:moveTo>
                                      <a:lnTo>
                                        <a:pt x="904875"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71.25pt;height:1pt;mso-position-horizontal-relative:char;mso-position-vertical-relative:line" id="docshapegroup221" coordorigin="0,0" coordsize="1425,20">
                      <v:line style="position:absolute" from="0,10" to="1425,10" stroked="true" strokeweight="1pt" strokecolor="#6c6c6c">
                        <v:stroke dashstyle="solid"/>
                      </v:line>
                    </v:group>
                  </w:pict>
                </mc:Fallback>
              </mc:AlternateContent>
            </w:r>
            <w:r>
              <w:rPr>
                <w:rFonts w:ascii="Arial"/>
                <w:sz w:val="2"/>
              </w:rPr>
            </w:r>
          </w:p>
        </w:tc>
        <w:tc>
          <w:tcPr>
            <w:tcW w:w="1425" w:type="dxa"/>
            <w:gridSpan w:val="3"/>
            <w:tcBorders>
              <w:top w:val="single" w:sz="8" w:space="0" w:color="6C6C6C"/>
              <w:bottom w:val="single" w:sz="8" w:space="0" w:color="6C6C6C"/>
              <w:right w:val="single" w:sz="8" w:space="0" w:color="6C6C6C"/>
            </w:tcBorders>
          </w:tcPr>
          <w:p>
            <w:pPr>
              <w:pStyle w:val="TableParagraph"/>
              <w:rPr>
                <w:rFonts w:ascii="Times New Roman"/>
                <w:sz w:val="12"/>
              </w:rPr>
            </w:pPr>
          </w:p>
        </w:tc>
      </w:tr>
    </w:tbl>
    <w:p>
      <w:pPr>
        <w:pStyle w:val="BodyText"/>
        <w:spacing w:before="111"/>
        <w:rPr>
          <w:rFonts w:ascii="Arial"/>
          <w:i/>
          <w:sz w:val="16"/>
        </w:rPr>
      </w:pPr>
    </w:p>
    <w:p>
      <w:pPr>
        <w:spacing w:before="0"/>
        <w:ind w:left="720" w:right="0" w:firstLine="0"/>
        <w:jc w:val="left"/>
        <w:rPr>
          <w:rFonts w:ascii="Arial"/>
          <w:b/>
          <w:sz w:val="18"/>
        </w:rPr>
      </w:pPr>
      <w:bookmarkStart w:name="_bookmark36" w:id="55"/>
      <w:bookmarkEnd w:id="55"/>
      <w:r>
        <w:rPr/>
      </w:r>
      <w:r>
        <w:rPr>
          <w:rFonts w:ascii="Arial"/>
          <w:b/>
          <w:sz w:val="18"/>
        </w:rPr>
        <w:t>Figure</w:t>
      </w:r>
      <w:r>
        <w:rPr>
          <w:rFonts w:ascii="Arial"/>
          <w:b/>
          <w:spacing w:val="-2"/>
          <w:sz w:val="18"/>
        </w:rPr>
        <w:t> </w:t>
      </w:r>
      <w:r>
        <w:rPr>
          <w:rFonts w:ascii="Arial"/>
          <w:b/>
          <w:sz w:val="18"/>
        </w:rPr>
        <w:t>12:</w:t>
      </w:r>
      <w:r>
        <w:rPr>
          <w:rFonts w:ascii="Arial"/>
          <w:b/>
          <w:spacing w:val="-1"/>
          <w:sz w:val="18"/>
        </w:rPr>
        <w:t> </w:t>
      </w:r>
      <w:r>
        <w:rPr>
          <w:rFonts w:ascii="Arial"/>
          <w:b/>
          <w:sz w:val="18"/>
        </w:rPr>
        <w:t>Loan</w:t>
      </w:r>
      <w:r>
        <w:rPr>
          <w:rFonts w:ascii="Arial"/>
          <w:b/>
          <w:spacing w:val="-1"/>
          <w:sz w:val="18"/>
        </w:rPr>
        <w:t> </w:t>
      </w:r>
      <w:r>
        <w:rPr>
          <w:rFonts w:ascii="Arial"/>
          <w:b/>
          <w:spacing w:val="-2"/>
          <w:sz w:val="18"/>
        </w:rPr>
        <w:t>Portfolio</w:t>
      </w:r>
    </w:p>
    <w:p>
      <w:pPr>
        <w:spacing w:before="201"/>
        <w:ind w:left="720" w:right="0" w:firstLine="0"/>
        <w:jc w:val="left"/>
        <w:rPr>
          <w:rFonts w:ascii="Arial"/>
          <w:b/>
          <w:sz w:val="18"/>
        </w:rPr>
      </w:pPr>
      <w:r>
        <w:rPr>
          <w:rFonts w:ascii="Arial"/>
          <w:b/>
          <w:sz w:val="18"/>
        </w:rPr>
        <w:t>Figure</w:t>
      </w:r>
      <w:r>
        <w:rPr>
          <w:rFonts w:ascii="Arial"/>
          <w:b/>
          <w:spacing w:val="-3"/>
          <w:sz w:val="18"/>
        </w:rPr>
        <w:t> </w:t>
      </w:r>
      <w:r>
        <w:rPr>
          <w:rFonts w:ascii="Arial"/>
          <w:b/>
          <w:sz w:val="18"/>
        </w:rPr>
        <w:t>12a:</w:t>
      </w:r>
      <w:r>
        <w:rPr>
          <w:rFonts w:ascii="Arial"/>
          <w:b/>
          <w:spacing w:val="-2"/>
          <w:sz w:val="18"/>
        </w:rPr>
        <w:t> </w:t>
      </w:r>
      <w:r>
        <w:rPr>
          <w:rFonts w:ascii="Arial"/>
          <w:b/>
          <w:sz w:val="18"/>
        </w:rPr>
        <w:t>Undisbursed</w:t>
      </w:r>
      <w:r>
        <w:rPr>
          <w:rFonts w:ascii="Arial"/>
          <w:b/>
          <w:spacing w:val="-3"/>
          <w:sz w:val="18"/>
        </w:rPr>
        <w:t> </w:t>
      </w:r>
      <w:r>
        <w:rPr>
          <w:rFonts w:ascii="Arial"/>
          <w:b/>
          <w:sz w:val="18"/>
        </w:rPr>
        <w:t>Balances</w:t>
      </w:r>
      <w:r>
        <w:rPr>
          <w:rFonts w:ascii="Arial"/>
          <w:b/>
          <w:spacing w:val="-2"/>
          <w:sz w:val="18"/>
        </w:rPr>
        <w:t> </w:t>
      </w:r>
      <w:r>
        <w:rPr>
          <w:rFonts w:ascii="Arial"/>
          <w:b/>
          <w:sz w:val="18"/>
        </w:rPr>
        <w:t>by</w:t>
      </w:r>
      <w:r>
        <w:rPr>
          <w:rFonts w:ascii="Arial"/>
          <w:b/>
          <w:spacing w:val="-3"/>
          <w:sz w:val="18"/>
        </w:rPr>
        <w:t> </w:t>
      </w:r>
      <w:r>
        <w:rPr>
          <w:rFonts w:ascii="Arial"/>
          <w:b/>
          <w:sz w:val="18"/>
        </w:rPr>
        <w:t>Loan</w:t>
      </w:r>
      <w:r>
        <w:rPr>
          <w:rFonts w:ascii="Arial"/>
          <w:b/>
          <w:spacing w:val="-2"/>
          <w:sz w:val="18"/>
        </w:rPr>
        <w:t> </w:t>
      </w:r>
      <w:r>
        <w:rPr>
          <w:rFonts w:ascii="Arial"/>
          <w:b/>
          <w:spacing w:val="-4"/>
          <w:sz w:val="18"/>
        </w:rPr>
        <w:t>Terms</w:t>
      </w:r>
    </w:p>
    <w:p>
      <w:pPr>
        <w:spacing w:before="13"/>
        <w:ind w:left="720"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for</w:t>
      </w:r>
      <w:r>
        <w:rPr>
          <w:rFonts w:ascii="Arial"/>
          <w:i/>
          <w:spacing w:val="-2"/>
          <w:sz w:val="16"/>
        </w:rPr>
        <w:t> ratios</w:t>
      </w:r>
    </w:p>
    <w:p>
      <w:pPr>
        <w:pStyle w:val="BodyText"/>
        <w:spacing w:before="100"/>
        <w:rPr>
          <w:rFonts w:ascii="Arial"/>
          <w:i/>
        </w:rPr>
      </w:pPr>
      <w:r>
        <w:rPr>
          <w:rFonts w:ascii="Arial"/>
          <w:i/>
        </w:rPr>
        <mc:AlternateContent>
          <mc:Choice Requires="wps">
            <w:drawing>
              <wp:anchor distT="0" distB="0" distL="0" distR="0" allowOverlap="1" layoutInCell="1" locked="0" behindDoc="1" simplePos="0" relativeHeight="487636992">
                <wp:simplePos x="0" y="0"/>
                <wp:positionH relativeFrom="page">
                  <wp:posOffset>914400</wp:posOffset>
                </wp:positionH>
                <wp:positionV relativeFrom="paragraph">
                  <wp:posOffset>224832</wp:posOffset>
                </wp:positionV>
                <wp:extent cx="2905125" cy="1905000"/>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2905125" cy="1905000"/>
                          <a:chExt cx="2905125" cy="1905000"/>
                        </a:xfrm>
                      </wpg:grpSpPr>
                      <wps:wsp>
                        <wps:cNvPr id="287" name="Graphic 287"/>
                        <wps:cNvSpPr/>
                        <wps:spPr>
                          <a:xfrm>
                            <a:off x="755009" y="568095"/>
                            <a:ext cx="425450" cy="518159"/>
                          </a:xfrm>
                          <a:custGeom>
                            <a:avLst/>
                            <a:gdLst/>
                            <a:ahLst/>
                            <a:cxnLst/>
                            <a:rect l="l" t="t" r="r" b="b"/>
                            <a:pathLst>
                              <a:path w="425450" h="518159">
                                <a:moveTo>
                                  <a:pt x="148409" y="0"/>
                                </a:moveTo>
                                <a:lnTo>
                                  <a:pt x="118746" y="40991"/>
                                </a:lnTo>
                                <a:lnTo>
                                  <a:pt x="92257" y="83755"/>
                                </a:lnTo>
                                <a:lnTo>
                                  <a:pt x="68993" y="128107"/>
                                </a:lnTo>
                                <a:lnTo>
                                  <a:pt x="49006" y="173862"/>
                                </a:lnTo>
                                <a:lnTo>
                                  <a:pt x="32345" y="220835"/>
                                </a:lnTo>
                                <a:lnTo>
                                  <a:pt x="19064" y="268843"/>
                                </a:lnTo>
                                <a:lnTo>
                                  <a:pt x="9211" y="317700"/>
                                </a:lnTo>
                                <a:lnTo>
                                  <a:pt x="2840" y="367222"/>
                                </a:lnTo>
                                <a:lnTo>
                                  <a:pt x="0" y="417224"/>
                                </a:lnTo>
                                <a:lnTo>
                                  <a:pt x="742" y="467522"/>
                                </a:lnTo>
                                <a:lnTo>
                                  <a:pt x="5118" y="517931"/>
                                </a:lnTo>
                                <a:lnTo>
                                  <a:pt x="353717" y="474981"/>
                                </a:lnTo>
                                <a:lnTo>
                                  <a:pt x="351094" y="428811"/>
                                </a:lnTo>
                                <a:lnTo>
                                  <a:pt x="354507" y="383086"/>
                                </a:lnTo>
                                <a:lnTo>
                                  <a:pt x="363797" y="338375"/>
                                </a:lnTo>
                                <a:lnTo>
                                  <a:pt x="378808" y="295247"/>
                                </a:lnTo>
                                <a:lnTo>
                                  <a:pt x="399382" y="254271"/>
                                </a:lnTo>
                                <a:lnTo>
                                  <a:pt x="425363" y="216014"/>
                                </a:lnTo>
                                <a:lnTo>
                                  <a:pt x="148409" y="0"/>
                                </a:lnTo>
                                <a:close/>
                              </a:path>
                            </a:pathLst>
                          </a:custGeom>
                          <a:solidFill>
                            <a:srgbClr val="494949"/>
                          </a:solidFill>
                        </wps:spPr>
                        <wps:bodyPr wrap="square" lIns="0" tIns="0" rIns="0" bIns="0" rtlCol="0">
                          <a:prstTxWarp prst="textNoShape">
                            <a:avLst/>
                          </a:prstTxWarp>
                          <a:noAutofit/>
                        </wps:bodyPr>
                      </wps:wsp>
                      <wps:wsp>
                        <wps:cNvPr id="288" name="Graphic 288"/>
                        <wps:cNvSpPr/>
                        <wps:spPr>
                          <a:xfrm>
                            <a:off x="760144" y="297614"/>
                            <a:ext cx="1400175" cy="1405255"/>
                          </a:xfrm>
                          <a:custGeom>
                            <a:avLst/>
                            <a:gdLst/>
                            <a:ahLst/>
                            <a:cxnLst/>
                            <a:rect l="l" t="t" r="r" b="b"/>
                            <a:pathLst>
                              <a:path w="1400175" h="1405255">
                                <a:moveTo>
                                  <a:pt x="700755" y="0"/>
                                </a:moveTo>
                                <a:lnTo>
                                  <a:pt x="655452" y="1252"/>
                                </a:lnTo>
                                <a:lnTo>
                                  <a:pt x="610422" y="5408"/>
                                </a:lnTo>
                                <a:lnTo>
                                  <a:pt x="565806" y="12434"/>
                                </a:lnTo>
                                <a:lnTo>
                                  <a:pt x="521750" y="22298"/>
                                </a:lnTo>
                                <a:lnTo>
                                  <a:pt x="478399" y="34968"/>
                                </a:lnTo>
                                <a:lnTo>
                                  <a:pt x="435895" y="50411"/>
                                </a:lnTo>
                                <a:lnTo>
                                  <a:pt x="394384" y="68595"/>
                                </a:lnTo>
                                <a:lnTo>
                                  <a:pt x="354009" y="89489"/>
                                </a:lnTo>
                                <a:lnTo>
                                  <a:pt x="314916" y="113058"/>
                                </a:lnTo>
                                <a:lnTo>
                                  <a:pt x="277247" y="139273"/>
                                </a:lnTo>
                                <a:lnTo>
                                  <a:pt x="241147" y="168099"/>
                                </a:lnTo>
                                <a:lnTo>
                                  <a:pt x="206761" y="199505"/>
                                </a:lnTo>
                                <a:lnTo>
                                  <a:pt x="174233" y="233458"/>
                                </a:lnTo>
                                <a:lnTo>
                                  <a:pt x="143706" y="269927"/>
                                </a:lnTo>
                                <a:lnTo>
                                  <a:pt x="420443" y="486218"/>
                                </a:lnTo>
                                <a:lnTo>
                                  <a:pt x="453649" y="449379"/>
                                </a:lnTo>
                                <a:lnTo>
                                  <a:pt x="490920" y="418165"/>
                                </a:lnTo>
                                <a:lnTo>
                                  <a:pt x="531587" y="392724"/>
                                </a:lnTo>
                                <a:lnTo>
                                  <a:pt x="574983" y="373206"/>
                                </a:lnTo>
                                <a:lnTo>
                                  <a:pt x="620440" y="359762"/>
                                </a:lnTo>
                                <a:lnTo>
                                  <a:pt x="667290" y="352539"/>
                                </a:lnTo>
                                <a:lnTo>
                                  <a:pt x="714865" y="351689"/>
                                </a:lnTo>
                                <a:lnTo>
                                  <a:pt x="762498" y="357360"/>
                                </a:lnTo>
                                <a:lnTo>
                                  <a:pt x="809521" y="369701"/>
                                </a:lnTo>
                                <a:lnTo>
                                  <a:pt x="855266" y="388864"/>
                                </a:lnTo>
                                <a:lnTo>
                                  <a:pt x="897880" y="414236"/>
                                </a:lnTo>
                                <a:lnTo>
                                  <a:pt x="935772" y="444694"/>
                                </a:lnTo>
                                <a:lnTo>
                                  <a:pt x="968664" y="479610"/>
                                </a:lnTo>
                                <a:lnTo>
                                  <a:pt x="996281" y="518358"/>
                                </a:lnTo>
                                <a:lnTo>
                                  <a:pt x="1018344" y="560315"/>
                                </a:lnTo>
                                <a:lnTo>
                                  <a:pt x="1034576" y="604852"/>
                                </a:lnTo>
                                <a:lnTo>
                                  <a:pt x="1044701" y="651346"/>
                                </a:lnTo>
                                <a:lnTo>
                                  <a:pt x="1048441" y="699169"/>
                                </a:lnTo>
                                <a:lnTo>
                                  <a:pt x="1045520" y="747697"/>
                                </a:lnTo>
                                <a:lnTo>
                                  <a:pt x="1035660" y="796302"/>
                                </a:lnTo>
                                <a:lnTo>
                                  <a:pt x="1019098" y="843051"/>
                                </a:lnTo>
                                <a:lnTo>
                                  <a:pt x="996626" y="886161"/>
                                </a:lnTo>
                                <a:lnTo>
                                  <a:pt x="968806" y="925239"/>
                                </a:lnTo>
                                <a:lnTo>
                                  <a:pt x="936196" y="959891"/>
                                </a:lnTo>
                                <a:lnTo>
                                  <a:pt x="899356" y="989722"/>
                                </a:lnTo>
                                <a:lnTo>
                                  <a:pt x="858846" y="1014339"/>
                                </a:lnTo>
                                <a:lnTo>
                                  <a:pt x="815225" y="1033349"/>
                                </a:lnTo>
                                <a:lnTo>
                                  <a:pt x="769053" y="1046356"/>
                                </a:lnTo>
                                <a:lnTo>
                                  <a:pt x="720889" y="1052967"/>
                                </a:lnTo>
                                <a:lnTo>
                                  <a:pt x="671294" y="1052789"/>
                                </a:lnTo>
                                <a:lnTo>
                                  <a:pt x="622211" y="1045675"/>
                                </a:lnTo>
                                <a:lnTo>
                                  <a:pt x="575542" y="1032055"/>
                                </a:lnTo>
                                <a:lnTo>
                                  <a:pt x="531784" y="1012402"/>
                                </a:lnTo>
                                <a:lnTo>
                                  <a:pt x="491431" y="987187"/>
                                </a:lnTo>
                                <a:lnTo>
                                  <a:pt x="454980" y="956882"/>
                                </a:lnTo>
                                <a:lnTo>
                                  <a:pt x="422925" y="921959"/>
                                </a:lnTo>
                                <a:lnTo>
                                  <a:pt x="395763" y="882890"/>
                                </a:lnTo>
                                <a:lnTo>
                                  <a:pt x="373990" y="840147"/>
                                </a:lnTo>
                                <a:lnTo>
                                  <a:pt x="358100" y="794202"/>
                                </a:lnTo>
                                <a:lnTo>
                                  <a:pt x="348589" y="745527"/>
                                </a:lnTo>
                                <a:lnTo>
                                  <a:pt x="0" y="788541"/>
                                </a:lnTo>
                                <a:lnTo>
                                  <a:pt x="7403" y="835520"/>
                                </a:lnTo>
                                <a:lnTo>
                                  <a:pt x="17817" y="881373"/>
                                </a:lnTo>
                                <a:lnTo>
                                  <a:pt x="31136" y="925998"/>
                                </a:lnTo>
                                <a:lnTo>
                                  <a:pt x="47251" y="969293"/>
                                </a:lnTo>
                                <a:lnTo>
                                  <a:pt x="66056" y="1011155"/>
                                </a:lnTo>
                                <a:lnTo>
                                  <a:pt x="87443" y="1051485"/>
                                </a:lnTo>
                                <a:lnTo>
                                  <a:pt x="111307" y="1090178"/>
                                </a:lnTo>
                                <a:lnTo>
                                  <a:pt x="137539" y="1127134"/>
                                </a:lnTo>
                                <a:lnTo>
                                  <a:pt x="166032" y="1162250"/>
                                </a:lnTo>
                                <a:lnTo>
                                  <a:pt x="196681" y="1195425"/>
                                </a:lnTo>
                                <a:lnTo>
                                  <a:pt x="229377" y="1226557"/>
                                </a:lnTo>
                                <a:lnTo>
                                  <a:pt x="264013" y="1255543"/>
                                </a:lnTo>
                                <a:lnTo>
                                  <a:pt x="300484" y="1282282"/>
                                </a:lnTo>
                                <a:lnTo>
                                  <a:pt x="338680" y="1306672"/>
                                </a:lnTo>
                                <a:lnTo>
                                  <a:pt x="378496" y="1328611"/>
                                </a:lnTo>
                                <a:lnTo>
                                  <a:pt x="419825" y="1347998"/>
                                </a:lnTo>
                                <a:lnTo>
                                  <a:pt x="462558" y="1364729"/>
                                </a:lnTo>
                                <a:lnTo>
                                  <a:pt x="506591" y="1378704"/>
                                </a:lnTo>
                                <a:lnTo>
                                  <a:pt x="551814" y="1389820"/>
                                </a:lnTo>
                                <a:lnTo>
                                  <a:pt x="598122" y="1397976"/>
                                </a:lnTo>
                                <a:lnTo>
                                  <a:pt x="645407" y="1403069"/>
                                </a:lnTo>
                                <a:lnTo>
                                  <a:pt x="692927" y="1404982"/>
                                </a:lnTo>
                                <a:lnTo>
                                  <a:pt x="739931" y="1403722"/>
                                </a:lnTo>
                                <a:lnTo>
                                  <a:pt x="786297" y="1399375"/>
                                </a:lnTo>
                                <a:lnTo>
                                  <a:pt x="831905" y="1392025"/>
                                </a:lnTo>
                                <a:lnTo>
                                  <a:pt x="876635" y="1381757"/>
                                </a:lnTo>
                                <a:lnTo>
                                  <a:pt x="920364" y="1368657"/>
                                </a:lnTo>
                                <a:lnTo>
                                  <a:pt x="962972" y="1352809"/>
                                </a:lnTo>
                                <a:lnTo>
                                  <a:pt x="1004339" y="1334299"/>
                                </a:lnTo>
                                <a:lnTo>
                                  <a:pt x="1044344" y="1313211"/>
                                </a:lnTo>
                                <a:lnTo>
                                  <a:pt x="1082865" y="1289632"/>
                                </a:lnTo>
                                <a:lnTo>
                                  <a:pt x="1119782" y="1263645"/>
                                </a:lnTo>
                                <a:lnTo>
                                  <a:pt x="1154975" y="1235336"/>
                                </a:lnTo>
                                <a:lnTo>
                                  <a:pt x="1188321" y="1204789"/>
                                </a:lnTo>
                                <a:lnTo>
                                  <a:pt x="1219701" y="1172091"/>
                                </a:lnTo>
                                <a:lnTo>
                                  <a:pt x="1248993" y="1137326"/>
                                </a:lnTo>
                                <a:lnTo>
                                  <a:pt x="1276077" y="1100579"/>
                                </a:lnTo>
                                <a:lnTo>
                                  <a:pt x="1300831" y="1061936"/>
                                </a:lnTo>
                                <a:lnTo>
                                  <a:pt x="1323135" y="1021480"/>
                                </a:lnTo>
                                <a:lnTo>
                                  <a:pt x="1342869" y="979298"/>
                                </a:lnTo>
                                <a:lnTo>
                                  <a:pt x="1359911" y="935475"/>
                                </a:lnTo>
                                <a:lnTo>
                                  <a:pt x="1374139" y="890094"/>
                                </a:lnTo>
                                <a:lnTo>
                                  <a:pt x="1385296" y="843863"/>
                                </a:lnTo>
                                <a:lnTo>
                                  <a:pt x="1393239" y="797518"/>
                                </a:lnTo>
                                <a:lnTo>
                                  <a:pt x="1398030" y="751195"/>
                                </a:lnTo>
                                <a:lnTo>
                                  <a:pt x="1399728" y="705030"/>
                                </a:lnTo>
                                <a:lnTo>
                                  <a:pt x="1398393" y="659157"/>
                                </a:lnTo>
                                <a:lnTo>
                                  <a:pt x="1394085" y="613711"/>
                                </a:lnTo>
                                <a:lnTo>
                                  <a:pt x="1386863" y="568828"/>
                                </a:lnTo>
                                <a:lnTo>
                                  <a:pt x="1376787" y="524643"/>
                                </a:lnTo>
                                <a:lnTo>
                                  <a:pt x="1363918" y="481290"/>
                                </a:lnTo>
                                <a:lnTo>
                                  <a:pt x="1348315" y="438906"/>
                                </a:lnTo>
                                <a:lnTo>
                                  <a:pt x="1330037" y="397625"/>
                                </a:lnTo>
                                <a:lnTo>
                                  <a:pt x="1309146" y="357582"/>
                                </a:lnTo>
                                <a:lnTo>
                                  <a:pt x="1285700" y="318912"/>
                                </a:lnTo>
                                <a:lnTo>
                                  <a:pt x="1259759" y="281751"/>
                                </a:lnTo>
                                <a:lnTo>
                                  <a:pt x="1231384" y="246234"/>
                                </a:lnTo>
                                <a:lnTo>
                                  <a:pt x="1200633" y="212495"/>
                                </a:lnTo>
                                <a:lnTo>
                                  <a:pt x="1167568" y="180671"/>
                                </a:lnTo>
                                <a:lnTo>
                                  <a:pt x="1132247" y="150895"/>
                                </a:lnTo>
                                <a:lnTo>
                                  <a:pt x="1094731" y="123304"/>
                                </a:lnTo>
                                <a:lnTo>
                                  <a:pt x="1055079" y="98033"/>
                                </a:lnTo>
                                <a:lnTo>
                                  <a:pt x="1013352" y="75215"/>
                                </a:lnTo>
                                <a:lnTo>
                                  <a:pt x="970189" y="55246"/>
                                </a:lnTo>
                                <a:lnTo>
                                  <a:pt x="926287" y="38405"/>
                                </a:lnTo>
                                <a:lnTo>
                                  <a:pt x="881792" y="24660"/>
                                </a:lnTo>
                                <a:lnTo>
                                  <a:pt x="836847" y="13980"/>
                                </a:lnTo>
                                <a:lnTo>
                                  <a:pt x="791596" y="6331"/>
                                </a:lnTo>
                                <a:lnTo>
                                  <a:pt x="746184" y="1682"/>
                                </a:lnTo>
                                <a:lnTo>
                                  <a:pt x="700755" y="0"/>
                                </a:lnTo>
                                <a:close/>
                              </a:path>
                            </a:pathLst>
                          </a:custGeom>
                          <a:solidFill>
                            <a:srgbClr val="B5B5B5"/>
                          </a:solidFill>
                        </wps:spPr>
                        <wps:bodyPr wrap="square" lIns="0" tIns="0" rIns="0" bIns="0" rtlCol="0">
                          <a:prstTxWarp prst="textNoShape">
                            <a:avLst/>
                          </a:prstTxWarp>
                          <a:noAutofit/>
                        </wps:bodyPr>
                      </wps:wsp>
                      <wps:wsp>
                        <wps:cNvPr id="289" name="Textbox 289"/>
                        <wps:cNvSpPr txBox="1"/>
                        <wps:spPr>
                          <a:xfrm>
                            <a:off x="9525" y="9525"/>
                            <a:ext cx="2886075" cy="1885950"/>
                          </a:xfrm>
                          <a:prstGeom prst="rect">
                            <a:avLst/>
                          </a:prstGeom>
                          <a:ln w="19050">
                            <a:solidFill>
                              <a:srgbClr val="000000"/>
                            </a:solidFill>
                            <a:prstDash val="solid"/>
                          </a:ln>
                        </wps:spPr>
                        <wps:txbx>
                          <w:txbxContent>
                            <w:p>
                              <w:pPr>
                                <w:spacing w:before="118"/>
                                <w:ind w:left="111" w:right="89" w:firstLine="0"/>
                                <w:jc w:val="center"/>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2023</w:t>
                              </w:r>
                            </w:p>
                            <w:p>
                              <w:pPr>
                                <w:spacing w:line="240" w:lineRule="auto" w:before="0"/>
                                <w:rPr>
                                  <w:rFonts w:ascii="Arial"/>
                                  <w:b/>
                                  <w:sz w:val="16"/>
                                </w:rPr>
                              </w:pPr>
                            </w:p>
                            <w:p>
                              <w:pPr>
                                <w:spacing w:line="240" w:lineRule="auto" w:before="38"/>
                                <w:rPr>
                                  <w:rFonts w:ascii="Arial"/>
                                  <w:b/>
                                  <w:sz w:val="16"/>
                                </w:rPr>
                              </w:pPr>
                            </w:p>
                            <w:p>
                              <w:pPr>
                                <w:spacing w:line="249" w:lineRule="auto" w:before="1"/>
                                <w:ind w:left="350" w:right="3347" w:firstLine="0"/>
                                <w:jc w:val="left"/>
                                <w:rPr>
                                  <w:rFonts w:ascii="Arial MT"/>
                                  <w:sz w:val="16"/>
                                </w:rPr>
                              </w:pPr>
                              <w:r>
                                <w:rPr>
                                  <w:rFonts w:ascii="Arial MT"/>
                                  <w:spacing w:val="-2"/>
                                  <w:sz w:val="16"/>
                                </w:rPr>
                                <w:t>Fixed Spread </w:t>
                              </w:r>
                              <w:r>
                                <w:rPr>
                                  <w:rFonts w:ascii="Arial MT"/>
                                  <w:sz w:val="16"/>
                                </w:rPr>
                                <w:t>terms,</w:t>
                              </w:r>
                              <w:r>
                                <w:rPr>
                                  <w:rFonts w:ascii="Arial MT"/>
                                  <w:spacing w:val="-12"/>
                                  <w:sz w:val="16"/>
                                </w:rPr>
                                <w:t> </w:t>
                              </w:r>
                              <w:r>
                                <w:rPr>
                                  <w:rFonts w:ascii="Arial MT"/>
                                  <w:sz w:val="16"/>
                                </w:rPr>
                                <w:t>12%</w:t>
                              </w:r>
                            </w:p>
                            <w:p>
                              <w:pPr>
                                <w:spacing w:before="169"/>
                                <w:ind w:left="122" w:right="11" w:firstLine="0"/>
                                <w:jc w:val="center"/>
                                <w:rPr>
                                  <w:rFonts w:ascii="Arial MT"/>
                                  <w:sz w:val="20"/>
                                </w:rPr>
                              </w:pPr>
                              <w:r>
                                <w:rPr>
                                  <w:rFonts w:ascii="Arial MT"/>
                                  <w:spacing w:val="-2"/>
                                  <w:sz w:val="20"/>
                                </w:rPr>
                                <w:t>$85,112</w:t>
                              </w:r>
                            </w:p>
                            <w:p>
                              <w:pPr>
                                <w:spacing w:line="249" w:lineRule="auto" w:before="79"/>
                                <w:ind w:left="3407" w:right="290" w:firstLine="0"/>
                                <w:jc w:val="left"/>
                                <w:rPr>
                                  <w:rFonts w:ascii="Arial MT"/>
                                  <w:sz w:val="16"/>
                                </w:rPr>
                              </w:pPr>
                              <w:r>
                                <w:rPr>
                                  <w:rFonts w:ascii="Arial MT"/>
                                  <w:spacing w:val="-2"/>
                                  <w:sz w:val="16"/>
                                </w:rPr>
                                <w:t>Variable Spread </w:t>
                              </w:r>
                              <w:r>
                                <w:rPr>
                                  <w:rFonts w:ascii="Arial MT"/>
                                  <w:sz w:val="16"/>
                                </w:rPr>
                                <w:t>terms,</w:t>
                              </w:r>
                              <w:r>
                                <w:rPr>
                                  <w:rFonts w:ascii="Arial MT"/>
                                  <w:spacing w:val="-12"/>
                                  <w:sz w:val="16"/>
                                </w:rPr>
                                <w:t> </w:t>
                              </w:r>
                              <w:r>
                                <w:rPr>
                                  <w:rFonts w:ascii="Arial MT"/>
                                  <w:sz w:val="16"/>
                                </w:rPr>
                                <w:t>88%</w:t>
                              </w:r>
                            </w:p>
                          </w:txbxContent>
                        </wps:txbx>
                        <wps:bodyPr wrap="square" lIns="0" tIns="0" rIns="0" bIns="0" rtlCol="0">
                          <a:noAutofit/>
                        </wps:bodyPr>
                      </wps:wsp>
                    </wpg:wgp>
                  </a:graphicData>
                </a:graphic>
              </wp:anchor>
            </w:drawing>
          </mc:Choice>
          <mc:Fallback>
            <w:pict>
              <v:group style="position:absolute;margin-left:72pt;margin-top:17.703310pt;width:228.75pt;height:150pt;mso-position-horizontal-relative:page;mso-position-vertical-relative:paragraph;z-index:-15679488;mso-wrap-distance-left:0;mso-wrap-distance-right:0" id="docshapegroup222" coordorigin="1440,354" coordsize="4575,3000">
                <v:shape style="position:absolute;left:2629;top:1248;width:670;height:816" id="docshape223" coordorigin="2629,1249" coordsize="670,816" path="m2863,1249l2816,1313,2774,1381,2738,1450,2706,1523,2680,1596,2659,1672,2643,1749,2633,1827,2629,1906,2630,1985,2637,2064,3186,1997,3182,1924,3187,1852,3202,1782,3226,1714,3258,1649,3299,1589,2863,1249xe" filled="true" fillcolor="#494949" stroked="false">
                  <v:path arrowok="t"/>
                  <v:fill type="solid"/>
                </v:shape>
                <v:shape style="position:absolute;left:2637;top:822;width:2205;height:2213" id="docshape224" coordorigin="2637,823" coordsize="2205,2213" path="m3741,823l3669,825,3598,831,3528,842,3459,858,3390,878,3324,902,3258,931,3195,964,3133,1001,3074,1042,3017,1087,2963,1137,2911,1190,2863,1248,3299,1588,3351,1530,3410,1481,3474,1441,3543,1410,3614,1389,3688,1378,3763,1377,3838,1386,3912,1405,3984,1435,4051,1475,4111,1523,4163,1578,4206,1639,4241,1705,4266,1775,4282,1848,4288,1924,4284,2000,4268,2077,4242,2150,4207,2218,4163,2280,4111,2334,4053,2381,3990,2420,3921,2450,3848,2471,3772,2481,3694,2481,3617,2469,3543,2448,3475,2417,3411,2377,3354,2330,3303,2275,3260,2213,3226,2146,3201,2073,3186,1997,2637,2065,2649,2139,2665,2211,2686,2281,2711,2349,2741,2415,2775,2479,2812,2540,2854,2598,2899,2653,2947,2705,2998,2754,3053,2800,3110,2842,3170,2881,3233,2915,3298,2946,3366,2972,3435,2994,3506,3011,3579,3024,3653,3032,3728,3035,3802,3033,3875,3026,3947,3015,4018,2999,4086,2978,4154,2953,4219,2924,4282,2891,4342,2854,4401,2813,4456,2768,4508,2720,4558,2669,4604,2614,4647,2556,4686,2495,4721,2431,4752,2365,4779,2296,4801,2224,4819,2152,4831,2079,4839,2006,4841,1933,4839,1861,4832,1789,4821,1719,4805,1649,4785,1581,4760,1514,4732,1449,4699,1386,4662,1325,4621,1266,4576,1211,4528,1157,4476,1107,4420,1060,4361,1017,4299,977,4233,941,4165,910,4096,883,4026,862,3955,845,3884,833,3812,825,3741,823xe" filled="true" fillcolor="#b5b5b5" stroked="false">
                  <v:path arrowok="t"/>
                  <v:fill type="solid"/>
                </v:shape>
                <v:shape style="position:absolute;left:1455;top:369;width:4545;height:2970" type="#_x0000_t202" id="docshape225" filled="false" stroked="true" strokeweight="1.5pt" strokecolor="#000000">
                  <v:textbox inset="0,0,0,0">
                    <w:txbxContent>
                      <w:p>
                        <w:pPr>
                          <w:spacing w:before="118"/>
                          <w:ind w:left="111" w:right="89" w:firstLine="0"/>
                          <w:jc w:val="center"/>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2023</w:t>
                        </w:r>
                      </w:p>
                      <w:p>
                        <w:pPr>
                          <w:spacing w:line="240" w:lineRule="auto" w:before="0"/>
                          <w:rPr>
                            <w:rFonts w:ascii="Arial"/>
                            <w:b/>
                            <w:sz w:val="16"/>
                          </w:rPr>
                        </w:pPr>
                      </w:p>
                      <w:p>
                        <w:pPr>
                          <w:spacing w:line="240" w:lineRule="auto" w:before="38"/>
                          <w:rPr>
                            <w:rFonts w:ascii="Arial"/>
                            <w:b/>
                            <w:sz w:val="16"/>
                          </w:rPr>
                        </w:pPr>
                      </w:p>
                      <w:p>
                        <w:pPr>
                          <w:spacing w:line="249" w:lineRule="auto" w:before="1"/>
                          <w:ind w:left="350" w:right="3347" w:firstLine="0"/>
                          <w:jc w:val="left"/>
                          <w:rPr>
                            <w:rFonts w:ascii="Arial MT"/>
                            <w:sz w:val="16"/>
                          </w:rPr>
                        </w:pPr>
                        <w:r>
                          <w:rPr>
                            <w:rFonts w:ascii="Arial MT"/>
                            <w:spacing w:val="-2"/>
                            <w:sz w:val="16"/>
                          </w:rPr>
                          <w:t>Fixed Spread </w:t>
                        </w:r>
                        <w:r>
                          <w:rPr>
                            <w:rFonts w:ascii="Arial MT"/>
                            <w:sz w:val="16"/>
                          </w:rPr>
                          <w:t>terms,</w:t>
                        </w:r>
                        <w:r>
                          <w:rPr>
                            <w:rFonts w:ascii="Arial MT"/>
                            <w:spacing w:val="-12"/>
                            <w:sz w:val="16"/>
                          </w:rPr>
                          <w:t> </w:t>
                        </w:r>
                        <w:r>
                          <w:rPr>
                            <w:rFonts w:ascii="Arial MT"/>
                            <w:sz w:val="16"/>
                          </w:rPr>
                          <w:t>12%</w:t>
                        </w:r>
                      </w:p>
                      <w:p>
                        <w:pPr>
                          <w:spacing w:before="169"/>
                          <w:ind w:left="122" w:right="11" w:firstLine="0"/>
                          <w:jc w:val="center"/>
                          <w:rPr>
                            <w:rFonts w:ascii="Arial MT"/>
                            <w:sz w:val="20"/>
                          </w:rPr>
                        </w:pPr>
                        <w:r>
                          <w:rPr>
                            <w:rFonts w:ascii="Arial MT"/>
                            <w:spacing w:val="-2"/>
                            <w:sz w:val="20"/>
                          </w:rPr>
                          <w:t>$85,112</w:t>
                        </w:r>
                      </w:p>
                      <w:p>
                        <w:pPr>
                          <w:spacing w:line="249" w:lineRule="auto" w:before="79"/>
                          <w:ind w:left="3407" w:right="290" w:firstLine="0"/>
                          <w:jc w:val="left"/>
                          <w:rPr>
                            <w:rFonts w:ascii="Arial MT"/>
                            <w:sz w:val="16"/>
                          </w:rPr>
                        </w:pPr>
                        <w:r>
                          <w:rPr>
                            <w:rFonts w:ascii="Arial MT"/>
                            <w:spacing w:val="-2"/>
                            <w:sz w:val="16"/>
                          </w:rPr>
                          <w:t>Variable Spread </w:t>
                        </w:r>
                        <w:r>
                          <w:rPr>
                            <w:rFonts w:ascii="Arial MT"/>
                            <w:sz w:val="16"/>
                          </w:rPr>
                          <w:t>terms,</w:t>
                        </w:r>
                        <w:r>
                          <w:rPr>
                            <w:rFonts w:ascii="Arial MT"/>
                            <w:spacing w:val="-12"/>
                            <w:sz w:val="16"/>
                          </w:rPr>
                          <w:t> </w:t>
                        </w:r>
                        <w:r>
                          <w:rPr>
                            <w:rFonts w:ascii="Arial MT"/>
                            <w:sz w:val="16"/>
                          </w:rPr>
                          <w:t>88%</w:t>
                        </w:r>
                      </w:p>
                    </w:txbxContent>
                  </v:textbox>
                  <v:stroke dashstyle="solid"/>
                  <w10:wrap type="none"/>
                </v:shape>
                <w10:wrap type="topAndBottom"/>
              </v:group>
            </w:pict>
          </mc:Fallback>
        </mc:AlternateContent>
      </w:r>
      <w:r>
        <w:rPr>
          <w:rFonts w:ascii="Arial"/>
          <w:i/>
        </w:rPr>
        <mc:AlternateContent>
          <mc:Choice Requires="wps">
            <w:drawing>
              <wp:anchor distT="0" distB="0" distL="0" distR="0" allowOverlap="1" layoutInCell="1" locked="0" behindDoc="1" simplePos="0" relativeHeight="487637504">
                <wp:simplePos x="0" y="0"/>
                <wp:positionH relativeFrom="page">
                  <wp:posOffset>3883025</wp:posOffset>
                </wp:positionH>
                <wp:positionV relativeFrom="paragraph">
                  <wp:posOffset>224832</wp:posOffset>
                </wp:positionV>
                <wp:extent cx="2905125" cy="1905000"/>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2905125" cy="1905000"/>
                          <a:chExt cx="2905125" cy="1905000"/>
                        </a:xfrm>
                      </wpg:grpSpPr>
                      <wps:wsp>
                        <wps:cNvPr id="291" name="Graphic 291"/>
                        <wps:cNvSpPr/>
                        <wps:spPr>
                          <a:xfrm>
                            <a:off x="754987" y="407351"/>
                            <a:ext cx="514350" cy="678815"/>
                          </a:xfrm>
                          <a:custGeom>
                            <a:avLst/>
                            <a:gdLst/>
                            <a:ahLst/>
                            <a:cxnLst/>
                            <a:rect l="l" t="t" r="r" b="b"/>
                            <a:pathLst>
                              <a:path w="514350" h="678815">
                                <a:moveTo>
                                  <a:pt x="325401" y="0"/>
                                </a:moveTo>
                                <a:lnTo>
                                  <a:pt x="283739" y="28638"/>
                                </a:lnTo>
                                <a:lnTo>
                                  <a:pt x="244597" y="59892"/>
                                </a:lnTo>
                                <a:lnTo>
                                  <a:pt x="208053" y="93593"/>
                                </a:lnTo>
                                <a:lnTo>
                                  <a:pt x="174185" y="129575"/>
                                </a:lnTo>
                                <a:lnTo>
                                  <a:pt x="143072" y="167673"/>
                                </a:lnTo>
                                <a:lnTo>
                                  <a:pt x="114793" y="207718"/>
                                </a:lnTo>
                                <a:lnTo>
                                  <a:pt x="89425" y="249545"/>
                                </a:lnTo>
                                <a:lnTo>
                                  <a:pt x="67049" y="292988"/>
                                </a:lnTo>
                                <a:lnTo>
                                  <a:pt x="47742" y="337878"/>
                                </a:lnTo>
                                <a:lnTo>
                                  <a:pt x="31583" y="384050"/>
                                </a:lnTo>
                                <a:lnTo>
                                  <a:pt x="18651" y="431338"/>
                                </a:lnTo>
                                <a:lnTo>
                                  <a:pt x="9024" y="479574"/>
                                </a:lnTo>
                                <a:lnTo>
                                  <a:pt x="2780" y="528593"/>
                                </a:lnTo>
                                <a:lnTo>
                                  <a:pt x="0" y="578227"/>
                                </a:lnTo>
                                <a:lnTo>
                                  <a:pt x="760" y="628310"/>
                                </a:lnTo>
                                <a:lnTo>
                                  <a:pt x="5140" y="678675"/>
                                </a:lnTo>
                                <a:lnTo>
                                  <a:pt x="353738" y="635725"/>
                                </a:lnTo>
                                <a:lnTo>
                                  <a:pt x="351168" y="585500"/>
                                </a:lnTo>
                                <a:lnTo>
                                  <a:pt x="355680" y="536174"/>
                                </a:lnTo>
                                <a:lnTo>
                                  <a:pt x="366960" y="488412"/>
                                </a:lnTo>
                                <a:lnTo>
                                  <a:pt x="384693" y="442880"/>
                                </a:lnTo>
                                <a:lnTo>
                                  <a:pt x="408564" y="400246"/>
                                </a:lnTo>
                                <a:lnTo>
                                  <a:pt x="438261" y="361174"/>
                                </a:lnTo>
                                <a:lnTo>
                                  <a:pt x="473467" y="326332"/>
                                </a:lnTo>
                                <a:lnTo>
                                  <a:pt x="513869" y="296386"/>
                                </a:lnTo>
                                <a:lnTo>
                                  <a:pt x="325401" y="0"/>
                                </a:lnTo>
                                <a:close/>
                              </a:path>
                            </a:pathLst>
                          </a:custGeom>
                          <a:solidFill>
                            <a:srgbClr val="585858"/>
                          </a:solidFill>
                        </wps:spPr>
                        <wps:bodyPr wrap="square" lIns="0" tIns="0" rIns="0" bIns="0" rtlCol="0">
                          <a:prstTxWarp prst="textNoShape">
                            <a:avLst/>
                          </a:prstTxWarp>
                          <a:noAutofit/>
                        </wps:bodyPr>
                      </wps:wsp>
                      <wps:wsp>
                        <wps:cNvPr id="292" name="Graphic 292"/>
                        <wps:cNvSpPr/>
                        <wps:spPr>
                          <a:xfrm>
                            <a:off x="760144" y="297804"/>
                            <a:ext cx="1399540" cy="1405255"/>
                          </a:xfrm>
                          <a:custGeom>
                            <a:avLst/>
                            <a:gdLst/>
                            <a:ahLst/>
                            <a:cxnLst/>
                            <a:rect l="l" t="t" r="r" b="b"/>
                            <a:pathLst>
                              <a:path w="1399540" h="1405255">
                                <a:moveTo>
                                  <a:pt x="682303" y="0"/>
                                </a:moveTo>
                                <a:lnTo>
                                  <a:pt x="635398" y="2550"/>
                                </a:lnTo>
                                <a:lnTo>
                                  <a:pt x="588657" y="8244"/>
                                </a:lnTo>
                                <a:lnTo>
                                  <a:pt x="542244" y="17096"/>
                                </a:lnTo>
                                <a:lnTo>
                                  <a:pt x="496323" y="29118"/>
                                </a:lnTo>
                                <a:lnTo>
                                  <a:pt x="451057" y="44323"/>
                                </a:lnTo>
                                <a:lnTo>
                                  <a:pt x="406612" y="62725"/>
                                </a:lnTo>
                                <a:lnTo>
                                  <a:pt x="363150" y="84336"/>
                                </a:lnTo>
                                <a:lnTo>
                                  <a:pt x="320836" y="109169"/>
                                </a:lnTo>
                                <a:lnTo>
                                  <a:pt x="509008" y="405744"/>
                                </a:lnTo>
                                <a:lnTo>
                                  <a:pt x="549699" y="383530"/>
                                </a:lnTo>
                                <a:lnTo>
                                  <a:pt x="592196" y="367112"/>
                                </a:lnTo>
                                <a:lnTo>
                                  <a:pt x="635936" y="356443"/>
                                </a:lnTo>
                                <a:lnTo>
                                  <a:pt x="680356" y="351481"/>
                                </a:lnTo>
                                <a:lnTo>
                                  <a:pt x="724894" y="352180"/>
                                </a:lnTo>
                                <a:lnTo>
                                  <a:pt x="768987" y="358496"/>
                                </a:lnTo>
                                <a:lnTo>
                                  <a:pt x="812073" y="370385"/>
                                </a:lnTo>
                                <a:lnTo>
                                  <a:pt x="853590" y="387801"/>
                                </a:lnTo>
                                <a:lnTo>
                                  <a:pt x="892975" y="410701"/>
                                </a:lnTo>
                                <a:lnTo>
                                  <a:pt x="929665" y="439040"/>
                                </a:lnTo>
                                <a:lnTo>
                                  <a:pt x="962326" y="471941"/>
                                </a:lnTo>
                                <a:lnTo>
                                  <a:pt x="989924" y="508188"/>
                                </a:lnTo>
                                <a:lnTo>
                                  <a:pt x="1012345" y="547231"/>
                                </a:lnTo>
                                <a:lnTo>
                                  <a:pt x="1029474" y="588514"/>
                                </a:lnTo>
                                <a:lnTo>
                                  <a:pt x="1041198" y="631487"/>
                                </a:lnTo>
                                <a:lnTo>
                                  <a:pt x="1047404" y="675596"/>
                                </a:lnTo>
                                <a:lnTo>
                                  <a:pt x="1047977" y="720289"/>
                                </a:lnTo>
                                <a:lnTo>
                                  <a:pt x="1042803" y="765013"/>
                                </a:lnTo>
                                <a:lnTo>
                                  <a:pt x="1031770" y="809215"/>
                                </a:lnTo>
                                <a:lnTo>
                                  <a:pt x="1014763" y="852342"/>
                                </a:lnTo>
                                <a:lnTo>
                                  <a:pt x="992252" y="892870"/>
                                </a:lnTo>
                                <a:lnTo>
                                  <a:pt x="965118" y="929466"/>
                                </a:lnTo>
                                <a:lnTo>
                                  <a:pt x="933858" y="961867"/>
                                </a:lnTo>
                                <a:lnTo>
                                  <a:pt x="898973" y="989809"/>
                                </a:lnTo>
                                <a:lnTo>
                                  <a:pt x="860962" y="1013031"/>
                                </a:lnTo>
                                <a:lnTo>
                                  <a:pt x="820322" y="1031268"/>
                                </a:lnTo>
                                <a:lnTo>
                                  <a:pt x="777555" y="1044257"/>
                                </a:lnTo>
                                <a:lnTo>
                                  <a:pt x="733159" y="1051736"/>
                                </a:lnTo>
                                <a:lnTo>
                                  <a:pt x="687632" y="1053440"/>
                                </a:lnTo>
                                <a:lnTo>
                                  <a:pt x="641475" y="1049108"/>
                                </a:lnTo>
                                <a:lnTo>
                                  <a:pt x="596284" y="1038767"/>
                                </a:lnTo>
                                <a:lnTo>
                                  <a:pt x="553582" y="1022890"/>
                                </a:lnTo>
                                <a:lnTo>
                                  <a:pt x="513761" y="1001884"/>
                                </a:lnTo>
                                <a:lnTo>
                                  <a:pt x="477213" y="976154"/>
                                </a:lnTo>
                                <a:lnTo>
                                  <a:pt x="444330" y="946108"/>
                                </a:lnTo>
                                <a:lnTo>
                                  <a:pt x="415503" y="912150"/>
                                </a:lnTo>
                                <a:lnTo>
                                  <a:pt x="391124" y="874688"/>
                                </a:lnTo>
                                <a:lnTo>
                                  <a:pt x="371584" y="834127"/>
                                </a:lnTo>
                                <a:lnTo>
                                  <a:pt x="357275" y="790875"/>
                                </a:lnTo>
                                <a:lnTo>
                                  <a:pt x="348589" y="745336"/>
                                </a:lnTo>
                                <a:lnTo>
                                  <a:pt x="0" y="788351"/>
                                </a:lnTo>
                                <a:lnTo>
                                  <a:pt x="7693" y="836806"/>
                                </a:lnTo>
                                <a:lnTo>
                                  <a:pt x="18604" y="884102"/>
                                </a:lnTo>
                                <a:lnTo>
                                  <a:pt x="32618" y="930120"/>
                                </a:lnTo>
                                <a:lnTo>
                                  <a:pt x="49623" y="974741"/>
                                </a:lnTo>
                                <a:lnTo>
                                  <a:pt x="69502" y="1017846"/>
                                </a:lnTo>
                                <a:lnTo>
                                  <a:pt x="92143" y="1059318"/>
                                </a:lnTo>
                                <a:lnTo>
                                  <a:pt x="117430" y="1099038"/>
                                </a:lnTo>
                                <a:lnTo>
                                  <a:pt x="145251" y="1136887"/>
                                </a:lnTo>
                                <a:lnTo>
                                  <a:pt x="175489" y="1172747"/>
                                </a:lnTo>
                                <a:lnTo>
                                  <a:pt x="208033" y="1206500"/>
                                </a:lnTo>
                                <a:lnTo>
                                  <a:pt x="242766" y="1238027"/>
                                </a:lnTo>
                                <a:lnTo>
                                  <a:pt x="279575" y="1267210"/>
                                </a:lnTo>
                                <a:lnTo>
                                  <a:pt x="318346" y="1293930"/>
                                </a:lnTo>
                                <a:lnTo>
                                  <a:pt x="358964" y="1318068"/>
                                </a:lnTo>
                                <a:lnTo>
                                  <a:pt x="401316" y="1339507"/>
                                </a:lnTo>
                                <a:lnTo>
                                  <a:pt x="445287" y="1358128"/>
                                </a:lnTo>
                                <a:lnTo>
                                  <a:pt x="490762" y="1373812"/>
                                </a:lnTo>
                                <a:lnTo>
                                  <a:pt x="537629" y="1386441"/>
                                </a:lnTo>
                                <a:lnTo>
                                  <a:pt x="585772" y="1395897"/>
                                </a:lnTo>
                                <a:lnTo>
                                  <a:pt x="634454" y="1401994"/>
                                </a:lnTo>
                                <a:lnTo>
                                  <a:pt x="682918" y="1404678"/>
                                </a:lnTo>
                                <a:lnTo>
                                  <a:pt x="731018" y="1404025"/>
                                </a:lnTo>
                                <a:lnTo>
                                  <a:pt x="778608" y="1400111"/>
                                </a:lnTo>
                                <a:lnTo>
                                  <a:pt x="825543" y="1393014"/>
                                </a:lnTo>
                                <a:lnTo>
                                  <a:pt x="871678" y="1382811"/>
                                </a:lnTo>
                                <a:lnTo>
                                  <a:pt x="916866" y="1369578"/>
                                </a:lnTo>
                                <a:lnTo>
                                  <a:pt x="960963" y="1353391"/>
                                </a:lnTo>
                                <a:lnTo>
                                  <a:pt x="1003823" y="1334328"/>
                                </a:lnTo>
                                <a:lnTo>
                                  <a:pt x="1045299" y="1312465"/>
                                </a:lnTo>
                                <a:lnTo>
                                  <a:pt x="1085247" y="1287878"/>
                                </a:lnTo>
                                <a:lnTo>
                                  <a:pt x="1123522" y="1260646"/>
                                </a:lnTo>
                                <a:lnTo>
                                  <a:pt x="1159976" y="1230844"/>
                                </a:lnTo>
                                <a:lnTo>
                                  <a:pt x="1194466" y="1198549"/>
                                </a:lnTo>
                                <a:lnTo>
                                  <a:pt x="1226845" y="1163837"/>
                                </a:lnTo>
                                <a:lnTo>
                                  <a:pt x="1256968" y="1126787"/>
                                </a:lnTo>
                                <a:lnTo>
                                  <a:pt x="1284690" y="1087473"/>
                                </a:lnTo>
                                <a:lnTo>
                                  <a:pt x="1309864" y="1045974"/>
                                </a:lnTo>
                                <a:lnTo>
                                  <a:pt x="1332345" y="1002365"/>
                                </a:lnTo>
                                <a:lnTo>
                                  <a:pt x="1351751" y="957303"/>
                                </a:lnTo>
                                <a:lnTo>
                                  <a:pt x="1367817" y="911501"/>
                                </a:lnTo>
                                <a:lnTo>
                                  <a:pt x="1380577" y="865120"/>
                                </a:lnTo>
                                <a:lnTo>
                                  <a:pt x="1390064" y="818320"/>
                                </a:lnTo>
                                <a:lnTo>
                                  <a:pt x="1396310" y="771264"/>
                                </a:lnTo>
                                <a:lnTo>
                                  <a:pt x="1399350" y="724113"/>
                                </a:lnTo>
                                <a:lnTo>
                                  <a:pt x="1399217" y="677026"/>
                                </a:lnTo>
                                <a:lnTo>
                                  <a:pt x="1395942" y="630167"/>
                                </a:lnTo>
                                <a:lnTo>
                                  <a:pt x="1389561" y="583695"/>
                                </a:lnTo>
                                <a:lnTo>
                                  <a:pt x="1380106" y="537772"/>
                                </a:lnTo>
                                <a:lnTo>
                                  <a:pt x="1367610" y="492559"/>
                                </a:lnTo>
                                <a:lnTo>
                                  <a:pt x="1352106" y="448218"/>
                                </a:lnTo>
                                <a:lnTo>
                                  <a:pt x="1333627" y="404909"/>
                                </a:lnTo>
                                <a:lnTo>
                                  <a:pt x="1312207" y="362793"/>
                                </a:lnTo>
                                <a:lnTo>
                                  <a:pt x="1287879" y="322033"/>
                                </a:lnTo>
                                <a:lnTo>
                                  <a:pt x="1260676" y="282788"/>
                                </a:lnTo>
                                <a:lnTo>
                                  <a:pt x="1230632" y="245220"/>
                                </a:lnTo>
                                <a:lnTo>
                                  <a:pt x="1197779" y="209490"/>
                                </a:lnTo>
                                <a:lnTo>
                                  <a:pt x="1162150" y="175760"/>
                                </a:lnTo>
                                <a:lnTo>
                                  <a:pt x="1124269" y="144579"/>
                                </a:lnTo>
                                <a:lnTo>
                                  <a:pt x="1084748" y="116400"/>
                                </a:lnTo>
                                <a:lnTo>
                                  <a:pt x="1043751" y="91236"/>
                                </a:lnTo>
                                <a:lnTo>
                                  <a:pt x="1001441" y="69099"/>
                                </a:lnTo>
                                <a:lnTo>
                                  <a:pt x="957983" y="50002"/>
                                </a:lnTo>
                                <a:lnTo>
                                  <a:pt x="913541" y="33959"/>
                                </a:lnTo>
                                <a:lnTo>
                                  <a:pt x="868278" y="20982"/>
                                </a:lnTo>
                                <a:lnTo>
                                  <a:pt x="822358" y="11085"/>
                                </a:lnTo>
                                <a:lnTo>
                                  <a:pt x="775947" y="4280"/>
                                </a:lnTo>
                                <a:lnTo>
                                  <a:pt x="729207" y="581"/>
                                </a:lnTo>
                                <a:lnTo>
                                  <a:pt x="682303" y="0"/>
                                </a:lnTo>
                                <a:close/>
                              </a:path>
                            </a:pathLst>
                          </a:custGeom>
                          <a:solidFill>
                            <a:srgbClr val="BEBEBE"/>
                          </a:solidFill>
                        </wps:spPr>
                        <wps:bodyPr wrap="square" lIns="0" tIns="0" rIns="0" bIns="0" rtlCol="0">
                          <a:prstTxWarp prst="textNoShape">
                            <a:avLst/>
                          </a:prstTxWarp>
                          <a:noAutofit/>
                        </wps:bodyPr>
                      </wps:wsp>
                      <wps:wsp>
                        <wps:cNvPr id="293" name="Textbox 293"/>
                        <wps:cNvSpPr txBox="1"/>
                        <wps:spPr>
                          <a:xfrm>
                            <a:off x="9525" y="9525"/>
                            <a:ext cx="2886075" cy="1885950"/>
                          </a:xfrm>
                          <a:prstGeom prst="rect">
                            <a:avLst/>
                          </a:prstGeom>
                          <a:ln w="19050">
                            <a:solidFill>
                              <a:srgbClr val="000000"/>
                            </a:solidFill>
                            <a:prstDash val="solid"/>
                          </a:ln>
                        </wps:spPr>
                        <wps:txbx>
                          <w:txbxContent>
                            <w:p>
                              <w:pPr>
                                <w:spacing w:before="163"/>
                                <w:ind w:left="111" w:right="79" w:firstLine="0"/>
                                <w:jc w:val="center"/>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2022</w:t>
                              </w:r>
                            </w:p>
                            <w:p>
                              <w:pPr>
                                <w:spacing w:line="240" w:lineRule="auto" w:before="0"/>
                                <w:rPr>
                                  <w:rFonts w:ascii="Arial"/>
                                  <w:b/>
                                  <w:sz w:val="16"/>
                                </w:rPr>
                              </w:pPr>
                            </w:p>
                            <w:p>
                              <w:pPr>
                                <w:spacing w:line="240" w:lineRule="auto" w:before="8"/>
                                <w:rPr>
                                  <w:rFonts w:ascii="Arial"/>
                                  <w:b/>
                                  <w:sz w:val="16"/>
                                </w:rPr>
                              </w:pPr>
                            </w:p>
                            <w:p>
                              <w:pPr>
                                <w:spacing w:line="249" w:lineRule="auto" w:before="0"/>
                                <w:ind w:left="287" w:right="3410" w:firstLine="0"/>
                                <w:jc w:val="left"/>
                                <w:rPr>
                                  <w:rFonts w:ascii="Arial MT"/>
                                  <w:sz w:val="16"/>
                                </w:rPr>
                              </w:pPr>
                              <w:r>
                                <w:rPr>
                                  <w:rFonts w:ascii="Arial MT"/>
                                  <w:spacing w:val="-2"/>
                                  <w:sz w:val="16"/>
                                </w:rPr>
                                <w:t>Fixed Spread </w:t>
                              </w:r>
                              <w:r>
                                <w:rPr>
                                  <w:rFonts w:ascii="Arial MT"/>
                                  <w:sz w:val="16"/>
                                </w:rPr>
                                <w:t>terms,</w:t>
                              </w:r>
                              <w:r>
                                <w:rPr>
                                  <w:rFonts w:ascii="Arial MT"/>
                                  <w:spacing w:val="-12"/>
                                  <w:sz w:val="16"/>
                                </w:rPr>
                                <w:t> </w:t>
                              </w:r>
                              <w:r>
                                <w:rPr>
                                  <w:rFonts w:ascii="Arial MT"/>
                                  <w:sz w:val="16"/>
                                </w:rPr>
                                <w:t>18%</w:t>
                              </w:r>
                            </w:p>
                            <w:p>
                              <w:pPr>
                                <w:spacing w:before="80"/>
                                <w:ind w:left="111" w:right="66" w:firstLine="0"/>
                                <w:jc w:val="center"/>
                                <w:rPr>
                                  <w:rFonts w:ascii="Arial MT"/>
                                  <w:sz w:val="20"/>
                                </w:rPr>
                              </w:pPr>
                              <w:r>
                                <w:rPr>
                                  <w:rFonts w:ascii="Arial MT"/>
                                  <w:spacing w:val="-2"/>
                                  <w:sz w:val="20"/>
                                </w:rPr>
                                <w:t>$74,523</w:t>
                              </w:r>
                            </w:p>
                            <w:p>
                              <w:pPr>
                                <w:spacing w:line="240" w:lineRule="auto" w:before="48"/>
                                <w:rPr>
                                  <w:rFonts w:ascii="Arial MT"/>
                                  <w:sz w:val="20"/>
                                </w:rPr>
                              </w:pPr>
                            </w:p>
                            <w:p>
                              <w:pPr>
                                <w:spacing w:line="249" w:lineRule="auto" w:before="0"/>
                                <w:ind w:left="3316" w:right="381" w:firstLine="0"/>
                                <w:jc w:val="left"/>
                                <w:rPr>
                                  <w:rFonts w:ascii="Arial MT"/>
                                  <w:sz w:val="16"/>
                                </w:rPr>
                              </w:pPr>
                              <w:r>
                                <w:rPr>
                                  <w:rFonts w:ascii="Arial MT"/>
                                  <w:spacing w:val="-2"/>
                                  <w:sz w:val="16"/>
                                </w:rPr>
                                <w:t>Variable Spread </w:t>
                              </w:r>
                              <w:r>
                                <w:rPr>
                                  <w:rFonts w:ascii="Arial MT"/>
                                  <w:sz w:val="16"/>
                                </w:rPr>
                                <w:t>terms,</w:t>
                              </w:r>
                              <w:r>
                                <w:rPr>
                                  <w:rFonts w:ascii="Arial MT"/>
                                  <w:spacing w:val="-12"/>
                                  <w:sz w:val="16"/>
                                </w:rPr>
                                <w:t> </w:t>
                              </w:r>
                              <w:r>
                                <w:rPr>
                                  <w:rFonts w:ascii="Arial MT"/>
                                  <w:sz w:val="16"/>
                                </w:rPr>
                                <w:t>82%</w:t>
                              </w:r>
                            </w:p>
                          </w:txbxContent>
                        </wps:txbx>
                        <wps:bodyPr wrap="square" lIns="0" tIns="0" rIns="0" bIns="0" rtlCol="0">
                          <a:noAutofit/>
                        </wps:bodyPr>
                      </wps:wsp>
                    </wpg:wgp>
                  </a:graphicData>
                </a:graphic>
              </wp:anchor>
            </w:drawing>
          </mc:Choice>
          <mc:Fallback>
            <w:pict>
              <v:group style="position:absolute;margin-left:305.75pt;margin-top:17.703310pt;width:228.75pt;height:150pt;mso-position-horizontal-relative:page;mso-position-vertical-relative:paragraph;z-index:-15678976;mso-wrap-distance-left:0;mso-wrap-distance-right:0" id="docshapegroup226" coordorigin="6115,354" coordsize="4575,3000">
                <v:shape style="position:absolute;left:7303;top:995;width:810;height:1069" id="docshape227" coordorigin="7304,996" coordsize="810,1069" path="m7816,996l7751,1041,7689,1090,7632,1143,7578,1200,7529,1260,7485,1323,7445,1389,7410,1457,7379,1528,7354,1600,7333,1675,7318,1751,7308,1828,7304,1906,7305,1985,7312,2064,7861,1997,7857,1918,7864,1840,7882,1765,7910,1693,7947,1626,7994,1564,8050,1509,8113,1462,7816,996xe" filled="true" fillcolor="#585858" stroked="false">
                  <v:path arrowok="t"/>
                  <v:fill type="solid"/>
                </v:shape>
                <v:shape style="position:absolute;left:7312;top:823;width:2204;height:2213" id="docshape228" coordorigin="7312,823" coordsize="2204,2213" path="m8387,823l8313,827,8239,836,8166,850,8094,869,8022,893,7952,922,7884,956,7817,995,8114,1462,8178,1427,8245,1401,8314,1384,8384,1377,8454,1378,8523,1388,8591,1406,8656,1434,8718,1470,8776,1514,8828,1566,8871,1623,8906,1685,8933,1750,8952,1818,8962,1887,8962,1957,8954,2028,8937,2097,8910,2165,8875,2229,8832,2287,8783,2338,8728,2382,8668,2418,8604,2447,8537,2468,8467,2479,8395,2482,8322,2475,8251,2459,8184,2434,8121,2401,8064,2360,8012,2313,7966,2260,7928,2201,7897,2137,7875,2069,7861,1997,7312,2065,7324,2141,7341,2215,7363,2288,7390,2358,7422,2426,7457,2491,7497,2554,7541,2613,7588,2670,7640,2723,7694,2773,7752,2819,7813,2861,7877,2899,7944,2933,8013,2962,8085,2987,8159,3006,8235,3021,8311,3031,8388,3035,8463,3034,8538,3028,8612,3017,8685,3001,8756,2980,8825,2954,8893,2924,8958,2890,9021,2851,9081,2808,9139,2761,9193,2711,9244,2656,9292,2598,9335,2536,9375,2470,9410,2402,9441,2331,9466,2258,9486,2185,9501,2112,9511,2038,9516,1963,9516,1889,9510,1815,9500,1742,9485,1670,9466,1599,9441,1529,9412,1461,9379,1394,9340,1330,9297,1268,9250,1209,9198,1153,9142,1100,9083,1051,9020,1006,8956,967,8889,932,8821,902,8751,877,8679,856,8607,841,8534,830,8460,824,8387,823xe" filled="true" fillcolor="#bebebe" stroked="false">
                  <v:path arrowok="t"/>
                  <v:fill type="solid"/>
                </v:shape>
                <v:shape style="position:absolute;left:6130;top:369;width:4545;height:2970" type="#_x0000_t202" id="docshape229" filled="false" stroked="true" strokeweight="1.5pt" strokecolor="#000000">
                  <v:textbox inset="0,0,0,0">
                    <w:txbxContent>
                      <w:p>
                        <w:pPr>
                          <w:spacing w:before="163"/>
                          <w:ind w:left="111" w:right="79" w:firstLine="0"/>
                          <w:jc w:val="center"/>
                          <w:rPr>
                            <w:rFonts w:ascii="Arial"/>
                            <w:b/>
                            <w:sz w:val="16"/>
                          </w:rPr>
                        </w:pPr>
                        <w:r>
                          <w:rPr>
                            <w:rFonts w:ascii="Arial"/>
                            <w:b/>
                            <w:sz w:val="16"/>
                          </w:rPr>
                          <w:t>June</w:t>
                        </w:r>
                        <w:r>
                          <w:rPr>
                            <w:rFonts w:ascii="Arial"/>
                            <w:b/>
                            <w:spacing w:val="-6"/>
                            <w:sz w:val="16"/>
                          </w:rPr>
                          <w:t> </w:t>
                        </w:r>
                        <w:r>
                          <w:rPr>
                            <w:rFonts w:ascii="Arial"/>
                            <w:b/>
                            <w:sz w:val="16"/>
                          </w:rPr>
                          <w:t>30,</w:t>
                        </w:r>
                        <w:r>
                          <w:rPr>
                            <w:rFonts w:ascii="Arial"/>
                            <w:b/>
                            <w:spacing w:val="-2"/>
                            <w:sz w:val="16"/>
                          </w:rPr>
                          <w:t> </w:t>
                        </w:r>
                        <w:r>
                          <w:rPr>
                            <w:rFonts w:ascii="Arial"/>
                            <w:b/>
                            <w:spacing w:val="-4"/>
                            <w:sz w:val="16"/>
                          </w:rPr>
                          <w:t>2022</w:t>
                        </w:r>
                      </w:p>
                      <w:p>
                        <w:pPr>
                          <w:spacing w:line="240" w:lineRule="auto" w:before="0"/>
                          <w:rPr>
                            <w:rFonts w:ascii="Arial"/>
                            <w:b/>
                            <w:sz w:val="16"/>
                          </w:rPr>
                        </w:pPr>
                      </w:p>
                      <w:p>
                        <w:pPr>
                          <w:spacing w:line="240" w:lineRule="auto" w:before="8"/>
                          <w:rPr>
                            <w:rFonts w:ascii="Arial"/>
                            <w:b/>
                            <w:sz w:val="16"/>
                          </w:rPr>
                        </w:pPr>
                      </w:p>
                      <w:p>
                        <w:pPr>
                          <w:spacing w:line="249" w:lineRule="auto" w:before="0"/>
                          <w:ind w:left="287" w:right="3410" w:firstLine="0"/>
                          <w:jc w:val="left"/>
                          <w:rPr>
                            <w:rFonts w:ascii="Arial MT"/>
                            <w:sz w:val="16"/>
                          </w:rPr>
                        </w:pPr>
                        <w:r>
                          <w:rPr>
                            <w:rFonts w:ascii="Arial MT"/>
                            <w:spacing w:val="-2"/>
                            <w:sz w:val="16"/>
                          </w:rPr>
                          <w:t>Fixed Spread </w:t>
                        </w:r>
                        <w:r>
                          <w:rPr>
                            <w:rFonts w:ascii="Arial MT"/>
                            <w:sz w:val="16"/>
                          </w:rPr>
                          <w:t>terms,</w:t>
                        </w:r>
                        <w:r>
                          <w:rPr>
                            <w:rFonts w:ascii="Arial MT"/>
                            <w:spacing w:val="-12"/>
                            <w:sz w:val="16"/>
                          </w:rPr>
                          <w:t> </w:t>
                        </w:r>
                        <w:r>
                          <w:rPr>
                            <w:rFonts w:ascii="Arial MT"/>
                            <w:sz w:val="16"/>
                          </w:rPr>
                          <w:t>18%</w:t>
                        </w:r>
                      </w:p>
                      <w:p>
                        <w:pPr>
                          <w:spacing w:before="80"/>
                          <w:ind w:left="111" w:right="66" w:firstLine="0"/>
                          <w:jc w:val="center"/>
                          <w:rPr>
                            <w:rFonts w:ascii="Arial MT"/>
                            <w:sz w:val="20"/>
                          </w:rPr>
                        </w:pPr>
                        <w:r>
                          <w:rPr>
                            <w:rFonts w:ascii="Arial MT"/>
                            <w:spacing w:val="-2"/>
                            <w:sz w:val="20"/>
                          </w:rPr>
                          <w:t>$74,523</w:t>
                        </w:r>
                      </w:p>
                      <w:p>
                        <w:pPr>
                          <w:spacing w:line="240" w:lineRule="auto" w:before="48"/>
                          <w:rPr>
                            <w:rFonts w:ascii="Arial MT"/>
                            <w:sz w:val="20"/>
                          </w:rPr>
                        </w:pPr>
                      </w:p>
                      <w:p>
                        <w:pPr>
                          <w:spacing w:line="249" w:lineRule="auto" w:before="0"/>
                          <w:ind w:left="3316" w:right="381" w:firstLine="0"/>
                          <w:jc w:val="left"/>
                          <w:rPr>
                            <w:rFonts w:ascii="Arial MT"/>
                            <w:sz w:val="16"/>
                          </w:rPr>
                        </w:pPr>
                        <w:r>
                          <w:rPr>
                            <w:rFonts w:ascii="Arial MT"/>
                            <w:spacing w:val="-2"/>
                            <w:sz w:val="16"/>
                          </w:rPr>
                          <w:t>Variable Spread </w:t>
                        </w:r>
                        <w:r>
                          <w:rPr>
                            <w:rFonts w:ascii="Arial MT"/>
                            <w:sz w:val="16"/>
                          </w:rPr>
                          <w:t>terms,</w:t>
                        </w:r>
                        <w:r>
                          <w:rPr>
                            <w:rFonts w:ascii="Arial MT"/>
                            <w:spacing w:val="-12"/>
                            <w:sz w:val="16"/>
                          </w:rPr>
                          <w:t> </w:t>
                        </w:r>
                        <w:r>
                          <w:rPr>
                            <w:rFonts w:ascii="Arial MT"/>
                            <w:sz w:val="16"/>
                          </w:rPr>
                          <w:t>82%</w:t>
                        </w:r>
                      </w:p>
                    </w:txbxContent>
                  </v:textbox>
                  <v:stroke dashstyle="solid"/>
                  <w10:wrap type="none"/>
                </v:shape>
                <w10:wrap type="topAndBottom"/>
              </v:group>
            </w:pict>
          </mc:Fallback>
        </mc:AlternateContent>
      </w:r>
    </w:p>
    <w:p>
      <w:pPr>
        <w:spacing w:before="183"/>
        <w:ind w:left="720" w:right="0" w:firstLine="0"/>
        <w:jc w:val="left"/>
        <w:rPr>
          <w:rFonts w:ascii="Arial"/>
          <w:b/>
          <w:sz w:val="18"/>
        </w:rPr>
      </w:pPr>
      <w:r>
        <w:rPr>
          <w:rFonts w:ascii="Arial"/>
          <w:b/>
          <w:sz w:val="18"/>
        </w:rPr>
        <w:t>Figure</w:t>
      </w:r>
      <w:r>
        <w:rPr>
          <w:rFonts w:ascii="Arial"/>
          <w:b/>
          <w:spacing w:val="-2"/>
          <w:sz w:val="18"/>
        </w:rPr>
        <w:t> </w:t>
      </w:r>
      <w:r>
        <w:rPr>
          <w:rFonts w:ascii="Arial"/>
          <w:b/>
          <w:sz w:val="18"/>
        </w:rPr>
        <w:t>12b:</w:t>
      </w:r>
      <w:r>
        <w:rPr>
          <w:rFonts w:ascii="Arial"/>
          <w:b/>
          <w:spacing w:val="-1"/>
          <w:sz w:val="18"/>
        </w:rPr>
        <w:t> </w:t>
      </w:r>
      <w:r>
        <w:rPr>
          <w:rFonts w:ascii="Arial"/>
          <w:b/>
          <w:sz w:val="18"/>
        </w:rPr>
        <w:t>Loans</w:t>
      </w:r>
      <w:r>
        <w:rPr>
          <w:rFonts w:ascii="Arial"/>
          <w:b/>
          <w:spacing w:val="-1"/>
          <w:sz w:val="18"/>
        </w:rPr>
        <w:t> </w:t>
      </w:r>
      <w:r>
        <w:rPr>
          <w:rFonts w:ascii="Arial"/>
          <w:b/>
          <w:sz w:val="18"/>
        </w:rPr>
        <w:t>Outstanding</w:t>
      </w:r>
      <w:r>
        <w:rPr>
          <w:rFonts w:ascii="Arial"/>
          <w:b/>
          <w:spacing w:val="-1"/>
          <w:sz w:val="18"/>
        </w:rPr>
        <w:t> </w:t>
      </w:r>
      <w:r>
        <w:rPr>
          <w:rFonts w:ascii="Arial"/>
          <w:b/>
          <w:sz w:val="18"/>
        </w:rPr>
        <w:t>by</w:t>
      </w:r>
      <w:r>
        <w:rPr>
          <w:rFonts w:ascii="Arial"/>
          <w:b/>
          <w:spacing w:val="-1"/>
          <w:sz w:val="18"/>
        </w:rPr>
        <w:t> </w:t>
      </w:r>
      <w:r>
        <w:rPr>
          <w:rFonts w:ascii="Arial"/>
          <w:b/>
          <w:spacing w:val="-2"/>
          <w:sz w:val="18"/>
        </w:rPr>
        <w:t>Currency</w:t>
      </w:r>
    </w:p>
    <w:p>
      <w:pPr>
        <w:pStyle w:val="BodyText"/>
        <w:spacing w:before="105"/>
        <w:rPr>
          <w:rFonts w:ascii="Arial"/>
          <w:b/>
        </w:rPr>
      </w:pPr>
      <w:r>
        <w:rPr>
          <w:rFonts w:ascii="Arial"/>
          <w:b/>
        </w:rPr>
        <mc:AlternateContent>
          <mc:Choice Requires="wps">
            <w:drawing>
              <wp:anchor distT="0" distB="0" distL="0" distR="0" allowOverlap="1" layoutInCell="1" locked="0" behindDoc="1" simplePos="0" relativeHeight="487638016">
                <wp:simplePos x="0" y="0"/>
                <wp:positionH relativeFrom="page">
                  <wp:posOffset>914400</wp:posOffset>
                </wp:positionH>
                <wp:positionV relativeFrom="paragraph">
                  <wp:posOffset>227952</wp:posOffset>
                </wp:positionV>
                <wp:extent cx="2905125" cy="1905000"/>
                <wp:effectExtent l="0" t="0" r="0" b="0"/>
                <wp:wrapTopAndBottom/>
                <wp:docPr id="294" name="Group 294"/>
                <wp:cNvGraphicFramePr>
                  <a:graphicFrameLocks/>
                </wp:cNvGraphicFramePr>
                <a:graphic>
                  <a:graphicData uri="http://schemas.microsoft.com/office/word/2010/wordprocessingGroup">
                    <wpg:wgp>
                      <wpg:cNvPr id="294" name="Group 294"/>
                      <wpg:cNvGrpSpPr/>
                      <wpg:grpSpPr>
                        <a:xfrm>
                          <a:off x="0" y="0"/>
                          <a:ext cx="2905125" cy="1905000"/>
                          <a:chExt cx="2905125" cy="1905000"/>
                        </a:xfrm>
                      </wpg:grpSpPr>
                      <wps:wsp>
                        <wps:cNvPr id="295" name="Graphic 295"/>
                        <wps:cNvSpPr/>
                        <wps:spPr>
                          <a:xfrm>
                            <a:off x="864579" y="576289"/>
                            <a:ext cx="441325" cy="582295"/>
                          </a:xfrm>
                          <a:custGeom>
                            <a:avLst/>
                            <a:gdLst/>
                            <a:ahLst/>
                            <a:cxnLst/>
                            <a:rect l="l" t="t" r="r" b="b"/>
                            <a:pathLst>
                              <a:path w="441325" h="582295">
                                <a:moveTo>
                                  <a:pt x="289105" y="0"/>
                                </a:moveTo>
                                <a:lnTo>
                                  <a:pt x="247217" y="27409"/>
                                </a:lnTo>
                                <a:lnTo>
                                  <a:pt x="208199" y="57898"/>
                                </a:lnTo>
                                <a:lnTo>
                                  <a:pt x="172162" y="91242"/>
                                </a:lnTo>
                                <a:lnTo>
                                  <a:pt x="139217" y="127216"/>
                                </a:lnTo>
                                <a:lnTo>
                                  <a:pt x="109473" y="165595"/>
                                </a:lnTo>
                                <a:lnTo>
                                  <a:pt x="83041" y="206154"/>
                                </a:lnTo>
                                <a:lnTo>
                                  <a:pt x="60031" y="248667"/>
                                </a:lnTo>
                                <a:lnTo>
                                  <a:pt x="40553" y="292911"/>
                                </a:lnTo>
                                <a:lnTo>
                                  <a:pt x="24717" y="338659"/>
                                </a:lnTo>
                                <a:lnTo>
                                  <a:pt x="12633" y="385687"/>
                                </a:lnTo>
                                <a:lnTo>
                                  <a:pt x="4412" y="433770"/>
                                </a:lnTo>
                                <a:lnTo>
                                  <a:pt x="164" y="482683"/>
                                </a:lnTo>
                                <a:lnTo>
                                  <a:pt x="0" y="532200"/>
                                </a:lnTo>
                                <a:lnTo>
                                  <a:pt x="4028" y="582096"/>
                                </a:lnTo>
                                <a:lnTo>
                                  <a:pt x="298386" y="545829"/>
                                </a:lnTo>
                                <a:lnTo>
                                  <a:pt x="296454" y="496122"/>
                                </a:lnTo>
                                <a:lnTo>
                                  <a:pt x="302689" y="447624"/>
                                </a:lnTo>
                                <a:lnTo>
                                  <a:pt x="316649" y="401236"/>
                                </a:lnTo>
                                <a:lnTo>
                                  <a:pt x="337893" y="357857"/>
                                </a:lnTo>
                                <a:lnTo>
                                  <a:pt x="365982" y="318388"/>
                                </a:lnTo>
                                <a:lnTo>
                                  <a:pt x="400473" y="283729"/>
                                </a:lnTo>
                                <a:lnTo>
                                  <a:pt x="440926" y="254779"/>
                                </a:lnTo>
                                <a:lnTo>
                                  <a:pt x="289105" y="0"/>
                                </a:lnTo>
                                <a:close/>
                              </a:path>
                            </a:pathLst>
                          </a:custGeom>
                          <a:solidFill>
                            <a:srgbClr val="959595"/>
                          </a:solidFill>
                        </wps:spPr>
                        <wps:bodyPr wrap="square" lIns="0" tIns="0" rIns="0" bIns="0" rtlCol="0">
                          <a:prstTxWarp prst="textNoShape">
                            <a:avLst/>
                          </a:prstTxWarp>
                          <a:noAutofit/>
                        </wps:bodyPr>
                      </wps:wsp>
                      <wps:wsp>
                        <wps:cNvPr id="296" name="Graphic 296"/>
                        <wps:cNvSpPr/>
                        <wps:spPr>
                          <a:xfrm>
                            <a:off x="1154195" y="544569"/>
                            <a:ext cx="182245" cy="286385"/>
                          </a:xfrm>
                          <a:custGeom>
                            <a:avLst/>
                            <a:gdLst/>
                            <a:ahLst/>
                            <a:cxnLst/>
                            <a:rect l="l" t="t" r="r" b="b"/>
                            <a:pathLst>
                              <a:path w="182245" h="286385">
                                <a:moveTo>
                                  <a:pt x="60506" y="0"/>
                                </a:moveTo>
                                <a:lnTo>
                                  <a:pt x="45045" y="7199"/>
                                </a:lnTo>
                                <a:lnTo>
                                  <a:pt x="29801" y="14838"/>
                                </a:lnTo>
                                <a:lnTo>
                                  <a:pt x="14782" y="22912"/>
                                </a:lnTo>
                                <a:lnTo>
                                  <a:pt x="0" y="31415"/>
                                </a:lnTo>
                                <a:lnTo>
                                  <a:pt x="151564" y="286348"/>
                                </a:lnTo>
                                <a:lnTo>
                                  <a:pt x="166465" y="278059"/>
                                </a:lnTo>
                                <a:lnTo>
                                  <a:pt x="181818" y="270640"/>
                                </a:lnTo>
                                <a:lnTo>
                                  <a:pt x="60506" y="0"/>
                                </a:lnTo>
                                <a:close/>
                              </a:path>
                            </a:pathLst>
                          </a:custGeom>
                          <a:solidFill>
                            <a:srgbClr val="585858"/>
                          </a:solidFill>
                        </wps:spPr>
                        <wps:bodyPr wrap="square" lIns="0" tIns="0" rIns="0" bIns="0" rtlCol="0">
                          <a:prstTxWarp prst="textNoShape">
                            <a:avLst/>
                          </a:prstTxWarp>
                          <a:noAutofit/>
                        </wps:bodyPr>
                      </wps:wsp>
                      <wps:wsp>
                        <wps:cNvPr id="297" name="Graphic 297"/>
                        <wps:cNvSpPr/>
                        <wps:spPr>
                          <a:xfrm>
                            <a:off x="1154195" y="544569"/>
                            <a:ext cx="182245" cy="286385"/>
                          </a:xfrm>
                          <a:custGeom>
                            <a:avLst/>
                            <a:gdLst/>
                            <a:ahLst/>
                            <a:cxnLst/>
                            <a:rect l="l" t="t" r="r" b="b"/>
                            <a:pathLst>
                              <a:path w="182245" h="286385">
                                <a:moveTo>
                                  <a:pt x="0" y="31415"/>
                                </a:moveTo>
                                <a:lnTo>
                                  <a:pt x="14782" y="22912"/>
                                </a:lnTo>
                                <a:lnTo>
                                  <a:pt x="29801" y="14838"/>
                                </a:lnTo>
                                <a:lnTo>
                                  <a:pt x="45045" y="7199"/>
                                </a:lnTo>
                                <a:lnTo>
                                  <a:pt x="60506" y="0"/>
                                </a:lnTo>
                                <a:lnTo>
                                  <a:pt x="181818" y="270640"/>
                                </a:lnTo>
                                <a:lnTo>
                                  <a:pt x="174087" y="274239"/>
                                </a:lnTo>
                                <a:lnTo>
                                  <a:pt x="166465" y="278059"/>
                                </a:lnTo>
                                <a:lnTo>
                                  <a:pt x="158956" y="282096"/>
                                </a:lnTo>
                                <a:lnTo>
                                  <a:pt x="151564" y="286348"/>
                                </a:lnTo>
                                <a:lnTo>
                                  <a:pt x="0" y="31415"/>
                                </a:lnTo>
                                <a:close/>
                              </a:path>
                            </a:pathLst>
                          </a:custGeom>
                          <a:ln w="9525">
                            <a:solidFill>
                              <a:srgbClr val="FFFFFF"/>
                            </a:solidFill>
                            <a:prstDash val="solid"/>
                          </a:ln>
                        </wps:spPr>
                        <wps:bodyPr wrap="square" lIns="0" tIns="0" rIns="0" bIns="0" rtlCol="0">
                          <a:prstTxWarp prst="textNoShape">
                            <a:avLst/>
                          </a:prstTxWarp>
                          <a:noAutofit/>
                        </wps:bodyPr>
                      </wps:wsp>
                      <wps:wsp>
                        <wps:cNvPr id="298" name="Graphic 298"/>
                        <wps:cNvSpPr/>
                        <wps:spPr>
                          <a:xfrm>
                            <a:off x="868620" y="492850"/>
                            <a:ext cx="1181735" cy="1186180"/>
                          </a:xfrm>
                          <a:custGeom>
                            <a:avLst/>
                            <a:gdLst/>
                            <a:ahLst/>
                            <a:cxnLst/>
                            <a:rect l="l" t="t" r="r" b="b"/>
                            <a:pathLst>
                              <a:path w="1181735" h="1186180">
                                <a:moveTo>
                                  <a:pt x="573349" y="0"/>
                                </a:moveTo>
                                <a:lnTo>
                                  <a:pt x="527351" y="2972"/>
                                </a:lnTo>
                                <a:lnTo>
                                  <a:pt x="481471" y="9562"/>
                                </a:lnTo>
                                <a:lnTo>
                                  <a:pt x="435917" y="19814"/>
                                </a:lnTo>
                                <a:lnTo>
                                  <a:pt x="390898" y="33771"/>
                                </a:lnTo>
                                <a:lnTo>
                                  <a:pt x="346623" y="51477"/>
                                </a:lnTo>
                                <a:lnTo>
                                  <a:pt x="467663" y="322238"/>
                                </a:lnTo>
                                <a:lnTo>
                                  <a:pt x="512310" y="306406"/>
                                </a:lnTo>
                                <a:lnTo>
                                  <a:pt x="558027" y="297985"/>
                                </a:lnTo>
                                <a:lnTo>
                                  <a:pt x="603979" y="296801"/>
                                </a:lnTo>
                                <a:lnTo>
                                  <a:pt x="649329" y="302677"/>
                                </a:lnTo>
                                <a:lnTo>
                                  <a:pt x="693240" y="315440"/>
                                </a:lnTo>
                                <a:lnTo>
                                  <a:pt x="734878" y="334915"/>
                                </a:lnTo>
                                <a:lnTo>
                                  <a:pt x="773405" y="360928"/>
                                </a:lnTo>
                                <a:lnTo>
                                  <a:pt x="807985" y="393304"/>
                                </a:lnTo>
                                <a:lnTo>
                                  <a:pt x="836994" y="430754"/>
                                </a:lnTo>
                                <a:lnTo>
                                  <a:pt x="859299" y="471539"/>
                                </a:lnTo>
                                <a:lnTo>
                                  <a:pt x="874805" y="514812"/>
                                </a:lnTo>
                                <a:lnTo>
                                  <a:pt x="883416" y="559723"/>
                                </a:lnTo>
                                <a:lnTo>
                                  <a:pt x="885036" y="605423"/>
                                </a:lnTo>
                                <a:lnTo>
                                  <a:pt x="879570" y="651063"/>
                                </a:lnTo>
                                <a:lnTo>
                                  <a:pt x="866920" y="695796"/>
                                </a:lnTo>
                                <a:lnTo>
                                  <a:pt x="846993" y="738771"/>
                                </a:lnTo>
                                <a:lnTo>
                                  <a:pt x="820502" y="778042"/>
                                </a:lnTo>
                                <a:lnTo>
                                  <a:pt x="788745" y="811991"/>
                                </a:lnTo>
                                <a:lnTo>
                                  <a:pt x="752499" y="840260"/>
                                </a:lnTo>
                                <a:lnTo>
                                  <a:pt x="712539" y="862494"/>
                                </a:lnTo>
                                <a:lnTo>
                                  <a:pt x="669641" y="878334"/>
                                </a:lnTo>
                                <a:lnTo>
                                  <a:pt x="624583" y="887426"/>
                                </a:lnTo>
                                <a:lnTo>
                                  <a:pt x="578139" y="889411"/>
                                </a:lnTo>
                                <a:lnTo>
                                  <a:pt x="531086" y="883933"/>
                                </a:lnTo>
                                <a:lnTo>
                                  <a:pt x="485497" y="871063"/>
                                </a:lnTo>
                                <a:lnTo>
                                  <a:pt x="443315" y="851526"/>
                                </a:lnTo>
                                <a:lnTo>
                                  <a:pt x="405122" y="825947"/>
                                </a:lnTo>
                                <a:lnTo>
                                  <a:pt x="371501" y="794952"/>
                                </a:lnTo>
                                <a:lnTo>
                                  <a:pt x="343031" y="759167"/>
                                </a:lnTo>
                                <a:lnTo>
                                  <a:pt x="320295" y="719216"/>
                                </a:lnTo>
                                <a:lnTo>
                                  <a:pt x="303875" y="675726"/>
                                </a:lnTo>
                                <a:lnTo>
                                  <a:pt x="294352" y="629322"/>
                                </a:lnTo>
                                <a:lnTo>
                                  <a:pt x="0" y="665644"/>
                                </a:lnTo>
                                <a:lnTo>
                                  <a:pt x="7725" y="712698"/>
                                </a:lnTo>
                                <a:lnTo>
                                  <a:pt x="19045" y="758452"/>
                                </a:lnTo>
                                <a:lnTo>
                                  <a:pt x="33813" y="802749"/>
                                </a:lnTo>
                                <a:lnTo>
                                  <a:pt x="51885" y="845432"/>
                                </a:lnTo>
                                <a:lnTo>
                                  <a:pt x="73115" y="886346"/>
                                </a:lnTo>
                                <a:lnTo>
                                  <a:pt x="97356" y="925333"/>
                                </a:lnTo>
                                <a:lnTo>
                                  <a:pt x="124465" y="962238"/>
                                </a:lnTo>
                                <a:lnTo>
                                  <a:pt x="154296" y="996905"/>
                                </a:lnTo>
                                <a:lnTo>
                                  <a:pt x="186702" y="1029175"/>
                                </a:lnTo>
                                <a:lnTo>
                                  <a:pt x="221539" y="1058895"/>
                                </a:lnTo>
                                <a:lnTo>
                                  <a:pt x="258662" y="1085906"/>
                                </a:lnTo>
                                <a:lnTo>
                                  <a:pt x="297925" y="1110053"/>
                                </a:lnTo>
                                <a:lnTo>
                                  <a:pt x="339182" y="1131179"/>
                                </a:lnTo>
                                <a:lnTo>
                                  <a:pt x="382288" y="1149127"/>
                                </a:lnTo>
                                <a:lnTo>
                                  <a:pt x="427098" y="1163742"/>
                                </a:lnTo>
                                <a:lnTo>
                                  <a:pt x="473466" y="1174867"/>
                                </a:lnTo>
                                <a:lnTo>
                                  <a:pt x="520574" y="1182255"/>
                                </a:lnTo>
                                <a:lnTo>
                                  <a:pt x="567572" y="1185823"/>
                                </a:lnTo>
                                <a:lnTo>
                                  <a:pt x="614266" y="1185659"/>
                                </a:lnTo>
                                <a:lnTo>
                                  <a:pt x="660460" y="1181852"/>
                                </a:lnTo>
                                <a:lnTo>
                                  <a:pt x="705963" y="1174493"/>
                                </a:lnTo>
                                <a:lnTo>
                                  <a:pt x="750579" y="1163670"/>
                                </a:lnTo>
                                <a:lnTo>
                                  <a:pt x="794114" y="1149472"/>
                                </a:lnTo>
                                <a:lnTo>
                                  <a:pt x="836374" y="1131989"/>
                                </a:lnTo>
                                <a:lnTo>
                                  <a:pt x="877165" y="1111309"/>
                                </a:lnTo>
                                <a:lnTo>
                                  <a:pt x="916294" y="1087523"/>
                                </a:lnTo>
                                <a:lnTo>
                                  <a:pt x="953566" y="1060718"/>
                                </a:lnTo>
                                <a:lnTo>
                                  <a:pt x="988787" y="1030984"/>
                                </a:lnTo>
                                <a:lnTo>
                                  <a:pt x="1021763" y="998411"/>
                                </a:lnTo>
                                <a:lnTo>
                                  <a:pt x="1052301" y="963087"/>
                                </a:lnTo>
                                <a:lnTo>
                                  <a:pt x="1080205" y="925102"/>
                                </a:lnTo>
                                <a:lnTo>
                                  <a:pt x="1105282" y="884544"/>
                                </a:lnTo>
                                <a:lnTo>
                                  <a:pt x="1127041" y="842114"/>
                                </a:lnTo>
                                <a:lnTo>
                                  <a:pt x="1145137" y="798593"/>
                                </a:lnTo>
                                <a:lnTo>
                                  <a:pt x="1159594" y="754194"/>
                                </a:lnTo>
                                <a:lnTo>
                                  <a:pt x="1170435" y="709128"/>
                                </a:lnTo>
                                <a:lnTo>
                                  <a:pt x="1177685" y="663608"/>
                                </a:lnTo>
                                <a:lnTo>
                                  <a:pt x="1181368" y="617847"/>
                                </a:lnTo>
                                <a:lnTo>
                                  <a:pt x="1181508" y="572055"/>
                                </a:lnTo>
                                <a:lnTo>
                                  <a:pt x="1178128" y="526447"/>
                                </a:lnTo>
                                <a:lnTo>
                                  <a:pt x="1171253" y="481232"/>
                                </a:lnTo>
                                <a:lnTo>
                                  <a:pt x="1160906" y="436625"/>
                                </a:lnTo>
                                <a:lnTo>
                                  <a:pt x="1147112" y="392837"/>
                                </a:lnTo>
                                <a:lnTo>
                                  <a:pt x="1129894" y="350080"/>
                                </a:lnTo>
                                <a:lnTo>
                                  <a:pt x="1109277" y="308566"/>
                                </a:lnTo>
                                <a:lnTo>
                                  <a:pt x="1085284" y="268508"/>
                                </a:lnTo>
                                <a:lnTo>
                                  <a:pt x="1057939" y="230118"/>
                                </a:lnTo>
                                <a:lnTo>
                                  <a:pt x="1027267" y="193608"/>
                                </a:lnTo>
                                <a:lnTo>
                                  <a:pt x="993778" y="159664"/>
                                </a:lnTo>
                                <a:lnTo>
                                  <a:pt x="958106" y="128857"/>
                                </a:lnTo>
                                <a:lnTo>
                                  <a:pt x="920461" y="101231"/>
                                </a:lnTo>
                                <a:lnTo>
                                  <a:pt x="881052" y="76831"/>
                                </a:lnTo>
                                <a:lnTo>
                                  <a:pt x="840088" y="55700"/>
                                </a:lnTo>
                                <a:lnTo>
                                  <a:pt x="797777" y="37881"/>
                                </a:lnTo>
                                <a:lnTo>
                                  <a:pt x="754330" y="23418"/>
                                </a:lnTo>
                                <a:lnTo>
                                  <a:pt x="709954" y="12354"/>
                                </a:lnTo>
                                <a:lnTo>
                                  <a:pt x="664859" y="4734"/>
                                </a:lnTo>
                                <a:lnTo>
                                  <a:pt x="619255" y="602"/>
                                </a:lnTo>
                                <a:lnTo>
                                  <a:pt x="573349" y="0"/>
                                </a:lnTo>
                                <a:close/>
                              </a:path>
                            </a:pathLst>
                          </a:custGeom>
                          <a:solidFill>
                            <a:srgbClr val="D9D9D9"/>
                          </a:solidFill>
                        </wps:spPr>
                        <wps:bodyPr wrap="square" lIns="0" tIns="0" rIns="0" bIns="0" rtlCol="0">
                          <a:prstTxWarp prst="textNoShape">
                            <a:avLst/>
                          </a:prstTxWarp>
                          <a:noAutofit/>
                        </wps:bodyPr>
                      </wps:wsp>
                      <wps:wsp>
                        <wps:cNvPr id="299" name="Textbox 299"/>
                        <wps:cNvSpPr txBox="1"/>
                        <wps:spPr>
                          <a:xfrm>
                            <a:off x="9525" y="9525"/>
                            <a:ext cx="2886075" cy="1885950"/>
                          </a:xfrm>
                          <a:prstGeom prst="rect">
                            <a:avLst/>
                          </a:prstGeom>
                          <a:ln w="19050">
                            <a:solidFill>
                              <a:srgbClr val="000000"/>
                            </a:solidFill>
                            <a:prstDash val="solid"/>
                          </a:ln>
                        </wps:spPr>
                        <wps:txbx>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p>
                              <w:pPr>
                                <w:spacing w:line="240" w:lineRule="auto" w:before="0"/>
                                <w:rPr>
                                  <w:rFonts w:ascii="Arial"/>
                                  <w:b/>
                                  <w:sz w:val="16"/>
                                </w:rPr>
                              </w:pPr>
                            </w:p>
                            <w:p>
                              <w:pPr>
                                <w:spacing w:line="240" w:lineRule="auto" w:before="65"/>
                                <w:rPr>
                                  <w:rFonts w:ascii="Arial"/>
                                  <w:b/>
                                  <w:sz w:val="16"/>
                                </w:rPr>
                              </w:pPr>
                            </w:p>
                            <w:p>
                              <w:pPr>
                                <w:spacing w:before="0"/>
                                <w:ind w:left="1071" w:right="0" w:firstLine="0"/>
                                <w:jc w:val="left"/>
                                <w:rPr>
                                  <w:rFonts w:ascii="Arial MT"/>
                                  <w:sz w:val="16"/>
                                </w:rPr>
                              </w:pPr>
                              <w:r>
                                <w:rPr>
                                  <w:rFonts w:ascii="Arial MT"/>
                                  <w:sz w:val="16"/>
                                </w:rPr>
                                <w:t>Other</w:t>
                              </w:r>
                              <w:r>
                                <w:rPr>
                                  <w:rFonts w:ascii="Arial MT"/>
                                  <w:spacing w:val="-2"/>
                                  <w:sz w:val="16"/>
                                </w:rPr>
                                <w:t> </w:t>
                              </w:r>
                              <w:r>
                                <w:rPr>
                                  <w:rFonts w:ascii="Arial MT"/>
                                  <w:spacing w:val="-5"/>
                                  <w:sz w:val="16"/>
                                </w:rPr>
                                <w:t>2%</w:t>
                              </w:r>
                            </w:p>
                            <w:p>
                              <w:pPr>
                                <w:spacing w:line="240" w:lineRule="auto" w:before="0"/>
                                <w:rPr>
                                  <w:rFonts w:ascii="Arial MT"/>
                                  <w:sz w:val="16"/>
                                </w:rPr>
                              </w:pPr>
                            </w:p>
                            <w:p>
                              <w:pPr>
                                <w:spacing w:line="240" w:lineRule="auto" w:before="131"/>
                                <w:rPr>
                                  <w:rFonts w:ascii="Arial MT"/>
                                  <w:sz w:val="16"/>
                                </w:rPr>
                              </w:pPr>
                            </w:p>
                            <w:p>
                              <w:pPr>
                                <w:spacing w:before="1"/>
                                <w:ind w:left="583" w:right="0" w:firstLine="0"/>
                                <w:jc w:val="left"/>
                                <w:rPr>
                                  <w:rFonts w:ascii="Arial MT"/>
                                  <w:sz w:val="16"/>
                                </w:rPr>
                              </w:pPr>
                              <w:r>
                                <w:rPr>
                                  <w:rFonts w:ascii="Arial MT"/>
                                  <w:sz w:val="16"/>
                                </w:rPr>
                                <w:t>Euro</w:t>
                              </w:r>
                              <w:r>
                                <w:rPr>
                                  <w:rFonts w:ascii="Arial MT"/>
                                  <w:spacing w:val="-1"/>
                                  <w:sz w:val="16"/>
                                </w:rPr>
                                <w:t> </w:t>
                              </w:r>
                              <w:r>
                                <w:rPr>
                                  <w:rFonts w:ascii="Arial MT"/>
                                  <w:spacing w:val="-5"/>
                                  <w:sz w:val="16"/>
                                </w:rPr>
                                <w:t>18%</w:t>
                              </w:r>
                            </w:p>
                            <w:p>
                              <w:pPr>
                                <w:spacing w:line="240" w:lineRule="auto" w:before="0"/>
                                <w:rPr>
                                  <w:rFonts w:ascii="Arial MT"/>
                                  <w:sz w:val="16"/>
                                </w:rPr>
                              </w:pPr>
                            </w:p>
                            <w:p>
                              <w:pPr>
                                <w:spacing w:line="240" w:lineRule="auto" w:before="0"/>
                                <w:rPr>
                                  <w:rFonts w:ascii="Arial MT"/>
                                  <w:sz w:val="16"/>
                                </w:rPr>
                              </w:pPr>
                            </w:p>
                            <w:p>
                              <w:pPr>
                                <w:spacing w:line="240" w:lineRule="auto" w:before="50"/>
                                <w:rPr>
                                  <w:rFonts w:ascii="Arial MT"/>
                                  <w:sz w:val="16"/>
                                </w:rPr>
                              </w:pPr>
                            </w:p>
                            <w:p>
                              <w:pPr>
                                <w:spacing w:before="0"/>
                                <w:ind w:left="0" w:right="159" w:firstLine="0"/>
                                <w:jc w:val="right"/>
                                <w:rPr>
                                  <w:rFonts w:ascii="Arial MT"/>
                                  <w:sz w:val="16"/>
                                </w:rPr>
                              </w:pPr>
                              <w:r>
                                <w:rPr>
                                  <w:rFonts w:ascii="Arial MT"/>
                                  <w:sz w:val="16"/>
                                </w:rPr>
                                <w:t>U.S.</w:t>
                              </w:r>
                              <w:r>
                                <w:rPr>
                                  <w:rFonts w:ascii="Arial MT"/>
                                  <w:spacing w:val="-5"/>
                                  <w:sz w:val="16"/>
                                </w:rPr>
                                <w:t> </w:t>
                              </w:r>
                              <w:r>
                                <w:rPr>
                                  <w:rFonts w:ascii="Arial MT"/>
                                  <w:sz w:val="16"/>
                                </w:rPr>
                                <w:t>Dollars</w:t>
                              </w:r>
                              <w:r>
                                <w:rPr>
                                  <w:rFonts w:ascii="Arial MT"/>
                                  <w:spacing w:val="-3"/>
                                  <w:sz w:val="16"/>
                                </w:rPr>
                                <w:t> </w:t>
                              </w:r>
                              <w:r>
                                <w:rPr>
                                  <w:rFonts w:ascii="Arial MT"/>
                                  <w:spacing w:val="-5"/>
                                  <w:sz w:val="16"/>
                                </w:rPr>
                                <w:t>80%</w:t>
                              </w:r>
                            </w:p>
                          </w:txbxContent>
                        </wps:txbx>
                        <wps:bodyPr wrap="square" lIns="0" tIns="0" rIns="0" bIns="0" rtlCol="0">
                          <a:noAutofit/>
                        </wps:bodyPr>
                      </wps:wsp>
                    </wpg:wgp>
                  </a:graphicData>
                </a:graphic>
              </wp:anchor>
            </w:drawing>
          </mc:Choice>
          <mc:Fallback>
            <w:pict>
              <v:group style="position:absolute;margin-left:72pt;margin-top:17.949024pt;width:228.75pt;height:150pt;mso-position-horizontal-relative:page;mso-position-vertical-relative:paragraph;z-index:-15678464;mso-wrap-distance-left:0;mso-wrap-distance-right:0" id="docshapegroup230" coordorigin="1440,359" coordsize="4575,3000">
                <v:shape style="position:absolute;left:2801;top:1266;width:695;height:917" id="docshape231" coordorigin="2802,1267" coordsize="695,917" path="m3257,1267l3191,1310,3129,1358,3073,1410,3021,1467,2974,1527,2932,1591,2896,1658,2865,1728,2840,1800,2821,1874,2808,1950,2802,2027,2802,2105,2808,2183,3271,2126,3268,2048,3278,1971,3300,1898,3334,1830,3378,1768,3432,1713,3496,1668,3257,1267xe" filled="true" fillcolor="#959595" stroked="false">
                  <v:path arrowok="t"/>
                  <v:fill type="solid"/>
                </v:shape>
                <v:shape style="position:absolute;left:3257;top:1216;width:287;height:451" id="docshape232" coordorigin="3258,1217" coordsize="287,451" path="m3353,1217l3329,1228,3305,1240,3281,1253,3258,1266,3496,1668,3520,1654,3544,1643,3353,1217xe" filled="true" fillcolor="#585858" stroked="false">
                  <v:path arrowok="t"/>
                  <v:fill type="solid"/>
                </v:shape>
                <v:shape style="position:absolute;left:3257;top:1216;width:287;height:451" id="docshape233" coordorigin="3258,1217" coordsize="287,451" path="m3258,1266l3281,1253,3305,1240,3329,1228,3353,1217,3544,1643,3532,1648,3520,1654,3508,1661,3496,1668,3258,1266xe" filled="false" stroked="true" strokeweight=".75pt" strokecolor="#ffffff">
                  <v:path arrowok="t"/>
                  <v:stroke dashstyle="solid"/>
                </v:shape>
                <v:shape style="position:absolute;left:2807;top:1135;width:1861;height:1868" id="docshape234" coordorigin="2808,1135" coordsize="1861,1868" path="m3711,1135l3638,1140,3566,1150,3494,1166,3423,1188,3354,1216,3544,1643,3615,1618,3687,1604,3759,1603,3830,1612,3900,1632,3965,1663,4026,1704,4080,1755,4126,1813,4161,1878,4186,1946,4199,2017,4202,2089,4193,2160,4173,2231,4142,2299,4100,2360,4050,2414,3993,2458,3930,2493,3862,2518,3792,2533,3718,2536,3644,2527,3572,2507,3506,2476,3446,2436,3393,2387,3348,2331,3312,2268,3286,2199,3271,2126,2808,2183,2820,2257,2838,2330,2861,2399,2890,2467,2923,2531,2961,2592,3004,2650,3051,2705,3102,2756,3157,2803,3215,2845,3277,2883,3342,2917,3410,2945,3481,2968,3554,2985,3628,2997,3702,3003,3775,3002,3848,2996,3920,2985,3990,2968,4058,2945,4125,2918,4189,2885,4251,2848,4310,2806,4365,2759,4417,2707,4465,2652,4509,2592,4549,2528,4583,2461,4611,2393,4634,2323,4651,2252,4663,2180,4668,2108,4669,2036,4663,1964,4652,1893,4636,1823,4614,1754,4587,1686,4555,1621,4517,1558,4474,1498,4426,1440,4373,1387,4317,1338,4257,1295,4195,1256,4131,1223,4064,1195,3996,1172,3926,1155,3855,1143,3783,1136,3711,1135xe" filled="true" fillcolor="#d9d9d9" stroked="false">
                  <v:path arrowok="t"/>
                  <v:fill type="solid"/>
                </v:shape>
                <v:shape style="position:absolute;left:1455;top:373;width:4545;height:2970" type="#_x0000_t202" id="docshape235" filled="false" stroked="true" strokeweight="1.5pt" strokecolor="#000000">
                  <v:textbox inset="0,0,0,0">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p>
                        <w:pPr>
                          <w:spacing w:line="240" w:lineRule="auto" w:before="0"/>
                          <w:rPr>
                            <w:rFonts w:ascii="Arial"/>
                            <w:b/>
                            <w:sz w:val="16"/>
                          </w:rPr>
                        </w:pPr>
                      </w:p>
                      <w:p>
                        <w:pPr>
                          <w:spacing w:line="240" w:lineRule="auto" w:before="65"/>
                          <w:rPr>
                            <w:rFonts w:ascii="Arial"/>
                            <w:b/>
                            <w:sz w:val="16"/>
                          </w:rPr>
                        </w:pPr>
                      </w:p>
                      <w:p>
                        <w:pPr>
                          <w:spacing w:before="0"/>
                          <w:ind w:left="1071" w:right="0" w:firstLine="0"/>
                          <w:jc w:val="left"/>
                          <w:rPr>
                            <w:rFonts w:ascii="Arial MT"/>
                            <w:sz w:val="16"/>
                          </w:rPr>
                        </w:pPr>
                        <w:r>
                          <w:rPr>
                            <w:rFonts w:ascii="Arial MT"/>
                            <w:sz w:val="16"/>
                          </w:rPr>
                          <w:t>Other</w:t>
                        </w:r>
                        <w:r>
                          <w:rPr>
                            <w:rFonts w:ascii="Arial MT"/>
                            <w:spacing w:val="-2"/>
                            <w:sz w:val="16"/>
                          </w:rPr>
                          <w:t> </w:t>
                        </w:r>
                        <w:r>
                          <w:rPr>
                            <w:rFonts w:ascii="Arial MT"/>
                            <w:spacing w:val="-5"/>
                            <w:sz w:val="16"/>
                          </w:rPr>
                          <w:t>2%</w:t>
                        </w:r>
                      </w:p>
                      <w:p>
                        <w:pPr>
                          <w:spacing w:line="240" w:lineRule="auto" w:before="0"/>
                          <w:rPr>
                            <w:rFonts w:ascii="Arial MT"/>
                            <w:sz w:val="16"/>
                          </w:rPr>
                        </w:pPr>
                      </w:p>
                      <w:p>
                        <w:pPr>
                          <w:spacing w:line="240" w:lineRule="auto" w:before="131"/>
                          <w:rPr>
                            <w:rFonts w:ascii="Arial MT"/>
                            <w:sz w:val="16"/>
                          </w:rPr>
                        </w:pPr>
                      </w:p>
                      <w:p>
                        <w:pPr>
                          <w:spacing w:before="1"/>
                          <w:ind w:left="583" w:right="0" w:firstLine="0"/>
                          <w:jc w:val="left"/>
                          <w:rPr>
                            <w:rFonts w:ascii="Arial MT"/>
                            <w:sz w:val="16"/>
                          </w:rPr>
                        </w:pPr>
                        <w:r>
                          <w:rPr>
                            <w:rFonts w:ascii="Arial MT"/>
                            <w:sz w:val="16"/>
                          </w:rPr>
                          <w:t>Euro</w:t>
                        </w:r>
                        <w:r>
                          <w:rPr>
                            <w:rFonts w:ascii="Arial MT"/>
                            <w:spacing w:val="-1"/>
                            <w:sz w:val="16"/>
                          </w:rPr>
                          <w:t> </w:t>
                        </w:r>
                        <w:r>
                          <w:rPr>
                            <w:rFonts w:ascii="Arial MT"/>
                            <w:spacing w:val="-5"/>
                            <w:sz w:val="16"/>
                          </w:rPr>
                          <w:t>18%</w:t>
                        </w:r>
                      </w:p>
                      <w:p>
                        <w:pPr>
                          <w:spacing w:line="240" w:lineRule="auto" w:before="0"/>
                          <w:rPr>
                            <w:rFonts w:ascii="Arial MT"/>
                            <w:sz w:val="16"/>
                          </w:rPr>
                        </w:pPr>
                      </w:p>
                      <w:p>
                        <w:pPr>
                          <w:spacing w:line="240" w:lineRule="auto" w:before="0"/>
                          <w:rPr>
                            <w:rFonts w:ascii="Arial MT"/>
                            <w:sz w:val="16"/>
                          </w:rPr>
                        </w:pPr>
                      </w:p>
                      <w:p>
                        <w:pPr>
                          <w:spacing w:line="240" w:lineRule="auto" w:before="50"/>
                          <w:rPr>
                            <w:rFonts w:ascii="Arial MT"/>
                            <w:sz w:val="16"/>
                          </w:rPr>
                        </w:pPr>
                      </w:p>
                      <w:p>
                        <w:pPr>
                          <w:spacing w:before="0"/>
                          <w:ind w:left="0" w:right="159" w:firstLine="0"/>
                          <w:jc w:val="right"/>
                          <w:rPr>
                            <w:rFonts w:ascii="Arial MT"/>
                            <w:sz w:val="16"/>
                          </w:rPr>
                        </w:pPr>
                        <w:r>
                          <w:rPr>
                            <w:rFonts w:ascii="Arial MT"/>
                            <w:sz w:val="16"/>
                          </w:rPr>
                          <w:t>U.S.</w:t>
                        </w:r>
                        <w:r>
                          <w:rPr>
                            <w:rFonts w:ascii="Arial MT"/>
                            <w:spacing w:val="-5"/>
                            <w:sz w:val="16"/>
                          </w:rPr>
                          <w:t> </w:t>
                        </w:r>
                        <w:r>
                          <w:rPr>
                            <w:rFonts w:ascii="Arial MT"/>
                            <w:sz w:val="16"/>
                          </w:rPr>
                          <w:t>Dollars</w:t>
                        </w:r>
                        <w:r>
                          <w:rPr>
                            <w:rFonts w:ascii="Arial MT"/>
                            <w:spacing w:val="-3"/>
                            <w:sz w:val="16"/>
                          </w:rPr>
                          <w:t> </w:t>
                        </w:r>
                        <w:r>
                          <w:rPr>
                            <w:rFonts w:ascii="Arial MT"/>
                            <w:spacing w:val="-5"/>
                            <w:sz w:val="16"/>
                          </w:rPr>
                          <w:t>80%</w:t>
                        </w:r>
                      </w:p>
                    </w:txbxContent>
                  </v:textbox>
                  <v:stroke dashstyle="solid"/>
                  <w10:wrap type="none"/>
                </v:shape>
                <w10:wrap type="topAndBottom"/>
              </v:group>
            </w:pict>
          </mc:Fallback>
        </mc:AlternateContent>
      </w:r>
      <w:r>
        <w:rPr>
          <w:rFonts w:ascii="Arial"/>
          <w:b/>
        </w:rPr>
        <mc:AlternateContent>
          <mc:Choice Requires="wps">
            <w:drawing>
              <wp:anchor distT="0" distB="0" distL="0" distR="0" allowOverlap="1" layoutInCell="1" locked="0" behindDoc="1" simplePos="0" relativeHeight="487638528">
                <wp:simplePos x="0" y="0"/>
                <wp:positionH relativeFrom="page">
                  <wp:posOffset>3883025</wp:posOffset>
                </wp:positionH>
                <wp:positionV relativeFrom="paragraph">
                  <wp:posOffset>227952</wp:posOffset>
                </wp:positionV>
                <wp:extent cx="2905125" cy="1905000"/>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2905125" cy="1905000"/>
                          <a:chExt cx="2905125" cy="1905000"/>
                        </a:xfrm>
                      </wpg:grpSpPr>
                      <wps:wsp>
                        <wps:cNvPr id="301" name="Graphic 301"/>
                        <wps:cNvSpPr/>
                        <wps:spPr>
                          <a:xfrm>
                            <a:off x="864626" y="584354"/>
                            <a:ext cx="434340" cy="574040"/>
                          </a:xfrm>
                          <a:custGeom>
                            <a:avLst/>
                            <a:gdLst/>
                            <a:ahLst/>
                            <a:cxnLst/>
                            <a:rect l="l" t="t" r="r" b="b"/>
                            <a:pathLst>
                              <a:path w="434340" h="574040">
                                <a:moveTo>
                                  <a:pt x="275913" y="0"/>
                                </a:moveTo>
                                <a:lnTo>
                                  <a:pt x="235690" y="27782"/>
                                </a:lnTo>
                                <a:lnTo>
                                  <a:pt x="198265" y="58443"/>
                                </a:lnTo>
                                <a:lnTo>
                                  <a:pt x="163740" y="91774"/>
                                </a:lnTo>
                                <a:lnTo>
                                  <a:pt x="132214" y="127561"/>
                                </a:lnTo>
                                <a:lnTo>
                                  <a:pt x="103789" y="165593"/>
                                </a:lnTo>
                                <a:lnTo>
                                  <a:pt x="78563" y="205660"/>
                                </a:lnTo>
                                <a:lnTo>
                                  <a:pt x="56637" y="247549"/>
                                </a:lnTo>
                                <a:lnTo>
                                  <a:pt x="38112" y="291048"/>
                                </a:lnTo>
                                <a:lnTo>
                                  <a:pt x="23088" y="335947"/>
                                </a:lnTo>
                                <a:lnTo>
                                  <a:pt x="11664" y="382034"/>
                                </a:lnTo>
                                <a:lnTo>
                                  <a:pt x="3941" y="429098"/>
                                </a:lnTo>
                                <a:lnTo>
                                  <a:pt x="20" y="476926"/>
                                </a:lnTo>
                                <a:lnTo>
                                  <a:pt x="0" y="525307"/>
                                </a:lnTo>
                                <a:lnTo>
                                  <a:pt x="3981" y="574031"/>
                                </a:lnTo>
                                <a:lnTo>
                                  <a:pt x="298339" y="537763"/>
                                </a:lnTo>
                                <a:lnTo>
                                  <a:pt x="296359" y="489211"/>
                                </a:lnTo>
                                <a:lnTo>
                                  <a:pt x="302181" y="441765"/>
                                </a:lnTo>
                                <a:lnTo>
                                  <a:pt x="315405" y="396272"/>
                                </a:lnTo>
                                <a:lnTo>
                                  <a:pt x="335630" y="353577"/>
                                </a:lnTo>
                                <a:lnTo>
                                  <a:pt x="362456" y="314528"/>
                                </a:lnTo>
                                <a:lnTo>
                                  <a:pt x="395482" y="279969"/>
                                </a:lnTo>
                                <a:lnTo>
                                  <a:pt x="434307" y="250747"/>
                                </a:lnTo>
                                <a:lnTo>
                                  <a:pt x="275913" y="0"/>
                                </a:lnTo>
                                <a:close/>
                              </a:path>
                            </a:pathLst>
                          </a:custGeom>
                          <a:solidFill>
                            <a:srgbClr val="959595"/>
                          </a:solidFill>
                        </wps:spPr>
                        <wps:bodyPr wrap="square" lIns="0" tIns="0" rIns="0" bIns="0" rtlCol="0">
                          <a:prstTxWarp prst="textNoShape">
                            <a:avLst/>
                          </a:prstTxWarp>
                          <a:noAutofit/>
                        </wps:bodyPr>
                      </wps:wsp>
                      <wps:wsp>
                        <wps:cNvPr id="302" name="Graphic 302"/>
                        <wps:cNvSpPr/>
                        <wps:spPr>
                          <a:xfrm>
                            <a:off x="1141041" y="548520"/>
                            <a:ext cx="191135" cy="287020"/>
                          </a:xfrm>
                          <a:custGeom>
                            <a:avLst/>
                            <a:gdLst/>
                            <a:ahLst/>
                            <a:cxnLst/>
                            <a:rect l="l" t="t" r="r" b="b"/>
                            <a:pathLst>
                              <a:path w="191135" h="287020">
                                <a:moveTo>
                                  <a:pt x="65031" y="0"/>
                                </a:moveTo>
                                <a:lnTo>
                                  <a:pt x="48363" y="8113"/>
                                </a:lnTo>
                                <a:lnTo>
                                  <a:pt x="31960" y="16742"/>
                                </a:lnTo>
                                <a:lnTo>
                                  <a:pt x="15835" y="25879"/>
                                </a:lnTo>
                                <a:lnTo>
                                  <a:pt x="0" y="35518"/>
                                </a:lnTo>
                                <a:lnTo>
                                  <a:pt x="158141" y="286423"/>
                                </a:lnTo>
                                <a:lnTo>
                                  <a:pt x="166059" y="281603"/>
                                </a:lnTo>
                                <a:lnTo>
                                  <a:pt x="174122" y="277035"/>
                                </a:lnTo>
                                <a:lnTo>
                                  <a:pt x="182323" y="272721"/>
                                </a:lnTo>
                                <a:lnTo>
                                  <a:pt x="190657" y="268664"/>
                                </a:lnTo>
                                <a:lnTo>
                                  <a:pt x="65031" y="0"/>
                                </a:lnTo>
                                <a:close/>
                              </a:path>
                            </a:pathLst>
                          </a:custGeom>
                          <a:solidFill>
                            <a:srgbClr val="585858"/>
                          </a:solidFill>
                        </wps:spPr>
                        <wps:bodyPr wrap="square" lIns="0" tIns="0" rIns="0" bIns="0" rtlCol="0">
                          <a:prstTxWarp prst="textNoShape">
                            <a:avLst/>
                          </a:prstTxWarp>
                          <a:noAutofit/>
                        </wps:bodyPr>
                      </wps:wsp>
                      <wps:wsp>
                        <wps:cNvPr id="303" name="Graphic 303"/>
                        <wps:cNvSpPr/>
                        <wps:spPr>
                          <a:xfrm>
                            <a:off x="1141041" y="548520"/>
                            <a:ext cx="191135" cy="287020"/>
                          </a:xfrm>
                          <a:custGeom>
                            <a:avLst/>
                            <a:gdLst/>
                            <a:ahLst/>
                            <a:cxnLst/>
                            <a:rect l="l" t="t" r="r" b="b"/>
                            <a:pathLst>
                              <a:path w="191135" h="287020">
                                <a:moveTo>
                                  <a:pt x="0" y="35518"/>
                                </a:moveTo>
                                <a:lnTo>
                                  <a:pt x="15835" y="25879"/>
                                </a:lnTo>
                                <a:lnTo>
                                  <a:pt x="31960" y="16742"/>
                                </a:lnTo>
                                <a:lnTo>
                                  <a:pt x="48363" y="8113"/>
                                </a:lnTo>
                                <a:lnTo>
                                  <a:pt x="65031" y="0"/>
                                </a:lnTo>
                                <a:lnTo>
                                  <a:pt x="190657" y="268664"/>
                                </a:lnTo>
                                <a:lnTo>
                                  <a:pt x="182323" y="272721"/>
                                </a:lnTo>
                                <a:lnTo>
                                  <a:pt x="174122" y="277035"/>
                                </a:lnTo>
                                <a:lnTo>
                                  <a:pt x="166059" y="281603"/>
                                </a:lnTo>
                                <a:lnTo>
                                  <a:pt x="158141" y="286423"/>
                                </a:lnTo>
                                <a:lnTo>
                                  <a:pt x="0" y="35518"/>
                                </a:lnTo>
                                <a:close/>
                              </a:path>
                            </a:pathLst>
                          </a:custGeom>
                          <a:ln w="9525">
                            <a:solidFill>
                              <a:srgbClr val="FFFFFF"/>
                            </a:solidFill>
                            <a:prstDash val="solid"/>
                          </a:ln>
                        </wps:spPr>
                        <wps:bodyPr wrap="square" lIns="0" tIns="0" rIns="0" bIns="0" rtlCol="0">
                          <a:prstTxWarp prst="textNoShape">
                            <a:avLst/>
                          </a:prstTxWarp>
                          <a:noAutofit/>
                        </wps:bodyPr>
                      </wps:wsp>
                      <wps:wsp>
                        <wps:cNvPr id="304" name="Graphic 304"/>
                        <wps:cNvSpPr/>
                        <wps:spPr>
                          <a:xfrm>
                            <a:off x="868620" y="493071"/>
                            <a:ext cx="1181735" cy="1186180"/>
                          </a:xfrm>
                          <a:custGeom>
                            <a:avLst/>
                            <a:gdLst/>
                            <a:ahLst/>
                            <a:cxnLst/>
                            <a:rect l="l" t="t" r="r" b="b"/>
                            <a:pathLst>
                              <a:path w="1181735" h="1186180">
                                <a:moveTo>
                                  <a:pt x="610674" y="0"/>
                                </a:moveTo>
                                <a:lnTo>
                                  <a:pt x="564621" y="68"/>
                                </a:lnTo>
                                <a:lnTo>
                                  <a:pt x="518528" y="3734"/>
                                </a:lnTo>
                                <a:lnTo>
                                  <a:pt x="472607" y="11039"/>
                                </a:lnTo>
                                <a:lnTo>
                                  <a:pt x="427069" y="22024"/>
                                </a:lnTo>
                                <a:lnTo>
                                  <a:pt x="382126" y="36730"/>
                                </a:lnTo>
                                <a:lnTo>
                                  <a:pt x="337990" y="55198"/>
                                </a:lnTo>
                                <a:lnTo>
                                  <a:pt x="463346" y="323987"/>
                                </a:lnTo>
                                <a:lnTo>
                                  <a:pt x="507886" y="307400"/>
                                </a:lnTo>
                                <a:lnTo>
                                  <a:pt x="553616" y="298255"/>
                                </a:lnTo>
                                <a:lnTo>
                                  <a:pt x="599689" y="296389"/>
                                </a:lnTo>
                                <a:lnTo>
                                  <a:pt x="645259" y="301635"/>
                                </a:lnTo>
                                <a:lnTo>
                                  <a:pt x="689479" y="313830"/>
                                </a:lnTo>
                                <a:lnTo>
                                  <a:pt x="731502" y="332810"/>
                                </a:lnTo>
                                <a:lnTo>
                                  <a:pt x="770483" y="358410"/>
                                </a:lnTo>
                                <a:lnTo>
                                  <a:pt x="805573" y="390465"/>
                                </a:lnTo>
                                <a:lnTo>
                                  <a:pt x="835117" y="427695"/>
                                </a:lnTo>
                                <a:lnTo>
                                  <a:pt x="857952" y="468358"/>
                                </a:lnTo>
                                <a:lnTo>
                                  <a:pt x="873971" y="511596"/>
                                </a:lnTo>
                                <a:lnTo>
                                  <a:pt x="883069" y="556556"/>
                                </a:lnTo>
                                <a:lnTo>
                                  <a:pt x="885142" y="602380"/>
                                </a:lnTo>
                                <a:lnTo>
                                  <a:pt x="880083" y="648212"/>
                                </a:lnTo>
                                <a:lnTo>
                                  <a:pt x="867787" y="693198"/>
                                </a:lnTo>
                                <a:lnTo>
                                  <a:pt x="848150" y="736479"/>
                                </a:lnTo>
                                <a:lnTo>
                                  <a:pt x="821877" y="776085"/>
                                </a:lnTo>
                                <a:lnTo>
                                  <a:pt x="790266" y="810371"/>
                                </a:lnTo>
                                <a:lnTo>
                                  <a:pt x="754098" y="838973"/>
                                </a:lnTo>
                                <a:lnTo>
                                  <a:pt x="714153" y="861524"/>
                                </a:lnTo>
                                <a:lnTo>
                                  <a:pt x="671215" y="877662"/>
                                </a:lnTo>
                                <a:lnTo>
                                  <a:pt x="626064" y="887020"/>
                                </a:lnTo>
                                <a:lnTo>
                                  <a:pt x="579481" y="889234"/>
                                </a:lnTo>
                                <a:lnTo>
                                  <a:pt x="532249" y="883939"/>
                                </a:lnTo>
                                <a:lnTo>
                                  <a:pt x="486461" y="871198"/>
                                </a:lnTo>
                                <a:lnTo>
                                  <a:pt x="444082" y="851735"/>
                                </a:lnTo>
                                <a:lnTo>
                                  <a:pt x="405700" y="826180"/>
                                </a:lnTo>
                                <a:lnTo>
                                  <a:pt x="371905" y="795164"/>
                                </a:lnTo>
                                <a:lnTo>
                                  <a:pt x="343283" y="759318"/>
                                </a:lnTo>
                                <a:lnTo>
                                  <a:pt x="320425" y="719272"/>
                                </a:lnTo>
                                <a:lnTo>
                                  <a:pt x="303919" y="675656"/>
                                </a:lnTo>
                                <a:lnTo>
                                  <a:pt x="294352" y="629101"/>
                                </a:lnTo>
                                <a:lnTo>
                                  <a:pt x="0" y="665423"/>
                                </a:lnTo>
                                <a:lnTo>
                                  <a:pt x="7758" y="712634"/>
                                </a:lnTo>
                                <a:lnTo>
                                  <a:pt x="19133" y="758534"/>
                                </a:lnTo>
                                <a:lnTo>
                                  <a:pt x="33978" y="802963"/>
                                </a:lnTo>
                                <a:lnTo>
                                  <a:pt x="52146" y="845766"/>
                                </a:lnTo>
                                <a:lnTo>
                                  <a:pt x="73490" y="886783"/>
                                </a:lnTo>
                                <a:lnTo>
                                  <a:pt x="97863" y="925858"/>
                                </a:lnTo>
                                <a:lnTo>
                                  <a:pt x="125117" y="962833"/>
                                </a:lnTo>
                                <a:lnTo>
                                  <a:pt x="155105" y="997551"/>
                                </a:lnTo>
                                <a:lnTo>
                                  <a:pt x="187681" y="1029853"/>
                                </a:lnTo>
                                <a:lnTo>
                                  <a:pt x="222696" y="1059582"/>
                                </a:lnTo>
                                <a:lnTo>
                                  <a:pt x="260005" y="1086581"/>
                                </a:lnTo>
                                <a:lnTo>
                                  <a:pt x="299460" y="1110692"/>
                                </a:lnTo>
                                <a:lnTo>
                                  <a:pt x="340913" y="1131757"/>
                                </a:lnTo>
                                <a:lnTo>
                                  <a:pt x="384218" y="1149619"/>
                                </a:lnTo>
                                <a:lnTo>
                                  <a:pt x="429228" y="1164119"/>
                                </a:lnTo>
                                <a:lnTo>
                                  <a:pt x="475795" y="1175102"/>
                                </a:lnTo>
                                <a:lnTo>
                                  <a:pt x="523092" y="1182319"/>
                                </a:lnTo>
                                <a:lnTo>
                                  <a:pt x="570259" y="1185691"/>
                                </a:lnTo>
                                <a:lnTo>
                                  <a:pt x="617102" y="1185309"/>
                                </a:lnTo>
                                <a:lnTo>
                                  <a:pt x="663424" y="1181263"/>
                                </a:lnTo>
                                <a:lnTo>
                                  <a:pt x="709031" y="1173645"/>
                                </a:lnTo>
                                <a:lnTo>
                                  <a:pt x="753726" y="1162547"/>
                                </a:lnTo>
                                <a:lnTo>
                                  <a:pt x="797316" y="1148058"/>
                                </a:lnTo>
                                <a:lnTo>
                                  <a:pt x="839603" y="1130272"/>
                                </a:lnTo>
                                <a:lnTo>
                                  <a:pt x="880394" y="1109278"/>
                                </a:lnTo>
                                <a:lnTo>
                                  <a:pt x="919492" y="1085168"/>
                                </a:lnTo>
                                <a:lnTo>
                                  <a:pt x="956702" y="1058034"/>
                                </a:lnTo>
                                <a:lnTo>
                                  <a:pt x="991829" y="1027965"/>
                                </a:lnTo>
                                <a:lnTo>
                                  <a:pt x="1024677" y="995055"/>
                                </a:lnTo>
                                <a:lnTo>
                                  <a:pt x="1055052" y="959393"/>
                                </a:lnTo>
                                <a:lnTo>
                                  <a:pt x="1082757" y="921071"/>
                                </a:lnTo>
                                <a:lnTo>
                                  <a:pt x="1107597" y="880180"/>
                                </a:lnTo>
                                <a:lnTo>
                                  <a:pt x="1129083" y="837431"/>
                                </a:lnTo>
                                <a:lnTo>
                                  <a:pt x="1146871" y="793617"/>
                                </a:lnTo>
                                <a:lnTo>
                                  <a:pt x="1160988" y="748951"/>
                                </a:lnTo>
                                <a:lnTo>
                                  <a:pt x="1171461" y="703647"/>
                                </a:lnTo>
                                <a:lnTo>
                                  <a:pt x="1178316" y="657919"/>
                                </a:lnTo>
                                <a:lnTo>
                                  <a:pt x="1181578" y="611982"/>
                                </a:lnTo>
                                <a:lnTo>
                                  <a:pt x="1181275" y="566049"/>
                                </a:lnTo>
                                <a:lnTo>
                                  <a:pt x="1177433" y="520334"/>
                                </a:lnTo>
                                <a:lnTo>
                                  <a:pt x="1170078" y="475052"/>
                                </a:lnTo>
                                <a:lnTo>
                                  <a:pt x="1159236" y="430416"/>
                                </a:lnTo>
                                <a:lnTo>
                                  <a:pt x="1144934" y="386640"/>
                                </a:lnTo>
                                <a:lnTo>
                                  <a:pt x="1127199" y="343938"/>
                                </a:lnTo>
                                <a:lnTo>
                                  <a:pt x="1106055" y="302524"/>
                                </a:lnTo>
                                <a:lnTo>
                                  <a:pt x="1081530" y="262613"/>
                                </a:lnTo>
                                <a:lnTo>
                                  <a:pt x="1053651" y="224418"/>
                                </a:lnTo>
                                <a:lnTo>
                                  <a:pt x="1022442" y="188153"/>
                                </a:lnTo>
                                <a:lnTo>
                                  <a:pt x="988430" y="154504"/>
                                </a:lnTo>
                                <a:lnTo>
                                  <a:pt x="952261" y="124042"/>
                                </a:lnTo>
                                <a:lnTo>
                                  <a:pt x="914147" y="96808"/>
                                </a:lnTo>
                                <a:lnTo>
                                  <a:pt x="874300" y="72842"/>
                                </a:lnTo>
                                <a:lnTo>
                                  <a:pt x="832932" y="52187"/>
                                </a:lnTo>
                                <a:lnTo>
                                  <a:pt x="790253" y="34883"/>
                                </a:lnTo>
                                <a:lnTo>
                                  <a:pt x="746477" y="20971"/>
                                </a:lnTo>
                                <a:lnTo>
                                  <a:pt x="701813" y="10492"/>
                                </a:lnTo>
                                <a:lnTo>
                                  <a:pt x="656475" y="3488"/>
                                </a:lnTo>
                                <a:lnTo>
                                  <a:pt x="610674" y="0"/>
                                </a:lnTo>
                                <a:close/>
                              </a:path>
                            </a:pathLst>
                          </a:custGeom>
                          <a:solidFill>
                            <a:srgbClr val="D9D9D9"/>
                          </a:solidFill>
                        </wps:spPr>
                        <wps:bodyPr wrap="square" lIns="0" tIns="0" rIns="0" bIns="0" rtlCol="0">
                          <a:prstTxWarp prst="textNoShape">
                            <a:avLst/>
                          </a:prstTxWarp>
                          <a:noAutofit/>
                        </wps:bodyPr>
                      </wps:wsp>
                      <wps:wsp>
                        <wps:cNvPr id="305" name="Textbox 305"/>
                        <wps:cNvSpPr txBox="1"/>
                        <wps:spPr>
                          <a:xfrm>
                            <a:off x="9525" y="9525"/>
                            <a:ext cx="2886075" cy="1885950"/>
                          </a:xfrm>
                          <a:prstGeom prst="rect">
                            <a:avLst/>
                          </a:prstGeom>
                          <a:ln w="19050">
                            <a:solidFill>
                              <a:srgbClr val="000000"/>
                            </a:solidFill>
                            <a:prstDash val="solid"/>
                          </a:ln>
                        </wps:spPr>
                        <wps:txbx>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p>
                              <w:pPr>
                                <w:spacing w:line="240" w:lineRule="auto" w:before="0"/>
                                <w:rPr>
                                  <w:rFonts w:ascii="Arial"/>
                                  <w:b/>
                                  <w:sz w:val="16"/>
                                </w:rPr>
                              </w:pPr>
                            </w:p>
                            <w:p>
                              <w:pPr>
                                <w:spacing w:line="240" w:lineRule="auto" w:before="100"/>
                                <w:rPr>
                                  <w:rFonts w:ascii="Arial"/>
                                  <w:b/>
                                  <w:sz w:val="16"/>
                                </w:rPr>
                              </w:pPr>
                            </w:p>
                            <w:p>
                              <w:pPr>
                                <w:spacing w:before="0"/>
                                <w:ind w:left="1060" w:right="0" w:firstLine="0"/>
                                <w:jc w:val="left"/>
                                <w:rPr>
                                  <w:rFonts w:ascii="Arial MT"/>
                                  <w:sz w:val="16"/>
                                </w:rPr>
                              </w:pPr>
                              <w:r>
                                <w:rPr>
                                  <w:rFonts w:ascii="Arial MT"/>
                                  <w:sz w:val="16"/>
                                </w:rPr>
                                <w:t>Other</w:t>
                              </w:r>
                              <w:r>
                                <w:rPr>
                                  <w:rFonts w:ascii="Arial MT"/>
                                  <w:spacing w:val="-2"/>
                                  <w:sz w:val="16"/>
                                </w:rPr>
                                <w:t> </w:t>
                              </w:r>
                              <w:r>
                                <w:rPr>
                                  <w:rFonts w:ascii="Arial MT"/>
                                  <w:spacing w:val="-5"/>
                                  <w:sz w:val="16"/>
                                </w:rPr>
                                <w:t>2%</w:t>
                              </w:r>
                            </w:p>
                            <w:p>
                              <w:pPr>
                                <w:spacing w:line="240" w:lineRule="auto" w:before="0"/>
                                <w:rPr>
                                  <w:rFonts w:ascii="Arial MT"/>
                                  <w:sz w:val="16"/>
                                </w:rPr>
                              </w:pPr>
                            </w:p>
                            <w:p>
                              <w:pPr>
                                <w:spacing w:line="240" w:lineRule="auto" w:before="56"/>
                                <w:rPr>
                                  <w:rFonts w:ascii="Arial MT"/>
                                  <w:sz w:val="16"/>
                                </w:rPr>
                              </w:pPr>
                            </w:p>
                            <w:p>
                              <w:pPr>
                                <w:spacing w:before="0"/>
                                <w:ind w:left="608" w:right="0" w:firstLine="0"/>
                                <w:jc w:val="left"/>
                                <w:rPr>
                                  <w:rFonts w:ascii="Arial MT"/>
                                  <w:sz w:val="16"/>
                                </w:rPr>
                              </w:pPr>
                              <w:r>
                                <w:rPr>
                                  <w:rFonts w:ascii="Arial MT"/>
                                  <w:sz w:val="16"/>
                                </w:rPr>
                                <w:t>Euro</w:t>
                              </w:r>
                              <w:r>
                                <w:rPr>
                                  <w:rFonts w:ascii="Arial MT"/>
                                  <w:spacing w:val="-1"/>
                                  <w:sz w:val="16"/>
                                </w:rPr>
                                <w:t> </w:t>
                              </w:r>
                              <w:r>
                                <w:rPr>
                                  <w:rFonts w:ascii="Arial MT"/>
                                  <w:spacing w:val="-5"/>
                                  <w:sz w:val="16"/>
                                </w:rPr>
                                <w:t>18%</w:t>
                              </w:r>
                            </w:p>
                            <w:p>
                              <w:pPr>
                                <w:spacing w:line="240" w:lineRule="auto" w:before="0"/>
                                <w:rPr>
                                  <w:rFonts w:ascii="Arial MT"/>
                                  <w:sz w:val="16"/>
                                </w:rPr>
                              </w:pPr>
                            </w:p>
                            <w:p>
                              <w:pPr>
                                <w:spacing w:line="240" w:lineRule="auto" w:before="0"/>
                                <w:rPr>
                                  <w:rFonts w:ascii="Arial MT"/>
                                  <w:sz w:val="16"/>
                                </w:rPr>
                              </w:pPr>
                            </w:p>
                            <w:p>
                              <w:pPr>
                                <w:spacing w:line="240" w:lineRule="auto" w:before="83"/>
                                <w:rPr>
                                  <w:rFonts w:ascii="Arial MT"/>
                                  <w:sz w:val="16"/>
                                </w:rPr>
                              </w:pPr>
                            </w:p>
                            <w:p>
                              <w:pPr>
                                <w:spacing w:before="0"/>
                                <w:ind w:left="0" w:right="156" w:firstLine="0"/>
                                <w:jc w:val="right"/>
                                <w:rPr>
                                  <w:rFonts w:ascii="Arial MT"/>
                                  <w:sz w:val="16"/>
                                </w:rPr>
                              </w:pPr>
                              <w:r>
                                <w:rPr>
                                  <w:rFonts w:ascii="Arial MT"/>
                                  <w:sz w:val="16"/>
                                </w:rPr>
                                <w:t>U.S.</w:t>
                              </w:r>
                              <w:r>
                                <w:rPr>
                                  <w:rFonts w:ascii="Arial MT"/>
                                  <w:spacing w:val="-5"/>
                                  <w:sz w:val="16"/>
                                </w:rPr>
                                <w:t> </w:t>
                              </w:r>
                              <w:r>
                                <w:rPr>
                                  <w:rFonts w:ascii="Arial MT"/>
                                  <w:sz w:val="16"/>
                                </w:rPr>
                                <w:t>Dollars</w:t>
                              </w:r>
                              <w:r>
                                <w:rPr>
                                  <w:rFonts w:ascii="Arial MT"/>
                                  <w:spacing w:val="-3"/>
                                  <w:sz w:val="16"/>
                                </w:rPr>
                                <w:t> </w:t>
                              </w:r>
                              <w:r>
                                <w:rPr>
                                  <w:rFonts w:ascii="Arial MT"/>
                                  <w:spacing w:val="-5"/>
                                  <w:sz w:val="16"/>
                                </w:rPr>
                                <w:t>80%</w:t>
                              </w:r>
                            </w:p>
                          </w:txbxContent>
                        </wps:txbx>
                        <wps:bodyPr wrap="square" lIns="0" tIns="0" rIns="0" bIns="0" rtlCol="0">
                          <a:noAutofit/>
                        </wps:bodyPr>
                      </wps:wsp>
                    </wpg:wgp>
                  </a:graphicData>
                </a:graphic>
              </wp:anchor>
            </w:drawing>
          </mc:Choice>
          <mc:Fallback>
            <w:pict>
              <v:group style="position:absolute;margin-left:305.75pt;margin-top:17.949024pt;width:228.75pt;height:150pt;mso-position-horizontal-relative:page;mso-position-vertical-relative:paragraph;z-index:-15677952;mso-wrap-distance-left:0;mso-wrap-distance-right:0" id="docshapegroup236" coordorigin="6115,359" coordsize="4575,3000">
                <v:shape style="position:absolute;left:7476;top:1279;width:684;height:904" id="docshape237" coordorigin="7477,1279" coordsize="684,904" path="m7911,1279l7848,1323,7789,1371,7734,1424,7685,1480,7640,1540,7600,1603,7566,1669,7537,1738,7513,1808,7495,1881,7483,1955,7477,2030,7477,2106,7483,2183,7946,2126,7943,2050,7952,1975,7973,1903,8005,1836,8047,1775,8099,1720,8161,1674,7911,1279xe" filled="true" fillcolor="#959595" stroked="false">
                  <v:path arrowok="t"/>
                  <v:fill type="solid"/>
                </v:shape>
                <v:shape style="position:absolute;left:7911;top:1222;width:301;height:452" id="docshape238" coordorigin="7912,1223" coordsize="301,452" path="m8014,1223l7988,1236,7962,1249,7937,1264,7912,1279,8161,1674,8173,1666,8186,1659,8199,1652,8212,1646,8014,1223xe" filled="true" fillcolor="#585858" stroked="false">
                  <v:path arrowok="t"/>
                  <v:fill type="solid"/>
                </v:shape>
                <v:shape style="position:absolute;left:7911;top:1222;width:301;height:452" id="docshape239" coordorigin="7912,1223" coordsize="301,452" path="m7912,1279l7937,1264,7962,1249,7988,1236,8014,1223,8212,1646,8199,1652,8186,1659,8173,1666,8161,1674,7912,1279xe" filled="false" stroked="true" strokeweight=".75pt" strokecolor="#ffffff">
                  <v:path arrowok="t"/>
                  <v:stroke dashstyle="solid"/>
                </v:shape>
                <v:shape style="position:absolute;left:7482;top:1135;width:1861;height:1868" id="docshape240" coordorigin="7483,1135" coordsize="1861,1868" path="m8445,1135l8372,1136,8299,1141,8227,1153,8155,1170,8085,1193,8015,1222,8213,1646,8283,1620,8355,1605,8427,1602,8499,1610,8569,1630,8635,1660,8696,1700,8752,1750,8798,1809,8834,1873,8859,1941,8874,2012,8877,2084,8869,2156,8850,2227,8819,2295,8777,2358,8727,2412,8670,2457,8608,2492,8540,2518,8469,2532,8395,2536,8321,2528,8249,2507,8182,2477,8122,2437,8069,2388,8024,2331,7988,2268,7962,2199,7946,2126,7483,2183,7495,2258,7513,2330,7536,2400,7565,2467,7599,2532,7637,2594,7680,2652,7727,2706,7778,2757,7834,2804,7892,2847,7954,2885,8020,2918,8088,2946,8159,2969,8232,2986,8307,2997,8381,3003,8455,3002,8528,2996,8599,2984,8670,2966,8739,2943,8805,2915,8869,2882,8931,2844,8990,2802,9045,2754,9097,2702,9144,2646,9188,2586,9227,2522,9261,2454,9289,2385,9311,2315,9328,2244,9339,2172,9344,2099,9343,2027,9337,1955,9326,1884,9308,1813,9286,1744,9258,1677,9225,1612,9186,1549,9142,1489,9093,1432,9039,1379,8983,1331,8923,1288,8860,1250,8795,1218,8727,1190,8658,1168,8588,1152,8517,1141,8445,1135xe" filled="true" fillcolor="#d9d9d9" stroked="false">
                  <v:path arrowok="t"/>
                  <v:fill type="solid"/>
                </v:shape>
                <v:shape style="position:absolute;left:6130;top:373;width:4545;height:2970" type="#_x0000_t202" id="docshape241" filled="false" stroked="true" strokeweight="1.5pt" strokecolor="#000000">
                  <v:textbox inset="0,0,0,0">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p>
                        <w:pPr>
                          <w:spacing w:line="240" w:lineRule="auto" w:before="0"/>
                          <w:rPr>
                            <w:rFonts w:ascii="Arial"/>
                            <w:b/>
                            <w:sz w:val="16"/>
                          </w:rPr>
                        </w:pPr>
                      </w:p>
                      <w:p>
                        <w:pPr>
                          <w:spacing w:line="240" w:lineRule="auto" w:before="100"/>
                          <w:rPr>
                            <w:rFonts w:ascii="Arial"/>
                            <w:b/>
                            <w:sz w:val="16"/>
                          </w:rPr>
                        </w:pPr>
                      </w:p>
                      <w:p>
                        <w:pPr>
                          <w:spacing w:before="0"/>
                          <w:ind w:left="1060" w:right="0" w:firstLine="0"/>
                          <w:jc w:val="left"/>
                          <w:rPr>
                            <w:rFonts w:ascii="Arial MT"/>
                            <w:sz w:val="16"/>
                          </w:rPr>
                        </w:pPr>
                        <w:r>
                          <w:rPr>
                            <w:rFonts w:ascii="Arial MT"/>
                            <w:sz w:val="16"/>
                          </w:rPr>
                          <w:t>Other</w:t>
                        </w:r>
                        <w:r>
                          <w:rPr>
                            <w:rFonts w:ascii="Arial MT"/>
                            <w:spacing w:val="-2"/>
                            <w:sz w:val="16"/>
                          </w:rPr>
                          <w:t> </w:t>
                        </w:r>
                        <w:r>
                          <w:rPr>
                            <w:rFonts w:ascii="Arial MT"/>
                            <w:spacing w:val="-5"/>
                            <w:sz w:val="16"/>
                          </w:rPr>
                          <w:t>2%</w:t>
                        </w:r>
                      </w:p>
                      <w:p>
                        <w:pPr>
                          <w:spacing w:line="240" w:lineRule="auto" w:before="0"/>
                          <w:rPr>
                            <w:rFonts w:ascii="Arial MT"/>
                            <w:sz w:val="16"/>
                          </w:rPr>
                        </w:pPr>
                      </w:p>
                      <w:p>
                        <w:pPr>
                          <w:spacing w:line="240" w:lineRule="auto" w:before="56"/>
                          <w:rPr>
                            <w:rFonts w:ascii="Arial MT"/>
                            <w:sz w:val="16"/>
                          </w:rPr>
                        </w:pPr>
                      </w:p>
                      <w:p>
                        <w:pPr>
                          <w:spacing w:before="0"/>
                          <w:ind w:left="608" w:right="0" w:firstLine="0"/>
                          <w:jc w:val="left"/>
                          <w:rPr>
                            <w:rFonts w:ascii="Arial MT"/>
                            <w:sz w:val="16"/>
                          </w:rPr>
                        </w:pPr>
                        <w:r>
                          <w:rPr>
                            <w:rFonts w:ascii="Arial MT"/>
                            <w:sz w:val="16"/>
                          </w:rPr>
                          <w:t>Euro</w:t>
                        </w:r>
                        <w:r>
                          <w:rPr>
                            <w:rFonts w:ascii="Arial MT"/>
                            <w:spacing w:val="-1"/>
                            <w:sz w:val="16"/>
                          </w:rPr>
                          <w:t> </w:t>
                        </w:r>
                        <w:r>
                          <w:rPr>
                            <w:rFonts w:ascii="Arial MT"/>
                            <w:spacing w:val="-5"/>
                            <w:sz w:val="16"/>
                          </w:rPr>
                          <w:t>18%</w:t>
                        </w:r>
                      </w:p>
                      <w:p>
                        <w:pPr>
                          <w:spacing w:line="240" w:lineRule="auto" w:before="0"/>
                          <w:rPr>
                            <w:rFonts w:ascii="Arial MT"/>
                            <w:sz w:val="16"/>
                          </w:rPr>
                        </w:pPr>
                      </w:p>
                      <w:p>
                        <w:pPr>
                          <w:spacing w:line="240" w:lineRule="auto" w:before="0"/>
                          <w:rPr>
                            <w:rFonts w:ascii="Arial MT"/>
                            <w:sz w:val="16"/>
                          </w:rPr>
                        </w:pPr>
                      </w:p>
                      <w:p>
                        <w:pPr>
                          <w:spacing w:line="240" w:lineRule="auto" w:before="83"/>
                          <w:rPr>
                            <w:rFonts w:ascii="Arial MT"/>
                            <w:sz w:val="16"/>
                          </w:rPr>
                        </w:pPr>
                      </w:p>
                      <w:p>
                        <w:pPr>
                          <w:spacing w:before="0"/>
                          <w:ind w:left="0" w:right="156" w:firstLine="0"/>
                          <w:jc w:val="right"/>
                          <w:rPr>
                            <w:rFonts w:ascii="Arial MT"/>
                            <w:sz w:val="16"/>
                          </w:rPr>
                        </w:pPr>
                        <w:r>
                          <w:rPr>
                            <w:rFonts w:ascii="Arial MT"/>
                            <w:sz w:val="16"/>
                          </w:rPr>
                          <w:t>U.S.</w:t>
                        </w:r>
                        <w:r>
                          <w:rPr>
                            <w:rFonts w:ascii="Arial MT"/>
                            <w:spacing w:val="-5"/>
                            <w:sz w:val="16"/>
                          </w:rPr>
                          <w:t> </w:t>
                        </w:r>
                        <w:r>
                          <w:rPr>
                            <w:rFonts w:ascii="Arial MT"/>
                            <w:sz w:val="16"/>
                          </w:rPr>
                          <w:t>Dollars</w:t>
                        </w:r>
                        <w:r>
                          <w:rPr>
                            <w:rFonts w:ascii="Arial MT"/>
                            <w:spacing w:val="-3"/>
                            <w:sz w:val="16"/>
                          </w:rPr>
                          <w:t> </w:t>
                        </w:r>
                        <w:r>
                          <w:rPr>
                            <w:rFonts w:ascii="Arial MT"/>
                            <w:spacing w:val="-5"/>
                            <w:sz w:val="16"/>
                          </w:rPr>
                          <w:t>80%</w:t>
                        </w:r>
                      </w:p>
                    </w:txbxContent>
                  </v:textbox>
                  <v:stroke dashstyle="solid"/>
                  <w10:wrap type="none"/>
                </v:shape>
                <w10:wrap type="topAndBottom"/>
              </v:group>
            </w:pict>
          </mc:Fallback>
        </mc:AlternateContent>
      </w:r>
    </w:p>
    <w:p>
      <w:pPr>
        <w:pStyle w:val="BodyText"/>
        <w:spacing w:after="0"/>
        <w:rPr>
          <w:rFonts w:ascii="Arial"/>
          <w:b/>
        </w:rPr>
        <w:sectPr>
          <w:pgSz w:w="12240" w:h="15840"/>
          <w:pgMar w:header="744" w:footer="583" w:top="1020" w:bottom="780" w:left="720" w:right="720"/>
        </w:sectPr>
      </w:pPr>
    </w:p>
    <w:p>
      <w:pPr>
        <w:pStyle w:val="BodyText"/>
        <w:spacing w:before="77"/>
        <w:rPr>
          <w:rFonts w:ascii="Arial"/>
          <w:b/>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39040">
                <wp:simplePos x="0" y="0"/>
                <wp:positionH relativeFrom="page">
                  <wp:posOffset>914400</wp:posOffset>
                </wp:positionH>
                <wp:positionV relativeFrom="paragraph">
                  <wp:posOffset>233062</wp:posOffset>
                </wp:positionV>
                <wp:extent cx="5943600"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77440;mso-wrap-distance-left:0;mso-wrap-distance-right:0" id="docshape254" coordorigin="1440,367" coordsize="9360,0" path="m1440,367l10800,367e" filled="false" stroked="true" strokeweight="1pt" strokecolor="#000000">
                <v:path arrowok="t"/>
                <v:stroke dashstyle="solid"/>
                <w10:wrap type="topAndBottom"/>
              </v:shape>
            </w:pict>
          </mc:Fallback>
        </mc:AlternateContent>
      </w:r>
      <w:bookmarkStart w:name="Section V: Other Development Activities" w:id="56"/>
      <w:bookmarkEnd w:id="56"/>
      <w:r>
        <w:rPr/>
      </w:r>
      <w:r>
        <w:rPr>
          <w:rFonts w:ascii="Arial"/>
          <w:b/>
          <w:sz w:val="28"/>
        </w:rPr>
        <w:t>Section</w:t>
      </w:r>
      <w:r>
        <w:rPr>
          <w:rFonts w:ascii="Arial"/>
          <w:b/>
          <w:spacing w:val="-3"/>
          <w:sz w:val="28"/>
        </w:rPr>
        <w:t> </w:t>
      </w:r>
      <w:r>
        <w:rPr>
          <w:rFonts w:ascii="Arial"/>
          <w:b/>
          <w:sz w:val="28"/>
        </w:rPr>
        <w:t>V:</w:t>
      </w:r>
      <w:r>
        <w:rPr>
          <w:rFonts w:ascii="Arial"/>
          <w:b/>
          <w:spacing w:val="-2"/>
          <w:sz w:val="28"/>
        </w:rPr>
        <w:t> </w:t>
      </w:r>
      <w:r>
        <w:rPr>
          <w:rFonts w:ascii="Arial"/>
          <w:b/>
          <w:sz w:val="28"/>
        </w:rPr>
        <w:t>Other</w:t>
      </w:r>
      <w:r>
        <w:rPr>
          <w:rFonts w:ascii="Arial"/>
          <w:b/>
          <w:spacing w:val="-2"/>
          <w:sz w:val="28"/>
        </w:rPr>
        <w:t> </w:t>
      </w:r>
      <w:r>
        <w:rPr>
          <w:rFonts w:ascii="Arial"/>
          <w:b/>
          <w:sz w:val="28"/>
        </w:rPr>
        <w:t>Development</w:t>
      </w:r>
      <w:r>
        <w:rPr>
          <w:rFonts w:ascii="Arial"/>
          <w:b/>
          <w:spacing w:val="-2"/>
          <w:sz w:val="28"/>
        </w:rPr>
        <w:t> Activities</w:t>
      </w:r>
    </w:p>
    <w:p>
      <w:pPr>
        <w:pStyle w:val="BodyText"/>
        <w:spacing w:line="232" w:lineRule="auto" w:before="167"/>
        <w:ind w:left="720" w:right="719"/>
        <w:jc w:val="both"/>
      </w:pPr>
      <w:r>
        <w:rPr/>
        <w:t>IBRD continues to deliver value to its client countries through its knowledge services, convening power, and capacity to implement solutions that address global issues where coordinated action is critical.</w:t>
      </w:r>
    </w:p>
    <w:p>
      <w:pPr>
        <w:pStyle w:val="BodyText"/>
        <w:spacing w:line="232" w:lineRule="auto" w:before="226"/>
        <w:ind w:left="720" w:right="719"/>
        <w:jc w:val="both"/>
      </w:pPr>
      <w:r>
        <w:rPr/>
        <w:t>IBRD also assists clients with designing financial products and structuring transactions to help mobilize resources for development projects and mitigate the financial effects of market volatility and disasters.</w:t>
      </w:r>
    </w:p>
    <w:p>
      <w:pPr>
        <w:pStyle w:val="BodyText"/>
        <w:spacing w:line="232" w:lineRule="auto" w:before="226"/>
        <w:ind w:left="720" w:right="720"/>
        <w:jc w:val="both"/>
      </w:pPr>
      <w:r>
        <w:rPr/>
        <w:t>Other financial products and services provided to borrowing member countries, and to affiliated and non-affiliated organizations, include financial guarantees, grants, externally-funded activities, and advisory services and analytics.</w:t>
      </w:r>
    </w:p>
    <w:p>
      <w:pPr>
        <w:spacing w:before="114"/>
        <w:ind w:left="720" w:right="0" w:firstLine="0"/>
        <w:jc w:val="left"/>
        <w:rPr>
          <w:rFonts w:ascii="Arial"/>
          <w:b/>
          <w:sz w:val="24"/>
        </w:rPr>
      </w:pPr>
      <w:bookmarkStart w:name="Guarantees" w:id="57"/>
      <w:bookmarkEnd w:id="57"/>
      <w:r>
        <w:rPr/>
      </w:r>
      <w:bookmarkStart w:name="_bookmark37" w:id="58"/>
      <w:bookmarkEnd w:id="58"/>
      <w:r>
        <w:rPr/>
      </w:r>
      <w:r>
        <w:rPr>
          <w:rFonts w:ascii="Arial"/>
          <w:b/>
          <w:spacing w:val="-2"/>
          <w:sz w:val="24"/>
        </w:rPr>
        <w:t>Guarantees</w:t>
      </w:r>
    </w:p>
    <w:p>
      <w:pPr>
        <w:pStyle w:val="BodyText"/>
        <w:spacing w:line="249" w:lineRule="auto" w:before="134"/>
        <w:ind w:left="720" w:right="720"/>
        <w:jc w:val="both"/>
      </w:pPr>
      <w:r>
        <w:rPr/>
        <w:t>IBRD’s</w:t>
      </w:r>
      <w:r>
        <w:rPr>
          <w:spacing w:val="-1"/>
        </w:rPr>
        <w:t> </w:t>
      </w:r>
      <w:r>
        <w:rPr/>
        <w:t>exposure</w:t>
      </w:r>
      <w:r>
        <w:rPr>
          <w:spacing w:val="-1"/>
        </w:rPr>
        <w:t> </w:t>
      </w:r>
      <w:r>
        <w:rPr/>
        <w:t>on</w:t>
      </w:r>
      <w:r>
        <w:rPr>
          <w:spacing w:val="-1"/>
        </w:rPr>
        <w:t> </w:t>
      </w:r>
      <w:r>
        <w:rPr/>
        <w:t>its</w:t>
      </w:r>
      <w:r>
        <w:rPr>
          <w:spacing w:val="-1"/>
        </w:rPr>
        <w:t> </w:t>
      </w:r>
      <w:r>
        <w:rPr/>
        <w:t>guarantees</w:t>
      </w:r>
      <w:r>
        <w:rPr>
          <w:spacing w:val="-1"/>
        </w:rPr>
        <w:t> </w:t>
      </w:r>
      <w:r>
        <w:rPr/>
        <w:t>was</w:t>
      </w:r>
      <w:r>
        <w:rPr>
          <w:spacing w:val="-1"/>
        </w:rPr>
        <w:t> </w:t>
      </w:r>
      <w:r>
        <w:rPr/>
        <w:t>$6.5</w:t>
      </w:r>
      <w:r>
        <w:rPr>
          <w:spacing w:val="-1"/>
        </w:rPr>
        <w:t> </w:t>
      </w:r>
      <w:r>
        <w:rPr/>
        <w:t>billion</w:t>
      </w:r>
      <w:r>
        <w:rPr>
          <w:spacing w:val="-1"/>
        </w:rPr>
        <w:t> </w:t>
      </w:r>
      <w:r>
        <w:rPr/>
        <w:t>as</w:t>
      </w:r>
      <w:r>
        <w:rPr>
          <w:spacing w:val="-1"/>
        </w:rPr>
        <w:t> </w:t>
      </w:r>
      <w:r>
        <w:rPr/>
        <w:t>of</w:t>
      </w:r>
      <w:r>
        <w:rPr>
          <w:spacing w:val="-1"/>
        </w:rPr>
        <w:t> </w:t>
      </w:r>
      <w:r>
        <w:rPr/>
        <w:t>June</w:t>
      </w:r>
      <w:r>
        <w:rPr>
          <w:spacing w:val="-1"/>
        </w:rPr>
        <w:t> </w:t>
      </w:r>
      <w:r>
        <w:rPr/>
        <w:t>30,</w:t>
      </w:r>
      <w:r>
        <w:rPr>
          <w:spacing w:val="-1"/>
        </w:rPr>
        <w:t> </w:t>
      </w:r>
      <w:r>
        <w:rPr/>
        <w:t>2023</w:t>
      </w:r>
      <w:r>
        <w:rPr>
          <w:spacing w:val="-1"/>
        </w:rPr>
        <w:t> </w:t>
      </w:r>
      <w:r>
        <w:rPr/>
        <w:t>compared</w:t>
      </w:r>
      <w:r>
        <w:rPr>
          <w:spacing w:val="-1"/>
        </w:rPr>
        <w:t> </w:t>
      </w:r>
      <w:r>
        <w:rPr/>
        <w:t>to</w:t>
      </w:r>
      <w:r>
        <w:rPr>
          <w:spacing w:val="-1"/>
        </w:rPr>
        <w:t> </w:t>
      </w:r>
      <w:r>
        <w:rPr/>
        <w:t>$6.3</w:t>
      </w:r>
      <w:r>
        <w:rPr>
          <w:spacing w:val="-1"/>
        </w:rPr>
        <w:t> </w:t>
      </w:r>
      <w:r>
        <w:rPr/>
        <w:t>billion</w:t>
      </w:r>
      <w:r>
        <w:rPr>
          <w:spacing w:val="-1"/>
        </w:rPr>
        <w:t> </w:t>
      </w:r>
      <w:r>
        <w:rPr/>
        <w:t>as</w:t>
      </w:r>
      <w:r>
        <w:rPr>
          <w:spacing w:val="-1"/>
        </w:rPr>
        <w:t> </w:t>
      </w:r>
      <w:r>
        <w:rPr/>
        <w:t>of</w:t>
      </w:r>
      <w:r>
        <w:rPr>
          <w:spacing w:val="-1"/>
        </w:rPr>
        <w:t> </w:t>
      </w:r>
      <w:r>
        <w:rPr/>
        <w:t>June</w:t>
      </w:r>
      <w:r>
        <w:rPr>
          <w:spacing w:val="-1"/>
        </w:rPr>
        <w:t> </w:t>
      </w:r>
      <w:r>
        <w:rPr/>
        <w:t>30,</w:t>
      </w:r>
      <w:r>
        <w:rPr>
          <w:spacing w:val="-1"/>
        </w:rPr>
        <w:t> </w:t>
      </w:r>
      <w:r>
        <w:rPr/>
        <w:t>2022 (see Table 14). Exposure is measured by discounting each guaranteed amount from its next call date.</w:t>
      </w:r>
    </w:p>
    <w:p>
      <w:pPr>
        <w:pStyle w:val="BodyText"/>
        <w:spacing w:line="232" w:lineRule="auto" w:before="187"/>
        <w:ind w:left="720" w:right="718"/>
        <w:jc w:val="both"/>
      </w:pPr>
      <w:r>
        <w:rPr/>
        <w:t>IBRD offers project-based and policy-based guarantees for priority projects and programs in member countries. Project-based guarantees are provided to mobilize private financing for projects; they are also used to mitigate projects’ payment- and performance-related risks. Policy-based guarantees are provided to mobilize private</w:t>
      </w:r>
      <w:r>
        <w:rPr>
          <w:spacing w:val="40"/>
        </w:rPr>
        <w:t> </w:t>
      </w:r>
      <w:r>
        <w:rPr/>
        <w:t>financing for sovereigns or sub- sovereigns. IBRD’s guarantees are partial and are intended to provide only the coverage necessary to obtain the required private financing, considering country, market and, if appropriate, project circumstances. All guarantees require a sovereign counter-guarantee and indemnity, comparable to the requirement of a sovereign guarantee for IBRD lending to sub-sovereign and non-sovereign borrowers (see Box 4). The Corporate Risk Guarantee Committee reviews the choice of instrument for all proposed new guarantee operations.</w:t>
      </w:r>
    </w:p>
    <w:p>
      <w:pPr>
        <w:pStyle w:val="BodyText"/>
        <w:spacing w:before="6"/>
      </w:pPr>
    </w:p>
    <w:p>
      <w:pPr>
        <w:spacing w:before="0" w:after="38"/>
        <w:ind w:left="720" w:right="0" w:firstLine="0"/>
        <w:jc w:val="left"/>
        <w:rPr>
          <w:rFonts w:ascii="Arial"/>
          <w:b/>
          <w:sz w:val="18"/>
        </w:rPr>
      </w:pPr>
      <w:bookmarkStart w:name="_bookmark38" w:id="59"/>
      <w:bookmarkEnd w:id="59"/>
      <w:r>
        <w:rPr/>
      </w:r>
      <w:r>
        <w:rPr>
          <w:rFonts w:ascii="Arial"/>
          <w:b/>
          <w:sz w:val="18"/>
        </w:rPr>
        <w:t>Box</w:t>
      </w:r>
      <w:r>
        <w:rPr>
          <w:rFonts w:ascii="Arial"/>
          <w:b/>
          <w:spacing w:val="-2"/>
          <w:sz w:val="18"/>
        </w:rPr>
        <w:t> </w:t>
      </w:r>
      <w:r>
        <w:rPr>
          <w:rFonts w:ascii="Arial"/>
          <w:b/>
          <w:sz w:val="18"/>
        </w:rPr>
        <w:t>4:</w:t>
      </w:r>
      <w:r>
        <w:rPr>
          <w:rFonts w:ascii="Arial"/>
          <w:b/>
          <w:spacing w:val="-2"/>
          <w:sz w:val="18"/>
        </w:rPr>
        <w:t> </w:t>
      </w:r>
      <w:r>
        <w:rPr>
          <w:rFonts w:ascii="Arial"/>
          <w:b/>
          <w:sz w:val="18"/>
        </w:rPr>
        <w:t>Types</w:t>
      </w:r>
      <w:r>
        <w:rPr>
          <w:rFonts w:ascii="Arial"/>
          <w:b/>
          <w:spacing w:val="-2"/>
          <w:sz w:val="18"/>
        </w:rPr>
        <w:t> </w:t>
      </w:r>
      <w:r>
        <w:rPr>
          <w:rFonts w:ascii="Arial"/>
          <w:b/>
          <w:sz w:val="18"/>
        </w:rPr>
        <w:t>of</w:t>
      </w:r>
      <w:r>
        <w:rPr>
          <w:rFonts w:ascii="Arial"/>
          <w:b/>
          <w:spacing w:val="-1"/>
          <w:sz w:val="18"/>
        </w:rPr>
        <w:t> </w:t>
      </w:r>
      <w:r>
        <w:rPr>
          <w:rFonts w:ascii="Arial"/>
          <w:b/>
          <w:sz w:val="18"/>
        </w:rPr>
        <w:t>Guarantees</w:t>
      </w:r>
      <w:r>
        <w:rPr>
          <w:rFonts w:ascii="Arial"/>
          <w:b/>
          <w:spacing w:val="-2"/>
          <w:sz w:val="18"/>
        </w:rPr>
        <w:t> </w:t>
      </w:r>
      <w:r>
        <w:rPr>
          <w:rFonts w:ascii="Arial"/>
          <w:b/>
          <w:sz w:val="18"/>
        </w:rPr>
        <w:t>Provided</w:t>
      </w:r>
      <w:r>
        <w:rPr>
          <w:rFonts w:ascii="Arial"/>
          <w:b/>
          <w:spacing w:val="-2"/>
          <w:sz w:val="18"/>
        </w:rPr>
        <w:t> </w:t>
      </w:r>
      <w:r>
        <w:rPr>
          <w:rFonts w:ascii="Arial"/>
          <w:b/>
          <w:sz w:val="18"/>
        </w:rPr>
        <w:t>by</w:t>
      </w:r>
      <w:r>
        <w:rPr>
          <w:rFonts w:ascii="Arial"/>
          <w:b/>
          <w:spacing w:val="-1"/>
          <w:sz w:val="18"/>
        </w:rPr>
        <w:t> </w:t>
      </w:r>
      <w:r>
        <w:rPr>
          <w:rFonts w:ascii="Arial"/>
          <w:b/>
          <w:spacing w:val="-4"/>
          <w:sz w:val="18"/>
        </w:rPr>
        <w:t>IBRD</w:t>
      </w:r>
    </w:p>
    <w:tbl>
      <w:tblPr>
        <w:tblW w:w="0" w:type="auto"/>
        <w:jc w:val="left"/>
        <w:tblInd w:w="715"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1800"/>
        <w:gridCol w:w="7575"/>
      </w:tblGrid>
      <w:tr>
        <w:trPr>
          <w:trHeight w:val="220" w:hRule="atLeast"/>
        </w:trPr>
        <w:tc>
          <w:tcPr>
            <w:tcW w:w="1800" w:type="dxa"/>
          </w:tcPr>
          <w:p>
            <w:pPr>
              <w:pStyle w:val="TableParagraph"/>
              <w:spacing w:line="184" w:lineRule="exact" w:before="16"/>
              <w:ind w:left="52"/>
              <w:rPr>
                <w:rFonts w:ascii="Arial"/>
                <w:b/>
                <w:sz w:val="16"/>
              </w:rPr>
            </w:pPr>
            <w:r>
              <w:rPr>
                <w:rFonts w:ascii="Arial"/>
                <w:b/>
                <w:spacing w:val="-2"/>
                <w:sz w:val="16"/>
              </w:rPr>
              <w:t>Guarantee</w:t>
            </w:r>
          </w:p>
        </w:tc>
        <w:tc>
          <w:tcPr>
            <w:tcW w:w="7575" w:type="dxa"/>
          </w:tcPr>
          <w:p>
            <w:pPr>
              <w:pStyle w:val="TableParagraph"/>
              <w:spacing w:line="184" w:lineRule="exact" w:before="16"/>
              <w:ind w:left="52"/>
              <w:rPr>
                <w:rFonts w:ascii="Arial"/>
                <w:b/>
                <w:sz w:val="16"/>
              </w:rPr>
            </w:pPr>
            <w:r>
              <w:rPr>
                <w:rFonts w:ascii="Arial"/>
                <w:b/>
                <w:spacing w:val="-2"/>
                <w:sz w:val="16"/>
              </w:rPr>
              <w:t>Description</w:t>
            </w:r>
          </w:p>
        </w:tc>
      </w:tr>
      <w:tr>
        <w:trPr>
          <w:trHeight w:val="1900" w:hRule="atLeast"/>
        </w:trPr>
        <w:tc>
          <w:tcPr>
            <w:tcW w:w="180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56"/>
              <w:rPr>
                <w:rFonts w:ascii="Arial"/>
                <w:b/>
                <w:sz w:val="16"/>
              </w:rPr>
            </w:pPr>
          </w:p>
          <w:p>
            <w:pPr>
              <w:pStyle w:val="TableParagraph"/>
              <w:spacing w:line="208" w:lineRule="auto"/>
              <w:ind w:left="197"/>
              <w:rPr>
                <w:rFonts w:ascii="Arial"/>
                <w:b/>
                <w:sz w:val="16"/>
              </w:rPr>
            </w:pPr>
            <w:r>
              <w:rPr>
                <w:rFonts w:ascii="Arial"/>
                <w:b/>
                <w:spacing w:val="-2"/>
                <w:sz w:val="16"/>
              </w:rPr>
              <w:t>Project-</w:t>
            </w:r>
            <w:r>
              <w:rPr>
                <w:rFonts w:ascii="Arial"/>
                <w:b/>
                <w:spacing w:val="-2"/>
                <w:sz w:val="16"/>
              </w:rPr>
              <w:t>based guarantees</w:t>
            </w:r>
          </w:p>
        </w:tc>
        <w:tc>
          <w:tcPr>
            <w:tcW w:w="7575" w:type="dxa"/>
          </w:tcPr>
          <w:p>
            <w:pPr>
              <w:pStyle w:val="TableParagraph"/>
              <w:spacing w:before="10"/>
              <w:ind w:left="107"/>
              <w:jc w:val="both"/>
              <w:rPr>
                <w:sz w:val="16"/>
              </w:rPr>
            </w:pPr>
            <w:r>
              <w:rPr>
                <w:sz w:val="16"/>
              </w:rPr>
              <w:t>Two</w:t>
            </w:r>
            <w:r>
              <w:rPr>
                <w:spacing w:val="-6"/>
                <w:sz w:val="16"/>
              </w:rPr>
              <w:t> </w:t>
            </w:r>
            <w:r>
              <w:rPr>
                <w:sz w:val="16"/>
              </w:rPr>
              <w:t>types</w:t>
            </w:r>
            <w:r>
              <w:rPr>
                <w:spacing w:val="-5"/>
                <w:sz w:val="16"/>
              </w:rPr>
              <w:t> </w:t>
            </w:r>
            <w:r>
              <w:rPr>
                <w:sz w:val="16"/>
              </w:rPr>
              <w:t>of</w:t>
            </w:r>
            <w:r>
              <w:rPr>
                <w:spacing w:val="-5"/>
                <w:sz w:val="16"/>
              </w:rPr>
              <w:t> </w:t>
            </w:r>
            <w:r>
              <w:rPr>
                <w:sz w:val="16"/>
              </w:rPr>
              <w:t>project-based</w:t>
            </w:r>
            <w:r>
              <w:rPr>
                <w:spacing w:val="-5"/>
                <w:sz w:val="16"/>
              </w:rPr>
              <w:t> </w:t>
            </w:r>
            <w:r>
              <w:rPr>
                <w:sz w:val="16"/>
              </w:rPr>
              <w:t>guarantees</w:t>
            </w:r>
            <w:r>
              <w:rPr>
                <w:spacing w:val="-5"/>
                <w:sz w:val="16"/>
              </w:rPr>
              <w:t> </w:t>
            </w:r>
            <w:r>
              <w:rPr>
                <w:sz w:val="16"/>
              </w:rPr>
              <w:t>are</w:t>
            </w:r>
            <w:r>
              <w:rPr>
                <w:spacing w:val="-5"/>
                <w:sz w:val="16"/>
              </w:rPr>
              <w:t> </w:t>
            </w:r>
            <w:r>
              <w:rPr>
                <w:spacing w:val="-2"/>
                <w:sz w:val="16"/>
              </w:rPr>
              <w:t>offered:</w:t>
            </w:r>
          </w:p>
          <w:p>
            <w:pPr>
              <w:pStyle w:val="TableParagraph"/>
              <w:numPr>
                <w:ilvl w:val="0"/>
                <w:numId w:val="13"/>
              </w:numPr>
              <w:tabs>
                <w:tab w:pos="500" w:val="left" w:leader="none"/>
                <w:tab w:pos="502" w:val="left" w:leader="none"/>
              </w:tabs>
              <w:spacing w:line="249" w:lineRule="auto" w:before="36" w:after="0"/>
              <w:ind w:left="502" w:right="28" w:hanging="360"/>
              <w:jc w:val="both"/>
              <w:rPr>
                <w:sz w:val="16"/>
              </w:rPr>
            </w:pPr>
            <w:r>
              <w:rPr>
                <w:sz w:val="16"/>
              </w:rPr>
              <w:t>Loan guarantees: these cover loan-related debt service defaults caused by the government’s</w:t>
            </w:r>
            <w:r>
              <w:rPr>
                <w:spacing w:val="40"/>
                <w:sz w:val="16"/>
              </w:rPr>
              <w:t> </w:t>
            </w:r>
            <w:r>
              <w:rPr>
                <w:sz w:val="16"/>
              </w:rPr>
              <w:t>failure to meet specific payment and/or performance obligations arising from contract, law or regulation, in relation to a project. Loan guarantees include coverage for debt service defaults on:</w:t>
            </w:r>
          </w:p>
          <w:p>
            <w:pPr>
              <w:pStyle w:val="TableParagraph"/>
              <w:spacing w:line="249" w:lineRule="auto" w:before="2"/>
              <w:ind w:left="502" w:right="30"/>
              <w:jc w:val="both"/>
              <w:rPr>
                <w:sz w:val="16"/>
              </w:rPr>
            </w:pPr>
            <w:r>
              <w:rPr>
                <w:sz w:val="16"/>
              </w:rPr>
              <w:t>(i) commercial debt, normally for a private sector project where the cause of debt service default is specifically covered by IBRD’s guarantee; and, (ii) a specific portion of commercial debt</w:t>
            </w:r>
            <w:r>
              <w:rPr>
                <w:spacing w:val="40"/>
                <w:sz w:val="16"/>
              </w:rPr>
              <w:t> </w:t>
            </w:r>
            <w:r>
              <w:rPr>
                <w:sz w:val="16"/>
              </w:rPr>
              <w:t>irrespective of the cause of such default, normally for a public-sector project.</w:t>
            </w:r>
          </w:p>
          <w:p>
            <w:pPr>
              <w:pStyle w:val="TableParagraph"/>
              <w:numPr>
                <w:ilvl w:val="0"/>
                <w:numId w:val="13"/>
              </w:numPr>
              <w:tabs>
                <w:tab w:pos="500" w:val="left" w:leader="none"/>
                <w:tab w:pos="502" w:val="left" w:leader="none"/>
              </w:tabs>
              <w:spacing w:line="190" w:lineRule="atLeast" w:before="116" w:after="0"/>
              <w:ind w:left="502" w:right="31" w:hanging="360"/>
              <w:jc w:val="both"/>
              <w:rPr>
                <w:sz w:val="16"/>
              </w:rPr>
            </w:pPr>
            <w:r>
              <w:rPr>
                <w:sz w:val="16"/>
              </w:rPr>
              <w:t>Payment guarantees: These cover payment default on non-loan related government payment obligations to private entities and foreign public entities arising from contract, law or regulation.</w:t>
            </w:r>
          </w:p>
        </w:tc>
      </w:tr>
      <w:tr>
        <w:trPr>
          <w:trHeight w:val="535" w:hRule="atLeast"/>
        </w:trPr>
        <w:tc>
          <w:tcPr>
            <w:tcW w:w="1800" w:type="dxa"/>
          </w:tcPr>
          <w:p>
            <w:pPr>
              <w:pStyle w:val="TableParagraph"/>
              <w:spacing w:line="208" w:lineRule="auto" w:before="109"/>
              <w:ind w:left="197"/>
              <w:rPr>
                <w:rFonts w:ascii="Arial"/>
                <w:b/>
                <w:sz w:val="16"/>
              </w:rPr>
            </w:pPr>
            <w:r>
              <w:rPr>
                <w:rFonts w:ascii="Arial"/>
                <w:b/>
                <w:spacing w:val="-2"/>
                <w:sz w:val="16"/>
              </w:rPr>
              <w:t>Policy-</w:t>
            </w:r>
            <w:r>
              <w:rPr>
                <w:rFonts w:ascii="Arial"/>
                <w:b/>
                <w:spacing w:val="-2"/>
                <w:sz w:val="16"/>
              </w:rPr>
              <w:t>based guarantees</w:t>
            </w:r>
          </w:p>
        </w:tc>
        <w:tc>
          <w:tcPr>
            <w:tcW w:w="7575" w:type="dxa"/>
          </w:tcPr>
          <w:p>
            <w:pPr>
              <w:pStyle w:val="TableParagraph"/>
              <w:spacing w:line="208" w:lineRule="auto" w:before="29"/>
              <w:ind w:left="52" w:right="29"/>
              <w:jc w:val="both"/>
              <w:rPr>
                <w:sz w:val="16"/>
              </w:rPr>
            </w:pPr>
            <w:r>
              <w:rPr>
                <w:sz w:val="16"/>
              </w:rPr>
              <w:t>These cover debt service default, irrespective of the cause of such default, on a specific portion of commercial debt owed by national or sub national government and associated with the supported government’s program of policy and institutional actions.</w:t>
            </w:r>
          </w:p>
        </w:tc>
      </w:tr>
      <w:tr>
        <w:trPr>
          <w:trHeight w:val="864" w:hRule="atLeast"/>
        </w:trPr>
        <w:tc>
          <w:tcPr>
            <w:tcW w:w="1800" w:type="dxa"/>
          </w:tcPr>
          <w:p>
            <w:pPr>
              <w:pStyle w:val="TableParagraph"/>
              <w:spacing w:before="90"/>
              <w:rPr>
                <w:rFonts w:ascii="Arial"/>
                <w:b/>
                <w:sz w:val="16"/>
              </w:rPr>
            </w:pPr>
          </w:p>
          <w:p>
            <w:pPr>
              <w:pStyle w:val="TableParagraph"/>
              <w:spacing w:line="208" w:lineRule="auto"/>
              <w:ind w:left="198" w:right="124"/>
              <w:rPr>
                <w:rFonts w:ascii="Arial"/>
                <w:b/>
                <w:sz w:val="16"/>
              </w:rPr>
            </w:pPr>
            <w:r>
              <w:rPr>
                <w:rFonts w:ascii="Arial"/>
                <w:b/>
                <w:sz w:val="16"/>
              </w:rPr>
              <w:t>Guarantees for enclave</w:t>
            </w:r>
            <w:r>
              <w:rPr>
                <w:rFonts w:ascii="Arial"/>
                <w:b/>
                <w:spacing w:val="-12"/>
                <w:sz w:val="16"/>
              </w:rPr>
              <w:t> </w:t>
            </w:r>
            <w:r>
              <w:rPr>
                <w:rFonts w:ascii="Arial"/>
                <w:b/>
                <w:sz w:val="16"/>
              </w:rPr>
              <w:t>operations</w:t>
            </w:r>
          </w:p>
        </w:tc>
        <w:tc>
          <w:tcPr>
            <w:tcW w:w="7575" w:type="dxa"/>
          </w:tcPr>
          <w:p>
            <w:pPr>
              <w:pStyle w:val="TableParagraph"/>
              <w:spacing w:line="208" w:lineRule="auto" w:before="34"/>
              <w:ind w:left="52" w:right="29"/>
              <w:jc w:val="both"/>
              <w:rPr>
                <w:sz w:val="16"/>
              </w:rPr>
            </w:pPr>
            <w:r>
              <w:rPr>
                <w:sz w:val="16"/>
              </w:rPr>
              <w:t>IBRD extends guarantees for projects in IDA-only member countries that (i) are expected to generate large economic benefits with significant developmental impact in the member country; and (ii) cannot be fully financed out of the country’s own resources, IDA</w:t>
            </w:r>
            <w:r>
              <w:rPr>
                <w:spacing w:val="-2"/>
                <w:sz w:val="16"/>
              </w:rPr>
              <w:t> </w:t>
            </w:r>
            <w:r>
              <w:rPr>
                <w:sz w:val="16"/>
              </w:rPr>
              <w:t>resources, or other concessional financing. Those projects</w:t>
            </w:r>
            <w:r>
              <w:rPr>
                <w:spacing w:val="-2"/>
                <w:sz w:val="16"/>
              </w:rPr>
              <w:t> </w:t>
            </w:r>
            <w:r>
              <w:rPr>
                <w:sz w:val="16"/>
              </w:rPr>
              <w:t>are</w:t>
            </w:r>
            <w:r>
              <w:rPr>
                <w:spacing w:val="-2"/>
                <w:sz w:val="16"/>
              </w:rPr>
              <w:t> </w:t>
            </w:r>
            <w:r>
              <w:rPr>
                <w:sz w:val="16"/>
              </w:rPr>
              <w:t>known</w:t>
            </w:r>
            <w:r>
              <w:rPr>
                <w:spacing w:val="-2"/>
                <w:sz w:val="16"/>
              </w:rPr>
              <w:t> </w:t>
            </w:r>
            <w:r>
              <w:rPr>
                <w:sz w:val="16"/>
              </w:rPr>
              <w:t>as</w:t>
            </w:r>
            <w:r>
              <w:rPr>
                <w:spacing w:val="-2"/>
                <w:sz w:val="16"/>
              </w:rPr>
              <w:t> </w:t>
            </w:r>
            <w:r>
              <w:rPr>
                <w:sz w:val="16"/>
              </w:rPr>
              <w:t>enclave</w:t>
            </w:r>
            <w:r>
              <w:rPr>
                <w:spacing w:val="-2"/>
                <w:sz w:val="16"/>
              </w:rPr>
              <w:t> </w:t>
            </w:r>
            <w:r>
              <w:rPr>
                <w:sz w:val="16"/>
              </w:rPr>
              <w:t>operations.</w:t>
            </w:r>
            <w:r>
              <w:rPr>
                <w:spacing w:val="-4"/>
                <w:sz w:val="16"/>
              </w:rPr>
              <w:t> </w:t>
            </w:r>
            <w:r>
              <w:rPr>
                <w:sz w:val="16"/>
              </w:rPr>
              <w:t>The</w:t>
            </w:r>
            <w:r>
              <w:rPr>
                <w:spacing w:val="-2"/>
                <w:sz w:val="16"/>
              </w:rPr>
              <w:t> </w:t>
            </w:r>
            <w:r>
              <w:rPr>
                <w:sz w:val="16"/>
              </w:rPr>
              <w:t>provision</w:t>
            </w:r>
            <w:r>
              <w:rPr>
                <w:spacing w:val="-2"/>
                <w:sz w:val="16"/>
              </w:rPr>
              <w:t> </w:t>
            </w:r>
            <w:r>
              <w:rPr>
                <w:sz w:val="16"/>
              </w:rPr>
              <w:t>of</w:t>
            </w:r>
            <w:r>
              <w:rPr>
                <w:spacing w:val="-2"/>
                <w:sz w:val="16"/>
              </w:rPr>
              <w:t> </w:t>
            </w:r>
            <w:r>
              <w:rPr>
                <w:sz w:val="16"/>
              </w:rPr>
              <w:t>IBRD</w:t>
            </w:r>
            <w:r>
              <w:rPr>
                <w:spacing w:val="-2"/>
                <w:sz w:val="16"/>
              </w:rPr>
              <w:t> </w:t>
            </w:r>
            <w:r>
              <w:rPr>
                <w:sz w:val="16"/>
              </w:rPr>
              <w:t>support</w:t>
            </w:r>
            <w:r>
              <w:rPr>
                <w:spacing w:val="-2"/>
                <w:sz w:val="16"/>
              </w:rPr>
              <w:t> </w:t>
            </w:r>
            <w:r>
              <w:rPr>
                <w:sz w:val="16"/>
              </w:rPr>
              <w:t>to</w:t>
            </w:r>
            <w:r>
              <w:rPr>
                <w:spacing w:val="-2"/>
                <w:sz w:val="16"/>
              </w:rPr>
              <w:t> </w:t>
            </w:r>
            <w:r>
              <w:rPr>
                <w:sz w:val="16"/>
              </w:rPr>
              <w:t>enclave</w:t>
            </w:r>
            <w:r>
              <w:rPr>
                <w:spacing w:val="-2"/>
                <w:sz w:val="16"/>
              </w:rPr>
              <w:t> </w:t>
            </w:r>
            <w:r>
              <w:rPr>
                <w:sz w:val="16"/>
              </w:rPr>
              <w:t>operations</w:t>
            </w:r>
            <w:r>
              <w:rPr>
                <w:spacing w:val="-2"/>
                <w:sz w:val="16"/>
              </w:rPr>
              <w:t> </w:t>
            </w:r>
            <w:r>
              <w:rPr>
                <w:sz w:val="16"/>
              </w:rPr>
              <w:t>is</w:t>
            </w:r>
            <w:r>
              <w:rPr>
                <w:spacing w:val="-2"/>
                <w:sz w:val="16"/>
              </w:rPr>
              <w:t> </w:t>
            </w:r>
            <w:r>
              <w:rPr>
                <w:sz w:val="16"/>
              </w:rPr>
              <w:t>subject to credit enhancement features that adequately mitigate IBRD’s credit risk.</w:t>
            </w:r>
          </w:p>
        </w:tc>
      </w:tr>
    </w:tbl>
    <w:p>
      <w:pPr>
        <w:pStyle w:val="BodyText"/>
        <w:spacing w:before="8"/>
        <w:rPr>
          <w:rFonts w:ascii="Arial"/>
          <w:b/>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90"/>
        <w:gridCol w:w="1326"/>
        <w:gridCol w:w="1344"/>
      </w:tblGrid>
      <w:tr>
        <w:trPr>
          <w:trHeight w:val="682" w:hRule="atLeast"/>
        </w:trPr>
        <w:tc>
          <w:tcPr>
            <w:tcW w:w="6690" w:type="dxa"/>
            <w:tcBorders>
              <w:bottom w:val="single" w:sz="8" w:space="0" w:color="6C6C6C"/>
            </w:tcBorders>
          </w:tcPr>
          <w:p>
            <w:pPr>
              <w:pStyle w:val="TableParagraph"/>
              <w:spacing w:line="179" w:lineRule="exact"/>
              <w:ind w:left="52"/>
              <w:rPr>
                <w:rFonts w:ascii="Arial"/>
                <w:b/>
                <w:sz w:val="16"/>
              </w:rPr>
            </w:pPr>
            <w:bookmarkStart w:name="_bookmark39" w:id="60"/>
            <w:bookmarkEnd w:id="60"/>
            <w:r>
              <w:rPr/>
            </w:r>
            <w:r>
              <w:rPr>
                <w:rFonts w:ascii="Arial"/>
                <w:b/>
                <w:sz w:val="16"/>
              </w:rPr>
              <w:t>Table</w:t>
            </w:r>
            <w:r>
              <w:rPr>
                <w:rFonts w:ascii="Arial"/>
                <w:b/>
                <w:spacing w:val="-5"/>
                <w:sz w:val="16"/>
              </w:rPr>
              <w:t> </w:t>
            </w:r>
            <w:r>
              <w:rPr>
                <w:rFonts w:ascii="Arial"/>
                <w:b/>
                <w:sz w:val="16"/>
              </w:rPr>
              <w:t>14:</w:t>
            </w:r>
            <w:r>
              <w:rPr>
                <w:rFonts w:ascii="Arial"/>
                <w:b/>
                <w:spacing w:val="-5"/>
                <w:sz w:val="16"/>
              </w:rPr>
              <w:t> </w:t>
            </w:r>
            <w:r>
              <w:rPr>
                <w:rFonts w:ascii="Arial"/>
                <w:b/>
                <w:sz w:val="16"/>
              </w:rPr>
              <w:t>Guarantees</w:t>
            </w:r>
            <w:r>
              <w:rPr>
                <w:rFonts w:ascii="Arial"/>
                <w:b/>
                <w:spacing w:val="-4"/>
                <w:sz w:val="16"/>
              </w:rPr>
              <w:t> </w:t>
            </w:r>
            <w:r>
              <w:rPr>
                <w:rFonts w:ascii="Arial"/>
                <w:b/>
                <w:spacing w:val="-2"/>
                <w:sz w:val="16"/>
              </w:rPr>
              <w:t>Exposure</w:t>
            </w:r>
          </w:p>
          <w:p>
            <w:pPr>
              <w:pStyle w:val="TableParagraph"/>
              <w:spacing w:line="240" w:lineRule="atLeast"/>
              <w:ind w:left="108" w:right="5002" w:hanging="56"/>
              <w:rPr>
                <w:rFonts w:ascii="Arial"/>
                <w:i/>
                <w:sz w:val="16"/>
              </w:rPr>
            </w:pPr>
            <w:r>
              <w:rPr>
                <w:rFonts w:ascii="Arial"/>
                <w:i/>
                <w:sz w:val="16"/>
              </w:rPr>
              <w:t>In</w:t>
            </w:r>
            <w:r>
              <w:rPr>
                <w:rFonts w:ascii="Arial"/>
                <w:i/>
                <w:spacing w:val="-12"/>
                <w:sz w:val="16"/>
              </w:rPr>
              <w:t> </w:t>
            </w:r>
            <w:r>
              <w:rPr>
                <w:rFonts w:ascii="Arial"/>
                <w:i/>
                <w:sz w:val="16"/>
              </w:rPr>
              <w:t>million</w:t>
            </w:r>
            <w:r>
              <w:rPr>
                <w:rFonts w:ascii="Arial"/>
                <w:i/>
                <w:spacing w:val="-11"/>
                <w:sz w:val="16"/>
              </w:rPr>
              <w:t> </w:t>
            </w:r>
            <w:r>
              <w:rPr>
                <w:rFonts w:ascii="Arial"/>
                <w:i/>
                <w:sz w:val="16"/>
              </w:rPr>
              <w:t>U.S.</w:t>
            </w:r>
            <w:r>
              <w:rPr>
                <w:rFonts w:ascii="Arial"/>
                <w:i/>
                <w:spacing w:val="-11"/>
                <w:sz w:val="16"/>
              </w:rPr>
              <w:t> </w:t>
            </w:r>
            <w:r>
              <w:rPr>
                <w:rFonts w:ascii="Arial"/>
                <w:i/>
                <w:sz w:val="16"/>
              </w:rPr>
              <w:t>dollars </w:t>
            </w:r>
            <w:r>
              <w:rPr>
                <w:rFonts w:ascii="Arial"/>
                <w:i/>
                <w:color w:val="484848"/>
                <w:sz w:val="16"/>
              </w:rPr>
              <w:t>As of June 30,</w:t>
            </w:r>
          </w:p>
        </w:tc>
        <w:tc>
          <w:tcPr>
            <w:tcW w:w="1326" w:type="dxa"/>
            <w:tcBorders>
              <w:bottom w:val="single" w:sz="8" w:space="0" w:color="6C6C6C"/>
            </w:tcBorders>
          </w:tcPr>
          <w:p>
            <w:pPr>
              <w:pStyle w:val="TableParagraph"/>
              <w:rPr>
                <w:rFonts w:ascii="Arial"/>
                <w:b/>
                <w:sz w:val="16"/>
              </w:rPr>
            </w:pPr>
          </w:p>
          <w:p>
            <w:pPr>
              <w:pStyle w:val="TableParagraph"/>
              <w:spacing w:before="107"/>
              <w:rPr>
                <w:rFonts w:ascii="Arial"/>
                <w:b/>
                <w:sz w:val="16"/>
              </w:rPr>
            </w:pPr>
          </w:p>
          <w:p>
            <w:pPr>
              <w:pStyle w:val="TableParagraph"/>
              <w:ind w:right="126"/>
              <w:jc w:val="right"/>
              <w:rPr>
                <w:rFonts w:ascii="Arial"/>
                <w:i/>
                <w:sz w:val="16"/>
              </w:rPr>
            </w:pPr>
            <w:r>
              <w:rPr>
                <w:rFonts w:ascii="Arial"/>
                <w:i/>
                <w:color w:val="484848"/>
                <w:spacing w:val="-4"/>
                <w:sz w:val="16"/>
              </w:rPr>
              <w:t>2023</w:t>
            </w:r>
          </w:p>
        </w:tc>
        <w:tc>
          <w:tcPr>
            <w:tcW w:w="1344" w:type="dxa"/>
            <w:tcBorders>
              <w:bottom w:val="single" w:sz="8" w:space="0" w:color="6C6C6C"/>
            </w:tcBorders>
          </w:tcPr>
          <w:p>
            <w:pPr>
              <w:pStyle w:val="TableParagraph"/>
              <w:rPr>
                <w:rFonts w:ascii="Arial"/>
                <w:b/>
                <w:sz w:val="16"/>
              </w:rPr>
            </w:pPr>
          </w:p>
          <w:p>
            <w:pPr>
              <w:pStyle w:val="TableParagraph"/>
              <w:spacing w:before="107"/>
              <w:rPr>
                <w:rFonts w:ascii="Arial"/>
                <w:b/>
                <w:sz w:val="16"/>
              </w:rPr>
            </w:pPr>
          </w:p>
          <w:p>
            <w:pPr>
              <w:pStyle w:val="TableParagraph"/>
              <w:ind w:right="105"/>
              <w:jc w:val="right"/>
              <w:rPr>
                <w:rFonts w:ascii="Arial"/>
                <w:i/>
                <w:sz w:val="16"/>
              </w:rPr>
            </w:pPr>
            <w:r>
              <w:rPr>
                <w:rFonts w:ascii="Arial"/>
                <w:i/>
                <w:color w:val="484848"/>
                <w:spacing w:val="-4"/>
                <w:sz w:val="16"/>
              </w:rPr>
              <w:t>2022</w:t>
            </w:r>
          </w:p>
        </w:tc>
      </w:tr>
      <w:tr>
        <w:trPr>
          <w:trHeight w:val="227" w:hRule="atLeast"/>
        </w:trPr>
        <w:tc>
          <w:tcPr>
            <w:tcW w:w="6690" w:type="dxa"/>
            <w:tcBorders>
              <w:top w:val="single" w:sz="8" w:space="0" w:color="6C6C6C"/>
            </w:tcBorders>
          </w:tcPr>
          <w:p>
            <w:pPr>
              <w:pStyle w:val="TableParagraph"/>
              <w:spacing w:before="12"/>
              <w:ind w:left="108"/>
              <w:rPr>
                <w:sz w:val="16"/>
              </w:rPr>
            </w:pPr>
            <w:r>
              <w:rPr>
                <w:sz w:val="16"/>
              </w:rPr>
              <w:t>Guarantees</w:t>
            </w:r>
            <w:r>
              <w:rPr>
                <w:spacing w:val="-5"/>
                <w:sz w:val="16"/>
              </w:rPr>
              <w:t> </w:t>
            </w:r>
            <w:r>
              <w:rPr>
                <w:sz w:val="16"/>
              </w:rPr>
              <w:t>(project,</w:t>
            </w:r>
            <w:r>
              <w:rPr>
                <w:spacing w:val="-4"/>
                <w:sz w:val="16"/>
              </w:rPr>
              <w:t> </w:t>
            </w:r>
            <w:r>
              <w:rPr>
                <w:sz w:val="16"/>
              </w:rPr>
              <w:t>policy</w:t>
            </w:r>
            <w:r>
              <w:rPr>
                <w:spacing w:val="-4"/>
                <w:sz w:val="16"/>
              </w:rPr>
              <w:t> </w:t>
            </w:r>
            <w:r>
              <w:rPr>
                <w:sz w:val="16"/>
              </w:rPr>
              <w:t>and</w:t>
            </w:r>
            <w:r>
              <w:rPr>
                <w:spacing w:val="-4"/>
                <w:sz w:val="16"/>
              </w:rPr>
              <w:t> </w:t>
            </w:r>
            <w:r>
              <w:rPr>
                <w:spacing w:val="-2"/>
                <w:sz w:val="16"/>
              </w:rPr>
              <w:t>enclave)</w:t>
            </w:r>
          </w:p>
        </w:tc>
        <w:tc>
          <w:tcPr>
            <w:tcW w:w="1326" w:type="dxa"/>
            <w:tcBorders>
              <w:top w:val="single" w:sz="8" w:space="0" w:color="6C6C6C"/>
            </w:tcBorders>
          </w:tcPr>
          <w:p>
            <w:pPr>
              <w:pStyle w:val="TableParagraph"/>
              <w:tabs>
                <w:tab w:pos="782" w:val="left" w:leader="none"/>
              </w:tabs>
              <w:spacing w:before="12"/>
              <w:ind w:right="89"/>
              <w:jc w:val="right"/>
              <w:rPr>
                <w:sz w:val="16"/>
              </w:rPr>
            </w:pPr>
            <w:r>
              <w:rPr>
                <w:spacing w:val="-10"/>
                <w:sz w:val="16"/>
              </w:rPr>
              <w:t>$</w:t>
            </w:r>
            <w:r>
              <w:rPr>
                <w:sz w:val="16"/>
              </w:rPr>
              <w:tab/>
            </w:r>
            <w:r>
              <w:rPr>
                <w:spacing w:val="-2"/>
                <w:sz w:val="16"/>
              </w:rPr>
              <w:t>2,840</w:t>
            </w:r>
          </w:p>
        </w:tc>
        <w:tc>
          <w:tcPr>
            <w:tcW w:w="1344" w:type="dxa"/>
            <w:tcBorders>
              <w:top w:val="single" w:sz="8" w:space="0" w:color="6C6C6C"/>
            </w:tcBorders>
          </w:tcPr>
          <w:p>
            <w:pPr>
              <w:pStyle w:val="TableParagraph"/>
              <w:tabs>
                <w:tab w:pos="782" w:val="left" w:leader="none"/>
              </w:tabs>
              <w:spacing w:before="12"/>
              <w:ind w:right="68"/>
              <w:jc w:val="right"/>
              <w:rPr>
                <w:sz w:val="16"/>
              </w:rPr>
            </w:pPr>
            <w:r>
              <w:rPr>
                <w:spacing w:val="-10"/>
                <w:sz w:val="16"/>
              </w:rPr>
              <w:t>$</w:t>
            </w:r>
            <w:r>
              <w:rPr>
                <w:sz w:val="16"/>
              </w:rPr>
              <w:tab/>
            </w:r>
            <w:r>
              <w:rPr>
                <w:spacing w:val="-2"/>
                <w:sz w:val="16"/>
              </w:rPr>
              <w:t>2,703</w:t>
            </w:r>
          </w:p>
        </w:tc>
      </w:tr>
      <w:tr>
        <w:trPr>
          <w:trHeight w:val="232" w:hRule="atLeast"/>
        </w:trPr>
        <w:tc>
          <w:tcPr>
            <w:tcW w:w="6690" w:type="dxa"/>
          </w:tcPr>
          <w:p>
            <w:pPr>
              <w:pStyle w:val="TableParagraph"/>
              <w:spacing w:before="25"/>
              <w:ind w:left="108"/>
              <w:rPr>
                <w:sz w:val="16"/>
              </w:rPr>
            </w:pPr>
            <w:r>
              <w:rPr>
                <w:sz w:val="16"/>
              </w:rPr>
              <w:t>Exposure</w:t>
            </w:r>
            <w:r>
              <w:rPr>
                <w:spacing w:val="-6"/>
                <w:sz w:val="16"/>
              </w:rPr>
              <w:t> </w:t>
            </w:r>
            <w:r>
              <w:rPr>
                <w:sz w:val="16"/>
              </w:rPr>
              <w:t>Exchange</w:t>
            </w:r>
            <w:r>
              <w:rPr>
                <w:spacing w:val="-11"/>
                <w:sz w:val="16"/>
              </w:rPr>
              <w:t> </w:t>
            </w:r>
            <w:r>
              <w:rPr>
                <w:spacing w:val="-2"/>
                <w:sz w:val="16"/>
              </w:rPr>
              <w:t>Agreements</w:t>
            </w:r>
          </w:p>
        </w:tc>
        <w:tc>
          <w:tcPr>
            <w:tcW w:w="1326" w:type="dxa"/>
            <w:tcBorders>
              <w:bottom w:val="single" w:sz="8" w:space="0" w:color="6C6C6C"/>
            </w:tcBorders>
          </w:tcPr>
          <w:p>
            <w:pPr>
              <w:pStyle w:val="TableParagraph"/>
              <w:spacing w:before="25"/>
              <w:ind w:right="89"/>
              <w:jc w:val="right"/>
              <w:rPr>
                <w:sz w:val="16"/>
              </w:rPr>
            </w:pPr>
            <w:r>
              <w:rPr>
                <w:spacing w:val="-2"/>
                <w:sz w:val="16"/>
              </w:rPr>
              <w:t>3,619</w:t>
            </w:r>
          </w:p>
        </w:tc>
        <w:tc>
          <w:tcPr>
            <w:tcW w:w="1344" w:type="dxa"/>
            <w:tcBorders>
              <w:bottom w:val="single" w:sz="8" w:space="0" w:color="6C6C6C"/>
            </w:tcBorders>
          </w:tcPr>
          <w:p>
            <w:pPr>
              <w:pStyle w:val="TableParagraph"/>
              <w:spacing w:before="25"/>
              <w:ind w:right="68"/>
              <w:jc w:val="right"/>
              <w:rPr>
                <w:sz w:val="16"/>
              </w:rPr>
            </w:pPr>
            <w:r>
              <w:rPr>
                <w:spacing w:val="-2"/>
                <w:sz w:val="16"/>
              </w:rPr>
              <w:t>3,630</w:t>
            </w:r>
          </w:p>
        </w:tc>
      </w:tr>
      <w:tr>
        <w:trPr>
          <w:trHeight w:val="275" w:hRule="atLeast"/>
        </w:trPr>
        <w:tc>
          <w:tcPr>
            <w:tcW w:w="6690" w:type="dxa"/>
          </w:tcPr>
          <w:p>
            <w:pPr>
              <w:pStyle w:val="TableParagraph"/>
              <w:spacing w:before="50"/>
              <w:ind w:left="108"/>
              <w:rPr>
                <w:rFonts w:ascii="Arial"/>
                <w:b/>
                <w:sz w:val="16"/>
              </w:rPr>
            </w:pPr>
            <w:r>
              <w:rPr>
                <w:rFonts w:ascii="Arial"/>
                <w:b/>
                <w:spacing w:val="-2"/>
                <w:sz w:val="16"/>
              </w:rPr>
              <w:t>Total</w:t>
            </w:r>
          </w:p>
        </w:tc>
        <w:tc>
          <w:tcPr>
            <w:tcW w:w="1326" w:type="dxa"/>
            <w:tcBorders>
              <w:top w:val="single" w:sz="8" w:space="0" w:color="6C6C6C"/>
              <w:bottom w:val="double" w:sz="8" w:space="0" w:color="6C6C6C"/>
            </w:tcBorders>
          </w:tcPr>
          <w:p>
            <w:pPr>
              <w:pStyle w:val="TableParagraph"/>
              <w:tabs>
                <w:tab w:pos="782" w:val="left" w:leader="none"/>
              </w:tabs>
              <w:spacing w:before="50"/>
              <w:ind w:right="89"/>
              <w:jc w:val="right"/>
              <w:rPr>
                <w:rFonts w:ascii="Arial"/>
                <w:b/>
                <w:sz w:val="16"/>
              </w:rPr>
            </w:pPr>
            <w:r>
              <w:rPr>
                <w:rFonts w:ascii="Arial"/>
                <w:b/>
                <w:spacing w:val="-10"/>
                <w:sz w:val="16"/>
              </w:rPr>
              <w:t>$</w:t>
            </w:r>
            <w:r>
              <w:rPr>
                <w:rFonts w:ascii="Arial"/>
                <w:b/>
                <w:sz w:val="16"/>
              </w:rPr>
              <w:tab/>
            </w:r>
            <w:r>
              <w:rPr>
                <w:rFonts w:ascii="Arial"/>
                <w:b/>
                <w:spacing w:val="-2"/>
                <w:sz w:val="16"/>
              </w:rPr>
              <w:t>6,459</w:t>
            </w:r>
          </w:p>
        </w:tc>
        <w:tc>
          <w:tcPr>
            <w:tcW w:w="1344" w:type="dxa"/>
            <w:tcBorders>
              <w:top w:val="single" w:sz="8" w:space="0" w:color="6C6C6C"/>
              <w:bottom w:val="double" w:sz="8" w:space="0" w:color="6C6C6C"/>
            </w:tcBorders>
          </w:tcPr>
          <w:p>
            <w:pPr>
              <w:pStyle w:val="TableParagraph"/>
              <w:tabs>
                <w:tab w:pos="782" w:val="left" w:leader="none"/>
              </w:tabs>
              <w:spacing w:before="50"/>
              <w:ind w:right="68"/>
              <w:jc w:val="right"/>
              <w:rPr>
                <w:rFonts w:ascii="Arial"/>
                <w:b/>
                <w:sz w:val="16"/>
              </w:rPr>
            </w:pPr>
            <w:r>
              <w:rPr>
                <w:rFonts w:ascii="Arial"/>
                <w:b/>
                <w:spacing w:val="-10"/>
                <w:sz w:val="16"/>
              </w:rPr>
              <w:t>$</w:t>
            </w:r>
            <w:r>
              <w:rPr>
                <w:rFonts w:ascii="Arial"/>
                <w:b/>
                <w:sz w:val="16"/>
              </w:rPr>
              <w:tab/>
            </w:r>
            <w:r>
              <w:rPr>
                <w:rFonts w:ascii="Arial"/>
                <w:b/>
                <w:spacing w:val="-2"/>
                <w:sz w:val="16"/>
              </w:rPr>
              <w:t>6,333</w:t>
            </w:r>
          </w:p>
        </w:tc>
      </w:tr>
      <w:tr>
        <w:trPr>
          <w:trHeight w:val="200" w:hRule="atLeast"/>
        </w:trPr>
        <w:tc>
          <w:tcPr>
            <w:tcW w:w="6690" w:type="dxa"/>
            <w:tcBorders>
              <w:bottom w:val="single" w:sz="8" w:space="0" w:color="6C6C6C"/>
            </w:tcBorders>
          </w:tcPr>
          <w:p>
            <w:pPr>
              <w:pStyle w:val="TableParagraph"/>
              <w:rPr>
                <w:rFonts w:ascii="Times New Roman"/>
                <w:sz w:val="12"/>
              </w:rPr>
            </w:pPr>
          </w:p>
        </w:tc>
        <w:tc>
          <w:tcPr>
            <w:tcW w:w="1326" w:type="dxa"/>
            <w:tcBorders>
              <w:top w:val="double" w:sz="8" w:space="0" w:color="6C6C6C"/>
              <w:bottom w:val="single" w:sz="8" w:space="0" w:color="6C6C6C"/>
            </w:tcBorders>
          </w:tcPr>
          <w:p>
            <w:pPr>
              <w:pStyle w:val="TableParagraph"/>
              <w:rPr>
                <w:rFonts w:ascii="Times New Roman"/>
                <w:sz w:val="12"/>
              </w:rPr>
            </w:pPr>
          </w:p>
        </w:tc>
        <w:tc>
          <w:tcPr>
            <w:tcW w:w="1344" w:type="dxa"/>
            <w:tcBorders>
              <w:top w:val="double" w:sz="8" w:space="0" w:color="6C6C6C"/>
              <w:bottom w:val="single" w:sz="8" w:space="0" w:color="6C6C6C"/>
            </w:tcBorders>
          </w:tcPr>
          <w:p>
            <w:pPr>
              <w:pStyle w:val="TableParagraph"/>
              <w:rPr>
                <w:rFonts w:ascii="Times New Roman"/>
                <w:sz w:val="12"/>
              </w:rPr>
            </w:pPr>
          </w:p>
        </w:tc>
      </w:tr>
    </w:tbl>
    <w:p>
      <w:pPr>
        <w:pStyle w:val="TableParagraph"/>
        <w:spacing w:after="0"/>
        <w:rPr>
          <w:rFonts w:ascii="Times New Roman"/>
          <w:sz w:val="12"/>
        </w:rPr>
        <w:sectPr>
          <w:headerReference w:type="default" r:id="rId35"/>
          <w:headerReference w:type="even" r:id="rId36"/>
          <w:footerReference w:type="default" r:id="rId37"/>
          <w:footerReference w:type="even" r:id="rId38"/>
          <w:pgSz w:w="12240" w:h="15840"/>
          <w:pgMar w:header="744" w:footer="713" w:top="1020" w:bottom="900" w:left="720" w:right="720"/>
          <w:pgNumType w:start="25"/>
        </w:sectPr>
      </w:pPr>
    </w:p>
    <w:p>
      <w:pPr>
        <w:pStyle w:val="BodyText"/>
        <w:spacing w:before="207"/>
        <w:rPr>
          <w:rFonts w:ascii="Arial"/>
          <w:b/>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6"/>
        <w:gridCol w:w="982"/>
        <w:gridCol w:w="1195"/>
        <w:gridCol w:w="1506"/>
      </w:tblGrid>
      <w:tr>
        <w:trPr>
          <w:trHeight w:val="438" w:hRule="atLeast"/>
        </w:trPr>
        <w:tc>
          <w:tcPr>
            <w:tcW w:w="5676" w:type="dxa"/>
          </w:tcPr>
          <w:p>
            <w:pPr>
              <w:pStyle w:val="TableParagraph"/>
              <w:spacing w:line="179" w:lineRule="exact"/>
              <w:ind w:left="52"/>
              <w:rPr>
                <w:rFonts w:ascii="Arial"/>
                <w:b/>
                <w:sz w:val="16"/>
              </w:rPr>
            </w:pPr>
            <w:bookmarkStart w:name="_bookmark40" w:id="61"/>
            <w:bookmarkEnd w:id="61"/>
            <w:r>
              <w:rPr/>
            </w:r>
            <w:r>
              <w:rPr>
                <w:rFonts w:ascii="Arial"/>
                <w:b/>
                <w:sz w:val="16"/>
              </w:rPr>
              <w:t>Table</w:t>
            </w:r>
            <w:r>
              <w:rPr>
                <w:rFonts w:ascii="Arial"/>
                <w:b/>
                <w:spacing w:val="-5"/>
                <w:sz w:val="16"/>
              </w:rPr>
              <w:t> </w:t>
            </w:r>
            <w:r>
              <w:rPr>
                <w:rFonts w:ascii="Arial"/>
                <w:b/>
                <w:sz w:val="16"/>
              </w:rPr>
              <w:t>15:</w:t>
            </w:r>
            <w:r>
              <w:rPr>
                <w:rFonts w:ascii="Arial"/>
                <w:b/>
                <w:spacing w:val="-4"/>
                <w:sz w:val="16"/>
              </w:rPr>
              <w:t> </w:t>
            </w:r>
            <w:r>
              <w:rPr>
                <w:rFonts w:ascii="Arial"/>
                <w:b/>
                <w:sz w:val="16"/>
              </w:rPr>
              <w:t>Pricing</w:t>
            </w:r>
            <w:r>
              <w:rPr>
                <w:rFonts w:ascii="Arial"/>
                <w:b/>
                <w:spacing w:val="-4"/>
                <w:sz w:val="16"/>
              </w:rPr>
              <w:t> </w:t>
            </w:r>
            <w:r>
              <w:rPr>
                <w:rFonts w:ascii="Arial"/>
                <w:b/>
                <w:sz w:val="16"/>
              </w:rPr>
              <w:t>for</w:t>
            </w:r>
            <w:r>
              <w:rPr>
                <w:rFonts w:ascii="Arial"/>
                <w:b/>
                <w:spacing w:val="-4"/>
                <w:sz w:val="16"/>
              </w:rPr>
              <w:t> </w:t>
            </w:r>
            <w:r>
              <w:rPr>
                <w:rFonts w:ascii="Arial"/>
                <w:b/>
                <w:sz w:val="16"/>
              </w:rPr>
              <w:t>IBRD</w:t>
            </w:r>
            <w:r>
              <w:rPr>
                <w:rFonts w:ascii="Arial"/>
                <w:b/>
                <w:spacing w:val="-3"/>
                <w:sz w:val="16"/>
              </w:rPr>
              <w:t> </w:t>
            </w:r>
            <w:r>
              <w:rPr>
                <w:rFonts w:ascii="Arial"/>
                <w:b/>
                <w:sz w:val="16"/>
              </w:rPr>
              <w:t>Project-Based</w:t>
            </w:r>
            <w:r>
              <w:rPr>
                <w:rFonts w:ascii="Arial"/>
                <w:b/>
                <w:spacing w:val="-5"/>
                <w:sz w:val="16"/>
              </w:rPr>
              <w:t> </w:t>
            </w:r>
            <w:r>
              <w:rPr>
                <w:rFonts w:ascii="Arial"/>
                <w:b/>
                <w:sz w:val="16"/>
              </w:rPr>
              <w:t>and</w:t>
            </w:r>
            <w:r>
              <w:rPr>
                <w:rFonts w:ascii="Arial"/>
                <w:b/>
                <w:spacing w:val="-4"/>
                <w:sz w:val="16"/>
              </w:rPr>
              <w:t> </w:t>
            </w:r>
            <w:r>
              <w:rPr>
                <w:rFonts w:ascii="Arial"/>
                <w:b/>
                <w:sz w:val="16"/>
              </w:rPr>
              <w:t>Policy-Based</w:t>
            </w:r>
            <w:r>
              <w:rPr>
                <w:rFonts w:ascii="Arial"/>
                <w:b/>
                <w:spacing w:val="-4"/>
                <w:sz w:val="16"/>
              </w:rPr>
              <w:t> </w:t>
            </w:r>
            <w:r>
              <w:rPr>
                <w:rFonts w:ascii="Arial"/>
                <w:b/>
                <w:spacing w:val="-2"/>
                <w:sz w:val="16"/>
              </w:rPr>
              <w:t>Guarantees</w:t>
            </w:r>
          </w:p>
        </w:tc>
        <w:tc>
          <w:tcPr>
            <w:tcW w:w="982" w:type="dxa"/>
            <w:tcBorders>
              <w:bottom w:val="single" w:sz="8" w:space="0" w:color="6C6C6C"/>
            </w:tcBorders>
          </w:tcPr>
          <w:p>
            <w:pPr>
              <w:pStyle w:val="TableParagraph"/>
              <w:rPr>
                <w:rFonts w:ascii="Times New Roman"/>
                <w:sz w:val="18"/>
              </w:rPr>
            </w:pPr>
          </w:p>
        </w:tc>
        <w:tc>
          <w:tcPr>
            <w:tcW w:w="1195" w:type="dxa"/>
            <w:tcBorders>
              <w:bottom w:val="single" w:sz="8" w:space="0" w:color="6C6C6C"/>
            </w:tcBorders>
          </w:tcPr>
          <w:p>
            <w:pPr>
              <w:pStyle w:val="TableParagraph"/>
              <w:spacing w:before="43"/>
              <w:rPr>
                <w:rFonts w:ascii="Arial"/>
                <w:b/>
                <w:sz w:val="16"/>
              </w:rPr>
            </w:pPr>
          </w:p>
          <w:p>
            <w:pPr>
              <w:pStyle w:val="TableParagraph"/>
              <w:ind w:left="147"/>
              <w:rPr>
                <w:rFonts w:ascii="Arial"/>
                <w:i/>
                <w:sz w:val="16"/>
              </w:rPr>
            </w:pPr>
            <w:r>
              <w:rPr>
                <w:rFonts w:ascii="Arial"/>
                <w:i/>
                <w:color w:val="484848"/>
                <w:sz w:val="16"/>
              </w:rPr>
              <w:t>Basis</w:t>
            </w:r>
            <w:r>
              <w:rPr>
                <w:rFonts w:ascii="Arial"/>
                <w:i/>
                <w:color w:val="484848"/>
                <w:spacing w:val="-2"/>
                <w:sz w:val="16"/>
              </w:rPr>
              <w:t> Points</w:t>
            </w:r>
          </w:p>
        </w:tc>
        <w:tc>
          <w:tcPr>
            <w:tcW w:w="1506" w:type="dxa"/>
            <w:tcBorders>
              <w:bottom w:val="single" w:sz="8" w:space="0" w:color="6C6C6C"/>
            </w:tcBorders>
          </w:tcPr>
          <w:p>
            <w:pPr>
              <w:pStyle w:val="TableParagraph"/>
              <w:rPr>
                <w:rFonts w:ascii="Times New Roman"/>
                <w:sz w:val="18"/>
              </w:rPr>
            </w:pPr>
          </w:p>
        </w:tc>
      </w:tr>
      <w:tr>
        <w:trPr>
          <w:trHeight w:val="220" w:hRule="atLeast"/>
        </w:trPr>
        <w:tc>
          <w:tcPr>
            <w:tcW w:w="5676" w:type="dxa"/>
            <w:tcBorders>
              <w:bottom w:val="single" w:sz="8" w:space="0" w:color="6C6C6C"/>
            </w:tcBorders>
          </w:tcPr>
          <w:p>
            <w:pPr>
              <w:pStyle w:val="TableParagraph"/>
              <w:spacing w:line="183" w:lineRule="exact" w:before="16"/>
              <w:ind w:left="52"/>
              <w:rPr>
                <w:rFonts w:ascii="Arial"/>
                <w:i/>
                <w:sz w:val="16"/>
              </w:rPr>
            </w:pPr>
            <w:r>
              <w:rPr>
                <w:rFonts w:ascii="Arial"/>
                <w:i/>
                <w:color w:val="484848"/>
                <w:sz w:val="16"/>
              </w:rPr>
              <w:t>Charges</w:t>
            </w:r>
            <w:r>
              <w:rPr>
                <w:rFonts w:ascii="Arial"/>
                <w:i/>
                <w:color w:val="484848"/>
                <w:spacing w:val="-3"/>
                <w:sz w:val="16"/>
              </w:rPr>
              <w:t> </w:t>
            </w:r>
            <w:r>
              <w:rPr>
                <w:rFonts w:ascii="Arial"/>
                <w:i/>
                <w:color w:val="484848"/>
                <w:sz w:val="16"/>
              </w:rPr>
              <w:t>for</w:t>
            </w:r>
            <w:r>
              <w:rPr>
                <w:rFonts w:ascii="Arial"/>
                <w:i/>
                <w:color w:val="484848"/>
                <w:spacing w:val="-2"/>
                <w:sz w:val="16"/>
              </w:rPr>
              <w:t> </w:t>
            </w:r>
            <w:r>
              <w:rPr>
                <w:rFonts w:ascii="Arial"/>
                <w:i/>
                <w:color w:val="484848"/>
                <w:sz w:val="16"/>
              </w:rPr>
              <w:t>the</w:t>
            </w:r>
            <w:r>
              <w:rPr>
                <w:rFonts w:ascii="Arial"/>
                <w:i/>
                <w:color w:val="484848"/>
                <w:spacing w:val="-4"/>
                <w:sz w:val="16"/>
              </w:rPr>
              <w:t> </w:t>
            </w:r>
            <w:r>
              <w:rPr>
                <w:rFonts w:ascii="Arial"/>
                <w:i/>
                <w:color w:val="484848"/>
                <w:sz w:val="16"/>
              </w:rPr>
              <w:t>fiscal</w:t>
            </w:r>
            <w:r>
              <w:rPr>
                <w:rFonts w:ascii="Arial"/>
                <w:i/>
                <w:color w:val="484848"/>
                <w:spacing w:val="-2"/>
                <w:sz w:val="16"/>
              </w:rPr>
              <w:t> </w:t>
            </w:r>
            <w:r>
              <w:rPr>
                <w:rFonts w:ascii="Arial"/>
                <w:i/>
                <w:color w:val="484848"/>
                <w:sz w:val="16"/>
              </w:rPr>
              <w:t>year</w:t>
            </w:r>
            <w:r>
              <w:rPr>
                <w:rFonts w:ascii="Arial"/>
                <w:i/>
                <w:color w:val="484848"/>
                <w:spacing w:val="-3"/>
                <w:sz w:val="16"/>
              </w:rPr>
              <w:t> </w:t>
            </w:r>
            <w:r>
              <w:rPr>
                <w:rFonts w:ascii="Arial"/>
                <w:i/>
                <w:color w:val="484848"/>
                <w:sz w:val="16"/>
              </w:rPr>
              <w:t>ended</w:t>
            </w:r>
            <w:r>
              <w:rPr>
                <w:rFonts w:ascii="Arial"/>
                <w:i/>
                <w:color w:val="484848"/>
                <w:spacing w:val="-3"/>
                <w:sz w:val="16"/>
              </w:rPr>
              <w:t> </w:t>
            </w:r>
            <w:r>
              <w:rPr>
                <w:rFonts w:ascii="Arial"/>
                <w:i/>
                <w:color w:val="484848"/>
                <w:sz w:val="16"/>
              </w:rPr>
              <w:t>June</w:t>
            </w:r>
            <w:r>
              <w:rPr>
                <w:rFonts w:ascii="Arial"/>
                <w:i/>
                <w:color w:val="484848"/>
                <w:spacing w:val="-3"/>
                <w:sz w:val="16"/>
              </w:rPr>
              <w:t> </w:t>
            </w:r>
            <w:r>
              <w:rPr>
                <w:rFonts w:ascii="Arial"/>
                <w:i/>
                <w:color w:val="484848"/>
                <w:spacing w:val="-5"/>
                <w:sz w:val="16"/>
              </w:rPr>
              <w:t>30,</w:t>
            </w:r>
          </w:p>
        </w:tc>
        <w:tc>
          <w:tcPr>
            <w:tcW w:w="982" w:type="dxa"/>
            <w:tcBorders>
              <w:top w:val="single" w:sz="8" w:space="0" w:color="6C6C6C"/>
              <w:bottom w:val="single" w:sz="8" w:space="0" w:color="6C6C6C"/>
            </w:tcBorders>
          </w:tcPr>
          <w:p>
            <w:pPr>
              <w:pStyle w:val="TableParagraph"/>
              <w:spacing w:line="183" w:lineRule="exact" w:before="16"/>
              <w:ind w:left="356"/>
              <w:rPr>
                <w:rFonts w:ascii="Arial"/>
                <w:i/>
                <w:sz w:val="16"/>
              </w:rPr>
            </w:pPr>
            <w:r>
              <w:rPr>
                <w:rFonts w:ascii="Arial"/>
                <w:i/>
                <w:color w:val="484848"/>
                <w:spacing w:val="-4"/>
                <w:sz w:val="16"/>
              </w:rPr>
              <w:t>2023</w:t>
            </w:r>
          </w:p>
        </w:tc>
        <w:tc>
          <w:tcPr>
            <w:tcW w:w="1195" w:type="dxa"/>
            <w:tcBorders>
              <w:top w:val="single" w:sz="8" w:space="0" w:color="6C6C6C"/>
              <w:bottom w:val="single" w:sz="8" w:space="0" w:color="6C6C6C"/>
            </w:tcBorders>
          </w:tcPr>
          <w:p>
            <w:pPr>
              <w:pStyle w:val="TableParagraph"/>
              <w:rPr>
                <w:rFonts w:ascii="Times New Roman"/>
                <w:sz w:val="14"/>
              </w:rPr>
            </w:pPr>
          </w:p>
        </w:tc>
        <w:tc>
          <w:tcPr>
            <w:tcW w:w="1506" w:type="dxa"/>
            <w:tcBorders>
              <w:top w:val="single" w:sz="8" w:space="0" w:color="6C6C6C"/>
              <w:bottom w:val="single" w:sz="8" w:space="0" w:color="6C6C6C"/>
            </w:tcBorders>
          </w:tcPr>
          <w:p>
            <w:pPr>
              <w:pStyle w:val="TableParagraph"/>
              <w:spacing w:line="183" w:lineRule="exact" w:before="16"/>
              <w:ind w:left="294"/>
              <w:rPr>
                <w:rFonts w:ascii="Arial"/>
                <w:i/>
                <w:sz w:val="16"/>
              </w:rPr>
            </w:pPr>
            <w:r>
              <w:rPr>
                <w:rFonts w:ascii="Arial"/>
                <w:i/>
                <w:color w:val="484848"/>
                <w:spacing w:val="-4"/>
                <w:sz w:val="16"/>
              </w:rPr>
              <w:t>2022</w:t>
            </w:r>
          </w:p>
        </w:tc>
      </w:tr>
      <w:tr>
        <w:trPr>
          <w:trHeight w:val="707" w:hRule="atLeast"/>
        </w:trPr>
        <w:tc>
          <w:tcPr>
            <w:tcW w:w="5676" w:type="dxa"/>
            <w:tcBorders>
              <w:top w:val="single" w:sz="8" w:space="0" w:color="6C6C6C"/>
            </w:tcBorders>
          </w:tcPr>
          <w:p>
            <w:pPr>
              <w:pStyle w:val="TableParagraph"/>
              <w:spacing w:line="312" w:lineRule="auto" w:before="16"/>
              <w:ind w:left="52" w:right="3891"/>
              <w:rPr>
                <w:sz w:val="16"/>
              </w:rPr>
            </w:pPr>
            <w:r>
              <w:rPr>
                <w:sz w:val="16"/>
              </w:rPr>
              <w:t>Front-end fee Processing</w:t>
            </w:r>
            <w:r>
              <w:rPr>
                <w:spacing w:val="-12"/>
                <w:sz w:val="16"/>
              </w:rPr>
              <w:t> </w:t>
            </w:r>
            <w:r>
              <w:rPr>
                <w:sz w:val="16"/>
              </w:rPr>
              <w:t>fee</w:t>
            </w:r>
            <w:r>
              <w:rPr>
                <w:spacing w:val="-11"/>
                <w:sz w:val="16"/>
              </w:rPr>
              <w:t> </w:t>
            </w:r>
            <w:r>
              <w:rPr>
                <w:sz w:val="16"/>
                <w:vertAlign w:val="superscript"/>
              </w:rPr>
              <w:t>a</w:t>
            </w:r>
            <w:r>
              <w:rPr>
                <w:spacing w:val="-16"/>
                <w:sz w:val="16"/>
                <w:vertAlign w:val="baseline"/>
              </w:rPr>
              <w:t> </w:t>
            </w:r>
            <w:r>
              <w:rPr>
                <w:sz w:val="16"/>
                <w:vertAlign w:val="superscript"/>
              </w:rPr>
              <w:t>b</w:t>
            </w:r>
          </w:p>
          <w:p>
            <w:pPr>
              <w:pStyle w:val="TableParagraph"/>
              <w:spacing w:before="2"/>
              <w:ind w:left="52"/>
              <w:rPr>
                <w:sz w:val="16"/>
              </w:rPr>
            </w:pPr>
            <w:r>
              <w:rPr>
                <w:sz w:val="16"/>
              </w:rPr>
              <w:t>Initiation</w:t>
            </w:r>
            <w:r>
              <w:rPr>
                <w:spacing w:val="-3"/>
                <w:sz w:val="16"/>
              </w:rPr>
              <w:t> </w:t>
            </w:r>
            <w:r>
              <w:rPr>
                <w:sz w:val="16"/>
              </w:rPr>
              <w:t>fee</w:t>
            </w:r>
            <w:r>
              <w:rPr>
                <w:spacing w:val="-2"/>
                <w:sz w:val="16"/>
              </w:rPr>
              <w:t> </w:t>
            </w:r>
            <w:r>
              <w:rPr>
                <w:sz w:val="16"/>
                <w:vertAlign w:val="superscript"/>
              </w:rPr>
              <w:t>c</w:t>
            </w:r>
            <w:r>
              <w:rPr>
                <w:spacing w:val="-16"/>
                <w:sz w:val="16"/>
                <w:vertAlign w:val="baseline"/>
              </w:rPr>
              <w:t> </w:t>
            </w:r>
            <w:r>
              <w:rPr>
                <w:spacing w:val="-10"/>
                <w:sz w:val="16"/>
                <w:vertAlign w:val="superscript"/>
              </w:rPr>
              <w:t>b</w:t>
            </w:r>
          </w:p>
        </w:tc>
        <w:tc>
          <w:tcPr>
            <w:tcW w:w="982" w:type="dxa"/>
            <w:tcBorders>
              <w:top w:val="single" w:sz="8" w:space="0" w:color="6C6C6C"/>
            </w:tcBorders>
          </w:tcPr>
          <w:p>
            <w:pPr>
              <w:pStyle w:val="TableParagraph"/>
              <w:spacing w:before="9"/>
              <w:ind w:left="86"/>
              <w:jc w:val="center"/>
              <w:rPr>
                <w:sz w:val="16"/>
              </w:rPr>
            </w:pPr>
            <w:r>
              <w:rPr>
                <w:spacing w:val="-5"/>
                <w:sz w:val="16"/>
              </w:rPr>
              <w:t>25</w:t>
            </w:r>
          </w:p>
          <w:p>
            <w:pPr>
              <w:pStyle w:val="TableParagraph"/>
              <w:spacing w:before="56"/>
              <w:ind w:left="86"/>
              <w:jc w:val="center"/>
              <w:rPr>
                <w:sz w:val="16"/>
              </w:rPr>
            </w:pPr>
            <w:r>
              <w:rPr>
                <w:sz w:val="16"/>
              </w:rPr>
              <w:t>Up</w:t>
            </w:r>
            <w:r>
              <w:rPr>
                <w:spacing w:val="-2"/>
                <w:sz w:val="16"/>
              </w:rPr>
              <w:t> </w:t>
            </w:r>
            <w:r>
              <w:rPr>
                <w:sz w:val="16"/>
              </w:rPr>
              <w:t>to</w:t>
            </w:r>
            <w:r>
              <w:rPr>
                <w:spacing w:val="-1"/>
                <w:sz w:val="16"/>
              </w:rPr>
              <w:t> </w:t>
            </w:r>
            <w:r>
              <w:rPr>
                <w:spacing w:val="-5"/>
                <w:sz w:val="16"/>
              </w:rPr>
              <w:t>50</w:t>
            </w:r>
          </w:p>
          <w:p>
            <w:pPr>
              <w:pStyle w:val="TableParagraph"/>
              <w:spacing w:before="56"/>
              <w:ind w:left="86"/>
              <w:jc w:val="center"/>
              <w:rPr>
                <w:sz w:val="16"/>
              </w:rPr>
            </w:pPr>
            <w:r>
              <w:rPr>
                <w:spacing w:val="-5"/>
                <w:sz w:val="16"/>
              </w:rPr>
              <w:t>15</w:t>
            </w:r>
          </w:p>
        </w:tc>
        <w:tc>
          <w:tcPr>
            <w:tcW w:w="1195" w:type="dxa"/>
            <w:tcBorders>
              <w:top w:val="single" w:sz="8" w:space="0" w:color="6C6C6C"/>
            </w:tcBorders>
          </w:tcPr>
          <w:p>
            <w:pPr>
              <w:pStyle w:val="TableParagraph"/>
              <w:rPr>
                <w:rFonts w:ascii="Times New Roman"/>
                <w:sz w:val="18"/>
              </w:rPr>
            </w:pPr>
          </w:p>
        </w:tc>
        <w:tc>
          <w:tcPr>
            <w:tcW w:w="1506" w:type="dxa"/>
            <w:tcBorders>
              <w:top w:val="single" w:sz="8" w:space="0" w:color="6C6C6C"/>
            </w:tcBorders>
          </w:tcPr>
          <w:p>
            <w:pPr>
              <w:pStyle w:val="TableParagraph"/>
              <w:spacing w:before="9"/>
              <w:ind w:right="559"/>
              <w:jc w:val="center"/>
              <w:rPr>
                <w:sz w:val="16"/>
              </w:rPr>
            </w:pPr>
            <w:r>
              <w:rPr>
                <w:spacing w:val="-5"/>
                <w:sz w:val="16"/>
              </w:rPr>
              <w:t>25</w:t>
            </w:r>
          </w:p>
          <w:p>
            <w:pPr>
              <w:pStyle w:val="TableParagraph"/>
              <w:spacing w:before="56"/>
              <w:ind w:right="559"/>
              <w:jc w:val="center"/>
              <w:rPr>
                <w:sz w:val="16"/>
              </w:rPr>
            </w:pPr>
            <w:r>
              <w:rPr>
                <w:sz w:val="16"/>
              </w:rPr>
              <w:t>Up</w:t>
            </w:r>
            <w:r>
              <w:rPr>
                <w:spacing w:val="-2"/>
                <w:sz w:val="16"/>
              </w:rPr>
              <w:t> </w:t>
            </w:r>
            <w:r>
              <w:rPr>
                <w:sz w:val="16"/>
              </w:rPr>
              <w:t>to</w:t>
            </w:r>
            <w:r>
              <w:rPr>
                <w:spacing w:val="-1"/>
                <w:sz w:val="16"/>
              </w:rPr>
              <w:t> </w:t>
            </w:r>
            <w:r>
              <w:rPr>
                <w:spacing w:val="-5"/>
                <w:sz w:val="16"/>
              </w:rPr>
              <w:t>50</w:t>
            </w:r>
          </w:p>
          <w:p>
            <w:pPr>
              <w:pStyle w:val="TableParagraph"/>
              <w:spacing w:before="56"/>
              <w:ind w:right="559"/>
              <w:jc w:val="center"/>
              <w:rPr>
                <w:sz w:val="16"/>
              </w:rPr>
            </w:pPr>
            <w:r>
              <w:rPr>
                <w:spacing w:val="-5"/>
                <w:sz w:val="16"/>
              </w:rPr>
              <w:t>15</w:t>
            </w:r>
          </w:p>
        </w:tc>
      </w:tr>
      <w:tr>
        <w:trPr>
          <w:trHeight w:val="232" w:hRule="atLeast"/>
        </w:trPr>
        <w:tc>
          <w:tcPr>
            <w:tcW w:w="5676" w:type="dxa"/>
          </w:tcPr>
          <w:p>
            <w:pPr>
              <w:pStyle w:val="TableParagraph"/>
              <w:spacing w:line="184" w:lineRule="exact" w:before="29"/>
              <w:ind w:left="52"/>
              <w:rPr>
                <w:sz w:val="16"/>
              </w:rPr>
            </w:pPr>
            <w:r>
              <w:rPr>
                <w:sz w:val="16"/>
              </w:rPr>
              <w:t>Standby</w:t>
            </w:r>
            <w:r>
              <w:rPr>
                <w:spacing w:val="-4"/>
                <w:sz w:val="16"/>
              </w:rPr>
              <w:t> </w:t>
            </w:r>
            <w:r>
              <w:rPr>
                <w:spacing w:val="-5"/>
                <w:sz w:val="16"/>
              </w:rPr>
              <w:t>fee</w:t>
            </w:r>
          </w:p>
        </w:tc>
        <w:tc>
          <w:tcPr>
            <w:tcW w:w="982" w:type="dxa"/>
          </w:tcPr>
          <w:p>
            <w:pPr>
              <w:pStyle w:val="TableParagraph"/>
              <w:spacing w:before="21"/>
              <w:ind w:left="86"/>
              <w:jc w:val="center"/>
              <w:rPr>
                <w:sz w:val="16"/>
              </w:rPr>
            </w:pPr>
            <w:r>
              <w:rPr>
                <w:spacing w:val="-5"/>
                <w:sz w:val="16"/>
              </w:rPr>
              <w:t>25</w:t>
            </w:r>
          </w:p>
        </w:tc>
        <w:tc>
          <w:tcPr>
            <w:tcW w:w="1195" w:type="dxa"/>
          </w:tcPr>
          <w:p>
            <w:pPr>
              <w:pStyle w:val="TableParagraph"/>
              <w:rPr>
                <w:rFonts w:ascii="Times New Roman"/>
                <w:sz w:val="16"/>
              </w:rPr>
            </w:pPr>
          </w:p>
        </w:tc>
        <w:tc>
          <w:tcPr>
            <w:tcW w:w="1506" w:type="dxa"/>
          </w:tcPr>
          <w:p>
            <w:pPr>
              <w:pStyle w:val="TableParagraph"/>
              <w:spacing w:before="21"/>
              <w:ind w:left="383"/>
              <w:rPr>
                <w:sz w:val="16"/>
              </w:rPr>
            </w:pPr>
            <w:r>
              <w:rPr>
                <w:spacing w:val="-5"/>
                <w:sz w:val="16"/>
              </w:rPr>
              <w:t>25</w:t>
            </w:r>
          </w:p>
        </w:tc>
      </w:tr>
      <w:tr>
        <w:trPr>
          <w:trHeight w:val="239" w:hRule="atLeast"/>
        </w:trPr>
        <w:tc>
          <w:tcPr>
            <w:tcW w:w="5676" w:type="dxa"/>
            <w:tcBorders>
              <w:bottom w:val="single" w:sz="8" w:space="0" w:color="6C6C6C"/>
            </w:tcBorders>
          </w:tcPr>
          <w:p>
            <w:pPr>
              <w:pStyle w:val="TableParagraph"/>
              <w:spacing w:line="184" w:lineRule="exact" w:before="36"/>
              <w:ind w:left="52"/>
              <w:rPr>
                <w:sz w:val="16"/>
              </w:rPr>
            </w:pPr>
            <w:r>
              <w:rPr>
                <w:sz w:val="16"/>
              </w:rPr>
              <w:t>Guarantee</w:t>
            </w:r>
            <w:r>
              <w:rPr>
                <w:spacing w:val="-4"/>
                <w:sz w:val="16"/>
              </w:rPr>
              <w:t> </w:t>
            </w:r>
            <w:r>
              <w:rPr>
                <w:sz w:val="16"/>
              </w:rPr>
              <w:t>fee</w:t>
            </w:r>
            <w:r>
              <w:rPr>
                <w:spacing w:val="-4"/>
                <w:sz w:val="16"/>
              </w:rPr>
              <w:t> </w:t>
            </w:r>
            <w:r>
              <w:rPr>
                <w:spacing w:val="-10"/>
                <w:sz w:val="16"/>
                <w:vertAlign w:val="superscript"/>
              </w:rPr>
              <w:t>d</w:t>
            </w:r>
          </w:p>
        </w:tc>
        <w:tc>
          <w:tcPr>
            <w:tcW w:w="982" w:type="dxa"/>
            <w:tcBorders>
              <w:bottom w:val="single" w:sz="8" w:space="0" w:color="6C6C6C"/>
            </w:tcBorders>
          </w:tcPr>
          <w:p>
            <w:pPr>
              <w:pStyle w:val="TableParagraph"/>
              <w:spacing w:before="29"/>
              <w:ind w:left="285"/>
              <w:rPr>
                <w:sz w:val="16"/>
              </w:rPr>
            </w:pPr>
            <w:r>
              <w:rPr>
                <w:spacing w:val="-2"/>
                <w:sz w:val="16"/>
              </w:rPr>
              <w:t>50-</w:t>
            </w:r>
            <w:r>
              <w:rPr>
                <w:spacing w:val="-5"/>
                <w:sz w:val="16"/>
              </w:rPr>
              <w:t>165</w:t>
            </w:r>
          </w:p>
        </w:tc>
        <w:tc>
          <w:tcPr>
            <w:tcW w:w="1195" w:type="dxa"/>
            <w:tcBorders>
              <w:bottom w:val="single" w:sz="8" w:space="0" w:color="6C6C6C"/>
            </w:tcBorders>
          </w:tcPr>
          <w:p>
            <w:pPr>
              <w:pStyle w:val="TableParagraph"/>
              <w:rPr>
                <w:rFonts w:ascii="Times New Roman"/>
                <w:sz w:val="16"/>
              </w:rPr>
            </w:pPr>
          </w:p>
        </w:tc>
        <w:tc>
          <w:tcPr>
            <w:tcW w:w="1506" w:type="dxa"/>
            <w:tcBorders>
              <w:bottom w:val="single" w:sz="8" w:space="0" w:color="6C6C6C"/>
            </w:tcBorders>
          </w:tcPr>
          <w:p>
            <w:pPr>
              <w:pStyle w:val="TableParagraph"/>
              <w:spacing w:before="29"/>
              <w:ind w:left="223"/>
              <w:rPr>
                <w:sz w:val="16"/>
              </w:rPr>
            </w:pPr>
            <w:r>
              <w:rPr>
                <w:spacing w:val="-2"/>
                <w:sz w:val="16"/>
              </w:rPr>
              <w:t>50-</w:t>
            </w:r>
            <w:r>
              <w:rPr>
                <w:spacing w:val="-5"/>
                <w:sz w:val="16"/>
              </w:rPr>
              <w:t>165</w:t>
            </w:r>
          </w:p>
        </w:tc>
      </w:tr>
    </w:tbl>
    <w:p>
      <w:pPr>
        <w:pStyle w:val="ListParagraph"/>
        <w:numPr>
          <w:ilvl w:val="0"/>
          <w:numId w:val="14"/>
        </w:numPr>
        <w:tabs>
          <w:tab w:pos="948" w:val="left" w:leader="none"/>
        </w:tabs>
        <w:spacing w:line="172" w:lineRule="exact" w:before="19" w:after="0"/>
        <w:ind w:left="948" w:right="0" w:hanging="176"/>
        <w:jc w:val="left"/>
        <w:rPr>
          <w:rFonts w:ascii="Arial"/>
          <w:i/>
          <w:sz w:val="16"/>
        </w:rPr>
      </w:pPr>
      <w:r>
        <w:rPr>
          <w:rFonts w:ascii="Arial"/>
          <w:i/>
          <w:sz w:val="16"/>
        </w:rPr>
        <w:t>Determined</w:t>
      </w:r>
      <w:r>
        <w:rPr>
          <w:rFonts w:ascii="Arial"/>
          <w:i/>
          <w:spacing w:val="-6"/>
          <w:sz w:val="16"/>
        </w:rPr>
        <w:t> </w:t>
      </w:r>
      <w:r>
        <w:rPr>
          <w:rFonts w:ascii="Arial"/>
          <w:i/>
          <w:sz w:val="16"/>
        </w:rPr>
        <w:t>on</w:t>
      </w:r>
      <w:r>
        <w:rPr>
          <w:rFonts w:ascii="Arial"/>
          <w:i/>
          <w:spacing w:val="-3"/>
          <w:sz w:val="16"/>
        </w:rPr>
        <w:t> </w:t>
      </w:r>
      <w:r>
        <w:rPr>
          <w:rFonts w:ascii="Arial"/>
          <w:i/>
          <w:sz w:val="16"/>
        </w:rPr>
        <w:t>a</w:t>
      </w:r>
      <w:r>
        <w:rPr>
          <w:rFonts w:ascii="Arial"/>
          <w:i/>
          <w:spacing w:val="-3"/>
          <w:sz w:val="16"/>
        </w:rPr>
        <w:t> </w:t>
      </w:r>
      <w:r>
        <w:rPr>
          <w:rFonts w:ascii="Arial"/>
          <w:i/>
          <w:sz w:val="16"/>
        </w:rPr>
        <w:t>case</w:t>
      </w:r>
      <w:r>
        <w:rPr>
          <w:rFonts w:ascii="Arial"/>
          <w:i/>
          <w:spacing w:val="-3"/>
          <w:sz w:val="16"/>
        </w:rPr>
        <w:t> </w:t>
      </w:r>
      <w:r>
        <w:rPr>
          <w:rFonts w:ascii="Arial"/>
          <w:i/>
          <w:sz w:val="16"/>
        </w:rPr>
        <w:t>by</w:t>
      </w:r>
      <w:r>
        <w:rPr>
          <w:rFonts w:ascii="Arial"/>
          <w:i/>
          <w:spacing w:val="-3"/>
          <w:sz w:val="16"/>
        </w:rPr>
        <w:t> </w:t>
      </w:r>
      <w:r>
        <w:rPr>
          <w:rFonts w:ascii="Arial"/>
          <w:i/>
          <w:sz w:val="16"/>
        </w:rPr>
        <w:t>case</w:t>
      </w:r>
      <w:r>
        <w:rPr>
          <w:rFonts w:ascii="Arial"/>
          <w:i/>
          <w:spacing w:val="-3"/>
          <w:sz w:val="16"/>
        </w:rPr>
        <w:t> </w:t>
      </w:r>
      <w:r>
        <w:rPr>
          <w:rFonts w:ascii="Arial"/>
          <w:i/>
          <w:sz w:val="16"/>
        </w:rPr>
        <w:t>basis.</w:t>
      </w:r>
      <w:r>
        <w:rPr>
          <w:rFonts w:ascii="Arial"/>
          <w:i/>
          <w:spacing w:val="-2"/>
          <w:sz w:val="16"/>
        </w:rPr>
        <w:t> </w:t>
      </w:r>
      <w:r>
        <w:rPr>
          <w:rFonts w:ascii="Arial"/>
          <w:i/>
          <w:sz w:val="16"/>
        </w:rPr>
        <w:t>In</w:t>
      </w:r>
      <w:r>
        <w:rPr>
          <w:rFonts w:ascii="Arial"/>
          <w:i/>
          <w:spacing w:val="-3"/>
          <w:sz w:val="16"/>
        </w:rPr>
        <w:t> </w:t>
      </w:r>
      <w:r>
        <w:rPr>
          <w:rFonts w:ascii="Arial"/>
          <w:i/>
          <w:sz w:val="16"/>
        </w:rPr>
        <w:t>exceptional</w:t>
      </w:r>
      <w:r>
        <w:rPr>
          <w:rFonts w:ascii="Arial"/>
          <w:i/>
          <w:spacing w:val="-3"/>
          <w:sz w:val="16"/>
        </w:rPr>
        <w:t> </w:t>
      </w:r>
      <w:r>
        <w:rPr>
          <w:rFonts w:ascii="Arial"/>
          <w:i/>
          <w:sz w:val="16"/>
        </w:rPr>
        <w:t>cases,</w:t>
      </w:r>
      <w:r>
        <w:rPr>
          <w:rFonts w:ascii="Arial"/>
          <w:i/>
          <w:spacing w:val="-2"/>
          <w:sz w:val="16"/>
        </w:rPr>
        <w:t> </w:t>
      </w:r>
      <w:r>
        <w:rPr>
          <w:rFonts w:ascii="Arial"/>
          <w:i/>
          <w:sz w:val="16"/>
        </w:rPr>
        <w:t>projects</w:t>
      </w:r>
      <w:r>
        <w:rPr>
          <w:rFonts w:ascii="Arial"/>
          <w:i/>
          <w:spacing w:val="-2"/>
          <w:sz w:val="16"/>
        </w:rPr>
        <w:t> </w:t>
      </w:r>
      <w:r>
        <w:rPr>
          <w:rFonts w:ascii="Arial"/>
          <w:i/>
          <w:sz w:val="16"/>
        </w:rPr>
        <w:t>can</w:t>
      </w:r>
      <w:r>
        <w:rPr>
          <w:rFonts w:ascii="Arial"/>
          <w:i/>
          <w:spacing w:val="-4"/>
          <w:sz w:val="16"/>
        </w:rPr>
        <w:t> </w:t>
      </w:r>
      <w:r>
        <w:rPr>
          <w:rFonts w:ascii="Arial"/>
          <w:i/>
          <w:sz w:val="16"/>
        </w:rPr>
        <w:t>be</w:t>
      </w:r>
      <w:r>
        <w:rPr>
          <w:rFonts w:ascii="Arial"/>
          <w:i/>
          <w:spacing w:val="-3"/>
          <w:sz w:val="16"/>
        </w:rPr>
        <w:t> </w:t>
      </w:r>
      <w:r>
        <w:rPr>
          <w:rFonts w:ascii="Arial"/>
          <w:i/>
          <w:sz w:val="16"/>
        </w:rPr>
        <w:t>charged</w:t>
      </w:r>
      <w:r>
        <w:rPr>
          <w:rFonts w:ascii="Arial"/>
          <w:i/>
          <w:spacing w:val="-3"/>
          <w:sz w:val="16"/>
        </w:rPr>
        <w:t> </w:t>
      </w:r>
      <w:r>
        <w:rPr>
          <w:rFonts w:ascii="Arial"/>
          <w:i/>
          <w:sz w:val="16"/>
        </w:rPr>
        <w:t>over</w:t>
      </w:r>
      <w:r>
        <w:rPr>
          <w:rFonts w:ascii="Arial"/>
          <w:i/>
          <w:spacing w:val="-2"/>
          <w:sz w:val="16"/>
        </w:rPr>
        <w:t> </w:t>
      </w:r>
      <w:r>
        <w:rPr>
          <w:rFonts w:ascii="Arial"/>
          <w:i/>
          <w:sz w:val="16"/>
        </w:rPr>
        <w:t>50</w:t>
      </w:r>
      <w:r>
        <w:rPr>
          <w:rFonts w:ascii="Arial"/>
          <w:i/>
          <w:spacing w:val="-3"/>
          <w:sz w:val="16"/>
        </w:rPr>
        <w:t> </w:t>
      </w:r>
      <w:r>
        <w:rPr>
          <w:rFonts w:ascii="Arial"/>
          <w:i/>
          <w:sz w:val="16"/>
        </w:rPr>
        <w:t>bps</w:t>
      </w:r>
      <w:r>
        <w:rPr>
          <w:rFonts w:ascii="Arial"/>
          <w:i/>
          <w:spacing w:val="-3"/>
          <w:sz w:val="16"/>
        </w:rPr>
        <w:t> </w:t>
      </w:r>
      <w:r>
        <w:rPr>
          <w:rFonts w:ascii="Arial"/>
          <w:i/>
          <w:sz w:val="16"/>
        </w:rPr>
        <w:t>of</w:t>
      </w:r>
      <w:r>
        <w:rPr>
          <w:rFonts w:ascii="Arial"/>
          <w:i/>
          <w:spacing w:val="-2"/>
          <w:sz w:val="16"/>
        </w:rPr>
        <w:t> </w:t>
      </w:r>
      <w:r>
        <w:rPr>
          <w:rFonts w:ascii="Arial"/>
          <w:i/>
          <w:sz w:val="16"/>
        </w:rPr>
        <w:t>the</w:t>
      </w:r>
      <w:r>
        <w:rPr>
          <w:rFonts w:ascii="Arial"/>
          <w:i/>
          <w:spacing w:val="-3"/>
          <w:sz w:val="16"/>
        </w:rPr>
        <w:t> </w:t>
      </w:r>
      <w:r>
        <w:rPr>
          <w:rFonts w:ascii="Arial"/>
          <w:i/>
          <w:sz w:val="16"/>
        </w:rPr>
        <w:t>guarantee</w:t>
      </w:r>
      <w:r>
        <w:rPr>
          <w:rFonts w:ascii="Arial"/>
          <w:i/>
          <w:spacing w:val="-3"/>
          <w:sz w:val="16"/>
        </w:rPr>
        <w:t> </w:t>
      </w:r>
      <w:r>
        <w:rPr>
          <w:rFonts w:ascii="Arial"/>
          <w:i/>
          <w:spacing w:val="-2"/>
          <w:sz w:val="16"/>
        </w:rPr>
        <w:t>amount.</w:t>
      </w:r>
    </w:p>
    <w:p>
      <w:pPr>
        <w:pStyle w:val="ListParagraph"/>
        <w:numPr>
          <w:ilvl w:val="0"/>
          <w:numId w:val="14"/>
        </w:numPr>
        <w:tabs>
          <w:tab w:pos="948" w:val="left" w:leader="none"/>
        </w:tabs>
        <w:spacing w:line="160" w:lineRule="exact" w:before="0" w:after="0"/>
        <w:ind w:left="948" w:right="0" w:hanging="176"/>
        <w:jc w:val="left"/>
        <w:rPr>
          <w:rFonts w:ascii="Arial"/>
          <w:i/>
          <w:sz w:val="16"/>
        </w:rPr>
      </w:pPr>
      <w:r>
        <w:rPr>
          <w:rFonts w:ascii="Arial"/>
          <w:i/>
          <w:sz w:val="16"/>
        </w:rPr>
        <w:t>Not</w:t>
      </w:r>
      <w:r>
        <w:rPr>
          <w:rFonts w:ascii="Arial"/>
          <w:i/>
          <w:spacing w:val="-5"/>
          <w:sz w:val="16"/>
        </w:rPr>
        <w:t> </w:t>
      </w:r>
      <w:r>
        <w:rPr>
          <w:rFonts w:ascii="Arial"/>
          <w:i/>
          <w:sz w:val="16"/>
        </w:rPr>
        <w:t>applicable</w:t>
      </w:r>
      <w:r>
        <w:rPr>
          <w:rFonts w:ascii="Arial"/>
          <w:i/>
          <w:spacing w:val="-4"/>
          <w:sz w:val="16"/>
        </w:rPr>
        <w:t> </w:t>
      </w:r>
      <w:r>
        <w:rPr>
          <w:rFonts w:ascii="Arial"/>
          <w:i/>
          <w:sz w:val="16"/>
        </w:rPr>
        <w:t>for</w:t>
      </w:r>
      <w:r>
        <w:rPr>
          <w:rFonts w:ascii="Arial"/>
          <w:i/>
          <w:spacing w:val="-4"/>
          <w:sz w:val="16"/>
        </w:rPr>
        <w:t> </w:t>
      </w:r>
      <w:r>
        <w:rPr>
          <w:rFonts w:ascii="Arial"/>
          <w:i/>
          <w:sz w:val="16"/>
        </w:rPr>
        <w:t>public</w:t>
      </w:r>
      <w:r>
        <w:rPr>
          <w:rFonts w:ascii="Arial"/>
          <w:i/>
          <w:spacing w:val="-4"/>
          <w:sz w:val="16"/>
        </w:rPr>
        <w:t> </w:t>
      </w:r>
      <w:r>
        <w:rPr>
          <w:rFonts w:ascii="Arial"/>
          <w:i/>
          <w:spacing w:val="-2"/>
          <w:sz w:val="16"/>
        </w:rPr>
        <w:t>projects.</w:t>
      </w:r>
    </w:p>
    <w:p>
      <w:pPr>
        <w:pStyle w:val="ListParagraph"/>
        <w:numPr>
          <w:ilvl w:val="0"/>
          <w:numId w:val="14"/>
        </w:numPr>
        <w:tabs>
          <w:tab w:pos="940" w:val="left" w:leader="none"/>
        </w:tabs>
        <w:spacing w:line="160" w:lineRule="exact" w:before="0" w:after="0"/>
        <w:ind w:left="940" w:right="0" w:hanging="168"/>
        <w:jc w:val="left"/>
        <w:rPr>
          <w:rFonts w:ascii="Arial"/>
          <w:i/>
          <w:sz w:val="16"/>
        </w:rPr>
      </w:pPr>
      <w:r>
        <w:rPr>
          <w:rFonts w:ascii="Arial"/>
          <w:i/>
          <w:sz w:val="16"/>
        </w:rPr>
        <w:t>The</w:t>
      </w:r>
      <w:r>
        <w:rPr>
          <w:rFonts w:ascii="Arial"/>
          <w:i/>
          <w:spacing w:val="-7"/>
          <w:sz w:val="16"/>
        </w:rPr>
        <w:t> </w:t>
      </w:r>
      <w:r>
        <w:rPr>
          <w:rFonts w:ascii="Arial"/>
          <w:i/>
          <w:sz w:val="16"/>
        </w:rPr>
        <w:t>initiation</w:t>
      </w:r>
      <w:r>
        <w:rPr>
          <w:rFonts w:ascii="Arial"/>
          <w:i/>
          <w:spacing w:val="-4"/>
          <w:sz w:val="16"/>
        </w:rPr>
        <w:t> </w:t>
      </w:r>
      <w:r>
        <w:rPr>
          <w:rFonts w:ascii="Arial"/>
          <w:i/>
          <w:sz w:val="16"/>
        </w:rPr>
        <w:t>fee</w:t>
      </w:r>
      <w:r>
        <w:rPr>
          <w:rFonts w:ascii="Arial"/>
          <w:i/>
          <w:spacing w:val="-4"/>
          <w:sz w:val="16"/>
        </w:rPr>
        <w:t> </w:t>
      </w:r>
      <w:r>
        <w:rPr>
          <w:rFonts w:ascii="Arial"/>
          <w:i/>
          <w:sz w:val="16"/>
        </w:rPr>
        <w:t>is</w:t>
      </w:r>
      <w:r>
        <w:rPr>
          <w:rFonts w:ascii="Arial"/>
          <w:i/>
          <w:spacing w:val="-3"/>
          <w:sz w:val="16"/>
        </w:rPr>
        <w:t> </w:t>
      </w:r>
      <w:r>
        <w:rPr>
          <w:rFonts w:ascii="Arial"/>
          <w:i/>
          <w:sz w:val="16"/>
        </w:rPr>
        <w:t>15</w:t>
      </w:r>
      <w:r>
        <w:rPr>
          <w:rFonts w:ascii="Arial"/>
          <w:i/>
          <w:spacing w:val="-4"/>
          <w:sz w:val="16"/>
        </w:rPr>
        <w:t> </w:t>
      </w:r>
      <w:r>
        <w:rPr>
          <w:rFonts w:ascii="Arial"/>
          <w:i/>
          <w:sz w:val="16"/>
        </w:rPr>
        <w:t>basis</w:t>
      </w:r>
      <w:r>
        <w:rPr>
          <w:rFonts w:ascii="Arial"/>
          <w:i/>
          <w:spacing w:val="-3"/>
          <w:sz w:val="16"/>
        </w:rPr>
        <w:t> </w:t>
      </w:r>
      <w:r>
        <w:rPr>
          <w:rFonts w:ascii="Arial"/>
          <w:i/>
          <w:sz w:val="16"/>
        </w:rPr>
        <w:t>points</w:t>
      </w:r>
      <w:r>
        <w:rPr>
          <w:rFonts w:ascii="Arial"/>
          <w:i/>
          <w:spacing w:val="-3"/>
          <w:sz w:val="16"/>
        </w:rPr>
        <w:t> </w:t>
      </w:r>
      <w:r>
        <w:rPr>
          <w:rFonts w:ascii="Arial"/>
          <w:i/>
          <w:sz w:val="16"/>
        </w:rPr>
        <w:t>of</w:t>
      </w:r>
      <w:r>
        <w:rPr>
          <w:rFonts w:ascii="Arial"/>
          <w:i/>
          <w:spacing w:val="-3"/>
          <w:sz w:val="16"/>
        </w:rPr>
        <w:t> </w:t>
      </w:r>
      <w:r>
        <w:rPr>
          <w:rFonts w:ascii="Arial"/>
          <w:i/>
          <w:sz w:val="16"/>
        </w:rPr>
        <w:t>the</w:t>
      </w:r>
      <w:r>
        <w:rPr>
          <w:rFonts w:ascii="Arial"/>
          <w:i/>
          <w:spacing w:val="-5"/>
          <w:sz w:val="16"/>
        </w:rPr>
        <w:t> </w:t>
      </w:r>
      <w:r>
        <w:rPr>
          <w:rFonts w:ascii="Arial"/>
          <w:i/>
          <w:sz w:val="16"/>
        </w:rPr>
        <w:t>guaranteed</w:t>
      </w:r>
      <w:r>
        <w:rPr>
          <w:rFonts w:ascii="Arial"/>
          <w:i/>
          <w:spacing w:val="-4"/>
          <w:sz w:val="16"/>
        </w:rPr>
        <w:t> </w:t>
      </w:r>
      <w:r>
        <w:rPr>
          <w:rFonts w:ascii="Arial"/>
          <w:i/>
          <w:sz w:val="16"/>
        </w:rPr>
        <w:t>amount</w:t>
      </w:r>
      <w:r>
        <w:rPr>
          <w:rFonts w:ascii="Arial"/>
          <w:i/>
          <w:spacing w:val="-3"/>
          <w:sz w:val="16"/>
        </w:rPr>
        <w:t> </w:t>
      </w:r>
      <w:r>
        <w:rPr>
          <w:rFonts w:ascii="Arial"/>
          <w:i/>
          <w:sz w:val="16"/>
        </w:rPr>
        <w:t>or</w:t>
      </w:r>
      <w:r>
        <w:rPr>
          <w:rFonts w:ascii="Arial"/>
          <w:i/>
          <w:spacing w:val="-3"/>
          <w:sz w:val="16"/>
        </w:rPr>
        <w:t> </w:t>
      </w:r>
      <w:r>
        <w:rPr>
          <w:rFonts w:ascii="Arial"/>
          <w:i/>
          <w:sz w:val="16"/>
        </w:rPr>
        <w:t>$100,000,</w:t>
      </w:r>
      <w:r>
        <w:rPr>
          <w:rFonts w:ascii="Arial"/>
          <w:i/>
          <w:spacing w:val="-3"/>
          <w:sz w:val="16"/>
        </w:rPr>
        <w:t> </w:t>
      </w:r>
      <w:r>
        <w:rPr>
          <w:rFonts w:ascii="Arial"/>
          <w:i/>
          <w:sz w:val="16"/>
        </w:rPr>
        <w:t>whichever</w:t>
      </w:r>
      <w:r>
        <w:rPr>
          <w:rFonts w:ascii="Arial"/>
          <w:i/>
          <w:spacing w:val="-3"/>
          <w:sz w:val="16"/>
        </w:rPr>
        <w:t> </w:t>
      </w:r>
      <w:r>
        <w:rPr>
          <w:rFonts w:ascii="Arial"/>
          <w:i/>
          <w:sz w:val="16"/>
        </w:rPr>
        <w:t>is</w:t>
      </w:r>
      <w:r>
        <w:rPr>
          <w:rFonts w:ascii="Arial"/>
          <w:i/>
          <w:spacing w:val="-3"/>
          <w:sz w:val="16"/>
        </w:rPr>
        <w:t> </w:t>
      </w:r>
      <w:r>
        <w:rPr>
          <w:rFonts w:ascii="Arial"/>
          <w:i/>
          <w:spacing w:val="-2"/>
          <w:sz w:val="16"/>
        </w:rPr>
        <w:t>greater.</w:t>
      </w:r>
    </w:p>
    <w:p>
      <w:pPr>
        <w:pStyle w:val="ListParagraph"/>
        <w:numPr>
          <w:ilvl w:val="0"/>
          <w:numId w:val="14"/>
        </w:numPr>
        <w:tabs>
          <w:tab w:pos="948" w:val="left" w:leader="none"/>
        </w:tabs>
        <w:spacing w:line="172" w:lineRule="exact" w:before="0" w:after="0"/>
        <w:ind w:left="948" w:right="0" w:hanging="176"/>
        <w:jc w:val="left"/>
        <w:rPr>
          <w:rFonts w:ascii="Arial"/>
          <w:i/>
          <w:sz w:val="16"/>
        </w:rPr>
      </w:pPr>
      <w:r>
        <w:rPr>
          <w:rFonts w:ascii="Arial"/>
          <w:i/>
          <w:sz w:val="16"/>
        </w:rPr>
        <w:t>Based</w:t>
      </w:r>
      <w:r>
        <w:rPr>
          <w:rFonts w:ascii="Arial"/>
          <w:i/>
          <w:spacing w:val="-6"/>
          <w:sz w:val="16"/>
        </w:rPr>
        <w:t> </w:t>
      </w:r>
      <w:r>
        <w:rPr>
          <w:rFonts w:ascii="Arial"/>
          <w:i/>
          <w:sz w:val="16"/>
        </w:rPr>
        <w:t>on</w:t>
      </w:r>
      <w:r>
        <w:rPr>
          <w:rFonts w:ascii="Arial"/>
          <w:i/>
          <w:spacing w:val="-4"/>
          <w:sz w:val="16"/>
        </w:rPr>
        <w:t> </w:t>
      </w:r>
      <w:r>
        <w:rPr>
          <w:rFonts w:ascii="Arial"/>
          <w:i/>
          <w:sz w:val="16"/>
        </w:rPr>
        <w:t>the</w:t>
      </w:r>
      <w:r>
        <w:rPr>
          <w:rFonts w:ascii="Arial"/>
          <w:i/>
          <w:spacing w:val="-4"/>
          <w:sz w:val="16"/>
        </w:rPr>
        <w:t> </w:t>
      </w:r>
      <w:r>
        <w:rPr>
          <w:rFonts w:ascii="Arial"/>
          <w:i/>
          <w:sz w:val="16"/>
        </w:rPr>
        <w:t>weighted</w:t>
      </w:r>
      <w:r>
        <w:rPr>
          <w:rFonts w:ascii="Arial"/>
          <w:i/>
          <w:spacing w:val="-4"/>
          <w:sz w:val="16"/>
        </w:rPr>
        <w:t> </w:t>
      </w:r>
      <w:r>
        <w:rPr>
          <w:rFonts w:ascii="Arial"/>
          <w:i/>
          <w:sz w:val="16"/>
        </w:rPr>
        <w:t>average</w:t>
      </w:r>
      <w:r>
        <w:rPr>
          <w:rFonts w:ascii="Arial"/>
          <w:i/>
          <w:spacing w:val="-4"/>
          <w:sz w:val="16"/>
        </w:rPr>
        <w:t> </w:t>
      </w:r>
      <w:r>
        <w:rPr>
          <w:rFonts w:ascii="Arial"/>
          <w:i/>
          <w:sz w:val="16"/>
        </w:rPr>
        <w:t>maturity</w:t>
      </w:r>
      <w:r>
        <w:rPr>
          <w:rFonts w:ascii="Arial"/>
          <w:i/>
          <w:spacing w:val="-2"/>
          <w:sz w:val="16"/>
        </w:rPr>
        <w:t> </w:t>
      </w:r>
      <w:r>
        <w:rPr>
          <w:rFonts w:ascii="Arial"/>
          <w:i/>
          <w:sz w:val="16"/>
        </w:rPr>
        <w:t>of</w:t>
      </w:r>
      <w:r>
        <w:rPr>
          <w:rFonts w:ascii="Arial"/>
          <w:i/>
          <w:spacing w:val="-3"/>
          <w:sz w:val="16"/>
        </w:rPr>
        <w:t> </w:t>
      </w:r>
      <w:r>
        <w:rPr>
          <w:rFonts w:ascii="Arial"/>
          <w:i/>
          <w:sz w:val="16"/>
        </w:rPr>
        <w:t>the</w:t>
      </w:r>
      <w:r>
        <w:rPr>
          <w:rFonts w:ascii="Arial"/>
          <w:i/>
          <w:spacing w:val="-4"/>
          <w:sz w:val="16"/>
        </w:rPr>
        <w:t> </w:t>
      </w:r>
      <w:r>
        <w:rPr>
          <w:rFonts w:ascii="Arial"/>
          <w:i/>
          <w:sz w:val="16"/>
        </w:rPr>
        <w:t>guarantee</w:t>
      </w:r>
      <w:r>
        <w:rPr>
          <w:rFonts w:ascii="Arial"/>
          <w:i/>
          <w:spacing w:val="-4"/>
          <w:sz w:val="16"/>
        </w:rPr>
        <w:t> </w:t>
      </w:r>
      <w:r>
        <w:rPr>
          <w:rFonts w:ascii="Arial"/>
          <w:i/>
          <w:sz w:val="16"/>
        </w:rPr>
        <w:t>and</w:t>
      </w:r>
      <w:r>
        <w:rPr>
          <w:rFonts w:ascii="Arial"/>
          <w:i/>
          <w:spacing w:val="-4"/>
          <w:sz w:val="16"/>
        </w:rPr>
        <w:t> </w:t>
      </w:r>
      <w:r>
        <w:rPr>
          <w:rFonts w:ascii="Arial"/>
          <w:i/>
          <w:sz w:val="16"/>
        </w:rPr>
        <w:t>country</w:t>
      </w:r>
      <w:r>
        <w:rPr>
          <w:rFonts w:ascii="Arial"/>
          <w:i/>
          <w:spacing w:val="-3"/>
          <w:sz w:val="16"/>
        </w:rPr>
        <w:t> </w:t>
      </w:r>
      <w:r>
        <w:rPr>
          <w:rFonts w:ascii="Arial"/>
          <w:i/>
          <w:sz w:val="16"/>
        </w:rPr>
        <w:t>pricing</w:t>
      </w:r>
      <w:r>
        <w:rPr>
          <w:rFonts w:ascii="Arial"/>
          <w:i/>
          <w:spacing w:val="-3"/>
          <w:sz w:val="16"/>
        </w:rPr>
        <w:t> </w:t>
      </w:r>
      <w:r>
        <w:rPr>
          <w:rFonts w:ascii="Arial"/>
          <w:i/>
          <w:spacing w:val="-2"/>
          <w:sz w:val="16"/>
        </w:rPr>
        <w:t>group.</w:t>
      </w:r>
    </w:p>
    <w:p>
      <w:pPr>
        <w:pStyle w:val="BodyText"/>
        <w:spacing w:before="41"/>
        <w:rPr>
          <w:rFonts w:ascii="Arial"/>
          <w:i/>
          <w:sz w:val="16"/>
        </w:rPr>
      </w:pPr>
    </w:p>
    <w:p>
      <w:pPr>
        <w:pStyle w:val="BodyText"/>
        <w:spacing w:line="208" w:lineRule="auto"/>
        <w:ind w:left="720" w:right="719"/>
      </w:pPr>
      <w:r>
        <w:rPr/>
        <w:t>In addition, IBRD has entered into the following arrangements, which are treated as financial guarantees under U.S. </w:t>
      </w:r>
      <w:r>
        <w:rPr>
          <w:spacing w:val="-2"/>
        </w:rPr>
        <w:t>GAAP:</w:t>
      </w:r>
    </w:p>
    <w:p>
      <w:pPr>
        <w:pStyle w:val="ListParagraph"/>
        <w:numPr>
          <w:ilvl w:val="1"/>
          <w:numId w:val="14"/>
        </w:numPr>
        <w:tabs>
          <w:tab w:pos="1260" w:val="left" w:leader="none"/>
        </w:tabs>
        <w:spacing w:line="240" w:lineRule="auto" w:before="102" w:after="0"/>
        <w:ind w:left="1260" w:right="718" w:hanging="360"/>
        <w:jc w:val="both"/>
        <w:rPr>
          <w:sz w:val="20"/>
        </w:rPr>
      </w:pPr>
      <w:r>
        <w:rPr>
          <w:i/>
          <w:sz w:val="20"/>
        </w:rPr>
        <w:t>Exposure Exchange Agreements (EEA): </w:t>
      </w:r>
      <w:r>
        <w:rPr>
          <w:sz w:val="20"/>
        </w:rPr>
        <w:t>IBRD has an exposure exchange agreement outstanding with MIGA under which IBRD and MIGA exchanged selected exposures through reciprocal guarantees, with each divesting itself of exposure in countries where their lending capacities are limited, in return for exposure in countries where they had excess lending capacity.</w:t>
      </w:r>
    </w:p>
    <w:p>
      <w:pPr>
        <w:pStyle w:val="BodyText"/>
        <w:spacing w:line="232" w:lineRule="auto" w:before="139"/>
        <w:ind w:left="1260" w:right="718"/>
        <w:jc w:val="both"/>
      </w:pPr>
      <w:r>
        <w:rPr/>
        <w:t>IBRD also has</w:t>
      </w:r>
      <w:r>
        <w:rPr>
          <w:spacing w:val="40"/>
        </w:rPr>
        <w:t> </w:t>
      </w:r>
      <w:r>
        <w:rPr/>
        <w:t>a Multilateral Development Bank (MDB) EEA with the African Development Bank (AfDB) and the Inter-American Development Bank (IADB). Under this EEA, each MDB exchanged credit risk exposure of a reference portfolio supported by underlying loans to borrowing member countries. For each MDB, EEAs through diversification benefits, help reduce credit risk at the portfolio level; improve the risk-weighted capital ratios especially by addressing exposure concentration concerns; and create lending headroom</w:t>
      </w:r>
      <w:r>
        <w:rPr>
          <w:spacing w:val="-4"/>
        </w:rPr>
        <w:t> </w:t>
      </w:r>
      <w:r>
        <w:rPr/>
        <w:t>for</w:t>
      </w:r>
      <w:r>
        <w:rPr>
          <w:spacing w:val="-3"/>
        </w:rPr>
        <w:t> </w:t>
      </w:r>
      <w:r>
        <w:rPr/>
        <w:t>individual</w:t>
      </w:r>
      <w:r>
        <w:rPr>
          <w:spacing w:val="-4"/>
        </w:rPr>
        <w:t> </w:t>
      </w:r>
      <w:r>
        <w:rPr/>
        <w:t>borrowing</w:t>
      </w:r>
      <w:r>
        <w:rPr>
          <w:spacing w:val="-3"/>
        </w:rPr>
        <w:t> </w:t>
      </w:r>
      <w:r>
        <w:rPr/>
        <w:t>countries</w:t>
      </w:r>
      <w:r>
        <w:rPr>
          <w:spacing w:val="-4"/>
        </w:rPr>
        <w:t> </w:t>
      </w:r>
      <w:r>
        <w:rPr/>
        <w:t>where</w:t>
      </w:r>
      <w:r>
        <w:rPr>
          <w:spacing w:val="-4"/>
        </w:rPr>
        <w:t> </w:t>
      </w:r>
      <w:r>
        <w:rPr/>
        <w:t>MDBs</w:t>
      </w:r>
      <w:r>
        <w:rPr>
          <w:spacing w:val="-4"/>
        </w:rPr>
        <w:t> </w:t>
      </w:r>
      <w:r>
        <w:rPr/>
        <w:t>may</w:t>
      </w:r>
      <w:r>
        <w:rPr>
          <w:spacing w:val="-3"/>
        </w:rPr>
        <w:t> </w:t>
      </w:r>
      <w:r>
        <w:rPr/>
        <w:t>be</w:t>
      </w:r>
      <w:r>
        <w:rPr>
          <w:spacing w:val="-4"/>
        </w:rPr>
        <w:t> </w:t>
      </w:r>
      <w:r>
        <w:rPr/>
        <w:t>constrained.</w:t>
      </w:r>
      <w:r>
        <w:rPr>
          <w:spacing w:val="-3"/>
        </w:rPr>
        <w:t> </w:t>
      </w:r>
      <w:r>
        <w:rPr/>
        <w:t>The</w:t>
      </w:r>
      <w:r>
        <w:rPr>
          <w:spacing w:val="-4"/>
        </w:rPr>
        <w:t> </w:t>
      </w:r>
      <w:r>
        <w:rPr/>
        <w:t>EEA</w:t>
      </w:r>
      <w:r>
        <w:rPr>
          <w:spacing w:val="-4"/>
        </w:rPr>
        <w:t> </w:t>
      </w:r>
      <w:r>
        <w:rPr/>
        <w:t>involved</w:t>
      </w:r>
      <w:r>
        <w:rPr>
          <w:spacing w:val="-3"/>
        </w:rPr>
        <w:t> </w:t>
      </w:r>
      <w:r>
        <w:rPr/>
        <w:t>the</w:t>
      </w:r>
      <w:r>
        <w:rPr>
          <w:spacing w:val="-4"/>
        </w:rPr>
        <w:t> </w:t>
      </w:r>
      <w:r>
        <w:rPr/>
        <w:t>receipt of a guarantee and the provision of a guarantee against nonpayment in the reference portfolio by each MDB</w:t>
      </w:r>
    </w:p>
    <w:p>
      <w:pPr>
        <w:pStyle w:val="BodyText"/>
        <w:spacing w:line="242" w:lineRule="auto" w:before="29"/>
        <w:ind w:left="1260" w:right="718"/>
        <w:jc w:val="both"/>
      </w:pPr>
      <w:r>
        <w:rPr/>
        <w:t>to</w:t>
      </w:r>
      <w:r>
        <w:rPr>
          <w:spacing w:val="-1"/>
        </w:rPr>
        <w:t> </w:t>
      </w:r>
      <w:r>
        <w:rPr/>
        <w:t>the</w:t>
      </w:r>
      <w:r>
        <w:rPr>
          <w:spacing w:val="-1"/>
        </w:rPr>
        <w:t> </w:t>
      </w:r>
      <w:r>
        <w:rPr/>
        <w:t>other.</w:t>
      </w:r>
      <w:r>
        <w:rPr>
          <w:spacing w:val="40"/>
        </w:rPr>
        <w:t> </w:t>
      </w:r>
      <w:r>
        <w:rPr/>
        <w:t>The</w:t>
      </w:r>
      <w:r>
        <w:rPr>
          <w:spacing w:val="-1"/>
        </w:rPr>
        <w:t> </w:t>
      </w:r>
      <w:r>
        <w:rPr/>
        <w:t>guarantee</w:t>
      </w:r>
      <w:r>
        <w:rPr>
          <w:spacing w:val="-1"/>
        </w:rPr>
        <w:t> </w:t>
      </w:r>
      <w:r>
        <w:rPr/>
        <w:t>received</w:t>
      </w:r>
      <w:r>
        <w:rPr>
          <w:spacing w:val="-1"/>
        </w:rPr>
        <w:t> </w:t>
      </w:r>
      <w:r>
        <w:rPr/>
        <w:t>and</w:t>
      </w:r>
      <w:r>
        <w:rPr>
          <w:spacing w:val="-1"/>
        </w:rPr>
        <w:t> </w:t>
      </w:r>
      <w:r>
        <w:rPr/>
        <w:t>the</w:t>
      </w:r>
      <w:r>
        <w:rPr>
          <w:spacing w:val="-1"/>
        </w:rPr>
        <w:t> </w:t>
      </w:r>
      <w:r>
        <w:rPr/>
        <w:t>guarantee</w:t>
      </w:r>
      <w:r>
        <w:rPr>
          <w:spacing w:val="-1"/>
        </w:rPr>
        <w:t> </w:t>
      </w:r>
      <w:r>
        <w:rPr/>
        <w:t>provided</w:t>
      </w:r>
      <w:r>
        <w:rPr>
          <w:spacing w:val="-1"/>
        </w:rPr>
        <w:t> </w:t>
      </w:r>
      <w:r>
        <w:rPr/>
        <w:t>are</w:t>
      </w:r>
      <w:r>
        <w:rPr>
          <w:spacing w:val="-1"/>
        </w:rPr>
        <w:t> </w:t>
      </w:r>
      <w:r>
        <w:rPr/>
        <w:t>two</w:t>
      </w:r>
      <w:r>
        <w:rPr>
          <w:spacing w:val="-1"/>
        </w:rPr>
        <w:t> </w:t>
      </w:r>
      <w:r>
        <w:rPr/>
        <w:t>separate</w:t>
      </w:r>
      <w:r>
        <w:rPr>
          <w:spacing w:val="-1"/>
        </w:rPr>
        <w:t> </w:t>
      </w:r>
      <w:r>
        <w:rPr/>
        <w:t>transactions:</w:t>
      </w:r>
      <w:r>
        <w:rPr>
          <w:spacing w:val="-1"/>
        </w:rPr>
        <w:t> </w:t>
      </w:r>
      <w:r>
        <w:rPr/>
        <w:t>(a)</w:t>
      </w:r>
      <w:r>
        <w:rPr>
          <w:spacing w:val="-1"/>
        </w:rPr>
        <w:t> </w:t>
      </w:r>
      <w:r>
        <w:rPr/>
        <w:t>a</w:t>
      </w:r>
      <w:r>
        <w:rPr>
          <w:spacing w:val="-1"/>
        </w:rPr>
        <w:t> </w:t>
      </w:r>
      <w:r>
        <w:rPr/>
        <w:t>receipt</w:t>
      </w:r>
      <w:r>
        <w:rPr>
          <w:spacing w:val="-1"/>
        </w:rPr>
        <w:t> </w:t>
      </w:r>
      <w:r>
        <w:rPr/>
        <w:t>of an</w:t>
      </w:r>
      <w:r>
        <w:rPr>
          <w:spacing w:val="-2"/>
        </w:rPr>
        <w:t> </w:t>
      </w:r>
      <w:r>
        <w:rPr/>
        <w:t>asset</w:t>
      </w:r>
      <w:r>
        <w:rPr>
          <w:spacing w:val="-2"/>
        </w:rPr>
        <w:t> </w:t>
      </w:r>
      <w:r>
        <w:rPr/>
        <w:t>for</w:t>
      </w:r>
      <w:r>
        <w:rPr>
          <w:spacing w:val="-2"/>
        </w:rPr>
        <w:t> </w:t>
      </w:r>
      <w:r>
        <w:rPr/>
        <w:t>the</w:t>
      </w:r>
      <w:r>
        <w:rPr>
          <w:spacing w:val="-2"/>
        </w:rPr>
        <w:t> </w:t>
      </w:r>
      <w:r>
        <w:rPr/>
        <w:t>right</w:t>
      </w:r>
      <w:r>
        <w:rPr>
          <w:spacing w:val="-2"/>
        </w:rPr>
        <w:t> </w:t>
      </w:r>
      <w:r>
        <w:rPr/>
        <w:t>to</w:t>
      </w:r>
      <w:r>
        <w:rPr>
          <w:spacing w:val="-2"/>
        </w:rPr>
        <w:t> </w:t>
      </w:r>
      <w:r>
        <w:rPr/>
        <w:t>be</w:t>
      </w:r>
      <w:r>
        <w:rPr>
          <w:spacing w:val="-2"/>
        </w:rPr>
        <w:t> </w:t>
      </w:r>
      <w:r>
        <w:rPr/>
        <w:t>indemnified</w:t>
      </w:r>
      <w:r>
        <w:rPr>
          <w:spacing w:val="-2"/>
        </w:rPr>
        <w:t> </w:t>
      </w:r>
      <w:r>
        <w:rPr/>
        <w:t>and</w:t>
      </w:r>
      <w:r>
        <w:rPr>
          <w:spacing w:val="-2"/>
        </w:rPr>
        <w:t> </w:t>
      </w:r>
      <w:r>
        <w:rPr/>
        <w:t>receive</w:t>
      </w:r>
      <w:r>
        <w:rPr>
          <w:spacing w:val="-2"/>
        </w:rPr>
        <w:t> </w:t>
      </w:r>
      <w:r>
        <w:rPr/>
        <w:t>risk</w:t>
      </w:r>
      <w:r>
        <w:rPr>
          <w:spacing w:val="-2"/>
        </w:rPr>
        <w:t> </w:t>
      </w:r>
      <w:r>
        <w:rPr/>
        <w:t>coverage</w:t>
      </w:r>
      <w:r>
        <w:rPr>
          <w:spacing w:val="-2"/>
        </w:rPr>
        <w:t> </w:t>
      </w:r>
      <w:r>
        <w:rPr/>
        <w:t>(recoverable</w:t>
      </w:r>
      <w:r>
        <w:rPr>
          <w:spacing w:val="-2"/>
        </w:rPr>
        <w:t> </w:t>
      </w:r>
      <w:r>
        <w:rPr/>
        <w:t>asset)</w:t>
      </w:r>
      <w:r>
        <w:rPr>
          <w:spacing w:val="-2"/>
        </w:rPr>
        <w:t> </w:t>
      </w:r>
      <w:r>
        <w:rPr/>
        <w:t>and</w:t>
      </w:r>
      <w:r>
        <w:rPr>
          <w:spacing w:val="-2"/>
        </w:rPr>
        <w:t> </w:t>
      </w:r>
      <w:r>
        <w:rPr/>
        <w:t>(b)</w:t>
      </w:r>
      <w:r>
        <w:rPr>
          <w:spacing w:val="-2"/>
        </w:rPr>
        <w:t> </w:t>
      </w:r>
      <w:r>
        <w:rPr/>
        <w:t>the</w:t>
      </w:r>
      <w:r>
        <w:rPr>
          <w:spacing w:val="-2"/>
        </w:rPr>
        <w:t> </w:t>
      </w:r>
      <w:r>
        <w:rPr/>
        <w:t>provision</w:t>
      </w:r>
      <w:r>
        <w:rPr>
          <w:spacing w:val="-2"/>
        </w:rPr>
        <w:t> </w:t>
      </w:r>
      <w:r>
        <w:rPr/>
        <w:t>of</w:t>
      </w:r>
      <w:r>
        <w:rPr>
          <w:spacing w:val="-2"/>
        </w:rPr>
        <w:t> </w:t>
      </w:r>
      <w:r>
        <w:rPr/>
        <w:t>a financial</w:t>
      </w:r>
      <w:r>
        <w:rPr>
          <w:spacing w:val="-4"/>
        </w:rPr>
        <w:t> </w:t>
      </w:r>
      <w:r>
        <w:rPr/>
        <w:t>guarantee,</w:t>
      </w:r>
      <w:r>
        <w:rPr>
          <w:spacing w:val="-3"/>
        </w:rPr>
        <w:t> </w:t>
      </w:r>
      <w:r>
        <w:rPr/>
        <w:t>respectively</w:t>
      </w:r>
      <w:r>
        <w:rPr>
          <w:spacing w:val="-3"/>
        </w:rPr>
        <w:t> </w:t>
      </w:r>
      <w:r>
        <w:rPr/>
        <w:t>(see</w:t>
      </w:r>
      <w:r>
        <w:rPr>
          <w:spacing w:val="-4"/>
        </w:rPr>
        <w:t> </w:t>
      </w:r>
      <w:r>
        <w:rPr/>
        <w:t>Notes</w:t>
      </w:r>
      <w:r>
        <w:rPr>
          <w:spacing w:val="-4"/>
        </w:rPr>
        <w:t> </w:t>
      </w:r>
      <w:r>
        <w:rPr/>
        <w:t>to</w:t>
      </w:r>
      <w:r>
        <w:rPr>
          <w:spacing w:val="-3"/>
        </w:rPr>
        <w:t> </w:t>
      </w:r>
      <w:r>
        <w:rPr/>
        <w:t>the</w:t>
      </w:r>
      <w:r>
        <w:rPr>
          <w:spacing w:val="-4"/>
        </w:rPr>
        <w:t> </w:t>
      </w:r>
      <w:r>
        <w:rPr/>
        <w:t>Financial</w:t>
      </w:r>
      <w:r>
        <w:rPr>
          <w:spacing w:val="-4"/>
        </w:rPr>
        <w:t> </w:t>
      </w:r>
      <w:r>
        <w:rPr/>
        <w:t>Statements,</w:t>
      </w:r>
      <w:r>
        <w:rPr>
          <w:spacing w:val="-3"/>
        </w:rPr>
        <w:t> </w:t>
      </w:r>
      <w:r>
        <w:rPr/>
        <w:t>Note</w:t>
      </w:r>
      <w:r>
        <w:rPr>
          <w:spacing w:val="-4"/>
        </w:rPr>
        <w:t> </w:t>
      </w:r>
      <w:r>
        <w:rPr/>
        <w:t>D:</w:t>
      </w:r>
      <w:r>
        <w:rPr>
          <w:spacing w:val="-4"/>
        </w:rPr>
        <w:t> </w:t>
      </w:r>
      <w:r>
        <w:rPr/>
        <w:t>Loans</w:t>
      </w:r>
      <w:r>
        <w:rPr>
          <w:spacing w:val="-4"/>
        </w:rPr>
        <w:t> </w:t>
      </w:r>
      <w:r>
        <w:rPr/>
        <w:t>and</w:t>
      </w:r>
      <w:r>
        <w:rPr>
          <w:spacing w:val="-3"/>
        </w:rPr>
        <w:t> </w:t>
      </w:r>
      <w:r>
        <w:rPr/>
        <w:t>Other</w:t>
      </w:r>
      <w:r>
        <w:rPr>
          <w:spacing w:val="-3"/>
        </w:rPr>
        <w:t> </w:t>
      </w:r>
      <w:r>
        <w:rPr/>
        <w:t>Exposures).</w:t>
      </w:r>
    </w:p>
    <w:p>
      <w:pPr>
        <w:pStyle w:val="ListParagraph"/>
        <w:numPr>
          <w:ilvl w:val="0"/>
          <w:numId w:val="15"/>
        </w:numPr>
        <w:tabs>
          <w:tab w:pos="1260" w:val="left" w:leader="none"/>
        </w:tabs>
        <w:spacing w:line="249" w:lineRule="auto" w:before="112" w:after="0"/>
        <w:ind w:left="1260" w:right="719" w:hanging="360"/>
        <w:jc w:val="both"/>
        <w:rPr>
          <w:sz w:val="20"/>
        </w:rPr>
      </w:pPr>
      <w:r>
        <w:rPr>
          <w:i/>
          <w:sz w:val="20"/>
        </w:rPr>
        <w:t>Other guarantee arrangements</w:t>
      </w:r>
      <w:r>
        <w:rPr>
          <w:sz w:val="20"/>
        </w:rPr>
        <w:t>: As of June 30, 2023, IBRD had received guarantees totaling $3,325 million ($2,116 million as of June 30, 2022). These guarantees serve as a credit enhancement which increase IBRD’s lending capacity in certain countries (see Notes to the Financial Statements, Note D: Loans and Other </w:t>
      </w:r>
      <w:r>
        <w:rPr>
          <w:spacing w:val="-2"/>
          <w:sz w:val="20"/>
        </w:rPr>
        <w:t>Exposures).</w:t>
      </w:r>
    </w:p>
    <w:p>
      <w:pPr>
        <w:spacing w:before="194"/>
        <w:ind w:left="772" w:right="0" w:firstLine="0"/>
        <w:jc w:val="left"/>
        <w:rPr>
          <w:rFonts w:ascii="Arial"/>
          <w:b/>
          <w:sz w:val="16"/>
        </w:rPr>
      </w:pPr>
      <w:bookmarkStart w:name="_bookmark41" w:id="62"/>
      <w:bookmarkEnd w:id="62"/>
      <w:r>
        <w:rPr/>
      </w:r>
      <w:r>
        <w:rPr>
          <w:rFonts w:ascii="Arial"/>
          <w:b/>
          <w:sz w:val="16"/>
        </w:rPr>
        <w:t>Table</w:t>
      </w:r>
      <w:r>
        <w:rPr>
          <w:rFonts w:ascii="Arial"/>
          <w:b/>
          <w:spacing w:val="-6"/>
          <w:sz w:val="16"/>
        </w:rPr>
        <w:t> </w:t>
      </w:r>
      <w:r>
        <w:rPr>
          <w:rFonts w:ascii="Arial"/>
          <w:b/>
          <w:sz w:val="16"/>
        </w:rPr>
        <w:t>16:</w:t>
      </w:r>
      <w:r>
        <w:rPr>
          <w:rFonts w:ascii="Arial"/>
          <w:b/>
          <w:spacing w:val="-4"/>
          <w:sz w:val="16"/>
        </w:rPr>
        <w:t> </w:t>
      </w:r>
      <w:r>
        <w:rPr>
          <w:rFonts w:ascii="Arial"/>
          <w:b/>
          <w:sz w:val="16"/>
        </w:rPr>
        <w:t>Exposure</w:t>
      </w:r>
      <w:r>
        <w:rPr>
          <w:rFonts w:ascii="Arial"/>
          <w:b/>
          <w:spacing w:val="-5"/>
          <w:sz w:val="16"/>
        </w:rPr>
        <w:t> </w:t>
      </w:r>
      <w:r>
        <w:rPr>
          <w:rFonts w:ascii="Arial"/>
          <w:b/>
          <w:sz w:val="16"/>
        </w:rPr>
        <w:t>Exchange</w:t>
      </w:r>
      <w:r>
        <w:rPr>
          <w:rFonts w:ascii="Arial"/>
          <w:b/>
          <w:spacing w:val="-5"/>
          <w:sz w:val="16"/>
        </w:rPr>
        <w:t> </w:t>
      </w:r>
      <w:r>
        <w:rPr>
          <w:rFonts w:ascii="Arial"/>
          <w:b/>
          <w:spacing w:val="-2"/>
          <w:sz w:val="16"/>
        </w:rPr>
        <w:t>Agreements</w:t>
      </w:r>
    </w:p>
    <w:p>
      <w:pPr>
        <w:spacing w:before="56"/>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5837" w:val="left" w:leader="none"/>
          <w:tab w:pos="8922" w:val="right" w:leader="none"/>
        </w:tabs>
        <w:spacing w:before="60"/>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80864">
                <wp:simplePos x="0" y="0"/>
                <wp:positionH relativeFrom="page">
                  <wp:posOffset>3429000</wp:posOffset>
                </wp:positionH>
                <wp:positionV relativeFrom="paragraph">
                  <wp:posOffset>173997</wp:posOffset>
                </wp:positionV>
                <wp:extent cx="3429000" cy="127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3429000" cy="1270"/>
                        </a:xfrm>
                        <a:custGeom>
                          <a:avLst/>
                          <a:gdLst/>
                          <a:ahLst/>
                          <a:cxnLst/>
                          <a:rect l="l" t="t" r="r" b="b"/>
                          <a:pathLst>
                            <a:path w="3429000" h="0">
                              <a:moveTo>
                                <a:pt x="0" y="0"/>
                              </a:moveTo>
                              <a:lnTo>
                                <a:pt x="1695450" y="0"/>
                              </a:lnTo>
                            </a:path>
                            <a:path w="3429000" h="0">
                              <a:moveTo>
                                <a:pt x="1733550" y="0"/>
                              </a:moveTo>
                              <a:lnTo>
                                <a:pt x="34290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270pt;margin-top:13.700615pt;width:270pt;height:.1pt;mso-position-horizontal-relative:page;mso-position-vertical-relative:paragraph;z-index:15780864" id="docshape255" coordorigin="5400,274" coordsize="5400,0" path="m5400,274l8070,274m8130,274l10800,274e" filled="false" stroked="true" strokeweight="1pt" strokecolor="#6c6c6c">
                <v:path arrowok="t"/>
                <v:stroke dashstyle="solid"/>
                <w10:wrap type="none"/>
              </v:shape>
            </w:pict>
          </mc:Fallback>
        </mc:AlternateContent>
      </w: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r>
        <w:rPr>
          <w:rFonts w:ascii="Arial"/>
          <w:i/>
          <w:color w:val="484848"/>
          <w:sz w:val="16"/>
        </w:rPr>
        <w:tab/>
      </w:r>
      <w:r>
        <w:rPr>
          <w:rFonts w:ascii="Arial"/>
          <w:i/>
          <w:color w:val="484848"/>
          <w:spacing w:val="-4"/>
          <w:sz w:val="16"/>
        </w:rPr>
        <w:t>2023</w:t>
      </w:r>
      <w:r>
        <w:rPr>
          <w:color w:val="484848"/>
          <w:sz w:val="16"/>
        </w:rPr>
        <w:tab/>
      </w:r>
      <w:r>
        <w:rPr>
          <w:rFonts w:ascii="Arial"/>
          <w:i/>
          <w:color w:val="484848"/>
          <w:spacing w:val="-4"/>
          <w:sz w:val="16"/>
        </w:rPr>
        <w:t>2022</w:t>
      </w:r>
    </w:p>
    <w:p>
      <w:pPr>
        <w:spacing w:after="0"/>
        <w:jc w:val="left"/>
        <w:rPr>
          <w:rFonts w:ascii="Arial"/>
          <w:i/>
          <w:sz w:val="16"/>
        </w:rPr>
        <w:sectPr>
          <w:pgSz w:w="12240" w:h="15840"/>
          <w:pgMar w:header="744" w:footer="583" w:top="1020" w:bottom="780" w:left="720" w:right="720"/>
        </w:sectPr>
      </w:pPr>
    </w:p>
    <w:p>
      <w:pPr>
        <w:spacing w:before="532"/>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81376">
                <wp:simplePos x="0" y="0"/>
                <wp:positionH relativeFrom="page">
                  <wp:posOffset>914400</wp:posOffset>
                </wp:positionH>
                <wp:positionV relativeFrom="paragraph">
                  <wp:posOffset>323868</wp:posOffset>
                </wp:positionV>
                <wp:extent cx="5943600" cy="127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5943600" cy="1270"/>
                        </a:xfrm>
                        <a:custGeom>
                          <a:avLst/>
                          <a:gdLst/>
                          <a:ahLst/>
                          <a:cxnLst/>
                          <a:rect l="l" t="t" r="r" b="b"/>
                          <a:pathLst>
                            <a:path w="5943600" h="0">
                              <a:moveTo>
                                <a:pt x="0" y="0"/>
                              </a:moveTo>
                              <a:lnTo>
                                <a:pt x="4210050" y="0"/>
                              </a:lnTo>
                            </a:path>
                            <a:path w="5943600" h="0">
                              <a:moveTo>
                                <a:pt x="424815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501427pt;width:468pt;height:.1pt;mso-position-horizontal-relative:page;mso-position-vertical-relative:paragraph;z-index:15781376" id="docshape256" coordorigin="1440,510" coordsize="9360,0" path="m1440,510l8070,510m8130,510l10800,510e" filled="false" stroked="true" strokeweight="1pt" strokecolor="#6c6c6c">
                <v:path arrowok="t"/>
                <v:stroke dashstyle="solid"/>
                <w10:wrap type="none"/>
              </v:shape>
            </w:pict>
          </mc:Fallback>
        </mc:AlternateContent>
      </w:r>
      <w:r>
        <w:rPr>
          <w:rFonts w:ascii="Arial MT"/>
          <w:sz w:val="16"/>
        </w:rPr>
        <w:t>Exposure</w:t>
      </w:r>
      <w:r>
        <w:rPr>
          <w:rFonts w:ascii="Arial MT"/>
          <w:spacing w:val="-6"/>
          <w:sz w:val="16"/>
        </w:rPr>
        <w:t> </w:t>
      </w:r>
      <w:r>
        <w:rPr>
          <w:rFonts w:ascii="Arial MT"/>
          <w:sz w:val="16"/>
        </w:rPr>
        <w:t>Exchange</w:t>
      </w:r>
      <w:r>
        <w:rPr>
          <w:rFonts w:ascii="Arial MT"/>
          <w:spacing w:val="-11"/>
          <w:sz w:val="16"/>
        </w:rPr>
        <w:t> </w:t>
      </w:r>
      <w:r>
        <w:rPr>
          <w:rFonts w:ascii="Arial MT"/>
          <w:spacing w:val="-2"/>
          <w:sz w:val="16"/>
        </w:rPr>
        <w:t>Agreement</w:t>
      </w:r>
    </w:p>
    <w:p>
      <w:pPr>
        <w:spacing w:line="208" w:lineRule="auto" w:before="156"/>
        <w:ind w:left="817" w:right="-3" w:hanging="45"/>
        <w:jc w:val="left"/>
        <w:rPr>
          <w:rFonts w:ascii="Arial"/>
          <w:i/>
          <w:sz w:val="16"/>
        </w:rPr>
      </w:pPr>
      <w:r>
        <w:rPr/>
        <w:br w:type="column"/>
      </w:r>
      <w:r>
        <w:rPr>
          <w:rFonts w:ascii="Arial"/>
          <w:i/>
          <w:color w:val="484848"/>
          <w:spacing w:val="-2"/>
          <w:sz w:val="16"/>
        </w:rPr>
        <w:t>Guarantee Received</w:t>
      </w:r>
    </w:p>
    <w:p>
      <w:pPr>
        <w:spacing w:line="208" w:lineRule="auto" w:before="156"/>
        <w:ind w:left="631" w:right="-2" w:hanging="63"/>
        <w:jc w:val="left"/>
        <w:rPr>
          <w:rFonts w:ascii="Arial"/>
          <w:i/>
          <w:sz w:val="16"/>
        </w:rPr>
      </w:pPr>
      <w:r>
        <w:rPr/>
        <w:br w:type="column"/>
      </w:r>
      <w:r>
        <w:rPr>
          <w:rFonts w:ascii="Arial"/>
          <w:i/>
          <w:color w:val="484848"/>
          <w:spacing w:val="-2"/>
          <w:sz w:val="16"/>
        </w:rPr>
        <w:t>Guarantee Provided</w:t>
      </w:r>
    </w:p>
    <w:p>
      <w:pPr>
        <w:spacing w:line="208" w:lineRule="auto" w:before="156"/>
        <w:ind w:left="614" w:right="-3" w:hanging="45"/>
        <w:jc w:val="left"/>
        <w:rPr>
          <w:rFonts w:ascii="Arial"/>
          <w:i/>
          <w:sz w:val="16"/>
        </w:rPr>
      </w:pPr>
      <w:r>
        <w:rPr/>
        <w:br w:type="column"/>
      </w:r>
      <w:r>
        <w:rPr>
          <w:rFonts w:ascii="Arial"/>
          <w:i/>
          <w:color w:val="484848"/>
          <w:spacing w:val="-2"/>
          <w:sz w:val="16"/>
        </w:rPr>
        <w:t>Guarantee Received</w:t>
      </w:r>
    </w:p>
    <w:p>
      <w:pPr>
        <w:spacing w:line="208" w:lineRule="auto" w:before="156"/>
        <w:ind w:left="631" w:right="992" w:hanging="63"/>
        <w:jc w:val="left"/>
        <w:rPr>
          <w:rFonts w:ascii="Arial"/>
          <w:i/>
          <w:sz w:val="16"/>
        </w:rPr>
      </w:pPr>
      <w:r>
        <w:rPr/>
        <w:br w:type="column"/>
      </w:r>
      <w:r>
        <w:rPr>
          <w:rFonts w:ascii="Arial"/>
          <w:i/>
          <w:color w:val="484848"/>
          <w:spacing w:val="-2"/>
          <w:sz w:val="16"/>
        </w:rPr>
        <w:t>Guarantee Provided</w:t>
      </w:r>
    </w:p>
    <w:p>
      <w:pPr>
        <w:spacing w:after="0" w:line="208" w:lineRule="auto"/>
        <w:jc w:val="left"/>
        <w:rPr>
          <w:rFonts w:ascii="Arial"/>
          <w:i/>
          <w:sz w:val="16"/>
        </w:rPr>
        <w:sectPr>
          <w:type w:val="continuous"/>
          <w:pgSz w:w="12240" w:h="15840"/>
          <w:pgMar w:header="744" w:footer="583" w:top="1820" w:bottom="280" w:left="720" w:right="720"/>
          <w:cols w:num="5" w:equalWidth="0">
            <w:col w:w="3061" w:space="1121"/>
            <w:col w:w="1528" w:space="40"/>
            <w:col w:w="1325" w:space="40"/>
            <w:col w:w="1325" w:space="40"/>
            <w:col w:w="2320"/>
          </w:cols>
        </w:sectPr>
      </w:pPr>
    </w:p>
    <w:p>
      <w:pPr>
        <w:pStyle w:val="BodyText"/>
        <w:spacing w:before="4"/>
        <w:rPr>
          <w:rFonts w:ascii="Arial"/>
          <w:i/>
          <w:sz w:val="5"/>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7"/>
        <w:gridCol w:w="1327"/>
        <w:gridCol w:w="1365"/>
        <w:gridCol w:w="1365"/>
        <w:gridCol w:w="1343"/>
      </w:tblGrid>
      <w:tr>
        <w:trPr>
          <w:trHeight w:val="211" w:hRule="atLeast"/>
        </w:trPr>
        <w:tc>
          <w:tcPr>
            <w:tcW w:w="3957" w:type="dxa"/>
          </w:tcPr>
          <w:p>
            <w:pPr>
              <w:pStyle w:val="TableParagraph"/>
              <w:spacing w:line="179" w:lineRule="exact"/>
              <w:ind w:left="210"/>
              <w:rPr>
                <w:sz w:val="16"/>
              </w:rPr>
            </w:pPr>
            <w:r>
              <w:rPr>
                <w:spacing w:val="-4"/>
                <w:sz w:val="16"/>
              </w:rPr>
              <w:t>MIGA</w:t>
            </w:r>
          </w:p>
        </w:tc>
        <w:tc>
          <w:tcPr>
            <w:tcW w:w="1327" w:type="dxa"/>
          </w:tcPr>
          <w:p>
            <w:pPr>
              <w:pStyle w:val="TableParagraph"/>
              <w:tabs>
                <w:tab w:pos="1006" w:val="left" w:leader="none"/>
              </w:tabs>
              <w:spacing w:line="183" w:lineRule="exact"/>
              <w:ind w:right="87"/>
              <w:jc w:val="right"/>
              <w:rPr>
                <w:sz w:val="16"/>
              </w:rPr>
            </w:pPr>
            <w:r>
              <w:rPr>
                <w:spacing w:val="-10"/>
                <w:sz w:val="16"/>
              </w:rPr>
              <w:t>$</w:t>
            </w:r>
            <w:r>
              <w:rPr>
                <w:sz w:val="16"/>
              </w:rPr>
              <w:tab/>
            </w:r>
            <w:r>
              <w:rPr>
                <w:spacing w:val="-5"/>
                <w:sz w:val="16"/>
              </w:rPr>
              <w:t>10</w:t>
            </w:r>
          </w:p>
        </w:tc>
        <w:tc>
          <w:tcPr>
            <w:tcW w:w="1365" w:type="dxa"/>
          </w:tcPr>
          <w:p>
            <w:pPr>
              <w:pStyle w:val="TableParagraph"/>
              <w:tabs>
                <w:tab w:pos="1006" w:val="left" w:leader="none"/>
              </w:tabs>
              <w:spacing w:line="183" w:lineRule="exact"/>
              <w:ind w:right="87"/>
              <w:jc w:val="right"/>
              <w:rPr>
                <w:sz w:val="16"/>
              </w:rPr>
            </w:pPr>
            <w:r>
              <w:rPr>
                <w:spacing w:val="-10"/>
                <w:sz w:val="16"/>
              </w:rPr>
              <w:t>$</w:t>
            </w:r>
            <w:r>
              <w:rPr>
                <w:sz w:val="16"/>
              </w:rPr>
              <w:tab/>
            </w:r>
            <w:r>
              <w:rPr>
                <w:spacing w:val="-5"/>
                <w:sz w:val="16"/>
              </w:rPr>
              <w:t>10</w:t>
            </w:r>
          </w:p>
        </w:tc>
        <w:tc>
          <w:tcPr>
            <w:tcW w:w="1365" w:type="dxa"/>
          </w:tcPr>
          <w:p>
            <w:pPr>
              <w:pStyle w:val="TableParagraph"/>
              <w:tabs>
                <w:tab w:pos="1006" w:val="left" w:leader="none"/>
              </w:tabs>
              <w:spacing w:line="183" w:lineRule="exact"/>
              <w:ind w:right="87"/>
              <w:jc w:val="right"/>
              <w:rPr>
                <w:sz w:val="16"/>
              </w:rPr>
            </w:pPr>
            <w:r>
              <w:rPr>
                <w:spacing w:val="-10"/>
                <w:sz w:val="16"/>
              </w:rPr>
              <w:t>$</w:t>
            </w:r>
            <w:r>
              <w:rPr>
                <w:sz w:val="16"/>
              </w:rPr>
              <w:tab/>
            </w:r>
            <w:r>
              <w:rPr>
                <w:spacing w:val="-5"/>
                <w:sz w:val="16"/>
              </w:rPr>
              <w:t>21</w:t>
            </w:r>
          </w:p>
        </w:tc>
        <w:tc>
          <w:tcPr>
            <w:tcW w:w="1343" w:type="dxa"/>
          </w:tcPr>
          <w:p>
            <w:pPr>
              <w:pStyle w:val="TableParagraph"/>
              <w:tabs>
                <w:tab w:pos="1006" w:val="left" w:leader="none"/>
              </w:tabs>
              <w:spacing w:line="183" w:lineRule="exact"/>
              <w:ind w:right="65"/>
              <w:jc w:val="right"/>
              <w:rPr>
                <w:sz w:val="16"/>
              </w:rPr>
            </w:pPr>
            <w:r>
              <w:rPr>
                <w:spacing w:val="-10"/>
                <w:sz w:val="16"/>
              </w:rPr>
              <w:t>$</w:t>
            </w:r>
            <w:r>
              <w:rPr>
                <w:sz w:val="16"/>
              </w:rPr>
              <w:tab/>
            </w:r>
            <w:r>
              <w:rPr>
                <w:spacing w:val="-5"/>
                <w:sz w:val="16"/>
              </w:rPr>
              <w:t>21</w:t>
            </w:r>
          </w:p>
        </w:tc>
      </w:tr>
      <w:tr>
        <w:trPr>
          <w:trHeight w:val="240" w:hRule="atLeast"/>
        </w:trPr>
        <w:tc>
          <w:tcPr>
            <w:tcW w:w="3957" w:type="dxa"/>
          </w:tcPr>
          <w:p>
            <w:pPr>
              <w:pStyle w:val="TableParagraph"/>
              <w:spacing w:before="23"/>
              <w:ind w:left="210"/>
              <w:rPr>
                <w:sz w:val="16"/>
              </w:rPr>
            </w:pPr>
            <w:r>
              <w:rPr>
                <w:spacing w:val="-4"/>
                <w:sz w:val="16"/>
              </w:rPr>
              <w:t>IADB</w:t>
            </w:r>
          </w:p>
        </w:tc>
        <w:tc>
          <w:tcPr>
            <w:tcW w:w="1327" w:type="dxa"/>
          </w:tcPr>
          <w:p>
            <w:pPr>
              <w:pStyle w:val="TableParagraph"/>
              <w:spacing w:before="27"/>
              <w:ind w:right="87"/>
              <w:jc w:val="right"/>
              <w:rPr>
                <w:sz w:val="16"/>
              </w:rPr>
            </w:pPr>
            <w:r>
              <w:rPr>
                <w:spacing w:val="-2"/>
                <w:sz w:val="16"/>
              </w:rPr>
              <w:t>2,021</w:t>
            </w:r>
          </w:p>
        </w:tc>
        <w:tc>
          <w:tcPr>
            <w:tcW w:w="1365" w:type="dxa"/>
          </w:tcPr>
          <w:p>
            <w:pPr>
              <w:pStyle w:val="TableParagraph"/>
              <w:spacing w:before="27"/>
              <w:ind w:right="87"/>
              <w:jc w:val="right"/>
              <w:rPr>
                <w:sz w:val="16"/>
              </w:rPr>
            </w:pPr>
            <w:r>
              <w:rPr>
                <w:spacing w:val="-2"/>
                <w:sz w:val="16"/>
              </w:rPr>
              <w:t>2,021</w:t>
            </w:r>
          </w:p>
        </w:tc>
        <w:tc>
          <w:tcPr>
            <w:tcW w:w="1365" w:type="dxa"/>
          </w:tcPr>
          <w:p>
            <w:pPr>
              <w:pStyle w:val="TableParagraph"/>
              <w:spacing w:before="27"/>
              <w:ind w:right="87"/>
              <w:jc w:val="right"/>
              <w:rPr>
                <w:sz w:val="16"/>
              </w:rPr>
            </w:pPr>
            <w:r>
              <w:rPr>
                <w:spacing w:val="-2"/>
                <w:sz w:val="16"/>
              </w:rPr>
              <w:t>2,021</w:t>
            </w:r>
          </w:p>
        </w:tc>
        <w:tc>
          <w:tcPr>
            <w:tcW w:w="1343" w:type="dxa"/>
          </w:tcPr>
          <w:p>
            <w:pPr>
              <w:pStyle w:val="TableParagraph"/>
              <w:spacing w:before="27"/>
              <w:ind w:right="65"/>
              <w:jc w:val="right"/>
              <w:rPr>
                <w:sz w:val="16"/>
              </w:rPr>
            </w:pPr>
            <w:r>
              <w:rPr>
                <w:spacing w:val="-2"/>
                <w:sz w:val="16"/>
              </w:rPr>
              <w:t>2,021</w:t>
            </w:r>
          </w:p>
        </w:tc>
      </w:tr>
      <w:tr>
        <w:trPr>
          <w:trHeight w:val="230" w:hRule="atLeast"/>
        </w:trPr>
        <w:tc>
          <w:tcPr>
            <w:tcW w:w="3957" w:type="dxa"/>
          </w:tcPr>
          <w:p>
            <w:pPr>
              <w:pStyle w:val="TableParagraph"/>
              <w:spacing w:before="23"/>
              <w:ind w:left="210"/>
              <w:rPr>
                <w:sz w:val="16"/>
              </w:rPr>
            </w:pPr>
            <w:r>
              <w:rPr>
                <w:spacing w:val="-4"/>
                <w:sz w:val="16"/>
              </w:rPr>
              <w:t>AfDB</w:t>
            </w:r>
          </w:p>
        </w:tc>
        <w:tc>
          <w:tcPr>
            <w:tcW w:w="1327" w:type="dxa"/>
            <w:tcBorders>
              <w:bottom w:val="single" w:sz="8" w:space="0" w:color="6C6C6C"/>
            </w:tcBorders>
          </w:tcPr>
          <w:p>
            <w:pPr>
              <w:pStyle w:val="TableParagraph"/>
              <w:spacing w:line="184" w:lineRule="exact" w:before="27"/>
              <w:ind w:right="87"/>
              <w:jc w:val="right"/>
              <w:rPr>
                <w:sz w:val="16"/>
              </w:rPr>
            </w:pPr>
            <w:r>
              <w:rPr>
                <w:spacing w:val="-2"/>
                <w:sz w:val="16"/>
              </w:rPr>
              <w:t>1,588</w:t>
            </w:r>
          </w:p>
        </w:tc>
        <w:tc>
          <w:tcPr>
            <w:tcW w:w="1365" w:type="dxa"/>
            <w:tcBorders>
              <w:bottom w:val="single" w:sz="8" w:space="0" w:color="6C6C6C"/>
            </w:tcBorders>
          </w:tcPr>
          <w:p>
            <w:pPr>
              <w:pStyle w:val="TableParagraph"/>
              <w:spacing w:line="184" w:lineRule="exact" w:before="27"/>
              <w:ind w:right="87"/>
              <w:jc w:val="right"/>
              <w:rPr>
                <w:sz w:val="16"/>
              </w:rPr>
            </w:pPr>
            <w:r>
              <w:rPr>
                <w:spacing w:val="-2"/>
                <w:sz w:val="16"/>
              </w:rPr>
              <w:t>1,588</w:t>
            </w:r>
          </w:p>
        </w:tc>
        <w:tc>
          <w:tcPr>
            <w:tcW w:w="1365" w:type="dxa"/>
            <w:tcBorders>
              <w:bottom w:val="single" w:sz="8" w:space="0" w:color="6C6C6C"/>
            </w:tcBorders>
          </w:tcPr>
          <w:p>
            <w:pPr>
              <w:pStyle w:val="TableParagraph"/>
              <w:spacing w:line="184" w:lineRule="exact" w:before="27"/>
              <w:ind w:right="87"/>
              <w:jc w:val="right"/>
              <w:rPr>
                <w:sz w:val="16"/>
              </w:rPr>
            </w:pPr>
            <w:r>
              <w:rPr>
                <w:spacing w:val="-2"/>
                <w:sz w:val="16"/>
              </w:rPr>
              <w:t>1,588</w:t>
            </w:r>
          </w:p>
        </w:tc>
        <w:tc>
          <w:tcPr>
            <w:tcW w:w="1343" w:type="dxa"/>
            <w:tcBorders>
              <w:bottom w:val="single" w:sz="8" w:space="0" w:color="6C6C6C"/>
            </w:tcBorders>
          </w:tcPr>
          <w:p>
            <w:pPr>
              <w:pStyle w:val="TableParagraph"/>
              <w:spacing w:line="184" w:lineRule="exact" w:before="27"/>
              <w:ind w:right="65"/>
              <w:jc w:val="right"/>
              <w:rPr>
                <w:sz w:val="16"/>
              </w:rPr>
            </w:pPr>
            <w:r>
              <w:rPr>
                <w:spacing w:val="-2"/>
                <w:sz w:val="16"/>
              </w:rPr>
              <w:t>1,588</w:t>
            </w:r>
          </w:p>
        </w:tc>
      </w:tr>
      <w:tr>
        <w:trPr>
          <w:trHeight w:val="200" w:hRule="atLeast"/>
        </w:trPr>
        <w:tc>
          <w:tcPr>
            <w:tcW w:w="3957" w:type="dxa"/>
          </w:tcPr>
          <w:p>
            <w:pPr>
              <w:pStyle w:val="TableParagraph"/>
              <w:spacing w:line="167" w:lineRule="exact" w:before="12"/>
              <w:ind w:left="50"/>
              <w:rPr>
                <w:rFonts w:ascii="Arial"/>
                <w:b/>
                <w:sz w:val="16"/>
              </w:rPr>
            </w:pPr>
            <w:r>
              <w:rPr>
                <w:rFonts w:ascii="Arial"/>
                <w:b/>
                <w:sz w:val="16"/>
              </w:rPr>
              <w:t>Total</w:t>
            </w:r>
            <w:r>
              <w:rPr>
                <w:rFonts w:ascii="Arial"/>
                <w:b/>
                <w:spacing w:val="-3"/>
                <w:sz w:val="16"/>
              </w:rPr>
              <w:t> </w:t>
            </w:r>
            <w:r>
              <w:rPr>
                <w:rFonts w:ascii="Arial"/>
                <w:b/>
                <w:spacing w:val="-2"/>
                <w:sz w:val="16"/>
              </w:rPr>
              <w:t>notional</w:t>
            </w:r>
          </w:p>
        </w:tc>
        <w:tc>
          <w:tcPr>
            <w:tcW w:w="1327" w:type="dxa"/>
            <w:tcBorders>
              <w:top w:val="single" w:sz="8" w:space="0" w:color="6C6C6C"/>
              <w:bottom w:val="double" w:sz="8" w:space="0" w:color="6C6C6C"/>
            </w:tcBorders>
          </w:tcPr>
          <w:p>
            <w:pPr>
              <w:pStyle w:val="TableParagraph"/>
              <w:tabs>
                <w:tab w:pos="784" w:val="left" w:leader="none"/>
              </w:tabs>
              <w:spacing w:line="167" w:lineRule="exact" w:before="12"/>
              <w:ind w:right="87"/>
              <w:jc w:val="right"/>
              <w:rPr>
                <w:rFonts w:ascii="Arial"/>
                <w:b/>
                <w:sz w:val="16"/>
              </w:rPr>
            </w:pPr>
            <w:r>
              <w:rPr>
                <w:rFonts w:ascii="Arial"/>
                <w:b/>
                <w:spacing w:val="-10"/>
                <w:sz w:val="16"/>
              </w:rPr>
              <w:t>$</w:t>
            </w:r>
            <w:r>
              <w:rPr>
                <w:rFonts w:ascii="Arial"/>
                <w:b/>
                <w:sz w:val="16"/>
              </w:rPr>
              <w:tab/>
            </w:r>
            <w:r>
              <w:rPr>
                <w:rFonts w:ascii="Arial"/>
                <w:b/>
                <w:spacing w:val="-2"/>
                <w:sz w:val="16"/>
              </w:rPr>
              <w:t>3,619</w:t>
            </w:r>
          </w:p>
        </w:tc>
        <w:tc>
          <w:tcPr>
            <w:tcW w:w="1365" w:type="dxa"/>
            <w:tcBorders>
              <w:top w:val="single" w:sz="8" w:space="0" w:color="6C6C6C"/>
              <w:bottom w:val="double" w:sz="8" w:space="0" w:color="6C6C6C"/>
            </w:tcBorders>
          </w:tcPr>
          <w:p>
            <w:pPr>
              <w:pStyle w:val="TableParagraph"/>
              <w:tabs>
                <w:tab w:pos="784" w:val="left" w:leader="none"/>
              </w:tabs>
              <w:spacing w:line="167" w:lineRule="exact" w:before="12"/>
              <w:ind w:right="87"/>
              <w:jc w:val="right"/>
              <w:rPr>
                <w:rFonts w:ascii="Arial"/>
                <w:b/>
                <w:sz w:val="16"/>
              </w:rPr>
            </w:pPr>
            <w:r>
              <w:rPr>
                <w:rFonts w:ascii="Arial"/>
                <w:b/>
                <w:spacing w:val="-10"/>
                <w:sz w:val="16"/>
              </w:rPr>
              <w:t>$</w:t>
            </w:r>
            <w:r>
              <w:rPr>
                <w:rFonts w:ascii="Arial"/>
                <w:b/>
                <w:sz w:val="16"/>
              </w:rPr>
              <w:tab/>
            </w:r>
            <w:r>
              <w:rPr>
                <w:rFonts w:ascii="Arial"/>
                <w:b/>
                <w:spacing w:val="-2"/>
                <w:sz w:val="16"/>
              </w:rPr>
              <w:t>3,619</w:t>
            </w:r>
          </w:p>
        </w:tc>
        <w:tc>
          <w:tcPr>
            <w:tcW w:w="1365" w:type="dxa"/>
            <w:tcBorders>
              <w:top w:val="single" w:sz="8" w:space="0" w:color="6C6C6C"/>
              <w:bottom w:val="double" w:sz="8" w:space="0" w:color="6C6C6C"/>
            </w:tcBorders>
          </w:tcPr>
          <w:p>
            <w:pPr>
              <w:pStyle w:val="TableParagraph"/>
              <w:tabs>
                <w:tab w:pos="784" w:val="left" w:leader="none"/>
              </w:tabs>
              <w:spacing w:line="167" w:lineRule="exact" w:before="12"/>
              <w:ind w:right="87"/>
              <w:jc w:val="right"/>
              <w:rPr>
                <w:rFonts w:ascii="Arial"/>
                <w:b/>
                <w:sz w:val="16"/>
              </w:rPr>
            </w:pPr>
            <w:r>
              <w:rPr>
                <w:rFonts w:ascii="Arial"/>
                <w:b/>
                <w:spacing w:val="-10"/>
                <w:sz w:val="16"/>
              </w:rPr>
              <w:t>$</w:t>
            </w:r>
            <w:r>
              <w:rPr>
                <w:rFonts w:ascii="Arial"/>
                <w:b/>
                <w:sz w:val="16"/>
              </w:rPr>
              <w:tab/>
            </w:r>
            <w:r>
              <w:rPr>
                <w:rFonts w:ascii="Arial"/>
                <w:b/>
                <w:spacing w:val="-2"/>
                <w:sz w:val="16"/>
              </w:rPr>
              <w:t>3,630</w:t>
            </w:r>
          </w:p>
        </w:tc>
        <w:tc>
          <w:tcPr>
            <w:tcW w:w="1343" w:type="dxa"/>
            <w:tcBorders>
              <w:top w:val="single" w:sz="8" w:space="0" w:color="6C6C6C"/>
              <w:bottom w:val="double" w:sz="8" w:space="0" w:color="6C6C6C"/>
            </w:tcBorders>
          </w:tcPr>
          <w:p>
            <w:pPr>
              <w:pStyle w:val="TableParagraph"/>
              <w:tabs>
                <w:tab w:pos="784" w:val="left" w:leader="none"/>
              </w:tabs>
              <w:spacing w:line="167" w:lineRule="exact" w:before="12"/>
              <w:ind w:right="65"/>
              <w:jc w:val="right"/>
              <w:rPr>
                <w:rFonts w:ascii="Arial"/>
                <w:b/>
                <w:sz w:val="16"/>
              </w:rPr>
            </w:pPr>
            <w:r>
              <w:rPr>
                <w:rFonts w:ascii="Arial"/>
                <w:b/>
                <w:spacing w:val="-10"/>
                <w:sz w:val="16"/>
              </w:rPr>
              <w:t>$</w:t>
            </w:r>
            <w:r>
              <w:rPr>
                <w:rFonts w:ascii="Arial"/>
                <w:b/>
                <w:sz w:val="16"/>
              </w:rPr>
              <w:tab/>
            </w:r>
            <w:r>
              <w:rPr>
                <w:rFonts w:ascii="Arial"/>
                <w:b/>
                <w:spacing w:val="-2"/>
                <w:sz w:val="16"/>
              </w:rPr>
              <w:t>3,630</w:t>
            </w:r>
          </w:p>
        </w:tc>
      </w:tr>
    </w:tbl>
    <w:p>
      <w:pPr>
        <w:pStyle w:val="BodyText"/>
        <w:spacing w:before="3"/>
        <w:rPr>
          <w:rFonts w:ascii="Arial"/>
          <w:i/>
          <w:sz w:val="16"/>
        </w:rPr>
      </w:pPr>
      <w:r>
        <w:rPr>
          <w:rFonts w:ascii="Arial"/>
          <w:i/>
          <w:sz w:val="16"/>
        </w:rPr>
        <mc:AlternateContent>
          <mc:Choice Requires="wps">
            <w:drawing>
              <wp:anchor distT="0" distB="0" distL="0" distR="0" allowOverlap="1" layoutInCell="1" locked="0" behindDoc="1" simplePos="0" relativeHeight="487639552">
                <wp:simplePos x="0" y="0"/>
                <wp:positionH relativeFrom="page">
                  <wp:posOffset>914400</wp:posOffset>
                </wp:positionH>
                <wp:positionV relativeFrom="paragraph">
                  <wp:posOffset>133975</wp:posOffset>
                </wp:positionV>
                <wp:extent cx="5943600" cy="1270"/>
                <wp:effectExtent l="0" t="0" r="0" b="0"/>
                <wp:wrapTopAndBottom/>
                <wp:docPr id="323" name="Graphic 323"/>
                <wp:cNvGraphicFramePr>
                  <a:graphicFrameLocks/>
                </wp:cNvGraphicFramePr>
                <a:graphic>
                  <a:graphicData uri="http://schemas.microsoft.com/office/word/2010/wordprocessingShape">
                    <wps:wsp>
                      <wps:cNvPr id="323" name="Graphic 323"/>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49219pt;width:468pt;height:.1pt;mso-position-horizontal-relative:page;mso-position-vertical-relative:paragraph;z-index:-15676928;mso-wrap-distance-left:0;mso-wrap-distance-right:0" id="docshape257" coordorigin="1440,211" coordsize="9360,0" path="m1440,211l10800,211e" filled="false" stroked="true" strokeweight="1pt" strokecolor="#6c6c6c">
                <v:path arrowok="t"/>
                <v:stroke dashstyle="solid"/>
                <w10:wrap type="topAndBottom"/>
              </v:shape>
            </w:pict>
          </mc:Fallback>
        </mc:AlternateContent>
      </w:r>
    </w:p>
    <w:p>
      <w:pPr>
        <w:pStyle w:val="BodyText"/>
        <w:spacing w:after="0"/>
        <w:rPr>
          <w:rFonts w:ascii="Arial"/>
          <w:i/>
          <w:sz w:val="16"/>
        </w:rPr>
        <w:sectPr>
          <w:type w:val="continuous"/>
          <w:pgSz w:w="12240" w:h="15840"/>
          <w:pgMar w:header="744" w:footer="583" w:top="1820" w:bottom="280" w:left="720" w:right="720"/>
        </w:sectPr>
      </w:pPr>
    </w:p>
    <w:p>
      <w:pPr>
        <w:pStyle w:val="BodyText"/>
        <w:spacing w:before="79"/>
        <w:rPr>
          <w:rFonts w:ascii="Arial"/>
          <w:i/>
          <w:sz w:val="24"/>
        </w:rPr>
      </w:pPr>
    </w:p>
    <w:p>
      <w:pPr>
        <w:pStyle w:val="Heading1"/>
      </w:pPr>
      <w:bookmarkStart w:name="Grants" w:id="63"/>
      <w:bookmarkEnd w:id="63"/>
      <w:r>
        <w:rPr>
          <w:b w:val="0"/>
        </w:rPr>
      </w:r>
      <w:bookmarkStart w:name="_bookmark42" w:id="64"/>
      <w:bookmarkEnd w:id="64"/>
      <w:r>
        <w:rPr>
          <w:b w:val="0"/>
        </w:rPr>
      </w:r>
      <w:r>
        <w:rPr/>
        <w:t>Grant</w:t>
      </w:r>
      <w:r>
        <w:rPr>
          <w:spacing w:val="-2"/>
        </w:rPr>
        <w:t> </w:t>
      </w:r>
      <w:r>
        <w:rPr/>
        <w:t>Making</w:t>
      </w:r>
      <w:r>
        <w:rPr>
          <w:spacing w:val="-2"/>
        </w:rPr>
        <w:t> Facilities</w:t>
      </w:r>
    </w:p>
    <w:p>
      <w:pPr>
        <w:pStyle w:val="BodyText"/>
        <w:spacing w:line="249" w:lineRule="auto" w:before="136"/>
        <w:ind w:left="720" w:right="720"/>
        <w:jc w:val="both"/>
      </w:pPr>
      <w:r>
        <w:rPr/>
        <w:t>Grant Making Facilities (GMFs) are contributions to specific trust funds and are complementary to IBRD’s work. IBRD deployed $17 million under this program in FY23 ($17 million in FY22). These amounts are reflected in contributions to special programs in IBRD’s Statements of Income, after IDA’s share is determined in accordance with the cost sharing ratio.</w:t>
      </w:r>
    </w:p>
    <w:p>
      <w:pPr>
        <w:pStyle w:val="Heading1"/>
        <w:spacing w:before="181"/>
      </w:pPr>
      <w:bookmarkStart w:name="Externally-Funded Activities" w:id="65"/>
      <w:bookmarkEnd w:id="65"/>
      <w:r>
        <w:rPr>
          <w:b w:val="0"/>
        </w:rPr>
      </w:r>
      <w:bookmarkStart w:name="_bookmark43" w:id="66"/>
      <w:bookmarkEnd w:id="66"/>
      <w:r>
        <w:rPr>
          <w:b w:val="0"/>
        </w:rPr>
      </w:r>
      <w:r>
        <w:rPr/>
        <w:t>Externally-Funded</w:t>
      </w:r>
      <w:r>
        <w:rPr>
          <w:spacing w:val="-6"/>
        </w:rPr>
        <w:t> </w:t>
      </w:r>
      <w:r>
        <w:rPr>
          <w:spacing w:val="-2"/>
        </w:rPr>
        <w:t>Activities</w:t>
      </w:r>
    </w:p>
    <w:p>
      <w:pPr>
        <w:pStyle w:val="BodyText"/>
        <w:spacing w:line="232" w:lineRule="auto" w:before="140"/>
        <w:ind w:left="720" w:right="717"/>
        <w:jc w:val="both"/>
      </w:pPr>
      <w:r>
        <w:rPr/>
        <w:t>Mobilization of external funds from third-party partners includes trust funds. Additional external funds include reimbursable</w:t>
      </w:r>
      <w:r>
        <w:rPr>
          <w:spacing w:val="-2"/>
        </w:rPr>
        <w:t> </w:t>
      </w:r>
      <w:r>
        <w:rPr/>
        <w:t>funds</w:t>
      </w:r>
      <w:r>
        <w:rPr>
          <w:spacing w:val="-2"/>
        </w:rPr>
        <w:t> </w:t>
      </w:r>
      <w:r>
        <w:rPr/>
        <w:t>and</w:t>
      </w:r>
      <w:r>
        <w:rPr>
          <w:spacing w:val="-2"/>
        </w:rPr>
        <w:t> </w:t>
      </w:r>
      <w:r>
        <w:rPr/>
        <w:t>revenues</w:t>
      </w:r>
      <w:r>
        <w:rPr>
          <w:spacing w:val="-2"/>
        </w:rPr>
        <w:t> </w:t>
      </w:r>
      <w:r>
        <w:rPr/>
        <w:t>from</w:t>
      </w:r>
      <w:r>
        <w:rPr>
          <w:spacing w:val="-2"/>
        </w:rPr>
        <w:t> </w:t>
      </w:r>
      <w:r>
        <w:rPr/>
        <w:t>fee-based</w:t>
      </w:r>
      <w:r>
        <w:rPr>
          <w:spacing w:val="-2"/>
        </w:rPr>
        <w:t> </w:t>
      </w:r>
      <w:r>
        <w:rPr/>
        <w:t>services</w:t>
      </w:r>
      <w:r>
        <w:rPr>
          <w:spacing w:val="-2"/>
        </w:rPr>
        <w:t> </w:t>
      </w:r>
      <w:r>
        <w:rPr/>
        <w:t>to</w:t>
      </w:r>
      <w:r>
        <w:rPr>
          <w:spacing w:val="-2"/>
        </w:rPr>
        <w:t> </w:t>
      </w:r>
      <w:r>
        <w:rPr/>
        <w:t>member</w:t>
      </w:r>
      <w:r>
        <w:rPr>
          <w:spacing w:val="-2"/>
        </w:rPr>
        <w:t> </w:t>
      </w:r>
      <w:r>
        <w:rPr/>
        <w:t>countries,</w:t>
      </w:r>
      <w:r>
        <w:rPr>
          <w:spacing w:val="-2"/>
        </w:rPr>
        <w:t> </w:t>
      </w:r>
      <w:r>
        <w:rPr/>
        <w:t>which</w:t>
      </w:r>
      <w:r>
        <w:rPr>
          <w:spacing w:val="-2"/>
        </w:rPr>
        <w:t> </w:t>
      </w:r>
      <w:r>
        <w:rPr/>
        <w:t>are</w:t>
      </w:r>
      <w:r>
        <w:rPr>
          <w:spacing w:val="-2"/>
        </w:rPr>
        <w:t> </w:t>
      </w:r>
      <w:r>
        <w:rPr/>
        <w:t>related</w:t>
      </w:r>
      <w:r>
        <w:rPr>
          <w:spacing w:val="-2"/>
        </w:rPr>
        <w:t> </w:t>
      </w:r>
      <w:r>
        <w:rPr/>
        <w:t>to</w:t>
      </w:r>
      <w:r>
        <w:rPr>
          <w:spacing w:val="-2"/>
        </w:rPr>
        <w:t> </w:t>
      </w:r>
      <w:r>
        <w:rPr/>
        <w:t>RAS,</w:t>
      </w:r>
      <w:r>
        <w:rPr>
          <w:spacing w:val="-2"/>
        </w:rPr>
        <w:t> </w:t>
      </w:r>
      <w:r>
        <w:rPr/>
        <w:t>EFOs,</w:t>
      </w:r>
      <w:r>
        <w:rPr>
          <w:spacing w:val="-2"/>
        </w:rPr>
        <w:t> </w:t>
      </w:r>
      <w:r>
        <w:rPr/>
        <w:t>and other financial products and services, including RAMP.</w:t>
      </w:r>
    </w:p>
    <w:p>
      <w:pPr>
        <w:pStyle w:val="Heading4"/>
        <w:spacing w:before="212"/>
      </w:pPr>
      <w:r>
        <w:rPr/>
        <w:t>Trust</w:t>
      </w:r>
      <w:r>
        <w:rPr>
          <w:spacing w:val="-2"/>
        </w:rPr>
        <w:t> Funds</w:t>
      </w:r>
    </w:p>
    <w:p>
      <w:pPr>
        <w:pStyle w:val="BodyText"/>
        <w:spacing w:line="249" w:lineRule="auto" w:before="140"/>
        <w:ind w:left="720" w:right="719"/>
        <w:jc w:val="both"/>
      </w:pPr>
      <w:r>
        <w:rPr/>
        <w:t>Trust Funds provide development solutions that serve member recipients and donors. Trust funded partnerships</w:t>
      </w:r>
      <w:r>
        <w:rPr>
          <w:spacing w:val="40"/>
        </w:rPr>
        <w:t> </w:t>
      </w:r>
      <w:r>
        <w:rPr/>
        <w:t>often serve as a platform for IBRD and the partners to access WBG’s diverse technical and financial resources, and achieve development goals whose complexity, scale, and scope exceed any individual partner’s capabilities.</w:t>
      </w:r>
      <w:r>
        <w:rPr>
          <w:spacing w:val="80"/>
          <w:w w:val="150"/>
        </w:rPr>
        <w:t> </w:t>
      </w:r>
      <w:r>
        <w:rPr/>
        <w:t>IBRD’s roles and responsibilities in managing trust funds depend on the type of fund, outlined as follows:</w:t>
      </w:r>
    </w:p>
    <w:p>
      <w:pPr>
        <w:pStyle w:val="ListParagraph"/>
        <w:numPr>
          <w:ilvl w:val="0"/>
          <w:numId w:val="15"/>
        </w:numPr>
        <w:tabs>
          <w:tab w:pos="1260" w:val="left" w:leader="none"/>
        </w:tabs>
        <w:spacing w:line="249" w:lineRule="auto" w:before="208" w:after="0"/>
        <w:ind w:left="1260" w:right="717" w:hanging="360"/>
        <w:jc w:val="both"/>
        <w:rPr>
          <w:sz w:val="20"/>
        </w:rPr>
      </w:pPr>
      <w:r>
        <w:rPr>
          <w:i/>
          <w:sz w:val="20"/>
        </w:rPr>
        <w:t>IBRD-Executed Trust Funds (BETFs)</w:t>
      </w:r>
      <w:r>
        <w:rPr>
          <w:sz w:val="20"/>
        </w:rPr>
        <w:t>: IBRD, alone or jointly with one or more of its affiliated organizations, manages the funds and implements the activities financed. These trust funds support IBRD’s work program. IBRD disbursed $570 million in FY23 ($494 million in FY22) of trust fund program funds, which was included in Non-interest expenses, Administrative in IBRD's Statements of Income.</w:t>
      </w:r>
    </w:p>
    <w:p>
      <w:pPr>
        <w:pStyle w:val="ListParagraph"/>
        <w:numPr>
          <w:ilvl w:val="0"/>
          <w:numId w:val="15"/>
        </w:numPr>
        <w:tabs>
          <w:tab w:pos="1260" w:val="left" w:leader="none"/>
        </w:tabs>
        <w:spacing w:line="249" w:lineRule="auto" w:before="123" w:after="0"/>
        <w:ind w:left="1260" w:right="719" w:hanging="360"/>
        <w:jc w:val="both"/>
        <w:rPr>
          <w:sz w:val="20"/>
        </w:rPr>
      </w:pPr>
      <w:r>
        <w:rPr>
          <w:i/>
          <w:sz w:val="20"/>
        </w:rPr>
        <w:t>Recipient-Executed</w:t>
      </w:r>
      <w:r>
        <w:rPr>
          <w:i/>
          <w:spacing w:val="-1"/>
          <w:sz w:val="20"/>
        </w:rPr>
        <w:t> </w:t>
      </w:r>
      <w:r>
        <w:rPr>
          <w:i/>
          <w:sz w:val="20"/>
        </w:rPr>
        <w:t>Trust</w:t>
      </w:r>
      <w:r>
        <w:rPr>
          <w:i/>
          <w:spacing w:val="-1"/>
          <w:sz w:val="20"/>
        </w:rPr>
        <w:t> </w:t>
      </w:r>
      <w:r>
        <w:rPr>
          <w:i/>
          <w:sz w:val="20"/>
        </w:rPr>
        <w:t>Funds</w:t>
      </w:r>
      <w:r>
        <w:rPr>
          <w:i/>
          <w:spacing w:val="-1"/>
          <w:sz w:val="20"/>
        </w:rPr>
        <w:t> </w:t>
      </w:r>
      <w:r>
        <w:rPr>
          <w:i/>
          <w:sz w:val="20"/>
        </w:rPr>
        <w:t>(RETFs)</w:t>
      </w:r>
      <w:r>
        <w:rPr>
          <w:sz w:val="20"/>
        </w:rPr>
        <w:t>:</w:t>
      </w:r>
      <w:r>
        <w:rPr>
          <w:spacing w:val="-1"/>
          <w:sz w:val="20"/>
        </w:rPr>
        <w:t> </w:t>
      </w:r>
      <w:r>
        <w:rPr>
          <w:sz w:val="20"/>
        </w:rPr>
        <w:t>Funds</w:t>
      </w:r>
      <w:r>
        <w:rPr>
          <w:spacing w:val="-1"/>
          <w:sz w:val="20"/>
        </w:rPr>
        <w:t> </w:t>
      </w:r>
      <w:r>
        <w:rPr>
          <w:sz w:val="20"/>
        </w:rPr>
        <w:t>are</w:t>
      </w:r>
      <w:r>
        <w:rPr>
          <w:spacing w:val="-1"/>
          <w:sz w:val="20"/>
        </w:rPr>
        <w:t> </w:t>
      </w:r>
      <w:r>
        <w:rPr>
          <w:sz w:val="20"/>
        </w:rPr>
        <w:t>provided</w:t>
      </w:r>
      <w:r>
        <w:rPr>
          <w:spacing w:val="-1"/>
          <w:sz w:val="20"/>
        </w:rPr>
        <w:t> </w:t>
      </w:r>
      <w:r>
        <w:rPr>
          <w:sz w:val="20"/>
        </w:rPr>
        <w:t>to</w:t>
      </w:r>
      <w:r>
        <w:rPr>
          <w:spacing w:val="-1"/>
          <w:sz w:val="20"/>
        </w:rPr>
        <w:t> </w:t>
      </w:r>
      <w:r>
        <w:rPr>
          <w:sz w:val="20"/>
        </w:rPr>
        <w:t>a</w:t>
      </w:r>
      <w:r>
        <w:rPr>
          <w:spacing w:val="-1"/>
          <w:sz w:val="20"/>
        </w:rPr>
        <w:t> </w:t>
      </w:r>
      <w:r>
        <w:rPr>
          <w:sz w:val="20"/>
        </w:rPr>
        <w:t>third</w:t>
      </w:r>
      <w:r>
        <w:rPr>
          <w:spacing w:val="-1"/>
          <w:sz w:val="20"/>
        </w:rPr>
        <w:t> </w:t>
      </w:r>
      <w:r>
        <w:rPr>
          <w:sz w:val="20"/>
        </w:rPr>
        <w:t>party,</w:t>
      </w:r>
      <w:r>
        <w:rPr>
          <w:spacing w:val="-1"/>
          <w:sz w:val="20"/>
        </w:rPr>
        <w:t> </w:t>
      </w:r>
      <w:r>
        <w:rPr>
          <w:sz w:val="20"/>
        </w:rPr>
        <w:t>normally</w:t>
      </w:r>
      <w:r>
        <w:rPr>
          <w:spacing w:val="-1"/>
          <w:sz w:val="20"/>
        </w:rPr>
        <w:t> </w:t>
      </w:r>
      <w:r>
        <w:rPr>
          <w:sz w:val="20"/>
        </w:rPr>
        <w:t>in</w:t>
      </w:r>
      <w:r>
        <w:rPr>
          <w:spacing w:val="-1"/>
          <w:sz w:val="20"/>
        </w:rPr>
        <w:t> </w:t>
      </w:r>
      <w:r>
        <w:rPr>
          <w:sz w:val="20"/>
        </w:rPr>
        <w:t>the</w:t>
      </w:r>
      <w:r>
        <w:rPr>
          <w:spacing w:val="-1"/>
          <w:sz w:val="20"/>
        </w:rPr>
        <w:t> </w:t>
      </w:r>
      <w:r>
        <w:rPr>
          <w:sz w:val="20"/>
        </w:rPr>
        <w:t>form</w:t>
      </w:r>
      <w:r>
        <w:rPr>
          <w:spacing w:val="-1"/>
          <w:sz w:val="20"/>
        </w:rPr>
        <w:t> </w:t>
      </w:r>
      <w:r>
        <w:rPr>
          <w:sz w:val="20"/>
        </w:rPr>
        <w:t>of</w:t>
      </w:r>
      <w:r>
        <w:rPr>
          <w:spacing w:val="-1"/>
          <w:sz w:val="20"/>
        </w:rPr>
        <w:t> </w:t>
      </w:r>
      <w:r>
        <w:rPr>
          <w:sz w:val="20"/>
        </w:rPr>
        <w:t>project grant financing, and are supervised by IBRD.</w:t>
      </w:r>
    </w:p>
    <w:p>
      <w:pPr>
        <w:pStyle w:val="ListParagraph"/>
        <w:numPr>
          <w:ilvl w:val="0"/>
          <w:numId w:val="15"/>
        </w:numPr>
        <w:tabs>
          <w:tab w:pos="1260" w:val="left" w:leader="none"/>
        </w:tabs>
        <w:spacing w:line="249" w:lineRule="auto" w:before="122" w:after="0"/>
        <w:ind w:left="1260" w:right="719" w:hanging="360"/>
        <w:jc w:val="both"/>
        <w:rPr>
          <w:sz w:val="20"/>
        </w:rPr>
      </w:pPr>
      <w:r>
        <w:rPr>
          <w:i/>
          <w:sz w:val="20"/>
        </w:rPr>
        <w:t>Financial Intermediary Funds (FIFs)</w:t>
      </w:r>
      <w:r>
        <w:rPr>
          <w:sz w:val="20"/>
        </w:rPr>
        <w:t>: IBRD, as trustee, administrator, or treasury manager, offers specific administrative or financial services with a limited operational role. Arrangements include the administration of debt service trust funds, fiscal agency funds and other more specialized limited fund management roles.</w:t>
      </w:r>
    </w:p>
    <w:p>
      <w:pPr>
        <w:pStyle w:val="BodyText"/>
        <w:spacing w:line="232" w:lineRule="auto" w:before="128"/>
        <w:ind w:left="720" w:right="719"/>
        <w:jc w:val="both"/>
      </w:pPr>
      <w:r>
        <w:rPr/>
        <w:t>IBRD uses a cost recovery framework for trust funds, which aims to recover the costs of performing agreed roles in administering trust funds, and is guided by principles of transparency, fairness, simplification, standardization, predictability and consistent treatment across all trust fund donors.</w:t>
      </w:r>
    </w:p>
    <w:p>
      <w:pPr>
        <w:pStyle w:val="BodyText"/>
        <w:spacing w:before="13"/>
      </w:pPr>
    </w:p>
    <w:p>
      <w:pPr>
        <w:pStyle w:val="BodyText"/>
        <w:spacing w:line="232" w:lineRule="auto"/>
        <w:ind w:left="720" w:right="719"/>
        <w:jc w:val="both"/>
      </w:pPr>
      <w:r>
        <w:rPr/>
        <w:t>Management</w:t>
      </w:r>
      <w:r>
        <w:rPr>
          <w:spacing w:val="-4"/>
        </w:rPr>
        <w:t> </w:t>
      </w:r>
      <w:r>
        <w:rPr/>
        <w:t>continues</w:t>
      </w:r>
      <w:r>
        <w:rPr>
          <w:spacing w:val="-4"/>
        </w:rPr>
        <w:t> </w:t>
      </w:r>
      <w:r>
        <w:rPr/>
        <w:t>to</w:t>
      </w:r>
      <w:r>
        <w:rPr>
          <w:spacing w:val="-4"/>
        </w:rPr>
        <w:t> </w:t>
      </w:r>
      <w:r>
        <w:rPr/>
        <w:t>implement</w:t>
      </w:r>
      <w:r>
        <w:rPr>
          <w:spacing w:val="-4"/>
        </w:rPr>
        <w:t> </w:t>
      </w:r>
      <w:r>
        <w:rPr/>
        <w:t>measures</w:t>
      </w:r>
      <w:r>
        <w:rPr>
          <w:spacing w:val="-4"/>
        </w:rPr>
        <w:t> </w:t>
      </w:r>
      <w:r>
        <w:rPr/>
        <w:t>to</w:t>
      </w:r>
      <w:r>
        <w:rPr>
          <w:spacing w:val="-4"/>
        </w:rPr>
        <w:t> </w:t>
      </w:r>
      <w:r>
        <w:rPr/>
        <w:t>improve</w:t>
      </w:r>
      <w:r>
        <w:rPr>
          <w:spacing w:val="-4"/>
        </w:rPr>
        <w:t> </w:t>
      </w:r>
      <w:r>
        <w:rPr/>
        <w:t>planning,</w:t>
      </w:r>
      <w:r>
        <w:rPr>
          <w:spacing w:val="-4"/>
        </w:rPr>
        <w:t> </w:t>
      </w:r>
      <w:r>
        <w:rPr/>
        <w:t>support</w:t>
      </w:r>
      <w:r>
        <w:rPr>
          <w:spacing w:val="-4"/>
        </w:rPr>
        <w:t> </w:t>
      </w:r>
      <w:r>
        <w:rPr/>
        <w:t>sustainability</w:t>
      </w:r>
      <w:r>
        <w:rPr>
          <w:spacing w:val="-4"/>
        </w:rPr>
        <w:t> </w:t>
      </w:r>
      <w:r>
        <w:rPr/>
        <w:t>and</w:t>
      </w:r>
      <w:r>
        <w:rPr>
          <w:spacing w:val="-4"/>
        </w:rPr>
        <w:t> </w:t>
      </w:r>
      <w:r>
        <w:rPr/>
        <w:t>enhance</w:t>
      </w:r>
      <w:r>
        <w:rPr>
          <w:spacing w:val="-4"/>
        </w:rPr>
        <w:t> </w:t>
      </w:r>
      <w:r>
        <w:rPr/>
        <w:t>alignment</w:t>
      </w:r>
      <w:r>
        <w:rPr>
          <w:spacing w:val="-4"/>
        </w:rPr>
        <w:t> </w:t>
      </w:r>
      <w:r>
        <w:rPr/>
        <w:t>of external funds with mission priorities through greater use of umbrella trust fund programs, increased cost recovery, and new budgetary measures to manage External Funds usage.</w:t>
      </w:r>
    </w:p>
    <w:p>
      <w:pPr>
        <w:pStyle w:val="BodyText"/>
        <w:spacing w:line="232" w:lineRule="auto" w:before="227"/>
        <w:ind w:left="720" w:right="720"/>
        <w:jc w:val="both"/>
      </w:pPr>
      <w:r>
        <w:rPr/>
        <w:t>During FY23, IBRD’s share of revenue and fees from trust fund administration was $62 million ($50 million in FY22) (see Notes to Financial Statements, Note I: Management of External Funds and Other Services).</w:t>
      </w:r>
    </w:p>
    <w:p>
      <w:pPr>
        <w:pStyle w:val="Heading4"/>
        <w:spacing w:before="211"/>
      </w:pPr>
      <w:r>
        <w:rPr/>
        <w:t>Reimbursable</w:t>
      </w:r>
      <w:r>
        <w:rPr>
          <w:spacing w:val="-4"/>
        </w:rPr>
        <w:t> </w:t>
      </w:r>
      <w:r>
        <w:rPr/>
        <w:t>Advisory</w:t>
      </w:r>
      <w:r>
        <w:rPr>
          <w:spacing w:val="-3"/>
        </w:rPr>
        <w:t> </w:t>
      </w:r>
      <w:r>
        <w:rPr/>
        <w:t>Services</w:t>
      </w:r>
      <w:r>
        <w:rPr>
          <w:spacing w:val="-3"/>
        </w:rPr>
        <w:t> </w:t>
      </w:r>
      <w:r>
        <w:rPr>
          <w:spacing w:val="-4"/>
        </w:rPr>
        <w:t>(RAS)</w:t>
      </w:r>
    </w:p>
    <w:p>
      <w:pPr>
        <w:pStyle w:val="BodyText"/>
        <w:spacing w:line="249" w:lineRule="auto" w:before="140"/>
        <w:ind w:left="720" w:right="718"/>
        <w:jc w:val="both"/>
      </w:pPr>
      <w:r>
        <w:rPr/>
        <w:t>While</w:t>
      </w:r>
      <w:r>
        <w:rPr>
          <w:spacing w:val="-2"/>
        </w:rPr>
        <w:t> </w:t>
      </w:r>
      <w:r>
        <w:rPr/>
        <w:t>most</w:t>
      </w:r>
      <w:r>
        <w:rPr>
          <w:spacing w:val="-2"/>
        </w:rPr>
        <w:t> </w:t>
      </w:r>
      <w:r>
        <w:rPr/>
        <w:t>of</w:t>
      </w:r>
      <w:r>
        <w:rPr>
          <w:spacing w:val="-2"/>
        </w:rPr>
        <w:t> </w:t>
      </w:r>
      <w:r>
        <w:rPr/>
        <w:t>IBRD’s</w:t>
      </w:r>
      <w:r>
        <w:rPr>
          <w:spacing w:val="-2"/>
        </w:rPr>
        <w:t> </w:t>
      </w:r>
      <w:r>
        <w:rPr/>
        <w:t>advisory</w:t>
      </w:r>
      <w:r>
        <w:rPr>
          <w:spacing w:val="-2"/>
        </w:rPr>
        <w:t> </w:t>
      </w:r>
      <w:r>
        <w:rPr/>
        <w:t>and</w:t>
      </w:r>
      <w:r>
        <w:rPr>
          <w:spacing w:val="-2"/>
        </w:rPr>
        <w:t> </w:t>
      </w:r>
      <w:r>
        <w:rPr/>
        <w:t>analytical</w:t>
      </w:r>
      <w:r>
        <w:rPr>
          <w:spacing w:val="-2"/>
        </w:rPr>
        <w:t> </w:t>
      </w:r>
      <w:r>
        <w:rPr/>
        <w:t>work</w:t>
      </w:r>
      <w:r>
        <w:rPr>
          <w:spacing w:val="-2"/>
        </w:rPr>
        <w:t> </w:t>
      </w:r>
      <w:r>
        <w:rPr/>
        <w:t>is</w:t>
      </w:r>
      <w:r>
        <w:rPr>
          <w:spacing w:val="-2"/>
        </w:rPr>
        <w:t> </w:t>
      </w:r>
      <w:r>
        <w:rPr/>
        <w:t>financed</w:t>
      </w:r>
      <w:r>
        <w:rPr>
          <w:spacing w:val="-2"/>
        </w:rPr>
        <w:t> </w:t>
      </w:r>
      <w:r>
        <w:rPr/>
        <w:t>by</w:t>
      </w:r>
      <w:r>
        <w:rPr>
          <w:spacing w:val="-2"/>
        </w:rPr>
        <w:t> </w:t>
      </w:r>
      <w:r>
        <w:rPr/>
        <w:t>its</w:t>
      </w:r>
      <w:r>
        <w:rPr>
          <w:spacing w:val="-2"/>
        </w:rPr>
        <w:t> </w:t>
      </w:r>
      <w:r>
        <w:rPr/>
        <w:t>own</w:t>
      </w:r>
      <w:r>
        <w:rPr>
          <w:spacing w:val="-2"/>
        </w:rPr>
        <w:t> </w:t>
      </w:r>
      <w:r>
        <w:rPr/>
        <w:t>budget</w:t>
      </w:r>
      <w:r>
        <w:rPr>
          <w:spacing w:val="-2"/>
        </w:rPr>
        <w:t> </w:t>
      </w:r>
      <w:r>
        <w:rPr/>
        <w:t>or</w:t>
      </w:r>
      <w:r>
        <w:rPr>
          <w:spacing w:val="-2"/>
        </w:rPr>
        <w:t> </w:t>
      </w:r>
      <w:r>
        <w:rPr/>
        <w:t>donor</w:t>
      </w:r>
      <w:r>
        <w:rPr>
          <w:spacing w:val="-2"/>
        </w:rPr>
        <w:t> </w:t>
      </w:r>
      <w:r>
        <w:rPr/>
        <w:t>contributions</w:t>
      </w:r>
      <w:r>
        <w:rPr>
          <w:spacing w:val="-2"/>
        </w:rPr>
        <w:t> </w:t>
      </w:r>
      <w:r>
        <w:rPr/>
        <w:t>(e.g.,</w:t>
      </w:r>
      <w:r>
        <w:rPr>
          <w:spacing w:val="-2"/>
        </w:rPr>
        <w:t> </w:t>
      </w:r>
      <w:r>
        <w:rPr/>
        <w:t>Trust Funds),</w:t>
      </w:r>
      <w:r>
        <w:rPr>
          <w:spacing w:val="-3"/>
        </w:rPr>
        <w:t> </w:t>
      </w:r>
      <w:r>
        <w:rPr/>
        <w:t>clients</w:t>
      </w:r>
      <w:r>
        <w:rPr>
          <w:spacing w:val="-3"/>
        </w:rPr>
        <w:t> </w:t>
      </w:r>
      <w:r>
        <w:rPr/>
        <w:t>may</w:t>
      </w:r>
      <w:r>
        <w:rPr>
          <w:spacing w:val="-3"/>
        </w:rPr>
        <w:t> </w:t>
      </w:r>
      <w:r>
        <w:rPr/>
        <w:t>also</w:t>
      </w:r>
      <w:r>
        <w:rPr>
          <w:spacing w:val="-3"/>
        </w:rPr>
        <w:t> </w:t>
      </w:r>
      <w:r>
        <w:rPr/>
        <w:t>pay</w:t>
      </w:r>
      <w:r>
        <w:rPr>
          <w:spacing w:val="-3"/>
        </w:rPr>
        <w:t> </w:t>
      </w:r>
      <w:r>
        <w:rPr/>
        <w:t>for</w:t>
      </w:r>
      <w:r>
        <w:rPr>
          <w:spacing w:val="-3"/>
        </w:rPr>
        <w:t> </w:t>
      </w:r>
      <w:r>
        <w:rPr/>
        <w:t>services.</w:t>
      </w:r>
      <w:r>
        <w:rPr>
          <w:spacing w:val="-3"/>
        </w:rPr>
        <w:t> </w:t>
      </w:r>
      <w:r>
        <w:rPr/>
        <w:t>IBRD</w:t>
      </w:r>
      <w:r>
        <w:rPr>
          <w:spacing w:val="-3"/>
        </w:rPr>
        <w:t> </w:t>
      </w:r>
      <w:r>
        <w:rPr/>
        <w:t>offers</w:t>
      </w:r>
      <w:r>
        <w:rPr>
          <w:spacing w:val="-3"/>
        </w:rPr>
        <w:t> </w:t>
      </w:r>
      <w:r>
        <w:rPr/>
        <w:t>technical</w:t>
      </w:r>
      <w:r>
        <w:rPr>
          <w:spacing w:val="-3"/>
        </w:rPr>
        <w:t> </w:t>
      </w:r>
      <w:r>
        <w:rPr/>
        <w:t>assistance</w:t>
      </w:r>
      <w:r>
        <w:rPr>
          <w:spacing w:val="-3"/>
        </w:rPr>
        <w:t> </w:t>
      </w:r>
      <w:r>
        <w:rPr/>
        <w:t>and</w:t>
      </w:r>
      <w:r>
        <w:rPr>
          <w:spacing w:val="-3"/>
        </w:rPr>
        <w:t> </w:t>
      </w:r>
      <w:r>
        <w:rPr/>
        <w:t>other</w:t>
      </w:r>
      <w:r>
        <w:rPr>
          <w:spacing w:val="-3"/>
        </w:rPr>
        <w:t> </w:t>
      </w:r>
      <w:r>
        <w:rPr/>
        <w:t>advisory</w:t>
      </w:r>
      <w:r>
        <w:rPr>
          <w:spacing w:val="-3"/>
        </w:rPr>
        <w:t> </w:t>
      </w:r>
      <w:r>
        <w:rPr/>
        <w:t>services</w:t>
      </w:r>
      <w:r>
        <w:rPr>
          <w:spacing w:val="-3"/>
        </w:rPr>
        <w:t> </w:t>
      </w:r>
      <w:r>
        <w:rPr/>
        <w:t>to</w:t>
      </w:r>
      <w:r>
        <w:rPr>
          <w:spacing w:val="-3"/>
        </w:rPr>
        <w:t> </w:t>
      </w:r>
      <w:r>
        <w:rPr/>
        <w:t>its</w:t>
      </w:r>
      <w:r>
        <w:rPr>
          <w:spacing w:val="-3"/>
        </w:rPr>
        <w:t> </w:t>
      </w:r>
      <w:r>
        <w:rPr/>
        <w:t>member countries, in connection with, and independent of, lending operations. Available services include, for example, assigning qualified professionals to survey developmental opportunities in member countries; analyzing member countries fiscal, economic, and developmental environments; helping members devise coordinated development programs; and improving their asset and liability management techniques. In FY23, IBRD earned revenue of $52 million ($47 million in FY22) from RAS.</w:t>
      </w:r>
    </w:p>
    <w:p>
      <w:pPr>
        <w:pStyle w:val="Heading4"/>
        <w:spacing w:before="117"/>
      </w:pPr>
      <w:r>
        <w:rPr/>
        <w:t>Externally</w:t>
      </w:r>
      <w:r>
        <w:rPr>
          <w:spacing w:val="-3"/>
        </w:rPr>
        <w:t> </w:t>
      </w:r>
      <w:r>
        <w:rPr/>
        <w:t>Financed</w:t>
      </w:r>
      <w:r>
        <w:rPr>
          <w:spacing w:val="-3"/>
        </w:rPr>
        <w:t> </w:t>
      </w:r>
      <w:r>
        <w:rPr/>
        <w:t>Outputs</w:t>
      </w:r>
      <w:r>
        <w:rPr>
          <w:spacing w:val="-3"/>
        </w:rPr>
        <w:t> </w:t>
      </w:r>
      <w:r>
        <w:rPr>
          <w:spacing w:val="-2"/>
        </w:rPr>
        <w:t>(EFOs)</w:t>
      </w:r>
    </w:p>
    <w:p>
      <w:pPr>
        <w:pStyle w:val="BodyText"/>
        <w:spacing w:line="232" w:lineRule="auto" w:before="145"/>
        <w:ind w:left="720" w:right="719"/>
        <w:jc w:val="both"/>
      </w:pPr>
      <w:r>
        <w:rPr/>
        <w:t>IBRD offers donors the ability to contribute to specific projects and programs. EFO contributions are recorded as restricted revenue when received because they are for contractually specified purposes. In FY23, IBRD had $3 million of restricted revenue, compared with $4 million in FY22, which are included in Net non-interest expenses – GAAP basis in Table 4.</w:t>
      </w:r>
    </w:p>
    <w:p>
      <w:pPr>
        <w:pStyle w:val="BodyText"/>
        <w:spacing w:after="0" w:line="232" w:lineRule="auto"/>
        <w:jc w:val="both"/>
        <w:sectPr>
          <w:pgSz w:w="12240" w:h="15840"/>
          <w:pgMar w:header="744" w:footer="713" w:top="1020" w:bottom="900" w:left="720" w:right="720"/>
        </w:sectPr>
      </w:pPr>
    </w:p>
    <w:p>
      <w:pPr>
        <w:pStyle w:val="BodyText"/>
        <w:spacing w:before="133"/>
      </w:pPr>
    </w:p>
    <w:p>
      <w:pPr>
        <w:pStyle w:val="BodyText"/>
        <w:spacing w:line="232" w:lineRule="auto"/>
        <w:ind w:left="720" w:right="719"/>
        <w:jc w:val="both"/>
      </w:pPr>
      <w:r>
        <w:rPr/>
        <w:t>Restrictions are released once the funds are used for the purposes specified by donors. In FY23, there was a release of $14 million ($20 million in FY22).</w:t>
      </w:r>
    </w:p>
    <w:p>
      <w:pPr>
        <w:pStyle w:val="Heading4"/>
        <w:spacing w:before="212"/>
        <w:jc w:val="left"/>
      </w:pPr>
      <w:r>
        <w:rPr/>
        <w:t>Other</w:t>
      </w:r>
      <w:r>
        <w:rPr>
          <w:spacing w:val="-3"/>
        </w:rPr>
        <w:t> </w:t>
      </w:r>
      <w:r>
        <w:rPr/>
        <w:t>Financial</w:t>
      </w:r>
      <w:r>
        <w:rPr>
          <w:spacing w:val="-2"/>
        </w:rPr>
        <w:t> </w:t>
      </w:r>
      <w:r>
        <w:rPr/>
        <w:t>Products</w:t>
      </w:r>
      <w:r>
        <w:rPr>
          <w:spacing w:val="-3"/>
        </w:rPr>
        <w:t> </w:t>
      </w:r>
      <w:r>
        <w:rPr/>
        <w:t>and</w:t>
      </w:r>
      <w:r>
        <w:rPr>
          <w:spacing w:val="-2"/>
        </w:rPr>
        <w:t> Services</w:t>
      </w:r>
    </w:p>
    <w:p>
      <w:pPr>
        <w:pStyle w:val="Heading7"/>
        <w:spacing w:before="135"/>
      </w:pPr>
      <w:r>
        <w:rPr/>
        <w:t>Managing</w:t>
      </w:r>
      <w:r>
        <w:rPr>
          <w:spacing w:val="-1"/>
        </w:rPr>
        <w:t> </w:t>
      </w:r>
      <w:r>
        <w:rPr/>
        <w:t>Financial</w:t>
      </w:r>
      <w:r>
        <w:rPr>
          <w:spacing w:val="-1"/>
        </w:rPr>
        <w:t> </w:t>
      </w:r>
      <w:r>
        <w:rPr/>
        <w:t>Risks</w:t>
      </w:r>
      <w:r>
        <w:rPr>
          <w:spacing w:val="-2"/>
        </w:rPr>
        <w:t> </w:t>
      </w:r>
      <w:r>
        <w:rPr/>
        <w:t>for</w:t>
      </w:r>
      <w:r>
        <w:rPr>
          <w:spacing w:val="-1"/>
        </w:rPr>
        <w:t> </w:t>
      </w:r>
      <w:r>
        <w:rPr>
          <w:spacing w:val="-2"/>
        </w:rPr>
        <w:t>Clients</w:t>
      </w:r>
    </w:p>
    <w:p>
      <w:pPr>
        <w:pStyle w:val="BodyText"/>
        <w:spacing w:line="249" w:lineRule="auto" w:before="135"/>
        <w:ind w:left="720" w:right="718"/>
        <w:jc w:val="both"/>
      </w:pPr>
      <w:r>
        <w:rPr/>
        <w:t>IBRD helps member countries build resilience by facilitating access to risk management solutions to mitigate the financial effects of currency, interest rate, and commodity price volatility, disasters, and extreme weather events.</w:t>
      </w:r>
    </w:p>
    <w:p>
      <w:pPr>
        <w:pStyle w:val="BodyText"/>
        <w:spacing w:before="122"/>
        <w:ind w:left="720"/>
      </w:pPr>
      <w:r>
        <w:rPr/>
        <w:t>Box</w:t>
      </w:r>
      <w:r>
        <w:rPr>
          <w:spacing w:val="-6"/>
        </w:rPr>
        <w:t> </w:t>
      </w:r>
      <w:r>
        <w:rPr/>
        <w:t>5</w:t>
      </w:r>
      <w:r>
        <w:rPr>
          <w:spacing w:val="-3"/>
        </w:rPr>
        <w:t> </w:t>
      </w:r>
      <w:r>
        <w:rPr/>
        <w:t>below</w:t>
      </w:r>
      <w:r>
        <w:rPr>
          <w:spacing w:val="-4"/>
        </w:rPr>
        <w:t> </w:t>
      </w:r>
      <w:r>
        <w:rPr/>
        <w:t>lists</w:t>
      </w:r>
      <w:r>
        <w:rPr>
          <w:spacing w:val="-3"/>
        </w:rPr>
        <w:t> </w:t>
      </w:r>
      <w:r>
        <w:rPr/>
        <w:t>some</w:t>
      </w:r>
      <w:r>
        <w:rPr>
          <w:spacing w:val="-4"/>
        </w:rPr>
        <w:t> </w:t>
      </w:r>
      <w:r>
        <w:rPr/>
        <w:t>financial</w:t>
      </w:r>
      <w:r>
        <w:rPr>
          <w:spacing w:val="-4"/>
        </w:rPr>
        <w:t> </w:t>
      </w:r>
      <w:r>
        <w:rPr/>
        <w:t>solutions</w:t>
      </w:r>
      <w:r>
        <w:rPr>
          <w:spacing w:val="-4"/>
        </w:rPr>
        <w:t> </w:t>
      </w:r>
      <w:r>
        <w:rPr/>
        <w:t>and</w:t>
      </w:r>
      <w:r>
        <w:rPr>
          <w:spacing w:val="-3"/>
        </w:rPr>
        <w:t> </w:t>
      </w:r>
      <w:r>
        <w:rPr/>
        <w:t>disaster</w:t>
      </w:r>
      <w:r>
        <w:rPr>
          <w:spacing w:val="-3"/>
        </w:rPr>
        <w:t> </w:t>
      </w:r>
      <w:r>
        <w:rPr/>
        <w:t>risk</w:t>
      </w:r>
      <w:r>
        <w:rPr>
          <w:spacing w:val="-4"/>
        </w:rPr>
        <w:t> </w:t>
      </w:r>
      <w:r>
        <w:rPr/>
        <w:t>financing</w:t>
      </w:r>
      <w:r>
        <w:rPr>
          <w:spacing w:val="-3"/>
        </w:rPr>
        <w:t> </w:t>
      </w:r>
      <w:r>
        <w:rPr/>
        <w:t>instruments</w:t>
      </w:r>
      <w:r>
        <w:rPr>
          <w:spacing w:val="-4"/>
        </w:rPr>
        <w:t> </w:t>
      </w:r>
      <w:r>
        <w:rPr/>
        <w:t>IBRD</w:t>
      </w:r>
      <w:r>
        <w:rPr>
          <w:spacing w:val="-3"/>
        </w:rPr>
        <w:t> </w:t>
      </w:r>
      <w:r>
        <w:rPr>
          <w:spacing w:val="-2"/>
        </w:rPr>
        <w:t>offers:</w:t>
      </w:r>
    </w:p>
    <w:p>
      <w:pPr>
        <w:spacing w:before="100" w:after="38"/>
        <w:ind w:left="720" w:right="0" w:firstLine="0"/>
        <w:jc w:val="left"/>
        <w:rPr>
          <w:rFonts w:ascii="Arial"/>
          <w:b/>
          <w:sz w:val="18"/>
        </w:rPr>
      </w:pPr>
      <w:bookmarkStart w:name="_bookmark44" w:id="67"/>
      <w:bookmarkEnd w:id="67"/>
      <w:r>
        <w:rPr/>
      </w:r>
      <w:r>
        <w:rPr>
          <w:rFonts w:ascii="Arial"/>
          <w:b/>
          <w:sz w:val="18"/>
        </w:rPr>
        <w:t>Box</w:t>
      </w:r>
      <w:r>
        <w:rPr>
          <w:rFonts w:ascii="Arial"/>
          <w:b/>
          <w:spacing w:val="-2"/>
          <w:sz w:val="18"/>
        </w:rPr>
        <w:t> </w:t>
      </w:r>
      <w:r>
        <w:rPr>
          <w:rFonts w:ascii="Arial"/>
          <w:b/>
          <w:sz w:val="18"/>
        </w:rPr>
        <w:t>5:</w:t>
      </w:r>
      <w:r>
        <w:rPr>
          <w:rFonts w:ascii="Arial"/>
          <w:b/>
          <w:spacing w:val="-1"/>
          <w:sz w:val="18"/>
        </w:rPr>
        <w:t> </w:t>
      </w:r>
      <w:r>
        <w:rPr>
          <w:rFonts w:ascii="Arial"/>
          <w:b/>
          <w:sz w:val="18"/>
        </w:rPr>
        <w:t>Financing</w:t>
      </w:r>
      <w:r>
        <w:rPr>
          <w:rFonts w:ascii="Arial"/>
          <w:b/>
          <w:spacing w:val="-1"/>
          <w:sz w:val="18"/>
        </w:rPr>
        <w:t> </w:t>
      </w:r>
      <w:r>
        <w:rPr>
          <w:rFonts w:ascii="Arial"/>
          <w:b/>
          <w:spacing w:val="-2"/>
          <w:sz w:val="18"/>
        </w:rPr>
        <w:t>Instruments</w:t>
      </w:r>
    </w:p>
    <w:tbl>
      <w:tblPr>
        <w:tblW w:w="0" w:type="auto"/>
        <w:jc w:val="left"/>
        <w:tblInd w:w="730"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4500"/>
        <w:gridCol w:w="4860"/>
      </w:tblGrid>
      <w:tr>
        <w:trPr>
          <w:trHeight w:val="295" w:hRule="atLeast"/>
        </w:trPr>
        <w:tc>
          <w:tcPr>
            <w:tcW w:w="4500" w:type="dxa"/>
          </w:tcPr>
          <w:p>
            <w:pPr>
              <w:pStyle w:val="TableParagraph"/>
              <w:spacing w:before="9"/>
              <w:ind w:left="1472"/>
              <w:rPr>
                <w:rFonts w:ascii="Arial"/>
                <w:i/>
                <w:sz w:val="16"/>
              </w:rPr>
            </w:pPr>
            <w:r>
              <w:rPr>
                <w:rFonts w:ascii="Arial"/>
                <w:i/>
                <w:color w:val="A5A5A5"/>
                <w:sz w:val="16"/>
              </w:rPr>
              <w:t>Hedging</w:t>
            </w:r>
            <w:r>
              <w:rPr>
                <w:rFonts w:ascii="Arial"/>
                <w:i/>
                <w:color w:val="A5A5A5"/>
                <w:spacing w:val="-7"/>
                <w:sz w:val="16"/>
              </w:rPr>
              <w:t> </w:t>
            </w:r>
            <w:r>
              <w:rPr>
                <w:rFonts w:ascii="Arial"/>
                <w:i/>
                <w:color w:val="A5A5A5"/>
                <w:spacing w:val="-2"/>
                <w:sz w:val="16"/>
              </w:rPr>
              <w:t>Transactions</w:t>
            </w:r>
          </w:p>
        </w:tc>
        <w:tc>
          <w:tcPr>
            <w:tcW w:w="4860" w:type="dxa"/>
          </w:tcPr>
          <w:p>
            <w:pPr>
              <w:pStyle w:val="TableParagraph"/>
              <w:spacing w:before="9"/>
              <w:ind w:left="1590"/>
              <w:rPr>
                <w:rFonts w:ascii="Arial"/>
                <w:i/>
                <w:sz w:val="16"/>
              </w:rPr>
            </w:pPr>
            <w:r>
              <w:rPr>
                <w:rFonts w:ascii="Arial"/>
                <w:i/>
                <w:color w:val="A5A5A5"/>
                <w:sz w:val="16"/>
              </w:rPr>
              <w:t>Disaster</w:t>
            </w:r>
            <w:r>
              <w:rPr>
                <w:rFonts w:ascii="Arial"/>
                <w:i/>
                <w:color w:val="A5A5A5"/>
                <w:spacing w:val="-3"/>
                <w:sz w:val="16"/>
              </w:rPr>
              <w:t> </w:t>
            </w:r>
            <w:r>
              <w:rPr>
                <w:rFonts w:ascii="Arial"/>
                <w:i/>
                <w:color w:val="A5A5A5"/>
                <w:sz w:val="16"/>
              </w:rPr>
              <w:t>Risk</w:t>
            </w:r>
            <w:r>
              <w:rPr>
                <w:rFonts w:ascii="Arial"/>
                <w:i/>
                <w:color w:val="A5A5A5"/>
                <w:spacing w:val="-3"/>
                <w:sz w:val="16"/>
              </w:rPr>
              <w:t> </w:t>
            </w:r>
            <w:r>
              <w:rPr>
                <w:rFonts w:ascii="Arial"/>
                <w:i/>
                <w:color w:val="A5A5A5"/>
                <w:spacing w:val="-2"/>
                <w:sz w:val="16"/>
              </w:rPr>
              <w:t>Financing</w:t>
            </w:r>
          </w:p>
        </w:tc>
      </w:tr>
      <w:tr>
        <w:trPr>
          <w:trHeight w:val="700" w:hRule="atLeast"/>
        </w:trPr>
        <w:tc>
          <w:tcPr>
            <w:tcW w:w="4500" w:type="dxa"/>
          </w:tcPr>
          <w:p>
            <w:pPr>
              <w:pStyle w:val="TableParagraph"/>
              <w:spacing w:line="312" w:lineRule="auto" w:before="9"/>
              <w:ind w:left="1502" w:right="1480"/>
              <w:jc w:val="center"/>
              <w:rPr>
                <w:sz w:val="16"/>
              </w:rPr>
            </w:pPr>
            <w:r>
              <w:rPr>
                <w:sz w:val="16"/>
              </w:rPr>
              <w:t>Interest</w:t>
            </w:r>
            <w:r>
              <w:rPr>
                <w:spacing w:val="-12"/>
                <w:sz w:val="16"/>
              </w:rPr>
              <w:t> </w:t>
            </w:r>
            <w:r>
              <w:rPr>
                <w:sz w:val="16"/>
              </w:rPr>
              <w:t>Rate </w:t>
            </w:r>
            <w:r>
              <w:rPr>
                <w:spacing w:val="-2"/>
                <w:sz w:val="16"/>
              </w:rPr>
              <w:t>Currency</w:t>
            </w:r>
          </w:p>
          <w:p>
            <w:pPr>
              <w:pStyle w:val="TableParagraph"/>
              <w:spacing w:before="1"/>
              <w:ind w:left="1502" w:right="1481"/>
              <w:jc w:val="center"/>
              <w:rPr>
                <w:sz w:val="16"/>
              </w:rPr>
            </w:pPr>
            <w:r>
              <w:rPr>
                <w:sz w:val="16"/>
              </w:rPr>
              <w:t>Commodity</w:t>
            </w:r>
            <w:r>
              <w:rPr>
                <w:spacing w:val="-5"/>
                <w:sz w:val="16"/>
              </w:rPr>
              <w:t> </w:t>
            </w:r>
            <w:r>
              <w:rPr>
                <w:spacing w:val="-2"/>
                <w:sz w:val="16"/>
              </w:rPr>
              <w:t>Price</w:t>
            </w:r>
          </w:p>
        </w:tc>
        <w:tc>
          <w:tcPr>
            <w:tcW w:w="4860" w:type="dxa"/>
          </w:tcPr>
          <w:p>
            <w:pPr>
              <w:pStyle w:val="TableParagraph"/>
              <w:spacing w:line="312" w:lineRule="auto" w:before="9"/>
              <w:ind w:left="858" w:right="835"/>
              <w:jc w:val="center"/>
              <w:rPr>
                <w:sz w:val="16"/>
              </w:rPr>
            </w:pPr>
            <w:r>
              <w:rPr>
                <w:sz w:val="16"/>
              </w:rPr>
              <w:t>Catastrophe</w:t>
            </w:r>
            <w:r>
              <w:rPr>
                <w:spacing w:val="-12"/>
                <w:sz w:val="16"/>
              </w:rPr>
              <w:t> </w:t>
            </w:r>
            <w:r>
              <w:rPr>
                <w:sz w:val="16"/>
              </w:rPr>
              <w:t>Derivatives</w:t>
            </w:r>
            <w:r>
              <w:rPr>
                <w:spacing w:val="-11"/>
                <w:sz w:val="16"/>
              </w:rPr>
              <w:t> </w:t>
            </w:r>
            <w:r>
              <w:rPr>
                <w:sz w:val="16"/>
              </w:rPr>
              <w:t>and</w:t>
            </w:r>
            <w:r>
              <w:rPr>
                <w:spacing w:val="-11"/>
                <w:sz w:val="16"/>
              </w:rPr>
              <w:t> </w:t>
            </w:r>
            <w:r>
              <w:rPr>
                <w:sz w:val="16"/>
              </w:rPr>
              <w:t>Bonds Insurance &amp; Reinsurance</w:t>
            </w:r>
          </w:p>
          <w:p>
            <w:pPr>
              <w:pStyle w:val="TableParagraph"/>
              <w:spacing w:before="1"/>
              <w:ind w:left="858" w:right="837"/>
              <w:jc w:val="center"/>
              <w:rPr>
                <w:sz w:val="16"/>
              </w:rPr>
            </w:pPr>
            <w:r>
              <w:rPr>
                <w:sz w:val="16"/>
              </w:rPr>
              <w:t>Regional</w:t>
            </w:r>
            <w:r>
              <w:rPr>
                <w:spacing w:val="-7"/>
                <w:sz w:val="16"/>
              </w:rPr>
              <w:t> </w:t>
            </w:r>
            <w:r>
              <w:rPr>
                <w:sz w:val="16"/>
              </w:rPr>
              <w:t>Pooling</w:t>
            </w:r>
            <w:r>
              <w:rPr>
                <w:spacing w:val="-6"/>
                <w:sz w:val="16"/>
              </w:rPr>
              <w:t> </w:t>
            </w:r>
            <w:r>
              <w:rPr>
                <w:spacing w:val="-2"/>
                <w:sz w:val="16"/>
              </w:rPr>
              <w:t>Facilities</w:t>
            </w:r>
          </w:p>
        </w:tc>
      </w:tr>
    </w:tbl>
    <w:p>
      <w:pPr>
        <w:pStyle w:val="BodyText"/>
        <w:spacing w:before="162"/>
        <w:ind w:left="720"/>
      </w:pPr>
      <w:r>
        <w:rPr/>
        <w:t>IBRD</w:t>
      </w:r>
      <w:r>
        <w:rPr>
          <w:spacing w:val="-7"/>
        </w:rPr>
        <w:t> </w:t>
      </w:r>
      <w:r>
        <w:rPr/>
        <w:t>also</w:t>
      </w:r>
      <w:r>
        <w:rPr>
          <w:spacing w:val="-4"/>
        </w:rPr>
        <w:t> </w:t>
      </w:r>
      <w:r>
        <w:rPr/>
        <w:t>intermediates</w:t>
      </w:r>
      <w:r>
        <w:rPr>
          <w:spacing w:val="-5"/>
        </w:rPr>
        <w:t> </w:t>
      </w:r>
      <w:r>
        <w:rPr/>
        <w:t>the</w:t>
      </w:r>
      <w:r>
        <w:rPr>
          <w:spacing w:val="-5"/>
        </w:rPr>
        <w:t> </w:t>
      </w:r>
      <w:r>
        <w:rPr/>
        <w:t>following</w:t>
      </w:r>
      <w:r>
        <w:rPr>
          <w:spacing w:val="-3"/>
        </w:rPr>
        <w:t> </w:t>
      </w:r>
      <w:r>
        <w:rPr/>
        <w:t>risk</w:t>
      </w:r>
      <w:r>
        <w:rPr>
          <w:spacing w:val="-4"/>
        </w:rPr>
        <w:t> </w:t>
      </w:r>
      <w:r>
        <w:rPr/>
        <w:t>management</w:t>
      </w:r>
      <w:r>
        <w:rPr>
          <w:spacing w:val="-5"/>
        </w:rPr>
        <w:t> </w:t>
      </w:r>
      <w:r>
        <w:rPr/>
        <w:t>transactions</w:t>
      </w:r>
      <w:r>
        <w:rPr>
          <w:spacing w:val="-5"/>
        </w:rPr>
        <w:t> </w:t>
      </w:r>
      <w:r>
        <w:rPr/>
        <w:t>for</w:t>
      </w:r>
      <w:r>
        <w:rPr>
          <w:spacing w:val="-3"/>
        </w:rPr>
        <w:t> </w:t>
      </w:r>
      <w:r>
        <w:rPr>
          <w:spacing w:val="-2"/>
        </w:rPr>
        <w:t>clients:</w:t>
      </w:r>
    </w:p>
    <w:p>
      <w:pPr>
        <w:pStyle w:val="ListParagraph"/>
        <w:numPr>
          <w:ilvl w:val="0"/>
          <w:numId w:val="15"/>
        </w:numPr>
        <w:tabs>
          <w:tab w:pos="1260" w:val="left" w:leader="none"/>
        </w:tabs>
        <w:spacing w:line="249" w:lineRule="auto" w:before="90" w:after="0"/>
        <w:ind w:left="1260" w:right="721" w:hanging="360"/>
        <w:jc w:val="both"/>
        <w:rPr>
          <w:sz w:val="20"/>
        </w:rPr>
      </w:pPr>
      <w:r>
        <w:rPr>
          <w:i/>
          <w:sz w:val="20"/>
        </w:rPr>
        <w:t>Affiliated Organization: </w:t>
      </w:r>
      <w:r>
        <w:rPr>
          <w:sz w:val="20"/>
        </w:rPr>
        <w:t>To assist IDA with its asset/liability management IBRD executed currency forward contracts on its behalf. There were no open trades as of June 30, 2023.</w:t>
      </w:r>
    </w:p>
    <w:p>
      <w:pPr>
        <w:pStyle w:val="ListParagraph"/>
        <w:numPr>
          <w:ilvl w:val="0"/>
          <w:numId w:val="15"/>
        </w:numPr>
        <w:tabs>
          <w:tab w:pos="1260" w:val="left" w:leader="none"/>
        </w:tabs>
        <w:spacing w:line="249" w:lineRule="auto" w:before="121" w:after="0"/>
        <w:ind w:left="1260" w:right="720" w:hanging="360"/>
        <w:jc w:val="both"/>
        <w:rPr>
          <w:sz w:val="20"/>
        </w:rPr>
      </w:pPr>
      <w:r>
        <w:rPr>
          <w:i/>
          <w:sz w:val="20"/>
        </w:rPr>
        <w:t>Unaffiliated Organization</w:t>
      </w:r>
      <w:r>
        <w:rPr>
          <w:sz w:val="20"/>
        </w:rPr>
        <w:t>: To assist the International Finance Facility for Immunization (IFFIm) with its asset/liability</w:t>
      </w:r>
      <w:r>
        <w:rPr>
          <w:spacing w:val="-2"/>
          <w:sz w:val="20"/>
        </w:rPr>
        <w:t> </w:t>
      </w:r>
      <w:r>
        <w:rPr>
          <w:sz w:val="20"/>
        </w:rPr>
        <w:t>management</w:t>
      </w:r>
      <w:r>
        <w:rPr>
          <w:spacing w:val="-3"/>
          <w:sz w:val="20"/>
        </w:rPr>
        <w:t> </w:t>
      </w:r>
      <w:r>
        <w:rPr>
          <w:sz w:val="20"/>
        </w:rPr>
        <w:t>strategy,</w:t>
      </w:r>
      <w:r>
        <w:rPr>
          <w:spacing w:val="-2"/>
          <w:sz w:val="20"/>
        </w:rPr>
        <w:t> </w:t>
      </w:r>
      <w:r>
        <w:rPr>
          <w:sz w:val="20"/>
        </w:rPr>
        <w:t>IBRD</w:t>
      </w:r>
      <w:r>
        <w:rPr>
          <w:spacing w:val="-3"/>
          <w:sz w:val="20"/>
        </w:rPr>
        <w:t> </w:t>
      </w:r>
      <w:r>
        <w:rPr>
          <w:sz w:val="20"/>
        </w:rPr>
        <w:t>executes</w:t>
      </w:r>
      <w:r>
        <w:rPr>
          <w:spacing w:val="-3"/>
          <w:sz w:val="20"/>
        </w:rPr>
        <w:t> </w:t>
      </w:r>
      <w:r>
        <w:rPr>
          <w:sz w:val="20"/>
        </w:rPr>
        <w:t>currency</w:t>
      </w:r>
      <w:r>
        <w:rPr>
          <w:spacing w:val="-2"/>
          <w:sz w:val="20"/>
        </w:rPr>
        <w:t> </w:t>
      </w:r>
      <w:r>
        <w:rPr>
          <w:sz w:val="20"/>
        </w:rPr>
        <w:t>and</w:t>
      </w:r>
      <w:r>
        <w:rPr>
          <w:spacing w:val="-2"/>
          <w:sz w:val="20"/>
        </w:rPr>
        <w:t> </w:t>
      </w:r>
      <w:r>
        <w:rPr>
          <w:sz w:val="20"/>
        </w:rPr>
        <w:t>interest</w:t>
      </w:r>
      <w:r>
        <w:rPr>
          <w:spacing w:val="-3"/>
          <w:sz w:val="20"/>
        </w:rPr>
        <w:t> </w:t>
      </w:r>
      <w:r>
        <w:rPr>
          <w:sz w:val="20"/>
        </w:rPr>
        <w:t>rate</w:t>
      </w:r>
      <w:r>
        <w:rPr>
          <w:spacing w:val="-3"/>
          <w:sz w:val="20"/>
        </w:rPr>
        <w:t> </w:t>
      </w:r>
      <w:r>
        <w:rPr>
          <w:sz w:val="20"/>
        </w:rPr>
        <w:t>swaps</w:t>
      </w:r>
      <w:r>
        <w:rPr>
          <w:spacing w:val="-3"/>
          <w:sz w:val="20"/>
        </w:rPr>
        <w:t> </w:t>
      </w:r>
      <w:r>
        <w:rPr>
          <w:sz w:val="20"/>
        </w:rPr>
        <w:t>on</w:t>
      </w:r>
      <w:r>
        <w:rPr>
          <w:spacing w:val="-2"/>
          <w:sz w:val="20"/>
        </w:rPr>
        <w:t> </w:t>
      </w:r>
      <w:r>
        <w:rPr>
          <w:sz w:val="20"/>
        </w:rPr>
        <w:t>its</w:t>
      </w:r>
      <w:r>
        <w:rPr>
          <w:spacing w:val="-3"/>
          <w:sz w:val="20"/>
        </w:rPr>
        <w:t> </w:t>
      </w:r>
      <w:r>
        <w:rPr>
          <w:sz w:val="20"/>
        </w:rPr>
        <w:t>behalf.</w:t>
      </w:r>
      <w:r>
        <w:rPr>
          <w:spacing w:val="-2"/>
          <w:sz w:val="20"/>
        </w:rPr>
        <w:t> </w:t>
      </w:r>
      <w:r>
        <w:rPr>
          <w:sz w:val="20"/>
        </w:rPr>
        <w:t>In</w:t>
      </w:r>
      <w:r>
        <w:rPr>
          <w:spacing w:val="-2"/>
          <w:sz w:val="20"/>
        </w:rPr>
        <w:t> </w:t>
      </w:r>
      <w:r>
        <w:rPr>
          <w:sz w:val="20"/>
        </w:rPr>
        <w:t>addition, IBRD, as Treasury Manager, is a counterparty to IFFIm and enters into offsetting swaps with market counterparties. During FY23, IBRD did not execute any swaps under this agreement.</w:t>
      </w:r>
    </w:p>
    <w:p>
      <w:pPr>
        <w:pStyle w:val="BodyText"/>
        <w:spacing w:line="249" w:lineRule="auto" w:before="124"/>
        <w:ind w:left="720" w:right="717"/>
        <w:jc w:val="both"/>
      </w:pPr>
      <w:r>
        <w:rPr/>
        <w:t>(See Risk Management, Section IX, for a detailed discussion of IBRD’s risk mitigation of these derivative </w:t>
      </w:r>
      <w:r>
        <w:rPr>
          <w:spacing w:val="-2"/>
        </w:rPr>
        <w:t>transactions).</w:t>
      </w:r>
    </w:p>
    <w:p>
      <w:pPr>
        <w:pStyle w:val="Heading7"/>
        <w:spacing w:before="116"/>
      </w:pPr>
      <w:r>
        <w:rPr/>
        <w:t>Asset</w:t>
      </w:r>
      <w:r>
        <w:rPr>
          <w:spacing w:val="-3"/>
        </w:rPr>
        <w:t> </w:t>
      </w:r>
      <w:r>
        <w:rPr>
          <w:spacing w:val="-2"/>
        </w:rPr>
        <w:t>Management</w:t>
      </w:r>
    </w:p>
    <w:p>
      <w:pPr>
        <w:pStyle w:val="BodyText"/>
        <w:spacing w:line="232" w:lineRule="auto" w:before="142"/>
        <w:ind w:left="720" w:right="717"/>
        <w:jc w:val="both"/>
      </w:pPr>
      <w:r>
        <w:rPr/>
        <w:t>The Reserves Advisory and Management Partnership (RAMP) provides services that build clients’ capacity to support the sound management of their official sector assets. Clients include central banks, sovereign wealth funds, national pension funds, and supranational organizations. RAMP helps clients upgrade their asset management capabilities, including portfolio and risk management, operational infrastructure, and human resources capacity. Under most of these arrangements, IBRD is responsible for managing a portion of the institution’s assets and, in return, receives a fee based on the average value of the portfolio managed (see Table 17). The fees earned are used</w:t>
      </w:r>
      <w:r>
        <w:rPr>
          <w:spacing w:val="40"/>
        </w:rPr>
        <w:t> </w:t>
      </w:r>
      <w:r>
        <w:rPr/>
        <w:t>to provide training and capacity-building services. In addition to RAMP, IBRD invests and manages investments on</w:t>
      </w:r>
    </w:p>
    <w:p>
      <w:pPr>
        <w:pStyle w:val="BodyText"/>
        <w:spacing w:before="28"/>
        <w:ind w:left="720"/>
        <w:jc w:val="both"/>
      </w:pPr>
      <w:r>
        <w:rPr/>
        <w:t>behalf</w:t>
      </w:r>
      <w:r>
        <w:rPr>
          <w:spacing w:val="-5"/>
        </w:rPr>
        <w:t> </w:t>
      </w:r>
      <w:r>
        <w:rPr/>
        <w:t>of</w:t>
      </w:r>
      <w:r>
        <w:rPr>
          <w:spacing w:val="-2"/>
        </w:rPr>
        <w:t> </w:t>
      </w:r>
      <w:r>
        <w:rPr/>
        <w:t>IDA,</w:t>
      </w:r>
      <w:r>
        <w:rPr>
          <w:spacing w:val="-2"/>
        </w:rPr>
        <w:t> </w:t>
      </w:r>
      <w:r>
        <w:rPr/>
        <w:t>MIGA,</w:t>
      </w:r>
      <w:r>
        <w:rPr>
          <w:spacing w:val="-2"/>
        </w:rPr>
        <w:t> </w:t>
      </w:r>
      <w:r>
        <w:rPr/>
        <w:t>and</w:t>
      </w:r>
      <w:r>
        <w:rPr>
          <w:spacing w:val="-2"/>
        </w:rPr>
        <w:t> </w:t>
      </w:r>
      <w:r>
        <w:rPr/>
        <w:t>trust</w:t>
      </w:r>
      <w:r>
        <w:rPr>
          <w:spacing w:val="-3"/>
        </w:rPr>
        <w:t> </w:t>
      </w:r>
      <w:r>
        <w:rPr/>
        <w:t>funds;</w:t>
      </w:r>
      <w:r>
        <w:rPr>
          <w:spacing w:val="-4"/>
        </w:rPr>
        <w:t> </w:t>
      </w:r>
      <w:r>
        <w:rPr/>
        <w:t>those</w:t>
      </w:r>
      <w:r>
        <w:rPr>
          <w:spacing w:val="-3"/>
        </w:rPr>
        <w:t> </w:t>
      </w:r>
      <w:r>
        <w:rPr/>
        <w:t>investments</w:t>
      </w:r>
      <w:r>
        <w:rPr>
          <w:spacing w:val="-3"/>
        </w:rPr>
        <w:t> </w:t>
      </w:r>
      <w:r>
        <w:rPr/>
        <w:t>are</w:t>
      </w:r>
      <w:r>
        <w:rPr>
          <w:spacing w:val="-3"/>
        </w:rPr>
        <w:t> </w:t>
      </w:r>
      <w:r>
        <w:rPr/>
        <w:t>not</w:t>
      </w:r>
      <w:r>
        <w:rPr>
          <w:spacing w:val="-3"/>
        </w:rPr>
        <w:t> </w:t>
      </w:r>
      <w:r>
        <w:rPr/>
        <w:t>included</w:t>
      </w:r>
      <w:r>
        <w:rPr>
          <w:spacing w:val="-2"/>
        </w:rPr>
        <w:t> </w:t>
      </w:r>
      <w:r>
        <w:rPr/>
        <w:t>in</w:t>
      </w:r>
      <w:r>
        <w:rPr>
          <w:spacing w:val="-2"/>
        </w:rPr>
        <w:t> </w:t>
      </w:r>
      <w:r>
        <w:rPr/>
        <w:t>IBRD’s</w:t>
      </w:r>
      <w:r>
        <w:rPr>
          <w:spacing w:val="-3"/>
        </w:rPr>
        <w:t> </w:t>
      </w:r>
      <w:r>
        <w:rPr>
          <w:spacing w:val="-2"/>
        </w:rPr>
        <w:t>assets.</w:t>
      </w:r>
    </w:p>
    <w:p>
      <w:pPr>
        <w:pStyle w:val="BodyText"/>
        <w:spacing w:before="6" w:after="1"/>
        <w:rPr>
          <w:sz w:val="1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8"/>
        <w:gridCol w:w="2917"/>
        <w:gridCol w:w="1035"/>
      </w:tblGrid>
      <w:tr>
        <w:trPr>
          <w:trHeight w:val="230" w:hRule="atLeast"/>
        </w:trPr>
        <w:tc>
          <w:tcPr>
            <w:tcW w:w="5408" w:type="dxa"/>
          </w:tcPr>
          <w:p>
            <w:pPr>
              <w:pStyle w:val="TableParagraph"/>
              <w:spacing w:line="201" w:lineRule="exact"/>
              <w:ind w:left="52"/>
              <w:rPr>
                <w:rFonts w:ascii="Arial" w:hAnsi="Arial"/>
                <w:b/>
                <w:sz w:val="18"/>
              </w:rPr>
            </w:pPr>
            <w:bookmarkStart w:name="_bookmark45" w:id="68"/>
            <w:bookmarkEnd w:id="68"/>
            <w:r>
              <w:rPr/>
            </w:r>
            <w:r>
              <w:rPr>
                <w:rFonts w:ascii="Arial" w:hAnsi="Arial"/>
                <w:b/>
                <w:sz w:val="18"/>
              </w:rPr>
              <w:t>Table</w:t>
            </w:r>
            <w:r>
              <w:rPr>
                <w:rFonts w:ascii="Arial" w:hAnsi="Arial"/>
                <w:b/>
                <w:spacing w:val="-2"/>
                <w:sz w:val="18"/>
              </w:rPr>
              <w:t> </w:t>
            </w:r>
            <w:r>
              <w:rPr>
                <w:rFonts w:ascii="Arial" w:hAnsi="Arial"/>
                <w:b/>
                <w:sz w:val="18"/>
              </w:rPr>
              <w:t>17:</w:t>
            </w:r>
            <w:r>
              <w:rPr>
                <w:rFonts w:ascii="Arial" w:hAnsi="Arial"/>
                <w:b/>
                <w:spacing w:val="-2"/>
                <w:sz w:val="18"/>
              </w:rPr>
              <w:t> </w:t>
            </w:r>
            <w:r>
              <w:rPr>
                <w:rFonts w:ascii="Arial" w:hAnsi="Arial"/>
                <w:b/>
                <w:sz w:val="18"/>
              </w:rPr>
              <w:t>RAMP</w:t>
            </w:r>
            <w:r>
              <w:rPr>
                <w:rFonts w:ascii="Arial" w:hAnsi="Arial"/>
                <w:b/>
                <w:spacing w:val="-1"/>
                <w:sz w:val="18"/>
              </w:rPr>
              <w:t> </w:t>
            </w:r>
            <w:r>
              <w:rPr>
                <w:rFonts w:ascii="Arial" w:hAnsi="Arial"/>
                <w:b/>
                <w:sz w:val="18"/>
              </w:rPr>
              <w:t>–</w:t>
            </w:r>
            <w:r>
              <w:rPr>
                <w:rFonts w:ascii="Arial" w:hAnsi="Arial"/>
                <w:b/>
                <w:spacing w:val="-2"/>
                <w:sz w:val="18"/>
              </w:rPr>
              <w:t> </w:t>
            </w:r>
            <w:r>
              <w:rPr>
                <w:rFonts w:ascii="Arial" w:hAnsi="Arial"/>
                <w:b/>
                <w:sz w:val="18"/>
              </w:rPr>
              <w:t>Assets</w:t>
            </w:r>
            <w:r>
              <w:rPr>
                <w:rFonts w:ascii="Arial" w:hAnsi="Arial"/>
                <w:b/>
                <w:spacing w:val="-2"/>
                <w:sz w:val="18"/>
              </w:rPr>
              <w:t> </w:t>
            </w:r>
            <w:r>
              <w:rPr>
                <w:rFonts w:ascii="Arial" w:hAnsi="Arial"/>
                <w:b/>
                <w:sz w:val="18"/>
              </w:rPr>
              <w:t>and</w:t>
            </w:r>
            <w:r>
              <w:rPr>
                <w:rFonts w:ascii="Arial" w:hAnsi="Arial"/>
                <w:b/>
                <w:spacing w:val="-1"/>
                <w:sz w:val="18"/>
              </w:rPr>
              <w:t> </w:t>
            </w:r>
            <w:r>
              <w:rPr>
                <w:rFonts w:ascii="Arial" w:hAnsi="Arial"/>
                <w:b/>
                <w:spacing w:val="-2"/>
                <w:sz w:val="18"/>
              </w:rPr>
              <w:t>Revenues</w:t>
            </w:r>
          </w:p>
        </w:tc>
        <w:tc>
          <w:tcPr>
            <w:tcW w:w="3952" w:type="dxa"/>
            <w:gridSpan w:val="2"/>
          </w:tcPr>
          <w:p>
            <w:pPr>
              <w:pStyle w:val="TableParagraph"/>
              <w:rPr>
                <w:rFonts w:ascii="Times New Roman"/>
                <w:sz w:val="16"/>
              </w:rPr>
            </w:pPr>
          </w:p>
        </w:tc>
      </w:tr>
      <w:tr>
        <w:trPr>
          <w:trHeight w:val="531" w:hRule="atLeast"/>
        </w:trPr>
        <w:tc>
          <w:tcPr>
            <w:tcW w:w="5408" w:type="dxa"/>
            <w:tcBorders>
              <w:bottom w:val="single" w:sz="8" w:space="0" w:color="6C6C6C"/>
            </w:tcBorders>
          </w:tcPr>
          <w:p>
            <w:pPr>
              <w:pStyle w:val="TableParagraph"/>
              <w:spacing w:before="24"/>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TableParagraph"/>
              <w:spacing w:before="86"/>
              <w:ind w:left="108"/>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2917" w:type="dxa"/>
            <w:tcBorders>
              <w:bottom w:val="single" w:sz="8" w:space="0" w:color="6C6C6C"/>
            </w:tcBorders>
          </w:tcPr>
          <w:p>
            <w:pPr>
              <w:pStyle w:val="TableParagraph"/>
              <w:spacing w:before="110"/>
              <w:rPr>
                <w:rFonts w:ascii="Times New Roman"/>
                <w:sz w:val="16"/>
              </w:rPr>
            </w:pPr>
          </w:p>
          <w:p>
            <w:pPr>
              <w:pStyle w:val="TableParagraph"/>
              <w:ind w:right="80"/>
              <w:jc w:val="right"/>
              <w:rPr>
                <w:rFonts w:ascii="Arial"/>
                <w:i/>
                <w:sz w:val="16"/>
              </w:rPr>
            </w:pPr>
            <w:r>
              <w:rPr>
                <w:rFonts w:ascii="Arial"/>
                <w:i/>
                <w:color w:val="484848"/>
                <w:spacing w:val="-4"/>
                <w:sz w:val="16"/>
              </w:rPr>
              <w:t>2023</w:t>
            </w:r>
          </w:p>
        </w:tc>
        <w:tc>
          <w:tcPr>
            <w:tcW w:w="1035" w:type="dxa"/>
            <w:tcBorders>
              <w:bottom w:val="single" w:sz="8" w:space="0" w:color="6C6C6C"/>
            </w:tcBorders>
          </w:tcPr>
          <w:p>
            <w:pPr>
              <w:pStyle w:val="TableParagraph"/>
              <w:spacing w:before="110"/>
              <w:rPr>
                <w:rFonts w:ascii="Times New Roman"/>
                <w:sz w:val="16"/>
              </w:rPr>
            </w:pPr>
          </w:p>
          <w:p>
            <w:pPr>
              <w:pStyle w:val="TableParagraph"/>
              <w:ind w:right="50"/>
              <w:jc w:val="right"/>
              <w:rPr>
                <w:rFonts w:ascii="Arial"/>
                <w:i/>
                <w:sz w:val="16"/>
              </w:rPr>
            </w:pPr>
            <w:r>
              <w:rPr>
                <w:rFonts w:ascii="Arial"/>
                <w:i/>
                <w:color w:val="484848"/>
                <w:spacing w:val="-4"/>
                <w:sz w:val="16"/>
              </w:rPr>
              <w:t>2022</w:t>
            </w:r>
          </w:p>
        </w:tc>
      </w:tr>
      <w:tr>
        <w:trPr>
          <w:trHeight w:val="261" w:hRule="atLeast"/>
        </w:trPr>
        <w:tc>
          <w:tcPr>
            <w:tcW w:w="5408" w:type="dxa"/>
            <w:tcBorders>
              <w:top w:val="single" w:sz="8" w:space="0" w:color="6C6C6C"/>
            </w:tcBorders>
          </w:tcPr>
          <w:p>
            <w:pPr>
              <w:pStyle w:val="TableParagraph"/>
              <w:spacing w:before="9"/>
              <w:ind w:left="108"/>
              <w:rPr>
                <w:sz w:val="16"/>
              </w:rPr>
            </w:pPr>
            <w:r>
              <w:rPr>
                <w:sz w:val="16"/>
              </w:rPr>
              <w:t>Assets</w:t>
            </w:r>
            <w:r>
              <w:rPr>
                <w:spacing w:val="-4"/>
                <w:sz w:val="16"/>
              </w:rPr>
              <w:t> </w:t>
            </w:r>
            <w:r>
              <w:rPr>
                <w:sz w:val="16"/>
              </w:rPr>
              <w:t>managed</w:t>
            </w:r>
            <w:r>
              <w:rPr>
                <w:spacing w:val="-4"/>
                <w:sz w:val="16"/>
              </w:rPr>
              <w:t> </w:t>
            </w:r>
            <w:r>
              <w:rPr>
                <w:sz w:val="16"/>
              </w:rPr>
              <w:t>under</w:t>
            </w:r>
            <w:r>
              <w:rPr>
                <w:spacing w:val="-3"/>
                <w:sz w:val="16"/>
              </w:rPr>
              <w:t> </w:t>
            </w:r>
            <w:r>
              <w:rPr>
                <w:spacing w:val="-4"/>
                <w:sz w:val="16"/>
              </w:rPr>
              <w:t>RAMP</w:t>
            </w:r>
          </w:p>
        </w:tc>
        <w:tc>
          <w:tcPr>
            <w:tcW w:w="2917" w:type="dxa"/>
            <w:tcBorders>
              <w:top w:val="single" w:sz="8" w:space="0" w:color="6C6C6C"/>
            </w:tcBorders>
          </w:tcPr>
          <w:p>
            <w:pPr>
              <w:pStyle w:val="TableParagraph"/>
              <w:tabs>
                <w:tab w:pos="395" w:val="left" w:leader="none"/>
              </w:tabs>
              <w:spacing w:before="9"/>
              <w:ind w:right="96"/>
              <w:jc w:val="right"/>
              <w:rPr>
                <w:sz w:val="16"/>
              </w:rPr>
            </w:pPr>
            <w:r>
              <w:rPr>
                <w:spacing w:val="-10"/>
                <w:sz w:val="16"/>
              </w:rPr>
              <w:t>$</w:t>
            </w:r>
            <w:r>
              <w:rPr>
                <w:sz w:val="16"/>
              </w:rPr>
              <w:tab/>
            </w:r>
            <w:r>
              <w:rPr>
                <w:spacing w:val="-2"/>
                <w:sz w:val="16"/>
              </w:rPr>
              <w:t>24,010</w:t>
            </w:r>
          </w:p>
        </w:tc>
        <w:tc>
          <w:tcPr>
            <w:tcW w:w="1035" w:type="dxa"/>
            <w:tcBorders>
              <w:top w:val="single" w:sz="8" w:space="0" w:color="6C6C6C"/>
            </w:tcBorders>
          </w:tcPr>
          <w:p>
            <w:pPr>
              <w:pStyle w:val="TableParagraph"/>
              <w:tabs>
                <w:tab w:pos="395" w:val="left" w:leader="none"/>
              </w:tabs>
              <w:spacing w:before="9"/>
              <w:ind w:right="66"/>
              <w:jc w:val="right"/>
              <w:rPr>
                <w:sz w:val="16"/>
              </w:rPr>
            </w:pPr>
            <w:r>
              <w:rPr>
                <w:spacing w:val="-10"/>
                <w:sz w:val="16"/>
              </w:rPr>
              <w:t>$</w:t>
            </w:r>
            <w:r>
              <w:rPr>
                <w:sz w:val="16"/>
              </w:rPr>
              <w:tab/>
            </w:r>
            <w:r>
              <w:rPr>
                <w:spacing w:val="-2"/>
                <w:sz w:val="16"/>
              </w:rPr>
              <w:t>23,884</w:t>
            </w:r>
          </w:p>
        </w:tc>
      </w:tr>
      <w:tr>
        <w:trPr>
          <w:trHeight w:val="333" w:hRule="atLeast"/>
        </w:trPr>
        <w:tc>
          <w:tcPr>
            <w:tcW w:w="5408" w:type="dxa"/>
            <w:tcBorders>
              <w:bottom w:val="single" w:sz="8" w:space="0" w:color="6C6C6C"/>
            </w:tcBorders>
          </w:tcPr>
          <w:p>
            <w:pPr>
              <w:pStyle w:val="TableParagraph"/>
              <w:spacing w:before="63"/>
              <w:ind w:left="108"/>
              <w:rPr>
                <w:sz w:val="16"/>
              </w:rPr>
            </w:pPr>
            <w:r>
              <w:rPr>
                <w:sz w:val="16"/>
              </w:rPr>
              <w:t>Revenue</w:t>
            </w:r>
            <w:r>
              <w:rPr>
                <w:spacing w:val="-4"/>
                <w:sz w:val="16"/>
              </w:rPr>
              <w:t> </w:t>
            </w:r>
            <w:r>
              <w:rPr>
                <w:sz w:val="16"/>
              </w:rPr>
              <w:t>from</w:t>
            </w:r>
            <w:r>
              <w:rPr>
                <w:spacing w:val="-3"/>
                <w:sz w:val="16"/>
              </w:rPr>
              <w:t> </w:t>
            </w:r>
            <w:r>
              <w:rPr>
                <w:spacing w:val="-4"/>
                <w:sz w:val="16"/>
              </w:rPr>
              <w:t>RAMP</w:t>
            </w:r>
          </w:p>
        </w:tc>
        <w:tc>
          <w:tcPr>
            <w:tcW w:w="2917" w:type="dxa"/>
            <w:tcBorders>
              <w:bottom w:val="single" w:sz="8" w:space="0" w:color="6C6C6C"/>
            </w:tcBorders>
          </w:tcPr>
          <w:p>
            <w:pPr>
              <w:pStyle w:val="TableParagraph"/>
              <w:tabs>
                <w:tab w:pos="706" w:val="left" w:leader="none"/>
              </w:tabs>
              <w:spacing w:before="63"/>
              <w:ind w:right="96"/>
              <w:jc w:val="right"/>
              <w:rPr>
                <w:sz w:val="16"/>
              </w:rPr>
            </w:pPr>
            <w:r>
              <w:rPr>
                <w:spacing w:val="-10"/>
                <w:sz w:val="16"/>
              </w:rPr>
              <w:t>$</w:t>
            </w:r>
            <w:r>
              <w:rPr>
                <w:sz w:val="16"/>
              </w:rPr>
              <w:tab/>
            </w:r>
            <w:r>
              <w:rPr>
                <w:spacing w:val="-5"/>
                <w:sz w:val="16"/>
              </w:rPr>
              <w:t>14</w:t>
            </w:r>
          </w:p>
        </w:tc>
        <w:tc>
          <w:tcPr>
            <w:tcW w:w="1035" w:type="dxa"/>
            <w:tcBorders>
              <w:bottom w:val="single" w:sz="8" w:space="0" w:color="6C6C6C"/>
            </w:tcBorders>
          </w:tcPr>
          <w:p>
            <w:pPr>
              <w:pStyle w:val="TableParagraph"/>
              <w:tabs>
                <w:tab w:pos="706" w:val="left" w:leader="none"/>
              </w:tabs>
              <w:spacing w:before="63"/>
              <w:ind w:right="66"/>
              <w:jc w:val="right"/>
              <w:rPr>
                <w:sz w:val="16"/>
              </w:rPr>
            </w:pPr>
            <w:r>
              <w:rPr>
                <w:spacing w:val="-10"/>
                <w:sz w:val="16"/>
              </w:rPr>
              <w:t>$</w:t>
            </w:r>
            <w:r>
              <w:rPr>
                <w:sz w:val="16"/>
              </w:rPr>
              <w:tab/>
            </w:r>
            <w:r>
              <w:rPr>
                <w:spacing w:val="-5"/>
                <w:sz w:val="16"/>
              </w:rPr>
              <w:t>15</w:t>
            </w:r>
          </w:p>
        </w:tc>
      </w:tr>
    </w:tbl>
    <w:p>
      <w:pPr>
        <w:pStyle w:val="TableParagraph"/>
        <w:spacing w:after="0"/>
        <w:jc w:val="right"/>
        <w:rPr>
          <w:sz w:val="16"/>
        </w:rPr>
        <w:sectPr>
          <w:pgSz w:w="12240" w:h="15840"/>
          <w:pgMar w:header="744" w:footer="583" w:top="1020" w:bottom="780" w:left="720" w:right="720"/>
        </w:sectPr>
      </w:pPr>
    </w:p>
    <w:p>
      <w:pPr>
        <w:pStyle w:val="BodyText"/>
        <w:spacing w:before="127"/>
      </w:pPr>
    </w:p>
    <w:p>
      <w:pPr>
        <w:pStyle w:val="BodyText"/>
        <w:spacing w:line="249" w:lineRule="auto" w:before="1"/>
        <w:ind w:left="720" w:right="718"/>
        <w:jc w:val="both"/>
      </w:pPr>
      <w:r>
        <w:rPr/>
        <w:t>As noted in the discussion of Trust Fund Activities above, IBRD, alone or jointly with one or more of its affiliated organizations, administers on donors’ behalf funds restricted for specific uses. This administration is governed by agreements with donors, who include members, their agencies and other entities.</w:t>
      </w:r>
      <w:r>
        <w:rPr>
          <w:spacing w:val="40"/>
        </w:rPr>
        <w:t> </w:t>
      </w:r>
      <w:r>
        <w:rPr/>
        <w:t>These funds are held in trust and are not included on IBRD’s Balance Sheets, except for $588 million of undisbursed third-party contributions made</w:t>
      </w:r>
      <w:r>
        <w:rPr>
          <w:spacing w:val="40"/>
        </w:rPr>
        <w:t> </w:t>
      </w:r>
      <w:r>
        <w:rPr/>
        <w:t>to IBRD-executed trust funds, which are recognized on the Balance Sheets. The funds held in trust by IBRD as administrator and trustee totaled $42.0 billion in FY23, of which $94 million ($108 million in FY22) relates to IBRD’s own contributions to these trust funds (Table 18).</w:t>
      </w:r>
    </w:p>
    <w:p>
      <w:pPr>
        <w:pStyle w:val="BodyText"/>
        <w:rPr>
          <w:sz w:val="1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3"/>
        <w:gridCol w:w="2992"/>
        <w:gridCol w:w="1035"/>
      </w:tblGrid>
      <w:tr>
        <w:trPr>
          <w:trHeight w:val="230" w:hRule="atLeast"/>
        </w:trPr>
        <w:tc>
          <w:tcPr>
            <w:tcW w:w="5333" w:type="dxa"/>
          </w:tcPr>
          <w:p>
            <w:pPr>
              <w:pStyle w:val="TableParagraph"/>
              <w:spacing w:line="201" w:lineRule="exact"/>
              <w:ind w:left="52"/>
              <w:rPr>
                <w:rFonts w:ascii="Arial"/>
                <w:b/>
                <w:sz w:val="18"/>
              </w:rPr>
            </w:pPr>
            <w:bookmarkStart w:name="_bookmark46" w:id="69"/>
            <w:bookmarkEnd w:id="69"/>
            <w:r>
              <w:rPr/>
            </w:r>
            <w:r>
              <w:rPr>
                <w:rFonts w:ascii="Arial"/>
                <w:b/>
                <w:sz w:val="18"/>
              </w:rPr>
              <w:t>Table</w:t>
            </w:r>
            <w:r>
              <w:rPr>
                <w:rFonts w:ascii="Arial"/>
                <w:b/>
                <w:spacing w:val="-1"/>
                <w:sz w:val="18"/>
              </w:rPr>
              <w:t> </w:t>
            </w:r>
            <w:r>
              <w:rPr>
                <w:rFonts w:ascii="Arial"/>
                <w:b/>
                <w:sz w:val="18"/>
              </w:rPr>
              <w:t>18:</w:t>
            </w:r>
            <w:r>
              <w:rPr>
                <w:rFonts w:ascii="Arial"/>
                <w:b/>
                <w:spacing w:val="-1"/>
                <w:sz w:val="18"/>
              </w:rPr>
              <w:t> </w:t>
            </w:r>
            <w:r>
              <w:rPr>
                <w:rFonts w:ascii="Arial"/>
                <w:b/>
                <w:sz w:val="18"/>
              </w:rPr>
              <w:t>Funds</w:t>
            </w:r>
            <w:r>
              <w:rPr>
                <w:rFonts w:ascii="Arial"/>
                <w:b/>
                <w:spacing w:val="-1"/>
                <w:sz w:val="18"/>
              </w:rPr>
              <w:t> </w:t>
            </w:r>
            <w:r>
              <w:rPr>
                <w:rFonts w:ascii="Arial"/>
                <w:b/>
                <w:sz w:val="18"/>
              </w:rPr>
              <w:t>Held</w:t>
            </w:r>
            <w:r>
              <w:rPr>
                <w:rFonts w:ascii="Arial"/>
                <w:b/>
                <w:spacing w:val="-1"/>
                <w:sz w:val="18"/>
              </w:rPr>
              <w:t> </w:t>
            </w:r>
            <w:r>
              <w:rPr>
                <w:rFonts w:ascii="Arial"/>
                <w:b/>
                <w:sz w:val="18"/>
              </w:rPr>
              <w:t>in</w:t>
            </w:r>
            <w:r>
              <w:rPr>
                <w:rFonts w:ascii="Arial"/>
                <w:b/>
                <w:spacing w:val="-1"/>
                <w:sz w:val="18"/>
              </w:rPr>
              <w:t> </w:t>
            </w:r>
            <w:r>
              <w:rPr>
                <w:rFonts w:ascii="Arial"/>
                <w:b/>
                <w:sz w:val="18"/>
              </w:rPr>
              <w:t>Trust</w:t>
            </w:r>
            <w:r>
              <w:rPr>
                <w:rFonts w:ascii="Arial"/>
                <w:b/>
                <w:spacing w:val="-1"/>
                <w:sz w:val="18"/>
              </w:rPr>
              <w:t> </w:t>
            </w:r>
            <w:r>
              <w:rPr>
                <w:rFonts w:ascii="Arial"/>
                <w:b/>
                <w:sz w:val="18"/>
              </w:rPr>
              <w:t>by</w:t>
            </w:r>
            <w:r>
              <w:rPr>
                <w:rFonts w:ascii="Arial"/>
                <w:b/>
                <w:spacing w:val="-1"/>
                <w:sz w:val="18"/>
              </w:rPr>
              <w:t> </w:t>
            </w:r>
            <w:r>
              <w:rPr>
                <w:rFonts w:ascii="Arial"/>
                <w:b/>
                <w:spacing w:val="-4"/>
                <w:sz w:val="18"/>
              </w:rPr>
              <w:t>IBRD</w:t>
            </w:r>
          </w:p>
        </w:tc>
        <w:tc>
          <w:tcPr>
            <w:tcW w:w="2992" w:type="dxa"/>
          </w:tcPr>
          <w:p>
            <w:pPr>
              <w:pStyle w:val="TableParagraph"/>
              <w:rPr>
                <w:rFonts w:ascii="Times New Roman"/>
                <w:sz w:val="16"/>
              </w:rPr>
            </w:pPr>
          </w:p>
        </w:tc>
        <w:tc>
          <w:tcPr>
            <w:tcW w:w="1035" w:type="dxa"/>
          </w:tcPr>
          <w:p>
            <w:pPr>
              <w:pStyle w:val="TableParagraph"/>
              <w:rPr>
                <w:rFonts w:ascii="Times New Roman"/>
                <w:sz w:val="16"/>
              </w:rPr>
            </w:pPr>
          </w:p>
        </w:tc>
      </w:tr>
      <w:tr>
        <w:trPr>
          <w:trHeight w:val="239" w:hRule="atLeast"/>
        </w:trPr>
        <w:tc>
          <w:tcPr>
            <w:tcW w:w="5333" w:type="dxa"/>
          </w:tcPr>
          <w:p>
            <w:pPr>
              <w:pStyle w:val="TableParagraph"/>
              <w:spacing w:before="24"/>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2992" w:type="dxa"/>
          </w:tcPr>
          <w:p>
            <w:pPr>
              <w:pStyle w:val="TableParagraph"/>
              <w:rPr>
                <w:rFonts w:ascii="Times New Roman"/>
                <w:sz w:val="16"/>
              </w:rPr>
            </w:pPr>
          </w:p>
        </w:tc>
        <w:tc>
          <w:tcPr>
            <w:tcW w:w="1035" w:type="dxa"/>
          </w:tcPr>
          <w:p>
            <w:pPr>
              <w:pStyle w:val="TableParagraph"/>
              <w:rPr>
                <w:rFonts w:ascii="Times New Roman"/>
                <w:sz w:val="16"/>
              </w:rPr>
            </w:pPr>
          </w:p>
        </w:tc>
      </w:tr>
      <w:tr>
        <w:trPr>
          <w:trHeight w:val="232" w:hRule="atLeast"/>
        </w:trPr>
        <w:tc>
          <w:tcPr>
            <w:tcW w:w="5333" w:type="dxa"/>
            <w:tcBorders>
              <w:bottom w:val="single" w:sz="8" w:space="0" w:color="6C6C6C"/>
            </w:tcBorders>
          </w:tcPr>
          <w:p>
            <w:pPr>
              <w:pStyle w:val="TableParagraph"/>
              <w:spacing w:before="25"/>
              <w:ind w:left="52"/>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2992" w:type="dxa"/>
            <w:tcBorders>
              <w:bottom w:val="single" w:sz="8" w:space="0" w:color="6C6C6C"/>
            </w:tcBorders>
          </w:tcPr>
          <w:p>
            <w:pPr>
              <w:pStyle w:val="TableParagraph"/>
              <w:spacing w:before="25"/>
              <w:ind w:right="80"/>
              <w:jc w:val="right"/>
              <w:rPr>
                <w:rFonts w:ascii="Arial"/>
                <w:i/>
                <w:sz w:val="16"/>
              </w:rPr>
            </w:pPr>
            <w:r>
              <w:rPr>
                <w:rFonts w:ascii="Arial"/>
                <w:i/>
                <w:color w:val="484848"/>
                <w:spacing w:val="-4"/>
                <w:sz w:val="16"/>
              </w:rPr>
              <w:t>2023</w:t>
            </w:r>
          </w:p>
        </w:tc>
        <w:tc>
          <w:tcPr>
            <w:tcW w:w="1035" w:type="dxa"/>
            <w:tcBorders>
              <w:bottom w:val="single" w:sz="8" w:space="0" w:color="6C6C6C"/>
            </w:tcBorders>
          </w:tcPr>
          <w:p>
            <w:pPr>
              <w:pStyle w:val="TableParagraph"/>
              <w:spacing w:before="25"/>
              <w:ind w:right="50"/>
              <w:jc w:val="right"/>
              <w:rPr>
                <w:rFonts w:ascii="Arial"/>
                <w:i/>
                <w:sz w:val="16"/>
              </w:rPr>
            </w:pPr>
            <w:r>
              <w:rPr>
                <w:rFonts w:ascii="Arial"/>
                <w:i/>
                <w:color w:val="484848"/>
                <w:spacing w:val="-4"/>
                <w:sz w:val="16"/>
              </w:rPr>
              <w:t>2022</w:t>
            </w:r>
          </w:p>
        </w:tc>
      </w:tr>
      <w:tr>
        <w:trPr>
          <w:trHeight w:val="225" w:hRule="atLeast"/>
        </w:trPr>
        <w:tc>
          <w:tcPr>
            <w:tcW w:w="5333" w:type="dxa"/>
            <w:tcBorders>
              <w:top w:val="single" w:sz="8" w:space="0" w:color="6C6C6C"/>
            </w:tcBorders>
          </w:tcPr>
          <w:p>
            <w:pPr>
              <w:pStyle w:val="TableParagraph"/>
              <w:spacing w:before="9"/>
              <w:ind w:left="52"/>
              <w:rPr>
                <w:sz w:val="16"/>
              </w:rPr>
            </w:pPr>
            <w:r>
              <w:rPr>
                <w:spacing w:val="-2"/>
                <w:sz w:val="16"/>
              </w:rPr>
              <w:t>IBRD-executed</w:t>
            </w:r>
          </w:p>
        </w:tc>
        <w:tc>
          <w:tcPr>
            <w:tcW w:w="2992" w:type="dxa"/>
            <w:tcBorders>
              <w:top w:val="single" w:sz="8" w:space="0" w:color="6C6C6C"/>
            </w:tcBorders>
          </w:tcPr>
          <w:p>
            <w:pPr>
              <w:pStyle w:val="TableParagraph"/>
              <w:tabs>
                <w:tab w:pos="617" w:val="left" w:leader="none"/>
              </w:tabs>
              <w:spacing w:before="12"/>
              <w:ind w:right="96"/>
              <w:jc w:val="right"/>
              <w:rPr>
                <w:sz w:val="16"/>
              </w:rPr>
            </w:pPr>
            <w:r>
              <w:rPr>
                <w:spacing w:val="-10"/>
                <w:sz w:val="16"/>
              </w:rPr>
              <w:t>$</w:t>
            </w:r>
            <w:r>
              <w:rPr>
                <w:sz w:val="16"/>
              </w:rPr>
              <w:tab/>
            </w:r>
            <w:r>
              <w:rPr>
                <w:spacing w:val="-5"/>
                <w:sz w:val="16"/>
              </w:rPr>
              <w:t>257</w:t>
            </w:r>
          </w:p>
        </w:tc>
        <w:tc>
          <w:tcPr>
            <w:tcW w:w="1035" w:type="dxa"/>
            <w:tcBorders>
              <w:top w:val="single" w:sz="8" w:space="0" w:color="6C6C6C"/>
            </w:tcBorders>
          </w:tcPr>
          <w:p>
            <w:pPr>
              <w:pStyle w:val="TableParagraph"/>
              <w:tabs>
                <w:tab w:pos="617" w:val="left" w:leader="none"/>
              </w:tabs>
              <w:spacing w:before="12"/>
              <w:ind w:right="66"/>
              <w:jc w:val="right"/>
              <w:rPr>
                <w:sz w:val="16"/>
              </w:rPr>
            </w:pPr>
            <w:r>
              <w:rPr>
                <w:spacing w:val="-10"/>
                <w:sz w:val="16"/>
              </w:rPr>
              <w:t>$</w:t>
            </w:r>
            <w:r>
              <w:rPr>
                <w:sz w:val="16"/>
              </w:rPr>
              <w:tab/>
            </w:r>
            <w:r>
              <w:rPr>
                <w:spacing w:val="-5"/>
                <w:sz w:val="16"/>
              </w:rPr>
              <w:t>249</w:t>
            </w:r>
          </w:p>
        </w:tc>
      </w:tr>
      <w:tr>
        <w:trPr>
          <w:trHeight w:val="240" w:hRule="atLeast"/>
        </w:trPr>
        <w:tc>
          <w:tcPr>
            <w:tcW w:w="5333" w:type="dxa"/>
          </w:tcPr>
          <w:p>
            <w:pPr>
              <w:pStyle w:val="TableParagraph"/>
              <w:spacing w:before="23"/>
              <w:ind w:left="52"/>
              <w:rPr>
                <w:sz w:val="16"/>
              </w:rPr>
            </w:pPr>
            <w:r>
              <w:rPr>
                <w:sz w:val="16"/>
              </w:rPr>
              <w:t>Jointly</w:t>
            </w:r>
            <w:r>
              <w:rPr>
                <w:spacing w:val="-5"/>
                <w:sz w:val="16"/>
              </w:rPr>
              <w:t> </w:t>
            </w:r>
            <w:r>
              <w:rPr>
                <w:sz w:val="16"/>
              </w:rPr>
              <w:t>executed</w:t>
            </w:r>
            <w:r>
              <w:rPr>
                <w:spacing w:val="-6"/>
                <w:sz w:val="16"/>
              </w:rPr>
              <w:t> </w:t>
            </w:r>
            <w:r>
              <w:rPr>
                <w:sz w:val="16"/>
              </w:rPr>
              <w:t>with</w:t>
            </w:r>
            <w:r>
              <w:rPr>
                <w:spacing w:val="-6"/>
                <w:sz w:val="16"/>
              </w:rPr>
              <w:t> </w:t>
            </w:r>
            <w:r>
              <w:rPr>
                <w:sz w:val="16"/>
              </w:rPr>
              <w:t>affiliated</w:t>
            </w:r>
            <w:r>
              <w:rPr>
                <w:spacing w:val="-5"/>
                <w:sz w:val="16"/>
              </w:rPr>
              <w:t> </w:t>
            </w:r>
            <w:r>
              <w:rPr>
                <w:spacing w:val="-2"/>
                <w:sz w:val="16"/>
              </w:rPr>
              <w:t>organizations</w:t>
            </w:r>
          </w:p>
        </w:tc>
        <w:tc>
          <w:tcPr>
            <w:tcW w:w="2992" w:type="dxa"/>
          </w:tcPr>
          <w:p>
            <w:pPr>
              <w:pStyle w:val="TableParagraph"/>
              <w:spacing w:before="27"/>
              <w:ind w:right="96"/>
              <w:jc w:val="right"/>
              <w:rPr>
                <w:sz w:val="16"/>
              </w:rPr>
            </w:pPr>
            <w:r>
              <w:rPr>
                <w:spacing w:val="-2"/>
                <w:sz w:val="16"/>
              </w:rPr>
              <w:t>1,027</w:t>
            </w:r>
          </w:p>
        </w:tc>
        <w:tc>
          <w:tcPr>
            <w:tcW w:w="1035" w:type="dxa"/>
          </w:tcPr>
          <w:p>
            <w:pPr>
              <w:pStyle w:val="TableParagraph"/>
              <w:spacing w:before="27"/>
              <w:ind w:right="66"/>
              <w:jc w:val="right"/>
              <w:rPr>
                <w:sz w:val="16"/>
              </w:rPr>
            </w:pPr>
            <w:r>
              <w:rPr>
                <w:spacing w:val="-2"/>
                <w:sz w:val="16"/>
              </w:rPr>
              <w:t>1,004</w:t>
            </w:r>
          </w:p>
        </w:tc>
      </w:tr>
      <w:tr>
        <w:trPr>
          <w:trHeight w:val="240" w:hRule="atLeast"/>
        </w:trPr>
        <w:tc>
          <w:tcPr>
            <w:tcW w:w="5333" w:type="dxa"/>
          </w:tcPr>
          <w:p>
            <w:pPr>
              <w:pStyle w:val="TableParagraph"/>
              <w:spacing w:before="23"/>
              <w:ind w:left="52"/>
              <w:rPr>
                <w:sz w:val="16"/>
              </w:rPr>
            </w:pPr>
            <w:r>
              <w:rPr>
                <w:spacing w:val="-2"/>
                <w:sz w:val="16"/>
              </w:rPr>
              <w:t>Recipient-executed</w:t>
            </w:r>
          </w:p>
        </w:tc>
        <w:tc>
          <w:tcPr>
            <w:tcW w:w="2992" w:type="dxa"/>
          </w:tcPr>
          <w:p>
            <w:pPr>
              <w:pStyle w:val="TableParagraph"/>
              <w:spacing w:before="27"/>
              <w:ind w:right="96"/>
              <w:jc w:val="right"/>
              <w:rPr>
                <w:sz w:val="16"/>
              </w:rPr>
            </w:pPr>
            <w:r>
              <w:rPr>
                <w:spacing w:val="-2"/>
                <w:sz w:val="16"/>
              </w:rPr>
              <w:t>3,142</w:t>
            </w:r>
          </w:p>
        </w:tc>
        <w:tc>
          <w:tcPr>
            <w:tcW w:w="1035" w:type="dxa"/>
          </w:tcPr>
          <w:p>
            <w:pPr>
              <w:pStyle w:val="TableParagraph"/>
              <w:spacing w:before="27"/>
              <w:ind w:right="66"/>
              <w:jc w:val="right"/>
              <w:rPr>
                <w:sz w:val="16"/>
              </w:rPr>
            </w:pPr>
            <w:r>
              <w:rPr>
                <w:spacing w:val="-2"/>
                <w:sz w:val="16"/>
              </w:rPr>
              <w:t>2,965</w:t>
            </w:r>
          </w:p>
        </w:tc>
      </w:tr>
      <w:tr>
        <w:trPr>
          <w:trHeight w:val="229" w:hRule="atLeast"/>
        </w:trPr>
        <w:tc>
          <w:tcPr>
            <w:tcW w:w="5333" w:type="dxa"/>
          </w:tcPr>
          <w:p>
            <w:pPr>
              <w:pStyle w:val="TableParagraph"/>
              <w:spacing w:before="23"/>
              <w:ind w:left="52"/>
              <w:rPr>
                <w:sz w:val="16"/>
              </w:rPr>
            </w:pPr>
            <w:r>
              <w:rPr>
                <w:sz w:val="16"/>
              </w:rPr>
              <w:t>Financial</w:t>
            </w:r>
            <w:r>
              <w:rPr>
                <w:spacing w:val="-9"/>
                <w:sz w:val="16"/>
              </w:rPr>
              <w:t> </w:t>
            </w:r>
            <w:r>
              <w:rPr>
                <w:sz w:val="16"/>
              </w:rPr>
              <w:t>intermediary</w:t>
            </w:r>
            <w:r>
              <w:rPr>
                <w:spacing w:val="-7"/>
                <w:sz w:val="16"/>
              </w:rPr>
              <w:t> </w:t>
            </w:r>
            <w:r>
              <w:rPr>
                <w:spacing w:val="-4"/>
                <w:sz w:val="16"/>
              </w:rPr>
              <w:t>funds</w:t>
            </w:r>
          </w:p>
        </w:tc>
        <w:tc>
          <w:tcPr>
            <w:tcW w:w="2992" w:type="dxa"/>
          </w:tcPr>
          <w:p>
            <w:pPr>
              <w:pStyle w:val="TableParagraph"/>
              <w:spacing w:line="182" w:lineRule="exact" w:before="27"/>
              <w:ind w:right="96"/>
              <w:jc w:val="right"/>
              <w:rPr>
                <w:sz w:val="16"/>
              </w:rPr>
            </w:pPr>
            <w:r>
              <w:rPr>
                <w:spacing w:val="-2"/>
                <w:sz w:val="16"/>
              </w:rPr>
              <w:t>28,060</w:t>
            </w:r>
          </w:p>
        </w:tc>
        <w:tc>
          <w:tcPr>
            <w:tcW w:w="1035" w:type="dxa"/>
          </w:tcPr>
          <w:p>
            <w:pPr>
              <w:pStyle w:val="TableParagraph"/>
              <w:spacing w:line="182" w:lineRule="exact" w:before="27"/>
              <w:ind w:right="66"/>
              <w:jc w:val="right"/>
              <w:rPr>
                <w:sz w:val="16"/>
              </w:rPr>
            </w:pPr>
            <w:r>
              <w:rPr>
                <w:spacing w:val="-2"/>
                <w:sz w:val="16"/>
              </w:rPr>
              <w:t>22,399</w:t>
            </w:r>
          </w:p>
        </w:tc>
      </w:tr>
      <w:tr>
        <w:trPr>
          <w:trHeight w:val="265" w:hRule="atLeast"/>
        </w:trPr>
        <w:tc>
          <w:tcPr>
            <w:tcW w:w="5333" w:type="dxa"/>
          </w:tcPr>
          <w:p>
            <w:pPr>
              <w:pStyle w:val="TableParagraph"/>
              <w:spacing w:before="34"/>
              <w:ind w:left="52"/>
              <w:rPr>
                <w:sz w:val="16"/>
              </w:rPr>
            </w:pPr>
            <w:r>
              <w:rPr>
                <w:sz w:val="16"/>
              </w:rPr>
              <w:t>Execution</w:t>
            </w:r>
            <w:r>
              <w:rPr>
                <w:spacing w:val="-4"/>
                <w:sz w:val="16"/>
              </w:rPr>
              <w:t> </w:t>
            </w:r>
            <w:r>
              <w:rPr>
                <w:sz w:val="16"/>
              </w:rPr>
              <w:t>not</w:t>
            </w:r>
            <w:r>
              <w:rPr>
                <w:spacing w:val="-4"/>
                <w:sz w:val="16"/>
              </w:rPr>
              <w:t> </w:t>
            </w:r>
            <w:r>
              <w:rPr>
                <w:sz w:val="16"/>
              </w:rPr>
              <w:t>yet</w:t>
            </w:r>
            <w:r>
              <w:rPr>
                <w:spacing w:val="-3"/>
                <w:sz w:val="16"/>
              </w:rPr>
              <w:t> </w:t>
            </w:r>
            <w:r>
              <w:rPr>
                <w:sz w:val="16"/>
              </w:rPr>
              <w:t>assigned</w:t>
            </w:r>
            <w:r>
              <w:rPr>
                <w:spacing w:val="-4"/>
                <w:sz w:val="16"/>
              </w:rPr>
              <w:t> </w:t>
            </w:r>
            <w:r>
              <w:rPr>
                <w:spacing w:val="-10"/>
                <w:sz w:val="16"/>
                <w:vertAlign w:val="superscript"/>
              </w:rPr>
              <w:t>a</w:t>
            </w:r>
          </w:p>
        </w:tc>
        <w:tc>
          <w:tcPr>
            <w:tcW w:w="2992" w:type="dxa"/>
          </w:tcPr>
          <w:p>
            <w:pPr>
              <w:pStyle w:val="TableParagraph"/>
              <w:spacing w:before="38"/>
              <w:ind w:right="96"/>
              <w:jc w:val="right"/>
              <w:rPr>
                <w:sz w:val="16"/>
              </w:rPr>
            </w:pPr>
            <w:r>
              <w:rPr>
                <w:sz w:val="16"/>
              </w:rPr>
              <mc:AlternateContent>
                <mc:Choice Requires="wps">
                  <w:drawing>
                    <wp:anchor distT="0" distB="0" distL="0" distR="0" allowOverlap="1" layoutInCell="1" locked="0" behindDoc="0" simplePos="0" relativeHeight="15782912">
                      <wp:simplePos x="0" y="0"/>
                      <wp:positionH relativeFrom="column">
                        <wp:posOffset>1242748</wp:posOffset>
                      </wp:positionH>
                      <wp:positionV relativeFrom="paragraph">
                        <wp:posOffset>155878</wp:posOffset>
                      </wp:positionV>
                      <wp:extent cx="1314450" cy="1270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1314450" cy="12700"/>
                                <a:chExt cx="1314450" cy="12700"/>
                              </a:xfrm>
                            </wpg:grpSpPr>
                            <wps:wsp>
                              <wps:cNvPr id="325" name="Graphic 325"/>
                              <wps:cNvSpPr/>
                              <wps:spPr>
                                <a:xfrm>
                                  <a:off x="0" y="6350"/>
                                  <a:ext cx="1314450" cy="1270"/>
                                </a:xfrm>
                                <a:custGeom>
                                  <a:avLst/>
                                  <a:gdLst/>
                                  <a:ahLst/>
                                  <a:cxnLst/>
                                  <a:rect l="l" t="t" r="r" b="b"/>
                                  <a:pathLst>
                                    <a:path w="1314450" h="0">
                                      <a:moveTo>
                                        <a:pt x="0" y="0"/>
                                      </a:moveTo>
                                      <a:lnTo>
                                        <a:pt x="638175" y="0"/>
                                      </a:lnTo>
                                    </a:path>
                                    <a:path w="1314450" h="0">
                                      <a:moveTo>
                                        <a:pt x="676275" y="0"/>
                                      </a:moveTo>
                                      <a:lnTo>
                                        <a:pt x="1314450" y="0"/>
                                      </a:lnTo>
                                    </a:path>
                                  </a:pathLst>
                                </a:custGeom>
                                <a:ln w="12700">
                                  <a:solidFill>
                                    <a:srgbClr val="6C6C6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85424pt;margin-top:12.273901pt;width:103.5pt;height:1pt;mso-position-horizontal-relative:column;mso-position-vertical-relative:paragraph;z-index:15782912" id="docshapegroup258" coordorigin="1957,245" coordsize="2070,20">
                      <v:shape style="position:absolute;left:1957;top:255;width:2070;height:2" id="docshape259" coordorigin="1957,255" coordsize="2070,0" path="m1957,255l2962,255m3022,255l4027,255e" filled="false" stroked="true" strokeweight="1pt" strokecolor="#6c6c6c">
                        <v:path arrowok="t"/>
                        <v:stroke dashstyle="solid"/>
                      </v:shape>
                      <w10:wrap type="none"/>
                    </v:group>
                  </w:pict>
                </mc:Fallback>
              </mc:AlternateContent>
            </w:r>
            <w:r>
              <w:rPr>
                <w:spacing w:val="-2"/>
                <w:sz w:val="16"/>
              </w:rPr>
              <w:t>9,554</w:t>
            </w:r>
          </w:p>
        </w:tc>
        <w:tc>
          <w:tcPr>
            <w:tcW w:w="1035" w:type="dxa"/>
          </w:tcPr>
          <w:p>
            <w:pPr>
              <w:pStyle w:val="TableParagraph"/>
              <w:spacing w:before="38"/>
              <w:ind w:right="66"/>
              <w:jc w:val="right"/>
              <w:rPr>
                <w:sz w:val="16"/>
              </w:rPr>
            </w:pPr>
            <w:r>
              <w:rPr>
                <w:spacing w:val="-2"/>
                <w:sz w:val="16"/>
              </w:rPr>
              <w:t>7,114</w:t>
            </w:r>
          </w:p>
        </w:tc>
      </w:tr>
    </w:tbl>
    <w:p>
      <w:pPr>
        <w:tabs>
          <w:tab w:pos="8009" w:val="left" w:leader="none"/>
        </w:tabs>
        <w:spacing w:before="15"/>
        <w:ind w:left="772" w:right="0" w:firstLine="0"/>
        <w:jc w:val="both"/>
        <w:rPr>
          <w:rFonts w:ascii="Arial"/>
          <w:b/>
          <w:sz w:val="16"/>
        </w:rPr>
      </w:pPr>
      <w:r>
        <w:rPr>
          <w:rFonts w:ascii="Arial"/>
          <w:b/>
          <w:sz w:val="16"/>
        </w:rPr>
        <mc:AlternateContent>
          <mc:Choice Requires="wps">
            <w:drawing>
              <wp:anchor distT="0" distB="0" distL="0" distR="0" allowOverlap="1" layoutInCell="1" locked="0" behindDoc="1" simplePos="0" relativeHeight="487641088">
                <wp:simplePos x="0" y="0"/>
                <wp:positionH relativeFrom="page">
                  <wp:posOffset>5543550</wp:posOffset>
                </wp:positionH>
                <wp:positionV relativeFrom="paragraph">
                  <wp:posOffset>160368</wp:posOffset>
                </wp:positionV>
                <wp:extent cx="131445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1314450" cy="1270"/>
                        </a:xfrm>
                        <a:custGeom>
                          <a:avLst/>
                          <a:gdLst/>
                          <a:ahLst/>
                          <a:cxnLst/>
                          <a:rect l="l" t="t" r="r" b="b"/>
                          <a:pathLst>
                            <a:path w="1314450" h="0">
                              <a:moveTo>
                                <a:pt x="0" y="0"/>
                              </a:moveTo>
                              <a:lnTo>
                                <a:pt x="638175" y="0"/>
                              </a:lnTo>
                            </a:path>
                            <a:path w="1314450" h="0">
                              <a:moveTo>
                                <a:pt x="676275" y="0"/>
                              </a:moveTo>
                              <a:lnTo>
                                <a:pt x="131445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436.5pt;margin-top:12.627441pt;width:103.5pt;height:.1pt;mso-position-horizontal-relative:page;mso-position-vertical-relative:paragraph;z-index:-15675392;mso-wrap-distance-left:0;mso-wrap-distance-right:0" id="docshape260" coordorigin="8730,253" coordsize="2070,0" path="m8730,253l9735,253m9795,253l10800,253e" filled="false" stroked="true" strokeweight="1pt" strokecolor="#6c6c6c">
                <v:path arrowok="t"/>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641600">
                <wp:simplePos x="0" y="0"/>
                <wp:positionH relativeFrom="page">
                  <wp:posOffset>914400</wp:posOffset>
                </wp:positionH>
                <wp:positionV relativeFrom="paragraph">
                  <wp:posOffset>290543</wp:posOffset>
                </wp:positionV>
                <wp:extent cx="5943600" cy="127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877441pt;width:468pt;height:.1pt;mso-position-horizontal-relative:page;mso-position-vertical-relative:paragraph;z-index:-15674880;mso-wrap-distance-left:0;mso-wrap-distance-right:0" id="docshape261" coordorigin="1440,458" coordsize="9360,0" path="m1440,458l10800,458e" filled="false" stroked="true" strokeweight="1pt" strokecolor="#6c6c6c">
                <v:path arrowok="t"/>
                <v:stroke dashstyle="solid"/>
                <w10:wrap type="topAndBottom"/>
              </v:shape>
            </w:pict>
          </mc:Fallback>
        </mc:AlternateContent>
      </w:r>
      <w:r>
        <w:rPr>
          <w:rFonts w:ascii="Arial"/>
          <w:b/>
          <w:sz w:val="16"/>
        </w:rPr>
        <w:t>Total</w:t>
      </w:r>
      <w:r>
        <w:rPr>
          <w:rFonts w:ascii="Arial"/>
          <w:b/>
          <w:spacing w:val="-7"/>
          <w:sz w:val="16"/>
        </w:rPr>
        <w:t> </w:t>
      </w:r>
      <w:r>
        <w:rPr>
          <w:rFonts w:ascii="Arial"/>
          <w:b/>
          <w:sz w:val="16"/>
        </w:rPr>
        <w:t>fiduciary</w:t>
      </w:r>
      <w:r>
        <w:rPr>
          <w:rFonts w:ascii="Arial"/>
          <w:b/>
          <w:spacing w:val="-4"/>
          <w:sz w:val="16"/>
        </w:rPr>
        <w:t> </w:t>
      </w:r>
      <w:r>
        <w:rPr>
          <w:rFonts w:ascii="Arial"/>
          <w:b/>
          <w:spacing w:val="-2"/>
          <w:sz w:val="16"/>
        </w:rPr>
        <w:t>assets</w:t>
      </w:r>
      <w:r>
        <w:rPr>
          <w:rFonts w:ascii="Arial"/>
          <w:b/>
          <w:sz w:val="16"/>
        </w:rPr>
        <w:tab/>
      </w:r>
      <w:r>
        <w:rPr>
          <w:rFonts w:ascii="Arial"/>
          <w:b/>
          <w:spacing w:val="12"/>
          <w:sz w:val="16"/>
          <w:u w:val="single" w:color="6C6C6C"/>
        </w:rPr>
        <w:t> </w:t>
      </w:r>
      <w:r>
        <w:rPr>
          <w:rFonts w:ascii="Arial"/>
          <w:b/>
          <w:sz w:val="16"/>
          <w:u w:val="single" w:color="6C6C6C"/>
        </w:rPr>
        <w:t>$</w:t>
      </w:r>
      <w:r>
        <w:rPr>
          <w:rFonts w:ascii="Arial"/>
          <w:b/>
          <w:spacing w:val="58"/>
          <w:sz w:val="16"/>
          <w:u w:val="single" w:color="6C6C6C"/>
        </w:rPr>
        <w:t>   </w:t>
      </w:r>
      <w:r>
        <w:rPr>
          <w:rFonts w:ascii="Arial"/>
          <w:b/>
          <w:sz w:val="16"/>
          <w:u w:val="single" w:color="6C6C6C"/>
        </w:rPr>
        <w:t>42,040</w:t>
      </w:r>
      <w:r>
        <w:rPr>
          <w:rFonts w:ascii="Arial"/>
          <w:b/>
          <w:spacing w:val="46"/>
          <w:sz w:val="16"/>
          <w:u w:val="single" w:color="6C6C6C"/>
        </w:rPr>
        <w:t>  </w:t>
      </w:r>
      <w:r>
        <w:rPr>
          <w:rFonts w:ascii="Arial"/>
          <w:b/>
          <w:sz w:val="16"/>
          <w:u w:val="single" w:color="6C6C6C"/>
        </w:rPr>
        <w:t>$</w:t>
      </w:r>
      <w:r>
        <w:rPr>
          <w:rFonts w:ascii="Arial"/>
          <w:b/>
          <w:spacing w:val="58"/>
          <w:sz w:val="16"/>
          <w:u w:val="single" w:color="6C6C6C"/>
        </w:rPr>
        <w:t>   </w:t>
      </w:r>
      <w:r>
        <w:rPr>
          <w:rFonts w:ascii="Arial"/>
          <w:b/>
          <w:sz w:val="16"/>
          <w:u w:val="single" w:color="6C6C6C"/>
        </w:rPr>
        <w:t>33,731</w:t>
      </w:r>
    </w:p>
    <w:p>
      <w:pPr>
        <w:pStyle w:val="BodyText"/>
        <w:spacing w:before="10"/>
        <w:rPr>
          <w:rFonts w:ascii="Arial"/>
          <w:b/>
          <w:sz w:val="14"/>
        </w:rPr>
      </w:pPr>
    </w:p>
    <w:p>
      <w:pPr>
        <w:spacing w:before="12"/>
        <w:ind w:left="772" w:right="0" w:firstLine="0"/>
        <w:jc w:val="both"/>
        <w:rPr>
          <w:rFonts w:ascii="Arial"/>
          <w:i/>
          <w:sz w:val="16"/>
        </w:rPr>
      </w:pPr>
      <w:r>
        <w:rPr>
          <w:rFonts w:ascii="Arial"/>
          <w:i/>
          <w:sz w:val="16"/>
        </w:rPr>
        <w:t>a.These</w:t>
      </w:r>
      <w:r>
        <w:rPr>
          <w:rFonts w:ascii="Arial"/>
          <w:i/>
          <w:spacing w:val="-6"/>
          <w:sz w:val="16"/>
        </w:rPr>
        <w:t> </w:t>
      </w:r>
      <w:r>
        <w:rPr>
          <w:rFonts w:ascii="Arial"/>
          <w:i/>
          <w:sz w:val="16"/>
        </w:rPr>
        <w:t>represent</w:t>
      </w:r>
      <w:r>
        <w:rPr>
          <w:rFonts w:ascii="Arial"/>
          <w:i/>
          <w:spacing w:val="-2"/>
          <w:sz w:val="16"/>
        </w:rPr>
        <w:t> </w:t>
      </w:r>
      <w:r>
        <w:rPr>
          <w:rFonts w:ascii="Arial"/>
          <w:i/>
          <w:sz w:val="16"/>
        </w:rPr>
        <w:t>assets</w:t>
      </w:r>
      <w:r>
        <w:rPr>
          <w:rFonts w:ascii="Arial"/>
          <w:i/>
          <w:spacing w:val="-2"/>
          <w:sz w:val="16"/>
        </w:rPr>
        <w:t> </w:t>
      </w:r>
      <w:r>
        <w:rPr>
          <w:rFonts w:ascii="Arial"/>
          <w:i/>
          <w:sz w:val="16"/>
        </w:rPr>
        <w:t>held</w:t>
      </w:r>
      <w:r>
        <w:rPr>
          <w:rFonts w:ascii="Arial"/>
          <w:i/>
          <w:spacing w:val="-3"/>
          <w:sz w:val="16"/>
        </w:rPr>
        <w:t> </w:t>
      </w:r>
      <w:r>
        <w:rPr>
          <w:rFonts w:ascii="Arial"/>
          <w:i/>
          <w:sz w:val="16"/>
        </w:rPr>
        <w:t>in</w:t>
      </w:r>
      <w:r>
        <w:rPr>
          <w:rFonts w:ascii="Arial"/>
          <w:i/>
          <w:spacing w:val="-3"/>
          <w:sz w:val="16"/>
        </w:rPr>
        <w:t> </w:t>
      </w:r>
      <w:r>
        <w:rPr>
          <w:rFonts w:ascii="Arial"/>
          <w:i/>
          <w:sz w:val="16"/>
        </w:rPr>
        <w:t>trust</w:t>
      </w:r>
      <w:r>
        <w:rPr>
          <w:rFonts w:ascii="Arial"/>
          <w:i/>
          <w:spacing w:val="-2"/>
          <w:sz w:val="16"/>
        </w:rPr>
        <w:t> </w:t>
      </w:r>
      <w:r>
        <w:rPr>
          <w:rFonts w:ascii="Arial"/>
          <w:i/>
          <w:sz w:val="16"/>
        </w:rPr>
        <w:t>for</w:t>
      </w:r>
      <w:r>
        <w:rPr>
          <w:rFonts w:ascii="Arial"/>
          <w:i/>
          <w:spacing w:val="-2"/>
          <w:sz w:val="16"/>
        </w:rPr>
        <w:t> </w:t>
      </w:r>
      <w:r>
        <w:rPr>
          <w:rFonts w:ascii="Arial"/>
          <w:i/>
          <w:sz w:val="16"/>
        </w:rPr>
        <w:t>which</w:t>
      </w:r>
      <w:r>
        <w:rPr>
          <w:rFonts w:ascii="Arial"/>
          <w:i/>
          <w:spacing w:val="-3"/>
          <w:sz w:val="16"/>
        </w:rPr>
        <w:t> </w:t>
      </w:r>
      <w:r>
        <w:rPr>
          <w:rFonts w:ascii="Arial"/>
          <w:i/>
          <w:sz w:val="16"/>
        </w:rPr>
        <w:t>the</w:t>
      </w:r>
      <w:r>
        <w:rPr>
          <w:rFonts w:ascii="Arial"/>
          <w:i/>
          <w:spacing w:val="-3"/>
          <w:sz w:val="16"/>
        </w:rPr>
        <w:t> </w:t>
      </w:r>
      <w:r>
        <w:rPr>
          <w:rFonts w:ascii="Arial"/>
          <w:i/>
          <w:sz w:val="16"/>
        </w:rPr>
        <w:t>determination</w:t>
      </w:r>
      <w:r>
        <w:rPr>
          <w:rFonts w:ascii="Arial"/>
          <w:i/>
          <w:spacing w:val="-3"/>
          <w:sz w:val="16"/>
        </w:rPr>
        <w:t> </w:t>
      </w:r>
      <w:r>
        <w:rPr>
          <w:rFonts w:ascii="Arial"/>
          <w:i/>
          <w:sz w:val="16"/>
        </w:rPr>
        <w:t>as</w:t>
      </w:r>
      <w:r>
        <w:rPr>
          <w:rFonts w:ascii="Arial"/>
          <w:i/>
          <w:spacing w:val="-2"/>
          <w:sz w:val="16"/>
        </w:rPr>
        <w:t> </w:t>
      </w:r>
      <w:r>
        <w:rPr>
          <w:rFonts w:ascii="Arial"/>
          <w:i/>
          <w:sz w:val="16"/>
        </w:rPr>
        <w:t>to</w:t>
      </w:r>
      <w:r>
        <w:rPr>
          <w:rFonts w:ascii="Arial"/>
          <w:i/>
          <w:spacing w:val="-3"/>
          <w:sz w:val="16"/>
        </w:rPr>
        <w:t> </w:t>
      </w:r>
      <w:r>
        <w:rPr>
          <w:rFonts w:ascii="Arial"/>
          <w:i/>
          <w:sz w:val="16"/>
        </w:rPr>
        <w:t>the</w:t>
      </w:r>
      <w:r>
        <w:rPr>
          <w:rFonts w:ascii="Arial"/>
          <w:i/>
          <w:spacing w:val="-3"/>
          <w:sz w:val="16"/>
        </w:rPr>
        <w:t> </w:t>
      </w:r>
      <w:r>
        <w:rPr>
          <w:rFonts w:ascii="Arial"/>
          <w:i/>
          <w:sz w:val="16"/>
        </w:rPr>
        <w:t>type</w:t>
      </w:r>
      <w:r>
        <w:rPr>
          <w:rFonts w:ascii="Arial"/>
          <w:i/>
          <w:spacing w:val="-3"/>
          <w:sz w:val="16"/>
        </w:rPr>
        <w:t> </w:t>
      </w:r>
      <w:r>
        <w:rPr>
          <w:rFonts w:ascii="Arial"/>
          <w:i/>
          <w:sz w:val="16"/>
        </w:rPr>
        <w:t>of</w:t>
      </w:r>
      <w:r>
        <w:rPr>
          <w:rFonts w:ascii="Arial"/>
          <w:i/>
          <w:spacing w:val="-2"/>
          <w:sz w:val="16"/>
        </w:rPr>
        <w:t> </w:t>
      </w:r>
      <w:r>
        <w:rPr>
          <w:rFonts w:ascii="Arial"/>
          <w:i/>
          <w:sz w:val="16"/>
        </w:rPr>
        <w:t>execution</w:t>
      </w:r>
      <w:r>
        <w:rPr>
          <w:rFonts w:ascii="Arial"/>
          <w:i/>
          <w:spacing w:val="-3"/>
          <w:sz w:val="16"/>
        </w:rPr>
        <w:t> </w:t>
      </w:r>
      <w:r>
        <w:rPr>
          <w:rFonts w:ascii="Arial"/>
          <w:i/>
          <w:sz w:val="16"/>
        </w:rPr>
        <w:t>is</w:t>
      </w:r>
      <w:r>
        <w:rPr>
          <w:rFonts w:ascii="Arial"/>
          <w:i/>
          <w:spacing w:val="-2"/>
          <w:sz w:val="16"/>
        </w:rPr>
        <w:t> </w:t>
      </w:r>
      <w:r>
        <w:rPr>
          <w:rFonts w:ascii="Arial"/>
          <w:i/>
          <w:sz w:val="16"/>
        </w:rPr>
        <w:t>yet</w:t>
      </w:r>
      <w:r>
        <w:rPr>
          <w:rFonts w:ascii="Arial"/>
          <w:i/>
          <w:spacing w:val="-2"/>
          <w:sz w:val="16"/>
        </w:rPr>
        <w:t> </w:t>
      </w:r>
      <w:r>
        <w:rPr>
          <w:rFonts w:ascii="Arial"/>
          <w:i/>
          <w:sz w:val="16"/>
        </w:rPr>
        <w:t>to</w:t>
      </w:r>
      <w:r>
        <w:rPr>
          <w:rFonts w:ascii="Arial"/>
          <w:i/>
          <w:spacing w:val="-3"/>
          <w:sz w:val="16"/>
        </w:rPr>
        <w:t> </w:t>
      </w:r>
      <w:r>
        <w:rPr>
          <w:rFonts w:ascii="Arial"/>
          <w:i/>
          <w:sz w:val="16"/>
        </w:rPr>
        <w:t>be</w:t>
      </w:r>
      <w:r>
        <w:rPr>
          <w:rFonts w:ascii="Arial"/>
          <w:i/>
          <w:spacing w:val="-3"/>
          <w:sz w:val="16"/>
        </w:rPr>
        <w:t> </w:t>
      </w:r>
      <w:r>
        <w:rPr>
          <w:rFonts w:ascii="Arial"/>
          <w:i/>
          <w:spacing w:val="-2"/>
          <w:sz w:val="16"/>
        </w:rPr>
        <w:t>finalized.</w:t>
      </w:r>
    </w:p>
    <w:p>
      <w:pPr>
        <w:spacing w:after="0"/>
        <w:jc w:val="both"/>
        <w:rPr>
          <w:rFonts w:ascii="Arial"/>
          <w:i/>
          <w:sz w:val="16"/>
        </w:rPr>
        <w:sectPr>
          <w:pgSz w:w="12240" w:h="15840"/>
          <w:pgMar w:header="744" w:footer="713" w:top="1020" w:bottom="900" w:left="720" w:right="720"/>
        </w:sectPr>
      </w:pPr>
    </w:p>
    <w:p>
      <w:pPr>
        <w:pStyle w:val="BodyText"/>
        <w:spacing w:before="77"/>
        <w:rPr>
          <w:rFonts w:ascii="Arial"/>
          <w:i/>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42624">
                <wp:simplePos x="0" y="0"/>
                <wp:positionH relativeFrom="page">
                  <wp:posOffset>914400</wp:posOffset>
                </wp:positionH>
                <wp:positionV relativeFrom="paragraph">
                  <wp:posOffset>233062</wp:posOffset>
                </wp:positionV>
                <wp:extent cx="5943600" cy="1270"/>
                <wp:effectExtent l="0" t="0" r="0" b="0"/>
                <wp:wrapTopAndBottom/>
                <wp:docPr id="342" name="Graphic 342"/>
                <wp:cNvGraphicFramePr>
                  <a:graphicFrameLocks/>
                </wp:cNvGraphicFramePr>
                <a:graphic>
                  <a:graphicData uri="http://schemas.microsoft.com/office/word/2010/wordprocessingShape">
                    <wps:wsp>
                      <wps:cNvPr id="342" name="Graphic 34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73856;mso-wrap-distance-left:0;mso-wrap-distance-right:0" id="docshape274" coordorigin="1440,367" coordsize="9360,0" path="m1440,367l10800,367e" filled="false" stroked="true" strokeweight="1pt" strokecolor="#000000">
                <v:path arrowok="t"/>
                <v:stroke dashstyle="solid"/>
                <w10:wrap type="topAndBottom"/>
              </v:shape>
            </w:pict>
          </mc:Fallback>
        </mc:AlternateContent>
      </w:r>
      <w:bookmarkStart w:name="Section VI: Investment Activities" w:id="70"/>
      <w:bookmarkEnd w:id="70"/>
      <w:r>
        <w:rPr/>
      </w:r>
      <w:r>
        <w:rPr>
          <w:rFonts w:ascii="Arial"/>
          <w:b/>
          <w:sz w:val="28"/>
        </w:rPr>
        <w:t>Section</w:t>
      </w:r>
      <w:r>
        <w:rPr>
          <w:rFonts w:ascii="Arial"/>
          <w:b/>
          <w:spacing w:val="-3"/>
          <w:sz w:val="28"/>
        </w:rPr>
        <w:t> </w:t>
      </w:r>
      <w:r>
        <w:rPr>
          <w:rFonts w:ascii="Arial"/>
          <w:b/>
          <w:sz w:val="28"/>
        </w:rPr>
        <w:t>VI:</w:t>
      </w:r>
      <w:r>
        <w:rPr>
          <w:rFonts w:ascii="Arial"/>
          <w:b/>
          <w:spacing w:val="-2"/>
          <w:sz w:val="28"/>
        </w:rPr>
        <w:t> </w:t>
      </w:r>
      <w:r>
        <w:rPr>
          <w:rFonts w:ascii="Arial"/>
          <w:b/>
          <w:sz w:val="28"/>
        </w:rPr>
        <w:t>Investment</w:t>
      </w:r>
      <w:r>
        <w:rPr>
          <w:rFonts w:ascii="Arial"/>
          <w:b/>
          <w:spacing w:val="-2"/>
          <w:sz w:val="28"/>
        </w:rPr>
        <w:t> Activities</w:t>
      </w:r>
    </w:p>
    <w:p>
      <w:pPr>
        <w:pStyle w:val="BodyText"/>
        <w:spacing w:line="232" w:lineRule="auto" w:before="167"/>
        <w:ind w:left="720" w:right="719"/>
        <w:jc w:val="both"/>
      </w:pPr>
      <w:r>
        <w:rPr/>
        <w:t>IBRD’s investment portfolio consists mainly of the liquid asset portfolio. As of June 30, 2023, the net investment portfolio totaled $79.2 billion with $75.4 billion representing the liquid asset portfolio. This compares with $82.1 billion a year earlier, of which $78.8 billion represented the liquid asset portfolio (see Note C: Investments in the Notes to the Financial Statements). The decreased level of liquidity reflects the lower debt service requirements and higher loan disbursements during the year.</w:t>
      </w:r>
    </w:p>
    <w:p>
      <w:pPr>
        <w:spacing w:before="157"/>
        <w:ind w:left="720" w:right="0" w:firstLine="0"/>
        <w:jc w:val="both"/>
        <w:rPr>
          <w:rFonts w:ascii="Arial"/>
          <w:b/>
          <w:sz w:val="24"/>
        </w:rPr>
      </w:pPr>
      <w:bookmarkStart w:name="Liquid Asset Portfolio" w:id="71"/>
      <w:bookmarkEnd w:id="71"/>
      <w:r>
        <w:rPr/>
      </w:r>
      <w:bookmarkStart w:name="_bookmark47" w:id="72"/>
      <w:bookmarkEnd w:id="72"/>
      <w:r>
        <w:rPr/>
      </w:r>
      <w:r>
        <w:rPr>
          <w:rFonts w:ascii="Arial"/>
          <w:b/>
          <w:sz w:val="24"/>
        </w:rPr>
        <w:t>Liquid</w:t>
      </w:r>
      <w:r>
        <w:rPr>
          <w:rFonts w:ascii="Arial"/>
          <w:b/>
          <w:spacing w:val="-4"/>
          <w:sz w:val="24"/>
        </w:rPr>
        <w:t> </w:t>
      </w:r>
      <w:r>
        <w:rPr>
          <w:rFonts w:ascii="Arial"/>
          <w:b/>
          <w:sz w:val="24"/>
        </w:rPr>
        <w:t>Asset</w:t>
      </w:r>
      <w:r>
        <w:rPr>
          <w:rFonts w:ascii="Arial"/>
          <w:b/>
          <w:spacing w:val="-2"/>
          <w:sz w:val="24"/>
        </w:rPr>
        <w:t> Portfolio</w:t>
      </w:r>
    </w:p>
    <w:p>
      <w:pPr>
        <w:pStyle w:val="BodyText"/>
        <w:spacing w:line="249" w:lineRule="auto" w:before="134"/>
        <w:ind w:left="720" w:right="718"/>
        <w:jc w:val="both"/>
      </w:pPr>
      <w:r>
        <w:rPr/>
        <w:t>Funds raised through IBRD’s borrowing activities that have not yet been deployed for lending are held in the liquid asset portfolio to provide liquidity for IBRD’s operations. The portfolio is managed with the goal of ensuring sufficient cash flows to meet all IBRD’s financial commitments. While it seeks a reasonable return on this portfolio, IBRD restricts its liquid assets to high-quality investments, consistent with its investment objective of prioritizing principal protection over yield. Liquid assets are managed conservatively and are primarily held against disruptions in IBRD’s access to capital markets.</w:t>
      </w:r>
    </w:p>
    <w:p>
      <w:pPr>
        <w:pStyle w:val="BodyText"/>
        <w:spacing w:line="249" w:lineRule="auto" w:before="125"/>
        <w:ind w:left="720" w:right="720"/>
        <w:jc w:val="both"/>
      </w:pPr>
      <w:r>
        <w:rPr/>
        <w:t>IBRD’s liquid assets are held mainly in highly rated, fixed-income instruments (see Box 8: Eligibility Criteria for IBRD's Investments) and include the following:</w:t>
      </w:r>
    </w:p>
    <w:p>
      <w:pPr>
        <w:pStyle w:val="ListParagraph"/>
        <w:numPr>
          <w:ilvl w:val="0"/>
          <w:numId w:val="16"/>
        </w:numPr>
        <w:tabs>
          <w:tab w:pos="1439" w:val="left" w:leader="none"/>
        </w:tabs>
        <w:spacing w:line="240" w:lineRule="auto" w:before="122" w:after="0"/>
        <w:ind w:left="1439" w:right="0" w:hanging="359"/>
        <w:jc w:val="left"/>
        <w:rPr>
          <w:sz w:val="20"/>
        </w:rPr>
      </w:pPr>
      <w:r>
        <w:rPr>
          <w:sz w:val="20"/>
        </w:rPr>
        <w:t>Government</w:t>
      </w:r>
      <w:r>
        <w:rPr>
          <w:spacing w:val="-4"/>
          <w:sz w:val="20"/>
        </w:rPr>
        <w:t> </w:t>
      </w:r>
      <w:r>
        <w:rPr>
          <w:sz w:val="20"/>
        </w:rPr>
        <w:t>and</w:t>
      </w:r>
      <w:r>
        <w:rPr>
          <w:spacing w:val="-3"/>
          <w:sz w:val="20"/>
        </w:rPr>
        <w:t> </w:t>
      </w:r>
      <w:r>
        <w:rPr>
          <w:sz w:val="20"/>
        </w:rPr>
        <w:t>agency</w:t>
      </w:r>
      <w:r>
        <w:rPr>
          <w:spacing w:val="-2"/>
          <w:sz w:val="20"/>
        </w:rPr>
        <w:t> obligations</w:t>
      </w:r>
    </w:p>
    <w:p>
      <w:pPr>
        <w:pStyle w:val="ListParagraph"/>
        <w:numPr>
          <w:ilvl w:val="0"/>
          <w:numId w:val="16"/>
        </w:numPr>
        <w:tabs>
          <w:tab w:pos="1439" w:val="left" w:leader="none"/>
        </w:tabs>
        <w:spacing w:line="240" w:lineRule="auto" w:before="130" w:after="0"/>
        <w:ind w:left="1439" w:right="0" w:hanging="359"/>
        <w:jc w:val="left"/>
        <w:rPr>
          <w:sz w:val="20"/>
        </w:rPr>
      </w:pPr>
      <w:r>
        <w:rPr>
          <w:sz w:val="20"/>
        </w:rPr>
        <w:t>Time</w:t>
      </w:r>
      <w:r>
        <w:rPr>
          <w:spacing w:val="-6"/>
          <w:sz w:val="20"/>
        </w:rPr>
        <w:t> </w:t>
      </w:r>
      <w:r>
        <w:rPr>
          <w:sz w:val="20"/>
        </w:rPr>
        <w:t>deposits</w:t>
      </w:r>
      <w:r>
        <w:rPr>
          <w:spacing w:val="-4"/>
          <w:sz w:val="20"/>
        </w:rPr>
        <w:t> </w:t>
      </w:r>
      <w:r>
        <w:rPr>
          <w:sz w:val="20"/>
        </w:rPr>
        <w:t>and</w:t>
      </w:r>
      <w:r>
        <w:rPr>
          <w:spacing w:val="-3"/>
          <w:sz w:val="20"/>
        </w:rPr>
        <w:t> </w:t>
      </w:r>
      <w:r>
        <w:rPr>
          <w:sz w:val="20"/>
        </w:rPr>
        <w:t>other</w:t>
      </w:r>
      <w:r>
        <w:rPr>
          <w:spacing w:val="-2"/>
          <w:sz w:val="20"/>
        </w:rPr>
        <w:t> </w:t>
      </w:r>
      <w:r>
        <w:rPr>
          <w:sz w:val="20"/>
        </w:rPr>
        <w:t>unconditional</w:t>
      </w:r>
      <w:r>
        <w:rPr>
          <w:spacing w:val="-4"/>
          <w:sz w:val="20"/>
        </w:rPr>
        <w:t> </w:t>
      </w:r>
      <w:r>
        <w:rPr>
          <w:sz w:val="20"/>
        </w:rPr>
        <w:t>obligations</w:t>
      </w:r>
      <w:r>
        <w:rPr>
          <w:spacing w:val="-4"/>
          <w:sz w:val="20"/>
        </w:rPr>
        <w:t> </w:t>
      </w:r>
      <w:r>
        <w:rPr>
          <w:sz w:val="20"/>
        </w:rPr>
        <w:t>of</w:t>
      </w:r>
      <w:r>
        <w:rPr>
          <w:spacing w:val="-2"/>
          <w:sz w:val="20"/>
        </w:rPr>
        <w:t> </w:t>
      </w:r>
      <w:r>
        <w:rPr>
          <w:sz w:val="20"/>
        </w:rPr>
        <w:t>banks</w:t>
      </w:r>
      <w:r>
        <w:rPr>
          <w:spacing w:val="-4"/>
          <w:sz w:val="20"/>
        </w:rPr>
        <w:t> </w:t>
      </w:r>
      <w:r>
        <w:rPr>
          <w:sz w:val="20"/>
        </w:rPr>
        <w:t>and</w:t>
      </w:r>
      <w:r>
        <w:rPr>
          <w:spacing w:val="-3"/>
          <w:sz w:val="20"/>
        </w:rPr>
        <w:t> </w:t>
      </w:r>
      <w:r>
        <w:rPr>
          <w:sz w:val="20"/>
        </w:rPr>
        <w:t>financial</w:t>
      </w:r>
      <w:r>
        <w:rPr>
          <w:spacing w:val="-3"/>
          <w:sz w:val="20"/>
        </w:rPr>
        <w:t> </w:t>
      </w:r>
      <w:r>
        <w:rPr>
          <w:spacing w:val="-2"/>
          <w:sz w:val="20"/>
        </w:rPr>
        <w:t>institutions</w:t>
      </w:r>
    </w:p>
    <w:p>
      <w:pPr>
        <w:pStyle w:val="ListParagraph"/>
        <w:numPr>
          <w:ilvl w:val="0"/>
          <w:numId w:val="16"/>
        </w:numPr>
        <w:tabs>
          <w:tab w:pos="1439" w:val="left" w:leader="none"/>
        </w:tabs>
        <w:spacing w:line="240" w:lineRule="auto" w:before="130" w:after="0"/>
        <w:ind w:left="1439" w:right="0" w:hanging="359"/>
        <w:jc w:val="left"/>
        <w:rPr>
          <w:sz w:val="20"/>
        </w:rPr>
      </w:pPr>
      <w:r>
        <w:rPr>
          <w:sz w:val="20"/>
        </w:rPr>
        <w:t>Asset-backed</w:t>
      </w:r>
      <w:r>
        <w:rPr>
          <w:spacing w:val="-8"/>
          <w:sz w:val="20"/>
        </w:rPr>
        <w:t> </w:t>
      </w:r>
      <w:r>
        <w:rPr>
          <w:sz w:val="20"/>
        </w:rPr>
        <w:t>securities</w:t>
      </w:r>
      <w:r>
        <w:rPr>
          <w:spacing w:val="-7"/>
          <w:sz w:val="20"/>
        </w:rPr>
        <w:t> </w:t>
      </w:r>
      <w:r>
        <w:rPr>
          <w:sz w:val="20"/>
        </w:rPr>
        <w:t>(including</w:t>
      </w:r>
      <w:r>
        <w:rPr>
          <w:spacing w:val="-6"/>
          <w:sz w:val="20"/>
        </w:rPr>
        <w:t> </w:t>
      </w:r>
      <w:r>
        <w:rPr>
          <w:sz w:val="20"/>
        </w:rPr>
        <w:t>agency</w:t>
      </w:r>
      <w:r>
        <w:rPr>
          <w:spacing w:val="-6"/>
          <w:sz w:val="20"/>
        </w:rPr>
        <w:t> </w:t>
      </w:r>
      <w:r>
        <w:rPr>
          <w:sz w:val="20"/>
        </w:rPr>
        <w:t>mortgage-backed</w:t>
      </w:r>
      <w:r>
        <w:rPr>
          <w:spacing w:val="-5"/>
          <w:sz w:val="20"/>
        </w:rPr>
        <w:t> </w:t>
      </w:r>
      <w:r>
        <w:rPr>
          <w:spacing w:val="-2"/>
          <w:sz w:val="20"/>
        </w:rPr>
        <w:t>securities)</w:t>
      </w:r>
    </w:p>
    <w:p>
      <w:pPr>
        <w:pStyle w:val="ListParagraph"/>
        <w:numPr>
          <w:ilvl w:val="0"/>
          <w:numId w:val="16"/>
        </w:numPr>
        <w:tabs>
          <w:tab w:pos="1439" w:val="left" w:leader="none"/>
        </w:tabs>
        <w:spacing w:line="240" w:lineRule="auto" w:before="130" w:after="0"/>
        <w:ind w:left="1439" w:right="0" w:hanging="359"/>
        <w:jc w:val="left"/>
        <w:rPr>
          <w:sz w:val="20"/>
        </w:rPr>
      </w:pPr>
      <w:r>
        <w:rPr>
          <w:sz w:val="20"/>
        </w:rPr>
        <w:t>Currency,</w:t>
      </w:r>
      <w:r>
        <w:rPr>
          <w:spacing w:val="-4"/>
          <w:sz w:val="20"/>
        </w:rPr>
        <w:t> </w:t>
      </w:r>
      <w:r>
        <w:rPr>
          <w:sz w:val="20"/>
        </w:rPr>
        <w:t>interest</w:t>
      </w:r>
      <w:r>
        <w:rPr>
          <w:spacing w:val="-3"/>
          <w:sz w:val="20"/>
        </w:rPr>
        <w:t> </w:t>
      </w:r>
      <w:r>
        <w:rPr>
          <w:sz w:val="20"/>
        </w:rPr>
        <w:t>rate</w:t>
      </w:r>
      <w:r>
        <w:rPr>
          <w:spacing w:val="-4"/>
          <w:sz w:val="20"/>
        </w:rPr>
        <w:t> </w:t>
      </w:r>
      <w:r>
        <w:rPr>
          <w:sz w:val="20"/>
        </w:rPr>
        <w:t>and</w:t>
      </w:r>
      <w:r>
        <w:rPr>
          <w:spacing w:val="-3"/>
          <w:sz w:val="20"/>
        </w:rPr>
        <w:t> </w:t>
      </w:r>
      <w:r>
        <w:rPr>
          <w:sz w:val="20"/>
        </w:rPr>
        <w:t>other</w:t>
      </w:r>
      <w:r>
        <w:rPr>
          <w:spacing w:val="-3"/>
          <w:sz w:val="20"/>
        </w:rPr>
        <w:t> </w:t>
      </w:r>
      <w:r>
        <w:rPr>
          <w:sz w:val="20"/>
        </w:rPr>
        <w:t>risk</w:t>
      </w:r>
      <w:r>
        <w:rPr>
          <w:spacing w:val="-4"/>
          <w:sz w:val="20"/>
        </w:rPr>
        <w:t> </w:t>
      </w:r>
      <w:r>
        <w:rPr>
          <w:sz w:val="20"/>
        </w:rPr>
        <w:t>management</w:t>
      </w:r>
      <w:r>
        <w:rPr>
          <w:spacing w:val="-3"/>
          <w:sz w:val="20"/>
        </w:rPr>
        <w:t> </w:t>
      </w:r>
      <w:r>
        <w:rPr>
          <w:spacing w:val="-2"/>
          <w:sz w:val="20"/>
        </w:rPr>
        <w:t>derivatives</w:t>
      </w:r>
    </w:p>
    <w:p>
      <w:pPr>
        <w:pStyle w:val="ListParagraph"/>
        <w:numPr>
          <w:ilvl w:val="0"/>
          <w:numId w:val="16"/>
        </w:numPr>
        <w:tabs>
          <w:tab w:pos="1439" w:val="left" w:leader="none"/>
        </w:tabs>
        <w:spacing w:line="240" w:lineRule="auto" w:before="130" w:after="0"/>
        <w:ind w:left="1439" w:right="0" w:hanging="359"/>
        <w:jc w:val="left"/>
        <w:rPr>
          <w:sz w:val="20"/>
        </w:rPr>
      </w:pPr>
      <w:r>
        <w:rPr>
          <w:sz w:val="20"/>
        </w:rPr>
        <w:t>Exchange-traded</w:t>
      </w:r>
      <w:r>
        <w:rPr>
          <w:spacing w:val="-4"/>
          <w:sz w:val="20"/>
        </w:rPr>
        <w:t> </w:t>
      </w:r>
      <w:r>
        <w:rPr>
          <w:sz w:val="20"/>
        </w:rPr>
        <w:t>options</w:t>
      </w:r>
      <w:r>
        <w:rPr>
          <w:spacing w:val="-4"/>
          <w:sz w:val="20"/>
        </w:rPr>
        <w:t> </w:t>
      </w:r>
      <w:r>
        <w:rPr>
          <w:sz w:val="20"/>
        </w:rPr>
        <w:t>and</w:t>
      </w:r>
      <w:r>
        <w:rPr>
          <w:spacing w:val="-3"/>
          <w:sz w:val="20"/>
        </w:rPr>
        <w:t> </w:t>
      </w:r>
      <w:r>
        <w:rPr>
          <w:spacing w:val="-2"/>
          <w:sz w:val="20"/>
        </w:rPr>
        <w:t>futures</w:t>
      </w:r>
    </w:p>
    <w:p>
      <w:pPr>
        <w:spacing w:before="140"/>
        <w:ind w:left="720" w:right="0" w:firstLine="0"/>
        <w:jc w:val="both"/>
        <w:rPr>
          <w:rFonts w:ascii="Arial"/>
          <w:b/>
          <w:sz w:val="18"/>
        </w:rPr>
      </w:pPr>
      <w:bookmarkStart w:name="_bookmark48" w:id="73"/>
      <w:bookmarkEnd w:id="73"/>
      <w:r>
        <w:rPr/>
      </w:r>
      <w:r>
        <w:rPr>
          <w:rFonts w:ascii="Arial"/>
          <w:b/>
          <w:sz w:val="18"/>
        </w:rPr>
        <w:t>Figure</w:t>
      </w:r>
      <w:r>
        <w:rPr>
          <w:rFonts w:ascii="Arial"/>
          <w:b/>
          <w:spacing w:val="-2"/>
          <w:sz w:val="18"/>
        </w:rPr>
        <w:t> </w:t>
      </w:r>
      <w:r>
        <w:rPr>
          <w:rFonts w:ascii="Arial"/>
          <w:b/>
          <w:sz w:val="18"/>
        </w:rPr>
        <w:t>13:</w:t>
      </w:r>
      <w:r>
        <w:rPr>
          <w:rFonts w:ascii="Arial"/>
          <w:b/>
          <w:spacing w:val="-2"/>
          <w:sz w:val="18"/>
        </w:rPr>
        <w:t> </w:t>
      </w:r>
      <w:r>
        <w:rPr>
          <w:rFonts w:ascii="Arial"/>
          <w:b/>
          <w:sz w:val="18"/>
        </w:rPr>
        <w:t>Liquid</w:t>
      </w:r>
      <w:r>
        <w:rPr>
          <w:rFonts w:ascii="Arial"/>
          <w:b/>
          <w:spacing w:val="-2"/>
          <w:sz w:val="18"/>
        </w:rPr>
        <w:t> </w:t>
      </w:r>
      <w:r>
        <w:rPr>
          <w:rFonts w:ascii="Arial"/>
          <w:b/>
          <w:sz w:val="18"/>
        </w:rPr>
        <w:t>Asset</w:t>
      </w:r>
      <w:r>
        <w:rPr>
          <w:rFonts w:ascii="Arial"/>
          <w:b/>
          <w:spacing w:val="-1"/>
          <w:sz w:val="18"/>
        </w:rPr>
        <w:t> </w:t>
      </w:r>
      <w:r>
        <w:rPr>
          <w:rFonts w:ascii="Arial"/>
          <w:b/>
          <w:sz w:val="18"/>
        </w:rPr>
        <w:t>Portfolio</w:t>
      </w:r>
      <w:r>
        <w:rPr>
          <w:rFonts w:ascii="Arial"/>
          <w:b/>
          <w:spacing w:val="-2"/>
          <w:sz w:val="18"/>
        </w:rPr>
        <w:t> </w:t>
      </w:r>
      <w:r>
        <w:rPr>
          <w:rFonts w:ascii="Arial"/>
          <w:b/>
          <w:sz w:val="18"/>
        </w:rPr>
        <w:t>by</w:t>
      </w:r>
      <w:r>
        <w:rPr>
          <w:rFonts w:ascii="Arial"/>
          <w:b/>
          <w:spacing w:val="-2"/>
          <w:sz w:val="18"/>
        </w:rPr>
        <w:t> </w:t>
      </w:r>
      <w:r>
        <w:rPr>
          <w:rFonts w:ascii="Arial"/>
          <w:b/>
          <w:sz w:val="18"/>
        </w:rPr>
        <w:t>Asset</w:t>
      </w:r>
      <w:r>
        <w:rPr>
          <w:rFonts w:ascii="Arial"/>
          <w:b/>
          <w:spacing w:val="-1"/>
          <w:sz w:val="18"/>
        </w:rPr>
        <w:t> </w:t>
      </w:r>
      <w:r>
        <w:rPr>
          <w:rFonts w:ascii="Arial"/>
          <w:b/>
          <w:spacing w:val="-4"/>
          <w:sz w:val="18"/>
        </w:rPr>
        <w:t>Class</w:t>
      </w:r>
    </w:p>
    <w:p>
      <w:pPr>
        <w:spacing w:before="13"/>
        <w:ind w:left="720"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643136">
                <wp:simplePos x="0" y="0"/>
                <wp:positionH relativeFrom="page">
                  <wp:posOffset>914400</wp:posOffset>
                </wp:positionH>
                <wp:positionV relativeFrom="paragraph">
                  <wp:posOffset>131633</wp:posOffset>
                </wp:positionV>
                <wp:extent cx="2910840" cy="209550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2910840" cy="2095500"/>
                          <a:chExt cx="2910840" cy="2095500"/>
                        </a:xfrm>
                      </wpg:grpSpPr>
                      <wps:wsp>
                        <wps:cNvPr id="344" name="Graphic 344"/>
                        <wps:cNvSpPr/>
                        <wps:spPr>
                          <a:xfrm>
                            <a:off x="9525" y="9525"/>
                            <a:ext cx="2886075" cy="2076450"/>
                          </a:xfrm>
                          <a:custGeom>
                            <a:avLst/>
                            <a:gdLst/>
                            <a:ahLst/>
                            <a:cxnLst/>
                            <a:rect l="l" t="t" r="r" b="b"/>
                            <a:pathLst>
                              <a:path w="2886075" h="2076450">
                                <a:moveTo>
                                  <a:pt x="0" y="0"/>
                                </a:moveTo>
                                <a:lnTo>
                                  <a:pt x="2886075" y="0"/>
                                </a:lnTo>
                                <a:lnTo>
                                  <a:pt x="2886075" y="2076449"/>
                                </a:lnTo>
                                <a:lnTo>
                                  <a:pt x="0" y="2076449"/>
                                </a:lnTo>
                                <a:lnTo>
                                  <a:pt x="0" y="0"/>
                                </a:lnTo>
                                <a:close/>
                              </a:path>
                            </a:pathLst>
                          </a:custGeom>
                          <a:ln w="19050">
                            <a:solidFill>
                              <a:srgbClr val="000000"/>
                            </a:solidFill>
                            <a:prstDash val="solid"/>
                          </a:ln>
                        </wps:spPr>
                        <wps:bodyPr wrap="square" lIns="0" tIns="0" rIns="0" bIns="0" rtlCol="0">
                          <a:prstTxWarp prst="textNoShape">
                            <a:avLst/>
                          </a:prstTxWarp>
                          <a:noAutofit/>
                        </wps:bodyPr>
                      </wps:wsp>
                      <wps:wsp>
                        <wps:cNvPr id="345" name="Graphic 345"/>
                        <wps:cNvSpPr/>
                        <wps:spPr>
                          <a:xfrm>
                            <a:off x="1515943" y="564865"/>
                            <a:ext cx="99695" cy="336550"/>
                          </a:xfrm>
                          <a:custGeom>
                            <a:avLst/>
                            <a:gdLst/>
                            <a:ahLst/>
                            <a:cxnLst/>
                            <a:rect l="l" t="t" r="r" b="b"/>
                            <a:pathLst>
                              <a:path w="99695" h="336550">
                                <a:moveTo>
                                  <a:pt x="58618" y="0"/>
                                </a:moveTo>
                                <a:lnTo>
                                  <a:pt x="0" y="331929"/>
                                </a:lnTo>
                                <a:lnTo>
                                  <a:pt x="6860" y="333141"/>
                                </a:lnTo>
                                <a:lnTo>
                                  <a:pt x="20454" y="336199"/>
                                </a:lnTo>
                                <a:lnTo>
                                  <a:pt x="99526" y="8539"/>
                                </a:lnTo>
                                <a:lnTo>
                                  <a:pt x="79138" y="3952"/>
                                </a:lnTo>
                                <a:lnTo>
                                  <a:pt x="58618" y="0"/>
                                </a:lnTo>
                                <a:close/>
                              </a:path>
                            </a:pathLst>
                          </a:custGeom>
                          <a:solidFill>
                            <a:srgbClr val="494949"/>
                          </a:solidFill>
                        </wps:spPr>
                        <wps:bodyPr wrap="square" lIns="0" tIns="0" rIns="0" bIns="0" rtlCol="0">
                          <a:prstTxWarp prst="textNoShape">
                            <a:avLst/>
                          </a:prstTxWarp>
                          <a:noAutofit/>
                        </wps:bodyPr>
                      </wps:wsp>
                      <wps:wsp>
                        <wps:cNvPr id="346" name="Graphic 346"/>
                        <wps:cNvSpPr/>
                        <wps:spPr>
                          <a:xfrm>
                            <a:off x="1299569" y="573563"/>
                            <a:ext cx="829944" cy="1329055"/>
                          </a:xfrm>
                          <a:custGeom>
                            <a:avLst/>
                            <a:gdLst/>
                            <a:ahLst/>
                            <a:cxnLst/>
                            <a:rect l="l" t="t" r="r" b="b"/>
                            <a:pathLst>
                              <a:path w="829944" h="1329055">
                                <a:moveTo>
                                  <a:pt x="316555" y="0"/>
                                </a:moveTo>
                                <a:lnTo>
                                  <a:pt x="237155" y="327579"/>
                                </a:lnTo>
                                <a:lnTo>
                                  <a:pt x="284504" y="342982"/>
                                </a:lnTo>
                                <a:lnTo>
                                  <a:pt x="328014" y="364568"/>
                                </a:lnTo>
                                <a:lnTo>
                                  <a:pt x="367305" y="391712"/>
                                </a:lnTo>
                                <a:lnTo>
                                  <a:pt x="401998" y="423790"/>
                                </a:lnTo>
                                <a:lnTo>
                                  <a:pt x="431712" y="460178"/>
                                </a:lnTo>
                                <a:lnTo>
                                  <a:pt x="456069" y="500250"/>
                                </a:lnTo>
                                <a:lnTo>
                                  <a:pt x="474689" y="543381"/>
                                </a:lnTo>
                                <a:lnTo>
                                  <a:pt x="487191" y="588948"/>
                                </a:lnTo>
                                <a:lnTo>
                                  <a:pt x="493196" y="636324"/>
                                </a:lnTo>
                                <a:lnTo>
                                  <a:pt x="492325" y="684887"/>
                                </a:lnTo>
                                <a:lnTo>
                                  <a:pt x="484197" y="734010"/>
                                </a:lnTo>
                                <a:lnTo>
                                  <a:pt x="469007" y="781427"/>
                                </a:lnTo>
                                <a:lnTo>
                                  <a:pt x="447616" y="825033"/>
                                </a:lnTo>
                                <a:lnTo>
                                  <a:pt x="420648" y="864445"/>
                                </a:lnTo>
                                <a:lnTo>
                                  <a:pt x="388725" y="899281"/>
                                </a:lnTo>
                                <a:lnTo>
                                  <a:pt x="352471" y="929158"/>
                                </a:lnTo>
                                <a:lnTo>
                                  <a:pt x="312509" y="953694"/>
                                </a:lnTo>
                                <a:lnTo>
                                  <a:pt x="269461" y="972507"/>
                                </a:lnTo>
                                <a:lnTo>
                                  <a:pt x="223951" y="985213"/>
                                </a:lnTo>
                                <a:lnTo>
                                  <a:pt x="176602" y="991430"/>
                                </a:lnTo>
                                <a:lnTo>
                                  <a:pt x="128036" y="990776"/>
                                </a:lnTo>
                                <a:lnTo>
                                  <a:pt x="78877" y="982868"/>
                                </a:lnTo>
                                <a:lnTo>
                                  <a:pt x="0" y="1310575"/>
                                </a:lnTo>
                                <a:lnTo>
                                  <a:pt x="47090" y="1319997"/>
                                </a:lnTo>
                                <a:lnTo>
                                  <a:pt x="94058" y="1326010"/>
                                </a:lnTo>
                                <a:lnTo>
                                  <a:pt x="140767" y="1328697"/>
                                </a:lnTo>
                                <a:lnTo>
                                  <a:pt x="187081" y="1328142"/>
                                </a:lnTo>
                                <a:lnTo>
                                  <a:pt x="232863" y="1324428"/>
                                </a:lnTo>
                                <a:lnTo>
                                  <a:pt x="277977" y="1317639"/>
                                </a:lnTo>
                                <a:lnTo>
                                  <a:pt x="322287" y="1307858"/>
                                </a:lnTo>
                                <a:lnTo>
                                  <a:pt x="365657" y="1295171"/>
                                </a:lnTo>
                                <a:lnTo>
                                  <a:pt x="407949" y="1279659"/>
                                </a:lnTo>
                                <a:lnTo>
                                  <a:pt x="449029" y="1261407"/>
                                </a:lnTo>
                                <a:lnTo>
                                  <a:pt x="488758" y="1240499"/>
                                </a:lnTo>
                                <a:lnTo>
                                  <a:pt x="527003" y="1217018"/>
                                </a:lnTo>
                                <a:lnTo>
                                  <a:pt x="563625" y="1191048"/>
                                </a:lnTo>
                                <a:lnTo>
                                  <a:pt x="598488" y="1162672"/>
                                </a:lnTo>
                                <a:lnTo>
                                  <a:pt x="631457" y="1131975"/>
                                </a:lnTo>
                                <a:lnTo>
                                  <a:pt x="662395" y="1099040"/>
                                </a:lnTo>
                                <a:lnTo>
                                  <a:pt x="691165" y="1063950"/>
                                </a:lnTo>
                                <a:lnTo>
                                  <a:pt x="717632" y="1026790"/>
                                </a:lnTo>
                                <a:lnTo>
                                  <a:pt x="741659" y="987643"/>
                                </a:lnTo>
                                <a:lnTo>
                                  <a:pt x="763109" y="946592"/>
                                </a:lnTo>
                                <a:lnTo>
                                  <a:pt x="781847" y="903722"/>
                                </a:lnTo>
                                <a:lnTo>
                                  <a:pt x="797737" y="859116"/>
                                </a:lnTo>
                                <a:lnTo>
                                  <a:pt x="810640" y="812858"/>
                                </a:lnTo>
                                <a:lnTo>
                                  <a:pt x="820274" y="765810"/>
                                </a:lnTo>
                                <a:lnTo>
                                  <a:pt x="826496" y="718869"/>
                                </a:lnTo>
                                <a:lnTo>
                                  <a:pt x="829392" y="672173"/>
                                </a:lnTo>
                                <a:lnTo>
                                  <a:pt x="829044" y="625857"/>
                                </a:lnTo>
                                <a:lnTo>
                                  <a:pt x="825535" y="580059"/>
                                </a:lnTo>
                                <a:lnTo>
                                  <a:pt x="818948" y="534914"/>
                                </a:lnTo>
                                <a:lnTo>
                                  <a:pt x="809366" y="490561"/>
                                </a:lnTo>
                                <a:lnTo>
                                  <a:pt x="796872" y="447136"/>
                                </a:lnTo>
                                <a:lnTo>
                                  <a:pt x="781550" y="404774"/>
                                </a:lnTo>
                                <a:lnTo>
                                  <a:pt x="763482" y="363614"/>
                                </a:lnTo>
                                <a:lnTo>
                                  <a:pt x="742751" y="323791"/>
                                </a:lnTo>
                                <a:lnTo>
                                  <a:pt x="719442" y="285442"/>
                                </a:lnTo>
                                <a:lnTo>
                                  <a:pt x="693636" y="248704"/>
                                </a:lnTo>
                                <a:lnTo>
                                  <a:pt x="665416" y="213714"/>
                                </a:lnTo>
                                <a:lnTo>
                                  <a:pt x="634867" y="180609"/>
                                </a:lnTo>
                                <a:lnTo>
                                  <a:pt x="602070" y="149524"/>
                                </a:lnTo>
                                <a:lnTo>
                                  <a:pt x="567110" y="120597"/>
                                </a:lnTo>
                                <a:lnTo>
                                  <a:pt x="530068" y="93964"/>
                                </a:lnTo>
                                <a:lnTo>
                                  <a:pt x="491029" y="69762"/>
                                </a:lnTo>
                                <a:lnTo>
                                  <a:pt x="450075" y="48128"/>
                                </a:lnTo>
                                <a:lnTo>
                                  <a:pt x="407289" y="29199"/>
                                </a:lnTo>
                                <a:lnTo>
                                  <a:pt x="362755" y="13110"/>
                                </a:lnTo>
                                <a:lnTo>
                                  <a:pt x="316555" y="0"/>
                                </a:lnTo>
                                <a:close/>
                              </a:path>
                            </a:pathLst>
                          </a:custGeom>
                          <a:solidFill>
                            <a:srgbClr val="DADADA"/>
                          </a:solidFill>
                        </wps:spPr>
                        <wps:bodyPr wrap="square" lIns="0" tIns="0" rIns="0" bIns="0" rtlCol="0">
                          <a:prstTxWarp prst="textNoShape">
                            <a:avLst/>
                          </a:prstTxWarp>
                          <a:noAutofit/>
                        </wps:bodyPr>
                      </wps:wsp>
                      <wps:wsp>
                        <wps:cNvPr id="347" name="Graphic 347"/>
                        <wps:cNvSpPr/>
                        <wps:spPr>
                          <a:xfrm>
                            <a:off x="1299569" y="573563"/>
                            <a:ext cx="829944" cy="1329055"/>
                          </a:xfrm>
                          <a:custGeom>
                            <a:avLst/>
                            <a:gdLst/>
                            <a:ahLst/>
                            <a:cxnLst/>
                            <a:rect l="l" t="t" r="r" b="b"/>
                            <a:pathLst>
                              <a:path w="829944" h="1329055">
                                <a:moveTo>
                                  <a:pt x="316555" y="0"/>
                                </a:moveTo>
                                <a:lnTo>
                                  <a:pt x="362755" y="13110"/>
                                </a:lnTo>
                                <a:lnTo>
                                  <a:pt x="407289" y="29199"/>
                                </a:lnTo>
                                <a:lnTo>
                                  <a:pt x="450075" y="48128"/>
                                </a:lnTo>
                                <a:lnTo>
                                  <a:pt x="491029" y="69762"/>
                                </a:lnTo>
                                <a:lnTo>
                                  <a:pt x="530068" y="93964"/>
                                </a:lnTo>
                                <a:lnTo>
                                  <a:pt x="567110" y="120597"/>
                                </a:lnTo>
                                <a:lnTo>
                                  <a:pt x="602070" y="149524"/>
                                </a:lnTo>
                                <a:lnTo>
                                  <a:pt x="634867" y="180609"/>
                                </a:lnTo>
                                <a:lnTo>
                                  <a:pt x="665416" y="213714"/>
                                </a:lnTo>
                                <a:lnTo>
                                  <a:pt x="693636" y="248704"/>
                                </a:lnTo>
                                <a:lnTo>
                                  <a:pt x="719442" y="285442"/>
                                </a:lnTo>
                                <a:lnTo>
                                  <a:pt x="742751" y="323791"/>
                                </a:lnTo>
                                <a:lnTo>
                                  <a:pt x="763482" y="363614"/>
                                </a:lnTo>
                                <a:lnTo>
                                  <a:pt x="781550" y="404774"/>
                                </a:lnTo>
                                <a:lnTo>
                                  <a:pt x="796872" y="447136"/>
                                </a:lnTo>
                                <a:lnTo>
                                  <a:pt x="809366" y="490561"/>
                                </a:lnTo>
                                <a:lnTo>
                                  <a:pt x="818948" y="534914"/>
                                </a:lnTo>
                                <a:lnTo>
                                  <a:pt x="825535" y="580059"/>
                                </a:lnTo>
                                <a:lnTo>
                                  <a:pt x="829044" y="625857"/>
                                </a:lnTo>
                                <a:lnTo>
                                  <a:pt x="829392" y="672173"/>
                                </a:lnTo>
                                <a:lnTo>
                                  <a:pt x="826496" y="718869"/>
                                </a:lnTo>
                                <a:lnTo>
                                  <a:pt x="820274" y="765810"/>
                                </a:lnTo>
                                <a:lnTo>
                                  <a:pt x="810640" y="812858"/>
                                </a:lnTo>
                                <a:lnTo>
                                  <a:pt x="797737" y="859116"/>
                                </a:lnTo>
                                <a:lnTo>
                                  <a:pt x="781847" y="903722"/>
                                </a:lnTo>
                                <a:lnTo>
                                  <a:pt x="763109" y="946592"/>
                                </a:lnTo>
                                <a:lnTo>
                                  <a:pt x="741659" y="987643"/>
                                </a:lnTo>
                                <a:lnTo>
                                  <a:pt x="717632" y="1026790"/>
                                </a:lnTo>
                                <a:lnTo>
                                  <a:pt x="691165" y="1063950"/>
                                </a:lnTo>
                                <a:lnTo>
                                  <a:pt x="662395" y="1099040"/>
                                </a:lnTo>
                                <a:lnTo>
                                  <a:pt x="631457" y="1131975"/>
                                </a:lnTo>
                                <a:lnTo>
                                  <a:pt x="598488" y="1162672"/>
                                </a:lnTo>
                                <a:lnTo>
                                  <a:pt x="563625" y="1191048"/>
                                </a:lnTo>
                                <a:lnTo>
                                  <a:pt x="527003" y="1217018"/>
                                </a:lnTo>
                                <a:lnTo>
                                  <a:pt x="488758" y="1240499"/>
                                </a:lnTo>
                                <a:lnTo>
                                  <a:pt x="449029" y="1261407"/>
                                </a:lnTo>
                                <a:lnTo>
                                  <a:pt x="407949" y="1279659"/>
                                </a:lnTo>
                                <a:lnTo>
                                  <a:pt x="365657" y="1295171"/>
                                </a:lnTo>
                                <a:lnTo>
                                  <a:pt x="322287" y="1307858"/>
                                </a:lnTo>
                                <a:lnTo>
                                  <a:pt x="277977" y="1317639"/>
                                </a:lnTo>
                                <a:lnTo>
                                  <a:pt x="232863" y="1324428"/>
                                </a:lnTo>
                                <a:lnTo>
                                  <a:pt x="187081" y="1328142"/>
                                </a:lnTo>
                                <a:lnTo>
                                  <a:pt x="140767" y="1328697"/>
                                </a:lnTo>
                                <a:lnTo>
                                  <a:pt x="94058" y="1326010"/>
                                </a:lnTo>
                                <a:lnTo>
                                  <a:pt x="47090" y="1319997"/>
                                </a:lnTo>
                                <a:lnTo>
                                  <a:pt x="0" y="1310575"/>
                                </a:lnTo>
                                <a:lnTo>
                                  <a:pt x="78877" y="982868"/>
                                </a:lnTo>
                                <a:lnTo>
                                  <a:pt x="128036" y="990776"/>
                                </a:lnTo>
                                <a:lnTo>
                                  <a:pt x="176602" y="991430"/>
                                </a:lnTo>
                                <a:lnTo>
                                  <a:pt x="223951" y="985213"/>
                                </a:lnTo>
                                <a:lnTo>
                                  <a:pt x="269461" y="972507"/>
                                </a:lnTo>
                                <a:lnTo>
                                  <a:pt x="312509" y="953694"/>
                                </a:lnTo>
                                <a:lnTo>
                                  <a:pt x="352471" y="929158"/>
                                </a:lnTo>
                                <a:lnTo>
                                  <a:pt x="388725" y="899281"/>
                                </a:lnTo>
                                <a:lnTo>
                                  <a:pt x="420648" y="864445"/>
                                </a:lnTo>
                                <a:lnTo>
                                  <a:pt x="447616" y="825033"/>
                                </a:lnTo>
                                <a:lnTo>
                                  <a:pt x="469007" y="781427"/>
                                </a:lnTo>
                                <a:lnTo>
                                  <a:pt x="484197" y="734010"/>
                                </a:lnTo>
                                <a:lnTo>
                                  <a:pt x="492325" y="684887"/>
                                </a:lnTo>
                                <a:lnTo>
                                  <a:pt x="493196" y="636324"/>
                                </a:lnTo>
                                <a:lnTo>
                                  <a:pt x="487191" y="588948"/>
                                </a:lnTo>
                                <a:lnTo>
                                  <a:pt x="474689" y="543381"/>
                                </a:lnTo>
                                <a:lnTo>
                                  <a:pt x="456069" y="500250"/>
                                </a:lnTo>
                                <a:lnTo>
                                  <a:pt x="431712" y="460178"/>
                                </a:lnTo>
                                <a:lnTo>
                                  <a:pt x="401998" y="423790"/>
                                </a:lnTo>
                                <a:lnTo>
                                  <a:pt x="367305" y="391712"/>
                                </a:lnTo>
                                <a:lnTo>
                                  <a:pt x="328014" y="364568"/>
                                </a:lnTo>
                                <a:lnTo>
                                  <a:pt x="284504" y="342982"/>
                                </a:lnTo>
                                <a:lnTo>
                                  <a:pt x="237155" y="327579"/>
                                </a:lnTo>
                                <a:lnTo>
                                  <a:pt x="316555" y="0"/>
                                </a:lnTo>
                                <a:close/>
                              </a:path>
                            </a:pathLst>
                          </a:custGeom>
                          <a:ln w="9525">
                            <a:solidFill>
                              <a:srgbClr val="FFFFFF"/>
                            </a:solidFill>
                            <a:prstDash val="solid"/>
                          </a:ln>
                        </wps:spPr>
                        <wps:bodyPr wrap="square" lIns="0" tIns="0" rIns="0" bIns="0" rtlCol="0">
                          <a:prstTxWarp prst="textNoShape">
                            <a:avLst/>
                          </a:prstTxWarp>
                          <a:noAutofit/>
                        </wps:bodyPr>
                      </wps:wsp>
                      <wps:wsp>
                        <wps:cNvPr id="348" name="Graphic 348"/>
                        <wps:cNvSpPr/>
                        <wps:spPr>
                          <a:xfrm>
                            <a:off x="783070" y="554845"/>
                            <a:ext cx="791210" cy="1329690"/>
                          </a:xfrm>
                          <a:custGeom>
                            <a:avLst/>
                            <a:gdLst/>
                            <a:ahLst/>
                            <a:cxnLst/>
                            <a:rect l="l" t="t" r="r" b="b"/>
                            <a:pathLst>
                              <a:path w="791210" h="1329690">
                                <a:moveTo>
                                  <a:pt x="697687" y="79"/>
                                </a:moveTo>
                                <a:lnTo>
                                  <a:pt x="651744" y="0"/>
                                </a:lnTo>
                                <a:lnTo>
                                  <a:pt x="606346" y="3021"/>
                                </a:lnTo>
                                <a:lnTo>
                                  <a:pt x="561619" y="9059"/>
                                </a:lnTo>
                                <a:lnTo>
                                  <a:pt x="517687" y="18027"/>
                                </a:lnTo>
                                <a:lnTo>
                                  <a:pt x="474677" y="29841"/>
                                </a:lnTo>
                                <a:lnTo>
                                  <a:pt x="432714" y="44415"/>
                                </a:lnTo>
                                <a:lnTo>
                                  <a:pt x="391923" y="61664"/>
                                </a:lnTo>
                                <a:lnTo>
                                  <a:pt x="352431" y="81504"/>
                                </a:lnTo>
                                <a:lnTo>
                                  <a:pt x="314362" y="103848"/>
                                </a:lnTo>
                                <a:lnTo>
                                  <a:pt x="277843" y="128613"/>
                                </a:lnTo>
                                <a:lnTo>
                                  <a:pt x="242998" y="155712"/>
                                </a:lnTo>
                                <a:lnTo>
                                  <a:pt x="209954" y="185061"/>
                                </a:lnTo>
                                <a:lnTo>
                                  <a:pt x="178836" y="216574"/>
                                </a:lnTo>
                                <a:lnTo>
                                  <a:pt x="149770" y="250166"/>
                                </a:lnTo>
                                <a:lnTo>
                                  <a:pt x="122880" y="285752"/>
                                </a:lnTo>
                                <a:lnTo>
                                  <a:pt x="98293" y="323248"/>
                                </a:lnTo>
                                <a:lnTo>
                                  <a:pt x="76135" y="362567"/>
                                </a:lnTo>
                                <a:lnTo>
                                  <a:pt x="56530" y="403625"/>
                                </a:lnTo>
                                <a:lnTo>
                                  <a:pt x="39604" y="446336"/>
                                </a:lnTo>
                                <a:lnTo>
                                  <a:pt x="25484" y="490616"/>
                                </a:lnTo>
                                <a:lnTo>
                                  <a:pt x="14294" y="536379"/>
                                </a:lnTo>
                                <a:lnTo>
                                  <a:pt x="6277" y="582803"/>
                                </a:lnTo>
                                <a:lnTo>
                                  <a:pt x="1539" y="629038"/>
                                </a:lnTo>
                                <a:lnTo>
                                  <a:pt x="0" y="674955"/>
                                </a:lnTo>
                                <a:lnTo>
                                  <a:pt x="1576" y="720426"/>
                                </a:lnTo>
                                <a:lnTo>
                                  <a:pt x="6189" y="765323"/>
                                </a:lnTo>
                                <a:lnTo>
                                  <a:pt x="13756" y="809517"/>
                                </a:lnTo>
                                <a:lnTo>
                                  <a:pt x="24196" y="852881"/>
                                </a:lnTo>
                                <a:lnTo>
                                  <a:pt x="37429" y="895286"/>
                                </a:lnTo>
                                <a:lnTo>
                                  <a:pt x="53373" y="936605"/>
                                </a:lnTo>
                                <a:lnTo>
                                  <a:pt x="71947" y="976708"/>
                                </a:lnTo>
                                <a:lnTo>
                                  <a:pt x="93070" y="1015467"/>
                                </a:lnTo>
                                <a:lnTo>
                                  <a:pt x="116661" y="1052755"/>
                                </a:lnTo>
                                <a:lnTo>
                                  <a:pt x="142639" y="1088444"/>
                                </a:lnTo>
                                <a:lnTo>
                                  <a:pt x="170922" y="1122404"/>
                                </a:lnTo>
                                <a:lnTo>
                                  <a:pt x="201430" y="1154508"/>
                                </a:lnTo>
                                <a:lnTo>
                                  <a:pt x="234081" y="1184628"/>
                                </a:lnTo>
                                <a:lnTo>
                                  <a:pt x="268795" y="1212635"/>
                                </a:lnTo>
                                <a:lnTo>
                                  <a:pt x="305490" y="1238401"/>
                                </a:lnTo>
                                <a:lnTo>
                                  <a:pt x="344085" y="1261799"/>
                                </a:lnTo>
                                <a:lnTo>
                                  <a:pt x="384499" y="1282699"/>
                                </a:lnTo>
                                <a:lnTo>
                                  <a:pt x="426651" y="1300974"/>
                                </a:lnTo>
                                <a:lnTo>
                                  <a:pt x="470459" y="1316495"/>
                                </a:lnTo>
                                <a:lnTo>
                                  <a:pt x="515843" y="1329134"/>
                                </a:lnTo>
                                <a:lnTo>
                                  <a:pt x="595048" y="1001507"/>
                                </a:lnTo>
                                <a:lnTo>
                                  <a:pt x="548501" y="986652"/>
                                </a:lnTo>
                                <a:lnTo>
                                  <a:pt x="505592" y="965803"/>
                                </a:lnTo>
                                <a:lnTo>
                                  <a:pt x="466691" y="939546"/>
                                </a:lnTo>
                                <a:lnTo>
                                  <a:pt x="432169" y="908468"/>
                                </a:lnTo>
                                <a:lnTo>
                                  <a:pt x="402398" y="873153"/>
                                </a:lnTo>
                                <a:lnTo>
                                  <a:pt x="377746" y="834189"/>
                                </a:lnTo>
                                <a:lnTo>
                                  <a:pt x="358586" y="792161"/>
                                </a:lnTo>
                                <a:lnTo>
                                  <a:pt x="345288" y="747655"/>
                                </a:lnTo>
                                <a:lnTo>
                                  <a:pt x="338223" y="701257"/>
                                </a:lnTo>
                                <a:lnTo>
                                  <a:pt x="337762" y="653553"/>
                                </a:lnTo>
                                <a:lnTo>
                                  <a:pt x="344274" y="605129"/>
                                </a:lnTo>
                                <a:lnTo>
                                  <a:pt x="357642" y="558133"/>
                                </a:lnTo>
                                <a:lnTo>
                                  <a:pt x="377116" y="514582"/>
                                </a:lnTo>
                                <a:lnTo>
                                  <a:pt x="402122" y="474866"/>
                                </a:lnTo>
                                <a:lnTo>
                                  <a:pt x="432088" y="439374"/>
                                </a:lnTo>
                                <a:lnTo>
                                  <a:pt x="466437" y="408495"/>
                                </a:lnTo>
                                <a:lnTo>
                                  <a:pt x="504598" y="382617"/>
                                </a:lnTo>
                                <a:lnTo>
                                  <a:pt x="545996" y="362131"/>
                                </a:lnTo>
                                <a:lnTo>
                                  <a:pt x="590057" y="347425"/>
                                </a:lnTo>
                                <a:lnTo>
                                  <a:pt x="636207" y="338889"/>
                                </a:lnTo>
                                <a:lnTo>
                                  <a:pt x="683872" y="336911"/>
                                </a:lnTo>
                                <a:lnTo>
                                  <a:pt x="732479" y="341881"/>
                                </a:lnTo>
                                <a:lnTo>
                                  <a:pt x="790704" y="9881"/>
                                </a:lnTo>
                                <a:lnTo>
                                  <a:pt x="744049" y="3344"/>
                                </a:lnTo>
                                <a:lnTo>
                                  <a:pt x="697687" y="79"/>
                                </a:lnTo>
                                <a:close/>
                              </a:path>
                            </a:pathLst>
                          </a:custGeom>
                          <a:solidFill>
                            <a:srgbClr val="919191"/>
                          </a:solidFill>
                        </wps:spPr>
                        <wps:bodyPr wrap="square" lIns="0" tIns="0" rIns="0" bIns="0" rtlCol="0">
                          <a:prstTxWarp prst="textNoShape">
                            <a:avLst/>
                          </a:prstTxWarp>
                          <a:noAutofit/>
                        </wps:bodyPr>
                      </wps:wsp>
                      <wps:wsp>
                        <wps:cNvPr id="349" name="Graphic 349"/>
                        <wps:cNvSpPr/>
                        <wps:spPr>
                          <a:xfrm>
                            <a:off x="783070" y="554845"/>
                            <a:ext cx="791210" cy="1329690"/>
                          </a:xfrm>
                          <a:custGeom>
                            <a:avLst/>
                            <a:gdLst/>
                            <a:ahLst/>
                            <a:cxnLst/>
                            <a:rect l="l" t="t" r="r" b="b"/>
                            <a:pathLst>
                              <a:path w="791210" h="1329690">
                                <a:moveTo>
                                  <a:pt x="515843" y="1329134"/>
                                </a:moveTo>
                                <a:lnTo>
                                  <a:pt x="470459" y="1316495"/>
                                </a:lnTo>
                                <a:lnTo>
                                  <a:pt x="426651" y="1300974"/>
                                </a:lnTo>
                                <a:lnTo>
                                  <a:pt x="384499" y="1282699"/>
                                </a:lnTo>
                                <a:lnTo>
                                  <a:pt x="344085" y="1261799"/>
                                </a:lnTo>
                                <a:lnTo>
                                  <a:pt x="305490" y="1238401"/>
                                </a:lnTo>
                                <a:lnTo>
                                  <a:pt x="268795" y="1212635"/>
                                </a:lnTo>
                                <a:lnTo>
                                  <a:pt x="234081" y="1184628"/>
                                </a:lnTo>
                                <a:lnTo>
                                  <a:pt x="201430" y="1154508"/>
                                </a:lnTo>
                                <a:lnTo>
                                  <a:pt x="170922" y="1122404"/>
                                </a:lnTo>
                                <a:lnTo>
                                  <a:pt x="142639" y="1088444"/>
                                </a:lnTo>
                                <a:lnTo>
                                  <a:pt x="116661" y="1052755"/>
                                </a:lnTo>
                                <a:lnTo>
                                  <a:pt x="93070" y="1015467"/>
                                </a:lnTo>
                                <a:lnTo>
                                  <a:pt x="71947" y="976708"/>
                                </a:lnTo>
                                <a:lnTo>
                                  <a:pt x="53373" y="936605"/>
                                </a:lnTo>
                                <a:lnTo>
                                  <a:pt x="37429" y="895286"/>
                                </a:lnTo>
                                <a:lnTo>
                                  <a:pt x="24196" y="852881"/>
                                </a:lnTo>
                                <a:lnTo>
                                  <a:pt x="13756" y="809517"/>
                                </a:lnTo>
                                <a:lnTo>
                                  <a:pt x="6189" y="765323"/>
                                </a:lnTo>
                                <a:lnTo>
                                  <a:pt x="1576" y="720426"/>
                                </a:lnTo>
                                <a:lnTo>
                                  <a:pt x="0" y="674955"/>
                                </a:lnTo>
                                <a:lnTo>
                                  <a:pt x="1539" y="629038"/>
                                </a:lnTo>
                                <a:lnTo>
                                  <a:pt x="6277" y="582803"/>
                                </a:lnTo>
                                <a:lnTo>
                                  <a:pt x="14294" y="536379"/>
                                </a:lnTo>
                                <a:lnTo>
                                  <a:pt x="25484" y="490616"/>
                                </a:lnTo>
                                <a:lnTo>
                                  <a:pt x="39604" y="446336"/>
                                </a:lnTo>
                                <a:lnTo>
                                  <a:pt x="56530" y="403625"/>
                                </a:lnTo>
                                <a:lnTo>
                                  <a:pt x="76135" y="362567"/>
                                </a:lnTo>
                                <a:lnTo>
                                  <a:pt x="98293" y="323248"/>
                                </a:lnTo>
                                <a:lnTo>
                                  <a:pt x="122880" y="285752"/>
                                </a:lnTo>
                                <a:lnTo>
                                  <a:pt x="149770" y="250166"/>
                                </a:lnTo>
                                <a:lnTo>
                                  <a:pt x="178836" y="216574"/>
                                </a:lnTo>
                                <a:lnTo>
                                  <a:pt x="209954" y="185061"/>
                                </a:lnTo>
                                <a:lnTo>
                                  <a:pt x="242998" y="155712"/>
                                </a:lnTo>
                                <a:lnTo>
                                  <a:pt x="277843" y="128613"/>
                                </a:lnTo>
                                <a:lnTo>
                                  <a:pt x="314362" y="103848"/>
                                </a:lnTo>
                                <a:lnTo>
                                  <a:pt x="352431" y="81504"/>
                                </a:lnTo>
                                <a:lnTo>
                                  <a:pt x="391923" y="61664"/>
                                </a:lnTo>
                                <a:lnTo>
                                  <a:pt x="432714" y="44415"/>
                                </a:lnTo>
                                <a:lnTo>
                                  <a:pt x="474677" y="29841"/>
                                </a:lnTo>
                                <a:lnTo>
                                  <a:pt x="517687" y="18027"/>
                                </a:lnTo>
                                <a:lnTo>
                                  <a:pt x="561619" y="9059"/>
                                </a:lnTo>
                                <a:lnTo>
                                  <a:pt x="606346" y="3021"/>
                                </a:lnTo>
                                <a:lnTo>
                                  <a:pt x="651744" y="0"/>
                                </a:lnTo>
                                <a:lnTo>
                                  <a:pt x="697687" y="79"/>
                                </a:lnTo>
                                <a:lnTo>
                                  <a:pt x="744049" y="3344"/>
                                </a:lnTo>
                                <a:lnTo>
                                  <a:pt x="790704" y="9881"/>
                                </a:lnTo>
                                <a:lnTo>
                                  <a:pt x="732479" y="341881"/>
                                </a:lnTo>
                                <a:lnTo>
                                  <a:pt x="683872" y="336911"/>
                                </a:lnTo>
                                <a:lnTo>
                                  <a:pt x="636207" y="338889"/>
                                </a:lnTo>
                                <a:lnTo>
                                  <a:pt x="590057" y="347425"/>
                                </a:lnTo>
                                <a:lnTo>
                                  <a:pt x="545996" y="362131"/>
                                </a:lnTo>
                                <a:lnTo>
                                  <a:pt x="504598" y="382617"/>
                                </a:lnTo>
                                <a:lnTo>
                                  <a:pt x="466437" y="408495"/>
                                </a:lnTo>
                                <a:lnTo>
                                  <a:pt x="432088" y="439374"/>
                                </a:lnTo>
                                <a:lnTo>
                                  <a:pt x="402122" y="474866"/>
                                </a:lnTo>
                                <a:lnTo>
                                  <a:pt x="377116" y="514582"/>
                                </a:lnTo>
                                <a:lnTo>
                                  <a:pt x="357642" y="558133"/>
                                </a:lnTo>
                                <a:lnTo>
                                  <a:pt x="344274" y="605129"/>
                                </a:lnTo>
                                <a:lnTo>
                                  <a:pt x="337762" y="653553"/>
                                </a:lnTo>
                                <a:lnTo>
                                  <a:pt x="338223" y="701257"/>
                                </a:lnTo>
                                <a:lnTo>
                                  <a:pt x="345288" y="747655"/>
                                </a:lnTo>
                                <a:lnTo>
                                  <a:pt x="358586" y="792161"/>
                                </a:lnTo>
                                <a:lnTo>
                                  <a:pt x="377746" y="834189"/>
                                </a:lnTo>
                                <a:lnTo>
                                  <a:pt x="402398" y="873153"/>
                                </a:lnTo>
                                <a:lnTo>
                                  <a:pt x="432169" y="908468"/>
                                </a:lnTo>
                                <a:lnTo>
                                  <a:pt x="466691" y="939546"/>
                                </a:lnTo>
                                <a:lnTo>
                                  <a:pt x="505592" y="965803"/>
                                </a:lnTo>
                                <a:lnTo>
                                  <a:pt x="548501" y="986652"/>
                                </a:lnTo>
                                <a:lnTo>
                                  <a:pt x="595048" y="1001507"/>
                                </a:lnTo>
                                <a:lnTo>
                                  <a:pt x="515843" y="1329134"/>
                                </a:lnTo>
                                <a:close/>
                              </a:path>
                            </a:pathLst>
                          </a:custGeom>
                          <a:ln w="9525">
                            <a:solidFill>
                              <a:srgbClr val="FFFFFF"/>
                            </a:solidFill>
                            <a:prstDash val="solid"/>
                          </a:ln>
                        </wps:spPr>
                        <wps:bodyPr wrap="square" lIns="0" tIns="0" rIns="0" bIns="0" rtlCol="0">
                          <a:prstTxWarp prst="textNoShape">
                            <a:avLst/>
                          </a:prstTxWarp>
                          <a:noAutofit/>
                        </wps:bodyPr>
                      </wps:wsp>
                      <wps:wsp>
                        <wps:cNvPr id="350" name="Graphic 350"/>
                        <wps:cNvSpPr/>
                        <wps:spPr>
                          <a:xfrm>
                            <a:off x="432395" y="471557"/>
                            <a:ext cx="2101215" cy="1090930"/>
                          </a:xfrm>
                          <a:custGeom>
                            <a:avLst/>
                            <a:gdLst/>
                            <a:ahLst/>
                            <a:cxnLst/>
                            <a:rect l="l" t="t" r="r" b="b"/>
                            <a:pathLst>
                              <a:path w="2101215" h="1090930">
                                <a:moveTo>
                                  <a:pt x="1463545" y="0"/>
                                </a:moveTo>
                                <a:lnTo>
                                  <a:pt x="1387345" y="0"/>
                                </a:lnTo>
                                <a:lnTo>
                                  <a:pt x="1158998" y="87857"/>
                                </a:lnTo>
                              </a:path>
                              <a:path w="2101215" h="1090930">
                                <a:moveTo>
                                  <a:pt x="2101143" y="1090322"/>
                                </a:moveTo>
                                <a:lnTo>
                                  <a:pt x="1680025" y="912041"/>
                                </a:lnTo>
                                <a:lnTo>
                                  <a:pt x="1680025" y="912041"/>
                                </a:lnTo>
                              </a:path>
                              <a:path w="2101215" h="1090930">
                                <a:moveTo>
                                  <a:pt x="0" y="940137"/>
                                </a:moveTo>
                                <a:lnTo>
                                  <a:pt x="355619" y="613573"/>
                                </a:lnTo>
                                <a:lnTo>
                                  <a:pt x="355619" y="613573"/>
                                </a:lnTo>
                              </a:path>
                            </a:pathLst>
                          </a:custGeom>
                          <a:ln w="9525">
                            <a:solidFill>
                              <a:srgbClr val="585858"/>
                            </a:solidFill>
                            <a:prstDash val="solid"/>
                          </a:ln>
                        </wps:spPr>
                        <wps:bodyPr wrap="square" lIns="0" tIns="0" rIns="0" bIns="0" rtlCol="0">
                          <a:prstTxWarp prst="textNoShape">
                            <a:avLst/>
                          </a:prstTxWarp>
                          <a:noAutofit/>
                        </wps:bodyPr>
                      </wps:wsp>
                      <wps:wsp>
                        <wps:cNvPr id="351" name="Textbox 351"/>
                        <wps:cNvSpPr txBox="1"/>
                        <wps:spPr>
                          <a:xfrm>
                            <a:off x="1117980" y="77188"/>
                            <a:ext cx="673735" cy="113664"/>
                          </a:xfrm>
                          <a:prstGeom prst="rect">
                            <a:avLst/>
                          </a:prstGeom>
                        </wps:spPr>
                        <wps:txbx>
                          <w:txbxContent>
                            <w:p>
                              <w:pPr>
                                <w:spacing w:line="179" w:lineRule="exact" w:before="0"/>
                                <w:ind w:left="0" w:right="0" w:firstLine="0"/>
                                <w:jc w:val="left"/>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txbxContent>
                        </wps:txbx>
                        <wps:bodyPr wrap="square" lIns="0" tIns="0" rIns="0" bIns="0" rtlCol="0">
                          <a:noAutofit/>
                        </wps:bodyPr>
                      </wps:wsp>
                      <wps:wsp>
                        <wps:cNvPr id="352" name="Textbox 352"/>
                        <wps:cNvSpPr txBox="1"/>
                        <wps:spPr>
                          <a:xfrm>
                            <a:off x="1886414" y="301095"/>
                            <a:ext cx="628650" cy="357505"/>
                          </a:xfrm>
                          <a:prstGeom prst="rect">
                            <a:avLst/>
                          </a:prstGeom>
                        </wps:spPr>
                        <wps:txbx>
                          <w:txbxContent>
                            <w:p>
                              <w:pPr>
                                <w:spacing w:line="249" w:lineRule="auto" w:before="0"/>
                                <w:ind w:left="0" w:right="0" w:firstLine="0"/>
                                <w:jc w:val="left"/>
                                <w:rPr>
                                  <w:rFonts w:ascii="Arial MT"/>
                                  <w:sz w:val="16"/>
                                </w:rPr>
                              </w:pPr>
                              <w:r>
                                <w:rPr>
                                  <w:rFonts w:ascii="Arial MT"/>
                                  <w:spacing w:val="-2"/>
                                  <w:sz w:val="16"/>
                                </w:rPr>
                                <w:t>Asset-</w:t>
                              </w:r>
                              <w:r>
                                <w:rPr>
                                  <w:rFonts w:ascii="Arial MT"/>
                                  <w:spacing w:val="-2"/>
                                  <w:sz w:val="16"/>
                                </w:rPr>
                                <w:t>backed </w:t>
                              </w:r>
                              <w:r>
                                <w:rPr>
                                  <w:rFonts w:ascii="Arial MT"/>
                                  <w:sz w:val="16"/>
                                </w:rPr>
                                <w:t>Securities &amp; Others, 1%</w:t>
                              </w:r>
                            </w:p>
                          </w:txbxContent>
                        </wps:txbx>
                        <wps:bodyPr wrap="square" lIns="0" tIns="0" rIns="0" bIns="0" rtlCol="0">
                          <a:noAutofit/>
                        </wps:bodyPr>
                      </wps:wsp>
                      <wps:wsp>
                        <wps:cNvPr id="353" name="Textbox 353"/>
                        <wps:cNvSpPr txBox="1"/>
                        <wps:spPr>
                          <a:xfrm>
                            <a:off x="1234567" y="1143727"/>
                            <a:ext cx="471805" cy="142240"/>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$75,413</w:t>
                              </w:r>
                            </w:p>
                          </w:txbxContent>
                        </wps:txbx>
                        <wps:bodyPr wrap="square" lIns="0" tIns="0" rIns="0" bIns="0" rtlCol="0">
                          <a:noAutofit/>
                        </wps:bodyPr>
                      </wps:wsp>
                      <wps:wsp>
                        <wps:cNvPr id="354" name="Textbox 354"/>
                        <wps:cNvSpPr txBox="1"/>
                        <wps:spPr>
                          <a:xfrm>
                            <a:off x="99020" y="1422208"/>
                            <a:ext cx="668020" cy="235585"/>
                          </a:xfrm>
                          <a:prstGeom prst="rect">
                            <a:avLst/>
                          </a:prstGeom>
                        </wps:spPr>
                        <wps:txbx>
                          <w:txbxContent>
                            <w:p>
                              <w:pPr>
                                <w:spacing w:line="249" w:lineRule="auto" w:before="0"/>
                                <w:ind w:left="0" w:right="18" w:firstLine="0"/>
                                <w:jc w:val="left"/>
                                <w:rPr>
                                  <w:rFonts w:ascii="Arial MT"/>
                                  <w:sz w:val="16"/>
                                </w:rPr>
                              </w:pPr>
                              <w:r>
                                <w:rPr>
                                  <w:rFonts w:ascii="Arial MT"/>
                                  <w:spacing w:val="-4"/>
                                  <w:sz w:val="16"/>
                                </w:rPr>
                                <w:t>Time</w:t>
                              </w:r>
                              <w:r>
                                <w:rPr>
                                  <w:rFonts w:ascii="Arial MT"/>
                                  <w:spacing w:val="40"/>
                                  <w:sz w:val="16"/>
                                </w:rPr>
                                <w:t> </w:t>
                              </w:r>
                              <w:r>
                                <w:rPr>
                                  <w:rFonts w:ascii="Arial MT"/>
                                  <w:sz w:val="16"/>
                                </w:rPr>
                                <w:t>Deposits,</w:t>
                              </w:r>
                              <w:r>
                                <w:rPr>
                                  <w:rFonts w:ascii="Arial MT"/>
                                  <w:spacing w:val="-12"/>
                                  <w:sz w:val="16"/>
                                </w:rPr>
                                <w:t> </w:t>
                              </w:r>
                              <w:r>
                                <w:rPr>
                                  <w:rFonts w:ascii="Arial MT"/>
                                  <w:sz w:val="16"/>
                                </w:rPr>
                                <w:t>49%</w:t>
                              </w:r>
                            </w:p>
                          </w:txbxContent>
                        </wps:txbx>
                        <wps:bodyPr wrap="square" lIns="0" tIns="0" rIns="0" bIns="0" rtlCol="0">
                          <a:noAutofit/>
                        </wps:bodyPr>
                      </wps:wsp>
                      <wps:wsp>
                        <wps:cNvPr id="355" name="Textbox 355"/>
                        <wps:cNvSpPr txBox="1"/>
                        <wps:spPr>
                          <a:xfrm>
                            <a:off x="2152539" y="1572393"/>
                            <a:ext cx="758190" cy="357505"/>
                          </a:xfrm>
                          <a:prstGeom prst="rect">
                            <a:avLst/>
                          </a:prstGeom>
                        </wps:spPr>
                        <wps:txbx>
                          <w:txbxContent>
                            <w:p>
                              <w:pPr>
                                <w:spacing w:line="249" w:lineRule="auto" w:before="0"/>
                                <w:ind w:left="0" w:right="18" w:firstLine="0"/>
                                <w:jc w:val="left"/>
                                <w:rPr>
                                  <w:rFonts w:ascii="Arial MT"/>
                                  <w:sz w:val="16"/>
                                </w:rPr>
                              </w:pPr>
                              <w:r>
                                <w:rPr>
                                  <w:rFonts w:ascii="Arial MT"/>
                                  <w:spacing w:val="-2"/>
                                  <w:sz w:val="16"/>
                                </w:rPr>
                                <w:t>Government</w:t>
                              </w:r>
                              <w:r>
                                <w:rPr>
                                  <w:rFonts w:ascii="Arial MT"/>
                                  <w:spacing w:val="80"/>
                                  <w:sz w:val="16"/>
                                </w:rPr>
                                <w:t> </w:t>
                              </w:r>
                              <w:r>
                                <w:rPr>
                                  <w:rFonts w:ascii="Arial MT"/>
                                  <w:sz w:val="16"/>
                                </w:rPr>
                                <w:t>and agency obligations,</w:t>
                              </w:r>
                              <w:r>
                                <w:rPr>
                                  <w:rFonts w:ascii="Arial MT"/>
                                  <w:spacing w:val="-12"/>
                                  <w:sz w:val="16"/>
                                </w:rPr>
                                <w:t> </w:t>
                              </w:r>
                              <w:r>
                                <w:rPr>
                                  <w:rFonts w:ascii="Arial MT"/>
                                  <w:sz w:val="16"/>
                                </w:rPr>
                                <w:t>50%</w:t>
                              </w:r>
                            </w:p>
                          </w:txbxContent>
                        </wps:txbx>
                        <wps:bodyPr wrap="square" lIns="0" tIns="0" rIns="0" bIns="0" rtlCol="0">
                          <a:noAutofit/>
                        </wps:bodyPr>
                      </wps:wsp>
                    </wpg:wgp>
                  </a:graphicData>
                </a:graphic>
              </wp:anchor>
            </w:drawing>
          </mc:Choice>
          <mc:Fallback>
            <w:pict>
              <v:group style="position:absolute;margin-left:72pt;margin-top:10.364805pt;width:229.2pt;height:165pt;mso-position-horizontal-relative:page;mso-position-vertical-relative:paragraph;z-index:-15673344;mso-wrap-distance-left:0;mso-wrap-distance-right:0" id="docshapegroup275" coordorigin="1440,207" coordsize="4584,3300">
                <v:rect style="position:absolute;left:1455;top:222;width:4545;height:3270" id="docshape276" filled="false" stroked="true" strokeweight="1.5pt" strokecolor="#000000">
                  <v:stroke dashstyle="solid"/>
                </v:rect>
                <v:shape style="position:absolute;left:3827;top:1096;width:157;height:530" id="docshape277" coordorigin="3827,1097" coordsize="157,530" path="m3920,1097l3827,1620,3838,1621,3860,1626,3984,1110,3952,1103,3920,1097xe" filled="true" fillcolor="#494949" stroked="false">
                  <v:path arrowok="t"/>
                  <v:fill type="solid"/>
                </v:shape>
                <v:shape style="position:absolute;left:3486;top:1110;width:1307;height:2093" id="docshape278" coordorigin="3487,1111" coordsize="1307,2093" path="m3985,1111l3860,1626,3935,1651,4003,1685,4065,1727,4120,1778,4166,1835,4205,1898,4234,1966,4254,2038,4263,2113,4262,2189,4249,2266,4225,2341,4191,2410,4149,2472,4099,2527,4042,2574,3979,2612,3911,2642,3839,2662,3765,2672,3688,2671,3611,2658,3487,3174,3561,3189,3635,3199,3708,3203,3781,3202,3853,3196,3924,3186,3994,3170,4062,3150,4129,3126,4194,3097,4256,3064,4316,3027,4374,2986,4429,2942,4481,2893,4530,2841,4575,2786,4617,2728,4655,2666,4688,2601,4718,2534,4743,2463,4763,2391,4778,2317,4788,2243,4793,2169,4792,2096,4787,2024,4776,1953,4761,1883,4741,1815,4717,1748,4689,1683,4656,1620,4620,1560,4579,1502,4534,1447,4486,1395,4435,1346,4380,1300,4321,1259,4260,1220,4195,1186,4128,1157,4058,1131,3985,1111xe" filled="true" fillcolor="#dadada" stroked="false">
                  <v:path arrowok="t"/>
                  <v:fill type="solid"/>
                </v:shape>
                <v:shape style="position:absolute;left:3486;top:1110;width:1307;height:2093" id="docshape279" coordorigin="3487,1111" coordsize="1307,2093" path="m3985,1111l4058,1131,4128,1157,4195,1186,4260,1220,4321,1259,4380,1300,4435,1346,4486,1395,4534,1447,4579,1502,4620,1560,4656,1620,4689,1683,4717,1748,4741,1815,4761,1883,4776,1953,4787,2024,4792,2096,4793,2169,4788,2243,4778,2317,4763,2391,4743,2463,4718,2534,4688,2601,4655,2666,4617,2728,4575,2786,4530,2841,4481,2893,4429,2942,4374,2986,4316,3027,4256,3064,4194,3097,4129,3126,4062,3150,3994,3170,3924,3186,3853,3196,3781,3202,3708,3203,3635,3199,3561,3189,3487,3174,3611,2658,3688,2671,3765,2672,3839,2662,3911,2642,3979,2612,4042,2574,4099,2527,4149,2472,4191,2410,4225,2341,4249,2266,4262,2189,4263,2113,4254,2038,4234,1966,4205,1898,4166,1835,4120,1778,4065,1727,4003,1685,3935,1651,3860,1626,3985,1111xe" filled="false" stroked="true" strokeweight=".75pt" strokecolor="#ffffff">
                  <v:path arrowok="t"/>
                  <v:stroke dashstyle="solid"/>
                </v:shape>
                <v:shape style="position:absolute;left:2673;top:1081;width:1246;height:2094" id="docshape280" coordorigin="2673,1081" coordsize="1246,2094" path="m3772,1081l3700,1081,3628,1086,3558,1095,3488,1109,3421,1128,3355,1151,3290,1178,3228,1209,3168,1245,3111,1284,3056,1326,3004,1373,2955,1422,2909,1475,2867,1531,2828,1590,2793,1652,2762,1717,2736,1784,2713,1854,2696,1926,2683,1999,2676,2072,2673,2144,2676,2216,2683,2286,2695,2356,2711,2424,2732,2491,2757,2556,2786,2619,2820,2680,2857,2739,2898,2795,2942,2849,2990,2899,3042,2947,3096,2991,3154,3031,3215,3068,3279,3101,3345,3130,3414,3154,3486,3174,3610,2658,3537,2635,3469,2602,3408,2561,3354,2512,3307,2456,3268,2395,3238,2329,3217,2258,3206,2185,3205,2110,3215,2034,3236,1960,3267,1891,3306,1829,3354,1773,3408,1724,3468,1684,3533,1651,3602,1628,3675,1615,3750,1612,3827,1619,3918,1097,3845,1086,3772,1081xe" filled="true" fillcolor="#919191" stroked="false">
                  <v:path arrowok="t"/>
                  <v:fill type="solid"/>
                </v:shape>
                <v:shape style="position:absolute;left:2673;top:1081;width:1246;height:2094" id="docshape281" coordorigin="2673,1081" coordsize="1246,2094" path="m3486,3174l3414,3154,3345,3130,3279,3101,3215,3068,3154,3031,3096,2991,3042,2947,2990,2899,2942,2849,2898,2795,2857,2739,2820,2680,2786,2619,2757,2556,2732,2491,2711,2424,2695,2356,2683,2286,2676,2216,2673,2144,2676,2072,2683,1999,2696,1926,2713,1854,2736,1784,2762,1717,2793,1652,2828,1590,2867,1531,2909,1475,2955,1422,3004,1373,3056,1326,3111,1284,3168,1245,3228,1209,3290,1178,3355,1151,3421,1128,3488,1109,3558,1095,3628,1086,3700,1081,3772,1081,3845,1086,3918,1097,3827,1619,3750,1612,3675,1615,3602,1628,3533,1651,3468,1684,3408,1724,3354,1773,3306,1829,3267,1891,3236,1960,3215,2034,3205,2110,3206,2185,3217,2258,3238,2329,3268,2395,3307,2456,3354,2512,3408,2561,3469,2602,3537,2635,3610,2658,3486,3174xe" filled="false" stroked="true" strokeweight=".75pt" strokecolor="#ffffff">
                  <v:path arrowok="t"/>
                  <v:stroke dashstyle="solid"/>
                </v:shape>
                <v:shape style="position:absolute;left:2120;top:949;width:3309;height:1718" id="docshape282" coordorigin="2121,950" coordsize="3309,1718" path="m4426,950l4306,950,3946,1088m5430,2667l4767,2386,4767,2386m2121,2430l2681,1916,2681,1916e" filled="false" stroked="true" strokeweight=".75pt" strokecolor="#585858">
                  <v:path arrowok="t"/>
                  <v:stroke dashstyle="solid"/>
                </v:shape>
                <v:shape style="position:absolute;left:3200;top:328;width:1061;height:179" type="#_x0000_t202" id="docshape283" filled="false" stroked="false">
                  <v:textbox inset="0,0,0,0">
                    <w:txbxContent>
                      <w:p>
                        <w:pPr>
                          <w:spacing w:line="179" w:lineRule="exact" w:before="0"/>
                          <w:ind w:left="0" w:right="0" w:firstLine="0"/>
                          <w:jc w:val="left"/>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txbxContent>
                  </v:textbox>
                  <w10:wrap type="none"/>
                </v:shape>
                <v:shape style="position:absolute;left:4410;top:681;width:990;height:563" type="#_x0000_t202" id="docshape284" filled="false" stroked="false">
                  <v:textbox inset="0,0,0,0">
                    <w:txbxContent>
                      <w:p>
                        <w:pPr>
                          <w:spacing w:line="249" w:lineRule="auto" w:before="0"/>
                          <w:ind w:left="0" w:right="0" w:firstLine="0"/>
                          <w:jc w:val="left"/>
                          <w:rPr>
                            <w:rFonts w:ascii="Arial MT"/>
                            <w:sz w:val="16"/>
                          </w:rPr>
                        </w:pPr>
                        <w:r>
                          <w:rPr>
                            <w:rFonts w:ascii="Arial MT"/>
                            <w:spacing w:val="-2"/>
                            <w:sz w:val="16"/>
                          </w:rPr>
                          <w:t>Asset-</w:t>
                        </w:r>
                        <w:r>
                          <w:rPr>
                            <w:rFonts w:ascii="Arial MT"/>
                            <w:spacing w:val="-2"/>
                            <w:sz w:val="16"/>
                          </w:rPr>
                          <w:t>backed </w:t>
                        </w:r>
                        <w:r>
                          <w:rPr>
                            <w:rFonts w:ascii="Arial MT"/>
                            <w:sz w:val="16"/>
                          </w:rPr>
                          <w:t>Securities &amp; Others, 1%</w:t>
                        </w:r>
                      </w:p>
                    </w:txbxContent>
                  </v:textbox>
                  <w10:wrap type="none"/>
                </v:shape>
                <v:shape style="position:absolute;left:3384;top:2008;width:743;height:224" type="#_x0000_t202" id="docshape285" filled="false" stroked="false">
                  <v:textbox inset="0,0,0,0">
                    <w:txbxContent>
                      <w:p>
                        <w:pPr>
                          <w:spacing w:line="223" w:lineRule="exact" w:before="0"/>
                          <w:ind w:left="0" w:right="0" w:firstLine="0"/>
                          <w:jc w:val="left"/>
                          <w:rPr>
                            <w:rFonts w:ascii="Arial"/>
                            <w:b/>
                            <w:sz w:val="20"/>
                          </w:rPr>
                        </w:pPr>
                        <w:r>
                          <w:rPr>
                            <w:rFonts w:ascii="Arial"/>
                            <w:b/>
                            <w:spacing w:val="-2"/>
                            <w:sz w:val="20"/>
                          </w:rPr>
                          <w:t>$75,413</w:t>
                        </w:r>
                      </w:p>
                    </w:txbxContent>
                  </v:textbox>
                  <w10:wrap type="none"/>
                </v:shape>
                <v:shape style="position:absolute;left:1595;top:2447;width:1052;height:371" type="#_x0000_t202" id="docshape286" filled="false" stroked="false">
                  <v:textbox inset="0,0,0,0">
                    <w:txbxContent>
                      <w:p>
                        <w:pPr>
                          <w:spacing w:line="249" w:lineRule="auto" w:before="0"/>
                          <w:ind w:left="0" w:right="18" w:firstLine="0"/>
                          <w:jc w:val="left"/>
                          <w:rPr>
                            <w:rFonts w:ascii="Arial MT"/>
                            <w:sz w:val="16"/>
                          </w:rPr>
                        </w:pPr>
                        <w:r>
                          <w:rPr>
                            <w:rFonts w:ascii="Arial MT"/>
                            <w:spacing w:val="-4"/>
                            <w:sz w:val="16"/>
                          </w:rPr>
                          <w:t>Time</w:t>
                        </w:r>
                        <w:r>
                          <w:rPr>
                            <w:rFonts w:ascii="Arial MT"/>
                            <w:spacing w:val="40"/>
                            <w:sz w:val="16"/>
                          </w:rPr>
                          <w:t> </w:t>
                        </w:r>
                        <w:r>
                          <w:rPr>
                            <w:rFonts w:ascii="Arial MT"/>
                            <w:sz w:val="16"/>
                          </w:rPr>
                          <w:t>Deposits,</w:t>
                        </w:r>
                        <w:r>
                          <w:rPr>
                            <w:rFonts w:ascii="Arial MT"/>
                            <w:spacing w:val="-12"/>
                            <w:sz w:val="16"/>
                          </w:rPr>
                          <w:t> </w:t>
                        </w:r>
                        <w:r>
                          <w:rPr>
                            <w:rFonts w:ascii="Arial MT"/>
                            <w:sz w:val="16"/>
                          </w:rPr>
                          <w:t>49%</w:t>
                        </w:r>
                      </w:p>
                    </w:txbxContent>
                  </v:textbox>
                  <w10:wrap type="none"/>
                </v:shape>
                <v:shape style="position:absolute;left:4829;top:2683;width:1194;height:563" type="#_x0000_t202" id="docshape287" filled="false" stroked="false">
                  <v:textbox inset="0,0,0,0">
                    <w:txbxContent>
                      <w:p>
                        <w:pPr>
                          <w:spacing w:line="249" w:lineRule="auto" w:before="0"/>
                          <w:ind w:left="0" w:right="18" w:firstLine="0"/>
                          <w:jc w:val="left"/>
                          <w:rPr>
                            <w:rFonts w:ascii="Arial MT"/>
                            <w:sz w:val="16"/>
                          </w:rPr>
                        </w:pPr>
                        <w:r>
                          <w:rPr>
                            <w:rFonts w:ascii="Arial MT"/>
                            <w:spacing w:val="-2"/>
                            <w:sz w:val="16"/>
                          </w:rPr>
                          <w:t>Government</w:t>
                        </w:r>
                        <w:r>
                          <w:rPr>
                            <w:rFonts w:ascii="Arial MT"/>
                            <w:spacing w:val="80"/>
                            <w:sz w:val="16"/>
                          </w:rPr>
                          <w:t> </w:t>
                        </w:r>
                        <w:r>
                          <w:rPr>
                            <w:rFonts w:ascii="Arial MT"/>
                            <w:sz w:val="16"/>
                          </w:rPr>
                          <w:t>and agency obligations,</w:t>
                        </w:r>
                        <w:r>
                          <w:rPr>
                            <w:rFonts w:ascii="Arial MT"/>
                            <w:spacing w:val="-12"/>
                            <w:sz w:val="16"/>
                          </w:rPr>
                          <w:t> </w:t>
                        </w:r>
                        <w:r>
                          <w:rPr>
                            <w:rFonts w:ascii="Arial MT"/>
                            <w:sz w:val="16"/>
                          </w:rPr>
                          <w:t>50%</w:t>
                        </w:r>
                      </w:p>
                    </w:txbxContent>
                  </v:textbox>
                  <w10:wrap type="none"/>
                </v:shape>
                <w10:wrap type="topAndBottom"/>
              </v:group>
            </w:pict>
          </mc:Fallback>
        </mc:AlternateContent>
      </w:r>
      <w:r>
        <w:rPr>
          <w:rFonts w:ascii="Arial"/>
          <w:i/>
          <w:sz w:val="16"/>
        </w:rPr>
        <mc:AlternateContent>
          <mc:Choice Requires="wps">
            <w:drawing>
              <wp:anchor distT="0" distB="0" distL="0" distR="0" allowOverlap="1" layoutInCell="1" locked="0" behindDoc="1" simplePos="0" relativeHeight="487643648">
                <wp:simplePos x="0" y="0"/>
                <wp:positionH relativeFrom="page">
                  <wp:posOffset>3883025</wp:posOffset>
                </wp:positionH>
                <wp:positionV relativeFrom="paragraph">
                  <wp:posOffset>131633</wp:posOffset>
                </wp:positionV>
                <wp:extent cx="2905125" cy="2095500"/>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2905125" cy="2095500"/>
                          <a:chExt cx="2905125" cy="2095500"/>
                        </a:xfrm>
                      </wpg:grpSpPr>
                      <wps:wsp>
                        <wps:cNvPr id="357" name="Graphic 357"/>
                        <wps:cNvSpPr/>
                        <wps:spPr>
                          <a:xfrm>
                            <a:off x="9525" y="9525"/>
                            <a:ext cx="2886075" cy="2076450"/>
                          </a:xfrm>
                          <a:custGeom>
                            <a:avLst/>
                            <a:gdLst/>
                            <a:ahLst/>
                            <a:cxnLst/>
                            <a:rect l="l" t="t" r="r" b="b"/>
                            <a:pathLst>
                              <a:path w="2886075" h="2076450">
                                <a:moveTo>
                                  <a:pt x="0" y="0"/>
                                </a:moveTo>
                                <a:lnTo>
                                  <a:pt x="2886075" y="0"/>
                                </a:lnTo>
                                <a:lnTo>
                                  <a:pt x="2886075" y="2076449"/>
                                </a:lnTo>
                                <a:lnTo>
                                  <a:pt x="0" y="2076449"/>
                                </a:lnTo>
                                <a:lnTo>
                                  <a:pt x="0" y="0"/>
                                </a:lnTo>
                                <a:close/>
                              </a:path>
                            </a:pathLst>
                          </a:custGeom>
                          <a:ln w="19050">
                            <a:solidFill>
                              <a:srgbClr val="000000"/>
                            </a:solidFill>
                            <a:prstDash val="solid"/>
                          </a:ln>
                        </wps:spPr>
                        <wps:bodyPr wrap="square" lIns="0" tIns="0" rIns="0" bIns="0" rtlCol="0">
                          <a:prstTxWarp prst="textNoShape">
                            <a:avLst/>
                          </a:prstTxWarp>
                          <a:noAutofit/>
                        </wps:bodyPr>
                      </wps:wsp>
                      <wps:wsp>
                        <wps:cNvPr id="358" name="Graphic 358"/>
                        <wps:cNvSpPr/>
                        <wps:spPr>
                          <a:xfrm>
                            <a:off x="1513598" y="564865"/>
                            <a:ext cx="259715" cy="378460"/>
                          </a:xfrm>
                          <a:custGeom>
                            <a:avLst/>
                            <a:gdLst/>
                            <a:ahLst/>
                            <a:cxnLst/>
                            <a:rect l="l" t="t" r="r" b="b"/>
                            <a:pathLst>
                              <a:path w="259715" h="378460">
                                <a:moveTo>
                                  <a:pt x="60962" y="0"/>
                                </a:moveTo>
                                <a:lnTo>
                                  <a:pt x="0" y="345206"/>
                                </a:lnTo>
                                <a:lnTo>
                                  <a:pt x="24755" y="350585"/>
                                </a:lnTo>
                                <a:lnTo>
                                  <a:pt x="48978" y="357872"/>
                                </a:lnTo>
                                <a:lnTo>
                                  <a:pt x="72557" y="367028"/>
                                </a:lnTo>
                                <a:lnTo>
                                  <a:pt x="95383" y="378016"/>
                                </a:lnTo>
                                <a:lnTo>
                                  <a:pt x="259678" y="68352"/>
                                </a:lnTo>
                                <a:lnTo>
                                  <a:pt x="212123" y="45461"/>
                                </a:lnTo>
                                <a:lnTo>
                                  <a:pt x="163000" y="26385"/>
                                </a:lnTo>
                                <a:lnTo>
                                  <a:pt x="112536" y="11205"/>
                                </a:lnTo>
                                <a:lnTo>
                                  <a:pt x="60962" y="0"/>
                                </a:lnTo>
                                <a:close/>
                              </a:path>
                            </a:pathLst>
                          </a:custGeom>
                          <a:solidFill>
                            <a:srgbClr val="242424"/>
                          </a:solidFill>
                        </wps:spPr>
                        <wps:bodyPr wrap="square" lIns="0" tIns="0" rIns="0" bIns="0" rtlCol="0">
                          <a:prstTxWarp prst="textNoShape">
                            <a:avLst/>
                          </a:prstTxWarp>
                          <a:noAutofit/>
                        </wps:bodyPr>
                      </wps:wsp>
                      <wps:wsp>
                        <wps:cNvPr id="359" name="Graphic 359"/>
                        <wps:cNvSpPr/>
                        <wps:spPr>
                          <a:xfrm>
                            <a:off x="1258618" y="633534"/>
                            <a:ext cx="873125" cy="1270000"/>
                          </a:xfrm>
                          <a:custGeom>
                            <a:avLst/>
                            <a:gdLst/>
                            <a:ahLst/>
                            <a:cxnLst/>
                            <a:rect l="l" t="t" r="r" b="b"/>
                            <a:pathLst>
                              <a:path w="873125" h="1270000">
                                <a:moveTo>
                                  <a:pt x="515254" y="0"/>
                                </a:moveTo>
                                <a:lnTo>
                                  <a:pt x="350649" y="309498"/>
                                </a:lnTo>
                                <a:lnTo>
                                  <a:pt x="392286" y="335854"/>
                                </a:lnTo>
                                <a:lnTo>
                                  <a:pt x="428636" y="367424"/>
                                </a:lnTo>
                                <a:lnTo>
                                  <a:pt x="459436" y="403472"/>
                                </a:lnTo>
                                <a:lnTo>
                                  <a:pt x="484423" y="443262"/>
                                </a:lnTo>
                                <a:lnTo>
                                  <a:pt x="503332" y="486060"/>
                                </a:lnTo>
                                <a:lnTo>
                                  <a:pt x="515900" y="531129"/>
                                </a:lnTo>
                                <a:lnTo>
                                  <a:pt x="521865" y="577734"/>
                                </a:lnTo>
                                <a:lnTo>
                                  <a:pt x="520961" y="625140"/>
                                </a:lnTo>
                                <a:lnTo>
                                  <a:pt x="512926" y="672610"/>
                                </a:lnTo>
                                <a:lnTo>
                                  <a:pt x="497497" y="719409"/>
                                </a:lnTo>
                                <a:lnTo>
                                  <a:pt x="475201" y="763353"/>
                                </a:lnTo>
                                <a:lnTo>
                                  <a:pt x="447214" y="802529"/>
                                </a:lnTo>
                                <a:lnTo>
                                  <a:pt x="414243" y="836603"/>
                                </a:lnTo>
                                <a:lnTo>
                                  <a:pt x="376997" y="865243"/>
                                </a:lnTo>
                                <a:lnTo>
                                  <a:pt x="336181" y="888119"/>
                                </a:lnTo>
                                <a:lnTo>
                                  <a:pt x="292504" y="904897"/>
                                </a:lnTo>
                                <a:lnTo>
                                  <a:pt x="246672" y="915245"/>
                                </a:lnTo>
                                <a:lnTo>
                                  <a:pt x="199394" y="918833"/>
                                </a:lnTo>
                                <a:lnTo>
                                  <a:pt x="151376" y="915328"/>
                                </a:lnTo>
                                <a:lnTo>
                                  <a:pt x="103327" y="904397"/>
                                </a:lnTo>
                                <a:lnTo>
                                  <a:pt x="0" y="1239371"/>
                                </a:lnTo>
                                <a:lnTo>
                                  <a:pt x="47583" y="1252188"/>
                                </a:lnTo>
                                <a:lnTo>
                                  <a:pt x="95326" y="1261415"/>
                                </a:lnTo>
                                <a:lnTo>
                                  <a:pt x="143069" y="1267126"/>
                                </a:lnTo>
                                <a:lnTo>
                                  <a:pt x="190655" y="1269398"/>
                                </a:lnTo>
                                <a:lnTo>
                                  <a:pt x="237923" y="1268303"/>
                                </a:lnTo>
                                <a:lnTo>
                                  <a:pt x="284714" y="1263917"/>
                                </a:lnTo>
                                <a:lnTo>
                                  <a:pt x="330870" y="1256315"/>
                                </a:lnTo>
                                <a:lnTo>
                                  <a:pt x="376231" y="1245571"/>
                                </a:lnTo>
                                <a:lnTo>
                                  <a:pt x="420637" y="1231760"/>
                                </a:lnTo>
                                <a:lnTo>
                                  <a:pt x="463931" y="1214957"/>
                                </a:lnTo>
                                <a:lnTo>
                                  <a:pt x="505953" y="1195236"/>
                                </a:lnTo>
                                <a:lnTo>
                                  <a:pt x="546543" y="1172672"/>
                                </a:lnTo>
                                <a:lnTo>
                                  <a:pt x="585542" y="1147339"/>
                                </a:lnTo>
                                <a:lnTo>
                                  <a:pt x="622792" y="1119313"/>
                                </a:lnTo>
                                <a:lnTo>
                                  <a:pt x="658134" y="1088668"/>
                                </a:lnTo>
                                <a:lnTo>
                                  <a:pt x="691407" y="1055478"/>
                                </a:lnTo>
                                <a:lnTo>
                                  <a:pt x="722454" y="1019819"/>
                                </a:lnTo>
                                <a:lnTo>
                                  <a:pt x="751114" y="981765"/>
                                </a:lnTo>
                                <a:lnTo>
                                  <a:pt x="777229" y="941390"/>
                                </a:lnTo>
                                <a:lnTo>
                                  <a:pt x="800639" y="898770"/>
                                </a:lnTo>
                                <a:lnTo>
                                  <a:pt x="821187" y="853979"/>
                                </a:lnTo>
                                <a:lnTo>
                                  <a:pt x="838450" y="807823"/>
                                </a:lnTo>
                                <a:lnTo>
                                  <a:pt x="852155" y="761168"/>
                                </a:lnTo>
                                <a:lnTo>
                                  <a:pt x="862360" y="714179"/>
                                </a:lnTo>
                                <a:lnTo>
                                  <a:pt x="869125" y="667022"/>
                                </a:lnTo>
                                <a:lnTo>
                                  <a:pt x="872510" y="619862"/>
                                </a:lnTo>
                                <a:lnTo>
                                  <a:pt x="872573" y="572866"/>
                                </a:lnTo>
                                <a:lnTo>
                                  <a:pt x="869374" y="526198"/>
                                </a:lnTo>
                                <a:lnTo>
                                  <a:pt x="862972" y="480024"/>
                                </a:lnTo>
                                <a:lnTo>
                                  <a:pt x="853426" y="434509"/>
                                </a:lnTo>
                                <a:lnTo>
                                  <a:pt x="840796" y="389819"/>
                                </a:lnTo>
                                <a:lnTo>
                                  <a:pt x="825141" y="346120"/>
                                </a:lnTo>
                                <a:lnTo>
                                  <a:pt x="806520" y="303576"/>
                                </a:lnTo>
                                <a:lnTo>
                                  <a:pt x="784993" y="262354"/>
                                </a:lnTo>
                                <a:lnTo>
                                  <a:pt x="760618" y="222618"/>
                                </a:lnTo>
                                <a:lnTo>
                                  <a:pt x="733455" y="184535"/>
                                </a:lnTo>
                                <a:lnTo>
                                  <a:pt x="703564" y="148269"/>
                                </a:lnTo>
                                <a:lnTo>
                                  <a:pt x="671004" y="113987"/>
                                </a:lnTo>
                                <a:lnTo>
                                  <a:pt x="635833" y="81853"/>
                                </a:lnTo>
                                <a:lnTo>
                                  <a:pt x="598112" y="52034"/>
                                </a:lnTo>
                                <a:lnTo>
                                  <a:pt x="557899" y="24694"/>
                                </a:lnTo>
                                <a:lnTo>
                                  <a:pt x="515254" y="0"/>
                                </a:lnTo>
                                <a:close/>
                              </a:path>
                            </a:pathLst>
                          </a:custGeom>
                          <a:solidFill>
                            <a:srgbClr val="DADADA"/>
                          </a:solidFill>
                        </wps:spPr>
                        <wps:bodyPr wrap="square" lIns="0" tIns="0" rIns="0" bIns="0" rtlCol="0">
                          <a:prstTxWarp prst="textNoShape">
                            <a:avLst/>
                          </a:prstTxWarp>
                          <a:noAutofit/>
                        </wps:bodyPr>
                      </wps:wsp>
                      <wps:wsp>
                        <wps:cNvPr id="360" name="Graphic 360"/>
                        <wps:cNvSpPr/>
                        <wps:spPr>
                          <a:xfrm>
                            <a:off x="1258618" y="633534"/>
                            <a:ext cx="873125" cy="1270000"/>
                          </a:xfrm>
                          <a:custGeom>
                            <a:avLst/>
                            <a:gdLst/>
                            <a:ahLst/>
                            <a:cxnLst/>
                            <a:rect l="l" t="t" r="r" b="b"/>
                            <a:pathLst>
                              <a:path w="873125" h="1270000">
                                <a:moveTo>
                                  <a:pt x="515254" y="0"/>
                                </a:moveTo>
                                <a:lnTo>
                                  <a:pt x="557899" y="24694"/>
                                </a:lnTo>
                                <a:lnTo>
                                  <a:pt x="598112" y="52034"/>
                                </a:lnTo>
                                <a:lnTo>
                                  <a:pt x="635833" y="81853"/>
                                </a:lnTo>
                                <a:lnTo>
                                  <a:pt x="671004" y="113987"/>
                                </a:lnTo>
                                <a:lnTo>
                                  <a:pt x="703564" y="148269"/>
                                </a:lnTo>
                                <a:lnTo>
                                  <a:pt x="733455" y="184535"/>
                                </a:lnTo>
                                <a:lnTo>
                                  <a:pt x="760618" y="222618"/>
                                </a:lnTo>
                                <a:lnTo>
                                  <a:pt x="784993" y="262354"/>
                                </a:lnTo>
                                <a:lnTo>
                                  <a:pt x="806520" y="303576"/>
                                </a:lnTo>
                                <a:lnTo>
                                  <a:pt x="825141" y="346120"/>
                                </a:lnTo>
                                <a:lnTo>
                                  <a:pt x="840796" y="389819"/>
                                </a:lnTo>
                                <a:lnTo>
                                  <a:pt x="853426" y="434509"/>
                                </a:lnTo>
                                <a:lnTo>
                                  <a:pt x="862972" y="480024"/>
                                </a:lnTo>
                                <a:lnTo>
                                  <a:pt x="869374" y="526198"/>
                                </a:lnTo>
                                <a:lnTo>
                                  <a:pt x="872573" y="572866"/>
                                </a:lnTo>
                                <a:lnTo>
                                  <a:pt x="872510" y="619862"/>
                                </a:lnTo>
                                <a:lnTo>
                                  <a:pt x="869125" y="667022"/>
                                </a:lnTo>
                                <a:lnTo>
                                  <a:pt x="862360" y="714179"/>
                                </a:lnTo>
                                <a:lnTo>
                                  <a:pt x="852155" y="761168"/>
                                </a:lnTo>
                                <a:lnTo>
                                  <a:pt x="838450" y="807823"/>
                                </a:lnTo>
                                <a:lnTo>
                                  <a:pt x="821187" y="853979"/>
                                </a:lnTo>
                                <a:lnTo>
                                  <a:pt x="800639" y="898770"/>
                                </a:lnTo>
                                <a:lnTo>
                                  <a:pt x="777229" y="941390"/>
                                </a:lnTo>
                                <a:lnTo>
                                  <a:pt x="751114" y="981765"/>
                                </a:lnTo>
                                <a:lnTo>
                                  <a:pt x="722454" y="1019819"/>
                                </a:lnTo>
                                <a:lnTo>
                                  <a:pt x="691407" y="1055478"/>
                                </a:lnTo>
                                <a:lnTo>
                                  <a:pt x="658134" y="1088668"/>
                                </a:lnTo>
                                <a:lnTo>
                                  <a:pt x="622792" y="1119313"/>
                                </a:lnTo>
                                <a:lnTo>
                                  <a:pt x="585542" y="1147339"/>
                                </a:lnTo>
                                <a:lnTo>
                                  <a:pt x="546543" y="1172672"/>
                                </a:lnTo>
                                <a:lnTo>
                                  <a:pt x="505953" y="1195236"/>
                                </a:lnTo>
                                <a:lnTo>
                                  <a:pt x="463931" y="1214957"/>
                                </a:lnTo>
                                <a:lnTo>
                                  <a:pt x="420637" y="1231760"/>
                                </a:lnTo>
                                <a:lnTo>
                                  <a:pt x="376231" y="1245571"/>
                                </a:lnTo>
                                <a:lnTo>
                                  <a:pt x="330870" y="1256315"/>
                                </a:lnTo>
                                <a:lnTo>
                                  <a:pt x="284714" y="1263917"/>
                                </a:lnTo>
                                <a:lnTo>
                                  <a:pt x="237923" y="1268303"/>
                                </a:lnTo>
                                <a:lnTo>
                                  <a:pt x="190655" y="1269398"/>
                                </a:lnTo>
                                <a:lnTo>
                                  <a:pt x="143069" y="1267126"/>
                                </a:lnTo>
                                <a:lnTo>
                                  <a:pt x="95326" y="1261415"/>
                                </a:lnTo>
                                <a:lnTo>
                                  <a:pt x="47583" y="1252188"/>
                                </a:lnTo>
                                <a:lnTo>
                                  <a:pt x="0" y="1239371"/>
                                </a:lnTo>
                                <a:lnTo>
                                  <a:pt x="103327" y="904397"/>
                                </a:lnTo>
                                <a:lnTo>
                                  <a:pt x="151376" y="915328"/>
                                </a:lnTo>
                                <a:lnTo>
                                  <a:pt x="199394" y="918833"/>
                                </a:lnTo>
                                <a:lnTo>
                                  <a:pt x="246672" y="915245"/>
                                </a:lnTo>
                                <a:lnTo>
                                  <a:pt x="292504" y="904897"/>
                                </a:lnTo>
                                <a:lnTo>
                                  <a:pt x="336181" y="888119"/>
                                </a:lnTo>
                                <a:lnTo>
                                  <a:pt x="376997" y="865243"/>
                                </a:lnTo>
                                <a:lnTo>
                                  <a:pt x="414243" y="836603"/>
                                </a:lnTo>
                                <a:lnTo>
                                  <a:pt x="447214" y="802529"/>
                                </a:lnTo>
                                <a:lnTo>
                                  <a:pt x="475201" y="763353"/>
                                </a:lnTo>
                                <a:lnTo>
                                  <a:pt x="497497" y="719409"/>
                                </a:lnTo>
                                <a:lnTo>
                                  <a:pt x="512926" y="672610"/>
                                </a:lnTo>
                                <a:lnTo>
                                  <a:pt x="520961" y="625140"/>
                                </a:lnTo>
                                <a:lnTo>
                                  <a:pt x="521865" y="577734"/>
                                </a:lnTo>
                                <a:lnTo>
                                  <a:pt x="515900" y="531129"/>
                                </a:lnTo>
                                <a:lnTo>
                                  <a:pt x="503332" y="486060"/>
                                </a:lnTo>
                                <a:lnTo>
                                  <a:pt x="484423" y="443262"/>
                                </a:lnTo>
                                <a:lnTo>
                                  <a:pt x="459436" y="403472"/>
                                </a:lnTo>
                                <a:lnTo>
                                  <a:pt x="428636" y="367424"/>
                                </a:lnTo>
                                <a:lnTo>
                                  <a:pt x="392286" y="335854"/>
                                </a:lnTo>
                                <a:lnTo>
                                  <a:pt x="350649" y="309498"/>
                                </a:lnTo>
                                <a:lnTo>
                                  <a:pt x="515254" y="0"/>
                                </a:lnTo>
                                <a:close/>
                              </a:path>
                            </a:pathLst>
                          </a:custGeom>
                          <a:ln w="9525">
                            <a:solidFill>
                              <a:srgbClr val="FFFFFF"/>
                            </a:solidFill>
                            <a:prstDash val="solid"/>
                          </a:ln>
                        </wps:spPr>
                        <wps:bodyPr wrap="square" lIns="0" tIns="0" rIns="0" bIns="0" rtlCol="0">
                          <a:prstTxWarp prst="textNoShape">
                            <a:avLst/>
                          </a:prstTxWarp>
                          <a:noAutofit/>
                        </wps:bodyPr>
                      </wps:wsp>
                      <wps:wsp>
                        <wps:cNvPr id="361" name="Graphic 361"/>
                        <wps:cNvSpPr/>
                        <wps:spPr>
                          <a:xfrm>
                            <a:off x="783296" y="554861"/>
                            <a:ext cx="790575" cy="1318260"/>
                          </a:xfrm>
                          <a:custGeom>
                            <a:avLst/>
                            <a:gdLst/>
                            <a:ahLst/>
                            <a:cxnLst/>
                            <a:rect l="l" t="t" r="r" b="b"/>
                            <a:pathLst>
                              <a:path w="790575" h="1318260">
                                <a:moveTo>
                                  <a:pt x="695406" y="0"/>
                                </a:moveTo>
                                <a:lnTo>
                                  <a:pt x="648443" y="103"/>
                                </a:lnTo>
                                <a:lnTo>
                                  <a:pt x="602046" y="3446"/>
                                </a:lnTo>
                                <a:lnTo>
                                  <a:pt x="556348" y="9938"/>
                                </a:lnTo>
                                <a:lnTo>
                                  <a:pt x="511488" y="19490"/>
                                </a:lnTo>
                                <a:lnTo>
                                  <a:pt x="467601" y="32013"/>
                                </a:lnTo>
                                <a:lnTo>
                                  <a:pt x="424824" y="47418"/>
                                </a:lnTo>
                                <a:lnTo>
                                  <a:pt x="383292" y="65615"/>
                                </a:lnTo>
                                <a:lnTo>
                                  <a:pt x="343142" y="86515"/>
                                </a:lnTo>
                                <a:lnTo>
                                  <a:pt x="304510" y="110028"/>
                                </a:lnTo>
                                <a:lnTo>
                                  <a:pt x="267532" y="136067"/>
                                </a:lnTo>
                                <a:lnTo>
                                  <a:pt x="232346" y="164540"/>
                                </a:lnTo>
                                <a:lnTo>
                                  <a:pt x="199086" y="195359"/>
                                </a:lnTo>
                                <a:lnTo>
                                  <a:pt x="167889" y="228435"/>
                                </a:lnTo>
                                <a:lnTo>
                                  <a:pt x="138892" y="263677"/>
                                </a:lnTo>
                                <a:lnTo>
                                  <a:pt x="112230" y="300998"/>
                                </a:lnTo>
                                <a:lnTo>
                                  <a:pt x="88041" y="340308"/>
                                </a:lnTo>
                                <a:lnTo>
                                  <a:pt x="66459" y="381517"/>
                                </a:lnTo>
                                <a:lnTo>
                                  <a:pt x="47622" y="424536"/>
                                </a:lnTo>
                                <a:lnTo>
                                  <a:pt x="31666" y="469276"/>
                                </a:lnTo>
                                <a:lnTo>
                                  <a:pt x="18726" y="515647"/>
                                </a:lnTo>
                                <a:lnTo>
                                  <a:pt x="9082" y="562813"/>
                                </a:lnTo>
                                <a:lnTo>
                                  <a:pt x="2866" y="609905"/>
                                </a:lnTo>
                                <a:lnTo>
                                  <a:pt x="0" y="656780"/>
                                </a:lnTo>
                                <a:lnTo>
                                  <a:pt x="401" y="703296"/>
                                </a:lnTo>
                                <a:lnTo>
                                  <a:pt x="3989" y="749312"/>
                                </a:lnTo>
                                <a:lnTo>
                                  <a:pt x="10685" y="794687"/>
                                </a:lnTo>
                                <a:lnTo>
                                  <a:pt x="20406" y="839278"/>
                                </a:lnTo>
                                <a:lnTo>
                                  <a:pt x="33074" y="882944"/>
                                </a:lnTo>
                                <a:lnTo>
                                  <a:pt x="48608" y="925544"/>
                                </a:lnTo>
                                <a:lnTo>
                                  <a:pt x="66926" y="966935"/>
                                </a:lnTo>
                                <a:lnTo>
                                  <a:pt x="87949" y="1006977"/>
                                </a:lnTo>
                                <a:lnTo>
                                  <a:pt x="111596" y="1045528"/>
                                </a:lnTo>
                                <a:lnTo>
                                  <a:pt x="137787" y="1082445"/>
                                </a:lnTo>
                                <a:lnTo>
                                  <a:pt x="166440" y="1117588"/>
                                </a:lnTo>
                                <a:lnTo>
                                  <a:pt x="197476" y="1150814"/>
                                </a:lnTo>
                                <a:lnTo>
                                  <a:pt x="230814" y="1181982"/>
                                </a:lnTo>
                                <a:lnTo>
                                  <a:pt x="266374" y="1210951"/>
                                </a:lnTo>
                                <a:lnTo>
                                  <a:pt x="304075" y="1237579"/>
                                </a:lnTo>
                                <a:lnTo>
                                  <a:pt x="343836" y="1261724"/>
                                </a:lnTo>
                                <a:lnTo>
                                  <a:pt x="385577" y="1283245"/>
                                </a:lnTo>
                                <a:lnTo>
                                  <a:pt x="429218" y="1301999"/>
                                </a:lnTo>
                                <a:lnTo>
                                  <a:pt x="474678" y="1317846"/>
                                </a:lnTo>
                                <a:lnTo>
                                  <a:pt x="578340" y="982975"/>
                                </a:lnTo>
                                <a:lnTo>
                                  <a:pt x="535572" y="966366"/>
                                </a:lnTo>
                                <a:lnTo>
                                  <a:pt x="496451" y="944447"/>
                                </a:lnTo>
                                <a:lnTo>
                                  <a:pt x="461286" y="917760"/>
                                </a:lnTo>
                                <a:lnTo>
                                  <a:pt x="430386" y="886851"/>
                                </a:lnTo>
                                <a:lnTo>
                                  <a:pt x="404061" y="852262"/>
                                </a:lnTo>
                                <a:lnTo>
                                  <a:pt x="382620" y="814538"/>
                                </a:lnTo>
                                <a:lnTo>
                                  <a:pt x="366371" y="774222"/>
                                </a:lnTo>
                                <a:lnTo>
                                  <a:pt x="355624" y="731858"/>
                                </a:lnTo>
                                <a:lnTo>
                                  <a:pt x="350687" y="687991"/>
                                </a:lnTo>
                                <a:lnTo>
                                  <a:pt x="351871" y="643163"/>
                                </a:lnTo>
                                <a:lnTo>
                                  <a:pt x="359484" y="597919"/>
                                </a:lnTo>
                                <a:lnTo>
                                  <a:pt x="373354" y="554186"/>
                                </a:lnTo>
                                <a:lnTo>
                                  <a:pt x="392755" y="513756"/>
                                </a:lnTo>
                                <a:lnTo>
                                  <a:pt x="417163" y="476974"/>
                                </a:lnTo>
                                <a:lnTo>
                                  <a:pt x="446056" y="444181"/>
                                </a:lnTo>
                                <a:lnTo>
                                  <a:pt x="478910" y="415721"/>
                                </a:lnTo>
                                <a:lnTo>
                                  <a:pt x="515203" y="391936"/>
                                </a:lnTo>
                                <a:lnTo>
                                  <a:pt x="554410" y="373170"/>
                                </a:lnTo>
                                <a:lnTo>
                                  <a:pt x="596009" y="359764"/>
                                </a:lnTo>
                                <a:lnTo>
                                  <a:pt x="639476" y="352063"/>
                                </a:lnTo>
                                <a:lnTo>
                                  <a:pt x="684289" y="350409"/>
                                </a:lnTo>
                                <a:lnTo>
                                  <a:pt x="729924" y="355144"/>
                                </a:lnTo>
                                <a:lnTo>
                                  <a:pt x="790479" y="9865"/>
                                </a:lnTo>
                                <a:lnTo>
                                  <a:pt x="742796" y="3224"/>
                                </a:lnTo>
                                <a:lnTo>
                                  <a:pt x="695406" y="0"/>
                                </a:lnTo>
                                <a:close/>
                              </a:path>
                            </a:pathLst>
                          </a:custGeom>
                          <a:solidFill>
                            <a:srgbClr val="919191"/>
                          </a:solidFill>
                        </wps:spPr>
                        <wps:bodyPr wrap="square" lIns="0" tIns="0" rIns="0" bIns="0" rtlCol="0">
                          <a:prstTxWarp prst="textNoShape">
                            <a:avLst/>
                          </a:prstTxWarp>
                          <a:noAutofit/>
                        </wps:bodyPr>
                      </wps:wsp>
                      <wps:wsp>
                        <wps:cNvPr id="362" name="Graphic 362"/>
                        <wps:cNvSpPr/>
                        <wps:spPr>
                          <a:xfrm>
                            <a:off x="783296" y="554861"/>
                            <a:ext cx="790575" cy="1318260"/>
                          </a:xfrm>
                          <a:custGeom>
                            <a:avLst/>
                            <a:gdLst/>
                            <a:ahLst/>
                            <a:cxnLst/>
                            <a:rect l="l" t="t" r="r" b="b"/>
                            <a:pathLst>
                              <a:path w="790575" h="1318260">
                                <a:moveTo>
                                  <a:pt x="474678" y="1317846"/>
                                </a:moveTo>
                                <a:lnTo>
                                  <a:pt x="429218" y="1301999"/>
                                </a:lnTo>
                                <a:lnTo>
                                  <a:pt x="385577" y="1283245"/>
                                </a:lnTo>
                                <a:lnTo>
                                  <a:pt x="343836" y="1261724"/>
                                </a:lnTo>
                                <a:lnTo>
                                  <a:pt x="304075" y="1237579"/>
                                </a:lnTo>
                                <a:lnTo>
                                  <a:pt x="266374" y="1210951"/>
                                </a:lnTo>
                                <a:lnTo>
                                  <a:pt x="230814" y="1181982"/>
                                </a:lnTo>
                                <a:lnTo>
                                  <a:pt x="197476" y="1150814"/>
                                </a:lnTo>
                                <a:lnTo>
                                  <a:pt x="166440" y="1117588"/>
                                </a:lnTo>
                                <a:lnTo>
                                  <a:pt x="137787" y="1082445"/>
                                </a:lnTo>
                                <a:lnTo>
                                  <a:pt x="111596" y="1045528"/>
                                </a:lnTo>
                                <a:lnTo>
                                  <a:pt x="87949" y="1006977"/>
                                </a:lnTo>
                                <a:lnTo>
                                  <a:pt x="66926" y="966935"/>
                                </a:lnTo>
                                <a:lnTo>
                                  <a:pt x="48608" y="925544"/>
                                </a:lnTo>
                                <a:lnTo>
                                  <a:pt x="33074" y="882944"/>
                                </a:lnTo>
                                <a:lnTo>
                                  <a:pt x="20406" y="839278"/>
                                </a:lnTo>
                                <a:lnTo>
                                  <a:pt x="10685" y="794687"/>
                                </a:lnTo>
                                <a:lnTo>
                                  <a:pt x="3989" y="749312"/>
                                </a:lnTo>
                                <a:lnTo>
                                  <a:pt x="401" y="703296"/>
                                </a:lnTo>
                                <a:lnTo>
                                  <a:pt x="0" y="656780"/>
                                </a:lnTo>
                                <a:lnTo>
                                  <a:pt x="2866" y="609905"/>
                                </a:lnTo>
                                <a:lnTo>
                                  <a:pt x="9082" y="562813"/>
                                </a:lnTo>
                                <a:lnTo>
                                  <a:pt x="18726" y="515647"/>
                                </a:lnTo>
                                <a:lnTo>
                                  <a:pt x="31666" y="469276"/>
                                </a:lnTo>
                                <a:lnTo>
                                  <a:pt x="47622" y="424536"/>
                                </a:lnTo>
                                <a:lnTo>
                                  <a:pt x="66459" y="381517"/>
                                </a:lnTo>
                                <a:lnTo>
                                  <a:pt x="88041" y="340308"/>
                                </a:lnTo>
                                <a:lnTo>
                                  <a:pt x="112230" y="300998"/>
                                </a:lnTo>
                                <a:lnTo>
                                  <a:pt x="138892" y="263677"/>
                                </a:lnTo>
                                <a:lnTo>
                                  <a:pt x="167889" y="228435"/>
                                </a:lnTo>
                                <a:lnTo>
                                  <a:pt x="199086" y="195359"/>
                                </a:lnTo>
                                <a:lnTo>
                                  <a:pt x="232346" y="164540"/>
                                </a:lnTo>
                                <a:lnTo>
                                  <a:pt x="267532" y="136067"/>
                                </a:lnTo>
                                <a:lnTo>
                                  <a:pt x="304510" y="110028"/>
                                </a:lnTo>
                                <a:lnTo>
                                  <a:pt x="343142" y="86515"/>
                                </a:lnTo>
                                <a:lnTo>
                                  <a:pt x="383292" y="65615"/>
                                </a:lnTo>
                                <a:lnTo>
                                  <a:pt x="424824" y="47418"/>
                                </a:lnTo>
                                <a:lnTo>
                                  <a:pt x="467601" y="32013"/>
                                </a:lnTo>
                                <a:lnTo>
                                  <a:pt x="511488" y="19490"/>
                                </a:lnTo>
                                <a:lnTo>
                                  <a:pt x="556348" y="9938"/>
                                </a:lnTo>
                                <a:lnTo>
                                  <a:pt x="602046" y="3446"/>
                                </a:lnTo>
                                <a:lnTo>
                                  <a:pt x="648443" y="103"/>
                                </a:lnTo>
                                <a:lnTo>
                                  <a:pt x="695406" y="0"/>
                                </a:lnTo>
                                <a:lnTo>
                                  <a:pt x="742796" y="3224"/>
                                </a:lnTo>
                                <a:lnTo>
                                  <a:pt x="790479" y="9865"/>
                                </a:lnTo>
                                <a:lnTo>
                                  <a:pt x="729924" y="355144"/>
                                </a:lnTo>
                                <a:lnTo>
                                  <a:pt x="684289" y="350409"/>
                                </a:lnTo>
                                <a:lnTo>
                                  <a:pt x="639476" y="352063"/>
                                </a:lnTo>
                                <a:lnTo>
                                  <a:pt x="596009" y="359764"/>
                                </a:lnTo>
                                <a:lnTo>
                                  <a:pt x="554410" y="373170"/>
                                </a:lnTo>
                                <a:lnTo>
                                  <a:pt x="515203" y="391936"/>
                                </a:lnTo>
                                <a:lnTo>
                                  <a:pt x="478910" y="415721"/>
                                </a:lnTo>
                                <a:lnTo>
                                  <a:pt x="446056" y="444181"/>
                                </a:lnTo>
                                <a:lnTo>
                                  <a:pt x="417163" y="476974"/>
                                </a:lnTo>
                                <a:lnTo>
                                  <a:pt x="392755" y="513756"/>
                                </a:lnTo>
                                <a:lnTo>
                                  <a:pt x="373354" y="554186"/>
                                </a:lnTo>
                                <a:lnTo>
                                  <a:pt x="359484" y="597919"/>
                                </a:lnTo>
                                <a:lnTo>
                                  <a:pt x="351871" y="643163"/>
                                </a:lnTo>
                                <a:lnTo>
                                  <a:pt x="350687" y="687991"/>
                                </a:lnTo>
                                <a:lnTo>
                                  <a:pt x="355624" y="731858"/>
                                </a:lnTo>
                                <a:lnTo>
                                  <a:pt x="366371" y="774222"/>
                                </a:lnTo>
                                <a:lnTo>
                                  <a:pt x="382620" y="814538"/>
                                </a:lnTo>
                                <a:lnTo>
                                  <a:pt x="404061" y="852262"/>
                                </a:lnTo>
                                <a:lnTo>
                                  <a:pt x="430386" y="886851"/>
                                </a:lnTo>
                                <a:lnTo>
                                  <a:pt x="461286" y="917760"/>
                                </a:lnTo>
                                <a:lnTo>
                                  <a:pt x="496451" y="944447"/>
                                </a:lnTo>
                                <a:lnTo>
                                  <a:pt x="535572" y="966366"/>
                                </a:lnTo>
                                <a:lnTo>
                                  <a:pt x="578340" y="982975"/>
                                </a:lnTo>
                                <a:lnTo>
                                  <a:pt x="474678" y="1317846"/>
                                </a:lnTo>
                                <a:close/>
                              </a:path>
                            </a:pathLst>
                          </a:custGeom>
                          <a:ln w="9525">
                            <a:solidFill>
                              <a:srgbClr val="FFFFFF"/>
                            </a:solidFill>
                            <a:prstDash val="solid"/>
                          </a:ln>
                        </wps:spPr>
                        <wps:bodyPr wrap="square" lIns="0" tIns="0" rIns="0" bIns="0" rtlCol="0">
                          <a:prstTxWarp prst="textNoShape">
                            <a:avLst/>
                          </a:prstTxWarp>
                          <a:noAutofit/>
                        </wps:bodyPr>
                      </wps:wsp>
                      <wps:wsp>
                        <wps:cNvPr id="363" name="Graphic 363"/>
                        <wps:cNvSpPr/>
                        <wps:spPr>
                          <a:xfrm>
                            <a:off x="452565" y="582054"/>
                            <a:ext cx="1990089" cy="984885"/>
                          </a:xfrm>
                          <a:custGeom>
                            <a:avLst/>
                            <a:gdLst/>
                            <a:ahLst/>
                            <a:cxnLst/>
                            <a:rect l="l" t="t" r="r" b="b"/>
                            <a:pathLst>
                              <a:path w="1990089" h="984885">
                                <a:moveTo>
                                  <a:pt x="1619177" y="12368"/>
                                </a:moveTo>
                                <a:lnTo>
                                  <a:pt x="1542977" y="12368"/>
                                </a:lnTo>
                                <a:lnTo>
                                  <a:pt x="1221023" y="0"/>
                                </a:lnTo>
                              </a:path>
                              <a:path w="1990089" h="984885">
                                <a:moveTo>
                                  <a:pt x="1989780" y="984445"/>
                                </a:moveTo>
                                <a:lnTo>
                                  <a:pt x="1626758" y="902803"/>
                                </a:lnTo>
                                <a:lnTo>
                                  <a:pt x="1626758" y="902803"/>
                                </a:lnTo>
                              </a:path>
                              <a:path w="1990089" h="984885">
                                <a:moveTo>
                                  <a:pt x="0" y="977624"/>
                                </a:moveTo>
                                <a:lnTo>
                                  <a:pt x="340137" y="482271"/>
                                </a:lnTo>
                                <a:lnTo>
                                  <a:pt x="340137" y="482271"/>
                                </a:lnTo>
                              </a:path>
                            </a:pathLst>
                          </a:custGeom>
                          <a:ln w="9525">
                            <a:solidFill>
                              <a:srgbClr val="585858"/>
                            </a:solidFill>
                            <a:prstDash val="solid"/>
                          </a:ln>
                        </wps:spPr>
                        <wps:bodyPr wrap="square" lIns="0" tIns="0" rIns="0" bIns="0" rtlCol="0">
                          <a:prstTxWarp prst="textNoShape">
                            <a:avLst/>
                          </a:prstTxWarp>
                          <a:noAutofit/>
                        </wps:bodyPr>
                      </wps:wsp>
                      <wps:wsp>
                        <wps:cNvPr id="364" name="Textbox 364"/>
                        <wps:cNvSpPr txBox="1"/>
                        <wps:spPr>
                          <a:xfrm>
                            <a:off x="1117980" y="77188"/>
                            <a:ext cx="673735" cy="113664"/>
                          </a:xfrm>
                          <a:prstGeom prst="rect">
                            <a:avLst/>
                          </a:prstGeom>
                        </wps:spPr>
                        <wps:txbx>
                          <w:txbxContent>
                            <w:p>
                              <w:pPr>
                                <w:spacing w:line="179" w:lineRule="exact" w:before="0"/>
                                <w:ind w:left="0" w:right="0" w:firstLine="0"/>
                                <w:jc w:val="left"/>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txbxContent>
                        </wps:txbx>
                        <wps:bodyPr wrap="square" lIns="0" tIns="0" rIns="0" bIns="0" rtlCol="0">
                          <a:noAutofit/>
                        </wps:bodyPr>
                      </wps:wsp>
                      <wps:wsp>
                        <wps:cNvPr id="365" name="Textbox 365"/>
                        <wps:cNvSpPr txBox="1"/>
                        <wps:spPr>
                          <a:xfrm>
                            <a:off x="2062218" y="423961"/>
                            <a:ext cx="628650" cy="357505"/>
                          </a:xfrm>
                          <a:prstGeom prst="rect">
                            <a:avLst/>
                          </a:prstGeom>
                        </wps:spPr>
                        <wps:txbx>
                          <w:txbxContent>
                            <w:p>
                              <w:pPr>
                                <w:spacing w:line="249" w:lineRule="auto" w:before="0"/>
                                <w:ind w:left="0" w:right="0" w:firstLine="0"/>
                                <w:jc w:val="left"/>
                                <w:rPr>
                                  <w:rFonts w:ascii="Arial MT"/>
                                  <w:sz w:val="16"/>
                                </w:rPr>
                              </w:pPr>
                              <w:r>
                                <w:rPr>
                                  <w:rFonts w:ascii="Arial MT"/>
                                  <w:spacing w:val="-2"/>
                                  <w:sz w:val="16"/>
                                </w:rPr>
                                <w:t>Asset-</w:t>
                              </w:r>
                              <w:r>
                                <w:rPr>
                                  <w:rFonts w:ascii="Arial MT"/>
                                  <w:spacing w:val="-2"/>
                                  <w:sz w:val="16"/>
                                </w:rPr>
                                <w:t>backed </w:t>
                              </w:r>
                              <w:r>
                                <w:rPr>
                                  <w:rFonts w:ascii="Arial MT"/>
                                  <w:sz w:val="16"/>
                                </w:rPr>
                                <w:t>Securities &amp; Others, 5%</w:t>
                              </w:r>
                            </w:p>
                          </w:txbxContent>
                        </wps:txbx>
                        <wps:bodyPr wrap="square" lIns="0" tIns="0" rIns="0" bIns="0" rtlCol="0">
                          <a:noAutofit/>
                        </wps:bodyPr>
                      </wps:wsp>
                      <wps:wsp>
                        <wps:cNvPr id="366" name="Textbox 366"/>
                        <wps:cNvSpPr txBox="1"/>
                        <wps:spPr>
                          <a:xfrm>
                            <a:off x="1209040" y="1143727"/>
                            <a:ext cx="471805" cy="142240"/>
                          </a:xfrm>
                          <a:prstGeom prst="rect">
                            <a:avLst/>
                          </a:prstGeom>
                        </wps:spPr>
                        <wps:txbx>
                          <w:txbxContent>
                            <w:p>
                              <w:pPr>
                                <w:spacing w:line="223" w:lineRule="exact" w:before="0"/>
                                <w:ind w:left="0" w:right="0" w:firstLine="0"/>
                                <w:jc w:val="left"/>
                                <w:rPr>
                                  <w:rFonts w:ascii="Arial"/>
                                  <w:b/>
                                  <w:sz w:val="20"/>
                                </w:rPr>
                              </w:pPr>
                              <w:r>
                                <w:rPr>
                                  <w:rFonts w:ascii="Arial"/>
                                  <w:b/>
                                  <w:spacing w:val="-2"/>
                                  <w:sz w:val="20"/>
                                </w:rPr>
                                <w:t>$78,796</w:t>
                              </w:r>
                            </w:p>
                          </w:txbxContent>
                        </wps:txbx>
                        <wps:bodyPr wrap="square" lIns="0" tIns="0" rIns="0" bIns="0" rtlCol="0">
                          <a:noAutofit/>
                        </wps:bodyPr>
                      </wps:wsp>
                      <wps:wsp>
                        <wps:cNvPr id="367" name="Textbox 367"/>
                        <wps:cNvSpPr txBox="1"/>
                        <wps:spPr>
                          <a:xfrm>
                            <a:off x="119190" y="1570192"/>
                            <a:ext cx="668020" cy="235585"/>
                          </a:xfrm>
                          <a:prstGeom prst="rect">
                            <a:avLst/>
                          </a:prstGeom>
                        </wps:spPr>
                        <wps:txbx>
                          <w:txbxContent>
                            <w:p>
                              <w:pPr>
                                <w:spacing w:line="249" w:lineRule="auto" w:before="0"/>
                                <w:ind w:left="0" w:right="18" w:firstLine="0"/>
                                <w:jc w:val="left"/>
                                <w:rPr>
                                  <w:rFonts w:ascii="Arial MT"/>
                                  <w:sz w:val="16"/>
                                </w:rPr>
                              </w:pPr>
                              <w:r>
                                <w:rPr>
                                  <w:rFonts w:ascii="Arial MT"/>
                                  <w:spacing w:val="-4"/>
                                  <w:sz w:val="16"/>
                                </w:rPr>
                                <w:t>Time</w:t>
                              </w:r>
                              <w:r>
                                <w:rPr>
                                  <w:rFonts w:ascii="Arial MT"/>
                                  <w:spacing w:val="40"/>
                                  <w:sz w:val="16"/>
                                </w:rPr>
                                <w:t> </w:t>
                              </w:r>
                              <w:r>
                                <w:rPr>
                                  <w:rFonts w:ascii="Arial MT"/>
                                  <w:sz w:val="16"/>
                                </w:rPr>
                                <w:t>Deposits,</w:t>
                              </w:r>
                              <w:r>
                                <w:rPr>
                                  <w:rFonts w:ascii="Arial MT"/>
                                  <w:spacing w:val="-12"/>
                                  <w:sz w:val="16"/>
                                </w:rPr>
                                <w:t> </w:t>
                              </w:r>
                              <w:r>
                                <w:rPr>
                                  <w:rFonts w:ascii="Arial MT"/>
                                  <w:sz w:val="16"/>
                                </w:rPr>
                                <w:t>48%</w:t>
                              </w:r>
                            </w:p>
                          </w:txbxContent>
                        </wps:txbx>
                        <wps:bodyPr wrap="square" lIns="0" tIns="0" rIns="0" bIns="0" rtlCol="0">
                          <a:noAutofit/>
                        </wps:bodyPr>
                      </wps:wsp>
                      <wps:wsp>
                        <wps:cNvPr id="368" name="Textbox 368"/>
                        <wps:cNvSpPr txBox="1"/>
                        <wps:spPr>
                          <a:xfrm>
                            <a:off x="2142308" y="1577013"/>
                            <a:ext cx="572135" cy="479425"/>
                          </a:xfrm>
                          <a:prstGeom prst="rect">
                            <a:avLst/>
                          </a:prstGeom>
                        </wps:spPr>
                        <wps:txbx>
                          <w:txbxContent>
                            <w:p>
                              <w:pPr>
                                <w:spacing w:line="249" w:lineRule="auto" w:before="0"/>
                                <w:ind w:left="0" w:right="18" w:firstLine="0"/>
                                <w:jc w:val="left"/>
                                <w:rPr>
                                  <w:rFonts w:ascii="Arial MT"/>
                                  <w:sz w:val="16"/>
                                </w:rPr>
                              </w:pPr>
                              <w:r>
                                <w:rPr>
                                  <w:rFonts w:ascii="Arial MT"/>
                                  <w:spacing w:val="-2"/>
                                  <w:sz w:val="16"/>
                                </w:rPr>
                                <w:t>Government </w:t>
                              </w:r>
                              <w:r>
                                <w:rPr>
                                  <w:rFonts w:ascii="Arial MT"/>
                                  <w:sz w:val="16"/>
                                </w:rPr>
                                <w:t>and agency </w:t>
                              </w:r>
                              <w:r>
                                <w:rPr>
                                  <w:rFonts w:ascii="Arial MT"/>
                                  <w:spacing w:val="-2"/>
                                  <w:sz w:val="16"/>
                                </w:rPr>
                                <w:t>obligations, </w:t>
                              </w:r>
                              <w:r>
                                <w:rPr>
                                  <w:rFonts w:ascii="Arial MT"/>
                                  <w:spacing w:val="-4"/>
                                  <w:sz w:val="16"/>
                                </w:rPr>
                                <w:t>47%</w:t>
                              </w:r>
                            </w:p>
                          </w:txbxContent>
                        </wps:txbx>
                        <wps:bodyPr wrap="square" lIns="0" tIns="0" rIns="0" bIns="0" rtlCol="0">
                          <a:noAutofit/>
                        </wps:bodyPr>
                      </wps:wsp>
                    </wpg:wgp>
                  </a:graphicData>
                </a:graphic>
              </wp:anchor>
            </w:drawing>
          </mc:Choice>
          <mc:Fallback>
            <w:pict>
              <v:group style="position:absolute;margin-left:305.75pt;margin-top:10.364805pt;width:228.75pt;height:165pt;mso-position-horizontal-relative:page;mso-position-vertical-relative:paragraph;z-index:-15672832;mso-wrap-distance-left:0;mso-wrap-distance-right:0" id="docshapegroup288" coordorigin="6115,207" coordsize="4575,3300">
                <v:rect style="position:absolute;left:6130;top:222;width:4545;height:3270" id="docshape289" filled="false" stroked="true" strokeweight="1.5pt" strokecolor="#000000">
                  <v:stroke dashstyle="solid"/>
                </v:rect>
                <v:shape style="position:absolute;left:8498;top:1096;width:409;height:596" id="docshape290" coordorigin="8499,1097" coordsize="409,596" path="m8595,1097l8499,1640,8538,1649,8576,1660,8613,1675,8649,1692,8908,1204,8833,1168,8755,1138,8676,1114,8595,1097xe" filled="true" fillcolor="#242424" stroked="false">
                  <v:path arrowok="t"/>
                  <v:fill type="solid"/>
                </v:shape>
                <v:shape style="position:absolute;left:8097;top:1204;width:1375;height:2000" id="docshape291" coordorigin="8097,1205" coordsize="1375,2000" path="m8908,1205l8649,1692,8715,1734,8772,1784,8821,1840,8860,1903,8890,1970,8910,2041,8919,2115,8917,2189,8905,2264,8881,2338,8845,2407,8801,2469,8749,2522,8691,2568,8626,2604,8558,2630,8486,2646,8411,2652,8335,2646,8260,2629,8097,3157,8172,3177,8247,3191,8322,3200,8397,3204,8472,3202,8545,3195,8618,3183,8690,3167,8759,3145,8828,3118,8894,3087,8958,3052,9019,3012,9078,2968,9134,2919,9186,2867,9235,2811,9280,2751,9321,2687,9358,2620,9390,2550,9417,2477,9439,2404,9455,2330,9466,2255,9471,2181,9471,2107,9466,2034,9456,1961,9441,1889,9421,1819,9397,1750,9367,1683,9333,1618,9295,1556,9252,1496,9205,1438,9154,1384,9098,1334,9039,1287,8976,1244,8908,1205xe" filled="true" fillcolor="#dadada" stroked="false">
                  <v:path arrowok="t"/>
                  <v:fill type="solid"/>
                </v:shape>
                <v:shape style="position:absolute;left:8097;top:1204;width:1375;height:2000" id="docshape292" coordorigin="8097,1205" coordsize="1375,2000" path="m8908,1205l8976,1244,9039,1287,9098,1334,9154,1384,9205,1438,9252,1496,9295,1556,9333,1618,9367,1683,9397,1750,9421,1819,9441,1889,9456,1961,9466,2034,9471,2107,9471,2181,9466,2255,9455,2330,9439,2404,9417,2477,9390,2550,9358,2620,9321,2687,9280,2751,9235,2811,9186,2867,9134,2919,9078,2968,9019,3012,8958,3052,8894,3087,8828,3118,8759,3145,8690,3167,8618,3183,8545,3195,8472,3202,8397,3204,8322,3200,8247,3191,8172,3177,8097,3157,8260,2629,8335,2646,8411,2652,8486,2646,8558,2630,8626,2604,8691,2568,8749,2522,8801,2469,8845,2407,8881,2338,8905,2264,8917,2189,8919,2115,8910,2041,8890,1970,8860,1903,8821,1840,8772,1784,8715,1734,8649,1692,8908,1205xe" filled="false" stroked="true" strokeweight=".75pt" strokecolor="#ffffff">
                  <v:path arrowok="t"/>
                  <v:stroke dashstyle="solid"/>
                </v:shape>
                <v:shape style="position:absolute;left:7348;top:1081;width:1245;height:2076" id="docshape293" coordorigin="7349,1081" coordsize="1245,2076" path="m8444,1081l8370,1081,8297,1087,8225,1097,8154,1112,8085,1132,8018,1156,7952,1184,7889,1217,7828,1254,7770,1295,7714,1340,7662,1389,7613,1441,7567,1496,7525,1555,7487,1617,7453,1682,7424,1750,7398,1820,7378,1893,7363,1967,7353,2042,7349,2115,7349,2189,7355,2261,7365,2333,7381,2403,7401,2472,7425,2539,7454,2604,7487,2667,7524,2728,7566,2786,7611,2841,7660,2893,7712,2942,7768,2988,7827,3030,7890,3068,7956,3102,8024,3131,8096,3156,8259,2629,8192,2603,8130,2568,8075,2526,8026,2478,7985,2423,7951,2364,7925,2300,7909,2234,7901,2165,7903,2094,7915,2023,7936,1954,7967,1890,8005,1832,8051,1781,8103,1736,8160,1698,8222,1669,8287,1648,8356,1636,8426,1633,8498,1640,8593,1097,8518,1086,8444,1081xe" filled="true" fillcolor="#919191" stroked="false">
                  <v:path arrowok="t"/>
                  <v:fill type="solid"/>
                </v:shape>
                <v:shape style="position:absolute;left:7348;top:1081;width:1245;height:2076" id="docshape294" coordorigin="7349,1081" coordsize="1245,2076" path="m8096,3156l8024,3131,7956,3102,7890,3068,7827,3030,7768,2988,7712,2942,7660,2893,7611,2841,7566,2786,7524,2728,7487,2667,7454,2604,7425,2539,7401,2472,7381,2403,7365,2333,7355,2261,7349,2189,7349,2115,7353,2042,7363,1967,7378,1893,7398,1820,7424,1750,7453,1682,7487,1617,7525,1555,7567,1496,7613,1441,7662,1389,7714,1340,7770,1295,7828,1254,7889,1217,7952,1184,8018,1156,8085,1132,8154,1112,8225,1097,8297,1087,8370,1081,8444,1081,8518,1086,8593,1097,8498,1640,8426,1633,8356,1636,8287,1648,8222,1669,8160,1698,8103,1736,8051,1781,8005,1832,7967,1890,7936,1954,7915,2023,7903,2094,7901,2165,7909,2234,7925,2300,7951,2364,7985,2423,8026,2478,8075,2526,8130,2568,8192,2603,8259,2629,8096,3156xe" filled="false" stroked="true" strokeweight=".75pt" strokecolor="#ffffff">
                  <v:path arrowok="t"/>
                  <v:stroke dashstyle="solid"/>
                </v:shape>
                <v:shape style="position:absolute;left:6827;top:1123;width:3134;height:1551" id="docshape295" coordorigin="6828,1124" coordsize="3134,1551" path="m9378,1143l9258,1143,8751,1124m9961,2674l9390,2546,9390,2546m6828,2663l7363,1883,7363,1883e" filled="false" stroked="true" strokeweight=".75pt" strokecolor="#585858">
                  <v:path arrowok="t"/>
                  <v:stroke dashstyle="solid"/>
                </v:shape>
                <v:shape style="position:absolute;left:7875;top:328;width:1061;height:179" type="#_x0000_t202" id="docshape296" filled="false" stroked="false">
                  <v:textbox inset="0,0,0,0">
                    <w:txbxContent>
                      <w:p>
                        <w:pPr>
                          <w:spacing w:line="179" w:lineRule="exact" w:before="0"/>
                          <w:ind w:left="0" w:right="0" w:firstLine="0"/>
                          <w:jc w:val="left"/>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txbxContent>
                  </v:textbox>
                  <w10:wrap type="none"/>
                </v:shape>
                <v:shape style="position:absolute;left:9362;top:874;width:990;height:563" type="#_x0000_t202" id="docshape297" filled="false" stroked="false">
                  <v:textbox inset="0,0,0,0">
                    <w:txbxContent>
                      <w:p>
                        <w:pPr>
                          <w:spacing w:line="249" w:lineRule="auto" w:before="0"/>
                          <w:ind w:left="0" w:right="0" w:firstLine="0"/>
                          <w:jc w:val="left"/>
                          <w:rPr>
                            <w:rFonts w:ascii="Arial MT"/>
                            <w:sz w:val="16"/>
                          </w:rPr>
                        </w:pPr>
                        <w:r>
                          <w:rPr>
                            <w:rFonts w:ascii="Arial MT"/>
                            <w:spacing w:val="-2"/>
                            <w:sz w:val="16"/>
                          </w:rPr>
                          <w:t>Asset-</w:t>
                        </w:r>
                        <w:r>
                          <w:rPr>
                            <w:rFonts w:ascii="Arial MT"/>
                            <w:spacing w:val="-2"/>
                            <w:sz w:val="16"/>
                          </w:rPr>
                          <w:t>backed </w:t>
                        </w:r>
                        <w:r>
                          <w:rPr>
                            <w:rFonts w:ascii="Arial MT"/>
                            <w:sz w:val="16"/>
                          </w:rPr>
                          <w:t>Securities &amp; Others, 5%</w:t>
                        </w:r>
                      </w:p>
                    </w:txbxContent>
                  </v:textbox>
                  <w10:wrap type="none"/>
                </v:shape>
                <v:shape style="position:absolute;left:8019;top:2008;width:743;height:224" type="#_x0000_t202" id="docshape298" filled="false" stroked="false">
                  <v:textbox inset="0,0,0,0">
                    <w:txbxContent>
                      <w:p>
                        <w:pPr>
                          <w:spacing w:line="223" w:lineRule="exact" w:before="0"/>
                          <w:ind w:left="0" w:right="0" w:firstLine="0"/>
                          <w:jc w:val="left"/>
                          <w:rPr>
                            <w:rFonts w:ascii="Arial"/>
                            <w:b/>
                            <w:sz w:val="20"/>
                          </w:rPr>
                        </w:pPr>
                        <w:r>
                          <w:rPr>
                            <w:rFonts w:ascii="Arial"/>
                            <w:b/>
                            <w:spacing w:val="-2"/>
                            <w:sz w:val="20"/>
                          </w:rPr>
                          <w:t>$78,796</w:t>
                        </w:r>
                      </w:p>
                    </w:txbxContent>
                  </v:textbox>
                  <w10:wrap type="none"/>
                </v:shape>
                <v:shape style="position:absolute;left:6302;top:2680;width:1052;height:371" type="#_x0000_t202" id="docshape299" filled="false" stroked="false">
                  <v:textbox inset="0,0,0,0">
                    <w:txbxContent>
                      <w:p>
                        <w:pPr>
                          <w:spacing w:line="249" w:lineRule="auto" w:before="0"/>
                          <w:ind w:left="0" w:right="18" w:firstLine="0"/>
                          <w:jc w:val="left"/>
                          <w:rPr>
                            <w:rFonts w:ascii="Arial MT"/>
                            <w:sz w:val="16"/>
                          </w:rPr>
                        </w:pPr>
                        <w:r>
                          <w:rPr>
                            <w:rFonts w:ascii="Arial MT"/>
                            <w:spacing w:val="-4"/>
                            <w:sz w:val="16"/>
                          </w:rPr>
                          <w:t>Time</w:t>
                        </w:r>
                        <w:r>
                          <w:rPr>
                            <w:rFonts w:ascii="Arial MT"/>
                            <w:spacing w:val="40"/>
                            <w:sz w:val="16"/>
                          </w:rPr>
                          <w:t> </w:t>
                        </w:r>
                        <w:r>
                          <w:rPr>
                            <w:rFonts w:ascii="Arial MT"/>
                            <w:sz w:val="16"/>
                          </w:rPr>
                          <w:t>Deposits,</w:t>
                        </w:r>
                        <w:r>
                          <w:rPr>
                            <w:rFonts w:ascii="Arial MT"/>
                            <w:spacing w:val="-12"/>
                            <w:sz w:val="16"/>
                          </w:rPr>
                          <w:t> </w:t>
                        </w:r>
                        <w:r>
                          <w:rPr>
                            <w:rFonts w:ascii="Arial MT"/>
                            <w:sz w:val="16"/>
                          </w:rPr>
                          <w:t>48%</w:t>
                        </w:r>
                      </w:p>
                    </w:txbxContent>
                  </v:textbox>
                  <w10:wrap type="none"/>
                </v:shape>
                <v:shape style="position:absolute;left:9488;top:2690;width:901;height:755" type="#_x0000_t202" id="docshape300" filled="false" stroked="false">
                  <v:textbox inset="0,0,0,0">
                    <w:txbxContent>
                      <w:p>
                        <w:pPr>
                          <w:spacing w:line="249" w:lineRule="auto" w:before="0"/>
                          <w:ind w:left="0" w:right="18" w:firstLine="0"/>
                          <w:jc w:val="left"/>
                          <w:rPr>
                            <w:rFonts w:ascii="Arial MT"/>
                            <w:sz w:val="16"/>
                          </w:rPr>
                        </w:pPr>
                        <w:r>
                          <w:rPr>
                            <w:rFonts w:ascii="Arial MT"/>
                            <w:spacing w:val="-2"/>
                            <w:sz w:val="16"/>
                          </w:rPr>
                          <w:t>Government </w:t>
                        </w:r>
                        <w:r>
                          <w:rPr>
                            <w:rFonts w:ascii="Arial MT"/>
                            <w:sz w:val="16"/>
                          </w:rPr>
                          <w:t>and agency </w:t>
                        </w:r>
                        <w:r>
                          <w:rPr>
                            <w:rFonts w:ascii="Arial MT"/>
                            <w:spacing w:val="-2"/>
                            <w:sz w:val="16"/>
                          </w:rPr>
                          <w:t>obligations, </w:t>
                        </w:r>
                        <w:r>
                          <w:rPr>
                            <w:rFonts w:ascii="Arial MT"/>
                            <w:spacing w:val="-4"/>
                            <w:sz w:val="16"/>
                          </w:rPr>
                          <w:t>47%</w:t>
                        </w:r>
                      </w:p>
                    </w:txbxContent>
                  </v:textbox>
                  <w10:wrap type="none"/>
                </v:shape>
                <w10:wrap type="topAndBottom"/>
              </v:group>
            </w:pict>
          </mc:Fallback>
        </mc:AlternateContent>
      </w: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for</w:t>
      </w:r>
      <w:r>
        <w:rPr>
          <w:rFonts w:ascii="Arial"/>
          <w:i/>
          <w:spacing w:val="-2"/>
          <w:sz w:val="16"/>
        </w:rPr>
        <w:t> ratios</w:t>
      </w:r>
    </w:p>
    <w:p>
      <w:pPr>
        <w:pStyle w:val="BodyText"/>
        <w:spacing w:line="249" w:lineRule="auto" w:before="173"/>
        <w:ind w:left="720" w:right="718"/>
        <w:jc w:val="both"/>
      </w:pPr>
      <w:r>
        <w:rPr/>
        <w:t>IBRD keeps liquidity volumes above a Prudential Minimum which is defined as 80% of the twelve-month Target Liquidity Level. The twelve- month Target Liquidity Level is calculated before the end of each fiscal year based on Management’s estimates of projected net loan disbursements approved at the time of projection and debt-service for the upcoming fiscal year. This twelve-month estimate becomes the target for the upcoming fiscal year and the Prudential Minimum is 80% of this target (see Section IX for details of how IBRD manages liquidity risk).</w:t>
      </w:r>
    </w:p>
    <w:p>
      <w:pPr>
        <w:pStyle w:val="BodyText"/>
        <w:spacing w:line="249" w:lineRule="auto" w:before="124"/>
        <w:ind w:left="720" w:right="718"/>
        <w:jc w:val="both"/>
      </w:pPr>
      <w:r>
        <w:rPr/>
        <w:t>The liquid asset portfolio is composed largely of assets denominated in, or swapped into, U.S. dollars, with net exposure to short-term interest rates after derivatives. The portfolio has an average duration of less than three months, and the debt funding these liquid assets has a similar currency and duration profile. This is a direct result of IBRD’s exchange-rate and interest-rate-risk-management policies (see Section IX), combined with appropriate investment guidelines (see Box 8).</w:t>
      </w:r>
    </w:p>
    <w:p>
      <w:pPr>
        <w:pStyle w:val="BodyText"/>
        <w:spacing w:after="0" w:line="249" w:lineRule="auto"/>
        <w:jc w:val="both"/>
        <w:sectPr>
          <w:headerReference w:type="even" r:id="rId39"/>
          <w:headerReference w:type="default" r:id="rId40"/>
          <w:footerReference w:type="even" r:id="rId41"/>
          <w:footerReference w:type="default" r:id="rId42"/>
          <w:pgSz w:w="12240" w:h="15840"/>
          <w:pgMar w:header="744" w:footer="583" w:top="1020" w:bottom="780" w:left="720" w:right="720"/>
          <w:pgNumType w:start="30"/>
        </w:sectPr>
      </w:pPr>
    </w:p>
    <w:p>
      <w:pPr>
        <w:pStyle w:val="BodyText"/>
        <w:spacing w:before="152"/>
      </w:pPr>
    </w:p>
    <w:p>
      <w:pPr>
        <w:pStyle w:val="BodyText"/>
        <w:spacing w:line="208" w:lineRule="auto"/>
        <w:ind w:left="720" w:right="720"/>
        <w:jc w:val="both"/>
      </w:pPr>
      <w:r>
        <w:rPr/>
        <w:t>The maturity profile of IBRD’s liquid asset portfolio reflects a high degree of liquidity. As of June 30, 2023, $68.5 billion (approximately 91% of total volume) was due to mature within six months, of which $22.4 billion was expected to mature within one month.</w:t>
      </w:r>
    </w:p>
    <w:p>
      <w:pPr>
        <w:pStyle w:val="BodyText"/>
        <w:spacing w:line="249" w:lineRule="auto" w:before="95"/>
        <w:ind w:left="720" w:right="719"/>
        <w:jc w:val="both"/>
      </w:pPr>
      <w:r>
        <w:rPr/>
        <w:t>The liquid asset portfolio is held in three sub-portfolios: Stable, Operational, and Discretionary, each may have different risk profiles and performance guidelines (see Table 19).</w:t>
      </w:r>
    </w:p>
    <w:p>
      <w:pPr>
        <w:pStyle w:val="ListParagraph"/>
        <w:numPr>
          <w:ilvl w:val="0"/>
          <w:numId w:val="17"/>
        </w:numPr>
        <w:tabs>
          <w:tab w:pos="1260" w:val="left" w:leader="none"/>
        </w:tabs>
        <w:spacing w:line="249" w:lineRule="auto" w:before="122" w:after="0"/>
        <w:ind w:left="1260" w:right="719" w:hanging="360"/>
        <w:jc w:val="both"/>
        <w:rPr>
          <w:sz w:val="20"/>
        </w:rPr>
      </w:pPr>
      <w:r>
        <w:rPr>
          <w:i/>
          <w:sz w:val="20"/>
        </w:rPr>
        <w:t>Stable portfolio </w:t>
      </w:r>
      <w:r>
        <w:rPr>
          <w:sz w:val="20"/>
        </w:rPr>
        <w:t>is mainly an investment portfolio holding all or a portion of the Prudential Minimum level of liquidity, set at the start of each fiscal year.</w:t>
      </w:r>
    </w:p>
    <w:p>
      <w:pPr>
        <w:pStyle w:val="ListParagraph"/>
        <w:numPr>
          <w:ilvl w:val="0"/>
          <w:numId w:val="17"/>
        </w:numPr>
        <w:tabs>
          <w:tab w:pos="1259" w:val="left" w:leader="none"/>
        </w:tabs>
        <w:spacing w:line="240" w:lineRule="auto" w:before="122" w:after="0"/>
        <w:ind w:left="1259" w:right="0" w:hanging="359"/>
        <w:jc w:val="left"/>
        <w:rPr>
          <w:sz w:val="20"/>
        </w:rPr>
      </w:pPr>
      <w:r>
        <w:rPr>
          <w:i/>
          <w:sz w:val="20"/>
        </w:rPr>
        <w:t>Operational</w:t>
      </w:r>
      <w:r>
        <w:rPr>
          <w:i/>
          <w:spacing w:val="-6"/>
          <w:sz w:val="20"/>
        </w:rPr>
        <w:t> </w:t>
      </w:r>
      <w:r>
        <w:rPr>
          <w:i/>
          <w:sz w:val="20"/>
        </w:rPr>
        <w:t>portfolio</w:t>
      </w:r>
      <w:r>
        <w:rPr>
          <w:i/>
          <w:spacing w:val="-3"/>
          <w:sz w:val="20"/>
        </w:rPr>
        <w:t> </w:t>
      </w:r>
      <w:r>
        <w:rPr>
          <w:sz w:val="20"/>
        </w:rPr>
        <w:t>is</w:t>
      </w:r>
      <w:r>
        <w:rPr>
          <w:spacing w:val="-4"/>
          <w:sz w:val="20"/>
        </w:rPr>
        <w:t> </w:t>
      </w:r>
      <w:r>
        <w:rPr>
          <w:sz w:val="20"/>
        </w:rPr>
        <w:t>used</w:t>
      </w:r>
      <w:r>
        <w:rPr>
          <w:spacing w:val="-2"/>
          <w:sz w:val="20"/>
        </w:rPr>
        <w:t> </w:t>
      </w:r>
      <w:r>
        <w:rPr>
          <w:sz w:val="20"/>
        </w:rPr>
        <w:t>to</w:t>
      </w:r>
      <w:r>
        <w:rPr>
          <w:spacing w:val="-3"/>
          <w:sz w:val="20"/>
        </w:rPr>
        <w:t> </w:t>
      </w:r>
      <w:r>
        <w:rPr>
          <w:sz w:val="20"/>
        </w:rPr>
        <w:t>meet</w:t>
      </w:r>
      <w:r>
        <w:rPr>
          <w:spacing w:val="-4"/>
          <w:sz w:val="20"/>
        </w:rPr>
        <w:t> </w:t>
      </w:r>
      <w:r>
        <w:rPr>
          <w:sz w:val="20"/>
        </w:rPr>
        <w:t>IBRD’s</w:t>
      </w:r>
      <w:r>
        <w:rPr>
          <w:spacing w:val="-3"/>
          <w:sz w:val="20"/>
        </w:rPr>
        <w:t> </w:t>
      </w:r>
      <w:r>
        <w:rPr>
          <w:sz w:val="20"/>
        </w:rPr>
        <w:t>day-to-day</w:t>
      </w:r>
      <w:r>
        <w:rPr>
          <w:spacing w:val="-3"/>
          <w:sz w:val="20"/>
        </w:rPr>
        <w:t> </w:t>
      </w:r>
      <w:r>
        <w:rPr>
          <w:sz w:val="20"/>
        </w:rPr>
        <w:t>cash</w:t>
      </w:r>
      <w:r>
        <w:rPr>
          <w:spacing w:val="-3"/>
          <w:sz w:val="20"/>
        </w:rPr>
        <w:t> </w:t>
      </w:r>
      <w:r>
        <w:rPr>
          <w:sz w:val="20"/>
        </w:rPr>
        <w:t>flow</w:t>
      </w:r>
      <w:r>
        <w:rPr>
          <w:spacing w:val="-3"/>
          <w:sz w:val="20"/>
        </w:rPr>
        <w:t> </w:t>
      </w:r>
      <w:r>
        <w:rPr>
          <w:spacing w:val="-2"/>
          <w:sz w:val="20"/>
        </w:rPr>
        <w:t>requirements.</w:t>
      </w:r>
    </w:p>
    <w:p>
      <w:pPr>
        <w:pStyle w:val="ListParagraph"/>
        <w:numPr>
          <w:ilvl w:val="0"/>
          <w:numId w:val="17"/>
        </w:numPr>
        <w:tabs>
          <w:tab w:pos="1260" w:val="left" w:leader="none"/>
        </w:tabs>
        <w:spacing w:line="249" w:lineRule="auto" w:before="130" w:after="0"/>
        <w:ind w:left="1260" w:right="717" w:hanging="360"/>
        <w:jc w:val="both"/>
        <w:rPr>
          <w:sz w:val="20"/>
        </w:rPr>
      </w:pPr>
      <w:r>
        <w:rPr>
          <w:i/>
          <w:sz w:val="20"/>
        </w:rPr>
        <w:t>Discretionary portfolio </w:t>
      </w:r>
      <w:r>
        <w:rPr>
          <w:sz w:val="20"/>
        </w:rPr>
        <w:t>gives IBRD the flexibility to execute its borrowing program and can be used to tap attractive market opportunities. Additional portions of the Prudential Minimum may also be held in this </w:t>
      </w:r>
      <w:r>
        <w:rPr>
          <w:spacing w:val="-2"/>
          <w:sz w:val="20"/>
        </w:rPr>
        <w:t>portfolio.</w:t>
      </w:r>
    </w:p>
    <w:p>
      <w:pPr>
        <w:pStyle w:val="BodyText"/>
        <w:spacing w:before="10"/>
        <w:rPr>
          <w:sz w:val="16"/>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0"/>
        <w:gridCol w:w="1610"/>
        <w:gridCol w:w="899"/>
        <w:gridCol w:w="1621"/>
        <w:gridCol w:w="850"/>
      </w:tblGrid>
      <w:tr>
        <w:trPr>
          <w:trHeight w:val="470" w:hRule="atLeast"/>
        </w:trPr>
        <w:tc>
          <w:tcPr>
            <w:tcW w:w="5990" w:type="dxa"/>
            <w:gridSpan w:val="2"/>
          </w:tcPr>
          <w:p>
            <w:pPr>
              <w:pStyle w:val="TableParagraph"/>
              <w:spacing w:line="201" w:lineRule="exact"/>
              <w:ind w:left="52"/>
              <w:rPr>
                <w:rFonts w:ascii="Arial"/>
                <w:b/>
                <w:sz w:val="18"/>
              </w:rPr>
            </w:pPr>
            <w:bookmarkStart w:name="_bookmark49" w:id="74"/>
            <w:bookmarkEnd w:id="74"/>
            <w:r>
              <w:rPr/>
            </w:r>
            <w:r>
              <w:rPr>
                <w:rFonts w:ascii="Arial"/>
                <w:b/>
                <w:sz w:val="18"/>
              </w:rPr>
              <w:t>Table</w:t>
            </w:r>
            <w:r>
              <w:rPr>
                <w:rFonts w:ascii="Arial"/>
                <w:b/>
                <w:spacing w:val="-2"/>
                <w:sz w:val="18"/>
              </w:rPr>
              <w:t> </w:t>
            </w:r>
            <w:r>
              <w:rPr>
                <w:rFonts w:ascii="Arial"/>
                <w:b/>
                <w:sz w:val="18"/>
              </w:rPr>
              <w:t>19:</w:t>
            </w:r>
            <w:r>
              <w:rPr>
                <w:rFonts w:ascii="Arial"/>
                <w:b/>
                <w:spacing w:val="-2"/>
                <w:sz w:val="18"/>
              </w:rPr>
              <w:t> </w:t>
            </w:r>
            <w:r>
              <w:rPr>
                <w:rFonts w:ascii="Arial"/>
                <w:b/>
                <w:sz w:val="18"/>
              </w:rPr>
              <w:t>Liquid</w:t>
            </w:r>
            <w:r>
              <w:rPr>
                <w:rFonts w:ascii="Arial"/>
                <w:b/>
                <w:spacing w:val="-1"/>
                <w:sz w:val="18"/>
              </w:rPr>
              <w:t> </w:t>
            </w:r>
            <w:r>
              <w:rPr>
                <w:rFonts w:ascii="Arial"/>
                <w:b/>
                <w:sz w:val="18"/>
              </w:rPr>
              <w:t>Asset</w:t>
            </w:r>
            <w:r>
              <w:rPr>
                <w:rFonts w:ascii="Arial"/>
                <w:b/>
                <w:spacing w:val="-2"/>
                <w:sz w:val="18"/>
              </w:rPr>
              <w:t> </w:t>
            </w:r>
            <w:r>
              <w:rPr>
                <w:rFonts w:ascii="Arial"/>
                <w:b/>
                <w:sz w:val="18"/>
              </w:rPr>
              <w:t>Portfolio</w:t>
            </w:r>
            <w:r>
              <w:rPr>
                <w:rFonts w:ascii="Arial"/>
                <w:b/>
                <w:spacing w:val="-1"/>
                <w:sz w:val="18"/>
              </w:rPr>
              <w:t> </w:t>
            </w:r>
            <w:r>
              <w:rPr>
                <w:rFonts w:ascii="Arial"/>
                <w:b/>
                <w:spacing w:val="-2"/>
                <w:sz w:val="18"/>
              </w:rPr>
              <w:t>Composition</w:t>
            </w:r>
          </w:p>
          <w:p>
            <w:pPr>
              <w:pStyle w:val="TableParagraph"/>
              <w:spacing w:before="56"/>
              <w:ind w:left="52"/>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ratios</w:t>
            </w:r>
            <w:r>
              <w:rPr>
                <w:rFonts w:ascii="Arial"/>
                <w:i/>
                <w:spacing w:val="-2"/>
                <w:sz w:val="16"/>
              </w:rPr>
              <w:t> </w:t>
            </w:r>
            <w:r>
              <w:rPr>
                <w:rFonts w:ascii="Arial"/>
                <w:i/>
                <w:sz w:val="16"/>
              </w:rPr>
              <w:t>which</w:t>
            </w:r>
            <w:r>
              <w:rPr>
                <w:rFonts w:ascii="Arial"/>
                <w:i/>
                <w:spacing w:val="-4"/>
                <w:sz w:val="16"/>
              </w:rPr>
              <w:t> </w:t>
            </w:r>
            <w:r>
              <w:rPr>
                <w:rFonts w:ascii="Arial"/>
                <w:i/>
                <w:sz w:val="16"/>
              </w:rPr>
              <w:t>are</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tc>
        <w:tc>
          <w:tcPr>
            <w:tcW w:w="3370" w:type="dxa"/>
            <w:gridSpan w:val="3"/>
          </w:tcPr>
          <w:p>
            <w:pPr>
              <w:pStyle w:val="TableParagraph"/>
              <w:rPr>
                <w:rFonts w:ascii="Times New Roman"/>
                <w:sz w:val="18"/>
              </w:rPr>
            </w:pPr>
          </w:p>
        </w:tc>
      </w:tr>
      <w:tr>
        <w:trPr>
          <w:trHeight w:val="230" w:hRule="atLeast"/>
        </w:trPr>
        <w:tc>
          <w:tcPr>
            <w:tcW w:w="5990" w:type="dxa"/>
            <w:gridSpan w:val="2"/>
            <w:tcBorders>
              <w:bottom w:val="single" w:sz="8" w:space="0" w:color="6C6C6C"/>
            </w:tcBorders>
          </w:tcPr>
          <w:p>
            <w:pPr>
              <w:pStyle w:val="TableParagraph"/>
              <w:tabs>
                <w:tab w:pos="5527" w:val="right" w:leader="none"/>
              </w:tabs>
              <w:spacing w:before="23"/>
              <w:ind w:left="52"/>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r>
              <w:rPr>
                <w:rFonts w:ascii="Times New Roman"/>
                <w:color w:val="484848"/>
                <w:sz w:val="16"/>
              </w:rPr>
              <w:tab/>
            </w:r>
            <w:r>
              <w:rPr>
                <w:rFonts w:ascii="Arial"/>
                <w:i/>
                <w:color w:val="484848"/>
                <w:spacing w:val="-4"/>
                <w:sz w:val="16"/>
              </w:rPr>
              <w:t>2023</w:t>
            </w:r>
          </w:p>
        </w:tc>
        <w:tc>
          <w:tcPr>
            <w:tcW w:w="899" w:type="dxa"/>
            <w:tcBorders>
              <w:bottom w:val="single" w:sz="8" w:space="0" w:color="6C6C6C"/>
            </w:tcBorders>
          </w:tcPr>
          <w:p>
            <w:pPr>
              <w:pStyle w:val="TableParagraph"/>
              <w:spacing w:before="23"/>
              <w:ind w:right="99"/>
              <w:jc w:val="right"/>
              <w:rPr>
                <w:rFonts w:ascii="Arial"/>
                <w:i/>
                <w:sz w:val="16"/>
              </w:rPr>
            </w:pPr>
            <w:r>
              <w:rPr>
                <w:rFonts w:ascii="Arial"/>
                <w:i/>
                <w:color w:val="484848"/>
                <w:spacing w:val="-10"/>
                <w:sz w:val="16"/>
              </w:rPr>
              <w:t>%</w:t>
            </w:r>
          </w:p>
        </w:tc>
        <w:tc>
          <w:tcPr>
            <w:tcW w:w="1621" w:type="dxa"/>
            <w:tcBorders>
              <w:bottom w:val="single" w:sz="8" w:space="0" w:color="6C6C6C"/>
            </w:tcBorders>
          </w:tcPr>
          <w:p>
            <w:pPr>
              <w:pStyle w:val="TableParagraph"/>
              <w:spacing w:before="23"/>
              <w:ind w:right="460"/>
              <w:jc w:val="right"/>
              <w:rPr>
                <w:rFonts w:ascii="Arial"/>
                <w:i/>
                <w:sz w:val="16"/>
              </w:rPr>
            </w:pPr>
            <w:r>
              <w:rPr>
                <w:rFonts w:ascii="Arial"/>
                <w:i/>
                <w:color w:val="484848"/>
                <w:spacing w:val="-4"/>
                <w:sz w:val="16"/>
              </w:rPr>
              <w:t>2022</w:t>
            </w:r>
          </w:p>
        </w:tc>
        <w:tc>
          <w:tcPr>
            <w:tcW w:w="850" w:type="dxa"/>
            <w:tcBorders>
              <w:bottom w:val="single" w:sz="8" w:space="0" w:color="6C6C6C"/>
            </w:tcBorders>
          </w:tcPr>
          <w:p>
            <w:pPr>
              <w:pStyle w:val="TableParagraph"/>
              <w:spacing w:before="23"/>
              <w:ind w:right="50"/>
              <w:jc w:val="right"/>
              <w:rPr>
                <w:rFonts w:ascii="Arial"/>
                <w:i/>
                <w:sz w:val="16"/>
              </w:rPr>
            </w:pPr>
            <w:r>
              <w:rPr>
                <w:rFonts w:ascii="Arial"/>
                <w:i/>
                <w:color w:val="484848"/>
                <w:spacing w:val="-10"/>
                <w:sz w:val="16"/>
              </w:rPr>
              <w:t>%</w:t>
            </w:r>
          </w:p>
        </w:tc>
      </w:tr>
      <w:tr>
        <w:trPr>
          <w:trHeight w:val="223" w:hRule="atLeast"/>
        </w:trPr>
        <w:tc>
          <w:tcPr>
            <w:tcW w:w="5990" w:type="dxa"/>
            <w:gridSpan w:val="2"/>
            <w:tcBorders>
              <w:top w:val="single" w:sz="8" w:space="0" w:color="6C6C6C"/>
            </w:tcBorders>
          </w:tcPr>
          <w:p>
            <w:pPr>
              <w:pStyle w:val="TableParagraph"/>
              <w:spacing w:before="9"/>
              <w:ind w:left="52"/>
              <w:rPr>
                <w:sz w:val="16"/>
              </w:rPr>
            </w:pPr>
            <w:r>
              <w:rPr>
                <w:sz w:val="16"/>
              </w:rPr>
              <w:t>Liquid</w:t>
            </w:r>
            <w:r>
              <w:rPr>
                <w:spacing w:val="-5"/>
                <w:sz w:val="16"/>
              </w:rPr>
              <w:t> </w:t>
            </w:r>
            <w:r>
              <w:rPr>
                <w:sz w:val="16"/>
              </w:rPr>
              <w:t>asset</w:t>
            </w:r>
            <w:r>
              <w:rPr>
                <w:spacing w:val="-3"/>
                <w:sz w:val="16"/>
              </w:rPr>
              <w:t> </w:t>
            </w:r>
            <w:r>
              <w:rPr>
                <w:spacing w:val="-2"/>
                <w:sz w:val="16"/>
              </w:rPr>
              <w:t>portfolio</w:t>
            </w:r>
          </w:p>
        </w:tc>
        <w:tc>
          <w:tcPr>
            <w:tcW w:w="899" w:type="dxa"/>
            <w:tcBorders>
              <w:top w:val="single" w:sz="8" w:space="0" w:color="6C6C6C"/>
            </w:tcBorders>
          </w:tcPr>
          <w:p>
            <w:pPr>
              <w:pStyle w:val="TableParagraph"/>
              <w:rPr>
                <w:rFonts w:ascii="Times New Roman"/>
                <w:sz w:val="14"/>
              </w:rPr>
            </w:pPr>
          </w:p>
        </w:tc>
        <w:tc>
          <w:tcPr>
            <w:tcW w:w="1621" w:type="dxa"/>
            <w:tcBorders>
              <w:top w:val="single" w:sz="8" w:space="0" w:color="6C6C6C"/>
            </w:tcBorders>
          </w:tcPr>
          <w:p>
            <w:pPr>
              <w:pStyle w:val="TableParagraph"/>
              <w:rPr>
                <w:rFonts w:ascii="Times New Roman"/>
                <w:sz w:val="14"/>
              </w:rPr>
            </w:pPr>
          </w:p>
        </w:tc>
        <w:tc>
          <w:tcPr>
            <w:tcW w:w="850" w:type="dxa"/>
            <w:tcBorders>
              <w:top w:val="single" w:sz="8" w:space="0" w:color="6C6C6C"/>
            </w:tcBorders>
          </w:tcPr>
          <w:p>
            <w:pPr>
              <w:pStyle w:val="TableParagraph"/>
              <w:rPr>
                <w:rFonts w:ascii="Times New Roman"/>
                <w:sz w:val="14"/>
              </w:rPr>
            </w:pPr>
          </w:p>
        </w:tc>
      </w:tr>
      <w:tr>
        <w:trPr>
          <w:trHeight w:val="243" w:hRule="atLeast"/>
        </w:trPr>
        <w:tc>
          <w:tcPr>
            <w:tcW w:w="5990" w:type="dxa"/>
            <w:gridSpan w:val="2"/>
          </w:tcPr>
          <w:p>
            <w:pPr>
              <w:pStyle w:val="TableParagraph"/>
              <w:tabs>
                <w:tab w:pos="4432" w:val="left" w:leader="none"/>
                <w:tab w:pos="5023" w:val="left" w:leader="none"/>
              </w:tabs>
              <w:spacing w:before="22"/>
              <w:ind w:left="216"/>
              <w:rPr>
                <w:sz w:val="16"/>
              </w:rPr>
            </w:pPr>
            <w:r>
              <w:rPr>
                <w:spacing w:val="-2"/>
                <w:position w:val="1"/>
                <w:sz w:val="16"/>
              </w:rPr>
              <w:t>Stable</w:t>
            </w:r>
            <w:r>
              <w:rPr>
                <w:position w:val="1"/>
                <w:sz w:val="16"/>
              </w:rPr>
              <w:tab/>
            </w:r>
            <w:r>
              <w:rPr>
                <w:spacing w:val="-10"/>
                <w:sz w:val="16"/>
              </w:rPr>
              <w:t>$</w:t>
            </w:r>
            <w:r>
              <w:rPr>
                <w:sz w:val="16"/>
              </w:rPr>
              <w:tab/>
            </w:r>
            <w:r>
              <w:rPr>
                <w:spacing w:val="-2"/>
                <w:sz w:val="16"/>
              </w:rPr>
              <w:t>48,205</w:t>
            </w:r>
          </w:p>
        </w:tc>
        <w:tc>
          <w:tcPr>
            <w:tcW w:w="899" w:type="dxa"/>
          </w:tcPr>
          <w:p>
            <w:pPr>
              <w:pStyle w:val="TableParagraph"/>
              <w:spacing w:before="32"/>
              <w:ind w:right="62"/>
              <w:jc w:val="right"/>
              <w:rPr>
                <w:sz w:val="16"/>
              </w:rPr>
            </w:pPr>
            <w:r>
              <w:rPr>
                <w:sz w:val="16"/>
              </w:rPr>
              <w:t>64</w:t>
            </w:r>
            <w:r>
              <w:rPr>
                <w:spacing w:val="7"/>
                <w:sz w:val="16"/>
              </w:rPr>
              <w:t> </w:t>
            </w:r>
            <w:r>
              <w:rPr>
                <w:spacing w:val="-10"/>
                <w:sz w:val="16"/>
              </w:rPr>
              <w:t>%</w:t>
            </w:r>
          </w:p>
        </w:tc>
        <w:tc>
          <w:tcPr>
            <w:tcW w:w="1621" w:type="dxa"/>
          </w:tcPr>
          <w:p>
            <w:pPr>
              <w:pStyle w:val="TableParagraph"/>
              <w:tabs>
                <w:tab w:pos="590" w:val="left" w:leader="none"/>
              </w:tabs>
              <w:spacing w:before="32"/>
              <w:ind w:right="476"/>
              <w:jc w:val="right"/>
              <w:rPr>
                <w:sz w:val="16"/>
              </w:rPr>
            </w:pPr>
            <w:r>
              <w:rPr>
                <w:spacing w:val="-10"/>
                <w:sz w:val="16"/>
              </w:rPr>
              <w:t>$</w:t>
            </w:r>
            <w:r>
              <w:rPr>
                <w:sz w:val="16"/>
              </w:rPr>
              <w:tab/>
            </w:r>
            <w:r>
              <w:rPr>
                <w:spacing w:val="-2"/>
                <w:sz w:val="16"/>
              </w:rPr>
              <w:t>49,296</w:t>
            </w:r>
          </w:p>
        </w:tc>
        <w:tc>
          <w:tcPr>
            <w:tcW w:w="850" w:type="dxa"/>
          </w:tcPr>
          <w:p>
            <w:pPr>
              <w:pStyle w:val="TableParagraph"/>
              <w:spacing w:before="32"/>
              <w:ind w:right="13"/>
              <w:jc w:val="right"/>
              <w:rPr>
                <w:sz w:val="16"/>
              </w:rPr>
            </w:pPr>
            <w:r>
              <w:rPr>
                <w:sz w:val="16"/>
              </w:rPr>
              <w:t>63</w:t>
            </w:r>
            <w:r>
              <w:rPr>
                <w:spacing w:val="7"/>
                <w:sz w:val="16"/>
              </w:rPr>
              <w:t> </w:t>
            </w:r>
            <w:r>
              <w:rPr>
                <w:spacing w:val="-10"/>
                <w:sz w:val="16"/>
              </w:rPr>
              <w:t>%</w:t>
            </w:r>
          </w:p>
        </w:tc>
      </w:tr>
      <w:tr>
        <w:trPr>
          <w:trHeight w:val="240" w:hRule="atLeast"/>
        </w:trPr>
        <w:tc>
          <w:tcPr>
            <w:tcW w:w="5990" w:type="dxa"/>
            <w:gridSpan w:val="2"/>
          </w:tcPr>
          <w:p>
            <w:pPr>
              <w:pStyle w:val="TableParagraph"/>
              <w:tabs>
                <w:tab w:pos="5023" w:val="left" w:leader="none"/>
              </w:tabs>
              <w:spacing w:before="25"/>
              <w:ind w:left="216"/>
              <w:rPr>
                <w:sz w:val="16"/>
              </w:rPr>
            </w:pPr>
            <w:r>
              <w:rPr>
                <w:spacing w:val="-2"/>
                <w:sz w:val="16"/>
              </w:rPr>
              <w:t>Operational</w:t>
            </w:r>
            <w:r>
              <w:rPr>
                <w:sz w:val="16"/>
              </w:rPr>
              <w:tab/>
            </w:r>
            <w:r>
              <w:rPr>
                <w:spacing w:val="-2"/>
                <w:sz w:val="16"/>
              </w:rPr>
              <w:t>14,404</w:t>
            </w:r>
          </w:p>
        </w:tc>
        <w:tc>
          <w:tcPr>
            <w:tcW w:w="899" w:type="dxa"/>
          </w:tcPr>
          <w:p>
            <w:pPr>
              <w:pStyle w:val="TableParagraph"/>
              <w:spacing w:before="25"/>
              <w:ind w:left="462"/>
              <w:rPr>
                <w:sz w:val="16"/>
              </w:rPr>
            </w:pPr>
            <w:r>
              <w:rPr>
                <w:spacing w:val="-5"/>
                <w:sz w:val="16"/>
              </w:rPr>
              <w:t>19</w:t>
            </w:r>
          </w:p>
        </w:tc>
        <w:tc>
          <w:tcPr>
            <w:tcW w:w="1621" w:type="dxa"/>
          </w:tcPr>
          <w:p>
            <w:pPr>
              <w:pStyle w:val="TableParagraph"/>
              <w:spacing w:before="25"/>
              <w:ind w:right="476"/>
              <w:jc w:val="right"/>
              <w:rPr>
                <w:sz w:val="16"/>
              </w:rPr>
            </w:pPr>
            <w:r>
              <w:rPr>
                <w:spacing w:val="-2"/>
                <w:sz w:val="16"/>
              </w:rPr>
              <w:t>13,345</w:t>
            </w:r>
          </w:p>
        </w:tc>
        <w:tc>
          <w:tcPr>
            <w:tcW w:w="850" w:type="dxa"/>
          </w:tcPr>
          <w:p>
            <w:pPr>
              <w:pStyle w:val="TableParagraph"/>
              <w:spacing w:before="29"/>
              <w:ind w:left="461"/>
              <w:rPr>
                <w:sz w:val="16"/>
              </w:rPr>
            </w:pPr>
            <w:r>
              <w:rPr>
                <w:spacing w:val="-5"/>
                <w:sz w:val="16"/>
              </w:rPr>
              <w:t>17</w:t>
            </w:r>
          </w:p>
        </w:tc>
      </w:tr>
      <w:tr>
        <w:trPr>
          <w:trHeight w:val="232" w:hRule="atLeast"/>
        </w:trPr>
        <w:tc>
          <w:tcPr>
            <w:tcW w:w="5990" w:type="dxa"/>
            <w:gridSpan w:val="2"/>
          </w:tcPr>
          <w:p>
            <w:pPr>
              <w:pStyle w:val="TableParagraph"/>
              <w:tabs>
                <w:tab w:pos="5023" w:val="left" w:leader="none"/>
              </w:tabs>
              <w:spacing w:line="194" w:lineRule="exact" w:before="19"/>
              <w:ind w:left="216"/>
              <w:rPr>
                <w:sz w:val="16"/>
              </w:rPr>
            </w:pPr>
            <w:r>
              <w:rPr>
                <w:spacing w:val="-2"/>
                <w:position w:val="1"/>
                <w:sz w:val="16"/>
              </w:rPr>
              <w:t>Discretionary</w:t>
            </w:r>
            <w:r>
              <w:rPr>
                <w:position w:val="1"/>
                <w:sz w:val="16"/>
              </w:rPr>
              <w:tab/>
            </w:r>
            <w:r>
              <w:rPr>
                <w:spacing w:val="-2"/>
                <w:sz w:val="16"/>
              </w:rPr>
              <w:t>12,804</w:t>
            </w:r>
          </w:p>
        </w:tc>
        <w:tc>
          <w:tcPr>
            <w:tcW w:w="899" w:type="dxa"/>
            <w:tcBorders>
              <w:bottom w:val="single" w:sz="8" w:space="0" w:color="6C6C6C"/>
            </w:tcBorders>
          </w:tcPr>
          <w:p>
            <w:pPr>
              <w:pStyle w:val="TableParagraph"/>
              <w:spacing w:line="184" w:lineRule="exact" w:before="29"/>
              <w:ind w:left="462"/>
              <w:rPr>
                <w:sz w:val="16"/>
              </w:rPr>
            </w:pPr>
            <w:r>
              <w:rPr>
                <w:spacing w:val="-5"/>
                <w:sz w:val="16"/>
              </w:rPr>
              <w:t>17</w:t>
            </w:r>
          </w:p>
        </w:tc>
        <w:tc>
          <w:tcPr>
            <w:tcW w:w="1621" w:type="dxa"/>
            <w:tcBorders>
              <w:bottom w:val="single" w:sz="8" w:space="0" w:color="6C6C6C"/>
            </w:tcBorders>
          </w:tcPr>
          <w:p>
            <w:pPr>
              <w:pStyle w:val="TableParagraph"/>
              <w:spacing w:line="184" w:lineRule="exact" w:before="29"/>
              <w:ind w:right="476"/>
              <w:jc w:val="right"/>
              <w:rPr>
                <w:sz w:val="16"/>
              </w:rPr>
            </w:pPr>
            <w:r>
              <w:rPr>
                <w:spacing w:val="-2"/>
                <w:sz w:val="16"/>
              </w:rPr>
              <w:t>16,155</w:t>
            </w:r>
          </w:p>
        </w:tc>
        <w:tc>
          <w:tcPr>
            <w:tcW w:w="850" w:type="dxa"/>
            <w:tcBorders>
              <w:bottom w:val="single" w:sz="8" w:space="0" w:color="6C6C6C"/>
            </w:tcBorders>
          </w:tcPr>
          <w:p>
            <w:pPr>
              <w:pStyle w:val="TableParagraph"/>
              <w:spacing w:line="184" w:lineRule="exact" w:before="29"/>
              <w:ind w:left="461"/>
              <w:rPr>
                <w:sz w:val="16"/>
              </w:rPr>
            </w:pPr>
            <w:r>
              <w:rPr>
                <w:spacing w:val="-5"/>
                <w:sz w:val="16"/>
              </w:rPr>
              <w:t>20</w:t>
            </w:r>
          </w:p>
        </w:tc>
      </w:tr>
      <w:tr>
        <w:trPr>
          <w:trHeight w:val="240" w:hRule="atLeast"/>
        </w:trPr>
        <w:tc>
          <w:tcPr>
            <w:tcW w:w="4380" w:type="dxa"/>
          </w:tcPr>
          <w:p>
            <w:pPr>
              <w:pStyle w:val="TableParagraph"/>
              <w:spacing w:before="12"/>
              <w:ind w:left="52"/>
              <w:rPr>
                <w:rFonts w:ascii="Arial"/>
                <w:b/>
                <w:sz w:val="16"/>
              </w:rPr>
            </w:pPr>
            <w:r>
              <w:rPr>
                <w:rFonts w:ascii="Arial"/>
                <w:b/>
                <w:spacing w:val="-2"/>
                <w:sz w:val="16"/>
              </w:rPr>
              <w:t>Total</w:t>
            </w:r>
          </w:p>
        </w:tc>
        <w:tc>
          <w:tcPr>
            <w:tcW w:w="4980" w:type="dxa"/>
            <w:gridSpan w:val="4"/>
            <w:tcBorders>
              <w:bottom w:val="single" w:sz="8" w:space="0" w:color="6C6C6C"/>
            </w:tcBorders>
          </w:tcPr>
          <w:p>
            <w:pPr>
              <w:pStyle w:val="TableParagraph"/>
              <w:tabs>
                <w:tab w:pos="643" w:val="left" w:leader="none"/>
                <w:tab w:pos="1983" w:val="left" w:leader="none"/>
                <w:tab w:pos="3163" w:val="left" w:leader="none"/>
                <w:tab w:pos="4503" w:val="left" w:leader="none"/>
              </w:tabs>
              <w:spacing w:before="12"/>
              <w:rPr>
                <w:rFonts w:ascii="Arial"/>
                <w:b/>
                <w:sz w:val="16"/>
              </w:rPr>
            </w:pPr>
            <w:r>
              <w:rPr>
                <w:rFonts w:ascii="Arial"/>
                <w:b/>
                <w:spacing w:val="12"/>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75,413</w:t>
            </w:r>
            <w:r>
              <w:rPr>
                <w:rFonts w:ascii="Arial"/>
                <w:b/>
                <w:sz w:val="16"/>
                <w:u w:val="single" w:color="6C6C6C"/>
              </w:rPr>
              <w:tab/>
              <w:t>100</w:t>
            </w:r>
            <w:r>
              <w:rPr>
                <w:rFonts w:ascii="Arial"/>
                <w:b/>
                <w:spacing w:val="7"/>
                <w:sz w:val="16"/>
                <w:u w:val="single" w:color="6C6C6C"/>
              </w:rPr>
              <w:t> </w:t>
            </w:r>
            <w:r>
              <w:rPr>
                <w:rFonts w:ascii="Arial"/>
                <w:b/>
                <w:sz w:val="16"/>
                <w:u w:val="single" w:color="6C6C6C"/>
              </w:rPr>
              <w:t>%</w:t>
            </w:r>
            <w:r>
              <w:rPr>
                <w:rFonts w:ascii="Arial"/>
                <w:b/>
                <w:spacing w:val="58"/>
                <w:w w:val="150"/>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78,796</w:t>
            </w:r>
            <w:r>
              <w:rPr>
                <w:rFonts w:ascii="Arial"/>
                <w:b/>
                <w:sz w:val="16"/>
                <w:u w:val="single" w:color="6C6C6C"/>
              </w:rPr>
              <w:tab/>
              <w:t>100</w:t>
            </w:r>
            <w:r>
              <w:rPr>
                <w:rFonts w:ascii="Arial"/>
                <w:b/>
                <w:spacing w:val="6"/>
                <w:sz w:val="16"/>
                <w:u w:val="single" w:color="6C6C6C"/>
              </w:rPr>
              <w:t> </w:t>
            </w:r>
            <w:r>
              <w:rPr>
                <w:rFonts w:ascii="Arial"/>
                <w:b/>
                <w:spacing w:val="-10"/>
                <w:sz w:val="16"/>
                <w:u w:val="single" w:color="6C6C6C"/>
              </w:rPr>
              <w:t>%</w:t>
            </w:r>
          </w:p>
        </w:tc>
      </w:tr>
    </w:tbl>
    <w:p>
      <w:pPr>
        <w:pStyle w:val="BodyText"/>
        <w:spacing w:before="3"/>
      </w:pPr>
      <w:r>
        <w:rPr/>
        <mc:AlternateContent>
          <mc:Choice Requires="wps">
            <w:drawing>
              <wp:anchor distT="0" distB="0" distL="0" distR="0" allowOverlap="1" layoutInCell="1" locked="0" behindDoc="1" simplePos="0" relativeHeight="487644160">
                <wp:simplePos x="0" y="0"/>
                <wp:positionH relativeFrom="page">
                  <wp:posOffset>914400</wp:posOffset>
                </wp:positionH>
                <wp:positionV relativeFrom="paragraph">
                  <wp:posOffset>163670</wp:posOffset>
                </wp:positionV>
                <wp:extent cx="5943600" cy="1270"/>
                <wp:effectExtent l="0" t="0" r="0" b="0"/>
                <wp:wrapTopAndBottom/>
                <wp:docPr id="369" name="Graphic 369"/>
                <wp:cNvGraphicFramePr>
                  <a:graphicFrameLocks/>
                </wp:cNvGraphicFramePr>
                <a:graphic>
                  <a:graphicData uri="http://schemas.microsoft.com/office/word/2010/wordprocessingShape">
                    <wps:wsp>
                      <wps:cNvPr id="369" name="Graphic 369"/>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887471pt;width:468pt;height:.1pt;mso-position-horizontal-relative:page;mso-position-vertical-relative:paragraph;z-index:-15672320;mso-wrap-distance-left:0;mso-wrap-distance-right:0" id="docshape301" coordorigin="1440,258" coordsize="9360,0" path="m1440,258l10800,258e" filled="false" stroked="true" strokeweight="1pt" strokecolor="#6c6c6c">
                <v:path arrowok="t"/>
                <v:stroke dashstyle="solid"/>
                <w10:wrap type="topAndBottom"/>
              </v:shape>
            </w:pict>
          </mc:Fallback>
        </mc:AlternateContent>
      </w:r>
    </w:p>
    <w:p>
      <w:pPr>
        <w:spacing w:before="106"/>
        <w:ind w:left="772" w:right="0" w:firstLine="0"/>
        <w:jc w:val="left"/>
        <w:rPr>
          <w:rFonts w:ascii="Arial"/>
          <w:b/>
          <w:sz w:val="18"/>
        </w:rPr>
      </w:pPr>
      <w:bookmarkStart w:name="_bookmark50" w:id="75"/>
      <w:bookmarkEnd w:id="75"/>
      <w:r>
        <w:rPr/>
      </w:r>
      <w:r>
        <w:rPr>
          <w:rFonts w:ascii="Arial"/>
          <w:b/>
          <w:sz w:val="18"/>
        </w:rPr>
        <w:t>Table</w:t>
      </w:r>
      <w:r>
        <w:rPr>
          <w:rFonts w:ascii="Arial"/>
          <w:b/>
          <w:spacing w:val="-3"/>
          <w:sz w:val="18"/>
        </w:rPr>
        <w:t> </w:t>
      </w:r>
      <w:r>
        <w:rPr>
          <w:rFonts w:ascii="Arial"/>
          <w:b/>
          <w:sz w:val="18"/>
        </w:rPr>
        <w:t>20:</w:t>
      </w:r>
      <w:r>
        <w:rPr>
          <w:rFonts w:ascii="Arial"/>
          <w:b/>
          <w:spacing w:val="-2"/>
          <w:sz w:val="18"/>
        </w:rPr>
        <w:t> </w:t>
      </w:r>
      <w:r>
        <w:rPr>
          <w:rFonts w:ascii="Arial"/>
          <w:b/>
          <w:sz w:val="18"/>
        </w:rPr>
        <w:t>Liquid</w:t>
      </w:r>
      <w:r>
        <w:rPr>
          <w:rFonts w:ascii="Arial"/>
          <w:b/>
          <w:spacing w:val="-2"/>
          <w:sz w:val="18"/>
        </w:rPr>
        <w:t> </w:t>
      </w:r>
      <w:r>
        <w:rPr>
          <w:rFonts w:ascii="Arial"/>
          <w:b/>
          <w:sz w:val="18"/>
        </w:rPr>
        <w:t>Asset</w:t>
      </w:r>
      <w:r>
        <w:rPr>
          <w:rFonts w:ascii="Arial"/>
          <w:b/>
          <w:spacing w:val="-2"/>
          <w:sz w:val="18"/>
        </w:rPr>
        <w:t> </w:t>
      </w:r>
      <w:r>
        <w:rPr>
          <w:rFonts w:ascii="Arial"/>
          <w:b/>
          <w:sz w:val="18"/>
        </w:rPr>
        <w:t>Portfolio</w:t>
      </w:r>
      <w:r>
        <w:rPr>
          <w:rFonts w:ascii="Arial"/>
          <w:b/>
          <w:spacing w:val="-2"/>
          <w:sz w:val="18"/>
        </w:rPr>
        <w:t> </w:t>
      </w:r>
      <w:r>
        <w:rPr>
          <w:rFonts w:ascii="Arial"/>
          <w:b/>
          <w:sz w:val="18"/>
        </w:rPr>
        <w:t>-</w:t>
      </w:r>
      <w:r>
        <w:rPr>
          <w:rFonts w:ascii="Arial"/>
          <w:b/>
          <w:spacing w:val="-2"/>
          <w:sz w:val="18"/>
        </w:rPr>
        <w:t> </w:t>
      </w:r>
      <w:r>
        <w:rPr>
          <w:rFonts w:ascii="Arial"/>
          <w:b/>
          <w:sz w:val="18"/>
        </w:rPr>
        <w:t>Average</w:t>
      </w:r>
      <w:r>
        <w:rPr>
          <w:rFonts w:ascii="Arial"/>
          <w:b/>
          <w:spacing w:val="-2"/>
          <w:sz w:val="18"/>
        </w:rPr>
        <w:t> </w:t>
      </w:r>
      <w:r>
        <w:rPr>
          <w:rFonts w:ascii="Arial"/>
          <w:b/>
          <w:sz w:val="18"/>
        </w:rPr>
        <w:t>Balances</w:t>
      </w:r>
      <w:r>
        <w:rPr>
          <w:rFonts w:ascii="Arial"/>
          <w:b/>
          <w:spacing w:val="-2"/>
          <w:sz w:val="18"/>
        </w:rPr>
        <w:t> </w:t>
      </w:r>
      <w:r>
        <w:rPr>
          <w:rFonts w:ascii="Arial"/>
          <w:b/>
          <w:sz w:val="18"/>
        </w:rPr>
        <w:t>and</w:t>
      </w:r>
      <w:r>
        <w:rPr>
          <w:rFonts w:ascii="Arial"/>
          <w:b/>
          <w:spacing w:val="-2"/>
          <w:sz w:val="18"/>
        </w:rPr>
        <w:t> Returns</w:t>
      </w:r>
    </w:p>
    <w:p>
      <w:pPr>
        <w:spacing w:before="54"/>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3"/>
          <w:sz w:val="16"/>
        </w:rPr>
        <w:t> </w:t>
      </w:r>
      <w:r>
        <w:rPr>
          <w:rFonts w:ascii="Arial"/>
          <w:i/>
          <w:sz w:val="16"/>
        </w:rPr>
        <w:t>dollars,</w:t>
      </w:r>
      <w:r>
        <w:rPr>
          <w:rFonts w:ascii="Arial"/>
          <w:i/>
          <w:spacing w:val="-2"/>
          <w:sz w:val="16"/>
        </w:rPr>
        <w:t> </w:t>
      </w:r>
      <w:r>
        <w:rPr>
          <w:rFonts w:ascii="Arial"/>
          <w:i/>
          <w:sz w:val="16"/>
        </w:rPr>
        <w:t>except</w:t>
      </w:r>
      <w:r>
        <w:rPr>
          <w:rFonts w:ascii="Arial"/>
          <w:i/>
          <w:spacing w:val="-2"/>
          <w:sz w:val="16"/>
        </w:rPr>
        <w:t> </w:t>
      </w:r>
      <w:r>
        <w:rPr>
          <w:rFonts w:ascii="Arial"/>
          <w:i/>
          <w:sz w:val="16"/>
        </w:rPr>
        <w:t>rates</w:t>
      </w:r>
      <w:r>
        <w:rPr>
          <w:rFonts w:ascii="Arial"/>
          <w:i/>
          <w:spacing w:val="-3"/>
          <w:sz w:val="16"/>
        </w:rPr>
        <w:t> </w:t>
      </w:r>
      <w:r>
        <w:rPr>
          <w:rFonts w:ascii="Arial"/>
          <w:i/>
          <w:sz w:val="16"/>
        </w:rPr>
        <w:t>which</w:t>
      </w:r>
      <w:r>
        <w:rPr>
          <w:rFonts w:ascii="Arial"/>
          <w:i/>
          <w:spacing w:val="-3"/>
          <w:sz w:val="16"/>
        </w:rPr>
        <w:t> </w:t>
      </w:r>
      <w:r>
        <w:rPr>
          <w:rFonts w:ascii="Arial"/>
          <w:i/>
          <w:sz w:val="16"/>
        </w:rPr>
        <w:t>are</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p>
      <w:pPr>
        <w:pStyle w:val="BodyText"/>
        <w:spacing w:before="4"/>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0"/>
        <w:gridCol w:w="1199"/>
        <w:gridCol w:w="1261"/>
        <w:gridCol w:w="1999"/>
        <w:gridCol w:w="521"/>
      </w:tblGrid>
      <w:tr>
        <w:trPr>
          <w:trHeight w:val="202" w:hRule="atLeast"/>
        </w:trPr>
        <w:tc>
          <w:tcPr>
            <w:tcW w:w="4380" w:type="dxa"/>
            <w:tcBorders>
              <w:bottom w:val="single" w:sz="8" w:space="0" w:color="6C6C6C"/>
            </w:tcBorders>
          </w:tcPr>
          <w:p>
            <w:pPr>
              <w:pStyle w:val="TableParagraph"/>
              <w:rPr>
                <w:rFonts w:ascii="Times New Roman"/>
                <w:sz w:val="14"/>
              </w:rPr>
            </w:pPr>
          </w:p>
        </w:tc>
        <w:tc>
          <w:tcPr>
            <w:tcW w:w="1199" w:type="dxa"/>
            <w:tcBorders>
              <w:bottom w:val="single" w:sz="8" w:space="0" w:color="6C6C6C"/>
            </w:tcBorders>
          </w:tcPr>
          <w:p>
            <w:pPr>
              <w:pStyle w:val="TableParagraph"/>
              <w:spacing w:line="179" w:lineRule="exact"/>
              <w:ind w:right="20"/>
              <w:jc w:val="right"/>
              <w:rPr>
                <w:rFonts w:ascii="Arial"/>
                <w:i/>
                <w:sz w:val="16"/>
              </w:rPr>
            </w:pPr>
            <w:r>
              <w:rPr>
                <w:rFonts w:ascii="Arial"/>
                <w:i/>
                <w:color w:val="484848"/>
                <w:spacing w:val="-2"/>
                <w:sz w:val="16"/>
              </w:rPr>
              <w:t>Average</w:t>
            </w:r>
          </w:p>
        </w:tc>
        <w:tc>
          <w:tcPr>
            <w:tcW w:w="1261" w:type="dxa"/>
            <w:tcBorders>
              <w:bottom w:val="single" w:sz="8" w:space="0" w:color="6C6C6C"/>
            </w:tcBorders>
          </w:tcPr>
          <w:p>
            <w:pPr>
              <w:pStyle w:val="TableParagraph"/>
              <w:spacing w:line="179" w:lineRule="exact"/>
              <w:ind w:left="22"/>
              <w:rPr>
                <w:rFonts w:ascii="Arial"/>
                <w:i/>
                <w:sz w:val="16"/>
              </w:rPr>
            </w:pPr>
            <w:r>
              <w:rPr>
                <w:rFonts w:ascii="Arial"/>
                <w:i/>
                <w:color w:val="484848"/>
                <w:spacing w:val="-2"/>
                <w:sz w:val="16"/>
              </w:rPr>
              <w:t>Balances</w:t>
            </w:r>
          </w:p>
        </w:tc>
        <w:tc>
          <w:tcPr>
            <w:tcW w:w="1999" w:type="dxa"/>
            <w:tcBorders>
              <w:bottom w:val="single" w:sz="8" w:space="0" w:color="6C6C6C"/>
            </w:tcBorders>
          </w:tcPr>
          <w:p>
            <w:pPr>
              <w:pStyle w:val="TableParagraph"/>
              <w:spacing w:line="179" w:lineRule="exact"/>
              <w:ind w:left="575" w:right="-15"/>
              <w:rPr>
                <w:rFonts w:ascii="Arial"/>
                <w:i/>
                <w:sz w:val="16"/>
              </w:rPr>
            </w:pPr>
            <w:r>
              <w:rPr>
                <w:rFonts w:ascii="Arial"/>
                <w:i/>
                <w:color w:val="484848"/>
                <w:sz w:val="16"/>
              </w:rPr>
              <w:t>Financial</w:t>
            </w:r>
            <w:r>
              <w:rPr>
                <w:rFonts w:ascii="Arial"/>
                <w:i/>
                <w:color w:val="484848"/>
                <w:spacing w:val="-6"/>
                <w:sz w:val="16"/>
              </w:rPr>
              <w:t> </w:t>
            </w:r>
            <w:r>
              <w:rPr>
                <w:rFonts w:ascii="Arial"/>
                <w:i/>
                <w:color w:val="484848"/>
                <w:sz w:val="16"/>
              </w:rPr>
              <w:t>Returns</w:t>
            </w:r>
            <w:r>
              <w:rPr>
                <w:rFonts w:ascii="Arial"/>
                <w:i/>
                <w:color w:val="484848"/>
                <w:spacing w:val="-5"/>
                <w:sz w:val="16"/>
              </w:rPr>
              <w:t> </w:t>
            </w:r>
            <w:r>
              <w:rPr>
                <w:rFonts w:ascii="Arial"/>
                <w:i/>
                <w:color w:val="484848"/>
                <w:spacing w:val="-10"/>
                <w:sz w:val="16"/>
              </w:rPr>
              <w:t>%</w:t>
            </w:r>
          </w:p>
        </w:tc>
        <w:tc>
          <w:tcPr>
            <w:tcW w:w="521" w:type="dxa"/>
            <w:tcBorders>
              <w:bottom w:val="single" w:sz="8" w:space="0" w:color="6C6C6C"/>
            </w:tcBorders>
          </w:tcPr>
          <w:p>
            <w:pPr>
              <w:pStyle w:val="TableParagraph"/>
              <w:rPr>
                <w:rFonts w:ascii="Times New Roman"/>
                <w:sz w:val="14"/>
              </w:rPr>
            </w:pPr>
          </w:p>
        </w:tc>
      </w:tr>
      <w:tr>
        <w:trPr>
          <w:trHeight w:val="220" w:hRule="atLeast"/>
        </w:trPr>
        <w:tc>
          <w:tcPr>
            <w:tcW w:w="4380" w:type="dxa"/>
            <w:tcBorders>
              <w:top w:val="single" w:sz="8" w:space="0" w:color="6C6C6C"/>
              <w:bottom w:val="single" w:sz="8" w:space="0" w:color="6C6C6C"/>
            </w:tcBorders>
          </w:tcPr>
          <w:p>
            <w:pPr>
              <w:pStyle w:val="TableParagraph"/>
              <w:rPr>
                <w:rFonts w:ascii="Times New Roman"/>
                <w:sz w:val="14"/>
              </w:rPr>
            </w:pPr>
          </w:p>
        </w:tc>
        <w:tc>
          <w:tcPr>
            <w:tcW w:w="1199" w:type="dxa"/>
            <w:tcBorders>
              <w:top w:val="single" w:sz="8" w:space="0" w:color="6C6C6C"/>
              <w:bottom w:val="single" w:sz="8" w:space="0" w:color="6C6C6C"/>
            </w:tcBorders>
          </w:tcPr>
          <w:p>
            <w:pPr>
              <w:pStyle w:val="TableParagraph"/>
              <w:spacing w:before="12"/>
              <w:ind w:right="49"/>
              <w:jc w:val="right"/>
              <w:rPr>
                <w:rFonts w:ascii="Arial"/>
                <w:i/>
                <w:sz w:val="16"/>
              </w:rPr>
            </w:pPr>
            <w:r>
              <w:rPr>
                <w:rFonts w:ascii="Arial"/>
                <w:i/>
                <w:color w:val="484848"/>
                <w:spacing w:val="-4"/>
                <w:sz w:val="16"/>
              </w:rPr>
              <w:t>2023</w:t>
            </w:r>
          </w:p>
        </w:tc>
        <w:tc>
          <w:tcPr>
            <w:tcW w:w="1261" w:type="dxa"/>
            <w:tcBorders>
              <w:top w:val="single" w:sz="8" w:space="0" w:color="6C6C6C"/>
              <w:bottom w:val="single" w:sz="8" w:space="0" w:color="6C6C6C"/>
            </w:tcBorders>
          </w:tcPr>
          <w:p>
            <w:pPr>
              <w:pStyle w:val="TableParagraph"/>
              <w:spacing w:before="12"/>
              <w:ind w:right="50"/>
              <w:jc w:val="right"/>
              <w:rPr>
                <w:rFonts w:ascii="Arial"/>
                <w:i/>
                <w:sz w:val="16"/>
              </w:rPr>
            </w:pPr>
            <w:r>
              <w:rPr>
                <w:rFonts w:ascii="Arial"/>
                <w:i/>
                <w:color w:val="484848"/>
                <w:spacing w:val="-4"/>
                <w:sz w:val="16"/>
              </w:rPr>
              <w:t>2022</w:t>
            </w:r>
          </w:p>
        </w:tc>
        <w:tc>
          <w:tcPr>
            <w:tcW w:w="1999" w:type="dxa"/>
            <w:tcBorders>
              <w:top w:val="single" w:sz="8" w:space="0" w:color="6C6C6C"/>
              <w:bottom w:val="single" w:sz="8" w:space="0" w:color="6C6C6C"/>
            </w:tcBorders>
          </w:tcPr>
          <w:p>
            <w:pPr>
              <w:pStyle w:val="TableParagraph"/>
              <w:spacing w:before="12"/>
              <w:ind w:left="268" w:right="208"/>
              <w:jc w:val="center"/>
              <w:rPr>
                <w:rFonts w:ascii="Arial"/>
                <w:i/>
                <w:sz w:val="16"/>
              </w:rPr>
            </w:pPr>
            <w:r>
              <w:rPr>
                <w:rFonts w:ascii="Arial"/>
                <w:i/>
                <w:color w:val="484848"/>
                <w:spacing w:val="-4"/>
                <w:sz w:val="16"/>
              </w:rPr>
              <w:t>2023</w:t>
            </w:r>
          </w:p>
        </w:tc>
        <w:tc>
          <w:tcPr>
            <w:tcW w:w="521" w:type="dxa"/>
            <w:tcBorders>
              <w:top w:val="single" w:sz="8" w:space="0" w:color="6C6C6C"/>
              <w:bottom w:val="single" w:sz="8" w:space="0" w:color="6C6C6C"/>
            </w:tcBorders>
          </w:tcPr>
          <w:p>
            <w:pPr>
              <w:pStyle w:val="TableParagraph"/>
              <w:spacing w:before="12"/>
              <w:ind w:left="113"/>
              <w:rPr>
                <w:rFonts w:ascii="Arial"/>
                <w:i/>
                <w:sz w:val="16"/>
              </w:rPr>
            </w:pPr>
            <w:r>
              <w:rPr>
                <w:rFonts w:ascii="Arial"/>
                <w:i/>
                <w:color w:val="484848"/>
                <w:spacing w:val="-4"/>
                <w:sz w:val="16"/>
              </w:rPr>
              <w:t>2022</w:t>
            </w:r>
          </w:p>
        </w:tc>
      </w:tr>
      <w:tr>
        <w:trPr>
          <w:trHeight w:val="463" w:hRule="atLeast"/>
        </w:trPr>
        <w:tc>
          <w:tcPr>
            <w:tcW w:w="4380" w:type="dxa"/>
            <w:tcBorders>
              <w:top w:val="single" w:sz="8" w:space="0" w:color="6C6C6C"/>
            </w:tcBorders>
          </w:tcPr>
          <w:p>
            <w:pPr>
              <w:pStyle w:val="TableParagraph"/>
              <w:spacing w:before="9"/>
              <w:ind w:left="52"/>
              <w:rPr>
                <w:sz w:val="16"/>
              </w:rPr>
            </w:pPr>
            <w:r>
              <w:rPr>
                <w:sz w:val="16"/>
              </w:rPr>
              <w:t>Liquid</w:t>
            </w:r>
            <w:r>
              <w:rPr>
                <w:spacing w:val="-5"/>
                <w:sz w:val="16"/>
              </w:rPr>
              <w:t> </w:t>
            </w:r>
            <w:r>
              <w:rPr>
                <w:sz w:val="16"/>
              </w:rPr>
              <w:t>asset</w:t>
            </w:r>
            <w:r>
              <w:rPr>
                <w:spacing w:val="-3"/>
                <w:sz w:val="16"/>
              </w:rPr>
              <w:t> </w:t>
            </w:r>
            <w:r>
              <w:rPr>
                <w:spacing w:val="-2"/>
                <w:sz w:val="16"/>
              </w:rPr>
              <w:t>portfolio</w:t>
            </w:r>
          </w:p>
          <w:p>
            <w:pPr>
              <w:pStyle w:val="TableParagraph"/>
              <w:spacing w:before="56"/>
              <w:ind w:left="212"/>
              <w:rPr>
                <w:sz w:val="16"/>
              </w:rPr>
            </w:pPr>
            <w:r>
              <w:rPr>
                <w:spacing w:val="-2"/>
                <w:sz w:val="16"/>
              </w:rPr>
              <w:t>Stable</w:t>
            </w:r>
          </w:p>
        </w:tc>
        <w:tc>
          <w:tcPr>
            <w:tcW w:w="1199" w:type="dxa"/>
            <w:tcBorders>
              <w:top w:val="single" w:sz="8" w:space="0" w:color="6C6C6C"/>
            </w:tcBorders>
          </w:tcPr>
          <w:p>
            <w:pPr>
              <w:pStyle w:val="TableParagraph"/>
              <w:spacing w:before="64"/>
              <w:rPr>
                <w:rFonts w:ascii="Arial"/>
                <w:i/>
                <w:sz w:val="16"/>
              </w:rPr>
            </w:pPr>
          </w:p>
          <w:p>
            <w:pPr>
              <w:pStyle w:val="TableParagraph"/>
              <w:tabs>
                <w:tab w:pos="590" w:val="left" w:leader="none"/>
              </w:tabs>
              <w:spacing w:before="1"/>
              <w:ind w:right="65"/>
              <w:jc w:val="right"/>
              <w:rPr>
                <w:sz w:val="16"/>
              </w:rPr>
            </w:pPr>
            <w:r>
              <w:rPr>
                <w:spacing w:val="-10"/>
                <w:sz w:val="16"/>
              </w:rPr>
              <w:t>$</w:t>
            </w:r>
            <w:r>
              <w:rPr>
                <w:sz w:val="16"/>
              </w:rPr>
              <w:tab/>
            </w:r>
            <w:r>
              <w:rPr>
                <w:spacing w:val="-2"/>
                <w:sz w:val="16"/>
              </w:rPr>
              <w:t>47,734</w:t>
            </w:r>
          </w:p>
        </w:tc>
        <w:tc>
          <w:tcPr>
            <w:tcW w:w="1261" w:type="dxa"/>
            <w:tcBorders>
              <w:top w:val="single" w:sz="8" w:space="0" w:color="6C6C6C"/>
            </w:tcBorders>
          </w:tcPr>
          <w:p>
            <w:pPr>
              <w:pStyle w:val="TableParagraph"/>
              <w:spacing w:before="64"/>
              <w:rPr>
                <w:rFonts w:ascii="Arial"/>
                <w:i/>
                <w:sz w:val="16"/>
              </w:rPr>
            </w:pPr>
          </w:p>
          <w:p>
            <w:pPr>
              <w:pStyle w:val="TableParagraph"/>
              <w:tabs>
                <w:tab w:pos="590" w:val="left" w:leader="none"/>
              </w:tabs>
              <w:spacing w:before="1"/>
              <w:ind w:right="66"/>
              <w:jc w:val="right"/>
              <w:rPr>
                <w:sz w:val="16"/>
              </w:rPr>
            </w:pPr>
            <w:r>
              <w:rPr>
                <w:spacing w:val="-10"/>
                <w:sz w:val="16"/>
              </w:rPr>
              <w:t>$</w:t>
            </w:r>
            <w:r>
              <w:rPr>
                <w:sz w:val="16"/>
              </w:rPr>
              <w:tab/>
            </w:r>
            <w:r>
              <w:rPr>
                <w:spacing w:val="-2"/>
                <w:sz w:val="16"/>
              </w:rPr>
              <w:t>55,925</w:t>
            </w:r>
          </w:p>
        </w:tc>
        <w:tc>
          <w:tcPr>
            <w:tcW w:w="1999" w:type="dxa"/>
            <w:tcBorders>
              <w:top w:val="single" w:sz="8" w:space="0" w:color="6C6C6C"/>
            </w:tcBorders>
          </w:tcPr>
          <w:p>
            <w:pPr>
              <w:pStyle w:val="TableParagraph"/>
              <w:spacing w:before="64"/>
              <w:rPr>
                <w:rFonts w:ascii="Arial"/>
                <w:i/>
                <w:sz w:val="16"/>
              </w:rPr>
            </w:pPr>
          </w:p>
          <w:p>
            <w:pPr>
              <w:pStyle w:val="TableParagraph"/>
              <w:spacing w:before="1"/>
              <w:ind w:left="738"/>
              <w:rPr>
                <w:sz w:val="16"/>
              </w:rPr>
            </w:pPr>
            <w:r>
              <w:rPr>
                <w:sz w:val="16"/>
              </w:rPr>
              <w:t>4.11</w:t>
            </w:r>
            <w:r>
              <w:rPr>
                <w:spacing w:val="6"/>
                <w:sz w:val="16"/>
              </w:rPr>
              <w:t> </w:t>
            </w:r>
            <w:r>
              <w:rPr>
                <w:spacing w:val="-10"/>
                <w:sz w:val="16"/>
              </w:rPr>
              <w:t>%</w:t>
            </w:r>
          </w:p>
        </w:tc>
        <w:tc>
          <w:tcPr>
            <w:tcW w:w="521" w:type="dxa"/>
            <w:tcBorders>
              <w:top w:val="single" w:sz="8" w:space="0" w:color="6C6C6C"/>
            </w:tcBorders>
          </w:tcPr>
          <w:p>
            <w:pPr>
              <w:pStyle w:val="TableParagraph"/>
              <w:spacing w:before="64"/>
              <w:rPr>
                <w:rFonts w:ascii="Arial"/>
                <w:i/>
                <w:sz w:val="16"/>
              </w:rPr>
            </w:pPr>
          </w:p>
          <w:p>
            <w:pPr>
              <w:pStyle w:val="TableParagraph"/>
              <w:spacing w:before="1"/>
              <w:ind w:left="-1"/>
              <w:rPr>
                <w:sz w:val="16"/>
              </w:rPr>
            </w:pPr>
            <w:r>
              <w:rPr>
                <w:sz w:val="16"/>
              </w:rPr>
              <w:t>0.31</w:t>
            </w:r>
            <w:r>
              <w:rPr>
                <w:spacing w:val="6"/>
                <w:sz w:val="16"/>
              </w:rPr>
              <w:t> </w:t>
            </w:r>
            <w:r>
              <w:rPr>
                <w:spacing w:val="-10"/>
                <w:sz w:val="16"/>
              </w:rPr>
              <w:t>%</w:t>
            </w:r>
          </w:p>
        </w:tc>
      </w:tr>
      <w:tr>
        <w:trPr>
          <w:trHeight w:val="240" w:hRule="atLeast"/>
        </w:trPr>
        <w:tc>
          <w:tcPr>
            <w:tcW w:w="4380" w:type="dxa"/>
          </w:tcPr>
          <w:p>
            <w:pPr>
              <w:pStyle w:val="TableParagraph"/>
              <w:spacing w:before="25"/>
              <w:ind w:left="212"/>
              <w:rPr>
                <w:sz w:val="16"/>
              </w:rPr>
            </w:pPr>
            <w:r>
              <w:rPr>
                <w:spacing w:val="-2"/>
                <w:sz w:val="16"/>
              </w:rPr>
              <w:t>Operational</w:t>
            </w:r>
          </w:p>
        </w:tc>
        <w:tc>
          <w:tcPr>
            <w:tcW w:w="1199" w:type="dxa"/>
          </w:tcPr>
          <w:p>
            <w:pPr>
              <w:pStyle w:val="TableParagraph"/>
              <w:spacing w:before="25"/>
              <w:ind w:right="65"/>
              <w:jc w:val="right"/>
              <w:rPr>
                <w:sz w:val="16"/>
              </w:rPr>
            </w:pPr>
            <w:r>
              <w:rPr>
                <w:spacing w:val="-2"/>
                <w:sz w:val="16"/>
              </w:rPr>
              <w:t>13,049</w:t>
            </w:r>
          </w:p>
        </w:tc>
        <w:tc>
          <w:tcPr>
            <w:tcW w:w="1261" w:type="dxa"/>
          </w:tcPr>
          <w:p>
            <w:pPr>
              <w:pStyle w:val="TableParagraph"/>
              <w:spacing w:before="25"/>
              <w:ind w:right="66"/>
              <w:jc w:val="right"/>
              <w:rPr>
                <w:sz w:val="16"/>
              </w:rPr>
            </w:pPr>
            <w:r>
              <w:rPr>
                <w:spacing w:val="-2"/>
                <w:sz w:val="16"/>
              </w:rPr>
              <w:t>13,736</w:t>
            </w:r>
          </w:p>
        </w:tc>
        <w:tc>
          <w:tcPr>
            <w:tcW w:w="1999" w:type="dxa"/>
          </w:tcPr>
          <w:p>
            <w:pPr>
              <w:pStyle w:val="TableParagraph"/>
              <w:spacing w:before="25"/>
              <w:ind w:left="60" w:right="268"/>
              <w:jc w:val="center"/>
              <w:rPr>
                <w:sz w:val="16"/>
              </w:rPr>
            </w:pPr>
            <w:r>
              <w:rPr>
                <w:spacing w:val="-4"/>
                <w:sz w:val="16"/>
              </w:rPr>
              <w:t>4.04</w:t>
            </w:r>
          </w:p>
        </w:tc>
        <w:tc>
          <w:tcPr>
            <w:tcW w:w="521" w:type="dxa"/>
          </w:tcPr>
          <w:p>
            <w:pPr>
              <w:pStyle w:val="TableParagraph"/>
              <w:spacing w:before="25"/>
              <w:ind w:left="-1"/>
              <w:rPr>
                <w:sz w:val="16"/>
              </w:rPr>
            </w:pPr>
            <w:r>
              <w:rPr>
                <w:spacing w:val="-4"/>
                <w:sz w:val="16"/>
              </w:rPr>
              <w:t>0.24</w:t>
            </w:r>
          </w:p>
        </w:tc>
      </w:tr>
      <w:tr>
        <w:trPr>
          <w:trHeight w:val="236" w:hRule="atLeast"/>
        </w:trPr>
        <w:tc>
          <w:tcPr>
            <w:tcW w:w="4380" w:type="dxa"/>
          </w:tcPr>
          <w:p>
            <w:pPr>
              <w:pStyle w:val="TableParagraph"/>
              <w:spacing w:before="25"/>
              <w:ind w:left="212"/>
              <w:rPr>
                <w:sz w:val="16"/>
              </w:rPr>
            </w:pPr>
            <w:r>
              <w:rPr>
                <w:spacing w:val="-2"/>
                <w:sz w:val="16"/>
              </w:rPr>
              <w:t>Discretionary</w:t>
            </w:r>
          </w:p>
        </w:tc>
        <w:tc>
          <w:tcPr>
            <w:tcW w:w="1199" w:type="dxa"/>
            <w:tcBorders>
              <w:bottom w:val="single" w:sz="8" w:space="0" w:color="6C6C6C"/>
            </w:tcBorders>
          </w:tcPr>
          <w:p>
            <w:pPr>
              <w:pStyle w:val="TableParagraph"/>
              <w:spacing w:before="25"/>
              <w:ind w:right="65"/>
              <w:jc w:val="right"/>
              <w:rPr>
                <w:sz w:val="16"/>
              </w:rPr>
            </w:pPr>
            <w:r>
              <w:rPr>
                <w:spacing w:val="-2"/>
                <w:sz w:val="16"/>
              </w:rPr>
              <w:t>15,668</w:t>
            </w:r>
          </w:p>
        </w:tc>
        <w:tc>
          <w:tcPr>
            <w:tcW w:w="1261" w:type="dxa"/>
            <w:tcBorders>
              <w:bottom w:val="single" w:sz="8" w:space="0" w:color="6C6C6C"/>
            </w:tcBorders>
          </w:tcPr>
          <w:p>
            <w:pPr>
              <w:pStyle w:val="TableParagraph"/>
              <w:spacing w:before="25"/>
              <w:ind w:right="66"/>
              <w:jc w:val="right"/>
              <w:rPr>
                <w:sz w:val="16"/>
              </w:rPr>
            </w:pPr>
            <w:r>
              <w:rPr>
                <w:spacing w:val="-2"/>
                <w:sz w:val="16"/>
              </w:rPr>
              <w:t>9,398</w:t>
            </w:r>
          </w:p>
        </w:tc>
        <w:tc>
          <w:tcPr>
            <w:tcW w:w="1999" w:type="dxa"/>
          </w:tcPr>
          <w:p>
            <w:pPr>
              <w:pStyle w:val="TableParagraph"/>
              <w:spacing w:before="25"/>
              <w:ind w:left="60" w:right="268"/>
              <w:jc w:val="center"/>
              <w:rPr>
                <w:sz w:val="16"/>
              </w:rPr>
            </w:pPr>
            <w:r>
              <w:rPr>
                <w:spacing w:val="-4"/>
                <w:sz w:val="16"/>
              </w:rPr>
              <w:t>4.36</w:t>
            </w:r>
          </w:p>
        </w:tc>
        <w:tc>
          <w:tcPr>
            <w:tcW w:w="521" w:type="dxa"/>
          </w:tcPr>
          <w:p>
            <w:pPr>
              <w:pStyle w:val="TableParagraph"/>
              <w:spacing w:before="25"/>
              <w:ind w:left="-1"/>
              <w:rPr>
                <w:sz w:val="16"/>
              </w:rPr>
            </w:pPr>
            <w:r>
              <w:rPr>
                <w:spacing w:val="-4"/>
                <w:sz w:val="16"/>
              </w:rPr>
              <w:t>0.61</w:t>
            </w:r>
          </w:p>
        </w:tc>
      </w:tr>
      <w:tr>
        <w:trPr>
          <w:trHeight w:val="200" w:hRule="atLeast"/>
        </w:trPr>
        <w:tc>
          <w:tcPr>
            <w:tcW w:w="4380" w:type="dxa"/>
          </w:tcPr>
          <w:p>
            <w:pPr>
              <w:pStyle w:val="TableParagraph"/>
              <w:spacing w:line="171" w:lineRule="exact" w:before="9"/>
              <w:ind w:left="52"/>
              <w:rPr>
                <w:rFonts w:ascii="Arial"/>
                <w:b/>
                <w:sz w:val="16"/>
              </w:rPr>
            </w:pPr>
            <w:r>
              <w:rPr>
                <w:rFonts w:ascii="Arial"/>
                <w:b/>
                <w:spacing w:val="-2"/>
                <w:sz w:val="16"/>
              </w:rPr>
              <w:t>Total</w:t>
            </w:r>
          </w:p>
        </w:tc>
        <w:tc>
          <w:tcPr>
            <w:tcW w:w="1199" w:type="dxa"/>
            <w:tcBorders>
              <w:top w:val="single" w:sz="8" w:space="0" w:color="6C6C6C"/>
              <w:bottom w:val="double" w:sz="8" w:space="0" w:color="6C6C6C"/>
            </w:tcBorders>
          </w:tcPr>
          <w:p>
            <w:pPr>
              <w:pStyle w:val="TableParagraph"/>
              <w:tabs>
                <w:tab w:pos="590" w:val="left" w:leader="none"/>
              </w:tabs>
              <w:spacing w:line="171" w:lineRule="exact" w:before="9"/>
              <w:ind w:right="65"/>
              <w:jc w:val="right"/>
              <w:rPr>
                <w:rFonts w:ascii="Arial"/>
                <w:b/>
                <w:sz w:val="16"/>
              </w:rPr>
            </w:pPr>
            <w:r>
              <w:rPr>
                <w:rFonts w:ascii="Arial"/>
                <w:b/>
                <w:spacing w:val="-10"/>
                <w:sz w:val="16"/>
              </w:rPr>
              <w:t>$</w:t>
            </w:r>
            <w:r>
              <w:rPr>
                <w:rFonts w:ascii="Arial"/>
                <w:b/>
                <w:sz w:val="16"/>
              </w:rPr>
              <w:tab/>
            </w:r>
            <w:r>
              <w:rPr>
                <w:rFonts w:ascii="Arial"/>
                <w:b/>
                <w:spacing w:val="-2"/>
                <w:sz w:val="16"/>
              </w:rPr>
              <w:t>76,451</w:t>
            </w:r>
          </w:p>
        </w:tc>
        <w:tc>
          <w:tcPr>
            <w:tcW w:w="1261" w:type="dxa"/>
            <w:tcBorders>
              <w:top w:val="single" w:sz="8" w:space="0" w:color="6C6C6C"/>
              <w:bottom w:val="double" w:sz="8" w:space="0" w:color="6C6C6C"/>
            </w:tcBorders>
          </w:tcPr>
          <w:p>
            <w:pPr>
              <w:pStyle w:val="TableParagraph"/>
              <w:tabs>
                <w:tab w:pos="590" w:val="left" w:leader="none"/>
              </w:tabs>
              <w:spacing w:line="171" w:lineRule="exact" w:before="9"/>
              <w:ind w:right="66"/>
              <w:jc w:val="right"/>
              <w:rPr>
                <w:rFonts w:ascii="Arial"/>
                <w:b/>
                <w:sz w:val="16"/>
              </w:rPr>
            </w:pPr>
            <w:r>
              <w:rPr>
                <w:rFonts w:ascii="Arial"/>
                <w:b/>
                <w:spacing w:val="-10"/>
                <w:sz w:val="16"/>
              </w:rPr>
              <w:t>$</w:t>
            </w:r>
            <w:r>
              <w:rPr>
                <w:rFonts w:ascii="Arial"/>
                <w:b/>
                <w:sz w:val="16"/>
              </w:rPr>
              <w:tab/>
            </w:r>
            <w:r>
              <w:rPr>
                <w:rFonts w:ascii="Arial"/>
                <w:b/>
                <w:spacing w:val="-2"/>
                <w:sz w:val="16"/>
              </w:rPr>
              <w:t>79,059</w:t>
            </w:r>
          </w:p>
        </w:tc>
        <w:tc>
          <w:tcPr>
            <w:tcW w:w="1999" w:type="dxa"/>
          </w:tcPr>
          <w:p>
            <w:pPr>
              <w:pStyle w:val="TableParagraph"/>
              <w:spacing w:line="171" w:lineRule="exact" w:before="9"/>
              <w:ind w:left="738"/>
              <w:rPr>
                <w:rFonts w:ascii="Arial"/>
                <w:b/>
                <w:sz w:val="16"/>
              </w:rPr>
            </w:pPr>
            <w:r>
              <w:rPr>
                <w:rFonts w:ascii="Arial"/>
                <w:b/>
                <w:sz w:val="16"/>
              </w:rPr>
              <w:t>4.16</w:t>
            </w:r>
            <w:r>
              <w:rPr>
                <w:rFonts w:ascii="Arial"/>
                <w:b/>
                <w:spacing w:val="6"/>
                <w:sz w:val="16"/>
              </w:rPr>
              <w:t> </w:t>
            </w:r>
            <w:r>
              <w:rPr>
                <w:rFonts w:ascii="Arial"/>
                <w:b/>
                <w:spacing w:val="-10"/>
                <w:sz w:val="16"/>
              </w:rPr>
              <w:t>%</w:t>
            </w:r>
          </w:p>
        </w:tc>
        <w:tc>
          <w:tcPr>
            <w:tcW w:w="521" w:type="dxa"/>
          </w:tcPr>
          <w:p>
            <w:pPr>
              <w:pStyle w:val="TableParagraph"/>
              <w:spacing w:line="171" w:lineRule="exact" w:before="9"/>
              <w:ind w:left="-1"/>
              <w:rPr>
                <w:rFonts w:ascii="Arial"/>
                <w:b/>
                <w:sz w:val="16"/>
              </w:rPr>
            </w:pPr>
            <w:r>
              <w:rPr>
                <w:rFonts w:ascii="Arial"/>
                <w:b/>
                <w:sz w:val="16"/>
              </w:rPr>
              <w:t>0.32</w:t>
            </w:r>
            <w:r>
              <w:rPr>
                <w:rFonts w:ascii="Arial"/>
                <w:b/>
                <w:spacing w:val="6"/>
                <w:sz w:val="16"/>
              </w:rPr>
              <w:t> </w:t>
            </w:r>
            <w:r>
              <w:rPr>
                <w:rFonts w:ascii="Arial"/>
                <w:b/>
                <w:spacing w:val="-10"/>
                <w:sz w:val="16"/>
              </w:rPr>
              <w:t>%</w:t>
            </w:r>
          </w:p>
        </w:tc>
      </w:tr>
      <w:tr>
        <w:trPr>
          <w:trHeight w:val="200" w:hRule="atLeast"/>
        </w:trPr>
        <w:tc>
          <w:tcPr>
            <w:tcW w:w="4380" w:type="dxa"/>
            <w:tcBorders>
              <w:bottom w:val="single" w:sz="8" w:space="0" w:color="6C6C6C"/>
            </w:tcBorders>
          </w:tcPr>
          <w:p>
            <w:pPr>
              <w:pStyle w:val="TableParagraph"/>
              <w:rPr>
                <w:rFonts w:ascii="Times New Roman"/>
                <w:sz w:val="12"/>
              </w:rPr>
            </w:pPr>
          </w:p>
        </w:tc>
        <w:tc>
          <w:tcPr>
            <w:tcW w:w="1199" w:type="dxa"/>
            <w:tcBorders>
              <w:top w:val="double" w:sz="8" w:space="0" w:color="6C6C6C"/>
              <w:bottom w:val="single" w:sz="8" w:space="0" w:color="6C6C6C"/>
            </w:tcBorders>
          </w:tcPr>
          <w:p>
            <w:pPr>
              <w:pStyle w:val="TableParagraph"/>
              <w:rPr>
                <w:rFonts w:ascii="Times New Roman"/>
                <w:sz w:val="12"/>
              </w:rPr>
            </w:pPr>
          </w:p>
        </w:tc>
        <w:tc>
          <w:tcPr>
            <w:tcW w:w="1261" w:type="dxa"/>
            <w:tcBorders>
              <w:top w:val="double" w:sz="8" w:space="0" w:color="6C6C6C"/>
              <w:bottom w:val="single" w:sz="8" w:space="0" w:color="6C6C6C"/>
            </w:tcBorders>
          </w:tcPr>
          <w:p>
            <w:pPr>
              <w:pStyle w:val="TableParagraph"/>
              <w:rPr>
                <w:rFonts w:ascii="Times New Roman"/>
                <w:sz w:val="12"/>
              </w:rPr>
            </w:pPr>
          </w:p>
        </w:tc>
        <w:tc>
          <w:tcPr>
            <w:tcW w:w="1999" w:type="dxa"/>
            <w:tcBorders>
              <w:bottom w:val="single" w:sz="8" w:space="0" w:color="6C6C6C"/>
            </w:tcBorders>
          </w:tcPr>
          <w:p>
            <w:pPr>
              <w:pStyle w:val="TableParagraph"/>
              <w:rPr>
                <w:rFonts w:ascii="Times New Roman"/>
                <w:sz w:val="12"/>
              </w:rPr>
            </w:pPr>
          </w:p>
        </w:tc>
        <w:tc>
          <w:tcPr>
            <w:tcW w:w="521" w:type="dxa"/>
            <w:tcBorders>
              <w:bottom w:val="single" w:sz="8" w:space="0" w:color="6C6C6C"/>
            </w:tcBorders>
          </w:tcPr>
          <w:p>
            <w:pPr>
              <w:pStyle w:val="TableParagraph"/>
              <w:rPr>
                <w:rFonts w:ascii="Times New Roman"/>
                <w:sz w:val="12"/>
              </w:rPr>
            </w:pPr>
          </w:p>
        </w:tc>
      </w:tr>
    </w:tbl>
    <w:p>
      <w:pPr>
        <w:pStyle w:val="BodyText"/>
        <w:spacing w:before="89"/>
        <w:rPr>
          <w:rFonts w:ascii="Arial"/>
          <w:i/>
          <w:sz w:val="16"/>
        </w:rPr>
      </w:pPr>
    </w:p>
    <w:p>
      <w:pPr>
        <w:pStyle w:val="BodyText"/>
        <w:spacing w:line="232" w:lineRule="auto"/>
        <w:ind w:left="720" w:right="718"/>
        <w:jc w:val="both"/>
      </w:pPr>
      <w:r>
        <w:rPr/>
        <w:t>During FY23, IBRD’s total return on the liquid asset portfolio was 4.16%, an increase compared to last year and consistent with the rising interest rate environment. In addition to monitoring gross investment returns relative to their</w:t>
      </w:r>
      <w:r>
        <w:rPr>
          <w:spacing w:val="-2"/>
        </w:rPr>
        <w:t> </w:t>
      </w:r>
      <w:r>
        <w:rPr/>
        <w:t>benchmarks,</w:t>
      </w:r>
      <w:r>
        <w:rPr>
          <w:spacing w:val="-2"/>
        </w:rPr>
        <w:t> </w:t>
      </w:r>
      <w:r>
        <w:rPr/>
        <w:t>IBRD</w:t>
      </w:r>
      <w:r>
        <w:rPr>
          <w:spacing w:val="-2"/>
        </w:rPr>
        <w:t> </w:t>
      </w:r>
      <w:r>
        <w:rPr/>
        <w:t>also</w:t>
      </w:r>
      <w:r>
        <w:rPr>
          <w:spacing w:val="-2"/>
        </w:rPr>
        <w:t> </w:t>
      </w:r>
      <w:r>
        <w:rPr/>
        <w:t>monitors</w:t>
      </w:r>
      <w:r>
        <w:rPr>
          <w:spacing w:val="-2"/>
        </w:rPr>
        <w:t> </w:t>
      </w:r>
      <w:r>
        <w:rPr/>
        <w:t>overall</w:t>
      </w:r>
      <w:r>
        <w:rPr>
          <w:spacing w:val="-2"/>
        </w:rPr>
        <w:t> </w:t>
      </w:r>
      <w:r>
        <w:rPr/>
        <w:t>earnings</w:t>
      </w:r>
      <w:r>
        <w:rPr>
          <w:spacing w:val="-2"/>
        </w:rPr>
        <w:t> </w:t>
      </w:r>
      <w:r>
        <w:rPr/>
        <w:t>from</w:t>
      </w:r>
      <w:r>
        <w:rPr>
          <w:spacing w:val="-2"/>
        </w:rPr>
        <w:t> </w:t>
      </w:r>
      <w:r>
        <w:rPr/>
        <w:t>the</w:t>
      </w:r>
      <w:r>
        <w:rPr>
          <w:spacing w:val="-2"/>
        </w:rPr>
        <w:t> </w:t>
      </w:r>
      <w:r>
        <w:rPr/>
        <w:t>investment</w:t>
      </w:r>
      <w:r>
        <w:rPr>
          <w:spacing w:val="-2"/>
        </w:rPr>
        <w:t> </w:t>
      </w:r>
      <w:r>
        <w:rPr/>
        <w:t>portfolio,</w:t>
      </w:r>
      <w:r>
        <w:rPr>
          <w:spacing w:val="-2"/>
        </w:rPr>
        <w:t> </w:t>
      </w:r>
      <w:r>
        <w:rPr/>
        <w:t>net</w:t>
      </w:r>
      <w:r>
        <w:rPr>
          <w:spacing w:val="-2"/>
        </w:rPr>
        <w:t> </w:t>
      </w:r>
      <w:r>
        <w:rPr/>
        <w:t>of</w:t>
      </w:r>
      <w:r>
        <w:rPr>
          <w:spacing w:val="-2"/>
        </w:rPr>
        <w:t> </w:t>
      </w:r>
      <w:r>
        <w:rPr/>
        <w:t>funding</w:t>
      </w:r>
      <w:r>
        <w:rPr>
          <w:spacing w:val="-2"/>
        </w:rPr>
        <w:t> </w:t>
      </w:r>
      <w:r>
        <w:rPr/>
        <w:t>costs.</w:t>
      </w:r>
      <w:r>
        <w:rPr>
          <w:spacing w:val="-2"/>
        </w:rPr>
        <w:t> </w:t>
      </w:r>
      <w:r>
        <w:rPr/>
        <w:t>In</w:t>
      </w:r>
      <w:r>
        <w:rPr>
          <w:spacing w:val="-2"/>
        </w:rPr>
        <w:t> </w:t>
      </w:r>
      <w:r>
        <w:rPr/>
        <w:t>FY23, IBRD had $188 million of revenue, net of funding costs on the investment portfolio as discussed in Section III.</w:t>
      </w:r>
    </w:p>
    <w:p>
      <w:pPr>
        <w:pStyle w:val="Heading1"/>
        <w:spacing w:before="219"/>
        <w:jc w:val="left"/>
      </w:pPr>
      <w:bookmarkStart w:name="Other Investments" w:id="76"/>
      <w:bookmarkEnd w:id="76"/>
      <w:r>
        <w:rPr>
          <w:b w:val="0"/>
        </w:rPr>
      </w:r>
      <w:bookmarkStart w:name="_bookmark51" w:id="77"/>
      <w:bookmarkEnd w:id="77"/>
      <w:r>
        <w:rPr>
          <w:b w:val="0"/>
        </w:rPr>
      </w:r>
      <w:r>
        <w:rPr/>
        <w:t>Other</w:t>
      </w:r>
      <w:r>
        <w:rPr>
          <w:spacing w:val="-1"/>
        </w:rPr>
        <w:t> </w:t>
      </w:r>
      <w:r>
        <w:rPr>
          <w:spacing w:val="-2"/>
        </w:rPr>
        <w:t>Investments</w:t>
      </w:r>
    </w:p>
    <w:p>
      <w:pPr>
        <w:pStyle w:val="BodyText"/>
        <w:spacing w:line="249" w:lineRule="auto" w:before="135"/>
        <w:ind w:left="720" w:right="719"/>
        <w:jc w:val="both"/>
      </w:pPr>
      <w:r>
        <w:rPr/>
        <w:t>In addition to the liquid asset portfolio, the investment portfolio also includes holdings related to the PEBP, PCRF, and the Local Currency Market Development program (LCMD). Table 21 below summarizes the net carrying value of other investments:</w:t>
      </w:r>
    </w:p>
    <w:p>
      <w:pPr>
        <w:spacing w:before="187"/>
        <w:ind w:left="772" w:right="0" w:firstLine="0"/>
        <w:jc w:val="left"/>
        <w:rPr>
          <w:rFonts w:ascii="Arial"/>
          <w:b/>
          <w:sz w:val="18"/>
        </w:rPr>
      </w:pPr>
      <w:bookmarkStart w:name="_bookmark52" w:id="78"/>
      <w:bookmarkEnd w:id="78"/>
      <w:r>
        <w:rPr/>
      </w:r>
      <w:r>
        <w:rPr>
          <w:rFonts w:ascii="Arial"/>
          <w:b/>
          <w:sz w:val="18"/>
        </w:rPr>
        <w:t>Table</w:t>
      </w:r>
      <w:r>
        <w:rPr>
          <w:rFonts w:ascii="Arial"/>
          <w:b/>
          <w:spacing w:val="-4"/>
          <w:sz w:val="18"/>
        </w:rPr>
        <w:t> </w:t>
      </w:r>
      <w:r>
        <w:rPr>
          <w:rFonts w:ascii="Arial"/>
          <w:b/>
          <w:sz w:val="18"/>
        </w:rPr>
        <w:t>21:</w:t>
      </w:r>
      <w:r>
        <w:rPr>
          <w:rFonts w:ascii="Arial"/>
          <w:b/>
          <w:spacing w:val="-2"/>
          <w:sz w:val="18"/>
        </w:rPr>
        <w:t> </w:t>
      </w:r>
      <w:r>
        <w:rPr>
          <w:rFonts w:ascii="Arial"/>
          <w:b/>
          <w:sz w:val="18"/>
        </w:rPr>
        <w:t>Net</w:t>
      </w:r>
      <w:r>
        <w:rPr>
          <w:rFonts w:ascii="Arial"/>
          <w:b/>
          <w:spacing w:val="-2"/>
          <w:sz w:val="18"/>
        </w:rPr>
        <w:t> </w:t>
      </w:r>
      <w:r>
        <w:rPr>
          <w:rFonts w:ascii="Arial"/>
          <w:b/>
          <w:sz w:val="18"/>
        </w:rPr>
        <w:t>Carrying</w:t>
      </w:r>
      <w:r>
        <w:rPr>
          <w:rFonts w:ascii="Arial"/>
          <w:b/>
          <w:spacing w:val="-1"/>
          <w:sz w:val="18"/>
        </w:rPr>
        <w:t> </w:t>
      </w:r>
      <w:r>
        <w:rPr>
          <w:rFonts w:ascii="Arial"/>
          <w:b/>
          <w:sz w:val="18"/>
        </w:rPr>
        <w:t>Value</w:t>
      </w:r>
      <w:r>
        <w:rPr>
          <w:rFonts w:ascii="Arial"/>
          <w:b/>
          <w:spacing w:val="-2"/>
          <w:sz w:val="18"/>
        </w:rPr>
        <w:t> </w:t>
      </w:r>
      <w:r>
        <w:rPr>
          <w:rFonts w:ascii="Arial"/>
          <w:b/>
          <w:sz w:val="18"/>
        </w:rPr>
        <w:t>of</w:t>
      </w:r>
      <w:r>
        <w:rPr>
          <w:rFonts w:ascii="Arial"/>
          <w:b/>
          <w:spacing w:val="-2"/>
          <w:sz w:val="18"/>
        </w:rPr>
        <w:t> </w:t>
      </w:r>
      <w:r>
        <w:rPr>
          <w:rFonts w:ascii="Arial"/>
          <w:b/>
          <w:sz w:val="18"/>
        </w:rPr>
        <w:t>Other</w:t>
      </w:r>
      <w:r>
        <w:rPr>
          <w:rFonts w:ascii="Arial"/>
          <w:b/>
          <w:spacing w:val="-1"/>
          <w:sz w:val="18"/>
        </w:rPr>
        <w:t> </w:t>
      </w:r>
      <w:r>
        <w:rPr>
          <w:rFonts w:ascii="Arial"/>
          <w:b/>
          <w:spacing w:val="-2"/>
          <w:sz w:val="18"/>
        </w:rPr>
        <w:t>Investments</w:t>
      </w:r>
    </w:p>
    <w:p>
      <w:pPr>
        <w:spacing w:before="54"/>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4"/>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0"/>
        <w:gridCol w:w="1035"/>
        <w:gridCol w:w="1035"/>
      </w:tblGrid>
      <w:tr>
        <w:trPr>
          <w:trHeight w:val="202" w:hRule="atLeast"/>
        </w:trPr>
        <w:tc>
          <w:tcPr>
            <w:tcW w:w="7290" w:type="dxa"/>
            <w:tcBorders>
              <w:bottom w:val="single" w:sz="8" w:space="0" w:color="6C6C6C"/>
            </w:tcBorders>
          </w:tcPr>
          <w:p>
            <w:pPr>
              <w:pStyle w:val="TableParagraph"/>
              <w:spacing w:line="179" w:lineRule="exact"/>
              <w:ind w:left="52"/>
              <w:rPr>
                <w:rFonts w:ascii="Arial"/>
                <w:i/>
                <w:sz w:val="16"/>
              </w:rPr>
            </w:pPr>
            <w:r>
              <w:rPr>
                <w:rFonts w:ascii="Arial"/>
                <w:i/>
                <w:color w:val="A5A5A5"/>
                <w:sz w:val="16"/>
              </w:rPr>
              <w:t>As</w:t>
            </w:r>
            <w:r>
              <w:rPr>
                <w:rFonts w:ascii="Arial"/>
                <w:i/>
                <w:color w:val="A5A5A5"/>
                <w:spacing w:val="-1"/>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1"/>
                <w:sz w:val="16"/>
              </w:rPr>
              <w:t> </w:t>
            </w:r>
            <w:r>
              <w:rPr>
                <w:rFonts w:ascii="Arial"/>
                <w:i/>
                <w:color w:val="A5A5A5"/>
                <w:spacing w:val="-5"/>
                <w:sz w:val="16"/>
              </w:rPr>
              <w:t>30,</w:t>
            </w:r>
          </w:p>
        </w:tc>
        <w:tc>
          <w:tcPr>
            <w:tcW w:w="1035" w:type="dxa"/>
            <w:tcBorders>
              <w:bottom w:val="single" w:sz="8" w:space="0" w:color="6C6C6C"/>
            </w:tcBorders>
          </w:tcPr>
          <w:p>
            <w:pPr>
              <w:pStyle w:val="TableParagraph"/>
              <w:spacing w:line="179" w:lineRule="exact"/>
              <w:ind w:right="80"/>
              <w:jc w:val="right"/>
              <w:rPr>
                <w:rFonts w:ascii="Arial"/>
                <w:i/>
                <w:sz w:val="16"/>
              </w:rPr>
            </w:pPr>
            <w:r>
              <w:rPr>
                <w:rFonts w:ascii="Arial"/>
                <w:i/>
                <w:color w:val="A5A5A5"/>
                <w:spacing w:val="-4"/>
                <w:sz w:val="16"/>
              </w:rPr>
              <w:t>2023</w:t>
            </w:r>
          </w:p>
        </w:tc>
        <w:tc>
          <w:tcPr>
            <w:tcW w:w="1035" w:type="dxa"/>
            <w:tcBorders>
              <w:bottom w:val="single" w:sz="8" w:space="0" w:color="6C6C6C"/>
            </w:tcBorders>
          </w:tcPr>
          <w:p>
            <w:pPr>
              <w:pStyle w:val="TableParagraph"/>
              <w:spacing w:line="179" w:lineRule="exact"/>
              <w:ind w:right="50"/>
              <w:jc w:val="right"/>
              <w:rPr>
                <w:rFonts w:ascii="Arial"/>
                <w:i/>
                <w:sz w:val="16"/>
              </w:rPr>
            </w:pPr>
            <w:r>
              <w:rPr>
                <w:rFonts w:ascii="Arial"/>
                <w:i/>
                <w:color w:val="A5A5A5"/>
                <w:spacing w:val="-4"/>
                <w:sz w:val="16"/>
              </w:rPr>
              <w:t>2022</w:t>
            </w:r>
          </w:p>
        </w:tc>
      </w:tr>
      <w:tr>
        <w:trPr>
          <w:trHeight w:val="230" w:hRule="atLeast"/>
        </w:trPr>
        <w:tc>
          <w:tcPr>
            <w:tcW w:w="7290" w:type="dxa"/>
            <w:tcBorders>
              <w:top w:val="single" w:sz="8" w:space="0" w:color="6C6C6C"/>
            </w:tcBorders>
          </w:tcPr>
          <w:p>
            <w:pPr>
              <w:pStyle w:val="TableParagraph"/>
              <w:spacing w:before="12"/>
              <w:ind w:left="52"/>
              <w:rPr>
                <w:sz w:val="16"/>
              </w:rPr>
            </w:pPr>
            <w:r>
              <w:rPr>
                <w:spacing w:val="-4"/>
                <w:sz w:val="16"/>
              </w:rPr>
              <w:t>PEBP</w:t>
            </w:r>
          </w:p>
        </w:tc>
        <w:tc>
          <w:tcPr>
            <w:tcW w:w="1035" w:type="dxa"/>
            <w:tcBorders>
              <w:top w:val="single" w:sz="8" w:space="0" w:color="6C6C6C"/>
            </w:tcBorders>
          </w:tcPr>
          <w:p>
            <w:pPr>
              <w:pStyle w:val="TableParagraph"/>
              <w:tabs>
                <w:tab w:pos="484" w:val="left" w:leader="none"/>
              </w:tabs>
              <w:spacing w:before="16"/>
              <w:ind w:right="96"/>
              <w:jc w:val="right"/>
              <w:rPr>
                <w:sz w:val="16"/>
              </w:rPr>
            </w:pPr>
            <w:r>
              <w:rPr>
                <w:spacing w:val="-10"/>
                <w:sz w:val="16"/>
              </w:rPr>
              <w:t>$</w:t>
            </w:r>
            <w:r>
              <w:rPr>
                <w:sz w:val="16"/>
              </w:rPr>
              <w:tab/>
            </w:r>
            <w:r>
              <w:rPr>
                <w:spacing w:val="-2"/>
                <w:sz w:val="16"/>
              </w:rPr>
              <w:t>2,684</w:t>
            </w:r>
          </w:p>
        </w:tc>
        <w:tc>
          <w:tcPr>
            <w:tcW w:w="1035" w:type="dxa"/>
            <w:tcBorders>
              <w:top w:val="single" w:sz="8" w:space="0" w:color="6C6C6C"/>
            </w:tcBorders>
          </w:tcPr>
          <w:p>
            <w:pPr>
              <w:pStyle w:val="TableParagraph"/>
              <w:tabs>
                <w:tab w:pos="484" w:val="left" w:leader="none"/>
              </w:tabs>
              <w:spacing w:before="12"/>
              <w:ind w:right="66"/>
              <w:jc w:val="right"/>
              <w:rPr>
                <w:sz w:val="16"/>
              </w:rPr>
            </w:pPr>
            <w:r>
              <w:rPr>
                <w:spacing w:val="-10"/>
                <w:sz w:val="16"/>
              </w:rPr>
              <w:t>$</w:t>
            </w:r>
            <w:r>
              <w:rPr>
                <w:sz w:val="16"/>
              </w:rPr>
              <w:tab/>
            </w:r>
            <w:r>
              <w:rPr>
                <w:spacing w:val="-2"/>
                <w:sz w:val="16"/>
              </w:rPr>
              <w:t>2,456</w:t>
            </w:r>
          </w:p>
        </w:tc>
      </w:tr>
      <w:tr>
        <w:trPr>
          <w:trHeight w:val="240" w:hRule="atLeast"/>
        </w:trPr>
        <w:tc>
          <w:tcPr>
            <w:tcW w:w="7290" w:type="dxa"/>
          </w:tcPr>
          <w:p>
            <w:pPr>
              <w:pStyle w:val="TableParagraph"/>
              <w:spacing w:before="25"/>
              <w:ind w:left="52"/>
              <w:rPr>
                <w:sz w:val="16"/>
              </w:rPr>
            </w:pPr>
            <w:r>
              <w:rPr>
                <w:spacing w:val="-4"/>
                <w:sz w:val="16"/>
              </w:rPr>
              <w:t>PCRF</w:t>
            </w:r>
          </w:p>
        </w:tc>
        <w:tc>
          <w:tcPr>
            <w:tcW w:w="1035" w:type="dxa"/>
          </w:tcPr>
          <w:p>
            <w:pPr>
              <w:pStyle w:val="TableParagraph"/>
              <w:spacing w:before="25"/>
              <w:ind w:right="96"/>
              <w:jc w:val="right"/>
              <w:rPr>
                <w:sz w:val="16"/>
              </w:rPr>
            </w:pPr>
            <w:r>
              <w:rPr>
                <w:spacing w:val="-2"/>
                <w:sz w:val="16"/>
              </w:rPr>
              <w:t>1,098</w:t>
            </w:r>
          </w:p>
        </w:tc>
        <w:tc>
          <w:tcPr>
            <w:tcW w:w="1035" w:type="dxa"/>
          </w:tcPr>
          <w:p>
            <w:pPr>
              <w:pStyle w:val="TableParagraph"/>
              <w:spacing w:before="25"/>
              <w:ind w:right="66"/>
              <w:jc w:val="right"/>
              <w:rPr>
                <w:sz w:val="16"/>
              </w:rPr>
            </w:pPr>
            <w:r>
              <w:rPr>
                <w:spacing w:val="-5"/>
                <w:sz w:val="16"/>
              </w:rPr>
              <w:t>766</w:t>
            </w:r>
          </w:p>
        </w:tc>
      </w:tr>
      <w:tr>
        <w:trPr>
          <w:trHeight w:val="239" w:hRule="atLeast"/>
        </w:trPr>
        <w:tc>
          <w:tcPr>
            <w:tcW w:w="7290" w:type="dxa"/>
          </w:tcPr>
          <w:p>
            <w:pPr>
              <w:pStyle w:val="TableParagraph"/>
              <w:spacing w:before="25"/>
              <w:ind w:left="52"/>
              <w:rPr>
                <w:sz w:val="16"/>
              </w:rPr>
            </w:pPr>
            <w:r>
              <w:rPr>
                <w:spacing w:val="-4"/>
                <w:sz w:val="16"/>
              </w:rPr>
              <w:t>LCMD</w:t>
            </w:r>
          </w:p>
        </w:tc>
        <w:tc>
          <w:tcPr>
            <w:tcW w:w="1035" w:type="dxa"/>
            <w:tcBorders>
              <w:bottom w:val="single" w:sz="8" w:space="0" w:color="6C6C6C"/>
            </w:tcBorders>
          </w:tcPr>
          <w:p>
            <w:pPr>
              <w:pStyle w:val="TableParagraph"/>
              <w:spacing w:line="184" w:lineRule="exact" w:before="25"/>
              <w:ind w:right="96"/>
              <w:jc w:val="right"/>
              <w:rPr>
                <w:sz w:val="16"/>
              </w:rPr>
            </w:pPr>
            <w:r>
              <w:rPr>
                <w:sz w:val="16"/>
              </w:rPr>
              <w:t>—</w:t>
            </w:r>
          </w:p>
        </w:tc>
        <w:tc>
          <w:tcPr>
            <w:tcW w:w="1035" w:type="dxa"/>
            <w:tcBorders>
              <w:bottom w:val="single" w:sz="8" w:space="0" w:color="6C6C6C"/>
            </w:tcBorders>
          </w:tcPr>
          <w:p>
            <w:pPr>
              <w:pStyle w:val="TableParagraph"/>
              <w:spacing w:line="184" w:lineRule="exact" w:before="25"/>
              <w:ind w:right="66"/>
              <w:jc w:val="right"/>
              <w:rPr>
                <w:sz w:val="16"/>
              </w:rPr>
            </w:pPr>
            <w:r>
              <w:rPr>
                <w:spacing w:val="-5"/>
                <w:sz w:val="16"/>
              </w:rPr>
              <w:t>39</w:t>
            </w:r>
          </w:p>
        </w:tc>
      </w:tr>
      <w:tr>
        <w:trPr>
          <w:trHeight w:val="230" w:hRule="atLeast"/>
        </w:trPr>
        <w:tc>
          <w:tcPr>
            <w:tcW w:w="7290" w:type="dxa"/>
          </w:tcPr>
          <w:p>
            <w:pPr>
              <w:pStyle w:val="TableParagraph"/>
              <w:spacing w:before="6"/>
              <w:ind w:left="52"/>
              <w:rPr>
                <w:rFonts w:ascii="Arial"/>
                <w:b/>
                <w:sz w:val="16"/>
              </w:rPr>
            </w:pPr>
            <w:r>
              <w:rPr>
                <w:rFonts w:ascii="Arial"/>
                <w:b/>
                <w:spacing w:val="-2"/>
                <w:sz w:val="16"/>
              </w:rPr>
              <w:t>Total</w:t>
            </w:r>
          </w:p>
        </w:tc>
        <w:tc>
          <w:tcPr>
            <w:tcW w:w="2070" w:type="dxa"/>
            <w:gridSpan w:val="2"/>
            <w:tcBorders>
              <w:top w:val="single" w:sz="8" w:space="0" w:color="6C6C6C"/>
              <w:bottom w:val="single" w:sz="8" w:space="0" w:color="6C6C6C"/>
            </w:tcBorders>
          </w:tcPr>
          <w:p>
            <w:pPr>
              <w:pStyle w:val="TableParagraph"/>
              <w:tabs>
                <w:tab w:pos="536" w:val="left" w:leader="none"/>
                <w:tab w:pos="1601" w:val="left" w:leader="none"/>
              </w:tabs>
              <w:spacing w:before="16"/>
              <w:rPr>
                <w:rFonts w:ascii="Arial"/>
                <w:b/>
                <w:sz w:val="16"/>
              </w:rPr>
            </w:pPr>
            <w:r>
              <w:rPr>
                <w:rFonts w:ascii="Arial"/>
                <w:b/>
                <w:spacing w:val="12"/>
                <w:sz w:val="16"/>
                <w:u w:val="single" w:color="6C6C6C"/>
              </w:rPr>
              <w:t> </w:t>
            </w:r>
            <w:r>
              <w:rPr>
                <w:rFonts w:ascii="Arial"/>
                <w:b/>
                <w:spacing w:val="-10"/>
                <w:sz w:val="16"/>
                <w:u w:val="single" w:color="6C6C6C"/>
              </w:rPr>
              <w:t>$</w:t>
            </w:r>
            <w:r>
              <w:rPr>
                <w:rFonts w:ascii="Arial"/>
                <w:b/>
                <w:sz w:val="16"/>
                <w:u w:val="single" w:color="6C6C6C"/>
              </w:rPr>
              <w:tab/>
              <w:t>3,782</w:t>
            </w:r>
            <w:r>
              <w:rPr>
                <w:rFonts w:ascii="Arial"/>
                <w:b/>
                <w:spacing w:val="43"/>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3,261</w:t>
            </w:r>
          </w:p>
        </w:tc>
      </w:tr>
    </w:tbl>
    <w:p>
      <w:pPr>
        <w:pStyle w:val="BodyText"/>
        <w:spacing w:before="32"/>
        <w:rPr>
          <w:rFonts w:ascii="Arial"/>
          <w:i/>
        </w:rPr>
      </w:pPr>
      <w:r>
        <w:rPr>
          <w:rFonts w:ascii="Arial"/>
          <w:i/>
        </w:rPr>
        <mc:AlternateContent>
          <mc:Choice Requires="wps">
            <w:drawing>
              <wp:anchor distT="0" distB="0" distL="0" distR="0" allowOverlap="1" layoutInCell="1" locked="0" behindDoc="1" simplePos="0" relativeHeight="487644672">
                <wp:simplePos x="0" y="0"/>
                <wp:positionH relativeFrom="page">
                  <wp:posOffset>914400</wp:posOffset>
                </wp:positionH>
                <wp:positionV relativeFrom="paragraph">
                  <wp:posOffset>181597</wp:posOffset>
                </wp:positionV>
                <wp:extent cx="5943600" cy="1270"/>
                <wp:effectExtent l="0" t="0" r="0" b="0"/>
                <wp:wrapTopAndBottom/>
                <wp:docPr id="370" name="Graphic 370"/>
                <wp:cNvGraphicFramePr>
                  <a:graphicFrameLocks/>
                </wp:cNvGraphicFramePr>
                <a:graphic>
                  <a:graphicData uri="http://schemas.microsoft.com/office/word/2010/wordprocessingShape">
                    <wps:wsp>
                      <wps:cNvPr id="370" name="Graphic 370"/>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299024pt;width:468pt;height:.1pt;mso-position-horizontal-relative:page;mso-position-vertical-relative:paragraph;z-index:-15671808;mso-wrap-distance-left:0;mso-wrap-distance-right:0" id="docshape302" coordorigin="1440,286" coordsize="9360,0" path="m1440,286l10800,286e" filled="false" stroked="true" strokeweight="1pt" strokecolor="#6c6c6c">
                <v:path arrowok="t"/>
                <v:stroke dashstyle="solid"/>
                <w10:wrap type="topAndBottom"/>
              </v:shape>
            </w:pict>
          </mc:Fallback>
        </mc:AlternateContent>
      </w:r>
    </w:p>
    <w:p>
      <w:pPr>
        <w:pStyle w:val="BodyText"/>
        <w:spacing w:after="0"/>
        <w:rPr>
          <w:rFonts w:ascii="Arial"/>
          <w:i/>
        </w:rPr>
        <w:sectPr>
          <w:pgSz w:w="12240" w:h="15840"/>
          <w:pgMar w:header="744" w:footer="713" w:top="1020" w:bottom="900" w:left="720" w:right="720"/>
        </w:sectPr>
      </w:pPr>
    </w:p>
    <w:p>
      <w:pPr>
        <w:pStyle w:val="BodyText"/>
        <w:spacing w:before="77"/>
        <w:rPr>
          <w:rFonts w:ascii="Arial"/>
          <w:i/>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45184">
                <wp:simplePos x="0" y="0"/>
                <wp:positionH relativeFrom="page">
                  <wp:posOffset>914400</wp:posOffset>
                </wp:positionH>
                <wp:positionV relativeFrom="paragraph">
                  <wp:posOffset>233062</wp:posOffset>
                </wp:positionV>
                <wp:extent cx="5943600" cy="127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71296;mso-wrap-distance-left:0;mso-wrap-distance-right:0" id="docshape315" coordorigin="1440,367" coordsize="9360,0" path="m1440,367l10800,367e" filled="false" stroked="true" strokeweight="1pt" strokecolor="#000000">
                <v:path arrowok="t"/>
                <v:stroke dashstyle="solid"/>
                <w10:wrap type="topAndBottom"/>
              </v:shape>
            </w:pict>
          </mc:Fallback>
        </mc:AlternateContent>
      </w:r>
      <w:bookmarkStart w:name="Section VII: Borrowing Activities" w:id="79"/>
      <w:bookmarkEnd w:id="79"/>
      <w:r>
        <w:rPr/>
      </w:r>
      <w:bookmarkStart w:name="_bookmark53" w:id="80"/>
      <w:bookmarkEnd w:id="80"/>
      <w:r>
        <w:rPr/>
      </w:r>
      <w:r>
        <w:rPr>
          <w:rFonts w:ascii="Arial"/>
          <w:b/>
          <w:sz w:val="28"/>
        </w:rPr>
        <w:t>Section</w:t>
      </w:r>
      <w:r>
        <w:rPr>
          <w:rFonts w:ascii="Arial"/>
          <w:b/>
          <w:spacing w:val="-2"/>
          <w:sz w:val="28"/>
        </w:rPr>
        <w:t> </w:t>
      </w:r>
      <w:r>
        <w:rPr>
          <w:rFonts w:ascii="Arial"/>
          <w:b/>
          <w:sz w:val="28"/>
        </w:rPr>
        <w:t>VII:</w:t>
      </w:r>
      <w:r>
        <w:rPr>
          <w:rFonts w:ascii="Arial"/>
          <w:b/>
          <w:spacing w:val="-2"/>
          <w:sz w:val="28"/>
        </w:rPr>
        <w:t> </w:t>
      </w:r>
      <w:r>
        <w:rPr>
          <w:rFonts w:ascii="Arial"/>
          <w:b/>
          <w:sz w:val="28"/>
        </w:rPr>
        <w:t>Borrowing</w:t>
      </w:r>
      <w:r>
        <w:rPr>
          <w:rFonts w:ascii="Arial"/>
          <w:b/>
          <w:spacing w:val="-1"/>
          <w:sz w:val="28"/>
        </w:rPr>
        <w:t> </w:t>
      </w:r>
      <w:r>
        <w:rPr>
          <w:rFonts w:ascii="Arial"/>
          <w:b/>
          <w:spacing w:val="-2"/>
          <w:sz w:val="28"/>
        </w:rPr>
        <w:t>Activities</w:t>
      </w:r>
    </w:p>
    <w:p>
      <w:pPr>
        <w:pStyle w:val="BodyText"/>
        <w:spacing w:line="249" w:lineRule="auto" w:before="162"/>
        <w:ind w:left="720" w:right="719"/>
        <w:jc w:val="both"/>
      </w:pPr>
      <w:r>
        <w:rPr/>
        <w:t>IBRD has been issuing bonds in the international capital markets since 1947. The proceeds of these bonds support IBRD’s lending operations which are aimed at promoting sustainable development for IBRD’s borrowing member </w:t>
      </w:r>
      <w:r>
        <w:rPr>
          <w:spacing w:val="-2"/>
        </w:rPr>
        <w:t>countries.</w:t>
      </w:r>
    </w:p>
    <w:p>
      <w:pPr>
        <w:spacing w:before="120"/>
        <w:ind w:left="720" w:right="0" w:firstLine="0"/>
        <w:jc w:val="both"/>
        <w:rPr>
          <w:rFonts w:ascii="Arial"/>
          <w:b/>
          <w:sz w:val="24"/>
        </w:rPr>
      </w:pPr>
      <w:r>
        <w:rPr>
          <w:rFonts w:ascii="Arial"/>
          <w:b/>
          <w:sz w:val="24"/>
        </w:rPr>
        <w:t>Borrowing</w:t>
      </w:r>
      <w:r>
        <w:rPr>
          <w:rFonts w:ascii="Arial"/>
          <w:b/>
          <w:spacing w:val="-5"/>
          <w:sz w:val="24"/>
        </w:rPr>
        <w:t> </w:t>
      </w:r>
      <w:r>
        <w:rPr>
          <w:rFonts w:ascii="Arial"/>
          <w:b/>
          <w:spacing w:val="-2"/>
          <w:sz w:val="24"/>
        </w:rPr>
        <w:t>Portfolio</w:t>
      </w:r>
    </w:p>
    <w:p>
      <w:pPr>
        <w:pStyle w:val="BodyText"/>
        <w:spacing w:line="232" w:lineRule="auto" w:before="269"/>
        <w:ind w:left="720" w:right="718"/>
        <w:jc w:val="both"/>
      </w:pPr>
      <w:r>
        <w:rPr/>
        <w:t>IBRD</w:t>
      </w:r>
      <w:r>
        <w:rPr>
          <w:spacing w:val="-2"/>
        </w:rPr>
        <w:t> </w:t>
      </w:r>
      <w:r>
        <w:rPr/>
        <w:t>borrows</w:t>
      </w:r>
      <w:r>
        <w:rPr>
          <w:spacing w:val="-2"/>
        </w:rPr>
        <w:t> </w:t>
      </w:r>
      <w:r>
        <w:rPr/>
        <w:t>at</w:t>
      </w:r>
      <w:r>
        <w:rPr>
          <w:spacing w:val="-2"/>
        </w:rPr>
        <w:t> </w:t>
      </w:r>
      <w:r>
        <w:rPr/>
        <w:t>attractive</w:t>
      </w:r>
      <w:r>
        <w:rPr>
          <w:spacing w:val="-2"/>
        </w:rPr>
        <w:t> </w:t>
      </w:r>
      <w:r>
        <w:rPr/>
        <w:t>rates</w:t>
      </w:r>
      <w:r>
        <w:rPr>
          <w:spacing w:val="-2"/>
        </w:rPr>
        <w:t> </w:t>
      </w:r>
      <w:r>
        <w:rPr/>
        <w:t>underpinned</w:t>
      </w:r>
      <w:r>
        <w:rPr>
          <w:spacing w:val="-2"/>
        </w:rPr>
        <w:t> </w:t>
      </w:r>
      <w:r>
        <w:rPr/>
        <w:t>by</w:t>
      </w:r>
      <w:r>
        <w:rPr>
          <w:spacing w:val="-2"/>
        </w:rPr>
        <w:t> </w:t>
      </w:r>
      <w:r>
        <w:rPr/>
        <w:t>its</w:t>
      </w:r>
      <w:r>
        <w:rPr>
          <w:spacing w:val="-2"/>
        </w:rPr>
        <w:t> </w:t>
      </w:r>
      <w:r>
        <w:rPr/>
        <w:t>strong</w:t>
      </w:r>
      <w:r>
        <w:rPr>
          <w:spacing w:val="-2"/>
        </w:rPr>
        <w:t> </w:t>
      </w:r>
      <w:r>
        <w:rPr/>
        <w:t>financial</w:t>
      </w:r>
      <w:r>
        <w:rPr>
          <w:spacing w:val="-2"/>
        </w:rPr>
        <w:t> </w:t>
      </w:r>
      <w:r>
        <w:rPr/>
        <w:t>profile</w:t>
      </w:r>
      <w:r>
        <w:rPr>
          <w:spacing w:val="-2"/>
        </w:rPr>
        <w:t> </w:t>
      </w:r>
      <w:r>
        <w:rPr/>
        <w:t>and</w:t>
      </w:r>
      <w:r>
        <w:rPr>
          <w:spacing w:val="-2"/>
        </w:rPr>
        <w:t> </w:t>
      </w:r>
      <w:r>
        <w:rPr/>
        <w:t>shareholder</w:t>
      </w:r>
      <w:r>
        <w:rPr>
          <w:spacing w:val="-2"/>
        </w:rPr>
        <w:t> </w:t>
      </w:r>
      <w:r>
        <w:rPr/>
        <w:t>support</w:t>
      </w:r>
      <w:r>
        <w:rPr>
          <w:spacing w:val="-2"/>
        </w:rPr>
        <w:t> </w:t>
      </w:r>
      <w:r>
        <w:rPr/>
        <w:t>that</w:t>
      </w:r>
      <w:r>
        <w:rPr>
          <w:spacing w:val="-2"/>
        </w:rPr>
        <w:t> </w:t>
      </w:r>
      <w:r>
        <w:rPr/>
        <w:t>together</w:t>
      </w:r>
      <w:r>
        <w:rPr>
          <w:spacing w:val="-2"/>
        </w:rPr>
        <w:t> </w:t>
      </w:r>
      <w:r>
        <w:rPr/>
        <w:t>are the basis for its triple-A credit rating. As a result of its financial strength and triple-A credit rating, IBRD is recognized as a premier borrower and its bonds and notes are viewed as a high credit quality investment in the</w:t>
      </w:r>
      <w:r>
        <w:rPr>
          <w:spacing w:val="40"/>
        </w:rPr>
        <w:t> </w:t>
      </w:r>
      <w:r>
        <w:rPr/>
        <w:t>global capital markets.</w:t>
      </w:r>
    </w:p>
    <w:p>
      <w:pPr>
        <w:pStyle w:val="BodyText"/>
        <w:spacing w:line="232" w:lineRule="auto" w:before="228"/>
        <w:ind w:left="720" w:right="718"/>
        <w:jc w:val="both"/>
      </w:pPr>
      <w:r>
        <w:rPr/>
        <w:t>IBRD uses the proceeds to finance development activities in creditworthy middle-income and low-income countries eligible</w:t>
      </w:r>
      <w:r>
        <w:rPr>
          <w:spacing w:val="-3"/>
        </w:rPr>
        <w:t> </w:t>
      </w:r>
      <w:r>
        <w:rPr/>
        <w:t>to</w:t>
      </w:r>
      <w:r>
        <w:rPr>
          <w:spacing w:val="-2"/>
        </w:rPr>
        <w:t> </w:t>
      </w:r>
      <w:r>
        <w:rPr/>
        <w:t>borrow</w:t>
      </w:r>
      <w:r>
        <w:rPr>
          <w:spacing w:val="-3"/>
        </w:rPr>
        <w:t> </w:t>
      </w:r>
      <w:r>
        <w:rPr/>
        <w:t>from</w:t>
      </w:r>
      <w:r>
        <w:rPr>
          <w:spacing w:val="-3"/>
        </w:rPr>
        <w:t> </w:t>
      </w:r>
      <w:r>
        <w:rPr/>
        <w:t>IBRD</w:t>
      </w:r>
      <w:r>
        <w:rPr>
          <w:spacing w:val="-3"/>
        </w:rPr>
        <w:t> </w:t>
      </w:r>
      <w:r>
        <w:rPr/>
        <w:t>at</w:t>
      </w:r>
      <w:r>
        <w:rPr>
          <w:spacing w:val="-3"/>
        </w:rPr>
        <w:t> </w:t>
      </w:r>
      <w:r>
        <w:rPr/>
        <w:t>market-based</w:t>
      </w:r>
      <w:r>
        <w:rPr>
          <w:spacing w:val="-2"/>
        </w:rPr>
        <w:t> </w:t>
      </w:r>
      <w:r>
        <w:rPr/>
        <w:t>rates.</w:t>
      </w:r>
      <w:r>
        <w:rPr>
          <w:spacing w:val="-2"/>
        </w:rPr>
        <w:t> </w:t>
      </w:r>
      <w:r>
        <w:rPr/>
        <w:t>Funding</w:t>
      </w:r>
      <w:r>
        <w:rPr>
          <w:spacing w:val="-2"/>
        </w:rPr>
        <w:t> </w:t>
      </w:r>
      <w:r>
        <w:rPr/>
        <w:t>raised</w:t>
      </w:r>
      <w:r>
        <w:rPr>
          <w:spacing w:val="-2"/>
        </w:rPr>
        <w:t> </w:t>
      </w:r>
      <w:r>
        <w:rPr/>
        <w:t>in</w:t>
      </w:r>
      <w:r>
        <w:rPr>
          <w:spacing w:val="-2"/>
        </w:rPr>
        <w:t> </w:t>
      </w:r>
      <w:r>
        <w:rPr/>
        <w:t>any</w:t>
      </w:r>
      <w:r>
        <w:rPr>
          <w:spacing w:val="-2"/>
        </w:rPr>
        <w:t> </w:t>
      </w:r>
      <w:r>
        <w:rPr/>
        <w:t>given</w:t>
      </w:r>
      <w:r>
        <w:rPr>
          <w:spacing w:val="-2"/>
        </w:rPr>
        <w:t> </w:t>
      </w:r>
      <w:r>
        <w:rPr/>
        <w:t>year</w:t>
      </w:r>
      <w:r>
        <w:rPr>
          <w:spacing w:val="-2"/>
        </w:rPr>
        <w:t> </w:t>
      </w:r>
      <w:r>
        <w:rPr/>
        <w:t>is</w:t>
      </w:r>
      <w:r>
        <w:rPr>
          <w:spacing w:val="-3"/>
        </w:rPr>
        <w:t> </w:t>
      </w:r>
      <w:r>
        <w:rPr/>
        <w:t>used</w:t>
      </w:r>
      <w:r>
        <w:rPr>
          <w:spacing w:val="-2"/>
        </w:rPr>
        <w:t> </w:t>
      </w:r>
      <w:r>
        <w:rPr/>
        <w:t>for</w:t>
      </w:r>
      <w:r>
        <w:rPr>
          <w:spacing w:val="-2"/>
        </w:rPr>
        <w:t> </w:t>
      </w:r>
      <w:r>
        <w:rPr/>
        <w:t>IBRD’s</w:t>
      </w:r>
      <w:r>
        <w:rPr>
          <w:spacing w:val="-3"/>
        </w:rPr>
        <w:t> </w:t>
      </w:r>
      <w:r>
        <w:rPr/>
        <w:t>operations, including</w:t>
      </w:r>
      <w:r>
        <w:rPr>
          <w:spacing w:val="-1"/>
        </w:rPr>
        <w:t> </w:t>
      </w:r>
      <w:r>
        <w:rPr/>
        <w:t>loan</w:t>
      </w:r>
      <w:r>
        <w:rPr>
          <w:spacing w:val="-1"/>
        </w:rPr>
        <w:t> </w:t>
      </w:r>
      <w:r>
        <w:rPr/>
        <w:t>disbursements,</w:t>
      </w:r>
      <w:r>
        <w:rPr>
          <w:spacing w:val="-1"/>
        </w:rPr>
        <w:t> </w:t>
      </w:r>
      <w:r>
        <w:rPr/>
        <w:t>replacement</w:t>
      </w:r>
      <w:r>
        <w:rPr>
          <w:spacing w:val="-1"/>
        </w:rPr>
        <w:t> </w:t>
      </w:r>
      <w:r>
        <w:rPr/>
        <w:t>of</w:t>
      </w:r>
      <w:r>
        <w:rPr>
          <w:spacing w:val="-1"/>
        </w:rPr>
        <w:t> </w:t>
      </w:r>
      <w:r>
        <w:rPr/>
        <w:t>maturing</w:t>
      </w:r>
      <w:r>
        <w:rPr>
          <w:spacing w:val="-1"/>
        </w:rPr>
        <w:t> </w:t>
      </w:r>
      <w:r>
        <w:rPr/>
        <w:t>debt,</w:t>
      </w:r>
      <w:r>
        <w:rPr>
          <w:spacing w:val="-1"/>
        </w:rPr>
        <w:t> </w:t>
      </w:r>
      <w:r>
        <w:rPr/>
        <w:t>and</w:t>
      </w:r>
      <w:r>
        <w:rPr>
          <w:spacing w:val="-1"/>
        </w:rPr>
        <w:t> </w:t>
      </w:r>
      <w:r>
        <w:rPr/>
        <w:t>prefunding</w:t>
      </w:r>
      <w:r>
        <w:rPr>
          <w:spacing w:val="-1"/>
        </w:rPr>
        <w:t> </w:t>
      </w:r>
      <w:r>
        <w:rPr/>
        <w:t>for</w:t>
      </w:r>
      <w:r>
        <w:rPr>
          <w:spacing w:val="-1"/>
        </w:rPr>
        <w:t> </w:t>
      </w:r>
      <w:r>
        <w:rPr/>
        <w:t>lending</w:t>
      </w:r>
      <w:r>
        <w:rPr>
          <w:spacing w:val="-1"/>
        </w:rPr>
        <w:t> </w:t>
      </w:r>
      <w:r>
        <w:rPr/>
        <w:t>activities.</w:t>
      </w:r>
      <w:r>
        <w:rPr>
          <w:spacing w:val="-1"/>
        </w:rPr>
        <w:t> </w:t>
      </w:r>
      <w:r>
        <w:rPr/>
        <w:t>IBRD</w:t>
      </w:r>
      <w:r>
        <w:rPr>
          <w:spacing w:val="-1"/>
        </w:rPr>
        <w:t> </w:t>
      </w:r>
      <w:r>
        <w:rPr/>
        <w:t>determines its funding requirements based on a three-year rolling horizon and funds about one-third of the projected amount in the current fiscal year.</w:t>
      </w:r>
    </w:p>
    <w:p>
      <w:pPr>
        <w:pStyle w:val="BodyText"/>
        <w:spacing w:line="232" w:lineRule="auto" w:before="229"/>
        <w:ind w:left="720" w:right="717"/>
        <w:jc w:val="both"/>
      </w:pPr>
      <w:r>
        <w:rPr/>
        <w:t>As discussed in Section II, IBRD uses currency and interest rate derivatives in connection with its borrowings for asset and liability management purposes. New medium- and long-term funding is swapped into variable-rate U.S. dollar instruments, with conversion to other currencies carried out subsequently, as needed. This is in accordance with loan funding requirements, so that IBRD can minimize interest rate and currency risk.</w:t>
      </w:r>
      <w:r>
        <w:rPr>
          <w:spacing w:val="40"/>
        </w:rPr>
        <w:t> </w:t>
      </w:r>
      <w:r>
        <w:rPr/>
        <w:t>IBRD also uses derivatives to manage the re-pricing risks between loans and borrowings. Further discussion on how IBRD manages this risk is included in the Risk Management Section, Section IX.</w:t>
      </w:r>
    </w:p>
    <w:p>
      <w:pPr>
        <w:pStyle w:val="BodyText"/>
        <w:spacing w:line="232" w:lineRule="auto" w:before="229"/>
        <w:ind w:left="720" w:right="719"/>
        <w:jc w:val="both"/>
      </w:pPr>
      <w:r>
        <w:rPr/>
        <w:t>In FY23, IBRD raised a total of $42.2 billion of medium- and long-term debt (Table 23). IBRD issues short-term debt (maturing in one year or less), and medium- and long-term debt (with a maturity greater than one year).</w:t>
      </w:r>
      <w:r>
        <w:rPr>
          <w:spacing w:val="40"/>
        </w:rPr>
        <w:t> </w:t>
      </w:r>
      <w:r>
        <w:rPr/>
        <w:t>From time to time, IBRD exercises the call option in its callable bond issues; it may also repurchase its debt to meet other operational or strategic needs such as providing liquidity to its investors (Table 23).</w:t>
      </w:r>
    </w:p>
    <w:p>
      <w:pPr>
        <w:pStyle w:val="BodyText"/>
        <w:spacing w:line="232" w:lineRule="auto" w:before="228"/>
        <w:ind w:left="720" w:right="717"/>
        <w:jc w:val="both"/>
      </w:pPr>
      <w:r>
        <w:rPr/>
        <w:t>As of June 30, 2023, the borrowing portfolio totaled $266.8 billion, $9.9 billion higher than June 30, 2022 (see Note E: Borrowings in the Notes to the Financial Statements). The increase was primarily due to net medium-and long-term debt issuances during the year (Table 23).</w:t>
      </w:r>
    </w:p>
    <w:p>
      <w:pPr>
        <w:pStyle w:val="BodyText"/>
        <w:spacing w:before="1"/>
      </w:pPr>
    </w:p>
    <w:p>
      <w:pPr>
        <w:spacing w:before="0"/>
        <w:ind w:left="720" w:right="0" w:firstLine="0"/>
        <w:jc w:val="both"/>
        <w:rPr>
          <w:rFonts w:ascii="Arial" w:hAnsi="Arial"/>
          <w:b/>
          <w:sz w:val="18"/>
        </w:rPr>
      </w:pPr>
      <w:bookmarkStart w:name="_bookmark54" w:id="81"/>
      <w:bookmarkEnd w:id="81"/>
      <w:r>
        <w:rPr/>
      </w:r>
      <w:r>
        <w:rPr>
          <w:rFonts w:ascii="Arial" w:hAnsi="Arial"/>
          <w:b/>
          <w:sz w:val="18"/>
        </w:rPr>
        <w:t>Figure</w:t>
      </w:r>
      <w:r>
        <w:rPr>
          <w:rFonts w:ascii="Arial" w:hAnsi="Arial"/>
          <w:b/>
          <w:spacing w:val="-4"/>
          <w:sz w:val="18"/>
        </w:rPr>
        <w:t> </w:t>
      </w:r>
      <w:r>
        <w:rPr>
          <w:rFonts w:ascii="Arial" w:hAnsi="Arial"/>
          <w:b/>
          <w:sz w:val="18"/>
        </w:rPr>
        <w:t>14:</w:t>
      </w:r>
      <w:r>
        <w:rPr>
          <w:rFonts w:ascii="Arial" w:hAnsi="Arial"/>
          <w:b/>
          <w:spacing w:val="-2"/>
          <w:sz w:val="18"/>
        </w:rPr>
        <w:t> </w:t>
      </w:r>
      <w:r>
        <w:rPr>
          <w:rFonts w:ascii="Arial" w:hAnsi="Arial"/>
          <w:b/>
          <w:sz w:val="18"/>
        </w:rPr>
        <w:t>Effect</w:t>
      </w:r>
      <w:r>
        <w:rPr>
          <w:rFonts w:ascii="Arial" w:hAnsi="Arial"/>
          <w:b/>
          <w:spacing w:val="-2"/>
          <w:sz w:val="18"/>
        </w:rPr>
        <w:t> </w:t>
      </w:r>
      <w:r>
        <w:rPr>
          <w:rFonts w:ascii="Arial" w:hAnsi="Arial"/>
          <w:b/>
          <w:sz w:val="18"/>
        </w:rPr>
        <w:t>of</w:t>
      </w:r>
      <w:r>
        <w:rPr>
          <w:rFonts w:ascii="Arial" w:hAnsi="Arial"/>
          <w:b/>
          <w:spacing w:val="-2"/>
          <w:sz w:val="18"/>
        </w:rPr>
        <w:t> </w:t>
      </w:r>
      <w:r>
        <w:rPr>
          <w:rFonts w:ascii="Arial" w:hAnsi="Arial"/>
          <w:b/>
          <w:sz w:val="18"/>
        </w:rPr>
        <w:t>Derivatives</w:t>
      </w:r>
      <w:r>
        <w:rPr>
          <w:rFonts w:ascii="Arial" w:hAnsi="Arial"/>
          <w:b/>
          <w:spacing w:val="-1"/>
          <w:sz w:val="18"/>
        </w:rPr>
        <w:t> </w:t>
      </w:r>
      <w:r>
        <w:rPr>
          <w:rFonts w:ascii="Arial" w:hAnsi="Arial"/>
          <w:b/>
          <w:sz w:val="18"/>
        </w:rPr>
        <w:t>on</w:t>
      </w:r>
      <w:r>
        <w:rPr>
          <w:rFonts w:ascii="Arial" w:hAnsi="Arial"/>
          <w:b/>
          <w:spacing w:val="-2"/>
          <w:sz w:val="18"/>
        </w:rPr>
        <w:t> </w:t>
      </w:r>
      <w:r>
        <w:rPr>
          <w:rFonts w:ascii="Arial" w:hAnsi="Arial"/>
          <w:b/>
          <w:sz w:val="18"/>
        </w:rPr>
        <w:t>Currency</w:t>
      </w:r>
      <w:r>
        <w:rPr>
          <w:rFonts w:ascii="Arial" w:hAnsi="Arial"/>
          <w:b/>
          <w:spacing w:val="-2"/>
          <w:sz w:val="18"/>
        </w:rPr>
        <w:t> </w:t>
      </w:r>
      <w:r>
        <w:rPr>
          <w:rFonts w:ascii="Arial" w:hAnsi="Arial"/>
          <w:b/>
          <w:sz w:val="18"/>
        </w:rPr>
        <w:t>Composition</w:t>
      </w:r>
      <w:r>
        <w:rPr>
          <w:rFonts w:ascii="Arial" w:hAnsi="Arial"/>
          <w:b/>
          <w:spacing w:val="-2"/>
          <w:sz w:val="18"/>
        </w:rPr>
        <w:t> </w:t>
      </w:r>
      <w:r>
        <w:rPr>
          <w:rFonts w:ascii="Arial" w:hAnsi="Arial"/>
          <w:b/>
          <w:sz w:val="18"/>
        </w:rPr>
        <w:t>of</w:t>
      </w:r>
      <w:r>
        <w:rPr>
          <w:rFonts w:ascii="Arial" w:hAnsi="Arial"/>
          <w:b/>
          <w:spacing w:val="-2"/>
          <w:sz w:val="18"/>
        </w:rPr>
        <w:t> </w:t>
      </w:r>
      <w:r>
        <w:rPr>
          <w:rFonts w:ascii="Arial" w:hAnsi="Arial"/>
          <w:b/>
          <w:sz w:val="18"/>
        </w:rPr>
        <w:t>the</w:t>
      </w:r>
      <w:r>
        <w:rPr>
          <w:rFonts w:ascii="Arial" w:hAnsi="Arial"/>
          <w:b/>
          <w:spacing w:val="-1"/>
          <w:sz w:val="18"/>
        </w:rPr>
        <w:t> </w:t>
      </w:r>
      <w:r>
        <w:rPr>
          <w:rFonts w:ascii="Arial" w:hAnsi="Arial"/>
          <w:b/>
          <w:sz w:val="18"/>
        </w:rPr>
        <w:t>Borrowing</w:t>
      </w:r>
      <w:r>
        <w:rPr>
          <w:rFonts w:ascii="Arial" w:hAnsi="Arial"/>
          <w:b/>
          <w:spacing w:val="-2"/>
          <w:sz w:val="18"/>
        </w:rPr>
        <w:t> </w:t>
      </w:r>
      <w:r>
        <w:rPr>
          <w:rFonts w:ascii="Arial" w:hAnsi="Arial"/>
          <w:b/>
          <w:sz w:val="18"/>
        </w:rPr>
        <w:t>Portfolio</w:t>
      </w:r>
      <w:r>
        <w:rPr>
          <w:rFonts w:ascii="Arial" w:hAnsi="Arial"/>
          <w:b/>
          <w:spacing w:val="-2"/>
          <w:sz w:val="18"/>
        </w:rPr>
        <w:t> </w:t>
      </w:r>
      <w:r>
        <w:rPr>
          <w:rFonts w:ascii="Arial" w:hAnsi="Arial"/>
          <w:b/>
          <w:sz w:val="18"/>
        </w:rPr>
        <w:t>–</w:t>
      </w:r>
      <w:r>
        <w:rPr>
          <w:rFonts w:ascii="Arial" w:hAnsi="Arial"/>
          <w:b/>
          <w:spacing w:val="-2"/>
          <w:sz w:val="18"/>
        </w:rPr>
        <w:t> </w:t>
      </w:r>
      <w:r>
        <w:rPr>
          <w:rFonts w:ascii="Arial" w:hAnsi="Arial"/>
          <w:b/>
          <w:sz w:val="18"/>
        </w:rPr>
        <w:t>June</w:t>
      </w:r>
      <w:r>
        <w:rPr>
          <w:rFonts w:ascii="Arial" w:hAnsi="Arial"/>
          <w:b/>
          <w:spacing w:val="-2"/>
          <w:sz w:val="18"/>
        </w:rPr>
        <w:t> </w:t>
      </w:r>
      <w:r>
        <w:rPr>
          <w:rFonts w:ascii="Arial" w:hAnsi="Arial"/>
          <w:b/>
          <w:sz w:val="18"/>
        </w:rPr>
        <w:t>30,</w:t>
      </w:r>
      <w:r>
        <w:rPr>
          <w:rFonts w:ascii="Arial" w:hAnsi="Arial"/>
          <w:b/>
          <w:spacing w:val="-1"/>
          <w:sz w:val="18"/>
        </w:rPr>
        <w:t> </w:t>
      </w:r>
      <w:r>
        <w:rPr>
          <w:rFonts w:ascii="Arial" w:hAnsi="Arial"/>
          <w:b/>
          <w:spacing w:val="-4"/>
          <w:sz w:val="18"/>
        </w:rPr>
        <w:t>2023</w:t>
      </w:r>
    </w:p>
    <w:p>
      <w:pPr>
        <w:pStyle w:val="BodyText"/>
        <w:spacing w:before="5"/>
        <w:rPr>
          <w:rFonts w:ascii="Arial"/>
          <w:b/>
          <w:sz w:val="12"/>
        </w:rPr>
      </w:pPr>
      <w:r>
        <w:rPr>
          <w:rFonts w:ascii="Arial"/>
          <w:b/>
          <w:sz w:val="12"/>
        </w:rPr>
        <mc:AlternateContent>
          <mc:Choice Requires="wps">
            <w:drawing>
              <wp:anchor distT="0" distB="0" distL="0" distR="0" allowOverlap="1" layoutInCell="1" locked="0" behindDoc="1" simplePos="0" relativeHeight="487645696">
                <wp:simplePos x="0" y="0"/>
                <wp:positionH relativeFrom="page">
                  <wp:posOffset>914400</wp:posOffset>
                </wp:positionH>
                <wp:positionV relativeFrom="paragraph">
                  <wp:posOffset>106259</wp:posOffset>
                </wp:positionV>
                <wp:extent cx="2905125" cy="190500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2905125" cy="1905000"/>
                          <a:chExt cx="2905125" cy="1905000"/>
                        </a:xfrm>
                      </wpg:grpSpPr>
                      <wps:wsp>
                        <wps:cNvPr id="387" name="Graphic 387"/>
                        <wps:cNvSpPr/>
                        <wps:spPr>
                          <a:xfrm>
                            <a:off x="864129" y="492805"/>
                            <a:ext cx="933450" cy="1186180"/>
                          </a:xfrm>
                          <a:custGeom>
                            <a:avLst/>
                            <a:gdLst/>
                            <a:ahLst/>
                            <a:cxnLst/>
                            <a:rect l="l" t="t" r="r" b="b"/>
                            <a:pathLst>
                              <a:path w="933450" h="1186180">
                                <a:moveTo>
                                  <a:pt x="579326" y="0"/>
                                </a:moveTo>
                                <a:lnTo>
                                  <a:pt x="531006" y="3093"/>
                                </a:lnTo>
                                <a:lnTo>
                                  <a:pt x="483476" y="10061"/>
                                </a:lnTo>
                                <a:lnTo>
                                  <a:pt x="436943" y="20787"/>
                                </a:lnTo>
                                <a:lnTo>
                                  <a:pt x="391615" y="35157"/>
                                </a:lnTo>
                                <a:lnTo>
                                  <a:pt x="347701" y="53054"/>
                                </a:lnTo>
                                <a:lnTo>
                                  <a:pt x="305408" y="74364"/>
                                </a:lnTo>
                                <a:lnTo>
                                  <a:pt x="264944" y="98971"/>
                                </a:lnTo>
                                <a:lnTo>
                                  <a:pt x="226518" y="126760"/>
                                </a:lnTo>
                                <a:lnTo>
                                  <a:pt x="190337" y="157615"/>
                                </a:lnTo>
                                <a:lnTo>
                                  <a:pt x="156609" y="191421"/>
                                </a:lnTo>
                                <a:lnTo>
                                  <a:pt x="125543" y="228062"/>
                                </a:lnTo>
                                <a:lnTo>
                                  <a:pt x="97346" y="267423"/>
                                </a:lnTo>
                                <a:lnTo>
                                  <a:pt x="72227" y="309389"/>
                                </a:lnTo>
                                <a:lnTo>
                                  <a:pt x="50393" y="353843"/>
                                </a:lnTo>
                                <a:lnTo>
                                  <a:pt x="32317" y="399954"/>
                                </a:lnTo>
                                <a:lnTo>
                                  <a:pt x="18294" y="446810"/>
                                </a:lnTo>
                                <a:lnTo>
                                  <a:pt x="8271" y="494180"/>
                                </a:lnTo>
                                <a:lnTo>
                                  <a:pt x="2191" y="541832"/>
                                </a:lnTo>
                                <a:lnTo>
                                  <a:pt x="0" y="589535"/>
                                </a:lnTo>
                                <a:lnTo>
                                  <a:pt x="1641" y="637058"/>
                                </a:lnTo>
                                <a:lnTo>
                                  <a:pt x="7061" y="684168"/>
                                </a:lnTo>
                                <a:lnTo>
                                  <a:pt x="16204" y="730636"/>
                                </a:lnTo>
                                <a:lnTo>
                                  <a:pt x="29014" y="776229"/>
                                </a:lnTo>
                                <a:lnTo>
                                  <a:pt x="45437" y="820716"/>
                                </a:lnTo>
                                <a:lnTo>
                                  <a:pt x="65417" y="863865"/>
                                </a:lnTo>
                                <a:lnTo>
                                  <a:pt x="88900" y="905445"/>
                                </a:lnTo>
                                <a:lnTo>
                                  <a:pt x="115829" y="945226"/>
                                </a:lnTo>
                                <a:lnTo>
                                  <a:pt x="146150" y="982975"/>
                                </a:lnTo>
                                <a:lnTo>
                                  <a:pt x="179808" y="1018460"/>
                                </a:lnTo>
                                <a:lnTo>
                                  <a:pt x="216748" y="1051452"/>
                                </a:lnTo>
                                <a:lnTo>
                                  <a:pt x="256293" y="1081270"/>
                                </a:lnTo>
                                <a:lnTo>
                                  <a:pt x="297647" y="1107384"/>
                                </a:lnTo>
                                <a:lnTo>
                                  <a:pt x="340572" y="1129785"/>
                                </a:lnTo>
                                <a:lnTo>
                                  <a:pt x="384830" y="1148464"/>
                                </a:lnTo>
                                <a:lnTo>
                                  <a:pt x="430183" y="1163412"/>
                                </a:lnTo>
                                <a:lnTo>
                                  <a:pt x="476395" y="1174620"/>
                                </a:lnTo>
                                <a:lnTo>
                                  <a:pt x="523226" y="1182077"/>
                                </a:lnTo>
                                <a:lnTo>
                                  <a:pt x="570440" y="1185777"/>
                                </a:lnTo>
                                <a:lnTo>
                                  <a:pt x="617798" y="1185708"/>
                                </a:lnTo>
                                <a:lnTo>
                                  <a:pt x="665064" y="1181863"/>
                                </a:lnTo>
                                <a:lnTo>
                                  <a:pt x="711998" y="1174231"/>
                                </a:lnTo>
                                <a:lnTo>
                                  <a:pt x="758364" y="1162804"/>
                                </a:lnTo>
                                <a:lnTo>
                                  <a:pt x="803924" y="1147574"/>
                                </a:lnTo>
                                <a:lnTo>
                                  <a:pt x="848440" y="1128529"/>
                                </a:lnTo>
                                <a:lnTo>
                                  <a:pt x="891675" y="1105662"/>
                                </a:lnTo>
                                <a:lnTo>
                                  <a:pt x="933390" y="1078964"/>
                                </a:lnTo>
                                <a:lnTo>
                                  <a:pt x="763292" y="836004"/>
                                </a:lnTo>
                                <a:lnTo>
                                  <a:pt x="720817" y="860787"/>
                                </a:lnTo>
                                <a:lnTo>
                                  <a:pt x="675780" y="877924"/>
                                </a:lnTo>
                                <a:lnTo>
                                  <a:pt x="629129" y="887453"/>
                                </a:lnTo>
                                <a:lnTo>
                                  <a:pt x="581817" y="889410"/>
                                </a:lnTo>
                                <a:lnTo>
                                  <a:pt x="534795" y="883832"/>
                                </a:lnTo>
                                <a:lnTo>
                                  <a:pt x="489013" y="870755"/>
                                </a:lnTo>
                                <a:lnTo>
                                  <a:pt x="445421" y="850215"/>
                                </a:lnTo>
                                <a:lnTo>
                                  <a:pt x="404972" y="822249"/>
                                </a:lnTo>
                                <a:lnTo>
                                  <a:pt x="369673" y="788010"/>
                                </a:lnTo>
                                <a:lnTo>
                                  <a:pt x="341047" y="749245"/>
                                </a:lnTo>
                                <a:lnTo>
                                  <a:pt x="319316" y="706880"/>
                                </a:lnTo>
                                <a:lnTo>
                                  <a:pt x="304699" y="661840"/>
                                </a:lnTo>
                                <a:lnTo>
                                  <a:pt x="297418" y="615051"/>
                                </a:lnTo>
                                <a:lnTo>
                                  <a:pt x="297693" y="567438"/>
                                </a:lnTo>
                                <a:lnTo>
                                  <a:pt x="305745" y="519928"/>
                                </a:lnTo>
                                <a:lnTo>
                                  <a:pt x="321794" y="473444"/>
                                </a:lnTo>
                                <a:lnTo>
                                  <a:pt x="345271" y="430234"/>
                                </a:lnTo>
                                <a:lnTo>
                                  <a:pt x="374902" y="392233"/>
                                </a:lnTo>
                                <a:lnTo>
                                  <a:pt x="409856" y="359902"/>
                                </a:lnTo>
                                <a:lnTo>
                                  <a:pt x="449301" y="333704"/>
                                </a:lnTo>
                                <a:lnTo>
                                  <a:pt x="492405" y="314100"/>
                                </a:lnTo>
                                <a:lnTo>
                                  <a:pt x="538335" y="301552"/>
                                </a:lnTo>
                                <a:lnTo>
                                  <a:pt x="586260" y="296521"/>
                                </a:lnTo>
                                <a:lnTo>
                                  <a:pt x="635347" y="299470"/>
                                </a:lnTo>
                                <a:lnTo>
                                  <a:pt x="677501" y="5896"/>
                                </a:lnTo>
                                <a:lnTo>
                                  <a:pt x="628227" y="895"/>
                                </a:lnTo>
                                <a:lnTo>
                                  <a:pt x="579326" y="0"/>
                                </a:lnTo>
                                <a:close/>
                              </a:path>
                            </a:pathLst>
                          </a:custGeom>
                          <a:solidFill>
                            <a:srgbClr val="D9D9D9"/>
                          </a:solidFill>
                        </wps:spPr>
                        <wps:bodyPr wrap="square" lIns="0" tIns="0" rIns="0" bIns="0" rtlCol="0">
                          <a:prstTxWarp prst="textNoShape">
                            <a:avLst/>
                          </a:prstTxWarp>
                          <a:noAutofit/>
                        </wps:bodyPr>
                      </wps:wsp>
                      <wps:wsp>
                        <wps:cNvPr id="388" name="Graphic 388"/>
                        <wps:cNvSpPr/>
                        <wps:spPr>
                          <a:xfrm>
                            <a:off x="1499770" y="498787"/>
                            <a:ext cx="463550" cy="432434"/>
                          </a:xfrm>
                          <a:custGeom>
                            <a:avLst/>
                            <a:gdLst/>
                            <a:ahLst/>
                            <a:cxnLst/>
                            <a:rect l="l" t="t" r="r" b="b"/>
                            <a:pathLst>
                              <a:path w="463550" h="432434">
                                <a:moveTo>
                                  <a:pt x="42447" y="0"/>
                                </a:moveTo>
                                <a:lnTo>
                                  <a:pt x="0" y="293531"/>
                                </a:lnTo>
                                <a:lnTo>
                                  <a:pt x="51002" y="305582"/>
                                </a:lnTo>
                                <a:lnTo>
                                  <a:pt x="98562" y="326142"/>
                                </a:lnTo>
                                <a:lnTo>
                                  <a:pt x="141673" y="354548"/>
                                </a:lnTo>
                                <a:lnTo>
                                  <a:pt x="179330" y="390137"/>
                                </a:lnTo>
                                <a:lnTo>
                                  <a:pt x="210526" y="432247"/>
                                </a:lnTo>
                                <a:lnTo>
                                  <a:pt x="463497" y="277432"/>
                                </a:lnTo>
                                <a:lnTo>
                                  <a:pt x="436868" y="237618"/>
                                </a:lnTo>
                                <a:lnTo>
                                  <a:pt x="407342" y="200350"/>
                                </a:lnTo>
                                <a:lnTo>
                                  <a:pt x="375108" y="165750"/>
                                </a:lnTo>
                                <a:lnTo>
                                  <a:pt x="340356" y="133945"/>
                                </a:lnTo>
                                <a:lnTo>
                                  <a:pt x="303275" y="105059"/>
                                </a:lnTo>
                                <a:lnTo>
                                  <a:pt x="264052" y="79215"/>
                                </a:lnTo>
                                <a:lnTo>
                                  <a:pt x="222879" y="56539"/>
                                </a:lnTo>
                                <a:lnTo>
                                  <a:pt x="179942" y="37155"/>
                                </a:lnTo>
                                <a:lnTo>
                                  <a:pt x="135432" y="21187"/>
                                </a:lnTo>
                                <a:lnTo>
                                  <a:pt x="89537" y="8761"/>
                                </a:lnTo>
                                <a:lnTo>
                                  <a:pt x="42447" y="0"/>
                                </a:lnTo>
                                <a:close/>
                              </a:path>
                            </a:pathLst>
                          </a:custGeom>
                          <a:solidFill>
                            <a:srgbClr val="959595"/>
                          </a:solidFill>
                        </wps:spPr>
                        <wps:bodyPr wrap="square" lIns="0" tIns="0" rIns="0" bIns="0" rtlCol="0">
                          <a:prstTxWarp prst="textNoShape">
                            <a:avLst/>
                          </a:prstTxWarp>
                          <a:noAutofit/>
                        </wps:bodyPr>
                      </wps:wsp>
                      <wps:wsp>
                        <wps:cNvPr id="389" name="Graphic 389"/>
                        <wps:cNvSpPr/>
                        <wps:spPr>
                          <a:xfrm>
                            <a:off x="1499770" y="498787"/>
                            <a:ext cx="463550" cy="432434"/>
                          </a:xfrm>
                          <a:custGeom>
                            <a:avLst/>
                            <a:gdLst/>
                            <a:ahLst/>
                            <a:cxnLst/>
                            <a:rect l="l" t="t" r="r" b="b"/>
                            <a:pathLst>
                              <a:path w="463550" h="432434">
                                <a:moveTo>
                                  <a:pt x="42447" y="0"/>
                                </a:moveTo>
                                <a:lnTo>
                                  <a:pt x="89537" y="8761"/>
                                </a:lnTo>
                                <a:lnTo>
                                  <a:pt x="135432" y="21187"/>
                                </a:lnTo>
                                <a:lnTo>
                                  <a:pt x="179942" y="37155"/>
                                </a:lnTo>
                                <a:lnTo>
                                  <a:pt x="222879" y="56539"/>
                                </a:lnTo>
                                <a:lnTo>
                                  <a:pt x="264052" y="79215"/>
                                </a:lnTo>
                                <a:lnTo>
                                  <a:pt x="303275" y="105059"/>
                                </a:lnTo>
                                <a:lnTo>
                                  <a:pt x="340356" y="133945"/>
                                </a:lnTo>
                                <a:lnTo>
                                  <a:pt x="375108" y="165750"/>
                                </a:lnTo>
                                <a:lnTo>
                                  <a:pt x="407342" y="200350"/>
                                </a:lnTo>
                                <a:lnTo>
                                  <a:pt x="436868" y="237618"/>
                                </a:lnTo>
                                <a:lnTo>
                                  <a:pt x="463497" y="277432"/>
                                </a:lnTo>
                                <a:lnTo>
                                  <a:pt x="210526" y="432247"/>
                                </a:lnTo>
                                <a:lnTo>
                                  <a:pt x="179330" y="390137"/>
                                </a:lnTo>
                                <a:lnTo>
                                  <a:pt x="141673" y="354548"/>
                                </a:lnTo>
                                <a:lnTo>
                                  <a:pt x="98562" y="326142"/>
                                </a:lnTo>
                                <a:lnTo>
                                  <a:pt x="51002" y="305582"/>
                                </a:lnTo>
                                <a:lnTo>
                                  <a:pt x="0" y="293531"/>
                                </a:lnTo>
                                <a:lnTo>
                                  <a:pt x="42447" y="0"/>
                                </a:lnTo>
                                <a:close/>
                              </a:path>
                            </a:pathLst>
                          </a:custGeom>
                          <a:ln w="9525">
                            <a:solidFill>
                              <a:srgbClr val="FFFFFF"/>
                            </a:solidFill>
                            <a:prstDash val="solid"/>
                          </a:ln>
                        </wps:spPr>
                        <wps:bodyPr wrap="square" lIns="0" tIns="0" rIns="0" bIns="0" rtlCol="0">
                          <a:prstTxWarp prst="textNoShape">
                            <a:avLst/>
                          </a:prstTxWarp>
                          <a:noAutofit/>
                        </wps:bodyPr>
                      </wps:wsp>
                      <wps:wsp>
                        <wps:cNvPr id="390" name="Graphic 390"/>
                        <wps:cNvSpPr/>
                        <wps:spPr>
                          <a:xfrm>
                            <a:off x="1627710" y="776725"/>
                            <a:ext cx="422909" cy="795020"/>
                          </a:xfrm>
                          <a:custGeom>
                            <a:avLst/>
                            <a:gdLst/>
                            <a:ahLst/>
                            <a:cxnLst/>
                            <a:rect l="l" t="t" r="r" b="b"/>
                            <a:pathLst>
                              <a:path w="422909" h="795020">
                                <a:moveTo>
                                  <a:pt x="335868" y="0"/>
                                </a:moveTo>
                                <a:lnTo>
                                  <a:pt x="82740" y="154562"/>
                                </a:lnTo>
                                <a:lnTo>
                                  <a:pt x="103694" y="195709"/>
                                </a:lnTo>
                                <a:lnTo>
                                  <a:pt x="117739" y="238531"/>
                                </a:lnTo>
                                <a:lnTo>
                                  <a:pt x="125029" y="282283"/>
                                </a:lnTo>
                                <a:lnTo>
                                  <a:pt x="125721" y="326218"/>
                                </a:lnTo>
                                <a:lnTo>
                                  <a:pt x="119969" y="369590"/>
                                </a:lnTo>
                                <a:lnTo>
                                  <a:pt x="107929" y="411652"/>
                                </a:lnTo>
                                <a:lnTo>
                                  <a:pt x="89757" y="451659"/>
                                </a:lnTo>
                                <a:lnTo>
                                  <a:pt x="65608" y="488864"/>
                                </a:lnTo>
                                <a:lnTo>
                                  <a:pt x="35637" y="522520"/>
                                </a:lnTo>
                                <a:lnTo>
                                  <a:pt x="0" y="551882"/>
                                </a:lnTo>
                                <a:lnTo>
                                  <a:pt x="170384" y="794640"/>
                                </a:lnTo>
                                <a:lnTo>
                                  <a:pt x="209291" y="764895"/>
                                </a:lnTo>
                                <a:lnTo>
                                  <a:pt x="245099" y="732576"/>
                                </a:lnTo>
                                <a:lnTo>
                                  <a:pt x="277763" y="697898"/>
                                </a:lnTo>
                                <a:lnTo>
                                  <a:pt x="307239" y="661081"/>
                                </a:lnTo>
                                <a:lnTo>
                                  <a:pt x="333480" y="622341"/>
                                </a:lnTo>
                                <a:lnTo>
                                  <a:pt x="356441" y="581896"/>
                                </a:lnTo>
                                <a:lnTo>
                                  <a:pt x="376078" y="539964"/>
                                </a:lnTo>
                                <a:lnTo>
                                  <a:pt x="392344" y="496763"/>
                                </a:lnTo>
                                <a:lnTo>
                                  <a:pt x="405194" y="452510"/>
                                </a:lnTo>
                                <a:lnTo>
                                  <a:pt x="414584" y="407422"/>
                                </a:lnTo>
                                <a:lnTo>
                                  <a:pt x="420467" y="361718"/>
                                </a:lnTo>
                                <a:lnTo>
                                  <a:pt x="422798" y="315615"/>
                                </a:lnTo>
                                <a:lnTo>
                                  <a:pt x="421533" y="269330"/>
                                </a:lnTo>
                                <a:lnTo>
                                  <a:pt x="416625" y="223082"/>
                                </a:lnTo>
                                <a:lnTo>
                                  <a:pt x="408030" y="177087"/>
                                </a:lnTo>
                                <a:lnTo>
                                  <a:pt x="395702" y="131564"/>
                                </a:lnTo>
                                <a:lnTo>
                                  <a:pt x="379596" y="86730"/>
                                </a:lnTo>
                                <a:lnTo>
                                  <a:pt x="359666" y="42802"/>
                                </a:lnTo>
                                <a:lnTo>
                                  <a:pt x="335868" y="0"/>
                                </a:lnTo>
                                <a:close/>
                              </a:path>
                            </a:pathLst>
                          </a:custGeom>
                          <a:solidFill>
                            <a:srgbClr val="585858"/>
                          </a:solidFill>
                        </wps:spPr>
                        <wps:bodyPr wrap="square" lIns="0" tIns="0" rIns="0" bIns="0" rtlCol="0">
                          <a:prstTxWarp prst="textNoShape">
                            <a:avLst/>
                          </a:prstTxWarp>
                          <a:noAutofit/>
                        </wps:bodyPr>
                      </wps:wsp>
                      <wps:wsp>
                        <wps:cNvPr id="391" name="Graphic 391"/>
                        <wps:cNvSpPr/>
                        <wps:spPr>
                          <a:xfrm>
                            <a:off x="1627710" y="776725"/>
                            <a:ext cx="422909" cy="795020"/>
                          </a:xfrm>
                          <a:custGeom>
                            <a:avLst/>
                            <a:gdLst/>
                            <a:ahLst/>
                            <a:cxnLst/>
                            <a:rect l="l" t="t" r="r" b="b"/>
                            <a:pathLst>
                              <a:path w="422909" h="795020">
                                <a:moveTo>
                                  <a:pt x="335868" y="0"/>
                                </a:moveTo>
                                <a:lnTo>
                                  <a:pt x="359666" y="42802"/>
                                </a:lnTo>
                                <a:lnTo>
                                  <a:pt x="379596" y="86730"/>
                                </a:lnTo>
                                <a:lnTo>
                                  <a:pt x="395702" y="131564"/>
                                </a:lnTo>
                                <a:lnTo>
                                  <a:pt x="408030" y="177087"/>
                                </a:lnTo>
                                <a:lnTo>
                                  <a:pt x="416625" y="223082"/>
                                </a:lnTo>
                                <a:lnTo>
                                  <a:pt x="421533" y="269330"/>
                                </a:lnTo>
                                <a:lnTo>
                                  <a:pt x="422798" y="315615"/>
                                </a:lnTo>
                                <a:lnTo>
                                  <a:pt x="420467" y="361718"/>
                                </a:lnTo>
                                <a:lnTo>
                                  <a:pt x="414584" y="407422"/>
                                </a:lnTo>
                                <a:lnTo>
                                  <a:pt x="405194" y="452510"/>
                                </a:lnTo>
                                <a:lnTo>
                                  <a:pt x="392344" y="496763"/>
                                </a:lnTo>
                                <a:lnTo>
                                  <a:pt x="376078" y="539964"/>
                                </a:lnTo>
                                <a:lnTo>
                                  <a:pt x="356441" y="581896"/>
                                </a:lnTo>
                                <a:lnTo>
                                  <a:pt x="333480" y="622341"/>
                                </a:lnTo>
                                <a:lnTo>
                                  <a:pt x="307239" y="661081"/>
                                </a:lnTo>
                                <a:lnTo>
                                  <a:pt x="277763" y="697898"/>
                                </a:lnTo>
                                <a:lnTo>
                                  <a:pt x="245099" y="732576"/>
                                </a:lnTo>
                                <a:lnTo>
                                  <a:pt x="209291" y="764895"/>
                                </a:lnTo>
                                <a:lnTo>
                                  <a:pt x="170384" y="794640"/>
                                </a:lnTo>
                                <a:lnTo>
                                  <a:pt x="0" y="551882"/>
                                </a:lnTo>
                                <a:lnTo>
                                  <a:pt x="35637" y="522520"/>
                                </a:lnTo>
                                <a:lnTo>
                                  <a:pt x="65608" y="488864"/>
                                </a:lnTo>
                                <a:lnTo>
                                  <a:pt x="89757" y="451659"/>
                                </a:lnTo>
                                <a:lnTo>
                                  <a:pt x="107929" y="411652"/>
                                </a:lnTo>
                                <a:lnTo>
                                  <a:pt x="119969" y="369590"/>
                                </a:lnTo>
                                <a:lnTo>
                                  <a:pt x="125721" y="326218"/>
                                </a:lnTo>
                                <a:lnTo>
                                  <a:pt x="125029" y="282283"/>
                                </a:lnTo>
                                <a:lnTo>
                                  <a:pt x="117739" y="238531"/>
                                </a:lnTo>
                                <a:lnTo>
                                  <a:pt x="103694" y="195709"/>
                                </a:lnTo>
                                <a:lnTo>
                                  <a:pt x="82740" y="154562"/>
                                </a:lnTo>
                                <a:lnTo>
                                  <a:pt x="335868" y="0"/>
                                </a:lnTo>
                                <a:close/>
                              </a:path>
                            </a:pathLst>
                          </a:custGeom>
                          <a:ln w="9525">
                            <a:solidFill>
                              <a:srgbClr val="FFFFFF"/>
                            </a:solidFill>
                            <a:prstDash val="solid"/>
                          </a:ln>
                        </wps:spPr>
                        <wps:bodyPr wrap="square" lIns="0" tIns="0" rIns="0" bIns="0" rtlCol="0">
                          <a:prstTxWarp prst="textNoShape">
                            <a:avLst/>
                          </a:prstTxWarp>
                          <a:noAutofit/>
                        </wps:bodyPr>
                      </wps:wsp>
                      <wps:wsp>
                        <wps:cNvPr id="392" name="Textbox 392"/>
                        <wps:cNvSpPr txBox="1"/>
                        <wps:spPr>
                          <a:xfrm>
                            <a:off x="9525" y="9525"/>
                            <a:ext cx="2886075" cy="1885950"/>
                          </a:xfrm>
                          <a:prstGeom prst="rect">
                            <a:avLst/>
                          </a:prstGeom>
                          <a:ln w="19050">
                            <a:solidFill>
                              <a:srgbClr val="000000"/>
                            </a:solidFill>
                            <a:prstDash val="solid"/>
                          </a:ln>
                        </wps:spPr>
                        <wps:txbx>
                          <w:txbxContent>
                            <w:p>
                              <w:pPr>
                                <w:spacing w:before="11"/>
                                <w:ind w:left="979" w:right="0" w:firstLine="0"/>
                                <w:jc w:val="left"/>
                                <w:rPr>
                                  <w:rFonts w:ascii="Arial"/>
                                  <w:b/>
                                  <w:sz w:val="16"/>
                                </w:rPr>
                              </w:pPr>
                              <w:r>
                                <w:rPr>
                                  <w:rFonts w:ascii="Arial"/>
                                  <w:b/>
                                  <w:sz w:val="16"/>
                                </w:rPr>
                                <w:t>Borrowings</w:t>
                              </w:r>
                              <w:r>
                                <w:rPr>
                                  <w:rFonts w:ascii="Arial"/>
                                  <w:b/>
                                  <w:spacing w:val="-3"/>
                                  <w:sz w:val="16"/>
                                </w:rPr>
                                <w:t> </w:t>
                              </w:r>
                              <w:r>
                                <w:rPr>
                                  <w:rFonts w:ascii="Arial"/>
                                  <w:b/>
                                  <w:sz w:val="16"/>
                                </w:rPr>
                                <w:t>excluding</w:t>
                              </w:r>
                              <w:r>
                                <w:rPr>
                                  <w:rFonts w:ascii="Arial"/>
                                  <w:b/>
                                  <w:spacing w:val="-3"/>
                                  <w:sz w:val="16"/>
                                </w:rPr>
                                <w:t> </w:t>
                              </w:r>
                              <w:r>
                                <w:rPr>
                                  <w:rFonts w:ascii="Arial"/>
                                  <w:b/>
                                  <w:spacing w:val="-2"/>
                                  <w:sz w:val="16"/>
                                </w:rPr>
                                <w:t>derivatives</w:t>
                              </w:r>
                            </w:p>
                            <w:p>
                              <w:pPr>
                                <w:spacing w:line="240" w:lineRule="auto" w:before="0"/>
                                <w:rPr>
                                  <w:rFonts w:ascii="Arial"/>
                                  <w:b/>
                                  <w:sz w:val="16"/>
                                </w:rPr>
                              </w:pPr>
                            </w:p>
                            <w:p>
                              <w:pPr>
                                <w:spacing w:line="240" w:lineRule="auto" w:before="23"/>
                                <w:rPr>
                                  <w:rFonts w:ascii="Arial"/>
                                  <w:b/>
                                  <w:sz w:val="16"/>
                                </w:rPr>
                              </w:pPr>
                            </w:p>
                            <w:p>
                              <w:pPr>
                                <w:spacing w:line="249" w:lineRule="auto" w:before="0"/>
                                <w:ind w:left="2858" w:right="1315" w:firstLine="0"/>
                                <w:jc w:val="left"/>
                                <w:rPr>
                                  <w:rFonts w:ascii="Arial MT"/>
                                  <w:sz w:val="16"/>
                                </w:rPr>
                              </w:pPr>
                              <w:r>
                                <w:rPr>
                                  <w:rFonts w:ascii="Arial MT"/>
                                  <w:spacing w:val="-4"/>
                                  <w:sz w:val="16"/>
                                </w:rPr>
                                <w:t>Euro </w:t>
                              </w:r>
                              <w:r>
                                <w:rPr>
                                  <w:rFonts w:ascii="Arial MT"/>
                                  <w:spacing w:val="-5"/>
                                  <w:sz w:val="16"/>
                                </w:rPr>
                                <w:t>14%</w:t>
                              </w:r>
                            </w:p>
                            <w:p>
                              <w:pPr>
                                <w:spacing w:line="240" w:lineRule="auto" w:before="0"/>
                                <w:rPr>
                                  <w:rFonts w:ascii="Arial MT"/>
                                  <w:sz w:val="16"/>
                                </w:rPr>
                              </w:pPr>
                            </w:p>
                            <w:p>
                              <w:pPr>
                                <w:spacing w:line="240" w:lineRule="auto" w:before="0"/>
                                <w:rPr>
                                  <w:rFonts w:ascii="Arial MT"/>
                                  <w:sz w:val="16"/>
                                </w:rPr>
                              </w:pPr>
                            </w:p>
                            <w:p>
                              <w:pPr>
                                <w:spacing w:line="240" w:lineRule="auto" w:before="95"/>
                                <w:rPr>
                                  <w:rFonts w:ascii="Arial MT"/>
                                  <w:sz w:val="16"/>
                                </w:rPr>
                              </w:pPr>
                            </w:p>
                            <w:p>
                              <w:pPr>
                                <w:spacing w:line="249" w:lineRule="auto" w:before="0"/>
                                <w:ind w:left="3266" w:right="760" w:firstLine="0"/>
                                <w:jc w:val="left"/>
                                <w:rPr>
                                  <w:rFonts w:ascii="Arial MT"/>
                                  <w:sz w:val="16"/>
                                </w:rPr>
                              </w:pPr>
                              <w:r>
                                <w:rPr>
                                  <w:rFonts w:ascii="Arial MT"/>
                                  <w:spacing w:val="-2"/>
                                  <w:sz w:val="16"/>
                                </w:rPr>
                                <w:t>Others </w:t>
                              </w:r>
                              <w:r>
                                <w:rPr>
                                  <w:rFonts w:ascii="Arial MT"/>
                                  <w:spacing w:val="-4"/>
                                  <w:sz w:val="16"/>
                                </w:rPr>
                                <w:t>24%</w:t>
                              </w:r>
                            </w:p>
                            <w:p>
                              <w:pPr>
                                <w:spacing w:line="157" w:lineRule="exact" w:before="0"/>
                                <w:ind w:left="390" w:right="0" w:firstLine="0"/>
                                <w:jc w:val="left"/>
                                <w:rPr>
                                  <w:rFonts w:ascii="Arial MT"/>
                                  <w:sz w:val="16"/>
                                </w:rPr>
                              </w:pPr>
                              <w:r>
                                <w:rPr>
                                  <w:rFonts w:ascii="Arial MT"/>
                                  <w:sz w:val="16"/>
                                </w:rPr>
                                <w:t>US</w:t>
                              </w:r>
                              <w:r>
                                <w:rPr>
                                  <w:rFonts w:ascii="Arial MT"/>
                                  <w:spacing w:val="-1"/>
                                  <w:sz w:val="16"/>
                                </w:rPr>
                                <w:t> </w:t>
                              </w:r>
                              <w:r>
                                <w:rPr>
                                  <w:rFonts w:ascii="Arial MT"/>
                                  <w:spacing w:val="-2"/>
                                  <w:sz w:val="16"/>
                                </w:rPr>
                                <w:t>Dollar</w:t>
                              </w:r>
                            </w:p>
                            <w:p>
                              <w:pPr>
                                <w:spacing w:before="8"/>
                                <w:ind w:left="390" w:right="0" w:firstLine="0"/>
                                <w:jc w:val="left"/>
                                <w:rPr>
                                  <w:rFonts w:ascii="Arial MT"/>
                                  <w:sz w:val="16"/>
                                </w:rPr>
                              </w:pPr>
                              <w:r>
                                <w:rPr>
                                  <w:rFonts w:ascii="Arial MT"/>
                                  <w:spacing w:val="-5"/>
                                  <w:sz w:val="16"/>
                                </w:rPr>
                                <w:t>62%</w:t>
                              </w:r>
                            </w:p>
                          </w:txbxContent>
                        </wps:txbx>
                        <wps:bodyPr wrap="square" lIns="0" tIns="0" rIns="0" bIns="0" rtlCol="0">
                          <a:noAutofit/>
                        </wps:bodyPr>
                      </wps:wsp>
                    </wpg:wgp>
                  </a:graphicData>
                </a:graphic>
              </wp:anchor>
            </w:drawing>
          </mc:Choice>
          <mc:Fallback>
            <w:pict>
              <v:group style="position:absolute;margin-left:72pt;margin-top:8.366874pt;width:228.75pt;height:150pt;mso-position-horizontal-relative:page;mso-position-vertical-relative:paragraph;z-index:-15670784;mso-wrap-distance-left:0;mso-wrap-distance-right:0" id="docshapegroup316" coordorigin="1440,167" coordsize="4575,3000">
                <v:shape style="position:absolute;left:2800;top:943;width:1470;height:1868" id="docshape317" coordorigin="2801,943" coordsize="1470,1868" path="m3713,943l3637,948,3562,959,3489,976,3418,999,3348,1027,3282,1061,3218,1099,3158,1143,3101,1192,3047,1245,2999,1303,2954,1365,2915,1431,2880,1501,2852,1573,2830,1647,2814,1722,2804,1797,2801,1872,2803,1947,2812,2021,2826,2094,2847,2166,2872,2236,2904,2304,2941,2369,2983,2432,3031,2491,3084,2547,3142,2599,3204,2646,3270,2687,3337,2723,3407,2752,3478,2776,3551,2793,3625,2805,3699,2811,3774,2811,3848,2805,3922,2793,3995,2775,4067,2751,4137,2721,4205,2685,4271,2643,4003,2260,3936,2299,3865,2326,3792,2341,3717,2344,3643,2335,3571,2315,3502,2282,3439,2238,3383,2184,3338,2123,3304,2057,3281,1986,3269,1912,3270,1837,3282,1762,3308,1689,3345,1621,3391,1561,3446,1510,3508,1469,3576,1438,3649,1418,3724,1410,3801,1415,3868,953,3790,945,3713,943xe" filled="true" fillcolor="#d9d9d9" stroked="false">
                  <v:path arrowok="t"/>
                  <v:fill type="solid"/>
                </v:shape>
                <v:shape style="position:absolute;left:3801;top:952;width:730;height:681" id="docshape318" coordorigin="3802,953" coordsize="730,681" path="m3869,953l3802,1415,3882,1434,3957,1466,4025,1511,4084,1567,4133,1634,4532,1390,4490,1327,4443,1268,4393,1214,4338,1164,4279,1118,4218,1078,4153,1042,4085,1011,4015,986,3943,967,3869,953xe" filled="true" fillcolor="#959595" stroked="false">
                  <v:path arrowok="t"/>
                  <v:fill type="solid"/>
                </v:shape>
                <v:shape style="position:absolute;left:3801;top:952;width:730;height:681" id="docshape319" coordorigin="3802,953" coordsize="730,681" path="m3869,953l3943,967,4015,986,4085,1011,4153,1042,4218,1078,4279,1118,4338,1164,4393,1214,4443,1268,4490,1327,4532,1390,4133,1634,4084,1567,4025,1511,3957,1466,3882,1434,3802,1415,3869,953xe" filled="false" stroked="true" strokeweight=".75pt" strokecolor="#ffffff">
                  <v:path arrowok="t"/>
                  <v:stroke dashstyle="solid"/>
                </v:shape>
                <v:shape style="position:absolute;left:4003;top:1390;width:666;height:1252" id="docshape320" coordorigin="4003,1391" coordsize="666,1252" path="m4532,1391l4134,1634,4167,1699,4189,1766,4200,1835,4201,1904,4192,1973,4173,2039,4145,2102,4107,2160,4059,2213,4003,2260,4272,2642,4333,2595,4389,2544,4441,2490,4487,2432,4528,2371,4565,2307,4596,2241,4621,2173,4641,2103,4656,2032,4665,1960,4669,1888,4667,1815,4659,1742,4646,1669,4626,1598,4601,1527,4570,1458,4532,1391xe" filled="true" fillcolor="#585858" stroked="false">
                  <v:path arrowok="t"/>
                  <v:fill type="solid"/>
                </v:shape>
                <v:shape style="position:absolute;left:4003;top:1390;width:666;height:1252" id="docshape321" coordorigin="4003,1391" coordsize="666,1252" path="m4532,1391l4570,1458,4601,1527,4626,1598,4646,1669,4659,1742,4667,1815,4669,1888,4665,1960,4656,2032,4641,2103,4621,2173,4596,2241,4565,2307,4528,2371,4487,2432,4441,2490,4389,2544,4333,2595,4272,2642,4003,2260,4059,2213,4107,2160,4145,2102,4173,2039,4192,1973,4201,1904,4200,1835,4189,1766,4167,1699,4134,1634,4532,1391xe" filled="false" stroked="true" strokeweight=".75pt" strokecolor="#ffffff">
                  <v:path arrowok="t"/>
                  <v:stroke dashstyle="solid"/>
                </v:shape>
                <v:shape style="position:absolute;left:1455;top:182;width:4545;height:2970" type="#_x0000_t202" id="docshape322" filled="false" stroked="true" strokeweight="1.5pt" strokecolor="#000000">
                  <v:textbox inset="0,0,0,0">
                    <w:txbxContent>
                      <w:p>
                        <w:pPr>
                          <w:spacing w:before="11"/>
                          <w:ind w:left="979" w:right="0" w:firstLine="0"/>
                          <w:jc w:val="left"/>
                          <w:rPr>
                            <w:rFonts w:ascii="Arial"/>
                            <w:b/>
                            <w:sz w:val="16"/>
                          </w:rPr>
                        </w:pPr>
                        <w:r>
                          <w:rPr>
                            <w:rFonts w:ascii="Arial"/>
                            <w:b/>
                            <w:sz w:val="16"/>
                          </w:rPr>
                          <w:t>Borrowings</w:t>
                        </w:r>
                        <w:r>
                          <w:rPr>
                            <w:rFonts w:ascii="Arial"/>
                            <w:b/>
                            <w:spacing w:val="-3"/>
                            <w:sz w:val="16"/>
                          </w:rPr>
                          <w:t> </w:t>
                        </w:r>
                        <w:r>
                          <w:rPr>
                            <w:rFonts w:ascii="Arial"/>
                            <w:b/>
                            <w:sz w:val="16"/>
                          </w:rPr>
                          <w:t>excluding</w:t>
                        </w:r>
                        <w:r>
                          <w:rPr>
                            <w:rFonts w:ascii="Arial"/>
                            <w:b/>
                            <w:spacing w:val="-3"/>
                            <w:sz w:val="16"/>
                          </w:rPr>
                          <w:t> </w:t>
                        </w:r>
                        <w:r>
                          <w:rPr>
                            <w:rFonts w:ascii="Arial"/>
                            <w:b/>
                            <w:spacing w:val="-2"/>
                            <w:sz w:val="16"/>
                          </w:rPr>
                          <w:t>derivatives</w:t>
                        </w:r>
                      </w:p>
                      <w:p>
                        <w:pPr>
                          <w:spacing w:line="240" w:lineRule="auto" w:before="0"/>
                          <w:rPr>
                            <w:rFonts w:ascii="Arial"/>
                            <w:b/>
                            <w:sz w:val="16"/>
                          </w:rPr>
                        </w:pPr>
                      </w:p>
                      <w:p>
                        <w:pPr>
                          <w:spacing w:line="240" w:lineRule="auto" w:before="23"/>
                          <w:rPr>
                            <w:rFonts w:ascii="Arial"/>
                            <w:b/>
                            <w:sz w:val="16"/>
                          </w:rPr>
                        </w:pPr>
                      </w:p>
                      <w:p>
                        <w:pPr>
                          <w:spacing w:line="249" w:lineRule="auto" w:before="0"/>
                          <w:ind w:left="2858" w:right="1315" w:firstLine="0"/>
                          <w:jc w:val="left"/>
                          <w:rPr>
                            <w:rFonts w:ascii="Arial MT"/>
                            <w:sz w:val="16"/>
                          </w:rPr>
                        </w:pPr>
                        <w:r>
                          <w:rPr>
                            <w:rFonts w:ascii="Arial MT"/>
                            <w:spacing w:val="-4"/>
                            <w:sz w:val="16"/>
                          </w:rPr>
                          <w:t>Euro </w:t>
                        </w:r>
                        <w:r>
                          <w:rPr>
                            <w:rFonts w:ascii="Arial MT"/>
                            <w:spacing w:val="-5"/>
                            <w:sz w:val="16"/>
                          </w:rPr>
                          <w:t>14%</w:t>
                        </w:r>
                      </w:p>
                      <w:p>
                        <w:pPr>
                          <w:spacing w:line="240" w:lineRule="auto" w:before="0"/>
                          <w:rPr>
                            <w:rFonts w:ascii="Arial MT"/>
                            <w:sz w:val="16"/>
                          </w:rPr>
                        </w:pPr>
                      </w:p>
                      <w:p>
                        <w:pPr>
                          <w:spacing w:line="240" w:lineRule="auto" w:before="0"/>
                          <w:rPr>
                            <w:rFonts w:ascii="Arial MT"/>
                            <w:sz w:val="16"/>
                          </w:rPr>
                        </w:pPr>
                      </w:p>
                      <w:p>
                        <w:pPr>
                          <w:spacing w:line="240" w:lineRule="auto" w:before="95"/>
                          <w:rPr>
                            <w:rFonts w:ascii="Arial MT"/>
                            <w:sz w:val="16"/>
                          </w:rPr>
                        </w:pPr>
                      </w:p>
                      <w:p>
                        <w:pPr>
                          <w:spacing w:line="249" w:lineRule="auto" w:before="0"/>
                          <w:ind w:left="3266" w:right="760" w:firstLine="0"/>
                          <w:jc w:val="left"/>
                          <w:rPr>
                            <w:rFonts w:ascii="Arial MT"/>
                            <w:sz w:val="16"/>
                          </w:rPr>
                        </w:pPr>
                        <w:r>
                          <w:rPr>
                            <w:rFonts w:ascii="Arial MT"/>
                            <w:spacing w:val="-2"/>
                            <w:sz w:val="16"/>
                          </w:rPr>
                          <w:t>Others </w:t>
                        </w:r>
                        <w:r>
                          <w:rPr>
                            <w:rFonts w:ascii="Arial MT"/>
                            <w:spacing w:val="-4"/>
                            <w:sz w:val="16"/>
                          </w:rPr>
                          <w:t>24%</w:t>
                        </w:r>
                      </w:p>
                      <w:p>
                        <w:pPr>
                          <w:spacing w:line="157" w:lineRule="exact" w:before="0"/>
                          <w:ind w:left="390" w:right="0" w:firstLine="0"/>
                          <w:jc w:val="left"/>
                          <w:rPr>
                            <w:rFonts w:ascii="Arial MT"/>
                            <w:sz w:val="16"/>
                          </w:rPr>
                        </w:pPr>
                        <w:r>
                          <w:rPr>
                            <w:rFonts w:ascii="Arial MT"/>
                            <w:sz w:val="16"/>
                          </w:rPr>
                          <w:t>US</w:t>
                        </w:r>
                        <w:r>
                          <w:rPr>
                            <w:rFonts w:ascii="Arial MT"/>
                            <w:spacing w:val="-1"/>
                            <w:sz w:val="16"/>
                          </w:rPr>
                          <w:t> </w:t>
                        </w:r>
                        <w:r>
                          <w:rPr>
                            <w:rFonts w:ascii="Arial MT"/>
                            <w:spacing w:val="-2"/>
                            <w:sz w:val="16"/>
                          </w:rPr>
                          <w:t>Dollar</w:t>
                        </w:r>
                      </w:p>
                      <w:p>
                        <w:pPr>
                          <w:spacing w:before="8"/>
                          <w:ind w:left="390" w:right="0" w:firstLine="0"/>
                          <w:jc w:val="left"/>
                          <w:rPr>
                            <w:rFonts w:ascii="Arial MT"/>
                            <w:sz w:val="16"/>
                          </w:rPr>
                        </w:pPr>
                        <w:r>
                          <w:rPr>
                            <w:rFonts w:ascii="Arial MT"/>
                            <w:spacing w:val="-5"/>
                            <w:sz w:val="16"/>
                          </w:rPr>
                          <w:t>62%</w:t>
                        </w:r>
                      </w:p>
                    </w:txbxContent>
                  </v:textbox>
                  <v:stroke dashstyle="solid"/>
                  <w10:wrap type="none"/>
                </v:shape>
                <w10:wrap type="topAndBottom"/>
              </v:group>
            </w:pict>
          </mc:Fallback>
        </mc:AlternateContent>
      </w:r>
      <w:r>
        <w:rPr>
          <w:rFonts w:ascii="Arial"/>
          <w:b/>
          <w:sz w:val="12"/>
        </w:rPr>
        <mc:AlternateContent>
          <mc:Choice Requires="wps">
            <w:drawing>
              <wp:anchor distT="0" distB="0" distL="0" distR="0" allowOverlap="1" layoutInCell="1" locked="0" behindDoc="1" simplePos="0" relativeHeight="487646208">
                <wp:simplePos x="0" y="0"/>
                <wp:positionH relativeFrom="page">
                  <wp:posOffset>3883025</wp:posOffset>
                </wp:positionH>
                <wp:positionV relativeFrom="paragraph">
                  <wp:posOffset>106259</wp:posOffset>
                </wp:positionV>
                <wp:extent cx="2905125" cy="1905000"/>
                <wp:effectExtent l="0" t="0" r="0" b="0"/>
                <wp:wrapTopAndBottom/>
                <wp:docPr id="393" name="Group 393"/>
                <wp:cNvGraphicFramePr>
                  <a:graphicFrameLocks/>
                </wp:cNvGraphicFramePr>
                <a:graphic>
                  <a:graphicData uri="http://schemas.microsoft.com/office/word/2010/wordprocessingGroup">
                    <wpg:wgp>
                      <wpg:cNvPr id="393" name="Group 393"/>
                      <wpg:cNvGrpSpPr/>
                      <wpg:grpSpPr>
                        <a:xfrm>
                          <a:off x="0" y="0"/>
                          <a:ext cx="2905125" cy="1905000"/>
                          <a:chExt cx="2905125" cy="1905000"/>
                        </a:xfrm>
                      </wpg:grpSpPr>
                      <wps:wsp>
                        <wps:cNvPr id="394" name="Graphic 394"/>
                        <wps:cNvSpPr/>
                        <wps:spPr>
                          <a:xfrm>
                            <a:off x="864140" y="492902"/>
                            <a:ext cx="1186180" cy="1186180"/>
                          </a:xfrm>
                          <a:custGeom>
                            <a:avLst/>
                            <a:gdLst/>
                            <a:ahLst/>
                            <a:cxnLst/>
                            <a:rect l="l" t="t" r="r" b="b"/>
                            <a:pathLst>
                              <a:path w="1186180" h="1186180">
                                <a:moveTo>
                                  <a:pt x="576339" y="0"/>
                                </a:moveTo>
                                <a:lnTo>
                                  <a:pt x="527880" y="3336"/>
                                </a:lnTo>
                                <a:lnTo>
                                  <a:pt x="480372" y="10537"/>
                                </a:lnTo>
                                <a:lnTo>
                                  <a:pt x="434003" y="21465"/>
                                </a:lnTo>
                                <a:lnTo>
                                  <a:pt x="388958" y="35985"/>
                                </a:lnTo>
                                <a:lnTo>
                                  <a:pt x="345425" y="53962"/>
                                </a:lnTo>
                                <a:lnTo>
                                  <a:pt x="303591" y="75259"/>
                                </a:lnTo>
                                <a:lnTo>
                                  <a:pt x="263642" y="99740"/>
                                </a:lnTo>
                                <a:lnTo>
                                  <a:pt x="225767" y="127269"/>
                                </a:lnTo>
                                <a:lnTo>
                                  <a:pt x="190151" y="157711"/>
                                </a:lnTo>
                                <a:lnTo>
                                  <a:pt x="156983" y="190930"/>
                                </a:lnTo>
                                <a:lnTo>
                                  <a:pt x="126447" y="226789"/>
                                </a:lnTo>
                                <a:lnTo>
                                  <a:pt x="98733" y="265153"/>
                                </a:lnTo>
                                <a:lnTo>
                                  <a:pt x="74026" y="305886"/>
                                </a:lnTo>
                                <a:lnTo>
                                  <a:pt x="52514" y="348852"/>
                                </a:lnTo>
                                <a:lnTo>
                                  <a:pt x="34384" y="393914"/>
                                </a:lnTo>
                                <a:lnTo>
                                  <a:pt x="19822" y="440939"/>
                                </a:lnTo>
                                <a:lnTo>
                                  <a:pt x="9175" y="489000"/>
                                </a:lnTo>
                                <a:lnTo>
                                  <a:pt x="2599" y="537127"/>
                                </a:lnTo>
                                <a:lnTo>
                                  <a:pt x="0" y="585106"/>
                                </a:lnTo>
                                <a:lnTo>
                                  <a:pt x="1281" y="632729"/>
                                </a:lnTo>
                                <a:lnTo>
                                  <a:pt x="6349" y="679784"/>
                                </a:lnTo>
                                <a:lnTo>
                                  <a:pt x="15109" y="726061"/>
                                </a:lnTo>
                                <a:lnTo>
                                  <a:pt x="27464" y="771349"/>
                                </a:lnTo>
                                <a:lnTo>
                                  <a:pt x="43320" y="815437"/>
                                </a:lnTo>
                                <a:lnTo>
                                  <a:pt x="62583" y="858115"/>
                                </a:lnTo>
                                <a:lnTo>
                                  <a:pt x="85156" y="899171"/>
                                </a:lnTo>
                                <a:lnTo>
                                  <a:pt x="110944" y="938396"/>
                                </a:lnTo>
                                <a:lnTo>
                                  <a:pt x="139854" y="975579"/>
                                </a:lnTo>
                                <a:lnTo>
                                  <a:pt x="171788" y="1010508"/>
                                </a:lnTo>
                                <a:lnTo>
                                  <a:pt x="206654" y="1042973"/>
                                </a:lnTo>
                                <a:lnTo>
                                  <a:pt x="244354" y="1072764"/>
                                </a:lnTo>
                                <a:lnTo>
                                  <a:pt x="284795" y="1099670"/>
                                </a:lnTo>
                                <a:lnTo>
                                  <a:pt x="327881" y="1123480"/>
                                </a:lnTo>
                                <a:lnTo>
                                  <a:pt x="372778" y="1143668"/>
                                </a:lnTo>
                                <a:lnTo>
                                  <a:pt x="418565" y="1159882"/>
                                </a:lnTo>
                                <a:lnTo>
                                  <a:pt x="465017" y="1172173"/>
                                </a:lnTo>
                                <a:lnTo>
                                  <a:pt x="511908" y="1180591"/>
                                </a:lnTo>
                                <a:lnTo>
                                  <a:pt x="559011" y="1185187"/>
                                </a:lnTo>
                                <a:lnTo>
                                  <a:pt x="606103" y="1186010"/>
                                </a:lnTo>
                                <a:lnTo>
                                  <a:pt x="652956" y="1183111"/>
                                </a:lnTo>
                                <a:lnTo>
                                  <a:pt x="699346" y="1176541"/>
                                </a:lnTo>
                                <a:lnTo>
                                  <a:pt x="745046" y="1166349"/>
                                </a:lnTo>
                                <a:lnTo>
                                  <a:pt x="789832" y="1152586"/>
                                </a:lnTo>
                                <a:lnTo>
                                  <a:pt x="833478" y="1135303"/>
                                </a:lnTo>
                                <a:lnTo>
                                  <a:pt x="875757" y="1114549"/>
                                </a:lnTo>
                                <a:lnTo>
                                  <a:pt x="916445" y="1090375"/>
                                </a:lnTo>
                                <a:lnTo>
                                  <a:pt x="955315" y="1062831"/>
                                </a:lnTo>
                                <a:lnTo>
                                  <a:pt x="992143" y="1031967"/>
                                </a:lnTo>
                                <a:lnTo>
                                  <a:pt x="1026702" y="997834"/>
                                </a:lnTo>
                                <a:lnTo>
                                  <a:pt x="1058767" y="960483"/>
                                </a:lnTo>
                                <a:lnTo>
                                  <a:pt x="1087654" y="920622"/>
                                </a:lnTo>
                                <a:lnTo>
                                  <a:pt x="1112831" y="879083"/>
                                </a:lnTo>
                                <a:lnTo>
                                  <a:pt x="1134301" y="836096"/>
                                </a:lnTo>
                                <a:lnTo>
                                  <a:pt x="1152068" y="791893"/>
                                </a:lnTo>
                                <a:lnTo>
                                  <a:pt x="1166136" y="746705"/>
                                </a:lnTo>
                                <a:lnTo>
                                  <a:pt x="1176507" y="700763"/>
                                </a:lnTo>
                                <a:lnTo>
                                  <a:pt x="1183186" y="654297"/>
                                </a:lnTo>
                                <a:lnTo>
                                  <a:pt x="1186175" y="607540"/>
                                </a:lnTo>
                                <a:lnTo>
                                  <a:pt x="1185479" y="560722"/>
                                </a:lnTo>
                                <a:lnTo>
                                  <a:pt x="1181100" y="514074"/>
                                </a:lnTo>
                                <a:lnTo>
                                  <a:pt x="1173042" y="467828"/>
                                </a:lnTo>
                                <a:lnTo>
                                  <a:pt x="1161309" y="422215"/>
                                </a:lnTo>
                                <a:lnTo>
                                  <a:pt x="1145903" y="377465"/>
                                </a:lnTo>
                                <a:lnTo>
                                  <a:pt x="1126829" y="333810"/>
                                </a:lnTo>
                                <a:lnTo>
                                  <a:pt x="1104089" y="291481"/>
                                </a:lnTo>
                                <a:lnTo>
                                  <a:pt x="1077688" y="250709"/>
                                </a:lnTo>
                                <a:lnTo>
                                  <a:pt x="1047628" y="211725"/>
                                </a:lnTo>
                                <a:lnTo>
                                  <a:pt x="820406" y="402337"/>
                                </a:lnTo>
                                <a:lnTo>
                                  <a:pt x="847260" y="439909"/>
                                </a:lnTo>
                                <a:lnTo>
                                  <a:pt x="867583" y="480304"/>
                                </a:lnTo>
                                <a:lnTo>
                                  <a:pt x="881362" y="522745"/>
                                </a:lnTo>
                                <a:lnTo>
                                  <a:pt x="888586" y="566451"/>
                                </a:lnTo>
                                <a:lnTo>
                                  <a:pt x="889243" y="610645"/>
                                </a:lnTo>
                                <a:lnTo>
                                  <a:pt x="883322" y="654547"/>
                                </a:lnTo>
                                <a:lnTo>
                                  <a:pt x="870812" y="697379"/>
                                </a:lnTo>
                                <a:lnTo>
                                  <a:pt x="851700" y="738361"/>
                                </a:lnTo>
                                <a:lnTo>
                                  <a:pt x="825975" y="776715"/>
                                </a:lnTo>
                                <a:lnTo>
                                  <a:pt x="794641" y="810641"/>
                                </a:lnTo>
                                <a:lnTo>
                                  <a:pt x="759216" y="838745"/>
                                </a:lnTo>
                                <a:lnTo>
                                  <a:pt x="720459" y="860858"/>
                                </a:lnTo>
                                <a:lnTo>
                                  <a:pt x="679131" y="876809"/>
                                </a:lnTo>
                                <a:lnTo>
                                  <a:pt x="635992" y="886429"/>
                                </a:lnTo>
                                <a:lnTo>
                                  <a:pt x="591803" y="889550"/>
                                </a:lnTo>
                                <a:lnTo>
                                  <a:pt x="547323" y="886000"/>
                                </a:lnTo>
                                <a:lnTo>
                                  <a:pt x="503313" y="875611"/>
                                </a:lnTo>
                                <a:lnTo>
                                  <a:pt x="460533" y="858214"/>
                                </a:lnTo>
                                <a:lnTo>
                                  <a:pt x="420949" y="834424"/>
                                </a:lnTo>
                                <a:lnTo>
                                  <a:pt x="386235" y="805445"/>
                                </a:lnTo>
                                <a:lnTo>
                                  <a:pt x="356711" y="771988"/>
                                </a:lnTo>
                                <a:lnTo>
                                  <a:pt x="332698" y="734761"/>
                                </a:lnTo>
                                <a:lnTo>
                                  <a:pt x="314516" y="694476"/>
                                </a:lnTo>
                                <a:lnTo>
                                  <a:pt x="302485" y="651841"/>
                                </a:lnTo>
                                <a:lnTo>
                                  <a:pt x="296925" y="607568"/>
                                </a:lnTo>
                                <a:lnTo>
                                  <a:pt x="298158" y="562365"/>
                                </a:lnTo>
                                <a:lnTo>
                                  <a:pt x="306503" y="516943"/>
                                </a:lnTo>
                                <a:lnTo>
                                  <a:pt x="321757" y="473352"/>
                                </a:lnTo>
                                <a:lnTo>
                                  <a:pt x="343080" y="433476"/>
                                </a:lnTo>
                                <a:lnTo>
                                  <a:pt x="369843" y="397772"/>
                                </a:lnTo>
                                <a:lnTo>
                                  <a:pt x="401416" y="366697"/>
                                </a:lnTo>
                                <a:lnTo>
                                  <a:pt x="437169" y="340711"/>
                                </a:lnTo>
                                <a:lnTo>
                                  <a:pt x="476470" y="320271"/>
                                </a:lnTo>
                                <a:lnTo>
                                  <a:pt x="518692" y="305834"/>
                                </a:lnTo>
                                <a:lnTo>
                                  <a:pt x="563203" y="297860"/>
                                </a:lnTo>
                                <a:lnTo>
                                  <a:pt x="609373" y="296805"/>
                                </a:lnTo>
                                <a:lnTo>
                                  <a:pt x="625561" y="663"/>
                                </a:lnTo>
                                <a:lnTo>
                                  <a:pt x="576339" y="0"/>
                                </a:lnTo>
                                <a:close/>
                              </a:path>
                            </a:pathLst>
                          </a:custGeom>
                          <a:solidFill>
                            <a:srgbClr val="D9D9D9"/>
                          </a:solidFill>
                        </wps:spPr>
                        <wps:bodyPr wrap="square" lIns="0" tIns="0" rIns="0" bIns="0" rtlCol="0">
                          <a:prstTxWarp prst="textNoShape">
                            <a:avLst/>
                          </a:prstTxWarp>
                          <a:noAutofit/>
                        </wps:bodyPr>
                      </wps:wsp>
                      <wps:wsp>
                        <wps:cNvPr id="395" name="Graphic 395"/>
                        <wps:cNvSpPr/>
                        <wps:spPr>
                          <a:xfrm>
                            <a:off x="1473809" y="493598"/>
                            <a:ext cx="437515" cy="401955"/>
                          </a:xfrm>
                          <a:custGeom>
                            <a:avLst/>
                            <a:gdLst/>
                            <a:ahLst/>
                            <a:cxnLst/>
                            <a:rect l="l" t="t" r="r" b="b"/>
                            <a:pathLst>
                              <a:path w="437515" h="401955">
                                <a:moveTo>
                                  <a:pt x="16484" y="0"/>
                                </a:moveTo>
                                <a:lnTo>
                                  <a:pt x="0" y="296125"/>
                                </a:lnTo>
                                <a:lnTo>
                                  <a:pt x="48204" y="302806"/>
                                </a:lnTo>
                                <a:lnTo>
                                  <a:pt x="94223" y="317103"/>
                                </a:lnTo>
                                <a:lnTo>
                                  <a:pt x="137190" y="338585"/>
                                </a:lnTo>
                                <a:lnTo>
                                  <a:pt x="176241" y="366818"/>
                                </a:lnTo>
                                <a:lnTo>
                                  <a:pt x="210511" y="401372"/>
                                </a:lnTo>
                                <a:lnTo>
                                  <a:pt x="437507" y="210491"/>
                                </a:lnTo>
                                <a:lnTo>
                                  <a:pt x="404540" y="174412"/>
                                </a:lnTo>
                                <a:lnTo>
                                  <a:pt x="368967" y="141385"/>
                                </a:lnTo>
                                <a:lnTo>
                                  <a:pt x="331003" y="111518"/>
                                </a:lnTo>
                                <a:lnTo>
                                  <a:pt x="290865" y="84918"/>
                                </a:lnTo>
                                <a:lnTo>
                                  <a:pt x="248769" y="61695"/>
                                </a:lnTo>
                                <a:lnTo>
                                  <a:pt x="204931" y="41955"/>
                                </a:lnTo>
                                <a:lnTo>
                                  <a:pt x="159567" y="25808"/>
                                </a:lnTo>
                                <a:lnTo>
                                  <a:pt x="112894" y="13361"/>
                                </a:lnTo>
                                <a:lnTo>
                                  <a:pt x="65127" y="4722"/>
                                </a:lnTo>
                                <a:lnTo>
                                  <a:pt x="16484" y="0"/>
                                </a:lnTo>
                                <a:close/>
                              </a:path>
                            </a:pathLst>
                          </a:custGeom>
                          <a:solidFill>
                            <a:srgbClr val="585858"/>
                          </a:solidFill>
                        </wps:spPr>
                        <wps:bodyPr wrap="square" lIns="0" tIns="0" rIns="0" bIns="0" rtlCol="0">
                          <a:prstTxWarp prst="textNoShape">
                            <a:avLst/>
                          </a:prstTxWarp>
                          <a:noAutofit/>
                        </wps:bodyPr>
                      </wps:wsp>
                      <wps:wsp>
                        <wps:cNvPr id="396" name="Graphic 396"/>
                        <wps:cNvSpPr/>
                        <wps:spPr>
                          <a:xfrm>
                            <a:off x="1473809" y="493598"/>
                            <a:ext cx="437515" cy="401955"/>
                          </a:xfrm>
                          <a:custGeom>
                            <a:avLst/>
                            <a:gdLst/>
                            <a:ahLst/>
                            <a:cxnLst/>
                            <a:rect l="l" t="t" r="r" b="b"/>
                            <a:pathLst>
                              <a:path w="437515" h="401955">
                                <a:moveTo>
                                  <a:pt x="16484" y="0"/>
                                </a:moveTo>
                                <a:lnTo>
                                  <a:pt x="65127" y="4722"/>
                                </a:lnTo>
                                <a:lnTo>
                                  <a:pt x="112894" y="13361"/>
                                </a:lnTo>
                                <a:lnTo>
                                  <a:pt x="159567" y="25808"/>
                                </a:lnTo>
                                <a:lnTo>
                                  <a:pt x="204931" y="41955"/>
                                </a:lnTo>
                                <a:lnTo>
                                  <a:pt x="248769" y="61695"/>
                                </a:lnTo>
                                <a:lnTo>
                                  <a:pt x="290865" y="84918"/>
                                </a:lnTo>
                                <a:lnTo>
                                  <a:pt x="331003" y="111518"/>
                                </a:lnTo>
                                <a:lnTo>
                                  <a:pt x="368967" y="141385"/>
                                </a:lnTo>
                                <a:lnTo>
                                  <a:pt x="404540" y="174412"/>
                                </a:lnTo>
                                <a:lnTo>
                                  <a:pt x="437507" y="210491"/>
                                </a:lnTo>
                                <a:lnTo>
                                  <a:pt x="210511" y="401372"/>
                                </a:lnTo>
                                <a:lnTo>
                                  <a:pt x="176241" y="366818"/>
                                </a:lnTo>
                                <a:lnTo>
                                  <a:pt x="137190" y="338585"/>
                                </a:lnTo>
                                <a:lnTo>
                                  <a:pt x="94223" y="317103"/>
                                </a:lnTo>
                                <a:lnTo>
                                  <a:pt x="48204" y="302806"/>
                                </a:lnTo>
                                <a:lnTo>
                                  <a:pt x="0" y="296125"/>
                                </a:lnTo>
                                <a:lnTo>
                                  <a:pt x="16484" y="0"/>
                                </a:lnTo>
                                <a:close/>
                              </a:path>
                            </a:pathLst>
                          </a:custGeom>
                          <a:ln w="9525">
                            <a:solidFill>
                              <a:srgbClr val="FFFFFF"/>
                            </a:solidFill>
                            <a:prstDash val="solid"/>
                          </a:ln>
                        </wps:spPr>
                        <wps:bodyPr wrap="square" lIns="0" tIns="0" rIns="0" bIns="0" rtlCol="0">
                          <a:prstTxWarp prst="textNoShape">
                            <a:avLst/>
                          </a:prstTxWarp>
                          <a:noAutofit/>
                        </wps:bodyPr>
                      </wps:wsp>
                      <wps:wsp>
                        <wps:cNvPr id="397" name="Graphic 397"/>
                        <wps:cNvSpPr/>
                        <wps:spPr>
                          <a:xfrm>
                            <a:off x="1910604" y="643900"/>
                            <a:ext cx="340360" cy="53340"/>
                          </a:xfrm>
                          <a:custGeom>
                            <a:avLst/>
                            <a:gdLst/>
                            <a:ahLst/>
                            <a:cxnLst/>
                            <a:rect l="l" t="t" r="r" b="b"/>
                            <a:pathLst>
                              <a:path w="340360" h="53340">
                                <a:moveTo>
                                  <a:pt x="340291" y="0"/>
                                </a:moveTo>
                                <a:lnTo>
                                  <a:pt x="264091" y="0"/>
                                </a:lnTo>
                                <a:lnTo>
                                  <a:pt x="0" y="52844"/>
                                </a:lnTo>
                              </a:path>
                            </a:pathLst>
                          </a:custGeom>
                          <a:ln w="9524">
                            <a:solidFill>
                              <a:srgbClr val="585858"/>
                            </a:solidFill>
                            <a:prstDash val="solid"/>
                          </a:ln>
                        </wps:spPr>
                        <wps:bodyPr wrap="square" lIns="0" tIns="0" rIns="0" bIns="0" rtlCol="0">
                          <a:prstTxWarp prst="textNoShape">
                            <a:avLst/>
                          </a:prstTxWarp>
                          <a:noAutofit/>
                        </wps:bodyPr>
                      </wps:wsp>
                      <wps:wsp>
                        <wps:cNvPr id="398" name="Textbox 398"/>
                        <wps:cNvSpPr txBox="1"/>
                        <wps:spPr>
                          <a:xfrm>
                            <a:off x="9525" y="9525"/>
                            <a:ext cx="2886075" cy="1885950"/>
                          </a:xfrm>
                          <a:prstGeom prst="rect">
                            <a:avLst/>
                          </a:prstGeom>
                          <a:ln w="19050">
                            <a:solidFill>
                              <a:srgbClr val="000000"/>
                            </a:solidFill>
                            <a:prstDash val="solid"/>
                          </a:ln>
                        </wps:spPr>
                        <wps:txbx>
                          <w:txbxContent>
                            <w:p>
                              <w:pPr>
                                <w:spacing w:before="11"/>
                                <w:ind w:left="996" w:right="0" w:firstLine="0"/>
                                <w:jc w:val="left"/>
                                <w:rPr>
                                  <w:rFonts w:ascii="Arial"/>
                                  <w:b/>
                                  <w:sz w:val="16"/>
                                </w:rPr>
                              </w:pPr>
                              <w:r>
                                <w:rPr>
                                  <w:rFonts w:ascii="Arial"/>
                                  <w:b/>
                                  <w:sz w:val="16"/>
                                </w:rPr>
                                <w:t>Borrowings</w:t>
                              </w:r>
                              <w:r>
                                <w:rPr>
                                  <w:rFonts w:ascii="Arial"/>
                                  <w:b/>
                                  <w:spacing w:val="-2"/>
                                  <w:sz w:val="16"/>
                                </w:rPr>
                                <w:t> </w:t>
                              </w:r>
                              <w:r>
                                <w:rPr>
                                  <w:rFonts w:ascii="Arial"/>
                                  <w:b/>
                                  <w:sz w:val="16"/>
                                </w:rPr>
                                <w:t>Including</w:t>
                              </w:r>
                              <w:r>
                                <w:rPr>
                                  <w:rFonts w:ascii="Arial"/>
                                  <w:b/>
                                  <w:spacing w:val="-2"/>
                                  <w:sz w:val="16"/>
                                </w:rPr>
                                <w:t> derivatives</w:t>
                              </w:r>
                            </w:p>
                            <w:p>
                              <w:pPr>
                                <w:spacing w:line="240" w:lineRule="auto" w:before="70"/>
                                <w:rPr>
                                  <w:rFonts w:ascii="Arial"/>
                                  <w:b/>
                                  <w:sz w:val="16"/>
                                </w:rPr>
                              </w:pPr>
                            </w:p>
                            <w:p>
                              <w:pPr>
                                <w:spacing w:line="249" w:lineRule="auto" w:before="0"/>
                                <w:ind w:left="2689" w:right="1484" w:firstLine="0"/>
                                <w:jc w:val="left"/>
                                <w:rPr>
                                  <w:rFonts w:ascii="Arial MT"/>
                                  <w:sz w:val="16"/>
                                </w:rPr>
                              </w:pPr>
                              <w:r>
                                <w:rPr>
                                  <w:rFonts w:ascii="Arial MT"/>
                                  <w:spacing w:val="-4"/>
                                  <w:sz w:val="16"/>
                                </w:rPr>
                                <w:t>Euro </w:t>
                              </w:r>
                              <w:r>
                                <w:rPr>
                                  <w:rFonts w:ascii="Arial MT"/>
                                  <w:spacing w:val="-5"/>
                                  <w:sz w:val="16"/>
                                </w:rPr>
                                <w:t>13%</w:t>
                              </w:r>
                            </w:p>
                            <w:p>
                              <w:pPr>
                                <w:spacing w:line="160" w:lineRule="exact" w:before="0"/>
                                <w:ind w:left="3499" w:right="0" w:firstLine="0"/>
                                <w:jc w:val="left"/>
                                <w:rPr>
                                  <w:rFonts w:ascii="Arial MT"/>
                                  <w:sz w:val="16"/>
                                </w:rPr>
                              </w:pPr>
                              <w:r>
                                <w:rPr>
                                  <w:rFonts w:ascii="Arial MT"/>
                                  <w:spacing w:val="-2"/>
                                  <w:sz w:val="16"/>
                                </w:rPr>
                                <w:t>Others</w:t>
                              </w:r>
                            </w:p>
                            <w:p>
                              <w:pPr>
                                <w:spacing w:before="8"/>
                                <w:ind w:left="3499" w:right="0" w:firstLine="0"/>
                                <w:jc w:val="left"/>
                                <w:rPr>
                                  <w:rFonts w:ascii="Arial MT"/>
                                  <w:sz w:val="16"/>
                                </w:rPr>
                              </w:pPr>
                              <w:r>
                                <w:rPr>
                                  <w:rFonts w:ascii="Arial MT"/>
                                  <w:spacing w:val="-10"/>
                                  <w:sz w:val="16"/>
                                </w:rPr>
                                <w:t>*</w:t>
                              </w:r>
                            </w:p>
                            <w:p>
                              <w:pPr>
                                <w:spacing w:line="240" w:lineRule="auto" w:before="0"/>
                                <w:rPr>
                                  <w:rFonts w:ascii="Arial MT"/>
                                  <w:sz w:val="16"/>
                                </w:rPr>
                              </w:pPr>
                            </w:p>
                            <w:p>
                              <w:pPr>
                                <w:spacing w:line="240" w:lineRule="auto" w:before="0"/>
                                <w:rPr>
                                  <w:rFonts w:ascii="Arial MT"/>
                                  <w:sz w:val="16"/>
                                </w:rPr>
                              </w:pPr>
                            </w:p>
                            <w:p>
                              <w:pPr>
                                <w:spacing w:line="240" w:lineRule="auto" w:before="81"/>
                                <w:rPr>
                                  <w:rFonts w:ascii="Arial MT"/>
                                  <w:sz w:val="16"/>
                                </w:rPr>
                              </w:pPr>
                            </w:p>
                            <w:p>
                              <w:pPr>
                                <w:spacing w:line="249" w:lineRule="auto" w:before="0"/>
                                <w:ind w:left="474" w:right="3348" w:firstLine="0"/>
                                <w:jc w:val="left"/>
                                <w:rPr>
                                  <w:rFonts w:ascii="Arial MT"/>
                                  <w:sz w:val="16"/>
                                </w:rPr>
                              </w:pPr>
                              <w:r>
                                <w:rPr>
                                  <w:rFonts w:ascii="Arial MT"/>
                                  <w:sz w:val="16"/>
                                </w:rPr>
                                <w:t>US</w:t>
                              </w:r>
                              <w:r>
                                <w:rPr>
                                  <w:rFonts w:ascii="Arial MT"/>
                                  <w:spacing w:val="-12"/>
                                  <w:sz w:val="16"/>
                                </w:rPr>
                                <w:t> </w:t>
                              </w:r>
                              <w:r>
                                <w:rPr>
                                  <w:rFonts w:ascii="Arial MT"/>
                                  <w:sz w:val="16"/>
                                </w:rPr>
                                <w:t>Dollar </w:t>
                              </w:r>
                              <w:r>
                                <w:rPr>
                                  <w:rFonts w:ascii="Arial MT"/>
                                  <w:spacing w:val="-4"/>
                                  <w:sz w:val="16"/>
                                </w:rPr>
                                <w:t>87%</w:t>
                              </w:r>
                            </w:p>
                          </w:txbxContent>
                        </wps:txbx>
                        <wps:bodyPr wrap="square" lIns="0" tIns="0" rIns="0" bIns="0" rtlCol="0">
                          <a:noAutofit/>
                        </wps:bodyPr>
                      </wps:wsp>
                    </wpg:wgp>
                  </a:graphicData>
                </a:graphic>
              </wp:anchor>
            </w:drawing>
          </mc:Choice>
          <mc:Fallback>
            <w:pict>
              <v:group style="position:absolute;margin-left:305.75pt;margin-top:8.366874pt;width:228.75pt;height:150pt;mso-position-horizontal-relative:page;mso-position-vertical-relative:paragraph;z-index:-15670272;mso-wrap-distance-left:0;mso-wrap-distance-right:0" id="docshapegroup323" coordorigin="6115,167" coordsize="4575,3000">
                <v:shape style="position:absolute;left:7475;top:943;width:1868;height:1868" id="docshape324" coordorigin="7476,944" coordsize="1868,1868" path="m8383,944l8307,949,8232,960,8159,977,8088,1000,8020,1029,7954,1062,7891,1101,7831,1144,7775,1192,7723,1244,7675,1301,7631,1361,7592,1425,7559,1493,7530,1564,7507,1638,7490,1714,7480,1789,7476,1865,7478,1940,7486,2014,7500,2087,7519,2158,7544,2228,7574,2295,7610,2360,7651,2421,7696,2480,7746,2535,7801,2586,7861,2633,7924,2675,7992,2713,8063,2745,8135,2770,8208,2790,8282,2803,8356,2810,8430,2811,8504,2807,8577,2796,8649,2780,8720,2759,8788,2731,8855,2699,8919,2661,8980,2617,9038,2569,9093,2515,9143,2456,9189,2393,9228,2328,9262,2260,9290,2191,9312,2119,9329,2047,9339,1974,9344,1900,9343,1827,9336,1753,9323,1680,9305,1608,9280,1538,9250,1469,9215,1403,9173,1338,9126,1277,8768,1577,8810,1636,8842,1700,8864,1767,8875,1836,8876,1905,8867,1974,8847,2042,8817,2106,8777,2167,8727,2220,8671,2264,8610,2299,8545,2324,8477,2340,8408,2344,8338,2339,8268,2322,8201,2295,8139,2258,8084,2212,8038,2159,8000,2101,7971,2037,7952,1970,7943,1900,7945,1829,7959,1758,7983,1689,8016,1626,8058,1570,8108,1521,8164,1480,8226,1448,8293,1425,8363,1413,8435,1411,8461,945,8383,944xe" filled="true" fillcolor="#d9d9d9" stroked="false">
                  <v:path arrowok="t"/>
                  <v:fill type="solid"/>
                </v:shape>
                <v:shape style="position:absolute;left:8435;top:944;width:689;height:633" id="docshape325" coordorigin="8436,945" coordsize="689,633" path="m8462,945l8436,1411,8512,1422,8584,1444,8652,1478,8714,1522,8767,1577,9125,1276,9073,1219,9017,1167,8957,1120,8894,1078,8828,1042,8759,1011,8687,985,8614,966,8539,952,8462,945xe" filled="true" fillcolor="#585858" stroked="false">
                  <v:path arrowok="t"/>
                  <v:fill type="solid"/>
                </v:shape>
                <v:shape style="position:absolute;left:8435;top:944;width:689;height:633" id="docshape326" coordorigin="8436,945" coordsize="689,633" path="m8462,945l8539,952,8614,966,8687,985,8759,1011,8828,1042,8894,1078,8957,1120,9017,1167,9073,1219,9125,1276,8767,1577,8714,1522,8652,1478,8584,1444,8512,1422,8436,1411,8462,945xe" filled="false" stroked="true" strokeweight=".75pt" strokecolor="#ffffff">
                  <v:path arrowok="t"/>
                  <v:stroke dashstyle="solid"/>
                </v:shape>
                <v:shape style="position:absolute;left:9123;top:1181;width:536;height:84" id="docshape327" coordorigin="9124,1181" coordsize="536,84" path="m9660,1181l9540,1181,9124,1265e" filled="false" stroked="true" strokeweight=".75pt" strokecolor="#585858">
                  <v:path arrowok="t"/>
                  <v:stroke dashstyle="solid"/>
                </v:shape>
                <v:shape style="position:absolute;left:6130;top:182;width:4545;height:2970" type="#_x0000_t202" id="docshape328" filled="false" stroked="true" strokeweight="1.5pt" strokecolor="#000000">
                  <v:textbox inset="0,0,0,0">
                    <w:txbxContent>
                      <w:p>
                        <w:pPr>
                          <w:spacing w:before="11"/>
                          <w:ind w:left="996" w:right="0" w:firstLine="0"/>
                          <w:jc w:val="left"/>
                          <w:rPr>
                            <w:rFonts w:ascii="Arial"/>
                            <w:b/>
                            <w:sz w:val="16"/>
                          </w:rPr>
                        </w:pPr>
                        <w:r>
                          <w:rPr>
                            <w:rFonts w:ascii="Arial"/>
                            <w:b/>
                            <w:sz w:val="16"/>
                          </w:rPr>
                          <w:t>Borrowings</w:t>
                        </w:r>
                        <w:r>
                          <w:rPr>
                            <w:rFonts w:ascii="Arial"/>
                            <w:b/>
                            <w:spacing w:val="-2"/>
                            <w:sz w:val="16"/>
                          </w:rPr>
                          <w:t> </w:t>
                        </w:r>
                        <w:r>
                          <w:rPr>
                            <w:rFonts w:ascii="Arial"/>
                            <w:b/>
                            <w:sz w:val="16"/>
                          </w:rPr>
                          <w:t>Including</w:t>
                        </w:r>
                        <w:r>
                          <w:rPr>
                            <w:rFonts w:ascii="Arial"/>
                            <w:b/>
                            <w:spacing w:val="-2"/>
                            <w:sz w:val="16"/>
                          </w:rPr>
                          <w:t> derivatives</w:t>
                        </w:r>
                      </w:p>
                      <w:p>
                        <w:pPr>
                          <w:spacing w:line="240" w:lineRule="auto" w:before="70"/>
                          <w:rPr>
                            <w:rFonts w:ascii="Arial"/>
                            <w:b/>
                            <w:sz w:val="16"/>
                          </w:rPr>
                        </w:pPr>
                      </w:p>
                      <w:p>
                        <w:pPr>
                          <w:spacing w:line="249" w:lineRule="auto" w:before="0"/>
                          <w:ind w:left="2689" w:right="1484" w:firstLine="0"/>
                          <w:jc w:val="left"/>
                          <w:rPr>
                            <w:rFonts w:ascii="Arial MT"/>
                            <w:sz w:val="16"/>
                          </w:rPr>
                        </w:pPr>
                        <w:r>
                          <w:rPr>
                            <w:rFonts w:ascii="Arial MT"/>
                            <w:spacing w:val="-4"/>
                            <w:sz w:val="16"/>
                          </w:rPr>
                          <w:t>Euro </w:t>
                        </w:r>
                        <w:r>
                          <w:rPr>
                            <w:rFonts w:ascii="Arial MT"/>
                            <w:spacing w:val="-5"/>
                            <w:sz w:val="16"/>
                          </w:rPr>
                          <w:t>13%</w:t>
                        </w:r>
                      </w:p>
                      <w:p>
                        <w:pPr>
                          <w:spacing w:line="160" w:lineRule="exact" w:before="0"/>
                          <w:ind w:left="3499" w:right="0" w:firstLine="0"/>
                          <w:jc w:val="left"/>
                          <w:rPr>
                            <w:rFonts w:ascii="Arial MT"/>
                            <w:sz w:val="16"/>
                          </w:rPr>
                        </w:pPr>
                        <w:r>
                          <w:rPr>
                            <w:rFonts w:ascii="Arial MT"/>
                            <w:spacing w:val="-2"/>
                            <w:sz w:val="16"/>
                          </w:rPr>
                          <w:t>Others</w:t>
                        </w:r>
                      </w:p>
                      <w:p>
                        <w:pPr>
                          <w:spacing w:before="8"/>
                          <w:ind w:left="3499" w:right="0" w:firstLine="0"/>
                          <w:jc w:val="left"/>
                          <w:rPr>
                            <w:rFonts w:ascii="Arial MT"/>
                            <w:sz w:val="16"/>
                          </w:rPr>
                        </w:pPr>
                        <w:r>
                          <w:rPr>
                            <w:rFonts w:ascii="Arial MT"/>
                            <w:spacing w:val="-10"/>
                            <w:sz w:val="16"/>
                          </w:rPr>
                          <w:t>*</w:t>
                        </w:r>
                      </w:p>
                      <w:p>
                        <w:pPr>
                          <w:spacing w:line="240" w:lineRule="auto" w:before="0"/>
                          <w:rPr>
                            <w:rFonts w:ascii="Arial MT"/>
                            <w:sz w:val="16"/>
                          </w:rPr>
                        </w:pPr>
                      </w:p>
                      <w:p>
                        <w:pPr>
                          <w:spacing w:line="240" w:lineRule="auto" w:before="0"/>
                          <w:rPr>
                            <w:rFonts w:ascii="Arial MT"/>
                            <w:sz w:val="16"/>
                          </w:rPr>
                        </w:pPr>
                      </w:p>
                      <w:p>
                        <w:pPr>
                          <w:spacing w:line="240" w:lineRule="auto" w:before="81"/>
                          <w:rPr>
                            <w:rFonts w:ascii="Arial MT"/>
                            <w:sz w:val="16"/>
                          </w:rPr>
                        </w:pPr>
                      </w:p>
                      <w:p>
                        <w:pPr>
                          <w:spacing w:line="249" w:lineRule="auto" w:before="0"/>
                          <w:ind w:left="474" w:right="3348" w:firstLine="0"/>
                          <w:jc w:val="left"/>
                          <w:rPr>
                            <w:rFonts w:ascii="Arial MT"/>
                            <w:sz w:val="16"/>
                          </w:rPr>
                        </w:pPr>
                        <w:r>
                          <w:rPr>
                            <w:rFonts w:ascii="Arial MT"/>
                            <w:sz w:val="16"/>
                          </w:rPr>
                          <w:t>US</w:t>
                        </w:r>
                        <w:r>
                          <w:rPr>
                            <w:rFonts w:ascii="Arial MT"/>
                            <w:spacing w:val="-12"/>
                            <w:sz w:val="16"/>
                          </w:rPr>
                          <w:t> </w:t>
                        </w:r>
                        <w:r>
                          <w:rPr>
                            <w:rFonts w:ascii="Arial MT"/>
                            <w:sz w:val="16"/>
                          </w:rPr>
                          <w:t>Dollar </w:t>
                        </w:r>
                        <w:r>
                          <w:rPr>
                            <w:rFonts w:ascii="Arial MT"/>
                            <w:spacing w:val="-4"/>
                            <w:sz w:val="16"/>
                          </w:rPr>
                          <w:t>87%</w:t>
                        </w:r>
                      </w:p>
                    </w:txbxContent>
                  </v:textbox>
                  <v:stroke dashstyle="solid"/>
                  <w10:wrap type="none"/>
                </v:shape>
                <w10:wrap type="topAndBottom"/>
              </v:group>
            </w:pict>
          </mc:Fallback>
        </mc:AlternateContent>
      </w:r>
    </w:p>
    <w:p>
      <w:pPr>
        <w:spacing w:before="67"/>
        <w:ind w:left="720" w:right="0" w:firstLine="0"/>
        <w:jc w:val="both"/>
        <w:rPr>
          <w:rFonts w:ascii="Arial"/>
          <w:i/>
          <w:sz w:val="16"/>
        </w:rPr>
      </w:pPr>
      <w:r>
        <w:rPr>
          <w:rFonts w:ascii="Arial"/>
          <w:i/>
          <w:sz w:val="16"/>
        </w:rPr>
        <w:t>*</w:t>
      </w:r>
      <w:r>
        <w:rPr>
          <w:rFonts w:ascii="Arial"/>
          <w:i/>
          <w:spacing w:val="-4"/>
          <w:sz w:val="16"/>
        </w:rPr>
        <w:t> </w:t>
      </w:r>
      <w:r>
        <w:rPr>
          <w:rFonts w:ascii="Arial"/>
          <w:i/>
          <w:sz w:val="16"/>
        </w:rPr>
        <w:t>Denotes</w:t>
      </w:r>
      <w:r>
        <w:rPr>
          <w:rFonts w:ascii="Arial"/>
          <w:i/>
          <w:spacing w:val="-3"/>
          <w:sz w:val="16"/>
        </w:rPr>
        <w:t> </w:t>
      </w:r>
      <w:r>
        <w:rPr>
          <w:rFonts w:ascii="Arial"/>
          <w:i/>
          <w:sz w:val="16"/>
        </w:rPr>
        <w:t>percentage</w:t>
      </w:r>
      <w:r>
        <w:rPr>
          <w:rFonts w:ascii="Arial"/>
          <w:i/>
          <w:spacing w:val="-4"/>
          <w:sz w:val="16"/>
        </w:rPr>
        <w:t> </w:t>
      </w:r>
      <w:r>
        <w:rPr>
          <w:rFonts w:ascii="Arial"/>
          <w:i/>
          <w:sz w:val="16"/>
        </w:rPr>
        <w:t>less</w:t>
      </w:r>
      <w:r>
        <w:rPr>
          <w:rFonts w:ascii="Arial"/>
          <w:i/>
          <w:spacing w:val="-3"/>
          <w:sz w:val="16"/>
        </w:rPr>
        <w:t> </w:t>
      </w:r>
      <w:r>
        <w:rPr>
          <w:rFonts w:ascii="Arial"/>
          <w:i/>
          <w:sz w:val="16"/>
        </w:rPr>
        <w:t>than</w:t>
      </w:r>
      <w:r>
        <w:rPr>
          <w:rFonts w:ascii="Arial"/>
          <w:i/>
          <w:spacing w:val="-3"/>
          <w:sz w:val="16"/>
        </w:rPr>
        <w:t> </w:t>
      </w:r>
      <w:r>
        <w:rPr>
          <w:rFonts w:ascii="Arial"/>
          <w:i/>
          <w:spacing w:val="-4"/>
          <w:sz w:val="16"/>
        </w:rPr>
        <w:t>0.5%.</w:t>
      </w:r>
    </w:p>
    <w:p>
      <w:pPr>
        <w:pStyle w:val="BodyText"/>
        <w:spacing w:line="232" w:lineRule="auto" w:before="120"/>
        <w:ind w:left="720" w:right="718"/>
        <w:jc w:val="both"/>
      </w:pPr>
      <w:r>
        <w:rPr/>
        <w:t>As of June 30, 2023, IBRD’s total borrowing portfolio, after the effects of derivatives, carried variable rates, with a weighted average cost of 5.1% (1.0% as of June 30, 2022). The increase in the weighted average cost from the prior year reflects the increase in the short-term market interest rates during the year. This also resulted in an increase in IBRD’s weighted average loan rates, which are also based on IBRD’s funding cost. IBRD’s lending spread was therefore not impacted by the increase in short-term interest rates (Figure 2).</w:t>
      </w:r>
    </w:p>
    <w:p>
      <w:pPr>
        <w:pStyle w:val="BodyText"/>
        <w:spacing w:after="0" w:line="232" w:lineRule="auto"/>
        <w:jc w:val="both"/>
        <w:sectPr>
          <w:headerReference w:type="even" r:id="rId43"/>
          <w:headerReference w:type="default" r:id="rId44"/>
          <w:footerReference w:type="even" r:id="rId45"/>
          <w:footerReference w:type="default" r:id="rId46"/>
          <w:pgSz w:w="12240" w:h="15840"/>
          <w:pgMar w:header="744" w:footer="583" w:top="1020" w:bottom="780" w:left="720" w:right="720"/>
          <w:pgNumType w:start="32"/>
        </w:sectPr>
      </w:pPr>
    </w:p>
    <w:p>
      <w:pPr>
        <w:pStyle w:val="BodyText"/>
        <w:spacing w:before="79"/>
        <w:rPr>
          <w:sz w:val="24"/>
        </w:rPr>
      </w:pPr>
    </w:p>
    <w:p>
      <w:pPr>
        <w:pStyle w:val="Heading1"/>
        <w:jc w:val="left"/>
      </w:pPr>
      <w:bookmarkStart w:name="Short-Term Borrowings" w:id="82"/>
      <w:bookmarkEnd w:id="82"/>
      <w:r>
        <w:rPr>
          <w:b w:val="0"/>
        </w:rPr>
      </w:r>
      <w:bookmarkStart w:name="_bookmark55" w:id="83"/>
      <w:bookmarkEnd w:id="83"/>
      <w:r>
        <w:rPr>
          <w:b w:val="0"/>
        </w:rPr>
      </w:r>
      <w:r>
        <w:rPr/>
        <w:t>Short-Term</w:t>
      </w:r>
      <w:r>
        <w:rPr>
          <w:spacing w:val="-3"/>
        </w:rPr>
        <w:t> </w:t>
      </w:r>
      <w:r>
        <w:rPr>
          <w:spacing w:val="-2"/>
        </w:rPr>
        <w:t>Borrowings</w:t>
      </w:r>
    </w:p>
    <w:p>
      <w:pPr>
        <w:pStyle w:val="BodyText"/>
        <w:spacing w:line="249" w:lineRule="auto" w:before="136"/>
        <w:ind w:left="720" w:right="719"/>
      </w:pPr>
      <w:r>
        <w:rPr/>
        <w:t>Table 22 summarizes IBRD’s short-term borrowings, which mainly include discount notes, securities lent or sold</w:t>
      </w:r>
      <w:r>
        <w:rPr>
          <w:spacing w:val="40"/>
        </w:rPr>
        <w:t> </w:t>
      </w:r>
      <w:r>
        <w:rPr/>
        <w:t>under securities lending and repurchase agreements, and other short-term borrowings.</w:t>
      </w:r>
    </w:p>
    <w:p>
      <w:pPr>
        <w:pStyle w:val="Heading4"/>
        <w:spacing w:before="113"/>
        <w:jc w:val="left"/>
      </w:pPr>
      <w:r>
        <w:rPr/>
        <w:t>Discount</w:t>
      </w:r>
      <w:r>
        <w:rPr>
          <w:spacing w:val="-4"/>
        </w:rPr>
        <w:t> </w:t>
      </w:r>
      <w:r>
        <w:rPr>
          <w:spacing w:val="-2"/>
        </w:rPr>
        <w:t>Notes</w:t>
      </w:r>
    </w:p>
    <w:p>
      <w:pPr>
        <w:pStyle w:val="BodyText"/>
        <w:spacing w:line="249" w:lineRule="auto" w:before="139"/>
        <w:ind w:left="720" w:right="719"/>
      </w:pPr>
      <w:r>
        <w:rPr/>
        <w:t>IBRD’s</w:t>
      </w:r>
      <w:r>
        <w:rPr>
          <w:spacing w:val="24"/>
        </w:rPr>
        <w:t> </w:t>
      </w:r>
      <w:r>
        <w:rPr/>
        <w:t>short-term</w:t>
      </w:r>
      <w:r>
        <w:rPr>
          <w:spacing w:val="24"/>
        </w:rPr>
        <w:t> </w:t>
      </w:r>
      <w:r>
        <w:rPr/>
        <w:t>borrowings</w:t>
      </w:r>
      <w:r>
        <w:rPr>
          <w:spacing w:val="24"/>
        </w:rPr>
        <w:t> </w:t>
      </w:r>
      <w:r>
        <w:rPr/>
        <w:t>consist</w:t>
      </w:r>
      <w:r>
        <w:rPr>
          <w:spacing w:val="24"/>
        </w:rPr>
        <w:t> </w:t>
      </w:r>
      <w:r>
        <w:rPr/>
        <w:t>mainly</w:t>
      </w:r>
      <w:r>
        <w:rPr>
          <w:spacing w:val="24"/>
        </w:rPr>
        <w:t> </w:t>
      </w:r>
      <w:r>
        <w:rPr/>
        <w:t>of</w:t>
      </w:r>
      <w:r>
        <w:rPr>
          <w:spacing w:val="24"/>
        </w:rPr>
        <w:t> </w:t>
      </w:r>
      <w:r>
        <w:rPr/>
        <w:t>discount</w:t>
      </w:r>
      <w:r>
        <w:rPr>
          <w:spacing w:val="24"/>
        </w:rPr>
        <w:t> </w:t>
      </w:r>
      <w:r>
        <w:rPr/>
        <w:t>notes</w:t>
      </w:r>
      <w:r>
        <w:rPr>
          <w:spacing w:val="24"/>
        </w:rPr>
        <w:t> </w:t>
      </w:r>
      <w:r>
        <w:rPr/>
        <w:t>issued</w:t>
      </w:r>
      <w:r>
        <w:rPr>
          <w:spacing w:val="24"/>
        </w:rPr>
        <w:t> </w:t>
      </w:r>
      <w:r>
        <w:rPr/>
        <w:t>in</w:t>
      </w:r>
      <w:r>
        <w:rPr>
          <w:spacing w:val="24"/>
        </w:rPr>
        <w:t> </w:t>
      </w:r>
      <w:r>
        <w:rPr/>
        <w:t>U.S.</w:t>
      </w:r>
      <w:r>
        <w:rPr>
          <w:spacing w:val="24"/>
        </w:rPr>
        <w:t> </w:t>
      </w:r>
      <w:r>
        <w:rPr/>
        <w:t>dollars.</w:t>
      </w:r>
      <w:r>
        <w:rPr>
          <w:spacing w:val="24"/>
        </w:rPr>
        <w:t> </w:t>
      </w:r>
      <w:r>
        <w:rPr/>
        <w:t>These</w:t>
      </w:r>
      <w:r>
        <w:rPr>
          <w:spacing w:val="24"/>
        </w:rPr>
        <w:t> </w:t>
      </w:r>
      <w:r>
        <w:rPr/>
        <w:t>borrowings</w:t>
      </w:r>
      <w:r>
        <w:rPr>
          <w:spacing w:val="24"/>
        </w:rPr>
        <w:t> </w:t>
      </w:r>
      <w:r>
        <w:rPr/>
        <w:t>have</w:t>
      </w:r>
      <w:r>
        <w:rPr>
          <w:spacing w:val="24"/>
        </w:rPr>
        <w:t> </w:t>
      </w:r>
      <w:r>
        <w:rPr/>
        <w:t>a weighted average maturity of approximately 135 days.</w:t>
      </w:r>
    </w:p>
    <w:p>
      <w:pPr>
        <w:pStyle w:val="Heading4"/>
        <w:spacing w:before="114"/>
        <w:jc w:val="left"/>
      </w:pPr>
      <w:r>
        <w:rPr/>
        <w:t>Securities</w:t>
      </w:r>
      <w:r>
        <w:rPr>
          <w:spacing w:val="-3"/>
        </w:rPr>
        <w:t> </w:t>
      </w:r>
      <w:r>
        <w:rPr/>
        <w:t>Lent</w:t>
      </w:r>
      <w:r>
        <w:rPr>
          <w:spacing w:val="-2"/>
        </w:rPr>
        <w:t> </w:t>
      </w:r>
      <w:r>
        <w:rPr/>
        <w:t>or</w:t>
      </w:r>
      <w:r>
        <w:rPr>
          <w:spacing w:val="-2"/>
        </w:rPr>
        <w:t> </w:t>
      </w:r>
      <w:r>
        <w:rPr/>
        <w:t>Sold</w:t>
      </w:r>
      <w:r>
        <w:rPr>
          <w:spacing w:val="-3"/>
        </w:rPr>
        <w:t> </w:t>
      </w:r>
      <w:r>
        <w:rPr/>
        <w:t>under</w:t>
      </w:r>
      <w:r>
        <w:rPr>
          <w:spacing w:val="-2"/>
        </w:rPr>
        <w:t> </w:t>
      </w:r>
      <w:r>
        <w:rPr/>
        <w:t>Repurchase</w:t>
      </w:r>
      <w:r>
        <w:rPr>
          <w:spacing w:val="-2"/>
        </w:rPr>
        <w:t> Agreements</w:t>
      </w:r>
    </w:p>
    <w:p>
      <w:pPr>
        <w:pStyle w:val="BodyText"/>
        <w:spacing w:line="249" w:lineRule="auto" w:before="139"/>
        <w:ind w:left="720" w:right="719"/>
      </w:pPr>
      <w:r>
        <w:rPr/>
        <w:t>These</w:t>
      </w:r>
      <w:r>
        <w:rPr>
          <w:spacing w:val="39"/>
        </w:rPr>
        <w:t> </w:t>
      </w:r>
      <w:r>
        <w:rPr/>
        <w:t>short-term</w:t>
      </w:r>
      <w:r>
        <w:rPr>
          <w:spacing w:val="39"/>
        </w:rPr>
        <w:t> </w:t>
      </w:r>
      <w:r>
        <w:rPr/>
        <w:t>borrowings</w:t>
      </w:r>
      <w:r>
        <w:rPr>
          <w:spacing w:val="39"/>
        </w:rPr>
        <w:t> </w:t>
      </w:r>
      <w:r>
        <w:rPr/>
        <w:t>are</w:t>
      </w:r>
      <w:r>
        <w:rPr>
          <w:spacing w:val="39"/>
        </w:rPr>
        <w:t> </w:t>
      </w:r>
      <w:r>
        <w:rPr/>
        <w:t>secured</w:t>
      </w:r>
      <w:r>
        <w:rPr>
          <w:spacing w:val="39"/>
        </w:rPr>
        <w:t> </w:t>
      </w:r>
      <w:r>
        <w:rPr/>
        <w:t>mainly</w:t>
      </w:r>
      <w:r>
        <w:rPr>
          <w:spacing w:val="39"/>
        </w:rPr>
        <w:t> </w:t>
      </w:r>
      <w:r>
        <w:rPr/>
        <w:t>by</w:t>
      </w:r>
      <w:r>
        <w:rPr>
          <w:spacing w:val="39"/>
        </w:rPr>
        <w:t> </w:t>
      </w:r>
      <w:r>
        <w:rPr/>
        <w:t>highly-rated</w:t>
      </w:r>
      <w:r>
        <w:rPr>
          <w:spacing w:val="39"/>
        </w:rPr>
        <w:t> </w:t>
      </w:r>
      <w:r>
        <w:rPr/>
        <w:t>collateral</w:t>
      </w:r>
      <w:r>
        <w:rPr>
          <w:spacing w:val="39"/>
        </w:rPr>
        <w:t> </w:t>
      </w:r>
      <w:r>
        <w:rPr/>
        <w:t>in</w:t>
      </w:r>
      <w:r>
        <w:rPr>
          <w:spacing w:val="39"/>
        </w:rPr>
        <w:t> </w:t>
      </w:r>
      <w:r>
        <w:rPr/>
        <w:t>the</w:t>
      </w:r>
      <w:r>
        <w:rPr>
          <w:spacing w:val="39"/>
        </w:rPr>
        <w:t> </w:t>
      </w:r>
      <w:r>
        <w:rPr/>
        <w:t>form</w:t>
      </w:r>
      <w:r>
        <w:rPr>
          <w:spacing w:val="39"/>
        </w:rPr>
        <w:t> </w:t>
      </w:r>
      <w:r>
        <w:rPr/>
        <w:t>of</w:t>
      </w:r>
      <w:r>
        <w:rPr>
          <w:spacing w:val="39"/>
        </w:rPr>
        <w:t> </w:t>
      </w:r>
      <w:r>
        <w:rPr/>
        <w:t>securities,</w:t>
      </w:r>
      <w:r>
        <w:rPr>
          <w:spacing w:val="39"/>
        </w:rPr>
        <w:t> </w:t>
      </w:r>
      <w:r>
        <w:rPr/>
        <w:t>including government-issued debt, and have an average maturity of less than 30 days.</w:t>
      </w:r>
    </w:p>
    <w:p>
      <w:pPr>
        <w:pStyle w:val="Heading4"/>
        <w:spacing w:before="113"/>
        <w:jc w:val="left"/>
      </w:pPr>
      <w:r>
        <w:rPr/>
        <w:t>Other</w:t>
      </w:r>
      <w:r>
        <w:rPr>
          <w:spacing w:val="-2"/>
        </w:rPr>
        <w:t> </w:t>
      </w:r>
      <w:r>
        <w:rPr/>
        <w:t>Short-Term</w:t>
      </w:r>
      <w:r>
        <w:rPr>
          <w:spacing w:val="-1"/>
        </w:rPr>
        <w:t> </w:t>
      </w:r>
      <w:r>
        <w:rPr>
          <w:spacing w:val="-2"/>
        </w:rPr>
        <w:t>Borrowings</w:t>
      </w:r>
    </w:p>
    <w:p>
      <w:pPr>
        <w:pStyle w:val="BodyText"/>
        <w:spacing w:before="140"/>
        <w:ind w:left="720"/>
      </w:pPr>
      <w:r>
        <w:rPr/>
        <w:t>Other</w:t>
      </w:r>
      <w:r>
        <w:rPr>
          <w:spacing w:val="-5"/>
        </w:rPr>
        <w:t> </w:t>
      </w:r>
      <w:r>
        <w:rPr/>
        <w:t>short-term</w:t>
      </w:r>
      <w:r>
        <w:rPr>
          <w:spacing w:val="-3"/>
        </w:rPr>
        <w:t> </w:t>
      </w:r>
      <w:r>
        <w:rPr/>
        <w:t>borrowings</w:t>
      </w:r>
      <w:r>
        <w:rPr>
          <w:spacing w:val="-4"/>
        </w:rPr>
        <w:t> </w:t>
      </w:r>
      <w:r>
        <w:rPr/>
        <w:t>are</w:t>
      </w:r>
      <w:r>
        <w:rPr>
          <w:spacing w:val="-3"/>
        </w:rPr>
        <w:t> </w:t>
      </w:r>
      <w:r>
        <w:rPr/>
        <w:t>mostly</w:t>
      </w:r>
      <w:r>
        <w:rPr>
          <w:spacing w:val="-3"/>
        </w:rPr>
        <w:t> </w:t>
      </w:r>
      <w:r>
        <w:rPr/>
        <w:t>money</w:t>
      </w:r>
      <w:r>
        <w:rPr>
          <w:spacing w:val="-2"/>
        </w:rPr>
        <w:t> </w:t>
      </w:r>
      <w:r>
        <w:rPr/>
        <w:t>market</w:t>
      </w:r>
      <w:r>
        <w:rPr>
          <w:spacing w:val="-4"/>
        </w:rPr>
        <w:t> </w:t>
      </w:r>
      <w:r>
        <w:rPr/>
        <w:t>instruments</w:t>
      </w:r>
      <w:r>
        <w:rPr>
          <w:spacing w:val="-3"/>
        </w:rPr>
        <w:t> </w:t>
      </w:r>
      <w:r>
        <w:rPr/>
        <w:t>that</w:t>
      </w:r>
      <w:r>
        <w:rPr>
          <w:spacing w:val="-4"/>
        </w:rPr>
        <w:t> </w:t>
      </w:r>
      <w:r>
        <w:rPr/>
        <w:t>have</w:t>
      </w:r>
      <w:r>
        <w:rPr>
          <w:spacing w:val="-3"/>
        </w:rPr>
        <w:t> </w:t>
      </w:r>
      <w:r>
        <w:rPr/>
        <w:t>maturities</w:t>
      </w:r>
      <w:r>
        <w:rPr>
          <w:spacing w:val="-4"/>
        </w:rPr>
        <w:t> </w:t>
      </w:r>
      <w:r>
        <w:rPr/>
        <w:t>of</w:t>
      </w:r>
      <w:r>
        <w:rPr>
          <w:spacing w:val="-2"/>
        </w:rPr>
        <w:t> </w:t>
      </w:r>
      <w:r>
        <w:rPr/>
        <w:t>one</w:t>
      </w:r>
      <w:r>
        <w:rPr>
          <w:spacing w:val="-3"/>
        </w:rPr>
        <w:t> </w:t>
      </w:r>
      <w:r>
        <w:rPr/>
        <w:t>year</w:t>
      </w:r>
      <w:r>
        <w:rPr>
          <w:spacing w:val="-3"/>
        </w:rPr>
        <w:t> </w:t>
      </w:r>
      <w:r>
        <w:rPr/>
        <w:t>or</w:t>
      </w:r>
      <w:r>
        <w:rPr>
          <w:spacing w:val="-2"/>
        </w:rPr>
        <w:t> less.</w:t>
      </w:r>
    </w:p>
    <w:p>
      <w:pPr>
        <w:spacing w:before="59"/>
        <w:ind w:left="772" w:right="0" w:firstLine="0"/>
        <w:jc w:val="left"/>
        <w:rPr>
          <w:rFonts w:ascii="Arial"/>
          <w:b/>
          <w:sz w:val="18"/>
        </w:rPr>
      </w:pPr>
      <w:bookmarkStart w:name="_bookmark56" w:id="84"/>
      <w:bookmarkEnd w:id="84"/>
      <w:r>
        <w:rPr/>
      </w:r>
      <w:r>
        <w:rPr>
          <w:rFonts w:ascii="Arial"/>
          <w:b/>
          <w:sz w:val="18"/>
        </w:rPr>
        <w:t>Table</w:t>
      </w:r>
      <w:r>
        <w:rPr>
          <w:rFonts w:ascii="Arial"/>
          <w:b/>
          <w:spacing w:val="-2"/>
          <w:sz w:val="18"/>
        </w:rPr>
        <w:t> </w:t>
      </w:r>
      <w:r>
        <w:rPr>
          <w:rFonts w:ascii="Arial"/>
          <w:b/>
          <w:sz w:val="18"/>
        </w:rPr>
        <w:t>22:</w:t>
      </w:r>
      <w:r>
        <w:rPr>
          <w:rFonts w:ascii="Arial"/>
          <w:b/>
          <w:spacing w:val="-2"/>
          <w:sz w:val="18"/>
        </w:rPr>
        <w:t> </w:t>
      </w:r>
      <w:r>
        <w:rPr>
          <w:rFonts w:ascii="Arial"/>
          <w:b/>
          <w:sz w:val="18"/>
        </w:rPr>
        <w:t>Short-Term</w:t>
      </w:r>
      <w:r>
        <w:rPr>
          <w:rFonts w:ascii="Arial"/>
          <w:b/>
          <w:spacing w:val="-2"/>
          <w:sz w:val="18"/>
        </w:rPr>
        <w:t> Borrowings</w:t>
      </w:r>
    </w:p>
    <w:p>
      <w:pPr>
        <w:spacing w:before="54"/>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3"/>
          <w:sz w:val="16"/>
        </w:rPr>
        <w:t> </w:t>
      </w:r>
      <w:r>
        <w:rPr>
          <w:rFonts w:ascii="Arial"/>
          <w:i/>
          <w:sz w:val="16"/>
        </w:rPr>
        <w:t>dollars,</w:t>
      </w:r>
      <w:r>
        <w:rPr>
          <w:rFonts w:ascii="Arial"/>
          <w:i/>
          <w:spacing w:val="-2"/>
          <w:sz w:val="16"/>
        </w:rPr>
        <w:t> </w:t>
      </w:r>
      <w:r>
        <w:rPr>
          <w:rFonts w:ascii="Arial"/>
          <w:i/>
          <w:sz w:val="16"/>
        </w:rPr>
        <w:t>except</w:t>
      </w:r>
      <w:r>
        <w:rPr>
          <w:rFonts w:ascii="Arial"/>
          <w:i/>
          <w:spacing w:val="-2"/>
          <w:sz w:val="16"/>
        </w:rPr>
        <w:t> </w:t>
      </w:r>
      <w:r>
        <w:rPr>
          <w:rFonts w:ascii="Arial"/>
          <w:i/>
          <w:sz w:val="16"/>
        </w:rPr>
        <w:t>rates</w:t>
      </w:r>
      <w:r>
        <w:rPr>
          <w:rFonts w:ascii="Arial"/>
          <w:i/>
          <w:spacing w:val="-3"/>
          <w:sz w:val="16"/>
        </w:rPr>
        <w:t> </w:t>
      </w:r>
      <w:r>
        <w:rPr>
          <w:rFonts w:ascii="Arial"/>
          <w:i/>
          <w:sz w:val="16"/>
        </w:rPr>
        <w:t>which</w:t>
      </w:r>
      <w:r>
        <w:rPr>
          <w:rFonts w:ascii="Arial"/>
          <w:i/>
          <w:spacing w:val="-3"/>
          <w:sz w:val="16"/>
        </w:rPr>
        <w:t> </w:t>
      </w:r>
      <w:r>
        <w:rPr>
          <w:rFonts w:ascii="Arial"/>
          <w:i/>
          <w:sz w:val="16"/>
        </w:rPr>
        <w:t>are</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p>
      <w:pPr>
        <w:pStyle w:val="BodyText"/>
        <w:spacing w:before="7"/>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4"/>
        <w:gridCol w:w="1416"/>
        <w:gridCol w:w="1176"/>
        <w:gridCol w:w="581"/>
        <w:gridCol w:w="1127"/>
      </w:tblGrid>
      <w:tr>
        <w:trPr>
          <w:trHeight w:val="198" w:hRule="atLeast"/>
        </w:trPr>
        <w:tc>
          <w:tcPr>
            <w:tcW w:w="5064" w:type="dxa"/>
            <w:tcBorders>
              <w:bottom w:val="single" w:sz="8" w:space="0" w:color="6C6C6C"/>
            </w:tcBorders>
          </w:tcPr>
          <w:p>
            <w:pPr>
              <w:pStyle w:val="TableParagraph"/>
              <w:spacing w:line="178" w:lineRule="exact"/>
              <w:ind w:left="52"/>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1416" w:type="dxa"/>
            <w:tcBorders>
              <w:bottom w:val="single" w:sz="8" w:space="0" w:color="6C6C6C"/>
            </w:tcBorders>
          </w:tcPr>
          <w:p>
            <w:pPr>
              <w:pStyle w:val="TableParagraph"/>
              <w:rPr>
                <w:rFonts w:ascii="Times New Roman"/>
                <w:sz w:val="12"/>
              </w:rPr>
            </w:pPr>
          </w:p>
        </w:tc>
        <w:tc>
          <w:tcPr>
            <w:tcW w:w="1176" w:type="dxa"/>
            <w:tcBorders>
              <w:bottom w:val="single" w:sz="8" w:space="0" w:color="6C6C6C"/>
            </w:tcBorders>
          </w:tcPr>
          <w:p>
            <w:pPr>
              <w:pStyle w:val="TableParagraph"/>
              <w:spacing w:line="178" w:lineRule="exact"/>
              <w:ind w:right="101"/>
              <w:jc w:val="right"/>
              <w:rPr>
                <w:rFonts w:ascii="Arial"/>
                <w:i/>
                <w:sz w:val="16"/>
              </w:rPr>
            </w:pPr>
            <w:r>
              <w:rPr>
                <w:rFonts w:ascii="Arial"/>
                <w:i/>
                <w:color w:val="484848"/>
                <w:spacing w:val="-4"/>
                <w:sz w:val="16"/>
              </w:rPr>
              <w:t>2023</w:t>
            </w:r>
          </w:p>
        </w:tc>
        <w:tc>
          <w:tcPr>
            <w:tcW w:w="581" w:type="dxa"/>
            <w:tcBorders>
              <w:bottom w:val="single" w:sz="8" w:space="0" w:color="6C6C6C"/>
            </w:tcBorders>
          </w:tcPr>
          <w:p>
            <w:pPr>
              <w:pStyle w:val="TableParagraph"/>
              <w:rPr>
                <w:rFonts w:ascii="Times New Roman"/>
                <w:sz w:val="12"/>
              </w:rPr>
            </w:pPr>
          </w:p>
        </w:tc>
        <w:tc>
          <w:tcPr>
            <w:tcW w:w="1127" w:type="dxa"/>
            <w:tcBorders>
              <w:bottom w:val="single" w:sz="8" w:space="0" w:color="6C6C6C"/>
            </w:tcBorders>
          </w:tcPr>
          <w:p>
            <w:pPr>
              <w:pStyle w:val="TableParagraph"/>
              <w:spacing w:line="178" w:lineRule="exact"/>
              <w:ind w:right="54"/>
              <w:jc w:val="right"/>
              <w:rPr>
                <w:rFonts w:ascii="Arial"/>
                <w:i/>
                <w:sz w:val="16"/>
              </w:rPr>
            </w:pPr>
            <w:r>
              <w:rPr>
                <w:rFonts w:ascii="Arial"/>
                <w:i/>
                <w:color w:val="484848"/>
                <w:spacing w:val="-4"/>
                <w:sz w:val="16"/>
              </w:rPr>
              <w:t>2022</w:t>
            </w:r>
          </w:p>
        </w:tc>
      </w:tr>
      <w:tr>
        <w:trPr>
          <w:trHeight w:val="470" w:hRule="atLeast"/>
        </w:trPr>
        <w:tc>
          <w:tcPr>
            <w:tcW w:w="5064" w:type="dxa"/>
            <w:tcBorders>
              <w:top w:val="single" w:sz="8" w:space="0" w:color="6C6C6C"/>
            </w:tcBorders>
          </w:tcPr>
          <w:p>
            <w:pPr>
              <w:pStyle w:val="TableParagraph"/>
              <w:spacing w:before="16"/>
              <w:ind w:left="52"/>
              <w:rPr>
                <w:rFonts w:ascii="Arial"/>
                <w:b/>
                <w:sz w:val="16"/>
              </w:rPr>
            </w:pPr>
            <w:r>
              <w:rPr>
                <w:rFonts w:ascii="Arial"/>
                <w:b/>
                <w:sz w:val="16"/>
              </w:rPr>
              <w:t>Discount</w:t>
            </w:r>
            <w:r>
              <w:rPr>
                <w:rFonts w:ascii="Arial"/>
                <w:b/>
                <w:spacing w:val="-5"/>
                <w:sz w:val="16"/>
              </w:rPr>
              <w:t> </w:t>
            </w:r>
            <w:r>
              <w:rPr>
                <w:rFonts w:ascii="Arial"/>
                <w:b/>
                <w:sz w:val="16"/>
              </w:rPr>
              <w:t>notes</w:t>
            </w:r>
            <w:r>
              <w:rPr>
                <w:rFonts w:ascii="Arial"/>
                <w:b/>
                <w:spacing w:val="-5"/>
                <w:sz w:val="16"/>
              </w:rPr>
              <w:t> </w:t>
            </w:r>
            <w:r>
              <w:rPr>
                <w:rFonts w:ascii="Arial"/>
                <w:b/>
                <w:spacing w:val="-10"/>
                <w:sz w:val="16"/>
                <w:vertAlign w:val="superscript"/>
              </w:rPr>
              <w:t>a</w:t>
            </w:r>
          </w:p>
          <w:p>
            <w:pPr>
              <w:pStyle w:val="TableParagraph"/>
              <w:spacing w:before="56"/>
              <w:ind w:left="52"/>
              <w:rPr>
                <w:sz w:val="16"/>
              </w:rPr>
            </w:pPr>
            <w:r>
              <w:rPr>
                <w:sz w:val="16"/>
              </w:rPr>
              <w:t>Average</w:t>
            </w:r>
            <w:r>
              <w:rPr>
                <w:spacing w:val="-5"/>
                <w:sz w:val="16"/>
              </w:rPr>
              <w:t> </w:t>
            </w:r>
            <w:r>
              <w:rPr>
                <w:sz w:val="16"/>
              </w:rPr>
              <w:t>daily</w:t>
            </w:r>
            <w:r>
              <w:rPr>
                <w:spacing w:val="-4"/>
                <w:sz w:val="16"/>
              </w:rPr>
              <w:t> </w:t>
            </w:r>
            <w:r>
              <w:rPr>
                <w:sz w:val="16"/>
              </w:rPr>
              <w:t>balance</w:t>
            </w:r>
            <w:r>
              <w:rPr>
                <w:spacing w:val="-4"/>
                <w:sz w:val="16"/>
              </w:rPr>
              <w:t> </w:t>
            </w:r>
            <w:r>
              <w:rPr>
                <w:sz w:val="16"/>
              </w:rPr>
              <w:t>during</w:t>
            </w:r>
            <w:r>
              <w:rPr>
                <w:spacing w:val="-5"/>
                <w:sz w:val="16"/>
              </w:rPr>
              <w:t> </w:t>
            </w:r>
            <w:r>
              <w:rPr>
                <w:sz w:val="16"/>
              </w:rPr>
              <w:t>the</w:t>
            </w:r>
            <w:r>
              <w:rPr>
                <w:spacing w:val="-5"/>
                <w:sz w:val="16"/>
              </w:rPr>
              <w:t> </w:t>
            </w:r>
            <w:r>
              <w:rPr>
                <w:sz w:val="16"/>
              </w:rPr>
              <w:t>fiscal</w:t>
            </w:r>
            <w:r>
              <w:rPr>
                <w:spacing w:val="-3"/>
                <w:sz w:val="16"/>
              </w:rPr>
              <w:t> </w:t>
            </w:r>
            <w:r>
              <w:rPr>
                <w:spacing w:val="-4"/>
                <w:sz w:val="16"/>
              </w:rPr>
              <w:t>year</w:t>
            </w:r>
          </w:p>
        </w:tc>
        <w:tc>
          <w:tcPr>
            <w:tcW w:w="1416" w:type="dxa"/>
            <w:tcBorders>
              <w:top w:val="single" w:sz="8" w:space="0" w:color="6C6C6C"/>
            </w:tcBorders>
          </w:tcPr>
          <w:p>
            <w:pPr>
              <w:pStyle w:val="TableParagraph"/>
              <w:spacing w:before="72"/>
              <w:rPr>
                <w:rFonts w:ascii="Arial"/>
                <w:i/>
                <w:sz w:val="16"/>
              </w:rPr>
            </w:pPr>
          </w:p>
          <w:p>
            <w:pPr>
              <w:pStyle w:val="TableParagraph"/>
              <w:ind w:right="426"/>
              <w:jc w:val="right"/>
              <w:rPr>
                <w:sz w:val="16"/>
              </w:rPr>
            </w:pPr>
            <w:r>
              <w:rPr>
                <w:spacing w:val="-10"/>
                <w:sz w:val="16"/>
              </w:rPr>
              <w:t>$</w:t>
            </w:r>
          </w:p>
        </w:tc>
        <w:tc>
          <w:tcPr>
            <w:tcW w:w="1176" w:type="dxa"/>
            <w:tcBorders>
              <w:top w:val="single" w:sz="8" w:space="0" w:color="6C6C6C"/>
            </w:tcBorders>
          </w:tcPr>
          <w:p>
            <w:pPr>
              <w:pStyle w:val="TableParagraph"/>
              <w:spacing w:before="72"/>
              <w:rPr>
                <w:rFonts w:ascii="Arial"/>
                <w:i/>
                <w:sz w:val="16"/>
              </w:rPr>
            </w:pPr>
          </w:p>
          <w:p>
            <w:pPr>
              <w:pStyle w:val="TableParagraph"/>
              <w:ind w:left="426"/>
              <w:rPr>
                <w:sz w:val="16"/>
              </w:rPr>
            </w:pPr>
            <w:r>
              <w:rPr>
                <w:spacing w:val="-2"/>
                <w:sz w:val="16"/>
              </w:rPr>
              <w:t>13,389</w:t>
            </w:r>
          </w:p>
        </w:tc>
        <w:tc>
          <w:tcPr>
            <w:tcW w:w="581" w:type="dxa"/>
            <w:tcBorders>
              <w:top w:val="single" w:sz="8" w:space="0" w:color="6C6C6C"/>
            </w:tcBorders>
          </w:tcPr>
          <w:p>
            <w:pPr>
              <w:pStyle w:val="TableParagraph"/>
              <w:spacing w:before="72"/>
              <w:rPr>
                <w:rFonts w:ascii="Arial"/>
                <w:i/>
                <w:sz w:val="16"/>
              </w:rPr>
            </w:pPr>
          </w:p>
          <w:p>
            <w:pPr>
              <w:pStyle w:val="TableParagraph"/>
              <w:ind w:left="61"/>
              <w:rPr>
                <w:sz w:val="16"/>
              </w:rPr>
            </w:pPr>
            <w:r>
              <w:rPr>
                <w:spacing w:val="-10"/>
                <w:sz w:val="16"/>
              </w:rPr>
              <w:t>$</w:t>
            </w:r>
          </w:p>
        </w:tc>
        <w:tc>
          <w:tcPr>
            <w:tcW w:w="1127" w:type="dxa"/>
            <w:tcBorders>
              <w:top w:val="single" w:sz="8" w:space="0" w:color="6C6C6C"/>
            </w:tcBorders>
          </w:tcPr>
          <w:p>
            <w:pPr>
              <w:pStyle w:val="TableParagraph"/>
              <w:spacing w:before="72"/>
              <w:rPr>
                <w:rFonts w:ascii="Arial"/>
                <w:i/>
                <w:sz w:val="16"/>
              </w:rPr>
            </w:pPr>
          </w:p>
          <w:p>
            <w:pPr>
              <w:pStyle w:val="TableParagraph"/>
              <w:ind w:left="424"/>
              <w:rPr>
                <w:sz w:val="16"/>
              </w:rPr>
            </w:pPr>
            <w:r>
              <w:rPr>
                <w:spacing w:val="-2"/>
                <w:sz w:val="16"/>
              </w:rPr>
              <w:t>10,276</w:t>
            </w:r>
          </w:p>
        </w:tc>
      </w:tr>
      <w:tr>
        <w:trPr>
          <w:trHeight w:val="349" w:hRule="atLeast"/>
        </w:trPr>
        <w:tc>
          <w:tcPr>
            <w:tcW w:w="5064" w:type="dxa"/>
          </w:tcPr>
          <w:p>
            <w:pPr>
              <w:pStyle w:val="TableParagraph"/>
              <w:spacing w:before="25"/>
              <w:ind w:left="52"/>
              <w:rPr>
                <w:sz w:val="16"/>
              </w:rPr>
            </w:pPr>
            <w:r>
              <w:rPr>
                <w:sz w:val="16"/>
              </w:rPr>
              <w:t>Weighted-average</w:t>
            </w:r>
            <w:r>
              <w:rPr>
                <w:spacing w:val="-6"/>
                <w:sz w:val="16"/>
              </w:rPr>
              <w:t> </w:t>
            </w:r>
            <w:r>
              <w:rPr>
                <w:sz w:val="16"/>
              </w:rPr>
              <w:t>rate</w:t>
            </w:r>
            <w:r>
              <w:rPr>
                <w:spacing w:val="-5"/>
                <w:sz w:val="16"/>
              </w:rPr>
              <w:t> </w:t>
            </w:r>
            <w:r>
              <w:rPr>
                <w:sz w:val="16"/>
              </w:rPr>
              <w:t>during</w:t>
            </w:r>
            <w:r>
              <w:rPr>
                <w:spacing w:val="-5"/>
                <w:sz w:val="16"/>
              </w:rPr>
              <w:t> </w:t>
            </w:r>
            <w:r>
              <w:rPr>
                <w:sz w:val="16"/>
              </w:rPr>
              <w:t>the</w:t>
            </w:r>
            <w:r>
              <w:rPr>
                <w:spacing w:val="-5"/>
                <w:sz w:val="16"/>
              </w:rPr>
              <w:t> </w:t>
            </w:r>
            <w:r>
              <w:rPr>
                <w:sz w:val="16"/>
              </w:rPr>
              <w:t>fiscal</w:t>
            </w:r>
            <w:r>
              <w:rPr>
                <w:spacing w:val="-4"/>
                <w:sz w:val="16"/>
              </w:rPr>
              <w:t> year</w:t>
            </w:r>
          </w:p>
        </w:tc>
        <w:tc>
          <w:tcPr>
            <w:tcW w:w="1416" w:type="dxa"/>
          </w:tcPr>
          <w:p>
            <w:pPr>
              <w:pStyle w:val="TableParagraph"/>
              <w:rPr>
                <w:rFonts w:ascii="Times New Roman"/>
                <w:sz w:val="18"/>
              </w:rPr>
            </w:pPr>
          </w:p>
        </w:tc>
        <w:tc>
          <w:tcPr>
            <w:tcW w:w="1176" w:type="dxa"/>
          </w:tcPr>
          <w:p>
            <w:pPr>
              <w:pStyle w:val="TableParagraph"/>
              <w:spacing w:before="25"/>
              <w:ind w:right="63"/>
              <w:jc w:val="right"/>
              <w:rPr>
                <w:sz w:val="16"/>
              </w:rPr>
            </w:pPr>
            <w:r>
              <w:rPr>
                <w:sz w:val="16"/>
              </w:rPr>
              <w:t>3.58</w:t>
            </w:r>
            <w:r>
              <w:rPr>
                <w:spacing w:val="6"/>
                <w:sz w:val="16"/>
              </w:rPr>
              <w:t> </w:t>
            </w:r>
            <w:r>
              <w:rPr>
                <w:spacing w:val="-10"/>
                <w:sz w:val="16"/>
              </w:rPr>
              <w:t>%</w:t>
            </w:r>
          </w:p>
        </w:tc>
        <w:tc>
          <w:tcPr>
            <w:tcW w:w="581" w:type="dxa"/>
          </w:tcPr>
          <w:p>
            <w:pPr>
              <w:pStyle w:val="TableParagraph"/>
              <w:rPr>
                <w:rFonts w:ascii="Times New Roman"/>
                <w:sz w:val="18"/>
              </w:rPr>
            </w:pPr>
          </w:p>
        </w:tc>
        <w:tc>
          <w:tcPr>
            <w:tcW w:w="1127" w:type="dxa"/>
          </w:tcPr>
          <w:p>
            <w:pPr>
              <w:pStyle w:val="TableParagraph"/>
              <w:spacing w:before="25"/>
              <w:ind w:right="16"/>
              <w:jc w:val="right"/>
              <w:rPr>
                <w:sz w:val="16"/>
              </w:rPr>
            </w:pPr>
            <w:r>
              <w:rPr>
                <w:sz w:val="16"/>
              </w:rPr>
              <w:t>0.29</w:t>
            </w:r>
            <w:r>
              <w:rPr>
                <w:spacing w:val="6"/>
                <w:sz w:val="16"/>
              </w:rPr>
              <w:t> </w:t>
            </w:r>
            <w:r>
              <w:rPr>
                <w:spacing w:val="-10"/>
                <w:sz w:val="16"/>
              </w:rPr>
              <w:t>%</w:t>
            </w:r>
          </w:p>
        </w:tc>
      </w:tr>
      <w:tr>
        <w:trPr>
          <w:trHeight w:val="610" w:hRule="atLeast"/>
        </w:trPr>
        <w:tc>
          <w:tcPr>
            <w:tcW w:w="5064" w:type="dxa"/>
          </w:tcPr>
          <w:p>
            <w:pPr>
              <w:pStyle w:val="TableParagraph"/>
              <w:spacing w:before="156"/>
              <w:ind w:left="52"/>
              <w:rPr>
                <w:rFonts w:ascii="Arial"/>
                <w:b/>
                <w:sz w:val="16"/>
              </w:rPr>
            </w:pPr>
            <w:r>
              <w:rPr>
                <w:rFonts w:ascii="Arial"/>
                <w:b/>
                <w:sz w:val="16"/>
              </w:rPr>
              <w:t>Securities</w:t>
            </w:r>
            <w:r>
              <w:rPr>
                <w:rFonts w:ascii="Arial"/>
                <w:b/>
                <w:spacing w:val="-6"/>
                <w:sz w:val="16"/>
              </w:rPr>
              <w:t> </w:t>
            </w:r>
            <w:r>
              <w:rPr>
                <w:rFonts w:ascii="Arial"/>
                <w:b/>
                <w:sz w:val="16"/>
              </w:rPr>
              <w:t>lent</w:t>
            </w:r>
            <w:r>
              <w:rPr>
                <w:rFonts w:ascii="Arial"/>
                <w:b/>
                <w:spacing w:val="-4"/>
                <w:sz w:val="16"/>
              </w:rPr>
              <w:t> </w:t>
            </w:r>
            <w:r>
              <w:rPr>
                <w:rFonts w:ascii="Arial"/>
                <w:b/>
                <w:sz w:val="16"/>
              </w:rPr>
              <w:t>or</w:t>
            </w:r>
            <w:r>
              <w:rPr>
                <w:rFonts w:ascii="Arial"/>
                <w:b/>
                <w:spacing w:val="-5"/>
                <w:sz w:val="16"/>
              </w:rPr>
              <w:t> </w:t>
            </w:r>
            <w:r>
              <w:rPr>
                <w:rFonts w:ascii="Arial"/>
                <w:b/>
                <w:sz w:val="16"/>
              </w:rPr>
              <w:t>sold</w:t>
            </w:r>
            <w:r>
              <w:rPr>
                <w:rFonts w:ascii="Arial"/>
                <w:b/>
                <w:spacing w:val="-5"/>
                <w:sz w:val="16"/>
              </w:rPr>
              <w:t> </w:t>
            </w:r>
            <w:r>
              <w:rPr>
                <w:rFonts w:ascii="Arial"/>
                <w:b/>
                <w:sz w:val="16"/>
              </w:rPr>
              <w:t>under</w:t>
            </w:r>
            <w:r>
              <w:rPr>
                <w:rFonts w:ascii="Arial"/>
                <w:b/>
                <w:spacing w:val="-5"/>
                <w:sz w:val="16"/>
              </w:rPr>
              <w:t> </w:t>
            </w:r>
            <w:r>
              <w:rPr>
                <w:rFonts w:ascii="Arial"/>
                <w:b/>
                <w:sz w:val="16"/>
              </w:rPr>
              <w:t>repurchase</w:t>
            </w:r>
            <w:r>
              <w:rPr>
                <w:rFonts w:ascii="Arial"/>
                <w:b/>
                <w:spacing w:val="-5"/>
                <w:sz w:val="16"/>
              </w:rPr>
              <w:t> </w:t>
            </w:r>
            <w:r>
              <w:rPr>
                <w:rFonts w:ascii="Arial"/>
                <w:b/>
                <w:sz w:val="16"/>
              </w:rPr>
              <w:t>agreements</w:t>
            </w:r>
            <w:r>
              <w:rPr>
                <w:rFonts w:ascii="Arial"/>
                <w:b/>
                <w:spacing w:val="-6"/>
                <w:sz w:val="16"/>
              </w:rPr>
              <w:t> </w:t>
            </w:r>
            <w:r>
              <w:rPr>
                <w:rFonts w:ascii="Arial"/>
                <w:b/>
                <w:spacing w:val="-10"/>
                <w:sz w:val="16"/>
                <w:vertAlign w:val="superscript"/>
              </w:rPr>
              <w:t>b</w:t>
            </w:r>
          </w:p>
          <w:p>
            <w:pPr>
              <w:pStyle w:val="TableParagraph"/>
              <w:spacing w:before="56"/>
              <w:ind w:left="52"/>
              <w:rPr>
                <w:sz w:val="16"/>
              </w:rPr>
            </w:pPr>
            <w:r>
              <w:rPr>
                <w:sz w:val="16"/>
              </w:rPr>
              <w:t>Average</w:t>
            </w:r>
            <w:r>
              <w:rPr>
                <w:spacing w:val="-5"/>
                <w:sz w:val="16"/>
              </w:rPr>
              <w:t> </w:t>
            </w:r>
            <w:r>
              <w:rPr>
                <w:sz w:val="16"/>
              </w:rPr>
              <w:t>monthly</w:t>
            </w:r>
            <w:r>
              <w:rPr>
                <w:spacing w:val="-4"/>
                <w:sz w:val="16"/>
              </w:rPr>
              <w:t> </w:t>
            </w:r>
            <w:r>
              <w:rPr>
                <w:sz w:val="16"/>
              </w:rPr>
              <w:t>balance</w:t>
            </w:r>
            <w:r>
              <w:rPr>
                <w:spacing w:val="-4"/>
                <w:sz w:val="16"/>
              </w:rPr>
              <w:t> </w:t>
            </w:r>
            <w:r>
              <w:rPr>
                <w:sz w:val="16"/>
              </w:rPr>
              <w:t>during</w:t>
            </w:r>
            <w:r>
              <w:rPr>
                <w:spacing w:val="-5"/>
                <w:sz w:val="16"/>
              </w:rPr>
              <w:t> </w:t>
            </w:r>
            <w:r>
              <w:rPr>
                <w:sz w:val="16"/>
              </w:rPr>
              <w:t>the</w:t>
            </w:r>
            <w:r>
              <w:rPr>
                <w:spacing w:val="-5"/>
                <w:sz w:val="16"/>
              </w:rPr>
              <w:t> </w:t>
            </w:r>
            <w:r>
              <w:rPr>
                <w:sz w:val="16"/>
              </w:rPr>
              <w:t>fiscal</w:t>
            </w:r>
            <w:r>
              <w:rPr>
                <w:spacing w:val="-3"/>
                <w:sz w:val="16"/>
              </w:rPr>
              <w:t> </w:t>
            </w:r>
            <w:r>
              <w:rPr>
                <w:spacing w:val="-4"/>
                <w:sz w:val="16"/>
              </w:rPr>
              <w:t>year</w:t>
            </w:r>
          </w:p>
        </w:tc>
        <w:tc>
          <w:tcPr>
            <w:tcW w:w="1416" w:type="dxa"/>
          </w:tcPr>
          <w:p>
            <w:pPr>
              <w:pStyle w:val="TableParagraph"/>
              <w:rPr>
                <w:rFonts w:ascii="Arial"/>
                <w:i/>
                <w:sz w:val="16"/>
              </w:rPr>
            </w:pPr>
          </w:p>
          <w:p>
            <w:pPr>
              <w:pStyle w:val="TableParagraph"/>
              <w:spacing w:before="28"/>
              <w:rPr>
                <w:rFonts w:ascii="Arial"/>
                <w:i/>
                <w:sz w:val="16"/>
              </w:rPr>
            </w:pPr>
          </w:p>
          <w:p>
            <w:pPr>
              <w:pStyle w:val="TableParagraph"/>
              <w:ind w:right="426"/>
              <w:jc w:val="right"/>
              <w:rPr>
                <w:sz w:val="16"/>
              </w:rPr>
            </w:pPr>
            <w:r>
              <w:rPr>
                <w:spacing w:val="-10"/>
                <w:sz w:val="16"/>
              </w:rPr>
              <w:t>$</w:t>
            </w:r>
          </w:p>
        </w:tc>
        <w:tc>
          <w:tcPr>
            <w:tcW w:w="1176" w:type="dxa"/>
          </w:tcPr>
          <w:p>
            <w:pPr>
              <w:pStyle w:val="TableParagraph"/>
              <w:rPr>
                <w:rFonts w:ascii="Arial"/>
                <w:i/>
                <w:sz w:val="16"/>
              </w:rPr>
            </w:pPr>
          </w:p>
          <w:p>
            <w:pPr>
              <w:pStyle w:val="TableParagraph"/>
              <w:spacing w:before="28"/>
              <w:rPr>
                <w:rFonts w:ascii="Arial"/>
                <w:i/>
                <w:sz w:val="16"/>
              </w:rPr>
            </w:pPr>
          </w:p>
          <w:p>
            <w:pPr>
              <w:pStyle w:val="TableParagraph"/>
              <w:ind w:left="648"/>
              <w:rPr>
                <w:sz w:val="16"/>
              </w:rPr>
            </w:pPr>
            <w:r>
              <w:rPr>
                <w:spacing w:val="-5"/>
                <w:sz w:val="16"/>
              </w:rPr>
              <w:t>578</w:t>
            </w:r>
          </w:p>
        </w:tc>
        <w:tc>
          <w:tcPr>
            <w:tcW w:w="581" w:type="dxa"/>
          </w:tcPr>
          <w:p>
            <w:pPr>
              <w:pStyle w:val="TableParagraph"/>
              <w:rPr>
                <w:rFonts w:ascii="Arial"/>
                <w:i/>
                <w:sz w:val="16"/>
              </w:rPr>
            </w:pPr>
          </w:p>
          <w:p>
            <w:pPr>
              <w:pStyle w:val="TableParagraph"/>
              <w:spacing w:before="28"/>
              <w:rPr>
                <w:rFonts w:ascii="Arial"/>
                <w:i/>
                <w:sz w:val="16"/>
              </w:rPr>
            </w:pPr>
          </w:p>
          <w:p>
            <w:pPr>
              <w:pStyle w:val="TableParagraph"/>
              <w:ind w:left="61"/>
              <w:rPr>
                <w:sz w:val="16"/>
              </w:rPr>
            </w:pPr>
            <w:r>
              <w:rPr>
                <w:spacing w:val="-10"/>
                <w:sz w:val="16"/>
              </w:rPr>
              <w:t>$</w:t>
            </w:r>
          </w:p>
        </w:tc>
        <w:tc>
          <w:tcPr>
            <w:tcW w:w="1127" w:type="dxa"/>
          </w:tcPr>
          <w:p>
            <w:pPr>
              <w:pStyle w:val="TableParagraph"/>
              <w:rPr>
                <w:rFonts w:ascii="Arial"/>
                <w:i/>
                <w:sz w:val="16"/>
              </w:rPr>
            </w:pPr>
          </w:p>
          <w:p>
            <w:pPr>
              <w:pStyle w:val="TableParagraph"/>
              <w:spacing w:before="28"/>
              <w:rPr>
                <w:rFonts w:ascii="Arial"/>
                <w:i/>
                <w:sz w:val="16"/>
              </w:rPr>
            </w:pPr>
          </w:p>
          <w:p>
            <w:pPr>
              <w:pStyle w:val="TableParagraph"/>
              <w:ind w:left="646"/>
              <w:rPr>
                <w:sz w:val="16"/>
              </w:rPr>
            </w:pPr>
            <w:r>
              <w:rPr>
                <w:spacing w:val="-5"/>
                <w:sz w:val="16"/>
              </w:rPr>
              <w:t>145</w:t>
            </w:r>
          </w:p>
        </w:tc>
      </w:tr>
      <w:tr>
        <w:trPr>
          <w:trHeight w:val="349" w:hRule="atLeast"/>
        </w:trPr>
        <w:tc>
          <w:tcPr>
            <w:tcW w:w="5064" w:type="dxa"/>
          </w:tcPr>
          <w:p>
            <w:pPr>
              <w:pStyle w:val="TableParagraph"/>
              <w:spacing w:before="25"/>
              <w:ind w:left="52"/>
              <w:rPr>
                <w:sz w:val="16"/>
              </w:rPr>
            </w:pPr>
            <w:r>
              <w:rPr>
                <w:sz w:val="16"/>
              </w:rPr>
              <w:t>Weighted-average</w:t>
            </w:r>
            <w:r>
              <w:rPr>
                <w:spacing w:val="-6"/>
                <w:sz w:val="16"/>
              </w:rPr>
              <w:t> </w:t>
            </w:r>
            <w:r>
              <w:rPr>
                <w:sz w:val="16"/>
              </w:rPr>
              <w:t>rate</w:t>
            </w:r>
            <w:r>
              <w:rPr>
                <w:spacing w:val="-5"/>
                <w:sz w:val="16"/>
              </w:rPr>
              <w:t> </w:t>
            </w:r>
            <w:r>
              <w:rPr>
                <w:sz w:val="16"/>
              </w:rPr>
              <w:t>during</w:t>
            </w:r>
            <w:r>
              <w:rPr>
                <w:spacing w:val="-5"/>
                <w:sz w:val="16"/>
              </w:rPr>
              <w:t> </w:t>
            </w:r>
            <w:r>
              <w:rPr>
                <w:sz w:val="16"/>
              </w:rPr>
              <w:t>the</w:t>
            </w:r>
            <w:r>
              <w:rPr>
                <w:spacing w:val="-5"/>
                <w:sz w:val="16"/>
              </w:rPr>
              <w:t> </w:t>
            </w:r>
            <w:r>
              <w:rPr>
                <w:sz w:val="16"/>
              </w:rPr>
              <w:t>fiscal</w:t>
            </w:r>
            <w:r>
              <w:rPr>
                <w:spacing w:val="-4"/>
                <w:sz w:val="16"/>
              </w:rPr>
              <w:t> year</w:t>
            </w:r>
          </w:p>
        </w:tc>
        <w:tc>
          <w:tcPr>
            <w:tcW w:w="1416" w:type="dxa"/>
          </w:tcPr>
          <w:p>
            <w:pPr>
              <w:pStyle w:val="TableParagraph"/>
              <w:rPr>
                <w:rFonts w:ascii="Times New Roman"/>
                <w:sz w:val="18"/>
              </w:rPr>
            </w:pPr>
          </w:p>
        </w:tc>
        <w:tc>
          <w:tcPr>
            <w:tcW w:w="1176" w:type="dxa"/>
          </w:tcPr>
          <w:p>
            <w:pPr>
              <w:pStyle w:val="TableParagraph"/>
              <w:spacing w:before="25"/>
              <w:ind w:right="63"/>
              <w:jc w:val="right"/>
              <w:rPr>
                <w:sz w:val="16"/>
              </w:rPr>
            </w:pPr>
            <w:r>
              <w:rPr>
                <w:sz w:val="16"/>
              </w:rPr>
              <w:t>2.37</w:t>
            </w:r>
            <w:r>
              <w:rPr>
                <w:spacing w:val="6"/>
                <w:sz w:val="16"/>
              </w:rPr>
              <w:t> </w:t>
            </w:r>
            <w:r>
              <w:rPr>
                <w:spacing w:val="-10"/>
                <w:sz w:val="16"/>
              </w:rPr>
              <w:t>%</w:t>
            </w:r>
          </w:p>
        </w:tc>
        <w:tc>
          <w:tcPr>
            <w:tcW w:w="581" w:type="dxa"/>
          </w:tcPr>
          <w:p>
            <w:pPr>
              <w:pStyle w:val="TableParagraph"/>
              <w:rPr>
                <w:rFonts w:ascii="Times New Roman"/>
                <w:sz w:val="18"/>
              </w:rPr>
            </w:pPr>
          </w:p>
        </w:tc>
        <w:tc>
          <w:tcPr>
            <w:tcW w:w="1127" w:type="dxa"/>
          </w:tcPr>
          <w:p>
            <w:pPr>
              <w:pStyle w:val="TableParagraph"/>
              <w:spacing w:before="25"/>
              <w:ind w:right="16"/>
              <w:jc w:val="right"/>
              <w:rPr>
                <w:sz w:val="16"/>
              </w:rPr>
            </w:pPr>
            <w:r>
              <w:rPr>
                <w:sz w:val="16"/>
              </w:rPr>
              <w:t>0.02</w:t>
            </w:r>
            <w:r>
              <w:rPr>
                <w:spacing w:val="6"/>
                <w:sz w:val="16"/>
              </w:rPr>
              <w:t> </w:t>
            </w:r>
            <w:r>
              <w:rPr>
                <w:spacing w:val="-10"/>
                <w:sz w:val="16"/>
              </w:rPr>
              <w:t>%</w:t>
            </w:r>
          </w:p>
        </w:tc>
      </w:tr>
      <w:tr>
        <w:trPr>
          <w:trHeight w:val="610" w:hRule="atLeast"/>
        </w:trPr>
        <w:tc>
          <w:tcPr>
            <w:tcW w:w="5064" w:type="dxa"/>
          </w:tcPr>
          <w:p>
            <w:pPr>
              <w:pStyle w:val="TableParagraph"/>
              <w:spacing w:before="156"/>
              <w:ind w:left="52"/>
              <w:rPr>
                <w:rFonts w:ascii="Arial"/>
                <w:b/>
                <w:sz w:val="16"/>
              </w:rPr>
            </w:pPr>
            <w:r>
              <w:rPr>
                <w:rFonts w:ascii="Arial"/>
                <w:b/>
                <w:sz w:val="16"/>
              </w:rPr>
              <w:t>Other</w:t>
            </w:r>
            <w:r>
              <w:rPr>
                <w:rFonts w:ascii="Arial"/>
                <w:b/>
                <w:spacing w:val="-6"/>
                <w:sz w:val="16"/>
              </w:rPr>
              <w:t> </w:t>
            </w:r>
            <w:r>
              <w:rPr>
                <w:rFonts w:ascii="Arial"/>
                <w:b/>
                <w:sz w:val="16"/>
              </w:rPr>
              <w:t>short-term</w:t>
            </w:r>
            <w:r>
              <w:rPr>
                <w:rFonts w:ascii="Arial"/>
                <w:b/>
                <w:spacing w:val="-5"/>
                <w:sz w:val="16"/>
              </w:rPr>
              <w:t> </w:t>
            </w:r>
            <w:r>
              <w:rPr>
                <w:rFonts w:ascii="Arial"/>
                <w:b/>
                <w:sz w:val="16"/>
              </w:rPr>
              <w:t>borrowings</w:t>
            </w:r>
            <w:r>
              <w:rPr>
                <w:rFonts w:ascii="Arial"/>
                <w:b/>
                <w:spacing w:val="-6"/>
                <w:sz w:val="16"/>
              </w:rPr>
              <w:t> </w:t>
            </w:r>
            <w:r>
              <w:rPr>
                <w:rFonts w:ascii="Arial"/>
                <w:b/>
                <w:spacing w:val="-10"/>
                <w:sz w:val="16"/>
                <w:vertAlign w:val="superscript"/>
              </w:rPr>
              <w:t>a</w:t>
            </w:r>
          </w:p>
          <w:p>
            <w:pPr>
              <w:pStyle w:val="TableParagraph"/>
              <w:spacing w:before="56"/>
              <w:ind w:left="52"/>
              <w:rPr>
                <w:sz w:val="16"/>
              </w:rPr>
            </w:pPr>
            <w:r>
              <w:rPr>
                <w:sz w:val="16"/>
              </w:rPr>
              <w:t>Average</w:t>
            </w:r>
            <w:r>
              <w:rPr>
                <w:spacing w:val="-5"/>
                <w:sz w:val="16"/>
              </w:rPr>
              <w:t> </w:t>
            </w:r>
            <w:r>
              <w:rPr>
                <w:sz w:val="16"/>
              </w:rPr>
              <w:t>daily</w:t>
            </w:r>
            <w:r>
              <w:rPr>
                <w:spacing w:val="-4"/>
                <w:sz w:val="16"/>
              </w:rPr>
              <w:t> </w:t>
            </w:r>
            <w:r>
              <w:rPr>
                <w:sz w:val="16"/>
              </w:rPr>
              <w:t>balance</w:t>
            </w:r>
            <w:r>
              <w:rPr>
                <w:spacing w:val="-4"/>
                <w:sz w:val="16"/>
              </w:rPr>
              <w:t> </w:t>
            </w:r>
            <w:r>
              <w:rPr>
                <w:sz w:val="16"/>
              </w:rPr>
              <w:t>during</w:t>
            </w:r>
            <w:r>
              <w:rPr>
                <w:spacing w:val="-5"/>
                <w:sz w:val="16"/>
              </w:rPr>
              <w:t> </w:t>
            </w:r>
            <w:r>
              <w:rPr>
                <w:sz w:val="16"/>
              </w:rPr>
              <w:t>the</w:t>
            </w:r>
            <w:r>
              <w:rPr>
                <w:spacing w:val="-5"/>
                <w:sz w:val="16"/>
              </w:rPr>
              <w:t> </w:t>
            </w:r>
            <w:r>
              <w:rPr>
                <w:sz w:val="16"/>
              </w:rPr>
              <w:t>fiscal</w:t>
            </w:r>
            <w:r>
              <w:rPr>
                <w:spacing w:val="-3"/>
                <w:sz w:val="16"/>
              </w:rPr>
              <w:t> </w:t>
            </w:r>
            <w:r>
              <w:rPr>
                <w:spacing w:val="-4"/>
                <w:sz w:val="16"/>
              </w:rPr>
              <w:t>year</w:t>
            </w:r>
          </w:p>
        </w:tc>
        <w:tc>
          <w:tcPr>
            <w:tcW w:w="1416" w:type="dxa"/>
          </w:tcPr>
          <w:p>
            <w:pPr>
              <w:pStyle w:val="TableParagraph"/>
              <w:rPr>
                <w:rFonts w:ascii="Arial"/>
                <w:i/>
                <w:sz w:val="16"/>
              </w:rPr>
            </w:pPr>
          </w:p>
          <w:p>
            <w:pPr>
              <w:pStyle w:val="TableParagraph"/>
              <w:spacing w:before="28"/>
              <w:rPr>
                <w:rFonts w:ascii="Arial"/>
                <w:i/>
                <w:sz w:val="16"/>
              </w:rPr>
            </w:pPr>
          </w:p>
          <w:p>
            <w:pPr>
              <w:pStyle w:val="TableParagraph"/>
              <w:ind w:right="426"/>
              <w:jc w:val="right"/>
              <w:rPr>
                <w:sz w:val="16"/>
              </w:rPr>
            </w:pPr>
            <w:r>
              <w:rPr>
                <w:spacing w:val="-10"/>
                <w:sz w:val="16"/>
              </w:rPr>
              <w:t>$</w:t>
            </w:r>
          </w:p>
        </w:tc>
        <w:tc>
          <w:tcPr>
            <w:tcW w:w="1176" w:type="dxa"/>
          </w:tcPr>
          <w:p>
            <w:pPr>
              <w:pStyle w:val="TableParagraph"/>
              <w:rPr>
                <w:rFonts w:ascii="Arial"/>
                <w:i/>
                <w:sz w:val="16"/>
              </w:rPr>
            </w:pPr>
          </w:p>
          <w:p>
            <w:pPr>
              <w:pStyle w:val="TableParagraph"/>
              <w:spacing w:before="28"/>
              <w:rPr>
                <w:rFonts w:ascii="Arial"/>
                <w:i/>
                <w:sz w:val="16"/>
              </w:rPr>
            </w:pPr>
          </w:p>
          <w:p>
            <w:pPr>
              <w:pStyle w:val="TableParagraph"/>
              <w:ind w:left="648"/>
              <w:rPr>
                <w:sz w:val="16"/>
              </w:rPr>
            </w:pPr>
            <w:r>
              <w:rPr>
                <w:spacing w:val="-5"/>
                <w:sz w:val="16"/>
              </w:rPr>
              <w:t>120</w:t>
            </w:r>
          </w:p>
        </w:tc>
        <w:tc>
          <w:tcPr>
            <w:tcW w:w="581" w:type="dxa"/>
          </w:tcPr>
          <w:p>
            <w:pPr>
              <w:pStyle w:val="TableParagraph"/>
              <w:rPr>
                <w:rFonts w:ascii="Arial"/>
                <w:i/>
                <w:sz w:val="16"/>
              </w:rPr>
            </w:pPr>
          </w:p>
          <w:p>
            <w:pPr>
              <w:pStyle w:val="TableParagraph"/>
              <w:spacing w:before="28"/>
              <w:rPr>
                <w:rFonts w:ascii="Arial"/>
                <w:i/>
                <w:sz w:val="16"/>
              </w:rPr>
            </w:pPr>
          </w:p>
          <w:p>
            <w:pPr>
              <w:pStyle w:val="TableParagraph"/>
              <w:ind w:left="61"/>
              <w:rPr>
                <w:sz w:val="16"/>
              </w:rPr>
            </w:pPr>
            <w:r>
              <w:rPr>
                <w:spacing w:val="-10"/>
                <w:sz w:val="16"/>
              </w:rPr>
              <w:t>$</w:t>
            </w:r>
          </w:p>
        </w:tc>
        <w:tc>
          <w:tcPr>
            <w:tcW w:w="1127" w:type="dxa"/>
          </w:tcPr>
          <w:p>
            <w:pPr>
              <w:pStyle w:val="TableParagraph"/>
              <w:rPr>
                <w:rFonts w:ascii="Arial"/>
                <w:i/>
                <w:sz w:val="16"/>
              </w:rPr>
            </w:pPr>
          </w:p>
          <w:p>
            <w:pPr>
              <w:pStyle w:val="TableParagraph"/>
              <w:spacing w:before="28"/>
              <w:rPr>
                <w:rFonts w:ascii="Arial"/>
                <w:i/>
                <w:sz w:val="16"/>
              </w:rPr>
            </w:pPr>
          </w:p>
          <w:p>
            <w:pPr>
              <w:pStyle w:val="TableParagraph"/>
              <w:ind w:left="646"/>
              <w:rPr>
                <w:sz w:val="16"/>
              </w:rPr>
            </w:pPr>
            <w:r>
              <w:rPr>
                <w:spacing w:val="-5"/>
                <w:sz w:val="16"/>
              </w:rPr>
              <w:t>199</w:t>
            </w:r>
          </w:p>
        </w:tc>
      </w:tr>
      <w:tr>
        <w:trPr>
          <w:trHeight w:val="469" w:hRule="atLeast"/>
        </w:trPr>
        <w:tc>
          <w:tcPr>
            <w:tcW w:w="5064" w:type="dxa"/>
            <w:tcBorders>
              <w:bottom w:val="single" w:sz="8" w:space="0" w:color="6C6C6C"/>
            </w:tcBorders>
          </w:tcPr>
          <w:p>
            <w:pPr>
              <w:pStyle w:val="TableParagraph"/>
              <w:spacing w:before="25"/>
              <w:ind w:left="52"/>
              <w:rPr>
                <w:sz w:val="16"/>
              </w:rPr>
            </w:pPr>
            <w:r>
              <w:rPr>
                <w:sz w:val="16"/>
              </w:rPr>
              <w:t>Weighted-average</w:t>
            </w:r>
            <w:r>
              <w:rPr>
                <w:spacing w:val="-6"/>
                <w:sz w:val="16"/>
              </w:rPr>
              <w:t> </w:t>
            </w:r>
            <w:r>
              <w:rPr>
                <w:sz w:val="16"/>
              </w:rPr>
              <w:t>rate</w:t>
            </w:r>
            <w:r>
              <w:rPr>
                <w:spacing w:val="-5"/>
                <w:sz w:val="16"/>
              </w:rPr>
              <w:t> </w:t>
            </w:r>
            <w:r>
              <w:rPr>
                <w:sz w:val="16"/>
              </w:rPr>
              <w:t>during</w:t>
            </w:r>
            <w:r>
              <w:rPr>
                <w:spacing w:val="-5"/>
                <w:sz w:val="16"/>
              </w:rPr>
              <w:t> </w:t>
            </w:r>
            <w:r>
              <w:rPr>
                <w:sz w:val="16"/>
              </w:rPr>
              <w:t>the</w:t>
            </w:r>
            <w:r>
              <w:rPr>
                <w:spacing w:val="-5"/>
                <w:sz w:val="16"/>
              </w:rPr>
              <w:t> </w:t>
            </w:r>
            <w:r>
              <w:rPr>
                <w:sz w:val="16"/>
              </w:rPr>
              <w:t>fiscal</w:t>
            </w:r>
            <w:r>
              <w:rPr>
                <w:spacing w:val="-4"/>
                <w:sz w:val="16"/>
              </w:rPr>
              <w:t> year</w:t>
            </w:r>
          </w:p>
        </w:tc>
        <w:tc>
          <w:tcPr>
            <w:tcW w:w="1416" w:type="dxa"/>
            <w:tcBorders>
              <w:bottom w:val="single" w:sz="8" w:space="0" w:color="6C6C6C"/>
            </w:tcBorders>
          </w:tcPr>
          <w:p>
            <w:pPr>
              <w:pStyle w:val="TableParagraph"/>
              <w:rPr>
                <w:rFonts w:ascii="Times New Roman"/>
                <w:sz w:val="18"/>
              </w:rPr>
            </w:pPr>
          </w:p>
        </w:tc>
        <w:tc>
          <w:tcPr>
            <w:tcW w:w="1176" w:type="dxa"/>
            <w:tcBorders>
              <w:bottom w:val="single" w:sz="8" w:space="0" w:color="6C6C6C"/>
            </w:tcBorders>
          </w:tcPr>
          <w:p>
            <w:pPr>
              <w:pStyle w:val="TableParagraph"/>
              <w:spacing w:before="25"/>
              <w:ind w:right="63"/>
              <w:jc w:val="right"/>
              <w:rPr>
                <w:sz w:val="16"/>
              </w:rPr>
            </w:pPr>
            <w:r>
              <w:rPr>
                <w:sz w:val="16"/>
              </w:rPr>
              <w:t>3.03</w:t>
            </w:r>
            <w:r>
              <w:rPr>
                <w:spacing w:val="6"/>
                <w:sz w:val="16"/>
              </w:rPr>
              <w:t> </w:t>
            </w:r>
            <w:r>
              <w:rPr>
                <w:spacing w:val="-10"/>
                <w:sz w:val="16"/>
              </w:rPr>
              <w:t>%</w:t>
            </w:r>
          </w:p>
        </w:tc>
        <w:tc>
          <w:tcPr>
            <w:tcW w:w="581" w:type="dxa"/>
            <w:tcBorders>
              <w:bottom w:val="single" w:sz="8" w:space="0" w:color="6C6C6C"/>
            </w:tcBorders>
          </w:tcPr>
          <w:p>
            <w:pPr>
              <w:pStyle w:val="TableParagraph"/>
              <w:rPr>
                <w:rFonts w:ascii="Times New Roman"/>
                <w:sz w:val="18"/>
              </w:rPr>
            </w:pPr>
          </w:p>
        </w:tc>
        <w:tc>
          <w:tcPr>
            <w:tcW w:w="1127" w:type="dxa"/>
            <w:tcBorders>
              <w:bottom w:val="single" w:sz="8" w:space="0" w:color="6C6C6C"/>
            </w:tcBorders>
          </w:tcPr>
          <w:p>
            <w:pPr>
              <w:pStyle w:val="TableParagraph"/>
              <w:spacing w:before="25"/>
              <w:ind w:right="16"/>
              <w:jc w:val="right"/>
              <w:rPr>
                <w:sz w:val="16"/>
              </w:rPr>
            </w:pPr>
            <w:r>
              <w:rPr>
                <w:sz w:val="16"/>
              </w:rPr>
              <w:t>0.28</w:t>
            </w:r>
            <w:r>
              <w:rPr>
                <w:spacing w:val="6"/>
                <w:sz w:val="16"/>
              </w:rPr>
              <w:t> </w:t>
            </w:r>
            <w:r>
              <w:rPr>
                <w:spacing w:val="-10"/>
                <w:sz w:val="16"/>
              </w:rPr>
              <w:t>%</w:t>
            </w:r>
          </w:p>
        </w:tc>
      </w:tr>
      <w:tr>
        <w:trPr>
          <w:trHeight w:val="432" w:hRule="atLeast"/>
        </w:trPr>
        <w:tc>
          <w:tcPr>
            <w:tcW w:w="5064" w:type="dxa"/>
            <w:tcBorders>
              <w:top w:val="single" w:sz="8" w:space="0" w:color="6C6C6C"/>
            </w:tcBorders>
          </w:tcPr>
          <w:p>
            <w:pPr>
              <w:pStyle w:val="TableParagraph"/>
              <w:numPr>
                <w:ilvl w:val="0"/>
                <w:numId w:val="18"/>
              </w:numPr>
              <w:tabs>
                <w:tab w:pos="228" w:val="left" w:leader="none"/>
              </w:tabs>
              <w:spacing w:line="240" w:lineRule="auto" w:before="9" w:after="0"/>
              <w:ind w:left="228" w:right="0" w:hanging="176"/>
              <w:jc w:val="left"/>
              <w:rPr>
                <w:rFonts w:ascii="Arial"/>
                <w:i/>
                <w:sz w:val="16"/>
              </w:rPr>
            </w:pPr>
            <w:r>
              <w:rPr>
                <w:rFonts w:ascii="Arial"/>
                <w:i/>
                <w:sz w:val="16"/>
              </w:rPr>
              <w:t>At</w:t>
            </w:r>
            <w:r>
              <w:rPr>
                <w:rFonts w:ascii="Arial"/>
                <w:i/>
                <w:spacing w:val="-3"/>
                <w:sz w:val="16"/>
              </w:rPr>
              <w:t> </w:t>
            </w:r>
            <w:r>
              <w:rPr>
                <w:rFonts w:ascii="Arial"/>
                <w:i/>
                <w:sz w:val="16"/>
              </w:rPr>
              <w:t>amortized</w:t>
            </w:r>
            <w:r>
              <w:rPr>
                <w:rFonts w:ascii="Arial"/>
                <w:i/>
                <w:spacing w:val="-4"/>
                <w:sz w:val="16"/>
              </w:rPr>
              <w:t> </w:t>
            </w:r>
            <w:r>
              <w:rPr>
                <w:rFonts w:ascii="Arial"/>
                <w:i/>
                <w:sz w:val="16"/>
              </w:rPr>
              <w:t>cost</w:t>
            </w:r>
            <w:r>
              <w:rPr>
                <w:rFonts w:ascii="Arial"/>
                <w:i/>
                <w:spacing w:val="-3"/>
                <w:sz w:val="16"/>
              </w:rPr>
              <w:t> </w:t>
            </w:r>
            <w:r>
              <w:rPr>
                <w:rFonts w:ascii="Arial"/>
                <w:i/>
                <w:sz w:val="16"/>
              </w:rPr>
              <w:t>which</w:t>
            </w:r>
            <w:r>
              <w:rPr>
                <w:rFonts w:ascii="Arial"/>
                <w:i/>
                <w:spacing w:val="-4"/>
                <w:sz w:val="16"/>
              </w:rPr>
              <w:t> </w:t>
            </w:r>
            <w:r>
              <w:rPr>
                <w:rFonts w:ascii="Arial"/>
                <w:i/>
                <w:sz w:val="16"/>
              </w:rPr>
              <w:t>approximates</w:t>
            </w:r>
            <w:r>
              <w:rPr>
                <w:rFonts w:ascii="Arial"/>
                <w:i/>
                <w:spacing w:val="-3"/>
                <w:sz w:val="16"/>
              </w:rPr>
              <w:t> </w:t>
            </w:r>
            <w:r>
              <w:rPr>
                <w:rFonts w:ascii="Arial"/>
                <w:i/>
                <w:sz w:val="16"/>
              </w:rPr>
              <w:t>fair</w:t>
            </w:r>
            <w:r>
              <w:rPr>
                <w:rFonts w:ascii="Arial"/>
                <w:i/>
                <w:spacing w:val="-2"/>
                <w:sz w:val="16"/>
              </w:rPr>
              <w:t> value.</w:t>
            </w:r>
          </w:p>
          <w:p>
            <w:pPr>
              <w:pStyle w:val="TableParagraph"/>
              <w:numPr>
                <w:ilvl w:val="0"/>
                <w:numId w:val="18"/>
              </w:numPr>
              <w:tabs>
                <w:tab w:pos="228" w:val="left" w:leader="none"/>
              </w:tabs>
              <w:spacing w:line="164" w:lineRule="exact" w:before="56" w:after="0"/>
              <w:ind w:left="228" w:right="0" w:hanging="176"/>
              <w:jc w:val="left"/>
              <w:rPr>
                <w:rFonts w:ascii="Arial"/>
                <w:i/>
                <w:sz w:val="16"/>
              </w:rPr>
            </w:pPr>
            <w:r>
              <w:rPr>
                <w:rFonts w:ascii="Arial"/>
                <w:i/>
                <w:sz w:val="16"/>
              </w:rPr>
              <w:t>Excludes</w:t>
            </w:r>
            <w:r>
              <w:rPr>
                <w:rFonts w:ascii="Arial"/>
                <w:i/>
                <w:spacing w:val="-4"/>
                <w:sz w:val="16"/>
              </w:rPr>
              <w:t> </w:t>
            </w:r>
            <w:r>
              <w:rPr>
                <w:rFonts w:ascii="Arial"/>
                <w:i/>
                <w:sz w:val="16"/>
              </w:rPr>
              <w:t>securities</w:t>
            </w:r>
            <w:r>
              <w:rPr>
                <w:rFonts w:ascii="Arial"/>
                <w:i/>
                <w:spacing w:val="-3"/>
                <w:sz w:val="16"/>
              </w:rPr>
              <w:t> </w:t>
            </w:r>
            <w:r>
              <w:rPr>
                <w:rFonts w:ascii="Arial"/>
                <w:i/>
                <w:sz w:val="16"/>
              </w:rPr>
              <w:t>related</w:t>
            </w:r>
            <w:r>
              <w:rPr>
                <w:rFonts w:ascii="Arial"/>
                <w:i/>
                <w:spacing w:val="-4"/>
                <w:sz w:val="16"/>
              </w:rPr>
              <w:t> </w:t>
            </w:r>
            <w:r>
              <w:rPr>
                <w:rFonts w:ascii="Arial"/>
                <w:i/>
                <w:sz w:val="16"/>
              </w:rPr>
              <w:t>to</w:t>
            </w:r>
            <w:r>
              <w:rPr>
                <w:rFonts w:ascii="Arial"/>
                <w:i/>
                <w:spacing w:val="-4"/>
                <w:sz w:val="16"/>
              </w:rPr>
              <w:t> </w:t>
            </w:r>
            <w:r>
              <w:rPr>
                <w:rFonts w:ascii="Arial"/>
                <w:i/>
                <w:spacing w:val="-2"/>
                <w:sz w:val="16"/>
              </w:rPr>
              <w:t>PEBP.</w:t>
            </w:r>
          </w:p>
        </w:tc>
        <w:tc>
          <w:tcPr>
            <w:tcW w:w="1416" w:type="dxa"/>
            <w:tcBorders>
              <w:top w:val="single" w:sz="8" w:space="0" w:color="6C6C6C"/>
            </w:tcBorders>
          </w:tcPr>
          <w:p>
            <w:pPr>
              <w:pStyle w:val="TableParagraph"/>
              <w:rPr>
                <w:rFonts w:ascii="Times New Roman"/>
                <w:sz w:val="18"/>
              </w:rPr>
            </w:pPr>
          </w:p>
        </w:tc>
        <w:tc>
          <w:tcPr>
            <w:tcW w:w="1176" w:type="dxa"/>
            <w:tcBorders>
              <w:top w:val="single" w:sz="8" w:space="0" w:color="6C6C6C"/>
            </w:tcBorders>
          </w:tcPr>
          <w:p>
            <w:pPr>
              <w:pStyle w:val="TableParagraph"/>
              <w:rPr>
                <w:rFonts w:ascii="Times New Roman"/>
                <w:sz w:val="18"/>
              </w:rPr>
            </w:pPr>
          </w:p>
        </w:tc>
        <w:tc>
          <w:tcPr>
            <w:tcW w:w="581" w:type="dxa"/>
            <w:tcBorders>
              <w:top w:val="single" w:sz="8" w:space="0" w:color="6C6C6C"/>
            </w:tcBorders>
          </w:tcPr>
          <w:p>
            <w:pPr>
              <w:pStyle w:val="TableParagraph"/>
              <w:rPr>
                <w:rFonts w:ascii="Times New Roman"/>
                <w:sz w:val="18"/>
              </w:rPr>
            </w:pPr>
          </w:p>
        </w:tc>
        <w:tc>
          <w:tcPr>
            <w:tcW w:w="1127" w:type="dxa"/>
            <w:tcBorders>
              <w:top w:val="single" w:sz="8" w:space="0" w:color="6C6C6C"/>
            </w:tcBorders>
          </w:tcPr>
          <w:p>
            <w:pPr>
              <w:pStyle w:val="TableParagraph"/>
              <w:rPr>
                <w:rFonts w:ascii="Times New Roman"/>
                <w:sz w:val="18"/>
              </w:rPr>
            </w:pPr>
          </w:p>
        </w:tc>
      </w:tr>
    </w:tbl>
    <w:p>
      <w:pPr>
        <w:pStyle w:val="TableParagraph"/>
        <w:spacing w:after="0"/>
        <w:rPr>
          <w:rFonts w:ascii="Times New Roman"/>
          <w:sz w:val="18"/>
        </w:rPr>
        <w:sectPr>
          <w:pgSz w:w="12240" w:h="15840"/>
          <w:pgMar w:header="744" w:footer="713" w:top="1020" w:bottom="900" w:left="720" w:right="720"/>
        </w:sectPr>
      </w:pPr>
    </w:p>
    <w:p>
      <w:pPr>
        <w:pStyle w:val="BodyText"/>
        <w:spacing w:before="79"/>
        <w:rPr>
          <w:rFonts w:ascii="Arial"/>
          <w:i/>
          <w:sz w:val="24"/>
        </w:rPr>
      </w:pPr>
    </w:p>
    <w:p>
      <w:pPr>
        <w:pStyle w:val="Heading1"/>
      </w:pPr>
      <w:bookmarkStart w:name="Medium- and Long-Term Borrowings" w:id="85"/>
      <w:bookmarkEnd w:id="85"/>
      <w:r>
        <w:rPr>
          <w:b w:val="0"/>
        </w:rPr>
      </w:r>
      <w:bookmarkStart w:name="_bookmark57" w:id="86"/>
      <w:bookmarkEnd w:id="86"/>
      <w:r>
        <w:rPr>
          <w:b w:val="0"/>
        </w:rPr>
      </w:r>
      <w:r>
        <w:rPr/>
        <w:t>Medium-</w:t>
      </w:r>
      <w:r>
        <w:rPr>
          <w:spacing w:val="-2"/>
        </w:rPr>
        <w:t> </w:t>
      </w:r>
      <w:r>
        <w:rPr/>
        <w:t>and</w:t>
      </w:r>
      <w:r>
        <w:rPr>
          <w:spacing w:val="-2"/>
        </w:rPr>
        <w:t> </w:t>
      </w:r>
      <w:r>
        <w:rPr/>
        <w:t>Long-Term</w:t>
      </w:r>
      <w:r>
        <w:rPr>
          <w:spacing w:val="-1"/>
        </w:rPr>
        <w:t> </w:t>
      </w:r>
      <w:r>
        <w:rPr>
          <w:spacing w:val="-2"/>
        </w:rPr>
        <w:t>Borrowings</w:t>
      </w:r>
    </w:p>
    <w:p>
      <w:pPr>
        <w:pStyle w:val="BodyText"/>
        <w:spacing w:line="249" w:lineRule="auto" w:before="135"/>
        <w:ind w:left="720" w:right="718"/>
        <w:jc w:val="both"/>
      </w:pPr>
      <w:r>
        <w:rPr/>
        <w:t>In FY23, medium- and long-term debt raised directly by IBRD in the capital markets amounted to $42.2 billion with an average maturity to first call of 6.3 years (Table 23). The increase in medium-and long-term debt issuances in FY23 is primarily due to higher debt servicing and refinancing requirements.</w:t>
      </w:r>
    </w:p>
    <w:p>
      <w:pPr>
        <w:pStyle w:val="BodyText"/>
        <w:spacing w:before="8" w:after="1"/>
        <w:rPr>
          <w:sz w:val="16"/>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2"/>
        <w:gridCol w:w="2433"/>
        <w:gridCol w:w="1425"/>
      </w:tblGrid>
      <w:tr>
        <w:trPr>
          <w:trHeight w:val="702" w:hRule="atLeast"/>
        </w:trPr>
        <w:tc>
          <w:tcPr>
            <w:tcW w:w="5502" w:type="dxa"/>
            <w:tcBorders>
              <w:bottom w:val="single" w:sz="8" w:space="0" w:color="6C6C6C"/>
            </w:tcBorders>
          </w:tcPr>
          <w:p>
            <w:pPr>
              <w:pStyle w:val="TableParagraph"/>
              <w:spacing w:line="201" w:lineRule="exact"/>
              <w:ind w:left="52"/>
              <w:rPr>
                <w:rFonts w:ascii="Arial"/>
                <w:b/>
                <w:sz w:val="18"/>
              </w:rPr>
            </w:pPr>
            <w:bookmarkStart w:name="_bookmark58" w:id="87"/>
            <w:bookmarkEnd w:id="87"/>
            <w:r>
              <w:rPr/>
            </w:r>
            <w:r>
              <w:rPr>
                <w:rFonts w:ascii="Arial"/>
                <w:b/>
                <w:sz w:val="18"/>
              </w:rPr>
              <w:t>Table</w:t>
            </w:r>
            <w:r>
              <w:rPr>
                <w:rFonts w:ascii="Arial"/>
                <w:b/>
                <w:spacing w:val="-2"/>
                <w:sz w:val="18"/>
              </w:rPr>
              <w:t> </w:t>
            </w:r>
            <w:r>
              <w:rPr>
                <w:rFonts w:ascii="Arial"/>
                <w:b/>
                <w:sz w:val="18"/>
              </w:rPr>
              <w:t>23:</w:t>
            </w:r>
            <w:r>
              <w:rPr>
                <w:rFonts w:ascii="Arial"/>
                <w:b/>
                <w:spacing w:val="-1"/>
                <w:sz w:val="18"/>
              </w:rPr>
              <w:t> </w:t>
            </w:r>
            <w:r>
              <w:rPr>
                <w:rFonts w:ascii="Arial"/>
                <w:b/>
                <w:sz w:val="18"/>
              </w:rPr>
              <w:t>Funding</w:t>
            </w:r>
            <w:r>
              <w:rPr>
                <w:rFonts w:ascii="Arial"/>
                <w:b/>
                <w:spacing w:val="-2"/>
                <w:sz w:val="18"/>
              </w:rPr>
              <w:t> </w:t>
            </w:r>
            <w:r>
              <w:rPr>
                <w:rFonts w:ascii="Arial"/>
                <w:b/>
                <w:sz w:val="18"/>
              </w:rPr>
              <w:t>Operations</w:t>
            </w:r>
            <w:r>
              <w:rPr>
                <w:rFonts w:ascii="Arial"/>
                <w:b/>
                <w:spacing w:val="-1"/>
                <w:sz w:val="18"/>
              </w:rPr>
              <w:t> </w:t>
            </w:r>
            <w:r>
              <w:rPr>
                <w:rFonts w:ascii="Arial"/>
                <w:b/>
                <w:spacing w:val="-2"/>
                <w:sz w:val="18"/>
              </w:rPr>
              <w:t>Indicators</w:t>
            </w:r>
          </w:p>
          <w:p>
            <w:pPr>
              <w:pStyle w:val="TableParagraph"/>
              <w:spacing w:line="240" w:lineRule="exact" w:before="1"/>
              <w:ind w:left="52" w:right="881"/>
              <w:rPr>
                <w:rFonts w:ascii="Arial"/>
                <w:i/>
                <w:sz w:val="16"/>
              </w:rPr>
            </w:pPr>
            <w:r>
              <w:rPr>
                <w:rFonts w:ascii="Arial"/>
                <w:i/>
                <w:sz w:val="16"/>
              </w:rPr>
              <w:t>In</w:t>
            </w:r>
            <w:r>
              <w:rPr>
                <w:rFonts w:ascii="Arial"/>
                <w:i/>
                <w:spacing w:val="-5"/>
                <w:sz w:val="16"/>
              </w:rPr>
              <w:t> </w:t>
            </w:r>
            <w:r>
              <w:rPr>
                <w:rFonts w:ascii="Arial"/>
                <w:i/>
                <w:sz w:val="16"/>
              </w:rPr>
              <w:t>millions</w:t>
            </w:r>
            <w:r>
              <w:rPr>
                <w:rFonts w:ascii="Arial"/>
                <w:i/>
                <w:spacing w:val="-4"/>
                <w:sz w:val="16"/>
              </w:rPr>
              <w:t> </w:t>
            </w:r>
            <w:r>
              <w:rPr>
                <w:rFonts w:ascii="Arial"/>
                <w:i/>
                <w:sz w:val="16"/>
              </w:rPr>
              <w:t>of</w:t>
            </w:r>
            <w:r>
              <w:rPr>
                <w:rFonts w:ascii="Arial"/>
                <w:i/>
                <w:spacing w:val="-4"/>
                <w:sz w:val="16"/>
              </w:rPr>
              <w:t> </w:t>
            </w:r>
            <w:r>
              <w:rPr>
                <w:rFonts w:ascii="Arial"/>
                <w:i/>
                <w:sz w:val="16"/>
              </w:rPr>
              <w:t>U.S.</w:t>
            </w:r>
            <w:r>
              <w:rPr>
                <w:rFonts w:ascii="Arial"/>
                <w:i/>
                <w:spacing w:val="-4"/>
                <w:sz w:val="16"/>
              </w:rPr>
              <w:t> </w:t>
            </w:r>
            <w:r>
              <w:rPr>
                <w:rFonts w:ascii="Arial"/>
                <w:i/>
                <w:sz w:val="16"/>
              </w:rPr>
              <w:t>dollars,</w:t>
            </w:r>
            <w:r>
              <w:rPr>
                <w:rFonts w:ascii="Arial"/>
                <w:i/>
                <w:spacing w:val="-4"/>
                <w:sz w:val="16"/>
              </w:rPr>
              <w:t> </w:t>
            </w:r>
            <w:r>
              <w:rPr>
                <w:rFonts w:ascii="Arial"/>
                <w:i/>
                <w:sz w:val="16"/>
              </w:rPr>
              <w:t>except</w:t>
            </w:r>
            <w:r>
              <w:rPr>
                <w:rFonts w:ascii="Arial"/>
                <w:i/>
                <w:spacing w:val="-4"/>
                <w:sz w:val="16"/>
              </w:rPr>
              <w:t> </w:t>
            </w:r>
            <w:r>
              <w:rPr>
                <w:rFonts w:ascii="Arial"/>
                <w:i/>
                <w:sz w:val="16"/>
              </w:rPr>
              <w:t>maturities</w:t>
            </w:r>
            <w:r>
              <w:rPr>
                <w:rFonts w:ascii="Arial"/>
                <w:i/>
                <w:spacing w:val="-4"/>
                <w:sz w:val="16"/>
              </w:rPr>
              <w:t> </w:t>
            </w:r>
            <w:r>
              <w:rPr>
                <w:rFonts w:ascii="Arial"/>
                <w:i/>
                <w:sz w:val="16"/>
              </w:rPr>
              <w:t>which</w:t>
            </w:r>
            <w:r>
              <w:rPr>
                <w:rFonts w:ascii="Arial"/>
                <w:i/>
                <w:spacing w:val="-5"/>
                <w:sz w:val="16"/>
              </w:rPr>
              <w:t> </w:t>
            </w:r>
            <w:r>
              <w:rPr>
                <w:rFonts w:ascii="Arial"/>
                <w:i/>
                <w:sz w:val="16"/>
              </w:rPr>
              <w:t>are</w:t>
            </w:r>
            <w:r>
              <w:rPr>
                <w:rFonts w:ascii="Arial"/>
                <w:i/>
                <w:spacing w:val="-5"/>
                <w:sz w:val="16"/>
              </w:rPr>
              <w:t> </w:t>
            </w:r>
            <w:r>
              <w:rPr>
                <w:rFonts w:ascii="Arial"/>
                <w:i/>
                <w:sz w:val="16"/>
              </w:rPr>
              <w:t>in</w:t>
            </w:r>
            <w:r>
              <w:rPr>
                <w:rFonts w:ascii="Arial"/>
                <w:i/>
                <w:spacing w:val="-5"/>
                <w:sz w:val="16"/>
              </w:rPr>
              <w:t> </w:t>
            </w:r>
            <w:r>
              <w:rPr>
                <w:rFonts w:ascii="Arial"/>
                <w:i/>
                <w:sz w:val="16"/>
              </w:rPr>
              <w:t>years </w:t>
            </w:r>
            <w:r>
              <w:rPr>
                <w:rFonts w:ascii="Arial"/>
                <w:i/>
                <w:color w:val="484848"/>
                <w:sz w:val="16"/>
              </w:rPr>
              <w:t>For the fiscal year ended June 30,</w:t>
            </w:r>
          </w:p>
        </w:tc>
        <w:tc>
          <w:tcPr>
            <w:tcW w:w="2433" w:type="dxa"/>
            <w:tcBorders>
              <w:bottom w:val="single" w:sz="8" w:space="0" w:color="6C6C6C"/>
            </w:tcBorders>
          </w:tcPr>
          <w:p>
            <w:pPr>
              <w:pStyle w:val="TableParagraph"/>
              <w:rPr>
                <w:rFonts w:ascii="Times New Roman"/>
                <w:sz w:val="16"/>
              </w:rPr>
            </w:pPr>
          </w:p>
          <w:p>
            <w:pPr>
              <w:pStyle w:val="TableParagraph"/>
              <w:spacing w:before="127"/>
              <w:rPr>
                <w:rFonts w:ascii="Times New Roman"/>
                <w:sz w:val="16"/>
              </w:rPr>
            </w:pPr>
          </w:p>
          <w:p>
            <w:pPr>
              <w:pStyle w:val="TableParagraph"/>
              <w:ind w:right="80"/>
              <w:jc w:val="right"/>
              <w:rPr>
                <w:rFonts w:ascii="Arial"/>
                <w:i/>
                <w:sz w:val="16"/>
              </w:rPr>
            </w:pPr>
            <w:r>
              <w:rPr>
                <w:rFonts w:ascii="Arial"/>
                <w:i/>
                <w:color w:val="484848"/>
                <w:spacing w:val="-4"/>
                <w:sz w:val="16"/>
              </w:rPr>
              <w:t>2023</w:t>
            </w:r>
          </w:p>
        </w:tc>
        <w:tc>
          <w:tcPr>
            <w:tcW w:w="1425" w:type="dxa"/>
            <w:tcBorders>
              <w:bottom w:val="single" w:sz="8" w:space="0" w:color="6C6C6C"/>
            </w:tcBorders>
          </w:tcPr>
          <w:p>
            <w:pPr>
              <w:pStyle w:val="TableParagraph"/>
              <w:rPr>
                <w:rFonts w:ascii="Times New Roman"/>
                <w:sz w:val="16"/>
              </w:rPr>
            </w:pPr>
          </w:p>
          <w:p>
            <w:pPr>
              <w:pStyle w:val="TableParagraph"/>
              <w:spacing w:before="127"/>
              <w:rPr>
                <w:rFonts w:ascii="Times New Roman"/>
                <w:sz w:val="16"/>
              </w:rPr>
            </w:pPr>
          </w:p>
          <w:p>
            <w:pPr>
              <w:pStyle w:val="TableParagraph"/>
              <w:ind w:right="50"/>
              <w:jc w:val="right"/>
              <w:rPr>
                <w:rFonts w:ascii="Arial"/>
                <w:i/>
                <w:sz w:val="16"/>
              </w:rPr>
            </w:pPr>
            <w:r>
              <w:rPr>
                <w:rFonts w:ascii="Arial"/>
                <w:i/>
                <w:color w:val="484848"/>
                <w:spacing w:val="-4"/>
                <w:sz w:val="16"/>
              </w:rPr>
              <w:t>2022</w:t>
            </w:r>
          </w:p>
        </w:tc>
      </w:tr>
      <w:tr>
        <w:trPr>
          <w:trHeight w:val="467" w:hRule="atLeast"/>
        </w:trPr>
        <w:tc>
          <w:tcPr>
            <w:tcW w:w="5502" w:type="dxa"/>
            <w:tcBorders>
              <w:top w:val="single" w:sz="8" w:space="0" w:color="6C6C6C"/>
            </w:tcBorders>
          </w:tcPr>
          <w:p>
            <w:pPr>
              <w:pStyle w:val="TableParagraph"/>
              <w:spacing w:before="12"/>
              <w:ind w:left="52"/>
              <w:rPr>
                <w:rFonts w:ascii="Arial"/>
                <w:b/>
                <w:sz w:val="16"/>
              </w:rPr>
            </w:pPr>
            <w:r>
              <w:rPr>
                <w:rFonts w:ascii="Arial"/>
                <w:b/>
                <w:sz w:val="16"/>
              </w:rPr>
              <w:t>Issuances</w:t>
            </w:r>
            <w:r>
              <w:rPr>
                <w:rFonts w:ascii="Arial"/>
                <w:b/>
                <w:spacing w:val="-8"/>
                <w:sz w:val="16"/>
              </w:rPr>
              <w:t> </w:t>
            </w:r>
            <w:r>
              <w:rPr>
                <w:rFonts w:ascii="Arial"/>
                <w:b/>
                <w:spacing w:val="-10"/>
                <w:sz w:val="16"/>
                <w:vertAlign w:val="superscript"/>
              </w:rPr>
              <w:t>a</w:t>
            </w:r>
          </w:p>
          <w:p>
            <w:pPr>
              <w:pStyle w:val="TableParagraph"/>
              <w:spacing w:before="56"/>
              <w:ind w:left="52"/>
              <w:rPr>
                <w:sz w:val="16"/>
              </w:rPr>
            </w:pPr>
            <w:r>
              <w:rPr>
                <w:sz w:val="16"/>
              </w:rPr>
              <w:t>Medium-</w:t>
            </w:r>
            <w:r>
              <w:rPr>
                <w:spacing w:val="-5"/>
                <w:sz w:val="16"/>
              </w:rPr>
              <w:t> </w:t>
            </w:r>
            <w:r>
              <w:rPr>
                <w:sz w:val="16"/>
              </w:rPr>
              <w:t>and</w:t>
            </w:r>
            <w:r>
              <w:rPr>
                <w:spacing w:val="-4"/>
                <w:sz w:val="16"/>
              </w:rPr>
              <w:t> </w:t>
            </w:r>
            <w:r>
              <w:rPr>
                <w:sz w:val="16"/>
              </w:rPr>
              <w:t>long-term</w:t>
            </w:r>
            <w:r>
              <w:rPr>
                <w:spacing w:val="-5"/>
                <w:sz w:val="16"/>
              </w:rPr>
              <w:t> </w:t>
            </w:r>
            <w:r>
              <w:rPr>
                <w:sz w:val="16"/>
              </w:rPr>
              <w:t>funding</w:t>
            </w:r>
            <w:r>
              <w:rPr>
                <w:spacing w:val="-4"/>
                <w:sz w:val="16"/>
              </w:rPr>
              <w:t> </w:t>
            </w:r>
            <w:r>
              <w:rPr>
                <w:spacing w:val="-2"/>
                <w:sz w:val="16"/>
              </w:rPr>
              <w:t>raised</w:t>
            </w:r>
          </w:p>
        </w:tc>
        <w:tc>
          <w:tcPr>
            <w:tcW w:w="2433" w:type="dxa"/>
            <w:tcBorders>
              <w:top w:val="single" w:sz="8" w:space="0" w:color="6C6C6C"/>
            </w:tcBorders>
          </w:tcPr>
          <w:p>
            <w:pPr>
              <w:pStyle w:val="TableParagraph"/>
              <w:spacing w:before="68"/>
              <w:rPr>
                <w:rFonts w:ascii="Times New Roman"/>
                <w:sz w:val="16"/>
              </w:rPr>
            </w:pPr>
          </w:p>
          <w:p>
            <w:pPr>
              <w:pStyle w:val="TableParagraph"/>
              <w:tabs>
                <w:tab w:pos="785" w:val="left" w:leader="none"/>
              </w:tabs>
              <w:ind w:right="95"/>
              <w:jc w:val="right"/>
              <w:rPr>
                <w:sz w:val="16"/>
              </w:rPr>
            </w:pPr>
            <w:r>
              <w:rPr>
                <w:spacing w:val="-10"/>
                <w:sz w:val="16"/>
              </w:rPr>
              <w:t>$</w:t>
            </w:r>
            <w:r>
              <w:rPr>
                <w:sz w:val="16"/>
              </w:rPr>
              <w:tab/>
            </w:r>
            <w:r>
              <w:rPr>
                <w:spacing w:val="-2"/>
                <w:sz w:val="16"/>
              </w:rPr>
              <w:t>42,186</w:t>
            </w:r>
          </w:p>
        </w:tc>
        <w:tc>
          <w:tcPr>
            <w:tcW w:w="1425" w:type="dxa"/>
            <w:tcBorders>
              <w:top w:val="single" w:sz="8" w:space="0" w:color="6C6C6C"/>
            </w:tcBorders>
          </w:tcPr>
          <w:p>
            <w:pPr>
              <w:pStyle w:val="TableParagraph"/>
              <w:spacing w:before="68"/>
              <w:rPr>
                <w:rFonts w:ascii="Times New Roman"/>
                <w:sz w:val="16"/>
              </w:rPr>
            </w:pPr>
          </w:p>
          <w:p>
            <w:pPr>
              <w:pStyle w:val="TableParagraph"/>
              <w:tabs>
                <w:tab w:pos="785" w:val="left" w:leader="none"/>
              </w:tabs>
              <w:ind w:right="65"/>
              <w:jc w:val="right"/>
              <w:rPr>
                <w:sz w:val="16"/>
              </w:rPr>
            </w:pPr>
            <w:r>
              <w:rPr>
                <w:spacing w:val="-10"/>
                <w:sz w:val="16"/>
              </w:rPr>
              <w:t>$</w:t>
            </w:r>
            <w:r>
              <w:rPr>
                <w:sz w:val="16"/>
              </w:rPr>
              <w:tab/>
            </w:r>
            <w:r>
              <w:rPr>
                <w:spacing w:val="-2"/>
                <w:sz w:val="16"/>
              </w:rPr>
              <w:t>40,820</w:t>
            </w:r>
          </w:p>
        </w:tc>
      </w:tr>
      <w:tr>
        <w:trPr>
          <w:trHeight w:val="240" w:hRule="atLeast"/>
        </w:trPr>
        <w:tc>
          <w:tcPr>
            <w:tcW w:w="5502" w:type="dxa"/>
          </w:tcPr>
          <w:p>
            <w:pPr>
              <w:pStyle w:val="TableParagraph"/>
              <w:spacing w:before="25"/>
              <w:ind w:left="52"/>
              <w:rPr>
                <w:sz w:val="16"/>
              </w:rPr>
            </w:pPr>
            <w:r>
              <w:rPr>
                <w:sz w:val="16"/>
              </w:rPr>
              <w:t>Average</w:t>
            </w:r>
            <w:r>
              <w:rPr>
                <w:spacing w:val="-4"/>
                <w:sz w:val="16"/>
              </w:rPr>
              <w:t> </w:t>
            </w:r>
            <w:r>
              <w:rPr>
                <w:sz w:val="16"/>
              </w:rPr>
              <w:t>maturity</w:t>
            </w:r>
            <w:r>
              <w:rPr>
                <w:spacing w:val="-2"/>
                <w:sz w:val="16"/>
              </w:rPr>
              <w:t> </w:t>
            </w:r>
            <w:r>
              <w:rPr>
                <w:sz w:val="16"/>
              </w:rPr>
              <w:t>to</w:t>
            </w:r>
            <w:r>
              <w:rPr>
                <w:spacing w:val="-4"/>
                <w:sz w:val="16"/>
              </w:rPr>
              <w:t> </w:t>
            </w:r>
            <w:r>
              <w:rPr>
                <w:sz w:val="16"/>
              </w:rPr>
              <w:t>first</w:t>
            </w:r>
            <w:r>
              <w:rPr>
                <w:spacing w:val="-2"/>
                <w:sz w:val="16"/>
              </w:rPr>
              <w:t> </w:t>
            </w:r>
            <w:r>
              <w:rPr>
                <w:sz w:val="16"/>
              </w:rPr>
              <w:t>call</w:t>
            </w:r>
            <w:r>
              <w:rPr>
                <w:spacing w:val="-2"/>
                <w:sz w:val="16"/>
              </w:rPr>
              <w:t> </w:t>
            </w:r>
            <w:r>
              <w:rPr>
                <w:spacing w:val="-4"/>
                <w:sz w:val="16"/>
              </w:rPr>
              <w:t>date</w:t>
            </w:r>
          </w:p>
        </w:tc>
        <w:tc>
          <w:tcPr>
            <w:tcW w:w="2433" w:type="dxa"/>
          </w:tcPr>
          <w:p>
            <w:pPr>
              <w:pStyle w:val="TableParagraph"/>
              <w:spacing w:before="25"/>
              <w:ind w:right="95"/>
              <w:jc w:val="right"/>
              <w:rPr>
                <w:sz w:val="16"/>
              </w:rPr>
            </w:pPr>
            <w:r>
              <w:rPr>
                <w:spacing w:val="-5"/>
                <w:sz w:val="16"/>
              </w:rPr>
              <w:t>6.3</w:t>
            </w:r>
          </w:p>
        </w:tc>
        <w:tc>
          <w:tcPr>
            <w:tcW w:w="1425" w:type="dxa"/>
          </w:tcPr>
          <w:p>
            <w:pPr>
              <w:pStyle w:val="TableParagraph"/>
              <w:spacing w:before="25"/>
              <w:ind w:right="65"/>
              <w:jc w:val="right"/>
              <w:rPr>
                <w:sz w:val="16"/>
              </w:rPr>
            </w:pPr>
            <w:r>
              <w:rPr>
                <w:spacing w:val="-5"/>
                <w:sz w:val="16"/>
              </w:rPr>
              <w:t>7.6</w:t>
            </w:r>
          </w:p>
        </w:tc>
      </w:tr>
      <w:tr>
        <w:trPr>
          <w:trHeight w:val="360" w:hRule="atLeast"/>
        </w:trPr>
        <w:tc>
          <w:tcPr>
            <w:tcW w:w="5502" w:type="dxa"/>
          </w:tcPr>
          <w:p>
            <w:pPr>
              <w:pStyle w:val="TableParagraph"/>
              <w:spacing w:before="25"/>
              <w:ind w:left="52"/>
              <w:rPr>
                <w:sz w:val="16"/>
              </w:rPr>
            </w:pPr>
            <w:r>
              <w:rPr>
                <w:sz w:val="16"/>
              </w:rPr>
              <w:t>Average</w:t>
            </w:r>
            <w:r>
              <w:rPr>
                <w:spacing w:val="-5"/>
                <w:sz w:val="16"/>
              </w:rPr>
              <w:t> </w:t>
            </w:r>
            <w:r>
              <w:rPr>
                <w:sz w:val="16"/>
              </w:rPr>
              <w:t>maturity</w:t>
            </w:r>
            <w:r>
              <w:rPr>
                <w:spacing w:val="-3"/>
                <w:sz w:val="16"/>
              </w:rPr>
              <w:t> </w:t>
            </w:r>
            <w:r>
              <w:rPr>
                <w:sz w:val="16"/>
              </w:rPr>
              <w:t>to</w:t>
            </w:r>
            <w:r>
              <w:rPr>
                <w:spacing w:val="-5"/>
                <w:sz w:val="16"/>
              </w:rPr>
              <w:t> </w:t>
            </w:r>
            <w:r>
              <w:rPr>
                <w:sz w:val="16"/>
              </w:rPr>
              <w:t>contractual</w:t>
            </w:r>
            <w:r>
              <w:rPr>
                <w:spacing w:val="-3"/>
                <w:sz w:val="16"/>
              </w:rPr>
              <w:t> </w:t>
            </w:r>
            <w:r>
              <w:rPr>
                <w:sz w:val="16"/>
              </w:rPr>
              <w:t>final</w:t>
            </w:r>
            <w:r>
              <w:rPr>
                <w:spacing w:val="-3"/>
                <w:sz w:val="16"/>
              </w:rPr>
              <w:t> </w:t>
            </w:r>
            <w:r>
              <w:rPr>
                <w:spacing w:val="-2"/>
                <w:sz w:val="16"/>
              </w:rPr>
              <w:t>maturity</w:t>
            </w:r>
          </w:p>
        </w:tc>
        <w:tc>
          <w:tcPr>
            <w:tcW w:w="2433" w:type="dxa"/>
          </w:tcPr>
          <w:p>
            <w:pPr>
              <w:pStyle w:val="TableParagraph"/>
              <w:spacing w:before="25"/>
              <w:ind w:right="95"/>
              <w:jc w:val="right"/>
              <w:rPr>
                <w:sz w:val="16"/>
              </w:rPr>
            </w:pPr>
            <w:r>
              <w:rPr>
                <w:spacing w:val="-5"/>
                <w:sz w:val="16"/>
              </w:rPr>
              <w:t>6.9</w:t>
            </w:r>
          </w:p>
        </w:tc>
        <w:tc>
          <w:tcPr>
            <w:tcW w:w="1425" w:type="dxa"/>
          </w:tcPr>
          <w:p>
            <w:pPr>
              <w:pStyle w:val="TableParagraph"/>
              <w:spacing w:before="25"/>
              <w:ind w:right="65"/>
              <w:jc w:val="right"/>
              <w:rPr>
                <w:sz w:val="16"/>
              </w:rPr>
            </w:pPr>
            <w:r>
              <w:rPr>
                <w:spacing w:val="-5"/>
                <w:sz w:val="16"/>
              </w:rPr>
              <w:t>8.8</w:t>
            </w:r>
          </w:p>
        </w:tc>
      </w:tr>
      <w:tr>
        <w:trPr>
          <w:trHeight w:val="600" w:hRule="atLeast"/>
        </w:trPr>
        <w:tc>
          <w:tcPr>
            <w:tcW w:w="5502" w:type="dxa"/>
          </w:tcPr>
          <w:p>
            <w:pPr>
              <w:pStyle w:val="TableParagraph"/>
              <w:spacing w:before="145"/>
              <w:ind w:left="52"/>
              <w:rPr>
                <w:rFonts w:ascii="Arial"/>
                <w:b/>
                <w:sz w:val="16"/>
              </w:rPr>
            </w:pPr>
            <w:r>
              <w:rPr>
                <w:rFonts w:ascii="Arial"/>
                <w:b/>
                <w:spacing w:val="-2"/>
                <w:sz w:val="16"/>
              </w:rPr>
              <w:t>Maturities</w:t>
            </w:r>
          </w:p>
          <w:p>
            <w:pPr>
              <w:pStyle w:val="TableParagraph"/>
              <w:spacing w:before="56"/>
              <w:ind w:left="52"/>
              <w:rPr>
                <w:sz w:val="16"/>
              </w:rPr>
            </w:pPr>
            <w:r>
              <w:rPr>
                <w:sz w:val="16"/>
              </w:rPr>
              <w:t>Medium-</w:t>
            </w:r>
            <w:r>
              <w:rPr>
                <w:spacing w:val="-5"/>
                <w:sz w:val="16"/>
              </w:rPr>
              <w:t> </w:t>
            </w:r>
            <w:r>
              <w:rPr>
                <w:sz w:val="16"/>
              </w:rPr>
              <w:t>and</w:t>
            </w:r>
            <w:r>
              <w:rPr>
                <w:spacing w:val="-4"/>
                <w:sz w:val="16"/>
              </w:rPr>
              <w:t> </w:t>
            </w:r>
            <w:r>
              <w:rPr>
                <w:sz w:val="16"/>
              </w:rPr>
              <w:t>long-term</w:t>
            </w:r>
            <w:r>
              <w:rPr>
                <w:spacing w:val="-5"/>
                <w:sz w:val="16"/>
              </w:rPr>
              <w:t> </w:t>
            </w:r>
            <w:r>
              <w:rPr>
                <w:sz w:val="16"/>
              </w:rPr>
              <w:t>funding</w:t>
            </w:r>
            <w:r>
              <w:rPr>
                <w:spacing w:val="-4"/>
                <w:sz w:val="16"/>
              </w:rPr>
              <w:t> </w:t>
            </w:r>
            <w:r>
              <w:rPr>
                <w:spacing w:val="-2"/>
                <w:sz w:val="16"/>
              </w:rPr>
              <w:t>matured</w:t>
            </w:r>
          </w:p>
        </w:tc>
        <w:tc>
          <w:tcPr>
            <w:tcW w:w="2433" w:type="dxa"/>
          </w:tcPr>
          <w:p>
            <w:pPr>
              <w:pStyle w:val="TableParagraph"/>
              <w:rPr>
                <w:rFonts w:ascii="Times New Roman"/>
                <w:sz w:val="16"/>
              </w:rPr>
            </w:pPr>
          </w:p>
          <w:p>
            <w:pPr>
              <w:pStyle w:val="TableParagraph"/>
              <w:spacing w:before="17"/>
              <w:rPr>
                <w:rFonts w:ascii="Times New Roman"/>
                <w:sz w:val="16"/>
              </w:rPr>
            </w:pPr>
          </w:p>
          <w:p>
            <w:pPr>
              <w:pStyle w:val="TableParagraph"/>
              <w:tabs>
                <w:tab w:pos="785" w:val="left" w:leader="none"/>
              </w:tabs>
              <w:ind w:right="95"/>
              <w:jc w:val="right"/>
              <w:rPr>
                <w:sz w:val="16"/>
              </w:rPr>
            </w:pPr>
            <w:r>
              <w:rPr>
                <w:spacing w:val="-10"/>
                <w:sz w:val="16"/>
              </w:rPr>
              <w:t>$</w:t>
            </w:r>
            <w:r>
              <w:rPr>
                <w:sz w:val="16"/>
              </w:rPr>
              <w:tab/>
            </w:r>
            <w:r>
              <w:rPr>
                <w:spacing w:val="-2"/>
                <w:sz w:val="16"/>
              </w:rPr>
              <w:t>28,506</w:t>
            </w:r>
          </w:p>
        </w:tc>
        <w:tc>
          <w:tcPr>
            <w:tcW w:w="1425" w:type="dxa"/>
          </w:tcPr>
          <w:p>
            <w:pPr>
              <w:pStyle w:val="TableParagraph"/>
              <w:rPr>
                <w:rFonts w:ascii="Times New Roman"/>
                <w:sz w:val="16"/>
              </w:rPr>
            </w:pPr>
          </w:p>
          <w:p>
            <w:pPr>
              <w:pStyle w:val="TableParagraph"/>
              <w:spacing w:before="17"/>
              <w:rPr>
                <w:rFonts w:ascii="Times New Roman"/>
                <w:sz w:val="16"/>
              </w:rPr>
            </w:pPr>
          </w:p>
          <w:p>
            <w:pPr>
              <w:pStyle w:val="TableParagraph"/>
              <w:tabs>
                <w:tab w:pos="785" w:val="left" w:leader="none"/>
              </w:tabs>
              <w:ind w:right="65"/>
              <w:jc w:val="right"/>
              <w:rPr>
                <w:sz w:val="16"/>
              </w:rPr>
            </w:pPr>
            <w:r>
              <w:rPr>
                <w:spacing w:val="-10"/>
                <w:sz w:val="16"/>
              </w:rPr>
              <w:t>$</w:t>
            </w:r>
            <w:r>
              <w:rPr>
                <w:sz w:val="16"/>
              </w:rPr>
              <w:tab/>
            </w:r>
            <w:r>
              <w:rPr>
                <w:spacing w:val="-2"/>
                <w:sz w:val="16"/>
              </w:rPr>
              <w:t>35,057</w:t>
            </w:r>
          </w:p>
        </w:tc>
      </w:tr>
      <w:tr>
        <w:trPr>
          <w:trHeight w:val="359" w:hRule="atLeast"/>
        </w:trPr>
        <w:tc>
          <w:tcPr>
            <w:tcW w:w="5502" w:type="dxa"/>
          </w:tcPr>
          <w:p>
            <w:pPr>
              <w:pStyle w:val="TableParagraph"/>
              <w:spacing w:before="25"/>
              <w:ind w:left="52"/>
              <w:rPr>
                <w:sz w:val="16"/>
              </w:rPr>
            </w:pPr>
            <w:r>
              <w:rPr>
                <w:sz w:val="16"/>
              </w:rPr>
              <w:t>Average</w:t>
            </w:r>
            <w:r>
              <w:rPr>
                <w:spacing w:val="-5"/>
                <w:sz w:val="16"/>
              </w:rPr>
              <w:t> </w:t>
            </w:r>
            <w:r>
              <w:rPr>
                <w:sz w:val="16"/>
              </w:rPr>
              <w:t>maturity</w:t>
            </w:r>
            <w:r>
              <w:rPr>
                <w:spacing w:val="-3"/>
                <w:sz w:val="16"/>
              </w:rPr>
              <w:t> </w:t>
            </w:r>
            <w:r>
              <w:rPr>
                <w:sz w:val="16"/>
              </w:rPr>
              <w:t>of</w:t>
            </w:r>
            <w:r>
              <w:rPr>
                <w:spacing w:val="-3"/>
                <w:sz w:val="16"/>
              </w:rPr>
              <w:t> </w:t>
            </w:r>
            <w:r>
              <w:rPr>
                <w:sz w:val="16"/>
              </w:rPr>
              <w:t>debt</w:t>
            </w:r>
            <w:r>
              <w:rPr>
                <w:spacing w:val="-3"/>
                <w:sz w:val="16"/>
              </w:rPr>
              <w:t> </w:t>
            </w:r>
            <w:r>
              <w:rPr>
                <w:spacing w:val="-2"/>
                <w:sz w:val="16"/>
              </w:rPr>
              <w:t>matured</w:t>
            </w:r>
          </w:p>
        </w:tc>
        <w:tc>
          <w:tcPr>
            <w:tcW w:w="2433" w:type="dxa"/>
          </w:tcPr>
          <w:p>
            <w:pPr>
              <w:pStyle w:val="TableParagraph"/>
              <w:spacing w:before="25"/>
              <w:ind w:right="95"/>
              <w:jc w:val="right"/>
              <w:rPr>
                <w:sz w:val="16"/>
              </w:rPr>
            </w:pPr>
            <w:r>
              <w:rPr>
                <w:spacing w:val="-5"/>
                <w:sz w:val="16"/>
              </w:rPr>
              <w:t>5.4</w:t>
            </w:r>
          </w:p>
        </w:tc>
        <w:tc>
          <w:tcPr>
            <w:tcW w:w="1425" w:type="dxa"/>
          </w:tcPr>
          <w:p>
            <w:pPr>
              <w:pStyle w:val="TableParagraph"/>
              <w:spacing w:before="25"/>
              <w:ind w:right="65"/>
              <w:jc w:val="right"/>
              <w:rPr>
                <w:sz w:val="16"/>
              </w:rPr>
            </w:pPr>
            <w:r>
              <w:rPr>
                <w:spacing w:val="-5"/>
                <w:sz w:val="16"/>
              </w:rPr>
              <w:t>5.7</w:t>
            </w:r>
          </w:p>
        </w:tc>
      </w:tr>
      <w:tr>
        <w:trPr>
          <w:trHeight w:val="569" w:hRule="atLeast"/>
        </w:trPr>
        <w:tc>
          <w:tcPr>
            <w:tcW w:w="5502" w:type="dxa"/>
          </w:tcPr>
          <w:p>
            <w:pPr>
              <w:pStyle w:val="TableParagraph"/>
              <w:spacing w:before="145"/>
              <w:ind w:left="52"/>
              <w:rPr>
                <w:rFonts w:ascii="Arial"/>
                <w:b/>
                <w:sz w:val="16"/>
              </w:rPr>
            </w:pPr>
            <w:r>
              <w:rPr>
                <w:rFonts w:ascii="Arial"/>
                <w:b/>
                <w:spacing w:val="-2"/>
                <w:sz w:val="16"/>
              </w:rPr>
              <w:t>Called/Repurchased</w:t>
            </w:r>
          </w:p>
          <w:p>
            <w:pPr>
              <w:pStyle w:val="TableParagraph"/>
              <w:spacing w:line="164" w:lineRule="exact" w:before="56"/>
              <w:ind w:left="52"/>
              <w:rPr>
                <w:sz w:val="16"/>
              </w:rPr>
            </w:pPr>
            <w:r>
              <w:rPr>
                <w:sz w:val="16"/>
              </w:rPr>
              <w:t>Medium-</w:t>
            </w:r>
            <w:r>
              <w:rPr>
                <w:spacing w:val="-5"/>
                <w:sz w:val="16"/>
              </w:rPr>
              <w:t> </w:t>
            </w:r>
            <w:r>
              <w:rPr>
                <w:sz w:val="16"/>
              </w:rPr>
              <w:t>and</w:t>
            </w:r>
            <w:r>
              <w:rPr>
                <w:spacing w:val="-4"/>
                <w:sz w:val="16"/>
              </w:rPr>
              <w:t> </w:t>
            </w:r>
            <w:r>
              <w:rPr>
                <w:sz w:val="16"/>
              </w:rPr>
              <w:t>long-term</w:t>
            </w:r>
            <w:r>
              <w:rPr>
                <w:spacing w:val="-5"/>
                <w:sz w:val="16"/>
              </w:rPr>
              <w:t> </w:t>
            </w:r>
            <w:r>
              <w:rPr>
                <w:sz w:val="16"/>
              </w:rPr>
              <w:t>funding</w:t>
            </w:r>
            <w:r>
              <w:rPr>
                <w:spacing w:val="-4"/>
                <w:sz w:val="16"/>
              </w:rPr>
              <w:t> </w:t>
            </w:r>
            <w:r>
              <w:rPr>
                <w:spacing w:val="-2"/>
                <w:sz w:val="16"/>
              </w:rPr>
              <w:t>called/repurchased</w:t>
            </w:r>
          </w:p>
        </w:tc>
        <w:tc>
          <w:tcPr>
            <w:tcW w:w="2433" w:type="dxa"/>
          </w:tcPr>
          <w:p>
            <w:pPr>
              <w:pStyle w:val="TableParagraph"/>
              <w:rPr>
                <w:rFonts w:ascii="Times New Roman"/>
                <w:sz w:val="16"/>
              </w:rPr>
            </w:pPr>
          </w:p>
          <w:p>
            <w:pPr>
              <w:pStyle w:val="TableParagraph"/>
              <w:spacing w:before="17"/>
              <w:rPr>
                <w:rFonts w:ascii="Times New Roman"/>
                <w:sz w:val="16"/>
              </w:rPr>
            </w:pPr>
          </w:p>
          <w:p>
            <w:pPr>
              <w:pStyle w:val="TableParagraph"/>
              <w:tabs>
                <w:tab w:pos="874" w:val="left" w:leader="none"/>
              </w:tabs>
              <w:spacing w:line="164" w:lineRule="exact"/>
              <w:ind w:right="95"/>
              <w:jc w:val="right"/>
              <w:rPr>
                <w:sz w:val="16"/>
              </w:rPr>
            </w:pPr>
            <w:r>
              <w:rPr>
                <w:spacing w:val="-10"/>
                <w:sz w:val="16"/>
              </w:rPr>
              <w:t>$</w:t>
            </w:r>
            <w:r>
              <w:rPr>
                <w:sz w:val="16"/>
              </w:rPr>
              <w:tab/>
            </w:r>
            <w:r>
              <w:rPr>
                <w:spacing w:val="-2"/>
                <w:sz w:val="16"/>
              </w:rPr>
              <w:t>3,428</w:t>
            </w:r>
          </w:p>
        </w:tc>
        <w:tc>
          <w:tcPr>
            <w:tcW w:w="1425" w:type="dxa"/>
          </w:tcPr>
          <w:p>
            <w:pPr>
              <w:pStyle w:val="TableParagraph"/>
              <w:rPr>
                <w:rFonts w:ascii="Times New Roman"/>
                <w:sz w:val="16"/>
              </w:rPr>
            </w:pPr>
          </w:p>
          <w:p>
            <w:pPr>
              <w:pStyle w:val="TableParagraph"/>
              <w:spacing w:before="17"/>
              <w:rPr>
                <w:rFonts w:ascii="Times New Roman"/>
                <w:sz w:val="16"/>
              </w:rPr>
            </w:pPr>
          </w:p>
          <w:p>
            <w:pPr>
              <w:pStyle w:val="TableParagraph"/>
              <w:tabs>
                <w:tab w:pos="874" w:val="left" w:leader="none"/>
              </w:tabs>
              <w:spacing w:line="164" w:lineRule="exact"/>
              <w:ind w:right="65"/>
              <w:jc w:val="right"/>
              <w:rPr>
                <w:sz w:val="16"/>
              </w:rPr>
            </w:pPr>
            <w:r>
              <w:rPr>
                <w:spacing w:val="-10"/>
                <w:sz w:val="16"/>
              </w:rPr>
              <w:t>$</w:t>
            </w:r>
            <w:r>
              <w:rPr>
                <w:sz w:val="16"/>
              </w:rPr>
              <w:tab/>
            </w:r>
            <w:r>
              <w:rPr>
                <w:spacing w:val="-2"/>
                <w:sz w:val="16"/>
              </w:rPr>
              <w:t>2,797</w:t>
            </w:r>
          </w:p>
        </w:tc>
      </w:tr>
    </w:tbl>
    <w:p>
      <w:pPr>
        <w:pStyle w:val="BodyText"/>
        <w:spacing w:before="21"/>
      </w:pPr>
      <w:r>
        <w:rPr/>
        <mc:AlternateContent>
          <mc:Choice Requires="wps">
            <w:drawing>
              <wp:anchor distT="0" distB="0" distL="0" distR="0" allowOverlap="1" layoutInCell="1" locked="0" behindDoc="1" simplePos="0" relativeHeight="487646720">
                <wp:simplePos x="0" y="0"/>
                <wp:positionH relativeFrom="page">
                  <wp:posOffset>914400</wp:posOffset>
                </wp:positionH>
                <wp:positionV relativeFrom="paragraph">
                  <wp:posOffset>174973</wp:posOffset>
                </wp:positionV>
                <wp:extent cx="5943600" cy="1270"/>
                <wp:effectExtent l="0" t="0" r="0" b="0"/>
                <wp:wrapTopAndBottom/>
                <wp:docPr id="399" name="Graphic 399"/>
                <wp:cNvGraphicFramePr>
                  <a:graphicFrameLocks/>
                </wp:cNvGraphicFramePr>
                <a:graphic>
                  <a:graphicData uri="http://schemas.microsoft.com/office/word/2010/wordprocessingShape">
                    <wps:wsp>
                      <wps:cNvPr id="399" name="Graphic 399"/>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777471pt;width:468pt;height:.1pt;mso-position-horizontal-relative:page;mso-position-vertical-relative:paragraph;z-index:-15669760;mso-wrap-distance-left:0;mso-wrap-distance-right:0" id="docshape329" coordorigin="1440,276" coordsize="9360,0" path="m1440,276l10800,276e" filled="false" stroked="true" strokeweight="1pt" strokecolor="#6c6c6c">
                <v:path arrowok="t"/>
                <v:stroke dashstyle="solid"/>
                <w10:wrap type="topAndBottom"/>
              </v:shape>
            </w:pict>
          </mc:Fallback>
        </mc:AlternateContent>
      </w:r>
    </w:p>
    <w:p>
      <w:pPr>
        <w:spacing w:before="12"/>
        <w:ind w:left="772" w:right="0" w:firstLine="0"/>
        <w:jc w:val="left"/>
        <w:rPr>
          <w:rFonts w:ascii="Arial" w:hAnsi="Arial"/>
          <w:i/>
          <w:sz w:val="16"/>
        </w:rPr>
      </w:pPr>
      <w:r>
        <w:rPr>
          <w:rFonts w:ascii="Arial MT" w:hAnsi="Arial MT"/>
          <w:sz w:val="16"/>
        </w:rPr>
        <w:t>a.</w:t>
      </w:r>
      <w:r>
        <w:rPr>
          <w:rFonts w:ascii="Arial MT" w:hAnsi="Arial MT"/>
          <w:spacing w:val="-6"/>
          <w:sz w:val="16"/>
        </w:rPr>
        <w:t> </w:t>
      </w:r>
      <w:r>
        <w:rPr>
          <w:rFonts w:ascii="Arial" w:hAnsi="Arial"/>
          <w:i/>
          <w:sz w:val="16"/>
        </w:rPr>
        <w:t>Expected</w:t>
      </w:r>
      <w:r>
        <w:rPr>
          <w:rFonts w:ascii="Arial" w:hAnsi="Arial"/>
          <w:i/>
          <w:spacing w:val="-4"/>
          <w:sz w:val="16"/>
        </w:rPr>
        <w:t> </w:t>
      </w:r>
      <w:r>
        <w:rPr>
          <w:rFonts w:ascii="Arial" w:hAnsi="Arial"/>
          <w:i/>
          <w:sz w:val="16"/>
        </w:rPr>
        <w:t>life</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IBRD’s</w:t>
      </w:r>
      <w:r>
        <w:rPr>
          <w:rFonts w:ascii="Arial" w:hAnsi="Arial"/>
          <w:i/>
          <w:spacing w:val="-3"/>
          <w:sz w:val="16"/>
        </w:rPr>
        <w:t> </w:t>
      </w:r>
      <w:r>
        <w:rPr>
          <w:rFonts w:ascii="Arial" w:hAnsi="Arial"/>
          <w:i/>
          <w:sz w:val="16"/>
        </w:rPr>
        <w:t>bonds</w:t>
      </w:r>
      <w:r>
        <w:rPr>
          <w:rFonts w:ascii="Arial" w:hAnsi="Arial"/>
          <w:i/>
          <w:spacing w:val="-3"/>
          <w:sz w:val="16"/>
        </w:rPr>
        <w:t> </w:t>
      </w:r>
      <w:r>
        <w:rPr>
          <w:rFonts w:ascii="Arial" w:hAnsi="Arial"/>
          <w:i/>
          <w:sz w:val="16"/>
        </w:rPr>
        <w:t>are</w:t>
      </w:r>
      <w:r>
        <w:rPr>
          <w:rFonts w:ascii="Arial" w:hAnsi="Arial"/>
          <w:i/>
          <w:spacing w:val="-3"/>
          <w:sz w:val="16"/>
        </w:rPr>
        <w:t> </w:t>
      </w:r>
      <w:r>
        <w:rPr>
          <w:rFonts w:ascii="Arial" w:hAnsi="Arial"/>
          <w:i/>
          <w:sz w:val="16"/>
        </w:rPr>
        <w:t>generally</w:t>
      </w:r>
      <w:r>
        <w:rPr>
          <w:rFonts w:ascii="Arial" w:hAnsi="Arial"/>
          <w:i/>
          <w:spacing w:val="-3"/>
          <w:sz w:val="16"/>
        </w:rPr>
        <w:t> </w:t>
      </w:r>
      <w:r>
        <w:rPr>
          <w:rFonts w:ascii="Arial" w:hAnsi="Arial"/>
          <w:i/>
          <w:sz w:val="16"/>
        </w:rPr>
        <w:t>between</w:t>
      </w:r>
      <w:r>
        <w:rPr>
          <w:rFonts w:ascii="Arial" w:hAnsi="Arial"/>
          <w:i/>
          <w:spacing w:val="-4"/>
          <w:sz w:val="16"/>
        </w:rPr>
        <w:t> </w:t>
      </w:r>
      <w:r>
        <w:rPr>
          <w:rFonts w:ascii="Arial" w:hAnsi="Arial"/>
          <w:i/>
          <w:sz w:val="16"/>
        </w:rPr>
        <w:t>first</w:t>
      </w:r>
      <w:r>
        <w:rPr>
          <w:rFonts w:ascii="Arial" w:hAnsi="Arial"/>
          <w:i/>
          <w:spacing w:val="-2"/>
          <w:sz w:val="16"/>
        </w:rPr>
        <w:t> </w:t>
      </w:r>
      <w:r>
        <w:rPr>
          <w:rFonts w:ascii="Arial" w:hAnsi="Arial"/>
          <w:i/>
          <w:sz w:val="16"/>
        </w:rPr>
        <w:t>call</w:t>
      </w:r>
      <w:r>
        <w:rPr>
          <w:rFonts w:ascii="Arial" w:hAnsi="Arial"/>
          <w:i/>
          <w:spacing w:val="-3"/>
          <w:sz w:val="16"/>
        </w:rPr>
        <w:t> </w:t>
      </w:r>
      <w:r>
        <w:rPr>
          <w:rFonts w:ascii="Arial" w:hAnsi="Arial"/>
          <w:i/>
          <w:sz w:val="16"/>
        </w:rPr>
        <w:t>date</w:t>
      </w:r>
      <w:r>
        <w:rPr>
          <w:rFonts w:ascii="Arial" w:hAnsi="Arial"/>
          <w:i/>
          <w:spacing w:val="-4"/>
          <w:sz w:val="16"/>
        </w:rPr>
        <w:t> </w:t>
      </w:r>
      <w:r>
        <w:rPr>
          <w:rFonts w:ascii="Arial" w:hAnsi="Arial"/>
          <w:i/>
          <w:sz w:val="16"/>
        </w:rPr>
        <w:t>and</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contractual</w:t>
      </w:r>
      <w:r>
        <w:rPr>
          <w:rFonts w:ascii="Arial" w:hAnsi="Arial"/>
          <w:i/>
          <w:spacing w:val="-3"/>
          <w:sz w:val="16"/>
        </w:rPr>
        <w:t> </w:t>
      </w:r>
      <w:r>
        <w:rPr>
          <w:rFonts w:ascii="Arial" w:hAnsi="Arial"/>
          <w:i/>
          <w:sz w:val="16"/>
        </w:rPr>
        <w:t>final</w:t>
      </w:r>
      <w:r>
        <w:rPr>
          <w:rFonts w:ascii="Arial" w:hAnsi="Arial"/>
          <w:i/>
          <w:spacing w:val="-2"/>
          <w:sz w:val="16"/>
        </w:rPr>
        <w:t> maturity.</w:t>
      </w:r>
    </w:p>
    <w:p>
      <w:pPr>
        <w:pStyle w:val="BodyText"/>
        <w:spacing w:before="143"/>
        <w:rPr>
          <w:rFonts w:ascii="Arial"/>
          <w:i/>
          <w:sz w:val="18"/>
        </w:rPr>
      </w:pPr>
    </w:p>
    <w:p>
      <w:pPr>
        <w:spacing w:before="0"/>
        <w:ind w:left="772" w:right="0" w:firstLine="0"/>
        <w:jc w:val="left"/>
        <w:rPr>
          <w:rFonts w:ascii="Arial"/>
          <w:b/>
          <w:sz w:val="18"/>
        </w:rPr>
      </w:pPr>
      <w:bookmarkStart w:name="_bookmark59" w:id="88"/>
      <w:bookmarkEnd w:id="88"/>
      <w:r>
        <w:rPr/>
      </w:r>
      <w:r>
        <w:rPr>
          <w:rFonts w:ascii="Arial"/>
          <w:b/>
          <w:sz w:val="18"/>
        </w:rPr>
        <w:t>Table</w:t>
      </w:r>
      <w:r>
        <w:rPr>
          <w:rFonts w:ascii="Arial"/>
          <w:b/>
          <w:spacing w:val="-2"/>
          <w:sz w:val="18"/>
        </w:rPr>
        <w:t> </w:t>
      </w:r>
      <w:r>
        <w:rPr>
          <w:rFonts w:ascii="Arial"/>
          <w:b/>
          <w:sz w:val="18"/>
        </w:rPr>
        <w:t>24:</w:t>
      </w:r>
      <w:r>
        <w:rPr>
          <w:rFonts w:ascii="Arial"/>
          <w:b/>
          <w:spacing w:val="-1"/>
          <w:sz w:val="18"/>
        </w:rPr>
        <w:t> </w:t>
      </w:r>
      <w:r>
        <w:rPr>
          <w:rFonts w:ascii="Arial"/>
          <w:b/>
          <w:sz w:val="18"/>
        </w:rPr>
        <w:t>Maturity</w:t>
      </w:r>
      <w:r>
        <w:rPr>
          <w:rFonts w:ascii="Arial"/>
          <w:b/>
          <w:spacing w:val="-1"/>
          <w:sz w:val="18"/>
        </w:rPr>
        <w:t> </w:t>
      </w:r>
      <w:r>
        <w:rPr>
          <w:rFonts w:ascii="Arial"/>
          <w:b/>
          <w:sz w:val="18"/>
        </w:rPr>
        <w:t>Profile</w:t>
      </w:r>
      <w:r>
        <w:rPr>
          <w:rFonts w:ascii="Arial"/>
          <w:b/>
          <w:spacing w:val="-1"/>
          <w:sz w:val="18"/>
        </w:rPr>
        <w:t> </w:t>
      </w:r>
      <w:r>
        <w:rPr>
          <w:rFonts w:ascii="Arial"/>
          <w:b/>
          <w:sz w:val="18"/>
        </w:rPr>
        <w:t>of</w:t>
      </w:r>
      <w:r>
        <w:rPr>
          <w:rFonts w:ascii="Arial"/>
          <w:b/>
          <w:spacing w:val="-2"/>
          <w:sz w:val="18"/>
        </w:rPr>
        <w:t> </w:t>
      </w:r>
      <w:r>
        <w:rPr>
          <w:rFonts w:ascii="Arial"/>
          <w:b/>
          <w:sz w:val="18"/>
        </w:rPr>
        <w:t>Medium</w:t>
      </w:r>
      <w:r>
        <w:rPr>
          <w:rFonts w:ascii="Arial"/>
          <w:b/>
          <w:spacing w:val="-1"/>
          <w:sz w:val="18"/>
        </w:rPr>
        <w:t> </w:t>
      </w:r>
      <w:r>
        <w:rPr>
          <w:rFonts w:ascii="Arial"/>
          <w:b/>
          <w:sz w:val="18"/>
        </w:rPr>
        <w:t>and</w:t>
      </w:r>
      <w:r>
        <w:rPr>
          <w:rFonts w:ascii="Arial"/>
          <w:b/>
          <w:spacing w:val="-1"/>
          <w:sz w:val="18"/>
        </w:rPr>
        <w:t> </w:t>
      </w:r>
      <w:r>
        <w:rPr>
          <w:rFonts w:ascii="Arial"/>
          <w:b/>
          <w:sz w:val="18"/>
        </w:rPr>
        <w:t>Long-Term</w:t>
      </w:r>
      <w:r>
        <w:rPr>
          <w:rFonts w:ascii="Arial"/>
          <w:b/>
          <w:spacing w:val="-1"/>
          <w:sz w:val="18"/>
        </w:rPr>
        <w:t> </w:t>
      </w:r>
      <w:r>
        <w:rPr>
          <w:rFonts w:ascii="Arial"/>
          <w:b/>
          <w:spacing w:val="-4"/>
          <w:sz w:val="18"/>
        </w:rPr>
        <w:t>Debt</w:t>
      </w:r>
    </w:p>
    <w:p>
      <w:pPr>
        <w:spacing w:before="54"/>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56"/>
        <w:ind w:left="5964"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790080">
                <wp:simplePos x="0" y="0"/>
                <wp:positionH relativeFrom="page">
                  <wp:posOffset>2533650</wp:posOffset>
                </wp:positionH>
                <wp:positionV relativeFrom="paragraph">
                  <wp:posOffset>174032</wp:posOffset>
                </wp:positionV>
                <wp:extent cx="4324350" cy="127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4324350" cy="1270"/>
                        </a:xfrm>
                        <a:custGeom>
                          <a:avLst/>
                          <a:gdLst/>
                          <a:ahLst/>
                          <a:cxnLst/>
                          <a:rect l="l" t="t" r="r" b="b"/>
                          <a:pathLst>
                            <a:path w="4324350" h="0">
                              <a:moveTo>
                                <a:pt x="0" y="0"/>
                              </a:moveTo>
                              <a:lnTo>
                                <a:pt x="432435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080" from="199.5pt,13.703321pt" to="540pt,13.703321pt" stroked="true" strokeweight="1pt" strokecolor="#6c6c6c">
                <v:stroke dashstyle="solid"/>
                <w10:wrap type="none"/>
              </v:line>
            </w:pict>
          </mc:Fallback>
        </mc:AlternateContent>
      </w:r>
      <w:r>
        <w:rPr>
          <w:rFonts w:ascii="Arial"/>
          <w:i/>
          <w:color w:val="484848"/>
          <w:sz w:val="16"/>
        </w:rPr>
        <w:t>As</w:t>
      </w:r>
      <w:r>
        <w:rPr>
          <w:rFonts w:ascii="Arial"/>
          <w:i/>
          <w:color w:val="484848"/>
          <w:spacing w:val="-2"/>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2"/>
          <w:sz w:val="16"/>
        </w:rPr>
        <w:t> </w:t>
      </w:r>
      <w:r>
        <w:rPr>
          <w:rFonts w:ascii="Arial"/>
          <w:i/>
          <w:color w:val="484848"/>
          <w:sz w:val="16"/>
        </w:rPr>
        <w:t>30,</w:t>
      </w:r>
      <w:r>
        <w:rPr>
          <w:rFonts w:ascii="Arial"/>
          <w:i/>
          <w:color w:val="484848"/>
          <w:spacing w:val="-1"/>
          <w:sz w:val="16"/>
        </w:rPr>
        <w:t> </w:t>
      </w:r>
      <w:r>
        <w:rPr>
          <w:rFonts w:ascii="Arial"/>
          <w:i/>
          <w:color w:val="484848"/>
          <w:spacing w:val="-4"/>
          <w:sz w:val="16"/>
        </w:rPr>
        <w:t>2023</w:t>
      </w:r>
    </w:p>
    <w:p>
      <w:pPr>
        <w:spacing w:after="0"/>
        <w:jc w:val="left"/>
        <w:rPr>
          <w:rFonts w:ascii="Arial"/>
          <w:i/>
          <w:sz w:val="16"/>
        </w:rPr>
        <w:sectPr>
          <w:pgSz w:w="12240" w:h="15840"/>
          <w:pgMar w:header="744" w:footer="583" w:top="1020" w:bottom="780" w:left="720" w:right="720"/>
        </w:sectPr>
      </w:pPr>
    </w:p>
    <w:p>
      <w:pPr>
        <w:spacing w:line="208" w:lineRule="auto" w:before="79"/>
        <w:ind w:left="3602" w:right="0" w:hanging="258"/>
        <w:jc w:val="left"/>
        <w:rPr>
          <w:rFonts w:ascii="Arial"/>
          <w:i/>
          <w:sz w:val="16"/>
        </w:rPr>
      </w:pPr>
      <w:r>
        <w:rPr>
          <w:rFonts w:ascii="Arial"/>
          <w:i/>
          <w:color w:val="484848"/>
          <w:sz w:val="16"/>
        </w:rPr>
        <w:t>Less</w:t>
      </w:r>
      <w:r>
        <w:rPr>
          <w:rFonts w:ascii="Arial"/>
          <w:i/>
          <w:color w:val="484848"/>
          <w:spacing w:val="-12"/>
          <w:sz w:val="16"/>
        </w:rPr>
        <w:t> </w:t>
      </w:r>
      <w:r>
        <w:rPr>
          <w:rFonts w:ascii="Arial"/>
          <w:i/>
          <w:color w:val="484848"/>
          <w:sz w:val="16"/>
        </w:rPr>
        <w:t>than</w:t>
      </w:r>
      <w:r>
        <w:rPr>
          <w:rFonts w:ascii="Arial"/>
          <w:i/>
          <w:color w:val="484848"/>
          <w:spacing w:val="-11"/>
          <w:sz w:val="16"/>
        </w:rPr>
        <w:t> </w:t>
      </w:r>
      <w:r>
        <w:rPr>
          <w:rFonts w:ascii="Arial"/>
          <w:i/>
          <w:color w:val="484848"/>
          <w:sz w:val="16"/>
        </w:rPr>
        <w:t>1 </w:t>
      </w:r>
      <w:r>
        <w:rPr>
          <w:rFonts w:ascii="Arial"/>
          <w:i/>
          <w:color w:val="484848"/>
          <w:spacing w:val="-4"/>
          <w:sz w:val="16"/>
        </w:rPr>
        <w:t>year</w:t>
      </w:r>
    </w:p>
    <w:p>
      <w:pPr>
        <w:pStyle w:val="ListParagraph"/>
        <w:numPr>
          <w:ilvl w:val="0"/>
          <w:numId w:val="19"/>
        </w:numPr>
        <w:tabs>
          <w:tab w:pos="348" w:val="left" w:leader="none"/>
          <w:tab w:pos="475" w:val="left" w:leader="none"/>
        </w:tabs>
        <w:spacing w:line="208" w:lineRule="auto" w:before="79" w:after="0"/>
        <w:ind w:left="348" w:right="0" w:hanging="5"/>
        <w:jc w:val="left"/>
        <w:rPr>
          <w:rFonts w:ascii="Arial"/>
          <w:i/>
          <w:sz w:val="16"/>
        </w:rPr>
      </w:pPr>
      <w:r>
        <w:rPr/>
        <w:br w:type="column"/>
      </w:r>
      <w:r>
        <w:rPr>
          <w:rFonts w:ascii="Arial"/>
          <w:i/>
          <w:color w:val="484848"/>
          <w:sz w:val="16"/>
        </w:rPr>
        <w:t>to</w:t>
      </w:r>
      <w:r>
        <w:rPr>
          <w:rFonts w:ascii="Arial"/>
          <w:i/>
          <w:color w:val="484848"/>
          <w:spacing w:val="-12"/>
          <w:sz w:val="16"/>
        </w:rPr>
        <w:t> </w:t>
      </w:r>
      <w:r>
        <w:rPr>
          <w:rFonts w:ascii="Arial"/>
          <w:i/>
          <w:color w:val="484848"/>
          <w:sz w:val="16"/>
        </w:rPr>
        <w:t>2 </w:t>
      </w:r>
      <w:r>
        <w:rPr>
          <w:rFonts w:ascii="Arial"/>
          <w:i/>
          <w:color w:val="484848"/>
          <w:spacing w:val="-2"/>
          <w:sz w:val="16"/>
        </w:rPr>
        <w:t>years</w:t>
      </w:r>
    </w:p>
    <w:p>
      <w:pPr>
        <w:pStyle w:val="ListParagraph"/>
        <w:numPr>
          <w:ilvl w:val="0"/>
          <w:numId w:val="19"/>
        </w:numPr>
        <w:tabs>
          <w:tab w:pos="524" w:val="left" w:leader="none"/>
          <w:tab w:pos="651" w:val="left" w:leader="none"/>
        </w:tabs>
        <w:spacing w:line="208" w:lineRule="auto" w:before="79" w:after="0"/>
        <w:ind w:left="524" w:right="0" w:hanging="5"/>
        <w:jc w:val="left"/>
        <w:rPr>
          <w:rFonts w:ascii="Arial"/>
          <w:i/>
          <w:sz w:val="16"/>
        </w:rPr>
      </w:pPr>
      <w:r>
        <w:rPr/>
        <w:br w:type="column"/>
      </w:r>
      <w:r>
        <w:rPr>
          <w:rFonts w:ascii="Arial"/>
          <w:i/>
          <w:color w:val="484848"/>
          <w:sz w:val="16"/>
        </w:rPr>
        <w:t>to</w:t>
      </w:r>
      <w:r>
        <w:rPr>
          <w:rFonts w:ascii="Arial"/>
          <w:i/>
          <w:color w:val="484848"/>
          <w:spacing w:val="-12"/>
          <w:sz w:val="16"/>
        </w:rPr>
        <w:t> </w:t>
      </w:r>
      <w:r>
        <w:rPr>
          <w:rFonts w:ascii="Arial"/>
          <w:i/>
          <w:color w:val="484848"/>
          <w:sz w:val="16"/>
        </w:rPr>
        <w:t>3 </w:t>
      </w:r>
      <w:r>
        <w:rPr>
          <w:rFonts w:ascii="Arial"/>
          <w:i/>
          <w:color w:val="484848"/>
          <w:spacing w:val="-2"/>
          <w:sz w:val="16"/>
        </w:rPr>
        <w:t>years</w:t>
      </w:r>
    </w:p>
    <w:p>
      <w:pPr>
        <w:pStyle w:val="ListParagraph"/>
        <w:numPr>
          <w:ilvl w:val="0"/>
          <w:numId w:val="19"/>
        </w:numPr>
        <w:tabs>
          <w:tab w:pos="524" w:val="left" w:leader="none"/>
          <w:tab w:pos="651" w:val="left" w:leader="none"/>
        </w:tabs>
        <w:spacing w:line="208" w:lineRule="auto" w:before="79" w:after="0"/>
        <w:ind w:left="524" w:right="0" w:hanging="5"/>
        <w:jc w:val="left"/>
        <w:rPr>
          <w:rFonts w:ascii="Arial"/>
          <w:i/>
          <w:sz w:val="16"/>
        </w:rPr>
      </w:pPr>
      <w:r>
        <w:rPr/>
        <w:br w:type="column"/>
      </w:r>
      <w:r>
        <w:rPr>
          <w:rFonts w:ascii="Arial"/>
          <w:i/>
          <w:color w:val="484848"/>
          <w:sz w:val="16"/>
        </w:rPr>
        <w:t>to</w:t>
      </w:r>
      <w:r>
        <w:rPr>
          <w:rFonts w:ascii="Arial"/>
          <w:i/>
          <w:color w:val="484848"/>
          <w:spacing w:val="-12"/>
          <w:sz w:val="16"/>
        </w:rPr>
        <w:t> </w:t>
      </w:r>
      <w:r>
        <w:rPr>
          <w:rFonts w:ascii="Arial"/>
          <w:i/>
          <w:color w:val="484848"/>
          <w:sz w:val="16"/>
        </w:rPr>
        <w:t>4 </w:t>
      </w:r>
      <w:r>
        <w:rPr>
          <w:rFonts w:ascii="Arial"/>
          <w:i/>
          <w:color w:val="484848"/>
          <w:spacing w:val="-2"/>
          <w:sz w:val="16"/>
        </w:rPr>
        <w:t>years</w:t>
      </w:r>
    </w:p>
    <w:p>
      <w:pPr>
        <w:pStyle w:val="ListParagraph"/>
        <w:numPr>
          <w:ilvl w:val="0"/>
          <w:numId w:val="19"/>
        </w:numPr>
        <w:tabs>
          <w:tab w:pos="524" w:val="left" w:leader="none"/>
          <w:tab w:pos="651" w:val="left" w:leader="none"/>
        </w:tabs>
        <w:spacing w:line="208" w:lineRule="auto" w:before="79" w:after="0"/>
        <w:ind w:left="524" w:right="0" w:hanging="5"/>
        <w:jc w:val="left"/>
        <w:rPr>
          <w:rFonts w:ascii="Arial"/>
          <w:i/>
          <w:sz w:val="16"/>
        </w:rPr>
      </w:pPr>
      <w:r>
        <w:rPr/>
        <w:br w:type="column"/>
      </w:r>
      <w:r>
        <w:rPr>
          <w:rFonts w:ascii="Arial"/>
          <w:i/>
          <w:color w:val="484848"/>
          <w:sz w:val="16"/>
        </w:rPr>
        <w:t>to</w:t>
      </w:r>
      <w:r>
        <w:rPr>
          <w:rFonts w:ascii="Arial"/>
          <w:i/>
          <w:color w:val="484848"/>
          <w:spacing w:val="-12"/>
          <w:sz w:val="16"/>
        </w:rPr>
        <w:t> </w:t>
      </w:r>
      <w:r>
        <w:rPr>
          <w:rFonts w:ascii="Arial"/>
          <w:i/>
          <w:color w:val="484848"/>
          <w:sz w:val="16"/>
        </w:rPr>
        <w:t>5 </w:t>
      </w:r>
      <w:r>
        <w:rPr>
          <w:rFonts w:ascii="Arial"/>
          <w:i/>
          <w:color w:val="484848"/>
          <w:spacing w:val="-2"/>
          <w:sz w:val="16"/>
        </w:rPr>
        <w:t>years</w:t>
      </w:r>
    </w:p>
    <w:p>
      <w:pPr>
        <w:spacing w:line="208" w:lineRule="auto" w:before="79"/>
        <w:ind w:left="561" w:right="0" w:hanging="209"/>
        <w:jc w:val="left"/>
        <w:rPr>
          <w:rFonts w:ascii="Arial"/>
          <w:i/>
          <w:sz w:val="16"/>
        </w:rPr>
      </w:pPr>
      <w:r>
        <w:rPr/>
        <w:br w:type="column"/>
      </w:r>
      <w:r>
        <w:rPr>
          <w:rFonts w:ascii="Arial"/>
          <w:i/>
          <w:color w:val="484848"/>
          <w:sz w:val="16"/>
        </w:rPr>
        <w:t>Due</w:t>
      </w:r>
      <w:r>
        <w:rPr>
          <w:rFonts w:ascii="Arial"/>
          <w:i/>
          <w:color w:val="484848"/>
          <w:spacing w:val="-12"/>
          <w:sz w:val="16"/>
        </w:rPr>
        <w:t> </w:t>
      </w:r>
      <w:r>
        <w:rPr>
          <w:rFonts w:ascii="Arial"/>
          <w:i/>
          <w:color w:val="484848"/>
          <w:sz w:val="16"/>
        </w:rPr>
        <w:t>After</w:t>
      </w:r>
      <w:r>
        <w:rPr>
          <w:rFonts w:ascii="Arial"/>
          <w:i/>
          <w:color w:val="484848"/>
          <w:spacing w:val="-11"/>
          <w:sz w:val="16"/>
        </w:rPr>
        <w:t> </w:t>
      </w:r>
      <w:r>
        <w:rPr>
          <w:rFonts w:ascii="Arial"/>
          <w:i/>
          <w:color w:val="484848"/>
          <w:sz w:val="16"/>
        </w:rPr>
        <w:t>5 </w:t>
      </w:r>
      <w:r>
        <w:rPr>
          <w:rFonts w:ascii="Arial"/>
          <w:i/>
          <w:color w:val="484848"/>
          <w:spacing w:val="-2"/>
          <w:sz w:val="16"/>
        </w:rPr>
        <w:t>years</w:t>
      </w:r>
    </w:p>
    <w:p>
      <w:pPr>
        <w:spacing w:before="139"/>
        <w:ind w:left="375" w:right="0" w:firstLine="0"/>
        <w:jc w:val="left"/>
        <w:rPr>
          <w:rFonts w:ascii="Arial"/>
          <w:i/>
          <w:sz w:val="16"/>
        </w:rPr>
      </w:pPr>
      <w:r>
        <w:rPr/>
        <w:br w:type="column"/>
      </w:r>
      <w:r>
        <w:rPr>
          <w:rFonts w:ascii="Arial"/>
          <w:i/>
          <w:color w:val="484848"/>
          <w:spacing w:val="-2"/>
          <w:sz w:val="16"/>
        </w:rPr>
        <w:t>Total</w:t>
      </w:r>
    </w:p>
    <w:p>
      <w:pPr>
        <w:spacing w:after="0"/>
        <w:jc w:val="left"/>
        <w:rPr>
          <w:rFonts w:ascii="Arial"/>
          <w:i/>
          <w:sz w:val="16"/>
        </w:rPr>
        <w:sectPr>
          <w:type w:val="continuous"/>
          <w:pgSz w:w="12240" w:h="15840"/>
          <w:pgMar w:header="744" w:footer="583" w:top="1820" w:bottom="280" w:left="720" w:right="720"/>
          <w:cols w:num="7" w:equalWidth="0">
            <w:col w:w="4171" w:space="40"/>
            <w:col w:w="745" w:space="39"/>
            <w:col w:w="920" w:space="40"/>
            <w:col w:w="920" w:space="40"/>
            <w:col w:w="920" w:space="40"/>
            <w:col w:w="1163" w:space="40"/>
            <w:col w:w="1722"/>
          </w:cols>
        </w:sectPr>
      </w:pPr>
    </w:p>
    <w:p>
      <w:pPr>
        <w:pStyle w:val="BodyText"/>
        <w:spacing w:before="6"/>
        <w:rPr>
          <w:rFonts w:ascii="Arial"/>
          <w:i/>
          <w:sz w:val="2"/>
        </w:rPr>
      </w:pPr>
    </w:p>
    <w:p>
      <w:pPr>
        <w:spacing w:line="20" w:lineRule="exact"/>
        <w:ind w:left="3260" w:right="0" w:firstLine="0"/>
        <w:rPr>
          <w:rFonts w:ascii="Arial"/>
          <w:sz w:val="2"/>
        </w:rPr>
      </w:pPr>
      <w:r>
        <w:rPr>
          <w:rFonts w:ascii="Arial"/>
          <w:sz w:val="2"/>
        </w:rPr>
        <mc:AlternateContent>
          <mc:Choice Requires="wps">
            <w:drawing>
              <wp:inline distT="0" distB="0" distL="0" distR="0">
                <wp:extent cx="4324350" cy="12700"/>
                <wp:effectExtent l="9525" t="0" r="0" b="6350"/>
                <wp:docPr id="401" name="Group 401"/>
                <wp:cNvGraphicFramePr>
                  <a:graphicFrameLocks/>
                </wp:cNvGraphicFramePr>
                <a:graphic>
                  <a:graphicData uri="http://schemas.microsoft.com/office/word/2010/wordprocessingGroup">
                    <wpg:wgp>
                      <wpg:cNvPr id="401" name="Group 401"/>
                      <wpg:cNvGrpSpPr/>
                      <wpg:grpSpPr>
                        <a:xfrm>
                          <a:off x="0" y="0"/>
                          <a:ext cx="4324350" cy="12700"/>
                          <a:chExt cx="4324350" cy="12700"/>
                        </a:xfrm>
                      </wpg:grpSpPr>
                      <wps:wsp>
                        <wps:cNvPr id="402" name="Graphic 402"/>
                        <wps:cNvSpPr/>
                        <wps:spPr>
                          <a:xfrm>
                            <a:off x="0" y="6350"/>
                            <a:ext cx="4324350" cy="1270"/>
                          </a:xfrm>
                          <a:custGeom>
                            <a:avLst/>
                            <a:gdLst/>
                            <a:ahLst/>
                            <a:cxnLst/>
                            <a:rect l="l" t="t" r="r" b="b"/>
                            <a:pathLst>
                              <a:path w="4324350" h="0">
                                <a:moveTo>
                                  <a:pt x="0" y="0"/>
                                </a:moveTo>
                                <a:lnTo>
                                  <a:pt x="619125" y="0"/>
                                </a:lnTo>
                              </a:path>
                              <a:path w="4324350" h="0">
                                <a:moveTo>
                                  <a:pt x="657225" y="0"/>
                                </a:moveTo>
                                <a:lnTo>
                                  <a:pt x="1228725" y="0"/>
                                </a:lnTo>
                              </a:path>
                              <a:path w="4324350" h="0">
                                <a:moveTo>
                                  <a:pt x="1266825" y="0"/>
                                </a:moveTo>
                                <a:lnTo>
                                  <a:pt x="1838325" y="0"/>
                                </a:lnTo>
                              </a:path>
                              <a:path w="4324350" h="0">
                                <a:moveTo>
                                  <a:pt x="1876425" y="0"/>
                                </a:moveTo>
                                <a:lnTo>
                                  <a:pt x="2447925" y="0"/>
                                </a:lnTo>
                              </a:path>
                              <a:path w="4324350" h="0">
                                <a:moveTo>
                                  <a:pt x="2486025" y="0"/>
                                </a:moveTo>
                                <a:lnTo>
                                  <a:pt x="3057525" y="0"/>
                                </a:lnTo>
                              </a:path>
                              <a:path w="4324350" h="0">
                                <a:moveTo>
                                  <a:pt x="3095625" y="0"/>
                                </a:moveTo>
                                <a:lnTo>
                                  <a:pt x="3714750" y="0"/>
                                </a:lnTo>
                              </a:path>
                              <a:path w="4324350" h="0">
                                <a:moveTo>
                                  <a:pt x="3752850" y="0"/>
                                </a:moveTo>
                                <a:lnTo>
                                  <a:pt x="4324350" y="0"/>
                                </a:lnTo>
                              </a:path>
                            </a:pathLst>
                          </a:custGeom>
                          <a:ln w="12700">
                            <a:solidFill>
                              <a:srgbClr val="6C6C6C"/>
                            </a:solidFill>
                            <a:prstDash val="solid"/>
                          </a:ln>
                        </wps:spPr>
                        <wps:bodyPr wrap="square" lIns="0" tIns="0" rIns="0" bIns="0" rtlCol="0">
                          <a:prstTxWarp prst="textNoShape">
                            <a:avLst/>
                          </a:prstTxWarp>
                          <a:noAutofit/>
                        </wps:bodyPr>
                      </wps:wsp>
                    </wpg:wgp>
                  </a:graphicData>
                </a:graphic>
              </wp:inline>
            </w:drawing>
          </mc:Choice>
          <mc:Fallback>
            <w:pict>
              <v:group style="width:340.5pt;height:1pt;mso-position-horizontal-relative:char;mso-position-vertical-relative:line" id="docshapegroup330" coordorigin="0,0" coordsize="6810,20">
                <v:shape style="position:absolute;left:0;top:10;width:6810;height:2" id="docshape331" coordorigin="0,10" coordsize="6810,0" path="m0,10l975,10m1035,10l1935,10m1995,10l2895,10m2955,10l3855,10m3915,10l4815,10m4875,10l5850,10m5910,10l6810,10e" filled="false" stroked="true" strokeweight="1pt" strokecolor="#6c6c6c">
                  <v:path arrowok="t"/>
                  <v:stroke dashstyle="solid"/>
                </v:shape>
              </v:group>
            </w:pict>
          </mc:Fallback>
        </mc:AlternateContent>
      </w:r>
      <w:r>
        <w:rPr>
          <w:rFonts w:ascii="Arial"/>
          <w:sz w:val="2"/>
        </w:rPr>
      </w:r>
    </w:p>
    <w:p>
      <w:pPr>
        <w:tabs>
          <w:tab w:pos="3322" w:val="left" w:leader="none"/>
          <w:tab w:pos="3688" w:val="left" w:leader="none"/>
          <w:tab w:pos="4648" w:val="left" w:leader="none"/>
          <w:tab w:pos="5608" w:val="left" w:leader="none"/>
          <w:tab w:pos="6568" w:val="left" w:leader="none"/>
          <w:tab w:pos="7528" w:val="left" w:leader="none"/>
          <w:tab w:pos="8563" w:val="left" w:leader="none"/>
        </w:tabs>
        <w:spacing w:before="17"/>
        <w:ind w:left="772" w:right="0" w:firstLine="0"/>
        <w:jc w:val="left"/>
        <w:rPr>
          <w:rFonts w:ascii="Arial MT"/>
          <w:sz w:val="16"/>
        </w:rPr>
      </w:pPr>
      <w:r>
        <w:rPr>
          <w:rFonts w:ascii="Arial MT"/>
          <w:sz w:val="16"/>
        </w:rPr>
        <w:t>Medium</w:t>
      </w:r>
      <w:r>
        <w:rPr>
          <w:rFonts w:ascii="Arial MT"/>
          <w:spacing w:val="-10"/>
          <w:sz w:val="16"/>
        </w:rPr>
        <w:t> </w:t>
      </w:r>
      <w:r>
        <w:rPr>
          <w:rFonts w:ascii="Arial MT"/>
          <w:sz w:val="16"/>
        </w:rPr>
        <w:t>and</w:t>
      </w:r>
      <w:r>
        <w:rPr>
          <w:rFonts w:ascii="Arial MT"/>
          <w:spacing w:val="-11"/>
          <w:sz w:val="16"/>
        </w:rPr>
        <w:t> </w:t>
      </w:r>
      <w:r>
        <w:rPr>
          <w:rFonts w:ascii="Arial MT"/>
          <w:sz w:val="16"/>
        </w:rPr>
        <w:t>Long-Term</w:t>
      </w:r>
      <w:r>
        <w:rPr>
          <w:rFonts w:ascii="Arial MT"/>
          <w:spacing w:val="-9"/>
          <w:sz w:val="16"/>
        </w:rPr>
        <w:t> </w:t>
      </w:r>
      <w:r>
        <w:rPr>
          <w:rFonts w:ascii="Arial MT"/>
          <w:spacing w:val="-4"/>
          <w:sz w:val="16"/>
        </w:rPr>
        <w:t>Debt</w:t>
      </w:r>
      <w:r>
        <w:rPr>
          <w:rFonts w:ascii="Arial MT"/>
          <w:sz w:val="16"/>
        </w:rPr>
        <w:tab/>
      </w:r>
      <w:r>
        <w:rPr>
          <w:rFonts w:ascii="Arial MT"/>
          <w:spacing w:val="-10"/>
          <w:sz w:val="16"/>
        </w:rPr>
        <w:t>$</w:t>
      </w:r>
      <w:r>
        <w:rPr>
          <w:rFonts w:ascii="Arial MT"/>
          <w:sz w:val="16"/>
        </w:rPr>
        <w:tab/>
        <w:t>28,959</w:t>
      </w:r>
      <w:r>
        <w:rPr>
          <w:rFonts w:ascii="Arial MT"/>
          <w:spacing w:val="43"/>
          <w:sz w:val="16"/>
        </w:rPr>
        <w:t>  </w:t>
      </w:r>
      <w:r>
        <w:rPr>
          <w:rFonts w:ascii="Arial MT"/>
          <w:spacing w:val="-10"/>
          <w:sz w:val="16"/>
        </w:rPr>
        <w:t>$</w:t>
      </w:r>
      <w:r>
        <w:rPr>
          <w:rFonts w:ascii="Arial MT"/>
          <w:sz w:val="16"/>
        </w:rPr>
        <w:tab/>
        <w:t>31,917</w:t>
      </w:r>
      <w:r>
        <w:rPr>
          <w:rFonts w:ascii="Arial MT"/>
          <w:spacing w:val="43"/>
          <w:sz w:val="16"/>
        </w:rPr>
        <w:t>  </w:t>
      </w:r>
      <w:r>
        <w:rPr>
          <w:rFonts w:ascii="Arial MT"/>
          <w:spacing w:val="-10"/>
          <w:sz w:val="16"/>
        </w:rPr>
        <w:t>$</w:t>
      </w:r>
      <w:r>
        <w:rPr>
          <w:rFonts w:ascii="Arial MT"/>
          <w:sz w:val="16"/>
        </w:rPr>
        <w:tab/>
        <w:t>29,004</w:t>
      </w:r>
      <w:r>
        <w:rPr>
          <w:rFonts w:ascii="Arial MT"/>
          <w:spacing w:val="43"/>
          <w:sz w:val="16"/>
        </w:rPr>
        <w:t>  </w:t>
      </w:r>
      <w:r>
        <w:rPr>
          <w:rFonts w:ascii="Arial MT"/>
          <w:spacing w:val="-10"/>
          <w:sz w:val="16"/>
        </w:rPr>
        <w:t>$</w:t>
      </w:r>
      <w:r>
        <w:rPr>
          <w:rFonts w:ascii="Arial MT"/>
          <w:sz w:val="16"/>
        </w:rPr>
        <w:tab/>
        <w:t>27,040</w:t>
      </w:r>
      <w:r>
        <w:rPr>
          <w:rFonts w:ascii="Arial MT"/>
          <w:spacing w:val="43"/>
          <w:sz w:val="16"/>
        </w:rPr>
        <w:t>  </w:t>
      </w:r>
      <w:r>
        <w:rPr>
          <w:rFonts w:ascii="Arial MT"/>
          <w:spacing w:val="-10"/>
          <w:sz w:val="16"/>
        </w:rPr>
        <w:t>$</w:t>
      </w:r>
      <w:r>
        <w:rPr>
          <w:rFonts w:ascii="Arial MT"/>
          <w:sz w:val="16"/>
        </w:rPr>
        <w:tab/>
        <w:t>25,850</w:t>
      </w:r>
      <w:r>
        <w:rPr>
          <w:rFonts w:ascii="Arial MT"/>
          <w:spacing w:val="43"/>
          <w:sz w:val="16"/>
        </w:rPr>
        <w:t>  </w:t>
      </w:r>
      <w:r>
        <w:rPr>
          <w:rFonts w:ascii="Arial MT"/>
          <w:spacing w:val="-10"/>
          <w:sz w:val="16"/>
        </w:rPr>
        <w:t>$</w:t>
      </w:r>
      <w:r>
        <w:rPr>
          <w:rFonts w:ascii="Arial MT"/>
          <w:sz w:val="16"/>
        </w:rPr>
        <w:tab/>
        <w:t>84,458</w:t>
      </w:r>
      <w:r>
        <w:rPr>
          <w:rFonts w:ascii="Arial MT"/>
          <w:spacing w:val="44"/>
          <w:sz w:val="16"/>
        </w:rPr>
        <w:t>  </w:t>
      </w:r>
      <w:r>
        <w:rPr>
          <w:rFonts w:ascii="Arial MT"/>
          <w:sz w:val="16"/>
        </w:rPr>
        <w:t>$</w:t>
      </w:r>
      <w:r>
        <w:rPr>
          <w:rFonts w:ascii="Arial MT"/>
          <w:spacing w:val="65"/>
          <w:sz w:val="16"/>
        </w:rPr>
        <w:t> </w:t>
      </w:r>
      <w:r>
        <w:rPr>
          <w:rFonts w:ascii="Arial MT"/>
          <w:spacing w:val="-2"/>
          <w:sz w:val="16"/>
        </w:rPr>
        <w:t>227,228</w:t>
      </w:r>
    </w:p>
    <w:p>
      <w:pPr>
        <w:pStyle w:val="BodyText"/>
        <w:spacing w:before="15"/>
        <w:rPr>
          <w:rFonts w:ascii="Arial MT"/>
        </w:rPr>
      </w:pPr>
      <w:r>
        <w:rPr>
          <w:rFonts w:ascii="Arial MT"/>
        </w:rPr>
        <mc:AlternateContent>
          <mc:Choice Requires="wps">
            <w:drawing>
              <wp:anchor distT="0" distB="0" distL="0" distR="0" allowOverlap="1" layoutInCell="1" locked="0" behindDoc="1" simplePos="0" relativeHeight="487647744">
                <wp:simplePos x="0" y="0"/>
                <wp:positionH relativeFrom="page">
                  <wp:posOffset>914400</wp:posOffset>
                </wp:positionH>
                <wp:positionV relativeFrom="paragraph">
                  <wp:posOffset>171428</wp:posOffset>
                </wp:positionV>
                <wp:extent cx="5943600" cy="1270"/>
                <wp:effectExtent l="0" t="0" r="0" b="0"/>
                <wp:wrapTopAndBottom/>
                <wp:docPr id="403" name="Graphic 403"/>
                <wp:cNvGraphicFramePr>
                  <a:graphicFrameLocks/>
                </wp:cNvGraphicFramePr>
                <a:graphic>
                  <a:graphicData uri="http://schemas.microsoft.com/office/word/2010/wordprocessingShape">
                    <wps:wsp>
                      <wps:cNvPr id="403" name="Graphic 403"/>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49834pt;width:468pt;height:.1pt;mso-position-horizontal-relative:page;mso-position-vertical-relative:paragraph;z-index:-15668736;mso-wrap-distance-left:0;mso-wrap-distance-right:0" id="docshape332" coordorigin="1440,270" coordsize="9360,0" path="m1440,270l10800,270e" filled="false" stroked="true" strokeweight="1pt" strokecolor="#6c6c6c">
                <v:path arrowok="t"/>
                <v:stroke dashstyle="solid"/>
                <w10:wrap type="topAndBottom"/>
              </v:shape>
            </w:pict>
          </mc:Fallback>
        </mc:AlternateContent>
      </w:r>
    </w:p>
    <w:p>
      <w:pPr>
        <w:pStyle w:val="BodyText"/>
        <w:spacing w:before="162"/>
        <w:ind w:left="720"/>
      </w:pPr>
      <w:r>
        <w:rPr/>
        <w:t>As</w:t>
      </w:r>
      <w:r>
        <w:rPr>
          <w:spacing w:val="-5"/>
        </w:rPr>
        <w:t> </w:t>
      </w:r>
      <w:r>
        <w:rPr/>
        <w:t>shown</w:t>
      </w:r>
      <w:r>
        <w:rPr>
          <w:spacing w:val="-2"/>
        </w:rPr>
        <w:t> </w:t>
      </w:r>
      <w:r>
        <w:rPr/>
        <w:t>below,</w:t>
      </w:r>
      <w:r>
        <w:rPr>
          <w:spacing w:val="-2"/>
        </w:rPr>
        <w:t> </w:t>
      </w:r>
      <w:r>
        <w:rPr/>
        <w:t>65%</w:t>
      </w:r>
      <w:r>
        <w:rPr>
          <w:spacing w:val="-2"/>
        </w:rPr>
        <w:t> </w:t>
      </w:r>
      <w:r>
        <w:rPr/>
        <w:t>of</w:t>
      </w:r>
      <w:r>
        <w:rPr>
          <w:spacing w:val="-2"/>
        </w:rPr>
        <w:t> </w:t>
      </w:r>
      <w:r>
        <w:rPr/>
        <w:t>IBRD’s</w:t>
      </w:r>
      <w:r>
        <w:rPr>
          <w:spacing w:val="-3"/>
        </w:rPr>
        <w:t> </w:t>
      </w:r>
      <w:r>
        <w:rPr/>
        <w:t>medium-and</w:t>
      </w:r>
      <w:r>
        <w:rPr>
          <w:spacing w:val="-2"/>
        </w:rPr>
        <w:t> </w:t>
      </w:r>
      <w:r>
        <w:rPr/>
        <w:t>long-term</w:t>
      </w:r>
      <w:r>
        <w:rPr>
          <w:spacing w:val="-3"/>
        </w:rPr>
        <w:t> </w:t>
      </w:r>
      <w:r>
        <w:rPr/>
        <w:t>borrowings</w:t>
      </w:r>
      <w:r>
        <w:rPr>
          <w:spacing w:val="-3"/>
        </w:rPr>
        <w:t> </w:t>
      </w:r>
      <w:r>
        <w:rPr/>
        <w:t>issued</w:t>
      </w:r>
      <w:r>
        <w:rPr>
          <w:spacing w:val="-2"/>
        </w:rPr>
        <w:t> </w:t>
      </w:r>
      <w:r>
        <w:rPr/>
        <w:t>during</w:t>
      </w:r>
      <w:r>
        <w:rPr>
          <w:spacing w:val="-2"/>
        </w:rPr>
        <w:t> </w:t>
      </w:r>
      <w:r>
        <w:rPr/>
        <w:t>the</w:t>
      </w:r>
      <w:r>
        <w:rPr>
          <w:spacing w:val="-3"/>
        </w:rPr>
        <w:t> </w:t>
      </w:r>
      <w:r>
        <w:rPr/>
        <w:t>year</w:t>
      </w:r>
      <w:r>
        <w:rPr>
          <w:spacing w:val="-2"/>
        </w:rPr>
        <w:t> </w:t>
      </w:r>
      <w:r>
        <w:rPr/>
        <w:t>are</w:t>
      </w:r>
      <w:r>
        <w:rPr>
          <w:spacing w:val="-3"/>
        </w:rPr>
        <w:t> </w:t>
      </w:r>
      <w:r>
        <w:rPr/>
        <w:t>in</w:t>
      </w:r>
      <w:r>
        <w:rPr>
          <w:spacing w:val="-2"/>
        </w:rPr>
        <w:t> </w:t>
      </w:r>
      <w:r>
        <w:rPr/>
        <w:t>U.S.</w:t>
      </w:r>
      <w:r>
        <w:rPr>
          <w:spacing w:val="-1"/>
        </w:rPr>
        <w:t> </w:t>
      </w:r>
      <w:r>
        <w:rPr>
          <w:spacing w:val="-2"/>
        </w:rPr>
        <w:t>dollars:</w:t>
      </w:r>
    </w:p>
    <w:p>
      <w:pPr>
        <w:spacing w:before="140"/>
        <w:ind w:left="720" w:right="0" w:firstLine="0"/>
        <w:jc w:val="left"/>
        <w:rPr>
          <w:rFonts w:ascii="Arial"/>
          <w:b/>
          <w:sz w:val="18"/>
        </w:rPr>
      </w:pPr>
      <w:bookmarkStart w:name="_bookmark60" w:id="89"/>
      <w:bookmarkEnd w:id="89"/>
      <w:r>
        <w:rPr/>
      </w:r>
      <w:r>
        <w:rPr>
          <w:rFonts w:ascii="Arial"/>
          <w:b/>
          <w:sz w:val="18"/>
        </w:rPr>
        <w:t>Figure</w:t>
      </w:r>
      <w:r>
        <w:rPr>
          <w:rFonts w:ascii="Arial"/>
          <w:b/>
          <w:spacing w:val="-3"/>
          <w:sz w:val="18"/>
        </w:rPr>
        <w:t> </w:t>
      </w:r>
      <w:r>
        <w:rPr>
          <w:rFonts w:ascii="Arial"/>
          <w:b/>
          <w:sz w:val="18"/>
        </w:rPr>
        <w:t>15:</w:t>
      </w:r>
      <w:r>
        <w:rPr>
          <w:rFonts w:ascii="Arial"/>
          <w:b/>
          <w:spacing w:val="-2"/>
          <w:sz w:val="18"/>
        </w:rPr>
        <w:t> </w:t>
      </w:r>
      <w:r>
        <w:rPr>
          <w:rFonts w:ascii="Arial"/>
          <w:b/>
          <w:sz w:val="18"/>
        </w:rPr>
        <w:t>Medium-</w:t>
      </w:r>
      <w:r>
        <w:rPr>
          <w:rFonts w:ascii="Arial"/>
          <w:b/>
          <w:spacing w:val="-2"/>
          <w:sz w:val="18"/>
        </w:rPr>
        <w:t> </w:t>
      </w:r>
      <w:r>
        <w:rPr>
          <w:rFonts w:ascii="Arial"/>
          <w:b/>
          <w:sz w:val="18"/>
        </w:rPr>
        <w:t>and</w:t>
      </w:r>
      <w:r>
        <w:rPr>
          <w:rFonts w:ascii="Arial"/>
          <w:b/>
          <w:spacing w:val="-2"/>
          <w:sz w:val="18"/>
        </w:rPr>
        <w:t> </w:t>
      </w:r>
      <w:r>
        <w:rPr>
          <w:rFonts w:ascii="Arial"/>
          <w:b/>
          <w:sz w:val="18"/>
        </w:rPr>
        <w:t>Long-Term</w:t>
      </w:r>
      <w:r>
        <w:rPr>
          <w:rFonts w:ascii="Arial"/>
          <w:b/>
          <w:spacing w:val="-2"/>
          <w:sz w:val="18"/>
        </w:rPr>
        <w:t> </w:t>
      </w:r>
      <w:r>
        <w:rPr>
          <w:rFonts w:ascii="Arial"/>
          <w:b/>
          <w:sz w:val="18"/>
        </w:rPr>
        <w:t>Borrowings</w:t>
      </w:r>
      <w:r>
        <w:rPr>
          <w:rFonts w:ascii="Arial"/>
          <w:b/>
          <w:spacing w:val="-2"/>
          <w:sz w:val="18"/>
        </w:rPr>
        <w:t> </w:t>
      </w:r>
      <w:r>
        <w:rPr>
          <w:rFonts w:ascii="Arial"/>
          <w:b/>
          <w:sz w:val="18"/>
        </w:rPr>
        <w:t>Raised</w:t>
      </w:r>
      <w:r>
        <w:rPr>
          <w:rFonts w:ascii="Arial"/>
          <w:b/>
          <w:spacing w:val="-2"/>
          <w:sz w:val="18"/>
        </w:rPr>
        <w:t> </w:t>
      </w:r>
      <w:r>
        <w:rPr>
          <w:rFonts w:ascii="Arial"/>
          <w:b/>
          <w:sz w:val="18"/>
        </w:rPr>
        <w:t>by</w:t>
      </w:r>
      <w:r>
        <w:rPr>
          <w:rFonts w:ascii="Arial"/>
          <w:b/>
          <w:spacing w:val="-2"/>
          <w:sz w:val="18"/>
        </w:rPr>
        <w:t> </w:t>
      </w:r>
      <w:r>
        <w:rPr>
          <w:rFonts w:ascii="Arial"/>
          <w:b/>
          <w:sz w:val="18"/>
        </w:rPr>
        <w:t>Currency</w:t>
      </w:r>
      <w:r>
        <w:rPr>
          <w:rFonts w:ascii="Arial"/>
          <w:b/>
          <w:spacing w:val="-2"/>
          <w:sz w:val="18"/>
        </w:rPr>
        <w:t> </w:t>
      </w:r>
      <w:r>
        <w:rPr>
          <w:rFonts w:ascii="Arial"/>
          <w:b/>
          <w:sz w:val="18"/>
        </w:rPr>
        <w:t>during</w:t>
      </w:r>
      <w:r>
        <w:rPr>
          <w:rFonts w:ascii="Arial"/>
          <w:b/>
          <w:spacing w:val="-2"/>
          <w:sz w:val="18"/>
        </w:rPr>
        <w:t> </w:t>
      </w:r>
      <w:r>
        <w:rPr>
          <w:rFonts w:ascii="Arial"/>
          <w:b/>
          <w:sz w:val="18"/>
        </w:rPr>
        <w:t>the</w:t>
      </w:r>
      <w:r>
        <w:rPr>
          <w:rFonts w:ascii="Arial"/>
          <w:b/>
          <w:spacing w:val="-2"/>
          <w:sz w:val="18"/>
        </w:rPr>
        <w:t> </w:t>
      </w:r>
      <w:r>
        <w:rPr>
          <w:rFonts w:ascii="Arial"/>
          <w:b/>
          <w:sz w:val="18"/>
        </w:rPr>
        <w:t>year,</w:t>
      </w:r>
      <w:r>
        <w:rPr>
          <w:rFonts w:ascii="Arial"/>
          <w:b/>
          <w:spacing w:val="-2"/>
          <w:sz w:val="18"/>
        </w:rPr>
        <w:t> </w:t>
      </w:r>
      <w:r>
        <w:rPr>
          <w:rFonts w:ascii="Arial"/>
          <w:b/>
          <w:sz w:val="18"/>
        </w:rPr>
        <w:t>Excluding</w:t>
      </w:r>
      <w:r>
        <w:rPr>
          <w:rFonts w:ascii="Arial"/>
          <w:b/>
          <w:spacing w:val="-2"/>
          <w:sz w:val="18"/>
        </w:rPr>
        <w:t> Derivatives</w:t>
      </w:r>
    </w:p>
    <w:p>
      <w:pPr>
        <w:pStyle w:val="BodyText"/>
        <w:spacing w:before="5"/>
        <w:rPr>
          <w:rFonts w:ascii="Arial"/>
          <w:b/>
          <w:sz w:val="12"/>
        </w:rPr>
      </w:pPr>
      <w:r>
        <w:rPr>
          <w:rFonts w:ascii="Arial"/>
          <w:b/>
          <w:sz w:val="12"/>
        </w:rPr>
        <mc:AlternateContent>
          <mc:Choice Requires="wps">
            <w:drawing>
              <wp:anchor distT="0" distB="0" distL="0" distR="0" allowOverlap="1" layoutInCell="1" locked="0" behindDoc="1" simplePos="0" relativeHeight="487648256">
                <wp:simplePos x="0" y="0"/>
                <wp:positionH relativeFrom="page">
                  <wp:posOffset>914400</wp:posOffset>
                </wp:positionH>
                <wp:positionV relativeFrom="paragraph">
                  <wp:posOffset>106068</wp:posOffset>
                </wp:positionV>
                <wp:extent cx="2905125" cy="1905000"/>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2905125" cy="1905000"/>
                          <a:chExt cx="2905125" cy="1905000"/>
                        </a:xfrm>
                      </wpg:grpSpPr>
                      <wps:wsp>
                        <wps:cNvPr id="405" name="Graphic 405"/>
                        <wps:cNvSpPr/>
                        <wps:spPr>
                          <a:xfrm>
                            <a:off x="864161" y="754647"/>
                            <a:ext cx="347345" cy="534035"/>
                          </a:xfrm>
                          <a:custGeom>
                            <a:avLst/>
                            <a:gdLst/>
                            <a:ahLst/>
                            <a:cxnLst/>
                            <a:rect l="l" t="t" r="r" b="b"/>
                            <a:pathLst>
                              <a:path w="347345" h="534035">
                                <a:moveTo>
                                  <a:pt x="101070" y="0"/>
                                </a:moveTo>
                                <a:lnTo>
                                  <a:pt x="74230" y="43863"/>
                                </a:lnTo>
                                <a:lnTo>
                                  <a:pt x="51468" y="89490"/>
                                </a:lnTo>
                                <a:lnTo>
                                  <a:pt x="32817" y="136602"/>
                                </a:lnTo>
                                <a:lnTo>
                                  <a:pt x="18310" y="184924"/>
                                </a:lnTo>
                                <a:lnTo>
                                  <a:pt x="7983" y="234178"/>
                                </a:lnTo>
                                <a:lnTo>
                                  <a:pt x="1868" y="284089"/>
                                </a:lnTo>
                                <a:lnTo>
                                  <a:pt x="0" y="334380"/>
                                </a:lnTo>
                                <a:lnTo>
                                  <a:pt x="2412" y="384774"/>
                                </a:lnTo>
                                <a:lnTo>
                                  <a:pt x="9138" y="434996"/>
                                </a:lnTo>
                                <a:lnTo>
                                  <a:pt x="20213" y="484768"/>
                                </a:lnTo>
                                <a:lnTo>
                                  <a:pt x="35670" y="533814"/>
                                </a:lnTo>
                                <a:lnTo>
                                  <a:pt x="314417" y="432508"/>
                                </a:lnTo>
                                <a:lnTo>
                                  <a:pt x="301923" y="387266"/>
                                </a:lnTo>
                                <a:lnTo>
                                  <a:pt x="296745" y="341191"/>
                                </a:lnTo>
                                <a:lnTo>
                                  <a:pt x="298780" y="295135"/>
                                </a:lnTo>
                                <a:lnTo>
                                  <a:pt x="307923" y="249950"/>
                                </a:lnTo>
                                <a:lnTo>
                                  <a:pt x="324071" y="206488"/>
                                </a:lnTo>
                                <a:lnTo>
                                  <a:pt x="347117" y="165601"/>
                                </a:lnTo>
                                <a:lnTo>
                                  <a:pt x="101070" y="0"/>
                                </a:lnTo>
                                <a:close/>
                              </a:path>
                            </a:pathLst>
                          </a:custGeom>
                          <a:solidFill>
                            <a:srgbClr val="BEBEBE"/>
                          </a:solidFill>
                        </wps:spPr>
                        <wps:bodyPr wrap="square" lIns="0" tIns="0" rIns="0" bIns="0" rtlCol="0">
                          <a:prstTxWarp prst="textNoShape">
                            <a:avLst/>
                          </a:prstTxWarp>
                          <a:noAutofit/>
                        </wps:bodyPr>
                      </wps:wsp>
                      <wps:wsp>
                        <wps:cNvPr id="406" name="Graphic 406"/>
                        <wps:cNvSpPr/>
                        <wps:spPr>
                          <a:xfrm>
                            <a:off x="965563" y="493093"/>
                            <a:ext cx="655320" cy="427355"/>
                          </a:xfrm>
                          <a:custGeom>
                            <a:avLst/>
                            <a:gdLst/>
                            <a:ahLst/>
                            <a:cxnLst/>
                            <a:rect l="l" t="t" r="r" b="b"/>
                            <a:pathLst>
                              <a:path w="655320" h="427355">
                                <a:moveTo>
                                  <a:pt x="515070" y="4"/>
                                </a:moveTo>
                                <a:lnTo>
                                  <a:pt x="468589" y="0"/>
                                </a:lnTo>
                                <a:lnTo>
                                  <a:pt x="422511" y="3613"/>
                                </a:lnTo>
                                <a:lnTo>
                                  <a:pt x="377035" y="10771"/>
                                </a:lnTo>
                                <a:lnTo>
                                  <a:pt x="332366" y="21400"/>
                                </a:lnTo>
                                <a:lnTo>
                                  <a:pt x="288705" y="35425"/>
                                </a:lnTo>
                                <a:lnTo>
                                  <a:pt x="246255" y="52773"/>
                                </a:lnTo>
                                <a:lnTo>
                                  <a:pt x="205218" y="73371"/>
                                </a:lnTo>
                                <a:lnTo>
                                  <a:pt x="165796" y="97144"/>
                                </a:lnTo>
                                <a:lnTo>
                                  <a:pt x="128192" y="124019"/>
                                </a:lnTo>
                                <a:lnTo>
                                  <a:pt x="92608" y="153922"/>
                                </a:lnTo>
                                <a:lnTo>
                                  <a:pt x="59247" y="186779"/>
                                </a:lnTo>
                                <a:lnTo>
                                  <a:pt x="28310" y="222517"/>
                                </a:lnTo>
                                <a:lnTo>
                                  <a:pt x="0" y="261062"/>
                                </a:lnTo>
                                <a:lnTo>
                                  <a:pt x="245880" y="426909"/>
                                </a:lnTo>
                                <a:lnTo>
                                  <a:pt x="275504" y="389768"/>
                                </a:lnTo>
                                <a:lnTo>
                                  <a:pt x="309977" y="358387"/>
                                </a:lnTo>
                                <a:lnTo>
                                  <a:pt x="348490" y="333063"/>
                                </a:lnTo>
                                <a:lnTo>
                                  <a:pt x="390233" y="314091"/>
                                </a:lnTo>
                                <a:lnTo>
                                  <a:pt x="434398" y="301764"/>
                                </a:lnTo>
                                <a:lnTo>
                                  <a:pt x="480175" y="296378"/>
                                </a:lnTo>
                                <a:lnTo>
                                  <a:pt x="526755" y="298228"/>
                                </a:lnTo>
                                <a:lnTo>
                                  <a:pt x="573328" y="307608"/>
                                </a:lnTo>
                                <a:lnTo>
                                  <a:pt x="654895" y="22460"/>
                                </a:lnTo>
                                <a:lnTo>
                                  <a:pt x="608425" y="11160"/>
                                </a:lnTo>
                                <a:lnTo>
                                  <a:pt x="561749" y="3699"/>
                                </a:lnTo>
                                <a:lnTo>
                                  <a:pt x="515070" y="4"/>
                                </a:lnTo>
                                <a:close/>
                              </a:path>
                            </a:pathLst>
                          </a:custGeom>
                          <a:solidFill>
                            <a:srgbClr val="242424"/>
                          </a:solidFill>
                        </wps:spPr>
                        <wps:bodyPr wrap="square" lIns="0" tIns="0" rIns="0" bIns="0" rtlCol="0">
                          <a:prstTxWarp prst="textNoShape">
                            <a:avLst/>
                          </a:prstTxWarp>
                          <a:noAutofit/>
                        </wps:bodyPr>
                      </wps:wsp>
                      <wps:wsp>
                        <wps:cNvPr id="407" name="Graphic 407"/>
                        <wps:cNvSpPr/>
                        <wps:spPr>
                          <a:xfrm>
                            <a:off x="965563" y="493093"/>
                            <a:ext cx="655320" cy="427355"/>
                          </a:xfrm>
                          <a:custGeom>
                            <a:avLst/>
                            <a:gdLst/>
                            <a:ahLst/>
                            <a:cxnLst/>
                            <a:rect l="l" t="t" r="r" b="b"/>
                            <a:pathLst>
                              <a:path w="655320" h="427355">
                                <a:moveTo>
                                  <a:pt x="0" y="261062"/>
                                </a:moveTo>
                                <a:lnTo>
                                  <a:pt x="28310" y="222517"/>
                                </a:lnTo>
                                <a:lnTo>
                                  <a:pt x="59247" y="186779"/>
                                </a:lnTo>
                                <a:lnTo>
                                  <a:pt x="92608" y="153922"/>
                                </a:lnTo>
                                <a:lnTo>
                                  <a:pt x="128192" y="124019"/>
                                </a:lnTo>
                                <a:lnTo>
                                  <a:pt x="165796" y="97144"/>
                                </a:lnTo>
                                <a:lnTo>
                                  <a:pt x="205218" y="73371"/>
                                </a:lnTo>
                                <a:lnTo>
                                  <a:pt x="246255" y="52773"/>
                                </a:lnTo>
                                <a:lnTo>
                                  <a:pt x="288705" y="35425"/>
                                </a:lnTo>
                                <a:lnTo>
                                  <a:pt x="332366" y="21400"/>
                                </a:lnTo>
                                <a:lnTo>
                                  <a:pt x="377035" y="10771"/>
                                </a:lnTo>
                                <a:lnTo>
                                  <a:pt x="422511" y="3613"/>
                                </a:lnTo>
                                <a:lnTo>
                                  <a:pt x="468589" y="0"/>
                                </a:lnTo>
                                <a:lnTo>
                                  <a:pt x="515070" y="4"/>
                                </a:lnTo>
                                <a:lnTo>
                                  <a:pt x="561749" y="3699"/>
                                </a:lnTo>
                                <a:lnTo>
                                  <a:pt x="608425" y="11160"/>
                                </a:lnTo>
                                <a:lnTo>
                                  <a:pt x="654895" y="22460"/>
                                </a:lnTo>
                                <a:lnTo>
                                  <a:pt x="573328" y="307608"/>
                                </a:lnTo>
                                <a:lnTo>
                                  <a:pt x="526755" y="298228"/>
                                </a:lnTo>
                                <a:lnTo>
                                  <a:pt x="480175" y="296378"/>
                                </a:lnTo>
                                <a:lnTo>
                                  <a:pt x="434398" y="301764"/>
                                </a:lnTo>
                                <a:lnTo>
                                  <a:pt x="390233" y="314091"/>
                                </a:lnTo>
                                <a:lnTo>
                                  <a:pt x="348490" y="333063"/>
                                </a:lnTo>
                                <a:lnTo>
                                  <a:pt x="309977" y="358387"/>
                                </a:lnTo>
                                <a:lnTo>
                                  <a:pt x="275504" y="389768"/>
                                </a:lnTo>
                                <a:lnTo>
                                  <a:pt x="245880" y="426909"/>
                                </a:lnTo>
                                <a:lnTo>
                                  <a:pt x="0" y="261062"/>
                                </a:lnTo>
                                <a:close/>
                              </a:path>
                            </a:pathLst>
                          </a:custGeom>
                          <a:ln w="9525">
                            <a:solidFill>
                              <a:srgbClr val="FFFFFF"/>
                            </a:solidFill>
                            <a:prstDash val="solid"/>
                          </a:ln>
                        </wps:spPr>
                        <wps:bodyPr wrap="square" lIns="0" tIns="0" rIns="0" bIns="0" rtlCol="0">
                          <a:prstTxWarp prst="textNoShape">
                            <a:avLst/>
                          </a:prstTxWarp>
                          <a:noAutofit/>
                        </wps:bodyPr>
                      </wps:wsp>
                      <wps:wsp>
                        <wps:cNvPr id="408" name="Graphic 408"/>
                        <wps:cNvSpPr/>
                        <wps:spPr>
                          <a:xfrm>
                            <a:off x="900073" y="515717"/>
                            <a:ext cx="1150620" cy="1163320"/>
                          </a:xfrm>
                          <a:custGeom>
                            <a:avLst/>
                            <a:gdLst/>
                            <a:ahLst/>
                            <a:cxnLst/>
                            <a:rect l="l" t="t" r="r" b="b"/>
                            <a:pathLst>
                              <a:path w="1150620" h="1163320">
                                <a:moveTo>
                                  <a:pt x="720956" y="0"/>
                                </a:moveTo>
                                <a:lnTo>
                                  <a:pt x="639103" y="285065"/>
                                </a:lnTo>
                                <a:lnTo>
                                  <a:pt x="682203" y="301129"/>
                                </a:lnTo>
                                <a:lnTo>
                                  <a:pt x="721503" y="323142"/>
                                </a:lnTo>
                                <a:lnTo>
                                  <a:pt x="756561" y="350473"/>
                                </a:lnTo>
                                <a:lnTo>
                                  <a:pt x="786937" y="382492"/>
                                </a:lnTo>
                                <a:lnTo>
                                  <a:pt x="812187" y="418567"/>
                                </a:lnTo>
                                <a:lnTo>
                                  <a:pt x="831872" y="458069"/>
                                </a:lnTo>
                                <a:lnTo>
                                  <a:pt x="845548" y="500365"/>
                                </a:lnTo>
                                <a:lnTo>
                                  <a:pt x="852776" y="544826"/>
                                </a:lnTo>
                                <a:lnTo>
                                  <a:pt x="853113" y="590821"/>
                                </a:lnTo>
                                <a:lnTo>
                                  <a:pt x="846378" y="636322"/>
                                </a:lnTo>
                                <a:lnTo>
                                  <a:pt x="833033" y="679344"/>
                                </a:lnTo>
                                <a:lnTo>
                                  <a:pt x="813602" y="719326"/>
                                </a:lnTo>
                                <a:lnTo>
                                  <a:pt x="788612" y="755703"/>
                                </a:lnTo>
                                <a:lnTo>
                                  <a:pt x="758586" y="787913"/>
                                </a:lnTo>
                                <a:lnTo>
                                  <a:pt x="724050" y="815392"/>
                                </a:lnTo>
                                <a:lnTo>
                                  <a:pt x="685529" y="837578"/>
                                </a:lnTo>
                                <a:lnTo>
                                  <a:pt x="643548" y="853907"/>
                                </a:lnTo>
                                <a:lnTo>
                                  <a:pt x="598632" y="863815"/>
                                </a:lnTo>
                                <a:lnTo>
                                  <a:pt x="552727" y="866704"/>
                                </a:lnTo>
                                <a:lnTo>
                                  <a:pt x="507868" y="862611"/>
                                </a:lnTo>
                                <a:lnTo>
                                  <a:pt x="464717" y="851933"/>
                                </a:lnTo>
                                <a:lnTo>
                                  <a:pt x="423933" y="835066"/>
                                </a:lnTo>
                                <a:lnTo>
                                  <a:pt x="386176" y="812407"/>
                                </a:lnTo>
                                <a:lnTo>
                                  <a:pt x="352106" y="784351"/>
                                </a:lnTo>
                                <a:lnTo>
                                  <a:pt x="322385" y="751296"/>
                                </a:lnTo>
                                <a:lnTo>
                                  <a:pt x="297671" y="713636"/>
                                </a:lnTo>
                                <a:lnTo>
                                  <a:pt x="278625" y="671769"/>
                                </a:lnTo>
                                <a:lnTo>
                                  <a:pt x="0" y="773404"/>
                                </a:lnTo>
                                <a:lnTo>
                                  <a:pt x="18673" y="818735"/>
                                </a:lnTo>
                                <a:lnTo>
                                  <a:pt x="40698" y="861811"/>
                                </a:lnTo>
                                <a:lnTo>
                                  <a:pt x="65878" y="902515"/>
                                </a:lnTo>
                                <a:lnTo>
                                  <a:pt x="94018" y="940730"/>
                                </a:lnTo>
                                <a:lnTo>
                                  <a:pt x="124921" y="976338"/>
                                </a:lnTo>
                                <a:lnTo>
                                  <a:pt x="158392" y="1009222"/>
                                </a:lnTo>
                                <a:lnTo>
                                  <a:pt x="194235" y="1039264"/>
                                </a:lnTo>
                                <a:lnTo>
                                  <a:pt x="232254" y="1066346"/>
                                </a:lnTo>
                                <a:lnTo>
                                  <a:pt x="272253" y="1090350"/>
                                </a:lnTo>
                                <a:lnTo>
                                  <a:pt x="314036" y="1111160"/>
                                </a:lnTo>
                                <a:lnTo>
                                  <a:pt x="357407" y="1128658"/>
                                </a:lnTo>
                                <a:lnTo>
                                  <a:pt x="402171" y="1142725"/>
                                </a:lnTo>
                                <a:lnTo>
                                  <a:pt x="448130" y="1153246"/>
                                </a:lnTo>
                                <a:lnTo>
                                  <a:pt x="495090" y="1160100"/>
                                </a:lnTo>
                                <a:lnTo>
                                  <a:pt x="542855" y="1163173"/>
                                </a:lnTo>
                                <a:lnTo>
                                  <a:pt x="591228" y="1162345"/>
                                </a:lnTo>
                                <a:lnTo>
                                  <a:pt x="640013" y="1157499"/>
                                </a:lnTo>
                                <a:lnTo>
                                  <a:pt x="688239" y="1148676"/>
                                </a:lnTo>
                                <a:lnTo>
                                  <a:pt x="734957" y="1136105"/>
                                </a:lnTo>
                                <a:lnTo>
                                  <a:pt x="780013" y="1119954"/>
                                </a:lnTo>
                                <a:lnTo>
                                  <a:pt x="823251" y="1100390"/>
                                </a:lnTo>
                                <a:lnTo>
                                  <a:pt x="864514" y="1077580"/>
                                </a:lnTo>
                                <a:lnTo>
                                  <a:pt x="903647" y="1051691"/>
                                </a:lnTo>
                                <a:lnTo>
                                  <a:pt x="940495" y="1022890"/>
                                </a:lnTo>
                                <a:lnTo>
                                  <a:pt x="974901" y="991345"/>
                                </a:lnTo>
                                <a:lnTo>
                                  <a:pt x="1006710" y="957223"/>
                                </a:lnTo>
                                <a:lnTo>
                                  <a:pt x="1035765" y="920690"/>
                                </a:lnTo>
                                <a:lnTo>
                                  <a:pt x="1061912" y="881913"/>
                                </a:lnTo>
                                <a:lnTo>
                                  <a:pt x="1084993" y="841061"/>
                                </a:lnTo>
                                <a:lnTo>
                                  <a:pt x="1104854" y="798300"/>
                                </a:lnTo>
                                <a:lnTo>
                                  <a:pt x="1121339" y="753797"/>
                                </a:lnTo>
                                <a:lnTo>
                                  <a:pt x="1134291" y="707720"/>
                                </a:lnTo>
                                <a:lnTo>
                                  <a:pt x="1143556" y="660235"/>
                                </a:lnTo>
                                <a:lnTo>
                                  <a:pt x="1148976" y="611510"/>
                                </a:lnTo>
                                <a:lnTo>
                                  <a:pt x="1150390" y="562504"/>
                                </a:lnTo>
                                <a:lnTo>
                                  <a:pt x="1147824" y="514192"/>
                                </a:lnTo>
                                <a:lnTo>
                                  <a:pt x="1141411" y="466761"/>
                                </a:lnTo>
                                <a:lnTo>
                                  <a:pt x="1131280" y="420397"/>
                                </a:lnTo>
                                <a:lnTo>
                                  <a:pt x="1117564" y="375288"/>
                                </a:lnTo>
                                <a:lnTo>
                                  <a:pt x="1100392" y="331621"/>
                                </a:lnTo>
                                <a:lnTo>
                                  <a:pt x="1079897" y="289583"/>
                                </a:lnTo>
                                <a:lnTo>
                                  <a:pt x="1056209" y="249362"/>
                                </a:lnTo>
                                <a:lnTo>
                                  <a:pt x="1029459" y="211145"/>
                                </a:lnTo>
                                <a:lnTo>
                                  <a:pt x="999778" y="175118"/>
                                </a:lnTo>
                                <a:lnTo>
                                  <a:pt x="967298" y="141469"/>
                                </a:lnTo>
                                <a:lnTo>
                                  <a:pt x="932148" y="110386"/>
                                </a:lnTo>
                                <a:lnTo>
                                  <a:pt x="894461" y="82055"/>
                                </a:lnTo>
                                <a:lnTo>
                                  <a:pt x="854367" y="56664"/>
                                </a:lnTo>
                                <a:lnTo>
                                  <a:pt x="811998" y="34399"/>
                                </a:lnTo>
                                <a:lnTo>
                                  <a:pt x="767483" y="15449"/>
                                </a:lnTo>
                                <a:lnTo>
                                  <a:pt x="720956" y="0"/>
                                </a:lnTo>
                                <a:close/>
                              </a:path>
                            </a:pathLst>
                          </a:custGeom>
                          <a:solidFill>
                            <a:srgbClr val="D9D9D9"/>
                          </a:solidFill>
                        </wps:spPr>
                        <wps:bodyPr wrap="square" lIns="0" tIns="0" rIns="0" bIns="0" rtlCol="0">
                          <a:prstTxWarp prst="textNoShape">
                            <a:avLst/>
                          </a:prstTxWarp>
                          <a:noAutofit/>
                        </wps:bodyPr>
                      </wps:wsp>
                      <wps:wsp>
                        <wps:cNvPr id="409" name="Graphic 409"/>
                        <wps:cNvSpPr/>
                        <wps:spPr>
                          <a:xfrm>
                            <a:off x="900073" y="515717"/>
                            <a:ext cx="1150620" cy="1163320"/>
                          </a:xfrm>
                          <a:custGeom>
                            <a:avLst/>
                            <a:gdLst/>
                            <a:ahLst/>
                            <a:cxnLst/>
                            <a:rect l="l" t="t" r="r" b="b"/>
                            <a:pathLst>
                              <a:path w="1150620" h="1163320">
                                <a:moveTo>
                                  <a:pt x="720956" y="0"/>
                                </a:moveTo>
                                <a:lnTo>
                                  <a:pt x="767483" y="15449"/>
                                </a:lnTo>
                                <a:lnTo>
                                  <a:pt x="811998" y="34399"/>
                                </a:lnTo>
                                <a:lnTo>
                                  <a:pt x="854367" y="56664"/>
                                </a:lnTo>
                                <a:lnTo>
                                  <a:pt x="894461" y="82055"/>
                                </a:lnTo>
                                <a:lnTo>
                                  <a:pt x="932148" y="110386"/>
                                </a:lnTo>
                                <a:lnTo>
                                  <a:pt x="967298" y="141469"/>
                                </a:lnTo>
                                <a:lnTo>
                                  <a:pt x="999778" y="175118"/>
                                </a:lnTo>
                                <a:lnTo>
                                  <a:pt x="1029459" y="211145"/>
                                </a:lnTo>
                                <a:lnTo>
                                  <a:pt x="1056209" y="249362"/>
                                </a:lnTo>
                                <a:lnTo>
                                  <a:pt x="1079897" y="289583"/>
                                </a:lnTo>
                                <a:lnTo>
                                  <a:pt x="1100392" y="331621"/>
                                </a:lnTo>
                                <a:lnTo>
                                  <a:pt x="1117564" y="375288"/>
                                </a:lnTo>
                                <a:lnTo>
                                  <a:pt x="1131280" y="420397"/>
                                </a:lnTo>
                                <a:lnTo>
                                  <a:pt x="1141411" y="466761"/>
                                </a:lnTo>
                                <a:lnTo>
                                  <a:pt x="1147824" y="514192"/>
                                </a:lnTo>
                                <a:lnTo>
                                  <a:pt x="1150390" y="562504"/>
                                </a:lnTo>
                                <a:lnTo>
                                  <a:pt x="1148976" y="611510"/>
                                </a:lnTo>
                                <a:lnTo>
                                  <a:pt x="1143556" y="660235"/>
                                </a:lnTo>
                                <a:lnTo>
                                  <a:pt x="1134291" y="707720"/>
                                </a:lnTo>
                                <a:lnTo>
                                  <a:pt x="1121339" y="753797"/>
                                </a:lnTo>
                                <a:lnTo>
                                  <a:pt x="1104854" y="798300"/>
                                </a:lnTo>
                                <a:lnTo>
                                  <a:pt x="1084993" y="841061"/>
                                </a:lnTo>
                                <a:lnTo>
                                  <a:pt x="1061912" y="881913"/>
                                </a:lnTo>
                                <a:lnTo>
                                  <a:pt x="1035765" y="920690"/>
                                </a:lnTo>
                                <a:lnTo>
                                  <a:pt x="1006710" y="957223"/>
                                </a:lnTo>
                                <a:lnTo>
                                  <a:pt x="974901" y="991345"/>
                                </a:lnTo>
                                <a:lnTo>
                                  <a:pt x="940495" y="1022890"/>
                                </a:lnTo>
                                <a:lnTo>
                                  <a:pt x="903647" y="1051691"/>
                                </a:lnTo>
                                <a:lnTo>
                                  <a:pt x="864514" y="1077580"/>
                                </a:lnTo>
                                <a:lnTo>
                                  <a:pt x="823251" y="1100390"/>
                                </a:lnTo>
                                <a:lnTo>
                                  <a:pt x="780013" y="1119954"/>
                                </a:lnTo>
                                <a:lnTo>
                                  <a:pt x="734957" y="1136105"/>
                                </a:lnTo>
                                <a:lnTo>
                                  <a:pt x="688239" y="1148676"/>
                                </a:lnTo>
                                <a:lnTo>
                                  <a:pt x="640013" y="1157499"/>
                                </a:lnTo>
                                <a:lnTo>
                                  <a:pt x="591228" y="1162345"/>
                                </a:lnTo>
                                <a:lnTo>
                                  <a:pt x="542855" y="1163173"/>
                                </a:lnTo>
                                <a:lnTo>
                                  <a:pt x="495090" y="1160100"/>
                                </a:lnTo>
                                <a:lnTo>
                                  <a:pt x="448130" y="1153246"/>
                                </a:lnTo>
                                <a:lnTo>
                                  <a:pt x="402171" y="1142725"/>
                                </a:lnTo>
                                <a:lnTo>
                                  <a:pt x="357407" y="1128658"/>
                                </a:lnTo>
                                <a:lnTo>
                                  <a:pt x="314036" y="1111160"/>
                                </a:lnTo>
                                <a:lnTo>
                                  <a:pt x="272253" y="1090350"/>
                                </a:lnTo>
                                <a:lnTo>
                                  <a:pt x="232254" y="1066346"/>
                                </a:lnTo>
                                <a:lnTo>
                                  <a:pt x="194235" y="1039264"/>
                                </a:lnTo>
                                <a:lnTo>
                                  <a:pt x="158392" y="1009222"/>
                                </a:lnTo>
                                <a:lnTo>
                                  <a:pt x="124921" y="976338"/>
                                </a:lnTo>
                                <a:lnTo>
                                  <a:pt x="94018" y="940730"/>
                                </a:lnTo>
                                <a:lnTo>
                                  <a:pt x="65878" y="902515"/>
                                </a:lnTo>
                                <a:lnTo>
                                  <a:pt x="40698" y="861811"/>
                                </a:lnTo>
                                <a:lnTo>
                                  <a:pt x="18673" y="818735"/>
                                </a:lnTo>
                                <a:lnTo>
                                  <a:pt x="0" y="773404"/>
                                </a:lnTo>
                                <a:lnTo>
                                  <a:pt x="278625" y="671769"/>
                                </a:lnTo>
                                <a:lnTo>
                                  <a:pt x="297671" y="713636"/>
                                </a:lnTo>
                                <a:lnTo>
                                  <a:pt x="322385" y="751296"/>
                                </a:lnTo>
                                <a:lnTo>
                                  <a:pt x="352106" y="784351"/>
                                </a:lnTo>
                                <a:lnTo>
                                  <a:pt x="386176" y="812407"/>
                                </a:lnTo>
                                <a:lnTo>
                                  <a:pt x="423933" y="835066"/>
                                </a:lnTo>
                                <a:lnTo>
                                  <a:pt x="464717" y="851933"/>
                                </a:lnTo>
                                <a:lnTo>
                                  <a:pt x="507868" y="862611"/>
                                </a:lnTo>
                                <a:lnTo>
                                  <a:pt x="552727" y="866704"/>
                                </a:lnTo>
                                <a:lnTo>
                                  <a:pt x="598632" y="863815"/>
                                </a:lnTo>
                                <a:lnTo>
                                  <a:pt x="643548" y="853907"/>
                                </a:lnTo>
                                <a:lnTo>
                                  <a:pt x="685529" y="837578"/>
                                </a:lnTo>
                                <a:lnTo>
                                  <a:pt x="724050" y="815392"/>
                                </a:lnTo>
                                <a:lnTo>
                                  <a:pt x="758586" y="787913"/>
                                </a:lnTo>
                                <a:lnTo>
                                  <a:pt x="788612" y="755703"/>
                                </a:lnTo>
                                <a:lnTo>
                                  <a:pt x="813602" y="719326"/>
                                </a:lnTo>
                                <a:lnTo>
                                  <a:pt x="833033" y="679344"/>
                                </a:lnTo>
                                <a:lnTo>
                                  <a:pt x="846378" y="636322"/>
                                </a:lnTo>
                                <a:lnTo>
                                  <a:pt x="853113" y="590821"/>
                                </a:lnTo>
                                <a:lnTo>
                                  <a:pt x="852776" y="544826"/>
                                </a:lnTo>
                                <a:lnTo>
                                  <a:pt x="845548" y="500365"/>
                                </a:lnTo>
                                <a:lnTo>
                                  <a:pt x="831872" y="458069"/>
                                </a:lnTo>
                                <a:lnTo>
                                  <a:pt x="812187" y="418567"/>
                                </a:lnTo>
                                <a:lnTo>
                                  <a:pt x="786937" y="382492"/>
                                </a:lnTo>
                                <a:lnTo>
                                  <a:pt x="756561" y="350473"/>
                                </a:lnTo>
                                <a:lnTo>
                                  <a:pt x="721503" y="323142"/>
                                </a:lnTo>
                                <a:lnTo>
                                  <a:pt x="682203" y="301129"/>
                                </a:lnTo>
                                <a:lnTo>
                                  <a:pt x="639103" y="285065"/>
                                </a:lnTo>
                                <a:lnTo>
                                  <a:pt x="720956" y="0"/>
                                </a:lnTo>
                                <a:close/>
                              </a:path>
                            </a:pathLst>
                          </a:custGeom>
                          <a:ln w="9525">
                            <a:solidFill>
                              <a:srgbClr val="FFFFFF"/>
                            </a:solidFill>
                            <a:prstDash val="solid"/>
                          </a:ln>
                        </wps:spPr>
                        <wps:bodyPr wrap="square" lIns="0" tIns="0" rIns="0" bIns="0" rtlCol="0">
                          <a:prstTxWarp prst="textNoShape">
                            <a:avLst/>
                          </a:prstTxWarp>
                          <a:noAutofit/>
                        </wps:bodyPr>
                      </wps:wsp>
                      <wps:wsp>
                        <wps:cNvPr id="410" name="Textbox 410"/>
                        <wps:cNvSpPr txBox="1"/>
                        <wps:spPr>
                          <a:xfrm>
                            <a:off x="9525" y="9525"/>
                            <a:ext cx="2886075" cy="1885950"/>
                          </a:xfrm>
                          <a:prstGeom prst="rect">
                            <a:avLst/>
                          </a:prstGeom>
                          <a:ln w="19050">
                            <a:solidFill>
                              <a:srgbClr val="000000"/>
                            </a:solidFill>
                            <a:prstDash val="solid"/>
                          </a:ln>
                        </wps:spPr>
                        <wps:txbx>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p>
                              <w:pPr>
                                <w:spacing w:line="240" w:lineRule="auto" w:before="130"/>
                                <w:rPr>
                                  <w:rFonts w:ascii="Arial"/>
                                  <w:b/>
                                  <w:sz w:val="16"/>
                                </w:rPr>
                              </w:pPr>
                            </w:p>
                            <w:p>
                              <w:pPr>
                                <w:spacing w:line="249" w:lineRule="auto" w:before="0"/>
                                <w:ind w:left="1073" w:right="2953" w:firstLine="0"/>
                                <w:jc w:val="left"/>
                                <w:rPr>
                                  <w:rFonts w:ascii="Arial MT"/>
                                  <w:sz w:val="16"/>
                                </w:rPr>
                              </w:pPr>
                              <w:r>
                                <w:rPr>
                                  <w:rFonts w:ascii="Arial MT"/>
                                  <w:spacing w:val="-2"/>
                                  <w:sz w:val="16"/>
                                </w:rPr>
                                <w:t>Others </w:t>
                              </w:r>
                              <w:r>
                                <w:rPr>
                                  <w:rFonts w:ascii="Arial MT"/>
                                  <w:spacing w:val="-4"/>
                                  <w:sz w:val="16"/>
                                </w:rPr>
                                <w:t>20%</w:t>
                              </w:r>
                            </w:p>
                            <w:p>
                              <w:pPr>
                                <w:spacing w:line="240" w:lineRule="auto" w:before="0"/>
                                <w:rPr>
                                  <w:rFonts w:ascii="Arial MT"/>
                                  <w:sz w:val="16"/>
                                </w:rPr>
                              </w:pPr>
                            </w:p>
                            <w:p>
                              <w:pPr>
                                <w:spacing w:line="240" w:lineRule="auto" w:before="114"/>
                                <w:rPr>
                                  <w:rFonts w:ascii="Arial MT"/>
                                  <w:sz w:val="16"/>
                                </w:rPr>
                              </w:pPr>
                            </w:p>
                            <w:p>
                              <w:pPr>
                                <w:spacing w:before="0"/>
                                <w:ind w:left="461" w:right="0" w:firstLine="0"/>
                                <w:jc w:val="left"/>
                                <w:rPr>
                                  <w:rFonts w:ascii="Arial MT"/>
                                  <w:sz w:val="16"/>
                                </w:rPr>
                              </w:pPr>
                              <w:r>
                                <w:rPr>
                                  <w:rFonts w:ascii="Arial MT"/>
                                  <w:sz w:val="16"/>
                                </w:rPr>
                                <w:t>Euro</w:t>
                              </w:r>
                              <w:r>
                                <w:rPr>
                                  <w:rFonts w:ascii="Arial MT"/>
                                  <w:spacing w:val="-1"/>
                                  <w:sz w:val="16"/>
                                </w:rPr>
                                <w:t> </w:t>
                              </w:r>
                              <w:r>
                                <w:rPr>
                                  <w:rFonts w:ascii="Arial MT"/>
                                  <w:spacing w:val="-5"/>
                                  <w:sz w:val="16"/>
                                </w:rPr>
                                <w:t>15%</w:t>
                              </w:r>
                            </w:p>
                            <w:p>
                              <w:pPr>
                                <w:spacing w:line="240" w:lineRule="auto" w:before="0"/>
                                <w:rPr>
                                  <w:rFonts w:ascii="Arial MT"/>
                                  <w:sz w:val="16"/>
                                </w:rPr>
                              </w:pPr>
                            </w:p>
                            <w:p>
                              <w:pPr>
                                <w:spacing w:line="240" w:lineRule="auto" w:before="0"/>
                                <w:rPr>
                                  <w:rFonts w:ascii="Arial MT"/>
                                  <w:sz w:val="16"/>
                                </w:rPr>
                              </w:pPr>
                            </w:p>
                            <w:p>
                              <w:pPr>
                                <w:spacing w:line="240" w:lineRule="auto" w:before="57"/>
                                <w:rPr>
                                  <w:rFonts w:ascii="Arial MT"/>
                                  <w:sz w:val="16"/>
                                </w:rPr>
                              </w:pPr>
                            </w:p>
                            <w:p>
                              <w:pPr>
                                <w:spacing w:line="249" w:lineRule="auto" w:before="0"/>
                                <w:ind w:left="3049" w:right="773" w:firstLine="0"/>
                                <w:jc w:val="left"/>
                                <w:rPr>
                                  <w:rFonts w:ascii="Arial MT"/>
                                  <w:sz w:val="16"/>
                                </w:rPr>
                              </w:pPr>
                              <w:r>
                                <w:rPr>
                                  <w:rFonts w:ascii="Arial MT"/>
                                  <w:sz w:val="16"/>
                                </w:rPr>
                                <w:t>US</w:t>
                              </w:r>
                              <w:r>
                                <w:rPr>
                                  <w:rFonts w:ascii="Arial MT"/>
                                  <w:spacing w:val="-12"/>
                                  <w:sz w:val="16"/>
                                </w:rPr>
                                <w:t> </w:t>
                              </w:r>
                              <w:r>
                                <w:rPr>
                                  <w:rFonts w:ascii="Arial MT"/>
                                  <w:sz w:val="16"/>
                                </w:rPr>
                                <w:t>Dollar </w:t>
                              </w:r>
                              <w:r>
                                <w:rPr>
                                  <w:rFonts w:ascii="Arial MT"/>
                                  <w:spacing w:val="-4"/>
                                  <w:sz w:val="16"/>
                                </w:rPr>
                                <w:t>65%</w:t>
                              </w:r>
                            </w:p>
                          </w:txbxContent>
                        </wps:txbx>
                        <wps:bodyPr wrap="square" lIns="0" tIns="0" rIns="0" bIns="0" rtlCol="0">
                          <a:noAutofit/>
                        </wps:bodyPr>
                      </wps:wsp>
                    </wpg:wgp>
                  </a:graphicData>
                </a:graphic>
              </wp:anchor>
            </w:drawing>
          </mc:Choice>
          <mc:Fallback>
            <w:pict>
              <v:group style="position:absolute;margin-left:72pt;margin-top:8.351875pt;width:228.75pt;height:150pt;mso-position-horizontal-relative:page;mso-position-vertical-relative:paragraph;z-index:-15668224;mso-wrap-distance-left:0;mso-wrap-distance-right:0" id="docshapegroup333" coordorigin="1440,167" coordsize="4575,3000">
                <v:shape style="position:absolute;left:2800;top:1355;width:547;height:841" id="docshape334" coordorigin="2801,1355" coordsize="547,841" path="m2960,1355l2918,1425,2882,1496,2853,1571,2830,1647,2813,1724,2804,1803,2801,1882,2805,1961,2815,2040,2833,2119,2857,2196,3296,2037,3276,1965,3268,1893,3271,1820,3286,1749,3311,1681,3348,1616,2960,1355xe" filled="true" fillcolor="#bebebe" stroked="false">
                  <v:path arrowok="t"/>
                  <v:fill type="solid"/>
                </v:shape>
                <v:shape style="position:absolute;left:2960;top:943;width:1032;height:673" id="docshape335" coordorigin="2961,944" coordsize="1032,673" path="m3772,944l3699,944,3626,949,3554,961,3484,977,3415,999,3348,1027,3284,1059,3222,1097,3162,1139,3106,1186,3054,1238,3005,1294,2961,1355,3348,1616,3394,1557,3449,1508,3509,1468,3575,1438,3645,1419,3717,1410,3790,1413,3863,1428,3992,979,3919,961,3845,949,3772,944xe" filled="true" fillcolor="#242424" stroked="false">
                  <v:path arrowok="t"/>
                  <v:fill type="solid"/>
                </v:shape>
                <v:shape style="position:absolute;left:2960;top:943;width:1032;height:673" id="docshape336" coordorigin="2961,944" coordsize="1032,673" path="m2961,1355l3005,1294,3054,1238,3106,1186,3162,1139,3222,1097,3284,1059,3348,1027,3415,999,3484,977,3554,961,3626,949,3699,944,3772,944,3845,949,3919,961,3992,979,3863,1428,3790,1413,3717,1410,3645,1419,3575,1438,3509,1468,3449,1508,3394,1557,3348,1616,2961,1355xe" filled="false" stroked="true" strokeweight=".75pt" strokecolor="#ffffff">
                  <v:path arrowok="t"/>
                  <v:stroke dashstyle="solid"/>
                </v:shape>
                <v:shape style="position:absolute;left:2857;top:979;width:1812;height:1832" id="docshape337" coordorigin="2857,979" coordsize="1812,1832" path="m3993,979l3864,1428,3932,1453,3994,1488,4049,1531,4097,1582,4136,1638,4167,1701,4189,1767,4200,1837,4201,1910,4190,1981,4169,2049,4139,2112,4099,2169,4052,2220,3998,2263,3937,2298,3871,2324,3800,2340,3728,2344,3657,2338,3589,2321,3525,2294,3466,2259,3412,2214,3365,2162,3326,2103,3296,2037,2857,2197,2887,2269,2922,2336,2961,2400,3005,2461,3054,2517,3107,2569,3163,2616,3223,2658,3286,2696,3352,2729,3420,2757,3491,2779,3563,2795,3637,2806,3712,2811,3789,2810,3865,2802,3941,2788,4015,2768,4086,2743,4154,2712,4219,2676,4281,2635,4339,2590,4393,2540,4443,2487,4489,2429,4530,2368,4566,2304,4597,2236,4623,2166,4644,2094,4658,2019,4667,1942,4669,1865,4665,1789,4655,1714,4639,1641,4617,1570,4590,1501,4558,1435,4521,1372,4479,1312,4432,1255,4381,1202,4325,1153,4266,1108,4203,1068,4136,1033,4066,1004,3993,979xe" filled="true" fillcolor="#d9d9d9" stroked="false">
                  <v:path arrowok="t"/>
                  <v:fill type="solid"/>
                </v:shape>
                <v:shape style="position:absolute;left:2857;top:979;width:1812;height:1832" id="docshape338" coordorigin="2857,979" coordsize="1812,1832" path="m3993,979l4066,1004,4136,1033,4203,1068,4266,1108,4325,1153,4381,1202,4432,1255,4479,1312,4521,1372,4558,1435,4590,1501,4617,1570,4639,1641,4655,1714,4665,1789,4669,1865,4667,1942,4658,2019,4644,2094,4623,2166,4597,2236,4566,2304,4530,2368,4489,2429,4443,2487,4393,2540,4339,2590,4281,2635,4219,2676,4154,2712,4086,2743,4015,2768,3941,2788,3865,2802,3789,2810,3712,2811,3637,2806,3563,2795,3491,2779,3420,2757,3352,2729,3286,2696,3223,2658,3163,2616,3107,2569,3054,2517,3005,2461,2961,2400,2922,2336,2887,2269,2857,2197,3296,2037,3326,2103,3365,2162,3412,2214,3466,2259,3525,2294,3589,2321,3657,2338,3728,2344,3800,2340,3871,2324,3937,2298,3998,2263,4052,2220,4099,2169,4139,2112,4169,2049,4190,1981,4201,1910,4200,1837,4189,1767,4167,1701,4136,1638,4097,1582,4049,1531,3994,1488,3932,1453,3864,1428,3993,979xe" filled="false" stroked="true" strokeweight=".75pt" strokecolor="#ffffff">
                  <v:path arrowok="t"/>
                  <v:stroke dashstyle="solid"/>
                </v:shape>
                <v:shape style="position:absolute;left:1455;top:182;width:4545;height:2970" type="#_x0000_t202" id="docshape339" filled="false" stroked="true" strokeweight="1.5pt" strokecolor="#000000">
                  <v:textbox inset="0,0,0,0">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2023</w:t>
                        </w:r>
                      </w:p>
                      <w:p>
                        <w:pPr>
                          <w:spacing w:line="240" w:lineRule="auto" w:before="130"/>
                          <w:rPr>
                            <w:rFonts w:ascii="Arial"/>
                            <w:b/>
                            <w:sz w:val="16"/>
                          </w:rPr>
                        </w:pPr>
                      </w:p>
                      <w:p>
                        <w:pPr>
                          <w:spacing w:line="249" w:lineRule="auto" w:before="0"/>
                          <w:ind w:left="1073" w:right="2953" w:firstLine="0"/>
                          <w:jc w:val="left"/>
                          <w:rPr>
                            <w:rFonts w:ascii="Arial MT"/>
                            <w:sz w:val="16"/>
                          </w:rPr>
                        </w:pPr>
                        <w:r>
                          <w:rPr>
                            <w:rFonts w:ascii="Arial MT"/>
                            <w:spacing w:val="-2"/>
                            <w:sz w:val="16"/>
                          </w:rPr>
                          <w:t>Others </w:t>
                        </w:r>
                        <w:r>
                          <w:rPr>
                            <w:rFonts w:ascii="Arial MT"/>
                            <w:spacing w:val="-4"/>
                            <w:sz w:val="16"/>
                          </w:rPr>
                          <w:t>20%</w:t>
                        </w:r>
                      </w:p>
                      <w:p>
                        <w:pPr>
                          <w:spacing w:line="240" w:lineRule="auto" w:before="0"/>
                          <w:rPr>
                            <w:rFonts w:ascii="Arial MT"/>
                            <w:sz w:val="16"/>
                          </w:rPr>
                        </w:pPr>
                      </w:p>
                      <w:p>
                        <w:pPr>
                          <w:spacing w:line="240" w:lineRule="auto" w:before="114"/>
                          <w:rPr>
                            <w:rFonts w:ascii="Arial MT"/>
                            <w:sz w:val="16"/>
                          </w:rPr>
                        </w:pPr>
                      </w:p>
                      <w:p>
                        <w:pPr>
                          <w:spacing w:before="0"/>
                          <w:ind w:left="461" w:right="0" w:firstLine="0"/>
                          <w:jc w:val="left"/>
                          <w:rPr>
                            <w:rFonts w:ascii="Arial MT"/>
                            <w:sz w:val="16"/>
                          </w:rPr>
                        </w:pPr>
                        <w:r>
                          <w:rPr>
                            <w:rFonts w:ascii="Arial MT"/>
                            <w:sz w:val="16"/>
                          </w:rPr>
                          <w:t>Euro</w:t>
                        </w:r>
                        <w:r>
                          <w:rPr>
                            <w:rFonts w:ascii="Arial MT"/>
                            <w:spacing w:val="-1"/>
                            <w:sz w:val="16"/>
                          </w:rPr>
                          <w:t> </w:t>
                        </w:r>
                        <w:r>
                          <w:rPr>
                            <w:rFonts w:ascii="Arial MT"/>
                            <w:spacing w:val="-5"/>
                            <w:sz w:val="16"/>
                          </w:rPr>
                          <w:t>15%</w:t>
                        </w:r>
                      </w:p>
                      <w:p>
                        <w:pPr>
                          <w:spacing w:line="240" w:lineRule="auto" w:before="0"/>
                          <w:rPr>
                            <w:rFonts w:ascii="Arial MT"/>
                            <w:sz w:val="16"/>
                          </w:rPr>
                        </w:pPr>
                      </w:p>
                      <w:p>
                        <w:pPr>
                          <w:spacing w:line="240" w:lineRule="auto" w:before="0"/>
                          <w:rPr>
                            <w:rFonts w:ascii="Arial MT"/>
                            <w:sz w:val="16"/>
                          </w:rPr>
                        </w:pPr>
                      </w:p>
                      <w:p>
                        <w:pPr>
                          <w:spacing w:line="240" w:lineRule="auto" w:before="57"/>
                          <w:rPr>
                            <w:rFonts w:ascii="Arial MT"/>
                            <w:sz w:val="16"/>
                          </w:rPr>
                        </w:pPr>
                      </w:p>
                      <w:p>
                        <w:pPr>
                          <w:spacing w:line="249" w:lineRule="auto" w:before="0"/>
                          <w:ind w:left="3049" w:right="773" w:firstLine="0"/>
                          <w:jc w:val="left"/>
                          <w:rPr>
                            <w:rFonts w:ascii="Arial MT"/>
                            <w:sz w:val="16"/>
                          </w:rPr>
                        </w:pPr>
                        <w:r>
                          <w:rPr>
                            <w:rFonts w:ascii="Arial MT"/>
                            <w:sz w:val="16"/>
                          </w:rPr>
                          <w:t>US</w:t>
                        </w:r>
                        <w:r>
                          <w:rPr>
                            <w:rFonts w:ascii="Arial MT"/>
                            <w:spacing w:val="-12"/>
                            <w:sz w:val="16"/>
                          </w:rPr>
                          <w:t> </w:t>
                        </w:r>
                        <w:r>
                          <w:rPr>
                            <w:rFonts w:ascii="Arial MT"/>
                            <w:sz w:val="16"/>
                          </w:rPr>
                          <w:t>Dollar </w:t>
                        </w:r>
                        <w:r>
                          <w:rPr>
                            <w:rFonts w:ascii="Arial MT"/>
                            <w:spacing w:val="-4"/>
                            <w:sz w:val="16"/>
                          </w:rPr>
                          <w:t>65%</w:t>
                        </w:r>
                      </w:p>
                    </w:txbxContent>
                  </v:textbox>
                  <v:stroke dashstyle="solid"/>
                  <w10:wrap type="none"/>
                </v:shape>
                <w10:wrap type="topAndBottom"/>
              </v:group>
            </w:pict>
          </mc:Fallback>
        </mc:AlternateContent>
      </w:r>
      <w:r>
        <w:rPr>
          <w:rFonts w:ascii="Arial"/>
          <w:b/>
          <w:sz w:val="12"/>
        </w:rPr>
        <mc:AlternateContent>
          <mc:Choice Requires="wps">
            <w:drawing>
              <wp:anchor distT="0" distB="0" distL="0" distR="0" allowOverlap="1" layoutInCell="1" locked="0" behindDoc="1" simplePos="0" relativeHeight="487648768">
                <wp:simplePos x="0" y="0"/>
                <wp:positionH relativeFrom="page">
                  <wp:posOffset>3883025</wp:posOffset>
                </wp:positionH>
                <wp:positionV relativeFrom="paragraph">
                  <wp:posOffset>106068</wp:posOffset>
                </wp:positionV>
                <wp:extent cx="2905125" cy="190500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2905125" cy="1905000"/>
                          <a:chExt cx="2905125" cy="1905000"/>
                        </a:xfrm>
                      </wpg:grpSpPr>
                      <wps:wsp>
                        <wps:cNvPr id="412" name="Graphic 412"/>
                        <wps:cNvSpPr/>
                        <wps:spPr>
                          <a:xfrm>
                            <a:off x="864298" y="819113"/>
                            <a:ext cx="328295" cy="469900"/>
                          </a:xfrm>
                          <a:custGeom>
                            <a:avLst/>
                            <a:gdLst/>
                            <a:ahLst/>
                            <a:cxnLst/>
                            <a:rect l="l" t="t" r="r" b="b"/>
                            <a:pathLst>
                              <a:path w="328295" h="469900">
                                <a:moveTo>
                                  <a:pt x="63213" y="0"/>
                                </a:moveTo>
                                <a:lnTo>
                                  <a:pt x="43075" y="44462"/>
                                </a:lnTo>
                                <a:lnTo>
                                  <a:pt x="26758" y="90116"/>
                                </a:lnTo>
                                <a:lnTo>
                                  <a:pt x="14278" y="136719"/>
                                </a:lnTo>
                                <a:lnTo>
                                  <a:pt x="5649" y="184032"/>
                                </a:lnTo>
                                <a:lnTo>
                                  <a:pt x="885" y="231815"/>
                                </a:lnTo>
                                <a:lnTo>
                                  <a:pt x="0" y="279825"/>
                                </a:lnTo>
                                <a:lnTo>
                                  <a:pt x="3007" y="327825"/>
                                </a:lnTo>
                                <a:lnTo>
                                  <a:pt x="9923" y="375572"/>
                                </a:lnTo>
                                <a:lnTo>
                                  <a:pt x="20760" y="422827"/>
                                </a:lnTo>
                                <a:lnTo>
                                  <a:pt x="35532" y="469348"/>
                                </a:lnTo>
                                <a:lnTo>
                                  <a:pt x="314280" y="368043"/>
                                </a:lnTo>
                                <a:lnTo>
                                  <a:pt x="301474" y="321155"/>
                                </a:lnTo>
                                <a:lnTo>
                                  <a:pt x="296513" y="273281"/>
                                </a:lnTo>
                                <a:lnTo>
                                  <a:pt x="299337" y="225384"/>
                                </a:lnTo>
                                <a:lnTo>
                                  <a:pt x="309892" y="178426"/>
                                </a:lnTo>
                                <a:lnTo>
                                  <a:pt x="328119" y="133369"/>
                                </a:lnTo>
                                <a:lnTo>
                                  <a:pt x="63213" y="0"/>
                                </a:lnTo>
                                <a:close/>
                              </a:path>
                            </a:pathLst>
                          </a:custGeom>
                          <a:solidFill>
                            <a:srgbClr val="BEBEBE"/>
                          </a:solidFill>
                        </wps:spPr>
                        <wps:bodyPr wrap="square" lIns="0" tIns="0" rIns="0" bIns="0" rtlCol="0">
                          <a:prstTxWarp prst="textNoShape">
                            <a:avLst/>
                          </a:prstTxWarp>
                          <a:noAutofit/>
                        </wps:bodyPr>
                      </wps:wsp>
                      <wps:wsp>
                        <wps:cNvPr id="413" name="Graphic 413"/>
                        <wps:cNvSpPr/>
                        <wps:spPr>
                          <a:xfrm>
                            <a:off x="927779" y="493017"/>
                            <a:ext cx="972819" cy="459740"/>
                          </a:xfrm>
                          <a:custGeom>
                            <a:avLst/>
                            <a:gdLst/>
                            <a:ahLst/>
                            <a:cxnLst/>
                            <a:rect l="l" t="t" r="r" b="b"/>
                            <a:pathLst>
                              <a:path w="972819" h="459740">
                                <a:moveTo>
                                  <a:pt x="549776" y="0"/>
                                </a:moveTo>
                                <a:lnTo>
                                  <a:pt x="501358" y="329"/>
                                </a:lnTo>
                                <a:lnTo>
                                  <a:pt x="452715" y="4660"/>
                                </a:lnTo>
                                <a:lnTo>
                                  <a:pt x="404592" y="12969"/>
                                </a:lnTo>
                                <a:lnTo>
                                  <a:pt x="357714" y="25088"/>
                                </a:lnTo>
                                <a:lnTo>
                                  <a:pt x="312273" y="40879"/>
                                </a:lnTo>
                                <a:lnTo>
                                  <a:pt x="268464" y="60204"/>
                                </a:lnTo>
                                <a:lnTo>
                                  <a:pt x="226481" y="82927"/>
                                </a:lnTo>
                                <a:lnTo>
                                  <a:pt x="186518" y="108909"/>
                                </a:lnTo>
                                <a:lnTo>
                                  <a:pt x="148767" y="138014"/>
                                </a:lnTo>
                                <a:lnTo>
                                  <a:pt x="113424" y="170104"/>
                                </a:lnTo>
                                <a:lnTo>
                                  <a:pt x="80682" y="205041"/>
                                </a:lnTo>
                                <a:lnTo>
                                  <a:pt x="50735" y="242689"/>
                                </a:lnTo>
                                <a:lnTo>
                                  <a:pt x="23776" y="282910"/>
                                </a:lnTo>
                                <a:lnTo>
                                  <a:pt x="0" y="325566"/>
                                </a:lnTo>
                                <a:lnTo>
                                  <a:pt x="264772" y="459199"/>
                                </a:lnTo>
                                <a:lnTo>
                                  <a:pt x="290139" y="417760"/>
                                </a:lnTo>
                                <a:lnTo>
                                  <a:pt x="321484" y="381468"/>
                                </a:lnTo>
                                <a:lnTo>
                                  <a:pt x="358031" y="350870"/>
                                </a:lnTo>
                                <a:lnTo>
                                  <a:pt x="399005" y="326518"/>
                                </a:lnTo>
                                <a:lnTo>
                                  <a:pt x="443629" y="308960"/>
                                </a:lnTo>
                                <a:lnTo>
                                  <a:pt x="491130" y="298746"/>
                                </a:lnTo>
                                <a:lnTo>
                                  <a:pt x="539661" y="296416"/>
                                </a:lnTo>
                                <a:lnTo>
                                  <a:pt x="587298" y="301922"/>
                                </a:lnTo>
                                <a:lnTo>
                                  <a:pt x="633152" y="314933"/>
                                </a:lnTo>
                                <a:lnTo>
                                  <a:pt x="676332" y="335116"/>
                                </a:lnTo>
                                <a:lnTo>
                                  <a:pt x="715948" y="362140"/>
                                </a:lnTo>
                                <a:lnTo>
                                  <a:pt x="751108" y="395672"/>
                                </a:lnTo>
                                <a:lnTo>
                                  <a:pt x="972671" y="198511"/>
                                </a:lnTo>
                                <a:lnTo>
                                  <a:pt x="938736" y="163393"/>
                                </a:lnTo>
                                <a:lnTo>
                                  <a:pt x="902350" y="131447"/>
                                </a:lnTo>
                                <a:lnTo>
                                  <a:pt x="863737" y="102755"/>
                                </a:lnTo>
                                <a:lnTo>
                                  <a:pt x="823119" y="77400"/>
                                </a:lnTo>
                                <a:lnTo>
                                  <a:pt x="780719" y="55465"/>
                                </a:lnTo>
                                <a:lnTo>
                                  <a:pt x="736759" y="37033"/>
                                </a:lnTo>
                                <a:lnTo>
                                  <a:pt x="691463" y="22188"/>
                                </a:lnTo>
                                <a:lnTo>
                                  <a:pt x="645051" y="11012"/>
                                </a:lnTo>
                                <a:lnTo>
                                  <a:pt x="597749" y="3588"/>
                                </a:lnTo>
                                <a:lnTo>
                                  <a:pt x="549776" y="0"/>
                                </a:lnTo>
                                <a:close/>
                              </a:path>
                            </a:pathLst>
                          </a:custGeom>
                          <a:solidFill>
                            <a:srgbClr val="242424"/>
                          </a:solidFill>
                        </wps:spPr>
                        <wps:bodyPr wrap="square" lIns="0" tIns="0" rIns="0" bIns="0" rtlCol="0">
                          <a:prstTxWarp prst="textNoShape">
                            <a:avLst/>
                          </a:prstTxWarp>
                          <a:noAutofit/>
                        </wps:bodyPr>
                      </wps:wsp>
                      <wps:wsp>
                        <wps:cNvPr id="414" name="Graphic 414"/>
                        <wps:cNvSpPr/>
                        <wps:spPr>
                          <a:xfrm>
                            <a:off x="927779" y="493017"/>
                            <a:ext cx="972819" cy="459740"/>
                          </a:xfrm>
                          <a:custGeom>
                            <a:avLst/>
                            <a:gdLst/>
                            <a:ahLst/>
                            <a:cxnLst/>
                            <a:rect l="l" t="t" r="r" b="b"/>
                            <a:pathLst>
                              <a:path w="972819" h="459740">
                                <a:moveTo>
                                  <a:pt x="0" y="325566"/>
                                </a:moveTo>
                                <a:lnTo>
                                  <a:pt x="23776" y="282910"/>
                                </a:lnTo>
                                <a:lnTo>
                                  <a:pt x="50735" y="242689"/>
                                </a:lnTo>
                                <a:lnTo>
                                  <a:pt x="80682" y="205041"/>
                                </a:lnTo>
                                <a:lnTo>
                                  <a:pt x="113424" y="170104"/>
                                </a:lnTo>
                                <a:lnTo>
                                  <a:pt x="148767" y="138014"/>
                                </a:lnTo>
                                <a:lnTo>
                                  <a:pt x="186518" y="108909"/>
                                </a:lnTo>
                                <a:lnTo>
                                  <a:pt x="226481" y="82927"/>
                                </a:lnTo>
                                <a:lnTo>
                                  <a:pt x="268464" y="60204"/>
                                </a:lnTo>
                                <a:lnTo>
                                  <a:pt x="312273" y="40879"/>
                                </a:lnTo>
                                <a:lnTo>
                                  <a:pt x="357714" y="25088"/>
                                </a:lnTo>
                                <a:lnTo>
                                  <a:pt x="404592" y="12969"/>
                                </a:lnTo>
                                <a:lnTo>
                                  <a:pt x="452715" y="4660"/>
                                </a:lnTo>
                                <a:lnTo>
                                  <a:pt x="501358" y="329"/>
                                </a:lnTo>
                                <a:lnTo>
                                  <a:pt x="549776" y="0"/>
                                </a:lnTo>
                                <a:lnTo>
                                  <a:pt x="597749" y="3588"/>
                                </a:lnTo>
                                <a:lnTo>
                                  <a:pt x="645051" y="11012"/>
                                </a:lnTo>
                                <a:lnTo>
                                  <a:pt x="691463" y="22188"/>
                                </a:lnTo>
                                <a:lnTo>
                                  <a:pt x="736759" y="37033"/>
                                </a:lnTo>
                                <a:lnTo>
                                  <a:pt x="780719" y="55465"/>
                                </a:lnTo>
                                <a:lnTo>
                                  <a:pt x="823119" y="77400"/>
                                </a:lnTo>
                                <a:lnTo>
                                  <a:pt x="863737" y="102755"/>
                                </a:lnTo>
                                <a:lnTo>
                                  <a:pt x="902350" y="131447"/>
                                </a:lnTo>
                                <a:lnTo>
                                  <a:pt x="938736" y="163393"/>
                                </a:lnTo>
                                <a:lnTo>
                                  <a:pt x="972671" y="198511"/>
                                </a:lnTo>
                                <a:lnTo>
                                  <a:pt x="751108" y="395672"/>
                                </a:lnTo>
                                <a:lnTo>
                                  <a:pt x="715948" y="362140"/>
                                </a:lnTo>
                                <a:lnTo>
                                  <a:pt x="676332" y="335116"/>
                                </a:lnTo>
                                <a:lnTo>
                                  <a:pt x="633152" y="314933"/>
                                </a:lnTo>
                                <a:lnTo>
                                  <a:pt x="587298" y="301922"/>
                                </a:lnTo>
                                <a:lnTo>
                                  <a:pt x="539661" y="296416"/>
                                </a:lnTo>
                                <a:lnTo>
                                  <a:pt x="491130" y="298746"/>
                                </a:lnTo>
                                <a:lnTo>
                                  <a:pt x="443629" y="308960"/>
                                </a:lnTo>
                                <a:lnTo>
                                  <a:pt x="399005" y="326518"/>
                                </a:lnTo>
                                <a:lnTo>
                                  <a:pt x="358031" y="350870"/>
                                </a:lnTo>
                                <a:lnTo>
                                  <a:pt x="321484" y="381468"/>
                                </a:lnTo>
                                <a:lnTo>
                                  <a:pt x="290139" y="417760"/>
                                </a:lnTo>
                                <a:lnTo>
                                  <a:pt x="264772" y="459199"/>
                                </a:lnTo>
                                <a:lnTo>
                                  <a:pt x="0" y="325566"/>
                                </a:lnTo>
                                <a:close/>
                              </a:path>
                            </a:pathLst>
                          </a:custGeom>
                          <a:ln w="9525">
                            <a:solidFill>
                              <a:srgbClr val="FFFFFF"/>
                            </a:solidFill>
                            <a:prstDash val="solid"/>
                          </a:ln>
                        </wps:spPr>
                        <wps:bodyPr wrap="square" lIns="0" tIns="0" rIns="0" bIns="0" rtlCol="0">
                          <a:prstTxWarp prst="textNoShape">
                            <a:avLst/>
                          </a:prstTxWarp>
                          <a:noAutofit/>
                        </wps:bodyPr>
                      </wps:wsp>
                      <wps:wsp>
                        <wps:cNvPr id="415" name="Graphic 415"/>
                        <wps:cNvSpPr/>
                        <wps:spPr>
                          <a:xfrm>
                            <a:off x="900073" y="691972"/>
                            <a:ext cx="1150620" cy="986790"/>
                          </a:xfrm>
                          <a:custGeom>
                            <a:avLst/>
                            <a:gdLst/>
                            <a:ahLst/>
                            <a:cxnLst/>
                            <a:rect l="l" t="t" r="r" b="b"/>
                            <a:pathLst>
                              <a:path w="1150620" h="986790">
                                <a:moveTo>
                                  <a:pt x="1000772" y="0"/>
                                </a:moveTo>
                                <a:lnTo>
                                  <a:pt x="779011" y="196938"/>
                                </a:lnTo>
                                <a:lnTo>
                                  <a:pt x="809209" y="237395"/>
                                </a:lnTo>
                                <a:lnTo>
                                  <a:pt x="831762" y="281569"/>
                                </a:lnTo>
                                <a:lnTo>
                                  <a:pt x="846525" y="328425"/>
                                </a:lnTo>
                                <a:lnTo>
                                  <a:pt x="853353" y="376926"/>
                                </a:lnTo>
                                <a:lnTo>
                                  <a:pt x="852099" y="426036"/>
                                </a:lnTo>
                                <a:lnTo>
                                  <a:pt x="842618" y="474720"/>
                                </a:lnTo>
                                <a:lnTo>
                                  <a:pt x="824763" y="521940"/>
                                </a:lnTo>
                                <a:lnTo>
                                  <a:pt x="799178" y="565461"/>
                                </a:lnTo>
                                <a:lnTo>
                                  <a:pt x="767202" y="603377"/>
                                </a:lnTo>
                                <a:lnTo>
                                  <a:pt x="729735" y="635151"/>
                                </a:lnTo>
                                <a:lnTo>
                                  <a:pt x="687674" y="660248"/>
                                </a:lnTo>
                                <a:lnTo>
                                  <a:pt x="641919" y="678132"/>
                                </a:lnTo>
                                <a:lnTo>
                                  <a:pt x="593367" y="688266"/>
                                </a:lnTo>
                                <a:lnTo>
                                  <a:pt x="542917" y="690115"/>
                                </a:lnTo>
                                <a:lnTo>
                                  <a:pt x="492881" y="683404"/>
                                </a:lnTo>
                                <a:lnTo>
                                  <a:pt x="445534" y="668629"/>
                                </a:lnTo>
                                <a:lnTo>
                                  <a:pt x="401719" y="646411"/>
                                </a:lnTo>
                                <a:lnTo>
                                  <a:pt x="362278" y="617370"/>
                                </a:lnTo>
                                <a:lnTo>
                                  <a:pt x="328054" y="582126"/>
                                </a:lnTo>
                                <a:lnTo>
                                  <a:pt x="299888" y="541301"/>
                                </a:lnTo>
                                <a:lnTo>
                                  <a:pt x="278625" y="495514"/>
                                </a:lnTo>
                                <a:lnTo>
                                  <a:pt x="0" y="597150"/>
                                </a:lnTo>
                                <a:lnTo>
                                  <a:pt x="19432" y="644100"/>
                                </a:lnTo>
                                <a:lnTo>
                                  <a:pt x="42526" y="688725"/>
                                </a:lnTo>
                                <a:lnTo>
                                  <a:pt x="69071" y="730868"/>
                                </a:lnTo>
                                <a:lnTo>
                                  <a:pt x="98857" y="770376"/>
                                </a:lnTo>
                                <a:lnTo>
                                  <a:pt x="131671" y="807093"/>
                                </a:lnTo>
                                <a:lnTo>
                                  <a:pt x="167305" y="840863"/>
                                </a:lnTo>
                                <a:lnTo>
                                  <a:pt x="205547" y="871532"/>
                                </a:lnTo>
                                <a:lnTo>
                                  <a:pt x="246187" y="898945"/>
                                </a:lnTo>
                                <a:lnTo>
                                  <a:pt x="289014" y="922947"/>
                                </a:lnTo>
                                <a:lnTo>
                                  <a:pt x="333817" y="943381"/>
                                </a:lnTo>
                                <a:lnTo>
                                  <a:pt x="380387" y="960095"/>
                                </a:lnTo>
                                <a:lnTo>
                                  <a:pt x="428511" y="972931"/>
                                </a:lnTo>
                                <a:lnTo>
                                  <a:pt x="477980" y="981736"/>
                                </a:lnTo>
                                <a:lnTo>
                                  <a:pt x="528582" y="986354"/>
                                </a:lnTo>
                                <a:lnTo>
                                  <a:pt x="579394" y="986643"/>
                                </a:lnTo>
                                <a:lnTo>
                                  <a:pt x="629482" y="982656"/>
                                </a:lnTo>
                                <a:lnTo>
                                  <a:pt x="678621" y="974526"/>
                                </a:lnTo>
                                <a:lnTo>
                                  <a:pt x="726586" y="962387"/>
                                </a:lnTo>
                                <a:lnTo>
                                  <a:pt x="773153" y="946373"/>
                                </a:lnTo>
                                <a:lnTo>
                                  <a:pt x="818097" y="926619"/>
                                </a:lnTo>
                                <a:lnTo>
                                  <a:pt x="861194" y="903258"/>
                                </a:lnTo>
                                <a:lnTo>
                                  <a:pt x="902218" y="876424"/>
                                </a:lnTo>
                                <a:lnTo>
                                  <a:pt x="940946" y="846252"/>
                                </a:lnTo>
                                <a:lnTo>
                                  <a:pt x="977153" y="812876"/>
                                </a:lnTo>
                                <a:lnTo>
                                  <a:pt x="1010613" y="776429"/>
                                </a:lnTo>
                                <a:lnTo>
                                  <a:pt x="1041103" y="737045"/>
                                </a:lnTo>
                                <a:lnTo>
                                  <a:pt x="1068398" y="694859"/>
                                </a:lnTo>
                                <a:lnTo>
                                  <a:pt x="1092273" y="650005"/>
                                </a:lnTo>
                                <a:lnTo>
                                  <a:pt x="1112240" y="603279"/>
                                </a:lnTo>
                                <a:lnTo>
                                  <a:pt x="1127983" y="555563"/>
                                </a:lnTo>
                                <a:lnTo>
                                  <a:pt x="1139540" y="507115"/>
                                </a:lnTo>
                                <a:lnTo>
                                  <a:pt x="1146947" y="458196"/>
                                </a:lnTo>
                                <a:lnTo>
                                  <a:pt x="1150239" y="409062"/>
                                </a:lnTo>
                                <a:lnTo>
                                  <a:pt x="1149455" y="359975"/>
                                </a:lnTo>
                                <a:lnTo>
                                  <a:pt x="1144630" y="311192"/>
                                </a:lnTo>
                                <a:lnTo>
                                  <a:pt x="1135800" y="262972"/>
                                </a:lnTo>
                                <a:lnTo>
                                  <a:pt x="1123002" y="215576"/>
                                </a:lnTo>
                                <a:lnTo>
                                  <a:pt x="1106273" y="169261"/>
                                </a:lnTo>
                                <a:lnTo>
                                  <a:pt x="1085649" y="124287"/>
                                </a:lnTo>
                                <a:lnTo>
                                  <a:pt x="1061167" y="80913"/>
                                </a:lnTo>
                                <a:lnTo>
                                  <a:pt x="1032862" y="39397"/>
                                </a:lnTo>
                                <a:lnTo>
                                  <a:pt x="1000772" y="0"/>
                                </a:lnTo>
                                <a:close/>
                              </a:path>
                            </a:pathLst>
                          </a:custGeom>
                          <a:solidFill>
                            <a:srgbClr val="D9D9D9"/>
                          </a:solidFill>
                        </wps:spPr>
                        <wps:bodyPr wrap="square" lIns="0" tIns="0" rIns="0" bIns="0" rtlCol="0">
                          <a:prstTxWarp prst="textNoShape">
                            <a:avLst/>
                          </a:prstTxWarp>
                          <a:noAutofit/>
                        </wps:bodyPr>
                      </wps:wsp>
                      <wps:wsp>
                        <wps:cNvPr id="416" name="Graphic 416"/>
                        <wps:cNvSpPr/>
                        <wps:spPr>
                          <a:xfrm>
                            <a:off x="900073" y="691972"/>
                            <a:ext cx="1150620" cy="986790"/>
                          </a:xfrm>
                          <a:custGeom>
                            <a:avLst/>
                            <a:gdLst/>
                            <a:ahLst/>
                            <a:cxnLst/>
                            <a:rect l="l" t="t" r="r" b="b"/>
                            <a:pathLst>
                              <a:path w="1150620" h="986790">
                                <a:moveTo>
                                  <a:pt x="1000772" y="0"/>
                                </a:moveTo>
                                <a:lnTo>
                                  <a:pt x="1032862" y="39397"/>
                                </a:lnTo>
                                <a:lnTo>
                                  <a:pt x="1061167" y="80913"/>
                                </a:lnTo>
                                <a:lnTo>
                                  <a:pt x="1085649" y="124287"/>
                                </a:lnTo>
                                <a:lnTo>
                                  <a:pt x="1106273" y="169261"/>
                                </a:lnTo>
                                <a:lnTo>
                                  <a:pt x="1123002" y="215576"/>
                                </a:lnTo>
                                <a:lnTo>
                                  <a:pt x="1135800" y="262972"/>
                                </a:lnTo>
                                <a:lnTo>
                                  <a:pt x="1144630" y="311192"/>
                                </a:lnTo>
                                <a:lnTo>
                                  <a:pt x="1149455" y="359975"/>
                                </a:lnTo>
                                <a:lnTo>
                                  <a:pt x="1150239" y="409062"/>
                                </a:lnTo>
                                <a:lnTo>
                                  <a:pt x="1146947" y="458196"/>
                                </a:lnTo>
                                <a:lnTo>
                                  <a:pt x="1139540" y="507115"/>
                                </a:lnTo>
                                <a:lnTo>
                                  <a:pt x="1127983" y="555563"/>
                                </a:lnTo>
                                <a:lnTo>
                                  <a:pt x="1112240" y="603279"/>
                                </a:lnTo>
                                <a:lnTo>
                                  <a:pt x="1092273" y="650005"/>
                                </a:lnTo>
                                <a:lnTo>
                                  <a:pt x="1068398" y="694859"/>
                                </a:lnTo>
                                <a:lnTo>
                                  <a:pt x="1041103" y="737045"/>
                                </a:lnTo>
                                <a:lnTo>
                                  <a:pt x="1010613" y="776429"/>
                                </a:lnTo>
                                <a:lnTo>
                                  <a:pt x="977153" y="812876"/>
                                </a:lnTo>
                                <a:lnTo>
                                  <a:pt x="940946" y="846252"/>
                                </a:lnTo>
                                <a:lnTo>
                                  <a:pt x="902218" y="876424"/>
                                </a:lnTo>
                                <a:lnTo>
                                  <a:pt x="861194" y="903258"/>
                                </a:lnTo>
                                <a:lnTo>
                                  <a:pt x="818097" y="926619"/>
                                </a:lnTo>
                                <a:lnTo>
                                  <a:pt x="773153" y="946373"/>
                                </a:lnTo>
                                <a:lnTo>
                                  <a:pt x="726586" y="962387"/>
                                </a:lnTo>
                                <a:lnTo>
                                  <a:pt x="678621" y="974526"/>
                                </a:lnTo>
                                <a:lnTo>
                                  <a:pt x="629482" y="982656"/>
                                </a:lnTo>
                                <a:lnTo>
                                  <a:pt x="579394" y="986643"/>
                                </a:lnTo>
                                <a:lnTo>
                                  <a:pt x="528582" y="986354"/>
                                </a:lnTo>
                                <a:lnTo>
                                  <a:pt x="477980" y="981736"/>
                                </a:lnTo>
                                <a:lnTo>
                                  <a:pt x="428511" y="972931"/>
                                </a:lnTo>
                                <a:lnTo>
                                  <a:pt x="380387" y="960095"/>
                                </a:lnTo>
                                <a:lnTo>
                                  <a:pt x="333817" y="943381"/>
                                </a:lnTo>
                                <a:lnTo>
                                  <a:pt x="289014" y="922947"/>
                                </a:lnTo>
                                <a:lnTo>
                                  <a:pt x="246187" y="898945"/>
                                </a:lnTo>
                                <a:lnTo>
                                  <a:pt x="205547" y="871532"/>
                                </a:lnTo>
                                <a:lnTo>
                                  <a:pt x="167305" y="840863"/>
                                </a:lnTo>
                                <a:lnTo>
                                  <a:pt x="131671" y="807093"/>
                                </a:lnTo>
                                <a:lnTo>
                                  <a:pt x="98857" y="770376"/>
                                </a:lnTo>
                                <a:lnTo>
                                  <a:pt x="69071" y="730868"/>
                                </a:lnTo>
                                <a:lnTo>
                                  <a:pt x="42526" y="688725"/>
                                </a:lnTo>
                                <a:lnTo>
                                  <a:pt x="19432" y="644100"/>
                                </a:lnTo>
                                <a:lnTo>
                                  <a:pt x="0" y="597150"/>
                                </a:lnTo>
                                <a:lnTo>
                                  <a:pt x="278625" y="495514"/>
                                </a:lnTo>
                                <a:lnTo>
                                  <a:pt x="299888" y="541301"/>
                                </a:lnTo>
                                <a:lnTo>
                                  <a:pt x="328054" y="582126"/>
                                </a:lnTo>
                                <a:lnTo>
                                  <a:pt x="362278" y="617370"/>
                                </a:lnTo>
                                <a:lnTo>
                                  <a:pt x="401719" y="646411"/>
                                </a:lnTo>
                                <a:lnTo>
                                  <a:pt x="445534" y="668629"/>
                                </a:lnTo>
                                <a:lnTo>
                                  <a:pt x="492881" y="683404"/>
                                </a:lnTo>
                                <a:lnTo>
                                  <a:pt x="542917" y="690115"/>
                                </a:lnTo>
                                <a:lnTo>
                                  <a:pt x="593367" y="688266"/>
                                </a:lnTo>
                                <a:lnTo>
                                  <a:pt x="641919" y="678132"/>
                                </a:lnTo>
                                <a:lnTo>
                                  <a:pt x="687674" y="660248"/>
                                </a:lnTo>
                                <a:lnTo>
                                  <a:pt x="729735" y="635151"/>
                                </a:lnTo>
                                <a:lnTo>
                                  <a:pt x="767202" y="603377"/>
                                </a:lnTo>
                                <a:lnTo>
                                  <a:pt x="799178" y="565461"/>
                                </a:lnTo>
                                <a:lnTo>
                                  <a:pt x="824763" y="521940"/>
                                </a:lnTo>
                                <a:lnTo>
                                  <a:pt x="842618" y="474720"/>
                                </a:lnTo>
                                <a:lnTo>
                                  <a:pt x="852099" y="426036"/>
                                </a:lnTo>
                                <a:lnTo>
                                  <a:pt x="853353" y="376926"/>
                                </a:lnTo>
                                <a:lnTo>
                                  <a:pt x="846525" y="328425"/>
                                </a:lnTo>
                                <a:lnTo>
                                  <a:pt x="831762" y="281569"/>
                                </a:lnTo>
                                <a:lnTo>
                                  <a:pt x="809209" y="237395"/>
                                </a:lnTo>
                                <a:lnTo>
                                  <a:pt x="779011" y="196938"/>
                                </a:lnTo>
                                <a:lnTo>
                                  <a:pt x="1000772" y="0"/>
                                </a:lnTo>
                                <a:close/>
                              </a:path>
                            </a:pathLst>
                          </a:custGeom>
                          <a:ln w="9525">
                            <a:solidFill>
                              <a:srgbClr val="FFFFFF"/>
                            </a:solidFill>
                            <a:prstDash val="solid"/>
                          </a:ln>
                        </wps:spPr>
                        <wps:bodyPr wrap="square" lIns="0" tIns="0" rIns="0" bIns="0" rtlCol="0">
                          <a:prstTxWarp prst="textNoShape">
                            <a:avLst/>
                          </a:prstTxWarp>
                          <a:noAutofit/>
                        </wps:bodyPr>
                      </wps:wsp>
                      <wps:wsp>
                        <wps:cNvPr id="417" name="Textbox 417"/>
                        <wps:cNvSpPr txBox="1"/>
                        <wps:spPr>
                          <a:xfrm>
                            <a:off x="9525" y="9525"/>
                            <a:ext cx="2886075" cy="1885950"/>
                          </a:xfrm>
                          <a:prstGeom prst="rect">
                            <a:avLst/>
                          </a:prstGeom>
                          <a:ln w="19050">
                            <a:solidFill>
                              <a:srgbClr val="000000"/>
                            </a:solidFill>
                            <a:prstDash val="solid"/>
                          </a:ln>
                        </wps:spPr>
                        <wps:txbx>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p>
                              <w:pPr>
                                <w:spacing w:line="240" w:lineRule="auto" w:before="0"/>
                                <w:rPr>
                                  <w:rFonts w:ascii="Arial"/>
                                  <w:b/>
                                  <w:sz w:val="16"/>
                                </w:rPr>
                              </w:pPr>
                            </w:p>
                            <w:p>
                              <w:pPr>
                                <w:spacing w:line="240" w:lineRule="auto" w:before="64"/>
                                <w:rPr>
                                  <w:rFonts w:ascii="Arial"/>
                                  <w:b/>
                                  <w:sz w:val="16"/>
                                </w:rPr>
                              </w:pPr>
                            </w:p>
                            <w:p>
                              <w:pPr>
                                <w:spacing w:before="0"/>
                                <w:ind w:left="1249" w:right="0" w:firstLine="0"/>
                                <w:jc w:val="left"/>
                                <w:rPr>
                                  <w:rFonts w:ascii="Arial MT"/>
                                  <w:sz w:val="16"/>
                                </w:rPr>
                              </w:pPr>
                              <w:r>
                                <w:rPr>
                                  <w:rFonts w:ascii="Arial MT"/>
                                  <w:sz w:val="16"/>
                                </w:rPr>
                                <w:t>Others</w:t>
                              </w:r>
                              <w:r>
                                <w:rPr>
                                  <w:rFonts w:ascii="Arial MT"/>
                                  <w:spacing w:val="-2"/>
                                  <w:sz w:val="16"/>
                                </w:rPr>
                                <w:t> </w:t>
                              </w:r>
                              <w:r>
                                <w:rPr>
                                  <w:rFonts w:ascii="Arial MT"/>
                                  <w:spacing w:val="-5"/>
                                  <w:sz w:val="16"/>
                                </w:rPr>
                                <w:t>31%</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9"/>
                                <w:rPr>
                                  <w:rFonts w:ascii="Arial MT"/>
                                  <w:sz w:val="16"/>
                                </w:rPr>
                              </w:pPr>
                            </w:p>
                            <w:p>
                              <w:pPr>
                                <w:spacing w:before="0"/>
                                <w:ind w:left="531" w:right="0" w:firstLine="0"/>
                                <w:jc w:val="left"/>
                                <w:rPr>
                                  <w:rFonts w:ascii="Arial MT"/>
                                  <w:sz w:val="16"/>
                                </w:rPr>
                              </w:pPr>
                              <w:r>
                                <w:rPr>
                                  <w:rFonts w:ascii="Arial MT"/>
                                  <w:sz w:val="16"/>
                                </w:rPr>
                                <w:t>Euro</w:t>
                              </w:r>
                              <w:r>
                                <w:rPr>
                                  <w:rFonts w:ascii="Arial MT"/>
                                  <w:spacing w:val="-1"/>
                                  <w:sz w:val="16"/>
                                </w:rPr>
                                <w:t> </w:t>
                              </w:r>
                              <w:r>
                                <w:rPr>
                                  <w:rFonts w:ascii="Arial MT"/>
                                  <w:spacing w:val="-5"/>
                                  <w:sz w:val="16"/>
                                </w:rPr>
                                <w:t>13%</w:t>
                              </w:r>
                            </w:p>
                            <w:p>
                              <w:pPr>
                                <w:spacing w:line="240" w:lineRule="auto" w:before="0"/>
                                <w:rPr>
                                  <w:rFonts w:ascii="Arial MT"/>
                                  <w:sz w:val="16"/>
                                </w:rPr>
                              </w:pPr>
                            </w:p>
                            <w:p>
                              <w:pPr>
                                <w:spacing w:line="240" w:lineRule="auto" w:before="120"/>
                                <w:rPr>
                                  <w:rFonts w:ascii="Arial MT"/>
                                  <w:sz w:val="16"/>
                                </w:rPr>
                              </w:pPr>
                            </w:p>
                            <w:p>
                              <w:pPr>
                                <w:spacing w:before="1"/>
                                <w:ind w:left="2823" w:right="0" w:firstLine="0"/>
                                <w:jc w:val="left"/>
                                <w:rPr>
                                  <w:rFonts w:ascii="Arial MT"/>
                                  <w:sz w:val="16"/>
                                </w:rPr>
                              </w:pPr>
                              <w:r>
                                <w:rPr>
                                  <w:rFonts w:ascii="Arial MT"/>
                                  <w:sz w:val="16"/>
                                </w:rPr>
                                <w:t>US</w:t>
                              </w:r>
                              <w:r>
                                <w:rPr>
                                  <w:rFonts w:ascii="Arial MT"/>
                                  <w:spacing w:val="-3"/>
                                  <w:sz w:val="16"/>
                                </w:rPr>
                                <w:t> </w:t>
                              </w:r>
                              <w:r>
                                <w:rPr>
                                  <w:rFonts w:ascii="Arial MT"/>
                                  <w:sz w:val="16"/>
                                </w:rPr>
                                <w:t>Dollar</w:t>
                              </w:r>
                              <w:r>
                                <w:rPr>
                                  <w:rFonts w:ascii="Arial MT"/>
                                  <w:spacing w:val="-3"/>
                                  <w:sz w:val="16"/>
                                </w:rPr>
                                <w:t> </w:t>
                              </w:r>
                              <w:r>
                                <w:rPr>
                                  <w:rFonts w:ascii="Arial MT"/>
                                  <w:spacing w:val="-5"/>
                                  <w:sz w:val="16"/>
                                </w:rPr>
                                <w:t>56%</w:t>
                              </w:r>
                            </w:p>
                          </w:txbxContent>
                        </wps:txbx>
                        <wps:bodyPr wrap="square" lIns="0" tIns="0" rIns="0" bIns="0" rtlCol="0">
                          <a:noAutofit/>
                        </wps:bodyPr>
                      </wps:wsp>
                    </wpg:wgp>
                  </a:graphicData>
                </a:graphic>
              </wp:anchor>
            </w:drawing>
          </mc:Choice>
          <mc:Fallback>
            <w:pict>
              <v:group style="position:absolute;margin-left:305.75pt;margin-top:8.351875pt;width:228.75pt;height:150pt;mso-position-horizontal-relative:page;mso-position-vertical-relative:paragraph;z-index:-15667712;mso-wrap-distance-left:0;mso-wrap-distance-right:0" id="docshapegroup340" coordorigin="6115,167" coordsize="4575,3000">
                <v:shape style="position:absolute;left:7476;top:1456;width:517;height:740" id="docshape341" coordorigin="7476,1457" coordsize="517,740" path="m7576,1457l7544,1527,7518,1599,7499,1672,7485,1747,7477,1822,7476,1898,7481,1973,7492,2048,7509,2123,7532,2196,7971,2037,7951,1963,7943,1887,7947,1812,7964,1738,7993,1667,7576,1457xe" filled="true" fillcolor="#bebebe" stroked="false">
                  <v:path arrowok="t"/>
                  <v:fill type="solid"/>
                </v:shape>
                <v:shape style="position:absolute;left:7576;top:943;width:1532;height:724" id="docshape342" coordorigin="7576,943" coordsize="1532,724" path="m8442,943l8366,944,8289,951,8213,964,8139,983,8068,1008,7999,1038,7933,1074,7870,1115,7810,1161,7755,1211,7703,1266,7656,1326,7614,1389,7576,1456,7993,1667,8033,1601,8082,1544,8140,1496,8204,1458,8275,1430,8350,1414,8426,1410,8501,1419,8573,1439,8641,1471,8704,1514,8759,1567,9108,1256,9054,1201,8997,1150,8936,1105,8872,1065,8806,1031,8736,1002,8665,978,8592,961,8517,949,8442,943xe" filled="true" fillcolor="#242424" stroked="false">
                  <v:path arrowok="t"/>
                  <v:fill type="solid"/>
                </v:shape>
                <v:shape style="position:absolute;left:7576;top:943;width:1532;height:724" id="docshape343" coordorigin="7576,943" coordsize="1532,724" path="m7576,1456l7614,1389,7656,1326,7703,1266,7755,1211,7810,1161,7870,1115,7933,1074,7999,1038,8068,1008,8139,983,8213,964,8289,951,8366,944,8442,943,8517,949,8592,961,8665,978,8736,1002,8806,1031,8872,1065,8936,1105,8997,1150,9054,1201,9108,1256,8759,1567,8704,1514,8641,1471,8573,1439,8501,1419,8426,1410,8350,1414,8275,1430,8204,1458,8140,1496,8082,1544,8033,1601,7993,1667,7576,1456xe" filled="false" stroked="true" strokeweight=".75pt" strokecolor="#ffffff">
                  <v:path arrowok="t"/>
                  <v:stroke dashstyle="solid"/>
                </v:shape>
                <v:shape style="position:absolute;left:7532;top:1256;width:1812;height:1554" id="docshape344" coordorigin="7532,1257" coordsize="1812,1554" path="m9108,1257l8759,1567,8807,1631,8842,1700,8866,1774,8876,1850,8874,1928,8859,2004,8831,2079,8791,2147,8741,2207,8682,2257,8615,2297,8543,2325,8467,2341,8387,2344,8309,2333,8234,2310,8165,2275,8103,2229,8049,2173,8005,2109,7971,2037,7532,2197,7563,2271,7599,2341,7641,2408,7688,2470,7740,2528,7796,2581,7856,2629,7920,2672,7988,2710,8058,2742,8131,2769,8207,2789,8285,2803,8365,2810,8445,2811,8524,2804,8601,2791,8677,2772,8750,2747,8821,2716,8889,2679,8953,2637,9014,2589,9071,2537,9124,2479,9172,2417,9215,2351,9253,2280,9284,2207,9309,2132,9327,2055,9339,1978,9344,1901,9343,1824,9335,1747,9321,1671,9301,1596,9275,1523,9242,1452,9204,1384,9159,1319,9108,1257xe" filled="true" fillcolor="#d9d9d9" stroked="false">
                  <v:path arrowok="t"/>
                  <v:fill type="solid"/>
                </v:shape>
                <v:shape style="position:absolute;left:7532;top:1256;width:1812;height:1554" id="docshape345" coordorigin="7532,1257" coordsize="1812,1554" path="m9108,1257l9159,1319,9204,1384,9242,1452,9275,1523,9301,1596,9321,1671,9335,1747,9343,1824,9344,1901,9339,1978,9327,2055,9309,2132,9284,2207,9253,2280,9215,2351,9172,2417,9124,2479,9071,2537,9014,2589,8953,2637,8889,2679,8821,2716,8750,2747,8677,2772,8601,2791,8524,2804,8445,2811,8365,2810,8285,2803,8207,2789,8131,2769,8058,2742,7988,2710,7920,2672,7856,2629,7796,2581,7740,2528,7688,2470,7641,2408,7599,2341,7563,2271,7532,2197,7971,2037,8005,2109,8049,2173,8103,2229,8165,2275,8234,2310,8309,2333,8387,2344,8467,2341,8543,2325,8615,2297,8682,2257,8741,2207,8791,2147,8831,2079,8859,2004,8874,1928,8876,1850,8866,1774,8842,1700,8807,1631,8759,1567,9108,1257xe" filled="false" stroked="true" strokeweight=".75pt" strokecolor="#ffffff">
                  <v:path arrowok="t"/>
                  <v:stroke dashstyle="solid"/>
                </v:shape>
                <v:shape style="position:absolute;left:6130;top:182;width:4545;height:2970" type="#_x0000_t202" id="docshape346" filled="false" stroked="true" strokeweight="1.5pt" strokecolor="#000000">
                  <v:textbox inset="0,0,0,0">
                    <w:txbxContent>
                      <w:p>
                        <w:pPr>
                          <w:spacing w:before="11"/>
                          <w:ind w:left="111" w:right="122" w:firstLine="0"/>
                          <w:jc w:val="center"/>
                          <w:rPr>
                            <w:rFonts w:ascii="Arial"/>
                            <w:b/>
                            <w:sz w:val="16"/>
                          </w:rPr>
                        </w:pPr>
                        <w:r>
                          <w:rPr>
                            <w:rFonts w:ascii="Arial"/>
                            <w:b/>
                            <w:sz w:val="16"/>
                          </w:rPr>
                          <w:t>June</w:t>
                        </w:r>
                        <w:r>
                          <w:rPr>
                            <w:rFonts w:ascii="Arial"/>
                            <w:b/>
                            <w:spacing w:val="-2"/>
                            <w:sz w:val="16"/>
                          </w:rPr>
                          <w:t> </w:t>
                        </w:r>
                        <w:r>
                          <w:rPr>
                            <w:rFonts w:ascii="Arial"/>
                            <w:b/>
                            <w:sz w:val="16"/>
                          </w:rPr>
                          <w:t>30,</w:t>
                        </w:r>
                        <w:r>
                          <w:rPr>
                            <w:rFonts w:ascii="Arial"/>
                            <w:b/>
                            <w:spacing w:val="-1"/>
                            <w:sz w:val="16"/>
                          </w:rPr>
                          <w:t> </w:t>
                        </w:r>
                        <w:r>
                          <w:rPr>
                            <w:rFonts w:ascii="Arial"/>
                            <w:b/>
                            <w:spacing w:val="-4"/>
                            <w:sz w:val="16"/>
                          </w:rPr>
                          <w:t>2022</w:t>
                        </w:r>
                      </w:p>
                      <w:p>
                        <w:pPr>
                          <w:spacing w:line="240" w:lineRule="auto" w:before="0"/>
                          <w:rPr>
                            <w:rFonts w:ascii="Arial"/>
                            <w:b/>
                            <w:sz w:val="16"/>
                          </w:rPr>
                        </w:pPr>
                      </w:p>
                      <w:p>
                        <w:pPr>
                          <w:spacing w:line="240" w:lineRule="auto" w:before="64"/>
                          <w:rPr>
                            <w:rFonts w:ascii="Arial"/>
                            <w:b/>
                            <w:sz w:val="16"/>
                          </w:rPr>
                        </w:pPr>
                      </w:p>
                      <w:p>
                        <w:pPr>
                          <w:spacing w:before="0"/>
                          <w:ind w:left="1249" w:right="0" w:firstLine="0"/>
                          <w:jc w:val="left"/>
                          <w:rPr>
                            <w:rFonts w:ascii="Arial MT"/>
                            <w:sz w:val="16"/>
                          </w:rPr>
                        </w:pPr>
                        <w:r>
                          <w:rPr>
                            <w:rFonts w:ascii="Arial MT"/>
                            <w:sz w:val="16"/>
                          </w:rPr>
                          <w:t>Others</w:t>
                        </w:r>
                        <w:r>
                          <w:rPr>
                            <w:rFonts w:ascii="Arial MT"/>
                            <w:spacing w:val="-2"/>
                            <w:sz w:val="16"/>
                          </w:rPr>
                          <w:t> </w:t>
                        </w:r>
                        <w:r>
                          <w:rPr>
                            <w:rFonts w:ascii="Arial MT"/>
                            <w:spacing w:val="-5"/>
                            <w:sz w:val="16"/>
                          </w:rPr>
                          <w:t>31%</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9"/>
                          <w:rPr>
                            <w:rFonts w:ascii="Arial MT"/>
                            <w:sz w:val="16"/>
                          </w:rPr>
                        </w:pPr>
                      </w:p>
                      <w:p>
                        <w:pPr>
                          <w:spacing w:before="0"/>
                          <w:ind w:left="531" w:right="0" w:firstLine="0"/>
                          <w:jc w:val="left"/>
                          <w:rPr>
                            <w:rFonts w:ascii="Arial MT"/>
                            <w:sz w:val="16"/>
                          </w:rPr>
                        </w:pPr>
                        <w:r>
                          <w:rPr>
                            <w:rFonts w:ascii="Arial MT"/>
                            <w:sz w:val="16"/>
                          </w:rPr>
                          <w:t>Euro</w:t>
                        </w:r>
                        <w:r>
                          <w:rPr>
                            <w:rFonts w:ascii="Arial MT"/>
                            <w:spacing w:val="-1"/>
                            <w:sz w:val="16"/>
                          </w:rPr>
                          <w:t> </w:t>
                        </w:r>
                        <w:r>
                          <w:rPr>
                            <w:rFonts w:ascii="Arial MT"/>
                            <w:spacing w:val="-5"/>
                            <w:sz w:val="16"/>
                          </w:rPr>
                          <w:t>13%</w:t>
                        </w:r>
                      </w:p>
                      <w:p>
                        <w:pPr>
                          <w:spacing w:line="240" w:lineRule="auto" w:before="0"/>
                          <w:rPr>
                            <w:rFonts w:ascii="Arial MT"/>
                            <w:sz w:val="16"/>
                          </w:rPr>
                        </w:pPr>
                      </w:p>
                      <w:p>
                        <w:pPr>
                          <w:spacing w:line="240" w:lineRule="auto" w:before="120"/>
                          <w:rPr>
                            <w:rFonts w:ascii="Arial MT"/>
                            <w:sz w:val="16"/>
                          </w:rPr>
                        </w:pPr>
                      </w:p>
                      <w:p>
                        <w:pPr>
                          <w:spacing w:before="1"/>
                          <w:ind w:left="2823" w:right="0" w:firstLine="0"/>
                          <w:jc w:val="left"/>
                          <w:rPr>
                            <w:rFonts w:ascii="Arial MT"/>
                            <w:sz w:val="16"/>
                          </w:rPr>
                        </w:pPr>
                        <w:r>
                          <w:rPr>
                            <w:rFonts w:ascii="Arial MT"/>
                            <w:sz w:val="16"/>
                          </w:rPr>
                          <w:t>US</w:t>
                        </w:r>
                        <w:r>
                          <w:rPr>
                            <w:rFonts w:ascii="Arial MT"/>
                            <w:spacing w:val="-3"/>
                            <w:sz w:val="16"/>
                          </w:rPr>
                          <w:t> </w:t>
                        </w:r>
                        <w:r>
                          <w:rPr>
                            <w:rFonts w:ascii="Arial MT"/>
                            <w:sz w:val="16"/>
                          </w:rPr>
                          <w:t>Dollar</w:t>
                        </w:r>
                        <w:r>
                          <w:rPr>
                            <w:rFonts w:ascii="Arial MT"/>
                            <w:spacing w:val="-3"/>
                            <w:sz w:val="16"/>
                          </w:rPr>
                          <w:t> </w:t>
                        </w:r>
                        <w:r>
                          <w:rPr>
                            <w:rFonts w:ascii="Arial MT"/>
                            <w:spacing w:val="-5"/>
                            <w:sz w:val="16"/>
                          </w:rPr>
                          <w:t>56%</w:t>
                        </w:r>
                      </w:p>
                    </w:txbxContent>
                  </v:textbox>
                  <v:stroke dashstyle="solid"/>
                  <w10:wrap type="none"/>
                </v:shape>
                <w10:wrap type="topAndBottom"/>
              </v:group>
            </w:pict>
          </mc:Fallback>
        </mc:AlternateContent>
      </w:r>
    </w:p>
    <w:p>
      <w:pPr>
        <w:pStyle w:val="BodyText"/>
        <w:spacing w:after="0"/>
        <w:rPr>
          <w:rFonts w:ascii="Arial"/>
          <w:b/>
          <w:sz w:val="12"/>
        </w:rPr>
        <w:sectPr>
          <w:type w:val="continuous"/>
          <w:pgSz w:w="12240" w:h="15840"/>
          <w:pgMar w:header="744" w:footer="583" w:top="1820" w:bottom="280" w:left="720" w:right="720"/>
        </w:sectPr>
      </w:pPr>
    </w:p>
    <w:p>
      <w:pPr>
        <w:pStyle w:val="BodyText"/>
        <w:spacing w:before="77"/>
        <w:rPr>
          <w:rFonts w:ascii="Arial"/>
          <w:b/>
          <w:sz w:val="28"/>
        </w:rPr>
      </w:pPr>
    </w:p>
    <w:p>
      <w:pPr>
        <w:spacing w:before="0"/>
        <w:ind w:left="772" w:right="0" w:firstLine="0"/>
        <w:jc w:val="both"/>
        <w:rPr>
          <w:rFonts w:ascii="Arial"/>
          <w:b/>
          <w:sz w:val="28"/>
        </w:rPr>
      </w:pPr>
      <w:r>
        <w:rPr>
          <w:rFonts w:ascii="Arial"/>
          <w:b/>
          <w:sz w:val="28"/>
        </w:rPr>
        <mc:AlternateContent>
          <mc:Choice Requires="wps">
            <w:drawing>
              <wp:anchor distT="0" distB="0" distL="0" distR="0" allowOverlap="1" layoutInCell="1" locked="0" behindDoc="1" simplePos="0" relativeHeight="487649792">
                <wp:simplePos x="0" y="0"/>
                <wp:positionH relativeFrom="page">
                  <wp:posOffset>914400</wp:posOffset>
                </wp:positionH>
                <wp:positionV relativeFrom="paragraph">
                  <wp:posOffset>233062</wp:posOffset>
                </wp:positionV>
                <wp:extent cx="5943600" cy="127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66688;mso-wrap-distance-left:0;mso-wrap-distance-right:0" id="docshape359" coordorigin="1440,367" coordsize="9360,0" path="m1440,367l10800,367e" filled="false" stroked="true" strokeweight="1pt" strokecolor="#000000">
                <v:path arrowok="t"/>
                <v:stroke dashstyle="solid"/>
                <w10:wrap type="topAndBottom"/>
              </v:shape>
            </w:pict>
          </mc:Fallback>
        </mc:AlternateContent>
      </w:r>
      <w:bookmarkStart w:name="Section VIII: Capital Activities" w:id="90"/>
      <w:bookmarkEnd w:id="90"/>
      <w:r>
        <w:rPr/>
      </w:r>
      <w:r>
        <w:rPr>
          <w:rFonts w:ascii="Arial"/>
          <w:b/>
          <w:sz w:val="28"/>
        </w:rPr>
        <w:t>Section</w:t>
      </w:r>
      <w:r>
        <w:rPr>
          <w:rFonts w:ascii="Arial"/>
          <w:b/>
          <w:spacing w:val="-2"/>
          <w:sz w:val="28"/>
        </w:rPr>
        <w:t> </w:t>
      </w:r>
      <w:r>
        <w:rPr>
          <w:rFonts w:ascii="Arial"/>
          <w:b/>
          <w:sz w:val="28"/>
        </w:rPr>
        <w:t>VIII:</w:t>
      </w:r>
      <w:r>
        <w:rPr>
          <w:rFonts w:ascii="Arial"/>
          <w:b/>
          <w:spacing w:val="-2"/>
          <w:sz w:val="28"/>
        </w:rPr>
        <w:t> </w:t>
      </w:r>
      <w:r>
        <w:rPr>
          <w:rFonts w:ascii="Arial"/>
          <w:b/>
          <w:sz w:val="28"/>
        </w:rPr>
        <w:t>Capital</w:t>
      </w:r>
      <w:r>
        <w:rPr>
          <w:rFonts w:ascii="Arial"/>
          <w:b/>
          <w:spacing w:val="-1"/>
          <w:sz w:val="28"/>
        </w:rPr>
        <w:t> </w:t>
      </w:r>
      <w:r>
        <w:rPr>
          <w:rFonts w:ascii="Arial"/>
          <w:b/>
          <w:spacing w:val="-2"/>
          <w:sz w:val="28"/>
        </w:rPr>
        <w:t>Activities</w:t>
      </w:r>
    </w:p>
    <w:p>
      <w:pPr>
        <w:spacing w:before="160"/>
        <w:ind w:left="720" w:right="0" w:firstLine="0"/>
        <w:jc w:val="both"/>
        <w:rPr>
          <w:rFonts w:ascii="Arial"/>
          <w:b/>
          <w:sz w:val="24"/>
        </w:rPr>
      </w:pPr>
      <w:bookmarkStart w:name="Capital Structure" w:id="91"/>
      <w:bookmarkEnd w:id="91"/>
      <w:r>
        <w:rPr/>
      </w:r>
      <w:bookmarkStart w:name="_bookmark61" w:id="92"/>
      <w:bookmarkEnd w:id="92"/>
      <w:r>
        <w:rPr/>
      </w:r>
      <w:r>
        <w:rPr>
          <w:rFonts w:ascii="Arial"/>
          <w:b/>
          <w:sz w:val="24"/>
        </w:rPr>
        <w:t>Capital</w:t>
      </w:r>
      <w:r>
        <w:rPr>
          <w:rFonts w:ascii="Arial"/>
          <w:b/>
          <w:spacing w:val="-3"/>
          <w:sz w:val="24"/>
        </w:rPr>
        <w:t> </w:t>
      </w:r>
      <w:r>
        <w:rPr>
          <w:rFonts w:ascii="Arial"/>
          <w:b/>
          <w:spacing w:val="-2"/>
          <w:sz w:val="24"/>
        </w:rPr>
        <w:t>Structure</w:t>
      </w:r>
    </w:p>
    <w:p>
      <w:pPr>
        <w:pStyle w:val="Heading4"/>
        <w:spacing w:before="126"/>
      </w:pPr>
      <w:r>
        <w:rPr/>
        <w:t>Principal</w:t>
      </w:r>
      <w:r>
        <w:rPr>
          <w:spacing w:val="-3"/>
        </w:rPr>
        <w:t> </w:t>
      </w:r>
      <w:r>
        <w:rPr/>
        <w:t>Shareholders</w:t>
      </w:r>
      <w:r>
        <w:rPr>
          <w:spacing w:val="-3"/>
        </w:rPr>
        <w:t> </w:t>
      </w:r>
      <w:r>
        <w:rPr/>
        <w:t>and</w:t>
      </w:r>
      <w:r>
        <w:rPr>
          <w:spacing w:val="-4"/>
        </w:rPr>
        <w:t> </w:t>
      </w:r>
      <w:r>
        <w:rPr/>
        <w:t>Voting</w:t>
      </w:r>
      <w:r>
        <w:rPr>
          <w:spacing w:val="-2"/>
        </w:rPr>
        <w:t> </w:t>
      </w:r>
      <w:r>
        <w:rPr>
          <w:spacing w:val="-4"/>
        </w:rPr>
        <w:t>Power</w:t>
      </w:r>
    </w:p>
    <w:p>
      <w:pPr>
        <w:pStyle w:val="BodyText"/>
        <w:spacing w:line="249" w:lineRule="auto" w:before="140"/>
        <w:ind w:left="720" w:right="718"/>
        <w:jc w:val="both"/>
      </w:pPr>
      <w:r>
        <w:rPr/>
        <w:t>As</w:t>
      </w:r>
      <w:r>
        <w:rPr>
          <w:spacing w:val="-2"/>
        </w:rPr>
        <w:t> </w:t>
      </w:r>
      <w:r>
        <w:rPr/>
        <w:t>of</w:t>
      </w:r>
      <w:r>
        <w:rPr>
          <w:spacing w:val="-2"/>
        </w:rPr>
        <w:t> </w:t>
      </w:r>
      <w:r>
        <w:rPr/>
        <w:t>June</w:t>
      </w:r>
      <w:r>
        <w:rPr>
          <w:spacing w:val="-2"/>
        </w:rPr>
        <w:t> </w:t>
      </w:r>
      <w:r>
        <w:rPr/>
        <w:t>30,</w:t>
      </w:r>
      <w:r>
        <w:rPr>
          <w:spacing w:val="-2"/>
        </w:rPr>
        <w:t> </w:t>
      </w:r>
      <w:r>
        <w:rPr/>
        <w:t>2023,</w:t>
      </w:r>
      <w:r>
        <w:rPr>
          <w:spacing w:val="-2"/>
        </w:rPr>
        <w:t> </w:t>
      </w:r>
      <w:r>
        <w:rPr/>
        <w:t>IBRD</w:t>
      </w:r>
      <w:r>
        <w:rPr>
          <w:spacing w:val="-2"/>
        </w:rPr>
        <w:t> </w:t>
      </w:r>
      <w:r>
        <w:rPr/>
        <w:t>had</w:t>
      </w:r>
      <w:r>
        <w:rPr>
          <w:spacing w:val="-2"/>
        </w:rPr>
        <w:t> </w:t>
      </w:r>
      <w:r>
        <w:rPr/>
        <w:t>189</w:t>
      </w:r>
      <w:r>
        <w:rPr>
          <w:spacing w:val="-2"/>
        </w:rPr>
        <w:t> </w:t>
      </w:r>
      <w:r>
        <w:rPr/>
        <w:t>member</w:t>
      </w:r>
      <w:r>
        <w:rPr>
          <w:spacing w:val="-2"/>
        </w:rPr>
        <w:t> </w:t>
      </w:r>
      <w:r>
        <w:rPr/>
        <w:t>countries,</w:t>
      </w:r>
      <w:r>
        <w:rPr>
          <w:spacing w:val="-2"/>
        </w:rPr>
        <w:t> </w:t>
      </w:r>
      <w:r>
        <w:rPr/>
        <w:t>with</w:t>
      </w:r>
      <w:r>
        <w:rPr>
          <w:spacing w:val="-2"/>
        </w:rPr>
        <w:t> </w:t>
      </w:r>
      <w:r>
        <w:rPr/>
        <w:t>the</w:t>
      </w:r>
      <w:r>
        <w:rPr>
          <w:spacing w:val="-2"/>
        </w:rPr>
        <w:t> </w:t>
      </w:r>
      <w:r>
        <w:rPr/>
        <w:t>top</w:t>
      </w:r>
      <w:r>
        <w:rPr>
          <w:spacing w:val="-2"/>
        </w:rPr>
        <w:t> </w:t>
      </w:r>
      <w:r>
        <w:rPr/>
        <w:t>six</w:t>
      </w:r>
      <w:r>
        <w:rPr>
          <w:spacing w:val="-2"/>
        </w:rPr>
        <w:t> </w:t>
      </w:r>
      <w:r>
        <w:rPr/>
        <w:t>accounting</w:t>
      </w:r>
      <w:r>
        <w:rPr>
          <w:spacing w:val="-2"/>
        </w:rPr>
        <w:t> </w:t>
      </w:r>
      <w:r>
        <w:rPr/>
        <w:t>for</w:t>
      </w:r>
      <w:r>
        <w:rPr>
          <w:spacing w:val="-2"/>
        </w:rPr>
        <w:t> </w:t>
      </w:r>
      <w:r>
        <w:rPr/>
        <w:t>41%</w:t>
      </w:r>
      <w:r>
        <w:rPr>
          <w:spacing w:val="-2"/>
        </w:rPr>
        <w:t> </w:t>
      </w:r>
      <w:r>
        <w:rPr/>
        <w:t>of</w:t>
      </w:r>
      <w:r>
        <w:rPr>
          <w:spacing w:val="-2"/>
        </w:rPr>
        <w:t> </w:t>
      </w:r>
      <w:r>
        <w:rPr/>
        <w:t>the</w:t>
      </w:r>
      <w:r>
        <w:rPr>
          <w:spacing w:val="-2"/>
        </w:rPr>
        <w:t> </w:t>
      </w:r>
      <w:r>
        <w:rPr/>
        <w:t>total</w:t>
      </w:r>
      <w:r>
        <w:rPr>
          <w:spacing w:val="-2"/>
        </w:rPr>
        <w:t> </w:t>
      </w:r>
      <w:r>
        <w:rPr/>
        <w:t>voting</w:t>
      </w:r>
      <w:r>
        <w:rPr>
          <w:spacing w:val="-2"/>
        </w:rPr>
        <w:t> </w:t>
      </w:r>
      <w:r>
        <w:rPr/>
        <w:t>power (Figure</w:t>
      </w:r>
      <w:r>
        <w:rPr>
          <w:spacing w:val="-2"/>
        </w:rPr>
        <w:t> </w:t>
      </w:r>
      <w:r>
        <w:rPr/>
        <w:t>16).</w:t>
      </w:r>
      <w:r>
        <w:rPr>
          <w:spacing w:val="-1"/>
        </w:rPr>
        <w:t> </w:t>
      </w:r>
      <w:r>
        <w:rPr/>
        <w:t>The</w:t>
      </w:r>
      <w:r>
        <w:rPr>
          <w:spacing w:val="-2"/>
        </w:rPr>
        <w:t> </w:t>
      </w:r>
      <w:r>
        <w:rPr/>
        <w:t>percentage</w:t>
      </w:r>
      <w:r>
        <w:rPr>
          <w:spacing w:val="-2"/>
        </w:rPr>
        <w:t> </w:t>
      </w:r>
      <w:r>
        <w:rPr/>
        <w:t>of</w:t>
      </w:r>
      <w:r>
        <w:rPr>
          <w:spacing w:val="-1"/>
        </w:rPr>
        <w:t> </w:t>
      </w:r>
      <w:r>
        <w:rPr/>
        <w:t>votes</w:t>
      </w:r>
      <w:r>
        <w:rPr>
          <w:spacing w:val="-2"/>
        </w:rPr>
        <w:t> </w:t>
      </w:r>
      <w:r>
        <w:rPr/>
        <w:t>held</w:t>
      </w:r>
      <w:r>
        <w:rPr>
          <w:spacing w:val="-1"/>
        </w:rPr>
        <w:t> </w:t>
      </w:r>
      <w:r>
        <w:rPr/>
        <w:t>by</w:t>
      </w:r>
      <w:r>
        <w:rPr>
          <w:spacing w:val="-1"/>
        </w:rPr>
        <w:t> </w:t>
      </w:r>
      <w:r>
        <w:rPr/>
        <w:t>members</w:t>
      </w:r>
      <w:r>
        <w:rPr>
          <w:spacing w:val="-2"/>
        </w:rPr>
        <w:t> </w:t>
      </w:r>
      <w:r>
        <w:rPr/>
        <w:t>rated</w:t>
      </w:r>
      <w:r>
        <w:rPr>
          <w:spacing w:val="-1"/>
        </w:rPr>
        <w:t> </w:t>
      </w:r>
      <w:r>
        <w:rPr/>
        <w:t>AA</w:t>
      </w:r>
      <w:r>
        <w:rPr>
          <w:spacing w:val="-2"/>
        </w:rPr>
        <w:t> </w:t>
      </w:r>
      <w:r>
        <w:rPr/>
        <w:t>and</w:t>
      </w:r>
      <w:r>
        <w:rPr>
          <w:spacing w:val="-1"/>
        </w:rPr>
        <w:t> </w:t>
      </w:r>
      <w:r>
        <w:rPr/>
        <w:t>above</w:t>
      </w:r>
      <w:r>
        <w:rPr>
          <w:spacing w:val="-2"/>
        </w:rPr>
        <w:t> </w:t>
      </w:r>
      <w:r>
        <w:rPr/>
        <w:t>by</w:t>
      </w:r>
      <w:r>
        <w:rPr>
          <w:spacing w:val="-1"/>
        </w:rPr>
        <w:t> </w:t>
      </w:r>
      <w:r>
        <w:rPr/>
        <w:t>at</w:t>
      </w:r>
      <w:r>
        <w:rPr>
          <w:spacing w:val="-2"/>
        </w:rPr>
        <w:t> </w:t>
      </w:r>
      <w:r>
        <w:rPr/>
        <w:t>least</w:t>
      </w:r>
      <w:r>
        <w:rPr>
          <w:spacing w:val="-2"/>
        </w:rPr>
        <w:t> </w:t>
      </w:r>
      <w:r>
        <w:rPr/>
        <w:t>two</w:t>
      </w:r>
      <w:r>
        <w:rPr>
          <w:spacing w:val="-1"/>
        </w:rPr>
        <w:t> </w:t>
      </w:r>
      <w:r>
        <w:rPr/>
        <w:t>major</w:t>
      </w:r>
      <w:r>
        <w:rPr>
          <w:spacing w:val="-1"/>
        </w:rPr>
        <w:t> </w:t>
      </w:r>
      <w:r>
        <w:rPr/>
        <w:t>rating</w:t>
      </w:r>
      <w:r>
        <w:rPr>
          <w:spacing w:val="-1"/>
        </w:rPr>
        <w:t> </w:t>
      </w:r>
      <w:r>
        <w:rPr/>
        <w:t>agencies</w:t>
      </w:r>
      <w:r>
        <w:rPr>
          <w:spacing w:val="-2"/>
        </w:rPr>
        <w:t> </w:t>
      </w:r>
      <w:r>
        <w:rPr/>
        <w:t>was 37% (Figure 17).</w:t>
      </w:r>
    </w:p>
    <w:p>
      <w:pPr>
        <w:pStyle w:val="BodyText"/>
        <w:spacing w:line="249" w:lineRule="auto" w:before="122"/>
        <w:ind w:left="720" w:right="720"/>
        <w:jc w:val="both"/>
      </w:pPr>
      <w:r>
        <w:rPr/>
        <w:t>The</w:t>
      </w:r>
      <w:r>
        <w:rPr>
          <w:spacing w:val="-1"/>
        </w:rPr>
        <w:t> </w:t>
      </w:r>
      <w:r>
        <w:rPr/>
        <w:t>United</w:t>
      </w:r>
      <w:r>
        <w:rPr>
          <w:spacing w:val="-1"/>
        </w:rPr>
        <w:t> </w:t>
      </w:r>
      <w:r>
        <w:rPr/>
        <w:t>States</w:t>
      </w:r>
      <w:r>
        <w:rPr>
          <w:spacing w:val="-1"/>
        </w:rPr>
        <w:t> </w:t>
      </w:r>
      <w:r>
        <w:rPr/>
        <w:t>is</w:t>
      </w:r>
      <w:r>
        <w:rPr>
          <w:spacing w:val="-1"/>
        </w:rPr>
        <w:t> </w:t>
      </w:r>
      <w:r>
        <w:rPr/>
        <w:t>IBRD’s</w:t>
      </w:r>
      <w:r>
        <w:rPr>
          <w:spacing w:val="-1"/>
        </w:rPr>
        <w:t> </w:t>
      </w:r>
      <w:r>
        <w:rPr/>
        <w:t>largest</w:t>
      </w:r>
      <w:r>
        <w:rPr>
          <w:spacing w:val="-1"/>
        </w:rPr>
        <w:t> </w:t>
      </w:r>
      <w:r>
        <w:rPr/>
        <w:t>shareholder,</w:t>
      </w:r>
      <w:r>
        <w:rPr>
          <w:spacing w:val="-1"/>
        </w:rPr>
        <w:t> </w:t>
      </w:r>
      <w:r>
        <w:rPr/>
        <w:t>with</w:t>
      </w:r>
      <w:r>
        <w:rPr>
          <w:spacing w:val="-1"/>
        </w:rPr>
        <w:t> </w:t>
      </w:r>
      <w:r>
        <w:rPr/>
        <w:t>16%</w:t>
      </w:r>
      <w:r>
        <w:rPr>
          <w:spacing w:val="-1"/>
        </w:rPr>
        <w:t> </w:t>
      </w:r>
      <w:r>
        <w:rPr/>
        <w:t>of</w:t>
      </w:r>
      <w:r>
        <w:rPr>
          <w:spacing w:val="-1"/>
        </w:rPr>
        <w:t> </w:t>
      </w:r>
      <w:r>
        <w:rPr/>
        <w:t>total</w:t>
      </w:r>
      <w:r>
        <w:rPr>
          <w:spacing w:val="-1"/>
        </w:rPr>
        <w:t> </w:t>
      </w:r>
      <w:r>
        <w:rPr/>
        <w:t>voting</w:t>
      </w:r>
      <w:r>
        <w:rPr>
          <w:spacing w:val="-1"/>
        </w:rPr>
        <w:t> </w:t>
      </w:r>
      <w:r>
        <w:rPr/>
        <w:t>power.</w:t>
      </w:r>
      <w:r>
        <w:rPr>
          <w:spacing w:val="-1"/>
        </w:rPr>
        <w:t> </w:t>
      </w:r>
      <w:r>
        <w:rPr/>
        <w:t>Accordingly,</w:t>
      </w:r>
      <w:r>
        <w:rPr>
          <w:spacing w:val="-1"/>
        </w:rPr>
        <w:t> </w:t>
      </w:r>
      <w:r>
        <w:rPr/>
        <w:t>it</w:t>
      </w:r>
      <w:r>
        <w:rPr>
          <w:spacing w:val="-1"/>
        </w:rPr>
        <w:t> </w:t>
      </w:r>
      <w:r>
        <w:rPr/>
        <w:t>also</w:t>
      </w:r>
      <w:r>
        <w:rPr>
          <w:spacing w:val="-1"/>
        </w:rPr>
        <w:t> </w:t>
      </w:r>
      <w:r>
        <w:rPr/>
        <w:t>has</w:t>
      </w:r>
      <w:r>
        <w:rPr>
          <w:spacing w:val="-1"/>
        </w:rPr>
        <w:t> </w:t>
      </w:r>
      <w:r>
        <w:rPr/>
        <w:t>the</w:t>
      </w:r>
      <w:r>
        <w:rPr>
          <w:spacing w:val="-1"/>
        </w:rPr>
        <w:t> </w:t>
      </w:r>
      <w:r>
        <w:rPr/>
        <w:t>largest share of IBRD’s uncalled capital, $49,206 million, or 17% of total uncalled capital.</w:t>
      </w:r>
    </w:p>
    <w:p>
      <w:pPr>
        <w:pStyle w:val="Heading4"/>
        <w:spacing w:before="113"/>
      </w:pPr>
      <w:r>
        <w:rPr/>
        <w:t>Subscribed</w:t>
      </w:r>
      <w:r>
        <w:rPr>
          <w:spacing w:val="-6"/>
        </w:rPr>
        <w:t> </w:t>
      </w:r>
      <w:r>
        <w:rPr>
          <w:spacing w:val="-2"/>
        </w:rPr>
        <w:t>Capital</w:t>
      </w:r>
    </w:p>
    <w:p>
      <w:pPr>
        <w:pStyle w:val="BodyText"/>
        <w:spacing w:line="249" w:lineRule="auto" w:before="140"/>
        <w:ind w:left="720" w:right="719"/>
        <w:jc w:val="both"/>
      </w:pPr>
      <w:r>
        <w:rPr/>
        <w:t>Total subscribed capital is comprised of paid-in capital and uncalled subscribed capital. See Statement of Subscriptions to Capital Stock and Voting Power in IBRD’s Financial Statements for balances by country.</w:t>
      </w:r>
    </w:p>
    <w:p>
      <w:pPr>
        <w:pStyle w:val="BodyText"/>
        <w:spacing w:after="0" w:line="249" w:lineRule="auto"/>
        <w:jc w:val="both"/>
        <w:sectPr>
          <w:headerReference w:type="default" r:id="rId47"/>
          <w:headerReference w:type="even" r:id="rId48"/>
          <w:footerReference w:type="default" r:id="rId49"/>
          <w:footerReference w:type="even" r:id="rId50"/>
          <w:pgSz w:w="12240" w:h="15840"/>
          <w:pgMar w:header="744" w:footer="713" w:top="1020" w:bottom="900" w:left="720" w:right="720"/>
          <w:pgNumType w:start="35"/>
        </w:sectPr>
      </w:pPr>
    </w:p>
    <w:p>
      <w:pPr>
        <w:spacing w:line="249" w:lineRule="auto" w:before="132"/>
        <w:ind w:left="720" w:right="0" w:firstLine="0"/>
        <w:jc w:val="left"/>
        <w:rPr>
          <w:rFonts w:ascii="Arial"/>
          <w:b/>
          <w:sz w:val="18"/>
        </w:rPr>
      </w:pPr>
      <w:bookmarkStart w:name="_bookmark62" w:id="93"/>
      <w:bookmarkEnd w:id="93"/>
      <w:r>
        <w:rPr/>
      </w:r>
      <w:r>
        <w:rPr>
          <w:rFonts w:ascii="Arial"/>
          <w:b/>
          <w:sz w:val="18"/>
        </w:rPr>
        <w:t>Figure</w:t>
      </w:r>
      <w:r>
        <w:rPr>
          <w:rFonts w:ascii="Arial"/>
          <w:b/>
          <w:spacing w:val="-5"/>
          <w:sz w:val="18"/>
        </w:rPr>
        <w:t> </w:t>
      </w:r>
      <w:r>
        <w:rPr>
          <w:rFonts w:ascii="Arial"/>
          <w:b/>
          <w:sz w:val="18"/>
        </w:rPr>
        <w:t>16:</w:t>
      </w:r>
      <w:r>
        <w:rPr>
          <w:rFonts w:ascii="Arial"/>
          <w:b/>
          <w:spacing w:val="-5"/>
          <w:sz w:val="18"/>
        </w:rPr>
        <w:t> </w:t>
      </w:r>
      <w:r>
        <w:rPr>
          <w:rFonts w:ascii="Arial"/>
          <w:b/>
          <w:sz w:val="18"/>
        </w:rPr>
        <w:t>Voting</w:t>
      </w:r>
      <w:r>
        <w:rPr>
          <w:rFonts w:ascii="Arial"/>
          <w:b/>
          <w:spacing w:val="-5"/>
          <w:sz w:val="18"/>
        </w:rPr>
        <w:t> </w:t>
      </w:r>
      <w:r>
        <w:rPr>
          <w:rFonts w:ascii="Arial"/>
          <w:b/>
          <w:sz w:val="18"/>
        </w:rPr>
        <w:t>Power</w:t>
      </w:r>
      <w:r>
        <w:rPr>
          <w:rFonts w:ascii="Arial"/>
          <w:b/>
          <w:spacing w:val="-5"/>
          <w:sz w:val="18"/>
        </w:rPr>
        <w:t> </w:t>
      </w:r>
      <w:r>
        <w:rPr>
          <w:rFonts w:ascii="Arial"/>
          <w:b/>
          <w:sz w:val="18"/>
        </w:rPr>
        <w:t>of</w:t>
      </w:r>
      <w:r>
        <w:rPr>
          <w:rFonts w:ascii="Arial"/>
          <w:b/>
          <w:spacing w:val="-5"/>
          <w:sz w:val="18"/>
        </w:rPr>
        <w:t> </w:t>
      </w:r>
      <w:r>
        <w:rPr>
          <w:rFonts w:ascii="Arial"/>
          <w:b/>
          <w:sz w:val="18"/>
        </w:rPr>
        <w:t>Top</w:t>
      </w:r>
      <w:r>
        <w:rPr>
          <w:rFonts w:ascii="Arial"/>
          <w:b/>
          <w:spacing w:val="-5"/>
          <w:sz w:val="18"/>
        </w:rPr>
        <w:t> </w:t>
      </w:r>
      <w:r>
        <w:rPr>
          <w:rFonts w:ascii="Arial"/>
          <w:b/>
          <w:sz w:val="18"/>
        </w:rPr>
        <w:t>Six</w:t>
      </w:r>
      <w:r>
        <w:rPr>
          <w:rFonts w:ascii="Arial"/>
          <w:b/>
          <w:spacing w:val="-5"/>
          <w:sz w:val="18"/>
        </w:rPr>
        <w:t> </w:t>
      </w:r>
      <w:r>
        <w:rPr>
          <w:rFonts w:ascii="Arial"/>
          <w:b/>
          <w:sz w:val="18"/>
        </w:rPr>
        <w:t>Members</w:t>
      </w:r>
      <w:r>
        <w:rPr>
          <w:rFonts w:ascii="Arial"/>
          <w:b/>
          <w:spacing w:val="-5"/>
          <w:sz w:val="18"/>
        </w:rPr>
        <w:t> </w:t>
      </w:r>
      <w:r>
        <w:rPr>
          <w:rFonts w:ascii="Arial"/>
          <w:b/>
          <w:sz w:val="18"/>
        </w:rPr>
        <w:t>as</w:t>
      </w:r>
      <w:r>
        <w:rPr>
          <w:rFonts w:ascii="Arial"/>
          <w:b/>
          <w:spacing w:val="-5"/>
          <w:sz w:val="18"/>
        </w:rPr>
        <w:t> </w:t>
      </w:r>
      <w:r>
        <w:rPr>
          <w:rFonts w:ascii="Arial"/>
          <w:b/>
          <w:sz w:val="18"/>
        </w:rPr>
        <w:t>of June 30, 2023</w:t>
      </w:r>
    </w:p>
    <w:p>
      <w:pPr>
        <w:spacing w:line="249" w:lineRule="auto" w:before="132"/>
        <w:ind w:left="708" w:right="714" w:firstLine="0"/>
        <w:jc w:val="left"/>
        <w:rPr>
          <w:rFonts w:ascii="Arial"/>
          <w:b/>
          <w:sz w:val="18"/>
        </w:rPr>
      </w:pPr>
      <w:r>
        <w:rPr/>
        <w:br w:type="column"/>
      </w:r>
      <w:r>
        <w:rPr>
          <w:rFonts w:ascii="Arial"/>
          <w:b/>
          <w:sz w:val="18"/>
        </w:rPr>
        <w:t>Figure</w:t>
      </w:r>
      <w:r>
        <w:rPr>
          <w:rFonts w:ascii="Arial"/>
          <w:b/>
          <w:spacing w:val="32"/>
          <w:sz w:val="18"/>
        </w:rPr>
        <w:t> </w:t>
      </w:r>
      <w:r>
        <w:rPr>
          <w:rFonts w:ascii="Arial"/>
          <w:b/>
          <w:sz w:val="18"/>
        </w:rPr>
        <w:t>17:</w:t>
      </w:r>
      <w:r>
        <w:rPr>
          <w:rFonts w:ascii="Arial"/>
          <w:b/>
          <w:spacing w:val="32"/>
          <w:sz w:val="18"/>
        </w:rPr>
        <w:t> </w:t>
      </w:r>
      <w:r>
        <w:rPr>
          <w:rFonts w:ascii="Arial"/>
          <w:b/>
          <w:sz w:val="18"/>
        </w:rPr>
        <w:t>Percentage</w:t>
      </w:r>
      <w:r>
        <w:rPr>
          <w:rFonts w:ascii="Arial"/>
          <w:b/>
          <w:spacing w:val="32"/>
          <w:sz w:val="18"/>
        </w:rPr>
        <w:t> </w:t>
      </w:r>
      <w:r>
        <w:rPr>
          <w:rFonts w:ascii="Arial"/>
          <w:b/>
          <w:sz w:val="18"/>
        </w:rPr>
        <w:t>of</w:t>
      </w:r>
      <w:r>
        <w:rPr>
          <w:rFonts w:ascii="Arial"/>
          <w:b/>
          <w:spacing w:val="32"/>
          <w:sz w:val="18"/>
        </w:rPr>
        <w:t> </w:t>
      </w:r>
      <w:r>
        <w:rPr>
          <w:rFonts w:ascii="Arial"/>
          <w:b/>
          <w:sz w:val="18"/>
        </w:rPr>
        <w:t>Votes</w:t>
      </w:r>
      <w:r>
        <w:rPr>
          <w:rFonts w:ascii="Arial"/>
          <w:b/>
          <w:spacing w:val="32"/>
          <w:sz w:val="18"/>
        </w:rPr>
        <w:t> </w:t>
      </w:r>
      <w:r>
        <w:rPr>
          <w:rFonts w:ascii="Arial"/>
          <w:b/>
          <w:sz w:val="18"/>
        </w:rPr>
        <w:t>held</w:t>
      </w:r>
      <w:r>
        <w:rPr>
          <w:rFonts w:ascii="Arial"/>
          <w:b/>
          <w:spacing w:val="32"/>
          <w:sz w:val="18"/>
        </w:rPr>
        <w:t> </w:t>
      </w:r>
      <w:r>
        <w:rPr>
          <w:rFonts w:ascii="Arial"/>
          <w:b/>
          <w:sz w:val="18"/>
        </w:rPr>
        <w:t>by</w:t>
      </w:r>
      <w:r>
        <w:rPr>
          <w:rFonts w:ascii="Arial"/>
          <w:b/>
          <w:spacing w:val="32"/>
          <w:sz w:val="18"/>
        </w:rPr>
        <w:t> </w:t>
      </w:r>
      <w:r>
        <w:rPr>
          <w:rFonts w:ascii="Arial"/>
          <w:b/>
          <w:sz w:val="18"/>
        </w:rPr>
        <w:t>Member Countries, as of June 30, 2023</w:t>
      </w:r>
    </w:p>
    <w:p>
      <w:pPr>
        <w:spacing w:after="0" w:line="249" w:lineRule="auto"/>
        <w:jc w:val="left"/>
        <w:rPr>
          <w:rFonts w:ascii="Arial"/>
          <w:b/>
          <w:sz w:val="18"/>
        </w:rPr>
        <w:sectPr>
          <w:type w:val="continuous"/>
          <w:pgSz w:w="12240" w:h="15840"/>
          <w:pgMar w:header="744" w:footer="713" w:top="1820" w:bottom="280" w:left="720" w:right="720"/>
          <w:cols w:num="2" w:equalWidth="0">
            <w:col w:w="5012" w:space="40"/>
            <w:col w:w="5748"/>
          </w:cols>
        </w:sectPr>
      </w:pPr>
    </w:p>
    <w:p>
      <w:pPr>
        <w:pStyle w:val="BodyText"/>
        <w:spacing w:before="10"/>
        <w:rPr>
          <w:rFonts w:ascii="Arial"/>
          <w:b/>
          <w:sz w:val="13"/>
        </w:rPr>
      </w:pPr>
    </w:p>
    <w:p>
      <w:pPr>
        <w:spacing w:line="240" w:lineRule="auto"/>
        <w:ind w:left="720" w:right="0" w:firstLine="0"/>
        <w:jc w:val="left"/>
        <w:rPr>
          <w:rFonts w:ascii="Arial"/>
          <w:sz w:val="20"/>
        </w:rPr>
      </w:pPr>
      <w:r>
        <w:rPr>
          <w:rFonts w:ascii="Arial"/>
          <w:sz w:val="20"/>
        </w:rPr>
        <mc:AlternateContent>
          <mc:Choice Requires="wps">
            <w:drawing>
              <wp:inline distT="0" distB="0" distL="0" distR="0">
                <wp:extent cx="3095625" cy="1905000"/>
                <wp:effectExtent l="0" t="0" r="0" b="0"/>
                <wp:docPr id="433" name="Group 433"/>
                <wp:cNvGraphicFramePr>
                  <a:graphicFrameLocks/>
                </wp:cNvGraphicFramePr>
                <a:graphic>
                  <a:graphicData uri="http://schemas.microsoft.com/office/word/2010/wordprocessingGroup">
                    <wpg:wgp>
                      <wpg:cNvPr id="433" name="Group 433"/>
                      <wpg:cNvGrpSpPr/>
                      <wpg:grpSpPr>
                        <a:xfrm>
                          <a:off x="0" y="0"/>
                          <a:ext cx="3095625" cy="1905000"/>
                          <a:chExt cx="3095625" cy="1905000"/>
                        </a:xfrm>
                      </wpg:grpSpPr>
                      <wps:wsp>
                        <wps:cNvPr id="434" name="Graphic 434"/>
                        <wps:cNvSpPr/>
                        <wps:spPr>
                          <a:xfrm>
                            <a:off x="9525" y="9525"/>
                            <a:ext cx="3076575" cy="1885950"/>
                          </a:xfrm>
                          <a:custGeom>
                            <a:avLst/>
                            <a:gdLst/>
                            <a:ahLst/>
                            <a:cxnLst/>
                            <a:rect l="l" t="t" r="r" b="b"/>
                            <a:pathLst>
                              <a:path w="3076575" h="1885950">
                                <a:moveTo>
                                  <a:pt x="0" y="0"/>
                                </a:moveTo>
                                <a:lnTo>
                                  <a:pt x="3076575" y="0"/>
                                </a:lnTo>
                                <a:lnTo>
                                  <a:pt x="3076575" y="1885950"/>
                                </a:lnTo>
                                <a:lnTo>
                                  <a:pt x="0" y="1885950"/>
                                </a:lnTo>
                                <a:lnTo>
                                  <a:pt x="0" y="0"/>
                                </a:lnTo>
                                <a:close/>
                              </a:path>
                            </a:pathLst>
                          </a:custGeom>
                          <a:ln w="19050">
                            <a:solidFill>
                              <a:srgbClr val="242424"/>
                            </a:solidFill>
                            <a:prstDash val="solid"/>
                          </a:ln>
                        </wps:spPr>
                        <wps:bodyPr wrap="square" lIns="0" tIns="0" rIns="0" bIns="0" rtlCol="0">
                          <a:prstTxWarp prst="textNoShape">
                            <a:avLst/>
                          </a:prstTxWarp>
                          <a:noAutofit/>
                        </wps:bodyPr>
                      </wps:wsp>
                      <wps:wsp>
                        <wps:cNvPr id="435" name="Graphic 435"/>
                        <wps:cNvSpPr/>
                        <wps:spPr>
                          <a:xfrm>
                            <a:off x="942975" y="271462"/>
                            <a:ext cx="2014855" cy="1357630"/>
                          </a:xfrm>
                          <a:custGeom>
                            <a:avLst/>
                            <a:gdLst/>
                            <a:ahLst/>
                            <a:cxnLst/>
                            <a:rect l="l" t="t" r="r" b="b"/>
                            <a:pathLst>
                              <a:path w="2014855" h="1357630">
                                <a:moveTo>
                                  <a:pt x="57150" y="0"/>
                                </a:moveTo>
                                <a:lnTo>
                                  <a:pt x="0" y="0"/>
                                </a:lnTo>
                              </a:path>
                              <a:path w="2014855" h="1357630">
                                <a:moveTo>
                                  <a:pt x="57150" y="238125"/>
                                </a:moveTo>
                                <a:lnTo>
                                  <a:pt x="0" y="238125"/>
                                </a:lnTo>
                              </a:path>
                              <a:path w="2014855" h="1357630">
                                <a:moveTo>
                                  <a:pt x="57150" y="476250"/>
                                </a:moveTo>
                                <a:lnTo>
                                  <a:pt x="0" y="476250"/>
                                </a:lnTo>
                              </a:path>
                              <a:path w="2014855" h="1357630">
                                <a:moveTo>
                                  <a:pt x="57150" y="714375"/>
                                </a:moveTo>
                                <a:lnTo>
                                  <a:pt x="0" y="714375"/>
                                </a:lnTo>
                              </a:path>
                              <a:path w="2014855" h="1357630">
                                <a:moveTo>
                                  <a:pt x="57150" y="952500"/>
                                </a:moveTo>
                                <a:lnTo>
                                  <a:pt x="0" y="952500"/>
                                </a:lnTo>
                              </a:path>
                              <a:path w="2014855" h="1357630">
                                <a:moveTo>
                                  <a:pt x="57150" y="1190625"/>
                                </a:moveTo>
                                <a:lnTo>
                                  <a:pt x="0" y="1190625"/>
                                </a:lnTo>
                              </a:path>
                              <a:path w="2014855" h="1357630">
                                <a:moveTo>
                                  <a:pt x="52387" y="1300162"/>
                                </a:moveTo>
                                <a:lnTo>
                                  <a:pt x="52387" y="1357312"/>
                                </a:lnTo>
                              </a:path>
                              <a:path w="2014855" h="1357630">
                                <a:moveTo>
                                  <a:pt x="442912" y="1300162"/>
                                </a:moveTo>
                                <a:lnTo>
                                  <a:pt x="442912" y="1357312"/>
                                </a:lnTo>
                              </a:path>
                              <a:path w="2014855" h="1357630">
                                <a:moveTo>
                                  <a:pt x="833437" y="1300162"/>
                                </a:moveTo>
                                <a:lnTo>
                                  <a:pt x="833437" y="1357312"/>
                                </a:lnTo>
                              </a:path>
                              <a:path w="2014855" h="1357630">
                                <a:moveTo>
                                  <a:pt x="1223962" y="1300162"/>
                                </a:moveTo>
                                <a:lnTo>
                                  <a:pt x="1223962" y="1357312"/>
                                </a:lnTo>
                              </a:path>
                              <a:path w="2014855" h="1357630">
                                <a:moveTo>
                                  <a:pt x="1614487" y="1300162"/>
                                </a:moveTo>
                                <a:lnTo>
                                  <a:pt x="1614487" y="1357312"/>
                                </a:lnTo>
                              </a:path>
                              <a:path w="2014855" h="1357630">
                                <a:moveTo>
                                  <a:pt x="2014537" y="1300162"/>
                                </a:moveTo>
                                <a:lnTo>
                                  <a:pt x="2014537" y="1357312"/>
                                </a:lnTo>
                              </a:path>
                              <a:path w="2014855" h="1357630">
                                <a:moveTo>
                                  <a:pt x="57150" y="1304925"/>
                                </a:moveTo>
                                <a:lnTo>
                                  <a:pt x="2009775" y="1304925"/>
                                </a:lnTo>
                              </a:path>
                            </a:pathLst>
                          </a:custGeom>
                          <a:ln w="9525">
                            <a:solidFill>
                              <a:srgbClr val="8A8A8A"/>
                            </a:solidFill>
                            <a:prstDash val="solid"/>
                          </a:ln>
                        </wps:spPr>
                        <wps:bodyPr wrap="square" lIns="0" tIns="0" rIns="0" bIns="0" rtlCol="0">
                          <a:prstTxWarp prst="textNoShape">
                            <a:avLst/>
                          </a:prstTxWarp>
                          <a:noAutofit/>
                        </wps:bodyPr>
                      </wps:wsp>
                      <wps:wsp>
                        <wps:cNvPr id="436" name="Graphic 436"/>
                        <wps:cNvSpPr/>
                        <wps:spPr>
                          <a:xfrm>
                            <a:off x="995362" y="142875"/>
                            <a:ext cx="1270" cy="1428750"/>
                          </a:xfrm>
                          <a:custGeom>
                            <a:avLst/>
                            <a:gdLst/>
                            <a:ahLst/>
                            <a:cxnLst/>
                            <a:rect l="l" t="t" r="r" b="b"/>
                            <a:pathLst>
                              <a:path w="0" h="1428750">
                                <a:moveTo>
                                  <a:pt x="0" y="0"/>
                                </a:moveTo>
                                <a:lnTo>
                                  <a:pt x="0" y="1428750"/>
                                </a:lnTo>
                              </a:path>
                            </a:pathLst>
                          </a:custGeom>
                          <a:ln w="9525">
                            <a:solidFill>
                              <a:srgbClr val="585858"/>
                            </a:solidFill>
                            <a:prstDash val="solid"/>
                          </a:ln>
                        </wps:spPr>
                        <wps:bodyPr wrap="square" lIns="0" tIns="0" rIns="0" bIns="0" rtlCol="0">
                          <a:prstTxWarp prst="textNoShape">
                            <a:avLst/>
                          </a:prstTxWarp>
                          <a:noAutofit/>
                        </wps:bodyPr>
                      </wps:wsp>
                      <wps:wsp>
                        <wps:cNvPr id="437" name="Graphic 437"/>
                        <wps:cNvSpPr/>
                        <wps:spPr>
                          <a:xfrm>
                            <a:off x="1000125" y="201218"/>
                            <a:ext cx="1219200" cy="1304925"/>
                          </a:xfrm>
                          <a:custGeom>
                            <a:avLst/>
                            <a:gdLst/>
                            <a:ahLst/>
                            <a:cxnLst/>
                            <a:rect l="l" t="t" r="r" b="b"/>
                            <a:pathLst>
                              <a:path w="1219200" h="1304925">
                                <a:moveTo>
                                  <a:pt x="295275" y="1190625"/>
                                </a:moveTo>
                                <a:lnTo>
                                  <a:pt x="0" y="1190625"/>
                                </a:lnTo>
                                <a:lnTo>
                                  <a:pt x="0" y="1304925"/>
                                </a:lnTo>
                                <a:lnTo>
                                  <a:pt x="295275" y="1304925"/>
                                </a:lnTo>
                                <a:lnTo>
                                  <a:pt x="295275" y="1190625"/>
                                </a:lnTo>
                                <a:close/>
                              </a:path>
                              <a:path w="1219200" h="1304925">
                                <a:moveTo>
                                  <a:pt x="295275" y="952500"/>
                                </a:moveTo>
                                <a:lnTo>
                                  <a:pt x="0" y="952500"/>
                                </a:lnTo>
                                <a:lnTo>
                                  <a:pt x="0" y="1066800"/>
                                </a:lnTo>
                                <a:lnTo>
                                  <a:pt x="295275" y="1066800"/>
                                </a:lnTo>
                                <a:lnTo>
                                  <a:pt x="295275" y="952500"/>
                                </a:lnTo>
                                <a:close/>
                              </a:path>
                              <a:path w="1219200" h="1304925">
                                <a:moveTo>
                                  <a:pt x="323850" y="714375"/>
                                </a:moveTo>
                                <a:lnTo>
                                  <a:pt x="0" y="714375"/>
                                </a:lnTo>
                                <a:lnTo>
                                  <a:pt x="0" y="828675"/>
                                </a:lnTo>
                                <a:lnTo>
                                  <a:pt x="323850" y="828675"/>
                                </a:lnTo>
                                <a:lnTo>
                                  <a:pt x="323850" y="714375"/>
                                </a:lnTo>
                                <a:close/>
                              </a:path>
                              <a:path w="1219200" h="1304925">
                                <a:moveTo>
                                  <a:pt x="428625" y="476250"/>
                                </a:moveTo>
                                <a:lnTo>
                                  <a:pt x="0" y="476250"/>
                                </a:lnTo>
                                <a:lnTo>
                                  <a:pt x="0" y="590550"/>
                                </a:lnTo>
                                <a:lnTo>
                                  <a:pt x="428625" y="590550"/>
                                </a:lnTo>
                                <a:lnTo>
                                  <a:pt x="428625" y="476250"/>
                                </a:lnTo>
                                <a:close/>
                              </a:path>
                              <a:path w="1219200" h="1304925">
                                <a:moveTo>
                                  <a:pt x="552450" y="238125"/>
                                </a:moveTo>
                                <a:lnTo>
                                  <a:pt x="0" y="238125"/>
                                </a:lnTo>
                                <a:lnTo>
                                  <a:pt x="0" y="352425"/>
                                </a:lnTo>
                                <a:lnTo>
                                  <a:pt x="552450" y="352425"/>
                                </a:lnTo>
                                <a:lnTo>
                                  <a:pt x="552450" y="238125"/>
                                </a:lnTo>
                                <a:close/>
                              </a:path>
                              <a:path w="1219200" h="1304925">
                                <a:moveTo>
                                  <a:pt x="1219200" y="0"/>
                                </a:moveTo>
                                <a:lnTo>
                                  <a:pt x="0" y="0"/>
                                </a:lnTo>
                                <a:lnTo>
                                  <a:pt x="0" y="114300"/>
                                </a:lnTo>
                                <a:lnTo>
                                  <a:pt x="1219200" y="114300"/>
                                </a:lnTo>
                                <a:lnTo>
                                  <a:pt x="1219200" y="0"/>
                                </a:lnTo>
                                <a:close/>
                              </a:path>
                            </a:pathLst>
                          </a:custGeom>
                          <a:solidFill>
                            <a:srgbClr val="242424"/>
                          </a:solidFill>
                        </wps:spPr>
                        <wps:bodyPr wrap="square" lIns="0" tIns="0" rIns="0" bIns="0" rtlCol="0">
                          <a:prstTxWarp prst="textNoShape">
                            <a:avLst/>
                          </a:prstTxWarp>
                          <a:noAutofit/>
                        </wps:bodyPr>
                      </wps:wsp>
                      <wps:wsp>
                        <wps:cNvPr id="438" name="Textbox 438"/>
                        <wps:cNvSpPr txBox="1"/>
                        <wps:spPr>
                          <a:xfrm>
                            <a:off x="238759" y="220063"/>
                            <a:ext cx="622935" cy="113664"/>
                          </a:xfrm>
                          <a:prstGeom prst="rect">
                            <a:avLst/>
                          </a:prstGeom>
                        </wps:spPr>
                        <wps:txbx>
                          <w:txbxContent>
                            <w:p>
                              <w:pPr>
                                <w:spacing w:line="179" w:lineRule="exact" w:before="0"/>
                                <w:ind w:left="0" w:right="0" w:firstLine="0"/>
                                <w:jc w:val="left"/>
                                <w:rPr>
                                  <w:rFonts w:ascii="Arial MT"/>
                                  <w:sz w:val="16"/>
                                </w:rPr>
                              </w:pPr>
                              <w:r>
                                <w:rPr>
                                  <w:rFonts w:ascii="Arial MT"/>
                                  <w:sz w:val="16"/>
                                </w:rPr>
                                <w:t>United</w:t>
                              </w:r>
                              <w:r>
                                <w:rPr>
                                  <w:rFonts w:ascii="Arial MT"/>
                                  <w:spacing w:val="-6"/>
                                  <w:sz w:val="16"/>
                                </w:rPr>
                                <w:t> </w:t>
                              </w:r>
                              <w:r>
                                <w:rPr>
                                  <w:rFonts w:ascii="Arial MT"/>
                                  <w:spacing w:val="-2"/>
                                  <w:sz w:val="16"/>
                                </w:rPr>
                                <w:t>States</w:t>
                              </w:r>
                            </w:p>
                          </w:txbxContent>
                        </wps:txbx>
                        <wps:bodyPr wrap="square" lIns="0" tIns="0" rIns="0" bIns="0" rtlCol="0">
                          <a:noAutofit/>
                        </wps:bodyPr>
                      </wps:wsp>
                      <wps:wsp>
                        <wps:cNvPr id="439" name="Textbox 439"/>
                        <wps:cNvSpPr txBox="1"/>
                        <wps:spPr>
                          <a:xfrm>
                            <a:off x="2257425" y="210538"/>
                            <a:ext cx="357505"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15.75%</w:t>
                              </w:r>
                            </w:p>
                          </w:txbxContent>
                        </wps:txbx>
                        <wps:bodyPr wrap="square" lIns="0" tIns="0" rIns="0" bIns="0" rtlCol="0">
                          <a:noAutofit/>
                        </wps:bodyPr>
                      </wps:wsp>
                      <wps:wsp>
                        <wps:cNvPr id="440" name="Textbox 440"/>
                        <wps:cNvSpPr txBox="1"/>
                        <wps:spPr>
                          <a:xfrm>
                            <a:off x="571373" y="458188"/>
                            <a:ext cx="28956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Japan</w:t>
                              </w:r>
                            </w:p>
                          </w:txbxContent>
                        </wps:txbx>
                        <wps:bodyPr wrap="square" lIns="0" tIns="0" rIns="0" bIns="0" rtlCol="0">
                          <a:noAutofit/>
                        </wps:bodyPr>
                      </wps:wsp>
                      <wps:wsp>
                        <wps:cNvPr id="441" name="Textbox 441"/>
                        <wps:cNvSpPr txBox="1"/>
                        <wps:spPr>
                          <a:xfrm>
                            <a:off x="1590675" y="448663"/>
                            <a:ext cx="30099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7.19%</w:t>
                              </w:r>
                            </w:p>
                          </w:txbxContent>
                        </wps:txbx>
                        <wps:bodyPr wrap="square" lIns="0" tIns="0" rIns="0" bIns="0" rtlCol="0">
                          <a:noAutofit/>
                        </wps:bodyPr>
                      </wps:wsp>
                      <wps:wsp>
                        <wps:cNvPr id="442" name="Textbox 442"/>
                        <wps:cNvSpPr txBox="1"/>
                        <wps:spPr>
                          <a:xfrm>
                            <a:off x="582802" y="696313"/>
                            <a:ext cx="27813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China</w:t>
                              </w:r>
                            </w:p>
                          </w:txbxContent>
                        </wps:txbx>
                        <wps:bodyPr wrap="square" lIns="0" tIns="0" rIns="0" bIns="0" rtlCol="0">
                          <a:noAutofit/>
                        </wps:bodyPr>
                      </wps:wsp>
                      <wps:wsp>
                        <wps:cNvPr id="443" name="Textbox 443"/>
                        <wps:cNvSpPr txBox="1"/>
                        <wps:spPr>
                          <a:xfrm>
                            <a:off x="1466850" y="686788"/>
                            <a:ext cx="30099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5.58%</w:t>
                              </w:r>
                            </w:p>
                          </w:txbxContent>
                        </wps:txbx>
                        <wps:bodyPr wrap="square" lIns="0" tIns="0" rIns="0" bIns="0" rtlCol="0">
                          <a:noAutofit/>
                        </wps:bodyPr>
                      </wps:wsp>
                      <wps:wsp>
                        <wps:cNvPr id="444" name="Textbox 444"/>
                        <wps:cNvSpPr txBox="1"/>
                        <wps:spPr>
                          <a:xfrm>
                            <a:off x="430402" y="934438"/>
                            <a:ext cx="43053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Germany</w:t>
                              </w:r>
                            </w:p>
                          </w:txbxContent>
                        </wps:txbx>
                        <wps:bodyPr wrap="square" lIns="0" tIns="0" rIns="0" bIns="0" rtlCol="0">
                          <a:noAutofit/>
                        </wps:bodyPr>
                      </wps:wsp>
                      <wps:wsp>
                        <wps:cNvPr id="445" name="Textbox 445"/>
                        <wps:cNvSpPr txBox="1"/>
                        <wps:spPr>
                          <a:xfrm>
                            <a:off x="1362075" y="924913"/>
                            <a:ext cx="30099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4.28%</w:t>
                              </w:r>
                            </w:p>
                          </w:txbxContent>
                        </wps:txbx>
                        <wps:bodyPr wrap="square" lIns="0" tIns="0" rIns="0" bIns="0" rtlCol="0">
                          <a:noAutofit/>
                        </wps:bodyPr>
                      </wps:wsp>
                      <wps:wsp>
                        <wps:cNvPr id="446" name="Textbox 446"/>
                        <wps:cNvSpPr txBox="1"/>
                        <wps:spPr>
                          <a:xfrm>
                            <a:off x="532002" y="1172563"/>
                            <a:ext cx="32893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France</w:t>
                              </w:r>
                            </w:p>
                          </w:txbxContent>
                        </wps:txbx>
                        <wps:bodyPr wrap="square" lIns="0" tIns="0" rIns="0" bIns="0" rtlCol="0">
                          <a:noAutofit/>
                        </wps:bodyPr>
                      </wps:wsp>
                      <wps:wsp>
                        <wps:cNvPr id="447" name="Textbox 447"/>
                        <wps:cNvSpPr txBox="1"/>
                        <wps:spPr>
                          <a:xfrm>
                            <a:off x="1333500" y="1163038"/>
                            <a:ext cx="30099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3.92%</w:t>
                              </w:r>
                            </w:p>
                          </w:txbxContent>
                        </wps:txbx>
                        <wps:bodyPr wrap="square" lIns="0" tIns="0" rIns="0" bIns="0" rtlCol="0">
                          <a:noAutofit/>
                        </wps:bodyPr>
                      </wps:wsp>
                      <wps:wsp>
                        <wps:cNvPr id="448" name="Textbox 448"/>
                        <wps:cNvSpPr txBox="1"/>
                        <wps:spPr>
                          <a:xfrm>
                            <a:off x="126111" y="1410688"/>
                            <a:ext cx="735965" cy="113664"/>
                          </a:xfrm>
                          <a:prstGeom prst="rect">
                            <a:avLst/>
                          </a:prstGeom>
                        </wps:spPr>
                        <wps:txbx>
                          <w:txbxContent>
                            <w:p>
                              <w:pPr>
                                <w:spacing w:line="179" w:lineRule="exact" w:before="0"/>
                                <w:ind w:left="0" w:right="0" w:firstLine="0"/>
                                <w:jc w:val="left"/>
                                <w:rPr>
                                  <w:rFonts w:ascii="Arial MT"/>
                                  <w:sz w:val="16"/>
                                </w:rPr>
                              </w:pPr>
                              <w:r>
                                <w:rPr>
                                  <w:rFonts w:ascii="Arial MT"/>
                                  <w:sz w:val="16"/>
                                </w:rPr>
                                <w:t>United</w:t>
                              </w:r>
                              <w:r>
                                <w:rPr>
                                  <w:rFonts w:ascii="Arial MT"/>
                                  <w:spacing w:val="-4"/>
                                  <w:sz w:val="16"/>
                                </w:rPr>
                                <w:t> </w:t>
                              </w:r>
                              <w:r>
                                <w:rPr>
                                  <w:rFonts w:ascii="Arial MT"/>
                                  <w:spacing w:val="-2"/>
                                  <w:sz w:val="16"/>
                                </w:rPr>
                                <w:t>Kingdom</w:t>
                              </w:r>
                            </w:p>
                          </w:txbxContent>
                        </wps:txbx>
                        <wps:bodyPr wrap="square" lIns="0" tIns="0" rIns="0" bIns="0" rtlCol="0">
                          <a:noAutofit/>
                        </wps:bodyPr>
                      </wps:wsp>
                      <wps:wsp>
                        <wps:cNvPr id="449" name="Textbox 449"/>
                        <wps:cNvSpPr txBox="1"/>
                        <wps:spPr>
                          <a:xfrm>
                            <a:off x="1333500" y="1401163"/>
                            <a:ext cx="300990" cy="113664"/>
                          </a:xfrm>
                          <a:prstGeom prst="rect">
                            <a:avLst/>
                          </a:prstGeom>
                        </wps:spPr>
                        <wps:txbx>
                          <w:txbxContent>
                            <w:p>
                              <w:pPr>
                                <w:spacing w:line="179" w:lineRule="exact" w:before="0"/>
                                <w:ind w:left="0" w:right="0" w:firstLine="0"/>
                                <w:jc w:val="left"/>
                                <w:rPr>
                                  <w:rFonts w:ascii="Arial MT"/>
                                  <w:sz w:val="16"/>
                                </w:rPr>
                              </w:pPr>
                              <w:r>
                                <w:rPr>
                                  <w:rFonts w:ascii="Arial MT"/>
                                  <w:spacing w:val="-2"/>
                                  <w:sz w:val="16"/>
                                </w:rPr>
                                <w:t>3.92%</w:t>
                              </w:r>
                            </w:p>
                          </w:txbxContent>
                        </wps:txbx>
                        <wps:bodyPr wrap="square" lIns="0" tIns="0" rIns="0" bIns="0" rtlCol="0">
                          <a:noAutofit/>
                        </wps:bodyPr>
                      </wps:wsp>
                      <wps:wsp>
                        <wps:cNvPr id="450" name="Textbox 450"/>
                        <wps:cNvSpPr txBox="1"/>
                        <wps:spPr>
                          <a:xfrm>
                            <a:off x="917194" y="1658338"/>
                            <a:ext cx="2140585" cy="113664"/>
                          </a:xfrm>
                          <a:prstGeom prst="rect">
                            <a:avLst/>
                          </a:prstGeom>
                        </wps:spPr>
                        <wps:txbx>
                          <w:txbxContent>
                            <w:p>
                              <w:pPr>
                                <w:tabs>
                                  <w:tab w:pos="614" w:val="left" w:leader="none"/>
                                  <w:tab w:pos="1185" w:val="left" w:leader="none"/>
                                  <w:tab w:pos="1800" w:val="left" w:leader="none"/>
                                  <w:tab w:pos="2415" w:val="left" w:leader="none"/>
                                  <w:tab w:pos="3030" w:val="left" w:leader="none"/>
                                </w:tabs>
                                <w:spacing w:line="179" w:lineRule="exact" w:before="0"/>
                                <w:ind w:left="0" w:right="0" w:firstLine="0"/>
                                <w:jc w:val="left"/>
                                <w:rPr>
                                  <w:rFonts w:ascii="Arial MT"/>
                                  <w:sz w:val="16"/>
                                </w:rPr>
                              </w:pPr>
                              <w:r>
                                <w:rPr>
                                  <w:rFonts w:ascii="Arial MT"/>
                                  <w:spacing w:val="-5"/>
                                  <w:sz w:val="16"/>
                                </w:rPr>
                                <w:t>0%</w:t>
                              </w:r>
                              <w:r>
                                <w:rPr>
                                  <w:rFonts w:ascii="Arial MT"/>
                                  <w:sz w:val="16"/>
                                </w:rPr>
                                <w:tab/>
                              </w:r>
                              <w:r>
                                <w:rPr>
                                  <w:rFonts w:ascii="Arial MT"/>
                                  <w:spacing w:val="-5"/>
                                  <w:sz w:val="16"/>
                                </w:rPr>
                                <w:t>5%</w:t>
                              </w:r>
                              <w:r>
                                <w:rPr>
                                  <w:rFonts w:ascii="Arial MT"/>
                                  <w:sz w:val="16"/>
                                </w:rPr>
                                <w:tab/>
                              </w:r>
                              <w:r>
                                <w:rPr>
                                  <w:rFonts w:ascii="Arial MT"/>
                                  <w:spacing w:val="-5"/>
                                  <w:sz w:val="16"/>
                                </w:rPr>
                                <w:t>10%</w:t>
                              </w:r>
                              <w:r>
                                <w:rPr>
                                  <w:rFonts w:ascii="Arial MT"/>
                                  <w:sz w:val="16"/>
                                </w:rPr>
                                <w:tab/>
                              </w:r>
                              <w:r>
                                <w:rPr>
                                  <w:rFonts w:ascii="Arial MT"/>
                                  <w:spacing w:val="-5"/>
                                  <w:sz w:val="16"/>
                                </w:rPr>
                                <w:t>15%</w:t>
                              </w:r>
                              <w:r>
                                <w:rPr>
                                  <w:rFonts w:ascii="Arial MT"/>
                                  <w:sz w:val="16"/>
                                </w:rPr>
                                <w:tab/>
                              </w:r>
                              <w:r>
                                <w:rPr>
                                  <w:rFonts w:ascii="Arial MT"/>
                                  <w:spacing w:val="-5"/>
                                  <w:sz w:val="16"/>
                                </w:rPr>
                                <w:t>20%</w:t>
                              </w:r>
                              <w:r>
                                <w:rPr>
                                  <w:rFonts w:ascii="Arial MT"/>
                                  <w:sz w:val="16"/>
                                </w:rPr>
                                <w:tab/>
                              </w:r>
                              <w:r>
                                <w:rPr>
                                  <w:rFonts w:ascii="Arial MT"/>
                                  <w:spacing w:val="-5"/>
                                  <w:sz w:val="16"/>
                                </w:rPr>
                                <w:t>25%</w:t>
                              </w:r>
                            </w:p>
                          </w:txbxContent>
                        </wps:txbx>
                        <wps:bodyPr wrap="square" lIns="0" tIns="0" rIns="0" bIns="0" rtlCol="0">
                          <a:noAutofit/>
                        </wps:bodyPr>
                      </wps:wsp>
                    </wpg:wgp>
                  </a:graphicData>
                </a:graphic>
              </wp:inline>
            </w:drawing>
          </mc:Choice>
          <mc:Fallback>
            <w:pict>
              <v:group style="width:243.75pt;height:150pt;mso-position-horizontal-relative:char;mso-position-vertical-relative:line" id="docshapegroup360" coordorigin="0,0" coordsize="4875,3000">
                <v:rect style="position:absolute;left:15;top:15;width:4845;height:2970" id="docshape361" filled="false" stroked="true" strokeweight="1.5pt" strokecolor="#242424">
                  <v:stroke dashstyle="solid"/>
                </v:rect>
                <v:shape style="position:absolute;left:1485;top:427;width:3173;height:2138" id="docshape362" coordorigin="1485,428" coordsize="3173,2138" path="m1575,428l1485,428m1575,803l1485,803m1575,1178l1485,1178m1575,1553l1485,1553m1575,1928l1485,1928m1575,2303l1485,2303m1568,2475l1568,2565m2183,2475l2183,2565m2798,2475l2798,2565m3413,2475l3413,2565m4028,2475l4028,2565m4658,2475l4658,2565m1575,2483l4650,2483e" filled="false" stroked="true" strokeweight=".75pt" strokecolor="#8a8a8a">
                  <v:path arrowok="t"/>
                  <v:stroke dashstyle="solid"/>
                </v:shape>
                <v:line style="position:absolute" from="1568,225" to="1568,2475" stroked="true" strokeweight=".75pt" strokecolor="#585858">
                  <v:stroke dashstyle="solid"/>
                </v:line>
                <v:shape style="position:absolute;left:1575;top:316;width:1920;height:2055" id="docshape363" coordorigin="1575,317" coordsize="1920,2055" path="m2040,2192l1575,2192,1575,2372,2040,2372,2040,2192xm2040,1817l1575,1817,1575,1997,2040,1997,2040,1817xm2085,1442l1575,1442,1575,1622,2085,1622,2085,1442xm2250,1067l1575,1067,1575,1247,2250,1247,2250,1067xm2445,692l1575,692,1575,872,2445,872,2445,692xm3495,317l1575,317,1575,497,3495,497,3495,317xe" filled="true" fillcolor="#242424" stroked="false">
                  <v:path arrowok="t"/>
                  <v:fill type="solid"/>
                </v:shape>
                <v:shape style="position:absolute;left:376;top:346;width:981;height:179" type="#_x0000_t202" id="docshape364" filled="false" stroked="false">
                  <v:textbox inset="0,0,0,0">
                    <w:txbxContent>
                      <w:p>
                        <w:pPr>
                          <w:spacing w:line="179" w:lineRule="exact" w:before="0"/>
                          <w:ind w:left="0" w:right="0" w:firstLine="0"/>
                          <w:jc w:val="left"/>
                          <w:rPr>
                            <w:rFonts w:ascii="Arial MT"/>
                            <w:sz w:val="16"/>
                          </w:rPr>
                        </w:pPr>
                        <w:r>
                          <w:rPr>
                            <w:rFonts w:ascii="Arial MT"/>
                            <w:sz w:val="16"/>
                          </w:rPr>
                          <w:t>United</w:t>
                        </w:r>
                        <w:r>
                          <w:rPr>
                            <w:rFonts w:ascii="Arial MT"/>
                            <w:spacing w:val="-6"/>
                            <w:sz w:val="16"/>
                          </w:rPr>
                          <w:t> </w:t>
                        </w:r>
                        <w:r>
                          <w:rPr>
                            <w:rFonts w:ascii="Arial MT"/>
                            <w:spacing w:val="-2"/>
                            <w:sz w:val="16"/>
                          </w:rPr>
                          <w:t>States</w:t>
                        </w:r>
                      </w:p>
                    </w:txbxContent>
                  </v:textbox>
                  <w10:wrap type="none"/>
                </v:shape>
                <v:shape style="position:absolute;left:3555;top:331;width:563;height:179" type="#_x0000_t202" id="docshape365" filled="false" stroked="false">
                  <v:textbox inset="0,0,0,0">
                    <w:txbxContent>
                      <w:p>
                        <w:pPr>
                          <w:spacing w:line="179" w:lineRule="exact" w:before="0"/>
                          <w:ind w:left="0" w:right="0" w:firstLine="0"/>
                          <w:jc w:val="left"/>
                          <w:rPr>
                            <w:rFonts w:ascii="Arial MT"/>
                            <w:sz w:val="16"/>
                          </w:rPr>
                        </w:pPr>
                        <w:r>
                          <w:rPr>
                            <w:rFonts w:ascii="Arial MT"/>
                            <w:spacing w:val="-2"/>
                            <w:sz w:val="16"/>
                          </w:rPr>
                          <w:t>15.75%</w:t>
                        </w:r>
                      </w:p>
                    </w:txbxContent>
                  </v:textbox>
                  <w10:wrap type="none"/>
                </v:shape>
                <v:shape style="position:absolute;left:899;top:721;width:456;height:179" type="#_x0000_t202" id="docshape366" filled="false" stroked="false">
                  <v:textbox inset="0,0,0,0">
                    <w:txbxContent>
                      <w:p>
                        <w:pPr>
                          <w:spacing w:line="179" w:lineRule="exact" w:before="0"/>
                          <w:ind w:left="0" w:right="0" w:firstLine="0"/>
                          <w:jc w:val="left"/>
                          <w:rPr>
                            <w:rFonts w:ascii="Arial MT"/>
                            <w:sz w:val="16"/>
                          </w:rPr>
                        </w:pPr>
                        <w:r>
                          <w:rPr>
                            <w:rFonts w:ascii="Arial MT"/>
                            <w:spacing w:val="-2"/>
                            <w:sz w:val="16"/>
                          </w:rPr>
                          <w:t>Japan</w:t>
                        </w:r>
                      </w:p>
                    </w:txbxContent>
                  </v:textbox>
                  <w10:wrap type="none"/>
                </v:shape>
                <v:shape style="position:absolute;left:2505;top:706;width:474;height:179" type="#_x0000_t202" id="docshape367" filled="false" stroked="false">
                  <v:textbox inset="0,0,0,0">
                    <w:txbxContent>
                      <w:p>
                        <w:pPr>
                          <w:spacing w:line="179" w:lineRule="exact" w:before="0"/>
                          <w:ind w:left="0" w:right="0" w:firstLine="0"/>
                          <w:jc w:val="left"/>
                          <w:rPr>
                            <w:rFonts w:ascii="Arial MT"/>
                            <w:sz w:val="16"/>
                          </w:rPr>
                        </w:pPr>
                        <w:r>
                          <w:rPr>
                            <w:rFonts w:ascii="Arial MT"/>
                            <w:spacing w:val="-2"/>
                            <w:sz w:val="16"/>
                          </w:rPr>
                          <w:t>7.19%</w:t>
                        </w:r>
                      </w:p>
                    </w:txbxContent>
                  </v:textbox>
                  <w10:wrap type="none"/>
                </v:shape>
                <v:shape style="position:absolute;left:917;top:1096;width:438;height:179" type="#_x0000_t202" id="docshape368" filled="false" stroked="false">
                  <v:textbox inset="0,0,0,0">
                    <w:txbxContent>
                      <w:p>
                        <w:pPr>
                          <w:spacing w:line="179" w:lineRule="exact" w:before="0"/>
                          <w:ind w:left="0" w:right="0" w:firstLine="0"/>
                          <w:jc w:val="left"/>
                          <w:rPr>
                            <w:rFonts w:ascii="Arial MT"/>
                            <w:sz w:val="16"/>
                          </w:rPr>
                        </w:pPr>
                        <w:r>
                          <w:rPr>
                            <w:rFonts w:ascii="Arial MT"/>
                            <w:spacing w:val="-2"/>
                            <w:sz w:val="16"/>
                          </w:rPr>
                          <w:t>China</w:t>
                        </w:r>
                      </w:p>
                    </w:txbxContent>
                  </v:textbox>
                  <w10:wrap type="none"/>
                </v:shape>
                <v:shape style="position:absolute;left:2310;top:1081;width:474;height:179" type="#_x0000_t202" id="docshape369" filled="false" stroked="false">
                  <v:textbox inset="0,0,0,0">
                    <w:txbxContent>
                      <w:p>
                        <w:pPr>
                          <w:spacing w:line="179" w:lineRule="exact" w:before="0"/>
                          <w:ind w:left="0" w:right="0" w:firstLine="0"/>
                          <w:jc w:val="left"/>
                          <w:rPr>
                            <w:rFonts w:ascii="Arial MT"/>
                            <w:sz w:val="16"/>
                          </w:rPr>
                        </w:pPr>
                        <w:r>
                          <w:rPr>
                            <w:rFonts w:ascii="Arial MT"/>
                            <w:spacing w:val="-2"/>
                            <w:sz w:val="16"/>
                          </w:rPr>
                          <w:t>5.58%</w:t>
                        </w:r>
                      </w:p>
                    </w:txbxContent>
                  </v:textbox>
                  <w10:wrap type="none"/>
                </v:shape>
                <v:shape style="position:absolute;left:677;top:1471;width:678;height:179" type="#_x0000_t202" id="docshape370" filled="false" stroked="false">
                  <v:textbox inset="0,0,0,0">
                    <w:txbxContent>
                      <w:p>
                        <w:pPr>
                          <w:spacing w:line="179" w:lineRule="exact" w:before="0"/>
                          <w:ind w:left="0" w:right="0" w:firstLine="0"/>
                          <w:jc w:val="left"/>
                          <w:rPr>
                            <w:rFonts w:ascii="Arial MT"/>
                            <w:sz w:val="16"/>
                          </w:rPr>
                        </w:pPr>
                        <w:r>
                          <w:rPr>
                            <w:rFonts w:ascii="Arial MT"/>
                            <w:spacing w:val="-2"/>
                            <w:sz w:val="16"/>
                          </w:rPr>
                          <w:t>Germany</w:t>
                        </w:r>
                      </w:p>
                    </w:txbxContent>
                  </v:textbox>
                  <w10:wrap type="none"/>
                </v:shape>
                <v:shape style="position:absolute;left:2145;top:1456;width:474;height:179" type="#_x0000_t202" id="docshape371" filled="false" stroked="false">
                  <v:textbox inset="0,0,0,0">
                    <w:txbxContent>
                      <w:p>
                        <w:pPr>
                          <w:spacing w:line="179" w:lineRule="exact" w:before="0"/>
                          <w:ind w:left="0" w:right="0" w:firstLine="0"/>
                          <w:jc w:val="left"/>
                          <w:rPr>
                            <w:rFonts w:ascii="Arial MT"/>
                            <w:sz w:val="16"/>
                          </w:rPr>
                        </w:pPr>
                        <w:r>
                          <w:rPr>
                            <w:rFonts w:ascii="Arial MT"/>
                            <w:spacing w:val="-2"/>
                            <w:sz w:val="16"/>
                          </w:rPr>
                          <w:t>4.28%</w:t>
                        </w:r>
                      </w:p>
                    </w:txbxContent>
                  </v:textbox>
                  <w10:wrap type="none"/>
                </v:shape>
                <v:shape style="position:absolute;left:837;top:1846;width:518;height:179" type="#_x0000_t202" id="docshape372" filled="false" stroked="false">
                  <v:textbox inset="0,0,0,0">
                    <w:txbxContent>
                      <w:p>
                        <w:pPr>
                          <w:spacing w:line="179" w:lineRule="exact" w:before="0"/>
                          <w:ind w:left="0" w:right="0" w:firstLine="0"/>
                          <w:jc w:val="left"/>
                          <w:rPr>
                            <w:rFonts w:ascii="Arial MT"/>
                            <w:sz w:val="16"/>
                          </w:rPr>
                        </w:pPr>
                        <w:r>
                          <w:rPr>
                            <w:rFonts w:ascii="Arial MT"/>
                            <w:spacing w:val="-2"/>
                            <w:sz w:val="16"/>
                          </w:rPr>
                          <w:t>France</w:t>
                        </w:r>
                      </w:p>
                    </w:txbxContent>
                  </v:textbox>
                  <w10:wrap type="none"/>
                </v:shape>
                <v:shape style="position:absolute;left:2100;top:1831;width:474;height:179" type="#_x0000_t202" id="docshape373" filled="false" stroked="false">
                  <v:textbox inset="0,0,0,0">
                    <w:txbxContent>
                      <w:p>
                        <w:pPr>
                          <w:spacing w:line="179" w:lineRule="exact" w:before="0"/>
                          <w:ind w:left="0" w:right="0" w:firstLine="0"/>
                          <w:jc w:val="left"/>
                          <w:rPr>
                            <w:rFonts w:ascii="Arial MT"/>
                            <w:sz w:val="16"/>
                          </w:rPr>
                        </w:pPr>
                        <w:r>
                          <w:rPr>
                            <w:rFonts w:ascii="Arial MT"/>
                            <w:spacing w:val="-2"/>
                            <w:sz w:val="16"/>
                          </w:rPr>
                          <w:t>3.92%</w:t>
                        </w:r>
                      </w:p>
                    </w:txbxContent>
                  </v:textbox>
                  <w10:wrap type="none"/>
                </v:shape>
                <v:shape style="position:absolute;left:198;top:2221;width:1159;height:179" type="#_x0000_t202" id="docshape374" filled="false" stroked="false">
                  <v:textbox inset="0,0,0,0">
                    <w:txbxContent>
                      <w:p>
                        <w:pPr>
                          <w:spacing w:line="179" w:lineRule="exact" w:before="0"/>
                          <w:ind w:left="0" w:right="0" w:firstLine="0"/>
                          <w:jc w:val="left"/>
                          <w:rPr>
                            <w:rFonts w:ascii="Arial MT"/>
                            <w:sz w:val="16"/>
                          </w:rPr>
                        </w:pPr>
                        <w:r>
                          <w:rPr>
                            <w:rFonts w:ascii="Arial MT"/>
                            <w:sz w:val="16"/>
                          </w:rPr>
                          <w:t>United</w:t>
                        </w:r>
                        <w:r>
                          <w:rPr>
                            <w:rFonts w:ascii="Arial MT"/>
                            <w:spacing w:val="-4"/>
                            <w:sz w:val="16"/>
                          </w:rPr>
                          <w:t> </w:t>
                        </w:r>
                        <w:r>
                          <w:rPr>
                            <w:rFonts w:ascii="Arial MT"/>
                            <w:spacing w:val="-2"/>
                            <w:sz w:val="16"/>
                          </w:rPr>
                          <w:t>Kingdom</w:t>
                        </w:r>
                      </w:p>
                    </w:txbxContent>
                  </v:textbox>
                  <w10:wrap type="none"/>
                </v:shape>
                <v:shape style="position:absolute;left:2100;top:2206;width:474;height:179" type="#_x0000_t202" id="docshape375" filled="false" stroked="false">
                  <v:textbox inset="0,0,0,0">
                    <w:txbxContent>
                      <w:p>
                        <w:pPr>
                          <w:spacing w:line="179" w:lineRule="exact" w:before="0"/>
                          <w:ind w:left="0" w:right="0" w:firstLine="0"/>
                          <w:jc w:val="left"/>
                          <w:rPr>
                            <w:rFonts w:ascii="Arial MT"/>
                            <w:sz w:val="16"/>
                          </w:rPr>
                        </w:pPr>
                        <w:r>
                          <w:rPr>
                            <w:rFonts w:ascii="Arial MT"/>
                            <w:spacing w:val="-2"/>
                            <w:sz w:val="16"/>
                          </w:rPr>
                          <w:t>3.92%</w:t>
                        </w:r>
                      </w:p>
                    </w:txbxContent>
                  </v:textbox>
                  <w10:wrap type="none"/>
                </v:shape>
                <v:shape style="position:absolute;left:1444;top:2611;width:3371;height:179" type="#_x0000_t202" id="docshape376" filled="false" stroked="false">
                  <v:textbox inset="0,0,0,0">
                    <w:txbxContent>
                      <w:p>
                        <w:pPr>
                          <w:tabs>
                            <w:tab w:pos="614" w:val="left" w:leader="none"/>
                            <w:tab w:pos="1185" w:val="left" w:leader="none"/>
                            <w:tab w:pos="1800" w:val="left" w:leader="none"/>
                            <w:tab w:pos="2415" w:val="left" w:leader="none"/>
                            <w:tab w:pos="3030" w:val="left" w:leader="none"/>
                          </w:tabs>
                          <w:spacing w:line="179" w:lineRule="exact" w:before="0"/>
                          <w:ind w:left="0" w:right="0" w:firstLine="0"/>
                          <w:jc w:val="left"/>
                          <w:rPr>
                            <w:rFonts w:ascii="Arial MT"/>
                            <w:sz w:val="16"/>
                          </w:rPr>
                        </w:pPr>
                        <w:r>
                          <w:rPr>
                            <w:rFonts w:ascii="Arial MT"/>
                            <w:spacing w:val="-5"/>
                            <w:sz w:val="16"/>
                          </w:rPr>
                          <w:t>0%</w:t>
                        </w:r>
                        <w:r>
                          <w:rPr>
                            <w:rFonts w:ascii="Arial MT"/>
                            <w:sz w:val="16"/>
                          </w:rPr>
                          <w:tab/>
                        </w:r>
                        <w:r>
                          <w:rPr>
                            <w:rFonts w:ascii="Arial MT"/>
                            <w:spacing w:val="-5"/>
                            <w:sz w:val="16"/>
                          </w:rPr>
                          <w:t>5%</w:t>
                        </w:r>
                        <w:r>
                          <w:rPr>
                            <w:rFonts w:ascii="Arial MT"/>
                            <w:sz w:val="16"/>
                          </w:rPr>
                          <w:tab/>
                        </w:r>
                        <w:r>
                          <w:rPr>
                            <w:rFonts w:ascii="Arial MT"/>
                            <w:spacing w:val="-5"/>
                            <w:sz w:val="16"/>
                          </w:rPr>
                          <w:t>10%</w:t>
                        </w:r>
                        <w:r>
                          <w:rPr>
                            <w:rFonts w:ascii="Arial MT"/>
                            <w:sz w:val="16"/>
                          </w:rPr>
                          <w:tab/>
                        </w:r>
                        <w:r>
                          <w:rPr>
                            <w:rFonts w:ascii="Arial MT"/>
                            <w:spacing w:val="-5"/>
                            <w:sz w:val="16"/>
                          </w:rPr>
                          <w:t>15%</w:t>
                        </w:r>
                        <w:r>
                          <w:rPr>
                            <w:rFonts w:ascii="Arial MT"/>
                            <w:sz w:val="16"/>
                          </w:rPr>
                          <w:tab/>
                        </w:r>
                        <w:r>
                          <w:rPr>
                            <w:rFonts w:ascii="Arial MT"/>
                            <w:spacing w:val="-5"/>
                            <w:sz w:val="16"/>
                          </w:rPr>
                          <w:t>20%</w:t>
                        </w:r>
                        <w:r>
                          <w:rPr>
                            <w:rFonts w:ascii="Arial MT"/>
                            <w:sz w:val="16"/>
                          </w:rPr>
                          <w:tab/>
                        </w:r>
                        <w:r>
                          <w:rPr>
                            <w:rFonts w:ascii="Arial MT"/>
                            <w:spacing w:val="-5"/>
                            <w:sz w:val="16"/>
                          </w:rPr>
                          <w:t>25%</w:t>
                        </w:r>
                      </w:p>
                    </w:txbxContent>
                  </v:textbox>
                  <w10:wrap type="none"/>
                </v:shape>
              </v:group>
            </w:pict>
          </mc:Fallback>
        </mc:AlternateContent>
      </w:r>
      <w:r>
        <w:rPr>
          <w:rFonts w:ascii="Arial"/>
          <w:sz w:val="20"/>
        </w:rPr>
      </w:r>
      <w:r>
        <w:rPr>
          <w:spacing w:val="110"/>
          <w:sz w:val="20"/>
        </w:rPr>
        <w:t> </w:t>
      </w:r>
      <w:r>
        <w:rPr>
          <w:rFonts w:ascii="Arial"/>
          <w:spacing w:val="110"/>
          <w:sz w:val="20"/>
        </w:rPr>
        <mc:AlternateContent>
          <mc:Choice Requires="wps">
            <w:drawing>
              <wp:inline distT="0" distB="0" distL="0" distR="0">
                <wp:extent cx="2762250" cy="1905000"/>
                <wp:effectExtent l="0" t="0" r="0" b="0"/>
                <wp:docPr id="451" name="Group 451"/>
                <wp:cNvGraphicFramePr>
                  <a:graphicFrameLocks/>
                </wp:cNvGraphicFramePr>
                <a:graphic>
                  <a:graphicData uri="http://schemas.microsoft.com/office/word/2010/wordprocessingGroup">
                    <wpg:wgp>
                      <wpg:cNvPr id="451" name="Group 451"/>
                      <wpg:cNvGrpSpPr/>
                      <wpg:grpSpPr>
                        <a:xfrm>
                          <a:off x="0" y="0"/>
                          <a:ext cx="2762250" cy="1905000"/>
                          <a:chExt cx="2762250" cy="1905000"/>
                        </a:xfrm>
                      </wpg:grpSpPr>
                      <wps:wsp>
                        <wps:cNvPr id="452" name="Graphic 452"/>
                        <wps:cNvSpPr/>
                        <wps:spPr>
                          <a:xfrm>
                            <a:off x="678889" y="250275"/>
                            <a:ext cx="1153795" cy="1404620"/>
                          </a:xfrm>
                          <a:custGeom>
                            <a:avLst/>
                            <a:gdLst/>
                            <a:ahLst/>
                            <a:cxnLst/>
                            <a:rect l="l" t="t" r="r" b="b"/>
                            <a:pathLst>
                              <a:path w="1153795" h="1404620">
                                <a:moveTo>
                                  <a:pt x="682333" y="0"/>
                                </a:moveTo>
                                <a:lnTo>
                                  <a:pt x="635711" y="2854"/>
                                </a:lnTo>
                                <a:lnTo>
                                  <a:pt x="589729" y="8756"/>
                                </a:lnTo>
                                <a:lnTo>
                                  <a:pt x="544515" y="17625"/>
                                </a:lnTo>
                                <a:lnTo>
                                  <a:pt x="500197" y="29383"/>
                                </a:lnTo>
                                <a:lnTo>
                                  <a:pt x="456901" y="43953"/>
                                </a:lnTo>
                                <a:lnTo>
                                  <a:pt x="414756" y="61254"/>
                                </a:lnTo>
                                <a:lnTo>
                                  <a:pt x="373891" y="81209"/>
                                </a:lnTo>
                                <a:lnTo>
                                  <a:pt x="334431" y="103740"/>
                                </a:lnTo>
                                <a:lnTo>
                                  <a:pt x="296506" y="128766"/>
                                </a:lnTo>
                                <a:lnTo>
                                  <a:pt x="260244" y="156211"/>
                                </a:lnTo>
                                <a:lnTo>
                                  <a:pt x="225771" y="185996"/>
                                </a:lnTo>
                                <a:lnTo>
                                  <a:pt x="193215" y="218042"/>
                                </a:lnTo>
                                <a:lnTo>
                                  <a:pt x="162706" y="252270"/>
                                </a:lnTo>
                                <a:lnTo>
                                  <a:pt x="134369" y="288602"/>
                                </a:lnTo>
                                <a:lnTo>
                                  <a:pt x="108333" y="326959"/>
                                </a:lnTo>
                                <a:lnTo>
                                  <a:pt x="84727" y="367264"/>
                                </a:lnTo>
                                <a:lnTo>
                                  <a:pt x="63677" y="409436"/>
                                </a:lnTo>
                                <a:lnTo>
                                  <a:pt x="45311" y="453399"/>
                                </a:lnTo>
                                <a:lnTo>
                                  <a:pt x="29943" y="498497"/>
                                </a:lnTo>
                                <a:lnTo>
                                  <a:pt x="17771" y="544033"/>
                                </a:lnTo>
                                <a:lnTo>
                                  <a:pt x="8753" y="589863"/>
                                </a:lnTo>
                                <a:lnTo>
                                  <a:pt x="2843" y="635843"/>
                                </a:lnTo>
                                <a:lnTo>
                                  <a:pt x="0" y="681831"/>
                                </a:lnTo>
                                <a:lnTo>
                                  <a:pt x="177" y="727683"/>
                                </a:lnTo>
                                <a:lnTo>
                                  <a:pt x="3333" y="773255"/>
                                </a:lnTo>
                                <a:lnTo>
                                  <a:pt x="9424" y="818404"/>
                                </a:lnTo>
                                <a:lnTo>
                                  <a:pt x="18405" y="862986"/>
                                </a:lnTo>
                                <a:lnTo>
                                  <a:pt x="30233" y="906858"/>
                                </a:lnTo>
                                <a:lnTo>
                                  <a:pt x="44864" y="949876"/>
                                </a:lnTo>
                                <a:lnTo>
                                  <a:pt x="62255" y="991897"/>
                                </a:lnTo>
                                <a:lnTo>
                                  <a:pt x="82362" y="1032778"/>
                                </a:lnTo>
                                <a:lnTo>
                                  <a:pt x="105141" y="1072374"/>
                                </a:lnTo>
                                <a:lnTo>
                                  <a:pt x="130548" y="1110543"/>
                                </a:lnTo>
                                <a:lnTo>
                                  <a:pt x="158541" y="1147141"/>
                                </a:lnTo>
                                <a:lnTo>
                                  <a:pt x="189075" y="1182024"/>
                                </a:lnTo>
                                <a:lnTo>
                                  <a:pt x="222106" y="1215049"/>
                                </a:lnTo>
                                <a:lnTo>
                                  <a:pt x="257591" y="1246073"/>
                                </a:lnTo>
                                <a:lnTo>
                                  <a:pt x="295486" y="1274952"/>
                                </a:lnTo>
                                <a:lnTo>
                                  <a:pt x="335237" y="1301217"/>
                                </a:lnTo>
                                <a:lnTo>
                                  <a:pt x="376219" y="1324500"/>
                                </a:lnTo>
                                <a:lnTo>
                                  <a:pt x="418282" y="1344807"/>
                                </a:lnTo>
                                <a:lnTo>
                                  <a:pt x="461278" y="1362143"/>
                                </a:lnTo>
                                <a:lnTo>
                                  <a:pt x="505054" y="1376516"/>
                                </a:lnTo>
                                <a:lnTo>
                                  <a:pt x="549463" y="1387930"/>
                                </a:lnTo>
                                <a:lnTo>
                                  <a:pt x="594353" y="1396393"/>
                                </a:lnTo>
                                <a:lnTo>
                                  <a:pt x="639576" y="1401909"/>
                                </a:lnTo>
                                <a:lnTo>
                                  <a:pt x="684981" y="1404485"/>
                                </a:lnTo>
                                <a:lnTo>
                                  <a:pt x="730418" y="1404127"/>
                                </a:lnTo>
                                <a:lnTo>
                                  <a:pt x="775737" y="1400841"/>
                                </a:lnTo>
                                <a:lnTo>
                                  <a:pt x="820789" y="1394633"/>
                                </a:lnTo>
                                <a:lnTo>
                                  <a:pt x="865424" y="1385509"/>
                                </a:lnTo>
                                <a:lnTo>
                                  <a:pt x="909491" y="1373475"/>
                                </a:lnTo>
                                <a:lnTo>
                                  <a:pt x="952841" y="1358537"/>
                                </a:lnTo>
                                <a:lnTo>
                                  <a:pt x="995325" y="1340701"/>
                                </a:lnTo>
                                <a:lnTo>
                                  <a:pt x="1036792" y="1319973"/>
                                </a:lnTo>
                                <a:lnTo>
                                  <a:pt x="1077092" y="1296359"/>
                                </a:lnTo>
                                <a:lnTo>
                                  <a:pt x="1116076" y="1269866"/>
                                </a:lnTo>
                                <a:lnTo>
                                  <a:pt x="1153593" y="1240498"/>
                                </a:lnTo>
                                <a:lnTo>
                                  <a:pt x="927914" y="971361"/>
                                </a:lnTo>
                                <a:lnTo>
                                  <a:pt x="889663" y="999292"/>
                                </a:lnTo>
                                <a:lnTo>
                                  <a:pt x="848780" y="1021463"/>
                                </a:lnTo>
                                <a:lnTo>
                                  <a:pt x="805863" y="1037850"/>
                                </a:lnTo>
                                <a:lnTo>
                                  <a:pt x="761512" y="1048429"/>
                                </a:lnTo>
                                <a:lnTo>
                                  <a:pt x="716326" y="1053175"/>
                                </a:lnTo>
                                <a:lnTo>
                                  <a:pt x="670905" y="1052066"/>
                                </a:lnTo>
                                <a:lnTo>
                                  <a:pt x="625849" y="1045077"/>
                                </a:lnTo>
                                <a:lnTo>
                                  <a:pt x="581756" y="1032183"/>
                                </a:lnTo>
                                <a:lnTo>
                                  <a:pt x="539226" y="1013361"/>
                                </a:lnTo>
                                <a:lnTo>
                                  <a:pt x="498860" y="988587"/>
                                </a:lnTo>
                                <a:lnTo>
                                  <a:pt x="462170" y="958636"/>
                                </a:lnTo>
                                <a:lnTo>
                                  <a:pt x="430387" y="924682"/>
                                </a:lnTo>
                                <a:lnTo>
                                  <a:pt x="403687" y="887299"/>
                                </a:lnTo>
                                <a:lnTo>
                                  <a:pt x="382245" y="847060"/>
                                </a:lnTo>
                                <a:lnTo>
                                  <a:pt x="366233" y="804541"/>
                                </a:lnTo>
                                <a:lnTo>
                                  <a:pt x="355829" y="760314"/>
                                </a:lnTo>
                                <a:lnTo>
                                  <a:pt x="351206" y="714953"/>
                                </a:lnTo>
                                <a:lnTo>
                                  <a:pt x="352539" y="669034"/>
                                </a:lnTo>
                                <a:lnTo>
                                  <a:pt x="360003" y="623129"/>
                                </a:lnTo>
                                <a:lnTo>
                                  <a:pt x="373773" y="577812"/>
                                </a:lnTo>
                                <a:lnTo>
                                  <a:pt x="393481" y="534744"/>
                                </a:lnTo>
                                <a:lnTo>
                                  <a:pt x="418302" y="495413"/>
                                </a:lnTo>
                                <a:lnTo>
                                  <a:pt x="447725" y="460133"/>
                                </a:lnTo>
                                <a:lnTo>
                                  <a:pt x="481239" y="429218"/>
                                </a:lnTo>
                                <a:lnTo>
                                  <a:pt x="518333" y="402982"/>
                                </a:lnTo>
                                <a:lnTo>
                                  <a:pt x="558496" y="381739"/>
                                </a:lnTo>
                                <a:lnTo>
                                  <a:pt x="601216" y="365804"/>
                                </a:lnTo>
                                <a:lnTo>
                                  <a:pt x="645982" y="355490"/>
                                </a:lnTo>
                                <a:lnTo>
                                  <a:pt x="692284" y="351112"/>
                                </a:lnTo>
                                <a:lnTo>
                                  <a:pt x="739610" y="352984"/>
                                </a:lnTo>
                                <a:lnTo>
                                  <a:pt x="776984" y="3743"/>
                                </a:lnTo>
                                <a:lnTo>
                                  <a:pt x="729467" y="269"/>
                                </a:lnTo>
                                <a:lnTo>
                                  <a:pt x="682333" y="0"/>
                                </a:lnTo>
                                <a:close/>
                              </a:path>
                            </a:pathLst>
                          </a:custGeom>
                          <a:solidFill>
                            <a:srgbClr val="959595"/>
                          </a:solidFill>
                        </wps:spPr>
                        <wps:bodyPr wrap="square" lIns="0" tIns="0" rIns="0" bIns="0" rtlCol="0">
                          <a:prstTxWarp prst="textNoShape">
                            <a:avLst/>
                          </a:prstTxWarp>
                          <a:noAutofit/>
                        </wps:bodyPr>
                      </wps:wsp>
                      <wps:wsp>
                        <wps:cNvPr id="453" name="Graphic 453"/>
                        <wps:cNvSpPr/>
                        <wps:spPr>
                          <a:xfrm>
                            <a:off x="1418849" y="254093"/>
                            <a:ext cx="664845" cy="1236345"/>
                          </a:xfrm>
                          <a:custGeom>
                            <a:avLst/>
                            <a:gdLst/>
                            <a:ahLst/>
                            <a:cxnLst/>
                            <a:rect l="l" t="t" r="r" b="b"/>
                            <a:pathLst>
                              <a:path w="664845" h="1236345">
                                <a:moveTo>
                                  <a:pt x="37724" y="0"/>
                                </a:moveTo>
                                <a:lnTo>
                                  <a:pt x="0" y="349203"/>
                                </a:lnTo>
                                <a:lnTo>
                                  <a:pt x="45723" y="357217"/>
                                </a:lnTo>
                                <a:lnTo>
                                  <a:pt x="89334" y="370941"/>
                                </a:lnTo>
                                <a:lnTo>
                                  <a:pt x="130391" y="390008"/>
                                </a:lnTo>
                                <a:lnTo>
                                  <a:pt x="168451" y="414050"/>
                                </a:lnTo>
                                <a:lnTo>
                                  <a:pt x="203069" y="442701"/>
                                </a:lnTo>
                                <a:lnTo>
                                  <a:pt x="233803" y="475594"/>
                                </a:lnTo>
                                <a:lnTo>
                                  <a:pt x="260209" y="512362"/>
                                </a:lnTo>
                                <a:lnTo>
                                  <a:pt x="281845" y="552639"/>
                                </a:lnTo>
                                <a:lnTo>
                                  <a:pt x="298267" y="596057"/>
                                </a:lnTo>
                                <a:lnTo>
                                  <a:pt x="308839" y="641258"/>
                                </a:lnTo>
                                <a:lnTo>
                                  <a:pt x="313332" y="686756"/>
                                </a:lnTo>
                                <a:lnTo>
                                  <a:pt x="311909" y="732002"/>
                                </a:lnTo>
                                <a:lnTo>
                                  <a:pt x="304732" y="776444"/>
                                </a:lnTo>
                                <a:lnTo>
                                  <a:pt x="291966" y="819529"/>
                                </a:lnTo>
                                <a:lnTo>
                                  <a:pt x="273773" y="860706"/>
                                </a:lnTo>
                                <a:lnTo>
                                  <a:pt x="250318" y="899424"/>
                                </a:lnTo>
                                <a:lnTo>
                                  <a:pt x="221764" y="935130"/>
                                </a:lnTo>
                                <a:lnTo>
                                  <a:pt x="188273" y="967275"/>
                                </a:lnTo>
                                <a:lnTo>
                                  <a:pt x="414271" y="1236144"/>
                                </a:lnTo>
                                <a:lnTo>
                                  <a:pt x="450941" y="1203064"/>
                                </a:lnTo>
                                <a:lnTo>
                                  <a:pt x="484887" y="1167841"/>
                                </a:lnTo>
                                <a:lnTo>
                                  <a:pt x="516062" y="1130640"/>
                                </a:lnTo>
                                <a:lnTo>
                                  <a:pt x="544415" y="1091623"/>
                                </a:lnTo>
                                <a:lnTo>
                                  <a:pt x="569899" y="1050955"/>
                                </a:lnTo>
                                <a:lnTo>
                                  <a:pt x="592466" y="1008800"/>
                                </a:lnTo>
                                <a:lnTo>
                                  <a:pt x="612067" y="965320"/>
                                </a:lnTo>
                                <a:lnTo>
                                  <a:pt x="628652" y="920679"/>
                                </a:lnTo>
                                <a:lnTo>
                                  <a:pt x="642175" y="875042"/>
                                </a:lnTo>
                                <a:lnTo>
                                  <a:pt x="652586" y="828572"/>
                                </a:lnTo>
                                <a:lnTo>
                                  <a:pt x="659836" y="781433"/>
                                </a:lnTo>
                                <a:lnTo>
                                  <a:pt x="663878" y="733788"/>
                                </a:lnTo>
                                <a:lnTo>
                                  <a:pt x="664663" y="685801"/>
                                </a:lnTo>
                                <a:lnTo>
                                  <a:pt x="662142" y="637636"/>
                                </a:lnTo>
                                <a:lnTo>
                                  <a:pt x="656266" y="589457"/>
                                </a:lnTo>
                                <a:lnTo>
                                  <a:pt x="646988" y="541427"/>
                                </a:lnTo>
                                <a:lnTo>
                                  <a:pt x="634259" y="493709"/>
                                </a:lnTo>
                                <a:lnTo>
                                  <a:pt x="618224" y="446999"/>
                                </a:lnTo>
                                <a:lnTo>
                                  <a:pt x="599150" y="401953"/>
                                </a:lnTo>
                                <a:lnTo>
                                  <a:pt x="577168" y="358680"/>
                                </a:lnTo>
                                <a:lnTo>
                                  <a:pt x="552409" y="317289"/>
                                </a:lnTo>
                                <a:lnTo>
                                  <a:pt x="525005" y="277889"/>
                                </a:lnTo>
                                <a:lnTo>
                                  <a:pt x="495087" y="240589"/>
                                </a:lnTo>
                                <a:lnTo>
                                  <a:pt x="462788" y="205497"/>
                                </a:lnTo>
                                <a:lnTo>
                                  <a:pt x="428238" y="172723"/>
                                </a:lnTo>
                                <a:lnTo>
                                  <a:pt x="391569" y="142375"/>
                                </a:lnTo>
                                <a:lnTo>
                                  <a:pt x="352913" y="114562"/>
                                </a:lnTo>
                                <a:lnTo>
                                  <a:pt x="312401" y="89393"/>
                                </a:lnTo>
                                <a:lnTo>
                                  <a:pt x="270165" y="66977"/>
                                </a:lnTo>
                                <a:lnTo>
                                  <a:pt x="226336" y="47422"/>
                                </a:lnTo>
                                <a:lnTo>
                                  <a:pt x="181046" y="30839"/>
                                </a:lnTo>
                                <a:lnTo>
                                  <a:pt x="134426" y="17334"/>
                                </a:lnTo>
                                <a:lnTo>
                                  <a:pt x="86608" y="7018"/>
                                </a:lnTo>
                                <a:lnTo>
                                  <a:pt x="37724" y="0"/>
                                </a:lnTo>
                                <a:close/>
                              </a:path>
                            </a:pathLst>
                          </a:custGeom>
                          <a:solidFill>
                            <a:srgbClr val="585858"/>
                          </a:solidFill>
                        </wps:spPr>
                        <wps:bodyPr wrap="square" lIns="0" tIns="0" rIns="0" bIns="0" rtlCol="0">
                          <a:prstTxWarp prst="textNoShape">
                            <a:avLst/>
                          </a:prstTxWarp>
                          <a:noAutofit/>
                        </wps:bodyPr>
                      </wps:wsp>
                      <wps:wsp>
                        <wps:cNvPr id="454" name="Textbox 454"/>
                        <wps:cNvSpPr txBox="1"/>
                        <wps:spPr>
                          <a:xfrm>
                            <a:off x="9525" y="9525"/>
                            <a:ext cx="2743200" cy="1885950"/>
                          </a:xfrm>
                          <a:prstGeom prst="rect">
                            <a:avLst/>
                          </a:prstGeom>
                          <a:ln w="19050">
                            <a:solidFill>
                              <a:srgbClr val="000000"/>
                            </a:solidFill>
                            <a:prstDash val="solid"/>
                          </a:ln>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98"/>
                                <w:rPr>
                                  <w:sz w:val="16"/>
                                </w:rPr>
                              </w:pPr>
                            </w:p>
                            <w:p>
                              <w:pPr>
                                <w:spacing w:line="249" w:lineRule="auto" w:before="0"/>
                                <w:ind w:left="3320" w:right="506" w:firstLine="0"/>
                                <w:jc w:val="left"/>
                                <w:rPr>
                                  <w:rFonts w:ascii="Arial MT"/>
                                  <w:sz w:val="16"/>
                                </w:rPr>
                              </w:pPr>
                              <w:r>
                                <w:rPr>
                                  <w:rFonts w:ascii="Arial MT"/>
                                  <w:sz w:val="16"/>
                                </w:rPr>
                                <w:t>AA &amp; </w:t>
                              </w:r>
                              <w:r>
                                <w:rPr>
                                  <w:rFonts w:ascii="Arial MT"/>
                                  <w:spacing w:val="-2"/>
                                  <w:sz w:val="16"/>
                                </w:rPr>
                                <w:t>Above </w:t>
                              </w:r>
                              <w:r>
                                <w:rPr>
                                  <w:rFonts w:ascii="Arial MT"/>
                                  <w:spacing w:val="-4"/>
                                  <w:sz w:val="16"/>
                                </w:rPr>
                                <w:t>37%</w:t>
                              </w:r>
                            </w:p>
                            <w:p>
                              <w:pPr>
                                <w:spacing w:line="240" w:lineRule="auto" w:before="55"/>
                                <w:rPr>
                                  <w:rFonts w:ascii="Arial MT"/>
                                  <w:sz w:val="16"/>
                                </w:rPr>
                              </w:pPr>
                            </w:p>
                            <w:p>
                              <w:pPr>
                                <w:spacing w:line="249" w:lineRule="auto" w:before="0"/>
                                <w:ind w:left="291" w:right="3297" w:firstLine="0"/>
                                <w:jc w:val="left"/>
                                <w:rPr>
                                  <w:rFonts w:ascii="Arial MT"/>
                                  <w:sz w:val="16"/>
                                </w:rPr>
                              </w:pPr>
                              <w:r>
                                <w:rPr>
                                  <w:rFonts w:ascii="Arial MT"/>
                                  <w:sz w:val="16"/>
                                </w:rPr>
                                <w:t>Below</w:t>
                              </w:r>
                              <w:r>
                                <w:rPr>
                                  <w:rFonts w:ascii="Arial MT"/>
                                  <w:spacing w:val="-12"/>
                                  <w:sz w:val="16"/>
                                </w:rPr>
                                <w:t> </w:t>
                              </w:r>
                              <w:r>
                                <w:rPr>
                                  <w:rFonts w:ascii="Arial MT"/>
                                  <w:sz w:val="16"/>
                                </w:rPr>
                                <w:t>AA </w:t>
                              </w:r>
                              <w:r>
                                <w:rPr>
                                  <w:rFonts w:ascii="Arial MT"/>
                                  <w:spacing w:val="-4"/>
                                  <w:sz w:val="16"/>
                                </w:rPr>
                                <w:t>63%</w:t>
                              </w:r>
                            </w:p>
                          </w:txbxContent>
                        </wps:txbx>
                        <wps:bodyPr wrap="square" lIns="0" tIns="0" rIns="0" bIns="0" rtlCol="0">
                          <a:noAutofit/>
                        </wps:bodyPr>
                      </wps:wsp>
                    </wpg:wgp>
                  </a:graphicData>
                </a:graphic>
              </wp:inline>
            </w:drawing>
          </mc:Choice>
          <mc:Fallback>
            <w:pict>
              <v:group style="width:217.5pt;height:150pt;mso-position-horizontal-relative:char;mso-position-vertical-relative:line" id="docshapegroup377" coordorigin="0,0" coordsize="4350,3000">
                <v:shape style="position:absolute;left:1069;top:394;width:1817;height:2212" id="docshape378" coordorigin="1069,394" coordsize="1817,2212" path="m2144,394l2070,399,1998,408,1927,422,1857,440,1789,463,1722,491,1658,522,1596,558,1536,597,1479,640,1425,687,1373,738,1325,791,1281,849,1240,909,1203,973,1169,1039,1140,1108,1116,1179,1097,1251,1083,1323,1074,1395,1069,1468,1069,1540,1074,1612,1084,1683,1098,1753,1117,1822,1140,1890,1167,1956,1199,2021,1235,2083,1275,2143,1319,2201,1367,2256,1419,2308,1475,2356,1534,2402,1597,2443,1662,2480,1728,2512,1796,2539,1864,2562,1934,2580,2005,2593,2076,2602,2148,2606,2219,2605,2291,2600,2362,2590,2432,2576,2501,2557,2570,2534,2637,2505,2702,2473,2765,2436,2827,2394,2886,2348,2530,1924,2470,1968,2406,2003,2338,2029,2268,2045,2197,2053,2126,2051,2055,2040,1985,2020,1918,1990,1855,1951,1797,1904,1747,1850,1705,1791,1671,1728,1646,1661,1629,1591,1622,1520,1624,1448,1636,1375,1658,1304,1689,1236,1728,1174,1774,1119,1827,1070,1885,1029,1949,995,2016,970,2086,954,2159,947,2234,950,2293,400,2218,395,2144,394xe" filled="true" fillcolor="#959595" stroked="false">
                  <v:path arrowok="t"/>
                  <v:fill type="solid"/>
                </v:shape>
                <v:shape style="position:absolute;left:2234;top:400;width:1047;height:1947" id="docshape379" coordorigin="2234,400" coordsize="1047,1947" path="m2294,400l2234,950,2306,963,2375,984,2440,1014,2500,1052,2554,1097,2603,1149,2644,1207,2678,1270,2704,1339,2721,1410,2728,1482,2726,1553,2714,1623,2694,1691,2666,1756,2629,1817,2584,1873,2531,1923,2887,2347,2945,2295,2998,2239,3047,2181,3092,2119,3132,2055,3167,1989,3198,1920,3224,1850,3246,1778,3262,1705,3274,1631,3280,1556,3281,1480,3277,1404,3268,1328,3253,1253,3233,1178,3208,1104,3178,1033,3143,965,3104,900,3061,838,3014,779,2963,724,2909,672,2851,624,2790,581,2726,541,2660,506,2591,475,2520,449,2446,427,2371,411,2294,400xe" filled="true" fillcolor="#585858" stroked="false">
                  <v:path arrowok="t"/>
                  <v:fill type="solid"/>
                </v:shape>
                <v:shape style="position:absolute;left:15;top:15;width:4320;height:2970" type="#_x0000_t202" id="docshape380" filled="false" stroked="true" strokeweight="1.5pt" strokecolor="#000000">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98"/>
                          <w:rPr>
                            <w:sz w:val="16"/>
                          </w:rPr>
                        </w:pPr>
                      </w:p>
                      <w:p>
                        <w:pPr>
                          <w:spacing w:line="249" w:lineRule="auto" w:before="0"/>
                          <w:ind w:left="3320" w:right="506" w:firstLine="0"/>
                          <w:jc w:val="left"/>
                          <w:rPr>
                            <w:rFonts w:ascii="Arial MT"/>
                            <w:sz w:val="16"/>
                          </w:rPr>
                        </w:pPr>
                        <w:r>
                          <w:rPr>
                            <w:rFonts w:ascii="Arial MT"/>
                            <w:sz w:val="16"/>
                          </w:rPr>
                          <w:t>AA &amp; </w:t>
                        </w:r>
                        <w:r>
                          <w:rPr>
                            <w:rFonts w:ascii="Arial MT"/>
                            <w:spacing w:val="-2"/>
                            <w:sz w:val="16"/>
                          </w:rPr>
                          <w:t>Above </w:t>
                        </w:r>
                        <w:r>
                          <w:rPr>
                            <w:rFonts w:ascii="Arial MT"/>
                            <w:spacing w:val="-4"/>
                            <w:sz w:val="16"/>
                          </w:rPr>
                          <w:t>37%</w:t>
                        </w:r>
                      </w:p>
                      <w:p>
                        <w:pPr>
                          <w:spacing w:line="240" w:lineRule="auto" w:before="55"/>
                          <w:rPr>
                            <w:rFonts w:ascii="Arial MT"/>
                            <w:sz w:val="16"/>
                          </w:rPr>
                        </w:pPr>
                      </w:p>
                      <w:p>
                        <w:pPr>
                          <w:spacing w:line="249" w:lineRule="auto" w:before="0"/>
                          <w:ind w:left="291" w:right="3297" w:firstLine="0"/>
                          <w:jc w:val="left"/>
                          <w:rPr>
                            <w:rFonts w:ascii="Arial MT"/>
                            <w:sz w:val="16"/>
                          </w:rPr>
                        </w:pPr>
                        <w:r>
                          <w:rPr>
                            <w:rFonts w:ascii="Arial MT"/>
                            <w:sz w:val="16"/>
                          </w:rPr>
                          <w:t>Below</w:t>
                        </w:r>
                        <w:r>
                          <w:rPr>
                            <w:rFonts w:ascii="Arial MT"/>
                            <w:spacing w:val="-12"/>
                            <w:sz w:val="16"/>
                          </w:rPr>
                          <w:t> </w:t>
                        </w:r>
                        <w:r>
                          <w:rPr>
                            <w:rFonts w:ascii="Arial MT"/>
                            <w:sz w:val="16"/>
                          </w:rPr>
                          <w:t>AA </w:t>
                        </w:r>
                        <w:r>
                          <w:rPr>
                            <w:rFonts w:ascii="Arial MT"/>
                            <w:spacing w:val="-4"/>
                            <w:sz w:val="16"/>
                          </w:rPr>
                          <w:t>63%</w:t>
                        </w:r>
                      </w:p>
                    </w:txbxContent>
                  </v:textbox>
                  <v:stroke dashstyle="solid"/>
                  <w10:wrap type="none"/>
                </v:shape>
              </v:group>
            </w:pict>
          </mc:Fallback>
        </mc:AlternateContent>
      </w:r>
      <w:r>
        <w:rPr>
          <w:rFonts w:ascii="Arial"/>
          <w:spacing w:val="110"/>
          <w:sz w:val="20"/>
        </w:rPr>
      </w:r>
    </w:p>
    <w:p>
      <w:pPr>
        <w:pStyle w:val="BodyText"/>
        <w:spacing w:before="14"/>
        <w:rPr>
          <w:rFonts w:ascii="Arial"/>
          <w:b/>
          <w:sz w:val="18"/>
        </w:rPr>
      </w:pPr>
    </w:p>
    <w:p>
      <w:pPr>
        <w:spacing w:before="0"/>
        <w:ind w:left="772" w:right="0" w:firstLine="0"/>
        <w:jc w:val="left"/>
        <w:rPr>
          <w:rFonts w:ascii="Arial"/>
          <w:b/>
          <w:sz w:val="18"/>
        </w:rPr>
      </w:pPr>
      <w:bookmarkStart w:name="_bookmark63" w:id="94"/>
      <w:bookmarkEnd w:id="94"/>
      <w:r>
        <w:rPr/>
      </w:r>
      <w:r>
        <w:rPr>
          <w:rFonts w:ascii="Arial"/>
          <w:b/>
          <w:sz w:val="18"/>
        </w:rPr>
        <w:t>Table</w:t>
      </w:r>
      <w:r>
        <w:rPr>
          <w:rFonts w:ascii="Arial"/>
          <w:b/>
          <w:spacing w:val="-5"/>
          <w:sz w:val="18"/>
        </w:rPr>
        <w:t> </w:t>
      </w:r>
      <w:r>
        <w:rPr>
          <w:rFonts w:ascii="Arial"/>
          <w:b/>
          <w:sz w:val="18"/>
        </w:rPr>
        <w:t>25:</w:t>
      </w:r>
      <w:r>
        <w:rPr>
          <w:rFonts w:ascii="Arial"/>
          <w:b/>
          <w:spacing w:val="-2"/>
          <w:sz w:val="18"/>
        </w:rPr>
        <w:t> </w:t>
      </w:r>
      <w:r>
        <w:rPr>
          <w:rFonts w:ascii="Arial"/>
          <w:b/>
          <w:sz w:val="18"/>
        </w:rPr>
        <w:t>Breakdown</w:t>
      </w:r>
      <w:r>
        <w:rPr>
          <w:rFonts w:ascii="Arial"/>
          <w:b/>
          <w:spacing w:val="-2"/>
          <w:sz w:val="18"/>
        </w:rPr>
        <w:t> </w:t>
      </w:r>
      <w:r>
        <w:rPr>
          <w:rFonts w:ascii="Arial"/>
          <w:b/>
          <w:sz w:val="18"/>
        </w:rPr>
        <w:t>of</w:t>
      </w:r>
      <w:r>
        <w:rPr>
          <w:rFonts w:ascii="Arial"/>
          <w:b/>
          <w:spacing w:val="-3"/>
          <w:sz w:val="18"/>
        </w:rPr>
        <w:t> </w:t>
      </w:r>
      <w:r>
        <w:rPr>
          <w:rFonts w:ascii="Arial"/>
          <w:b/>
          <w:sz w:val="18"/>
        </w:rPr>
        <w:t>IBRD</w:t>
      </w:r>
      <w:r>
        <w:rPr>
          <w:rFonts w:ascii="Arial"/>
          <w:b/>
          <w:spacing w:val="-2"/>
          <w:sz w:val="18"/>
        </w:rPr>
        <w:t> </w:t>
      </w:r>
      <w:r>
        <w:rPr>
          <w:rFonts w:ascii="Arial"/>
          <w:b/>
          <w:sz w:val="18"/>
        </w:rPr>
        <w:t>Subscribed</w:t>
      </w:r>
      <w:r>
        <w:rPr>
          <w:rFonts w:ascii="Arial"/>
          <w:b/>
          <w:spacing w:val="-2"/>
          <w:sz w:val="18"/>
        </w:rPr>
        <w:t> Capital</w:t>
      </w:r>
    </w:p>
    <w:p>
      <w:pPr>
        <w:spacing w:before="54"/>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2"/>
          <w:sz w:val="16"/>
        </w:rPr>
        <w:t> </w:t>
      </w:r>
      <w:r>
        <w:rPr>
          <w:rFonts w:ascii="Arial"/>
          <w:i/>
          <w:sz w:val="16"/>
        </w:rPr>
        <w:t>ratios</w:t>
      </w:r>
      <w:r>
        <w:rPr>
          <w:rFonts w:ascii="Arial"/>
          <w:i/>
          <w:spacing w:val="-2"/>
          <w:sz w:val="16"/>
        </w:rPr>
        <w:t> </w:t>
      </w:r>
      <w:r>
        <w:rPr>
          <w:rFonts w:ascii="Arial"/>
          <w:i/>
          <w:sz w:val="16"/>
        </w:rPr>
        <w:t>which</w:t>
      </w:r>
      <w:r>
        <w:rPr>
          <w:rFonts w:ascii="Arial"/>
          <w:i/>
          <w:spacing w:val="-4"/>
          <w:sz w:val="16"/>
        </w:rPr>
        <w:t> </w:t>
      </w:r>
      <w:r>
        <w:rPr>
          <w:rFonts w:ascii="Arial"/>
          <w:i/>
          <w:sz w:val="16"/>
        </w:rPr>
        <w:t>are</w:t>
      </w:r>
      <w:r>
        <w:rPr>
          <w:rFonts w:ascii="Arial"/>
          <w:i/>
          <w:spacing w:val="-3"/>
          <w:sz w:val="16"/>
        </w:rPr>
        <w:t> </w:t>
      </w:r>
      <w:r>
        <w:rPr>
          <w:rFonts w:ascii="Arial"/>
          <w:i/>
          <w:sz w:val="16"/>
        </w:rPr>
        <w:t>in</w:t>
      </w:r>
      <w:r>
        <w:rPr>
          <w:rFonts w:ascii="Arial"/>
          <w:i/>
          <w:spacing w:val="-3"/>
          <w:sz w:val="16"/>
        </w:rPr>
        <w:t> </w:t>
      </w:r>
      <w:r>
        <w:rPr>
          <w:rFonts w:ascii="Arial"/>
          <w:i/>
          <w:spacing w:val="-2"/>
          <w:sz w:val="16"/>
        </w:rPr>
        <w:t>percentages</w:t>
      </w:r>
    </w:p>
    <w:p>
      <w:pPr>
        <w:pStyle w:val="BodyText"/>
        <w:spacing w:before="4"/>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0"/>
        <w:gridCol w:w="679"/>
        <w:gridCol w:w="1638"/>
        <w:gridCol w:w="1666"/>
        <w:gridCol w:w="1240"/>
      </w:tblGrid>
      <w:tr>
        <w:trPr>
          <w:trHeight w:val="202" w:hRule="atLeast"/>
        </w:trPr>
        <w:tc>
          <w:tcPr>
            <w:tcW w:w="4140" w:type="dxa"/>
            <w:tcBorders>
              <w:bottom w:val="single" w:sz="8" w:space="0" w:color="6C6C6C"/>
            </w:tcBorders>
          </w:tcPr>
          <w:p>
            <w:pPr>
              <w:pStyle w:val="TableParagraph"/>
              <w:spacing w:line="179" w:lineRule="exact"/>
              <w:ind w:left="108"/>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679" w:type="dxa"/>
            <w:tcBorders>
              <w:bottom w:val="single" w:sz="8" w:space="0" w:color="6C6C6C"/>
            </w:tcBorders>
          </w:tcPr>
          <w:p>
            <w:pPr>
              <w:pStyle w:val="TableParagraph"/>
              <w:spacing w:line="179" w:lineRule="exact"/>
              <w:ind w:left="221"/>
              <w:rPr>
                <w:rFonts w:ascii="Arial"/>
                <w:i/>
                <w:sz w:val="16"/>
              </w:rPr>
            </w:pPr>
            <w:r>
              <w:rPr>
                <w:rFonts w:ascii="Arial"/>
                <w:i/>
                <w:color w:val="484848"/>
                <w:spacing w:val="-10"/>
                <w:sz w:val="16"/>
              </w:rPr>
              <w:t>%</w:t>
            </w:r>
          </w:p>
        </w:tc>
        <w:tc>
          <w:tcPr>
            <w:tcW w:w="1638" w:type="dxa"/>
            <w:tcBorders>
              <w:bottom w:val="single" w:sz="8" w:space="0" w:color="6C6C6C"/>
            </w:tcBorders>
          </w:tcPr>
          <w:p>
            <w:pPr>
              <w:pStyle w:val="TableParagraph"/>
              <w:spacing w:line="179" w:lineRule="exact"/>
              <w:ind w:right="127"/>
              <w:jc w:val="right"/>
              <w:rPr>
                <w:rFonts w:ascii="Arial"/>
                <w:i/>
                <w:sz w:val="16"/>
              </w:rPr>
            </w:pPr>
            <w:r>
              <w:rPr>
                <w:rFonts w:ascii="Arial"/>
                <w:i/>
                <w:color w:val="484848"/>
                <w:spacing w:val="-4"/>
                <w:sz w:val="16"/>
              </w:rPr>
              <w:t>2023</w:t>
            </w:r>
          </w:p>
        </w:tc>
        <w:tc>
          <w:tcPr>
            <w:tcW w:w="1666" w:type="dxa"/>
            <w:tcBorders>
              <w:bottom w:val="single" w:sz="8" w:space="0" w:color="6C6C6C"/>
            </w:tcBorders>
          </w:tcPr>
          <w:p>
            <w:pPr>
              <w:pStyle w:val="TableParagraph"/>
              <w:spacing w:line="179" w:lineRule="exact"/>
              <w:ind w:right="128"/>
              <w:jc w:val="right"/>
              <w:rPr>
                <w:rFonts w:ascii="Arial"/>
                <w:i/>
                <w:sz w:val="16"/>
              </w:rPr>
            </w:pPr>
            <w:r>
              <w:rPr>
                <w:rFonts w:ascii="Arial"/>
                <w:i/>
                <w:color w:val="484848"/>
                <w:spacing w:val="-4"/>
                <w:sz w:val="16"/>
              </w:rPr>
              <w:t>2022</w:t>
            </w:r>
          </w:p>
        </w:tc>
        <w:tc>
          <w:tcPr>
            <w:tcW w:w="1240" w:type="dxa"/>
            <w:tcBorders>
              <w:bottom w:val="single" w:sz="8" w:space="0" w:color="6C6C6C"/>
            </w:tcBorders>
          </w:tcPr>
          <w:p>
            <w:pPr>
              <w:pStyle w:val="TableParagraph"/>
              <w:spacing w:line="179" w:lineRule="exact"/>
              <w:ind w:right="108"/>
              <w:jc w:val="right"/>
              <w:rPr>
                <w:rFonts w:ascii="Arial"/>
                <w:i/>
                <w:sz w:val="16"/>
              </w:rPr>
            </w:pPr>
            <w:r>
              <w:rPr>
                <w:rFonts w:ascii="Arial"/>
                <w:i/>
                <w:color w:val="484848"/>
                <w:spacing w:val="-2"/>
                <w:sz w:val="16"/>
              </w:rPr>
              <w:t>Variance</w:t>
            </w:r>
          </w:p>
        </w:tc>
      </w:tr>
      <w:tr>
        <w:trPr>
          <w:trHeight w:val="467" w:hRule="atLeast"/>
        </w:trPr>
        <w:tc>
          <w:tcPr>
            <w:tcW w:w="4140" w:type="dxa"/>
            <w:tcBorders>
              <w:top w:val="single" w:sz="8" w:space="0" w:color="6C6C6C"/>
            </w:tcBorders>
          </w:tcPr>
          <w:p>
            <w:pPr>
              <w:pStyle w:val="TableParagraph"/>
              <w:spacing w:before="12"/>
              <w:ind w:left="108"/>
              <w:rPr>
                <w:sz w:val="16"/>
              </w:rPr>
            </w:pPr>
            <w:r>
              <w:rPr>
                <w:sz w:val="16"/>
              </w:rPr>
              <w:t>Subscribed</w:t>
            </w:r>
            <w:r>
              <w:rPr>
                <w:spacing w:val="-6"/>
                <w:sz w:val="16"/>
              </w:rPr>
              <w:t> </w:t>
            </w:r>
            <w:r>
              <w:rPr>
                <w:spacing w:val="-2"/>
                <w:sz w:val="16"/>
              </w:rPr>
              <w:t>capital</w:t>
            </w:r>
          </w:p>
          <w:p>
            <w:pPr>
              <w:pStyle w:val="TableParagraph"/>
              <w:spacing w:before="56"/>
              <w:ind w:left="267"/>
              <w:rPr>
                <w:sz w:val="16"/>
              </w:rPr>
            </w:pPr>
            <w:r>
              <w:rPr>
                <w:sz w:val="16"/>
              </w:rPr>
              <w:t>Uncalled</w:t>
            </w:r>
            <w:r>
              <w:rPr>
                <w:spacing w:val="-7"/>
                <w:sz w:val="16"/>
              </w:rPr>
              <w:t> </w:t>
            </w:r>
            <w:r>
              <w:rPr>
                <w:sz w:val="16"/>
              </w:rPr>
              <w:t>Subscribed</w:t>
            </w:r>
            <w:r>
              <w:rPr>
                <w:spacing w:val="-6"/>
                <w:sz w:val="16"/>
              </w:rPr>
              <w:t> </w:t>
            </w:r>
            <w:r>
              <w:rPr>
                <w:spacing w:val="-2"/>
                <w:sz w:val="16"/>
              </w:rPr>
              <w:t>capital</w:t>
            </w:r>
          </w:p>
        </w:tc>
        <w:tc>
          <w:tcPr>
            <w:tcW w:w="679" w:type="dxa"/>
            <w:tcBorders>
              <w:top w:val="single" w:sz="8" w:space="0" w:color="6C6C6C"/>
            </w:tcBorders>
          </w:tcPr>
          <w:p>
            <w:pPr>
              <w:pStyle w:val="TableParagraph"/>
              <w:spacing w:before="68"/>
              <w:rPr>
                <w:rFonts w:ascii="Arial"/>
                <w:i/>
                <w:sz w:val="16"/>
              </w:rPr>
            </w:pPr>
          </w:p>
          <w:p>
            <w:pPr>
              <w:pStyle w:val="TableParagraph"/>
              <w:ind w:right="117"/>
              <w:jc w:val="right"/>
              <w:rPr>
                <w:sz w:val="16"/>
              </w:rPr>
            </w:pPr>
            <w:r>
              <w:rPr>
                <w:spacing w:val="-5"/>
                <w:sz w:val="16"/>
              </w:rPr>
              <w:t>93%</w:t>
            </w:r>
          </w:p>
        </w:tc>
        <w:tc>
          <w:tcPr>
            <w:tcW w:w="1638" w:type="dxa"/>
            <w:tcBorders>
              <w:top w:val="single" w:sz="8" w:space="0" w:color="6C6C6C"/>
            </w:tcBorders>
          </w:tcPr>
          <w:p>
            <w:pPr>
              <w:pStyle w:val="TableParagraph"/>
              <w:spacing w:before="68"/>
              <w:rPr>
                <w:rFonts w:ascii="Arial"/>
                <w:i/>
                <w:sz w:val="16"/>
              </w:rPr>
            </w:pPr>
          </w:p>
          <w:p>
            <w:pPr>
              <w:pStyle w:val="TableParagraph"/>
              <w:tabs>
                <w:tab w:pos="904" w:val="left" w:leader="none"/>
              </w:tabs>
              <w:ind w:right="90"/>
              <w:jc w:val="right"/>
              <w:rPr>
                <w:sz w:val="16"/>
              </w:rPr>
            </w:pPr>
            <w:r>
              <w:rPr>
                <w:spacing w:val="-10"/>
                <w:sz w:val="16"/>
              </w:rPr>
              <w:t>$</w:t>
            </w:r>
            <w:r>
              <w:rPr>
                <w:sz w:val="16"/>
              </w:rPr>
              <w:tab/>
            </w:r>
            <w:r>
              <w:rPr>
                <w:spacing w:val="-2"/>
                <w:sz w:val="16"/>
              </w:rPr>
              <w:t>296,021</w:t>
            </w:r>
          </w:p>
        </w:tc>
        <w:tc>
          <w:tcPr>
            <w:tcW w:w="1666" w:type="dxa"/>
            <w:tcBorders>
              <w:top w:val="single" w:sz="8" w:space="0" w:color="6C6C6C"/>
            </w:tcBorders>
          </w:tcPr>
          <w:p>
            <w:pPr>
              <w:pStyle w:val="TableParagraph"/>
              <w:spacing w:before="68"/>
              <w:rPr>
                <w:rFonts w:ascii="Arial"/>
                <w:i/>
                <w:sz w:val="16"/>
              </w:rPr>
            </w:pPr>
          </w:p>
          <w:p>
            <w:pPr>
              <w:pStyle w:val="TableParagraph"/>
              <w:tabs>
                <w:tab w:pos="904" w:val="left" w:leader="none"/>
              </w:tabs>
              <w:ind w:right="91"/>
              <w:jc w:val="right"/>
              <w:rPr>
                <w:sz w:val="16"/>
              </w:rPr>
            </w:pPr>
            <w:r>
              <w:rPr>
                <w:spacing w:val="-10"/>
                <w:sz w:val="16"/>
              </w:rPr>
              <w:t>$</w:t>
            </w:r>
            <w:r>
              <w:rPr>
                <w:sz w:val="16"/>
              </w:rPr>
              <w:tab/>
            </w:r>
            <w:r>
              <w:rPr>
                <w:spacing w:val="-2"/>
                <w:sz w:val="16"/>
              </w:rPr>
              <w:t>286,636</w:t>
            </w:r>
          </w:p>
        </w:tc>
        <w:tc>
          <w:tcPr>
            <w:tcW w:w="1240" w:type="dxa"/>
            <w:tcBorders>
              <w:top w:val="single" w:sz="8" w:space="0" w:color="6C6C6C"/>
            </w:tcBorders>
          </w:tcPr>
          <w:p>
            <w:pPr>
              <w:pStyle w:val="TableParagraph"/>
              <w:spacing w:before="68"/>
              <w:rPr>
                <w:rFonts w:ascii="Arial"/>
                <w:i/>
                <w:sz w:val="16"/>
              </w:rPr>
            </w:pPr>
          </w:p>
          <w:p>
            <w:pPr>
              <w:pStyle w:val="TableParagraph"/>
              <w:tabs>
                <w:tab w:pos="677" w:val="left" w:leader="none"/>
              </w:tabs>
              <w:ind w:right="71"/>
              <w:jc w:val="right"/>
              <w:rPr>
                <w:sz w:val="16"/>
              </w:rPr>
            </w:pPr>
            <w:r>
              <w:rPr>
                <w:spacing w:val="-10"/>
                <w:sz w:val="16"/>
              </w:rPr>
              <w:t>$</w:t>
            </w:r>
            <w:r>
              <w:rPr>
                <w:sz w:val="16"/>
              </w:rPr>
              <w:tab/>
            </w:r>
            <w:r>
              <w:rPr>
                <w:spacing w:val="-2"/>
                <w:sz w:val="16"/>
              </w:rPr>
              <w:t>9,385</w:t>
            </w:r>
          </w:p>
        </w:tc>
      </w:tr>
      <w:tr>
        <w:trPr>
          <w:trHeight w:val="232" w:hRule="atLeast"/>
        </w:trPr>
        <w:tc>
          <w:tcPr>
            <w:tcW w:w="4140" w:type="dxa"/>
          </w:tcPr>
          <w:p>
            <w:pPr>
              <w:pStyle w:val="TableParagraph"/>
              <w:spacing w:before="25"/>
              <w:ind w:left="267"/>
              <w:rPr>
                <w:sz w:val="16"/>
              </w:rPr>
            </w:pPr>
            <w:r>
              <w:rPr>
                <w:sz w:val="16"/>
              </w:rPr>
              <w:t>Paid-in</w:t>
            </w:r>
            <w:r>
              <w:rPr>
                <w:spacing w:val="-5"/>
                <w:sz w:val="16"/>
              </w:rPr>
              <w:t> </w:t>
            </w:r>
            <w:r>
              <w:rPr>
                <w:spacing w:val="-2"/>
                <w:sz w:val="16"/>
              </w:rPr>
              <w:t>capital</w:t>
            </w:r>
          </w:p>
        </w:tc>
        <w:tc>
          <w:tcPr>
            <w:tcW w:w="679" w:type="dxa"/>
            <w:tcBorders>
              <w:bottom w:val="single" w:sz="8" w:space="0" w:color="6C6C6C"/>
            </w:tcBorders>
          </w:tcPr>
          <w:p>
            <w:pPr>
              <w:pStyle w:val="TableParagraph"/>
              <w:spacing w:line="184" w:lineRule="exact" w:before="29"/>
              <w:ind w:right="62"/>
              <w:jc w:val="right"/>
              <w:rPr>
                <w:sz w:val="16"/>
              </w:rPr>
            </w:pPr>
            <w:r>
              <w:rPr>
                <w:sz w:val="16"/>
              </w:rPr>
              <w:t>7</w:t>
            </w:r>
            <w:r>
              <w:rPr>
                <w:spacing w:val="6"/>
                <w:sz w:val="16"/>
              </w:rPr>
              <w:t> </w:t>
            </w:r>
            <w:r>
              <w:rPr>
                <w:spacing w:val="-10"/>
                <w:sz w:val="16"/>
              </w:rPr>
              <w:t>%</w:t>
            </w:r>
          </w:p>
        </w:tc>
        <w:tc>
          <w:tcPr>
            <w:tcW w:w="1638" w:type="dxa"/>
            <w:tcBorders>
              <w:bottom w:val="single" w:sz="8" w:space="0" w:color="6C6C6C"/>
            </w:tcBorders>
          </w:tcPr>
          <w:p>
            <w:pPr>
              <w:pStyle w:val="TableParagraph"/>
              <w:spacing w:before="25"/>
              <w:ind w:right="90"/>
              <w:jc w:val="right"/>
              <w:rPr>
                <w:sz w:val="16"/>
              </w:rPr>
            </w:pPr>
            <w:r>
              <w:rPr>
                <w:spacing w:val="-2"/>
                <w:sz w:val="16"/>
              </w:rPr>
              <w:t>21,819</w:t>
            </w:r>
          </w:p>
        </w:tc>
        <w:tc>
          <w:tcPr>
            <w:tcW w:w="1666" w:type="dxa"/>
            <w:tcBorders>
              <w:bottom w:val="single" w:sz="8" w:space="0" w:color="6C6C6C"/>
            </w:tcBorders>
          </w:tcPr>
          <w:p>
            <w:pPr>
              <w:pStyle w:val="TableParagraph"/>
              <w:spacing w:before="25"/>
              <w:ind w:right="91"/>
              <w:jc w:val="right"/>
              <w:rPr>
                <w:sz w:val="16"/>
              </w:rPr>
            </w:pPr>
            <w:r>
              <w:rPr>
                <w:spacing w:val="-2"/>
                <w:sz w:val="16"/>
              </w:rPr>
              <w:t>20,499</w:t>
            </w:r>
          </w:p>
        </w:tc>
        <w:tc>
          <w:tcPr>
            <w:tcW w:w="1240" w:type="dxa"/>
            <w:tcBorders>
              <w:bottom w:val="single" w:sz="8" w:space="0" w:color="6C6C6C"/>
            </w:tcBorders>
          </w:tcPr>
          <w:p>
            <w:pPr>
              <w:pStyle w:val="TableParagraph"/>
              <w:spacing w:before="25"/>
              <w:ind w:right="71"/>
              <w:jc w:val="right"/>
              <w:rPr>
                <w:sz w:val="16"/>
              </w:rPr>
            </w:pPr>
            <w:r>
              <w:rPr>
                <w:spacing w:val="-2"/>
                <w:sz w:val="16"/>
              </w:rPr>
              <w:t>1,320</w:t>
            </w:r>
          </w:p>
        </w:tc>
      </w:tr>
    </w:tbl>
    <w:p>
      <w:pPr>
        <w:tabs>
          <w:tab w:pos="4859" w:val="left" w:leader="none"/>
          <w:tab w:pos="6507" w:val="left" w:leader="none"/>
          <w:tab w:pos="8172" w:val="left" w:leader="none"/>
          <w:tab w:pos="9520" w:val="left" w:leader="none"/>
        </w:tabs>
        <w:spacing w:before="14"/>
        <w:ind w:left="828"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651328">
                <wp:simplePos x="0" y="0"/>
                <wp:positionH relativeFrom="page">
                  <wp:posOffset>3543300</wp:posOffset>
                </wp:positionH>
                <wp:positionV relativeFrom="paragraph">
                  <wp:posOffset>159736</wp:posOffset>
                </wp:positionV>
                <wp:extent cx="3314700"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3314700" cy="1270"/>
                        </a:xfrm>
                        <a:custGeom>
                          <a:avLst/>
                          <a:gdLst/>
                          <a:ahLst/>
                          <a:cxnLst/>
                          <a:rect l="l" t="t" r="r" b="b"/>
                          <a:pathLst>
                            <a:path w="3314700" h="0">
                              <a:moveTo>
                                <a:pt x="0" y="0"/>
                              </a:moveTo>
                              <a:lnTo>
                                <a:pt x="400050" y="0"/>
                              </a:lnTo>
                            </a:path>
                            <a:path w="3314700" h="0">
                              <a:moveTo>
                                <a:pt x="438150" y="0"/>
                              </a:moveTo>
                              <a:lnTo>
                                <a:pt x="1457325" y="0"/>
                              </a:lnTo>
                            </a:path>
                            <a:path w="3314700" h="0">
                              <a:moveTo>
                                <a:pt x="1495425" y="0"/>
                              </a:moveTo>
                              <a:lnTo>
                                <a:pt x="2514600" y="0"/>
                              </a:lnTo>
                            </a:path>
                            <a:path w="3314700" h="0">
                              <a:moveTo>
                                <a:pt x="2552700" y="0"/>
                              </a:moveTo>
                              <a:lnTo>
                                <a:pt x="33147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279pt;margin-top:12.577696pt;width:261pt;height:.1pt;mso-position-horizontal-relative:page;mso-position-vertical-relative:paragraph;z-index:-15665152;mso-wrap-distance-left:0;mso-wrap-distance-right:0" id="docshape381" coordorigin="5580,252" coordsize="5220,0" path="m5580,252l6210,252m6270,252l7875,252m7935,252l9540,252m9600,252l10800,252e" filled="false" stroked="true" strokeweight="1pt" strokecolor="#6c6c6c">
                <v:path arrowok="t"/>
                <v:stroke dashstyle="solid"/>
                <w10:wrap type="topAndBottom"/>
              </v:shape>
            </w:pict>
          </mc:Fallback>
        </mc:AlternateContent>
      </w:r>
      <w:r>
        <w:rPr>
          <w:rFonts w:ascii="Arial"/>
          <w:b/>
          <w:sz w:val="16"/>
        </w:rPr>
        <mc:AlternateContent>
          <mc:Choice Requires="wps">
            <w:drawing>
              <wp:anchor distT="0" distB="0" distL="0" distR="0" allowOverlap="1" layoutInCell="1" locked="0" behindDoc="1" simplePos="0" relativeHeight="487651840">
                <wp:simplePos x="0" y="0"/>
                <wp:positionH relativeFrom="page">
                  <wp:posOffset>914400</wp:posOffset>
                </wp:positionH>
                <wp:positionV relativeFrom="paragraph">
                  <wp:posOffset>328011</wp:posOffset>
                </wp:positionV>
                <wp:extent cx="5943600"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827696pt;width:468pt;height:.1pt;mso-position-horizontal-relative:page;mso-position-vertical-relative:paragraph;z-index:-15664640;mso-wrap-distance-left:0;mso-wrap-distance-right:0" id="docshape382" coordorigin="1440,517" coordsize="9360,0" path="m1440,517l10800,517e" filled="false" stroked="true" strokeweight="1pt" strokecolor="#6c6c6c">
                <v:path arrowok="t"/>
                <v:stroke dashstyle="solid"/>
                <w10:wrap type="topAndBottom"/>
              </v:shape>
            </w:pict>
          </mc:Fallback>
        </mc:AlternateContent>
      </w:r>
      <w:r>
        <w:rPr>
          <w:rFonts w:ascii="Arial"/>
          <w:b/>
          <w:sz w:val="16"/>
        </w:rPr>
        <w:t>Total</w:t>
      </w:r>
      <w:r>
        <w:rPr>
          <w:rFonts w:ascii="Arial"/>
          <w:b/>
          <w:spacing w:val="-6"/>
          <w:sz w:val="16"/>
        </w:rPr>
        <w:t> </w:t>
      </w:r>
      <w:r>
        <w:rPr>
          <w:rFonts w:ascii="Arial"/>
          <w:b/>
          <w:sz w:val="16"/>
        </w:rPr>
        <w:t>subscribed</w:t>
      </w:r>
      <w:r>
        <w:rPr>
          <w:rFonts w:ascii="Arial"/>
          <w:b/>
          <w:spacing w:val="-6"/>
          <w:sz w:val="16"/>
        </w:rPr>
        <w:t> </w:t>
      </w:r>
      <w:r>
        <w:rPr>
          <w:rFonts w:ascii="Arial"/>
          <w:b/>
          <w:spacing w:val="-2"/>
          <w:sz w:val="16"/>
        </w:rPr>
        <w:t>capital</w:t>
      </w:r>
      <w:r>
        <w:rPr>
          <w:rFonts w:ascii="Arial"/>
          <w:b/>
          <w:sz w:val="16"/>
        </w:rPr>
        <w:tab/>
      </w:r>
      <w:r>
        <w:rPr>
          <w:rFonts w:ascii="Arial"/>
          <w:b/>
          <w:spacing w:val="80"/>
          <w:w w:val="150"/>
          <w:sz w:val="16"/>
          <w:u w:val="single" w:color="6C6C6C"/>
        </w:rPr>
        <w:t> </w:t>
      </w:r>
      <w:r>
        <w:rPr>
          <w:rFonts w:ascii="Arial"/>
          <w:b/>
          <w:sz w:val="16"/>
          <w:u w:val="single" w:color="6C6C6C"/>
        </w:rPr>
        <w:t>100%</w:t>
      </w:r>
      <w:r>
        <w:rPr>
          <w:rFonts w:ascii="Arial"/>
          <w:b/>
          <w:spacing w:val="40"/>
          <w:sz w:val="16"/>
          <w:u w:val="single" w:color="6C6C6C"/>
        </w:rPr>
        <w:t>  </w:t>
      </w:r>
      <w:r>
        <w:rPr>
          <w:rFonts w:ascii="Arial"/>
          <w:b/>
          <w:sz w:val="16"/>
          <w:u w:val="single" w:color="6C6C6C"/>
        </w:rPr>
        <w:t>$</w:t>
        <w:tab/>
        <w:t>317,840</w:t>
      </w:r>
      <w:r>
        <w:rPr>
          <w:rFonts w:ascii="Arial"/>
          <w:b/>
          <w:spacing w:val="43"/>
          <w:sz w:val="16"/>
          <w:u w:val="single" w:color="6C6C6C"/>
        </w:rPr>
        <w:t>  </w:t>
      </w:r>
      <w:r>
        <w:rPr>
          <w:rFonts w:ascii="Arial"/>
          <w:b/>
          <w:spacing w:val="-10"/>
          <w:sz w:val="16"/>
          <w:u w:val="single" w:color="6C6C6C"/>
        </w:rPr>
        <w:t>$</w:t>
      </w:r>
      <w:r>
        <w:rPr>
          <w:rFonts w:ascii="Arial"/>
          <w:b/>
          <w:sz w:val="16"/>
          <w:u w:val="single" w:color="6C6C6C"/>
        </w:rPr>
        <w:tab/>
        <w:t>307,135</w:t>
      </w:r>
      <w:r>
        <w:rPr>
          <w:rFonts w:ascii="Arial"/>
          <w:b/>
          <w:spacing w:val="43"/>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10,705</w:t>
      </w:r>
    </w:p>
    <w:p>
      <w:pPr>
        <w:pStyle w:val="BodyText"/>
        <w:spacing w:before="1"/>
        <w:rPr>
          <w:rFonts w:ascii="Arial"/>
          <w:b/>
        </w:rPr>
      </w:pPr>
    </w:p>
    <w:p>
      <w:pPr>
        <w:pStyle w:val="Heading4"/>
        <w:spacing w:before="153"/>
      </w:pPr>
      <w:r>
        <w:rPr/>
        <w:t>Uncalled</w:t>
      </w:r>
      <w:r>
        <w:rPr>
          <w:spacing w:val="-5"/>
        </w:rPr>
        <w:t> </w:t>
      </w:r>
      <w:r>
        <w:rPr/>
        <w:t>Subscribed</w:t>
      </w:r>
      <w:r>
        <w:rPr>
          <w:spacing w:val="-4"/>
        </w:rPr>
        <w:t> </w:t>
      </w:r>
      <w:r>
        <w:rPr>
          <w:spacing w:val="-2"/>
        </w:rPr>
        <w:t>Capital</w:t>
      </w:r>
    </w:p>
    <w:p>
      <w:pPr>
        <w:pStyle w:val="BodyText"/>
        <w:spacing w:line="237" w:lineRule="auto" w:before="169"/>
        <w:ind w:left="720" w:right="718"/>
        <w:jc w:val="both"/>
      </w:pPr>
      <w:r>
        <w:rPr/>
        <w:t>As of June 30, 2023, the total uncalled portion of subscriptions was $296,021 million. The amount may be called only when required to meet IBRD’s obligations for funds borrowed or loans guaranteed and is, thus, not available</w:t>
      </w:r>
      <w:r>
        <w:rPr>
          <w:spacing w:val="40"/>
        </w:rPr>
        <w:t> </w:t>
      </w:r>
      <w:r>
        <w:rPr/>
        <w:t>for use by IBRD in making loans. Of this amount, $41,749 million was restricted pursuant to resolutions of the Governors (though such conditions are not required by IBRD’s Articles). While these resolutions are not legally binding on future Governors, they do record an understanding among members that this amount will not be called</w:t>
      </w:r>
      <w:r>
        <w:rPr>
          <w:spacing w:val="40"/>
        </w:rPr>
        <w:t> </w:t>
      </w:r>
      <w:r>
        <w:rPr/>
        <w:t>for use by IBRD in its lending activities or for administrative purposes.</w:t>
      </w:r>
    </w:p>
    <w:p>
      <w:pPr>
        <w:pStyle w:val="BodyText"/>
        <w:spacing w:line="232" w:lineRule="auto" w:before="223"/>
        <w:ind w:left="720" w:right="719"/>
        <w:jc w:val="both"/>
      </w:pPr>
      <w:r>
        <w:rPr/>
        <w:t>No call has ever been made on IBRD’s capital. Any such calls are required to be uniform, but the obligations of IBRD’s members to make payment on such calls are independent of one another. If the amount received on a call is insufficient to meet the obligations of IBRD for which the call is made, IBRD has the right to make further calls</w:t>
      </w:r>
      <w:r>
        <w:rPr>
          <w:spacing w:val="40"/>
        </w:rPr>
        <w:t> </w:t>
      </w:r>
      <w:r>
        <w:rPr/>
        <w:t>until the amounts received are sufficient to meet such obligations. On any such call or calls, however, no member is required to pay more than the unpaid balance of its capital subscription.</w:t>
      </w:r>
    </w:p>
    <w:p>
      <w:pPr>
        <w:pStyle w:val="BodyText"/>
        <w:spacing w:after="0" w:line="232" w:lineRule="auto"/>
        <w:jc w:val="both"/>
        <w:sectPr>
          <w:type w:val="continuous"/>
          <w:pgSz w:w="12240" w:h="15840"/>
          <w:pgMar w:header="744" w:footer="713" w:top="1820" w:bottom="280" w:left="720" w:right="720"/>
        </w:sectPr>
      </w:pPr>
    </w:p>
    <w:p>
      <w:pPr>
        <w:pStyle w:val="BodyText"/>
        <w:spacing w:before="127"/>
      </w:pPr>
    </w:p>
    <w:p>
      <w:pPr>
        <w:pStyle w:val="BodyText"/>
        <w:spacing w:line="249" w:lineRule="auto" w:before="1"/>
        <w:ind w:left="720" w:right="717"/>
        <w:jc w:val="both"/>
      </w:pPr>
      <w:r>
        <w:rPr/>
        <w:t>Under</w:t>
      </w:r>
      <w:r>
        <w:rPr>
          <w:spacing w:val="-1"/>
        </w:rPr>
        <w:t> </w:t>
      </w:r>
      <w:r>
        <w:rPr/>
        <w:t>the</w:t>
      </w:r>
      <w:r>
        <w:rPr>
          <w:spacing w:val="-2"/>
        </w:rPr>
        <w:t> </w:t>
      </w:r>
      <w:r>
        <w:rPr/>
        <w:t>Bretton</w:t>
      </w:r>
      <w:r>
        <w:rPr>
          <w:spacing w:val="-1"/>
        </w:rPr>
        <w:t> </w:t>
      </w:r>
      <w:r>
        <w:rPr/>
        <w:t>Woods</w:t>
      </w:r>
      <w:r>
        <w:rPr>
          <w:spacing w:val="-2"/>
        </w:rPr>
        <w:t> </w:t>
      </w:r>
      <w:r>
        <w:rPr/>
        <w:t>Agreements</w:t>
      </w:r>
      <w:r>
        <w:rPr>
          <w:spacing w:val="-2"/>
        </w:rPr>
        <w:t> </w:t>
      </w:r>
      <w:r>
        <w:rPr/>
        <w:t>Act</w:t>
      </w:r>
      <w:r>
        <w:rPr>
          <w:spacing w:val="-2"/>
        </w:rPr>
        <w:t> </w:t>
      </w:r>
      <w:r>
        <w:rPr/>
        <w:t>and</w:t>
      </w:r>
      <w:r>
        <w:rPr>
          <w:spacing w:val="-1"/>
        </w:rPr>
        <w:t> </w:t>
      </w:r>
      <w:r>
        <w:rPr/>
        <w:t>other</w:t>
      </w:r>
      <w:r>
        <w:rPr>
          <w:spacing w:val="-1"/>
        </w:rPr>
        <w:t> </w:t>
      </w:r>
      <w:r>
        <w:rPr/>
        <w:t>U.S.</w:t>
      </w:r>
      <w:r>
        <w:rPr>
          <w:spacing w:val="-1"/>
        </w:rPr>
        <w:t> </w:t>
      </w:r>
      <w:r>
        <w:rPr/>
        <w:t>legislation,</w:t>
      </w:r>
      <w:r>
        <w:rPr>
          <w:spacing w:val="-1"/>
        </w:rPr>
        <w:t> </w:t>
      </w:r>
      <w:r>
        <w:rPr/>
        <w:t>the</w:t>
      </w:r>
      <w:r>
        <w:rPr>
          <w:spacing w:val="-2"/>
        </w:rPr>
        <w:t> </w:t>
      </w:r>
      <w:r>
        <w:rPr/>
        <w:t>Secretary</w:t>
      </w:r>
      <w:r>
        <w:rPr>
          <w:spacing w:val="-1"/>
        </w:rPr>
        <w:t> </w:t>
      </w:r>
      <w:r>
        <w:rPr/>
        <w:t>of</w:t>
      </w:r>
      <w:r>
        <w:rPr>
          <w:spacing w:val="-1"/>
        </w:rPr>
        <w:t> </w:t>
      </w:r>
      <w:r>
        <w:rPr/>
        <w:t>the</w:t>
      </w:r>
      <w:r>
        <w:rPr>
          <w:spacing w:val="-2"/>
        </w:rPr>
        <w:t> </w:t>
      </w:r>
      <w:r>
        <w:rPr/>
        <w:t>U.S.</w:t>
      </w:r>
      <w:r>
        <w:rPr>
          <w:spacing w:val="-1"/>
        </w:rPr>
        <w:t> </w:t>
      </w:r>
      <w:r>
        <w:rPr/>
        <w:t>Treasury</w:t>
      </w:r>
      <w:r>
        <w:rPr>
          <w:spacing w:val="-1"/>
        </w:rPr>
        <w:t> </w:t>
      </w:r>
      <w:r>
        <w:rPr/>
        <w:t>is</w:t>
      </w:r>
      <w:r>
        <w:rPr>
          <w:spacing w:val="-2"/>
        </w:rPr>
        <w:t> </w:t>
      </w:r>
      <w:r>
        <w:rPr/>
        <w:t>permitted to pay approximately $7,663 million of the uncalled portion of the subscription of the United States, if called for use by IBRD, without need for further congressional action.</w:t>
      </w:r>
    </w:p>
    <w:p>
      <w:pPr>
        <w:pStyle w:val="BodyText"/>
        <w:spacing w:line="249" w:lineRule="auto" w:before="122"/>
        <w:ind w:left="720" w:right="719"/>
        <w:jc w:val="both"/>
      </w:pPr>
      <w:r>
        <w:rPr/>
        <w:t>The balance of the uncalled portion of the U.S. subscription, $41,543 million, has been authorized but not appropriated by the U.S. Congress. Further action by the U.S. Congress is required to enable the Secretary of the Treasury to pay any portion of this balance. The General Counsel of the U.S. Treasury has rendered an opinion that the entire uncalled portion of the U.S. subscription is an obligation backed by the full faith and credit of the U.S., notwithstanding that congressional appropriations have not been obtained with respect to certain portions of the </w:t>
      </w:r>
      <w:r>
        <w:rPr>
          <w:spacing w:val="-2"/>
        </w:rPr>
        <w:t>subscription.</w:t>
      </w:r>
    </w:p>
    <w:p>
      <w:pPr>
        <w:pStyle w:val="Heading6"/>
        <w:spacing w:before="120"/>
      </w:pPr>
      <w:r>
        <w:rPr/>
        <w:t>Capital</w:t>
      </w:r>
      <w:r>
        <w:rPr>
          <w:spacing w:val="-1"/>
        </w:rPr>
        <w:t> </w:t>
      </w:r>
      <w:r>
        <w:rPr>
          <w:spacing w:val="-2"/>
        </w:rPr>
        <w:t>Increases</w:t>
      </w:r>
    </w:p>
    <w:p>
      <w:pPr>
        <w:pStyle w:val="BodyText"/>
        <w:spacing w:line="249" w:lineRule="auto" w:before="136"/>
        <w:ind w:left="720" w:right="718"/>
        <w:jc w:val="both"/>
      </w:pPr>
      <w:r>
        <w:rPr/>
        <w:t>In October 2018, the Governors approved a new GCI and SCI as part of a capital package that includes institutional and financial reforms designed to ensure long-term financial sustainability. The capital increases will result in additional subscribed capital of up to $60.1 billion, with $7.5 billion of paid-in capital and $52.6 billion of callable capital. In May 2023, the Board approved the extension of the subscription period for GCI and SCI from October 1, 2023 to October 1, 2025.</w:t>
      </w:r>
    </w:p>
    <w:p>
      <w:pPr>
        <w:pStyle w:val="Heading4"/>
        <w:spacing w:before="116"/>
      </w:pPr>
      <w:r>
        <w:rPr/>
        <w:t>Paid-In</w:t>
      </w:r>
      <w:r>
        <w:rPr>
          <w:spacing w:val="-4"/>
        </w:rPr>
        <w:t> </w:t>
      </w:r>
      <w:r>
        <w:rPr>
          <w:spacing w:val="-2"/>
        </w:rPr>
        <w:t>Capital</w:t>
      </w:r>
    </w:p>
    <w:p>
      <w:pPr>
        <w:pStyle w:val="BodyText"/>
        <w:spacing w:before="139"/>
        <w:ind w:left="720"/>
        <w:jc w:val="both"/>
      </w:pPr>
      <w:r>
        <w:rPr/>
        <w:t>Paid-in</w:t>
      </w:r>
      <w:r>
        <w:rPr>
          <w:spacing w:val="-4"/>
        </w:rPr>
        <w:t> </w:t>
      </w:r>
      <w:r>
        <w:rPr/>
        <w:t>capital</w:t>
      </w:r>
      <w:r>
        <w:rPr>
          <w:spacing w:val="-3"/>
        </w:rPr>
        <w:t> </w:t>
      </w:r>
      <w:r>
        <w:rPr/>
        <w:t>has</w:t>
      </w:r>
      <w:r>
        <w:rPr>
          <w:spacing w:val="-4"/>
        </w:rPr>
        <w:t> </w:t>
      </w:r>
      <w:r>
        <w:rPr/>
        <w:t>two</w:t>
      </w:r>
      <w:r>
        <w:rPr>
          <w:spacing w:val="-3"/>
        </w:rPr>
        <w:t> </w:t>
      </w:r>
      <w:r>
        <w:rPr>
          <w:spacing w:val="-2"/>
        </w:rPr>
        <w:t>components:</w:t>
      </w:r>
    </w:p>
    <w:p>
      <w:pPr>
        <w:pStyle w:val="ListParagraph"/>
        <w:numPr>
          <w:ilvl w:val="0"/>
          <w:numId w:val="20"/>
        </w:numPr>
        <w:tabs>
          <w:tab w:pos="1259" w:val="left" w:leader="none"/>
        </w:tabs>
        <w:spacing w:line="240" w:lineRule="auto" w:before="130" w:after="0"/>
        <w:ind w:left="1259" w:right="0" w:hanging="359"/>
        <w:jc w:val="left"/>
        <w:rPr>
          <w:sz w:val="20"/>
        </w:rPr>
      </w:pPr>
      <w:r>
        <w:rPr>
          <w:sz w:val="20"/>
        </w:rPr>
        <w:t>The</w:t>
      </w:r>
      <w:r>
        <w:rPr>
          <w:spacing w:val="-5"/>
          <w:sz w:val="20"/>
        </w:rPr>
        <w:t> </w:t>
      </w:r>
      <w:r>
        <w:rPr>
          <w:sz w:val="20"/>
        </w:rPr>
        <w:t>U.S.</w:t>
      </w:r>
      <w:r>
        <w:rPr>
          <w:spacing w:val="-2"/>
          <w:sz w:val="20"/>
        </w:rPr>
        <w:t> </w:t>
      </w:r>
      <w:r>
        <w:rPr>
          <w:sz w:val="20"/>
        </w:rPr>
        <w:t>dollar</w:t>
      </w:r>
      <w:r>
        <w:rPr>
          <w:spacing w:val="-2"/>
          <w:sz w:val="20"/>
        </w:rPr>
        <w:t> </w:t>
      </w:r>
      <w:r>
        <w:rPr>
          <w:sz w:val="20"/>
        </w:rPr>
        <w:t>portion,</w:t>
      </w:r>
      <w:r>
        <w:rPr>
          <w:spacing w:val="-3"/>
          <w:sz w:val="20"/>
        </w:rPr>
        <w:t> </w:t>
      </w:r>
      <w:r>
        <w:rPr>
          <w:sz w:val="20"/>
        </w:rPr>
        <w:t>which</w:t>
      </w:r>
      <w:r>
        <w:rPr>
          <w:spacing w:val="-2"/>
          <w:sz w:val="20"/>
        </w:rPr>
        <w:t> </w:t>
      </w:r>
      <w:r>
        <w:rPr>
          <w:sz w:val="20"/>
        </w:rPr>
        <w:t>is</w:t>
      </w:r>
      <w:r>
        <w:rPr>
          <w:spacing w:val="-2"/>
          <w:sz w:val="20"/>
        </w:rPr>
        <w:t> </w:t>
      </w:r>
      <w:r>
        <w:rPr>
          <w:sz w:val="20"/>
        </w:rPr>
        <w:t>freely</w:t>
      </w:r>
      <w:r>
        <w:rPr>
          <w:spacing w:val="-3"/>
          <w:sz w:val="20"/>
        </w:rPr>
        <w:t> </w:t>
      </w:r>
      <w:r>
        <w:rPr>
          <w:sz w:val="20"/>
        </w:rPr>
        <w:t>available</w:t>
      </w:r>
      <w:r>
        <w:rPr>
          <w:spacing w:val="-2"/>
          <w:sz w:val="20"/>
        </w:rPr>
        <w:t> </w:t>
      </w:r>
      <w:r>
        <w:rPr>
          <w:sz w:val="20"/>
        </w:rPr>
        <w:t>for</w:t>
      </w:r>
      <w:r>
        <w:rPr>
          <w:spacing w:val="-3"/>
          <w:sz w:val="20"/>
        </w:rPr>
        <w:t> </w:t>
      </w:r>
      <w:r>
        <w:rPr>
          <w:sz w:val="20"/>
        </w:rPr>
        <w:t>use</w:t>
      </w:r>
      <w:r>
        <w:rPr>
          <w:spacing w:val="-2"/>
          <w:sz w:val="20"/>
        </w:rPr>
        <w:t> </w:t>
      </w:r>
      <w:r>
        <w:rPr>
          <w:sz w:val="20"/>
        </w:rPr>
        <w:t>by</w:t>
      </w:r>
      <w:r>
        <w:rPr>
          <w:spacing w:val="-2"/>
          <w:sz w:val="20"/>
        </w:rPr>
        <w:t> IBRD.</w:t>
      </w:r>
    </w:p>
    <w:p>
      <w:pPr>
        <w:pStyle w:val="ListParagraph"/>
        <w:numPr>
          <w:ilvl w:val="0"/>
          <w:numId w:val="20"/>
        </w:numPr>
        <w:tabs>
          <w:tab w:pos="1260" w:val="left" w:leader="none"/>
        </w:tabs>
        <w:spacing w:line="249" w:lineRule="auto" w:before="130" w:after="0"/>
        <w:ind w:left="1260" w:right="718" w:hanging="360"/>
        <w:jc w:val="both"/>
        <w:rPr>
          <w:sz w:val="20"/>
        </w:rPr>
      </w:pPr>
      <w:r>
        <w:rPr>
          <w:sz w:val="20"/>
        </w:rPr>
        <w:t>National Currency Paid-In Capital (NCPIC) portion, usage of which is subject to certain restrictions under IBRD’s Articles and is subject to Maintenance-Of-Value (MOV) requirements. For additional details see the Notes to the Financial Statements, Note A: Summary of Significant Accounting and Related Policies.</w:t>
      </w:r>
    </w:p>
    <w:p>
      <w:pPr>
        <w:pStyle w:val="Heading6"/>
        <w:spacing w:before="118"/>
      </w:pPr>
      <w:r>
        <w:rPr/>
        <w:t>Usable</w:t>
      </w:r>
      <w:r>
        <w:rPr>
          <w:spacing w:val="-4"/>
        </w:rPr>
        <w:t> </w:t>
      </w:r>
      <w:r>
        <w:rPr/>
        <w:t>Paid-in</w:t>
      </w:r>
      <w:r>
        <w:rPr>
          <w:spacing w:val="-1"/>
        </w:rPr>
        <w:t> </w:t>
      </w:r>
      <w:r>
        <w:rPr>
          <w:spacing w:val="-2"/>
        </w:rPr>
        <w:t>Capital</w:t>
      </w:r>
    </w:p>
    <w:p>
      <w:pPr>
        <w:pStyle w:val="BodyText"/>
        <w:spacing w:line="249" w:lineRule="auto" w:before="136"/>
        <w:ind w:left="720" w:right="718"/>
        <w:jc w:val="both"/>
      </w:pPr>
      <w:r>
        <w:rPr/>
        <w:t>Usable paid-in capital represents the portion of paid-in capital that is available to support IBRD’s risk bearing capacity and includes all U.S. dollar paid-in capital, as well as NCPIC for which use restrictions have been lifted (referred to as released NCPIC). The adjustments made to paid-in capital to arrive at usable paid-in capital are provided in Table 26.</w:t>
      </w:r>
    </w:p>
    <w:p>
      <w:pPr>
        <w:pStyle w:val="BodyText"/>
        <w:spacing w:before="123"/>
        <w:ind w:left="720"/>
        <w:jc w:val="both"/>
      </w:pPr>
      <w:r>
        <w:rPr/>
        <w:t>The</w:t>
      </w:r>
      <w:r>
        <w:rPr>
          <w:spacing w:val="10"/>
        </w:rPr>
        <w:t> </w:t>
      </w:r>
      <w:r>
        <w:rPr/>
        <w:t>$1,317</w:t>
      </w:r>
      <w:r>
        <w:rPr>
          <w:spacing w:val="12"/>
        </w:rPr>
        <w:t> </w:t>
      </w:r>
      <w:r>
        <w:rPr/>
        <w:t>million</w:t>
      </w:r>
      <w:r>
        <w:rPr>
          <w:spacing w:val="13"/>
        </w:rPr>
        <w:t> </w:t>
      </w:r>
      <w:r>
        <w:rPr/>
        <w:t>increase</w:t>
      </w:r>
      <w:r>
        <w:rPr>
          <w:spacing w:val="12"/>
        </w:rPr>
        <w:t> </w:t>
      </w:r>
      <w:r>
        <w:rPr/>
        <w:t>in</w:t>
      </w:r>
      <w:r>
        <w:rPr>
          <w:spacing w:val="13"/>
        </w:rPr>
        <w:t> </w:t>
      </w:r>
      <w:r>
        <w:rPr/>
        <w:t>usable</w:t>
      </w:r>
      <w:r>
        <w:rPr>
          <w:spacing w:val="12"/>
        </w:rPr>
        <w:t> </w:t>
      </w:r>
      <w:r>
        <w:rPr/>
        <w:t>paid-in</w:t>
      </w:r>
      <w:r>
        <w:rPr>
          <w:spacing w:val="13"/>
        </w:rPr>
        <w:t> </w:t>
      </w:r>
      <w:r>
        <w:rPr/>
        <w:t>capital</w:t>
      </w:r>
      <w:r>
        <w:rPr>
          <w:spacing w:val="12"/>
        </w:rPr>
        <w:t> </w:t>
      </w:r>
      <w:r>
        <w:rPr/>
        <w:t>between</w:t>
      </w:r>
      <w:r>
        <w:rPr>
          <w:spacing w:val="13"/>
        </w:rPr>
        <w:t> </w:t>
      </w:r>
      <w:r>
        <w:rPr/>
        <w:t>FY22</w:t>
      </w:r>
      <w:r>
        <w:rPr>
          <w:spacing w:val="12"/>
        </w:rPr>
        <w:t> </w:t>
      </w:r>
      <w:r>
        <w:rPr/>
        <w:t>and</w:t>
      </w:r>
      <w:r>
        <w:rPr>
          <w:spacing w:val="12"/>
        </w:rPr>
        <w:t> </w:t>
      </w:r>
      <w:r>
        <w:rPr/>
        <w:t>FY23</w:t>
      </w:r>
      <w:r>
        <w:rPr>
          <w:spacing w:val="13"/>
        </w:rPr>
        <w:t> </w:t>
      </w:r>
      <w:r>
        <w:rPr/>
        <w:t>was</w:t>
      </w:r>
      <w:r>
        <w:rPr>
          <w:spacing w:val="12"/>
        </w:rPr>
        <w:t> </w:t>
      </w:r>
      <w:r>
        <w:rPr/>
        <w:t>primarily</w:t>
      </w:r>
      <w:r>
        <w:rPr>
          <w:spacing w:val="13"/>
        </w:rPr>
        <w:t> </w:t>
      </w:r>
      <w:r>
        <w:rPr/>
        <w:t>due</w:t>
      </w:r>
      <w:r>
        <w:rPr>
          <w:spacing w:val="12"/>
        </w:rPr>
        <w:t> </w:t>
      </w:r>
      <w:r>
        <w:rPr/>
        <w:t>to</w:t>
      </w:r>
      <w:r>
        <w:rPr>
          <w:spacing w:val="13"/>
        </w:rPr>
        <w:t> </w:t>
      </w:r>
      <w:r>
        <w:rPr/>
        <w:t>the</w:t>
      </w:r>
      <w:r>
        <w:rPr>
          <w:spacing w:val="12"/>
        </w:rPr>
        <w:t> </w:t>
      </w:r>
      <w:r>
        <w:rPr/>
        <w:t>receipt</w:t>
      </w:r>
      <w:r>
        <w:rPr>
          <w:spacing w:val="13"/>
        </w:rPr>
        <w:t> </w:t>
      </w:r>
      <w:r>
        <w:rPr>
          <w:spacing w:val="-5"/>
        </w:rPr>
        <w:t>of</w:t>
      </w:r>
    </w:p>
    <w:p>
      <w:pPr>
        <w:pStyle w:val="BodyText"/>
        <w:spacing w:before="10"/>
        <w:ind w:left="720"/>
        <w:jc w:val="both"/>
      </w:pPr>
      <w:r>
        <w:rPr/>
        <w:t>$968</w:t>
      </w:r>
      <w:r>
        <w:rPr>
          <w:spacing w:val="-2"/>
        </w:rPr>
        <w:t> </w:t>
      </w:r>
      <w:r>
        <w:rPr/>
        <w:t>million</w:t>
      </w:r>
      <w:r>
        <w:rPr>
          <w:spacing w:val="-2"/>
        </w:rPr>
        <w:t> </w:t>
      </w:r>
      <w:r>
        <w:rPr/>
        <w:t>for</w:t>
      </w:r>
      <w:r>
        <w:rPr>
          <w:spacing w:val="-1"/>
        </w:rPr>
        <w:t> </w:t>
      </w:r>
      <w:r>
        <w:rPr/>
        <w:t>GCI</w:t>
      </w:r>
      <w:r>
        <w:rPr>
          <w:spacing w:val="-2"/>
        </w:rPr>
        <w:t> </w:t>
      </w:r>
      <w:r>
        <w:rPr/>
        <w:t>and</w:t>
      </w:r>
      <w:r>
        <w:rPr>
          <w:spacing w:val="-1"/>
        </w:rPr>
        <w:t> </w:t>
      </w:r>
      <w:r>
        <w:rPr/>
        <w:t>$352</w:t>
      </w:r>
      <w:r>
        <w:rPr>
          <w:spacing w:val="-2"/>
        </w:rPr>
        <w:t> </w:t>
      </w:r>
      <w:r>
        <w:rPr/>
        <w:t>million</w:t>
      </w:r>
      <w:r>
        <w:rPr>
          <w:spacing w:val="-2"/>
        </w:rPr>
        <w:t> </w:t>
      </w:r>
      <w:r>
        <w:rPr/>
        <w:t>for</w:t>
      </w:r>
      <w:r>
        <w:rPr>
          <w:spacing w:val="-1"/>
        </w:rPr>
        <w:t> </w:t>
      </w:r>
      <w:r>
        <w:rPr/>
        <w:t>SCI</w:t>
      </w:r>
      <w:r>
        <w:rPr>
          <w:spacing w:val="-2"/>
        </w:rPr>
        <w:t> </w:t>
      </w:r>
      <w:r>
        <w:rPr/>
        <w:t>during</w:t>
      </w:r>
      <w:r>
        <w:rPr>
          <w:spacing w:val="-1"/>
        </w:rPr>
        <w:t> </w:t>
      </w:r>
      <w:r>
        <w:rPr>
          <w:spacing w:val="-2"/>
        </w:rPr>
        <w:t>FY23.</w:t>
      </w:r>
    </w:p>
    <w:p>
      <w:pPr>
        <w:spacing w:before="195"/>
        <w:ind w:left="772" w:right="0" w:firstLine="0"/>
        <w:jc w:val="both"/>
        <w:rPr>
          <w:rFonts w:ascii="Arial"/>
          <w:b/>
          <w:sz w:val="18"/>
        </w:rPr>
      </w:pPr>
      <w:bookmarkStart w:name="_bookmark64" w:id="95"/>
      <w:bookmarkEnd w:id="95"/>
      <w:r>
        <w:rPr/>
      </w:r>
      <w:r>
        <w:rPr>
          <w:rFonts w:ascii="Arial"/>
          <w:b/>
          <w:sz w:val="18"/>
        </w:rPr>
        <w:t>Table</w:t>
      </w:r>
      <w:r>
        <w:rPr>
          <w:rFonts w:ascii="Arial"/>
          <w:b/>
          <w:spacing w:val="-2"/>
          <w:sz w:val="18"/>
        </w:rPr>
        <w:t> </w:t>
      </w:r>
      <w:r>
        <w:rPr>
          <w:rFonts w:ascii="Arial"/>
          <w:b/>
          <w:sz w:val="18"/>
        </w:rPr>
        <w:t>26:</w:t>
      </w:r>
      <w:r>
        <w:rPr>
          <w:rFonts w:ascii="Arial"/>
          <w:b/>
          <w:spacing w:val="-2"/>
          <w:sz w:val="18"/>
        </w:rPr>
        <w:t> </w:t>
      </w:r>
      <w:r>
        <w:rPr>
          <w:rFonts w:ascii="Arial"/>
          <w:b/>
          <w:sz w:val="18"/>
        </w:rPr>
        <w:t>Usable</w:t>
      </w:r>
      <w:r>
        <w:rPr>
          <w:rFonts w:ascii="Arial"/>
          <w:b/>
          <w:spacing w:val="-2"/>
          <w:sz w:val="18"/>
        </w:rPr>
        <w:t> </w:t>
      </w:r>
      <w:r>
        <w:rPr>
          <w:rFonts w:ascii="Arial"/>
          <w:b/>
          <w:sz w:val="18"/>
        </w:rPr>
        <w:t>Paid-In</w:t>
      </w:r>
      <w:r>
        <w:rPr>
          <w:rFonts w:ascii="Arial"/>
          <w:b/>
          <w:spacing w:val="-1"/>
          <w:sz w:val="18"/>
        </w:rPr>
        <w:t> </w:t>
      </w:r>
      <w:r>
        <w:rPr>
          <w:rFonts w:ascii="Arial"/>
          <w:b/>
          <w:spacing w:val="-2"/>
          <w:sz w:val="18"/>
        </w:rPr>
        <w:t>Capital</w:t>
      </w:r>
    </w:p>
    <w:p>
      <w:pPr>
        <w:spacing w:before="54" w:after="58"/>
        <w:ind w:left="723"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62"/>
        <w:gridCol w:w="3389"/>
        <w:gridCol w:w="1363"/>
        <w:gridCol w:w="392"/>
        <w:gridCol w:w="950"/>
      </w:tblGrid>
      <w:tr>
        <w:trPr>
          <w:trHeight w:val="205" w:hRule="atLeast"/>
        </w:trPr>
        <w:tc>
          <w:tcPr>
            <w:tcW w:w="3262" w:type="dxa"/>
            <w:tcBorders>
              <w:bottom w:val="single" w:sz="8" w:space="0" w:color="6C6C6C"/>
            </w:tcBorders>
          </w:tcPr>
          <w:p>
            <w:pPr>
              <w:pStyle w:val="TableParagraph"/>
              <w:spacing w:line="179" w:lineRule="exact"/>
              <w:ind w:left="108"/>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3389" w:type="dxa"/>
            <w:tcBorders>
              <w:bottom w:val="single" w:sz="8" w:space="0" w:color="6C6C6C"/>
            </w:tcBorders>
          </w:tcPr>
          <w:p>
            <w:pPr>
              <w:pStyle w:val="TableParagraph"/>
              <w:spacing w:line="179" w:lineRule="exact"/>
              <w:ind w:right="126"/>
              <w:jc w:val="right"/>
              <w:rPr>
                <w:rFonts w:ascii="Arial"/>
                <w:i/>
                <w:sz w:val="16"/>
              </w:rPr>
            </w:pPr>
            <w:r>
              <w:rPr>
                <w:rFonts w:ascii="Arial"/>
                <w:i/>
                <w:color w:val="484848"/>
                <w:spacing w:val="-4"/>
                <w:sz w:val="16"/>
              </w:rPr>
              <w:t>2023</w:t>
            </w:r>
          </w:p>
        </w:tc>
        <w:tc>
          <w:tcPr>
            <w:tcW w:w="1363" w:type="dxa"/>
            <w:tcBorders>
              <w:bottom w:val="single" w:sz="8" w:space="0" w:color="6C6C6C"/>
            </w:tcBorders>
          </w:tcPr>
          <w:p>
            <w:pPr>
              <w:pStyle w:val="TableParagraph"/>
              <w:spacing w:line="179" w:lineRule="exact"/>
              <w:ind w:right="124"/>
              <w:jc w:val="right"/>
              <w:rPr>
                <w:rFonts w:ascii="Arial"/>
                <w:i/>
                <w:sz w:val="16"/>
              </w:rPr>
            </w:pPr>
            <w:r>
              <w:rPr>
                <w:rFonts w:ascii="Arial"/>
                <w:i/>
                <w:color w:val="484848"/>
                <w:spacing w:val="-4"/>
                <w:sz w:val="16"/>
              </w:rPr>
              <w:t>2022</w:t>
            </w:r>
          </w:p>
        </w:tc>
        <w:tc>
          <w:tcPr>
            <w:tcW w:w="392" w:type="dxa"/>
            <w:tcBorders>
              <w:bottom w:val="single" w:sz="8" w:space="0" w:color="6C6C6C"/>
            </w:tcBorders>
          </w:tcPr>
          <w:p>
            <w:pPr>
              <w:pStyle w:val="TableParagraph"/>
              <w:rPr>
                <w:rFonts w:ascii="Times New Roman"/>
                <w:sz w:val="14"/>
              </w:rPr>
            </w:pPr>
          </w:p>
        </w:tc>
        <w:tc>
          <w:tcPr>
            <w:tcW w:w="950" w:type="dxa"/>
            <w:tcBorders>
              <w:bottom w:val="single" w:sz="8" w:space="0" w:color="6C6C6C"/>
            </w:tcBorders>
          </w:tcPr>
          <w:p>
            <w:pPr>
              <w:pStyle w:val="TableParagraph"/>
              <w:spacing w:line="179" w:lineRule="exact"/>
              <w:ind w:right="101"/>
              <w:jc w:val="right"/>
              <w:rPr>
                <w:rFonts w:ascii="Arial"/>
                <w:i/>
                <w:sz w:val="16"/>
              </w:rPr>
            </w:pPr>
            <w:r>
              <w:rPr>
                <w:rFonts w:ascii="Arial"/>
                <w:i/>
                <w:color w:val="484848"/>
                <w:spacing w:val="-2"/>
                <w:sz w:val="16"/>
              </w:rPr>
              <w:t>Variance</w:t>
            </w:r>
          </w:p>
        </w:tc>
      </w:tr>
      <w:tr>
        <w:trPr>
          <w:trHeight w:val="196" w:hRule="atLeast"/>
        </w:trPr>
        <w:tc>
          <w:tcPr>
            <w:tcW w:w="3262" w:type="dxa"/>
            <w:tcBorders>
              <w:top w:val="single" w:sz="8" w:space="0" w:color="6C6C6C"/>
            </w:tcBorders>
          </w:tcPr>
          <w:p>
            <w:pPr>
              <w:pStyle w:val="TableParagraph"/>
              <w:spacing w:line="168" w:lineRule="exact" w:before="9"/>
              <w:ind w:left="108"/>
              <w:rPr>
                <w:sz w:val="16"/>
              </w:rPr>
            </w:pPr>
            <w:r>
              <w:rPr>
                <w:sz w:val="16"/>
              </w:rPr>
              <w:t>Paid-in</w:t>
            </w:r>
            <w:r>
              <w:rPr>
                <w:spacing w:val="-5"/>
                <w:sz w:val="16"/>
              </w:rPr>
              <w:t> </w:t>
            </w:r>
            <w:r>
              <w:rPr>
                <w:spacing w:val="-2"/>
                <w:sz w:val="16"/>
              </w:rPr>
              <w:t>Capital</w:t>
            </w:r>
          </w:p>
        </w:tc>
        <w:tc>
          <w:tcPr>
            <w:tcW w:w="3389" w:type="dxa"/>
            <w:tcBorders>
              <w:top w:val="single" w:sz="8" w:space="0" w:color="6C6C6C"/>
            </w:tcBorders>
          </w:tcPr>
          <w:p>
            <w:pPr>
              <w:pStyle w:val="TableParagraph"/>
              <w:tabs>
                <w:tab w:pos="695" w:val="left" w:leader="none"/>
              </w:tabs>
              <w:spacing w:line="164" w:lineRule="exact" w:before="12"/>
              <w:ind w:right="87"/>
              <w:jc w:val="right"/>
              <w:rPr>
                <w:sz w:val="16"/>
              </w:rPr>
            </w:pPr>
            <w:r>
              <w:rPr>
                <w:spacing w:val="-10"/>
                <w:sz w:val="16"/>
              </w:rPr>
              <w:t>$</w:t>
            </w:r>
            <w:r>
              <w:rPr>
                <w:sz w:val="16"/>
              </w:rPr>
              <w:tab/>
            </w:r>
            <w:r>
              <w:rPr>
                <w:spacing w:val="-2"/>
                <w:sz w:val="16"/>
              </w:rPr>
              <w:t>21,819</w:t>
            </w:r>
          </w:p>
        </w:tc>
        <w:tc>
          <w:tcPr>
            <w:tcW w:w="1363" w:type="dxa"/>
            <w:tcBorders>
              <w:top w:val="single" w:sz="8" w:space="0" w:color="6C6C6C"/>
            </w:tcBorders>
          </w:tcPr>
          <w:p>
            <w:pPr>
              <w:pStyle w:val="TableParagraph"/>
              <w:tabs>
                <w:tab w:pos="693" w:val="left" w:leader="none"/>
              </w:tabs>
              <w:spacing w:line="168" w:lineRule="exact" w:before="9"/>
              <w:ind w:right="87"/>
              <w:jc w:val="right"/>
              <w:rPr>
                <w:sz w:val="16"/>
              </w:rPr>
            </w:pPr>
            <w:r>
              <w:rPr>
                <w:spacing w:val="-10"/>
                <w:sz w:val="16"/>
              </w:rPr>
              <w:t>$</w:t>
            </w:r>
            <w:r>
              <w:rPr>
                <w:sz w:val="16"/>
              </w:rPr>
              <w:tab/>
            </w:r>
            <w:r>
              <w:rPr>
                <w:spacing w:val="-2"/>
                <w:sz w:val="16"/>
              </w:rPr>
              <w:t>20,499</w:t>
            </w:r>
          </w:p>
        </w:tc>
        <w:tc>
          <w:tcPr>
            <w:tcW w:w="392" w:type="dxa"/>
            <w:tcBorders>
              <w:top w:val="single" w:sz="8" w:space="0" w:color="6C6C6C"/>
            </w:tcBorders>
          </w:tcPr>
          <w:p>
            <w:pPr>
              <w:pStyle w:val="TableParagraph"/>
              <w:spacing w:line="168" w:lineRule="exact" w:before="9"/>
              <w:ind w:left="93"/>
              <w:rPr>
                <w:sz w:val="16"/>
              </w:rPr>
            </w:pPr>
            <w:r>
              <w:rPr>
                <w:spacing w:val="-10"/>
                <w:sz w:val="16"/>
              </w:rPr>
              <w:t>$</w:t>
            </w:r>
          </w:p>
        </w:tc>
        <w:tc>
          <w:tcPr>
            <w:tcW w:w="950" w:type="dxa"/>
            <w:tcBorders>
              <w:top w:val="single" w:sz="8" w:space="0" w:color="6C6C6C"/>
            </w:tcBorders>
          </w:tcPr>
          <w:p>
            <w:pPr>
              <w:pStyle w:val="TableParagraph"/>
              <w:spacing w:line="168" w:lineRule="exact" w:before="9"/>
              <w:ind w:right="64"/>
              <w:jc w:val="right"/>
              <w:rPr>
                <w:sz w:val="16"/>
              </w:rPr>
            </w:pPr>
            <w:r>
              <w:rPr>
                <w:spacing w:val="-2"/>
                <w:sz w:val="16"/>
              </w:rPr>
              <w:t>1,320</w:t>
            </w:r>
          </w:p>
        </w:tc>
      </w:tr>
    </w:tbl>
    <w:p>
      <w:pPr>
        <w:pStyle w:val="TableParagraph"/>
        <w:spacing w:after="0" w:line="168" w:lineRule="exact"/>
        <w:jc w:val="right"/>
        <w:rPr>
          <w:sz w:val="16"/>
        </w:rPr>
        <w:sectPr>
          <w:pgSz w:w="12240" w:h="15840"/>
          <w:pgMar w:header="744" w:footer="583" w:top="1020" w:bottom="780" w:left="720" w:right="720"/>
        </w:sectPr>
      </w:pPr>
    </w:p>
    <w:p>
      <w:pPr>
        <w:spacing w:line="208" w:lineRule="auto" w:before="73"/>
        <w:ind w:left="827" w:right="0" w:firstLine="0"/>
        <w:jc w:val="left"/>
        <w:rPr>
          <w:rFonts w:ascii="Arial MT"/>
          <w:sz w:val="16"/>
        </w:rPr>
      </w:pPr>
      <w:r>
        <w:rPr>
          <w:rFonts w:ascii="Arial MT"/>
          <w:sz w:val="16"/>
        </w:rPr>
        <w:t>Adjustment</w:t>
      </w:r>
      <w:r>
        <w:rPr>
          <w:rFonts w:ascii="Arial MT"/>
          <w:spacing w:val="-5"/>
          <w:sz w:val="16"/>
        </w:rPr>
        <w:t> </w:t>
      </w:r>
      <w:r>
        <w:rPr>
          <w:rFonts w:ascii="Arial MT"/>
          <w:sz w:val="16"/>
        </w:rPr>
        <w:t>on</w:t>
      </w:r>
      <w:r>
        <w:rPr>
          <w:rFonts w:ascii="Arial MT"/>
          <w:spacing w:val="-6"/>
          <w:sz w:val="16"/>
        </w:rPr>
        <w:t> </w:t>
      </w:r>
      <w:r>
        <w:rPr>
          <w:rFonts w:ascii="Arial MT"/>
          <w:sz w:val="16"/>
        </w:rPr>
        <w:t>released</w:t>
      </w:r>
      <w:r>
        <w:rPr>
          <w:rFonts w:ascii="Arial MT"/>
          <w:spacing w:val="-6"/>
          <w:sz w:val="16"/>
        </w:rPr>
        <w:t> </w:t>
      </w:r>
      <w:r>
        <w:rPr>
          <w:rFonts w:ascii="Arial MT"/>
          <w:sz w:val="16"/>
        </w:rPr>
        <w:t>NCPIC</w:t>
      </w:r>
      <w:r>
        <w:rPr>
          <w:rFonts w:ascii="Arial MT"/>
          <w:spacing w:val="-5"/>
          <w:sz w:val="16"/>
        </w:rPr>
        <w:t> </w:t>
      </w:r>
      <w:r>
        <w:rPr>
          <w:rFonts w:ascii="Arial MT"/>
          <w:sz w:val="16"/>
        </w:rPr>
        <w:t>for</w:t>
      </w:r>
      <w:r>
        <w:rPr>
          <w:rFonts w:ascii="Arial MT"/>
          <w:spacing w:val="-5"/>
          <w:sz w:val="16"/>
        </w:rPr>
        <w:t> </w:t>
      </w:r>
      <w:r>
        <w:rPr>
          <w:rFonts w:ascii="Arial MT"/>
          <w:sz w:val="16"/>
        </w:rPr>
        <w:t>net</w:t>
      </w:r>
      <w:r>
        <w:rPr>
          <w:rFonts w:ascii="Arial MT"/>
          <w:spacing w:val="-5"/>
          <w:sz w:val="16"/>
        </w:rPr>
        <w:t> </w:t>
      </w:r>
      <w:r>
        <w:rPr>
          <w:rFonts w:ascii="Arial MT"/>
          <w:sz w:val="16"/>
        </w:rPr>
        <w:t>deferred</w:t>
      </w:r>
      <w:r>
        <w:rPr>
          <w:rFonts w:ascii="Arial MT"/>
          <w:spacing w:val="-6"/>
          <w:sz w:val="16"/>
        </w:rPr>
        <w:t> </w:t>
      </w:r>
      <w:r>
        <w:rPr>
          <w:rFonts w:ascii="Arial MT"/>
          <w:sz w:val="16"/>
        </w:rPr>
        <w:t>MOV</w:t>
      </w:r>
      <w:r>
        <w:rPr>
          <w:rFonts w:ascii="Arial MT"/>
          <w:spacing w:val="-5"/>
          <w:sz w:val="16"/>
        </w:rPr>
        <w:t> </w:t>
      </w:r>
      <w:r>
        <w:rPr>
          <w:rFonts w:ascii="Arial MT"/>
          <w:sz w:val="16"/>
        </w:rPr>
        <w:t>(receivable) payable </w:t>
      </w:r>
      <w:r>
        <w:rPr>
          <w:rFonts w:ascii="Arial MT"/>
          <w:sz w:val="16"/>
          <w:vertAlign w:val="superscript"/>
        </w:rPr>
        <w:t>a</w:t>
      </w:r>
    </w:p>
    <w:p>
      <w:pPr>
        <w:spacing w:before="65"/>
        <w:ind w:left="828" w:right="0" w:firstLine="0"/>
        <w:jc w:val="left"/>
        <w:rPr>
          <w:rFonts w:ascii="Arial MT"/>
          <w:sz w:val="16"/>
        </w:rPr>
      </w:pPr>
      <w:r>
        <w:rPr>
          <w:rFonts w:ascii="Arial MT"/>
          <w:sz w:val="16"/>
        </w:rPr>
        <w:t>Adjustments</w:t>
      </w:r>
      <w:r>
        <w:rPr>
          <w:rFonts w:ascii="Arial MT"/>
          <w:spacing w:val="-5"/>
          <w:sz w:val="16"/>
        </w:rPr>
        <w:t> </w:t>
      </w:r>
      <w:r>
        <w:rPr>
          <w:rFonts w:ascii="Arial MT"/>
          <w:sz w:val="16"/>
        </w:rPr>
        <w:t>for</w:t>
      </w:r>
      <w:r>
        <w:rPr>
          <w:rFonts w:ascii="Arial MT"/>
          <w:spacing w:val="-4"/>
          <w:sz w:val="16"/>
        </w:rPr>
        <w:t> </w:t>
      </w:r>
      <w:r>
        <w:rPr>
          <w:rFonts w:ascii="Arial MT"/>
          <w:sz w:val="16"/>
        </w:rPr>
        <w:t>unreleased</w:t>
      </w:r>
      <w:r>
        <w:rPr>
          <w:rFonts w:ascii="Arial MT"/>
          <w:spacing w:val="-5"/>
          <w:sz w:val="16"/>
        </w:rPr>
        <w:t> </w:t>
      </w:r>
      <w:r>
        <w:rPr>
          <w:rFonts w:ascii="Arial MT"/>
          <w:spacing w:val="-2"/>
          <w:sz w:val="16"/>
        </w:rPr>
        <w:t>NCPIC:</w:t>
      </w:r>
    </w:p>
    <w:p>
      <w:pPr>
        <w:tabs>
          <w:tab w:pos="2192" w:val="left" w:leader="none"/>
          <w:tab w:pos="3646" w:val="left" w:leader="none"/>
        </w:tabs>
        <w:spacing w:before="140"/>
        <w:ind w:left="827" w:right="0" w:firstLine="0"/>
        <w:jc w:val="left"/>
        <w:rPr>
          <w:rFonts w:ascii="Arial MT"/>
          <w:sz w:val="16"/>
        </w:rPr>
      </w:pPr>
      <w:r>
        <w:rPr/>
        <w:br w:type="column"/>
      </w:r>
      <w:r>
        <w:rPr>
          <w:rFonts w:ascii="Arial MT"/>
          <w:spacing w:val="-2"/>
          <w:sz w:val="16"/>
        </w:rPr>
        <w:t>(436)</w:t>
      </w:r>
      <w:r>
        <w:rPr>
          <w:rFonts w:ascii="Arial MT"/>
          <w:sz w:val="16"/>
        </w:rPr>
        <w:tab/>
      </w:r>
      <w:r>
        <w:rPr>
          <w:rFonts w:ascii="Arial MT"/>
          <w:spacing w:val="-4"/>
          <w:sz w:val="16"/>
        </w:rPr>
        <w:t>(424)</w:t>
      </w:r>
      <w:r>
        <w:rPr>
          <w:rFonts w:ascii="Arial MT"/>
          <w:sz w:val="16"/>
        </w:rPr>
        <w:tab/>
      </w:r>
      <w:r>
        <w:rPr>
          <w:rFonts w:ascii="Arial MT"/>
          <w:spacing w:val="-4"/>
          <w:sz w:val="16"/>
        </w:rPr>
        <w:t>(12)</w:t>
      </w:r>
    </w:p>
    <w:p>
      <w:pPr>
        <w:spacing w:after="0"/>
        <w:jc w:val="left"/>
        <w:rPr>
          <w:rFonts w:ascii="Arial MT"/>
          <w:sz w:val="16"/>
        </w:rPr>
        <w:sectPr>
          <w:type w:val="continuous"/>
          <w:pgSz w:w="12240" w:h="15840"/>
          <w:pgMar w:header="744" w:footer="583" w:top="1820" w:bottom="280" w:left="720" w:right="720"/>
          <w:cols w:num="2" w:equalWidth="0">
            <w:col w:w="5515" w:space="620"/>
            <w:col w:w="4665"/>
          </w:cols>
        </w:sectPr>
      </w:pPr>
    </w:p>
    <w:p>
      <w:pPr>
        <w:pStyle w:val="BodyText"/>
        <w:spacing w:before="4"/>
        <w:rPr>
          <w:rFonts w:ascii="Arial MT"/>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5"/>
        <w:gridCol w:w="1354"/>
        <w:gridCol w:w="1365"/>
        <w:gridCol w:w="1316"/>
      </w:tblGrid>
      <w:tr>
        <w:trPr>
          <w:trHeight w:val="211" w:hRule="atLeast"/>
        </w:trPr>
        <w:tc>
          <w:tcPr>
            <w:tcW w:w="5325" w:type="dxa"/>
          </w:tcPr>
          <w:p>
            <w:pPr>
              <w:pStyle w:val="TableParagraph"/>
              <w:spacing w:line="179" w:lineRule="exact"/>
              <w:ind w:left="772"/>
              <w:rPr>
                <w:sz w:val="16"/>
              </w:rPr>
            </w:pPr>
            <w:r>
              <w:rPr>
                <w:sz w:val="16"/>
              </w:rPr>
              <w:t>Restricted</w:t>
            </w:r>
            <w:r>
              <w:rPr>
                <w:spacing w:val="-7"/>
                <w:sz w:val="16"/>
              </w:rPr>
              <w:t> </w:t>
            </w:r>
            <w:r>
              <w:rPr>
                <w:spacing w:val="-4"/>
                <w:sz w:val="16"/>
              </w:rPr>
              <w:t>cash</w:t>
            </w:r>
          </w:p>
        </w:tc>
        <w:tc>
          <w:tcPr>
            <w:tcW w:w="1354" w:type="dxa"/>
          </w:tcPr>
          <w:p>
            <w:pPr>
              <w:pStyle w:val="TableParagraph"/>
              <w:spacing w:line="182" w:lineRule="exact"/>
              <w:ind w:right="61"/>
              <w:jc w:val="right"/>
              <w:rPr>
                <w:sz w:val="16"/>
              </w:rPr>
            </w:pPr>
            <w:r>
              <w:rPr>
                <w:spacing w:val="-4"/>
                <w:sz w:val="16"/>
              </w:rPr>
              <w:t>(51)</w:t>
            </w:r>
          </w:p>
        </w:tc>
        <w:tc>
          <w:tcPr>
            <w:tcW w:w="1365" w:type="dxa"/>
          </w:tcPr>
          <w:p>
            <w:pPr>
              <w:pStyle w:val="TableParagraph"/>
              <w:spacing w:line="182" w:lineRule="exact"/>
              <w:ind w:right="61"/>
              <w:jc w:val="right"/>
              <w:rPr>
                <w:sz w:val="16"/>
              </w:rPr>
            </w:pPr>
            <w:r>
              <w:rPr>
                <w:spacing w:val="-4"/>
                <w:sz w:val="16"/>
              </w:rPr>
              <w:t>(55)</w:t>
            </w:r>
          </w:p>
        </w:tc>
        <w:tc>
          <w:tcPr>
            <w:tcW w:w="1316" w:type="dxa"/>
          </w:tcPr>
          <w:p>
            <w:pPr>
              <w:pStyle w:val="TableParagraph"/>
              <w:spacing w:line="182" w:lineRule="exact"/>
              <w:ind w:right="66"/>
              <w:jc w:val="right"/>
              <w:rPr>
                <w:sz w:val="16"/>
              </w:rPr>
            </w:pPr>
            <w:r>
              <w:rPr>
                <w:spacing w:val="-10"/>
                <w:sz w:val="16"/>
              </w:rPr>
              <w:t>4</w:t>
            </w:r>
          </w:p>
        </w:tc>
      </w:tr>
      <w:tr>
        <w:trPr>
          <w:trHeight w:val="240" w:hRule="atLeast"/>
        </w:trPr>
        <w:tc>
          <w:tcPr>
            <w:tcW w:w="5325" w:type="dxa"/>
          </w:tcPr>
          <w:p>
            <w:pPr>
              <w:pStyle w:val="TableParagraph"/>
              <w:spacing w:before="23"/>
              <w:ind w:left="772"/>
              <w:rPr>
                <w:sz w:val="16"/>
              </w:rPr>
            </w:pPr>
            <w:r>
              <w:rPr>
                <w:sz w:val="16"/>
              </w:rPr>
              <w:t>Demand</w:t>
            </w:r>
            <w:r>
              <w:rPr>
                <w:spacing w:val="-7"/>
                <w:sz w:val="16"/>
              </w:rPr>
              <w:t> </w:t>
            </w:r>
            <w:r>
              <w:rPr>
                <w:spacing w:val="-2"/>
                <w:sz w:val="16"/>
              </w:rPr>
              <w:t>notes</w:t>
            </w:r>
          </w:p>
        </w:tc>
        <w:tc>
          <w:tcPr>
            <w:tcW w:w="1354" w:type="dxa"/>
          </w:tcPr>
          <w:p>
            <w:pPr>
              <w:pStyle w:val="TableParagraph"/>
              <w:spacing w:before="27"/>
              <w:ind w:right="61"/>
              <w:jc w:val="right"/>
              <w:rPr>
                <w:sz w:val="16"/>
              </w:rPr>
            </w:pPr>
            <w:r>
              <w:rPr>
                <w:spacing w:val="-2"/>
                <w:sz w:val="16"/>
              </w:rPr>
              <w:t>(320)</w:t>
            </w:r>
          </w:p>
        </w:tc>
        <w:tc>
          <w:tcPr>
            <w:tcW w:w="1365" w:type="dxa"/>
          </w:tcPr>
          <w:p>
            <w:pPr>
              <w:pStyle w:val="TableParagraph"/>
              <w:spacing w:before="27"/>
              <w:ind w:right="61"/>
              <w:jc w:val="right"/>
              <w:rPr>
                <w:sz w:val="16"/>
              </w:rPr>
            </w:pPr>
            <w:r>
              <w:rPr>
                <w:spacing w:val="-2"/>
                <w:sz w:val="16"/>
              </w:rPr>
              <w:t>(316)</w:t>
            </w:r>
          </w:p>
        </w:tc>
        <w:tc>
          <w:tcPr>
            <w:tcW w:w="1316" w:type="dxa"/>
          </w:tcPr>
          <w:p>
            <w:pPr>
              <w:pStyle w:val="TableParagraph"/>
              <w:spacing w:before="27"/>
              <w:ind w:right="12"/>
              <w:jc w:val="right"/>
              <w:rPr>
                <w:sz w:val="16"/>
              </w:rPr>
            </w:pPr>
            <w:r>
              <w:rPr>
                <w:spacing w:val="-5"/>
                <w:sz w:val="16"/>
              </w:rPr>
              <w:t>(4)</w:t>
            </w:r>
          </w:p>
        </w:tc>
      </w:tr>
      <w:tr>
        <w:trPr>
          <w:trHeight w:val="240" w:hRule="atLeast"/>
        </w:trPr>
        <w:tc>
          <w:tcPr>
            <w:tcW w:w="5325" w:type="dxa"/>
          </w:tcPr>
          <w:p>
            <w:pPr>
              <w:pStyle w:val="TableParagraph"/>
              <w:spacing w:before="23"/>
              <w:ind w:left="772"/>
              <w:rPr>
                <w:sz w:val="16"/>
              </w:rPr>
            </w:pPr>
            <w:r>
              <w:rPr>
                <w:sz w:val="16"/>
              </w:rPr>
              <w:t>MOV </w:t>
            </w:r>
            <w:r>
              <w:rPr>
                <w:spacing w:val="-2"/>
                <w:sz w:val="16"/>
              </w:rPr>
              <w:t>receivable</w:t>
            </w:r>
          </w:p>
        </w:tc>
        <w:tc>
          <w:tcPr>
            <w:tcW w:w="1354" w:type="dxa"/>
          </w:tcPr>
          <w:p>
            <w:pPr>
              <w:pStyle w:val="TableParagraph"/>
              <w:spacing w:before="27"/>
              <w:ind w:right="61"/>
              <w:jc w:val="right"/>
              <w:rPr>
                <w:sz w:val="16"/>
              </w:rPr>
            </w:pPr>
            <w:r>
              <w:rPr>
                <w:spacing w:val="-2"/>
                <w:sz w:val="16"/>
              </w:rPr>
              <w:t>(345)</w:t>
            </w:r>
          </w:p>
        </w:tc>
        <w:tc>
          <w:tcPr>
            <w:tcW w:w="1365" w:type="dxa"/>
          </w:tcPr>
          <w:p>
            <w:pPr>
              <w:pStyle w:val="TableParagraph"/>
              <w:spacing w:before="27"/>
              <w:ind w:right="61"/>
              <w:jc w:val="right"/>
              <w:rPr>
                <w:sz w:val="16"/>
              </w:rPr>
            </w:pPr>
            <w:r>
              <w:rPr>
                <w:spacing w:val="-2"/>
                <w:sz w:val="16"/>
              </w:rPr>
              <w:t>(354)</w:t>
            </w:r>
          </w:p>
        </w:tc>
        <w:tc>
          <w:tcPr>
            <w:tcW w:w="1316" w:type="dxa"/>
          </w:tcPr>
          <w:p>
            <w:pPr>
              <w:pStyle w:val="TableParagraph"/>
              <w:spacing w:before="27"/>
              <w:ind w:right="66"/>
              <w:jc w:val="right"/>
              <w:rPr>
                <w:sz w:val="16"/>
              </w:rPr>
            </w:pPr>
            <w:r>
              <w:rPr>
                <w:spacing w:val="-10"/>
                <w:sz w:val="16"/>
              </w:rPr>
              <w:t>9</w:t>
            </w:r>
          </w:p>
        </w:tc>
      </w:tr>
      <w:tr>
        <w:trPr>
          <w:trHeight w:val="234" w:hRule="atLeast"/>
        </w:trPr>
        <w:tc>
          <w:tcPr>
            <w:tcW w:w="5325" w:type="dxa"/>
          </w:tcPr>
          <w:p>
            <w:pPr>
              <w:pStyle w:val="TableParagraph"/>
              <w:spacing w:before="23"/>
              <w:ind w:left="772"/>
              <w:rPr>
                <w:sz w:val="16"/>
              </w:rPr>
            </w:pPr>
            <w:r>
              <w:rPr>
                <w:sz w:val="16"/>
              </w:rPr>
              <w:t>MOV </w:t>
            </w:r>
            <w:r>
              <w:rPr>
                <w:spacing w:val="-2"/>
                <w:sz w:val="16"/>
              </w:rPr>
              <w:t>payable</w:t>
            </w:r>
          </w:p>
        </w:tc>
        <w:tc>
          <w:tcPr>
            <w:tcW w:w="1354" w:type="dxa"/>
            <w:tcBorders>
              <w:bottom w:val="single" w:sz="8" w:space="0" w:color="6C6C6C"/>
            </w:tcBorders>
          </w:tcPr>
          <w:p>
            <w:pPr>
              <w:pStyle w:val="TableParagraph"/>
              <w:spacing w:before="27"/>
              <w:ind w:right="115"/>
              <w:jc w:val="right"/>
              <w:rPr>
                <w:sz w:val="16"/>
              </w:rPr>
            </w:pPr>
            <w:r>
              <w:rPr>
                <w:spacing w:val="-10"/>
                <w:sz w:val="16"/>
              </w:rPr>
              <w:t>2</w:t>
            </w:r>
          </w:p>
        </w:tc>
        <w:tc>
          <w:tcPr>
            <w:tcW w:w="1365" w:type="dxa"/>
            <w:tcBorders>
              <w:bottom w:val="single" w:sz="8" w:space="0" w:color="6C6C6C"/>
            </w:tcBorders>
          </w:tcPr>
          <w:p>
            <w:pPr>
              <w:pStyle w:val="TableParagraph"/>
              <w:spacing w:before="27"/>
              <w:ind w:right="115"/>
              <w:jc w:val="right"/>
              <w:rPr>
                <w:sz w:val="16"/>
              </w:rPr>
            </w:pPr>
            <w:r>
              <w:rPr>
                <w:spacing w:val="-10"/>
                <w:sz w:val="16"/>
              </w:rPr>
              <w:t>2</w:t>
            </w:r>
          </w:p>
        </w:tc>
        <w:tc>
          <w:tcPr>
            <w:tcW w:w="1316" w:type="dxa"/>
            <w:tcBorders>
              <w:bottom w:val="single" w:sz="8" w:space="0" w:color="6C6C6C"/>
            </w:tcBorders>
          </w:tcPr>
          <w:p>
            <w:pPr>
              <w:pStyle w:val="TableParagraph"/>
              <w:spacing w:before="27"/>
              <w:ind w:right="66"/>
              <w:jc w:val="right"/>
              <w:rPr>
                <w:sz w:val="16"/>
              </w:rPr>
            </w:pPr>
            <w:r>
              <w:rPr>
                <w:sz w:val="16"/>
              </w:rPr>
              <w:t>—</w:t>
            </w:r>
          </w:p>
        </w:tc>
      </w:tr>
      <w:tr>
        <w:trPr>
          <w:trHeight w:val="220" w:hRule="atLeast"/>
        </w:trPr>
        <w:tc>
          <w:tcPr>
            <w:tcW w:w="5325" w:type="dxa"/>
          </w:tcPr>
          <w:p>
            <w:pPr>
              <w:pStyle w:val="TableParagraph"/>
              <w:spacing w:before="9"/>
              <w:ind w:left="108"/>
              <w:rPr>
                <w:sz w:val="16"/>
              </w:rPr>
            </w:pPr>
            <w:r>
              <w:rPr>
                <w:sz w:val="16"/>
              </w:rPr>
              <w:t>Total</w:t>
            </w:r>
            <w:r>
              <w:rPr>
                <w:spacing w:val="-12"/>
                <w:sz w:val="16"/>
              </w:rPr>
              <w:t> </w:t>
            </w:r>
            <w:r>
              <w:rPr>
                <w:sz w:val="16"/>
              </w:rPr>
              <w:t>Adjustments</w:t>
            </w:r>
            <w:r>
              <w:rPr>
                <w:spacing w:val="-11"/>
                <w:sz w:val="16"/>
              </w:rPr>
              <w:t> </w:t>
            </w:r>
            <w:r>
              <w:rPr>
                <w:sz w:val="16"/>
              </w:rPr>
              <w:t>for</w:t>
            </w:r>
            <w:r>
              <w:rPr>
                <w:spacing w:val="-11"/>
                <w:sz w:val="16"/>
              </w:rPr>
              <w:t> </w:t>
            </w:r>
            <w:r>
              <w:rPr>
                <w:sz w:val="16"/>
              </w:rPr>
              <w:t>unreleased</w:t>
            </w:r>
            <w:r>
              <w:rPr>
                <w:spacing w:val="-9"/>
                <w:sz w:val="16"/>
              </w:rPr>
              <w:t> </w:t>
            </w:r>
            <w:r>
              <w:rPr>
                <w:spacing w:val="-2"/>
                <w:sz w:val="16"/>
              </w:rPr>
              <w:t>NCPIC</w:t>
            </w:r>
          </w:p>
        </w:tc>
        <w:tc>
          <w:tcPr>
            <w:tcW w:w="1354" w:type="dxa"/>
            <w:tcBorders>
              <w:top w:val="single" w:sz="8" w:space="0" w:color="6C6C6C"/>
              <w:bottom w:val="single" w:sz="8" w:space="0" w:color="6C6C6C"/>
            </w:tcBorders>
          </w:tcPr>
          <w:p>
            <w:pPr>
              <w:pStyle w:val="TableParagraph"/>
              <w:spacing w:before="12"/>
              <w:ind w:right="61"/>
              <w:jc w:val="right"/>
              <w:rPr>
                <w:sz w:val="16"/>
              </w:rPr>
            </w:pPr>
            <w:r>
              <w:rPr>
                <w:spacing w:val="-2"/>
                <w:sz w:val="16"/>
              </w:rPr>
              <w:t>(714)</w:t>
            </w:r>
          </w:p>
        </w:tc>
        <w:tc>
          <w:tcPr>
            <w:tcW w:w="1365" w:type="dxa"/>
            <w:tcBorders>
              <w:top w:val="single" w:sz="8" w:space="0" w:color="6C6C6C"/>
              <w:bottom w:val="single" w:sz="8" w:space="0" w:color="6C6C6C"/>
            </w:tcBorders>
          </w:tcPr>
          <w:p>
            <w:pPr>
              <w:pStyle w:val="TableParagraph"/>
              <w:spacing w:before="12"/>
              <w:ind w:right="61"/>
              <w:jc w:val="right"/>
              <w:rPr>
                <w:sz w:val="16"/>
              </w:rPr>
            </w:pPr>
            <w:r>
              <w:rPr>
                <w:spacing w:val="-2"/>
                <w:sz w:val="16"/>
              </w:rPr>
              <w:t>(723)</w:t>
            </w:r>
          </w:p>
        </w:tc>
        <w:tc>
          <w:tcPr>
            <w:tcW w:w="1316" w:type="dxa"/>
            <w:tcBorders>
              <w:top w:val="single" w:sz="8" w:space="0" w:color="6C6C6C"/>
              <w:bottom w:val="single" w:sz="8" w:space="0" w:color="6C6C6C"/>
            </w:tcBorders>
          </w:tcPr>
          <w:p>
            <w:pPr>
              <w:pStyle w:val="TableParagraph"/>
              <w:spacing w:before="12"/>
              <w:ind w:right="66"/>
              <w:jc w:val="right"/>
              <w:rPr>
                <w:sz w:val="16"/>
              </w:rPr>
            </w:pPr>
            <w:r>
              <w:rPr>
                <w:spacing w:val="-10"/>
                <w:sz w:val="16"/>
              </w:rPr>
              <w:t>9</w:t>
            </w:r>
          </w:p>
        </w:tc>
      </w:tr>
      <w:tr>
        <w:trPr>
          <w:trHeight w:val="200" w:hRule="atLeast"/>
        </w:trPr>
        <w:tc>
          <w:tcPr>
            <w:tcW w:w="5325" w:type="dxa"/>
          </w:tcPr>
          <w:p>
            <w:pPr>
              <w:pStyle w:val="TableParagraph"/>
              <w:spacing w:line="171" w:lineRule="exact" w:before="9"/>
              <w:ind w:left="108"/>
              <w:rPr>
                <w:rFonts w:ascii="Arial"/>
                <w:b/>
                <w:sz w:val="16"/>
              </w:rPr>
            </w:pPr>
            <w:r>
              <w:rPr>
                <w:rFonts w:ascii="Arial"/>
                <w:b/>
                <w:sz w:val="16"/>
              </w:rPr>
              <w:t>Usable</w:t>
            </w:r>
            <w:r>
              <w:rPr>
                <w:rFonts w:ascii="Arial"/>
                <w:b/>
                <w:spacing w:val="-5"/>
                <w:sz w:val="16"/>
              </w:rPr>
              <w:t> </w:t>
            </w:r>
            <w:r>
              <w:rPr>
                <w:rFonts w:ascii="Arial"/>
                <w:b/>
                <w:sz w:val="16"/>
              </w:rPr>
              <w:t>paid-in</w:t>
            </w:r>
            <w:r>
              <w:rPr>
                <w:rFonts w:ascii="Arial"/>
                <w:b/>
                <w:spacing w:val="-4"/>
                <w:sz w:val="16"/>
              </w:rPr>
              <w:t> </w:t>
            </w:r>
            <w:r>
              <w:rPr>
                <w:rFonts w:ascii="Arial"/>
                <w:b/>
                <w:spacing w:val="-2"/>
                <w:sz w:val="16"/>
              </w:rPr>
              <w:t>capital</w:t>
            </w:r>
          </w:p>
        </w:tc>
        <w:tc>
          <w:tcPr>
            <w:tcW w:w="1354" w:type="dxa"/>
            <w:tcBorders>
              <w:top w:val="single" w:sz="8" w:space="0" w:color="6C6C6C"/>
              <w:bottom w:val="double" w:sz="8" w:space="0" w:color="6C6C6C"/>
            </w:tcBorders>
          </w:tcPr>
          <w:p>
            <w:pPr>
              <w:pStyle w:val="TableParagraph"/>
              <w:tabs>
                <w:tab w:pos="695"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20,669</w:t>
            </w:r>
          </w:p>
        </w:tc>
        <w:tc>
          <w:tcPr>
            <w:tcW w:w="1365" w:type="dxa"/>
            <w:tcBorders>
              <w:top w:val="single" w:sz="8" w:space="0" w:color="6C6C6C"/>
              <w:bottom w:val="double" w:sz="8" w:space="0" w:color="6C6C6C"/>
            </w:tcBorders>
          </w:tcPr>
          <w:p>
            <w:pPr>
              <w:pStyle w:val="TableParagraph"/>
              <w:tabs>
                <w:tab w:pos="695"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19,352</w:t>
            </w:r>
          </w:p>
        </w:tc>
        <w:tc>
          <w:tcPr>
            <w:tcW w:w="1316" w:type="dxa"/>
            <w:tcBorders>
              <w:top w:val="single" w:sz="8" w:space="0" w:color="6C6C6C"/>
              <w:bottom w:val="double" w:sz="8" w:space="0" w:color="6C6C6C"/>
            </w:tcBorders>
          </w:tcPr>
          <w:p>
            <w:pPr>
              <w:pStyle w:val="TableParagraph"/>
              <w:tabs>
                <w:tab w:pos="784" w:val="left" w:leader="none"/>
              </w:tabs>
              <w:spacing w:line="167" w:lineRule="exact" w:before="12"/>
              <w:ind w:right="66"/>
              <w:jc w:val="right"/>
              <w:rPr>
                <w:rFonts w:ascii="Arial"/>
                <w:b/>
                <w:sz w:val="16"/>
              </w:rPr>
            </w:pPr>
            <w:r>
              <w:rPr>
                <w:rFonts w:ascii="Arial"/>
                <w:b/>
                <w:spacing w:val="-10"/>
                <w:sz w:val="16"/>
              </w:rPr>
              <w:t>$</w:t>
            </w:r>
            <w:r>
              <w:rPr>
                <w:rFonts w:ascii="Arial"/>
                <w:b/>
                <w:sz w:val="16"/>
              </w:rPr>
              <w:tab/>
            </w:r>
            <w:r>
              <w:rPr>
                <w:rFonts w:ascii="Arial"/>
                <w:b/>
                <w:spacing w:val="-2"/>
                <w:sz w:val="16"/>
              </w:rPr>
              <w:t>1,317</w:t>
            </w:r>
          </w:p>
        </w:tc>
      </w:tr>
      <w:tr>
        <w:trPr>
          <w:trHeight w:val="245" w:hRule="atLeast"/>
        </w:trPr>
        <w:tc>
          <w:tcPr>
            <w:tcW w:w="5325" w:type="dxa"/>
            <w:tcBorders>
              <w:bottom w:val="single" w:sz="8" w:space="0" w:color="6C6C6C"/>
            </w:tcBorders>
          </w:tcPr>
          <w:p>
            <w:pPr>
              <w:pStyle w:val="TableParagraph"/>
              <w:rPr>
                <w:rFonts w:ascii="Times New Roman"/>
                <w:sz w:val="16"/>
              </w:rPr>
            </w:pPr>
          </w:p>
        </w:tc>
        <w:tc>
          <w:tcPr>
            <w:tcW w:w="1354" w:type="dxa"/>
            <w:tcBorders>
              <w:top w:val="double" w:sz="8" w:space="0" w:color="6C6C6C"/>
              <w:bottom w:val="single" w:sz="8" w:space="0" w:color="6C6C6C"/>
            </w:tcBorders>
          </w:tcPr>
          <w:p>
            <w:pPr>
              <w:pStyle w:val="TableParagraph"/>
              <w:rPr>
                <w:rFonts w:ascii="Times New Roman"/>
                <w:sz w:val="16"/>
              </w:rPr>
            </w:pPr>
          </w:p>
        </w:tc>
        <w:tc>
          <w:tcPr>
            <w:tcW w:w="1365" w:type="dxa"/>
            <w:tcBorders>
              <w:top w:val="double" w:sz="8" w:space="0" w:color="6C6C6C"/>
              <w:bottom w:val="single" w:sz="8" w:space="0" w:color="6C6C6C"/>
            </w:tcBorders>
          </w:tcPr>
          <w:p>
            <w:pPr>
              <w:pStyle w:val="TableParagraph"/>
              <w:rPr>
                <w:rFonts w:ascii="Times New Roman"/>
                <w:sz w:val="16"/>
              </w:rPr>
            </w:pPr>
          </w:p>
        </w:tc>
        <w:tc>
          <w:tcPr>
            <w:tcW w:w="1316" w:type="dxa"/>
            <w:tcBorders>
              <w:top w:val="double" w:sz="8" w:space="0" w:color="6C6C6C"/>
              <w:bottom w:val="single" w:sz="8" w:space="0" w:color="6C6C6C"/>
            </w:tcBorders>
          </w:tcPr>
          <w:p>
            <w:pPr>
              <w:pStyle w:val="TableParagraph"/>
              <w:rPr>
                <w:rFonts w:ascii="Times New Roman"/>
                <w:sz w:val="16"/>
              </w:rPr>
            </w:pPr>
          </w:p>
        </w:tc>
      </w:tr>
      <w:tr>
        <w:trPr>
          <w:trHeight w:val="196" w:hRule="atLeast"/>
        </w:trPr>
        <w:tc>
          <w:tcPr>
            <w:tcW w:w="5325" w:type="dxa"/>
            <w:tcBorders>
              <w:top w:val="single" w:sz="8" w:space="0" w:color="6C6C6C"/>
            </w:tcBorders>
          </w:tcPr>
          <w:p>
            <w:pPr>
              <w:pStyle w:val="TableParagraph"/>
              <w:spacing w:line="164" w:lineRule="exact" w:before="12"/>
              <w:ind w:left="52"/>
              <w:rPr>
                <w:rFonts w:ascii="Arial"/>
                <w:i/>
                <w:sz w:val="16"/>
              </w:rPr>
            </w:pPr>
            <w:r>
              <w:rPr>
                <w:rFonts w:ascii="Arial"/>
                <w:i/>
                <w:sz w:val="16"/>
              </w:rPr>
              <w:t>a.</w:t>
            </w:r>
            <w:r>
              <w:rPr>
                <w:rFonts w:ascii="Arial"/>
                <w:i/>
                <w:spacing w:val="-4"/>
                <w:sz w:val="16"/>
              </w:rPr>
              <w:t> </w:t>
            </w:r>
            <w:r>
              <w:rPr>
                <w:rFonts w:ascii="Arial"/>
                <w:i/>
                <w:sz w:val="16"/>
              </w:rPr>
              <w:t>The</w:t>
            </w:r>
            <w:r>
              <w:rPr>
                <w:rFonts w:ascii="Arial"/>
                <w:i/>
                <w:spacing w:val="-3"/>
                <w:sz w:val="16"/>
              </w:rPr>
              <w:t> </w:t>
            </w:r>
            <w:r>
              <w:rPr>
                <w:rFonts w:ascii="Arial"/>
                <w:i/>
                <w:sz w:val="16"/>
              </w:rPr>
              <w:t>MOV</w:t>
            </w:r>
            <w:r>
              <w:rPr>
                <w:rFonts w:ascii="Arial"/>
                <w:i/>
                <w:spacing w:val="-2"/>
                <w:sz w:val="16"/>
              </w:rPr>
              <w:t> </w:t>
            </w:r>
            <w:r>
              <w:rPr>
                <w:rFonts w:ascii="Arial"/>
                <w:i/>
                <w:sz w:val="16"/>
              </w:rPr>
              <w:t>on</w:t>
            </w:r>
            <w:r>
              <w:rPr>
                <w:rFonts w:ascii="Arial"/>
                <w:i/>
                <w:spacing w:val="-3"/>
                <w:sz w:val="16"/>
              </w:rPr>
              <w:t> </w:t>
            </w:r>
            <w:r>
              <w:rPr>
                <w:rFonts w:ascii="Arial"/>
                <w:i/>
                <w:sz w:val="16"/>
              </w:rPr>
              <w:t>released</w:t>
            </w:r>
            <w:r>
              <w:rPr>
                <w:rFonts w:ascii="Arial"/>
                <w:i/>
                <w:spacing w:val="-3"/>
                <w:sz w:val="16"/>
              </w:rPr>
              <w:t> </w:t>
            </w:r>
            <w:r>
              <w:rPr>
                <w:rFonts w:ascii="Arial"/>
                <w:i/>
                <w:sz w:val="16"/>
              </w:rPr>
              <w:t>NCPIC</w:t>
            </w:r>
            <w:r>
              <w:rPr>
                <w:rFonts w:ascii="Arial"/>
                <w:i/>
                <w:spacing w:val="-2"/>
                <w:sz w:val="16"/>
              </w:rPr>
              <w:t> </w:t>
            </w:r>
            <w:r>
              <w:rPr>
                <w:rFonts w:ascii="Arial"/>
                <w:i/>
                <w:sz w:val="16"/>
              </w:rPr>
              <w:t>is</w:t>
            </w:r>
            <w:r>
              <w:rPr>
                <w:rFonts w:ascii="Arial"/>
                <w:i/>
                <w:spacing w:val="-2"/>
                <w:sz w:val="16"/>
              </w:rPr>
              <w:t> </w:t>
            </w:r>
            <w:r>
              <w:rPr>
                <w:rFonts w:ascii="Arial"/>
                <w:i/>
                <w:sz w:val="16"/>
              </w:rPr>
              <w:t>considered</w:t>
            </w:r>
            <w:r>
              <w:rPr>
                <w:rFonts w:ascii="Arial"/>
                <w:i/>
                <w:spacing w:val="-3"/>
                <w:sz w:val="16"/>
              </w:rPr>
              <w:t> </w:t>
            </w:r>
            <w:r>
              <w:rPr>
                <w:rFonts w:ascii="Arial"/>
                <w:i/>
                <w:sz w:val="16"/>
              </w:rPr>
              <w:t>to</w:t>
            </w:r>
            <w:r>
              <w:rPr>
                <w:rFonts w:ascii="Arial"/>
                <w:i/>
                <w:spacing w:val="-3"/>
                <w:sz w:val="16"/>
              </w:rPr>
              <w:t> </w:t>
            </w:r>
            <w:r>
              <w:rPr>
                <w:rFonts w:ascii="Arial"/>
                <w:i/>
                <w:sz w:val="16"/>
              </w:rPr>
              <w:t>be</w:t>
            </w:r>
            <w:r>
              <w:rPr>
                <w:rFonts w:ascii="Arial"/>
                <w:i/>
                <w:spacing w:val="-2"/>
                <w:sz w:val="16"/>
              </w:rPr>
              <w:t> deferred.</w:t>
            </w:r>
          </w:p>
        </w:tc>
        <w:tc>
          <w:tcPr>
            <w:tcW w:w="1354" w:type="dxa"/>
            <w:tcBorders>
              <w:top w:val="single" w:sz="8" w:space="0" w:color="6C6C6C"/>
            </w:tcBorders>
          </w:tcPr>
          <w:p>
            <w:pPr>
              <w:pStyle w:val="TableParagraph"/>
              <w:rPr>
                <w:rFonts w:ascii="Times New Roman"/>
                <w:sz w:val="12"/>
              </w:rPr>
            </w:pPr>
          </w:p>
        </w:tc>
        <w:tc>
          <w:tcPr>
            <w:tcW w:w="1365" w:type="dxa"/>
            <w:tcBorders>
              <w:top w:val="single" w:sz="8" w:space="0" w:color="6C6C6C"/>
            </w:tcBorders>
          </w:tcPr>
          <w:p>
            <w:pPr>
              <w:pStyle w:val="TableParagraph"/>
              <w:rPr>
                <w:rFonts w:ascii="Times New Roman"/>
                <w:sz w:val="12"/>
              </w:rPr>
            </w:pPr>
          </w:p>
        </w:tc>
        <w:tc>
          <w:tcPr>
            <w:tcW w:w="1316" w:type="dxa"/>
            <w:tcBorders>
              <w:top w:val="single" w:sz="8" w:space="0" w:color="6C6C6C"/>
            </w:tcBorders>
          </w:tcPr>
          <w:p>
            <w:pPr>
              <w:pStyle w:val="TableParagraph"/>
              <w:rPr>
                <w:rFonts w:ascii="Times New Roman"/>
                <w:sz w:val="12"/>
              </w:rPr>
            </w:pPr>
          </w:p>
        </w:tc>
      </w:tr>
    </w:tbl>
    <w:p>
      <w:pPr>
        <w:pStyle w:val="TableParagraph"/>
        <w:spacing w:after="0"/>
        <w:rPr>
          <w:rFonts w:ascii="Times New Roman"/>
          <w:sz w:val="12"/>
        </w:rPr>
        <w:sectPr>
          <w:type w:val="continuous"/>
          <w:pgSz w:w="12240" w:h="15840"/>
          <w:pgMar w:header="744" w:footer="583" w:top="1820" w:bottom="280" w:left="720" w:right="720"/>
        </w:sectPr>
      </w:pPr>
    </w:p>
    <w:p>
      <w:pPr>
        <w:pStyle w:val="BodyText"/>
        <w:spacing w:before="79"/>
        <w:rPr>
          <w:rFonts w:ascii="Arial MT"/>
          <w:sz w:val="24"/>
        </w:rPr>
      </w:pPr>
    </w:p>
    <w:p>
      <w:pPr>
        <w:pStyle w:val="Heading1"/>
      </w:pPr>
      <w:bookmarkStart w:name="Usable Equity" w:id="96"/>
      <w:bookmarkEnd w:id="96"/>
      <w:r>
        <w:rPr>
          <w:b w:val="0"/>
        </w:rPr>
      </w:r>
      <w:bookmarkStart w:name="_bookmark65" w:id="97"/>
      <w:bookmarkEnd w:id="97"/>
      <w:r>
        <w:rPr>
          <w:b w:val="0"/>
        </w:rPr>
      </w:r>
      <w:r>
        <w:rPr/>
        <w:t>Usable</w:t>
      </w:r>
      <w:r>
        <w:rPr>
          <w:spacing w:val="-3"/>
        </w:rPr>
        <w:t> </w:t>
      </w:r>
      <w:r>
        <w:rPr>
          <w:spacing w:val="-2"/>
        </w:rPr>
        <w:t>Equity</w:t>
      </w:r>
    </w:p>
    <w:p>
      <w:pPr>
        <w:pStyle w:val="BodyText"/>
        <w:spacing w:line="249" w:lineRule="auto" w:before="135"/>
        <w:ind w:left="720" w:right="719"/>
        <w:jc w:val="both"/>
      </w:pPr>
      <w:r>
        <w:rPr/>
        <w:t>Usable equity represents the amount of equity that is available to support IBRD’s lending operations. Usable equity is central to the three frameworks IBRD uses to manage its capital adequacy, credit risk, and equity earnings. These frameworks, described in Section IX, are:</w:t>
      </w:r>
    </w:p>
    <w:p>
      <w:pPr>
        <w:pStyle w:val="ListParagraph"/>
        <w:numPr>
          <w:ilvl w:val="1"/>
          <w:numId w:val="20"/>
        </w:numPr>
        <w:tabs>
          <w:tab w:pos="1439" w:val="left" w:leader="none"/>
        </w:tabs>
        <w:spacing w:line="240" w:lineRule="auto" w:before="122" w:after="0"/>
        <w:ind w:left="1439" w:right="0" w:hanging="359"/>
        <w:jc w:val="left"/>
        <w:rPr>
          <w:sz w:val="20"/>
        </w:rPr>
      </w:pPr>
      <w:r>
        <w:rPr>
          <w:sz w:val="20"/>
        </w:rPr>
        <w:t>Strategic</w:t>
      </w:r>
      <w:r>
        <w:rPr>
          <w:spacing w:val="-6"/>
          <w:sz w:val="20"/>
        </w:rPr>
        <w:t> </w:t>
      </w:r>
      <w:r>
        <w:rPr>
          <w:sz w:val="20"/>
        </w:rPr>
        <w:t>Capital</w:t>
      </w:r>
      <w:r>
        <w:rPr>
          <w:spacing w:val="-6"/>
          <w:sz w:val="20"/>
        </w:rPr>
        <w:t> </w:t>
      </w:r>
      <w:r>
        <w:rPr>
          <w:sz w:val="20"/>
        </w:rPr>
        <w:t>Adequacy</w:t>
      </w:r>
      <w:r>
        <w:rPr>
          <w:spacing w:val="-5"/>
          <w:sz w:val="20"/>
        </w:rPr>
        <w:t> </w:t>
      </w:r>
      <w:r>
        <w:rPr>
          <w:spacing w:val="-2"/>
          <w:sz w:val="20"/>
        </w:rPr>
        <w:t>Framework</w:t>
      </w:r>
    </w:p>
    <w:p>
      <w:pPr>
        <w:pStyle w:val="ListParagraph"/>
        <w:numPr>
          <w:ilvl w:val="1"/>
          <w:numId w:val="20"/>
        </w:numPr>
        <w:tabs>
          <w:tab w:pos="1439" w:val="left" w:leader="none"/>
        </w:tabs>
        <w:spacing w:line="240" w:lineRule="auto" w:before="130" w:after="0"/>
        <w:ind w:left="1439" w:right="0" w:hanging="359"/>
        <w:jc w:val="left"/>
        <w:rPr>
          <w:sz w:val="20"/>
        </w:rPr>
      </w:pPr>
      <w:r>
        <w:rPr>
          <w:sz w:val="20"/>
        </w:rPr>
        <w:t>Credit</w:t>
      </w:r>
      <w:r>
        <w:rPr>
          <w:spacing w:val="-4"/>
          <w:sz w:val="20"/>
        </w:rPr>
        <w:t> </w:t>
      </w:r>
      <w:r>
        <w:rPr>
          <w:sz w:val="20"/>
        </w:rPr>
        <w:t>Risk</w:t>
      </w:r>
      <w:r>
        <w:rPr>
          <w:spacing w:val="-3"/>
          <w:sz w:val="20"/>
        </w:rPr>
        <w:t> </w:t>
      </w:r>
      <w:r>
        <w:rPr>
          <w:sz w:val="20"/>
        </w:rPr>
        <w:t>and</w:t>
      </w:r>
      <w:r>
        <w:rPr>
          <w:spacing w:val="-2"/>
          <w:sz w:val="20"/>
        </w:rPr>
        <w:t> </w:t>
      </w:r>
      <w:r>
        <w:rPr>
          <w:sz w:val="20"/>
        </w:rPr>
        <w:t>Loan</w:t>
      </w:r>
      <w:r>
        <w:rPr>
          <w:spacing w:val="-3"/>
          <w:sz w:val="20"/>
        </w:rPr>
        <w:t> </w:t>
      </w:r>
      <w:r>
        <w:rPr>
          <w:sz w:val="20"/>
        </w:rPr>
        <w:t>Loss</w:t>
      </w:r>
      <w:r>
        <w:rPr>
          <w:spacing w:val="-4"/>
          <w:sz w:val="20"/>
        </w:rPr>
        <w:t> </w:t>
      </w:r>
      <w:r>
        <w:rPr>
          <w:sz w:val="20"/>
        </w:rPr>
        <w:t>Provisioning</w:t>
      </w:r>
      <w:r>
        <w:rPr>
          <w:spacing w:val="-2"/>
          <w:sz w:val="20"/>
        </w:rPr>
        <w:t> Framework</w:t>
      </w:r>
    </w:p>
    <w:p>
      <w:pPr>
        <w:pStyle w:val="ListParagraph"/>
        <w:numPr>
          <w:ilvl w:val="1"/>
          <w:numId w:val="20"/>
        </w:numPr>
        <w:tabs>
          <w:tab w:pos="1439" w:val="left" w:leader="none"/>
        </w:tabs>
        <w:spacing w:line="240" w:lineRule="auto" w:before="130" w:after="0"/>
        <w:ind w:left="1439" w:right="0" w:hanging="359"/>
        <w:jc w:val="left"/>
        <w:rPr>
          <w:sz w:val="20"/>
        </w:rPr>
      </w:pPr>
      <w:r>
        <w:rPr>
          <w:sz w:val="20"/>
        </w:rPr>
        <w:t>Other</w:t>
      </w:r>
      <w:r>
        <w:rPr>
          <w:spacing w:val="-3"/>
          <w:sz w:val="20"/>
        </w:rPr>
        <w:t> </w:t>
      </w:r>
      <w:r>
        <w:rPr>
          <w:sz w:val="20"/>
        </w:rPr>
        <w:t>ALM</w:t>
      </w:r>
      <w:r>
        <w:rPr>
          <w:spacing w:val="-3"/>
          <w:sz w:val="20"/>
        </w:rPr>
        <w:t> </w:t>
      </w:r>
      <w:r>
        <w:rPr>
          <w:spacing w:val="-2"/>
          <w:sz w:val="20"/>
        </w:rPr>
        <w:t>Framework</w:t>
      </w:r>
    </w:p>
    <w:p>
      <w:pPr>
        <w:pStyle w:val="BodyText"/>
        <w:spacing w:line="249" w:lineRule="auto" w:before="130"/>
        <w:ind w:left="720" w:right="720"/>
        <w:jc w:val="both"/>
      </w:pPr>
      <w:r>
        <w:rPr/>
        <w:t>Usable equity consists of usable paid-in capital, and elements of retained earnings and reserves (see Table 27). The components of retained earnings and reserves included in usable equity are as follows:</w:t>
      </w:r>
    </w:p>
    <w:p>
      <w:pPr>
        <w:pStyle w:val="BodyText"/>
        <w:spacing w:line="249" w:lineRule="auto" w:before="122"/>
        <w:ind w:left="720" w:right="718"/>
        <w:jc w:val="both"/>
      </w:pPr>
      <w:r>
        <w:rPr>
          <w:i/>
        </w:rPr>
        <w:t>Special Reserve</w:t>
      </w:r>
      <w:r>
        <w:rPr/>
        <w:t>: Amount set aside pursuant to IBRD’s Articles, held in liquid form and to be used only for meeting IBRD’s liabilities on its borrowings and guarantees;</w:t>
      </w:r>
    </w:p>
    <w:p>
      <w:pPr>
        <w:pStyle w:val="BodyText"/>
        <w:spacing w:line="249" w:lineRule="auto" w:before="122"/>
        <w:ind w:left="720" w:right="719"/>
        <w:jc w:val="both"/>
      </w:pPr>
      <w:r>
        <w:rPr>
          <w:i/>
        </w:rPr>
        <w:t>General Reserve</w:t>
      </w:r>
      <w:r>
        <w:rPr/>
        <w:t>: Generally consists of earnings from prior fiscal years which the Board has approved for retention in IBRD’s equity. On August 3, 2023, the Board approved the transfer of $921 million to the General Reserve from FY23 net income;</w:t>
      </w:r>
    </w:p>
    <w:p>
      <w:pPr>
        <w:pStyle w:val="BodyText"/>
        <w:spacing w:line="232" w:lineRule="auto" w:before="128"/>
        <w:ind w:left="720" w:right="717"/>
        <w:jc w:val="both"/>
      </w:pPr>
      <w:r>
        <w:rPr>
          <w:i/>
        </w:rPr>
        <w:t>Cumulative Translation Adjustments</w:t>
      </w:r>
      <w:r>
        <w:rPr/>
        <w:t>:</w:t>
      </w:r>
      <w:r>
        <w:rPr>
          <w:spacing w:val="40"/>
        </w:rPr>
        <w:t> </w:t>
      </w:r>
      <w:r>
        <w:rPr/>
        <w:t>Comprise translation adjustments that arise upon revaluing currency balances to U.S. dollars for reporting purposes. IBRD’s functional currencies are the U.S. dollar and euro and changes in cumulative translation adjustments only relate to translation adjustments on euro-denominated balances. Translation adjustments associated with non-functional currencies are reflected in other adjustments in Table 27. Usable equity excludes cumulative translation adjustments associated with unrealized mark-to-market gains/losses on non-trading </w:t>
      </w:r>
      <w:r>
        <w:rPr>
          <w:spacing w:val="-2"/>
        </w:rPr>
        <w:t>portfolios;</w:t>
      </w:r>
    </w:p>
    <w:p>
      <w:pPr>
        <w:pStyle w:val="BodyText"/>
        <w:spacing w:line="232" w:lineRule="auto" w:before="229"/>
        <w:ind w:left="720" w:right="719"/>
        <w:jc w:val="both"/>
      </w:pPr>
      <w:r>
        <w:rPr>
          <w:i/>
        </w:rPr>
        <w:t>Other Adjustments</w:t>
      </w:r>
      <w:r>
        <w:rPr/>
        <w:t>: These adjustments relate to the income earned on PEBP assets before FY11, and currency translation adjustments on non-functional currencies. These also reflect the measure of the underfunded status of the pension plans, if any, which is based on the funding methodology used by the Pension Finance Committee to determine sustainable funding levels for the pension plans.</w:t>
      </w:r>
    </w:p>
    <w:p>
      <w:pPr>
        <w:pStyle w:val="BodyText"/>
        <w:spacing w:line="249" w:lineRule="auto" w:before="222"/>
        <w:ind w:left="720" w:right="720"/>
        <w:jc w:val="both"/>
      </w:pPr>
      <w:r>
        <w:rPr/>
        <w:t>The increase in usable equity in FY23, primarily reflects the increase in usable paid-in capital and the increase in reserve retention out of the FY23 allocable income.</w:t>
      </w:r>
    </w:p>
    <w:p>
      <w:pPr>
        <w:spacing w:before="188"/>
        <w:ind w:left="772" w:right="0" w:firstLine="0"/>
        <w:jc w:val="left"/>
        <w:rPr>
          <w:rFonts w:ascii="Arial"/>
          <w:b/>
          <w:sz w:val="18"/>
        </w:rPr>
      </w:pPr>
      <w:bookmarkStart w:name="_bookmark66" w:id="98"/>
      <w:bookmarkEnd w:id="98"/>
      <w:r>
        <w:rPr/>
      </w:r>
      <w:r>
        <w:rPr>
          <w:rFonts w:ascii="Arial"/>
          <w:b/>
          <w:sz w:val="18"/>
        </w:rPr>
        <w:t>Table</w:t>
      </w:r>
      <w:r>
        <w:rPr>
          <w:rFonts w:ascii="Arial"/>
          <w:b/>
          <w:spacing w:val="-2"/>
          <w:sz w:val="18"/>
        </w:rPr>
        <w:t> </w:t>
      </w:r>
      <w:r>
        <w:rPr>
          <w:rFonts w:ascii="Arial"/>
          <w:b/>
          <w:sz w:val="18"/>
        </w:rPr>
        <w:t>27:</w:t>
      </w:r>
      <w:r>
        <w:rPr>
          <w:rFonts w:ascii="Arial"/>
          <w:b/>
          <w:spacing w:val="-2"/>
          <w:sz w:val="18"/>
        </w:rPr>
        <w:t> </w:t>
      </w:r>
      <w:r>
        <w:rPr>
          <w:rFonts w:ascii="Arial"/>
          <w:b/>
          <w:sz w:val="18"/>
        </w:rPr>
        <w:t>Usable</w:t>
      </w:r>
      <w:r>
        <w:rPr>
          <w:rFonts w:ascii="Arial"/>
          <w:b/>
          <w:spacing w:val="-2"/>
          <w:sz w:val="18"/>
        </w:rPr>
        <w:t> Equity</w:t>
      </w:r>
    </w:p>
    <w:p>
      <w:pPr>
        <w:spacing w:before="57"/>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51" w:after="34"/>
        <w:ind w:left="0" w:right="2335" w:firstLine="0"/>
        <w:jc w:val="right"/>
        <w:rPr>
          <w:rFonts w:ascii="Arial MT"/>
          <w:sz w:val="16"/>
        </w:rPr>
      </w:pPr>
      <w:r>
        <w:rPr>
          <w:rFonts w:ascii="Arial MT"/>
          <w:color w:val="A5A5A5"/>
          <w:spacing w:val="-2"/>
          <w:sz w:val="16"/>
        </w:rPr>
        <w:t>Variance</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5"/>
        <w:gridCol w:w="1129"/>
        <w:gridCol w:w="1151"/>
        <w:gridCol w:w="1102"/>
        <w:gridCol w:w="1148"/>
        <w:gridCol w:w="1605"/>
      </w:tblGrid>
      <w:tr>
        <w:trPr>
          <w:trHeight w:val="385" w:hRule="atLeast"/>
        </w:trPr>
        <w:tc>
          <w:tcPr>
            <w:tcW w:w="3225" w:type="dxa"/>
            <w:tcBorders>
              <w:bottom w:val="single" w:sz="8" w:space="0" w:color="6C6C6C"/>
            </w:tcBorders>
          </w:tcPr>
          <w:p>
            <w:pPr>
              <w:pStyle w:val="TableParagraph"/>
              <w:spacing w:line="184" w:lineRule="exact" w:before="181"/>
              <w:ind w:left="52"/>
              <w:rPr>
                <w:sz w:val="16"/>
              </w:rPr>
            </w:pPr>
            <w:r>
              <w:rPr>
                <w:color w:val="A5A5A5"/>
                <w:sz w:val="16"/>
              </w:rPr>
              <w:t>As</w:t>
            </w:r>
            <w:r>
              <w:rPr>
                <w:color w:val="A5A5A5"/>
                <w:spacing w:val="-1"/>
                <w:sz w:val="16"/>
              </w:rPr>
              <w:t> </w:t>
            </w:r>
            <w:r>
              <w:rPr>
                <w:color w:val="A5A5A5"/>
                <w:sz w:val="16"/>
              </w:rPr>
              <w:t>of</w:t>
            </w:r>
            <w:r>
              <w:rPr>
                <w:color w:val="A5A5A5"/>
                <w:spacing w:val="-2"/>
                <w:sz w:val="16"/>
              </w:rPr>
              <w:t> </w:t>
            </w:r>
            <w:r>
              <w:rPr>
                <w:color w:val="A5A5A5"/>
                <w:sz w:val="16"/>
              </w:rPr>
              <w:t>June</w:t>
            </w:r>
            <w:r>
              <w:rPr>
                <w:color w:val="A5A5A5"/>
                <w:spacing w:val="-1"/>
                <w:sz w:val="16"/>
              </w:rPr>
              <w:t> </w:t>
            </w:r>
            <w:r>
              <w:rPr>
                <w:color w:val="A5A5A5"/>
                <w:spacing w:val="-5"/>
                <w:sz w:val="16"/>
              </w:rPr>
              <w:t>30,</w:t>
            </w:r>
          </w:p>
        </w:tc>
        <w:tc>
          <w:tcPr>
            <w:tcW w:w="1129" w:type="dxa"/>
            <w:tcBorders>
              <w:bottom w:val="single" w:sz="8" w:space="0" w:color="6C6C6C"/>
            </w:tcBorders>
          </w:tcPr>
          <w:p>
            <w:pPr>
              <w:pStyle w:val="TableParagraph"/>
              <w:spacing w:before="95"/>
              <w:ind w:right="99"/>
              <w:jc w:val="right"/>
              <w:rPr>
                <w:sz w:val="16"/>
              </w:rPr>
            </w:pPr>
            <w:r>
              <w:rPr>
                <w:color w:val="A5A5A5"/>
                <w:spacing w:val="-4"/>
                <w:sz w:val="16"/>
              </w:rPr>
              <w:t>2023</w:t>
            </w:r>
          </w:p>
        </w:tc>
        <w:tc>
          <w:tcPr>
            <w:tcW w:w="1151" w:type="dxa"/>
            <w:tcBorders>
              <w:bottom w:val="single" w:sz="8" w:space="0" w:color="6C6C6C"/>
            </w:tcBorders>
          </w:tcPr>
          <w:p>
            <w:pPr>
              <w:pStyle w:val="TableParagraph"/>
              <w:spacing w:before="95"/>
              <w:ind w:right="110"/>
              <w:jc w:val="right"/>
              <w:rPr>
                <w:sz w:val="16"/>
              </w:rPr>
            </w:pPr>
            <w:r>
              <w:rPr>
                <w:color w:val="A5A5A5"/>
                <w:spacing w:val="-4"/>
                <w:sz w:val="16"/>
              </w:rPr>
              <w:t>2022</w:t>
            </w:r>
          </w:p>
        </w:tc>
        <w:tc>
          <w:tcPr>
            <w:tcW w:w="1102" w:type="dxa"/>
            <w:tcBorders>
              <w:top w:val="single" w:sz="8" w:space="0" w:color="6C6C6C"/>
              <w:bottom w:val="single" w:sz="8" w:space="0" w:color="6C6C6C"/>
            </w:tcBorders>
          </w:tcPr>
          <w:p>
            <w:pPr>
              <w:pStyle w:val="TableParagraph"/>
              <w:spacing w:before="95"/>
              <w:ind w:right="72"/>
              <w:jc w:val="right"/>
              <w:rPr>
                <w:sz w:val="16"/>
              </w:rPr>
            </w:pPr>
            <w:r>
              <w:rPr>
                <w:color w:val="A5A5A5"/>
                <w:spacing w:val="-2"/>
                <w:sz w:val="16"/>
              </w:rPr>
              <w:t>Total</w:t>
            </w:r>
          </w:p>
        </w:tc>
        <w:tc>
          <w:tcPr>
            <w:tcW w:w="1148" w:type="dxa"/>
            <w:tcBorders>
              <w:top w:val="single" w:sz="8" w:space="0" w:color="6C6C6C"/>
              <w:bottom w:val="single" w:sz="8" w:space="0" w:color="6C6C6C"/>
            </w:tcBorders>
          </w:tcPr>
          <w:p>
            <w:pPr>
              <w:pStyle w:val="TableParagraph"/>
              <w:spacing w:line="208" w:lineRule="auto" w:before="34"/>
              <w:ind w:left="435" w:right="74" w:firstLine="159"/>
              <w:rPr>
                <w:sz w:val="16"/>
              </w:rPr>
            </w:pPr>
            <w:r>
              <w:rPr>
                <w:color w:val="A5A5A5"/>
                <w:sz w:val="16"/>
              </w:rPr>
              <w:t>Due</w:t>
            </w:r>
            <w:r>
              <w:rPr>
                <w:color w:val="A5A5A5"/>
                <w:spacing w:val="-12"/>
                <w:sz w:val="16"/>
              </w:rPr>
              <w:t> </w:t>
            </w:r>
            <w:r>
              <w:rPr>
                <w:color w:val="A5A5A5"/>
                <w:sz w:val="16"/>
              </w:rPr>
              <w:t>to </w:t>
            </w:r>
            <w:r>
              <w:rPr>
                <w:color w:val="A5A5A5"/>
                <w:spacing w:val="-2"/>
                <w:sz w:val="16"/>
              </w:rPr>
              <w:t>Activities</w:t>
            </w:r>
          </w:p>
        </w:tc>
        <w:tc>
          <w:tcPr>
            <w:tcW w:w="1605" w:type="dxa"/>
            <w:tcBorders>
              <w:top w:val="single" w:sz="8" w:space="0" w:color="6C6C6C"/>
              <w:bottom w:val="single" w:sz="8" w:space="0" w:color="6C6C6C"/>
            </w:tcBorders>
          </w:tcPr>
          <w:p>
            <w:pPr>
              <w:pStyle w:val="TableParagraph"/>
              <w:spacing w:line="172" w:lineRule="exact" w:before="15"/>
              <w:ind w:right="49"/>
              <w:jc w:val="right"/>
              <w:rPr>
                <w:sz w:val="16"/>
              </w:rPr>
            </w:pPr>
            <w:r>
              <w:rPr>
                <w:color w:val="A5A5A5"/>
                <w:sz w:val="16"/>
              </w:rPr>
              <w:t>Due</w:t>
            </w:r>
            <w:r>
              <w:rPr>
                <w:color w:val="A5A5A5"/>
                <w:spacing w:val="-3"/>
                <w:sz w:val="16"/>
              </w:rPr>
              <w:t> </w:t>
            </w:r>
            <w:r>
              <w:rPr>
                <w:color w:val="A5A5A5"/>
                <w:sz w:val="16"/>
              </w:rPr>
              <w:t>to</w:t>
            </w:r>
            <w:r>
              <w:rPr>
                <w:color w:val="A5A5A5"/>
                <w:spacing w:val="-4"/>
                <w:sz w:val="16"/>
              </w:rPr>
              <w:t> </w:t>
            </w:r>
            <w:r>
              <w:rPr>
                <w:color w:val="A5A5A5"/>
                <w:spacing w:val="-2"/>
                <w:sz w:val="16"/>
              </w:rPr>
              <w:t>Translation</w:t>
            </w:r>
          </w:p>
          <w:p>
            <w:pPr>
              <w:pStyle w:val="TableParagraph"/>
              <w:spacing w:line="172" w:lineRule="exact"/>
              <w:ind w:right="50"/>
              <w:jc w:val="right"/>
              <w:rPr>
                <w:sz w:val="16"/>
              </w:rPr>
            </w:pPr>
            <w:r>
              <w:rPr>
                <w:color w:val="A5A5A5"/>
                <w:spacing w:val="-2"/>
                <w:sz w:val="16"/>
              </w:rPr>
              <w:t>Adjustment</w:t>
            </w:r>
          </w:p>
        </w:tc>
      </w:tr>
      <w:tr>
        <w:trPr>
          <w:trHeight w:val="229" w:hRule="atLeast"/>
        </w:trPr>
        <w:tc>
          <w:tcPr>
            <w:tcW w:w="3225" w:type="dxa"/>
            <w:tcBorders>
              <w:top w:val="single" w:sz="8" w:space="0" w:color="6C6C6C"/>
            </w:tcBorders>
          </w:tcPr>
          <w:p>
            <w:pPr>
              <w:pStyle w:val="TableParagraph"/>
              <w:spacing w:before="16"/>
              <w:ind w:left="52"/>
              <w:rPr>
                <w:sz w:val="16"/>
              </w:rPr>
            </w:pPr>
            <w:r>
              <w:rPr>
                <w:sz w:val="16"/>
              </w:rPr>
              <w:t>Usable</w:t>
            </w:r>
            <w:r>
              <w:rPr>
                <w:spacing w:val="-6"/>
                <w:sz w:val="16"/>
              </w:rPr>
              <w:t> </w:t>
            </w:r>
            <w:r>
              <w:rPr>
                <w:sz w:val="16"/>
              </w:rPr>
              <w:t>paid-in</w:t>
            </w:r>
            <w:r>
              <w:rPr>
                <w:spacing w:val="-5"/>
                <w:sz w:val="16"/>
              </w:rPr>
              <w:t> </w:t>
            </w:r>
            <w:r>
              <w:rPr>
                <w:spacing w:val="-2"/>
                <w:sz w:val="16"/>
              </w:rPr>
              <w:t>capital</w:t>
            </w:r>
          </w:p>
        </w:tc>
        <w:tc>
          <w:tcPr>
            <w:tcW w:w="1129" w:type="dxa"/>
            <w:tcBorders>
              <w:top w:val="single" w:sz="8" w:space="0" w:color="6C6C6C"/>
            </w:tcBorders>
          </w:tcPr>
          <w:p>
            <w:pPr>
              <w:pStyle w:val="TableParagraph"/>
              <w:tabs>
                <w:tab w:pos="470" w:val="left" w:leader="none"/>
              </w:tabs>
              <w:spacing w:before="12"/>
              <w:ind w:right="115"/>
              <w:jc w:val="right"/>
              <w:rPr>
                <w:sz w:val="16"/>
              </w:rPr>
            </w:pPr>
            <w:r>
              <w:rPr>
                <w:spacing w:val="-10"/>
                <w:sz w:val="16"/>
              </w:rPr>
              <w:t>$</w:t>
            </w:r>
            <w:r>
              <w:rPr>
                <w:sz w:val="16"/>
              </w:rPr>
              <w:tab/>
            </w:r>
            <w:r>
              <w:rPr>
                <w:spacing w:val="-2"/>
                <w:sz w:val="16"/>
              </w:rPr>
              <w:t>20,669</w:t>
            </w:r>
          </w:p>
        </w:tc>
        <w:tc>
          <w:tcPr>
            <w:tcW w:w="1151" w:type="dxa"/>
            <w:tcBorders>
              <w:top w:val="single" w:sz="8" w:space="0" w:color="6C6C6C"/>
            </w:tcBorders>
          </w:tcPr>
          <w:p>
            <w:pPr>
              <w:pStyle w:val="TableParagraph"/>
              <w:tabs>
                <w:tab w:pos="470" w:val="left" w:leader="none"/>
              </w:tabs>
              <w:spacing w:before="12"/>
              <w:ind w:right="126"/>
              <w:jc w:val="right"/>
              <w:rPr>
                <w:sz w:val="16"/>
              </w:rPr>
            </w:pPr>
            <w:r>
              <w:rPr>
                <w:spacing w:val="-10"/>
                <w:sz w:val="16"/>
              </w:rPr>
              <w:t>$</w:t>
            </w:r>
            <w:r>
              <w:rPr>
                <w:sz w:val="16"/>
              </w:rPr>
              <w:tab/>
            </w:r>
            <w:r>
              <w:rPr>
                <w:spacing w:val="-2"/>
                <w:sz w:val="16"/>
              </w:rPr>
              <w:t>19,352</w:t>
            </w:r>
          </w:p>
        </w:tc>
        <w:tc>
          <w:tcPr>
            <w:tcW w:w="1102" w:type="dxa"/>
            <w:tcBorders>
              <w:top w:val="single" w:sz="8" w:space="0" w:color="6C6C6C"/>
            </w:tcBorders>
          </w:tcPr>
          <w:p>
            <w:pPr>
              <w:pStyle w:val="TableParagraph"/>
              <w:tabs>
                <w:tab w:pos="559" w:val="left" w:leader="none"/>
              </w:tabs>
              <w:spacing w:before="12"/>
              <w:ind w:right="88"/>
              <w:jc w:val="right"/>
              <w:rPr>
                <w:sz w:val="16"/>
              </w:rPr>
            </w:pPr>
            <w:r>
              <w:rPr>
                <w:spacing w:val="-10"/>
                <w:sz w:val="16"/>
              </w:rPr>
              <w:t>$</w:t>
            </w:r>
            <w:r>
              <w:rPr>
                <w:sz w:val="16"/>
              </w:rPr>
              <w:tab/>
            </w:r>
            <w:r>
              <w:rPr>
                <w:spacing w:val="-2"/>
                <w:sz w:val="16"/>
              </w:rPr>
              <w:t>1,317</w:t>
            </w:r>
          </w:p>
        </w:tc>
        <w:tc>
          <w:tcPr>
            <w:tcW w:w="1148" w:type="dxa"/>
            <w:tcBorders>
              <w:top w:val="single" w:sz="8" w:space="0" w:color="6C6C6C"/>
            </w:tcBorders>
          </w:tcPr>
          <w:p>
            <w:pPr>
              <w:pStyle w:val="TableParagraph"/>
              <w:tabs>
                <w:tab w:pos="559" w:val="left" w:leader="none"/>
              </w:tabs>
              <w:spacing w:before="12"/>
              <w:ind w:right="96"/>
              <w:jc w:val="right"/>
              <w:rPr>
                <w:sz w:val="16"/>
              </w:rPr>
            </w:pPr>
            <w:r>
              <w:rPr>
                <w:spacing w:val="-10"/>
                <w:sz w:val="16"/>
              </w:rPr>
              <w:t>$</w:t>
            </w:r>
            <w:r>
              <w:rPr>
                <w:sz w:val="16"/>
              </w:rPr>
              <w:tab/>
            </w:r>
            <w:r>
              <w:rPr>
                <w:spacing w:val="-2"/>
                <w:sz w:val="16"/>
              </w:rPr>
              <w:t>1,325</w:t>
            </w:r>
          </w:p>
        </w:tc>
        <w:tc>
          <w:tcPr>
            <w:tcW w:w="1605" w:type="dxa"/>
            <w:tcBorders>
              <w:top w:val="single" w:sz="8" w:space="0" w:color="6C6C6C"/>
            </w:tcBorders>
          </w:tcPr>
          <w:p>
            <w:pPr>
              <w:pStyle w:val="TableParagraph"/>
              <w:tabs>
                <w:tab w:pos="1312" w:val="left" w:leader="none"/>
              </w:tabs>
              <w:spacing w:before="12"/>
              <w:ind w:right="12"/>
              <w:jc w:val="right"/>
              <w:rPr>
                <w:sz w:val="16"/>
              </w:rPr>
            </w:pPr>
            <w:r>
              <w:rPr>
                <w:spacing w:val="-10"/>
                <w:sz w:val="16"/>
              </w:rPr>
              <w:t>$</w:t>
            </w:r>
            <w:r>
              <w:rPr>
                <w:sz w:val="16"/>
              </w:rPr>
              <w:tab/>
            </w:r>
            <w:r>
              <w:rPr>
                <w:spacing w:val="-5"/>
                <w:sz w:val="16"/>
              </w:rPr>
              <w:t>(8)</w:t>
            </w:r>
          </w:p>
        </w:tc>
      </w:tr>
      <w:tr>
        <w:trPr>
          <w:trHeight w:val="227" w:hRule="atLeast"/>
        </w:trPr>
        <w:tc>
          <w:tcPr>
            <w:tcW w:w="3225" w:type="dxa"/>
          </w:tcPr>
          <w:p>
            <w:pPr>
              <w:pStyle w:val="TableParagraph"/>
              <w:spacing w:line="184" w:lineRule="exact" w:before="23"/>
              <w:ind w:left="52"/>
              <w:rPr>
                <w:sz w:val="16"/>
              </w:rPr>
            </w:pPr>
            <w:r>
              <w:rPr>
                <w:sz w:val="16"/>
              </w:rPr>
              <w:t>Special</w:t>
            </w:r>
            <w:r>
              <w:rPr>
                <w:spacing w:val="-6"/>
                <w:sz w:val="16"/>
              </w:rPr>
              <w:t> </w:t>
            </w:r>
            <w:r>
              <w:rPr>
                <w:spacing w:val="-2"/>
                <w:sz w:val="16"/>
              </w:rPr>
              <w:t>reserve</w:t>
            </w:r>
          </w:p>
        </w:tc>
        <w:tc>
          <w:tcPr>
            <w:tcW w:w="1129" w:type="dxa"/>
          </w:tcPr>
          <w:p>
            <w:pPr>
              <w:pStyle w:val="TableParagraph"/>
              <w:spacing w:line="184" w:lineRule="exact" w:before="23"/>
              <w:ind w:right="115"/>
              <w:jc w:val="right"/>
              <w:rPr>
                <w:sz w:val="16"/>
              </w:rPr>
            </w:pPr>
            <w:r>
              <w:rPr>
                <w:spacing w:val="-5"/>
                <w:sz w:val="16"/>
              </w:rPr>
              <w:t>293</w:t>
            </w:r>
          </w:p>
        </w:tc>
        <w:tc>
          <w:tcPr>
            <w:tcW w:w="1151" w:type="dxa"/>
          </w:tcPr>
          <w:p>
            <w:pPr>
              <w:pStyle w:val="TableParagraph"/>
              <w:spacing w:line="184" w:lineRule="exact" w:before="23"/>
              <w:ind w:right="126"/>
              <w:jc w:val="right"/>
              <w:rPr>
                <w:sz w:val="16"/>
              </w:rPr>
            </w:pPr>
            <w:r>
              <w:rPr>
                <w:spacing w:val="-5"/>
                <w:sz w:val="16"/>
              </w:rPr>
              <w:t>293</w:t>
            </w:r>
          </w:p>
        </w:tc>
        <w:tc>
          <w:tcPr>
            <w:tcW w:w="1102" w:type="dxa"/>
          </w:tcPr>
          <w:p>
            <w:pPr>
              <w:pStyle w:val="TableParagraph"/>
              <w:spacing w:line="184" w:lineRule="exact" w:before="23"/>
              <w:ind w:right="88"/>
              <w:jc w:val="right"/>
              <w:rPr>
                <w:sz w:val="16"/>
              </w:rPr>
            </w:pPr>
            <w:r>
              <w:rPr>
                <w:sz w:val="16"/>
              </w:rPr>
              <w:t>—</w:t>
            </w:r>
          </w:p>
        </w:tc>
        <w:tc>
          <w:tcPr>
            <w:tcW w:w="1148" w:type="dxa"/>
          </w:tcPr>
          <w:p>
            <w:pPr>
              <w:pStyle w:val="TableParagraph"/>
              <w:spacing w:line="184" w:lineRule="exact" w:before="23"/>
              <w:ind w:right="96"/>
              <w:jc w:val="right"/>
              <w:rPr>
                <w:sz w:val="16"/>
              </w:rPr>
            </w:pPr>
            <w:r>
              <w:rPr>
                <w:sz w:val="16"/>
              </w:rPr>
              <w:t>—</w:t>
            </w:r>
          </w:p>
        </w:tc>
        <w:tc>
          <w:tcPr>
            <w:tcW w:w="1605" w:type="dxa"/>
          </w:tcPr>
          <w:p>
            <w:pPr>
              <w:pStyle w:val="TableParagraph"/>
              <w:spacing w:line="184" w:lineRule="exact" w:before="23"/>
              <w:ind w:right="66"/>
              <w:jc w:val="right"/>
              <w:rPr>
                <w:sz w:val="16"/>
              </w:rPr>
            </w:pPr>
            <w:r>
              <w:rPr>
                <w:sz w:val="16"/>
              </w:rPr>
              <w:t>—</w:t>
            </w:r>
          </w:p>
        </w:tc>
      </w:tr>
      <w:tr>
        <w:trPr>
          <w:trHeight w:val="250" w:hRule="atLeast"/>
        </w:trPr>
        <w:tc>
          <w:tcPr>
            <w:tcW w:w="3225" w:type="dxa"/>
          </w:tcPr>
          <w:p>
            <w:pPr>
              <w:pStyle w:val="TableParagraph"/>
              <w:spacing w:before="36"/>
              <w:ind w:left="52"/>
              <w:rPr>
                <w:sz w:val="16"/>
              </w:rPr>
            </w:pPr>
            <w:r>
              <w:rPr>
                <w:sz w:val="16"/>
              </w:rPr>
              <w:t>General</w:t>
            </w:r>
            <w:r>
              <w:rPr>
                <w:spacing w:val="-4"/>
                <w:sz w:val="16"/>
              </w:rPr>
              <w:t> </w:t>
            </w:r>
            <w:r>
              <w:rPr>
                <w:sz w:val="16"/>
              </w:rPr>
              <w:t>reserve</w:t>
            </w:r>
            <w:r>
              <w:rPr>
                <w:spacing w:val="-3"/>
                <w:sz w:val="16"/>
              </w:rPr>
              <w:t> </w:t>
            </w:r>
            <w:r>
              <w:rPr>
                <w:spacing w:val="-10"/>
                <w:sz w:val="16"/>
                <w:vertAlign w:val="superscript"/>
              </w:rPr>
              <w:t>a</w:t>
            </w:r>
          </w:p>
        </w:tc>
        <w:tc>
          <w:tcPr>
            <w:tcW w:w="1129" w:type="dxa"/>
          </w:tcPr>
          <w:p>
            <w:pPr>
              <w:pStyle w:val="TableParagraph"/>
              <w:spacing w:before="36"/>
              <w:ind w:right="115"/>
              <w:jc w:val="right"/>
              <w:rPr>
                <w:sz w:val="16"/>
              </w:rPr>
            </w:pPr>
            <w:r>
              <w:rPr>
                <w:spacing w:val="-2"/>
                <w:sz w:val="16"/>
              </w:rPr>
              <w:t>32,974</w:t>
            </w:r>
          </w:p>
        </w:tc>
        <w:tc>
          <w:tcPr>
            <w:tcW w:w="1151" w:type="dxa"/>
          </w:tcPr>
          <w:p>
            <w:pPr>
              <w:pStyle w:val="TableParagraph"/>
              <w:spacing w:before="36"/>
              <w:ind w:right="126"/>
              <w:jc w:val="right"/>
              <w:rPr>
                <w:sz w:val="16"/>
              </w:rPr>
            </w:pPr>
            <w:r>
              <w:rPr>
                <w:spacing w:val="-2"/>
                <w:sz w:val="16"/>
              </w:rPr>
              <w:t>32,053</w:t>
            </w:r>
          </w:p>
        </w:tc>
        <w:tc>
          <w:tcPr>
            <w:tcW w:w="1102" w:type="dxa"/>
          </w:tcPr>
          <w:p>
            <w:pPr>
              <w:pStyle w:val="TableParagraph"/>
              <w:spacing w:before="36"/>
              <w:ind w:right="88"/>
              <w:jc w:val="right"/>
              <w:rPr>
                <w:sz w:val="16"/>
              </w:rPr>
            </w:pPr>
            <w:r>
              <w:rPr>
                <w:spacing w:val="-5"/>
                <w:sz w:val="16"/>
              </w:rPr>
              <w:t>921</w:t>
            </w:r>
          </w:p>
        </w:tc>
        <w:tc>
          <w:tcPr>
            <w:tcW w:w="1148" w:type="dxa"/>
          </w:tcPr>
          <w:p>
            <w:pPr>
              <w:pStyle w:val="TableParagraph"/>
              <w:spacing w:before="36"/>
              <w:ind w:right="96"/>
              <w:jc w:val="right"/>
              <w:rPr>
                <w:sz w:val="16"/>
              </w:rPr>
            </w:pPr>
            <w:r>
              <w:rPr>
                <w:spacing w:val="-5"/>
                <w:sz w:val="16"/>
              </w:rPr>
              <w:t>921</w:t>
            </w:r>
          </w:p>
        </w:tc>
        <w:tc>
          <w:tcPr>
            <w:tcW w:w="1605" w:type="dxa"/>
          </w:tcPr>
          <w:p>
            <w:pPr>
              <w:pStyle w:val="TableParagraph"/>
              <w:spacing w:before="36"/>
              <w:ind w:right="66"/>
              <w:jc w:val="right"/>
              <w:rPr>
                <w:sz w:val="16"/>
              </w:rPr>
            </w:pPr>
            <w:r>
              <w:rPr>
                <w:sz w:val="16"/>
              </w:rPr>
              <w:t>—</w:t>
            </w:r>
          </w:p>
        </w:tc>
      </w:tr>
      <w:tr>
        <w:trPr>
          <w:trHeight w:val="229" w:hRule="atLeast"/>
        </w:trPr>
        <w:tc>
          <w:tcPr>
            <w:tcW w:w="3225" w:type="dxa"/>
          </w:tcPr>
          <w:p>
            <w:pPr>
              <w:pStyle w:val="TableParagraph"/>
              <w:spacing w:line="184" w:lineRule="exact" w:before="25"/>
              <w:ind w:left="52"/>
              <w:rPr>
                <w:sz w:val="16"/>
              </w:rPr>
            </w:pPr>
            <w:r>
              <w:rPr>
                <w:sz w:val="16"/>
              </w:rPr>
              <w:t>Cumulative</w:t>
            </w:r>
            <w:r>
              <w:rPr>
                <w:spacing w:val="-7"/>
                <w:sz w:val="16"/>
              </w:rPr>
              <w:t> </w:t>
            </w:r>
            <w:r>
              <w:rPr>
                <w:sz w:val="16"/>
              </w:rPr>
              <w:t>translation</w:t>
            </w:r>
            <w:r>
              <w:rPr>
                <w:spacing w:val="-7"/>
                <w:sz w:val="16"/>
              </w:rPr>
              <w:t> </w:t>
            </w:r>
            <w:r>
              <w:rPr>
                <w:spacing w:val="-2"/>
                <w:sz w:val="16"/>
              </w:rPr>
              <w:t>adjustment</w:t>
            </w:r>
          </w:p>
        </w:tc>
        <w:tc>
          <w:tcPr>
            <w:tcW w:w="1129" w:type="dxa"/>
          </w:tcPr>
          <w:p>
            <w:pPr>
              <w:pStyle w:val="TableParagraph"/>
              <w:spacing w:line="184" w:lineRule="exact" w:before="25"/>
              <w:ind w:right="61"/>
              <w:jc w:val="right"/>
              <w:rPr>
                <w:sz w:val="16"/>
              </w:rPr>
            </w:pPr>
            <w:r>
              <w:rPr>
                <w:spacing w:val="-2"/>
                <w:sz w:val="16"/>
              </w:rPr>
              <w:t>(1,004)</w:t>
            </w:r>
          </w:p>
        </w:tc>
        <w:tc>
          <w:tcPr>
            <w:tcW w:w="1151" w:type="dxa"/>
          </w:tcPr>
          <w:p>
            <w:pPr>
              <w:pStyle w:val="TableParagraph"/>
              <w:spacing w:line="184" w:lineRule="exact" w:before="25"/>
              <w:ind w:right="72"/>
              <w:jc w:val="right"/>
              <w:rPr>
                <w:sz w:val="16"/>
              </w:rPr>
            </w:pPr>
            <w:r>
              <w:rPr>
                <w:spacing w:val="-2"/>
                <w:sz w:val="16"/>
              </w:rPr>
              <w:t>(1,342)</w:t>
            </w:r>
          </w:p>
        </w:tc>
        <w:tc>
          <w:tcPr>
            <w:tcW w:w="1102" w:type="dxa"/>
          </w:tcPr>
          <w:p>
            <w:pPr>
              <w:pStyle w:val="TableParagraph"/>
              <w:spacing w:line="184" w:lineRule="exact" w:before="25"/>
              <w:ind w:right="88"/>
              <w:jc w:val="right"/>
              <w:rPr>
                <w:sz w:val="16"/>
              </w:rPr>
            </w:pPr>
            <w:r>
              <w:rPr>
                <w:spacing w:val="-5"/>
                <w:sz w:val="16"/>
              </w:rPr>
              <w:t>338</w:t>
            </w:r>
          </w:p>
        </w:tc>
        <w:tc>
          <w:tcPr>
            <w:tcW w:w="1148" w:type="dxa"/>
          </w:tcPr>
          <w:p>
            <w:pPr>
              <w:pStyle w:val="TableParagraph"/>
              <w:spacing w:line="184" w:lineRule="exact" w:before="25"/>
              <w:ind w:right="96"/>
              <w:jc w:val="right"/>
              <w:rPr>
                <w:sz w:val="16"/>
              </w:rPr>
            </w:pPr>
            <w:r>
              <w:rPr>
                <w:sz w:val="16"/>
              </w:rPr>
              <w:t>—</w:t>
            </w:r>
          </w:p>
        </w:tc>
        <w:tc>
          <w:tcPr>
            <w:tcW w:w="1605" w:type="dxa"/>
          </w:tcPr>
          <w:p>
            <w:pPr>
              <w:pStyle w:val="TableParagraph"/>
              <w:spacing w:line="184" w:lineRule="exact" w:before="25"/>
              <w:ind w:right="66"/>
              <w:jc w:val="right"/>
              <w:rPr>
                <w:sz w:val="16"/>
              </w:rPr>
            </w:pPr>
            <w:r>
              <w:rPr>
                <w:spacing w:val="-5"/>
                <w:sz w:val="16"/>
              </w:rPr>
              <w:t>338</w:t>
            </w:r>
          </w:p>
        </w:tc>
      </w:tr>
      <w:tr>
        <w:trPr>
          <w:trHeight w:val="243" w:hRule="atLeast"/>
        </w:trPr>
        <w:tc>
          <w:tcPr>
            <w:tcW w:w="3225" w:type="dxa"/>
          </w:tcPr>
          <w:p>
            <w:pPr>
              <w:pStyle w:val="TableParagraph"/>
              <w:spacing w:before="36"/>
              <w:ind w:left="52"/>
              <w:rPr>
                <w:sz w:val="16"/>
              </w:rPr>
            </w:pPr>
            <w:r>
              <w:rPr>
                <w:sz w:val="16"/>
              </w:rPr>
              <w:t>Other</w:t>
            </w:r>
            <w:r>
              <w:rPr>
                <w:spacing w:val="-5"/>
                <w:sz w:val="16"/>
              </w:rPr>
              <w:t> </w:t>
            </w:r>
            <w:r>
              <w:rPr>
                <w:sz w:val="16"/>
              </w:rPr>
              <w:t>adjustments</w:t>
            </w:r>
            <w:r>
              <w:rPr>
                <w:spacing w:val="-4"/>
                <w:sz w:val="16"/>
              </w:rPr>
              <w:t> </w:t>
            </w:r>
            <w:r>
              <w:rPr>
                <w:spacing w:val="-10"/>
                <w:sz w:val="16"/>
                <w:vertAlign w:val="superscript"/>
              </w:rPr>
              <w:t>b</w:t>
            </w:r>
          </w:p>
        </w:tc>
        <w:tc>
          <w:tcPr>
            <w:tcW w:w="1129" w:type="dxa"/>
            <w:tcBorders>
              <w:bottom w:val="single" w:sz="8" w:space="0" w:color="6C6C6C"/>
            </w:tcBorders>
          </w:tcPr>
          <w:p>
            <w:pPr>
              <w:pStyle w:val="TableParagraph"/>
              <w:spacing w:before="36"/>
              <w:ind w:right="115"/>
              <w:jc w:val="right"/>
              <w:rPr>
                <w:sz w:val="16"/>
              </w:rPr>
            </w:pPr>
            <w:r>
              <w:rPr>
                <w:spacing w:val="-5"/>
                <w:sz w:val="16"/>
              </w:rPr>
              <w:t>173</w:t>
            </w:r>
          </w:p>
        </w:tc>
        <w:tc>
          <w:tcPr>
            <w:tcW w:w="1151" w:type="dxa"/>
            <w:tcBorders>
              <w:bottom w:val="single" w:sz="8" w:space="0" w:color="6C6C6C"/>
            </w:tcBorders>
          </w:tcPr>
          <w:p>
            <w:pPr>
              <w:pStyle w:val="TableParagraph"/>
              <w:spacing w:before="36"/>
              <w:ind w:right="126"/>
              <w:jc w:val="right"/>
              <w:rPr>
                <w:sz w:val="16"/>
              </w:rPr>
            </w:pPr>
            <w:r>
              <w:rPr>
                <w:spacing w:val="-5"/>
                <w:sz w:val="16"/>
              </w:rPr>
              <w:t>125</w:t>
            </w:r>
          </w:p>
        </w:tc>
        <w:tc>
          <w:tcPr>
            <w:tcW w:w="1102" w:type="dxa"/>
            <w:tcBorders>
              <w:bottom w:val="single" w:sz="8" w:space="0" w:color="6C6C6C"/>
            </w:tcBorders>
          </w:tcPr>
          <w:p>
            <w:pPr>
              <w:pStyle w:val="TableParagraph"/>
              <w:spacing w:before="36"/>
              <w:ind w:right="88"/>
              <w:jc w:val="right"/>
              <w:rPr>
                <w:sz w:val="16"/>
              </w:rPr>
            </w:pPr>
            <w:r>
              <w:rPr>
                <w:spacing w:val="-5"/>
                <w:sz w:val="16"/>
              </w:rPr>
              <w:t>48</w:t>
            </w:r>
          </w:p>
        </w:tc>
        <w:tc>
          <w:tcPr>
            <w:tcW w:w="1148" w:type="dxa"/>
            <w:tcBorders>
              <w:bottom w:val="single" w:sz="8" w:space="0" w:color="6C6C6C"/>
            </w:tcBorders>
          </w:tcPr>
          <w:p>
            <w:pPr>
              <w:pStyle w:val="TableParagraph"/>
              <w:spacing w:before="36"/>
              <w:ind w:right="96"/>
              <w:jc w:val="right"/>
              <w:rPr>
                <w:sz w:val="16"/>
              </w:rPr>
            </w:pPr>
            <w:r>
              <w:rPr>
                <w:sz w:val="16"/>
              </w:rPr>
              <w:t>—</w:t>
            </w:r>
          </w:p>
        </w:tc>
        <w:tc>
          <w:tcPr>
            <w:tcW w:w="1605" w:type="dxa"/>
            <w:tcBorders>
              <w:bottom w:val="single" w:sz="8" w:space="0" w:color="6C6C6C"/>
            </w:tcBorders>
          </w:tcPr>
          <w:p>
            <w:pPr>
              <w:pStyle w:val="TableParagraph"/>
              <w:spacing w:before="36"/>
              <w:ind w:right="66"/>
              <w:jc w:val="right"/>
              <w:rPr>
                <w:sz w:val="16"/>
              </w:rPr>
            </w:pPr>
            <w:r>
              <w:rPr>
                <w:spacing w:val="-5"/>
                <w:sz w:val="16"/>
              </w:rPr>
              <w:t>48</w:t>
            </w:r>
          </w:p>
        </w:tc>
      </w:tr>
      <w:tr>
        <w:trPr>
          <w:trHeight w:val="200" w:hRule="atLeast"/>
        </w:trPr>
        <w:tc>
          <w:tcPr>
            <w:tcW w:w="3225" w:type="dxa"/>
          </w:tcPr>
          <w:p>
            <w:pPr>
              <w:pStyle w:val="TableParagraph"/>
              <w:spacing w:line="167" w:lineRule="exact" w:before="12"/>
              <w:ind w:left="52"/>
              <w:rPr>
                <w:rFonts w:ascii="Arial"/>
                <w:b/>
                <w:sz w:val="16"/>
              </w:rPr>
            </w:pPr>
            <w:r>
              <w:rPr>
                <w:rFonts w:ascii="Arial"/>
                <w:b/>
                <w:sz w:val="16"/>
              </w:rPr>
              <w:t>Equity</w:t>
            </w:r>
            <w:r>
              <w:rPr>
                <w:rFonts w:ascii="Arial"/>
                <w:b/>
                <w:spacing w:val="-4"/>
                <w:sz w:val="16"/>
              </w:rPr>
              <w:t> </w:t>
            </w:r>
            <w:r>
              <w:rPr>
                <w:rFonts w:ascii="Arial"/>
                <w:b/>
                <w:sz w:val="16"/>
              </w:rPr>
              <w:t>(usable</w:t>
            </w:r>
            <w:r>
              <w:rPr>
                <w:rFonts w:ascii="Arial"/>
                <w:b/>
                <w:spacing w:val="-4"/>
                <w:sz w:val="16"/>
              </w:rPr>
              <w:t> </w:t>
            </w:r>
            <w:r>
              <w:rPr>
                <w:rFonts w:ascii="Arial"/>
                <w:b/>
                <w:spacing w:val="-2"/>
                <w:sz w:val="16"/>
              </w:rPr>
              <w:t>equity)</w:t>
            </w:r>
          </w:p>
        </w:tc>
        <w:tc>
          <w:tcPr>
            <w:tcW w:w="1129" w:type="dxa"/>
            <w:tcBorders>
              <w:top w:val="single" w:sz="8" w:space="0" w:color="6C6C6C"/>
              <w:bottom w:val="double" w:sz="8" w:space="0" w:color="6C6C6C"/>
            </w:tcBorders>
          </w:tcPr>
          <w:p>
            <w:pPr>
              <w:pStyle w:val="TableParagraph"/>
              <w:tabs>
                <w:tab w:pos="470"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53,105</w:t>
            </w:r>
          </w:p>
        </w:tc>
        <w:tc>
          <w:tcPr>
            <w:tcW w:w="1151" w:type="dxa"/>
            <w:tcBorders>
              <w:top w:val="single" w:sz="8" w:space="0" w:color="6C6C6C"/>
              <w:bottom w:val="double" w:sz="8" w:space="0" w:color="6C6C6C"/>
            </w:tcBorders>
          </w:tcPr>
          <w:p>
            <w:pPr>
              <w:pStyle w:val="TableParagraph"/>
              <w:tabs>
                <w:tab w:pos="470" w:val="left" w:leader="none"/>
              </w:tabs>
              <w:spacing w:line="167" w:lineRule="exact" w:before="12"/>
              <w:ind w:right="126"/>
              <w:jc w:val="right"/>
              <w:rPr>
                <w:rFonts w:ascii="Arial"/>
                <w:b/>
                <w:sz w:val="16"/>
              </w:rPr>
            </w:pPr>
            <w:r>
              <w:rPr>
                <w:rFonts w:ascii="Arial"/>
                <w:b/>
                <w:spacing w:val="-10"/>
                <w:sz w:val="16"/>
              </w:rPr>
              <w:t>$</w:t>
            </w:r>
            <w:r>
              <w:rPr>
                <w:rFonts w:ascii="Arial"/>
                <w:b/>
                <w:sz w:val="16"/>
              </w:rPr>
              <w:tab/>
            </w:r>
            <w:r>
              <w:rPr>
                <w:rFonts w:ascii="Arial"/>
                <w:b/>
                <w:spacing w:val="-2"/>
                <w:sz w:val="16"/>
              </w:rPr>
              <w:t>50,481</w:t>
            </w:r>
          </w:p>
        </w:tc>
        <w:tc>
          <w:tcPr>
            <w:tcW w:w="1102" w:type="dxa"/>
            <w:tcBorders>
              <w:top w:val="single" w:sz="8" w:space="0" w:color="6C6C6C"/>
              <w:bottom w:val="double" w:sz="8" w:space="0" w:color="6C6C6C"/>
            </w:tcBorders>
          </w:tcPr>
          <w:p>
            <w:pPr>
              <w:pStyle w:val="TableParagraph"/>
              <w:tabs>
                <w:tab w:pos="559" w:val="left" w:leader="none"/>
              </w:tabs>
              <w:spacing w:line="167" w:lineRule="exact" w:before="12"/>
              <w:ind w:right="88"/>
              <w:jc w:val="right"/>
              <w:rPr>
                <w:rFonts w:ascii="Arial"/>
                <w:b/>
                <w:sz w:val="16"/>
              </w:rPr>
            </w:pPr>
            <w:r>
              <w:rPr>
                <w:rFonts w:ascii="Arial"/>
                <w:b/>
                <w:spacing w:val="-10"/>
                <w:sz w:val="16"/>
              </w:rPr>
              <w:t>$</w:t>
            </w:r>
            <w:r>
              <w:rPr>
                <w:rFonts w:ascii="Arial"/>
                <w:b/>
                <w:sz w:val="16"/>
              </w:rPr>
              <w:tab/>
            </w:r>
            <w:r>
              <w:rPr>
                <w:rFonts w:ascii="Arial"/>
                <w:b/>
                <w:spacing w:val="-2"/>
                <w:sz w:val="16"/>
              </w:rPr>
              <w:t>2,624</w:t>
            </w:r>
          </w:p>
        </w:tc>
        <w:tc>
          <w:tcPr>
            <w:tcW w:w="1148" w:type="dxa"/>
            <w:tcBorders>
              <w:top w:val="single" w:sz="8" w:space="0" w:color="6C6C6C"/>
              <w:bottom w:val="double" w:sz="8" w:space="0" w:color="6C6C6C"/>
            </w:tcBorders>
          </w:tcPr>
          <w:p>
            <w:pPr>
              <w:pStyle w:val="TableParagraph"/>
              <w:tabs>
                <w:tab w:pos="559" w:val="left" w:leader="none"/>
              </w:tabs>
              <w:spacing w:line="167" w:lineRule="exact" w:before="12"/>
              <w:ind w:right="96"/>
              <w:jc w:val="right"/>
              <w:rPr>
                <w:rFonts w:ascii="Arial"/>
                <w:b/>
                <w:sz w:val="16"/>
              </w:rPr>
            </w:pPr>
            <w:r>
              <w:rPr>
                <w:rFonts w:ascii="Arial"/>
                <w:b/>
                <w:spacing w:val="-10"/>
                <w:sz w:val="16"/>
              </w:rPr>
              <w:t>$</w:t>
            </w:r>
            <w:r>
              <w:rPr>
                <w:rFonts w:ascii="Arial"/>
                <w:b/>
                <w:sz w:val="16"/>
              </w:rPr>
              <w:tab/>
            </w:r>
            <w:r>
              <w:rPr>
                <w:rFonts w:ascii="Arial"/>
                <w:b/>
                <w:spacing w:val="-2"/>
                <w:sz w:val="16"/>
              </w:rPr>
              <w:t>2,246</w:t>
            </w:r>
          </w:p>
        </w:tc>
        <w:tc>
          <w:tcPr>
            <w:tcW w:w="1605" w:type="dxa"/>
            <w:tcBorders>
              <w:top w:val="single" w:sz="8" w:space="0" w:color="6C6C6C"/>
              <w:bottom w:val="double" w:sz="8" w:space="0" w:color="6C6C6C"/>
            </w:tcBorders>
          </w:tcPr>
          <w:p>
            <w:pPr>
              <w:pStyle w:val="TableParagraph"/>
              <w:tabs>
                <w:tab w:pos="1187" w:val="left" w:leader="none"/>
              </w:tabs>
              <w:spacing w:line="167" w:lineRule="exact" w:before="12"/>
              <w:ind w:right="66"/>
              <w:jc w:val="right"/>
              <w:rPr>
                <w:rFonts w:ascii="Arial"/>
                <w:b/>
                <w:sz w:val="16"/>
              </w:rPr>
            </w:pPr>
            <w:r>
              <w:rPr>
                <w:rFonts w:ascii="Arial"/>
                <w:b/>
                <w:spacing w:val="-10"/>
                <w:sz w:val="16"/>
              </w:rPr>
              <w:t>$</w:t>
            </w:r>
            <w:r>
              <w:rPr>
                <w:rFonts w:ascii="Arial"/>
                <w:b/>
                <w:sz w:val="16"/>
              </w:rPr>
              <w:tab/>
            </w:r>
            <w:r>
              <w:rPr>
                <w:rFonts w:ascii="Arial"/>
                <w:b/>
                <w:spacing w:val="-5"/>
                <w:sz w:val="16"/>
              </w:rPr>
              <w:t>378</w:t>
            </w:r>
          </w:p>
        </w:tc>
      </w:tr>
    </w:tbl>
    <w:p>
      <w:pPr>
        <w:pStyle w:val="BodyText"/>
        <w:spacing w:before="5"/>
        <w:rPr>
          <w:rFonts w:ascii="Arial MT"/>
          <w:sz w:val="15"/>
        </w:rPr>
      </w:pPr>
      <w:r>
        <w:rPr>
          <w:rFonts w:ascii="Arial MT"/>
          <w:sz w:val="15"/>
        </w:rPr>
        <mc:AlternateContent>
          <mc:Choice Requires="wps">
            <w:drawing>
              <wp:anchor distT="0" distB="0" distL="0" distR="0" allowOverlap="1" layoutInCell="1" locked="0" behindDoc="1" simplePos="0" relativeHeight="487652352">
                <wp:simplePos x="0" y="0"/>
                <wp:positionH relativeFrom="page">
                  <wp:posOffset>914400</wp:posOffset>
                </wp:positionH>
                <wp:positionV relativeFrom="paragraph">
                  <wp:posOffset>128270</wp:posOffset>
                </wp:positionV>
                <wp:extent cx="594360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1pt;width:468pt;height:.1pt;mso-position-horizontal-relative:page;mso-position-vertical-relative:paragraph;z-index:-15664128;mso-wrap-distance-left:0;mso-wrap-distance-right:0" id="docshape383" coordorigin="1440,202" coordsize="9360,0" path="m1440,202l10800,202e" filled="false" stroked="true" strokeweight="1pt" strokecolor="#6c6c6c">
                <v:path arrowok="t"/>
                <v:stroke dashstyle="solid"/>
                <w10:wrap type="topAndBottom"/>
              </v:shape>
            </w:pict>
          </mc:Fallback>
        </mc:AlternateContent>
      </w:r>
    </w:p>
    <w:p>
      <w:pPr>
        <w:pStyle w:val="ListParagraph"/>
        <w:numPr>
          <w:ilvl w:val="1"/>
          <w:numId w:val="19"/>
        </w:numPr>
        <w:tabs>
          <w:tab w:pos="950" w:val="left" w:leader="none"/>
          <w:tab w:pos="952" w:val="left" w:leader="none"/>
        </w:tabs>
        <w:spacing w:line="288" w:lineRule="auto" w:before="5" w:after="0"/>
        <w:ind w:left="952" w:right="770" w:hanging="180"/>
        <w:jc w:val="left"/>
        <w:rPr>
          <w:sz w:val="20"/>
        </w:rPr>
      </w:pPr>
      <w:r>
        <w:rPr>
          <w:rFonts w:ascii="Arial"/>
          <w:i/>
          <w:sz w:val="16"/>
        </w:rPr>
        <w:t>Includes</w:t>
      </w:r>
      <w:r>
        <w:rPr>
          <w:rFonts w:ascii="Arial"/>
          <w:i/>
          <w:spacing w:val="18"/>
          <w:sz w:val="16"/>
        </w:rPr>
        <w:t> </w:t>
      </w:r>
      <w:r>
        <w:rPr>
          <w:rFonts w:ascii="Arial"/>
          <w:i/>
          <w:sz w:val="16"/>
        </w:rPr>
        <w:t>transfer</w:t>
      </w:r>
      <w:r>
        <w:rPr>
          <w:rFonts w:ascii="Arial"/>
          <w:i/>
          <w:spacing w:val="18"/>
          <w:sz w:val="16"/>
        </w:rPr>
        <w:t> </w:t>
      </w:r>
      <w:r>
        <w:rPr>
          <w:rFonts w:ascii="Arial"/>
          <w:i/>
          <w:sz w:val="16"/>
        </w:rPr>
        <w:t>to</w:t>
      </w:r>
      <w:r>
        <w:rPr>
          <w:rFonts w:ascii="Arial"/>
          <w:i/>
          <w:spacing w:val="18"/>
          <w:sz w:val="16"/>
        </w:rPr>
        <w:t> </w:t>
      </w:r>
      <w:r>
        <w:rPr>
          <w:rFonts w:ascii="Arial"/>
          <w:i/>
          <w:sz w:val="16"/>
        </w:rPr>
        <w:t>the</w:t>
      </w:r>
      <w:r>
        <w:rPr>
          <w:rFonts w:ascii="Arial"/>
          <w:i/>
          <w:spacing w:val="18"/>
          <w:sz w:val="16"/>
        </w:rPr>
        <w:t> </w:t>
      </w:r>
      <w:r>
        <w:rPr>
          <w:rFonts w:ascii="Arial"/>
          <w:i/>
          <w:sz w:val="16"/>
        </w:rPr>
        <w:t>General</w:t>
      </w:r>
      <w:r>
        <w:rPr>
          <w:rFonts w:ascii="Arial"/>
          <w:i/>
          <w:spacing w:val="18"/>
          <w:sz w:val="16"/>
        </w:rPr>
        <w:t> </w:t>
      </w:r>
      <w:r>
        <w:rPr>
          <w:rFonts w:ascii="Arial"/>
          <w:i/>
          <w:sz w:val="16"/>
        </w:rPr>
        <w:t>Reserve,</w:t>
      </w:r>
      <w:r>
        <w:rPr>
          <w:rFonts w:ascii="Arial"/>
          <w:i/>
          <w:spacing w:val="18"/>
          <w:sz w:val="16"/>
        </w:rPr>
        <w:t> </w:t>
      </w:r>
      <w:r>
        <w:rPr>
          <w:rFonts w:ascii="Arial"/>
          <w:i/>
          <w:sz w:val="16"/>
        </w:rPr>
        <w:t>which</w:t>
      </w:r>
      <w:r>
        <w:rPr>
          <w:rFonts w:ascii="Arial"/>
          <w:i/>
          <w:spacing w:val="18"/>
          <w:sz w:val="16"/>
        </w:rPr>
        <w:t> </w:t>
      </w:r>
      <w:r>
        <w:rPr>
          <w:rFonts w:ascii="Arial"/>
          <w:i/>
          <w:sz w:val="16"/>
        </w:rPr>
        <w:t>for</w:t>
      </w:r>
      <w:r>
        <w:rPr>
          <w:rFonts w:ascii="Arial"/>
          <w:i/>
          <w:spacing w:val="17"/>
          <w:sz w:val="16"/>
        </w:rPr>
        <w:t> </w:t>
      </w:r>
      <w:r>
        <w:rPr>
          <w:rFonts w:ascii="Arial"/>
          <w:i/>
          <w:sz w:val="16"/>
        </w:rPr>
        <w:t>FY23</w:t>
      </w:r>
      <w:r>
        <w:rPr>
          <w:rFonts w:ascii="Arial"/>
          <w:i/>
          <w:spacing w:val="17"/>
          <w:sz w:val="16"/>
        </w:rPr>
        <w:t> </w:t>
      </w:r>
      <w:r>
        <w:rPr>
          <w:rFonts w:ascii="Arial"/>
          <w:i/>
          <w:sz w:val="16"/>
        </w:rPr>
        <w:t>(FY22)</w:t>
      </w:r>
      <w:r>
        <w:rPr>
          <w:rFonts w:ascii="Arial"/>
          <w:i/>
          <w:spacing w:val="18"/>
          <w:sz w:val="16"/>
        </w:rPr>
        <w:t> </w:t>
      </w:r>
      <w:r>
        <w:rPr>
          <w:rFonts w:ascii="Arial"/>
          <w:i/>
          <w:sz w:val="16"/>
        </w:rPr>
        <w:t>was</w:t>
      </w:r>
      <w:r>
        <w:rPr>
          <w:rFonts w:ascii="Arial"/>
          <w:i/>
          <w:spacing w:val="18"/>
          <w:sz w:val="16"/>
        </w:rPr>
        <w:t> </w:t>
      </w:r>
      <w:r>
        <w:rPr>
          <w:rFonts w:ascii="Arial"/>
          <w:i/>
          <w:sz w:val="16"/>
        </w:rPr>
        <w:t>approved</w:t>
      </w:r>
      <w:r>
        <w:rPr>
          <w:rFonts w:ascii="Arial"/>
          <w:i/>
          <w:spacing w:val="18"/>
          <w:sz w:val="16"/>
        </w:rPr>
        <w:t> </w:t>
      </w:r>
      <w:r>
        <w:rPr>
          <w:rFonts w:ascii="Arial"/>
          <w:i/>
          <w:sz w:val="16"/>
        </w:rPr>
        <w:t>by</w:t>
      </w:r>
      <w:r>
        <w:rPr>
          <w:rFonts w:ascii="Arial"/>
          <w:i/>
          <w:spacing w:val="18"/>
          <w:sz w:val="16"/>
        </w:rPr>
        <w:t> </w:t>
      </w:r>
      <w:r>
        <w:rPr>
          <w:rFonts w:ascii="Arial"/>
          <w:i/>
          <w:sz w:val="16"/>
        </w:rPr>
        <w:t>the</w:t>
      </w:r>
      <w:r>
        <w:rPr>
          <w:rFonts w:ascii="Arial"/>
          <w:i/>
          <w:spacing w:val="18"/>
          <w:sz w:val="16"/>
        </w:rPr>
        <w:t> </w:t>
      </w:r>
      <w:r>
        <w:rPr>
          <w:rFonts w:ascii="Arial"/>
          <w:i/>
          <w:sz w:val="16"/>
        </w:rPr>
        <w:t>Board</w:t>
      </w:r>
      <w:r>
        <w:rPr>
          <w:rFonts w:ascii="Arial"/>
          <w:i/>
          <w:spacing w:val="18"/>
          <w:sz w:val="16"/>
        </w:rPr>
        <w:t> </w:t>
      </w:r>
      <w:r>
        <w:rPr>
          <w:rFonts w:ascii="Arial"/>
          <w:i/>
          <w:sz w:val="16"/>
        </w:rPr>
        <w:t>on</w:t>
      </w:r>
      <w:r>
        <w:rPr>
          <w:rFonts w:ascii="Arial"/>
          <w:i/>
          <w:spacing w:val="18"/>
          <w:sz w:val="16"/>
        </w:rPr>
        <w:t> </w:t>
      </w:r>
      <w:r>
        <w:rPr>
          <w:rFonts w:ascii="Arial"/>
          <w:i/>
          <w:sz w:val="16"/>
        </w:rPr>
        <w:t>August</w:t>
      </w:r>
      <w:r>
        <w:rPr>
          <w:rFonts w:ascii="Arial"/>
          <w:i/>
          <w:spacing w:val="18"/>
          <w:sz w:val="16"/>
        </w:rPr>
        <w:t> </w:t>
      </w:r>
      <w:r>
        <w:rPr>
          <w:rFonts w:ascii="Arial"/>
          <w:i/>
          <w:sz w:val="16"/>
        </w:rPr>
        <w:t>3,</w:t>
      </w:r>
      <w:r>
        <w:rPr>
          <w:rFonts w:ascii="Arial"/>
          <w:i/>
          <w:spacing w:val="18"/>
          <w:sz w:val="16"/>
        </w:rPr>
        <w:t> </w:t>
      </w:r>
      <w:r>
        <w:rPr>
          <w:rFonts w:ascii="Arial"/>
          <w:i/>
          <w:sz w:val="16"/>
        </w:rPr>
        <w:t>2023</w:t>
      </w:r>
      <w:r>
        <w:rPr>
          <w:rFonts w:ascii="Arial"/>
          <w:i/>
          <w:spacing w:val="18"/>
          <w:sz w:val="16"/>
        </w:rPr>
        <w:t> </w:t>
      </w:r>
      <w:r>
        <w:rPr>
          <w:rFonts w:ascii="Arial"/>
          <w:i/>
          <w:sz w:val="16"/>
        </w:rPr>
        <w:t>(August</w:t>
      </w:r>
      <w:r>
        <w:rPr>
          <w:rFonts w:ascii="Arial"/>
          <w:i/>
          <w:spacing w:val="18"/>
          <w:sz w:val="16"/>
        </w:rPr>
        <w:t> </w:t>
      </w:r>
      <w:r>
        <w:rPr>
          <w:rFonts w:ascii="Arial"/>
          <w:i/>
          <w:sz w:val="16"/>
        </w:rPr>
        <w:t>4, </w:t>
      </w:r>
      <w:r>
        <w:rPr>
          <w:rFonts w:ascii="Arial"/>
          <w:i/>
          <w:spacing w:val="-2"/>
          <w:sz w:val="16"/>
        </w:rPr>
        <w:t>2022).</w:t>
      </w:r>
    </w:p>
    <w:p>
      <w:pPr>
        <w:pStyle w:val="ListParagraph"/>
        <w:numPr>
          <w:ilvl w:val="1"/>
          <w:numId w:val="19"/>
        </w:numPr>
        <w:tabs>
          <w:tab w:pos="948" w:val="left" w:leader="none"/>
        </w:tabs>
        <w:spacing w:line="240" w:lineRule="auto" w:before="36" w:after="0"/>
        <w:ind w:left="948" w:right="0" w:hanging="176"/>
        <w:jc w:val="left"/>
        <w:rPr>
          <w:rFonts w:ascii="Arial"/>
          <w:i/>
          <w:sz w:val="16"/>
        </w:rPr>
      </w:pPr>
      <w:r>
        <w:rPr>
          <w:rFonts w:ascii="Arial"/>
          <w:i/>
          <w:sz w:val="16"/>
        </w:rPr>
        <w:t>Includes</w:t>
      </w:r>
      <w:r>
        <w:rPr>
          <w:rFonts w:ascii="Arial"/>
          <w:i/>
          <w:spacing w:val="-6"/>
          <w:sz w:val="16"/>
        </w:rPr>
        <w:t> </w:t>
      </w:r>
      <w:r>
        <w:rPr>
          <w:rFonts w:ascii="Arial"/>
          <w:i/>
          <w:sz w:val="16"/>
        </w:rPr>
        <w:t>cumulative</w:t>
      </w:r>
      <w:r>
        <w:rPr>
          <w:rFonts w:ascii="Arial"/>
          <w:i/>
          <w:spacing w:val="-5"/>
          <w:sz w:val="16"/>
        </w:rPr>
        <w:t> </w:t>
      </w:r>
      <w:r>
        <w:rPr>
          <w:rFonts w:ascii="Arial"/>
          <w:i/>
          <w:sz w:val="16"/>
        </w:rPr>
        <w:t>translation</w:t>
      </w:r>
      <w:r>
        <w:rPr>
          <w:rFonts w:ascii="Arial"/>
          <w:i/>
          <w:spacing w:val="-6"/>
          <w:sz w:val="16"/>
        </w:rPr>
        <w:t> </w:t>
      </w:r>
      <w:r>
        <w:rPr>
          <w:rFonts w:ascii="Arial"/>
          <w:i/>
          <w:sz w:val="16"/>
        </w:rPr>
        <w:t>gains</w:t>
      </w:r>
      <w:r>
        <w:rPr>
          <w:rFonts w:ascii="Arial"/>
          <w:i/>
          <w:spacing w:val="-5"/>
          <w:sz w:val="16"/>
        </w:rPr>
        <w:t> </w:t>
      </w:r>
      <w:r>
        <w:rPr>
          <w:rFonts w:ascii="Arial"/>
          <w:i/>
          <w:sz w:val="16"/>
        </w:rPr>
        <w:t>on</w:t>
      </w:r>
      <w:r>
        <w:rPr>
          <w:rFonts w:ascii="Arial"/>
          <w:i/>
          <w:spacing w:val="-4"/>
          <w:sz w:val="16"/>
        </w:rPr>
        <w:t> </w:t>
      </w:r>
      <w:r>
        <w:rPr>
          <w:rFonts w:ascii="Arial"/>
          <w:i/>
          <w:sz w:val="16"/>
        </w:rPr>
        <w:t>non-functional</w:t>
      </w:r>
      <w:r>
        <w:rPr>
          <w:rFonts w:ascii="Arial"/>
          <w:i/>
          <w:spacing w:val="-4"/>
          <w:sz w:val="16"/>
        </w:rPr>
        <w:t> </w:t>
      </w:r>
      <w:r>
        <w:rPr>
          <w:rFonts w:ascii="Arial"/>
          <w:i/>
          <w:sz w:val="16"/>
        </w:rPr>
        <w:t>currencies</w:t>
      </w:r>
      <w:r>
        <w:rPr>
          <w:rFonts w:ascii="Arial"/>
          <w:i/>
          <w:spacing w:val="-4"/>
          <w:sz w:val="16"/>
        </w:rPr>
        <w:t> </w:t>
      </w:r>
      <w:r>
        <w:rPr>
          <w:rFonts w:ascii="Arial"/>
          <w:i/>
          <w:sz w:val="16"/>
        </w:rPr>
        <w:t>of</w:t>
      </w:r>
      <w:r>
        <w:rPr>
          <w:rFonts w:ascii="Arial"/>
          <w:i/>
          <w:spacing w:val="-4"/>
          <w:sz w:val="16"/>
        </w:rPr>
        <w:t> </w:t>
      </w:r>
      <w:r>
        <w:rPr>
          <w:rFonts w:ascii="Arial"/>
          <w:i/>
          <w:sz w:val="16"/>
        </w:rPr>
        <w:t>$221</w:t>
      </w:r>
      <w:r>
        <w:rPr>
          <w:rFonts w:ascii="Arial"/>
          <w:i/>
          <w:spacing w:val="-5"/>
          <w:sz w:val="16"/>
        </w:rPr>
        <w:t> </w:t>
      </w:r>
      <w:r>
        <w:rPr>
          <w:rFonts w:ascii="Arial"/>
          <w:i/>
          <w:sz w:val="16"/>
        </w:rPr>
        <w:t>million</w:t>
      </w:r>
      <w:r>
        <w:rPr>
          <w:rFonts w:ascii="Arial"/>
          <w:i/>
          <w:spacing w:val="-5"/>
          <w:sz w:val="16"/>
        </w:rPr>
        <w:t> </w:t>
      </w:r>
      <w:r>
        <w:rPr>
          <w:rFonts w:ascii="Arial"/>
          <w:i/>
          <w:sz w:val="16"/>
        </w:rPr>
        <w:t>for</w:t>
      </w:r>
      <w:r>
        <w:rPr>
          <w:rFonts w:ascii="Arial"/>
          <w:i/>
          <w:spacing w:val="-5"/>
          <w:sz w:val="16"/>
        </w:rPr>
        <w:t> </w:t>
      </w:r>
      <w:r>
        <w:rPr>
          <w:rFonts w:ascii="Arial"/>
          <w:i/>
          <w:sz w:val="16"/>
        </w:rPr>
        <w:t>FY23</w:t>
      </w:r>
      <w:r>
        <w:rPr>
          <w:rFonts w:ascii="Arial"/>
          <w:i/>
          <w:spacing w:val="-4"/>
          <w:sz w:val="16"/>
        </w:rPr>
        <w:t> </w:t>
      </w:r>
      <w:r>
        <w:rPr>
          <w:rFonts w:ascii="Arial"/>
          <w:i/>
          <w:sz w:val="16"/>
        </w:rPr>
        <w:t>($173</w:t>
      </w:r>
      <w:r>
        <w:rPr>
          <w:rFonts w:ascii="Arial"/>
          <w:i/>
          <w:spacing w:val="-5"/>
          <w:sz w:val="16"/>
        </w:rPr>
        <w:t> </w:t>
      </w:r>
      <w:r>
        <w:rPr>
          <w:rFonts w:ascii="Arial"/>
          <w:i/>
          <w:sz w:val="16"/>
        </w:rPr>
        <w:t>million</w:t>
      </w:r>
      <w:r>
        <w:rPr>
          <w:rFonts w:ascii="Arial"/>
          <w:i/>
          <w:spacing w:val="-5"/>
          <w:sz w:val="16"/>
        </w:rPr>
        <w:t> </w:t>
      </w:r>
      <w:r>
        <w:rPr>
          <w:rFonts w:ascii="Arial"/>
          <w:i/>
          <w:sz w:val="16"/>
        </w:rPr>
        <w:t>gains</w:t>
      </w:r>
      <w:r>
        <w:rPr>
          <w:rFonts w:ascii="Arial"/>
          <w:i/>
          <w:spacing w:val="-5"/>
          <w:sz w:val="16"/>
        </w:rPr>
        <w:t> </w:t>
      </w:r>
      <w:r>
        <w:rPr>
          <w:rFonts w:ascii="Arial"/>
          <w:i/>
          <w:sz w:val="16"/>
        </w:rPr>
        <w:t>for</w:t>
      </w:r>
      <w:r>
        <w:rPr>
          <w:rFonts w:ascii="Arial"/>
          <w:i/>
          <w:spacing w:val="-4"/>
          <w:sz w:val="16"/>
        </w:rPr>
        <w:t> </w:t>
      </w:r>
      <w:r>
        <w:rPr>
          <w:rFonts w:ascii="Arial"/>
          <w:i/>
          <w:spacing w:val="-2"/>
          <w:sz w:val="16"/>
        </w:rPr>
        <w:t>FY22).</w:t>
      </w:r>
    </w:p>
    <w:p>
      <w:pPr>
        <w:pStyle w:val="ListParagraph"/>
        <w:spacing w:after="0" w:line="240" w:lineRule="auto"/>
        <w:jc w:val="left"/>
        <w:rPr>
          <w:rFonts w:ascii="Arial"/>
          <w:i/>
          <w:sz w:val="16"/>
        </w:rPr>
        <w:sectPr>
          <w:pgSz w:w="12240" w:h="15840"/>
          <w:pgMar w:header="744" w:footer="713" w:top="1020" w:bottom="900" w:left="720" w:right="720"/>
        </w:sectPr>
      </w:pPr>
    </w:p>
    <w:p>
      <w:pPr>
        <w:pStyle w:val="BodyText"/>
        <w:spacing w:before="77"/>
        <w:rPr>
          <w:rFonts w:ascii="Arial"/>
          <w:i/>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52864">
                <wp:simplePos x="0" y="0"/>
                <wp:positionH relativeFrom="page">
                  <wp:posOffset>914400</wp:posOffset>
                </wp:positionH>
                <wp:positionV relativeFrom="paragraph">
                  <wp:posOffset>233062</wp:posOffset>
                </wp:positionV>
                <wp:extent cx="5943600" cy="1270"/>
                <wp:effectExtent l="0" t="0" r="0" b="0"/>
                <wp:wrapTopAndBottom/>
                <wp:docPr id="472" name="Graphic 472"/>
                <wp:cNvGraphicFramePr>
                  <a:graphicFrameLocks/>
                </wp:cNvGraphicFramePr>
                <a:graphic>
                  <a:graphicData uri="http://schemas.microsoft.com/office/word/2010/wordprocessingShape">
                    <wps:wsp>
                      <wps:cNvPr id="472" name="Graphic 47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63616;mso-wrap-distance-left:0;mso-wrap-distance-right:0" id="docshape396" coordorigin="1440,367" coordsize="9360,0" path="m1440,367l10800,367e" filled="false" stroked="true" strokeweight="1pt" strokecolor="#000000">
                <v:path arrowok="t"/>
                <v:stroke dashstyle="solid"/>
                <w10:wrap type="topAndBottom"/>
              </v:shape>
            </w:pict>
          </mc:Fallback>
        </mc:AlternateContent>
      </w:r>
      <w:bookmarkStart w:name="Section IX: Risk Management" w:id="99"/>
      <w:bookmarkEnd w:id="99"/>
      <w:r>
        <w:rPr/>
      </w:r>
      <w:r>
        <w:rPr>
          <w:rFonts w:ascii="Arial"/>
          <w:b/>
          <w:sz w:val="28"/>
        </w:rPr>
        <w:t>Section</w:t>
      </w:r>
      <w:r>
        <w:rPr>
          <w:rFonts w:ascii="Arial"/>
          <w:b/>
          <w:spacing w:val="-2"/>
          <w:sz w:val="28"/>
        </w:rPr>
        <w:t> </w:t>
      </w:r>
      <w:r>
        <w:rPr>
          <w:rFonts w:ascii="Arial"/>
          <w:b/>
          <w:sz w:val="28"/>
        </w:rPr>
        <w:t>IX:</w:t>
      </w:r>
      <w:r>
        <w:rPr>
          <w:rFonts w:ascii="Arial"/>
          <w:b/>
          <w:spacing w:val="-1"/>
          <w:sz w:val="28"/>
        </w:rPr>
        <w:t> </w:t>
      </w:r>
      <w:r>
        <w:rPr>
          <w:rFonts w:ascii="Arial"/>
          <w:b/>
          <w:sz w:val="28"/>
        </w:rPr>
        <w:t>Risk</w:t>
      </w:r>
      <w:r>
        <w:rPr>
          <w:rFonts w:ascii="Arial"/>
          <w:b/>
          <w:spacing w:val="-1"/>
          <w:sz w:val="28"/>
        </w:rPr>
        <w:t> </w:t>
      </w:r>
      <w:r>
        <w:rPr>
          <w:rFonts w:ascii="Arial"/>
          <w:b/>
          <w:spacing w:val="-2"/>
          <w:sz w:val="28"/>
        </w:rPr>
        <w:t>Management</w:t>
      </w:r>
    </w:p>
    <w:p>
      <w:pPr>
        <w:spacing w:before="159"/>
        <w:ind w:left="720" w:right="0" w:firstLine="0"/>
        <w:jc w:val="left"/>
        <w:rPr>
          <w:rFonts w:ascii="Arial"/>
          <w:b/>
          <w:sz w:val="24"/>
        </w:rPr>
      </w:pPr>
      <w:bookmarkStart w:name="Risk Governance" w:id="100"/>
      <w:bookmarkEnd w:id="100"/>
      <w:r>
        <w:rPr/>
      </w:r>
      <w:bookmarkStart w:name="_bookmark67" w:id="101"/>
      <w:bookmarkEnd w:id="101"/>
      <w:r>
        <w:rPr/>
      </w:r>
      <w:r>
        <w:rPr>
          <w:rFonts w:ascii="Arial"/>
          <w:b/>
          <w:sz w:val="24"/>
        </w:rPr>
        <w:t>Risk</w:t>
      </w:r>
      <w:r>
        <w:rPr>
          <w:rFonts w:ascii="Arial"/>
          <w:b/>
          <w:spacing w:val="-2"/>
          <w:sz w:val="24"/>
        </w:rPr>
        <w:t> Governance</w:t>
      </w:r>
    </w:p>
    <w:p>
      <w:pPr>
        <w:pStyle w:val="BodyText"/>
        <w:spacing w:line="249" w:lineRule="auto" w:before="135"/>
        <w:ind w:left="720" w:right="719"/>
        <w:jc w:val="both"/>
      </w:pPr>
      <w:r>
        <w:rPr/>
        <w:t>IBRD’s</w:t>
      </w:r>
      <w:r>
        <w:rPr>
          <w:spacing w:val="-3"/>
        </w:rPr>
        <w:t> </w:t>
      </w:r>
      <w:r>
        <w:rPr/>
        <w:t>risk</w:t>
      </w:r>
      <w:r>
        <w:rPr>
          <w:spacing w:val="-2"/>
        </w:rPr>
        <w:t> </w:t>
      </w:r>
      <w:r>
        <w:rPr/>
        <w:t>management</w:t>
      </w:r>
      <w:r>
        <w:rPr>
          <w:spacing w:val="-3"/>
        </w:rPr>
        <w:t> </w:t>
      </w:r>
      <w:r>
        <w:rPr/>
        <w:t>processes</w:t>
      </w:r>
      <w:r>
        <w:rPr>
          <w:spacing w:val="-3"/>
        </w:rPr>
        <w:t> </w:t>
      </w:r>
      <w:r>
        <w:rPr/>
        <w:t>and</w:t>
      </w:r>
      <w:r>
        <w:rPr>
          <w:spacing w:val="-2"/>
        </w:rPr>
        <w:t> </w:t>
      </w:r>
      <w:r>
        <w:rPr/>
        <w:t>practices</w:t>
      </w:r>
      <w:r>
        <w:rPr>
          <w:spacing w:val="-3"/>
        </w:rPr>
        <w:t> </w:t>
      </w:r>
      <w:r>
        <w:rPr/>
        <w:t>evolve</w:t>
      </w:r>
      <w:r>
        <w:rPr>
          <w:spacing w:val="-3"/>
        </w:rPr>
        <w:t> </w:t>
      </w:r>
      <w:r>
        <w:rPr/>
        <w:t>to</w:t>
      </w:r>
      <w:r>
        <w:rPr>
          <w:spacing w:val="-2"/>
        </w:rPr>
        <w:t> </w:t>
      </w:r>
      <w:r>
        <w:rPr/>
        <w:t>reflect</w:t>
      </w:r>
      <w:r>
        <w:rPr>
          <w:spacing w:val="-3"/>
        </w:rPr>
        <w:t> </w:t>
      </w:r>
      <w:r>
        <w:rPr/>
        <w:t>changes</w:t>
      </w:r>
      <w:r>
        <w:rPr>
          <w:spacing w:val="-3"/>
        </w:rPr>
        <w:t> </w:t>
      </w:r>
      <w:r>
        <w:rPr/>
        <w:t>in</w:t>
      </w:r>
      <w:r>
        <w:rPr>
          <w:spacing w:val="-2"/>
        </w:rPr>
        <w:t> </w:t>
      </w:r>
      <w:r>
        <w:rPr/>
        <w:t>activities</w:t>
      </w:r>
      <w:r>
        <w:rPr>
          <w:spacing w:val="-3"/>
        </w:rPr>
        <w:t> </w:t>
      </w:r>
      <w:r>
        <w:rPr/>
        <w:t>in</w:t>
      </w:r>
      <w:r>
        <w:rPr>
          <w:spacing w:val="-2"/>
        </w:rPr>
        <w:t> </w:t>
      </w:r>
      <w:r>
        <w:rPr/>
        <w:t>response</w:t>
      </w:r>
      <w:r>
        <w:rPr>
          <w:spacing w:val="-3"/>
        </w:rPr>
        <w:t> </w:t>
      </w:r>
      <w:r>
        <w:rPr/>
        <w:t>to</w:t>
      </w:r>
      <w:r>
        <w:rPr>
          <w:spacing w:val="-2"/>
        </w:rPr>
        <w:t> </w:t>
      </w:r>
      <w:r>
        <w:rPr/>
        <w:t>market,</w:t>
      </w:r>
      <w:r>
        <w:rPr>
          <w:spacing w:val="-2"/>
        </w:rPr>
        <w:t> </w:t>
      </w:r>
      <w:r>
        <w:rPr/>
        <w:t>credit, product, operational, and other developments. The Board, particularly the Audit Committee (AC), periodically reviews trends in IBRD’s risk profiles and performance, and any major developments in risk management policies and controls.</w:t>
      </w:r>
    </w:p>
    <w:p>
      <w:pPr>
        <w:pStyle w:val="BodyText"/>
        <w:spacing w:line="249" w:lineRule="auto" w:before="123"/>
        <w:ind w:left="720" w:right="719"/>
        <w:jc w:val="both"/>
      </w:pPr>
      <w:r>
        <w:rPr/>
        <w:t>Management believes that effective risk management is critical for its overall operations. Accordingly, the risk management governance structure is designed to manage the principal risks IBRD assumes in its activities, and supports</w:t>
      </w:r>
      <w:r>
        <w:rPr>
          <w:spacing w:val="-3"/>
        </w:rPr>
        <w:t> </w:t>
      </w:r>
      <w:r>
        <w:rPr/>
        <w:t>Management</w:t>
      </w:r>
      <w:r>
        <w:rPr>
          <w:spacing w:val="-3"/>
        </w:rPr>
        <w:t> </w:t>
      </w:r>
      <w:r>
        <w:rPr/>
        <w:t>in</w:t>
      </w:r>
      <w:r>
        <w:rPr>
          <w:spacing w:val="-3"/>
        </w:rPr>
        <w:t> </w:t>
      </w:r>
      <w:r>
        <w:rPr/>
        <w:t>its</w:t>
      </w:r>
      <w:r>
        <w:rPr>
          <w:spacing w:val="-3"/>
        </w:rPr>
        <w:t> </w:t>
      </w:r>
      <w:r>
        <w:rPr/>
        <w:t>oversight</w:t>
      </w:r>
      <w:r>
        <w:rPr>
          <w:spacing w:val="-3"/>
        </w:rPr>
        <w:t> </w:t>
      </w:r>
      <w:r>
        <w:rPr/>
        <w:t>function,</w:t>
      </w:r>
      <w:r>
        <w:rPr>
          <w:spacing w:val="-3"/>
        </w:rPr>
        <w:t> </w:t>
      </w:r>
      <w:r>
        <w:rPr/>
        <w:t>particularly</w:t>
      </w:r>
      <w:r>
        <w:rPr>
          <w:spacing w:val="-3"/>
        </w:rPr>
        <w:t> </w:t>
      </w:r>
      <w:r>
        <w:rPr/>
        <w:t>in</w:t>
      </w:r>
      <w:r>
        <w:rPr>
          <w:spacing w:val="-3"/>
        </w:rPr>
        <w:t> </w:t>
      </w:r>
      <w:r>
        <w:rPr/>
        <w:t>coordinating</w:t>
      </w:r>
      <w:r>
        <w:rPr>
          <w:spacing w:val="-3"/>
        </w:rPr>
        <w:t> </w:t>
      </w:r>
      <w:r>
        <w:rPr/>
        <w:t>different</w:t>
      </w:r>
      <w:r>
        <w:rPr>
          <w:spacing w:val="-3"/>
        </w:rPr>
        <w:t> </w:t>
      </w:r>
      <w:r>
        <w:rPr/>
        <w:t>aspects</w:t>
      </w:r>
      <w:r>
        <w:rPr>
          <w:spacing w:val="-3"/>
        </w:rPr>
        <w:t> </w:t>
      </w:r>
      <w:r>
        <w:rPr/>
        <w:t>of</w:t>
      </w:r>
      <w:r>
        <w:rPr>
          <w:spacing w:val="-3"/>
        </w:rPr>
        <w:t> </w:t>
      </w:r>
      <w:r>
        <w:rPr/>
        <w:t>risk</w:t>
      </w:r>
      <w:r>
        <w:rPr>
          <w:spacing w:val="-3"/>
        </w:rPr>
        <w:t> </w:t>
      </w:r>
      <w:r>
        <w:rPr/>
        <w:t>management</w:t>
      </w:r>
      <w:r>
        <w:rPr>
          <w:spacing w:val="-3"/>
        </w:rPr>
        <w:t> </w:t>
      </w:r>
      <w:r>
        <w:rPr/>
        <w:t>and in connection with risks that are common across functional areas.</w:t>
      </w:r>
    </w:p>
    <w:p>
      <w:pPr>
        <w:pStyle w:val="BodyText"/>
        <w:spacing w:before="123"/>
        <w:ind w:left="720"/>
      </w:pPr>
      <w:r>
        <w:rPr/>
        <w:t>IBRD’s</w:t>
      </w:r>
      <w:r>
        <w:rPr>
          <w:spacing w:val="-6"/>
        </w:rPr>
        <w:t> </w:t>
      </w:r>
      <w:r>
        <w:rPr/>
        <w:t>financial</w:t>
      </w:r>
      <w:r>
        <w:rPr>
          <w:spacing w:val="-4"/>
        </w:rPr>
        <w:t> </w:t>
      </w:r>
      <w:r>
        <w:rPr/>
        <w:t>and</w:t>
      </w:r>
      <w:r>
        <w:rPr>
          <w:spacing w:val="-2"/>
        </w:rPr>
        <w:t> </w:t>
      </w:r>
      <w:r>
        <w:rPr/>
        <w:t>operational</w:t>
      </w:r>
      <w:r>
        <w:rPr>
          <w:spacing w:val="-4"/>
        </w:rPr>
        <w:t> </w:t>
      </w:r>
      <w:r>
        <w:rPr/>
        <w:t>risk</w:t>
      </w:r>
      <w:r>
        <w:rPr>
          <w:spacing w:val="-2"/>
        </w:rPr>
        <w:t> </w:t>
      </w:r>
      <w:r>
        <w:rPr/>
        <w:t>governance</w:t>
      </w:r>
      <w:r>
        <w:rPr>
          <w:spacing w:val="-4"/>
        </w:rPr>
        <w:t> </w:t>
      </w:r>
      <w:r>
        <w:rPr/>
        <w:t>structure</w:t>
      </w:r>
      <w:r>
        <w:rPr>
          <w:spacing w:val="-4"/>
        </w:rPr>
        <w:t> </w:t>
      </w:r>
      <w:r>
        <w:rPr/>
        <w:t>is</w:t>
      </w:r>
      <w:r>
        <w:rPr>
          <w:spacing w:val="-3"/>
        </w:rPr>
        <w:t> </w:t>
      </w:r>
      <w:r>
        <w:rPr/>
        <w:t>built</w:t>
      </w:r>
      <w:r>
        <w:rPr>
          <w:spacing w:val="-4"/>
        </w:rPr>
        <w:t> </w:t>
      </w:r>
      <w:r>
        <w:rPr/>
        <w:t>on</w:t>
      </w:r>
      <w:r>
        <w:rPr>
          <w:spacing w:val="-2"/>
        </w:rPr>
        <w:t> </w:t>
      </w:r>
      <w:r>
        <w:rPr/>
        <w:t>the</w:t>
      </w:r>
      <w:r>
        <w:rPr>
          <w:spacing w:val="-4"/>
        </w:rPr>
        <w:t> </w:t>
      </w:r>
      <w:r>
        <w:rPr/>
        <w:t>“three</w:t>
      </w:r>
      <w:r>
        <w:rPr>
          <w:spacing w:val="-3"/>
        </w:rPr>
        <w:t> </w:t>
      </w:r>
      <w:r>
        <w:rPr/>
        <w:t>lines</w:t>
      </w:r>
      <w:r>
        <w:rPr>
          <w:spacing w:val="-4"/>
        </w:rPr>
        <w:t> </w:t>
      </w:r>
      <w:r>
        <w:rPr/>
        <w:t>model”</w:t>
      </w:r>
      <w:r>
        <w:rPr>
          <w:spacing w:val="-3"/>
        </w:rPr>
        <w:t> </w:t>
      </w:r>
      <w:r>
        <w:rPr>
          <w:spacing w:val="-2"/>
        </w:rPr>
        <w:t>where:</w:t>
      </w:r>
    </w:p>
    <w:p>
      <w:pPr>
        <w:pStyle w:val="ListParagraph"/>
        <w:numPr>
          <w:ilvl w:val="2"/>
          <w:numId w:val="19"/>
        </w:numPr>
        <w:tabs>
          <w:tab w:pos="1439" w:val="left" w:leader="none"/>
        </w:tabs>
        <w:spacing w:line="240" w:lineRule="auto" w:before="130" w:after="0"/>
        <w:ind w:left="1439" w:right="0" w:hanging="359"/>
        <w:jc w:val="left"/>
        <w:rPr>
          <w:sz w:val="20"/>
        </w:rPr>
      </w:pPr>
      <w:r>
        <w:rPr>
          <w:sz w:val="20"/>
        </w:rPr>
        <w:t>Business</w:t>
      </w:r>
      <w:r>
        <w:rPr>
          <w:spacing w:val="-7"/>
          <w:sz w:val="20"/>
        </w:rPr>
        <w:t> </w:t>
      </w:r>
      <w:r>
        <w:rPr>
          <w:sz w:val="20"/>
        </w:rPr>
        <w:t>units</w:t>
      </w:r>
      <w:r>
        <w:rPr>
          <w:spacing w:val="-4"/>
          <w:sz w:val="20"/>
        </w:rPr>
        <w:t> </w:t>
      </w:r>
      <w:r>
        <w:rPr>
          <w:sz w:val="20"/>
        </w:rPr>
        <w:t>are</w:t>
      </w:r>
      <w:r>
        <w:rPr>
          <w:spacing w:val="-4"/>
          <w:sz w:val="20"/>
        </w:rPr>
        <w:t> </w:t>
      </w:r>
      <w:r>
        <w:rPr>
          <w:sz w:val="20"/>
        </w:rPr>
        <w:t>responsible</w:t>
      </w:r>
      <w:r>
        <w:rPr>
          <w:spacing w:val="-4"/>
          <w:sz w:val="20"/>
        </w:rPr>
        <w:t> </w:t>
      </w:r>
      <w:r>
        <w:rPr>
          <w:sz w:val="20"/>
        </w:rPr>
        <w:t>for</w:t>
      </w:r>
      <w:r>
        <w:rPr>
          <w:spacing w:val="-3"/>
          <w:sz w:val="20"/>
        </w:rPr>
        <w:t> </w:t>
      </w:r>
      <w:r>
        <w:rPr>
          <w:sz w:val="20"/>
        </w:rPr>
        <w:t>directly</w:t>
      </w:r>
      <w:r>
        <w:rPr>
          <w:spacing w:val="-3"/>
          <w:sz w:val="20"/>
        </w:rPr>
        <w:t> </w:t>
      </w:r>
      <w:r>
        <w:rPr>
          <w:sz w:val="20"/>
        </w:rPr>
        <w:t>managing</w:t>
      </w:r>
      <w:r>
        <w:rPr>
          <w:spacing w:val="-4"/>
          <w:sz w:val="20"/>
        </w:rPr>
        <w:t> </w:t>
      </w:r>
      <w:r>
        <w:rPr>
          <w:sz w:val="20"/>
        </w:rPr>
        <w:t>risks</w:t>
      </w:r>
      <w:r>
        <w:rPr>
          <w:spacing w:val="-4"/>
          <w:sz w:val="20"/>
        </w:rPr>
        <w:t> </w:t>
      </w:r>
      <w:r>
        <w:rPr>
          <w:sz w:val="20"/>
        </w:rPr>
        <w:t>in</w:t>
      </w:r>
      <w:r>
        <w:rPr>
          <w:spacing w:val="-3"/>
          <w:sz w:val="20"/>
        </w:rPr>
        <w:t> </w:t>
      </w:r>
      <w:r>
        <w:rPr>
          <w:sz w:val="20"/>
        </w:rPr>
        <w:t>their</w:t>
      </w:r>
      <w:r>
        <w:rPr>
          <w:spacing w:val="-3"/>
          <w:sz w:val="20"/>
        </w:rPr>
        <w:t> </w:t>
      </w:r>
      <w:r>
        <w:rPr>
          <w:sz w:val="20"/>
        </w:rPr>
        <w:t>respective</w:t>
      </w:r>
      <w:r>
        <w:rPr>
          <w:spacing w:val="-4"/>
          <w:sz w:val="20"/>
        </w:rPr>
        <w:t> </w:t>
      </w:r>
      <w:r>
        <w:rPr>
          <w:sz w:val="20"/>
        </w:rPr>
        <w:t>functional</w:t>
      </w:r>
      <w:r>
        <w:rPr>
          <w:spacing w:val="-4"/>
          <w:sz w:val="20"/>
        </w:rPr>
        <w:t> </w:t>
      </w:r>
      <w:r>
        <w:rPr>
          <w:spacing w:val="-2"/>
          <w:sz w:val="20"/>
        </w:rPr>
        <w:t>areas;</w:t>
      </w:r>
    </w:p>
    <w:p>
      <w:pPr>
        <w:pStyle w:val="ListParagraph"/>
        <w:numPr>
          <w:ilvl w:val="2"/>
          <w:numId w:val="19"/>
        </w:numPr>
        <w:tabs>
          <w:tab w:pos="1440" w:val="left" w:leader="none"/>
        </w:tabs>
        <w:spacing w:line="249" w:lineRule="auto" w:before="130" w:after="0"/>
        <w:ind w:left="1440" w:right="720" w:hanging="360"/>
        <w:jc w:val="both"/>
        <w:rPr>
          <w:sz w:val="20"/>
        </w:rPr>
      </w:pPr>
      <w:r>
        <w:rPr>
          <w:sz w:val="20"/>
        </w:rPr>
        <w:t>The Vice President and WBG Chief Risk Officer (CRO) provides direction, challenge, and oversight over financial and operational risk activities; and</w:t>
      </w:r>
    </w:p>
    <w:p>
      <w:pPr>
        <w:pStyle w:val="ListParagraph"/>
        <w:numPr>
          <w:ilvl w:val="2"/>
          <w:numId w:val="19"/>
        </w:numPr>
        <w:tabs>
          <w:tab w:pos="1439" w:val="left" w:leader="none"/>
        </w:tabs>
        <w:spacing w:line="240" w:lineRule="auto" w:before="122" w:after="0"/>
        <w:ind w:left="1439" w:right="0" w:hanging="359"/>
        <w:jc w:val="left"/>
        <w:rPr>
          <w:sz w:val="20"/>
        </w:rPr>
      </w:pPr>
      <w:r>
        <w:rPr>
          <w:sz w:val="20"/>
        </w:rPr>
        <w:t>Internal</w:t>
      </w:r>
      <w:r>
        <w:rPr>
          <w:spacing w:val="-4"/>
          <w:sz w:val="20"/>
        </w:rPr>
        <w:t> </w:t>
      </w:r>
      <w:r>
        <w:rPr>
          <w:sz w:val="20"/>
        </w:rPr>
        <w:t>Audit</w:t>
      </w:r>
      <w:r>
        <w:rPr>
          <w:spacing w:val="-4"/>
          <w:sz w:val="20"/>
        </w:rPr>
        <w:t> </w:t>
      </w:r>
      <w:r>
        <w:rPr>
          <w:sz w:val="20"/>
        </w:rPr>
        <w:t>provides</w:t>
      </w:r>
      <w:r>
        <w:rPr>
          <w:spacing w:val="-4"/>
          <w:sz w:val="20"/>
        </w:rPr>
        <w:t> </w:t>
      </w:r>
      <w:r>
        <w:rPr>
          <w:sz w:val="20"/>
        </w:rPr>
        <w:t>independent</w:t>
      </w:r>
      <w:r>
        <w:rPr>
          <w:spacing w:val="-3"/>
          <w:sz w:val="20"/>
        </w:rPr>
        <w:t> </w:t>
      </w:r>
      <w:r>
        <w:rPr>
          <w:spacing w:val="-2"/>
          <w:sz w:val="20"/>
        </w:rPr>
        <w:t>oversight.</w:t>
      </w:r>
    </w:p>
    <w:p>
      <w:pPr>
        <w:pStyle w:val="BodyText"/>
        <w:spacing w:line="249" w:lineRule="auto" w:before="130"/>
        <w:ind w:left="720" w:right="718"/>
        <w:jc w:val="both"/>
      </w:pPr>
      <w:r>
        <w:rPr/>
        <w:t>IBRD’s risk management process comprises risk identification, assessment, response and risk monitoring and reporting. IBRD has policies and procedures under which risk owners and corporate functions are responsible for identifying, assessing, responding to, monitoring and reporting risks.</w:t>
      </w:r>
    </w:p>
    <w:p>
      <w:pPr>
        <w:pStyle w:val="BodyText"/>
        <w:spacing w:before="70"/>
      </w:pPr>
    </w:p>
    <w:p>
      <w:pPr>
        <w:pStyle w:val="Heading1"/>
        <w:jc w:val="left"/>
      </w:pPr>
      <w:bookmarkStart w:name="Risk Oversight and Coverage" w:id="102"/>
      <w:bookmarkEnd w:id="102"/>
      <w:r>
        <w:rPr>
          <w:b w:val="0"/>
        </w:rPr>
      </w:r>
      <w:bookmarkStart w:name="_bookmark68" w:id="103"/>
      <w:bookmarkEnd w:id="103"/>
      <w:r>
        <w:rPr>
          <w:b w:val="0"/>
        </w:rPr>
      </w:r>
      <w:r>
        <w:rPr/>
        <w:t>Risk</w:t>
      </w:r>
      <w:r>
        <w:rPr>
          <w:spacing w:val="-3"/>
        </w:rPr>
        <w:t> </w:t>
      </w:r>
      <w:r>
        <w:rPr/>
        <w:t>Oversight</w:t>
      </w:r>
      <w:r>
        <w:rPr>
          <w:spacing w:val="-2"/>
        </w:rPr>
        <w:t> </w:t>
      </w:r>
      <w:r>
        <w:rPr/>
        <w:t>and</w:t>
      </w:r>
      <w:r>
        <w:rPr>
          <w:spacing w:val="-2"/>
        </w:rPr>
        <w:t> Coverage</w:t>
      </w:r>
    </w:p>
    <w:p>
      <w:pPr>
        <w:pStyle w:val="Heading4"/>
        <w:spacing w:before="126"/>
        <w:jc w:val="left"/>
      </w:pPr>
      <w:r>
        <w:rPr/>
        <w:t>Financial</w:t>
      </w:r>
      <w:r>
        <w:rPr>
          <w:spacing w:val="-3"/>
        </w:rPr>
        <w:t> </w:t>
      </w:r>
      <w:r>
        <w:rPr/>
        <w:t>and</w:t>
      </w:r>
      <w:r>
        <w:rPr>
          <w:spacing w:val="-2"/>
        </w:rPr>
        <w:t> </w:t>
      </w:r>
      <w:r>
        <w:rPr/>
        <w:t>Operational</w:t>
      </w:r>
      <w:r>
        <w:rPr>
          <w:spacing w:val="-3"/>
        </w:rPr>
        <w:t> </w:t>
      </w:r>
      <w:r>
        <w:rPr/>
        <w:t>Risk</w:t>
      </w:r>
      <w:r>
        <w:rPr>
          <w:spacing w:val="-2"/>
        </w:rPr>
        <w:t> Management</w:t>
      </w:r>
    </w:p>
    <w:p>
      <w:pPr>
        <w:pStyle w:val="BodyText"/>
        <w:spacing w:line="249" w:lineRule="auto" w:before="139"/>
        <w:ind w:left="720" w:right="717"/>
        <w:jc w:val="both"/>
      </w:pPr>
      <w:r>
        <w:rPr/>
        <w:t>The CRO oversees both financial and operational risks. These risks include (i) country credit risks in the core sovereign-lending business, (ii) market and counterparty risks, including liquidity risk, and (iii) operational risks relating to people, processes and systems, or from external events. In addition, the CRO works closely with IFC, MIGA, and IDA’s Management, to review, measure, aggregate, and report on risks, and share best practices across the WBG. The CRO also helps enhance cooperation between the entities and facilitates knowledge sharing in the</w:t>
      </w:r>
      <w:r>
        <w:rPr>
          <w:spacing w:val="40"/>
        </w:rPr>
        <w:t> </w:t>
      </w:r>
      <w:r>
        <w:rPr/>
        <w:t>risk management function.</w:t>
      </w:r>
    </w:p>
    <w:p>
      <w:pPr>
        <w:pStyle w:val="BodyText"/>
        <w:spacing w:before="125"/>
        <w:ind w:left="720"/>
      </w:pPr>
      <w:r>
        <w:rPr/>
        <w:t>The</w:t>
      </w:r>
      <w:r>
        <w:rPr>
          <w:spacing w:val="-6"/>
        </w:rPr>
        <w:t> </w:t>
      </w:r>
      <w:r>
        <w:rPr/>
        <w:t>following</w:t>
      </w:r>
      <w:r>
        <w:rPr>
          <w:spacing w:val="-3"/>
        </w:rPr>
        <w:t> </w:t>
      </w:r>
      <w:r>
        <w:rPr/>
        <w:t>three</w:t>
      </w:r>
      <w:r>
        <w:rPr>
          <w:spacing w:val="-3"/>
        </w:rPr>
        <w:t> </w:t>
      </w:r>
      <w:r>
        <w:rPr/>
        <w:t>departments</w:t>
      </w:r>
      <w:r>
        <w:rPr>
          <w:spacing w:val="-4"/>
        </w:rPr>
        <w:t> </w:t>
      </w:r>
      <w:r>
        <w:rPr/>
        <w:t>report</w:t>
      </w:r>
      <w:r>
        <w:rPr>
          <w:spacing w:val="-4"/>
        </w:rPr>
        <w:t> </w:t>
      </w:r>
      <w:r>
        <w:rPr/>
        <w:t>directly</w:t>
      </w:r>
      <w:r>
        <w:rPr>
          <w:spacing w:val="-2"/>
        </w:rPr>
        <w:t> </w:t>
      </w:r>
      <w:r>
        <w:rPr/>
        <w:t>to</w:t>
      </w:r>
      <w:r>
        <w:rPr>
          <w:spacing w:val="-3"/>
        </w:rPr>
        <w:t> </w:t>
      </w:r>
      <w:r>
        <w:rPr/>
        <w:t>the</w:t>
      </w:r>
      <w:r>
        <w:rPr>
          <w:spacing w:val="-3"/>
        </w:rPr>
        <w:t> </w:t>
      </w:r>
      <w:r>
        <w:rPr>
          <w:spacing w:val="-4"/>
        </w:rPr>
        <w:t>CRO:</w:t>
      </w:r>
    </w:p>
    <w:p>
      <w:pPr>
        <w:pStyle w:val="BodyText"/>
        <w:spacing w:before="211"/>
        <w:ind w:left="720"/>
      </w:pPr>
      <w:r>
        <w:rPr/>
        <w:t>Credit</w:t>
      </w:r>
      <w:r>
        <w:rPr>
          <w:spacing w:val="-4"/>
        </w:rPr>
        <w:t> </w:t>
      </w:r>
      <w:r>
        <w:rPr/>
        <w:t>Risk</w:t>
      </w:r>
      <w:r>
        <w:rPr>
          <w:spacing w:val="-3"/>
        </w:rPr>
        <w:t> </w:t>
      </w:r>
      <w:r>
        <w:rPr>
          <w:spacing w:val="-2"/>
        </w:rPr>
        <w:t>Department</w:t>
      </w:r>
    </w:p>
    <w:p>
      <w:pPr>
        <w:pStyle w:val="ListParagraph"/>
        <w:numPr>
          <w:ilvl w:val="2"/>
          <w:numId w:val="19"/>
        </w:numPr>
        <w:tabs>
          <w:tab w:pos="1440" w:val="left" w:leader="none"/>
        </w:tabs>
        <w:spacing w:line="232" w:lineRule="auto" w:before="224" w:after="0"/>
        <w:ind w:left="1440" w:right="719" w:hanging="360"/>
        <w:jc w:val="both"/>
        <w:rPr>
          <w:sz w:val="20"/>
        </w:rPr>
      </w:pPr>
      <w:r>
        <w:rPr>
          <w:sz w:val="20"/>
        </w:rPr>
        <w:t>Identifies, measures, monitors, and manages country credit risk faced by IBRD. By agreement with the Board, the individual country credit risk ratings are not shared with the Board and are not made public.</w:t>
      </w:r>
    </w:p>
    <w:p>
      <w:pPr>
        <w:pStyle w:val="ListParagraph"/>
        <w:numPr>
          <w:ilvl w:val="2"/>
          <w:numId w:val="19"/>
        </w:numPr>
        <w:tabs>
          <w:tab w:pos="1440" w:val="left" w:leader="none"/>
        </w:tabs>
        <w:spacing w:line="232" w:lineRule="auto" w:before="121" w:after="0"/>
        <w:ind w:left="1440" w:right="718" w:hanging="360"/>
        <w:jc w:val="both"/>
        <w:rPr>
          <w:sz w:val="20"/>
        </w:rPr>
      </w:pPr>
      <w:r>
        <w:rPr>
          <w:sz w:val="20"/>
        </w:rPr>
        <w:t>Assesses</w:t>
      </w:r>
      <w:r>
        <w:rPr>
          <w:spacing w:val="-2"/>
          <w:sz w:val="20"/>
        </w:rPr>
        <w:t> </w:t>
      </w:r>
      <w:r>
        <w:rPr>
          <w:sz w:val="20"/>
        </w:rPr>
        <w:t>loan</w:t>
      </w:r>
      <w:r>
        <w:rPr>
          <w:spacing w:val="-1"/>
          <w:sz w:val="20"/>
        </w:rPr>
        <w:t> </w:t>
      </w:r>
      <w:r>
        <w:rPr>
          <w:sz w:val="20"/>
        </w:rPr>
        <w:t>portfolio</w:t>
      </w:r>
      <w:r>
        <w:rPr>
          <w:spacing w:val="-1"/>
          <w:sz w:val="20"/>
        </w:rPr>
        <w:t> </w:t>
      </w:r>
      <w:r>
        <w:rPr>
          <w:sz w:val="20"/>
        </w:rPr>
        <w:t>risk,</w:t>
      </w:r>
      <w:r>
        <w:rPr>
          <w:spacing w:val="-1"/>
          <w:sz w:val="20"/>
        </w:rPr>
        <w:t> </w:t>
      </w:r>
      <w:r>
        <w:rPr>
          <w:sz w:val="20"/>
        </w:rPr>
        <w:t>determines</w:t>
      </w:r>
      <w:r>
        <w:rPr>
          <w:spacing w:val="-2"/>
          <w:sz w:val="20"/>
        </w:rPr>
        <w:t> </w:t>
      </w:r>
      <w:r>
        <w:rPr>
          <w:sz w:val="20"/>
        </w:rPr>
        <w:t>the</w:t>
      </w:r>
      <w:r>
        <w:rPr>
          <w:spacing w:val="-2"/>
          <w:sz w:val="20"/>
        </w:rPr>
        <w:t> </w:t>
      </w:r>
      <w:r>
        <w:rPr>
          <w:sz w:val="20"/>
        </w:rPr>
        <w:t>adequacy</w:t>
      </w:r>
      <w:r>
        <w:rPr>
          <w:spacing w:val="-1"/>
          <w:sz w:val="20"/>
        </w:rPr>
        <w:t> </w:t>
      </w:r>
      <w:r>
        <w:rPr>
          <w:sz w:val="20"/>
        </w:rPr>
        <w:t>of</w:t>
      </w:r>
      <w:r>
        <w:rPr>
          <w:spacing w:val="-1"/>
          <w:sz w:val="20"/>
        </w:rPr>
        <w:t> </w:t>
      </w:r>
      <w:r>
        <w:rPr>
          <w:sz w:val="20"/>
        </w:rPr>
        <w:t>provisions</w:t>
      </w:r>
      <w:r>
        <w:rPr>
          <w:spacing w:val="-2"/>
          <w:sz w:val="20"/>
        </w:rPr>
        <w:t> </w:t>
      </w:r>
      <w:r>
        <w:rPr>
          <w:sz w:val="20"/>
        </w:rPr>
        <w:t>for</w:t>
      </w:r>
      <w:r>
        <w:rPr>
          <w:spacing w:val="-1"/>
          <w:sz w:val="20"/>
        </w:rPr>
        <w:t> </w:t>
      </w:r>
      <w:r>
        <w:rPr>
          <w:sz w:val="20"/>
        </w:rPr>
        <w:t>losses</w:t>
      </w:r>
      <w:r>
        <w:rPr>
          <w:spacing w:val="-2"/>
          <w:sz w:val="20"/>
        </w:rPr>
        <w:t> </w:t>
      </w:r>
      <w:r>
        <w:rPr>
          <w:sz w:val="20"/>
        </w:rPr>
        <w:t>on</w:t>
      </w:r>
      <w:r>
        <w:rPr>
          <w:spacing w:val="-1"/>
          <w:sz w:val="20"/>
        </w:rPr>
        <w:t> </w:t>
      </w:r>
      <w:r>
        <w:rPr>
          <w:sz w:val="20"/>
        </w:rPr>
        <w:t>loans</w:t>
      </w:r>
      <w:r>
        <w:rPr>
          <w:spacing w:val="-2"/>
          <w:sz w:val="20"/>
        </w:rPr>
        <w:t> </w:t>
      </w:r>
      <w:r>
        <w:rPr>
          <w:sz w:val="20"/>
        </w:rPr>
        <w:t>and</w:t>
      </w:r>
      <w:r>
        <w:rPr>
          <w:spacing w:val="-1"/>
          <w:sz w:val="20"/>
        </w:rPr>
        <w:t> </w:t>
      </w:r>
      <w:r>
        <w:rPr>
          <w:sz w:val="20"/>
        </w:rPr>
        <w:t>other</w:t>
      </w:r>
      <w:r>
        <w:rPr>
          <w:spacing w:val="-1"/>
          <w:sz w:val="20"/>
        </w:rPr>
        <w:t> </w:t>
      </w:r>
      <w:r>
        <w:rPr>
          <w:sz w:val="20"/>
        </w:rPr>
        <w:t>exposures, and monitors borrowers that are vulnerable to crises in the near term. These reviews are taken into account in determining the overall country programs and lending operations, and they are included in the</w:t>
      </w:r>
      <w:r>
        <w:rPr>
          <w:spacing w:val="40"/>
          <w:sz w:val="20"/>
        </w:rPr>
        <w:t> </w:t>
      </w:r>
      <w:r>
        <w:rPr>
          <w:sz w:val="20"/>
        </w:rPr>
        <w:t>assessment of IBRD’s capital adequacy.</w:t>
      </w:r>
    </w:p>
    <w:p>
      <w:pPr>
        <w:pStyle w:val="ListParagraph"/>
        <w:numPr>
          <w:ilvl w:val="2"/>
          <w:numId w:val="19"/>
        </w:numPr>
        <w:tabs>
          <w:tab w:pos="1439" w:val="left" w:leader="none"/>
        </w:tabs>
        <w:spacing w:line="240" w:lineRule="auto" w:before="118" w:after="0"/>
        <w:ind w:left="1439" w:right="0" w:hanging="359"/>
        <w:jc w:val="left"/>
        <w:rPr>
          <w:sz w:val="20"/>
        </w:rPr>
      </w:pPr>
      <w:r>
        <w:rPr>
          <w:sz w:val="20"/>
        </w:rPr>
        <w:t>Reviews</w:t>
      </w:r>
      <w:r>
        <w:rPr>
          <w:spacing w:val="-6"/>
          <w:sz w:val="20"/>
        </w:rPr>
        <w:t> </w:t>
      </w:r>
      <w:r>
        <w:rPr>
          <w:sz w:val="20"/>
        </w:rPr>
        <w:t>proposed</w:t>
      </w:r>
      <w:r>
        <w:rPr>
          <w:spacing w:val="-3"/>
          <w:sz w:val="20"/>
        </w:rPr>
        <w:t> </w:t>
      </w:r>
      <w:r>
        <w:rPr>
          <w:sz w:val="20"/>
        </w:rPr>
        <w:t>new</w:t>
      </w:r>
      <w:r>
        <w:rPr>
          <w:spacing w:val="-3"/>
          <w:sz w:val="20"/>
        </w:rPr>
        <w:t> </w:t>
      </w:r>
      <w:r>
        <w:rPr>
          <w:sz w:val="20"/>
        </w:rPr>
        <w:t>financial</w:t>
      </w:r>
      <w:r>
        <w:rPr>
          <w:spacing w:val="-4"/>
          <w:sz w:val="20"/>
        </w:rPr>
        <w:t> </w:t>
      </w:r>
      <w:r>
        <w:rPr>
          <w:sz w:val="20"/>
        </w:rPr>
        <w:t>products</w:t>
      </w:r>
      <w:r>
        <w:rPr>
          <w:spacing w:val="-4"/>
          <w:sz w:val="20"/>
        </w:rPr>
        <w:t> </w:t>
      </w:r>
      <w:r>
        <w:rPr>
          <w:sz w:val="20"/>
        </w:rPr>
        <w:t>for</w:t>
      </w:r>
      <w:r>
        <w:rPr>
          <w:spacing w:val="-2"/>
          <w:sz w:val="20"/>
        </w:rPr>
        <w:t> </w:t>
      </w:r>
      <w:r>
        <w:rPr>
          <w:sz w:val="20"/>
        </w:rPr>
        <w:t>any</w:t>
      </w:r>
      <w:r>
        <w:rPr>
          <w:spacing w:val="-3"/>
          <w:sz w:val="20"/>
        </w:rPr>
        <w:t> </w:t>
      </w:r>
      <w:r>
        <w:rPr>
          <w:sz w:val="20"/>
        </w:rPr>
        <w:t>implications</w:t>
      </w:r>
      <w:r>
        <w:rPr>
          <w:spacing w:val="-4"/>
          <w:sz w:val="20"/>
        </w:rPr>
        <w:t> </w:t>
      </w:r>
      <w:r>
        <w:rPr>
          <w:sz w:val="20"/>
        </w:rPr>
        <w:t>for</w:t>
      </w:r>
      <w:r>
        <w:rPr>
          <w:spacing w:val="-2"/>
          <w:sz w:val="20"/>
        </w:rPr>
        <w:t> </w:t>
      </w:r>
      <w:r>
        <w:rPr>
          <w:sz w:val="20"/>
        </w:rPr>
        <w:t>country</w:t>
      </w:r>
      <w:r>
        <w:rPr>
          <w:spacing w:val="-3"/>
          <w:sz w:val="20"/>
        </w:rPr>
        <w:t> </w:t>
      </w:r>
      <w:r>
        <w:rPr>
          <w:sz w:val="20"/>
        </w:rPr>
        <w:t>credit</w:t>
      </w:r>
      <w:r>
        <w:rPr>
          <w:spacing w:val="-3"/>
          <w:sz w:val="20"/>
        </w:rPr>
        <w:t> </w:t>
      </w:r>
      <w:r>
        <w:rPr>
          <w:spacing w:val="-2"/>
          <w:sz w:val="20"/>
        </w:rPr>
        <w:t>risk.</w:t>
      </w:r>
    </w:p>
    <w:p>
      <w:pPr>
        <w:pStyle w:val="BodyText"/>
        <w:spacing w:before="218"/>
        <w:ind w:left="720"/>
      </w:pPr>
      <w:r>
        <w:rPr/>
        <w:t>Market</w:t>
      </w:r>
      <w:r>
        <w:rPr>
          <w:spacing w:val="-4"/>
        </w:rPr>
        <w:t> </w:t>
      </w:r>
      <w:r>
        <w:rPr/>
        <w:t>and</w:t>
      </w:r>
      <w:r>
        <w:rPr>
          <w:spacing w:val="-3"/>
        </w:rPr>
        <w:t> </w:t>
      </w:r>
      <w:r>
        <w:rPr/>
        <w:t>Counterparty</w:t>
      </w:r>
      <w:r>
        <w:rPr>
          <w:spacing w:val="-3"/>
        </w:rPr>
        <w:t> </w:t>
      </w:r>
      <w:r>
        <w:rPr/>
        <w:t>Risk</w:t>
      </w:r>
      <w:r>
        <w:rPr>
          <w:spacing w:val="-3"/>
        </w:rPr>
        <w:t> </w:t>
      </w:r>
      <w:r>
        <w:rPr>
          <w:spacing w:val="-2"/>
        </w:rPr>
        <w:t>Department</w:t>
      </w:r>
    </w:p>
    <w:p>
      <w:pPr>
        <w:pStyle w:val="ListParagraph"/>
        <w:numPr>
          <w:ilvl w:val="2"/>
          <w:numId w:val="19"/>
        </w:numPr>
        <w:tabs>
          <w:tab w:pos="1440" w:val="left" w:leader="none"/>
        </w:tabs>
        <w:spacing w:line="232" w:lineRule="auto" w:before="224" w:after="0"/>
        <w:ind w:left="1440" w:right="718" w:hanging="360"/>
        <w:jc w:val="both"/>
        <w:rPr>
          <w:sz w:val="20"/>
        </w:rPr>
      </w:pPr>
      <w:r>
        <w:rPr>
          <w:sz w:val="20"/>
        </w:rPr>
        <w:t>Responsible for market, liquidity, and counterparty credit risk oversight, assessment, and reporting. It does these in coordination with IBRD’s financial managers who are responsible for the day-to-day execution of trades for the liquid asset and derivative portfolios, within applicable policy and guideline limits.</w:t>
      </w:r>
    </w:p>
    <w:p>
      <w:pPr>
        <w:pStyle w:val="ListParagraph"/>
        <w:numPr>
          <w:ilvl w:val="2"/>
          <w:numId w:val="19"/>
        </w:numPr>
        <w:tabs>
          <w:tab w:pos="1440" w:val="left" w:leader="none"/>
        </w:tabs>
        <w:spacing w:line="232" w:lineRule="auto" w:before="123" w:after="0"/>
        <w:ind w:left="1440" w:right="718" w:hanging="360"/>
        <w:jc w:val="both"/>
        <w:rPr>
          <w:sz w:val="20"/>
        </w:rPr>
      </w:pPr>
      <w:r>
        <w:rPr>
          <w:sz w:val="20"/>
        </w:rPr>
        <w:t>Ensures effective oversight, including: (i) maintaining sound credit assessments, (ii) addressing transaction and</w:t>
      </w:r>
      <w:r>
        <w:rPr>
          <w:spacing w:val="40"/>
          <w:sz w:val="20"/>
        </w:rPr>
        <w:t> </w:t>
      </w:r>
      <w:r>
        <w:rPr>
          <w:sz w:val="20"/>
        </w:rPr>
        <w:t>product</w:t>
      </w:r>
      <w:r>
        <w:rPr>
          <w:spacing w:val="40"/>
          <w:sz w:val="20"/>
        </w:rPr>
        <w:t> </w:t>
      </w:r>
      <w:r>
        <w:rPr>
          <w:sz w:val="20"/>
        </w:rPr>
        <w:t>risk</w:t>
      </w:r>
      <w:r>
        <w:rPr>
          <w:spacing w:val="40"/>
          <w:sz w:val="20"/>
        </w:rPr>
        <w:t> </w:t>
      </w:r>
      <w:r>
        <w:rPr>
          <w:sz w:val="20"/>
        </w:rPr>
        <w:t>issues,</w:t>
      </w:r>
      <w:r>
        <w:rPr>
          <w:spacing w:val="40"/>
          <w:sz w:val="20"/>
        </w:rPr>
        <w:t> </w:t>
      </w:r>
      <w:r>
        <w:rPr>
          <w:sz w:val="20"/>
        </w:rPr>
        <w:t>(iii)</w:t>
      </w:r>
      <w:r>
        <w:rPr>
          <w:spacing w:val="40"/>
          <w:sz w:val="20"/>
        </w:rPr>
        <w:t> </w:t>
      </w:r>
      <w:r>
        <w:rPr>
          <w:sz w:val="20"/>
        </w:rPr>
        <w:t>providing</w:t>
      </w:r>
      <w:r>
        <w:rPr>
          <w:spacing w:val="40"/>
          <w:sz w:val="20"/>
        </w:rPr>
        <w:t> </w:t>
      </w:r>
      <w:r>
        <w:rPr>
          <w:sz w:val="20"/>
        </w:rPr>
        <w:t>an</w:t>
      </w:r>
      <w:r>
        <w:rPr>
          <w:spacing w:val="40"/>
          <w:sz w:val="20"/>
        </w:rPr>
        <w:t> </w:t>
      </w:r>
      <w:r>
        <w:rPr>
          <w:sz w:val="20"/>
        </w:rPr>
        <w:t>independent</w:t>
      </w:r>
      <w:r>
        <w:rPr>
          <w:spacing w:val="40"/>
          <w:sz w:val="20"/>
        </w:rPr>
        <w:t> </w:t>
      </w:r>
      <w:r>
        <w:rPr>
          <w:sz w:val="20"/>
        </w:rPr>
        <w:t>review</w:t>
      </w:r>
      <w:r>
        <w:rPr>
          <w:spacing w:val="40"/>
          <w:sz w:val="20"/>
        </w:rPr>
        <w:t> </w:t>
      </w:r>
      <w:r>
        <w:rPr>
          <w:sz w:val="20"/>
        </w:rPr>
        <w:t>function,</w:t>
      </w:r>
      <w:r>
        <w:rPr>
          <w:spacing w:val="40"/>
          <w:sz w:val="20"/>
        </w:rPr>
        <w:t> </w:t>
      </w:r>
      <w:r>
        <w:rPr>
          <w:sz w:val="20"/>
        </w:rPr>
        <w:t>(iv)</w:t>
      </w:r>
      <w:r>
        <w:rPr>
          <w:spacing w:val="40"/>
          <w:sz w:val="20"/>
        </w:rPr>
        <w:t> </w:t>
      </w:r>
      <w:r>
        <w:rPr>
          <w:sz w:val="20"/>
        </w:rPr>
        <w:t>monitoring</w:t>
      </w:r>
      <w:r>
        <w:rPr>
          <w:spacing w:val="40"/>
          <w:sz w:val="20"/>
        </w:rPr>
        <w:t> </w:t>
      </w:r>
      <w:r>
        <w:rPr>
          <w:sz w:val="20"/>
        </w:rPr>
        <w:t>market</w:t>
      </w:r>
      <w:r>
        <w:rPr>
          <w:spacing w:val="40"/>
          <w:sz w:val="20"/>
        </w:rPr>
        <w:t> </w:t>
      </w:r>
      <w:r>
        <w:rPr>
          <w:sz w:val="20"/>
        </w:rPr>
        <w:t>and</w:t>
      </w:r>
    </w:p>
    <w:p>
      <w:pPr>
        <w:pStyle w:val="ListParagraph"/>
        <w:spacing w:after="0" w:line="232" w:lineRule="auto"/>
        <w:jc w:val="both"/>
        <w:rPr>
          <w:sz w:val="20"/>
        </w:rPr>
        <w:sectPr>
          <w:headerReference w:type="even" r:id="rId51"/>
          <w:headerReference w:type="default" r:id="rId52"/>
          <w:footerReference w:type="even" r:id="rId53"/>
          <w:footerReference w:type="default" r:id="rId54"/>
          <w:pgSz w:w="12240" w:h="15840"/>
          <w:pgMar w:header="744" w:footer="583" w:top="1020" w:bottom="780" w:left="720" w:right="720"/>
          <w:pgNumType w:start="38"/>
        </w:sectPr>
      </w:pPr>
    </w:p>
    <w:p>
      <w:pPr>
        <w:pStyle w:val="BodyText"/>
        <w:spacing w:before="133"/>
      </w:pPr>
    </w:p>
    <w:p>
      <w:pPr>
        <w:pStyle w:val="BodyText"/>
        <w:spacing w:line="232" w:lineRule="auto"/>
        <w:ind w:left="1440" w:right="719"/>
        <w:jc w:val="both"/>
      </w:pPr>
      <w:r>
        <w:rPr/>
        <w:t>counterparty risk in the investment, borrowing and client operation portfolios, and (v) implementing the model risk governance framework. It also provides reports to the Audit Committee and the Board on the extent and nature of risks, risk management, and oversight.</w:t>
      </w:r>
    </w:p>
    <w:p>
      <w:pPr>
        <w:pStyle w:val="BodyText"/>
        <w:spacing w:before="221"/>
        <w:ind w:left="720"/>
      </w:pPr>
      <w:r>
        <w:rPr/>
        <w:t>Operational</w:t>
      </w:r>
      <w:r>
        <w:rPr>
          <w:spacing w:val="-6"/>
        </w:rPr>
        <w:t> </w:t>
      </w:r>
      <w:r>
        <w:rPr/>
        <w:t>Risk</w:t>
      </w:r>
      <w:r>
        <w:rPr>
          <w:spacing w:val="-4"/>
        </w:rPr>
        <w:t> </w:t>
      </w:r>
      <w:r>
        <w:rPr>
          <w:spacing w:val="-2"/>
        </w:rPr>
        <w:t>Department</w:t>
      </w:r>
    </w:p>
    <w:p>
      <w:pPr>
        <w:pStyle w:val="ListParagraph"/>
        <w:numPr>
          <w:ilvl w:val="2"/>
          <w:numId w:val="19"/>
        </w:numPr>
        <w:tabs>
          <w:tab w:pos="1439" w:val="left" w:leader="none"/>
        </w:tabs>
        <w:spacing w:line="240" w:lineRule="auto" w:before="218" w:after="0"/>
        <w:ind w:left="1439" w:right="0" w:hanging="359"/>
        <w:jc w:val="left"/>
        <w:rPr>
          <w:sz w:val="20"/>
        </w:rPr>
      </w:pPr>
      <w:r>
        <w:rPr>
          <w:sz w:val="20"/>
        </w:rPr>
        <w:t>Provides</w:t>
      </w:r>
      <w:r>
        <w:rPr>
          <w:spacing w:val="-7"/>
          <w:sz w:val="20"/>
        </w:rPr>
        <w:t> </w:t>
      </w:r>
      <w:r>
        <w:rPr>
          <w:sz w:val="20"/>
        </w:rPr>
        <w:t>direction</w:t>
      </w:r>
      <w:r>
        <w:rPr>
          <w:spacing w:val="-3"/>
          <w:sz w:val="20"/>
        </w:rPr>
        <w:t> </w:t>
      </w:r>
      <w:r>
        <w:rPr>
          <w:sz w:val="20"/>
        </w:rPr>
        <w:t>and</w:t>
      </w:r>
      <w:r>
        <w:rPr>
          <w:spacing w:val="-3"/>
          <w:sz w:val="20"/>
        </w:rPr>
        <w:t> </w:t>
      </w:r>
      <w:r>
        <w:rPr>
          <w:sz w:val="20"/>
        </w:rPr>
        <w:t>oversight</w:t>
      </w:r>
      <w:r>
        <w:rPr>
          <w:spacing w:val="-4"/>
          <w:sz w:val="20"/>
        </w:rPr>
        <w:t> </w:t>
      </w:r>
      <w:r>
        <w:rPr>
          <w:sz w:val="20"/>
        </w:rPr>
        <w:t>for</w:t>
      </w:r>
      <w:r>
        <w:rPr>
          <w:spacing w:val="-3"/>
          <w:sz w:val="20"/>
        </w:rPr>
        <w:t> </w:t>
      </w:r>
      <w:r>
        <w:rPr>
          <w:sz w:val="20"/>
        </w:rPr>
        <w:t>operational</w:t>
      </w:r>
      <w:r>
        <w:rPr>
          <w:spacing w:val="-4"/>
          <w:sz w:val="20"/>
        </w:rPr>
        <w:t> </w:t>
      </w:r>
      <w:r>
        <w:rPr>
          <w:sz w:val="20"/>
        </w:rPr>
        <w:t>risk</w:t>
      </w:r>
      <w:r>
        <w:rPr>
          <w:spacing w:val="-3"/>
          <w:sz w:val="20"/>
        </w:rPr>
        <w:t> </w:t>
      </w:r>
      <w:r>
        <w:rPr>
          <w:sz w:val="20"/>
        </w:rPr>
        <w:t>activities</w:t>
      </w:r>
      <w:r>
        <w:rPr>
          <w:spacing w:val="-4"/>
          <w:sz w:val="20"/>
        </w:rPr>
        <w:t> </w:t>
      </w:r>
      <w:r>
        <w:rPr>
          <w:sz w:val="20"/>
        </w:rPr>
        <w:t>by</w:t>
      </w:r>
      <w:r>
        <w:rPr>
          <w:spacing w:val="-3"/>
          <w:sz w:val="20"/>
        </w:rPr>
        <w:t> </w:t>
      </w:r>
      <w:r>
        <w:rPr>
          <w:sz w:val="20"/>
        </w:rPr>
        <w:t>business</w:t>
      </w:r>
      <w:r>
        <w:rPr>
          <w:spacing w:val="-4"/>
          <w:sz w:val="20"/>
        </w:rPr>
        <w:t> </w:t>
      </w:r>
      <w:r>
        <w:rPr>
          <w:spacing w:val="-2"/>
          <w:sz w:val="20"/>
        </w:rPr>
        <w:t>function.</w:t>
      </w:r>
    </w:p>
    <w:p>
      <w:pPr>
        <w:pStyle w:val="ListParagraph"/>
        <w:numPr>
          <w:ilvl w:val="2"/>
          <w:numId w:val="19"/>
        </w:numPr>
        <w:tabs>
          <w:tab w:pos="1440" w:val="left" w:leader="none"/>
        </w:tabs>
        <w:spacing w:line="232" w:lineRule="auto" w:before="120" w:after="0"/>
        <w:ind w:left="1440" w:right="718" w:hanging="360"/>
        <w:jc w:val="both"/>
        <w:rPr>
          <w:sz w:val="20"/>
        </w:rPr>
      </w:pPr>
      <w:r>
        <w:rPr>
          <w:sz w:val="20"/>
        </w:rPr>
        <w:t>Key operational risk management responsibilities include: (i) administering the Operational Risk Committee (ORC) for IBRD, (ii) implementing the operational risk management framework which is aligned with Basel principles and provides direction to business unit partners to ensure consistent application, (iii) assisting and guiding business units in identifying and prioritizing significant operational risks and enabling monitoring and reporting of risks through suitable metrics (or risk indicators), (iv) helping identify emerging risks and trends through monitoring of internal and external risk events, (v) supporting risk response and mitigating actions, and prepares a corporate Operational Risk Report for review and discussion by the ORC.</w:t>
      </w:r>
    </w:p>
    <w:p>
      <w:pPr>
        <w:pStyle w:val="ListParagraph"/>
        <w:numPr>
          <w:ilvl w:val="2"/>
          <w:numId w:val="19"/>
        </w:numPr>
        <w:tabs>
          <w:tab w:pos="1440" w:val="left" w:leader="none"/>
        </w:tabs>
        <w:spacing w:line="232" w:lineRule="auto" w:before="127" w:after="0"/>
        <w:ind w:left="1440" w:right="718" w:hanging="360"/>
        <w:jc w:val="both"/>
        <w:rPr>
          <w:sz w:val="20"/>
        </w:rPr>
      </w:pPr>
      <w:r>
        <w:rPr>
          <w:sz w:val="20"/>
        </w:rPr>
        <w:t>Responsible for the oversight of the enterprise risk, operational risk, business continuity, corporate insurance, and data privacy functions.</w:t>
      </w:r>
    </w:p>
    <w:p>
      <w:pPr>
        <w:pStyle w:val="BodyText"/>
        <w:spacing w:before="2"/>
      </w:pPr>
    </w:p>
    <w:p>
      <w:pPr>
        <w:pStyle w:val="BodyText"/>
        <w:spacing w:line="232" w:lineRule="auto"/>
        <w:ind w:left="720" w:right="719"/>
        <w:jc w:val="both"/>
      </w:pPr>
      <w:r>
        <w:rPr/>
        <w:t>The risk of IBRD’s operations not meeting their development outcomes (development outcome risk) in IBRD’s lending activities is monitored at the corporate level by Operations Policy and Country Services (OPCS).</w:t>
      </w:r>
      <w:r>
        <w:rPr>
          <w:spacing w:val="40"/>
        </w:rPr>
        <w:t> </w:t>
      </w:r>
      <w:r>
        <w:rPr/>
        <w:t>Where fraud and corruption risks may impact IBRD-financed projects, OPCS, the regions and practice groups, and the Integrity Vice Presidency jointly address such issues.</w:t>
      </w:r>
    </w:p>
    <w:p>
      <w:pPr>
        <w:pStyle w:val="BodyText"/>
        <w:spacing w:before="44"/>
      </w:pPr>
    </w:p>
    <w:p>
      <w:pPr>
        <w:pStyle w:val="BodyText"/>
        <w:ind w:left="720"/>
      </w:pPr>
      <w:r>
        <w:rPr/>
        <w:t>Figure</w:t>
      </w:r>
      <w:r>
        <w:rPr>
          <w:spacing w:val="-7"/>
        </w:rPr>
        <w:t> </w:t>
      </w:r>
      <w:r>
        <w:rPr/>
        <w:t>18</w:t>
      </w:r>
      <w:r>
        <w:rPr>
          <w:spacing w:val="-3"/>
        </w:rPr>
        <w:t> </w:t>
      </w:r>
      <w:r>
        <w:rPr/>
        <w:t>depicts</w:t>
      </w:r>
      <w:r>
        <w:rPr>
          <w:spacing w:val="-4"/>
        </w:rPr>
        <w:t> </w:t>
      </w:r>
      <w:r>
        <w:rPr/>
        <w:t>IBRD’s</w:t>
      </w:r>
      <w:r>
        <w:rPr>
          <w:spacing w:val="-4"/>
        </w:rPr>
        <w:t> </w:t>
      </w:r>
      <w:r>
        <w:rPr/>
        <w:t>management</w:t>
      </w:r>
      <w:r>
        <w:rPr>
          <w:spacing w:val="-5"/>
        </w:rPr>
        <w:t> </w:t>
      </w:r>
      <w:r>
        <w:rPr/>
        <w:t>risk</w:t>
      </w:r>
      <w:r>
        <w:rPr>
          <w:spacing w:val="-3"/>
        </w:rPr>
        <w:t> </w:t>
      </w:r>
      <w:r>
        <w:rPr/>
        <w:t>committee</w:t>
      </w:r>
      <w:r>
        <w:rPr>
          <w:spacing w:val="-4"/>
        </w:rPr>
        <w:t> </w:t>
      </w:r>
      <w:r>
        <w:rPr/>
        <w:t>structure</w:t>
      </w:r>
      <w:r>
        <w:rPr>
          <w:spacing w:val="-4"/>
        </w:rPr>
        <w:t> </w:t>
      </w:r>
      <w:r>
        <w:rPr/>
        <w:t>for</w:t>
      </w:r>
      <w:r>
        <w:rPr>
          <w:spacing w:val="-4"/>
        </w:rPr>
        <w:t> </w:t>
      </w:r>
      <w:r>
        <w:rPr/>
        <w:t>financial</w:t>
      </w:r>
      <w:r>
        <w:rPr>
          <w:spacing w:val="-4"/>
        </w:rPr>
        <w:t> </w:t>
      </w:r>
      <w:r>
        <w:rPr/>
        <w:t>and</w:t>
      </w:r>
      <w:r>
        <w:rPr>
          <w:spacing w:val="-3"/>
        </w:rPr>
        <w:t> </w:t>
      </w:r>
      <w:r>
        <w:rPr/>
        <w:t>operational</w:t>
      </w:r>
      <w:r>
        <w:rPr>
          <w:spacing w:val="-4"/>
        </w:rPr>
        <w:t> </w:t>
      </w:r>
      <w:r>
        <w:rPr>
          <w:spacing w:val="-2"/>
        </w:rPr>
        <w:t>risks.</w:t>
      </w:r>
    </w:p>
    <w:p>
      <w:pPr>
        <w:spacing w:before="141"/>
        <w:ind w:left="720" w:right="0" w:firstLine="0"/>
        <w:jc w:val="both"/>
        <w:rPr>
          <w:rFonts w:ascii="Arial"/>
          <w:b/>
          <w:sz w:val="18"/>
        </w:rPr>
      </w:pPr>
      <w:r>
        <w:rPr>
          <w:rFonts w:ascii="Arial"/>
          <w:b/>
          <w:sz w:val="18"/>
        </w:rPr>
        <w:drawing>
          <wp:anchor distT="0" distB="0" distL="0" distR="0" allowOverlap="1" layoutInCell="1" locked="0" behindDoc="1" simplePos="0" relativeHeight="487653376">
            <wp:simplePos x="0" y="0"/>
            <wp:positionH relativeFrom="page">
              <wp:posOffset>914400</wp:posOffset>
            </wp:positionH>
            <wp:positionV relativeFrom="paragraph">
              <wp:posOffset>250659</wp:posOffset>
            </wp:positionV>
            <wp:extent cx="5938089" cy="1847659"/>
            <wp:effectExtent l="0" t="0" r="0" b="0"/>
            <wp:wrapTopAndBottom/>
            <wp:docPr id="473" name="Image 473"/>
            <wp:cNvGraphicFramePr>
              <a:graphicFrameLocks/>
            </wp:cNvGraphicFramePr>
            <a:graphic>
              <a:graphicData uri="http://schemas.openxmlformats.org/drawingml/2006/picture">
                <pic:pic>
                  <pic:nvPicPr>
                    <pic:cNvPr id="473" name="Image 473"/>
                    <pic:cNvPicPr/>
                  </pic:nvPicPr>
                  <pic:blipFill>
                    <a:blip r:embed="rId55" cstate="print"/>
                    <a:stretch>
                      <a:fillRect/>
                    </a:stretch>
                  </pic:blipFill>
                  <pic:spPr>
                    <a:xfrm>
                      <a:off x="0" y="0"/>
                      <a:ext cx="5938089" cy="1847659"/>
                    </a:xfrm>
                    <a:prstGeom prst="rect">
                      <a:avLst/>
                    </a:prstGeom>
                  </pic:spPr>
                </pic:pic>
              </a:graphicData>
            </a:graphic>
          </wp:anchor>
        </w:drawing>
      </w:r>
      <w:bookmarkStart w:name="_bookmark69" w:id="104"/>
      <w:bookmarkEnd w:id="104"/>
      <w:r>
        <w:rPr/>
      </w:r>
      <w:r>
        <w:rPr>
          <w:rFonts w:ascii="Arial"/>
          <w:b/>
          <w:sz w:val="18"/>
        </w:rPr>
        <w:t>Figure</w:t>
      </w:r>
      <w:r>
        <w:rPr>
          <w:rFonts w:ascii="Arial"/>
          <w:b/>
          <w:spacing w:val="-5"/>
          <w:sz w:val="18"/>
        </w:rPr>
        <w:t> </w:t>
      </w:r>
      <w:r>
        <w:rPr>
          <w:rFonts w:ascii="Arial"/>
          <w:b/>
          <w:sz w:val="18"/>
        </w:rPr>
        <w:t>18:</w:t>
      </w:r>
      <w:r>
        <w:rPr>
          <w:rFonts w:ascii="Arial"/>
          <w:b/>
          <w:spacing w:val="-2"/>
          <w:sz w:val="18"/>
        </w:rPr>
        <w:t> </w:t>
      </w:r>
      <w:r>
        <w:rPr>
          <w:rFonts w:ascii="Arial"/>
          <w:b/>
          <w:sz w:val="18"/>
        </w:rPr>
        <w:t>Risk</w:t>
      </w:r>
      <w:r>
        <w:rPr>
          <w:rFonts w:ascii="Arial"/>
          <w:b/>
          <w:spacing w:val="-2"/>
          <w:sz w:val="18"/>
        </w:rPr>
        <w:t> </w:t>
      </w:r>
      <w:r>
        <w:rPr>
          <w:rFonts w:ascii="Arial"/>
          <w:b/>
          <w:sz w:val="18"/>
        </w:rPr>
        <w:t>Committee</w:t>
      </w:r>
      <w:r>
        <w:rPr>
          <w:rFonts w:ascii="Arial"/>
          <w:b/>
          <w:spacing w:val="-2"/>
          <w:sz w:val="18"/>
        </w:rPr>
        <w:t> </w:t>
      </w:r>
      <w:r>
        <w:rPr>
          <w:rFonts w:ascii="Arial"/>
          <w:b/>
          <w:sz w:val="18"/>
        </w:rPr>
        <w:t>Structure</w:t>
      </w:r>
      <w:r>
        <w:rPr>
          <w:rFonts w:ascii="Arial"/>
          <w:b/>
          <w:spacing w:val="-3"/>
          <w:sz w:val="18"/>
        </w:rPr>
        <w:t> </w:t>
      </w:r>
      <w:r>
        <w:rPr>
          <w:rFonts w:ascii="Arial"/>
          <w:b/>
          <w:sz w:val="18"/>
        </w:rPr>
        <w:t>for</w:t>
      </w:r>
      <w:r>
        <w:rPr>
          <w:rFonts w:ascii="Arial"/>
          <w:b/>
          <w:spacing w:val="-2"/>
          <w:sz w:val="18"/>
        </w:rPr>
        <w:t> </w:t>
      </w:r>
      <w:r>
        <w:rPr>
          <w:rFonts w:ascii="Arial"/>
          <w:b/>
          <w:sz w:val="18"/>
        </w:rPr>
        <w:t>Financial</w:t>
      </w:r>
      <w:r>
        <w:rPr>
          <w:rFonts w:ascii="Arial"/>
          <w:b/>
          <w:spacing w:val="-2"/>
          <w:sz w:val="18"/>
        </w:rPr>
        <w:t> </w:t>
      </w:r>
      <w:r>
        <w:rPr>
          <w:rFonts w:ascii="Arial"/>
          <w:b/>
          <w:sz w:val="18"/>
        </w:rPr>
        <w:t>and</w:t>
      </w:r>
      <w:r>
        <w:rPr>
          <w:rFonts w:ascii="Arial"/>
          <w:b/>
          <w:spacing w:val="-2"/>
          <w:sz w:val="18"/>
        </w:rPr>
        <w:t> </w:t>
      </w:r>
      <w:r>
        <w:rPr>
          <w:rFonts w:ascii="Arial"/>
          <w:b/>
          <w:sz w:val="18"/>
        </w:rPr>
        <w:t>Operational</w:t>
      </w:r>
      <w:r>
        <w:rPr>
          <w:rFonts w:ascii="Arial"/>
          <w:b/>
          <w:spacing w:val="-2"/>
          <w:sz w:val="18"/>
        </w:rPr>
        <w:t> Risks</w:t>
      </w:r>
    </w:p>
    <w:p>
      <w:pPr>
        <w:pStyle w:val="Heading6"/>
        <w:spacing w:before="169"/>
        <w:jc w:val="left"/>
      </w:pPr>
      <w:r>
        <w:rPr/>
        <w:t>Financial</w:t>
      </w:r>
      <w:r>
        <w:rPr>
          <w:spacing w:val="-1"/>
        </w:rPr>
        <w:t> </w:t>
      </w:r>
      <w:r>
        <w:rPr/>
        <w:t>Risk</w:t>
      </w:r>
      <w:r>
        <w:rPr>
          <w:spacing w:val="-1"/>
        </w:rPr>
        <w:t> </w:t>
      </w:r>
      <w:r>
        <w:rPr>
          <w:spacing w:val="-2"/>
        </w:rPr>
        <w:t>Committees:</w:t>
      </w:r>
    </w:p>
    <w:p>
      <w:pPr>
        <w:pStyle w:val="BodyText"/>
        <w:spacing w:line="249" w:lineRule="auto" w:before="136"/>
        <w:ind w:left="720" w:right="718"/>
        <w:jc w:val="both"/>
      </w:pPr>
      <w:r>
        <w:rPr>
          <w:b/>
        </w:rPr>
        <w:t>The Finance and Risk Committee (FRC)</w:t>
      </w:r>
      <w:r>
        <w:rPr/>
        <w:t>, a Vice President level committee, provides a high-level governance structure for decisions that may have financial risks. The FRC was created under the authority of the Managing Director and WBG Chief Financial Officer (MDCFO) to approve, clear, or discuss: (a) risk policy and procedure documents related to financial integrity, income sustainability and balance sheet strength, and (b) issues and new business initiatives with policy implications related to IBRD’s financial risks, including country credit, market, counterparty, liquidity and model risks; and operational risks related to the finance business functions. The FRC helps to integrate individual components of finance and risk management activities by building on mechanisms and processes already in place and provides a forum for discussing and communicating significant risk related issues. The FRC meets regularly to discuss the financial performance, new products and services, and risk management of </w:t>
      </w:r>
      <w:r>
        <w:rPr>
          <w:spacing w:val="-2"/>
        </w:rPr>
        <w:t>IBRD.</w:t>
      </w:r>
    </w:p>
    <w:p>
      <w:pPr>
        <w:pStyle w:val="BodyText"/>
        <w:spacing w:after="0" w:line="249" w:lineRule="auto"/>
        <w:jc w:val="both"/>
        <w:sectPr>
          <w:pgSz w:w="12240" w:h="15840"/>
          <w:pgMar w:header="744" w:footer="713" w:top="1020" w:bottom="900" w:left="720" w:right="720"/>
        </w:sectPr>
      </w:pPr>
    </w:p>
    <w:p>
      <w:pPr>
        <w:pStyle w:val="BodyText"/>
        <w:spacing w:before="127"/>
      </w:pPr>
    </w:p>
    <w:p>
      <w:pPr>
        <w:pStyle w:val="BodyText"/>
        <w:spacing w:line="249" w:lineRule="auto" w:before="1"/>
        <w:ind w:left="720" w:right="719"/>
        <w:jc w:val="both"/>
      </w:pPr>
      <w:r>
        <w:rPr>
          <w:b/>
          <w:i/>
        </w:rPr>
        <w:t>New Business Committee (NBC) </w:t>
      </w:r>
      <w:r>
        <w:rPr/>
        <w:t>is a standing subcommittee of the FRC. The NBC provides advice, guidance and recommendations to the FRC, by performing due diligence over new financial products or services to ensure that Management has a full understanding of the rationale, costs, risks and rewards of the product or service being </w:t>
      </w:r>
      <w:r>
        <w:rPr>
          <w:spacing w:val="-2"/>
        </w:rPr>
        <w:t>considered.</w:t>
      </w:r>
    </w:p>
    <w:p>
      <w:pPr>
        <w:pStyle w:val="BodyText"/>
        <w:spacing w:line="249" w:lineRule="auto" w:before="123"/>
        <w:ind w:left="720" w:right="718"/>
        <w:jc w:val="both"/>
      </w:pPr>
      <w:r>
        <w:rPr>
          <w:b/>
        </w:rPr>
        <w:t>Asset Liability Management Committee (ALCO)</w:t>
      </w:r>
      <w:r>
        <w:rPr/>
        <w:t>, a Vice President-level committee chaired by the MDCFO, provides a high-level forum to ensure prudent balance sheet management of IBRD by: a) monitoring its financial positions and Asset-Liability Management (ALM) activities for compliance with its respective guidelines, policies and procedures, including borrowing and investment activities; b) identifying and providing recommendations on emerging ALM issues for IBRD, as well as those related to capital, balance-sheet planning, and financial sustainability and c) serving as a reviewing and recommending body for ongoing decisions as part of implementing the ALM policies and procedures of IBRD, including those that impact lending rates and net income.</w:t>
      </w:r>
    </w:p>
    <w:p>
      <w:pPr>
        <w:pStyle w:val="Heading6"/>
        <w:spacing w:before="121"/>
      </w:pPr>
      <w:r>
        <w:rPr/>
        <w:t>Operational</w:t>
      </w:r>
      <w:r>
        <w:rPr>
          <w:spacing w:val="-1"/>
        </w:rPr>
        <w:t> </w:t>
      </w:r>
      <w:r>
        <w:rPr/>
        <w:t>Risk</w:t>
      </w:r>
      <w:r>
        <w:rPr>
          <w:spacing w:val="-1"/>
        </w:rPr>
        <w:t> </w:t>
      </w:r>
      <w:r>
        <w:rPr>
          <w:spacing w:val="-2"/>
        </w:rPr>
        <w:t>Committees:</w:t>
      </w:r>
    </w:p>
    <w:p>
      <w:pPr>
        <w:pStyle w:val="BodyText"/>
        <w:spacing w:line="232" w:lineRule="auto" w:before="141"/>
        <w:ind w:left="720" w:right="719"/>
        <w:jc w:val="both"/>
      </w:pPr>
      <w:r>
        <w:rPr>
          <w:b/>
        </w:rPr>
        <w:t>The</w:t>
      </w:r>
      <w:r>
        <w:rPr>
          <w:b/>
          <w:spacing w:val="-1"/>
        </w:rPr>
        <w:t> </w:t>
      </w:r>
      <w:r>
        <w:rPr>
          <w:b/>
        </w:rPr>
        <w:t>Enterprise</w:t>
      </w:r>
      <w:r>
        <w:rPr>
          <w:b/>
          <w:spacing w:val="-1"/>
        </w:rPr>
        <w:t> </w:t>
      </w:r>
      <w:r>
        <w:rPr>
          <w:b/>
        </w:rPr>
        <w:t>Risk</w:t>
      </w:r>
      <w:r>
        <w:rPr>
          <w:b/>
          <w:spacing w:val="-1"/>
        </w:rPr>
        <w:t> </w:t>
      </w:r>
      <w:r>
        <w:rPr>
          <w:b/>
        </w:rPr>
        <w:t>Committee</w:t>
      </w:r>
      <w:r>
        <w:rPr>
          <w:b/>
          <w:spacing w:val="-1"/>
        </w:rPr>
        <w:t> </w:t>
      </w:r>
      <w:r>
        <w:rPr>
          <w:b/>
        </w:rPr>
        <w:t>(ERC)</w:t>
      </w:r>
      <w:r>
        <w:rPr>
          <w:b/>
          <w:spacing w:val="-1"/>
        </w:rPr>
        <w:t> </w:t>
      </w:r>
      <w:r>
        <w:rPr/>
        <w:t>is</w:t>
      </w:r>
      <w:r>
        <w:rPr>
          <w:spacing w:val="-1"/>
        </w:rPr>
        <w:t> </w:t>
      </w:r>
      <w:r>
        <w:rPr/>
        <w:t>a</w:t>
      </w:r>
      <w:r>
        <w:rPr>
          <w:spacing w:val="-1"/>
        </w:rPr>
        <w:t> </w:t>
      </w:r>
      <w:r>
        <w:rPr/>
        <w:t>Vice</w:t>
      </w:r>
      <w:r>
        <w:rPr>
          <w:spacing w:val="-1"/>
        </w:rPr>
        <w:t> </w:t>
      </w:r>
      <w:r>
        <w:rPr/>
        <w:t>President-level</w:t>
      </w:r>
      <w:r>
        <w:rPr>
          <w:spacing w:val="-1"/>
        </w:rPr>
        <w:t> </w:t>
      </w:r>
      <w:r>
        <w:rPr/>
        <w:t>committee</w:t>
      </w:r>
      <w:r>
        <w:rPr>
          <w:spacing w:val="-1"/>
        </w:rPr>
        <w:t> </w:t>
      </w:r>
      <w:r>
        <w:rPr/>
        <w:t>chaired</w:t>
      </w:r>
      <w:r>
        <w:rPr>
          <w:spacing w:val="-1"/>
        </w:rPr>
        <w:t> </w:t>
      </w:r>
      <w:r>
        <w:rPr/>
        <w:t>by</w:t>
      </w:r>
      <w:r>
        <w:rPr>
          <w:spacing w:val="-1"/>
        </w:rPr>
        <w:t> </w:t>
      </w:r>
      <w:r>
        <w:rPr/>
        <w:t>the</w:t>
      </w:r>
      <w:r>
        <w:rPr>
          <w:spacing w:val="-1"/>
        </w:rPr>
        <w:t> </w:t>
      </w:r>
      <w:r>
        <w:rPr/>
        <w:t>Managing</w:t>
      </w:r>
      <w:r>
        <w:rPr>
          <w:spacing w:val="-1"/>
        </w:rPr>
        <w:t> </w:t>
      </w:r>
      <w:r>
        <w:rPr/>
        <w:t>Director</w:t>
      </w:r>
      <w:r>
        <w:rPr>
          <w:spacing w:val="-1"/>
        </w:rPr>
        <w:t> </w:t>
      </w:r>
      <w:r>
        <w:rPr/>
        <w:t>and Chief Administrative Officer (MDCAO) that oversees IBRD’s non-financial risks through reviewing, discussing and/or formulating proposed policies, procedures, directives, guidance, and other matters requested by its members. ERC’s scope comprises of: a) operational risk, including business continuity, corporate security, cyber security, and IT service continuity; b) enterprise risk; c) Integrity Vice Presidency (INT) and Ethics and Business Conduct (EBC) policies and methodologies; d) shared services; and e) any other matters brought by the MDCAO. The ERC leverages existing risk management mechanisms that are in place to provide a corporate view of operational and</w:t>
      </w:r>
      <w:r>
        <w:rPr>
          <w:spacing w:val="40"/>
        </w:rPr>
        <w:t> </w:t>
      </w:r>
      <w:r>
        <w:rPr/>
        <w:t>non-financial risks.</w:t>
      </w:r>
    </w:p>
    <w:p>
      <w:pPr>
        <w:pStyle w:val="BodyText"/>
        <w:spacing w:line="249" w:lineRule="auto" w:before="226"/>
        <w:ind w:left="720" w:right="717"/>
        <w:jc w:val="both"/>
      </w:pPr>
      <w:r>
        <w:rPr>
          <w:b/>
          <w:i/>
        </w:rPr>
        <w:t>Operational Risk Committee (ORC) </w:t>
      </w:r>
      <w:r>
        <w:rPr/>
        <w:t>is the main governance committee for operational risk and provides a mechanism for an integrated review and response across IBRD units on operational risks associated with people, processes, and systems, including business continuity, and recognizing that business units remain responsible for managing operational risks. The Committee’s key responsibilities include monitoring significant operational risk matters and events on a quarterly basis to ensure that appropriate risk-response measures are taken and reviewing</w:t>
      </w:r>
      <w:r>
        <w:rPr>
          <w:spacing w:val="40"/>
        </w:rPr>
        <w:t> </w:t>
      </w:r>
      <w:r>
        <w:rPr/>
        <w:t>and concluding on IBRD’s overall operational risk profile. The ORC is chaired by the CROVP and escalates significant risks and decisions to the FRC and ERC.</w:t>
      </w:r>
    </w:p>
    <w:p>
      <w:pPr>
        <w:spacing w:before="136" w:after="37"/>
        <w:ind w:left="720" w:right="0" w:firstLine="0"/>
        <w:jc w:val="both"/>
        <w:rPr>
          <w:rFonts w:ascii="Arial"/>
          <w:b/>
          <w:sz w:val="18"/>
        </w:rPr>
      </w:pPr>
      <w:bookmarkStart w:name="_bookmark70" w:id="105"/>
      <w:bookmarkEnd w:id="105"/>
      <w:r>
        <w:rPr/>
      </w:r>
      <w:r>
        <w:rPr>
          <w:rFonts w:ascii="Arial"/>
          <w:b/>
          <w:sz w:val="18"/>
        </w:rPr>
        <w:t>Box</w:t>
      </w:r>
      <w:r>
        <w:rPr>
          <w:rFonts w:ascii="Arial"/>
          <w:b/>
          <w:spacing w:val="-2"/>
          <w:sz w:val="18"/>
        </w:rPr>
        <w:t> </w:t>
      </w:r>
      <w:r>
        <w:rPr>
          <w:rFonts w:ascii="Arial"/>
          <w:b/>
          <w:sz w:val="18"/>
        </w:rPr>
        <w:t>6:</w:t>
      </w:r>
      <w:r>
        <w:rPr>
          <w:rFonts w:ascii="Arial"/>
          <w:b/>
          <w:spacing w:val="-2"/>
          <w:sz w:val="18"/>
        </w:rPr>
        <w:t> </w:t>
      </w:r>
      <w:r>
        <w:rPr>
          <w:rFonts w:ascii="Arial"/>
          <w:b/>
          <w:sz w:val="18"/>
        </w:rPr>
        <w:t>Summary</w:t>
      </w:r>
      <w:r>
        <w:rPr>
          <w:rFonts w:ascii="Arial"/>
          <w:b/>
          <w:spacing w:val="-2"/>
          <w:sz w:val="18"/>
        </w:rPr>
        <w:t> </w:t>
      </w:r>
      <w:r>
        <w:rPr>
          <w:rFonts w:ascii="Arial"/>
          <w:b/>
          <w:sz w:val="18"/>
        </w:rPr>
        <w:t>of</w:t>
      </w:r>
      <w:r>
        <w:rPr>
          <w:rFonts w:ascii="Arial"/>
          <w:b/>
          <w:spacing w:val="-2"/>
          <w:sz w:val="18"/>
        </w:rPr>
        <w:t> </w:t>
      </w:r>
      <w:r>
        <w:rPr>
          <w:rFonts w:ascii="Arial"/>
          <w:b/>
          <w:sz w:val="18"/>
        </w:rPr>
        <w:t>IBRD's</w:t>
      </w:r>
      <w:r>
        <w:rPr>
          <w:rFonts w:ascii="Arial"/>
          <w:b/>
          <w:spacing w:val="-2"/>
          <w:sz w:val="18"/>
        </w:rPr>
        <w:t> </w:t>
      </w:r>
      <w:r>
        <w:rPr>
          <w:rFonts w:ascii="Arial"/>
          <w:b/>
          <w:sz w:val="18"/>
        </w:rPr>
        <w:t>Specific</w:t>
      </w:r>
      <w:r>
        <w:rPr>
          <w:rFonts w:ascii="Arial"/>
          <w:b/>
          <w:spacing w:val="-2"/>
          <w:sz w:val="18"/>
        </w:rPr>
        <w:t> </w:t>
      </w:r>
      <w:r>
        <w:rPr>
          <w:rFonts w:ascii="Arial"/>
          <w:b/>
          <w:sz w:val="18"/>
        </w:rPr>
        <w:t>Risk</w:t>
      </w:r>
      <w:r>
        <w:rPr>
          <w:rFonts w:ascii="Arial"/>
          <w:b/>
          <w:spacing w:val="-1"/>
          <w:sz w:val="18"/>
        </w:rPr>
        <w:t> </w:t>
      </w:r>
      <w:r>
        <w:rPr>
          <w:rFonts w:ascii="Arial"/>
          <w:b/>
          <w:spacing w:val="-2"/>
          <w:sz w:val="18"/>
        </w:rPr>
        <w:t>Categories</w:t>
      </w:r>
    </w:p>
    <w:tbl>
      <w:tblPr>
        <w:tblW w:w="0" w:type="auto"/>
        <w:jc w:val="left"/>
        <w:tblInd w:w="838"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3165"/>
        <w:gridCol w:w="6075"/>
      </w:tblGrid>
      <w:tr>
        <w:trPr>
          <w:trHeight w:val="295" w:hRule="atLeast"/>
        </w:trPr>
        <w:tc>
          <w:tcPr>
            <w:tcW w:w="3165" w:type="dxa"/>
          </w:tcPr>
          <w:p>
            <w:pPr>
              <w:pStyle w:val="TableParagraph"/>
              <w:spacing w:before="11"/>
              <w:ind w:left="52"/>
              <w:rPr>
                <w:rFonts w:ascii="Arial"/>
                <w:b/>
                <w:sz w:val="15"/>
              </w:rPr>
            </w:pPr>
            <w:r>
              <w:rPr>
                <w:rFonts w:ascii="Arial"/>
                <w:b/>
                <w:sz w:val="15"/>
              </w:rPr>
              <w:t>Types</w:t>
            </w:r>
            <w:r>
              <w:rPr>
                <w:rFonts w:ascii="Arial"/>
                <w:b/>
                <w:spacing w:val="-4"/>
                <w:sz w:val="15"/>
              </w:rPr>
              <w:t> </w:t>
            </w:r>
            <w:r>
              <w:rPr>
                <w:rFonts w:ascii="Arial"/>
                <w:b/>
                <w:sz w:val="15"/>
              </w:rPr>
              <w:t>of</w:t>
            </w:r>
            <w:r>
              <w:rPr>
                <w:rFonts w:ascii="Arial"/>
                <w:b/>
                <w:spacing w:val="-1"/>
                <w:sz w:val="15"/>
              </w:rPr>
              <w:t> </w:t>
            </w:r>
            <w:r>
              <w:rPr>
                <w:rFonts w:ascii="Arial"/>
                <w:b/>
                <w:spacing w:val="-4"/>
                <w:sz w:val="15"/>
              </w:rPr>
              <w:t>Risk</w:t>
            </w:r>
          </w:p>
        </w:tc>
        <w:tc>
          <w:tcPr>
            <w:tcW w:w="6075" w:type="dxa"/>
          </w:tcPr>
          <w:p>
            <w:pPr>
              <w:pStyle w:val="TableParagraph"/>
              <w:spacing w:before="11"/>
              <w:ind w:left="52"/>
              <w:rPr>
                <w:rFonts w:ascii="Arial"/>
                <w:b/>
                <w:sz w:val="15"/>
              </w:rPr>
            </w:pPr>
            <w:r>
              <w:rPr>
                <w:rFonts w:ascii="Arial"/>
                <w:b/>
                <w:sz w:val="15"/>
              </w:rPr>
              <w:t>How</w:t>
            </w:r>
            <w:r>
              <w:rPr>
                <w:rFonts w:ascii="Arial"/>
                <w:b/>
                <w:spacing w:val="-1"/>
                <w:sz w:val="15"/>
              </w:rPr>
              <w:t> </w:t>
            </w:r>
            <w:r>
              <w:rPr>
                <w:rFonts w:ascii="Arial"/>
                <w:b/>
                <w:sz w:val="15"/>
              </w:rPr>
              <w:t>the</w:t>
            </w:r>
            <w:r>
              <w:rPr>
                <w:rFonts w:ascii="Arial"/>
                <w:b/>
                <w:spacing w:val="-1"/>
                <w:sz w:val="15"/>
              </w:rPr>
              <w:t> </w:t>
            </w:r>
            <w:r>
              <w:rPr>
                <w:rFonts w:ascii="Arial"/>
                <w:b/>
                <w:sz w:val="15"/>
              </w:rPr>
              <w:t>Risk</w:t>
            </w:r>
            <w:r>
              <w:rPr>
                <w:rFonts w:ascii="Arial"/>
                <w:b/>
                <w:spacing w:val="-1"/>
                <w:sz w:val="15"/>
              </w:rPr>
              <w:t> </w:t>
            </w:r>
            <w:r>
              <w:rPr>
                <w:rFonts w:ascii="Arial"/>
                <w:b/>
                <w:sz w:val="15"/>
              </w:rPr>
              <w:t>is</w:t>
            </w:r>
            <w:r>
              <w:rPr>
                <w:rFonts w:ascii="Arial"/>
                <w:b/>
                <w:spacing w:val="-1"/>
                <w:sz w:val="15"/>
              </w:rPr>
              <w:t> </w:t>
            </w:r>
            <w:r>
              <w:rPr>
                <w:rFonts w:ascii="Arial"/>
                <w:b/>
                <w:spacing w:val="-2"/>
                <w:sz w:val="15"/>
              </w:rPr>
              <w:t>Managed</w:t>
            </w:r>
          </w:p>
        </w:tc>
      </w:tr>
      <w:tr>
        <w:trPr>
          <w:trHeight w:val="805" w:hRule="atLeast"/>
        </w:trPr>
        <w:tc>
          <w:tcPr>
            <w:tcW w:w="3165" w:type="dxa"/>
          </w:tcPr>
          <w:p>
            <w:pPr>
              <w:pStyle w:val="TableParagraph"/>
              <w:spacing w:before="11"/>
              <w:ind w:left="107"/>
              <w:rPr>
                <w:rFonts w:ascii="Arial"/>
                <w:b/>
                <w:sz w:val="15"/>
              </w:rPr>
            </w:pPr>
            <w:r>
              <w:rPr>
                <w:rFonts w:ascii="Arial"/>
                <w:b/>
                <w:sz w:val="15"/>
              </w:rPr>
              <w:t>Credit</w:t>
            </w:r>
            <w:r>
              <w:rPr>
                <w:rFonts w:ascii="Arial"/>
                <w:b/>
                <w:spacing w:val="-4"/>
                <w:sz w:val="15"/>
              </w:rPr>
              <w:t> Risk</w:t>
            </w:r>
          </w:p>
          <w:p>
            <w:pPr>
              <w:pStyle w:val="TableParagraph"/>
              <w:spacing w:line="270" w:lineRule="atLeast"/>
              <w:ind w:left="232" w:right="1073"/>
              <w:rPr>
                <w:sz w:val="15"/>
              </w:rPr>
            </w:pPr>
            <w:r>
              <w:rPr>
                <w:sz w:val="15"/>
              </w:rPr>
              <w:t>Country Credit Risk Counterparty</w:t>
            </w:r>
            <w:r>
              <w:rPr>
                <w:spacing w:val="-11"/>
                <w:sz w:val="15"/>
              </w:rPr>
              <w:t> </w:t>
            </w:r>
            <w:r>
              <w:rPr>
                <w:sz w:val="15"/>
              </w:rPr>
              <w:t>Credit</w:t>
            </w:r>
            <w:r>
              <w:rPr>
                <w:spacing w:val="-10"/>
                <w:sz w:val="15"/>
              </w:rPr>
              <w:t> </w:t>
            </w:r>
            <w:r>
              <w:rPr>
                <w:sz w:val="15"/>
              </w:rPr>
              <w:t>Risk</w:t>
            </w:r>
          </w:p>
        </w:tc>
        <w:tc>
          <w:tcPr>
            <w:tcW w:w="6075" w:type="dxa"/>
          </w:tcPr>
          <w:p>
            <w:pPr>
              <w:pStyle w:val="TableParagraph"/>
              <w:spacing w:before="11"/>
              <w:rPr>
                <w:rFonts w:ascii="Arial"/>
                <w:b/>
                <w:sz w:val="15"/>
              </w:rPr>
            </w:pPr>
          </w:p>
          <w:p>
            <w:pPr>
              <w:pStyle w:val="TableParagraph"/>
              <w:spacing w:line="270" w:lineRule="atLeast"/>
              <w:ind w:left="107" w:right="699"/>
              <w:rPr>
                <w:sz w:val="15"/>
              </w:rPr>
            </w:pPr>
            <w:r>
              <w:rPr>
                <w:sz w:val="15"/>
              </w:rPr>
              <w:t>IBRD’s</w:t>
            </w:r>
            <w:r>
              <w:rPr>
                <w:spacing w:val="-6"/>
                <w:sz w:val="15"/>
              </w:rPr>
              <w:t> </w:t>
            </w:r>
            <w:r>
              <w:rPr>
                <w:sz w:val="15"/>
              </w:rPr>
              <w:t>credit-risk-bearing</w:t>
            </w:r>
            <w:r>
              <w:rPr>
                <w:spacing w:val="-6"/>
                <w:sz w:val="15"/>
              </w:rPr>
              <w:t> </w:t>
            </w:r>
            <w:r>
              <w:rPr>
                <w:sz w:val="15"/>
              </w:rPr>
              <w:t>capacity</w:t>
            </w:r>
            <w:r>
              <w:rPr>
                <w:spacing w:val="-6"/>
                <w:sz w:val="15"/>
              </w:rPr>
              <w:t> </w:t>
            </w:r>
            <w:r>
              <w:rPr>
                <w:sz w:val="15"/>
              </w:rPr>
              <w:t>and</w:t>
            </w:r>
            <w:r>
              <w:rPr>
                <w:spacing w:val="-6"/>
                <w:sz w:val="15"/>
              </w:rPr>
              <w:t> </w:t>
            </w:r>
            <w:r>
              <w:rPr>
                <w:sz w:val="15"/>
              </w:rPr>
              <w:t>individual</w:t>
            </w:r>
            <w:r>
              <w:rPr>
                <w:spacing w:val="-6"/>
                <w:sz w:val="15"/>
              </w:rPr>
              <w:t> </w:t>
            </w:r>
            <w:r>
              <w:rPr>
                <w:sz w:val="15"/>
              </w:rPr>
              <w:t>country</w:t>
            </w:r>
            <w:r>
              <w:rPr>
                <w:spacing w:val="-6"/>
                <w:sz w:val="15"/>
              </w:rPr>
              <w:t> </w:t>
            </w:r>
            <w:r>
              <w:rPr>
                <w:sz w:val="15"/>
              </w:rPr>
              <w:t>exposure</w:t>
            </w:r>
            <w:r>
              <w:rPr>
                <w:spacing w:val="-6"/>
                <w:sz w:val="15"/>
              </w:rPr>
              <w:t> </w:t>
            </w:r>
            <w:r>
              <w:rPr>
                <w:sz w:val="15"/>
              </w:rPr>
              <w:t>limits Counterparty credit limits and collateral</w:t>
            </w:r>
          </w:p>
        </w:tc>
      </w:tr>
      <w:tr>
        <w:trPr>
          <w:trHeight w:val="1120" w:hRule="atLeast"/>
        </w:trPr>
        <w:tc>
          <w:tcPr>
            <w:tcW w:w="3165" w:type="dxa"/>
          </w:tcPr>
          <w:p>
            <w:pPr>
              <w:pStyle w:val="TableParagraph"/>
              <w:spacing w:before="11"/>
              <w:ind w:left="107"/>
              <w:rPr>
                <w:rFonts w:ascii="Arial"/>
                <w:b/>
                <w:sz w:val="15"/>
              </w:rPr>
            </w:pPr>
            <w:r>
              <w:rPr>
                <w:rFonts w:ascii="Arial"/>
                <w:b/>
                <w:sz w:val="15"/>
              </w:rPr>
              <w:t>Market</w:t>
            </w:r>
            <w:r>
              <w:rPr>
                <w:rFonts w:ascii="Arial"/>
                <w:b/>
                <w:spacing w:val="-8"/>
                <w:sz w:val="15"/>
              </w:rPr>
              <w:t> </w:t>
            </w:r>
            <w:r>
              <w:rPr>
                <w:rFonts w:ascii="Arial"/>
                <w:b/>
                <w:spacing w:val="-4"/>
                <w:sz w:val="15"/>
              </w:rPr>
              <w:t>Risk</w:t>
            </w:r>
          </w:p>
          <w:p>
            <w:pPr>
              <w:pStyle w:val="TableParagraph"/>
              <w:spacing w:line="376" w:lineRule="auto" w:before="97"/>
              <w:ind w:left="232" w:right="1073"/>
              <w:rPr>
                <w:sz w:val="15"/>
              </w:rPr>
            </w:pPr>
            <w:r>
              <w:rPr>
                <w:sz w:val="15"/>
              </w:rPr>
              <w:t>Interest Rate Risk Exchange</w:t>
            </w:r>
            <w:r>
              <w:rPr>
                <w:spacing w:val="-11"/>
                <w:sz w:val="15"/>
              </w:rPr>
              <w:t> </w:t>
            </w:r>
            <w:r>
              <w:rPr>
                <w:sz w:val="15"/>
              </w:rPr>
              <w:t>Rate</w:t>
            </w:r>
            <w:r>
              <w:rPr>
                <w:spacing w:val="-10"/>
                <w:sz w:val="15"/>
              </w:rPr>
              <w:t> </w:t>
            </w:r>
            <w:r>
              <w:rPr>
                <w:sz w:val="15"/>
              </w:rPr>
              <w:t>Risk Liquidity Risk</w:t>
            </w:r>
          </w:p>
        </w:tc>
        <w:tc>
          <w:tcPr>
            <w:tcW w:w="6075" w:type="dxa"/>
          </w:tcPr>
          <w:p>
            <w:pPr>
              <w:pStyle w:val="TableParagraph"/>
              <w:spacing w:line="300" w:lineRule="atLeast" w:before="143"/>
              <w:ind w:left="107" w:right="699"/>
              <w:rPr>
                <w:sz w:val="15"/>
              </w:rPr>
            </w:pPr>
            <w:r>
              <w:rPr>
                <w:sz w:val="15"/>
              </w:rPr>
              <w:t>Interest rate derivatives to match the sensitivity of assets and liabilities Currency</w:t>
            </w:r>
            <w:r>
              <w:rPr>
                <w:spacing w:val="-4"/>
                <w:sz w:val="15"/>
              </w:rPr>
              <w:t> </w:t>
            </w:r>
            <w:r>
              <w:rPr>
                <w:sz w:val="15"/>
              </w:rPr>
              <w:t>derivatives</w:t>
            </w:r>
            <w:r>
              <w:rPr>
                <w:spacing w:val="-4"/>
                <w:sz w:val="15"/>
              </w:rPr>
              <w:t> </w:t>
            </w:r>
            <w:r>
              <w:rPr>
                <w:sz w:val="15"/>
              </w:rPr>
              <w:t>to</w:t>
            </w:r>
            <w:r>
              <w:rPr>
                <w:spacing w:val="-4"/>
                <w:sz w:val="15"/>
              </w:rPr>
              <w:t> </w:t>
            </w:r>
            <w:r>
              <w:rPr>
                <w:sz w:val="15"/>
              </w:rPr>
              <w:t>align</w:t>
            </w:r>
            <w:r>
              <w:rPr>
                <w:spacing w:val="-4"/>
                <w:sz w:val="15"/>
              </w:rPr>
              <w:t> </w:t>
            </w:r>
            <w:r>
              <w:rPr>
                <w:sz w:val="15"/>
              </w:rPr>
              <w:t>the</w:t>
            </w:r>
            <w:r>
              <w:rPr>
                <w:spacing w:val="-4"/>
                <w:sz w:val="15"/>
              </w:rPr>
              <w:t> </w:t>
            </w:r>
            <w:r>
              <w:rPr>
                <w:sz w:val="15"/>
              </w:rPr>
              <w:t>currency</w:t>
            </w:r>
            <w:r>
              <w:rPr>
                <w:spacing w:val="-4"/>
                <w:sz w:val="15"/>
              </w:rPr>
              <w:t> </w:t>
            </w:r>
            <w:r>
              <w:rPr>
                <w:sz w:val="15"/>
              </w:rPr>
              <w:t>composition</w:t>
            </w:r>
            <w:r>
              <w:rPr>
                <w:spacing w:val="-4"/>
                <w:sz w:val="15"/>
              </w:rPr>
              <w:t> </w:t>
            </w:r>
            <w:r>
              <w:rPr>
                <w:sz w:val="15"/>
              </w:rPr>
              <w:t>of</w:t>
            </w:r>
            <w:r>
              <w:rPr>
                <w:spacing w:val="-4"/>
                <w:sz w:val="15"/>
              </w:rPr>
              <w:t> </w:t>
            </w:r>
            <w:r>
              <w:rPr>
                <w:sz w:val="15"/>
              </w:rPr>
              <w:t>assets</w:t>
            </w:r>
            <w:r>
              <w:rPr>
                <w:spacing w:val="-4"/>
                <w:sz w:val="15"/>
              </w:rPr>
              <w:t> </w:t>
            </w:r>
            <w:r>
              <w:rPr>
                <w:sz w:val="15"/>
              </w:rPr>
              <w:t>and</w:t>
            </w:r>
            <w:r>
              <w:rPr>
                <w:spacing w:val="-4"/>
                <w:sz w:val="15"/>
              </w:rPr>
              <w:t> </w:t>
            </w:r>
            <w:r>
              <w:rPr>
                <w:sz w:val="15"/>
              </w:rPr>
              <w:t>liabilities Prudential minimum liquidity level</w:t>
            </w:r>
          </w:p>
        </w:tc>
      </w:tr>
      <w:tr>
        <w:trPr>
          <w:trHeight w:val="445" w:hRule="atLeast"/>
        </w:trPr>
        <w:tc>
          <w:tcPr>
            <w:tcW w:w="3165" w:type="dxa"/>
          </w:tcPr>
          <w:p>
            <w:pPr>
              <w:pStyle w:val="TableParagraph"/>
              <w:spacing w:before="11"/>
              <w:ind w:left="52"/>
              <w:rPr>
                <w:rFonts w:ascii="Arial"/>
                <w:b/>
                <w:sz w:val="15"/>
              </w:rPr>
            </w:pPr>
            <w:r>
              <w:rPr>
                <w:rFonts w:ascii="Arial"/>
                <w:b/>
                <w:sz w:val="15"/>
              </w:rPr>
              <w:t>Operational</w:t>
            </w:r>
            <w:r>
              <w:rPr>
                <w:rFonts w:ascii="Arial"/>
                <w:b/>
                <w:spacing w:val="-7"/>
                <w:sz w:val="15"/>
              </w:rPr>
              <w:t> </w:t>
            </w:r>
            <w:r>
              <w:rPr>
                <w:rFonts w:ascii="Arial"/>
                <w:b/>
                <w:spacing w:val="-4"/>
                <w:sz w:val="15"/>
              </w:rPr>
              <w:t>Risk</w:t>
            </w:r>
          </w:p>
        </w:tc>
        <w:tc>
          <w:tcPr>
            <w:tcW w:w="6075" w:type="dxa"/>
          </w:tcPr>
          <w:p>
            <w:pPr>
              <w:pStyle w:val="TableParagraph"/>
              <w:spacing w:line="208" w:lineRule="auto" w:before="29"/>
              <w:ind w:left="52"/>
              <w:rPr>
                <w:sz w:val="15"/>
              </w:rPr>
            </w:pPr>
            <w:r>
              <w:rPr>
                <w:sz w:val="15"/>
              </w:rPr>
              <w:t>Risk</w:t>
            </w:r>
            <w:r>
              <w:rPr>
                <w:spacing w:val="40"/>
                <w:sz w:val="15"/>
              </w:rPr>
              <w:t> </w:t>
            </w:r>
            <w:r>
              <w:rPr>
                <w:sz w:val="15"/>
              </w:rPr>
              <w:t>assessment</w:t>
            </w:r>
            <w:r>
              <w:rPr>
                <w:spacing w:val="40"/>
                <w:sz w:val="15"/>
              </w:rPr>
              <w:t> </w:t>
            </w:r>
            <w:r>
              <w:rPr>
                <w:sz w:val="15"/>
              </w:rPr>
              <w:t>and</w:t>
            </w:r>
            <w:r>
              <w:rPr>
                <w:spacing w:val="40"/>
                <w:sz w:val="15"/>
              </w:rPr>
              <w:t> </w:t>
            </w:r>
            <w:r>
              <w:rPr>
                <w:sz w:val="15"/>
              </w:rPr>
              <w:t>monitoring</w:t>
            </w:r>
            <w:r>
              <w:rPr>
                <w:spacing w:val="40"/>
                <w:sz w:val="15"/>
              </w:rPr>
              <w:t> </w:t>
            </w:r>
            <w:r>
              <w:rPr>
                <w:sz w:val="15"/>
              </w:rPr>
              <w:t>of</w:t>
            </w:r>
            <w:r>
              <w:rPr>
                <w:spacing w:val="40"/>
                <w:sz w:val="15"/>
              </w:rPr>
              <w:t> </w:t>
            </w:r>
            <w:r>
              <w:rPr>
                <w:sz w:val="15"/>
              </w:rPr>
              <w:t>key</w:t>
            </w:r>
            <w:r>
              <w:rPr>
                <w:spacing w:val="40"/>
                <w:sz w:val="15"/>
              </w:rPr>
              <w:t> </w:t>
            </w:r>
            <w:r>
              <w:rPr>
                <w:sz w:val="15"/>
              </w:rPr>
              <w:t>risk</w:t>
            </w:r>
            <w:r>
              <w:rPr>
                <w:spacing w:val="40"/>
                <w:sz w:val="15"/>
              </w:rPr>
              <w:t> </w:t>
            </w:r>
            <w:r>
              <w:rPr>
                <w:sz w:val="15"/>
              </w:rPr>
              <w:t>indicators</w:t>
            </w:r>
            <w:r>
              <w:rPr>
                <w:spacing w:val="40"/>
                <w:sz w:val="15"/>
              </w:rPr>
              <w:t> </w:t>
            </w:r>
            <w:r>
              <w:rPr>
                <w:sz w:val="15"/>
              </w:rPr>
              <w:t>and</w:t>
            </w:r>
            <w:r>
              <w:rPr>
                <w:spacing w:val="40"/>
                <w:sz w:val="15"/>
              </w:rPr>
              <w:t> </w:t>
            </w:r>
            <w:r>
              <w:rPr>
                <w:sz w:val="15"/>
              </w:rPr>
              <w:t>internal</w:t>
            </w:r>
            <w:r>
              <w:rPr>
                <w:spacing w:val="40"/>
                <w:sz w:val="15"/>
              </w:rPr>
              <w:t> </w:t>
            </w:r>
            <w:r>
              <w:rPr>
                <w:sz w:val="15"/>
              </w:rPr>
              <w:t>and</w:t>
            </w:r>
            <w:r>
              <w:rPr>
                <w:spacing w:val="40"/>
                <w:sz w:val="15"/>
              </w:rPr>
              <w:t> </w:t>
            </w:r>
            <w:r>
              <w:rPr>
                <w:sz w:val="15"/>
              </w:rPr>
              <w:t>external operational risk events</w:t>
            </w:r>
          </w:p>
        </w:tc>
      </w:tr>
    </w:tbl>
    <w:p>
      <w:pPr>
        <w:pStyle w:val="BodyText"/>
        <w:spacing w:before="72"/>
        <w:rPr>
          <w:rFonts w:ascii="Arial"/>
          <w:b/>
          <w:sz w:val="18"/>
        </w:rPr>
      </w:pPr>
    </w:p>
    <w:p>
      <w:pPr>
        <w:pStyle w:val="Heading1"/>
      </w:pPr>
      <w:bookmarkStart w:name="Management of IBRD’s Risks" w:id="106"/>
      <w:bookmarkEnd w:id="106"/>
      <w:r>
        <w:rPr>
          <w:b w:val="0"/>
        </w:rPr>
      </w:r>
      <w:bookmarkStart w:name="_bookmark71" w:id="107"/>
      <w:bookmarkEnd w:id="107"/>
      <w:r>
        <w:rPr>
          <w:b w:val="0"/>
        </w:rPr>
      </w:r>
      <w:r>
        <w:rPr/>
        <w:t>Management</w:t>
      </w:r>
      <w:r>
        <w:rPr>
          <w:spacing w:val="-3"/>
        </w:rPr>
        <w:t> </w:t>
      </w:r>
      <w:r>
        <w:rPr/>
        <w:t>of</w:t>
      </w:r>
      <w:r>
        <w:rPr>
          <w:spacing w:val="-3"/>
        </w:rPr>
        <w:t> </w:t>
      </w:r>
      <w:r>
        <w:rPr/>
        <w:t>IBRD’s</w:t>
      </w:r>
      <w:r>
        <w:rPr>
          <w:spacing w:val="-2"/>
        </w:rPr>
        <w:t> </w:t>
      </w:r>
      <w:r>
        <w:rPr>
          <w:spacing w:val="-4"/>
        </w:rPr>
        <w:t>Risks</w:t>
      </w:r>
    </w:p>
    <w:p>
      <w:pPr>
        <w:pStyle w:val="BodyText"/>
        <w:spacing w:line="232" w:lineRule="auto" w:before="140"/>
        <w:ind w:left="720" w:right="718"/>
        <w:jc w:val="both"/>
      </w:pPr>
      <w:r>
        <w:rPr/>
        <w:t>IBRD assumes financial risks in order to achieve its development and strategic objectives. IBRD’s financial risk management framework is designed to enable and support the institution in achieving its goals in a financially sustainable manner. IBRD manages credit, market and operational risks for its financial activities, which include lending, borrowing and investing (Box 6). The primary financial risk to IBRD is the country credit risk inherent in</w:t>
      </w:r>
      <w:r>
        <w:rPr>
          <w:spacing w:val="40"/>
        </w:rPr>
        <w:t> </w:t>
      </w:r>
      <w:r>
        <w:rPr/>
        <w:t>its</w:t>
      </w:r>
      <w:r>
        <w:rPr>
          <w:spacing w:val="-2"/>
        </w:rPr>
        <w:t> </w:t>
      </w:r>
      <w:r>
        <w:rPr/>
        <w:t>loan</w:t>
      </w:r>
      <w:r>
        <w:rPr>
          <w:spacing w:val="-2"/>
        </w:rPr>
        <w:t> </w:t>
      </w:r>
      <w:r>
        <w:rPr/>
        <w:t>portfolio.</w:t>
      </w:r>
      <w:r>
        <w:rPr>
          <w:spacing w:val="-2"/>
        </w:rPr>
        <w:t> </w:t>
      </w:r>
      <w:r>
        <w:rPr/>
        <w:t>IBRD</w:t>
      </w:r>
      <w:r>
        <w:rPr>
          <w:spacing w:val="-2"/>
        </w:rPr>
        <w:t> </w:t>
      </w:r>
      <w:r>
        <w:rPr/>
        <w:t>is</w:t>
      </w:r>
      <w:r>
        <w:rPr>
          <w:spacing w:val="-2"/>
        </w:rPr>
        <w:t> </w:t>
      </w:r>
      <w:r>
        <w:rPr/>
        <w:t>also</w:t>
      </w:r>
      <w:r>
        <w:rPr>
          <w:spacing w:val="-2"/>
        </w:rPr>
        <w:t> </w:t>
      </w:r>
      <w:r>
        <w:rPr/>
        <w:t>exposed</w:t>
      </w:r>
      <w:r>
        <w:rPr>
          <w:spacing w:val="-2"/>
        </w:rPr>
        <w:t> </w:t>
      </w:r>
      <w:r>
        <w:rPr/>
        <w:t>to</w:t>
      </w:r>
      <w:r>
        <w:rPr>
          <w:spacing w:val="-2"/>
        </w:rPr>
        <w:t> </w:t>
      </w:r>
      <w:r>
        <w:rPr/>
        <w:t>risks</w:t>
      </w:r>
      <w:r>
        <w:rPr>
          <w:spacing w:val="-2"/>
        </w:rPr>
        <w:t> </w:t>
      </w:r>
      <w:r>
        <w:rPr/>
        <w:t>in</w:t>
      </w:r>
      <w:r>
        <w:rPr>
          <w:spacing w:val="-2"/>
        </w:rPr>
        <w:t> </w:t>
      </w:r>
      <w:r>
        <w:rPr/>
        <w:t>its</w:t>
      </w:r>
      <w:r>
        <w:rPr>
          <w:spacing w:val="-2"/>
        </w:rPr>
        <w:t> </w:t>
      </w:r>
      <w:r>
        <w:rPr/>
        <w:t>liquid</w:t>
      </w:r>
      <w:r>
        <w:rPr>
          <w:spacing w:val="-2"/>
        </w:rPr>
        <w:t> </w:t>
      </w:r>
      <w:r>
        <w:rPr/>
        <w:t>asset</w:t>
      </w:r>
      <w:r>
        <w:rPr>
          <w:spacing w:val="-2"/>
        </w:rPr>
        <w:t> </w:t>
      </w:r>
      <w:r>
        <w:rPr/>
        <w:t>and</w:t>
      </w:r>
      <w:r>
        <w:rPr>
          <w:spacing w:val="-2"/>
        </w:rPr>
        <w:t> </w:t>
      </w:r>
      <w:r>
        <w:rPr/>
        <w:t>derivative</w:t>
      </w:r>
      <w:r>
        <w:rPr>
          <w:spacing w:val="-2"/>
        </w:rPr>
        <w:t> </w:t>
      </w:r>
      <w:r>
        <w:rPr/>
        <w:t>portfolios,</w:t>
      </w:r>
      <w:r>
        <w:rPr>
          <w:spacing w:val="-2"/>
        </w:rPr>
        <w:t> </w:t>
      </w:r>
      <w:r>
        <w:rPr/>
        <w:t>where</w:t>
      </w:r>
      <w:r>
        <w:rPr>
          <w:spacing w:val="-2"/>
        </w:rPr>
        <w:t> </w:t>
      </w:r>
      <w:r>
        <w:rPr/>
        <w:t>the</w:t>
      </w:r>
      <w:r>
        <w:rPr>
          <w:spacing w:val="-2"/>
        </w:rPr>
        <w:t> </w:t>
      </w:r>
      <w:r>
        <w:rPr/>
        <w:t>major</w:t>
      </w:r>
      <w:r>
        <w:rPr>
          <w:spacing w:val="-2"/>
        </w:rPr>
        <w:t> </w:t>
      </w:r>
      <w:r>
        <w:rPr/>
        <w:t>risks</w:t>
      </w:r>
      <w:r>
        <w:rPr>
          <w:spacing w:val="-2"/>
        </w:rPr>
        <w:t> </w:t>
      </w:r>
      <w:r>
        <w:rPr/>
        <w:t>are interest rate, exchange rate, commercial counterparty credit, and liquidity risks. IBRD’s operational risk</w:t>
      </w:r>
      <w:r>
        <w:rPr>
          <w:spacing w:val="40"/>
        </w:rPr>
        <w:t> </w:t>
      </w:r>
      <w:r>
        <w:rPr/>
        <w:t>management framework is based on a structured and uniform approach to identify, assess and monitor key operational risks across business units.</w:t>
      </w:r>
    </w:p>
    <w:p>
      <w:pPr>
        <w:pStyle w:val="BodyText"/>
        <w:spacing w:after="0" w:line="232" w:lineRule="auto"/>
        <w:jc w:val="both"/>
        <w:sectPr>
          <w:pgSz w:w="12240" w:h="15840"/>
          <w:pgMar w:header="744" w:footer="583" w:top="1020" w:bottom="780" w:left="720" w:right="720"/>
        </w:sectPr>
      </w:pPr>
    </w:p>
    <w:p>
      <w:pPr>
        <w:pStyle w:val="BodyText"/>
        <w:spacing w:before="133"/>
      </w:pPr>
    </w:p>
    <w:p>
      <w:pPr>
        <w:pStyle w:val="BodyText"/>
        <w:spacing w:line="232" w:lineRule="auto"/>
        <w:ind w:left="720" w:right="718"/>
        <w:jc w:val="both"/>
      </w:pPr>
      <w:r>
        <w:rPr/>
        <w:t>In an effort to maximize IBRD’s capacity to lend to member countries for development purposes, IBRD limits its exposure to market and counterparty credit risks. In addition, to ensure that the financial risks associated with its loans</w:t>
      </w:r>
      <w:r>
        <w:rPr>
          <w:spacing w:val="-3"/>
        </w:rPr>
        <w:t> </w:t>
      </w:r>
      <w:r>
        <w:rPr/>
        <w:t>and</w:t>
      </w:r>
      <w:r>
        <w:rPr>
          <w:spacing w:val="-3"/>
        </w:rPr>
        <w:t> </w:t>
      </w:r>
      <w:r>
        <w:rPr/>
        <w:t>other</w:t>
      </w:r>
      <w:r>
        <w:rPr>
          <w:spacing w:val="-3"/>
        </w:rPr>
        <w:t> </w:t>
      </w:r>
      <w:r>
        <w:rPr/>
        <w:t>exposures</w:t>
      </w:r>
      <w:r>
        <w:rPr>
          <w:spacing w:val="-3"/>
        </w:rPr>
        <w:t> </w:t>
      </w:r>
      <w:r>
        <w:rPr/>
        <w:t>do</w:t>
      </w:r>
      <w:r>
        <w:rPr>
          <w:spacing w:val="-3"/>
        </w:rPr>
        <w:t> </w:t>
      </w:r>
      <w:r>
        <w:rPr/>
        <w:t>not</w:t>
      </w:r>
      <w:r>
        <w:rPr>
          <w:spacing w:val="-3"/>
        </w:rPr>
        <w:t> </w:t>
      </w:r>
      <w:r>
        <w:rPr/>
        <w:t>exceed</w:t>
      </w:r>
      <w:r>
        <w:rPr>
          <w:spacing w:val="-3"/>
        </w:rPr>
        <w:t> </w:t>
      </w:r>
      <w:r>
        <w:rPr/>
        <w:t>its</w:t>
      </w:r>
      <w:r>
        <w:rPr>
          <w:spacing w:val="-3"/>
        </w:rPr>
        <w:t> </w:t>
      </w:r>
      <w:r>
        <w:rPr/>
        <w:t>risk-bearing</w:t>
      </w:r>
      <w:r>
        <w:rPr>
          <w:spacing w:val="-3"/>
        </w:rPr>
        <w:t> </w:t>
      </w:r>
      <w:r>
        <w:rPr/>
        <w:t>capacity,</w:t>
      </w:r>
      <w:r>
        <w:rPr>
          <w:spacing w:val="-3"/>
        </w:rPr>
        <w:t> </w:t>
      </w:r>
      <w:r>
        <w:rPr/>
        <w:t>IBRD</w:t>
      </w:r>
      <w:r>
        <w:rPr>
          <w:spacing w:val="-3"/>
        </w:rPr>
        <w:t> </w:t>
      </w:r>
      <w:r>
        <w:rPr/>
        <w:t>uses</w:t>
      </w:r>
      <w:r>
        <w:rPr>
          <w:spacing w:val="-3"/>
        </w:rPr>
        <w:t> </w:t>
      </w:r>
      <w:r>
        <w:rPr/>
        <w:t>a</w:t>
      </w:r>
      <w:r>
        <w:rPr>
          <w:spacing w:val="-3"/>
        </w:rPr>
        <w:t> </w:t>
      </w:r>
      <w:r>
        <w:rPr/>
        <w:t>strategic</w:t>
      </w:r>
      <w:r>
        <w:rPr>
          <w:spacing w:val="-3"/>
        </w:rPr>
        <w:t> </w:t>
      </w:r>
      <w:r>
        <w:rPr/>
        <w:t>capital</w:t>
      </w:r>
      <w:r>
        <w:rPr>
          <w:spacing w:val="-3"/>
        </w:rPr>
        <w:t> </w:t>
      </w:r>
      <w:r>
        <w:rPr/>
        <w:t>adequacy</w:t>
      </w:r>
      <w:r>
        <w:rPr>
          <w:spacing w:val="-3"/>
        </w:rPr>
        <w:t> </w:t>
      </w:r>
      <w:r>
        <w:rPr/>
        <w:t>framework as a key medium-term capital planning tool.</w:t>
      </w:r>
    </w:p>
    <w:p>
      <w:pPr>
        <w:pStyle w:val="Heading1"/>
        <w:spacing w:before="220"/>
      </w:pPr>
      <w:bookmarkStart w:name="Geopolitical Events and Global Outlook" w:id="108"/>
      <w:bookmarkEnd w:id="108"/>
      <w:r>
        <w:rPr>
          <w:b w:val="0"/>
        </w:rPr>
      </w:r>
      <w:bookmarkStart w:name="_bookmark72" w:id="109"/>
      <w:bookmarkEnd w:id="109"/>
      <w:r>
        <w:rPr>
          <w:b w:val="0"/>
        </w:rPr>
      </w:r>
      <w:r>
        <w:rPr/>
        <w:t>Geopolitical</w:t>
      </w:r>
      <w:r>
        <w:rPr>
          <w:spacing w:val="-2"/>
        </w:rPr>
        <w:t> </w:t>
      </w:r>
      <w:r>
        <w:rPr/>
        <w:t>Events</w:t>
      </w:r>
      <w:r>
        <w:rPr>
          <w:spacing w:val="-2"/>
        </w:rPr>
        <w:t> </w:t>
      </w:r>
      <w:r>
        <w:rPr/>
        <w:t>and</w:t>
      </w:r>
      <w:r>
        <w:rPr>
          <w:spacing w:val="-2"/>
        </w:rPr>
        <w:t> </w:t>
      </w:r>
      <w:r>
        <w:rPr/>
        <w:t>Global</w:t>
      </w:r>
      <w:r>
        <w:rPr>
          <w:spacing w:val="-1"/>
        </w:rPr>
        <w:t> </w:t>
      </w:r>
      <w:r>
        <w:rPr>
          <w:spacing w:val="-2"/>
        </w:rPr>
        <w:t>Outlook</w:t>
      </w:r>
    </w:p>
    <w:p>
      <w:pPr>
        <w:pStyle w:val="BodyText"/>
        <w:spacing w:line="232" w:lineRule="auto" w:before="140"/>
        <w:ind w:left="720" w:right="717"/>
        <w:jc w:val="both"/>
      </w:pPr>
      <w:r>
        <w:rPr/>
        <w:t>Russia's invasion of Ukraine that began in February 2022 negatively impacted regional and global financial markets and economic conditions. It has also created significant needs for humanitarian and other critical support. From the outbreak of the conflict, through June 30, 2023, IBRD committed $4.2 billion to Ukraine. Over the same period, IBRD disbursed $2.8 billion (including commitments made prior to the start of the invasion) to help the government of Ukraine provide critical services.</w:t>
      </w:r>
    </w:p>
    <w:p>
      <w:pPr>
        <w:pStyle w:val="BodyText"/>
        <w:spacing w:line="232" w:lineRule="auto" w:before="228"/>
        <w:ind w:left="720" w:right="719"/>
        <w:jc w:val="both"/>
      </w:pPr>
      <w:r>
        <w:rPr/>
        <w:t>As of June 30, 2023, IBRD’s loans outstanding to Ukraine were $8.7 billion with $2.3 billion guaranteed by third parties. In addition, IBRD provided $0.7 billion of guarantees to Ukraine that were outstanding as of June 30, 2023. As of June 30, 2023, there were no loans outstanding to the Russian Federation.</w:t>
      </w:r>
    </w:p>
    <w:p>
      <w:pPr>
        <w:pStyle w:val="BodyText"/>
        <w:spacing w:line="232" w:lineRule="auto" w:before="228"/>
        <w:ind w:left="720" w:right="718"/>
        <w:jc w:val="both"/>
      </w:pPr>
      <w:r>
        <w:rPr/>
        <w:t>As of June 30, 2023, IBRD had sufficient resources to meet its liquidity requirements and continues to have access</w:t>
      </w:r>
      <w:r>
        <w:rPr>
          <w:spacing w:val="40"/>
        </w:rPr>
        <w:t> </w:t>
      </w:r>
      <w:r>
        <w:rPr/>
        <w:t>to capital market resources. The liquid asset portfolio was above the Target Liquidity Level (Table 31) .</w:t>
      </w:r>
    </w:p>
    <w:p>
      <w:pPr>
        <w:pStyle w:val="BodyText"/>
        <w:spacing w:line="232" w:lineRule="auto" w:before="226"/>
        <w:ind w:left="720" w:right="720"/>
        <w:jc w:val="both"/>
      </w:pPr>
      <w:r>
        <w:rPr/>
        <w:t>Management remains vigilant in assessing funding needs in the medium and longer-term to manage the effect of possible severe market movements.</w:t>
      </w:r>
    </w:p>
    <w:p>
      <w:pPr>
        <w:pStyle w:val="BodyText"/>
        <w:spacing w:line="232" w:lineRule="auto" w:before="226"/>
        <w:ind w:left="720" w:right="720"/>
        <w:jc w:val="both"/>
      </w:pPr>
      <w:r>
        <w:rPr/>
        <w:t>IBRD’s capital adequacy, as indicated by Equity-to-Loans ratio (Figure 19 and Table 28) remains above the minimum level.</w:t>
      </w:r>
    </w:p>
    <w:p>
      <w:pPr>
        <w:pStyle w:val="BodyText"/>
        <w:spacing w:line="232" w:lineRule="auto" w:before="226"/>
        <w:ind w:left="720" w:right="720"/>
        <w:jc w:val="both"/>
      </w:pPr>
      <w:r>
        <w:rPr/>
        <w:t>As of the reporting date, country credit risk and counterparty credit risk remain in line with the existing governance framework and established credit limits. The loan loss provisions include IBRD’s current assessment of country credit risk. The fair values of related financial instruments reflect counterparty credit risk in IBRD’s portfolios. Developments in the market continue to be closely monitored and managed.</w:t>
      </w:r>
    </w:p>
    <w:p>
      <w:pPr>
        <w:pStyle w:val="Heading1"/>
        <w:spacing w:before="220"/>
      </w:pPr>
      <w:bookmarkStart w:name="Capital Adequacy" w:id="110"/>
      <w:bookmarkEnd w:id="110"/>
      <w:r>
        <w:rPr>
          <w:b w:val="0"/>
        </w:rPr>
      </w:r>
      <w:bookmarkStart w:name="_bookmark73" w:id="111"/>
      <w:bookmarkEnd w:id="111"/>
      <w:r>
        <w:rPr>
          <w:b w:val="0"/>
        </w:rPr>
      </w:r>
      <w:r>
        <w:rPr/>
        <w:t>Capital</w:t>
      </w:r>
      <w:r>
        <w:rPr>
          <w:spacing w:val="-4"/>
        </w:rPr>
        <w:t> </w:t>
      </w:r>
      <w:r>
        <w:rPr>
          <w:spacing w:val="-2"/>
        </w:rPr>
        <w:t>Adequacy</w:t>
      </w:r>
    </w:p>
    <w:p>
      <w:pPr>
        <w:pStyle w:val="BodyText"/>
        <w:spacing w:line="249" w:lineRule="auto" w:before="134"/>
        <w:ind w:left="720" w:right="721"/>
        <w:jc w:val="both"/>
      </w:pPr>
      <w:r>
        <w:rPr/>
        <w:t>IBRD holds capital to cover the credit, market and operational risks inherent in its operating activities and financial assets. Country credit risk is the most substantive risk covered by IBRD’s equity.</w:t>
      </w:r>
    </w:p>
    <w:p>
      <w:pPr>
        <w:pStyle w:val="BodyText"/>
        <w:spacing w:line="249" w:lineRule="auto" w:before="122"/>
        <w:ind w:left="720" w:right="718"/>
        <w:jc w:val="both"/>
      </w:pPr>
      <w:r>
        <w:rPr/>
        <w:t>IBRD’s capital adequacy is the degree to which its equity is sufficient to withstand unexpected shocks. IBRD’s Board monitors IBRD’s capital adequacy within a strategic capital adequacy framework and uses the Equity-to-Loans</w:t>
      </w:r>
      <w:r>
        <w:rPr>
          <w:spacing w:val="-3"/>
        </w:rPr>
        <w:t> </w:t>
      </w:r>
      <w:r>
        <w:rPr/>
        <w:t>ratio</w:t>
      </w:r>
      <w:r>
        <w:rPr>
          <w:spacing w:val="-3"/>
        </w:rPr>
        <w:t> </w:t>
      </w:r>
      <w:r>
        <w:rPr/>
        <w:t>as</w:t>
      </w:r>
      <w:r>
        <w:rPr>
          <w:spacing w:val="-3"/>
        </w:rPr>
        <w:t> </w:t>
      </w:r>
      <w:r>
        <w:rPr/>
        <w:t>a</w:t>
      </w:r>
      <w:r>
        <w:rPr>
          <w:spacing w:val="-3"/>
        </w:rPr>
        <w:t> </w:t>
      </w:r>
      <w:r>
        <w:rPr/>
        <w:t>key</w:t>
      </w:r>
      <w:r>
        <w:rPr>
          <w:spacing w:val="-3"/>
        </w:rPr>
        <w:t> </w:t>
      </w:r>
      <w:r>
        <w:rPr/>
        <w:t>indicator</w:t>
      </w:r>
      <w:r>
        <w:rPr>
          <w:spacing w:val="-3"/>
        </w:rPr>
        <w:t> </w:t>
      </w:r>
      <w:r>
        <w:rPr/>
        <w:t>of</w:t>
      </w:r>
      <w:r>
        <w:rPr>
          <w:spacing w:val="-3"/>
        </w:rPr>
        <w:t> </w:t>
      </w:r>
      <w:r>
        <w:rPr/>
        <w:t>capital</w:t>
      </w:r>
      <w:r>
        <w:rPr>
          <w:spacing w:val="-3"/>
        </w:rPr>
        <w:t> </w:t>
      </w:r>
      <w:r>
        <w:rPr/>
        <w:t>adequacy.</w:t>
      </w:r>
      <w:r>
        <w:rPr>
          <w:spacing w:val="-3"/>
        </w:rPr>
        <w:t> </w:t>
      </w:r>
      <w:r>
        <w:rPr/>
        <w:t>The</w:t>
      </w:r>
      <w:r>
        <w:rPr>
          <w:spacing w:val="-3"/>
        </w:rPr>
        <w:t> </w:t>
      </w:r>
      <w:r>
        <w:rPr/>
        <w:t>framework</w:t>
      </w:r>
      <w:r>
        <w:rPr>
          <w:spacing w:val="-3"/>
        </w:rPr>
        <w:t> </w:t>
      </w:r>
      <w:r>
        <w:rPr/>
        <w:t>seeks</w:t>
      </w:r>
      <w:r>
        <w:rPr>
          <w:spacing w:val="-3"/>
        </w:rPr>
        <w:t> </w:t>
      </w:r>
      <w:r>
        <w:rPr/>
        <w:t>to</w:t>
      </w:r>
      <w:r>
        <w:rPr>
          <w:spacing w:val="-3"/>
        </w:rPr>
        <w:t> </w:t>
      </w:r>
      <w:r>
        <w:rPr/>
        <w:t>ensure</w:t>
      </w:r>
      <w:r>
        <w:rPr>
          <w:spacing w:val="-3"/>
        </w:rPr>
        <w:t> </w:t>
      </w:r>
      <w:r>
        <w:rPr/>
        <w:t>that</w:t>
      </w:r>
      <w:r>
        <w:rPr>
          <w:spacing w:val="-3"/>
        </w:rPr>
        <w:t> </w:t>
      </w:r>
      <w:r>
        <w:rPr/>
        <w:t>IBRD’s</w:t>
      </w:r>
      <w:r>
        <w:rPr>
          <w:spacing w:val="-3"/>
        </w:rPr>
        <w:t> </w:t>
      </w:r>
      <w:r>
        <w:rPr/>
        <w:t>equity</w:t>
      </w:r>
      <w:r>
        <w:rPr>
          <w:spacing w:val="-3"/>
        </w:rPr>
        <w:t> </w:t>
      </w:r>
      <w:r>
        <w:rPr/>
        <w:t>is</w:t>
      </w:r>
      <w:r>
        <w:rPr>
          <w:spacing w:val="-3"/>
        </w:rPr>
        <w:t> </w:t>
      </w:r>
      <w:r>
        <w:rPr/>
        <w:t>aligned</w:t>
      </w:r>
      <w:r>
        <w:rPr>
          <w:spacing w:val="-3"/>
        </w:rPr>
        <w:t> </w:t>
      </w:r>
      <w:r>
        <w:rPr/>
        <w:t>with the financial risk associated with its loan portfolio and other exposures over a medium-term capital-planning</w:t>
      </w:r>
      <w:r>
        <w:rPr>
          <w:spacing w:val="40"/>
        </w:rPr>
        <w:t> </w:t>
      </w:r>
      <w:r>
        <w:rPr>
          <w:spacing w:val="-2"/>
        </w:rPr>
        <w:t>horizon.</w:t>
      </w:r>
    </w:p>
    <w:p>
      <w:pPr>
        <w:pStyle w:val="BodyText"/>
        <w:spacing w:line="232" w:lineRule="auto" w:before="129"/>
        <w:ind w:left="720" w:right="719"/>
        <w:jc w:val="both"/>
      </w:pPr>
      <w:r>
        <w:rPr/>
        <w:t>In April 2023, as part of the Evolution Roadmap, the Board approved a reduction in the policy minimum Equity-to-Loans ratio from 20% to 19% based on IBRD's review of the capital adequacy framework. The minimum Equity-to-Loans ratio policy continues to support IBRD's triple-A rating and long-term financial sustainability.</w:t>
      </w:r>
    </w:p>
    <w:p>
      <w:pPr>
        <w:pStyle w:val="BodyText"/>
        <w:spacing w:line="232" w:lineRule="auto" w:before="227"/>
        <w:ind w:left="720" w:right="718"/>
        <w:jc w:val="both"/>
      </w:pPr>
      <w:r>
        <w:rPr/>
        <w:t>As shown in Table 28, IBRD’s Equity-to-Loans ratio was unchanged at 22.0% as of June 30, 2023, compared to June 30, 2022, and remained above the 19% minimum ratio under the strategic capital adequacy framework. The increase in total exposure of approximately $10.8 billion was offset by the receipt of capital subscription payments</w:t>
      </w:r>
      <w:r>
        <w:rPr>
          <w:spacing w:val="40"/>
        </w:rPr>
        <w:t> </w:t>
      </w:r>
      <w:r>
        <w:rPr/>
        <w:t>of $1.3 billion and the retention of $0.9 billion in the General Reserve out of FY23 allocable income.</w:t>
      </w:r>
    </w:p>
    <w:p>
      <w:pPr>
        <w:pStyle w:val="BodyText"/>
        <w:spacing w:after="0" w:line="232" w:lineRule="auto"/>
        <w:jc w:val="both"/>
        <w:sectPr>
          <w:pgSz w:w="12240" w:h="15840"/>
          <w:pgMar w:header="744" w:footer="713" w:top="1020" w:bottom="900" w:left="720" w:right="720"/>
        </w:sectPr>
      </w:pPr>
    </w:p>
    <w:p>
      <w:pPr>
        <w:pStyle w:val="BodyText"/>
        <w:spacing w:before="133"/>
      </w:pPr>
    </w:p>
    <w:p>
      <w:pPr>
        <w:pStyle w:val="BodyText"/>
        <w:spacing w:line="232" w:lineRule="auto"/>
        <w:ind w:left="720" w:right="718"/>
        <w:jc w:val="both"/>
      </w:pPr>
      <w:r>
        <w:rPr/>
        <w:t>In FY23, IBRD received $1.3 billion of paid-in capital subscribed under the 2018 General and Selective Capital Increases (GCI and SCI), bringing the cumulative amounts received to $5.4 billion, representing 72% of the total amount expected over the subscription period. In line with IBRD's currency management policy, exchange rate movements during the year did not have an impact on IBRD's Equity-to-Loans ratio. Under the currency management policy, to minimize exchange rate risk, IBRD matches its borrowing obligations in any one currency (after derivatives) with assets in the same currency. In addition, IBRD periodically undertakes currency conversions to align the currency composition of its equity with that of its outstanding loans, across major currencies.</w:t>
      </w:r>
    </w:p>
    <w:p>
      <w:pPr>
        <w:pStyle w:val="BodyText"/>
        <w:spacing w:before="5"/>
      </w:pPr>
    </w:p>
    <w:p>
      <w:pPr>
        <w:spacing w:before="0"/>
        <w:ind w:left="720" w:right="0" w:firstLine="0"/>
        <w:jc w:val="both"/>
        <w:rPr>
          <w:rFonts w:ascii="Arial"/>
          <w:b/>
          <w:sz w:val="18"/>
        </w:rPr>
      </w:pPr>
      <w:bookmarkStart w:name="_bookmark74" w:id="112"/>
      <w:bookmarkEnd w:id="112"/>
      <w:r>
        <w:rPr/>
      </w:r>
      <w:r>
        <w:rPr>
          <w:rFonts w:ascii="Arial"/>
          <w:b/>
          <w:sz w:val="18"/>
        </w:rPr>
        <w:t>Figure</w:t>
      </w:r>
      <w:r>
        <w:rPr>
          <w:rFonts w:ascii="Arial"/>
          <w:b/>
          <w:spacing w:val="-2"/>
          <w:sz w:val="18"/>
        </w:rPr>
        <w:t> </w:t>
      </w:r>
      <w:r>
        <w:rPr>
          <w:rFonts w:ascii="Arial"/>
          <w:b/>
          <w:sz w:val="18"/>
        </w:rPr>
        <w:t>19:</w:t>
      </w:r>
      <w:r>
        <w:rPr>
          <w:rFonts w:ascii="Arial"/>
          <w:b/>
          <w:spacing w:val="-2"/>
          <w:sz w:val="18"/>
        </w:rPr>
        <w:t> </w:t>
      </w:r>
      <w:r>
        <w:rPr>
          <w:rFonts w:ascii="Arial"/>
          <w:b/>
          <w:sz w:val="18"/>
        </w:rPr>
        <w:t>Equity-to-Loans</w:t>
      </w:r>
      <w:r>
        <w:rPr>
          <w:rFonts w:ascii="Arial"/>
          <w:b/>
          <w:spacing w:val="-1"/>
          <w:sz w:val="18"/>
        </w:rPr>
        <w:t> </w:t>
      </w:r>
      <w:r>
        <w:rPr>
          <w:rFonts w:ascii="Arial"/>
          <w:b/>
          <w:spacing w:val="-2"/>
          <w:sz w:val="18"/>
        </w:rPr>
        <w:t>Ratio</w:t>
      </w:r>
    </w:p>
    <w:p>
      <w:pPr>
        <w:pStyle w:val="BodyText"/>
        <w:rPr>
          <w:rFonts w:ascii="Arial"/>
          <w:b/>
          <w:sz w:val="16"/>
        </w:rPr>
      </w:pPr>
    </w:p>
    <w:p>
      <w:pPr>
        <w:pStyle w:val="BodyText"/>
        <w:rPr>
          <w:rFonts w:ascii="Arial"/>
          <w:b/>
          <w:sz w:val="16"/>
        </w:rPr>
      </w:pPr>
    </w:p>
    <w:p>
      <w:pPr>
        <w:pStyle w:val="BodyText"/>
        <w:spacing w:before="141"/>
        <w:rPr>
          <w:rFonts w:ascii="Arial"/>
          <w:b/>
          <w:sz w:val="16"/>
        </w:rPr>
      </w:pPr>
    </w:p>
    <w:p>
      <w:pPr>
        <w:spacing w:before="1"/>
        <w:ind w:left="925"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795712">
                <wp:simplePos x="0" y="0"/>
                <wp:positionH relativeFrom="page">
                  <wp:posOffset>1343025</wp:posOffset>
                </wp:positionH>
                <wp:positionV relativeFrom="paragraph">
                  <wp:posOffset>40980</wp:posOffset>
                </wp:positionV>
                <wp:extent cx="2762250" cy="117157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2762250" cy="1171575"/>
                          <a:chExt cx="2762250" cy="1171575"/>
                        </a:xfrm>
                      </wpg:grpSpPr>
                      <wps:wsp>
                        <wps:cNvPr id="475" name="Graphic 475"/>
                        <wps:cNvSpPr/>
                        <wps:spPr>
                          <a:xfrm>
                            <a:off x="0" y="4762"/>
                            <a:ext cx="2762250" cy="1167130"/>
                          </a:xfrm>
                          <a:custGeom>
                            <a:avLst/>
                            <a:gdLst/>
                            <a:ahLst/>
                            <a:cxnLst/>
                            <a:rect l="l" t="t" r="r" b="b"/>
                            <a:pathLst>
                              <a:path w="2762250" h="1167130">
                                <a:moveTo>
                                  <a:pt x="128587" y="1109662"/>
                                </a:moveTo>
                                <a:lnTo>
                                  <a:pt x="128587" y="1166812"/>
                                </a:lnTo>
                              </a:path>
                              <a:path w="2762250" h="1167130">
                                <a:moveTo>
                                  <a:pt x="290512" y="1109662"/>
                                </a:moveTo>
                                <a:lnTo>
                                  <a:pt x="290512" y="1166812"/>
                                </a:lnTo>
                              </a:path>
                              <a:path w="2762250" h="1167130">
                                <a:moveTo>
                                  <a:pt x="452437" y="1109662"/>
                                </a:moveTo>
                                <a:lnTo>
                                  <a:pt x="452437" y="1166812"/>
                                </a:lnTo>
                              </a:path>
                              <a:path w="2762250" h="1167130">
                                <a:moveTo>
                                  <a:pt x="604837" y="1109662"/>
                                </a:moveTo>
                                <a:lnTo>
                                  <a:pt x="604837" y="1166812"/>
                                </a:lnTo>
                              </a:path>
                              <a:path w="2762250" h="1167130">
                                <a:moveTo>
                                  <a:pt x="766762" y="1109662"/>
                                </a:moveTo>
                                <a:lnTo>
                                  <a:pt x="766762" y="1166812"/>
                                </a:lnTo>
                              </a:path>
                              <a:path w="2762250" h="1167130">
                                <a:moveTo>
                                  <a:pt x="928687" y="1109662"/>
                                </a:moveTo>
                                <a:lnTo>
                                  <a:pt x="928687" y="1166812"/>
                                </a:lnTo>
                              </a:path>
                              <a:path w="2762250" h="1167130">
                                <a:moveTo>
                                  <a:pt x="1090612" y="1109662"/>
                                </a:moveTo>
                                <a:lnTo>
                                  <a:pt x="1090612" y="1166812"/>
                                </a:lnTo>
                              </a:path>
                              <a:path w="2762250" h="1167130">
                                <a:moveTo>
                                  <a:pt x="1243012" y="1109662"/>
                                </a:moveTo>
                                <a:lnTo>
                                  <a:pt x="1243012" y="1166812"/>
                                </a:lnTo>
                              </a:path>
                              <a:path w="2762250" h="1167130">
                                <a:moveTo>
                                  <a:pt x="1404937" y="1109662"/>
                                </a:moveTo>
                                <a:lnTo>
                                  <a:pt x="1404937" y="1166812"/>
                                </a:lnTo>
                              </a:path>
                              <a:path w="2762250" h="1167130">
                                <a:moveTo>
                                  <a:pt x="1566862" y="1109662"/>
                                </a:moveTo>
                                <a:lnTo>
                                  <a:pt x="1566862" y="1166812"/>
                                </a:lnTo>
                              </a:path>
                              <a:path w="2762250" h="1167130">
                                <a:moveTo>
                                  <a:pt x="1719262" y="1109662"/>
                                </a:moveTo>
                                <a:lnTo>
                                  <a:pt x="1719262" y="1166812"/>
                                </a:lnTo>
                              </a:path>
                              <a:path w="2762250" h="1167130">
                                <a:moveTo>
                                  <a:pt x="1881187" y="1109662"/>
                                </a:moveTo>
                                <a:lnTo>
                                  <a:pt x="1881187" y="1166812"/>
                                </a:lnTo>
                              </a:path>
                              <a:path w="2762250" h="1167130">
                                <a:moveTo>
                                  <a:pt x="2043112" y="1109662"/>
                                </a:moveTo>
                                <a:lnTo>
                                  <a:pt x="2043112" y="1166812"/>
                                </a:lnTo>
                              </a:path>
                              <a:path w="2762250" h="1167130">
                                <a:moveTo>
                                  <a:pt x="2205037" y="1109662"/>
                                </a:moveTo>
                                <a:lnTo>
                                  <a:pt x="2205037" y="1166812"/>
                                </a:lnTo>
                              </a:path>
                              <a:path w="2762250" h="1167130">
                                <a:moveTo>
                                  <a:pt x="2357437" y="1109662"/>
                                </a:moveTo>
                                <a:lnTo>
                                  <a:pt x="2357437" y="1166812"/>
                                </a:lnTo>
                              </a:path>
                              <a:path w="2762250" h="1167130">
                                <a:moveTo>
                                  <a:pt x="2519362" y="1109662"/>
                                </a:moveTo>
                                <a:lnTo>
                                  <a:pt x="2519362" y="1166812"/>
                                </a:lnTo>
                              </a:path>
                              <a:path w="2762250" h="1167130">
                                <a:moveTo>
                                  <a:pt x="2681287" y="1109662"/>
                                </a:moveTo>
                                <a:lnTo>
                                  <a:pt x="2681287" y="1166812"/>
                                </a:lnTo>
                              </a:path>
                              <a:path w="2762250" h="1167130">
                                <a:moveTo>
                                  <a:pt x="57150" y="1114425"/>
                                </a:moveTo>
                                <a:lnTo>
                                  <a:pt x="2762250" y="1114425"/>
                                </a:lnTo>
                              </a:path>
                              <a:path w="2762250" h="1167130">
                                <a:moveTo>
                                  <a:pt x="57150" y="1114425"/>
                                </a:moveTo>
                                <a:lnTo>
                                  <a:pt x="0" y="1114425"/>
                                </a:lnTo>
                              </a:path>
                              <a:path w="2762250" h="1167130">
                                <a:moveTo>
                                  <a:pt x="57150" y="895350"/>
                                </a:moveTo>
                                <a:lnTo>
                                  <a:pt x="0" y="895350"/>
                                </a:lnTo>
                              </a:path>
                              <a:path w="2762250" h="1167130">
                                <a:moveTo>
                                  <a:pt x="57150" y="676275"/>
                                </a:moveTo>
                                <a:lnTo>
                                  <a:pt x="0" y="676275"/>
                                </a:lnTo>
                              </a:path>
                              <a:path w="2762250" h="1167130">
                                <a:moveTo>
                                  <a:pt x="57150" y="447675"/>
                                </a:moveTo>
                                <a:lnTo>
                                  <a:pt x="0" y="447675"/>
                                </a:lnTo>
                              </a:path>
                              <a:path w="2762250" h="1167130">
                                <a:moveTo>
                                  <a:pt x="57150" y="228600"/>
                                </a:moveTo>
                                <a:lnTo>
                                  <a:pt x="0" y="228600"/>
                                </a:lnTo>
                              </a:path>
                              <a:path w="2762250" h="1167130">
                                <a:moveTo>
                                  <a:pt x="57150" y="0"/>
                                </a:moveTo>
                                <a:lnTo>
                                  <a:pt x="0" y="0"/>
                                </a:lnTo>
                              </a:path>
                              <a:path w="2762250" h="1167130">
                                <a:moveTo>
                                  <a:pt x="52387" y="4762"/>
                                </a:moveTo>
                                <a:lnTo>
                                  <a:pt x="52387" y="1109662"/>
                                </a:lnTo>
                              </a:path>
                            </a:pathLst>
                          </a:custGeom>
                          <a:ln w="9525">
                            <a:solidFill>
                              <a:srgbClr val="8A8A8A"/>
                            </a:solidFill>
                            <a:prstDash val="solid"/>
                          </a:ln>
                        </wps:spPr>
                        <wps:bodyPr wrap="square" lIns="0" tIns="0" rIns="0" bIns="0" rtlCol="0">
                          <a:prstTxWarp prst="textNoShape">
                            <a:avLst/>
                          </a:prstTxWarp>
                          <a:noAutofit/>
                        </wps:bodyPr>
                      </wps:wsp>
                      <wps:wsp>
                        <wps:cNvPr id="476" name="Graphic 476"/>
                        <wps:cNvSpPr/>
                        <wps:spPr>
                          <a:xfrm>
                            <a:off x="136711" y="352043"/>
                            <a:ext cx="2546350" cy="121920"/>
                          </a:xfrm>
                          <a:custGeom>
                            <a:avLst/>
                            <a:gdLst/>
                            <a:ahLst/>
                            <a:cxnLst/>
                            <a:rect l="l" t="t" r="r" b="b"/>
                            <a:pathLst>
                              <a:path w="2546350" h="121920">
                                <a:moveTo>
                                  <a:pt x="0" y="11048"/>
                                </a:moveTo>
                                <a:lnTo>
                                  <a:pt x="15912" y="9322"/>
                                </a:lnTo>
                                <a:lnTo>
                                  <a:pt x="55693" y="5524"/>
                                </a:lnTo>
                                <a:lnTo>
                                  <a:pt x="107408" y="1726"/>
                                </a:lnTo>
                                <a:lnTo>
                                  <a:pt x="159123" y="0"/>
                                </a:lnTo>
                                <a:lnTo>
                                  <a:pt x="201888" y="3452"/>
                                </a:lnTo>
                                <a:lnTo>
                                  <a:pt x="238685" y="11048"/>
                                </a:lnTo>
                                <a:lnTo>
                                  <a:pt x="275482" y="18645"/>
                                </a:lnTo>
                                <a:lnTo>
                                  <a:pt x="318246" y="22097"/>
                                </a:lnTo>
                                <a:lnTo>
                                  <a:pt x="361011" y="22097"/>
                                </a:lnTo>
                                <a:lnTo>
                                  <a:pt x="397808" y="22097"/>
                                </a:lnTo>
                                <a:lnTo>
                                  <a:pt x="434606" y="22097"/>
                                </a:lnTo>
                                <a:lnTo>
                                  <a:pt x="477370" y="22097"/>
                                </a:lnTo>
                                <a:lnTo>
                                  <a:pt x="520134" y="20371"/>
                                </a:lnTo>
                                <a:lnTo>
                                  <a:pt x="556932" y="16573"/>
                                </a:lnTo>
                                <a:lnTo>
                                  <a:pt x="593730" y="12775"/>
                                </a:lnTo>
                                <a:lnTo>
                                  <a:pt x="636494" y="11048"/>
                                </a:lnTo>
                                <a:lnTo>
                                  <a:pt x="679258" y="13258"/>
                                </a:lnTo>
                                <a:lnTo>
                                  <a:pt x="716056" y="18783"/>
                                </a:lnTo>
                                <a:lnTo>
                                  <a:pt x="752853" y="25965"/>
                                </a:lnTo>
                                <a:lnTo>
                                  <a:pt x="795618" y="33146"/>
                                </a:lnTo>
                                <a:lnTo>
                                  <a:pt x="838382" y="40328"/>
                                </a:lnTo>
                                <a:lnTo>
                                  <a:pt x="875179" y="47510"/>
                                </a:lnTo>
                                <a:lnTo>
                                  <a:pt x="911976" y="53035"/>
                                </a:lnTo>
                                <a:lnTo>
                                  <a:pt x="954741" y="55244"/>
                                </a:lnTo>
                                <a:lnTo>
                                  <a:pt x="997505" y="55244"/>
                                </a:lnTo>
                                <a:lnTo>
                                  <a:pt x="1034302" y="55244"/>
                                </a:lnTo>
                                <a:lnTo>
                                  <a:pt x="1071100" y="55244"/>
                                </a:lnTo>
                                <a:lnTo>
                                  <a:pt x="1113864" y="55244"/>
                                </a:lnTo>
                                <a:lnTo>
                                  <a:pt x="1156629" y="51792"/>
                                </a:lnTo>
                                <a:lnTo>
                                  <a:pt x="1193426" y="44195"/>
                                </a:lnTo>
                                <a:lnTo>
                                  <a:pt x="1230223" y="36599"/>
                                </a:lnTo>
                                <a:lnTo>
                                  <a:pt x="1272988" y="33146"/>
                                </a:lnTo>
                                <a:lnTo>
                                  <a:pt x="1315752" y="36772"/>
                                </a:lnTo>
                                <a:lnTo>
                                  <a:pt x="1352550" y="45577"/>
                                </a:lnTo>
                                <a:lnTo>
                                  <a:pt x="1389347" y="56453"/>
                                </a:lnTo>
                                <a:lnTo>
                                  <a:pt x="1432111" y="66293"/>
                                </a:lnTo>
                                <a:lnTo>
                                  <a:pt x="1474876" y="72854"/>
                                </a:lnTo>
                                <a:lnTo>
                                  <a:pt x="1511673" y="77342"/>
                                </a:lnTo>
                                <a:lnTo>
                                  <a:pt x="1548471" y="81831"/>
                                </a:lnTo>
                                <a:lnTo>
                                  <a:pt x="1591235" y="88391"/>
                                </a:lnTo>
                                <a:lnTo>
                                  <a:pt x="1633999" y="98232"/>
                                </a:lnTo>
                                <a:lnTo>
                                  <a:pt x="1670797" y="109108"/>
                                </a:lnTo>
                                <a:lnTo>
                                  <a:pt x="1707594" y="117913"/>
                                </a:lnTo>
                                <a:lnTo>
                                  <a:pt x="1750358" y="121538"/>
                                </a:lnTo>
                                <a:lnTo>
                                  <a:pt x="1793123" y="119293"/>
                                </a:lnTo>
                                <a:lnTo>
                                  <a:pt x="1829920" y="113524"/>
                                </a:lnTo>
                                <a:lnTo>
                                  <a:pt x="1866717" y="105684"/>
                                </a:lnTo>
                                <a:lnTo>
                                  <a:pt x="1909481" y="97223"/>
                                </a:lnTo>
                                <a:lnTo>
                                  <a:pt x="1952246" y="87729"/>
                                </a:lnTo>
                                <a:lnTo>
                                  <a:pt x="1989044" y="77615"/>
                                </a:lnTo>
                                <a:lnTo>
                                  <a:pt x="2025841" y="69572"/>
                                </a:lnTo>
                                <a:lnTo>
                                  <a:pt x="2068606" y="66293"/>
                                </a:lnTo>
                                <a:lnTo>
                                  <a:pt x="2111370" y="68193"/>
                                </a:lnTo>
                                <a:lnTo>
                                  <a:pt x="2148167" y="73199"/>
                                </a:lnTo>
                                <a:lnTo>
                                  <a:pt x="2184965" y="80277"/>
                                </a:lnTo>
                                <a:lnTo>
                                  <a:pt x="2227729" y="88391"/>
                                </a:lnTo>
                                <a:lnTo>
                                  <a:pt x="2270493" y="98232"/>
                                </a:lnTo>
                                <a:lnTo>
                                  <a:pt x="2307291" y="109108"/>
                                </a:lnTo>
                                <a:lnTo>
                                  <a:pt x="2344088" y="117913"/>
                                </a:lnTo>
                                <a:lnTo>
                                  <a:pt x="2386853" y="121538"/>
                                </a:lnTo>
                                <a:lnTo>
                                  <a:pt x="2438568" y="118901"/>
                                </a:lnTo>
                                <a:lnTo>
                                  <a:pt x="2490283" y="113100"/>
                                </a:lnTo>
                                <a:lnTo>
                                  <a:pt x="2530064" y="107299"/>
                                </a:lnTo>
                                <a:lnTo>
                                  <a:pt x="2545976" y="104661"/>
                                </a:lnTo>
                              </a:path>
                            </a:pathLst>
                          </a:custGeom>
                          <a:ln w="28574">
                            <a:solidFill>
                              <a:srgbClr val="242424"/>
                            </a:solidFill>
                            <a:prstDash val="solid"/>
                          </a:ln>
                        </wps:spPr>
                        <wps:bodyPr wrap="square" lIns="0" tIns="0" rIns="0" bIns="0" rtlCol="0">
                          <a:prstTxWarp prst="textNoShape">
                            <a:avLst/>
                          </a:prstTxWarp>
                          <a:noAutofit/>
                        </wps:bodyPr>
                      </wps:wsp>
                      <wps:wsp>
                        <wps:cNvPr id="477" name="Graphic 477"/>
                        <wps:cNvSpPr/>
                        <wps:spPr>
                          <a:xfrm>
                            <a:off x="136711" y="672465"/>
                            <a:ext cx="2546350" cy="110489"/>
                          </a:xfrm>
                          <a:custGeom>
                            <a:avLst/>
                            <a:gdLst/>
                            <a:ahLst/>
                            <a:cxnLst/>
                            <a:rect l="l" t="t" r="r" b="b"/>
                            <a:pathLst>
                              <a:path w="2546350" h="110489">
                                <a:moveTo>
                                  <a:pt x="0" y="0"/>
                                </a:moveTo>
                                <a:lnTo>
                                  <a:pt x="159123" y="0"/>
                                </a:lnTo>
                                <a:lnTo>
                                  <a:pt x="318246" y="0"/>
                                </a:lnTo>
                                <a:lnTo>
                                  <a:pt x="477370" y="0"/>
                                </a:lnTo>
                                <a:lnTo>
                                  <a:pt x="636494" y="0"/>
                                </a:lnTo>
                                <a:lnTo>
                                  <a:pt x="795618" y="0"/>
                                </a:lnTo>
                                <a:lnTo>
                                  <a:pt x="954741" y="0"/>
                                </a:lnTo>
                                <a:lnTo>
                                  <a:pt x="1113864" y="0"/>
                                </a:lnTo>
                                <a:lnTo>
                                  <a:pt x="1272988" y="0"/>
                                </a:lnTo>
                                <a:lnTo>
                                  <a:pt x="1432111" y="0"/>
                                </a:lnTo>
                                <a:lnTo>
                                  <a:pt x="1591235" y="0"/>
                                </a:lnTo>
                                <a:lnTo>
                                  <a:pt x="1750358" y="0"/>
                                </a:lnTo>
                                <a:lnTo>
                                  <a:pt x="1909481" y="0"/>
                                </a:lnTo>
                                <a:lnTo>
                                  <a:pt x="2068606" y="0"/>
                                </a:lnTo>
                                <a:lnTo>
                                  <a:pt x="2227729" y="0"/>
                                </a:lnTo>
                                <a:lnTo>
                                  <a:pt x="2386853" y="0"/>
                                </a:lnTo>
                                <a:lnTo>
                                  <a:pt x="2386853" y="110489"/>
                                </a:lnTo>
                                <a:lnTo>
                                  <a:pt x="2545976" y="110489"/>
                                </a:lnTo>
                              </a:path>
                            </a:pathLst>
                          </a:custGeom>
                          <a:ln w="28574">
                            <a:solidFill>
                              <a:srgbClr val="6D6D6D"/>
                            </a:solidFill>
                            <a:prstDash val="sysDot"/>
                          </a:ln>
                        </wps:spPr>
                        <wps:bodyPr wrap="square" lIns="0" tIns="0" rIns="0" bIns="0" rtlCol="0">
                          <a:prstTxWarp prst="textNoShape">
                            <a:avLst/>
                          </a:prstTxWarp>
                          <a:noAutofit/>
                        </wps:bodyPr>
                      </wps:wsp>
                    </wpg:wgp>
                  </a:graphicData>
                </a:graphic>
              </wp:anchor>
            </w:drawing>
          </mc:Choice>
          <mc:Fallback>
            <w:pict>
              <v:group style="position:absolute;margin-left:105.75pt;margin-top:3.226787pt;width:217.5pt;height:92.25pt;mso-position-horizontal-relative:page;mso-position-vertical-relative:paragraph;z-index:15795712" id="docshapegroup397" coordorigin="2115,65" coordsize="4350,1845">
                <v:shape style="position:absolute;left:2115;top:72;width:4350;height:1838" id="docshape398" coordorigin="2115,72" coordsize="4350,1838" path="m2318,1820l2318,1910m2573,1820l2573,1910m2828,1820l2828,1910m3068,1820l3068,1910m3323,1820l3323,1910m3578,1820l3578,1910m3833,1820l3833,1910m4073,1820l4073,1910m4328,1820l4328,1910m4583,1820l4583,1910m4823,1820l4823,1910m5078,1820l5078,1910m5333,1820l5333,1910m5588,1820l5588,1910m5828,1820l5828,1910m6083,1820l6083,1910m6338,1820l6338,1910m2205,1827l6465,1827m2205,1827l2115,1827m2205,1482l2115,1482m2205,1137l2115,1137m2205,777l2115,777m2205,432l2115,432m2205,72l2115,72m2198,80l2198,1820e" filled="false" stroked="true" strokeweight=".75pt" strokecolor="#8a8a8a">
                  <v:path arrowok="t"/>
                  <v:stroke dashstyle="solid"/>
                </v:shape>
                <v:shape style="position:absolute;left:2330;top:618;width:4010;height:192" id="docshape399" coordorigin="2330,619" coordsize="4010,192" path="m2330,636l2355,634,2418,628,2499,622,2581,619,2648,624,2706,636,2764,648,2831,654,2899,654,2957,654,3015,654,3082,654,3149,651,3207,645,3265,639,3333,636,3400,640,3458,649,3516,660,3583,671,3651,682,3709,694,3766,702,3834,706,3901,706,3959,706,4017,706,4084,706,4152,700,4210,689,4268,677,4335,671,4402,677,4460,691,4518,708,4586,723,4653,734,4711,741,4769,748,4836,758,4904,774,4961,791,5019,805,5087,810,5154,807,5212,798,5270,785,5337,772,5405,757,5463,741,5521,728,5588,723,5655,726,5713,734,5771,745,5839,758,5906,774,5964,791,6022,805,6089,810,6171,806,6252,797,6315,788,6340,784e" filled="false" stroked="true" strokeweight="2.25pt" strokecolor="#242424">
                  <v:path arrowok="t"/>
                  <v:stroke dashstyle="solid"/>
                </v:shape>
                <v:shape style="position:absolute;left:2330;top:1123;width:4010;height:174" id="docshape400" coordorigin="2330,1124" coordsize="4010,174" path="m2330,1124l2581,1124,2831,1124,3082,1124,3333,1124,3583,1124,3834,1124,4084,1124,4335,1124,4586,1124,4836,1124,5087,1124,5337,1124,5588,1124,5839,1124,6089,1124,6089,1298,6340,1298e" filled="false" stroked="true" strokeweight="2.25pt" strokecolor="#6d6d6d">
                  <v:path arrowok="t"/>
                  <v:stroke dashstyle="shortdot"/>
                </v:shape>
                <w10:wrap type="none"/>
              </v:group>
            </w:pict>
          </mc:Fallback>
        </mc:AlternateContent>
      </w:r>
      <w:r>
        <w:rPr>
          <w:rFonts w:ascii="Arial MT"/>
          <w:spacing w:val="-5"/>
          <w:sz w:val="16"/>
        </w:rPr>
        <w:t>26%</w:t>
      </w:r>
    </w:p>
    <w:p>
      <w:pPr>
        <w:spacing w:before="161"/>
        <w:ind w:left="925" w:right="0" w:firstLine="0"/>
        <w:jc w:val="left"/>
        <w:rPr>
          <w:rFonts w:ascii="Arial MT"/>
          <w:sz w:val="16"/>
        </w:rPr>
      </w:pPr>
      <w:r>
        <w:rPr>
          <w:rFonts w:ascii="Arial MT"/>
          <w:spacing w:val="-5"/>
          <w:sz w:val="16"/>
        </w:rPr>
        <w:t>24%</w:t>
      </w:r>
    </w:p>
    <w:p>
      <w:pPr>
        <w:spacing w:before="161"/>
        <w:ind w:left="925" w:right="0" w:firstLine="0"/>
        <w:jc w:val="left"/>
        <w:rPr>
          <w:rFonts w:ascii="Arial MT"/>
          <w:sz w:val="16"/>
        </w:rPr>
      </w:pPr>
      <w:r>
        <w:rPr>
          <w:rFonts w:ascii="Arial MT"/>
          <w:spacing w:val="-5"/>
          <w:sz w:val="16"/>
        </w:rPr>
        <w:t>22%</w:t>
      </w:r>
    </w:p>
    <w:p>
      <w:pPr>
        <w:spacing w:after="0"/>
        <w:jc w:val="left"/>
        <w:rPr>
          <w:rFonts w:ascii="Arial MT"/>
          <w:sz w:val="16"/>
        </w:rPr>
        <w:sectPr>
          <w:pgSz w:w="12240" w:h="15840"/>
          <w:pgMar w:header="744" w:footer="583" w:top="1020" w:bottom="780" w:left="720" w:right="720"/>
        </w:sectPr>
      </w:pPr>
    </w:p>
    <w:p>
      <w:pPr>
        <w:spacing w:before="176"/>
        <w:ind w:left="0" w:right="0" w:firstLine="0"/>
        <w:jc w:val="right"/>
        <w:rPr>
          <w:rFonts w:ascii="Arial MT"/>
          <w:sz w:val="16"/>
        </w:rPr>
      </w:pPr>
      <w:r>
        <w:rPr>
          <w:rFonts w:ascii="Arial MT"/>
          <w:spacing w:val="-5"/>
          <w:sz w:val="16"/>
        </w:rPr>
        <w:t>20%</w:t>
      </w:r>
    </w:p>
    <w:p>
      <w:pPr>
        <w:spacing w:before="161"/>
        <w:ind w:left="0" w:right="0" w:firstLine="0"/>
        <w:jc w:val="right"/>
        <w:rPr>
          <w:rFonts w:ascii="Arial MT"/>
          <w:sz w:val="16"/>
        </w:rPr>
      </w:pPr>
      <w:r>
        <w:rPr>
          <w:rFonts w:ascii="Arial MT"/>
          <w:spacing w:val="-5"/>
          <w:sz w:val="16"/>
        </w:rPr>
        <w:t>18%</w:t>
      </w:r>
    </w:p>
    <w:p>
      <w:pPr>
        <w:spacing w:before="161"/>
        <w:ind w:left="0" w:right="0" w:firstLine="0"/>
        <w:jc w:val="right"/>
        <w:rPr>
          <w:rFonts w:ascii="Arial MT"/>
          <w:sz w:val="16"/>
        </w:rPr>
      </w:pPr>
      <w:r>
        <w:rPr>
          <w:rFonts w:ascii="Arial MT"/>
          <w:spacing w:val="-5"/>
          <w:sz w:val="16"/>
        </w:rPr>
        <w:t>16%</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5"/>
        <w:rPr>
          <w:rFonts w:ascii="Arial MT"/>
          <w:sz w:val="16"/>
        </w:rPr>
      </w:pPr>
    </w:p>
    <w:p>
      <w:pPr>
        <w:spacing w:line="249" w:lineRule="auto" w:before="1"/>
        <w:ind w:left="223" w:right="0" w:hanging="67"/>
        <w:jc w:val="left"/>
        <w:rPr>
          <w:rFonts w:ascii="Arial MT"/>
          <w:sz w:val="16"/>
        </w:rPr>
      </w:pPr>
      <w:r>
        <w:rPr>
          <w:rFonts w:ascii="Arial MT"/>
          <w:sz w:val="16"/>
        </w:rPr>
        <w:t>Jun-</w:t>
      </w:r>
      <w:r>
        <w:rPr>
          <w:rFonts w:ascii="Arial MT"/>
          <w:spacing w:val="-6"/>
          <w:sz w:val="16"/>
        </w:rPr>
        <w:t>19</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5"/>
        <w:rPr>
          <w:rFonts w:ascii="Arial MT"/>
          <w:sz w:val="16"/>
        </w:rPr>
      </w:pPr>
    </w:p>
    <w:p>
      <w:pPr>
        <w:spacing w:line="249" w:lineRule="auto" w:before="1"/>
        <w:ind w:left="720" w:right="0" w:hanging="67"/>
        <w:jc w:val="left"/>
        <w:rPr>
          <w:rFonts w:ascii="Arial MT"/>
          <w:sz w:val="16"/>
        </w:rPr>
      </w:pPr>
      <w:r>
        <w:rPr>
          <w:rFonts w:ascii="Arial MT"/>
          <w:sz w:val="16"/>
        </w:rPr>
        <w:t>Jun-</w:t>
      </w:r>
      <w:r>
        <w:rPr>
          <w:rFonts w:ascii="Arial MT"/>
          <w:spacing w:val="-6"/>
          <w:sz w:val="16"/>
        </w:rPr>
        <w:t>20</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5"/>
        <w:rPr>
          <w:rFonts w:ascii="Arial MT"/>
          <w:sz w:val="16"/>
        </w:rPr>
      </w:pPr>
    </w:p>
    <w:p>
      <w:pPr>
        <w:spacing w:line="249" w:lineRule="auto" w:before="1"/>
        <w:ind w:left="720" w:right="0" w:hanging="67"/>
        <w:jc w:val="left"/>
        <w:rPr>
          <w:rFonts w:ascii="Arial MT"/>
          <w:sz w:val="16"/>
        </w:rPr>
      </w:pPr>
      <w:r>
        <w:rPr>
          <w:rFonts w:ascii="Arial MT"/>
          <w:sz w:val="16"/>
        </w:rPr>
        <w:t>Jun-</w:t>
      </w:r>
      <w:r>
        <w:rPr>
          <w:rFonts w:ascii="Arial MT"/>
          <w:spacing w:val="-6"/>
          <w:sz w:val="16"/>
        </w:rPr>
        <w:t>21</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5"/>
        <w:rPr>
          <w:rFonts w:ascii="Arial MT"/>
          <w:sz w:val="16"/>
        </w:rPr>
      </w:pPr>
    </w:p>
    <w:p>
      <w:pPr>
        <w:spacing w:line="249" w:lineRule="auto" w:before="1"/>
        <w:ind w:left="705" w:right="0" w:hanging="67"/>
        <w:jc w:val="left"/>
        <w:rPr>
          <w:rFonts w:ascii="Arial MT"/>
          <w:sz w:val="16"/>
        </w:rPr>
      </w:pPr>
      <w:r>
        <w:rPr>
          <w:rFonts w:ascii="Arial MT"/>
          <w:sz w:val="16"/>
        </w:rPr>
        <w:t>Jun-</w:t>
      </w:r>
      <w:r>
        <w:rPr>
          <w:rFonts w:ascii="Arial MT"/>
          <w:spacing w:val="-6"/>
          <w:sz w:val="16"/>
        </w:rPr>
        <w:t>22</w:t>
      </w:r>
    </w:p>
    <w:p>
      <w:pPr>
        <w:pStyle w:val="BodyText"/>
        <w:rPr>
          <w:rFonts w:ascii="Arial MT"/>
          <w:sz w:val="16"/>
        </w:rPr>
      </w:pPr>
      <w:r>
        <w:rPr/>
        <w:br w:type="column"/>
      </w:r>
      <w:r>
        <w:rPr>
          <w:rFonts w:ascii="Arial MT"/>
          <w:sz w:val="16"/>
        </w:rPr>
      </w:r>
    </w:p>
    <w:p>
      <w:pPr>
        <w:pStyle w:val="BodyText"/>
        <w:rPr>
          <w:rFonts w:ascii="Arial MT"/>
          <w:sz w:val="16"/>
        </w:rPr>
      </w:pPr>
    </w:p>
    <w:p>
      <w:pPr>
        <w:pStyle w:val="BodyText"/>
        <w:rPr>
          <w:rFonts w:ascii="Arial MT"/>
          <w:sz w:val="16"/>
        </w:rPr>
      </w:pPr>
    </w:p>
    <w:p>
      <w:pPr>
        <w:pStyle w:val="BodyText"/>
        <w:rPr>
          <w:rFonts w:ascii="Arial MT"/>
          <w:sz w:val="16"/>
        </w:rPr>
      </w:pPr>
    </w:p>
    <w:p>
      <w:pPr>
        <w:pStyle w:val="BodyText"/>
        <w:spacing w:before="155"/>
        <w:rPr>
          <w:rFonts w:ascii="Arial MT"/>
          <w:sz w:val="16"/>
        </w:rPr>
      </w:pPr>
    </w:p>
    <w:p>
      <w:pPr>
        <w:spacing w:line="249" w:lineRule="auto" w:before="1"/>
        <w:ind w:left="720" w:right="5039" w:hanging="67"/>
        <w:jc w:val="left"/>
        <w:rPr>
          <w:rFonts w:ascii="Arial MT"/>
          <w:sz w:val="16"/>
        </w:rPr>
      </w:pPr>
      <w:r>
        <w:rPr>
          <w:rFonts w:ascii="Arial MT"/>
          <w:sz w:val="16"/>
        </w:rPr>
        <w:t>Jun-</w:t>
      </w:r>
      <w:r>
        <w:rPr>
          <w:rFonts w:ascii="Arial MT"/>
          <w:spacing w:val="-6"/>
          <w:sz w:val="16"/>
        </w:rPr>
        <w:t>23</w:t>
      </w:r>
    </w:p>
    <w:p>
      <w:pPr>
        <w:spacing w:after="0" w:line="249" w:lineRule="auto"/>
        <w:jc w:val="left"/>
        <w:rPr>
          <w:rFonts w:ascii="Arial MT"/>
          <w:sz w:val="16"/>
        </w:rPr>
        <w:sectPr>
          <w:type w:val="continuous"/>
          <w:pgSz w:w="12240" w:h="15840"/>
          <w:pgMar w:header="744" w:footer="583" w:top="1820" w:bottom="280" w:left="720" w:right="720"/>
          <w:cols w:num="6" w:equalWidth="0">
            <w:col w:w="1246" w:space="40"/>
            <w:col w:w="468" w:space="39"/>
            <w:col w:w="965" w:space="40"/>
            <w:col w:w="965" w:space="40"/>
            <w:col w:w="951" w:space="40"/>
            <w:col w:w="6006"/>
          </w:cols>
        </w:sectPr>
      </w:pPr>
    </w:p>
    <w:p>
      <w:pPr>
        <w:tabs>
          <w:tab w:pos="3674" w:val="left" w:leader="none"/>
        </w:tabs>
        <w:spacing w:before="157"/>
        <w:ind w:left="1665" w:right="0" w:firstLine="0"/>
        <w:jc w:val="left"/>
        <w:rPr>
          <w:rFonts w:ascii="Arial MT"/>
          <w:sz w:val="16"/>
        </w:rPr>
      </w:pPr>
      <w:r>
        <w:rPr>
          <w:position w:val="2"/>
        </w:rPr>
        <w:drawing>
          <wp:inline distT="0" distB="0" distL="0" distR="0">
            <wp:extent cx="104775" cy="28575"/>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56" cstate="print"/>
                    <a:stretch>
                      <a:fillRect/>
                    </a:stretch>
                  </pic:blipFill>
                  <pic:spPr>
                    <a:xfrm>
                      <a:off x="0" y="0"/>
                      <a:ext cx="104775" cy="28575"/>
                    </a:xfrm>
                    <a:prstGeom prst="rect">
                      <a:avLst/>
                    </a:prstGeom>
                  </pic:spPr>
                </pic:pic>
              </a:graphicData>
            </a:graphic>
          </wp:inline>
        </w:drawing>
      </w:r>
      <w:r>
        <w:rPr>
          <w:position w:val="2"/>
        </w:rPr>
      </w:r>
      <w:r>
        <w:rPr>
          <w:sz w:val="20"/>
        </w:rPr>
        <w:t> </w:t>
      </w:r>
      <w:r>
        <w:rPr>
          <w:rFonts w:ascii="Arial MT"/>
          <w:color w:val="585858"/>
          <w:sz w:val="16"/>
        </w:rPr>
        <w:t>Equity-to-Loans ratio</w:t>
        <w:tab/>
      </w:r>
      <w:r>
        <w:rPr>
          <w:rFonts w:ascii="Arial MT"/>
          <w:color w:val="585858"/>
          <w:position w:val="2"/>
          <w:sz w:val="16"/>
        </w:rPr>
        <w:drawing>
          <wp:inline distT="0" distB="0" distL="0" distR="0">
            <wp:extent cx="104775" cy="28575"/>
            <wp:effectExtent l="0" t="0" r="0" b="0"/>
            <wp:docPr id="479" name="Image 479"/>
            <wp:cNvGraphicFramePr>
              <a:graphicFrameLocks/>
            </wp:cNvGraphicFramePr>
            <a:graphic>
              <a:graphicData uri="http://schemas.openxmlformats.org/drawingml/2006/picture">
                <pic:pic>
                  <pic:nvPicPr>
                    <pic:cNvPr id="479" name="Image 479"/>
                    <pic:cNvPicPr/>
                  </pic:nvPicPr>
                  <pic:blipFill>
                    <a:blip r:embed="rId57" cstate="print"/>
                    <a:stretch>
                      <a:fillRect/>
                    </a:stretch>
                  </pic:blipFill>
                  <pic:spPr>
                    <a:xfrm>
                      <a:off x="0" y="0"/>
                      <a:ext cx="104775" cy="28575"/>
                    </a:xfrm>
                    <a:prstGeom prst="rect">
                      <a:avLst/>
                    </a:prstGeom>
                  </pic:spPr>
                </pic:pic>
              </a:graphicData>
            </a:graphic>
          </wp:inline>
        </w:drawing>
      </w:r>
      <w:r>
        <w:rPr>
          <w:rFonts w:ascii="Arial MT"/>
          <w:color w:val="585858"/>
          <w:position w:val="2"/>
          <w:sz w:val="16"/>
        </w:rPr>
      </w:r>
      <w:r>
        <w:rPr>
          <w:color w:val="585858"/>
          <w:spacing w:val="29"/>
          <w:sz w:val="16"/>
        </w:rPr>
        <w:t> </w:t>
      </w:r>
      <w:r>
        <w:rPr>
          <w:rFonts w:ascii="Arial MT"/>
          <w:color w:val="585858"/>
          <w:sz w:val="16"/>
        </w:rPr>
        <w:t>Policy minimum</w:t>
      </w:r>
    </w:p>
    <w:p>
      <w:pPr>
        <w:pStyle w:val="BodyText"/>
        <w:rPr>
          <w:rFonts w:ascii="Arial MT"/>
          <w:sz w:val="18"/>
        </w:rPr>
      </w:pPr>
    </w:p>
    <w:p>
      <w:pPr>
        <w:pStyle w:val="BodyText"/>
        <w:spacing w:before="4"/>
        <w:rPr>
          <w:rFonts w:ascii="Arial MT"/>
          <w:sz w:val="18"/>
        </w:rPr>
      </w:pPr>
    </w:p>
    <w:p>
      <w:pPr>
        <w:spacing w:before="0"/>
        <w:ind w:left="772" w:right="0" w:firstLine="0"/>
        <w:jc w:val="left"/>
        <w:rPr>
          <w:rFonts w:ascii="Arial"/>
          <w:b/>
          <w:sz w:val="18"/>
        </w:rPr>
      </w:pPr>
      <w:bookmarkStart w:name="_bookmark75" w:id="113"/>
      <w:bookmarkEnd w:id="113"/>
      <w:r>
        <w:rPr/>
      </w:r>
      <w:r>
        <w:rPr>
          <w:rFonts w:ascii="Arial"/>
          <w:b/>
          <w:sz w:val="18"/>
        </w:rPr>
        <w:t>Table</w:t>
      </w:r>
      <w:r>
        <w:rPr>
          <w:rFonts w:ascii="Arial"/>
          <w:b/>
          <w:spacing w:val="-2"/>
          <w:sz w:val="18"/>
        </w:rPr>
        <w:t> </w:t>
      </w:r>
      <w:r>
        <w:rPr>
          <w:rFonts w:ascii="Arial"/>
          <w:b/>
          <w:sz w:val="18"/>
        </w:rPr>
        <w:t>28:</w:t>
      </w:r>
      <w:r>
        <w:rPr>
          <w:rFonts w:ascii="Arial"/>
          <w:b/>
          <w:spacing w:val="-2"/>
          <w:sz w:val="18"/>
        </w:rPr>
        <w:t> </w:t>
      </w:r>
      <w:r>
        <w:rPr>
          <w:rFonts w:ascii="Arial"/>
          <w:b/>
          <w:sz w:val="18"/>
        </w:rPr>
        <w:t>Equity-to-Loans</w:t>
      </w:r>
      <w:r>
        <w:rPr>
          <w:rFonts w:ascii="Arial"/>
          <w:b/>
          <w:spacing w:val="-1"/>
          <w:sz w:val="18"/>
        </w:rPr>
        <w:t> </w:t>
      </w:r>
      <w:r>
        <w:rPr>
          <w:rFonts w:ascii="Arial"/>
          <w:b/>
          <w:spacing w:val="-2"/>
          <w:sz w:val="18"/>
        </w:rPr>
        <w:t>Ratio</w:t>
      </w:r>
    </w:p>
    <w:p>
      <w:pPr>
        <w:spacing w:before="56"/>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52" w:after="34"/>
        <w:ind w:left="8084" w:right="0" w:firstLine="0"/>
        <w:jc w:val="left"/>
        <w:rPr>
          <w:rFonts w:ascii="Arial"/>
          <w:i/>
          <w:sz w:val="16"/>
        </w:rPr>
      </w:pPr>
      <w:r>
        <w:rPr>
          <w:rFonts w:ascii="Arial"/>
          <w:i/>
          <w:color w:val="484848"/>
          <w:spacing w:val="-2"/>
          <w:sz w:val="16"/>
        </w:rPr>
        <w:t>Variance</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0"/>
        <w:gridCol w:w="1110"/>
        <w:gridCol w:w="1170"/>
        <w:gridCol w:w="1129"/>
        <w:gridCol w:w="1140"/>
        <w:gridCol w:w="1091"/>
      </w:tblGrid>
      <w:tr>
        <w:trPr>
          <w:trHeight w:val="535" w:hRule="atLeast"/>
        </w:trPr>
        <w:tc>
          <w:tcPr>
            <w:tcW w:w="3720" w:type="dxa"/>
            <w:tcBorders>
              <w:bottom w:val="single" w:sz="8" w:space="0" w:color="6C6C6C"/>
            </w:tcBorders>
          </w:tcPr>
          <w:p>
            <w:pPr>
              <w:pStyle w:val="TableParagraph"/>
              <w:spacing w:before="147"/>
              <w:rPr>
                <w:rFonts w:ascii="Arial"/>
                <w:i/>
                <w:sz w:val="16"/>
              </w:rPr>
            </w:pPr>
          </w:p>
          <w:p>
            <w:pPr>
              <w:pStyle w:val="TableParagraph"/>
              <w:spacing w:line="183" w:lineRule="exact"/>
              <w:ind w:left="52"/>
              <w:rPr>
                <w:rFonts w:ascii="Arial"/>
                <w:i/>
                <w:sz w:val="16"/>
              </w:rPr>
            </w:pPr>
            <w:r>
              <w:rPr>
                <w:rFonts w:ascii="Arial"/>
                <w:i/>
                <w:color w:val="484848"/>
                <w:sz w:val="16"/>
              </w:rPr>
              <w:t>As</w:t>
            </w:r>
            <w:r>
              <w:rPr>
                <w:rFonts w:ascii="Arial"/>
                <w:i/>
                <w:color w:val="484848"/>
                <w:spacing w:val="-1"/>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1"/>
                <w:sz w:val="16"/>
              </w:rPr>
              <w:t> </w:t>
            </w:r>
            <w:r>
              <w:rPr>
                <w:rFonts w:ascii="Arial"/>
                <w:i/>
                <w:color w:val="484848"/>
                <w:spacing w:val="-5"/>
                <w:sz w:val="16"/>
              </w:rPr>
              <w:t>30,</w:t>
            </w:r>
          </w:p>
        </w:tc>
        <w:tc>
          <w:tcPr>
            <w:tcW w:w="1110" w:type="dxa"/>
            <w:tcBorders>
              <w:bottom w:val="single" w:sz="8" w:space="0" w:color="6C6C6C"/>
            </w:tcBorders>
          </w:tcPr>
          <w:p>
            <w:pPr>
              <w:pStyle w:val="TableParagraph"/>
              <w:spacing w:before="147"/>
              <w:rPr>
                <w:rFonts w:ascii="Arial"/>
                <w:i/>
                <w:sz w:val="16"/>
              </w:rPr>
            </w:pPr>
          </w:p>
          <w:p>
            <w:pPr>
              <w:pStyle w:val="TableParagraph"/>
              <w:spacing w:line="183" w:lineRule="exact"/>
              <w:ind w:left="672"/>
              <w:rPr>
                <w:rFonts w:ascii="Arial"/>
                <w:i/>
                <w:sz w:val="16"/>
              </w:rPr>
            </w:pPr>
            <w:r>
              <w:rPr>
                <w:rFonts w:ascii="Arial"/>
                <w:i/>
                <w:color w:val="484848"/>
                <w:spacing w:val="-4"/>
                <w:sz w:val="16"/>
              </w:rPr>
              <w:t>2023</w:t>
            </w:r>
          </w:p>
        </w:tc>
        <w:tc>
          <w:tcPr>
            <w:tcW w:w="1170" w:type="dxa"/>
            <w:tcBorders>
              <w:bottom w:val="single" w:sz="8" w:space="0" w:color="6C6C6C"/>
            </w:tcBorders>
          </w:tcPr>
          <w:p>
            <w:pPr>
              <w:pStyle w:val="TableParagraph"/>
              <w:spacing w:before="147"/>
              <w:rPr>
                <w:rFonts w:ascii="Arial"/>
                <w:i/>
                <w:sz w:val="16"/>
              </w:rPr>
            </w:pPr>
          </w:p>
          <w:p>
            <w:pPr>
              <w:pStyle w:val="TableParagraph"/>
              <w:spacing w:line="183" w:lineRule="exact"/>
              <w:ind w:left="702"/>
              <w:rPr>
                <w:rFonts w:ascii="Arial"/>
                <w:i/>
                <w:sz w:val="16"/>
              </w:rPr>
            </w:pPr>
            <w:r>
              <w:rPr>
                <w:rFonts w:ascii="Arial"/>
                <w:i/>
                <w:color w:val="484848"/>
                <w:spacing w:val="-4"/>
                <w:sz w:val="16"/>
              </w:rPr>
              <w:t>2022</w:t>
            </w:r>
          </w:p>
        </w:tc>
        <w:tc>
          <w:tcPr>
            <w:tcW w:w="1129" w:type="dxa"/>
            <w:tcBorders>
              <w:top w:val="single" w:sz="8" w:space="0" w:color="6C6C6C"/>
              <w:bottom w:val="single" w:sz="8" w:space="0" w:color="6C6C6C"/>
            </w:tcBorders>
          </w:tcPr>
          <w:p>
            <w:pPr>
              <w:pStyle w:val="TableParagraph"/>
              <w:spacing w:before="147"/>
              <w:rPr>
                <w:rFonts w:ascii="Arial"/>
                <w:i/>
                <w:sz w:val="16"/>
              </w:rPr>
            </w:pPr>
          </w:p>
          <w:p>
            <w:pPr>
              <w:pStyle w:val="TableParagraph"/>
              <w:spacing w:line="183" w:lineRule="exact"/>
              <w:ind w:right="99"/>
              <w:jc w:val="right"/>
              <w:rPr>
                <w:rFonts w:ascii="Arial"/>
                <w:i/>
                <w:sz w:val="16"/>
              </w:rPr>
            </w:pPr>
            <w:r>
              <w:rPr>
                <w:rFonts w:ascii="Arial"/>
                <w:i/>
                <w:color w:val="484848"/>
                <w:spacing w:val="-2"/>
                <w:sz w:val="16"/>
              </w:rPr>
              <w:t>Total</w:t>
            </w:r>
          </w:p>
        </w:tc>
        <w:tc>
          <w:tcPr>
            <w:tcW w:w="1140" w:type="dxa"/>
            <w:tcBorders>
              <w:top w:val="single" w:sz="8" w:space="0" w:color="6C6C6C"/>
              <w:bottom w:val="single" w:sz="8" w:space="0" w:color="6C6C6C"/>
            </w:tcBorders>
          </w:tcPr>
          <w:p>
            <w:pPr>
              <w:pStyle w:val="TableParagraph"/>
              <w:spacing w:line="208" w:lineRule="auto" w:before="110"/>
              <w:ind w:left="408" w:right="93" w:firstLine="159"/>
              <w:rPr>
                <w:rFonts w:ascii="Arial"/>
                <w:i/>
                <w:sz w:val="16"/>
              </w:rPr>
            </w:pPr>
            <w:r>
              <w:rPr>
                <w:rFonts w:ascii="Arial"/>
                <w:i/>
                <w:color w:val="484848"/>
                <w:sz w:val="16"/>
              </w:rPr>
              <w:t>Due</w:t>
            </w:r>
            <w:r>
              <w:rPr>
                <w:rFonts w:ascii="Arial"/>
                <w:i/>
                <w:color w:val="484848"/>
                <w:spacing w:val="-12"/>
                <w:sz w:val="16"/>
              </w:rPr>
              <w:t> </w:t>
            </w:r>
            <w:r>
              <w:rPr>
                <w:rFonts w:ascii="Arial"/>
                <w:i/>
                <w:color w:val="484848"/>
                <w:sz w:val="16"/>
              </w:rPr>
              <w:t>to </w:t>
            </w:r>
            <w:r>
              <w:rPr>
                <w:rFonts w:ascii="Arial"/>
                <w:i/>
                <w:color w:val="484848"/>
                <w:spacing w:val="-2"/>
                <w:sz w:val="16"/>
              </w:rPr>
              <w:t>Activities</w:t>
            </w:r>
          </w:p>
        </w:tc>
        <w:tc>
          <w:tcPr>
            <w:tcW w:w="1091" w:type="dxa"/>
            <w:tcBorders>
              <w:top w:val="single" w:sz="8" w:space="0" w:color="6C6C6C"/>
              <w:bottom w:val="single" w:sz="8" w:space="0" w:color="6C6C6C"/>
            </w:tcBorders>
          </w:tcPr>
          <w:p>
            <w:pPr>
              <w:pStyle w:val="TableParagraph"/>
              <w:spacing w:line="208" w:lineRule="auto" w:before="31"/>
              <w:ind w:left="239" w:right="50" w:firstLine="328"/>
              <w:jc w:val="both"/>
              <w:rPr>
                <w:rFonts w:ascii="Arial"/>
                <w:i/>
                <w:sz w:val="16"/>
              </w:rPr>
            </w:pPr>
            <w:r>
              <w:rPr>
                <w:rFonts w:ascii="Arial"/>
                <w:i/>
                <w:color w:val="484848"/>
                <w:sz w:val="16"/>
              </w:rPr>
              <w:t>Due</w:t>
            </w:r>
            <w:r>
              <w:rPr>
                <w:rFonts w:ascii="Arial"/>
                <w:i/>
                <w:color w:val="484848"/>
                <w:spacing w:val="-12"/>
                <w:sz w:val="16"/>
              </w:rPr>
              <w:t> </w:t>
            </w:r>
            <w:r>
              <w:rPr>
                <w:rFonts w:ascii="Arial"/>
                <w:i/>
                <w:color w:val="484848"/>
                <w:sz w:val="16"/>
              </w:rPr>
              <w:t>to </w:t>
            </w:r>
            <w:r>
              <w:rPr>
                <w:rFonts w:ascii="Arial"/>
                <w:i/>
                <w:color w:val="484848"/>
                <w:spacing w:val="-2"/>
                <w:sz w:val="16"/>
              </w:rPr>
              <w:t>Translation Adjustment</w:t>
            </w:r>
          </w:p>
        </w:tc>
      </w:tr>
      <w:tr>
        <w:trPr>
          <w:trHeight w:val="229" w:hRule="atLeast"/>
        </w:trPr>
        <w:tc>
          <w:tcPr>
            <w:tcW w:w="3720" w:type="dxa"/>
            <w:tcBorders>
              <w:top w:val="single" w:sz="8" w:space="0" w:color="6C6C6C"/>
            </w:tcBorders>
          </w:tcPr>
          <w:p>
            <w:pPr>
              <w:pStyle w:val="TableParagraph"/>
              <w:spacing w:before="16"/>
              <w:ind w:left="172"/>
              <w:rPr>
                <w:sz w:val="16"/>
              </w:rPr>
            </w:pPr>
            <w:r>
              <w:rPr>
                <w:sz w:val="16"/>
              </w:rPr>
              <w:t>Usable</w:t>
            </w:r>
            <w:r>
              <w:rPr>
                <w:spacing w:val="-6"/>
                <w:sz w:val="16"/>
              </w:rPr>
              <w:t> </w:t>
            </w:r>
            <w:r>
              <w:rPr>
                <w:sz w:val="16"/>
              </w:rPr>
              <w:t>paid-in</w:t>
            </w:r>
            <w:r>
              <w:rPr>
                <w:spacing w:val="-5"/>
                <w:sz w:val="16"/>
              </w:rPr>
              <w:t> </w:t>
            </w:r>
            <w:r>
              <w:rPr>
                <w:spacing w:val="-2"/>
                <w:sz w:val="16"/>
              </w:rPr>
              <w:t>capital</w:t>
            </w:r>
          </w:p>
        </w:tc>
        <w:tc>
          <w:tcPr>
            <w:tcW w:w="1110" w:type="dxa"/>
            <w:tcBorders>
              <w:top w:val="single" w:sz="8" w:space="0" w:color="6C6C6C"/>
            </w:tcBorders>
          </w:tcPr>
          <w:p>
            <w:pPr>
              <w:pStyle w:val="TableParagraph"/>
              <w:tabs>
                <w:tab w:pos="380" w:val="left" w:leader="none"/>
              </w:tabs>
              <w:spacing w:before="12"/>
              <w:ind w:left="52"/>
              <w:rPr>
                <w:sz w:val="16"/>
              </w:rPr>
            </w:pPr>
            <w:r>
              <w:rPr>
                <w:spacing w:val="-10"/>
                <w:sz w:val="16"/>
              </w:rPr>
              <w:t>$</w:t>
            </w:r>
            <w:r>
              <w:rPr>
                <w:sz w:val="16"/>
              </w:rPr>
              <w:tab/>
            </w:r>
            <w:r>
              <w:rPr>
                <w:spacing w:val="-2"/>
                <w:sz w:val="16"/>
              </w:rPr>
              <w:t>20,669</w:t>
            </w:r>
          </w:p>
        </w:tc>
        <w:tc>
          <w:tcPr>
            <w:tcW w:w="1170" w:type="dxa"/>
            <w:tcBorders>
              <w:top w:val="single" w:sz="8" w:space="0" w:color="6C6C6C"/>
            </w:tcBorders>
          </w:tcPr>
          <w:p>
            <w:pPr>
              <w:pStyle w:val="TableParagraph"/>
              <w:tabs>
                <w:tab w:pos="410" w:val="left" w:leader="none"/>
              </w:tabs>
              <w:spacing w:before="12"/>
              <w:ind w:left="82"/>
              <w:rPr>
                <w:sz w:val="16"/>
              </w:rPr>
            </w:pPr>
            <w:r>
              <w:rPr>
                <w:spacing w:val="-10"/>
                <w:sz w:val="16"/>
              </w:rPr>
              <w:t>$</w:t>
            </w:r>
            <w:r>
              <w:rPr>
                <w:sz w:val="16"/>
              </w:rPr>
              <w:tab/>
            </w:r>
            <w:r>
              <w:rPr>
                <w:spacing w:val="-2"/>
                <w:sz w:val="16"/>
              </w:rPr>
              <w:t>19,352</w:t>
            </w:r>
          </w:p>
        </w:tc>
        <w:tc>
          <w:tcPr>
            <w:tcW w:w="1129" w:type="dxa"/>
            <w:tcBorders>
              <w:top w:val="single" w:sz="8" w:space="0" w:color="6C6C6C"/>
            </w:tcBorders>
          </w:tcPr>
          <w:p>
            <w:pPr>
              <w:pStyle w:val="TableParagraph"/>
              <w:tabs>
                <w:tab w:pos="559" w:val="left" w:leader="none"/>
              </w:tabs>
              <w:spacing w:before="12"/>
              <w:ind w:right="115"/>
              <w:jc w:val="right"/>
              <w:rPr>
                <w:sz w:val="16"/>
              </w:rPr>
            </w:pPr>
            <w:r>
              <w:rPr>
                <w:spacing w:val="-10"/>
                <w:sz w:val="16"/>
              </w:rPr>
              <w:t>$</w:t>
            </w:r>
            <w:r>
              <w:rPr>
                <w:sz w:val="16"/>
              </w:rPr>
              <w:tab/>
            </w:r>
            <w:r>
              <w:rPr>
                <w:spacing w:val="-2"/>
                <w:sz w:val="16"/>
              </w:rPr>
              <w:t>1,317</w:t>
            </w:r>
          </w:p>
        </w:tc>
        <w:tc>
          <w:tcPr>
            <w:tcW w:w="1140" w:type="dxa"/>
            <w:tcBorders>
              <w:top w:val="single" w:sz="8" w:space="0" w:color="6C6C6C"/>
            </w:tcBorders>
          </w:tcPr>
          <w:p>
            <w:pPr>
              <w:pStyle w:val="TableParagraph"/>
              <w:tabs>
                <w:tab w:pos="559" w:val="left" w:leader="none"/>
              </w:tabs>
              <w:spacing w:before="12"/>
              <w:ind w:right="115"/>
              <w:jc w:val="right"/>
              <w:rPr>
                <w:sz w:val="16"/>
              </w:rPr>
            </w:pPr>
            <w:r>
              <w:rPr>
                <w:spacing w:val="-10"/>
                <w:sz w:val="16"/>
              </w:rPr>
              <w:t>$</w:t>
            </w:r>
            <w:r>
              <w:rPr>
                <w:sz w:val="16"/>
              </w:rPr>
              <w:tab/>
            </w:r>
            <w:r>
              <w:rPr>
                <w:spacing w:val="-2"/>
                <w:sz w:val="16"/>
              </w:rPr>
              <w:t>1,325</w:t>
            </w:r>
          </w:p>
        </w:tc>
        <w:tc>
          <w:tcPr>
            <w:tcW w:w="1091" w:type="dxa"/>
            <w:tcBorders>
              <w:top w:val="single" w:sz="8" w:space="0" w:color="6C6C6C"/>
            </w:tcBorders>
          </w:tcPr>
          <w:p>
            <w:pPr>
              <w:pStyle w:val="TableParagraph"/>
              <w:tabs>
                <w:tab w:pos="817" w:val="left" w:leader="none"/>
              </w:tabs>
              <w:spacing w:before="12"/>
              <w:ind w:right="12"/>
              <w:jc w:val="right"/>
              <w:rPr>
                <w:sz w:val="16"/>
              </w:rPr>
            </w:pPr>
            <w:r>
              <w:rPr>
                <w:spacing w:val="-10"/>
                <w:sz w:val="16"/>
              </w:rPr>
              <w:t>$</w:t>
            </w:r>
            <w:r>
              <w:rPr>
                <w:sz w:val="16"/>
              </w:rPr>
              <w:tab/>
            </w:r>
            <w:r>
              <w:rPr>
                <w:spacing w:val="-5"/>
                <w:sz w:val="16"/>
              </w:rPr>
              <w:t>(8)</w:t>
            </w:r>
          </w:p>
        </w:tc>
      </w:tr>
      <w:tr>
        <w:trPr>
          <w:trHeight w:val="231" w:hRule="atLeast"/>
        </w:trPr>
        <w:tc>
          <w:tcPr>
            <w:tcW w:w="3720" w:type="dxa"/>
          </w:tcPr>
          <w:p>
            <w:pPr>
              <w:pStyle w:val="TableParagraph"/>
              <w:spacing w:before="23"/>
              <w:ind w:left="172"/>
              <w:rPr>
                <w:sz w:val="16"/>
              </w:rPr>
            </w:pPr>
            <w:r>
              <w:rPr>
                <w:sz w:val="16"/>
              </w:rPr>
              <w:t>Special</w:t>
            </w:r>
            <w:r>
              <w:rPr>
                <w:spacing w:val="-6"/>
                <w:sz w:val="16"/>
              </w:rPr>
              <w:t> </w:t>
            </w:r>
            <w:r>
              <w:rPr>
                <w:spacing w:val="-2"/>
                <w:sz w:val="16"/>
              </w:rPr>
              <w:t>reserve</w:t>
            </w:r>
          </w:p>
        </w:tc>
        <w:tc>
          <w:tcPr>
            <w:tcW w:w="1110" w:type="dxa"/>
          </w:tcPr>
          <w:p>
            <w:pPr>
              <w:pStyle w:val="TableParagraph"/>
              <w:spacing w:before="23"/>
              <w:ind w:left="603"/>
              <w:rPr>
                <w:sz w:val="16"/>
              </w:rPr>
            </w:pPr>
            <w:r>
              <w:rPr>
                <w:spacing w:val="-5"/>
                <w:sz w:val="16"/>
              </w:rPr>
              <w:t>293</w:t>
            </w:r>
          </w:p>
        </w:tc>
        <w:tc>
          <w:tcPr>
            <w:tcW w:w="1170" w:type="dxa"/>
          </w:tcPr>
          <w:p>
            <w:pPr>
              <w:pStyle w:val="TableParagraph"/>
              <w:spacing w:before="23"/>
              <w:ind w:left="633"/>
              <w:rPr>
                <w:sz w:val="16"/>
              </w:rPr>
            </w:pPr>
            <w:r>
              <w:rPr>
                <w:spacing w:val="-5"/>
                <w:sz w:val="16"/>
              </w:rPr>
              <w:t>293</w:t>
            </w:r>
          </w:p>
        </w:tc>
        <w:tc>
          <w:tcPr>
            <w:tcW w:w="1129" w:type="dxa"/>
          </w:tcPr>
          <w:p>
            <w:pPr>
              <w:pStyle w:val="TableParagraph"/>
              <w:spacing w:before="23"/>
              <w:ind w:right="115"/>
              <w:jc w:val="right"/>
              <w:rPr>
                <w:sz w:val="16"/>
              </w:rPr>
            </w:pPr>
            <w:r>
              <w:rPr>
                <w:sz w:val="16"/>
              </w:rPr>
              <w:t>—</w:t>
            </w:r>
          </w:p>
        </w:tc>
        <w:tc>
          <w:tcPr>
            <w:tcW w:w="1140" w:type="dxa"/>
          </w:tcPr>
          <w:p>
            <w:pPr>
              <w:pStyle w:val="TableParagraph"/>
              <w:spacing w:line="184" w:lineRule="exact" w:before="27"/>
              <w:ind w:right="115"/>
              <w:jc w:val="right"/>
              <w:rPr>
                <w:sz w:val="16"/>
              </w:rPr>
            </w:pPr>
            <w:r>
              <w:rPr>
                <w:sz w:val="16"/>
              </w:rPr>
              <w:t>—</w:t>
            </w:r>
          </w:p>
        </w:tc>
        <w:tc>
          <w:tcPr>
            <w:tcW w:w="1091" w:type="dxa"/>
          </w:tcPr>
          <w:p>
            <w:pPr>
              <w:pStyle w:val="TableParagraph"/>
              <w:spacing w:line="184" w:lineRule="exact" w:before="27"/>
              <w:ind w:right="66"/>
              <w:jc w:val="right"/>
              <w:rPr>
                <w:sz w:val="16"/>
              </w:rPr>
            </w:pPr>
            <w:r>
              <w:rPr>
                <w:sz w:val="16"/>
              </w:rPr>
              <w:t>—</w:t>
            </w:r>
          </w:p>
        </w:tc>
      </w:tr>
      <w:tr>
        <w:trPr>
          <w:trHeight w:val="238" w:hRule="atLeast"/>
        </w:trPr>
        <w:tc>
          <w:tcPr>
            <w:tcW w:w="3720" w:type="dxa"/>
          </w:tcPr>
          <w:p>
            <w:pPr>
              <w:pStyle w:val="TableParagraph"/>
              <w:spacing w:line="182" w:lineRule="exact" w:before="36"/>
              <w:ind w:left="172"/>
              <w:rPr>
                <w:sz w:val="16"/>
              </w:rPr>
            </w:pPr>
            <w:r>
              <w:rPr>
                <w:sz w:val="16"/>
              </w:rPr>
              <w:t>General</w:t>
            </w:r>
            <w:r>
              <w:rPr>
                <w:spacing w:val="-4"/>
                <w:sz w:val="16"/>
              </w:rPr>
              <w:t> </w:t>
            </w:r>
            <w:r>
              <w:rPr>
                <w:sz w:val="16"/>
              </w:rPr>
              <w:t>reserve</w:t>
            </w:r>
            <w:r>
              <w:rPr>
                <w:spacing w:val="-3"/>
                <w:sz w:val="16"/>
              </w:rPr>
              <w:t> </w:t>
            </w:r>
            <w:r>
              <w:rPr>
                <w:spacing w:val="-10"/>
                <w:sz w:val="16"/>
                <w:vertAlign w:val="superscript"/>
              </w:rPr>
              <w:t>a</w:t>
            </w:r>
          </w:p>
        </w:tc>
        <w:tc>
          <w:tcPr>
            <w:tcW w:w="1110" w:type="dxa"/>
          </w:tcPr>
          <w:p>
            <w:pPr>
              <w:pStyle w:val="TableParagraph"/>
              <w:spacing w:before="32"/>
              <w:ind w:left="381"/>
              <w:rPr>
                <w:sz w:val="16"/>
              </w:rPr>
            </w:pPr>
            <w:r>
              <w:rPr>
                <w:spacing w:val="-2"/>
                <w:sz w:val="16"/>
              </w:rPr>
              <w:t>32,974</w:t>
            </w:r>
          </w:p>
        </w:tc>
        <w:tc>
          <w:tcPr>
            <w:tcW w:w="1170" w:type="dxa"/>
          </w:tcPr>
          <w:p>
            <w:pPr>
              <w:pStyle w:val="TableParagraph"/>
              <w:spacing w:before="32"/>
              <w:ind w:left="411"/>
              <w:rPr>
                <w:sz w:val="16"/>
              </w:rPr>
            </w:pPr>
            <w:r>
              <w:rPr>
                <w:spacing w:val="-2"/>
                <w:sz w:val="16"/>
              </w:rPr>
              <w:t>32,053</w:t>
            </w:r>
          </w:p>
        </w:tc>
        <w:tc>
          <w:tcPr>
            <w:tcW w:w="1129" w:type="dxa"/>
          </w:tcPr>
          <w:p>
            <w:pPr>
              <w:pStyle w:val="TableParagraph"/>
              <w:spacing w:before="32"/>
              <w:ind w:right="115"/>
              <w:jc w:val="right"/>
              <w:rPr>
                <w:sz w:val="16"/>
              </w:rPr>
            </w:pPr>
            <w:r>
              <w:rPr>
                <w:spacing w:val="-5"/>
                <w:sz w:val="16"/>
              </w:rPr>
              <w:t>921</w:t>
            </w:r>
          </w:p>
        </w:tc>
        <w:tc>
          <w:tcPr>
            <w:tcW w:w="1140" w:type="dxa"/>
          </w:tcPr>
          <w:p>
            <w:pPr>
              <w:pStyle w:val="TableParagraph"/>
              <w:spacing w:before="32"/>
              <w:ind w:right="115"/>
              <w:jc w:val="right"/>
              <w:rPr>
                <w:sz w:val="16"/>
              </w:rPr>
            </w:pPr>
            <w:r>
              <w:rPr>
                <w:spacing w:val="-5"/>
                <w:sz w:val="16"/>
              </w:rPr>
              <w:t>921</w:t>
            </w:r>
          </w:p>
        </w:tc>
        <w:tc>
          <w:tcPr>
            <w:tcW w:w="1091" w:type="dxa"/>
          </w:tcPr>
          <w:p>
            <w:pPr>
              <w:pStyle w:val="TableParagraph"/>
              <w:spacing w:before="32"/>
              <w:ind w:right="66"/>
              <w:jc w:val="right"/>
              <w:rPr>
                <w:sz w:val="16"/>
              </w:rPr>
            </w:pPr>
            <w:r>
              <w:rPr>
                <w:sz w:val="16"/>
              </w:rPr>
              <w:t>—</w:t>
            </w:r>
          </w:p>
        </w:tc>
      </w:tr>
      <w:tr>
        <w:trPr>
          <w:trHeight w:val="248" w:hRule="atLeast"/>
        </w:trPr>
        <w:tc>
          <w:tcPr>
            <w:tcW w:w="3720" w:type="dxa"/>
          </w:tcPr>
          <w:p>
            <w:pPr>
              <w:pStyle w:val="TableParagraph"/>
              <w:spacing w:before="34"/>
              <w:ind w:left="172"/>
              <w:rPr>
                <w:sz w:val="16"/>
              </w:rPr>
            </w:pPr>
            <w:r>
              <w:rPr>
                <w:sz w:val="16"/>
              </w:rPr>
              <w:t>Cumulative</w:t>
            </w:r>
            <w:r>
              <w:rPr>
                <w:spacing w:val="-8"/>
                <w:sz w:val="16"/>
              </w:rPr>
              <w:t> </w:t>
            </w:r>
            <w:r>
              <w:rPr>
                <w:sz w:val="16"/>
              </w:rPr>
              <w:t>translation</w:t>
            </w:r>
            <w:r>
              <w:rPr>
                <w:spacing w:val="-7"/>
                <w:sz w:val="16"/>
              </w:rPr>
              <w:t> </w:t>
            </w:r>
            <w:r>
              <w:rPr>
                <w:sz w:val="16"/>
              </w:rPr>
              <w:t>adjustment</w:t>
            </w:r>
            <w:r>
              <w:rPr>
                <w:spacing w:val="-7"/>
                <w:sz w:val="16"/>
              </w:rPr>
              <w:t> </w:t>
            </w:r>
            <w:r>
              <w:rPr>
                <w:spacing w:val="-10"/>
                <w:sz w:val="16"/>
                <w:vertAlign w:val="superscript"/>
              </w:rPr>
              <w:t>b</w:t>
            </w:r>
          </w:p>
        </w:tc>
        <w:tc>
          <w:tcPr>
            <w:tcW w:w="1110" w:type="dxa"/>
          </w:tcPr>
          <w:p>
            <w:pPr>
              <w:pStyle w:val="TableParagraph"/>
              <w:spacing w:before="34"/>
              <w:ind w:left="416"/>
              <w:rPr>
                <w:sz w:val="16"/>
              </w:rPr>
            </w:pPr>
            <w:r>
              <w:rPr>
                <w:spacing w:val="-2"/>
                <w:sz w:val="16"/>
              </w:rPr>
              <w:t>(1,004)</w:t>
            </w:r>
          </w:p>
        </w:tc>
        <w:tc>
          <w:tcPr>
            <w:tcW w:w="1170" w:type="dxa"/>
          </w:tcPr>
          <w:p>
            <w:pPr>
              <w:pStyle w:val="TableParagraph"/>
              <w:spacing w:before="34"/>
              <w:ind w:left="446"/>
              <w:rPr>
                <w:sz w:val="16"/>
              </w:rPr>
            </w:pPr>
            <w:r>
              <w:rPr>
                <w:spacing w:val="-2"/>
                <w:sz w:val="16"/>
              </w:rPr>
              <w:t>(1,342)</w:t>
            </w:r>
          </w:p>
        </w:tc>
        <w:tc>
          <w:tcPr>
            <w:tcW w:w="1129" w:type="dxa"/>
          </w:tcPr>
          <w:p>
            <w:pPr>
              <w:pStyle w:val="TableParagraph"/>
              <w:spacing w:before="34"/>
              <w:ind w:right="115"/>
              <w:jc w:val="right"/>
              <w:rPr>
                <w:sz w:val="16"/>
              </w:rPr>
            </w:pPr>
            <w:r>
              <w:rPr>
                <w:spacing w:val="-5"/>
                <w:sz w:val="16"/>
              </w:rPr>
              <w:t>338</w:t>
            </w:r>
          </w:p>
        </w:tc>
        <w:tc>
          <w:tcPr>
            <w:tcW w:w="1140" w:type="dxa"/>
          </w:tcPr>
          <w:p>
            <w:pPr>
              <w:pStyle w:val="TableParagraph"/>
              <w:spacing w:before="34"/>
              <w:ind w:right="115"/>
              <w:jc w:val="right"/>
              <w:rPr>
                <w:sz w:val="16"/>
              </w:rPr>
            </w:pPr>
            <w:r>
              <w:rPr>
                <w:sz w:val="16"/>
              </w:rPr>
              <w:t>—</w:t>
            </w:r>
          </w:p>
        </w:tc>
        <w:tc>
          <w:tcPr>
            <w:tcW w:w="1091" w:type="dxa"/>
          </w:tcPr>
          <w:p>
            <w:pPr>
              <w:pStyle w:val="TableParagraph"/>
              <w:spacing w:before="34"/>
              <w:ind w:right="66"/>
              <w:jc w:val="right"/>
              <w:rPr>
                <w:sz w:val="16"/>
              </w:rPr>
            </w:pPr>
            <w:r>
              <w:rPr>
                <w:spacing w:val="-5"/>
                <w:sz w:val="16"/>
              </w:rPr>
              <w:t>338</w:t>
            </w:r>
          </w:p>
        </w:tc>
      </w:tr>
      <w:tr>
        <w:trPr>
          <w:trHeight w:val="232" w:hRule="atLeast"/>
        </w:trPr>
        <w:tc>
          <w:tcPr>
            <w:tcW w:w="3720" w:type="dxa"/>
          </w:tcPr>
          <w:p>
            <w:pPr>
              <w:pStyle w:val="TableParagraph"/>
              <w:spacing w:line="184" w:lineRule="exact" w:before="29"/>
              <w:ind w:left="172"/>
              <w:rPr>
                <w:sz w:val="16"/>
              </w:rPr>
            </w:pPr>
            <w:r>
              <w:rPr>
                <w:sz w:val="16"/>
              </w:rPr>
              <w:t>Other</w:t>
            </w:r>
            <w:r>
              <w:rPr>
                <w:spacing w:val="-4"/>
                <w:sz w:val="16"/>
              </w:rPr>
              <w:t> </w:t>
            </w:r>
            <w:r>
              <w:rPr>
                <w:spacing w:val="-2"/>
                <w:sz w:val="16"/>
              </w:rPr>
              <w:t>adjustments</w:t>
            </w:r>
          </w:p>
        </w:tc>
        <w:tc>
          <w:tcPr>
            <w:tcW w:w="1110" w:type="dxa"/>
            <w:tcBorders>
              <w:bottom w:val="single" w:sz="8" w:space="0" w:color="6C6C6C"/>
            </w:tcBorders>
          </w:tcPr>
          <w:p>
            <w:pPr>
              <w:pStyle w:val="TableParagraph"/>
              <w:spacing w:before="25"/>
              <w:ind w:left="603"/>
              <w:rPr>
                <w:sz w:val="16"/>
              </w:rPr>
            </w:pPr>
            <w:r>
              <w:rPr>
                <w:spacing w:val="-5"/>
                <w:sz w:val="16"/>
              </w:rPr>
              <w:t>173</w:t>
            </w:r>
          </w:p>
        </w:tc>
        <w:tc>
          <w:tcPr>
            <w:tcW w:w="1170" w:type="dxa"/>
            <w:tcBorders>
              <w:bottom w:val="single" w:sz="8" w:space="0" w:color="6C6C6C"/>
            </w:tcBorders>
          </w:tcPr>
          <w:p>
            <w:pPr>
              <w:pStyle w:val="TableParagraph"/>
              <w:spacing w:before="25"/>
              <w:ind w:left="633"/>
              <w:rPr>
                <w:sz w:val="16"/>
              </w:rPr>
            </w:pPr>
            <w:r>
              <w:rPr>
                <w:spacing w:val="-5"/>
                <w:sz w:val="16"/>
              </w:rPr>
              <w:t>125</w:t>
            </w:r>
          </w:p>
        </w:tc>
        <w:tc>
          <w:tcPr>
            <w:tcW w:w="1129" w:type="dxa"/>
            <w:tcBorders>
              <w:bottom w:val="single" w:sz="8" w:space="0" w:color="6C6C6C"/>
            </w:tcBorders>
          </w:tcPr>
          <w:p>
            <w:pPr>
              <w:pStyle w:val="TableParagraph"/>
              <w:spacing w:before="25"/>
              <w:ind w:right="115"/>
              <w:jc w:val="right"/>
              <w:rPr>
                <w:sz w:val="16"/>
              </w:rPr>
            </w:pPr>
            <w:r>
              <w:rPr>
                <w:spacing w:val="-5"/>
                <w:sz w:val="16"/>
              </w:rPr>
              <w:t>48</w:t>
            </w:r>
          </w:p>
        </w:tc>
        <w:tc>
          <w:tcPr>
            <w:tcW w:w="1140" w:type="dxa"/>
            <w:tcBorders>
              <w:bottom w:val="single" w:sz="8" w:space="0" w:color="6C6C6C"/>
            </w:tcBorders>
          </w:tcPr>
          <w:p>
            <w:pPr>
              <w:pStyle w:val="TableParagraph"/>
              <w:spacing w:before="25"/>
              <w:ind w:right="115"/>
              <w:jc w:val="right"/>
              <w:rPr>
                <w:sz w:val="16"/>
              </w:rPr>
            </w:pPr>
            <w:r>
              <w:rPr>
                <w:sz w:val="16"/>
              </w:rPr>
              <w:t>—</w:t>
            </w:r>
          </w:p>
        </w:tc>
        <w:tc>
          <w:tcPr>
            <w:tcW w:w="1091" w:type="dxa"/>
            <w:tcBorders>
              <w:bottom w:val="single" w:sz="8" w:space="0" w:color="6C6C6C"/>
            </w:tcBorders>
          </w:tcPr>
          <w:p>
            <w:pPr>
              <w:pStyle w:val="TableParagraph"/>
              <w:spacing w:before="25"/>
              <w:ind w:right="66"/>
              <w:jc w:val="right"/>
              <w:rPr>
                <w:sz w:val="16"/>
              </w:rPr>
            </w:pPr>
            <w:r>
              <w:rPr>
                <w:spacing w:val="-5"/>
                <w:sz w:val="16"/>
              </w:rPr>
              <w:t>48</w:t>
            </w:r>
          </w:p>
        </w:tc>
      </w:tr>
      <w:tr>
        <w:trPr>
          <w:trHeight w:val="200" w:hRule="atLeast"/>
        </w:trPr>
        <w:tc>
          <w:tcPr>
            <w:tcW w:w="3720" w:type="dxa"/>
          </w:tcPr>
          <w:p>
            <w:pPr>
              <w:pStyle w:val="TableParagraph"/>
              <w:spacing w:line="167" w:lineRule="exact" w:before="12"/>
              <w:ind w:left="52"/>
              <w:rPr>
                <w:rFonts w:ascii="Arial"/>
                <w:b/>
                <w:sz w:val="16"/>
              </w:rPr>
            </w:pPr>
            <w:r>
              <w:rPr>
                <w:rFonts w:ascii="Arial"/>
                <w:b/>
                <w:sz w:val="16"/>
              </w:rPr>
              <w:t>Equity</w:t>
            </w:r>
            <w:r>
              <w:rPr>
                <w:rFonts w:ascii="Arial"/>
                <w:b/>
                <w:spacing w:val="-4"/>
                <w:sz w:val="16"/>
              </w:rPr>
              <w:t> </w:t>
            </w:r>
            <w:r>
              <w:rPr>
                <w:rFonts w:ascii="Arial"/>
                <w:b/>
                <w:sz w:val="16"/>
              </w:rPr>
              <w:t>(usable</w:t>
            </w:r>
            <w:r>
              <w:rPr>
                <w:rFonts w:ascii="Arial"/>
                <w:b/>
                <w:spacing w:val="-4"/>
                <w:sz w:val="16"/>
              </w:rPr>
              <w:t> </w:t>
            </w:r>
            <w:r>
              <w:rPr>
                <w:rFonts w:ascii="Arial"/>
                <w:b/>
                <w:spacing w:val="-2"/>
                <w:sz w:val="16"/>
              </w:rPr>
              <w:t>equity)</w:t>
            </w:r>
          </w:p>
        </w:tc>
        <w:tc>
          <w:tcPr>
            <w:tcW w:w="1110" w:type="dxa"/>
            <w:tcBorders>
              <w:top w:val="single" w:sz="8" w:space="0" w:color="6C6C6C"/>
              <w:bottom w:val="double" w:sz="8" w:space="0" w:color="6C6C6C"/>
            </w:tcBorders>
          </w:tcPr>
          <w:p>
            <w:pPr>
              <w:pStyle w:val="TableParagraph"/>
              <w:tabs>
                <w:tab w:pos="380" w:val="left" w:leader="none"/>
              </w:tabs>
              <w:spacing w:line="167" w:lineRule="exact" w:before="12"/>
              <w:ind w:left="52"/>
              <w:rPr>
                <w:rFonts w:ascii="Arial"/>
                <w:b/>
                <w:sz w:val="16"/>
              </w:rPr>
            </w:pPr>
            <w:r>
              <w:rPr>
                <w:rFonts w:ascii="Arial"/>
                <w:b/>
                <w:spacing w:val="-10"/>
                <w:sz w:val="16"/>
              </w:rPr>
              <w:t>$</w:t>
            </w:r>
            <w:r>
              <w:rPr>
                <w:rFonts w:ascii="Arial"/>
                <w:b/>
                <w:sz w:val="16"/>
              </w:rPr>
              <w:tab/>
            </w:r>
            <w:r>
              <w:rPr>
                <w:rFonts w:ascii="Arial"/>
                <w:b/>
                <w:spacing w:val="-2"/>
                <w:sz w:val="16"/>
              </w:rPr>
              <w:t>53,105</w:t>
            </w:r>
          </w:p>
        </w:tc>
        <w:tc>
          <w:tcPr>
            <w:tcW w:w="1170" w:type="dxa"/>
            <w:tcBorders>
              <w:top w:val="single" w:sz="8" w:space="0" w:color="6C6C6C"/>
              <w:bottom w:val="double" w:sz="8" w:space="0" w:color="6C6C6C"/>
            </w:tcBorders>
          </w:tcPr>
          <w:p>
            <w:pPr>
              <w:pStyle w:val="TableParagraph"/>
              <w:tabs>
                <w:tab w:pos="410" w:val="left" w:leader="none"/>
              </w:tabs>
              <w:spacing w:line="167" w:lineRule="exact" w:before="12"/>
              <w:ind w:left="82"/>
              <w:rPr>
                <w:rFonts w:ascii="Arial"/>
                <w:b/>
                <w:sz w:val="16"/>
              </w:rPr>
            </w:pPr>
            <w:r>
              <w:rPr>
                <w:rFonts w:ascii="Arial"/>
                <w:b/>
                <w:spacing w:val="-10"/>
                <w:sz w:val="16"/>
              </w:rPr>
              <w:t>$</w:t>
            </w:r>
            <w:r>
              <w:rPr>
                <w:rFonts w:ascii="Arial"/>
                <w:b/>
                <w:sz w:val="16"/>
              </w:rPr>
              <w:tab/>
            </w:r>
            <w:r>
              <w:rPr>
                <w:rFonts w:ascii="Arial"/>
                <w:b/>
                <w:spacing w:val="-2"/>
                <w:sz w:val="16"/>
              </w:rPr>
              <w:t>50,481</w:t>
            </w:r>
          </w:p>
        </w:tc>
        <w:tc>
          <w:tcPr>
            <w:tcW w:w="1129" w:type="dxa"/>
            <w:tcBorders>
              <w:top w:val="single" w:sz="8" w:space="0" w:color="6C6C6C"/>
              <w:bottom w:val="double" w:sz="8" w:space="0" w:color="6C6C6C"/>
            </w:tcBorders>
          </w:tcPr>
          <w:p>
            <w:pPr>
              <w:pStyle w:val="TableParagraph"/>
              <w:tabs>
                <w:tab w:pos="559"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2,624</w:t>
            </w:r>
          </w:p>
        </w:tc>
        <w:tc>
          <w:tcPr>
            <w:tcW w:w="1140" w:type="dxa"/>
            <w:tcBorders>
              <w:top w:val="single" w:sz="8" w:space="0" w:color="6C6C6C"/>
              <w:bottom w:val="double" w:sz="8" w:space="0" w:color="6C6C6C"/>
            </w:tcBorders>
          </w:tcPr>
          <w:p>
            <w:pPr>
              <w:pStyle w:val="TableParagraph"/>
              <w:tabs>
                <w:tab w:pos="559"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2,246</w:t>
            </w:r>
          </w:p>
        </w:tc>
        <w:tc>
          <w:tcPr>
            <w:tcW w:w="1091" w:type="dxa"/>
            <w:tcBorders>
              <w:top w:val="single" w:sz="8" w:space="0" w:color="6C6C6C"/>
              <w:bottom w:val="double" w:sz="8" w:space="0" w:color="6C6C6C"/>
            </w:tcBorders>
          </w:tcPr>
          <w:p>
            <w:pPr>
              <w:pStyle w:val="TableParagraph"/>
              <w:tabs>
                <w:tab w:pos="692" w:val="left" w:leader="none"/>
              </w:tabs>
              <w:spacing w:line="167" w:lineRule="exact" w:before="12"/>
              <w:ind w:right="66"/>
              <w:jc w:val="right"/>
              <w:rPr>
                <w:rFonts w:ascii="Arial"/>
                <w:b/>
                <w:sz w:val="16"/>
              </w:rPr>
            </w:pPr>
            <w:r>
              <w:rPr>
                <w:rFonts w:ascii="Arial"/>
                <w:b/>
                <w:spacing w:val="-10"/>
                <w:sz w:val="16"/>
              </w:rPr>
              <w:t>$</w:t>
            </w:r>
            <w:r>
              <w:rPr>
                <w:rFonts w:ascii="Arial"/>
                <w:b/>
                <w:sz w:val="16"/>
              </w:rPr>
              <w:tab/>
            </w:r>
            <w:r>
              <w:rPr>
                <w:rFonts w:ascii="Arial"/>
                <w:b/>
                <w:spacing w:val="-5"/>
                <w:sz w:val="16"/>
              </w:rPr>
              <w:t>378</w:t>
            </w:r>
          </w:p>
        </w:tc>
      </w:tr>
    </w:tbl>
    <w:p>
      <w:pPr>
        <w:pStyle w:val="BodyText"/>
        <w:spacing w:before="6"/>
        <w:rPr>
          <w:rFonts w:ascii="Arial"/>
          <w:i/>
          <w:sz w:val="1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0"/>
        <w:gridCol w:w="1110"/>
        <w:gridCol w:w="1140"/>
        <w:gridCol w:w="1159"/>
        <w:gridCol w:w="1140"/>
        <w:gridCol w:w="1091"/>
      </w:tblGrid>
      <w:tr>
        <w:trPr>
          <w:trHeight w:val="227" w:hRule="atLeast"/>
        </w:trPr>
        <w:tc>
          <w:tcPr>
            <w:tcW w:w="3720" w:type="dxa"/>
            <w:tcBorders>
              <w:top w:val="single" w:sz="8" w:space="0" w:color="6C6C6C"/>
            </w:tcBorders>
          </w:tcPr>
          <w:p>
            <w:pPr>
              <w:pStyle w:val="TableParagraph"/>
              <w:spacing w:before="12"/>
              <w:ind w:left="216"/>
              <w:rPr>
                <w:sz w:val="16"/>
              </w:rPr>
            </w:pPr>
            <w:r>
              <w:rPr>
                <w:sz w:val="16"/>
              </w:rPr>
              <w:t>Loans</w:t>
            </w:r>
            <w:r>
              <w:rPr>
                <w:spacing w:val="-6"/>
                <w:sz w:val="16"/>
              </w:rPr>
              <w:t> </w:t>
            </w:r>
            <w:r>
              <w:rPr>
                <w:spacing w:val="-2"/>
                <w:sz w:val="16"/>
              </w:rPr>
              <w:t>exposure</w:t>
            </w:r>
          </w:p>
        </w:tc>
        <w:tc>
          <w:tcPr>
            <w:tcW w:w="1110" w:type="dxa"/>
            <w:tcBorders>
              <w:top w:val="single" w:sz="8" w:space="0" w:color="6C6C6C"/>
            </w:tcBorders>
          </w:tcPr>
          <w:p>
            <w:pPr>
              <w:pStyle w:val="TableParagraph"/>
              <w:spacing w:before="12"/>
              <w:ind w:left="52"/>
              <w:rPr>
                <w:sz w:val="16"/>
              </w:rPr>
            </w:pPr>
            <w:r>
              <w:rPr>
                <w:sz w:val="16"/>
              </w:rPr>
              <w:t>$</w:t>
            </w:r>
            <w:r>
              <w:rPr>
                <w:spacing w:val="30"/>
                <w:sz w:val="16"/>
              </w:rPr>
              <w:t>  </w:t>
            </w:r>
            <w:r>
              <w:rPr>
                <w:spacing w:val="-2"/>
                <w:sz w:val="16"/>
              </w:rPr>
              <w:t>243,896</w:t>
            </w:r>
          </w:p>
        </w:tc>
        <w:tc>
          <w:tcPr>
            <w:tcW w:w="1140" w:type="dxa"/>
            <w:tcBorders>
              <w:top w:val="single" w:sz="8" w:space="0" w:color="6C6C6C"/>
            </w:tcBorders>
          </w:tcPr>
          <w:p>
            <w:pPr>
              <w:pStyle w:val="TableParagraph"/>
              <w:spacing w:before="12"/>
              <w:ind w:right="238"/>
              <w:jc w:val="right"/>
              <w:rPr>
                <w:sz w:val="16"/>
              </w:rPr>
            </w:pPr>
            <w:r>
              <w:rPr>
                <w:sz w:val="16"/>
              </w:rPr>
              <w:t>$</w:t>
            </w:r>
            <w:r>
              <w:rPr>
                <w:spacing w:val="30"/>
                <w:sz w:val="16"/>
              </w:rPr>
              <w:t>  </w:t>
            </w:r>
            <w:r>
              <w:rPr>
                <w:spacing w:val="-2"/>
                <w:sz w:val="16"/>
              </w:rPr>
              <w:t>229,344</w:t>
            </w:r>
          </w:p>
        </w:tc>
        <w:tc>
          <w:tcPr>
            <w:tcW w:w="1159" w:type="dxa"/>
            <w:tcBorders>
              <w:top w:val="single" w:sz="8" w:space="0" w:color="6C6C6C"/>
            </w:tcBorders>
          </w:tcPr>
          <w:p>
            <w:pPr>
              <w:pStyle w:val="TableParagraph"/>
              <w:tabs>
                <w:tab w:pos="470" w:val="left" w:leader="none"/>
              </w:tabs>
              <w:spacing w:before="12"/>
              <w:ind w:right="115"/>
              <w:jc w:val="right"/>
              <w:rPr>
                <w:sz w:val="16"/>
              </w:rPr>
            </w:pPr>
            <w:r>
              <w:rPr>
                <w:spacing w:val="-10"/>
                <w:sz w:val="16"/>
              </w:rPr>
              <w:t>$</w:t>
            </w:r>
            <w:r>
              <w:rPr>
                <w:sz w:val="16"/>
              </w:rPr>
              <w:tab/>
            </w:r>
            <w:r>
              <w:rPr>
                <w:spacing w:val="-2"/>
                <w:sz w:val="16"/>
              </w:rPr>
              <w:t>14,552</w:t>
            </w:r>
          </w:p>
        </w:tc>
        <w:tc>
          <w:tcPr>
            <w:tcW w:w="1140" w:type="dxa"/>
            <w:tcBorders>
              <w:top w:val="single" w:sz="8" w:space="0" w:color="6C6C6C"/>
            </w:tcBorders>
          </w:tcPr>
          <w:p>
            <w:pPr>
              <w:pStyle w:val="TableParagraph"/>
              <w:tabs>
                <w:tab w:pos="534" w:val="left" w:leader="none"/>
              </w:tabs>
              <w:spacing w:before="12"/>
              <w:ind w:left="63"/>
              <w:rPr>
                <w:sz w:val="16"/>
              </w:rPr>
            </w:pPr>
            <w:r>
              <w:rPr>
                <w:spacing w:val="-10"/>
                <w:sz w:val="16"/>
              </w:rPr>
              <w:t>$</w:t>
            </w:r>
            <w:r>
              <w:rPr>
                <w:sz w:val="16"/>
              </w:rPr>
              <w:tab/>
            </w:r>
            <w:r>
              <w:rPr>
                <w:spacing w:val="-2"/>
                <w:sz w:val="16"/>
              </w:rPr>
              <w:t>12,736</w:t>
            </w:r>
          </w:p>
        </w:tc>
        <w:tc>
          <w:tcPr>
            <w:tcW w:w="1091" w:type="dxa"/>
            <w:tcBorders>
              <w:top w:val="single" w:sz="8" w:space="0" w:color="6C6C6C"/>
            </w:tcBorders>
          </w:tcPr>
          <w:p>
            <w:pPr>
              <w:pStyle w:val="TableParagraph"/>
              <w:tabs>
                <w:tab w:pos="559" w:val="left" w:leader="none"/>
              </w:tabs>
              <w:spacing w:before="12"/>
              <w:ind w:right="66"/>
              <w:jc w:val="right"/>
              <w:rPr>
                <w:sz w:val="16"/>
              </w:rPr>
            </w:pPr>
            <w:r>
              <w:rPr>
                <w:spacing w:val="-10"/>
                <w:sz w:val="16"/>
              </w:rPr>
              <w:t>$</w:t>
            </w:r>
            <w:r>
              <w:rPr>
                <w:sz w:val="16"/>
              </w:rPr>
              <w:tab/>
            </w:r>
            <w:r>
              <w:rPr>
                <w:spacing w:val="-2"/>
                <w:sz w:val="16"/>
              </w:rPr>
              <w:t>1,816</w:t>
            </w:r>
          </w:p>
        </w:tc>
      </w:tr>
      <w:tr>
        <w:trPr>
          <w:trHeight w:val="240" w:hRule="atLeast"/>
        </w:trPr>
        <w:tc>
          <w:tcPr>
            <w:tcW w:w="3720" w:type="dxa"/>
          </w:tcPr>
          <w:p>
            <w:pPr>
              <w:pStyle w:val="TableParagraph"/>
              <w:spacing w:before="25"/>
              <w:ind w:left="216"/>
              <w:rPr>
                <w:sz w:val="16"/>
              </w:rPr>
            </w:pPr>
            <w:r>
              <w:rPr>
                <w:sz w:val="16"/>
              </w:rPr>
              <w:t>Present</w:t>
            </w:r>
            <w:r>
              <w:rPr>
                <w:spacing w:val="-3"/>
                <w:sz w:val="16"/>
              </w:rPr>
              <w:t> </w:t>
            </w:r>
            <w:r>
              <w:rPr>
                <w:sz w:val="16"/>
              </w:rPr>
              <w:t>value</w:t>
            </w:r>
            <w:r>
              <w:rPr>
                <w:spacing w:val="-3"/>
                <w:sz w:val="16"/>
              </w:rPr>
              <w:t> </w:t>
            </w:r>
            <w:r>
              <w:rPr>
                <w:sz w:val="16"/>
              </w:rPr>
              <w:t>of</w:t>
            </w:r>
            <w:r>
              <w:rPr>
                <w:spacing w:val="-2"/>
                <w:sz w:val="16"/>
              </w:rPr>
              <w:t> guarantees</w:t>
            </w:r>
          </w:p>
        </w:tc>
        <w:tc>
          <w:tcPr>
            <w:tcW w:w="1110" w:type="dxa"/>
          </w:tcPr>
          <w:p>
            <w:pPr>
              <w:pStyle w:val="TableParagraph"/>
              <w:spacing w:before="25"/>
              <w:ind w:left="469"/>
              <w:rPr>
                <w:sz w:val="16"/>
              </w:rPr>
            </w:pPr>
            <w:r>
              <w:rPr>
                <w:spacing w:val="-2"/>
                <w:sz w:val="16"/>
              </w:rPr>
              <w:t>2,840</w:t>
            </w:r>
          </w:p>
        </w:tc>
        <w:tc>
          <w:tcPr>
            <w:tcW w:w="1140" w:type="dxa"/>
          </w:tcPr>
          <w:p>
            <w:pPr>
              <w:pStyle w:val="TableParagraph"/>
              <w:spacing w:before="25"/>
              <w:ind w:right="238"/>
              <w:jc w:val="right"/>
              <w:rPr>
                <w:sz w:val="16"/>
              </w:rPr>
            </w:pPr>
            <w:r>
              <w:rPr>
                <w:spacing w:val="-2"/>
                <w:sz w:val="16"/>
              </w:rPr>
              <w:t>2,703</w:t>
            </w:r>
          </w:p>
        </w:tc>
        <w:tc>
          <w:tcPr>
            <w:tcW w:w="1159" w:type="dxa"/>
          </w:tcPr>
          <w:p>
            <w:pPr>
              <w:pStyle w:val="TableParagraph"/>
              <w:spacing w:before="25"/>
              <w:ind w:right="115"/>
              <w:jc w:val="right"/>
              <w:rPr>
                <w:sz w:val="16"/>
              </w:rPr>
            </w:pPr>
            <w:r>
              <w:rPr>
                <w:spacing w:val="-5"/>
                <w:sz w:val="16"/>
              </w:rPr>
              <w:t>137</w:t>
            </w:r>
          </w:p>
        </w:tc>
        <w:tc>
          <w:tcPr>
            <w:tcW w:w="1140" w:type="dxa"/>
          </w:tcPr>
          <w:p>
            <w:pPr>
              <w:pStyle w:val="TableParagraph"/>
              <w:spacing w:before="25"/>
              <w:ind w:right="115"/>
              <w:jc w:val="right"/>
              <w:rPr>
                <w:sz w:val="16"/>
              </w:rPr>
            </w:pPr>
            <w:r>
              <w:rPr>
                <w:spacing w:val="-5"/>
                <w:sz w:val="16"/>
              </w:rPr>
              <w:t>71</w:t>
            </w:r>
          </w:p>
        </w:tc>
        <w:tc>
          <w:tcPr>
            <w:tcW w:w="1091" w:type="dxa"/>
          </w:tcPr>
          <w:p>
            <w:pPr>
              <w:pStyle w:val="TableParagraph"/>
              <w:spacing w:before="25"/>
              <w:ind w:right="66"/>
              <w:jc w:val="right"/>
              <w:rPr>
                <w:sz w:val="16"/>
              </w:rPr>
            </w:pPr>
            <w:r>
              <w:rPr>
                <w:spacing w:val="-5"/>
                <w:sz w:val="16"/>
              </w:rPr>
              <w:t>66</w:t>
            </w:r>
          </w:p>
        </w:tc>
      </w:tr>
      <w:tr>
        <w:trPr>
          <w:trHeight w:val="229" w:hRule="atLeast"/>
        </w:trPr>
        <w:tc>
          <w:tcPr>
            <w:tcW w:w="3720" w:type="dxa"/>
          </w:tcPr>
          <w:p>
            <w:pPr>
              <w:pStyle w:val="TableParagraph"/>
              <w:spacing w:line="184" w:lineRule="exact" w:before="25"/>
              <w:ind w:left="216"/>
              <w:rPr>
                <w:sz w:val="16"/>
              </w:rPr>
            </w:pPr>
            <w:r>
              <w:rPr>
                <w:sz w:val="16"/>
              </w:rPr>
              <w:t>Effective</w:t>
            </w:r>
            <w:r>
              <w:rPr>
                <w:spacing w:val="-6"/>
                <w:sz w:val="16"/>
              </w:rPr>
              <w:t> </w:t>
            </w:r>
            <w:r>
              <w:rPr>
                <w:sz w:val="16"/>
              </w:rPr>
              <w:t>but</w:t>
            </w:r>
            <w:r>
              <w:rPr>
                <w:spacing w:val="-5"/>
                <w:sz w:val="16"/>
              </w:rPr>
              <w:t> </w:t>
            </w:r>
            <w:r>
              <w:rPr>
                <w:sz w:val="16"/>
              </w:rPr>
              <w:t>undisbursed</w:t>
            </w:r>
            <w:r>
              <w:rPr>
                <w:spacing w:val="-5"/>
                <w:sz w:val="16"/>
              </w:rPr>
              <w:t> </w:t>
            </w:r>
            <w:r>
              <w:rPr>
                <w:spacing w:val="-4"/>
                <w:sz w:val="16"/>
              </w:rPr>
              <w:t>DDOs</w:t>
            </w:r>
          </w:p>
        </w:tc>
        <w:tc>
          <w:tcPr>
            <w:tcW w:w="1110" w:type="dxa"/>
          </w:tcPr>
          <w:p>
            <w:pPr>
              <w:pStyle w:val="TableParagraph"/>
              <w:spacing w:line="184" w:lineRule="exact" w:before="25"/>
              <w:ind w:right="238"/>
              <w:jc w:val="right"/>
              <w:rPr>
                <w:sz w:val="16"/>
              </w:rPr>
            </w:pPr>
            <w:r>
              <w:rPr>
                <w:spacing w:val="-5"/>
                <w:sz w:val="16"/>
              </w:rPr>
              <w:t>100</w:t>
            </w:r>
          </w:p>
        </w:tc>
        <w:tc>
          <w:tcPr>
            <w:tcW w:w="1140" w:type="dxa"/>
          </w:tcPr>
          <w:p>
            <w:pPr>
              <w:pStyle w:val="TableParagraph"/>
              <w:spacing w:line="184" w:lineRule="exact" w:before="25"/>
              <w:ind w:right="238"/>
              <w:jc w:val="right"/>
              <w:rPr>
                <w:sz w:val="16"/>
              </w:rPr>
            </w:pPr>
            <w:r>
              <w:rPr>
                <w:spacing w:val="-5"/>
                <w:sz w:val="16"/>
              </w:rPr>
              <w:t>598</w:t>
            </w:r>
          </w:p>
        </w:tc>
        <w:tc>
          <w:tcPr>
            <w:tcW w:w="1159" w:type="dxa"/>
          </w:tcPr>
          <w:p>
            <w:pPr>
              <w:pStyle w:val="TableParagraph"/>
              <w:spacing w:line="184" w:lineRule="exact" w:before="25"/>
              <w:ind w:right="61"/>
              <w:jc w:val="right"/>
              <w:rPr>
                <w:sz w:val="16"/>
              </w:rPr>
            </w:pPr>
            <w:r>
              <w:rPr>
                <w:spacing w:val="-2"/>
                <w:sz w:val="16"/>
              </w:rPr>
              <w:t>(498)</w:t>
            </w:r>
          </w:p>
        </w:tc>
        <w:tc>
          <w:tcPr>
            <w:tcW w:w="1140" w:type="dxa"/>
          </w:tcPr>
          <w:p>
            <w:pPr>
              <w:pStyle w:val="TableParagraph"/>
              <w:spacing w:line="184" w:lineRule="exact" w:before="25"/>
              <w:ind w:right="61"/>
              <w:jc w:val="right"/>
              <w:rPr>
                <w:sz w:val="16"/>
              </w:rPr>
            </w:pPr>
            <w:r>
              <w:rPr>
                <w:spacing w:val="-2"/>
                <w:sz w:val="16"/>
              </w:rPr>
              <w:t>(498)</w:t>
            </w:r>
          </w:p>
        </w:tc>
        <w:tc>
          <w:tcPr>
            <w:tcW w:w="1091" w:type="dxa"/>
          </w:tcPr>
          <w:p>
            <w:pPr>
              <w:pStyle w:val="TableParagraph"/>
              <w:spacing w:line="184" w:lineRule="exact" w:before="25"/>
              <w:ind w:right="66"/>
              <w:jc w:val="right"/>
              <w:rPr>
                <w:sz w:val="16"/>
              </w:rPr>
            </w:pPr>
            <w:r>
              <w:rPr>
                <w:sz w:val="16"/>
              </w:rPr>
              <w:t>—</w:t>
            </w:r>
          </w:p>
        </w:tc>
      </w:tr>
      <w:tr>
        <w:trPr>
          <w:trHeight w:val="250" w:hRule="atLeast"/>
        </w:trPr>
        <w:tc>
          <w:tcPr>
            <w:tcW w:w="3720" w:type="dxa"/>
          </w:tcPr>
          <w:p>
            <w:pPr>
              <w:pStyle w:val="TableParagraph"/>
              <w:spacing w:before="36"/>
              <w:ind w:left="216"/>
              <w:rPr>
                <w:sz w:val="16"/>
              </w:rPr>
            </w:pPr>
            <w:r>
              <w:rPr>
                <w:sz w:val="16"/>
              </w:rPr>
              <w:t>Relevant</w:t>
            </w:r>
            <w:r>
              <w:rPr>
                <w:spacing w:val="-7"/>
                <w:sz w:val="16"/>
              </w:rPr>
              <w:t> </w:t>
            </w:r>
            <w:r>
              <w:rPr>
                <w:sz w:val="16"/>
              </w:rPr>
              <w:t>accumulated</w:t>
            </w:r>
            <w:r>
              <w:rPr>
                <w:spacing w:val="-7"/>
                <w:sz w:val="16"/>
              </w:rPr>
              <w:t> </w:t>
            </w:r>
            <w:r>
              <w:rPr>
                <w:sz w:val="16"/>
              </w:rPr>
              <w:t>provisions</w:t>
            </w:r>
            <w:r>
              <w:rPr>
                <w:spacing w:val="-7"/>
                <w:sz w:val="16"/>
              </w:rPr>
              <w:t> </w:t>
            </w:r>
            <w:r>
              <w:rPr>
                <w:spacing w:val="-12"/>
                <w:sz w:val="16"/>
                <w:vertAlign w:val="superscript"/>
              </w:rPr>
              <w:t>c</w:t>
            </w:r>
          </w:p>
        </w:tc>
        <w:tc>
          <w:tcPr>
            <w:tcW w:w="1110" w:type="dxa"/>
          </w:tcPr>
          <w:p>
            <w:pPr>
              <w:pStyle w:val="TableParagraph"/>
              <w:spacing w:before="36"/>
              <w:ind w:right="186"/>
              <w:jc w:val="right"/>
              <w:rPr>
                <w:sz w:val="16"/>
              </w:rPr>
            </w:pPr>
            <w:r>
              <w:rPr>
                <w:spacing w:val="-2"/>
                <w:sz w:val="16"/>
              </w:rPr>
              <w:t>(2,853)</w:t>
            </w:r>
          </w:p>
        </w:tc>
        <w:tc>
          <w:tcPr>
            <w:tcW w:w="1140" w:type="dxa"/>
          </w:tcPr>
          <w:p>
            <w:pPr>
              <w:pStyle w:val="TableParagraph"/>
              <w:spacing w:before="36"/>
              <w:ind w:right="186"/>
              <w:jc w:val="right"/>
              <w:rPr>
                <w:sz w:val="16"/>
              </w:rPr>
            </w:pPr>
            <w:r>
              <w:rPr>
                <w:spacing w:val="-2"/>
                <w:sz w:val="16"/>
              </w:rPr>
              <w:t>(2,142)</w:t>
            </w:r>
          </w:p>
        </w:tc>
        <w:tc>
          <w:tcPr>
            <w:tcW w:w="1159" w:type="dxa"/>
          </w:tcPr>
          <w:p>
            <w:pPr>
              <w:pStyle w:val="TableParagraph"/>
              <w:spacing w:before="36"/>
              <w:ind w:right="61"/>
              <w:jc w:val="right"/>
              <w:rPr>
                <w:sz w:val="16"/>
              </w:rPr>
            </w:pPr>
            <w:r>
              <w:rPr>
                <w:spacing w:val="-2"/>
                <w:sz w:val="16"/>
              </w:rPr>
              <w:t>(711)</w:t>
            </w:r>
          </w:p>
        </w:tc>
        <w:tc>
          <w:tcPr>
            <w:tcW w:w="1140" w:type="dxa"/>
          </w:tcPr>
          <w:p>
            <w:pPr>
              <w:pStyle w:val="TableParagraph"/>
              <w:spacing w:before="36"/>
              <w:ind w:right="61"/>
              <w:jc w:val="right"/>
              <w:rPr>
                <w:sz w:val="16"/>
              </w:rPr>
            </w:pPr>
            <w:r>
              <w:rPr>
                <w:spacing w:val="-2"/>
                <w:sz w:val="16"/>
              </w:rPr>
              <w:t>(683)</w:t>
            </w:r>
          </w:p>
        </w:tc>
        <w:tc>
          <w:tcPr>
            <w:tcW w:w="1091" w:type="dxa"/>
          </w:tcPr>
          <w:p>
            <w:pPr>
              <w:pStyle w:val="TableParagraph"/>
              <w:spacing w:before="36"/>
              <w:ind w:right="12"/>
              <w:jc w:val="right"/>
              <w:rPr>
                <w:sz w:val="16"/>
              </w:rPr>
            </w:pPr>
            <w:r>
              <w:rPr>
                <w:spacing w:val="-4"/>
                <w:sz w:val="16"/>
              </w:rPr>
              <w:t>(28)</w:t>
            </w:r>
          </w:p>
        </w:tc>
      </w:tr>
      <w:tr>
        <w:trPr>
          <w:trHeight w:val="229" w:hRule="atLeast"/>
        </w:trPr>
        <w:tc>
          <w:tcPr>
            <w:tcW w:w="3720" w:type="dxa"/>
          </w:tcPr>
          <w:p>
            <w:pPr>
              <w:pStyle w:val="TableParagraph"/>
              <w:spacing w:line="184" w:lineRule="exact" w:before="25"/>
              <w:ind w:left="216"/>
              <w:rPr>
                <w:sz w:val="16"/>
              </w:rPr>
            </w:pPr>
            <w:r>
              <w:rPr>
                <w:sz w:val="16"/>
              </w:rPr>
              <w:t>Deferred</w:t>
            </w:r>
            <w:r>
              <w:rPr>
                <w:spacing w:val="-7"/>
                <w:sz w:val="16"/>
              </w:rPr>
              <w:t> </w:t>
            </w:r>
            <w:r>
              <w:rPr>
                <w:sz w:val="16"/>
              </w:rPr>
              <w:t>loan</w:t>
            </w:r>
            <w:r>
              <w:rPr>
                <w:spacing w:val="-4"/>
                <w:sz w:val="16"/>
              </w:rPr>
              <w:t> </w:t>
            </w:r>
            <w:r>
              <w:rPr>
                <w:spacing w:val="-2"/>
                <w:sz w:val="16"/>
              </w:rPr>
              <w:t>income</w:t>
            </w:r>
          </w:p>
        </w:tc>
        <w:tc>
          <w:tcPr>
            <w:tcW w:w="1110" w:type="dxa"/>
          </w:tcPr>
          <w:p>
            <w:pPr>
              <w:pStyle w:val="TableParagraph"/>
              <w:spacing w:line="184" w:lineRule="exact" w:before="25"/>
              <w:ind w:right="185"/>
              <w:jc w:val="right"/>
              <w:rPr>
                <w:sz w:val="16"/>
              </w:rPr>
            </w:pPr>
            <w:r>
              <w:rPr>
                <w:spacing w:val="-2"/>
                <w:sz w:val="16"/>
              </w:rPr>
              <w:t>(520)</w:t>
            </w:r>
          </w:p>
        </w:tc>
        <w:tc>
          <w:tcPr>
            <w:tcW w:w="1140" w:type="dxa"/>
          </w:tcPr>
          <w:p>
            <w:pPr>
              <w:pStyle w:val="TableParagraph"/>
              <w:spacing w:line="184" w:lineRule="exact" w:before="25"/>
              <w:ind w:right="185"/>
              <w:jc w:val="right"/>
              <w:rPr>
                <w:sz w:val="16"/>
              </w:rPr>
            </w:pPr>
            <w:r>
              <w:rPr>
                <w:spacing w:val="-2"/>
                <w:sz w:val="16"/>
              </w:rPr>
              <w:t>(510)</w:t>
            </w:r>
          </w:p>
        </w:tc>
        <w:tc>
          <w:tcPr>
            <w:tcW w:w="1159" w:type="dxa"/>
          </w:tcPr>
          <w:p>
            <w:pPr>
              <w:pStyle w:val="TableParagraph"/>
              <w:spacing w:line="184" w:lineRule="exact" w:before="25"/>
              <w:ind w:right="61"/>
              <w:jc w:val="right"/>
              <w:rPr>
                <w:sz w:val="16"/>
              </w:rPr>
            </w:pPr>
            <w:r>
              <w:rPr>
                <w:spacing w:val="-4"/>
                <w:sz w:val="16"/>
              </w:rPr>
              <w:t>(10)</w:t>
            </w:r>
          </w:p>
        </w:tc>
        <w:tc>
          <w:tcPr>
            <w:tcW w:w="1140" w:type="dxa"/>
          </w:tcPr>
          <w:p>
            <w:pPr>
              <w:pStyle w:val="TableParagraph"/>
              <w:spacing w:line="184" w:lineRule="exact" w:before="25"/>
              <w:ind w:right="61"/>
              <w:jc w:val="right"/>
              <w:rPr>
                <w:sz w:val="16"/>
              </w:rPr>
            </w:pPr>
            <w:r>
              <w:rPr>
                <w:spacing w:val="-5"/>
                <w:sz w:val="16"/>
              </w:rPr>
              <w:t>(6)</w:t>
            </w:r>
          </w:p>
        </w:tc>
        <w:tc>
          <w:tcPr>
            <w:tcW w:w="1091" w:type="dxa"/>
          </w:tcPr>
          <w:p>
            <w:pPr>
              <w:pStyle w:val="TableParagraph"/>
              <w:spacing w:line="184" w:lineRule="exact" w:before="25"/>
              <w:ind w:right="12"/>
              <w:jc w:val="right"/>
              <w:rPr>
                <w:sz w:val="16"/>
              </w:rPr>
            </w:pPr>
            <w:r>
              <w:rPr>
                <w:spacing w:val="-5"/>
                <w:sz w:val="16"/>
              </w:rPr>
              <w:t>(4)</w:t>
            </w:r>
          </w:p>
        </w:tc>
      </w:tr>
      <w:tr>
        <w:trPr>
          <w:trHeight w:val="243" w:hRule="atLeast"/>
        </w:trPr>
        <w:tc>
          <w:tcPr>
            <w:tcW w:w="3720" w:type="dxa"/>
          </w:tcPr>
          <w:p>
            <w:pPr>
              <w:pStyle w:val="TableParagraph"/>
              <w:spacing w:before="36"/>
              <w:ind w:left="232"/>
              <w:rPr>
                <w:sz w:val="16"/>
              </w:rPr>
            </w:pPr>
            <w:r>
              <w:rPr>
                <w:sz w:val="16"/>
              </w:rPr>
              <w:t>Other</w:t>
            </w:r>
            <w:r>
              <w:rPr>
                <w:spacing w:val="-3"/>
                <w:sz w:val="16"/>
              </w:rPr>
              <w:t> </w:t>
            </w:r>
            <w:r>
              <w:rPr>
                <w:sz w:val="16"/>
              </w:rPr>
              <w:t>exposures</w:t>
            </w:r>
            <w:r>
              <w:rPr>
                <w:spacing w:val="-2"/>
                <w:sz w:val="16"/>
              </w:rPr>
              <w:t> </w:t>
            </w:r>
            <w:r>
              <w:rPr>
                <w:sz w:val="16"/>
              </w:rPr>
              <w:t>and</w:t>
            </w:r>
            <w:r>
              <w:rPr>
                <w:spacing w:val="-3"/>
                <w:sz w:val="16"/>
              </w:rPr>
              <w:t> </w:t>
            </w:r>
            <w:r>
              <w:rPr>
                <w:sz w:val="16"/>
              </w:rPr>
              <w:t>adjustments</w:t>
            </w:r>
            <w:r>
              <w:rPr>
                <w:spacing w:val="-4"/>
                <w:sz w:val="16"/>
              </w:rPr>
              <w:t> </w:t>
            </w:r>
            <w:r>
              <w:rPr>
                <w:sz w:val="16"/>
                <w:vertAlign w:val="superscript"/>
              </w:rPr>
              <w:t>d</w:t>
            </w:r>
            <w:r>
              <w:rPr>
                <w:sz w:val="16"/>
                <w:vertAlign w:val="baseline"/>
              </w:rPr>
              <w:t>,</w:t>
            </w:r>
            <w:r>
              <w:rPr>
                <w:spacing w:val="-2"/>
                <w:sz w:val="16"/>
                <w:vertAlign w:val="baseline"/>
              </w:rPr>
              <w:t> </w:t>
            </w:r>
            <w:r>
              <w:rPr>
                <w:spacing w:val="-5"/>
                <w:sz w:val="16"/>
                <w:vertAlign w:val="baseline"/>
              </w:rPr>
              <w:t>net</w:t>
            </w:r>
          </w:p>
        </w:tc>
        <w:tc>
          <w:tcPr>
            <w:tcW w:w="1110" w:type="dxa"/>
            <w:tcBorders>
              <w:bottom w:val="single" w:sz="8" w:space="0" w:color="6C6C6C"/>
            </w:tcBorders>
          </w:tcPr>
          <w:p>
            <w:pPr>
              <w:pStyle w:val="TableParagraph"/>
              <w:spacing w:before="36"/>
              <w:ind w:right="186"/>
              <w:jc w:val="right"/>
              <w:rPr>
                <w:sz w:val="16"/>
              </w:rPr>
            </w:pPr>
            <w:r>
              <w:rPr>
                <w:spacing w:val="-2"/>
                <w:sz w:val="16"/>
              </w:rPr>
              <w:t>(1,557)</w:t>
            </w:r>
          </w:p>
        </w:tc>
        <w:tc>
          <w:tcPr>
            <w:tcW w:w="1140" w:type="dxa"/>
            <w:tcBorders>
              <w:bottom w:val="single" w:sz="8" w:space="0" w:color="6C6C6C"/>
            </w:tcBorders>
          </w:tcPr>
          <w:p>
            <w:pPr>
              <w:pStyle w:val="TableParagraph"/>
              <w:spacing w:before="36"/>
              <w:ind w:right="185"/>
              <w:jc w:val="right"/>
              <w:rPr>
                <w:sz w:val="16"/>
              </w:rPr>
            </w:pPr>
            <w:r>
              <w:rPr>
                <w:spacing w:val="-2"/>
                <w:sz w:val="16"/>
              </w:rPr>
              <w:t>(743)</w:t>
            </w:r>
          </w:p>
        </w:tc>
        <w:tc>
          <w:tcPr>
            <w:tcW w:w="1159" w:type="dxa"/>
            <w:tcBorders>
              <w:bottom w:val="single" w:sz="8" w:space="0" w:color="6C6C6C"/>
            </w:tcBorders>
          </w:tcPr>
          <w:p>
            <w:pPr>
              <w:pStyle w:val="TableParagraph"/>
              <w:spacing w:before="36"/>
              <w:ind w:right="61"/>
              <w:jc w:val="right"/>
              <w:rPr>
                <w:sz w:val="16"/>
              </w:rPr>
            </w:pPr>
            <w:r>
              <w:rPr>
                <w:spacing w:val="-2"/>
                <w:sz w:val="16"/>
              </w:rPr>
              <w:t>(814)</w:t>
            </w:r>
          </w:p>
        </w:tc>
        <w:tc>
          <w:tcPr>
            <w:tcW w:w="1140" w:type="dxa"/>
            <w:tcBorders>
              <w:bottom w:val="single" w:sz="8" w:space="0" w:color="6C6C6C"/>
            </w:tcBorders>
          </w:tcPr>
          <w:p>
            <w:pPr>
              <w:pStyle w:val="TableParagraph"/>
              <w:spacing w:before="36"/>
              <w:ind w:right="61"/>
              <w:jc w:val="right"/>
              <w:rPr>
                <w:sz w:val="16"/>
              </w:rPr>
            </w:pPr>
            <w:r>
              <w:rPr>
                <w:spacing w:val="-2"/>
                <w:sz w:val="16"/>
              </w:rPr>
              <w:t>(808)</w:t>
            </w:r>
          </w:p>
        </w:tc>
        <w:tc>
          <w:tcPr>
            <w:tcW w:w="1091" w:type="dxa"/>
            <w:tcBorders>
              <w:bottom w:val="single" w:sz="8" w:space="0" w:color="6C6C6C"/>
            </w:tcBorders>
          </w:tcPr>
          <w:p>
            <w:pPr>
              <w:pStyle w:val="TableParagraph"/>
              <w:spacing w:before="36"/>
              <w:ind w:right="12"/>
              <w:jc w:val="right"/>
              <w:rPr>
                <w:sz w:val="16"/>
              </w:rPr>
            </w:pPr>
            <w:r>
              <w:rPr>
                <w:spacing w:val="-5"/>
                <w:sz w:val="16"/>
              </w:rPr>
              <w:t>(6)</w:t>
            </w:r>
          </w:p>
        </w:tc>
      </w:tr>
      <w:tr>
        <w:trPr>
          <w:trHeight w:val="200" w:hRule="atLeast"/>
        </w:trPr>
        <w:tc>
          <w:tcPr>
            <w:tcW w:w="3720" w:type="dxa"/>
          </w:tcPr>
          <w:p>
            <w:pPr>
              <w:pStyle w:val="TableParagraph"/>
              <w:spacing w:line="167" w:lineRule="exact" w:before="12"/>
              <w:ind w:left="52"/>
              <w:rPr>
                <w:rFonts w:ascii="Arial"/>
                <w:b/>
                <w:sz w:val="16"/>
              </w:rPr>
            </w:pPr>
            <w:r>
              <w:rPr>
                <w:rFonts w:ascii="Arial"/>
                <w:b/>
                <w:sz w:val="16"/>
              </w:rPr>
              <w:t>Loans</w:t>
            </w:r>
            <w:r>
              <w:rPr>
                <w:rFonts w:ascii="Arial"/>
                <w:b/>
                <w:spacing w:val="-4"/>
                <w:sz w:val="16"/>
              </w:rPr>
              <w:t> </w:t>
            </w:r>
            <w:r>
              <w:rPr>
                <w:rFonts w:ascii="Arial"/>
                <w:b/>
                <w:sz w:val="16"/>
              </w:rPr>
              <w:t>(total</w:t>
            </w:r>
            <w:r>
              <w:rPr>
                <w:rFonts w:ascii="Arial"/>
                <w:b/>
                <w:spacing w:val="-3"/>
                <w:sz w:val="16"/>
              </w:rPr>
              <w:t> </w:t>
            </w:r>
            <w:r>
              <w:rPr>
                <w:rFonts w:ascii="Arial"/>
                <w:b/>
                <w:spacing w:val="-2"/>
                <w:sz w:val="16"/>
              </w:rPr>
              <w:t>exposure)</w:t>
            </w:r>
          </w:p>
        </w:tc>
        <w:tc>
          <w:tcPr>
            <w:tcW w:w="1110" w:type="dxa"/>
            <w:tcBorders>
              <w:top w:val="single" w:sz="8" w:space="0" w:color="6C6C6C"/>
              <w:bottom w:val="double" w:sz="8" w:space="0" w:color="6C6C6C"/>
            </w:tcBorders>
          </w:tcPr>
          <w:p>
            <w:pPr>
              <w:pStyle w:val="TableParagraph"/>
              <w:spacing w:line="167" w:lineRule="exact" w:before="12"/>
              <w:ind w:left="52"/>
              <w:rPr>
                <w:rFonts w:ascii="Arial"/>
                <w:b/>
                <w:sz w:val="16"/>
              </w:rPr>
            </w:pPr>
            <w:r>
              <w:rPr>
                <w:rFonts w:ascii="Arial"/>
                <w:b/>
                <w:sz w:val="16"/>
              </w:rPr>
              <w:t>$</w:t>
            </w:r>
            <w:r>
              <w:rPr>
                <w:rFonts w:ascii="Arial"/>
                <w:b/>
                <w:spacing w:val="30"/>
                <w:sz w:val="16"/>
              </w:rPr>
              <w:t>  </w:t>
            </w:r>
            <w:r>
              <w:rPr>
                <w:rFonts w:ascii="Arial"/>
                <w:b/>
                <w:spacing w:val="-2"/>
                <w:sz w:val="16"/>
              </w:rPr>
              <w:t>241,906</w:t>
            </w:r>
          </w:p>
        </w:tc>
        <w:tc>
          <w:tcPr>
            <w:tcW w:w="1140" w:type="dxa"/>
            <w:tcBorders>
              <w:top w:val="single" w:sz="8" w:space="0" w:color="6C6C6C"/>
              <w:bottom w:val="double" w:sz="8" w:space="0" w:color="6C6C6C"/>
            </w:tcBorders>
          </w:tcPr>
          <w:p>
            <w:pPr>
              <w:pStyle w:val="TableParagraph"/>
              <w:spacing w:line="167" w:lineRule="exact" w:before="12"/>
              <w:ind w:right="238"/>
              <w:jc w:val="right"/>
              <w:rPr>
                <w:rFonts w:ascii="Arial"/>
                <w:b/>
                <w:sz w:val="16"/>
              </w:rPr>
            </w:pPr>
            <w:r>
              <w:rPr>
                <w:rFonts w:ascii="Arial"/>
                <w:b/>
                <w:sz w:val="16"/>
              </w:rPr>
              <w:t>$</w:t>
            </w:r>
            <w:r>
              <w:rPr>
                <w:rFonts w:ascii="Arial"/>
                <w:b/>
                <w:spacing w:val="30"/>
                <w:sz w:val="16"/>
              </w:rPr>
              <w:t>  </w:t>
            </w:r>
            <w:r>
              <w:rPr>
                <w:rFonts w:ascii="Arial"/>
                <w:b/>
                <w:spacing w:val="-2"/>
                <w:sz w:val="16"/>
              </w:rPr>
              <w:t>229,250</w:t>
            </w:r>
          </w:p>
        </w:tc>
        <w:tc>
          <w:tcPr>
            <w:tcW w:w="1159" w:type="dxa"/>
            <w:tcBorders>
              <w:top w:val="single" w:sz="8" w:space="0" w:color="6C6C6C"/>
              <w:bottom w:val="double" w:sz="8" w:space="0" w:color="6C6C6C"/>
            </w:tcBorders>
          </w:tcPr>
          <w:p>
            <w:pPr>
              <w:pStyle w:val="TableParagraph"/>
              <w:tabs>
                <w:tab w:pos="470" w:val="left" w:leader="none"/>
              </w:tabs>
              <w:spacing w:line="167" w:lineRule="exact" w:before="12"/>
              <w:ind w:right="115"/>
              <w:jc w:val="right"/>
              <w:rPr>
                <w:rFonts w:ascii="Arial"/>
                <w:b/>
                <w:sz w:val="16"/>
              </w:rPr>
            </w:pPr>
            <w:r>
              <w:rPr>
                <w:rFonts w:ascii="Arial"/>
                <w:b/>
                <w:spacing w:val="-10"/>
                <w:sz w:val="16"/>
              </w:rPr>
              <w:t>$</w:t>
            </w:r>
            <w:r>
              <w:rPr>
                <w:rFonts w:ascii="Arial"/>
                <w:b/>
                <w:sz w:val="16"/>
              </w:rPr>
              <w:tab/>
            </w:r>
            <w:r>
              <w:rPr>
                <w:rFonts w:ascii="Arial"/>
                <w:b/>
                <w:spacing w:val="-2"/>
                <w:sz w:val="16"/>
              </w:rPr>
              <w:t>12,656</w:t>
            </w:r>
          </w:p>
        </w:tc>
        <w:tc>
          <w:tcPr>
            <w:tcW w:w="1140" w:type="dxa"/>
            <w:tcBorders>
              <w:top w:val="single" w:sz="8" w:space="0" w:color="6C6C6C"/>
              <w:bottom w:val="double" w:sz="8" w:space="0" w:color="6C6C6C"/>
            </w:tcBorders>
          </w:tcPr>
          <w:p>
            <w:pPr>
              <w:pStyle w:val="TableParagraph"/>
              <w:tabs>
                <w:tab w:pos="534" w:val="left" w:leader="none"/>
              </w:tabs>
              <w:spacing w:line="167" w:lineRule="exact" w:before="12"/>
              <w:ind w:left="63"/>
              <w:rPr>
                <w:rFonts w:ascii="Arial"/>
                <w:b/>
                <w:sz w:val="16"/>
              </w:rPr>
            </w:pPr>
            <w:r>
              <w:rPr>
                <w:rFonts w:ascii="Arial"/>
                <w:b/>
                <w:spacing w:val="-10"/>
                <w:sz w:val="16"/>
              </w:rPr>
              <w:t>$</w:t>
            </w:r>
            <w:r>
              <w:rPr>
                <w:rFonts w:ascii="Arial"/>
                <w:b/>
                <w:sz w:val="16"/>
              </w:rPr>
              <w:tab/>
            </w:r>
            <w:r>
              <w:rPr>
                <w:rFonts w:ascii="Arial"/>
                <w:b/>
                <w:spacing w:val="-2"/>
                <w:sz w:val="16"/>
              </w:rPr>
              <w:t>10,812</w:t>
            </w:r>
          </w:p>
        </w:tc>
        <w:tc>
          <w:tcPr>
            <w:tcW w:w="1091" w:type="dxa"/>
            <w:tcBorders>
              <w:top w:val="single" w:sz="8" w:space="0" w:color="6C6C6C"/>
              <w:bottom w:val="double" w:sz="8" w:space="0" w:color="6C6C6C"/>
            </w:tcBorders>
          </w:tcPr>
          <w:p>
            <w:pPr>
              <w:pStyle w:val="TableParagraph"/>
              <w:tabs>
                <w:tab w:pos="559" w:val="left" w:leader="none"/>
              </w:tabs>
              <w:spacing w:line="167" w:lineRule="exact" w:before="12"/>
              <w:ind w:right="66"/>
              <w:jc w:val="right"/>
              <w:rPr>
                <w:rFonts w:ascii="Arial"/>
                <w:b/>
                <w:sz w:val="16"/>
              </w:rPr>
            </w:pPr>
            <w:r>
              <w:rPr>
                <w:rFonts w:ascii="Arial"/>
                <w:b/>
                <w:spacing w:val="-10"/>
                <w:sz w:val="16"/>
              </w:rPr>
              <w:t>$</w:t>
            </w:r>
            <w:r>
              <w:rPr>
                <w:rFonts w:ascii="Arial"/>
                <w:b/>
                <w:sz w:val="16"/>
              </w:rPr>
              <w:tab/>
            </w:r>
            <w:r>
              <w:rPr>
                <w:rFonts w:ascii="Arial"/>
                <w:b/>
                <w:spacing w:val="-2"/>
                <w:sz w:val="16"/>
              </w:rPr>
              <w:t>1,844</w:t>
            </w:r>
          </w:p>
        </w:tc>
      </w:tr>
    </w:tbl>
    <w:p>
      <w:pPr>
        <w:pStyle w:val="BodyText"/>
        <w:spacing w:before="5"/>
        <w:rPr>
          <w:rFonts w:ascii="Arial"/>
          <w:i/>
          <w:sz w:val="15"/>
        </w:rPr>
      </w:pPr>
      <w:r>
        <w:rPr>
          <w:rFonts w:ascii="Arial"/>
          <w:i/>
          <w:sz w:val="15"/>
        </w:rPr>
        <mc:AlternateContent>
          <mc:Choice Requires="wps">
            <w:drawing>
              <wp:anchor distT="0" distB="0" distL="0" distR="0" allowOverlap="1" layoutInCell="1" locked="0" behindDoc="1" simplePos="0" relativeHeight="487653888">
                <wp:simplePos x="0" y="0"/>
                <wp:positionH relativeFrom="page">
                  <wp:posOffset>914400</wp:posOffset>
                </wp:positionH>
                <wp:positionV relativeFrom="paragraph">
                  <wp:posOffset>128270</wp:posOffset>
                </wp:positionV>
                <wp:extent cx="594360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10003pt;width:468pt;height:.1pt;mso-position-horizontal-relative:page;mso-position-vertical-relative:paragraph;z-index:-15662592;mso-wrap-distance-left:0;mso-wrap-distance-right:0" id="docshape401" coordorigin="1440,202" coordsize="9360,0" path="m1440,202l10800,202e" filled="false" stroked="true" strokeweight="1pt" strokecolor="#6c6c6c">
                <v:path arrowok="t"/>
                <v:stroke dashstyle="solid"/>
                <w10:wrap type="topAndBottom"/>
              </v:shape>
            </w:pict>
          </mc:Fallback>
        </mc:AlternateContent>
      </w:r>
    </w:p>
    <w:p>
      <w:pPr>
        <w:tabs>
          <w:tab w:pos="4998" w:val="left" w:leader="none"/>
          <w:tab w:pos="6138" w:val="left" w:leader="none"/>
        </w:tabs>
        <w:spacing w:before="80"/>
        <w:ind w:left="772" w:right="0" w:firstLine="0"/>
        <w:jc w:val="left"/>
        <w:rPr>
          <w:rFonts w:ascii="Arial"/>
          <w:b/>
          <w:sz w:val="16"/>
        </w:rPr>
      </w:pPr>
      <w:r>
        <w:rPr>
          <w:rFonts w:ascii="Arial"/>
          <w:b/>
          <w:sz w:val="16"/>
        </w:rPr>
        <w:t>Equity-to-Loans</w:t>
      </w:r>
      <w:r>
        <w:rPr>
          <w:rFonts w:ascii="Arial"/>
          <w:b/>
          <w:spacing w:val="-9"/>
          <w:sz w:val="16"/>
        </w:rPr>
        <w:t> </w:t>
      </w:r>
      <w:r>
        <w:rPr>
          <w:rFonts w:ascii="Arial"/>
          <w:b/>
          <w:spacing w:val="-2"/>
          <w:sz w:val="16"/>
        </w:rPr>
        <w:t>Ratio</w:t>
      </w:r>
      <w:r>
        <w:rPr>
          <w:rFonts w:ascii="Arial"/>
          <w:b/>
          <w:sz w:val="16"/>
        </w:rPr>
        <w:tab/>
        <w:t>22.0</w:t>
      </w:r>
      <w:r>
        <w:rPr>
          <w:rFonts w:ascii="Arial"/>
          <w:b/>
          <w:spacing w:val="6"/>
          <w:sz w:val="16"/>
        </w:rPr>
        <w:t> </w:t>
      </w:r>
      <w:r>
        <w:rPr>
          <w:rFonts w:ascii="Arial"/>
          <w:b/>
          <w:spacing w:val="-10"/>
          <w:sz w:val="16"/>
        </w:rPr>
        <w:t>%</w:t>
      </w:r>
      <w:r>
        <w:rPr>
          <w:rFonts w:ascii="Arial"/>
          <w:b/>
          <w:sz w:val="16"/>
        </w:rPr>
        <w:tab/>
        <w:t>22.0</w:t>
      </w:r>
      <w:r>
        <w:rPr>
          <w:rFonts w:ascii="Arial"/>
          <w:b/>
          <w:spacing w:val="4"/>
          <w:sz w:val="16"/>
        </w:rPr>
        <w:t> </w:t>
      </w:r>
      <w:r>
        <w:rPr>
          <w:rFonts w:ascii="Arial"/>
          <w:b/>
          <w:spacing w:val="-10"/>
          <w:sz w:val="16"/>
        </w:rPr>
        <w:t>%</w:t>
      </w:r>
    </w:p>
    <w:p>
      <w:pPr>
        <w:pStyle w:val="BodyText"/>
        <w:spacing w:before="8"/>
        <w:rPr>
          <w:rFonts w:ascii="Arial"/>
          <w:b/>
          <w:sz w:val="6"/>
        </w:rPr>
      </w:pPr>
      <w:r>
        <w:rPr>
          <w:rFonts w:ascii="Arial"/>
          <w:b/>
          <w:sz w:val="6"/>
        </w:rPr>
        <mc:AlternateContent>
          <mc:Choice Requires="wps">
            <w:drawing>
              <wp:anchor distT="0" distB="0" distL="0" distR="0" allowOverlap="1" layoutInCell="1" locked="0" behindDoc="1" simplePos="0" relativeHeight="487654400">
                <wp:simplePos x="0" y="0"/>
                <wp:positionH relativeFrom="page">
                  <wp:posOffset>914400</wp:posOffset>
                </wp:positionH>
                <wp:positionV relativeFrom="paragraph">
                  <wp:posOffset>64144</wp:posOffset>
                </wp:positionV>
                <wp:extent cx="5943600" cy="1270"/>
                <wp:effectExtent l="0" t="0" r="0" b="0"/>
                <wp:wrapTopAndBottom/>
                <wp:docPr id="481" name="Graphic 481"/>
                <wp:cNvGraphicFramePr>
                  <a:graphicFrameLocks/>
                </wp:cNvGraphicFramePr>
                <a:graphic>
                  <a:graphicData uri="http://schemas.microsoft.com/office/word/2010/wordprocessingShape">
                    <wps:wsp>
                      <wps:cNvPr id="481" name="Graphic 481"/>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5.050781pt;width:468pt;height:.1pt;mso-position-horizontal-relative:page;mso-position-vertical-relative:paragraph;z-index:-15662080;mso-wrap-distance-left:0;mso-wrap-distance-right:0" id="docshape402" coordorigin="1440,101" coordsize="9360,0" path="m1440,101l10800,101e" filled="false" stroked="true" strokeweight="1pt" strokecolor="#6c6c6c">
                <v:path arrowok="t"/>
                <v:stroke dashstyle="solid"/>
                <w10:wrap type="topAndBottom"/>
              </v:shape>
            </w:pict>
          </mc:Fallback>
        </mc:AlternateContent>
      </w:r>
    </w:p>
    <w:p>
      <w:pPr>
        <w:pStyle w:val="ListParagraph"/>
        <w:numPr>
          <w:ilvl w:val="0"/>
          <w:numId w:val="21"/>
        </w:numPr>
        <w:tabs>
          <w:tab w:pos="952" w:val="left" w:leader="none"/>
          <w:tab w:pos="967" w:val="left" w:leader="none"/>
        </w:tabs>
        <w:spacing w:line="232" w:lineRule="auto" w:before="22" w:after="0"/>
        <w:ind w:left="952" w:right="773" w:hanging="180"/>
        <w:jc w:val="left"/>
        <w:rPr>
          <w:rFonts w:ascii="Arial"/>
          <w:i/>
          <w:sz w:val="16"/>
        </w:rPr>
      </w:pPr>
      <w:r>
        <w:rPr>
          <w:rFonts w:ascii="Arial"/>
          <w:i/>
          <w:sz w:val="16"/>
        </w:rPr>
        <w:t>Includes</w:t>
      </w:r>
      <w:r>
        <w:rPr>
          <w:rFonts w:ascii="Arial"/>
          <w:i/>
          <w:spacing w:val="30"/>
          <w:sz w:val="16"/>
        </w:rPr>
        <w:t> </w:t>
      </w:r>
      <w:r>
        <w:rPr>
          <w:rFonts w:ascii="Arial"/>
          <w:i/>
          <w:sz w:val="16"/>
        </w:rPr>
        <w:t>transfer</w:t>
      </w:r>
      <w:r>
        <w:rPr>
          <w:rFonts w:ascii="Arial"/>
          <w:i/>
          <w:spacing w:val="17"/>
          <w:sz w:val="16"/>
        </w:rPr>
        <w:t> </w:t>
      </w:r>
      <w:r>
        <w:rPr>
          <w:rFonts w:ascii="Arial"/>
          <w:i/>
          <w:sz w:val="16"/>
        </w:rPr>
        <w:t>to</w:t>
      </w:r>
      <w:r>
        <w:rPr>
          <w:rFonts w:ascii="Arial"/>
          <w:i/>
          <w:spacing w:val="17"/>
          <w:sz w:val="16"/>
        </w:rPr>
        <w:t> </w:t>
      </w:r>
      <w:r>
        <w:rPr>
          <w:rFonts w:ascii="Arial"/>
          <w:i/>
          <w:sz w:val="16"/>
        </w:rPr>
        <w:t>the</w:t>
      </w:r>
      <w:r>
        <w:rPr>
          <w:rFonts w:ascii="Arial"/>
          <w:i/>
          <w:spacing w:val="17"/>
          <w:sz w:val="16"/>
        </w:rPr>
        <w:t> </w:t>
      </w:r>
      <w:r>
        <w:rPr>
          <w:rFonts w:ascii="Arial"/>
          <w:i/>
          <w:sz w:val="16"/>
        </w:rPr>
        <w:t>General</w:t>
      </w:r>
      <w:r>
        <w:rPr>
          <w:rFonts w:ascii="Arial"/>
          <w:i/>
          <w:spacing w:val="17"/>
          <w:sz w:val="16"/>
        </w:rPr>
        <w:t> </w:t>
      </w:r>
      <w:r>
        <w:rPr>
          <w:rFonts w:ascii="Arial"/>
          <w:i/>
          <w:sz w:val="16"/>
        </w:rPr>
        <w:t>Reserve,</w:t>
      </w:r>
      <w:r>
        <w:rPr>
          <w:rFonts w:ascii="Arial"/>
          <w:i/>
          <w:spacing w:val="17"/>
          <w:sz w:val="16"/>
        </w:rPr>
        <w:t> </w:t>
      </w:r>
      <w:r>
        <w:rPr>
          <w:rFonts w:ascii="Arial"/>
          <w:i/>
          <w:sz w:val="16"/>
        </w:rPr>
        <w:t>which</w:t>
      </w:r>
      <w:r>
        <w:rPr>
          <w:rFonts w:ascii="Arial"/>
          <w:i/>
          <w:spacing w:val="17"/>
          <w:sz w:val="16"/>
        </w:rPr>
        <w:t> </w:t>
      </w:r>
      <w:r>
        <w:rPr>
          <w:rFonts w:ascii="Arial"/>
          <w:i/>
          <w:sz w:val="16"/>
        </w:rPr>
        <w:t>for</w:t>
      </w:r>
      <w:r>
        <w:rPr>
          <w:rFonts w:ascii="Arial"/>
          <w:i/>
          <w:spacing w:val="16"/>
          <w:sz w:val="16"/>
        </w:rPr>
        <w:t> </w:t>
      </w:r>
      <w:r>
        <w:rPr>
          <w:rFonts w:ascii="Arial"/>
          <w:i/>
          <w:sz w:val="16"/>
        </w:rPr>
        <w:t>FY23</w:t>
      </w:r>
      <w:r>
        <w:rPr>
          <w:rFonts w:ascii="Arial"/>
          <w:i/>
          <w:spacing w:val="16"/>
          <w:sz w:val="16"/>
        </w:rPr>
        <w:t> </w:t>
      </w:r>
      <w:r>
        <w:rPr>
          <w:rFonts w:ascii="Arial"/>
          <w:i/>
          <w:sz w:val="16"/>
        </w:rPr>
        <w:t>(FY22)</w:t>
      </w:r>
      <w:r>
        <w:rPr>
          <w:rFonts w:ascii="Arial"/>
          <w:i/>
          <w:spacing w:val="17"/>
          <w:sz w:val="16"/>
        </w:rPr>
        <w:t> </w:t>
      </w:r>
      <w:r>
        <w:rPr>
          <w:rFonts w:ascii="Arial"/>
          <w:i/>
          <w:sz w:val="16"/>
        </w:rPr>
        <w:t>was</w:t>
      </w:r>
      <w:r>
        <w:rPr>
          <w:rFonts w:ascii="Arial"/>
          <w:i/>
          <w:spacing w:val="17"/>
          <w:sz w:val="16"/>
        </w:rPr>
        <w:t> </w:t>
      </w:r>
      <w:r>
        <w:rPr>
          <w:rFonts w:ascii="Arial"/>
          <w:i/>
          <w:sz w:val="16"/>
        </w:rPr>
        <w:t>approved</w:t>
      </w:r>
      <w:r>
        <w:rPr>
          <w:rFonts w:ascii="Arial"/>
          <w:i/>
          <w:spacing w:val="17"/>
          <w:sz w:val="16"/>
        </w:rPr>
        <w:t> </w:t>
      </w:r>
      <w:r>
        <w:rPr>
          <w:rFonts w:ascii="Arial"/>
          <w:i/>
          <w:sz w:val="16"/>
        </w:rPr>
        <w:t>by</w:t>
      </w:r>
      <w:r>
        <w:rPr>
          <w:rFonts w:ascii="Arial"/>
          <w:i/>
          <w:spacing w:val="17"/>
          <w:sz w:val="16"/>
        </w:rPr>
        <w:t> </w:t>
      </w:r>
      <w:r>
        <w:rPr>
          <w:rFonts w:ascii="Arial"/>
          <w:i/>
          <w:sz w:val="16"/>
        </w:rPr>
        <w:t>the</w:t>
      </w:r>
      <w:r>
        <w:rPr>
          <w:rFonts w:ascii="Arial"/>
          <w:i/>
          <w:spacing w:val="17"/>
          <w:sz w:val="16"/>
        </w:rPr>
        <w:t> </w:t>
      </w:r>
      <w:r>
        <w:rPr>
          <w:rFonts w:ascii="Arial"/>
          <w:i/>
          <w:sz w:val="16"/>
        </w:rPr>
        <w:t>Board</w:t>
      </w:r>
      <w:r>
        <w:rPr>
          <w:rFonts w:ascii="Arial"/>
          <w:i/>
          <w:spacing w:val="17"/>
          <w:sz w:val="16"/>
        </w:rPr>
        <w:t> </w:t>
      </w:r>
      <w:r>
        <w:rPr>
          <w:rFonts w:ascii="Arial"/>
          <w:i/>
          <w:sz w:val="16"/>
        </w:rPr>
        <w:t>on</w:t>
      </w:r>
      <w:r>
        <w:rPr>
          <w:rFonts w:ascii="Arial"/>
          <w:i/>
          <w:spacing w:val="17"/>
          <w:sz w:val="16"/>
        </w:rPr>
        <w:t> </w:t>
      </w:r>
      <w:r>
        <w:rPr>
          <w:rFonts w:ascii="Arial"/>
          <w:i/>
          <w:sz w:val="16"/>
        </w:rPr>
        <w:t>August</w:t>
      </w:r>
      <w:r>
        <w:rPr>
          <w:rFonts w:ascii="Arial"/>
          <w:i/>
          <w:spacing w:val="17"/>
          <w:sz w:val="16"/>
        </w:rPr>
        <w:t> </w:t>
      </w:r>
      <w:r>
        <w:rPr>
          <w:rFonts w:ascii="Arial"/>
          <w:i/>
          <w:sz w:val="16"/>
        </w:rPr>
        <w:t>3,</w:t>
      </w:r>
      <w:r>
        <w:rPr>
          <w:rFonts w:ascii="Arial"/>
          <w:i/>
          <w:spacing w:val="17"/>
          <w:sz w:val="16"/>
        </w:rPr>
        <w:t> </w:t>
      </w:r>
      <w:r>
        <w:rPr>
          <w:rFonts w:ascii="Arial"/>
          <w:i/>
          <w:sz w:val="16"/>
        </w:rPr>
        <w:t>2023</w:t>
      </w:r>
      <w:r>
        <w:rPr>
          <w:rFonts w:ascii="Arial"/>
          <w:i/>
          <w:spacing w:val="17"/>
          <w:sz w:val="16"/>
        </w:rPr>
        <w:t> </w:t>
      </w:r>
      <w:r>
        <w:rPr>
          <w:rFonts w:ascii="Arial"/>
          <w:i/>
          <w:sz w:val="16"/>
        </w:rPr>
        <w:t>(August</w:t>
      </w:r>
      <w:r>
        <w:rPr>
          <w:rFonts w:ascii="Arial"/>
          <w:i/>
          <w:spacing w:val="17"/>
          <w:sz w:val="16"/>
        </w:rPr>
        <w:t> </w:t>
      </w:r>
      <w:r>
        <w:rPr>
          <w:rFonts w:ascii="Arial"/>
          <w:i/>
          <w:sz w:val="16"/>
        </w:rPr>
        <w:t>4, </w:t>
      </w:r>
      <w:r>
        <w:rPr>
          <w:rFonts w:ascii="Arial"/>
          <w:i/>
          <w:spacing w:val="-2"/>
          <w:sz w:val="16"/>
        </w:rPr>
        <w:t>2022).</w:t>
      </w:r>
    </w:p>
    <w:p>
      <w:pPr>
        <w:pStyle w:val="ListParagraph"/>
        <w:numPr>
          <w:ilvl w:val="0"/>
          <w:numId w:val="21"/>
        </w:numPr>
        <w:tabs>
          <w:tab w:pos="948" w:val="left" w:leader="none"/>
          <w:tab w:pos="952" w:val="left" w:leader="none"/>
        </w:tabs>
        <w:spacing w:line="208" w:lineRule="auto" w:before="82" w:after="0"/>
        <w:ind w:left="952" w:right="901" w:hanging="180"/>
        <w:jc w:val="left"/>
        <w:rPr>
          <w:rFonts w:ascii="Arial"/>
          <w:i/>
          <w:sz w:val="16"/>
        </w:rPr>
      </w:pPr>
      <w:r>
        <w:rPr>
          <w:rFonts w:ascii="Arial"/>
          <w:i/>
          <w:sz w:val="16"/>
        </w:rPr>
        <w:t>Excludes</w:t>
      </w:r>
      <w:r>
        <w:rPr>
          <w:rFonts w:ascii="Arial"/>
          <w:i/>
          <w:spacing w:val="-4"/>
          <w:sz w:val="16"/>
        </w:rPr>
        <w:t> </w:t>
      </w:r>
      <w:r>
        <w:rPr>
          <w:rFonts w:ascii="Arial"/>
          <w:i/>
          <w:sz w:val="16"/>
        </w:rPr>
        <w:t>cumulative</w:t>
      </w:r>
      <w:r>
        <w:rPr>
          <w:rFonts w:ascii="Arial"/>
          <w:i/>
          <w:spacing w:val="-5"/>
          <w:sz w:val="16"/>
        </w:rPr>
        <w:t> </w:t>
      </w:r>
      <w:r>
        <w:rPr>
          <w:rFonts w:ascii="Arial"/>
          <w:i/>
          <w:sz w:val="16"/>
        </w:rPr>
        <w:t>translation</w:t>
      </w:r>
      <w:r>
        <w:rPr>
          <w:rFonts w:ascii="Arial"/>
          <w:i/>
          <w:spacing w:val="-5"/>
          <w:sz w:val="16"/>
        </w:rPr>
        <w:t> </w:t>
      </w:r>
      <w:r>
        <w:rPr>
          <w:rFonts w:ascii="Arial"/>
          <w:i/>
          <w:sz w:val="16"/>
        </w:rPr>
        <w:t>amounts</w:t>
      </w:r>
      <w:r>
        <w:rPr>
          <w:rFonts w:ascii="Arial"/>
          <w:i/>
          <w:spacing w:val="-4"/>
          <w:sz w:val="16"/>
        </w:rPr>
        <w:t> </w:t>
      </w:r>
      <w:r>
        <w:rPr>
          <w:rFonts w:ascii="Arial"/>
          <w:i/>
          <w:sz w:val="16"/>
        </w:rPr>
        <w:t>associated</w:t>
      </w:r>
      <w:r>
        <w:rPr>
          <w:rFonts w:ascii="Arial"/>
          <w:i/>
          <w:spacing w:val="-5"/>
          <w:sz w:val="16"/>
        </w:rPr>
        <w:t> </w:t>
      </w:r>
      <w:r>
        <w:rPr>
          <w:rFonts w:ascii="Arial"/>
          <w:i/>
          <w:sz w:val="16"/>
        </w:rPr>
        <w:t>with</w:t>
      </w:r>
      <w:r>
        <w:rPr>
          <w:rFonts w:ascii="Arial"/>
          <w:i/>
          <w:spacing w:val="-5"/>
          <w:sz w:val="16"/>
        </w:rPr>
        <w:t> </w:t>
      </w:r>
      <w:r>
        <w:rPr>
          <w:rFonts w:ascii="Arial"/>
          <w:i/>
          <w:sz w:val="16"/>
        </w:rPr>
        <w:t>the</w:t>
      </w:r>
      <w:r>
        <w:rPr>
          <w:rFonts w:ascii="Arial"/>
          <w:i/>
          <w:spacing w:val="-5"/>
          <w:sz w:val="16"/>
        </w:rPr>
        <w:t> </w:t>
      </w:r>
      <w:r>
        <w:rPr>
          <w:rFonts w:ascii="Arial"/>
          <w:i/>
          <w:sz w:val="16"/>
        </w:rPr>
        <w:t>unrealized</w:t>
      </w:r>
      <w:r>
        <w:rPr>
          <w:rFonts w:ascii="Arial"/>
          <w:i/>
          <w:spacing w:val="-5"/>
          <w:sz w:val="16"/>
        </w:rPr>
        <w:t> </w:t>
      </w:r>
      <w:r>
        <w:rPr>
          <w:rFonts w:ascii="Arial"/>
          <w:i/>
          <w:sz w:val="16"/>
        </w:rPr>
        <w:t>mark-to-market</w:t>
      </w:r>
      <w:r>
        <w:rPr>
          <w:rFonts w:ascii="Arial"/>
          <w:i/>
          <w:spacing w:val="-4"/>
          <w:sz w:val="16"/>
        </w:rPr>
        <w:t> </w:t>
      </w:r>
      <w:r>
        <w:rPr>
          <w:rFonts w:ascii="Arial"/>
          <w:i/>
          <w:sz w:val="16"/>
        </w:rPr>
        <w:t>gains/losses</w:t>
      </w:r>
      <w:r>
        <w:rPr>
          <w:rFonts w:ascii="Arial"/>
          <w:i/>
          <w:spacing w:val="-4"/>
          <w:sz w:val="16"/>
        </w:rPr>
        <w:t> </w:t>
      </w:r>
      <w:r>
        <w:rPr>
          <w:rFonts w:ascii="Arial"/>
          <w:i/>
          <w:sz w:val="16"/>
        </w:rPr>
        <w:t>on</w:t>
      </w:r>
      <w:r>
        <w:rPr>
          <w:rFonts w:ascii="Arial"/>
          <w:i/>
          <w:spacing w:val="-5"/>
          <w:sz w:val="16"/>
        </w:rPr>
        <w:t> </w:t>
      </w:r>
      <w:r>
        <w:rPr>
          <w:rFonts w:ascii="Arial"/>
          <w:i/>
          <w:sz w:val="16"/>
        </w:rPr>
        <w:t>non-trading</w:t>
      </w:r>
      <w:r>
        <w:rPr>
          <w:rFonts w:ascii="Arial"/>
          <w:i/>
          <w:spacing w:val="-5"/>
          <w:sz w:val="16"/>
        </w:rPr>
        <w:t> </w:t>
      </w:r>
      <w:r>
        <w:rPr>
          <w:rFonts w:ascii="Arial"/>
          <w:i/>
          <w:sz w:val="16"/>
        </w:rPr>
        <w:t>portfolios, </w:t>
      </w:r>
      <w:r>
        <w:rPr>
          <w:rFonts w:ascii="Arial"/>
          <w:i/>
          <w:spacing w:val="-4"/>
          <w:sz w:val="16"/>
        </w:rPr>
        <w:t>net.</w:t>
      </w:r>
    </w:p>
    <w:p>
      <w:pPr>
        <w:pStyle w:val="ListParagraph"/>
        <w:numPr>
          <w:ilvl w:val="0"/>
          <w:numId w:val="21"/>
        </w:numPr>
        <w:tabs>
          <w:tab w:pos="940" w:val="left" w:leader="none"/>
        </w:tabs>
        <w:spacing w:line="240" w:lineRule="auto" w:before="60" w:after="0"/>
        <w:ind w:left="940" w:right="0" w:hanging="168"/>
        <w:jc w:val="left"/>
        <w:rPr>
          <w:rFonts w:ascii="Arial"/>
          <w:i/>
          <w:sz w:val="16"/>
        </w:rPr>
      </w:pPr>
      <w:r>
        <w:rPr>
          <w:rFonts w:ascii="Arial"/>
          <w:i/>
          <w:sz w:val="16"/>
        </w:rPr>
        <w:t>Includes</w:t>
      </w:r>
      <w:r>
        <w:rPr>
          <w:rFonts w:ascii="Arial"/>
          <w:i/>
          <w:spacing w:val="-6"/>
          <w:sz w:val="16"/>
        </w:rPr>
        <w:t> </w:t>
      </w:r>
      <w:r>
        <w:rPr>
          <w:rFonts w:ascii="Arial"/>
          <w:i/>
          <w:sz w:val="16"/>
        </w:rPr>
        <w:t>cumulative</w:t>
      </w:r>
      <w:r>
        <w:rPr>
          <w:rFonts w:ascii="Arial"/>
          <w:i/>
          <w:spacing w:val="-5"/>
          <w:sz w:val="16"/>
        </w:rPr>
        <w:t> </w:t>
      </w:r>
      <w:r>
        <w:rPr>
          <w:rFonts w:ascii="Arial"/>
          <w:i/>
          <w:sz w:val="16"/>
        </w:rPr>
        <w:t>translation</w:t>
      </w:r>
      <w:r>
        <w:rPr>
          <w:rFonts w:ascii="Arial"/>
          <w:i/>
          <w:spacing w:val="-5"/>
          <w:sz w:val="16"/>
        </w:rPr>
        <w:t> </w:t>
      </w:r>
      <w:r>
        <w:rPr>
          <w:rFonts w:ascii="Arial"/>
          <w:i/>
          <w:sz w:val="16"/>
        </w:rPr>
        <w:t>gains</w:t>
      </w:r>
      <w:r>
        <w:rPr>
          <w:rFonts w:ascii="Arial"/>
          <w:i/>
          <w:spacing w:val="-4"/>
          <w:sz w:val="16"/>
        </w:rPr>
        <w:t> </w:t>
      </w:r>
      <w:r>
        <w:rPr>
          <w:rFonts w:ascii="Arial"/>
          <w:i/>
          <w:sz w:val="16"/>
        </w:rPr>
        <w:t>on</w:t>
      </w:r>
      <w:r>
        <w:rPr>
          <w:rFonts w:ascii="Arial"/>
          <w:i/>
          <w:spacing w:val="-5"/>
          <w:sz w:val="16"/>
        </w:rPr>
        <w:t> </w:t>
      </w:r>
      <w:r>
        <w:rPr>
          <w:rFonts w:ascii="Arial"/>
          <w:i/>
          <w:sz w:val="16"/>
        </w:rPr>
        <w:t>non-functional</w:t>
      </w:r>
      <w:r>
        <w:rPr>
          <w:rFonts w:ascii="Arial"/>
          <w:i/>
          <w:spacing w:val="-4"/>
          <w:sz w:val="16"/>
        </w:rPr>
        <w:t> </w:t>
      </w:r>
      <w:r>
        <w:rPr>
          <w:rFonts w:ascii="Arial"/>
          <w:i/>
          <w:sz w:val="16"/>
        </w:rPr>
        <w:t>currencies</w:t>
      </w:r>
      <w:r>
        <w:rPr>
          <w:rFonts w:ascii="Arial"/>
          <w:i/>
          <w:spacing w:val="-4"/>
          <w:sz w:val="16"/>
        </w:rPr>
        <w:t> </w:t>
      </w:r>
      <w:r>
        <w:rPr>
          <w:rFonts w:ascii="Arial"/>
          <w:i/>
          <w:sz w:val="16"/>
        </w:rPr>
        <w:t>of</w:t>
      </w:r>
      <w:r>
        <w:rPr>
          <w:rFonts w:ascii="Arial"/>
          <w:i/>
          <w:spacing w:val="-4"/>
          <w:sz w:val="16"/>
        </w:rPr>
        <w:t> </w:t>
      </w:r>
      <w:r>
        <w:rPr>
          <w:rFonts w:ascii="Arial"/>
          <w:i/>
          <w:sz w:val="16"/>
        </w:rPr>
        <w:t>$221</w:t>
      </w:r>
      <w:r>
        <w:rPr>
          <w:rFonts w:ascii="Arial"/>
          <w:i/>
          <w:spacing w:val="-5"/>
          <w:sz w:val="16"/>
        </w:rPr>
        <w:t> </w:t>
      </w:r>
      <w:r>
        <w:rPr>
          <w:rFonts w:ascii="Arial"/>
          <w:i/>
          <w:sz w:val="16"/>
        </w:rPr>
        <w:t>million</w:t>
      </w:r>
      <w:r>
        <w:rPr>
          <w:rFonts w:ascii="Arial"/>
          <w:i/>
          <w:spacing w:val="-5"/>
          <w:sz w:val="16"/>
        </w:rPr>
        <w:t> </w:t>
      </w:r>
      <w:r>
        <w:rPr>
          <w:rFonts w:ascii="Arial"/>
          <w:i/>
          <w:sz w:val="16"/>
        </w:rPr>
        <w:t>for</w:t>
      </w:r>
      <w:r>
        <w:rPr>
          <w:rFonts w:ascii="Arial"/>
          <w:i/>
          <w:spacing w:val="-5"/>
          <w:sz w:val="16"/>
        </w:rPr>
        <w:t> </w:t>
      </w:r>
      <w:r>
        <w:rPr>
          <w:rFonts w:ascii="Arial"/>
          <w:i/>
          <w:sz w:val="16"/>
        </w:rPr>
        <w:t>FY23</w:t>
      </w:r>
      <w:r>
        <w:rPr>
          <w:rFonts w:ascii="Arial"/>
          <w:i/>
          <w:spacing w:val="-5"/>
          <w:sz w:val="16"/>
        </w:rPr>
        <w:t> </w:t>
      </w:r>
      <w:r>
        <w:rPr>
          <w:rFonts w:ascii="Arial"/>
          <w:i/>
          <w:sz w:val="16"/>
        </w:rPr>
        <w:t>($173</w:t>
      </w:r>
      <w:r>
        <w:rPr>
          <w:rFonts w:ascii="Arial"/>
          <w:i/>
          <w:spacing w:val="-5"/>
          <w:sz w:val="16"/>
        </w:rPr>
        <w:t> </w:t>
      </w:r>
      <w:r>
        <w:rPr>
          <w:rFonts w:ascii="Arial"/>
          <w:i/>
          <w:sz w:val="16"/>
        </w:rPr>
        <w:t>million</w:t>
      </w:r>
      <w:r>
        <w:rPr>
          <w:rFonts w:ascii="Arial"/>
          <w:i/>
          <w:spacing w:val="-5"/>
          <w:sz w:val="16"/>
        </w:rPr>
        <w:t> </w:t>
      </w:r>
      <w:r>
        <w:rPr>
          <w:rFonts w:ascii="Arial"/>
          <w:i/>
          <w:sz w:val="16"/>
        </w:rPr>
        <w:t>gains</w:t>
      </w:r>
      <w:r>
        <w:rPr>
          <w:rFonts w:ascii="Arial"/>
          <w:i/>
          <w:spacing w:val="-4"/>
          <w:sz w:val="16"/>
        </w:rPr>
        <w:t> </w:t>
      </w:r>
      <w:r>
        <w:rPr>
          <w:rFonts w:ascii="Arial"/>
          <w:i/>
          <w:sz w:val="16"/>
        </w:rPr>
        <w:t>for</w:t>
      </w:r>
      <w:r>
        <w:rPr>
          <w:rFonts w:ascii="Arial"/>
          <w:i/>
          <w:spacing w:val="-5"/>
          <w:sz w:val="16"/>
        </w:rPr>
        <w:t> </w:t>
      </w:r>
      <w:r>
        <w:rPr>
          <w:rFonts w:ascii="Arial"/>
          <w:i/>
          <w:spacing w:val="-2"/>
          <w:sz w:val="16"/>
        </w:rPr>
        <w:t>FY22).</w:t>
      </w:r>
    </w:p>
    <w:p>
      <w:pPr>
        <w:pStyle w:val="ListParagraph"/>
        <w:numPr>
          <w:ilvl w:val="0"/>
          <w:numId w:val="21"/>
        </w:numPr>
        <w:tabs>
          <w:tab w:pos="952" w:val="left" w:leader="none"/>
        </w:tabs>
        <w:spacing w:line="232" w:lineRule="auto" w:before="62" w:after="0"/>
        <w:ind w:left="952" w:right="770" w:hanging="180"/>
        <w:jc w:val="left"/>
        <w:rPr>
          <w:rFonts w:ascii="Arial"/>
          <w:i/>
          <w:sz w:val="16"/>
        </w:rPr>
      </w:pPr>
      <w:r>
        <w:rPr>
          <w:rFonts w:ascii="Arial"/>
          <w:i/>
          <w:sz w:val="16"/>
        </w:rPr>
        <w:t>Includes $1,877 million ($876 million as of June 30, 2022) related to guarantees received from third parties that reduced IBRD's Loan exposures.</w:t>
      </w:r>
    </w:p>
    <w:p>
      <w:pPr>
        <w:pStyle w:val="ListParagraph"/>
        <w:spacing w:after="0" w:line="232" w:lineRule="auto"/>
        <w:jc w:val="left"/>
        <w:rPr>
          <w:rFonts w:ascii="Arial"/>
          <w:i/>
          <w:sz w:val="16"/>
        </w:rPr>
        <w:sectPr>
          <w:type w:val="continuous"/>
          <w:pgSz w:w="12240" w:h="15840"/>
          <w:pgMar w:header="744" w:footer="583" w:top="1820" w:bottom="280" w:left="720" w:right="720"/>
        </w:sectPr>
      </w:pPr>
    </w:p>
    <w:p>
      <w:pPr>
        <w:pStyle w:val="BodyText"/>
        <w:spacing w:before="79"/>
        <w:rPr>
          <w:rFonts w:ascii="Arial"/>
          <w:i/>
          <w:sz w:val="24"/>
        </w:rPr>
      </w:pPr>
    </w:p>
    <w:p>
      <w:pPr>
        <w:pStyle w:val="Heading1"/>
      </w:pPr>
      <w:bookmarkStart w:name="Credit Risk" w:id="114"/>
      <w:bookmarkEnd w:id="114"/>
      <w:r>
        <w:rPr>
          <w:b w:val="0"/>
        </w:rPr>
      </w:r>
      <w:bookmarkStart w:name="_bookmark76" w:id="115"/>
      <w:bookmarkEnd w:id="115"/>
      <w:r>
        <w:rPr>
          <w:b w:val="0"/>
        </w:rPr>
      </w:r>
      <w:r>
        <w:rPr/>
        <w:t>Credit</w:t>
      </w:r>
      <w:r>
        <w:rPr>
          <w:spacing w:val="-6"/>
        </w:rPr>
        <w:t> </w:t>
      </w:r>
      <w:r>
        <w:rPr>
          <w:spacing w:val="-4"/>
        </w:rPr>
        <w:t>Risk</w:t>
      </w:r>
    </w:p>
    <w:p>
      <w:pPr>
        <w:pStyle w:val="BodyText"/>
        <w:spacing w:line="249" w:lineRule="auto" w:before="87"/>
        <w:ind w:left="720" w:right="718"/>
        <w:jc w:val="both"/>
      </w:pPr>
      <w:r>
        <w:rPr/>
        <w:t>IBRD faces two types of credit risk: country credit risk and counterparty credit risk. Country credit risk is the risk of loss due to a country not meeting its contractual obligations, and counterparty credit risk is the risk of loss attributable to a counterparty not honoring its contractual obligations. IBRD is exposed to commercial as well as non-commercial counterparty credit risk.</w:t>
      </w:r>
    </w:p>
    <w:p>
      <w:pPr>
        <w:pStyle w:val="Heading4"/>
        <w:spacing w:before="114"/>
      </w:pPr>
      <w:r>
        <w:rPr/>
        <w:t>Country</w:t>
      </w:r>
      <w:r>
        <w:rPr>
          <w:spacing w:val="-5"/>
        </w:rPr>
        <w:t> </w:t>
      </w:r>
      <w:r>
        <w:rPr/>
        <w:t>Credit</w:t>
      </w:r>
      <w:r>
        <w:rPr>
          <w:spacing w:val="-2"/>
        </w:rPr>
        <w:t> </w:t>
      </w:r>
      <w:r>
        <w:rPr>
          <w:spacing w:val="-4"/>
        </w:rPr>
        <w:t>Risk</w:t>
      </w:r>
    </w:p>
    <w:p>
      <w:pPr>
        <w:pStyle w:val="BodyText"/>
        <w:spacing w:line="249" w:lineRule="auto" w:before="140"/>
        <w:ind w:left="720" w:right="718"/>
        <w:jc w:val="both"/>
      </w:pPr>
      <w:r>
        <w:rPr/>
        <w:t>IBRD’s mandate is to take only sovereign credit risk in its lending activities. Within country credit risk, three</w:t>
      </w:r>
      <w:r>
        <w:rPr>
          <w:spacing w:val="40"/>
        </w:rPr>
        <w:t> </w:t>
      </w:r>
      <w:r>
        <w:rPr/>
        <w:t>distinct types of risks can be identified: idiosyncratic risk, correlation risk, and concentration risk. Idiosyncratic risk is the risk of an individual borrowing country’s exposure falling into nonaccrual status for country-specific reasons (such as policy slippage or political instability). Correlation risk is the risk that exposure to two or more borrowing countries will fall into nonaccrual in response to common global or regional economic, political, or financial developments. Concentration risk is the risk resulting from having a large portion of exposure outstanding which, if the</w:t>
      </w:r>
      <w:r>
        <w:rPr>
          <w:spacing w:val="-2"/>
        </w:rPr>
        <w:t> </w:t>
      </w:r>
      <w:r>
        <w:rPr/>
        <w:t>exposure</w:t>
      </w:r>
      <w:r>
        <w:rPr>
          <w:spacing w:val="-2"/>
        </w:rPr>
        <w:t> </w:t>
      </w:r>
      <w:r>
        <w:rPr/>
        <w:t>fell</w:t>
      </w:r>
      <w:r>
        <w:rPr>
          <w:spacing w:val="-2"/>
        </w:rPr>
        <w:t> </w:t>
      </w:r>
      <w:r>
        <w:rPr/>
        <w:t>into</w:t>
      </w:r>
      <w:r>
        <w:rPr>
          <w:spacing w:val="-2"/>
        </w:rPr>
        <w:t> </w:t>
      </w:r>
      <w:r>
        <w:rPr/>
        <w:t>nonaccrual,</w:t>
      </w:r>
      <w:r>
        <w:rPr>
          <w:spacing w:val="-2"/>
        </w:rPr>
        <w:t> </w:t>
      </w:r>
      <w:r>
        <w:rPr/>
        <w:t>would</w:t>
      </w:r>
      <w:r>
        <w:rPr>
          <w:spacing w:val="-2"/>
        </w:rPr>
        <w:t> </w:t>
      </w:r>
      <w:r>
        <w:rPr/>
        <w:t>result</w:t>
      </w:r>
      <w:r>
        <w:rPr>
          <w:spacing w:val="-2"/>
        </w:rPr>
        <w:t> </w:t>
      </w:r>
      <w:r>
        <w:rPr/>
        <w:t>in</w:t>
      </w:r>
      <w:r>
        <w:rPr>
          <w:spacing w:val="-2"/>
        </w:rPr>
        <w:t> </w:t>
      </w:r>
      <w:r>
        <w:rPr/>
        <w:t>IBRD’s</w:t>
      </w:r>
      <w:r>
        <w:rPr>
          <w:spacing w:val="-2"/>
        </w:rPr>
        <w:t> </w:t>
      </w:r>
      <w:r>
        <w:rPr/>
        <w:t>financial</w:t>
      </w:r>
      <w:r>
        <w:rPr>
          <w:spacing w:val="-2"/>
        </w:rPr>
        <w:t> </w:t>
      </w:r>
      <w:r>
        <w:rPr/>
        <w:t>health</w:t>
      </w:r>
      <w:r>
        <w:rPr>
          <w:spacing w:val="-2"/>
        </w:rPr>
        <w:t> </w:t>
      </w:r>
      <w:r>
        <w:rPr/>
        <w:t>being</w:t>
      </w:r>
      <w:r>
        <w:rPr>
          <w:spacing w:val="-2"/>
        </w:rPr>
        <w:t> </w:t>
      </w:r>
      <w:r>
        <w:rPr/>
        <w:t>excessively</w:t>
      </w:r>
      <w:r>
        <w:rPr>
          <w:spacing w:val="-2"/>
        </w:rPr>
        <w:t> </w:t>
      </w:r>
      <w:r>
        <w:rPr/>
        <w:t>impaired.</w:t>
      </w:r>
      <w:r>
        <w:rPr>
          <w:spacing w:val="-2"/>
        </w:rPr>
        <w:t> </w:t>
      </w:r>
      <w:r>
        <w:rPr/>
        <w:t>Concentration risk needs to be evaluated both on a stand-alone basis (exposure of one borrowing country) and when taking into account correlation when more than one borrowing country is affected by a common event, such that when combined, IBRD’s exposure to a common risk is elevated.</w:t>
      </w:r>
    </w:p>
    <w:p>
      <w:pPr>
        <w:pStyle w:val="BodyText"/>
        <w:spacing w:line="249" w:lineRule="auto" w:before="128"/>
        <w:ind w:left="720" w:right="718"/>
        <w:jc w:val="both"/>
      </w:pPr>
      <w:r>
        <w:rPr/>
        <w:t>To estimate idiosyncratic risk and stand-alone concentration risk, the Credit Risk Department looks at IBRD’s exposure</w:t>
      </w:r>
      <w:r>
        <w:rPr>
          <w:spacing w:val="-1"/>
        </w:rPr>
        <w:t> </w:t>
      </w:r>
      <w:r>
        <w:rPr/>
        <w:t>to</w:t>
      </w:r>
      <w:r>
        <w:rPr>
          <w:spacing w:val="-1"/>
        </w:rPr>
        <w:t> </w:t>
      </w:r>
      <w:r>
        <w:rPr/>
        <w:t>each</w:t>
      </w:r>
      <w:r>
        <w:rPr>
          <w:spacing w:val="-1"/>
        </w:rPr>
        <w:t> </w:t>
      </w:r>
      <w:r>
        <w:rPr/>
        <w:t>borrowing</w:t>
      </w:r>
      <w:r>
        <w:rPr>
          <w:spacing w:val="-1"/>
        </w:rPr>
        <w:t> </w:t>
      </w:r>
      <w:r>
        <w:rPr/>
        <w:t>country</w:t>
      </w:r>
      <w:r>
        <w:rPr>
          <w:spacing w:val="-1"/>
        </w:rPr>
        <w:t> </w:t>
      </w:r>
      <w:r>
        <w:rPr/>
        <w:t>and</w:t>
      </w:r>
      <w:r>
        <w:rPr>
          <w:spacing w:val="-1"/>
        </w:rPr>
        <w:t> </w:t>
      </w:r>
      <w:r>
        <w:rPr/>
        <w:t>each</w:t>
      </w:r>
      <w:r>
        <w:rPr>
          <w:spacing w:val="-1"/>
        </w:rPr>
        <w:t> </w:t>
      </w:r>
      <w:r>
        <w:rPr/>
        <w:t>borrowing</w:t>
      </w:r>
      <w:r>
        <w:rPr>
          <w:spacing w:val="-1"/>
        </w:rPr>
        <w:t> </w:t>
      </w:r>
      <w:r>
        <w:rPr/>
        <w:t>country’s</w:t>
      </w:r>
      <w:r>
        <w:rPr>
          <w:spacing w:val="-1"/>
        </w:rPr>
        <w:t> </w:t>
      </w:r>
      <w:r>
        <w:rPr/>
        <w:t>expected</w:t>
      </w:r>
      <w:r>
        <w:rPr>
          <w:spacing w:val="-1"/>
        </w:rPr>
        <w:t> </w:t>
      </w:r>
      <w:r>
        <w:rPr/>
        <w:t>default</w:t>
      </w:r>
      <w:r>
        <w:rPr>
          <w:spacing w:val="-1"/>
        </w:rPr>
        <w:t> </w:t>
      </w:r>
      <w:r>
        <w:rPr/>
        <w:t>to</w:t>
      </w:r>
      <w:r>
        <w:rPr>
          <w:spacing w:val="-1"/>
        </w:rPr>
        <w:t> </w:t>
      </w:r>
      <w:r>
        <w:rPr/>
        <w:t>IBRD</w:t>
      </w:r>
      <w:r>
        <w:rPr>
          <w:spacing w:val="-1"/>
        </w:rPr>
        <w:t> </w:t>
      </w:r>
      <w:r>
        <w:rPr/>
        <w:t>as</w:t>
      </w:r>
      <w:r>
        <w:rPr>
          <w:spacing w:val="-1"/>
        </w:rPr>
        <w:t> </w:t>
      </w:r>
      <w:r>
        <w:rPr/>
        <w:t>captured</w:t>
      </w:r>
      <w:r>
        <w:rPr>
          <w:spacing w:val="-1"/>
        </w:rPr>
        <w:t> </w:t>
      </w:r>
      <w:r>
        <w:rPr/>
        <w:t>in</w:t>
      </w:r>
      <w:r>
        <w:rPr>
          <w:spacing w:val="-1"/>
        </w:rPr>
        <w:t> </w:t>
      </w:r>
      <w:r>
        <w:rPr/>
        <w:t>its</w:t>
      </w:r>
      <w:r>
        <w:rPr>
          <w:spacing w:val="-1"/>
        </w:rPr>
        <w:t> </w:t>
      </w:r>
      <w:r>
        <w:rPr/>
        <w:t>credit rating. Credit ratings and default probabilities reflect country economic, financial and political circumstances, and also consider Environmental, Social and Governance (ESG) risk factors. For correlation risk, the Credit Risk Department models the potential common factors that could impact borrowing countries simultaneously. The existence of correlation increases the likelihood of large nonaccrual events, as most of these nonaccrual events involve the joint default of two or more obligors in the portfolio.</w:t>
      </w:r>
    </w:p>
    <w:p>
      <w:pPr>
        <w:pStyle w:val="BodyText"/>
        <w:spacing w:line="249" w:lineRule="auto" w:before="126"/>
        <w:ind w:left="720" w:right="718"/>
        <w:jc w:val="both"/>
      </w:pPr>
      <w:r>
        <w:rPr/>
        <w:t>IBRD</w:t>
      </w:r>
      <w:r>
        <w:rPr>
          <w:spacing w:val="-1"/>
        </w:rPr>
        <w:t> </w:t>
      </w:r>
      <w:r>
        <w:rPr/>
        <w:t>manages</w:t>
      </w:r>
      <w:r>
        <w:rPr>
          <w:spacing w:val="-1"/>
        </w:rPr>
        <w:t> </w:t>
      </w:r>
      <w:r>
        <w:rPr/>
        <w:t>country</w:t>
      </w:r>
      <w:r>
        <w:rPr>
          <w:spacing w:val="-1"/>
        </w:rPr>
        <w:t> </w:t>
      </w:r>
      <w:r>
        <w:rPr/>
        <w:t>credit</w:t>
      </w:r>
      <w:r>
        <w:rPr>
          <w:spacing w:val="-1"/>
        </w:rPr>
        <w:t> </w:t>
      </w:r>
      <w:r>
        <w:rPr/>
        <w:t>risk</w:t>
      </w:r>
      <w:r>
        <w:rPr>
          <w:spacing w:val="-1"/>
        </w:rPr>
        <w:t> </w:t>
      </w:r>
      <w:r>
        <w:rPr/>
        <w:t>by</w:t>
      </w:r>
      <w:r>
        <w:rPr>
          <w:spacing w:val="-1"/>
        </w:rPr>
        <w:t> </w:t>
      </w:r>
      <w:r>
        <w:rPr/>
        <w:t>using</w:t>
      </w:r>
      <w:r>
        <w:rPr>
          <w:spacing w:val="-1"/>
        </w:rPr>
        <w:t> </w:t>
      </w:r>
      <w:r>
        <w:rPr/>
        <w:t>individual</w:t>
      </w:r>
      <w:r>
        <w:rPr>
          <w:spacing w:val="-1"/>
        </w:rPr>
        <w:t> </w:t>
      </w:r>
      <w:r>
        <w:rPr/>
        <w:t>country</w:t>
      </w:r>
      <w:r>
        <w:rPr>
          <w:spacing w:val="-1"/>
        </w:rPr>
        <w:t> </w:t>
      </w:r>
      <w:r>
        <w:rPr/>
        <w:t>exposure</w:t>
      </w:r>
      <w:r>
        <w:rPr>
          <w:spacing w:val="-1"/>
        </w:rPr>
        <w:t> </w:t>
      </w:r>
      <w:r>
        <w:rPr/>
        <w:t>limits</w:t>
      </w:r>
      <w:r>
        <w:rPr>
          <w:spacing w:val="-1"/>
        </w:rPr>
        <w:t> </w:t>
      </w:r>
      <w:r>
        <w:rPr/>
        <w:t>and</w:t>
      </w:r>
      <w:r>
        <w:rPr>
          <w:spacing w:val="-1"/>
        </w:rPr>
        <w:t> </w:t>
      </w:r>
      <w:r>
        <w:rPr/>
        <w:t>takes</w:t>
      </w:r>
      <w:r>
        <w:rPr>
          <w:spacing w:val="-1"/>
        </w:rPr>
        <w:t> </w:t>
      </w:r>
      <w:r>
        <w:rPr/>
        <w:t>into</w:t>
      </w:r>
      <w:r>
        <w:rPr>
          <w:spacing w:val="-1"/>
        </w:rPr>
        <w:t> </w:t>
      </w:r>
      <w:r>
        <w:rPr/>
        <w:t>account</w:t>
      </w:r>
      <w:r>
        <w:rPr>
          <w:spacing w:val="-1"/>
        </w:rPr>
        <w:t> </w:t>
      </w:r>
      <w:r>
        <w:rPr/>
        <w:t>factors</w:t>
      </w:r>
      <w:r>
        <w:rPr>
          <w:spacing w:val="-1"/>
        </w:rPr>
        <w:t> </w:t>
      </w:r>
      <w:r>
        <w:rPr/>
        <w:t>such</w:t>
      </w:r>
      <w:r>
        <w:rPr>
          <w:spacing w:val="-1"/>
        </w:rPr>
        <w:t> </w:t>
      </w:r>
      <w:r>
        <w:rPr/>
        <w:t>as population size and the economic situation of the country. In addition, IBRD conducts stress tests of the effects of changes in market variables and of potential geopolitical events on its portfolio to complement its capital adequacy </w:t>
      </w:r>
      <w:r>
        <w:rPr>
          <w:spacing w:val="-2"/>
        </w:rPr>
        <w:t>framework.</w:t>
      </w:r>
    </w:p>
    <w:p>
      <w:pPr>
        <w:pStyle w:val="Heading6"/>
        <w:spacing w:before="118"/>
      </w:pPr>
      <w:r>
        <w:rPr/>
        <w:t>Portfolio</w:t>
      </w:r>
      <w:r>
        <w:rPr>
          <w:spacing w:val="-3"/>
        </w:rPr>
        <w:t> </w:t>
      </w:r>
      <w:r>
        <w:rPr/>
        <w:t>Concentration </w:t>
      </w:r>
      <w:r>
        <w:rPr>
          <w:spacing w:val="-4"/>
        </w:rPr>
        <w:t>Risk</w:t>
      </w:r>
    </w:p>
    <w:p>
      <w:pPr>
        <w:pStyle w:val="BodyText"/>
        <w:spacing w:line="249" w:lineRule="auto" w:before="136"/>
        <w:ind w:left="720" w:right="718"/>
        <w:jc w:val="both"/>
      </w:pPr>
      <w:r>
        <w:rPr/>
        <w:t>Portfolio concentration risk, which arises when a small group of borrowing countries account for a large share of loans outstanding, is a key concern for IBRD. It is carefully managed for each borrowing country, in part, through</w:t>
      </w:r>
      <w:r>
        <w:rPr>
          <w:spacing w:val="40"/>
        </w:rPr>
        <w:t> </w:t>
      </w:r>
      <w:r>
        <w:rPr/>
        <w:t>an exposure limit for the aggregate balance of loans outstanding, the present value of guarantees, and the undisbursed portion of Deferred Drawdown Options (DDOs) that have become effective, among other potential exposures. Under current guidelines, IBRD’s exposure to a single borrowing country is restricted to the lower of an Equitable Access Limit (EAL) or the Single Borrower Limit (SBL).</w:t>
      </w:r>
    </w:p>
    <w:p>
      <w:pPr>
        <w:pStyle w:val="Heading6"/>
        <w:spacing w:before="120"/>
      </w:pPr>
      <w:r>
        <w:rPr/>
        <w:t>Equitable</w:t>
      </w:r>
      <w:r>
        <w:rPr>
          <w:spacing w:val="-2"/>
        </w:rPr>
        <w:t> </w:t>
      </w:r>
      <w:r>
        <w:rPr/>
        <w:t>Access</w:t>
      </w:r>
      <w:r>
        <w:rPr>
          <w:spacing w:val="-2"/>
        </w:rPr>
        <w:t> Limit</w:t>
      </w:r>
    </w:p>
    <w:p>
      <w:pPr>
        <w:pStyle w:val="BodyText"/>
        <w:spacing w:line="249" w:lineRule="auto" w:before="136"/>
        <w:ind w:left="720" w:right="719"/>
        <w:jc w:val="both"/>
      </w:pPr>
      <w:r>
        <w:rPr/>
        <w:t>The EAL is equal to 10% of IBRD’s Statutory Lending Limit (SLL). Under IBRD’s Articles, as applied, total loans outstanding, including participations in loans and callable guarantees, may not exceed the sum of unimpaired subscribed capital, reserves and surplus, referred to as the SLL. As of June 30, 2023, the SLL totaled $350.3 billion, of</w:t>
      </w:r>
      <w:r>
        <w:rPr>
          <w:spacing w:val="20"/>
        </w:rPr>
        <w:t> </w:t>
      </w:r>
      <w:r>
        <w:rPr/>
        <w:t>which</w:t>
      </w:r>
      <w:r>
        <w:rPr>
          <w:spacing w:val="20"/>
        </w:rPr>
        <w:t> </w:t>
      </w:r>
      <w:r>
        <w:rPr/>
        <w:t>the</w:t>
      </w:r>
      <w:r>
        <w:rPr>
          <w:spacing w:val="20"/>
        </w:rPr>
        <w:t> </w:t>
      </w:r>
      <w:r>
        <w:rPr/>
        <w:t>outstanding</w:t>
      </w:r>
      <w:r>
        <w:rPr>
          <w:spacing w:val="20"/>
        </w:rPr>
        <w:t> </w:t>
      </w:r>
      <w:r>
        <w:rPr/>
        <w:t>loans</w:t>
      </w:r>
      <w:r>
        <w:rPr>
          <w:spacing w:val="20"/>
        </w:rPr>
        <w:t> </w:t>
      </w:r>
      <w:r>
        <w:rPr/>
        <w:t>and</w:t>
      </w:r>
      <w:r>
        <w:rPr>
          <w:spacing w:val="20"/>
        </w:rPr>
        <w:t> </w:t>
      </w:r>
      <w:r>
        <w:rPr/>
        <w:t>callable</w:t>
      </w:r>
      <w:r>
        <w:rPr>
          <w:spacing w:val="20"/>
        </w:rPr>
        <w:t> </w:t>
      </w:r>
      <w:r>
        <w:rPr/>
        <w:t>guarantees</w:t>
      </w:r>
      <w:r>
        <w:rPr>
          <w:spacing w:val="20"/>
        </w:rPr>
        <w:t> </w:t>
      </w:r>
      <w:r>
        <w:rPr/>
        <w:t>totaled</w:t>
      </w:r>
      <w:r>
        <w:rPr>
          <w:spacing w:val="20"/>
        </w:rPr>
        <w:t> </w:t>
      </w:r>
      <w:r>
        <w:rPr/>
        <w:t>$250.4</w:t>
      </w:r>
      <w:r>
        <w:rPr>
          <w:spacing w:val="20"/>
        </w:rPr>
        <w:t> </w:t>
      </w:r>
      <w:r>
        <w:rPr/>
        <w:t>billion,</w:t>
      </w:r>
      <w:r>
        <w:rPr>
          <w:spacing w:val="20"/>
        </w:rPr>
        <w:t> </w:t>
      </w:r>
      <w:r>
        <w:rPr/>
        <w:t>or</w:t>
      </w:r>
      <w:r>
        <w:rPr>
          <w:spacing w:val="20"/>
        </w:rPr>
        <w:t> </w:t>
      </w:r>
      <w:r>
        <w:rPr/>
        <w:t>71%</w:t>
      </w:r>
      <w:r>
        <w:rPr>
          <w:spacing w:val="20"/>
        </w:rPr>
        <w:t> </w:t>
      </w:r>
      <w:r>
        <w:rPr/>
        <w:t>of</w:t>
      </w:r>
      <w:r>
        <w:rPr>
          <w:spacing w:val="20"/>
        </w:rPr>
        <w:t> </w:t>
      </w:r>
      <w:r>
        <w:rPr/>
        <w:t>the</w:t>
      </w:r>
      <w:r>
        <w:rPr>
          <w:spacing w:val="20"/>
        </w:rPr>
        <w:t> </w:t>
      </w:r>
      <w:r>
        <w:rPr/>
        <w:t>SLL.</w:t>
      </w:r>
      <w:r>
        <w:rPr>
          <w:spacing w:val="20"/>
        </w:rPr>
        <w:t> </w:t>
      </w:r>
      <w:r>
        <w:rPr/>
        <w:t>The</w:t>
      </w:r>
      <w:r>
        <w:rPr>
          <w:spacing w:val="20"/>
        </w:rPr>
        <w:t> </w:t>
      </w:r>
      <w:r>
        <w:rPr/>
        <w:t>EAL</w:t>
      </w:r>
      <w:r>
        <w:rPr>
          <w:spacing w:val="20"/>
        </w:rPr>
        <w:t> </w:t>
      </w:r>
      <w:r>
        <w:rPr/>
        <w:t>was</w:t>
      </w:r>
    </w:p>
    <w:p>
      <w:pPr>
        <w:pStyle w:val="BodyText"/>
        <w:spacing w:line="249" w:lineRule="auto" w:before="3"/>
        <w:ind w:left="720" w:right="718"/>
        <w:jc w:val="both"/>
      </w:pPr>
      <w:r>
        <w:rPr/>
        <w:t>$35.0 billion, as of June 30, 2023. The SLL was originally intended to ensure that sufficient resources are available to</w:t>
      </w:r>
      <w:r>
        <w:rPr>
          <w:spacing w:val="-1"/>
        </w:rPr>
        <w:t> </w:t>
      </w:r>
      <w:r>
        <w:rPr/>
        <w:t>meet</w:t>
      </w:r>
      <w:r>
        <w:rPr>
          <w:spacing w:val="-1"/>
        </w:rPr>
        <w:t> </w:t>
      </w:r>
      <w:r>
        <w:rPr/>
        <w:t>IBRD’s</w:t>
      </w:r>
      <w:r>
        <w:rPr>
          <w:spacing w:val="-1"/>
        </w:rPr>
        <w:t> </w:t>
      </w:r>
      <w:r>
        <w:rPr/>
        <w:t>obligations</w:t>
      </w:r>
      <w:r>
        <w:rPr>
          <w:spacing w:val="-1"/>
        </w:rPr>
        <w:t> </w:t>
      </w:r>
      <w:r>
        <w:rPr/>
        <w:t>to</w:t>
      </w:r>
      <w:r>
        <w:rPr>
          <w:spacing w:val="-1"/>
        </w:rPr>
        <w:t> </w:t>
      </w:r>
      <w:r>
        <w:rPr/>
        <w:t>bondholders</w:t>
      </w:r>
      <w:r>
        <w:rPr>
          <w:spacing w:val="-1"/>
        </w:rPr>
        <w:t> </w:t>
      </w:r>
      <w:r>
        <w:rPr/>
        <w:t>in</w:t>
      </w:r>
      <w:r>
        <w:rPr>
          <w:spacing w:val="-1"/>
        </w:rPr>
        <w:t> </w:t>
      </w:r>
      <w:r>
        <w:rPr/>
        <w:t>the</w:t>
      </w:r>
      <w:r>
        <w:rPr>
          <w:spacing w:val="-1"/>
        </w:rPr>
        <w:t> </w:t>
      </w:r>
      <w:r>
        <w:rPr/>
        <w:t>highly</w:t>
      </w:r>
      <w:r>
        <w:rPr>
          <w:spacing w:val="-1"/>
        </w:rPr>
        <w:t> </w:t>
      </w:r>
      <w:r>
        <w:rPr/>
        <w:t>unlikely</w:t>
      </w:r>
      <w:r>
        <w:rPr>
          <w:spacing w:val="-1"/>
        </w:rPr>
        <w:t> </w:t>
      </w:r>
      <w:r>
        <w:rPr/>
        <w:t>event</w:t>
      </w:r>
      <w:r>
        <w:rPr>
          <w:spacing w:val="-1"/>
        </w:rPr>
        <w:t> </w:t>
      </w:r>
      <w:r>
        <w:rPr/>
        <w:t>of</w:t>
      </w:r>
      <w:r>
        <w:rPr>
          <w:spacing w:val="-1"/>
        </w:rPr>
        <w:t> </w:t>
      </w:r>
      <w:r>
        <w:rPr/>
        <w:t>substantial</w:t>
      </w:r>
      <w:r>
        <w:rPr>
          <w:spacing w:val="-1"/>
        </w:rPr>
        <w:t> </w:t>
      </w:r>
      <w:r>
        <w:rPr/>
        <w:t>and</w:t>
      </w:r>
      <w:r>
        <w:rPr>
          <w:spacing w:val="-1"/>
        </w:rPr>
        <w:t> </w:t>
      </w:r>
      <w:r>
        <w:rPr/>
        <w:t>historically</w:t>
      </w:r>
      <w:r>
        <w:rPr>
          <w:spacing w:val="-1"/>
        </w:rPr>
        <w:t> </w:t>
      </w:r>
      <w:r>
        <w:rPr/>
        <w:t>unprecedented losses on IBRD’s loans. IBRD has subsequently adopted an internal risk-based capital adequacy framework based</w:t>
      </w:r>
      <w:r>
        <w:rPr>
          <w:spacing w:val="40"/>
        </w:rPr>
        <w:t> </w:t>
      </w:r>
      <w:r>
        <w:rPr/>
        <w:t>on</w:t>
      </w:r>
      <w:r>
        <w:rPr>
          <w:spacing w:val="-3"/>
        </w:rPr>
        <w:t> </w:t>
      </w:r>
      <w:r>
        <w:rPr/>
        <w:t>risk</w:t>
      </w:r>
      <w:r>
        <w:rPr>
          <w:spacing w:val="-3"/>
        </w:rPr>
        <w:t> </w:t>
      </w:r>
      <w:r>
        <w:rPr/>
        <w:t>management</w:t>
      </w:r>
      <w:r>
        <w:rPr>
          <w:spacing w:val="-3"/>
        </w:rPr>
        <w:t> </w:t>
      </w:r>
      <w:r>
        <w:rPr/>
        <w:t>practices</w:t>
      </w:r>
      <w:r>
        <w:rPr>
          <w:spacing w:val="-3"/>
        </w:rPr>
        <w:t> </w:t>
      </w:r>
      <w:r>
        <w:rPr/>
        <w:t>that</w:t>
      </w:r>
      <w:r>
        <w:rPr>
          <w:spacing w:val="-3"/>
        </w:rPr>
        <w:t> </w:t>
      </w:r>
      <w:r>
        <w:rPr/>
        <w:t>have</w:t>
      </w:r>
      <w:r>
        <w:rPr>
          <w:spacing w:val="-3"/>
        </w:rPr>
        <w:t> </w:t>
      </w:r>
      <w:r>
        <w:rPr/>
        <w:t>evolved</w:t>
      </w:r>
      <w:r>
        <w:rPr>
          <w:spacing w:val="-3"/>
        </w:rPr>
        <w:t> </w:t>
      </w:r>
      <w:r>
        <w:rPr/>
        <w:t>significantly</w:t>
      </w:r>
      <w:r>
        <w:rPr>
          <w:spacing w:val="-3"/>
        </w:rPr>
        <w:t> </w:t>
      </w:r>
      <w:r>
        <w:rPr/>
        <w:t>since</w:t>
      </w:r>
      <w:r>
        <w:rPr>
          <w:spacing w:val="-3"/>
        </w:rPr>
        <w:t> </w:t>
      </w:r>
      <w:r>
        <w:rPr/>
        <w:t>the</w:t>
      </w:r>
      <w:r>
        <w:rPr>
          <w:spacing w:val="-3"/>
        </w:rPr>
        <w:t> </w:t>
      </w:r>
      <w:r>
        <w:rPr/>
        <w:t>time</w:t>
      </w:r>
      <w:r>
        <w:rPr>
          <w:spacing w:val="-3"/>
        </w:rPr>
        <w:t> </w:t>
      </w:r>
      <w:r>
        <w:rPr/>
        <w:t>the</w:t>
      </w:r>
      <w:r>
        <w:rPr>
          <w:spacing w:val="-3"/>
        </w:rPr>
        <w:t> </w:t>
      </w:r>
      <w:r>
        <w:rPr/>
        <w:t>SLL</w:t>
      </w:r>
      <w:r>
        <w:rPr>
          <w:spacing w:val="-3"/>
        </w:rPr>
        <w:t> </w:t>
      </w:r>
      <w:r>
        <w:rPr/>
        <w:t>was</w:t>
      </w:r>
      <w:r>
        <w:rPr>
          <w:spacing w:val="-3"/>
        </w:rPr>
        <w:t> </w:t>
      </w:r>
      <w:r>
        <w:rPr/>
        <w:t>established.</w:t>
      </w:r>
      <w:r>
        <w:rPr>
          <w:spacing w:val="-3"/>
        </w:rPr>
        <w:t> </w:t>
      </w:r>
      <w:r>
        <w:rPr/>
        <w:t>The</w:t>
      </w:r>
      <w:r>
        <w:rPr>
          <w:spacing w:val="-3"/>
        </w:rPr>
        <w:t> </w:t>
      </w:r>
      <w:r>
        <w:rPr/>
        <w:t>SLL</w:t>
      </w:r>
      <w:r>
        <w:rPr>
          <w:spacing w:val="-3"/>
        </w:rPr>
        <w:t> </w:t>
      </w:r>
      <w:r>
        <w:rPr/>
        <w:t>is</w:t>
      </w:r>
      <w:r>
        <w:rPr>
          <w:spacing w:val="-3"/>
        </w:rPr>
        <w:t> </w:t>
      </w:r>
      <w:r>
        <w:rPr/>
        <w:t>not a risk-based metric, and could constrain IBRD’s lending capacity below levels that are consistent with its risk-based framework. Accordingly, IBRD is in the process of amending the Articles to remove the SLL. The Board of Governors</w:t>
      </w:r>
      <w:r>
        <w:rPr>
          <w:spacing w:val="-2"/>
        </w:rPr>
        <w:t> </w:t>
      </w:r>
      <w:r>
        <w:rPr/>
        <w:t>approved</w:t>
      </w:r>
      <w:r>
        <w:rPr>
          <w:spacing w:val="-2"/>
        </w:rPr>
        <w:t> </w:t>
      </w:r>
      <w:r>
        <w:rPr/>
        <w:t>a</w:t>
      </w:r>
      <w:r>
        <w:rPr>
          <w:spacing w:val="-2"/>
        </w:rPr>
        <w:t> </w:t>
      </w:r>
      <w:r>
        <w:rPr/>
        <w:t>Resolution</w:t>
      </w:r>
      <w:r>
        <w:rPr>
          <w:spacing w:val="-2"/>
        </w:rPr>
        <w:t> </w:t>
      </w:r>
      <w:r>
        <w:rPr/>
        <w:t>to</w:t>
      </w:r>
      <w:r>
        <w:rPr>
          <w:spacing w:val="-2"/>
        </w:rPr>
        <w:t> </w:t>
      </w:r>
      <w:r>
        <w:rPr/>
        <w:t>remove</w:t>
      </w:r>
      <w:r>
        <w:rPr>
          <w:spacing w:val="-2"/>
        </w:rPr>
        <w:t> </w:t>
      </w:r>
      <w:r>
        <w:rPr/>
        <w:t>the</w:t>
      </w:r>
      <w:r>
        <w:rPr>
          <w:spacing w:val="-2"/>
        </w:rPr>
        <w:t> </w:t>
      </w:r>
      <w:r>
        <w:rPr/>
        <w:t>SLL</w:t>
      </w:r>
      <w:r>
        <w:rPr>
          <w:spacing w:val="-2"/>
        </w:rPr>
        <w:t> </w:t>
      </w:r>
      <w:r>
        <w:rPr/>
        <w:t>on</w:t>
      </w:r>
      <w:r>
        <w:rPr>
          <w:spacing w:val="-2"/>
        </w:rPr>
        <w:t> </w:t>
      </w:r>
      <w:r>
        <w:rPr/>
        <w:t>July</w:t>
      </w:r>
      <w:r>
        <w:rPr>
          <w:spacing w:val="-2"/>
        </w:rPr>
        <w:t> </w:t>
      </w:r>
      <w:r>
        <w:rPr/>
        <w:t>10,</w:t>
      </w:r>
      <w:r>
        <w:rPr>
          <w:spacing w:val="-2"/>
        </w:rPr>
        <w:t> </w:t>
      </w:r>
      <w:r>
        <w:rPr/>
        <w:t>2023.</w:t>
      </w:r>
      <w:r>
        <w:rPr>
          <w:spacing w:val="-2"/>
        </w:rPr>
        <w:t> </w:t>
      </w:r>
      <w:r>
        <w:rPr/>
        <w:t>IBRD</w:t>
      </w:r>
      <w:r>
        <w:rPr>
          <w:spacing w:val="-2"/>
        </w:rPr>
        <w:t> </w:t>
      </w:r>
      <w:r>
        <w:rPr/>
        <w:t>is</w:t>
      </w:r>
      <w:r>
        <w:rPr>
          <w:spacing w:val="-2"/>
        </w:rPr>
        <w:t> </w:t>
      </w:r>
      <w:r>
        <w:rPr/>
        <w:t>now</w:t>
      </w:r>
      <w:r>
        <w:rPr>
          <w:spacing w:val="-2"/>
        </w:rPr>
        <w:t> </w:t>
      </w:r>
      <w:r>
        <w:rPr/>
        <w:t>going</w:t>
      </w:r>
      <w:r>
        <w:rPr>
          <w:spacing w:val="-2"/>
        </w:rPr>
        <w:t> </w:t>
      </w:r>
      <w:r>
        <w:rPr/>
        <w:t>through</w:t>
      </w:r>
      <w:r>
        <w:rPr>
          <w:spacing w:val="-2"/>
        </w:rPr>
        <w:t> </w:t>
      </w:r>
      <w:r>
        <w:rPr/>
        <w:t>the</w:t>
      </w:r>
      <w:r>
        <w:rPr>
          <w:spacing w:val="-2"/>
        </w:rPr>
        <w:t> </w:t>
      </w:r>
      <w:r>
        <w:rPr/>
        <w:t>final</w:t>
      </w:r>
      <w:r>
        <w:rPr>
          <w:spacing w:val="-2"/>
        </w:rPr>
        <w:t> </w:t>
      </w:r>
      <w:r>
        <w:rPr/>
        <w:t>stage</w:t>
      </w:r>
      <w:r>
        <w:rPr>
          <w:spacing w:val="-2"/>
        </w:rPr>
        <w:t> </w:t>
      </w:r>
      <w:r>
        <w:rPr/>
        <w:t>of the amendment process, which requires acceptance by three-fifths of the members having eighty-five percent of the voting power.</w:t>
      </w:r>
    </w:p>
    <w:p>
      <w:pPr>
        <w:pStyle w:val="BodyText"/>
        <w:spacing w:after="0" w:line="249" w:lineRule="auto"/>
        <w:jc w:val="both"/>
        <w:sectPr>
          <w:pgSz w:w="12240" w:h="15840"/>
          <w:pgMar w:header="744" w:footer="713" w:top="1020" w:bottom="900" w:left="720" w:right="720"/>
        </w:sectPr>
      </w:pPr>
    </w:p>
    <w:p>
      <w:pPr>
        <w:pStyle w:val="BodyText"/>
        <w:spacing w:before="100"/>
        <w:rPr>
          <w:sz w:val="22"/>
        </w:rPr>
      </w:pPr>
    </w:p>
    <w:p>
      <w:pPr>
        <w:pStyle w:val="Heading6"/>
      </w:pPr>
      <w:r>
        <w:rPr/>
        <w:t>Single</w:t>
      </w:r>
      <w:r>
        <w:rPr>
          <w:spacing w:val="-1"/>
        </w:rPr>
        <w:t> </w:t>
      </w:r>
      <w:r>
        <w:rPr/>
        <w:t>Borrower</w:t>
      </w:r>
      <w:r>
        <w:rPr>
          <w:spacing w:val="-1"/>
        </w:rPr>
        <w:t> </w:t>
      </w:r>
      <w:r>
        <w:rPr>
          <w:spacing w:val="-2"/>
        </w:rPr>
        <w:t>Limit</w:t>
      </w:r>
    </w:p>
    <w:p>
      <w:pPr>
        <w:pStyle w:val="BodyText"/>
        <w:spacing w:line="249" w:lineRule="auto" w:before="118"/>
        <w:ind w:left="720" w:right="717"/>
        <w:jc w:val="both"/>
      </w:pPr>
      <w:r>
        <w:rPr/>
        <w:t>The SBL amount is established, in part, by assessing its impact on overall portfolio risk relative to equity. The SBL caps the maximum exposure to IBRD’s most creditworthy and largest borrowing countries in terms of population and economic size. The SBL framework reflects a dual-SBL system, with the SBL for countries above the Graduation Discussion Income (GDI) threshold set lower than the SBL for countries below GDI. GDI is the level of GNI per capita of a member country above which graduation from IBRD starts being discussed. The GDI threshold was $7,445 as of July 1, 2022. Under the dual-SBL system, the SBL for FY23 was $28.0 billion for highly creditworthy</w:t>
      </w:r>
      <w:r>
        <w:rPr>
          <w:spacing w:val="39"/>
        </w:rPr>
        <w:t> </w:t>
      </w:r>
      <w:r>
        <w:rPr/>
        <w:t>countries</w:t>
      </w:r>
      <w:r>
        <w:rPr>
          <w:spacing w:val="39"/>
        </w:rPr>
        <w:t> </w:t>
      </w:r>
      <w:r>
        <w:rPr/>
        <w:t>below</w:t>
      </w:r>
      <w:r>
        <w:rPr>
          <w:spacing w:val="39"/>
        </w:rPr>
        <w:t> </w:t>
      </w:r>
      <w:r>
        <w:rPr/>
        <w:t>the</w:t>
      </w:r>
      <w:r>
        <w:rPr>
          <w:spacing w:val="39"/>
        </w:rPr>
        <w:t> </w:t>
      </w:r>
      <w:r>
        <w:rPr/>
        <w:t>GDI</w:t>
      </w:r>
      <w:r>
        <w:rPr>
          <w:spacing w:val="39"/>
        </w:rPr>
        <w:t> </w:t>
      </w:r>
      <w:r>
        <w:rPr/>
        <w:t>and</w:t>
      </w:r>
      <w:r>
        <w:rPr>
          <w:spacing w:val="39"/>
        </w:rPr>
        <w:t> </w:t>
      </w:r>
      <w:r>
        <w:rPr/>
        <w:t>$21.2</w:t>
      </w:r>
      <w:r>
        <w:rPr>
          <w:spacing w:val="39"/>
        </w:rPr>
        <w:t> </w:t>
      </w:r>
      <w:r>
        <w:rPr/>
        <w:t>billion</w:t>
      </w:r>
      <w:r>
        <w:rPr>
          <w:spacing w:val="39"/>
        </w:rPr>
        <w:t> </w:t>
      </w:r>
      <w:r>
        <w:rPr/>
        <w:t>for</w:t>
      </w:r>
      <w:r>
        <w:rPr>
          <w:spacing w:val="39"/>
        </w:rPr>
        <w:t> </w:t>
      </w:r>
      <w:r>
        <w:rPr/>
        <w:t>highly</w:t>
      </w:r>
      <w:r>
        <w:rPr>
          <w:spacing w:val="39"/>
        </w:rPr>
        <w:t> </w:t>
      </w:r>
      <w:r>
        <w:rPr/>
        <w:t>creditworthy</w:t>
      </w:r>
      <w:r>
        <w:rPr>
          <w:spacing w:val="39"/>
        </w:rPr>
        <w:t> </w:t>
      </w:r>
      <w:r>
        <w:rPr/>
        <w:t>countries</w:t>
      </w:r>
      <w:r>
        <w:rPr>
          <w:spacing w:val="39"/>
        </w:rPr>
        <w:t> </w:t>
      </w:r>
      <w:r>
        <w:rPr/>
        <w:t>above</w:t>
      </w:r>
      <w:r>
        <w:rPr>
          <w:spacing w:val="39"/>
        </w:rPr>
        <w:t> </w:t>
      </w:r>
      <w:r>
        <w:rPr/>
        <w:t>the</w:t>
      </w:r>
      <w:r>
        <w:rPr>
          <w:spacing w:val="39"/>
        </w:rPr>
        <w:t> </w:t>
      </w:r>
      <w:r>
        <w:rPr/>
        <w:t>GDI.</w:t>
      </w:r>
      <w:r>
        <w:rPr>
          <w:spacing w:val="39"/>
        </w:rPr>
        <w:t> </w:t>
      </w:r>
      <w:r>
        <w:rPr/>
        <w:t>On June 29, 2023, the Board approved the FY24 SBL limits of $28.9 billion and $21.2 billion, respectively.</w:t>
      </w:r>
      <w:r>
        <w:rPr>
          <w:spacing w:val="40"/>
        </w:rPr>
        <w:t> </w:t>
      </w:r>
      <w:r>
        <w:rPr/>
        <w:t>The SBL framework also contains a 50-basis point surcharge (SBL surcharge) payable on the incremental exposure in excess of the SBL surcharge threshold (defined as $2.5 billion below the SBL for the respective GDI group). In the event that a borrowing country eligible for one of the limits set under the SBL framework is downgraded to the high-risk category, management may determine that the borrowing country continue to be eligible for borrowing at the currently applicable limit, but the borrowing country would not be eligible for any future increases in the SBL approved by the Board. During FY23, there were two countries below-GDI and two countries above-GDI, which have their exposure limits set at the applicable SBLs. For all other countries, the individual country exposure limits were set below the relevant SBL. In the context of IBRD’s overall response to the impact of the COVID-19 crisis,</w:t>
      </w:r>
      <w:r>
        <w:rPr>
          <w:spacing w:val="40"/>
        </w:rPr>
        <w:t> </w:t>
      </w:r>
      <w:r>
        <w:rPr/>
        <w:t>on June 17, 2021, the Board</w:t>
      </w:r>
      <w:r>
        <w:rPr>
          <w:spacing w:val="40"/>
        </w:rPr>
        <w:t> </w:t>
      </w:r>
      <w:r>
        <w:rPr/>
        <w:t>approved</w:t>
      </w:r>
      <w:r>
        <w:rPr>
          <w:spacing w:val="40"/>
        </w:rPr>
        <w:t> </w:t>
      </w:r>
      <w:r>
        <w:rPr/>
        <w:t>temporary relief from the SBL surcharge by excluding all financings approved between May 20, 2021 and the end of FY23 for purposes of calculating whether a country’s exposure exceeds the SBL surcharge threshold. Operations excluded from the SBL surcharge calculation will continue to count towards SBL compliance.</w:t>
      </w:r>
    </w:p>
    <w:p>
      <w:pPr>
        <w:pStyle w:val="BodyText"/>
        <w:spacing w:line="249" w:lineRule="auto" w:before="76"/>
        <w:ind w:left="720" w:right="718"/>
        <w:jc w:val="both"/>
      </w:pPr>
      <w:r>
        <w:rPr/>
        <w:t>As</w:t>
      </w:r>
      <w:r>
        <w:rPr>
          <w:spacing w:val="-1"/>
        </w:rPr>
        <w:t> </w:t>
      </w:r>
      <w:r>
        <w:rPr/>
        <w:t>of June</w:t>
      </w:r>
      <w:r>
        <w:rPr>
          <w:spacing w:val="-1"/>
        </w:rPr>
        <w:t> </w:t>
      </w:r>
      <w:r>
        <w:rPr/>
        <w:t>30, 2023, the</w:t>
      </w:r>
      <w:r>
        <w:rPr>
          <w:spacing w:val="-1"/>
        </w:rPr>
        <w:t> </w:t>
      </w:r>
      <w:r>
        <w:rPr/>
        <w:t>ten countries</w:t>
      </w:r>
      <w:r>
        <w:rPr>
          <w:spacing w:val="-1"/>
        </w:rPr>
        <w:t> </w:t>
      </w:r>
      <w:r>
        <w:rPr/>
        <w:t>with the</w:t>
      </w:r>
      <w:r>
        <w:rPr>
          <w:spacing w:val="-1"/>
        </w:rPr>
        <w:t> </w:t>
      </w:r>
      <w:r>
        <w:rPr/>
        <w:t>highest</w:t>
      </w:r>
      <w:r>
        <w:rPr>
          <w:spacing w:val="-1"/>
        </w:rPr>
        <w:t> </w:t>
      </w:r>
      <w:r>
        <w:rPr/>
        <w:t>exposures</w:t>
      </w:r>
      <w:r>
        <w:rPr>
          <w:spacing w:val="-1"/>
        </w:rPr>
        <w:t> </w:t>
      </w:r>
      <w:r>
        <w:rPr/>
        <w:t>accounted for about</w:t>
      </w:r>
      <w:r>
        <w:rPr>
          <w:spacing w:val="-1"/>
        </w:rPr>
        <w:t> </w:t>
      </w:r>
      <w:r>
        <w:rPr/>
        <w:t>60% of IBRD’s</w:t>
      </w:r>
      <w:r>
        <w:rPr>
          <w:spacing w:val="-1"/>
        </w:rPr>
        <w:t> </w:t>
      </w:r>
      <w:r>
        <w:rPr/>
        <w:t>total</w:t>
      </w:r>
      <w:r>
        <w:rPr>
          <w:spacing w:val="-1"/>
        </w:rPr>
        <w:t> </w:t>
      </w:r>
      <w:r>
        <w:rPr/>
        <w:t>exposure (Figure</w:t>
      </w:r>
      <w:r>
        <w:rPr>
          <w:spacing w:val="19"/>
        </w:rPr>
        <w:t> </w:t>
      </w:r>
      <w:r>
        <w:rPr/>
        <w:t>20:</w:t>
      </w:r>
      <w:r>
        <w:rPr>
          <w:spacing w:val="19"/>
        </w:rPr>
        <w:t> </w:t>
      </w:r>
      <w:r>
        <w:rPr/>
        <w:t>Country</w:t>
      </w:r>
      <w:r>
        <w:rPr>
          <w:spacing w:val="20"/>
        </w:rPr>
        <w:t> </w:t>
      </w:r>
      <w:r>
        <w:rPr/>
        <w:t>Exposures</w:t>
      </w:r>
      <w:r>
        <w:rPr>
          <w:spacing w:val="19"/>
        </w:rPr>
        <w:t> </w:t>
      </w:r>
      <w:r>
        <w:rPr/>
        <w:t>as</w:t>
      </w:r>
      <w:r>
        <w:rPr>
          <w:spacing w:val="20"/>
        </w:rPr>
        <w:t> </w:t>
      </w:r>
      <w:r>
        <w:rPr/>
        <w:t>of</w:t>
      </w:r>
      <w:r>
        <w:rPr>
          <w:spacing w:val="19"/>
        </w:rPr>
        <w:t> </w:t>
      </w:r>
      <w:r>
        <w:rPr/>
        <w:t>June</w:t>
      </w:r>
      <w:r>
        <w:rPr>
          <w:spacing w:val="20"/>
        </w:rPr>
        <w:t> </w:t>
      </w:r>
      <w:r>
        <w:rPr/>
        <w:t>30,</w:t>
      </w:r>
      <w:r>
        <w:rPr>
          <w:spacing w:val="19"/>
        </w:rPr>
        <w:t> </w:t>
      </w:r>
      <w:r>
        <w:rPr/>
        <w:t>2023).</w:t>
      </w:r>
      <w:r>
        <w:rPr>
          <w:spacing w:val="20"/>
        </w:rPr>
        <w:t> </w:t>
      </w:r>
      <w:r>
        <w:rPr/>
        <w:t>IBRD’s</w:t>
      </w:r>
      <w:r>
        <w:rPr>
          <w:spacing w:val="19"/>
        </w:rPr>
        <w:t> </w:t>
      </w:r>
      <w:r>
        <w:rPr/>
        <w:t>largest</w:t>
      </w:r>
      <w:r>
        <w:rPr>
          <w:spacing w:val="20"/>
        </w:rPr>
        <w:t> </w:t>
      </w:r>
      <w:r>
        <w:rPr/>
        <w:t>exposure</w:t>
      </w:r>
      <w:r>
        <w:rPr>
          <w:spacing w:val="19"/>
        </w:rPr>
        <w:t> </w:t>
      </w:r>
      <w:r>
        <w:rPr/>
        <w:t>to</w:t>
      </w:r>
      <w:r>
        <w:rPr>
          <w:spacing w:val="20"/>
        </w:rPr>
        <w:t> </w:t>
      </w:r>
      <w:r>
        <w:rPr/>
        <w:t>a</w:t>
      </w:r>
      <w:r>
        <w:rPr>
          <w:spacing w:val="19"/>
        </w:rPr>
        <w:t> </w:t>
      </w:r>
      <w:r>
        <w:rPr/>
        <w:t>single</w:t>
      </w:r>
      <w:r>
        <w:rPr>
          <w:spacing w:val="20"/>
        </w:rPr>
        <w:t> </w:t>
      </w:r>
      <w:r>
        <w:rPr/>
        <w:t>borrowing</w:t>
      </w:r>
      <w:r>
        <w:rPr>
          <w:spacing w:val="19"/>
        </w:rPr>
        <w:t> </w:t>
      </w:r>
      <w:r>
        <w:rPr/>
        <w:t>country</w:t>
      </w:r>
      <w:r>
        <w:rPr>
          <w:spacing w:val="20"/>
        </w:rPr>
        <w:t> </w:t>
      </w:r>
      <w:r>
        <w:rPr>
          <w:spacing w:val="-5"/>
        </w:rPr>
        <w:t>was</w:t>
      </w:r>
    </w:p>
    <w:p>
      <w:pPr>
        <w:pStyle w:val="BodyText"/>
        <w:spacing w:line="249" w:lineRule="auto" w:before="2"/>
        <w:ind w:left="720" w:right="719"/>
        <w:jc w:val="both"/>
      </w:pPr>
      <w:r>
        <w:rPr/>
        <w:t>$20.1 billion on June 30, 2023. Monitoring these exposures relative to the limit, however, requires consideration of the repayment profiles of existing loans, as well as disbursement profiles and projected new loans and guarantees.</w:t>
      </w:r>
    </w:p>
    <w:p>
      <w:pPr>
        <w:pStyle w:val="Heading6"/>
        <w:spacing w:before="117"/>
      </w:pPr>
      <w:r>
        <w:rPr/>
        <w:t>Sustainable</w:t>
      </w:r>
      <w:r>
        <w:rPr>
          <w:spacing w:val="-2"/>
        </w:rPr>
        <w:t> </w:t>
      </w:r>
      <w:r>
        <w:rPr/>
        <w:t>Annual</w:t>
      </w:r>
      <w:r>
        <w:rPr>
          <w:spacing w:val="-1"/>
        </w:rPr>
        <w:t> </w:t>
      </w:r>
      <w:r>
        <w:rPr/>
        <w:t>Lending</w:t>
      </w:r>
      <w:r>
        <w:rPr>
          <w:spacing w:val="-1"/>
        </w:rPr>
        <w:t> </w:t>
      </w:r>
      <w:r>
        <w:rPr/>
        <w:t>Limit</w:t>
      </w:r>
      <w:r>
        <w:rPr>
          <w:spacing w:val="-1"/>
        </w:rPr>
        <w:t> </w:t>
      </w:r>
      <w:r>
        <w:rPr>
          <w:spacing w:val="-2"/>
        </w:rPr>
        <w:t>(SALL)</w:t>
      </w:r>
    </w:p>
    <w:p>
      <w:pPr>
        <w:pStyle w:val="BodyText"/>
        <w:spacing w:line="249" w:lineRule="auto" w:before="92"/>
        <w:ind w:left="720" w:right="718"/>
        <w:jc w:val="both"/>
      </w:pPr>
      <w:r>
        <w:rPr/>
        <w:t>The “Financial Sustainability Framework” (FSF) requires IBRD to align its annual lending levels to its long-term sustainable capacity, while retaining flexibility to respond to crises by maintaining a crisis buffer.</w:t>
      </w:r>
    </w:p>
    <w:p>
      <w:pPr>
        <w:pStyle w:val="BodyText"/>
        <w:spacing w:line="249" w:lineRule="auto" w:before="61"/>
        <w:ind w:left="720" w:right="718"/>
        <w:jc w:val="both"/>
      </w:pPr>
      <w:r>
        <w:rPr/>
        <w:t>The SALL is the maximum annual commitment level sustainable, in real terms, for 10 years in line with IBRD’s capital adequacy framework and the Statutory Lending Limit set out in IBRD’s Articles, as determined by management. Under the FSF, the Board annually approves a crisis buffer. The crisis buffer-adjusted sustainable annual lending limit (SALL-Adj) serves as the upper bound for regular lending in the next year. For the fiscal year ending June 30, 2023, the Board had approved a crisis buffer of $5.0 billion and a SALL-Adj of $27.0 billion. On June 27, 2023, the Board approved a crisis buffer of $10.0 billion for FY24. The corresponding SALL-Adj, which will be the lending ceiling for FY24, is $36.0 billion.</w:t>
      </w:r>
    </w:p>
    <w:p>
      <w:pPr>
        <w:spacing w:before="136"/>
        <w:ind w:left="720" w:right="0" w:firstLine="0"/>
        <w:jc w:val="both"/>
        <w:rPr>
          <w:rFonts w:ascii="Arial"/>
          <w:b/>
          <w:sz w:val="18"/>
        </w:rPr>
      </w:pPr>
      <w:bookmarkStart w:name="_bookmark77" w:id="116"/>
      <w:bookmarkEnd w:id="116"/>
      <w:r>
        <w:rPr/>
      </w:r>
      <w:r>
        <w:rPr>
          <w:rFonts w:ascii="Arial"/>
          <w:b/>
          <w:sz w:val="18"/>
        </w:rPr>
        <w:t>Figure</w:t>
      </w:r>
      <w:r>
        <w:rPr>
          <w:rFonts w:ascii="Arial"/>
          <w:b/>
          <w:spacing w:val="-2"/>
          <w:sz w:val="18"/>
        </w:rPr>
        <w:t> </w:t>
      </w:r>
      <w:r>
        <w:rPr>
          <w:rFonts w:ascii="Arial"/>
          <w:b/>
          <w:sz w:val="18"/>
        </w:rPr>
        <w:t>20:</w:t>
      </w:r>
      <w:r>
        <w:rPr>
          <w:rFonts w:ascii="Arial"/>
          <w:b/>
          <w:spacing w:val="-2"/>
          <w:sz w:val="18"/>
        </w:rPr>
        <w:t> </w:t>
      </w:r>
      <w:r>
        <w:rPr>
          <w:rFonts w:ascii="Arial"/>
          <w:b/>
          <w:sz w:val="18"/>
        </w:rPr>
        <w:t>Country</w:t>
      </w:r>
      <w:r>
        <w:rPr>
          <w:rFonts w:ascii="Arial"/>
          <w:b/>
          <w:spacing w:val="-1"/>
          <w:sz w:val="18"/>
        </w:rPr>
        <w:t> </w:t>
      </w:r>
      <w:r>
        <w:rPr>
          <w:rFonts w:ascii="Arial"/>
          <w:b/>
          <w:sz w:val="18"/>
        </w:rPr>
        <w:t>Exposures</w:t>
      </w:r>
      <w:r>
        <w:rPr>
          <w:rFonts w:ascii="Arial"/>
          <w:b/>
          <w:spacing w:val="-2"/>
          <w:sz w:val="18"/>
        </w:rPr>
        <w:t> </w:t>
      </w:r>
      <w:r>
        <w:rPr>
          <w:rFonts w:ascii="Arial"/>
          <w:b/>
          <w:sz w:val="18"/>
        </w:rPr>
        <w:t>as</w:t>
      </w:r>
      <w:r>
        <w:rPr>
          <w:rFonts w:ascii="Arial"/>
          <w:b/>
          <w:spacing w:val="-2"/>
          <w:sz w:val="18"/>
        </w:rPr>
        <w:t> </w:t>
      </w:r>
      <w:r>
        <w:rPr>
          <w:rFonts w:ascii="Arial"/>
          <w:b/>
          <w:sz w:val="18"/>
        </w:rPr>
        <w:t>of</w:t>
      </w:r>
      <w:r>
        <w:rPr>
          <w:rFonts w:ascii="Arial"/>
          <w:b/>
          <w:spacing w:val="-1"/>
          <w:sz w:val="18"/>
        </w:rPr>
        <w:t> </w:t>
      </w:r>
      <w:r>
        <w:rPr>
          <w:rFonts w:ascii="Arial"/>
          <w:b/>
          <w:sz w:val="18"/>
        </w:rPr>
        <w:t>June</w:t>
      </w:r>
      <w:r>
        <w:rPr>
          <w:rFonts w:ascii="Arial"/>
          <w:b/>
          <w:spacing w:val="-2"/>
          <w:sz w:val="18"/>
        </w:rPr>
        <w:t> </w:t>
      </w:r>
      <w:r>
        <w:rPr>
          <w:rFonts w:ascii="Arial"/>
          <w:b/>
          <w:sz w:val="18"/>
        </w:rPr>
        <w:t>30,</w:t>
      </w:r>
      <w:r>
        <w:rPr>
          <w:rFonts w:ascii="Arial"/>
          <w:b/>
          <w:spacing w:val="-1"/>
          <w:sz w:val="18"/>
        </w:rPr>
        <w:t> </w:t>
      </w:r>
      <w:r>
        <w:rPr>
          <w:rFonts w:ascii="Arial"/>
          <w:b/>
          <w:spacing w:val="-4"/>
          <w:sz w:val="18"/>
        </w:rPr>
        <w:t>2023</w:t>
      </w:r>
    </w:p>
    <w:p>
      <w:pPr>
        <w:spacing w:before="14"/>
        <w:ind w:left="720" w:right="0" w:firstLine="0"/>
        <w:jc w:val="both"/>
        <w:rPr>
          <w:rFonts w:ascii="Arial"/>
          <w:i/>
          <w:sz w:val="16"/>
        </w:rPr>
      </w:pPr>
      <w:r>
        <w:rPr>
          <w:rFonts w:ascii="Arial"/>
          <w:i/>
          <w:sz w:val="16"/>
        </w:rPr>
        <w:t>In</w:t>
      </w:r>
      <w:r>
        <w:rPr>
          <w:rFonts w:ascii="Arial"/>
          <w:i/>
          <w:spacing w:val="-4"/>
          <w:sz w:val="16"/>
        </w:rPr>
        <w:t> </w:t>
      </w:r>
      <w:r>
        <w:rPr>
          <w:rFonts w:ascii="Arial"/>
          <w:i/>
          <w:sz w:val="16"/>
        </w:rPr>
        <w:t>billions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54"/>
        <w:rPr>
          <w:rFonts w:ascii="Arial"/>
          <w:i/>
        </w:rPr>
      </w:pPr>
    </w:p>
    <w:p>
      <w:pPr>
        <w:pStyle w:val="Heading8"/>
        <w:spacing w:before="0"/>
        <w:ind w:left="0" w:right="730"/>
        <w:jc w:val="center"/>
        <w:rPr>
          <w:rFonts w:ascii="Arial"/>
        </w:rPr>
      </w:pPr>
      <w:r>
        <w:rPr>
          <w:rFonts w:ascii="Arial"/>
        </w:rPr>
        <w:t>Top</w:t>
      </w:r>
      <w:r>
        <w:rPr>
          <w:rFonts w:ascii="Arial"/>
          <w:spacing w:val="-1"/>
        </w:rPr>
        <w:t> </w:t>
      </w:r>
      <w:r>
        <w:rPr>
          <w:rFonts w:ascii="Arial"/>
        </w:rPr>
        <w:t>Ten</w:t>
      </w:r>
      <w:r>
        <w:rPr>
          <w:rFonts w:ascii="Arial"/>
          <w:spacing w:val="-1"/>
        </w:rPr>
        <w:t> </w:t>
      </w:r>
      <w:r>
        <w:rPr>
          <w:rFonts w:ascii="Arial"/>
        </w:rPr>
        <w:t>Country</w:t>
      </w:r>
      <w:r>
        <w:rPr>
          <w:rFonts w:ascii="Arial"/>
          <w:spacing w:val="-1"/>
        </w:rPr>
        <w:t> </w:t>
      </w:r>
      <w:r>
        <w:rPr>
          <w:rFonts w:ascii="Arial"/>
          <w:spacing w:val="-2"/>
        </w:rPr>
        <w:t>Exposures</w:t>
      </w:r>
    </w:p>
    <w:p>
      <w:pPr>
        <w:pStyle w:val="BodyText"/>
        <w:spacing w:before="119"/>
        <w:rPr>
          <w:rFonts w:ascii="Arial"/>
          <w:b/>
          <w:sz w:val="16"/>
        </w:rPr>
      </w:pPr>
    </w:p>
    <w:p>
      <w:pPr>
        <w:spacing w:line="292" w:lineRule="auto" w:before="1"/>
        <w:ind w:left="1902" w:right="8201" w:firstLine="346"/>
        <w:jc w:val="right"/>
        <w:rPr>
          <w:rFonts w:ascii="Arial MT"/>
          <w:sz w:val="16"/>
        </w:rPr>
      </w:pPr>
      <w:r>
        <w:rPr>
          <w:rFonts w:ascii="Arial MT"/>
          <w:sz w:val="16"/>
        </w:rPr>
        <mc:AlternateContent>
          <mc:Choice Requires="wps">
            <w:drawing>
              <wp:anchor distT="0" distB="0" distL="0" distR="0" allowOverlap="1" layoutInCell="1" locked="0" behindDoc="0" simplePos="0" relativeHeight="15796224">
                <wp:simplePos x="0" y="0"/>
                <wp:positionH relativeFrom="page">
                  <wp:posOffset>2200275</wp:posOffset>
                </wp:positionH>
                <wp:positionV relativeFrom="paragraph">
                  <wp:posOffset>-16115</wp:posOffset>
                </wp:positionV>
                <wp:extent cx="4057650" cy="1447800"/>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4057650" cy="1447800"/>
                          <a:chExt cx="4057650" cy="1447800"/>
                        </a:xfrm>
                      </wpg:grpSpPr>
                      <wps:wsp>
                        <wps:cNvPr id="483" name="Graphic 483"/>
                        <wps:cNvSpPr/>
                        <wps:spPr>
                          <a:xfrm>
                            <a:off x="0" y="71437"/>
                            <a:ext cx="4053204" cy="1376680"/>
                          </a:xfrm>
                          <a:custGeom>
                            <a:avLst/>
                            <a:gdLst/>
                            <a:ahLst/>
                            <a:cxnLst/>
                            <a:rect l="l" t="t" r="r" b="b"/>
                            <a:pathLst>
                              <a:path w="4053204" h="1376680">
                                <a:moveTo>
                                  <a:pt x="57150" y="0"/>
                                </a:moveTo>
                                <a:lnTo>
                                  <a:pt x="0" y="0"/>
                                </a:lnTo>
                              </a:path>
                              <a:path w="4053204" h="1376680">
                                <a:moveTo>
                                  <a:pt x="57150" y="142875"/>
                                </a:moveTo>
                                <a:lnTo>
                                  <a:pt x="0" y="142875"/>
                                </a:lnTo>
                              </a:path>
                              <a:path w="4053204" h="1376680">
                                <a:moveTo>
                                  <a:pt x="57150" y="285750"/>
                                </a:moveTo>
                                <a:lnTo>
                                  <a:pt x="0" y="285750"/>
                                </a:lnTo>
                              </a:path>
                              <a:path w="4053204" h="1376680">
                                <a:moveTo>
                                  <a:pt x="57150" y="419100"/>
                                </a:moveTo>
                                <a:lnTo>
                                  <a:pt x="0" y="419100"/>
                                </a:lnTo>
                              </a:path>
                              <a:path w="4053204" h="1376680">
                                <a:moveTo>
                                  <a:pt x="57150" y="561975"/>
                                </a:moveTo>
                                <a:lnTo>
                                  <a:pt x="0" y="561975"/>
                                </a:lnTo>
                              </a:path>
                              <a:path w="4053204" h="1376680">
                                <a:moveTo>
                                  <a:pt x="57150" y="695325"/>
                                </a:moveTo>
                                <a:lnTo>
                                  <a:pt x="0" y="695325"/>
                                </a:lnTo>
                              </a:path>
                              <a:path w="4053204" h="1376680">
                                <a:moveTo>
                                  <a:pt x="57150" y="838200"/>
                                </a:moveTo>
                                <a:lnTo>
                                  <a:pt x="0" y="838200"/>
                                </a:lnTo>
                              </a:path>
                              <a:path w="4053204" h="1376680">
                                <a:moveTo>
                                  <a:pt x="57150" y="981075"/>
                                </a:moveTo>
                                <a:lnTo>
                                  <a:pt x="0" y="981075"/>
                                </a:lnTo>
                              </a:path>
                              <a:path w="4053204" h="1376680">
                                <a:moveTo>
                                  <a:pt x="57150" y="1114425"/>
                                </a:moveTo>
                                <a:lnTo>
                                  <a:pt x="0" y="1114425"/>
                                </a:lnTo>
                              </a:path>
                              <a:path w="4053204" h="1376680">
                                <a:moveTo>
                                  <a:pt x="57150" y="1257300"/>
                                </a:moveTo>
                                <a:lnTo>
                                  <a:pt x="0" y="1257300"/>
                                </a:lnTo>
                              </a:path>
                              <a:path w="4053204" h="1376680">
                                <a:moveTo>
                                  <a:pt x="52387" y="1319212"/>
                                </a:moveTo>
                                <a:lnTo>
                                  <a:pt x="52387" y="1376362"/>
                                </a:lnTo>
                              </a:path>
                              <a:path w="4053204" h="1376680">
                                <a:moveTo>
                                  <a:pt x="414337" y="1319212"/>
                                </a:moveTo>
                                <a:lnTo>
                                  <a:pt x="414337" y="1376362"/>
                                </a:lnTo>
                              </a:path>
                              <a:path w="4053204" h="1376680">
                                <a:moveTo>
                                  <a:pt x="776287" y="1319212"/>
                                </a:moveTo>
                                <a:lnTo>
                                  <a:pt x="776287" y="1376362"/>
                                </a:lnTo>
                              </a:path>
                              <a:path w="4053204" h="1376680">
                                <a:moveTo>
                                  <a:pt x="1138237" y="1319212"/>
                                </a:moveTo>
                                <a:lnTo>
                                  <a:pt x="1138237" y="1376362"/>
                                </a:lnTo>
                              </a:path>
                              <a:path w="4053204" h="1376680">
                                <a:moveTo>
                                  <a:pt x="1500187" y="1319212"/>
                                </a:moveTo>
                                <a:lnTo>
                                  <a:pt x="1500187" y="1376362"/>
                                </a:lnTo>
                              </a:path>
                              <a:path w="4053204" h="1376680">
                                <a:moveTo>
                                  <a:pt x="1862137" y="1319212"/>
                                </a:moveTo>
                                <a:lnTo>
                                  <a:pt x="1862137" y="1376362"/>
                                </a:lnTo>
                              </a:path>
                              <a:path w="4053204" h="1376680">
                                <a:moveTo>
                                  <a:pt x="2233612" y="1319212"/>
                                </a:moveTo>
                                <a:lnTo>
                                  <a:pt x="2233612" y="1376362"/>
                                </a:lnTo>
                              </a:path>
                              <a:path w="4053204" h="1376680">
                                <a:moveTo>
                                  <a:pt x="2595562" y="1319212"/>
                                </a:moveTo>
                                <a:lnTo>
                                  <a:pt x="2595562" y="1376362"/>
                                </a:lnTo>
                              </a:path>
                              <a:path w="4053204" h="1376680">
                                <a:moveTo>
                                  <a:pt x="2957512" y="1319212"/>
                                </a:moveTo>
                                <a:lnTo>
                                  <a:pt x="2957512" y="1376362"/>
                                </a:lnTo>
                              </a:path>
                              <a:path w="4053204" h="1376680">
                                <a:moveTo>
                                  <a:pt x="3319462" y="1319212"/>
                                </a:moveTo>
                                <a:lnTo>
                                  <a:pt x="3319462" y="1376362"/>
                                </a:lnTo>
                              </a:path>
                              <a:path w="4053204" h="1376680">
                                <a:moveTo>
                                  <a:pt x="3681412" y="1319212"/>
                                </a:moveTo>
                                <a:lnTo>
                                  <a:pt x="3681412" y="1376362"/>
                                </a:lnTo>
                              </a:path>
                              <a:path w="4053204" h="1376680">
                                <a:moveTo>
                                  <a:pt x="4052887" y="1319212"/>
                                </a:moveTo>
                                <a:lnTo>
                                  <a:pt x="4052887" y="1376362"/>
                                </a:lnTo>
                              </a:path>
                              <a:path w="4053204" h="1376680">
                                <a:moveTo>
                                  <a:pt x="57150" y="1323975"/>
                                </a:moveTo>
                                <a:lnTo>
                                  <a:pt x="4048125" y="1323975"/>
                                </a:lnTo>
                              </a:path>
                            </a:pathLst>
                          </a:custGeom>
                          <a:ln w="9525">
                            <a:solidFill>
                              <a:srgbClr val="8A8A8A"/>
                            </a:solidFill>
                            <a:prstDash val="solid"/>
                          </a:ln>
                        </wps:spPr>
                        <wps:bodyPr wrap="square" lIns="0" tIns="0" rIns="0" bIns="0" rtlCol="0">
                          <a:prstTxWarp prst="textNoShape">
                            <a:avLst/>
                          </a:prstTxWarp>
                          <a:noAutofit/>
                        </wps:bodyPr>
                      </wps:wsp>
                      <wps:wsp>
                        <wps:cNvPr id="484" name="Graphic 484"/>
                        <wps:cNvSpPr/>
                        <wps:spPr>
                          <a:xfrm>
                            <a:off x="52387" y="0"/>
                            <a:ext cx="1270" cy="1390650"/>
                          </a:xfrm>
                          <a:custGeom>
                            <a:avLst/>
                            <a:gdLst/>
                            <a:ahLst/>
                            <a:cxnLst/>
                            <a:rect l="l" t="t" r="r" b="b"/>
                            <a:pathLst>
                              <a:path w="0" h="1390650">
                                <a:moveTo>
                                  <a:pt x="0" y="0"/>
                                </a:moveTo>
                                <a:lnTo>
                                  <a:pt x="0" y="1390650"/>
                                </a:lnTo>
                              </a:path>
                            </a:pathLst>
                          </a:custGeom>
                          <a:ln w="9525">
                            <a:solidFill>
                              <a:srgbClr val="494949"/>
                            </a:solidFill>
                            <a:prstDash val="solid"/>
                          </a:ln>
                        </wps:spPr>
                        <wps:bodyPr wrap="square" lIns="0" tIns="0" rIns="0" bIns="0" rtlCol="0">
                          <a:prstTxWarp prst="textNoShape">
                            <a:avLst/>
                          </a:prstTxWarp>
                          <a:noAutofit/>
                        </wps:bodyPr>
                      </wps:wsp>
                      <wps:wsp>
                        <wps:cNvPr id="485" name="Graphic 485"/>
                        <wps:cNvSpPr/>
                        <wps:spPr>
                          <a:xfrm>
                            <a:off x="57150" y="18097"/>
                            <a:ext cx="3638550" cy="1346835"/>
                          </a:xfrm>
                          <a:custGeom>
                            <a:avLst/>
                            <a:gdLst/>
                            <a:ahLst/>
                            <a:cxnLst/>
                            <a:rect l="l" t="t" r="r" b="b"/>
                            <a:pathLst>
                              <a:path w="3638550" h="1346835">
                                <a:moveTo>
                                  <a:pt x="1762125" y="1251585"/>
                                </a:moveTo>
                                <a:lnTo>
                                  <a:pt x="0" y="1251585"/>
                                </a:lnTo>
                                <a:lnTo>
                                  <a:pt x="0" y="1346835"/>
                                </a:lnTo>
                                <a:lnTo>
                                  <a:pt x="1762125" y="1346835"/>
                                </a:lnTo>
                                <a:lnTo>
                                  <a:pt x="1762125" y="1251585"/>
                                </a:lnTo>
                                <a:close/>
                              </a:path>
                              <a:path w="3638550" h="1346835">
                                <a:moveTo>
                                  <a:pt x="2000250" y="1112520"/>
                                </a:moveTo>
                                <a:lnTo>
                                  <a:pt x="0" y="1112520"/>
                                </a:lnTo>
                                <a:lnTo>
                                  <a:pt x="0" y="1207770"/>
                                </a:lnTo>
                                <a:lnTo>
                                  <a:pt x="2000250" y="1207770"/>
                                </a:lnTo>
                                <a:lnTo>
                                  <a:pt x="2000250" y="1112520"/>
                                </a:lnTo>
                                <a:close/>
                              </a:path>
                              <a:path w="3638550" h="1346835">
                                <a:moveTo>
                                  <a:pt x="2105025" y="973455"/>
                                </a:moveTo>
                                <a:lnTo>
                                  <a:pt x="0" y="973455"/>
                                </a:lnTo>
                                <a:lnTo>
                                  <a:pt x="0" y="1068705"/>
                                </a:lnTo>
                                <a:lnTo>
                                  <a:pt x="2105025" y="1068705"/>
                                </a:lnTo>
                                <a:lnTo>
                                  <a:pt x="2105025" y="973455"/>
                                </a:lnTo>
                                <a:close/>
                              </a:path>
                              <a:path w="3638550" h="1346835">
                                <a:moveTo>
                                  <a:pt x="2200275" y="834390"/>
                                </a:moveTo>
                                <a:lnTo>
                                  <a:pt x="0" y="834390"/>
                                </a:lnTo>
                                <a:lnTo>
                                  <a:pt x="0" y="929640"/>
                                </a:lnTo>
                                <a:lnTo>
                                  <a:pt x="2200275" y="929640"/>
                                </a:lnTo>
                                <a:lnTo>
                                  <a:pt x="2200275" y="834390"/>
                                </a:lnTo>
                                <a:close/>
                              </a:path>
                              <a:path w="3638550" h="1346835">
                                <a:moveTo>
                                  <a:pt x="2790825" y="695325"/>
                                </a:moveTo>
                                <a:lnTo>
                                  <a:pt x="0" y="695325"/>
                                </a:lnTo>
                                <a:lnTo>
                                  <a:pt x="0" y="790575"/>
                                </a:lnTo>
                                <a:lnTo>
                                  <a:pt x="2790825" y="790575"/>
                                </a:lnTo>
                                <a:lnTo>
                                  <a:pt x="2790825" y="695325"/>
                                </a:lnTo>
                                <a:close/>
                              </a:path>
                              <a:path w="3638550" h="1346835">
                                <a:moveTo>
                                  <a:pt x="2800350" y="556260"/>
                                </a:moveTo>
                                <a:lnTo>
                                  <a:pt x="0" y="556260"/>
                                </a:lnTo>
                                <a:lnTo>
                                  <a:pt x="0" y="651510"/>
                                </a:lnTo>
                                <a:lnTo>
                                  <a:pt x="2800350" y="651510"/>
                                </a:lnTo>
                                <a:lnTo>
                                  <a:pt x="2800350" y="556260"/>
                                </a:lnTo>
                                <a:close/>
                              </a:path>
                              <a:path w="3638550" h="1346835">
                                <a:moveTo>
                                  <a:pt x="2809875" y="417195"/>
                                </a:moveTo>
                                <a:lnTo>
                                  <a:pt x="0" y="417195"/>
                                </a:lnTo>
                                <a:lnTo>
                                  <a:pt x="0" y="512445"/>
                                </a:lnTo>
                                <a:lnTo>
                                  <a:pt x="2809875" y="512445"/>
                                </a:lnTo>
                                <a:lnTo>
                                  <a:pt x="2809875" y="417195"/>
                                </a:lnTo>
                                <a:close/>
                              </a:path>
                              <a:path w="3638550" h="1346835">
                                <a:moveTo>
                                  <a:pt x="2867025" y="278130"/>
                                </a:moveTo>
                                <a:lnTo>
                                  <a:pt x="0" y="278130"/>
                                </a:lnTo>
                                <a:lnTo>
                                  <a:pt x="0" y="373380"/>
                                </a:lnTo>
                                <a:lnTo>
                                  <a:pt x="2867025" y="373380"/>
                                </a:lnTo>
                                <a:lnTo>
                                  <a:pt x="2867025" y="278130"/>
                                </a:lnTo>
                                <a:close/>
                              </a:path>
                              <a:path w="3638550" h="1346835">
                                <a:moveTo>
                                  <a:pt x="3409950" y="139065"/>
                                </a:moveTo>
                                <a:lnTo>
                                  <a:pt x="0" y="139065"/>
                                </a:lnTo>
                                <a:lnTo>
                                  <a:pt x="0" y="234315"/>
                                </a:lnTo>
                                <a:lnTo>
                                  <a:pt x="3409950" y="234315"/>
                                </a:lnTo>
                                <a:lnTo>
                                  <a:pt x="3409950" y="139065"/>
                                </a:lnTo>
                                <a:close/>
                              </a:path>
                              <a:path w="3638550" h="1346835">
                                <a:moveTo>
                                  <a:pt x="3638550" y="0"/>
                                </a:moveTo>
                                <a:lnTo>
                                  <a:pt x="0" y="0"/>
                                </a:lnTo>
                                <a:lnTo>
                                  <a:pt x="0" y="95250"/>
                                </a:lnTo>
                                <a:lnTo>
                                  <a:pt x="3638550" y="95250"/>
                                </a:lnTo>
                                <a:lnTo>
                                  <a:pt x="3638550" y="0"/>
                                </a:lnTo>
                                <a:close/>
                              </a:path>
                            </a:pathLst>
                          </a:custGeom>
                          <a:solidFill>
                            <a:srgbClr val="494949"/>
                          </a:solidFill>
                        </wps:spPr>
                        <wps:bodyPr wrap="square" lIns="0" tIns="0" rIns="0" bIns="0" rtlCol="0">
                          <a:prstTxWarp prst="textNoShape">
                            <a:avLst/>
                          </a:prstTxWarp>
                          <a:noAutofit/>
                        </wps:bodyPr>
                      </wps:wsp>
                      <wps:wsp>
                        <wps:cNvPr id="486" name="Textbox 486"/>
                        <wps:cNvSpPr txBox="1"/>
                        <wps:spPr>
                          <a:xfrm>
                            <a:off x="3467100" y="22264"/>
                            <a:ext cx="186055"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4"/>
                                  <w:sz w:val="14"/>
                                </w:rPr>
                                <w:t>20.1</w:t>
                              </w:r>
                            </w:p>
                          </w:txbxContent>
                        </wps:txbx>
                        <wps:bodyPr wrap="square" lIns="0" tIns="0" rIns="0" bIns="0" rtlCol="0">
                          <a:noAutofit/>
                        </wps:bodyPr>
                      </wps:wsp>
                      <wps:wsp>
                        <wps:cNvPr id="487" name="Textbox 487"/>
                        <wps:cNvSpPr txBox="1"/>
                        <wps:spPr>
                          <a:xfrm>
                            <a:off x="3238500" y="165139"/>
                            <a:ext cx="186055"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4"/>
                                  <w:sz w:val="14"/>
                                </w:rPr>
                                <w:t>18.9</w:t>
                              </w:r>
                            </w:p>
                          </w:txbxContent>
                        </wps:txbx>
                        <wps:bodyPr wrap="square" lIns="0" tIns="0" rIns="0" bIns="0" rtlCol="0">
                          <a:noAutofit/>
                        </wps:bodyPr>
                      </wps:wsp>
                      <wps:wsp>
                        <wps:cNvPr id="488" name="Textbox 488"/>
                        <wps:cNvSpPr txBox="1"/>
                        <wps:spPr>
                          <a:xfrm>
                            <a:off x="2619375" y="308014"/>
                            <a:ext cx="262255" cy="509270"/>
                          </a:xfrm>
                          <a:prstGeom prst="rect">
                            <a:avLst/>
                          </a:prstGeom>
                        </wps:spPr>
                        <wps:txbx>
                          <w:txbxContent>
                            <w:p>
                              <w:pPr>
                                <w:spacing w:line="156" w:lineRule="exact" w:before="0"/>
                                <w:ind w:left="120" w:right="0" w:firstLine="0"/>
                                <w:jc w:val="left"/>
                                <w:rPr>
                                  <w:rFonts w:ascii="Arial MT"/>
                                  <w:sz w:val="14"/>
                                </w:rPr>
                              </w:pPr>
                              <w:r>
                                <w:rPr>
                                  <w:rFonts w:ascii="Arial MT"/>
                                  <w:color w:val="FFFFFF"/>
                                  <w:spacing w:val="-4"/>
                                  <w:sz w:val="14"/>
                                </w:rPr>
                                <w:t>15.9</w:t>
                              </w:r>
                            </w:p>
                            <w:p>
                              <w:pPr>
                                <w:spacing w:before="49"/>
                                <w:ind w:left="30" w:right="0" w:firstLine="0"/>
                                <w:jc w:val="left"/>
                                <w:rPr>
                                  <w:rFonts w:ascii="Arial MT"/>
                                  <w:sz w:val="14"/>
                                </w:rPr>
                              </w:pPr>
                              <w:r>
                                <w:rPr>
                                  <w:rFonts w:ascii="Arial MT"/>
                                  <w:color w:val="FFFFFF"/>
                                  <w:spacing w:val="-4"/>
                                  <w:sz w:val="14"/>
                                </w:rPr>
                                <w:t>15.6</w:t>
                              </w:r>
                            </w:p>
                            <w:p>
                              <w:pPr>
                                <w:spacing w:before="64"/>
                                <w:ind w:left="15" w:right="0" w:firstLine="0"/>
                                <w:jc w:val="left"/>
                                <w:rPr>
                                  <w:rFonts w:ascii="Arial MT"/>
                                  <w:sz w:val="14"/>
                                </w:rPr>
                              </w:pPr>
                              <w:r>
                                <w:rPr>
                                  <w:rFonts w:ascii="Arial MT"/>
                                  <w:color w:val="FFFFFF"/>
                                  <w:spacing w:val="-4"/>
                                  <w:sz w:val="14"/>
                                </w:rPr>
                                <w:t>15.5</w:t>
                              </w:r>
                            </w:p>
                            <w:p>
                              <w:pPr>
                                <w:spacing w:before="49"/>
                                <w:ind w:left="0" w:right="0" w:firstLine="0"/>
                                <w:jc w:val="left"/>
                                <w:rPr>
                                  <w:rFonts w:ascii="Arial MT"/>
                                  <w:sz w:val="14"/>
                                </w:rPr>
                              </w:pPr>
                              <w:r>
                                <w:rPr>
                                  <w:rFonts w:ascii="Arial MT"/>
                                  <w:color w:val="FFFFFF"/>
                                  <w:spacing w:val="-4"/>
                                  <w:sz w:val="14"/>
                                </w:rPr>
                                <w:t>15.4</w:t>
                              </w:r>
                            </w:p>
                          </w:txbxContent>
                        </wps:txbx>
                        <wps:bodyPr wrap="square" lIns="0" tIns="0" rIns="0" bIns="0" rtlCol="0">
                          <a:noAutofit/>
                        </wps:bodyPr>
                      </wps:wsp>
                      <wps:wsp>
                        <wps:cNvPr id="489" name="Textbox 489"/>
                        <wps:cNvSpPr txBox="1"/>
                        <wps:spPr>
                          <a:xfrm>
                            <a:off x="1838325" y="860464"/>
                            <a:ext cx="376555" cy="375920"/>
                          </a:xfrm>
                          <a:prstGeom prst="rect">
                            <a:avLst/>
                          </a:prstGeom>
                        </wps:spPr>
                        <wps:txbx>
                          <w:txbxContent>
                            <w:p>
                              <w:pPr>
                                <w:spacing w:line="156" w:lineRule="exact" w:before="0"/>
                                <w:ind w:left="300" w:right="0" w:firstLine="0"/>
                                <w:jc w:val="left"/>
                                <w:rPr>
                                  <w:rFonts w:ascii="Arial MT"/>
                                  <w:sz w:val="14"/>
                                </w:rPr>
                              </w:pPr>
                              <w:r>
                                <w:rPr>
                                  <w:rFonts w:ascii="Arial MT"/>
                                  <w:color w:val="FFFFFF"/>
                                  <w:spacing w:val="-4"/>
                                  <w:sz w:val="14"/>
                                </w:rPr>
                                <w:t>12.2</w:t>
                              </w:r>
                            </w:p>
                            <w:p>
                              <w:pPr>
                                <w:spacing w:before="64"/>
                                <w:ind w:left="165" w:right="0" w:firstLine="0"/>
                                <w:jc w:val="left"/>
                                <w:rPr>
                                  <w:rFonts w:ascii="Arial MT"/>
                                  <w:sz w:val="14"/>
                                </w:rPr>
                              </w:pPr>
                              <w:r>
                                <w:rPr>
                                  <w:rFonts w:ascii="Arial MT"/>
                                  <w:color w:val="FFFFFF"/>
                                  <w:spacing w:val="-4"/>
                                  <w:sz w:val="14"/>
                                </w:rPr>
                                <w:t>11.6</w:t>
                              </w:r>
                            </w:p>
                            <w:p>
                              <w:pPr>
                                <w:spacing w:before="49"/>
                                <w:ind w:left="0" w:right="0" w:firstLine="0"/>
                                <w:jc w:val="left"/>
                                <w:rPr>
                                  <w:rFonts w:ascii="Arial MT"/>
                                  <w:sz w:val="14"/>
                                </w:rPr>
                              </w:pPr>
                              <w:r>
                                <w:rPr>
                                  <w:rFonts w:ascii="Arial MT"/>
                                  <w:color w:val="FFFFFF"/>
                                  <w:spacing w:val="-4"/>
                                  <w:sz w:val="14"/>
                                </w:rPr>
                                <w:t>11.1</w:t>
                              </w:r>
                            </w:p>
                          </w:txbxContent>
                        </wps:txbx>
                        <wps:bodyPr wrap="square" lIns="0" tIns="0" rIns="0" bIns="0" rtlCol="0">
                          <a:noAutofit/>
                        </wps:bodyPr>
                      </wps:wsp>
                      <wps:wsp>
                        <wps:cNvPr id="490" name="Textbox 490"/>
                        <wps:cNvSpPr txBox="1"/>
                        <wps:spPr>
                          <a:xfrm>
                            <a:off x="1647825" y="1279564"/>
                            <a:ext cx="136525" cy="99695"/>
                          </a:xfrm>
                          <a:prstGeom prst="rect">
                            <a:avLst/>
                          </a:prstGeom>
                        </wps:spPr>
                        <wps:txbx>
                          <w:txbxContent>
                            <w:p>
                              <w:pPr>
                                <w:spacing w:line="156" w:lineRule="exact" w:before="0"/>
                                <w:ind w:left="0" w:right="0" w:firstLine="0"/>
                                <w:jc w:val="left"/>
                                <w:rPr>
                                  <w:rFonts w:ascii="Arial MT"/>
                                  <w:sz w:val="14"/>
                                </w:rPr>
                              </w:pPr>
                              <w:r>
                                <w:rPr>
                                  <w:rFonts w:ascii="Arial MT"/>
                                  <w:color w:val="FFFFFF"/>
                                  <w:spacing w:val="-5"/>
                                  <w:sz w:val="14"/>
                                </w:rPr>
                                <w:t>9.8</w:t>
                              </w:r>
                            </w:p>
                          </w:txbxContent>
                        </wps:txbx>
                        <wps:bodyPr wrap="square" lIns="0" tIns="0" rIns="0" bIns="0" rtlCol="0">
                          <a:noAutofit/>
                        </wps:bodyPr>
                      </wps:wsp>
                    </wpg:wgp>
                  </a:graphicData>
                </a:graphic>
              </wp:anchor>
            </w:drawing>
          </mc:Choice>
          <mc:Fallback>
            <w:pict>
              <v:group style="position:absolute;margin-left:173.25pt;margin-top:-1.268907pt;width:319.5pt;height:114pt;mso-position-horizontal-relative:page;mso-position-vertical-relative:paragraph;z-index:15796224" id="docshapegroup403" coordorigin="3465,-25" coordsize="6390,2280">
                <v:shape style="position:absolute;left:3465;top:87;width:6383;height:2168" id="docshape404" coordorigin="3465,87" coordsize="6383,2168" path="m3555,87l3465,87m3555,312l3465,312m3555,537l3465,537m3555,747l3465,747m3555,972l3465,972m3555,1182l3465,1182m3555,1407l3465,1407m3555,1632l3465,1632m3555,1842l3465,1842m3555,2067l3465,2067m3548,2165l3548,2255m4118,2165l4118,2255m4688,2165l4688,2255m5258,2165l5258,2255m5828,2165l5828,2255m6398,2165l6398,2255m6983,2165l6983,2255m7553,2165l7553,2255m8123,2165l8123,2255m8693,2165l8693,2255m9263,2165l9263,2255m9848,2165l9848,2255m3555,2172l9840,2172e" filled="false" stroked="true" strokeweight=".75pt" strokecolor="#8a8a8a">
                  <v:path arrowok="t"/>
                  <v:stroke dashstyle="solid"/>
                </v:shape>
                <v:line style="position:absolute" from="3548,-25" to="3548,2165" stroked="true" strokeweight=".75pt" strokecolor="#494949">
                  <v:stroke dashstyle="solid"/>
                </v:line>
                <v:shape style="position:absolute;left:3555;top:3;width:5730;height:2121" id="docshape405" coordorigin="3555,3" coordsize="5730,2121" path="m6330,1974l3555,1974,3555,2124,6330,2124,6330,1974xm6705,1755l3555,1755,3555,1905,6705,1905,6705,1755xm6870,1536l3555,1536,3555,1686,6870,1686,6870,1536xm7020,1317l3555,1317,3555,1467,7020,1467,7020,1317xm7950,1098l3555,1098,3555,1248,7950,1248,7950,1098xm7965,879l3555,879,3555,1029,7965,1029,7965,879xm7980,660l3555,660,3555,810,7980,810,7980,660xm8070,441l3555,441,3555,591,8070,591,8070,441xm8925,222l3555,222,3555,372,8925,372,8925,222xm9285,3l3555,3,3555,153,9285,153,9285,3xe" filled="true" fillcolor="#494949" stroked="false">
                  <v:path arrowok="t"/>
                  <v:fill type="solid"/>
                </v:shape>
                <v:shape style="position:absolute;left:8925;top:9;width:293;height:157" type="#_x0000_t202" id="docshape406" filled="false" stroked="false">
                  <v:textbox inset="0,0,0,0">
                    <w:txbxContent>
                      <w:p>
                        <w:pPr>
                          <w:spacing w:line="156" w:lineRule="exact" w:before="0"/>
                          <w:ind w:left="0" w:right="0" w:firstLine="0"/>
                          <w:jc w:val="left"/>
                          <w:rPr>
                            <w:rFonts w:ascii="Arial MT"/>
                            <w:sz w:val="14"/>
                          </w:rPr>
                        </w:pPr>
                        <w:r>
                          <w:rPr>
                            <w:rFonts w:ascii="Arial MT"/>
                            <w:color w:val="FFFFFF"/>
                            <w:spacing w:val="-4"/>
                            <w:sz w:val="14"/>
                          </w:rPr>
                          <w:t>20.1</w:t>
                        </w:r>
                      </w:p>
                    </w:txbxContent>
                  </v:textbox>
                  <w10:wrap type="none"/>
                </v:shape>
                <v:shape style="position:absolute;left:8565;top:234;width:293;height:157" type="#_x0000_t202" id="docshape407" filled="false" stroked="false">
                  <v:textbox inset="0,0,0,0">
                    <w:txbxContent>
                      <w:p>
                        <w:pPr>
                          <w:spacing w:line="156" w:lineRule="exact" w:before="0"/>
                          <w:ind w:left="0" w:right="0" w:firstLine="0"/>
                          <w:jc w:val="left"/>
                          <w:rPr>
                            <w:rFonts w:ascii="Arial MT"/>
                            <w:sz w:val="14"/>
                          </w:rPr>
                        </w:pPr>
                        <w:r>
                          <w:rPr>
                            <w:rFonts w:ascii="Arial MT"/>
                            <w:color w:val="FFFFFF"/>
                            <w:spacing w:val="-4"/>
                            <w:sz w:val="14"/>
                          </w:rPr>
                          <w:t>18.9</w:t>
                        </w:r>
                      </w:p>
                    </w:txbxContent>
                  </v:textbox>
                  <w10:wrap type="none"/>
                </v:shape>
                <v:shape style="position:absolute;left:7590;top:459;width:413;height:802" type="#_x0000_t202" id="docshape408" filled="false" stroked="false">
                  <v:textbox inset="0,0,0,0">
                    <w:txbxContent>
                      <w:p>
                        <w:pPr>
                          <w:spacing w:line="156" w:lineRule="exact" w:before="0"/>
                          <w:ind w:left="120" w:right="0" w:firstLine="0"/>
                          <w:jc w:val="left"/>
                          <w:rPr>
                            <w:rFonts w:ascii="Arial MT"/>
                            <w:sz w:val="14"/>
                          </w:rPr>
                        </w:pPr>
                        <w:r>
                          <w:rPr>
                            <w:rFonts w:ascii="Arial MT"/>
                            <w:color w:val="FFFFFF"/>
                            <w:spacing w:val="-4"/>
                            <w:sz w:val="14"/>
                          </w:rPr>
                          <w:t>15.9</w:t>
                        </w:r>
                      </w:p>
                      <w:p>
                        <w:pPr>
                          <w:spacing w:before="49"/>
                          <w:ind w:left="30" w:right="0" w:firstLine="0"/>
                          <w:jc w:val="left"/>
                          <w:rPr>
                            <w:rFonts w:ascii="Arial MT"/>
                            <w:sz w:val="14"/>
                          </w:rPr>
                        </w:pPr>
                        <w:r>
                          <w:rPr>
                            <w:rFonts w:ascii="Arial MT"/>
                            <w:color w:val="FFFFFF"/>
                            <w:spacing w:val="-4"/>
                            <w:sz w:val="14"/>
                          </w:rPr>
                          <w:t>15.6</w:t>
                        </w:r>
                      </w:p>
                      <w:p>
                        <w:pPr>
                          <w:spacing w:before="64"/>
                          <w:ind w:left="15" w:right="0" w:firstLine="0"/>
                          <w:jc w:val="left"/>
                          <w:rPr>
                            <w:rFonts w:ascii="Arial MT"/>
                            <w:sz w:val="14"/>
                          </w:rPr>
                        </w:pPr>
                        <w:r>
                          <w:rPr>
                            <w:rFonts w:ascii="Arial MT"/>
                            <w:color w:val="FFFFFF"/>
                            <w:spacing w:val="-4"/>
                            <w:sz w:val="14"/>
                          </w:rPr>
                          <w:t>15.5</w:t>
                        </w:r>
                      </w:p>
                      <w:p>
                        <w:pPr>
                          <w:spacing w:before="49"/>
                          <w:ind w:left="0" w:right="0" w:firstLine="0"/>
                          <w:jc w:val="left"/>
                          <w:rPr>
                            <w:rFonts w:ascii="Arial MT"/>
                            <w:sz w:val="14"/>
                          </w:rPr>
                        </w:pPr>
                        <w:r>
                          <w:rPr>
                            <w:rFonts w:ascii="Arial MT"/>
                            <w:color w:val="FFFFFF"/>
                            <w:spacing w:val="-4"/>
                            <w:sz w:val="14"/>
                          </w:rPr>
                          <w:t>15.4</w:t>
                        </w:r>
                      </w:p>
                    </w:txbxContent>
                  </v:textbox>
                  <w10:wrap type="none"/>
                </v:shape>
                <v:shape style="position:absolute;left:6360;top:1329;width:593;height:592" type="#_x0000_t202" id="docshape409" filled="false" stroked="false">
                  <v:textbox inset="0,0,0,0">
                    <w:txbxContent>
                      <w:p>
                        <w:pPr>
                          <w:spacing w:line="156" w:lineRule="exact" w:before="0"/>
                          <w:ind w:left="300" w:right="0" w:firstLine="0"/>
                          <w:jc w:val="left"/>
                          <w:rPr>
                            <w:rFonts w:ascii="Arial MT"/>
                            <w:sz w:val="14"/>
                          </w:rPr>
                        </w:pPr>
                        <w:r>
                          <w:rPr>
                            <w:rFonts w:ascii="Arial MT"/>
                            <w:color w:val="FFFFFF"/>
                            <w:spacing w:val="-4"/>
                            <w:sz w:val="14"/>
                          </w:rPr>
                          <w:t>12.2</w:t>
                        </w:r>
                      </w:p>
                      <w:p>
                        <w:pPr>
                          <w:spacing w:before="64"/>
                          <w:ind w:left="165" w:right="0" w:firstLine="0"/>
                          <w:jc w:val="left"/>
                          <w:rPr>
                            <w:rFonts w:ascii="Arial MT"/>
                            <w:sz w:val="14"/>
                          </w:rPr>
                        </w:pPr>
                        <w:r>
                          <w:rPr>
                            <w:rFonts w:ascii="Arial MT"/>
                            <w:color w:val="FFFFFF"/>
                            <w:spacing w:val="-4"/>
                            <w:sz w:val="14"/>
                          </w:rPr>
                          <w:t>11.6</w:t>
                        </w:r>
                      </w:p>
                      <w:p>
                        <w:pPr>
                          <w:spacing w:before="49"/>
                          <w:ind w:left="0" w:right="0" w:firstLine="0"/>
                          <w:jc w:val="left"/>
                          <w:rPr>
                            <w:rFonts w:ascii="Arial MT"/>
                            <w:sz w:val="14"/>
                          </w:rPr>
                        </w:pPr>
                        <w:r>
                          <w:rPr>
                            <w:rFonts w:ascii="Arial MT"/>
                            <w:color w:val="FFFFFF"/>
                            <w:spacing w:val="-4"/>
                            <w:sz w:val="14"/>
                          </w:rPr>
                          <w:t>11.1</w:t>
                        </w:r>
                      </w:p>
                    </w:txbxContent>
                  </v:textbox>
                  <w10:wrap type="none"/>
                </v:shape>
                <v:shape style="position:absolute;left:6060;top:1989;width:215;height:157" type="#_x0000_t202" id="docshape410" filled="false" stroked="false">
                  <v:textbox inset="0,0,0,0">
                    <w:txbxContent>
                      <w:p>
                        <w:pPr>
                          <w:spacing w:line="156" w:lineRule="exact" w:before="0"/>
                          <w:ind w:left="0" w:right="0" w:firstLine="0"/>
                          <w:jc w:val="left"/>
                          <w:rPr>
                            <w:rFonts w:ascii="Arial MT"/>
                            <w:sz w:val="14"/>
                          </w:rPr>
                        </w:pPr>
                        <w:r>
                          <w:rPr>
                            <w:rFonts w:ascii="Arial MT"/>
                            <w:color w:val="FFFFFF"/>
                            <w:spacing w:val="-5"/>
                            <w:sz w:val="14"/>
                          </w:rPr>
                          <w:t>9.8</w:t>
                        </w:r>
                      </w:p>
                    </w:txbxContent>
                  </v:textbox>
                  <w10:wrap type="none"/>
                </v:shape>
                <w10:wrap type="none"/>
              </v:group>
            </w:pict>
          </mc:Fallback>
        </mc:AlternateContent>
      </w:r>
      <w:r>
        <w:rPr>
          <w:rFonts w:ascii="Arial MT"/>
          <w:spacing w:val="-2"/>
          <w:sz w:val="16"/>
        </w:rPr>
        <w:t>India Indonesia</w:t>
      </w:r>
    </w:p>
    <w:p>
      <w:pPr>
        <w:spacing w:line="283" w:lineRule="auto" w:before="1"/>
        <w:ind w:left="1920" w:right="8201" w:firstLine="275"/>
        <w:jc w:val="right"/>
        <w:rPr>
          <w:rFonts w:ascii="Arial MT"/>
          <w:sz w:val="16"/>
        </w:rPr>
      </w:pPr>
      <w:r>
        <w:rPr>
          <w:rFonts w:ascii="Arial MT"/>
          <w:spacing w:val="-2"/>
          <w:sz w:val="16"/>
        </w:rPr>
        <w:t>Brazil Mexico Colombia</w:t>
      </w:r>
    </w:p>
    <w:p>
      <w:pPr>
        <w:spacing w:line="292" w:lineRule="auto" w:before="0"/>
        <w:ind w:left="925" w:right="8191" w:firstLine="1252"/>
        <w:jc w:val="right"/>
        <w:rPr>
          <w:rFonts w:ascii="Arial MT"/>
          <w:sz w:val="16"/>
        </w:rPr>
      </w:pPr>
      <w:r>
        <w:rPr>
          <w:rFonts w:ascii="Arial MT"/>
          <w:spacing w:val="-4"/>
          <w:sz w:val="16"/>
        </w:rPr>
        <w:t>China </w:t>
      </w:r>
      <w:r>
        <w:rPr>
          <w:rFonts w:ascii="Arial MT"/>
          <w:sz w:val="16"/>
        </w:rPr>
        <w:t>Egypt,</w:t>
      </w:r>
      <w:r>
        <w:rPr>
          <w:rFonts w:ascii="Arial MT"/>
          <w:spacing w:val="-4"/>
          <w:sz w:val="16"/>
        </w:rPr>
        <w:t> </w:t>
      </w:r>
      <w:r>
        <w:rPr>
          <w:rFonts w:ascii="Arial MT"/>
          <w:sz w:val="16"/>
        </w:rPr>
        <w:t>Arab</w:t>
      </w:r>
      <w:r>
        <w:rPr>
          <w:rFonts w:ascii="Arial MT"/>
          <w:spacing w:val="-3"/>
          <w:sz w:val="16"/>
        </w:rPr>
        <w:t> </w:t>
      </w:r>
      <w:r>
        <w:rPr>
          <w:rFonts w:ascii="Arial MT"/>
          <w:sz w:val="16"/>
        </w:rPr>
        <w:t>Republic</w:t>
      </w:r>
      <w:r>
        <w:rPr>
          <w:rFonts w:ascii="Arial MT"/>
          <w:spacing w:val="-3"/>
          <w:sz w:val="16"/>
        </w:rPr>
        <w:t> </w:t>
      </w:r>
      <w:r>
        <w:rPr>
          <w:rFonts w:ascii="Arial MT"/>
          <w:spacing w:val="-5"/>
          <w:sz w:val="16"/>
        </w:rPr>
        <w:t>of</w:t>
      </w:r>
    </w:p>
    <w:p>
      <w:pPr>
        <w:spacing w:before="0"/>
        <w:ind w:left="0" w:right="8201" w:firstLine="0"/>
        <w:jc w:val="right"/>
        <w:rPr>
          <w:rFonts w:ascii="Arial MT"/>
          <w:sz w:val="16"/>
        </w:rPr>
      </w:pPr>
      <w:r>
        <w:rPr>
          <w:rFonts w:ascii="Arial MT"/>
          <w:spacing w:val="-2"/>
          <w:sz w:val="16"/>
        </w:rPr>
        <w:t>Philippines</w:t>
      </w:r>
    </w:p>
    <w:p>
      <w:pPr>
        <w:spacing w:line="292" w:lineRule="auto" w:before="21"/>
        <w:ind w:left="1911" w:right="8201" w:firstLine="159"/>
        <w:jc w:val="right"/>
        <w:rPr>
          <w:rFonts w:ascii="Arial MT" w:hAnsi="Arial MT"/>
          <w:sz w:val="16"/>
        </w:rPr>
      </w:pPr>
      <w:r>
        <w:rPr>
          <w:rFonts w:ascii="Arial MT" w:hAnsi="Arial MT"/>
          <w:spacing w:val="-2"/>
          <w:sz w:val="16"/>
        </w:rPr>
        <w:t>Türkiye Argentina</w:t>
      </w:r>
    </w:p>
    <w:p>
      <w:pPr>
        <w:tabs>
          <w:tab w:pos="3345" w:val="left" w:leader="none"/>
          <w:tab w:pos="3915" w:val="left" w:leader="none"/>
          <w:tab w:pos="4485" w:val="left" w:leader="none"/>
          <w:tab w:pos="5055" w:val="left" w:leader="none"/>
          <w:tab w:pos="5581" w:val="left" w:leader="none"/>
          <w:tab w:pos="6151" w:val="left" w:leader="none"/>
          <w:tab w:pos="6721" w:val="left" w:leader="none"/>
          <w:tab w:pos="7291" w:val="left" w:leader="none"/>
          <w:tab w:pos="7861" w:val="left" w:leader="none"/>
          <w:tab w:pos="8431" w:val="left" w:leader="none"/>
          <w:tab w:pos="9016" w:val="left" w:leader="none"/>
        </w:tabs>
        <w:spacing w:before="91"/>
        <w:ind w:left="2775" w:right="0" w:firstLine="0"/>
        <w:jc w:val="left"/>
        <w:rPr>
          <w:rFonts w:ascii="Arial MT"/>
          <w:sz w:val="16"/>
        </w:rPr>
      </w:pPr>
      <w:r>
        <w:rPr>
          <w:rFonts w:ascii="Arial MT"/>
          <w:spacing w:val="-10"/>
          <w:sz w:val="16"/>
        </w:rPr>
        <w:t>0</w:t>
      </w:r>
      <w:r>
        <w:rPr>
          <w:rFonts w:ascii="Arial MT"/>
          <w:sz w:val="16"/>
        </w:rPr>
        <w:tab/>
      </w:r>
      <w:r>
        <w:rPr>
          <w:rFonts w:ascii="Arial MT"/>
          <w:spacing w:val="-10"/>
          <w:sz w:val="16"/>
        </w:rPr>
        <w:t>2</w:t>
      </w:r>
      <w:r>
        <w:rPr>
          <w:rFonts w:ascii="Arial MT"/>
          <w:sz w:val="16"/>
        </w:rPr>
        <w:tab/>
      </w:r>
      <w:r>
        <w:rPr>
          <w:rFonts w:ascii="Arial MT"/>
          <w:spacing w:val="-10"/>
          <w:sz w:val="16"/>
        </w:rPr>
        <w:t>4</w:t>
      </w:r>
      <w:r>
        <w:rPr>
          <w:rFonts w:ascii="Arial MT"/>
          <w:sz w:val="16"/>
        </w:rPr>
        <w:tab/>
      </w:r>
      <w:r>
        <w:rPr>
          <w:rFonts w:ascii="Arial MT"/>
          <w:spacing w:val="-10"/>
          <w:sz w:val="16"/>
        </w:rPr>
        <w:t>6</w:t>
      </w:r>
      <w:r>
        <w:rPr>
          <w:rFonts w:ascii="Arial MT"/>
          <w:sz w:val="16"/>
        </w:rPr>
        <w:tab/>
      </w:r>
      <w:r>
        <w:rPr>
          <w:rFonts w:ascii="Arial MT"/>
          <w:spacing w:val="-10"/>
          <w:sz w:val="16"/>
        </w:rPr>
        <w:t>8</w:t>
      </w:r>
      <w:r>
        <w:rPr>
          <w:rFonts w:ascii="Arial MT"/>
          <w:sz w:val="16"/>
        </w:rPr>
        <w:tab/>
      </w:r>
      <w:r>
        <w:rPr>
          <w:rFonts w:ascii="Arial MT"/>
          <w:spacing w:val="-5"/>
          <w:sz w:val="16"/>
        </w:rPr>
        <w:t>10</w:t>
      </w:r>
      <w:r>
        <w:rPr>
          <w:rFonts w:ascii="Arial MT"/>
          <w:sz w:val="16"/>
        </w:rPr>
        <w:tab/>
      </w:r>
      <w:r>
        <w:rPr>
          <w:rFonts w:ascii="Arial MT"/>
          <w:spacing w:val="-5"/>
          <w:sz w:val="16"/>
        </w:rPr>
        <w:t>12</w:t>
      </w:r>
      <w:r>
        <w:rPr>
          <w:rFonts w:ascii="Arial MT"/>
          <w:sz w:val="16"/>
        </w:rPr>
        <w:tab/>
      </w:r>
      <w:r>
        <w:rPr>
          <w:rFonts w:ascii="Arial MT"/>
          <w:spacing w:val="-5"/>
          <w:sz w:val="16"/>
        </w:rPr>
        <w:t>14</w:t>
      </w:r>
      <w:r>
        <w:rPr>
          <w:rFonts w:ascii="Arial MT"/>
          <w:sz w:val="16"/>
        </w:rPr>
        <w:tab/>
      </w:r>
      <w:r>
        <w:rPr>
          <w:rFonts w:ascii="Arial MT"/>
          <w:spacing w:val="-5"/>
          <w:sz w:val="16"/>
        </w:rPr>
        <w:t>16</w:t>
      </w:r>
      <w:r>
        <w:rPr>
          <w:rFonts w:ascii="Arial MT"/>
          <w:sz w:val="16"/>
        </w:rPr>
        <w:tab/>
      </w:r>
      <w:r>
        <w:rPr>
          <w:rFonts w:ascii="Arial MT"/>
          <w:spacing w:val="-5"/>
          <w:sz w:val="16"/>
        </w:rPr>
        <w:t>18</w:t>
      </w:r>
      <w:r>
        <w:rPr>
          <w:rFonts w:ascii="Arial MT"/>
          <w:sz w:val="16"/>
        </w:rPr>
        <w:tab/>
      </w:r>
      <w:r>
        <w:rPr>
          <w:rFonts w:ascii="Arial MT"/>
          <w:spacing w:val="-5"/>
          <w:sz w:val="16"/>
        </w:rPr>
        <w:t>20</w:t>
      </w:r>
      <w:r>
        <w:rPr>
          <w:rFonts w:ascii="Arial MT"/>
          <w:sz w:val="16"/>
        </w:rPr>
        <w:tab/>
      </w:r>
      <w:r>
        <w:rPr>
          <w:rFonts w:ascii="Arial MT"/>
          <w:spacing w:val="-5"/>
          <w:sz w:val="16"/>
        </w:rPr>
        <w:t>22</w:t>
      </w:r>
    </w:p>
    <w:p>
      <w:pPr>
        <w:spacing w:after="0"/>
        <w:jc w:val="left"/>
        <w:rPr>
          <w:rFonts w:ascii="Arial MT"/>
          <w:sz w:val="16"/>
        </w:rPr>
        <w:sectPr>
          <w:pgSz w:w="12240" w:h="15840"/>
          <w:pgMar w:header="744" w:footer="583" w:top="1020" w:bottom="780" w:left="720" w:right="720"/>
        </w:sectPr>
      </w:pPr>
    </w:p>
    <w:p>
      <w:pPr>
        <w:pStyle w:val="BodyText"/>
        <w:spacing w:before="100"/>
        <w:rPr>
          <w:rFonts w:ascii="Arial MT"/>
          <w:sz w:val="22"/>
        </w:rPr>
      </w:pPr>
    </w:p>
    <w:p>
      <w:pPr>
        <w:pStyle w:val="Heading6"/>
        <w:jc w:val="left"/>
      </w:pPr>
      <w:r>
        <w:rPr/>
        <w:t>Credit-Risk-Bearing</w:t>
      </w:r>
      <w:r>
        <w:rPr>
          <w:spacing w:val="-3"/>
        </w:rPr>
        <w:t> </w:t>
      </w:r>
      <w:r>
        <w:rPr>
          <w:spacing w:val="-2"/>
        </w:rPr>
        <w:t>Capacity</w:t>
      </w:r>
    </w:p>
    <w:p>
      <w:pPr>
        <w:pStyle w:val="BodyText"/>
        <w:spacing w:line="249" w:lineRule="auto" w:before="136"/>
        <w:ind w:left="720" w:right="718"/>
        <w:jc w:val="both"/>
      </w:pPr>
      <w:r>
        <w:rPr/>
        <w:t>Management uses risk models to estimate the size of a potential nonaccrual shock that IBRD could face over the</w:t>
      </w:r>
      <w:r>
        <w:rPr>
          <w:spacing w:val="40"/>
        </w:rPr>
        <w:t> </w:t>
      </w:r>
      <w:r>
        <w:rPr/>
        <w:t>next</w:t>
      </w:r>
      <w:r>
        <w:rPr>
          <w:spacing w:val="-1"/>
        </w:rPr>
        <w:t> </w:t>
      </w:r>
      <w:r>
        <w:rPr/>
        <w:t>three</w:t>
      </w:r>
      <w:r>
        <w:rPr>
          <w:spacing w:val="-1"/>
        </w:rPr>
        <w:t> </w:t>
      </w:r>
      <w:r>
        <w:rPr/>
        <w:t>years</w:t>
      </w:r>
      <w:r>
        <w:rPr>
          <w:spacing w:val="-1"/>
        </w:rPr>
        <w:t> </w:t>
      </w:r>
      <w:r>
        <w:rPr/>
        <w:t>at</w:t>
      </w:r>
      <w:r>
        <w:rPr>
          <w:spacing w:val="-1"/>
        </w:rPr>
        <w:t> </w:t>
      </w:r>
      <w:r>
        <w:rPr/>
        <w:t>a</w:t>
      </w:r>
      <w:r>
        <w:rPr>
          <w:spacing w:val="-1"/>
        </w:rPr>
        <w:t> </w:t>
      </w:r>
      <w:r>
        <w:rPr/>
        <w:t>given confidence</w:t>
      </w:r>
      <w:r>
        <w:rPr>
          <w:spacing w:val="-1"/>
        </w:rPr>
        <w:t> </w:t>
      </w:r>
      <w:r>
        <w:rPr/>
        <w:t>level.</w:t>
      </w:r>
      <w:r>
        <w:rPr>
          <w:spacing w:val="40"/>
        </w:rPr>
        <w:t> </w:t>
      </w:r>
      <w:r>
        <w:rPr/>
        <w:t>The</w:t>
      </w:r>
      <w:r>
        <w:rPr>
          <w:spacing w:val="-1"/>
        </w:rPr>
        <w:t> </w:t>
      </w:r>
      <w:r>
        <w:rPr/>
        <w:t>model-estimated nonaccrual</w:t>
      </w:r>
      <w:r>
        <w:rPr>
          <w:spacing w:val="-1"/>
        </w:rPr>
        <w:t> </w:t>
      </w:r>
      <w:r>
        <w:rPr/>
        <w:t>shock is</w:t>
      </w:r>
      <w:r>
        <w:rPr>
          <w:spacing w:val="-1"/>
        </w:rPr>
        <w:t> </w:t>
      </w:r>
      <w:r>
        <w:rPr/>
        <w:t>a</w:t>
      </w:r>
      <w:r>
        <w:rPr>
          <w:spacing w:val="-1"/>
        </w:rPr>
        <w:t> </w:t>
      </w:r>
      <w:r>
        <w:rPr/>
        <w:t>single</w:t>
      </w:r>
      <w:r>
        <w:rPr>
          <w:spacing w:val="-1"/>
        </w:rPr>
        <w:t> </w:t>
      </w:r>
      <w:r>
        <w:rPr/>
        <w:t>measure</w:t>
      </w:r>
      <w:r>
        <w:rPr>
          <w:spacing w:val="-1"/>
        </w:rPr>
        <w:t> </w:t>
      </w:r>
      <w:r>
        <w:rPr/>
        <w:t>of the</w:t>
      </w:r>
      <w:r>
        <w:rPr>
          <w:spacing w:val="-1"/>
        </w:rPr>
        <w:t> </w:t>
      </w:r>
      <w:r>
        <w:rPr/>
        <w:t>credit quality of the portfolio that combines the following:</w:t>
      </w:r>
    </w:p>
    <w:p>
      <w:pPr>
        <w:pStyle w:val="ListParagraph"/>
        <w:numPr>
          <w:ilvl w:val="0"/>
          <w:numId w:val="22"/>
        </w:numPr>
        <w:tabs>
          <w:tab w:pos="1439" w:val="left" w:leader="none"/>
        </w:tabs>
        <w:spacing w:line="240" w:lineRule="auto" w:before="122" w:after="0"/>
        <w:ind w:left="1439" w:right="0" w:hanging="359"/>
        <w:jc w:val="left"/>
        <w:rPr>
          <w:sz w:val="20"/>
        </w:rPr>
      </w:pPr>
      <w:r>
        <w:rPr>
          <w:sz w:val="20"/>
        </w:rPr>
        <w:t>IBRD’s</w:t>
      </w:r>
      <w:r>
        <w:rPr>
          <w:spacing w:val="-7"/>
          <w:sz w:val="20"/>
        </w:rPr>
        <w:t> </w:t>
      </w:r>
      <w:r>
        <w:rPr>
          <w:sz w:val="20"/>
        </w:rPr>
        <w:t>country-credit-risk</w:t>
      </w:r>
      <w:r>
        <w:rPr>
          <w:spacing w:val="-4"/>
          <w:sz w:val="20"/>
        </w:rPr>
        <w:t> </w:t>
      </w:r>
      <w:r>
        <w:rPr>
          <w:sz w:val="20"/>
        </w:rPr>
        <w:t>ratings</w:t>
      </w:r>
      <w:r>
        <w:rPr>
          <w:spacing w:val="-4"/>
          <w:sz w:val="20"/>
        </w:rPr>
        <w:t> </w:t>
      </w:r>
      <w:r>
        <w:rPr>
          <w:sz w:val="20"/>
        </w:rPr>
        <w:t>and</w:t>
      </w:r>
      <w:r>
        <w:rPr>
          <w:spacing w:val="-4"/>
          <w:sz w:val="20"/>
        </w:rPr>
        <w:t> </w:t>
      </w:r>
      <w:r>
        <w:rPr>
          <w:sz w:val="20"/>
        </w:rPr>
        <w:t>their</w:t>
      </w:r>
      <w:r>
        <w:rPr>
          <w:spacing w:val="-4"/>
          <w:sz w:val="20"/>
        </w:rPr>
        <w:t> </w:t>
      </w:r>
      <w:r>
        <w:rPr>
          <w:sz w:val="20"/>
        </w:rPr>
        <w:t>associated</w:t>
      </w:r>
      <w:r>
        <w:rPr>
          <w:spacing w:val="-3"/>
          <w:sz w:val="20"/>
        </w:rPr>
        <w:t> </w:t>
      </w:r>
      <w:r>
        <w:rPr>
          <w:sz w:val="20"/>
        </w:rPr>
        <w:t>expected</w:t>
      </w:r>
      <w:r>
        <w:rPr>
          <w:spacing w:val="-4"/>
          <w:sz w:val="20"/>
        </w:rPr>
        <w:t> </w:t>
      </w:r>
      <w:r>
        <w:rPr>
          <w:sz w:val="20"/>
        </w:rPr>
        <w:t>risk</w:t>
      </w:r>
      <w:r>
        <w:rPr>
          <w:spacing w:val="-4"/>
          <w:sz w:val="20"/>
        </w:rPr>
        <w:t> </w:t>
      </w:r>
      <w:r>
        <w:rPr>
          <w:sz w:val="20"/>
        </w:rPr>
        <w:t>of</w:t>
      </w:r>
      <w:r>
        <w:rPr>
          <w:spacing w:val="-3"/>
          <w:sz w:val="20"/>
        </w:rPr>
        <w:t> </w:t>
      </w:r>
      <w:r>
        <w:rPr>
          <w:spacing w:val="-2"/>
          <w:sz w:val="20"/>
        </w:rPr>
        <w:t>default;</w:t>
      </w:r>
    </w:p>
    <w:p>
      <w:pPr>
        <w:pStyle w:val="ListParagraph"/>
        <w:numPr>
          <w:ilvl w:val="0"/>
          <w:numId w:val="22"/>
        </w:numPr>
        <w:tabs>
          <w:tab w:pos="1439" w:val="left" w:leader="none"/>
        </w:tabs>
        <w:spacing w:line="240" w:lineRule="auto" w:before="70" w:after="0"/>
        <w:ind w:left="1439" w:right="0" w:hanging="359"/>
        <w:jc w:val="left"/>
        <w:rPr>
          <w:sz w:val="20"/>
        </w:rPr>
      </w:pPr>
      <w:r>
        <w:rPr>
          <w:sz w:val="20"/>
        </w:rPr>
        <w:t>Covariance</w:t>
      </w:r>
      <w:r>
        <w:rPr>
          <w:spacing w:val="-6"/>
          <w:sz w:val="20"/>
        </w:rPr>
        <w:t> </w:t>
      </w:r>
      <w:r>
        <w:rPr>
          <w:spacing w:val="-2"/>
          <w:sz w:val="20"/>
        </w:rPr>
        <w:t>risks;</w:t>
      </w:r>
    </w:p>
    <w:p>
      <w:pPr>
        <w:pStyle w:val="ListParagraph"/>
        <w:numPr>
          <w:ilvl w:val="0"/>
          <w:numId w:val="22"/>
        </w:numPr>
        <w:tabs>
          <w:tab w:pos="1439" w:val="left" w:leader="none"/>
        </w:tabs>
        <w:spacing w:line="240" w:lineRule="auto" w:before="70" w:after="0"/>
        <w:ind w:left="1439" w:right="0" w:hanging="359"/>
        <w:jc w:val="left"/>
        <w:rPr>
          <w:sz w:val="20"/>
        </w:rPr>
      </w:pPr>
      <w:r>
        <w:rPr>
          <w:sz w:val="20"/>
        </w:rPr>
        <w:t>The</w:t>
      </w:r>
      <w:r>
        <w:rPr>
          <w:spacing w:val="-7"/>
          <w:sz w:val="20"/>
        </w:rPr>
        <w:t> </w:t>
      </w:r>
      <w:r>
        <w:rPr>
          <w:sz w:val="20"/>
        </w:rPr>
        <w:t>loan</w:t>
      </w:r>
      <w:r>
        <w:rPr>
          <w:spacing w:val="-3"/>
          <w:sz w:val="20"/>
        </w:rPr>
        <w:t> </w:t>
      </w:r>
      <w:r>
        <w:rPr>
          <w:sz w:val="20"/>
        </w:rPr>
        <w:t>portfolio’s</w:t>
      </w:r>
      <w:r>
        <w:rPr>
          <w:spacing w:val="-5"/>
          <w:sz w:val="20"/>
        </w:rPr>
        <w:t> </w:t>
      </w:r>
      <w:r>
        <w:rPr>
          <w:sz w:val="20"/>
        </w:rPr>
        <w:t>distribution</w:t>
      </w:r>
      <w:r>
        <w:rPr>
          <w:spacing w:val="-3"/>
          <w:sz w:val="20"/>
        </w:rPr>
        <w:t> </w:t>
      </w:r>
      <w:r>
        <w:rPr>
          <w:sz w:val="20"/>
        </w:rPr>
        <w:t>across</w:t>
      </w:r>
      <w:r>
        <w:rPr>
          <w:spacing w:val="-4"/>
          <w:sz w:val="20"/>
        </w:rPr>
        <w:t> </w:t>
      </w:r>
      <w:r>
        <w:rPr>
          <w:sz w:val="20"/>
        </w:rPr>
        <w:t>risk</w:t>
      </w:r>
      <w:r>
        <w:rPr>
          <w:spacing w:val="-4"/>
          <w:sz w:val="20"/>
        </w:rPr>
        <w:t> </w:t>
      </w:r>
      <w:r>
        <w:rPr>
          <w:sz w:val="20"/>
        </w:rPr>
        <w:t>rating</w:t>
      </w:r>
      <w:r>
        <w:rPr>
          <w:spacing w:val="-3"/>
          <w:sz w:val="20"/>
        </w:rPr>
        <w:t> </w:t>
      </w:r>
      <w:r>
        <w:rPr>
          <w:sz w:val="20"/>
        </w:rPr>
        <w:t>categories;</w:t>
      </w:r>
      <w:r>
        <w:rPr>
          <w:spacing w:val="-4"/>
          <w:sz w:val="20"/>
        </w:rPr>
        <w:t> </w:t>
      </w:r>
      <w:r>
        <w:rPr>
          <w:spacing w:val="-5"/>
          <w:sz w:val="20"/>
        </w:rPr>
        <w:t>and</w:t>
      </w:r>
    </w:p>
    <w:p>
      <w:pPr>
        <w:pStyle w:val="ListParagraph"/>
        <w:numPr>
          <w:ilvl w:val="0"/>
          <w:numId w:val="22"/>
        </w:numPr>
        <w:tabs>
          <w:tab w:pos="1439" w:val="left" w:leader="none"/>
        </w:tabs>
        <w:spacing w:line="240" w:lineRule="auto" w:before="70" w:after="0"/>
        <w:ind w:left="1439" w:right="0" w:hanging="359"/>
        <w:jc w:val="left"/>
        <w:rPr>
          <w:sz w:val="20"/>
        </w:rPr>
      </w:pPr>
      <w:r>
        <w:rPr>
          <w:sz w:val="20"/>
        </w:rPr>
        <w:t>The</w:t>
      </w:r>
      <w:r>
        <w:rPr>
          <w:spacing w:val="-3"/>
          <w:sz w:val="20"/>
        </w:rPr>
        <w:t> </w:t>
      </w:r>
      <w:r>
        <w:rPr>
          <w:sz w:val="20"/>
        </w:rPr>
        <w:t>exposure</w:t>
      </w:r>
      <w:r>
        <w:rPr>
          <w:spacing w:val="-2"/>
          <w:sz w:val="20"/>
        </w:rPr>
        <w:t> concentration.</w:t>
      </w:r>
    </w:p>
    <w:p>
      <w:pPr>
        <w:pStyle w:val="BodyText"/>
        <w:spacing w:line="249" w:lineRule="auto" w:before="70"/>
        <w:ind w:left="720" w:right="719"/>
      </w:pPr>
      <w:r>
        <w:rPr/>
        <w:t>The</w:t>
      </w:r>
      <w:r>
        <w:rPr>
          <w:spacing w:val="32"/>
        </w:rPr>
        <w:t> </w:t>
      </w:r>
      <w:r>
        <w:rPr/>
        <w:t>shock</w:t>
      </w:r>
      <w:r>
        <w:rPr>
          <w:spacing w:val="32"/>
        </w:rPr>
        <w:t> </w:t>
      </w:r>
      <w:r>
        <w:rPr/>
        <w:t>estimated</w:t>
      </w:r>
      <w:r>
        <w:rPr>
          <w:spacing w:val="32"/>
        </w:rPr>
        <w:t> </w:t>
      </w:r>
      <w:r>
        <w:rPr/>
        <w:t>by</w:t>
      </w:r>
      <w:r>
        <w:rPr>
          <w:spacing w:val="32"/>
        </w:rPr>
        <w:t> </w:t>
      </w:r>
      <w:r>
        <w:rPr/>
        <w:t>this</w:t>
      </w:r>
      <w:r>
        <w:rPr>
          <w:spacing w:val="32"/>
        </w:rPr>
        <w:t> </w:t>
      </w:r>
      <w:r>
        <w:rPr/>
        <w:t>risk</w:t>
      </w:r>
      <w:r>
        <w:rPr>
          <w:spacing w:val="32"/>
        </w:rPr>
        <w:t> </w:t>
      </w:r>
      <w:r>
        <w:rPr/>
        <w:t>model</w:t>
      </w:r>
      <w:r>
        <w:rPr>
          <w:spacing w:val="32"/>
        </w:rPr>
        <w:t> </w:t>
      </w:r>
      <w:r>
        <w:rPr/>
        <w:t>is</w:t>
      </w:r>
      <w:r>
        <w:rPr>
          <w:spacing w:val="32"/>
        </w:rPr>
        <w:t> </w:t>
      </w:r>
      <w:r>
        <w:rPr/>
        <w:t>used</w:t>
      </w:r>
      <w:r>
        <w:rPr>
          <w:spacing w:val="32"/>
        </w:rPr>
        <w:t> </w:t>
      </w:r>
      <w:r>
        <w:rPr/>
        <w:t>in</w:t>
      </w:r>
      <w:r>
        <w:rPr>
          <w:spacing w:val="32"/>
        </w:rPr>
        <w:t> </w:t>
      </w:r>
      <w:r>
        <w:rPr/>
        <w:t>IBRD’s</w:t>
      </w:r>
      <w:r>
        <w:rPr>
          <w:spacing w:val="32"/>
        </w:rPr>
        <w:t> </w:t>
      </w:r>
      <w:r>
        <w:rPr/>
        <w:t>capital</w:t>
      </w:r>
      <w:r>
        <w:rPr>
          <w:spacing w:val="32"/>
        </w:rPr>
        <w:t> </w:t>
      </w:r>
      <w:r>
        <w:rPr/>
        <w:t>adequacy</w:t>
      </w:r>
      <w:r>
        <w:rPr>
          <w:spacing w:val="32"/>
        </w:rPr>
        <w:t> </w:t>
      </w:r>
      <w:r>
        <w:rPr/>
        <w:t>testing</w:t>
      </w:r>
      <w:r>
        <w:rPr>
          <w:spacing w:val="32"/>
        </w:rPr>
        <w:t> </w:t>
      </w:r>
      <w:r>
        <w:rPr/>
        <w:t>to</w:t>
      </w:r>
      <w:r>
        <w:rPr>
          <w:spacing w:val="32"/>
        </w:rPr>
        <w:t> </w:t>
      </w:r>
      <w:r>
        <w:rPr/>
        <w:t>determine</w:t>
      </w:r>
      <w:r>
        <w:rPr>
          <w:spacing w:val="32"/>
        </w:rPr>
        <w:t> </w:t>
      </w:r>
      <w:r>
        <w:rPr/>
        <w:t>the</w:t>
      </w:r>
      <w:r>
        <w:rPr>
          <w:spacing w:val="32"/>
        </w:rPr>
        <w:t> </w:t>
      </w:r>
      <w:r>
        <w:rPr/>
        <w:t>impact</w:t>
      </w:r>
      <w:r>
        <w:rPr>
          <w:spacing w:val="32"/>
        </w:rPr>
        <w:t> </w:t>
      </w:r>
      <w:r>
        <w:rPr/>
        <w:t>of potential nonaccrual events on equity and income earning capacity.</w:t>
      </w:r>
    </w:p>
    <w:p>
      <w:pPr>
        <w:pStyle w:val="Heading6"/>
        <w:spacing w:before="117"/>
        <w:jc w:val="left"/>
      </w:pPr>
      <w:r>
        <w:rPr/>
        <w:t>Expected</w:t>
      </w:r>
      <w:r>
        <w:rPr>
          <w:spacing w:val="-2"/>
        </w:rPr>
        <w:t> </w:t>
      </w:r>
      <w:r>
        <w:rPr/>
        <w:t>Losses,</w:t>
      </w:r>
      <w:r>
        <w:rPr>
          <w:spacing w:val="-2"/>
        </w:rPr>
        <w:t> </w:t>
      </w:r>
      <w:r>
        <w:rPr/>
        <w:t>Overdue</w:t>
      </w:r>
      <w:r>
        <w:rPr>
          <w:spacing w:val="-1"/>
        </w:rPr>
        <w:t> </w:t>
      </w:r>
      <w:r>
        <w:rPr/>
        <w:t>Payments,</w:t>
      </w:r>
      <w:r>
        <w:rPr>
          <w:spacing w:val="-2"/>
        </w:rPr>
        <w:t> </w:t>
      </w:r>
      <w:r>
        <w:rPr/>
        <w:t>and</w:t>
      </w:r>
      <w:r>
        <w:rPr>
          <w:spacing w:val="-2"/>
        </w:rPr>
        <w:t> </w:t>
      </w:r>
      <w:r>
        <w:rPr/>
        <w:t>Non-Performing</w:t>
      </w:r>
      <w:r>
        <w:rPr>
          <w:spacing w:val="-1"/>
        </w:rPr>
        <w:t> </w:t>
      </w:r>
      <w:r>
        <w:rPr>
          <w:spacing w:val="-2"/>
        </w:rPr>
        <w:t>Loans</w:t>
      </w:r>
    </w:p>
    <w:p>
      <w:pPr>
        <w:pStyle w:val="BodyText"/>
        <w:spacing w:line="249" w:lineRule="auto" w:before="136"/>
        <w:ind w:left="720" w:right="718"/>
        <w:jc w:val="both"/>
      </w:pPr>
      <w:r>
        <w:rPr/>
        <w:t>The loan loss provision is calculated by taking into account IBRD’s total estimated exposure, the Expected Default Frequency (EDF), i.e. probability of default, and the assumed loss in the event of default.</w:t>
      </w:r>
      <w:r>
        <w:rPr>
          <w:spacing w:val="40"/>
        </w:rPr>
        <w:t> </w:t>
      </w:r>
      <w:r>
        <w:rPr/>
        <w:t>Expected losses inherent in the loan portfolio attributable to country credit risk are covered by the accumulated provision for losses on loans and other exposures, while unexpected losses owing to country credit risk are covered by equity (see Notes to the Financial Statements, Note A: Summary of Significant Accounting and Related Policies and Note D: Loans and Other Exposures).</w:t>
      </w:r>
    </w:p>
    <w:p>
      <w:pPr>
        <w:pStyle w:val="BodyText"/>
        <w:spacing w:line="249" w:lineRule="auto" w:before="125"/>
        <w:ind w:left="720" w:right="718"/>
        <w:jc w:val="both"/>
      </w:pPr>
      <w:r>
        <w:rPr/>
        <w:t>When a borrower fails to make payments due to IBRD on any principal, interest, or other charges, IBRD may suspend disbursements immediately on all loans to that borrower. IBRD’s current practice is to exercise this option using a graduated approach (Box 7). These practices also apply to member countries eligible to borrow from both IBRD and IDA, and whose payments on IDA loans may become overdue. It is IBRD’s practice not to reschedule interest</w:t>
      </w:r>
      <w:r>
        <w:rPr>
          <w:spacing w:val="-2"/>
        </w:rPr>
        <w:t> </w:t>
      </w:r>
      <w:r>
        <w:rPr/>
        <w:t>or</w:t>
      </w:r>
      <w:r>
        <w:rPr>
          <w:spacing w:val="-1"/>
        </w:rPr>
        <w:t> </w:t>
      </w:r>
      <w:r>
        <w:rPr/>
        <w:t>principal</w:t>
      </w:r>
      <w:r>
        <w:rPr>
          <w:spacing w:val="-2"/>
        </w:rPr>
        <w:t> </w:t>
      </w:r>
      <w:r>
        <w:rPr/>
        <w:t>payments</w:t>
      </w:r>
      <w:r>
        <w:rPr>
          <w:spacing w:val="-2"/>
        </w:rPr>
        <w:t> </w:t>
      </w:r>
      <w:r>
        <w:rPr/>
        <w:t>on</w:t>
      </w:r>
      <w:r>
        <w:rPr>
          <w:spacing w:val="-1"/>
        </w:rPr>
        <w:t> </w:t>
      </w:r>
      <w:r>
        <w:rPr/>
        <w:t>its</w:t>
      </w:r>
      <w:r>
        <w:rPr>
          <w:spacing w:val="-2"/>
        </w:rPr>
        <w:t> </w:t>
      </w:r>
      <w:r>
        <w:rPr/>
        <w:t>loans</w:t>
      </w:r>
      <w:r>
        <w:rPr>
          <w:spacing w:val="-2"/>
        </w:rPr>
        <w:t> </w:t>
      </w:r>
      <w:r>
        <w:rPr/>
        <w:t>or</w:t>
      </w:r>
      <w:r>
        <w:rPr>
          <w:spacing w:val="-1"/>
        </w:rPr>
        <w:t> </w:t>
      </w:r>
      <w:r>
        <w:rPr/>
        <w:t>participate</w:t>
      </w:r>
      <w:r>
        <w:rPr>
          <w:spacing w:val="-2"/>
        </w:rPr>
        <w:t> </w:t>
      </w:r>
      <w:r>
        <w:rPr/>
        <w:t>in</w:t>
      </w:r>
      <w:r>
        <w:rPr>
          <w:spacing w:val="-1"/>
        </w:rPr>
        <w:t> </w:t>
      </w:r>
      <w:r>
        <w:rPr/>
        <w:t>debt</w:t>
      </w:r>
      <w:r>
        <w:rPr>
          <w:spacing w:val="-2"/>
        </w:rPr>
        <w:t> </w:t>
      </w:r>
      <w:r>
        <w:rPr/>
        <w:t>rescheduling</w:t>
      </w:r>
      <w:r>
        <w:rPr>
          <w:spacing w:val="-1"/>
        </w:rPr>
        <w:t> </w:t>
      </w:r>
      <w:r>
        <w:rPr/>
        <w:t>agreements</w:t>
      </w:r>
      <w:r>
        <w:rPr>
          <w:spacing w:val="-2"/>
        </w:rPr>
        <w:t> </w:t>
      </w:r>
      <w:r>
        <w:rPr/>
        <w:t>with</w:t>
      </w:r>
      <w:r>
        <w:rPr>
          <w:spacing w:val="-1"/>
        </w:rPr>
        <w:t> </w:t>
      </w:r>
      <w:r>
        <w:rPr/>
        <w:t>respect</w:t>
      </w:r>
      <w:r>
        <w:rPr>
          <w:spacing w:val="-2"/>
        </w:rPr>
        <w:t> </w:t>
      </w:r>
      <w:r>
        <w:rPr/>
        <w:t>to</w:t>
      </w:r>
      <w:r>
        <w:rPr>
          <w:spacing w:val="-1"/>
        </w:rPr>
        <w:t> </w:t>
      </w:r>
      <w:r>
        <w:rPr/>
        <w:t>its</w:t>
      </w:r>
      <w:r>
        <w:rPr>
          <w:spacing w:val="-2"/>
        </w:rPr>
        <w:t> </w:t>
      </w:r>
      <w:r>
        <w:rPr/>
        <w:t>loans.</w:t>
      </w:r>
      <w:r>
        <w:rPr>
          <w:spacing w:val="-1"/>
        </w:rPr>
        <w:t> </w:t>
      </w:r>
      <w:r>
        <w:rPr/>
        <w:t>As of June 30, 2023, there were no principal or interest amounts on loans in accrual status, that were overdue by more than three months.</w:t>
      </w:r>
    </w:p>
    <w:p>
      <w:pPr>
        <w:pStyle w:val="BodyText"/>
        <w:spacing w:before="125"/>
        <w:ind w:left="720"/>
      </w:pPr>
      <w:r>
        <w:rPr/>
        <w:t>Effective</w:t>
      </w:r>
      <w:r>
        <w:rPr>
          <w:spacing w:val="-6"/>
        </w:rPr>
        <w:t> </w:t>
      </w:r>
      <w:r>
        <w:rPr/>
        <w:t>October</w:t>
      </w:r>
      <w:r>
        <w:rPr>
          <w:spacing w:val="-2"/>
        </w:rPr>
        <w:t> </w:t>
      </w:r>
      <w:r>
        <w:rPr/>
        <w:t>17,</w:t>
      </w:r>
      <w:r>
        <w:rPr>
          <w:spacing w:val="-2"/>
        </w:rPr>
        <w:t> </w:t>
      </w:r>
      <w:r>
        <w:rPr/>
        <w:t>2022,</w:t>
      </w:r>
      <w:r>
        <w:rPr>
          <w:spacing w:val="-3"/>
        </w:rPr>
        <w:t> </w:t>
      </w:r>
      <w:r>
        <w:rPr/>
        <w:t>all</w:t>
      </w:r>
      <w:r>
        <w:rPr>
          <w:spacing w:val="-3"/>
        </w:rPr>
        <w:t> </w:t>
      </w:r>
      <w:r>
        <w:rPr/>
        <w:t>loans</w:t>
      </w:r>
      <w:r>
        <w:rPr>
          <w:spacing w:val="-3"/>
        </w:rPr>
        <w:t> </w:t>
      </w:r>
      <w:r>
        <w:rPr/>
        <w:t>made</w:t>
      </w:r>
      <w:r>
        <w:rPr>
          <w:spacing w:val="-4"/>
        </w:rPr>
        <w:t> </w:t>
      </w:r>
      <w:r>
        <w:rPr/>
        <w:t>to</w:t>
      </w:r>
      <w:r>
        <w:rPr>
          <w:spacing w:val="-2"/>
        </w:rPr>
        <w:t> </w:t>
      </w:r>
      <w:r>
        <w:rPr/>
        <w:t>or</w:t>
      </w:r>
      <w:r>
        <w:rPr>
          <w:spacing w:val="-2"/>
        </w:rPr>
        <w:t> </w:t>
      </w:r>
      <w:r>
        <w:rPr/>
        <w:t>guaranteed</w:t>
      </w:r>
      <w:r>
        <w:rPr>
          <w:spacing w:val="-3"/>
        </w:rPr>
        <w:t> </w:t>
      </w:r>
      <w:r>
        <w:rPr/>
        <w:t>by</w:t>
      </w:r>
      <w:r>
        <w:rPr>
          <w:spacing w:val="-2"/>
        </w:rPr>
        <w:t> </w:t>
      </w:r>
      <w:r>
        <w:rPr/>
        <w:t>Belarus</w:t>
      </w:r>
      <w:r>
        <w:rPr>
          <w:spacing w:val="-3"/>
        </w:rPr>
        <w:t> </w:t>
      </w:r>
      <w:r>
        <w:rPr/>
        <w:t>were</w:t>
      </w:r>
      <w:r>
        <w:rPr>
          <w:spacing w:val="-4"/>
        </w:rPr>
        <w:t> </w:t>
      </w:r>
      <w:r>
        <w:rPr/>
        <w:t>placed</w:t>
      </w:r>
      <w:r>
        <w:rPr>
          <w:spacing w:val="-2"/>
        </w:rPr>
        <w:t> </w:t>
      </w:r>
      <w:r>
        <w:rPr/>
        <w:t>into</w:t>
      </w:r>
      <w:r>
        <w:rPr>
          <w:spacing w:val="-2"/>
        </w:rPr>
        <w:t> </w:t>
      </w:r>
      <w:r>
        <w:rPr/>
        <w:t>nonaccrual</w:t>
      </w:r>
      <w:r>
        <w:rPr>
          <w:spacing w:val="-3"/>
        </w:rPr>
        <w:t> </w:t>
      </w:r>
      <w:r>
        <w:rPr>
          <w:spacing w:val="-2"/>
        </w:rPr>
        <w:t>status.</w:t>
      </w:r>
    </w:p>
    <w:p>
      <w:pPr>
        <w:pStyle w:val="BodyText"/>
        <w:spacing w:line="249" w:lineRule="auto" w:before="131"/>
        <w:ind w:left="720" w:right="718"/>
        <w:jc w:val="both"/>
      </w:pPr>
      <w:r>
        <w:rPr/>
        <w:t>As of June 30, 2023, 0.6% of IBRD’s loans were in nonaccrual status, all related to Zimbabwe and Belarus. During the year, IBRD received $3 million ($3 million in FY22) from borrowers in non-accrual status as payments towards amounts</w:t>
      </w:r>
      <w:r>
        <w:rPr>
          <w:spacing w:val="-2"/>
        </w:rPr>
        <w:t> </w:t>
      </w:r>
      <w:r>
        <w:rPr/>
        <w:t>overdue,</w:t>
      </w:r>
      <w:r>
        <w:rPr>
          <w:spacing w:val="-2"/>
        </w:rPr>
        <w:t> </w:t>
      </w:r>
      <w:r>
        <w:rPr/>
        <w:t>of</w:t>
      </w:r>
      <w:r>
        <w:rPr>
          <w:spacing w:val="-2"/>
        </w:rPr>
        <w:t> </w:t>
      </w:r>
      <w:r>
        <w:rPr/>
        <w:t>which</w:t>
      </w:r>
      <w:r>
        <w:rPr>
          <w:spacing w:val="-2"/>
        </w:rPr>
        <w:t> </w:t>
      </w:r>
      <w:r>
        <w:rPr/>
        <w:t>$2</w:t>
      </w:r>
      <w:r>
        <w:rPr>
          <w:spacing w:val="-2"/>
        </w:rPr>
        <w:t> </w:t>
      </w:r>
      <w:r>
        <w:rPr/>
        <w:t>million</w:t>
      </w:r>
      <w:r>
        <w:rPr>
          <w:spacing w:val="-2"/>
        </w:rPr>
        <w:t> </w:t>
      </w:r>
      <w:r>
        <w:rPr/>
        <w:t>(less</w:t>
      </w:r>
      <w:r>
        <w:rPr>
          <w:spacing w:val="-2"/>
        </w:rPr>
        <w:t> </w:t>
      </w:r>
      <w:r>
        <w:rPr/>
        <w:t>than</w:t>
      </w:r>
      <w:r>
        <w:rPr>
          <w:spacing w:val="-2"/>
        </w:rPr>
        <w:t> </w:t>
      </w:r>
      <w:r>
        <w:rPr/>
        <w:t>$1</w:t>
      </w:r>
      <w:r>
        <w:rPr>
          <w:spacing w:val="-2"/>
        </w:rPr>
        <w:t> </w:t>
      </w:r>
      <w:r>
        <w:rPr/>
        <w:t>million</w:t>
      </w:r>
      <w:r>
        <w:rPr>
          <w:spacing w:val="-2"/>
        </w:rPr>
        <w:t> </w:t>
      </w:r>
      <w:r>
        <w:rPr/>
        <w:t>in</w:t>
      </w:r>
      <w:r>
        <w:rPr>
          <w:spacing w:val="-2"/>
        </w:rPr>
        <w:t> </w:t>
      </w:r>
      <w:r>
        <w:rPr/>
        <w:t>FY22</w:t>
      </w:r>
      <w:r>
        <w:rPr>
          <w:spacing w:val="-2"/>
        </w:rPr>
        <w:t> </w:t>
      </w:r>
      <w:r>
        <w:rPr/>
        <w:t>)</w:t>
      </w:r>
      <w:r>
        <w:rPr>
          <w:spacing w:val="-2"/>
        </w:rPr>
        <w:t> </w:t>
      </w:r>
      <w:r>
        <w:rPr/>
        <w:t>relates</w:t>
      </w:r>
      <w:r>
        <w:rPr>
          <w:spacing w:val="-2"/>
        </w:rPr>
        <w:t> </w:t>
      </w:r>
      <w:r>
        <w:rPr/>
        <w:t>to</w:t>
      </w:r>
      <w:r>
        <w:rPr>
          <w:spacing w:val="-2"/>
        </w:rPr>
        <w:t> </w:t>
      </w:r>
      <w:r>
        <w:rPr/>
        <w:t>the</w:t>
      </w:r>
      <w:r>
        <w:rPr>
          <w:spacing w:val="-2"/>
        </w:rPr>
        <w:t> </w:t>
      </w:r>
      <w:r>
        <w:rPr/>
        <w:t>interest</w:t>
      </w:r>
      <w:r>
        <w:rPr>
          <w:spacing w:val="-2"/>
        </w:rPr>
        <w:t> </w:t>
      </w:r>
      <w:r>
        <w:rPr/>
        <w:t>income</w:t>
      </w:r>
      <w:r>
        <w:rPr>
          <w:spacing w:val="-2"/>
        </w:rPr>
        <w:t> </w:t>
      </w:r>
      <w:r>
        <w:rPr/>
        <w:t>recognized</w:t>
      </w:r>
      <w:r>
        <w:rPr>
          <w:spacing w:val="-2"/>
        </w:rPr>
        <w:t> </w:t>
      </w:r>
      <w:r>
        <w:rPr/>
        <w:t>in</w:t>
      </w:r>
      <w:r>
        <w:rPr>
          <w:spacing w:val="-2"/>
        </w:rPr>
        <w:t> </w:t>
      </w:r>
      <w:r>
        <w:rPr/>
        <w:t>the Statements of Income.</w:t>
      </w:r>
    </w:p>
    <w:p>
      <w:pPr>
        <w:pStyle w:val="BodyText"/>
        <w:spacing w:line="249" w:lineRule="auto" w:before="123"/>
        <w:ind w:left="720" w:right="719"/>
      </w:pPr>
      <w:r>
        <w:rPr/>
        <w:t>The exposure to Zimbabwe was $427 million as of June 30, 2023, compared with $428 million as of June 30, 2022. The exposure to Belarus was $998 million as of June 30, 2023, compared with $985 million as of June 30, 2022.</w:t>
      </w:r>
    </w:p>
    <w:p>
      <w:pPr>
        <w:pStyle w:val="BodyText"/>
        <w:spacing w:before="121"/>
        <w:ind w:left="720"/>
      </w:pPr>
      <w:r>
        <w:rPr/>
        <w:t>No</w:t>
      </w:r>
      <w:r>
        <w:rPr>
          <w:spacing w:val="-5"/>
        </w:rPr>
        <w:t> </w:t>
      </w:r>
      <w:r>
        <w:rPr/>
        <w:t>loans</w:t>
      </w:r>
      <w:r>
        <w:rPr>
          <w:spacing w:val="-2"/>
        </w:rPr>
        <w:t> </w:t>
      </w:r>
      <w:r>
        <w:rPr/>
        <w:t>to</w:t>
      </w:r>
      <w:r>
        <w:rPr>
          <w:spacing w:val="-2"/>
        </w:rPr>
        <w:t> </w:t>
      </w:r>
      <w:r>
        <w:rPr/>
        <w:t>any</w:t>
      </w:r>
      <w:r>
        <w:rPr>
          <w:spacing w:val="-3"/>
        </w:rPr>
        <w:t> </w:t>
      </w:r>
      <w:r>
        <w:rPr/>
        <w:t>borrowing</w:t>
      </w:r>
      <w:r>
        <w:rPr>
          <w:spacing w:val="-2"/>
        </w:rPr>
        <w:t> </w:t>
      </w:r>
      <w:r>
        <w:rPr/>
        <w:t>country</w:t>
      </w:r>
      <w:r>
        <w:rPr>
          <w:spacing w:val="-2"/>
        </w:rPr>
        <w:t> </w:t>
      </w:r>
      <w:r>
        <w:rPr/>
        <w:t>were</w:t>
      </w:r>
      <w:r>
        <w:rPr>
          <w:spacing w:val="-3"/>
        </w:rPr>
        <w:t> </w:t>
      </w:r>
      <w:r>
        <w:rPr/>
        <w:t>restored</w:t>
      </w:r>
      <w:r>
        <w:rPr>
          <w:spacing w:val="-2"/>
        </w:rPr>
        <w:t> </w:t>
      </w:r>
      <w:r>
        <w:rPr/>
        <w:t>to</w:t>
      </w:r>
      <w:r>
        <w:rPr>
          <w:spacing w:val="-2"/>
        </w:rPr>
        <w:t> </w:t>
      </w:r>
      <w:r>
        <w:rPr/>
        <w:t>accrual</w:t>
      </w:r>
      <w:r>
        <w:rPr>
          <w:spacing w:val="-3"/>
        </w:rPr>
        <w:t> </w:t>
      </w:r>
      <w:r>
        <w:rPr/>
        <w:t>status</w:t>
      </w:r>
      <w:r>
        <w:rPr>
          <w:spacing w:val="-2"/>
        </w:rPr>
        <w:t> </w:t>
      </w:r>
      <w:r>
        <w:rPr/>
        <w:t>during</w:t>
      </w:r>
      <w:r>
        <w:rPr>
          <w:spacing w:val="-3"/>
        </w:rPr>
        <w:t> </w:t>
      </w:r>
      <w:r>
        <w:rPr/>
        <w:t>the</w:t>
      </w:r>
      <w:r>
        <w:rPr>
          <w:spacing w:val="-2"/>
        </w:rPr>
        <w:t> year.</w:t>
      </w:r>
    </w:p>
    <w:p>
      <w:pPr>
        <w:pStyle w:val="BodyText"/>
        <w:spacing w:after="0"/>
        <w:sectPr>
          <w:pgSz w:w="12240" w:h="15840"/>
          <w:pgMar w:header="744" w:footer="713" w:top="1020" w:bottom="900" w:left="720" w:right="720"/>
        </w:sectPr>
      </w:pPr>
    </w:p>
    <w:p>
      <w:pPr>
        <w:pStyle w:val="BodyText"/>
        <w:spacing w:before="161"/>
        <w:rPr>
          <w:sz w:val="18"/>
        </w:rPr>
      </w:pPr>
    </w:p>
    <w:p>
      <w:pPr>
        <w:spacing w:before="0" w:after="37"/>
        <w:ind w:left="720" w:right="0" w:firstLine="0"/>
        <w:jc w:val="left"/>
        <w:rPr>
          <w:rFonts w:ascii="Arial"/>
          <w:b/>
          <w:sz w:val="18"/>
        </w:rPr>
      </w:pPr>
      <w:bookmarkStart w:name="_bookmark78" w:id="117"/>
      <w:bookmarkEnd w:id="117"/>
      <w:r>
        <w:rPr/>
      </w:r>
      <w:r>
        <w:rPr>
          <w:rFonts w:ascii="Arial"/>
          <w:b/>
          <w:sz w:val="18"/>
        </w:rPr>
        <w:t>Box</w:t>
      </w:r>
      <w:r>
        <w:rPr>
          <w:rFonts w:ascii="Arial"/>
          <w:b/>
          <w:spacing w:val="-4"/>
          <w:sz w:val="18"/>
        </w:rPr>
        <w:t> </w:t>
      </w:r>
      <w:r>
        <w:rPr>
          <w:rFonts w:ascii="Arial"/>
          <w:b/>
          <w:sz w:val="18"/>
        </w:rPr>
        <w:t>7:</w:t>
      </w:r>
      <w:r>
        <w:rPr>
          <w:rFonts w:ascii="Arial"/>
          <w:b/>
          <w:spacing w:val="-2"/>
          <w:sz w:val="18"/>
        </w:rPr>
        <w:t> </w:t>
      </w:r>
      <w:r>
        <w:rPr>
          <w:rFonts w:ascii="Arial"/>
          <w:b/>
          <w:sz w:val="18"/>
        </w:rPr>
        <w:t>Treatment</w:t>
      </w:r>
      <w:r>
        <w:rPr>
          <w:rFonts w:ascii="Arial"/>
          <w:b/>
          <w:spacing w:val="-2"/>
          <w:sz w:val="18"/>
        </w:rPr>
        <w:t> </w:t>
      </w:r>
      <w:r>
        <w:rPr>
          <w:rFonts w:ascii="Arial"/>
          <w:b/>
          <w:sz w:val="18"/>
        </w:rPr>
        <w:t>of</w:t>
      </w:r>
      <w:r>
        <w:rPr>
          <w:rFonts w:ascii="Arial"/>
          <w:b/>
          <w:spacing w:val="-2"/>
          <w:sz w:val="18"/>
        </w:rPr>
        <w:t> </w:t>
      </w:r>
      <w:r>
        <w:rPr>
          <w:rFonts w:ascii="Arial"/>
          <w:b/>
          <w:sz w:val="18"/>
        </w:rPr>
        <w:t>Overdue</w:t>
      </w:r>
      <w:r>
        <w:rPr>
          <w:rFonts w:ascii="Arial"/>
          <w:b/>
          <w:spacing w:val="-2"/>
          <w:sz w:val="18"/>
        </w:rPr>
        <w:t> Payments</w:t>
      </w:r>
    </w:p>
    <w:tbl>
      <w:tblPr>
        <w:tblW w:w="0" w:type="auto"/>
        <w:jc w:val="left"/>
        <w:tblInd w:w="730"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990"/>
        <w:gridCol w:w="8370"/>
      </w:tblGrid>
      <w:tr>
        <w:trPr>
          <w:trHeight w:val="1840" w:hRule="atLeast"/>
        </w:trPr>
        <w:tc>
          <w:tcPr>
            <w:tcW w:w="99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6"/>
              <w:rPr>
                <w:rFonts w:ascii="Arial"/>
                <w:b/>
                <w:sz w:val="16"/>
              </w:rPr>
            </w:pPr>
          </w:p>
          <w:p>
            <w:pPr>
              <w:pStyle w:val="TableParagraph"/>
              <w:spacing w:line="208" w:lineRule="auto"/>
              <w:ind w:left="110" w:right="24"/>
              <w:rPr>
                <w:sz w:val="16"/>
              </w:rPr>
            </w:pPr>
            <w:r>
              <w:rPr>
                <w:sz w:val="16"/>
              </w:rPr>
              <w:t>Overdue</w:t>
            </w:r>
            <w:r>
              <w:rPr>
                <w:spacing w:val="-12"/>
                <w:sz w:val="16"/>
              </w:rPr>
              <w:t> </w:t>
            </w:r>
            <w:r>
              <w:rPr>
                <w:sz w:val="16"/>
              </w:rPr>
              <w:t>by 30 days</w:t>
            </w:r>
          </w:p>
        </w:tc>
        <w:tc>
          <w:tcPr>
            <w:tcW w:w="8370" w:type="dxa"/>
          </w:tcPr>
          <w:p>
            <w:pPr>
              <w:pStyle w:val="TableParagraph"/>
              <w:spacing w:line="208" w:lineRule="auto" w:before="122"/>
              <w:ind w:left="52" w:right="27"/>
              <w:jc w:val="both"/>
              <w:rPr>
                <w:sz w:val="16"/>
              </w:rPr>
            </w:pPr>
            <w:r>
              <w:rPr>
                <w:sz w:val="16"/>
              </w:rPr>
              <w:t>Where the borrower is the member country, no new loans to the member country, or to any other borrower in the country, will be presented to the Board for approval, nor will any previously approved loan be signed, until payments for all amounts 30 days overdue or longer have been received. Where the borrower is not the member country, no new loans to that borrower will be signed or approved. In either case, the borrower will lose its eligibility for any waiver of interest charges in effect at that time for loans signed before May 16, 2007, and those loans signed between May 16, 2007, and September 27, 2007, if the borrowers elected not to convert the terms of their loans to the pricing terms effective September 27, 2007. For loans with the pricing terms applicable from May 16, 2007, an overdue interest penalty will be charged at a rate of 50 basis points on the overdue principal.</w:t>
            </w:r>
            <w:r>
              <w:rPr>
                <w:spacing w:val="40"/>
                <w:sz w:val="16"/>
              </w:rPr>
              <w:t> </w:t>
            </w:r>
            <w:r>
              <w:rPr>
                <w:sz w:val="16"/>
              </w:rPr>
              <w:t>In addition, if an overdue amount remains unpaid for a period of 30 days, then the borrower will pay a higher interest rate (Reference rate + spread) plus 50 basis points on the overdue principal amount until the overdue amount is fully paid.</w:t>
            </w:r>
          </w:p>
        </w:tc>
      </w:tr>
      <w:tr>
        <w:trPr>
          <w:trHeight w:val="1135" w:hRule="atLeast"/>
        </w:trPr>
        <w:tc>
          <w:tcPr>
            <w:tcW w:w="990" w:type="dxa"/>
          </w:tcPr>
          <w:p>
            <w:pPr>
              <w:pStyle w:val="TableParagraph"/>
              <w:rPr>
                <w:rFonts w:ascii="Arial"/>
                <w:b/>
                <w:sz w:val="16"/>
              </w:rPr>
            </w:pPr>
          </w:p>
          <w:p>
            <w:pPr>
              <w:pStyle w:val="TableParagraph"/>
              <w:spacing w:before="41"/>
              <w:rPr>
                <w:rFonts w:ascii="Arial"/>
                <w:b/>
                <w:sz w:val="16"/>
              </w:rPr>
            </w:pPr>
          </w:p>
          <w:p>
            <w:pPr>
              <w:pStyle w:val="TableParagraph"/>
              <w:spacing w:line="208" w:lineRule="auto"/>
              <w:ind w:left="110" w:right="24"/>
              <w:rPr>
                <w:sz w:val="16"/>
              </w:rPr>
            </w:pPr>
            <w:r>
              <w:rPr>
                <w:sz w:val="16"/>
              </w:rPr>
              <w:t>Overdue</w:t>
            </w:r>
            <w:r>
              <w:rPr>
                <w:spacing w:val="-12"/>
                <w:sz w:val="16"/>
              </w:rPr>
              <w:t> </w:t>
            </w:r>
            <w:r>
              <w:rPr>
                <w:sz w:val="16"/>
              </w:rPr>
              <w:t>by 45 days</w:t>
            </w:r>
          </w:p>
        </w:tc>
        <w:tc>
          <w:tcPr>
            <w:tcW w:w="8370" w:type="dxa"/>
          </w:tcPr>
          <w:p>
            <w:pPr>
              <w:pStyle w:val="TableParagraph"/>
              <w:spacing w:line="208" w:lineRule="auto" w:before="89"/>
              <w:ind w:left="52" w:right="28"/>
              <w:jc w:val="both"/>
              <w:rPr>
                <w:sz w:val="16"/>
              </w:rPr>
            </w:pPr>
            <w:r>
              <w:rPr>
                <w:sz w:val="16"/>
              </w:rPr>
              <w:t>In addition to the provisions cited above for payments overdue by 30 days, to avoid proceeding further on the notification process leading to suspension of disbursements, the country as borrower or guarantor and all borrowers in the country must pay not only all payments overdue by 30 days or more, but also all payments due regardless of the number of days since they have fallen due. Where the borrower is not the member country, no new loans to, or guaranteed by, the member country, will be signed or approved. Additionally, all borrowers in the country will lose eligibility for any waivers of interest in effect at the time.</w:t>
            </w:r>
          </w:p>
        </w:tc>
      </w:tr>
      <w:tr>
        <w:trPr>
          <w:trHeight w:val="820" w:hRule="atLeast"/>
        </w:trPr>
        <w:tc>
          <w:tcPr>
            <w:tcW w:w="990" w:type="dxa"/>
          </w:tcPr>
          <w:p>
            <w:pPr>
              <w:pStyle w:val="TableParagraph"/>
              <w:spacing w:before="68"/>
              <w:rPr>
                <w:rFonts w:ascii="Arial"/>
                <w:b/>
                <w:sz w:val="16"/>
              </w:rPr>
            </w:pPr>
          </w:p>
          <w:p>
            <w:pPr>
              <w:pStyle w:val="TableParagraph"/>
              <w:spacing w:line="208" w:lineRule="auto"/>
              <w:ind w:left="110" w:right="24"/>
              <w:rPr>
                <w:sz w:val="16"/>
              </w:rPr>
            </w:pPr>
            <w:r>
              <w:rPr>
                <w:sz w:val="16"/>
              </w:rPr>
              <w:t>Overdue</w:t>
            </w:r>
            <w:r>
              <w:rPr>
                <w:spacing w:val="-12"/>
                <w:sz w:val="16"/>
              </w:rPr>
              <w:t> </w:t>
            </w:r>
            <w:r>
              <w:rPr>
                <w:sz w:val="16"/>
              </w:rPr>
              <w:t>by 60 days</w:t>
            </w:r>
          </w:p>
        </w:tc>
        <w:tc>
          <w:tcPr>
            <w:tcW w:w="8370" w:type="dxa"/>
          </w:tcPr>
          <w:p>
            <w:pPr>
              <w:pStyle w:val="TableParagraph"/>
              <w:spacing w:line="208" w:lineRule="auto" w:before="92"/>
              <w:ind w:left="52" w:right="29"/>
              <w:jc w:val="both"/>
              <w:rPr>
                <w:sz w:val="16"/>
              </w:rPr>
            </w:pPr>
            <w:r>
              <w:rPr>
                <w:sz w:val="16"/>
              </w:rPr>
              <w:t>In addition to the suspension of approval for new loans and signing of previously approved loans, disbursements on all loans to, or guaranteed by, the member country are suspended until all overdue amounts are paid. This policy applies</w:t>
            </w:r>
            <w:r>
              <w:rPr>
                <w:spacing w:val="-3"/>
                <w:sz w:val="16"/>
              </w:rPr>
              <w:t> </w:t>
            </w:r>
            <w:r>
              <w:rPr>
                <w:sz w:val="16"/>
              </w:rPr>
              <w:t>even</w:t>
            </w:r>
            <w:r>
              <w:rPr>
                <w:spacing w:val="-3"/>
                <w:sz w:val="16"/>
              </w:rPr>
              <w:t> </w:t>
            </w:r>
            <w:r>
              <w:rPr>
                <w:sz w:val="16"/>
              </w:rPr>
              <w:t>when</w:t>
            </w:r>
            <w:r>
              <w:rPr>
                <w:spacing w:val="-3"/>
                <w:sz w:val="16"/>
              </w:rPr>
              <w:t> </w:t>
            </w:r>
            <w:r>
              <w:rPr>
                <w:sz w:val="16"/>
              </w:rPr>
              <w:t>the</w:t>
            </w:r>
            <w:r>
              <w:rPr>
                <w:spacing w:val="-3"/>
                <w:sz w:val="16"/>
              </w:rPr>
              <w:t> </w:t>
            </w:r>
            <w:r>
              <w:rPr>
                <w:sz w:val="16"/>
              </w:rPr>
              <w:t>borrower</w:t>
            </w:r>
            <w:r>
              <w:rPr>
                <w:spacing w:val="-3"/>
                <w:sz w:val="16"/>
              </w:rPr>
              <w:t> </w:t>
            </w:r>
            <w:r>
              <w:rPr>
                <w:sz w:val="16"/>
              </w:rPr>
              <w:t>is</w:t>
            </w:r>
            <w:r>
              <w:rPr>
                <w:spacing w:val="-3"/>
                <w:sz w:val="16"/>
              </w:rPr>
              <w:t> </w:t>
            </w:r>
            <w:r>
              <w:rPr>
                <w:sz w:val="16"/>
              </w:rPr>
              <w:t>not</w:t>
            </w:r>
            <w:r>
              <w:rPr>
                <w:spacing w:val="-3"/>
                <w:sz w:val="16"/>
              </w:rPr>
              <w:t> </w:t>
            </w:r>
            <w:r>
              <w:rPr>
                <w:sz w:val="16"/>
              </w:rPr>
              <w:t>the</w:t>
            </w:r>
            <w:r>
              <w:rPr>
                <w:spacing w:val="-3"/>
                <w:sz w:val="16"/>
              </w:rPr>
              <w:t> </w:t>
            </w:r>
            <w:r>
              <w:rPr>
                <w:sz w:val="16"/>
              </w:rPr>
              <w:t>member</w:t>
            </w:r>
            <w:r>
              <w:rPr>
                <w:spacing w:val="-3"/>
                <w:sz w:val="16"/>
              </w:rPr>
              <w:t> </w:t>
            </w:r>
            <w:r>
              <w:rPr>
                <w:sz w:val="16"/>
              </w:rPr>
              <w:t>country.</w:t>
            </w:r>
            <w:r>
              <w:rPr>
                <w:spacing w:val="-3"/>
                <w:sz w:val="16"/>
              </w:rPr>
              <w:t> </w:t>
            </w:r>
            <w:r>
              <w:rPr>
                <w:sz w:val="16"/>
              </w:rPr>
              <w:t>Under</w:t>
            </w:r>
            <w:r>
              <w:rPr>
                <w:spacing w:val="-3"/>
                <w:sz w:val="16"/>
              </w:rPr>
              <w:t> </w:t>
            </w:r>
            <w:r>
              <w:rPr>
                <w:sz w:val="16"/>
              </w:rPr>
              <w:t>exceptional</w:t>
            </w:r>
            <w:r>
              <w:rPr>
                <w:spacing w:val="-3"/>
                <w:sz w:val="16"/>
              </w:rPr>
              <w:t> </w:t>
            </w:r>
            <w:r>
              <w:rPr>
                <w:sz w:val="16"/>
              </w:rPr>
              <w:t>circumstances,</w:t>
            </w:r>
            <w:r>
              <w:rPr>
                <w:spacing w:val="-3"/>
                <w:sz w:val="16"/>
              </w:rPr>
              <w:t> </w:t>
            </w:r>
            <w:r>
              <w:rPr>
                <w:sz w:val="16"/>
              </w:rPr>
              <w:t>disbursements</w:t>
            </w:r>
            <w:r>
              <w:rPr>
                <w:spacing w:val="-3"/>
                <w:sz w:val="16"/>
              </w:rPr>
              <w:t> </w:t>
            </w:r>
            <w:r>
              <w:rPr>
                <w:sz w:val="16"/>
              </w:rPr>
              <w:t>can</w:t>
            </w:r>
            <w:r>
              <w:rPr>
                <w:spacing w:val="-3"/>
                <w:sz w:val="16"/>
              </w:rPr>
              <w:t> </w:t>
            </w:r>
            <w:r>
              <w:rPr>
                <w:sz w:val="16"/>
              </w:rPr>
              <w:t>be made to a member country upon the Board’s approval.</w:t>
            </w:r>
          </w:p>
        </w:tc>
      </w:tr>
      <w:tr>
        <w:trPr>
          <w:trHeight w:val="1180" w:hRule="atLeast"/>
        </w:trPr>
        <w:tc>
          <w:tcPr>
            <w:tcW w:w="990" w:type="dxa"/>
          </w:tcPr>
          <w:p>
            <w:pPr>
              <w:pStyle w:val="TableParagraph"/>
              <w:spacing w:before="168"/>
              <w:rPr>
                <w:rFonts w:ascii="Arial"/>
                <w:b/>
                <w:sz w:val="16"/>
              </w:rPr>
            </w:pPr>
          </w:p>
          <w:p>
            <w:pPr>
              <w:pStyle w:val="TableParagraph"/>
              <w:spacing w:line="208" w:lineRule="auto"/>
              <w:ind w:left="110" w:right="24"/>
              <w:rPr>
                <w:sz w:val="16"/>
              </w:rPr>
            </w:pPr>
            <w:r>
              <w:rPr>
                <w:sz w:val="16"/>
              </w:rPr>
              <w:t>Overdue</w:t>
            </w:r>
            <w:r>
              <w:rPr>
                <w:spacing w:val="-12"/>
                <w:sz w:val="16"/>
              </w:rPr>
              <w:t> </w:t>
            </w:r>
            <w:r>
              <w:rPr>
                <w:sz w:val="16"/>
              </w:rPr>
              <w:t>by more than six months</w:t>
            </w:r>
          </w:p>
        </w:tc>
        <w:tc>
          <w:tcPr>
            <w:tcW w:w="8370" w:type="dxa"/>
          </w:tcPr>
          <w:p>
            <w:pPr>
              <w:pStyle w:val="TableParagraph"/>
              <w:spacing w:line="208" w:lineRule="auto" w:before="32"/>
              <w:ind w:left="52" w:right="28"/>
              <w:jc w:val="both"/>
              <w:rPr>
                <w:sz w:val="16"/>
              </w:rPr>
            </w:pPr>
            <w:r>
              <w:rPr>
                <w:sz w:val="16"/>
              </w:rPr>
              <w:t>All loans made to or guaranteed by a member of IBRD are placed in nonaccrual status, unless IBRD's management determines that the overdue amount will be collected in the immediate future. Unpaid interest and other charges accrued but not yet paid on loans outstanding are deducted from the revenue for the current period. Interest and other charges on nonaccruing exposures are included in revenue only to the extent that payments have been received by IBRD.</w:t>
            </w:r>
            <w:r>
              <w:rPr>
                <w:spacing w:val="-9"/>
                <w:sz w:val="16"/>
              </w:rPr>
              <w:t> </w:t>
            </w:r>
            <w:r>
              <w:rPr>
                <w:sz w:val="16"/>
              </w:rPr>
              <w:t>A</w:t>
            </w:r>
            <w:r>
              <w:rPr>
                <w:spacing w:val="-9"/>
                <w:sz w:val="16"/>
              </w:rPr>
              <w:t> </w:t>
            </w:r>
            <w:r>
              <w:rPr>
                <w:sz w:val="16"/>
              </w:rPr>
              <w:t>decision on the restoration of accrual status is made upon arrears clearance. If collectability risk is considered to be particularly high at the time of arrears clearance, the member’s exposures may not automatically emerge from nonaccrual status until a suitable period of payment performance has passed.</w:t>
            </w:r>
          </w:p>
        </w:tc>
      </w:tr>
    </w:tbl>
    <w:p>
      <w:pPr>
        <w:pStyle w:val="BodyText"/>
        <w:spacing w:before="138"/>
        <w:rPr>
          <w:rFonts w:ascii="Arial"/>
          <w:b/>
          <w:sz w:val="18"/>
        </w:rPr>
      </w:pPr>
    </w:p>
    <w:p>
      <w:pPr>
        <w:pStyle w:val="Heading4"/>
        <w:jc w:val="left"/>
      </w:pPr>
      <w:r>
        <w:rPr/>
        <w:t>Counterparty</w:t>
      </w:r>
      <w:r>
        <w:rPr>
          <w:spacing w:val="-3"/>
        </w:rPr>
        <w:t> </w:t>
      </w:r>
      <w:r>
        <w:rPr/>
        <w:t>Credit</w:t>
      </w:r>
      <w:r>
        <w:rPr>
          <w:spacing w:val="-3"/>
        </w:rPr>
        <w:t> </w:t>
      </w:r>
      <w:r>
        <w:rPr>
          <w:spacing w:val="-4"/>
        </w:rPr>
        <w:t>Risk</w:t>
      </w:r>
    </w:p>
    <w:p>
      <w:pPr>
        <w:pStyle w:val="BodyText"/>
        <w:spacing w:before="140"/>
        <w:ind w:left="720"/>
      </w:pPr>
      <w:r>
        <w:rPr/>
        <w:t>IBRD</w:t>
      </w:r>
      <w:r>
        <w:rPr>
          <w:spacing w:val="-7"/>
        </w:rPr>
        <w:t> </w:t>
      </w:r>
      <w:r>
        <w:rPr/>
        <w:t>is</w:t>
      </w:r>
      <w:r>
        <w:rPr>
          <w:spacing w:val="-4"/>
        </w:rPr>
        <w:t> </w:t>
      </w:r>
      <w:r>
        <w:rPr/>
        <w:t>exposed</w:t>
      </w:r>
      <w:r>
        <w:rPr>
          <w:spacing w:val="-3"/>
        </w:rPr>
        <w:t> </w:t>
      </w:r>
      <w:r>
        <w:rPr/>
        <w:t>to</w:t>
      </w:r>
      <w:r>
        <w:rPr>
          <w:spacing w:val="-4"/>
        </w:rPr>
        <w:t> </w:t>
      </w:r>
      <w:r>
        <w:rPr/>
        <w:t>commercial</w:t>
      </w:r>
      <w:r>
        <w:rPr>
          <w:spacing w:val="-4"/>
        </w:rPr>
        <w:t> </w:t>
      </w:r>
      <w:r>
        <w:rPr/>
        <w:t>and</w:t>
      </w:r>
      <w:r>
        <w:rPr>
          <w:spacing w:val="-4"/>
        </w:rPr>
        <w:t> </w:t>
      </w:r>
      <w:r>
        <w:rPr/>
        <w:t>non-commercial</w:t>
      </w:r>
      <w:r>
        <w:rPr>
          <w:spacing w:val="-4"/>
        </w:rPr>
        <w:t> </w:t>
      </w:r>
      <w:r>
        <w:rPr/>
        <w:t>counterparty</w:t>
      </w:r>
      <w:r>
        <w:rPr>
          <w:spacing w:val="-3"/>
        </w:rPr>
        <w:t> </w:t>
      </w:r>
      <w:r>
        <w:rPr/>
        <w:t>credit</w:t>
      </w:r>
      <w:r>
        <w:rPr>
          <w:spacing w:val="-4"/>
        </w:rPr>
        <w:t> </w:t>
      </w:r>
      <w:r>
        <w:rPr>
          <w:spacing w:val="-2"/>
        </w:rPr>
        <w:t>risk.</w:t>
      </w:r>
    </w:p>
    <w:p>
      <w:pPr>
        <w:pStyle w:val="Heading6"/>
        <w:spacing w:before="125"/>
        <w:jc w:val="left"/>
      </w:pPr>
      <w:r>
        <w:rPr/>
        <w:t>Commercial Counterparty Credit </w:t>
      </w:r>
      <w:r>
        <w:rPr>
          <w:spacing w:val="-4"/>
        </w:rPr>
        <w:t>Risk</w:t>
      </w:r>
    </w:p>
    <w:p>
      <w:pPr>
        <w:pStyle w:val="BodyText"/>
        <w:spacing w:line="232" w:lineRule="auto" w:before="141"/>
        <w:ind w:left="720" w:right="717"/>
        <w:jc w:val="both"/>
      </w:pPr>
      <w:r>
        <w:rPr/>
        <w:t>Commercial counterparty credit risk is the risk that counterparties fail to meet their payment obligations under the terms of the contract or other financial instruments. Effective management of counterparty credit risk is vital to the success of IBRD’s funding, investment, and asset/liability management activities. The monitoring and management of these risks is continuous as the market environment evolves.</w:t>
      </w:r>
    </w:p>
    <w:p>
      <w:pPr>
        <w:pStyle w:val="BodyText"/>
        <w:spacing w:line="232" w:lineRule="auto" w:before="228"/>
        <w:ind w:left="720" w:right="718"/>
        <w:jc w:val="both"/>
      </w:pPr>
      <w:r>
        <w:rPr/>
        <w:t>IBRD mitigates the counterparty credit risk from its investment and derivative holdings through the credit approval process, the use of collateral agreements and risk limits, and other monitoring procedures. The credit approval process involves evaluating counterparty and product-specific creditworthiness, assigning internal credit ratings and limits, and determining the risk profile of specific transactions. Credit limits are set and monitored throughout the year. Counterparty exposure is updated daily, considering the current market values of assets held, estimates of potential future movements of exposure for derivative instruments, and related counterparty collateral agreements, where collateral posting requirements are based on thresholds driven by public credit ratings. Collateral held</w:t>
      </w:r>
      <w:r>
        <w:rPr>
          <w:spacing w:val="40"/>
        </w:rPr>
        <w:t> </w:t>
      </w:r>
      <w:r>
        <w:rPr/>
        <w:t>includes cash and highly rated liquid investment securities. Commercial credit risk management includes ESG related assessments in the approval and monitoring of higher exposure counterparties for the liquid asset portfolio and for derivative counterparties. In addition, third-party ESG scores of the liquid asset portfolio and derivative exposures are monitored.</w:t>
      </w:r>
    </w:p>
    <w:p>
      <w:pPr>
        <w:pStyle w:val="BodyText"/>
        <w:spacing w:before="4"/>
      </w:pPr>
    </w:p>
    <w:p>
      <w:pPr>
        <w:pStyle w:val="BodyText"/>
        <w:spacing w:line="232" w:lineRule="auto"/>
        <w:ind w:left="720" w:right="720"/>
        <w:jc w:val="both"/>
      </w:pPr>
      <w:r>
        <w:rPr/>
        <w:t>IBRD’s</w:t>
      </w:r>
      <w:r>
        <w:rPr>
          <w:spacing w:val="-2"/>
        </w:rPr>
        <w:t> </w:t>
      </w:r>
      <w:r>
        <w:rPr/>
        <w:t>liquid</w:t>
      </w:r>
      <w:r>
        <w:rPr>
          <w:spacing w:val="-1"/>
        </w:rPr>
        <w:t> </w:t>
      </w:r>
      <w:r>
        <w:rPr/>
        <w:t>asset</w:t>
      </w:r>
      <w:r>
        <w:rPr>
          <w:spacing w:val="-2"/>
        </w:rPr>
        <w:t> </w:t>
      </w:r>
      <w:r>
        <w:rPr/>
        <w:t>investment</w:t>
      </w:r>
      <w:r>
        <w:rPr>
          <w:spacing w:val="-2"/>
        </w:rPr>
        <w:t> </w:t>
      </w:r>
      <w:r>
        <w:rPr/>
        <w:t>portfolio</w:t>
      </w:r>
      <w:r>
        <w:rPr>
          <w:spacing w:val="-1"/>
        </w:rPr>
        <w:t> </w:t>
      </w:r>
      <w:r>
        <w:rPr/>
        <w:t>consists</w:t>
      </w:r>
      <w:r>
        <w:rPr>
          <w:spacing w:val="-2"/>
        </w:rPr>
        <w:t> </w:t>
      </w:r>
      <w:r>
        <w:rPr/>
        <w:t>mostly</w:t>
      </w:r>
      <w:r>
        <w:rPr>
          <w:spacing w:val="-1"/>
        </w:rPr>
        <w:t> </w:t>
      </w:r>
      <w:r>
        <w:rPr/>
        <w:t>of</w:t>
      </w:r>
      <w:r>
        <w:rPr>
          <w:spacing w:val="-1"/>
        </w:rPr>
        <w:t> </w:t>
      </w:r>
      <w:r>
        <w:rPr/>
        <w:t>sovereign</w:t>
      </w:r>
      <w:r>
        <w:rPr>
          <w:spacing w:val="-1"/>
        </w:rPr>
        <w:t> </w:t>
      </w:r>
      <w:r>
        <w:rPr/>
        <w:t>government</w:t>
      </w:r>
      <w:r>
        <w:rPr>
          <w:spacing w:val="-2"/>
        </w:rPr>
        <w:t> </w:t>
      </w:r>
      <w:r>
        <w:rPr/>
        <w:t>bonds,</w:t>
      </w:r>
      <w:r>
        <w:rPr>
          <w:spacing w:val="-1"/>
        </w:rPr>
        <w:t> </w:t>
      </w:r>
      <w:r>
        <w:rPr/>
        <w:t>debt</w:t>
      </w:r>
      <w:r>
        <w:rPr>
          <w:spacing w:val="-2"/>
        </w:rPr>
        <w:t> </w:t>
      </w:r>
      <w:r>
        <w:rPr/>
        <w:t>instruments</w:t>
      </w:r>
      <w:r>
        <w:rPr>
          <w:spacing w:val="-2"/>
        </w:rPr>
        <w:t> </w:t>
      </w:r>
      <w:r>
        <w:rPr/>
        <w:t>issued</w:t>
      </w:r>
      <w:r>
        <w:rPr>
          <w:spacing w:val="-1"/>
        </w:rPr>
        <w:t> </w:t>
      </w:r>
      <w:r>
        <w:rPr/>
        <w:t>by sovereign government agencies, and bank time deposits. More than half of these investments are with issuers and counterparties rated triple-A and AA (Table 29).</w:t>
      </w:r>
    </w:p>
    <w:p>
      <w:pPr>
        <w:pStyle w:val="Heading7"/>
        <w:spacing w:before="217"/>
      </w:pPr>
      <w:r>
        <w:rPr/>
        <w:t>Derivative</w:t>
      </w:r>
      <w:r>
        <w:rPr>
          <w:spacing w:val="-2"/>
        </w:rPr>
        <w:t> Instruments</w:t>
      </w:r>
    </w:p>
    <w:p>
      <w:pPr>
        <w:pStyle w:val="BodyText"/>
        <w:spacing w:line="249" w:lineRule="auto" w:before="135"/>
        <w:ind w:left="720" w:right="719"/>
        <w:jc w:val="both"/>
      </w:pPr>
      <w:r>
        <w:rPr/>
        <w:t>In the normal course of its business, IBRD enters into various derivative instruments to manage foreign exchange and interest rate risks. These derivatives are used mainly to meet the financial needs of IBRD borrowers and to manage the institution’s exposure to fluctuations in interest and exchange rates. These transactions are conducted with other financial institutions and, by their nature, entail commercial counterparty credit risk.</w:t>
      </w:r>
    </w:p>
    <w:p>
      <w:pPr>
        <w:pStyle w:val="BodyText"/>
        <w:spacing w:after="0" w:line="249" w:lineRule="auto"/>
        <w:jc w:val="both"/>
        <w:sectPr>
          <w:pgSz w:w="12240" w:h="15840"/>
          <w:pgMar w:header="744" w:footer="583" w:top="1020" w:bottom="780" w:left="720" w:right="720"/>
        </w:sectPr>
      </w:pPr>
    </w:p>
    <w:p>
      <w:pPr>
        <w:pStyle w:val="BodyText"/>
        <w:spacing w:before="127"/>
      </w:pPr>
    </w:p>
    <w:p>
      <w:pPr>
        <w:pStyle w:val="BodyText"/>
        <w:spacing w:line="249" w:lineRule="auto" w:before="1"/>
        <w:ind w:left="720" w:right="719"/>
        <w:jc w:val="both"/>
      </w:pPr>
      <w:r>
        <w:rPr/>
        <w:t>While the volume of derivative activity can be measured by the contracted notional value of derivatives, notional value</w:t>
      </w:r>
      <w:r>
        <w:rPr>
          <w:spacing w:val="-1"/>
        </w:rPr>
        <w:t> </w:t>
      </w:r>
      <w:r>
        <w:rPr/>
        <w:t>is</w:t>
      </w:r>
      <w:r>
        <w:rPr>
          <w:spacing w:val="-1"/>
        </w:rPr>
        <w:t> </w:t>
      </w:r>
      <w:r>
        <w:rPr/>
        <w:t>not</w:t>
      </w:r>
      <w:r>
        <w:rPr>
          <w:spacing w:val="-1"/>
        </w:rPr>
        <w:t> </w:t>
      </w:r>
      <w:r>
        <w:rPr/>
        <w:t>an accurate</w:t>
      </w:r>
      <w:r>
        <w:rPr>
          <w:spacing w:val="-1"/>
        </w:rPr>
        <w:t> </w:t>
      </w:r>
      <w:r>
        <w:rPr/>
        <w:t>measure</w:t>
      </w:r>
      <w:r>
        <w:rPr>
          <w:spacing w:val="-1"/>
        </w:rPr>
        <w:t> </w:t>
      </w:r>
      <w:r>
        <w:rPr/>
        <w:t>of credit</w:t>
      </w:r>
      <w:r>
        <w:rPr>
          <w:spacing w:val="-1"/>
        </w:rPr>
        <w:t> </w:t>
      </w:r>
      <w:r>
        <w:rPr/>
        <w:t>or market</w:t>
      </w:r>
      <w:r>
        <w:rPr>
          <w:spacing w:val="-1"/>
        </w:rPr>
        <w:t> </w:t>
      </w:r>
      <w:r>
        <w:rPr/>
        <w:t>risk. IBRD</w:t>
      </w:r>
      <w:r>
        <w:rPr>
          <w:spacing w:val="-1"/>
        </w:rPr>
        <w:t> </w:t>
      </w:r>
      <w:r>
        <w:rPr/>
        <w:t>uses</w:t>
      </w:r>
      <w:r>
        <w:rPr>
          <w:spacing w:val="-1"/>
        </w:rPr>
        <w:t> </w:t>
      </w:r>
      <w:r>
        <w:rPr/>
        <w:t>the</w:t>
      </w:r>
      <w:r>
        <w:rPr>
          <w:spacing w:val="-1"/>
        </w:rPr>
        <w:t> </w:t>
      </w:r>
      <w:r>
        <w:rPr/>
        <w:t>estimated replacement</w:t>
      </w:r>
      <w:r>
        <w:rPr>
          <w:spacing w:val="-1"/>
        </w:rPr>
        <w:t> </w:t>
      </w:r>
      <w:r>
        <w:rPr/>
        <w:t>cost</w:t>
      </w:r>
      <w:r>
        <w:rPr>
          <w:spacing w:val="-1"/>
        </w:rPr>
        <w:t> </w:t>
      </w:r>
      <w:r>
        <w:rPr/>
        <w:t>of the</w:t>
      </w:r>
      <w:r>
        <w:rPr>
          <w:spacing w:val="-1"/>
        </w:rPr>
        <w:t> </w:t>
      </w:r>
      <w:r>
        <w:rPr/>
        <w:t>derivative instrument, or potential future exposure to measure counterparty credit risk with these trading partners.</w:t>
      </w:r>
    </w:p>
    <w:p>
      <w:pPr>
        <w:pStyle w:val="BodyText"/>
        <w:spacing w:line="249" w:lineRule="auto" w:before="122"/>
        <w:ind w:left="720" w:right="718"/>
        <w:jc w:val="both"/>
      </w:pPr>
      <w:r>
        <w:rPr/>
        <w:t>Under IBRD’s collateral arrangements, IBRD receives collateral when mark-to-market exposure is greater than the ratings based collateral threshold. As of June 30, 2023, IBRD had received collateral of cash and securities totaling</w:t>
      </w:r>
    </w:p>
    <w:p>
      <w:pPr>
        <w:pStyle w:val="BodyText"/>
        <w:spacing w:before="2"/>
        <w:ind w:left="720"/>
        <w:jc w:val="both"/>
      </w:pPr>
      <w:r>
        <w:rPr/>
        <w:t>$0.3 </w:t>
      </w:r>
      <w:r>
        <w:rPr>
          <w:spacing w:val="-2"/>
        </w:rPr>
        <w:t>billion.</w:t>
      </w:r>
    </w:p>
    <w:p>
      <w:pPr>
        <w:pStyle w:val="BodyText"/>
        <w:spacing w:line="249" w:lineRule="auto" w:before="130"/>
        <w:ind w:left="720" w:right="719"/>
        <w:jc w:val="both"/>
      </w:pPr>
      <w:r>
        <w:rPr/>
        <w:t>IBRD</w:t>
      </w:r>
      <w:r>
        <w:rPr>
          <w:spacing w:val="-2"/>
        </w:rPr>
        <w:t> </w:t>
      </w:r>
      <w:r>
        <w:rPr/>
        <w:t>is</w:t>
      </w:r>
      <w:r>
        <w:rPr>
          <w:spacing w:val="-2"/>
        </w:rPr>
        <w:t> </w:t>
      </w:r>
      <w:r>
        <w:rPr/>
        <w:t>not</w:t>
      </w:r>
      <w:r>
        <w:rPr>
          <w:spacing w:val="-2"/>
        </w:rPr>
        <w:t> </w:t>
      </w:r>
      <w:r>
        <w:rPr/>
        <w:t>required</w:t>
      </w:r>
      <w:r>
        <w:rPr>
          <w:spacing w:val="-2"/>
        </w:rPr>
        <w:t> </w:t>
      </w:r>
      <w:r>
        <w:rPr/>
        <w:t>to</w:t>
      </w:r>
      <w:r>
        <w:rPr>
          <w:spacing w:val="-2"/>
        </w:rPr>
        <w:t> </w:t>
      </w:r>
      <w:r>
        <w:rPr/>
        <w:t>post</w:t>
      </w:r>
      <w:r>
        <w:rPr>
          <w:spacing w:val="-2"/>
        </w:rPr>
        <w:t> </w:t>
      </w:r>
      <w:r>
        <w:rPr/>
        <w:t>collateral</w:t>
      </w:r>
      <w:r>
        <w:rPr>
          <w:spacing w:val="-2"/>
        </w:rPr>
        <w:t> </w:t>
      </w:r>
      <w:r>
        <w:rPr/>
        <w:t>under</w:t>
      </w:r>
      <w:r>
        <w:rPr>
          <w:spacing w:val="-2"/>
        </w:rPr>
        <w:t> </w:t>
      </w:r>
      <w:r>
        <w:rPr/>
        <w:t>its</w:t>
      </w:r>
      <w:r>
        <w:rPr>
          <w:spacing w:val="-2"/>
        </w:rPr>
        <w:t> </w:t>
      </w:r>
      <w:r>
        <w:rPr/>
        <w:t>derivative</w:t>
      </w:r>
      <w:r>
        <w:rPr>
          <w:spacing w:val="-2"/>
        </w:rPr>
        <w:t> </w:t>
      </w:r>
      <w:r>
        <w:rPr/>
        <w:t>agreements</w:t>
      </w:r>
      <w:r>
        <w:rPr>
          <w:spacing w:val="-2"/>
        </w:rPr>
        <w:t> </w:t>
      </w:r>
      <w:r>
        <w:rPr/>
        <w:t>as</w:t>
      </w:r>
      <w:r>
        <w:rPr>
          <w:spacing w:val="-2"/>
        </w:rPr>
        <w:t> </w:t>
      </w:r>
      <w:r>
        <w:rPr/>
        <w:t>long</w:t>
      </w:r>
      <w:r>
        <w:rPr>
          <w:spacing w:val="-2"/>
        </w:rPr>
        <w:t> </w:t>
      </w:r>
      <w:r>
        <w:rPr/>
        <w:t>as</w:t>
      </w:r>
      <w:r>
        <w:rPr>
          <w:spacing w:val="-2"/>
        </w:rPr>
        <w:t> </w:t>
      </w:r>
      <w:r>
        <w:rPr/>
        <w:t>it</w:t>
      </w:r>
      <w:r>
        <w:rPr>
          <w:spacing w:val="-2"/>
        </w:rPr>
        <w:t> </w:t>
      </w:r>
      <w:r>
        <w:rPr/>
        <w:t>maintains</w:t>
      </w:r>
      <w:r>
        <w:rPr>
          <w:spacing w:val="-2"/>
        </w:rPr>
        <w:t> </w:t>
      </w:r>
      <w:r>
        <w:rPr/>
        <w:t>a</w:t>
      </w:r>
      <w:r>
        <w:rPr>
          <w:spacing w:val="-2"/>
        </w:rPr>
        <w:t> </w:t>
      </w:r>
      <w:r>
        <w:rPr/>
        <w:t>triple-A</w:t>
      </w:r>
      <w:r>
        <w:rPr>
          <w:spacing w:val="-2"/>
        </w:rPr>
        <w:t> </w:t>
      </w:r>
      <w:r>
        <w:rPr/>
        <w:t>credit</w:t>
      </w:r>
      <w:r>
        <w:rPr>
          <w:spacing w:val="-2"/>
        </w:rPr>
        <w:t> </w:t>
      </w:r>
      <w:r>
        <w:rPr/>
        <w:t>rating. (For the contractual value, notional amounts, related credit risk exposure amounts, and the amount IBRD would be required to post in the event of a downgrade, see Notes to Financial Statements, Note F: Derivative Instruments).</w:t>
      </w:r>
    </w:p>
    <w:p>
      <w:pPr>
        <w:pStyle w:val="Heading7"/>
        <w:spacing w:before="118"/>
        <w:jc w:val="both"/>
      </w:pPr>
      <w:r>
        <w:rPr/>
        <w:t>Investment</w:t>
      </w:r>
      <w:r>
        <w:rPr>
          <w:spacing w:val="-2"/>
        </w:rPr>
        <w:t> Securities</w:t>
      </w:r>
    </w:p>
    <w:p>
      <w:pPr>
        <w:pStyle w:val="BodyText"/>
        <w:spacing w:line="249" w:lineRule="auto" w:before="135"/>
        <w:ind w:left="720" w:right="718"/>
        <w:jc w:val="both"/>
      </w:pPr>
      <w:r>
        <w:rPr/>
        <w:t>The Board-approved General Investment Authorization provides the basic authority for IBRD to invest its liquid assets. Furthermore, all investment activities are conducted in accordance with a more detailed set of Investment Guidelines. The Investment Guidelines are approved by the MDCFO and implemented by the Treasurer. These Investment Guidelines set out detailed trading and operational rules, including which instruments are eligible for investment,</w:t>
      </w:r>
      <w:r>
        <w:rPr>
          <w:spacing w:val="-3"/>
        </w:rPr>
        <w:t> </w:t>
      </w:r>
      <w:r>
        <w:rPr/>
        <w:t>and</w:t>
      </w:r>
      <w:r>
        <w:rPr>
          <w:spacing w:val="-3"/>
        </w:rPr>
        <w:t> </w:t>
      </w:r>
      <w:r>
        <w:rPr/>
        <w:t>establish</w:t>
      </w:r>
      <w:r>
        <w:rPr>
          <w:spacing w:val="-3"/>
        </w:rPr>
        <w:t> </w:t>
      </w:r>
      <w:r>
        <w:rPr/>
        <w:t>risk</w:t>
      </w:r>
      <w:r>
        <w:rPr>
          <w:spacing w:val="-3"/>
        </w:rPr>
        <w:t> </w:t>
      </w:r>
      <w:r>
        <w:rPr/>
        <w:t>parameters</w:t>
      </w:r>
      <w:r>
        <w:rPr>
          <w:spacing w:val="-4"/>
        </w:rPr>
        <w:t> </w:t>
      </w:r>
      <w:r>
        <w:rPr/>
        <w:t>relative</w:t>
      </w:r>
      <w:r>
        <w:rPr>
          <w:spacing w:val="-4"/>
        </w:rPr>
        <w:t> </w:t>
      </w:r>
      <w:r>
        <w:rPr/>
        <w:t>to</w:t>
      </w:r>
      <w:r>
        <w:rPr>
          <w:spacing w:val="-3"/>
        </w:rPr>
        <w:t> </w:t>
      </w:r>
      <w:r>
        <w:rPr/>
        <w:t>benchmarks.</w:t>
      </w:r>
      <w:r>
        <w:rPr>
          <w:spacing w:val="-3"/>
        </w:rPr>
        <w:t> </w:t>
      </w:r>
      <w:r>
        <w:rPr/>
        <w:t>These</w:t>
      </w:r>
      <w:r>
        <w:rPr>
          <w:spacing w:val="-4"/>
        </w:rPr>
        <w:t> </w:t>
      </w:r>
      <w:r>
        <w:rPr/>
        <w:t>include</w:t>
      </w:r>
      <w:r>
        <w:rPr>
          <w:spacing w:val="-4"/>
        </w:rPr>
        <w:t> </w:t>
      </w:r>
      <w:r>
        <w:rPr/>
        <w:t>an</w:t>
      </w:r>
      <w:r>
        <w:rPr>
          <w:spacing w:val="-3"/>
        </w:rPr>
        <w:t> </w:t>
      </w:r>
      <w:r>
        <w:rPr/>
        <w:t>overall</w:t>
      </w:r>
      <w:r>
        <w:rPr>
          <w:spacing w:val="-4"/>
        </w:rPr>
        <w:t> </w:t>
      </w:r>
      <w:r>
        <w:rPr/>
        <w:t>consultative</w:t>
      </w:r>
      <w:r>
        <w:rPr>
          <w:spacing w:val="-4"/>
        </w:rPr>
        <w:t> </w:t>
      </w:r>
      <w:r>
        <w:rPr/>
        <w:t>loss</w:t>
      </w:r>
      <w:r>
        <w:rPr>
          <w:spacing w:val="-4"/>
        </w:rPr>
        <w:t> </w:t>
      </w:r>
      <w:r>
        <w:rPr/>
        <w:t>limit</w:t>
      </w:r>
      <w:r>
        <w:rPr>
          <w:spacing w:val="-4"/>
        </w:rPr>
        <w:t> </w:t>
      </w:r>
      <w:r>
        <w:rPr/>
        <w:t>and duration deviation, specifying concentration limits on counterparties and instrument classes, as well as clear lines of responsibility for risk monitoring and compliance.</w:t>
      </w:r>
      <w:r>
        <w:rPr>
          <w:spacing w:val="40"/>
        </w:rPr>
        <w:t> </w:t>
      </w:r>
      <w:r>
        <w:rPr/>
        <w:t>Credit risk is controlled by applying eligibility criteria (Box 8).</w:t>
      </w:r>
    </w:p>
    <w:p>
      <w:pPr>
        <w:pStyle w:val="BodyText"/>
        <w:spacing w:line="249" w:lineRule="auto" w:before="126"/>
        <w:ind w:left="720" w:right="718"/>
        <w:jc w:val="both"/>
      </w:pPr>
      <w:r>
        <w:rPr/>
        <w:t>The</w:t>
      </w:r>
      <w:r>
        <w:rPr>
          <w:spacing w:val="-2"/>
        </w:rPr>
        <w:t> </w:t>
      </w:r>
      <w:r>
        <w:rPr/>
        <w:t>overall</w:t>
      </w:r>
      <w:r>
        <w:rPr>
          <w:spacing w:val="-2"/>
        </w:rPr>
        <w:t> </w:t>
      </w:r>
      <w:r>
        <w:rPr/>
        <w:t>market</w:t>
      </w:r>
      <w:r>
        <w:rPr>
          <w:spacing w:val="-2"/>
        </w:rPr>
        <w:t> </w:t>
      </w:r>
      <w:r>
        <w:rPr/>
        <w:t>risk</w:t>
      </w:r>
      <w:r>
        <w:rPr>
          <w:spacing w:val="-2"/>
        </w:rPr>
        <w:t> </w:t>
      </w:r>
      <w:r>
        <w:rPr/>
        <w:t>of</w:t>
      </w:r>
      <w:r>
        <w:rPr>
          <w:spacing w:val="-2"/>
        </w:rPr>
        <w:t> </w:t>
      </w:r>
      <w:r>
        <w:rPr/>
        <w:t>the</w:t>
      </w:r>
      <w:r>
        <w:rPr>
          <w:spacing w:val="-2"/>
        </w:rPr>
        <w:t> </w:t>
      </w:r>
      <w:r>
        <w:rPr/>
        <w:t>investment</w:t>
      </w:r>
      <w:r>
        <w:rPr>
          <w:spacing w:val="-2"/>
        </w:rPr>
        <w:t> </w:t>
      </w:r>
      <w:r>
        <w:rPr/>
        <w:t>portfolio</w:t>
      </w:r>
      <w:r>
        <w:rPr>
          <w:spacing w:val="-2"/>
        </w:rPr>
        <w:t> </w:t>
      </w:r>
      <w:r>
        <w:rPr/>
        <w:t>is</w:t>
      </w:r>
      <w:r>
        <w:rPr>
          <w:spacing w:val="-2"/>
        </w:rPr>
        <w:t> </w:t>
      </w:r>
      <w:r>
        <w:rPr/>
        <w:t>subject</w:t>
      </w:r>
      <w:r>
        <w:rPr>
          <w:spacing w:val="-2"/>
        </w:rPr>
        <w:t> </w:t>
      </w:r>
      <w:r>
        <w:rPr/>
        <w:t>to</w:t>
      </w:r>
      <w:r>
        <w:rPr>
          <w:spacing w:val="-2"/>
        </w:rPr>
        <w:t> </w:t>
      </w:r>
      <w:r>
        <w:rPr/>
        <w:t>a</w:t>
      </w:r>
      <w:r>
        <w:rPr>
          <w:spacing w:val="-2"/>
        </w:rPr>
        <w:t> </w:t>
      </w:r>
      <w:r>
        <w:rPr/>
        <w:t>consultative</w:t>
      </w:r>
      <w:r>
        <w:rPr>
          <w:spacing w:val="-2"/>
        </w:rPr>
        <w:t> </w:t>
      </w:r>
      <w:r>
        <w:rPr/>
        <w:t>loss</w:t>
      </w:r>
      <w:r>
        <w:rPr>
          <w:spacing w:val="-2"/>
        </w:rPr>
        <w:t> </w:t>
      </w:r>
      <w:r>
        <w:rPr/>
        <w:t>limit</w:t>
      </w:r>
      <w:r>
        <w:rPr>
          <w:spacing w:val="-2"/>
        </w:rPr>
        <w:t> </w:t>
      </w:r>
      <w:r>
        <w:rPr/>
        <w:t>to</w:t>
      </w:r>
      <w:r>
        <w:rPr>
          <w:spacing w:val="-2"/>
        </w:rPr>
        <w:t> </w:t>
      </w:r>
      <w:r>
        <w:rPr/>
        <w:t>reflect</w:t>
      </w:r>
      <w:r>
        <w:rPr>
          <w:spacing w:val="-2"/>
        </w:rPr>
        <w:t> </w:t>
      </w:r>
      <w:r>
        <w:rPr/>
        <w:t>a</w:t>
      </w:r>
      <w:r>
        <w:rPr>
          <w:spacing w:val="-2"/>
        </w:rPr>
        <w:t> </w:t>
      </w:r>
      <w:r>
        <w:rPr/>
        <w:t>level</w:t>
      </w:r>
      <w:r>
        <w:rPr>
          <w:spacing w:val="-2"/>
        </w:rPr>
        <w:t> </w:t>
      </w:r>
      <w:r>
        <w:rPr/>
        <w:t>of</w:t>
      </w:r>
      <w:r>
        <w:rPr>
          <w:spacing w:val="-2"/>
        </w:rPr>
        <w:t> </w:t>
      </w:r>
      <w:r>
        <w:rPr/>
        <w:t>tolerance for the risk of underperforming the benchmark in any fiscal year.</w:t>
      </w:r>
      <w:r>
        <w:rPr>
          <w:spacing w:val="40"/>
        </w:rPr>
        <w:t> </w:t>
      </w:r>
      <w:r>
        <w:rPr/>
        <w:t>IBRD has procedures in place to monitor performance against this limit and potential risks, and it takes appropriate actions if the limit is reached. All investments are subject to additional conditions specified by the Chief Risk Officer, as deemed necessary.</w:t>
      </w:r>
    </w:p>
    <w:p>
      <w:pPr>
        <w:pStyle w:val="BodyText"/>
        <w:spacing w:line="249" w:lineRule="auto" w:before="123"/>
        <w:ind w:left="720" w:right="718"/>
        <w:jc w:val="both"/>
      </w:pPr>
      <w:r>
        <w:rPr/>
        <w:t>IBRD’s exposure to futures and options and resale agreements is marginal. For futures and options, IBRD generally closes out open positions prior to expiration. Futures are settled on a daily basis. In addition, IBRD monitors the fair value</w:t>
      </w:r>
      <w:r>
        <w:rPr>
          <w:spacing w:val="-3"/>
        </w:rPr>
        <w:t> </w:t>
      </w:r>
      <w:r>
        <w:rPr/>
        <w:t>of</w:t>
      </w:r>
      <w:r>
        <w:rPr>
          <w:spacing w:val="-2"/>
        </w:rPr>
        <w:t> </w:t>
      </w:r>
      <w:r>
        <w:rPr/>
        <w:t>resale</w:t>
      </w:r>
      <w:r>
        <w:rPr>
          <w:spacing w:val="-3"/>
        </w:rPr>
        <w:t> </w:t>
      </w:r>
      <w:r>
        <w:rPr/>
        <w:t>securities</w:t>
      </w:r>
      <w:r>
        <w:rPr>
          <w:spacing w:val="-3"/>
        </w:rPr>
        <w:t> </w:t>
      </w:r>
      <w:r>
        <w:rPr/>
        <w:t>received</w:t>
      </w:r>
      <w:r>
        <w:rPr>
          <w:spacing w:val="-2"/>
        </w:rPr>
        <w:t> </w:t>
      </w:r>
      <w:r>
        <w:rPr/>
        <w:t>and,</w:t>
      </w:r>
      <w:r>
        <w:rPr>
          <w:spacing w:val="-2"/>
        </w:rPr>
        <w:t> </w:t>
      </w:r>
      <w:r>
        <w:rPr/>
        <w:t>if</w:t>
      </w:r>
      <w:r>
        <w:rPr>
          <w:spacing w:val="-2"/>
        </w:rPr>
        <w:t> </w:t>
      </w:r>
      <w:r>
        <w:rPr/>
        <w:t>necessary,</w:t>
      </w:r>
      <w:r>
        <w:rPr>
          <w:spacing w:val="-2"/>
        </w:rPr>
        <w:t> </w:t>
      </w:r>
      <w:r>
        <w:rPr/>
        <w:t>closes</w:t>
      </w:r>
      <w:r>
        <w:rPr>
          <w:spacing w:val="-3"/>
        </w:rPr>
        <w:t> </w:t>
      </w:r>
      <w:r>
        <w:rPr/>
        <w:t>out</w:t>
      </w:r>
      <w:r>
        <w:rPr>
          <w:spacing w:val="-3"/>
        </w:rPr>
        <w:t> </w:t>
      </w:r>
      <w:r>
        <w:rPr/>
        <w:t>transactions</w:t>
      </w:r>
      <w:r>
        <w:rPr>
          <w:spacing w:val="-3"/>
        </w:rPr>
        <w:t> </w:t>
      </w:r>
      <w:r>
        <w:rPr/>
        <w:t>and</w:t>
      </w:r>
      <w:r>
        <w:rPr>
          <w:spacing w:val="-2"/>
        </w:rPr>
        <w:t> </w:t>
      </w:r>
      <w:r>
        <w:rPr/>
        <w:t>enters</w:t>
      </w:r>
      <w:r>
        <w:rPr>
          <w:spacing w:val="-3"/>
        </w:rPr>
        <w:t> </w:t>
      </w:r>
      <w:r>
        <w:rPr/>
        <w:t>into</w:t>
      </w:r>
      <w:r>
        <w:rPr>
          <w:spacing w:val="-2"/>
        </w:rPr>
        <w:t> </w:t>
      </w:r>
      <w:r>
        <w:rPr/>
        <w:t>new</w:t>
      </w:r>
      <w:r>
        <w:rPr>
          <w:spacing w:val="-3"/>
        </w:rPr>
        <w:t> </w:t>
      </w:r>
      <w:r>
        <w:rPr/>
        <w:t>repriced</w:t>
      </w:r>
      <w:r>
        <w:rPr>
          <w:spacing w:val="-2"/>
        </w:rPr>
        <w:t> </w:t>
      </w:r>
      <w:r>
        <w:rPr/>
        <w:t>transactions.</w:t>
      </w:r>
    </w:p>
    <w:p>
      <w:pPr>
        <w:pStyle w:val="BodyText"/>
        <w:spacing w:line="249" w:lineRule="auto" w:before="123"/>
        <w:ind w:left="720" w:right="719"/>
        <w:jc w:val="both"/>
      </w:pPr>
      <w:r>
        <w:rPr/>
        <w:t>Management has broadened its universe of investment assets in an effort to achieve greater diversification in the portfolio and better risk-adjusted investment performance. This exposure is monitored by the Market and Counterparty Risk Department.</w:t>
      </w:r>
    </w:p>
    <w:p>
      <w:pPr>
        <w:pStyle w:val="BodyText"/>
        <w:spacing w:after="0" w:line="249" w:lineRule="auto"/>
        <w:jc w:val="both"/>
        <w:sectPr>
          <w:pgSz w:w="12240" w:h="15840"/>
          <w:pgMar w:header="744" w:footer="713" w:top="1020" w:bottom="900" w:left="720" w:right="720"/>
        </w:sectPr>
      </w:pPr>
    </w:p>
    <w:p>
      <w:pPr>
        <w:pStyle w:val="BodyText"/>
        <w:spacing w:before="161"/>
        <w:rPr>
          <w:sz w:val="18"/>
        </w:rPr>
      </w:pPr>
    </w:p>
    <w:p>
      <w:pPr>
        <w:spacing w:before="0"/>
        <w:ind w:left="720" w:right="0" w:firstLine="0"/>
        <w:jc w:val="left"/>
        <w:rPr>
          <w:rFonts w:ascii="Arial"/>
          <w:b/>
          <w:sz w:val="18"/>
        </w:rPr>
      </w:pPr>
      <w:bookmarkStart w:name="_bookmark79" w:id="118"/>
      <w:bookmarkEnd w:id="118"/>
      <w:r>
        <w:rPr/>
      </w:r>
      <w:r>
        <w:rPr>
          <w:rFonts w:ascii="Arial"/>
          <w:b/>
          <w:sz w:val="18"/>
        </w:rPr>
        <w:t>Box</w:t>
      </w:r>
      <w:r>
        <w:rPr>
          <w:rFonts w:ascii="Arial"/>
          <w:b/>
          <w:spacing w:val="-3"/>
          <w:sz w:val="18"/>
        </w:rPr>
        <w:t> </w:t>
      </w:r>
      <w:r>
        <w:rPr>
          <w:rFonts w:ascii="Arial"/>
          <w:b/>
          <w:sz w:val="18"/>
        </w:rPr>
        <w:t>8:</w:t>
      </w:r>
      <w:r>
        <w:rPr>
          <w:rFonts w:ascii="Arial"/>
          <w:b/>
          <w:spacing w:val="-2"/>
          <w:sz w:val="18"/>
        </w:rPr>
        <w:t> </w:t>
      </w:r>
      <w:r>
        <w:rPr>
          <w:rFonts w:ascii="Arial"/>
          <w:b/>
          <w:sz w:val="18"/>
        </w:rPr>
        <w:t>Eligibility</w:t>
      </w:r>
      <w:r>
        <w:rPr>
          <w:rFonts w:ascii="Arial"/>
          <w:b/>
          <w:spacing w:val="-2"/>
          <w:sz w:val="18"/>
        </w:rPr>
        <w:t> </w:t>
      </w:r>
      <w:r>
        <w:rPr>
          <w:rFonts w:ascii="Arial"/>
          <w:b/>
          <w:sz w:val="18"/>
        </w:rPr>
        <w:t>Criteria</w:t>
      </w:r>
      <w:r>
        <w:rPr>
          <w:rFonts w:ascii="Arial"/>
          <w:b/>
          <w:spacing w:val="-2"/>
          <w:sz w:val="18"/>
        </w:rPr>
        <w:t> </w:t>
      </w:r>
      <w:r>
        <w:rPr>
          <w:rFonts w:ascii="Arial"/>
          <w:b/>
          <w:sz w:val="18"/>
        </w:rPr>
        <w:t>for</w:t>
      </w:r>
      <w:r>
        <w:rPr>
          <w:rFonts w:ascii="Arial"/>
          <w:b/>
          <w:spacing w:val="-2"/>
          <w:sz w:val="18"/>
        </w:rPr>
        <w:t> </w:t>
      </w:r>
      <w:r>
        <w:rPr>
          <w:rFonts w:ascii="Arial"/>
          <w:b/>
          <w:sz w:val="18"/>
        </w:rPr>
        <w:t>IBRD's</w:t>
      </w:r>
      <w:r>
        <w:rPr>
          <w:rFonts w:ascii="Arial"/>
          <w:b/>
          <w:spacing w:val="-2"/>
          <w:sz w:val="18"/>
        </w:rPr>
        <w:t> </w:t>
      </w:r>
      <w:r>
        <w:rPr>
          <w:rFonts w:ascii="Arial"/>
          <w:b/>
          <w:sz w:val="18"/>
        </w:rPr>
        <w:t>Investments</w:t>
      </w:r>
      <w:r>
        <w:rPr>
          <w:rFonts w:ascii="Arial"/>
          <w:b/>
          <w:spacing w:val="-6"/>
          <w:sz w:val="18"/>
        </w:rPr>
        <w:t> </w:t>
      </w:r>
      <w:r>
        <w:rPr>
          <w:rFonts w:ascii="Arial"/>
          <w:b/>
          <w:spacing w:val="-10"/>
          <w:sz w:val="18"/>
          <w:vertAlign w:val="superscript"/>
        </w:rPr>
        <w:t>a</w:t>
      </w:r>
    </w:p>
    <w:p>
      <w:pPr>
        <w:pStyle w:val="BodyText"/>
        <w:spacing w:before="7"/>
        <w:rPr>
          <w:rFonts w:ascii="Arial"/>
          <w:b/>
          <w:sz w:val="11"/>
        </w:rPr>
      </w:pPr>
    </w:p>
    <w:tbl>
      <w:tblPr>
        <w:tblW w:w="0" w:type="auto"/>
        <w:jc w:val="left"/>
        <w:tblInd w:w="730" w:type="dxa"/>
        <w:tblBorders>
          <w:top w:val="single" w:sz="8" w:space="0" w:color="6C6C6C"/>
          <w:left w:val="single" w:sz="8" w:space="0" w:color="6C6C6C"/>
          <w:bottom w:val="single" w:sz="8" w:space="0" w:color="6C6C6C"/>
          <w:right w:val="single" w:sz="8" w:space="0" w:color="6C6C6C"/>
          <w:insideH w:val="single" w:sz="8" w:space="0" w:color="6C6C6C"/>
          <w:insideV w:val="single" w:sz="8" w:space="0" w:color="6C6C6C"/>
        </w:tblBorders>
        <w:tblLayout w:type="fixed"/>
        <w:tblCellMar>
          <w:top w:w="0" w:type="dxa"/>
          <w:left w:w="0" w:type="dxa"/>
          <w:bottom w:w="0" w:type="dxa"/>
          <w:right w:w="0" w:type="dxa"/>
        </w:tblCellMar>
        <w:tblLook w:val="01E0"/>
      </w:tblPr>
      <w:tblGrid>
        <w:gridCol w:w="2790"/>
        <w:gridCol w:w="6555"/>
      </w:tblGrid>
      <w:tr>
        <w:trPr>
          <w:trHeight w:val="220" w:hRule="atLeast"/>
        </w:trPr>
        <w:tc>
          <w:tcPr>
            <w:tcW w:w="2790" w:type="dxa"/>
          </w:tcPr>
          <w:p>
            <w:pPr>
              <w:pStyle w:val="TableParagraph"/>
              <w:spacing w:line="184" w:lineRule="exact" w:before="16"/>
              <w:ind w:left="52"/>
              <w:rPr>
                <w:sz w:val="16"/>
              </w:rPr>
            </w:pPr>
            <w:r>
              <w:rPr>
                <w:sz w:val="16"/>
              </w:rPr>
              <w:t>Instrument</w:t>
            </w:r>
            <w:r>
              <w:rPr>
                <w:spacing w:val="-4"/>
                <w:sz w:val="16"/>
              </w:rPr>
              <w:t> </w:t>
            </w:r>
            <w:r>
              <w:rPr>
                <w:spacing w:val="-2"/>
                <w:sz w:val="16"/>
              </w:rPr>
              <w:t>Securities</w:t>
            </w:r>
          </w:p>
        </w:tc>
        <w:tc>
          <w:tcPr>
            <w:tcW w:w="6555" w:type="dxa"/>
          </w:tcPr>
          <w:p>
            <w:pPr>
              <w:pStyle w:val="TableParagraph"/>
              <w:spacing w:line="184" w:lineRule="exact" w:before="16"/>
              <w:ind w:left="52"/>
              <w:rPr>
                <w:sz w:val="16"/>
              </w:rPr>
            </w:pPr>
            <w:r>
              <w:rPr>
                <w:spacing w:val="-2"/>
                <w:sz w:val="16"/>
              </w:rPr>
              <w:t>Description</w:t>
            </w:r>
          </w:p>
        </w:tc>
      </w:tr>
      <w:tr>
        <w:trPr>
          <w:trHeight w:val="685" w:hRule="atLeast"/>
        </w:trPr>
        <w:tc>
          <w:tcPr>
            <w:tcW w:w="2790" w:type="dxa"/>
          </w:tcPr>
          <w:p>
            <w:pPr>
              <w:pStyle w:val="TableParagraph"/>
              <w:spacing w:before="61"/>
              <w:rPr>
                <w:rFonts w:ascii="Arial"/>
                <w:b/>
                <w:sz w:val="16"/>
              </w:rPr>
            </w:pPr>
          </w:p>
          <w:p>
            <w:pPr>
              <w:pStyle w:val="TableParagraph"/>
              <w:ind w:left="52"/>
              <w:rPr>
                <w:sz w:val="16"/>
              </w:rPr>
            </w:pPr>
            <w:r>
              <w:rPr>
                <w:spacing w:val="-2"/>
                <w:sz w:val="16"/>
              </w:rPr>
              <w:t>Sovereigns</w:t>
            </w:r>
          </w:p>
        </w:tc>
        <w:tc>
          <w:tcPr>
            <w:tcW w:w="6555" w:type="dxa"/>
          </w:tcPr>
          <w:p>
            <w:pPr>
              <w:pStyle w:val="TableParagraph"/>
              <w:spacing w:line="208" w:lineRule="auto" w:before="104"/>
              <w:ind w:left="52" w:right="31"/>
              <w:jc w:val="both"/>
              <w:rPr>
                <w:sz w:val="16"/>
              </w:rPr>
            </w:pPr>
            <w:r>
              <w:rPr>
                <w:sz w:val="16"/>
              </w:rPr>
              <w:t>IBRD may only invest in obligations issued or unconditionally guaranteed by governments of member countries with a minimum credit rating of</w:t>
            </w:r>
            <w:r>
              <w:rPr>
                <w:spacing w:val="-6"/>
                <w:sz w:val="16"/>
              </w:rPr>
              <w:t> </w:t>
            </w:r>
            <w:r>
              <w:rPr>
                <w:sz w:val="16"/>
              </w:rPr>
              <w:t>AA-.</w:t>
            </w:r>
            <w:r>
              <w:rPr>
                <w:spacing w:val="40"/>
                <w:sz w:val="16"/>
              </w:rPr>
              <w:t> </w:t>
            </w:r>
            <w:r>
              <w:rPr>
                <w:sz w:val="16"/>
              </w:rPr>
              <w:t>However, no rating is required if government obligations are denominated in the national currency of the issuer.</w:t>
            </w:r>
          </w:p>
        </w:tc>
      </w:tr>
      <w:tr>
        <w:trPr>
          <w:trHeight w:val="580" w:hRule="atLeast"/>
        </w:trPr>
        <w:tc>
          <w:tcPr>
            <w:tcW w:w="2790" w:type="dxa"/>
          </w:tcPr>
          <w:p>
            <w:pPr>
              <w:pStyle w:val="TableParagraph"/>
              <w:spacing w:before="8"/>
              <w:rPr>
                <w:rFonts w:ascii="Arial"/>
                <w:b/>
                <w:sz w:val="16"/>
              </w:rPr>
            </w:pPr>
          </w:p>
          <w:p>
            <w:pPr>
              <w:pStyle w:val="TableParagraph"/>
              <w:ind w:left="52"/>
              <w:rPr>
                <w:sz w:val="16"/>
              </w:rPr>
            </w:pPr>
            <w:r>
              <w:rPr>
                <w:spacing w:val="-2"/>
                <w:sz w:val="16"/>
              </w:rPr>
              <w:t>Agencies</w:t>
            </w:r>
          </w:p>
        </w:tc>
        <w:tc>
          <w:tcPr>
            <w:tcW w:w="6555" w:type="dxa"/>
          </w:tcPr>
          <w:p>
            <w:pPr>
              <w:pStyle w:val="TableParagraph"/>
              <w:spacing w:line="208" w:lineRule="auto" w:before="52"/>
              <w:ind w:left="52" w:right="28"/>
              <w:jc w:val="both"/>
              <w:rPr>
                <w:sz w:val="16"/>
              </w:rPr>
            </w:pPr>
            <w:r>
              <w:rPr>
                <w:sz w:val="16"/>
              </w:rPr>
              <w:t>IBRD may invest only in obligations issued by an agency or instrumentality of a</w:t>
            </w:r>
            <w:r>
              <w:rPr>
                <w:spacing w:val="40"/>
                <w:sz w:val="16"/>
              </w:rPr>
              <w:t> </w:t>
            </w:r>
            <w:r>
              <w:rPr>
                <w:sz w:val="16"/>
              </w:rPr>
              <w:t>government of a member country, a multilateral organization, or any other official entity (other than the government of a member country), with a minimum credit rating of</w:t>
            </w:r>
            <w:r>
              <w:rPr>
                <w:spacing w:val="-3"/>
                <w:sz w:val="16"/>
              </w:rPr>
              <w:t> </w:t>
            </w:r>
            <w:r>
              <w:rPr>
                <w:sz w:val="16"/>
              </w:rPr>
              <w:t>AA-.</w:t>
            </w:r>
          </w:p>
        </w:tc>
      </w:tr>
      <w:tr>
        <w:trPr>
          <w:trHeight w:val="385" w:hRule="atLeast"/>
        </w:trPr>
        <w:tc>
          <w:tcPr>
            <w:tcW w:w="2790" w:type="dxa"/>
          </w:tcPr>
          <w:p>
            <w:pPr>
              <w:pStyle w:val="TableParagraph"/>
              <w:spacing w:line="208" w:lineRule="auto" w:before="34"/>
              <w:ind w:left="71"/>
              <w:rPr>
                <w:sz w:val="16"/>
              </w:rPr>
            </w:pPr>
            <w:r>
              <w:rPr>
                <w:sz w:val="16"/>
              </w:rPr>
              <w:t>Corporates</w:t>
            </w:r>
            <w:r>
              <w:rPr>
                <w:spacing w:val="-12"/>
                <w:sz w:val="16"/>
              </w:rPr>
              <w:t> </w:t>
            </w:r>
            <w:r>
              <w:rPr>
                <w:sz w:val="16"/>
              </w:rPr>
              <w:t>and</w:t>
            </w:r>
            <w:r>
              <w:rPr>
                <w:spacing w:val="-11"/>
                <w:sz w:val="16"/>
              </w:rPr>
              <w:t> </w:t>
            </w:r>
            <w:r>
              <w:rPr>
                <w:sz w:val="16"/>
              </w:rPr>
              <w:t>asset-backed </w:t>
            </w:r>
            <w:r>
              <w:rPr>
                <w:spacing w:val="-2"/>
                <w:sz w:val="16"/>
              </w:rPr>
              <w:t>securities</w:t>
            </w:r>
          </w:p>
        </w:tc>
        <w:tc>
          <w:tcPr>
            <w:tcW w:w="6555" w:type="dxa"/>
          </w:tcPr>
          <w:p>
            <w:pPr>
              <w:pStyle w:val="TableParagraph"/>
              <w:spacing w:before="95"/>
              <w:ind w:left="52"/>
              <w:rPr>
                <w:sz w:val="16"/>
              </w:rPr>
            </w:pPr>
            <w:r>
              <w:rPr>
                <w:sz w:val="16"/>
              </w:rPr>
              <w:t>IBRD</w:t>
            </w:r>
            <w:r>
              <w:rPr>
                <w:spacing w:val="-3"/>
                <w:sz w:val="16"/>
              </w:rPr>
              <w:t> </w:t>
            </w:r>
            <w:r>
              <w:rPr>
                <w:sz w:val="16"/>
              </w:rPr>
              <w:t>may</w:t>
            </w:r>
            <w:r>
              <w:rPr>
                <w:spacing w:val="-2"/>
                <w:sz w:val="16"/>
              </w:rPr>
              <w:t> </w:t>
            </w:r>
            <w:r>
              <w:rPr>
                <w:sz w:val="16"/>
              </w:rPr>
              <w:t>only</w:t>
            </w:r>
            <w:r>
              <w:rPr>
                <w:spacing w:val="-3"/>
                <w:sz w:val="16"/>
              </w:rPr>
              <w:t> </w:t>
            </w:r>
            <w:r>
              <w:rPr>
                <w:sz w:val="16"/>
              </w:rPr>
              <w:t>invest</w:t>
            </w:r>
            <w:r>
              <w:rPr>
                <w:spacing w:val="-2"/>
                <w:sz w:val="16"/>
              </w:rPr>
              <w:t> </w:t>
            </w:r>
            <w:r>
              <w:rPr>
                <w:sz w:val="16"/>
              </w:rPr>
              <w:t>in</w:t>
            </w:r>
            <w:r>
              <w:rPr>
                <w:spacing w:val="-3"/>
                <w:sz w:val="16"/>
              </w:rPr>
              <w:t> </w:t>
            </w:r>
            <w:r>
              <w:rPr>
                <w:sz w:val="16"/>
              </w:rPr>
              <w:t>securities</w:t>
            </w:r>
            <w:r>
              <w:rPr>
                <w:spacing w:val="-3"/>
                <w:sz w:val="16"/>
              </w:rPr>
              <w:t> </w:t>
            </w:r>
            <w:r>
              <w:rPr>
                <w:sz w:val="16"/>
              </w:rPr>
              <w:t>with</w:t>
            </w:r>
            <w:r>
              <w:rPr>
                <w:spacing w:val="-3"/>
                <w:sz w:val="16"/>
              </w:rPr>
              <w:t> </w:t>
            </w:r>
            <w:r>
              <w:rPr>
                <w:sz w:val="16"/>
              </w:rPr>
              <w:t>a</w:t>
            </w:r>
            <w:r>
              <w:rPr>
                <w:spacing w:val="-3"/>
                <w:sz w:val="16"/>
              </w:rPr>
              <w:t> </w:t>
            </w:r>
            <w:r>
              <w:rPr>
                <w:sz w:val="16"/>
              </w:rPr>
              <w:t>triple-A</w:t>
            </w:r>
            <w:r>
              <w:rPr>
                <w:spacing w:val="-11"/>
                <w:sz w:val="16"/>
              </w:rPr>
              <w:t> </w:t>
            </w:r>
            <w:r>
              <w:rPr>
                <w:sz w:val="16"/>
              </w:rPr>
              <w:t>credit</w:t>
            </w:r>
            <w:r>
              <w:rPr>
                <w:spacing w:val="-2"/>
                <w:sz w:val="16"/>
              </w:rPr>
              <w:t> rating.</w:t>
            </w:r>
          </w:p>
        </w:tc>
      </w:tr>
      <w:tr>
        <w:trPr>
          <w:trHeight w:val="460" w:hRule="atLeast"/>
        </w:trPr>
        <w:tc>
          <w:tcPr>
            <w:tcW w:w="2790" w:type="dxa"/>
          </w:tcPr>
          <w:p>
            <w:pPr>
              <w:pStyle w:val="TableParagraph"/>
              <w:spacing w:before="132"/>
              <w:ind w:left="71"/>
              <w:rPr>
                <w:sz w:val="16"/>
              </w:rPr>
            </w:pPr>
            <w:r>
              <w:rPr>
                <w:sz w:val="16"/>
              </w:rPr>
              <w:t>Time</w:t>
            </w:r>
            <w:r>
              <w:rPr>
                <w:spacing w:val="-7"/>
                <w:sz w:val="16"/>
              </w:rPr>
              <w:t> </w:t>
            </w:r>
            <w:r>
              <w:rPr>
                <w:sz w:val="16"/>
              </w:rPr>
              <w:t>deposits</w:t>
            </w:r>
            <w:r>
              <w:rPr>
                <w:spacing w:val="-7"/>
                <w:sz w:val="16"/>
              </w:rPr>
              <w:t> </w:t>
            </w:r>
            <w:r>
              <w:rPr>
                <w:spacing w:val="-10"/>
                <w:sz w:val="16"/>
                <w:vertAlign w:val="superscript"/>
              </w:rPr>
              <w:t>b</w:t>
            </w:r>
          </w:p>
        </w:tc>
        <w:tc>
          <w:tcPr>
            <w:tcW w:w="6555" w:type="dxa"/>
          </w:tcPr>
          <w:p>
            <w:pPr>
              <w:pStyle w:val="TableParagraph"/>
              <w:spacing w:line="208" w:lineRule="auto" w:before="72"/>
              <w:ind w:left="52"/>
              <w:rPr>
                <w:sz w:val="16"/>
              </w:rPr>
            </w:pPr>
            <w:r>
              <w:rPr>
                <w:sz w:val="16"/>
              </w:rPr>
              <w:t>IBRD</w:t>
            </w:r>
            <w:r>
              <w:rPr>
                <w:spacing w:val="-1"/>
                <w:sz w:val="16"/>
              </w:rPr>
              <w:t> </w:t>
            </w:r>
            <w:r>
              <w:rPr>
                <w:sz w:val="16"/>
              </w:rPr>
              <w:t>may</w:t>
            </w:r>
            <w:r>
              <w:rPr>
                <w:spacing w:val="-1"/>
                <w:sz w:val="16"/>
              </w:rPr>
              <w:t> </w:t>
            </w:r>
            <w:r>
              <w:rPr>
                <w:sz w:val="16"/>
              </w:rPr>
              <w:t>only</w:t>
            </w:r>
            <w:r>
              <w:rPr>
                <w:spacing w:val="-1"/>
                <w:sz w:val="16"/>
              </w:rPr>
              <w:t> </w:t>
            </w:r>
            <w:r>
              <w:rPr>
                <w:sz w:val="16"/>
              </w:rPr>
              <w:t>invest</w:t>
            </w:r>
            <w:r>
              <w:rPr>
                <w:spacing w:val="-1"/>
                <w:sz w:val="16"/>
              </w:rPr>
              <w:t> </w:t>
            </w:r>
            <w:r>
              <w:rPr>
                <w:sz w:val="16"/>
              </w:rPr>
              <w:t>in</w:t>
            </w:r>
            <w:r>
              <w:rPr>
                <w:spacing w:val="-2"/>
                <w:sz w:val="16"/>
              </w:rPr>
              <w:t> </w:t>
            </w:r>
            <w:r>
              <w:rPr>
                <w:sz w:val="16"/>
              </w:rPr>
              <w:t>time</w:t>
            </w:r>
            <w:r>
              <w:rPr>
                <w:spacing w:val="-2"/>
                <w:sz w:val="16"/>
              </w:rPr>
              <w:t> </w:t>
            </w:r>
            <w:r>
              <w:rPr>
                <w:sz w:val="16"/>
              </w:rPr>
              <w:t>deposits</w:t>
            </w:r>
            <w:r>
              <w:rPr>
                <w:spacing w:val="-1"/>
                <w:sz w:val="16"/>
              </w:rPr>
              <w:t> </w:t>
            </w:r>
            <w:r>
              <w:rPr>
                <w:sz w:val="16"/>
              </w:rPr>
              <w:t>issued</w:t>
            </w:r>
            <w:r>
              <w:rPr>
                <w:spacing w:val="-2"/>
                <w:sz w:val="16"/>
              </w:rPr>
              <w:t> </w:t>
            </w:r>
            <w:r>
              <w:rPr>
                <w:sz w:val="16"/>
              </w:rPr>
              <w:t>or</w:t>
            </w:r>
            <w:r>
              <w:rPr>
                <w:spacing w:val="-1"/>
                <w:sz w:val="16"/>
              </w:rPr>
              <w:t> </w:t>
            </w:r>
            <w:r>
              <w:rPr>
                <w:sz w:val="16"/>
              </w:rPr>
              <w:t>guaranteed</w:t>
            </w:r>
            <w:r>
              <w:rPr>
                <w:spacing w:val="-2"/>
                <w:sz w:val="16"/>
              </w:rPr>
              <w:t> </w:t>
            </w:r>
            <w:r>
              <w:rPr>
                <w:sz w:val="16"/>
              </w:rPr>
              <w:t>by</w:t>
            </w:r>
            <w:r>
              <w:rPr>
                <w:spacing w:val="-1"/>
                <w:sz w:val="16"/>
              </w:rPr>
              <w:t> </w:t>
            </w:r>
            <w:r>
              <w:rPr>
                <w:sz w:val="16"/>
              </w:rPr>
              <w:t>financial</w:t>
            </w:r>
            <w:r>
              <w:rPr>
                <w:spacing w:val="-1"/>
                <w:sz w:val="16"/>
              </w:rPr>
              <w:t> </w:t>
            </w:r>
            <w:r>
              <w:rPr>
                <w:sz w:val="16"/>
              </w:rPr>
              <w:t>institutions,</w:t>
            </w:r>
            <w:r>
              <w:rPr>
                <w:spacing w:val="-1"/>
                <w:sz w:val="16"/>
              </w:rPr>
              <w:t> </w:t>
            </w:r>
            <w:r>
              <w:rPr>
                <w:sz w:val="16"/>
              </w:rPr>
              <w:t>whose senior debt securities are rated at least A-.</w:t>
            </w:r>
          </w:p>
        </w:tc>
      </w:tr>
      <w:tr>
        <w:trPr>
          <w:trHeight w:val="355" w:hRule="atLeast"/>
        </w:trPr>
        <w:tc>
          <w:tcPr>
            <w:tcW w:w="2790" w:type="dxa"/>
          </w:tcPr>
          <w:p>
            <w:pPr>
              <w:pStyle w:val="TableParagraph"/>
              <w:spacing w:before="80"/>
              <w:ind w:left="52"/>
              <w:rPr>
                <w:sz w:val="16"/>
              </w:rPr>
            </w:pPr>
            <w:r>
              <w:rPr>
                <w:sz w:val="16"/>
              </w:rPr>
              <w:t>Commercial</w:t>
            </w:r>
            <w:r>
              <w:rPr>
                <w:spacing w:val="-5"/>
                <w:sz w:val="16"/>
              </w:rPr>
              <w:t> </w:t>
            </w:r>
            <w:r>
              <w:rPr>
                <w:spacing w:val="-2"/>
                <w:sz w:val="16"/>
              </w:rPr>
              <w:t>Paper</w:t>
            </w:r>
          </w:p>
        </w:tc>
        <w:tc>
          <w:tcPr>
            <w:tcW w:w="6555" w:type="dxa"/>
          </w:tcPr>
          <w:p>
            <w:pPr>
              <w:pStyle w:val="TableParagraph"/>
              <w:spacing w:line="160" w:lineRule="exact" w:before="15"/>
              <w:ind w:left="52"/>
              <w:rPr>
                <w:sz w:val="16"/>
              </w:rPr>
            </w:pPr>
            <w:r>
              <w:rPr>
                <w:sz w:val="16"/>
              </w:rPr>
              <w:t>IBRD</w:t>
            </w:r>
            <w:r>
              <w:rPr>
                <w:spacing w:val="33"/>
                <w:sz w:val="16"/>
              </w:rPr>
              <w:t> </w:t>
            </w:r>
            <w:r>
              <w:rPr>
                <w:sz w:val="16"/>
              </w:rPr>
              <w:t>may</w:t>
            </w:r>
            <w:r>
              <w:rPr>
                <w:spacing w:val="33"/>
                <w:sz w:val="16"/>
              </w:rPr>
              <w:t> </w:t>
            </w:r>
            <w:r>
              <w:rPr>
                <w:sz w:val="16"/>
              </w:rPr>
              <w:t>only</w:t>
            </w:r>
            <w:r>
              <w:rPr>
                <w:spacing w:val="33"/>
                <w:sz w:val="16"/>
              </w:rPr>
              <w:t> </w:t>
            </w:r>
            <w:r>
              <w:rPr>
                <w:sz w:val="16"/>
              </w:rPr>
              <w:t>invest</w:t>
            </w:r>
            <w:r>
              <w:rPr>
                <w:spacing w:val="33"/>
                <w:sz w:val="16"/>
              </w:rPr>
              <w:t> </w:t>
            </w:r>
            <w:r>
              <w:rPr>
                <w:sz w:val="16"/>
              </w:rPr>
              <w:t>in</w:t>
            </w:r>
            <w:r>
              <w:rPr>
                <w:spacing w:val="33"/>
                <w:sz w:val="16"/>
              </w:rPr>
              <w:t> </w:t>
            </w:r>
            <w:r>
              <w:rPr>
                <w:sz w:val="16"/>
              </w:rPr>
              <w:t>short-term</w:t>
            </w:r>
            <w:r>
              <w:rPr>
                <w:spacing w:val="33"/>
                <w:sz w:val="16"/>
              </w:rPr>
              <w:t> </w:t>
            </w:r>
            <w:r>
              <w:rPr>
                <w:sz w:val="16"/>
              </w:rPr>
              <w:t>borrowings</w:t>
            </w:r>
            <w:r>
              <w:rPr>
                <w:spacing w:val="33"/>
                <w:sz w:val="16"/>
              </w:rPr>
              <w:t> </w:t>
            </w:r>
            <w:r>
              <w:rPr>
                <w:sz w:val="16"/>
              </w:rPr>
              <w:t>(less</w:t>
            </w:r>
            <w:r>
              <w:rPr>
                <w:spacing w:val="33"/>
                <w:sz w:val="16"/>
              </w:rPr>
              <w:t> </w:t>
            </w:r>
            <w:r>
              <w:rPr>
                <w:sz w:val="16"/>
              </w:rPr>
              <w:t>than</w:t>
            </w:r>
            <w:r>
              <w:rPr>
                <w:spacing w:val="33"/>
                <w:sz w:val="16"/>
              </w:rPr>
              <w:t> </w:t>
            </w:r>
            <w:r>
              <w:rPr>
                <w:sz w:val="16"/>
              </w:rPr>
              <w:t>190</w:t>
            </w:r>
            <w:r>
              <w:rPr>
                <w:spacing w:val="33"/>
                <w:sz w:val="16"/>
              </w:rPr>
              <w:t> </w:t>
            </w:r>
            <w:r>
              <w:rPr>
                <w:sz w:val="16"/>
              </w:rPr>
              <w:t>days)</w:t>
            </w:r>
            <w:r>
              <w:rPr>
                <w:spacing w:val="33"/>
                <w:sz w:val="16"/>
              </w:rPr>
              <w:t> </w:t>
            </w:r>
            <w:r>
              <w:rPr>
                <w:sz w:val="16"/>
              </w:rPr>
              <w:t>from</w:t>
            </w:r>
            <w:r>
              <w:rPr>
                <w:spacing w:val="33"/>
                <w:sz w:val="16"/>
              </w:rPr>
              <w:t> </w:t>
            </w:r>
            <w:r>
              <w:rPr>
                <w:sz w:val="16"/>
              </w:rPr>
              <w:t>commercial banks, corporates, and financial institutions with at least two Prime-1 ratings.</w:t>
            </w:r>
          </w:p>
        </w:tc>
      </w:tr>
      <w:tr>
        <w:trPr>
          <w:trHeight w:val="625" w:hRule="atLeast"/>
        </w:trPr>
        <w:tc>
          <w:tcPr>
            <w:tcW w:w="2790" w:type="dxa"/>
          </w:tcPr>
          <w:p>
            <w:pPr>
              <w:pStyle w:val="TableParagraph"/>
              <w:spacing w:line="208" w:lineRule="auto" w:before="74"/>
              <w:ind w:left="71" w:right="279"/>
              <w:jc w:val="both"/>
              <w:rPr>
                <w:sz w:val="16"/>
              </w:rPr>
            </w:pPr>
            <w:r>
              <w:rPr>
                <w:sz w:val="16"/>
              </w:rPr>
              <w:t>Securities</w:t>
            </w:r>
            <w:r>
              <w:rPr>
                <w:spacing w:val="-10"/>
                <w:sz w:val="16"/>
              </w:rPr>
              <w:t> </w:t>
            </w:r>
            <w:r>
              <w:rPr>
                <w:sz w:val="16"/>
              </w:rPr>
              <w:t>lending,</w:t>
            </w:r>
            <w:r>
              <w:rPr>
                <w:spacing w:val="-10"/>
                <w:sz w:val="16"/>
              </w:rPr>
              <w:t> </w:t>
            </w:r>
            <w:r>
              <w:rPr>
                <w:sz w:val="16"/>
              </w:rPr>
              <w:t>and</w:t>
            </w:r>
            <w:r>
              <w:rPr>
                <w:spacing w:val="-11"/>
                <w:sz w:val="16"/>
              </w:rPr>
              <w:t> </w:t>
            </w:r>
            <w:r>
              <w:rPr>
                <w:sz w:val="16"/>
              </w:rPr>
              <w:t>borrowing, repurchases,</w:t>
            </w:r>
            <w:r>
              <w:rPr>
                <w:spacing w:val="-12"/>
                <w:sz w:val="16"/>
              </w:rPr>
              <w:t> </w:t>
            </w:r>
            <w:r>
              <w:rPr>
                <w:sz w:val="16"/>
              </w:rPr>
              <w:t>resales,</w:t>
            </w:r>
            <w:r>
              <w:rPr>
                <w:spacing w:val="-11"/>
                <w:sz w:val="16"/>
              </w:rPr>
              <w:t> </w:t>
            </w:r>
            <w:r>
              <w:rPr>
                <w:sz w:val="16"/>
              </w:rPr>
              <w:t>and</w:t>
            </w:r>
            <w:r>
              <w:rPr>
                <w:spacing w:val="-11"/>
                <w:sz w:val="16"/>
              </w:rPr>
              <w:t> </w:t>
            </w:r>
            <w:r>
              <w:rPr>
                <w:sz w:val="16"/>
              </w:rPr>
              <w:t>reverse </w:t>
            </w:r>
            <w:r>
              <w:rPr>
                <w:spacing w:val="-2"/>
                <w:sz w:val="16"/>
              </w:rPr>
              <w:t>repurchases</w:t>
            </w:r>
          </w:p>
        </w:tc>
        <w:tc>
          <w:tcPr>
            <w:tcW w:w="6555" w:type="dxa"/>
          </w:tcPr>
          <w:p>
            <w:pPr>
              <w:pStyle w:val="TableParagraph"/>
              <w:spacing w:line="208" w:lineRule="auto" w:before="74"/>
              <w:ind w:left="52" w:right="30"/>
              <w:jc w:val="both"/>
              <w:rPr>
                <w:sz w:val="16"/>
              </w:rPr>
            </w:pPr>
            <w:r>
              <w:rPr>
                <w:sz w:val="16"/>
              </w:rPr>
              <w:t>IBRD may engage in securities lending against adequate collateral, repurchases and reverse</w:t>
            </w:r>
            <w:r>
              <w:rPr>
                <w:spacing w:val="-5"/>
                <w:sz w:val="16"/>
              </w:rPr>
              <w:t> </w:t>
            </w:r>
            <w:r>
              <w:rPr>
                <w:sz w:val="16"/>
              </w:rPr>
              <w:t>repurchases,</w:t>
            </w:r>
            <w:r>
              <w:rPr>
                <w:spacing w:val="-4"/>
                <w:sz w:val="16"/>
              </w:rPr>
              <w:t> </w:t>
            </w:r>
            <w:r>
              <w:rPr>
                <w:sz w:val="16"/>
              </w:rPr>
              <w:t>against</w:t>
            </w:r>
            <w:r>
              <w:rPr>
                <w:spacing w:val="-4"/>
                <w:sz w:val="16"/>
              </w:rPr>
              <w:t> </w:t>
            </w:r>
            <w:r>
              <w:rPr>
                <w:sz w:val="16"/>
              </w:rPr>
              <w:t>adequate</w:t>
            </w:r>
            <w:r>
              <w:rPr>
                <w:spacing w:val="-5"/>
                <w:sz w:val="16"/>
              </w:rPr>
              <w:t> </w:t>
            </w:r>
            <w:r>
              <w:rPr>
                <w:sz w:val="16"/>
              </w:rPr>
              <w:t>margin</w:t>
            </w:r>
            <w:r>
              <w:rPr>
                <w:spacing w:val="-5"/>
                <w:sz w:val="16"/>
              </w:rPr>
              <w:t> </w:t>
            </w:r>
            <w:r>
              <w:rPr>
                <w:sz w:val="16"/>
              </w:rPr>
              <w:t>protection,</w:t>
            </w:r>
            <w:r>
              <w:rPr>
                <w:spacing w:val="-4"/>
                <w:sz w:val="16"/>
              </w:rPr>
              <w:t> </w:t>
            </w:r>
            <w:r>
              <w:rPr>
                <w:sz w:val="16"/>
              </w:rPr>
              <w:t>of</w:t>
            </w:r>
            <w:r>
              <w:rPr>
                <w:spacing w:val="-4"/>
                <w:sz w:val="16"/>
              </w:rPr>
              <w:t> </w:t>
            </w:r>
            <w:r>
              <w:rPr>
                <w:sz w:val="16"/>
              </w:rPr>
              <w:t>the</w:t>
            </w:r>
            <w:r>
              <w:rPr>
                <w:spacing w:val="-5"/>
                <w:sz w:val="16"/>
              </w:rPr>
              <w:t> </w:t>
            </w:r>
            <w:r>
              <w:rPr>
                <w:sz w:val="16"/>
              </w:rPr>
              <w:t>securities</w:t>
            </w:r>
            <w:r>
              <w:rPr>
                <w:spacing w:val="-4"/>
                <w:sz w:val="16"/>
              </w:rPr>
              <w:t> </w:t>
            </w:r>
            <w:r>
              <w:rPr>
                <w:sz w:val="16"/>
              </w:rPr>
              <w:t>described</w:t>
            </w:r>
            <w:r>
              <w:rPr>
                <w:spacing w:val="-5"/>
                <w:sz w:val="16"/>
              </w:rPr>
              <w:t> </w:t>
            </w:r>
            <w:r>
              <w:rPr>
                <w:sz w:val="16"/>
              </w:rPr>
              <w:t>under the sovereigns, agencies, and corporates and asset-backed security categories.</w:t>
            </w:r>
          </w:p>
        </w:tc>
      </w:tr>
      <w:tr>
        <w:trPr>
          <w:trHeight w:val="804" w:hRule="atLeast"/>
        </w:trPr>
        <w:tc>
          <w:tcPr>
            <w:tcW w:w="2790" w:type="dxa"/>
          </w:tcPr>
          <w:p>
            <w:pPr>
              <w:pStyle w:val="TableParagraph"/>
              <w:spacing w:before="121"/>
              <w:rPr>
                <w:rFonts w:ascii="Arial"/>
                <w:b/>
                <w:sz w:val="16"/>
              </w:rPr>
            </w:pPr>
          </w:p>
          <w:p>
            <w:pPr>
              <w:pStyle w:val="TableParagraph"/>
              <w:ind w:left="52"/>
              <w:rPr>
                <w:sz w:val="16"/>
              </w:rPr>
            </w:pPr>
            <w:r>
              <w:rPr>
                <w:spacing w:val="-2"/>
                <w:sz w:val="16"/>
              </w:rPr>
              <w:t>Collateral</w:t>
            </w:r>
            <w:r>
              <w:rPr>
                <w:spacing w:val="4"/>
                <w:sz w:val="16"/>
              </w:rPr>
              <w:t> </w:t>
            </w:r>
            <w:r>
              <w:rPr>
                <w:spacing w:val="-2"/>
                <w:sz w:val="16"/>
              </w:rPr>
              <w:t>Assets</w:t>
            </w:r>
          </w:p>
        </w:tc>
        <w:tc>
          <w:tcPr>
            <w:tcW w:w="6555" w:type="dxa"/>
          </w:tcPr>
          <w:p>
            <w:pPr>
              <w:pStyle w:val="TableParagraph"/>
              <w:spacing w:line="208" w:lineRule="auto" w:before="84"/>
              <w:ind w:left="52" w:right="29"/>
              <w:jc w:val="both"/>
              <w:rPr>
                <w:sz w:val="16"/>
              </w:rPr>
            </w:pPr>
            <w:r>
              <w:rPr>
                <w:sz w:val="16"/>
              </w:rPr>
              <w:t>IBRD</w:t>
            </w:r>
            <w:r>
              <w:rPr>
                <w:spacing w:val="-4"/>
                <w:sz w:val="16"/>
              </w:rPr>
              <w:t> </w:t>
            </w:r>
            <w:r>
              <w:rPr>
                <w:sz w:val="16"/>
              </w:rPr>
              <w:t>may</w:t>
            </w:r>
            <w:r>
              <w:rPr>
                <w:spacing w:val="-4"/>
                <w:sz w:val="16"/>
              </w:rPr>
              <w:t> </w:t>
            </w:r>
            <w:r>
              <w:rPr>
                <w:sz w:val="16"/>
              </w:rPr>
              <w:t>engage</w:t>
            </w:r>
            <w:r>
              <w:rPr>
                <w:spacing w:val="-5"/>
                <w:sz w:val="16"/>
              </w:rPr>
              <w:t> </w:t>
            </w:r>
            <w:r>
              <w:rPr>
                <w:sz w:val="16"/>
              </w:rPr>
              <w:t>in</w:t>
            </w:r>
            <w:r>
              <w:rPr>
                <w:spacing w:val="-5"/>
                <w:sz w:val="16"/>
              </w:rPr>
              <w:t> </w:t>
            </w:r>
            <w:r>
              <w:rPr>
                <w:sz w:val="16"/>
              </w:rPr>
              <w:t>collateralized</w:t>
            </w:r>
            <w:r>
              <w:rPr>
                <w:spacing w:val="-5"/>
                <w:sz w:val="16"/>
              </w:rPr>
              <w:t> </w:t>
            </w:r>
            <w:r>
              <w:rPr>
                <w:sz w:val="16"/>
              </w:rPr>
              <w:t>forward</w:t>
            </w:r>
            <w:r>
              <w:rPr>
                <w:spacing w:val="-5"/>
                <w:sz w:val="16"/>
              </w:rPr>
              <w:t> </w:t>
            </w:r>
            <w:r>
              <w:rPr>
                <w:sz w:val="16"/>
              </w:rPr>
              <w:t>transactions,</w:t>
            </w:r>
            <w:r>
              <w:rPr>
                <w:spacing w:val="-4"/>
                <w:sz w:val="16"/>
              </w:rPr>
              <w:t> </w:t>
            </w:r>
            <w:r>
              <w:rPr>
                <w:sz w:val="16"/>
              </w:rPr>
              <w:t>such</w:t>
            </w:r>
            <w:r>
              <w:rPr>
                <w:spacing w:val="-5"/>
                <w:sz w:val="16"/>
              </w:rPr>
              <w:t> </w:t>
            </w:r>
            <w:r>
              <w:rPr>
                <w:sz w:val="16"/>
              </w:rPr>
              <w:t>as</w:t>
            </w:r>
            <w:r>
              <w:rPr>
                <w:spacing w:val="-4"/>
                <w:sz w:val="16"/>
              </w:rPr>
              <w:t> </w:t>
            </w:r>
            <w:r>
              <w:rPr>
                <w:sz w:val="16"/>
              </w:rPr>
              <w:t>swap,</w:t>
            </w:r>
            <w:r>
              <w:rPr>
                <w:spacing w:val="-4"/>
                <w:sz w:val="16"/>
              </w:rPr>
              <w:t> </w:t>
            </w:r>
            <w:r>
              <w:rPr>
                <w:sz w:val="16"/>
              </w:rPr>
              <w:t>repurchase,</w:t>
            </w:r>
            <w:r>
              <w:rPr>
                <w:spacing w:val="-4"/>
                <w:sz w:val="16"/>
              </w:rPr>
              <w:t> </w:t>
            </w:r>
            <w:r>
              <w:rPr>
                <w:sz w:val="16"/>
              </w:rPr>
              <w:t>resale, securities lending, or equivalent transactions that involve certain underlying assets not independently eligible for investment. In each case, adequate margin protection needs to be received.</w:t>
            </w:r>
          </w:p>
        </w:tc>
      </w:tr>
    </w:tbl>
    <w:p>
      <w:pPr>
        <w:pStyle w:val="ListParagraph"/>
        <w:numPr>
          <w:ilvl w:val="0"/>
          <w:numId w:val="23"/>
        </w:numPr>
        <w:tabs>
          <w:tab w:pos="1153" w:val="left" w:leader="none"/>
        </w:tabs>
        <w:spacing w:line="208" w:lineRule="auto" w:before="26" w:after="0"/>
        <w:ind w:left="1153" w:right="805" w:hanging="360"/>
        <w:jc w:val="left"/>
        <w:rPr>
          <w:rFonts w:ascii="Arial" w:hAnsi="Arial"/>
          <w:i/>
          <w:sz w:val="16"/>
        </w:rPr>
      </w:pPr>
      <w:r>
        <w:rPr>
          <w:rFonts w:ascii="Arial" w:hAnsi="Arial"/>
          <w:i/>
          <w:sz w:val="16"/>
        </w:rPr>
        <w:t>All investments are subject to approval by the Market and Counterparty Risk Department and must appear on the “Approved List” created by the department.</w:t>
      </w:r>
    </w:p>
    <w:p>
      <w:pPr>
        <w:pStyle w:val="ListParagraph"/>
        <w:numPr>
          <w:ilvl w:val="0"/>
          <w:numId w:val="23"/>
        </w:numPr>
        <w:tabs>
          <w:tab w:pos="1153" w:val="left" w:leader="none"/>
        </w:tabs>
        <w:spacing w:line="208" w:lineRule="auto" w:before="0" w:after="0"/>
        <w:ind w:left="1153" w:right="804" w:hanging="360"/>
        <w:jc w:val="left"/>
        <w:rPr>
          <w:rFonts w:ascii="Arial" w:hAnsi="Arial"/>
          <w:i/>
          <w:sz w:val="16"/>
        </w:rPr>
      </w:pPr>
      <w:r>
        <w:rPr>
          <w:rFonts w:ascii="Arial" w:hAnsi="Arial"/>
          <w:i/>
          <w:sz w:val="16"/>
        </w:rPr>
        <w:t>Time</w:t>
      </w:r>
      <w:r>
        <w:rPr>
          <w:rFonts w:ascii="Arial" w:hAnsi="Arial"/>
          <w:i/>
          <w:spacing w:val="40"/>
          <w:sz w:val="16"/>
        </w:rPr>
        <w:t> </w:t>
      </w:r>
      <w:r>
        <w:rPr>
          <w:rFonts w:ascii="Arial" w:hAnsi="Arial"/>
          <w:i/>
          <w:sz w:val="16"/>
        </w:rPr>
        <w:t>deposits</w:t>
      </w:r>
      <w:r>
        <w:rPr>
          <w:rFonts w:ascii="Arial" w:hAnsi="Arial"/>
          <w:i/>
          <w:spacing w:val="40"/>
          <w:sz w:val="16"/>
        </w:rPr>
        <w:t> </w:t>
      </w:r>
      <w:r>
        <w:rPr>
          <w:rFonts w:ascii="Arial" w:hAnsi="Arial"/>
          <w:i/>
          <w:sz w:val="16"/>
        </w:rPr>
        <w:t>include</w:t>
      </w:r>
      <w:r>
        <w:rPr>
          <w:rFonts w:ascii="Arial" w:hAnsi="Arial"/>
          <w:i/>
          <w:spacing w:val="40"/>
          <w:sz w:val="16"/>
        </w:rPr>
        <w:t> </w:t>
      </w:r>
      <w:r>
        <w:rPr>
          <w:rFonts w:ascii="Arial" w:hAnsi="Arial"/>
          <w:i/>
          <w:sz w:val="16"/>
        </w:rPr>
        <w:t>certificates</w:t>
      </w:r>
      <w:r>
        <w:rPr>
          <w:rFonts w:ascii="Arial" w:hAnsi="Arial"/>
          <w:i/>
          <w:spacing w:val="40"/>
          <w:sz w:val="16"/>
        </w:rPr>
        <w:t> </w:t>
      </w:r>
      <w:r>
        <w:rPr>
          <w:rFonts w:ascii="Arial" w:hAnsi="Arial"/>
          <w:i/>
          <w:sz w:val="16"/>
        </w:rPr>
        <w:t>of</w:t>
      </w:r>
      <w:r>
        <w:rPr>
          <w:rFonts w:ascii="Arial" w:hAnsi="Arial"/>
          <w:i/>
          <w:spacing w:val="40"/>
          <w:sz w:val="16"/>
        </w:rPr>
        <w:t> </w:t>
      </w:r>
      <w:r>
        <w:rPr>
          <w:rFonts w:ascii="Arial" w:hAnsi="Arial"/>
          <w:i/>
          <w:sz w:val="16"/>
        </w:rPr>
        <w:t>deposit,</w:t>
      </w:r>
      <w:r>
        <w:rPr>
          <w:rFonts w:ascii="Arial" w:hAnsi="Arial"/>
          <w:i/>
          <w:spacing w:val="40"/>
          <w:sz w:val="16"/>
        </w:rPr>
        <w:t> </w:t>
      </w:r>
      <w:r>
        <w:rPr>
          <w:rFonts w:ascii="Arial" w:hAnsi="Arial"/>
          <w:i/>
          <w:sz w:val="16"/>
        </w:rPr>
        <w:t>bankers’</w:t>
      </w:r>
      <w:r>
        <w:rPr>
          <w:rFonts w:ascii="Arial" w:hAnsi="Arial"/>
          <w:i/>
          <w:spacing w:val="40"/>
          <w:sz w:val="16"/>
        </w:rPr>
        <w:t> </w:t>
      </w:r>
      <w:r>
        <w:rPr>
          <w:rFonts w:ascii="Arial" w:hAnsi="Arial"/>
          <w:i/>
          <w:sz w:val="16"/>
        </w:rPr>
        <w:t>acceptances,</w:t>
      </w:r>
      <w:r>
        <w:rPr>
          <w:rFonts w:ascii="Arial" w:hAnsi="Arial"/>
          <w:i/>
          <w:spacing w:val="40"/>
          <w:sz w:val="16"/>
        </w:rPr>
        <w:t> </w:t>
      </w:r>
      <w:r>
        <w:rPr>
          <w:rFonts w:ascii="Arial" w:hAnsi="Arial"/>
          <w:i/>
          <w:sz w:val="16"/>
        </w:rPr>
        <w:t>and</w:t>
      </w:r>
      <w:r>
        <w:rPr>
          <w:rFonts w:ascii="Arial" w:hAnsi="Arial"/>
          <w:i/>
          <w:spacing w:val="40"/>
          <w:sz w:val="16"/>
        </w:rPr>
        <w:t> </w:t>
      </w:r>
      <w:r>
        <w:rPr>
          <w:rFonts w:ascii="Arial" w:hAnsi="Arial"/>
          <w:i/>
          <w:sz w:val="16"/>
        </w:rPr>
        <w:t>other</w:t>
      </w:r>
      <w:r>
        <w:rPr>
          <w:rFonts w:ascii="Arial" w:hAnsi="Arial"/>
          <w:i/>
          <w:spacing w:val="40"/>
          <w:sz w:val="16"/>
        </w:rPr>
        <w:t> </w:t>
      </w:r>
      <w:r>
        <w:rPr>
          <w:rFonts w:ascii="Arial" w:hAnsi="Arial"/>
          <w:i/>
          <w:sz w:val="16"/>
        </w:rPr>
        <w:t>obligations</w:t>
      </w:r>
      <w:r>
        <w:rPr>
          <w:rFonts w:ascii="Arial" w:hAnsi="Arial"/>
          <w:i/>
          <w:spacing w:val="40"/>
          <w:sz w:val="16"/>
        </w:rPr>
        <w:t> </w:t>
      </w:r>
      <w:r>
        <w:rPr>
          <w:rFonts w:ascii="Arial" w:hAnsi="Arial"/>
          <w:i/>
          <w:sz w:val="16"/>
        </w:rPr>
        <w:t>issued</w:t>
      </w:r>
      <w:r>
        <w:rPr>
          <w:rFonts w:ascii="Arial" w:hAnsi="Arial"/>
          <w:i/>
          <w:spacing w:val="40"/>
          <w:sz w:val="16"/>
        </w:rPr>
        <w:t> </w:t>
      </w:r>
      <w:r>
        <w:rPr>
          <w:rFonts w:ascii="Arial" w:hAnsi="Arial"/>
          <w:i/>
          <w:sz w:val="16"/>
        </w:rPr>
        <w:t>or</w:t>
      </w:r>
      <w:r>
        <w:rPr>
          <w:rFonts w:ascii="Arial" w:hAnsi="Arial"/>
          <w:i/>
          <w:spacing w:val="40"/>
          <w:sz w:val="16"/>
        </w:rPr>
        <w:t> </w:t>
      </w:r>
      <w:r>
        <w:rPr>
          <w:rFonts w:ascii="Arial" w:hAnsi="Arial"/>
          <w:i/>
          <w:sz w:val="16"/>
        </w:rPr>
        <w:t>unconditionally guaranteed by banks or other financial institutions.</w:t>
      </w:r>
    </w:p>
    <w:p>
      <w:pPr>
        <w:pStyle w:val="Heading7"/>
        <w:spacing w:before="77"/>
        <w:jc w:val="both"/>
      </w:pPr>
      <w:r>
        <w:rPr/>
        <w:t>Commercial</w:t>
      </w:r>
      <w:r>
        <w:rPr>
          <w:spacing w:val="-2"/>
        </w:rPr>
        <w:t> </w:t>
      </w:r>
      <w:r>
        <w:rPr/>
        <w:t>Counterparty</w:t>
      </w:r>
      <w:r>
        <w:rPr>
          <w:spacing w:val="-2"/>
        </w:rPr>
        <w:t> </w:t>
      </w:r>
      <w:r>
        <w:rPr/>
        <w:t>Credit</w:t>
      </w:r>
      <w:r>
        <w:rPr>
          <w:spacing w:val="-2"/>
        </w:rPr>
        <w:t> </w:t>
      </w:r>
      <w:r>
        <w:rPr/>
        <w:t>Risk</w:t>
      </w:r>
      <w:r>
        <w:rPr>
          <w:spacing w:val="-2"/>
        </w:rPr>
        <w:t> Exposure</w:t>
      </w:r>
    </w:p>
    <w:p>
      <w:pPr>
        <w:pStyle w:val="BodyText"/>
        <w:spacing w:line="249" w:lineRule="auto" w:before="135"/>
        <w:ind w:left="720" w:right="718"/>
        <w:jc w:val="both"/>
      </w:pPr>
      <w:r>
        <w:rPr/>
        <w:t>As a result of IBRD’s use of collateral arrangements for swap transactions, its residual commercial counterparty credit risk is concentrated in the investment portfolio, in instruments issued by sovereign governments and non-sovereign holdings (including agencies, asset-backed securities) (Table 29).</w:t>
      </w:r>
    </w:p>
    <w:p>
      <w:pPr>
        <w:spacing w:before="172"/>
        <w:ind w:left="772" w:right="0" w:firstLine="0"/>
        <w:jc w:val="left"/>
        <w:rPr>
          <w:rFonts w:ascii="Arial"/>
          <w:b/>
          <w:sz w:val="18"/>
        </w:rPr>
      </w:pPr>
      <w:bookmarkStart w:name="_bookmark80" w:id="119"/>
      <w:bookmarkEnd w:id="119"/>
      <w:r>
        <w:rPr/>
      </w:r>
      <w:r>
        <w:rPr>
          <w:rFonts w:ascii="Arial"/>
          <w:b/>
          <w:sz w:val="18"/>
        </w:rPr>
        <w:t>Table</w:t>
      </w:r>
      <w:r>
        <w:rPr>
          <w:rFonts w:ascii="Arial"/>
          <w:b/>
          <w:spacing w:val="-3"/>
          <w:sz w:val="18"/>
        </w:rPr>
        <w:t> </w:t>
      </w:r>
      <w:r>
        <w:rPr>
          <w:rFonts w:ascii="Arial"/>
          <w:b/>
          <w:sz w:val="18"/>
        </w:rPr>
        <w:t>29:</w:t>
      </w:r>
      <w:r>
        <w:rPr>
          <w:rFonts w:ascii="Arial"/>
          <w:b/>
          <w:spacing w:val="-3"/>
          <w:sz w:val="18"/>
        </w:rPr>
        <w:t> </w:t>
      </w:r>
      <w:r>
        <w:rPr>
          <w:rFonts w:ascii="Arial"/>
          <w:b/>
          <w:sz w:val="18"/>
        </w:rPr>
        <w:t>Commercial</w:t>
      </w:r>
      <w:r>
        <w:rPr>
          <w:rFonts w:ascii="Arial"/>
          <w:b/>
          <w:spacing w:val="-3"/>
          <w:sz w:val="18"/>
        </w:rPr>
        <w:t> </w:t>
      </w:r>
      <w:r>
        <w:rPr>
          <w:rFonts w:ascii="Arial"/>
          <w:b/>
          <w:sz w:val="18"/>
        </w:rPr>
        <w:t>Credit</w:t>
      </w:r>
      <w:r>
        <w:rPr>
          <w:rFonts w:ascii="Arial"/>
          <w:b/>
          <w:spacing w:val="-3"/>
          <w:sz w:val="18"/>
        </w:rPr>
        <w:t> </w:t>
      </w:r>
      <w:r>
        <w:rPr>
          <w:rFonts w:ascii="Arial"/>
          <w:b/>
          <w:sz w:val="18"/>
        </w:rPr>
        <w:t>Exposure,</w:t>
      </w:r>
      <w:r>
        <w:rPr>
          <w:rFonts w:ascii="Arial"/>
          <w:b/>
          <w:spacing w:val="-3"/>
          <w:sz w:val="18"/>
        </w:rPr>
        <w:t> </w:t>
      </w:r>
      <w:r>
        <w:rPr>
          <w:rFonts w:ascii="Arial"/>
          <w:b/>
          <w:sz w:val="18"/>
        </w:rPr>
        <w:t>Net</w:t>
      </w:r>
      <w:r>
        <w:rPr>
          <w:rFonts w:ascii="Arial"/>
          <w:b/>
          <w:spacing w:val="-2"/>
          <w:sz w:val="18"/>
        </w:rPr>
        <w:t> </w:t>
      </w:r>
      <w:r>
        <w:rPr>
          <w:rFonts w:ascii="Arial"/>
          <w:b/>
          <w:sz w:val="18"/>
        </w:rPr>
        <w:t>of</w:t>
      </w:r>
      <w:r>
        <w:rPr>
          <w:rFonts w:ascii="Arial"/>
          <w:b/>
          <w:spacing w:val="-3"/>
          <w:sz w:val="18"/>
        </w:rPr>
        <w:t> </w:t>
      </w:r>
      <w:r>
        <w:rPr>
          <w:rFonts w:ascii="Arial"/>
          <w:b/>
          <w:sz w:val="18"/>
        </w:rPr>
        <w:t>Collateral</w:t>
      </w:r>
      <w:r>
        <w:rPr>
          <w:rFonts w:ascii="Arial"/>
          <w:b/>
          <w:spacing w:val="-3"/>
          <w:sz w:val="18"/>
        </w:rPr>
        <w:t> </w:t>
      </w:r>
      <w:r>
        <w:rPr>
          <w:rFonts w:ascii="Arial"/>
          <w:b/>
          <w:sz w:val="18"/>
        </w:rPr>
        <w:t>Held,</w:t>
      </w:r>
      <w:r>
        <w:rPr>
          <w:rFonts w:ascii="Arial"/>
          <w:b/>
          <w:spacing w:val="-3"/>
          <w:sz w:val="18"/>
        </w:rPr>
        <w:t> </w:t>
      </w:r>
      <w:r>
        <w:rPr>
          <w:rFonts w:ascii="Arial"/>
          <w:b/>
          <w:sz w:val="18"/>
        </w:rPr>
        <w:t>by</w:t>
      </w:r>
      <w:r>
        <w:rPr>
          <w:rFonts w:ascii="Arial"/>
          <w:b/>
          <w:spacing w:val="-3"/>
          <w:sz w:val="18"/>
        </w:rPr>
        <w:t> </w:t>
      </w:r>
      <w:r>
        <w:rPr>
          <w:rFonts w:ascii="Arial"/>
          <w:b/>
          <w:sz w:val="18"/>
        </w:rPr>
        <w:t>Counterparty</w:t>
      </w:r>
      <w:r>
        <w:rPr>
          <w:rFonts w:ascii="Arial"/>
          <w:b/>
          <w:spacing w:val="-2"/>
          <w:sz w:val="18"/>
        </w:rPr>
        <w:t> Rating</w:t>
      </w:r>
    </w:p>
    <w:p>
      <w:pPr>
        <w:spacing w:before="32"/>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41"/>
        <w:ind w:left="2460" w:right="0"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7655936">
                <wp:simplePos x="0" y="0"/>
                <wp:positionH relativeFrom="page">
                  <wp:posOffset>914400</wp:posOffset>
                </wp:positionH>
                <wp:positionV relativeFrom="paragraph">
                  <wp:posOffset>159543</wp:posOffset>
                </wp:positionV>
                <wp:extent cx="5943600" cy="1270"/>
                <wp:effectExtent l="0" t="0" r="0" b="0"/>
                <wp:wrapTopAndBottom/>
                <wp:docPr id="491" name="Graphic 491"/>
                <wp:cNvGraphicFramePr>
                  <a:graphicFrameLocks/>
                </wp:cNvGraphicFramePr>
                <a:graphic>
                  <a:graphicData uri="http://schemas.microsoft.com/office/word/2010/wordprocessingShape">
                    <wps:wsp>
                      <wps:cNvPr id="491" name="Graphic 491"/>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56246pt;width:468pt;height:.1pt;mso-position-horizontal-relative:page;mso-position-vertical-relative:paragraph;z-index:-15660544;mso-wrap-distance-left:0;mso-wrap-distance-right:0" id="docshape411" coordorigin="1440,251" coordsize="9360,0" path="m1440,251l10800,251e" filled="false" stroked="true" strokeweight="1pt" strokecolor="#6c6c6c">
                <v:path arrowok="t"/>
                <v:stroke dashstyle="solid"/>
                <w10:wrap type="topAndBottom"/>
              </v:shape>
            </w:pict>
          </mc:Fallback>
        </mc:AlternateContent>
      </w:r>
      <w:r>
        <w:rPr>
          <w:rFonts w:ascii="Arial"/>
          <w:i/>
          <w:color w:val="A5A5A5"/>
          <w:sz w:val="16"/>
        </w:rPr>
        <w:t>As</w:t>
      </w:r>
      <w:r>
        <w:rPr>
          <w:rFonts w:ascii="Arial"/>
          <w:i/>
          <w:color w:val="A5A5A5"/>
          <w:spacing w:val="-2"/>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2"/>
          <w:sz w:val="16"/>
        </w:rPr>
        <w:t> </w:t>
      </w:r>
      <w:r>
        <w:rPr>
          <w:rFonts w:ascii="Arial"/>
          <w:i/>
          <w:color w:val="A5A5A5"/>
          <w:sz w:val="16"/>
        </w:rPr>
        <w:t>30,</w:t>
      </w:r>
      <w:r>
        <w:rPr>
          <w:rFonts w:ascii="Arial"/>
          <w:i/>
          <w:color w:val="A5A5A5"/>
          <w:spacing w:val="-1"/>
          <w:sz w:val="16"/>
        </w:rPr>
        <w:t> </w:t>
      </w:r>
      <w:r>
        <w:rPr>
          <w:rFonts w:ascii="Arial"/>
          <w:i/>
          <w:color w:val="A5A5A5"/>
          <w:spacing w:val="-4"/>
          <w:sz w:val="16"/>
        </w:rPr>
        <w:t>2023</w:t>
      </w:r>
    </w:p>
    <w:p>
      <w:pPr>
        <w:spacing w:before="1"/>
        <w:ind w:left="0" w:right="1632" w:firstLine="0"/>
        <w:jc w:val="center"/>
        <w:rPr>
          <w:rFonts w:ascii="Arial"/>
          <w:i/>
          <w:sz w:val="16"/>
        </w:rPr>
      </w:pPr>
      <w:r>
        <w:rPr>
          <w:rFonts w:ascii="Arial"/>
          <w:i/>
          <w:color w:val="484848"/>
          <w:spacing w:val="-2"/>
          <w:sz w:val="16"/>
        </w:rPr>
        <w:t>Investments</w:t>
      </w:r>
    </w:p>
    <w:p>
      <w:pPr>
        <w:pStyle w:val="BodyText"/>
        <w:spacing w:before="37"/>
        <w:rPr>
          <w:rFonts w:ascii="Arial"/>
          <w:i/>
          <w:sz w:val="16"/>
        </w:rPr>
      </w:pPr>
    </w:p>
    <w:p>
      <w:pPr>
        <w:spacing w:before="0"/>
        <w:ind w:left="0" w:right="1192"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98272">
                <wp:simplePos x="0" y="0"/>
                <wp:positionH relativeFrom="page">
                  <wp:posOffset>876300</wp:posOffset>
                </wp:positionH>
                <wp:positionV relativeFrom="paragraph">
                  <wp:posOffset>-121265</wp:posOffset>
                </wp:positionV>
                <wp:extent cx="6019800" cy="1139189"/>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6019800" cy="113918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1323"/>
                              <w:gridCol w:w="1483"/>
                              <w:gridCol w:w="1388"/>
                              <w:gridCol w:w="1335"/>
                              <w:gridCol w:w="943"/>
                              <w:gridCol w:w="432"/>
                            </w:tblGrid>
                            <w:tr>
                              <w:trPr>
                                <w:trHeight w:val="385" w:hRule="atLeast"/>
                              </w:trPr>
                              <w:tc>
                                <w:tcPr>
                                  <w:tcW w:w="2460" w:type="dxa"/>
                                  <w:tcBorders>
                                    <w:bottom w:val="single" w:sz="8" w:space="0" w:color="6C6C6C"/>
                                  </w:tcBorders>
                                </w:tcPr>
                                <w:p>
                                  <w:pPr>
                                    <w:pStyle w:val="TableParagraph"/>
                                    <w:spacing w:line="183" w:lineRule="exact" w:before="181"/>
                                    <w:ind w:left="114"/>
                                    <w:rPr>
                                      <w:rFonts w:ascii="Arial"/>
                                      <w:i/>
                                      <w:sz w:val="16"/>
                                    </w:rPr>
                                  </w:pPr>
                                  <w:r>
                                    <w:rPr>
                                      <w:rFonts w:ascii="Arial"/>
                                      <w:i/>
                                      <w:color w:val="484848"/>
                                      <w:sz w:val="16"/>
                                    </w:rPr>
                                    <w:t>Counterparty</w:t>
                                  </w:r>
                                  <w:r>
                                    <w:rPr>
                                      <w:rFonts w:ascii="Arial"/>
                                      <w:i/>
                                      <w:color w:val="484848"/>
                                      <w:spacing w:val="-6"/>
                                      <w:sz w:val="16"/>
                                    </w:rPr>
                                    <w:t> </w:t>
                                  </w:r>
                                  <w:r>
                                    <w:rPr>
                                      <w:rFonts w:ascii="Arial"/>
                                      <w:i/>
                                      <w:color w:val="484848"/>
                                      <w:sz w:val="16"/>
                                    </w:rPr>
                                    <w:t>Rating</w:t>
                                  </w:r>
                                  <w:r>
                                    <w:rPr>
                                      <w:rFonts w:ascii="Arial"/>
                                      <w:i/>
                                      <w:color w:val="484848"/>
                                      <w:spacing w:val="-7"/>
                                      <w:sz w:val="16"/>
                                    </w:rPr>
                                    <w:t> </w:t>
                                  </w:r>
                                  <w:r>
                                    <w:rPr>
                                      <w:rFonts w:ascii="Arial"/>
                                      <w:i/>
                                      <w:color w:val="484848"/>
                                      <w:spacing w:val="-10"/>
                                      <w:sz w:val="16"/>
                                      <w:vertAlign w:val="superscript"/>
                                    </w:rPr>
                                    <w:t>a</w:t>
                                  </w:r>
                                </w:p>
                              </w:tc>
                              <w:tc>
                                <w:tcPr>
                                  <w:tcW w:w="1323" w:type="dxa"/>
                                  <w:tcBorders>
                                    <w:top w:val="single" w:sz="8" w:space="0" w:color="6C6C6C"/>
                                    <w:bottom w:val="single" w:sz="8" w:space="0" w:color="6C6C6C"/>
                                  </w:tcBorders>
                                </w:tcPr>
                                <w:p>
                                  <w:pPr>
                                    <w:pStyle w:val="TableParagraph"/>
                                    <w:spacing w:line="183" w:lineRule="exact" w:before="181"/>
                                    <w:ind w:left="252"/>
                                    <w:rPr>
                                      <w:rFonts w:ascii="Arial"/>
                                      <w:i/>
                                      <w:sz w:val="16"/>
                                    </w:rPr>
                                  </w:pPr>
                                  <w:r>
                                    <w:rPr>
                                      <w:rFonts w:ascii="Arial"/>
                                      <w:i/>
                                      <w:color w:val="484848"/>
                                      <w:spacing w:val="-2"/>
                                      <w:sz w:val="16"/>
                                    </w:rPr>
                                    <w:t>Sovereigns</w:t>
                                  </w:r>
                                </w:p>
                              </w:tc>
                              <w:tc>
                                <w:tcPr>
                                  <w:tcW w:w="1483" w:type="dxa"/>
                                  <w:tcBorders>
                                    <w:top w:val="single" w:sz="8" w:space="0" w:color="6C6C6C"/>
                                    <w:bottom w:val="single" w:sz="8" w:space="0" w:color="6C6C6C"/>
                                  </w:tcBorders>
                                </w:tcPr>
                                <w:p>
                                  <w:pPr>
                                    <w:pStyle w:val="TableParagraph"/>
                                    <w:spacing w:line="183" w:lineRule="exact" w:before="181"/>
                                    <w:ind w:left="189"/>
                                    <w:rPr>
                                      <w:rFonts w:ascii="Arial"/>
                                      <w:i/>
                                      <w:sz w:val="16"/>
                                    </w:rPr>
                                  </w:pPr>
                                  <w:r>
                                    <w:rPr>
                                      <w:rFonts w:ascii="Arial"/>
                                      <w:i/>
                                      <w:color w:val="484848"/>
                                      <w:spacing w:val="-2"/>
                                      <w:sz w:val="16"/>
                                    </w:rPr>
                                    <w:t>Non-Sovereigns</w:t>
                                  </w:r>
                                </w:p>
                              </w:tc>
                              <w:tc>
                                <w:tcPr>
                                  <w:tcW w:w="1388" w:type="dxa"/>
                                  <w:tcBorders>
                                    <w:bottom w:val="single" w:sz="8" w:space="0" w:color="6C6C6C"/>
                                  </w:tcBorders>
                                </w:tcPr>
                                <w:p>
                                  <w:pPr>
                                    <w:pStyle w:val="TableParagraph"/>
                                    <w:spacing w:line="208" w:lineRule="auto" w:before="41"/>
                                    <w:ind w:left="374" w:right="321" w:hanging="9"/>
                                    <w:rPr>
                                      <w:rFonts w:ascii="Arial"/>
                                      <w:i/>
                                      <w:sz w:val="16"/>
                                    </w:rPr>
                                  </w:pPr>
                                  <w:r>
                                    <w:rPr>
                                      <w:rFonts w:ascii="Arial"/>
                                      <w:i/>
                                      <w:color w:val="484848"/>
                                      <w:sz w:val="16"/>
                                    </w:rPr>
                                    <w:t>Net</w:t>
                                  </w:r>
                                  <w:r>
                                    <w:rPr>
                                      <w:rFonts w:ascii="Arial"/>
                                      <w:i/>
                                      <w:color w:val="484848"/>
                                      <w:spacing w:val="-12"/>
                                      <w:sz w:val="16"/>
                                    </w:rPr>
                                    <w:t> </w:t>
                                  </w:r>
                                  <w:r>
                                    <w:rPr>
                                      <w:rFonts w:ascii="Arial"/>
                                      <w:i/>
                                      <w:color w:val="484848"/>
                                      <w:sz w:val="16"/>
                                    </w:rPr>
                                    <w:t>Swap </w:t>
                                  </w:r>
                                  <w:r>
                                    <w:rPr>
                                      <w:rFonts w:ascii="Arial"/>
                                      <w:i/>
                                      <w:color w:val="484848"/>
                                      <w:spacing w:val="-2"/>
                                      <w:sz w:val="16"/>
                                    </w:rPr>
                                    <w:t>Exposure</w:t>
                                  </w:r>
                                </w:p>
                              </w:tc>
                              <w:tc>
                                <w:tcPr>
                                  <w:tcW w:w="1335" w:type="dxa"/>
                                  <w:tcBorders>
                                    <w:bottom w:val="single" w:sz="8" w:space="0" w:color="6C6C6C"/>
                                  </w:tcBorders>
                                </w:tcPr>
                                <w:p>
                                  <w:pPr>
                                    <w:pStyle w:val="TableParagraph"/>
                                    <w:spacing w:line="208" w:lineRule="auto" w:before="41"/>
                                    <w:ind w:left="351" w:right="304" w:firstLine="160"/>
                                    <w:rPr>
                                      <w:rFonts w:ascii="Arial"/>
                                      <w:i/>
                                      <w:sz w:val="16"/>
                                    </w:rPr>
                                  </w:pPr>
                                  <w:r>
                                    <w:rPr>
                                      <w:rFonts w:ascii="Arial"/>
                                      <w:i/>
                                      <w:color w:val="484848"/>
                                      <w:spacing w:val="-2"/>
                                      <w:sz w:val="16"/>
                                    </w:rPr>
                                    <w:t>Total Exposure</w:t>
                                  </w:r>
                                </w:p>
                              </w:tc>
                              <w:tc>
                                <w:tcPr>
                                  <w:tcW w:w="943" w:type="dxa"/>
                                  <w:tcBorders>
                                    <w:bottom w:val="single" w:sz="8" w:space="0" w:color="6C6C6C"/>
                                  </w:tcBorders>
                                </w:tcPr>
                                <w:p>
                                  <w:pPr>
                                    <w:pStyle w:val="TableParagraph"/>
                                    <w:spacing w:before="21"/>
                                    <w:ind w:left="558"/>
                                    <w:rPr>
                                      <w:rFonts w:ascii="Arial"/>
                                      <w:i/>
                                      <w:sz w:val="16"/>
                                    </w:rPr>
                                  </w:pPr>
                                  <w:r>
                                    <w:rPr>
                                      <w:rFonts w:ascii="Arial"/>
                                      <w:i/>
                                      <w:color w:val="484848"/>
                                      <w:sz w:val="16"/>
                                    </w:rPr>
                                    <w:t>% </w:t>
                                  </w:r>
                                  <w:r>
                                    <w:rPr>
                                      <w:rFonts w:ascii="Arial"/>
                                      <w:i/>
                                      <w:color w:val="484848"/>
                                      <w:spacing w:val="-5"/>
                                      <w:sz w:val="16"/>
                                    </w:rPr>
                                    <w:t>of</w:t>
                                  </w:r>
                                </w:p>
                              </w:tc>
                              <w:tc>
                                <w:tcPr>
                                  <w:tcW w:w="432" w:type="dxa"/>
                                  <w:tcBorders>
                                    <w:bottom w:val="single" w:sz="8" w:space="0" w:color="6C6C6C"/>
                                  </w:tcBorders>
                                </w:tcPr>
                                <w:p>
                                  <w:pPr>
                                    <w:pStyle w:val="TableParagraph"/>
                                    <w:rPr>
                                      <w:rFonts w:ascii="Times New Roman"/>
                                      <w:sz w:val="16"/>
                                    </w:rPr>
                                  </w:pPr>
                                </w:p>
                              </w:tc>
                            </w:tr>
                            <w:tr>
                              <w:trPr>
                                <w:trHeight w:val="212" w:hRule="atLeast"/>
                              </w:trPr>
                              <w:tc>
                                <w:tcPr>
                                  <w:tcW w:w="2460" w:type="dxa"/>
                                  <w:tcBorders>
                                    <w:top w:val="single" w:sz="8" w:space="0" w:color="6C6C6C"/>
                                  </w:tcBorders>
                                </w:tcPr>
                                <w:p>
                                  <w:pPr>
                                    <w:pStyle w:val="TableParagraph"/>
                                    <w:spacing w:before="5"/>
                                    <w:ind w:left="52"/>
                                    <w:rPr>
                                      <w:sz w:val="16"/>
                                    </w:rPr>
                                  </w:pPr>
                                  <w:r>
                                    <w:rPr>
                                      <w:spacing w:val="-5"/>
                                      <w:sz w:val="16"/>
                                    </w:rPr>
                                    <w:t>AAA</w:t>
                                  </w:r>
                                </w:p>
                              </w:tc>
                              <w:tc>
                                <w:tcPr>
                                  <w:tcW w:w="1323" w:type="dxa"/>
                                  <w:tcBorders>
                                    <w:top w:val="single" w:sz="8" w:space="0" w:color="6C6C6C"/>
                                  </w:tcBorders>
                                </w:tcPr>
                                <w:p>
                                  <w:pPr>
                                    <w:pStyle w:val="TableParagraph"/>
                                    <w:tabs>
                                      <w:tab w:pos="686" w:val="left" w:leader="none"/>
                                    </w:tabs>
                                    <w:spacing w:before="5"/>
                                    <w:ind w:right="93"/>
                                    <w:jc w:val="right"/>
                                    <w:rPr>
                                      <w:sz w:val="16"/>
                                    </w:rPr>
                                  </w:pPr>
                                  <w:r>
                                    <w:rPr>
                                      <w:spacing w:val="-10"/>
                                      <w:sz w:val="16"/>
                                    </w:rPr>
                                    <w:t>$</w:t>
                                  </w:r>
                                  <w:r>
                                    <w:rPr>
                                      <w:sz w:val="16"/>
                                    </w:rPr>
                                    <w:tab/>
                                  </w:r>
                                  <w:r>
                                    <w:rPr>
                                      <w:spacing w:val="-2"/>
                                      <w:sz w:val="16"/>
                                    </w:rPr>
                                    <w:t>21,337</w:t>
                                  </w:r>
                                </w:p>
                              </w:tc>
                              <w:tc>
                                <w:tcPr>
                                  <w:tcW w:w="1483" w:type="dxa"/>
                                  <w:tcBorders>
                                    <w:top w:val="single" w:sz="8" w:space="0" w:color="6C6C6C"/>
                                  </w:tcBorders>
                                </w:tcPr>
                                <w:p>
                                  <w:pPr>
                                    <w:pStyle w:val="TableParagraph"/>
                                    <w:tabs>
                                      <w:tab w:pos="910" w:val="left" w:leader="none"/>
                                    </w:tabs>
                                    <w:spacing w:before="5"/>
                                    <w:ind w:right="76"/>
                                    <w:jc w:val="right"/>
                                    <w:rPr>
                                      <w:sz w:val="16"/>
                                    </w:rPr>
                                  </w:pPr>
                                  <w:r>
                                    <w:rPr>
                                      <w:spacing w:val="-10"/>
                                      <w:sz w:val="16"/>
                                    </w:rPr>
                                    <w:t>$</w:t>
                                  </w:r>
                                  <w:r>
                                    <w:rPr>
                                      <w:sz w:val="16"/>
                                    </w:rPr>
                                    <w:tab/>
                                  </w:r>
                                  <w:r>
                                    <w:rPr>
                                      <w:spacing w:val="-2"/>
                                      <w:sz w:val="16"/>
                                    </w:rPr>
                                    <w:t>8,157</w:t>
                                  </w:r>
                                </w:p>
                              </w:tc>
                              <w:tc>
                                <w:tcPr>
                                  <w:tcW w:w="1388" w:type="dxa"/>
                                  <w:tcBorders>
                                    <w:top w:val="single" w:sz="8" w:space="0" w:color="6C6C6C"/>
                                  </w:tcBorders>
                                </w:tcPr>
                                <w:p>
                                  <w:pPr>
                                    <w:pStyle w:val="TableParagraph"/>
                                    <w:tabs>
                                      <w:tab w:pos="1024" w:val="left" w:leader="none"/>
                                    </w:tabs>
                                    <w:spacing w:before="5"/>
                                    <w:ind w:right="90"/>
                                    <w:jc w:val="right"/>
                                    <w:rPr>
                                      <w:sz w:val="16"/>
                                    </w:rPr>
                                  </w:pPr>
                                  <w:r>
                                    <w:rPr>
                                      <w:spacing w:val="-10"/>
                                      <w:sz w:val="16"/>
                                    </w:rPr>
                                    <w:t>$</w:t>
                                  </w:r>
                                  <w:r>
                                    <w:rPr>
                                      <w:sz w:val="16"/>
                                    </w:rPr>
                                    <w:tab/>
                                    <w:t>—</w:t>
                                  </w:r>
                                </w:p>
                              </w:tc>
                              <w:tc>
                                <w:tcPr>
                                  <w:tcW w:w="1335" w:type="dxa"/>
                                  <w:tcBorders>
                                    <w:top w:val="single" w:sz="8" w:space="0" w:color="6C6C6C"/>
                                  </w:tcBorders>
                                </w:tcPr>
                                <w:p>
                                  <w:pPr>
                                    <w:pStyle w:val="TableParagraph"/>
                                    <w:tabs>
                                      <w:tab w:pos="686" w:val="left" w:leader="none"/>
                                    </w:tabs>
                                    <w:spacing w:before="5"/>
                                    <w:ind w:right="69"/>
                                    <w:jc w:val="right"/>
                                    <w:rPr>
                                      <w:sz w:val="16"/>
                                    </w:rPr>
                                  </w:pPr>
                                  <w:r>
                                    <w:rPr>
                                      <w:spacing w:val="-10"/>
                                      <w:sz w:val="16"/>
                                    </w:rPr>
                                    <w:t>$</w:t>
                                  </w:r>
                                  <w:r>
                                    <w:rPr>
                                      <w:sz w:val="16"/>
                                    </w:rPr>
                                    <w:tab/>
                                  </w:r>
                                  <w:r>
                                    <w:rPr>
                                      <w:spacing w:val="-2"/>
                                      <w:sz w:val="16"/>
                                    </w:rPr>
                                    <w:t>29,494</w:t>
                                  </w:r>
                                </w:p>
                              </w:tc>
                              <w:tc>
                                <w:tcPr>
                                  <w:tcW w:w="943" w:type="dxa"/>
                                  <w:tcBorders>
                                    <w:top w:val="single" w:sz="8" w:space="0" w:color="6C6C6C"/>
                                  </w:tcBorders>
                                </w:tcPr>
                                <w:p>
                                  <w:pPr>
                                    <w:pStyle w:val="TableParagraph"/>
                                    <w:rPr>
                                      <w:rFonts w:ascii="Times New Roman"/>
                                      <w:sz w:val="14"/>
                                    </w:rPr>
                                  </w:pPr>
                                </w:p>
                              </w:tc>
                              <w:tc>
                                <w:tcPr>
                                  <w:tcW w:w="432" w:type="dxa"/>
                                  <w:tcBorders>
                                    <w:top w:val="single" w:sz="8" w:space="0" w:color="6C6C6C"/>
                                  </w:tcBorders>
                                </w:tcPr>
                                <w:p>
                                  <w:pPr>
                                    <w:pStyle w:val="TableParagraph"/>
                                    <w:spacing w:before="5"/>
                                    <w:ind w:left="39"/>
                                    <w:rPr>
                                      <w:sz w:val="16"/>
                                    </w:rPr>
                                  </w:pPr>
                                  <w:r>
                                    <w:rPr>
                                      <w:sz w:val="16"/>
                                    </w:rPr>
                                    <w:t>38</w:t>
                                  </w:r>
                                  <w:r>
                                    <w:rPr>
                                      <w:spacing w:val="7"/>
                                      <w:sz w:val="16"/>
                                    </w:rPr>
                                    <w:t> </w:t>
                                  </w:r>
                                  <w:r>
                                    <w:rPr>
                                      <w:spacing w:val="-10"/>
                                      <w:sz w:val="16"/>
                                    </w:rPr>
                                    <w:t>%</w:t>
                                  </w:r>
                                </w:p>
                              </w:tc>
                            </w:tr>
                            <w:tr>
                              <w:trPr>
                                <w:trHeight w:val="225" w:hRule="atLeast"/>
                              </w:trPr>
                              <w:tc>
                                <w:tcPr>
                                  <w:tcW w:w="2460" w:type="dxa"/>
                                </w:tcPr>
                                <w:p>
                                  <w:pPr>
                                    <w:pStyle w:val="TableParagraph"/>
                                    <w:spacing w:before="18"/>
                                    <w:ind w:left="52"/>
                                    <w:rPr>
                                      <w:sz w:val="16"/>
                                    </w:rPr>
                                  </w:pPr>
                                  <w:r>
                                    <w:rPr>
                                      <w:spacing w:val="-5"/>
                                      <w:sz w:val="16"/>
                                    </w:rPr>
                                    <w:t>AA</w:t>
                                  </w:r>
                                </w:p>
                              </w:tc>
                              <w:tc>
                                <w:tcPr>
                                  <w:tcW w:w="1323" w:type="dxa"/>
                                </w:tcPr>
                                <w:p>
                                  <w:pPr>
                                    <w:pStyle w:val="TableParagraph"/>
                                    <w:spacing w:before="18"/>
                                    <w:ind w:right="93"/>
                                    <w:jc w:val="right"/>
                                    <w:rPr>
                                      <w:sz w:val="16"/>
                                    </w:rPr>
                                  </w:pPr>
                                  <w:r>
                                    <w:rPr>
                                      <w:spacing w:val="-5"/>
                                      <w:sz w:val="16"/>
                                    </w:rPr>
                                    <w:t>156</w:t>
                                  </w:r>
                                </w:p>
                              </w:tc>
                              <w:tc>
                                <w:tcPr>
                                  <w:tcW w:w="1483" w:type="dxa"/>
                                </w:tcPr>
                                <w:p>
                                  <w:pPr>
                                    <w:pStyle w:val="TableParagraph"/>
                                    <w:spacing w:before="18"/>
                                    <w:ind w:right="76"/>
                                    <w:jc w:val="right"/>
                                    <w:rPr>
                                      <w:sz w:val="16"/>
                                    </w:rPr>
                                  </w:pPr>
                                  <w:r>
                                    <w:rPr>
                                      <w:spacing w:val="-2"/>
                                      <w:sz w:val="16"/>
                                    </w:rPr>
                                    <w:t>31,763</w:t>
                                  </w:r>
                                </w:p>
                              </w:tc>
                              <w:tc>
                                <w:tcPr>
                                  <w:tcW w:w="1388" w:type="dxa"/>
                                </w:tcPr>
                                <w:p>
                                  <w:pPr>
                                    <w:pStyle w:val="TableParagraph"/>
                                    <w:spacing w:before="18"/>
                                    <w:ind w:right="99"/>
                                    <w:jc w:val="right"/>
                                    <w:rPr>
                                      <w:sz w:val="16"/>
                                    </w:rPr>
                                  </w:pPr>
                                  <w:r>
                                    <w:rPr>
                                      <w:spacing w:val="-5"/>
                                      <w:sz w:val="16"/>
                                    </w:rPr>
                                    <w:t>19</w:t>
                                  </w:r>
                                </w:p>
                              </w:tc>
                              <w:tc>
                                <w:tcPr>
                                  <w:tcW w:w="1335" w:type="dxa"/>
                                </w:tcPr>
                                <w:p>
                                  <w:pPr>
                                    <w:pStyle w:val="TableParagraph"/>
                                    <w:spacing w:before="18"/>
                                    <w:ind w:right="69"/>
                                    <w:jc w:val="right"/>
                                    <w:rPr>
                                      <w:sz w:val="16"/>
                                    </w:rPr>
                                  </w:pPr>
                                  <w:r>
                                    <w:rPr>
                                      <w:spacing w:val="-2"/>
                                      <w:sz w:val="16"/>
                                    </w:rPr>
                                    <w:t>31,938</w:t>
                                  </w:r>
                                </w:p>
                              </w:tc>
                              <w:tc>
                                <w:tcPr>
                                  <w:tcW w:w="943" w:type="dxa"/>
                                </w:tcPr>
                                <w:p>
                                  <w:pPr>
                                    <w:pStyle w:val="TableParagraph"/>
                                    <w:rPr>
                                      <w:rFonts w:ascii="Times New Roman"/>
                                      <w:sz w:val="16"/>
                                    </w:rPr>
                                  </w:pPr>
                                </w:p>
                              </w:tc>
                              <w:tc>
                                <w:tcPr>
                                  <w:tcW w:w="432" w:type="dxa"/>
                                </w:tcPr>
                                <w:p>
                                  <w:pPr>
                                    <w:pStyle w:val="TableParagraph"/>
                                    <w:spacing w:before="18"/>
                                    <w:ind w:left="39"/>
                                    <w:rPr>
                                      <w:sz w:val="16"/>
                                    </w:rPr>
                                  </w:pPr>
                                  <w:r>
                                    <w:rPr>
                                      <w:spacing w:val="-5"/>
                                      <w:sz w:val="16"/>
                                    </w:rPr>
                                    <w:t>41</w:t>
                                  </w:r>
                                </w:p>
                              </w:tc>
                            </w:tr>
                            <w:tr>
                              <w:trPr>
                                <w:trHeight w:val="225" w:hRule="atLeast"/>
                              </w:trPr>
                              <w:tc>
                                <w:tcPr>
                                  <w:tcW w:w="2460" w:type="dxa"/>
                                </w:tcPr>
                                <w:p>
                                  <w:pPr>
                                    <w:pStyle w:val="TableParagraph"/>
                                    <w:spacing w:before="18"/>
                                    <w:ind w:left="52"/>
                                    <w:rPr>
                                      <w:sz w:val="16"/>
                                    </w:rPr>
                                  </w:pPr>
                                  <w:r>
                                    <w:rPr>
                                      <w:spacing w:val="-10"/>
                                      <w:sz w:val="16"/>
                                    </w:rPr>
                                    <w:t>A</w:t>
                                  </w:r>
                                </w:p>
                              </w:tc>
                              <w:tc>
                                <w:tcPr>
                                  <w:tcW w:w="1323" w:type="dxa"/>
                                </w:tcPr>
                                <w:p>
                                  <w:pPr>
                                    <w:pStyle w:val="TableParagraph"/>
                                    <w:spacing w:before="18"/>
                                    <w:ind w:right="93"/>
                                    <w:jc w:val="right"/>
                                    <w:rPr>
                                      <w:sz w:val="16"/>
                                    </w:rPr>
                                  </w:pPr>
                                  <w:r>
                                    <w:rPr>
                                      <w:spacing w:val="-2"/>
                                      <w:sz w:val="16"/>
                                    </w:rPr>
                                    <w:t>7,096</w:t>
                                  </w:r>
                                </w:p>
                              </w:tc>
                              <w:tc>
                                <w:tcPr>
                                  <w:tcW w:w="1483" w:type="dxa"/>
                                </w:tcPr>
                                <w:p>
                                  <w:pPr>
                                    <w:pStyle w:val="TableParagraph"/>
                                    <w:spacing w:before="18"/>
                                    <w:ind w:right="76"/>
                                    <w:jc w:val="right"/>
                                    <w:rPr>
                                      <w:sz w:val="16"/>
                                    </w:rPr>
                                  </w:pPr>
                                  <w:r>
                                    <w:rPr>
                                      <w:spacing w:val="-2"/>
                                      <w:sz w:val="16"/>
                                    </w:rPr>
                                    <w:t>8,711</w:t>
                                  </w:r>
                                </w:p>
                              </w:tc>
                              <w:tc>
                                <w:tcPr>
                                  <w:tcW w:w="1388" w:type="dxa"/>
                                </w:tcPr>
                                <w:p>
                                  <w:pPr>
                                    <w:pStyle w:val="TableParagraph"/>
                                    <w:spacing w:before="18"/>
                                    <w:ind w:right="99"/>
                                    <w:jc w:val="right"/>
                                    <w:rPr>
                                      <w:sz w:val="16"/>
                                    </w:rPr>
                                  </w:pPr>
                                  <w:r>
                                    <w:rPr>
                                      <w:spacing w:val="-5"/>
                                      <w:sz w:val="16"/>
                                    </w:rPr>
                                    <w:t>135</w:t>
                                  </w:r>
                                </w:p>
                              </w:tc>
                              <w:tc>
                                <w:tcPr>
                                  <w:tcW w:w="1335" w:type="dxa"/>
                                </w:tcPr>
                                <w:p>
                                  <w:pPr>
                                    <w:pStyle w:val="TableParagraph"/>
                                    <w:spacing w:before="18"/>
                                    <w:ind w:right="69"/>
                                    <w:jc w:val="right"/>
                                    <w:rPr>
                                      <w:sz w:val="16"/>
                                    </w:rPr>
                                  </w:pPr>
                                  <w:r>
                                    <w:rPr>
                                      <w:spacing w:val="-2"/>
                                      <w:sz w:val="16"/>
                                    </w:rPr>
                                    <w:t>15,942</w:t>
                                  </w:r>
                                </w:p>
                              </w:tc>
                              <w:tc>
                                <w:tcPr>
                                  <w:tcW w:w="943" w:type="dxa"/>
                                </w:tcPr>
                                <w:p>
                                  <w:pPr>
                                    <w:pStyle w:val="TableParagraph"/>
                                    <w:rPr>
                                      <w:rFonts w:ascii="Times New Roman"/>
                                      <w:sz w:val="16"/>
                                    </w:rPr>
                                  </w:pPr>
                                </w:p>
                              </w:tc>
                              <w:tc>
                                <w:tcPr>
                                  <w:tcW w:w="432" w:type="dxa"/>
                                </w:tcPr>
                                <w:p>
                                  <w:pPr>
                                    <w:pStyle w:val="TableParagraph"/>
                                    <w:spacing w:before="18"/>
                                    <w:ind w:left="39"/>
                                    <w:rPr>
                                      <w:sz w:val="16"/>
                                    </w:rPr>
                                  </w:pPr>
                                  <w:r>
                                    <w:rPr>
                                      <w:spacing w:val="-5"/>
                                      <w:sz w:val="16"/>
                                    </w:rPr>
                                    <w:t>21</w:t>
                                  </w:r>
                                </w:p>
                              </w:tc>
                            </w:tr>
                            <w:tr>
                              <w:trPr>
                                <w:trHeight w:val="225" w:hRule="atLeast"/>
                              </w:trPr>
                              <w:tc>
                                <w:tcPr>
                                  <w:tcW w:w="2460" w:type="dxa"/>
                                </w:tcPr>
                                <w:p>
                                  <w:pPr>
                                    <w:pStyle w:val="TableParagraph"/>
                                    <w:spacing w:before="18"/>
                                    <w:ind w:left="52"/>
                                    <w:rPr>
                                      <w:sz w:val="16"/>
                                    </w:rPr>
                                  </w:pPr>
                                  <w:r>
                                    <w:rPr>
                                      <w:spacing w:val="-5"/>
                                      <w:sz w:val="16"/>
                                    </w:rPr>
                                    <w:t>BBB</w:t>
                                  </w:r>
                                </w:p>
                              </w:tc>
                              <w:tc>
                                <w:tcPr>
                                  <w:tcW w:w="1323" w:type="dxa"/>
                                </w:tcPr>
                                <w:p>
                                  <w:pPr>
                                    <w:pStyle w:val="TableParagraph"/>
                                    <w:spacing w:before="18"/>
                                    <w:ind w:right="93"/>
                                    <w:jc w:val="right"/>
                                    <w:rPr>
                                      <w:sz w:val="16"/>
                                    </w:rPr>
                                  </w:pPr>
                                  <w:r>
                                    <w:rPr>
                                      <w:spacing w:val="-10"/>
                                      <w:sz w:val="16"/>
                                    </w:rPr>
                                    <w:t>3</w:t>
                                  </w:r>
                                </w:p>
                              </w:tc>
                              <w:tc>
                                <w:tcPr>
                                  <w:tcW w:w="1483" w:type="dxa"/>
                                </w:tcPr>
                                <w:p>
                                  <w:pPr>
                                    <w:pStyle w:val="TableParagraph"/>
                                    <w:spacing w:before="18"/>
                                    <w:ind w:right="76"/>
                                    <w:jc w:val="right"/>
                                    <w:rPr>
                                      <w:sz w:val="16"/>
                                    </w:rPr>
                                  </w:pPr>
                                  <w:r>
                                    <w:rPr>
                                      <w:spacing w:val="-5"/>
                                      <w:sz w:val="16"/>
                                    </w:rPr>
                                    <w:t>35</w:t>
                                  </w:r>
                                </w:p>
                              </w:tc>
                              <w:tc>
                                <w:tcPr>
                                  <w:tcW w:w="1388" w:type="dxa"/>
                                </w:tcPr>
                                <w:p>
                                  <w:pPr>
                                    <w:pStyle w:val="TableParagraph"/>
                                    <w:spacing w:before="18"/>
                                    <w:ind w:right="99"/>
                                    <w:jc w:val="right"/>
                                    <w:rPr>
                                      <w:sz w:val="16"/>
                                    </w:rPr>
                                  </w:pPr>
                                  <w:r>
                                    <w:rPr>
                                      <w:sz w:val="16"/>
                                    </w:rPr>
                                    <w:t>—</w:t>
                                  </w:r>
                                </w:p>
                              </w:tc>
                              <w:tc>
                                <w:tcPr>
                                  <w:tcW w:w="1335" w:type="dxa"/>
                                </w:tcPr>
                                <w:p>
                                  <w:pPr>
                                    <w:pStyle w:val="TableParagraph"/>
                                    <w:spacing w:before="18"/>
                                    <w:ind w:right="69"/>
                                    <w:jc w:val="right"/>
                                    <w:rPr>
                                      <w:sz w:val="16"/>
                                    </w:rPr>
                                  </w:pPr>
                                  <w:r>
                                    <w:rPr>
                                      <w:spacing w:val="-5"/>
                                      <w:sz w:val="16"/>
                                    </w:rPr>
                                    <w:t>38</w:t>
                                  </w:r>
                                </w:p>
                              </w:tc>
                              <w:tc>
                                <w:tcPr>
                                  <w:tcW w:w="943" w:type="dxa"/>
                                </w:tcPr>
                                <w:p>
                                  <w:pPr>
                                    <w:pStyle w:val="TableParagraph"/>
                                    <w:rPr>
                                      <w:rFonts w:ascii="Times New Roman"/>
                                      <w:sz w:val="16"/>
                                    </w:rPr>
                                  </w:pPr>
                                </w:p>
                              </w:tc>
                              <w:tc>
                                <w:tcPr>
                                  <w:tcW w:w="432" w:type="dxa"/>
                                </w:tcPr>
                                <w:p>
                                  <w:pPr>
                                    <w:pStyle w:val="TableParagraph"/>
                                    <w:spacing w:before="18"/>
                                    <w:ind w:left="230"/>
                                    <w:rPr>
                                      <w:sz w:val="16"/>
                                    </w:rPr>
                                  </w:pPr>
                                  <w:r>
                                    <w:rPr>
                                      <w:spacing w:val="-10"/>
                                      <w:sz w:val="16"/>
                                    </w:rPr>
                                    <w:t>*</w:t>
                                  </w:r>
                                </w:p>
                              </w:tc>
                            </w:tr>
                            <w:tr>
                              <w:trPr>
                                <w:trHeight w:val="217" w:hRule="atLeast"/>
                              </w:trPr>
                              <w:tc>
                                <w:tcPr>
                                  <w:tcW w:w="2460" w:type="dxa"/>
                                </w:tcPr>
                                <w:p>
                                  <w:pPr>
                                    <w:pStyle w:val="TableParagraph"/>
                                    <w:spacing w:line="180" w:lineRule="exact" w:before="18"/>
                                    <w:ind w:left="52"/>
                                    <w:rPr>
                                      <w:sz w:val="16"/>
                                    </w:rPr>
                                  </w:pPr>
                                  <w:r>
                                    <w:rPr>
                                      <w:sz w:val="16"/>
                                    </w:rPr>
                                    <w:t>BB</w:t>
                                  </w:r>
                                  <w:r>
                                    <w:rPr>
                                      <w:spacing w:val="-1"/>
                                      <w:sz w:val="16"/>
                                    </w:rPr>
                                    <w:t> </w:t>
                                  </w:r>
                                  <w:r>
                                    <w:rPr>
                                      <w:sz w:val="16"/>
                                    </w:rPr>
                                    <w:t>or </w:t>
                                  </w:r>
                                  <w:r>
                                    <w:rPr>
                                      <w:spacing w:val="-2"/>
                                      <w:sz w:val="16"/>
                                    </w:rPr>
                                    <w:t>lower/unrated</w:t>
                                  </w:r>
                                </w:p>
                              </w:tc>
                              <w:tc>
                                <w:tcPr>
                                  <w:tcW w:w="1323" w:type="dxa"/>
                                  <w:tcBorders>
                                    <w:bottom w:val="single" w:sz="8" w:space="0" w:color="6C6C6C"/>
                                  </w:tcBorders>
                                </w:tcPr>
                                <w:p>
                                  <w:pPr>
                                    <w:pStyle w:val="TableParagraph"/>
                                    <w:spacing w:line="180" w:lineRule="exact" w:before="18"/>
                                    <w:ind w:right="93"/>
                                    <w:jc w:val="right"/>
                                    <w:rPr>
                                      <w:sz w:val="16"/>
                                    </w:rPr>
                                  </w:pPr>
                                  <w:r>
                                    <w:rPr>
                                      <w:sz w:val="16"/>
                                    </w:rPr>
                                    <w:t>—</w:t>
                                  </w:r>
                                </w:p>
                              </w:tc>
                              <w:tc>
                                <w:tcPr>
                                  <w:tcW w:w="1483" w:type="dxa"/>
                                  <w:tcBorders>
                                    <w:bottom w:val="single" w:sz="8" w:space="0" w:color="6C6C6C"/>
                                  </w:tcBorders>
                                </w:tcPr>
                                <w:p>
                                  <w:pPr>
                                    <w:pStyle w:val="TableParagraph"/>
                                    <w:spacing w:line="180" w:lineRule="exact" w:before="18"/>
                                    <w:ind w:right="76"/>
                                    <w:jc w:val="right"/>
                                    <w:rPr>
                                      <w:sz w:val="16"/>
                                    </w:rPr>
                                  </w:pPr>
                                  <w:r>
                                    <w:rPr>
                                      <w:spacing w:val="-10"/>
                                      <w:sz w:val="16"/>
                                    </w:rPr>
                                    <w:t>3</w:t>
                                  </w:r>
                                </w:p>
                              </w:tc>
                              <w:tc>
                                <w:tcPr>
                                  <w:tcW w:w="1388" w:type="dxa"/>
                                  <w:tcBorders>
                                    <w:bottom w:val="single" w:sz="8" w:space="0" w:color="6C6C6C"/>
                                  </w:tcBorders>
                                </w:tcPr>
                                <w:p>
                                  <w:pPr>
                                    <w:pStyle w:val="TableParagraph"/>
                                    <w:spacing w:line="180" w:lineRule="exact" w:before="18"/>
                                    <w:ind w:right="99"/>
                                    <w:jc w:val="right"/>
                                    <w:rPr>
                                      <w:sz w:val="16"/>
                                    </w:rPr>
                                  </w:pPr>
                                  <w:r>
                                    <w:rPr>
                                      <w:spacing w:val="-10"/>
                                      <w:sz w:val="16"/>
                                    </w:rPr>
                                    <w:t>2</w:t>
                                  </w:r>
                                </w:p>
                              </w:tc>
                              <w:tc>
                                <w:tcPr>
                                  <w:tcW w:w="1335" w:type="dxa"/>
                                  <w:tcBorders>
                                    <w:bottom w:val="single" w:sz="8" w:space="0" w:color="6C6C6C"/>
                                  </w:tcBorders>
                                </w:tcPr>
                                <w:p>
                                  <w:pPr>
                                    <w:pStyle w:val="TableParagraph"/>
                                    <w:spacing w:line="180" w:lineRule="exact" w:before="18"/>
                                    <w:ind w:right="69"/>
                                    <w:jc w:val="right"/>
                                    <w:rPr>
                                      <w:sz w:val="16"/>
                                    </w:rPr>
                                  </w:pPr>
                                  <w:r>
                                    <w:rPr>
                                      <w:spacing w:val="-10"/>
                                      <w:sz w:val="16"/>
                                    </w:rPr>
                                    <w:t>5</w:t>
                                  </w:r>
                                </w:p>
                              </w:tc>
                              <w:tc>
                                <w:tcPr>
                                  <w:tcW w:w="943" w:type="dxa"/>
                                  <w:tcBorders>
                                    <w:bottom w:val="single" w:sz="8" w:space="0" w:color="000000"/>
                                  </w:tcBorders>
                                </w:tcPr>
                                <w:p>
                                  <w:pPr>
                                    <w:pStyle w:val="TableParagraph"/>
                                    <w:rPr>
                                      <w:rFonts w:ascii="Times New Roman"/>
                                      <w:sz w:val="14"/>
                                    </w:rPr>
                                  </w:pPr>
                                </w:p>
                              </w:tc>
                              <w:tc>
                                <w:tcPr>
                                  <w:tcW w:w="432" w:type="dxa"/>
                                  <w:tcBorders>
                                    <w:bottom w:val="single" w:sz="8" w:space="0" w:color="000000"/>
                                  </w:tcBorders>
                                </w:tcPr>
                                <w:p>
                                  <w:pPr>
                                    <w:pStyle w:val="TableParagraph"/>
                                    <w:spacing w:line="180" w:lineRule="exact" w:before="18"/>
                                    <w:ind w:left="230"/>
                                    <w:rPr>
                                      <w:sz w:val="16"/>
                                    </w:rPr>
                                  </w:pPr>
                                  <w:r>
                                    <w:rPr>
                                      <w:spacing w:val="-10"/>
                                      <w:sz w:val="16"/>
                                    </w:rPr>
                                    <w:t>*</w:t>
                                  </w:r>
                                </w:p>
                              </w:tc>
                            </w:tr>
                            <w:tr>
                              <w:trPr>
                                <w:trHeight w:val="225" w:hRule="atLeast"/>
                              </w:trPr>
                              <w:tc>
                                <w:tcPr>
                                  <w:tcW w:w="2460" w:type="dxa"/>
                                </w:tcPr>
                                <w:p>
                                  <w:pPr>
                                    <w:pStyle w:val="TableParagraph"/>
                                    <w:spacing w:before="5"/>
                                    <w:ind w:left="52"/>
                                    <w:rPr>
                                      <w:rFonts w:ascii="Arial"/>
                                      <w:b/>
                                      <w:sz w:val="16"/>
                                    </w:rPr>
                                  </w:pPr>
                                  <w:r>
                                    <w:rPr>
                                      <w:rFonts w:ascii="Arial"/>
                                      <w:b/>
                                      <w:spacing w:val="-2"/>
                                      <w:sz w:val="16"/>
                                    </w:rPr>
                                    <w:t>Total</w:t>
                                  </w:r>
                                </w:p>
                              </w:tc>
                              <w:tc>
                                <w:tcPr>
                                  <w:tcW w:w="5529" w:type="dxa"/>
                                  <w:gridSpan w:val="4"/>
                                  <w:tcBorders>
                                    <w:bottom w:val="single" w:sz="8" w:space="0" w:color="6C6C6C"/>
                                  </w:tcBorders>
                                </w:tcPr>
                                <w:p>
                                  <w:pPr>
                                    <w:pStyle w:val="TableParagraph"/>
                                    <w:tabs>
                                      <w:tab w:pos="739" w:val="left" w:leader="none"/>
                                      <w:tab w:pos="2239" w:val="left" w:leader="none"/>
                                      <w:tab w:pos="3825" w:val="left" w:leader="none"/>
                                      <w:tab w:pos="4969" w:val="left" w:leader="none"/>
                                    </w:tabs>
                                    <w:spacing w:before="5"/>
                                    <w:rPr>
                                      <w:rFonts w:ascii="Arial"/>
                                      <w:b/>
                                      <w:sz w:val="16"/>
                                    </w:rPr>
                                  </w:pPr>
                                  <w:r>
                                    <w:rPr>
                                      <w:rFonts w:ascii="Arial"/>
                                      <w:b/>
                                      <w:spacing w:val="12"/>
                                      <w:sz w:val="16"/>
                                      <w:u w:val="single" w:color="6C6C6C"/>
                                    </w:rPr>
                                    <w:t> </w:t>
                                  </w:r>
                                  <w:r>
                                    <w:rPr>
                                      <w:rFonts w:ascii="Arial"/>
                                      <w:b/>
                                      <w:spacing w:val="-10"/>
                                      <w:sz w:val="16"/>
                                      <w:u w:val="single" w:color="6C6C6C"/>
                                    </w:rPr>
                                    <w:t>$</w:t>
                                  </w:r>
                                  <w:r>
                                    <w:rPr>
                                      <w:rFonts w:ascii="Arial"/>
                                      <w:b/>
                                      <w:sz w:val="16"/>
                                      <w:u w:val="single" w:color="6C6C6C"/>
                                    </w:rPr>
                                    <w:tab/>
                                    <w:t>28,592</w:t>
                                  </w:r>
                                  <w:r>
                                    <w:rPr>
                                      <w:rFonts w:ascii="Arial"/>
                                      <w:b/>
                                      <w:spacing w:val="47"/>
                                      <w:sz w:val="16"/>
                                      <w:u w:val="single" w:color="6C6C6C"/>
                                    </w:rPr>
                                    <w:t>  </w:t>
                                  </w:r>
                                  <w:r>
                                    <w:rPr>
                                      <w:rFonts w:ascii="Arial"/>
                                      <w:b/>
                                      <w:spacing w:val="-10"/>
                                      <w:sz w:val="16"/>
                                      <w:u w:val="single" w:color="6C6C6C"/>
                                    </w:rPr>
                                    <w:t>$</w:t>
                                  </w:r>
                                  <w:r>
                                    <w:rPr>
                                      <w:rFonts w:ascii="Arial"/>
                                      <w:b/>
                                      <w:sz w:val="16"/>
                                      <w:u w:val="single" w:color="6C6C6C"/>
                                    </w:rPr>
                                    <w:tab/>
                                    <w:t>48,669</w:t>
                                  </w:r>
                                  <w:r>
                                    <w:rPr>
                                      <w:rFonts w:ascii="Arial"/>
                                      <w:b/>
                                      <w:spacing w:val="47"/>
                                      <w:sz w:val="16"/>
                                      <w:u w:val="single" w:color="6C6C6C"/>
                                    </w:rPr>
                                    <w:t>  </w:t>
                                  </w:r>
                                  <w:r>
                                    <w:rPr>
                                      <w:rFonts w:ascii="Arial"/>
                                      <w:b/>
                                      <w:spacing w:val="-10"/>
                                      <w:sz w:val="16"/>
                                      <w:u w:val="single" w:color="6C6C6C"/>
                                    </w:rPr>
                                    <w:t>$</w:t>
                                  </w:r>
                                  <w:r>
                                    <w:rPr>
                                      <w:rFonts w:ascii="Arial"/>
                                      <w:b/>
                                      <w:sz w:val="16"/>
                                      <w:u w:val="single" w:color="6C6C6C"/>
                                    </w:rPr>
                                    <w:tab/>
                                    <w:t>156</w:t>
                                  </w:r>
                                  <w:r>
                                    <w:rPr>
                                      <w:rFonts w:ascii="Arial"/>
                                      <w:b/>
                                      <w:spacing w:val="49"/>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77,417</w:t>
                                  </w:r>
                                </w:p>
                              </w:tc>
                              <w:tc>
                                <w:tcPr>
                                  <w:tcW w:w="1375" w:type="dxa"/>
                                  <w:gridSpan w:val="2"/>
                                  <w:tcBorders>
                                    <w:bottom w:val="single" w:sz="8" w:space="0" w:color="000000"/>
                                  </w:tcBorders>
                                </w:tcPr>
                                <w:p>
                                  <w:pPr>
                                    <w:pStyle w:val="TableParagraph"/>
                                    <w:tabs>
                                      <w:tab w:pos="894" w:val="left" w:leader="none"/>
                                    </w:tabs>
                                    <w:spacing w:before="5"/>
                                    <w:ind w:left="66"/>
                                    <w:rPr>
                                      <w:rFonts w:ascii="Arial"/>
                                      <w:b/>
                                      <w:sz w:val="16"/>
                                    </w:rPr>
                                  </w:pPr>
                                  <w:r>
                                    <w:rPr>
                                      <w:rFonts w:ascii="Times New Roman"/>
                                      <w:sz w:val="16"/>
                                      <w:u w:val="single"/>
                                    </w:rPr>
                                    <w:tab/>
                                  </w:r>
                                  <w:r>
                                    <w:rPr>
                                      <w:rFonts w:ascii="Arial"/>
                                      <w:b/>
                                      <w:sz w:val="16"/>
                                      <w:u w:val="single"/>
                                    </w:rPr>
                                    <w:t>100</w:t>
                                  </w:r>
                                  <w:r>
                                    <w:rPr>
                                      <w:rFonts w:ascii="Arial"/>
                                      <w:b/>
                                      <w:spacing w:val="4"/>
                                      <w:sz w:val="16"/>
                                      <w:u w:val="single"/>
                                    </w:rPr>
                                    <w:t> </w:t>
                                  </w:r>
                                  <w:r>
                                    <w:rPr>
                                      <w:rFonts w:ascii="Arial"/>
                                      <w:b/>
                                      <w:spacing w:val="-10"/>
                                      <w:sz w:val="16"/>
                                      <w:u w:val="single"/>
                                    </w:rPr>
                                    <w:t>%</w:t>
                                  </w:r>
                                </w:p>
                              </w:tc>
                            </w:tr>
                          </w:tbl>
                          <w:p>
                            <w:pPr>
                              <w:pStyle w:val="BodyText"/>
                            </w:pPr>
                          </w:p>
                        </w:txbxContent>
                      </wps:txbx>
                      <wps:bodyPr wrap="square" lIns="0" tIns="0" rIns="0" bIns="0" rtlCol="0">
                        <a:noAutofit/>
                      </wps:bodyPr>
                    </wps:wsp>
                  </a:graphicData>
                </a:graphic>
              </wp:anchor>
            </w:drawing>
          </mc:Choice>
          <mc:Fallback>
            <w:pict>
              <v:shape style="position:absolute;margin-left:69pt;margin-top:-9.548437pt;width:474pt;height:89.7pt;mso-position-horizontal-relative:page;mso-position-vertical-relative:paragraph;z-index:15798272" type="#_x0000_t202" id="docshape4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1323"/>
                        <w:gridCol w:w="1483"/>
                        <w:gridCol w:w="1388"/>
                        <w:gridCol w:w="1335"/>
                        <w:gridCol w:w="943"/>
                        <w:gridCol w:w="432"/>
                      </w:tblGrid>
                      <w:tr>
                        <w:trPr>
                          <w:trHeight w:val="385" w:hRule="atLeast"/>
                        </w:trPr>
                        <w:tc>
                          <w:tcPr>
                            <w:tcW w:w="2460" w:type="dxa"/>
                            <w:tcBorders>
                              <w:bottom w:val="single" w:sz="8" w:space="0" w:color="6C6C6C"/>
                            </w:tcBorders>
                          </w:tcPr>
                          <w:p>
                            <w:pPr>
                              <w:pStyle w:val="TableParagraph"/>
                              <w:spacing w:line="183" w:lineRule="exact" w:before="181"/>
                              <w:ind w:left="114"/>
                              <w:rPr>
                                <w:rFonts w:ascii="Arial"/>
                                <w:i/>
                                <w:sz w:val="16"/>
                              </w:rPr>
                            </w:pPr>
                            <w:r>
                              <w:rPr>
                                <w:rFonts w:ascii="Arial"/>
                                <w:i/>
                                <w:color w:val="484848"/>
                                <w:sz w:val="16"/>
                              </w:rPr>
                              <w:t>Counterparty</w:t>
                            </w:r>
                            <w:r>
                              <w:rPr>
                                <w:rFonts w:ascii="Arial"/>
                                <w:i/>
                                <w:color w:val="484848"/>
                                <w:spacing w:val="-6"/>
                                <w:sz w:val="16"/>
                              </w:rPr>
                              <w:t> </w:t>
                            </w:r>
                            <w:r>
                              <w:rPr>
                                <w:rFonts w:ascii="Arial"/>
                                <w:i/>
                                <w:color w:val="484848"/>
                                <w:sz w:val="16"/>
                              </w:rPr>
                              <w:t>Rating</w:t>
                            </w:r>
                            <w:r>
                              <w:rPr>
                                <w:rFonts w:ascii="Arial"/>
                                <w:i/>
                                <w:color w:val="484848"/>
                                <w:spacing w:val="-7"/>
                                <w:sz w:val="16"/>
                              </w:rPr>
                              <w:t> </w:t>
                            </w:r>
                            <w:r>
                              <w:rPr>
                                <w:rFonts w:ascii="Arial"/>
                                <w:i/>
                                <w:color w:val="484848"/>
                                <w:spacing w:val="-10"/>
                                <w:sz w:val="16"/>
                                <w:vertAlign w:val="superscript"/>
                              </w:rPr>
                              <w:t>a</w:t>
                            </w:r>
                          </w:p>
                        </w:tc>
                        <w:tc>
                          <w:tcPr>
                            <w:tcW w:w="1323" w:type="dxa"/>
                            <w:tcBorders>
                              <w:top w:val="single" w:sz="8" w:space="0" w:color="6C6C6C"/>
                              <w:bottom w:val="single" w:sz="8" w:space="0" w:color="6C6C6C"/>
                            </w:tcBorders>
                          </w:tcPr>
                          <w:p>
                            <w:pPr>
                              <w:pStyle w:val="TableParagraph"/>
                              <w:spacing w:line="183" w:lineRule="exact" w:before="181"/>
                              <w:ind w:left="252"/>
                              <w:rPr>
                                <w:rFonts w:ascii="Arial"/>
                                <w:i/>
                                <w:sz w:val="16"/>
                              </w:rPr>
                            </w:pPr>
                            <w:r>
                              <w:rPr>
                                <w:rFonts w:ascii="Arial"/>
                                <w:i/>
                                <w:color w:val="484848"/>
                                <w:spacing w:val="-2"/>
                                <w:sz w:val="16"/>
                              </w:rPr>
                              <w:t>Sovereigns</w:t>
                            </w:r>
                          </w:p>
                        </w:tc>
                        <w:tc>
                          <w:tcPr>
                            <w:tcW w:w="1483" w:type="dxa"/>
                            <w:tcBorders>
                              <w:top w:val="single" w:sz="8" w:space="0" w:color="6C6C6C"/>
                              <w:bottom w:val="single" w:sz="8" w:space="0" w:color="6C6C6C"/>
                            </w:tcBorders>
                          </w:tcPr>
                          <w:p>
                            <w:pPr>
                              <w:pStyle w:val="TableParagraph"/>
                              <w:spacing w:line="183" w:lineRule="exact" w:before="181"/>
                              <w:ind w:left="189"/>
                              <w:rPr>
                                <w:rFonts w:ascii="Arial"/>
                                <w:i/>
                                <w:sz w:val="16"/>
                              </w:rPr>
                            </w:pPr>
                            <w:r>
                              <w:rPr>
                                <w:rFonts w:ascii="Arial"/>
                                <w:i/>
                                <w:color w:val="484848"/>
                                <w:spacing w:val="-2"/>
                                <w:sz w:val="16"/>
                              </w:rPr>
                              <w:t>Non-Sovereigns</w:t>
                            </w:r>
                          </w:p>
                        </w:tc>
                        <w:tc>
                          <w:tcPr>
                            <w:tcW w:w="1388" w:type="dxa"/>
                            <w:tcBorders>
                              <w:bottom w:val="single" w:sz="8" w:space="0" w:color="6C6C6C"/>
                            </w:tcBorders>
                          </w:tcPr>
                          <w:p>
                            <w:pPr>
                              <w:pStyle w:val="TableParagraph"/>
                              <w:spacing w:line="208" w:lineRule="auto" w:before="41"/>
                              <w:ind w:left="374" w:right="321" w:hanging="9"/>
                              <w:rPr>
                                <w:rFonts w:ascii="Arial"/>
                                <w:i/>
                                <w:sz w:val="16"/>
                              </w:rPr>
                            </w:pPr>
                            <w:r>
                              <w:rPr>
                                <w:rFonts w:ascii="Arial"/>
                                <w:i/>
                                <w:color w:val="484848"/>
                                <w:sz w:val="16"/>
                              </w:rPr>
                              <w:t>Net</w:t>
                            </w:r>
                            <w:r>
                              <w:rPr>
                                <w:rFonts w:ascii="Arial"/>
                                <w:i/>
                                <w:color w:val="484848"/>
                                <w:spacing w:val="-12"/>
                                <w:sz w:val="16"/>
                              </w:rPr>
                              <w:t> </w:t>
                            </w:r>
                            <w:r>
                              <w:rPr>
                                <w:rFonts w:ascii="Arial"/>
                                <w:i/>
                                <w:color w:val="484848"/>
                                <w:sz w:val="16"/>
                              </w:rPr>
                              <w:t>Swap </w:t>
                            </w:r>
                            <w:r>
                              <w:rPr>
                                <w:rFonts w:ascii="Arial"/>
                                <w:i/>
                                <w:color w:val="484848"/>
                                <w:spacing w:val="-2"/>
                                <w:sz w:val="16"/>
                              </w:rPr>
                              <w:t>Exposure</w:t>
                            </w:r>
                          </w:p>
                        </w:tc>
                        <w:tc>
                          <w:tcPr>
                            <w:tcW w:w="1335" w:type="dxa"/>
                            <w:tcBorders>
                              <w:bottom w:val="single" w:sz="8" w:space="0" w:color="6C6C6C"/>
                            </w:tcBorders>
                          </w:tcPr>
                          <w:p>
                            <w:pPr>
                              <w:pStyle w:val="TableParagraph"/>
                              <w:spacing w:line="208" w:lineRule="auto" w:before="41"/>
                              <w:ind w:left="351" w:right="304" w:firstLine="160"/>
                              <w:rPr>
                                <w:rFonts w:ascii="Arial"/>
                                <w:i/>
                                <w:sz w:val="16"/>
                              </w:rPr>
                            </w:pPr>
                            <w:r>
                              <w:rPr>
                                <w:rFonts w:ascii="Arial"/>
                                <w:i/>
                                <w:color w:val="484848"/>
                                <w:spacing w:val="-2"/>
                                <w:sz w:val="16"/>
                              </w:rPr>
                              <w:t>Total Exposure</w:t>
                            </w:r>
                          </w:p>
                        </w:tc>
                        <w:tc>
                          <w:tcPr>
                            <w:tcW w:w="943" w:type="dxa"/>
                            <w:tcBorders>
                              <w:bottom w:val="single" w:sz="8" w:space="0" w:color="6C6C6C"/>
                            </w:tcBorders>
                          </w:tcPr>
                          <w:p>
                            <w:pPr>
                              <w:pStyle w:val="TableParagraph"/>
                              <w:spacing w:before="21"/>
                              <w:ind w:left="558"/>
                              <w:rPr>
                                <w:rFonts w:ascii="Arial"/>
                                <w:i/>
                                <w:sz w:val="16"/>
                              </w:rPr>
                            </w:pPr>
                            <w:r>
                              <w:rPr>
                                <w:rFonts w:ascii="Arial"/>
                                <w:i/>
                                <w:color w:val="484848"/>
                                <w:sz w:val="16"/>
                              </w:rPr>
                              <w:t>% </w:t>
                            </w:r>
                            <w:r>
                              <w:rPr>
                                <w:rFonts w:ascii="Arial"/>
                                <w:i/>
                                <w:color w:val="484848"/>
                                <w:spacing w:val="-5"/>
                                <w:sz w:val="16"/>
                              </w:rPr>
                              <w:t>of</w:t>
                            </w:r>
                          </w:p>
                        </w:tc>
                        <w:tc>
                          <w:tcPr>
                            <w:tcW w:w="432" w:type="dxa"/>
                            <w:tcBorders>
                              <w:bottom w:val="single" w:sz="8" w:space="0" w:color="6C6C6C"/>
                            </w:tcBorders>
                          </w:tcPr>
                          <w:p>
                            <w:pPr>
                              <w:pStyle w:val="TableParagraph"/>
                              <w:rPr>
                                <w:rFonts w:ascii="Times New Roman"/>
                                <w:sz w:val="16"/>
                              </w:rPr>
                            </w:pPr>
                          </w:p>
                        </w:tc>
                      </w:tr>
                      <w:tr>
                        <w:trPr>
                          <w:trHeight w:val="212" w:hRule="atLeast"/>
                        </w:trPr>
                        <w:tc>
                          <w:tcPr>
                            <w:tcW w:w="2460" w:type="dxa"/>
                            <w:tcBorders>
                              <w:top w:val="single" w:sz="8" w:space="0" w:color="6C6C6C"/>
                            </w:tcBorders>
                          </w:tcPr>
                          <w:p>
                            <w:pPr>
                              <w:pStyle w:val="TableParagraph"/>
                              <w:spacing w:before="5"/>
                              <w:ind w:left="52"/>
                              <w:rPr>
                                <w:sz w:val="16"/>
                              </w:rPr>
                            </w:pPr>
                            <w:r>
                              <w:rPr>
                                <w:spacing w:val="-5"/>
                                <w:sz w:val="16"/>
                              </w:rPr>
                              <w:t>AAA</w:t>
                            </w:r>
                          </w:p>
                        </w:tc>
                        <w:tc>
                          <w:tcPr>
                            <w:tcW w:w="1323" w:type="dxa"/>
                            <w:tcBorders>
                              <w:top w:val="single" w:sz="8" w:space="0" w:color="6C6C6C"/>
                            </w:tcBorders>
                          </w:tcPr>
                          <w:p>
                            <w:pPr>
                              <w:pStyle w:val="TableParagraph"/>
                              <w:tabs>
                                <w:tab w:pos="686" w:val="left" w:leader="none"/>
                              </w:tabs>
                              <w:spacing w:before="5"/>
                              <w:ind w:right="93"/>
                              <w:jc w:val="right"/>
                              <w:rPr>
                                <w:sz w:val="16"/>
                              </w:rPr>
                            </w:pPr>
                            <w:r>
                              <w:rPr>
                                <w:spacing w:val="-10"/>
                                <w:sz w:val="16"/>
                              </w:rPr>
                              <w:t>$</w:t>
                            </w:r>
                            <w:r>
                              <w:rPr>
                                <w:sz w:val="16"/>
                              </w:rPr>
                              <w:tab/>
                            </w:r>
                            <w:r>
                              <w:rPr>
                                <w:spacing w:val="-2"/>
                                <w:sz w:val="16"/>
                              </w:rPr>
                              <w:t>21,337</w:t>
                            </w:r>
                          </w:p>
                        </w:tc>
                        <w:tc>
                          <w:tcPr>
                            <w:tcW w:w="1483" w:type="dxa"/>
                            <w:tcBorders>
                              <w:top w:val="single" w:sz="8" w:space="0" w:color="6C6C6C"/>
                            </w:tcBorders>
                          </w:tcPr>
                          <w:p>
                            <w:pPr>
                              <w:pStyle w:val="TableParagraph"/>
                              <w:tabs>
                                <w:tab w:pos="910" w:val="left" w:leader="none"/>
                              </w:tabs>
                              <w:spacing w:before="5"/>
                              <w:ind w:right="76"/>
                              <w:jc w:val="right"/>
                              <w:rPr>
                                <w:sz w:val="16"/>
                              </w:rPr>
                            </w:pPr>
                            <w:r>
                              <w:rPr>
                                <w:spacing w:val="-10"/>
                                <w:sz w:val="16"/>
                              </w:rPr>
                              <w:t>$</w:t>
                            </w:r>
                            <w:r>
                              <w:rPr>
                                <w:sz w:val="16"/>
                              </w:rPr>
                              <w:tab/>
                            </w:r>
                            <w:r>
                              <w:rPr>
                                <w:spacing w:val="-2"/>
                                <w:sz w:val="16"/>
                              </w:rPr>
                              <w:t>8,157</w:t>
                            </w:r>
                          </w:p>
                        </w:tc>
                        <w:tc>
                          <w:tcPr>
                            <w:tcW w:w="1388" w:type="dxa"/>
                            <w:tcBorders>
                              <w:top w:val="single" w:sz="8" w:space="0" w:color="6C6C6C"/>
                            </w:tcBorders>
                          </w:tcPr>
                          <w:p>
                            <w:pPr>
                              <w:pStyle w:val="TableParagraph"/>
                              <w:tabs>
                                <w:tab w:pos="1024" w:val="left" w:leader="none"/>
                              </w:tabs>
                              <w:spacing w:before="5"/>
                              <w:ind w:right="90"/>
                              <w:jc w:val="right"/>
                              <w:rPr>
                                <w:sz w:val="16"/>
                              </w:rPr>
                            </w:pPr>
                            <w:r>
                              <w:rPr>
                                <w:spacing w:val="-10"/>
                                <w:sz w:val="16"/>
                              </w:rPr>
                              <w:t>$</w:t>
                            </w:r>
                            <w:r>
                              <w:rPr>
                                <w:sz w:val="16"/>
                              </w:rPr>
                              <w:tab/>
                              <w:t>—</w:t>
                            </w:r>
                          </w:p>
                        </w:tc>
                        <w:tc>
                          <w:tcPr>
                            <w:tcW w:w="1335" w:type="dxa"/>
                            <w:tcBorders>
                              <w:top w:val="single" w:sz="8" w:space="0" w:color="6C6C6C"/>
                            </w:tcBorders>
                          </w:tcPr>
                          <w:p>
                            <w:pPr>
                              <w:pStyle w:val="TableParagraph"/>
                              <w:tabs>
                                <w:tab w:pos="686" w:val="left" w:leader="none"/>
                              </w:tabs>
                              <w:spacing w:before="5"/>
                              <w:ind w:right="69"/>
                              <w:jc w:val="right"/>
                              <w:rPr>
                                <w:sz w:val="16"/>
                              </w:rPr>
                            </w:pPr>
                            <w:r>
                              <w:rPr>
                                <w:spacing w:val="-10"/>
                                <w:sz w:val="16"/>
                              </w:rPr>
                              <w:t>$</w:t>
                            </w:r>
                            <w:r>
                              <w:rPr>
                                <w:sz w:val="16"/>
                              </w:rPr>
                              <w:tab/>
                            </w:r>
                            <w:r>
                              <w:rPr>
                                <w:spacing w:val="-2"/>
                                <w:sz w:val="16"/>
                              </w:rPr>
                              <w:t>29,494</w:t>
                            </w:r>
                          </w:p>
                        </w:tc>
                        <w:tc>
                          <w:tcPr>
                            <w:tcW w:w="943" w:type="dxa"/>
                            <w:tcBorders>
                              <w:top w:val="single" w:sz="8" w:space="0" w:color="6C6C6C"/>
                            </w:tcBorders>
                          </w:tcPr>
                          <w:p>
                            <w:pPr>
                              <w:pStyle w:val="TableParagraph"/>
                              <w:rPr>
                                <w:rFonts w:ascii="Times New Roman"/>
                                <w:sz w:val="14"/>
                              </w:rPr>
                            </w:pPr>
                          </w:p>
                        </w:tc>
                        <w:tc>
                          <w:tcPr>
                            <w:tcW w:w="432" w:type="dxa"/>
                            <w:tcBorders>
                              <w:top w:val="single" w:sz="8" w:space="0" w:color="6C6C6C"/>
                            </w:tcBorders>
                          </w:tcPr>
                          <w:p>
                            <w:pPr>
                              <w:pStyle w:val="TableParagraph"/>
                              <w:spacing w:before="5"/>
                              <w:ind w:left="39"/>
                              <w:rPr>
                                <w:sz w:val="16"/>
                              </w:rPr>
                            </w:pPr>
                            <w:r>
                              <w:rPr>
                                <w:sz w:val="16"/>
                              </w:rPr>
                              <w:t>38</w:t>
                            </w:r>
                            <w:r>
                              <w:rPr>
                                <w:spacing w:val="7"/>
                                <w:sz w:val="16"/>
                              </w:rPr>
                              <w:t> </w:t>
                            </w:r>
                            <w:r>
                              <w:rPr>
                                <w:spacing w:val="-10"/>
                                <w:sz w:val="16"/>
                              </w:rPr>
                              <w:t>%</w:t>
                            </w:r>
                          </w:p>
                        </w:tc>
                      </w:tr>
                      <w:tr>
                        <w:trPr>
                          <w:trHeight w:val="225" w:hRule="atLeast"/>
                        </w:trPr>
                        <w:tc>
                          <w:tcPr>
                            <w:tcW w:w="2460" w:type="dxa"/>
                          </w:tcPr>
                          <w:p>
                            <w:pPr>
                              <w:pStyle w:val="TableParagraph"/>
                              <w:spacing w:before="18"/>
                              <w:ind w:left="52"/>
                              <w:rPr>
                                <w:sz w:val="16"/>
                              </w:rPr>
                            </w:pPr>
                            <w:r>
                              <w:rPr>
                                <w:spacing w:val="-5"/>
                                <w:sz w:val="16"/>
                              </w:rPr>
                              <w:t>AA</w:t>
                            </w:r>
                          </w:p>
                        </w:tc>
                        <w:tc>
                          <w:tcPr>
                            <w:tcW w:w="1323" w:type="dxa"/>
                          </w:tcPr>
                          <w:p>
                            <w:pPr>
                              <w:pStyle w:val="TableParagraph"/>
                              <w:spacing w:before="18"/>
                              <w:ind w:right="93"/>
                              <w:jc w:val="right"/>
                              <w:rPr>
                                <w:sz w:val="16"/>
                              </w:rPr>
                            </w:pPr>
                            <w:r>
                              <w:rPr>
                                <w:spacing w:val="-5"/>
                                <w:sz w:val="16"/>
                              </w:rPr>
                              <w:t>156</w:t>
                            </w:r>
                          </w:p>
                        </w:tc>
                        <w:tc>
                          <w:tcPr>
                            <w:tcW w:w="1483" w:type="dxa"/>
                          </w:tcPr>
                          <w:p>
                            <w:pPr>
                              <w:pStyle w:val="TableParagraph"/>
                              <w:spacing w:before="18"/>
                              <w:ind w:right="76"/>
                              <w:jc w:val="right"/>
                              <w:rPr>
                                <w:sz w:val="16"/>
                              </w:rPr>
                            </w:pPr>
                            <w:r>
                              <w:rPr>
                                <w:spacing w:val="-2"/>
                                <w:sz w:val="16"/>
                              </w:rPr>
                              <w:t>31,763</w:t>
                            </w:r>
                          </w:p>
                        </w:tc>
                        <w:tc>
                          <w:tcPr>
                            <w:tcW w:w="1388" w:type="dxa"/>
                          </w:tcPr>
                          <w:p>
                            <w:pPr>
                              <w:pStyle w:val="TableParagraph"/>
                              <w:spacing w:before="18"/>
                              <w:ind w:right="99"/>
                              <w:jc w:val="right"/>
                              <w:rPr>
                                <w:sz w:val="16"/>
                              </w:rPr>
                            </w:pPr>
                            <w:r>
                              <w:rPr>
                                <w:spacing w:val="-5"/>
                                <w:sz w:val="16"/>
                              </w:rPr>
                              <w:t>19</w:t>
                            </w:r>
                          </w:p>
                        </w:tc>
                        <w:tc>
                          <w:tcPr>
                            <w:tcW w:w="1335" w:type="dxa"/>
                          </w:tcPr>
                          <w:p>
                            <w:pPr>
                              <w:pStyle w:val="TableParagraph"/>
                              <w:spacing w:before="18"/>
                              <w:ind w:right="69"/>
                              <w:jc w:val="right"/>
                              <w:rPr>
                                <w:sz w:val="16"/>
                              </w:rPr>
                            </w:pPr>
                            <w:r>
                              <w:rPr>
                                <w:spacing w:val="-2"/>
                                <w:sz w:val="16"/>
                              </w:rPr>
                              <w:t>31,938</w:t>
                            </w:r>
                          </w:p>
                        </w:tc>
                        <w:tc>
                          <w:tcPr>
                            <w:tcW w:w="943" w:type="dxa"/>
                          </w:tcPr>
                          <w:p>
                            <w:pPr>
                              <w:pStyle w:val="TableParagraph"/>
                              <w:rPr>
                                <w:rFonts w:ascii="Times New Roman"/>
                                <w:sz w:val="16"/>
                              </w:rPr>
                            </w:pPr>
                          </w:p>
                        </w:tc>
                        <w:tc>
                          <w:tcPr>
                            <w:tcW w:w="432" w:type="dxa"/>
                          </w:tcPr>
                          <w:p>
                            <w:pPr>
                              <w:pStyle w:val="TableParagraph"/>
                              <w:spacing w:before="18"/>
                              <w:ind w:left="39"/>
                              <w:rPr>
                                <w:sz w:val="16"/>
                              </w:rPr>
                            </w:pPr>
                            <w:r>
                              <w:rPr>
                                <w:spacing w:val="-5"/>
                                <w:sz w:val="16"/>
                              </w:rPr>
                              <w:t>41</w:t>
                            </w:r>
                          </w:p>
                        </w:tc>
                      </w:tr>
                      <w:tr>
                        <w:trPr>
                          <w:trHeight w:val="225" w:hRule="atLeast"/>
                        </w:trPr>
                        <w:tc>
                          <w:tcPr>
                            <w:tcW w:w="2460" w:type="dxa"/>
                          </w:tcPr>
                          <w:p>
                            <w:pPr>
                              <w:pStyle w:val="TableParagraph"/>
                              <w:spacing w:before="18"/>
                              <w:ind w:left="52"/>
                              <w:rPr>
                                <w:sz w:val="16"/>
                              </w:rPr>
                            </w:pPr>
                            <w:r>
                              <w:rPr>
                                <w:spacing w:val="-10"/>
                                <w:sz w:val="16"/>
                              </w:rPr>
                              <w:t>A</w:t>
                            </w:r>
                          </w:p>
                        </w:tc>
                        <w:tc>
                          <w:tcPr>
                            <w:tcW w:w="1323" w:type="dxa"/>
                          </w:tcPr>
                          <w:p>
                            <w:pPr>
                              <w:pStyle w:val="TableParagraph"/>
                              <w:spacing w:before="18"/>
                              <w:ind w:right="93"/>
                              <w:jc w:val="right"/>
                              <w:rPr>
                                <w:sz w:val="16"/>
                              </w:rPr>
                            </w:pPr>
                            <w:r>
                              <w:rPr>
                                <w:spacing w:val="-2"/>
                                <w:sz w:val="16"/>
                              </w:rPr>
                              <w:t>7,096</w:t>
                            </w:r>
                          </w:p>
                        </w:tc>
                        <w:tc>
                          <w:tcPr>
                            <w:tcW w:w="1483" w:type="dxa"/>
                          </w:tcPr>
                          <w:p>
                            <w:pPr>
                              <w:pStyle w:val="TableParagraph"/>
                              <w:spacing w:before="18"/>
                              <w:ind w:right="76"/>
                              <w:jc w:val="right"/>
                              <w:rPr>
                                <w:sz w:val="16"/>
                              </w:rPr>
                            </w:pPr>
                            <w:r>
                              <w:rPr>
                                <w:spacing w:val="-2"/>
                                <w:sz w:val="16"/>
                              </w:rPr>
                              <w:t>8,711</w:t>
                            </w:r>
                          </w:p>
                        </w:tc>
                        <w:tc>
                          <w:tcPr>
                            <w:tcW w:w="1388" w:type="dxa"/>
                          </w:tcPr>
                          <w:p>
                            <w:pPr>
                              <w:pStyle w:val="TableParagraph"/>
                              <w:spacing w:before="18"/>
                              <w:ind w:right="99"/>
                              <w:jc w:val="right"/>
                              <w:rPr>
                                <w:sz w:val="16"/>
                              </w:rPr>
                            </w:pPr>
                            <w:r>
                              <w:rPr>
                                <w:spacing w:val="-5"/>
                                <w:sz w:val="16"/>
                              </w:rPr>
                              <w:t>135</w:t>
                            </w:r>
                          </w:p>
                        </w:tc>
                        <w:tc>
                          <w:tcPr>
                            <w:tcW w:w="1335" w:type="dxa"/>
                          </w:tcPr>
                          <w:p>
                            <w:pPr>
                              <w:pStyle w:val="TableParagraph"/>
                              <w:spacing w:before="18"/>
                              <w:ind w:right="69"/>
                              <w:jc w:val="right"/>
                              <w:rPr>
                                <w:sz w:val="16"/>
                              </w:rPr>
                            </w:pPr>
                            <w:r>
                              <w:rPr>
                                <w:spacing w:val="-2"/>
                                <w:sz w:val="16"/>
                              </w:rPr>
                              <w:t>15,942</w:t>
                            </w:r>
                          </w:p>
                        </w:tc>
                        <w:tc>
                          <w:tcPr>
                            <w:tcW w:w="943" w:type="dxa"/>
                          </w:tcPr>
                          <w:p>
                            <w:pPr>
                              <w:pStyle w:val="TableParagraph"/>
                              <w:rPr>
                                <w:rFonts w:ascii="Times New Roman"/>
                                <w:sz w:val="16"/>
                              </w:rPr>
                            </w:pPr>
                          </w:p>
                        </w:tc>
                        <w:tc>
                          <w:tcPr>
                            <w:tcW w:w="432" w:type="dxa"/>
                          </w:tcPr>
                          <w:p>
                            <w:pPr>
                              <w:pStyle w:val="TableParagraph"/>
                              <w:spacing w:before="18"/>
                              <w:ind w:left="39"/>
                              <w:rPr>
                                <w:sz w:val="16"/>
                              </w:rPr>
                            </w:pPr>
                            <w:r>
                              <w:rPr>
                                <w:spacing w:val="-5"/>
                                <w:sz w:val="16"/>
                              </w:rPr>
                              <w:t>21</w:t>
                            </w:r>
                          </w:p>
                        </w:tc>
                      </w:tr>
                      <w:tr>
                        <w:trPr>
                          <w:trHeight w:val="225" w:hRule="atLeast"/>
                        </w:trPr>
                        <w:tc>
                          <w:tcPr>
                            <w:tcW w:w="2460" w:type="dxa"/>
                          </w:tcPr>
                          <w:p>
                            <w:pPr>
                              <w:pStyle w:val="TableParagraph"/>
                              <w:spacing w:before="18"/>
                              <w:ind w:left="52"/>
                              <w:rPr>
                                <w:sz w:val="16"/>
                              </w:rPr>
                            </w:pPr>
                            <w:r>
                              <w:rPr>
                                <w:spacing w:val="-5"/>
                                <w:sz w:val="16"/>
                              </w:rPr>
                              <w:t>BBB</w:t>
                            </w:r>
                          </w:p>
                        </w:tc>
                        <w:tc>
                          <w:tcPr>
                            <w:tcW w:w="1323" w:type="dxa"/>
                          </w:tcPr>
                          <w:p>
                            <w:pPr>
                              <w:pStyle w:val="TableParagraph"/>
                              <w:spacing w:before="18"/>
                              <w:ind w:right="93"/>
                              <w:jc w:val="right"/>
                              <w:rPr>
                                <w:sz w:val="16"/>
                              </w:rPr>
                            </w:pPr>
                            <w:r>
                              <w:rPr>
                                <w:spacing w:val="-10"/>
                                <w:sz w:val="16"/>
                              </w:rPr>
                              <w:t>3</w:t>
                            </w:r>
                          </w:p>
                        </w:tc>
                        <w:tc>
                          <w:tcPr>
                            <w:tcW w:w="1483" w:type="dxa"/>
                          </w:tcPr>
                          <w:p>
                            <w:pPr>
                              <w:pStyle w:val="TableParagraph"/>
                              <w:spacing w:before="18"/>
                              <w:ind w:right="76"/>
                              <w:jc w:val="right"/>
                              <w:rPr>
                                <w:sz w:val="16"/>
                              </w:rPr>
                            </w:pPr>
                            <w:r>
                              <w:rPr>
                                <w:spacing w:val="-5"/>
                                <w:sz w:val="16"/>
                              </w:rPr>
                              <w:t>35</w:t>
                            </w:r>
                          </w:p>
                        </w:tc>
                        <w:tc>
                          <w:tcPr>
                            <w:tcW w:w="1388" w:type="dxa"/>
                          </w:tcPr>
                          <w:p>
                            <w:pPr>
                              <w:pStyle w:val="TableParagraph"/>
                              <w:spacing w:before="18"/>
                              <w:ind w:right="99"/>
                              <w:jc w:val="right"/>
                              <w:rPr>
                                <w:sz w:val="16"/>
                              </w:rPr>
                            </w:pPr>
                            <w:r>
                              <w:rPr>
                                <w:sz w:val="16"/>
                              </w:rPr>
                              <w:t>—</w:t>
                            </w:r>
                          </w:p>
                        </w:tc>
                        <w:tc>
                          <w:tcPr>
                            <w:tcW w:w="1335" w:type="dxa"/>
                          </w:tcPr>
                          <w:p>
                            <w:pPr>
                              <w:pStyle w:val="TableParagraph"/>
                              <w:spacing w:before="18"/>
                              <w:ind w:right="69"/>
                              <w:jc w:val="right"/>
                              <w:rPr>
                                <w:sz w:val="16"/>
                              </w:rPr>
                            </w:pPr>
                            <w:r>
                              <w:rPr>
                                <w:spacing w:val="-5"/>
                                <w:sz w:val="16"/>
                              </w:rPr>
                              <w:t>38</w:t>
                            </w:r>
                          </w:p>
                        </w:tc>
                        <w:tc>
                          <w:tcPr>
                            <w:tcW w:w="943" w:type="dxa"/>
                          </w:tcPr>
                          <w:p>
                            <w:pPr>
                              <w:pStyle w:val="TableParagraph"/>
                              <w:rPr>
                                <w:rFonts w:ascii="Times New Roman"/>
                                <w:sz w:val="16"/>
                              </w:rPr>
                            </w:pPr>
                          </w:p>
                        </w:tc>
                        <w:tc>
                          <w:tcPr>
                            <w:tcW w:w="432" w:type="dxa"/>
                          </w:tcPr>
                          <w:p>
                            <w:pPr>
                              <w:pStyle w:val="TableParagraph"/>
                              <w:spacing w:before="18"/>
                              <w:ind w:left="230"/>
                              <w:rPr>
                                <w:sz w:val="16"/>
                              </w:rPr>
                            </w:pPr>
                            <w:r>
                              <w:rPr>
                                <w:spacing w:val="-10"/>
                                <w:sz w:val="16"/>
                              </w:rPr>
                              <w:t>*</w:t>
                            </w:r>
                          </w:p>
                        </w:tc>
                      </w:tr>
                      <w:tr>
                        <w:trPr>
                          <w:trHeight w:val="217" w:hRule="atLeast"/>
                        </w:trPr>
                        <w:tc>
                          <w:tcPr>
                            <w:tcW w:w="2460" w:type="dxa"/>
                          </w:tcPr>
                          <w:p>
                            <w:pPr>
                              <w:pStyle w:val="TableParagraph"/>
                              <w:spacing w:line="180" w:lineRule="exact" w:before="18"/>
                              <w:ind w:left="52"/>
                              <w:rPr>
                                <w:sz w:val="16"/>
                              </w:rPr>
                            </w:pPr>
                            <w:r>
                              <w:rPr>
                                <w:sz w:val="16"/>
                              </w:rPr>
                              <w:t>BB</w:t>
                            </w:r>
                            <w:r>
                              <w:rPr>
                                <w:spacing w:val="-1"/>
                                <w:sz w:val="16"/>
                              </w:rPr>
                              <w:t> </w:t>
                            </w:r>
                            <w:r>
                              <w:rPr>
                                <w:sz w:val="16"/>
                              </w:rPr>
                              <w:t>or </w:t>
                            </w:r>
                            <w:r>
                              <w:rPr>
                                <w:spacing w:val="-2"/>
                                <w:sz w:val="16"/>
                              </w:rPr>
                              <w:t>lower/unrated</w:t>
                            </w:r>
                          </w:p>
                        </w:tc>
                        <w:tc>
                          <w:tcPr>
                            <w:tcW w:w="1323" w:type="dxa"/>
                            <w:tcBorders>
                              <w:bottom w:val="single" w:sz="8" w:space="0" w:color="6C6C6C"/>
                            </w:tcBorders>
                          </w:tcPr>
                          <w:p>
                            <w:pPr>
                              <w:pStyle w:val="TableParagraph"/>
                              <w:spacing w:line="180" w:lineRule="exact" w:before="18"/>
                              <w:ind w:right="93"/>
                              <w:jc w:val="right"/>
                              <w:rPr>
                                <w:sz w:val="16"/>
                              </w:rPr>
                            </w:pPr>
                            <w:r>
                              <w:rPr>
                                <w:sz w:val="16"/>
                              </w:rPr>
                              <w:t>—</w:t>
                            </w:r>
                          </w:p>
                        </w:tc>
                        <w:tc>
                          <w:tcPr>
                            <w:tcW w:w="1483" w:type="dxa"/>
                            <w:tcBorders>
                              <w:bottom w:val="single" w:sz="8" w:space="0" w:color="6C6C6C"/>
                            </w:tcBorders>
                          </w:tcPr>
                          <w:p>
                            <w:pPr>
                              <w:pStyle w:val="TableParagraph"/>
                              <w:spacing w:line="180" w:lineRule="exact" w:before="18"/>
                              <w:ind w:right="76"/>
                              <w:jc w:val="right"/>
                              <w:rPr>
                                <w:sz w:val="16"/>
                              </w:rPr>
                            </w:pPr>
                            <w:r>
                              <w:rPr>
                                <w:spacing w:val="-10"/>
                                <w:sz w:val="16"/>
                              </w:rPr>
                              <w:t>3</w:t>
                            </w:r>
                          </w:p>
                        </w:tc>
                        <w:tc>
                          <w:tcPr>
                            <w:tcW w:w="1388" w:type="dxa"/>
                            <w:tcBorders>
                              <w:bottom w:val="single" w:sz="8" w:space="0" w:color="6C6C6C"/>
                            </w:tcBorders>
                          </w:tcPr>
                          <w:p>
                            <w:pPr>
                              <w:pStyle w:val="TableParagraph"/>
                              <w:spacing w:line="180" w:lineRule="exact" w:before="18"/>
                              <w:ind w:right="99"/>
                              <w:jc w:val="right"/>
                              <w:rPr>
                                <w:sz w:val="16"/>
                              </w:rPr>
                            </w:pPr>
                            <w:r>
                              <w:rPr>
                                <w:spacing w:val="-10"/>
                                <w:sz w:val="16"/>
                              </w:rPr>
                              <w:t>2</w:t>
                            </w:r>
                          </w:p>
                        </w:tc>
                        <w:tc>
                          <w:tcPr>
                            <w:tcW w:w="1335" w:type="dxa"/>
                            <w:tcBorders>
                              <w:bottom w:val="single" w:sz="8" w:space="0" w:color="6C6C6C"/>
                            </w:tcBorders>
                          </w:tcPr>
                          <w:p>
                            <w:pPr>
                              <w:pStyle w:val="TableParagraph"/>
                              <w:spacing w:line="180" w:lineRule="exact" w:before="18"/>
                              <w:ind w:right="69"/>
                              <w:jc w:val="right"/>
                              <w:rPr>
                                <w:sz w:val="16"/>
                              </w:rPr>
                            </w:pPr>
                            <w:r>
                              <w:rPr>
                                <w:spacing w:val="-10"/>
                                <w:sz w:val="16"/>
                              </w:rPr>
                              <w:t>5</w:t>
                            </w:r>
                          </w:p>
                        </w:tc>
                        <w:tc>
                          <w:tcPr>
                            <w:tcW w:w="943" w:type="dxa"/>
                            <w:tcBorders>
                              <w:bottom w:val="single" w:sz="8" w:space="0" w:color="000000"/>
                            </w:tcBorders>
                          </w:tcPr>
                          <w:p>
                            <w:pPr>
                              <w:pStyle w:val="TableParagraph"/>
                              <w:rPr>
                                <w:rFonts w:ascii="Times New Roman"/>
                                <w:sz w:val="14"/>
                              </w:rPr>
                            </w:pPr>
                          </w:p>
                        </w:tc>
                        <w:tc>
                          <w:tcPr>
                            <w:tcW w:w="432" w:type="dxa"/>
                            <w:tcBorders>
                              <w:bottom w:val="single" w:sz="8" w:space="0" w:color="000000"/>
                            </w:tcBorders>
                          </w:tcPr>
                          <w:p>
                            <w:pPr>
                              <w:pStyle w:val="TableParagraph"/>
                              <w:spacing w:line="180" w:lineRule="exact" w:before="18"/>
                              <w:ind w:left="230"/>
                              <w:rPr>
                                <w:sz w:val="16"/>
                              </w:rPr>
                            </w:pPr>
                            <w:r>
                              <w:rPr>
                                <w:spacing w:val="-10"/>
                                <w:sz w:val="16"/>
                              </w:rPr>
                              <w:t>*</w:t>
                            </w:r>
                          </w:p>
                        </w:tc>
                      </w:tr>
                      <w:tr>
                        <w:trPr>
                          <w:trHeight w:val="225" w:hRule="atLeast"/>
                        </w:trPr>
                        <w:tc>
                          <w:tcPr>
                            <w:tcW w:w="2460" w:type="dxa"/>
                          </w:tcPr>
                          <w:p>
                            <w:pPr>
                              <w:pStyle w:val="TableParagraph"/>
                              <w:spacing w:before="5"/>
                              <w:ind w:left="52"/>
                              <w:rPr>
                                <w:rFonts w:ascii="Arial"/>
                                <w:b/>
                                <w:sz w:val="16"/>
                              </w:rPr>
                            </w:pPr>
                            <w:r>
                              <w:rPr>
                                <w:rFonts w:ascii="Arial"/>
                                <w:b/>
                                <w:spacing w:val="-2"/>
                                <w:sz w:val="16"/>
                              </w:rPr>
                              <w:t>Total</w:t>
                            </w:r>
                          </w:p>
                        </w:tc>
                        <w:tc>
                          <w:tcPr>
                            <w:tcW w:w="5529" w:type="dxa"/>
                            <w:gridSpan w:val="4"/>
                            <w:tcBorders>
                              <w:bottom w:val="single" w:sz="8" w:space="0" w:color="6C6C6C"/>
                            </w:tcBorders>
                          </w:tcPr>
                          <w:p>
                            <w:pPr>
                              <w:pStyle w:val="TableParagraph"/>
                              <w:tabs>
                                <w:tab w:pos="739" w:val="left" w:leader="none"/>
                                <w:tab w:pos="2239" w:val="left" w:leader="none"/>
                                <w:tab w:pos="3825" w:val="left" w:leader="none"/>
                                <w:tab w:pos="4969" w:val="left" w:leader="none"/>
                              </w:tabs>
                              <w:spacing w:before="5"/>
                              <w:rPr>
                                <w:rFonts w:ascii="Arial"/>
                                <w:b/>
                                <w:sz w:val="16"/>
                              </w:rPr>
                            </w:pPr>
                            <w:r>
                              <w:rPr>
                                <w:rFonts w:ascii="Arial"/>
                                <w:b/>
                                <w:spacing w:val="12"/>
                                <w:sz w:val="16"/>
                                <w:u w:val="single" w:color="6C6C6C"/>
                              </w:rPr>
                              <w:t> </w:t>
                            </w:r>
                            <w:r>
                              <w:rPr>
                                <w:rFonts w:ascii="Arial"/>
                                <w:b/>
                                <w:spacing w:val="-10"/>
                                <w:sz w:val="16"/>
                                <w:u w:val="single" w:color="6C6C6C"/>
                              </w:rPr>
                              <w:t>$</w:t>
                            </w:r>
                            <w:r>
                              <w:rPr>
                                <w:rFonts w:ascii="Arial"/>
                                <w:b/>
                                <w:sz w:val="16"/>
                                <w:u w:val="single" w:color="6C6C6C"/>
                              </w:rPr>
                              <w:tab/>
                              <w:t>28,592</w:t>
                            </w:r>
                            <w:r>
                              <w:rPr>
                                <w:rFonts w:ascii="Arial"/>
                                <w:b/>
                                <w:spacing w:val="47"/>
                                <w:sz w:val="16"/>
                                <w:u w:val="single" w:color="6C6C6C"/>
                              </w:rPr>
                              <w:t>  </w:t>
                            </w:r>
                            <w:r>
                              <w:rPr>
                                <w:rFonts w:ascii="Arial"/>
                                <w:b/>
                                <w:spacing w:val="-10"/>
                                <w:sz w:val="16"/>
                                <w:u w:val="single" w:color="6C6C6C"/>
                              </w:rPr>
                              <w:t>$</w:t>
                            </w:r>
                            <w:r>
                              <w:rPr>
                                <w:rFonts w:ascii="Arial"/>
                                <w:b/>
                                <w:sz w:val="16"/>
                                <w:u w:val="single" w:color="6C6C6C"/>
                              </w:rPr>
                              <w:tab/>
                              <w:t>48,669</w:t>
                            </w:r>
                            <w:r>
                              <w:rPr>
                                <w:rFonts w:ascii="Arial"/>
                                <w:b/>
                                <w:spacing w:val="47"/>
                                <w:sz w:val="16"/>
                                <w:u w:val="single" w:color="6C6C6C"/>
                              </w:rPr>
                              <w:t>  </w:t>
                            </w:r>
                            <w:r>
                              <w:rPr>
                                <w:rFonts w:ascii="Arial"/>
                                <w:b/>
                                <w:spacing w:val="-10"/>
                                <w:sz w:val="16"/>
                                <w:u w:val="single" w:color="6C6C6C"/>
                              </w:rPr>
                              <w:t>$</w:t>
                            </w:r>
                            <w:r>
                              <w:rPr>
                                <w:rFonts w:ascii="Arial"/>
                                <w:b/>
                                <w:sz w:val="16"/>
                                <w:u w:val="single" w:color="6C6C6C"/>
                              </w:rPr>
                              <w:tab/>
                              <w:t>156</w:t>
                            </w:r>
                            <w:r>
                              <w:rPr>
                                <w:rFonts w:ascii="Arial"/>
                                <w:b/>
                                <w:spacing w:val="49"/>
                                <w:sz w:val="16"/>
                                <w:u w:val="single" w:color="6C6C6C"/>
                              </w:rPr>
                              <w:t>  </w:t>
                            </w:r>
                            <w:r>
                              <w:rPr>
                                <w:rFonts w:ascii="Arial"/>
                                <w:b/>
                                <w:spacing w:val="-10"/>
                                <w:sz w:val="16"/>
                                <w:u w:val="single" w:color="6C6C6C"/>
                              </w:rPr>
                              <w:t>$</w:t>
                            </w:r>
                            <w:r>
                              <w:rPr>
                                <w:rFonts w:ascii="Arial"/>
                                <w:b/>
                                <w:sz w:val="16"/>
                                <w:u w:val="single" w:color="6C6C6C"/>
                              </w:rPr>
                              <w:tab/>
                            </w:r>
                            <w:r>
                              <w:rPr>
                                <w:rFonts w:ascii="Arial"/>
                                <w:b/>
                                <w:spacing w:val="-2"/>
                                <w:sz w:val="16"/>
                                <w:u w:val="single" w:color="6C6C6C"/>
                              </w:rPr>
                              <w:t>77,417</w:t>
                            </w:r>
                          </w:p>
                        </w:tc>
                        <w:tc>
                          <w:tcPr>
                            <w:tcW w:w="1375" w:type="dxa"/>
                            <w:gridSpan w:val="2"/>
                            <w:tcBorders>
                              <w:bottom w:val="single" w:sz="8" w:space="0" w:color="000000"/>
                            </w:tcBorders>
                          </w:tcPr>
                          <w:p>
                            <w:pPr>
                              <w:pStyle w:val="TableParagraph"/>
                              <w:tabs>
                                <w:tab w:pos="894" w:val="left" w:leader="none"/>
                              </w:tabs>
                              <w:spacing w:before="5"/>
                              <w:ind w:left="66"/>
                              <w:rPr>
                                <w:rFonts w:ascii="Arial"/>
                                <w:b/>
                                <w:sz w:val="16"/>
                              </w:rPr>
                            </w:pPr>
                            <w:r>
                              <w:rPr>
                                <w:rFonts w:ascii="Times New Roman"/>
                                <w:sz w:val="16"/>
                                <w:u w:val="single"/>
                              </w:rPr>
                              <w:tab/>
                            </w:r>
                            <w:r>
                              <w:rPr>
                                <w:rFonts w:ascii="Arial"/>
                                <w:b/>
                                <w:sz w:val="16"/>
                                <w:u w:val="single"/>
                              </w:rPr>
                              <w:t>100</w:t>
                            </w:r>
                            <w:r>
                              <w:rPr>
                                <w:rFonts w:ascii="Arial"/>
                                <w:b/>
                                <w:spacing w:val="4"/>
                                <w:sz w:val="16"/>
                                <w:u w:val="single"/>
                              </w:rPr>
                              <w:t> </w:t>
                            </w:r>
                            <w:r>
                              <w:rPr>
                                <w:rFonts w:ascii="Arial"/>
                                <w:b/>
                                <w:spacing w:val="-10"/>
                                <w:sz w:val="16"/>
                                <w:u w:val="single"/>
                              </w:rPr>
                              <w:t>%</w:t>
                            </w:r>
                          </w:p>
                        </w:tc>
                      </w:tr>
                    </w:tbl>
                    <w:p>
                      <w:pPr>
                        <w:pStyle w:val="BodyText"/>
                      </w:pPr>
                    </w:p>
                  </w:txbxContent>
                </v:textbox>
                <w10:wrap type="none"/>
              </v:shape>
            </w:pict>
          </mc:Fallback>
        </mc:AlternateContent>
      </w:r>
      <w:r>
        <w:rPr>
          <w:rFonts w:ascii="Arial"/>
          <w:i/>
          <w:color w:val="484848"/>
          <w:spacing w:val="-2"/>
          <w:sz w:val="16"/>
        </w:rPr>
        <w:t>Total</w:t>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148"/>
        <w:rPr>
          <w:rFonts w:ascii="Arial"/>
          <w:i/>
          <w:sz w:val="16"/>
        </w:rPr>
      </w:pPr>
    </w:p>
    <w:p>
      <w:pPr>
        <w:spacing w:before="0"/>
        <w:ind w:left="2460" w:right="0"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7656448">
                <wp:simplePos x="0" y="0"/>
                <wp:positionH relativeFrom="page">
                  <wp:posOffset>914400</wp:posOffset>
                </wp:positionH>
                <wp:positionV relativeFrom="paragraph">
                  <wp:posOffset>133459</wp:posOffset>
                </wp:positionV>
                <wp:extent cx="5943600"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08594pt;width:468pt;height:.1pt;mso-position-horizontal-relative:page;mso-position-vertical-relative:paragraph;z-index:-15660032;mso-wrap-distance-left:0;mso-wrap-distance-right:0" id="docshape413" coordorigin="1440,210" coordsize="9360,0" path="m1440,210l10800,210e" filled="false" stroked="true" strokeweight="1pt" strokecolor="#6c6c6c">
                <v:path arrowok="t"/>
                <v:stroke dashstyle="solid"/>
                <w10:wrap type="topAndBottom"/>
              </v:shape>
            </w:pict>
          </mc:Fallback>
        </mc:AlternateContent>
      </w:r>
      <w:r>
        <w:rPr>
          <w:rFonts w:ascii="Arial"/>
          <w:i/>
          <w:color w:val="A5A5A5"/>
          <w:sz w:val="16"/>
        </w:rPr>
        <w:t>As</w:t>
      </w:r>
      <w:r>
        <w:rPr>
          <w:rFonts w:ascii="Arial"/>
          <w:i/>
          <w:color w:val="A5A5A5"/>
          <w:spacing w:val="-2"/>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2"/>
          <w:sz w:val="16"/>
        </w:rPr>
        <w:t> </w:t>
      </w:r>
      <w:r>
        <w:rPr>
          <w:rFonts w:ascii="Arial"/>
          <w:i/>
          <w:color w:val="A5A5A5"/>
          <w:sz w:val="16"/>
        </w:rPr>
        <w:t>30,</w:t>
      </w:r>
      <w:r>
        <w:rPr>
          <w:rFonts w:ascii="Arial"/>
          <w:i/>
          <w:color w:val="A5A5A5"/>
          <w:spacing w:val="-1"/>
          <w:sz w:val="16"/>
        </w:rPr>
        <w:t> </w:t>
      </w:r>
      <w:r>
        <w:rPr>
          <w:rFonts w:ascii="Arial"/>
          <w:i/>
          <w:color w:val="A5A5A5"/>
          <w:spacing w:val="-4"/>
          <w:sz w:val="16"/>
        </w:rPr>
        <w:t>2022</w:t>
      </w:r>
    </w:p>
    <w:p>
      <w:pPr>
        <w:spacing w:before="1"/>
        <w:ind w:left="0" w:right="1632" w:firstLine="0"/>
        <w:jc w:val="center"/>
        <w:rPr>
          <w:rFonts w:ascii="Arial"/>
          <w:i/>
          <w:sz w:val="16"/>
        </w:rPr>
      </w:pPr>
      <w:r>
        <w:rPr>
          <w:rFonts w:ascii="Arial"/>
          <w:i/>
          <w:color w:val="484848"/>
          <w:spacing w:val="-2"/>
          <w:sz w:val="16"/>
        </w:rPr>
        <w:t>Investments</w:t>
      </w:r>
    </w:p>
    <w:p>
      <w:pPr>
        <w:pStyle w:val="BodyText"/>
        <w:spacing w:before="37"/>
        <w:rPr>
          <w:rFonts w:ascii="Arial"/>
          <w:i/>
          <w:sz w:val="16"/>
        </w:rPr>
      </w:pPr>
    </w:p>
    <w:p>
      <w:pPr>
        <w:spacing w:before="0"/>
        <w:ind w:left="0" w:right="1192"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798784">
                <wp:simplePos x="0" y="0"/>
                <wp:positionH relativeFrom="page">
                  <wp:posOffset>876300</wp:posOffset>
                </wp:positionH>
                <wp:positionV relativeFrom="paragraph">
                  <wp:posOffset>-121265</wp:posOffset>
                </wp:positionV>
                <wp:extent cx="6019800" cy="113855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6019800" cy="11385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1323"/>
                              <w:gridCol w:w="1483"/>
                              <w:gridCol w:w="1388"/>
                              <w:gridCol w:w="1573"/>
                              <w:gridCol w:w="706"/>
                              <w:gridCol w:w="433"/>
                            </w:tblGrid>
                            <w:tr>
                              <w:trPr>
                                <w:trHeight w:val="385" w:hRule="atLeast"/>
                              </w:trPr>
                              <w:tc>
                                <w:tcPr>
                                  <w:tcW w:w="2460" w:type="dxa"/>
                                  <w:tcBorders>
                                    <w:bottom w:val="single" w:sz="8" w:space="0" w:color="6C6C6C"/>
                                  </w:tcBorders>
                                </w:tcPr>
                                <w:p>
                                  <w:pPr>
                                    <w:pStyle w:val="TableParagraph"/>
                                    <w:spacing w:line="183" w:lineRule="exact" w:before="181"/>
                                    <w:ind w:left="114"/>
                                    <w:rPr>
                                      <w:rFonts w:ascii="Arial"/>
                                      <w:i/>
                                      <w:sz w:val="16"/>
                                    </w:rPr>
                                  </w:pPr>
                                  <w:r>
                                    <w:rPr>
                                      <w:rFonts w:ascii="Arial"/>
                                      <w:i/>
                                      <w:color w:val="484848"/>
                                      <w:sz w:val="16"/>
                                    </w:rPr>
                                    <w:t>Counterparty</w:t>
                                  </w:r>
                                  <w:r>
                                    <w:rPr>
                                      <w:rFonts w:ascii="Arial"/>
                                      <w:i/>
                                      <w:color w:val="484848"/>
                                      <w:spacing w:val="-6"/>
                                      <w:sz w:val="16"/>
                                    </w:rPr>
                                    <w:t> </w:t>
                                  </w:r>
                                  <w:r>
                                    <w:rPr>
                                      <w:rFonts w:ascii="Arial"/>
                                      <w:i/>
                                      <w:color w:val="484848"/>
                                      <w:sz w:val="16"/>
                                    </w:rPr>
                                    <w:t>Rating</w:t>
                                  </w:r>
                                  <w:r>
                                    <w:rPr>
                                      <w:rFonts w:ascii="Arial"/>
                                      <w:i/>
                                      <w:color w:val="484848"/>
                                      <w:spacing w:val="-7"/>
                                      <w:sz w:val="16"/>
                                    </w:rPr>
                                    <w:t> </w:t>
                                  </w:r>
                                  <w:r>
                                    <w:rPr>
                                      <w:rFonts w:ascii="Arial"/>
                                      <w:i/>
                                      <w:color w:val="484848"/>
                                      <w:spacing w:val="-10"/>
                                      <w:sz w:val="16"/>
                                      <w:vertAlign w:val="superscript"/>
                                    </w:rPr>
                                    <w:t>a</w:t>
                                  </w:r>
                                </w:p>
                              </w:tc>
                              <w:tc>
                                <w:tcPr>
                                  <w:tcW w:w="1323" w:type="dxa"/>
                                  <w:tcBorders>
                                    <w:top w:val="single" w:sz="8" w:space="0" w:color="6C6C6C"/>
                                    <w:bottom w:val="single" w:sz="8" w:space="0" w:color="6C6C6C"/>
                                  </w:tcBorders>
                                </w:tcPr>
                                <w:p>
                                  <w:pPr>
                                    <w:pStyle w:val="TableParagraph"/>
                                    <w:spacing w:line="183" w:lineRule="exact" w:before="181"/>
                                    <w:ind w:left="252"/>
                                    <w:rPr>
                                      <w:rFonts w:ascii="Arial"/>
                                      <w:i/>
                                      <w:sz w:val="16"/>
                                    </w:rPr>
                                  </w:pPr>
                                  <w:r>
                                    <w:rPr>
                                      <w:rFonts w:ascii="Arial"/>
                                      <w:i/>
                                      <w:color w:val="484848"/>
                                      <w:spacing w:val="-2"/>
                                      <w:sz w:val="16"/>
                                    </w:rPr>
                                    <w:t>Sovereigns</w:t>
                                  </w:r>
                                </w:p>
                              </w:tc>
                              <w:tc>
                                <w:tcPr>
                                  <w:tcW w:w="1483" w:type="dxa"/>
                                  <w:tcBorders>
                                    <w:top w:val="single" w:sz="8" w:space="0" w:color="6C6C6C"/>
                                    <w:bottom w:val="single" w:sz="8" w:space="0" w:color="6C6C6C"/>
                                  </w:tcBorders>
                                </w:tcPr>
                                <w:p>
                                  <w:pPr>
                                    <w:pStyle w:val="TableParagraph"/>
                                    <w:spacing w:line="183" w:lineRule="exact" w:before="181"/>
                                    <w:ind w:left="189"/>
                                    <w:rPr>
                                      <w:rFonts w:ascii="Arial"/>
                                      <w:i/>
                                      <w:sz w:val="16"/>
                                    </w:rPr>
                                  </w:pPr>
                                  <w:r>
                                    <w:rPr>
                                      <w:rFonts w:ascii="Arial"/>
                                      <w:i/>
                                      <w:color w:val="484848"/>
                                      <w:spacing w:val="-2"/>
                                      <w:sz w:val="16"/>
                                    </w:rPr>
                                    <w:t>Non-Sovereigns</w:t>
                                  </w:r>
                                </w:p>
                              </w:tc>
                              <w:tc>
                                <w:tcPr>
                                  <w:tcW w:w="1388" w:type="dxa"/>
                                  <w:tcBorders>
                                    <w:bottom w:val="single" w:sz="8" w:space="0" w:color="6C6C6C"/>
                                  </w:tcBorders>
                                </w:tcPr>
                                <w:p>
                                  <w:pPr>
                                    <w:pStyle w:val="TableParagraph"/>
                                    <w:spacing w:line="208" w:lineRule="auto" w:before="41"/>
                                    <w:ind w:left="374" w:right="321" w:hanging="9"/>
                                    <w:rPr>
                                      <w:rFonts w:ascii="Arial"/>
                                      <w:i/>
                                      <w:sz w:val="16"/>
                                    </w:rPr>
                                  </w:pPr>
                                  <w:r>
                                    <w:rPr>
                                      <w:rFonts w:ascii="Arial"/>
                                      <w:i/>
                                      <w:color w:val="484848"/>
                                      <w:sz w:val="16"/>
                                    </w:rPr>
                                    <w:t>Net</w:t>
                                  </w:r>
                                  <w:r>
                                    <w:rPr>
                                      <w:rFonts w:ascii="Arial"/>
                                      <w:i/>
                                      <w:color w:val="484848"/>
                                      <w:spacing w:val="-12"/>
                                      <w:sz w:val="16"/>
                                    </w:rPr>
                                    <w:t> </w:t>
                                  </w:r>
                                  <w:r>
                                    <w:rPr>
                                      <w:rFonts w:ascii="Arial"/>
                                      <w:i/>
                                      <w:color w:val="484848"/>
                                      <w:sz w:val="16"/>
                                    </w:rPr>
                                    <w:t>Swap </w:t>
                                  </w:r>
                                  <w:r>
                                    <w:rPr>
                                      <w:rFonts w:ascii="Arial"/>
                                      <w:i/>
                                      <w:color w:val="484848"/>
                                      <w:spacing w:val="-2"/>
                                      <w:sz w:val="16"/>
                                    </w:rPr>
                                    <w:t>Exposure</w:t>
                                  </w:r>
                                </w:p>
                              </w:tc>
                              <w:tc>
                                <w:tcPr>
                                  <w:tcW w:w="1573" w:type="dxa"/>
                                  <w:tcBorders>
                                    <w:bottom w:val="single" w:sz="8" w:space="0" w:color="6C6C6C"/>
                                  </w:tcBorders>
                                </w:tcPr>
                                <w:p>
                                  <w:pPr>
                                    <w:pStyle w:val="TableParagraph"/>
                                    <w:spacing w:line="208" w:lineRule="auto" w:before="41"/>
                                    <w:ind w:left="351" w:right="542" w:firstLine="160"/>
                                    <w:rPr>
                                      <w:rFonts w:ascii="Arial"/>
                                      <w:i/>
                                      <w:sz w:val="16"/>
                                    </w:rPr>
                                  </w:pPr>
                                  <w:r>
                                    <w:rPr>
                                      <w:rFonts w:ascii="Arial"/>
                                      <w:i/>
                                      <w:color w:val="484848"/>
                                      <w:spacing w:val="-2"/>
                                      <w:sz w:val="16"/>
                                    </w:rPr>
                                    <w:t>Total Exposure</w:t>
                                  </w:r>
                                </w:p>
                              </w:tc>
                              <w:tc>
                                <w:tcPr>
                                  <w:tcW w:w="706" w:type="dxa"/>
                                  <w:tcBorders>
                                    <w:bottom w:val="single" w:sz="8" w:space="0" w:color="6C6C6C"/>
                                  </w:tcBorders>
                                </w:tcPr>
                                <w:p>
                                  <w:pPr>
                                    <w:pStyle w:val="TableParagraph"/>
                                    <w:spacing w:before="21"/>
                                    <w:ind w:left="320"/>
                                    <w:rPr>
                                      <w:rFonts w:ascii="Arial"/>
                                      <w:i/>
                                      <w:sz w:val="16"/>
                                    </w:rPr>
                                  </w:pPr>
                                  <w:r>
                                    <w:rPr>
                                      <w:rFonts w:ascii="Arial"/>
                                      <w:i/>
                                      <w:color w:val="484848"/>
                                      <w:sz w:val="16"/>
                                    </w:rPr>
                                    <w:t>% </w:t>
                                  </w:r>
                                  <w:r>
                                    <w:rPr>
                                      <w:rFonts w:ascii="Arial"/>
                                      <w:i/>
                                      <w:color w:val="484848"/>
                                      <w:spacing w:val="-5"/>
                                      <w:sz w:val="16"/>
                                    </w:rPr>
                                    <w:t>of</w:t>
                                  </w:r>
                                </w:p>
                              </w:tc>
                              <w:tc>
                                <w:tcPr>
                                  <w:tcW w:w="433" w:type="dxa"/>
                                  <w:tcBorders>
                                    <w:bottom w:val="single" w:sz="8" w:space="0" w:color="6C6C6C"/>
                                  </w:tcBorders>
                                </w:tcPr>
                                <w:p>
                                  <w:pPr>
                                    <w:pStyle w:val="TableParagraph"/>
                                    <w:rPr>
                                      <w:rFonts w:ascii="Times New Roman"/>
                                      <w:sz w:val="16"/>
                                    </w:rPr>
                                  </w:pPr>
                                </w:p>
                              </w:tc>
                            </w:tr>
                            <w:tr>
                              <w:trPr>
                                <w:trHeight w:val="212" w:hRule="atLeast"/>
                              </w:trPr>
                              <w:tc>
                                <w:tcPr>
                                  <w:tcW w:w="2460" w:type="dxa"/>
                                  <w:tcBorders>
                                    <w:top w:val="single" w:sz="8" w:space="0" w:color="6C6C6C"/>
                                  </w:tcBorders>
                                </w:tcPr>
                                <w:p>
                                  <w:pPr>
                                    <w:pStyle w:val="TableParagraph"/>
                                    <w:spacing w:before="5"/>
                                    <w:ind w:left="52"/>
                                    <w:rPr>
                                      <w:sz w:val="16"/>
                                    </w:rPr>
                                  </w:pPr>
                                  <w:r>
                                    <w:rPr>
                                      <w:spacing w:val="-5"/>
                                      <w:sz w:val="16"/>
                                    </w:rPr>
                                    <w:t>AAA</w:t>
                                  </w:r>
                                </w:p>
                              </w:tc>
                              <w:tc>
                                <w:tcPr>
                                  <w:tcW w:w="1323" w:type="dxa"/>
                                  <w:tcBorders>
                                    <w:top w:val="single" w:sz="8" w:space="0" w:color="6C6C6C"/>
                                  </w:tcBorders>
                                </w:tcPr>
                                <w:p>
                                  <w:pPr>
                                    <w:pStyle w:val="TableParagraph"/>
                                    <w:tabs>
                                      <w:tab w:pos="686" w:val="left" w:leader="none"/>
                                    </w:tabs>
                                    <w:spacing w:before="5"/>
                                    <w:ind w:right="93"/>
                                    <w:jc w:val="right"/>
                                    <w:rPr>
                                      <w:sz w:val="16"/>
                                    </w:rPr>
                                  </w:pPr>
                                  <w:r>
                                    <w:rPr>
                                      <w:spacing w:val="-10"/>
                                      <w:sz w:val="16"/>
                                    </w:rPr>
                                    <w:t>$</w:t>
                                  </w:r>
                                  <w:r>
                                    <w:rPr>
                                      <w:sz w:val="16"/>
                                    </w:rPr>
                                    <w:tab/>
                                  </w:r>
                                  <w:r>
                                    <w:rPr>
                                      <w:spacing w:val="-2"/>
                                      <w:sz w:val="16"/>
                                    </w:rPr>
                                    <w:t>21,582</w:t>
                                  </w:r>
                                </w:p>
                              </w:tc>
                              <w:tc>
                                <w:tcPr>
                                  <w:tcW w:w="1483" w:type="dxa"/>
                                  <w:tcBorders>
                                    <w:top w:val="single" w:sz="8" w:space="0" w:color="6C6C6C"/>
                                  </w:tcBorders>
                                </w:tcPr>
                                <w:p>
                                  <w:pPr>
                                    <w:pStyle w:val="TableParagraph"/>
                                    <w:tabs>
                                      <w:tab w:pos="821" w:val="left" w:leader="none"/>
                                    </w:tabs>
                                    <w:spacing w:before="5"/>
                                    <w:ind w:right="76"/>
                                    <w:jc w:val="right"/>
                                    <w:rPr>
                                      <w:sz w:val="16"/>
                                    </w:rPr>
                                  </w:pPr>
                                  <w:r>
                                    <w:rPr>
                                      <w:spacing w:val="-10"/>
                                      <w:sz w:val="16"/>
                                    </w:rPr>
                                    <w:t>$</w:t>
                                  </w:r>
                                  <w:r>
                                    <w:rPr>
                                      <w:sz w:val="16"/>
                                    </w:rPr>
                                    <w:tab/>
                                  </w:r>
                                  <w:r>
                                    <w:rPr>
                                      <w:spacing w:val="-2"/>
                                      <w:sz w:val="16"/>
                                    </w:rPr>
                                    <w:t>10,398</w:t>
                                  </w:r>
                                </w:p>
                              </w:tc>
                              <w:tc>
                                <w:tcPr>
                                  <w:tcW w:w="1388" w:type="dxa"/>
                                  <w:tcBorders>
                                    <w:top w:val="single" w:sz="8" w:space="0" w:color="6C6C6C"/>
                                  </w:tcBorders>
                                </w:tcPr>
                                <w:p>
                                  <w:pPr>
                                    <w:pStyle w:val="TableParagraph"/>
                                    <w:tabs>
                                      <w:tab w:pos="1024" w:val="left" w:leader="none"/>
                                    </w:tabs>
                                    <w:spacing w:before="5"/>
                                    <w:ind w:right="90"/>
                                    <w:jc w:val="right"/>
                                    <w:rPr>
                                      <w:sz w:val="16"/>
                                    </w:rPr>
                                  </w:pPr>
                                  <w:r>
                                    <w:rPr>
                                      <w:spacing w:val="-10"/>
                                      <w:sz w:val="16"/>
                                    </w:rPr>
                                    <w:t>$</w:t>
                                  </w:r>
                                  <w:r>
                                    <w:rPr>
                                      <w:sz w:val="16"/>
                                    </w:rPr>
                                    <w:tab/>
                                    <w:t>—</w:t>
                                  </w:r>
                                </w:p>
                              </w:tc>
                              <w:tc>
                                <w:tcPr>
                                  <w:tcW w:w="1573" w:type="dxa"/>
                                  <w:tcBorders>
                                    <w:top w:val="single" w:sz="8" w:space="0" w:color="6C6C6C"/>
                                  </w:tcBorders>
                                </w:tcPr>
                                <w:p>
                                  <w:pPr>
                                    <w:pStyle w:val="TableParagraph"/>
                                    <w:tabs>
                                      <w:tab w:pos="686" w:val="left" w:leader="none"/>
                                    </w:tabs>
                                    <w:spacing w:before="5"/>
                                    <w:ind w:right="307"/>
                                    <w:jc w:val="right"/>
                                    <w:rPr>
                                      <w:sz w:val="16"/>
                                    </w:rPr>
                                  </w:pPr>
                                  <w:r>
                                    <w:rPr>
                                      <w:spacing w:val="-10"/>
                                      <w:sz w:val="16"/>
                                    </w:rPr>
                                    <w:t>$</w:t>
                                  </w:r>
                                  <w:r>
                                    <w:rPr>
                                      <w:sz w:val="16"/>
                                    </w:rPr>
                                    <w:tab/>
                                  </w:r>
                                  <w:r>
                                    <w:rPr>
                                      <w:spacing w:val="-2"/>
                                      <w:sz w:val="16"/>
                                    </w:rPr>
                                    <w:t>31,980</w:t>
                                  </w:r>
                                </w:p>
                              </w:tc>
                              <w:tc>
                                <w:tcPr>
                                  <w:tcW w:w="706" w:type="dxa"/>
                                  <w:tcBorders>
                                    <w:top w:val="single" w:sz="8" w:space="0" w:color="6C6C6C"/>
                                  </w:tcBorders>
                                </w:tcPr>
                                <w:p>
                                  <w:pPr>
                                    <w:pStyle w:val="TableParagraph"/>
                                    <w:rPr>
                                      <w:rFonts w:ascii="Times New Roman"/>
                                      <w:sz w:val="14"/>
                                    </w:rPr>
                                  </w:pPr>
                                </w:p>
                              </w:tc>
                              <w:tc>
                                <w:tcPr>
                                  <w:tcW w:w="433" w:type="dxa"/>
                                  <w:tcBorders>
                                    <w:top w:val="single" w:sz="8" w:space="0" w:color="6C6C6C"/>
                                  </w:tcBorders>
                                </w:tcPr>
                                <w:p>
                                  <w:pPr>
                                    <w:pStyle w:val="TableParagraph"/>
                                    <w:spacing w:before="5"/>
                                    <w:ind w:left="38"/>
                                    <w:rPr>
                                      <w:sz w:val="16"/>
                                    </w:rPr>
                                  </w:pPr>
                                  <w:r>
                                    <w:rPr>
                                      <w:sz w:val="16"/>
                                    </w:rPr>
                                    <w:t>40</w:t>
                                  </w:r>
                                  <w:r>
                                    <w:rPr>
                                      <w:spacing w:val="7"/>
                                      <w:sz w:val="16"/>
                                    </w:rPr>
                                    <w:t> </w:t>
                                  </w:r>
                                  <w:r>
                                    <w:rPr>
                                      <w:spacing w:val="-10"/>
                                      <w:sz w:val="16"/>
                                    </w:rPr>
                                    <w:t>%</w:t>
                                  </w:r>
                                </w:p>
                              </w:tc>
                            </w:tr>
                            <w:tr>
                              <w:trPr>
                                <w:trHeight w:val="225" w:hRule="atLeast"/>
                              </w:trPr>
                              <w:tc>
                                <w:tcPr>
                                  <w:tcW w:w="2460" w:type="dxa"/>
                                </w:tcPr>
                                <w:p>
                                  <w:pPr>
                                    <w:pStyle w:val="TableParagraph"/>
                                    <w:spacing w:before="18"/>
                                    <w:ind w:left="52"/>
                                    <w:rPr>
                                      <w:sz w:val="16"/>
                                    </w:rPr>
                                  </w:pPr>
                                  <w:r>
                                    <w:rPr>
                                      <w:spacing w:val="-5"/>
                                      <w:sz w:val="16"/>
                                    </w:rPr>
                                    <w:t>AA</w:t>
                                  </w:r>
                                </w:p>
                              </w:tc>
                              <w:tc>
                                <w:tcPr>
                                  <w:tcW w:w="1323" w:type="dxa"/>
                                </w:tcPr>
                                <w:p>
                                  <w:pPr>
                                    <w:pStyle w:val="TableParagraph"/>
                                    <w:spacing w:before="18"/>
                                    <w:ind w:right="93"/>
                                    <w:jc w:val="right"/>
                                    <w:rPr>
                                      <w:sz w:val="16"/>
                                    </w:rPr>
                                  </w:pPr>
                                  <w:r>
                                    <w:rPr>
                                      <w:spacing w:val="-2"/>
                                      <w:sz w:val="16"/>
                                    </w:rPr>
                                    <w:t>1,520</w:t>
                                  </w:r>
                                </w:p>
                              </w:tc>
                              <w:tc>
                                <w:tcPr>
                                  <w:tcW w:w="1483" w:type="dxa"/>
                                </w:tcPr>
                                <w:p>
                                  <w:pPr>
                                    <w:pStyle w:val="TableParagraph"/>
                                    <w:spacing w:before="18"/>
                                    <w:ind w:right="76"/>
                                    <w:jc w:val="right"/>
                                    <w:rPr>
                                      <w:sz w:val="16"/>
                                    </w:rPr>
                                  </w:pPr>
                                  <w:r>
                                    <w:rPr>
                                      <w:spacing w:val="-2"/>
                                      <w:sz w:val="16"/>
                                    </w:rPr>
                                    <w:t>28,413</w:t>
                                  </w:r>
                                </w:p>
                              </w:tc>
                              <w:tc>
                                <w:tcPr>
                                  <w:tcW w:w="1388" w:type="dxa"/>
                                </w:tcPr>
                                <w:p>
                                  <w:pPr>
                                    <w:pStyle w:val="TableParagraph"/>
                                    <w:spacing w:before="18"/>
                                    <w:ind w:right="99"/>
                                    <w:jc w:val="right"/>
                                    <w:rPr>
                                      <w:sz w:val="16"/>
                                    </w:rPr>
                                  </w:pPr>
                                  <w:r>
                                    <w:rPr>
                                      <w:spacing w:val="-5"/>
                                      <w:sz w:val="16"/>
                                    </w:rPr>
                                    <w:t>68</w:t>
                                  </w:r>
                                </w:p>
                              </w:tc>
                              <w:tc>
                                <w:tcPr>
                                  <w:tcW w:w="1573" w:type="dxa"/>
                                </w:tcPr>
                                <w:p>
                                  <w:pPr>
                                    <w:pStyle w:val="TableParagraph"/>
                                    <w:spacing w:before="18"/>
                                    <w:ind w:right="307"/>
                                    <w:jc w:val="right"/>
                                    <w:rPr>
                                      <w:sz w:val="16"/>
                                    </w:rPr>
                                  </w:pPr>
                                  <w:r>
                                    <w:rPr>
                                      <w:spacing w:val="-2"/>
                                      <w:sz w:val="16"/>
                                    </w:rPr>
                                    <w:t>30,001</w:t>
                                  </w:r>
                                </w:p>
                              </w:tc>
                              <w:tc>
                                <w:tcPr>
                                  <w:tcW w:w="706" w:type="dxa"/>
                                </w:tcPr>
                                <w:p>
                                  <w:pPr>
                                    <w:pStyle w:val="TableParagraph"/>
                                    <w:rPr>
                                      <w:rFonts w:ascii="Times New Roman"/>
                                      <w:sz w:val="16"/>
                                    </w:rPr>
                                  </w:pPr>
                                </w:p>
                              </w:tc>
                              <w:tc>
                                <w:tcPr>
                                  <w:tcW w:w="433" w:type="dxa"/>
                                </w:tcPr>
                                <w:p>
                                  <w:pPr>
                                    <w:pStyle w:val="TableParagraph"/>
                                    <w:spacing w:before="18"/>
                                    <w:ind w:left="38"/>
                                    <w:rPr>
                                      <w:sz w:val="16"/>
                                    </w:rPr>
                                  </w:pPr>
                                  <w:r>
                                    <w:rPr>
                                      <w:spacing w:val="-5"/>
                                      <w:sz w:val="16"/>
                                    </w:rPr>
                                    <w:t>37</w:t>
                                  </w:r>
                                </w:p>
                              </w:tc>
                            </w:tr>
                            <w:tr>
                              <w:trPr>
                                <w:trHeight w:val="201" w:hRule="atLeast"/>
                              </w:trPr>
                              <w:tc>
                                <w:tcPr>
                                  <w:tcW w:w="2460" w:type="dxa"/>
                                </w:tcPr>
                                <w:p>
                                  <w:pPr>
                                    <w:pStyle w:val="TableParagraph"/>
                                    <w:spacing w:line="164" w:lineRule="exact" w:before="18"/>
                                    <w:ind w:left="52"/>
                                    <w:rPr>
                                      <w:sz w:val="16"/>
                                    </w:rPr>
                                  </w:pPr>
                                  <w:r>
                                    <w:rPr>
                                      <w:spacing w:val="-10"/>
                                      <w:sz w:val="16"/>
                                    </w:rPr>
                                    <w:t>A</w:t>
                                  </w:r>
                                </w:p>
                              </w:tc>
                              <w:tc>
                                <w:tcPr>
                                  <w:tcW w:w="1323" w:type="dxa"/>
                                </w:tcPr>
                                <w:p>
                                  <w:pPr>
                                    <w:pStyle w:val="TableParagraph"/>
                                    <w:spacing w:line="164" w:lineRule="exact" w:before="18"/>
                                    <w:ind w:right="93"/>
                                    <w:jc w:val="right"/>
                                    <w:rPr>
                                      <w:sz w:val="16"/>
                                    </w:rPr>
                                  </w:pPr>
                                  <w:r>
                                    <w:rPr>
                                      <w:spacing w:val="-2"/>
                                      <w:sz w:val="16"/>
                                    </w:rPr>
                                    <w:t>6,060</w:t>
                                  </w:r>
                                </w:p>
                              </w:tc>
                              <w:tc>
                                <w:tcPr>
                                  <w:tcW w:w="1483" w:type="dxa"/>
                                </w:tcPr>
                                <w:p>
                                  <w:pPr>
                                    <w:pStyle w:val="TableParagraph"/>
                                    <w:spacing w:line="164" w:lineRule="exact" w:before="18"/>
                                    <w:ind w:right="76"/>
                                    <w:jc w:val="right"/>
                                    <w:rPr>
                                      <w:sz w:val="16"/>
                                    </w:rPr>
                                  </w:pPr>
                                  <w:r>
                                    <w:rPr>
                                      <w:spacing w:val="-2"/>
                                      <w:sz w:val="16"/>
                                    </w:rPr>
                                    <w:t>11,890</w:t>
                                  </w:r>
                                </w:p>
                              </w:tc>
                              <w:tc>
                                <w:tcPr>
                                  <w:tcW w:w="1388" w:type="dxa"/>
                                </w:tcPr>
                                <w:p>
                                  <w:pPr>
                                    <w:pStyle w:val="TableParagraph"/>
                                    <w:spacing w:line="164" w:lineRule="exact" w:before="18"/>
                                    <w:ind w:right="99"/>
                                    <w:jc w:val="right"/>
                                    <w:rPr>
                                      <w:sz w:val="16"/>
                                    </w:rPr>
                                  </w:pPr>
                                  <w:r>
                                    <w:rPr>
                                      <w:spacing w:val="-5"/>
                                      <w:sz w:val="16"/>
                                    </w:rPr>
                                    <w:t>88</w:t>
                                  </w:r>
                                </w:p>
                              </w:tc>
                              <w:tc>
                                <w:tcPr>
                                  <w:tcW w:w="1573" w:type="dxa"/>
                                </w:tcPr>
                                <w:p>
                                  <w:pPr>
                                    <w:pStyle w:val="TableParagraph"/>
                                    <w:spacing w:line="164" w:lineRule="exact" w:before="18"/>
                                    <w:ind w:right="307"/>
                                    <w:jc w:val="right"/>
                                    <w:rPr>
                                      <w:sz w:val="16"/>
                                    </w:rPr>
                                  </w:pPr>
                                  <w:r>
                                    <w:rPr>
                                      <w:spacing w:val="-2"/>
                                      <w:sz w:val="16"/>
                                    </w:rPr>
                                    <w:t>18,038</w:t>
                                  </w:r>
                                </w:p>
                              </w:tc>
                              <w:tc>
                                <w:tcPr>
                                  <w:tcW w:w="706" w:type="dxa"/>
                                </w:tcPr>
                                <w:p>
                                  <w:pPr>
                                    <w:pStyle w:val="TableParagraph"/>
                                    <w:rPr>
                                      <w:rFonts w:ascii="Times New Roman"/>
                                      <w:sz w:val="14"/>
                                    </w:rPr>
                                  </w:pPr>
                                </w:p>
                              </w:tc>
                              <w:tc>
                                <w:tcPr>
                                  <w:tcW w:w="433" w:type="dxa"/>
                                </w:tcPr>
                                <w:p>
                                  <w:pPr>
                                    <w:pStyle w:val="TableParagraph"/>
                                    <w:spacing w:line="164" w:lineRule="exact" w:before="18"/>
                                    <w:ind w:left="38"/>
                                    <w:rPr>
                                      <w:sz w:val="16"/>
                                    </w:rPr>
                                  </w:pPr>
                                  <w:r>
                                    <w:rPr>
                                      <w:spacing w:val="-5"/>
                                      <w:sz w:val="16"/>
                                    </w:rPr>
                                    <w:t>23</w:t>
                                  </w:r>
                                </w:p>
                              </w:tc>
                            </w:tr>
                            <w:tr>
                              <w:trPr>
                                <w:trHeight w:val="248" w:hRule="atLeast"/>
                              </w:trPr>
                              <w:tc>
                                <w:tcPr>
                                  <w:tcW w:w="2460" w:type="dxa"/>
                                </w:tcPr>
                                <w:p>
                                  <w:pPr>
                                    <w:pStyle w:val="TableParagraph"/>
                                    <w:spacing w:before="41"/>
                                    <w:ind w:left="52"/>
                                    <w:rPr>
                                      <w:sz w:val="16"/>
                                    </w:rPr>
                                  </w:pPr>
                                  <w:r>
                                    <w:rPr>
                                      <w:spacing w:val="-5"/>
                                      <w:sz w:val="16"/>
                                    </w:rPr>
                                    <w:t>BBB</w:t>
                                  </w:r>
                                </w:p>
                              </w:tc>
                              <w:tc>
                                <w:tcPr>
                                  <w:tcW w:w="1323" w:type="dxa"/>
                                </w:tcPr>
                                <w:p>
                                  <w:pPr>
                                    <w:pStyle w:val="TableParagraph"/>
                                    <w:spacing w:before="41"/>
                                    <w:ind w:right="93"/>
                                    <w:jc w:val="right"/>
                                    <w:rPr>
                                      <w:sz w:val="16"/>
                                    </w:rPr>
                                  </w:pPr>
                                  <w:r>
                                    <w:rPr>
                                      <w:sz w:val="16"/>
                                    </w:rPr>
                                    <w:t>—</w:t>
                                  </w:r>
                                </w:p>
                              </w:tc>
                              <w:tc>
                                <w:tcPr>
                                  <w:tcW w:w="1483" w:type="dxa"/>
                                </w:tcPr>
                                <w:p>
                                  <w:pPr>
                                    <w:pStyle w:val="TableParagraph"/>
                                    <w:spacing w:before="41"/>
                                    <w:ind w:right="76"/>
                                    <w:jc w:val="right"/>
                                    <w:rPr>
                                      <w:sz w:val="16"/>
                                    </w:rPr>
                                  </w:pPr>
                                  <w:r>
                                    <w:rPr>
                                      <w:spacing w:val="-5"/>
                                      <w:sz w:val="16"/>
                                    </w:rPr>
                                    <w:t>48</w:t>
                                  </w:r>
                                </w:p>
                              </w:tc>
                              <w:tc>
                                <w:tcPr>
                                  <w:tcW w:w="1388" w:type="dxa"/>
                                </w:tcPr>
                                <w:p>
                                  <w:pPr>
                                    <w:pStyle w:val="TableParagraph"/>
                                    <w:spacing w:before="41"/>
                                    <w:ind w:right="99"/>
                                    <w:jc w:val="right"/>
                                    <w:rPr>
                                      <w:sz w:val="16"/>
                                    </w:rPr>
                                  </w:pPr>
                                  <w:r>
                                    <w:rPr>
                                      <w:sz w:val="16"/>
                                    </w:rPr>
                                    <w:t>—</w:t>
                                  </w:r>
                                </w:p>
                              </w:tc>
                              <w:tc>
                                <w:tcPr>
                                  <w:tcW w:w="1573" w:type="dxa"/>
                                </w:tcPr>
                                <w:p>
                                  <w:pPr>
                                    <w:pStyle w:val="TableParagraph"/>
                                    <w:spacing w:before="41"/>
                                    <w:ind w:right="307"/>
                                    <w:jc w:val="right"/>
                                    <w:rPr>
                                      <w:sz w:val="16"/>
                                    </w:rPr>
                                  </w:pPr>
                                  <w:r>
                                    <w:rPr>
                                      <w:spacing w:val="-5"/>
                                      <w:sz w:val="16"/>
                                    </w:rPr>
                                    <w:t>48</w:t>
                                  </w:r>
                                </w:p>
                              </w:tc>
                              <w:tc>
                                <w:tcPr>
                                  <w:tcW w:w="1139" w:type="dxa"/>
                                  <w:gridSpan w:val="2"/>
                                </w:tcPr>
                                <w:p>
                                  <w:pPr>
                                    <w:pStyle w:val="TableParagraph"/>
                                    <w:spacing w:before="41"/>
                                    <w:ind w:right="138"/>
                                    <w:jc w:val="right"/>
                                    <w:rPr>
                                      <w:sz w:val="16"/>
                                    </w:rPr>
                                  </w:pPr>
                                  <w:r>
                                    <w:rPr>
                                      <w:spacing w:val="-10"/>
                                      <w:sz w:val="16"/>
                                    </w:rPr>
                                    <w:t>*</w:t>
                                  </w:r>
                                </w:p>
                              </w:tc>
                            </w:tr>
                            <w:tr>
                              <w:trPr>
                                <w:trHeight w:val="217" w:hRule="atLeast"/>
                              </w:trPr>
                              <w:tc>
                                <w:tcPr>
                                  <w:tcW w:w="2460" w:type="dxa"/>
                                </w:tcPr>
                                <w:p>
                                  <w:pPr>
                                    <w:pStyle w:val="TableParagraph"/>
                                    <w:spacing w:line="180" w:lineRule="exact" w:before="18"/>
                                    <w:ind w:left="52"/>
                                    <w:rPr>
                                      <w:sz w:val="16"/>
                                    </w:rPr>
                                  </w:pPr>
                                  <w:r>
                                    <w:rPr>
                                      <w:sz w:val="16"/>
                                    </w:rPr>
                                    <w:t>BB</w:t>
                                  </w:r>
                                  <w:r>
                                    <w:rPr>
                                      <w:spacing w:val="-1"/>
                                      <w:sz w:val="16"/>
                                    </w:rPr>
                                    <w:t> </w:t>
                                  </w:r>
                                  <w:r>
                                    <w:rPr>
                                      <w:sz w:val="16"/>
                                    </w:rPr>
                                    <w:t>or </w:t>
                                  </w:r>
                                  <w:r>
                                    <w:rPr>
                                      <w:spacing w:val="-2"/>
                                      <w:sz w:val="16"/>
                                    </w:rPr>
                                    <w:t>lower/unrated</w:t>
                                  </w:r>
                                </w:p>
                              </w:tc>
                              <w:tc>
                                <w:tcPr>
                                  <w:tcW w:w="1323" w:type="dxa"/>
                                  <w:tcBorders>
                                    <w:bottom w:val="single" w:sz="8" w:space="0" w:color="6C6C6C"/>
                                  </w:tcBorders>
                                </w:tcPr>
                                <w:p>
                                  <w:pPr>
                                    <w:pStyle w:val="TableParagraph"/>
                                    <w:spacing w:line="180" w:lineRule="exact" w:before="18"/>
                                    <w:ind w:right="93"/>
                                    <w:jc w:val="right"/>
                                    <w:rPr>
                                      <w:sz w:val="16"/>
                                    </w:rPr>
                                  </w:pPr>
                                  <w:r>
                                    <w:rPr>
                                      <w:spacing w:val="-5"/>
                                      <w:sz w:val="16"/>
                                    </w:rPr>
                                    <w:t>39</w:t>
                                  </w:r>
                                </w:p>
                              </w:tc>
                              <w:tc>
                                <w:tcPr>
                                  <w:tcW w:w="1483" w:type="dxa"/>
                                  <w:tcBorders>
                                    <w:bottom w:val="single" w:sz="8" w:space="0" w:color="6C6C6C"/>
                                  </w:tcBorders>
                                </w:tcPr>
                                <w:p>
                                  <w:pPr>
                                    <w:pStyle w:val="TableParagraph"/>
                                    <w:spacing w:line="180" w:lineRule="exact" w:before="18"/>
                                    <w:ind w:right="76"/>
                                    <w:jc w:val="right"/>
                                    <w:rPr>
                                      <w:sz w:val="16"/>
                                    </w:rPr>
                                  </w:pPr>
                                  <w:r>
                                    <w:rPr>
                                      <w:spacing w:val="-10"/>
                                      <w:sz w:val="16"/>
                                    </w:rPr>
                                    <w:t>5</w:t>
                                  </w:r>
                                </w:p>
                              </w:tc>
                              <w:tc>
                                <w:tcPr>
                                  <w:tcW w:w="1388" w:type="dxa"/>
                                  <w:tcBorders>
                                    <w:bottom w:val="single" w:sz="8" w:space="0" w:color="6C6C6C"/>
                                  </w:tcBorders>
                                </w:tcPr>
                                <w:p>
                                  <w:pPr>
                                    <w:pStyle w:val="TableParagraph"/>
                                    <w:spacing w:line="180" w:lineRule="exact" w:before="18"/>
                                    <w:ind w:right="99"/>
                                    <w:jc w:val="right"/>
                                    <w:rPr>
                                      <w:sz w:val="16"/>
                                    </w:rPr>
                                  </w:pPr>
                                  <w:r>
                                    <w:rPr>
                                      <w:spacing w:val="-10"/>
                                      <w:sz w:val="16"/>
                                    </w:rPr>
                                    <w:t>2</w:t>
                                  </w:r>
                                </w:p>
                              </w:tc>
                              <w:tc>
                                <w:tcPr>
                                  <w:tcW w:w="1573" w:type="dxa"/>
                                  <w:tcBorders>
                                    <w:bottom w:val="single" w:sz="8" w:space="0" w:color="6C6C6C"/>
                                  </w:tcBorders>
                                </w:tcPr>
                                <w:p>
                                  <w:pPr>
                                    <w:pStyle w:val="TableParagraph"/>
                                    <w:spacing w:line="180" w:lineRule="exact" w:before="18"/>
                                    <w:ind w:right="307"/>
                                    <w:jc w:val="right"/>
                                    <w:rPr>
                                      <w:sz w:val="16"/>
                                    </w:rPr>
                                  </w:pPr>
                                  <w:r>
                                    <w:rPr>
                                      <w:spacing w:val="-5"/>
                                      <w:sz w:val="16"/>
                                    </w:rPr>
                                    <w:t>46</w:t>
                                  </w:r>
                                </w:p>
                              </w:tc>
                              <w:tc>
                                <w:tcPr>
                                  <w:tcW w:w="1139" w:type="dxa"/>
                                  <w:gridSpan w:val="2"/>
                                  <w:tcBorders>
                                    <w:bottom w:val="single" w:sz="8" w:space="0" w:color="6C6C6C"/>
                                  </w:tcBorders>
                                </w:tcPr>
                                <w:p>
                                  <w:pPr>
                                    <w:pStyle w:val="TableParagraph"/>
                                    <w:spacing w:line="180" w:lineRule="exact" w:before="18"/>
                                    <w:ind w:right="138"/>
                                    <w:jc w:val="right"/>
                                    <w:rPr>
                                      <w:sz w:val="16"/>
                                    </w:rPr>
                                  </w:pPr>
                                  <w:r>
                                    <w:rPr>
                                      <w:spacing w:val="-10"/>
                                      <w:sz w:val="16"/>
                                    </w:rPr>
                                    <w:t>*</w:t>
                                  </w:r>
                                </w:p>
                              </w:tc>
                            </w:tr>
                            <w:tr>
                              <w:trPr>
                                <w:trHeight w:val="185" w:hRule="atLeast"/>
                              </w:trPr>
                              <w:tc>
                                <w:tcPr>
                                  <w:tcW w:w="2460" w:type="dxa"/>
                                </w:tcPr>
                                <w:p>
                                  <w:pPr>
                                    <w:pStyle w:val="TableParagraph"/>
                                    <w:spacing w:line="160" w:lineRule="exact" w:before="5"/>
                                    <w:ind w:left="52"/>
                                    <w:rPr>
                                      <w:rFonts w:ascii="Arial"/>
                                      <w:b/>
                                      <w:sz w:val="16"/>
                                    </w:rPr>
                                  </w:pPr>
                                  <w:r>
                                    <w:rPr>
                                      <w:rFonts w:ascii="Arial"/>
                                      <w:b/>
                                      <w:spacing w:val="-2"/>
                                      <w:sz w:val="16"/>
                                    </w:rPr>
                                    <w:t>Total</w:t>
                                  </w:r>
                                </w:p>
                              </w:tc>
                              <w:tc>
                                <w:tcPr>
                                  <w:tcW w:w="1323" w:type="dxa"/>
                                  <w:tcBorders>
                                    <w:top w:val="single" w:sz="8" w:space="0" w:color="6C6C6C"/>
                                    <w:bottom w:val="double" w:sz="8" w:space="0" w:color="6C6C6C"/>
                                  </w:tcBorders>
                                </w:tcPr>
                                <w:p>
                                  <w:pPr>
                                    <w:pStyle w:val="TableParagraph"/>
                                    <w:tabs>
                                      <w:tab w:pos="686" w:val="left" w:leader="none"/>
                                    </w:tabs>
                                    <w:spacing w:line="160" w:lineRule="exact" w:before="5"/>
                                    <w:ind w:right="93"/>
                                    <w:jc w:val="right"/>
                                    <w:rPr>
                                      <w:rFonts w:ascii="Arial"/>
                                      <w:b/>
                                      <w:sz w:val="16"/>
                                    </w:rPr>
                                  </w:pPr>
                                  <w:r>
                                    <w:rPr>
                                      <w:rFonts w:ascii="Arial"/>
                                      <w:b/>
                                      <w:spacing w:val="-10"/>
                                      <w:sz w:val="16"/>
                                    </w:rPr>
                                    <w:t>$</w:t>
                                  </w:r>
                                  <w:r>
                                    <w:rPr>
                                      <w:rFonts w:ascii="Arial"/>
                                      <w:b/>
                                      <w:sz w:val="16"/>
                                    </w:rPr>
                                    <w:tab/>
                                  </w:r>
                                  <w:r>
                                    <w:rPr>
                                      <w:rFonts w:ascii="Arial"/>
                                      <w:b/>
                                      <w:spacing w:val="-2"/>
                                      <w:sz w:val="16"/>
                                    </w:rPr>
                                    <w:t>29,201</w:t>
                                  </w:r>
                                </w:p>
                              </w:tc>
                              <w:tc>
                                <w:tcPr>
                                  <w:tcW w:w="1483" w:type="dxa"/>
                                  <w:tcBorders>
                                    <w:top w:val="single" w:sz="8" w:space="0" w:color="6C6C6C"/>
                                    <w:bottom w:val="double" w:sz="8" w:space="0" w:color="6C6C6C"/>
                                  </w:tcBorders>
                                </w:tcPr>
                                <w:p>
                                  <w:pPr>
                                    <w:pStyle w:val="TableParagraph"/>
                                    <w:tabs>
                                      <w:tab w:pos="821" w:val="left" w:leader="none"/>
                                    </w:tabs>
                                    <w:spacing w:line="160" w:lineRule="exact" w:before="5"/>
                                    <w:ind w:right="76"/>
                                    <w:jc w:val="right"/>
                                    <w:rPr>
                                      <w:rFonts w:ascii="Arial"/>
                                      <w:b/>
                                      <w:sz w:val="16"/>
                                    </w:rPr>
                                  </w:pPr>
                                  <w:r>
                                    <w:rPr>
                                      <w:rFonts w:ascii="Arial"/>
                                      <w:b/>
                                      <w:spacing w:val="-10"/>
                                      <w:sz w:val="16"/>
                                    </w:rPr>
                                    <w:t>$</w:t>
                                  </w:r>
                                  <w:r>
                                    <w:rPr>
                                      <w:rFonts w:ascii="Arial"/>
                                      <w:b/>
                                      <w:sz w:val="16"/>
                                    </w:rPr>
                                    <w:tab/>
                                  </w:r>
                                  <w:r>
                                    <w:rPr>
                                      <w:rFonts w:ascii="Arial"/>
                                      <w:b/>
                                      <w:spacing w:val="-2"/>
                                      <w:sz w:val="16"/>
                                    </w:rPr>
                                    <w:t>50,754</w:t>
                                  </w:r>
                                </w:p>
                              </w:tc>
                              <w:tc>
                                <w:tcPr>
                                  <w:tcW w:w="1388" w:type="dxa"/>
                                  <w:tcBorders>
                                    <w:top w:val="single" w:sz="8" w:space="0" w:color="6C6C6C"/>
                                    <w:bottom w:val="double" w:sz="8" w:space="0" w:color="6C6C6C"/>
                                  </w:tcBorders>
                                </w:tcPr>
                                <w:p>
                                  <w:pPr>
                                    <w:pStyle w:val="TableParagraph"/>
                                    <w:tabs>
                                      <w:tab w:pos="908" w:val="left" w:leader="none"/>
                                    </w:tabs>
                                    <w:spacing w:line="160" w:lineRule="exact" w:before="5"/>
                                    <w:ind w:right="99"/>
                                    <w:jc w:val="right"/>
                                    <w:rPr>
                                      <w:rFonts w:ascii="Arial"/>
                                      <w:b/>
                                      <w:sz w:val="16"/>
                                    </w:rPr>
                                  </w:pPr>
                                  <w:r>
                                    <w:rPr>
                                      <w:rFonts w:ascii="Arial"/>
                                      <w:b/>
                                      <w:spacing w:val="-10"/>
                                      <w:sz w:val="16"/>
                                    </w:rPr>
                                    <w:t>$</w:t>
                                  </w:r>
                                  <w:r>
                                    <w:rPr>
                                      <w:rFonts w:ascii="Arial"/>
                                      <w:b/>
                                      <w:sz w:val="16"/>
                                    </w:rPr>
                                    <w:tab/>
                                  </w:r>
                                  <w:r>
                                    <w:rPr>
                                      <w:rFonts w:ascii="Arial"/>
                                      <w:b/>
                                      <w:spacing w:val="-5"/>
                                      <w:sz w:val="16"/>
                                    </w:rPr>
                                    <w:t>158</w:t>
                                  </w:r>
                                </w:p>
                              </w:tc>
                              <w:tc>
                                <w:tcPr>
                                  <w:tcW w:w="1573" w:type="dxa"/>
                                  <w:tcBorders>
                                    <w:top w:val="single" w:sz="8" w:space="0" w:color="6C6C6C"/>
                                    <w:bottom w:val="double" w:sz="8" w:space="0" w:color="6C6C6C"/>
                                  </w:tcBorders>
                                </w:tcPr>
                                <w:p>
                                  <w:pPr>
                                    <w:pStyle w:val="TableParagraph"/>
                                    <w:tabs>
                                      <w:tab w:pos="686" w:val="left" w:leader="none"/>
                                    </w:tabs>
                                    <w:spacing w:line="160" w:lineRule="exact" w:before="5"/>
                                    <w:ind w:right="307"/>
                                    <w:jc w:val="right"/>
                                    <w:rPr>
                                      <w:rFonts w:ascii="Arial"/>
                                      <w:b/>
                                      <w:sz w:val="16"/>
                                    </w:rPr>
                                  </w:pPr>
                                  <w:r>
                                    <w:rPr>
                                      <w:rFonts w:ascii="Arial"/>
                                      <w:b/>
                                      <w:spacing w:val="-10"/>
                                      <w:sz w:val="16"/>
                                    </w:rPr>
                                    <w:t>$</w:t>
                                  </w:r>
                                  <w:r>
                                    <w:rPr>
                                      <w:rFonts w:ascii="Arial"/>
                                      <w:b/>
                                      <w:sz w:val="16"/>
                                    </w:rPr>
                                    <w:tab/>
                                  </w:r>
                                  <w:r>
                                    <w:rPr>
                                      <w:rFonts w:ascii="Arial"/>
                                      <w:b/>
                                      <w:spacing w:val="-2"/>
                                      <w:sz w:val="16"/>
                                    </w:rPr>
                                    <w:t>80,113</w:t>
                                  </w:r>
                                </w:p>
                              </w:tc>
                              <w:tc>
                                <w:tcPr>
                                  <w:tcW w:w="1139" w:type="dxa"/>
                                  <w:gridSpan w:val="2"/>
                                  <w:tcBorders>
                                    <w:top w:val="single" w:sz="8" w:space="0" w:color="6C6C6C"/>
                                    <w:bottom w:val="double" w:sz="8" w:space="0" w:color="6C6C6C"/>
                                  </w:tcBorders>
                                </w:tcPr>
                                <w:p>
                                  <w:pPr>
                                    <w:pStyle w:val="TableParagraph"/>
                                    <w:spacing w:line="160" w:lineRule="exact" w:before="5"/>
                                    <w:ind w:left="656"/>
                                    <w:rPr>
                                      <w:rFonts w:ascii="Arial"/>
                                      <w:b/>
                                      <w:sz w:val="16"/>
                                    </w:rPr>
                                  </w:pPr>
                                  <w:r>
                                    <w:rPr>
                                      <w:rFonts w:ascii="Arial"/>
                                      <w:b/>
                                      <w:sz w:val="16"/>
                                    </w:rPr>
                                    <w:t>100</w:t>
                                  </w:r>
                                  <w:r>
                                    <w:rPr>
                                      <w:rFonts w:ascii="Arial"/>
                                      <w:b/>
                                      <w:spacing w:val="6"/>
                                      <w:sz w:val="16"/>
                                    </w:rPr>
                                    <w:t> </w:t>
                                  </w:r>
                                  <w:r>
                                    <w:rPr>
                                      <w:rFonts w:ascii="Arial"/>
                                      <w:b/>
                                      <w:spacing w:val="-10"/>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69pt;margin-top:-9.548437pt;width:474pt;height:89.65pt;mso-position-horizontal-relative:page;mso-position-vertical-relative:paragraph;z-index:15798784" type="#_x0000_t202" id="docshape4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1323"/>
                        <w:gridCol w:w="1483"/>
                        <w:gridCol w:w="1388"/>
                        <w:gridCol w:w="1573"/>
                        <w:gridCol w:w="706"/>
                        <w:gridCol w:w="433"/>
                      </w:tblGrid>
                      <w:tr>
                        <w:trPr>
                          <w:trHeight w:val="385" w:hRule="atLeast"/>
                        </w:trPr>
                        <w:tc>
                          <w:tcPr>
                            <w:tcW w:w="2460" w:type="dxa"/>
                            <w:tcBorders>
                              <w:bottom w:val="single" w:sz="8" w:space="0" w:color="6C6C6C"/>
                            </w:tcBorders>
                          </w:tcPr>
                          <w:p>
                            <w:pPr>
                              <w:pStyle w:val="TableParagraph"/>
                              <w:spacing w:line="183" w:lineRule="exact" w:before="181"/>
                              <w:ind w:left="114"/>
                              <w:rPr>
                                <w:rFonts w:ascii="Arial"/>
                                <w:i/>
                                <w:sz w:val="16"/>
                              </w:rPr>
                            </w:pPr>
                            <w:r>
                              <w:rPr>
                                <w:rFonts w:ascii="Arial"/>
                                <w:i/>
                                <w:color w:val="484848"/>
                                <w:sz w:val="16"/>
                              </w:rPr>
                              <w:t>Counterparty</w:t>
                            </w:r>
                            <w:r>
                              <w:rPr>
                                <w:rFonts w:ascii="Arial"/>
                                <w:i/>
                                <w:color w:val="484848"/>
                                <w:spacing w:val="-6"/>
                                <w:sz w:val="16"/>
                              </w:rPr>
                              <w:t> </w:t>
                            </w:r>
                            <w:r>
                              <w:rPr>
                                <w:rFonts w:ascii="Arial"/>
                                <w:i/>
                                <w:color w:val="484848"/>
                                <w:sz w:val="16"/>
                              </w:rPr>
                              <w:t>Rating</w:t>
                            </w:r>
                            <w:r>
                              <w:rPr>
                                <w:rFonts w:ascii="Arial"/>
                                <w:i/>
                                <w:color w:val="484848"/>
                                <w:spacing w:val="-7"/>
                                <w:sz w:val="16"/>
                              </w:rPr>
                              <w:t> </w:t>
                            </w:r>
                            <w:r>
                              <w:rPr>
                                <w:rFonts w:ascii="Arial"/>
                                <w:i/>
                                <w:color w:val="484848"/>
                                <w:spacing w:val="-10"/>
                                <w:sz w:val="16"/>
                                <w:vertAlign w:val="superscript"/>
                              </w:rPr>
                              <w:t>a</w:t>
                            </w:r>
                          </w:p>
                        </w:tc>
                        <w:tc>
                          <w:tcPr>
                            <w:tcW w:w="1323" w:type="dxa"/>
                            <w:tcBorders>
                              <w:top w:val="single" w:sz="8" w:space="0" w:color="6C6C6C"/>
                              <w:bottom w:val="single" w:sz="8" w:space="0" w:color="6C6C6C"/>
                            </w:tcBorders>
                          </w:tcPr>
                          <w:p>
                            <w:pPr>
                              <w:pStyle w:val="TableParagraph"/>
                              <w:spacing w:line="183" w:lineRule="exact" w:before="181"/>
                              <w:ind w:left="252"/>
                              <w:rPr>
                                <w:rFonts w:ascii="Arial"/>
                                <w:i/>
                                <w:sz w:val="16"/>
                              </w:rPr>
                            </w:pPr>
                            <w:r>
                              <w:rPr>
                                <w:rFonts w:ascii="Arial"/>
                                <w:i/>
                                <w:color w:val="484848"/>
                                <w:spacing w:val="-2"/>
                                <w:sz w:val="16"/>
                              </w:rPr>
                              <w:t>Sovereigns</w:t>
                            </w:r>
                          </w:p>
                        </w:tc>
                        <w:tc>
                          <w:tcPr>
                            <w:tcW w:w="1483" w:type="dxa"/>
                            <w:tcBorders>
                              <w:top w:val="single" w:sz="8" w:space="0" w:color="6C6C6C"/>
                              <w:bottom w:val="single" w:sz="8" w:space="0" w:color="6C6C6C"/>
                            </w:tcBorders>
                          </w:tcPr>
                          <w:p>
                            <w:pPr>
                              <w:pStyle w:val="TableParagraph"/>
                              <w:spacing w:line="183" w:lineRule="exact" w:before="181"/>
                              <w:ind w:left="189"/>
                              <w:rPr>
                                <w:rFonts w:ascii="Arial"/>
                                <w:i/>
                                <w:sz w:val="16"/>
                              </w:rPr>
                            </w:pPr>
                            <w:r>
                              <w:rPr>
                                <w:rFonts w:ascii="Arial"/>
                                <w:i/>
                                <w:color w:val="484848"/>
                                <w:spacing w:val="-2"/>
                                <w:sz w:val="16"/>
                              </w:rPr>
                              <w:t>Non-Sovereigns</w:t>
                            </w:r>
                          </w:p>
                        </w:tc>
                        <w:tc>
                          <w:tcPr>
                            <w:tcW w:w="1388" w:type="dxa"/>
                            <w:tcBorders>
                              <w:bottom w:val="single" w:sz="8" w:space="0" w:color="6C6C6C"/>
                            </w:tcBorders>
                          </w:tcPr>
                          <w:p>
                            <w:pPr>
                              <w:pStyle w:val="TableParagraph"/>
                              <w:spacing w:line="208" w:lineRule="auto" w:before="41"/>
                              <w:ind w:left="374" w:right="321" w:hanging="9"/>
                              <w:rPr>
                                <w:rFonts w:ascii="Arial"/>
                                <w:i/>
                                <w:sz w:val="16"/>
                              </w:rPr>
                            </w:pPr>
                            <w:r>
                              <w:rPr>
                                <w:rFonts w:ascii="Arial"/>
                                <w:i/>
                                <w:color w:val="484848"/>
                                <w:sz w:val="16"/>
                              </w:rPr>
                              <w:t>Net</w:t>
                            </w:r>
                            <w:r>
                              <w:rPr>
                                <w:rFonts w:ascii="Arial"/>
                                <w:i/>
                                <w:color w:val="484848"/>
                                <w:spacing w:val="-12"/>
                                <w:sz w:val="16"/>
                              </w:rPr>
                              <w:t> </w:t>
                            </w:r>
                            <w:r>
                              <w:rPr>
                                <w:rFonts w:ascii="Arial"/>
                                <w:i/>
                                <w:color w:val="484848"/>
                                <w:sz w:val="16"/>
                              </w:rPr>
                              <w:t>Swap </w:t>
                            </w:r>
                            <w:r>
                              <w:rPr>
                                <w:rFonts w:ascii="Arial"/>
                                <w:i/>
                                <w:color w:val="484848"/>
                                <w:spacing w:val="-2"/>
                                <w:sz w:val="16"/>
                              </w:rPr>
                              <w:t>Exposure</w:t>
                            </w:r>
                          </w:p>
                        </w:tc>
                        <w:tc>
                          <w:tcPr>
                            <w:tcW w:w="1573" w:type="dxa"/>
                            <w:tcBorders>
                              <w:bottom w:val="single" w:sz="8" w:space="0" w:color="6C6C6C"/>
                            </w:tcBorders>
                          </w:tcPr>
                          <w:p>
                            <w:pPr>
                              <w:pStyle w:val="TableParagraph"/>
                              <w:spacing w:line="208" w:lineRule="auto" w:before="41"/>
                              <w:ind w:left="351" w:right="542" w:firstLine="160"/>
                              <w:rPr>
                                <w:rFonts w:ascii="Arial"/>
                                <w:i/>
                                <w:sz w:val="16"/>
                              </w:rPr>
                            </w:pPr>
                            <w:r>
                              <w:rPr>
                                <w:rFonts w:ascii="Arial"/>
                                <w:i/>
                                <w:color w:val="484848"/>
                                <w:spacing w:val="-2"/>
                                <w:sz w:val="16"/>
                              </w:rPr>
                              <w:t>Total Exposure</w:t>
                            </w:r>
                          </w:p>
                        </w:tc>
                        <w:tc>
                          <w:tcPr>
                            <w:tcW w:w="706" w:type="dxa"/>
                            <w:tcBorders>
                              <w:bottom w:val="single" w:sz="8" w:space="0" w:color="6C6C6C"/>
                            </w:tcBorders>
                          </w:tcPr>
                          <w:p>
                            <w:pPr>
                              <w:pStyle w:val="TableParagraph"/>
                              <w:spacing w:before="21"/>
                              <w:ind w:left="320"/>
                              <w:rPr>
                                <w:rFonts w:ascii="Arial"/>
                                <w:i/>
                                <w:sz w:val="16"/>
                              </w:rPr>
                            </w:pPr>
                            <w:r>
                              <w:rPr>
                                <w:rFonts w:ascii="Arial"/>
                                <w:i/>
                                <w:color w:val="484848"/>
                                <w:sz w:val="16"/>
                              </w:rPr>
                              <w:t>% </w:t>
                            </w:r>
                            <w:r>
                              <w:rPr>
                                <w:rFonts w:ascii="Arial"/>
                                <w:i/>
                                <w:color w:val="484848"/>
                                <w:spacing w:val="-5"/>
                                <w:sz w:val="16"/>
                              </w:rPr>
                              <w:t>of</w:t>
                            </w:r>
                          </w:p>
                        </w:tc>
                        <w:tc>
                          <w:tcPr>
                            <w:tcW w:w="433" w:type="dxa"/>
                            <w:tcBorders>
                              <w:bottom w:val="single" w:sz="8" w:space="0" w:color="6C6C6C"/>
                            </w:tcBorders>
                          </w:tcPr>
                          <w:p>
                            <w:pPr>
                              <w:pStyle w:val="TableParagraph"/>
                              <w:rPr>
                                <w:rFonts w:ascii="Times New Roman"/>
                                <w:sz w:val="16"/>
                              </w:rPr>
                            </w:pPr>
                          </w:p>
                        </w:tc>
                      </w:tr>
                      <w:tr>
                        <w:trPr>
                          <w:trHeight w:val="212" w:hRule="atLeast"/>
                        </w:trPr>
                        <w:tc>
                          <w:tcPr>
                            <w:tcW w:w="2460" w:type="dxa"/>
                            <w:tcBorders>
                              <w:top w:val="single" w:sz="8" w:space="0" w:color="6C6C6C"/>
                            </w:tcBorders>
                          </w:tcPr>
                          <w:p>
                            <w:pPr>
                              <w:pStyle w:val="TableParagraph"/>
                              <w:spacing w:before="5"/>
                              <w:ind w:left="52"/>
                              <w:rPr>
                                <w:sz w:val="16"/>
                              </w:rPr>
                            </w:pPr>
                            <w:r>
                              <w:rPr>
                                <w:spacing w:val="-5"/>
                                <w:sz w:val="16"/>
                              </w:rPr>
                              <w:t>AAA</w:t>
                            </w:r>
                          </w:p>
                        </w:tc>
                        <w:tc>
                          <w:tcPr>
                            <w:tcW w:w="1323" w:type="dxa"/>
                            <w:tcBorders>
                              <w:top w:val="single" w:sz="8" w:space="0" w:color="6C6C6C"/>
                            </w:tcBorders>
                          </w:tcPr>
                          <w:p>
                            <w:pPr>
                              <w:pStyle w:val="TableParagraph"/>
                              <w:tabs>
                                <w:tab w:pos="686" w:val="left" w:leader="none"/>
                              </w:tabs>
                              <w:spacing w:before="5"/>
                              <w:ind w:right="93"/>
                              <w:jc w:val="right"/>
                              <w:rPr>
                                <w:sz w:val="16"/>
                              </w:rPr>
                            </w:pPr>
                            <w:r>
                              <w:rPr>
                                <w:spacing w:val="-10"/>
                                <w:sz w:val="16"/>
                              </w:rPr>
                              <w:t>$</w:t>
                            </w:r>
                            <w:r>
                              <w:rPr>
                                <w:sz w:val="16"/>
                              </w:rPr>
                              <w:tab/>
                            </w:r>
                            <w:r>
                              <w:rPr>
                                <w:spacing w:val="-2"/>
                                <w:sz w:val="16"/>
                              </w:rPr>
                              <w:t>21,582</w:t>
                            </w:r>
                          </w:p>
                        </w:tc>
                        <w:tc>
                          <w:tcPr>
                            <w:tcW w:w="1483" w:type="dxa"/>
                            <w:tcBorders>
                              <w:top w:val="single" w:sz="8" w:space="0" w:color="6C6C6C"/>
                            </w:tcBorders>
                          </w:tcPr>
                          <w:p>
                            <w:pPr>
                              <w:pStyle w:val="TableParagraph"/>
                              <w:tabs>
                                <w:tab w:pos="821" w:val="left" w:leader="none"/>
                              </w:tabs>
                              <w:spacing w:before="5"/>
                              <w:ind w:right="76"/>
                              <w:jc w:val="right"/>
                              <w:rPr>
                                <w:sz w:val="16"/>
                              </w:rPr>
                            </w:pPr>
                            <w:r>
                              <w:rPr>
                                <w:spacing w:val="-10"/>
                                <w:sz w:val="16"/>
                              </w:rPr>
                              <w:t>$</w:t>
                            </w:r>
                            <w:r>
                              <w:rPr>
                                <w:sz w:val="16"/>
                              </w:rPr>
                              <w:tab/>
                            </w:r>
                            <w:r>
                              <w:rPr>
                                <w:spacing w:val="-2"/>
                                <w:sz w:val="16"/>
                              </w:rPr>
                              <w:t>10,398</w:t>
                            </w:r>
                          </w:p>
                        </w:tc>
                        <w:tc>
                          <w:tcPr>
                            <w:tcW w:w="1388" w:type="dxa"/>
                            <w:tcBorders>
                              <w:top w:val="single" w:sz="8" w:space="0" w:color="6C6C6C"/>
                            </w:tcBorders>
                          </w:tcPr>
                          <w:p>
                            <w:pPr>
                              <w:pStyle w:val="TableParagraph"/>
                              <w:tabs>
                                <w:tab w:pos="1024" w:val="left" w:leader="none"/>
                              </w:tabs>
                              <w:spacing w:before="5"/>
                              <w:ind w:right="90"/>
                              <w:jc w:val="right"/>
                              <w:rPr>
                                <w:sz w:val="16"/>
                              </w:rPr>
                            </w:pPr>
                            <w:r>
                              <w:rPr>
                                <w:spacing w:val="-10"/>
                                <w:sz w:val="16"/>
                              </w:rPr>
                              <w:t>$</w:t>
                            </w:r>
                            <w:r>
                              <w:rPr>
                                <w:sz w:val="16"/>
                              </w:rPr>
                              <w:tab/>
                              <w:t>—</w:t>
                            </w:r>
                          </w:p>
                        </w:tc>
                        <w:tc>
                          <w:tcPr>
                            <w:tcW w:w="1573" w:type="dxa"/>
                            <w:tcBorders>
                              <w:top w:val="single" w:sz="8" w:space="0" w:color="6C6C6C"/>
                            </w:tcBorders>
                          </w:tcPr>
                          <w:p>
                            <w:pPr>
                              <w:pStyle w:val="TableParagraph"/>
                              <w:tabs>
                                <w:tab w:pos="686" w:val="left" w:leader="none"/>
                              </w:tabs>
                              <w:spacing w:before="5"/>
                              <w:ind w:right="307"/>
                              <w:jc w:val="right"/>
                              <w:rPr>
                                <w:sz w:val="16"/>
                              </w:rPr>
                            </w:pPr>
                            <w:r>
                              <w:rPr>
                                <w:spacing w:val="-10"/>
                                <w:sz w:val="16"/>
                              </w:rPr>
                              <w:t>$</w:t>
                            </w:r>
                            <w:r>
                              <w:rPr>
                                <w:sz w:val="16"/>
                              </w:rPr>
                              <w:tab/>
                            </w:r>
                            <w:r>
                              <w:rPr>
                                <w:spacing w:val="-2"/>
                                <w:sz w:val="16"/>
                              </w:rPr>
                              <w:t>31,980</w:t>
                            </w:r>
                          </w:p>
                        </w:tc>
                        <w:tc>
                          <w:tcPr>
                            <w:tcW w:w="706" w:type="dxa"/>
                            <w:tcBorders>
                              <w:top w:val="single" w:sz="8" w:space="0" w:color="6C6C6C"/>
                            </w:tcBorders>
                          </w:tcPr>
                          <w:p>
                            <w:pPr>
                              <w:pStyle w:val="TableParagraph"/>
                              <w:rPr>
                                <w:rFonts w:ascii="Times New Roman"/>
                                <w:sz w:val="14"/>
                              </w:rPr>
                            </w:pPr>
                          </w:p>
                        </w:tc>
                        <w:tc>
                          <w:tcPr>
                            <w:tcW w:w="433" w:type="dxa"/>
                            <w:tcBorders>
                              <w:top w:val="single" w:sz="8" w:space="0" w:color="6C6C6C"/>
                            </w:tcBorders>
                          </w:tcPr>
                          <w:p>
                            <w:pPr>
                              <w:pStyle w:val="TableParagraph"/>
                              <w:spacing w:before="5"/>
                              <w:ind w:left="38"/>
                              <w:rPr>
                                <w:sz w:val="16"/>
                              </w:rPr>
                            </w:pPr>
                            <w:r>
                              <w:rPr>
                                <w:sz w:val="16"/>
                              </w:rPr>
                              <w:t>40</w:t>
                            </w:r>
                            <w:r>
                              <w:rPr>
                                <w:spacing w:val="7"/>
                                <w:sz w:val="16"/>
                              </w:rPr>
                              <w:t> </w:t>
                            </w:r>
                            <w:r>
                              <w:rPr>
                                <w:spacing w:val="-10"/>
                                <w:sz w:val="16"/>
                              </w:rPr>
                              <w:t>%</w:t>
                            </w:r>
                          </w:p>
                        </w:tc>
                      </w:tr>
                      <w:tr>
                        <w:trPr>
                          <w:trHeight w:val="225" w:hRule="atLeast"/>
                        </w:trPr>
                        <w:tc>
                          <w:tcPr>
                            <w:tcW w:w="2460" w:type="dxa"/>
                          </w:tcPr>
                          <w:p>
                            <w:pPr>
                              <w:pStyle w:val="TableParagraph"/>
                              <w:spacing w:before="18"/>
                              <w:ind w:left="52"/>
                              <w:rPr>
                                <w:sz w:val="16"/>
                              </w:rPr>
                            </w:pPr>
                            <w:r>
                              <w:rPr>
                                <w:spacing w:val="-5"/>
                                <w:sz w:val="16"/>
                              </w:rPr>
                              <w:t>AA</w:t>
                            </w:r>
                          </w:p>
                        </w:tc>
                        <w:tc>
                          <w:tcPr>
                            <w:tcW w:w="1323" w:type="dxa"/>
                          </w:tcPr>
                          <w:p>
                            <w:pPr>
                              <w:pStyle w:val="TableParagraph"/>
                              <w:spacing w:before="18"/>
                              <w:ind w:right="93"/>
                              <w:jc w:val="right"/>
                              <w:rPr>
                                <w:sz w:val="16"/>
                              </w:rPr>
                            </w:pPr>
                            <w:r>
                              <w:rPr>
                                <w:spacing w:val="-2"/>
                                <w:sz w:val="16"/>
                              </w:rPr>
                              <w:t>1,520</w:t>
                            </w:r>
                          </w:p>
                        </w:tc>
                        <w:tc>
                          <w:tcPr>
                            <w:tcW w:w="1483" w:type="dxa"/>
                          </w:tcPr>
                          <w:p>
                            <w:pPr>
                              <w:pStyle w:val="TableParagraph"/>
                              <w:spacing w:before="18"/>
                              <w:ind w:right="76"/>
                              <w:jc w:val="right"/>
                              <w:rPr>
                                <w:sz w:val="16"/>
                              </w:rPr>
                            </w:pPr>
                            <w:r>
                              <w:rPr>
                                <w:spacing w:val="-2"/>
                                <w:sz w:val="16"/>
                              </w:rPr>
                              <w:t>28,413</w:t>
                            </w:r>
                          </w:p>
                        </w:tc>
                        <w:tc>
                          <w:tcPr>
                            <w:tcW w:w="1388" w:type="dxa"/>
                          </w:tcPr>
                          <w:p>
                            <w:pPr>
                              <w:pStyle w:val="TableParagraph"/>
                              <w:spacing w:before="18"/>
                              <w:ind w:right="99"/>
                              <w:jc w:val="right"/>
                              <w:rPr>
                                <w:sz w:val="16"/>
                              </w:rPr>
                            </w:pPr>
                            <w:r>
                              <w:rPr>
                                <w:spacing w:val="-5"/>
                                <w:sz w:val="16"/>
                              </w:rPr>
                              <w:t>68</w:t>
                            </w:r>
                          </w:p>
                        </w:tc>
                        <w:tc>
                          <w:tcPr>
                            <w:tcW w:w="1573" w:type="dxa"/>
                          </w:tcPr>
                          <w:p>
                            <w:pPr>
                              <w:pStyle w:val="TableParagraph"/>
                              <w:spacing w:before="18"/>
                              <w:ind w:right="307"/>
                              <w:jc w:val="right"/>
                              <w:rPr>
                                <w:sz w:val="16"/>
                              </w:rPr>
                            </w:pPr>
                            <w:r>
                              <w:rPr>
                                <w:spacing w:val="-2"/>
                                <w:sz w:val="16"/>
                              </w:rPr>
                              <w:t>30,001</w:t>
                            </w:r>
                          </w:p>
                        </w:tc>
                        <w:tc>
                          <w:tcPr>
                            <w:tcW w:w="706" w:type="dxa"/>
                          </w:tcPr>
                          <w:p>
                            <w:pPr>
                              <w:pStyle w:val="TableParagraph"/>
                              <w:rPr>
                                <w:rFonts w:ascii="Times New Roman"/>
                                <w:sz w:val="16"/>
                              </w:rPr>
                            </w:pPr>
                          </w:p>
                        </w:tc>
                        <w:tc>
                          <w:tcPr>
                            <w:tcW w:w="433" w:type="dxa"/>
                          </w:tcPr>
                          <w:p>
                            <w:pPr>
                              <w:pStyle w:val="TableParagraph"/>
                              <w:spacing w:before="18"/>
                              <w:ind w:left="38"/>
                              <w:rPr>
                                <w:sz w:val="16"/>
                              </w:rPr>
                            </w:pPr>
                            <w:r>
                              <w:rPr>
                                <w:spacing w:val="-5"/>
                                <w:sz w:val="16"/>
                              </w:rPr>
                              <w:t>37</w:t>
                            </w:r>
                          </w:p>
                        </w:tc>
                      </w:tr>
                      <w:tr>
                        <w:trPr>
                          <w:trHeight w:val="201" w:hRule="atLeast"/>
                        </w:trPr>
                        <w:tc>
                          <w:tcPr>
                            <w:tcW w:w="2460" w:type="dxa"/>
                          </w:tcPr>
                          <w:p>
                            <w:pPr>
                              <w:pStyle w:val="TableParagraph"/>
                              <w:spacing w:line="164" w:lineRule="exact" w:before="18"/>
                              <w:ind w:left="52"/>
                              <w:rPr>
                                <w:sz w:val="16"/>
                              </w:rPr>
                            </w:pPr>
                            <w:r>
                              <w:rPr>
                                <w:spacing w:val="-10"/>
                                <w:sz w:val="16"/>
                              </w:rPr>
                              <w:t>A</w:t>
                            </w:r>
                          </w:p>
                        </w:tc>
                        <w:tc>
                          <w:tcPr>
                            <w:tcW w:w="1323" w:type="dxa"/>
                          </w:tcPr>
                          <w:p>
                            <w:pPr>
                              <w:pStyle w:val="TableParagraph"/>
                              <w:spacing w:line="164" w:lineRule="exact" w:before="18"/>
                              <w:ind w:right="93"/>
                              <w:jc w:val="right"/>
                              <w:rPr>
                                <w:sz w:val="16"/>
                              </w:rPr>
                            </w:pPr>
                            <w:r>
                              <w:rPr>
                                <w:spacing w:val="-2"/>
                                <w:sz w:val="16"/>
                              </w:rPr>
                              <w:t>6,060</w:t>
                            </w:r>
                          </w:p>
                        </w:tc>
                        <w:tc>
                          <w:tcPr>
                            <w:tcW w:w="1483" w:type="dxa"/>
                          </w:tcPr>
                          <w:p>
                            <w:pPr>
                              <w:pStyle w:val="TableParagraph"/>
                              <w:spacing w:line="164" w:lineRule="exact" w:before="18"/>
                              <w:ind w:right="76"/>
                              <w:jc w:val="right"/>
                              <w:rPr>
                                <w:sz w:val="16"/>
                              </w:rPr>
                            </w:pPr>
                            <w:r>
                              <w:rPr>
                                <w:spacing w:val="-2"/>
                                <w:sz w:val="16"/>
                              </w:rPr>
                              <w:t>11,890</w:t>
                            </w:r>
                          </w:p>
                        </w:tc>
                        <w:tc>
                          <w:tcPr>
                            <w:tcW w:w="1388" w:type="dxa"/>
                          </w:tcPr>
                          <w:p>
                            <w:pPr>
                              <w:pStyle w:val="TableParagraph"/>
                              <w:spacing w:line="164" w:lineRule="exact" w:before="18"/>
                              <w:ind w:right="99"/>
                              <w:jc w:val="right"/>
                              <w:rPr>
                                <w:sz w:val="16"/>
                              </w:rPr>
                            </w:pPr>
                            <w:r>
                              <w:rPr>
                                <w:spacing w:val="-5"/>
                                <w:sz w:val="16"/>
                              </w:rPr>
                              <w:t>88</w:t>
                            </w:r>
                          </w:p>
                        </w:tc>
                        <w:tc>
                          <w:tcPr>
                            <w:tcW w:w="1573" w:type="dxa"/>
                          </w:tcPr>
                          <w:p>
                            <w:pPr>
                              <w:pStyle w:val="TableParagraph"/>
                              <w:spacing w:line="164" w:lineRule="exact" w:before="18"/>
                              <w:ind w:right="307"/>
                              <w:jc w:val="right"/>
                              <w:rPr>
                                <w:sz w:val="16"/>
                              </w:rPr>
                            </w:pPr>
                            <w:r>
                              <w:rPr>
                                <w:spacing w:val="-2"/>
                                <w:sz w:val="16"/>
                              </w:rPr>
                              <w:t>18,038</w:t>
                            </w:r>
                          </w:p>
                        </w:tc>
                        <w:tc>
                          <w:tcPr>
                            <w:tcW w:w="706" w:type="dxa"/>
                          </w:tcPr>
                          <w:p>
                            <w:pPr>
                              <w:pStyle w:val="TableParagraph"/>
                              <w:rPr>
                                <w:rFonts w:ascii="Times New Roman"/>
                                <w:sz w:val="14"/>
                              </w:rPr>
                            </w:pPr>
                          </w:p>
                        </w:tc>
                        <w:tc>
                          <w:tcPr>
                            <w:tcW w:w="433" w:type="dxa"/>
                          </w:tcPr>
                          <w:p>
                            <w:pPr>
                              <w:pStyle w:val="TableParagraph"/>
                              <w:spacing w:line="164" w:lineRule="exact" w:before="18"/>
                              <w:ind w:left="38"/>
                              <w:rPr>
                                <w:sz w:val="16"/>
                              </w:rPr>
                            </w:pPr>
                            <w:r>
                              <w:rPr>
                                <w:spacing w:val="-5"/>
                                <w:sz w:val="16"/>
                              </w:rPr>
                              <w:t>23</w:t>
                            </w:r>
                          </w:p>
                        </w:tc>
                      </w:tr>
                      <w:tr>
                        <w:trPr>
                          <w:trHeight w:val="248" w:hRule="atLeast"/>
                        </w:trPr>
                        <w:tc>
                          <w:tcPr>
                            <w:tcW w:w="2460" w:type="dxa"/>
                          </w:tcPr>
                          <w:p>
                            <w:pPr>
                              <w:pStyle w:val="TableParagraph"/>
                              <w:spacing w:before="41"/>
                              <w:ind w:left="52"/>
                              <w:rPr>
                                <w:sz w:val="16"/>
                              </w:rPr>
                            </w:pPr>
                            <w:r>
                              <w:rPr>
                                <w:spacing w:val="-5"/>
                                <w:sz w:val="16"/>
                              </w:rPr>
                              <w:t>BBB</w:t>
                            </w:r>
                          </w:p>
                        </w:tc>
                        <w:tc>
                          <w:tcPr>
                            <w:tcW w:w="1323" w:type="dxa"/>
                          </w:tcPr>
                          <w:p>
                            <w:pPr>
                              <w:pStyle w:val="TableParagraph"/>
                              <w:spacing w:before="41"/>
                              <w:ind w:right="93"/>
                              <w:jc w:val="right"/>
                              <w:rPr>
                                <w:sz w:val="16"/>
                              </w:rPr>
                            </w:pPr>
                            <w:r>
                              <w:rPr>
                                <w:sz w:val="16"/>
                              </w:rPr>
                              <w:t>—</w:t>
                            </w:r>
                          </w:p>
                        </w:tc>
                        <w:tc>
                          <w:tcPr>
                            <w:tcW w:w="1483" w:type="dxa"/>
                          </w:tcPr>
                          <w:p>
                            <w:pPr>
                              <w:pStyle w:val="TableParagraph"/>
                              <w:spacing w:before="41"/>
                              <w:ind w:right="76"/>
                              <w:jc w:val="right"/>
                              <w:rPr>
                                <w:sz w:val="16"/>
                              </w:rPr>
                            </w:pPr>
                            <w:r>
                              <w:rPr>
                                <w:spacing w:val="-5"/>
                                <w:sz w:val="16"/>
                              </w:rPr>
                              <w:t>48</w:t>
                            </w:r>
                          </w:p>
                        </w:tc>
                        <w:tc>
                          <w:tcPr>
                            <w:tcW w:w="1388" w:type="dxa"/>
                          </w:tcPr>
                          <w:p>
                            <w:pPr>
                              <w:pStyle w:val="TableParagraph"/>
                              <w:spacing w:before="41"/>
                              <w:ind w:right="99"/>
                              <w:jc w:val="right"/>
                              <w:rPr>
                                <w:sz w:val="16"/>
                              </w:rPr>
                            </w:pPr>
                            <w:r>
                              <w:rPr>
                                <w:sz w:val="16"/>
                              </w:rPr>
                              <w:t>—</w:t>
                            </w:r>
                          </w:p>
                        </w:tc>
                        <w:tc>
                          <w:tcPr>
                            <w:tcW w:w="1573" w:type="dxa"/>
                          </w:tcPr>
                          <w:p>
                            <w:pPr>
                              <w:pStyle w:val="TableParagraph"/>
                              <w:spacing w:before="41"/>
                              <w:ind w:right="307"/>
                              <w:jc w:val="right"/>
                              <w:rPr>
                                <w:sz w:val="16"/>
                              </w:rPr>
                            </w:pPr>
                            <w:r>
                              <w:rPr>
                                <w:spacing w:val="-5"/>
                                <w:sz w:val="16"/>
                              </w:rPr>
                              <w:t>48</w:t>
                            </w:r>
                          </w:p>
                        </w:tc>
                        <w:tc>
                          <w:tcPr>
                            <w:tcW w:w="1139" w:type="dxa"/>
                            <w:gridSpan w:val="2"/>
                          </w:tcPr>
                          <w:p>
                            <w:pPr>
                              <w:pStyle w:val="TableParagraph"/>
                              <w:spacing w:before="41"/>
                              <w:ind w:right="138"/>
                              <w:jc w:val="right"/>
                              <w:rPr>
                                <w:sz w:val="16"/>
                              </w:rPr>
                            </w:pPr>
                            <w:r>
                              <w:rPr>
                                <w:spacing w:val="-10"/>
                                <w:sz w:val="16"/>
                              </w:rPr>
                              <w:t>*</w:t>
                            </w:r>
                          </w:p>
                        </w:tc>
                      </w:tr>
                      <w:tr>
                        <w:trPr>
                          <w:trHeight w:val="217" w:hRule="atLeast"/>
                        </w:trPr>
                        <w:tc>
                          <w:tcPr>
                            <w:tcW w:w="2460" w:type="dxa"/>
                          </w:tcPr>
                          <w:p>
                            <w:pPr>
                              <w:pStyle w:val="TableParagraph"/>
                              <w:spacing w:line="180" w:lineRule="exact" w:before="18"/>
                              <w:ind w:left="52"/>
                              <w:rPr>
                                <w:sz w:val="16"/>
                              </w:rPr>
                            </w:pPr>
                            <w:r>
                              <w:rPr>
                                <w:sz w:val="16"/>
                              </w:rPr>
                              <w:t>BB</w:t>
                            </w:r>
                            <w:r>
                              <w:rPr>
                                <w:spacing w:val="-1"/>
                                <w:sz w:val="16"/>
                              </w:rPr>
                              <w:t> </w:t>
                            </w:r>
                            <w:r>
                              <w:rPr>
                                <w:sz w:val="16"/>
                              </w:rPr>
                              <w:t>or </w:t>
                            </w:r>
                            <w:r>
                              <w:rPr>
                                <w:spacing w:val="-2"/>
                                <w:sz w:val="16"/>
                              </w:rPr>
                              <w:t>lower/unrated</w:t>
                            </w:r>
                          </w:p>
                        </w:tc>
                        <w:tc>
                          <w:tcPr>
                            <w:tcW w:w="1323" w:type="dxa"/>
                            <w:tcBorders>
                              <w:bottom w:val="single" w:sz="8" w:space="0" w:color="6C6C6C"/>
                            </w:tcBorders>
                          </w:tcPr>
                          <w:p>
                            <w:pPr>
                              <w:pStyle w:val="TableParagraph"/>
                              <w:spacing w:line="180" w:lineRule="exact" w:before="18"/>
                              <w:ind w:right="93"/>
                              <w:jc w:val="right"/>
                              <w:rPr>
                                <w:sz w:val="16"/>
                              </w:rPr>
                            </w:pPr>
                            <w:r>
                              <w:rPr>
                                <w:spacing w:val="-5"/>
                                <w:sz w:val="16"/>
                              </w:rPr>
                              <w:t>39</w:t>
                            </w:r>
                          </w:p>
                        </w:tc>
                        <w:tc>
                          <w:tcPr>
                            <w:tcW w:w="1483" w:type="dxa"/>
                            <w:tcBorders>
                              <w:bottom w:val="single" w:sz="8" w:space="0" w:color="6C6C6C"/>
                            </w:tcBorders>
                          </w:tcPr>
                          <w:p>
                            <w:pPr>
                              <w:pStyle w:val="TableParagraph"/>
                              <w:spacing w:line="180" w:lineRule="exact" w:before="18"/>
                              <w:ind w:right="76"/>
                              <w:jc w:val="right"/>
                              <w:rPr>
                                <w:sz w:val="16"/>
                              </w:rPr>
                            </w:pPr>
                            <w:r>
                              <w:rPr>
                                <w:spacing w:val="-10"/>
                                <w:sz w:val="16"/>
                              </w:rPr>
                              <w:t>5</w:t>
                            </w:r>
                          </w:p>
                        </w:tc>
                        <w:tc>
                          <w:tcPr>
                            <w:tcW w:w="1388" w:type="dxa"/>
                            <w:tcBorders>
                              <w:bottom w:val="single" w:sz="8" w:space="0" w:color="6C6C6C"/>
                            </w:tcBorders>
                          </w:tcPr>
                          <w:p>
                            <w:pPr>
                              <w:pStyle w:val="TableParagraph"/>
                              <w:spacing w:line="180" w:lineRule="exact" w:before="18"/>
                              <w:ind w:right="99"/>
                              <w:jc w:val="right"/>
                              <w:rPr>
                                <w:sz w:val="16"/>
                              </w:rPr>
                            </w:pPr>
                            <w:r>
                              <w:rPr>
                                <w:spacing w:val="-10"/>
                                <w:sz w:val="16"/>
                              </w:rPr>
                              <w:t>2</w:t>
                            </w:r>
                          </w:p>
                        </w:tc>
                        <w:tc>
                          <w:tcPr>
                            <w:tcW w:w="1573" w:type="dxa"/>
                            <w:tcBorders>
                              <w:bottom w:val="single" w:sz="8" w:space="0" w:color="6C6C6C"/>
                            </w:tcBorders>
                          </w:tcPr>
                          <w:p>
                            <w:pPr>
                              <w:pStyle w:val="TableParagraph"/>
                              <w:spacing w:line="180" w:lineRule="exact" w:before="18"/>
                              <w:ind w:right="307"/>
                              <w:jc w:val="right"/>
                              <w:rPr>
                                <w:sz w:val="16"/>
                              </w:rPr>
                            </w:pPr>
                            <w:r>
                              <w:rPr>
                                <w:spacing w:val="-5"/>
                                <w:sz w:val="16"/>
                              </w:rPr>
                              <w:t>46</w:t>
                            </w:r>
                          </w:p>
                        </w:tc>
                        <w:tc>
                          <w:tcPr>
                            <w:tcW w:w="1139" w:type="dxa"/>
                            <w:gridSpan w:val="2"/>
                            <w:tcBorders>
                              <w:bottom w:val="single" w:sz="8" w:space="0" w:color="6C6C6C"/>
                            </w:tcBorders>
                          </w:tcPr>
                          <w:p>
                            <w:pPr>
                              <w:pStyle w:val="TableParagraph"/>
                              <w:spacing w:line="180" w:lineRule="exact" w:before="18"/>
                              <w:ind w:right="138"/>
                              <w:jc w:val="right"/>
                              <w:rPr>
                                <w:sz w:val="16"/>
                              </w:rPr>
                            </w:pPr>
                            <w:r>
                              <w:rPr>
                                <w:spacing w:val="-10"/>
                                <w:sz w:val="16"/>
                              </w:rPr>
                              <w:t>*</w:t>
                            </w:r>
                          </w:p>
                        </w:tc>
                      </w:tr>
                      <w:tr>
                        <w:trPr>
                          <w:trHeight w:val="185" w:hRule="atLeast"/>
                        </w:trPr>
                        <w:tc>
                          <w:tcPr>
                            <w:tcW w:w="2460" w:type="dxa"/>
                          </w:tcPr>
                          <w:p>
                            <w:pPr>
                              <w:pStyle w:val="TableParagraph"/>
                              <w:spacing w:line="160" w:lineRule="exact" w:before="5"/>
                              <w:ind w:left="52"/>
                              <w:rPr>
                                <w:rFonts w:ascii="Arial"/>
                                <w:b/>
                                <w:sz w:val="16"/>
                              </w:rPr>
                            </w:pPr>
                            <w:r>
                              <w:rPr>
                                <w:rFonts w:ascii="Arial"/>
                                <w:b/>
                                <w:spacing w:val="-2"/>
                                <w:sz w:val="16"/>
                              </w:rPr>
                              <w:t>Total</w:t>
                            </w:r>
                          </w:p>
                        </w:tc>
                        <w:tc>
                          <w:tcPr>
                            <w:tcW w:w="1323" w:type="dxa"/>
                            <w:tcBorders>
                              <w:top w:val="single" w:sz="8" w:space="0" w:color="6C6C6C"/>
                              <w:bottom w:val="double" w:sz="8" w:space="0" w:color="6C6C6C"/>
                            </w:tcBorders>
                          </w:tcPr>
                          <w:p>
                            <w:pPr>
                              <w:pStyle w:val="TableParagraph"/>
                              <w:tabs>
                                <w:tab w:pos="686" w:val="left" w:leader="none"/>
                              </w:tabs>
                              <w:spacing w:line="160" w:lineRule="exact" w:before="5"/>
                              <w:ind w:right="93"/>
                              <w:jc w:val="right"/>
                              <w:rPr>
                                <w:rFonts w:ascii="Arial"/>
                                <w:b/>
                                <w:sz w:val="16"/>
                              </w:rPr>
                            </w:pPr>
                            <w:r>
                              <w:rPr>
                                <w:rFonts w:ascii="Arial"/>
                                <w:b/>
                                <w:spacing w:val="-10"/>
                                <w:sz w:val="16"/>
                              </w:rPr>
                              <w:t>$</w:t>
                            </w:r>
                            <w:r>
                              <w:rPr>
                                <w:rFonts w:ascii="Arial"/>
                                <w:b/>
                                <w:sz w:val="16"/>
                              </w:rPr>
                              <w:tab/>
                            </w:r>
                            <w:r>
                              <w:rPr>
                                <w:rFonts w:ascii="Arial"/>
                                <w:b/>
                                <w:spacing w:val="-2"/>
                                <w:sz w:val="16"/>
                              </w:rPr>
                              <w:t>29,201</w:t>
                            </w:r>
                          </w:p>
                        </w:tc>
                        <w:tc>
                          <w:tcPr>
                            <w:tcW w:w="1483" w:type="dxa"/>
                            <w:tcBorders>
                              <w:top w:val="single" w:sz="8" w:space="0" w:color="6C6C6C"/>
                              <w:bottom w:val="double" w:sz="8" w:space="0" w:color="6C6C6C"/>
                            </w:tcBorders>
                          </w:tcPr>
                          <w:p>
                            <w:pPr>
                              <w:pStyle w:val="TableParagraph"/>
                              <w:tabs>
                                <w:tab w:pos="821" w:val="left" w:leader="none"/>
                              </w:tabs>
                              <w:spacing w:line="160" w:lineRule="exact" w:before="5"/>
                              <w:ind w:right="76"/>
                              <w:jc w:val="right"/>
                              <w:rPr>
                                <w:rFonts w:ascii="Arial"/>
                                <w:b/>
                                <w:sz w:val="16"/>
                              </w:rPr>
                            </w:pPr>
                            <w:r>
                              <w:rPr>
                                <w:rFonts w:ascii="Arial"/>
                                <w:b/>
                                <w:spacing w:val="-10"/>
                                <w:sz w:val="16"/>
                              </w:rPr>
                              <w:t>$</w:t>
                            </w:r>
                            <w:r>
                              <w:rPr>
                                <w:rFonts w:ascii="Arial"/>
                                <w:b/>
                                <w:sz w:val="16"/>
                              </w:rPr>
                              <w:tab/>
                            </w:r>
                            <w:r>
                              <w:rPr>
                                <w:rFonts w:ascii="Arial"/>
                                <w:b/>
                                <w:spacing w:val="-2"/>
                                <w:sz w:val="16"/>
                              </w:rPr>
                              <w:t>50,754</w:t>
                            </w:r>
                          </w:p>
                        </w:tc>
                        <w:tc>
                          <w:tcPr>
                            <w:tcW w:w="1388" w:type="dxa"/>
                            <w:tcBorders>
                              <w:top w:val="single" w:sz="8" w:space="0" w:color="6C6C6C"/>
                              <w:bottom w:val="double" w:sz="8" w:space="0" w:color="6C6C6C"/>
                            </w:tcBorders>
                          </w:tcPr>
                          <w:p>
                            <w:pPr>
                              <w:pStyle w:val="TableParagraph"/>
                              <w:tabs>
                                <w:tab w:pos="908" w:val="left" w:leader="none"/>
                              </w:tabs>
                              <w:spacing w:line="160" w:lineRule="exact" w:before="5"/>
                              <w:ind w:right="99"/>
                              <w:jc w:val="right"/>
                              <w:rPr>
                                <w:rFonts w:ascii="Arial"/>
                                <w:b/>
                                <w:sz w:val="16"/>
                              </w:rPr>
                            </w:pPr>
                            <w:r>
                              <w:rPr>
                                <w:rFonts w:ascii="Arial"/>
                                <w:b/>
                                <w:spacing w:val="-10"/>
                                <w:sz w:val="16"/>
                              </w:rPr>
                              <w:t>$</w:t>
                            </w:r>
                            <w:r>
                              <w:rPr>
                                <w:rFonts w:ascii="Arial"/>
                                <w:b/>
                                <w:sz w:val="16"/>
                              </w:rPr>
                              <w:tab/>
                            </w:r>
                            <w:r>
                              <w:rPr>
                                <w:rFonts w:ascii="Arial"/>
                                <w:b/>
                                <w:spacing w:val="-5"/>
                                <w:sz w:val="16"/>
                              </w:rPr>
                              <w:t>158</w:t>
                            </w:r>
                          </w:p>
                        </w:tc>
                        <w:tc>
                          <w:tcPr>
                            <w:tcW w:w="1573" w:type="dxa"/>
                            <w:tcBorders>
                              <w:top w:val="single" w:sz="8" w:space="0" w:color="6C6C6C"/>
                              <w:bottom w:val="double" w:sz="8" w:space="0" w:color="6C6C6C"/>
                            </w:tcBorders>
                          </w:tcPr>
                          <w:p>
                            <w:pPr>
                              <w:pStyle w:val="TableParagraph"/>
                              <w:tabs>
                                <w:tab w:pos="686" w:val="left" w:leader="none"/>
                              </w:tabs>
                              <w:spacing w:line="160" w:lineRule="exact" w:before="5"/>
                              <w:ind w:right="307"/>
                              <w:jc w:val="right"/>
                              <w:rPr>
                                <w:rFonts w:ascii="Arial"/>
                                <w:b/>
                                <w:sz w:val="16"/>
                              </w:rPr>
                            </w:pPr>
                            <w:r>
                              <w:rPr>
                                <w:rFonts w:ascii="Arial"/>
                                <w:b/>
                                <w:spacing w:val="-10"/>
                                <w:sz w:val="16"/>
                              </w:rPr>
                              <w:t>$</w:t>
                            </w:r>
                            <w:r>
                              <w:rPr>
                                <w:rFonts w:ascii="Arial"/>
                                <w:b/>
                                <w:sz w:val="16"/>
                              </w:rPr>
                              <w:tab/>
                            </w:r>
                            <w:r>
                              <w:rPr>
                                <w:rFonts w:ascii="Arial"/>
                                <w:b/>
                                <w:spacing w:val="-2"/>
                                <w:sz w:val="16"/>
                              </w:rPr>
                              <w:t>80,113</w:t>
                            </w:r>
                          </w:p>
                        </w:tc>
                        <w:tc>
                          <w:tcPr>
                            <w:tcW w:w="1139" w:type="dxa"/>
                            <w:gridSpan w:val="2"/>
                            <w:tcBorders>
                              <w:top w:val="single" w:sz="8" w:space="0" w:color="6C6C6C"/>
                              <w:bottom w:val="double" w:sz="8" w:space="0" w:color="6C6C6C"/>
                            </w:tcBorders>
                          </w:tcPr>
                          <w:p>
                            <w:pPr>
                              <w:pStyle w:val="TableParagraph"/>
                              <w:spacing w:line="160" w:lineRule="exact" w:before="5"/>
                              <w:ind w:left="656"/>
                              <w:rPr>
                                <w:rFonts w:ascii="Arial"/>
                                <w:b/>
                                <w:sz w:val="16"/>
                              </w:rPr>
                            </w:pPr>
                            <w:r>
                              <w:rPr>
                                <w:rFonts w:ascii="Arial"/>
                                <w:b/>
                                <w:sz w:val="16"/>
                              </w:rPr>
                              <w:t>100</w:t>
                            </w:r>
                            <w:r>
                              <w:rPr>
                                <w:rFonts w:ascii="Arial"/>
                                <w:b/>
                                <w:spacing w:val="6"/>
                                <w:sz w:val="16"/>
                              </w:rPr>
                              <w:t> </w:t>
                            </w:r>
                            <w:r>
                              <w:rPr>
                                <w:rFonts w:ascii="Arial"/>
                                <w:b/>
                                <w:spacing w:val="-10"/>
                                <w:sz w:val="16"/>
                              </w:rPr>
                              <w:t>%</w:t>
                            </w:r>
                          </w:p>
                        </w:tc>
                      </w:tr>
                    </w:tbl>
                    <w:p>
                      <w:pPr>
                        <w:pStyle w:val="BodyText"/>
                      </w:pPr>
                    </w:p>
                  </w:txbxContent>
                </v:textbox>
                <w10:wrap type="none"/>
              </v:shape>
            </w:pict>
          </mc:Fallback>
        </mc:AlternateContent>
      </w:r>
      <w:r>
        <w:rPr>
          <w:rFonts w:ascii="Arial"/>
          <w:i/>
          <w:color w:val="484848"/>
          <w:spacing w:val="-2"/>
          <w:sz w:val="16"/>
        </w:rPr>
        <w:t>Total</w:t>
      </w: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201"/>
        <w:rPr>
          <w:rFonts w:ascii="Arial"/>
          <w:i/>
        </w:rPr>
      </w:pPr>
      <w:r>
        <w:rPr>
          <w:rFonts w:ascii="Arial"/>
          <w:i/>
        </w:rPr>
        <mc:AlternateContent>
          <mc:Choice Requires="wps">
            <w:drawing>
              <wp:anchor distT="0" distB="0" distL="0" distR="0" allowOverlap="1" layoutInCell="1" locked="0" behindDoc="1" simplePos="0" relativeHeight="487656960">
                <wp:simplePos x="0" y="0"/>
                <wp:positionH relativeFrom="page">
                  <wp:posOffset>914400</wp:posOffset>
                </wp:positionH>
                <wp:positionV relativeFrom="paragraph">
                  <wp:posOffset>289016</wp:posOffset>
                </wp:positionV>
                <wp:extent cx="5943600"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757227pt;width:468pt;height:.1pt;mso-position-horizontal-relative:page;mso-position-vertical-relative:paragraph;z-index:-15659520;mso-wrap-distance-left:0;mso-wrap-distance-right:0" id="docshape415" coordorigin="1440,455" coordsize="9360,0" path="m1440,455l10800,455e" filled="false" stroked="true" strokeweight="1pt" strokecolor="#6c6c6c">
                <v:path arrowok="t"/>
                <v:stroke dashstyle="solid"/>
                <w10:wrap type="topAndBottom"/>
              </v:shape>
            </w:pict>
          </mc:Fallback>
        </mc:AlternateContent>
      </w:r>
    </w:p>
    <w:p>
      <w:pPr>
        <w:pStyle w:val="ListParagraph"/>
        <w:numPr>
          <w:ilvl w:val="0"/>
          <w:numId w:val="24"/>
        </w:numPr>
        <w:tabs>
          <w:tab w:pos="952" w:val="left" w:leader="none"/>
          <w:tab w:pos="959" w:val="left" w:leader="none"/>
        </w:tabs>
        <w:spacing w:line="249" w:lineRule="auto" w:before="23" w:after="0"/>
        <w:ind w:left="952" w:right="830" w:hanging="180"/>
        <w:jc w:val="both"/>
        <w:rPr>
          <w:rFonts w:ascii="Arial"/>
          <w:i/>
          <w:sz w:val="16"/>
        </w:rPr>
      </w:pPr>
      <w:r>
        <w:rPr>
          <w:rFonts w:ascii="Arial"/>
          <w:i/>
          <w:sz w:val="16"/>
        </w:rPr>
        <w:t>Average</w:t>
      </w:r>
      <w:r>
        <w:rPr>
          <w:rFonts w:ascii="Arial"/>
          <w:i/>
          <w:sz w:val="16"/>
        </w:rPr>
        <w:t> rating is calculated using available ratings from the three major rating agencies; however, if ratings are not available from each of the three rating agencies, IBRD uses the average of the ratings available from any of such rating agencies or a single rating to the extent that an instrument or issuer (as applicable) is rated by only one rating agency.</w:t>
      </w:r>
    </w:p>
    <w:p>
      <w:pPr>
        <w:spacing w:before="60"/>
        <w:ind w:left="772" w:right="0" w:firstLine="0"/>
        <w:jc w:val="both"/>
        <w:rPr>
          <w:rFonts w:ascii="Arial"/>
          <w:i/>
          <w:sz w:val="16"/>
        </w:rPr>
      </w:pPr>
      <w:r>
        <w:rPr>
          <w:rFonts w:ascii="Arial"/>
          <w:i/>
          <w:sz w:val="16"/>
        </w:rPr>
        <w:t>*</w:t>
      </w:r>
      <w:r>
        <w:rPr>
          <w:rFonts w:ascii="Arial"/>
          <w:i/>
          <w:spacing w:val="39"/>
          <w:sz w:val="16"/>
        </w:rPr>
        <w:t> </w:t>
      </w:r>
      <w:r>
        <w:rPr>
          <w:rFonts w:ascii="Arial"/>
          <w:i/>
          <w:sz w:val="16"/>
        </w:rPr>
        <w:t>Indicates</w:t>
      </w:r>
      <w:r>
        <w:rPr>
          <w:rFonts w:ascii="Arial"/>
          <w:i/>
          <w:spacing w:val="-3"/>
          <w:sz w:val="16"/>
        </w:rPr>
        <w:t> </w:t>
      </w:r>
      <w:r>
        <w:rPr>
          <w:rFonts w:ascii="Arial"/>
          <w:i/>
          <w:sz w:val="16"/>
        </w:rPr>
        <w:t>percentage</w:t>
      </w:r>
      <w:r>
        <w:rPr>
          <w:rFonts w:ascii="Arial"/>
          <w:i/>
          <w:spacing w:val="-3"/>
          <w:sz w:val="16"/>
        </w:rPr>
        <w:t> </w:t>
      </w:r>
      <w:r>
        <w:rPr>
          <w:rFonts w:ascii="Arial"/>
          <w:i/>
          <w:sz w:val="16"/>
        </w:rPr>
        <w:t>less</w:t>
      </w:r>
      <w:r>
        <w:rPr>
          <w:rFonts w:ascii="Arial"/>
          <w:i/>
          <w:spacing w:val="-3"/>
          <w:sz w:val="16"/>
        </w:rPr>
        <w:t> </w:t>
      </w:r>
      <w:r>
        <w:rPr>
          <w:rFonts w:ascii="Arial"/>
          <w:i/>
          <w:sz w:val="16"/>
        </w:rPr>
        <w:t>than</w:t>
      </w:r>
      <w:r>
        <w:rPr>
          <w:rFonts w:ascii="Arial"/>
          <w:i/>
          <w:spacing w:val="-3"/>
          <w:sz w:val="16"/>
        </w:rPr>
        <w:t> </w:t>
      </w:r>
      <w:r>
        <w:rPr>
          <w:rFonts w:ascii="Arial"/>
          <w:i/>
          <w:spacing w:val="-2"/>
          <w:sz w:val="16"/>
        </w:rPr>
        <w:t>0.5%.</w:t>
      </w:r>
    </w:p>
    <w:p>
      <w:pPr>
        <w:spacing w:after="0"/>
        <w:jc w:val="both"/>
        <w:rPr>
          <w:rFonts w:ascii="Arial"/>
          <w:i/>
          <w:sz w:val="16"/>
        </w:rPr>
        <w:sectPr>
          <w:pgSz w:w="12240" w:h="15840"/>
          <w:pgMar w:header="744" w:footer="583" w:top="1020" w:bottom="780" w:left="720" w:right="720"/>
        </w:sectPr>
      </w:pPr>
    </w:p>
    <w:p>
      <w:pPr>
        <w:pStyle w:val="BodyText"/>
        <w:spacing w:before="127"/>
        <w:rPr>
          <w:rFonts w:ascii="Arial"/>
          <w:i/>
        </w:rPr>
      </w:pPr>
    </w:p>
    <w:p>
      <w:pPr>
        <w:pStyle w:val="BodyText"/>
        <w:spacing w:line="249" w:lineRule="auto" w:before="1"/>
        <w:ind w:left="720" w:right="718"/>
        <w:jc w:val="both"/>
      </w:pPr>
      <w:r>
        <w:rPr/>
        <w:t>IBRD’s overall commercial counterparty credit exposure, net of collateral held, was $77.4 billion as of June 30, 2023. As shown on Table 29, the credit quality of IBRD’s portfolio remains concentrated in the upper end of the credit spectrum, with 79% of the portfolio rated AA or above and the remaining portfolio primarily rated A. The A rated counterparties primarily consisted of sovereigns and financial institutions (limited to short-term deposits and </w:t>
      </w:r>
      <w:r>
        <w:rPr>
          <w:spacing w:val="-2"/>
        </w:rPr>
        <w:t>swaps).</w:t>
      </w:r>
    </w:p>
    <w:p>
      <w:pPr>
        <w:pStyle w:val="Heading7"/>
        <w:spacing w:before="179"/>
        <w:jc w:val="both"/>
      </w:pPr>
      <w:r>
        <w:rPr/>
        <w:t>Non-Commercial</w:t>
      </w:r>
      <w:r>
        <w:rPr>
          <w:spacing w:val="-2"/>
        </w:rPr>
        <w:t> </w:t>
      </w:r>
      <w:r>
        <w:rPr/>
        <w:t>Counterparty</w:t>
      </w:r>
      <w:r>
        <w:rPr>
          <w:spacing w:val="-2"/>
        </w:rPr>
        <w:t> </w:t>
      </w:r>
      <w:r>
        <w:rPr/>
        <w:t>Credit</w:t>
      </w:r>
      <w:r>
        <w:rPr>
          <w:spacing w:val="-2"/>
        </w:rPr>
        <w:t> </w:t>
      </w:r>
      <w:r>
        <w:rPr>
          <w:spacing w:val="-4"/>
        </w:rPr>
        <w:t>Risk</w:t>
      </w:r>
    </w:p>
    <w:p>
      <w:pPr>
        <w:pStyle w:val="BodyText"/>
        <w:spacing w:line="249" w:lineRule="auto" w:before="136"/>
        <w:ind w:left="720" w:right="718"/>
        <w:jc w:val="both"/>
      </w:pPr>
      <w:r>
        <w:rPr/>
        <w:t>In addition to its derivative transactions with commercial counterparties, IBRD offers derivative-intermediation and other services to borrowing member countries, as well as to affiliated and non-affiliated organizations, to help meet their development needs or to carry out their development mandates (see Table 30):</w:t>
      </w:r>
    </w:p>
    <w:p>
      <w:pPr>
        <w:spacing w:line="206" w:lineRule="exact" w:before="132"/>
        <w:ind w:left="720" w:right="0" w:firstLine="0"/>
        <w:jc w:val="left"/>
        <w:rPr>
          <w:rFonts w:ascii="Arial"/>
          <w:b/>
          <w:sz w:val="18"/>
        </w:rPr>
      </w:pPr>
      <w:bookmarkStart w:name="_bookmark81" w:id="120"/>
      <w:bookmarkEnd w:id="120"/>
      <w:r>
        <w:rPr/>
      </w:r>
      <w:r>
        <w:rPr>
          <w:rFonts w:ascii="Arial"/>
          <w:b/>
          <w:sz w:val="18"/>
        </w:rPr>
        <w:t>Table</w:t>
      </w:r>
      <w:r>
        <w:rPr>
          <w:rFonts w:ascii="Arial"/>
          <w:b/>
          <w:spacing w:val="-4"/>
          <w:sz w:val="18"/>
        </w:rPr>
        <w:t> </w:t>
      </w:r>
      <w:r>
        <w:rPr>
          <w:rFonts w:ascii="Arial"/>
          <w:b/>
          <w:sz w:val="18"/>
        </w:rPr>
        <w:t>30:</w:t>
      </w:r>
      <w:r>
        <w:rPr>
          <w:rFonts w:ascii="Arial"/>
          <w:b/>
          <w:spacing w:val="-4"/>
          <w:sz w:val="18"/>
        </w:rPr>
        <w:t> </w:t>
      </w:r>
      <w:r>
        <w:rPr>
          <w:rFonts w:ascii="Arial"/>
          <w:b/>
          <w:sz w:val="18"/>
        </w:rPr>
        <w:t>Non-Commercial</w:t>
      </w:r>
      <w:r>
        <w:rPr>
          <w:rFonts w:ascii="Arial"/>
          <w:b/>
          <w:spacing w:val="-4"/>
          <w:sz w:val="18"/>
        </w:rPr>
        <w:t> </w:t>
      </w:r>
      <w:r>
        <w:rPr>
          <w:rFonts w:ascii="Arial"/>
          <w:b/>
          <w:sz w:val="18"/>
        </w:rPr>
        <w:t>Counterparty</w:t>
      </w:r>
      <w:r>
        <w:rPr>
          <w:rFonts w:ascii="Arial"/>
          <w:b/>
          <w:spacing w:val="-4"/>
          <w:sz w:val="18"/>
        </w:rPr>
        <w:t> </w:t>
      </w:r>
      <w:r>
        <w:rPr>
          <w:rFonts w:ascii="Arial"/>
          <w:b/>
          <w:sz w:val="18"/>
        </w:rPr>
        <w:t>Credit</w:t>
      </w:r>
      <w:r>
        <w:rPr>
          <w:rFonts w:ascii="Arial"/>
          <w:b/>
          <w:spacing w:val="-3"/>
          <w:sz w:val="18"/>
        </w:rPr>
        <w:t> </w:t>
      </w:r>
      <w:r>
        <w:rPr>
          <w:rFonts w:ascii="Arial"/>
          <w:b/>
          <w:spacing w:val="-4"/>
          <w:sz w:val="18"/>
        </w:rPr>
        <w:t>Risk</w:t>
      </w:r>
    </w:p>
    <w:p>
      <w:pPr>
        <w:spacing w:line="484" w:lineRule="auto" w:before="0"/>
        <w:ind w:left="720" w:right="7583"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00320">
                <wp:simplePos x="0" y="0"/>
                <wp:positionH relativeFrom="page">
                  <wp:posOffset>876300</wp:posOffset>
                </wp:positionH>
                <wp:positionV relativeFrom="paragraph">
                  <wp:posOffset>370987</wp:posOffset>
                </wp:positionV>
                <wp:extent cx="5886450" cy="69786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5886450" cy="6978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4"/>
                              <w:gridCol w:w="1300"/>
                              <w:gridCol w:w="3612"/>
                              <w:gridCol w:w="998"/>
                              <w:gridCol w:w="1208"/>
                            </w:tblGrid>
                            <w:tr>
                              <w:trPr>
                                <w:trHeight w:val="400" w:hRule="atLeast"/>
                              </w:trPr>
                              <w:tc>
                                <w:tcPr>
                                  <w:tcW w:w="2034" w:type="dxa"/>
                                  <w:tcBorders>
                                    <w:top w:val="single" w:sz="8" w:space="0" w:color="6C6C6C"/>
                                    <w:bottom w:val="single" w:sz="8" w:space="0" w:color="6C6C6C"/>
                                  </w:tcBorders>
                                </w:tcPr>
                                <w:p>
                                  <w:pPr>
                                    <w:pStyle w:val="TableParagraph"/>
                                    <w:spacing w:line="232" w:lineRule="auto" w:before="22"/>
                                    <w:ind w:left="52" w:right="622"/>
                                    <w:rPr>
                                      <w:rFonts w:ascii="Arial"/>
                                      <w:i/>
                                      <w:sz w:val="16"/>
                                    </w:rPr>
                                  </w:pPr>
                                  <w:r>
                                    <w:rPr>
                                      <w:rFonts w:ascii="Arial"/>
                                      <w:i/>
                                      <w:color w:val="484848"/>
                                      <w:spacing w:val="-2"/>
                                      <w:sz w:val="16"/>
                                    </w:rPr>
                                    <w:t>Non-</w:t>
                                  </w:r>
                                  <w:r>
                                    <w:rPr>
                                      <w:rFonts w:ascii="Arial"/>
                                      <w:i/>
                                      <w:color w:val="484848"/>
                                      <w:spacing w:val="-2"/>
                                      <w:sz w:val="16"/>
                                    </w:rPr>
                                    <w:t>Commercial Counterparty</w:t>
                                  </w:r>
                                </w:p>
                              </w:tc>
                              <w:tc>
                                <w:tcPr>
                                  <w:tcW w:w="1300" w:type="dxa"/>
                                  <w:tcBorders>
                                    <w:top w:val="single" w:sz="8" w:space="0" w:color="6C6C6C"/>
                                    <w:bottom w:val="single" w:sz="8" w:space="0" w:color="6C6C6C"/>
                                  </w:tcBorders>
                                </w:tcPr>
                                <w:p>
                                  <w:pPr>
                                    <w:pStyle w:val="TableParagraph"/>
                                    <w:spacing w:before="102"/>
                                    <w:ind w:left="73"/>
                                    <w:rPr>
                                      <w:rFonts w:ascii="Arial"/>
                                      <w:i/>
                                      <w:sz w:val="16"/>
                                    </w:rPr>
                                  </w:pPr>
                                  <w:r>
                                    <w:rPr>
                                      <w:rFonts w:ascii="Arial"/>
                                      <w:i/>
                                      <w:color w:val="484848"/>
                                      <w:sz w:val="16"/>
                                    </w:rPr>
                                    <w:t>Instrument</w:t>
                                  </w:r>
                                  <w:r>
                                    <w:rPr>
                                      <w:rFonts w:ascii="Arial"/>
                                      <w:i/>
                                      <w:color w:val="484848"/>
                                      <w:spacing w:val="-6"/>
                                      <w:sz w:val="16"/>
                                    </w:rPr>
                                    <w:t> </w:t>
                                  </w:r>
                                  <w:r>
                                    <w:rPr>
                                      <w:rFonts w:ascii="Arial"/>
                                      <w:i/>
                                      <w:color w:val="484848"/>
                                      <w:spacing w:val="-4"/>
                                      <w:sz w:val="16"/>
                                    </w:rPr>
                                    <w:t>used</w:t>
                                  </w:r>
                                </w:p>
                              </w:tc>
                              <w:tc>
                                <w:tcPr>
                                  <w:tcW w:w="3612" w:type="dxa"/>
                                  <w:tcBorders>
                                    <w:top w:val="single" w:sz="8" w:space="0" w:color="6C6C6C"/>
                                    <w:bottom w:val="single" w:sz="8" w:space="0" w:color="6C6C6C"/>
                                  </w:tcBorders>
                                </w:tcPr>
                                <w:p>
                                  <w:pPr>
                                    <w:pStyle w:val="TableParagraph"/>
                                    <w:spacing w:before="102"/>
                                    <w:ind w:left="78"/>
                                    <w:rPr>
                                      <w:rFonts w:ascii="Arial"/>
                                      <w:i/>
                                      <w:sz w:val="16"/>
                                    </w:rPr>
                                  </w:pPr>
                                  <w:r>
                                    <w:rPr>
                                      <w:rFonts w:ascii="Arial"/>
                                      <w:i/>
                                      <w:color w:val="484848"/>
                                      <w:sz w:val="16"/>
                                    </w:rPr>
                                    <w:t>Purpose</w:t>
                                  </w:r>
                                  <w:r>
                                    <w:rPr>
                                      <w:rFonts w:ascii="Arial"/>
                                      <w:i/>
                                      <w:color w:val="484848"/>
                                      <w:spacing w:val="-4"/>
                                      <w:sz w:val="16"/>
                                    </w:rPr>
                                    <w:t> </w:t>
                                  </w:r>
                                  <w:r>
                                    <w:rPr>
                                      <w:rFonts w:ascii="Arial"/>
                                      <w:i/>
                                      <w:color w:val="484848"/>
                                      <w:sz w:val="16"/>
                                    </w:rPr>
                                    <w:t>of</w:t>
                                  </w:r>
                                  <w:r>
                                    <w:rPr>
                                      <w:rFonts w:ascii="Arial"/>
                                      <w:i/>
                                      <w:color w:val="484848"/>
                                      <w:spacing w:val="-4"/>
                                      <w:sz w:val="16"/>
                                    </w:rPr>
                                    <w:t> </w:t>
                                  </w:r>
                                  <w:r>
                                    <w:rPr>
                                      <w:rFonts w:ascii="Arial"/>
                                      <w:i/>
                                      <w:color w:val="484848"/>
                                      <w:sz w:val="16"/>
                                    </w:rPr>
                                    <w:t>derivative</w:t>
                                  </w:r>
                                  <w:r>
                                    <w:rPr>
                                      <w:rFonts w:ascii="Arial"/>
                                      <w:i/>
                                      <w:color w:val="484848"/>
                                      <w:spacing w:val="-3"/>
                                      <w:sz w:val="16"/>
                                    </w:rPr>
                                    <w:t> </w:t>
                                  </w:r>
                                  <w:r>
                                    <w:rPr>
                                      <w:rFonts w:ascii="Arial"/>
                                      <w:i/>
                                      <w:color w:val="484848"/>
                                      <w:spacing w:val="-2"/>
                                      <w:sz w:val="16"/>
                                    </w:rPr>
                                    <w:t>transaction</w:t>
                                  </w:r>
                                </w:p>
                              </w:tc>
                              <w:tc>
                                <w:tcPr>
                                  <w:tcW w:w="998" w:type="dxa"/>
                                  <w:tcBorders>
                                    <w:top w:val="single" w:sz="8" w:space="0" w:color="6C6C6C"/>
                                    <w:bottom w:val="single" w:sz="8" w:space="0" w:color="6C6C6C"/>
                                  </w:tcBorders>
                                </w:tcPr>
                                <w:p>
                                  <w:pPr>
                                    <w:pStyle w:val="TableParagraph"/>
                                    <w:spacing w:before="102"/>
                                    <w:ind w:right="44"/>
                                    <w:jc w:val="right"/>
                                    <w:rPr>
                                      <w:rFonts w:ascii="Arial"/>
                                      <w:i/>
                                      <w:sz w:val="16"/>
                                    </w:rPr>
                                  </w:pPr>
                                  <w:r>
                                    <w:rPr>
                                      <w:rFonts w:ascii="Arial"/>
                                      <w:i/>
                                      <w:color w:val="484848"/>
                                      <w:spacing w:val="-2"/>
                                      <w:sz w:val="16"/>
                                    </w:rPr>
                                    <w:t>Notional</w:t>
                                  </w:r>
                                </w:p>
                              </w:tc>
                              <w:tc>
                                <w:tcPr>
                                  <w:tcW w:w="1208" w:type="dxa"/>
                                  <w:tcBorders>
                                    <w:top w:val="single" w:sz="8" w:space="0" w:color="6C6C6C"/>
                                    <w:bottom w:val="single" w:sz="8" w:space="0" w:color="6C6C6C"/>
                                  </w:tcBorders>
                                </w:tcPr>
                                <w:p>
                                  <w:pPr>
                                    <w:pStyle w:val="TableParagraph"/>
                                    <w:spacing w:before="102"/>
                                    <w:ind w:right="51"/>
                                    <w:jc w:val="right"/>
                                    <w:rPr>
                                      <w:rFonts w:ascii="Arial"/>
                                      <w:i/>
                                      <w:sz w:val="16"/>
                                    </w:rPr>
                                  </w:pPr>
                                  <w:r>
                                    <w:rPr>
                                      <w:rFonts w:ascii="Arial"/>
                                      <w:i/>
                                      <w:color w:val="484848"/>
                                      <w:sz w:val="16"/>
                                    </w:rPr>
                                    <w:t>Net</w:t>
                                  </w:r>
                                  <w:r>
                                    <w:rPr>
                                      <w:rFonts w:ascii="Arial"/>
                                      <w:i/>
                                      <w:color w:val="484848"/>
                                      <w:spacing w:val="-2"/>
                                      <w:sz w:val="16"/>
                                    </w:rPr>
                                    <w:t> Exposure</w:t>
                                  </w:r>
                                </w:p>
                              </w:tc>
                            </w:tr>
                            <w:tr>
                              <w:trPr>
                                <w:trHeight w:val="407" w:hRule="atLeast"/>
                              </w:trPr>
                              <w:tc>
                                <w:tcPr>
                                  <w:tcW w:w="2034" w:type="dxa"/>
                                  <w:tcBorders>
                                    <w:top w:val="single" w:sz="8" w:space="0" w:color="6C6C6C"/>
                                  </w:tcBorders>
                                </w:tcPr>
                                <w:p>
                                  <w:pPr>
                                    <w:pStyle w:val="TableParagraph"/>
                                    <w:spacing w:line="232" w:lineRule="auto" w:before="21"/>
                                    <w:ind w:left="52" w:right="622"/>
                                    <w:rPr>
                                      <w:sz w:val="16"/>
                                    </w:rPr>
                                  </w:pPr>
                                  <w:r>
                                    <w:rPr>
                                      <w:sz w:val="16"/>
                                    </w:rPr>
                                    <w:t>Borrowing</w:t>
                                  </w:r>
                                  <w:r>
                                    <w:rPr>
                                      <w:spacing w:val="-12"/>
                                      <w:sz w:val="16"/>
                                    </w:rPr>
                                    <w:t> </w:t>
                                  </w:r>
                                  <w:r>
                                    <w:rPr>
                                      <w:sz w:val="16"/>
                                    </w:rPr>
                                    <w:t>Member </w:t>
                                  </w:r>
                                  <w:r>
                                    <w:rPr>
                                      <w:spacing w:val="-2"/>
                                      <w:sz w:val="16"/>
                                    </w:rPr>
                                    <w:t>Countries</w:t>
                                  </w:r>
                                </w:p>
                              </w:tc>
                              <w:tc>
                                <w:tcPr>
                                  <w:tcW w:w="1300" w:type="dxa"/>
                                  <w:tcBorders>
                                    <w:top w:val="single" w:sz="8" w:space="0" w:color="6C6C6C"/>
                                  </w:tcBorders>
                                </w:tcPr>
                                <w:p>
                                  <w:pPr>
                                    <w:pStyle w:val="TableParagraph"/>
                                    <w:spacing w:before="9"/>
                                    <w:ind w:left="73"/>
                                    <w:rPr>
                                      <w:sz w:val="16"/>
                                    </w:rPr>
                                  </w:pPr>
                                  <w:r>
                                    <w:rPr>
                                      <w:spacing w:val="-2"/>
                                      <w:sz w:val="16"/>
                                    </w:rPr>
                                    <w:t>Derivatives</w:t>
                                  </w:r>
                                </w:p>
                              </w:tc>
                              <w:tc>
                                <w:tcPr>
                                  <w:tcW w:w="3612" w:type="dxa"/>
                                  <w:tcBorders>
                                    <w:top w:val="single" w:sz="8" w:space="0" w:color="6C6C6C"/>
                                  </w:tcBorders>
                                </w:tcPr>
                                <w:p>
                                  <w:pPr>
                                    <w:pStyle w:val="TableParagraph"/>
                                    <w:spacing w:line="232" w:lineRule="auto" w:before="13"/>
                                    <w:ind w:left="78" w:right="64"/>
                                    <w:rPr>
                                      <w:sz w:val="16"/>
                                    </w:rPr>
                                  </w:pPr>
                                  <w:r>
                                    <w:rPr>
                                      <w:sz w:val="16"/>
                                    </w:rPr>
                                    <w:t>Assist</w:t>
                                  </w:r>
                                  <w:r>
                                    <w:rPr>
                                      <w:spacing w:val="-10"/>
                                      <w:sz w:val="16"/>
                                    </w:rPr>
                                    <w:t> </w:t>
                                  </w:r>
                                  <w:r>
                                    <w:rPr>
                                      <w:sz w:val="16"/>
                                    </w:rPr>
                                    <w:t>borrowing</w:t>
                                  </w:r>
                                  <w:r>
                                    <w:rPr>
                                      <w:spacing w:val="-11"/>
                                      <w:sz w:val="16"/>
                                    </w:rPr>
                                    <w:t> </w:t>
                                  </w:r>
                                  <w:r>
                                    <w:rPr>
                                      <w:sz w:val="16"/>
                                    </w:rPr>
                                    <w:t>member</w:t>
                                  </w:r>
                                  <w:r>
                                    <w:rPr>
                                      <w:spacing w:val="-10"/>
                                      <w:sz w:val="16"/>
                                    </w:rPr>
                                    <w:t> </w:t>
                                  </w:r>
                                  <w:r>
                                    <w:rPr>
                                      <w:sz w:val="16"/>
                                    </w:rPr>
                                    <w:t>countries</w:t>
                                  </w:r>
                                  <w:r>
                                    <w:rPr>
                                      <w:spacing w:val="-10"/>
                                      <w:sz w:val="16"/>
                                    </w:rPr>
                                    <w:t> </w:t>
                                  </w:r>
                                  <w:r>
                                    <w:rPr>
                                      <w:sz w:val="16"/>
                                    </w:rPr>
                                    <w:t>with managing risks</w:t>
                                  </w:r>
                                </w:p>
                              </w:tc>
                              <w:tc>
                                <w:tcPr>
                                  <w:tcW w:w="998" w:type="dxa"/>
                                  <w:tcBorders>
                                    <w:top w:val="single" w:sz="8" w:space="0" w:color="6C6C6C"/>
                                  </w:tcBorders>
                                </w:tcPr>
                                <w:p>
                                  <w:pPr>
                                    <w:pStyle w:val="TableParagraph"/>
                                    <w:tabs>
                                      <w:tab w:pos="484" w:val="left" w:leader="none"/>
                                    </w:tabs>
                                    <w:spacing w:before="9"/>
                                    <w:ind w:right="60"/>
                                    <w:jc w:val="right"/>
                                    <w:rPr>
                                      <w:sz w:val="16"/>
                                    </w:rPr>
                                  </w:pPr>
                                  <w:r>
                                    <w:rPr>
                                      <w:spacing w:val="-10"/>
                                      <w:sz w:val="16"/>
                                    </w:rPr>
                                    <w:t>$</w:t>
                                  </w:r>
                                  <w:r>
                                    <w:rPr>
                                      <w:sz w:val="16"/>
                                    </w:rPr>
                                    <w:tab/>
                                  </w:r>
                                  <w:r>
                                    <w:rPr>
                                      <w:spacing w:val="-2"/>
                                      <w:sz w:val="16"/>
                                    </w:rPr>
                                    <w:t>7,921</w:t>
                                  </w:r>
                                </w:p>
                              </w:tc>
                              <w:tc>
                                <w:tcPr>
                                  <w:tcW w:w="1208" w:type="dxa"/>
                                  <w:tcBorders>
                                    <w:top w:val="single" w:sz="8" w:space="0" w:color="6C6C6C"/>
                                  </w:tcBorders>
                                </w:tcPr>
                                <w:p>
                                  <w:pPr>
                                    <w:pStyle w:val="TableParagraph"/>
                                    <w:tabs>
                                      <w:tab w:pos="919" w:val="left" w:leader="none"/>
                                    </w:tabs>
                                    <w:spacing w:before="9"/>
                                    <w:ind w:right="68"/>
                                    <w:jc w:val="right"/>
                                    <w:rPr>
                                      <w:sz w:val="16"/>
                                    </w:rPr>
                                  </w:pPr>
                                  <w:r>
                                    <w:rPr>
                                      <w:spacing w:val="-10"/>
                                      <w:sz w:val="16"/>
                                    </w:rPr>
                                    <w:t>$</w:t>
                                  </w:r>
                                  <w:r>
                                    <w:rPr>
                                      <w:sz w:val="16"/>
                                    </w:rPr>
                                    <w:tab/>
                                    <w:t>—</w:t>
                                  </w:r>
                                </w:p>
                              </w:tc>
                            </w:tr>
                            <w:tr>
                              <w:trPr>
                                <w:trHeight w:val="232" w:hRule="atLeast"/>
                              </w:trPr>
                              <w:tc>
                                <w:tcPr>
                                  <w:tcW w:w="2034" w:type="dxa"/>
                                </w:tcPr>
                                <w:p>
                                  <w:pPr>
                                    <w:pStyle w:val="TableParagraph"/>
                                    <w:spacing w:line="184" w:lineRule="exact" w:before="29"/>
                                    <w:ind w:left="52"/>
                                    <w:rPr>
                                      <w:sz w:val="16"/>
                                    </w:rPr>
                                  </w:pPr>
                                  <w:r>
                                    <w:rPr>
                                      <w:spacing w:val="-2"/>
                                      <w:sz w:val="16"/>
                                    </w:rPr>
                                    <w:t>Non-Affiliated</w:t>
                                  </w:r>
                                  <w:r>
                                    <w:rPr>
                                      <w:spacing w:val="16"/>
                                      <w:sz w:val="16"/>
                                    </w:rPr>
                                    <w:t> </w:t>
                                  </w:r>
                                  <w:r>
                                    <w:rPr>
                                      <w:spacing w:val="-2"/>
                                      <w:sz w:val="16"/>
                                    </w:rPr>
                                    <w:t>Organization</w:t>
                                  </w:r>
                                </w:p>
                              </w:tc>
                              <w:tc>
                                <w:tcPr>
                                  <w:tcW w:w="1300" w:type="dxa"/>
                                </w:tcPr>
                                <w:p>
                                  <w:pPr>
                                    <w:pStyle w:val="TableParagraph"/>
                                    <w:spacing w:before="21"/>
                                    <w:ind w:left="73"/>
                                    <w:rPr>
                                      <w:sz w:val="16"/>
                                    </w:rPr>
                                  </w:pPr>
                                  <w:r>
                                    <w:rPr>
                                      <w:spacing w:val="-2"/>
                                      <w:sz w:val="16"/>
                                    </w:rPr>
                                    <w:t>Derivatives</w:t>
                                  </w:r>
                                </w:p>
                              </w:tc>
                              <w:tc>
                                <w:tcPr>
                                  <w:tcW w:w="3612" w:type="dxa"/>
                                </w:tcPr>
                                <w:p>
                                  <w:pPr>
                                    <w:pStyle w:val="TableParagraph"/>
                                    <w:spacing w:before="21"/>
                                    <w:ind w:left="78"/>
                                    <w:rPr>
                                      <w:sz w:val="16"/>
                                    </w:rPr>
                                  </w:pPr>
                                  <w:r>
                                    <w:rPr>
                                      <w:sz w:val="16"/>
                                    </w:rPr>
                                    <w:t>Assist</w:t>
                                  </w:r>
                                  <w:r>
                                    <w:rPr>
                                      <w:spacing w:val="-3"/>
                                      <w:sz w:val="16"/>
                                    </w:rPr>
                                    <w:t> </w:t>
                                  </w:r>
                                  <w:r>
                                    <w:rPr>
                                      <w:sz w:val="16"/>
                                    </w:rPr>
                                    <w:t>IFFIm</w:t>
                                  </w:r>
                                  <w:r>
                                    <w:rPr>
                                      <w:spacing w:val="-3"/>
                                      <w:sz w:val="16"/>
                                    </w:rPr>
                                    <w:t> </w:t>
                                  </w:r>
                                  <w:r>
                                    <w:rPr>
                                      <w:sz w:val="16"/>
                                    </w:rPr>
                                    <w:t>with</w:t>
                                  </w:r>
                                  <w:r>
                                    <w:rPr>
                                      <w:spacing w:val="-4"/>
                                      <w:sz w:val="16"/>
                                    </w:rPr>
                                    <w:t> </w:t>
                                  </w:r>
                                  <w:r>
                                    <w:rPr>
                                      <w:sz w:val="16"/>
                                    </w:rPr>
                                    <w:t>managing</w:t>
                                  </w:r>
                                  <w:r>
                                    <w:rPr>
                                      <w:spacing w:val="-3"/>
                                      <w:sz w:val="16"/>
                                    </w:rPr>
                                    <w:t> </w:t>
                                  </w:r>
                                  <w:r>
                                    <w:rPr>
                                      <w:spacing w:val="-4"/>
                                      <w:sz w:val="16"/>
                                    </w:rPr>
                                    <w:t>risks</w:t>
                                  </w:r>
                                </w:p>
                              </w:tc>
                              <w:tc>
                                <w:tcPr>
                                  <w:tcW w:w="998" w:type="dxa"/>
                                  <w:tcBorders>
                                    <w:bottom w:val="single" w:sz="8" w:space="0" w:color="6C6C6C"/>
                                  </w:tcBorders>
                                </w:tcPr>
                                <w:p>
                                  <w:pPr>
                                    <w:pStyle w:val="TableParagraph"/>
                                    <w:spacing w:before="21"/>
                                    <w:ind w:right="60"/>
                                    <w:jc w:val="right"/>
                                    <w:rPr>
                                      <w:sz w:val="16"/>
                                    </w:rPr>
                                  </w:pPr>
                                  <w:r>
                                    <w:rPr>
                                      <w:spacing w:val="-2"/>
                                      <w:sz w:val="16"/>
                                    </w:rPr>
                                    <w:t>3,120</w:t>
                                  </w:r>
                                </w:p>
                              </w:tc>
                              <w:tc>
                                <w:tcPr>
                                  <w:tcW w:w="1208" w:type="dxa"/>
                                  <w:tcBorders>
                                    <w:bottom w:val="single" w:sz="8" w:space="0" w:color="6C6C6C"/>
                                  </w:tcBorders>
                                </w:tcPr>
                                <w:p>
                                  <w:pPr>
                                    <w:pStyle w:val="TableParagraph"/>
                                    <w:spacing w:before="21"/>
                                    <w:ind w:right="68"/>
                                    <w:jc w:val="right"/>
                                    <w:rPr>
                                      <w:sz w:val="16"/>
                                    </w:rPr>
                                  </w:pPr>
                                  <w:r>
                                    <w:rPr>
                                      <w:sz w:val="16"/>
                                    </w:rPr>
                                    <w:t>—</w:t>
                                  </w:r>
                                </w:p>
                              </w:tc>
                            </w:tr>
                          </w:tbl>
                          <w:p>
                            <w:pPr>
                              <w:pStyle w:val="BodyText"/>
                            </w:pPr>
                          </w:p>
                        </w:txbxContent>
                      </wps:txbx>
                      <wps:bodyPr wrap="square" lIns="0" tIns="0" rIns="0" bIns="0" rtlCol="0">
                        <a:noAutofit/>
                      </wps:bodyPr>
                    </wps:wsp>
                  </a:graphicData>
                </a:graphic>
              </wp:anchor>
            </w:drawing>
          </mc:Choice>
          <mc:Fallback>
            <w:pict>
              <v:shape style="position:absolute;margin-left:69pt;margin-top:29.211613pt;width:463.5pt;height:54.95pt;mso-position-horizontal-relative:page;mso-position-vertical-relative:paragraph;z-index:15800320" type="#_x0000_t202" id="docshape4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4"/>
                        <w:gridCol w:w="1300"/>
                        <w:gridCol w:w="3612"/>
                        <w:gridCol w:w="998"/>
                        <w:gridCol w:w="1208"/>
                      </w:tblGrid>
                      <w:tr>
                        <w:trPr>
                          <w:trHeight w:val="400" w:hRule="atLeast"/>
                        </w:trPr>
                        <w:tc>
                          <w:tcPr>
                            <w:tcW w:w="2034" w:type="dxa"/>
                            <w:tcBorders>
                              <w:top w:val="single" w:sz="8" w:space="0" w:color="6C6C6C"/>
                              <w:bottom w:val="single" w:sz="8" w:space="0" w:color="6C6C6C"/>
                            </w:tcBorders>
                          </w:tcPr>
                          <w:p>
                            <w:pPr>
                              <w:pStyle w:val="TableParagraph"/>
                              <w:spacing w:line="232" w:lineRule="auto" w:before="22"/>
                              <w:ind w:left="52" w:right="622"/>
                              <w:rPr>
                                <w:rFonts w:ascii="Arial"/>
                                <w:i/>
                                <w:sz w:val="16"/>
                              </w:rPr>
                            </w:pPr>
                            <w:r>
                              <w:rPr>
                                <w:rFonts w:ascii="Arial"/>
                                <w:i/>
                                <w:color w:val="484848"/>
                                <w:spacing w:val="-2"/>
                                <w:sz w:val="16"/>
                              </w:rPr>
                              <w:t>Non-</w:t>
                            </w:r>
                            <w:r>
                              <w:rPr>
                                <w:rFonts w:ascii="Arial"/>
                                <w:i/>
                                <w:color w:val="484848"/>
                                <w:spacing w:val="-2"/>
                                <w:sz w:val="16"/>
                              </w:rPr>
                              <w:t>Commercial Counterparty</w:t>
                            </w:r>
                          </w:p>
                        </w:tc>
                        <w:tc>
                          <w:tcPr>
                            <w:tcW w:w="1300" w:type="dxa"/>
                            <w:tcBorders>
                              <w:top w:val="single" w:sz="8" w:space="0" w:color="6C6C6C"/>
                              <w:bottom w:val="single" w:sz="8" w:space="0" w:color="6C6C6C"/>
                            </w:tcBorders>
                          </w:tcPr>
                          <w:p>
                            <w:pPr>
                              <w:pStyle w:val="TableParagraph"/>
                              <w:spacing w:before="102"/>
                              <w:ind w:left="73"/>
                              <w:rPr>
                                <w:rFonts w:ascii="Arial"/>
                                <w:i/>
                                <w:sz w:val="16"/>
                              </w:rPr>
                            </w:pPr>
                            <w:r>
                              <w:rPr>
                                <w:rFonts w:ascii="Arial"/>
                                <w:i/>
                                <w:color w:val="484848"/>
                                <w:sz w:val="16"/>
                              </w:rPr>
                              <w:t>Instrument</w:t>
                            </w:r>
                            <w:r>
                              <w:rPr>
                                <w:rFonts w:ascii="Arial"/>
                                <w:i/>
                                <w:color w:val="484848"/>
                                <w:spacing w:val="-6"/>
                                <w:sz w:val="16"/>
                              </w:rPr>
                              <w:t> </w:t>
                            </w:r>
                            <w:r>
                              <w:rPr>
                                <w:rFonts w:ascii="Arial"/>
                                <w:i/>
                                <w:color w:val="484848"/>
                                <w:spacing w:val="-4"/>
                                <w:sz w:val="16"/>
                              </w:rPr>
                              <w:t>used</w:t>
                            </w:r>
                          </w:p>
                        </w:tc>
                        <w:tc>
                          <w:tcPr>
                            <w:tcW w:w="3612" w:type="dxa"/>
                            <w:tcBorders>
                              <w:top w:val="single" w:sz="8" w:space="0" w:color="6C6C6C"/>
                              <w:bottom w:val="single" w:sz="8" w:space="0" w:color="6C6C6C"/>
                            </w:tcBorders>
                          </w:tcPr>
                          <w:p>
                            <w:pPr>
                              <w:pStyle w:val="TableParagraph"/>
                              <w:spacing w:before="102"/>
                              <w:ind w:left="78"/>
                              <w:rPr>
                                <w:rFonts w:ascii="Arial"/>
                                <w:i/>
                                <w:sz w:val="16"/>
                              </w:rPr>
                            </w:pPr>
                            <w:r>
                              <w:rPr>
                                <w:rFonts w:ascii="Arial"/>
                                <w:i/>
                                <w:color w:val="484848"/>
                                <w:sz w:val="16"/>
                              </w:rPr>
                              <w:t>Purpose</w:t>
                            </w:r>
                            <w:r>
                              <w:rPr>
                                <w:rFonts w:ascii="Arial"/>
                                <w:i/>
                                <w:color w:val="484848"/>
                                <w:spacing w:val="-4"/>
                                <w:sz w:val="16"/>
                              </w:rPr>
                              <w:t> </w:t>
                            </w:r>
                            <w:r>
                              <w:rPr>
                                <w:rFonts w:ascii="Arial"/>
                                <w:i/>
                                <w:color w:val="484848"/>
                                <w:sz w:val="16"/>
                              </w:rPr>
                              <w:t>of</w:t>
                            </w:r>
                            <w:r>
                              <w:rPr>
                                <w:rFonts w:ascii="Arial"/>
                                <w:i/>
                                <w:color w:val="484848"/>
                                <w:spacing w:val="-4"/>
                                <w:sz w:val="16"/>
                              </w:rPr>
                              <w:t> </w:t>
                            </w:r>
                            <w:r>
                              <w:rPr>
                                <w:rFonts w:ascii="Arial"/>
                                <w:i/>
                                <w:color w:val="484848"/>
                                <w:sz w:val="16"/>
                              </w:rPr>
                              <w:t>derivative</w:t>
                            </w:r>
                            <w:r>
                              <w:rPr>
                                <w:rFonts w:ascii="Arial"/>
                                <w:i/>
                                <w:color w:val="484848"/>
                                <w:spacing w:val="-3"/>
                                <w:sz w:val="16"/>
                              </w:rPr>
                              <w:t> </w:t>
                            </w:r>
                            <w:r>
                              <w:rPr>
                                <w:rFonts w:ascii="Arial"/>
                                <w:i/>
                                <w:color w:val="484848"/>
                                <w:spacing w:val="-2"/>
                                <w:sz w:val="16"/>
                              </w:rPr>
                              <w:t>transaction</w:t>
                            </w:r>
                          </w:p>
                        </w:tc>
                        <w:tc>
                          <w:tcPr>
                            <w:tcW w:w="998" w:type="dxa"/>
                            <w:tcBorders>
                              <w:top w:val="single" w:sz="8" w:space="0" w:color="6C6C6C"/>
                              <w:bottom w:val="single" w:sz="8" w:space="0" w:color="6C6C6C"/>
                            </w:tcBorders>
                          </w:tcPr>
                          <w:p>
                            <w:pPr>
                              <w:pStyle w:val="TableParagraph"/>
                              <w:spacing w:before="102"/>
                              <w:ind w:right="44"/>
                              <w:jc w:val="right"/>
                              <w:rPr>
                                <w:rFonts w:ascii="Arial"/>
                                <w:i/>
                                <w:sz w:val="16"/>
                              </w:rPr>
                            </w:pPr>
                            <w:r>
                              <w:rPr>
                                <w:rFonts w:ascii="Arial"/>
                                <w:i/>
                                <w:color w:val="484848"/>
                                <w:spacing w:val="-2"/>
                                <w:sz w:val="16"/>
                              </w:rPr>
                              <w:t>Notional</w:t>
                            </w:r>
                          </w:p>
                        </w:tc>
                        <w:tc>
                          <w:tcPr>
                            <w:tcW w:w="1208" w:type="dxa"/>
                            <w:tcBorders>
                              <w:top w:val="single" w:sz="8" w:space="0" w:color="6C6C6C"/>
                              <w:bottom w:val="single" w:sz="8" w:space="0" w:color="6C6C6C"/>
                            </w:tcBorders>
                          </w:tcPr>
                          <w:p>
                            <w:pPr>
                              <w:pStyle w:val="TableParagraph"/>
                              <w:spacing w:before="102"/>
                              <w:ind w:right="51"/>
                              <w:jc w:val="right"/>
                              <w:rPr>
                                <w:rFonts w:ascii="Arial"/>
                                <w:i/>
                                <w:sz w:val="16"/>
                              </w:rPr>
                            </w:pPr>
                            <w:r>
                              <w:rPr>
                                <w:rFonts w:ascii="Arial"/>
                                <w:i/>
                                <w:color w:val="484848"/>
                                <w:sz w:val="16"/>
                              </w:rPr>
                              <w:t>Net</w:t>
                            </w:r>
                            <w:r>
                              <w:rPr>
                                <w:rFonts w:ascii="Arial"/>
                                <w:i/>
                                <w:color w:val="484848"/>
                                <w:spacing w:val="-2"/>
                                <w:sz w:val="16"/>
                              </w:rPr>
                              <w:t> Exposure</w:t>
                            </w:r>
                          </w:p>
                        </w:tc>
                      </w:tr>
                      <w:tr>
                        <w:trPr>
                          <w:trHeight w:val="407" w:hRule="atLeast"/>
                        </w:trPr>
                        <w:tc>
                          <w:tcPr>
                            <w:tcW w:w="2034" w:type="dxa"/>
                            <w:tcBorders>
                              <w:top w:val="single" w:sz="8" w:space="0" w:color="6C6C6C"/>
                            </w:tcBorders>
                          </w:tcPr>
                          <w:p>
                            <w:pPr>
                              <w:pStyle w:val="TableParagraph"/>
                              <w:spacing w:line="232" w:lineRule="auto" w:before="21"/>
                              <w:ind w:left="52" w:right="622"/>
                              <w:rPr>
                                <w:sz w:val="16"/>
                              </w:rPr>
                            </w:pPr>
                            <w:r>
                              <w:rPr>
                                <w:sz w:val="16"/>
                              </w:rPr>
                              <w:t>Borrowing</w:t>
                            </w:r>
                            <w:r>
                              <w:rPr>
                                <w:spacing w:val="-12"/>
                                <w:sz w:val="16"/>
                              </w:rPr>
                              <w:t> </w:t>
                            </w:r>
                            <w:r>
                              <w:rPr>
                                <w:sz w:val="16"/>
                              </w:rPr>
                              <w:t>Member </w:t>
                            </w:r>
                            <w:r>
                              <w:rPr>
                                <w:spacing w:val="-2"/>
                                <w:sz w:val="16"/>
                              </w:rPr>
                              <w:t>Countries</w:t>
                            </w:r>
                          </w:p>
                        </w:tc>
                        <w:tc>
                          <w:tcPr>
                            <w:tcW w:w="1300" w:type="dxa"/>
                            <w:tcBorders>
                              <w:top w:val="single" w:sz="8" w:space="0" w:color="6C6C6C"/>
                            </w:tcBorders>
                          </w:tcPr>
                          <w:p>
                            <w:pPr>
                              <w:pStyle w:val="TableParagraph"/>
                              <w:spacing w:before="9"/>
                              <w:ind w:left="73"/>
                              <w:rPr>
                                <w:sz w:val="16"/>
                              </w:rPr>
                            </w:pPr>
                            <w:r>
                              <w:rPr>
                                <w:spacing w:val="-2"/>
                                <w:sz w:val="16"/>
                              </w:rPr>
                              <w:t>Derivatives</w:t>
                            </w:r>
                          </w:p>
                        </w:tc>
                        <w:tc>
                          <w:tcPr>
                            <w:tcW w:w="3612" w:type="dxa"/>
                            <w:tcBorders>
                              <w:top w:val="single" w:sz="8" w:space="0" w:color="6C6C6C"/>
                            </w:tcBorders>
                          </w:tcPr>
                          <w:p>
                            <w:pPr>
                              <w:pStyle w:val="TableParagraph"/>
                              <w:spacing w:line="232" w:lineRule="auto" w:before="13"/>
                              <w:ind w:left="78" w:right="64"/>
                              <w:rPr>
                                <w:sz w:val="16"/>
                              </w:rPr>
                            </w:pPr>
                            <w:r>
                              <w:rPr>
                                <w:sz w:val="16"/>
                              </w:rPr>
                              <w:t>Assist</w:t>
                            </w:r>
                            <w:r>
                              <w:rPr>
                                <w:spacing w:val="-10"/>
                                <w:sz w:val="16"/>
                              </w:rPr>
                              <w:t> </w:t>
                            </w:r>
                            <w:r>
                              <w:rPr>
                                <w:sz w:val="16"/>
                              </w:rPr>
                              <w:t>borrowing</w:t>
                            </w:r>
                            <w:r>
                              <w:rPr>
                                <w:spacing w:val="-11"/>
                                <w:sz w:val="16"/>
                              </w:rPr>
                              <w:t> </w:t>
                            </w:r>
                            <w:r>
                              <w:rPr>
                                <w:sz w:val="16"/>
                              </w:rPr>
                              <w:t>member</w:t>
                            </w:r>
                            <w:r>
                              <w:rPr>
                                <w:spacing w:val="-10"/>
                                <w:sz w:val="16"/>
                              </w:rPr>
                              <w:t> </w:t>
                            </w:r>
                            <w:r>
                              <w:rPr>
                                <w:sz w:val="16"/>
                              </w:rPr>
                              <w:t>countries</w:t>
                            </w:r>
                            <w:r>
                              <w:rPr>
                                <w:spacing w:val="-10"/>
                                <w:sz w:val="16"/>
                              </w:rPr>
                              <w:t> </w:t>
                            </w:r>
                            <w:r>
                              <w:rPr>
                                <w:sz w:val="16"/>
                              </w:rPr>
                              <w:t>with managing risks</w:t>
                            </w:r>
                          </w:p>
                        </w:tc>
                        <w:tc>
                          <w:tcPr>
                            <w:tcW w:w="998" w:type="dxa"/>
                            <w:tcBorders>
                              <w:top w:val="single" w:sz="8" w:space="0" w:color="6C6C6C"/>
                            </w:tcBorders>
                          </w:tcPr>
                          <w:p>
                            <w:pPr>
                              <w:pStyle w:val="TableParagraph"/>
                              <w:tabs>
                                <w:tab w:pos="484" w:val="left" w:leader="none"/>
                              </w:tabs>
                              <w:spacing w:before="9"/>
                              <w:ind w:right="60"/>
                              <w:jc w:val="right"/>
                              <w:rPr>
                                <w:sz w:val="16"/>
                              </w:rPr>
                            </w:pPr>
                            <w:r>
                              <w:rPr>
                                <w:spacing w:val="-10"/>
                                <w:sz w:val="16"/>
                              </w:rPr>
                              <w:t>$</w:t>
                            </w:r>
                            <w:r>
                              <w:rPr>
                                <w:sz w:val="16"/>
                              </w:rPr>
                              <w:tab/>
                            </w:r>
                            <w:r>
                              <w:rPr>
                                <w:spacing w:val="-2"/>
                                <w:sz w:val="16"/>
                              </w:rPr>
                              <w:t>7,921</w:t>
                            </w:r>
                          </w:p>
                        </w:tc>
                        <w:tc>
                          <w:tcPr>
                            <w:tcW w:w="1208" w:type="dxa"/>
                            <w:tcBorders>
                              <w:top w:val="single" w:sz="8" w:space="0" w:color="6C6C6C"/>
                            </w:tcBorders>
                          </w:tcPr>
                          <w:p>
                            <w:pPr>
                              <w:pStyle w:val="TableParagraph"/>
                              <w:tabs>
                                <w:tab w:pos="919" w:val="left" w:leader="none"/>
                              </w:tabs>
                              <w:spacing w:before="9"/>
                              <w:ind w:right="68"/>
                              <w:jc w:val="right"/>
                              <w:rPr>
                                <w:sz w:val="16"/>
                              </w:rPr>
                            </w:pPr>
                            <w:r>
                              <w:rPr>
                                <w:spacing w:val="-10"/>
                                <w:sz w:val="16"/>
                              </w:rPr>
                              <w:t>$</w:t>
                            </w:r>
                            <w:r>
                              <w:rPr>
                                <w:sz w:val="16"/>
                              </w:rPr>
                              <w:tab/>
                              <w:t>—</w:t>
                            </w:r>
                          </w:p>
                        </w:tc>
                      </w:tr>
                      <w:tr>
                        <w:trPr>
                          <w:trHeight w:val="232" w:hRule="atLeast"/>
                        </w:trPr>
                        <w:tc>
                          <w:tcPr>
                            <w:tcW w:w="2034" w:type="dxa"/>
                          </w:tcPr>
                          <w:p>
                            <w:pPr>
                              <w:pStyle w:val="TableParagraph"/>
                              <w:spacing w:line="184" w:lineRule="exact" w:before="29"/>
                              <w:ind w:left="52"/>
                              <w:rPr>
                                <w:sz w:val="16"/>
                              </w:rPr>
                            </w:pPr>
                            <w:r>
                              <w:rPr>
                                <w:spacing w:val="-2"/>
                                <w:sz w:val="16"/>
                              </w:rPr>
                              <w:t>Non-Affiliated</w:t>
                            </w:r>
                            <w:r>
                              <w:rPr>
                                <w:spacing w:val="16"/>
                                <w:sz w:val="16"/>
                              </w:rPr>
                              <w:t> </w:t>
                            </w:r>
                            <w:r>
                              <w:rPr>
                                <w:spacing w:val="-2"/>
                                <w:sz w:val="16"/>
                              </w:rPr>
                              <w:t>Organization</w:t>
                            </w:r>
                          </w:p>
                        </w:tc>
                        <w:tc>
                          <w:tcPr>
                            <w:tcW w:w="1300" w:type="dxa"/>
                          </w:tcPr>
                          <w:p>
                            <w:pPr>
                              <w:pStyle w:val="TableParagraph"/>
                              <w:spacing w:before="21"/>
                              <w:ind w:left="73"/>
                              <w:rPr>
                                <w:sz w:val="16"/>
                              </w:rPr>
                            </w:pPr>
                            <w:r>
                              <w:rPr>
                                <w:spacing w:val="-2"/>
                                <w:sz w:val="16"/>
                              </w:rPr>
                              <w:t>Derivatives</w:t>
                            </w:r>
                          </w:p>
                        </w:tc>
                        <w:tc>
                          <w:tcPr>
                            <w:tcW w:w="3612" w:type="dxa"/>
                          </w:tcPr>
                          <w:p>
                            <w:pPr>
                              <w:pStyle w:val="TableParagraph"/>
                              <w:spacing w:before="21"/>
                              <w:ind w:left="78"/>
                              <w:rPr>
                                <w:sz w:val="16"/>
                              </w:rPr>
                            </w:pPr>
                            <w:r>
                              <w:rPr>
                                <w:sz w:val="16"/>
                              </w:rPr>
                              <w:t>Assist</w:t>
                            </w:r>
                            <w:r>
                              <w:rPr>
                                <w:spacing w:val="-3"/>
                                <w:sz w:val="16"/>
                              </w:rPr>
                              <w:t> </w:t>
                            </w:r>
                            <w:r>
                              <w:rPr>
                                <w:sz w:val="16"/>
                              </w:rPr>
                              <w:t>IFFIm</w:t>
                            </w:r>
                            <w:r>
                              <w:rPr>
                                <w:spacing w:val="-3"/>
                                <w:sz w:val="16"/>
                              </w:rPr>
                              <w:t> </w:t>
                            </w:r>
                            <w:r>
                              <w:rPr>
                                <w:sz w:val="16"/>
                              </w:rPr>
                              <w:t>with</w:t>
                            </w:r>
                            <w:r>
                              <w:rPr>
                                <w:spacing w:val="-4"/>
                                <w:sz w:val="16"/>
                              </w:rPr>
                              <w:t> </w:t>
                            </w:r>
                            <w:r>
                              <w:rPr>
                                <w:sz w:val="16"/>
                              </w:rPr>
                              <w:t>managing</w:t>
                            </w:r>
                            <w:r>
                              <w:rPr>
                                <w:spacing w:val="-3"/>
                                <w:sz w:val="16"/>
                              </w:rPr>
                              <w:t> </w:t>
                            </w:r>
                            <w:r>
                              <w:rPr>
                                <w:spacing w:val="-4"/>
                                <w:sz w:val="16"/>
                              </w:rPr>
                              <w:t>risks</w:t>
                            </w:r>
                          </w:p>
                        </w:tc>
                        <w:tc>
                          <w:tcPr>
                            <w:tcW w:w="998" w:type="dxa"/>
                            <w:tcBorders>
                              <w:bottom w:val="single" w:sz="8" w:space="0" w:color="6C6C6C"/>
                            </w:tcBorders>
                          </w:tcPr>
                          <w:p>
                            <w:pPr>
                              <w:pStyle w:val="TableParagraph"/>
                              <w:spacing w:before="21"/>
                              <w:ind w:right="60"/>
                              <w:jc w:val="right"/>
                              <w:rPr>
                                <w:sz w:val="16"/>
                              </w:rPr>
                            </w:pPr>
                            <w:r>
                              <w:rPr>
                                <w:spacing w:val="-2"/>
                                <w:sz w:val="16"/>
                              </w:rPr>
                              <w:t>3,120</w:t>
                            </w:r>
                          </w:p>
                        </w:tc>
                        <w:tc>
                          <w:tcPr>
                            <w:tcW w:w="1208" w:type="dxa"/>
                            <w:tcBorders>
                              <w:bottom w:val="single" w:sz="8" w:space="0" w:color="6C6C6C"/>
                            </w:tcBorders>
                          </w:tcPr>
                          <w:p>
                            <w:pPr>
                              <w:pStyle w:val="TableParagraph"/>
                              <w:spacing w:before="21"/>
                              <w:ind w:right="68"/>
                              <w:jc w:val="right"/>
                              <w:rPr>
                                <w:sz w:val="16"/>
                              </w:rPr>
                            </w:pPr>
                            <w:r>
                              <w:rPr>
                                <w:sz w:val="16"/>
                              </w:rPr>
                              <w:t>—</w:t>
                            </w:r>
                          </w:p>
                        </w:tc>
                      </w:tr>
                    </w:tbl>
                    <w:p>
                      <w:pPr>
                        <w:pStyle w:val="BodyText"/>
                      </w:pPr>
                    </w:p>
                  </w:txbxContent>
                </v:textbox>
                <w10:wrap type="none"/>
              </v:shape>
            </w:pict>
          </mc:Fallback>
        </mc:AlternateContent>
      </w:r>
      <w:r>
        <w:rPr>
          <w:rFonts w:ascii="Arial"/>
          <w:i/>
          <w:sz w:val="16"/>
        </w:rPr>
        <w:t>In millions of U.S. dollars Exposures</w:t>
      </w:r>
      <w:r>
        <w:rPr>
          <w:rFonts w:ascii="Arial"/>
          <w:i/>
          <w:spacing w:val="-8"/>
          <w:sz w:val="16"/>
        </w:rPr>
        <w:t> </w:t>
      </w:r>
      <w:r>
        <w:rPr>
          <w:rFonts w:ascii="Arial"/>
          <w:i/>
          <w:sz w:val="16"/>
        </w:rPr>
        <w:t>as</w:t>
      </w:r>
      <w:r>
        <w:rPr>
          <w:rFonts w:ascii="Arial"/>
          <w:i/>
          <w:spacing w:val="-8"/>
          <w:sz w:val="16"/>
        </w:rPr>
        <w:t> </w:t>
      </w:r>
      <w:r>
        <w:rPr>
          <w:rFonts w:ascii="Arial"/>
          <w:i/>
          <w:sz w:val="16"/>
        </w:rPr>
        <w:t>of</w:t>
      </w:r>
      <w:r>
        <w:rPr>
          <w:rFonts w:ascii="Arial"/>
          <w:i/>
          <w:spacing w:val="-9"/>
          <w:sz w:val="16"/>
        </w:rPr>
        <w:t> </w:t>
      </w:r>
      <w:r>
        <w:rPr>
          <w:rFonts w:ascii="Arial"/>
          <w:i/>
          <w:sz w:val="16"/>
        </w:rPr>
        <w:t>June</w:t>
      </w:r>
      <w:r>
        <w:rPr>
          <w:rFonts w:ascii="Arial"/>
          <w:i/>
          <w:spacing w:val="-9"/>
          <w:sz w:val="16"/>
        </w:rPr>
        <w:t> </w:t>
      </w:r>
      <w:r>
        <w:rPr>
          <w:rFonts w:ascii="Arial"/>
          <w:i/>
          <w:sz w:val="16"/>
        </w:rPr>
        <w:t>30,</w:t>
      </w:r>
      <w:r>
        <w:rPr>
          <w:rFonts w:ascii="Arial"/>
          <w:i/>
          <w:spacing w:val="-8"/>
          <w:sz w:val="16"/>
        </w:rPr>
        <w:t> </w:t>
      </w:r>
      <w:r>
        <w:rPr>
          <w:rFonts w:ascii="Arial"/>
          <w:i/>
          <w:sz w:val="16"/>
        </w:rPr>
        <w:t>2023</w:t>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27"/>
        <w:rPr>
          <w:rFonts w:ascii="Arial"/>
          <w:i/>
          <w:sz w:val="16"/>
        </w:rPr>
      </w:pPr>
    </w:p>
    <w:p>
      <w:pPr>
        <w:tabs>
          <w:tab w:pos="448" w:val="left" w:leader="none"/>
          <w:tab w:pos="1976" w:val="left" w:leader="none"/>
        </w:tabs>
        <w:spacing w:before="0"/>
        <w:ind w:left="0" w:right="996" w:firstLine="0"/>
        <w:jc w:val="right"/>
        <w:rPr>
          <w:rFonts w:ascii="Arial" w:hAnsi="Arial"/>
          <w:b/>
          <w:sz w:val="16"/>
        </w:rPr>
      </w:pPr>
      <w:r>
        <w:rPr>
          <w:rFonts w:ascii="Arial" w:hAnsi="Arial"/>
          <w:b/>
          <w:sz w:val="16"/>
        </w:rPr>
        <mc:AlternateContent>
          <mc:Choice Requires="wps">
            <w:drawing>
              <wp:anchor distT="0" distB="0" distL="0" distR="0" allowOverlap="1" layoutInCell="1" locked="0" behindDoc="1" simplePos="0" relativeHeight="487658496">
                <wp:simplePos x="0" y="0"/>
                <wp:positionH relativeFrom="page">
                  <wp:posOffset>5324475</wp:posOffset>
                </wp:positionH>
                <wp:positionV relativeFrom="paragraph">
                  <wp:posOffset>148598</wp:posOffset>
                </wp:positionV>
                <wp:extent cx="1400175" cy="1270"/>
                <wp:effectExtent l="0" t="0" r="0" b="0"/>
                <wp:wrapTopAndBottom/>
                <wp:docPr id="497" name="Graphic 497"/>
                <wp:cNvGraphicFramePr>
                  <a:graphicFrameLocks/>
                </wp:cNvGraphicFramePr>
                <a:graphic>
                  <a:graphicData uri="http://schemas.microsoft.com/office/word/2010/wordprocessingShape">
                    <wps:wsp>
                      <wps:cNvPr id="497" name="Graphic 497"/>
                      <wps:cNvSpPr/>
                      <wps:spPr>
                        <a:xfrm>
                          <a:off x="0" y="0"/>
                          <a:ext cx="1400175" cy="1270"/>
                        </a:xfrm>
                        <a:custGeom>
                          <a:avLst/>
                          <a:gdLst/>
                          <a:ahLst/>
                          <a:cxnLst/>
                          <a:rect l="l" t="t" r="r" b="b"/>
                          <a:pathLst>
                            <a:path w="1400175" h="0">
                              <a:moveTo>
                                <a:pt x="0" y="0"/>
                              </a:moveTo>
                              <a:lnTo>
                                <a:pt x="1400175"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419.25pt;margin-top:11.700676pt;width:110.25pt;height:.1pt;mso-position-horizontal-relative:page;mso-position-vertical-relative:paragraph;z-index:-15657984;mso-wrap-distance-left:0;mso-wrap-distance-right:0" id="docshape417" coordorigin="8385,234" coordsize="2205,0" path="m8385,234l10590,234e" filled="false" stroked="true" strokeweight="1pt" strokecolor="#6c6c6c">
                <v:path arrowok="t"/>
                <v:stroke dashstyle="solid"/>
                <w10:wrap type="topAndBottom"/>
              </v:shape>
            </w:pict>
          </mc:Fallback>
        </mc:AlternateContent>
      </w:r>
      <w:r>
        <w:rPr>
          <w:rFonts w:ascii="Arial" w:hAnsi="Arial"/>
          <w:b/>
          <w:sz w:val="16"/>
        </w:rPr>
        <mc:AlternateContent>
          <mc:Choice Requires="wps">
            <w:drawing>
              <wp:anchor distT="0" distB="0" distL="0" distR="0" allowOverlap="1" layoutInCell="1" locked="0" behindDoc="1" simplePos="0" relativeHeight="487659008">
                <wp:simplePos x="0" y="0"/>
                <wp:positionH relativeFrom="page">
                  <wp:posOffset>914400</wp:posOffset>
                </wp:positionH>
                <wp:positionV relativeFrom="paragraph">
                  <wp:posOffset>278773</wp:posOffset>
                </wp:positionV>
                <wp:extent cx="5810250"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5810250" cy="1270"/>
                        </a:xfrm>
                        <a:custGeom>
                          <a:avLst/>
                          <a:gdLst/>
                          <a:ahLst/>
                          <a:cxnLst/>
                          <a:rect l="l" t="t" r="r" b="b"/>
                          <a:pathLst>
                            <a:path w="5810250" h="0">
                              <a:moveTo>
                                <a:pt x="0" y="0"/>
                              </a:moveTo>
                              <a:lnTo>
                                <a:pt x="581025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950676pt;width:457.5pt;height:.1pt;mso-position-horizontal-relative:page;mso-position-vertical-relative:paragraph;z-index:-15657472;mso-wrap-distance-left:0;mso-wrap-distance-right:0" id="docshape418" coordorigin="1440,439" coordsize="9150,0" path="m1440,439l10590,439e" filled="false" stroked="true" strokeweight="1pt" strokecolor="#6c6c6c">
                <v:path arrowok="t"/>
                <v:stroke dashstyle="solid"/>
                <w10:wrap type="topAndBottom"/>
              </v:shape>
            </w:pict>
          </mc:Fallback>
        </mc:AlternateContent>
      </w:r>
      <w:r>
        <w:rPr>
          <w:rFonts w:ascii="Arial" w:hAnsi="Arial"/>
          <w:b/>
          <w:spacing w:val="12"/>
          <w:sz w:val="16"/>
          <w:u w:val="single" w:color="6C6C6C"/>
        </w:rPr>
        <w:t> </w:t>
      </w:r>
      <w:r>
        <w:rPr>
          <w:rFonts w:ascii="Arial" w:hAnsi="Arial"/>
          <w:b/>
          <w:spacing w:val="-10"/>
          <w:sz w:val="16"/>
          <w:u w:val="single" w:color="6C6C6C"/>
        </w:rPr>
        <w:t>$</w:t>
      </w:r>
      <w:r>
        <w:rPr>
          <w:rFonts w:ascii="Arial" w:hAnsi="Arial"/>
          <w:b/>
          <w:sz w:val="16"/>
          <w:u w:val="single" w:color="6C6C6C"/>
        </w:rPr>
        <w:tab/>
        <w:t>11,041</w:t>
      </w:r>
      <w:r>
        <w:rPr>
          <w:rFonts w:ascii="Arial" w:hAnsi="Arial"/>
          <w:b/>
          <w:spacing w:val="71"/>
          <w:sz w:val="16"/>
          <w:u w:val="single" w:color="6C6C6C"/>
        </w:rPr>
        <w:t> </w:t>
      </w:r>
      <w:r>
        <w:rPr>
          <w:rFonts w:ascii="Arial" w:hAnsi="Arial"/>
          <w:b/>
          <w:spacing w:val="-10"/>
          <w:sz w:val="16"/>
          <w:u w:val="single" w:color="6C6C6C"/>
        </w:rPr>
        <w:t>$</w:t>
      </w:r>
      <w:r>
        <w:rPr>
          <w:rFonts w:ascii="Arial" w:hAnsi="Arial"/>
          <w:b/>
          <w:sz w:val="16"/>
          <w:u w:val="single" w:color="6C6C6C"/>
        </w:rPr>
        <w:tab/>
      </w:r>
      <w:r>
        <w:rPr>
          <w:rFonts w:ascii="Arial" w:hAnsi="Arial"/>
          <w:b/>
          <w:spacing w:val="-2"/>
          <w:sz w:val="16"/>
          <w:u w:val="single" w:color="6C6C6C"/>
        </w:rPr>
        <w:t>—</w:t>
      </w:r>
    </w:p>
    <w:p>
      <w:pPr>
        <w:pStyle w:val="BodyText"/>
        <w:spacing w:before="10"/>
        <w:rPr>
          <w:rFonts w:ascii="Arial"/>
          <w:b/>
          <w:sz w:val="14"/>
        </w:rPr>
      </w:pPr>
    </w:p>
    <w:p>
      <w:pPr>
        <w:pStyle w:val="ListParagraph"/>
        <w:numPr>
          <w:ilvl w:val="0"/>
          <w:numId w:val="25"/>
        </w:numPr>
        <w:tabs>
          <w:tab w:pos="1440" w:val="left" w:leader="none"/>
        </w:tabs>
        <w:spacing w:line="232" w:lineRule="auto" w:before="227" w:after="0"/>
        <w:ind w:left="1440" w:right="718" w:hanging="360"/>
        <w:jc w:val="both"/>
        <w:rPr>
          <w:rFonts w:ascii="Arial MT" w:hAnsi="Arial MT"/>
          <w:sz w:val="16"/>
        </w:rPr>
      </w:pPr>
      <w:r>
        <w:rPr>
          <w:i/>
          <w:sz w:val="20"/>
        </w:rPr>
        <w:t>Borrowing Member Countries: </w:t>
      </w:r>
      <w:r>
        <w:rPr>
          <w:sz w:val="20"/>
        </w:rPr>
        <w:t>Currency and interest rate swap transactions are executed between IBRD and</w:t>
      </w:r>
      <w:r>
        <w:rPr>
          <w:spacing w:val="-1"/>
          <w:sz w:val="20"/>
        </w:rPr>
        <w:t> </w:t>
      </w:r>
      <w:r>
        <w:rPr>
          <w:sz w:val="20"/>
        </w:rPr>
        <w:t>its</w:t>
      </w:r>
      <w:r>
        <w:rPr>
          <w:spacing w:val="-1"/>
          <w:sz w:val="20"/>
        </w:rPr>
        <w:t> </w:t>
      </w:r>
      <w:r>
        <w:rPr>
          <w:sz w:val="20"/>
        </w:rPr>
        <w:t>borrowers</w:t>
      </w:r>
      <w:r>
        <w:rPr>
          <w:spacing w:val="-1"/>
          <w:sz w:val="20"/>
        </w:rPr>
        <w:t> </w:t>
      </w:r>
      <w:r>
        <w:rPr>
          <w:sz w:val="20"/>
        </w:rPr>
        <w:t>under</w:t>
      </w:r>
      <w:r>
        <w:rPr>
          <w:spacing w:val="-1"/>
          <w:sz w:val="20"/>
        </w:rPr>
        <w:t> </w:t>
      </w:r>
      <w:r>
        <w:rPr>
          <w:sz w:val="20"/>
        </w:rPr>
        <w:t>master</w:t>
      </w:r>
      <w:r>
        <w:rPr>
          <w:spacing w:val="-1"/>
          <w:sz w:val="20"/>
        </w:rPr>
        <w:t> </w:t>
      </w:r>
      <w:r>
        <w:rPr>
          <w:sz w:val="20"/>
        </w:rPr>
        <w:t>derivative</w:t>
      </w:r>
      <w:r>
        <w:rPr>
          <w:spacing w:val="-1"/>
          <w:sz w:val="20"/>
        </w:rPr>
        <w:t> </w:t>
      </w:r>
      <w:r>
        <w:rPr>
          <w:sz w:val="20"/>
        </w:rPr>
        <w:t>agreements.</w:t>
      </w:r>
      <w:r>
        <w:rPr>
          <w:spacing w:val="-1"/>
          <w:sz w:val="20"/>
        </w:rPr>
        <w:t> </w:t>
      </w:r>
      <w:r>
        <w:rPr>
          <w:sz w:val="20"/>
        </w:rPr>
        <w:t>As</w:t>
      </w:r>
      <w:r>
        <w:rPr>
          <w:spacing w:val="-1"/>
          <w:sz w:val="20"/>
        </w:rPr>
        <w:t> </w:t>
      </w:r>
      <w:r>
        <w:rPr>
          <w:sz w:val="20"/>
        </w:rPr>
        <w:t>of</w:t>
      </w:r>
      <w:r>
        <w:rPr>
          <w:spacing w:val="-1"/>
          <w:sz w:val="20"/>
        </w:rPr>
        <w:t> </w:t>
      </w:r>
      <w:r>
        <w:rPr>
          <w:sz w:val="20"/>
        </w:rPr>
        <w:t>June</w:t>
      </w:r>
      <w:r>
        <w:rPr>
          <w:spacing w:val="-1"/>
          <w:sz w:val="20"/>
        </w:rPr>
        <w:t> </w:t>
      </w:r>
      <w:r>
        <w:rPr>
          <w:sz w:val="20"/>
        </w:rPr>
        <w:t>30,</w:t>
      </w:r>
      <w:r>
        <w:rPr>
          <w:spacing w:val="-1"/>
          <w:sz w:val="20"/>
        </w:rPr>
        <w:t> </w:t>
      </w:r>
      <w:r>
        <w:rPr>
          <w:sz w:val="20"/>
        </w:rPr>
        <w:t>2023,</w:t>
      </w:r>
      <w:r>
        <w:rPr>
          <w:spacing w:val="-1"/>
          <w:sz w:val="20"/>
        </w:rPr>
        <w:t> </w:t>
      </w:r>
      <w:r>
        <w:rPr>
          <w:sz w:val="20"/>
        </w:rPr>
        <w:t>the</w:t>
      </w:r>
      <w:r>
        <w:rPr>
          <w:spacing w:val="-1"/>
          <w:sz w:val="20"/>
        </w:rPr>
        <w:t> </w:t>
      </w:r>
      <w:r>
        <w:rPr>
          <w:sz w:val="20"/>
        </w:rPr>
        <w:t>notional</w:t>
      </w:r>
      <w:r>
        <w:rPr>
          <w:spacing w:val="-1"/>
          <w:sz w:val="20"/>
        </w:rPr>
        <w:t> </w:t>
      </w:r>
      <w:r>
        <w:rPr>
          <w:sz w:val="20"/>
        </w:rPr>
        <w:t>amounts</w:t>
      </w:r>
      <w:r>
        <w:rPr>
          <w:spacing w:val="-1"/>
          <w:sz w:val="20"/>
        </w:rPr>
        <w:t> </w:t>
      </w:r>
      <w:r>
        <w:rPr>
          <w:sz w:val="20"/>
        </w:rPr>
        <w:t>were</w:t>
      </w:r>
      <w:r>
        <w:rPr>
          <w:spacing w:val="-1"/>
          <w:sz w:val="20"/>
        </w:rPr>
        <w:t> </w:t>
      </w:r>
      <w:r>
        <w:rPr>
          <w:sz w:val="20"/>
        </w:rPr>
        <w:t>$7.9 billion with no net exposure to IBRD under these agreements. Expected losses inherent in these exposures due to country credit risk are incorporated in the fair value of these instruments.</w:t>
      </w:r>
    </w:p>
    <w:p>
      <w:pPr>
        <w:pStyle w:val="ListParagraph"/>
        <w:numPr>
          <w:ilvl w:val="0"/>
          <w:numId w:val="25"/>
        </w:numPr>
        <w:tabs>
          <w:tab w:pos="1440" w:val="left" w:leader="none"/>
        </w:tabs>
        <w:spacing w:line="232" w:lineRule="auto" w:before="69" w:after="0"/>
        <w:ind w:left="1440" w:right="719" w:hanging="360"/>
        <w:jc w:val="both"/>
        <w:rPr>
          <w:rFonts w:ascii="Arial MT" w:hAnsi="Arial MT"/>
          <w:sz w:val="20"/>
        </w:rPr>
      </w:pPr>
      <w:r>
        <w:rPr>
          <w:i/>
          <w:sz w:val="20"/>
        </w:rPr>
        <w:t>Affiliated Organizations: </w:t>
      </w:r>
      <w:r>
        <w:rPr>
          <w:sz w:val="20"/>
        </w:rPr>
        <w:t>Derivative contracts were executed between IBRD and IDA, under an agreement allowing IBRD to intermediate derivative contracts on behalf of IDA. As of June 30, 2023, IBRD did not have any exposure to IDA under these agreements.</w:t>
      </w:r>
    </w:p>
    <w:p>
      <w:pPr>
        <w:pStyle w:val="ListParagraph"/>
        <w:numPr>
          <w:ilvl w:val="0"/>
          <w:numId w:val="25"/>
        </w:numPr>
        <w:tabs>
          <w:tab w:pos="1440" w:val="left" w:leader="none"/>
        </w:tabs>
        <w:spacing w:line="232" w:lineRule="auto" w:before="62" w:after="0"/>
        <w:ind w:left="1440" w:right="718" w:hanging="360"/>
        <w:jc w:val="both"/>
        <w:rPr>
          <w:rFonts w:ascii="Arial MT" w:hAnsi="Arial MT"/>
          <w:sz w:val="20"/>
        </w:rPr>
      </w:pPr>
      <w:r>
        <w:rPr>
          <w:i/>
          <w:sz w:val="20"/>
        </w:rPr>
        <w:t>Non-Affiliated Organizations: </w:t>
      </w:r>
      <w:r>
        <w:rPr>
          <w:sz w:val="20"/>
        </w:rPr>
        <w:t>IBRD has a master derivatives agreement with IFFIm, under which several transactions have been executed. As of June 30, 2023, the notional amounts were $3.1 billion with no net fair value exposures to IBRD under this agreement. IBRD has the right to call for collateral above an</w:t>
      </w:r>
      <w:r>
        <w:rPr>
          <w:spacing w:val="40"/>
          <w:sz w:val="20"/>
        </w:rPr>
        <w:t> </w:t>
      </w:r>
      <w:r>
        <w:rPr>
          <w:sz w:val="20"/>
        </w:rPr>
        <w:t>agreed specified threshold. As of June 30, 2023, IBRD had not exercised this right, but it reserves the right under the existing terms of the agreement. Rather than calling for collateral, IBRD and IFFIm have agreed to manage IBRD’s exposure by applying a risk management buffer to the gearing ratio limit. The gearing ratio limit represents the maximum amount of IFFIm’s net financial obligations less cash and liquid assets, as a percentage of the net present value of its financial assets.</w:t>
      </w:r>
    </w:p>
    <w:p>
      <w:pPr>
        <w:pStyle w:val="Heading7"/>
        <w:spacing w:before="110"/>
        <w:jc w:val="both"/>
      </w:pPr>
      <w:r>
        <w:rPr/>
        <w:t>Credit</w:t>
      </w:r>
      <w:r>
        <w:rPr>
          <w:spacing w:val="-1"/>
        </w:rPr>
        <w:t> </w:t>
      </w:r>
      <w:r>
        <w:rPr/>
        <w:t>and</w:t>
      </w:r>
      <w:r>
        <w:rPr>
          <w:spacing w:val="-1"/>
        </w:rPr>
        <w:t> </w:t>
      </w:r>
      <w:r>
        <w:rPr/>
        <w:t>Debit</w:t>
      </w:r>
      <w:r>
        <w:rPr>
          <w:spacing w:val="-1"/>
        </w:rPr>
        <w:t> </w:t>
      </w:r>
      <w:r>
        <w:rPr/>
        <w:t>Valuation </w:t>
      </w:r>
      <w:r>
        <w:rPr>
          <w:spacing w:val="-2"/>
        </w:rPr>
        <w:t>Adjustments</w:t>
      </w:r>
    </w:p>
    <w:p>
      <w:pPr>
        <w:pStyle w:val="BodyText"/>
        <w:spacing w:line="249" w:lineRule="auto" w:before="136"/>
        <w:ind w:left="720" w:right="718"/>
        <w:jc w:val="both"/>
      </w:pPr>
      <w:r>
        <w:rPr/>
        <w:t>Most outstanding derivative positions are transacted over the counter and therefore valued using internally</w:t>
      </w:r>
      <w:r>
        <w:rPr>
          <w:spacing w:val="40"/>
        </w:rPr>
        <w:t> </w:t>
      </w:r>
      <w:r>
        <w:rPr/>
        <w:t>developed valuation models. For commercial and non-commercial counterparties where IBRD has a net exposure (net receivable position), IBRD calculates a Credit Valuation Adjustment (CVA) to reflect credit risk. For net derivative positions with commercial and non-commercial counterparties where IBRD is in a net payable position, IBRD calculates a Debit Valuation Adjustment (DVA) to reflect its own credit risk.</w:t>
      </w:r>
    </w:p>
    <w:p>
      <w:pPr>
        <w:pStyle w:val="BodyText"/>
        <w:spacing w:line="249" w:lineRule="auto" w:before="124"/>
        <w:ind w:left="720" w:right="718"/>
        <w:jc w:val="both"/>
      </w:pPr>
      <w:r>
        <w:rPr/>
        <w:t>The CVA is calculated using future projected exposures of the derivative contracts, net of collateral received under credit support agreements, and the probability of counterparty default based on the Credit Default Swaps (CDS) spread and, where applicable, proxy CDS spreads. IBRD does not currently hedge this exposure. The DVA calculation is generally consistent with the CVA methodology and incorporates IBRD’s own credit spread as observed through the CDS market. As of June 30, 2023, IBRD recorded a CVA on its Balance Sheet of $27 million, and a DVA of $471 million.</w:t>
      </w:r>
    </w:p>
    <w:p>
      <w:pPr>
        <w:pStyle w:val="BodyText"/>
        <w:spacing w:after="0" w:line="249" w:lineRule="auto"/>
        <w:jc w:val="both"/>
        <w:sectPr>
          <w:pgSz w:w="12240" w:h="15840"/>
          <w:pgMar w:header="744" w:footer="713" w:top="1020" w:bottom="900" w:left="720" w:right="720"/>
        </w:sectPr>
      </w:pPr>
    </w:p>
    <w:p>
      <w:pPr>
        <w:pStyle w:val="BodyText"/>
        <w:spacing w:before="96"/>
        <w:rPr>
          <w:sz w:val="22"/>
        </w:rPr>
      </w:pPr>
    </w:p>
    <w:p>
      <w:pPr>
        <w:pStyle w:val="Heading4"/>
      </w:pPr>
      <w:r>
        <w:rPr/>
        <w:t>Changes</w:t>
      </w:r>
      <w:r>
        <w:rPr>
          <w:spacing w:val="-3"/>
        </w:rPr>
        <w:t> </w:t>
      </w:r>
      <w:r>
        <w:rPr/>
        <w:t>in</w:t>
      </w:r>
      <w:r>
        <w:rPr>
          <w:spacing w:val="-3"/>
        </w:rPr>
        <w:t> </w:t>
      </w:r>
      <w:r>
        <w:rPr/>
        <w:t>Credit</w:t>
      </w:r>
      <w:r>
        <w:rPr>
          <w:spacing w:val="-1"/>
        </w:rPr>
        <w:t> </w:t>
      </w:r>
      <w:r>
        <w:rPr>
          <w:spacing w:val="-2"/>
        </w:rPr>
        <w:t>Spreads</w:t>
      </w:r>
    </w:p>
    <w:p>
      <w:pPr>
        <w:pStyle w:val="BodyText"/>
        <w:spacing w:line="249" w:lineRule="auto" w:before="140"/>
        <w:ind w:left="720" w:right="720"/>
        <w:jc w:val="both"/>
      </w:pPr>
      <w:r>
        <w:rPr/>
        <w:t>The sensitivity of IBRD’s portfolios to credit represents the change in fair value corresponds to changes in credit </w:t>
      </w:r>
      <w:r>
        <w:rPr>
          <w:spacing w:val="-2"/>
        </w:rPr>
        <w:t>spreads.</w:t>
      </w:r>
    </w:p>
    <w:p>
      <w:pPr>
        <w:pStyle w:val="ListParagraph"/>
        <w:numPr>
          <w:ilvl w:val="0"/>
          <w:numId w:val="26"/>
        </w:numPr>
        <w:tabs>
          <w:tab w:pos="1266" w:val="left" w:leader="none"/>
        </w:tabs>
        <w:spacing w:line="249" w:lineRule="auto" w:before="121" w:after="0"/>
        <w:ind w:left="1266" w:right="719" w:hanging="360"/>
        <w:jc w:val="both"/>
        <w:rPr>
          <w:b/>
          <w:sz w:val="20"/>
        </w:rPr>
      </w:pPr>
      <w:r>
        <w:rPr>
          <w:i/>
          <w:sz w:val="20"/>
        </w:rPr>
        <w:t>Investments: </w:t>
      </w:r>
      <w:r>
        <w:rPr>
          <w:sz w:val="20"/>
        </w:rPr>
        <w:t>IBRD purchases investment-grade securities for its liquid asset portfolio. Credit risk is</w:t>
      </w:r>
      <w:r>
        <w:rPr>
          <w:spacing w:val="40"/>
          <w:sz w:val="20"/>
        </w:rPr>
        <w:t> </w:t>
      </w:r>
      <w:r>
        <w:rPr>
          <w:sz w:val="20"/>
        </w:rPr>
        <w:t>controlled through appropriate eligibility criteria (see Box 8). The overall risk of the investment portfolio is also</w:t>
      </w:r>
      <w:r>
        <w:rPr>
          <w:spacing w:val="-2"/>
          <w:sz w:val="20"/>
        </w:rPr>
        <w:t> </w:t>
      </w:r>
      <w:r>
        <w:rPr>
          <w:sz w:val="20"/>
        </w:rPr>
        <w:t>constrained</w:t>
      </w:r>
      <w:r>
        <w:rPr>
          <w:spacing w:val="-2"/>
          <w:sz w:val="20"/>
        </w:rPr>
        <w:t> </w:t>
      </w:r>
      <w:r>
        <w:rPr>
          <w:sz w:val="20"/>
        </w:rPr>
        <w:t>by</w:t>
      </w:r>
      <w:r>
        <w:rPr>
          <w:spacing w:val="-2"/>
          <w:sz w:val="20"/>
        </w:rPr>
        <w:t> </w:t>
      </w:r>
      <w:r>
        <w:rPr>
          <w:sz w:val="20"/>
        </w:rPr>
        <w:t>a</w:t>
      </w:r>
      <w:r>
        <w:rPr>
          <w:spacing w:val="-2"/>
          <w:sz w:val="20"/>
        </w:rPr>
        <w:t> </w:t>
      </w:r>
      <w:r>
        <w:rPr>
          <w:sz w:val="20"/>
        </w:rPr>
        <w:t>consultative</w:t>
      </w:r>
      <w:r>
        <w:rPr>
          <w:spacing w:val="-2"/>
          <w:sz w:val="20"/>
        </w:rPr>
        <w:t> </w:t>
      </w:r>
      <w:r>
        <w:rPr>
          <w:sz w:val="20"/>
        </w:rPr>
        <w:t>loss</w:t>
      </w:r>
      <w:r>
        <w:rPr>
          <w:spacing w:val="-2"/>
          <w:sz w:val="20"/>
        </w:rPr>
        <w:t> </w:t>
      </w:r>
      <w:r>
        <w:rPr>
          <w:sz w:val="20"/>
        </w:rPr>
        <w:t>limit.</w:t>
      </w:r>
      <w:r>
        <w:rPr>
          <w:spacing w:val="-2"/>
          <w:sz w:val="20"/>
        </w:rPr>
        <w:t> </w:t>
      </w:r>
      <w:r>
        <w:rPr>
          <w:sz w:val="20"/>
        </w:rPr>
        <w:t>In</w:t>
      </w:r>
      <w:r>
        <w:rPr>
          <w:spacing w:val="-2"/>
          <w:sz w:val="20"/>
        </w:rPr>
        <w:t> </w:t>
      </w:r>
      <w:r>
        <w:rPr>
          <w:sz w:val="20"/>
        </w:rPr>
        <w:t>line</w:t>
      </w:r>
      <w:r>
        <w:rPr>
          <w:spacing w:val="-2"/>
          <w:sz w:val="20"/>
        </w:rPr>
        <w:t> </w:t>
      </w:r>
      <w:r>
        <w:rPr>
          <w:sz w:val="20"/>
        </w:rPr>
        <w:t>with</w:t>
      </w:r>
      <w:r>
        <w:rPr>
          <w:spacing w:val="-2"/>
          <w:sz w:val="20"/>
        </w:rPr>
        <w:t> </w:t>
      </w:r>
      <w:r>
        <w:rPr>
          <w:sz w:val="20"/>
        </w:rPr>
        <w:t>these</w:t>
      </w:r>
      <w:r>
        <w:rPr>
          <w:spacing w:val="-2"/>
          <w:sz w:val="20"/>
        </w:rPr>
        <w:t> </w:t>
      </w:r>
      <w:r>
        <w:rPr>
          <w:sz w:val="20"/>
        </w:rPr>
        <w:t>risk</w:t>
      </w:r>
      <w:r>
        <w:rPr>
          <w:spacing w:val="-2"/>
          <w:sz w:val="20"/>
        </w:rPr>
        <w:t> </w:t>
      </w:r>
      <w:r>
        <w:rPr>
          <w:sz w:val="20"/>
        </w:rPr>
        <w:t>management</w:t>
      </w:r>
      <w:r>
        <w:rPr>
          <w:spacing w:val="-2"/>
          <w:sz w:val="20"/>
        </w:rPr>
        <w:t> </w:t>
      </w:r>
      <w:r>
        <w:rPr>
          <w:sz w:val="20"/>
        </w:rPr>
        <w:t>strategies,</w:t>
      </w:r>
      <w:r>
        <w:rPr>
          <w:spacing w:val="-2"/>
          <w:sz w:val="20"/>
        </w:rPr>
        <w:t> </w:t>
      </w:r>
      <w:r>
        <w:rPr>
          <w:sz w:val="20"/>
        </w:rPr>
        <w:t>the</w:t>
      </w:r>
      <w:r>
        <w:rPr>
          <w:spacing w:val="-2"/>
          <w:sz w:val="20"/>
        </w:rPr>
        <w:t> </w:t>
      </w:r>
      <w:r>
        <w:rPr>
          <w:sz w:val="20"/>
        </w:rPr>
        <w:t>potential</w:t>
      </w:r>
      <w:r>
        <w:rPr>
          <w:spacing w:val="-2"/>
          <w:sz w:val="20"/>
        </w:rPr>
        <w:t> </w:t>
      </w:r>
      <w:r>
        <w:rPr>
          <w:sz w:val="20"/>
        </w:rPr>
        <w:t>effect of default risk on IBRD’s investment portfolio is therefore small.</w:t>
      </w:r>
    </w:p>
    <w:p>
      <w:pPr>
        <w:pStyle w:val="ListParagraph"/>
        <w:numPr>
          <w:ilvl w:val="0"/>
          <w:numId w:val="26"/>
        </w:numPr>
        <w:tabs>
          <w:tab w:pos="1266" w:val="left" w:leader="none"/>
        </w:tabs>
        <w:spacing w:line="249" w:lineRule="auto" w:before="124" w:after="0"/>
        <w:ind w:left="1266" w:right="718" w:hanging="360"/>
        <w:jc w:val="both"/>
        <w:rPr>
          <w:sz w:val="20"/>
        </w:rPr>
      </w:pPr>
      <w:r>
        <w:rPr>
          <w:i/>
          <w:sz w:val="20"/>
        </w:rPr>
        <w:t>Borrowings</w:t>
      </w:r>
      <w:r>
        <w:rPr>
          <w:sz w:val="20"/>
        </w:rPr>
        <w:t>: IBRD’s own credit risk reflects the cost of funding relative to applicable reference rates.</w:t>
      </w:r>
      <w:r>
        <w:rPr>
          <w:spacing w:val="40"/>
          <w:sz w:val="20"/>
        </w:rPr>
        <w:t> </w:t>
      </w:r>
      <w:r>
        <w:rPr>
          <w:sz w:val="20"/>
        </w:rPr>
        <w:t>Changes in IBRD’s credit spreads result in unrealized mark-to-market gains/losses, recorded as Net Change</w:t>
      </w:r>
      <w:r>
        <w:rPr>
          <w:spacing w:val="40"/>
          <w:sz w:val="20"/>
        </w:rPr>
        <w:t> </w:t>
      </w:r>
      <w:r>
        <w:rPr>
          <w:sz w:val="20"/>
        </w:rPr>
        <w:t>in DVA on Fair Value Option elected liabilities in the Statements of Comprehensive Income.</w:t>
      </w:r>
    </w:p>
    <w:p>
      <w:pPr>
        <w:pStyle w:val="ListParagraph"/>
        <w:numPr>
          <w:ilvl w:val="0"/>
          <w:numId w:val="26"/>
        </w:numPr>
        <w:tabs>
          <w:tab w:pos="1260" w:val="left" w:leader="none"/>
        </w:tabs>
        <w:spacing w:line="249" w:lineRule="auto" w:before="122" w:after="0"/>
        <w:ind w:left="1260" w:right="718" w:hanging="360"/>
        <w:jc w:val="both"/>
        <w:rPr>
          <w:sz w:val="20"/>
        </w:rPr>
      </w:pPr>
      <w:r>
        <w:rPr>
          <w:i/>
          <w:sz w:val="20"/>
        </w:rPr>
        <w:t>Loans: </w:t>
      </w:r>
      <w:r>
        <w:rPr>
          <w:sz w:val="20"/>
        </w:rPr>
        <w:t>IBRD’s fair value model represents a hypothetical exit price of the loan portfolio. It incorporates CDS spreads as an indicator of the credit risk for each borrower, after adjusting recovery levels to incorporate IBRD’s institutional experience and assumptions. These assumptions are reviewed annually. IBRD does not hedge its sovereign credit exposure but Management assesses its credit risk through a loan-loss provisioning framework. The loan loss provision represents the expected losses inherent in its accrual and nonaccrual portfolios. IBRD’s country credit risk is managed by using individual country exposure limits and by monitoring its credit-risk-bearing capacity.</w:t>
      </w:r>
    </w:p>
    <w:p>
      <w:pPr>
        <w:pStyle w:val="ListParagraph"/>
        <w:numPr>
          <w:ilvl w:val="0"/>
          <w:numId w:val="26"/>
        </w:numPr>
        <w:tabs>
          <w:tab w:pos="1260" w:val="left" w:leader="none"/>
        </w:tabs>
        <w:spacing w:line="249" w:lineRule="auto" w:before="126" w:after="0"/>
        <w:ind w:left="1260" w:right="719" w:hanging="360"/>
        <w:jc w:val="both"/>
        <w:rPr>
          <w:sz w:val="20"/>
        </w:rPr>
      </w:pPr>
      <w:r>
        <w:rPr>
          <w:i/>
          <w:sz w:val="20"/>
        </w:rPr>
        <w:t>Derivatives: </w:t>
      </w:r>
      <w:r>
        <w:rPr>
          <w:sz w:val="20"/>
        </w:rPr>
        <w:t>IBRD uses derivatives to manage exposures to currency and interest rate risks in its investment, loan, other ALM and borrowing portfolios. It is therefore exposed to commercial counterparty credit risk on these instruments. This risk is managed through:</w:t>
      </w:r>
    </w:p>
    <w:p>
      <w:pPr>
        <w:pStyle w:val="ListParagraph"/>
        <w:numPr>
          <w:ilvl w:val="1"/>
          <w:numId w:val="26"/>
        </w:numPr>
        <w:tabs>
          <w:tab w:pos="1799" w:val="left" w:leader="none"/>
        </w:tabs>
        <w:spacing w:line="240" w:lineRule="auto" w:before="62" w:after="0"/>
        <w:ind w:left="1799" w:right="0" w:hanging="359"/>
        <w:jc w:val="left"/>
        <w:rPr>
          <w:sz w:val="20"/>
        </w:rPr>
      </w:pPr>
      <w:r>
        <w:rPr>
          <w:sz w:val="20"/>
        </w:rPr>
        <w:t>Stringent</w:t>
      </w:r>
      <w:r>
        <w:rPr>
          <w:spacing w:val="-6"/>
          <w:sz w:val="20"/>
        </w:rPr>
        <w:t> </w:t>
      </w:r>
      <w:r>
        <w:rPr>
          <w:sz w:val="20"/>
        </w:rPr>
        <w:t>selection</w:t>
      </w:r>
      <w:r>
        <w:rPr>
          <w:spacing w:val="-5"/>
          <w:sz w:val="20"/>
        </w:rPr>
        <w:t> </w:t>
      </w:r>
      <w:r>
        <w:rPr>
          <w:sz w:val="20"/>
        </w:rPr>
        <w:t>of</w:t>
      </w:r>
      <w:r>
        <w:rPr>
          <w:spacing w:val="-4"/>
          <w:sz w:val="20"/>
        </w:rPr>
        <w:t> </w:t>
      </w:r>
      <w:r>
        <w:rPr>
          <w:sz w:val="20"/>
        </w:rPr>
        <w:t>commercial</w:t>
      </w:r>
      <w:r>
        <w:rPr>
          <w:spacing w:val="-6"/>
          <w:sz w:val="20"/>
        </w:rPr>
        <w:t> </w:t>
      </w:r>
      <w:r>
        <w:rPr>
          <w:sz w:val="20"/>
        </w:rPr>
        <w:t>derivative</w:t>
      </w:r>
      <w:r>
        <w:rPr>
          <w:spacing w:val="-5"/>
          <w:sz w:val="20"/>
        </w:rPr>
        <w:t> </w:t>
      </w:r>
      <w:r>
        <w:rPr>
          <w:spacing w:val="-2"/>
          <w:sz w:val="20"/>
        </w:rPr>
        <w:t>counterparties,</w:t>
      </w:r>
    </w:p>
    <w:p>
      <w:pPr>
        <w:pStyle w:val="ListParagraph"/>
        <w:numPr>
          <w:ilvl w:val="1"/>
          <w:numId w:val="26"/>
        </w:numPr>
        <w:tabs>
          <w:tab w:pos="1799" w:val="left" w:leader="none"/>
        </w:tabs>
        <w:spacing w:line="240" w:lineRule="auto" w:before="53" w:after="0"/>
        <w:ind w:left="1799" w:right="0" w:hanging="359"/>
        <w:jc w:val="left"/>
        <w:rPr>
          <w:sz w:val="20"/>
        </w:rPr>
      </w:pPr>
      <w:r>
        <w:rPr>
          <w:sz w:val="20"/>
        </w:rPr>
        <w:t>Daily</w:t>
      </w:r>
      <w:r>
        <w:rPr>
          <w:spacing w:val="-7"/>
          <w:sz w:val="20"/>
        </w:rPr>
        <w:t> </w:t>
      </w:r>
      <w:r>
        <w:rPr>
          <w:sz w:val="20"/>
        </w:rPr>
        <w:t>marking-to-market</w:t>
      </w:r>
      <w:r>
        <w:rPr>
          <w:spacing w:val="-5"/>
          <w:sz w:val="20"/>
        </w:rPr>
        <w:t> </w:t>
      </w:r>
      <w:r>
        <w:rPr>
          <w:sz w:val="20"/>
        </w:rPr>
        <w:t>of</w:t>
      </w:r>
      <w:r>
        <w:rPr>
          <w:spacing w:val="-4"/>
          <w:sz w:val="20"/>
        </w:rPr>
        <w:t> </w:t>
      </w:r>
      <w:r>
        <w:rPr>
          <w:sz w:val="20"/>
        </w:rPr>
        <w:t>derivative</w:t>
      </w:r>
      <w:r>
        <w:rPr>
          <w:spacing w:val="-5"/>
          <w:sz w:val="20"/>
        </w:rPr>
        <w:t> </w:t>
      </w:r>
      <w:r>
        <w:rPr>
          <w:sz w:val="20"/>
        </w:rPr>
        <w:t>positions,</w:t>
      </w:r>
      <w:r>
        <w:rPr>
          <w:spacing w:val="-4"/>
          <w:sz w:val="20"/>
        </w:rPr>
        <w:t> </w:t>
      </w:r>
      <w:r>
        <w:rPr>
          <w:spacing w:val="-5"/>
          <w:sz w:val="20"/>
        </w:rPr>
        <w:t>and</w:t>
      </w:r>
    </w:p>
    <w:p>
      <w:pPr>
        <w:pStyle w:val="ListParagraph"/>
        <w:numPr>
          <w:ilvl w:val="1"/>
          <w:numId w:val="26"/>
        </w:numPr>
        <w:tabs>
          <w:tab w:pos="1799" w:val="left" w:leader="none"/>
        </w:tabs>
        <w:spacing w:line="240" w:lineRule="auto" w:before="54" w:after="0"/>
        <w:ind w:left="1799" w:right="0" w:hanging="359"/>
        <w:jc w:val="left"/>
        <w:rPr>
          <w:sz w:val="20"/>
        </w:rPr>
      </w:pPr>
      <w:r>
        <w:rPr>
          <w:sz w:val="20"/>
        </w:rPr>
        <w:t>Use</w:t>
      </w:r>
      <w:r>
        <w:rPr>
          <w:spacing w:val="-7"/>
          <w:sz w:val="20"/>
        </w:rPr>
        <w:t> </w:t>
      </w:r>
      <w:r>
        <w:rPr>
          <w:sz w:val="20"/>
        </w:rPr>
        <w:t>of</w:t>
      </w:r>
      <w:r>
        <w:rPr>
          <w:spacing w:val="-3"/>
          <w:sz w:val="20"/>
        </w:rPr>
        <w:t> </w:t>
      </w:r>
      <w:r>
        <w:rPr>
          <w:sz w:val="20"/>
        </w:rPr>
        <w:t>collateral</w:t>
      </w:r>
      <w:r>
        <w:rPr>
          <w:spacing w:val="-4"/>
          <w:sz w:val="20"/>
        </w:rPr>
        <w:t> </w:t>
      </w:r>
      <w:r>
        <w:rPr>
          <w:sz w:val="20"/>
        </w:rPr>
        <w:t>and</w:t>
      </w:r>
      <w:r>
        <w:rPr>
          <w:spacing w:val="-4"/>
          <w:sz w:val="20"/>
        </w:rPr>
        <w:t> </w:t>
      </w:r>
      <w:r>
        <w:rPr>
          <w:sz w:val="20"/>
        </w:rPr>
        <w:t>collateral</w:t>
      </w:r>
      <w:r>
        <w:rPr>
          <w:spacing w:val="-4"/>
          <w:sz w:val="20"/>
        </w:rPr>
        <w:t> </w:t>
      </w:r>
      <w:r>
        <w:rPr>
          <w:sz w:val="20"/>
        </w:rPr>
        <w:t>thresholds</w:t>
      </w:r>
      <w:r>
        <w:rPr>
          <w:spacing w:val="-4"/>
          <w:sz w:val="20"/>
        </w:rPr>
        <w:t> </w:t>
      </w:r>
      <w:r>
        <w:rPr>
          <w:sz w:val="20"/>
        </w:rPr>
        <w:t>for</w:t>
      </w:r>
      <w:r>
        <w:rPr>
          <w:spacing w:val="-4"/>
          <w:sz w:val="20"/>
        </w:rPr>
        <w:t> </w:t>
      </w:r>
      <w:r>
        <w:rPr>
          <w:sz w:val="20"/>
        </w:rPr>
        <w:t>all</w:t>
      </w:r>
      <w:r>
        <w:rPr>
          <w:spacing w:val="-4"/>
          <w:sz w:val="20"/>
        </w:rPr>
        <w:t> </w:t>
      </w:r>
      <w:r>
        <w:rPr>
          <w:sz w:val="20"/>
        </w:rPr>
        <w:t>commercial</w:t>
      </w:r>
      <w:r>
        <w:rPr>
          <w:spacing w:val="-4"/>
          <w:sz w:val="20"/>
        </w:rPr>
        <w:t> </w:t>
      </w:r>
      <w:r>
        <w:rPr>
          <w:spacing w:val="-2"/>
          <w:sz w:val="20"/>
        </w:rPr>
        <w:t>counterparties.</w:t>
      </w:r>
    </w:p>
    <w:p>
      <w:pPr>
        <w:pStyle w:val="Heading1"/>
        <w:spacing w:before="110"/>
      </w:pPr>
      <w:bookmarkStart w:name="Market Risk" w:id="121"/>
      <w:bookmarkEnd w:id="121"/>
      <w:r>
        <w:rPr>
          <w:b w:val="0"/>
        </w:rPr>
      </w:r>
      <w:bookmarkStart w:name="_bookmark82" w:id="122"/>
      <w:bookmarkEnd w:id="122"/>
      <w:r>
        <w:rPr>
          <w:b w:val="0"/>
        </w:rPr>
      </w:r>
      <w:r>
        <w:rPr/>
        <w:t>Market</w:t>
      </w:r>
      <w:r>
        <w:rPr>
          <w:spacing w:val="-7"/>
        </w:rPr>
        <w:t> </w:t>
      </w:r>
      <w:r>
        <w:rPr>
          <w:spacing w:val="-4"/>
        </w:rPr>
        <w:t>Risk</w:t>
      </w:r>
    </w:p>
    <w:p>
      <w:pPr>
        <w:pStyle w:val="BodyText"/>
        <w:spacing w:line="249" w:lineRule="auto" w:before="135"/>
        <w:ind w:left="720" w:right="720"/>
        <w:jc w:val="both"/>
      </w:pPr>
      <w:r>
        <w:rPr/>
        <w:t>IBRD is exposed to changes in interest and exchange rates, and it uses various strategies to minimize its exposure to market risk.</w:t>
      </w:r>
    </w:p>
    <w:p>
      <w:pPr>
        <w:pStyle w:val="Heading4"/>
        <w:spacing w:before="113"/>
      </w:pPr>
      <w:r>
        <w:rPr/>
        <w:t>Interest</w:t>
      </w:r>
      <w:r>
        <w:rPr>
          <w:spacing w:val="-2"/>
        </w:rPr>
        <w:t> </w:t>
      </w:r>
      <w:r>
        <w:rPr/>
        <w:t>Rate</w:t>
      </w:r>
      <w:r>
        <w:rPr>
          <w:spacing w:val="-2"/>
        </w:rPr>
        <w:t> </w:t>
      </w:r>
      <w:r>
        <w:rPr>
          <w:spacing w:val="-4"/>
        </w:rPr>
        <w:t>Risk</w:t>
      </w:r>
    </w:p>
    <w:p>
      <w:pPr>
        <w:pStyle w:val="BodyText"/>
        <w:spacing w:line="232" w:lineRule="auto" w:before="85"/>
        <w:ind w:left="720" w:right="718"/>
        <w:jc w:val="both"/>
      </w:pPr>
      <w:r>
        <w:rPr/>
        <w:t>Under its current interest rate risk management strategy, IBRD seeks to match the interest rate sensitivity of its</w:t>
      </w:r>
      <w:r>
        <w:rPr>
          <w:spacing w:val="40"/>
        </w:rPr>
        <w:t> </w:t>
      </w:r>
      <w:r>
        <w:rPr/>
        <w:t>assets (loan and investment trading portfolios) with those of its liabilities (borrowing portfolio) by using derivatives, such</w:t>
      </w:r>
      <w:r>
        <w:rPr>
          <w:spacing w:val="-3"/>
        </w:rPr>
        <w:t> </w:t>
      </w:r>
      <w:r>
        <w:rPr/>
        <w:t>as</w:t>
      </w:r>
      <w:r>
        <w:rPr>
          <w:spacing w:val="-3"/>
        </w:rPr>
        <w:t> </w:t>
      </w:r>
      <w:r>
        <w:rPr/>
        <w:t>interest</w:t>
      </w:r>
      <w:r>
        <w:rPr>
          <w:spacing w:val="-3"/>
        </w:rPr>
        <w:t> </w:t>
      </w:r>
      <w:r>
        <w:rPr/>
        <w:t>rate</w:t>
      </w:r>
      <w:r>
        <w:rPr>
          <w:spacing w:val="-3"/>
        </w:rPr>
        <w:t> </w:t>
      </w:r>
      <w:r>
        <w:rPr/>
        <w:t>swaps.</w:t>
      </w:r>
      <w:r>
        <w:rPr>
          <w:spacing w:val="-3"/>
        </w:rPr>
        <w:t> </w:t>
      </w:r>
      <w:r>
        <w:rPr/>
        <w:t>These</w:t>
      </w:r>
      <w:r>
        <w:rPr>
          <w:spacing w:val="-3"/>
        </w:rPr>
        <w:t> </w:t>
      </w:r>
      <w:r>
        <w:rPr/>
        <w:t>derivatives</w:t>
      </w:r>
      <w:r>
        <w:rPr>
          <w:spacing w:val="-3"/>
        </w:rPr>
        <w:t> </w:t>
      </w:r>
      <w:r>
        <w:rPr/>
        <w:t>effectively</w:t>
      </w:r>
      <w:r>
        <w:rPr>
          <w:spacing w:val="-3"/>
        </w:rPr>
        <w:t> </w:t>
      </w:r>
      <w:r>
        <w:rPr/>
        <w:t>convert</w:t>
      </w:r>
      <w:r>
        <w:rPr>
          <w:spacing w:val="-3"/>
        </w:rPr>
        <w:t> </w:t>
      </w:r>
      <w:r>
        <w:rPr/>
        <w:t>IBRD’s</w:t>
      </w:r>
      <w:r>
        <w:rPr>
          <w:spacing w:val="-3"/>
        </w:rPr>
        <w:t> </w:t>
      </w:r>
      <w:r>
        <w:rPr/>
        <w:t>financial</w:t>
      </w:r>
      <w:r>
        <w:rPr>
          <w:spacing w:val="-3"/>
        </w:rPr>
        <w:t> </w:t>
      </w:r>
      <w:r>
        <w:rPr/>
        <w:t>assets</w:t>
      </w:r>
      <w:r>
        <w:rPr>
          <w:spacing w:val="-3"/>
        </w:rPr>
        <w:t> </w:t>
      </w:r>
      <w:r>
        <w:rPr/>
        <w:t>and</w:t>
      </w:r>
      <w:r>
        <w:rPr>
          <w:spacing w:val="-3"/>
        </w:rPr>
        <w:t> </w:t>
      </w:r>
      <w:r>
        <w:rPr/>
        <w:t>liabilities</w:t>
      </w:r>
      <w:r>
        <w:rPr>
          <w:spacing w:val="-3"/>
        </w:rPr>
        <w:t> </w:t>
      </w:r>
      <w:r>
        <w:rPr/>
        <w:t>into</w:t>
      </w:r>
      <w:r>
        <w:rPr>
          <w:spacing w:val="-3"/>
        </w:rPr>
        <w:t> </w:t>
      </w:r>
      <w:r>
        <w:rPr/>
        <w:t>variable-rate instruments. After considering the effects of these derivatives, virtually the entire loan and borrowing portfolios are carried at variable interest rates (Figure 21 and Figure 22).</w:t>
      </w:r>
    </w:p>
    <w:p>
      <w:pPr>
        <w:spacing w:before="189"/>
        <w:ind w:left="720" w:right="0" w:firstLine="0"/>
        <w:jc w:val="both"/>
        <w:rPr>
          <w:rFonts w:ascii="Arial"/>
          <w:b/>
          <w:sz w:val="18"/>
        </w:rPr>
      </w:pPr>
      <w:bookmarkStart w:name="_bookmark83" w:id="123"/>
      <w:bookmarkEnd w:id="123"/>
      <w:r>
        <w:rPr/>
      </w:r>
      <w:r>
        <w:rPr>
          <w:rFonts w:ascii="Arial"/>
          <w:b/>
          <w:sz w:val="18"/>
        </w:rPr>
        <w:t>Figure</w:t>
      </w:r>
      <w:r>
        <w:rPr>
          <w:rFonts w:ascii="Arial"/>
          <w:b/>
          <w:spacing w:val="-2"/>
          <w:sz w:val="18"/>
        </w:rPr>
        <w:t> </w:t>
      </w:r>
      <w:r>
        <w:rPr>
          <w:rFonts w:ascii="Arial"/>
          <w:b/>
          <w:sz w:val="18"/>
        </w:rPr>
        <w:t>21:</w:t>
      </w:r>
      <w:r>
        <w:rPr>
          <w:rFonts w:ascii="Arial"/>
          <w:b/>
          <w:spacing w:val="-2"/>
          <w:sz w:val="18"/>
        </w:rPr>
        <w:t> </w:t>
      </w:r>
      <w:r>
        <w:rPr>
          <w:rFonts w:ascii="Arial"/>
          <w:b/>
          <w:sz w:val="18"/>
        </w:rPr>
        <w:t>Effect</w:t>
      </w:r>
      <w:r>
        <w:rPr>
          <w:rFonts w:ascii="Arial"/>
          <w:b/>
          <w:spacing w:val="-2"/>
          <w:sz w:val="18"/>
        </w:rPr>
        <w:t> </w:t>
      </w:r>
      <w:r>
        <w:rPr>
          <w:rFonts w:ascii="Arial"/>
          <w:b/>
          <w:sz w:val="18"/>
        </w:rPr>
        <w:t>of</w:t>
      </w:r>
      <w:r>
        <w:rPr>
          <w:rFonts w:ascii="Arial"/>
          <w:b/>
          <w:spacing w:val="-1"/>
          <w:sz w:val="18"/>
        </w:rPr>
        <w:t> </w:t>
      </w:r>
      <w:r>
        <w:rPr>
          <w:rFonts w:ascii="Arial"/>
          <w:b/>
          <w:sz w:val="18"/>
        </w:rPr>
        <w:t>Derivatives</w:t>
      </w:r>
      <w:r>
        <w:rPr>
          <w:rFonts w:ascii="Arial"/>
          <w:b/>
          <w:spacing w:val="-2"/>
          <w:sz w:val="18"/>
        </w:rPr>
        <w:t> </w:t>
      </w:r>
      <w:r>
        <w:rPr>
          <w:rFonts w:ascii="Arial"/>
          <w:b/>
          <w:sz w:val="18"/>
        </w:rPr>
        <w:t>on</w:t>
      </w:r>
      <w:r>
        <w:rPr>
          <w:rFonts w:ascii="Arial"/>
          <w:b/>
          <w:spacing w:val="-2"/>
          <w:sz w:val="18"/>
        </w:rPr>
        <w:t> </w:t>
      </w:r>
      <w:r>
        <w:rPr>
          <w:rFonts w:ascii="Arial"/>
          <w:b/>
          <w:sz w:val="18"/>
        </w:rPr>
        <w:t>Interest</w:t>
      </w:r>
      <w:r>
        <w:rPr>
          <w:rFonts w:ascii="Arial"/>
          <w:b/>
          <w:spacing w:val="-2"/>
          <w:sz w:val="18"/>
        </w:rPr>
        <w:t> </w:t>
      </w:r>
      <w:r>
        <w:rPr>
          <w:rFonts w:ascii="Arial"/>
          <w:b/>
          <w:sz w:val="18"/>
        </w:rPr>
        <w:t>Rate</w:t>
      </w:r>
      <w:r>
        <w:rPr>
          <w:rFonts w:ascii="Arial"/>
          <w:b/>
          <w:spacing w:val="-1"/>
          <w:sz w:val="18"/>
        </w:rPr>
        <w:t> </w:t>
      </w:r>
      <w:r>
        <w:rPr>
          <w:rFonts w:ascii="Arial"/>
          <w:b/>
          <w:sz w:val="18"/>
        </w:rPr>
        <w:t>Structure</w:t>
      </w:r>
      <w:r>
        <w:rPr>
          <w:rFonts w:ascii="Arial"/>
          <w:b/>
          <w:spacing w:val="-2"/>
          <w:sz w:val="18"/>
        </w:rPr>
        <w:t> </w:t>
      </w:r>
      <w:r>
        <w:rPr>
          <w:rFonts w:ascii="Arial"/>
          <w:b/>
          <w:sz w:val="18"/>
        </w:rPr>
        <w:t>of</w:t>
      </w:r>
      <w:r>
        <w:rPr>
          <w:rFonts w:ascii="Arial"/>
          <w:b/>
          <w:spacing w:val="-2"/>
          <w:sz w:val="18"/>
        </w:rPr>
        <w:t> </w:t>
      </w:r>
      <w:r>
        <w:rPr>
          <w:rFonts w:ascii="Arial"/>
          <w:b/>
          <w:sz w:val="18"/>
        </w:rPr>
        <w:t>the</w:t>
      </w:r>
      <w:r>
        <w:rPr>
          <w:rFonts w:ascii="Arial"/>
          <w:b/>
          <w:spacing w:val="-2"/>
          <w:sz w:val="18"/>
        </w:rPr>
        <w:t> </w:t>
      </w:r>
      <w:r>
        <w:rPr>
          <w:rFonts w:ascii="Arial"/>
          <w:b/>
          <w:sz w:val="18"/>
        </w:rPr>
        <w:t>Borrowing</w:t>
      </w:r>
      <w:r>
        <w:rPr>
          <w:rFonts w:ascii="Arial"/>
          <w:b/>
          <w:spacing w:val="-1"/>
          <w:sz w:val="18"/>
        </w:rPr>
        <w:t> </w:t>
      </w:r>
      <w:r>
        <w:rPr>
          <w:rFonts w:ascii="Arial"/>
          <w:b/>
          <w:sz w:val="18"/>
        </w:rPr>
        <w:t>Portfolio</w:t>
      </w:r>
      <w:r>
        <w:rPr>
          <w:rFonts w:ascii="Arial"/>
          <w:b/>
          <w:spacing w:val="-2"/>
          <w:sz w:val="18"/>
        </w:rPr>
        <w:t> </w:t>
      </w:r>
      <w:r>
        <w:rPr>
          <w:rFonts w:ascii="Arial"/>
          <w:b/>
          <w:sz w:val="18"/>
        </w:rPr>
        <w:t>-</w:t>
      </w:r>
      <w:r>
        <w:rPr>
          <w:rFonts w:ascii="Arial"/>
          <w:b/>
          <w:spacing w:val="-2"/>
          <w:sz w:val="18"/>
        </w:rPr>
        <w:t> </w:t>
      </w:r>
      <w:r>
        <w:rPr>
          <w:rFonts w:ascii="Arial"/>
          <w:b/>
          <w:sz w:val="18"/>
        </w:rPr>
        <w:t>June</w:t>
      </w:r>
      <w:r>
        <w:rPr>
          <w:rFonts w:ascii="Arial"/>
          <w:b/>
          <w:spacing w:val="-2"/>
          <w:sz w:val="18"/>
        </w:rPr>
        <w:t> </w:t>
      </w:r>
      <w:r>
        <w:rPr>
          <w:rFonts w:ascii="Arial"/>
          <w:b/>
          <w:sz w:val="18"/>
        </w:rPr>
        <w:t>30,</w:t>
      </w:r>
      <w:r>
        <w:rPr>
          <w:rFonts w:ascii="Arial"/>
          <w:b/>
          <w:spacing w:val="-1"/>
          <w:sz w:val="18"/>
        </w:rPr>
        <w:t> </w:t>
      </w:r>
      <w:r>
        <w:rPr>
          <w:rFonts w:ascii="Arial"/>
          <w:b/>
          <w:spacing w:val="-4"/>
          <w:sz w:val="18"/>
        </w:rPr>
        <w:t>2023</w:t>
      </w:r>
    </w:p>
    <w:p>
      <w:pPr>
        <w:pStyle w:val="BodyText"/>
        <w:spacing w:before="13"/>
        <w:rPr>
          <w:rFonts w:ascii="Arial"/>
          <w:b/>
        </w:rPr>
      </w:pPr>
      <w:r>
        <w:rPr>
          <w:rFonts w:ascii="Arial"/>
          <w:b/>
        </w:rPr>
        <mc:AlternateContent>
          <mc:Choice Requires="wps">
            <w:drawing>
              <wp:anchor distT="0" distB="0" distL="0" distR="0" allowOverlap="1" layoutInCell="1" locked="0" behindDoc="1" simplePos="0" relativeHeight="487660032">
                <wp:simplePos x="0" y="0"/>
                <wp:positionH relativeFrom="page">
                  <wp:posOffset>914400</wp:posOffset>
                </wp:positionH>
                <wp:positionV relativeFrom="paragraph">
                  <wp:posOffset>169922</wp:posOffset>
                </wp:positionV>
                <wp:extent cx="2905125" cy="1905000"/>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2905125" cy="1905000"/>
                          <a:chExt cx="2905125" cy="1905000"/>
                        </a:xfrm>
                      </wpg:grpSpPr>
                      <wps:wsp>
                        <wps:cNvPr id="500" name="Graphic 500"/>
                        <wps:cNvSpPr/>
                        <wps:spPr>
                          <a:xfrm>
                            <a:off x="1003035" y="496902"/>
                            <a:ext cx="419100" cy="398780"/>
                          </a:xfrm>
                          <a:custGeom>
                            <a:avLst/>
                            <a:gdLst/>
                            <a:ahLst/>
                            <a:cxnLst/>
                            <a:rect l="l" t="t" r="r" b="b"/>
                            <a:pathLst>
                              <a:path w="419100" h="398780">
                                <a:moveTo>
                                  <a:pt x="383639" y="0"/>
                                </a:moveTo>
                                <a:lnTo>
                                  <a:pt x="334272" y="8044"/>
                                </a:lnTo>
                                <a:lnTo>
                                  <a:pt x="286055" y="20132"/>
                                </a:lnTo>
                                <a:lnTo>
                                  <a:pt x="239218" y="36140"/>
                                </a:lnTo>
                                <a:lnTo>
                                  <a:pt x="193990" y="55942"/>
                                </a:lnTo>
                                <a:lnTo>
                                  <a:pt x="150599" y="79415"/>
                                </a:lnTo>
                                <a:lnTo>
                                  <a:pt x="109276" y="106435"/>
                                </a:lnTo>
                                <a:lnTo>
                                  <a:pt x="70249" y="136879"/>
                                </a:lnTo>
                                <a:lnTo>
                                  <a:pt x="33747" y="170621"/>
                                </a:lnTo>
                                <a:lnTo>
                                  <a:pt x="0" y="207539"/>
                                </a:lnTo>
                                <a:lnTo>
                                  <a:pt x="227144" y="398244"/>
                                </a:lnTo>
                                <a:lnTo>
                                  <a:pt x="258514" y="366157"/>
                                </a:lnTo>
                                <a:lnTo>
                                  <a:pt x="294049" y="339375"/>
                                </a:lnTo>
                                <a:lnTo>
                                  <a:pt x="333081" y="318260"/>
                                </a:lnTo>
                                <a:lnTo>
                                  <a:pt x="374942" y="303172"/>
                                </a:lnTo>
                                <a:lnTo>
                                  <a:pt x="418964" y="294473"/>
                                </a:lnTo>
                                <a:lnTo>
                                  <a:pt x="383639" y="0"/>
                                </a:lnTo>
                                <a:close/>
                              </a:path>
                            </a:pathLst>
                          </a:custGeom>
                          <a:solidFill>
                            <a:srgbClr val="D9D9D9"/>
                          </a:solidFill>
                        </wps:spPr>
                        <wps:bodyPr wrap="square" lIns="0" tIns="0" rIns="0" bIns="0" rtlCol="0">
                          <a:prstTxWarp prst="textNoShape">
                            <a:avLst/>
                          </a:prstTxWarp>
                          <a:noAutofit/>
                        </wps:bodyPr>
                      </wps:wsp>
                      <wps:wsp>
                        <wps:cNvPr id="501" name="Graphic 501"/>
                        <wps:cNvSpPr/>
                        <wps:spPr>
                          <a:xfrm>
                            <a:off x="864490" y="493011"/>
                            <a:ext cx="1186180" cy="1186180"/>
                          </a:xfrm>
                          <a:custGeom>
                            <a:avLst/>
                            <a:gdLst/>
                            <a:ahLst/>
                            <a:cxnLst/>
                            <a:rect l="l" t="t" r="r" b="b"/>
                            <a:pathLst>
                              <a:path w="1186180" h="1186180">
                                <a:moveTo>
                                  <a:pt x="572458" y="0"/>
                                </a:moveTo>
                                <a:lnTo>
                                  <a:pt x="522773" y="3821"/>
                                </a:lnTo>
                                <a:lnTo>
                                  <a:pt x="557803" y="298329"/>
                                </a:lnTo>
                                <a:lnTo>
                                  <a:pt x="604508" y="296459"/>
                                </a:lnTo>
                                <a:lnTo>
                                  <a:pt x="649943" y="301765"/>
                                </a:lnTo>
                                <a:lnTo>
                                  <a:pt x="693432" y="313811"/>
                                </a:lnTo>
                                <a:lnTo>
                                  <a:pt x="734296" y="332160"/>
                                </a:lnTo>
                                <a:lnTo>
                                  <a:pt x="771858" y="356375"/>
                                </a:lnTo>
                                <a:lnTo>
                                  <a:pt x="805440" y="386019"/>
                                </a:lnTo>
                                <a:lnTo>
                                  <a:pt x="834366" y="420655"/>
                                </a:lnTo>
                                <a:lnTo>
                                  <a:pt x="857956" y="459847"/>
                                </a:lnTo>
                                <a:lnTo>
                                  <a:pt x="875535" y="503158"/>
                                </a:lnTo>
                                <a:lnTo>
                                  <a:pt x="886137" y="548681"/>
                                </a:lnTo>
                                <a:lnTo>
                                  <a:pt x="889452" y="594305"/>
                                </a:lnTo>
                                <a:lnTo>
                                  <a:pt x="885782" y="639281"/>
                                </a:lnTo>
                                <a:lnTo>
                                  <a:pt x="875428" y="682863"/>
                                </a:lnTo>
                                <a:lnTo>
                                  <a:pt x="858693" y="724302"/>
                                </a:lnTo>
                                <a:lnTo>
                                  <a:pt x="835879" y="762851"/>
                                </a:lnTo>
                                <a:lnTo>
                                  <a:pt x="807287" y="797763"/>
                                </a:lnTo>
                                <a:lnTo>
                                  <a:pt x="773219" y="828290"/>
                                </a:lnTo>
                                <a:lnTo>
                                  <a:pt x="733977" y="853684"/>
                                </a:lnTo>
                                <a:lnTo>
                                  <a:pt x="691252" y="872642"/>
                                </a:lnTo>
                                <a:lnTo>
                                  <a:pt x="647061" y="884461"/>
                                </a:lnTo>
                                <a:lnTo>
                                  <a:pt x="602195" y="889297"/>
                                </a:lnTo>
                                <a:lnTo>
                                  <a:pt x="557445" y="887307"/>
                                </a:lnTo>
                                <a:lnTo>
                                  <a:pt x="513601" y="878646"/>
                                </a:lnTo>
                                <a:lnTo>
                                  <a:pt x="471455" y="863472"/>
                                </a:lnTo>
                                <a:lnTo>
                                  <a:pt x="431798" y="841940"/>
                                </a:lnTo>
                                <a:lnTo>
                                  <a:pt x="395419" y="814207"/>
                                </a:lnTo>
                                <a:lnTo>
                                  <a:pt x="363111" y="780428"/>
                                </a:lnTo>
                                <a:lnTo>
                                  <a:pt x="336472" y="742021"/>
                                </a:lnTo>
                                <a:lnTo>
                                  <a:pt x="316570" y="700833"/>
                                </a:lnTo>
                                <a:lnTo>
                                  <a:pt x="303399" y="657672"/>
                                </a:lnTo>
                                <a:lnTo>
                                  <a:pt x="296956" y="613343"/>
                                </a:lnTo>
                                <a:lnTo>
                                  <a:pt x="297234" y="568653"/>
                                </a:lnTo>
                                <a:lnTo>
                                  <a:pt x="304229" y="524408"/>
                                </a:lnTo>
                                <a:lnTo>
                                  <a:pt x="317935" y="481414"/>
                                </a:lnTo>
                                <a:lnTo>
                                  <a:pt x="338348" y="440477"/>
                                </a:lnTo>
                                <a:lnTo>
                                  <a:pt x="365463" y="402404"/>
                                </a:lnTo>
                                <a:lnTo>
                                  <a:pt x="138093" y="211970"/>
                                </a:lnTo>
                                <a:lnTo>
                                  <a:pt x="107714" y="251471"/>
                                </a:lnTo>
                                <a:lnTo>
                                  <a:pt x="81090" y="292790"/>
                                </a:lnTo>
                                <a:lnTo>
                                  <a:pt x="58223" y="335687"/>
                                </a:lnTo>
                                <a:lnTo>
                                  <a:pt x="39115" y="379924"/>
                                </a:lnTo>
                                <a:lnTo>
                                  <a:pt x="23766" y="425260"/>
                                </a:lnTo>
                                <a:lnTo>
                                  <a:pt x="12179" y="471458"/>
                                </a:lnTo>
                                <a:lnTo>
                                  <a:pt x="4354" y="518277"/>
                                </a:lnTo>
                                <a:lnTo>
                                  <a:pt x="294" y="565478"/>
                                </a:lnTo>
                                <a:lnTo>
                                  <a:pt x="0" y="612822"/>
                                </a:lnTo>
                                <a:lnTo>
                                  <a:pt x="3472" y="660070"/>
                                </a:lnTo>
                                <a:lnTo>
                                  <a:pt x="10714" y="706983"/>
                                </a:lnTo>
                                <a:lnTo>
                                  <a:pt x="21725" y="753321"/>
                                </a:lnTo>
                                <a:lnTo>
                                  <a:pt x="36509" y="798846"/>
                                </a:lnTo>
                                <a:lnTo>
                                  <a:pt x="55065" y="843317"/>
                                </a:lnTo>
                                <a:lnTo>
                                  <a:pt x="77396" y="886495"/>
                                </a:lnTo>
                                <a:lnTo>
                                  <a:pt x="103504" y="928143"/>
                                </a:lnTo>
                                <a:lnTo>
                                  <a:pt x="133389" y="968019"/>
                                </a:lnTo>
                                <a:lnTo>
                                  <a:pt x="166486" y="1005271"/>
                                </a:lnTo>
                                <a:lnTo>
                                  <a:pt x="202075" y="1039176"/>
                                </a:lnTo>
                                <a:lnTo>
                                  <a:pt x="239918" y="1069688"/>
                                </a:lnTo>
                                <a:lnTo>
                                  <a:pt x="279783" y="1096759"/>
                                </a:lnTo>
                                <a:lnTo>
                                  <a:pt x="321433" y="1120343"/>
                                </a:lnTo>
                                <a:lnTo>
                                  <a:pt x="364635" y="1140395"/>
                                </a:lnTo>
                                <a:lnTo>
                                  <a:pt x="409154" y="1156868"/>
                                </a:lnTo>
                                <a:lnTo>
                                  <a:pt x="454754" y="1169714"/>
                                </a:lnTo>
                                <a:lnTo>
                                  <a:pt x="501202" y="1178889"/>
                                </a:lnTo>
                                <a:lnTo>
                                  <a:pt x="548263" y="1184345"/>
                                </a:lnTo>
                                <a:lnTo>
                                  <a:pt x="595701" y="1186037"/>
                                </a:lnTo>
                                <a:lnTo>
                                  <a:pt x="643282" y="1183918"/>
                                </a:lnTo>
                                <a:lnTo>
                                  <a:pt x="690772" y="1177941"/>
                                </a:lnTo>
                                <a:lnTo>
                                  <a:pt x="737935" y="1168060"/>
                                </a:lnTo>
                                <a:lnTo>
                                  <a:pt x="784538" y="1154229"/>
                                </a:lnTo>
                                <a:lnTo>
                                  <a:pt x="830344" y="1136401"/>
                                </a:lnTo>
                                <a:lnTo>
                                  <a:pt x="875121" y="1114531"/>
                                </a:lnTo>
                                <a:lnTo>
                                  <a:pt x="917923" y="1089013"/>
                                </a:lnTo>
                                <a:lnTo>
                                  <a:pt x="957905" y="1060421"/>
                                </a:lnTo>
                                <a:lnTo>
                                  <a:pt x="994976" y="1028976"/>
                                </a:lnTo>
                                <a:lnTo>
                                  <a:pt x="1029048" y="994900"/>
                                </a:lnTo>
                                <a:lnTo>
                                  <a:pt x="1060030" y="958416"/>
                                </a:lnTo>
                                <a:lnTo>
                                  <a:pt x="1087834" y="919745"/>
                                </a:lnTo>
                                <a:lnTo>
                                  <a:pt x="1112369" y="879109"/>
                                </a:lnTo>
                                <a:lnTo>
                                  <a:pt x="1133545" y="836730"/>
                                </a:lnTo>
                                <a:lnTo>
                                  <a:pt x="1151274" y="792830"/>
                                </a:lnTo>
                                <a:lnTo>
                                  <a:pt x="1165466" y="747629"/>
                                </a:lnTo>
                                <a:lnTo>
                                  <a:pt x="1176031" y="701352"/>
                                </a:lnTo>
                                <a:lnTo>
                                  <a:pt x="1182879" y="654218"/>
                                </a:lnTo>
                                <a:lnTo>
                                  <a:pt x="1185921" y="606451"/>
                                </a:lnTo>
                                <a:lnTo>
                                  <a:pt x="1185067" y="558271"/>
                                </a:lnTo>
                                <a:lnTo>
                                  <a:pt x="1180228" y="509901"/>
                                </a:lnTo>
                                <a:lnTo>
                                  <a:pt x="1171315" y="461562"/>
                                </a:lnTo>
                                <a:lnTo>
                                  <a:pt x="1158237" y="413477"/>
                                </a:lnTo>
                                <a:lnTo>
                                  <a:pt x="1141205" y="366646"/>
                                </a:lnTo>
                                <a:lnTo>
                                  <a:pt x="1120624" y="322009"/>
                                </a:lnTo>
                                <a:lnTo>
                                  <a:pt x="1096695" y="279694"/>
                                </a:lnTo>
                                <a:lnTo>
                                  <a:pt x="1069620" y="239833"/>
                                </a:lnTo>
                                <a:lnTo>
                                  <a:pt x="1039599" y="202554"/>
                                </a:lnTo>
                                <a:lnTo>
                                  <a:pt x="1006833" y="167987"/>
                                </a:lnTo>
                                <a:lnTo>
                                  <a:pt x="971524" y="136262"/>
                                </a:lnTo>
                                <a:lnTo>
                                  <a:pt x="933872" y="107508"/>
                                </a:lnTo>
                                <a:lnTo>
                                  <a:pt x="894079" y="81855"/>
                                </a:lnTo>
                                <a:lnTo>
                                  <a:pt x="852345" y="59432"/>
                                </a:lnTo>
                                <a:lnTo>
                                  <a:pt x="808872" y="40370"/>
                                </a:lnTo>
                                <a:lnTo>
                                  <a:pt x="763861" y="24798"/>
                                </a:lnTo>
                                <a:lnTo>
                                  <a:pt x="717513" y="12845"/>
                                </a:lnTo>
                                <a:lnTo>
                                  <a:pt x="670030" y="4641"/>
                                </a:lnTo>
                                <a:lnTo>
                                  <a:pt x="621611" y="316"/>
                                </a:lnTo>
                                <a:lnTo>
                                  <a:pt x="572458" y="0"/>
                                </a:lnTo>
                                <a:close/>
                              </a:path>
                            </a:pathLst>
                          </a:custGeom>
                          <a:solidFill>
                            <a:srgbClr val="959595"/>
                          </a:solidFill>
                        </wps:spPr>
                        <wps:bodyPr wrap="square" lIns="0" tIns="0" rIns="0" bIns="0" rtlCol="0">
                          <a:prstTxWarp prst="textNoShape">
                            <a:avLst/>
                          </a:prstTxWarp>
                          <a:noAutofit/>
                        </wps:bodyPr>
                      </wps:wsp>
                      <wps:wsp>
                        <wps:cNvPr id="502" name="Textbox 502"/>
                        <wps:cNvSpPr txBox="1"/>
                        <wps:spPr>
                          <a:xfrm>
                            <a:off x="9525" y="9525"/>
                            <a:ext cx="2886075" cy="1885950"/>
                          </a:xfrm>
                          <a:prstGeom prst="rect">
                            <a:avLst/>
                          </a:prstGeom>
                          <a:ln w="19050">
                            <a:solidFill>
                              <a:srgbClr val="000000"/>
                            </a:solidFill>
                            <a:prstDash val="solid"/>
                          </a:ln>
                        </wps:spPr>
                        <wps:txbx>
                          <w:txbxContent>
                            <w:p>
                              <w:pPr>
                                <w:spacing w:before="11"/>
                                <w:ind w:left="604" w:right="0" w:firstLine="0"/>
                                <w:jc w:val="left"/>
                                <w:rPr>
                                  <w:rFonts w:ascii="Arial" w:hAnsi="Arial" w:cs="Arial" w:eastAsia="Arial"/>
                                  <w:b/>
                                  <w:bCs/>
                                  <w:sz w:val="16"/>
                                  <w:szCs w:val="16"/>
                                </w:rPr>
                              </w:pPr>
                              <w:r>
                                <w:rPr>
                                  <w:rFonts w:ascii="Arial" w:hAnsi="Arial" w:cs="Arial" w:eastAsia="Arial"/>
                                  <w:b/>
                                  <w:bCs/>
                                  <w:sz w:val="16"/>
                                  <w:szCs w:val="16"/>
                                </w:rPr>
                                <w:t>Borrowing</w:t>
                              </w:r>
                              <w:r>
                                <w:rPr>
                                  <w:rFonts w:ascii="Arial" w:hAnsi="Arial" w:cs="Arial" w:eastAsia="Arial"/>
                                  <w:b/>
                                  <w:bCs/>
                                  <w:spacing w:val="-4"/>
                                  <w:sz w:val="16"/>
                                  <w:szCs w:val="16"/>
                                </w:rPr>
                                <w:t> </w:t>
                              </w:r>
                              <w:r>
                                <w:rPr>
                                  <w:rFonts w:ascii="Arial" w:hAnsi="Arial" w:cs="Arial" w:eastAsia="Arial"/>
                                  <w:b/>
                                  <w:bCs/>
                                  <w:sz w:val="16"/>
                                  <w:szCs w:val="16"/>
                                </w:rPr>
                                <w:t>Portfolio</w:t>
                              </w:r>
                              <w:r>
                                <w:rPr>
                                  <w:rFonts w:ascii="Arial" w:hAnsi="Arial" w:cs="Arial" w:eastAsia="Arial"/>
                                  <w:b/>
                                  <w:bCs/>
                                  <w:spacing w:val="-3"/>
                                  <w:sz w:val="16"/>
                                  <w:szCs w:val="16"/>
                                </w:rPr>
                                <w:t> </w:t>
                              </w:r>
                              <w:r>
                                <w:rPr>
                                  <w:rFonts w:ascii="Arial" w:hAnsi="Arial" w:cs="Arial" w:eastAsia="Arial"/>
                                  <w:b/>
                                  <w:bCs/>
                                  <w:sz w:val="16"/>
                                  <w:szCs w:val="16"/>
                                </w:rPr>
                                <w:t>excluding</w:t>
                              </w:r>
                              <w:r>
                                <w:rPr>
                                  <w:rFonts w:ascii="Arial" w:hAnsi="Arial" w:cs="Arial" w:eastAsia="Arial"/>
                                  <w:b/>
                                  <w:bCs/>
                                  <w:spacing w:val="-4"/>
                                  <w:sz w:val="16"/>
                                  <w:szCs w:val="16"/>
                                </w:rPr>
                                <w:t> </w:t>
                              </w:r>
                              <w:r>
                                <w:rPr>
                                  <w:rFonts w:ascii="Arial" w:hAnsi="Arial" w:cs="Arial" w:eastAsia="Arial"/>
                                  <w:b/>
                                  <w:bCs/>
                                  <w:sz w:val="16"/>
                                  <w:szCs w:val="16"/>
                                </w:rPr>
                                <w:t>Derivatives</w:t>
                              </w:r>
                              <w:r>
                                <w:rPr>
                                  <w:rFonts w:ascii="Arial" w:hAnsi="Arial" w:cs="Arial" w:eastAsia="Arial"/>
                                  <w:b/>
                                  <w:bCs/>
                                  <w:spacing w:val="-3"/>
                                  <w:sz w:val="16"/>
                                  <w:szCs w:val="16"/>
                                </w:rPr>
                                <w:t> </w:t>
                              </w:r>
                              <w:r>
                                <w:rPr>
                                  <w:rFonts w:ascii="Arial" w:hAnsi="Arial" w:cs="Arial" w:eastAsia="Arial"/>
                                  <w:b/>
                                  <w:bCs/>
                                  <w:spacing w:val="-10"/>
                                  <w:sz w:val="16"/>
                                  <w:szCs w:val="16"/>
                                </w:rPr>
                                <w:t>ᵃ</w:t>
                              </w:r>
                            </w:p>
                            <w:p>
                              <w:pPr>
                                <w:spacing w:line="240" w:lineRule="auto" w:before="0"/>
                                <w:rPr>
                                  <w:rFonts w:ascii="Arial"/>
                                  <w:b/>
                                  <w:sz w:val="16"/>
                                </w:rPr>
                              </w:pPr>
                            </w:p>
                            <w:p>
                              <w:pPr>
                                <w:spacing w:line="240" w:lineRule="auto" w:before="23"/>
                                <w:rPr>
                                  <w:rFonts w:ascii="Arial"/>
                                  <w:b/>
                                  <w:sz w:val="16"/>
                                </w:rPr>
                              </w:pPr>
                            </w:p>
                            <w:p>
                              <w:pPr>
                                <w:spacing w:line="249" w:lineRule="auto" w:before="0"/>
                                <w:ind w:left="1220" w:right="2777"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12%</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102"/>
                                <w:rPr>
                                  <w:rFonts w:ascii="Arial MT"/>
                                  <w:sz w:val="14"/>
                                </w:rPr>
                              </w:pPr>
                            </w:p>
                            <w:p>
                              <w:pPr>
                                <w:spacing w:line="249" w:lineRule="auto" w:before="0"/>
                                <w:ind w:left="2763" w:right="1399" w:firstLine="0"/>
                                <w:jc w:val="left"/>
                                <w:rPr>
                                  <w:rFonts w:ascii="Arial MT"/>
                                  <w:sz w:val="14"/>
                                </w:rPr>
                              </w:pPr>
                              <w:r>
                                <w:rPr>
                                  <w:rFonts w:ascii="Arial MT"/>
                                  <w:spacing w:val="-2"/>
                                  <w:sz w:val="14"/>
                                </w:rPr>
                                <w:t>Fixed</w:t>
                              </w:r>
                              <w:r>
                                <w:rPr>
                                  <w:rFonts w:ascii="Arial MT"/>
                                  <w:spacing w:val="40"/>
                                  <w:sz w:val="14"/>
                                </w:rPr>
                                <w:t> </w:t>
                              </w:r>
                              <w:r>
                                <w:rPr>
                                  <w:rFonts w:ascii="Arial MT"/>
                                  <w:spacing w:val="-4"/>
                                  <w:sz w:val="14"/>
                                </w:rPr>
                                <w:t>88%</w:t>
                              </w:r>
                            </w:p>
                          </w:txbxContent>
                        </wps:txbx>
                        <wps:bodyPr wrap="square" lIns="0" tIns="0" rIns="0" bIns="0" rtlCol="0">
                          <a:noAutofit/>
                        </wps:bodyPr>
                      </wps:wsp>
                    </wpg:wgp>
                  </a:graphicData>
                </a:graphic>
              </wp:anchor>
            </w:drawing>
          </mc:Choice>
          <mc:Fallback>
            <w:pict>
              <v:group style="position:absolute;margin-left:72pt;margin-top:13.379706pt;width:228.75pt;height:150pt;mso-position-horizontal-relative:page;mso-position-vertical-relative:paragraph;z-index:-15656448;mso-wrap-distance-left:0;mso-wrap-distance-right:0" id="docshapegroup419" coordorigin="1440,268" coordsize="4575,3000">
                <v:shape style="position:absolute;left:3019;top:1050;width:660;height:628" id="docshape420" coordorigin="3020,1050" coordsize="660,628" path="m3624,1050l3546,1063,3470,1082,3396,1107,3325,1138,3257,1175,3192,1218,3130,1266,3073,1319,3020,1377,3377,1677,3427,1627,3483,1585,3544,1551,3610,1528,3679,1514,3624,1050xe" filled="true" fillcolor="#d9d9d9" stroked="false">
                  <v:path arrowok="t"/>
                  <v:fill type="solid"/>
                </v:shape>
                <v:shape style="position:absolute;left:2801;top:1044;width:1868;height:1868" id="docshape421" coordorigin="2801,1044" coordsize="1868,1868" path="m3703,1044l3625,1050,3680,1514,3753,1511,3825,1519,3893,1538,3958,1567,4017,1605,4070,1652,4115,1706,4153,1768,4180,1836,4197,1908,4202,1980,4196,2051,4180,2119,4154,2185,4118,2245,4073,2300,4019,2348,3957,2388,3890,2418,3820,2437,3750,2444,3679,2441,3610,2428,3544,2404,3481,2370,3424,2326,3373,2273,3331,2213,3300,2148,3279,2080,3269,2010,3269,1940,3281,1870,3302,1802,3334,1738,3377,1678,3019,1378,2971,1440,2929,1505,2893,1573,2863,1642,2839,1714,2821,1786,2808,1860,2802,1935,2801,2009,2807,2083,2818,2157,2836,2230,2859,2302,2888,2372,2923,2440,2964,2506,3011,2568,3064,2627,3120,2680,3179,2729,3242,2771,3308,2808,3376,2840,3446,2866,3518,2886,3591,2901,3665,2909,3740,2912,3814,2908,3889,2899,3964,2883,4037,2862,4109,2834,4180,2799,4247,2759,4310,2714,4368,2664,4422,2611,4471,2553,4515,2492,4553,2428,4587,2362,4614,2293,4637,2221,4653,2148,4664,2074,4669,1999,4668,1923,4660,1847,4646,1771,4625,1695,4599,1621,4566,1551,4528,1484,4486,1422,4439,1363,4387,1309,4331,1259,4272,1213,4209,1173,4144,1138,4075,1108,4004,1083,3931,1064,3857,1051,3780,1044,3703,1044xe" filled="true" fillcolor="#959595" stroked="false">
                  <v:path arrowok="t"/>
                  <v:fill type="solid"/>
                </v:shape>
                <v:shape style="position:absolute;left:1455;top:282;width:4545;height:2970" type="#_x0000_t202" id="docshape422" filled="false" stroked="true" strokeweight="1.5pt" strokecolor="#000000">
                  <v:textbox inset="0,0,0,0">
                    <w:txbxContent>
                      <w:p>
                        <w:pPr>
                          <w:spacing w:before="11"/>
                          <w:ind w:left="604" w:right="0" w:firstLine="0"/>
                          <w:jc w:val="left"/>
                          <w:rPr>
                            <w:rFonts w:ascii="Arial" w:hAnsi="Arial" w:cs="Arial" w:eastAsia="Arial"/>
                            <w:b/>
                            <w:bCs/>
                            <w:sz w:val="16"/>
                            <w:szCs w:val="16"/>
                          </w:rPr>
                        </w:pPr>
                        <w:r>
                          <w:rPr>
                            <w:rFonts w:ascii="Arial" w:hAnsi="Arial" w:cs="Arial" w:eastAsia="Arial"/>
                            <w:b/>
                            <w:bCs/>
                            <w:sz w:val="16"/>
                            <w:szCs w:val="16"/>
                          </w:rPr>
                          <w:t>Borrowing</w:t>
                        </w:r>
                        <w:r>
                          <w:rPr>
                            <w:rFonts w:ascii="Arial" w:hAnsi="Arial" w:cs="Arial" w:eastAsia="Arial"/>
                            <w:b/>
                            <w:bCs/>
                            <w:spacing w:val="-4"/>
                            <w:sz w:val="16"/>
                            <w:szCs w:val="16"/>
                          </w:rPr>
                          <w:t> </w:t>
                        </w:r>
                        <w:r>
                          <w:rPr>
                            <w:rFonts w:ascii="Arial" w:hAnsi="Arial" w:cs="Arial" w:eastAsia="Arial"/>
                            <w:b/>
                            <w:bCs/>
                            <w:sz w:val="16"/>
                            <w:szCs w:val="16"/>
                          </w:rPr>
                          <w:t>Portfolio</w:t>
                        </w:r>
                        <w:r>
                          <w:rPr>
                            <w:rFonts w:ascii="Arial" w:hAnsi="Arial" w:cs="Arial" w:eastAsia="Arial"/>
                            <w:b/>
                            <w:bCs/>
                            <w:spacing w:val="-3"/>
                            <w:sz w:val="16"/>
                            <w:szCs w:val="16"/>
                          </w:rPr>
                          <w:t> </w:t>
                        </w:r>
                        <w:r>
                          <w:rPr>
                            <w:rFonts w:ascii="Arial" w:hAnsi="Arial" w:cs="Arial" w:eastAsia="Arial"/>
                            <w:b/>
                            <w:bCs/>
                            <w:sz w:val="16"/>
                            <w:szCs w:val="16"/>
                          </w:rPr>
                          <w:t>excluding</w:t>
                        </w:r>
                        <w:r>
                          <w:rPr>
                            <w:rFonts w:ascii="Arial" w:hAnsi="Arial" w:cs="Arial" w:eastAsia="Arial"/>
                            <w:b/>
                            <w:bCs/>
                            <w:spacing w:val="-4"/>
                            <w:sz w:val="16"/>
                            <w:szCs w:val="16"/>
                          </w:rPr>
                          <w:t> </w:t>
                        </w:r>
                        <w:r>
                          <w:rPr>
                            <w:rFonts w:ascii="Arial" w:hAnsi="Arial" w:cs="Arial" w:eastAsia="Arial"/>
                            <w:b/>
                            <w:bCs/>
                            <w:sz w:val="16"/>
                            <w:szCs w:val="16"/>
                          </w:rPr>
                          <w:t>Derivatives</w:t>
                        </w:r>
                        <w:r>
                          <w:rPr>
                            <w:rFonts w:ascii="Arial" w:hAnsi="Arial" w:cs="Arial" w:eastAsia="Arial"/>
                            <w:b/>
                            <w:bCs/>
                            <w:spacing w:val="-3"/>
                            <w:sz w:val="16"/>
                            <w:szCs w:val="16"/>
                          </w:rPr>
                          <w:t> </w:t>
                        </w:r>
                        <w:r>
                          <w:rPr>
                            <w:rFonts w:ascii="Arial" w:hAnsi="Arial" w:cs="Arial" w:eastAsia="Arial"/>
                            <w:b/>
                            <w:bCs/>
                            <w:spacing w:val="-10"/>
                            <w:sz w:val="16"/>
                            <w:szCs w:val="16"/>
                          </w:rPr>
                          <w:t>ᵃ</w:t>
                        </w:r>
                      </w:p>
                      <w:p>
                        <w:pPr>
                          <w:spacing w:line="240" w:lineRule="auto" w:before="0"/>
                          <w:rPr>
                            <w:rFonts w:ascii="Arial"/>
                            <w:b/>
                            <w:sz w:val="16"/>
                          </w:rPr>
                        </w:pPr>
                      </w:p>
                      <w:p>
                        <w:pPr>
                          <w:spacing w:line="240" w:lineRule="auto" w:before="23"/>
                          <w:rPr>
                            <w:rFonts w:ascii="Arial"/>
                            <w:b/>
                            <w:sz w:val="16"/>
                          </w:rPr>
                        </w:pPr>
                      </w:p>
                      <w:p>
                        <w:pPr>
                          <w:spacing w:line="249" w:lineRule="auto" w:before="0"/>
                          <w:ind w:left="1220" w:right="2777"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12%</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102"/>
                          <w:rPr>
                            <w:rFonts w:ascii="Arial MT"/>
                            <w:sz w:val="14"/>
                          </w:rPr>
                        </w:pPr>
                      </w:p>
                      <w:p>
                        <w:pPr>
                          <w:spacing w:line="249" w:lineRule="auto" w:before="0"/>
                          <w:ind w:left="2763" w:right="1399" w:firstLine="0"/>
                          <w:jc w:val="left"/>
                          <w:rPr>
                            <w:rFonts w:ascii="Arial MT"/>
                            <w:sz w:val="14"/>
                          </w:rPr>
                        </w:pPr>
                        <w:r>
                          <w:rPr>
                            <w:rFonts w:ascii="Arial MT"/>
                            <w:spacing w:val="-2"/>
                            <w:sz w:val="14"/>
                          </w:rPr>
                          <w:t>Fixed</w:t>
                        </w:r>
                        <w:r>
                          <w:rPr>
                            <w:rFonts w:ascii="Arial MT"/>
                            <w:spacing w:val="40"/>
                            <w:sz w:val="14"/>
                          </w:rPr>
                          <w:t> </w:t>
                        </w:r>
                        <w:r>
                          <w:rPr>
                            <w:rFonts w:ascii="Arial MT"/>
                            <w:spacing w:val="-4"/>
                            <w:sz w:val="14"/>
                          </w:rPr>
                          <w:t>88%</w:t>
                        </w:r>
                      </w:p>
                    </w:txbxContent>
                  </v:textbox>
                  <v:stroke dashstyle="solid"/>
                  <w10:wrap type="none"/>
                </v:shape>
                <w10:wrap type="topAndBottom"/>
              </v:group>
            </w:pict>
          </mc:Fallback>
        </mc:AlternateContent>
      </w:r>
      <w:r>
        <w:rPr>
          <w:rFonts w:ascii="Arial"/>
          <w:b/>
        </w:rPr>
        <mc:AlternateContent>
          <mc:Choice Requires="wps">
            <w:drawing>
              <wp:anchor distT="0" distB="0" distL="0" distR="0" allowOverlap="1" layoutInCell="1" locked="0" behindDoc="1" simplePos="0" relativeHeight="487660544">
                <wp:simplePos x="0" y="0"/>
                <wp:positionH relativeFrom="page">
                  <wp:posOffset>3883025</wp:posOffset>
                </wp:positionH>
                <wp:positionV relativeFrom="paragraph">
                  <wp:posOffset>169922</wp:posOffset>
                </wp:positionV>
                <wp:extent cx="2905125" cy="1905000"/>
                <wp:effectExtent l="0" t="0" r="0" b="0"/>
                <wp:wrapTopAndBottom/>
                <wp:docPr id="503" name="Group 503"/>
                <wp:cNvGraphicFramePr>
                  <a:graphicFrameLocks/>
                </wp:cNvGraphicFramePr>
                <a:graphic>
                  <a:graphicData uri="http://schemas.microsoft.com/office/word/2010/wordprocessingGroup">
                    <wpg:wgp>
                      <wpg:cNvPr id="503" name="Group 503"/>
                      <wpg:cNvGrpSpPr/>
                      <wpg:grpSpPr>
                        <a:xfrm>
                          <a:off x="0" y="0"/>
                          <a:ext cx="2905125" cy="1905000"/>
                          <a:chExt cx="2905125" cy="1905000"/>
                        </a:xfrm>
                      </wpg:grpSpPr>
                      <wps:wsp>
                        <wps:cNvPr id="504" name="Graphic 504"/>
                        <wps:cNvSpPr/>
                        <wps:spPr>
                          <a:xfrm>
                            <a:off x="864166" y="492680"/>
                            <a:ext cx="1186815" cy="1186815"/>
                          </a:xfrm>
                          <a:custGeom>
                            <a:avLst/>
                            <a:gdLst/>
                            <a:ahLst/>
                            <a:cxnLst/>
                            <a:rect l="l" t="t" r="r" b="b"/>
                            <a:pathLst>
                              <a:path w="1186815" h="1186815">
                                <a:moveTo>
                                  <a:pt x="593037" y="0"/>
                                </a:moveTo>
                                <a:lnTo>
                                  <a:pt x="593097" y="296585"/>
                                </a:lnTo>
                                <a:lnTo>
                                  <a:pt x="641147" y="300448"/>
                                </a:lnTo>
                                <a:lnTo>
                                  <a:pt x="686736" y="311650"/>
                                </a:lnTo>
                                <a:lnTo>
                                  <a:pt x="729255" y="329585"/>
                                </a:lnTo>
                                <a:lnTo>
                                  <a:pt x="768094" y="353645"/>
                                </a:lnTo>
                                <a:lnTo>
                                  <a:pt x="802644" y="383221"/>
                                </a:lnTo>
                                <a:lnTo>
                                  <a:pt x="832297" y="417705"/>
                                </a:lnTo>
                                <a:lnTo>
                                  <a:pt x="856442" y="456491"/>
                                </a:lnTo>
                                <a:lnTo>
                                  <a:pt x="874471" y="498970"/>
                                </a:lnTo>
                                <a:lnTo>
                                  <a:pt x="885775" y="544534"/>
                                </a:lnTo>
                                <a:lnTo>
                                  <a:pt x="889744" y="592575"/>
                                </a:lnTo>
                                <a:lnTo>
                                  <a:pt x="885968" y="640632"/>
                                </a:lnTo>
                                <a:lnTo>
                                  <a:pt x="874847" y="686240"/>
                                </a:lnTo>
                                <a:lnTo>
                                  <a:pt x="856989" y="728791"/>
                                </a:lnTo>
                                <a:lnTo>
                                  <a:pt x="832999" y="767673"/>
                                </a:lnTo>
                                <a:lnTo>
                                  <a:pt x="803485" y="802277"/>
                                </a:lnTo>
                                <a:lnTo>
                                  <a:pt x="769053" y="831991"/>
                                </a:lnTo>
                                <a:lnTo>
                                  <a:pt x="730311" y="856206"/>
                                </a:lnTo>
                                <a:lnTo>
                                  <a:pt x="687865" y="874312"/>
                                </a:lnTo>
                                <a:lnTo>
                                  <a:pt x="642321" y="885697"/>
                                </a:lnTo>
                                <a:lnTo>
                                  <a:pt x="594287" y="889753"/>
                                </a:lnTo>
                                <a:lnTo>
                                  <a:pt x="546224" y="886063"/>
                                </a:lnTo>
                                <a:lnTo>
                                  <a:pt x="500595" y="875024"/>
                                </a:lnTo>
                                <a:lnTo>
                                  <a:pt x="458012" y="857241"/>
                                </a:lnTo>
                                <a:lnTo>
                                  <a:pt x="419087" y="833321"/>
                                </a:lnTo>
                                <a:lnTo>
                                  <a:pt x="384431" y="803870"/>
                                </a:lnTo>
                                <a:lnTo>
                                  <a:pt x="354655" y="769492"/>
                                </a:lnTo>
                                <a:lnTo>
                                  <a:pt x="330370" y="730793"/>
                                </a:lnTo>
                                <a:lnTo>
                                  <a:pt x="312189" y="688379"/>
                                </a:lnTo>
                                <a:lnTo>
                                  <a:pt x="300721" y="642856"/>
                                </a:lnTo>
                                <a:lnTo>
                                  <a:pt x="296580" y="594829"/>
                                </a:lnTo>
                                <a:lnTo>
                                  <a:pt x="300184" y="546759"/>
                                </a:lnTo>
                                <a:lnTo>
                                  <a:pt x="311140" y="501111"/>
                                </a:lnTo>
                                <a:lnTo>
                                  <a:pt x="328846" y="458496"/>
                                </a:lnTo>
                                <a:lnTo>
                                  <a:pt x="352696" y="419528"/>
                                </a:lnTo>
                                <a:lnTo>
                                  <a:pt x="382085" y="384819"/>
                                </a:lnTo>
                                <a:lnTo>
                                  <a:pt x="416409" y="354981"/>
                                </a:lnTo>
                                <a:lnTo>
                                  <a:pt x="455064" y="330627"/>
                                </a:lnTo>
                                <a:lnTo>
                                  <a:pt x="497445" y="312370"/>
                                </a:lnTo>
                                <a:lnTo>
                                  <a:pt x="542947" y="300821"/>
                                </a:lnTo>
                                <a:lnTo>
                                  <a:pt x="590966" y="296593"/>
                                </a:lnTo>
                                <a:lnTo>
                                  <a:pt x="588775" y="16"/>
                                </a:lnTo>
                                <a:lnTo>
                                  <a:pt x="540203" y="2337"/>
                                </a:lnTo>
                                <a:lnTo>
                                  <a:pt x="492737" y="8471"/>
                                </a:lnTo>
                                <a:lnTo>
                                  <a:pt x="446530" y="18266"/>
                                </a:lnTo>
                                <a:lnTo>
                                  <a:pt x="401732" y="31569"/>
                                </a:lnTo>
                                <a:lnTo>
                                  <a:pt x="358495" y="48226"/>
                                </a:lnTo>
                                <a:lnTo>
                                  <a:pt x="316970" y="68084"/>
                                </a:lnTo>
                                <a:lnTo>
                                  <a:pt x="277308" y="90990"/>
                                </a:lnTo>
                                <a:lnTo>
                                  <a:pt x="239660" y="116792"/>
                                </a:lnTo>
                                <a:lnTo>
                                  <a:pt x="204177" y="145335"/>
                                </a:lnTo>
                                <a:lnTo>
                                  <a:pt x="171011" y="176467"/>
                                </a:lnTo>
                                <a:lnTo>
                                  <a:pt x="140312" y="210035"/>
                                </a:lnTo>
                                <a:lnTo>
                                  <a:pt x="112231" y="245886"/>
                                </a:lnTo>
                                <a:lnTo>
                                  <a:pt x="86921" y="283866"/>
                                </a:lnTo>
                                <a:lnTo>
                                  <a:pt x="64532" y="323822"/>
                                </a:lnTo>
                                <a:lnTo>
                                  <a:pt x="45214" y="365601"/>
                                </a:lnTo>
                                <a:lnTo>
                                  <a:pt x="29120" y="409051"/>
                                </a:lnTo>
                                <a:lnTo>
                                  <a:pt x="16401" y="454018"/>
                                </a:lnTo>
                                <a:lnTo>
                                  <a:pt x="7207" y="500348"/>
                                </a:lnTo>
                                <a:lnTo>
                                  <a:pt x="1689" y="547889"/>
                                </a:lnTo>
                                <a:lnTo>
                                  <a:pt x="0" y="596488"/>
                                </a:lnTo>
                                <a:lnTo>
                                  <a:pt x="2233" y="645065"/>
                                </a:lnTo>
                                <a:lnTo>
                                  <a:pt x="8282" y="692541"/>
                                </a:lnTo>
                                <a:lnTo>
                                  <a:pt x="17994" y="738766"/>
                                </a:lnTo>
                                <a:lnTo>
                                  <a:pt x="31216" y="783588"/>
                                </a:lnTo>
                                <a:lnTo>
                                  <a:pt x="47795" y="826854"/>
                                </a:lnTo>
                                <a:lnTo>
                                  <a:pt x="67579" y="868415"/>
                                </a:lnTo>
                                <a:lnTo>
                                  <a:pt x="90414" y="908118"/>
                                </a:lnTo>
                                <a:lnTo>
                                  <a:pt x="116148" y="945813"/>
                                </a:lnTo>
                                <a:lnTo>
                                  <a:pt x="144627" y="981347"/>
                                </a:lnTo>
                                <a:lnTo>
                                  <a:pt x="175700" y="1014569"/>
                                </a:lnTo>
                                <a:lnTo>
                                  <a:pt x="209212" y="1045328"/>
                                </a:lnTo>
                                <a:lnTo>
                                  <a:pt x="245012" y="1073473"/>
                                </a:lnTo>
                                <a:lnTo>
                                  <a:pt x="282947" y="1098851"/>
                                </a:lnTo>
                                <a:lnTo>
                                  <a:pt x="322863" y="1121312"/>
                                </a:lnTo>
                                <a:lnTo>
                                  <a:pt x="364607" y="1140705"/>
                                </a:lnTo>
                                <a:lnTo>
                                  <a:pt x="408028" y="1156877"/>
                                </a:lnTo>
                                <a:lnTo>
                                  <a:pt x="452972" y="1169677"/>
                                </a:lnTo>
                                <a:lnTo>
                                  <a:pt x="499285" y="1178955"/>
                                </a:lnTo>
                                <a:lnTo>
                                  <a:pt x="546817" y="1184558"/>
                                </a:lnTo>
                                <a:lnTo>
                                  <a:pt x="595412" y="1186334"/>
                                </a:lnTo>
                                <a:lnTo>
                                  <a:pt x="643993" y="1184188"/>
                                </a:lnTo>
                                <a:lnTo>
                                  <a:pt x="691480" y="1178225"/>
                                </a:lnTo>
                                <a:lnTo>
                                  <a:pt x="737722" y="1168596"/>
                                </a:lnTo>
                                <a:lnTo>
                                  <a:pt x="782567" y="1155454"/>
                                </a:lnTo>
                                <a:lnTo>
                                  <a:pt x="825864" y="1138953"/>
                                </a:lnTo>
                                <a:lnTo>
                                  <a:pt x="867460" y="1119244"/>
                                </a:lnTo>
                                <a:lnTo>
                                  <a:pt x="907204" y="1096480"/>
                                </a:lnTo>
                                <a:lnTo>
                                  <a:pt x="944945" y="1070814"/>
                                </a:lnTo>
                                <a:lnTo>
                                  <a:pt x="980530" y="1042399"/>
                                </a:lnTo>
                                <a:lnTo>
                                  <a:pt x="1013808" y="1011386"/>
                                </a:lnTo>
                                <a:lnTo>
                                  <a:pt x="1044627" y="977929"/>
                                </a:lnTo>
                                <a:lnTo>
                                  <a:pt x="1072836" y="942179"/>
                                </a:lnTo>
                                <a:lnTo>
                                  <a:pt x="1098282" y="904290"/>
                                </a:lnTo>
                                <a:lnTo>
                                  <a:pt x="1120815" y="864415"/>
                                </a:lnTo>
                                <a:lnTo>
                                  <a:pt x="1140283" y="822705"/>
                                </a:lnTo>
                                <a:lnTo>
                                  <a:pt x="1156533" y="779314"/>
                                </a:lnTo>
                                <a:lnTo>
                                  <a:pt x="1169414" y="734393"/>
                                </a:lnTo>
                                <a:lnTo>
                                  <a:pt x="1178774" y="688096"/>
                                </a:lnTo>
                                <a:lnTo>
                                  <a:pt x="1184463" y="640575"/>
                                </a:lnTo>
                                <a:lnTo>
                                  <a:pt x="1186327" y="591982"/>
                                </a:lnTo>
                                <a:lnTo>
                                  <a:pt x="1184268" y="543398"/>
                                </a:lnTo>
                                <a:lnTo>
                                  <a:pt x="1178390" y="495900"/>
                                </a:lnTo>
                                <a:lnTo>
                                  <a:pt x="1168844" y="449641"/>
                                </a:lnTo>
                                <a:lnTo>
                                  <a:pt x="1155783" y="404772"/>
                                </a:lnTo>
                                <a:lnTo>
                                  <a:pt x="1139359" y="361446"/>
                                </a:lnTo>
                                <a:lnTo>
                                  <a:pt x="1119725" y="319814"/>
                                </a:lnTo>
                                <a:lnTo>
                                  <a:pt x="1097033" y="280029"/>
                                </a:lnTo>
                                <a:lnTo>
                                  <a:pt x="1071435" y="242243"/>
                                </a:lnTo>
                                <a:lnTo>
                                  <a:pt x="1043083" y="206607"/>
                                </a:lnTo>
                                <a:lnTo>
                                  <a:pt x="1012130" y="173273"/>
                                </a:lnTo>
                                <a:lnTo>
                                  <a:pt x="978728" y="142394"/>
                                </a:lnTo>
                                <a:lnTo>
                                  <a:pt x="943030" y="114121"/>
                                </a:lnTo>
                                <a:lnTo>
                                  <a:pt x="905187" y="88606"/>
                                </a:lnTo>
                                <a:lnTo>
                                  <a:pt x="865352" y="66001"/>
                                </a:lnTo>
                                <a:lnTo>
                                  <a:pt x="823677" y="46459"/>
                                </a:lnTo>
                                <a:lnTo>
                                  <a:pt x="780315" y="30131"/>
                                </a:lnTo>
                                <a:lnTo>
                                  <a:pt x="735417" y="17169"/>
                                </a:lnTo>
                                <a:lnTo>
                                  <a:pt x="689137" y="7725"/>
                                </a:lnTo>
                                <a:lnTo>
                                  <a:pt x="641626" y="1951"/>
                                </a:lnTo>
                                <a:lnTo>
                                  <a:pt x="593037" y="0"/>
                                </a:lnTo>
                                <a:close/>
                              </a:path>
                            </a:pathLst>
                          </a:custGeom>
                          <a:solidFill>
                            <a:srgbClr val="D9D9D9"/>
                          </a:solidFill>
                        </wps:spPr>
                        <wps:bodyPr wrap="square" lIns="0" tIns="0" rIns="0" bIns="0" rtlCol="0">
                          <a:prstTxWarp prst="textNoShape">
                            <a:avLst/>
                          </a:prstTxWarp>
                          <a:noAutofit/>
                        </wps:bodyPr>
                      </wps:wsp>
                      <wps:wsp>
                        <wps:cNvPr id="505" name="Graphic 505"/>
                        <wps:cNvSpPr/>
                        <wps:spPr>
                          <a:xfrm>
                            <a:off x="1453535" y="492681"/>
                            <a:ext cx="3810" cy="297180"/>
                          </a:xfrm>
                          <a:custGeom>
                            <a:avLst/>
                            <a:gdLst/>
                            <a:ahLst/>
                            <a:cxnLst/>
                            <a:rect l="l" t="t" r="r" b="b"/>
                            <a:pathLst>
                              <a:path w="3810" h="297180">
                                <a:moveTo>
                                  <a:pt x="2965" y="0"/>
                                </a:moveTo>
                                <a:lnTo>
                                  <a:pt x="0" y="11"/>
                                </a:lnTo>
                                <a:lnTo>
                                  <a:pt x="1894" y="296590"/>
                                </a:lnTo>
                                <a:lnTo>
                                  <a:pt x="3378" y="296584"/>
                                </a:lnTo>
                                <a:lnTo>
                                  <a:pt x="2965" y="0"/>
                                </a:lnTo>
                                <a:close/>
                              </a:path>
                            </a:pathLst>
                          </a:custGeom>
                          <a:solidFill>
                            <a:srgbClr val="FFFFFF"/>
                          </a:solidFill>
                        </wps:spPr>
                        <wps:bodyPr wrap="square" lIns="0" tIns="0" rIns="0" bIns="0" rtlCol="0">
                          <a:prstTxWarp prst="textNoShape">
                            <a:avLst/>
                          </a:prstTxWarp>
                          <a:noAutofit/>
                        </wps:bodyPr>
                      </wps:wsp>
                      <wps:wsp>
                        <wps:cNvPr id="506" name="Graphic 506"/>
                        <wps:cNvSpPr/>
                        <wps:spPr>
                          <a:xfrm>
                            <a:off x="1453535" y="492681"/>
                            <a:ext cx="3810" cy="297180"/>
                          </a:xfrm>
                          <a:custGeom>
                            <a:avLst/>
                            <a:gdLst/>
                            <a:ahLst/>
                            <a:cxnLst/>
                            <a:rect l="l" t="t" r="r" b="b"/>
                            <a:pathLst>
                              <a:path w="3810" h="297180">
                                <a:moveTo>
                                  <a:pt x="0" y="11"/>
                                </a:moveTo>
                                <a:lnTo>
                                  <a:pt x="988" y="5"/>
                                </a:lnTo>
                                <a:lnTo>
                                  <a:pt x="1977" y="1"/>
                                </a:lnTo>
                                <a:lnTo>
                                  <a:pt x="2965" y="0"/>
                                </a:lnTo>
                                <a:lnTo>
                                  <a:pt x="3378" y="296584"/>
                                </a:lnTo>
                                <a:lnTo>
                                  <a:pt x="2882" y="296584"/>
                                </a:lnTo>
                                <a:lnTo>
                                  <a:pt x="2388" y="296586"/>
                                </a:lnTo>
                                <a:lnTo>
                                  <a:pt x="1894" y="296590"/>
                                </a:lnTo>
                                <a:lnTo>
                                  <a:pt x="0" y="11"/>
                                </a:lnTo>
                                <a:close/>
                              </a:path>
                            </a:pathLst>
                          </a:custGeom>
                          <a:ln w="9525">
                            <a:solidFill>
                              <a:srgbClr val="FFFFFF"/>
                            </a:solidFill>
                            <a:prstDash val="solid"/>
                          </a:ln>
                        </wps:spPr>
                        <wps:bodyPr wrap="square" lIns="0" tIns="0" rIns="0" bIns="0" rtlCol="0">
                          <a:prstTxWarp prst="textNoShape">
                            <a:avLst/>
                          </a:prstTxWarp>
                          <a:noAutofit/>
                        </wps:bodyPr>
                      </wps:wsp>
                      <wps:wsp>
                        <wps:cNvPr id="507" name="Graphic 507"/>
                        <wps:cNvSpPr/>
                        <wps:spPr>
                          <a:xfrm>
                            <a:off x="1450675" y="416298"/>
                            <a:ext cx="263525" cy="67310"/>
                          </a:xfrm>
                          <a:custGeom>
                            <a:avLst/>
                            <a:gdLst/>
                            <a:ahLst/>
                            <a:cxnLst/>
                            <a:rect l="l" t="t" r="r" b="b"/>
                            <a:pathLst>
                              <a:path w="263525" h="67310">
                                <a:moveTo>
                                  <a:pt x="263328" y="0"/>
                                </a:moveTo>
                                <a:lnTo>
                                  <a:pt x="187128" y="0"/>
                                </a:lnTo>
                                <a:lnTo>
                                  <a:pt x="0" y="66860"/>
                                </a:lnTo>
                              </a:path>
                            </a:pathLst>
                          </a:custGeom>
                          <a:ln w="9524">
                            <a:solidFill>
                              <a:srgbClr val="585858"/>
                            </a:solidFill>
                            <a:prstDash val="solid"/>
                          </a:ln>
                        </wps:spPr>
                        <wps:bodyPr wrap="square" lIns="0" tIns="0" rIns="0" bIns="0" rtlCol="0">
                          <a:prstTxWarp prst="textNoShape">
                            <a:avLst/>
                          </a:prstTxWarp>
                          <a:noAutofit/>
                        </wps:bodyPr>
                      </wps:wsp>
                      <wps:wsp>
                        <wps:cNvPr id="508" name="Textbox 508"/>
                        <wps:cNvSpPr txBox="1"/>
                        <wps:spPr>
                          <a:xfrm>
                            <a:off x="9525" y="9525"/>
                            <a:ext cx="2886075" cy="1885950"/>
                          </a:xfrm>
                          <a:prstGeom prst="rect">
                            <a:avLst/>
                          </a:prstGeom>
                          <a:ln w="19050">
                            <a:solidFill>
                              <a:srgbClr val="000000"/>
                            </a:solidFill>
                            <a:prstDash val="solid"/>
                          </a:ln>
                        </wps:spPr>
                        <wps:txbx>
                          <w:txbxContent>
                            <w:p>
                              <w:pPr>
                                <w:spacing w:before="11"/>
                                <w:ind w:left="622" w:right="0" w:firstLine="0"/>
                                <w:jc w:val="left"/>
                                <w:rPr>
                                  <w:rFonts w:ascii="Arial" w:hAnsi="Arial" w:cs="Arial" w:eastAsia="Arial"/>
                                  <w:b/>
                                  <w:bCs/>
                                  <w:sz w:val="16"/>
                                  <w:szCs w:val="16"/>
                                </w:rPr>
                              </w:pPr>
                              <w:r>
                                <w:rPr>
                                  <w:rFonts w:ascii="Arial" w:hAnsi="Arial" w:cs="Arial" w:eastAsia="Arial"/>
                                  <w:b/>
                                  <w:bCs/>
                                  <w:sz w:val="16"/>
                                  <w:szCs w:val="16"/>
                                </w:rPr>
                                <w:t>Borrowing</w:t>
                              </w:r>
                              <w:r>
                                <w:rPr>
                                  <w:rFonts w:ascii="Arial" w:hAnsi="Arial" w:cs="Arial" w:eastAsia="Arial"/>
                                  <w:b/>
                                  <w:bCs/>
                                  <w:spacing w:val="-3"/>
                                  <w:sz w:val="16"/>
                                  <w:szCs w:val="16"/>
                                </w:rPr>
                                <w:t> </w:t>
                              </w:r>
                              <w:r>
                                <w:rPr>
                                  <w:rFonts w:ascii="Arial" w:hAnsi="Arial" w:cs="Arial" w:eastAsia="Arial"/>
                                  <w:b/>
                                  <w:bCs/>
                                  <w:sz w:val="16"/>
                                  <w:szCs w:val="16"/>
                                </w:rPr>
                                <w:t>Portfolio</w:t>
                              </w:r>
                              <w:r>
                                <w:rPr>
                                  <w:rFonts w:ascii="Arial" w:hAnsi="Arial" w:cs="Arial" w:eastAsia="Arial"/>
                                  <w:b/>
                                  <w:bCs/>
                                  <w:spacing w:val="-3"/>
                                  <w:sz w:val="16"/>
                                  <w:szCs w:val="16"/>
                                </w:rPr>
                                <w:t> </w:t>
                              </w:r>
                              <w:r>
                                <w:rPr>
                                  <w:rFonts w:ascii="Arial" w:hAnsi="Arial" w:cs="Arial" w:eastAsia="Arial"/>
                                  <w:b/>
                                  <w:bCs/>
                                  <w:sz w:val="16"/>
                                  <w:szCs w:val="16"/>
                                </w:rPr>
                                <w:t>Including</w:t>
                              </w:r>
                              <w:r>
                                <w:rPr>
                                  <w:rFonts w:ascii="Arial" w:hAnsi="Arial" w:cs="Arial" w:eastAsia="Arial"/>
                                  <w:b/>
                                  <w:bCs/>
                                  <w:spacing w:val="-3"/>
                                  <w:sz w:val="16"/>
                                  <w:szCs w:val="16"/>
                                </w:rPr>
                                <w:t> </w:t>
                              </w:r>
                              <w:r>
                                <w:rPr>
                                  <w:rFonts w:ascii="Arial" w:hAnsi="Arial" w:cs="Arial" w:eastAsia="Arial"/>
                                  <w:b/>
                                  <w:bCs/>
                                  <w:sz w:val="16"/>
                                  <w:szCs w:val="16"/>
                                </w:rPr>
                                <w:t>Derivatives</w:t>
                              </w:r>
                              <w:r>
                                <w:rPr>
                                  <w:rFonts w:ascii="Arial" w:hAnsi="Arial" w:cs="Arial" w:eastAsia="Arial"/>
                                  <w:b/>
                                  <w:bCs/>
                                  <w:spacing w:val="-3"/>
                                  <w:sz w:val="16"/>
                                  <w:szCs w:val="16"/>
                                </w:rPr>
                                <w:t> </w:t>
                              </w:r>
                              <w:r>
                                <w:rPr>
                                  <w:rFonts w:ascii="Arial" w:hAnsi="Arial" w:cs="Arial" w:eastAsia="Arial"/>
                                  <w:b/>
                                  <w:bCs/>
                                  <w:spacing w:val="-10"/>
                                  <w:sz w:val="16"/>
                                  <w:szCs w:val="16"/>
                                </w:rPr>
                                <w:t>ᵃ</w:t>
                              </w:r>
                            </w:p>
                            <w:p>
                              <w:pPr>
                                <w:spacing w:line="240" w:lineRule="auto" w:before="97"/>
                                <w:rPr>
                                  <w:rFonts w:ascii="Arial"/>
                                  <w:b/>
                                  <w:sz w:val="16"/>
                                </w:rPr>
                              </w:pPr>
                            </w:p>
                            <w:p>
                              <w:pPr>
                                <w:spacing w:before="0"/>
                                <w:ind w:left="2654" w:right="0" w:firstLine="0"/>
                                <w:jc w:val="left"/>
                                <w:rPr>
                                  <w:rFonts w:ascii="Arial MT"/>
                                  <w:sz w:val="14"/>
                                </w:rPr>
                              </w:pPr>
                              <w:r>
                                <w:rPr>
                                  <w:rFonts w:ascii="Arial MT"/>
                                  <w:spacing w:val="-2"/>
                                  <w:sz w:val="14"/>
                                </w:rPr>
                                <w:t>Fixed</w:t>
                              </w:r>
                            </w:p>
                            <w:p>
                              <w:pPr>
                                <w:spacing w:before="7"/>
                                <w:ind w:left="2654" w:right="0" w:firstLine="0"/>
                                <w:jc w:val="left"/>
                                <w:rPr>
                                  <w:rFonts w:ascii="Arial MT"/>
                                  <w:sz w:val="14"/>
                                </w:rPr>
                              </w:pPr>
                              <w:r>
                                <w:rPr>
                                  <w:rFonts w:ascii="Arial MT"/>
                                  <w:spacing w:val="-10"/>
                                  <w:sz w:val="14"/>
                                </w:rPr>
                                <w:t>*</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52"/>
                                <w:rPr>
                                  <w:rFonts w:ascii="Arial MT"/>
                                  <w:sz w:val="14"/>
                                </w:rPr>
                              </w:pPr>
                            </w:p>
                            <w:p>
                              <w:pPr>
                                <w:spacing w:line="249" w:lineRule="auto" w:before="0"/>
                                <w:ind w:left="3033" w:right="964"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99%</w:t>
                              </w:r>
                            </w:p>
                          </w:txbxContent>
                        </wps:txbx>
                        <wps:bodyPr wrap="square" lIns="0" tIns="0" rIns="0" bIns="0" rtlCol="0">
                          <a:noAutofit/>
                        </wps:bodyPr>
                      </wps:wsp>
                    </wpg:wgp>
                  </a:graphicData>
                </a:graphic>
              </wp:anchor>
            </w:drawing>
          </mc:Choice>
          <mc:Fallback>
            <w:pict>
              <v:group style="position:absolute;margin-left:305.75pt;margin-top:13.379706pt;width:228.75pt;height:150pt;mso-position-horizontal-relative:page;mso-position-vertical-relative:paragraph;z-index:-15655936;mso-wrap-distance-left:0;mso-wrap-distance-right:0" id="docshapegroup423" coordorigin="6115,268" coordsize="4575,3000">
                <v:shape style="position:absolute;left:7475;top:1043;width:1869;height:1869" id="docshape424" coordorigin="7476,1043" coordsize="1869,1869" path="m8410,1043l8410,1511,8486,1517,8557,1534,8624,1563,8685,1600,8740,1647,8787,1701,8825,1762,8853,1829,8871,1901,8877,1977,8871,2052,8854,2124,8825,2191,8788,2252,8741,2307,8687,2354,8626,2392,8559,2420,8487,2438,8412,2445,8336,2439,8264,2421,8197,2393,8136,2356,8081,2309,8034,2255,7996,2194,7968,2128,7949,2056,7943,1980,7949,1905,7966,1833,7994,1766,8031,1704,8078,1649,8132,1602,8193,1564,8259,1535,8331,1517,8407,1511,8403,1043,8327,1047,8252,1057,8179,1072,8109,1093,8040,1119,7975,1151,7913,1187,7853,1227,7797,1272,7745,1321,7697,1374,7653,1431,7613,1491,7578,1553,7547,1619,7522,1688,7502,1758,7487,1831,7479,1906,7476,1983,7479,2059,7489,2134,7504,2207,7525,2277,7551,2346,7582,2411,7618,2474,7659,2533,7704,2589,7753,2641,7805,2690,7862,2734,7921,2774,7984,2809,8050,2840,8118,2865,8189,2885,8262,2900,8337,2909,8414,2912,8490,2908,8565,2899,8638,2884,8708,2863,8776,2837,8842,2806,8905,2770,8964,2730,9020,2685,9072,2636,9121,2584,9165,2527,9205,2468,9241,2405,9272,2339,9297,2271,9317,2200,9332,2127,9341,2052,9344,1976,9341,1899,9332,1824,9317,1752,9296,1681,9270,1613,9239,1547,9204,1484,9163,1425,9119,1369,9070,1316,9017,1268,8961,1223,8901,1183,8839,1147,8773,1117,8705,1091,8634,1071,8561,1056,8486,1047,8410,1043xe" filled="true" fillcolor="#d9d9d9" stroked="false">
                  <v:path arrowok="t"/>
                  <v:fill type="solid"/>
                </v:shape>
                <v:shape style="position:absolute;left:8404;top:1043;width:6;height:468" id="docshape425" coordorigin="8404,1043" coordsize="6,468" path="m8409,1043l8404,1043,8407,1511,8409,1511,8409,1043xe" filled="true" fillcolor="#ffffff" stroked="false">
                  <v:path arrowok="t"/>
                  <v:fill type="solid"/>
                </v:shape>
                <v:shape style="position:absolute;left:8404;top:1043;width:6;height:468" id="docshape426" coordorigin="8404,1043" coordsize="6,468" path="m8404,1043l8406,1043,8407,1043,8409,1043,8409,1511,8409,1511,8408,1511,8407,1511,8404,1043xe" filled="false" stroked="true" strokeweight=".75pt" strokecolor="#ffffff">
                  <v:path arrowok="t"/>
                  <v:stroke dashstyle="solid"/>
                </v:shape>
                <v:shape style="position:absolute;left:8399;top:923;width:415;height:106" id="docshape427" coordorigin="8400,923" coordsize="415,106" path="m8814,923l8694,923,8400,1028e" filled="false" stroked="true" strokeweight=".75pt" strokecolor="#585858">
                  <v:path arrowok="t"/>
                  <v:stroke dashstyle="solid"/>
                </v:shape>
                <v:shape style="position:absolute;left:6130;top:282;width:4545;height:2970" type="#_x0000_t202" id="docshape428" filled="false" stroked="true" strokeweight="1.5pt" strokecolor="#000000">
                  <v:textbox inset="0,0,0,0">
                    <w:txbxContent>
                      <w:p>
                        <w:pPr>
                          <w:spacing w:before="11"/>
                          <w:ind w:left="622" w:right="0" w:firstLine="0"/>
                          <w:jc w:val="left"/>
                          <w:rPr>
                            <w:rFonts w:ascii="Arial" w:hAnsi="Arial" w:cs="Arial" w:eastAsia="Arial"/>
                            <w:b/>
                            <w:bCs/>
                            <w:sz w:val="16"/>
                            <w:szCs w:val="16"/>
                          </w:rPr>
                        </w:pPr>
                        <w:r>
                          <w:rPr>
                            <w:rFonts w:ascii="Arial" w:hAnsi="Arial" w:cs="Arial" w:eastAsia="Arial"/>
                            <w:b/>
                            <w:bCs/>
                            <w:sz w:val="16"/>
                            <w:szCs w:val="16"/>
                          </w:rPr>
                          <w:t>Borrowing</w:t>
                        </w:r>
                        <w:r>
                          <w:rPr>
                            <w:rFonts w:ascii="Arial" w:hAnsi="Arial" w:cs="Arial" w:eastAsia="Arial"/>
                            <w:b/>
                            <w:bCs/>
                            <w:spacing w:val="-3"/>
                            <w:sz w:val="16"/>
                            <w:szCs w:val="16"/>
                          </w:rPr>
                          <w:t> </w:t>
                        </w:r>
                        <w:r>
                          <w:rPr>
                            <w:rFonts w:ascii="Arial" w:hAnsi="Arial" w:cs="Arial" w:eastAsia="Arial"/>
                            <w:b/>
                            <w:bCs/>
                            <w:sz w:val="16"/>
                            <w:szCs w:val="16"/>
                          </w:rPr>
                          <w:t>Portfolio</w:t>
                        </w:r>
                        <w:r>
                          <w:rPr>
                            <w:rFonts w:ascii="Arial" w:hAnsi="Arial" w:cs="Arial" w:eastAsia="Arial"/>
                            <w:b/>
                            <w:bCs/>
                            <w:spacing w:val="-3"/>
                            <w:sz w:val="16"/>
                            <w:szCs w:val="16"/>
                          </w:rPr>
                          <w:t> </w:t>
                        </w:r>
                        <w:r>
                          <w:rPr>
                            <w:rFonts w:ascii="Arial" w:hAnsi="Arial" w:cs="Arial" w:eastAsia="Arial"/>
                            <w:b/>
                            <w:bCs/>
                            <w:sz w:val="16"/>
                            <w:szCs w:val="16"/>
                          </w:rPr>
                          <w:t>Including</w:t>
                        </w:r>
                        <w:r>
                          <w:rPr>
                            <w:rFonts w:ascii="Arial" w:hAnsi="Arial" w:cs="Arial" w:eastAsia="Arial"/>
                            <w:b/>
                            <w:bCs/>
                            <w:spacing w:val="-3"/>
                            <w:sz w:val="16"/>
                            <w:szCs w:val="16"/>
                          </w:rPr>
                          <w:t> </w:t>
                        </w:r>
                        <w:r>
                          <w:rPr>
                            <w:rFonts w:ascii="Arial" w:hAnsi="Arial" w:cs="Arial" w:eastAsia="Arial"/>
                            <w:b/>
                            <w:bCs/>
                            <w:sz w:val="16"/>
                            <w:szCs w:val="16"/>
                          </w:rPr>
                          <w:t>Derivatives</w:t>
                        </w:r>
                        <w:r>
                          <w:rPr>
                            <w:rFonts w:ascii="Arial" w:hAnsi="Arial" w:cs="Arial" w:eastAsia="Arial"/>
                            <w:b/>
                            <w:bCs/>
                            <w:spacing w:val="-3"/>
                            <w:sz w:val="16"/>
                            <w:szCs w:val="16"/>
                          </w:rPr>
                          <w:t> </w:t>
                        </w:r>
                        <w:r>
                          <w:rPr>
                            <w:rFonts w:ascii="Arial" w:hAnsi="Arial" w:cs="Arial" w:eastAsia="Arial"/>
                            <w:b/>
                            <w:bCs/>
                            <w:spacing w:val="-10"/>
                            <w:sz w:val="16"/>
                            <w:szCs w:val="16"/>
                          </w:rPr>
                          <w:t>ᵃ</w:t>
                        </w:r>
                      </w:p>
                      <w:p>
                        <w:pPr>
                          <w:spacing w:line="240" w:lineRule="auto" w:before="97"/>
                          <w:rPr>
                            <w:rFonts w:ascii="Arial"/>
                            <w:b/>
                            <w:sz w:val="16"/>
                          </w:rPr>
                        </w:pPr>
                      </w:p>
                      <w:p>
                        <w:pPr>
                          <w:spacing w:before="0"/>
                          <w:ind w:left="2654" w:right="0" w:firstLine="0"/>
                          <w:jc w:val="left"/>
                          <w:rPr>
                            <w:rFonts w:ascii="Arial MT"/>
                            <w:sz w:val="14"/>
                          </w:rPr>
                        </w:pPr>
                        <w:r>
                          <w:rPr>
                            <w:rFonts w:ascii="Arial MT"/>
                            <w:spacing w:val="-2"/>
                            <w:sz w:val="14"/>
                          </w:rPr>
                          <w:t>Fixed</w:t>
                        </w:r>
                      </w:p>
                      <w:p>
                        <w:pPr>
                          <w:spacing w:before="7"/>
                          <w:ind w:left="2654" w:right="0" w:firstLine="0"/>
                          <w:jc w:val="left"/>
                          <w:rPr>
                            <w:rFonts w:ascii="Arial MT"/>
                            <w:sz w:val="14"/>
                          </w:rPr>
                        </w:pPr>
                        <w:r>
                          <w:rPr>
                            <w:rFonts w:ascii="Arial MT"/>
                            <w:spacing w:val="-10"/>
                            <w:sz w:val="14"/>
                          </w:rPr>
                          <w:t>*</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52"/>
                          <w:rPr>
                            <w:rFonts w:ascii="Arial MT"/>
                            <w:sz w:val="14"/>
                          </w:rPr>
                        </w:pPr>
                      </w:p>
                      <w:p>
                        <w:pPr>
                          <w:spacing w:line="249" w:lineRule="auto" w:before="0"/>
                          <w:ind w:left="3033" w:right="964"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99%</w:t>
                        </w:r>
                      </w:p>
                    </w:txbxContent>
                  </v:textbox>
                  <v:stroke dashstyle="solid"/>
                  <w10:wrap type="none"/>
                </v:shape>
                <w10:wrap type="topAndBottom"/>
              </v:group>
            </w:pict>
          </mc:Fallback>
        </mc:AlternateContent>
      </w:r>
    </w:p>
    <w:p>
      <w:pPr>
        <w:spacing w:before="67"/>
        <w:ind w:left="900" w:right="0" w:firstLine="0"/>
        <w:jc w:val="left"/>
        <w:rPr>
          <w:rFonts w:ascii="Arial"/>
          <w:i/>
          <w:sz w:val="16"/>
        </w:rPr>
      </w:pPr>
      <w:r>
        <w:rPr>
          <w:rFonts w:ascii="Arial"/>
          <w:i/>
          <w:sz w:val="16"/>
        </w:rPr>
        <w:t>a.</w:t>
      </w:r>
      <w:r>
        <w:rPr>
          <w:rFonts w:ascii="Arial"/>
          <w:i/>
          <w:spacing w:val="-2"/>
          <w:sz w:val="16"/>
        </w:rPr>
        <w:t> </w:t>
      </w:r>
      <w:r>
        <w:rPr>
          <w:rFonts w:ascii="Arial"/>
          <w:i/>
          <w:sz w:val="16"/>
        </w:rPr>
        <w:t>Excludes</w:t>
      </w:r>
      <w:r>
        <w:rPr>
          <w:rFonts w:ascii="Arial"/>
          <w:i/>
          <w:spacing w:val="-3"/>
          <w:sz w:val="16"/>
        </w:rPr>
        <w:t> </w:t>
      </w:r>
      <w:r>
        <w:rPr>
          <w:rFonts w:ascii="Arial"/>
          <w:i/>
          <w:sz w:val="16"/>
        </w:rPr>
        <w:t>discount</w:t>
      </w:r>
      <w:r>
        <w:rPr>
          <w:rFonts w:ascii="Arial"/>
          <w:i/>
          <w:spacing w:val="-3"/>
          <w:sz w:val="16"/>
        </w:rPr>
        <w:t> </w:t>
      </w:r>
      <w:r>
        <w:rPr>
          <w:rFonts w:ascii="Arial"/>
          <w:i/>
          <w:spacing w:val="-2"/>
          <w:sz w:val="16"/>
        </w:rPr>
        <w:t>notes.</w:t>
      </w:r>
    </w:p>
    <w:p>
      <w:pPr>
        <w:spacing w:before="8"/>
        <w:ind w:left="900" w:right="0" w:firstLine="0"/>
        <w:jc w:val="left"/>
        <w:rPr>
          <w:rFonts w:ascii="Arial"/>
          <w:i/>
          <w:sz w:val="16"/>
        </w:rPr>
      </w:pPr>
      <w:r>
        <w:rPr>
          <w:rFonts w:ascii="Arial"/>
          <w:i/>
          <w:sz w:val="16"/>
        </w:rPr>
        <w:t>*</w:t>
      </w:r>
      <w:r>
        <w:rPr>
          <w:rFonts w:ascii="Arial"/>
          <w:i/>
          <w:spacing w:val="-4"/>
          <w:sz w:val="16"/>
        </w:rPr>
        <w:t> </w:t>
      </w:r>
      <w:r>
        <w:rPr>
          <w:rFonts w:ascii="Arial"/>
          <w:i/>
          <w:sz w:val="16"/>
        </w:rPr>
        <w:t>Denotes</w:t>
      </w:r>
      <w:r>
        <w:rPr>
          <w:rFonts w:ascii="Arial"/>
          <w:i/>
          <w:spacing w:val="-3"/>
          <w:sz w:val="16"/>
        </w:rPr>
        <w:t> </w:t>
      </w:r>
      <w:r>
        <w:rPr>
          <w:rFonts w:ascii="Arial"/>
          <w:i/>
          <w:sz w:val="16"/>
        </w:rPr>
        <w:t>percentage</w:t>
      </w:r>
      <w:r>
        <w:rPr>
          <w:rFonts w:ascii="Arial"/>
          <w:i/>
          <w:spacing w:val="-4"/>
          <w:sz w:val="16"/>
        </w:rPr>
        <w:t> </w:t>
      </w:r>
      <w:r>
        <w:rPr>
          <w:rFonts w:ascii="Arial"/>
          <w:i/>
          <w:sz w:val="16"/>
        </w:rPr>
        <w:t>less</w:t>
      </w:r>
      <w:r>
        <w:rPr>
          <w:rFonts w:ascii="Arial"/>
          <w:i/>
          <w:spacing w:val="-3"/>
          <w:sz w:val="16"/>
        </w:rPr>
        <w:t> </w:t>
      </w:r>
      <w:r>
        <w:rPr>
          <w:rFonts w:ascii="Arial"/>
          <w:i/>
          <w:sz w:val="16"/>
        </w:rPr>
        <w:t>than</w:t>
      </w:r>
      <w:r>
        <w:rPr>
          <w:rFonts w:ascii="Arial"/>
          <w:i/>
          <w:spacing w:val="-3"/>
          <w:sz w:val="16"/>
        </w:rPr>
        <w:t> </w:t>
      </w:r>
      <w:r>
        <w:rPr>
          <w:rFonts w:ascii="Arial"/>
          <w:i/>
          <w:spacing w:val="-4"/>
          <w:sz w:val="16"/>
        </w:rPr>
        <w:t>0.5%.</w:t>
      </w:r>
    </w:p>
    <w:p>
      <w:pPr>
        <w:spacing w:after="0"/>
        <w:jc w:val="left"/>
        <w:rPr>
          <w:rFonts w:ascii="Arial"/>
          <w:i/>
          <w:sz w:val="16"/>
        </w:rPr>
        <w:sectPr>
          <w:pgSz w:w="12240" w:h="15840"/>
          <w:pgMar w:header="744" w:footer="583" w:top="1020" w:bottom="780" w:left="720" w:right="720"/>
        </w:sectPr>
      </w:pPr>
    </w:p>
    <w:p>
      <w:pPr>
        <w:pStyle w:val="BodyText"/>
        <w:spacing w:before="161"/>
        <w:rPr>
          <w:rFonts w:ascii="Arial"/>
          <w:i/>
          <w:sz w:val="18"/>
        </w:rPr>
      </w:pPr>
    </w:p>
    <w:p>
      <w:pPr>
        <w:spacing w:before="0"/>
        <w:ind w:left="720" w:right="0" w:firstLine="0"/>
        <w:jc w:val="left"/>
        <w:rPr>
          <w:rFonts w:ascii="Arial"/>
          <w:b/>
          <w:sz w:val="18"/>
        </w:rPr>
      </w:pPr>
      <w:bookmarkStart w:name="_bookmark84" w:id="124"/>
      <w:bookmarkEnd w:id="124"/>
      <w:r>
        <w:rPr/>
      </w:r>
      <w:r>
        <w:rPr>
          <w:rFonts w:ascii="Arial"/>
          <w:b/>
          <w:sz w:val="18"/>
        </w:rPr>
        <w:t>Figure</w:t>
      </w:r>
      <w:r>
        <w:rPr>
          <w:rFonts w:ascii="Arial"/>
          <w:b/>
          <w:spacing w:val="-2"/>
          <w:sz w:val="18"/>
        </w:rPr>
        <w:t> </w:t>
      </w:r>
      <w:r>
        <w:rPr>
          <w:rFonts w:ascii="Arial"/>
          <w:b/>
          <w:sz w:val="18"/>
        </w:rPr>
        <w:t>22:</w:t>
      </w:r>
      <w:r>
        <w:rPr>
          <w:rFonts w:ascii="Arial"/>
          <w:b/>
          <w:spacing w:val="-2"/>
          <w:sz w:val="18"/>
        </w:rPr>
        <w:t> </w:t>
      </w:r>
      <w:r>
        <w:rPr>
          <w:rFonts w:ascii="Arial"/>
          <w:b/>
          <w:sz w:val="18"/>
        </w:rPr>
        <w:t>Effect</w:t>
      </w:r>
      <w:r>
        <w:rPr>
          <w:rFonts w:ascii="Arial"/>
          <w:b/>
          <w:spacing w:val="-1"/>
          <w:sz w:val="18"/>
        </w:rPr>
        <w:t> </w:t>
      </w:r>
      <w:r>
        <w:rPr>
          <w:rFonts w:ascii="Arial"/>
          <w:b/>
          <w:sz w:val="18"/>
        </w:rPr>
        <w:t>of</w:t>
      </w:r>
      <w:r>
        <w:rPr>
          <w:rFonts w:ascii="Arial"/>
          <w:b/>
          <w:spacing w:val="-2"/>
          <w:sz w:val="18"/>
        </w:rPr>
        <w:t> </w:t>
      </w:r>
      <w:r>
        <w:rPr>
          <w:rFonts w:ascii="Arial"/>
          <w:b/>
          <w:sz w:val="18"/>
        </w:rPr>
        <w:t>Derivatives</w:t>
      </w:r>
      <w:r>
        <w:rPr>
          <w:rFonts w:ascii="Arial"/>
          <w:b/>
          <w:spacing w:val="-2"/>
          <w:sz w:val="18"/>
        </w:rPr>
        <w:t> </w:t>
      </w:r>
      <w:r>
        <w:rPr>
          <w:rFonts w:ascii="Arial"/>
          <w:b/>
          <w:sz w:val="18"/>
        </w:rPr>
        <w:t>on</w:t>
      </w:r>
      <w:r>
        <w:rPr>
          <w:rFonts w:ascii="Arial"/>
          <w:b/>
          <w:spacing w:val="-1"/>
          <w:sz w:val="18"/>
        </w:rPr>
        <w:t> </w:t>
      </w:r>
      <w:r>
        <w:rPr>
          <w:rFonts w:ascii="Arial"/>
          <w:b/>
          <w:sz w:val="18"/>
        </w:rPr>
        <w:t>Interest</w:t>
      </w:r>
      <w:r>
        <w:rPr>
          <w:rFonts w:ascii="Arial"/>
          <w:b/>
          <w:spacing w:val="-2"/>
          <w:sz w:val="18"/>
        </w:rPr>
        <w:t> </w:t>
      </w:r>
      <w:r>
        <w:rPr>
          <w:rFonts w:ascii="Arial"/>
          <w:b/>
          <w:sz w:val="18"/>
        </w:rPr>
        <w:t>Rate</w:t>
      </w:r>
      <w:r>
        <w:rPr>
          <w:rFonts w:ascii="Arial"/>
          <w:b/>
          <w:spacing w:val="-1"/>
          <w:sz w:val="18"/>
        </w:rPr>
        <w:t> </w:t>
      </w:r>
      <w:r>
        <w:rPr>
          <w:rFonts w:ascii="Arial"/>
          <w:b/>
          <w:sz w:val="18"/>
        </w:rPr>
        <w:t>Structure</w:t>
      </w:r>
      <w:r>
        <w:rPr>
          <w:rFonts w:ascii="Arial"/>
          <w:b/>
          <w:spacing w:val="-2"/>
          <w:sz w:val="18"/>
        </w:rPr>
        <w:t> </w:t>
      </w:r>
      <w:r>
        <w:rPr>
          <w:rFonts w:ascii="Arial"/>
          <w:b/>
          <w:sz w:val="18"/>
        </w:rPr>
        <w:t>of</w:t>
      </w:r>
      <w:r>
        <w:rPr>
          <w:rFonts w:ascii="Arial"/>
          <w:b/>
          <w:spacing w:val="-2"/>
          <w:sz w:val="18"/>
        </w:rPr>
        <w:t> </w:t>
      </w:r>
      <w:r>
        <w:rPr>
          <w:rFonts w:ascii="Arial"/>
          <w:b/>
          <w:sz w:val="18"/>
        </w:rPr>
        <w:t>the</w:t>
      </w:r>
      <w:r>
        <w:rPr>
          <w:rFonts w:ascii="Arial"/>
          <w:b/>
          <w:spacing w:val="-1"/>
          <w:sz w:val="18"/>
        </w:rPr>
        <w:t> </w:t>
      </w:r>
      <w:r>
        <w:rPr>
          <w:rFonts w:ascii="Arial"/>
          <w:b/>
          <w:sz w:val="18"/>
        </w:rPr>
        <w:t>Loan</w:t>
      </w:r>
      <w:r>
        <w:rPr>
          <w:rFonts w:ascii="Arial"/>
          <w:b/>
          <w:spacing w:val="-2"/>
          <w:sz w:val="18"/>
        </w:rPr>
        <w:t> </w:t>
      </w:r>
      <w:r>
        <w:rPr>
          <w:rFonts w:ascii="Arial"/>
          <w:b/>
          <w:sz w:val="18"/>
        </w:rPr>
        <w:t>Portfolio</w:t>
      </w:r>
      <w:r>
        <w:rPr>
          <w:rFonts w:ascii="Arial"/>
          <w:b/>
          <w:spacing w:val="-2"/>
          <w:sz w:val="18"/>
        </w:rPr>
        <w:t> </w:t>
      </w:r>
      <w:r>
        <w:rPr>
          <w:rFonts w:ascii="Arial"/>
          <w:b/>
          <w:sz w:val="18"/>
        </w:rPr>
        <w:t>-</w:t>
      </w:r>
      <w:r>
        <w:rPr>
          <w:rFonts w:ascii="Arial"/>
          <w:b/>
          <w:spacing w:val="-1"/>
          <w:sz w:val="18"/>
        </w:rPr>
        <w:t> </w:t>
      </w:r>
      <w:r>
        <w:rPr>
          <w:rFonts w:ascii="Arial"/>
          <w:b/>
          <w:sz w:val="18"/>
        </w:rPr>
        <w:t>June</w:t>
      </w:r>
      <w:r>
        <w:rPr>
          <w:rFonts w:ascii="Arial"/>
          <w:b/>
          <w:spacing w:val="-2"/>
          <w:sz w:val="18"/>
        </w:rPr>
        <w:t> </w:t>
      </w:r>
      <w:r>
        <w:rPr>
          <w:rFonts w:ascii="Arial"/>
          <w:b/>
          <w:sz w:val="18"/>
        </w:rPr>
        <w:t>30,</w:t>
      </w:r>
      <w:r>
        <w:rPr>
          <w:rFonts w:ascii="Arial"/>
          <w:b/>
          <w:spacing w:val="-1"/>
          <w:sz w:val="18"/>
        </w:rPr>
        <w:t> </w:t>
      </w:r>
      <w:r>
        <w:rPr>
          <w:rFonts w:ascii="Arial"/>
          <w:b/>
          <w:spacing w:val="-4"/>
          <w:sz w:val="18"/>
        </w:rPr>
        <w:t>2023</w:t>
      </w:r>
    </w:p>
    <w:p>
      <w:pPr>
        <w:pStyle w:val="BodyText"/>
        <w:spacing w:before="73"/>
        <w:rPr>
          <w:rFonts w:ascii="Arial"/>
          <w:b/>
        </w:rPr>
      </w:pPr>
      <w:r>
        <w:rPr>
          <w:rFonts w:ascii="Arial"/>
          <w:b/>
        </w:rPr>
        <mc:AlternateContent>
          <mc:Choice Requires="wps">
            <w:drawing>
              <wp:anchor distT="0" distB="0" distL="0" distR="0" allowOverlap="1" layoutInCell="1" locked="0" behindDoc="1" simplePos="0" relativeHeight="487661056">
                <wp:simplePos x="0" y="0"/>
                <wp:positionH relativeFrom="page">
                  <wp:posOffset>914400</wp:posOffset>
                </wp:positionH>
                <wp:positionV relativeFrom="paragraph">
                  <wp:posOffset>207667</wp:posOffset>
                </wp:positionV>
                <wp:extent cx="2905125" cy="1905000"/>
                <wp:effectExtent l="0" t="0" r="0" b="0"/>
                <wp:wrapTopAndBottom/>
                <wp:docPr id="509" name="Group 509"/>
                <wp:cNvGraphicFramePr>
                  <a:graphicFrameLocks/>
                </wp:cNvGraphicFramePr>
                <a:graphic>
                  <a:graphicData uri="http://schemas.microsoft.com/office/word/2010/wordprocessingGroup">
                    <wpg:wgp>
                      <wpg:cNvPr id="509" name="Group 509"/>
                      <wpg:cNvGrpSpPr/>
                      <wpg:grpSpPr>
                        <a:xfrm>
                          <a:off x="0" y="0"/>
                          <a:ext cx="2905125" cy="1905000"/>
                          <a:chExt cx="2905125" cy="1905000"/>
                        </a:xfrm>
                      </wpg:grpSpPr>
                      <wps:wsp>
                        <wps:cNvPr id="510" name="Graphic 510"/>
                        <wps:cNvSpPr/>
                        <wps:spPr>
                          <a:xfrm>
                            <a:off x="864379" y="492701"/>
                            <a:ext cx="1186180" cy="1186180"/>
                          </a:xfrm>
                          <a:custGeom>
                            <a:avLst/>
                            <a:gdLst/>
                            <a:ahLst/>
                            <a:cxnLst/>
                            <a:rect l="l" t="t" r="r" b="b"/>
                            <a:pathLst>
                              <a:path w="1186180" h="1186180">
                                <a:moveTo>
                                  <a:pt x="587969" y="0"/>
                                </a:moveTo>
                                <a:lnTo>
                                  <a:pt x="539404" y="2383"/>
                                </a:lnTo>
                                <a:lnTo>
                                  <a:pt x="491816" y="8618"/>
                                </a:lnTo>
                                <a:lnTo>
                                  <a:pt x="445380" y="18563"/>
                                </a:lnTo>
                                <a:lnTo>
                                  <a:pt x="400268" y="32077"/>
                                </a:lnTo>
                                <a:lnTo>
                                  <a:pt x="356653" y="49019"/>
                                </a:lnTo>
                                <a:lnTo>
                                  <a:pt x="314708" y="69248"/>
                                </a:lnTo>
                                <a:lnTo>
                                  <a:pt x="274606" y="92623"/>
                                </a:lnTo>
                                <a:lnTo>
                                  <a:pt x="236521" y="119003"/>
                                </a:lnTo>
                                <a:lnTo>
                                  <a:pt x="200625" y="148248"/>
                                </a:lnTo>
                                <a:lnTo>
                                  <a:pt x="167091" y="180215"/>
                                </a:lnTo>
                                <a:lnTo>
                                  <a:pt x="136093" y="214765"/>
                                </a:lnTo>
                                <a:lnTo>
                                  <a:pt x="107804" y="251755"/>
                                </a:lnTo>
                                <a:lnTo>
                                  <a:pt x="82396" y="291046"/>
                                </a:lnTo>
                                <a:lnTo>
                                  <a:pt x="60043" y="332496"/>
                                </a:lnTo>
                                <a:lnTo>
                                  <a:pt x="40918" y="375964"/>
                                </a:lnTo>
                                <a:lnTo>
                                  <a:pt x="25194" y="421308"/>
                                </a:lnTo>
                                <a:lnTo>
                                  <a:pt x="13044" y="468389"/>
                                </a:lnTo>
                                <a:lnTo>
                                  <a:pt x="4757" y="516302"/>
                                </a:lnTo>
                                <a:lnTo>
                                  <a:pt x="442" y="564102"/>
                                </a:lnTo>
                                <a:lnTo>
                                  <a:pt x="0" y="611589"/>
                                </a:lnTo>
                                <a:lnTo>
                                  <a:pt x="3329" y="658564"/>
                                </a:lnTo>
                                <a:lnTo>
                                  <a:pt x="10331" y="704827"/>
                                </a:lnTo>
                                <a:lnTo>
                                  <a:pt x="20905" y="750179"/>
                                </a:lnTo>
                                <a:lnTo>
                                  <a:pt x="34952" y="794419"/>
                                </a:lnTo>
                                <a:lnTo>
                                  <a:pt x="52373" y="837349"/>
                                </a:lnTo>
                                <a:lnTo>
                                  <a:pt x="73066" y="878768"/>
                                </a:lnTo>
                                <a:lnTo>
                                  <a:pt x="96934" y="918477"/>
                                </a:lnTo>
                                <a:lnTo>
                                  <a:pt x="123875" y="956275"/>
                                </a:lnTo>
                                <a:lnTo>
                                  <a:pt x="153790" y="991964"/>
                                </a:lnTo>
                                <a:lnTo>
                                  <a:pt x="186579" y="1025343"/>
                                </a:lnTo>
                                <a:lnTo>
                                  <a:pt x="222142" y="1056214"/>
                                </a:lnTo>
                                <a:lnTo>
                                  <a:pt x="260380" y="1084375"/>
                                </a:lnTo>
                                <a:lnTo>
                                  <a:pt x="301194" y="1109628"/>
                                </a:lnTo>
                                <a:lnTo>
                                  <a:pt x="344482" y="1131773"/>
                                </a:lnTo>
                                <a:lnTo>
                                  <a:pt x="389425" y="1150329"/>
                                </a:lnTo>
                                <a:lnTo>
                                  <a:pt x="435127" y="1164984"/>
                                </a:lnTo>
                                <a:lnTo>
                                  <a:pt x="481370" y="1175793"/>
                                </a:lnTo>
                                <a:lnTo>
                                  <a:pt x="527937" y="1182809"/>
                                </a:lnTo>
                                <a:lnTo>
                                  <a:pt x="574612" y="1186086"/>
                                </a:lnTo>
                                <a:lnTo>
                                  <a:pt x="621179" y="1185677"/>
                                </a:lnTo>
                                <a:lnTo>
                                  <a:pt x="667420" y="1181637"/>
                                </a:lnTo>
                                <a:lnTo>
                                  <a:pt x="713118" y="1174018"/>
                                </a:lnTo>
                                <a:lnTo>
                                  <a:pt x="758058" y="1162876"/>
                                </a:lnTo>
                                <a:lnTo>
                                  <a:pt x="802023" y="1148262"/>
                                </a:lnTo>
                                <a:lnTo>
                                  <a:pt x="844795" y="1130232"/>
                                </a:lnTo>
                                <a:lnTo>
                                  <a:pt x="886158" y="1108839"/>
                                </a:lnTo>
                                <a:lnTo>
                                  <a:pt x="925896" y="1084136"/>
                                </a:lnTo>
                                <a:lnTo>
                                  <a:pt x="963791" y="1056178"/>
                                </a:lnTo>
                                <a:lnTo>
                                  <a:pt x="999628" y="1025018"/>
                                </a:lnTo>
                                <a:lnTo>
                                  <a:pt x="1033189" y="990709"/>
                                </a:lnTo>
                                <a:lnTo>
                                  <a:pt x="1064258" y="953306"/>
                                </a:lnTo>
                                <a:lnTo>
                                  <a:pt x="1092187" y="913503"/>
                                </a:lnTo>
                                <a:lnTo>
                                  <a:pt x="1116475" y="872108"/>
                                </a:lnTo>
                                <a:lnTo>
                                  <a:pt x="1137127" y="829345"/>
                                </a:lnTo>
                                <a:lnTo>
                                  <a:pt x="1154150" y="785436"/>
                                </a:lnTo>
                                <a:lnTo>
                                  <a:pt x="1167547" y="740605"/>
                                </a:lnTo>
                                <a:lnTo>
                                  <a:pt x="1177323" y="695074"/>
                                </a:lnTo>
                                <a:lnTo>
                                  <a:pt x="1183485" y="649068"/>
                                </a:lnTo>
                                <a:lnTo>
                                  <a:pt x="1186037" y="602809"/>
                                </a:lnTo>
                                <a:lnTo>
                                  <a:pt x="1184984" y="556520"/>
                                </a:lnTo>
                                <a:lnTo>
                                  <a:pt x="1180331" y="510425"/>
                                </a:lnTo>
                                <a:lnTo>
                                  <a:pt x="1172083" y="464747"/>
                                </a:lnTo>
                                <a:lnTo>
                                  <a:pt x="1160245" y="419708"/>
                                </a:lnTo>
                                <a:lnTo>
                                  <a:pt x="1144823" y="375533"/>
                                </a:lnTo>
                                <a:lnTo>
                                  <a:pt x="1125821" y="332444"/>
                                </a:lnTo>
                                <a:lnTo>
                                  <a:pt x="1103244" y="290664"/>
                                </a:lnTo>
                                <a:lnTo>
                                  <a:pt x="1077099" y="250417"/>
                                </a:lnTo>
                                <a:lnTo>
                                  <a:pt x="1047389" y="211926"/>
                                </a:lnTo>
                                <a:lnTo>
                                  <a:pt x="820167" y="402537"/>
                                </a:lnTo>
                                <a:lnTo>
                                  <a:pt x="849603" y="444478"/>
                                </a:lnTo>
                                <a:lnTo>
                                  <a:pt x="870979" y="489816"/>
                                </a:lnTo>
                                <a:lnTo>
                                  <a:pt x="884270" y="537481"/>
                                </a:lnTo>
                                <a:lnTo>
                                  <a:pt x="889452" y="586401"/>
                                </a:lnTo>
                                <a:lnTo>
                                  <a:pt x="886501" y="635507"/>
                                </a:lnTo>
                                <a:lnTo>
                                  <a:pt x="875392" y="683727"/>
                                </a:lnTo>
                                <a:lnTo>
                                  <a:pt x="856100" y="729990"/>
                                </a:lnTo>
                                <a:lnTo>
                                  <a:pt x="828602" y="773226"/>
                                </a:lnTo>
                                <a:lnTo>
                                  <a:pt x="794107" y="811116"/>
                                </a:lnTo>
                                <a:lnTo>
                                  <a:pt x="754535" y="841883"/>
                                </a:lnTo>
                                <a:lnTo>
                                  <a:pt x="710927" y="865269"/>
                                </a:lnTo>
                                <a:lnTo>
                                  <a:pt x="664321" y="881015"/>
                                </a:lnTo>
                                <a:lnTo>
                                  <a:pt x="615757" y="888866"/>
                                </a:lnTo>
                                <a:lnTo>
                                  <a:pt x="566275" y="888562"/>
                                </a:lnTo>
                                <a:lnTo>
                                  <a:pt x="516914" y="879846"/>
                                </a:lnTo>
                                <a:lnTo>
                                  <a:pt x="468713" y="862460"/>
                                </a:lnTo>
                                <a:lnTo>
                                  <a:pt x="424201" y="837079"/>
                                </a:lnTo>
                                <a:lnTo>
                                  <a:pt x="385531" y="805187"/>
                                </a:lnTo>
                                <a:lnTo>
                                  <a:pt x="353182" y="767742"/>
                                </a:lnTo>
                                <a:lnTo>
                                  <a:pt x="327631" y="725704"/>
                                </a:lnTo>
                                <a:lnTo>
                                  <a:pt x="309358" y="680029"/>
                                </a:lnTo>
                                <a:lnTo>
                                  <a:pt x="298842" y="631676"/>
                                </a:lnTo>
                                <a:lnTo>
                                  <a:pt x="296561" y="581604"/>
                                </a:lnTo>
                                <a:lnTo>
                                  <a:pt x="302995" y="530769"/>
                                </a:lnTo>
                                <a:lnTo>
                                  <a:pt x="318036" y="481786"/>
                                </a:lnTo>
                                <a:lnTo>
                                  <a:pt x="340707" y="437082"/>
                                </a:lnTo>
                                <a:lnTo>
                                  <a:pt x="370177" y="397331"/>
                                </a:lnTo>
                                <a:lnTo>
                                  <a:pt x="405616" y="363212"/>
                                </a:lnTo>
                                <a:lnTo>
                                  <a:pt x="446194" y="335400"/>
                                </a:lnTo>
                                <a:lnTo>
                                  <a:pt x="491081" y="314572"/>
                                </a:lnTo>
                                <a:lnTo>
                                  <a:pt x="539445" y="301404"/>
                                </a:lnTo>
                                <a:lnTo>
                                  <a:pt x="590457" y="296574"/>
                                </a:lnTo>
                                <a:lnTo>
                                  <a:pt x="587969" y="0"/>
                                </a:lnTo>
                                <a:close/>
                              </a:path>
                            </a:pathLst>
                          </a:custGeom>
                          <a:solidFill>
                            <a:srgbClr val="D9D9D9"/>
                          </a:solidFill>
                        </wps:spPr>
                        <wps:bodyPr wrap="square" lIns="0" tIns="0" rIns="0" bIns="0" rtlCol="0">
                          <a:prstTxWarp prst="textNoShape">
                            <a:avLst/>
                          </a:prstTxWarp>
                          <a:noAutofit/>
                        </wps:bodyPr>
                      </wps:wsp>
                      <wps:wsp>
                        <wps:cNvPr id="511" name="Graphic 511"/>
                        <wps:cNvSpPr/>
                        <wps:spPr>
                          <a:xfrm>
                            <a:off x="1452942" y="492696"/>
                            <a:ext cx="458470" cy="402590"/>
                          </a:xfrm>
                          <a:custGeom>
                            <a:avLst/>
                            <a:gdLst/>
                            <a:ahLst/>
                            <a:cxnLst/>
                            <a:rect l="l" t="t" r="r" b="b"/>
                            <a:pathLst>
                              <a:path w="458470" h="402590">
                                <a:moveTo>
                                  <a:pt x="0" y="0"/>
                                </a:moveTo>
                                <a:lnTo>
                                  <a:pt x="2190" y="296576"/>
                                </a:lnTo>
                                <a:lnTo>
                                  <a:pt x="54485" y="300828"/>
                                </a:lnTo>
                                <a:lnTo>
                                  <a:pt x="104648" y="314030"/>
                                </a:lnTo>
                                <a:lnTo>
                                  <a:pt x="151584" y="335676"/>
                                </a:lnTo>
                                <a:lnTo>
                                  <a:pt x="194193" y="365259"/>
                                </a:lnTo>
                                <a:lnTo>
                                  <a:pt x="231378" y="402273"/>
                                </a:lnTo>
                                <a:lnTo>
                                  <a:pt x="458374" y="211392"/>
                                </a:lnTo>
                                <a:lnTo>
                                  <a:pt x="426054" y="175965"/>
                                </a:lnTo>
                                <a:lnTo>
                                  <a:pt x="391246" y="143495"/>
                                </a:lnTo>
                                <a:lnTo>
                                  <a:pt x="354155" y="114076"/>
                                </a:lnTo>
                                <a:lnTo>
                                  <a:pt x="314988" y="87805"/>
                                </a:lnTo>
                                <a:lnTo>
                                  <a:pt x="273951" y="64775"/>
                                </a:lnTo>
                                <a:lnTo>
                                  <a:pt x="231249" y="45082"/>
                                </a:lnTo>
                                <a:lnTo>
                                  <a:pt x="187090" y="28821"/>
                                </a:lnTo>
                                <a:lnTo>
                                  <a:pt x="141680" y="16087"/>
                                </a:lnTo>
                                <a:lnTo>
                                  <a:pt x="95223" y="6976"/>
                                </a:lnTo>
                                <a:lnTo>
                                  <a:pt x="47928" y="1581"/>
                                </a:lnTo>
                                <a:lnTo>
                                  <a:pt x="0" y="0"/>
                                </a:lnTo>
                                <a:close/>
                              </a:path>
                            </a:pathLst>
                          </a:custGeom>
                          <a:solidFill>
                            <a:srgbClr val="585858"/>
                          </a:solidFill>
                        </wps:spPr>
                        <wps:bodyPr wrap="square" lIns="0" tIns="0" rIns="0" bIns="0" rtlCol="0">
                          <a:prstTxWarp prst="textNoShape">
                            <a:avLst/>
                          </a:prstTxWarp>
                          <a:noAutofit/>
                        </wps:bodyPr>
                      </wps:wsp>
                      <wps:wsp>
                        <wps:cNvPr id="512" name="Graphic 512"/>
                        <wps:cNvSpPr/>
                        <wps:spPr>
                          <a:xfrm>
                            <a:off x="1452942" y="492696"/>
                            <a:ext cx="458470" cy="402590"/>
                          </a:xfrm>
                          <a:custGeom>
                            <a:avLst/>
                            <a:gdLst/>
                            <a:ahLst/>
                            <a:cxnLst/>
                            <a:rect l="l" t="t" r="r" b="b"/>
                            <a:pathLst>
                              <a:path w="458470" h="402590">
                                <a:moveTo>
                                  <a:pt x="0" y="0"/>
                                </a:moveTo>
                                <a:lnTo>
                                  <a:pt x="47928" y="1581"/>
                                </a:lnTo>
                                <a:lnTo>
                                  <a:pt x="95223" y="6976"/>
                                </a:lnTo>
                                <a:lnTo>
                                  <a:pt x="141680" y="16087"/>
                                </a:lnTo>
                                <a:lnTo>
                                  <a:pt x="187090" y="28821"/>
                                </a:lnTo>
                                <a:lnTo>
                                  <a:pt x="231249" y="45082"/>
                                </a:lnTo>
                                <a:lnTo>
                                  <a:pt x="273951" y="64775"/>
                                </a:lnTo>
                                <a:lnTo>
                                  <a:pt x="314988" y="87805"/>
                                </a:lnTo>
                                <a:lnTo>
                                  <a:pt x="354155" y="114076"/>
                                </a:lnTo>
                                <a:lnTo>
                                  <a:pt x="391246" y="143495"/>
                                </a:lnTo>
                                <a:lnTo>
                                  <a:pt x="426054" y="175965"/>
                                </a:lnTo>
                                <a:lnTo>
                                  <a:pt x="458374" y="211392"/>
                                </a:lnTo>
                                <a:lnTo>
                                  <a:pt x="231378" y="402273"/>
                                </a:lnTo>
                                <a:lnTo>
                                  <a:pt x="194193" y="365259"/>
                                </a:lnTo>
                                <a:lnTo>
                                  <a:pt x="151584" y="335676"/>
                                </a:lnTo>
                                <a:lnTo>
                                  <a:pt x="104648" y="314030"/>
                                </a:lnTo>
                                <a:lnTo>
                                  <a:pt x="54485" y="300828"/>
                                </a:lnTo>
                                <a:lnTo>
                                  <a:pt x="2190" y="296576"/>
                                </a:lnTo>
                                <a:lnTo>
                                  <a:pt x="0" y="0"/>
                                </a:lnTo>
                                <a:close/>
                              </a:path>
                            </a:pathLst>
                          </a:custGeom>
                          <a:ln w="9525">
                            <a:solidFill>
                              <a:srgbClr val="FFFFFF"/>
                            </a:solidFill>
                            <a:prstDash val="solid"/>
                          </a:ln>
                        </wps:spPr>
                        <wps:bodyPr wrap="square" lIns="0" tIns="0" rIns="0" bIns="0" rtlCol="0">
                          <a:prstTxWarp prst="textNoShape">
                            <a:avLst/>
                          </a:prstTxWarp>
                          <a:noAutofit/>
                        </wps:bodyPr>
                      </wps:wsp>
                      <wps:wsp>
                        <wps:cNvPr id="513" name="Textbox 513"/>
                        <wps:cNvSpPr txBox="1"/>
                        <wps:spPr>
                          <a:xfrm>
                            <a:off x="9525" y="9525"/>
                            <a:ext cx="2886075" cy="1885950"/>
                          </a:xfrm>
                          <a:prstGeom prst="rect">
                            <a:avLst/>
                          </a:prstGeom>
                          <a:ln w="19050">
                            <a:solidFill>
                              <a:srgbClr val="000000"/>
                            </a:solidFill>
                            <a:prstDash val="solid"/>
                          </a:ln>
                        </wps:spPr>
                        <wps:txbx>
                          <w:txbxContent>
                            <w:p>
                              <w:pPr>
                                <w:spacing w:before="11"/>
                                <w:ind w:left="1162" w:right="0" w:firstLine="0"/>
                                <w:jc w:val="left"/>
                                <w:rPr>
                                  <w:rFonts w:ascii="Arial"/>
                                  <w:b/>
                                  <w:sz w:val="16"/>
                                </w:rPr>
                              </w:pPr>
                              <w:r>
                                <w:rPr>
                                  <w:rFonts w:ascii="Arial"/>
                                  <w:b/>
                                  <w:sz w:val="16"/>
                                </w:rPr>
                                <w:t>Loans</w:t>
                              </w:r>
                              <w:r>
                                <w:rPr>
                                  <w:rFonts w:ascii="Arial"/>
                                  <w:b/>
                                  <w:spacing w:val="-2"/>
                                  <w:sz w:val="16"/>
                                </w:rPr>
                                <w:t> </w:t>
                              </w:r>
                              <w:r>
                                <w:rPr>
                                  <w:rFonts w:ascii="Arial"/>
                                  <w:b/>
                                  <w:sz w:val="16"/>
                                </w:rPr>
                                <w:t>Excluding</w:t>
                              </w:r>
                              <w:r>
                                <w:rPr>
                                  <w:rFonts w:ascii="Arial"/>
                                  <w:b/>
                                  <w:spacing w:val="-1"/>
                                  <w:sz w:val="16"/>
                                </w:rPr>
                                <w:t> </w:t>
                              </w:r>
                              <w:r>
                                <w:rPr>
                                  <w:rFonts w:ascii="Arial"/>
                                  <w:b/>
                                  <w:spacing w:val="-2"/>
                                  <w:sz w:val="16"/>
                                </w:rPr>
                                <w:t>Derivatives</w:t>
                              </w:r>
                            </w:p>
                            <w:p>
                              <w:pPr>
                                <w:spacing w:line="240" w:lineRule="auto" w:before="155"/>
                                <w:rPr>
                                  <w:rFonts w:ascii="Arial"/>
                                  <w:b/>
                                  <w:sz w:val="16"/>
                                </w:rPr>
                              </w:pPr>
                            </w:p>
                            <w:p>
                              <w:pPr>
                                <w:spacing w:line="249" w:lineRule="auto" w:before="0"/>
                                <w:ind w:left="2757" w:right="1405" w:firstLine="0"/>
                                <w:jc w:val="left"/>
                                <w:rPr>
                                  <w:rFonts w:ascii="Arial MT"/>
                                  <w:sz w:val="14"/>
                                </w:rPr>
                              </w:pPr>
                              <w:r>
                                <w:rPr>
                                  <w:rFonts w:ascii="Arial MT"/>
                                  <w:spacing w:val="-2"/>
                                  <w:sz w:val="14"/>
                                </w:rPr>
                                <w:t>Fixed</w:t>
                              </w:r>
                              <w:r>
                                <w:rPr>
                                  <w:rFonts w:ascii="Arial MT"/>
                                  <w:spacing w:val="40"/>
                                  <w:sz w:val="14"/>
                                </w:rPr>
                                <w:t> </w:t>
                              </w:r>
                              <w:r>
                                <w:rPr>
                                  <w:rFonts w:ascii="Arial MT"/>
                                  <w:spacing w:val="-4"/>
                                  <w:sz w:val="14"/>
                                </w:rPr>
                                <w:t>14%</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63"/>
                                <w:rPr>
                                  <w:rFonts w:ascii="Arial MT"/>
                                  <w:sz w:val="14"/>
                                </w:rPr>
                              </w:pPr>
                            </w:p>
                            <w:p>
                              <w:pPr>
                                <w:spacing w:line="249" w:lineRule="auto" w:before="0"/>
                                <w:ind w:left="896" w:right="3101"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86%</w:t>
                              </w:r>
                            </w:p>
                          </w:txbxContent>
                        </wps:txbx>
                        <wps:bodyPr wrap="square" lIns="0" tIns="0" rIns="0" bIns="0" rtlCol="0">
                          <a:noAutofit/>
                        </wps:bodyPr>
                      </wps:wsp>
                    </wpg:wgp>
                  </a:graphicData>
                </a:graphic>
              </wp:anchor>
            </w:drawing>
          </mc:Choice>
          <mc:Fallback>
            <w:pict>
              <v:group style="position:absolute;margin-left:72pt;margin-top:16.351738pt;width:228.75pt;height:150pt;mso-position-horizontal-relative:page;mso-position-vertical-relative:paragraph;z-index:-15655424;mso-wrap-distance-left:0;mso-wrap-distance-right:0" id="docshapegroup429" coordorigin="1440,327" coordsize="4575,3000">
                <v:shape style="position:absolute;left:2801;top:1102;width:1868;height:1868" id="docshape430" coordorigin="2801,1103" coordsize="1868,1868" path="m3727,1103l3651,1107,3576,1117,3503,1132,3432,1153,3363,1180,3297,1212,3234,1249,3174,1290,3117,1336,3064,1387,3016,1441,2971,1499,2931,1561,2896,1627,2866,1695,2841,1766,2822,1841,2809,1916,2802,1991,2801,2066,2806,2140,2817,2213,2834,2284,2856,2354,2884,2422,2916,2487,2954,2549,2996,2609,3043,2665,3095,2718,3151,2766,3211,2811,3276,2850,3344,2885,3414,2914,3486,2938,3559,2955,3633,2966,3706,2971,3779,2970,3852,2964,3924,2952,3995,2934,4064,2911,4132,2883,4197,2849,4259,2810,4319,2766,4375,2717,4428,2663,4477,2604,4521,2542,4559,2476,4592,2409,4619,2340,4640,2269,4655,2198,4665,2125,4669,2052,4667,1979,4660,1907,4647,1835,4628,1764,4604,1694,4574,1626,4539,1561,4497,1497,4451,1437,4093,1737,4139,1803,4173,1874,4194,1949,4202,2026,4197,2104,4180,2180,4149,2253,4106,2321,4052,2380,3989,2429,3921,2466,3847,2490,3771,2503,3693,2502,3615,2489,3539,2461,3469,2421,3408,2371,3357,2312,3317,2246,3288,2174,3272,2098,3268,2019,3278,1939,3302,1862,3338,1791,3384,1729,3440,1675,3504,1631,3575,1598,3651,1578,3731,1570,3727,1103xe" filled="true" fillcolor="#d9d9d9" stroked="false">
                  <v:path arrowok="t"/>
                  <v:fill type="solid"/>
                </v:shape>
                <v:shape style="position:absolute;left:3728;top:1102;width:722;height:634" id="docshape431" coordorigin="3728,1103" coordsize="722,634" path="m3728,1103l3732,1570,3814,1577,3893,1597,3967,1632,4034,1678,4092,1736,4450,1436,4399,1380,4344,1329,4286,1283,4224,1241,4160,1205,4092,1174,4023,1148,3951,1128,3878,1114,3804,1105,3728,1103xe" filled="true" fillcolor="#585858" stroked="false">
                  <v:path arrowok="t"/>
                  <v:fill type="solid"/>
                </v:shape>
                <v:shape style="position:absolute;left:3728;top:1102;width:722;height:634" id="docshape432" coordorigin="3728,1103" coordsize="722,634" path="m3728,1103l3804,1105,3878,1114,3951,1128,4023,1148,4092,1174,4160,1205,4224,1241,4286,1283,4344,1329,4399,1380,4450,1436,4092,1736,4034,1678,3967,1632,3893,1597,3814,1577,3732,1570,3728,1103xe" filled="false" stroked="true" strokeweight=".75pt" strokecolor="#ffffff">
                  <v:path arrowok="t"/>
                  <v:stroke dashstyle="solid"/>
                </v:shape>
                <v:shape style="position:absolute;left:1455;top:342;width:4545;height:2970" type="#_x0000_t202" id="docshape433" filled="false" stroked="true" strokeweight="1.5pt" strokecolor="#000000">
                  <v:textbox inset="0,0,0,0">
                    <w:txbxContent>
                      <w:p>
                        <w:pPr>
                          <w:spacing w:before="11"/>
                          <w:ind w:left="1162" w:right="0" w:firstLine="0"/>
                          <w:jc w:val="left"/>
                          <w:rPr>
                            <w:rFonts w:ascii="Arial"/>
                            <w:b/>
                            <w:sz w:val="16"/>
                          </w:rPr>
                        </w:pPr>
                        <w:r>
                          <w:rPr>
                            <w:rFonts w:ascii="Arial"/>
                            <w:b/>
                            <w:sz w:val="16"/>
                          </w:rPr>
                          <w:t>Loans</w:t>
                        </w:r>
                        <w:r>
                          <w:rPr>
                            <w:rFonts w:ascii="Arial"/>
                            <w:b/>
                            <w:spacing w:val="-2"/>
                            <w:sz w:val="16"/>
                          </w:rPr>
                          <w:t> </w:t>
                        </w:r>
                        <w:r>
                          <w:rPr>
                            <w:rFonts w:ascii="Arial"/>
                            <w:b/>
                            <w:sz w:val="16"/>
                          </w:rPr>
                          <w:t>Excluding</w:t>
                        </w:r>
                        <w:r>
                          <w:rPr>
                            <w:rFonts w:ascii="Arial"/>
                            <w:b/>
                            <w:spacing w:val="-1"/>
                            <w:sz w:val="16"/>
                          </w:rPr>
                          <w:t> </w:t>
                        </w:r>
                        <w:r>
                          <w:rPr>
                            <w:rFonts w:ascii="Arial"/>
                            <w:b/>
                            <w:spacing w:val="-2"/>
                            <w:sz w:val="16"/>
                          </w:rPr>
                          <w:t>Derivatives</w:t>
                        </w:r>
                      </w:p>
                      <w:p>
                        <w:pPr>
                          <w:spacing w:line="240" w:lineRule="auto" w:before="155"/>
                          <w:rPr>
                            <w:rFonts w:ascii="Arial"/>
                            <w:b/>
                            <w:sz w:val="16"/>
                          </w:rPr>
                        </w:pPr>
                      </w:p>
                      <w:p>
                        <w:pPr>
                          <w:spacing w:line="249" w:lineRule="auto" w:before="0"/>
                          <w:ind w:left="2757" w:right="1405" w:firstLine="0"/>
                          <w:jc w:val="left"/>
                          <w:rPr>
                            <w:rFonts w:ascii="Arial MT"/>
                            <w:sz w:val="14"/>
                          </w:rPr>
                        </w:pPr>
                        <w:r>
                          <w:rPr>
                            <w:rFonts w:ascii="Arial MT"/>
                            <w:spacing w:val="-2"/>
                            <w:sz w:val="14"/>
                          </w:rPr>
                          <w:t>Fixed</w:t>
                        </w:r>
                        <w:r>
                          <w:rPr>
                            <w:rFonts w:ascii="Arial MT"/>
                            <w:spacing w:val="40"/>
                            <w:sz w:val="14"/>
                          </w:rPr>
                          <w:t> </w:t>
                        </w:r>
                        <w:r>
                          <w:rPr>
                            <w:rFonts w:ascii="Arial MT"/>
                            <w:spacing w:val="-4"/>
                            <w:sz w:val="14"/>
                          </w:rPr>
                          <w:t>14%</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63"/>
                          <w:rPr>
                            <w:rFonts w:ascii="Arial MT"/>
                            <w:sz w:val="14"/>
                          </w:rPr>
                        </w:pPr>
                      </w:p>
                      <w:p>
                        <w:pPr>
                          <w:spacing w:line="249" w:lineRule="auto" w:before="0"/>
                          <w:ind w:left="896" w:right="3101"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86%</w:t>
                        </w:r>
                      </w:p>
                    </w:txbxContent>
                  </v:textbox>
                  <v:stroke dashstyle="solid"/>
                  <w10:wrap type="none"/>
                </v:shape>
                <w10:wrap type="topAndBottom"/>
              </v:group>
            </w:pict>
          </mc:Fallback>
        </mc:AlternateContent>
      </w:r>
      <w:r>
        <w:rPr>
          <w:rFonts w:ascii="Arial"/>
          <w:b/>
        </w:rPr>
        <mc:AlternateContent>
          <mc:Choice Requires="wps">
            <w:drawing>
              <wp:anchor distT="0" distB="0" distL="0" distR="0" allowOverlap="1" layoutInCell="1" locked="0" behindDoc="1" simplePos="0" relativeHeight="487661568">
                <wp:simplePos x="0" y="0"/>
                <wp:positionH relativeFrom="page">
                  <wp:posOffset>3883025</wp:posOffset>
                </wp:positionH>
                <wp:positionV relativeFrom="paragraph">
                  <wp:posOffset>207667</wp:posOffset>
                </wp:positionV>
                <wp:extent cx="2905125" cy="1905000"/>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2905125" cy="1905000"/>
                          <a:chExt cx="2905125" cy="1905000"/>
                        </a:xfrm>
                      </wpg:grpSpPr>
                      <wps:wsp>
                        <wps:cNvPr id="515" name="Graphic 515"/>
                        <wps:cNvSpPr/>
                        <wps:spPr>
                          <a:xfrm>
                            <a:off x="864158" y="492681"/>
                            <a:ext cx="1186815" cy="1186815"/>
                          </a:xfrm>
                          <a:custGeom>
                            <a:avLst/>
                            <a:gdLst/>
                            <a:ahLst/>
                            <a:cxnLst/>
                            <a:rect l="l" t="t" r="r" b="b"/>
                            <a:pathLst>
                              <a:path w="1186815" h="1186815">
                                <a:moveTo>
                                  <a:pt x="593077" y="0"/>
                                </a:moveTo>
                                <a:lnTo>
                                  <a:pt x="592341" y="0"/>
                                </a:lnTo>
                                <a:lnTo>
                                  <a:pt x="543705" y="2033"/>
                                </a:lnTo>
                                <a:lnTo>
                                  <a:pt x="496157" y="7894"/>
                                </a:lnTo>
                                <a:lnTo>
                                  <a:pt x="449848" y="17430"/>
                                </a:lnTo>
                                <a:lnTo>
                                  <a:pt x="404932" y="30489"/>
                                </a:lnTo>
                                <a:lnTo>
                                  <a:pt x="361561" y="46917"/>
                                </a:lnTo>
                                <a:lnTo>
                                  <a:pt x="319887" y="66562"/>
                                </a:lnTo>
                                <a:lnTo>
                                  <a:pt x="280063" y="89272"/>
                                </a:lnTo>
                                <a:lnTo>
                                  <a:pt x="242241" y="114892"/>
                                </a:lnTo>
                                <a:lnTo>
                                  <a:pt x="206573" y="143272"/>
                                </a:lnTo>
                                <a:lnTo>
                                  <a:pt x="173212" y="174257"/>
                                </a:lnTo>
                                <a:lnTo>
                                  <a:pt x="142310" y="207695"/>
                                </a:lnTo>
                                <a:lnTo>
                                  <a:pt x="114020" y="243433"/>
                                </a:lnTo>
                                <a:lnTo>
                                  <a:pt x="88494" y="281319"/>
                                </a:lnTo>
                                <a:lnTo>
                                  <a:pt x="65884" y="321200"/>
                                </a:lnTo>
                                <a:lnTo>
                                  <a:pt x="46343" y="362923"/>
                                </a:lnTo>
                                <a:lnTo>
                                  <a:pt x="30022" y="406335"/>
                                </a:lnTo>
                                <a:lnTo>
                                  <a:pt x="17075" y="451283"/>
                                </a:lnTo>
                                <a:lnTo>
                                  <a:pt x="7654" y="497615"/>
                                </a:lnTo>
                                <a:lnTo>
                                  <a:pt x="2026" y="544230"/>
                                </a:lnTo>
                                <a:lnTo>
                                  <a:pt x="37" y="592869"/>
                                </a:lnTo>
                                <a:lnTo>
                                  <a:pt x="0" y="593820"/>
                                </a:lnTo>
                                <a:lnTo>
                                  <a:pt x="1963" y="641111"/>
                                </a:lnTo>
                                <a:lnTo>
                                  <a:pt x="2018" y="642457"/>
                                </a:lnTo>
                                <a:lnTo>
                                  <a:pt x="7750" y="689068"/>
                                </a:lnTo>
                                <a:lnTo>
                                  <a:pt x="7866" y="690007"/>
                                </a:lnTo>
                                <a:lnTo>
                                  <a:pt x="17388" y="736318"/>
                                </a:lnTo>
                                <a:lnTo>
                                  <a:pt x="30434" y="781238"/>
                                </a:lnTo>
                                <a:lnTo>
                                  <a:pt x="46849" y="824614"/>
                                </a:lnTo>
                                <a:lnTo>
                                  <a:pt x="66482" y="866294"/>
                                </a:lnTo>
                                <a:lnTo>
                                  <a:pt x="89180" y="906124"/>
                                </a:lnTo>
                                <a:lnTo>
                                  <a:pt x="114789" y="943954"/>
                                </a:lnTo>
                                <a:lnTo>
                                  <a:pt x="143158" y="979630"/>
                                </a:lnTo>
                                <a:lnTo>
                                  <a:pt x="174133" y="1013000"/>
                                </a:lnTo>
                                <a:lnTo>
                                  <a:pt x="207562" y="1043912"/>
                                </a:lnTo>
                                <a:lnTo>
                                  <a:pt x="243292" y="1072213"/>
                                </a:lnTo>
                                <a:lnTo>
                                  <a:pt x="281170" y="1097750"/>
                                </a:lnTo>
                                <a:lnTo>
                                  <a:pt x="321044" y="1120372"/>
                                </a:lnTo>
                                <a:lnTo>
                                  <a:pt x="362761" y="1139926"/>
                                </a:lnTo>
                                <a:lnTo>
                                  <a:pt x="406168" y="1156259"/>
                                </a:lnTo>
                                <a:lnTo>
                                  <a:pt x="451112" y="1169219"/>
                                </a:lnTo>
                                <a:lnTo>
                                  <a:pt x="497441" y="1178654"/>
                                </a:lnTo>
                                <a:lnTo>
                                  <a:pt x="545003" y="1184410"/>
                                </a:lnTo>
                                <a:lnTo>
                                  <a:pt x="593643" y="1186337"/>
                                </a:lnTo>
                                <a:lnTo>
                                  <a:pt x="640391" y="1184410"/>
                                </a:lnTo>
                                <a:lnTo>
                                  <a:pt x="641646" y="1184410"/>
                                </a:lnTo>
                                <a:lnTo>
                                  <a:pt x="689833" y="1178500"/>
                                </a:lnTo>
                                <a:lnTo>
                                  <a:pt x="736147" y="1168991"/>
                                </a:lnTo>
                                <a:lnTo>
                                  <a:pt x="781071" y="1155959"/>
                                </a:lnTo>
                                <a:lnTo>
                                  <a:pt x="824452" y="1139556"/>
                                </a:lnTo>
                                <a:lnTo>
                                  <a:pt x="866137" y="1119936"/>
                                </a:lnTo>
                                <a:lnTo>
                                  <a:pt x="905975" y="1097250"/>
                                </a:lnTo>
                                <a:lnTo>
                                  <a:pt x="943813" y="1071652"/>
                                </a:lnTo>
                                <a:lnTo>
                                  <a:pt x="979497" y="1043294"/>
                                </a:lnTo>
                                <a:lnTo>
                                  <a:pt x="1012877" y="1012329"/>
                                </a:lnTo>
                                <a:lnTo>
                                  <a:pt x="1043798" y="978909"/>
                                </a:lnTo>
                                <a:lnTo>
                                  <a:pt x="1072110" y="943187"/>
                                </a:lnTo>
                                <a:lnTo>
                                  <a:pt x="1097659" y="905316"/>
                                </a:lnTo>
                                <a:lnTo>
                                  <a:pt x="1106495" y="889753"/>
                                </a:lnTo>
                                <a:lnTo>
                                  <a:pt x="593420" y="889753"/>
                                </a:lnTo>
                                <a:lnTo>
                                  <a:pt x="545319" y="885912"/>
                                </a:lnTo>
                                <a:lnTo>
                                  <a:pt x="499682" y="874716"/>
                                </a:lnTo>
                                <a:lnTo>
                                  <a:pt x="457119" y="856774"/>
                                </a:lnTo>
                                <a:lnTo>
                                  <a:pt x="418243" y="832695"/>
                                </a:lnTo>
                                <a:lnTo>
                                  <a:pt x="383663" y="803090"/>
                                </a:lnTo>
                                <a:lnTo>
                                  <a:pt x="353990" y="768567"/>
                                </a:lnTo>
                                <a:lnTo>
                                  <a:pt x="329835" y="729737"/>
                                </a:lnTo>
                                <a:lnTo>
                                  <a:pt x="311810" y="687210"/>
                                </a:lnTo>
                                <a:lnTo>
                                  <a:pt x="300525" y="641595"/>
                                </a:lnTo>
                                <a:lnTo>
                                  <a:pt x="296616" y="593820"/>
                                </a:lnTo>
                                <a:lnTo>
                                  <a:pt x="296641" y="592869"/>
                                </a:lnTo>
                                <a:lnTo>
                                  <a:pt x="300416" y="545399"/>
                                </a:lnTo>
                                <a:lnTo>
                                  <a:pt x="311599" y="499759"/>
                                </a:lnTo>
                                <a:lnTo>
                                  <a:pt x="329529" y="457191"/>
                                </a:lnTo>
                                <a:lnTo>
                                  <a:pt x="353596" y="418307"/>
                                </a:lnTo>
                                <a:lnTo>
                                  <a:pt x="383191" y="383718"/>
                                </a:lnTo>
                                <a:lnTo>
                                  <a:pt x="417705" y="354035"/>
                                </a:lnTo>
                                <a:lnTo>
                                  <a:pt x="456528" y="329869"/>
                                </a:lnTo>
                                <a:lnTo>
                                  <a:pt x="499050" y="311831"/>
                                </a:lnTo>
                                <a:lnTo>
                                  <a:pt x="544662" y="300532"/>
                                </a:lnTo>
                                <a:lnTo>
                                  <a:pt x="592754" y="296584"/>
                                </a:lnTo>
                                <a:lnTo>
                                  <a:pt x="1106490" y="296584"/>
                                </a:lnTo>
                                <a:lnTo>
                                  <a:pt x="1097343" y="280511"/>
                                </a:lnTo>
                                <a:lnTo>
                                  <a:pt x="1071756" y="242666"/>
                                </a:lnTo>
                                <a:lnTo>
                                  <a:pt x="1043409" y="206973"/>
                                </a:lnTo>
                                <a:lnTo>
                                  <a:pt x="1012453" y="173585"/>
                                </a:lnTo>
                                <a:lnTo>
                                  <a:pt x="979043" y="142653"/>
                                </a:lnTo>
                                <a:lnTo>
                                  <a:pt x="943329" y="114331"/>
                                </a:lnTo>
                                <a:lnTo>
                                  <a:pt x="905466" y="88771"/>
                                </a:lnTo>
                                <a:lnTo>
                                  <a:pt x="865606" y="66126"/>
                                </a:lnTo>
                                <a:lnTo>
                                  <a:pt x="823900" y="46547"/>
                                </a:lnTo>
                                <a:lnTo>
                                  <a:pt x="780503" y="30188"/>
                                </a:lnTo>
                                <a:lnTo>
                                  <a:pt x="735566" y="17201"/>
                                </a:lnTo>
                                <a:lnTo>
                                  <a:pt x="689242" y="7739"/>
                                </a:lnTo>
                                <a:lnTo>
                                  <a:pt x="642334" y="2033"/>
                                </a:lnTo>
                                <a:lnTo>
                                  <a:pt x="643649" y="2033"/>
                                </a:lnTo>
                                <a:lnTo>
                                  <a:pt x="593077" y="0"/>
                                </a:lnTo>
                                <a:close/>
                              </a:path>
                              <a:path w="1186815" h="1186815">
                                <a:moveTo>
                                  <a:pt x="1106490" y="296584"/>
                                </a:moveTo>
                                <a:lnTo>
                                  <a:pt x="593105" y="296584"/>
                                </a:lnTo>
                                <a:lnTo>
                                  <a:pt x="642196" y="300532"/>
                                </a:lnTo>
                                <a:lnTo>
                                  <a:pt x="641528" y="300532"/>
                                </a:lnTo>
                                <a:lnTo>
                                  <a:pt x="686834" y="311676"/>
                                </a:lnTo>
                                <a:lnTo>
                                  <a:pt x="729386" y="329643"/>
                                </a:lnTo>
                                <a:lnTo>
                                  <a:pt x="768249" y="353745"/>
                                </a:lnTo>
                                <a:lnTo>
                                  <a:pt x="802812" y="383371"/>
                                </a:lnTo>
                                <a:lnTo>
                                  <a:pt x="832464" y="417911"/>
                                </a:lnTo>
                                <a:lnTo>
                                  <a:pt x="856596" y="456755"/>
                                </a:lnTo>
                                <a:lnTo>
                                  <a:pt x="874596" y="499293"/>
                                </a:lnTo>
                                <a:lnTo>
                                  <a:pt x="885854" y="544915"/>
                                </a:lnTo>
                                <a:lnTo>
                                  <a:pt x="889749" y="592869"/>
                                </a:lnTo>
                                <a:lnTo>
                                  <a:pt x="889695" y="593820"/>
                                </a:lnTo>
                                <a:lnTo>
                                  <a:pt x="885905" y="641111"/>
                                </a:lnTo>
                                <a:lnTo>
                                  <a:pt x="874695" y="686745"/>
                                </a:lnTo>
                                <a:lnTo>
                                  <a:pt x="856740" y="729302"/>
                                </a:lnTo>
                                <a:lnTo>
                                  <a:pt x="832650" y="768172"/>
                                </a:lnTo>
                                <a:lnTo>
                                  <a:pt x="803034" y="802743"/>
                                </a:lnTo>
                                <a:lnTo>
                                  <a:pt x="768503" y="832406"/>
                                </a:lnTo>
                                <a:lnTo>
                                  <a:pt x="729666" y="856549"/>
                                </a:lnTo>
                                <a:lnTo>
                                  <a:pt x="687133" y="874561"/>
                                </a:lnTo>
                                <a:lnTo>
                                  <a:pt x="641193" y="885912"/>
                                </a:lnTo>
                                <a:lnTo>
                                  <a:pt x="640540" y="885912"/>
                                </a:lnTo>
                                <a:lnTo>
                                  <a:pt x="593420" y="889753"/>
                                </a:lnTo>
                                <a:lnTo>
                                  <a:pt x="1106495" y="889753"/>
                                </a:lnTo>
                                <a:lnTo>
                                  <a:pt x="1120292" y="865449"/>
                                </a:lnTo>
                                <a:lnTo>
                                  <a:pt x="1139858" y="823738"/>
                                </a:lnTo>
                                <a:lnTo>
                                  <a:pt x="1156204" y="780336"/>
                                </a:lnTo>
                                <a:lnTo>
                                  <a:pt x="1169178" y="735395"/>
                                </a:lnTo>
                                <a:lnTo>
                                  <a:pt x="1178626" y="689068"/>
                                </a:lnTo>
                                <a:lnTo>
                                  <a:pt x="1184282" y="642457"/>
                                </a:lnTo>
                                <a:lnTo>
                                  <a:pt x="1186300" y="593820"/>
                                </a:lnTo>
                                <a:lnTo>
                                  <a:pt x="1186338" y="592869"/>
                                </a:lnTo>
                                <a:lnTo>
                                  <a:pt x="1184396" y="545399"/>
                                </a:lnTo>
                                <a:lnTo>
                                  <a:pt x="1184348" y="544230"/>
                                </a:lnTo>
                                <a:lnTo>
                                  <a:pt x="1178644" y="497615"/>
                                </a:lnTo>
                                <a:lnTo>
                                  <a:pt x="1178529" y="496677"/>
                                </a:lnTo>
                                <a:lnTo>
                                  <a:pt x="1169034" y="450360"/>
                                </a:lnTo>
                                <a:lnTo>
                                  <a:pt x="1156015" y="405432"/>
                                </a:lnTo>
                                <a:lnTo>
                                  <a:pt x="1139625" y="362047"/>
                                </a:lnTo>
                                <a:lnTo>
                                  <a:pt x="1120017" y="320355"/>
                                </a:lnTo>
                                <a:lnTo>
                                  <a:pt x="1106490" y="296584"/>
                                </a:lnTo>
                                <a:close/>
                              </a:path>
                            </a:pathLst>
                          </a:custGeom>
                          <a:solidFill>
                            <a:srgbClr val="D9D9D9"/>
                          </a:solidFill>
                        </wps:spPr>
                        <wps:bodyPr wrap="square" lIns="0" tIns="0" rIns="0" bIns="0" rtlCol="0">
                          <a:prstTxWarp prst="textNoShape">
                            <a:avLst/>
                          </a:prstTxWarp>
                          <a:noAutofit/>
                        </wps:bodyPr>
                      </wps:wsp>
                      <wps:wsp>
                        <wps:cNvPr id="516" name="Graphic 516"/>
                        <wps:cNvSpPr/>
                        <wps:spPr>
                          <a:xfrm>
                            <a:off x="1160749" y="789265"/>
                            <a:ext cx="593725" cy="593725"/>
                          </a:xfrm>
                          <a:custGeom>
                            <a:avLst/>
                            <a:gdLst/>
                            <a:ahLst/>
                            <a:cxnLst/>
                            <a:rect l="l" t="t" r="r" b="b"/>
                            <a:pathLst>
                              <a:path w="593725" h="593725">
                                <a:moveTo>
                                  <a:pt x="296163" y="0"/>
                                </a:moveTo>
                                <a:lnTo>
                                  <a:pt x="248071" y="3948"/>
                                </a:lnTo>
                                <a:lnTo>
                                  <a:pt x="202459" y="15247"/>
                                </a:lnTo>
                                <a:lnTo>
                                  <a:pt x="159937" y="33285"/>
                                </a:lnTo>
                                <a:lnTo>
                                  <a:pt x="121114" y="57451"/>
                                </a:lnTo>
                                <a:lnTo>
                                  <a:pt x="86600" y="87134"/>
                                </a:lnTo>
                                <a:lnTo>
                                  <a:pt x="57005" y="121723"/>
                                </a:lnTo>
                                <a:lnTo>
                                  <a:pt x="32938" y="160607"/>
                                </a:lnTo>
                                <a:lnTo>
                                  <a:pt x="15008" y="203174"/>
                                </a:lnTo>
                                <a:lnTo>
                                  <a:pt x="3826" y="248815"/>
                                </a:lnTo>
                                <a:lnTo>
                                  <a:pt x="0" y="296917"/>
                                </a:lnTo>
                                <a:lnTo>
                                  <a:pt x="3934" y="345010"/>
                                </a:lnTo>
                                <a:lnTo>
                                  <a:pt x="15219" y="390626"/>
                                </a:lnTo>
                                <a:lnTo>
                                  <a:pt x="33244" y="433153"/>
                                </a:lnTo>
                                <a:lnTo>
                                  <a:pt x="57399" y="471983"/>
                                </a:lnTo>
                                <a:lnTo>
                                  <a:pt x="87072" y="506505"/>
                                </a:lnTo>
                                <a:lnTo>
                                  <a:pt x="121652" y="536111"/>
                                </a:lnTo>
                                <a:lnTo>
                                  <a:pt x="160529" y="560189"/>
                                </a:lnTo>
                                <a:lnTo>
                                  <a:pt x="203091" y="578132"/>
                                </a:lnTo>
                                <a:lnTo>
                                  <a:pt x="248728" y="589328"/>
                                </a:lnTo>
                                <a:lnTo>
                                  <a:pt x="296829" y="593168"/>
                                </a:lnTo>
                                <a:lnTo>
                                  <a:pt x="344924" y="589248"/>
                                </a:lnTo>
                                <a:lnTo>
                                  <a:pt x="390543" y="577977"/>
                                </a:lnTo>
                                <a:lnTo>
                                  <a:pt x="433075" y="559964"/>
                                </a:lnTo>
                                <a:lnTo>
                                  <a:pt x="471912" y="535821"/>
                                </a:lnTo>
                                <a:lnTo>
                                  <a:pt x="506444" y="506159"/>
                                </a:lnTo>
                                <a:lnTo>
                                  <a:pt x="536059" y="471587"/>
                                </a:lnTo>
                                <a:lnTo>
                                  <a:pt x="560150" y="432718"/>
                                </a:lnTo>
                                <a:lnTo>
                                  <a:pt x="578105" y="390160"/>
                                </a:lnTo>
                                <a:lnTo>
                                  <a:pt x="589315" y="344526"/>
                                </a:lnTo>
                                <a:lnTo>
                                  <a:pt x="593170" y="296426"/>
                                </a:lnTo>
                                <a:lnTo>
                                  <a:pt x="589264" y="248330"/>
                                </a:lnTo>
                                <a:lnTo>
                                  <a:pt x="578005" y="202708"/>
                                </a:lnTo>
                                <a:lnTo>
                                  <a:pt x="560005" y="160170"/>
                                </a:lnTo>
                                <a:lnTo>
                                  <a:pt x="535873" y="121326"/>
                                </a:lnTo>
                                <a:lnTo>
                                  <a:pt x="506221" y="86786"/>
                                </a:lnTo>
                                <a:lnTo>
                                  <a:pt x="471658" y="57160"/>
                                </a:lnTo>
                                <a:lnTo>
                                  <a:pt x="432796" y="33059"/>
                                </a:lnTo>
                                <a:lnTo>
                                  <a:pt x="390244" y="15091"/>
                                </a:lnTo>
                                <a:lnTo>
                                  <a:pt x="344613" y="3868"/>
                                </a:lnTo>
                                <a:lnTo>
                                  <a:pt x="296514" y="0"/>
                                </a:lnTo>
                              </a:path>
                            </a:pathLst>
                          </a:custGeom>
                          <a:ln w="9525">
                            <a:solidFill>
                              <a:srgbClr val="FFFFFF"/>
                            </a:solidFill>
                            <a:prstDash val="solid"/>
                          </a:ln>
                        </wps:spPr>
                        <wps:bodyPr wrap="square" lIns="0" tIns="0" rIns="0" bIns="0" rtlCol="0">
                          <a:prstTxWarp prst="textNoShape">
                            <a:avLst/>
                          </a:prstTxWarp>
                          <a:noAutofit/>
                        </wps:bodyPr>
                      </wps:wsp>
                      <wps:wsp>
                        <wps:cNvPr id="517" name="Textbox 517"/>
                        <wps:cNvSpPr txBox="1"/>
                        <wps:spPr>
                          <a:xfrm>
                            <a:off x="9525" y="9525"/>
                            <a:ext cx="2886075" cy="1885950"/>
                          </a:xfrm>
                          <a:prstGeom prst="rect">
                            <a:avLst/>
                          </a:prstGeom>
                          <a:ln w="19050">
                            <a:solidFill>
                              <a:srgbClr val="000000"/>
                            </a:solidFill>
                            <a:prstDash val="solid"/>
                          </a:ln>
                        </wps:spPr>
                        <wps:txbx>
                          <w:txbxContent>
                            <w:p>
                              <w:pPr>
                                <w:spacing w:before="11"/>
                                <w:ind w:left="1189" w:right="0" w:firstLine="0"/>
                                <w:jc w:val="left"/>
                                <w:rPr>
                                  <w:rFonts w:ascii="Arial"/>
                                  <w:b/>
                                  <w:sz w:val="16"/>
                                </w:rPr>
                              </w:pPr>
                              <w:r>
                                <w:rPr>
                                  <w:rFonts w:ascii="Arial"/>
                                  <w:b/>
                                  <w:sz w:val="16"/>
                                </w:rPr>
                                <w:t>Loans</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125"/>
                                <w:rPr>
                                  <w:rFonts w:ascii="Arial"/>
                                  <w:b/>
                                  <w:sz w:val="16"/>
                                </w:rPr>
                              </w:pPr>
                            </w:p>
                            <w:p>
                              <w:pPr>
                                <w:spacing w:line="249" w:lineRule="auto" w:before="0"/>
                                <w:ind w:left="817" w:right="3180"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100%</w:t>
                              </w:r>
                            </w:p>
                          </w:txbxContent>
                        </wps:txbx>
                        <wps:bodyPr wrap="square" lIns="0" tIns="0" rIns="0" bIns="0" rtlCol="0">
                          <a:noAutofit/>
                        </wps:bodyPr>
                      </wps:wsp>
                    </wpg:wgp>
                  </a:graphicData>
                </a:graphic>
              </wp:anchor>
            </w:drawing>
          </mc:Choice>
          <mc:Fallback>
            <w:pict>
              <v:group style="position:absolute;margin-left:305.75pt;margin-top:16.351738pt;width:228.75pt;height:150pt;mso-position-horizontal-relative:page;mso-position-vertical-relative:paragraph;z-index:-15654912;mso-wrap-distance-left:0;mso-wrap-distance-right:0" id="docshapegroup434" coordorigin="6115,327" coordsize="4575,3000">
                <v:shape style="position:absolute;left:7475;top:1102;width:1869;height:1869" id="docshape435" coordorigin="7476,1103" coordsize="1869,1869" path="m8410,1103l8409,1103,8332,1106,8257,1115,8184,1130,8114,1151,8045,1177,7980,1208,7917,1243,7857,1284,7801,1329,7749,1377,7700,1430,7655,1486,7615,1546,7580,1609,7549,1674,7523,1743,7503,1814,7488,1887,7479,1960,7479,1962,7476,2037,7476,2038,7479,2113,7479,2115,7488,2188,7488,2190,7503,2262,7524,2333,7550,2402,7581,2467,7616,2530,7657,2589,7701,2646,7750,2698,7803,2747,7859,2791,7919,2832,7981,2867,8047,2898,8116,2924,8186,2944,8259,2959,8334,2968,8411,2971,8484,2968,8486,2968,8562,2959,8635,2944,8706,2923,8774,2897,8840,2867,8903,2831,8962,2791,9018,2746,9071,2697,9120,2645,9164,2588,9204,2529,9218,2504,8410,2504,8335,2498,8263,2480,8196,2452,8135,2414,8080,2368,8033,2313,7995,2252,7967,2185,7949,2113,7943,2038,7943,2037,7949,1962,7967,1890,7995,1823,8033,1762,8079,1707,8134,1660,8195,1622,8262,1594,8334,1576,8409,1570,9218,1570,9204,1545,9164,1485,9119,1429,9070,1376,9018,1328,8961,1283,8902,1243,8839,1207,8773,1176,8705,1150,8634,1130,8561,1115,8487,1106,8490,1106,8410,1103xm9218,1570l8410,1570,8487,1576,8486,1576,8558,1594,8625,1622,8686,1660,8740,1707,8787,1761,8825,1822,8853,1889,8871,1961,8877,2037,8877,2038,8871,2113,8853,2184,8825,2251,8787,2313,8741,2367,8686,2414,8625,2452,8558,2480,8486,2498,8485,2498,8410,2504,9218,2504,9240,2466,9271,2400,9297,2332,9317,2261,9332,2188,9341,2115,9341,2113,9344,2038,9344,2037,9341,1962,9341,1960,9332,1887,9332,1885,9317,1812,9296,1741,9271,1673,9240,1607,9218,1570xe" filled="true" fillcolor="#d9d9d9" stroked="false">
                  <v:path arrowok="t"/>
                  <v:fill type="solid"/>
                </v:shape>
                <v:shape style="position:absolute;left:7942;top:1569;width:935;height:935" id="docshape436" coordorigin="7943,1570" coordsize="935,935" path="m8409,1570l8334,1576,8262,1594,8195,1622,8134,1660,8079,1707,8033,1762,7995,1823,7967,1890,7949,1962,7943,2038,7949,2113,7967,2185,7995,2252,8033,2313,8080,2368,8135,2414,8196,2452,8263,2480,8335,2498,8410,2504,8486,2498,8558,2480,8625,2452,8686,2414,8741,2367,8787,2313,8825,2251,8853,2184,8871,2113,8877,2037,8871,1961,8853,1889,8825,1822,8787,1761,8740,1707,8686,1660,8625,1622,8558,1594,8486,1576,8410,1570e" filled="false" stroked="true" strokeweight=".75pt" strokecolor="#ffffff">
                  <v:path arrowok="t"/>
                  <v:stroke dashstyle="solid"/>
                </v:shape>
                <v:shape style="position:absolute;left:6130;top:342;width:4545;height:2970" type="#_x0000_t202" id="docshape437" filled="false" stroked="true" strokeweight="1.5pt" strokecolor="#000000">
                  <v:textbox inset="0,0,0,0">
                    <w:txbxContent>
                      <w:p>
                        <w:pPr>
                          <w:spacing w:before="11"/>
                          <w:ind w:left="1189" w:right="0" w:firstLine="0"/>
                          <w:jc w:val="left"/>
                          <w:rPr>
                            <w:rFonts w:ascii="Arial"/>
                            <w:b/>
                            <w:sz w:val="16"/>
                          </w:rPr>
                        </w:pPr>
                        <w:r>
                          <w:rPr>
                            <w:rFonts w:ascii="Arial"/>
                            <w:b/>
                            <w:sz w:val="16"/>
                          </w:rPr>
                          <w:t>Loans</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0"/>
                          <w:rPr>
                            <w:rFonts w:ascii="Arial"/>
                            <w:b/>
                            <w:sz w:val="16"/>
                          </w:rPr>
                        </w:pPr>
                      </w:p>
                      <w:p>
                        <w:pPr>
                          <w:spacing w:line="240" w:lineRule="auto" w:before="125"/>
                          <w:rPr>
                            <w:rFonts w:ascii="Arial"/>
                            <w:b/>
                            <w:sz w:val="16"/>
                          </w:rPr>
                        </w:pPr>
                      </w:p>
                      <w:p>
                        <w:pPr>
                          <w:spacing w:line="249" w:lineRule="auto" w:before="0"/>
                          <w:ind w:left="817" w:right="3180" w:firstLine="0"/>
                          <w:jc w:val="left"/>
                          <w:rPr>
                            <w:rFonts w:ascii="Arial MT"/>
                            <w:sz w:val="14"/>
                          </w:rPr>
                        </w:pPr>
                        <w:r>
                          <w:rPr>
                            <w:rFonts w:ascii="Arial MT"/>
                            <w:spacing w:val="-2"/>
                            <w:sz w:val="14"/>
                          </w:rPr>
                          <w:t>Variable</w:t>
                        </w:r>
                        <w:r>
                          <w:rPr>
                            <w:rFonts w:ascii="Arial MT"/>
                            <w:spacing w:val="40"/>
                            <w:sz w:val="14"/>
                          </w:rPr>
                          <w:t> </w:t>
                        </w:r>
                        <w:r>
                          <w:rPr>
                            <w:rFonts w:ascii="Arial MT"/>
                            <w:spacing w:val="-4"/>
                            <w:sz w:val="14"/>
                          </w:rPr>
                          <w:t>100%</w:t>
                        </w:r>
                      </w:p>
                    </w:txbxContent>
                  </v:textbox>
                  <v:stroke dashstyle="solid"/>
                  <w10:wrap type="none"/>
                </v:shape>
                <w10:wrap type="topAndBottom"/>
              </v:group>
            </w:pict>
          </mc:Fallback>
        </mc:AlternateContent>
      </w:r>
    </w:p>
    <w:p>
      <w:pPr>
        <w:pStyle w:val="BodyText"/>
        <w:spacing w:line="249" w:lineRule="auto" w:before="53"/>
        <w:ind w:left="720" w:right="717"/>
        <w:jc w:val="both"/>
      </w:pPr>
      <w:r>
        <w:rPr>
          <w:i/>
        </w:rPr>
        <w:t>Alignment of Assets and Liabilities </w:t>
      </w:r>
      <w:r>
        <w:rPr/>
        <w:t>– IBRD borrows in multiple currency and interest rate bases worldwide and</w:t>
      </w:r>
      <w:r>
        <w:rPr>
          <w:spacing w:val="40"/>
        </w:rPr>
        <w:t> </w:t>
      </w:r>
      <w:r>
        <w:rPr/>
        <w:t>lends the proceeds of those borrowings to eligible member countries. IBRD offers its borrowers the option of converting the currency and interest rate bases on their loans where there is a liquid swap market, thereby enabling them to select loan terms that are best suited to their circumstances.</w:t>
      </w:r>
      <w:r>
        <w:rPr>
          <w:spacing w:val="40"/>
        </w:rPr>
        <w:t> </w:t>
      </w:r>
      <w:r>
        <w:rPr/>
        <w:t>Such options meet borrowers’ preferences and help mitigate their currency and interest rate risk. In the absence of active risk management, IBRD would be</w:t>
      </w:r>
      <w:r>
        <w:rPr>
          <w:spacing w:val="40"/>
        </w:rPr>
        <w:t> </w:t>
      </w:r>
      <w:r>
        <w:rPr/>
        <w:t>exposed to substantial market risk and asset-liability management imbalances. To address such imbalances, IBRD uses derivatives to swap its payment obligations on bonds to a currency and interest rate basis that is aligned with its loan portfolio. Likewise, when a borrower exercises a conversion option on a loan to change its currency or interest rate basis, IBRD uses derivatives to convert its exposure back to a currency and interest rate basis, that is aligned with its loan portfolio. Thus, IBRD’s payment obligations on its borrowings are aligned with its loans funded by such borrowings – generally, after the effect of derivatives, IBRD primarily pays U.S. dollar, short-term variable rates on its borrowings, and receives U.S. dollar, short-term variable rates on its loans. Figure 23 below illustrates</w:t>
      </w:r>
      <w:r>
        <w:rPr>
          <w:spacing w:val="40"/>
        </w:rPr>
        <w:t> </w:t>
      </w:r>
      <w:r>
        <w:rPr/>
        <w:t>the use of derivatives in the loan and borrowing portfolios:</w:t>
      </w:r>
    </w:p>
    <w:p>
      <w:pPr>
        <w:spacing w:before="141"/>
        <w:ind w:left="720" w:right="0" w:firstLine="0"/>
        <w:jc w:val="both"/>
        <w:rPr>
          <w:rFonts w:ascii="Arial"/>
          <w:b/>
          <w:sz w:val="18"/>
        </w:rPr>
      </w:pPr>
      <w:r>
        <w:rPr>
          <w:rFonts w:ascii="Arial"/>
          <w:b/>
          <w:sz w:val="18"/>
        </w:rPr>
        <w:drawing>
          <wp:anchor distT="0" distB="0" distL="0" distR="0" allowOverlap="1" layoutInCell="1" locked="0" behindDoc="1" simplePos="0" relativeHeight="487662080">
            <wp:simplePos x="0" y="0"/>
            <wp:positionH relativeFrom="page">
              <wp:posOffset>914400</wp:posOffset>
            </wp:positionH>
            <wp:positionV relativeFrom="paragraph">
              <wp:posOffset>250866</wp:posOffset>
            </wp:positionV>
            <wp:extent cx="3779519" cy="1889760"/>
            <wp:effectExtent l="0" t="0" r="0" b="0"/>
            <wp:wrapTopAndBottom/>
            <wp:docPr id="518" name="Image 518"/>
            <wp:cNvGraphicFramePr>
              <a:graphicFrameLocks/>
            </wp:cNvGraphicFramePr>
            <a:graphic>
              <a:graphicData uri="http://schemas.openxmlformats.org/drawingml/2006/picture">
                <pic:pic>
                  <pic:nvPicPr>
                    <pic:cNvPr id="518" name="Image 518"/>
                    <pic:cNvPicPr/>
                  </pic:nvPicPr>
                  <pic:blipFill>
                    <a:blip r:embed="rId58" cstate="print"/>
                    <a:stretch>
                      <a:fillRect/>
                    </a:stretch>
                  </pic:blipFill>
                  <pic:spPr>
                    <a:xfrm>
                      <a:off x="0" y="0"/>
                      <a:ext cx="3779519" cy="1889760"/>
                    </a:xfrm>
                    <a:prstGeom prst="rect">
                      <a:avLst/>
                    </a:prstGeom>
                  </pic:spPr>
                </pic:pic>
              </a:graphicData>
            </a:graphic>
          </wp:anchor>
        </w:drawing>
      </w:r>
      <w:bookmarkStart w:name="_bookmark85" w:id="125"/>
      <w:bookmarkEnd w:id="125"/>
      <w:r>
        <w:rPr/>
      </w:r>
      <w:r>
        <w:rPr>
          <w:rFonts w:ascii="Arial"/>
          <w:b/>
          <w:sz w:val="18"/>
        </w:rPr>
        <w:t>Figure</w:t>
      </w:r>
      <w:r>
        <w:rPr>
          <w:rFonts w:ascii="Arial"/>
          <w:b/>
          <w:spacing w:val="-2"/>
          <w:sz w:val="18"/>
        </w:rPr>
        <w:t> </w:t>
      </w:r>
      <w:r>
        <w:rPr>
          <w:rFonts w:ascii="Arial"/>
          <w:b/>
          <w:sz w:val="18"/>
        </w:rPr>
        <w:t>23:</w:t>
      </w:r>
      <w:r>
        <w:rPr>
          <w:rFonts w:ascii="Arial"/>
          <w:b/>
          <w:spacing w:val="-2"/>
          <w:sz w:val="18"/>
        </w:rPr>
        <w:t> </w:t>
      </w:r>
      <w:r>
        <w:rPr>
          <w:rFonts w:ascii="Arial"/>
          <w:b/>
          <w:sz w:val="18"/>
        </w:rPr>
        <w:t>Use</w:t>
      </w:r>
      <w:r>
        <w:rPr>
          <w:rFonts w:ascii="Arial"/>
          <w:b/>
          <w:spacing w:val="-2"/>
          <w:sz w:val="18"/>
        </w:rPr>
        <w:t> </w:t>
      </w:r>
      <w:r>
        <w:rPr>
          <w:rFonts w:ascii="Arial"/>
          <w:b/>
          <w:sz w:val="18"/>
        </w:rPr>
        <w:t>of</w:t>
      </w:r>
      <w:r>
        <w:rPr>
          <w:rFonts w:ascii="Arial"/>
          <w:b/>
          <w:spacing w:val="-1"/>
          <w:sz w:val="18"/>
        </w:rPr>
        <w:t> </w:t>
      </w:r>
      <w:r>
        <w:rPr>
          <w:rFonts w:ascii="Arial"/>
          <w:b/>
          <w:sz w:val="18"/>
        </w:rPr>
        <w:t>Derivatives</w:t>
      </w:r>
      <w:r>
        <w:rPr>
          <w:rFonts w:ascii="Arial"/>
          <w:b/>
          <w:spacing w:val="-2"/>
          <w:sz w:val="18"/>
        </w:rPr>
        <w:t> </w:t>
      </w:r>
      <w:r>
        <w:rPr>
          <w:rFonts w:ascii="Arial"/>
          <w:b/>
          <w:sz w:val="18"/>
        </w:rPr>
        <w:t>for</w:t>
      </w:r>
      <w:r>
        <w:rPr>
          <w:rFonts w:ascii="Arial"/>
          <w:b/>
          <w:spacing w:val="-2"/>
          <w:sz w:val="18"/>
        </w:rPr>
        <w:t> </w:t>
      </w:r>
      <w:r>
        <w:rPr>
          <w:rFonts w:ascii="Arial"/>
          <w:b/>
          <w:sz w:val="18"/>
        </w:rPr>
        <w:t>Loans</w:t>
      </w:r>
      <w:r>
        <w:rPr>
          <w:rFonts w:ascii="Arial"/>
          <w:b/>
          <w:spacing w:val="-2"/>
          <w:sz w:val="18"/>
        </w:rPr>
        <w:t> </w:t>
      </w:r>
      <w:r>
        <w:rPr>
          <w:rFonts w:ascii="Arial"/>
          <w:b/>
          <w:sz w:val="18"/>
        </w:rPr>
        <w:t>and</w:t>
      </w:r>
      <w:r>
        <w:rPr>
          <w:rFonts w:ascii="Arial"/>
          <w:b/>
          <w:spacing w:val="-1"/>
          <w:sz w:val="18"/>
        </w:rPr>
        <w:t> </w:t>
      </w:r>
      <w:r>
        <w:rPr>
          <w:rFonts w:ascii="Arial"/>
          <w:b/>
          <w:spacing w:val="-2"/>
          <w:sz w:val="18"/>
        </w:rPr>
        <w:t>Borrowings</w:t>
      </w:r>
    </w:p>
    <w:p>
      <w:pPr>
        <w:spacing w:after="0"/>
        <w:jc w:val="both"/>
        <w:rPr>
          <w:rFonts w:ascii="Arial"/>
          <w:b/>
          <w:sz w:val="18"/>
        </w:rPr>
        <w:sectPr>
          <w:pgSz w:w="12240" w:h="15840"/>
          <w:pgMar w:header="744" w:footer="713" w:top="1020" w:bottom="900" w:left="720" w:right="720"/>
        </w:sectPr>
      </w:pPr>
    </w:p>
    <w:p>
      <w:pPr>
        <w:pStyle w:val="BodyText"/>
        <w:spacing w:before="127"/>
        <w:rPr>
          <w:rFonts w:ascii="Arial"/>
          <w:b/>
        </w:rPr>
      </w:pPr>
    </w:p>
    <w:p>
      <w:pPr>
        <w:pStyle w:val="BodyText"/>
        <w:spacing w:line="249" w:lineRule="auto" w:before="1"/>
        <w:ind w:left="720" w:right="718"/>
        <w:jc w:val="both"/>
      </w:pPr>
      <w:r>
        <w:rPr/>
        <w:t>Derivatives are also used to manage market risk in the liquidity portfolio. In line with its development mandate, IBRD maintains a large liquidity balance to ensure that it can make payments on its borrowing obligations and loan disbursements, even in the event of severe market disruptions. Pending disbursement, the liquidity portfolio is invested on a global basis in multiple currencies and interest rates. Derivatives are also used to align the currency</w:t>
      </w:r>
      <w:r>
        <w:rPr>
          <w:spacing w:val="40"/>
        </w:rPr>
        <w:t> </w:t>
      </w:r>
      <w:r>
        <w:rPr/>
        <w:t>and duration of investments with the debt funding the liquidity portfolio. Figure 24 below illustrates the use of derivatives in the liquidity portfolio:</w:t>
      </w:r>
    </w:p>
    <w:p>
      <w:pPr>
        <w:spacing w:before="135"/>
        <w:ind w:left="720" w:right="0" w:firstLine="0"/>
        <w:jc w:val="both"/>
        <w:rPr>
          <w:rFonts w:ascii="Arial"/>
          <w:b/>
          <w:sz w:val="18"/>
        </w:rPr>
      </w:pPr>
      <w:r>
        <w:rPr>
          <w:rFonts w:ascii="Arial"/>
          <w:b/>
          <w:sz w:val="18"/>
        </w:rPr>
        <w:drawing>
          <wp:anchor distT="0" distB="0" distL="0" distR="0" allowOverlap="1" layoutInCell="1" locked="0" behindDoc="1" simplePos="0" relativeHeight="487662592">
            <wp:simplePos x="0" y="0"/>
            <wp:positionH relativeFrom="page">
              <wp:posOffset>914400</wp:posOffset>
            </wp:positionH>
            <wp:positionV relativeFrom="paragraph">
              <wp:posOffset>246977</wp:posOffset>
            </wp:positionV>
            <wp:extent cx="3828010" cy="2105405"/>
            <wp:effectExtent l="0" t="0" r="0" b="0"/>
            <wp:wrapTopAndBottom/>
            <wp:docPr id="519" name="Image 519"/>
            <wp:cNvGraphicFramePr>
              <a:graphicFrameLocks/>
            </wp:cNvGraphicFramePr>
            <a:graphic>
              <a:graphicData uri="http://schemas.openxmlformats.org/drawingml/2006/picture">
                <pic:pic>
                  <pic:nvPicPr>
                    <pic:cNvPr id="519" name="Image 519"/>
                    <pic:cNvPicPr/>
                  </pic:nvPicPr>
                  <pic:blipFill>
                    <a:blip r:embed="rId59" cstate="print"/>
                    <a:stretch>
                      <a:fillRect/>
                    </a:stretch>
                  </pic:blipFill>
                  <pic:spPr>
                    <a:xfrm>
                      <a:off x="0" y="0"/>
                      <a:ext cx="3828010" cy="2105405"/>
                    </a:xfrm>
                    <a:prstGeom prst="rect">
                      <a:avLst/>
                    </a:prstGeom>
                  </pic:spPr>
                </pic:pic>
              </a:graphicData>
            </a:graphic>
          </wp:anchor>
        </w:drawing>
      </w:r>
      <w:bookmarkStart w:name="_bookmark86" w:id="126"/>
      <w:bookmarkEnd w:id="126"/>
      <w:r>
        <w:rPr/>
      </w:r>
      <w:r>
        <w:rPr>
          <w:rFonts w:ascii="Arial"/>
          <w:b/>
          <w:sz w:val="18"/>
        </w:rPr>
        <w:t>Figure</w:t>
      </w:r>
      <w:r>
        <w:rPr>
          <w:rFonts w:ascii="Arial"/>
          <w:b/>
          <w:spacing w:val="-2"/>
          <w:sz w:val="18"/>
        </w:rPr>
        <w:t> </w:t>
      </w:r>
      <w:r>
        <w:rPr>
          <w:rFonts w:ascii="Arial"/>
          <w:b/>
          <w:sz w:val="18"/>
        </w:rPr>
        <w:t>24:</w:t>
      </w:r>
      <w:r>
        <w:rPr>
          <w:rFonts w:ascii="Arial"/>
          <w:b/>
          <w:spacing w:val="-2"/>
          <w:sz w:val="18"/>
        </w:rPr>
        <w:t> </w:t>
      </w:r>
      <w:r>
        <w:rPr>
          <w:rFonts w:ascii="Arial"/>
          <w:b/>
          <w:sz w:val="18"/>
        </w:rPr>
        <w:t>Use</w:t>
      </w:r>
      <w:r>
        <w:rPr>
          <w:rFonts w:ascii="Arial"/>
          <w:b/>
          <w:spacing w:val="-2"/>
          <w:sz w:val="18"/>
        </w:rPr>
        <w:t> </w:t>
      </w:r>
      <w:r>
        <w:rPr>
          <w:rFonts w:ascii="Arial"/>
          <w:b/>
          <w:sz w:val="18"/>
        </w:rPr>
        <w:t>of</w:t>
      </w:r>
      <w:r>
        <w:rPr>
          <w:rFonts w:ascii="Arial"/>
          <w:b/>
          <w:spacing w:val="-2"/>
          <w:sz w:val="18"/>
        </w:rPr>
        <w:t> </w:t>
      </w:r>
      <w:r>
        <w:rPr>
          <w:rFonts w:ascii="Arial"/>
          <w:b/>
          <w:sz w:val="18"/>
        </w:rPr>
        <w:t>Derivatives</w:t>
      </w:r>
      <w:r>
        <w:rPr>
          <w:rFonts w:ascii="Arial"/>
          <w:b/>
          <w:spacing w:val="-2"/>
          <w:sz w:val="18"/>
        </w:rPr>
        <w:t> </w:t>
      </w:r>
      <w:r>
        <w:rPr>
          <w:rFonts w:ascii="Arial"/>
          <w:b/>
          <w:sz w:val="18"/>
        </w:rPr>
        <w:t>for</w:t>
      </w:r>
      <w:r>
        <w:rPr>
          <w:rFonts w:ascii="Arial"/>
          <w:b/>
          <w:spacing w:val="-2"/>
          <w:sz w:val="18"/>
        </w:rPr>
        <w:t> Investments</w:t>
      </w:r>
    </w:p>
    <w:p>
      <w:pPr>
        <w:pStyle w:val="BodyText"/>
        <w:spacing w:before="9"/>
        <w:rPr>
          <w:rFonts w:ascii="Arial"/>
          <w:b/>
          <w:sz w:val="18"/>
        </w:rPr>
      </w:pPr>
    </w:p>
    <w:p>
      <w:pPr>
        <w:pStyle w:val="BodyText"/>
        <w:spacing w:line="249" w:lineRule="auto"/>
        <w:ind w:left="720" w:right="717"/>
        <w:jc w:val="both"/>
      </w:pPr>
      <w:r>
        <w:rPr>
          <w:i/>
        </w:rPr>
        <w:t>Other ALM </w:t>
      </w:r>
      <w:r>
        <w:rPr/>
        <w:t>– Given most loans carry variable rates, for the portion of loans that are funded by equity, loan interest revenue, if left unmanaged, would be highly sensitive to fluctuations in short-term interest rates. The Equity-to-Loans</w:t>
      </w:r>
      <w:r>
        <w:rPr>
          <w:spacing w:val="-1"/>
        </w:rPr>
        <w:t> </w:t>
      </w:r>
      <w:r>
        <w:rPr/>
        <w:t>ratio</w:t>
      </w:r>
      <w:r>
        <w:rPr>
          <w:spacing w:val="-1"/>
        </w:rPr>
        <w:t> </w:t>
      </w:r>
      <w:r>
        <w:rPr/>
        <w:t>of</w:t>
      </w:r>
      <w:r>
        <w:rPr>
          <w:spacing w:val="-1"/>
        </w:rPr>
        <w:t> </w:t>
      </w:r>
      <w:r>
        <w:rPr/>
        <w:t>22.0%</w:t>
      </w:r>
      <w:r>
        <w:rPr>
          <w:spacing w:val="-1"/>
        </w:rPr>
        <w:t> </w:t>
      </w:r>
      <w:r>
        <w:rPr/>
        <w:t>indicates</w:t>
      </w:r>
      <w:r>
        <w:rPr>
          <w:spacing w:val="-1"/>
        </w:rPr>
        <w:t> </w:t>
      </w:r>
      <w:r>
        <w:rPr/>
        <w:t>the</w:t>
      </w:r>
      <w:r>
        <w:rPr>
          <w:spacing w:val="-1"/>
        </w:rPr>
        <w:t> </w:t>
      </w:r>
      <w:r>
        <w:rPr/>
        <w:t>portion</w:t>
      </w:r>
      <w:r>
        <w:rPr>
          <w:spacing w:val="-1"/>
        </w:rPr>
        <w:t> </w:t>
      </w:r>
      <w:r>
        <w:rPr/>
        <w:t>of</w:t>
      </w:r>
      <w:r>
        <w:rPr>
          <w:spacing w:val="-1"/>
        </w:rPr>
        <w:t> </w:t>
      </w:r>
      <w:r>
        <w:rPr/>
        <w:t>loans</w:t>
      </w:r>
      <w:r>
        <w:rPr>
          <w:spacing w:val="-1"/>
        </w:rPr>
        <w:t> </w:t>
      </w:r>
      <w:r>
        <w:rPr/>
        <w:t>funded</w:t>
      </w:r>
      <w:r>
        <w:rPr>
          <w:spacing w:val="-1"/>
        </w:rPr>
        <w:t> </w:t>
      </w:r>
      <w:r>
        <w:rPr/>
        <w:t>by</w:t>
      </w:r>
      <w:r>
        <w:rPr>
          <w:spacing w:val="-1"/>
        </w:rPr>
        <w:t> </w:t>
      </w:r>
      <w:r>
        <w:rPr/>
        <w:t>equity.</w:t>
      </w:r>
      <w:r>
        <w:rPr>
          <w:spacing w:val="-1"/>
        </w:rPr>
        <w:t> </w:t>
      </w:r>
      <w:r>
        <w:rPr/>
        <w:t>To</w:t>
      </w:r>
      <w:r>
        <w:rPr>
          <w:spacing w:val="-1"/>
        </w:rPr>
        <w:t> </w:t>
      </w:r>
      <w:r>
        <w:rPr/>
        <w:t>manage</w:t>
      </w:r>
      <w:r>
        <w:rPr>
          <w:spacing w:val="-1"/>
        </w:rPr>
        <w:t> </w:t>
      </w:r>
      <w:r>
        <w:rPr/>
        <w:t>this</w:t>
      </w:r>
      <w:r>
        <w:rPr>
          <w:spacing w:val="-1"/>
        </w:rPr>
        <w:t> </w:t>
      </w:r>
      <w:r>
        <w:rPr/>
        <w:t>exposure,</w:t>
      </w:r>
      <w:r>
        <w:rPr>
          <w:spacing w:val="-1"/>
        </w:rPr>
        <w:t> </w:t>
      </w:r>
      <w:r>
        <w:rPr/>
        <w:t>Management</w:t>
      </w:r>
      <w:r>
        <w:rPr>
          <w:spacing w:val="-1"/>
        </w:rPr>
        <w:t> </w:t>
      </w:r>
      <w:r>
        <w:rPr/>
        <w:t>has</w:t>
      </w:r>
      <w:r>
        <w:rPr>
          <w:spacing w:val="-1"/>
        </w:rPr>
        <w:t> </w:t>
      </w:r>
      <w:r>
        <w:rPr/>
        <w:t>put in</w:t>
      </w:r>
      <w:r>
        <w:rPr>
          <w:spacing w:val="-3"/>
        </w:rPr>
        <w:t> </w:t>
      </w:r>
      <w:r>
        <w:rPr/>
        <w:t>place</w:t>
      </w:r>
      <w:r>
        <w:rPr>
          <w:spacing w:val="-3"/>
        </w:rPr>
        <w:t> </w:t>
      </w:r>
      <w:r>
        <w:rPr/>
        <w:t>a</w:t>
      </w:r>
      <w:r>
        <w:rPr>
          <w:spacing w:val="-3"/>
        </w:rPr>
        <w:t> </w:t>
      </w:r>
      <w:r>
        <w:rPr/>
        <w:t>framework</w:t>
      </w:r>
      <w:r>
        <w:rPr>
          <w:spacing w:val="-3"/>
        </w:rPr>
        <w:t> </w:t>
      </w:r>
      <w:r>
        <w:rPr/>
        <w:t>with</w:t>
      </w:r>
      <w:r>
        <w:rPr>
          <w:spacing w:val="-3"/>
        </w:rPr>
        <w:t> </w:t>
      </w:r>
      <w:r>
        <w:rPr/>
        <w:t>the</w:t>
      </w:r>
      <w:r>
        <w:rPr>
          <w:spacing w:val="-3"/>
        </w:rPr>
        <w:t> </w:t>
      </w:r>
      <w:r>
        <w:rPr/>
        <w:t>primary</w:t>
      </w:r>
      <w:r>
        <w:rPr>
          <w:spacing w:val="-3"/>
        </w:rPr>
        <w:t> </w:t>
      </w:r>
      <w:r>
        <w:rPr/>
        <w:t>goal</w:t>
      </w:r>
      <w:r>
        <w:rPr>
          <w:spacing w:val="-3"/>
        </w:rPr>
        <w:t> </w:t>
      </w:r>
      <w:r>
        <w:rPr/>
        <w:t>of</w:t>
      </w:r>
      <w:r>
        <w:rPr>
          <w:spacing w:val="-3"/>
        </w:rPr>
        <w:t> </w:t>
      </w:r>
      <w:r>
        <w:rPr/>
        <w:t>stabilizing</w:t>
      </w:r>
      <w:r>
        <w:rPr>
          <w:spacing w:val="-3"/>
        </w:rPr>
        <w:t> </w:t>
      </w:r>
      <w:r>
        <w:rPr/>
        <w:t>this</w:t>
      </w:r>
      <w:r>
        <w:rPr>
          <w:spacing w:val="-3"/>
        </w:rPr>
        <w:t> </w:t>
      </w:r>
      <w:r>
        <w:rPr/>
        <w:t>revenue.</w:t>
      </w:r>
      <w:r>
        <w:rPr>
          <w:spacing w:val="-3"/>
        </w:rPr>
        <w:t> </w:t>
      </w:r>
      <w:r>
        <w:rPr/>
        <w:t>Under</w:t>
      </w:r>
      <w:r>
        <w:rPr>
          <w:spacing w:val="-3"/>
        </w:rPr>
        <w:t> </w:t>
      </w:r>
      <w:r>
        <w:rPr/>
        <w:t>this</w:t>
      </w:r>
      <w:r>
        <w:rPr>
          <w:spacing w:val="-3"/>
        </w:rPr>
        <w:t> </w:t>
      </w:r>
      <w:r>
        <w:rPr/>
        <w:t>framework,</w:t>
      </w:r>
      <w:r>
        <w:rPr>
          <w:spacing w:val="-3"/>
        </w:rPr>
        <w:t> </w:t>
      </w:r>
      <w:r>
        <w:rPr/>
        <w:t>IBRD</w:t>
      </w:r>
      <w:r>
        <w:rPr>
          <w:spacing w:val="-3"/>
        </w:rPr>
        <w:t> </w:t>
      </w:r>
      <w:r>
        <w:rPr/>
        <w:t>uses</w:t>
      </w:r>
      <w:r>
        <w:rPr>
          <w:spacing w:val="-3"/>
        </w:rPr>
        <w:t> </w:t>
      </w:r>
      <w:r>
        <w:rPr/>
        <w:t>derivatives to convert the variable rate cash flows on loans funded by equity back to fixed rate cash flows, thereby stabilizing loan interest revenue over time. See Figure 25 below.</w:t>
      </w:r>
    </w:p>
    <w:p>
      <w:pPr>
        <w:spacing w:before="135"/>
        <w:ind w:left="720" w:right="0" w:firstLine="0"/>
        <w:jc w:val="both"/>
        <w:rPr>
          <w:rFonts w:ascii="Arial"/>
          <w:b/>
          <w:sz w:val="18"/>
        </w:rPr>
      </w:pPr>
      <w:r>
        <w:rPr>
          <w:rFonts w:ascii="Arial"/>
          <w:b/>
          <w:sz w:val="18"/>
        </w:rPr>
        <w:drawing>
          <wp:anchor distT="0" distB="0" distL="0" distR="0" allowOverlap="1" layoutInCell="1" locked="0" behindDoc="1" simplePos="0" relativeHeight="487663104">
            <wp:simplePos x="0" y="0"/>
            <wp:positionH relativeFrom="page">
              <wp:posOffset>914400</wp:posOffset>
            </wp:positionH>
            <wp:positionV relativeFrom="paragraph">
              <wp:posOffset>247992</wp:posOffset>
            </wp:positionV>
            <wp:extent cx="2754819" cy="993648"/>
            <wp:effectExtent l="0" t="0" r="0" b="0"/>
            <wp:wrapTopAndBottom/>
            <wp:docPr id="520" name="Image 520"/>
            <wp:cNvGraphicFramePr>
              <a:graphicFrameLocks/>
            </wp:cNvGraphicFramePr>
            <a:graphic>
              <a:graphicData uri="http://schemas.openxmlformats.org/drawingml/2006/picture">
                <pic:pic>
                  <pic:nvPicPr>
                    <pic:cNvPr id="520" name="Image 520"/>
                    <pic:cNvPicPr/>
                  </pic:nvPicPr>
                  <pic:blipFill>
                    <a:blip r:embed="rId60" cstate="print"/>
                    <a:stretch>
                      <a:fillRect/>
                    </a:stretch>
                  </pic:blipFill>
                  <pic:spPr>
                    <a:xfrm>
                      <a:off x="0" y="0"/>
                      <a:ext cx="2754819" cy="993648"/>
                    </a:xfrm>
                    <a:prstGeom prst="rect">
                      <a:avLst/>
                    </a:prstGeom>
                  </pic:spPr>
                </pic:pic>
              </a:graphicData>
            </a:graphic>
          </wp:anchor>
        </w:drawing>
      </w:r>
      <w:bookmarkStart w:name="_bookmark87" w:id="127"/>
      <w:bookmarkEnd w:id="127"/>
      <w:r>
        <w:rPr/>
      </w:r>
      <w:r>
        <w:rPr>
          <w:rFonts w:ascii="Arial"/>
          <w:b/>
          <w:sz w:val="18"/>
        </w:rPr>
        <w:t>Figure</w:t>
      </w:r>
      <w:r>
        <w:rPr>
          <w:rFonts w:ascii="Arial"/>
          <w:b/>
          <w:spacing w:val="-2"/>
          <w:sz w:val="18"/>
        </w:rPr>
        <w:t> </w:t>
      </w:r>
      <w:r>
        <w:rPr>
          <w:rFonts w:ascii="Arial"/>
          <w:b/>
          <w:sz w:val="18"/>
        </w:rPr>
        <w:t>25:</w:t>
      </w:r>
      <w:r>
        <w:rPr>
          <w:rFonts w:ascii="Arial"/>
          <w:b/>
          <w:spacing w:val="-2"/>
          <w:sz w:val="18"/>
        </w:rPr>
        <w:t> </w:t>
      </w:r>
      <w:r>
        <w:rPr>
          <w:rFonts w:ascii="Arial"/>
          <w:b/>
          <w:sz w:val="18"/>
        </w:rPr>
        <w:t>Use</w:t>
      </w:r>
      <w:r>
        <w:rPr>
          <w:rFonts w:ascii="Arial"/>
          <w:b/>
          <w:spacing w:val="-2"/>
          <w:sz w:val="18"/>
        </w:rPr>
        <w:t> </w:t>
      </w:r>
      <w:r>
        <w:rPr>
          <w:rFonts w:ascii="Arial"/>
          <w:b/>
          <w:sz w:val="18"/>
        </w:rPr>
        <w:t>of</w:t>
      </w:r>
      <w:r>
        <w:rPr>
          <w:rFonts w:ascii="Arial"/>
          <w:b/>
          <w:spacing w:val="-2"/>
          <w:sz w:val="18"/>
        </w:rPr>
        <w:t> </w:t>
      </w:r>
      <w:r>
        <w:rPr>
          <w:rFonts w:ascii="Arial"/>
          <w:b/>
          <w:sz w:val="18"/>
        </w:rPr>
        <w:t>Derivatives</w:t>
      </w:r>
      <w:r>
        <w:rPr>
          <w:rFonts w:ascii="Arial"/>
          <w:b/>
          <w:spacing w:val="-2"/>
          <w:sz w:val="18"/>
        </w:rPr>
        <w:t> </w:t>
      </w:r>
      <w:r>
        <w:rPr>
          <w:rFonts w:ascii="Arial"/>
          <w:b/>
          <w:sz w:val="18"/>
        </w:rPr>
        <w:t>for</w:t>
      </w:r>
      <w:r>
        <w:rPr>
          <w:rFonts w:ascii="Arial"/>
          <w:b/>
          <w:spacing w:val="-2"/>
          <w:sz w:val="18"/>
        </w:rPr>
        <w:t> </w:t>
      </w:r>
      <w:r>
        <w:rPr>
          <w:rFonts w:ascii="Arial"/>
          <w:b/>
          <w:sz w:val="18"/>
        </w:rPr>
        <w:t>Other</w:t>
      </w:r>
      <w:r>
        <w:rPr>
          <w:rFonts w:ascii="Arial"/>
          <w:b/>
          <w:spacing w:val="-1"/>
          <w:sz w:val="18"/>
        </w:rPr>
        <w:t> </w:t>
      </w:r>
      <w:r>
        <w:rPr>
          <w:rFonts w:ascii="Arial"/>
          <w:b/>
          <w:spacing w:val="-5"/>
          <w:sz w:val="18"/>
        </w:rPr>
        <w:t>ALM</w:t>
      </w:r>
    </w:p>
    <w:p>
      <w:pPr>
        <w:pStyle w:val="BodyText"/>
        <w:spacing w:line="249" w:lineRule="auto" w:before="165"/>
        <w:ind w:left="720" w:right="717"/>
        <w:jc w:val="both"/>
      </w:pPr>
      <w:r>
        <w:rPr/>
        <w:t>Although interest rates have been rising, low and negative interest rates present a challenge for various IBRD </w:t>
      </w:r>
      <w:r>
        <w:rPr>
          <w:spacing w:val="-2"/>
        </w:rPr>
        <w:t>portfolios.</w:t>
      </w:r>
    </w:p>
    <w:p>
      <w:pPr>
        <w:pStyle w:val="Heading7"/>
        <w:spacing w:before="117"/>
      </w:pPr>
      <w:r>
        <w:rPr/>
        <w:t>Loans</w:t>
      </w:r>
      <w:r>
        <w:rPr>
          <w:spacing w:val="-2"/>
        </w:rPr>
        <w:t> </w:t>
      </w:r>
      <w:r>
        <w:rPr/>
        <w:t>to</w:t>
      </w:r>
      <w:r>
        <w:rPr>
          <w:spacing w:val="-1"/>
        </w:rPr>
        <w:t> </w:t>
      </w:r>
      <w:r>
        <w:rPr/>
        <w:t>borrowing</w:t>
      </w:r>
      <w:r>
        <w:rPr>
          <w:spacing w:val="-1"/>
        </w:rPr>
        <w:t> </w:t>
      </w:r>
      <w:r>
        <w:rPr>
          <w:spacing w:val="-2"/>
        </w:rPr>
        <w:t>countries:</w:t>
      </w:r>
    </w:p>
    <w:p>
      <w:pPr>
        <w:pStyle w:val="BodyText"/>
        <w:spacing w:before="136"/>
        <w:ind w:left="720"/>
      </w:pPr>
      <w:r>
        <w:rPr/>
        <w:t>Under</w:t>
      </w:r>
      <w:r>
        <w:rPr>
          <w:spacing w:val="-5"/>
        </w:rPr>
        <w:t> </w:t>
      </w:r>
      <w:r>
        <w:rPr/>
        <w:t>IBRD’s</w:t>
      </w:r>
      <w:r>
        <w:rPr>
          <w:spacing w:val="-4"/>
        </w:rPr>
        <w:t> </w:t>
      </w:r>
      <w:r>
        <w:rPr/>
        <w:t>loan</w:t>
      </w:r>
      <w:r>
        <w:rPr>
          <w:spacing w:val="-2"/>
        </w:rPr>
        <w:t> </w:t>
      </w:r>
      <w:r>
        <w:rPr/>
        <w:t>agreements,</w:t>
      </w:r>
      <w:r>
        <w:rPr>
          <w:spacing w:val="-3"/>
        </w:rPr>
        <w:t> </w:t>
      </w:r>
      <w:r>
        <w:rPr/>
        <w:t>if</w:t>
      </w:r>
      <w:r>
        <w:rPr>
          <w:spacing w:val="-3"/>
        </w:rPr>
        <w:t> </w:t>
      </w:r>
      <w:r>
        <w:rPr/>
        <w:t>an</w:t>
      </w:r>
      <w:r>
        <w:rPr>
          <w:spacing w:val="-2"/>
        </w:rPr>
        <w:t> </w:t>
      </w:r>
      <w:r>
        <w:rPr/>
        <w:t>interest</w:t>
      </w:r>
      <w:r>
        <w:rPr>
          <w:spacing w:val="-4"/>
        </w:rPr>
        <w:t> </w:t>
      </w:r>
      <w:r>
        <w:rPr/>
        <w:t>rate</w:t>
      </w:r>
      <w:r>
        <w:rPr>
          <w:spacing w:val="-3"/>
        </w:rPr>
        <w:t> </w:t>
      </w:r>
      <w:r>
        <w:rPr/>
        <w:t>formula</w:t>
      </w:r>
      <w:r>
        <w:rPr>
          <w:spacing w:val="-4"/>
        </w:rPr>
        <w:t> </w:t>
      </w:r>
      <w:r>
        <w:rPr/>
        <w:t>yields</w:t>
      </w:r>
      <w:r>
        <w:rPr>
          <w:spacing w:val="-4"/>
        </w:rPr>
        <w:t> </w:t>
      </w:r>
      <w:r>
        <w:rPr/>
        <w:t>a</w:t>
      </w:r>
      <w:r>
        <w:rPr>
          <w:spacing w:val="-3"/>
        </w:rPr>
        <w:t> </w:t>
      </w:r>
      <w:r>
        <w:rPr/>
        <w:t>negative</w:t>
      </w:r>
      <w:r>
        <w:rPr>
          <w:spacing w:val="-4"/>
        </w:rPr>
        <w:t> </w:t>
      </w:r>
      <w:r>
        <w:rPr/>
        <w:t>rate,</w:t>
      </w:r>
      <w:r>
        <w:rPr>
          <w:spacing w:val="-2"/>
        </w:rPr>
        <w:t> </w:t>
      </w:r>
      <w:r>
        <w:rPr/>
        <w:t>the</w:t>
      </w:r>
      <w:r>
        <w:rPr>
          <w:spacing w:val="-4"/>
        </w:rPr>
        <w:t> </w:t>
      </w:r>
      <w:r>
        <w:rPr/>
        <w:t>interest</w:t>
      </w:r>
      <w:r>
        <w:rPr>
          <w:spacing w:val="-4"/>
        </w:rPr>
        <w:t> </w:t>
      </w:r>
      <w:r>
        <w:rPr/>
        <w:t>rate</w:t>
      </w:r>
      <w:r>
        <w:rPr>
          <w:spacing w:val="-3"/>
        </w:rPr>
        <w:t> </w:t>
      </w:r>
      <w:r>
        <w:rPr/>
        <w:t>charged</w:t>
      </w:r>
      <w:r>
        <w:rPr>
          <w:spacing w:val="-3"/>
        </w:rPr>
        <w:t> </w:t>
      </w:r>
      <w:r>
        <w:rPr/>
        <w:t>is</w:t>
      </w:r>
      <w:r>
        <w:rPr>
          <w:spacing w:val="-3"/>
        </w:rPr>
        <w:t> </w:t>
      </w:r>
      <w:r>
        <w:rPr>
          <w:spacing w:val="-2"/>
        </w:rPr>
        <w:t>zero.</w:t>
      </w:r>
    </w:p>
    <w:p>
      <w:pPr>
        <w:pStyle w:val="Heading7"/>
        <w:spacing w:before="125"/>
      </w:pPr>
      <w:r>
        <w:rPr/>
        <w:t>Liquid</w:t>
      </w:r>
      <w:r>
        <w:rPr>
          <w:spacing w:val="-2"/>
        </w:rPr>
        <w:t> </w:t>
      </w:r>
      <w:r>
        <w:rPr/>
        <w:t>Asset</w:t>
      </w:r>
      <w:r>
        <w:rPr>
          <w:spacing w:val="-2"/>
        </w:rPr>
        <w:t> Portfolio:</w:t>
      </w:r>
    </w:p>
    <w:p>
      <w:pPr>
        <w:pStyle w:val="BodyText"/>
        <w:spacing w:line="249" w:lineRule="auto" w:before="136"/>
        <w:ind w:left="720" w:right="720"/>
        <w:jc w:val="both"/>
      </w:pPr>
      <w:r>
        <w:rPr/>
        <w:t>IBRD’s existing guidelines allow for the investment in a wide variety of credit products in both developed and emerging market economies (see investment eligibility criteria in Box 8). In FY23, IBRD’s liquid asset portfolio incurred unrealized mark-to-market losses due to the sharp increase in interest rates.</w:t>
      </w:r>
    </w:p>
    <w:p>
      <w:pPr>
        <w:pStyle w:val="BodyText"/>
        <w:spacing w:line="249" w:lineRule="auto" w:before="122"/>
        <w:ind w:left="720" w:right="718"/>
        <w:jc w:val="both"/>
      </w:pPr>
      <w:r>
        <w:rPr/>
        <w:t>The interest rate risk on IBRD’s liquid asset portfolio, including the risk that the value of assets in the portfolio will fluctuate in response to changes in market interest rates, is managed within specified duration-mismatch limits. The liquid asset portfolio has spread exposure because IBRD holds instruments other than the short-term bank deposits represented by the portfolios’ London Interbank Bid Rate (LIBID) benchmark. These investments generally yield positive returns over the benchmark but can generate mark-to-market losses if their spreads relative to LIBOR</w:t>
      </w:r>
      <w:r>
        <w:rPr>
          <w:spacing w:val="40"/>
        </w:rPr>
        <w:t> </w:t>
      </w:r>
      <w:r>
        <w:rPr>
          <w:spacing w:val="-2"/>
        </w:rPr>
        <w:t>widen.</w:t>
      </w:r>
    </w:p>
    <w:p>
      <w:pPr>
        <w:pStyle w:val="BodyText"/>
        <w:spacing w:after="0" w:line="249" w:lineRule="auto"/>
        <w:jc w:val="both"/>
        <w:sectPr>
          <w:pgSz w:w="12240" w:h="15840"/>
          <w:pgMar w:header="744" w:footer="583" w:top="1020" w:bottom="780" w:left="720" w:right="720"/>
        </w:sectPr>
      </w:pPr>
    </w:p>
    <w:p>
      <w:pPr>
        <w:pStyle w:val="BodyText"/>
        <w:spacing w:before="100"/>
        <w:rPr>
          <w:sz w:val="22"/>
        </w:rPr>
      </w:pPr>
    </w:p>
    <w:p>
      <w:pPr>
        <w:pStyle w:val="Heading6"/>
      </w:pPr>
      <w:r>
        <w:rPr/>
        <w:t>Fixed</w:t>
      </w:r>
      <w:r>
        <w:rPr>
          <w:spacing w:val="-1"/>
        </w:rPr>
        <w:t> </w:t>
      </w:r>
      <w:r>
        <w:rPr/>
        <w:t>Spread</w:t>
      </w:r>
      <w:r>
        <w:rPr>
          <w:spacing w:val="-1"/>
        </w:rPr>
        <w:t> </w:t>
      </w:r>
      <w:r>
        <w:rPr/>
        <w:t>Loan</w:t>
      </w:r>
      <w:r>
        <w:rPr>
          <w:spacing w:val="-1"/>
        </w:rPr>
        <w:t> </w:t>
      </w:r>
      <w:r>
        <w:rPr/>
        <w:t>Refinancing </w:t>
      </w:r>
      <w:r>
        <w:rPr>
          <w:spacing w:val="-4"/>
        </w:rPr>
        <w:t>Risk</w:t>
      </w:r>
    </w:p>
    <w:p>
      <w:pPr>
        <w:pStyle w:val="BodyText"/>
        <w:spacing w:line="249" w:lineRule="auto" w:before="136"/>
        <w:ind w:left="720" w:right="719"/>
        <w:jc w:val="both"/>
      </w:pPr>
      <w:r>
        <w:rPr/>
        <w:t>Refinancing risk for funding fixed-spread loans relates to the potential impact of any future deterioration in IBRD's funding spread relative to what was computed in the fixed-spread when the loan was initially disbursed. IBRD does not match the maturity of its funding with that of its fixed spread loans as this would result in significantly higher financing costs for all loans. Instead, IBRD targets a shorter average funding maturity and manages the refinancing risk by charging a risk premium.</w:t>
      </w:r>
    </w:p>
    <w:p>
      <w:pPr>
        <w:pStyle w:val="BodyText"/>
        <w:spacing w:before="124"/>
        <w:ind w:left="720"/>
        <w:jc w:val="both"/>
      </w:pPr>
      <w:r>
        <w:rPr/>
        <w:t>Effective</w:t>
      </w:r>
      <w:r>
        <w:rPr>
          <w:spacing w:val="-5"/>
        </w:rPr>
        <w:t> </w:t>
      </w:r>
      <w:r>
        <w:rPr/>
        <w:t>April</w:t>
      </w:r>
      <w:r>
        <w:rPr>
          <w:spacing w:val="-3"/>
        </w:rPr>
        <w:t> </w:t>
      </w:r>
      <w:r>
        <w:rPr/>
        <w:t>1,</w:t>
      </w:r>
      <w:r>
        <w:rPr>
          <w:spacing w:val="-2"/>
        </w:rPr>
        <w:t> </w:t>
      </w:r>
      <w:r>
        <w:rPr/>
        <w:t>2021,</w:t>
      </w:r>
      <w:r>
        <w:rPr>
          <w:spacing w:val="-2"/>
        </w:rPr>
        <w:t> </w:t>
      </w:r>
      <w:r>
        <w:rPr/>
        <w:t>IBRD’s</w:t>
      </w:r>
      <w:r>
        <w:rPr>
          <w:spacing w:val="-2"/>
        </w:rPr>
        <w:t> </w:t>
      </w:r>
      <w:r>
        <w:rPr/>
        <w:t>offering</w:t>
      </w:r>
      <w:r>
        <w:rPr>
          <w:spacing w:val="-2"/>
        </w:rPr>
        <w:t> </w:t>
      </w:r>
      <w:r>
        <w:rPr/>
        <w:t>of</w:t>
      </w:r>
      <w:r>
        <w:rPr>
          <w:spacing w:val="-2"/>
        </w:rPr>
        <w:t> </w:t>
      </w:r>
      <w:r>
        <w:rPr/>
        <w:t>loans</w:t>
      </w:r>
      <w:r>
        <w:rPr>
          <w:spacing w:val="-3"/>
        </w:rPr>
        <w:t> </w:t>
      </w:r>
      <w:r>
        <w:rPr/>
        <w:t>on</w:t>
      </w:r>
      <w:r>
        <w:rPr>
          <w:spacing w:val="-2"/>
        </w:rPr>
        <w:t> </w:t>
      </w:r>
      <w:r>
        <w:rPr/>
        <w:t>fixed</w:t>
      </w:r>
      <w:r>
        <w:rPr>
          <w:spacing w:val="-1"/>
        </w:rPr>
        <w:t> </w:t>
      </w:r>
      <w:r>
        <w:rPr/>
        <w:t>spread</w:t>
      </w:r>
      <w:r>
        <w:rPr>
          <w:spacing w:val="-2"/>
        </w:rPr>
        <w:t> </w:t>
      </w:r>
      <w:r>
        <w:rPr/>
        <w:t>terms</w:t>
      </w:r>
      <w:r>
        <w:rPr>
          <w:spacing w:val="-3"/>
        </w:rPr>
        <w:t> </w:t>
      </w:r>
      <w:r>
        <w:rPr/>
        <w:t>has</w:t>
      </w:r>
      <w:r>
        <w:rPr>
          <w:spacing w:val="-3"/>
        </w:rPr>
        <w:t> </w:t>
      </w:r>
      <w:r>
        <w:rPr/>
        <w:t>been</w:t>
      </w:r>
      <w:r>
        <w:rPr>
          <w:spacing w:val="-1"/>
        </w:rPr>
        <w:t> </w:t>
      </w:r>
      <w:r>
        <w:rPr>
          <w:spacing w:val="-2"/>
        </w:rPr>
        <w:t>suspended.</w:t>
      </w:r>
    </w:p>
    <w:p>
      <w:pPr>
        <w:pStyle w:val="Heading6"/>
        <w:spacing w:before="125"/>
      </w:pPr>
      <w:r>
        <w:rPr/>
        <w:t>Other</w:t>
      </w:r>
      <w:r>
        <w:rPr>
          <w:spacing w:val="-1"/>
        </w:rPr>
        <w:t> </w:t>
      </w:r>
      <w:r>
        <w:rPr/>
        <w:t>Interest</w:t>
      </w:r>
      <w:r>
        <w:rPr>
          <w:spacing w:val="-1"/>
        </w:rPr>
        <w:t> </w:t>
      </w:r>
      <w:r>
        <w:rPr/>
        <w:t>Rate </w:t>
      </w:r>
      <w:r>
        <w:rPr>
          <w:spacing w:val="-2"/>
        </w:rPr>
        <w:t>Risks</w:t>
      </w:r>
    </w:p>
    <w:p>
      <w:pPr>
        <w:pStyle w:val="BodyText"/>
        <w:spacing w:line="249" w:lineRule="auto" w:before="136"/>
        <w:ind w:left="720" w:right="718"/>
        <w:jc w:val="both"/>
      </w:pPr>
      <w:r>
        <w:rPr/>
        <w:t>Interest rate risk also arises from other variables, including differences in timing between the contractual maturities or re-pricing of IBRD’s assets, liabilities, and derivative instruments. On variable-rate assets and liabilities, IBRD is exposed to timing mismatches between the re-set dates on its variable-rate receivables and payables. IBRD monitors these exposures and may execute overlay interest rates swaps to reduce sizable timing mismatches.</w:t>
      </w:r>
    </w:p>
    <w:p>
      <w:pPr>
        <w:pStyle w:val="Heading6"/>
        <w:spacing w:before="118"/>
      </w:pPr>
      <w:r>
        <w:rPr/>
        <w:t>Alternative</w:t>
      </w:r>
      <w:r>
        <w:rPr>
          <w:spacing w:val="-1"/>
        </w:rPr>
        <w:t> </w:t>
      </w:r>
      <w:r>
        <w:rPr/>
        <w:t>Reference </w:t>
      </w:r>
      <w:r>
        <w:rPr>
          <w:spacing w:val="-4"/>
        </w:rPr>
        <w:t>Rate</w:t>
      </w:r>
    </w:p>
    <w:p>
      <w:pPr>
        <w:pStyle w:val="BodyText"/>
        <w:spacing w:line="249" w:lineRule="auto" w:before="136"/>
        <w:ind w:left="720" w:right="719"/>
        <w:jc w:val="both"/>
      </w:pPr>
      <w:r>
        <w:rPr/>
        <w:t>The Financial Conduct Authority (FCA), the regulator of LIBOR, confirmed that effective December 31, 2021, all the LIBOR settings, except for certain USD LIBOR, which were available until June 30, 2023, ceased to be</w:t>
      </w:r>
      <w:r>
        <w:rPr>
          <w:spacing w:val="40"/>
        </w:rPr>
        <w:t> </w:t>
      </w:r>
      <w:r>
        <w:rPr/>
        <w:t>provided by any administrator or were no longer representative.</w:t>
      </w:r>
    </w:p>
    <w:p>
      <w:pPr>
        <w:pStyle w:val="BodyText"/>
        <w:spacing w:line="249" w:lineRule="auto" w:before="123"/>
        <w:ind w:left="720" w:right="721"/>
        <w:jc w:val="both"/>
      </w:pPr>
      <w:r>
        <w:rPr/>
        <w:t>In consideration of the regulatory guidance and in preparation for the global markets’ transition away from LIBOR, IBRD took the necessary steps to facilitate a smooth and orderly transition of its financial instruments to alternative reference rates. This transition started on January 1, 2022.</w:t>
      </w:r>
    </w:p>
    <w:p>
      <w:pPr>
        <w:pStyle w:val="BodyText"/>
        <w:spacing w:line="249" w:lineRule="auto" w:before="122"/>
        <w:ind w:left="720" w:right="718"/>
        <w:jc w:val="both"/>
      </w:pPr>
      <w:r>
        <w:rPr/>
        <w:t>Out of the total loans outstanding as of June 30, 2023, approximately 58% have transitioned and 10% are still</w:t>
      </w:r>
      <w:r>
        <w:rPr>
          <w:spacing w:val="40"/>
        </w:rPr>
        <w:t> </w:t>
      </w:r>
      <w:r>
        <w:rPr/>
        <w:t>subject to transition to alternative reference rates. The remaining 32% of the total loans outstanding are not required to transition to alternative reference rates. The switch over of existing variable spread and non-USD fixed spread loans to alternative reference rates began in January 2022, at the loan reset dates, and was completed as of June 30, 2022. The</w:t>
      </w:r>
      <w:r>
        <w:rPr>
          <w:spacing w:val="-1"/>
        </w:rPr>
        <w:t> </w:t>
      </w:r>
      <w:r>
        <w:rPr/>
        <w:t>USD</w:t>
      </w:r>
      <w:r>
        <w:rPr>
          <w:spacing w:val="-1"/>
        </w:rPr>
        <w:t> </w:t>
      </w:r>
      <w:r>
        <w:rPr/>
        <w:t>fixed spread loans</w:t>
      </w:r>
      <w:r>
        <w:rPr>
          <w:spacing w:val="-1"/>
        </w:rPr>
        <w:t> </w:t>
      </w:r>
      <w:r>
        <w:rPr/>
        <w:t>started transitioning in July 2023, as</w:t>
      </w:r>
      <w:r>
        <w:rPr>
          <w:spacing w:val="-1"/>
        </w:rPr>
        <w:t> </w:t>
      </w:r>
      <w:r>
        <w:rPr/>
        <w:t>the</w:t>
      </w:r>
      <w:r>
        <w:rPr>
          <w:spacing w:val="-1"/>
        </w:rPr>
        <w:t> </w:t>
      </w:r>
      <w:r>
        <w:rPr/>
        <w:t>loans</w:t>
      </w:r>
      <w:r>
        <w:rPr>
          <w:spacing w:val="-1"/>
        </w:rPr>
        <w:t> </w:t>
      </w:r>
      <w:r>
        <w:rPr/>
        <w:t>reset, and will</w:t>
      </w:r>
      <w:r>
        <w:rPr>
          <w:spacing w:val="-1"/>
        </w:rPr>
        <w:t> </w:t>
      </w:r>
      <w:r>
        <w:rPr/>
        <w:t>be</w:t>
      </w:r>
      <w:r>
        <w:rPr>
          <w:spacing w:val="-1"/>
        </w:rPr>
        <w:t> </w:t>
      </w:r>
      <w:r>
        <w:rPr/>
        <w:t>completed by the end of December 2023.</w:t>
      </w:r>
    </w:p>
    <w:p>
      <w:pPr>
        <w:pStyle w:val="BodyText"/>
        <w:spacing w:line="249" w:lineRule="auto" w:before="125"/>
        <w:ind w:left="720" w:right="718"/>
        <w:jc w:val="both"/>
      </w:pPr>
      <w:r>
        <w:rPr/>
        <w:t>Out of the total derivative portfolio notional as of June 30, 2023, less than 1% have transitioned and 68% are still subject to transition to alternative reference rates, which started in July 2023, as derivatives reset. The remaining 32% of the total derivative portfolio notional is not subject to transition to alternative reference rates. For the vast majority of the derivative portfolio subject to transition, IBRD either has sufficient provisions in the derivative agreements</w:t>
      </w:r>
      <w:r>
        <w:rPr>
          <w:spacing w:val="-2"/>
        </w:rPr>
        <w:t> </w:t>
      </w:r>
      <w:r>
        <w:rPr/>
        <w:t>with</w:t>
      </w:r>
      <w:r>
        <w:rPr>
          <w:spacing w:val="-2"/>
        </w:rPr>
        <w:t> </w:t>
      </w:r>
      <w:r>
        <w:rPr/>
        <w:t>its</w:t>
      </w:r>
      <w:r>
        <w:rPr>
          <w:spacing w:val="-2"/>
        </w:rPr>
        <w:t> </w:t>
      </w:r>
      <w:r>
        <w:rPr/>
        <w:t>counterparties,</w:t>
      </w:r>
      <w:r>
        <w:rPr>
          <w:spacing w:val="-2"/>
        </w:rPr>
        <w:t> </w:t>
      </w:r>
      <w:r>
        <w:rPr/>
        <w:t>has</w:t>
      </w:r>
      <w:r>
        <w:rPr>
          <w:spacing w:val="-2"/>
        </w:rPr>
        <w:t> </w:t>
      </w:r>
      <w:r>
        <w:rPr/>
        <w:t>adhered</w:t>
      </w:r>
      <w:r>
        <w:rPr>
          <w:spacing w:val="-2"/>
        </w:rPr>
        <w:t> </w:t>
      </w:r>
      <w:r>
        <w:rPr/>
        <w:t>to</w:t>
      </w:r>
      <w:r>
        <w:rPr>
          <w:spacing w:val="-2"/>
        </w:rPr>
        <w:t> </w:t>
      </w:r>
      <w:r>
        <w:rPr/>
        <w:t>the</w:t>
      </w:r>
      <w:r>
        <w:rPr>
          <w:spacing w:val="-2"/>
        </w:rPr>
        <w:t> </w:t>
      </w:r>
      <w:r>
        <w:rPr/>
        <w:t>International</w:t>
      </w:r>
      <w:r>
        <w:rPr>
          <w:spacing w:val="-2"/>
        </w:rPr>
        <w:t> </w:t>
      </w:r>
      <w:r>
        <w:rPr/>
        <w:t>Swaps</w:t>
      </w:r>
      <w:r>
        <w:rPr>
          <w:spacing w:val="-2"/>
        </w:rPr>
        <w:t> </w:t>
      </w:r>
      <w:r>
        <w:rPr/>
        <w:t>and</w:t>
      </w:r>
      <w:r>
        <w:rPr>
          <w:spacing w:val="-2"/>
        </w:rPr>
        <w:t> </w:t>
      </w:r>
      <w:r>
        <w:rPr/>
        <w:t>Derivatives</w:t>
      </w:r>
      <w:r>
        <w:rPr>
          <w:spacing w:val="-2"/>
        </w:rPr>
        <w:t> </w:t>
      </w:r>
      <w:r>
        <w:rPr/>
        <w:t>Association</w:t>
      </w:r>
      <w:r>
        <w:rPr>
          <w:spacing w:val="-2"/>
        </w:rPr>
        <w:t> </w:t>
      </w:r>
      <w:r>
        <w:rPr/>
        <w:t>(ISDA)</w:t>
      </w:r>
      <w:r>
        <w:rPr>
          <w:spacing w:val="-2"/>
        </w:rPr>
        <w:t> </w:t>
      </w:r>
      <w:r>
        <w:rPr/>
        <w:t>2020 IBOR Fallbacks Protocol (IBOR Protocol) or works bilaterally with counterparties, to ensure a smooth transition to alternative reference rates.</w:t>
      </w:r>
    </w:p>
    <w:p>
      <w:pPr>
        <w:pStyle w:val="BodyText"/>
        <w:spacing w:line="249" w:lineRule="auto" w:before="126"/>
        <w:ind w:left="720" w:right="721"/>
        <w:jc w:val="both"/>
      </w:pPr>
      <w:r>
        <w:rPr/>
        <w:t>As of June 30, 2023, almost all of IBRD’s borrowings either carry fixed interest rates or are not subject to transition to alternative reference rates.</w:t>
      </w:r>
    </w:p>
    <w:p>
      <w:pPr>
        <w:pStyle w:val="BodyText"/>
        <w:spacing w:line="249" w:lineRule="auto" w:before="121"/>
        <w:ind w:left="720" w:right="718"/>
        <w:jc w:val="both"/>
      </w:pPr>
      <w:r>
        <w:rPr/>
        <w:t>IBRD will continue to work with key stakeholders, including internal subject matter experts, senior management, borrowers, industry groups and other market participants, to mitigate potential financial and operational risks to which IBRD is exposed, and to ensure an orderly transition to the alternative reference rates.</w:t>
      </w:r>
    </w:p>
    <w:p>
      <w:pPr>
        <w:pStyle w:val="Heading4"/>
        <w:spacing w:before="174"/>
      </w:pPr>
      <w:r>
        <w:rPr/>
        <w:t>Exchange</w:t>
      </w:r>
      <w:r>
        <w:rPr>
          <w:spacing w:val="-4"/>
        </w:rPr>
        <w:t> </w:t>
      </w:r>
      <w:r>
        <w:rPr/>
        <w:t>Rate</w:t>
      </w:r>
      <w:r>
        <w:rPr>
          <w:spacing w:val="-1"/>
        </w:rPr>
        <w:t> </w:t>
      </w:r>
      <w:r>
        <w:rPr>
          <w:spacing w:val="-4"/>
        </w:rPr>
        <w:t>Risk</w:t>
      </w:r>
    </w:p>
    <w:p>
      <w:pPr>
        <w:pStyle w:val="BodyText"/>
        <w:spacing w:line="249" w:lineRule="auto" w:before="140"/>
        <w:ind w:left="720" w:right="718"/>
        <w:jc w:val="both"/>
      </w:pPr>
      <w:r>
        <w:rPr/>
        <w:t>IBRD holds the majority of its assets and liabilities in U.S. dollars and euro. However, the reported levels of its assets, liabilities, income, and expenses in the financial statements are affected by exchange rate movements in all the currencies in which IBRD transacts, relative to its reporting currency, the U.S. dollar. IBRD’s functional currencies are the U.S. dollar and euro. Currency translation adjustments relating to euro-denominated balances are reflected in other comprehensive income, a component of equity. Currency translation adjustments relating to non-euro denominated balances (non-functional currencies) are reported in the Statements of Income. While IBRD’s equity could be affected by exchange rate movements, IBRD’s risk management policies work to minimize the exchange rate risk in its capital adequacy, by immunizing the Equity-to-Loans ratio against exchange rate </w:t>
      </w:r>
      <w:r>
        <w:rPr>
          <w:spacing w:val="-2"/>
        </w:rPr>
        <w:t>movements.</w:t>
      </w:r>
    </w:p>
    <w:p>
      <w:pPr>
        <w:pStyle w:val="BodyText"/>
        <w:spacing w:after="0" w:line="249" w:lineRule="auto"/>
        <w:jc w:val="both"/>
        <w:sectPr>
          <w:pgSz w:w="12240" w:h="15840"/>
          <w:pgMar w:header="744" w:footer="713" w:top="1020" w:bottom="900" w:left="720" w:right="720"/>
        </w:sectPr>
      </w:pPr>
    </w:p>
    <w:p>
      <w:pPr>
        <w:pStyle w:val="BodyText"/>
        <w:spacing w:before="127"/>
      </w:pPr>
    </w:p>
    <w:p>
      <w:pPr>
        <w:pStyle w:val="BodyText"/>
        <w:spacing w:line="249" w:lineRule="auto" w:before="1"/>
        <w:ind w:left="720" w:right="717"/>
        <w:jc w:val="both"/>
      </w:pPr>
      <w:r>
        <w:rPr/>
        <w:t>To minimize exchange risk, IBRD matches its borrowing obligations in any one currency (after derivatives) with assets in the same currency (Figure 26). In addition, IBRD undertakes periodic currency conversions to align the currency</w:t>
      </w:r>
      <w:r>
        <w:rPr>
          <w:spacing w:val="-2"/>
        </w:rPr>
        <w:t> </w:t>
      </w:r>
      <w:r>
        <w:rPr/>
        <w:t>composition</w:t>
      </w:r>
      <w:r>
        <w:rPr>
          <w:spacing w:val="-2"/>
        </w:rPr>
        <w:t> </w:t>
      </w:r>
      <w:r>
        <w:rPr/>
        <w:t>of</w:t>
      </w:r>
      <w:r>
        <w:rPr>
          <w:spacing w:val="-2"/>
        </w:rPr>
        <w:t> </w:t>
      </w:r>
      <w:r>
        <w:rPr/>
        <w:t>its</w:t>
      </w:r>
      <w:r>
        <w:rPr>
          <w:spacing w:val="-2"/>
        </w:rPr>
        <w:t> </w:t>
      </w:r>
      <w:r>
        <w:rPr/>
        <w:t>equity</w:t>
      </w:r>
      <w:r>
        <w:rPr>
          <w:spacing w:val="-2"/>
        </w:rPr>
        <w:t> </w:t>
      </w:r>
      <w:r>
        <w:rPr/>
        <w:t>with</w:t>
      </w:r>
      <w:r>
        <w:rPr>
          <w:spacing w:val="-2"/>
        </w:rPr>
        <w:t> </w:t>
      </w:r>
      <w:r>
        <w:rPr/>
        <w:t>that</w:t>
      </w:r>
      <w:r>
        <w:rPr>
          <w:spacing w:val="-2"/>
        </w:rPr>
        <w:t> </w:t>
      </w:r>
      <w:r>
        <w:rPr/>
        <w:t>of</w:t>
      </w:r>
      <w:r>
        <w:rPr>
          <w:spacing w:val="-2"/>
        </w:rPr>
        <w:t> </w:t>
      </w:r>
      <w:r>
        <w:rPr/>
        <w:t>its</w:t>
      </w:r>
      <w:r>
        <w:rPr>
          <w:spacing w:val="-2"/>
        </w:rPr>
        <w:t> </w:t>
      </w:r>
      <w:r>
        <w:rPr/>
        <w:t>outstanding</w:t>
      </w:r>
      <w:r>
        <w:rPr>
          <w:spacing w:val="-2"/>
        </w:rPr>
        <w:t> </w:t>
      </w:r>
      <w:r>
        <w:rPr/>
        <w:t>loans</w:t>
      </w:r>
      <w:r>
        <w:rPr>
          <w:spacing w:val="-2"/>
        </w:rPr>
        <w:t> </w:t>
      </w:r>
      <w:r>
        <w:rPr/>
        <w:t>across</w:t>
      </w:r>
      <w:r>
        <w:rPr>
          <w:spacing w:val="-2"/>
        </w:rPr>
        <w:t> </w:t>
      </w:r>
      <w:r>
        <w:rPr/>
        <w:t>major</w:t>
      </w:r>
      <w:r>
        <w:rPr>
          <w:spacing w:val="-2"/>
        </w:rPr>
        <w:t> </w:t>
      </w:r>
      <w:r>
        <w:rPr/>
        <w:t>currencies.</w:t>
      </w:r>
      <w:r>
        <w:rPr>
          <w:spacing w:val="-2"/>
        </w:rPr>
        <w:t> </w:t>
      </w:r>
      <w:r>
        <w:rPr/>
        <w:t>Together,</w:t>
      </w:r>
      <w:r>
        <w:rPr>
          <w:spacing w:val="-2"/>
        </w:rPr>
        <w:t> </w:t>
      </w:r>
      <w:r>
        <w:rPr/>
        <w:t>these</w:t>
      </w:r>
      <w:r>
        <w:rPr>
          <w:spacing w:val="-2"/>
        </w:rPr>
        <w:t> </w:t>
      </w:r>
      <w:r>
        <w:rPr/>
        <w:t>policies are designed to minimize the impact of exchange rate fluctuations on the Equity-to-Loans ratio; thereby preserving IBRD’s ability to better absorb unexpected losses from arrears on loan repayments, regardless of exchange rate movements.</w:t>
      </w:r>
      <w:r>
        <w:rPr>
          <w:spacing w:val="40"/>
        </w:rPr>
        <w:t> </w:t>
      </w:r>
      <w:r>
        <w:rPr/>
        <w:t>As a result, exchange rate movements during the year generally do not have an impact on the overall Equity-to-Loans ratio.</w:t>
      </w:r>
    </w:p>
    <w:p>
      <w:pPr>
        <w:spacing w:before="136"/>
        <w:ind w:left="720" w:right="0" w:firstLine="0"/>
        <w:jc w:val="both"/>
        <w:rPr>
          <w:rFonts w:ascii="Arial"/>
          <w:b/>
          <w:sz w:val="18"/>
        </w:rPr>
      </w:pPr>
      <w:bookmarkStart w:name="_bookmark88" w:id="128"/>
      <w:bookmarkEnd w:id="128"/>
      <w:r>
        <w:rPr/>
      </w:r>
      <w:r>
        <w:rPr>
          <w:rFonts w:ascii="Arial"/>
          <w:b/>
          <w:sz w:val="18"/>
        </w:rPr>
        <w:t>Figure</w:t>
      </w:r>
      <w:r>
        <w:rPr>
          <w:rFonts w:ascii="Arial"/>
          <w:b/>
          <w:spacing w:val="-2"/>
          <w:sz w:val="18"/>
        </w:rPr>
        <w:t> </w:t>
      </w:r>
      <w:r>
        <w:rPr>
          <w:rFonts w:ascii="Arial"/>
          <w:b/>
          <w:sz w:val="18"/>
        </w:rPr>
        <w:t>26:</w:t>
      </w:r>
      <w:r>
        <w:rPr>
          <w:rFonts w:ascii="Arial"/>
          <w:b/>
          <w:spacing w:val="-2"/>
          <w:sz w:val="18"/>
        </w:rPr>
        <w:t> </w:t>
      </w:r>
      <w:r>
        <w:rPr>
          <w:rFonts w:ascii="Arial"/>
          <w:b/>
          <w:sz w:val="18"/>
        </w:rPr>
        <w:t>Currency</w:t>
      </w:r>
      <w:r>
        <w:rPr>
          <w:rFonts w:ascii="Arial"/>
          <w:b/>
          <w:spacing w:val="-1"/>
          <w:sz w:val="18"/>
        </w:rPr>
        <w:t> </w:t>
      </w:r>
      <w:r>
        <w:rPr>
          <w:rFonts w:ascii="Arial"/>
          <w:b/>
          <w:sz w:val="18"/>
        </w:rPr>
        <w:t>Composition</w:t>
      </w:r>
      <w:r>
        <w:rPr>
          <w:rFonts w:ascii="Arial"/>
          <w:b/>
          <w:spacing w:val="-2"/>
          <w:sz w:val="18"/>
        </w:rPr>
        <w:t> </w:t>
      </w:r>
      <w:r>
        <w:rPr>
          <w:rFonts w:ascii="Arial"/>
          <w:b/>
          <w:sz w:val="18"/>
        </w:rPr>
        <w:t>of</w:t>
      </w:r>
      <w:r>
        <w:rPr>
          <w:rFonts w:ascii="Arial"/>
          <w:b/>
          <w:spacing w:val="-2"/>
          <w:sz w:val="18"/>
        </w:rPr>
        <w:t> </w:t>
      </w:r>
      <w:r>
        <w:rPr>
          <w:rFonts w:ascii="Arial"/>
          <w:b/>
          <w:sz w:val="18"/>
        </w:rPr>
        <w:t>Loan</w:t>
      </w:r>
      <w:r>
        <w:rPr>
          <w:rFonts w:ascii="Arial"/>
          <w:b/>
          <w:spacing w:val="-1"/>
          <w:sz w:val="18"/>
        </w:rPr>
        <w:t> </w:t>
      </w:r>
      <w:r>
        <w:rPr>
          <w:rFonts w:ascii="Arial"/>
          <w:b/>
          <w:sz w:val="18"/>
        </w:rPr>
        <w:t>and</w:t>
      </w:r>
      <w:r>
        <w:rPr>
          <w:rFonts w:ascii="Arial"/>
          <w:b/>
          <w:spacing w:val="-2"/>
          <w:sz w:val="18"/>
        </w:rPr>
        <w:t> </w:t>
      </w:r>
      <w:r>
        <w:rPr>
          <w:rFonts w:ascii="Arial"/>
          <w:b/>
          <w:sz w:val="18"/>
        </w:rPr>
        <w:t>Borrowing</w:t>
      </w:r>
      <w:r>
        <w:rPr>
          <w:rFonts w:ascii="Arial"/>
          <w:b/>
          <w:spacing w:val="-1"/>
          <w:sz w:val="18"/>
        </w:rPr>
        <w:t> </w:t>
      </w:r>
      <w:r>
        <w:rPr>
          <w:rFonts w:ascii="Arial"/>
          <w:b/>
          <w:sz w:val="18"/>
        </w:rPr>
        <w:t>Portfolios</w:t>
      </w:r>
      <w:r>
        <w:rPr>
          <w:rFonts w:ascii="Arial"/>
          <w:b/>
          <w:spacing w:val="-2"/>
          <w:sz w:val="18"/>
        </w:rPr>
        <w:t> </w:t>
      </w:r>
      <w:r>
        <w:rPr>
          <w:rFonts w:ascii="Arial"/>
          <w:b/>
          <w:sz w:val="18"/>
        </w:rPr>
        <w:t>as</w:t>
      </w:r>
      <w:r>
        <w:rPr>
          <w:rFonts w:ascii="Arial"/>
          <w:b/>
          <w:spacing w:val="-2"/>
          <w:sz w:val="18"/>
        </w:rPr>
        <w:t> </w:t>
      </w:r>
      <w:r>
        <w:rPr>
          <w:rFonts w:ascii="Arial"/>
          <w:b/>
          <w:sz w:val="18"/>
        </w:rPr>
        <w:t>of</w:t>
      </w:r>
      <w:r>
        <w:rPr>
          <w:rFonts w:ascii="Arial"/>
          <w:b/>
          <w:spacing w:val="-1"/>
          <w:sz w:val="18"/>
        </w:rPr>
        <w:t> </w:t>
      </w:r>
      <w:r>
        <w:rPr>
          <w:rFonts w:ascii="Arial"/>
          <w:b/>
          <w:sz w:val="18"/>
        </w:rPr>
        <w:t>June</w:t>
      </w:r>
      <w:r>
        <w:rPr>
          <w:rFonts w:ascii="Arial"/>
          <w:b/>
          <w:spacing w:val="-2"/>
          <w:sz w:val="18"/>
        </w:rPr>
        <w:t> </w:t>
      </w:r>
      <w:r>
        <w:rPr>
          <w:rFonts w:ascii="Arial"/>
          <w:b/>
          <w:sz w:val="18"/>
        </w:rPr>
        <w:t>30,</w:t>
      </w:r>
      <w:r>
        <w:rPr>
          <w:rFonts w:ascii="Arial"/>
          <w:b/>
          <w:spacing w:val="-1"/>
          <w:sz w:val="18"/>
        </w:rPr>
        <w:t> </w:t>
      </w:r>
      <w:r>
        <w:rPr>
          <w:rFonts w:ascii="Arial"/>
          <w:b/>
          <w:spacing w:val="-4"/>
          <w:sz w:val="18"/>
        </w:rPr>
        <w:t>2023</w:t>
      </w:r>
    </w:p>
    <w:p>
      <w:pPr>
        <w:pStyle w:val="BodyText"/>
        <w:spacing w:before="4"/>
        <w:rPr>
          <w:rFonts w:ascii="Arial"/>
          <w:b/>
          <w:sz w:val="12"/>
        </w:rPr>
      </w:pPr>
      <w:r>
        <w:rPr>
          <w:rFonts w:ascii="Arial"/>
          <w:b/>
          <w:sz w:val="12"/>
        </w:rPr>
        <mc:AlternateContent>
          <mc:Choice Requires="wps">
            <w:drawing>
              <wp:anchor distT="0" distB="0" distL="0" distR="0" allowOverlap="1" layoutInCell="1" locked="0" behindDoc="1" simplePos="0" relativeHeight="487663616">
                <wp:simplePos x="0" y="0"/>
                <wp:positionH relativeFrom="page">
                  <wp:posOffset>914400</wp:posOffset>
                </wp:positionH>
                <wp:positionV relativeFrom="paragraph">
                  <wp:posOffset>105904</wp:posOffset>
                </wp:positionV>
                <wp:extent cx="2905125" cy="190500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2905125" cy="1905000"/>
                          <a:chExt cx="2905125" cy="1905000"/>
                        </a:xfrm>
                      </wpg:grpSpPr>
                      <wps:wsp>
                        <wps:cNvPr id="522" name="Graphic 522"/>
                        <wps:cNvSpPr/>
                        <wps:spPr>
                          <a:xfrm>
                            <a:off x="1508903" y="501719"/>
                            <a:ext cx="521334" cy="506730"/>
                          </a:xfrm>
                          <a:custGeom>
                            <a:avLst/>
                            <a:gdLst/>
                            <a:ahLst/>
                            <a:cxnLst/>
                            <a:rect l="l" t="t" r="r" b="b"/>
                            <a:pathLst>
                              <a:path w="521334" h="506730">
                                <a:moveTo>
                                  <a:pt x="51578" y="0"/>
                                </a:moveTo>
                                <a:lnTo>
                                  <a:pt x="0" y="292064"/>
                                </a:lnTo>
                                <a:lnTo>
                                  <a:pt x="47001" y="304397"/>
                                </a:lnTo>
                                <a:lnTo>
                                  <a:pt x="90658" y="323867"/>
                                </a:lnTo>
                                <a:lnTo>
                                  <a:pt x="130279" y="349841"/>
                                </a:lnTo>
                                <a:lnTo>
                                  <a:pt x="165172" y="381689"/>
                                </a:lnTo>
                                <a:lnTo>
                                  <a:pt x="194647" y="418780"/>
                                </a:lnTo>
                                <a:lnTo>
                                  <a:pt x="218012" y="460483"/>
                                </a:lnTo>
                                <a:lnTo>
                                  <a:pt x="234575" y="506166"/>
                                </a:lnTo>
                                <a:lnTo>
                                  <a:pt x="520729" y="428200"/>
                                </a:lnTo>
                                <a:lnTo>
                                  <a:pt x="505953" y="381601"/>
                                </a:lnTo>
                                <a:lnTo>
                                  <a:pt x="487603" y="336835"/>
                                </a:lnTo>
                                <a:lnTo>
                                  <a:pt x="465852" y="294058"/>
                                </a:lnTo>
                                <a:lnTo>
                                  <a:pt x="440873" y="253430"/>
                                </a:lnTo>
                                <a:lnTo>
                                  <a:pt x="412840" y="215107"/>
                                </a:lnTo>
                                <a:lnTo>
                                  <a:pt x="381924" y="179248"/>
                                </a:lnTo>
                                <a:lnTo>
                                  <a:pt x="348298" y="146011"/>
                                </a:lnTo>
                                <a:lnTo>
                                  <a:pt x="312136" y="115553"/>
                                </a:lnTo>
                                <a:lnTo>
                                  <a:pt x="273611" y="88031"/>
                                </a:lnTo>
                                <a:lnTo>
                                  <a:pt x="232894" y="63604"/>
                                </a:lnTo>
                                <a:lnTo>
                                  <a:pt x="190160" y="42430"/>
                                </a:lnTo>
                                <a:lnTo>
                                  <a:pt x="145581" y="24666"/>
                                </a:lnTo>
                                <a:lnTo>
                                  <a:pt x="99329" y="10470"/>
                                </a:lnTo>
                                <a:lnTo>
                                  <a:pt x="51578" y="0"/>
                                </a:lnTo>
                                <a:close/>
                              </a:path>
                            </a:pathLst>
                          </a:custGeom>
                          <a:solidFill>
                            <a:srgbClr val="585858"/>
                          </a:solidFill>
                        </wps:spPr>
                        <wps:bodyPr wrap="square" lIns="0" tIns="0" rIns="0" bIns="0" rtlCol="0">
                          <a:prstTxWarp prst="textNoShape">
                            <a:avLst/>
                          </a:prstTxWarp>
                          <a:noAutofit/>
                        </wps:bodyPr>
                      </wps:wsp>
                      <wps:wsp>
                        <wps:cNvPr id="523" name="Graphic 523"/>
                        <wps:cNvSpPr/>
                        <wps:spPr>
                          <a:xfrm>
                            <a:off x="864381" y="492669"/>
                            <a:ext cx="1186180" cy="1186815"/>
                          </a:xfrm>
                          <a:custGeom>
                            <a:avLst/>
                            <a:gdLst/>
                            <a:ahLst/>
                            <a:cxnLst/>
                            <a:rect l="l" t="t" r="r" b="b"/>
                            <a:pathLst>
                              <a:path w="1186180" h="1186815">
                                <a:moveTo>
                                  <a:pt x="598300" y="0"/>
                                </a:moveTo>
                                <a:lnTo>
                                  <a:pt x="550303" y="1497"/>
                                </a:lnTo>
                                <a:lnTo>
                                  <a:pt x="502954" y="6830"/>
                                </a:lnTo>
                                <a:lnTo>
                                  <a:pt x="456458" y="15891"/>
                                </a:lnTo>
                                <a:lnTo>
                                  <a:pt x="411024" y="28577"/>
                                </a:lnTo>
                                <a:lnTo>
                                  <a:pt x="366857" y="44782"/>
                                </a:lnTo>
                                <a:lnTo>
                                  <a:pt x="324165" y="64400"/>
                                </a:lnTo>
                                <a:lnTo>
                                  <a:pt x="283155" y="87327"/>
                                </a:lnTo>
                                <a:lnTo>
                                  <a:pt x="244034" y="113458"/>
                                </a:lnTo>
                                <a:lnTo>
                                  <a:pt x="207008" y="142686"/>
                                </a:lnTo>
                                <a:lnTo>
                                  <a:pt x="172285" y="174908"/>
                                </a:lnTo>
                                <a:lnTo>
                                  <a:pt x="140071" y="210018"/>
                                </a:lnTo>
                                <a:lnTo>
                                  <a:pt x="110574" y="247910"/>
                                </a:lnTo>
                                <a:lnTo>
                                  <a:pt x="83999" y="288480"/>
                                </a:lnTo>
                                <a:lnTo>
                                  <a:pt x="60555" y="331622"/>
                                </a:lnTo>
                                <a:lnTo>
                                  <a:pt x="40734" y="376544"/>
                                </a:lnTo>
                                <a:lnTo>
                                  <a:pt x="24862" y="422372"/>
                                </a:lnTo>
                                <a:lnTo>
                                  <a:pt x="12896" y="468877"/>
                                </a:lnTo>
                                <a:lnTo>
                                  <a:pt x="4792" y="515832"/>
                                </a:lnTo>
                                <a:lnTo>
                                  <a:pt x="508" y="563008"/>
                                </a:lnTo>
                                <a:lnTo>
                                  <a:pt x="0" y="610177"/>
                                </a:lnTo>
                                <a:lnTo>
                                  <a:pt x="3224" y="657112"/>
                                </a:lnTo>
                                <a:lnTo>
                                  <a:pt x="10139" y="703584"/>
                                </a:lnTo>
                                <a:lnTo>
                                  <a:pt x="20701" y="749366"/>
                                </a:lnTo>
                                <a:lnTo>
                                  <a:pt x="34865" y="794228"/>
                                </a:lnTo>
                                <a:lnTo>
                                  <a:pt x="52590" y="837944"/>
                                </a:lnTo>
                                <a:lnTo>
                                  <a:pt x="73832" y="880284"/>
                                </a:lnTo>
                                <a:lnTo>
                                  <a:pt x="98548" y="921022"/>
                                </a:lnTo>
                                <a:lnTo>
                                  <a:pt x="126695" y="959928"/>
                                </a:lnTo>
                                <a:lnTo>
                                  <a:pt x="158228" y="996775"/>
                                </a:lnTo>
                                <a:lnTo>
                                  <a:pt x="193106" y="1031335"/>
                                </a:lnTo>
                                <a:lnTo>
                                  <a:pt x="230705" y="1062914"/>
                                </a:lnTo>
                                <a:lnTo>
                                  <a:pt x="270277" y="1090953"/>
                                </a:lnTo>
                                <a:lnTo>
                                  <a:pt x="311589" y="1115432"/>
                                </a:lnTo>
                                <a:lnTo>
                                  <a:pt x="354412" y="1136326"/>
                                </a:lnTo>
                                <a:lnTo>
                                  <a:pt x="398515" y="1153616"/>
                                </a:lnTo>
                                <a:lnTo>
                                  <a:pt x="443665" y="1167277"/>
                                </a:lnTo>
                                <a:lnTo>
                                  <a:pt x="489633" y="1177289"/>
                                </a:lnTo>
                                <a:lnTo>
                                  <a:pt x="536187" y="1183628"/>
                                </a:lnTo>
                                <a:lnTo>
                                  <a:pt x="583096" y="1186273"/>
                                </a:lnTo>
                                <a:lnTo>
                                  <a:pt x="630130" y="1185201"/>
                                </a:lnTo>
                                <a:lnTo>
                                  <a:pt x="677056" y="1180390"/>
                                </a:lnTo>
                                <a:lnTo>
                                  <a:pt x="723644" y="1171818"/>
                                </a:lnTo>
                                <a:lnTo>
                                  <a:pt x="769663" y="1159463"/>
                                </a:lnTo>
                                <a:lnTo>
                                  <a:pt x="814883" y="1143302"/>
                                </a:lnTo>
                                <a:lnTo>
                                  <a:pt x="859071" y="1123314"/>
                                </a:lnTo>
                                <a:lnTo>
                                  <a:pt x="901996" y="1099476"/>
                                </a:lnTo>
                                <a:lnTo>
                                  <a:pt x="942819" y="1072192"/>
                                </a:lnTo>
                                <a:lnTo>
                                  <a:pt x="980794" y="1042027"/>
                                </a:lnTo>
                                <a:lnTo>
                                  <a:pt x="1015837" y="1009194"/>
                                </a:lnTo>
                                <a:lnTo>
                                  <a:pt x="1047860" y="973911"/>
                                </a:lnTo>
                                <a:lnTo>
                                  <a:pt x="1076778" y="936392"/>
                                </a:lnTo>
                                <a:lnTo>
                                  <a:pt x="1102506" y="896853"/>
                                </a:lnTo>
                                <a:lnTo>
                                  <a:pt x="1124957" y="855510"/>
                                </a:lnTo>
                                <a:lnTo>
                                  <a:pt x="1144046" y="812579"/>
                                </a:lnTo>
                                <a:lnTo>
                                  <a:pt x="1159686" y="768275"/>
                                </a:lnTo>
                                <a:lnTo>
                                  <a:pt x="1171792" y="722814"/>
                                </a:lnTo>
                                <a:lnTo>
                                  <a:pt x="1180279" y="676411"/>
                                </a:lnTo>
                                <a:lnTo>
                                  <a:pt x="1185059" y="629283"/>
                                </a:lnTo>
                                <a:lnTo>
                                  <a:pt x="1186048" y="581644"/>
                                </a:lnTo>
                                <a:lnTo>
                                  <a:pt x="1183160" y="533711"/>
                                </a:lnTo>
                                <a:lnTo>
                                  <a:pt x="1176308" y="485699"/>
                                </a:lnTo>
                                <a:lnTo>
                                  <a:pt x="1165407" y="437824"/>
                                </a:lnTo>
                                <a:lnTo>
                                  <a:pt x="879174" y="515502"/>
                                </a:lnTo>
                                <a:lnTo>
                                  <a:pt x="888051" y="563445"/>
                                </a:lnTo>
                                <a:lnTo>
                                  <a:pt x="889001" y="611231"/>
                                </a:lnTo>
                                <a:lnTo>
                                  <a:pt x="882368" y="657997"/>
                                </a:lnTo>
                                <a:lnTo>
                                  <a:pt x="868495" y="702880"/>
                                </a:lnTo>
                                <a:lnTo>
                                  <a:pt x="847725" y="745017"/>
                                </a:lnTo>
                                <a:lnTo>
                                  <a:pt x="820402" y="783545"/>
                                </a:lnTo>
                                <a:lnTo>
                                  <a:pt x="786869" y="817603"/>
                                </a:lnTo>
                                <a:lnTo>
                                  <a:pt x="747470" y="846328"/>
                                </a:lnTo>
                                <a:lnTo>
                                  <a:pt x="703913" y="868241"/>
                                </a:lnTo>
                                <a:lnTo>
                                  <a:pt x="658294" y="882499"/>
                                </a:lnTo>
                                <a:lnTo>
                                  <a:pt x="611537" y="889191"/>
                                </a:lnTo>
                                <a:lnTo>
                                  <a:pt x="564565" y="888404"/>
                                </a:lnTo>
                                <a:lnTo>
                                  <a:pt x="518304" y="880229"/>
                                </a:lnTo>
                                <a:lnTo>
                                  <a:pt x="473678" y="864754"/>
                                </a:lnTo>
                                <a:lnTo>
                                  <a:pt x="431610" y="842067"/>
                                </a:lnTo>
                                <a:lnTo>
                                  <a:pt x="393025" y="812258"/>
                                </a:lnTo>
                                <a:lnTo>
                                  <a:pt x="359819" y="776554"/>
                                </a:lnTo>
                                <a:lnTo>
                                  <a:pt x="333387" y="736732"/>
                                </a:lnTo>
                                <a:lnTo>
                                  <a:pt x="313904" y="693704"/>
                                </a:lnTo>
                                <a:lnTo>
                                  <a:pt x="301541" y="648382"/>
                                </a:lnTo>
                                <a:lnTo>
                                  <a:pt x="296471" y="601679"/>
                                </a:lnTo>
                                <a:lnTo>
                                  <a:pt x="298867" y="554506"/>
                                </a:lnTo>
                                <a:lnTo>
                                  <a:pt x="308902" y="507776"/>
                                </a:lnTo>
                                <a:lnTo>
                                  <a:pt x="326749" y="462401"/>
                                </a:lnTo>
                                <a:lnTo>
                                  <a:pt x="351758" y="420545"/>
                                </a:lnTo>
                                <a:lnTo>
                                  <a:pt x="382614" y="384044"/>
                                </a:lnTo>
                                <a:lnTo>
                                  <a:pt x="418488" y="353319"/>
                                </a:lnTo>
                                <a:lnTo>
                                  <a:pt x="458554" y="328790"/>
                                </a:lnTo>
                                <a:lnTo>
                                  <a:pt x="501983" y="310878"/>
                                </a:lnTo>
                                <a:lnTo>
                                  <a:pt x="547948" y="300005"/>
                                </a:lnTo>
                                <a:lnTo>
                                  <a:pt x="595621" y="296589"/>
                                </a:lnTo>
                                <a:lnTo>
                                  <a:pt x="644175" y="301053"/>
                                </a:lnTo>
                                <a:lnTo>
                                  <a:pt x="695408" y="8928"/>
                                </a:lnTo>
                                <a:lnTo>
                                  <a:pt x="646737" y="2441"/>
                                </a:lnTo>
                                <a:lnTo>
                                  <a:pt x="598300" y="0"/>
                                </a:lnTo>
                                <a:close/>
                              </a:path>
                            </a:pathLst>
                          </a:custGeom>
                          <a:solidFill>
                            <a:srgbClr val="D9D9D9"/>
                          </a:solidFill>
                        </wps:spPr>
                        <wps:bodyPr wrap="square" lIns="0" tIns="0" rIns="0" bIns="0" rtlCol="0">
                          <a:prstTxWarp prst="textNoShape">
                            <a:avLst/>
                          </a:prstTxWarp>
                          <a:noAutofit/>
                        </wps:bodyPr>
                      </wps:wsp>
                      <wps:wsp>
                        <wps:cNvPr id="524" name="Graphic 524"/>
                        <wps:cNvSpPr/>
                        <wps:spPr>
                          <a:xfrm>
                            <a:off x="1556392" y="324335"/>
                            <a:ext cx="264160" cy="168275"/>
                          </a:xfrm>
                          <a:custGeom>
                            <a:avLst/>
                            <a:gdLst/>
                            <a:ahLst/>
                            <a:cxnLst/>
                            <a:rect l="l" t="t" r="r" b="b"/>
                            <a:pathLst>
                              <a:path w="264160" h="168275">
                                <a:moveTo>
                                  <a:pt x="263758" y="0"/>
                                </a:moveTo>
                                <a:lnTo>
                                  <a:pt x="187558" y="0"/>
                                </a:lnTo>
                                <a:lnTo>
                                  <a:pt x="0" y="167904"/>
                                </a:lnTo>
                              </a:path>
                            </a:pathLst>
                          </a:custGeom>
                          <a:ln w="9525">
                            <a:solidFill>
                              <a:srgbClr val="585858"/>
                            </a:solidFill>
                            <a:prstDash val="solid"/>
                          </a:ln>
                        </wps:spPr>
                        <wps:bodyPr wrap="square" lIns="0" tIns="0" rIns="0" bIns="0" rtlCol="0">
                          <a:prstTxWarp prst="textNoShape">
                            <a:avLst/>
                          </a:prstTxWarp>
                          <a:noAutofit/>
                        </wps:bodyPr>
                      </wps:wsp>
                      <wps:wsp>
                        <wps:cNvPr id="525" name="Textbox 525"/>
                        <wps:cNvSpPr txBox="1"/>
                        <wps:spPr>
                          <a:xfrm>
                            <a:off x="9525" y="9525"/>
                            <a:ext cx="2886075" cy="1885950"/>
                          </a:xfrm>
                          <a:prstGeom prst="rect">
                            <a:avLst/>
                          </a:prstGeom>
                          <a:ln w="19050">
                            <a:solidFill>
                              <a:srgbClr val="000000"/>
                            </a:solidFill>
                            <a:prstDash val="solid"/>
                          </a:ln>
                        </wps:spPr>
                        <wps:txbx>
                          <w:txbxContent>
                            <w:p>
                              <w:pPr>
                                <w:spacing w:before="11"/>
                                <w:ind w:left="664" w:right="0" w:firstLine="0"/>
                                <w:jc w:val="left"/>
                                <w:rPr>
                                  <w:rFonts w:ascii="Arial"/>
                                  <w:b/>
                                  <w:sz w:val="16"/>
                                </w:rPr>
                              </w:pPr>
                              <w:r>
                                <w:rPr>
                                  <w:rFonts w:ascii="Arial"/>
                                  <w:b/>
                                  <w:sz w:val="16"/>
                                </w:rPr>
                                <w:t>Loans</w:t>
                              </w:r>
                              <w:r>
                                <w:rPr>
                                  <w:rFonts w:ascii="Arial"/>
                                  <w:b/>
                                  <w:spacing w:val="-2"/>
                                  <w:sz w:val="16"/>
                                </w:rPr>
                                <w:t> </w:t>
                              </w:r>
                              <w:r>
                                <w:rPr>
                                  <w:rFonts w:ascii="Arial"/>
                                  <w:b/>
                                  <w:sz w:val="16"/>
                                </w:rPr>
                                <w:t>outstanding</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line="240" w:lineRule="auto" w:before="34"/>
                                <w:rPr>
                                  <w:rFonts w:ascii="Arial"/>
                                  <w:b/>
                                  <w:sz w:val="16"/>
                                </w:rPr>
                              </w:pPr>
                            </w:p>
                            <w:p>
                              <w:pPr>
                                <w:spacing w:before="0"/>
                                <w:ind w:left="2821" w:right="0" w:firstLine="0"/>
                                <w:jc w:val="left"/>
                                <w:rPr>
                                  <w:rFonts w:ascii="Arial MT"/>
                                  <w:sz w:val="14"/>
                                </w:rPr>
                              </w:pPr>
                              <w:r>
                                <w:rPr>
                                  <w:rFonts w:ascii="Arial MT"/>
                                  <w:sz w:val="14"/>
                                </w:rPr>
                                <w:t>Others</w:t>
                              </w:r>
                              <w:r>
                                <w:rPr>
                                  <w:rFonts w:ascii="Arial MT"/>
                                  <w:spacing w:val="-2"/>
                                  <w:sz w:val="14"/>
                                </w:rPr>
                                <w:t> </w:t>
                              </w:r>
                              <w:r>
                                <w:rPr>
                                  <w:rFonts w:ascii="Arial MT"/>
                                  <w:spacing w:val="-10"/>
                                  <w:sz w:val="14"/>
                                </w:rPr>
                                <w:t>*</w:t>
                              </w:r>
                            </w:p>
                            <w:p>
                              <w:pPr>
                                <w:spacing w:line="240" w:lineRule="auto" w:before="0"/>
                                <w:rPr>
                                  <w:rFonts w:ascii="Arial MT"/>
                                  <w:sz w:val="14"/>
                                </w:rPr>
                              </w:pPr>
                            </w:p>
                            <w:p>
                              <w:pPr>
                                <w:spacing w:line="240" w:lineRule="auto" w:before="60"/>
                                <w:rPr>
                                  <w:rFonts w:ascii="Arial MT"/>
                                  <w:sz w:val="14"/>
                                </w:rPr>
                              </w:pPr>
                            </w:p>
                            <w:p>
                              <w:pPr>
                                <w:spacing w:before="1"/>
                                <w:ind w:left="0" w:right="608" w:firstLine="0"/>
                                <w:jc w:val="right"/>
                                <w:rPr>
                                  <w:rFonts w:ascii="Arial MT"/>
                                  <w:sz w:val="14"/>
                                </w:rPr>
                              </w:pPr>
                              <w:r>
                                <w:rPr>
                                  <w:rFonts w:ascii="Arial MT"/>
                                  <w:sz w:val="14"/>
                                </w:rPr>
                                <w:t>Euro</w:t>
                              </w:r>
                              <w:r>
                                <w:rPr>
                                  <w:rFonts w:ascii="Arial MT"/>
                                  <w:spacing w:val="-1"/>
                                  <w:sz w:val="14"/>
                                </w:rPr>
                                <w:t> </w:t>
                              </w:r>
                              <w:r>
                                <w:rPr>
                                  <w:rFonts w:ascii="Arial MT"/>
                                  <w:spacing w:val="-5"/>
                                  <w:sz w:val="14"/>
                                </w:rPr>
                                <w:t>18%</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71"/>
                                <w:rPr>
                                  <w:rFonts w:ascii="Arial MT"/>
                                  <w:sz w:val="14"/>
                                </w:rPr>
                              </w:pPr>
                            </w:p>
                            <w:p>
                              <w:pPr>
                                <w:spacing w:line="249" w:lineRule="auto" w:before="0"/>
                                <w:ind w:left="2976" w:right="782" w:firstLine="0"/>
                                <w:jc w:val="left"/>
                                <w:rPr>
                                  <w:rFonts w:ascii="Arial MT"/>
                                  <w:sz w:val="14"/>
                                </w:rPr>
                              </w:pPr>
                              <w:r>
                                <w:rPr>
                                  <w:rFonts w:ascii="Arial MT"/>
                                  <w:sz w:val="14"/>
                                </w:rPr>
                                <w:t>U.S.</w:t>
                              </w:r>
                              <w:r>
                                <w:rPr>
                                  <w:rFonts w:ascii="Arial MT"/>
                                  <w:spacing w:val="-10"/>
                                  <w:sz w:val="14"/>
                                </w:rPr>
                                <w:t> </w:t>
                              </w:r>
                              <w:r>
                                <w:rPr>
                                  <w:rFonts w:ascii="Arial MT"/>
                                  <w:sz w:val="14"/>
                                </w:rPr>
                                <w:t>Dollars</w:t>
                              </w:r>
                              <w:r>
                                <w:rPr>
                                  <w:rFonts w:ascii="Arial MT"/>
                                  <w:spacing w:val="40"/>
                                  <w:sz w:val="14"/>
                                </w:rPr>
                                <w:t> </w:t>
                              </w:r>
                              <w:r>
                                <w:rPr>
                                  <w:rFonts w:ascii="Arial MT"/>
                                  <w:spacing w:val="-4"/>
                                  <w:sz w:val="14"/>
                                </w:rPr>
                                <w:t>82%</w:t>
                              </w:r>
                            </w:p>
                          </w:txbxContent>
                        </wps:txbx>
                        <wps:bodyPr wrap="square" lIns="0" tIns="0" rIns="0" bIns="0" rtlCol="0">
                          <a:noAutofit/>
                        </wps:bodyPr>
                      </wps:wsp>
                    </wpg:wgp>
                  </a:graphicData>
                </a:graphic>
              </wp:anchor>
            </w:drawing>
          </mc:Choice>
          <mc:Fallback>
            <w:pict>
              <v:group style="position:absolute;margin-left:72pt;margin-top:8.338944pt;width:228.75pt;height:150pt;mso-position-horizontal-relative:page;mso-position-vertical-relative:paragraph;z-index:-15652864;mso-wrap-distance-left:0;mso-wrap-distance-right:0" id="docshapegroup438" coordorigin="1440,167" coordsize="4575,3000">
                <v:shape style="position:absolute;left:3816;top:956;width:821;height:798" id="docshape439" coordorigin="3816,957" coordsize="821,798" path="m3897,957l3816,1417,3890,1436,3959,1467,4021,1508,4076,1558,4123,1616,4160,1682,4186,1754,4636,1631,4613,1558,4584,1487,4550,1420,4511,1356,4466,1296,4418,1239,4365,1187,4308,1139,4247,1096,4183,1057,4116,1024,4045,996,3973,973,3897,957xe" filled="true" fillcolor="#585858" stroked="false">
                  <v:path arrowok="t"/>
                  <v:fill type="solid"/>
                </v:shape>
                <v:shape style="position:absolute;left:2801;top:942;width:1868;height:1869" id="docshape440" coordorigin="2801,943" coordsize="1868,1869" path="m3743,943l3668,945,3593,953,3520,968,3449,988,3379,1013,3312,1044,3247,1080,3186,1121,3127,1167,3073,1218,3022,1273,2975,1333,2934,1397,2897,1465,2865,1536,2840,1608,2822,1681,2809,1755,2802,1829,2801,1904,2806,1977,2817,2051,2834,2123,2856,2193,2884,2262,2918,2329,2956,2393,3001,2454,3050,2512,3105,2567,3165,2617,3227,2661,3292,2699,3359,2732,3429,2759,3500,2781,3572,2797,3646,2807,3719,2811,3794,2809,3867,2802,3941,2788,4013,2769,4085,2743,4154,2712,4222,2674,4286,2631,4346,2584,4401,2532,4451,2476,4497,2417,4537,2355,4573,2290,4603,2222,4628,2153,4647,2081,4660,2008,4667,1934,4669,1859,4664,1783,4654,1708,4637,1632,4186,1754,4200,1830,4201,1905,4191,1979,4169,2050,4136,2116,4093,2177,4040,2230,3978,2275,3910,2310,3838,2332,3764,2343,3690,2342,3617,2329,3547,2304,3481,2269,3420,2222,3368,2166,3326,2103,3296,2035,3276,1964,3268,1890,3272,1816,3288,1742,3316,1671,3355,1605,3404,1547,3460,1499,3523,1460,3592,1432,3664,1415,3739,1410,3816,1417,3896,957,3820,946,3743,943xe" filled="true" fillcolor="#d9d9d9" stroked="false">
                  <v:path arrowok="t"/>
                  <v:fill type="solid"/>
                </v:shape>
                <v:shape style="position:absolute;left:3891;top:677;width:416;height:265" id="docshape441" coordorigin="3891,678" coordsize="416,265" path="m4306,678l4186,678,3891,942e" filled="false" stroked="true" strokeweight=".75pt" strokecolor="#585858">
                  <v:path arrowok="t"/>
                  <v:stroke dashstyle="solid"/>
                </v:shape>
                <v:shape style="position:absolute;left:1455;top:181;width:4545;height:2970" type="#_x0000_t202" id="docshape442" filled="false" stroked="true" strokeweight="1.5pt" strokecolor="#000000">
                  <v:textbox inset="0,0,0,0">
                    <w:txbxContent>
                      <w:p>
                        <w:pPr>
                          <w:spacing w:before="11"/>
                          <w:ind w:left="664" w:right="0" w:firstLine="0"/>
                          <w:jc w:val="left"/>
                          <w:rPr>
                            <w:rFonts w:ascii="Arial"/>
                            <w:b/>
                            <w:sz w:val="16"/>
                          </w:rPr>
                        </w:pPr>
                        <w:r>
                          <w:rPr>
                            <w:rFonts w:ascii="Arial"/>
                            <w:b/>
                            <w:sz w:val="16"/>
                          </w:rPr>
                          <w:t>Loans</w:t>
                        </w:r>
                        <w:r>
                          <w:rPr>
                            <w:rFonts w:ascii="Arial"/>
                            <w:b/>
                            <w:spacing w:val="-2"/>
                            <w:sz w:val="16"/>
                          </w:rPr>
                          <w:t> </w:t>
                        </w:r>
                        <w:r>
                          <w:rPr>
                            <w:rFonts w:ascii="Arial"/>
                            <w:b/>
                            <w:sz w:val="16"/>
                          </w:rPr>
                          <w:t>outstanding</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line="240" w:lineRule="auto" w:before="34"/>
                          <w:rPr>
                            <w:rFonts w:ascii="Arial"/>
                            <w:b/>
                            <w:sz w:val="16"/>
                          </w:rPr>
                        </w:pPr>
                      </w:p>
                      <w:p>
                        <w:pPr>
                          <w:spacing w:before="0"/>
                          <w:ind w:left="2821" w:right="0" w:firstLine="0"/>
                          <w:jc w:val="left"/>
                          <w:rPr>
                            <w:rFonts w:ascii="Arial MT"/>
                            <w:sz w:val="14"/>
                          </w:rPr>
                        </w:pPr>
                        <w:r>
                          <w:rPr>
                            <w:rFonts w:ascii="Arial MT"/>
                            <w:sz w:val="14"/>
                          </w:rPr>
                          <w:t>Others</w:t>
                        </w:r>
                        <w:r>
                          <w:rPr>
                            <w:rFonts w:ascii="Arial MT"/>
                            <w:spacing w:val="-2"/>
                            <w:sz w:val="14"/>
                          </w:rPr>
                          <w:t> </w:t>
                        </w:r>
                        <w:r>
                          <w:rPr>
                            <w:rFonts w:ascii="Arial MT"/>
                            <w:spacing w:val="-10"/>
                            <w:sz w:val="14"/>
                          </w:rPr>
                          <w:t>*</w:t>
                        </w:r>
                      </w:p>
                      <w:p>
                        <w:pPr>
                          <w:spacing w:line="240" w:lineRule="auto" w:before="0"/>
                          <w:rPr>
                            <w:rFonts w:ascii="Arial MT"/>
                            <w:sz w:val="14"/>
                          </w:rPr>
                        </w:pPr>
                      </w:p>
                      <w:p>
                        <w:pPr>
                          <w:spacing w:line="240" w:lineRule="auto" w:before="60"/>
                          <w:rPr>
                            <w:rFonts w:ascii="Arial MT"/>
                            <w:sz w:val="14"/>
                          </w:rPr>
                        </w:pPr>
                      </w:p>
                      <w:p>
                        <w:pPr>
                          <w:spacing w:before="1"/>
                          <w:ind w:left="0" w:right="608" w:firstLine="0"/>
                          <w:jc w:val="right"/>
                          <w:rPr>
                            <w:rFonts w:ascii="Arial MT"/>
                            <w:sz w:val="14"/>
                          </w:rPr>
                        </w:pPr>
                        <w:r>
                          <w:rPr>
                            <w:rFonts w:ascii="Arial MT"/>
                            <w:sz w:val="14"/>
                          </w:rPr>
                          <w:t>Euro</w:t>
                        </w:r>
                        <w:r>
                          <w:rPr>
                            <w:rFonts w:ascii="Arial MT"/>
                            <w:spacing w:val="-1"/>
                            <w:sz w:val="14"/>
                          </w:rPr>
                          <w:t> </w:t>
                        </w:r>
                        <w:r>
                          <w:rPr>
                            <w:rFonts w:ascii="Arial MT"/>
                            <w:spacing w:val="-5"/>
                            <w:sz w:val="14"/>
                          </w:rPr>
                          <w:t>18%</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71"/>
                          <w:rPr>
                            <w:rFonts w:ascii="Arial MT"/>
                            <w:sz w:val="14"/>
                          </w:rPr>
                        </w:pPr>
                      </w:p>
                      <w:p>
                        <w:pPr>
                          <w:spacing w:line="249" w:lineRule="auto" w:before="0"/>
                          <w:ind w:left="2976" w:right="782" w:firstLine="0"/>
                          <w:jc w:val="left"/>
                          <w:rPr>
                            <w:rFonts w:ascii="Arial MT"/>
                            <w:sz w:val="14"/>
                          </w:rPr>
                        </w:pPr>
                        <w:r>
                          <w:rPr>
                            <w:rFonts w:ascii="Arial MT"/>
                            <w:sz w:val="14"/>
                          </w:rPr>
                          <w:t>U.S.</w:t>
                        </w:r>
                        <w:r>
                          <w:rPr>
                            <w:rFonts w:ascii="Arial MT"/>
                            <w:spacing w:val="-10"/>
                            <w:sz w:val="14"/>
                          </w:rPr>
                          <w:t> </w:t>
                        </w:r>
                        <w:r>
                          <w:rPr>
                            <w:rFonts w:ascii="Arial MT"/>
                            <w:sz w:val="14"/>
                          </w:rPr>
                          <w:t>Dollars</w:t>
                        </w:r>
                        <w:r>
                          <w:rPr>
                            <w:rFonts w:ascii="Arial MT"/>
                            <w:spacing w:val="40"/>
                            <w:sz w:val="14"/>
                          </w:rPr>
                          <w:t> </w:t>
                        </w:r>
                        <w:r>
                          <w:rPr>
                            <w:rFonts w:ascii="Arial MT"/>
                            <w:spacing w:val="-4"/>
                            <w:sz w:val="14"/>
                          </w:rPr>
                          <w:t>82%</w:t>
                        </w:r>
                      </w:p>
                    </w:txbxContent>
                  </v:textbox>
                  <v:stroke dashstyle="solid"/>
                  <w10:wrap type="none"/>
                </v:shape>
                <w10:wrap type="topAndBottom"/>
              </v:group>
            </w:pict>
          </mc:Fallback>
        </mc:AlternateContent>
      </w:r>
      <w:r>
        <w:rPr>
          <w:rFonts w:ascii="Arial"/>
          <w:b/>
          <w:sz w:val="12"/>
        </w:rPr>
        <mc:AlternateContent>
          <mc:Choice Requires="wps">
            <w:drawing>
              <wp:anchor distT="0" distB="0" distL="0" distR="0" allowOverlap="1" layoutInCell="1" locked="0" behindDoc="1" simplePos="0" relativeHeight="487664128">
                <wp:simplePos x="0" y="0"/>
                <wp:positionH relativeFrom="page">
                  <wp:posOffset>3875913</wp:posOffset>
                </wp:positionH>
                <wp:positionV relativeFrom="paragraph">
                  <wp:posOffset>105904</wp:posOffset>
                </wp:positionV>
                <wp:extent cx="2905125" cy="1905000"/>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2905125" cy="1905000"/>
                          <a:chExt cx="2905125" cy="1905000"/>
                        </a:xfrm>
                      </wpg:grpSpPr>
                      <wps:wsp>
                        <wps:cNvPr id="527" name="Graphic 527"/>
                        <wps:cNvSpPr/>
                        <wps:spPr>
                          <a:xfrm>
                            <a:off x="1457204" y="492680"/>
                            <a:ext cx="551815" cy="483870"/>
                          </a:xfrm>
                          <a:custGeom>
                            <a:avLst/>
                            <a:gdLst/>
                            <a:ahLst/>
                            <a:cxnLst/>
                            <a:rect l="l" t="t" r="r" b="b"/>
                            <a:pathLst>
                              <a:path w="551815" h="483870">
                                <a:moveTo>
                                  <a:pt x="0" y="0"/>
                                </a:moveTo>
                                <a:lnTo>
                                  <a:pt x="59" y="296585"/>
                                </a:lnTo>
                                <a:lnTo>
                                  <a:pt x="51255" y="301013"/>
                                </a:lnTo>
                                <a:lnTo>
                                  <a:pt x="100034" y="313908"/>
                                </a:lnTo>
                                <a:lnTo>
                                  <a:pt x="145484" y="334649"/>
                                </a:lnTo>
                                <a:lnTo>
                                  <a:pt x="186694" y="362619"/>
                                </a:lnTo>
                                <a:lnTo>
                                  <a:pt x="222753" y="397198"/>
                                </a:lnTo>
                                <a:lnTo>
                                  <a:pt x="252747" y="437768"/>
                                </a:lnTo>
                                <a:lnTo>
                                  <a:pt x="275767" y="483711"/>
                                </a:lnTo>
                                <a:lnTo>
                                  <a:pt x="551414" y="374253"/>
                                </a:lnTo>
                                <a:lnTo>
                                  <a:pt x="531781" y="330115"/>
                                </a:lnTo>
                                <a:lnTo>
                                  <a:pt x="508899" y="288173"/>
                                </a:lnTo>
                                <a:lnTo>
                                  <a:pt x="482951" y="248553"/>
                                </a:lnTo>
                                <a:lnTo>
                                  <a:pt x="454125" y="211380"/>
                                </a:lnTo>
                                <a:lnTo>
                                  <a:pt x="422605" y="176781"/>
                                </a:lnTo>
                                <a:lnTo>
                                  <a:pt x="388576" y="144882"/>
                                </a:lnTo>
                                <a:lnTo>
                                  <a:pt x="352223" y="115807"/>
                                </a:lnTo>
                                <a:lnTo>
                                  <a:pt x="313733" y="89683"/>
                                </a:lnTo>
                                <a:lnTo>
                                  <a:pt x="273290" y="66635"/>
                                </a:lnTo>
                                <a:lnTo>
                                  <a:pt x="231079" y="46790"/>
                                </a:lnTo>
                                <a:lnTo>
                                  <a:pt x="187286" y="30273"/>
                                </a:lnTo>
                                <a:lnTo>
                                  <a:pt x="142097" y="17210"/>
                                </a:lnTo>
                                <a:lnTo>
                                  <a:pt x="95696" y="7726"/>
                                </a:lnTo>
                                <a:lnTo>
                                  <a:pt x="48268" y="1947"/>
                                </a:lnTo>
                                <a:lnTo>
                                  <a:pt x="0" y="0"/>
                                </a:lnTo>
                                <a:close/>
                              </a:path>
                            </a:pathLst>
                          </a:custGeom>
                          <a:solidFill>
                            <a:srgbClr val="585858"/>
                          </a:solidFill>
                        </wps:spPr>
                        <wps:bodyPr wrap="square" lIns="0" tIns="0" rIns="0" bIns="0" rtlCol="0">
                          <a:prstTxWarp prst="textNoShape">
                            <a:avLst/>
                          </a:prstTxWarp>
                          <a:noAutofit/>
                        </wps:bodyPr>
                      </wps:wsp>
                      <wps:wsp>
                        <wps:cNvPr id="528" name="Graphic 528"/>
                        <wps:cNvSpPr/>
                        <wps:spPr>
                          <a:xfrm>
                            <a:off x="864289" y="492681"/>
                            <a:ext cx="1186180" cy="1186180"/>
                          </a:xfrm>
                          <a:custGeom>
                            <a:avLst/>
                            <a:gdLst/>
                            <a:ahLst/>
                            <a:cxnLst/>
                            <a:rect l="l" t="t" r="r" b="b"/>
                            <a:pathLst>
                              <a:path w="1186180" h="1186180">
                                <a:moveTo>
                                  <a:pt x="592211" y="0"/>
                                </a:moveTo>
                                <a:lnTo>
                                  <a:pt x="543787" y="2034"/>
                                </a:lnTo>
                                <a:lnTo>
                                  <a:pt x="496261" y="7913"/>
                                </a:lnTo>
                                <a:lnTo>
                                  <a:pt x="449813" y="17503"/>
                                </a:lnTo>
                                <a:lnTo>
                                  <a:pt x="404624" y="30672"/>
                                </a:lnTo>
                                <a:lnTo>
                                  <a:pt x="360872" y="47286"/>
                                </a:lnTo>
                                <a:lnTo>
                                  <a:pt x="318737" y="67211"/>
                                </a:lnTo>
                                <a:lnTo>
                                  <a:pt x="278400" y="90316"/>
                                </a:lnTo>
                                <a:lnTo>
                                  <a:pt x="240040" y="116467"/>
                                </a:lnTo>
                                <a:lnTo>
                                  <a:pt x="203837" y="145530"/>
                                </a:lnTo>
                                <a:lnTo>
                                  <a:pt x="169971" y="177372"/>
                                </a:lnTo>
                                <a:lnTo>
                                  <a:pt x="138620" y="211862"/>
                                </a:lnTo>
                                <a:lnTo>
                                  <a:pt x="109966" y="248864"/>
                                </a:lnTo>
                                <a:lnTo>
                                  <a:pt x="84188" y="288247"/>
                                </a:lnTo>
                                <a:lnTo>
                                  <a:pt x="61465" y="329876"/>
                                </a:lnTo>
                                <a:lnTo>
                                  <a:pt x="41978" y="373620"/>
                                </a:lnTo>
                                <a:lnTo>
                                  <a:pt x="25906" y="419345"/>
                                </a:lnTo>
                                <a:lnTo>
                                  <a:pt x="13596" y="466222"/>
                                </a:lnTo>
                                <a:lnTo>
                                  <a:pt x="5224" y="513373"/>
                                </a:lnTo>
                                <a:lnTo>
                                  <a:pt x="717" y="560585"/>
                                </a:lnTo>
                                <a:lnTo>
                                  <a:pt x="0" y="607649"/>
                                </a:lnTo>
                                <a:lnTo>
                                  <a:pt x="2998" y="654353"/>
                                </a:lnTo>
                                <a:lnTo>
                                  <a:pt x="9638" y="700486"/>
                                </a:lnTo>
                                <a:lnTo>
                                  <a:pt x="19844" y="745837"/>
                                </a:lnTo>
                                <a:lnTo>
                                  <a:pt x="33544" y="790195"/>
                                </a:lnTo>
                                <a:lnTo>
                                  <a:pt x="50662" y="833350"/>
                                </a:lnTo>
                                <a:lnTo>
                                  <a:pt x="71125" y="875089"/>
                                </a:lnTo>
                                <a:lnTo>
                                  <a:pt x="94857" y="915203"/>
                                </a:lnTo>
                                <a:lnTo>
                                  <a:pt x="121785" y="953480"/>
                                </a:lnTo>
                                <a:lnTo>
                                  <a:pt x="151834" y="989709"/>
                                </a:lnTo>
                                <a:lnTo>
                                  <a:pt x="184931" y="1023680"/>
                                </a:lnTo>
                                <a:lnTo>
                                  <a:pt x="221000" y="1055181"/>
                                </a:lnTo>
                                <a:lnTo>
                                  <a:pt x="259967" y="1084000"/>
                                </a:lnTo>
                                <a:lnTo>
                                  <a:pt x="301144" y="1109565"/>
                                </a:lnTo>
                                <a:lnTo>
                                  <a:pt x="343741" y="1131445"/>
                                </a:lnTo>
                                <a:lnTo>
                                  <a:pt x="387535" y="1149651"/>
                                </a:lnTo>
                                <a:lnTo>
                                  <a:pt x="432302" y="1164191"/>
                                </a:lnTo>
                                <a:lnTo>
                                  <a:pt x="477819" y="1175073"/>
                                </a:lnTo>
                                <a:lnTo>
                                  <a:pt x="523863" y="1182308"/>
                                </a:lnTo>
                                <a:lnTo>
                                  <a:pt x="570209" y="1185903"/>
                                </a:lnTo>
                                <a:lnTo>
                                  <a:pt x="616635" y="1185868"/>
                                </a:lnTo>
                                <a:lnTo>
                                  <a:pt x="662916" y="1182212"/>
                                </a:lnTo>
                                <a:lnTo>
                                  <a:pt x="708830" y="1174943"/>
                                </a:lnTo>
                                <a:lnTo>
                                  <a:pt x="754152" y="1164070"/>
                                </a:lnTo>
                                <a:lnTo>
                                  <a:pt x="798660" y="1149603"/>
                                </a:lnTo>
                                <a:lnTo>
                                  <a:pt x="842129" y="1131549"/>
                                </a:lnTo>
                                <a:lnTo>
                                  <a:pt x="884337" y="1109919"/>
                                </a:lnTo>
                                <a:lnTo>
                                  <a:pt x="925059" y="1084721"/>
                                </a:lnTo>
                                <a:lnTo>
                                  <a:pt x="964073" y="1055964"/>
                                </a:lnTo>
                                <a:lnTo>
                                  <a:pt x="1000626" y="1024137"/>
                                </a:lnTo>
                                <a:lnTo>
                                  <a:pt x="1034076" y="989868"/>
                                </a:lnTo>
                                <a:lnTo>
                                  <a:pt x="1064367" y="953374"/>
                                </a:lnTo>
                                <a:lnTo>
                                  <a:pt x="1091441" y="914870"/>
                                </a:lnTo>
                                <a:lnTo>
                                  <a:pt x="1115240" y="874574"/>
                                </a:lnTo>
                                <a:lnTo>
                                  <a:pt x="1135708" y="832700"/>
                                </a:lnTo>
                                <a:lnTo>
                                  <a:pt x="1152787" y="789466"/>
                                </a:lnTo>
                                <a:lnTo>
                                  <a:pt x="1166420" y="745087"/>
                                </a:lnTo>
                                <a:lnTo>
                                  <a:pt x="1176550" y="699780"/>
                                </a:lnTo>
                                <a:lnTo>
                                  <a:pt x="1183118" y="653761"/>
                                </a:lnTo>
                                <a:lnTo>
                                  <a:pt x="1186069" y="607246"/>
                                </a:lnTo>
                                <a:lnTo>
                                  <a:pt x="1185345" y="560451"/>
                                </a:lnTo>
                                <a:lnTo>
                                  <a:pt x="1180887" y="513594"/>
                                </a:lnTo>
                                <a:lnTo>
                                  <a:pt x="1172640" y="466889"/>
                                </a:lnTo>
                                <a:lnTo>
                                  <a:pt x="1160546" y="420553"/>
                                </a:lnTo>
                                <a:lnTo>
                                  <a:pt x="1144548" y="374803"/>
                                </a:lnTo>
                                <a:lnTo>
                                  <a:pt x="868791" y="483985"/>
                                </a:lnTo>
                                <a:lnTo>
                                  <a:pt x="882838" y="530028"/>
                                </a:lnTo>
                                <a:lnTo>
                                  <a:pt x="889190" y="576810"/>
                                </a:lnTo>
                                <a:lnTo>
                                  <a:pt x="888077" y="623464"/>
                                </a:lnTo>
                                <a:lnTo>
                                  <a:pt x="879727" y="669127"/>
                                </a:lnTo>
                                <a:lnTo>
                                  <a:pt x="864371" y="712934"/>
                                </a:lnTo>
                                <a:lnTo>
                                  <a:pt x="842238" y="754019"/>
                                </a:lnTo>
                                <a:lnTo>
                                  <a:pt x="813556" y="791518"/>
                                </a:lnTo>
                                <a:lnTo>
                                  <a:pt x="778554" y="824566"/>
                                </a:lnTo>
                                <a:lnTo>
                                  <a:pt x="738686" y="851544"/>
                                </a:lnTo>
                                <a:lnTo>
                                  <a:pt x="695847" y="871385"/>
                                </a:lnTo>
                                <a:lnTo>
                                  <a:pt x="650932" y="884055"/>
                                </a:lnTo>
                                <a:lnTo>
                                  <a:pt x="604835" y="889518"/>
                                </a:lnTo>
                                <a:lnTo>
                                  <a:pt x="558449" y="887738"/>
                                </a:lnTo>
                                <a:lnTo>
                                  <a:pt x="512668" y="878679"/>
                                </a:lnTo>
                                <a:lnTo>
                                  <a:pt x="468388" y="862307"/>
                                </a:lnTo>
                                <a:lnTo>
                                  <a:pt x="426501" y="838584"/>
                                </a:lnTo>
                                <a:lnTo>
                                  <a:pt x="388983" y="808424"/>
                                </a:lnTo>
                                <a:lnTo>
                                  <a:pt x="357410" y="773324"/>
                                </a:lnTo>
                                <a:lnTo>
                                  <a:pt x="332080" y="734129"/>
                                </a:lnTo>
                                <a:lnTo>
                                  <a:pt x="313290" y="691682"/>
                                </a:lnTo>
                                <a:lnTo>
                                  <a:pt x="301336" y="646827"/>
                                </a:lnTo>
                                <a:lnTo>
                                  <a:pt x="296517" y="600409"/>
                                </a:lnTo>
                                <a:lnTo>
                                  <a:pt x="299129" y="553270"/>
                                </a:lnTo>
                                <a:lnTo>
                                  <a:pt x="309471" y="506256"/>
                                </a:lnTo>
                                <a:lnTo>
                                  <a:pt x="327250" y="461522"/>
                                </a:lnTo>
                                <a:lnTo>
                                  <a:pt x="351501" y="421015"/>
                                </a:lnTo>
                                <a:lnTo>
                                  <a:pt x="381503" y="385270"/>
                                </a:lnTo>
                                <a:lnTo>
                                  <a:pt x="416538" y="354817"/>
                                </a:lnTo>
                                <a:lnTo>
                                  <a:pt x="455887" y="330189"/>
                                </a:lnTo>
                                <a:lnTo>
                                  <a:pt x="498830" y="311920"/>
                                </a:lnTo>
                                <a:lnTo>
                                  <a:pt x="544648" y="300540"/>
                                </a:lnTo>
                                <a:lnTo>
                                  <a:pt x="592624" y="296584"/>
                                </a:lnTo>
                                <a:lnTo>
                                  <a:pt x="592211" y="0"/>
                                </a:lnTo>
                                <a:close/>
                              </a:path>
                            </a:pathLst>
                          </a:custGeom>
                          <a:solidFill>
                            <a:srgbClr val="D9D9D9"/>
                          </a:solidFill>
                        </wps:spPr>
                        <wps:bodyPr wrap="square" lIns="0" tIns="0" rIns="0" bIns="0" rtlCol="0">
                          <a:prstTxWarp prst="textNoShape">
                            <a:avLst/>
                          </a:prstTxWarp>
                          <a:noAutofit/>
                        </wps:bodyPr>
                      </wps:wsp>
                      <wps:wsp>
                        <wps:cNvPr id="529" name="Graphic 529"/>
                        <wps:cNvSpPr/>
                        <wps:spPr>
                          <a:xfrm>
                            <a:off x="1252263" y="278180"/>
                            <a:ext cx="200660" cy="205104"/>
                          </a:xfrm>
                          <a:custGeom>
                            <a:avLst/>
                            <a:gdLst/>
                            <a:ahLst/>
                            <a:cxnLst/>
                            <a:rect l="l" t="t" r="r" b="b"/>
                            <a:pathLst>
                              <a:path w="200660" h="205104">
                                <a:moveTo>
                                  <a:pt x="0" y="0"/>
                                </a:moveTo>
                                <a:lnTo>
                                  <a:pt x="76199" y="0"/>
                                </a:lnTo>
                                <a:lnTo>
                                  <a:pt x="200299" y="204974"/>
                                </a:lnTo>
                              </a:path>
                            </a:pathLst>
                          </a:custGeom>
                          <a:ln w="9525">
                            <a:solidFill>
                              <a:srgbClr val="585858"/>
                            </a:solidFill>
                            <a:prstDash val="solid"/>
                          </a:ln>
                        </wps:spPr>
                        <wps:bodyPr wrap="square" lIns="0" tIns="0" rIns="0" bIns="0" rtlCol="0">
                          <a:prstTxWarp prst="textNoShape">
                            <a:avLst/>
                          </a:prstTxWarp>
                          <a:noAutofit/>
                        </wps:bodyPr>
                      </wps:wsp>
                      <wps:wsp>
                        <wps:cNvPr id="530" name="Textbox 530"/>
                        <wps:cNvSpPr txBox="1"/>
                        <wps:spPr>
                          <a:xfrm>
                            <a:off x="9525" y="9525"/>
                            <a:ext cx="2886075" cy="1885950"/>
                          </a:xfrm>
                          <a:prstGeom prst="rect">
                            <a:avLst/>
                          </a:prstGeom>
                          <a:ln w="19050">
                            <a:solidFill>
                              <a:srgbClr val="000000"/>
                            </a:solidFill>
                            <a:prstDash val="solid"/>
                          </a:ln>
                        </wps:spPr>
                        <wps:txbx>
                          <w:txbxContent>
                            <w:p>
                              <w:pPr>
                                <w:spacing w:before="11"/>
                                <w:ind w:left="381" w:right="0" w:firstLine="0"/>
                                <w:jc w:val="left"/>
                                <w:rPr>
                                  <w:rFonts w:ascii="Arial"/>
                                  <w:b/>
                                  <w:sz w:val="16"/>
                                </w:rPr>
                              </w:pPr>
                              <w:r>
                                <w:rPr>
                                  <w:rFonts w:ascii="Arial"/>
                                  <w:b/>
                                  <w:sz w:val="16"/>
                                </w:rPr>
                                <w:t>Borrowings</w:t>
                              </w:r>
                              <w:r>
                                <w:rPr>
                                  <w:rFonts w:ascii="Arial"/>
                                  <w:b/>
                                  <w:spacing w:val="-2"/>
                                  <w:sz w:val="16"/>
                                </w:rPr>
                                <w:t> </w:t>
                              </w:r>
                              <w:r>
                                <w:rPr>
                                  <w:rFonts w:ascii="Arial"/>
                                  <w:b/>
                                  <w:sz w:val="16"/>
                                </w:rPr>
                                <w:t>funding</w:t>
                              </w:r>
                              <w:r>
                                <w:rPr>
                                  <w:rFonts w:ascii="Arial"/>
                                  <w:b/>
                                  <w:spacing w:val="-1"/>
                                  <w:sz w:val="16"/>
                                </w:rPr>
                                <w:t> </w:t>
                              </w:r>
                              <w:r>
                                <w:rPr>
                                  <w:rFonts w:ascii="Arial"/>
                                  <w:b/>
                                  <w:sz w:val="16"/>
                                </w:rPr>
                                <w:t>loans</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before="146"/>
                                <w:ind w:left="1417" w:right="0" w:firstLine="0"/>
                                <w:jc w:val="left"/>
                                <w:rPr>
                                  <w:rFonts w:ascii="Arial MT"/>
                                  <w:sz w:val="14"/>
                                </w:rPr>
                              </w:pPr>
                              <w:r>
                                <w:rPr>
                                  <w:rFonts w:ascii="Arial MT"/>
                                  <w:sz w:val="14"/>
                                </w:rPr>
                                <w:t>Others</w:t>
                              </w:r>
                              <w:r>
                                <w:rPr>
                                  <w:rFonts w:ascii="Arial MT"/>
                                  <w:spacing w:val="-2"/>
                                  <w:sz w:val="14"/>
                                </w:rPr>
                                <w:t> </w:t>
                              </w:r>
                              <w:r>
                                <w:rPr>
                                  <w:rFonts w:ascii="Arial MT"/>
                                  <w:spacing w:val="-10"/>
                                  <w:sz w:val="14"/>
                                </w:rPr>
                                <w:t>*</w:t>
                              </w:r>
                            </w:p>
                            <w:p>
                              <w:pPr>
                                <w:spacing w:line="240" w:lineRule="auto" w:before="117"/>
                                <w:rPr>
                                  <w:rFonts w:ascii="Arial MT"/>
                                  <w:sz w:val="14"/>
                                </w:rPr>
                              </w:pPr>
                            </w:p>
                            <w:p>
                              <w:pPr>
                                <w:spacing w:before="1"/>
                                <w:ind w:left="2981" w:right="0" w:firstLine="0"/>
                                <w:jc w:val="left"/>
                                <w:rPr>
                                  <w:rFonts w:ascii="Arial MT"/>
                                  <w:sz w:val="14"/>
                                </w:rPr>
                              </w:pPr>
                              <w:r>
                                <w:rPr>
                                  <w:rFonts w:ascii="Arial MT"/>
                                  <w:sz w:val="14"/>
                                </w:rPr>
                                <w:t>Euro</w:t>
                              </w:r>
                              <w:r>
                                <w:rPr>
                                  <w:rFonts w:ascii="Arial MT"/>
                                  <w:spacing w:val="-1"/>
                                  <w:sz w:val="14"/>
                                </w:rPr>
                                <w:t> </w:t>
                              </w:r>
                              <w:r>
                                <w:rPr>
                                  <w:rFonts w:ascii="Arial MT"/>
                                  <w:spacing w:val="-5"/>
                                  <w:sz w:val="14"/>
                                </w:rPr>
                                <w:t>19%</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13"/>
                                <w:rPr>
                                  <w:rFonts w:ascii="Arial MT"/>
                                  <w:sz w:val="14"/>
                                </w:rPr>
                              </w:pPr>
                            </w:p>
                            <w:p>
                              <w:pPr>
                                <w:spacing w:before="1"/>
                                <w:ind w:left="359" w:right="0" w:firstLine="0"/>
                                <w:jc w:val="left"/>
                                <w:rPr>
                                  <w:rFonts w:ascii="Arial MT"/>
                                  <w:sz w:val="14"/>
                                </w:rPr>
                              </w:pPr>
                              <w:r>
                                <w:rPr>
                                  <w:rFonts w:ascii="Arial MT"/>
                                  <w:sz w:val="14"/>
                                </w:rPr>
                                <w:t>U.S.</w:t>
                              </w:r>
                              <w:r>
                                <w:rPr>
                                  <w:rFonts w:ascii="Arial MT"/>
                                  <w:spacing w:val="-5"/>
                                  <w:sz w:val="14"/>
                                </w:rPr>
                                <w:t> </w:t>
                              </w:r>
                              <w:r>
                                <w:rPr>
                                  <w:rFonts w:ascii="Arial MT"/>
                                  <w:sz w:val="14"/>
                                </w:rPr>
                                <w:t>Dollars</w:t>
                              </w:r>
                              <w:r>
                                <w:rPr>
                                  <w:rFonts w:ascii="Arial MT"/>
                                  <w:spacing w:val="-3"/>
                                  <w:sz w:val="14"/>
                                </w:rPr>
                                <w:t> </w:t>
                              </w:r>
                              <w:r>
                                <w:rPr>
                                  <w:rFonts w:ascii="Arial MT"/>
                                  <w:spacing w:val="-5"/>
                                  <w:sz w:val="14"/>
                                </w:rPr>
                                <w:t>81%</w:t>
                              </w:r>
                            </w:p>
                          </w:txbxContent>
                        </wps:txbx>
                        <wps:bodyPr wrap="square" lIns="0" tIns="0" rIns="0" bIns="0" rtlCol="0">
                          <a:noAutofit/>
                        </wps:bodyPr>
                      </wps:wsp>
                    </wpg:wgp>
                  </a:graphicData>
                </a:graphic>
              </wp:anchor>
            </w:drawing>
          </mc:Choice>
          <mc:Fallback>
            <w:pict>
              <v:group style="position:absolute;margin-left:305.190002pt;margin-top:8.338944pt;width:228.75pt;height:150pt;mso-position-horizontal-relative:page;mso-position-vertical-relative:paragraph;z-index:-15652352;mso-wrap-distance-left:0;mso-wrap-distance-right:0" id="docshapegroup443" coordorigin="6104,167" coordsize="4575,3000">
                <v:shape style="position:absolute;left:8398;top:942;width:869;height:762" id="docshape444" coordorigin="8399,943" coordsize="869,762" path="m8399,943l8399,1410,8479,1417,8556,1437,8628,1470,8693,1514,8749,1568,8797,1632,8833,1704,9267,1532,9236,1463,9200,1396,9159,1334,9114,1276,9064,1221,9011,1171,8953,1125,8893,1084,8829,1048,8763,1016,8694,990,8622,970,8549,955,8475,946,8399,943xe" filled="true" fillcolor="#585858" stroked="false">
                  <v:path arrowok="t"/>
                  <v:fill type="solid"/>
                </v:shape>
                <v:shape style="position:absolute;left:7464;top:942;width:1868;height:1868" id="docshape445" coordorigin="7465,943" coordsize="1868,1868" path="m8398,943l8321,946,8246,955,8173,970,8102,991,8033,1017,7967,1049,7903,1085,7843,1126,7786,1172,7733,1222,7683,1276,7638,1335,7597,1397,7562,1462,7531,1531,7506,1603,7486,1677,7473,1751,7466,1825,7465,1900,7470,1973,7480,2046,7496,2117,7518,2187,7545,2255,7577,2321,7614,2384,7657,2444,7704,2501,7756,2555,7813,2604,7874,2650,7939,2690,8006,2724,8075,2753,8146,2776,8217,2793,8290,2805,8363,2810,8436,2810,8509,2804,8581,2793,8653,2776,8723,2753,8791,2725,8858,2691,8922,2651,8983,2606,9041,2555,9093,2502,9141,2444,9184,2383,9221,2320,9253,2254,9280,2186,9302,2116,9318,2045,9328,1972,9333,1899,9332,1825,9325,1751,9312,1678,9293,1605,9267,1533,8833,1705,8855,1777,8865,1851,8863,1924,8850,1996,8826,2065,8791,2130,8746,2189,8691,2241,8628,2284,8561,2315,8490,2335,8417,2343,8344,2341,8272,2326,8203,2301,8137,2263,8077,2216,8028,2160,7988,2099,7958,2032,7939,1961,7932,1888,7936,1814,7952,1740,7980,1669,8018,1606,8066,1549,8121,1501,8183,1463,8250,1434,8323,1416,8398,1410,8398,943xe" filled="true" fillcolor="#d9d9d9" stroked="false">
                  <v:path arrowok="t"/>
                  <v:fill type="solid"/>
                </v:shape>
                <v:shape style="position:absolute;left:8075;top:604;width:316;height:323" id="docshape446" coordorigin="8076,605" coordsize="316,323" path="m8076,605l8196,605,8391,928e" filled="false" stroked="true" strokeweight=".75pt" strokecolor="#585858">
                  <v:path arrowok="t"/>
                  <v:stroke dashstyle="solid"/>
                </v:shape>
                <v:shape style="position:absolute;left:6118;top:181;width:4545;height:2970" type="#_x0000_t202" id="docshape447" filled="false" stroked="true" strokeweight="1.5pt" strokecolor="#000000">
                  <v:textbox inset="0,0,0,0">
                    <w:txbxContent>
                      <w:p>
                        <w:pPr>
                          <w:spacing w:before="11"/>
                          <w:ind w:left="381" w:right="0" w:firstLine="0"/>
                          <w:jc w:val="left"/>
                          <w:rPr>
                            <w:rFonts w:ascii="Arial"/>
                            <w:b/>
                            <w:sz w:val="16"/>
                          </w:rPr>
                        </w:pPr>
                        <w:r>
                          <w:rPr>
                            <w:rFonts w:ascii="Arial"/>
                            <w:b/>
                            <w:sz w:val="16"/>
                          </w:rPr>
                          <w:t>Borrowings</w:t>
                        </w:r>
                        <w:r>
                          <w:rPr>
                            <w:rFonts w:ascii="Arial"/>
                            <w:b/>
                            <w:spacing w:val="-2"/>
                            <w:sz w:val="16"/>
                          </w:rPr>
                          <w:t> </w:t>
                        </w:r>
                        <w:r>
                          <w:rPr>
                            <w:rFonts w:ascii="Arial"/>
                            <w:b/>
                            <w:sz w:val="16"/>
                          </w:rPr>
                          <w:t>funding</w:t>
                        </w:r>
                        <w:r>
                          <w:rPr>
                            <w:rFonts w:ascii="Arial"/>
                            <w:b/>
                            <w:spacing w:val="-1"/>
                            <w:sz w:val="16"/>
                          </w:rPr>
                          <w:t> </w:t>
                        </w:r>
                        <w:r>
                          <w:rPr>
                            <w:rFonts w:ascii="Arial"/>
                            <w:b/>
                            <w:sz w:val="16"/>
                          </w:rPr>
                          <w:t>loans</w:t>
                        </w:r>
                        <w:r>
                          <w:rPr>
                            <w:rFonts w:ascii="Arial"/>
                            <w:b/>
                            <w:spacing w:val="-1"/>
                            <w:sz w:val="16"/>
                          </w:rPr>
                          <w:t> </w:t>
                        </w:r>
                        <w:r>
                          <w:rPr>
                            <w:rFonts w:ascii="Arial"/>
                            <w:b/>
                            <w:sz w:val="16"/>
                          </w:rPr>
                          <w:t>(including</w:t>
                        </w:r>
                        <w:r>
                          <w:rPr>
                            <w:rFonts w:ascii="Arial"/>
                            <w:b/>
                            <w:spacing w:val="-1"/>
                            <w:sz w:val="16"/>
                          </w:rPr>
                          <w:t> </w:t>
                        </w:r>
                        <w:r>
                          <w:rPr>
                            <w:rFonts w:ascii="Arial"/>
                            <w:b/>
                            <w:spacing w:val="-2"/>
                            <w:sz w:val="16"/>
                          </w:rPr>
                          <w:t>Derivatives)</w:t>
                        </w:r>
                      </w:p>
                      <w:p>
                        <w:pPr>
                          <w:spacing w:before="146"/>
                          <w:ind w:left="1417" w:right="0" w:firstLine="0"/>
                          <w:jc w:val="left"/>
                          <w:rPr>
                            <w:rFonts w:ascii="Arial MT"/>
                            <w:sz w:val="14"/>
                          </w:rPr>
                        </w:pPr>
                        <w:r>
                          <w:rPr>
                            <w:rFonts w:ascii="Arial MT"/>
                            <w:sz w:val="14"/>
                          </w:rPr>
                          <w:t>Others</w:t>
                        </w:r>
                        <w:r>
                          <w:rPr>
                            <w:rFonts w:ascii="Arial MT"/>
                            <w:spacing w:val="-2"/>
                            <w:sz w:val="14"/>
                          </w:rPr>
                          <w:t> </w:t>
                        </w:r>
                        <w:r>
                          <w:rPr>
                            <w:rFonts w:ascii="Arial MT"/>
                            <w:spacing w:val="-10"/>
                            <w:sz w:val="14"/>
                          </w:rPr>
                          <w:t>*</w:t>
                        </w:r>
                      </w:p>
                      <w:p>
                        <w:pPr>
                          <w:spacing w:line="240" w:lineRule="auto" w:before="117"/>
                          <w:rPr>
                            <w:rFonts w:ascii="Arial MT"/>
                            <w:sz w:val="14"/>
                          </w:rPr>
                        </w:pPr>
                      </w:p>
                      <w:p>
                        <w:pPr>
                          <w:spacing w:before="1"/>
                          <w:ind w:left="2981" w:right="0" w:firstLine="0"/>
                          <w:jc w:val="left"/>
                          <w:rPr>
                            <w:rFonts w:ascii="Arial MT"/>
                            <w:sz w:val="14"/>
                          </w:rPr>
                        </w:pPr>
                        <w:r>
                          <w:rPr>
                            <w:rFonts w:ascii="Arial MT"/>
                            <w:sz w:val="14"/>
                          </w:rPr>
                          <w:t>Euro</w:t>
                        </w:r>
                        <w:r>
                          <w:rPr>
                            <w:rFonts w:ascii="Arial MT"/>
                            <w:spacing w:val="-1"/>
                            <w:sz w:val="14"/>
                          </w:rPr>
                          <w:t> </w:t>
                        </w:r>
                        <w:r>
                          <w:rPr>
                            <w:rFonts w:ascii="Arial MT"/>
                            <w:spacing w:val="-5"/>
                            <w:sz w:val="14"/>
                          </w:rPr>
                          <w:t>19%</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13"/>
                          <w:rPr>
                            <w:rFonts w:ascii="Arial MT"/>
                            <w:sz w:val="14"/>
                          </w:rPr>
                        </w:pPr>
                      </w:p>
                      <w:p>
                        <w:pPr>
                          <w:spacing w:before="1"/>
                          <w:ind w:left="359" w:right="0" w:firstLine="0"/>
                          <w:jc w:val="left"/>
                          <w:rPr>
                            <w:rFonts w:ascii="Arial MT"/>
                            <w:sz w:val="14"/>
                          </w:rPr>
                        </w:pPr>
                        <w:r>
                          <w:rPr>
                            <w:rFonts w:ascii="Arial MT"/>
                            <w:sz w:val="14"/>
                          </w:rPr>
                          <w:t>U.S.</w:t>
                        </w:r>
                        <w:r>
                          <w:rPr>
                            <w:rFonts w:ascii="Arial MT"/>
                            <w:spacing w:val="-5"/>
                            <w:sz w:val="14"/>
                          </w:rPr>
                          <w:t> </w:t>
                        </w:r>
                        <w:r>
                          <w:rPr>
                            <w:rFonts w:ascii="Arial MT"/>
                            <w:sz w:val="14"/>
                          </w:rPr>
                          <w:t>Dollars</w:t>
                        </w:r>
                        <w:r>
                          <w:rPr>
                            <w:rFonts w:ascii="Arial MT"/>
                            <w:spacing w:val="-3"/>
                            <w:sz w:val="14"/>
                          </w:rPr>
                          <w:t> </w:t>
                        </w:r>
                        <w:r>
                          <w:rPr>
                            <w:rFonts w:ascii="Arial MT"/>
                            <w:spacing w:val="-5"/>
                            <w:sz w:val="14"/>
                          </w:rPr>
                          <w:t>81%</w:t>
                        </w:r>
                      </w:p>
                    </w:txbxContent>
                  </v:textbox>
                  <v:stroke dashstyle="solid"/>
                  <w10:wrap type="none"/>
                </v:shape>
                <w10:wrap type="topAndBottom"/>
              </v:group>
            </w:pict>
          </mc:Fallback>
        </mc:AlternateContent>
      </w:r>
    </w:p>
    <w:p>
      <w:pPr>
        <w:spacing w:before="42"/>
        <w:ind w:left="720" w:right="0" w:firstLine="0"/>
        <w:jc w:val="both"/>
        <w:rPr>
          <w:rFonts w:ascii="Arial"/>
          <w:i/>
          <w:sz w:val="16"/>
        </w:rPr>
      </w:pPr>
      <w:r>
        <w:rPr>
          <w:rFonts w:ascii="Arial"/>
          <w:i/>
          <w:sz w:val="16"/>
        </w:rPr>
        <w:t>*</w:t>
      </w:r>
      <w:r>
        <w:rPr>
          <w:rFonts w:ascii="Arial"/>
          <w:i/>
          <w:spacing w:val="-4"/>
          <w:sz w:val="16"/>
        </w:rPr>
        <w:t> </w:t>
      </w:r>
      <w:r>
        <w:rPr>
          <w:rFonts w:ascii="Arial"/>
          <w:i/>
          <w:sz w:val="16"/>
        </w:rPr>
        <w:t>Denotes</w:t>
      </w:r>
      <w:r>
        <w:rPr>
          <w:rFonts w:ascii="Arial"/>
          <w:i/>
          <w:spacing w:val="-3"/>
          <w:sz w:val="16"/>
        </w:rPr>
        <w:t> </w:t>
      </w:r>
      <w:r>
        <w:rPr>
          <w:rFonts w:ascii="Arial"/>
          <w:i/>
          <w:sz w:val="16"/>
        </w:rPr>
        <w:t>percentage</w:t>
      </w:r>
      <w:r>
        <w:rPr>
          <w:rFonts w:ascii="Arial"/>
          <w:i/>
          <w:spacing w:val="-4"/>
          <w:sz w:val="16"/>
        </w:rPr>
        <w:t> </w:t>
      </w:r>
      <w:r>
        <w:rPr>
          <w:rFonts w:ascii="Arial"/>
          <w:i/>
          <w:sz w:val="16"/>
        </w:rPr>
        <w:t>less</w:t>
      </w:r>
      <w:r>
        <w:rPr>
          <w:rFonts w:ascii="Arial"/>
          <w:i/>
          <w:spacing w:val="-3"/>
          <w:sz w:val="16"/>
        </w:rPr>
        <w:t> </w:t>
      </w:r>
      <w:r>
        <w:rPr>
          <w:rFonts w:ascii="Arial"/>
          <w:i/>
          <w:sz w:val="16"/>
        </w:rPr>
        <w:t>than</w:t>
      </w:r>
      <w:r>
        <w:rPr>
          <w:rFonts w:ascii="Arial"/>
          <w:i/>
          <w:spacing w:val="-3"/>
          <w:sz w:val="16"/>
        </w:rPr>
        <w:t> </w:t>
      </w:r>
      <w:r>
        <w:rPr>
          <w:rFonts w:ascii="Arial"/>
          <w:i/>
          <w:spacing w:val="-4"/>
          <w:sz w:val="16"/>
        </w:rPr>
        <w:t>0.5%.</w:t>
      </w:r>
    </w:p>
    <w:p>
      <w:pPr>
        <w:pStyle w:val="BodyText"/>
        <w:spacing w:before="41"/>
        <w:rPr>
          <w:rFonts w:ascii="Arial"/>
          <w:i/>
          <w:sz w:val="16"/>
        </w:rPr>
      </w:pPr>
    </w:p>
    <w:p>
      <w:pPr>
        <w:pStyle w:val="Heading4"/>
      </w:pPr>
      <w:r>
        <w:rPr/>
        <w:t>Liquidity</w:t>
      </w:r>
      <w:r>
        <w:rPr>
          <w:spacing w:val="-5"/>
        </w:rPr>
        <w:t> </w:t>
      </w:r>
      <w:r>
        <w:rPr>
          <w:spacing w:val="-4"/>
        </w:rPr>
        <w:t>Risk</w:t>
      </w:r>
    </w:p>
    <w:p>
      <w:pPr>
        <w:pStyle w:val="BodyText"/>
        <w:spacing w:line="249" w:lineRule="auto" w:before="139"/>
        <w:ind w:left="720" w:right="718"/>
        <w:jc w:val="both"/>
      </w:pPr>
      <w:r>
        <w:rPr/>
        <w:t>Liquidity risk arises in the general funding of IBRD’s activities and in managing its financial position. It includes</w:t>
      </w:r>
      <w:r>
        <w:rPr>
          <w:spacing w:val="40"/>
        </w:rPr>
        <w:t> </w:t>
      </w:r>
      <w:r>
        <w:rPr/>
        <w:t>the risk of IBRD being unable to fund its portfolio of assets at appropriate maturities and rates, and the risk of being unable to liquidate a position in a timely manner at a reasonable price.</w:t>
      </w:r>
    </w:p>
    <w:p>
      <w:pPr>
        <w:pStyle w:val="BodyText"/>
        <w:spacing w:line="249" w:lineRule="auto" w:before="123"/>
        <w:ind w:left="720" w:right="719"/>
        <w:jc w:val="both"/>
      </w:pPr>
      <w:r>
        <w:rPr/>
        <w:t>Under IBRD’s liquidity management guidelines, aggregate liquid asset holdings are kept at or above a specified Prudential Minimum to safeguard against cash flow interruptions.</w:t>
      </w:r>
    </w:p>
    <w:p>
      <w:pPr>
        <w:pStyle w:val="BodyText"/>
        <w:spacing w:line="249" w:lineRule="auto" w:before="121"/>
        <w:ind w:left="720" w:right="718"/>
        <w:jc w:val="both"/>
      </w:pPr>
      <w:r>
        <w:rPr/>
        <w:t>The Target Liquidity Level represents twelve-months’ coverage as calculated at the start of every fiscal year. The Prudential Minimum is defined as 80% of the Target Liquidity Level. The maximum guideline of 150% of Target Liquidity Level continues to function as a guideline rather than a hard ceiling (see Table 31).</w:t>
      </w:r>
    </w:p>
    <w:p>
      <w:pPr>
        <w:pStyle w:val="BodyText"/>
        <w:spacing w:before="11"/>
        <w:rPr>
          <w:sz w:val="16"/>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7"/>
        <w:gridCol w:w="1549"/>
        <w:gridCol w:w="1248"/>
      </w:tblGrid>
      <w:tr>
        <w:trPr>
          <w:trHeight w:val="231" w:hRule="atLeast"/>
        </w:trPr>
        <w:tc>
          <w:tcPr>
            <w:tcW w:w="3277" w:type="dxa"/>
          </w:tcPr>
          <w:p>
            <w:pPr>
              <w:pStyle w:val="TableParagraph"/>
              <w:spacing w:line="201" w:lineRule="exact"/>
              <w:ind w:left="52"/>
              <w:rPr>
                <w:rFonts w:ascii="Arial"/>
                <w:b/>
                <w:sz w:val="18"/>
              </w:rPr>
            </w:pPr>
            <w:bookmarkStart w:name="_bookmark89" w:id="129"/>
            <w:bookmarkEnd w:id="129"/>
            <w:r>
              <w:rPr/>
            </w:r>
            <w:r>
              <w:rPr>
                <w:rFonts w:ascii="Arial"/>
                <w:b/>
                <w:sz w:val="18"/>
              </w:rPr>
              <w:t>Table</w:t>
            </w:r>
            <w:r>
              <w:rPr>
                <w:rFonts w:ascii="Arial"/>
                <w:b/>
                <w:spacing w:val="-3"/>
                <w:sz w:val="18"/>
              </w:rPr>
              <w:t> </w:t>
            </w:r>
            <w:r>
              <w:rPr>
                <w:rFonts w:ascii="Arial"/>
                <w:b/>
                <w:sz w:val="18"/>
              </w:rPr>
              <w:t>31:</w:t>
            </w:r>
            <w:r>
              <w:rPr>
                <w:rFonts w:ascii="Arial"/>
                <w:b/>
                <w:spacing w:val="-1"/>
                <w:sz w:val="18"/>
              </w:rPr>
              <w:t> </w:t>
            </w:r>
            <w:r>
              <w:rPr>
                <w:rFonts w:ascii="Arial"/>
                <w:b/>
                <w:sz w:val="18"/>
              </w:rPr>
              <w:t>Liquidity</w:t>
            </w:r>
            <w:r>
              <w:rPr>
                <w:rFonts w:ascii="Arial"/>
                <w:b/>
                <w:spacing w:val="-1"/>
                <w:sz w:val="18"/>
              </w:rPr>
              <w:t> </w:t>
            </w:r>
            <w:r>
              <w:rPr>
                <w:rFonts w:ascii="Arial"/>
                <w:b/>
                <w:spacing w:val="-2"/>
                <w:sz w:val="18"/>
              </w:rPr>
              <w:t>Levels</w:t>
            </w:r>
          </w:p>
        </w:tc>
        <w:tc>
          <w:tcPr>
            <w:tcW w:w="2797" w:type="dxa"/>
            <w:gridSpan w:val="2"/>
          </w:tcPr>
          <w:p>
            <w:pPr>
              <w:pStyle w:val="TableParagraph"/>
              <w:rPr>
                <w:rFonts w:ascii="Times New Roman"/>
                <w:sz w:val="16"/>
              </w:rPr>
            </w:pPr>
          </w:p>
        </w:tc>
      </w:tr>
      <w:tr>
        <w:trPr>
          <w:trHeight w:val="394" w:hRule="atLeast"/>
        </w:trPr>
        <w:tc>
          <w:tcPr>
            <w:tcW w:w="3277" w:type="dxa"/>
            <w:tcBorders>
              <w:bottom w:val="single" w:sz="8" w:space="0" w:color="6C6C6C"/>
            </w:tcBorders>
          </w:tcPr>
          <w:p>
            <w:pPr>
              <w:pStyle w:val="TableParagraph"/>
              <w:spacing w:before="7"/>
              <w:rPr>
                <w:rFonts w:ascii="Times New Roman"/>
                <w:sz w:val="16"/>
              </w:rPr>
            </w:pPr>
          </w:p>
          <w:p>
            <w:pPr>
              <w:pStyle w:val="TableParagraph"/>
              <w:spacing w:line="183" w:lineRule="exact"/>
              <w:ind w:left="97"/>
              <w:rPr>
                <w:rFonts w:ascii="Arial"/>
                <w:i/>
                <w:sz w:val="16"/>
              </w:rPr>
            </w:pPr>
            <w:r>
              <w:rPr>
                <w:rFonts w:ascii="Arial"/>
                <w:i/>
                <w:color w:val="7F7F7F"/>
                <w:sz w:val="16"/>
              </w:rPr>
              <w:t>Effective</w:t>
            </w:r>
            <w:r>
              <w:rPr>
                <w:rFonts w:ascii="Arial"/>
                <w:i/>
                <w:color w:val="7F7F7F"/>
                <w:spacing w:val="-5"/>
                <w:sz w:val="16"/>
              </w:rPr>
              <w:t> </w:t>
            </w:r>
            <w:r>
              <w:rPr>
                <w:rFonts w:ascii="Arial"/>
                <w:i/>
                <w:color w:val="7F7F7F"/>
                <w:sz w:val="16"/>
              </w:rPr>
              <w:t>for</w:t>
            </w:r>
            <w:r>
              <w:rPr>
                <w:rFonts w:ascii="Arial"/>
                <w:i/>
                <w:color w:val="7F7F7F"/>
                <w:spacing w:val="-2"/>
                <w:sz w:val="16"/>
              </w:rPr>
              <w:t> </w:t>
            </w:r>
            <w:r>
              <w:rPr>
                <w:rFonts w:ascii="Arial"/>
                <w:i/>
                <w:color w:val="7F7F7F"/>
                <w:spacing w:val="-4"/>
                <w:sz w:val="16"/>
              </w:rPr>
              <w:t>FY23</w:t>
            </w:r>
          </w:p>
        </w:tc>
        <w:tc>
          <w:tcPr>
            <w:tcW w:w="1549" w:type="dxa"/>
            <w:tcBorders>
              <w:bottom w:val="single" w:sz="8" w:space="0" w:color="6C6C6C"/>
            </w:tcBorders>
          </w:tcPr>
          <w:p>
            <w:pPr>
              <w:pStyle w:val="TableParagraph"/>
              <w:spacing w:line="172" w:lineRule="exact" w:before="25"/>
              <w:ind w:left="522"/>
              <w:rPr>
                <w:rFonts w:ascii="Arial"/>
                <w:i/>
                <w:sz w:val="16"/>
              </w:rPr>
            </w:pPr>
            <w:r>
              <w:rPr>
                <w:rFonts w:ascii="Arial"/>
                <w:i/>
                <w:color w:val="7F7F7F"/>
                <w:sz w:val="16"/>
              </w:rPr>
              <w:t>In</w:t>
            </w:r>
            <w:r>
              <w:rPr>
                <w:rFonts w:ascii="Arial"/>
                <w:i/>
                <w:color w:val="7F7F7F"/>
                <w:spacing w:val="-7"/>
                <w:sz w:val="16"/>
              </w:rPr>
              <w:t> </w:t>
            </w:r>
            <w:r>
              <w:rPr>
                <w:rFonts w:ascii="Arial"/>
                <w:i/>
                <w:color w:val="7F7F7F"/>
                <w:sz w:val="16"/>
              </w:rPr>
              <w:t>billions</w:t>
            </w:r>
            <w:r>
              <w:rPr>
                <w:rFonts w:ascii="Arial"/>
                <w:i/>
                <w:color w:val="7F7F7F"/>
                <w:spacing w:val="-3"/>
                <w:sz w:val="16"/>
              </w:rPr>
              <w:t> </w:t>
            </w:r>
            <w:r>
              <w:rPr>
                <w:rFonts w:ascii="Arial"/>
                <w:i/>
                <w:color w:val="7F7F7F"/>
                <w:spacing w:val="-5"/>
                <w:sz w:val="16"/>
              </w:rPr>
              <w:t>of</w:t>
            </w:r>
          </w:p>
          <w:p>
            <w:pPr>
              <w:pStyle w:val="TableParagraph"/>
              <w:spacing w:line="172" w:lineRule="exact"/>
              <w:ind w:left="539"/>
              <w:rPr>
                <w:rFonts w:ascii="Arial"/>
                <w:i/>
                <w:sz w:val="16"/>
              </w:rPr>
            </w:pPr>
            <w:r>
              <w:rPr>
                <w:rFonts w:ascii="Arial"/>
                <w:i/>
                <w:color w:val="7F7F7F"/>
                <w:sz w:val="16"/>
              </w:rPr>
              <w:t>U.S.</w:t>
            </w:r>
            <w:r>
              <w:rPr>
                <w:rFonts w:ascii="Arial"/>
                <w:i/>
                <w:color w:val="7F7F7F"/>
                <w:spacing w:val="-3"/>
                <w:sz w:val="16"/>
              </w:rPr>
              <w:t> </w:t>
            </w:r>
            <w:r>
              <w:rPr>
                <w:rFonts w:ascii="Arial"/>
                <w:i/>
                <w:color w:val="7F7F7F"/>
                <w:spacing w:val="-2"/>
                <w:sz w:val="16"/>
              </w:rPr>
              <w:t>dollars</w:t>
            </w:r>
          </w:p>
        </w:tc>
        <w:tc>
          <w:tcPr>
            <w:tcW w:w="1248" w:type="dxa"/>
            <w:tcBorders>
              <w:bottom w:val="single" w:sz="8" w:space="0" w:color="6C6C6C"/>
            </w:tcBorders>
          </w:tcPr>
          <w:p>
            <w:pPr>
              <w:pStyle w:val="TableParagraph"/>
              <w:spacing w:line="208" w:lineRule="auto" w:before="44"/>
              <w:ind w:left="184" w:firstLine="186"/>
              <w:rPr>
                <w:rFonts w:ascii="Arial"/>
                <w:i/>
                <w:sz w:val="16"/>
              </w:rPr>
            </w:pPr>
            <w:r>
              <w:rPr>
                <w:rFonts w:ascii="Arial"/>
                <w:i/>
                <w:color w:val="7F7F7F"/>
                <w:sz w:val="16"/>
              </w:rPr>
              <w:t>%</w:t>
            </w:r>
            <w:r>
              <w:rPr>
                <w:rFonts w:ascii="Arial"/>
                <w:i/>
                <w:color w:val="7F7F7F"/>
                <w:spacing w:val="-12"/>
                <w:sz w:val="16"/>
              </w:rPr>
              <w:t> </w:t>
            </w:r>
            <w:r>
              <w:rPr>
                <w:rFonts w:ascii="Arial"/>
                <w:i/>
                <w:color w:val="7F7F7F"/>
                <w:sz w:val="16"/>
              </w:rPr>
              <w:t>of</w:t>
            </w:r>
            <w:r>
              <w:rPr>
                <w:rFonts w:ascii="Arial"/>
                <w:i/>
                <w:color w:val="7F7F7F"/>
                <w:spacing w:val="-11"/>
                <w:sz w:val="16"/>
              </w:rPr>
              <w:t> </w:t>
            </w:r>
            <w:r>
              <w:rPr>
                <w:rFonts w:ascii="Arial"/>
                <w:i/>
                <w:color w:val="7F7F7F"/>
                <w:sz w:val="16"/>
              </w:rPr>
              <w:t>Target Liquidity</w:t>
            </w:r>
            <w:r>
              <w:rPr>
                <w:rFonts w:ascii="Arial"/>
                <w:i/>
                <w:color w:val="7F7F7F"/>
                <w:spacing w:val="-9"/>
                <w:sz w:val="16"/>
              </w:rPr>
              <w:t> </w:t>
            </w:r>
            <w:r>
              <w:rPr>
                <w:rFonts w:ascii="Arial"/>
                <w:i/>
                <w:color w:val="7F7F7F"/>
                <w:spacing w:val="-2"/>
                <w:sz w:val="16"/>
              </w:rPr>
              <w:t>Level</w:t>
            </w:r>
          </w:p>
        </w:tc>
      </w:tr>
      <w:tr>
        <w:trPr>
          <w:trHeight w:val="230" w:hRule="atLeast"/>
        </w:trPr>
        <w:tc>
          <w:tcPr>
            <w:tcW w:w="3277" w:type="dxa"/>
            <w:tcBorders>
              <w:top w:val="single" w:sz="8" w:space="0" w:color="6C6C6C"/>
            </w:tcBorders>
          </w:tcPr>
          <w:p>
            <w:pPr>
              <w:pStyle w:val="TableParagraph"/>
              <w:spacing w:before="16"/>
              <w:ind w:left="52"/>
              <w:rPr>
                <w:sz w:val="16"/>
              </w:rPr>
            </w:pPr>
            <w:r>
              <w:rPr>
                <w:spacing w:val="-2"/>
                <w:sz w:val="16"/>
              </w:rPr>
              <w:t>Target</w:t>
            </w:r>
            <w:r>
              <w:rPr>
                <w:spacing w:val="1"/>
                <w:sz w:val="16"/>
              </w:rPr>
              <w:t> </w:t>
            </w:r>
            <w:r>
              <w:rPr>
                <w:spacing w:val="-2"/>
                <w:sz w:val="16"/>
              </w:rPr>
              <w:t>Liquidity</w:t>
            </w:r>
            <w:r>
              <w:rPr>
                <w:spacing w:val="1"/>
                <w:sz w:val="16"/>
              </w:rPr>
              <w:t> </w:t>
            </w:r>
            <w:r>
              <w:rPr>
                <w:spacing w:val="-4"/>
                <w:sz w:val="16"/>
              </w:rPr>
              <w:t>Level</w:t>
            </w:r>
          </w:p>
        </w:tc>
        <w:tc>
          <w:tcPr>
            <w:tcW w:w="1549" w:type="dxa"/>
            <w:tcBorders>
              <w:top w:val="single" w:sz="8" w:space="0" w:color="6C6C6C"/>
            </w:tcBorders>
          </w:tcPr>
          <w:p>
            <w:pPr>
              <w:pStyle w:val="TableParagraph"/>
              <w:tabs>
                <w:tab w:pos="753" w:val="left" w:leader="none"/>
              </w:tabs>
              <w:spacing w:before="16"/>
              <w:ind w:right="197"/>
              <w:jc w:val="right"/>
              <w:rPr>
                <w:sz w:val="16"/>
              </w:rPr>
            </w:pPr>
            <w:r>
              <w:rPr>
                <w:spacing w:val="-10"/>
                <w:sz w:val="16"/>
              </w:rPr>
              <w:t>$</w:t>
            </w:r>
            <w:r>
              <w:rPr>
                <w:sz w:val="16"/>
              </w:rPr>
              <w:tab/>
            </w:r>
            <w:r>
              <w:rPr>
                <w:spacing w:val="-4"/>
                <w:sz w:val="16"/>
              </w:rPr>
              <w:t>54.0</w:t>
            </w:r>
          </w:p>
        </w:tc>
        <w:tc>
          <w:tcPr>
            <w:tcW w:w="1248" w:type="dxa"/>
            <w:tcBorders>
              <w:top w:val="single" w:sz="8" w:space="0" w:color="6C6C6C"/>
            </w:tcBorders>
          </w:tcPr>
          <w:p>
            <w:pPr>
              <w:pStyle w:val="TableParagraph"/>
              <w:rPr>
                <w:rFonts w:ascii="Times New Roman"/>
                <w:sz w:val="16"/>
              </w:rPr>
            </w:pPr>
          </w:p>
        </w:tc>
      </w:tr>
      <w:tr>
        <w:trPr>
          <w:trHeight w:val="239" w:hRule="atLeast"/>
        </w:trPr>
        <w:tc>
          <w:tcPr>
            <w:tcW w:w="3277" w:type="dxa"/>
          </w:tcPr>
          <w:p>
            <w:pPr>
              <w:pStyle w:val="TableParagraph"/>
              <w:spacing w:before="25"/>
              <w:ind w:left="52"/>
              <w:rPr>
                <w:sz w:val="16"/>
              </w:rPr>
            </w:pPr>
            <w:r>
              <w:rPr>
                <w:sz w:val="16"/>
              </w:rPr>
              <w:t>Guideline</w:t>
            </w:r>
            <w:r>
              <w:rPr>
                <w:spacing w:val="-7"/>
                <w:sz w:val="16"/>
              </w:rPr>
              <w:t> </w:t>
            </w:r>
            <w:r>
              <w:rPr>
                <w:sz w:val="16"/>
              </w:rPr>
              <w:t>Maximum</w:t>
            </w:r>
            <w:r>
              <w:rPr>
                <w:spacing w:val="-6"/>
                <w:sz w:val="16"/>
              </w:rPr>
              <w:t> </w:t>
            </w:r>
            <w:r>
              <w:rPr>
                <w:sz w:val="16"/>
              </w:rPr>
              <w:t>Liquidity</w:t>
            </w:r>
            <w:r>
              <w:rPr>
                <w:spacing w:val="-5"/>
                <w:sz w:val="16"/>
              </w:rPr>
              <w:t> </w:t>
            </w:r>
            <w:r>
              <w:rPr>
                <w:spacing w:val="-4"/>
                <w:sz w:val="16"/>
              </w:rPr>
              <w:t>Level</w:t>
            </w:r>
          </w:p>
        </w:tc>
        <w:tc>
          <w:tcPr>
            <w:tcW w:w="1549" w:type="dxa"/>
          </w:tcPr>
          <w:p>
            <w:pPr>
              <w:pStyle w:val="TableParagraph"/>
              <w:spacing w:before="25"/>
              <w:ind w:right="197"/>
              <w:jc w:val="right"/>
              <w:rPr>
                <w:sz w:val="16"/>
              </w:rPr>
            </w:pPr>
            <w:r>
              <w:rPr>
                <w:spacing w:val="-4"/>
                <w:sz w:val="16"/>
              </w:rPr>
              <w:t>81.0</w:t>
            </w:r>
          </w:p>
        </w:tc>
        <w:tc>
          <w:tcPr>
            <w:tcW w:w="1248" w:type="dxa"/>
          </w:tcPr>
          <w:p>
            <w:pPr>
              <w:pStyle w:val="TableParagraph"/>
              <w:spacing w:before="25"/>
              <w:ind w:right="12"/>
              <w:jc w:val="right"/>
              <w:rPr>
                <w:sz w:val="16"/>
              </w:rPr>
            </w:pPr>
            <w:r>
              <w:rPr>
                <w:sz w:val="16"/>
              </w:rPr>
              <w:t>150</w:t>
            </w:r>
            <w:r>
              <w:rPr>
                <w:spacing w:val="6"/>
                <w:sz w:val="16"/>
              </w:rPr>
              <w:t> </w:t>
            </w:r>
            <w:r>
              <w:rPr>
                <w:spacing w:val="-10"/>
                <w:sz w:val="16"/>
              </w:rPr>
              <w:t>%</w:t>
            </w:r>
          </w:p>
        </w:tc>
      </w:tr>
      <w:tr>
        <w:trPr>
          <w:trHeight w:val="240" w:hRule="atLeast"/>
        </w:trPr>
        <w:tc>
          <w:tcPr>
            <w:tcW w:w="3277" w:type="dxa"/>
          </w:tcPr>
          <w:p>
            <w:pPr>
              <w:pStyle w:val="TableParagraph"/>
              <w:spacing w:before="25"/>
              <w:ind w:left="52"/>
              <w:rPr>
                <w:sz w:val="16"/>
              </w:rPr>
            </w:pPr>
            <w:r>
              <w:rPr>
                <w:sz w:val="16"/>
              </w:rPr>
              <w:t>Prudential</w:t>
            </w:r>
            <w:r>
              <w:rPr>
                <w:spacing w:val="-8"/>
                <w:sz w:val="16"/>
              </w:rPr>
              <w:t> </w:t>
            </w:r>
            <w:r>
              <w:rPr>
                <w:sz w:val="16"/>
              </w:rPr>
              <w:t>Minimum</w:t>
            </w:r>
            <w:r>
              <w:rPr>
                <w:spacing w:val="-6"/>
                <w:sz w:val="16"/>
              </w:rPr>
              <w:t> </w:t>
            </w:r>
            <w:r>
              <w:rPr>
                <w:sz w:val="16"/>
              </w:rPr>
              <w:t>Liquidity</w:t>
            </w:r>
            <w:r>
              <w:rPr>
                <w:spacing w:val="-5"/>
                <w:sz w:val="16"/>
              </w:rPr>
              <w:t> </w:t>
            </w:r>
            <w:r>
              <w:rPr>
                <w:spacing w:val="-4"/>
                <w:sz w:val="16"/>
              </w:rPr>
              <w:t>Level</w:t>
            </w:r>
          </w:p>
        </w:tc>
        <w:tc>
          <w:tcPr>
            <w:tcW w:w="1549" w:type="dxa"/>
          </w:tcPr>
          <w:p>
            <w:pPr>
              <w:pStyle w:val="TableParagraph"/>
              <w:spacing w:before="25"/>
              <w:ind w:right="197"/>
              <w:jc w:val="right"/>
              <w:rPr>
                <w:sz w:val="16"/>
              </w:rPr>
            </w:pPr>
            <w:r>
              <w:rPr>
                <w:spacing w:val="-4"/>
                <w:sz w:val="16"/>
              </w:rPr>
              <w:t>43.2</w:t>
            </w:r>
          </w:p>
        </w:tc>
        <w:tc>
          <w:tcPr>
            <w:tcW w:w="1248" w:type="dxa"/>
          </w:tcPr>
          <w:p>
            <w:pPr>
              <w:pStyle w:val="TableParagraph"/>
              <w:spacing w:before="25"/>
              <w:ind w:right="12"/>
              <w:jc w:val="right"/>
              <w:rPr>
                <w:sz w:val="16"/>
              </w:rPr>
            </w:pPr>
            <w:r>
              <w:rPr>
                <w:sz w:val="16"/>
              </w:rPr>
              <w:t>80</w:t>
            </w:r>
            <w:r>
              <w:rPr>
                <w:spacing w:val="7"/>
                <w:sz w:val="16"/>
              </w:rPr>
              <w:t> </w:t>
            </w:r>
            <w:r>
              <w:rPr>
                <w:spacing w:val="-10"/>
                <w:sz w:val="16"/>
              </w:rPr>
              <w:t>%</w:t>
            </w:r>
          </w:p>
        </w:tc>
      </w:tr>
      <w:tr>
        <w:trPr>
          <w:trHeight w:val="229" w:hRule="atLeast"/>
        </w:trPr>
        <w:tc>
          <w:tcPr>
            <w:tcW w:w="3277" w:type="dxa"/>
            <w:tcBorders>
              <w:bottom w:val="single" w:sz="8" w:space="0" w:color="6C6C6C"/>
            </w:tcBorders>
          </w:tcPr>
          <w:p>
            <w:pPr>
              <w:pStyle w:val="TableParagraph"/>
              <w:spacing w:line="184" w:lineRule="exact" w:before="25"/>
              <w:ind w:left="52"/>
              <w:rPr>
                <w:sz w:val="16"/>
              </w:rPr>
            </w:pPr>
            <w:r>
              <w:rPr>
                <w:sz w:val="16"/>
              </w:rPr>
              <w:t>Liquid</w:t>
            </w:r>
            <w:r>
              <w:rPr>
                <w:spacing w:val="-11"/>
                <w:sz w:val="16"/>
              </w:rPr>
              <w:t> </w:t>
            </w:r>
            <w:r>
              <w:rPr>
                <w:sz w:val="16"/>
              </w:rPr>
              <w:t>Asset</w:t>
            </w:r>
            <w:r>
              <w:rPr>
                <w:spacing w:val="-3"/>
                <w:sz w:val="16"/>
              </w:rPr>
              <w:t> </w:t>
            </w:r>
            <w:r>
              <w:rPr>
                <w:sz w:val="16"/>
              </w:rPr>
              <w:t>Portfolio</w:t>
            </w:r>
            <w:r>
              <w:rPr>
                <w:spacing w:val="-3"/>
                <w:sz w:val="16"/>
              </w:rPr>
              <w:t> </w:t>
            </w:r>
            <w:r>
              <w:rPr>
                <w:sz w:val="16"/>
              </w:rPr>
              <w:t>as</w:t>
            </w:r>
            <w:r>
              <w:rPr>
                <w:spacing w:val="-2"/>
                <w:sz w:val="16"/>
              </w:rPr>
              <w:t> </w:t>
            </w:r>
            <w:r>
              <w:rPr>
                <w:sz w:val="16"/>
              </w:rPr>
              <w:t>of</w:t>
            </w:r>
            <w:r>
              <w:rPr>
                <w:spacing w:val="-5"/>
                <w:sz w:val="16"/>
              </w:rPr>
              <w:t> </w:t>
            </w:r>
            <w:r>
              <w:rPr>
                <w:sz w:val="16"/>
              </w:rPr>
              <w:t>June</w:t>
            </w:r>
            <w:r>
              <w:rPr>
                <w:spacing w:val="-3"/>
                <w:sz w:val="16"/>
              </w:rPr>
              <w:t> </w:t>
            </w:r>
            <w:r>
              <w:rPr>
                <w:sz w:val="16"/>
              </w:rPr>
              <w:t>30,</w:t>
            </w:r>
            <w:r>
              <w:rPr>
                <w:spacing w:val="-2"/>
                <w:sz w:val="16"/>
              </w:rPr>
              <w:t> </w:t>
            </w:r>
            <w:r>
              <w:rPr>
                <w:spacing w:val="-4"/>
                <w:sz w:val="16"/>
              </w:rPr>
              <w:t>2023</w:t>
            </w:r>
          </w:p>
        </w:tc>
        <w:tc>
          <w:tcPr>
            <w:tcW w:w="1549" w:type="dxa"/>
            <w:tcBorders>
              <w:bottom w:val="single" w:sz="8" w:space="0" w:color="6C6C6C"/>
            </w:tcBorders>
          </w:tcPr>
          <w:p>
            <w:pPr>
              <w:pStyle w:val="TableParagraph"/>
              <w:tabs>
                <w:tab w:pos="753" w:val="left" w:leader="none"/>
              </w:tabs>
              <w:spacing w:line="184" w:lineRule="exact" w:before="25"/>
              <w:ind w:right="197"/>
              <w:jc w:val="right"/>
              <w:rPr>
                <w:sz w:val="16"/>
              </w:rPr>
            </w:pPr>
            <w:r>
              <w:rPr>
                <w:spacing w:val="-10"/>
                <w:sz w:val="16"/>
              </w:rPr>
              <w:t>$</w:t>
            </w:r>
            <w:r>
              <w:rPr>
                <w:sz w:val="16"/>
              </w:rPr>
              <w:tab/>
            </w:r>
            <w:r>
              <w:rPr>
                <w:spacing w:val="-4"/>
                <w:sz w:val="16"/>
              </w:rPr>
              <w:t>75.4</w:t>
            </w:r>
          </w:p>
        </w:tc>
        <w:tc>
          <w:tcPr>
            <w:tcW w:w="1248" w:type="dxa"/>
            <w:tcBorders>
              <w:bottom w:val="single" w:sz="8" w:space="0" w:color="6C6C6C"/>
            </w:tcBorders>
          </w:tcPr>
          <w:p>
            <w:pPr>
              <w:pStyle w:val="TableParagraph"/>
              <w:spacing w:line="184" w:lineRule="exact" w:before="25"/>
              <w:ind w:right="12"/>
              <w:jc w:val="right"/>
              <w:rPr>
                <w:sz w:val="16"/>
              </w:rPr>
            </w:pPr>
            <w:r>
              <w:rPr>
                <w:sz w:val="16"/>
              </w:rPr>
              <w:t>140</w:t>
            </w:r>
            <w:r>
              <w:rPr>
                <w:spacing w:val="6"/>
                <w:sz w:val="16"/>
              </w:rPr>
              <w:t> </w:t>
            </w:r>
            <w:r>
              <w:rPr>
                <w:spacing w:val="-10"/>
                <w:sz w:val="16"/>
              </w:rPr>
              <w:t>%</w:t>
            </w:r>
          </w:p>
        </w:tc>
      </w:tr>
    </w:tbl>
    <w:p>
      <w:pPr>
        <w:pStyle w:val="BodyText"/>
        <w:spacing w:line="249" w:lineRule="auto" w:before="164"/>
        <w:ind w:left="720" w:right="719"/>
        <w:jc w:val="both"/>
      </w:pPr>
      <w:r>
        <w:rPr/>
        <w:t>The FY24 Target Liquidity Level is set at $59.0 billion, $5.0 billion higher than FY23 Target Liquidity Level due to higher projected debt service in FY24.</w:t>
      </w:r>
    </w:p>
    <w:p>
      <w:pPr>
        <w:pStyle w:val="BodyText"/>
        <w:spacing w:after="0" w:line="249" w:lineRule="auto"/>
        <w:jc w:val="both"/>
        <w:sectPr>
          <w:pgSz w:w="12240" w:h="15840"/>
          <w:pgMar w:header="744" w:footer="583" w:top="1020" w:bottom="780" w:left="720" w:right="720"/>
        </w:sectPr>
      </w:pPr>
    </w:p>
    <w:p>
      <w:pPr>
        <w:pStyle w:val="BodyText"/>
        <w:spacing w:before="79"/>
        <w:rPr>
          <w:sz w:val="24"/>
        </w:rPr>
      </w:pPr>
    </w:p>
    <w:p>
      <w:pPr>
        <w:pStyle w:val="Heading1"/>
      </w:pPr>
      <w:bookmarkStart w:name="Operational Risk" w:id="130"/>
      <w:bookmarkEnd w:id="130"/>
      <w:r>
        <w:rPr>
          <w:b w:val="0"/>
        </w:rPr>
      </w:r>
      <w:bookmarkStart w:name="_bookmark90" w:id="131"/>
      <w:bookmarkEnd w:id="131"/>
      <w:r>
        <w:rPr>
          <w:b w:val="0"/>
        </w:rPr>
      </w:r>
      <w:r>
        <w:rPr/>
        <w:t>Operational</w:t>
      </w:r>
      <w:r>
        <w:rPr>
          <w:spacing w:val="-4"/>
        </w:rPr>
        <w:t> Risk</w:t>
      </w:r>
    </w:p>
    <w:p>
      <w:pPr>
        <w:pStyle w:val="BodyText"/>
        <w:spacing w:line="249" w:lineRule="auto" w:before="135"/>
        <w:ind w:left="720" w:right="722"/>
        <w:jc w:val="both"/>
      </w:pPr>
      <w:r>
        <w:rPr/>
        <w:t>Operational risk is defined as the risk of financial loss or damage to IBRD’s reputation resulting from inadequate or failed internal processes, people and systems, or from external events.</w:t>
      </w:r>
    </w:p>
    <w:p>
      <w:pPr>
        <w:pStyle w:val="BodyText"/>
        <w:spacing w:line="249" w:lineRule="auto" w:before="121"/>
        <w:ind w:left="720" w:right="719"/>
        <w:jc w:val="both"/>
      </w:pPr>
      <w:r>
        <w:rPr/>
        <w:t>IBRD recognizes the importance of operational risk management activities, which are embedded in its financial operations. As part of its business activities, IBRD is exposed to a range of operational risks including physical security and staff health and safety, data and cyber security, business continuity, and third-party vendor risks. IBRD’s approach to identifying and managing operational risk includes a dedicated program for these risks and a robust process that includes assessing and prioritizing operational risks, monitoring and reporting relevant key risk indicators, aggregating and analyzing internal and external events, identifying emerging risks that may affect business units, and developing risk responses and mitigating actions.</w:t>
      </w:r>
    </w:p>
    <w:p>
      <w:pPr>
        <w:pStyle w:val="Heading4"/>
        <w:spacing w:before="118"/>
      </w:pPr>
      <w:r>
        <w:rPr/>
        <w:t>Cybersecurity</w:t>
      </w:r>
      <w:r>
        <w:rPr>
          <w:spacing w:val="-4"/>
        </w:rPr>
        <w:t> </w:t>
      </w:r>
      <w:r>
        <w:rPr/>
        <w:t>Risk</w:t>
      </w:r>
      <w:r>
        <w:rPr>
          <w:spacing w:val="-4"/>
        </w:rPr>
        <w:t> </w:t>
      </w:r>
      <w:r>
        <w:rPr>
          <w:spacing w:val="-2"/>
        </w:rPr>
        <w:t>Management</w:t>
      </w:r>
    </w:p>
    <w:p>
      <w:pPr>
        <w:pStyle w:val="BodyText"/>
        <w:spacing w:line="249" w:lineRule="auto" w:before="139"/>
        <w:ind w:left="720" w:right="719"/>
        <w:jc w:val="both"/>
      </w:pPr>
      <w:r>
        <w:rPr/>
        <w:t>IBRD’s operations rely on the secure processing, storage and transmission of confidential and other information in computer systems and networks. As is the case for financial institutions generally, cybersecurity risk continues to be significant</w:t>
      </w:r>
      <w:r>
        <w:rPr>
          <w:spacing w:val="-2"/>
        </w:rPr>
        <w:t> </w:t>
      </w:r>
      <w:r>
        <w:rPr/>
        <w:t>for</w:t>
      </w:r>
      <w:r>
        <w:rPr>
          <w:spacing w:val="-2"/>
        </w:rPr>
        <w:t> </w:t>
      </w:r>
      <w:r>
        <w:rPr/>
        <w:t>IBRD</w:t>
      </w:r>
      <w:r>
        <w:rPr>
          <w:spacing w:val="-2"/>
        </w:rPr>
        <w:t> </w:t>
      </w:r>
      <w:r>
        <w:rPr/>
        <w:t>due</w:t>
      </w:r>
      <w:r>
        <w:rPr>
          <w:spacing w:val="-2"/>
        </w:rPr>
        <w:t> </w:t>
      </w:r>
      <w:r>
        <w:rPr/>
        <w:t>to</w:t>
      </w:r>
      <w:r>
        <w:rPr>
          <w:spacing w:val="-2"/>
        </w:rPr>
        <w:t> </w:t>
      </w:r>
      <w:r>
        <w:rPr/>
        <w:t>the</w:t>
      </w:r>
      <w:r>
        <w:rPr>
          <w:spacing w:val="-2"/>
        </w:rPr>
        <w:t> </w:t>
      </w:r>
      <w:r>
        <w:rPr/>
        <w:t>evolving</w:t>
      </w:r>
      <w:r>
        <w:rPr>
          <w:spacing w:val="-2"/>
        </w:rPr>
        <w:t> </w:t>
      </w:r>
      <w:r>
        <w:rPr/>
        <w:t>sophistication</w:t>
      </w:r>
      <w:r>
        <w:rPr>
          <w:spacing w:val="-2"/>
        </w:rPr>
        <w:t> </w:t>
      </w:r>
      <w:r>
        <w:rPr/>
        <w:t>and</w:t>
      </w:r>
      <w:r>
        <w:rPr>
          <w:spacing w:val="-2"/>
        </w:rPr>
        <w:t> </w:t>
      </w:r>
      <w:r>
        <w:rPr/>
        <w:t>complexity</w:t>
      </w:r>
      <w:r>
        <w:rPr>
          <w:spacing w:val="-2"/>
        </w:rPr>
        <w:t> </w:t>
      </w:r>
      <w:r>
        <w:rPr/>
        <w:t>of</w:t>
      </w:r>
      <w:r>
        <w:rPr>
          <w:spacing w:val="-2"/>
        </w:rPr>
        <w:t> </w:t>
      </w:r>
      <w:r>
        <w:rPr/>
        <w:t>the</w:t>
      </w:r>
      <w:r>
        <w:rPr>
          <w:spacing w:val="-2"/>
        </w:rPr>
        <w:t> </w:t>
      </w:r>
      <w:r>
        <w:rPr/>
        <w:t>cyber</w:t>
      </w:r>
      <w:r>
        <w:rPr>
          <w:spacing w:val="-2"/>
        </w:rPr>
        <w:t> </w:t>
      </w:r>
      <w:r>
        <w:rPr/>
        <w:t>threat</w:t>
      </w:r>
      <w:r>
        <w:rPr>
          <w:spacing w:val="-2"/>
        </w:rPr>
        <w:t> </w:t>
      </w:r>
      <w:r>
        <w:rPr/>
        <w:t>landscape.</w:t>
      </w:r>
      <w:r>
        <w:rPr>
          <w:spacing w:val="-2"/>
        </w:rPr>
        <w:t> </w:t>
      </w:r>
      <w:r>
        <w:rPr/>
        <w:t>These</w:t>
      </w:r>
      <w:r>
        <w:rPr>
          <w:spacing w:val="-2"/>
        </w:rPr>
        <w:t> </w:t>
      </w:r>
      <w:r>
        <w:rPr/>
        <w:t>risks</w:t>
      </w:r>
      <w:r>
        <w:rPr>
          <w:spacing w:val="-2"/>
        </w:rPr>
        <w:t> </w:t>
      </w:r>
      <w:r>
        <w:rPr/>
        <w:t>are unavoidable and IBRD seeks to manage them on a cost-effective basis consistent with its risk appetite.</w:t>
      </w:r>
    </w:p>
    <w:p>
      <w:pPr>
        <w:pStyle w:val="BodyText"/>
        <w:spacing w:line="249" w:lineRule="auto" w:before="123"/>
        <w:ind w:left="720" w:right="717"/>
        <w:jc w:val="both"/>
      </w:pPr>
      <w:r>
        <w:rPr/>
        <w:t>To protect the security of its computer systems, software, networks and other technology assets, IBRD has</w:t>
      </w:r>
      <w:r>
        <w:rPr>
          <w:spacing w:val="40"/>
        </w:rPr>
        <w:t> </w:t>
      </w:r>
      <w:r>
        <w:rPr/>
        <w:t>developed a cybersecurity risk management program, consisting of cybersecurity policies, procedures, compliance and</w:t>
      </w:r>
      <w:r>
        <w:rPr>
          <w:spacing w:val="-2"/>
        </w:rPr>
        <w:t> </w:t>
      </w:r>
      <w:r>
        <w:rPr/>
        <w:t>awareness</w:t>
      </w:r>
      <w:r>
        <w:rPr>
          <w:spacing w:val="-2"/>
        </w:rPr>
        <w:t> </w:t>
      </w:r>
      <w:r>
        <w:rPr/>
        <w:t>programs.</w:t>
      </w:r>
      <w:r>
        <w:rPr>
          <w:spacing w:val="-2"/>
        </w:rPr>
        <w:t> </w:t>
      </w:r>
      <w:r>
        <w:rPr/>
        <w:t>IBRD</w:t>
      </w:r>
      <w:r>
        <w:rPr>
          <w:spacing w:val="-2"/>
        </w:rPr>
        <w:t> </w:t>
      </w:r>
      <w:r>
        <w:rPr/>
        <w:t>deploys</w:t>
      </w:r>
      <w:r>
        <w:rPr>
          <w:spacing w:val="-2"/>
        </w:rPr>
        <w:t> </w:t>
      </w:r>
      <w:r>
        <w:rPr/>
        <w:t>a</w:t>
      </w:r>
      <w:r>
        <w:rPr>
          <w:spacing w:val="-2"/>
        </w:rPr>
        <w:t> </w:t>
      </w:r>
      <w:r>
        <w:rPr/>
        <w:t>multi-layered</w:t>
      </w:r>
      <w:r>
        <w:rPr>
          <w:spacing w:val="-2"/>
        </w:rPr>
        <w:t> </w:t>
      </w:r>
      <w:r>
        <w:rPr/>
        <w:t>approach</w:t>
      </w:r>
      <w:r>
        <w:rPr>
          <w:spacing w:val="-2"/>
        </w:rPr>
        <w:t> </w:t>
      </w:r>
      <w:r>
        <w:rPr/>
        <w:t>for</w:t>
      </w:r>
      <w:r>
        <w:rPr>
          <w:spacing w:val="-2"/>
        </w:rPr>
        <w:t> </w:t>
      </w:r>
      <w:r>
        <w:rPr/>
        <w:t>cybersecurity</w:t>
      </w:r>
      <w:r>
        <w:rPr>
          <w:spacing w:val="-2"/>
        </w:rPr>
        <w:t> </w:t>
      </w:r>
      <w:r>
        <w:rPr/>
        <w:t>risk</w:t>
      </w:r>
      <w:r>
        <w:rPr>
          <w:spacing w:val="-2"/>
        </w:rPr>
        <w:t> </w:t>
      </w:r>
      <w:r>
        <w:rPr/>
        <w:t>management</w:t>
      </w:r>
      <w:r>
        <w:rPr>
          <w:spacing w:val="-2"/>
        </w:rPr>
        <w:t> </w:t>
      </w:r>
      <w:r>
        <w:rPr/>
        <w:t>to</w:t>
      </w:r>
      <w:r>
        <w:rPr>
          <w:spacing w:val="-2"/>
        </w:rPr>
        <w:t> </w:t>
      </w:r>
      <w:r>
        <w:rPr/>
        <w:t>help</w:t>
      </w:r>
      <w:r>
        <w:rPr>
          <w:spacing w:val="-2"/>
        </w:rPr>
        <w:t> </w:t>
      </w:r>
      <w:r>
        <w:rPr/>
        <w:t>prevent and detect malicious activity, both from within the organization and from external sources. In managing emerging cyber threats such as malware including ransomware, denial of service and phishing attacks, IBRD strives to adapt its technical and process-level controls and raise the level of user awareness to mitigate the risk.</w:t>
      </w:r>
    </w:p>
    <w:p>
      <w:pPr>
        <w:pStyle w:val="BodyText"/>
        <w:spacing w:line="249" w:lineRule="auto" w:before="125"/>
        <w:ind w:left="720" w:right="719"/>
        <w:jc w:val="both"/>
      </w:pPr>
      <w:r>
        <w:rPr/>
        <w:t>IBRD periodically assesses the maturity and effectiveness of its cyber defenses through risk mitigation techniques, including but not limited to, targeted testing, internal and external audits, incident response desktop exercises and industry benchmarking.</w:t>
      </w:r>
    </w:p>
    <w:p>
      <w:pPr>
        <w:pStyle w:val="BodyText"/>
        <w:spacing w:after="0" w:line="249" w:lineRule="auto"/>
        <w:jc w:val="both"/>
        <w:sectPr>
          <w:pgSz w:w="12240" w:h="15840"/>
          <w:pgMar w:header="744" w:footer="713" w:top="1020" w:bottom="900" w:left="720" w:right="720"/>
        </w:sectPr>
      </w:pPr>
    </w:p>
    <w:p>
      <w:pPr>
        <w:pStyle w:val="BodyText"/>
        <w:spacing w:before="77"/>
        <w:rPr>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64640">
                <wp:simplePos x="0" y="0"/>
                <wp:positionH relativeFrom="page">
                  <wp:posOffset>914400</wp:posOffset>
                </wp:positionH>
                <wp:positionV relativeFrom="paragraph">
                  <wp:posOffset>233062</wp:posOffset>
                </wp:positionV>
                <wp:extent cx="5943600" cy="1270"/>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51840;mso-wrap-distance-left:0;mso-wrap-distance-right:0" id="docshape460" coordorigin="1440,367" coordsize="9360,0" path="m1440,367l10800,367e" filled="false" stroked="true" strokeweight="1pt" strokecolor="#000000">
                <v:path arrowok="t"/>
                <v:stroke dashstyle="solid"/>
                <w10:wrap type="topAndBottom"/>
              </v:shape>
            </w:pict>
          </mc:Fallback>
        </mc:AlternateContent>
      </w:r>
      <w:bookmarkStart w:name="Section X: Contractual Obligations" w:id="132"/>
      <w:bookmarkEnd w:id="132"/>
      <w:r>
        <w:rPr/>
      </w:r>
      <w:r>
        <w:rPr>
          <w:rFonts w:ascii="Arial"/>
          <w:b/>
          <w:sz w:val="28"/>
        </w:rPr>
        <w:t>Section</w:t>
      </w:r>
      <w:r>
        <w:rPr>
          <w:rFonts w:ascii="Arial"/>
          <w:b/>
          <w:spacing w:val="-3"/>
          <w:sz w:val="28"/>
        </w:rPr>
        <w:t> </w:t>
      </w:r>
      <w:r>
        <w:rPr>
          <w:rFonts w:ascii="Arial"/>
          <w:b/>
          <w:sz w:val="28"/>
        </w:rPr>
        <w:t>X:</w:t>
      </w:r>
      <w:r>
        <w:rPr>
          <w:rFonts w:ascii="Arial"/>
          <w:b/>
          <w:spacing w:val="-2"/>
          <w:sz w:val="28"/>
        </w:rPr>
        <w:t> </w:t>
      </w:r>
      <w:r>
        <w:rPr>
          <w:rFonts w:ascii="Arial"/>
          <w:b/>
          <w:sz w:val="28"/>
        </w:rPr>
        <w:t>Contractual</w:t>
      </w:r>
      <w:r>
        <w:rPr>
          <w:rFonts w:ascii="Arial"/>
          <w:b/>
          <w:spacing w:val="-2"/>
          <w:sz w:val="28"/>
        </w:rPr>
        <w:t> Obligations</w:t>
      </w:r>
    </w:p>
    <w:p>
      <w:pPr>
        <w:pStyle w:val="BodyText"/>
        <w:spacing w:line="249" w:lineRule="auto" w:before="162"/>
        <w:ind w:left="720" w:right="718"/>
        <w:jc w:val="both"/>
      </w:pPr>
      <w:bookmarkStart w:name="Contractual Obligations" w:id="133"/>
      <w:bookmarkEnd w:id="133"/>
      <w:r>
        <w:rPr/>
      </w:r>
      <w:bookmarkStart w:name="_bookmark91" w:id="134"/>
      <w:bookmarkEnd w:id="134"/>
      <w:r>
        <w:rPr/>
      </w:r>
      <w:r>
        <w:rPr/>
        <w:t>In conducting its business, IBRD takes on contractual obligations that may require future payments. These include borrowings, operating leases, contractual purchases, capital expenditures, and other long-term liabilities. Table 32 shows IBRD’s contractual obligations for the next five years and thereafter; it excludes the following obligations reflected on IBRD’s Balance Sheets: undisbursed loans, amounts payable for currency and interest rate swaps, amounts payable for investment securities purchased, guarantees, and cash received under agency arrangements.</w:t>
      </w:r>
    </w:p>
    <w:p>
      <w:pPr>
        <w:pStyle w:val="ListParagraph"/>
        <w:numPr>
          <w:ilvl w:val="0"/>
          <w:numId w:val="27"/>
        </w:numPr>
        <w:tabs>
          <w:tab w:pos="1259" w:val="left" w:leader="none"/>
        </w:tabs>
        <w:spacing w:line="240" w:lineRule="auto" w:before="124" w:after="0"/>
        <w:ind w:left="1259" w:right="0" w:hanging="359"/>
        <w:jc w:val="left"/>
        <w:rPr>
          <w:sz w:val="20"/>
        </w:rPr>
      </w:pPr>
      <w:r>
        <w:rPr>
          <w:i/>
          <w:sz w:val="20"/>
        </w:rPr>
        <w:t>Borrowings:</w:t>
      </w:r>
      <w:r>
        <w:rPr>
          <w:i/>
          <w:spacing w:val="-5"/>
          <w:sz w:val="20"/>
        </w:rPr>
        <w:t> </w:t>
      </w:r>
      <w:r>
        <w:rPr>
          <w:sz w:val="20"/>
        </w:rPr>
        <w:t>IBRD</w:t>
      </w:r>
      <w:r>
        <w:rPr>
          <w:spacing w:val="-3"/>
          <w:sz w:val="20"/>
        </w:rPr>
        <w:t> </w:t>
      </w:r>
      <w:r>
        <w:rPr>
          <w:sz w:val="20"/>
        </w:rPr>
        <w:t>issues</w:t>
      </w:r>
      <w:r>
        <w:rPr>
          <w:spacing w:val="-4"/>
          <w:sz w:val="20"/>
        </w:rPr>
        <w:t> </w:t>
      </w:r>
      <w:r>
        <w:rPr>
          <w:sz w:val="20"/>
        </w:rPr>
        <w:t>debt</w:t>
      </w:r>
      <w:r>
        <w:rPr>
          <w:spacing w:val="-3"/>
          <w:sz w:val="20"/>
        </w:rPr>
        <w:t> </w:t>
      </w:r>
      <w:r>
        <w:rPr>
          <w:sz w:val="20"/>
        </w:rPr>
        <w:t>in</w:t>
      </w:r>
      <w:r>
        <w:rPr>
          <w:spacing w:val="-3"/>
          <w:sz w:val="20"/>
        </w:rPr>
        <w:t> </w:t>
      </w:r>
      <w:r>
        <w:rPr>
          <w:sz w:val="20"/>
        </w:rPr>
        <w:t>the</w:t>
      </w:r>
      <w:r>
        <w:rPr>
          <w:spacing w:val="-3"/>
          <w:sz w:val="20"/>
        </w:rPr>
        <w:t> </w:t>
      </w:r>
      <w:r>
        <w:rPr>
          <w:sz w:val="20"/>
        </w:rPr>
        <w:t>form</w:t>
      </w:r>
      <w:r>
        <w:rPr>
          <w:spacing w:val="-4"/>
          <w:sz w:val="20"/>
        </w:rPr>
        <w:t> </w:t>
      </w:r>
      <w:r>
        <w:rPr>
          <w:sz w:val="20"/>
        </w:rPr>
        <w:t>of</w:t>
      </w:r>
      <w:r>
        <w:rPr>
          <w:spacing w:val="-2"/>
          <w:sz w:val="20"/>
        </w:rPr>
        <w:t> </w:t>
      </w:r>
      <w:r>
        <w:rPr>
          <w:sz w:val="20"/>
        </w:rPr>
        <w:t>securities</w:t>
      </w:r>
      <w:r>
        <w:rPr>
          <w:spacing w:val="-4"/>
          <w:sz w:val="20"/>
        </w:rPr>
        <w:t> </w:t>
      </w:r>
      <w:r>
        <w:rPr>
          <w:sz w:val="20"/>
        </w:rPr>
        <w:t>to</w:t>
      </w:r>
      <w:r>
        <w:rPr>
          <w:spacing w:val="-2"/>
          <w:sz w:val="20"/>
        </w:rPr>
        <w:t> </w:t>
      </w:r>
      <w:r>
        <w:rPr>
          <w:sz w:val="20"/>
        </w:rPr>
        <w:t>private</w:t>
      </w:r>
      <w:r>
        <w:rPr>
          <w:spacing w:val="-4"/>
          <w:sz w:val="20"/>
        </w:rPr>
        <w:t> </w:t>
      </w:r>
      <w:r>
        <w:rPr>
          <w:sz w:val="20"/>
        </w:rPr>
        <w:t>and</w:t>
      </w:r>
      <w:r>
        <w:rPr>
          <w:spacing w:val="-2"/>
          <w:sz w:val="20"/>
        </w:rPr>
        <w:t> </w:t>
      </w:r>
      <w:r>
        <w:rPr>
          <w:sz w:val="20"/>
        </w:rPr>
        <w:t>governmental</w:t>
      </w:r>
      <w:r>
        <w:rPr>
          <w:spacing w:val="-3"/>
          <w:sz w:val="20"/>
        </w:rPr>
        <w:t> </w:t>
      </w:r>
      <w:r>
        <w:rPr>
          <w:spacing w:val="-2"/>
          <w:sz w:val="20"/>
        </w:rPr>
        <w:t>buyers.</w:t>
      </w:r>
    </w:p>
    <w:p>
      <w:pPr>
        <w:pStyle w:val="ListParagraph"/>
        <w:numPr>
          <w:ilvl w:val="0"/>
          <w:numId w:val="27"/>
        </w:numPr>
        <w:tabs>
          <w:tab w:pos="1260" w:val="left" w:leader="none"/>
        </w:tabs>
        <w:spacing w:line="249" w:lineRule="auto" w:before="130" w:after="0"/>
        <w:ind w:left="1260" w:right="718" w:hanging="360"/>
        <w:jc w:val="both"/>
        <w:rPr>
          <w:sz w:val="20"/>
        </w:rPr>
      </w:pPr>
      <w:r>
        <w:rPr>
          <w:i/>
          <w:sz w:val="20"/>
        </w:rPr>
        <w:t>Operating Leases: </w:t>
      </w:r>
      <w:r>
        <w:rPr>
          <w:sz w:val="20"/>
        </w:rPr>
        <w:t>IBRD leases real estate and equipment under lease agreements for varying periods. Operating lease expenditures represents future cash payments for real estate-related obligations and equipment, based on contractual amounts.</w:t>
      </w:r>
    </w:p>
    <w:p>
      <w:pPr>
        <w:pStyle w:val="ListParagraph"/>
        <w:numPr>
          <w:ilvl w:val="0"/>
          <w:numId w:val="27"/>
        </w:numPr>
        <w:tabs>
          <w:tab w:pos="1260" w:val="left" w:leader="none"/>
        </w:tabs>
        <w:spacing w:line="249" w:lineRule="auto" w:before="122" w:after="0"/>
        <w:ind w:left="1260" w:right="719" w:hanging="360"/>
        <w:jc w:val="both"/>
        <w:rPr>
          <w:sz w:val="20"/>
        </w:rPr>
      </w:pPr>
      <w:r>
        <w:rPr>
          <w:i/>
          <w:sz w:val="20"/>
        </w:rPr>
        <w:t>Contractual Purchases:</w:t>
      </w:r>
      <w:r>
        <w:rPr>
          <w:i/>
          <w:spacing w:val="40"/>
          <w:sz w:val="20"/>
        </w:rPr>
        <w:t> </w:t>
      </w:r>
      <w:r>
        <w:rPr>
          <w:sz w:val="20"/>
        </w:rPr>
        <w:t>IBRD is a party to various obligations to purchase products and services, which are purchase commitments in the ordinary course of business.</w:t>
      </w:r>
    </w:p>
    <w:p>
      <w:pPr>
        <w:pStyle w:val="ListParagraph"/>
        <w:numPr>
          <w:ilvl w:val="0"/>
          <w:numId w:val="27"/>
        </w:numPr>
        <w:tabs>
          <w:tab w:pos="1260" w:val="left" w:leader="none"/>
        </w:tabs>
        <w:spacing w:line="249" w:lineRule="auto" w:before="122" w:after="0"/>
        <w:ind w:left="1260" w:right="718" w:hanging="360"/>
        <w:jc w:val="both"/>
        <w:rPr>
          <w:sz w:val="20"/>
        </w:rPr>
      </w:pPr>
      <w:r>
        <w:rPr>
          <w:i/>
          <w:sz w:val="20"/>
        </w:rPr>
        <w:t>Other Long-Term Liabilities: </w:t>
      </w:r>
      <w:r>
        <w:rPr>
          <w:sz w:val="20"/>
        </w:rPr>
        <w:t>IBRD provides a variety of benefits to its employees. As some of these benefits are</w:t>
      </w:r>
      <w:r>
        <w:rPr>
          <w:spacing w:val="-3"/>
          <w:sz w:val="20"/>
        </w:rPr>
        <w:t> </w:t>
      </w:r>
      <w:r>
        <w:rPr>
          <w:sz w:val="20"/>
        </w:rPr>
        <w:t>of</w:t>
      </w:r>
      <w:r>
        <w:rPr>
          <w:spacing w:val="-3"/>
          <w:sz w:val="20"/>
        </w:rPr>
        <w:t> </w:t>
      </w:r>
      <w:r>
        <w:rPr>
          <w:sz w:val="20"/>
        </w:rPr>
        <w:t>a</w:t>
      </w:r>
      <w:r>
        <w:rPr>
          <w:spacing w:val="-3"/>
          <w:sz w:val="20"/>
        </w:rPr>
        <w:t> </w:t>
      </w:r>
      <w:r>
        <w:rPr>
          <w:sz w:val="20"/>
        </w:rPr>
        <w:t>long-term</w:t>
      </w:r>
      <w:r>
        <w:rPr>
          <w:spacing w:val="-3"/>
          <w:sz w:val="20"/>
        </w:rPr>
        <w:t> </w:t>
      </w:r>
      <w:r>
        <w:rPr>
          <w:sz w:val="20"/>
        </w:rPr>
        <w:t>nature,</w:t>
      </w:r>
      <w:r>
        <w:rPr>
          <w:spacing w:val="-3"/>
          <w:sz w:val="20"/>
        </w:rPr>
        <w:t> </w:t>
      </w:r>
      <w:r>
        <w:rPr>
          <w:sz w:val="20"/>
        </w:rPr>
        <w:t>IBRD</w:t>
      </w:r>
      <w:r>
        <w:rPr>
          <w:spacing w:val="-3"/>
          <w:sz w:val="20"/>
        </w:rPr>
        <w:t> </w:t>
      </w:r>
      <w:r>
        <w:rPr>
          <w:sz w:val="20"/>
        </w:rPr>
        <w:t>records</w:t>
      </w:r>
      <w:r>
        <w:rPr>
          <w:spacing w:val="-3"/>
          <w:sz w:val="20"/>
        </w:rPr>
        <w:t> </w:t>
      </w:r>
      <w:r>
        <w:rPr>
          <w:sz w:val="20"/>
        </w:rPr>
        <w:t>the</w:t>
      </w:r>
      <w:r>
        <w:rPr>
          <w:spacing w:val="-3"/>
          <w:sz w:val="20"/>
        </w:rPr>
        <w:t> </w:t>
      </w:r>
      <w:r>
        <w:rPr>
          <w:sz w:val="20"/>
        </w:rPr>
        <w:t>associated</w:t>
      </w:r>
      <w:r>
        <w:rPr>
          <w:spacing w:val="-3"/>
          <w:sz w:val="20"/>
        </w:rPr>
        <w:t> </w:t>
      </w:r>
      <w:r>
        <w:rPr>
          <w:sz w:val="20"/>
        </w:rPr>
        <w:t>liability</w:t>
      </w:r>
      <w:r>
        <w:rPr>
          <w:spacing w:val="-3"/>
          <w:sz w:val="20"/>
        </w:rPr>
        <w:t> </w:t>
      </w:r>
      <w:r>
        <w:rPr>
          <w:sz w:val="20"/>
        </w:rPr>
        <w:t>on</w:t>
      </w:r>
      <w:r>
        <w:rPr>
          <w:spacing w:val="-3"/>
          <w:sz w:val="20"/>
        </w:rPr>
        <w:t> </w:t>
      </w:r>
      <w:r>
        <w:rPr>
          <w:sz w:val="20"/>
        </w:rPr>
        <w:t>its</w:t>
      </w:r>
      <w:r>
        <w:rPr>
          <w:spacing w:val="-3"/>
          <w:sz w:val="20"/>
        </w:rPr>
        <w:t> </w:t>
      </w:r>
      <w:r>
        <w:rPr>
          <w:sz w:val="20"/>
        </w:rPr>
        <w:t>Balance</w:t>
      </w:r>
      <w:r>
        <w:rPr>
          <w:spacing w:val="-3"/>
          <w:sz w:val="20"/>
        </w:rPr>
        <w:t> </w:t>
      </w:r>
      <w:r>
        <w:rPr>
          <w:sz w:val="20"/>
        </w:rPr>
        <w:t>Sheets.</w:t>
      </w:r>
      <w:r>
        <w:rPr>
          <w:spacing w:val="-3"/>
          <w:sz w:val="20"/>
        </w:rPr>
        <w:t> </w:t>
      </w:r>
      <w:r>
        <w:rPr>
          <w:sz w:val="20"/>
        </w:rPr>
        <w:t>The</w:t>
      </w:r>
      <w:r>
        <w:rPr>
          <w:spacing w:val="-3"/>
          <w:sz w:val="20"/>
        </w:rPr>
        <w:t> </w:t>
      </w:r>
      <w:r>
        <w:rPr>
          <w:sz w:val="20"/>
        </w:rPr>
        <w:t>obligations</w:t>
      </w:r>
      <w:r>
        <w:rPr>
          <w:spacing w:val="-3"/>
          <w:sz w:val="20"/>
        </w:rPr>
        <w:t> </w:t>
      </w:r>
      <w:r>
        <w:rPr>
          <w:sz w:val="20"/>
        </w:rPr>
        <w:t>payable represents expected benefit payments as well as contributions to the pension plans. These include future service and pay accruals for current staff and new staff projections for the next 10 years.</w:t>
      </w:r>
    </w:p>
    <w:p>
      <w:pPr>
        <w:pStyle w:val="BodyText"/>
        <w:spacing w:line="249" w:lineRule="auto" w:before="123"/>
        <w:ind w:left="720" w:right="718"/>
        <w:jc w:val="both"/>
      </w:pPr>
      <w:r>
        <w:rPr/>
        <w:t>Operating</w:t>
      </w:r>
      <w:r>
        <w:rPr>
          <w:spacing w:val="-3"/>
        </w:rPr>
        <w:t> </w:t>
      </w:r>
      <w:r>
        <w:rPr/>
        <w:t>leases,</w:t>
      </w:r>
      <w:r>
        <w:rPr>
          <w:spacing w:val="-3"/>
        </w:rPr>
        <w:t> </w:t>
      </w:r>
      <w:r>
        <w:rPr/>
        <w:t>contractual</w:t>
      </w:r>
      <w:r>
        <w:rPr>
          <w:spacing w:val="-3"/>
        </w:rPr>
        <w:t> </w:t>
      </w:r>
      <w:r>
        <w:rPr/>
        <w:t>purchases</w:t>
      </w:r>
      <w:r>
        <w:rPr>
          <w:spacing w:val="-3"/>
        </w:rPr>
        <w:t> </w:t>
      </w:r>
      <w:r>
        <w:rPr/>
        <w:t>and</w:t>
      </w:r>
      <w:r>
        <w:rPr>
          <w:spacing w:val="-3"/>
        </w:rPr>
        <w:t> </w:t>
      </w:r>
      <w:r>
        <w:rPr/>
        <w:t>capital</w:t>
      </w:r>
      <w:r>
        <w:rPr>
          <w:spacing w:val="-3"/>
        </w:rPr>
        <w:t> </w:t>
      </w:r>
      <w:r>
        <w:rPr/>
        <w:t>expenditures,</w:t>
      </w:r>
      <w:r>
        <w:rPr>
          <w:spacing w:val="-3"/>
        </w:rPr>
        <w:t> </w:t>
      </w:r>
      <w:r>
        <w:rPr/>
        <w:t>and</w:t>
      </w:r>
      <w:r>
        <w:rPr>
          <w:spacing w:val="-3"/>
        </w:rPr>
        <w:t> </w:t>
      </w:r>
      <w:r>
        <w:rPr/>
        <w:t>other</w:t>
      </w:r>
      <w:r>
        <w:rPr>
          <w:spacing w:val="-3"/>
        </w:rPr>
        <w:t> </w:t>
      </w:r>
      <w:r>
        <w:rPr/>
        <w:t>long-term</w:t>
      </w:r>
      <w:r>
        <w:rPr>
          <w:spacing w:val="-3"/>
        </w:rPr>
        <w:t> </w:t>
      </w:r>
      <w:r>
        <w:rPr/>
        <w:t>obligations</w:t>
      </w:r>
      <w:r>
        <w:rPr>
          <w:spacing w:val="-3"/>
        </w:rPr>
        <w:t> </w:t>
      </w:r>
      <w:r>
        <w:rPr/>
        <w:t>include</w:t>
      </w:r>
      <w:r>
        <w:rPr>
          <w:spacing w:val="-3"/>
        </w:rPr>
        <w:t> </w:t>
      </w:r>
      <w:r>
        <w:rPr/>
        <w:t>obligations shared with IDA, IFC, and MIGA under cost-sharing and service arrangements. These arrangements reflect the WBG strategy of maximizing synergies, to best leverage resources for development (see Notes to Financial Statements, Note H for Transactions with Affiliated Organizations).</w:t>
      </w:r>
    </w:p>
    <w:p>
      <w:pPr>
        <w:spacing w:before="188"/>
        <w:ind w:left="772" w:right="0" w:firstLine="0"/>
        <w:jc w:val="both"/>
        <w:rPr>
          <w:rFonts w:ascii="Arial"/>
          <w:b/>
          <w:sz w:val="18"/>
        </w:rPr>
      </w:pPr>
      <w:bookmarkStart w:name="_bookmark92" w:id="135"/>
      <w:bookmarkEnd w:id="135"/>
      <w:r>
        <w:rPr/>
      </w:r>
      <w:r>
        <w:rPr>
          <w:rFonts w:ascii="Arial"/>
          <w:b/>
          <w:sz w:val="18"/>
        </w:rPr>
        <w:t>Table</w:t>
      </w:r>
      <w:r>
        <w:rPr>
          <w:rFonts w:ascii="Arial"/>
          <w:b/>
          <w:spacing w:val="-3"/>
          <w:sz w:val="18"/>
        </w:rPr>
        <w:t> </w:t>
      </w:r>
      <w:r>
        <w:rPr>
          <w:rFonts w:ascii="Arial"/>
          <w:b/>
          <w:sz w:val="18"/>
        </w:rPr>
        <w:t>32:</w:t>
      </w:r>
      <w:r>
        <w:rPr>
          <w:rFonts w:ascii="Arial"/>
          <w:b/>
          <w:spacing w:val="-3"/>
          <w:sz w:val="18"/>
        </w:rPr>
        <w:t> </w:t>
      </w:r>
      <w:r>
        <w:rPr>
          <w:rFonts w:ascii="Arial"/>
          <w:b/>
          <w:sz w:val="18"/>
        </w:rPr>
        <w:t>Contractual</w:t>
      </w:r>
      <w:r>
        <w:rPr>
          <w:rFonts w:ascii="Arial"/>
          <w:b/>
          <w:spacing w:val="-2"/>
          <w:sz w:val="18"/>
        </w:rPr>
        <w:t> Obligations</w:t>
      </w:r>
    </w:p>
    <w:p>
      <w:pPr>
        <w:spacing w:before="54"/>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both"/>
        <w:rPr>
          <w:rFonts w:ascii="Arial"/>
          <w:i/>
          <w:sz w:val="16"/>
        </w:rPr>
        <w:sectPr>
          <w:headerReference w:type="even" r:id="rId61"/>
          <w:headerReference w:type="default" r:id="rId62"/>
          <w:footerReference w:type="even" r:id="rId63"/>
          <w:footerReference w:type="default" r:id="rId64"/>
          <w:pgSz w:w="12240" w:h="15840"/>
          <w:pgMar w:header="744" w:footer="583" w:top="1020" w:bottom="780" w:left="720" w:right="720"/>
          <w:pgNumType w:start="56"/>
        </w:sectPr>
      </w:pPr>
    </w:p>
    <w:p>
      <w:pPr>
        <w:pStyle w:val="BodyText"/>
        <w:rPr>
          <w:rFonts w:ascii="Arial"/>
          <w:i/>
          <w:sz w:val="16"/>
        </w:rPr>
      </w:pPr>
    </w:p>
    <w:p>
      <w:pPr>
        <w:pStyle w:val="BodyText"/>
        <w:spacing w:before="25"/>
        <w:rPr>
          <w:rFonts w:ascii="Arial"/>
          <w:i/>
          <w:sz w:val="16"/>
        </w:rPr>
      </w:pPr>
    </w:p>
    <w:p>
      <w:pPr>
        <w:spacing w:line="208" w:lineRule="auto" w:before="0"/>
        <w:ind w:left="4177" w:right="0" w:hanging="213"/>
        <w:jc w:val="left"/>
        <w:rPr>
          <w:rFonts w:ascii="Arial"/>
          <w:i/>
          <w:sz w:val="16"/>
        </w:rPr>
      </w:pPr>
      <w:r>
        <w:rPr>
          <w:rFonts w:ascii="Arial"/>
          <w:i/>
          <w:color w:val="484848"/>
          <w:sz w:val="16"/>
        </w:rPr>
        <w:t>Due</w:t>
      </w:r>
      <w:r>
        <w:rPr>
          <w:rFonts w:ascii="Arial"/>
          <w:i/>
          <w:color w:val="484848"/>
          <w:spacing w:val="-12"/>
          <w:sz w:val="16"/>
        </w:rPr>
        <w:t> </w:t>
      </w:r>
      <w:r>
        <w:rPr>
          <w:rFonts w:ascii="Arial"/>
          <w:i/>
          <w:color w:val="484848"/>
          <w:sz w:val="16"/>
        </w:rPr>
        <w:t>in</w:t>
      </w:r>
      <w:r>
        <w:rPr>
          <w:rFonts w:ascii="Arial"/>
          <w:i/>
          <w:color w:val="484848"/>
          <w:spacing w:val="-11"/>
          <w:sz w:val="16"/>
        </w:rPr>
        <w:t> </w:t>
      </w:r>
      <w:r>
        <w:rPr>
          <w:rFonts w:ascii="Arial"/>
          <w:i/>
          <w:color w:val="484848"/>
          <w:sz w:val="16"/>
        </w:rPr>
        <w:t>1</w:t>
      </w:r>
      <w:r>
        <w:rPr>
          <w:rFonts w:ascii="Arial"/>
          <w:i/>
          <w:color w:val="484848"/>
          <w:spacing w:val="-11"/>
          <w:sz w:val="16"/>
        </w:rPr>
        <w:t> </w:t>
      </w:r>
      <w:r>
        <w:rPr>
          <w:rFonts w:ascii="Arial"/>
          <w:i/>
          <w:color w:val="484848"/>
          <w:sz w:val="16"/>
        </w:rPr>
        <w:t>year or Less</w:t>
      </w:r>
    </w:p>
    <w:p>
      <w:pPr>
        <w:pStyle w:val="BodyText"/>
        <w:spacing w:before="129"/>
        <w:rPr>
          <w:rFonts w:ascii="Arial"/>
          <w:i/>
          <w:sz w:val="16"/>
        </w:rPr>
      </w:pPr>
      <w:r>
        <w:rPr/>
        <w:br w:type="column"/>
      </w:r>
      <w:r>
        <w:rPr>
          <w:rFonts w:ascii="Arial"/>
          <w:i/>
          <w:sz w:val="16"/>
        </w:rPr>
      </w:r>
    </w:p>
    <w:p>
      <w:pPr>
        <w:spacing w:line="208" w:lineRule="auto" w:before="0"/>
        <w:ind w:left="309" w:right="0" w:firstLine="0"/>
        <w:jc w:val="center"/>
        <w:rPr>
          <w:rFonts w:ascii="Arial"/>
          <w:i/>
          <w:sz w:val="16"/>
        </w:rPr>
      </w:pPr>
      <w:r>
        <w:rPr>
          <w:rFonts w:ascii="Arial"/>
          <w:i/>
          <w:color w:val="484848"/>
          <w:sz w:val="16"/>
        </w:rPr>
        <w:t>Due after 1 Year</w:t>
      </w:r>
      <w:r>
        <w:rPr>
          <w:rFonts w:ascii="Arial"/>
          <w:i/>
          <w:color w:val="484848"/>
          <w:spacing w:val="-12"/>
          <w:sz w:val="16"/>
        </w:rPr>
        <w:t> </w:t>
      </w:r>
      <w:r>
        <w:rPr>
          <w:rFonts w:ascii="Arial"/>
          <w:i/>
          <w:color w:val="484848"/>
          <w:sz w:val="16"/>
        </w:rPr>
        <w:t>up</w:t>
      </w:r>
      <w:r>
        <w:rPr>
          <w:rFonts w:ascii="Arial"/>
          <w:i/>
          <w:color w:val="484848"/>
          <w:spacing w:val="-11"/>
          <w:sz w:val="16"/>
        </w:rPr>
        <w:t> </w:t>
      </w:r>
      <w:r>
        <w:rPr>
          <w:rFonts w:ascii="Arial"/>
          <w:i/>
          <w:color w:val="484848"/>
          <w:sz w:val="16"/>
        </w:rPr>
        <w:t>to</w:t>
      </w:r>
      <w:r>
        <w:rPr>
          <w:rFonts w:ascii="Arial"/>
          <w:i/>
          <w:color w:val="484848"/>
          <w:spacing w:val="-11"/>
          <w:sz w:val="16"/>
        </w:rPr>
        <w:t> </w:t>
      </w:r>
      <w:r>
        <w:rPr>
          <w:rFonts w:ascii="Arial"/>
          <w:i/>
          <w:color w:val="484848"/>
          <w:sz w:val="16"/>
        </w:rPr>
        <w:t>3 </w:t>
      </w:r>
      <w:r>
        <w:rPr>
          <w:rFonts w:ascii="Arial"/>
          <w:i/>
          <w:color w:val="484848"/>
          <w:spacing w:val="-2"/>
          <w:sz w:val="16"/>
        </w:rPr>
        <w:t>Years</w:t>
      </w:r>
    </w:p>
    <w:p>
      <w:pPr>
        <w:spacing w:before="56"/>
        <w:ind w:left="73" w:right="0" w:firstLine="0"/>
        <w:jc w:val="center"/>
        <w:rPr>
          <w:rFonts w:ascii="Arial"/>
          <w:i/>
          <w:sz w:val="16"/>
        </w:rPr>
      </w:pPr>
      <w:r>
        <w:rPr/>
        <w:br w:type="column"/>
      </w:r>
      <w:r>
        <w:rPr>
          <w:rFonts w:ascii="Arial"/>
          <w:i/>
          <w:color w:val="484848"/>
          <w:sz w:val="16"/>
        </w:rPr>
        <w:t>As</w:t>
      </w:r>
      <w:r>
        <w:rPr>
          <w:rFonts w:ascii="Arial"/>
          <w:i/>
          <w:color w:val="484848"/>
          <w:spacing w:val="-2"/>
          <w:sz w:val="16"/>
        </w:rPr>
        <w:t> </w:t>
      </w:r>
      <w:r>
        <w:rPr>
          <w:rFonts w:ascii="Arial"/>
          <w:i/>
          <w:color w:val="484848"/>
          <w:sz w:val="16"/>
        </w:rPr>
        <w:t>of</w:t>
      </w:r>
      <w:r>
        <w:rPr>
          <w:rFonts w:ascii="Arial"/>
          <w:i/>
          <w:color w:val="484848"/>
          <w:spacing w:val="-2"/>
          <w:sz w:val="16"/>
        </w:rPr>
        <w:t> </w:t>
      </w:r>
      <w:r>
        <w:rPr>
          <w:rFonts w:ascii="Arial"/>
          <w:i/>
          <w:color w:val="484848"/>
          <w:sz w:val="16"/>
        </w:rPr>
        <w:t>June</w:t>
      </w:r>
      <w:r>
        <w:rPr>
          <w:rFonts w:ascii="Arial"/>
          <w:i/>
          <w:color w:val="484848"/>
          <w:spacing w:val="-2"/>
          <w:sz w:val="16"/>
        </w:rPr>
        <w:t> </w:t>
      </w:r>
      <w:r>
        <w:rPr>
          <w:rFonts w:ascii="Arial"/>
          <w:i/>
          <w:color w:val="484848"/>
          <w:sz w:val="16"/>
        </w:rPr>
        <w:t>30,</w:t>
      </w:r>
      <w:r>
        <w:rPr>
          <w:rFonts w:ascii="Arial"/>
          <w:i/>
          <w:color w:val="484848"/>
          <w:spacing w:val="-1"/>
          <w:sz w:val="16"/>
        </w:rPr>
        <w:t> </w:t>
      </w:r>
      <w:r>
        <w:rPr>
          <w:rFonts w:ascii="Arial"/>
          <w:i/>
          <w:color w:val="484848"/>
          <w:spacing w:val="-4"/>
          <w:sz w:val="16"/>
        </w:rPr>
        <w:t>2023</w:t>
      </w:r>
    </w:p>
    <w:p>
      <w:pPr>
        <w:spacing w:line="208" w:lineRule="auto" w:before="73"/>
        <w:ind w:left="201" w:right="125"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806464">
                <wp:simplePos x="0" y="0"/>
                <wp:positionH relativeFrom="page">
                  <wp:posOffset>2895600</wp:posOffset>
                </wp:positionH>
                <wp:positionV relativeFrom="paragraph">
                  <wp:posOffset>21484</wp:posOffset>
                </wp:positionV>
                <wp:extent cx="3962400"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3962400" cy="1270"/>
                        </a:xfrm>
                        <a:custGeom>
                          <a:avLst/>
                          <a:gdLst/>
                          <a:ahLst/>
                          <a:cxnLst/>
                          <a:rect l="l" t="t" r="r" b="b"/>
                          <a:pathLst>
                            <a:path w="3962400" h="0">
                              <a:moveTo>
                                <a:pt x="0" y="0"/>
                              </a:moveTo>
                              <a:lnTo>
                                <a:pt x="39624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228pt,1.691699pt" to="540pt,1.691699pt" stroked="true" strokeweight="1pt" strokecolor="#6c6c6c">
                <v:stroke dashstyle="solid"/>
                <w10:wrap type="none"/>
              </v:line>
            </w:pict>
          </mc:Fallback>
        </mc:AlternateContent>
      </w:r>
      <w:r>
        <w:rPr>
          <w:rFonts w:ascii="Arial"/>
          <w:i/>
          <w:color w:val="484848"/>
          <w:sz w:val="16"/>
        </w:rPr>
        <w:t>Due after 3 Years</w:t>
      </w:r>
      <w:r>
        <w:rPr>
          <w:rFonts w:ascii="Arial"/>
          <w:i/>
          <w:color w:val="484848"/>
          <w:spacing w:val="-12"/>
          <w:sz w:val="16"/>
        </w:rPr>
        <w:t> </w:t>
      </w:r>
      <w:r>
        <w:rPr>
          <w:rFonts w:ascii="Arial"/>
          <w:i/>
          <w:color w:val="484848"/>
          <w:sz w:val="16"/>
        </w:rPr>
        <w:t>up</w:t>
      </w:r>
      <w:r>
        <w:rPr>
          <w:rFonts w:ascii="Arial"/>
          <w:i/>
          <w:color w:val="484848"/>
          <w:spacing w:val="-11"/>
          <w:sz w:val="16"/>
        </w:rPr>
        <w:t> </w:t>
      </w:r>
      <w:r>
        <w:rPr>
          <w:rFonts w:ascii="Arial"/>
          <w:i/>
          <w:color w:val="484848"/>
          <w:sz w:val="16"/>
        </w:rPr>
        <w:t>to</w:t>
      </w:r>
      <w:r>
        <w:rPr>
          <w:rFonts w:ascii="Arial"/>
          <w:i/>
          <w:color w:val="484848"/>
          <w:spacing w:val="-11"/>
          <w:sz w:val="16"/>
        </w:rPr>
        <w:t> </w:t>
      </w:r>
      <w:r>
        <w:rPr>
          <w:rFonts w:ascii="Arial"/>
          <w:i/>
          <w:color w:val="484848"/>
          <w:sz w:val="16"/>
        </w:rPr>
        <w:t>5 </w:t>
      </w:r>
      <w:r>
        <w:rPr>
          <w:rFonts w:ascii="Arial"/>
          <w:i/>
          <w:color w:val="484848"/>
          <w:spacing w:val="-2"/>
          <w:sz w:val="16"/>
        </w:rPr>
        <w:t>Years</w:t>
      </w:r>
    </w:p>
    <w:p>
      <w:pPr>
        <w:pStyle w:val="BodyText"/>
        <w:rPr>
          <w:rFonts w:ascii="Arial"/>
          <w:i/>
          <w:sz w:val="16"/>
        </w:rPr>
      </w:pPr>
      <w:r>
        <w:rPr/>
        <w:br w:type="column"/>
      </w:r>
      <w:r>
        <w:rPr>
          <w:rFonts w:ascii="Arial"/>
          <w:i/>
          <w:sz w:val="16"/>
        </w:rPr>
      </w:r>
    </w:p>
    <w:p>
      <w:pPr>
        <w:pStyle w:val="BodyText"/>
        <w:spacing w:before="25"/>
        <w:rPr>
          <w:rFonts w:ascii="Arial"/>
          <w:i/>
          <w:sz w:val="16"/>
        </w:rPr>
      </w:pPr>
    </w:p>
    <w:p>
      <w:pPr>
        <w:spacing w:line="208" w:lineRule="auto" w:before="0"/>
        <w:ind w:left="313" w:right="2173" w:hanging="209"/>
        <w:jc w:val="left"/>
        <w:rPr>
          <w:rFonts w:ascii="Arial"/>
          <w:i/>
          <w:sz w:val="16"/>
        </w:rPr>
      </w:pPr>
      <w:r>
        <w:rPr>
          <w:rFonts w:ascii="Arial"/>
          <w:i/>
          <w:sz w:val="16"/>
        </w:rPr>
        <mc:AlternateContent>
          <mc:Choice Requires="wps">
            <w:drawing>
              <wp:anchor distT="0" distB="0" distL="0" distR="0" allowOverlap="1" layoutInCell="1" locked="0" behindDoc="0" simplePos="0" relativeHeight="15806976">
                <wp:simplePos x="0" y="0"/>
                <wp:positionH relativeFrom="page">
                  <wp:posOffset>6364223</wp:posOffset>
                </wp:positionH>
                <wp:positionV relativeFrom="paragraph">
                  <wp:posOffset>42167</wp:posOffset>
                </wp:positionV>
                <wp:extent cx="226060" cy="113664"/>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226060" cy="113664"/>
                        </a:xfrm>
                        <a:prstGeom prst="rect">
                          <a:avLst/>
                        </a:prstGeom>
                      </wps:spPr>
                      <wps:txbx>
                        <w:txbxContent>
                          <w:p>
                            <w:pPr>
                              <w:spacing w:line="179" w:lineRule="exact" w:before="0"/>
                              <w:ind w:left="0" w:right="0" w:firstLine="0"/>
                              <w:jc w:val="left"/>
                              <w:rPr>
                                <w:rFonts w:ascii="Arial"/>
                                <w:i/>
                                <w:sz w:val="16"/>
                              </w:rPr>
                            </w:pPr>
                            <w:r>
                              <w:rPr>
                                <w:rFonts w:ascii="Arial"/>
                                <w:i/>
                                <w:color w:val="484848"/>
                                <w:spacing w:val="-2"/>
                                <w:sz w:val="16"/>
                              </w:rPr>
                              <w:t>Total</w:t>
                            </w:r>
                          </w:p>
                        </w:txbxContent>
                      </wps:txbx>
                      <wps:bodyPr wrap="square" lIns="0" tIns="0" rIns="0" bIns="0" rtlCol="0">
                        <a:noAutofit/>
                      </wps:bodyPr>
                    </wps:wsp>
                  </a:graphicData>
                </a:graphic>
              </wp:anchor>
            </w:drawing>
          </mc:Choice>
          <mc:Fallback>
            <w:pict>
              <v:shape style="position:absolute;margin-left:501.119995pt;margin-top:3.320283pt;width:17.8pt;height:8.950pt;mso-position-horizontal-relative:page;mso-position-vertical-relative:paragraph;z-index:15806976" type="#_x0000_t202" id="docshape461" filled="false" stroked="false">
                <v:textbox inset="0,0,0,0">
                  <w:txbxContent>
                    <w:p>
                      <w:pPr>
                        <w:spacing w:line="179" w:lineRule="exact" w:before="0"/>
                        <w:ind w:left="0" w:right="0" w:firstLine="0"/>
                        <w:jc w:val="left"/>
                        <w:rPr>
                          <w:rFonts w:ascii="Arial"/>
                          <w:i/>
                          <w:sz w:val="16"/>
                        </w:rPr>
                      </w:pPr>
                      <w:r>
                        <w:rPr>
                          <w:rFonts w:ascii="Arial"/>
                          <w:i/>
                          <w:color w:val="484848"/>
                          <w:spacing w:val="-2"/>
                          <w:sz w:val="16"/>
                        </w:rPr>
                        <w:t>Total</w:t>
                      </w:r>
                    </w:p>
                  </w:txbxContent>
                </v:textbox>
                <w10:wrap type="none"/>
              </v:shape>
            </w:pict>
          </mc:Fallback>
        </mc:AlternateContent>
      </w:r>
      <w:r>
        <w:rPr>
          <w:rFonts w:ascii="Arial"/>
          <w:i/>
          <w:color w:val="484848"/>
          <w:sz w:val="16"/>
        </w:rPr>
        <w:t>Due</w:t>
      </w:r>
      <w:r>
        <w:rPr>
          <w:rFonts w:ascii="Arial"/>
          <w:i/>
          <w:color w:val="484848"/>
          <w:spacing w:val="-12"/>
          <w:sz w:val="16"/>
        </w:rPr>
        <w:t> </w:t>
      </w:r>
      <w:r>
        <w:rPr>
          <w:rFonts w:ascii="Arial"/>
          <w:i/>
          <w:color w:val="484848"/>
          <w:sz w:val="16"/>
        </w:rPr>
        <w:t>After</w:t>
      </w:r>
      <w:r>
        <w:rPr>
          <w:rFonts w:ascii="Arial"/>
          <w:i/>
          <w:color w:val="484848"/>
          <w:spacing w:val="-11"/>
          <w:sz w:val="16"/>
        </w:rPr>
        <w:t> </w:t>
      </w:r>
      <w:r>
        <w:rPr>
          <w:rFonts w:ascii="Arial"/>
          <w:i/>
          <w:color w:val="484848"/>
          <w:sz w:val="16"/>
        </w:rPr>
        <w:t>5 </w:t>
      </w:r>
      <w:r>
        <w:rPr>
          <w:rFonts w:ascii="Arial"/>
          <w:i/>
          <w:color w:val="484848"/>
          <w:spacing w:val="-2"/>
          <w:sz w:val="16"/>
        </w:rPr>
        <w:t>years</w:t>
      </w:r>
    </w:p>
    <w:p>
      <w:pPr>
        <w:spacing w:after="0" w:line="208" w:lineRule="auto"/>
        <w:jc w:val="left"/>
        <w:rPr>
          <w:rFonts w:ascii="Arial"/>
          <w:i/>
          <w:sz w:val="16"/>
        </w:rPr>
        <w:sectPr>
          <w:type w:val="continuous"/>
          <w:pgSz w:w="12240" w:h="15840"/>
          <w:pgMar w:header="744" w:footer="583" w:top="1820" w:bottom="280" w:left="720" w:right="720"/>
          <w:cols w:num="4" w:equalWidth="0">
            <w:col w:w="4916" w:space="40"/>
            <w:col w:w="1181" w:space="39"/>
            <w:col w:w="1496" w:space="39"/>
            <w:col w:w="3089"/>
          </w:cols>
        </w:sectPr>
      </w:pPr>
    </w:p>
    <w:p>
      <w:pPr>
        <w:pStyle w:val="BodyText"/>
        <w:spacing w:before="1"/>
        <w:rPr>
          <w:rFonts w:ascii="Arial"/>
          <w:i/>
          <w:sz w:val="3"/>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1222"/>
        <w:gridCol w:w="1260"/>
        <w:gridCol w:w="1260"/>
        <w:gridCol w:w="1260"/>
        <w:gridCol w:w="1238"/>
      </w:tblGrid>
      <w:tr>
        <w:trPr>
          <w:trHeight w:val="227" w:hRule="atLeast"/>
        </w:trPr>
        <w:tc>
          <w:tcPr>
            <w:tcW w:w="3120" w:type="dxa"/>
            <w:tcBorders>
              <w:top w:val="single" w:sz="8" w:space="0" w:color="6C6C6C"/>
            </w:tcBorders>
          </w:tcPr>
          <w:p>
            <w:pPr>
              <w:pStyle w:val="TableParagraph"/>
              <w:spacing w:before="12"/>
              <w:ind w:left="52"/>
              <w:rPr>
                <w:sz w:val="16"/>
              </w:rPr>
            </w:pPr>
            <w:r>
              <w:rPr>
                <w:sz w:val="16"/>
              </w:rPr>
              <w:t>Borrowings</w:t>
            </w:r>
            <w:r>
              <w:rPr>
                <w:spacing w:val="-3"/>
                <w:sz w:val="16"/>
              </w:rPr>
              <w:t> </w:t>
            </w:r>
            <w:r>
              <w:rPr>
                <w:sz w:val="16"/>
              </w:rPr>
              <w:t>(at</w:t>
            </w:r>
            <w:r>
              <w:rPr>
                <w:spacing w:val="-3"/>
                <w:sz w:val="16"/>
              </w:rPr>
              <w:t> </w:t>
            </w:r>
            <w:r>
              <w:rPr>
                <w:sz w:val="16"/>
              </w:rPr>
              <w:t>fair</w:t>
            </w:r>
            <w:r>
              <w:rPr>
                <w:spacing w:val="-3"/>
                <w:sz w:val="16"/>
              </w:rPr>
              <w:t> </w:t>
            </w:r>
            <w:r>
              <w:rPr>
                <w:spacing w:val="-2"/>
                <w:sz w:val="16"/>
              </w:rPr>
              <w:t>value)</w:t>
            </w:r>
          </w:p>
        </w:tc>
        <w:tc>
          <w:tcPr>
            <w:tcW w:w="1222" w:type="dxa"/>
            <w:tcBorders>
              <w:top w:val="single" w:sz="8" w:space="0" w:color="6C6C6C"/>
            </w:tcBorders>
          </w:tcPr>
          <w:p>
            <w:pPr>
              <w:pStyle w:val="TableParagraph"/>
              <w:tabs>
                <w:tab w:pos="590" w:val="left" w:leader="none"/>
              </w:tabs>
              <w:spacing w:before="12"/>
              <w:ind w:right="88"/>
              <w:jc w:val="right"/>
              <w:rPr>
                <w:sz w:val="16"/>
              </w:rPr>
            </w:pPr>
            <w:r>
              <w:rPr>
                <w:spacing w:val="-10"/>
                <w:sz w:val="16"/>
              </w:rPr>
              <w:t>$</w:t>
            </w:r>
            <w:r>
              <w:rPr>
                <w:sz w:val="16"/>
              </w:rPr>
              <w:tab/>
            </w:r>
            <w:r>
              <w:rPr>
                <w:spacing w:val="-2"/>
                <w:sz w:val="16"/>
              </w:rPr>
              <w:t>38,996</w:t>
            </w:r>
          </w:p>
        </w:tc>
        <w:tc>
          <w:tcPr>
            <w:tcW w:w="1260" w:type="dxa"/>
            <w:tcBorders>
              <w:top w:val="single" w:sz="8" w:space="0" w:color="6C6C6C"/>
            </w:tcBorders>
          </w:tcPr>
          <w:p>
            <w:pPr>
              <w:pStyle w:val="TableParagraph"/>
              <w:tabs>
                <w:tab w:pos="590" w:val="left" w:leader="none"/>
              </w:tabs>
              <w:spacing w:before="12"/>
              <w:ind w:right="88"/>
              <w:jc w:val="right"/>
              <w:rPr>
                <w:sz w:val="16"/>
              </w:rPr>
            </w:pPr>
            <w:r>
              <w:rPr>
                <w:spacing w:val="-10"/>
                <w:sz w:val="16"/>
              </w:rPr>
              <w:t>$</w:t>
            </w:r>
            <w:r>
              <w:rPr>
                <w:sz w:val="16"/>
              </w:rPr>
              <w:tab/>
            </w:r>
            <w:r>
              <w:rPr>
                <w:spacing w:val="-2"/>
                <w:sz w:val="16"/>
              </w:rPr>
              <w:t>60,921</w:t>
            </w:r>
          </w:p>
        </w:tc>
        <w:tc>
          <w:tcPr>
            <w:tcW w:w="1260" w:type="dxa"/>
            <w:tcBorders>
              <w:top w:val="single" w:sz="8" w:space="0" w:color="6C6C6C"/>
            </w:tcBorders>
          </w:tcPr>
          <w:p>
            <w:pPr>
              <w:pStyle w:val="TableParagraph"/>
              <w:tabs>
                <w:tab w:pos="590" w:val="left" w:leader="none"/>
              </w:tabs>
              <w:spacing w:before="12"/>
              <w:ind w:right="88"/>
              <w:jc w:val="right"/>
              <w:rPr>
                <w:sz w:val="16"/>
              </w:rPr>
            </w:pPr>
            <w:r>
              <w:rPr>
                <w:spacing w:val="-10"/>
                <w:sz w:val="16"/>
              </w:rPr>
              <w:t>$</w:t>
            </w:r>
            <w:r>
              <w:rPr>
                <w:sz w:val="16"/>
              </w:rPr>
              <w:tab/>
            </w:r>
            <w:r>
              <w:rPr>
                <w:spacing w:val="-2"/>
                <w:sz w:val="16"/>
              </w:rPr>
              <w:t>52,890</w:t>
            </w:r>
          </w:p>
        </w:tc>
        <w:tc>
          <w:tcPr>
            <w:tcW w:w="1260" w:type="dxa"/>
            <w:tcBorders>
              <w:top w:val="single" w:sz="8" w:space="0" w:color="6C6C6C"/>
            </w:tcBorders>
          </w:tcPr>
          <w:p>
            <w:pPr>
              <w:pStyle w:val="TableParagraph"/>
              <w:tabs>
                <w:tab w:pos="590" w:val="left" w:leader="none"/>
              </w:tabs>
              <w:spacing w:before="12"/>
              <w:ind w:right="88"/>
              <w:jc w:val="right"/>
              <w:rPr>
                <w:sz w:val="16"/>
              </w:rPr>
            </w:pPr>
            <w:r>
              <w:rPr>
                <w:spacing w:val="-10"/>
                <w:sz w:val="16"/>
              </w:rPr>
              <w:t>$</w:t>
            </w:r>
            <w:r>
              <w:rPr>
                <w:sz w:val="16"/>
              </w:rPr>
              <w:tab/>
            </w:r>
            <w:r>
              <w:rPr>
                <w:spacing w:val="-2"/>
                <w:sz w:val="16"/>
              </w:rPr>
              <w:t>84,458</w:t>
            </w:r>
          </w:p>
        </w:tc>
        <w:tc>
          <w:tcPr>
            <w:tcW w:w="1238" w:type="dxa"/>
            <w:tcBorders>
              <w:top w:val="single" w:sz="8" w:space="0" w:color="6C6C6C"/>
            </w:tcBorders>
          </w:tcPr>
          <w:p>
            <w:pPr>
              <w:pStyle w:val="TableParagraph"/>
              <w:tabs>
                <w:tab w:pos="501" w:val="left" w:leader="none"/>
              </w:tabs>
              <w:spacing w:before="12"/>
              <w:ind w:right="66"/>
              <w:jc w:val="right"/>
              <w:rPr>
                <w:sz w:val="16"/>
              </w:rPr>
            </w:pPr>
            <w:r>
              <w:rPr>
                <w:spacing w:val="-10"/>
                <w:sz w:val="16"/>
              </w:rPr>
              <w:t>$</w:t>
            </w:r>
            <w:r>
              <w:rPr>
                <w:sz w:val="16"/>
              </w:rPr>
              <w:tab/>
            </w:r>
            <w:r>
              <w:rPr>
                <w:spacing w:val="-2"/>
                <w:sz w:val="16"/>
              </w:rPr>
              <w:t>237,265</w:t>
            </w:r>
          </w:p>
        </w:tc>
      </w:tr>
      <w:tr>
        <w:trPr>
          <w:trHeight w:val="240" w:hRule="atLeast"/>
        </w:trPr>
        <w:tc>
          <w:tcPr>
            <w:tcW w:w="3120" w:type="dxa"/>
          </w:tcPr>
          <w:p>
            <w:pPr>
              <w:pStyle w:val="TableParagraph"/>
              <w:spacing w:before="25"/>
              <w:ind w:left="52"/>
              <w:rPr>
                <w:sz w:val="16"/>
              </w:rPr>
            </w:pPr>
            <w:r>
              <w:rPr>
                <w:sz w:val="16"/>
              </w:rPr>
              <w:t>Operating</w:t>
            </w:r>
            <w:r>
              <w:rPr>
                <w:spacing w:val="-6"/>
                <w:sz w:val="16"/>
              </w:rPr>
              <w:t> </w:t>
            </w:r>
            <w:r>
              <w:rPr>
                <w:spacing w:val="-2"/>
                <w:sz w:val="16"/>
              </w:rPr>
              <w:t>leases</w:t>
            </w:r>
          </w:p>
        </w:tc>
        <w:tc>
          <w:tcPr>
            <w:tcW w:w="1222" w:type="dxa"/>
          </w:tcPr>
          <w:p>
            <w:pPr>
              <w:pStyle w:val="TableParagraph"/>
              <w:spacing w:before="25"/>
              <w:ind w:right="88"/>
              <w:jc w:val="right"/>
              <w:rPr>
                <w:sz w:val="16"/>
              </w:rPr>
            </w:pPr>
            <w:r>
              <w:rPr>
                <w:spacing w:val="-5"/>
                <w:sz w:val="16"/>
              </w:rPr>
              <w:t>66</w:t>
            </w:r>
          </w:p>
        </w:tc>
        <w:tc>
          <w:tcPr>
            <w:tcW w:w="1260" w:type="dxa"/>
          </w:tcPr>
          <w:p>
            <w:pPr>
              <w:pStyle w:val="TableParagraph"/>
              <w:spacing w:before="25"/>
              <w:ind w:right="88"/>
              <w:jc w:val="right"/>
              <w:rPr>
                <w:sz w:val="16"/>
              </w:rPr>
            </w:pPr>
            <w:r>
              <w:rPr>
                <w:spacing w:val="-5"/>
                <w:sz w:val="16"/>
              </w:rPr>
              <w:t>90</w:t>
            </w:r>
          </w:p>
        </w:tc>
        <w:tc>
          <w:tcPr>
            <w:tcW w:w="1260" w:type="dxa"/>
          </w:tcPr>
          <w:p>
            <w:pPr>
              <w:pStyle w:val="TableParagraph"/>
              <w:spacing w:before="25"/>
              <w:ind w:right="88"/>
              <w:jc w:val="right"/>
              <w:rPr>
                <w:sz w:val="16"/>
              </w:rPr>
            </w:pPr>
            <w:r>
              <w:rPr>
                <w:spacing w:val="-5"/>
                <w:sz w:val="16"/>
              </w:rPr>
              <w:t>40</w:t>
            </w:r>
          </w:p>
        </w:tc>
        <w:tc>
          <w:tcPr>
            <w:tcW w:w="1260" w:type="dxa"/>
          </w:tcPr>
          <w:p>
            <w:pPr>
              <w:pStyle w:val="TableParagraph"/>
              <w:spacing w:before="25"/>
              <w:ind w:right="88"/>
              <w:jc w:val="right"/>
              <w:rPr>
                <w:sz w:val="16"/>
              </w:rPr>
            </w:pPr>
            <w:r>
              <w:rPr>
                <w:spacing w:val="-2"/>
                <w:sz w:val="16"/>
              </w:rPr>
              <w:t>1,150</w:t>
            </w:r>
          </w:p>
        </w:tc>
        <w:tc>
          <w:tcPr>
            <w:tcW w:w="1238" w:type="dxa"/>
          </w:tcPr>
          <w:p>
            <w:pPr>
              <w:pStyle w:val="TableParagraph"/>
              <w:spacing w:before="25"/>
              <w:ind w:right="66"/>
              <w:jc w:val="right"/>
              <w:rPr>
                <w:sz w:val="16"/>
              </w:rPr>
            </w:pPr>
            <w:r>
              <w:rPr>
                <w:spacing w:val="-2"/>
                <w:sz w:val="16"/>
              </w:rPr>
              <w:t>1,346</w:t>
            </w:r>
          </w:p>
        </w:tc>
      </w:tr>
      <w:tr>
        <w:trPr>
          <w:trHeight w:val="240" w:hRule="atLeast"/>
        </w:trPr>
        <w:tc>
          <w:tcPr>
            <w:tcW w:w="3120" w:type="dxa"/>
          </w:tcPr>
          <w:p>
            <w:pPr>
              <w:pStyle w:val="TableParagraph"/>
              <w:spacing w:before="25"/>
              <w:ind w:left="52"/>
              <w:rPr>
                <w:sz w:val="16"/>
              </w:rPr>
            </w:pPr>
            <w:r>
              <w:rPr>
                <w:sz w:val="16"/>
              </w:rPr>
              <w:t>Contractual</w:t>
            </w:r>
            <w:r>
              <w:rPr>
                <w:spacing w:val="-6"/>
                <w:sz w:val="16"/>
              </w:rPr>
              <w:t> </w:t>
            </w:r>
            <w:r>
              <w:rPr>
                <w:spacing w:val="-2"/>
                <w:sz w:val="16"/>
              </w:rPr>
              <w:t>purchases</w:t>
            </w:r>
          </w:p>
        </w:tc>
        <w:tc>
          <w:tcPr>
            <w:tcW w:w="1222" w:type="dxa"/>
          </w:tcPr>
          <w:p>
            <w:pPr>
              <w:pStyle w:val="TableParagraph"/>
              <w:spacing w:before="25"/>
              <w:ind w:right="88"/>
              <w:jc w:val="right"/>
              <w:rPr>
                <w:sz w:val="16"/>
              </w:rPr>
            </w:pPr>
            <w:r>
              <w:rPr>
                <w:spacing w:val="-5"/>
                <w:sz w:val="16"/>
              </w:rPr>
              <w:t>68</w:t>
            </w:r>
          </w:p>
        </w:tc>
        <w:tc>
          <w:tcPr>
            <w:tcW w:w="1260" w:type="dxa"/>
          </w:tcPr>
          <w:p>
            <w:pPr>
              <w:pStyle w:val="TableParagraph"/>
              <w:spacing w:before="25"/>
              <w:ind w:right="88"/>
              <w:jc w:val="right"/>
              <w:rPr>
                <w:sz w:val="16"/>
              </w:rPr>
            </w:pPr>
            <w:r>
              <w:rPr>
                <w:spacing w:val="-10"/>
                <w:sz w:val="16"/>
              </w:rPr>
              <w:t>7</w:t>
            </w:r>
          </w:p>
        </w:tc>
        <w:tc>
          <w:tcPr>
            <w:tcW w:w="1260" w:type="dxa"/>
          </w:tcPr>
          <w:p>
            <w:pPr>
              <w:pStyle w:val="TableParagraph"/>
              <w:spacing w:before="25"/>
              <w:ind w:right="88"/>
              <w:jc w:val="right"/>
              <w:rPr>
                <w:sz w:val="16"/>
              </w:rPr>
            </w:pPr>
            <w:r>
              <w:rPr>
                <w:sz w:val="16"/>
              </w:rPr>
              <w:t>—</w:t>
            </w:r>
          </w:p>
        </w:tc>
        <w:tc>
          <w:tcPr>
            <w:tcW w:w="1260" w:type="dxa"/>
          </w:tcPr>
          <w:p>
            <w:pPr>
              <w:pStyle w:val="TableParagraph"/>
              <w:spacing w:before="25"/>
              <w:ind w:right="88"/>
              <w:jc w:val="right"/>
              <w:rPr>
                <w:sz w:val="16"/>
              </w:rPr>
            </w:pPr>
            <w:r>
              <w:rPr>
                <w:sz w:val="16"/>
              </w:rPr>
              <w:t>—</w:t>
            </w:r>
          </w:p>
        </w:tc>
        <w:tc>
          <w:tcPr>
            <w:tcW w:w="1238" w:type="dxa"/>
          </w:tcPr>
          <w:p>
            <w:pPr>
              <w:pStyle w:val="TableParagraph"/>
              <w:spacing w:before="25"/>
              <w:ind w:right="66"/>
              <w:jc w:val="right"/>
              <w:rPr>
                <w:sz w:val="16"/>
              </w:rPr>
            </w:pPr>
            <w:r>
              <w:rPr>
                <w:spacing w:val="-5"/>
                <w:sz w:val="16"/>
              </w:rPr>
              <w:t>75</w:t>
            </w:r>
          </w:p>
        </w:tc>
      </w:tr>
      <w:tr>
        <w:trPr>
          <w:trHeight w:val="232" w:hRule="atLeast"/>
        </w:trPr>
        <w:tc>
          <w:tcPr>
            <w:tcW w:w="3120" w:type="dxa"/>
          </w:tcPr>
          <w:p>
            <w:pPr>
              <w:pStyle w:val="TableParagraph"/>
              <w:spacing w:before="25"/>
              <w:ind w:left="52"/>
              <w:rPr>
                <w:sz w:val="16"/>
              </w:rPr>
            </w:pPr>
            <w:r>
              <w:rPr>
                <w:sz w:val="16"/>
              </w:rPr>
              <w:t>Other</w:t>
            </w:r>
            <w:r>
              <w:rPr>
                <w:spacing w:val="-4"/>
                <w:sz w:val="16"/>
              </w:rPr>
              <w:t> </w:t>
            </w:r>
            <w:r>
              <w:rPr>
                <w:sz w:val="16"/>
              </w:rPr>
              <w:t>long-term</w:t>
            </w:r>
            <w:r>
              <w:rPr>
                <w:spacing w:val="-3"/>
                <w:sz w:val="16"/>
              </w:rPr>
              <w:t> </w:t>
            </w:r>
            <w:r>
              <w:rPr>
                <w:spacing w:val="-2"/>
                <w:sz w:val="16"/>
              </w:rPr>
              <w:t>liabilities</w:t>
            </w:r>
          </w:p>
        </w:tc>
        <w:tc>
          <w:tcPr>
            <w:tcW w:w="1222" w:type="dxa"/>
            <w:tcBorders>
              <w:bottom w:val="single" w:sz="8" w:space="0" w:color="6C6C6C"/>
            </w:tcBorders>
          </w:tcPr>
          <w:p>
            <w:pPr>
              <w:pStyle w:val="TableParagraph"/>
              <w:spacing w:before="25"/>
              <w:ind w:right="88"/>
              <w:jc w:val="right"/>
              <w:rPr>
                <w:sz w:val="16"/>
              </w:rPr>
            </w:pPr>
            <w:r>
              <w:rPr>
                <w:spacing w:val="-5"/>
                <w:sz w:val="16"/>
              </w:rPr>
              <w:t>721</w:t>
            </w:r>
          </w:p>
        </w:tc>
        <w:tc>
          <w:tcPr>
            <w:tcW w:w="1260" w:type="dxa"/>
            <w:tcBorders>
              <w:bottom w:val="single" w:sz="8" w:space="0" w:color="6C6C6C"/>
            </w:tcBorders>
          </w:tcPr>
          <w:p>
            <w:pPr>
              <w:pStyle w:val="TableParagraph"/>
              <w:spacing w:before="25"/>
              <w:ind w:right="88"/>
              <w:jc w:val="right"/>
              <w:rPr>
                <w:sz w:val="16"/>
              </w:rPr>
            </w:pPr>
            <w:r>
              <w:rPr>
                <w:spacing w:val="-5"/>
                <w:sz w:val="16"/>
              </w:rPr>
              <w:t>146</w:t>
            </w:r>
          </w:p>
        </w:tc>
        <w:tc>
          <w:tcPr>
            <w:tcW w:w="1260" w:type="dxa"/>
            <w:tcBorders>
              <w:bottom w:val="single" w:sz="8" w:space="0" w:color="6C6C6C"/>
            </w:tcBorders>
          </w:tcPr>
          <w:p>
            <w:pPr>
              <w:pStyle w:val="TableParagraph"/>
              <w:spacing w:before="25"/>
              <w:ind w:right="88"/>
              <w:jc w:val="right"/>
              <w:rPr>
                <w:sz w:val="16"/>
              </w:rPr>
            </w:pPr>
            <w:r>
              <w:rPr>
                <w:spacing w:val="-5"/>
                <w:sz w:val="16"/>
              </w:rPr>
              <w:t>97</w:t>
            </w:r>
          </w:p>
        </w:tc>
        <w:tc>
          <w:tcPr>
            <w:tcW w:w="1260" w:type="dxa"/>
            <w:tcBorders>
              <w:bottom w:val="single" w:sz="8" w:space="0" w:color="6C6C6C"/>
            </w:tcBorders>
          </w:tcPr>
          <w:p>
            <w:pPr>
              <w:pStyle w:val="TableParagraph"/>
              <w:spacing w:before="25"/>
              <w:ind w:right="88"/>
              <w:jc w:val="right"/>
              <w:rPr>
                <w:sz w:val="16"/>
              </w:rPr>
            </w:pPr>
            <w:r>
              <w:rPr>
                <w:spacing w:val="-5"/>
                <w:sz w:val="16"/>
              </w:rPr>
              <w:t>182</w:t>
            </w:r>
          </w:p>
        </w:tc>
        <w:tc>
          <w:tcPr>
            <w:tcW w:w="1238" w:type="dxa"/>
            <w:tcBorders>
              <w:bottom w:val="single" w:sz="8" w:space="0" w:color="6C6C6C"/>
            </w:tcBorders>
          </w:tcPr>
          <w:p>
            <w:pPr>
              <w:pStyle w:val="TableParagraph"/>
              <w:spacing w:before="25"/>
              <w:ind w:right="66"/>
              <w:jc w:val="right"/>
              <w:rPr>
                <w:sz w:val="16"/>
              </w:rPr>
            </w:pPr>
            <w:r>
              <w:rPr>
                <w:spacing w:val="-2"/>
                <w:sz w:val="16"/>
              </w:rPr>
              <w:t>1,146</w:t>
            </w:r>
          </w:p>
        </w:tc>
      </w:tr>
      <w:tr>
        <w:trPr>
          <w:trHeight w:val="200" w:hRule="atLeast"/>
        </w:trPr>
        <w:tc>
          <w:tcPr>
            <w:tcW w:w="3120" w:type="dxa"/>
          </w:tcPr>
          <w:p>
            <w:pPr>
              <w:pStyle w:val="TableParagraph"/>
              <w:spacing w:line="167" w:lineRule="exact" w:before="12"/>
              <w:ind w:left="52"/>
              <w:rPr>
                <w:rFonts w:ascii="Arial"/>
                <w:b/>
                <w:sz w:val="16"/>
              </w:rPr>
            </w:pPr>
            <w:r>
              <w:rPr>
                <w:rFonts w:ascii="Arial"/>
                <w:b/>
                <w:spacing w:val="-2"/>
                <w:sz w:val="16"/>
              </w:rPr>
              <w:t>Total</w:t>
            </w:r>
          </w:p>
        </w:tc>
        <w:tc>
          <w:tcPr>
            <w:tcW w:w="1222" w:type="dxa"/>
            <w:tcBorders>
              <w:top w:val="single" w:sz="8" w:space="0" w:color="6C6C6C"/>
              <w:bottom w:val="double" w:sz="8" w:space="0" w:color="6C6C6C"/>
            </w:tcBorders>
          </w:tcPr>
          <w:p>
            <w:pPr>
              <w:pStyle w:val="TableParagraph"/>
              <w:tabs>
                <w:tab w:pos="590" w:val="left" w:leader="none"/>
              </w:tabs>
              <w:spacing w:line="167" w:lineRule="exact" w:before="12"/>
              <w:ind w:right="88"/>
              <w:jc w:val="right"/>
              <w:rPr>
                <w:rFonts w:ascii="Arial"/>
                <w:b/>
                <w:sz w:val="16"/>
              </w:rPr>
            </w:pPr>
            <w:r>
              <w:rPr>
                <w:rFonts w:ascii="Arial"/>
                <w:b/>
                <w:spacing w:val="-10"/>
                <w:sz w:val="16"/>
              </w:rPr>
              <w:t>$</w:t>
            </w:r>
            <w:r>
              <w:rPr>
                <w:rFonts w:ascii="Arial"/>
                <w:b/>
                <w:sz w:val="16"/>
              </w:rPr>
              <w:tab/>
            </w:r>
            <w:r>
              <w:rPr>
                <w:rFonts w:ascii="Arial"/>
                <w:b/>
                <w:spacing w:val="-2"/>
                <w:sz w:val="16"/>
              </w:rPr>
              <w:t>39,851</w:t>
            </w:r>
          </w:p>
        </w:tc>
        <w:tc>
          <w:tcPr>
            <w:tcW w:w="1260" w:type="dxa"/>
            <w:tcBorders>
              <w:top w:val="single" w:sz="8" w:space="0" w:color="6C6C6C"/>
              <w:bottom w:val="double" w:sz="8" w:space="0" w:color="6C6C6C"/>
            </w:tcBorders>
          </w:tcPr>
          <w:p>
            <w:pPr>
              <w:pStyle w:val="TableParagraph"/>
              <w:tabs>
                <w:tab w:pos="590" w:val="left" w:leader="none"/>
              </w:tabs>
              <w:spacing w:line="167" w:lineRule="exact" w:before="12"/>
              <w:ind w:right="88"/>
              <w:jc w:val="right"/>
              <w:rPr>
                <w:rFonts w:ascii="Arial"/>
                <w:b/>
                <w:sz w:val="16"/>
              </w:rPr>
            </w:pPr>
            <w:r>
              <w:rPr>
                <w:rFonts w:ascii="Arial"/>
                <w:b/>
                <w:spacing w:val="-10"/>
                <w:sz w:val="16"/>
              </w:rPr>
              <w:t>$</w:t>
            </w:r>
            <w:r>
              <w:rPr>
                <w:rFonts w:ascii="Arial"/>
                <w:b/>
                <w:sz w:val="16"/>
              </w:rPr>
              <w:tab/>
            </w:r>
            <w:r>
              <w:rPr>
                <w:rFonts w:ascii="Arial"/>
                <w:b/>
                <w:spacing w:val="-2"/>
                <w:sz w:val="16"/>
              </w:rPr>
              <w:t>61,164</w:t>
            </w:r>
          </w:p>
        </w:tc>
        <w:tc>
          <w:tcPr>
            <w:tcW w:w="1260" w:type="dxa"/>
            <w:tcBorders>
              <w:top w:val="single" w:sz="8" w:space="0" w:color="6C6C6C"/>
              <w:bottom w:val="double" w:sz="8" w:space="0" w:color="6C6C6C"/>
            </w:tcBorders>
          </w:tcPr>
          <w:p>
            <w:pPr>
              <w:pStyle w:val="TableParagraph"/>
              <w:tabs>
                <w:tab w:pos="590" w:val="left" w:leader="none"/>
              </w:tabs>
              <w:spacing w:line="167" w:lineRule="exact" w:before="12"/>
              <w:ind w:right="88"/>
              <w:jc w:val="right"/>
              <w:rPr>
                <w:rFonts w:ascii="Arial"/>
                <w:b/>
                <w:sz w:val="16"/>
              </w:rPr>
            </w:pPr>
            <w:r>
              <w:rPr>
                <w:rFonts w:ascii="Arial"/>
                <w:b/>
                <w:spacing w:val="-10"/>
                <w:sz w:val="16"/>
              </w:rPr>
              <w:t>$</w:t>
            </w:r>
            <w:r>
              <w:rPr>
                <w:rFonts w:ascii="Arial"/>
                <w:b/>
                <w:sz w:val="16"/>
              </w:rPr>
              <w:tab/>
            </w:r>
            <w:r>
              <w:rPr>
                <w:rFonts w:ascii="Arial"/>
                <w:b/>
                <w:spacing w:val="-2"/>
                <w:sz w:val="16"/>
              </w:rPr>
              <w:t>53,027</w:t>
            </w:r>
          </w:p>
        </w:tc>
        <w:tc>
          <w:tcPr>
            <w:tcW w:w="1260" w:type="dxa"/>
            <w:tcBorders>
              <w:top w:val="single" w:sz="8" w:space="0" w:color="6C6C6C"/>
              <w:bottom w:val="double" w:sz="8" w:space="0" w:color="6C6C6C"/>
            </w:tcBorders>
          </w:tcPr>
          <w:p>
            <w:pPr>
              <w:pStyle w:val="TableParagraph"/>
              <w:tabs>
                <w:tab w:pos="590" w:val="left" w:leader="none"/>
              </w:tabs>
              <w:spacing w:line="167" w:lineRule="exact" w:before="12"/>
              <w:ind w:right="88"/>
              <w:jc w:val="right"/>
              <w:rPr>
                <w:rFonts w:ascii="Arial"/>
                <w:b/>
                <w:sz w:val="16"/>
              </w:rPr>
            </w:pPr>
            <w:r>
              <w:rPr>
                <w:rFonts w:ascii="Arial"/>
                <w:b/>
                <w:spacing w:val="-10"/>
                <w:sz w:val="16"/>
              </w:rPr>
              <w:t>$</w:t>
            </w:r>
            <w:r>
              <w:rPr>
                <w:rFonts w:ascii="Arial"/>
                <w:b/>
                <w:sz w:val="16"/>
              </w:rPr>
              <w:tab/>
            </w:r>
            <w:r>
              <w:rPr>
                <w:rFonts w:ascii="Arial"/>
                <w:b/>
                <w:spacing w:val="-2"/>
                <w:sz w:val="16"/>
              </w:rPr>
              <w:t>85,790</w:t>
            </w:r>
          </w:p>
        </w:tc>
        <w:tc>
          <w:tcPr>
            <w:tcW w:w="1238" w:type="dxa"/>
            <w:tcBorders>
              <w:top w:val="single" w:sz="8" w:space="0" w:color="6C6C6C"/>
              <w:bottom w:val="double" w:sz="8" w:space="0" w:color="6C6C6C"/>
            </w:tcBorders>
          </w:tcPr>
          <w:p>
            <w:pPr>
              <w:pStyle w:val="TableParagraph"/>
              <w:tabs>
                <w:tab w:pos="501" w:val="left" w:leader="none"/>
              </w:tabs>
              <w:spacing w:line="167" w:lineRule="exact" w:before="12"/>
              <w:ind w:right="66"/>
              <w:jc w:val="right"/>
              <w:rPr>
                <w:rFonts w:ascii="Arial"/>
                <w:b/>
                <w:sz w:val="16"/>
              </w:rPr>
            </w:pPr>
            <w:r>
              <w:rPr>
                <w:rFonts w:ascii="Arial"/>
                <w:b/>
                <w:spacing w:val="-10"/>
                <w:sz w:val="16"/>
              </w:rPr>
              <w:t>$</w:t>
            </w:r>
            <w:r>
              <w:rPr>
                <w:rFonts w:ascii="Arial"/>
                <w:b/>
                <w:sz w:val="16"/>
              </w:rPr>
              <w:tab/>
            </w:r>
            <w:r>
              <w:rPr>
                <w:rFonts w:ascii="Arial"/>
                <w:b/>
                <w:spacing w:val="-2"/>
                <w:sz w:val="16"/>
              </w:rPr>
              <w:t>239,832</w:t>
            </w:r>
          </w:p>
        </w:tc>
      </w:tr>
    </w:tbl>
    <w:p>
      <w:pPr>
        <w:pStyle w:val="BodyText"/>
        <w:spacing w:before="4"/>
        <w:rPr>
          <w:rFonts w:ascii="Arial"/>
          <w:i/>
          <w:sz w:val="15"/>
        </w:rPr>
      </w:pPr>
      <w:r>
        <w:rPr>
          <w:rFonts w:ascii="Arial"/>
          <w:i/>
          <w:sz w:val="15"/>
        </w:rPr>
        <mc:AlternateContent>
          <mc:Choice Requires="wps">
            <w:drawing>
              <wp:anchor distT="0" distB="0" distL="0" distR="0" allowOverlap="1" layoutInCell="1" locked="0" behindDoc="1" simplePos="0" relativeHeight="487665152">
                <wp:simplePos x="0" y="0"/>
                <wp:positionH relativeFrom="page">
                  <wp:posOffset>914400</wp:posOffset>
                </wp:positionH>
                <wp:positionV relativeFrom="paragraph">
                  <wp:posOffset>127308</wp:posOffset>
                </wp:positionV>
                <wp:extent cx="594360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024267pt;width:468pt;height:.1pt;mso-position-horizontal-relative:page;mso-position-vertical-relative:paragraph;z-index:-15651328;mso-wrap-distance-left:0;mso-wrap-distance-right:0" id="docshape462" coordorigin="1440,200" coordsize="9360,0" path="m1440,200l10800,200e" filled="false" stroked="true" strokeweight="1pt" strokecolor="#6c6c6c">
                <v:path arrowok="t"/>
                <v:stroke dashstyle="solid"/>
                <w10:wrap type="topAndBottom"/>
              </v:shape>
            </w:pict>
          </mc:Fallback>
        </mc:AlternateContent>
      </w:r>
    </w:p>
    <w:p>
      <w:pPr>
        <w:pStyle w:val="BodyText"/>
        <w:spacing w:after="0"/>
        <w:rPr>
          <w:rFonts w:ascii="Arial"/>
          <w:i/>
          <w:sz w:val="15"/>
        </w:rPr>
        <w:sectPr>
          <w:type w:val="continuous"/>
          <w:pgSz w:w="12240" w:h="15840"/>
          <w:pgMar w:header="744" w:footer="583" w:top="1820" w:bottom="280" w:left="720" w:right="720"/>
        </w:sectPr>
      </w:pPr>
    </w:p>
    <w:p>
      <w:pPr>
        <w:pStyle w:val="BodyText"/>
        <w:spacing w:before="77"/>
        <w:rPr>
          <w:rFonts w:ascii="Arial"/>
          <w:i/>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66688">
                <wp:simplePos x="0" y="0"/>
                <wp:positionH relativeFrom="page">
                  <wp:posOffset>914400</wp:posOffset>
                </wp:positionH>
                <wp:positionV relativeFrom="paragraph">
                  <wp:posOffset>233062</wp:posOffset>
                </wp:positionV>
                <wp:extent cx="594360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49792;mso-wrap-distance-left:0;mso-wrap-distance-right:0" id="docshape463" coordorigin="1440,367" coordsize="9360,0" path="m1440,367l10800,367e" filled="false" stroked="true" strokeweight="1pt" strokecolor="#000000">
                <v:path arrowok="t"/>
                <v:stroke dashstyle="solid"/>
                <w10:wrap type="topAndBottom"/>
              </v:shape>
            </w:pict>
          </mc:Fallback>
        </mc:AlternateContent>
      </w:r>
      <w:bookmarkStart w:name="Section XI: Pension and Other Post-Retir" w:id="136"/>
      <w:bookmarkEnd w:id="136"/>
      <w:r>
        <w:rPr/>
      </w:r>
      <w:r>
        <w:rPr>
          <w:rFonts w:ascii="Arial"/>
          <w:b/>
          <w:sz w:val="28"/>
        </w:rPr>
        <w:t>Section</w:t>
      </w:r>
      <w:r>
        <w:rPr>
          <w:rFonts w:ascii="Arial"/>
          <w:b/>
          <w:spacing w:val="-5"/>
          <w:sz w:val="28"/>
        </w:rPr>
        <w:t> </w:t>
      </w:r>
      <w:r>
        <w:rPr>
          <w:rFonts w:ascii="Arial"/>
          <w:b/>
          <w:sz w:val="28"/>
        </w:rPr>
        <w:t>XI:</w:t>
      </w:r>
      <w:r>
        <w:rPr>
          <w:rFonts w:ascii="Arial"/>
          <w:b/>
          <w:spacing w:val="-2"/>
          <w:sz w:val="28"/>
        </w:rPr>
        <w:t> </w:t>
      </w:r>
      <w:r>
        <w:rPr>
          <w:rFonts w:ascii="Arial"/>
          <w:b/>
          <w:sz w:val="28"/>
        </w:rPr>
        <w:t>Pension</w:t>
      </w:r>
      <w:r>
        <w:rPr>
          <w:rFonts w:ascii="Arial"/>
          <w:b/>
          <w:spacing w:val="-2"/>
          <w:sz w:val="28"/>
        </w:rPr>
        <w:t> </w:t>
      </w:r>
      <w:r>
        <w:rPr>
          <w:rFonts w:ascii="Arial"/>
          <w:b/>
          <w:sz w:val="28"/>
        </w:rPr>
        <w:t>and</w:t>
      </w:r>
      <w:r>
        <w:rPr>
          <w:rFonts w:ascii="Arial"/>
          <w:b/>
          <w:spacing w:val="-2"/>
          <w:sz w:val="28"/>
        </w:rPr>
        <w:t> </w:t>
      </w:r>
      <w:r>
        <w:rPr>
          <w:rFonts w:ascii="Arial"/>
          <w:b/>
          <w:sz w:val="28"/>
        </w:rPr>
        <w:t>Other</w:t>
      </w:r>
      <w:r>
        <w:rPr>
          <w:rFonts w:ascii="Arial"/>
          <w:b/>
          <w:spacing w:val="-2"/>
          <w:sz w:val="28"/>
        </w:rPr>
        <w:t> </w:t>
      </w:r>
      <w:r>
        <w:rPr>
          <w:rFonts w:ascii="Arial"/>
          <w:b/>
          <w:sz w:val="28"/>
        </w:rPr>
        <w:t>Post-Retirement</w:t>
      </w:r>
      <w:r>
        <w:rPr>
          <w:rFonts w:ascii="Arial"/>
          <w:b/>
          <w:spacing w:val="-2"/>
          <w:sz w:val="28"/>
        </w:rPr>
        <w:t> Benefits</w:t>
      </w:r>
    </w:p>
    <w:p>
      <w:pPr>
        <w:spacing w:before="159"/>
        <w:ind w:left="720" w:right="0" w:firstLine="0"/>
        <w:jc w:val="left"/>
        <w:rPr>
          <w:rFonts w:ascii="Arial"/>
          <w:b/>
          <w:sz w:val="24"/>
        </w:rPr>
      </w:pPr>
      <w:bookmarkStart w:name="Governance" w:id="137"/>
      <w:bookmarkEnd w:id="137"/>
      <w:r>
        <w:rPr/>
      </w:r>
      <w:bookmarkStart w:name="_bookmark93" w:id="138"/>
      <w:bookmarkEnd w:id="138"/>
      <w:r>
        <w:rPr/>
      </w:r>
      <w:r>
        <w:rPr>
          <w:rFonts w:ascii="Arial"/>
          <w:b/>
          <w:spacing w:val="-2"/>
          <w:sz w:val="24"/>
        </w:rPr>
        <w:t>Governance</w:t>
      </w:r>
    </w:p>
    <w:p>
      <w:pPr>
        <w:pStyle w:val="BodyText"/>
        <w:spacing w:line="232" w:lineRule="auto" w:before="140"/>
        <w:ind w:left="720" w:right="717"/>
        <w:jc w:val="both"/>
      </w:pPr>
      <w:r>
        <w:rPr/>
        <w:t>IBRD participates, along with IFC and MIGA, in pension and post-retirement benefit plans. The Staff Retirement Plan</w:t>
      </w:r>
      <w:r>
        <w:rPr>
          <w:spacing w:val="-2"/>
        </w:rPr>
        <w:t> </w:t>
      </w:r>
      <w:r>
        <w:rPr/>
        <w:t>(SRP),</w:t>
      </w:r>
      <w:r>
        <w:rPr>
          <w:spacing w:val="-2"/>
        </w:rPr>
        <w:t> </w:t>
      </w:r>
      <w:r>
        <w:rPr/>
        <w:t>Retired</w:t>
      </w:r>
      <w:r>
        <w:rPr>
          <w:spacing w:val="-2"/>
        </w:rPr>
        <w:t> </w:t>
      </w:r>
      <w:r>
        <w:rPr/>
        <w:t>Staff</w:t>
      </w:r>
      <w:r>
        <w:rPr>
          <w:spacing w:val="-2"/>
        </w:rPr>
        <w:t> </w:t>
      </w:r>
      <w:r>
        <w:rPr/>
        <w:t>Benefits</w:t>
      </w:r>
      <w:r>
        <w:rPr>
          <w:spacing w:val="-3"/>
        </w:rPr>
        <w:t> </w:t>
      </w:r>
      <w:r>
        <w:rPr/>
        <w:t>Plan</w:t>
      </w:r>
      <w:r>
        <w:rPr>
          <w:spacing w:val="-2"/>
        </w:rPr>
        <w:t> </w:t>
      </w:r>
      <w:r>
        <w:rPr/>
        <w:t>(RSBP),</w:t>
      </w:r>
      <w:r>
        <w:rPr>
          <w:spacing w:val="-2"/>
        </w:rPr>
        <w:t> </w:t>
      </w:r>
      <w:r>
        <w:rPr/>
        <w:t>and</w:t>
      </w:r>
      <w:r>
        <w:rPr>
          <w:spacing w:val="-2"/>
        </w:rPr>
        <w:t> </w:t>
      </w:r>
      <w:r>
        <w:rPr/>
        <w:t>PEBP</w:t>
      </w:r>
      <w:r>
        <w:rPr>
          <w:spacing w:val="-3"/>
        </w:rPr>
        <w:t> </w:t>
      </w:r>
      <w:r>
        <w:rPr/>
        <w:t>(collectively</w:t>
      </w:r>
      <w:r>
        <w:rPr>
          <w:spacing w:val="-2"/>
        </w:rPr>
        <w:t> </w:t>
      </w:r>
      <w:r>
        <w:rPr/>
        <w:t>called</w:t>
      </w:r>
      <w:r>
        <w:rPr>
          <w:spacing w:val="-2"/>
        </w:rPr>
        <w:t> </w:t>
      </w:r>
      <w:r>
        <w:rPr/>
        <w:t>the</w:t>
      </w:r>
      <w:r>
        <w:rPr>
          <w:spacing w:val="-3"/>
        </w:rPr>
        <w:t> </w:t>
      </w:r>
      <w:r>
        <w:rPr/>
        <w:t>“Plans”)</w:t>
      </w:r>
      <w:r>
        <w:rPr>
          <w:spacing w:val="-2"/>
        </w:rPr>
        <w:t> </w:t>
      </w:r>
      <w:r>
        <w:rPr/>
        <w:t>are</w:t>
      </w:r>
      <w:r>
        <w:rPr>
          <w:spacing w:val="-3"/>
        </w:rPr>
        <w:t> </w:t>
      </w:r>
      <w:r>
        <w:rPr/>
        <w:t>defined</w:t>
      </w:r>
      <w:r>
        <w:rPr>
          <w:spacing w:val="-2"/>
        </w:rPr>
        <w:t> </w:t>
      </w:r>
      <w:r>
        <w:rPr/>
        <w:t>benefit</w:t>
      </w:r>
      <w:r>
        <w:rPr>
          <w:spacing w:val="-3"/>
        </w:rPr>
        <w:t> </w:t>
      </w:r>
      <w:r>
        <w:rPr/>
        <w:t>plans and cover substantially all WBG employees, retirees and their beneficiaries. Costs, assets, and liabilities associated with the Plans are allocated among IBRD, IFC, and MIGA, based on their employees' respective participation in the Plans. Costs allocated to IBRD are subsequently shared with IDA, based on an agreed cost-sharing ratio (see Notes to Financial Statements, Note J: Pension and Other Post-Retirement Benefits).</w:t>
      </w:r>
    </w:p>
    <w:p>
      <w:pPr>
        <w:pStyle w:val="BodyText"/>
        <w:spacing w:line="249" w:lineRule="auto" w:before="120"/>
        <w:ind w:left="720" w:right="717"/>
        <w:jc w:val="both"/>
      </w:pPr>
      <w:r>
        <w:rPr/>
        <w:t>The benefits of the Plans at retirement are determined pursuant to the Plan Documents adopted by the Board (Plan Document).</w:t>
      </w:r>
      <w:r>
        <w:rPr>
          <w:spacing w:val="-2"/>
        </w:rPr>
        <w:t> </w:t>
      </w:r>
      <w:r>
        <w:rPr/>
        <w:t>IBRD</w:t>
      </w:r>
      <w:r>
        <w:rPr>
          <w:spacing w:val="-2"/>
        </w:rPr>
        <w:t> </w:t>
      </w:r>
      <w:r>
        <w:rPr/>
        <w:t>has</w:t>
      </w:r>
      <w:r>
        <w:rPr>
          <w:spacing w:val="-2"/>
        </w:rPr>
        <w:t> </w:t>
      </w:r>
      <w:r>
        <w:rPr/>
        <w:t>a</w:t>
      </w:r>
      <w:r>
        <w:rPr>
          <w:spacing w:val="-2"/>
        </w:rPr>
        <w:t> </w:t>
      </w:r>
      <w:r>
        <w:rPr/>
        <w:t>contractual</w:t>
      </w:r>
      <w:r>
        <w:rPr>
          <w:spacing w:val="-2"/>
        </w:rPr>
        <w:t> </w:t>
      </w:r>
      <w:r>
        <w:rPr/>
        <w:t>obligation</w:t>
      </w:r>
      <w:r>
        <w:rPr>
          <w:spacing w:val="-2"/>
        </w:rPr>
        <w:t> </w:t>
      </w:r>
      <w:r>
        <w:rPr/>
        <w:t>to</w:t>
      </w:r>
      <w:r>
        <w:rPr>
          <w:spacing w:val="-2"/>
        </w:rPr>
        <w:t> </w:t>
      </w:r>
      <w:r>
        <w:rPr/>
        <w:t>make</w:t>
      </w:r>
      <w:r>
        <w:rPr>
          <w:spacing w:val="-2"/>
        </w:rPr>
        <w:t> </w:t>
      </w:r>
      <w:r>
        <w:rPr/>
        <w:t>benefit</w:t>
      </w:r>
      <w:r>
        <w:rPr>
          <w:spacing w:val="-2"/>
        </w:rPr>
        <w:t> </w:t>
      </w:r>
      <w:r>
        <w:rPr/>
        <w:t>payments</w:t>
      </w:r>
      <w:r>
        <w:rPr>
          <w:spacing w:val="-2"/>
        </w:rPr>
        <w:t> </w:t>
      </w:r>
      <w:r>
        <w:rPr/>
        <w:t>to</w:t>
      </w:r>
      <w:r>
        <w:rPr>
          <w:spacing w:val="-2"/>
        </w:rPr>
        <w:t> </w:t>
      </w:r>
      <w:r>
        <w:rPr/>
        <w:t>the</w:t>
      </w:r>
      <w:r>
        <w:rPr>
          <w:spacing w:val="-2"/>
        </w:rPr>
        <w:t> </w:t>
      </w:r>
      <w:r>
        <w:rPr/>
        <w:t>Plans’</w:t>
      </w:r>
      <w:r>
        <w:rPr>
          <w:spacing w:val="-2"/>
        </w:rPr>
        <w:t> </w:t>
      </w:r>
      <w:r>
        <w:rPr/>
        <w:t>beneficiaries.</w:t>
      </w:r>
      <w:r>
        <w:rPr>
          <w:spacing w:val="-2"/>
        </w:rPr>
        <w:t> </w:t>
      </w:r>
      <w:r>
        <w:rPr/>
        <w:t>The</w:t>
      </w:r>
      <w:r>
        <w:rPr>
          <w:spacing w:val="-2"/>
        </w:rPr>
        <w:t> </w:t>
      </w:r>
      <w:r>
        <w:rPr/>
        <w:t>governance mechanism of the Plans, including the funding and investment policies described here, are designed to support this </w:t>
      </w:r>
      <w:r>
        <w:rPr>
          <w:spacing w:val="-2"/>
        </w:rPr>
        <w:t>objective.</w:t>
      </w:r>
    </w:p>
    <w:p>
      <w:pPr>
        <w:pStyle w:val="BodyText"/>
        <w:spacing w:line="249" w:lineRule="auto" w:before="123"/>
        <w:ind w:left="720" w:right="720"/>
        <w:jc w:val="both"/>
      </w:pPr>
      <w:r>
        <w:rPr/>
        <w:t>There are two committees that govern the Plans. From a governance standpoint, both committees are independent of IBRD and the Board.</w:t>
      </w:r>
    </w:p>
    <w:p>
      <w:pPr>
        <w:pStyle w:val="ListParagraph"/>
        <w:numPr>
          <w:ilvl w:val="1"/>
          <w:numId w:val="27"/>
        </w:numPr>
        <w:tabs>
          <w:tab w:pos="1440" w:val="left" w:leader="none"/>
        </w:tabs>
        <w:spacing w:line="249" w:lineRule="auto" w:before="122" w:after="0"/>
        <w:ind w:left="1440" w:right="718" w:hanging="360"/>
        <w:jc w:val="left"/>
        <w:rPr>
          <w:sz w:val="20"/>
        </w:rPr>
      </w:pPr>
      <w:r>
        <w:rPr>
          <w:sz w:val="20"/>
        </w:rPr>
        <w:t>The</w:t>
      </w:r>
      <w:r>
        <w:rPr>
          <w:spacing w:val="-2"/>
          <w:sz w:val="20"/>
        </w:rPr>
        <w:t> </w:t>
      </w:r>
      <w:r>
        <w:rPr>
          <w:sz w:val="20"/>
        </w:rPr>
        <w:t>Pension</w:t>
      </w:r>
      <w:r>
        <w:rPr>
          <w:spacing w:val="-2"/>
          <w:sz w:val="20"/>
        </w:rPr>
        <w:t> </w:t>
      </w:r>
      <w:r>
        <w:rPr>
          <w:sz w:val="20"/>
        </w:rPr>
        <w:t>Finance</w:t>
      </w:r>
      <w:r>
        <w:rPr>
          <w:spacing w:val="-2"/>
          <w:sz w:val="20"/>
        </w:rPr>
        <w:t> </w:t>
      </w:r>
      <w:r>
        <w:rPr>
          <w:sz w:val="20"/>
        </w:rPr>
        <w:t>Committee</w:t>
      </w:r>
      <w:r>
        <w:rPr>
          <w:spacing w:val="-2"/>
          <w:sz w:val="20"/>
        </w:rPr>
        <w:t> </w:t>
      </w:r>
      <w:r>
        <w:rPr>
          <w:sz w:val="20"/>
        </w:rPr>
        <w:t>(PFC),</w:t>
      </w:r>
      <w:r>
        <w:rPr>
          <w:spacing w:val="-2"/>
          <w:sz w:val="20"/>
        </w:rPr>
        <w:t> </w:t>
      </w:r>
      <w:r>
        <w:rPr>
          <w:sz w:val="20"/>
        </w:rPr>
        <w:t>which</w:t>
      </w:r>
      <w:r>
        <w:rPr>
          <w:spacing w:val="-2"/>
          <w:sz w:val="20"/>
        </w:rPr>
        <w:t> </w:t>
      </w:r>
      <w:r>
        <w:rPr>
          <w:sz w:val="20"/>
        </w:rPr>
        <w:t>is</w:t>
      </w:r>
      <w:r>
        <w:rPr>
          <w:spacing w:val="-2"/>
          <w:sz w:val="20"/>
        </w:rPr>
        <w:t> </w:t>
      </w:r>
      <w:r>
        <w:rPr>
          <w:sz w:val="20"/>
        </w:rPr>
        <w:t>responsible</w:t>
      </w:r>
      <w:r>
        <w:rPr>
          <w:spacing w:val="-2"/>
          <w:sz w:val="20"/>
        </w:rPr>
        <w:t> </w:t>
      </w:r>
      <w:r>
        <w:rPr>
          <w:sz w:val="20"/>
        </w:rPr>
        <w:t>for</w:t>
      </w:r>
      <w:r>
        <w:rPr>
          <w:spacing w:val="-2"/>
          <w:sz w:val="20"/>
        </w:rPr>
        <w:t> </w:t>
      </w:r>
      <w:r>
        <w:rPr>
          <w:sz w:val="20"/>
        </w:rPr>
        <w:t>the</w:t>
      </w:r>
      <w:r>
        <w:rPr>
          <w:spacing w:val="-2"/>
          <w:sz w:val="20"/>
        </w:rPr>
        <w:t> </w:t>
      </w:r>
      <w:r>
        <w:rPr>
          <w:sz w:val="20"/>
        </w:rPr>
        <w:t>financial</w:t>
      </w:r>
      <w:r>
        <w:rPr>
          <w:spacing w:val="-2"/>
          <w:sz w:val="20"/>
        </w:rPr>
        <w:t> </w:t>
      </w:r>
      <w:r>
        <w:rPr>
          <w:sz w:val="20"/>
        </w:rPr>
        <w:t>management</w:t>
      </w:r>
      <w:r>
        <w:rPr>
          <w:spacing w:val="-2"/>
          <w:sz w:val="20"/>
        </w:rPr>
        <w:t> </w:t>
      </w:r>
      <w:r>
        <w:rPr>
          <w:sz w:val="20"/>
        </w:rPr>
        <w:t>of</w:t>
      </w:r>
      <w:r>
        <w:rPr>
          <w:spacing w:val="-2"/>
          <w:sz w:val="20"/>
        </w:rPr>
        <w:t> </w:t>
      </w:r>
      <w:r>
        <w:rPr>
          <w:sz w:val="20"/>
        </w:rPr>
        <w:t>the</w:t>
      </w:r>
      <w:r>
        <w:rPr>
          <w:spacing w:val="-2"/>
          <w:sz w:val="20"/>
        </w:rPr>
        <w:t> </w:t>
      </w:r>
      <w:r>
        <w:rPr>
          <w:sz w:val="20"/>
        </w:rPr>
        <w:t>Plans</w:t>
      </w:r>
      <w:r>
        <w:rPr>
          <w:spacing w:val="-2"/>
          <w:sz w:val="20"/>
        </w:rPr>
        <w:t> </w:t>
      </w:r>
      <w:r>
        <w:rPr>
          <w:sz w:val="20"/>
        </w:rPr>
        <w:t>and is supported by the Pension Finance Administrator.</w:t>
      </w:r>
    </w:p>
    <w:p>
      <w:pPr>
        <w:pStyle w:val="ListParagraph"/>
        <w:numPr>
          <w:ilvl w:val="1"/>
          <w:numId w:val="27"/>
        </w:numPr>
        <w:tabs>
          <w:tab w:pos="1440" w:val="left" w:leader="none"/>
        </w:tabs>
        <w:spacing w:line="249" w:lineRule="auto" w:before="122" w:after="0"/>
        <w:ind w:left="1440" w:right="720" w:hanging="360"/>
        <w:jc w:val="left"/>
        <w:rPr>
          <w:sz w:val="20"/>
        </w:rPr>
      </w:pPr>
      <w:r>
        <w:rPr>
          <w:sz w:val="20"/>
        </w:rPr>
        <w:t>The</w:t>
      </w:r>
      <w:r>
        <w:rPr>
          <w:spacing w:val="-4"/>
          <w:sz w:val="20"/>
        </w:rPr>
        <w:t> </w:t>
      </w:r>
      <w:r>
        <w:rPr>
          <w:sz w:val="20"/>
        </w:rPr>
        <w:t>Pension</w:t>
      </w:r>
      <w:r>
        <w:rPr>
          <w:spacing w:val="-4"/>
          <w:sz w:val="20"/>
        </w:rPr>
        <w:t> </w:t>
      </w:r>
      <w:r>
        <w:rPr>
          <w:sz w:val="20"/>
        </w:rPr>
        <w:t>Benefits</w:t>
      </w:r>
      <w:r>
        <w:rPr>
          <w:spacing w:val="-4"/>
          <w:sz w:val="20"/>
        </w:rPr>
        <w:t> </w:t>
      </w:r>
      <w:r>
        <w:rPr>
          <w:sz w:val="20"/>
        </w:rPr>
        <w:t>Administration</w:t>
      </w:r>
      <w:r>
        <w:rPr>
          <w:spacing w:val="-4"/>
          <w:sz w:val="20"/>
        </w:rPr>
        <w:t> </w:t>
      </w:r>
      <w:r>
        <w:rPr>
          <w:sz w:val="20"/>
        </w:rPr>
        <w:t>Committee</w:t>
      </w:r>
      <w:r>
        <w:rPr>
          <w:spacing w:val="-4"/>
          <w:sz w:val="20"/>
        </w:rPr>
        <w:t> </w:t>
      </w:r>
      <w:r>
        <w:rPr>
          <w:sz w:val="20"/>
        </w:rPr>
        <w:t>(PBAC),</w:t>
      </w:r>
      <w:r>
        <w:rPr>
          <w:spacing w:val="-4"/>
          <w:sz w:val="20"/>
        </w:rPr>
        <w:t> </w:t>
      </w:r>
      <w:r>
        <w:rPr>
          <w:sz w:val="20"/>
        </w:rPr>
        <w:t>which</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the</w:t>
      </w:r>
      <w:r>
        <w:rPr>
          <w:spacing w:val="-4"/>
          <w:sz w:val="20"/>
        </w:rPr>
        <w:t> </w:t>
      </w:r>
      <w:r>
        <w:rPr>
          <w:sz w:val="20"/>
        </w:rPr>
        <w:t>administration</w:t>
      </w:r>
      <w:r>
        <w:rPr>
          <w:spacing w:val="-4"/>
          <w:sz w:val="20"/>
        </w:rPr>
        <w:t> </w:t>
      </w:r>
      <w:r>
        <w:rPr>
          <w:sz w:val="20"/>
        </w:rPr>
        <w:t>of</w:t>
      </w:r>
      <w:r>
        <w:rPr>
          <w:spacing w:val="-4"/>
          <w:sz w:val="20"/>
        </w:rPr>
        <w:t> </w:t>
      </w:r>
      <w:r>
        <w:rPr>
          <w:sz w:val="20"/>
        </w:rPr>
        <w:t>the benefits of the Plans.</w:t>
      </w:r>
    </w:p>
    <w:p>
      <w:pPr>
        <w:pStyle w:val="BodyText"/>
        <w:spacing w:line="249" w:lineRule="auto" w:before="121"/>
        <w:ind w:left="720" w:right="719"/>
        <w:jc w:val="both"/>
      </w:pPr>
      <w:r>
        <w:rPr/>
        <w:t>Contributions to the SRP and RSBP are irrevocable, with assets held in separate trusts, and the PEBP assets are included in IBRD's investment portfolio. IBRD acts as trustee for the Plans and the assets are used for the exclusive benefit of the participants and their beneficiaries. The objective of the Plans is to accumulate sufficient assets to</w:t>
      </w:r>
      <w:r>
        <w:rPr>
          <w:spacing w:val="40"/>
        </w:rPr>
        <w:t> </w:t>
      </w:r>
      <w:r>
        <w:rPr/>
        <w:t>meet</w:t>
      </w:r>
      <w:r>
        <w:rPr>
          <w:spacing w:val="-2"/>
        </w:rPr>
        <w:t> </w:t>
      </w:r>
      <w:r>
        <w:rPr/>
        <w:t>future</w:t>
      </w:r>
      <w:r>
        <w:rPr>
          <w:spacing w:val="-2"/>
        </w:rPr>
        <w:t> </w:t>
      </w:r>
      <w:r>
        <w:rPr/>
        <w:t>pension</w:t>
      </w:r>
      <w:r>
        <w:rPr>
          <w:spacing w:val="-2"/>
        </w:rPr>
        <w:t> </w:t>
      </w:r>
      <w:r>
        <w:rPr/>
        <w:t>benefit</w:t>
      </w:r>
      <w:r>
        <w:rPr>
          <w:spacing w:val="-2"/>
        </w:rPr>
        <w:t> </w:t>
      </w:r>
      <w:r>
        <w:rPr/>
        <w:t>obligations.</w:t>
      </w:r>
      <w:r>
        <w:rPr>
          <w:spacing w:val="-2"/>
        </w:rPr>
        <w:t> </w:t>
      </w:r>
      <w:r>
        <w:rPr/>
        <w:t>As</w:t>
      </w:r>
      <w:r>
        <w:rPr>
          <w:spacing w:val="-2"/>
        </w:rPr>
        <w:t> </w:t>
      </w:r>
      <w:r>
        <w:rPr/>
        <w:t>of</w:t>
      </w:r>
      <w:r>
        <w:rPr>
          <w:spacing w:val="-2"/>
        </w:rPr>
        <w:t> </w:t>
      </w:r>
      <w:r>
        <w:rPr/>
        <w:t>June</w:t>
      </w:r>
      <w:r>
        <w:rPr>
          <w:spacing w:val="-2"/>
        </w:rPr>
        <w:t> </w:t>
      </w:r>
      <w:r>
        <w:rPr/>
        <w:t>30,</w:t>
      </w:r>
      <w:r>
        <w:rPr>
          <w:spacing w:val="-2"/>
        </w:rPr>
        <w:t> </w:t>
      </w:r>
      <w:r>
        <w:rPr/>
        <w:t>2023,</w:t>
      </w:r>
      <w:r>
        <w:rPr>
          <w:spacing w:val="-2"/>
        </w:rPr>
        <w:t> </w:t>
      </w:r>
      <w:r>
        <w:rPr/>
        <w:t>IBRD</w:t>
      </w:r>
      <w:r>
        <w:rPr>
          <w:spacing w:val="-2"/>
        </w:rPr>
        <w:t> </w:t>
      </w:r>
      <w:r>
        <w:rPr/>
        <w:t>and</w:t>
      </w:r>
      <w:r>
        <w:rPr>
          <w:spacing w:val="-2"/>
        </w:rPr>
        <w:t> </w:t>
      </w:r>
      <w:r>
        <w:rPr/>
        <w:t>IDA’s</w:t>
      </w:r>
      <w:r>
        <w:rPr>
          <w:spacing w:val="-2"/>
        </w:rPr>
        <w:t> </w:t>
      </w:r>
      <w:r>
        <w:rPr/>
        <w:t>share</w:t>
      </w:r>
      <w:r>
        <w:rPr>
          <w:spacing w:val="-2"/>
        </w:rPr>
        <w:t> </w:t>
      </w:r>
      <w:r>
        <w:rPr/>
        <w:t>of</w:t>
      </w:r>
      <w:r>
        <w:rPr>
          <w:spacing w:val="-2"/>
        </w:rPr>
        <w:t> </w:t>
      </w:r>
      <w:r>
        <w:rPr/>
        <w:t>the</w:t>
      </w:r>
      <w:r>
        <w:rPr>
          <w:spacing w:val="-2"/>
        </w:rPr>
        <w:t> </w:t>
      </w:r>
      <w:r>
        <w:rPr/>
        <w:t>assets</w:t>
      </w:r>
      <w:r>
        <w:rPr>
          <w:spacing w:val="-2"/>
        </w:rPr>
        <w:t> </w:t>
      </w:r>
      <w:r>
        <w:rPr/>
        <w:t>amounted</w:t>
      </w:r>
      <w:r>
        <w:rPr>
          <w:spacing w:val="-2"/>
        </w:rPr>
        <w:t> </w:t>
      </w:r>
      <w:r>
        <w:rPr/>
        <w:t>to</w:t>
      </w:r>
      <w:r>
        <w:rPr>
          <w:spacing w:val="-2"/>
        </w:rPr>
        <w:t> </w:t>
      </w:r>
      <w:r>
        <w:rPr/>
        <w:t>$30.8 billion (see Table 33). This represents the accumulated contributions paid into the plans net of benefit payments, together with the accumulated value of investment earnings, net of related expenses.</w:t>
      </w:r>
    </w:p>
    <w:p>
      <w:pPr>
        <w:pStyle w:val="Heading1"/>
        <w:spacing w:before="123"/>
        <w:jc w:val="left"/>
      </w:pPr>
      <w:bookmarkStart w:name="Funding and Investment Policies" w:id="139"/>
      <w:bookmarkEnd w:id="139"/>
      <w:r>
        <w:rPr>
          <w:b w:val="0"/>
        </w:rPr>
      </w:r>
      <w:bookmarkStart w:name="_bookmark94" w:id="140"/>
      <w:bookmarkEnd w:id="140"/>
      <w:r>
        <w:rPr>
          <w:b w:val="0"/>
        </w:rPr>
      </w:r>
      <w:r>
        <w:rPr/>
        <w:t>Funding</w:t>
      </w:r>
      <w:r>
        <w:rPr>
          <w:spacing w:val="-2"/>
        </w:rPr>
        <w:t> </w:t>
      </w:r>
      <w:r>
        <w:rPr/>
        <w:t>and</w:t>
      </w:r>
      <w:r>
        <w:rPr>
          <w:spacing w:val="-2"/>
        </w:rPr>
        <w:t> </w:t>
      </w:r>
      <w:r>
        <w:rPr/>
        <w:t>Investment</w:t>
      </w:r>
      <w:r>
        <w:rPr>
          <w:spacing w:val="-2"/>
        </w:rPr>
        <w:t> Policies</w:t>
      </w:r>
    </w:p>
    <w:p>
      <w:pPr>
        <w:pStyle w:val="BodyText"/>
        <w:spacing w:line="249" w:lineRule="auto" w:before="134"/>
        <w:ind w:left="720" w:right="718"/>
        <w:jc w:val="both"/>
      </w:pPr>
      <w:r>
        <w:rPr/>
        <w:t>The key policies underpinning the financial management of the Plans, including the determination of WBG contributions and the investment of Plan assets, are the funding and investment policies. The objective of these policies is to ensure that the Plans have sufficient assets to meet benefit payments over the long term. The funding policy, as approved by the PFC, establishes the rules that determine the WBG’s contributions. The policy seeks to fund the Plans in a consistent and timely manner, while at the same time avoiding excessive volatility in WBG contributions. The funding policy determines how much the WBG must contribute annually to sustain and ensure</w:t>
      </w:r>
      <w:r>
        <w:rPr>
          <w:spacing w:val="40"/>
        </w:rPr>
        <w:t> </w:t>
      </w:r>
      <w:r>
        <w:rPr/>
        <w:t>the</w:t>
      </w:r>
      <w:r>
        <w:rPr>
          <w:spacing w:val="-4"/>
        </w:rPr>
        <w:t> </w:t>
      </w:r>
      <w:r>
        <w:rPr/>
        <w:t>accumulation</w:t>
      </w:r>
      <w:r>
        <w:rPr>
          <w:spacing w:val="-3"/>
        </w:rPr>
        <w:t> </w:t>
      </w:r>
      <w:r>
        <w:rPr/>
        <w:t>of</w:t>
      </w:r>
      <w:r>
        <w:rPr>
          <w:spacing w:val="-3"/>
        </w:rPr>
        <w:t> </w:t>
      </w:r>
      <w:r>
        <w:rPr/>
        <w:t>sufficient</w:t>
      </w:r>
      <w:r>
        <w:rPr>
          <w:spacing w:val="-4"/>
        </w:rPr>
        <w:t> </w:t>
      </w:r>
      <w:r>
        <w:rPr/>
        <w:t>assets</w:t>
      </w:r>
      <w:r>
        <w:rPr>
          <w:spacing w:val="-4"/>
        </w:rPr>
        <w:t> </w:t>
      </w:r>
      <w:r>
        <w:rPr/>
        <w:t>over</w:t>
      </w:r>
      <w:r>
        <w:rPr>
          <w:spacing w:val="-3"/>
        </w:rPr>
        <w:t> </w:t>
      </w:r>
      <w:r>
        <w:rPr/>
        <w:t>time</w:t>
      </w:r>
      <w:r>
        <w:rPr>
          <w:spacing w:val="-4"/>
        </w:rPr>
        <w:t> </w:t>
      </w:r>
      <w:r>
        <w:rPr/>
        <w:t>to</w:t>
      </w:r>
      <w:r>
        <w:rPr>
          <w:spacing w:val="-3"/>
        </w:rPr>
        <w:t> </w:t>
      </w:r>
      <w:r>
        <w:rPr/>
        <w:t>meet</w:t>
      </w:r>
      <w:r>
        <w:rPr>
          <w:spacing w:val="-4"/>
        </w:rPr>
        <w:t> </w:t>
      </w:r>
      <w:r>
        <w:rPr/>
        <w:t>the</w:t>
      </w:r>
      <w:r>
        <w:rPr>
          <w:spacing w:val="-4"/>
        </w:rPr>
        <w:t> </w:t>
      </w:r>
      <w:r>
        <w:rPr/>
        <w:t>expected</w:t>
      </w:r>
      <w:r>
        <w:rPr>
          <w:spacing w:val="-3"/>
        </w:rPr>
        <w:t> </w:t>
      </w:r>
      <w:r>
        <w:rPr/>
        <w:t>benefit</w:t>
      </w:r>
      <w:r>
        <w:rPr>
          <w:spacing w:val="-4"/>
        </w:rPr>
        <w:t> </w:t>
      </w:r>
      <w:r>
        <w:rPr/>
        <w:t>payments.</w:t>
      </w:r>
      <w:r>
        <w:rPr>
          <w:spacing w:val="-3"/>
        </w:rPr>
        <w:t> </w:t>
      </w:r>
      <w:r>
        <w:rPr/>
        <w:t>Under</w:t>
      </w:r>
      <w:r>
        <w:rPr>
          <w:spacing w:val="-3"/>
        </w:rPr>
        <w:t> </w:t>
      </w:r>
      <w:r>
        <w:rPr/>
        <w:t>the</w:t>
      </w:r>
      <w:r>
        <w:rPr>
          <w:spacing w:val="-4"/>
        </w:rPr>
        <w:t> </w:t>
      </w:r>
      <w:r>
        <w:rPr/>
        <w:t>Plan</w:t>
      </w:r>
      <w:r>
        <w:rPr>
          <w:spacing w:val="-3"/>
        </w:rPr>
        <w:t> </w:t>
      </w:r>
      <w:r>
        <w:rPr/>
        <w:t>Document,</w:t>
      </w:r>
      <w:r>
        <w:rPr>
          <w:spacing w:val="-3"/>
        </w:rPr>
        <w:t> </w:t>
      </w:r>
      <w:r>
        <w:rPr/>
        <w:t>the PFC determines the WBG contribution based on actuarial valuations. IBRD is required to make the contribution determined by the PFC. In FY23, the WBG’s rate for contributions to the Plans was 14.61% of salaries.</w:t>
      </w:r>
    </w:p>
    <w:p>
      <w:pPr>
        <w:pStyle w:val="BodyText"/>
        <w:spacing w:line="249" w:lineRule="auto" w:before="128"/>
        <w:ind w:left="720" w:right="717"/>
        <w:jc w:val="both"/>
      </w:pPr>
      <w:r>
        <w:rPr/>
        <w:t>The Projected Benefit Obligation (PBO) is derived from AA-rated corporate bonds, as required by U.S. GAAP. The selection of this rate as the basis for the discount rate is to establish a liability equivalent to an amount that if</w:t>
      </w:r>
      <w:r>
        <w:rPr>
          <w:spacing w:val="40"/>
        </w:rPr>
        <w:t> </w:t>
      </w:r>
      <w:r>
        <w:rPr/>
        <w:t>invested in high-quality fixed income securities would match the benefit payment stream. While this measure is based on an objective, observable market rate, it does not necessarily reflect the realized or expected returns of the Plan</w:t>
      </w:r>
      <w:r>
        <w:rPr>
          <w:spacing w:val="-2"/>
        </w:rPr>
        <w:t> </w:t>
      </w:r>
      <w:r>
        <w:rPr/>
        <w:t>which</w:t>
      </w:r>
      <w:r>
        <w:rPr>
          <w:spacing w:val="-2"/>
        </w:rPr>
        <w:t> </w:t>
      </w:r>
      <w:r>
        <w:rPr/>
        <w:t>depend</w:t>
      </w:r>
      <w:r>
        <w:rPr>
          <w:spacing w:val="-2"/>
        </w:rPr>
        <w:t> </w:t>
      </w:r>
      <w:r>
        <w:rPr/>
        <w:t>on</w:t>
      </w:r>
      <w:r>
        <w:rPr>
          <w:spacing w:val="-2"/>
        </w:rPr>
        <w:t> </w:t>
      </w:r>
      <w:r>
        <w:rPr/>
        <w:t>how</w:t>
      </w:r>
      <w:r>
        <w:rPr>
          <w:spacing w:val="-2"/>
        </w:rPr>
        <w:t> </w:t>
      </w:r>
      <w:r>
        <w:rPr/>
        <w:t>the</w:t>
      </w:r>
      <w:r>
        <w:rPr>
          <w:spacing w:val="-2"/>
        </w:rPr>
        <w:t> </w:t>
      </w:r>
      <w:r>
        <w:rPr/>
        <w:t>Plans</w:t>
      </w:r>
      <w:r>
        <w:rPr>
          <w:spacing w:val="-2"/>
        </w:rPr>
        <w:t> </w:t>
      </w:r>
      <w:r>
        <w:rPr/>
        <w:t>are</w:t>
      </w:r>
      <w:r>
        <w:rPr>
          <w:spacing w:val="-2"/>
        </w:rPr>
        <w:t> </w:t>
      </w:r>
      <w:r>
        <w:rPr/>
        <w:t>managed</w:t>
      </w:r>
      <w:r>
        <w:rPr>
          <w:spacing w:val="-2"/>
        </w:rPr>
        <w:t> </w:t>
      </w:r>
      <w:r>
        <w:rPr/>
        <w:t>and</w:t>
      </w:r>
      <w:r>
        <w:rPr>
          <w:spacing w:val="-2"/>
        </w:rPr>
        <w:t> </w:t>
      </w:r>
      <w:r>
        <w:rPr/>
        <w:t>invested.</w:t>
      </w:r>
      <w:r>
        <w:rPr>
          <w:spacing w:val="-2"/>
        </w:rPr>
        <w:t> </w:t>
      </w:r>
      <w:r>
        <w:rPr/>
        <w:t>The</w:t>
      </w:r>
      <w:r>
        <w:rPr>
          <w:spacing w:val="-2"/>
        </w:rPr>
        <w:t> </w:t>
      </w:r>
      <w:r>
        <w:rPr/>
        <w:t>PBO</w:t>
      </w:r>
      <w:r>
        <w:rPr>
          <w:spacing w:val="-2"/>
        </w:rPr>
        <w:t> </w:t>
      </w:r>
      <w:r>
        <w:rPr/>
        <w:t>for</w:t>
      </w:r>
      <w:r>
        <w:rPr>
          <w:spacing w:val="-2"/>
        </w:rPr>
        <w:t> </w:t>
      </w:r>
      <w:r>
        <w:rPr/>
        <w:t>funding</w:t>
      </w:r>
      <w:r>
        <w:rPr>
          <w:spacing w:val="-2"/>
        </w:rPr>
        <w:t> </w:t>
      </w:r>
      <w:r>
        <w:rPr/>
        <w:t>purposes</w:t>
      </w:r>
      <w:r>
        <w:rPr>
          <w:spacing w:val="-2"/>
        </w:rPr>
        <w:t> </w:t>
      </w:r>
      <w:r>
        <w:rPr/>
        <w:t>is</w:t>
      </w:r>
      <w:r>
        <w:rPr>
          <w:spacing w:val="-2"/>
        </w:rPr>
        <w:t> </w:t>
      </w:r>
      <w:r>
        <w:rPr/>
        <w:t>discounted</w:t>
      </w:r>
      <w:r>
        <w:rPr>
          <w:spacing w:val="-2"/>
        </w:rPr>
        <w:t> </w:t>
      </w:r>
      <w:r>
        <w:rPr/>
        <w:t>using</w:t>
      </w:r>
      <w:r>
        <w:rPr>
          <w:spacing w:val="-2"/>
        </w:rPr>
        <w:t> </w:t>
      </w:r>
      <w:r>
        <w:rPr/>
        <w:t>a 3.5% real discount rate since the funding strategy for the Plans is based on a target of 3.5% real return on investments. This rate constitutes the long-term return objective for the Plan’s assets, referred to as the Long-Term Real Return Objective (LTRRO), which Management has followed since the year ended June 30, 1999 and last reaffirmed under the strategic asset allocation review in April 2021. If the return on pension assets is 3.5% in real terms and contributions are made at the actuarially required rates (which reflect the long- term cost of the plan benefit), the Plan benefits will be funded over time.</w:t>
      </w:r>
    </w:p>
    <w:p>
      <w:pPr>
        <w:pStyle w:val="BodyText"/>
        <w:spacing w:line="249" w:lineRule="auto" w:before="129"/>
        <w:ind w:left="720" w:right="718"/>
        <w:jc w:val="both"/>
      </w:pPr>
      <w:r>
        <w:rPr/>
        <w:t>The assets of the Plans are diversified across a variety of asset classes, with the objective of achieving returns consistent with the LTRRO over the long term without taking undue risks. The returns on investments for the Plans</w:t>
      </w:r>
    </w:p>
    <w:p>
      <w:pPr>
        <w:pStyle w:val="BodyText"/>
        <w:spacing w:after="0" w:line="249" w:lineRule="auto"/>
        <w:jc w:val="both"/>
        <w:sectPr>
          <w:pgSz w:w="12240" w:h="15840"/>
          <w:pgMar w:header="744" w:footer="713" w:top="1020" w:bottom="900" w:left="720" w:right="720"/>
        </w:sectPr>
      </w:pPr>
    </w:p>
    <w:p>
      <w:pPr>
        <w:pStyle w:val="BodyText"/>
        <w:spacing w:before="127"/>
      </w:pPr>
    </w:p>
    <w:p>
      <w:pPr>
        <w:pStyle w:val="BodyText"/>
        <w:spacing w:line="249" w:lineRule="auto" w:before="1"/>
        <w:ind w:left="720" w:right="718"/>
        <w:jc w:val="both"/>
      </w:pPr>
      <w:r>
        <w:rPr/>
        <w:t>have met or exceeded the LTRRO on a consistent basis in the long term as well as in recent years. The PFC periodically reviews the LTRRO for realism and appropriateness. See Notes to Financial Statements, Note J:</w:t>
      </w:r>
      <w:r>
        <w:rPr>
          <w:spacing w:val="40"/>
        </w:rPr>
        <w:t> </w:t>
      </w:r>
      <w:r>
        <w:rPr/>
        <w:t>Pension and Other Post-Retirement Benefits for asset allocation, expected return on Plan assets and assumptions used to determine the PBO.</w:t>
      </w:r>
    </w:p>
    <w:p>
      <w:pPr>
        <w:pStyle w:val="Heading1"/>
        <w:spacing w:before="120"/>
      </w:pPr>
      <w:bookmarkStart w:name="Environmental, Social and Governance (ES" w:id="141"/>
      <w:bookmarkEnd w:id="141"/>
      <w:r>
        <w:rPr>
          <w:b w:val="0"/>
        </w:rPr>
      </w:r>
      <w:bookmarkStart w:name="_bookmark95" w:id="142"/>
      <w:bookmarkEnd w:id="142"/>
      <w:r>
        <w:rPr>
          <w:b w:val="0"/>
        </w:rPr>
      </w:r>
      <w:r>
        <w:rPr/>
        <w:t>Environmental,</w:t>
      </w:r>
      <w:r>
        <w:rPr>
          <w:spacing w:val="-5"/>
        </w:rPr>
        <w:t> </w:t>
      </w:r>
      <w:r>
        <w:rPr/>
        <w:t>Social</w:t>
      </w:r>
      <w:r>
        <w:rPr>
          <w:spacing w:val="-3"/>
        </w:rPr>
        <w:t> </w:t>
      </w:r>
      <w:r>
        <w:rPr/>
        <w:t>and</w:t>
      </w:r>
      <w:r>
        <w:rPr>
          <w:spacing w:val="-2"/>
        </w:rPr>
        <w:t> </w:t>
      </w:r>
      <w:r>
        <w:rPr/>
        <w:t>Governance</w:t>
      </w:r>
      <w:r>
        <w:rPr>
          <w:spacing w:val="-3"/>
        </w:rPr>
        <w:t> </w:t>
      </w:r>
      <w:r>
        <w:rPr/>
        <w:t>(ESG)</w:t>
      </w:r>
      <w:r>
        <w:rPr>
          <w:spacing w:val="-2"/>
        </w:rPr>
        <w:t> Policies</w:t>
      </w:r>
    </w:p>
    <w:p>
      <w:pPr>
        <w:pStyle w:val="BodyText"/>
        <w:spacing w:line="249" w:lineRule="auto" w:before="135"/>
        <w:ind w:left="720" w:right="717"/>
        <w:jc w:val="both"/>
      </w:pPr>
      <w:r>
        <w:rPr/>
        <w:t>The Plan has a long-standing ESG policy that reflects the latest developments in and understanding of responsible investments and ESG integration. The ESG policy is based on a principled and pragmatic approach in accordance with and subject to the fiduciary standard applicable to the administration and investment of Plan assets. The Plan’s ESG policy states that consideration of ESG factors, including but not limited to environmental practices, worker safety and health standards, and corporate governance, can add value to the investment process and enhance the assessment of the risk and return characteristics of investments.</w:t>
      </w:r>
    </w:p>
    <w:p>
      <w:pPr>
        <w:pStyle w:val="Heading1"/>
        <w:spacing w:before="122"/>
      </w:pPr>
      <w:bookmarkStart w:name="Projected Benefit Obligation" w:id="143"/>
      <w:bookmarkEnd w:id="143"/>
      <w:r>
        <w:rPr>
          <w:b w:val="0"/>
        </w:rPr>
      </w:r>
      <w:bookmarkStart w:name="_bookmark96" w:id="144"/>
      <w:bookmarkEnd w:id="144"/>
      <w:r>
        <w:rPr>
          <w:b w:val="0"/>
        </w:rPr>
      </w:r>
      <w:r>
        <w:rPr/>
        <w:t>Projected</w:t>
      </w:r>
      <w:r>
        <w:rPr>
          <w:spacing w:val="-4"/>
        </w:rPr>
        <w:t> </w:t>
      </w:r>
      <w:r>
        <w:rPr/>
        <w:t>Benefit</w:t>
      </w:r>
      <w:r>
        <w:rPr>
          <w:spacing w:val="-3"/>
        </w:rPr>
        <w:t> </w:t>
      </w:r>
      <w:r>
        <w:rPr>
          <w:spacing w:val="-2"/>
        </w:rPr>
        <w:t>Obligation</w:t>
      </w:r>
    </w:p>
    <w:p>
      <w:pPr>
        <w:pStyle w:val="BodyText"/>
        <w:spacing w:line="249" w:lineRule="auto" w:before="135"/>
        <w:ind w:left="720" w:right="718"/>
        <w:jc w:val="both"/>
      </w:pPr>
      <w:r>
        <w:rPr/>
        <w:t>Given that pension plan liabilities can be defined and measured in different ways, it is possible to have different funded status measures for the same plans.</w:t>
      </w:r>
      <w:r>
        <w:rPr>
          <w:spacing w:val="40"/>
        </w:rPr>
        <w:t> </w:t>
      </w:r>
      <w:r>
        <w:rPr/>
        <w:t>The most widely used and publicly disclosed measure of pension plan liabilities is the PBO measure required under U.S. GAAP. It reflects the present value of all retirement benefits earned by participants (adjusted for assumed inflation) as of a given date, including projected salary increases to retirement. Therefore, the PBO measure is an appropriate metric for assessing the ability of the Plans to cover expected</w:t>
      </w:r>
      <w:r>
        <w:rPr>
          <w:spacing w:val="-3"/>
        </w:rPr>
        <w:t> </w:t>
      </w:r>
      <w:r>
        <w:rPr/>
        <w:t>benefits</w:t>
      </w:r>
      <w:r>
        <w:rPr>
          <w:spacing w:val="-3"/>
        </w:rPr>
        <w:t> </w:t>
      </w:r>
      <w:r>
        <w:rPr/>
        <w:t>as</w:t>
      </w:r>
      <w:r>
        <w:rPr>
          <w:spacing w:val="-3"/>
        </w:rPr>
        <w:t> </w:t>
      </w:r>
      <w:r>
        <w:rPr/>
        <w:t>of</w:t>
      </w:r>
      <w:r>
        <w:rPr>
          <w:spacing w:val="-3"/>
        </w:rPr>
        <w:t> </w:t>
      </w:r>
      <w:r>
        <w:rPr/>
        <w:t>a</w:t>
      </w:r>
      <w:r>
        <w:rPr>
          <w:spacing w:val="-3"/>
        </w:rPr>
        <w:t> </w:t>
      </w:r>
      <w:r>
        <w:rPr/>
        <w:t>certain</w:t>
      </w:r>
      <w:r>
        <w:rPr>
          <w:spacing w:val="-3"/>
        </w:rPr>
        <w:t> </w:t>
      </w:r>
      <w:r>
        <w:rPr/>
        <w:t>date.</w:t>
      </w:r>
      <w:r>
        <w:rPr>
          <w:spacing w:val="-3"/>
        </w:rPr>
        <w:t> </w:t>
      </w:r>
      <w:r>
        <w:rPr/>
        <w:t>The</w:t>
      </w:r>
      <w:r>
        <w:rPr>
          <w:spacing w:val="-3"/>
        </w:rPr>
        <w:t> </w:t>
      </w:r>
      <w:r>
        <w:rPr/>
        <w:t>underlying</w:t>
      </w:r>
      <w:r>
        <w:rPr>
          <w:spacing w:val="-3"/>
        </w:rPr>
        <w:t> </w:t>
      </w:r>
      <w:r>
        <w:rPr/>
        <w:t>actuarial</w:t>
      </w:r>
      <w:r>
        <w:rPr>
          <w:spacing w:val="-3"/>
        </w:rPr>
        <w:t> </w:t>
      </w:r>
      <w:r>
        <w:rPr/>
        <w:t>assumptions</w:t>
      </w:r>
      <w:r>
        <w:rPr>
          <w:spacing w:val="-3"/>
        </w:rPr>
        <w:t> </w:t>
      </w:r>
      <w:r>
        <w:rPr/>
        <w:t>used</w:t>
      </w:r>
      <w:r>
        <w:rPr>
          <w:spacing w:val="-3"/>
        </w:rPr>
        <w:t> </w:t>
      </w:r>
      <w:r>
        <w:rPr/>
        <w:t>to</w:t>
      </w:r>
      <w:r>
        <w:rPr>
          <w:spacing w:val="-3"/>
        </w:rPr>
        <w:t> </w:t>
      </w:r>
      <w:r>
        <w:rPr/>
        <w:t>determine</w:t>
      </w:r>
      <w:r>
        <w:rPr>
          <w:spacing w:val="-3"/>
        </w:rPr>
        <w:t> </w:t>
      </w:r>
      <w:r>
        <w:rPr/>
        <w:t>the</w:t>
      </w:r>
      <w:r>
        <w:rPr>
          <w:spacing w:val="-3"/>
        </w:rPr>
        <w:t> </w:t>
      </w:r>
      <w:r>
        <w:rPr/>
        <w:t>PBO,</w:t>
      </w:r>
      <w:r>
        <w:rPr>
          <w:spacing w:val="-3"/>
        </w:rPr>
        <w:t> </w:t>
      </w:r>
      <w:r>
        <w:rPr/>
        <w:t>accumulated benefit obligations, and funded status associated with the Plans are based on financial market interest rates, experience, and Management's best estimate of future benefit changes, economic conditions and earnings from plan </w:t>
      </w:r>
      <w:r>
        <w:rPr>
          <w:spacing w:val="-2"/>
        </w:rPr>
        <w:t>assets.</w:t>
      </w:r>
    </w:p>
    <w:p>
      <w:pPr>
        <w:pStyle w:val="BodyText"/>
        <w:spacing w:before="4"/>
        <w:rPr>
          <w:sz w:val="1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0"/>
        <w:gridCol w:w="1395"/>
        <w:gridCol w:w="2790"/>
        <w:gridCol w:w="1395"/>
      </w:tblGrid>
      <w:tr>
        <w:trPr>
          <w:trHeight w:val="700" w:hRule="atLeast"/>
        </w:trPr>
        <w:tc>
          <w:tcPr>
            <w:tcW w:w="3780" w:type="dxa"/>
          </w:tcPr>
          <w:p>
            <w:pPr>
              <w:pStyle w:val="TableParagraph"/>
              <w:spacing w:line="201" w:lineRule="exact"/>
              <w:ind w:left="52"/>
              <w:rPr>
                <w:rFonts w:ascii="Arial"/>
                <w:b/>
                <w:sz w:val="18"/>
              </w:rPr>
            </w:pPr>
            <w:bookmarkStart w:name="_bookmark97" w:id="145"/>
            <w:bookmarkEnd w:id="145"/>
            <w:r>
              <w:rPr/>
            </w:r>
            <w:r>
              <w:rPr>
                <w:rFonts w:ascii="Arial"/>
                <w:b/>
                <w:sz w:val="18"/>
              </w:rPr>
              <w:t>Table</w:t>
            </w:r>
            <w:r>
              <w:rPr>
                <w:rFonts w:ascii="Arial"/>
                <w:b/>
                <w:spacing w:val="-1"/>
                <w:sz w:val="18"/>
              </w:rPr>
              <w:t> </w:t>
            </w:r>
            <w:r>
              <w:rPr>
                <w:rFonts w:ascii="Arial"/>
                <w:b/>
                <w:sz w:val="18"/>
              </w:rPr>
              <w:t>33:</w:t>
            </w:r>
            <w:r>
              <w:rPr>
                <w:rFonts w:ascii="Arial"/>
                <w:b/>
                <w:spacing w:val="-1"/>
                <w:sz w:val="18"/>
              </w:rPr>
              <w:t> </w:t>
            </w:r>
            <w:r>
              <w:rPr>
                <w:rFonts w:ascii="Arial"/>
                <w:b/>
                <w:sz w:val="18"/>
              </w:rPr>
              <w:t>Funded</w:t>
            </w:r>
            <w:r>
              <w:rPr>
                <w:rFonts w:ascii="Arial"/>
                <w:b/>
                <w:spacing w:val="-1"/>
                <w:sz w:val="18"/>
              </w:rPr>
              <w:t> </w:t>
            </w:r>
            <w:r>
              <w:rPr>
                <w:rFonts w:ascii="Arial"/>
                <w:b/>
                <w:sz w:val="18"/>
              </w:rPr>
              <w:t>Status</w:t>
            </w:r>
            <w:r>
              <w:rPr>
                <w:rFonts w:ascii="Arial"/>
                <w:b/>
                <w:spacing w:val="-1"/>
                <w:sz w:val="18"/>
              </w:rPr>
              <w:t> </w:t>
            </w:r>
            <w:r>
              <w:rPr>
                <w:rFonts w:ascii="Arial"/>
                <w:b/>
                <w:sz w:val="18"/>
              </w:rPr>
              <w:t>of</w:t>
            </w:r>
            <w:r>
              <w:rPr>
                <w:rFonts w:ascii="Arial"/>
                <w:b/>
                <w:spacing w:val="-1"/>
                <w:sz w:val="18"/>
              </w:rPr>
              <w:t> </w:t>
            </w:r>
            <w:r>
              <w:rPr>
                <w:rFonts w:ascii="Arial"/>
                <w:b/>
                <w:sz w:val="18"/>
              </w:rPr>
              <w:t>the </w:t>
            </w:r>
            <w:r>
              <w:rPr>
                <w:rFonts w:ascii="Arial"/>
                <w:b/>
                <w:spacing w:val="-4"/>
                <w:sz w:val="18"/>
              </w:rPr>
              <w:t>Plans</w:t>
            </w:r>
          </w:p>
          <w:p>
            <w:pPr>
              <w:pStyle w:val="TableParagraph"/>
              <w:spacing w:before="56"/>
              <w:ind w:left="52"/>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U.S.</w:t>
            </w:r>
            <w:r>
              <w:rPr>
                <w:rFonts w:ascii="Arial"/>
                <w:i/>
                <w:spacing w:val="-2"/>
                <w:sz w:val="16"/>
              </w:rPr>
              <w:t> dollars</w:t>
            </w:r>
          </w:p>
        </w:tc>
        <w:tc>
          <w:tcPr>
            <w:tcW w:w="1395" w:type="dxa"/>
            <w:tcBorders>
              <w:bottom w:val="single" w:sz="8" w:space="0" w:color="6C6C6C"/>
            </w:tcBorders>
          </w:tcPr>
          <w:p>
            <w:pPr>
              <w:pStyle w:val="TableParagraph"/>
              <w:rPr>
                <w:rFonts w:ascii="Times New Roman"/>
                <w:sz w:val="18"/>
              </w:rPr>
            </w:pPr>
          </w:p>
        </w:tc>
        <w:tc>
          <w:tcPr>
            <w:tcW w:w="2790" w:type="dxa"/>
            <w:tcBorders>
              <w:bottom w:val="single" w:sz="8" w:space="0" w:color="6C6C6C"/>
            </w:tcBorders>
          </w:tcPr>
          <w:p>
            <w:pPr>
              <w:pStyle w:val="TableParagraph"/>
              <w:rPr>
                <w:rFonts w:ascii="Times New Roman"/>
                <w:sz w:val="16"/>
              </w:rPr>
            </w:pPr>
          </w:p>
          <w:p>
            <w:pPr>
              <w:pStyle w:val="TableParagraph"/>
              <w:spacing w:before="129"/>
              <w:rPr>
                <w:rFonts w:ascii="Times New Roman"/>
                <w:sz w:val="16"/>
              </w:rPr>
            </w:pPr>
          </w:p>
          <w:p>
            <w:pPr>
              <w:pStyle w:val="TableParagraph"/>
              <w:spacing w:line="183" w:lineRule="exact"/>
              <w:ind w:left="684"/>
              <w:rPr>
                <w:rFonts w:ascii="Arial"/>
                <w:i/>
                <w:sz w:val="16"/>
              </w:rPr>
            </w:pPr>
            <w:r>
              <w:rPr>
                <w:rFonts w:ascii="Arial"/>
                <w:i/>
                <w:color w:val="A5A5A5"/>
                <w:sz w:val="16"/>
              </w:rPr>
              <w:t>As</w:t>
            </w:r>
            <w:r>
              <w:rPr>
                <w:rFonts w:ascii="Arial"/>
                <w:i/>
                <w:color w:val="A5A5A5"/>
                <w:spacing w:val="-2"/>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2"/>
                <w:sz w:val="16"/>
              </w:rPr>
              <w:t> </w:t>
            </w:r>
            <w:r>
              <w:rPr>
                <w:rFonts w:ascii="Arial"/>
                <w:i/>
                <w:color w:val="A5A5A5"/>
                <w:sz w:val="16"/>
              </w:rPr>
              <w:t>30,</w:t>
            </w:r>
            <w:r>
              <w:rPr>
                <w:rFonts w:ascii="Arial"/>
                <w:i/>
                <w:color w:val="A5A5A5"/>
                <w:spacing w:val="-1"/>
                <w:sz w:val="16"/>
              </w:rPr>
              <w:t> </w:t>
            </w:r>
            <w:r>
              <w:rPr>
                <w:rFonts w:ascii="Arial"/>
                <w:i/>
                <w:color w:val="A5A5A5"/>
                <w:spacing w:val="-4"/>
                <w:sz w:val="16"/>
              </w:rPr>
              <w:t>2023</w:t>
            </w:r>
          </w:p>
        </w:tc>
        <w:tc>
          <w:tcPr>
            <w:tcW w:w="1395" w:type="dxa"/>
            <w:tcBorders>
              <w:bottom w:val="single" w:sz="8" w:space="0" w:color="6C6C6C"/>
            </w:tcBorders>
          </w:tcPr>
          <w:p>
            <w:pPr>
              <w:pStyle w:val="TableParagraph"/>
              <w:rPr>
                <w:rFonts w:ascii="Times New Roman"/>
                <w:sz w:val="18"/>
              </w:rPr>
            </w:pPr>
          </w:p>
        </w:tc>
      </w:tr>
      <w:tr>
        <w:trPr>
          <w:trHeight w:val="220" w:hRule="atLeast"/>
        </w:trPr>
        <w:tc>
          <w:tcPr>
            <w:tcW w:w="3780" w:type="dxa"/>
            <w:tcBorders>
              <w:bottom w:val="single" w:sz="8" w:space="0" w:color="6C6C6C"/>
            </w:tcBorders>
          </w:tcPr>
          <w:p>
            <w:pPr>
              <w:pStyle w:val="TableParagraph"/>
              <w:rPr>
                <w:rFonts w:ascii="Times New Roman"/>
                <w:sz w:val="14"/>
              </w:rPr>
            </w:pPr>
          </w:p>
        </w:tc>
        <w:tc>
          <w:tcPr>
            <w:tcW w:w="1395" w:type="dxa"/>
            <w:tcBorders>
              <w:top w:val="single" w:sz="8" w:space="0" w:color="6C6C6C"/>
              <w:bottom w:val="single" w:sz="8" w:space="0" w:color="6C6C6C"/>
            </w:tcBorders>
          </w:tcPr>
          <w:p>
            <w:pPr>
              <w:pStyle w:val="TableParagraph"/>
              <w:spacing w:line="183" w:lineRule="exact" w:before="16"/>
              <w:ind w:right="50"/>
              <w:jc w:val="right"/>
              <w:rPr>
                <w:rFonts w:ascii="Arial"/>
                <w:i/>
                <w:sz w:val="16"/>
              </w:rPr>
            </w:pPr>
            <w:r>
              <w:rPr>
                <w:rFonts w:ascii="Arial"/>
                <w:i/>
                <w:color w:val="A5A5A5"/>
                <w:spacing w:val="-5"/>
                <w:sz w:val="16"/>
              </w:rPr>
              <w:t>SRP</w:t>
            </w:r>
          </w:p>
        </w:tc>
        <w:tc>
          <w:tcPr>
            <w:tcW w:w="2790" w:type="dxa"/>
            <w:tcBorders>
              <w:top w:val="single" w:sz="8" w:space="0" w:color="6C6C6C"/>
              <w:bottom w:val="single" w:sz="8" w:space="0" w:color="6C6C6C"/>
            </w:tcBorders>
          </w:tcPr>
          <w:p>
            <w:pPr>
              <w:pStyle w:val="TableParagraph"/>
              <w:tabs>
                <w:tab w:pos="1403" w:val="left" w:leader="none"/>
              </w:tabs>
              <w:spacing w:line="183" w:lineRule="exact" w:before="16"/>
              <w:ind w:right="50"/>
              <w:jc w:val="right"/>
              <w:rPr>
                <w:rFonts w:ascii="Arial"/>
                <w:i/>
                <w:sz w:val="16"/>
              </w:rPr>
            </w:pPr>
            <w:r>
              <w:rPr>
                <w:rFonts w:ascii="Arial"/>
                <w:i/>
                <w:color w:val="A5A5A5"/>
                <w:spacing w:val="-4"/>
                <w:sz w:val="16"/>
              </w:rPr>
              <w:t>RSBP</w:t>
            </w:r>
            <w:r>
              <w:rPr>
                <w:rFonts w:ascii="Arial"/>
                <w:i/>
                <w:color w:val="A5A5A5"/>
                <w:sz w:val="16"/>
              </w:rPr>
              <w:tab/>
            </w:r>
            <w:r>
              <w:rPr>
                <w:rFonts w:ascii="Arial"/>
                <w:i/>
                <w:color w:val="A5A5A5"/>
                <w:spacing w:val="-4"/>
                <w:sz w:val="16"/>
              </w:rPr>
              <w:t>PEBP</w:t>
            </w:r>
          </w:p>
        </w:tc>
        <w:tc>
          <w:tcPr>
            <w:tcW w:w="1395" w:type="dxa"/>
            <w:tcBorders>
              <w:top w:val="single" w:sz="8" w:space="0" w:color="6C6C6C"/>
              <w:bottom w:val="single" w:sz="8" w:space="0" w:color="6C6C6C"/>
            </w:tcBorders>
          </w:tcPr>
          <w:p>
            <w:pPr>
              <w:pStyle w:val="TableParagraph"/>
              <w:spacing w:line="183" w:lineRule="exact" w:before="16"/>
              <w:ind w:right="50"/>
              <w:jc w:val="right"/>
              <w:rPr>
                <w:rFonts w:ascii="Arial"/>
                <w:i/>
                <w:sz w:val="16"/>
              </w:rPr>
            </w:pPr>
            <w:r>
              <w:rPr>
                <w:rFonts w:ascii="Arial"/>
                <w:i/>
                <w:color w:val="A5A5A5"/>
                <w:spacing w:val="-2"/>
                <w:sz w:val="16"/>
              </w:rPr>
              <w:t>Total</w:t>
            </w:r>
          </w:p>
        </w:tc>
      </w:tr>
      <w:tr>
        <w:trPr>
          <w:trHeight w:val="230" w:hRule="atLeast"/>
        </w:trPr>
        <w:tc>
          <w:tcPr>
            <w:tcW w:w="3780" w:type="dxa"/>
            <w:tcBorders>
              <w:top w:val="single" w:sz="8" w:space="0" w:color="6C6C6C"/>
            </w:tcBorders>
          </w:tcPr>
          <w:p>
            <w:pPr>
              <w:pStyle w:val="TableParagraph"/>
              <w:spacing w:before="16"/>
              <w:ind w:left="108"/>
              <w:rPr>
                <w:sz w:val="16"/>
              </w:rPr>
            </w:pPr>
            <w:r>
              <w:rPr>
                <w:spacing w:val="-5"/>
                <w:sz w:val="16"/>
              </w:rPr>
              <w:t>PBO</w:t>
            </w:r>
          </w:p>
        </w:tc>
        <w:tc>
          <w:tcPr>
            <w:tcW w:w="1395" w:type="dxa"/>
            <w:tcBorders>
              <w:top w:val="single" w:sz="8" w:space="0" w:color="6C6C6C"/>
            </w:tcBorders>
          </w:tcPr>
          <w:p>
            <w:pPr>
              <w:pStyle w:val="TableParagraph"/>
              <w:tabs>
                <w:tab w:pos="677" w:val="left" w:leader="none"/>
              </w:tabs>
              <w:spacing w:before="16"/>
              <w:ind w:right="68"/>
              <w:jc w:val="right"/>
              <w:rPr>
                <w:sz w:val="16"/>
              </w:rPr>
            </w:pPr>
            <w:r>
              <w:rPr>
                <w:spacing w:val="-10"/>
                <w:sz w:val="16"/>
              </w:rPr>
              <w:t>$</w:t>
            </w:r>
            <w:r>
              <w:rPr>
                <w:sz w:val="16"/>
              </w:rPr>
              <w:tab/>
            </w:r>
            <w:r>
              <w:rPr>
                <w:spacing w:val="-2"/>
                <w:sz w:val="16"/>
              </w:rPr>
              <w:t>(21,208)</w:t>
            </w:r>
          </w:p>
        </w:tc>
        <w:tc>
          <w:tcPr>
            <w:tcW w:w="2790" w:type="dxa"/>
            <w:tcBorders>
              <w:top w:val="single" w:sz="8" w:space="0" w:color="6C6C6C"/>
            </w:tcBorders>
          </w:tcPr>
          <w:p>
            <w:pPr>
              <w:pStyle w:val="TableParagraph"/>
              <w:tabs>
                <w:tab w:pos="765" w:val="left" w:leader="none"/>
                <w:tab w:pos="2160" w:val="left" w:leader="none"/>
              </w:tabs>
              <w:spacing w:before="16"/>
              <w:ind w:right="68"/>
              <w:jc w:val="right"/>
              <w:rPr>
                <w:sz w:val="16"/>
              </w:rPr>
            </w:pPr>
            <w:r>
              <w:rPr>
                <w:spacing w:val="-10"/>
                <w:sz w:val="16"/>
              </w:rPr>
              <w:t>$</w:t>
            </w:r>
            <w:r>
              <w:rPr>
                <w:sz w:val="16"/>
              </w:rPr>
              <w:tab/>
              <w:t>(3,341)</w:t>
            </w:r>
            <w:r>
              <w:rPr>
                <w:spacing w:val="73"/>
                <w:sz w:val="16"/>
              </w:rPr>
              <w:t> </w:t>
            </w:r>
            <w:r>
              <w:rPr>
                <w:spacing w:val="-10"/>
                <w:sz w:val="16"/>
              </w:rPr>
              <w:t>$</w:t>
            </w:r>
            <w:r>
              <w:rPr>
                <w:sz w:val="16"/>
              </w:rPr>
              <w:tab/>
            </w:r>
            <w:r>
              <w:rPr>
                <w:spacing w:val="-2"/>
                <w:sz w:val="16"/>
              </w:rPr>
              <w:t>(2,057)</w:t>
            </w:r>
          </w:p>
        </w:tc>
        <w:tc>
          <w:tcPr>
            <w:tcW w:w="1395" w:type="dxa"/>
            <w:tcBorders>
              <w:top w:val="single" w:sz="8" w:space="0" w:color="6C6C6C"/>
            </w:tcBorders>
          </w:tcPr>
          <w:p>
            <w:pPr>
              <w:pStyle w:val="TableParagraph"/>
              <w:tabs>
                <w:tab w:pos="677" w:val="left" w:leader="none"/>
              </w:tabs>
              <w:spacing w:before="16"/>
              <w:ind w:right="68"/>
              <w:jc w:val="right"/>
              <w:rPr>
                <w:sz w:val="16"/>
              </w:rPr>
            </w:pPr>
            <w:r>
              <w:rPr>
                <w:spacing w:val="-10"/>
                <w:sz w:val="16"/>
              </w:rPr>
              <w:t>$</w:t>
            </w:r>
            <w:r>
              <w:rPr>
                <w:sz w:val="16"/>
              </w:rPr>
              <w:tab/>
            </w:r>
            <w:r>
              <w:rPr>
                <w:spacing w:val="-2"/>
                <w:sz w:val="16"/>
              </w:rPr>
              <w:t>(26,606)</w:t>
            </w:r>
          </w:p>
        </w:tc>
      </w:tr>
      <w:tr>
        <w:trPr>
          <w:trHeight w:val="229" w:hRule="atLeast"/>
        </w:trPr>
        <w:tc>
          <w:tcPr>
            <w:tcW w:w="3780" w:type="dxa"/>
          </w:tcPr>
          <w:p>
            <w:pPr>
              <w:pStyle w:val="TableParagraph"/>
              <w:spacing w:line="184" w:lineRule="exact" w:before="25"/>
              <w:ind w:left="108"/>
              <w:rPr>
                <w:sz w:val="16"/>
              </w:rPr>
            </w:pPr>
            <w:r>
              <w:rPr>
                <w:sz w:val="16"/>
              </w:rPr>
              <w:t>Plan</w:t>
            </w:r>
            <w:r>
              <w:rPr>
                <w:spacing w:val="-3"/>
                <w:sz w:val="16"/>
              </w:rPr>
              <w:t> </w:t>
            </w:r>
            <w:r>
              <w:rPr>
                <w:spacing w:val="-2"/>
                <w:sz w:val="16"/>
              </w:rPr>
              <w:t>assets</w:t>
            </w:r>
          </w:p>
        </w:tc>
        <w:tc>
          <w:tcPr>
            <w:tcW w:w="1395" w:type="dxa"/>
            <w:tcBorders>
              <w:bottom w:val="single" w:sz="8" w:space="0" w:color="6C6C6C"/>
            </w:tcBorders>
          </w:tcPr>
          <w:p>
            <w:pPr>
              <w:pStyle w:val="TableParagraph"/>
              <w:tabs>
                <w:tab w:pos="783" w:val="left" w:leader="none"/>
              </w:tabs>
              <w:spacing w:line="184" w:lineRule="exact" w:before="25"/>
              <w:ind w:right="68"/>
              <w:jc w:val="right"/>
              <w:rPr>
                <w:sz w:val="16"/>
              </w:rPr>
            </w:pPr>
            <w:r>
              <w:rPr>
                <w:spacing w:val="-10"/>
                <w:sz w:val="16"/>
              </w:rPr>
              <w:t>$</w:t>
            </w:r>
            <w:r>
              <w:rPr>
                <w:sz w:val="16"/>
              </w:rPr>
              <w:tab/>
            </w:r>
            <w:r>
              <w:rPr>
                <w:spacing w:val="-2"/>
                <w:sz w:val="16"/>
              </w:rPr>
              <w:t>24,565</w:t>
            </w:r>
          </w:p>
        </w:tc>
        <w:tc>
          <w:tcPr>
            <w:tcW w:w="2790" w:type="dxa"/>
            <w:tcBorders>
              <w:bottom w:val="single" w:sz="8" w:space="0" w:color="6C6C6C"/>
            </w:tcBorders>
          </w:tcPr>
          <w:p>
            <w:pPr>
              <w:pStyle w:val="TableParagraph"/>
              <w:tabs>
                <w:tab w:pos="872" w:val="left" w:leader="none"/>
                <w:tab w:pos="2267" w:val="left" w:leader="none"/>
              </w:tabs>
              <w:spacing w:line="184" w:lineRule="exact" w:before="25"/>
              <w:ind w:right="68"/>
              <w:jc w:val="right"/>
              <w:rPr>
                <w:sz w:val="16"/>
              </w:rPr>
            </w:pPr>
            <w:r>
              <w:rPr>
                <w:spacing w:val="-10"/>
                <w:sz w:val="16"/>
              </w:rPr>
              <w:t>$</w:t>
            </w:r>
            <w:r>
              <w:rPr>
                <w:sz w:val="16"/>
              </w:rPr>
              <w:tab/>
              <w:t>4,281</w:t>
            </w:r>
            <w:r>
              <w:rPr>
                <w:spacing w:val="72"/>
                <w:sz w:val="16"/>
              </w:rPr>
              <w:t> </w:t>
            </w:r>
            <w:r>
              <w:rPr>
                <w:spacing w:val="-10"/>
                <w:sz w:val="16"/>
              </w:rPr>
              <w:t>$</w:t>
            </w:r>
            <w:r>
              <w:rPr>
                <w:sz w:val="16"/>
              </w:rPr>
              <w:tab/>
            </w:r>
            <w:r>
              <w:rPr>
                <w:spacing w:val="-4"/>
                <w:sz w:val="16"/>
              </w:rPr>
              <w:t>1,953</w:t>
            </w:r>
          </w:p>
        </w:tc>
        <w:tc>
          <w:tcPr>
            <w:tcW w:w="1395" w:type="dxa"/>
            <w:tcBorders>
              <w:bottom w:val="single" w:sz="8" w:space="0" w:color="6C6C6C"/>
            </w:tcBorders>
          </w:tcPr>
          <w:p>
            <w:pPr>
              <w:pStyle w:val="TableParagraph"/>
              <w:tabs>
                <w:tab w:pos="783" w:val="left" w:leader="none"/>
              </w:tabs>
              <w:spacing w:line="184" w:lineRule="exact" w:before="25"/>
              <w:ind w:right="68"/>
              <w:jc w:val="right"/>
              <w:rPr>
                <w:sz w:val="16"/>
              </w:rPr>
            </w:pPr>
            <w:r>
              <w:rPr>
                <w:spacing w:val="-10"/>
                <w:sz w:val="16"/>
              </w:rPr>
              <w:t>$</w:t>
            </w:r>
            <w:r>
              <w:rPr>
                <w:sz w:val="16"/>
              </w:rPr>
              <w:tab/>
            </w:r>
            <w:r>
              <w:rPr>
                <w:spacing w:val="-2"/>
                <w:sz w:val="16"/>
              </w:rPr>
              <w:t>30,799</w:t>
            </w:r>
          </w:p>
        </w:tc>
      </w:tr>
      <w:tr>
        <w:trPr>
          <w:trHeight w:val="460" w:hRule="atLeast"/>
        </w:trPr>
        <w:tc>
          <w:tcPr>
            <w:tcW w:w="3780" w:type="dxa"/>
            <w:tcBorders>
              <w:bottom w:val="single" w:sz="8" w:space="0" w:color="6C6C6C"/>
            </w:tcBorders>
          </w:tcPr>
          <w:p>
            <w:pPr>
              <w:pStyle w:val="TableParagraph"/>
              <w:spacing w:before="16"/>
              <w:ind w:left="322"/>
              <w:rPr>
                <w:sz w:val="16"/>
              </w:rPr>
            </w:pPr>
            <w:r>
              <w:rPr>
                <w:sz w:val="16"/>
              </w:rPr>
              <w:t>Net</w:t>
            </w:r>
            <w:r>
              <w:rPr>
                <w:spacing w:val="-4"/>
                <w:sz w:val="16"/>
              </w:rPr>
              <w:t> </w:t>
            </w:r>
            <w:r>
              <w:rPr>
                <w:spacing w:val="-2"/>
                <w:sz w:val="16"/>
              </w:rPr>
              <w:t>position</w:t>
            </w:r>
          </w:p>
        </w:tc>
        <w:tc>
          <w:tcPr>
            <w:tcW w:w="1395" w:type="dxa"/>
            <w:tcBorders>
              <w:top w:val="single" w:sz="8" w:space="0" w:color="6C6C6C"/>
              <w:bottom w:val="single" w:sz="8" w:space="0" w:color="6C6C6C"/>
            </w:tcBorders>
          </w:tcPr>
          <w:p>
            <w:pPr>
              <w:pStyle w:val="TableParagraph"/>
              <w:tabs>
                <w:tab w:pos="872" w:val="left" w:leader="none"/>
              </w:tabs>
              <w:spacing w:before="16"/>
              <w:ind w:right="68"/>
              <w:jc w:val="right"/>
              <w:rPr>
                <w:sz w:val="16"/>
              </w:rPr>
            </w:pPr>
            <w:r>
              <w:rPr>
                <w:spacing w:val="-10"/>
                <w:sz w:val="16"/>
              </w:rPr>
              <w:t>$</w:t>
            </w:r>
            <w:r>
              <w:rPr>
                <w:sz w:val="16"/>
              </w:rPr>
              <w:tab/>
            </w:r>
            <w:r>
              <w:rPr>
                <w:spacing w:val="-2"/>
                <w:sz w:val="16"/>
              </w:rPr>
              <w:t>3,357</w:t>
            </w:r>
          </w:p>
        </w:tc>
        <w:tc>
          <w:tcPr>
            <w:tcW w:w="2790" w:type="dxa"/>
            <w:tcBorders>
              <w:top w:val="single" w:sz="8" w:space="0" w:color="6C6C6C"/>
              <w:bottom w:val="single" w:sz="8" w:space="0" w:color="6C6C6C"/>
            </w:tcBorders>
          </w:tcPr>
          <w:p>
            <w:pPr>
              <w:pStyle w:val="TableParagraph"/>
              <w:tabs>
                <w:tab w:pos="1005" w:val="left" w:leader="none"/>
                <w:tab w:pos="2294" w:val="left" w:leader="none"/>
              </w:tabs>
              <w:spacing w:before="16"/>
              <w:ind w:right="68"/>
              <w:jc w:val="right"/>
              <w:rPr>
                <w:sz w:val="16"/>
              </w:rPr>
            </w:pPr>
            <w:r>
              <w:rPr>
                <w:spacing w:val="-10"/>
                <w:sz w:val="16"/>
              </w:rPr>
              <w:t>$</w:t>
            </w:r>
            <w:r>
              <w:rPr>
                <w:sz w:val="16"/>
              </w:rPr>
              <w:tab/>
              <w:t>940</w:t>
            </w:r>
            <w:r>
              <w:rPr>
                <w:spacing w:val="75"/>
                <w:sz w:val="16"/>
              </w:rPr>
              <w:t> </w:t>
            </w:r>
            <w:r>
              <w:rPr>
                <w:spacing w:val="-10"/>
                <w:sz w:val="16"/>
              </w:rPr>
              <w:t>$</w:t>
            </w:r>
            <w:r>
              <w:rPr>
                <w:sz w:val="16"/>
              </w:rPr>
              <w:tab/>
            </w:r>
            <w:r>
              <w:rPr>
                <w:spacing w:val="-4"/>
                <w:sz w:val="16"/>
              </w:rPr>
              <w:t>(104)</w:t>
            </w:r>
          </w:p>
        </w:tc>
        <w:tc>
          <w:tcPr>
            <w:tcW w:w="1395" w:type="dxa"/>
            <w:tcBorders>
              <w:top w:val="single" w:sz="8" w:space="0" w:color="6C6C6C"/>
              <w:bottom w:val="single" w:sz="8" w:space="0" w:color="6C6C6C"/>
            </w:tcBorders>
          </w:tcPr>
          <w:p>
            <w:pPr>
              <w:pStyle w:val="TableParagraph"/>
              <w:tabs>
                <w:tab w:pos="872" w:val="left" w:leader="none"/>
              </w:tabs>
              <w:spacing w:before="16"/>
              <w:ind w:right="68"/>
              <w:jc w:val="right"/>
              <w:rPr>
                <w:sz w:val="16"/>
              </w:rPr>
            </w:pPr>
            <w:r>
              <w:rPr>
                <w:spacing w:val="-10"/>
                <w:sz w:val="16"/>
              </w:rPr>
              <w:t>$</w:t>
            </w:r>
            <w:r>
              <w:rPr>
                <w:sz w:val="16"/>
              </w:rPr>
              <w:tab/>
            </w:r>
            <w:r>
              <w:rPr>
                <w:spacing w:val="-2"/>
                <w:sz w:val="16"/>
              </w:rPr>
              <w:t>4,193</w:t>
            </w:r>
          </w:p>
        </w:tc>
      </w:tr>
      <w:tr>
        <w:trPr>
          <w:trHeight w:val="220" w:hRule="atLeast"/>
        </w:trPr>
        <w:tc>
          <w:tcPr>
            <w:tcW w:w="3780" w:type="dxa"/>
            <w:tcBorders>
              <w:top w:val="single" w:sz="8" w:space="0" w:color="6C6C6C"/>
              <w:bottom w:val="single" w:sz="8" w:space="0" w:color="6C6C6C"/>
            </w:tcBorders>
          </w:tcPr>
          <w:p>
            <w:pPr>
              <w:pStyle w:val="TableParagraph"/>
              <w:spacing w:line="184" w:lineRule="exact" w:before="16"/>
              <w:ind w:left="108"/>
              <w:rPr>
                <w:sz w:val="16"/>
              </w:rPr>
            </w:pPr>
            <w:r>
              <w:rPr>
                <w:sz w:val="16"/>
              </w:rPr>
              <w:t>IBRD's</w:t>
            </w:r>
            <w:r>
              <w:rPr>
                <w:spacing w:val="-4"/>
                <w:sz w:val="16"/>
              </w:rPr>
              <w:t> </w:t>
            </w:r>
            <w:r>
              <w:rPr>
                <w:sz w:val="16"/>
              </w:rPr>
              <w:t>funded</w:t>
            </w:r>
            <w:r>
              <w:rPr>
                <w:spacing w:val="-4"/>
                <w:sz w:val="16"/>
              </w:rPr>
              <w:t> </w:t>
            </w:r>
            <w:r>
              <w:rPr>
                <w:spacing w:val="-2"/>
                <w:sz w:val="16"/>
              </w:rPr>
              <w:t>status</w:t>
            </w:r>
          </w:p>
        </w:tc>
        <w:tc>
          <w:tcPr>
            <w:tcW w:w="1395" w:type="dxa"/>
            <w:tcBorders>
              <w:top w:val="single" w:sz="8" w:space="0" w:color="6C6C6C"/>
              <w:bottom w:val="single" w:sz="8" w:space="0" w:color="6C6C6C"/>
            </w:tcBorders>
          </w:tcPr>
          <w:p>
            <w:pPr>
              <w:pStyle w:val="TableParagraph"/>
              <w:rPr>
                <w:rFonts w:ascii="Times New Roman"/>
                <w:sz w:val="14"/>
              </w:rPr>
            </w:pPr>
          </w:p>
        </w:tc>
        <w:tc>
          <w:tcPr>
            <w:tcW w:w="2790" w:type="dxa"/>
            <w:tcBorders>
              <w:top w:val="single" w:sz="8" w:space="0" w:color="6C6C6C"/>
              <w:bottom w:val="single" w:sz="8" w:space="0" w:color="6C6C6C"/>
            </w:tcBorders>
          </w:tcPr>
          <w:p>
            <w:pPr>
              <w:pStyle w:val="TableParagraph"/>
              <w:rPr>
                <w:rFonts w:ascii="Times New Roman"/>
                <w:sz w:val="14"/>
              </w:rPr>
            </w:pPr>
          </w:p>
        </w:tc>
        <w:tc>
          <w:tcPr>
            <w:tcW w:w="1395" w:type="dxa"/>
            <w:tcBorders>
              <w:top w:val="single" w:sz="8" w:space="0" w:color="6C6C6C"/>
              <w:bottom w:val="single" w:sz="8" w:space="0" w:color="6C6C6C"/>
            </w:tcBorders>
          </w:tcPr>
          <w:p>
            <w:pPr>
              <w:pStyle w:val="TableParagraph"/>
              <w:spacing w:line="184" w:lineRule="exact" w:before="16"/>
              <w:ind w:right="68"/>
              <w:jc w:val="right"/>
              <w:rPr>
                <w:sz w:val="16"/>
              </w:rPr>
            </w:pPr>
            <w:r>
              <w:rPr>
                <w:spacing w:val="-2"/>
                <w:sz w:val="16"/>
              </w:rPr>
              <w:t>1,980</w:t>
            </w:r>
          </w:p>
        </w:tc>
      </w:tr>
      <w:tr>
        <w:trPr>
          <w:trHeight w:val="460" w:hRule="atLeast"/>
        </w:trPr>
        <w:tc>
          <w:tcPr>
            <w:tcW w:w="3780" w:type="dxa"/>
            <w:tcBorders>
              <w:top w:val="single" w:sz="8" w:space="0" w:color="6C6C6C"/>
            </w:tcBorders>
          </w:tcPr>
          <w:p>
            <w:pPr>
              <w:pStyle w:val="TableParagraph"/>
              <w:rPr>
                <w:rFonts w:ascii="Times New Roman"/>
                <w:sz w:val="18"/>
              </w:rPr>
            </w:pPr>
          </w:p>
        </w:tc>
        <w:tc>
          <w:tcPr>
            <w:tcW w:w="1395" w:type="dxa"/>
            <w:tcBorders>
              <w:top w:val="single" w:sz="8" w:space="0" w:color="6C6C6C"/>
              <w:bottom w:val="single" w:sz="8" w:space="0" w:color="6C6C6C"/>
            </w:tcBorders>
          </w:tcPr>
          <w:p>
            <w:pPr>
              <w:pStyle w:val="TableParagraph"/>
              <w:rPr>
                <w:rFonts w:ascii="Times New Roman"/>
                <w:sz w:val="18"/>
              </w:rPr>
            </w:pPr>
          </w:p>
        </w:tc>
        <w:tc>
          <w:tcPr>
            <w:tcW w:w="2790" w:type="dxa"/>
            <w:tcBorders>
              <w:top w:val="single" w:sz="8" w:space="0" w:color="6C6C6C"/>
              <w:bottom w:val="single" w:sz="8" w:space="0" w:color="6C6C6C"/>
            </w:tcBorders>
          </w:tcPr>
          <w:p>
            <w:pPr>
              <w:pStyle w:val="TableParagraph"/>
              <w:spacing w:before="72"/>
              <w:rPr>
                <w:rFonts w:ascii="Times New Roman"/>
                <w:sz w:val="16"/>
              </w:rPr>
            </w:pPr>
          </w:p>
          <w:p>
            <w:pPr>
              <w:pStyle w:val="TableParagraph"/>
              <w:spacing w:line="183" w:lineRule="exact"/>
              <w:ind w:left="684"/>
              <w:rPr>
                <w:rFonts w:ascii="Arial"/>
                <w:i/>
                <w:sz w:val="16"/>
              </w:rPr>
            </w:pPr>
            <w:r>
              <w:rPr>
                <w:rFonts w:ascii="Arial"/>
                <w:i/>
                <w:color w:val="A5A5A5"/>
                <w:sz w:val="16"/>
              </w:rPr>
              <w:t>As</w:t>
            </w:r>
            <w:r>
              <w:rPr>
                <w:rFonts w:ascii="Arial"/>
                <w:i/>
                <w:color w:val="A5A5A5"/>
                <w:spacing w:val="-2"/>
                <w:sz w:val="16"/>
              </w:rPr>
              <w:t> </w:t>
            </w:r>
            <w:r>
              <w:rPr>
                <w:rFonts w:ascii="Arial"/>
                <w:i/>
                <w:color w:val="A5A5A5"/>
                <w:sz w:val="16"/>
              </w:rPr>
              <w:t>of</w:t>
            </w:r>
            <w:r>
              <w:rPr>
                <w:rFonts w:ascii="Arial"/>
                <w:i/>
                <w:color w:val="A5A5A5"/>
                <w:spacing w:val="-2"/>
                <w:sz w:val="16"/>
              </w:rPr>
              <w:t> </w:t>
            </w:r>
            <w:r>
              <w:rPr>
                <w:rFonts w:ascii="Arial"/>
                <w:i/>
                <w:color w:val="A5A5A5"/>
                <w:sz w:val="16"/>
              </w:rPr>
              <w:t>June</w:t>
            </w:r>
            <w:r>
              <w:rPr>
                <w:rFonts w:ascii="Arial"/>
                <w:i/>
                <w:color w:val="A5A5A5"/>
                <w:spacing w:val="-2"/>
                <w:sz w:val="16"/>
              </w:rPr>
              <w:t> </w:t>
            </w:r>
            <w:r>
              <w:rPr>
                <w:rFonts w:ascii="Arial"/>
                <w:i/>
                <w:color w:val="A5A5A5"/>
                <w:sz w:val="16"/>
              </w:rPr>
              <w:t>30,</w:t>
            </w:r>
            <w:r>
              <w:rPr>
                <w:rFonts w:ascii="Arial"/>
                <w:i/>
                <w:color w:val="A5A5A5"/>
                <w:spacing w:val="-1"/>
                <w:sz w:val="16"/>
              </w:rPr>
              <w:t> </w:t>
            </w:r>
            <w:r>
              <w:rPr>
                <w:rFonts w:ascii="Arial"/>
                <w:i/>
                <w:color w:val="A5A5A5"/>
                <w:spacing w:val="-4"/>
                <w:sz w:val="16"/>
              </w:rPr>
              <w:t>2022</w:t>
            </w:r>
          </w:p>
        </w:tc>
        <w:tc>
          <w:tcPr>
            <w:tcW w:w="1395" w:type="dxa"/>
            <w:tcBorders>
              <w:top w:val="single" w:sz="8" w:space="0" w:color="6C6C6C"/>
              <w:bottom w:val="single" w:sz="8" w:space="0" w:color="6C6C6C"/>
            </w:tcBorders>
          </w:tcPr>
          <w:p>
            <w:pPr>
              <w:pStyle w:val="TableParagraph"/>
              <w:rPr>
                <w:rFonts w:ascii="Times New Roman"/>
                <w:sz w:val="18"/>
              </w:rPr>
            </w:pPr>
          </w:p>
        </w:tc>
      </w:tr>
      <w:tr>
        <w:trPr>
          <w:trHeight w:val="220" w:hRule="atLeast"/>
        </w:trPr>
        <w:tc>
          <w:tcPr>
            <w:tcW w:w="3780" w:type="dxa"/>
            <w:tcBorders>
              <w:bottom w:val="single" w:sz="8" w:space="0" w:color="6C6C6C"/>
            </w:tcBorders>
          </w:tcPr>
          <w:p>
            <w:pPr>
              <w:pStyle w:val="TableParagraph"/>
              <w:rPr>
                <w:rFonts w:ascii="Times New Roman"/>
                <w:sz w:val="14"/>
              </w:rPr>
            </w:pPr>
          </w:p>
        </w:tc>
        <w:tc>
          <w:tcPr>
            <w:tcW w:w="1395" w:type="dxa"/>
            <w:tcBorders>
              <w:top w:val="single" w:sz="8" w:space="0" w:color="6C6C6C"/>
              <w:bottom w:val="single" w:sz="8" w:space="0" w:color="6C6C6C"/>
            </w:tcBorders>
          </w:tcPr>
          <w:p>
            <w:pPr>
              <w:pStyle w:val="TableParagraph"/>
              <w:spacing w:line="183" w:lineRule="exact" w:before="16"/>
              <w:ind w:right="50"/>
              <w:jc w:val="right"/>
              <w:rPr>
                <w:rFonts w:ascii="Arial"/>
                <w:i/>
                <w:sz w:val="16"/>
              </w:rPr>
            </w:pPr>
            <w:r>
              <w:rPr>
                <w:rFonts w:ascii="Arial"/>
                <w:i/>
                <w:color w:val="A5A5A5"/>
                <w:spacing w:val="-5"/>
                <w:sz w:val="16"/>
              </w:rPr>
              <w:t>SRP</w:t>
            </w:r>
          </w:p>
        </w:tc>
        <w:tc>
          <w:tcPr>
            <w:tcW w:w="2790" w:type="dxa"/>
            <w:tcBorders>
              <w:top w:val="single" w:sz="8" w:space="0" w:color="6C6C6C"/>
              <w:bottom w:val="single" w:sz="8" w:space="0" w:color="6C6C6C"/>
            </w:tcBorders>
          </w:tcPr>
          <w:p>
            <w:pPr>
              <w:pStyle w:val="TableParagraph"/>
              <w:tabs>
                <w:tab w:pos="1403" w:val="left" w:leader="none"/>
              </w:tabs>
              <w:spacing w:line="183" w:lineRule="exact" w:before="16"/>
              <w:ind w:right="50"/>
              <w:jc w:val="right"/>
              <w:rPr>
                <w:rFonts w:ascii="Arial"/>
                <w:i/>
                <w:sz w:val="16"/>
              </w:rPr>
            </w:pPr>
            <w:r>
              <w:rPr>
                <w:rFonts w:ascii="Arial"/>
                <w:i/>
                <w:color w:val="A5A5A5"/>
                <w:spacing w:val="-4"/>
                <w:sz w:val="16"/>
              </w:rPr>
              <w:t>RSBP</w:t>
            </w:r>
            <w:r>
              <w:rPr>
                <w:rFonts w:ascii="Arial"/>
                <w:i/>
                <w:color w:val="A5A5A5"/>
                <w:sz w:val="16"/>
              </w:rPr>
              <w:tab/>
            </w:r>
            <w:r>
              <w:rPr>
                <w:rFonts w:ascii="Arial"/>
                <w:i/>
                <w:color w:val="A5A5A5"/>
                <w:spacing w:val="-4"/>
                <w:sz w:val="16"/>
              </w:rPr>
              <w:t>PEBP</w:t>
            </w:r>
          </w:p>
        </w:tc>
        <w:tc>
          <w:tcPr>
            <w:tcW w:w="1395" w:type="dxa"/>
            <w:tcBorders>
              <w:top w:val="single" w:sz="8" w:space="0" w:color="6C6C6C"/>
              <w:bottom w:val="single" w:sz="8" w:space="0" w:color="6C6C6C"/>
            </w:tcBorders>
          </w:tcPr>
          <w:p>
            <w:pPr>
              <w:pStyle w:val="TableParagraph"/>
              <w:spacing w:line="183" w:lineRule="exact" w:before="16"/>
              <w:ind w:right="50"/>
              <w:jc w:val="right"/>
              <w:rPr>
                <w:rFonts w:ascii="Arial"/>
                <w:i/>
                <w:sz w:val="16"/>
              </w:rPr>
            </w:pPr>
            <w:r>
              <w:rPr>
                <w:rFonts w:ascii="Arial"/>
                <w:i/>
                <w:color w:val="A5A5A5"/>
                <w:spacing w:val="-2"/>
                <w:sz w:val="16"/>
              </w:rPr>
              <w:t>Total</w:t>
            </w:r>
          </w:p>
        </w:tc>
      </w:tr>
      <w:tr>
        <w:trPr>
          <w:trHeight w:val="230" w:hRule="atLeast"/>
        </w:trPr>
        <w:tc>
          <w:tcPr>
            <w:tcW w:w="3780" w:type="dxa"/>
            <w:tcBorders>
              <w:top w:val="single" w:sz="8" w:space="0" w:color="6C6C6C"/>
            </w:tcBorders>
          </w:tcPr>
          <w:p>
            <w:pPr>
              <w:pStyle w:val="TableParagraph"/>
              <w:spacing w:before="16"/>
              <w:ind w:left="108"/>
              <w:rPr>
                <w:sz w:val="16"/>
              </w:rPr>
            </w:pPr>
            <w:r>
              <w:rPr>
                <w:spacing w:val="-5"/>
                <w:sz w:val="16"/>
              </w:rPr>
              <w:t>PBO</w:t>
            </w:r>
          </w:p>
        </w:tc>
        <w:tc>
          <w:tcPr>
            <w:tcW w:w="1395" w:type="dxa"/>
            <w:tcBorders>
              <w:top w:val="single" w:sz="8" w:space="0" w:color="6C6C6C"/>
            </w:tcBorders>
          </w:tcPr>
          <w:p>
            <w:pPr>
              <w:pStyle w:val="TableParagraph"/>
              <w:tabs>
                <w:tab w:pos="677" w:val="left" w:leader="none"/>
              </w:tabs>
              <w:spacing w:before="16"/>
              <w:ind w:right="68"/>
              <w:jc w:val="right"/>
              <w:rPr>
                <w:sz w:val="16"/>
              </w:rPr>
            </w:pPr>
            <w:r>
              <w:rPr>
                <w:spacing w:val="-10"/>
                <w:sz w:val="16"/>
              </w:rPr>
              <w:t>$</w:t>
            </w:r>
            <w:r>
              <w:rPr>
                <w:sz w:val="16"/>
              </w:rPr>
              <w:tab/>
            </w:r>
            <w:r>
              <w:rPr>
                <w:spacing w:val="-2"/>
                <w:sz w:val="16"/>
              </w:rPr>
              <w:t>(21,831)</w:t>
            </w:r>
          </w:p>
        </w:tc>
        <w:tc>
          <w:tcPr>
            <w:tcW w:w="2790" w:type="dxa"/>
            <w:tcBorders>
              <w:top w:val="single" w:sz="8" w:space="0" w:color="6C6C6C"/>
            </w:tcBorders>
          </w:tcPr>
          <w:p>
            <w:pPr>
              <w:pStyle w:val="TableParagraph"/>
              <w:tabs>
                <w:tab w:pos="765" w:val="left" w:leader="none"/>
                <w:tab w:pos="2160" w:val="left" w:leader="none"/>
              </w:tabs>
              <w:spacing w:before="16"/>
              <w:ind w:right="68"/>
              <w:jc w:val="right"/>
              <w:rPr>
                <w:sz w:val="16"/>
              </w:rPr>
            </w:pPr>
            <w:r>
              <w:rPr>
                <w:spacing w:val="-10"/>
                <w:sz w:val="16"/>
              </w:rPr>
              <w:t>$</w:t>
            </w:r>
            <w:r>
              <w:rPr>
                <w:sz w:val="16"/>
              </w:rPr>
              <w:tab/>
              <w:t>(3,666)</w:t>
            </w:r>
            <w:r>
              <w:rPr>
                <w:spacing w:val="73"/>
                <w:sz w:val="16"/>
              </w:rPr>
              <w:t> </w:t>
            </w:r>
            <w:r>
              <w:rPr>
                <w:spacing w:val="-10"/>
                <w:sz w:val="16"/>
              </w:rPr>
              <w:t>$</w:t>
            </w:r>
            <w:r>
              <w:rPr>
                <w:sz w:val="16"/>
              </w:rPr>
              <w:tab/>
            </w:r>
            <w:r>
              <w:rPr>
                <w:spacing w:val="-2"/>
                <w:sz w:val="16"/>
              </w:rPr>
              <w:t>(2,107)</w:t>
            </w:r>
          </w:p>
        </w:tc>
        <w:tc>
          <w:tcPr>
            <w:tcW w:w="1395" w:type="dxa"/>
            <w:tcBorders>
              <w:top w:val="single" w:sz="8" w:space="0" w:color="6C6C6C"/>
            </w:tcBorders>
          </w:tcPr>
          <w:p>
            <w:pPr>
              <w:pStyle w:val="TableParagraph"/>
              <w:tabs>
                <w:tab w:pos="677" w:val="left" w:leader="none"/>
              </w:tabs>
              <w:spacing w:before="16"/>
              <w:ind w:right="68"/>
              <w:jc w:val="right"/>
              <w:rPr>
                <w:sz w:val="16"/>
              </w:rPr>
            </w:pPr>
            <w:r>
              <w:rPr>
                <w:spacing w:val="-10"/>
                <w:sz w:val="16"/>
              </w:rPr>
              <w:t>$</w:t>
            </w:r>
            <w:r>
              <w:rPr>
                <w:sz w:val="16"/>
              </w:rPr>
              <w:tab/>
            </w:r>
            <w:r>
              <w:rPr>
                <w:spacing w:val="-2"/>
                <w:sz w:val="16"/>
              </w:rPr>
              <w:t>(27,604)</w:t>
            </w:r>
          </w:p>
        </w:tc>
      </w:tr>
      <w:tr>
        <w:trPr>
          <w:trHeight w:val="229" w:hRule="atLeast"/>
        </w:trPr>
        <w:tc>
          <w:tcPr>
            <w:tcW w:w="3780" w:type="dxa"/>
          </w:tcPr>
          <w:p>
            <w:pPr>
              <w:pStyle w:val="TableParagraph"/>
              <w:spacing w:line="184" w:lineRule="exact" w:before="25"/>
              <w:ind w:left="108"/>
              <w:rPr>
                <w:sz w:val="16"/>
              </w:rPr>
            </w:pPr>
            <w:r>
              <w:rPr>
                <w:sz w:val="16"/>
              </w:rPr>
              <w:t>Plan</w:t>
            </w:r>
            <w:r>
              <w:rPr>
                <w:spacing w:val="-3"/>
                <w:sz w:val="16"/>
              </w:rPr>
              <w:t> </w:t>
            </w:r>
            <w:r>
              <w:rPr>
                <w:spacing w:val="-2"/>
                <w:sz w:val="16"/>
              </w:rPr>
              <w:t>assets</w:t>
            </w:r>
          </w:p>
        </w:tc>
        <w:tc>
          <w:tcPr>
            <w:tcW w:w="1395" w:type="dxa"/>
            <w:tcBorders>
              <w:bottom w:val="single" w:sz="8" w:space="0" w:color="000000"/>
            </w:tcBorders>
          </w:tcPr>
          <w:p>
            <w:pPr>
              <w:pStyle w:val="TableParagraph"/>
              <w:tabs>
                <w:tab w:pos="783" w:val="left" w:leader="none"/>
              </w:tabs>
              <w:spacing w:line="184" w:lineRule="exact" w:before="25"/>
              <w:ind w:right="68"/>
              <w:jc w:val="right"/>
              <w:rPr>
                <w:sz w:val="16"/>
              </w:rPr>
            </w:pPr>
            <w:r>
              <w:rPr>
                <w:spacing w:val="-10"/>
                <w:sz w:val="16"/>
              </w:rPr>
              <w:t>$</w:t>
            </w:r>
            <w:r>
              <w:rPr>
                <w:sz w:val="16"/>
              </w:rPr>
              <w:tab/>
            </w:r>
            <w:r>
              <w:rPr>
                <w:spacing w:val="-2"/>
                <w:sz w:val="16"/>
              </w:rPr>
              <w:t>23,745</w:t>
            </w:r>
          </w:p>
        </w:tc>
        <w:tc>
          <w:tcPr>
            <w:tcW w:w="2790" w:type="dxa"/>
            <w:tcBorders>
              <w:bottom w:val="single" w:sz="8" w:space="0" w:color="000000"/>
            </w:tcBorders>
          </w:tcPr>
          <w:p>
            <w:pPr>
              <w:pStyle w:val="TableParagraph"/>
              <w:tabs>
                <w:tab w:pos="872" w:val="left" w:leader="none"/>
                <w:tab w:pos="2267" w:val="left" w:leader="none"/>
              </w:tabs>
              <w:spacing w:line="184" w:lineRule="exact" w:before="25"/>
              <w:ind w:right="68"/>
              <w:jc w:val="right"/>
              <w:rPr>
                <w:sz w:val="16"/>
              </w:rPr>
            </w:pPr>
            <w:r>
              <w:rPr>
                <w:spacing w:val="-10"/>
                <w:sz w:val="16"/>
              </w:rPr>
              <w:t>$</w:t>
            </w:r>
            <w:r>
              <w:rPr>
                <w:sz w:val="16"/>
              </w:rPr>
              <w:tab/>
              <w:t>4,061</w:t>
            </w:r>
            <w:r>
              <w:rPr>
                <w:spacing w:val="72"/>
                <w:sz w:val="16"/>
              </w:rPr>
              <w:t> </w:t>
            </w:r>
            <w:r>
              <w:rPr>
                <w:spacing w:val="-10"/>
                <w:sz w:val="16"/>
              </w:rPr>
              <w:t>$</w:t>
            </w:r>
            <w:r>
              <w:rPr>
                <w:sz w:val="16"/>
              </w:rPr>
              <w:tab/>
            </w:r>
            <w:r>
              <w:rPr>
                <w:spacing w:val="-4"/>
                <w:sz w:val="16"/>
              </w:rPr>
              <w:t>1,791</w:t>
            </w:r>
          </w:p>
        </w:tc>
        <w:tc>
          <w:tcPr>
            <w:tcW w:w="1395" w:type="dxa"/>
            <w:tcBorders>
              <w:bottom w:val="single" w:sz="8" w:space="0" w:color="000000"/>
            </w:tcBorders>
          </w:tcPr>
          <w:p>
            <w:pPr>
              <w:pStyle w:val="TableParagraph"/>
              <w:tabs>
                <w:tab w:pos="783" w:val="left" w:leader="none"/>
              </w:tabs>
              <w:spacing w:line="184" w:lineRule="exact" w:before="25"/>
              <w:ind w:right="68"/>
              <w:jc w:val="right"/>
              <w:rPr>
                <w:sz w:val="16"/>
              </w:rPr>
            </w:pPr>
            <w:r>
              <w:rPr>
                <w:spacing w:val="-10"/>
                <w:sz w:val="16"/>
              </w:rPr>
              <w:t>$</w:t>
            </w:r>
            <w:r>
              <w:rPr>
                <w:sz w:val="16"/>
              </w:rPr>
              <w:tab/>
            </w:r>
            <w:r>
              <w:rPr>
                <w:spacing w:val="-2"/>
                <w:sz w:val="16"/>
              </w:rPr>
              <w:t>29,597</w:t>
            </w:r>
          </w:p>
        </w:tc>
      </w:tr>
      <w:tr>
        <w:trPr>
          <w:trHeight w:val="460" w:hRule="atLeast"/>
        </w:trPr>
        <w:tc>
          <w:tcPr>
            <w:tcW w:w="3780" w:type="dxa"/>
            <w:tcBorders>
              <w:bottom w:val="single" w:sz="8" w:space="0" w:color="6C6C6C"/>
            </w:tcBorders>
          </w:tcPr>
          <w:p>
            <w:pPr>
              <w:pStyle w:val="TableParagraph"/>
              <w:spacing w:before="16"/>
              <w:ind w:left="322"/>
              <w:rPr>
                <w:sz w:val="16"/>
              </w:rPr>
            </w:pPr>
            <w:r>
              <w:rPr>
                <w:sz w:val="16"/>
              </w:rPr>
              <w:t>Net</w:t>
            </w:r>
            <w:r>
              <w:rPr>
                <w:spacing w:val="-4"/>
                <w:sz w:val="16"/>
              </w:rPr>
              <w:t> </w:t>
            </w:r>
            <w:r>
              <w:rPr>
                <w:spacing w:val="-2"/>
                <w:sz w:val="16"/>
              </w:rPr>
              <w:t>position</w:t>
            </w:r>
          </w:p>
        </w:tc>
        <w:tc>
          <w:tcPr>
            <w:tcW w:w="1395" w:type="dxa"/>
            <w:tcBorders>
              <w:top w:val="single" w:sz="8" w:space="0" w:color="000000"/>
              <w:bottom w:val="single" w:sz="8" w:space="0" w:color="6C6C6C"/>
            </w:tcBorders>
          </w:tcPr>
          <w:p>
            <w:pPr>
              <w:pStyle w:val="TableParagraph"/>
              <w:tabs>
                <w:tab w:pos="872" w:val="left" w:leader="none"/>
              </w:tabs>
              <w:spacing w:before="16"/>
              <w:ind w:right="68"/>
              <w:jc w:val="right"/>
              <w:rPr>
                <w:sz w:val="16"/>
              </w:rPr>
            </w:pPr>
            <w:r>
              <w:rPr>
                <w:spacing w:val="-10"/>
                <w:sz w:val="16"/>
              </w:rPr>
              <w:t>$</w:t>
            </w:r>
            <w:r>
              <w:rPr>
                <w:sz w:val="16"/>
              </w:rPr>
              <w:tab/>
            </w:r>
            <w:r>
              <w:rPr>
                <w:spacing w:val="-2"/>
                <w:sz w:val="16"/>
              </w:rPr>
              <w:t>1,914</w:t>
            </w:r>
          </w:p>
        </w:tc>
        <w:tc>
          <w:tcPr>
            <w:tcW w:w="2790" w:type="dxa"/>
            <w:tcBorders>
              <w:top w:val="single" w:sz="8" w:space="0" w:color="000000"/>
              <w:bottom w:val="single" w:sz="8" w:space="0" w:color="6C6C6C"/>
            </w:tcBorders>
          </w:tcPr>
          <w:p>
            <w:pPr>
              <w:pStyle w:val="TableParagraph"/>
              <w:tabs>
                <w:tab w:pos="1005" w:val="left" w:leader="none"/>
                <w:tab w:pos="2294" w:val="left" w:leader="none"/>
              </w:tabs>
              <w:spacing w:before="16"/>
              <w:ind w:right="68"/>
              <w:jc w:val="right"/>
              <w:rPr>
                <w:sz w:val="16"/>
              </w:rPr>
            </w:pPr>
            <w:r>
              <w:rPr>
                <w:spacing w:val="-10"/>
                <w:sz w:val="16"/>
              </w:rPr>
              <w:t>$</w:t>
            </w:r>
            <w:r>
              <w:rPr>
                <w:sz w:val="16"/>
              </w:rPr>
              <w:tab/>
              <w:t>395</w:t>
            </w:r>
            <w:r>
              <w:rPr>
                <w:spacing w:val="75"/>
                <w:sz w:val="16"/>
              </w:rPr>
              <w:t> </w:t>
            </w:r>
            <w:r>
              <w:rPr>
                <w:spacing w:val="-10"/>
                <w:sz w:val="16"/>
              </w:rPr>
              <w:t>$</w:t>
            </w:r>
            <w:r>
              <w:rPr>
                <w:sz w:val="16"/>
              </w:rPr>
              <w:tab/>
            </w:r>
            <w:r>
              <w:rPr>
                <w:spacing w:val="-4"/>
                <w:sz w:val="16"/>
              </w:rPr>
              <w:t>(316)</w:t>
            </w:r>
          </w:p>
        </w:tc>
        <w:tc>
          <w:tcPr>
            <w:tcW w:w="1395" w:type="dxa"/>
            <w:tcBorders>
              <w:top w:val="single" w:sz="8" w:space="0" w:color="000000"/>
              <w:bottom w:val="single" w:sz="8" w:space="0" w:color="6C6C6C"/>
            </w:tcBorders>
          </w:tcPr>
          <w:p>
            <w:pPr>
              <w:pStyle w:val="TableParagraph"/>
              <w:tabs>
                <w:tab w:pos="872" w:val="left" w:leader="none"/>
              </w:tabs>
              <w:spacing w:before="16"/>
              <w:ind w:right="68"/>
              <w:jc w:val="right"/>
              <w:rPr>
                <w:sz w:val="16"/>
              </w:rPr>
            </w:pPr>
            <w:r>
              <w:rPr>
                <w:spacing w:val="-10"/>
                <w:sz w:val="16"/>
              </w:rPr>
              <w:t>$</w:t>
            </w:r>
            <w:r>
              <w:rPr>
                <w:sz w:val="16"/>
              </w:rPr>
              <w:tab/>
            </w:r>
            <w:r>
              <w:rPr>
                <w:spacing w:val="-2"/>
                <w:sz w:val="16"/>
              </w:rPr>
              <w:t>1,993</w:t>
            </w:r>
          </w:p>
        </w:tc>
      </w:tr>
      <w:tr>
        <w:trPr>
          <w:trHeight w:val="220" w:hRule="atLeast"/>
        </w:trPr>
        <w:tc>
          <w:tcPr>
            <w:tcW w:w="3780" w:type="dxa"/>
            <w:tcBorders>
              <w:top w:val="single" w:sz="8" w:space="0" w:color="6C6C6C"/>
              <w:bottom w:val="single" w:sz="8" w:space="0" w:color="6C6C6C"/>
            </w:tcBorders>
          </w:tcPr>
          <w:p>
            <w:pPr>
              <w:pStyle w:val="TableParagraph"/>
              <w:spacing w:line="184" w:lineRule="exact" w:before="16"/>
              <w:ind w:left="108"/>
              <w:rPr>
                <w:sz w:val="16"/>
              </w:rPr>
            </w:pPr>
            <w:r>
              <w:rPr>
                <w:sz w:val="16"/>
              </w:rPr>
              <w:t>IBRD's</w:t>
            </w:r>
            <w:r>
              <w:rPr>
                <w:spacing w:val="-4"/>
                <w:sz w:val="16"/>
              </w:rPr>
              <w:t> </w:t>
            </w:r>
            <w:r>
              <w:rPr>
                <w:sz w:val="16"/>
              </w:rPr>
              <w:t>funded</w:t>
            </w:r>
            <w:r>
              <w:rPr>
                <w:spacing w:val="-4"/>
                <w:sz w:val="16"/>
              </w:rPr>
              <w:t> </w:t>
            </w:r>
            <w:r>
              <w:rPr>
                <w:spacing w:val="-2"/>
                <w:sz w:val="16"/>
              </w:rPr>
              <w:t>status</w:t>
            </w:r>
          </w:p>
        </w:tc>
        <w:tc>
          <w:tcPr>
            <w:tcW w:w="1395" w:type="dxa"/>
            <w:tcBorders>
              <w:top w:val="single" w:sz="8" w:space="0" w:color="6C6C6C"/>
              <w:bottom w:val="single" w:sz="8" w:space="0" w:color="6C6C6C"/>
            </w:tcBorders>
          </w:tcPr>
          <w:p>
            <w:pPr>
              <w:pStyle w:val="TableParagraph"/>
              <w:rPr>
                <w:rFonts w:ascii="Times New Roman"/>
                <w:sz w:val="14"/>
              </w:rPr>
            </w:pPr>
          </w:p>
        </w:tc>
        <w:tc>
          <w:tcPr>
            <w:tcW w:w="2790" w:type="dxa"/>
            <w:tcBorders>
              <w:top w:val="single" w:sz="8" w:space="0" w:color="6C6C6C"/>
              <w:bottom w:val="single" w:sz="8" w:space="0" w:color="6C6C6C"/>
            </w:tcBorders>
          </w:tcPr>
          <w:p>
            <w:pPr>
              <w:pStyle w:val="TableParagraph"/>
              <w:rPr>
                <w:rFonts w:ascii="Times New Roman"/>
                <w:sz w:val="14"/>
              </w:rPr>
            </w:pPr>
          </w:p>
        </w:tc>
        <w:tc>
          <w:tcPr>
            <w:tcW w:w="1395" w:type="dxa"/>
            <w:tcBorders>
              <w:top w:val="single" w:sz="8" w:space="0" w:color="6C6C6C"/>
              <w:bottom w:val="single" w:sz="8" w:space="0" w:color="6C6C6C"/>
            </w:tcBorders>
          </w:tcPr>
          <w:p>
            <w:pPr>
              <w:pStyle w:val="TableParagraph"/>
              <w:spacing w:line="184" w:lineRule="exact" w:before="16"/>
              <w:ind w:right="68"/>
              <w:jc w:val="right"/>
              <w:rPr>
                <w:sz w:val="16"/>
              </w:rPr>
            </w:pPr>
            <w:r>
              <w:rPr>
                <w:spacing w:val="-5"/>
                <w:sz w:val="16"/>
              </w:rPr>
              <w:t>941</w:t>
            </w:r>
          </w:p>
        </w:tc>
      </w:tr>
    </w:tbl>
    <w:p>
      <w:pPr>
        <w:pStyle w:val="BodyText"/>
        <w:spacing w:before="44"/>
      </w:pPr>
    </w:p>
    <w:p>
      <w:pPr>
        <w:pStyle w:val="BodyText"/>
        <w:spacing w:line="232" w:lineRule="auto"/>
        <w:ind w:left="720" w:right="718"/>
        <w:jc w:val="both"/>
      </w:pPr>
      <w:r>
        <w:rPr/>
        <w:t>The discount rate used to convert future obligations into today’s dollars is derived from high-grade, AA-rated corporate bond yields as required by U.S. GAAP. The overfunded status of the pension plans for IBRD and IDA of</w:t>
      </w:r>
    </w:p>
    <w:p>
      <w:pPr>
        <w:pStyle w:val="BodyText"/>
        <w:spacing w:line="232" w:lineRule="auto" w:before="2"/>
        <w:ind w:left="720" w:right="718"/>
        <w:jc w:val="both"/>
      </w:pPr>
      <w:r>
        <w:rPr/>
        <w:t>$4,193 million as of June 30, 2023, net of PEBP assets, was primarily due to the actuarial gains in the projected benefit obligations as a result of the increase in the real discount rate. As the Plans are managed with a long-term horizon, results over shorter time periods may be impacted positively or negatively by market fluctuations.</w:t>
      </w:r>
    </w:p>
    <w:p>
      <w:pPr>
        <w:pStyle w:val="BodyText"/>
        <w:spacing w:after="0" w:line="232" w:lineRule="auto"/>
        <w:jc w:val="both"/>
        <w:sectPr>
          <w:headerReference w:type="even" r:id="rId65"/>
          <w:headerReference w:type="default" r:id="rId66"/>
          <w:footerReference w:type="even" r:id="rId67"/>
          <w:footerReference w:type="default" r:id="rId68"/>
          <w:pgSz w:w="12240" w:h="15840"/>
          <w:pgMar w:header="744" w:footer="583" w:top="1020" w:bottom="780" w:left="720" w:right="720"/>
          <w:pgNumType w:start="58"/>
        </w:sectPr>
      </w:pPr>
    </w:p>
    <w:p>
      <w:pPr>
        <w:pStyle w:val="BodyText"/>
        <w:spacing w:before="107"/>
        <w:rPr>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67200">
                <wp:simplePos x="0" y="0"/>
                <wp:positionH relativeFrom="page">
                  <wp:posOffset>914400</wp:posOffset>
                </wp:positionH>
                <wp:positionV relativeFrom="paragraph">
                  <wp:posOffset>233062</wp:posOffset>
                </wp:positionV>
                <wp:extent cx="5943600"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49280;mso-wrap-distance-left:0;mso-wrap-distance-right:0" id="docshape476" coordorigin="1440,367" coordsize="9360,0" path="m1440,367l10800,367e" filled="false" stroked="true" strokeweight="1pt" strokecolor="#000000">
                <v:path arrowok="t"/>
                <v:stroke dashstyle="solid"/>
                <w10:wrap type="topAndBottom"/>
              </v:shape>
            </w:pict>
          </mc:Fallback>
        </mc:AlternateContent>
      </w:r>
      <w:bookmarkStart w:name="Section XII: Critical Accounting Policie" w:id="146"/>
      <w:bookmarkEnd w:id="146"/>
      <w:r>
        <w:rPr/>
      </w:r>
      <w:r>
        <w:rPr>
          <w:rFonts w:ascii="Arial"/>
          <w:b/>
          <w:sz w:val="28"/>
        </w:rPr>
        <w:t>Section</w:t>
      </w:r>
      <w:r>
        <w:rPr>
          <w:rFonts w:ascii="Arial"/>
          <w:b/>
          <w:spacing w:val="-4"/>
          <w:sz w:val="28"/>
        </w:rPr>
        <w:t> </w:t>
      </w:r>
      <w:r>
        <w:rPr>
          <w:rFonts w:ascii="Arial"/>
          <w:b/>
          <w:sz w:val="28"/>
        </w:rPr>
        <w:t>XII:</w:t>
      </w:r>
      <w:r>
        <w:rPr>
          <w:rFonts w:ascii="Arial"/>
          <w:b/>
          <w:spacing w:val="-2"/>
          <w:sz w:val="28"/>
        </w:rPr>
        <w:t> </w:t>
      </w:r>
      <w:r>
        <w:rPr>
          <w:rFonts w:ascii="Arial"/>
          <w:b/>
          <w:sz w:val="28"/>
        </w:rPr>
        <w:t>Critical</w:t>
      </w:r>
      <w:r>
        <w:rPr>
          <w:rFonts w:ascii="Arial"/>
          <w:b/>
          <w:spacing w:val="-1"/>
          <w:sz w:val="28"/>
        </w:rPr>
        <w:t> </w:t>
      </w:r>
      <w:r>
        <w:rPr>
          <w:rFonts w:ascii="Arial"/>
          <w:b/>
          <w:sz w:val="28"/>
        </w:rPr>
        <w:t>Accounting</w:t>
      </w:r>
      <w:r>
        <w:rPr>
          <w:rFonts w:ascii="Arial"/>
          <w:b/>
          <w:spacing w:val="-2"/>
          <w:sz w:val="28"/>
        </w:rPr>
        <w:t> </w:t>
      </w:r>
      <w:r>
        <w:rPr>
          <w:rFonts w:ascii="Arial"/>
          <w:b/>
          <w:sz w:val="28"/>
        </w:rPr>
        <w:t>Policies</w:t>
      </w:r>
      <w:r>
        <w:rPr>
          <w:rFonts w:ascii="Arial"/>
          <w:b/>
          <w:spacing w:val="-1"/>
          <w:sz w:val="28"/>
        </w:rPr>
        <w:t> </w:t>
      </w:r>
      <w:r>
        <w:rPr>
          <w:rFonts w:ascii="Arial"/>
          <w:b/>
          <w:sz w:val="28"/>
        </w:rPr>
        <w:t>and</w:t>
      </w:r>
      <w:r>
        <w:rPr>
          <w:rFonts w:ascii="Arial"/>
          <w:b/>
          <w:spacing w:val="-2"/>
          <w:sz w:val="28"/>
        </w:rPr>
        <w:t> </w:t>
      </w:r>
      <w:r>
        <w:rPr>
          <w:rFonts w:ascii="Arial"/>
          <w:b/>
          <w:sz w:val="28"/>
        </w:rPr>
        <w:t>the</w:t>
      </w:r>
      <w:r>
        <w:rPr>
          <w:rFonts w:ascii="Arial"/>
          <w:b/>
          <w:spacing w:val="-1"/>
          <w:sz w:val="28"/>
        </w:rPr>
        <w:t> </w:t>
      </w:r>
      <w:r>
        <w:rPr>
          <w:rFonts w:ascii="Arial"/>
          <w:b/>
          <w:sz w:val="28"/>
        </w:rPr>
        <w:t>Use</w:t>
      </w:r>
      <w:r>
        <w:rPr>
          <w:rFonts w:ascii="Arial"/>
          <w:b/>
          <w:spacing w:val="-2"/>
          <w:sz w:val="28"/>
        </w:rPr>
        <w:t> </w:t>
      </w:r>
      <w:r>
        <w:rPr>
          <w:rFonts w:ascii="Arial"/>
          <w:b/>
          <w:sz w:val="28"/>
        </w:rPr>
        <w:t>of</w:t>
      </w:r>
      <w:r>
        <w:rPr>
          <w:rFonts w:ascii="Arial"/>
          <w:b/>
          <w:spacing w:val="-1"/>
          <w:sz w:val="28"/>
        </w:rPr>
        <w:t> </w:t>
      </w:r>
      <w:r>
        <w:rPr>
          <w:rFonts w:ascii="Arial"/>
          <w:b/>
          <w:spacing w:val="-2"/>
          <w:sz w:val="28"/>
        </w:rPr>
        <w:t>Estimates</w:t>
      </w:r>
    </w:p>
    <w:p>
      <w:pPr>
        <w:pStyle w:val="BodyText"/>
        <w:spacing w:line="249" w:lineRule="auto" w:before="162"/>
        <w:ind w:left="720" w:right="718"/>
        <w:jc w:val="both"/>
      </w:pPr>
      <w:r>
        <w:rPr/>
        <w:t>IBRD’s significant accounting policies, as well as estimates made by Management, are integral to its financial reporting. While all of these policies require a certain level of judgment and estimates, significant policies require Management to make highly difficult, complex, and subjective judgments as these relate to matters inherently uncertain and susceptible to change. Note A to the financial statements contains a summary of IBRD’s significant accounting policies including a discussion of recently issued accounting pronouncements.</w:t>
      </w:r>
    </w:p>
    <w:p>
      <w:pPr>
        <w:spacing w:before="121"/>
        <w:ind w:left="720" w:right="0" w:firstLine="0"/>
        <w:jc w:val="both"/>
        <w:rPr>
          <w:rFonts w:ascii="Arial"/>
          <w:b/>
          <w:sz w:val="24"/>
        </w:rPr>
      </w:pPr>
      <w:bookmarkStart w:name="Fair Value of Financial Instruments" w:id="147"/>
      <w:bookmarkEnd w:id="147"/>
      <w:r>
        <w:rPr/>
      </w:r>
      <w:bookmarkStart w:name="_bookmark98" w:id="148"/>
      <w:bookmarkEnd w:id="148"/>
      <w:r>
        <w:rPr/>
      </w:r>
      <w:r>
        <w:rPr>
          <w:rFonts w:ascii="Arial"/>
          <w:b/>
          <w:sz w:val="24"/>
        </w:rPr>
        <w:t>Fair</w:t>
      </w:r>
      <w:r>
        <w:rPr>
          <w:rFonts w:ascii="Arial"/>
          <w:b/>
          <w:spacing w:val="-2"/>
          <w:sz w:val="24"/>
        </w:rPr>
        <w:t> </w:t>
      </w:r>
      <w:r>
        <w:rPr>
          <w:rFonts w:ascii="Arial"/>
          <w:b/>
          <w:sz w:val="24"/>
        </w:rPr>
        <w:t>Value</w:t>
      </w:r>
      <w:r>
        <w:rPr>
          <w:rFonts w:ascii="Arial"/>
          <w:b/>
          <w:spacing w:val="-1"/>
          <w:sz w:val="24"/>
        </w:rPr>
        <w:t> </w:t>
      </w:r>
      <w:r>
        <w:rPr>
          <w:rFonts w:ascii="Arial"/>
          <w:b/>
          <w:sz w:val="24"/>
        </w:rPr>
        <w:t>of</w:t>
      </w:r>
      <w:r>
        <w:rPr>
          <w:rFonts w:ascii="Arial"/>
          <w:b/>
          <w:spacing w:val="-1"/>
          <w:sz w:val="24"/>
        </w:rPr>
        <w:t> </w:t>
      </w:r>
      <w:r>
        <w:rPr>
          <w:rFonts w:ascii="Arial"/>
          <w:b/>
          <w:sz w:val="24"/>
        </w:rPr>
        <w:t>Financial</w:t>
      </w:r>
      <w:r>
        <w:rPr>
          <w:rFonts w:ascii="Arial"/>
          <w:b/>
          <w:spacing w:val="-1"/>
          <w:sz w:val="24"/>
        </w:rPr>
        <w:t> </w:t>
      </w:r>
      <w:r>
        <w:rPr>
          <w:rFonts w:ascii="Arial"/>
          <w:b/>
          <w:spacing w:val="-2"/>
          <w:sz w:val="24"/>
        </w:rPr>
        <w:t>Instruments</w:t>
      </w:r>
    </w:p>
    <w:p>
      <w:pPr>
        <w:pStyle w:val="BodyText"/>
        <w:spacing w:line="249" w:lineRule="auto" w:before="135"/>
        <w:ind w:left="720" w:right="718"/>
        <w:jc w:val="both"/>
      </w:pPr>
      <w:r>
        <w:rPr/>
        <w:t>The fair values of financial instruments are based on a three-level hierarchy. For financial instruments classified as Level 1 or 2, less judgment is applied in arriving at fair value measures as the inputs are based on observable market data. For financial instruments classified as Level 3, unobservable inputs are used. These require Management to make important assumptions and judgments in determining fair value measures. Investments measured at net asset value per share (or its equivalent) are not classified in the fair value hierarchy.</w:t>
      </w:r>
    </w:p>
    <w:p>
      <w:pPr>
        <w:pStyle w:val="BodyText"/>
        <w:spacing w:line="232" w:lineRule="auto" w:before="129"/>
        <w:ind w:left="720" w:right="718"/>
        <w:jc w:val="both"/>
      </w:pPr>
      <w:r>
        <w:rPr/>
        <w:t>Most of IBRD’s financial instruments which are recorded at fair value are classified as Levels 1 and 2. Table 34 presents the summary of the fair value of financial instruments recorded at fair value on a recurring basis, and the amounts measured using significant Level 3 inputs. IBRD’s level 3 instruments are mainly structured bonds and related swaps held in the borrowing portfolio; these use market observable inputs and unobservable inputs such as correlations and interest rate volatilities. There were no Level 3 instruments in IBRD’s investment or loan portfolios as of June 30, 2023. All of IBRD’s loans were carried at amortized cost as of June 30, 2023.</w:t>
      </w:r>
    </w:p>
    <w:p>
      <w:pPr>
        <w:pStyle w:val="BodyText"/>
        <w:spacing w:before="59"/>
      </w:pPr>
    </w:p>
    <w:p>
      <w:pPr>
        <w:spacing w:before="0"/>
        <w:ind w:left="772" w:right="0" w:firstLine="0"/>
        <w:jc w:val="left"/>
        <w:rPr>
          <w:rFonts w:ascii="Arial"/>
          <w:b/>
          <w:sz w:val="18"/>
        </w:rPr>
      </w:pPr>
      <w:bookmarkStart w:name="_bookmark99" w:id="149"/>
      <w:bookmarkEnd w:id="149"/>
      <w:r>
        <w:rPr/>
      </w:r>
      <w:r>
        <w:rPr>
          <w:rFonts w:ascii="Arial"/>
          <w:b/>
          <w:sz w:val="18"/>
        </w:rPr>
        <w:t>Table</w:t>
      </w:r>
      <w:r>
        <w:rPr>
          <w:rFonts w:ascii="Arial"/>
          <w:b/>
          <w:spacing w:val="-2"/>
          <w:sz w:val="18"/>
        </w:rPr>
        <w:t> </w:t>
      </w:r>
      <w:r>
        <w:rPr>
          <w:rFonts w:ascii="Arial"/>
          <w:b/>
          <w:sz w:val="18"/>
        </w:rPr>
        <w:t>34:</w:t>
      </w:r>
      <w:r>
        <w:rPr>
          <w:rFonts w:ascii="Arial"/>
          <w:b/>
          <w:spacing w:val="-1"/>
          <w:sz w:val="18"/>
        </w:rPr>
        <w:t> </w:t>
      </w:r>
      <w:r>
        <w:rPr>
          <w:rFonts w:ascii="Arial"/>
          <w:b/>
          <w:sz w:val="18"/>
        </w:rPr>
        <w:t>Fair</w:t>
      </w:r>
      <w:r>
        <w:rPr>
          <w:rFonts w:ascii="Arial"/>
          <w:b/>
          <w:spacing w:val="-1"/>
          <w:sz w:val="18"/>
        </w:rPr>
        <w:t> </w:t>
      </w:r>
      <w:r>
        <w:rPr>
          <w:rFonts w:ascii="Arial"/>
          <w:b/>
          <w:sz w:val="18"/>
        </w:rPr>
        <w:t>Value</w:t>
      </w:r>
      <w:r>
        <w:rPr>
          <w:rFonts w:ascii="Arial"/>
          <w:b/>
          <w:spacing w:val="-2"/>
          <w:sz w:val="18"/>
        </w:rPr>
        <w:t> </w:t>
      </w:r>
      <w:r>
        <w:rPr>
          <w:rFonts w:ascii="Arial"/>
          <w:b/>
          <w:sz w:val="18"/>
        </w:rPr>
        <w:t>Level</w:t>
      </w:r>
      <w:r>
        <w:rPr>
          <w:rFonts w:ascii="Arial"/>
          <w:b/>
          <w:spacing w:val="-1"/>
          <w:sz w:val="18"/>
        </w:rPr>
        <w:t> </w:t>
      </w:r>
      <w:r>
        <w:rPr>
          <w:rFonts w:ascii="Arial"/>
          <w:b/>
          <w:sz w:val="18"/>
        </w:rPr>
        <w:t>3</w:t>
      </w:r>
      <w:r>
        <w:rPr>
          <w:rFonts w:ascii="Arial"/>
          <w:b/>
          <w:spacing w:val="-1"/>
          <w:sz w:val="18"/>
        </w:rPr>
        <w:t> </w:t>
      </w:r>
      <w:r>
        <w:rPr>
          <w:rFonts w:ascii="Arial"/>
          <w:b/>
          <w:spacing w:val="-2"/>
          <w:sz w:val="18"/>
        </w:rPr>
        <w:t>Summary</w:t>
      </w:r>
    </w:p>
    <w:p>
      <w:pPr>
        <w:spacing w:before="54"/>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2"/>
          <w:sz w:val="16"/>
        </w:rPr>
        <w:t> </w:t>
      </w:r>
      <w:r>
        <w:rPr>
          <w:rFonts w:ascii="Arial"/>
          <w:i/>
          <w:sz w:val="16"/>
        </w:rPr>
        <w:t>U.S.</w:t>
      </w:r>
      <w:r>
        <w:rPr>
          <w:rFonts w:ascii="Arial"/>
          <w:i/>
          <w:spacing w:val="-2"/>
          <w:sz w:val="16"/>
        </w:rPr>
        <w:t> dollars</w:t>
      </w:r>
    </w:p>
    <w:p>
      <w:pPr>
        <w:tabs>
          <w:tab w:pos="5537" w:val="left" w:leader="none"/>
          <w:tab w:pos="8862" w:val="right" w:leader="none"/>
        </w:tabs>
        <w:spacing w:before="56"/>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09024">
                <wp:simplePos x="0" y="0"/>
                <wp:positionH relativeFrom="page">
                  <wp:posOffset>914400</wp:posOffset>
                </wp:positionH>
                <wp:positionV relativeFrom="paragraph">
                  <wp:posOffset>173858</wp:posOffset>
                </wp:positionV>
                <wp:extent cx="5943600" cy="127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9024" from="72pt,13.689638pt" to="540pt,13.689638pt" stroked="true" strokeweight="1pt" strokecolor="#6c6c6c">
                <v:stroke dashstyle="solid"/>
                <w10:wrap type="none"/>
              </v:line>
            </w:pict>
          </mc:Fallback>
        </mc:AlternateContent>
      </w:r>
      <w:r>
        <w:rPr>
          <w:rFonts w:ascii="Arial"/>
          <w:i/>
          <w:color w:val="484848"/>
          <w:sz w:val="16"/>
        </w:rPr>
        <w:t>For</w:t>
      </w:r>
      <w:r>
        <w:rPr>
          <w:rFonts w:ascii="Arial"/>
          <w:i/>
          <w:color w:val="484848"/>
          <w:spacing w:val="-3"/>
          <w:sz w:val="16"/>
        </w:rPr>
        <w:t> </w:t>
      </w:r>
      <w:r>
        <w:rPr>
          <w:rFonts w:ascii="Arial"/>
          <w:i/>
          <w:color w:val="484848"/>
          <w:sz w:val="16"/>
        </w:rPr>
        <w:t>the</w:t>
      </w:r>
      <w:r>
        <w:rPr>
          <w:rFonts w:ascii="Arial"/>
          <w:i/>
          <w:color w:val="484848"/>
          <w:spacing w:val="-3"/>
          <w:sz w:val="16"/>
        </w:rPr>
        <w:t> </w:t>
      </w:r>
      <w:r>
        <w:rPr>
          <w:rFonts w:ascii="Arial"/>
          <w:i/>
          <w:color w:val="484848"/>
          <w:sz w:val="16"/>
        </w:rPr>
        <w:t>fiscal</w:t>
      </w:r>
      <w:r>
        <w:rPr>
          <w:rFonts w:ascii="Arial"/>
          <w:i/>
          <w:color w:val="484848"/>
          <w:spacing w:val="-2"/>
          <w:sz w:val="16"/>
        </w:rPr>
        <w:t> </w:t>
      </w:r>
      <w:r>
        <w:rPr>
          <w:rFonts w:ascii="Arial"/>
          <w:i/>
          <w:color w:val="484848"/>
          <w:sz w:val="16"/>
        </w:rPr>
        <w:t>year</w:t>
      </w:r>
      <w:r>
        <w:rPr>
          <w:rFonts w:ascii="Arial"/>
          <w:i/>
          <w:color w:val="484848"/>
          <w:spacing w:val="-2"/>
          <w:sz w:val="16"/>
        </w:rPr>
        <w:t> </w:t>
      </w:r>
      <w:r>
        <w:rPr>
          <w:rFonts w:ascii="Arial"/>
          <w:i/>
          <w:color w:val="484848"/>
          <w:sz w:val="16"/>
        </w:rPr>
        <w:t>ended</w:t>
      </w:r>
      <w:r>
        <w:rPr>
          <w:rFonts w:ascii="Arial"/>
          <w:i/>
          <w:color w:val="484848"/>
          <w:spacing w:val="-3"/>
          <w:sz w:val="16"/>
        </w:rPr>
        <w:t> </w:t>
      </w:r>
      <w:r>
        <w:rPr>
          <w:rFonts w:ascii="Arial"/>
          <w:i/>
          <w:color w:val="484848"/>
          <w:sz w:val="16"/>
        </w:rPr>
        <w:t>June</w:t>
      </w:r>
      <w:r>
        <w:rPr>
          <w:rFonts w:ascii="Arial"/>
          <w:i/>
          <w:color w:val="484848"/>
          <w:spacing w:val="-3"/>
          <w:sz w:val="16"/>
        </w:rPr>
        <w:t> </w:t>
      </w:r>
      <w:r>
        <w:rPr>
          <w:rFonts w:ascii="Arial"/>
          <w:i/>
          <w:color w:val="484848"/>
          <w:spacing w:val="-5"/>
          <w:sz w:val="16"/>
        </w:rPr>
        <w:t>30,</w:t>
      </w:r>
      <w:r>
        <w:rPr>
          <w:rFonts w:ascii="Arial"/>
          <w:i/>
          <w:color w:val="484848"/>
          <w:sz w:val="16"/>
        </w:rPr>
        <w:tab/>
      </w:r>
      <w:r>
        <w:rPr>
          <w:rFonts w:ascii="Arial"/>
          <w:i/>
          <w:color w:val="484848"/>
          <w:spacing w:val="-4"/>
          <w:sz w:val="16"/>
        </w:rPr>
        <w:t>2023</w:t>
      </w:r>
      <w:r>
        <w:rPr>
          <w:color w:val="484848"/>
          <w:sz w:val="16"/>
        </w:rPr>
        <w:tab/>
      </w:r>
      <w:r>
        <w:rPr>
          <w:rFonts w:ascii="Arial"/>
          <w:i/>
          <w:color w:val="484848"/>
          <w:spacing w:val="-4"/>
          <w:sz w:val="16"/>
        </w:rPr>
        <w:t>2022</w:t>
      </w:r>
    </w:p>
    <w:p>
      <w:pPr>
        <w:spacing w:after="0"/>
        <w:jc w:val="left"/>
        <w:rPr>
          <w:rFonts w:ascii="Arial"/>
          <w:i/>
          <w:sz w:val="16"/>
        </w:rPr>
        <w:sectPr>
          <w:pgSz w:w="12240" w:h="15840"/>
          <w:pgMar w:header="744" w:footer="713" w:top="1000" w:bottom="900" w:left="720" w:right="720"/>
        </w:sectPr>
      </w:pPr>
    </w:p>
    <w:p>
      <w:pPr>
        <w:spacing w:line="208" w:lineRule="auto" w:before="78"/>
        <w:ind w:left="6123" w:right="0" w:firstLine="111"/>
        <w:jc w:val="left"/>
        <w:rPr>
          <w:rFonts w:ascii="Arial"/>
          <w:i/>
          <w:sz w:val="16"/>
        </w:rPr>
      </w:pPr>
      <w:r>
        <w:rPr>
          <w:rFonts w:ascii="Arial"/>
          <w:i/>
          <w:sz w:val="16"/>
        </w:rPr>
        <mc:AlternateContent>
          <mc:Choice Requires="wps">
            <w:drawing>
              <wp:anchor distT="0" distB="0" distL="0" distR="0" allowOverlap="1" layoutInCell="1" locked="0" behindDoc="0" simplePos="0" relativeHeight="15809536">
                <wp:simplePos x="0" y="0"/>
                <wp:positionH relativeFrom="page">
                  <wp:posOffset>3622675</wp:posOffset>
                </wp:positionH>
                <wp:positionV relativeFrom="paragraph">
                  <wp:posOffset>91671</wp:posOffset>
                </wp:positionV>
                <wp:extent cx="327660" cy="113664"/>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327660" cy="113664"/>
                        </a:xfrm>
                        <a:prstGeom prst="rect">
                          <a:avLst/>
                        </a:prstGeom>
                      </wps:spPr>
                      <wps:txbx>
                        <w:txbxContent>
                          <w:p>
                            <w:pPr>
                              <w:spacing w:line="179" w:lineRule="exact" w:before="0"/>
                              <w:ind w:left="0" w:right="0" w:firstLine="0"/>
                              <w:jc w:val="left"/>
                              <w:rPr>
                                <w:rFonts w:ascii="Arial"/>
                                <w:i/>
                                <w:sz w:val="16"/>
                              </w:rPr>
                            </w:pPr>
                            <w:r>
                              <w:rPr>
                                <w:rFonts w:ascii="Arial"/>
                                <w:i/>
                                <w:color w:val="484848"/>
                                <w:sz w:val="16"/>
                              </w:rPr>
                              <w:t>Level</w:t>
                            </w:r>
                            <w:r>
                              <w:rPr>
                                <w:rFonts w:ascii="Arial"/>
                                <w:i/>
                                <w:color w:val="484848"/>
                                <w:spacing w:val="-3"/>
                                <w:sz w:val="16"/>
                              </w:rPr>
                              <w:t> </w:t>
                            </w:r>
                            <w:r>
                              <w:rPr>
                                <w:rFonts w:ascii="Arial"/>
                                <w:i/>
                                <w:color w:val="484848"/>
                                <w:spacing w:val="-10"/>
                                <w:sz w:val="16"/>
                              </w:rPr>
                              <w:t>3</w:t>
                            </w:r>
                          </w:p>
                        </w:txbxContent>
                      </wps:txbx>
                      <wps:bodyPr wrap="square" lIns="0" tIns="0" rIns="0" bIns="0" rtlCol="0">
                        <a:noAutofit/>
                      </wps:bodyPr>
                    </wps:wsp>
                  </a:graphicData>
                </a:graphic>
              </wp:anchor>
            </w:drawing>
          </mc:Choice>
          <mc:Fallback>
            <w:pict>
              <v:shape style="position:absolute;margin-left:285.25pt;margin-top:7.218252pt;width:25.8pt;height:8.950pt;mso-position-horizontal-relative:page;mso-position-vertical-relative:paragraph;z-index:15809536" type="#_x0000_t202" id="docshape477" filled="false" stroked="false">
                <v:textbox inset="0,0,0,0">
                  <w:txbxContent>
                    <w:p>
                      <w:pPr>
                        <w:spacing w:line="179" w:lineRule="exact" w:before="0"/>
                        <w:ind w:left="0" w:right="0" w:firstLine="0"/>
                        <w:jc w:val="left"/>
                        <w:rPr>
                          <w:rFonts w:ascii="Arial"/>
                          <w:i/>
                          <w:sz w:val="16"/>
                        </w:rPr>
                      </w:pPr>
                      <w:r>
                        <w:rPr>
                          <w:rFonts w:ascii="Arial"/>
                          <w:i/>
                          <w:color w:val="484848"/>
                          <w:sz w:val="16"/>
                        </w:rPr>
                        <w:t>Level</w:t>
                      </w:r>
                      <w:r>
                        <w:rPr>
                          <w:rFonts w:ascii="Arial"/>
                          <w:i/>
                          <w:color w:val="484848"/>
                          <w:spacing w:val="-3"/>
                          <w:sz w:val="16"/>
                        </w:rPr>
                        <w:t> </w:t>
                      </w:r>
                      <w:r>
                        <w:rPr>
                          <w:rFonts w:ascii="Arial"/>
                          <w:i/>
                          <w:color w:val="484848"/>
                          <w:spacing w:val="-10"/>
                          <w:sz w:val="16"/>
                        </w:rPr>
                        <w:t>3</w:t>
                      </w:r>
                    </w:p>
                  </w:txbxContent>
                </v:textbox>
                <w10:wrap type="none"/>
              </v:shape>
            </w:pict>
          </mc:Fallback>
        </mc:AlternateContent>
      </w:r>
      <w:r>
        <w:rPr>
          <w:rFonts w:ascii="Arial"/>
          <w:i/>
          <w:color w:val="484848"/>
          <w:spacing w:val="-2"/>
          <w:sz w:val="16"/>
        </w:rPr>
        <w:t>Total Balance</w:t>
      </w:r>
    </w:p>
    <w:p>
      <w:pPr>
        <w:tabs>
          <w:tab w:pos="2152" w:val="left" w:leader="none"/>
        </w:tabs>
        <w:spacing w:before="139"/>
        <w:ind w:left="988" w:right="0" w:firstLine="0"/>
        <w:jc w:val="left"/>
        <w:rPr>
          <w:rFonts w:ascii="Arial"/>
          <w:i/>
          <w:sz w:val="16"/>
        </w:rPr>
      </w:pPr>
      <w:r>
        <w:rPr/>
        <w:br w:type="column"/>
      </w:r>
      <w:r>
        <w:rPr>
          <w:rFonts w:ascii="Arial"/>
          <w:i/>
          <w:color w:val="484848"/>
          <w:sz w:val="16"/>
        </w:rPr>
        <w:t>Level</w:t>
      </w:r>
      <w:r>
        <w:rPr>
          <w:rFonts w:ascii="Arial"/>
          <w:i/>
          <w:color w:val="484848"/>
          <w:spacing w:val="-3"/>
          <w:sz w:val="16"/>
        </w:rPr>
        <w:t> </w:t>
      </w:r>
      <w:r>
        <w:rPr>
          <w:rFonts w:ascii="Arial"/>
          <w:i/>
          <w:color w:val="484848"/>
          <w:spacing w:val="-10"/>
          <w:sz w:val="16"/>
        </w:rPr>
        <w:t>3</w:t>
      </w:r>
      <w:r>
        <w:rPr>
          <w:rFonts w:ascii="Arial"/>
          <w:i/>
          <w:color w:val="484848"/>
          <w:sz w:val="16"/>
        </w:rPr>
        <w:tab/>
        <w:t>Total</w:t>
      </w:r>
      <w:r>
        <w:rPr>
          <w:rFonts w:ascii="Arial"/>
          <w:i/>
          <w:color w:val="484848"/>
          <w:spacing w:val="-5"/>
          <w:sz w:val="16"/>
        </w:rPr>
        <w:t> </w:t>
      </w:r>
      <w:r>
        <w:rPr>
          <w:rFonts w:ascii="Arial"/>
          <w:i/>
          <w:color w:val="484848"/>
          <w:spacing w:val="-2"/>
          <w:sz w:val="16"/>
        </w:rPr>
        <w:t>Balance</w:t>
      </w:r>
    </w:p>
    <w:p>
      <w:pPr>
        <w:spacing w:after="0"/>
        <w:jc w:val="left"/>
        <w:rPr>
          <w:rFonts w:ascii="Arial"/>
          <w:i/>
          <w:sz w:val="16"/>
        </w:rPr>
        <w:sectPr>
          <w:type w:val="continuous"/>
          <w:pgSz w:w="12240" w:h="15840"/>
          <w:pgMar w:header="744" w:footer="713" w:top="1820" w:bottom="280" w:left="720" w:right="720"/>
          <w:cols w:num="2" w:equalWidth="0">
            <w:col w:w="6702" w:space="40"/>
            <w:col w:w="4058"/>
          </w:cols>
        </w:sectPr>
      </w:pPr>
    </w:p>
    <w:p>
      <w:pPr>
        <w:pStyle w:val="BodyText"/>
        <w:spacing w:before="6"/>
        <w:rPr>
          <w:rFonts w:ascii="Arial"/>
          <w:i/>
          <w:sz w:val="3"/>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2"/>
        <w:gridCol w:w="1413"/>
        <w:gridCol w:w="1120"/>
        <w:gridCol w:w="1623"/>
        <w:gridCol w:w="1375"/>
      </w:tblGrid>
      <w:tr>
        <w:trPr>
          <w:trHeight w:val="227" w:hRule="atLeast"/>
        </w:trPr>
        <w:tc>
          <w:tcPr>
            <w:tcW w:w="3822" w:type="dxa"/>
          </w:tcPr>
          <w:p>
            <w:pPr>
              <w:pStyle w:val="TableParagraph"/>
              <w:spacing w:before="12"/>
              <w:ind w:left="50"/>
              <w:rPr>
                <w:sz w:val="16"/>
              </w:rPr>
            </w:pPr>
            <w:r>
              <w:rPr>
                <w:sz w:val="16"/>
              </w:rPr>
              <w:t>Total</w:t>
            </w:r>
            <w:r>
              <w:rPr>
                <w:spacing w:val="-14"/>
                <w:sz w:val="16"/>
              </w:rPr>
              <w:t> </w:t>
            </w:r>
            <w:r>
              <w:rPr>
                <w:sz w:val="16"/>
              </w:rPr>
              <w:t>Assets</w:t>
            </w:r>
            <w:r>
              <w:rPr>
                <w:spacing w:val="-9"/>
                <w:sz w:val="16"/>
              </w:rPr>
              <w:t> </w:t>
            </w:r>
            <w:r>
              <w:rPr>
                <w:sz w:val="16"/>
              </w:rPr>
              <w:t>at</w:t>
            </w:r>
            <w:r>
              <w:rPr>
                <w:spacing w:val="-6"/>
                <w:sz w:val="16"/>
              </w:rPr>
              <w:t> </w:t>
            </w:r>
            <w:r>
              <w:rPr>
                <w:sz w:val="16"/>
              </w:rPr>
              <w:t>fair</w:t>
            </w:r>
            <w:r>
              <w:rPr>
                <w:spacing w:val="-6"/>
                <w:sz w:val="16"/>
              </w:rPr>
              <w:t> </w:t>
            </w:r>
            <w:r>
              <w:rPr>
                <w:spacing w:val="-4"/>
                <w:sz w:val="16"/>
              </w:rPr>
              <w:t>value</w:t>
            </w:r>
          </w:p>
        </w:tc>
        <w:tc>
          <w:tcPr>
            <w:tcW w:w="1413" w:type="dxa"/>
            <w:tcBorders>
              <w:top w:val="single" w:sz="8" w:space="0" w:color="6C6C6C"/>
            </w:tcBorders>
          </w:tcPr>
          <w:p>
            <w:pPr>
              <w:pStyle w:val="TableParagraph"/>
              <w:tabs>
                <w:tab w:pos="918" w:val="left" w:leader="none"/>
              </w:tabs>
              <w:spacing w:before="12"/>
              <w:ind w:left="52"/>
              <w:rPr>
                <w:sz w:val="16"/>
              </w:rPr>
            </w:pPr>
            <w:r>
              <w:rPr>
                <w:spacing w:val="-10"/>
                <w:sz w:val="16"/>
              </w:rPr>
              <w:t>$</w:t>
            </w:r>
            <w:r>
              <w:rPr>
                <w:sz w:val="16"/>
              </w:rPr>
              <w:tab/>
            </w:r>
            <w:r>
              <w:rPr>
                <w:spacing w:val="-5"/>
                <w:sz w:val="16"/>
              </w:rPr>
              <w:t>221</w:t>
            </w:r>
          </w:p>
        </w:tc>
        <w:tc>
          <w:tcPr>
            <w:tcW w:w="1120" w:type="dxa"/>
            <w:tcBorders>
              <w:top w:val="single" w:sz="8" w:space="0" w:color="6C6C6C"/>
            </w:tcBorders>
          </w:tcPr>
          <w:p>
            <w:pPr>
              <w:pStyle w:val="TableParagraph"/>
              <w:tabs>
                <w:tab w:pos="370" w:val="left" w:leader="none"/>
              </w:tabs>
              <w:spacing w:before="12"/>
              <w:ind w:left="35"/>
              <w:rPr>
                <w:sz w:val="16"/>
              </w:rPr>
            </w:pPr>
            <w:r>
              <w:rPr>
                <w:spacing w:val="-10"/>
                <w:sz w:val="16"/>
              </w:rPr>
              <w:t>$</w:t>
            </w:r>
            <w:r>
              <w:rPr>
                <w:sz w:val="16"/>
              </w:rPr>
              <w:tab/>
            </w:r>
            <w:r>
              <w:rPr>
                <w:spacing w:val="-2"/>
                <w:sz w:val="16"/>
              </w:rPr>
              <w:t>92,093</w:t>
            </w:r>
          </w:p>
        </w:tc>
        <w:tc>
          <w:tcPr>
            <w:tcW w:w="1623" w:type="dxa"/>
            <w:tcBorders>
              <w:top w:val="single" w:sz="8" w:space="0" w:color="6C6C6C"/>
            </w:tcBorders>
          </w:tcPr>
          <w:p>
            <w:pPr>
              <w:pStyle w:val="TableParagraph"/>
              <w:tabs>
                <w:tab w:pos="1130" w:val="left" w:leader="none"/>
              </w:tabs>
              <w:spacing w:before="12"/>
              <w:ind w:left="265"/>
              <w:rPr>
                <w:sz w:val="16"/>
              </w:rPr>
            </w:pPr>
            <w:r>
              <w:rPr>
                <w:spacing w:val="-10"/>
                <w:sz w:val="16"/>
              </w:rPr>
              <w:t>$</w:t>
            </w:r>
            <w:r>
              <w:rPr>
                <w:sz w:val="16"/>
              </w:rPr>
              <w:tab/>
            </w:r>
            <w:r>
              <w:rPr>
                <w:spacing w:val="-5"/>
                <w:sz w:val="16"/>
              </w:rPr>
              <w:t>120</w:t>
            </w:r>
          </w:p>
        </w:tc>
        <w:tc>
          <w:tcPr>
            <w:tcW w:w="1375" w:type="dxa"/>
            <w:tcBorders>
              <w:top w:val="single" w:sz="8" w:space="0" w:color="6C6C6C"/>
            </w:tcBorders>
          </w:tcPr>
          <w:p>
            <w:pPr>
              <w:pStyle w:val="TableParagraph"/>
              <w:tabs>
                <w:tab w:pos="785" w:val="left" w:leader="none"/>
              </w:tabs>
              <w:spacing w:before="12"/>
              <w:ind w:right="24"/>
              <w:jc w:val="center"/>
              <w:rPr>
                <w:sz w:val="16"/>
              </w:rPr>
            </w:pPr>
            <w:r>
              <w:rPr>
                <w:spacing w:val="-10"/>
                <w:sz w:val="16"/>
              </w:rPr>
              <w:t>$</w:t>
            </w:r>
            <w:r>
              <w:rPr>
                <w:sz w:val="16"/>
              </w:rPr>
              <w:tab/>
            </w:r>
            <w:r>
              <w:rPr>
                <w:spacing w:val="-2"/>
                <w:sz w:val="16"/>
              </w:rPr>
              <w:t>93,312</w:t>
            </w:r>
          </w:p>
        </w:tc>
      </w:tr>
      <w:tr>
        <w:trPr>
          <w:trHeight w:val="345" w:hRule="atLeast"/>
        </w:trPr>
        <w:tc>
          <w:tcPr>
            <w:tcW w:w="3822" w:type="dxa"/>
          </w:tcPr>
          <w:p>
            <w:pPr>
              <w:pStyle w:val="TableParagraph"/>
              <w:spacing w:before="25"/>
              <w:ind w:left="50"/>
              <w:rPr>
                <w:sz w:val="16"/>
              </w:rPr>
            </w:pPr>
            <w:r>
              <w:rPr>
                <w:sz w:val="16"/>
              </w:rPr>
              <w:t>As</w:t>
            </w:r>
            <w:r>
              <w:rPr>
                <w:spacing w:val="-2"/>
                <w:sz w:val="16"/>
              </w:rPr>
              <w:t> </w:t>
            </w:r>
            <w:r>
              <w:rPr>
                <w:sz w:val="16"/>
              </w:rPr>
              <w:t>a</w:t>
            </w:r>
            <w:r>
              <w:rPr>
                <w:spacing w:val="-3"/>
                <w:sz w:val="16"/>
              </w:rPr>
              <w:t> </w:t>
            </w:r>
            <w:r>
              <w:rPr>
                <w:sz w:val="16"/>
              </w:rPr>
              <w:t>percentage</w:t>
            </w:r>
            <w:r>
              <w:rPr>
                <w:spacing w:val="-3"/>
                <w:sz w:val="16"/>
              </w:rPr>
              <w:t> </w:t>
            </w:r>
            <w:r>
              <w:rPr>
                <w:sz w:val="16"/>
              </w:rPr>
              <w:t>of</w:t>
            </w:r>
            <w:r>
              <w:rPr>
                <w:spacing w:val="-2"/>
                <w:sz w:val="16"/>
              </w:rPr>
              <w:t> </w:t>
            </w:r>
            <w:r>
              <w:rPr>
                <w:sz w:val="16"/>
              </w:rPr>
              <w:t>total</w:t>
            </w:r>
            <w:r>
              <w:rPr>
                <w:spacing w:val="-1"/>
                <w:sz w:val="16"/>
              </w:rPr>
              <w:t> </w:t>
            </w:r>
            <w:r>
              <w:rPr>
                <w:spacing w:val="-2"/>
                <w:sz w:val="16"/>
              </w:rPr>
              <w:t>assets</w:t>
            </w:r>
          </w:p>
        </w:tc>
        <w:tc>
          <w:tcPr>
            <w:tcW w:w="1413" w:type="dxa"/>
          </w:tcPr>
          <w:p>
            <w:pPr>
              <w:pStyle w:val="TableParagraph"/>
              <w:spacing w:before="25"/>
              <w:ind w:right="30"/>
              <w:jc w:val="right"/>
              <w:rPr>
                <w:sz w:val="16"/>
              </w:rPr>
            </w:pPr>
            <w:r>
              <w:rPr>
                <w:sz w:val="16"/>
              </w:rPr>
              <w:t>0.24</w:t>
            </w:r>
            <w:r>
              <w:rPr>
                <w:spacing w:val="6"/>
                <w:sz w:val="16"/>
              </w:rPr>
              <w:t> </w:t>
            </w:r>
            <w:r>
              <w:rPr>
                <w:spacing w:val="-10"/>
                <w:sz w:val="16"/>
              </w:rPr>
              <w:t>%</w:t>
            </w:r>
          </w:p>
        </w:tc>
        <w:tc>
          <w:tcPr>
            <w:tcW w:w="1120" w:type="dxa"/>
          </w:tcPr>
          <w:p>
            <w:pPr>
              <w:pStyle w:val="TableParagraph"/>
              <w:rPr>
                <w:rFonts w:ascii="Times New Roman"/>
                <w:sz w:val="18"/>
              </w:rPr>
            </w:pPr>
          </w:p>
        </w:tc>
        <w:tc>
          <w:tcPr>
            <w:tcW w:w="1623" w:type="dxa"/>
          </w:tcPr>
          <w:p>
            <w:pPr>
              <w:pStyle w:val="TableParagraph"/>
              <w:spacing w:before="25"/>
              <w:ind w:right="28"/>
              <w:jc w:val="right"/>
              <w:rPr>
                <w:sz w:val="16"/>
              </w:rPr>
            </w:pPr>
            <w:r>
              <w:rPr>
                <w:sz w:val="16"/>
              </w:rPr>
              <w:t>0.13</w:t>
            </w:r>
            <w:r>
              <w:rPr>
                <w:spacing w:val="6"/>
                <w:sz w:val="16"/>
              </w:rPr>
              <w:t> </w:t>
            </w:r>
            <w:r>
              <w:rPr>
                <w:spacing w:val="-10"/>
                <w:sz w:val="16"/>
              </w:rPr>
              <w:t>%</w:t>
            </w:r>
          </w:p>
        </w:tc>
        <w:tc>
          <w:tcPr>
            <w:tcW w:w="1375" w:type="dxa"/>
          </w:tcPr>
          <w:p>
            <w:pPr>
              <w:pStyle w:val="TableParagraph"/>
              <w:rPr>
                <w:rFonts w:ascii="Times New Roman"/>
                <w:sz w:val="18"/>
              </w:rPr>
            </w:pPr>
          </w:p>
        </w:tc>
      </w:tr>
      <w:tr>
        <w:trPr>
          <w:trHeight w:val="345" w:hRule="atLeast"/>
        </w:trPr>
        <w:tc>
          <w:tcPr>
            <w:tcW w:w="3822" w:type="dxa"/>
          </w:tcPr>
          <w:p>
            <w:pPr>
              <w:pStyle w:val="TableParagraph"/>
              <w:spacing w:before="130"/>
              <w:ind w:left="50"/>
              <w:rPr>
                <w:sz w:val="16"/>
              </w:rPr>
            </w:pPr>
            <w:r>
              <w:rPr>
                <w:sz w:val="16"/>
              </w:rPr>
              <w:t>Total</w:t>
            </w:r>
            <w:r>
              <w:rPr>
                <w:spacing w:val="-10"/>
                <w:sz w:val="16"/>
              </w:rPr>
              <w:t> </w:t>
            </w:r>
            <w:r>
              <w:rPr>
                <w:sz w:val="16"/>
              </w:rPr>
              <w:t>Liabilities</w:t>
            </w:r>
            <w:r>
              <w:rPr>
                <w:spacing w:val="-8"/>
                <w:sz w:val="16"/>
              </w:rPr>
              <w:t> </w:t>
            </w:r>
            <w:r>
              <w:rPr>
                <w:sz w:val="16"/>
              </w:rPr>
              <w:t>at</w:t>
            </w:r>
            <w:r>
              <w:rPr>
                <w:spacing w:val="-8"/>
                <w:sz w:val="16"/>
              </w:rPr>
              <w:t> </w:t>
            </w:r>
            <w:r>
              <w:rPr>
                <w:sz w:val="16"/>
              </w:rPr>
              <w:t>fair</w:t>
            </w:r>
            <w:r>
              <w:rPr>
                <w:spacing w:val="-8"/>
                <w:sz w:val="16"/>
              </w:rPr>
              <w:t> </w:t>
            </w:r>
            <w:r>
              <w:rPr>
                <w:spacing w:val="-4"/>
                <w:sz w:val="16"/>
              </w:rPr>
              <w:t>value</w:t>
            </w:r>
          </w:p>
        </w:tc>
        <w:tc>
          <w:tcPr>
            <w:tcW w:w="1413" w:type="dxa"/>
          </w:tcPr>
          <w:p>
            <w:pPr>
              <w:pStyle w:val="TableParagraph"/>
              <w:tabs>
                <w:tab w:pos="785" w:val="left" w:leader="none"/>
              </w:tabs>
              <w:spacing w:before="130"/>
              <w:ind w:left="52"/>
              <w:rPr>
                <w:sz w:val="16"/>
              </w:rPr>
            </w:pPr>
            <w:r>
              <w:rPr>
                <w:spacing w:val="-10"/>
                <w:sz w:val="16"/>
              </w:rPr>
              <w:t>$</w:t>
            </w:r>
            <w:r>
              <w:rPr>
                <w:sz w:val="16"/>
              </w:rPr>
              <w:tab/>
            </w:r>
            <w:r>
              <w:rPr>
                <w:spacing w:val="-2"/>
                <w:sz w:val="16"/>
              </w:rPr>
              <w:t>3,949</w:t>
            </w:r>
          </w:p>
        </w:tc>
        <w:tc>
          <w:tcPr>
            <w:tcW w:w="1120" w:type="dxa"/>
          </w:tcPr>
          <w:p>
            <w:pPr>
              <w:pStyle w:val="TableParagraph"/>
              <w:spacing w:before="130"/>
              <w:ind w:left="35"/>
              <w:rPr>
                <w:sz w:val="16"/>
              </w:rPr>
            </w:pPr>
            <w:r>
              <w:rPr>
                <w:sz w:val="16"/>
              </w:rPr>
              <w:t>$</w:t>
            </w:r>
            <w:r>
              <w:rPr>
                <w:spacing w:val="34"/>
                <w:sz w:val="16"/>
              </w:rPr>
              <w:t>  </w:t>
            </w:r>
            <w:r>
              <w:rPr>
                <w:spacing w:val="-2"/>
                <w:sz w:val="16"/>
              </w:rPr>
              <w:t>277,016</w:t>
            </w:r>
          </w:p>
        </w:tc>
        <w:tc>
          <w:tcPr>
            <w:tcW w:w="1623" w:type="dxa"/>
          </w:tcPr>
          <w:p>
            <w:pPr>
              <w:pStyle w:val="TableParagraph"/>
              <w:tabs>
                <w:tab w:pos="997" w:val="left" w:leader="none"/>
              </w:tabs>
              <w:spacing w:before="130"/>
              <w:ind w:left="265"/>
              <w:rPr>
                <w:sz w:val="16"/>
              </w:rPr>
            </w:pPr>
            <w:r>
              <w:rPr>
                <w:spacing w:val="-10"/>
                <w:sz w:val="16"/>
              </w:rPr>
              <w:t>$</w:t>
            </w:r>
            <w:r>
              <w:rPr>
                <w:sz w:val="16"/>
              </w:rPr>
              <w:tab/>
            </w:r>
            <w:r>
              <w:rPr>
                <w:spacing w:val="-2"/>
                <w:sz w:val="16"/>
              </w:rPr>
              <w:t>4,596</w:t>
            </w:r>
          </w:p>
        </w:tc>
        <w:tc>
          <w:tcPr>
            <w:tcW w:w="1375" w:type="dxa"/>
          </w:tcPr>
          <w:p>
            <w:pPr>
              <w:pStyle w:val="TableParagraph"/>
              <w:tabs>
                <w:tab w:pos="696" w:val="left" w:leader="none"/>
              </w:tabs>
              <w:spacing w:before="130"/>
              <w:ind w:right="24"/>
              <w:jc w:val="center"/>
              <w:rPr>
                <w:sz w:val="16"/>
              </w:rPr>
            </w:pPr>
            <w:r>
              <w:rPr>
                <w:spacing w:val="-10"/>
                <w:sz w:val="16"/>
              </w:rPr>
              <w:t>$</w:t>
            </w:r>
            <w:r>
              <w:rPr>
                <w:sz w:val="16"/>
              </w:rPr>
              <w:tab/>
            </w:r>
            <w:r>
              <w:rPr>
                <w:spacing w:val="-2"/>
                <w:sz w:val="16"/>
              </w:rPr>
              <w:t>266,344</w:t>
            </w:r>
          </w:p>
        </w:tc>
      </w:tr>
      <w:tr>
        <w:trPr>
          <w:trHeight w:val="209" w:hRule="atLeast"/>
        </w:trPr>
        <w:tc>
          <w:tcPr>
            <w:tcW w:w="3822" w:type="dxa"/>
          </w:tcPr>
          <w:p>
            <w:pPr>
              <w:pStyle w:val="TableParagraph"/>
              <w:spacing w:line="164" w:lineRule="exact" w:before="25"/>
              <w:ind w:left="50"/>
              <w:rPr>
                <w:sz w:val="16"/>
              </w:rPr>
            </w:pPr>
            <w:r>
              <w:rPr>
                <w:sz w:val="16"/>
              </w:rPr>
              <w:t>As</w:t>
            </w:r>
            <w:r>
              <w:rPr>
                <w:spacing w:val="-2"/>
                <w:sz w:val="16"/>
              </w:rPr>
              <w:t> </w:t>
            </w:r>
            <w:r>
              <w:rPr>
                <w:sz w:val="16"/>
              </w:rPr>
              <w:t>a</w:t>
            </w:r>
            <w:r>
              <w:rPr>
                <w:spacing w:val="-3"/>
                <w:sz w:val="16"/>
              </w:rPr>
              <w:t> </w:t>
            </w:r>
            <w:r>
              <w:rPr>
                <w:sz w:val="16"/>
              </w:rPr>
              <w:t>percentage</w:t>
            </w:r>
            <w:r>
              <w:rPr>
                <w:spacing w:val="-3"/>
                <w:sz w:val="16"/>
              </w:rPr>
              <w:t> </w:t>
            </w:r>
            <w:r>
              <w:rPr>
                <w:sz w:val="16"/>
              </w:rPr>
              <w:t>of</w:t>
            </w:r>
            <w:r>
              <w:rPr>
                <w:spacing w:val="-2"/>
                <w:sz w:val="16"/>
              </w:rPr>
              <w:t> </w:t>
            </w:r>
            <w:r>
              <w:rPr>
                <w:sz w:val="16"/>
              </w:rPr>
              <w:t>total</w:t>
            </w:r>
            <w:r>
              <w:rPr>
                <w:spacing w:val="-1"/>
                <w:sz w:val="16"/>
              </w:rPr>
              <w:t> </w:t>
            </w:r>
            <w:r>
              <w:rPr>
                <w:spacing w:val="-2"/>
                <w:sz w:val="16"/>
              </w:rPr>
              <w:t>liabilities</w:t>
            </w:r>
          </w:p>
        </w:tc>
        <w:tc>
          <w:tcPr>
            <w:tcW w:w="1413" w:type="dxa"/>
          </w:tcPr>
          <w:p>
            <w:pPr>
              <w:pStyle w:val="TableParagraph"/>
              <w:spacing w:line="164" w:lineRule="exact" w:before="25"/>
              <w:ind w:right="30"/>
              <w:jc w:val="right"/>
              <w:rPr>
                <w:sz w:val="16"/>
              </w:rPr>
            </w:pPr>
            <w:r>
              <w:rPr>
                <w:sz w:val="16"/>
              </w:rPr>
              <w:t>1.43</w:t>
            </w:r>
            <w:r>
              <w:rPr>
                <w:spacing w:val="6"/>
                <w:sz w:val="16"/>
              </w:rPr>
              <w:t> </w:t>
            </w:r>
            <w:r>
              <w:rPr>
                <w:spacing w:val="-10"/>
                <w:sz w:val="16"/>
              </w:rPr>
              <w:t>%</w:t>
            </w:r>
          </w:p>
        </w:tc>
        <w:tc>
          <w:tcPr>
            <w:tcW w:w="1120" w:type="dxa"/>
          </w:tcPr>
          <w:p>
            <w:pPr>
              <w:pStyle w:val="TableParagraph"/>
              <w:rPr>
                <w:rFonts w:ascii="Times New Roman"/>
                <w:sz w:val="14"/>
              </w:rPr>
            </w:pPr>
          </w:p>
        </w:tc>
        <w:tc>
          <w:tcPr>
            <w:tcW w:w="1623" w:type="dxa"/>
          </w:tcPr>
          <w:p>
            <w:pPr>
              <w:pStyle w:val="TableParagraph"/>
              <w:spacing w:line="164" w:lineRule="exact" w:before="25"/>
              <w:ind w:right="28"/>
              <w:jc w:val="right"/>
              <w:rPr>
                <w:sz w:val="16"/>
              </w:rPr>
            </w:pPr>
            <w:r>
              <w:rPr>
                <w:sz w:val="16"/>
              </w:rPr>
              <w:t>1.73</w:t>
            </w:r>
            <w:r>
              <w:rPr>
                <w:spacing w:val="6"/>
                <w:sz w:val="16"/>
              </w:rPr>
              <w:t> </w:t>
            </w:r>
            <w:r>
              <w:rPr>
                <w:spacing w:val="-10"/>
                <w:sz w:val="16"/>
              </w:rPr>
              <w:t>%</w:t>
            </w:r>
          </w:p>
        </w:tc>
        <w:tc>
          <w:tcPr>
            <w:tcW w:w="1375" w:type="dxa"/>
          </w:tcPr>
          <w:p>
            <w:pPr>
              <w:pStyle w:val="TableParagraph"/>
              <w:rPr>
                <w:rFonts w:ascii="Times New Roman"/>
                <w:sz w:val="14"/>
              </w:rPr>
            </w:pPr>
          </w:p>
        </w:tc>
      </w:tr>
    </w:tbl>
    <w:p>
      <w:pPr>
        <w:pStyle w:val="BodyText"/>
        <w:spacing w:before="10"/>
        <w:rPr>
          <w:rFonts w:ascii="Arial"/>
          <w:i/>
        </w:rPr>
      </w:pPr>
      <w:r>
        <w:rPr>
          <w:rFonts w:ascii="Arial"/>
          <w:i/>
        </w:rPr>
        <mc:AlternateContent>
          <mc:Choice Requires="wps">
            <w:drawing>
              <wp:anchor distT="0" distB="0" distL="0" distR="0" allowOverlap="1" layoutInCell="1" locked="0" behindDoc="1" simplePos="0" relativeHeight="487667712">
                <wp:simplePos x="0" y="0"/>
                <wp:positionH relativeFrom="page">
                  <wp:posOffset>914400</wp:posOffset>
                </wp:positionH>
                <wp:positionV relativeFrom="paragraph">
                  <wp:posOffset>167753</wp:posOffset>
                </wp:positionV>
                <wp:extent cx="594360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5943600" cy="1270"/>
                        </a:xfrm>
                        <a:custGeom>
                          <a:avLst/>
                          <a:gdLst/>
                          <a:ahLst/>
                          <a:cxnLst/>
                          <a:rect l="l" t="t" r="r" b="b"/>
                          <a:pathLst>
                            <a:path w="5943600" h="0">
                              <a:moveTo>
                                <a:pt x="0" y="0"/>
                              </a:moveTo>
                              <a:lnTo>
                                <a:pt x="5943600" y="0"/>
                              </a:lnTo>
                            </a:path>
                          </a:pathLst>
                        </a:custGeom>
                        <a:ln w="12700">
                          <a:solidFill>
                            <a:srgbClr val="6C6C6C"/>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208925pt;width:468pt;height:.1pt;mso-position-horizontal-relative:page;mso-position-vertical-relative:paragraph;z-index:-15648768;mso-wrap-distance-left:0;mso-wrap-distance-right:0" id="docshape478" coordorigin="1440,264" coordsize="9360,0" path="m1440,264l10800,264e" filled="false" stroked="true" strokeweight="1pt" strokecolor="#6c6c6c">
                <v:path arrowok="t"/>
                <v:stroke dashstyle="solid"/>
                <w10:wrap type="topAndBottom"/>
              </v:shape>
            </w:pict>
          </mc:Fallback>
        </mc:AlternateContent>
      </w:r>
    </w:p>
    <w:p>
      <w:pPr>
        <w:pStyle w:val="BodyText"/>
        <w:spacing w:line="249" w:lineRule="auto" w:before="162"/>
        <w:ind w:left="720" w:right="719"/>
        <w:jc w:val="both"/>
      </w:pPr>
      <w:r>
        <w:rPr/>
        <w:t>IBRD</w:t>
      </w:r>
      <w:r>
        <w:rPr>
          <w:spacing w:val="-3"/>
        </w:rPr>
        <w:t> </w:t>
      </w:r>
      <w:r>
        <w:rPr/>
        <w:t>reviews</w:t>
      </w:r>
      <w:r>
        <w:rPr>
          <w:spacing w:val="-3"/>
        </w:rPr>
        <w:t> </w:t>
      </w:r>
      <w:r>
        <w:rPr/>
        <w:t>the</w:t>
      </w:r>
      <w:r>
        <w:rPr>
          <w:spacing w:val="-3"/>
        </w:rPr>
        <w:t> </w:t>
      </w:r>
      <w:r>
        <w:rPr/>
        <w:t>methodology,</w:t>
      </w:r>
      <w:r>
        <w:rPr>
          <w:spacing w:val="-3"/>
        </w:rPr>
        <w:t> </w:t>
      </w:r>
      <w:r>
        <w:rPr/>
        <w:t>inputs,</w:t>
      </w:r>
      <w:r>
        <w:rPr>
          <w:spacing w:val="-3"/>
        </w:rPr>
        <w:t> </w:t>
      </w:r>
      <w:r>
        <w:rPr/>
        <w:t>and</w:t>
      </w:r>
      <w:r>
        <w:rPr>
          <w:spacing w:val="-3"/>
        </w:rPr>
        <w:t> </w:t>
      </w:r>
      <w:r>
        <w:rPr/>
        <w:t>assumptions</w:t>
      </w:r>
      <w:r>
        <w:rPr>
          <w:spacing w:val="-3"/>
        </w:rPr>
        <w:t> </w:t>
      </w:r>
      <w:r>
        <w:rPr/>
        <w:t>on</w:t>
      </w:r>
      <w:r>
        <w:rPr>
          <w:spacing w:val="-3"/>
        </w:rPr>
        <w:t> </w:t>
      </w:r>
      <w:r>
        <w:rPr/>
        <w:t>a</w:t>
      </w:r>
      <w:r>
        <w:rPr>
          <w:spacing w:val="-3"/>
        </w:rPr>
        <w:t> </w:t>
      </w:r>
      <w:r>
        <w:rPr/>
        <w:t>quarterly</w:t>
      </w:r>
      <w:r>
        <w:rPr>
          <w:spacing w:val="-3"/>
        </w:rPr>
        <w:t> </w:t>
      </w:r>
      <w:r>
        <w:rPr/>
        <w:t>basis</w:t>
      </w:r>
      <w:r>
        <w:rPr>
          <w:spacing w:val="-3"/>
        </w:rPr>
        <w:t> </w:t>
      </w:r>
      <w:r>
        <w:rPr/>
        <w:t>to</w:t>
      </w:r>
      <w:r>
        <w:rPr>
          <w:spacing w:val="-3"/>
        </w:rPr>
        <w:t> </w:t>
      </w:r>
      <w:r>
        <w:rPr/>
        <w:t>assess</w:t>
      </w:r>
      <w:r>
        <w:rPr>
          <w:spacing w:val="-3"/>
        </w:rPr>
        <w:t> </w:t>
      </w:r>
      <w:r>
        <w:rPr/>
        <w:t>the</w:t>
      </w:r>
      <w:r>
        <w:rPr>
          <w:spacing w:val="-3"/>
        </w:rPr>
        <w:t> </w:t>
      </w:r>
      <w:r>
        <w:rPr/>
        <w:t>appropriateness</w:t>
      </w:r>
      <w:r>
        <w:rPr>
          <w:spacing w:val="-3"/>
        </w:rPr>
        <w:t> </w:t>
      </w:r>
      <w:r>
        <w:rPr/>
        <w:t>of</w:t>
      </w:r>
      <w:r>
        <w:rPr>
          <w:spacing w:val="-3"/>
        </w:rPr>
        <w:t> </w:t>
      </w:r>
      <w:r>
        <w:rPr/>
        <w:t>the</w:t>
      </w:r>
      <w:r>
        <w:rPr>
          <w:spacing w:val="-3"/>
        </w:rPr>
        <w:t> </w:t>
      </w:r>
      <w:r>
        <w:rPr/>
        <w:t>fair value hierarchy classification of each financial instrument.</w:t>
      </w:r>
    </w:p>
    <w:p>
      <w:pPr>
        <w:pStyle w:val="BodyText"/>
        <w:spacing w:line="249" w:lineRule="auto" w:before="121"/>
        <w:ind w:left="720" w:right="719"/>
        <w:jc w:val="both"/>
      </w:pPr>
      <w:r>
        <w:rPr/>
        <w:t>Some financial instruments are valued using pricing models. The valuation group, which is independent of treasury and risk management functions, reviews all financial instrument models affecting financial reporting through fair value and assesses model appropriateness and consistency. The review looks at whether the models accurately</w:t>
      </w:r>
      <w:r>
        <w:rPr>
          <w:spacing w:val="40"/>
        </w:rPr>
        <w:t> </w:t>
      </w:r>
      <w:r>
        <w:rPr/>
        <w:t>reflect the characteristics of the transaction and its risks, the suitability and convergence properties of numerical algorithms, the reliability of data sources, the consistency of the treatment with models for similar products, and sensitivity to input parameters and assumptions that cannot be priced from the market.</w:t>
      </w:r>
    </w:p>
    <w:p>
      <w:pPr>
        <w:pStyle w:val="BodyText"/>
        <w:spacing w:line="249" w:lineRule="auto" w:before="125"/>
        <w:ind w:left="720" w:right="718"/>
        <w:jc w:val="both"/>
      </w:pPr>
      <w:r>
        <w:rPr/>
        <w:t>Reviews are conducted of new and/or changed models, as well as previously validated models, to assess whether</w:t>
      </w:r>
      <w:r>
        <w:rPr>
          <w:spacing w:val="40"/>
        </w:rPr>
        <w:t> </w:t>
      </w:r>
      <w:r>
        <w:rPr/>
        <w:t>any changes in the product or market may have affected the model’s continued validity and whether any theoretical or competitive developments may require reassessment of the model’s adequacy.</w:t>
      </w:r>
    </w:p>
    <w:p>
      <w:pPr>
        <w:pStyle w:val="BodyText"/>
        <w:spacing w:line="249" w:lineRule="auto" w:before="123"/>
        <w:ind w:left="720" w:right="720"/>
        <w:jc w:val="both"/>
      </w:pPr>
      <w:r>
        <w:rPr/>
        <w:t>The financial models used for input to IBRD’s financial statements are subject to both internal and periodic external verification and review by qualified personnel.</w:t>
      </w:r>
    </w:p>
    <w:p>
      <w:pPr>
        <w:pStyle w:val="BodyText"/>
        <w:spacing w:line="249" w:lineRule="auto" w:before="121"/>
        <w:ind w:left="720" w:right="720"/>
        <w:jc w:val="both"/>
      </w:pPr>
      <w:r>
        <w:rPr/>
        <w:t>In cases where Management relies on instrument valuations supplied by external pricing vendors, procedures are in place to validate the appropriateness of the models used, as well as the inputs applied in determining those values.</w:t>
      </w:r>
    </w:p>
    <w:p>
      <w:pPr>
        <w:pStyle w:val="BodyText"/>
        <w:spacing w:after="0" w:line="249" w:lineRule="auto"/>
        <w:jc w:val="both"/>
        <w:sectPr>
          <w:type w:val="continuous"/>
          <w:pgSz w:w="12240" w:h="15840"/>
          <w:pgMar w:header="744" w:footer="713" w:top="1820" w:bottom="280" w:left="720" w:right="720"/>
        </w:sectPr>
      </w:pPr>
    </w:p>
    <w:p>
      <w:pPr>
        <w:pStyle w:val="BodyText"/>
        <w:spacing w:before="109"/>
        <w:rPr>
          <w:sz w:val="24"/>
        </w:rPr>
      </w:pPr>
    </w:p>
    <w:p>
      <w:pPr>
        <w:spacing w:before="0"/>
        <w:ind w:left="720" w:right="0" w:firstLine="0"/>
        <w:jc w:val="both"/>
        <w:rPr>
          <w:rFonts w:ascii="Arial"/>
          <w:b/>
          <w:sz w:val="24"/>
        </w:rPr>
      </w:pPr>
      <w:bookmarkStart w:name="Provision for Losses on Loans and Other " w:id="150"/>
      <w:bookmarkEnd w:id="150"/>
      <w:r>
        <w:rPr/>
      </w:r>
      <w:bookmarkStart w:name="_bookmark100" w:id="151"/>
      <w:bookmarkEnd w:id="151"/>
      <w:r>
        <w:rPr/>
      </w:r>
      <w:r>
        <w:rPr>
          <w:rFonts w:ascii="Arial"/>
          <w:b/>
          <w:sz w:val="24"/>
        </w:rPr>
        <w:t>Provision</w:t>
      </w:r>
      <w:r>
        <w:rPr>
          <w:rFonts w:ascii="Arial"/>
          <w:b/>
          <w:spacing w:val="-4"/>
          <w:sz w:val="24"/>
        </w:rPr>
        <w:t> </w:t>
      </w:r>
      <w:r>
        <w:rPr>
          <w:rFonts w:ascii="Arial"/>
          <w:b/>
          <w:sz w:val="24"/>
        </w:rPr>
        <w:t>for</w:t>
      </w:r>
      <w:r>
        <w:rPr>
          <w:rFonts w:ascii="Arial"/>
          <w:b/>
          <w:spacing w:val="-1"/>
          <w:sz w:val="24"/>
        </w:rPr>
        <w:t> </w:t>
      </w:r>
      <w:r>
        <w:rPr>
          <w:rFonts w:ascii="Arial"/>
          <w:b/>
          <w:sz w:val="24"/>
        </w:rPr>
        <w:t>Losses</w:t>
      </w:r>
      <w:r>
        <w:rPr>
          <w:rFonts w:ascii="Arial"/>
          <w:b/>
          <w:spacing w:val="-1"/>
          <w:sz w:val="24"/>
        </w:rPr>
        <w:t> </w:t>
      </w:r>
      <w:r>
        <w:rPr>
          <w:rFonts w:ascii="Arial"/>
          <w:b/>
          <w:sz w:val="24"/>
        </w:rPr>
        <w:t>on</w:t>
      </w:r>
      <w:r>
        <w:rPr>
          <w:rFonts w:ascii="Arial"/>
          <w:b/>
          <w:spacing w:val="-2"/>
          <w:sz w:val="24"/>
        </w:rPr>
        <w:t> </w:t>
      </w:r>
      <w:r>
        <w:rPr>
          <w:rFonts w:ascii="Arial"/>
          <w:b/>
          <w:sz w:val="24"/>
        </w:rPr>
        <w:t>Loans</w:t>
      </w:r>
      <w:r>
        <w:rPr>
          <w:rFonts w:ascii="Arial"/>
          <w:b/>
          <w:spacing w:val="-1"/>
          <w:sz w:val="24"/>
        </w:rPr>
        <w:t> </w:t>
      </w:r>
      <w:r>
        <w:rPr>
          <w:rFonts w:ascii="Arial"/>
          <w:b/>
          <w:sz w:val="24"/>
        </w:rPr>
        <w:t>and</w:t>
      </w:r>
      <w:r>
        <w:rPr>
          <w:rFonts w:ascii="Arial"/>
          <w:b/>
          <w:spacing w:val="-1"/>
          <w:sz w:val="24"/>
        </w:rPr>
        <w:t> </w:t>
      </w:r>
      <w:r>
        <w:rPr>
          <w:rFonts w:ascii="Arial"/>
          <w:b/>
          <w:sz w:val="24"/>
        </w:rPr>
        <w:t>Other</w:t>
      </w:r>
      <w:r>
        <w:rPr>
          <w:rFonts w:ascii="Arial"/>
          <w:b/>
          <w:spacing w:val="-1"/>
          <w:sz w:val="24"/>
        </w:rPr>
        <w:t> </w:t>
      </w:r>
      <w:r>
        <w:rPr>
          <w:rFonts w:ascii="Arial"/>
          <w:b/>
          <w:spacing w:val="-2"/>
          <w:sz w:val="24"/>
        </w:rPr>
        <w:t>Exposures</w:t>
      </w:r>
    </w:p>
    <w:p>
      <w:pPr>
        <w:pStyle w:val="BodyText"/>
        <w:spacing w:line="232" w:lineRule="auto" w:before="140"/>
        <w:ind w:left="720" w:right="717"/>
        <w:jc w:val="both"/>
      </w:pPr>
      <w:r>
        <w:rPr/>
        <w:t>IBRD evaluates estimated exposures over the life of loans and other exposures, to incorporate undisbursed loan commitments in the measure of exposure, and to incorporate estimations of future market conditions for a</w:t>
      </w:r>
      <w:r>
        <w:rPr>
          <w:spacing w:val="40"/>
        </w:rPr>
        <w:t> </w:t>
      </w:r>
      <w:r>
        <w:rPr/>
        <w:t>reasonable and supportable forecast period along with historical experience. The overall provision for expected losses is the sum of the computed annual losses, taking into account borrower risk ratings and associated expected default frequencies, estimates of exposure, and severity of loss given default.</w:t>
      </w:r>
    </w:p>
    <w:p>
      <w:pPr>
        <w:pStyle w:val="BodyText"/>
        <w:spacing w:before="223"/>
        <w:ind w:left="720"/>
        <w:jc w:val="both"/>
      </w:pPr>
      <w:r>
        <w:rPr/>
        <w:t>For</w:t>
      </w:r>
      <w:r>
        <w:rPr>
          <w:spacing w:val="-5"/>
        </w:rPr>
        <w:t> </w:t>
      </w:r>
      <w:r>
        <w:rPr/>
        <w:t>loans</w:t>
      </w:r>
      <w:r>
        <w:rPr>
          <w:spacing w:val="-3"/>
        </w:rPr>
        <w:t> </w:t>
      </w:r>
      <w:r>
        <w:rPr/>
        <w:t>carried</w:t>
      </w:r>
      <w:r>
        <w:rPr>
          <w:spacing w:val="-2"/>
        </w:rPr>
        <w:t> </w:t>
      </w:r>
      <w:r>
        <w:rPr/>
        <w:t>at</w:t>
      </w:r>
      <w:r>
        <w:rPr>
          <w:spacing w:val="-3"/>
        </w:rPr>
        <w:t> </w:t>
      </w:r>
      <w:r>
        <w:rPr/>
        <w:t>fair</w:t>
      </w:r>
      <w:r>
        <w:rPr>
          <w:spacing w:val="-3"/>
        </w:rPr>
        <w:t> </w:t>
      </w:r>
      <w:r>
        <w:rPr/>
        <w:t>value,</w:t>
      </w:r>
      <w:r>
        <w:rPr>
          <w:spacing w:val="-2"/>
        </w:rPr>
        <w:t> </w:t>
      </w:r>
      <w:r>
        <w:rPr/>
        <w:t>if</w:t>
      </w:r>
      <w:r>
        <w:rPr>
          <w:spacing w:val="-2"/>
        </w:rPr>
        <w:t> </w:t>
      </w:r>
      <w:r>
        <w:rPr/>
        <w:t>any,</w:t>
      </w:r>
      <w:r>
        <w:rPr>
          <w:spacing w:val="-2"/>
        </w:rPr>
        <w:t> </w:t>
      </w:r>
      <w:r>
        <w:rPr/>
        <w:t>the</w:t>
      </w:r>
      <w:r>
        <w:rPr>
          <w:spacing w:val="-4"/>
        </w:rPr>
        <w:t> </w:t>
      </w:r>
      <w:r>
        <w:rPr/>
        <w:t>credit</w:t>
      </w:r>
      <w:r>
        <w:rPr>
          <w:spacing w:val="-3"/>
        </w:rPr>
        <w:t> </w:t>
      </w:r>
      <w:r>
        <w:rPr/>
        <w:t>risk</w:t>
      </w:r>
      <w:r>
        <w:rPr>
          <w:spacing w:val="-2"/>
        </w:rPr>
        <w:t> </w:t>
      </w:r>
      <w:r>
        <w:rPr/>
        <w:t>assessment</w:t>
      </w:r>
      <w:r>
        <w:rPr>
          <w:spacing w:val="-3"/>
        </w:rPr>
        <w:t> </w:t>
      </w:r>
      <w:r>
        <w:rPr/>
        <w:t>is</w:t>
      </w:r>
      <w:r>
        <w:rPr>
          <w:spacing w:val="-4"/>
        </w:rPr>
        <w:t> </w:t>
      </w:r>
      <w:r>
        <w:rPr/>
        <w:t>a</w:t>
      </w:r>
      <w:r>
        <w:rPr>
          <w:spacing w:val="-3"/>
        </w:rPr>
        <w:t> </w:t>
      </w:r>
      <w:r>
        <w:rPr/>
        <w:t>determinant</w:t>
      </w:r>
      <w:r>
        <w:rPr>
          <w:spacing w:val="-3"/>
        </w:rPr>
        <w:t> </w:t>
      </w:r>
      <w:r>
        <w:rPr/>
        <w:t>of</w:t>
      </w:r>
      <w:r>
        <w:rPr>
          <w:spacing w:val="-2"/>
        </w:rPr>
        <w:t> </w:t>
      </w:r>
      <w:r>
        <w:rPr/>
        <w:t>fair</w:t>
      </w:r>
      <w:r>
        <w:rPr>
          <w:spacing w:val="-2"/>
        </w:rPr>
        <w:t> value.</w:t>
      </w:r>
    </w:p>
    <w:p>
      <w:pPr>
        <w:pStyle w:val="BodyText"/>
        <w:spacing w:line="249" w:lineRule="auto" w:before="130"/>
        <w:ind w:left="720" w:right="718"/>
        <w:jc w:val="both"/>
      </w:pPr>
      <w:r>
        <w:rPr/>
        <w:t>The determination of a borrower's risk rating is based on complex variables such as: political risk, external debt and liquidity, fiscal policy and the public debt burden, balance of payments risks, economic structure and growth prospects, monetary and exchange rate policy, and financial sector risks and corporate sector debt and other vulnerabilities.</w:t>
      </w:r>
      <w:r>
        <w:rPr>
          <w:spacing w:val="40"/>
        </w:rPr>
        <w:t> </w:t>
      </w:r>
      <w:r>
        <w:rPr/>
        <w:t>Additionally, estimations of disbursements and repayments of exposures are made, as well as estimations of future interest cash flows based on forward looking market variables.</w:t>
      </w:r>
    </w:p>
    <w:p>
      <w:pPr>
        <w:pStyle w:val="BodyText"/>
        <w:spacing w:line="249" w:lineRule="auto" w:before="124"/>
        <w:ind w:left="720" w:right="718"/>
        <w:jc w:val="both"/>
      </w:pPr>
      <w:r>
        <w:rPr/>
        <w:t>IBRD periodically reviews these variables and reassesses the adequacy of the accumulated provision accordingly. Actual losses may differ from expected losses owing to unforeseen changes in any of the variables affecting the creditworthiness or estimates inherent in the exposure measurements of borrowers.</w:t>
      </w:r>
    </w:p>
    <w:p>
      <w:pPr>
        <w:pStyle w:val="BodyText"/>
        <w:spacing w:line="249" w:lineRule="auto" w:before="123"/>
        <w:ind w:left="720" w:right="718"/>
        <w:jc w:val="both"/>
      </w:pPr>
      <w:r>
        <w:rPr/>
        <w:t>The Credit Risk Committee monitors aspects of country credit risk, in particular, reviewing the provision for losses on</w:t>
      </w:r>
      <w:r>
        <w:rPr>
          <w:spacing w:val="-2"/>
        </w:rPr>
        <w:t> </w:t>
      </w:r>
      <w:r>
        <w:rPr/>
        <w:t>loans</w:t>
      </w:r>
      <w:r>
        <w:rPr>
          <w:spacing w:val="-2"/>
        </w:rPr>
        <w:t> </w:t>
      </w:r>
      <w:r>
        <w:rPr/>
        <w:t>and</w:t>
      </w:r>
      <w:r>
        <w:rPr>
          <w:spacing w:val="-2"/>
        </w:rPr>
        <w:t> </w:t>
      </w:r>
      <w:r>
        <w:rPr/>
        <w:t>guarantees</w:t>
      </w:r>
      <w:r>
        <w:rPr>
          <w:spacing w:val="-2"/>
        </w:rPr>
        <w:t> </w:t>
      </w:r>
      <w:r>
        <w:rPr/>
        <w:t>taking</w:t>
      </w:r>
      <w:r>
        <w:rPr>
          <w:spacing w:val="-2"/>
        </w:rPr>
        <w:t> </w:t>
      </w:r>
      <w:r>
        <w:rPr/>
        <w:t>into</w:t>
      </w:r>
      <w:r>
        <w:rPr>
          <w:spacing w:val="-2"/>
        </w:rPr>
        <w:t> </w:t>
      </w:r>
      <w:r>
        <w:rPr/>
        <w:t>account,</w:t>
      </w:r>
      <w:r>
        <w:rPr>
          <w:spacing w:val="-2"/>
        </w:rPr>
        <w:t> </w:t>
      </w:r>
      <w:r>
        <w:rPr/>
        <w:t>among</w:t>
      </w:r>
      <w:r>
        <w:rPr>
          <w:spacing w:val="-2"/>
        </w:rPr>
        <w:t> </w:t>
      </w:r>
      <w:r>
        <w:rPr/>
        <w:t>other</w:t>
      </w:r>
      <w:r>
        <w:rPr>
          <w:spacing w:val="-2"/>
        </w:rPr>
        <w:t> </w:t>
      </w:r>
      <w:r>
        <w:rPr/>
        <w:t>factors,</w:t>
      </w:r>
      <w:r>
        <w:rPr>
          <w:spacing w:val="-2"/>
        </w:rPr>
        <w:t> </w:t>
      </w:r>
      <w:r>
        <w:rPr/>
        <w:t>any</w:t>
      </w:r>
      <w:r>
        <w:rPr>
          <w:spacing w:val="-2"/>
        </w:rPr>
        <w:t> </w:t>
      </w:r>
      <w:r>
        <w:rPr/>
        <w:t>changes</w:t>
      </w:r>
      <w:r>
        <w:rPr>
          <w:spacing w:val="-2"/>
        </w:rPr>
        <w:t> </w:t>
      </w:r>
      <w:r>
        <w:rPr/>
        <w:t>in</w:t>
      </w:r>
      <w:r>
        <w:rPr>
          <w:spacing w:val="-2"/>
        </w:rPr>
        <w:t> </w:t>
      </w:r>
      <w:r>
        <w:rPr/>
        <w:t>exposure,</w:t>
      </w:r>
      <w:r>
        <w:rPr>
          <w:spacing w:val="-2"/>
        </w:rPr>
        <w:t> </w:t>
      </w:r>
      <w:r>
        <w:rPr/>
        <w:t>risk</w:t>
      </w:r>
      <w:r>
        <w:rPr>
          <w:spacing w:val="-2"/>
        </w:rPr>
        <w:t> </w:t>
      </w:r>
      <w:r>
        <w:rPr/>
        <w:t>ratings</w:t>
      </w:r>
      <w:r>
        <w:rPr>
          <w:spacing w:val="-2"/>
        </w:rPr>
        <w:t> </w:t>
      </w:r>
      <w:r>
        <w:rPr/>
        <w:t>of</w:t>
      </w:r>
      <w:r>
        <w:rPr>
          <w:spacing w:val="-2"/>
        </w:rPr>
        <w:t> </w:t>
      </w:r>
      <w:r>
        <w:rPr/>
        <w:t>borrowing member countries, or changes between the accrual and nonaccrual portfolios.</w:t>
      </w:r>
    </w:p>
    <w:p>
      <w:pPr>
        <w:pStyle w:val="BodyText"/>
        <w:spacing w:line="249" w:lineRule="auto" w:before="122"/>
        <w:ind w:left="720" w:right="719"/>
        <w:jc w:val="both"/>
      </w:pPr>
      <w:r>
        <w:rPr/>
        <w:t>The accumulated provision for loan losses is reported separately in the Balance Sheets as a reduction from IBRD’s total loans outstanding. The accumulated provision for losses on loan commitments and other exposures is included in accounts payable and miscellaneous liabilities. Increases or decreases in the accumulated provision for losses on loans and other exposures are reported in the Statements of Income as a provision for losses on loans and other exposures</w:t>
      </w:r>
      <w:r>
        <w:rPr>
          <w:spacing w:val="-2"/>
        </w:rPr>
        <w:t> </w:t>
      </w:r>
      <w:r>
        <w:rPr/>
        <w:t>(see</w:t>
      </w:r>
      <w:r>
        <w:rPr>
          <w:spacing w:val="-2"/>
        </w:rPr>
        <w:t> </w:t>
      </w:r>
      <w:r>
        <w:rPr/>
        <w:t>Notes</w:t>
      </w:r>
      <w:r>
        <w:rPr>
          <w:spacing w:val="-2"/>
        </w:rPr>
        <w:t> </w:t>
      </w:r>
      <w:r>
        <w:rPr/>
        <w:t>to</w:t>
      </w:r>
      <w:r>
        <w:rPr>
          <w:spacing w:val="-1"/>
        </w:rPr>
        <w:t> </w:t>
      </w:r>
      <w:r>
        <w:rPr/>
        <w:t>Financial</w:t>
      </w:r>
      <w:r>
        <w:rPr>
          <w:spacing w:val="-2"/>
        </w:rPr>
        <w:t> </w:t>
      </w:r>
      <w:r>
        <w:rPr/>
        <w:t>Statements:</w:t>
      </w:r>
      <w:r>
        <w:rPr>
          <w:spacing w:val="-2"/>
        </w:rPr>
        <w:t> </w:t>
      </w:r>
      <w:r>
        <w:rPr/>
        <w:t>Note</w:t>
      </w:r>
      <w:r>
        <w:rPr>
          <w:spacing w:val="-2"/>
        </w:rPr>
        <w:t> </w:t>
      </w:r>
      <w:r>
        <w:rPr/>
        <w:t>A:</w:t>
      </w:r>
      <w:r>
        <w:rPr>
          <w:spacing w:val="-2"/>
        </w:rPr>
        <w:t> </w:t>
      </w:r>
      <w:r>
        <w:rPr/>
        <w:t>Summary</w:t>
      </w:r>
      <w:r>
        <w:rPr>
          <w:spacing w:val="-1"/>
        </w:rPr>
        <w:t> </w:t>
      </w:r>
      <w:r>
        <w:rPr/>
        <w:t>of</w:t>
      </w:r>
      <w:r>
        <w:rPr>
          <w:spacing w:val="-1"/>
        </w:rPr>
        <w:t> </w:t>
      </w:r>
      <w:r>
        <w:rPr/>
        <w:t>Significant</w:t>
      </w:r>
      <w:r>
        <w:rPr>
          <w:spacing w:val="-2"/>
        </w:rPr>
        <w:t> </w:t>
      </w:r>
      <w:r>
        <w:rPr/>
        <w:t>Accounting</w:t>
      </w:r>
      <w:r>
        <w:rPr>
          <w:spacing w:val="-1"/>
        </w:rPr>
        <w:t> </w:t>
      </w:r>
      <w:r>
        <w:rPr/>
        <w:t>and</w:t>
      </w:r>
      <w:r>
        <w:rPr>
          <w:spacing w:val="-1"/>
        </w:rPr>
        <w:t> </w:t>
      </w:r>
      <w:r>
        <w:rPr/>
        <w:t>Related</w:t>
      </w:r>
      <w:r>
        <w:rPr>
          <w:spacing w:val="-1"/>
        </w:rPr>
        <w:t> </w:t>
      </w:r>
      <w:r>
        <w:rPr/>
        <w:t>Policies</w:t>
      </w:r>
      <w:r>
        <w:rPr>
          <w:spacing w:val="-2"/>
        </w:rPr>
        <w:t> </w:t>
      </w:r>
      <w:r>
        <w:rPr/>
        <w:t>and Note D: Loans and Other Exposures).</w:t>
      </w:r>
    </w:p>
    <w:p>
      <w:pPr>
        <w:pStyle w:val="Heading1"/>
        <w:spacing w:before="123"/>
      </w:pPr>
      <w:bookmarkStart w:name="Pension and Other Post-Retirement Benefi" w:id="152"/>
      <w:bookmarkEnd w:id="152"/>
      <w:r>
        <w:rPr>
          <w:b w:val="0"/>
        </w:rPr>
      </w:r>
      <w:bookmarkStart w:name="_bookmark101" w:id="153"/>
      <w:bookmarkEnd w:id="153"/>
      <w:r>
        <w:rPr>
          <w:b w:val="0"/>
        </w:rPr>
      </w:r>
      <w:r>
        <w:rPr/>
        <w:t>Pension</w:t>
      </w:r>
      <w:r>
        <w:rPr>
          <w:spacing w:val="-3"/>
        </w:rPr>
        <w:t> </w:t>
      </w:r>
      <w:r>
        <w:rPr/>
        <w:t>and</w:t>
      </w:r>
      <w:r>
        <w:rPr>
          <w:spacing w:val="-3"/>
        </w:rPr>
        <w:t> </w:t>
      </w:r>
      <w:r>
        <w:rPr/>
        <w:t>Other</w:t>
      </w:r>
      <w:r>
        <w:rPr>
          <w:spacing w:val="-3"/>
        </w:rPr>
        <w:t> </w:t>
      </w:r>
      <w:r>
        <w:rPr/>
        <w:t>Post-Retirement</w:t>
      </w:r>
      <w:r>
        <w:rPr>
          <w:spacing w:val="-2"/>
        </w:rPr>
        <w:t> Benefits</w:t>
      </w:r>
    </w:p>
    <w:p>
      <w:pPr>
        <w:pStyle w:val="BodyText"/>
        <w:spacing w:line="249" w:lineRule="auto" w:before="134"/>
        <w:ind w:left="720" w:right="718"/>
        <w:jc w:val="both"/>
      </w:pPr>
      <w:r>
        <w:rPr/>
        <w:t>The</w:t>
      </w:r>
      <w:r>
        <w:rPr>
          <w:spacing w:val="-4"/>
        </w:rPr>
        <w:t> </w:t>
      </w:r>
      <w:r>
        <w:rPr/>
        <w:t>underlying</w:t>
      </w:r>
      <w:r>
        <w:rPr>
          <w:spacing w:val="-4"/>
        </w:rPr>
        <w:t> </w:t>
      </w:r>
      <w:r>
        <w:rPr/>
        <w:t>actuarial</w:t>
      </w:r>
      <w:r>
        <w:rPr>
          <w:spacing w:val="-4"/>
        </w:rPr>
        <w:t> </w:t>
      </w:r>
      <w:r>
        <w:rPr/>
        <w:t>assumptions</w:t>
      </w:r>
      <w:r>
        <w:rPr>
          <w:spacing w:val="-4"/>
        </w:rPr>
        <w:t> </w:t>
      </w:r>
      <w:r>
        <w:rPr/>
        <w:t>used</w:t>
      </w:r>
      <w:r>
        <w:rPr>
          <w:spacing w:val="-4"/>
        </w:rPr>
        <w:t> </w:t>
      </w:r>
      <w:r>
        <w:rPr/>
        <w:t>to</w:t>
      </w:r>
      <w:r>
        <w:rPr>
          <w:spacing w:val="-4"/>
        </w:rPr>
        <w:t> </w:t>
      </w:r>
      <w:r>
        <w:rPr/>
        <w:t>determine</w:t>
      </w:r>
      <w:r>
        <w:rPr>
          <w:spacing w:val="-4"/>
        </w:rPr>
        <w:t> </w:t>
      </w:r>
      <w:r>
        <w:rPr/>
        <w:t>the</w:t>
      </w:r>
      <w:r>
        <w:rPr>
          <w:spacing w:val="-4"/>
        </w:rPr>
        <w:t> </w:t>
      </w:r>
      <w:r>
        <w:rPr/>
        <w:t>PBO,</w:t>
      </w:r>
      <w:r>
        <w:rPr>
          <w:spacing w:val="-4"/>
        </w:rPr>
        <w:t> </w:t>
      </w:r>
      <w:r>
        <w:rPr/>
        <w:t>accumulated</w:t>
      </w:r>
      <w:r>
        <w:rPr>
          <w:spacing w:val="-4"/>
        </w:rPr>
        <w:t> </w:t>
      </w:r>
      <w:r>
        <w:rPr/>
        <w:t>benefit</w:t>
      </w:r>
      <w:r>
        <w:rPr>
          <w:spacing w:val="-4"/>
        </w:rPr>
        <w:t> </w:t>
      </w:r>
      <w:r>
        <w:rPr/>
        <w:t>obligations,</w:t>
      </w:r>
      <w:r>
        <w:rPr>
          <w:spacing w:val="-4"/>
        </w:rPr>
        <w:t> </w:t>
      </w:r>
      <w:r>
        <w:rPr/>
        <w:t>and</w:t>
      </w:r>
      <w:r>
        <w:rPr>
          <w:spacing w:val="-4"/>
        </w:rPr>
        <w:t> </w:t>
      </w:r>
      <w:r>
        <w:rPr/>
        <w:t>funded</w:t>
      </w:r>
      <w:r>
        <w:rPr>
          <w:spacing w:val="-4"/>
        </w:rPr>
        <w:t> </w:t>
      </w:r>
      <w:r>
        <w:rPr/>
        <w:t>status associated with IBRD pension and other post-retirement benefit plans are based on financial market interest rates, experience,</w:t>
      </w:r>
      <w:r>
        <w:rPr>
          <w:spacing w:val="-3"/>
        </w:rPr>
        <w:t> </w:t>
      </w:r>
      <w:r>
        <w:rPr/>
        <w:t>and</w:t>
      </w:r>
      <w:r>
        <w:rPr>
          <w:spacing w:val="-3"/>
        </w:rPr>
        <w:t> </w:t>
      </w:r>
      <w:r>
        <w:rPr/>
        <w:t>Management's</w:t>
      </w:r>
      <w:r>
        <w:rPr>
          <w:spacing w:val="-3"/>
        </w:rPr>
        <w:t> </w:t>
      </w:r>
      <w:r>
        <w:rPr/>
        <w:t>best</w:t>
      </w:r>
      <w:r>
        <w:rPr>
          <w:spacing w:val="-3"/>
        </w:rPr>
        <w:t> </w:t>
      </w:r>
      <w:r>
        <w:rPr/>
        <w:t>estimate</w:t>
      </w:r>
      <w:r>
        <w:rPr>
          <w:spacing w:val="-3"/>
        </w:rPr>
        <w:t> </w:t>
      </w:r>
      <w:r>
        <w:rPr/>
        <w:t>of</w:t>
      </w:r>
      <w:r>
        <w:rPr>
          <w:spacing w:val="-3"/>
        </w:rPr>
        <w:t> </w:t>
      </w:r>
      <w:r>
        <w:rPr/>
        <w:t>future</w:t>
      </w:r>
      <w:r>
        <w:rPr>
          <w:spacing w:val="-3"/>
        </w:rPr>
        <w:t> </w:t>
      </w:r>
      <w:r>
        <w:rPr/>
        <w:t>benefit</w:t>
      </w:r>
      <w:r>
        <w:rPr>
          <w:spacing w:val="-3"/>
        </w:rPr>
        <w:t> </w:t>
      </w:r>
      <w:r>
        <w:rPr/>
        <w:t>changes</w:t>
      </w:r>
      <w:r>
        <w:rPr>
          <w:spacing w:val="-3"/>
        </w:rPr>
        <w:t> </w:t>
      </w:r>
      <w:r>
        <w:rPr/>
        <w:t>and</w:t>
      </w:r>
      <w:r>
        <w:rPr>
          <w:spacing w:val="-3"/>
        </w:rPr>
        <w:t> </w:t>
      </w:r>
      <w:r>
        <w:rPr/>
        <w:t>economic</w:t>
      </w:r>
      <w:r>
        <w:rPr>
          <w:spacing w:val="-3"/>
        </w:rPr>
        <w:t> </w:t>
      </w:r>
      <w:r>
        <w:rPr/>
        <w:t>conditions.</w:t>
      </w:r>
      <w:r>
        <w:rPr>
          <w:spacing w:val="-3"/>
        </w:rPr>
        <w:t> </w:t>
      </w:r>
      <w:r>
        <w:rPr/>
        <w:t>All</w:t>
      </w:r>
      <w:r>
        <w:rPr>
          <w:spacing w:val="-3"/>
        </w:rPr>
        <w:t> </w:t>
      </w:r>
      <w:r>
        <w:rPr/>
        <w:t>costs,</w:t>
      </w:r>
      <w:r>
        <w:rPr>
          <w:spacing w:val="-3"/>
        </w:rPr>
        <w:t> </w:t>
      </w:r>
      <w:r>
        <w:rPr/>
        <w:t>assets</w:t>
      </w:r>
      <w:r>
        <w:rPr>
          <w:spacing w:val="-3"/>
        </w:rPr>
        <w:t> </w:t>
      </w:r>
      <w:r>
        <w:rPr/>
        <w:t>and liabilities associated with these plans are allocated between IBRD, IFC, and MIGA based upon their employees’ respective participation in the plans. Costs allocated to IBRD are then shared between IBRD and IDA based on an agreed cost-sharing ratio. IDA, IFC and MIGA reimburse IBRD for their proportionate share of any contributions made to these plans by IBRD. Contributions to the plans are calculated as a percentage of salary (see Notes to Financial Statements, Note J: Pension and Other Post-Retirement Benefits).</w:t>
      </w:r>
    </w:p>
    <w:p>
      <w:pPr>
        <w:pStyle w:val="BodyText"/>
        <w:spacing w:after="0" w:line="249" w:lineRule="auto"/>
        <w:jc w:val="both"/>
        <w:sectPr>
          <w:headerReference w:type="even" r:id="rId69"/>
          <w:headerReference w:type="default" r:id="rId70"/>
          <w:footerReference w:type="even" r:id="rId71"/>
          <w:footerReference w:type="default" r:id="rId72"/>
          <w:pgSz w:w="12240" w:h="15840"/>
          <w:pgMar w:header="744" w:footer="583" w:top="1000" w:bottom="780" w:left="720" w:right="720"/>
          <w:pgNumType w:start="60"/>
        </w:sectPr>
      </w:pPr>
    </w:p>
    <w:p>
      <w:pPr>
        <w:pStyle w:val="BodyText"/>
        <w:spacing w:before="77"/>
        <w:rPr>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69248">
                <wp:simplePos x="0" y="0"/>
                <wp:positionH relativeFrom="page">
                  <wp:posOffset>914400</wp:posOffset>
                </wp:positionH>
                <wp:positionV relativeFrom="paragraph">
                  <wp:posOffset>233062</wp:posOffset>
                </wp:positionV>
                <wp:extent cx="5943600" cy="1270"/>
                <wp:effectExtent l="0" t="0" r="0" b="0"/>
                <wp:wrapTopAndBottom/>
                <wp:docPr id="582" name="Graphic 582"/>
                <wp:cNvGraphicFramePr>
                  <a:graphicFrameLocks/>
                </wp:cNvGraphicFramePr>
                <a:graphic>
                  <a:graphicData uri="http://schemas.microsoft.com/office/word/2010/wordprocessingShape">
                    <wps:wsp>
                      <wps:cNvPr id="582" name="Graphic 58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47232;mso-wrap-distance-left:0;mso-wrap-distance-right:0" id="docshape491" coordorigin="1440,367" coordsize="9360,0" path="m1440,367l10800,367e" filled="false" stroked="true" strokeweight="1pt" strokecolor="#000000">
                <v:path arrowok="t"/>
                <v:stroke dashstyle="solid"/>
                <w10:wrap type="topAndBottom"/>
              </v:shape>
            </w:pict>
          </mc:Fallback>
        </mc:AlternateContent>
      </w:r>
      <w:bookmarkStart w:name="Section XIII: Governance and Controls" w:id="154"/>
      <w:bookmarkEnd w:id="154"/>
      <w:r>
        <w:rPr/>
      </w:r>
      <w:r>
        <w:rPr>
          <w:rFonts w:ascii="Arial"/>
          <w:b/>
          <w:sz w:val="28"/>
        </w:rPr>
        <w:t>Section</w:t>
      </w:r>
      <w:r>
        <w:rPr>
          <w:rFonts w:ascii="Arial"/>
          <w:b/>
          <w:spacing w:val="-2"/>
          <w:sz w:val="28"/>
        </w:rPr>
        <w:t> </w:t>
      </w:r>
      <w:r>
        <w:rPr>
          <w:rFonts w:ascii="Arial"/>
          <w:b/>
          <w:sz w:val="28"/>
        </w:rPr>
        <w:t>XIII:</w:t>
      </w:r>
      <w:r>
        <w:rPr>
          <w:rFonts w:ascii="Arial"/>
          <w:b/>
          <w:spacing w:val="-2"/>
          <w:sz w:val="28"/>
        </w:rPr>
        <w:t> </w:t>
      </w:r>
      <w:r>
        <w:rPr>
          <w:rFonts w:ascii="Arial"/>
          <w:b/>
          <w:sz w:val="28"/>
        </w:rPr>
        <w:t>Governance</w:t>
      </w:r>
      <w:r>
        <w:rPr>
          <w:rFonts w:ascii="Arial"/>
          <w:b/>
          <w:spacing w:val="-2"/>
          <w:sz w:val="28"/>
        </w:rPr>
        <w:t> </w:t>
      </w:r>
      <w:r>
        <w:rPr>
          <w:rFonts w:ascii="Arial"/>
          <w:b/>
          <w:sz w:val="28"/>
        </w:rPr>
        <w:t>and</w:t>
      </w:r>
      <w:r>
        <w:rPr>
          <w:rFonts w:ascii="Arial"/>
          <w:b/>
          <w:spacing w:val="-2"/>
          <w:sz w:val="28"/>
        </w:rPr>
        <w:t> Controls</w:t>
      </w:r>
    </w:p>
    <w:p>
      <w:pPr>
        <w:pStyle w:val="BodyText"/>
        <w:spacing w:before="43"/>
        <w:rPr>
          <w:rFonts w:ascii="Arial"/>
          <w:b/>
          <w:sz w:val="24"/>
        </w:rPr>
      </w:pPr>
    </w:p>
    <w:p>
      <w:pPr>
        <w:spacing w:before="0"/>
        <w:ind w:left="720" w:right="0" w:firstLine="0"/>
        <w:jc w:val="left"/>
        <w:rPr>
          <w:rFonts w:ascii="Arial"/>
          <w:b/>
          <w:sz w:val="24"/>
        </w:rPr>
      </w:pPr>
      <w:bookmarkStart w:name="Business Conduct" w:id="155"/>
      <w:bookmarkEnd w:id="155"/>
      <w:r>
        <w:rPr/>
      </w:r>
      <w:bookmarkStart w:name="_bookmark102" w:id="156"/>
      <w:bookmarkEnd w:id="156"/>
      <w:r>
        <w:rPr/>
      </w:r>
      <w:r>
        <w:rPr>
          <w:rFonts w:ascii="Arial"/>
          <w:b/>
          <w:sz w:val="24"/>
        </w:rPr>
        <w:t>Business</w:t>
      </w:r>
      <w:r>
        <w:rPr>
          <w:rFonts w:ascii="Arial"/>
          <w:b/>
          <w:spacing w:val="-4"/>
          <w:sz w:val="24"/>
        </w:rPr>
        <w:t> </w:t>
      </w:r>
      <w:r>
        <w:rPr>
          <w:rFonts w:ascii="Arial"/>
          <w:b/>
          <w:spacing w:val="-2"/>
          <w:sz w:val="24"/>
        </w:rPr>
        <w:t>Conduct</w:t>
      </w:r>
    </w:p>
    <w:p>
      <w:pPr>
        <w:pStyle w:val="BodyText"/>
        <w:spacing w:line="249" w:lineRule="auto" w:before="135"/>
        <w:ind w:left="720" w:right="718"/>
        <w:jc w:val="both"/>
      </w:pPr>
      <w:r>
        <w:rPr/>
        <w:t>The WBG promotes a positive work environment in which staff members understand their ethical obligations to the institution.</w:t>
      </w:r>
      <w:r>
        <w:rPr>
          <w:spacing w:val="40"/>
        </w:rPr>
        <w:t> </w:t>
      </w:r>
      <w:r>
        <w:rPr/>
        <w:t>In support of this commitment, the institution has in place a Code of Conduct. The WBG has both an Ethics Help Line and a Fraud and Corruption hotline. A third-party service offers many methods of worldwide communication. Reporting channels include telephone, mail, email, or confidential submission through a website.</w:t>
      </w:r>
    </w:p>
    <w:p>
      <w:pPr>
        <w:pStyle w:val="BodyText"/>
        <w:spacing w:line="249" w:lineRule="auto" w:before="123"/>
        <w:ind w:left="720" w:right="720"/>
        <w:jc w:val="both"/>
      </w:pPr>
      <w:r>
        <w:rPr/>
        <w:t>IBRD has procedures in place for receiving, retaining, and handling recommendations and concerns relating to business conduct identified during the accounting, internal control, and auditing processes.</w:t>
      </w:r>
    </w:p>
    <w:p>
      <w:pPr>
        <w:pStyle w:val="BodyText"/>
        <w:spacing w:line="249" w:lineRule="auto" w:before="122"/>
        <w:ind w:left="720" w:right="718"/>
        <w:jc w:val="both"/>
      </w:pPr>
      <w:r>
        <w:rPr/>
        <w:t>WBG staff rules clarify and codify the staff’s obligations in reporting suspected fraud, corruption, or other misconduct that may threaten the operations or governance of the WBG. These rules also offer protection from </w:t>
      </w:r>
      <w:r>
        <w:rPr>
          <w:spacing w:val="-2"/>
        </w:rPr>
        <w:t>retaliation.</w:t>
      </w:r>
    </w:p>
    <w:p>
      <w:pPr>
        <w:pStyle w:val="BodyText"/>
      </w:pPr>
    </w:p>
    <w:p>
      <w:pPr>
        <w:pStyle w:val="BodyText"/>
        <w:spacing w:before="8"/>
      </w:pPr>
    </w:p>
    <w:p>
      <w:pPr>
        <w:spacing w:before="0"/>
        <w:ind w:left="720" w:right="0" w:firstLine="0"/>
        <w:jc w:val="both"/>
        <w:rPr>
          <w:rFonts w:ascii="Arial"/>
          <w:b/>
          <w:sz w:val="18"/>
        </w:rPr>
      </w:pPr>
      <w:r>
        <w:rPr>
          <w:rFonts w:ascii="Arial"/>
          <w:b/>
          <w:sz w:val="18"/>
        </w:rPr>
        <w:drawing>
          <wp:anchor distT="0" distB="0" distL="0" distR="0" allowOverlap="1" layoutInCell="1" locked="0" behindDoc="1" simplePos="0" relativeHeight="487669760">
            <wp:simplePos x="0" y="0"/>
            <wp:positionH relativeFrom="page">
              <wp:posOffset>914400</wp:posOffset>
            </wp:positionH>
            <wp:positionV relativeFrom="paragraph">
              <wp:posOffset>161587</wp:posOffset>
            </wp:positionV>
            <wp:extent cx="5908121" cy="2115312"/>
            <wp:effectExtent l="0" t="0" r="0" b="0"/>
            <wp:wrapTopAndBottom/>
            <wp:docPr id="583" name="Image 583"/>
            <wp:cNvGraphicFramePr>
              <a:graphicFrameLocks/>
            </wp:cNvGraphicFramePr>
            <a:graphic>
              <a:graphicData uri="http://schemas.openxmlformats.org/drawingml/2006/picture">
                <pic:pic>
                  <pic:nvPicPr>
                    <pic:cNvPr id="583" name="Image 583"/>
                    <pic:cNvPicPr/>
                  </pic:nvPicPr>
                  <pic:blipFill>
                    <a:blip r:embed="rId73" cstate="print"/>
                    <a:stretch>
                      <a:fillRect/>
                    </a:stretch>
                  </pic:blipFill>
                  <pic:spPr>
                    <a:xfrm>
                      <a:off x="0" y="0"/>
                      <a:ext cx="5908121" cy="2115312"/>
                    </a:xfrm>
                    <a:prstGeom prst="rect">
                      <a:avLst/>
                    </a:prstGeom>
                  </pic:spPr>
                </pic:pic>
              </a:graphicData>
            </a:graphic>
          </wp:anchor>
        </w:drawing>
      </w:r>
      <w:bookmarkStart w:name="General Governance" w:id="157"/>
      <w:bookmarkEnd w:id="157"/>
      <w:r>
        <w:rPr/>
      </w:r>
      <w:bookmarkStart w:name="_bookmark103" w:id="158"/>
      <w:bookmarkEnd w:id="158"/>
      <w:r>
        <w:rPr/>
      </w:r>
      <w:bookmarkStart w:name="_bookmark104" w:id="159"/>
      <w:bookmarkEnd w:id="159"/>
      <w:r>
        <w:rPr/>
      </w:r>
      <w:r>
        <w:rPr>
          <w:rFonts w:ascii="Arial"/>
          <w:b/>
          <w:sz w:val="18"/>
        </w:rPr>
        <w:t>Figure</w:t>
      </w:r>
      <w:r>
        <w:rPr>
          <w:rFonts w:ascii="Arial"/>
          <w:b/>
          <w:spacing w:val="-3"/>
          <w:sz w:val="18"/>
        </w:rPr>
        <w:t> </w:t>
      </w:r>
      <w:r>
        <w:rPr>
          <w:rFonts w:ascii="Arial"/>
          <w:b/>
          <w:sz w:val="18"/>
        </w:rPr>
        <w:t>27:</w:t>
      </w:r>
      <w:r>
        <w:rPr>
          <w:rFonts w:ascii="Arial"/>
          <w:b/>
          <w:spacing w:val="-3"/>
          <w:sz w:val="18"/>
        </w:rPr>
        <w:t> </w:t>
      </w:r>
      <w:r>
        <w:rPr>
          <w:rFonts w:ascii="Arial"/>
          <w:b/>
          <w:sz w:val="18"/>
        </w:rPr>
        <w:t>Governance</w:t>
      </w:r>
      <w:r>
        <w:rPr>
          <w:rFonts w:ascii="Arial"/>
          <w:b/>
          <w:spacing w:val="-2"/>
          <w:sz w:val="18"/>
        </w:rPr>
        <w:t> Structure</w:t>
      </w:r>
    </w:p>
    <w:p>
      <w:pPr>
        <w:pStyle w:val="BodyText"/>
        <w:spacing w:before="193"/>
        <w:rPr>
          <w:rFonts w:ascii="Arial"/>
          <w:b/>
          <w:sz w:val="18"/>
        </w:rPr>
      </w:pPr>
    </w:p>
    <w:p>
      <w:pPr>
        <w:pStyle w:val="Heading1"/>
        <w:jc w:val="left"/>
      </w:pPr>
      <w:r>
        <w:rPr/>
        <w:t>General</w:t>
      </w:r>
      <w:r>
        <w:rPr>
          <w:spacing w:val="-4"/>
        </w:rPr>
        <w:t> </w:t>
      </w:r>
      <w:r>
        <w:rPr>
          <w:spacing w:val="-2"/>
        </w:rPr>
        <w:t>Governance</w:t>
      </w:r>
    </w:p>
    <w:p>
      <w:pPr>
        <w:pStyle w:val="BodyText"/>
        <w:spacing w:line="249" w:lineRule="auto" w:before="15"/>
        <w:ind w:left="720" w:right="720"/>
        <w:jc w:val="both"/>
      </w:pPr>
      <w:r>
        <w:rPr/>
        <w:t>IBRD’s decision-making structure consists of the Board of Governors, Executive Directors, the President, Management, and staff. The Board of Governors is the highest decision-making authority. Governors are appointed by their member governments for a five-year term, which is renewable. The Board of Governors may delegate authority to the Executive Directors to exercise any of its powers, except for certain powers enumerated in IBRD’s Articles. IBRD has its own policies and frameworks that are carried out by staff that share responsibilities over both IBRD and IDA.</w:t>
      </w:r>
    </w:p>
    <w:p>
      <w:pPr>
        <w:pStyle w:val="BodyText"/>
        <w:spacing w:line="232" w:lineRule="auto" w:before="131"/>
        <w:ind w:left="720" w:right="718"/>
        <w:jc w:val="both"/>
      </w:pPr>
      <w:r>
        <w:rPr/>
        <w:t>In addition, IBRD and IDA have joint internal institutional oversight units which play an assurance role to shareholders and management that IBRD’s work is impactful and accountable, informed by best practices, and delivered to the highest ethical standards with risk management controls and governance processes that are functioning effectively.</w:t>
      </w:r>
    </w:p>
    <w:p>
      <w:pPr>
        <w:pStyle w:val="Heading1"/>
        <w:spacing w:before="220"/>
        <w:jc w:val="left"/>
      </w:pPr>
      <w:bookmarkStart w:name="Executive Directors" w:id="160"/>
      <w:bookmarkEnd w:id="160"/>
      <w:r>
        <w:rPr>
          <w:b w:val="0"/>
        </w:rPr>
      </w:r>
      <w:bookmarkStart w:name="_bookmark105" w:id="161"/>
      <w:bookmarkEnd w:id="161"/>
      <w:r>
        <w:rPr>
          <w:b w:val="0"/>
        </w:rPr>
      </w:r>
      <w:r>
        <w:rPr/>
        <w:t>Executive</w:t>
      </w:r>
      <w:r>
        <w:rPr>
          <w:spacing w:val="-4"/>
        </w:rPr>
        <w:t> </w:t>
      </w:r>
      <w:r>
        <w:rPr>
          <w:spacing w:val="-2"/>
        </w:rPr>
        <w:t>Directors</w:t>
      </w:r>
    </w:p>
    <w:p>
      <w:pPr>
        <w:pStyle w:val="BodyText"/>
        <w:spacing w:line="249" w:lineRule="auto" w:before="134"/>
        <w:ind w:left="720" w:right="718"/>
        <w:jc w:val="both"/>
      </w:pPr>
      <w:r>
        <w:rPr/>
        <w:t>In accordance with IBRD’s Articles, Executive Directors are appointed or elected every two years by their member governments.</w:t>
      </w:r>
      <w:r>
        <w:rPr>
          <w:spacing w:val="40"/>
        </w:rPr>
        <w:t> </w:t>
      </w:r>
      <w:r>
        <w:rPr/>
        <w:t>The Board currently has 25 Executive Directors, who represent all 189 member countries. Executive Directors are neither officers nor staff of IBRD. The President is the only member of the Board from management, and he serves as a non-voting member and as Chairman of the Board.</w:t>
      </w:r>
    </w:p>
    <w:p>
      <w:pPr>
        <w:pStyle w:val="BodyText"/>
        <w:spacing w:line="249" w:lineRule="auto" w:before="123"/>
        <w:ind w:left="720" w:right="717"/>
        <w:jc w:val="both"/>
      </w:pPr>
      <w:r>
        <w:rPr/>
        <w:t>The Board is required to consider proposals made by the President on IBRD loans, grants and guarantees and on other policies that affect its general operations. The Board is also responsible for presenting to the Governors, at the</w:t>
      </w:r>
    </w:p>
    <w:p>
      <w:pPr>
        <w:pStyle w:val="BodyText"/>
        <w:spacing w:after="0" w:line="249" w:lineRule="auto"/>
        <w:jc w:val="both"/>
        <w:sectPr>
          <w:pgSz w:w="12240" w:h="15840"/>
          <w:pgMar w:header="744" w:footer="713" w:top="1020" w:bottom="900" w:left="720" w:right="720"/>
        </w:sectPr>
      </w:pPr>
    </w:p>
    <w:p>
      <w:pPr>
        <w:pStyle w:val="BodyText"/>
        <w:spacing w:before="127"/>
      </w:pPr>
    </w:p>
    <w:p>
      <w:pPr>
        <w:pStyle w:val="BodyText"/>
        <w:spacing w:line="249" w:lineRule="auto" w:before="1"/>
        <w:ind w:left="720" w:right="721"/>
        <w:jc w:val="both"/>
      </w:pPr>
      <w:r>
        <w:rPr/>
        <w:t>Annual Meetings, audited accounts, an administrative budget, and an annual report on operations and policies and other matters.</w:t>
      </w:r>
    </w:p>
    <w:p>
      <w:pPr>
        <w:pStyle w:val="BodyText"/>
        <w:spacing w:line="249" w:lineRule="auto" w:before="121"/>
        <w:ind w:left="720" w:right="720"/>
        <w:jc w:val="both"/>
      </w:pPr>
      <w:r>
        <w:rPr/>
        <w:t>The Board and its committees are in continuous sessions based in Washington DC, as business requires. Each committee's terms of reference establish its respective roles and responsibilities. As committees do not vote on issues, their role is primarily to serve the Board in discharging its responsibilities.</w:t>
      </w:r>
    </w:p>
    <w:p>
      <w:pPr>
        <w:pStyle w:val="BodyText"/>
        <w:spacing w:line="249" w:lineRule="auto" w:before="123"/>
        <w:ind w:left="720" w:right="719"/>
        <w:jc w:val="both"/>
      </w:pPr>
      <w:r>
        <w:rPr/>
        <w:t>The committees are made up of eight members and function under their respective stipulated terms of reference. These committees are as follows:</w:t>
      </w:r>
    </w:p>
    <w:p>
      <w:pPr>
        <w:pStyle w:val="ListParagraph"/>
        <w:numPr>
          <w:ilvl w:val="0"/>
          <w:numId w:val="28"/>
        </w:numPr>
        <w:tabs>
          <w:tab w:pos="1080" w:val="left" w:leader="none"/>
          <w:tab w:pos="1089" w:val="left" w:leader="none"/>
        </w:tabs>
        <w:spacing w:line="249" w:lineRule="auto" w:before="121" w:after="0"/>
        <w:ind w:left="1080" w:right="720" w:hanging="270"/>
        <w:jc w:val="both"/>
        <w:rPr>
          <w:sz w:val="20"/>
        </w:rPr>
      </w:pPr>
      <w:r>
        <w:rPr>
          <w:sz w:val="20"/>
        </w:rPr>
        <w:t>Audit</w:t>
      </w:r>
      <w:r>
        <w:rPr>
          <w:sz w:val="20"/>
        </w:rPr>
        <w:t> Committee - assists the Board in overseeing IBRD’s finances, accounting, risk management and internal controls (</w:t>
      </w:r>
      <w:r>
        <w:rPr>
          <w:i/>
          <w:sz w:val="20"/>
        </w:rPr>
        <w:t>see further explanation below</w:t>
      </w:r>
      <w:r>
        <w:rPr>
          <w:sz w:val="20"/>
        </w:rPr>
        <w:t>).</w:t>
      </w:r>
    </w:p>
    <w:p>
      <w:pPr>
        <w:pStyle w:val="ListParagraph"/>
        <w:numPr>
          <w:ilvl w:val="0"/>
          <w:numId w:val="28"/>
        </w:numPr>
        <w:tabs>
          <w:tab w:pos="1080" w:val="left" w:leader="none"/>
          <w:tab w:pos="1087" w:val="left" w:leader="none"/>
        </w:tabs>
        <w:spacing w:line="249" w:lineRule="auto" w:before="122" w:after="0"/>
        <w:ind w:left="1080" w:right="719" w:hanging="270"/>
        <w:jc w:val="both"/>
        <w:rPr>
          <w:sz w:val="20"/>
        </w:rPr>
      </w:pPr>
      <w:r>
        <w:rPr>
          <w:sz w:val="20"/>
        </w:rPr>
        <w:t>Budget</w:t>
      </w:r>
      <w:r>
        <w:rPr>
          <w:sz w:val="20"/>
        </w:rPr>
        <w:t> Committee - assists the Board in approving the World Bank’s budget and in overseeing the preparation and execution of IBRD’s business plans. The committee provides guidance to management on strategic directions of IBRD.</w:t>
      </w:r>
    </w:p>
    <w:p>
      <w:pPr>
        <w:pStyle w:val="ListParagraph"/>
        <w:numPr>
          <w:ilvl w:val="0"/>
          <w:numId w:val="28"/>
        </w:numPr>
        <w:tabs>
          <w:tab w:pos="1080" w:val="left" w:leader="none"/>
          <w:tab w:pos="1082" w:val="left" w:leader="none"/>
        </w:tabs>
        <w:spacing w:line="249" w:lineRule="auto" w:before="122" w:after="0"/>
        <w:ind w:left="1080" w:right="719" w:hanging="270"/>
        <w:jc w:val="both"/>
        <w:rPr>
          <w:sz w:val="20"/>
        </w:rPr>
      </w:pPr>
      <w:r>
        <w:rPr>
          <w:sz w:val="20"/>
        </w:rPr>
        <w:t>Committee</w:t>
      </w:r>
      <w:r>
        <w:rPr>
          <w:sz w:val="20"/>
        </w:rPr>
        <w:t> on</w:t>
      </w:r>
      <w:r>
        <w:rPr>
          <w:spacing w:val="-1"/>
          <w:sz w:val="20"/>
        </w:rPr>
        <w:t> </w:t>
      </w:r>
      <w:r>
        <w:rPr>
          <w:sz w:val="20"/>
        </w:rPr>
        <w:t>Development</w:t>
      </w:r>
      <w:r>
        <w:rPr>
          <w:spacing w:val="-1"/>
          <w:sz w:val="20"/>
        </w:rPr>
        <w:t> </w:t>
      </w:r>
      <w:r>
        <w:rPr>
          <w:sz w:val="20"/>
        </w:rPr>
        <w:t>Effectiveness</w:t>
      </w:r>
      <w:r>
        <w:rPr>
          <w:spacing w:val="-1"/>
          <w:sz w:val="20"/>
        </w:rPr>
        <w:t> </w:t>
      </w:r>
      <w:r>
        <w:rPr>
          <w:sz w:val="20"/>
        </w:rPr>
        <w:t>-</w:t>
      </w:r>
      <w:r>
        <w:rPr>
          <w:spacing w:val="-1"/>
          <w:sz w:val="20"/>
        </w:rPr>
        <w:t> </w:t>
      </w:r>
      <w:r>
        <w:rPr>
          <w:sz w:val="20"/>
        </w:rPr>
        <w:t>supports</w:t>
      </w:r>
      <w:r>
        <w:rPr>
          <w:spacing w:val="-1"/>
          <w:sz w:val="20"/>
        </w:rPr>
        <w:t> </w:t>
      </w:r>
      <w:r>
        <w:rPr>
          <w:sz w:val="20"/>
        </w:rPr>
        <w:t>the</w:t>
      </w:r>
      <w:r>
        <w:rPr>
          <w:spacing w:val="-1"/>
          <w:sz w:val="20"/>
        </w:rPr>
        <w:t> </w:t>
      </w:r>
      <w:r>
        <w:rPr>
          <w:sz w:val="20"/>
        </w:rPr>
        <w:t>Board</w:t>
      </w:r>
      <w:r>
        <w:rPr>
          <w:spacing w:val="-1"/>
          <w:sz w:val="20"/>
        </w:rPr>
        <w:t> </w:t>
      </w:r>
      <w:r>
        <w:rPr>
          <w:sz w:val="20"/>
        </w:rPr>
        <w:t>in</w:t>
      </w:r>
      <w:r>
        <w:rPr>
          <w:spacing w:val="-1"/>
          <w:sz w:val="20"/>
        </w:rPr>
        <w:t> </w:t>
      </w:r>
      <w:r>
        <w:rPr>
          <w:sz w:val="20"/>
        </w:rPr>
        <w:t>assessing</w:t>
      </w:r>
      <w:r>
        <w:rPr>
          <w:spacing w:val="-1"/>
          <w:sz w:val="20"/>
        </w:rPr>
        <w:t> </w:t>
      </w:r>
      <w:r>
        <w:rPr>
          <w:sz w:val="20"/>
        </w:rPr>
        <w:t>IBRD’s</w:t>
      </w:r>
      <w:r>
        <w:rPr>
          <w:spacing w:val="-1"/>
          <w:sz w:val="20"/>
        </w:rPr>
        <w:t> </w:t>
      </w:r>
      <w:r>
        <w:rPr>
          <w:sz w:val="20"/>
        </w:rPr>
        <w:t>development</w:t>
      </w:r>
      <w:r>
        <w:rPr>
          <w:spacing w:val="-1"/>
          <w:sz w:val="20"/>
        </w:rPr>
        <w:t> </w:t>
      </w:r>
      <w:r>
        <w:rPr>
          <w:sz w:val="20"/>
        </w:rPr>
        <w:t>effectiveness, providing guidance on strategic directions of IBRD, monitoring the quality and results of operations.</w:t>
      </w:r>
    </w:p>
    <w:p>
      <w:pPr>
        <w:pStyle w:val="ListParagraph"/>
        <w:numPr>
          <w:ilvl w:val="0"/>
          <w:numId w:val="28"/>
        </w:numPr>
        <w:tabs>
          <w:tab w:pos="1080" w:val="left" w:leader="none"/>
        </w:tabs>
        <w:spacing w:line="249" w:lineRule="auto" w:before="122" w:after="0"/>
        <w:ind w:left="1080" w:right="718" w:hanging="270"/>
        <w:jc w:val="both"/>
        <w:rPr>
          <w:sz w:val="20"/>
        </w:rPr>
      </w:pPr>
      <w:r>
        <w:rPr>
          <w:sz w:val="20"/>
        </w:rPr>
        <w:t>Committee</w:t>
      </w:r>
      <w:r>
        <w:rPr>
          <w:spacing w:val="-3"/>
          <w:sz w:val="20"/>
        </w:rPr>
        <w:t> </w:t>
      </w:r>
      <w:r>
        <w:rPr>
          <w:sz w:val="20"/>
        </w:rPr>
        <w:t>on</w:t>
      </w:r>
      <w:r>
        <w:rPr>
          <w:spacing w:val="-3"/>
          <w:sz w:val="20"/>
        </w:rPr>
        <w:t> </w:t>
      </w:r>
      <w:r>
        <w:rPr>
          <w:sz w:val="20"/>
        </w:rPr>
        <w:t>Governance</w:t>
      </w:r>
      <w:r>
        <w:rPr>
          <w:spacing w:val="-3"/>
          <w:sz w:val="20"/>
        </w:rPr>
        <w:t> </w:t>
      </w:r>
      <w:r>
        <w:rPr>
          <w:sz w:val="20"/>
        </w:rPr>
        <w:t>and</w:t>
      </w:r>
      <w:r>
        <w:rPr>
          <w:spacing w:val="-3"/>
          <w:sz w:val="20"/>
        </w:rPr>
        <w:t> </w:t>
      </w:r>
      <w:r>
        <w:rPr>
          <w:sz w:val="20"/>
        </w:rPr>
        <w:t>Executive</w:t>
      </w:r>
      <w:r>
        <w:rPr>
          <w:spacing w:val="-3"/>
          <w:sz w:val="20"/>
        </w:rPr>
        <w:t> </w:t>
      </w:r>
      <w:r>
        <w:rPr>
          <w:sz w:val="20"/>
        </w:rPr>
        <w:t>Directors’</w:t>
      </w:r>
      <w:r>
        <w:rPr>
          <w:spacing w:val="-3"/>
          <w:sz w:val="20"/>
        </w:rPr>
        <w:t> </w:t>
      </w:r>
      <w:r>
        <w:rPr>
          <w:sz w:val="20"/>
        </w:rPr>
        <w:t>Administrative</w:t>
      </w:r>
      <w:r>
        <w:rPr>
          <w:spacing w:val="-3"/>
          <w:sz w:val="20"/>
        </w:rPr>
        <w:t> </w:t>
      </w:r>
      <w:r>
        <w:rPr>
          <w:sz w:val="20"/>
        </w:rPr>
        <w:t>Matters</w:t>
      </w:r>
      <w:r>
        <w:rPr>
          <w:spacing w:val="-3"/>
          <w:sz w:val="20"/>
        </w:rPr>
        <w:t> </w:t>
      </w:r>
      <w:r>
        <w:rPr>
          <w:sz w:val="20"/>
        </w:rPr>
        <w:t>-</w:t>
      </w:r>
      <w:r>
        <w:rPr>
          <w:spacing w:val="-3"/>
          <w:sz w:val="20"/>
        </w:rPr>
        <w:t> </w:t>
      </w:r>
      <w:r>
        <w:rPr>
          <w:sz w:val="20"/>
        </w:rPr>
        <w:t>assists</w:t>
      </w:r>
      <w:r>
        <w:rPr>
          <w:spacing w:val="-3"/>
          <w:sz w:val="20"/>
        </w:rPr>
        <w:t> </w:t>
      </w:r>
      <w:r>
        <w:rPr>
          <w:sz w:val="20"/>
        </w:rPr>
        <w:t>the</w:t>
      </w:r>
      <w:r>
        <w:rPr>
          <w:spacing w:val="-3"/>
          <w:sz w:val="20"/>
        </w:rPr>
        <w:t> </w:t>
      </w:r>
      <w:r>
        <w:rPr>
          <w:sz w:val="20"/>
        </w:rPr>
        <w:t>Board</w:t>
      </w:r>
      <w:r>
        <w:rPr>
          <w:spacing w:val="-3"/>
          <w:sz w:val="20"/>
        </w:rPr>
        <w:t> </w:t>
      </w:r>
      <w:r>
        <w:rPr>
          <w:sz w:val="20"/>
        </w:rPr>
        <w:t>on</w:t>
      </w:r>
      <w:r>
        <w:rPr>
          <w:spacing w:val="-3"/>
          <w:sz w:val="20"/>
        </w:rPr>
        <w:t> </w:t>
      </w:r>
      <w:r>
        <w:rPr>
          <w:sz w:val="20"/>
        </w:rPr>
        <w:t>issues</w:t>
      </w:r>
      <w:r>
        <w:rPr>
          <w:spacing w:val="-3"/>
          <w:sz w:val="20"/>
        </w:rPr>
        <w:t> </w:t>
      </w:r>
      <w:r>
        <w:rPr>
          <w:sz w:val="20"/>
        </w:rPr>
        <w:t>related to the governance of IBRD, the Board’s own effectiveness, and the administrative policy applicable to</w:t>
      </w:r>
      <w:r>
        <w:rPr>
          <w:spacing w:val="40"/>
          <w:sz w:val="20"/>
        </w:rPr>
        <w:t> </w:t>
      </w:r>
      <w:r>
        <w:rPr>
          <w:sz w:val="20"/>
        </w:rPr>
        <w:t>Executive Directors’ offices.</w:t>
      </w:r>
    </w:p>
    <w:p>
      <w:pPr>
        <w:pStyle w:val="ListParagraph"/>
        <w:numPr>
          <w:ilvl w:val="0"/>
          <w:numId w:val="28"/>
        </w:numPr>
        <w:tabs>
          <w:tab w:pos="1080" w:val="left" w:leader="none"/>
          <w:tab w:pos="1111" w:val="left" w:leader="none"/>
        </w:tabs>
        <w:spacing w:line="249" w:lineRule="auto" w:before="123" w:after="0"/>
        <w:ind w:left="1080" w:right="718" w:hanging="270"/>
        <w:jc w:val="both"/>
        <w:rPr>
          <w:sz w:val="20"/>
        </w:rPr>
      </w:pPr>
      <w:r>
        <w:rPr>
          <w:sz w:val="20"/>
        </w:rPr>
        <w:t>Human</w:t>
      </w:r>
      <w:r>
        <w:rPr>
          <w:spacing w:val="40"/>
          <w:sz w:val="20"/>
        </w:rPr>
        <w:t> </w:t>
      </w:r>
      <w:r>
        <w:rPr>
          <w:sz w:val="20"/>
        </w:rPr>
        <w:t>Resources Committee - strengthens the efficiency and effectiveness of the Board in discharging its oversight responsibility on the World Bank’s human resources strategy, policies and practices, and their alignment with the business needs of the organization.</w:t>
      </w:r>
    </w:p>
    <w:p>
      <w:pPr>
        <w:pStyle w:val="Heading1"/>
        <w:spacing w:before="120"/>
      </w:pPr>
      <w:bookmarkStart w:name="Audit Committee" w:id="162"/>
      <w:bookmarkEnd w:id="162"/>
      <w:r>
        <w:rPr>
          <w:b w:val="0"/>
        </w:rPr>
      </w:r>
      <w:bookmarkStart w:name="_bookmark106" w:id="163"/>
      <w:bookmarkEnd w:id="163"/>
      <w:r>
        <w:rPr>
          <w:b w:val="0"/>
        </w:rPr>
      </w:r>
      <w:r>
        <w:rPr/>
        <w:t>Audit</w:t>
      </w:r>
      <w:r>
        <w:rPr>
          <w:spacing w:val="-1"/>
        </w:rPr>
        <w:t> </w:t>
      </w:r>
      <w:r>
        <w:rPr>
          <w:spacing w:val="-2"/>
        </w:rPr>
        <w:t>Committee</w:t>
      </w:r>
    </w:p>
    <w:p>
      <w:pPr>
        <w:pStyle w:val="Heading4"/>
        <w:spacing w:before="126"/>
        <w:jc w:val="left"/>
      </w:pPr>
      <w:r>
        <w:rPr>
          <w:spacing w:val="-2"/>
        </w:rPr>
        <w:t>Membership</w:t>
      </w:r>
    </w:p>
    <w:p>
      <w:pPr>
        <w:pStyle w:val="BodyText"/>
        <w:spacing w:line="249" w:lineRule="auto" w:before="139"/>
        <w:ind w:left="720" w:right="718"/>
        <w:jc w:val="both"/>
      </w:pPr>
      <w:r>
        <w:rPr/>
        <w:t>The Audit Committee consists of eight Executive Directors. Membership in the Committee is determined by the Board, based on nominations by the Chairman of the Board, following informal consultation with Executive </w:t>
      </w:r>
      <w:r>
        <w:rPr>
          <w:spacing w:val="-2"/>
        </w:rPr>
        <w:t>Directors.</w:t>
      </w:r>
    </w:p>
    <w:p>
      <w:pPr>
        <w:pStyle w:val="Heading4"/>
        <w:spacing w:before="114"/>
      </w:pPr>
      <w:r>
        <w:rPr/>
        <w:t>Key </w:t>
      </w:r>
      <w:r>
        <w:rPr>
          <w:spacing w:val="-2"/>
        </w:rPr>
        <w:t>Responsibilities</w:t>
      </w:r>
    </w:p>
    <w:p>
      <w:pPr>
        <w:pStyle w:val="BodyText"/>
        <w:spacing w:line="249" w:lineRule="auto" w:before="140"/>
        <w:ind w:left="720" w:right="718"/>
        <w:jc w:val="both"/>
      </w:pPr>
      <w:r>
        <w:rPr/>
        <w:t>The Audit Committee is appointed by the Board for the primary purpose of assisting the Board in overseeing</w:t>
      </w:r>
      <w:r>
        <w:rPr>
          <w:spacing w:val="40"/>
        </w:rPr>
        <w:t> </w:t>
      </w:r>
      <w:r>
        <w:rPr/>
        <w:t>IBRD’s finances, accounting, risk management, internal controls and institutional integrity. Specific responsibilities </w:t>
      </w:r>
      <w:r>
        <w:rPr>
          <w:spacing w:val="-2"/>
        </w:rPr>
        <w:t>include:</w:t>
      </w:r>
    </w:p>
    <w:p>
      <w:pPr>
        <w:pStyle w:val="ListParagraph"/>
        <w:numPr>
          <w:ilvl w:val="0"/>
          <w:numId w:val="29"/>
        </w:numPr>
        <w:tabs>
          <w:tab w:pos="1259" w:val="left" w:leader="none"/>
        </w:tabs>
        <w:spacing w:line="240" w:lineRule="auto" w:before="122" w:after="0"/>
        <w:ind w:left="1259" w:right="0" w:hanging="359"/>
        <w:jc w:val="left"/>
        <w:rPr>
          <w:sz w:val="20"/>
        </w:rPr>
      </w:pPr>
      <w:r>
        <w:rPr>
          <w:sz w:val="20"/>
        </w:rPr>
        <w:t>Oversight</w:t>
      </w:r>
      <w:r>
        <w:rPr>
          <w:spacing w:val="-4"/>
          <w:sz w:val="20"/>
        </w:rPr>
        <w:t> </w:t>
      </w:r>
      <w:r>
        <w:rPr>
          <w:sz w:val="20"/>
        </w:rPr>
        <w:t>of</w:t>
      </w:r>
      <w:r>
        <w:rPr>
          <w:spacing w:val="-3"/>
          <w:sz w:val="20"/>
        </w:rPr>
        <w:t> </w:t>
      </w:r>
      <w:r>
        <w:rPr>
          <w:sz w:val="20"/>
        </w:rPr>
        <w:t>the</w:t>
      </w:r>
      <w:r>
        <w:rPr>
          <w:spacing w:val="-3"/>
          <w:sz w:val="20"/>
        </w:rPr>
        <w:t> </w:t>
      </w:r>
      <w:r>
        <w:rPr>
          <w:sz w:val="20"/>
        </w:rPr>
        <w:t>integrity</w:t>
      </w:r>
      <w:r>
        <w:rPr>
          <w:spacing w:val="-3"/>
          <w:sz w:val="20"/>
        </w:rPr>
        <w:t> </w:t>
      </w:r>
      <w:r>
        <w:rPr>
          <w:sz w:val="20"/>
        </w:rPr>
        <w:t>of</w:t>
      </w:r>
      <w:r>
        <w:rPr>
          <w:spacing w:val="-2"/>
          <w:sz w:val="20"/>
        </w:rPr>
        <w:t> </w:t>
      </w:r>
      <w:r>
        <w:rPr>
          <w:sz w:val="20"/>
        </w:rPr>
        <w:t>IBRD’s</w:t>
      </w:r>
      <w:r>
        <w:rPr>
          <w:spacing w:val="-4"/>
          <w:sz w:val="20"/>
        </w:rPr>
        <w:t> </w:t>
      </w:r>
      <w:r>
        <w:rPr>
          <w:sz w:val="20"/>
        </w:rPr>
        <w:t>financial</w:t>
      </w:r>
      <w:r>
        <w:rPr>
          <w:spacing w:val="-3"/>
          <w:sz w:val="20"/>
        </w:rPr>
        <w:t> </w:t>
      </w:r>
      <w:r>
        <w:rPr>
          <w:spacing w:val="-2"/>
          <w:sz w:val="20"/>
        </w:rPr>
        <w:t>statements.</w:t>
      </w:r>
    </w:p>
    <w:p>
      <w:pPr>
        <w:pStyle w:val="ListParagraph"/>
        <w:numPr>
          <w:ilvl w:val="0"/>
          <w:numId w:val="29"/>
        </w:numPr>
        <w:tabs>
          <w:tab w:pos="1259" w:val="left" w:leader="none"/>
        </w:tabs>
        <w:spacing w:line="240" w:lineRule="auto" w:before="130" w:after="0"/>
        <w:ind w:left="1259" w:right="0" w:hanging="359"/>
        <w:jc w:val="left"/>
        <w:rPr>
          <w:sz w:val="20"/>
        </w:rPr>
      </w:pPr>
      <w:r>
        <w:rPr>
          <w:sz w:val="20"/>
        </w:rPr>
        <w:t>Appointment,</w:t>
      </w:r>
      <w:r>
        <w:rPr>
          <w:spacing w:val="-6"/>
          <w:sz w:val="20"/>
        </w:rPr>
        <w:t> </w:t>
      </w:r>
      <w:r>
        <w:rPr>
          <w:sz w:val="20"/>
        </w:rPr>
        <w:t>qualifications,</w:t>
      </w:r>
      <w:r>
        <w:rPr>
          <w:spacing w:val="-4"/>
          <w:sz w:val="20"/>
        </w:rPr>
        <w:t> </w:t>
      </w:r>
      <w:r>
        <w:rPr>
          <w:sz w:val="20"/>
        </w:rPr>
        <w:t>independence</w:t>
      </w:r>
      <w:r>
        <w:rPr>
          <w:spacing w:val="-5"/>
          <w:sz w:val="20"/>
        </w:rPr>
        <w:t> </w:t>
      </w:r>
      <w:r>
        <w:rPr>
          <w:sz w:val="20"/>
        </w:rPr>
        <w:t>and</w:t>
      </w:r>
      <w:r>
        <w:rPr>
          <w:spacing w:val="-4"/>
          <w:sz w:val="20"/>
        </w:rPr>
        <w:t> </w:t>
      </w:r>
      <w:r>
        <w:rPr>
          <w:sz w:val="20"/>
        </w:rPr>
        <w:t>performance</w:t>
      </w:r>
      <w:r>
        <w:rPr>
          <w:spacing w:val="-4"/>
          <w:sz w:val="20"/>
        </w:rPr>
        <w:t> </w:t>
      </w:r>
      <w:r>
        <w:rPr>
          <w:sz w:val="20"/>
        </w:rPr>
        <w:t>of</w:t>
      </w:r>
      <w:r>
        <w:rPr>
          <w:spacing w:val="-4"/>
          <w:sz w:val="20"/>
        </w:rPr>
        <w:t> </w:t>
      </w:r>
      <w:r>
        <w:rPr>
          <w:sz w:val="20"/>
        </w:rPr>
        <w:t>the</w:t>
      </w:r>
      <w:r>
        <w:rPr>
          <w:spacing w:val="-5"/>
          <w:sz w:val="20"/>
        </w:rPr>
        <w:t> </w:t>
      </w:r>
      <w:r>
        <w:rPr>
          <w:sz w:val="20"/>
        </w:rPr>
        <w:t>External</w:t>
      </w:r>
      <w:r>
        <w:rPr>
          <w:spacing w:val="-4"/>
          <w:sz w:val="20"/>
        </w:rPr>
        <w:t> </w:t>
      </w:r>
      <w:r>
        <w:rPr>
          <w:spacing w:val="-2"/>
          <w:sz w:val="20"/>
        </w:rPr>
        <w:t>Auditor.</w:t>
      </w:r>
    </w:p>
    <w:p>
      <w:pPr>
        <w:pStyle w:val="ListParagraph"/>
        <w:numPr>
          <w:ilvl w:val="0"/>
          <w:numId w:val="29"/>
        </w:numPr>
        <w:tabs>
          <w:tab w:pos="1259" w:val="left" w:leader="none"/>
        </w:tabs>
        <w:spacing w:line="240" w:lineRule="auto" w:before="130" w:after="0"/>
        <w:ind w:left="1259" w:right="0" w:hanging="359"/>
        <w:jc w:val="left"/>
        <w:rPr>
          <w:sz w:val="20"/>
        </w:rPr>
      </w:pPr>
      <w:r>
        <w:rPr>
          <w:sz w:val="20"/>
        </w:rPr>
        <w:t>Performance</w:t>
      </w:r>
      <w:r>
        <w:rPr>
          <w:spacing w:val="-3"/>
          <w:sz w:val="20"/>
        </w:rPr>
        <w:t> </w:t>
      </w:r>
      <w:r>
        <w:rPr>
          <w:sz w:val="20"/>
        </w:rPr>
        <w:t>of</w:t>
      </w:r>
      <w:r>
        <w:rPr>
          <w:spacing w:val="-2"/>
          <w:sz w:val="20"/>
        </w:rPr>
        <w:t> </w:t>
      </w:r>
      <w:r>
        <w:rPr>
          <w:sz w:val="20"/>
        </w:rPr>
        <w:t>the</w:t>
      </w:r>
      <w:r>
        <w:rPr>
          <w:spacing w:val="-3"/>
          <w:sz w:val="20"/>
        </w:rPr>
        <w:t> </w:t>
      </w:r>
      <w:r>
        <w:rPr>
          <w:sz w:val="20"/>
        </w:rPr>
        <w:t>Group</w:t>
      </w:r>
      <w:r>
        <w:rPr>
          <w:spacing w:val="-3"/>
          <w:sz w:val="20"/>
        </w:rPr>
        <w:t> </w:t>
      </w:r>
      <w:r>
        <w:rPr>
          <w:sz w:val="20"/>
        </w:rPr>
        <w:t>Internal</w:t>
      </w:r>
      <w:r>
        <w:rPr>
          <w:spacing w:val="-2"/>
          <w:sz w:val="20"/>
        </w:rPr>
        <w:t> Audit.</w:t>
      </w:r>
    </w:p>
    <w:p>
      <w:pPr>
        <w:pStyle w:val="ListParagraph"/>
        <w:numPr>
          <w:ilvl w:val="0"/>
          <w:numId w:val="29"/>
        </w:numPr>
        <w:tabs>
          <w:tab w:pos="1260" w:val="left" w:leader="none"/>
        </w:tabs>
        <w:spacing w:line="249" w:lineRule="auto" w:before="130" w:after="0"/>
        <w:ind w:left="1260" w:right="718" w:hanging="360"/>
        <w:jc w:val="left"/>
        <w:rPr>
          <w:sz w:val="20"/>
        </w:rPr>
      </w:pPr>
      <w:r>
        <w:rPr>
          <w:sz w:val="20"/>
        </w:rPr>
        <w:t>Adequacy and effectiveness</w:t>
      </w:r>
      <w:r>
        <w:rPr>
          <w:spacing w:val="-1"/>
          <w:sz w:val="20"/>
        </w:rPr>
        <w:t> </w:t>
      </w:r>
      <w:r>
        <w:rPr>
          <w:sz w:val="20"/>
        </w:rPr>
        <w:t>of financial</w:t>
      </w:r>
      <w:r>
        <w:rPr>
          <w:spacing w:val="-1"/>
          <w:sz w:val="20"/>
        </w:rPr>
        <w:t> </w:t>
      </w:r>
      <w:r>
        <w:rPr>
          <w:sz w:val="20"/>
        </w:rPr>
        <w:t>and accounting policies</w:t>
      </w:r>
      <w:r>
        <w:rPr>
          <w:spacing w:val="-1"/>
          <w:sz w:val="20"/>
        </w:rPr>
        <w:t> </w:t>
      </w:r>
      <w:r>
        <w:rPr>
          <w:sz w:val="20"/>
        </w:rPr>
        <w:t>and internal</w:t>
      </w:r>
      <w:r>
        <w:rPr>
          <w:spacing w:val="-1"/>
          <w:sz w:val="20"/>
        </w:rPr>
        <w:t> </w:t>
      </w:r>
      <w:r>
        <w:rPr>
          <w:sz w:val="20"/>
        </w:rPr>
        <w:t>controls’ and the</w:t>
      </w:r>
      <w:r>
        <w:rPr>
          <w:spacing w:val="-1"/>
          <w:sz w:val="20"/>
        </w:rPr>
        <w:t> </w:t>
      </w:r>
      <w:r>
        <w:rPr>
          <w:sz w:val="20"/>
        </w:rPr>
        <w:t>mechanisms</w:t>
      </w:r>
      <w:r>
        <w:rPr>
          <w:spacing w:val="-1"/>
          <w:sz w:val="20"/>
        </w:rPr>
        <w:t> </w:t>
      </w:r>
      <w:r>
        <w:rPr>
          <w:sz w:val="20"/>
        </w:rPr>
        <w:t>to deter, prevent and penalize fraud and corruption in IBRD operations and corporate procurement.</w:t>
      </w:r>
    </w:p>
    <w:p>
      <w:pPr>
        <w:pStyle w:val="ListParagraph"/>
        <w:numPr>
          <w:ilvl w:val="0"/>
          <w:numId w:val="29"/>
        </w:numPr>
        <w:tabs>
          <w:tab w:pos="1259" w:val="left" w:leader="none"/>
        </w:tabs>
        <w:spacing w:line="240" w:lineRule="auto" w:before="122" w:after="0"/>
        <w:ind w:left="1259" w:right="0" w:hanging="359"/>
        <w:jc w:val="left"/>
        <w:rPr>
          <w:sz w:val="20"/>
        </w:rPr>
      </w:pPr>
      <w:r>
        <w:rPr>
          <w:sz w:val="20"/>
        </w:rPr>
        <w:t>Effective</w:t>
      </w:r>
      <w:r>
        <w:rPr>
          <w:spacing w:val="-7"/>
          <w:sz w:val="20"/>
        </w:rPr>
        <w:t> </w:t>
      </w:r>
      <w:r>
        <w:rPr>
          <w:sz w:val="20"/>
        </w:rPr>
        <w:t>management</w:t>
      </w:r>
      <w:r>
        <w:rPr>
          <w:spacing w:val="-4"/>
          <w:sz w:val="20"/>
        </w:rPr>
        <w:t> </w:t>
      </w:r>
      <w:r>
        <w:rPr>
          <w:sz w:val="20"/>
        </w:rPr>
        <w:t>of</w:t>
      </w:r>
      <w:r>
        <w:rPr>
          <w:spacing w:val="-4"/>
          <w:sz w:val="20"/>
        </w:rPr>
        <w:t> </w:t>
      </w:r>
      <w:r>
        <w:rPr>
          <w:sz w:val="20"/>
        </w:rPr>
        <w:t>financial,</w:t>
      </w:r>
      <w:r>
        <w:rPr>
          <w:spacing w:val="-3"/>
          <w:sz w:val="20"/>
        </w:rPr>
        <w:t> </w:t>
      </w:r>
      <w:r>
        <w:rPr>
          <w:sz w:val="20"/>
        </w:rPr>
        <w:t>fiduciary</w:t>
      </w:r>
      <w:r>
        <w:rPr>
          <w:spacing w:val="-4"/>
          <w:sz w:val="20"/>
        </w:rPr>
        <w:t> </w:t>
      </w:r>
      <w:r>
        <w:rPr>
          <w:sz w:val="20"/>
        </w:rPr>
        <w:t>and</w:t>
      </w:r>
      <w:r>
        <w:rPr>
          <w:spacing w:val="-3"/>
          <w:sz w:val="20"/>
        </w:rPr>
        <w:t> </w:t>
      </w:r>
      <w:r>
        <w:rPr>
          <w:sz w:val="20"/>
        </w:rPr>
        <w:t>compliance</w:t>
      </w:r>
      <w:r>
        <w:rPr>
          <w:spacing w:val="-5"/>
          <w:sz w:val="20"/>
        </w:rPr>
        <w:t> </w:t>
      </w:r>
      <w:r>
        <w:rPr>
          <w:sz w:val="20"/>
        </w:rPr>
        <w:t>risks</w:t>
      </w:r>
      <w:r>
        <w:rPr>
          <w:spacing w:val="-4"/>
          <w:sz w:val="20"/>
        </w:rPr>
        <w:t> </w:t>
      </w:r>
      <w:r>
        <w:rPr>
          <w:sz w:val="20"/>
        </w:rPr>
        <w:t>in</w:t>
      </w:r>
      <w:r>
        <w:rPr>
          <w:spacing w:val="-3"/>
          <w:sz w:val="20"/>
        </w:rPr>
        <w:t> </w:t>
      </w:r>
      <w:r>
        <w:rPr>
          <w:spacing w:val="-2"/>
          <w:sz w:val="20"/>
        </w:rPr>
        <w:t>IBRD.</w:t>
      </w:r>
    </w:p>
    <w:p>
      <w:pPr>
        <w:pStyle w:val="ListParagraph"/>
        <w:numPr>
          <w:ilvl w:val="0"/>
          <w:numId w:val="29"/>
        </w:numPr>
        <w:tabs>
          <w:tab w:pos="1259" w:val="left" w:leader="none"/>
        </w:tabs>
        <w:spacing w:line="240" w:lineRule="auto" w:before="130" w:after="0"/>
        <w:ind w:left="1259" w:right="0" w:hanging="359"/>
        <w:jc w:val="left"/>
        <w:rPr>
          <w:sz w:val="20"/>
        </w:rPr>
      </w:pPr>
      <w:r>
        <w:rPr>
          <w:sz w:val="20"/>
        </w:rPr>
        <w:t>Oversight</w:t>
      </w:r>
      <w:r>
        <w:rPr>
          <w:spacing w:val="-7"/>
          <w:sz w:val="20"/>
        </w:rPr>
        <w:t> </w:t>
      </w:r>
      <w:r>
        <w:rPr>
          <w:sz w:val="20"/>
        </w:rPr>
        <w:t>of</w:t>
      </w:r>
      <w:r>
        <w:rPr>
          <w:spacing w:val="-3"/>
          <w:sz w:val="20"/>
        </w:rPr>
        <w:t> </w:t>
      </w:r>
      <w:r>
        <w:rPr>
          <w:sz w:val="20"/>
        </w:rPr>
        <w:t>the</w:t>
      </w:r>
      <w:r>
        <w:rPr>
          <w:spacing w:val="-4"/>
          <w:sz w:val="20"/>
        </w:rPr>
        <w:t> </w:t>
      </w:r>
      <w:r>
        <w:rPr>
          <w:sz w:val="20"/>
        </w:rPr>
        <w:t>institutional</w:t>
      </w:r>
      <w:r>
        <w:rPr>
          <w:spacing w:val="-5"/>
          <w:sz w:val="20"/>
        </w:rPr>
        <w:t> </w:t>
      </w:r>
      <w:r>
        <w:rPr>
          <w:sz w:val="20"/>
        </w:rPr>
        <w:t>arrangements</w:t>
      </w:r>
      <w:r>
        <w:rPr>
          <w:spacing w:val="-4"/>
          <w:sz w:val="20"/>
        </w:rPr>
        <w:t> </w:t>
      </w:r>
      <w:r>
        <w:rPr>
          <w:sz w:val="20"/>
        </w:rPr>
        <w:t>and</w:t>
      </w:r>
      <w:r>
        <w:rPr>
          <w:spacing w:val="-3"/>
          <w:sz w:val="20"/>
        </w:rPr>
        <w:t> </w:t>
      </w:r>
      <w:r>
        <w:rPr>
          <w:sz w:val="20"/>
        </w:rPr>
        <w:t>processes</w:t>
      </w:r>
      <w:r>
        <w:rPr>
          <w:spacing w:val="-4"/>
          <w:sz w:val="20"/>
        </w:rPr>
        <w:t> </w:t>
      </w:r>
      <w:r>
        <w:rPr>
          <w:sz w:val="20"/>
        </w:rPr>
        <w:t>for</w:t>
      </w:r>
      <w:r>
        <w:rPr>
          <w:spacing w:val="-4"/>
          <w:sz w:val="20"/>
        </w:rPr>
        <w:t> </w:t>
      </w:r>
      <w:r>
        <w:rPr>
          <w:sz w:val="20"/>
        </w:rPr>
        <w:t>risk</w:t>
      </w:r>
      <w:r>
        <w:rPr>
          <w:spacing w:val="-3"/>
          <w:sz w:val="20"/>
        </w:rPr>
        <w:t> </w:t>
      </w:r>
      <w:r>
        <w:rPr>
          <w:sz w:val="20"/>
        </w:rPr>
        <w:t>management</w:t>
      </w:r>
      <w:r>
        <w:rPr>
          <w:spacing w:val="-4"/>
          <w:sz w:val="20"/>
        </w:rPr>
        <w:t> </w:t>
      </w:r>
      <w:r>
        <w:rPr>
          <w:sz w:val="20"/>
        </w:rPr>
        <w:t>across</w:t>
      </w:r>
      <w:r>
        <w:rPr>
          <w:spacing w:val="-4"/>
          <w:sz w:val="20"/>
        </w:rPr>
        <w:t> </w:t>
      </w:r>
      <w:r>
        <w:rPr>
          <w:spacing w:val="-2"/>
          <w:sz w:val="20"/>
        </w:rPr>
        <w:t>IBRD.</w:t>
      </w:r>
    </w:p>
    <w:p>
      <w:pPr>
        <w:pStyle w:val="BodyText"/>
        <w:spacing w:line="249" w:lineRule="auto" w:before="130"/>
        <w:ind w:left="720" w:right="718"/>
        <w:jc w:val="both"/>
      </w:pPr>
      <w:r>
        <w:rPr/>
        <w:t>In carrying out its role, the Audit Committee discusses financial issues and policies that affect IBRD’s financial position and capital adequacy with Management, external auditors, and internal auditors. It recommends the annual audited financial statements for approval to the Board. The Audit Committee monitors and reviews developments in corporate governance and its own role on an ongoing basis.</w:t>
      </w:r>
    </w:p>
    <w:p>
      <w:pPr>
        <w:pStyle w:val="BodyText"/>
        <w:spacing w:after="0" w:line="249" w:lineRule="auto"/>
        <w:jc w:val="both"/>
        <w:sectPr>
          <w:headerReference w:type="even" r:id="rId74"/>
          <w:headerReference w:type="default" r:id="rId75"/>
          <w:footerReference w:type="even" r:id="rId76"/>
          <w:footerReference w:type="default" r:id="rId77"/>
          <w:pgSz w:w="12240" w:h="15840"/>
          <w:pgMar w:header="744" w:footer="583" w:top="1020" w:bottom="780" w:left="720" w:right="720"/>
          <w:pgNumType w:start="62"/>
        </w:sectPr>
      </w:pPr>
    </w:p>
    <w:p>
      <w:pPr>
        <w:pStyle w:val="BodyText"/>
        <w:spacing w:before="96"/>
        <w:rPr>
          <w:sz w:val="22"/>
        </w:rPr>
      </w:pPr>
    </w:p>
    <w:p>
      <w:pPr>
        <w:pStyle w:val="Heading4"/>
      </w:pPr>
      <w:r>
        <w:rPr/>
        <w:t>Executive</w:t>
      </w:r>
      <w:r>
        <w:rPr>
          <w:spacing w:val="-1"/>
        </w:rPr>
        <w:t> </w:t>
      </w:r>
      <w:r>
        <w:rPr>
          <w:spacing w:val="-2"/>
        </w:rPr>
        <w:t>Sessions</w:t>
      </w:r>
    </w:p>
    <w:p>
      <w:pPr>
        <w:pStyle w:val="BodyText"/>
        <w:spacing w:line="249" w:lineRule="auto" w:before="140"/>
        <w:ind w:left="720" w:right="718"/>
        <w:jc w:val="both"/>
      </w:pPr>
      <w:r>
        <w:rPr/>
        <w:t>Under the Audit Committee's terms of reference, it may convene in executive session at any time, without Management’s presence.</w:t>
      </w:r>
      <w:r>
        <w:rPr>
          <w:spacing w:val="40"/>
        </w:rPr>
        <w:t> </w:t>
      </w:r>
      <w:r>
        <w:rPr/>
        <w:t>The Audit Committee meets separately in executive session with the external and internal </w:t>
      </w:r>
      <w:r>
        <w:rPr>
          <w:spacing w:val="-2"/>
        </w:rPr>
        <w:t>auditors.</w:t>
      </w:r>
    </w:p>
    <w:p>
      <w:pPr>
        <w:pStyle w:val="Heading4"/>
        <w:spacing w:before="114"/>
      </w:pPr>
      <w:r>
        <w:rPr/>
        <w:t>Access</w:t>
      </w:r>
      <w:r>
        <w:rPr>
          <w:spacing w:val="-3"/>
        </w:rPr>
        <w:t> </w:t>
      </w:r>
      <w:r>
        <w:rPr/>
        <w:t>to</w:t>
      </w:r>
      <w:r>
        <w:rPr>
          <w:spacing w:val="-1"/>
        </w:rPr>
        <w:t> </w:t>
      </w:r>
      <w:r>
        <w:rPr/>
        <w:t>Resources</w:t>
      </w:r>
      <w:r>
        <w:rPr>
          <w:spacing w:val="-2"/>
        </w:rPr>
        <w:t> </w:t>
      </w:r>
      <w:r>
        <w:rPr/>
        <w:t>and</w:t>
      </w:r>
      <w:r>
        <w:rPr>
          <w:spacing w:val="-2"/>
        </w:rPr>
        <w:t> </w:t>
      </w:r>
      <w:r>
        <w:rPr/>
        <w:t>to</w:t>
      </w:r>
      <w:r>
        <w:rPr>
          <w:spacing w:val="-1"/>
        </w:rPr>
        <w:t> </w:t>
      </w:r>
      <w:r>
        <w:rPr>
          <w:spacing w:val="-2"/>
        </w:rPr>
        <w:t>Management</w:t>
      </w:r>
    </w:p>
    <w:p>
      <w:pPr>
        <w:pStyle w:val="BodyText"/>
        <w:spacing w:line="249" w:lineRule="auto" w:before="139"/>
        <w:ind w:left="720" w:right="719"/>
        <w:jc w:val="both"/>
      </w:pPr>
      <w:r>
        <w:rPr/>
        <w:t>Throughout the year, the Audit Committee receives a large volume of information to enable it to carry out its duties and meets both formally and informally throughout the year to discuss relevant matters. It has complete access to Management, and reviews and discusses with Management topics considered in its terms of reference.</w:t>
      </w:r>
    </w:p>
    <w:p>
      <w:pPr>
        <w:pStyle w:val="BodyText"/>
        <w:spacing w:line="249" w:lineRule="auto" w:before="123"/>
        <w:ind w:left="720" w:right="720"/>
        <w:jc w:val="both"/>
      </w:pPr>
      <w:r>
        <w:rPr/>
        <w:t>The Audit Committee has the authority to seek advice and assistance from outside legal, accounting, or other advisors as it deems necessary.</w:t>
      </w:r>
    </w:p>
    <w:p>
      <w:pPr>
        <w:pStyle w:val="Heading1"/>
        <w:spacing w:before="119"/>
        <w:jc w:val="left"/>
      </w:pPr>
      <w:bookmarkStart w:name="Auditor Independence" w:id="164"/>
      <w:bookmarkEnd w:id="164"/>
      <w:r>
        <w:rPr>
          <w:b w:val="0"/>
        </w:rPr>
      </w:r>
      <w:bookmarkStart w:name="_bookmark107" w:id="165"/>
      <w:bookmarkEnd w:id="165"/>
      <w:r>
        <w:rPr>
          <w:b w:val="0"/>
        </w:rPr>
      </w:r>
      <w:r>
        <w:rPr/>
        <w:t>Auditor</w:t>
      </w:r>
      <w:r>
        <w:rPr>
          <w:spacing w:val="-1"/>
        </w:rPr>
        <w:t> </w:t>
      </w:r>
      <w:r>
        <w:rPr>
          <w:spacing w:val="-2"/>
        </w:rPr>
        <w:t>Independence</w:t>
      </w:r>
    </w:p>
    <w:p>
      <w:pPr>
        <w:pStyle w:val="BodyText"/>
        <w:spacing w:before="134"/>
        <w:ind w:left="720"/>
        <w:jc w:val="both"/>
      </w:pPr>
      <w:r>
        <w:rPr/>
        <w:t>The</w:t>
      </w:r>
      <w:r>
        <w:rPr>
          <w:spacing w:val="-5"/>
        </w:rPr>
        <w:t> </w:t>
      </w:r>
      <w:r>
        <w:rPr/>
        <w:t>appointment</w:t>
      </w:r>
      <w:r>
        <w:rPr>
          <w:spacing w:val="-3"/>
        </w:rPr>
        <w:t> </w:t>
      </w:r>
      <w:r>
        <w:rPr/>
        <w:t>of</w:t>
      </w:r>
      <w:r>
        <w:rPr>
          <w:spacing w:val="-2"/>
        </w:rPr>
        <w:t> </w:t>
      </w:r>
      <w:r>
        <w:rPr/>
        <w:t>the</w:t>
      </w:r>
      <w:r>
        <w:rPr>
          <w:spacing w:val="-3"/>
        </w:rPr>
        <w:t> </w:t>
      </w:r>
      <w:r>
        <w:rPr/>
        <w:t>external</w:t>
      </w:r>
      <w:r>
        <w:rPr>
          <w:spacing w:val="-3"/>
        </w:rPr>
        <w:t> </w:t>
      </w:r>
      <w:r>
        <w:rPr/>
        <w:t>auditor</w:t>
      </w:r>
      <w:r>
        <w:rPr>
          <w:spacing w:val="-2"/>
        </w:rPr>
        <w:t> </w:t>
      </w:r>
      <w:r>
        <w:rPr/>
        <w:t>for</w:t>
      </w:r>
      <w:r>
        <w:rPr>
          <w:spacing w:val="-2"/>
        </w:rPr>
        <w:t> </w:t>
      </w:r>
      <w:r>
        <w:rPr/>
        <w:t>IBRD</w:t>
      </w:r>
      <w:r>
        <w:rPr>
          <w:spacing w:val="-3"/>
        </w:rPr>
        <w:t> </w:t>
      </w:r>
      <w:r>
        <w:rPr/>
        <w:t>is</w:t>
      </w:r>
      <w:r>
        <w:rPr>
          <w:spacing w:val="-3"/>
        </w:rPr>
        <w:t> </w:t>
      </w:r>
      <w:r>
        <w:rPr/>
        <w:t>governed</w:t>
      </w:r>
      <w:r>
        <w:rPr>
          <w:spacing w:val="-2"/>
        </w:rPr>
        <w:t> </w:t>
      </w:r>
      <w:r>
        <w:rPr/>
        <w:t>by</w:t>
      </w:r>
      <w:r>
        <w:rPr>
          <w:spacing w:val="-2"/>
        </w:rPr>
        <w:t> </w:t>
      </w:r>
      <w:r>
        <w:rPr/>
        <w:t>a</w:t>
      </w:r>
      <w:r>
        <w:rPr>
          <w:spacing w:val="-3"/>
        </w:rPr>
        <w:t> </w:t>
      </w:r>
      <w:r>
        <w:rPr/>
        <w:t>set</w:t>
      </w:r>
      <w:r>
        <w:rPr>
          <w:spacing w:val="-3"/>
        </w:rPr>
        <w:t> </w:t>
      </w:r>
      <w:r>
        <w:rPr/>
        <w:t>of</w:t>
      </w:r>
      <w:r>
        <w:rPr>
          <w:spacing w:val="-2"/>
        </w:rPr>
        <w:t> </w:t>
      </w:r>
      <w:r>
        <w:rPr/>
        <w:t>Board-approved</w:t>
      </w:r>
      <w:r>
        <w:rPr>
          <w:spacing w:val="-2"/>
        </w:rPr>
        <w:t> </w:t>
      </w:r>
      <w:r>
        <w:rPr/>
        <w:t>principles.</w:t>
      </w:r>
      <w:r>
        <w:rPr>
          <w:spacing w:val="-3"/>
        </w:rPr>
        <w:t> </w:t>
      </w:r>
      <w:r>
        <w:rPr/>
        <w:t>These</w:t>
      </w:r>
      <w:r>
        <w:rPr>
          <w:spacing w:val="-2"/>
        </w:rPr>
        <w:t> include:</w:t>
      </w:r>
    </w:p>
    <w:p>
      <w:pPr>
        <w:pStyle w:val="ListParagraph"/>
        <w:numPr>
          <w:ilvl w:val="0"/>
          <w:numId w:val="29"/>
        </w:numPr>
        <w:tabs>
          <w:tab w:pos="1259" w:val="left" w:leader="none"/>
        </w:tabs>
        <w:spacing w:line="240" w:lineRule="auto" w:before="90" w:after="0"/>
        <w:ind w:left="1259" w:right="0" w:hanging="359"/>
        <w:jc w:val="left"/>
        <w:rPr>
          <w:sz w:val="20"/>
        </w:rPr>
      </w:pPr>
      <w:r>
        <w:rPr>
          <w:sz w:val="20"/>
        </w:rPr>
        <w:t>Limits</w:t>
      </w:r>
      <w:r>
        <w:rPr>
          <w:spacing w:val="-4"/>
          <w:sz w:val="20"/>
        </w:rPr>
        <w:t> </w:t>
      </w:r>
      <w:r>
        <w:rPr>
          <w:sz w:val="20"/>
        </w:rPr>
        <w:t>on</w:t>
      </w:r>
      <w:r>
        <w:rPr>
          <w:spacing w:val="-3"/>
          <w:sz w:val="20"/>
        </w:rPr>
        <w:t> </w:t>
      </w:r>
      <w:r>
        <w:rPr>
          <w:sz w:val="20"/>
        </w:rPr>
        <w:t>the</w:t>
      </w:r>
      <w:r>
        <w:rPr>
          <w:spacing w:val="-4"/>
          <w:sz w:val="20"/>
        </w:rPr>
        <w:t> </w:t>
      </w:r>
      <w:r>
        <w:rPr>
          <w:sz w:val="20"/>
        </w:rPr>
        <w:t>external</w:t>
      </w:r>
      <w:r>
        <w:rPr>
          <w:spacing w:val="-4"/>
          <w:sz w:val="20"/>
        </w:rPr>
        <w:t> </w:t>
      </w:r>
      <w:r>
        <w:rPr>
          <w:sz w:val="20"/>
        </w:rPr>
        <w:t>auditor’s</w:t>
      </w:r>
      <w:r>
        <w:rPr>
          <w:spacing w:val="-4"/>
          <w:sz w:val="20"/>
        </w:rPr>
        <w:t> </w:t>
      </w:r>
      <w:r>
        <w:rPr>
          <w:sz w:val="20"/>
        </w:rPr>
        <w:t>provision</w:t>
      </w:r>
      <w:r>
        <w:rPr>
          <w:spacing w:val="-3"/>
          <w:sz w:val="20"/>
        </w:rPr>
        <w:t> </w:t>
      </w:r>
      <w:r>
        <w:rPr>
          <w:sz w:val="20"/>
        </w:rPr>
        <w:t>of</w:t>
      </w:r>
      <w:r>
        <w:rPr>
          <w:spacing w:val="-3"/>
          <w:sz w:val="20"/>
        </w:rPr>
        <w:t> </w:t>
      </w:r>
      <w:r>
        <w:rPr>
          <w:sz w:val="20"/>
        </w:rPr>
        <w:t>non-audit-related</w:t>
      </w:r>
      <w:r>
        <w:rPr>
          <w:spacing w:val="-3"/>
          <w:sz w:val="20"/>
        </w:rPr>
        <w:t> </w:t>
      </w:r>
      <w:r>
        <w:rPr>
          <w:spacing w:val="-2"/>
          <w:sz w:val="20"/>
        </w:rPr>
        <w:t>services</w:t>
      </w:r>
    </w:p>
    <w:p>
      <w:pPr>
        <w:pStyle w:val="ListParagraph"/>
        <w:numPr>
          <w:ilvl w:val="0"/>
          <w:numId w:val="29"/>
        </w:numPr>
        <w:tabs>
          <w:tab w:pos="1260" w:val="left" w:leader="none"/>
        </w:tabs>
        <w:spacing w:line="249" w:lineRule="auto" w:before="130" w:after="0"/>
        <w:ind w:left="1260" w:right="720" w:hanging="360"/>
        <w:jc w:val="left"/>
        <w:rPr>
          <w:sz w:val="20"/>
        </w:rPr>
      </w:pPr>
      <w:r>
        <w:rPr>
          <w:sz w:val="20"/>
        </w:rPr>
        <w:t>Requiring</w:t>
      </w:r>
      <w:r>
        <w:rPr>
          <w:spacing w:val="66"/>
          <w:sz w:val="20"/>
        </w:rPr>
        <w:t> </w:t>
      </w:r>
      <w:r>
        <w:rPr>
          <w:sz w:val="20"/>
        </w:rPr>
        <w:t>all</w:t>
      </w:r>
      <w:r>
        <w:rPr>
          <w:spacing w:val="65"/>
          <w:sz w:val="20"/>
        </w:rPr>
        <w:t> </w:t>
      </w:r>
      <w:r>
        <w:rPr>
          <w:sz w:val="20"/>
        </w:rPr>
        <w:t>audit-related</w:t>
      </w:r>
      <w:r>
        <w:rPr>
          <w:spacing w:val="66"/>
          <w:sz w:val="20"/>
        </w:rPr>
        <w:t> </w:t>
      </w:r>
      <w:r>
        <w:rPr>
          <w:sz w:val="20"/>
        </w:rPr>
        <w:t>services</w:t>
      </w:r>
      <w:r>
        <w:rPr>
          <w:spacing w:val="65"/>
          <w:sz w:val="20"/>
        </w:rPr>
        <w:t> </w:t>
      </w:r>
      <w:r>
        <w:rPr>
          <w:sz w:val="20"/>
        </w:rPr>
        <w:t>to</w:t>
      </w:r>
      <w:r>
        <w:rPr>
          <w:spacing w:val="66"/>
          <w:sz w:val="20"/>
        </w:rPr>
        <w:t> </w:t>
      </w:r>
      <w:r>
        <w:rPr>
          <w:sz w:val="20"/>
        </w:rPr>
        <w:t>be</w:t>
      </w:r>
      <w:r>
        <w:rPr>
          <w:spacing w:val="65"/>
          <w:sz w:val="20"/>
        </w:rPr>
        <w:t> </w:t>
      </w:r>
      <w:r>
        <w:rPr>
          <w:sz w:val="20"/>
        </w:rPr>
        <w:t>pre-approved</w:t>
      </w:r>
      <w:r>
        <w:rPr>
          <w:spacing w:val="66"/>
          <w:sz w:val="20"/>
        </w:rPr>
        <w:t> </w:t>
      </w:r>
      <w:r>
        <w:rPr>
          <w:sz w:val="20"/>
        </w:rPr>
        <w:t>on</w:t>
      </w:r>
      <w:r>
        <w:rPr>
          <w:spacing w:val="66"/>
          <w:sz w:val="20"/>
        </w:rPr>
        <w:t> </w:t>
      </w:r>
      <w:r>
        <w:rPr>
          <w:sz w:val="20"/>
        </w:rPr>
        <w:t>a</w:t>
      </w:r>
      <w:r>
        <w:rPr>
          <w:spacing w:val="65"/>
          <w:sz w:val="20"/>
        </w:rPr>
        <w:t> </w:t>
      </w:r>
      <w:r>
        <w:rPr>
          <w:sz w:val="20"/>
        </w:rPr>
        <w:t>case-by-case</w:t>
      </w:r>
      <w:r>
        <w:rPr>
          <w:spacing w:val="65"/>
          <w:sz w:val="20"/>
        </w:rPr>
        <w:t> </w:t>
      </w:r>
      <w:r>
        <w:rPr>
          <w:sz w:val="20"/>
        </w:rPr>
        <w:t>basis</w:t>
      </w:r>
      <w:r>
        <w:rPr>
          <w:spacing w:val="65"/>
          <w:sz w:val="20"/>
        </w:rPr>
        <w:t> </w:t>
      </w:r>
      <w:r>
        <w:rPr>
          <w:sz w:val="20"/>
        </w:rPr>
        <w:t>by</w:t>
      </w:r>
      <w:r>
        <w:rPr>
          <w:spacing w:val="66"/>
          <w:sz w:val="20"/>
        </w:rPr>
        <w:t> </w:t>
      </w:r>
      <w:r>
        <w:rPr>
          <w:sz w:val="20"/>
        </w:rPr>
        <w:t>the</w:t>
      </w:r>
      <w:r>
        <w:rPr>
          <w:spacing w:val="65"/>
          <w:sz w:val="20"/>
        </w:rPr>
        <w:t> </w:t>
      </w:r>
      <w:r>
        <w:rPr>
          <w:sz w:val="20"/>
        </w:rPr>
        <w:t>Board,</w:t>
      </w:r>
      <w:r>
        <w:rPr>
          <w:spacing w:val="66"/>
          <w:sz w:val="20"/>
        </w:rPr>
        <w:t> </w:t>
      </w:r>
      <w:r>
        <w:rPr>
          <w:sz w:val="20"/>
        </w:rPr>
        <w:t>upon recommendation of the Audit Committee, and</w:t>
      </w:r>
    </w:p>
    <w:p>
      <w:pPr>
        <w:pStyle w:val="ListParagraph"/>
        <w:numPr>
          <w:ilvl w:val="0"/>
          <w:numId w:val="29"/>
        </w:numPr>
        <w:tabs>
          <w:tab w:pos="1260" w:val="left" w:leader="none"/>
        </w:tabs>
        <w:spacing w:line="249" w:lineRule="auto" w:before="122" w:after="0"/>
        <w:ind w:left="1260" w:right="720" w:hanging="360"/>
        <w:jc w:val="left"/>
        <w:rPr>
          <w:sz w:val="20"/>
        </w:rPr>
      </w:pPr>
      <w:r>
        <w:rPr>
          <w:sz w:val="20"/>
        </w:rPr>
        <w:t>Renewal of the external audit contract every five years, with a limit of two consecutive terms and mandatory rotation thereafter.</w:t>
      </w:r>
    </w:p>
    <w:p>
      <w:pPr>
        <w:pStyle w:val="BodyText"/>
        <w:spacing w:line="232" w:lineRule="auto" w:before="127"/>
        <w:ind w:left="720" w:right="718"/>
        <w:jc w:val="both"/>
      </w:pPr>
      <w:r>
        <w:rPr/>
        <w:t>The external auditor may provide non-prohibited, non-audit related services subject to monetary limits. Broadly, the list</w:t>
      </w:r>
      <w:r>
        <w:rPr>
          <w:spacing w:val="-1"/>
        </w:rPr>
        <w:t> </w:t>
      </w:r>
      <w:r>
        <w:rPr/>
        <w:t>of</w:t>
      </w:r>
      <w:r>
        <w:rPr>
          <w:spacing w:val="-1"/>
        </w:rPr>
        <w:t> </w:t>
      </w:r>
      <w:r>
        <w:rPr/>
        <w:t>prohibited</w:t>
      </w:r>
      <w:r>
        <w:rPr>
          <w:spacing w:val="-1"/>
        </w:rPr>
        <w:t> </w:t>
      </w:r>
      <w:r>
        <w:rPr/>
        <w:t>non-audit</w:t>
      </w:r>
      <w:r>
        <w:rPr>
          <w:spacing w:val="-1"/>
        </w:rPr>
        <w:t> </w:t>
      </w:r>
      <w:r>
        <w:rPr/>
        <w:t>services</w:t>
      </w:r>
      <w:r>
        <w:rPr>
          <w:spacing w:val="-1"/>
        </w:rPr>
        <w:t> </w:t>
      </w:r>
      <w:r>
        <w:rPr/>
        <w:t>include</w:t>
      </w:r>
      <w:r>
        <w:rPr>
          <w:spacing w:val="-1"/>
        </w:rPr>
        <w:t> </w:t>
      </w:r>
      <w:r>
        <w:rPr/>
        <w:t>those</w:t>
      </w:r>
      <w:r>
        <w:rPr>
          <w:spacing w:val="-1"/>
        </w:rPr>
        <w:t> </w:t>
      </w:r>
      <w:r>
        <w:rPr/>
        <w:t>that</w:t>
      </w:r>
      <w:r>
        <w:rPr>
          <w:spacing w:val="-1"/>
        </w:rPr>
        <w:t> </w:t>
      </w:r>
      <w:r>
        <w:rPr/>
        <w:t>would</w:t>
      </w:r>
      <w:r>
        <w:rPr>
          <w:spacing w:val="-1"/>
        </w:rPr>
        <w:t> </w:t>
      </w:r>
      <w:r>
        <w:rPr/>
        <w:t>put</w:t>
      </w:r>
      <w:r>
        <w:rPr>
          <w:spacing w:val="-1"/>
        </w:rPr>
        <w:t> </w:t>
      </w:r>
      <w:r>
        <w:rPr/>
        <w:t>the</w:t>
      </w:r>
      <w:r>
        <w:rPr>
          <w:spacing w:val="-1"/>
        </w:rPr>
        <w:t> </w:t>
      </w:r>
      <w:r>
        <w:rPr/>
        <w:t>external</w:t>
      </w:r>
      <w:r>
        <w:rPr>
          <w:spacing w:val="-1"/>
        </w:rPr>
        <w:t> </w:t>
      </w:r>
      <w:r>
        <w:rPr/>
        <w:t>auditor</w:t>
      </w:r>
      <w:r>
        <w:rPr>
          <w:spacing w:val="-1"/>
        </w:rPr>
        <w:t> </w:t>
      </w:r>
      <w:r>
        <w:rPr/>
        <w:t>in</w:t>
      </w:r>
      <w:r>
        <w:rPr>
          <w:spacing w:val="-1"/>
        </w:rPr>
        <w:t> </w:t>
      </w:r>
      <w:r>
        <w:rPr/>
        <w:t>the</w:t>
      </w:r>
      <w:r>
        <w:rPr>
          <w:spacing w:val="-1"/>
        </w:rPr>
        <w:t> </w:t>
      </w:r>
      <w:r>
        <w:rPr/>
        <w:t>roles</w:t>
      </w:r>
      <w:r>
        <w:rPr>
          <w:spacing w:val="-1"/>
        </w:rPr>
        <w:t> </w:t>
      </w:r>
      <w:r>
        <w:rPr/>
        <w:t>typically</w:t>
      </w:r>
      <w:r>
        <w:rPr>
          <w:spacing w:val="-1"/>
        </w:rPr>
        <w:t> </w:t>
      </w:r>
      <w:r>
        <w:rPr/>
        <w:t>performed by management and in a position of auditing their own work, such as accounting services, internal audit services,</w:t>
      </w:r>
      <w:r>
        <w:rPr>
          <w:spacing w:val="40"/>
        </w:rPr>
        <w:t> </w:t>
      </w:r>
      <w:r>
        <w:rPr/>
        <w:t>and provision of investment advice. The total non-audit services fees over the term of the relevant external audit contract shall not exceed 70 percent of the audit fees over the same period.</w:t>
      </w:r>
    </w:p>
    <w:p>
      <w:pPr>
        <w:pStyle w:val="BodyText"/>
        <w:spacing w:before="38"/>
      </w:pPr>
    </w:p>
    <w:p>
      <w:pPr>
        <w:pStyle w:val="BodyText"/>
        <w:spacing w:line="249" w:lineRule="auto"/>
        <w:ind w:left="720" w:right="718"/>
        <w:jc w:val="both"/>
      </w:pPr>
      <w:r>
        <w:rPr/>
        <w:t>Communication between the external auditor and the Audit Committee is ongoing and carried out as often as</w:t>
      </w:r>
      <w:r>
        <w:rPr>
          <w:spacing w:val="40"/>
        </w:rPr>
        <w:t> </w:t>
      </w:r>
      <w:r>
        <w:rPr/>
        <w:t>deemed necessary by either party. The Audit Committee meets periodically with the external auditor and individual committee members have independent access to the external auditor. IBRD’s external auditors also follow the communication requirements with the Audit Committee set out under generally accepted auditing standards in the United States.</w:t>
      </w:r>
    </w:p>
    <w:p>
      <w:pPr>
        <w:pStyle w:val="Heading1"/>
        <w:spacing w:before="122"/>
        <w:jc w:val="left"/>
      </w:pPr>
      <w:bookmarkStart w:name="External Auditors" w:id="166"/>
      <w:bookmarkEnd w:id="166"/>
      <w:r>
        <w:rPr>
          <w:b w:val="0"/>
        </w:rPr>
      </w:r>
      <w:bookmarkStart w:name="_bookmark108" w:id="167"/>
      <w:bookmarkEnd w:id="167"/>
      <w:r>
        <w:rPr>
          <w:b w:val="0"/>
        </w:rPr>
      </w:r>
      <w:r>
        <w:rPr/>
        <w:t>External</w:t>
      </w:r>
      <w:r>
        <w:rPr>
          <w:spacing w:val="-4"/>
        </w:rPr>
        <w:t> </w:t>
      </w:r>
      <w:r>
        <w:rPr>
          <w:spacing w:val="-2"/>
        </w:rPr>
        <w:t>Auditors</w:t>
      </w:r>
    </w:p>
    <w:p>
      <w:pPr>
        <w:pStyle w:val="BodyText"/>
        <w:spacing w:line="249" w:lineRule="auto" w:before="134"/>
        <w:ind w:left="720" w:right="720"/>
        <w:jc w:val="both"/>
      </w:pPr>
      <w:r>
        <w:rPr/>
        <w:t>The external auditor is appointed to a five-year term, with a limit of two consecutive terms, and is subject to annual reappointment based on the recommendation of the Audit Committee and approval of a resolution by the Board.</w:t>
      </w:r>
    </w:p>
    <w:p>
      <w:pPr>
        <w:pStyle w:val="BodyText"/>
        <w:spacing w:line="249" w:lineRule="auto" w:before="122"/>
        <w:ind w:left="720" w:right="719"/>
        <w:jc w:val="both"/>
      </w:pPr>
      <w:r>
        <w:rPr/>
        <w:t>In May 2022, IBRD’s Board approved Deloitte &amp; Touche LLP as IBRD’s external auditor for a second five-year term commencing in FY24.</w:t>
      </w:r>
    </w:p>
    <w:p>
      <w:pPr>
        <w:pStyle w:val="Heading1"/>
        <w:spacing w:before="119"/>
        <w:jc w:val="left"/>
      </w:pPr>
      <w:bookmarkStart w:name="Senior Management Changes" w:id="168"/>
      <w:bookmarkEnd w:id="168"/>
      <w:r>
        <w:rPr>
          <w:b w:val="0"/>
        </w:rPr>
      </w:r>
      <w:bookmarkStart w:name="_bookmark109" w:id="169"/>
      <w:bookmarkEnd w:id="169"/>
      <w:r>
        <w:rPr>
          <w:b w:val="0"/>
        </w:rPr>
      </w:r>
      <w:r>
        <w:rPr/>
        <w:t>Senior</w:t>
      </w:r>
      <w:r>
        <w:rPr>
          <w:spacing w:val="-3"/>
        </w:rPr>
        <w:t> </w:t>
      </w:r>
      <w:r>
        <w:rPr/>
        <w:t>Management</w:t>
      </w:r>
      <w:r>
        <w:rPr>
          <w:spacing w:val="-3"/>
        </w:rPr>
        <w:t> </w:t>
      </w:r>
      <w:r>
        <w:rPr>
          <w:spacing w:val="-2"/>
        </w:rPr>
        <w:t>Changes</w:t>
      </w:r>
    </w:p>
    <w:p>
      <w:pPr>
        <w:pStyle w:val="BodyText"/>
        <w:spacing w:line="249" w:lineRule="auto" w:before="134"/>
        <w:ind w:left="720" w:right="720"/>
        <w:jc w:val="both"/>
      </w:pPr>
      <w:r>
        <w:rPr/>
        <w:t>Effective June 1, 2023, David Malpass resigned as World Bank Group President. Ajay Banga was appointed as President of the World Bank Group effective June 2, 2023.</w:t>
      </w:r>
    </w:p>
    <w:p>
      <w:pPr>
        <w:pStyle w:val="BodyText"/>
        <w:spacing w:before="122"/>
        <w:ind w:left="720"/>
        <w:jc w:val="both"/>
      </w:pPr>
      <w:r>
        <w:rPr/>
        <w:t>On</w:t>
      </w:r>
      <w:r>
        <w:rPr>
          <w:spacing w:val="-5"/>
        </w:rPr>
        <w:t> </w:t>
      </w:r>
      <w:r>
        <w:rPr/>
        <w:t>March</w:t>
      </w:r>
      <w:r>
        <w:rPr>
          <w:spacing w:val="-3"/>
        </w:rPr>
        <w:t> </w:t>
      </w:r>
      <w:r>
        <w:rPr/>
        <w:t>1,</w:t>
      </w:r>
      <w:r>
        <w:rPr>
          <w:spacing w:val="-2"/>
        </w:rPr>
        <w:t> </w:t>
      </w:r>
      <w:r>
        <w:rPr/>
        <w:t>2023,</w:t>
      </w:r>
      <w:r>
        <w:rPr>
          <w:spacing w:val="-3"/>
        </w:rPr>
        <w:t> </w:t>
      </w:r>
      <w:r>
        <w:rPr/>
        <w:t>Mari</w:t>
      </w:r>
      <w:r>
        <w:rPr>
          <w:spacing w:val="-3"/>
        </w:rPr>
        <w:t> </w:t>
      </w:r>
      <w:r>
        <w:rPr/>
        <w:t>Pangestu</w:t>
      </w:r>
      <w:r>
        <w:rPr>
          <w:spacing w:val="-3"/>
        </w:rPr>
        <w:t> </w:t>
      </w:r>
      <w:r>
        <w:rPr/>
        <w:t>retired</w:t>
      </w:r>
      <w:r>
        <w:rPr>
          <w:spacing w:val="-3"/>
        </w:rPr>
        <w:t> </w:t>
      </w:r>
      <w:r>
        <w:rPr/>
        <w:t>as</w:t>
      </w:r>
      <w:r>
        <w:rPr>
          <w:spacing w:val="-3"/>
        </w:rPr>
        <w:t> </w:t>
      </w:r>
      <w:r>
        <w:rPr/>
        <w:t>Managing</w:t>
      </w:r>
      <w:r>
        <w:rPr>
          <w:spacing w:val="-3"/>
        </w:rPr>
        <w:t> </w:t>
      </w:r>
      <w:r>
        <w:rPr/>
        <w:t>Director</w:t>
      </w:r>
      <w:r>
        <w:rPr>
          <w:spacing w:val="-2"/>
        </w:rPr>
        <w:t> </w:t>
      </w:r>
      <w:r>
        <w:rPr/>
        <w:t>for</w:t>
      </w:r>
      <w:r>
        <w:rPr>
          <w:spacing w:val="-3"/>
        </w:rPr>
        <w:t> </w:t>
      </w:r>
      <w:r>
        <w:rPr/>
        <w:t>Development</w:t>
      </w:r>
      <w:r>
        <w:rPr>
          <w:spacing w:val="-3"/>
        </w:rPr>
        <w:t> </w:t>
      </w:r>
      <w:r>
        <w:rPr/>
        <w:t>Policy</w:t>
      </w:r>
      <w:r>
        <w:rPr>
          <w:spacing w:val="-3"/>
        </w:rPr>
        <w:t> </w:t>
      </w:r>
      <w:r>
        <w:rPr/>
        <w:t>and</w:t>
      </w:r>
      <w:r>
        <w:rPr>
          <w:spacing w:val="-2"/>
        </w:rPr>
        <w:t> Partnerships.</w:t>
      </w:r>
    </w:p>
    <w:p>
      <w:pPr>
        <w:pStyle w:val="BodyText"/>
        <w:spacing w:line="249" w:lineRule="auto" w:before="130"/>
        <w:ind w:left="720" w:right="718"/>
        <w:jc w:val="both"/>
      </w:pPr>
      <w:r>
        <w:rPr/>
        <w:t>Effective April 3, 2023, Axel van Trotsenburg became the Senior Managing Director for the World Bank's Development Policy and Partnerships, and Anna Bjerde was appointed Managing Director for Operations, succeeding Axel van Trotsenburg in that role.</w:t>
      </w:r>
    </w:p>
    <w:p>
      <w:pPr>
        <w:pStyle w:val="BodyText"/>
        <w:spacing w:after="0" w:line="249" w:lineRule="auto"/>
        <w:jc w:val="both"/>
        <w:sectPr>
          <w:pgSz w:w="12240" w:h="15840"/>
          <w:pgMar w:header="744" w:footer="713" w:top="1020" w:bottom="900" w:left="720" w:right="720"/>
        </w:sectPr>
      </w:pPr>
    </w:p>
    <w:p>
      <w:pPr>
        <w:pStyle w:val="BodyText"/>
        <w:spacing w:before="79"/>
        <w:rPr>
          <w:sz w:val="24"/>
        </w:rPr>
      </w:pPr>
    </w:p>
    <w:p>
      <w:pPr>
        <w:pStyle w:val="Heading1"/>
      </w:pPr>
      <w:bookmarkStart w:name="Internal Control" w:id="170"/>
      <w:bookmarkEnd w:id="170"/>
      <w:r>
        <w:rPr>
          <w:b w:val="0"/>
        </w:rPr>
      </w:r>
      <w:bookmarkStart w:name="_bookmark110" w:id="171"/>
      <w:bookmarkEnd w:id="171"/>
      <w:r>
        <w:rPr>
          <w:b w:val="0"/>
        </w:rPr>
      </w:r>
      <w:r>
        <w:rPr/>
        <w:t>Internal</w:t>
      </w:r>
      <w:r>
        <w:rPr>
          <w:spacing w:val="-3"/>
        </w:rPr>
        <w:t> </w:t>
      </w:r>
      <w:r>
        <w:rPr>
          <w:spacing w:val="-2"/>
        </w:rPr>
        <w:t>Control</w:t>
      </w:r>
    </w:p>
    <w:p>
      <w:pPr>
        <w:pStyle w:val="Heading4"/>
        <w:spacing w:before="126"/>
      </w:pPr>
      <w:r>
        <w:rPr/>
        <w:t>Internal</w:t>
      </w:r>
      <w:r>
        <w:rPr>
          <w:spacing w:val="-2"/>
        </w:rPr>
        <w:t> </w:t>
      </w:r>
      <w:r>
        <w:rPr/>
        <w:t>Control</w:t>
      </w:r>
      <w:r>
        <w:rPr>
          <w:spacing w:val="-2"/>
        </w:rPr>
        <w:t> </w:t>
      </w:r>
      <w:r>
        <w:rPr/>
        <w:t>Over</w:t>
      </w:r>
      <w:r>
        <w:rPr>
          <w:spacing w:val="-2"/>
        </w:rPr>
        <w:t> </w:t>
      </w:r>
      <w:r>
        <w:rPr/>
        <w:t>Financial</w:t>
      </w:r>
      <w:r>
        <w:rPr>
          <w:spacing w:val="-2"/>
        </w:rPr>
        <w:t> Reporting</w:t>
      </w:r>
    </w:p>
    <w:p>
      <w:pPr>
        <w:pStyle w:val="BodyText"/>
        <w:spacing w:line="249" w:lineRule="auto" w:before="140"/>
        <w:ind w:left="720" w:right="717"/>
        <w:jc w:val="both"/>
      </w:pPr>
      <w:r>
        <w:rPr/>
        <w:t>Each fiscal year, Management evaluates the internal controls over financial reporting to determine whether any changes made in these controls during the fiscal year materially affect, or would be reasonably likely to materially affect, IBRD’s internal control over financial reporting. The internal control framework promulgated by the Committee of Sponsoring Organizations of the Treadway Commission (COSO), “Internal Control - Integrated Framework</w:t>
      </w:r>
      <w:r>
        <w:rPr>
          <w:spacing w:val="-2"/>
        </w:rPr>
        <w:t> </w:t>
      </w:r>
      <w:r>
        <w:rPr/>
        <w:t>(2013)”</w:t>
      </w:r>
      <w:r>
        <w:rPr>
          <w:spacing w:val="-3"/>
        </w:rPr>
        <w:t> </w:t>
      </w:r>
      <w:r>
        <w:rPr/>
        <w:t>provides</w:t>
      </w:r>
      <w:r>
        <w:rPr>
          <w:spacing w:val="-3"/>
        </w:rPr>
        <w:t> </w:t>
      </w:r>
      <w:r>
        <w:rPr/>
        <w:t>guidance</w:t>
      </w:r>
      <w:r>
        <w:rPr>
          <w:spacing w:val="-3"/>
        </w:rPr>
        <w:t> </w:t>
      </w:r>
      <w:r>
        <w:rPr/>
        <w:t>for</w:t>
      </w:r>
      <w:r>
        <w:rPr>
          <w:spacing w:val="-2"/>
        </w:rPr>
        <w:t> </w:t>
      </w:r>
      <w:r>
        <w:rPr/>
        <w:t>designing,</w:t>
      </w:r>
      <w:r>
        <w:rPr>
          <w:spacing w:val="-2"/>
        </w:rPr>
        <w:t> </w:t>
      </w:r>
      <w:r>
        <w:rPr/>
        <w:t>implementing</w:t>
      </w:r>
      <w:r>
        <w:rPr>
          <w:spacing w:val="-2"/>
        </w:rPr>
        <w:t> </w:t>
      </w:r>
      <w:r>
        <w:rPr/>
        <w:t>and</w:t>
      </w:r>
      <w:r>
        <w:rPr>
          <w:spacing w:val="-2"/>
        </w:rPr>
        <w:t> </w:t>
      </w:r>
      <w:r>
        <w:rPr/>
        <w:t>conducting</w:t>
      </w:r>
      <w:r>
        <w:rPr>
          <w:spacing w:val="-2"/>
        </w:rPr>
        <w:t> </w:t>
      </w:r>
      <w:r>
        <w:rPr/>
        <w:t>internal</w:t>
      </w:r>
      <w:r>
        <w:rPr>
          <w:spacing w:val="-3"/>
        </w:rPr>
        <w:t> </w:t>
      </w:r>
      <w:r>
        <w:rPr/>
        <w:t>control</w:t>
      </w:r>
      <w:r>
        <w:rPr>
          <w:spacing w:val="-3"/>
        </w:rPr>
        <w:t> </w:t>
      </w:r>
      <w:r>
        <w:rPr/>
        <w:t>and</w:t>
      </w:r>
      <w:r>
        <w:rPr>
          <w:spacing w:val="-2"/>
        </w:rPr>
        <w:t> </w:t>
      </w:r>
      <w:r>
        <w:rPr/>
        <w:t>assessing</w:t>
      </w:r>
      <w:r>
        <w:rPr>
          <w:spacing w:val="-2"/>
        </w:rPr>
        <w:t> </w:t>
      </w:r>
      <w:r>
        <w:rPr/>
        <w:t>its effectiveness.</w:t>
      </w:r>
      <w:r>
        <w:rPr>
          <w:spacing w:val="-2"/>
        </w:rPr>
        <w:t> </w:t>
      </w:r>
      <w:r>
        <w:rPr/>
        <w:t>IBRD</w:t>
      </w:r>
      <w:r>
        <w:rPr>
          <w:spacing w:val="-2"/>
        </w:rPr>
        <w:t> </w:t>
      </w:r>
      <w:r>
        <w:rPr/>
        <w:t>uses</w:t>
      </w:r>
      <w:r>
        <w:rPr>
          <w:spacing w:val="-2"/>
        </w:rPr>
        <w:t> </w:t>
      </w:r>
      <w:r>
        <w:rPr/>
        <w:t>the</w:t>
      </w:r>
      <w:r>
        <w:rPr>
          <w:spacing w:val="-2"/>
        </w:rPr>
        <w:t> </w:t>
      </w:r>
      <w:r>
        <w:rPr/>
        <w:t>2013</w:t>
      </w:r>
      <w:r>
        <w:rPr>
          <w:spacing w:val="-2"/>
        </w:rPr>
        <w:t> </w:t>
      </w:r>
      <w:r>
        <w:rPr/>
        <w:t>COSO</w:t>
      </w:r>
      <w:r>
        <w:rPr>
          <w:spacing w:val="-2"/>
        </w:rPr>
        <w:t> </w:t>
      </w:r>
      <w:r>
        <w:rPr/>
        <w:t>framework</w:t>
      </w:r>
      <w:r>
        <w:rPr>
          <w:spacing w:val="-2"/>
        </w:rPr>
        <w:t> </w:t>
      </w:r>
      <w:r>
        <w:rPr/>
        <w:t>to</w:t>
      </w:r>
      <w:r>
        <w:rPr>
          <w:spacing w:val="-2"/>
        </w:rPr>
        <w:t> </w:t>
      </w:r>
      <w:r>
        <w:rPr/>
        <w:t>assess</w:t>
      </w:r>
      <w:r>
        <w:rPr>
          <w:spacing w:val="-2"/>
        </w:rPr>
        <w:t> </w:t>
      </w:r>
      <w:r>
        <w:rPr/>
        <w:t>the</w:t>
      </w:r>
      <w:r>
        <w:rPr>
          <w:spacing w:val="-2"/>
        </w:rPr>
        <w:t> </w:t>
      </w:r>
      <w:r>
        <w:rPr/>
        <w:t>effectiveness</w:t>
      </w:r>
      <w:r>
        <w:rPr>
          <w:spacing w:val="-2"/>
        </w:rPr>
        <w:t> </w:t>
      </w:r>
      <w:r>
        <w:rPr/>
        <w:t>of</w:t>
      </w:r>
      <w:r>
        <w:rPr>
          <w:spacing w:val="-2"/>
        </w:rPr>
        <w:t> </w:t>
      </w:r>
      <w:r>
        <w:rPr/>
        <w:t>the</w:t>
      </w:r>
      <w:r>
        <w:rPr>
          <w:spacing w:val="-2"/>
        </w:rPr>
        <w:t> </w:t>
      </w:r>
      <w:r>
        <w:rPr/>
        <w:t>internal</w:t>
      </w:r>
      <w:r>
        <w:rPr>
          <w:spacing w:val="-2"/>
        </w:rPr>
        <w:t> </w:t>
      </w:r>
      <w:r>
        <w:rPr/>
        <w:t>control</w:t>
      </w:r>
      <w:r>
        <w:rPr>
          <w:spacing w:val="-2"/>
        </w:rPr>
        <w:t> </w:t>
      </w:r>
      <w:r>
        <w:rPr/>
        <w:t>over</w:t>
      </w:r>
      <w:r>
        <w:rPr>
          <w:spacing w:val="-2"/>
        </w:rPr>
        <w:t> </w:t>
      </w:r>
      <w:r>
        <w:rPr/>
        <w:t>financial reporting. As of June 30, 2023, management maintained effective internal control over financial reporting. See “Management’s report regarding effectiveness of Internal Control over Financial Reporting” on page 70.</w:t>
      </w:r>
    </w:p>
    <w:p>
      <w:pPr>
        <w:pStyle w:val="BodyText"/>
        <w:spacing w:line="249" w:lineRule="auto" w:before="126"/>
        <w:ind w:left="720" w:right="718"/>
        <w:jc w:val="both"/>
      </w:pPr>
      <w:r>
        <w:rPr/>
        <w:t>IBRD’s internal control over financial reporting was audited by Deloitte &amp; Touche LLP, and their report expresses an unqualified opinion on the effectiveness of IBRD’s internal control over financial reporting as of June 30, 2023. See Independent Auditor’s Report on page 72.</w:t>
      </w:r>
    </w:p>
    <w:p>
      <w:pPr>
        <w:pStyle w:val="Heading4"/>
        <w:spacing w:before="114"/>
      </w:pPr>
      <w:r>
        <w:rPr/>
        <w:t>Disclosure</w:t>
      </w:r>
      <w:r>
        <w:rPr>
          <w:spacing w:val="-3"/>
        </w:rPr>
        <w:t> </w:t>
      </w:r>
      <w:r>
        <w:rPr/>
        <w:t>Controls</w:t>
      </w:r>
      <w:r>
        <w:rPr>
          <w:spacing w:val="-3"/>
        </w:rPr>
        <w:t> </w:t>
      </w:r>
      <w:r>
        <w:rPr/>
        <w:t>and</w:t>
      </w:r>
      <w:r>
        <w:rPr>
          <w:spacing w:val="-3"/>
        </w:rPr>
        <w:t> </w:t>
      </w:r>
      <w:r>
        <w:rPr>
          <w:spacing w:val="-2"/>
        </w:rPr>
        <w:t>Procedures</w:t>
      </w:r>
    </w:p>
    <w:p>
      <w:pPr>
        <w:pStyle w:val="BodyText"/>
        <w:spacing w:line="249" w:lineRule="auto" w:before="140"/>
        <w:ind w:left="720" w:right="718"/>
        <w:jc w:val="both"/>
      </w:pPr>
      <w:r>
        <w:rPr/>
        <w:t>Disclosure controls and procedures are designed to ensure that information required to be disclosed is gathered and communicated to Management, as appropriate, to allow timely decisions regarding required disclosure by IBRD. Management conducted an evaluation of the effectiveness of such controls and procedures and the President and the MDCFO have concluded that these controls and procedures were effective as of June 30, 2023.</w:t>
      </w:r>
    </w:p>
    <w:p>
      <w:pPr>
        <w:pStyle w:val="BodyText"/>
        <w:spacing w:after="0" w:line="249" w:lineRule="auto"/>
        <w:jc w:val="both"/>
        <w:sectPr>
          <w:pgSz w:w="12240" w:h="15840"/>
          <w:pgMar w:header="744" w:footer="583" w:top="1020" w:bottom="780" w:left="720" w:right="720"/>
        </w:sectPr>
      </w:pPr>
    </w:p>
    <w:p>
      <w:pPr>
        <w:pStyle w:val="BodyText"/>
        <w:spacing w:before="77"/>
        <w:rPr>
          <w:sz w:val="28"/>
        </w:rPr>
      </w:pPr>
    </w:p>
    <w:p>
      <w:pPr>
        <w:spacing w:before="0"/>
        <w:ind w:left="772" w:right="0" w:firstLine="0"/>
        <w:jc w:val="left"/>
        <w:rPr>
          <w:rFonts w:ascii="Arial"/>
          <w:b/>
          <w:sz w:val="28"/>
        </w:rPr>
      </w:pPr>
      <w:r>
        <w:rPr>
          <w:rFonts w:ascii="Arial"/>
          <w:b/>
          <w:sz w:val="28"/>
        </w:rPr>
        <mc:AlternateContent>
          <mc:Choice Requires="wps">
            <w:drawing>
              <wp:anchor distT="0" distB="0" distL="0" distR="0" allowOverlap="1" layoutInCell="1" locked="0" behindDoc="1" simplePos="0" relativeHeight="487670272">
                <wp:simplePos x="0" y="0"/>
                <wp:positionH relativeFrom="page">
                  <wp:posOffset>914400</wp:posOffset>
                </wp:positionH>
                <wp:positionV relativeFrom="paragraph">
                  <wp:posOffset>233062</wp:posOffset>
                </wp:positionV>
                <wp:extent cx="5943600" cy="1270"/>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1357pt;width:468pt;height:.1pt;mso-position-horizontal-relative:page;mso-position-vertical-relative:paragraph;z-index:-15646208;mso-wrap-distance-left:0;mso-wrap-distance-right:0" id="docshape516" coordorigin="1440,367" coordsize="9360,0" path="m1440,367l10800,367e" filled="false" stroked="true" strokeweight="1pt" strokecolor="#000000">
                <v:path arrowok="t"/>
                <v:stroke dashstyle="solid"/>
                <w10:wrap type="topAndBottom"/>
              </v:shape>
            </w:pict>
          </mc:Fallback>
        </mc:AlternateContent>
      </w:r>
      <w:bookmarkStart w:name="Appendix" w:id="172"/>
      <w:bookmarkEnd w:id="172"/>
      <w:r>
        <w:rPr/>
      </w:r>
      <w:r>
        <w:rPr>
          <w:rFonts w:ascii="Arial"/>
          <w:b/>
          <w:spacing w:val="-2"/>
          <w:sz w:val="28"/>
        </w:rPr>
        <w:t>Appendix</w:t>
      </w:r>
    </w:p>
    <w:p>
      <w:pPr>
        <w:spacing w:before="159"/>
        <w:ind w:left="720" w:right="0" w:firstLine="0"/>
        <w:jc w:val="left"/>
        <w:rPr>
          <w:rFonts w:ascii="Arial"/>
          <w:b/>
          <w:sz w:val="24"/>
        </w:rPr>
      </w:pPr>
      <w:bookmarkStart w:name="Glossary of Terms" w:id="173"/>
      <w:bookmarkEnd w:id="173"/>
      <w:r>
        <w:rPr/>
      </w:r>
      <w:bookmarkStart w:name="_bookmark111" w:id="174"/>
      <w:bookmarkEnd w:id="174"/>
      <w:r>
        <w:rPr/>
      </w:r>
      <w:r>
        <w:rPr>
          <w:rFonts w:ascii="Arial"/>
          <w:b/>
          <w:sz w:val="24"/>
        </w:rPr>
        <w:t>Glossary</w:t>
      </w:r>
      <w:r>
        <w:rPr>
          <w:rFonts w:ascii="Arial"/>
          <w:b/>
          <w:spacing w:val="-4"/>
          <w:sz w:val="24"/>
        </w:rPr>
        <w:t> </w:t>
      </w:r>
      <w:r>
        <w:rPr>
          <w:rFonts w:ascii="Arial"/>
          <w:b/>
          <w:sz w:val="24"/>
        </w:rPr>
        <w:t>of</w:t>
      </w:r>
      <w:r>
        <w:rPr>
          <w:rFonts w:ascii="Arial"/>
          <w:b/>
          <w:spacing w:val="-2"/>
          <w:sz w:val="24"/>
        </w:rPr>
        <w:t> </w:t>
      </w:r>
      <w:r>
        <w:rPr>
          <w:rFonts w:ascii="Arial"/>
          <w:b/>
          <w:spacing w:val="-4"/>
          <w:sz w:val="24"/>
        </w:rPr>
        <w:t>Terms</w:t>
      </w:r>
    </w:p>
    <w:p>
      <w:pPr>
        <w:spacing w:before="139"/>
        <w:ind w:left="720" w:right="0" w:firstLine="0"/>
        <w:jc w:val="left"/>
        <w:rPr>
          <w:sz w:val="18"/>
        </w:rPr>
      </w:pPr>
      <w:r>
        <w:rPr>
          <w:b/>
          <w:sz w:val="18"/>
        </w:rPr>
        <w:t>Articles:</w:t>
      </w:r>
      <w:r>
        <w:rPr>
          <w:b/>
          <w:spacing w:val="-2"/>
          <w:sz w:val="18"/>
        </w:rPr>
        <w:t> </w:t>
      </w:r>
      <w:r>
        <w:rPr>
          <w:sz w:val="18"/>
        </w:rPr>
        <w:t>IBRD’s</w:t>
      </w:r>
      <w:r>
        <w:rPr>
          <w:spacing w:val="-2"/>
          <w:sz w:val="18"/>
        </w:rPr>
        <w:t> </w:t>
      </w:r>
      <w:r>
        <w:rPr>
          <w:sz w:val="18"/>
        </w:rPr>
        <w:t>Articles</w:t>
      </w:r>
      <w:r>
        <w:rPr>
          <w:spacing w:val="-2"/>
          <w:sz w:val="18"/>
        </w:rPr>
        <w:t> </w:t>
      </w:r>
      <w:r>
        <w:rPr>
          <w:sz w:val="18"/>
        </w:rPr>
        <w:t>of</w:t>
      </w:r>
      <w:r>
        <w:rPr>
          <w:spacing w:val="-1"/>
          <w:sz w:val="18"/>
        </w:rPr>
        <w:t> </w:t>
      </w:r>
      <w:r>
        <w:rPr>
          <w:spacing w:val="-2"/>
          <w:sz w:val="18"/>
        </w:rPr>
        <w:t>Agreement</w:t>
      </w:r>
    </w:p>
    <w:p>
      <w:pPr>
        <w:spacing w:line="208" w:lineRule="auto" w:before="115"/>
        <w:ind w:left="720" w:right="719" w:firstLine="0"/>
        <w:jc w:val="left"/>
        <w:rPr>
          <w:sz w:val="18"/>
        </w:rPr>
      </w:pPr>
      <w:r>
        <w:rPr>
          <w:b/>
          <w:sz w:val="18"/>
        </w:rPr>
        <w:t>Below</w:t>
      </w:r>
      <w:r>
        <w:rPr>
          <w:b/>
          <w:spacing w:val="-1"/>
          <w:sz w:val="18"/>
        </w:rPr>
        <w:t> </w:t>
      </w:r>
      <w:r>
        <w:rPr>
          <w:b/>
          <w:sz w:val="18"/>
        </w:rPr>
        <w:t>GDI</w:t>
      </w:r>
      <w:r>
        <w:rPr>
          <w:b/>
          <w:spacing w:val="-1"/>
          <w:sz w:val="18"/>
        </w:rPr>
        <w:t> </w:t>
      </w:r>
      <w:r>
        <w:rPr>
          <w:b/>
          <w:sz w:val="18"/>
        </w:rPr>
        <w:t>Country</w:t>
      </w:r>
      <w:r>
        <w:rPr>
          <w:sz w:val="18"/>
        </w:rPr>
        <w:t>:</w:t>
      </w:r>
      <w:r>
        <w:rPr>
          <w:spacing w:val="-1"/>
          <w:sz w:val="18"/>
        </w:rPr>
        <w:t> </w:t>
      </w:r>
      <w:r>
        <w:rPr>
          <w:sz w:val="18"/>
        </w:rPr>
        <w:t>Country</w:t>
      </w:r>
      <w:r>
        <w:rPr>
          <w:spacing w:val="-1"/>
          <w:sz w:val="18"/>
        </w:rPr>
        <w:t> </w:t>
      </w:r>
      <w:r>
        <w:rPr>
          <w:sz w:val="18"/>
        </w:rPr>
        <w:t>whose</w:t>
      </w:r>
      <w:r>
        <w:rPr>
          <w:spacing w:val="-1"/>
          <w:sz w:val="18"/>
        </w:rPr>
        <w:t> </w:t>
      </w:r>
      <w:r>
        <w:rPr>
          <w:sz w:val="18"/>
        </w:rPr>
        <w:t>Gross</w:t>
      </w:r>
      <w:r>
        <w:rPr>
          <w:spacing w:val="-1"/>
          <w:sz w:val="18"/>
        </w:rPr>
        <w:t> </w:t>
      </w:r>
      <w:r>
        <w:rPr>
          <w:sz w:val="18"/>
        </w:rPr>
        <w:t>National</w:t>
      </w:r>
      <w:r>
        <w:rPr>
          <w:spacing w:val="-1"/>
          <w:sz w:val="18"/>
        </w:rPr>
        <w:t> </w:t>
      </w:r>
      <w:r>
        <w:rPr>
          <w:sz w:val="18"/>
        </w:rPr>
        <w:t>Income</w:t>
      </w:r>
      <w:r>
        <w:rPr>
          <w:spacing w:val="-1"/>
          <w:sz w:val="18"/>
        </w:rPr>
        <w:t> </w:t>
      </w:r>
      <w:r>
        <w:rPr>
          <w:sz w:val="18"/>
        </w:rPr>
        <w:t>per</w:t>
      </w:r>
      <w:r>
        <w:rPr>
          <w:spacing w:val="-1"/>
          <w:sz w:val="18"/>
        </w:rPr>
        <w:t> </w:t>
      </w:r>
      <w:r>
        <w:rPr>
          <w:sz w:val="18"/>
        </w:rPr>
        <w:t>capita</w:t>
      </w:r>
      <w:r>
        <w:rPr>
          <w:spacing w:val="-1"/>
          <w:sz w:val="18"/>
        </w:rPr>
        <w:t> </w:t>
      </w:r>
      <w:r>
        <w:rPr>
          <w:sz w:val="18"/>
        </w:rPr>
        <w:t>is</w:t>
      </w:r>
      <w:r>
        <w:rPr>
          <w:spacing w:val="-1"/>
          <w:sz w:val="18"/>
        </w:rPr>
        <w:t> </w:t>
      </w:r>
      <w:r>
        <w:rPr>
          <w:sz w:val="18"/>
        </w:rPr>
        <w:t>below</w:t>
      </w:r>
      <w:r>
        <w:rPr>
          <w:spacing w:val="-1"/>
          <w:sz w:val="18"/>
        </w:rPr>
        <w:t> </w:t>
      </w:r>
      <w:r>
        <w:rPr>
          <w:sz w:val="18"/>
        </w:rPr>
        <w:t>the</w:t>
      </w:r>
      <w:r>
        <w:rPr>
          <w:spacing w:val="-1"/>
          <w:sz w:val="18"/>
        </w:rPr>
        <w:t> </w:t>
      </w:r>
      <w:r>
        <w:rPr>
          <w:sz w:val="18"/>
        </w:rPr>
        <w:t>Graduation</w:t>
      </w:r>
      <w:r>
        <w:rPr>
          <w:spacing w:val="-1"/>
          <w:sz w:val="18"/>
        </w:rPr>
        <w:t> </w:t>
      </w:r>
      <w:r>
        <w:rPr>
          <w:sz w:val="18"/>
        </w:rPr>
        <w:t>Discussion</w:t>
      </w:r>
      <w:r>
        <w:rPr>
          <w:spacing w:val="-1"/>
          <w:sz w:val="18"/>
        </w:rPr>
        <w:t> </w:t>
      </w:r>
      <w:r>
        <w:rPr>
          <w:sz w:val="18"/>
        </w:rPr>
        <w:t>Income</w:t>
      </w:r>
      <w:r>
        <w:rPr>
          <w:spacing w:val="-1"/>
          <w:sz w:val="18"/>
        </w:rPr>
        <w:t> </w:t>
      </w:r>
      <w:r>
        <w:rPr>
          <w:sz w:val="18"/>
        </w:rPr>
        <w:t>as</w:t>
      </w:r>
      <w:r>
        <w:rPr>
          <w:spacing w:val="-1"/>
          <w:sz w:val="18"/>
        </w:rPr>
        <w:t> </w:t>
      </w:r>
      <w:r>
        <w:rPr>
          <w:sz w:val="18"/>
        </w:rPr>
        <w:t>published in the Per Capita Income Guidelines for Operational Purposes.</w:t>
      </w:r>
    </w:p>
    <w:p>
      <w:pPr>
        <w:spacing w:before="98"/>
        <w:ind w:left="720" w:right="0" w:firstLine="0"/>
        <w:jc w:val="left"/>
        <w:rPr>
          <w:sz w:val="18"/>
        </w:rPr>
      </w:pPr>
      <w:r>
        <w:rPr>
          <w:b/>
          <w:sz w:val="18"/>
        </w:rPr>
        <w:t>Board:</w:t>
      </w:r>
      <w:r>
        <w:rPr>
          <w:b/>
          <w:spacing w:val="-2"/>
          <w:sz w:val="18"/>
        </w:rPr>
        <w:t> </w:t>
      </w:r>
      <w:r>
        <w:rPr>
          <w:sz w:val="18"/>
        </w:rPr>
        <w:t>The</w:t>
      </w:r>
      <w:r>
        <w:rPr>
          <w:spacing w:val="-1"/>
          <w:sz w:val="18"/>
        </w:rPr>
        <w:t> </w:t>
      </w:r>
      <w:r>
        <w:rPr>
          <w:sz w:val="18"/>
        </w:rPr>
        <w:t>Executive Directors</w:t>
      </w:r>
      <w:r>
        <w:rPr>
          <w:spacing w:val="-2"/>
          <w:sz w:val="18"/>
        </w:rPr>
        <w:t> </w:t>
      </w:r>
      <w:r>
        <w:rPr>
          <w:sz w:val="18"/>
        </w:rPr>
        <w:t>as</w:t>
      </w:r>
      <w:r>
        <w:rPr>
          <w:spacing w:val="-1"/>
          <w:sz w:val="18"/>
        </w:rPr>
        <w:t> </w:t>
      </w:r>
      <w:r>
        <w:rPr>
          <w:sz w:val="18"/>
        </w:rPr>
        <w:t>established</w:t>
      </w:r>
      <w:r>
        <w:rPr>
          <w:spacing w:val="-1"/>
          <w:sz w:val="18"/>
        </w:rPr>
        <w:t> </w:t>
      </w:r>
      <w:r>
        <w:rPr>
          <w:sz w:val="18"/>
        </w:rPr>
        <w:t>by</w:t>
      </w:r>
      <w:r>
        <w:rPr>
          <w:spacing w:val="-1"/>
          <w:sz w:val="18"/>
        </w:rPr>
        <w:t> </w:t>
      </w:r>
      <w:r>
        <w:rPr>
          <w:sz w:val="18"/>
        </w:rPr>
        <w:t>IBRD’s</w:t>
      </w:r>
      <w:r>
        <w:rPr>
          <w:spacing w:val="-1"/>
          <w:sz w:val="18"/>
        </w:rPr>
        <w:t> </w:t>
      </w:r>
      <w:r>
        <w:rPr>
          <w:sz w:val="18"/>
        </w:rPr>
        <w:t>Articles</w:t>
      </w:r>
      <w:r>
        <w:rPr>
          <w:spacing w:val="-2"/>
          <w:sz w:val="18"/>
        </w:rPr>
        <w:t> </w:t>
      </w:r>
      <w:r>
        <w:rPr>
          <w:sz w:val="18"/>
        </w:rPr>
        <w:t>of </w:t>
      </w:r>
      <w:r>
        <w:rPr>
          <w:spacing w:val="-2"/>
          <w:sz w:val="18"/>
        </w:rPr>
        <w:t>Agreement.</w:t>
      </w:r>
    </w:p>
    <w:p>
      <w:pPr>
        <w:spacing w:line="208" w:lineRule="auto" w:before="115"/>
        <w:ind w:left="720" w:right="719" w:firstLine="0"/>
        <w:jc w:val="left"/>
        <w:rPr>
          <w:sz w:val="18"/>
        </w:rPr>
      </w:pPr>
      <w:r>
        <w:rPr>
          <w:b/>
          <w:sz w:val="18"/>
        </w:rPr>
        <w:t>Budget</w:t>
      </w:r>
      <w:r>
        <w:rPr>
          <w:b/>
          <w:spacing w:val="-1"/>
          <w:sz w:val="18"/>
        </w:rPr>
        <w:t> </w:t>
      </w:r>
      <w:r>
        <w:rPr>
          <w:b/>
          <w:sz w:val="18"/>
        </w:rPr>
        <w:t>Anchor:</w:t>
      </w:r>
      <w:r>
        <w:rPr>
          <w:b/>
          <w:spacing w:val="-2"/>
          <w:sz w:val="18"/>
        </w:rPr>
        <w:t> </w:t>
      </w:r>
      <w:r>
        <w:rPr>
          <w:sz w:val="18"/>
        </w:rPr>
        <w:t>Efficiency</w:t>
      </w:r>
      <w:r>
        <w:rPr>
          <w:spacing w:val="-1"/>
          <w:sz w:val="18"/>
        </w:rPr>
        <w:t> </w:t>
      </w:r>
      <w:r>
        <w:rPr>
          <w:sz w:val="18"/>
        </w:rPr>
        <w:t>measure</w:t>
      </w:r>
      <w:r>
        <w:rPr>
          <w:spacing w:val="-1"/>
          <w:sz w:val="18"/>
        </w:rPr>
        <w:t> </w:t>
      </w:r>
      <w:r>
        <w:rPr>
          <w:sz w:val="18"/>
        </w:rPr>
        <w:t>that</w:t>
      </w:r>
      <w:r>
        <w:rPr>
          <w:spacing w:val="-1"/>
          <w:sz w:val="18"/>
        </w:rPr>
        <w:t> </w:t>
      </w:r>
      <w:r>
        <w:rPr>
          <w:sz w:val="18"/>
        </w:rPr>
        <w:t>IBRD</w:t>
      </w:r>
      <w:r>
        <w:rPr>
          <w:spacing w:val="-1"/>
          <w:sz w:val="18"/>
        </w:rPr>
        <w:t> </w:t>
      </w:r>
      <w:r>
        <w:rPr>
          <w:sz w:val="18"/>
        </w:rPr>
        <w:t>uses</w:t>
      </w:r>
      <w:r>
        <w:rPr>
          <w:spacing w:val="-1"/>
          <w:sz w:val="18"/>
        </w:rPr>
        <w:t> </w:t>
      </w:r>
      <w:r>
        <w:rPr>
          <w:sz w:val="18"/>
        </w:rPr>
        <w:t>to</w:t>
      </w:r>
      <w:r>
        <w:rPr>
          <w:spacing w:val="-1"/>
          <w:sz w:val="18"/>
        </w:rPr>
        <w:t> </w:t>
      </w:r>
      <w:r>
        <w:rPr>
          <w:sz w:val="18"/>
        </w:rPr>
        <w:t>monitor</w:t>
      </w:r>
      <w:r>
        <w:rPr>
          <w:spacing w:val="-1"/>
          <w:sz w:val="18"/>
        </w:rPr>
        <w:t> </w:t>
      </w:r>
      <w:r>
        <w:rPr>
          <w:sz w:val="18"/>
        </w:rPr>
        <w:t>the</w:t>
      </w:r>
      <w:r>
        <w:rPr>
          <w:spacing w:val="-1"/>
          <w:sz w:val="18"/>
        </w:rPr>
        <w:t> </w:t>
      </w:r>
      <w:r>
        <w:rPr>
          <w:sz w:val="18"/>
        </w:rPr>
        <w:t>coverage</w:t>
      </w:r>
      <w:r>
        <w:rPr>
          <w:spacing w:val="-1"/>
          <w:sz w:val="18"/>
        </w:rPr>
        <w:t> </w:t>
      </w:r>
      <w:r>
        <w:rPr>
          <w:sz w:val="18"/>
        </w:rPr>
        <w:t>of</w:t>
      </w:r>
      <w:r>
        <w:rPr>
          <w:spacing w:val="-1"/>
          <w:sz w:val="18"/>
        </w:rPr>
        <w:t> </w:t>
      </w:r>
      <w:r>
        <w:rPr>
          <w:sz w:val="18"/>
        </w:rPr>
        <w:t>its</w:t>
      </w:r>
      <w:r>
        <w:rPr>
          <w:spacing w:val="-1"/>
          <w:sz w:val="18"/>
        </w:rPr>
        <w:t> </w:t>
      </w:r>
      <w:r>
        <w:rPr>
          <w:sz w:val="18"/>
        </w:rPr>
        <w:t>net</w:t>
      </w:r>
      <w:r>
        <w:rPr>
          <w:spacing w:val="-1"/>
          <w:sz w:val="18"/>
        </w:rPr>
        <w:t> </w:t>
      </w:r>
      <w:r>
        <w:rPr>
          <w:sz w:val="18"/>
        </w:rPr>
        <w:t>administrative</w:t>
      </w:r>
      <w:r>
        <w:rPr>
          <w:spacing w:val="-1"/>
          <w:sz w:val="18"/>
        </w:rPr>
        <w:t> </w:t>
      </w:r>
      <w:r>
        <w:rPr>
          <w:sz w:val="18"/>
        </w:rPr>
        <w:t>expenses</w:t>
      </w:r>
      <w:r>
        <w:rPr>
          <w:spacing w:val="-1"/>
          <w:sz w:val="18"/>
        </w:rPr>
        <w:t> </w:t>
      </w:r>
      <w:r>
        <w:rPr>
          <w:sz w:val="18"/>
        </w:rPr>
        <w:t>by</w:t>
      </w:r>
      <w:r>
        <w:rPr>
          <w:spacing w:val="-1"/>
          <w:sz w:val="18"/>
        </w:rPr>
        <w:t> </w:t>
      </w:r>
      <w:r>
        <w:rPr>
          <w:sz w:val="18"/>
        </w:rPr>
        <w:t>its</w:t>
      </w:r>
      <w:r>
        <w:rPr>
          <w:spacing w:val="-1"/>
          <w:sz w:val="18"/>
        </w:rPr>
        <w:t> </w:t>
      </w:r>
      <w:r>
        <w:rPr>
          <w:sz w:val="18"/>
        </w:rPr>
        <w:t>loan</w:t>
      </w:r>
      <w:r>
        <w:rPr>
          <w:spacing w:val="-1"/>
          <w:sz w:val="18"/>
        </w:rPr>
        <w:t> </w:t>
      </w:r>
      <w:r>
        <w:rPr>
          <w:sz w:val="18"/>
        </w:rPr>
        <w:t>spread </w:t>
      </w:r>
      <w:r>
        <w:rPr>
          <w:spacing w:val="-2"/>
          <w:sz w:val="18"/>
        </w:rPr>
        <w:t>revenue.</w:t>
      </w:r>
    </w:p>
    <w:p>
      <w:pPr>
        <w:spacing w:line="208" w:lineRule="auto" w:before="120"/>
        <w:ind w:left="720" w:right="719" w:firstLine="0"/>
        <w:jc w:val="left"/>
        <w:rPr>
          <w:sz w:val="18"/>
        </w:rPr>
      </w:pPr>
      <w:r>
        <w:rPr>
          <w:b/>
          <w:sz w:val="18"/>
        </w:rPr>
        <w:t>Capital Adequacy: </w:t>
      </w:r>
      <w:r>
        <w:rPr>
          <w:sz w:val="18"/>
        </w:rPr>
        <w:t>A measure of IBRD’s ability to withstand unexpected shocks and is based on the amount of IBRD’s usable equity expressed as a percentage of its loans and other related exposures.</w:t>
      </w:r>
    </w:p>
    <w:p>
      <w:pPr>
        <w:spacing w:line="208" w:lineRule="auto" w:before="120"/>
        <w:ind w:left="720" w:right="719" w:firstLine="0"/>
        <w:jc w:val="left"/>
        <w:rPr>
          <w:sz w:val="18"/>
        </w:rPr>
      </w:pPr>
      <w:r>
        <w:rPr>
          <w:b/>
          <w:sz w:val="18"/>
        </w:rPr>
        <w:t>Credit Default Swaps (CDS): </w:t>
      </w:r>
      <w:r>
        <w:rPr>
          <w:sz w:val="18"/>
        </w:rPr>
        <w:t>A derivative contract that provides protection against deteriorating credit quality and allows one party to receive payment in the event of a default or specified credit event by a third party.</w:t>
      </w:r>
    </w:p>
    <w:p>
      <w:pPr>
        <w:spacing w:line="208" w:lineRule="auto" w:before="120"/>
        <w:ind w:left="720" w:right="719" w:firstLine="0"/>
        <w:jc w:val="left"/>
        <w:rPr>
          <w:sz w:val="18"/>
        </w:rPr>
      </w:pPr>
      <w:r>
        <w:rPr>
          <w:b/>
          <w:sz w:val="18"/>
        </w:rPr>
        <w:t>Credit</w:t>
      </w:r>
      <w:r>
        <w:rPr>
          <w:b/>
          <w:spacing w:val="20"/>
          <w:sz w:val="18"/>
        </w:rPr>
        <w:t> </w:t>
      </w:r>
      <w:r>
        <w:rPr>
          <w:b/>
          <w:sz w:val="18"/>
        </w:rPr>
        <w:t>Valuation</w:t>
      </w:r>
      <w:r>
        <w:rPr>
          <w:b/>
          <w:spacing w:val="20"/>
          <w:sz w:val="18"/>
        </w:rPr>
        <w:t> </w:t>
      </w:r>
      <w:r>
        <w:rPr>
          <w:b/>
          <w:sz w:val="18"/>
        </w:rPr>
        <w:t>Adjustment</w:t>
      </w:r>
      <w:r>
        <w:rPr>
          <w:b/>
          <w:spacing w:val="20"/>
          <w:sz w:val="18"/>
        </w:rPr>
        <w:t> </w:t>
      </w:r>
      <w:r>
        <w:rPr>
          <w:b/>
          <w:sz w:val="18"/>
        </w:rPr>
        <w:t>(CVA):</w:t>
      </w:r>
      <w:r>
        <w:rPr>
          <w:b/>
          <w:spacing w:val="17"/>
          <w:sz w:val="18"/>
        </w:rPr>
        <w:t> </w:t>
      </w:r>
      <w:r>
        <w:rPr>
          <w:sz w:val="18"/>
        </w:rPr>
        <w:t>The</w:t>
      </w:r>
      <w:r>
        <w:rPr>
          <w:spacing w:val="20"/>
          <w:sz w:val="18"/>
        </w:rPr>
        <w:t> </w:t>
      </w:r>
      <w:r>
        <w:rPr>
          <w:sz w:val="18"/>
        </w:rPr>
        <w:t>CVA</w:t>
      </w:r>
      <w:r>
        <w:rPr>
          <w:spacing w:val="20"/>
          <w:sz w:val="18"/>
        </w:rPr>
        <w:t> </w:t>
      </w:r>
      <w:r>
        <w:rPr>
          <w:sz w:val="18"/>
        </w:rPr>
        <w:t>represents</w:t>
      </w:r>
      <w:r>
        <w:rPr>
          <w:spacing w:val="20"/>
          <w:sz w:val="18"/>
        </w:rPr>
        <w:t> </w:t>
      </w:r>
      <w:r>
        <w:rPr>
          <w:sz w:val="18"/>
        </w:rPr>
        <w:t>the</w:t>
      </w:r>
      <w:r>
        <w:rPr>
          <w:spacing w:val="20"/>
          <w:sz w:val="18"/>
        </w:rPr>
        <w:t> </w:t>
      </w:r>
      <w:r>
        <w:rPr>
          <w:sz w:val="18"/>
        </w:rPr>
        <w:t>counterparty</w:t>
      </w:r>
      <w:r>
        <w:rPr>
          <w:spacing w:val="20"/>
          <w:sz w:val="18"/>
        </w:rPr>
        <w:t> </w:t>
      </w:r>
      <w:r>
        <w:rPr>
          <w:sz w:val="18"/>
        </w:rPr>
        <w:t>credit</w:t>
      </w:r>
      <w:r>
        <w:rPr>
          <w:spacing w:val="20"/>
          <w:sz w:val="18"/>
        </w:rPr>
        <w:t> </w:t>
      </w:r>
      <w:r>
        <w:rPr>
          <w:sz w:val="18"/>
        </w:rPr>
        <w:t>risk</w:t>
      </w:r>
      <w:r>
        <w:rPr>
          <w:spacing w:val="20"/>
          <w:sz w:val="18"/>
        </w:rPr>
        <w:t> </w:t>
      </w:r>
      <w:r>
        <w:rPr>
          <w:sz w:val="18"/>
        </w:rPr>
        <w:t>exposure</w:t>
      </w:r>
      <w:r>
        <w:rPr>
          <w:spacing w:val="20"/>
          <w:sz w:val="18"/>
        </w:rPr>
        <w:t> </w:t>
      </w:r>
      <w:r>
        <w:rPr>
          <w:sz w:val="18"/>
        </w:rPr>
        <w:t>and</w:t>
      </w:r>
      <w:r>
        <w:rPr>
          <w:spacing w:val="20"/>
          <w:sz w:val="18"/>
        </w:rPr>
        <w:t> </w:t>
      </w:r>
      <w:r>
        <w:rPr>
          <w:sz w:val="18"/>
        </w:rPr>
        <w:t>is</w:t>
      </w:r>
      <w:r>
        <w:rPr>
          <w:spacing w:val="20"/>
          <w:sz w:val="18"/>
        </w:rPr>
        <w:t> </w:t>
      </w:r>
      <w:r>
        <w:rPr>
          <w:sz w:val="18"/>
        </w:rPr>
        <w:t>reflected</w:t>
      </w:r>
      <w:r>
        <w:rPr>
          <w:spacing w:val="20"/>
          <w:sz w:val="18"/>
        </w:rPr>
        <w:t> </w:t>
      </w:r>
      <w:r>
        <w:rPr>
          <w:sz w:val="18"/>
        </w:rPr>
        <w:t>in</w:t>
      </w:r>
      <w:r>
        <w:rPr>
          <w:spacing w:val="20"/>
          <w:sz w:val="18"/>
        </w:rPr>
        <w:t> </w:t>
      </w:r>
      <w:r>
        <w:rPr>
          <w:sz w:val="18"/>
        </w:rPr>
        <w:t>the</w:t>
      </w:r>
      <w:r>
        <w:rPr>
          <w:spacing w:val="20"/>
          <w:sz w:val="18"/>
        </w:rPr>
        <w:t> </w:t>
      </w:r>
      <w:r>
        <w:rPr>
          <w:sz w:val="18"/>
        </w:rPr>
        <w:t>fair value of derivative instruments.</w:t>
      </w:r>
    </w:p>
    <w:p>
      <w:pPr>
        <w:spacing w:line="208" w:lineRule="auto" w:before="120"/>
        <w:ind w:left="720" w:right="719" w:firstLine="0"/>
        <w:jc w:val="left"/>
        <w:rPr>
          <w:sz w:val="18"/>
        </w:rPr>
      </w:pPr>
      <w:r>
        <w:rPr>
          <w:b/>
          <w:sz w:val="18"/>
        </w:rPr>
        <w:t>Debit Valuation Adjustment (DVA): </w:t>
      </w:r>
      <w:r>
        <w:rPr>
          <w:sz w:val="18"/>
        </w:rPr>
        <w:t>DVA on Fair Value Option (FVO) Elected Liabilities that corresponds to the change in</w:t>
      </w:r>
      <w:r>
        <w:rPr>
          <w:spacing w:val="40"/>
          <w:sz w:val="18"/>
        </w:rPr>
        <w:t> </w:t>
      </w:r>
      <w:r>
        <w:rPr>
          <w:sz w:val="18"/>
        </w:rPr>
        <w:t>fair value of the liability presented under the FVO that relate to the instrument specific credit risk (“own-credit risk”).</w:t>
      </w:r>
    </w:p>
    <w:p>
      <w:pPr>
        <w:spacing w:before="98"/>
        <w:ind w:left="720" w:right="0" w:firstLine="0"/>
        <w:jc w:val="left"/>
        <w:rPr>
          <w:sz w:val="18"/>
        </w:rPr>
      </w:pPr>
      <w:r>
        <w:rPr>
          <w:b/>
          <w:sz w:val="18"/>
        </w:rPr>
        <w:t>Duration:</w:t>
      </w:r>
      <w:r>
        <w:rPr>
          <w:b/>
          <w:spacing w:val="-2"/>
          <w:sz w:val="18"/>
        </w:rPr>
        <w:t> </w:t>
      </w:r>
      <w:r>
        <w:rPr>
          <w:sz w:val="18"/>
        </w:rPr>
        <w:t>Provides</w:t>
      </w:r>
      <w:r>
        <w:rPr>
          <w:spacing w:val="-1"/>
          <w:sz w:val="18"/>
        </w:rPr>
        <w:t> </w:t>
      </w:r>
      <w:r>
        <w:rPr>
          <w:sz w:val="18"/>
        </w:rPr>
        <w:t>an</w:t>
      </w:r>
      <w:r>
        <w:rPr>
          <w:spacing w:val="-1"/>
          <w:sz w:val="18"/>
        </w:rPr>
        <w:t> </w:t>
      </w:r>
      <w:r>
        <w:rPr>
          <w:sz w:val="18"/>
        </w:rPr>
        <w:t>indication of</w:t>
      </w:r>
      <w:r>
        <w:rPr>
          <w:spacing w:val="-1"/>
          <w:sz w:val="18"/>
        </w:rPr>
        <w:t> </w:t>
      </w:r>
      <w:r>
        <w:rPr>
          <w:sz w:val="18"/>
        </w:rPr>
        <w:t>the sensitivity</w:t>
      </w:r>
      <w:r>
        <w:rPr>
          <w:spacing w:val="-1"/>
          <w:sz w:val="18"/>
        </w:rPr>
        <w:t> </w:t>
      </w:r>
      <w:r>
        <w:rPr>
          <w:sz w:val="18"/>
        </w:rPr>
        <w:t>of underlying</w:t>
      </w:r>
      <w:r>
        <w:rPr>
          <w:spacing w:val="-1"/>
          <w:sz w:val="18"/>
        </w:rPr>
        <w:t> </w:t>
      </w:r>
      <w:r>
        <w:rPr>
          <w:sz w:val="18"/>
        </w:rPr>
        <w:t>yield to</w:t>
      </w:r>
      <w:r>
        <w:rPr>
          <w:spacing w:val="-1"/>
          <w:sz w:val="18"/>
        </w:rPr>
        <w:t> </w:t>
      </w:r>
      <w:r>
        <w:rPr>
          <w:sz w:val="18"/>
        </w:rPr>
        <w:t>changes</w:t>
      </w:r>
      <w:r>
        <w:rPr>
          <w:spacing w:val="-1"/>
          <w:sz w:val="18"/>
        </w:rPr>
        <w:t> </w:t>
      </w:r>
      <w:r>
        <w:rPr>
          <w:sz w:val="18"/>
        </w:rPr>
        <w:t>in</w:t>
      </w:r>
      <w:r>
        <w:rPr>
          <w:spacing w:val="-1"/>
          <w:sz w:val="18"/>
        </w:rPr>
        <w:t> </w:t>
      </w:r>
      <w:r>
        <w:rPr>
          <w:sz w:val="18"/>
        </w:rPr>
        <w:t>interest </w:t>
      </w:r>
      <w:r>
        <w:rPr>
          <w:spacing w:val="-2"/>
          <w:sz w:val="18"/>
        </w:rPr>
        <w:t>rates.</w:t>
      </w:r>
    </w:p>
    <w:p>
      <w:pPr>
        <w:spacing w:line="208" w:lineRule="auto" w:before="114"/>
        <w:ind w:left="720" w:right="881" w:firstLine="0"/>
        <w:jc w:val="left"/>
        <w:rPr>
          <w:sz w:val="18"/>
        </w:rPr>
      </w:pPr>
      <w:r>
        <w:rPr>
          <w:b/>
          <w:sz w:val="18"/>
        </w:rPr>
        <w:t>Equity-to-Loans</w:t>
      </w:r>
      <w:r>
        <w:rPr>
          <w:b/>
          <w:spacing w:val="-4"/>
          <w:sz w:val="18"/>
        </w:rPr>
        <w:t> </w:t>
      </w:r>
      <w:r>
        <w:rPr>
          <w:b/>
          <w:sz w:val="18"/>
        </w:rPr>
        <w:t>Ratio:</w:t>
      </w:r>
      <w:r>
        <w:rPr>
          <w:b/>
          <w:spacing w:val="-5"/>
          <w:sz w:val="18"/>
        </w:rPr>
        <w:t> </w:t>
      </w:r>
      <w:r>
        <w:rPr>
          <w:sz w:val="18"/>
        </w:rPr>
        <w:t>The</w:t>
      </w:r>
      <w:r>
        <w:rPr>
          <w:spacing w:val="-3"/>
          <w:sz w:val="18"/>
        </w:rPr>
        <w:t> </w:t>
      </w:r>
      <w:r>
        <w:rPr>
          <w:sz w:val="18"/>
        </w:rPr>
        <w:t>Board</w:t>
      </w:r>
      <w:r>
        <w:rPr>
          <w:spacing w:val="-3"/>
          <w:sz w:val="18"/>
        </w:rPr>
        <w:t> </w:t>
      </w:r>
      <w:r>
        <w:rPr>
          <w:sz w:val="18"/>
        </w:rPr>
        <w:t>monitors</w:t>
      </w:r>
      <w:r>
        <w:rPr>
          <w:spacing w:val="-4"/>
          <w:sz w:val="18"/>
        </w:rPr>
        <w:t> </w:t>
      </w:r>
      <w:r>
        <w:rPr>
          <w:sz w:val="18"/>
        </w:rPr>
        <w:t>IBRD’s</w:t>
      </w:r>
      <w:r>
        <w:rPr>
          <w:spacing w:val="-4"/>
          <w:sz w:val="18"/>
        </w:rPr>
        <w:t> </w:t>
      </w:r>
      <w:r>
        <w:rPr>
          <w:sz w:val="18"/>
        </w:rPr>
        <w:t>capital</w:t>
      </w:r>
      <w:r>
        <w:rPr>
          <w:spacing w:val="-3"/>
          <w:sz w:val="18"/>
        </w:rPr>
        <w:t> </w:t>
      </w:r>
      <w:r>
        <w:rPr>
          <w:sz w:val="18"/>
        </w:rPr>
        <w:t>adequacy</w:t>
      </w:r>
      <w:r>
        <w:rPr>
          <w:spacing w:val="-3"/>
          <w:sz w:val="18"/>
        </w:rPr>
        <w:t> </w:t>
      </w:r>
      <w:r>
        <w:rPr>
          <w:sz w:val="18"/>
        </w:rPr>
        <w:t>within</w:t>
      </w:r>
      <w:r>
        <w:rPr>
          <w:spacing w:val="-3"/>
          <w:sz w:val="18"/>
        </w:rPr>
        <w:t> </w:t>
      </w:r>
      <w:r>
        <w:rPr>
          <w:sz w:val="18"/>
        </w:rPr>
        <w:t>a</w:t>
      </w:r>
      <w:r>
        <w:rPr>
          <w:spacing w:val="-3"/>
          <w:sz w:val="18"/>
        </w:rPr>
        <w:t> </w:t>
      </w:r>
      <w:r>
        <w:rPr>
          <w:sz w:val="18"/>
        </w:rPr>
        <w:t>Strategic</w:t>
      </w:r>
      <w:r>
        <w:rPr>
          <w:spacing w:val="-3"/>
          <w:sz w:val="18"/>
        </w:rPr>
        <w:t> </w:t>
      </w:r>
      <w:r>
        <w:rPr>
          <w:sz w:val="18"/>
        </w:rPr>
        <w:t>Capital</w:t>
      </w:r>
      <w:r>
        <w:rPr>
          <w:spacing w:val="-3"/>
          <w:sz w:val="18"/>
        </w:rPr>
        <w:t> </w:t>
      </w:r>
      <w:r>
        <w:rPr>
          <w:sz w:val="18"/>
        </w:rPr>
        <w:t>Adequacy</w:t>
      </w:r>
      <w:r>
        <w:rPr>
          <w:spacing w:val="-3"/>
          <w:sz w:val="18"/>
        </w:rPr>
        <w:t> </w:t>
      </w:r>
      <w:r>
        <w:rPr>
          <w:sz w:val="18"/>
        </w:rPr>
        <w:t>Framework,</w:t>
      </w:r>
      <w:r>
        <w:rPr>
          <w:spacing w:val="-3"/>
          <w:sz w:val="18"/>
        </w:rPr>
        <w:t> </w:t>
      </w:r>
      <w:r>
        <w:rPr>
          <w:sz w:val="18"/>
        </w:rPr>
        <w:t>using the Equity-to-Loans ratio as a key indicator of IBRD’s capital adequacy.</w:t>
      </w:r>
      <w:r>
        <w:rPr>
          <w:spacing w:val="40"/>
          <w:sz w:val="18"/>
        </w:rPr>
        <w:t> </w:t>
      </w:r>
      <w:r>
        <w:rPr>
          <w:sz w:val="18"/>
        </w:rPr>
        <w:t>For details on the ratio, see Table 28.</w:t>
      </w:r>
    </w:p>
    <w:p>
      <w:pPr>
        <w:spacing w:before="98"/>
        <w:ind w:left="720" w:right="0" w:firstLine="0"/>
        <w:jc w:val="left"/>
        <w:rPr>
          <w:sz w:val="18"/>
        </w:rPr>
      </w:pPr>
      <w:r>
        <w:rPr>
          <w:b/>
          <w:sz w:val="18"/>
        </w:rPr>
        <w:t>Hybrid</w:t>
      </w:r>
      <w:r>
        <w:rPr>
          <w:b/>
          <w:spacing w:val="-2"/>
          <w:sz w:val="18"/>
        </w:rPr>
        <w:t> </w:t>
      </w:r>
      <w:r>
        <w:rPr>
          <w:b/>
          <w:sz w:val="18"/>
        </w:rPr>
        <w:t>Capital:</w:t>
      </w:r>
      <w:r>
        <w:rPr>
          <w:b/>
          <w:spacing w:val="-1"/>
          <w:sz w:val="18"/>
        </w:rPr>
        <w:t> </w:t>
      </w:r>
      <w:r>
        <w:rPr>
          <w:sz w:val="18"/>
        </w:rPr>
        <w:t>Instrument</w:t>
      </w:r>
      <w:r>
        <w:rPr>
          <w:spacing w:val="-1"/>
          <w:sz w:val="18"/>
        </w:rPr>
        <w:t> </w:t>
      </w:r>
      <w:r>
        <w:rPr>
          <w:sz w:val="18"/>
        </w:rPr>
        <w:t>that has</w:t>
      </w:r>
      <w:r>
        <w:rPr>
          <w:spacing w:val="-2"/>
          <w:sz w:val="18"/>
        </w:rPr>
        <w:t> </w:t>
      </w:r>
      <w:r>
        <w:rPr>
          <w:sz w:val="18"/>
        </w:rPr>
        <w:t>characteristics</w:t>
      </w:r>
      <w:r>
        <w:rPr>
          <w:spacing w:val="-1"/>
          <w:sz w:val="18"/>
        </w:rPr>
        <w:t> </w:t>
      </w:r>
      <w:r>
        <w:rPr>
          <w:sz w:val="18"/>
        </w:rPr>
        <w:t>of</w:t>
      </w:r>
      <w:r>
        <w:rPr>
          <w:spacing w:val="-1"/>
          <w:sz w:val="18"/>
        </w:rPr>
        <w:t> </w:t>
      </w:r>
      <w:r>
        <w:rPr>
          <w:sz w:val="18"/>
        </w:rPr>
        <w:t>both debt</w:t>
      </w:r>
      <w:r>
        <w:rPr>
          <w:spacing w:val="-1"/>
          <w:sz w:val="18"/>
        </w:rPr>
        <w:t> </w:t>
      </w:r>
      <w:r>
        <w:rPr>
          <w:sz w:val="18"/>
        </w:rPr>
        <w:t>and </w:t>
      </w:r>
      <w:r>
        <w:rPr>
          <w:spacing w:val="-2"/>
          <w:sz w:val="18"/>
        </w:rPr>
        <w:t>equity.</w:t>
      </w:r>
    </w:p>
    <w:p>
      <w:pPr>
        <w:spacing w:before="94"/>
        <w:ind w:left="720" w:right="0" w:firstLine="0"/>
        <w:jc w:val="left"/>
        <w:rPr>
          <w:sz w:val="18"/>
        </w:rPr>
      </w:pPr>
      <w:r>
        <w:rPr>
          <w:b/>
          <w:sz w:val="18"/>
        </w:rPr>
        <w:t>Loan</w:t>
      </w:r>
      <w:r>
        <w:rPr>
          <w:b/>
          <w:spacing w:val="-2"/>
          <w:sz w:val="18"/>
        </w:rPr>
        <w:t> </w:t>
      </w:r>
      <w:r>
        <w:rPr>
          <w:b/>
          <w:sz w:val="18"/>
        </w:rPr>
        <w:t>Spread</w:t>
      </w:r>
      <w:r>
        <w:rPr>
          <w:b/>
          <w:spacing w:val="-2"/>
          <w:sz w:val="18"/>
        </w:rPr>
        <w:t> </w:t>
      </w:r>
      <w:r>
        <w:rPr>
          <w:b/>
          <w:sz w:val="18"/>
        </w:rPr>
        <w:t>Revenue,</w:t>
      </w:r>
      <w:r>
        <w:rPr>
          <w:b/>
          <w:spacing w:val="-1"/>
          <w:sz w:val="18"/>
        </w:rPr>
        <w:t> </w:t>
      </w:r>
      <w:r>
        <w:rPr>
          <w:b/>
          <w:sz w:val="18"/>
        </w:rPr>
        <w:t>Net:</w:t>
      </w:r>
      <w:r>
        <w:rPr>
          <w:b/>
          <w:spacing w:val="-2"/>
          <w:sz w:val="18"/>
        </w:rPr>
        <w:t> </w:t>
      </w:r>
      <w:r>
        <w:rPr>
          <w:sz w:val="18"/>
        </w:rPr>
        <w:t>The</w:t>
      </w:r>
      <w:r>
        <w:rPr>
          <w:spacing w:val="-1"/>
          <w:sz w:val="18"/>
        </w:rPr>
        <w:t> </w:t>
      </w:r>
      <w:r>
        <w:rPr>
          <w:sz w:val="18"/>
        </w:rPr>
        <w:t>spread</w:t>
      </w:r>
      <w:r>
        <w:rPr>
          <w:spacing w:val="-1"/>
          <w:sz w:val="18"/>
        </w:rPr>
        <w:t> </w:t>
      </w:r>
      <w:r>
        <w:rPr>
          <w:sz w:val="18"/>
        </w:rPr>
        <w:t>between loan</w:t>
      </w:r>
      <w:r>
        <w:rPr>
          <w:spacing w:val="-1"/>
          <w:sz w:val="18"/>
        </w:rPr>
        <w:t> </w:t>
      </w:r>
      <w:r>
        <w:rPr>
          <w:sz w:val="18"/>
        </w:rPr>
        <w:t>returns</w:t>
      </w:r>
      <w:r>
        <w:rPr>
          <w:spacing w:val="-2"/>
          <w:sz w:val="18"/>
        </w:rPr>
        <w:t> </w:t>
      </w:r>
      <w:r>
        <w:rPr>
          <w:sz w:val="18"/>
        </w:rPr>
        <w:t>and associated</w:t>
      </w:r>
      <w:r>
        <w:rPr>
          <w:spacing w:val="-1"/>
          <w:sz w:val="18"/>
        </w:rPr>
        <w:t> </w:t>
      </w:r>
      <w:r>
        <w:rPr>
          <w:sz w:val="18"/>
        </w:rPr>
        <w:t>debt</w:t>
      </w:r>
      <w:r>
        <w:rPr>
          <w:spacing w:val="-1"/>
          <w:sz w:val="18"/>
        </w:rPr>
        <w:t> </w:t>
      </w:r>
      <w:r>
        <w:rPr>
          <w:sz w:val="18"/>
        </w:rPr>
        <w:t>cost, assuming</w:t>
      </w:r>
      <w:r>
        <w:rPr>
          <w:spacing w:val="-1"/>
          <w:sz w:val="18"/>
        </w:rPr>
        <w:t> </w:t>
      </w:r>
      <w:r>
        <w:rPr>
          <w:sz w:val="18"/>
        </w:rPr>
        <w:t>loans</w:t>
      </w:r>
      <w:r>
        <w:rPr>
          <w:spacing w:val="-2"/>
          <w:sz w:val="18"/>
        </w:rPr>
        <w:t> </w:t>
      </w:r>
      <w:r>
        <w:rPr>
          <w:sz w:val="18"/>
        </w:rPr>
        <w:t>are fully</w:t>
      </w:r>
      <w:r>
        <w:rPr>
          <w:spacing w:val="-1"/>
          <w:sz w:val="18"/>
        </w:rPr>
        <w:t> </w:t>
      </w:r>
      <w:r>
        <w:rPr>
          <w:sz w:val="18"/>
        </w:rPr>
        <w:t>funded</w:t>
      </w:r>
      <w:r>
        <w:rPr>
          <w:spacing w:val="-1"/>
          <w:sz w:val="18"/>
        </w:rPr>
        <w:t> </w:t>
      </w:r>
      <w:r>
        <w:rPr>
          <w:sz w:val="18"/>
        </w:rPr>
        <w:t>by </w:t>
      </w:r>
      <w:r>
        <w:rPr>
          <w:spacing w:val="-2"/>
          <w:sz w:val="18"/>
        </w:rPr>
        <w:t>debt.</w:t>
      </w:r>
    </w:p>
    <w:p>
      <w:pPr>
        <w:spacing w:line="208" w:lineRule="auto" w:before="114"/>
        <w:ind w:left="720" w:right="719" w:firstLine="0"/>
        <w:jc w:val="left"/>
        <w:rPr>
          <w:sz w:val="18"/>
        </w:rPr>
      </w:pPr>
      <w:r>
        <w:rPr>
          <w:b/>
          <w:sz w:val="18"/>
        </w:rPr>
        <w:t>Lower-Middle-Income Countries: </w:t>
      </w:r>
      <w:r>
        <w:rPr>
          <w:sz w:val="18"/>
        </w:rPr>
        <w:t>For FY23, income groups are classified according to the 2021 gross national income (GNI) per capita. For lower-middle-income countries, the GNI range was $1,086 to $4,255.</w:t>
      </w:r>
    </w:p>
    <w:p>
      <w:pPr>
        <w:spacing w:line="208" w:lineRule="auto" w:before="120"/>
        <w:ind w:left="720" w:right="713" w:firstLine="0"/>
        <w:jc w:val="both"/>
        <w:rPr>
          <w:sz w:val="18"/>
        </w:rPr>
      </w:pPr>
      <w:r>
        <w:rPr>
          <w:b/>
          <w:sz w:val="18"/>
        </w:rPr>
        <w:t>Maintenance of Value (MOV): </w:t>
      </w:r>
      <w:r>
        <w:rPr>
          <w:sz w:val="18"/>
        </w:rPr>
        <w:t>Under IBRD’s Articles, members are required to maintain the value of their subscriptions of national</w:t>
      </w:r>
      <w:r>
        <w:rPr>
          <w:spacing w:val="-2"/>
          <w:sz w:val="18"/>
        </w:rPr>
        <w:t> </w:t>
      </w:r>
      <w:r>
        <w:rPr>
          <w:sz w:val="18"/>
        </w:rPr>
        <w:t>currency</w:t>
      </w:r>
      <w:r>
        <w:rPr>
          <w:spacing w:val="-2"/>
          <w:sz w:val="18"/>
        </w:rPr>
        <w:t> </w:t>
      </w:r>
      <w:r>
        <w:rPr>
          <w:sz w:val="18"/>
        </w:rPr>
        <w:t>paid-in,</w:t>
      </w:r>
      <w:r>
        <w:rPr>
          <w:spacing w:val="-2"/>
          <w:sz w:val="18"/>
        </w:rPr>
        <w:t> </w:t>
      </w:r>
      <w:r>
        <w:rPr>
          <w:sz w:val="18"/>
        </w:rPr>
        <w:t>which</w:t>
      </w:r>
      <w:r>
        <w:rPr>
          <w:spacing w:val="-2"/>
          <w:sz w:val="18"/>
        </w:rPr>
        <w:t> </w:t>
      </w:r>
      <w:r>
        <w:rPr>
          <w:sz w:val="18"/>
        </w:rPr>
        <w:t>is</w:t>
      </w:r>
      <w:r>
        <w:rPr>
          <w:spacing w:val="-2"/>
          <w:sz w:val="18"/>
        </w:rPr>
        <w:t> </w:t>
      </w:r>
      <w:r>
        <w:rPr>
          <w:sz w:val="18"/>
        </w:rPr>
        <w:t>subject</w:t>
      </w:r>
      <w:r>
        <w:rPr>
          <w:spacing w:val="-2"/>
          <w:sz w:val="18"/>
        </w:rPr>
        <w:t> </w:t>
      </w:r>
      <w:r>
        <w:rPr>
          <w:sz w:val="18"/>
        </w:rPr>
        <w:t>to</w:t>
      </w:r>
      <w:r>
        <w:rPr>
          <w:spacing w:val="-2"/>
          <w:sz w:val="18"/>
        </w:rPr>
        <w:t> </w:t>
      </w:r>
      <w:r>
        <w:rPr>
          <w:sz w:val="18"/>
        </w:rPr>
        <w:t>certain</w:t>
      </w:r>
      <w:r>
        <w:rPr>
          <w:spacing w:val="-2"/>
          <w:sz w:val="18"/>
        </w:rPr>
        <w:t> </w:t>
      </w:r>
      <w:r>
        <w:rPr>
          <w:sz w:val="18"/>
        </w:rPr>
        <w:t>restrictions.</w:t>
      </w:r>
      <w:r>
        <w:rPr>
          <w:spacing w:val="-2"/>
          <w:sz w:val="18"/>
        </w:rPr>
        <w:t> </w:t>
      </w:r>
      <w:r>
        <w:rPr>
          <w:sz w:val="18"/>
        </w:rPr>
        <w:t>MOV</w:t>
      </w:r>
      <w:r>
        <w:rPr>
          <w:spacing w:val="-2"/>
          <w:sz w:val="18"/>
        </w:rPr>
        <w:t> </w:t>
      </w:r>
      <w:r>
        <w:rPr>
          <w:sz w:val="18"/>
        </w:rPr>
        <w:t>is</w:t>
      </w:r>
      <w:r>
        <w:rPr>
          <w:spacing w:val="-2"/>
          <w:sz w:val="18"/>
        </w:rPr>
        <w:t> </w:t>
      </w:r>
      <w:r>
        <w:rPr>
          <w:sz w:val="18"/>
        </w:rPr>
        <w:t>determined</w:t>
      </w:r>
      <w:r>
        <w:rPr>
          <w:spacing w:val="-2"/>
          <w:sz w:val="18"/>
        </w:rPr>
        <w:t> </w:t>
      </w:r>
      <w:r>
        <w:rPr>
          <w:sz w:val="18"/>
        </w:rPr>
        <w:t>by</w:t>
      </w:r>
      <w:r>
        <w:rPr>
          <w:spacing w:val="-2"/>
          <w:sz w:val="18"/>
        </w:rPr>
        <w:t> </w:t>
      </w:r>
      <w:r>
        <w:rPr>
          <w:sz w:val="18"/>
        </w:rPr>
        <w:t>measuring</w:t>
      </w:r>
      <w:r>
        <w:rPr>
          <w:spacing w:val="-2"/>
          <w:sz w:val="18"/>
        </w:rPr>
        <w:t> </w:t>
      </w:r>
      <w:r>
        <w:rPr>
          <w:sz w:val="18"/>
        </w:rPr>
        <w:t>the</w:t>
      </w:r>
      <w:r>
        <w:rPr>
          <w:spacing w:val="-2"/>
          <w:sz w:val="18"/>
        </w:rPr>
        <w:t> </w:t>
      </w:r>
      <w:r>
        <w:rPr>
          <w:sz w:val="18"/>
        </w:rPr>
        <w:t>foreign</w:t>
      </w:r>
      <w:r>
        <w:rPr>
          <w:spacing w:val="-2"/>
          <w:sz w:val="18"/>
        </w:rPr>
        <w:t> </w:t>
      </w:r>
      <w:r>
        <w:rPr>
          <w:sz w:val="18"/>
        </w:rPr>
        <w:t>exchange</w:t>
      </w:r>
      <w:r>
        <w:rPr>
          <w:spacing w:val="-2"/>
          <w:sz w:val="18"/>
        </w:rPr>
        <w:t> </w:t>
      </w:r>
      <w:r>
        <w:rPr>
          <w:sz w:val="18"/>
        </w:rPr>
        <w:t>value</w:t>
      </w:r>
      <w:r>
        <w:rPr>
          <w:spacing w:val="-2"/>
          <w:sz w:val="18"/>
        </w:rPr>
        <w:t> </w:t>
      </w:r>
      <w:r>
        <w:rPr>
          <w:sz w:val="18"/>
        </w:rPr>
        <w:t>of a member’s national currency against the standard of value of IBRD’s capital based on the 1974 SDR.</w:t>
      </w:r>
    </w:p>
    <w:p>
      <w:pPr>
        <w:spacing w:before="98"/>
        <w:ind w:left="720" w:right="0" w:firstLine="0"/>
        <w:jc w:val="both"/>
        <w:rPr>
          <w:sz w:val="18"/>
        </w:rPr>
      </w:pPr>
      <w:r>
        <w:rPr>
          <w:b/>
          <w:sz w:val="18"/>
        </w:rPr>
        <w:t>Lending</w:t>
      </w:r>
      <w:r>
        <w:rPr>
          <w:b/>
          <w:spacing w:val="-1"/>
          <w:sz w:val="18"/>
        </w:rPr>
        <w:t> </w:t>
      </w:r>
      <w:r>
        <w:rPr>
          <w:b/>
          <w:sz w:val="18"/>
        </w:rPr>
        <w:t>Operations:</w:t>
      </w:r>
      <w:r>
        <w:rPr>
          <w:b/>
          <w:spacing w:val="-2"/>
          <w:sz w:val="18"/>
        </w:rPr>
        <w:t> </w:t>
      </w:r>
      <w:r>
        <w:rPr>
          <w:sz w:val="18"/>
        </w:rPr>
        <w:t>Total</w:t>
      </w:r>
      <w:r>
        <w:rPr>
          <w:spacing w:val="-1"/>
          <w:sz w:val="18"/>
        </w:rPr>
        <w:t> </w:t>
      </w:r>
      <w:r>
        <w:rPr>
          <w:sz w:val="18"/>
        </w:rPr>
        <w:t>projects</w:t>
      </w:r>
      <w:r>
        <w:rPr>
          <w:spacing w:val="-1"/>
          <w:sz w:val="18"/>
        </w:rPr>
        <w:t> </w:t>
      </w:r>
      <w:r>
        <w:rPr>
          <w:sz w:val="18"/>
        </w:rPr>
        <w:t>from</w:t>
      </w:r>
      <w:r>
        <w:rPr>
          <w:spacing w:val="-1"/>
          <w:sz w:val="18"/>
        </w:rPr>
        <w:t> </w:t>
      </w:r>
      <w:r>
        <w:rPr>
          <w:sz w:val="18"/>
        </w:rPr>
        <w:t>a fiscal</w:t>
      </w:r>
      <w:r>
        <w:rPr>
          <w:spacing w:val="-1"/>
          <w:sz w:val="18"/>
        </w:rPr>
        <w:t> </w:t>
      </w:r>
      <w:r>
        <w:rPr>
          <w:sz w:val="18"/>
        </w:rPr>
        <w:t>year based</w:t>
      </w:r>
      <w:r>
        <w:rPr>
          <w:spacing w:val="-1"/>
          <w:sz w:val="18"/>
        </w:rPr>
        <w:t> </w:t>
      </w:r>
      <w:r>
        <w:rPr>
          <w:sz w:val="18"/>
        </w:rPr>
        <w:t>on project</w:t>
      </w:r>
      <w:r>
        <w:rPr>
          <w:spacing w:val="-1"/>
          <w:sz w:val="18"/>
        </w:rPr>
        <w:t> </w:t>
      </w:r>
      <w:r>
        <w:rPr>
          <w:sz w:val="18"/>
        </w:rPr>
        <w:t>approval date</w:t>
      </w:r>
      <w:r>
        <w:rPr>
          <w:spacing w:val="-1"/>
          <w:sz w:val="18"/>
        </w:rPr>
        <w:t> </w:t>
      </w:r>
      <w:r>
        <w:rPr>
          <w:sz w:val="18"/>
        </w:rPr>
        <w:t>as</w:t>
      </w:r>
      <w:r>
        <w:rPr>
          <w:spacing w:val="-1"/>
          <w:sz w:val="18"/>
        </w:rPr>
        <w:t> </w:t>
      </w:r>
      <w:r>
        <w:rPr>
          <w:sz w:val="18"/>
        </w:rPr>
        <w:t>of</w:t>
      </w:r>
      <w:r>
        <w:rPr>
          <w:spacing w:val="-1"/>
          <w:sz w:val="18"/>
        </w:rPr>
        <w:t> </w:t>
      </w:r>
      <w:r>
        <w:rPr>
          <w:sz w:val="18"/>
        </w:rPr>
        <w:t>June 30</w:t>
      </w:r>
      <w:r>
        <w:rPr>
          <w:spacing w:val="-1"/>
          <w:sz w:val="18"/>
        </w:rPr>
        <w:t> </w:t>
      </w:r>
      <w:r>
        <w:rPr>
          <w:sz w:val="18"/>
        </w:rPr>
        <w:t>of the</w:t>
      </w:r>
      <w:r>
        <w:rPr>
          <w:spacing w:val="-1"/>
          <w:sz w:val="18"/>
        </w:rPr>
        <w:t> </w:t>
      </w:r>
      <w:r>
        <w:rPr>
          <w:sz w:val="18"/>
        </w:rPr>
        <w:t>fiscal </w:t>
      </w:r>
      <w:r>
        <w:rPr>
          <w:spacing w:val="-2"/>
          <w:sz w:val="18"/>
        </w:rPr>
        <w:t>year.</w:t>
      </w:r>
    </w:p>
    <w:p>
      <w:pPr>
        <w:spacing w:line="208" w:lineRule="auto" w:before="115"/>
        <w:ind w:left="720" w:right="717" w:firstLine="0"/>
        <w:jc w:val="both"/>
        <w:rPr>
          <w:sz w:val="18"/>
        </w:rPr>
      </w:pPr>
      <w:r>
        <w:rPr>
          <w:b/>
          <w:sz w:val="18"/>
        </w:rPr>
        <w:t>Net Commitments: </w:t>
      </w:r>
      <w:r>
        <w:rPr>
          <w:sz w:val="18"/>
        </w:rPr>
        <w:t>Commitments net of full terminations and cancellations approved in the same fiscal year and include guarantee commitments and guarantee facilities that have been approved by the Executive Directors.</w:t>
      </w:r>
    </w:p>
    <w:p>
      <w:pPr>
        <w:spacing w:before="98"/>
        <w:ind w:left="720" w:right="0" w:firstLine="0"/>
        <w:jc w:val="both"/>
        <w:rPr>
          <w:sz w:val="18"/>
        </w:rPr>
      </w:pPr>
      <w:r>
        <w:rPr>
          <w:b/>
          <w:sz w:val="18"/>
        </w:rPr>
        <w:t>Net</w:t>
      </w:r>
      <w:r>
        <w:rPr>
          <w:b/>
          <w:spacing w:val="-2"/>
          <w:sz w:val="18"/>
        </w:rPr>
        <w:t> </w:t>
      </w:r>
      <w:r>
        <w:rPr>
          <w:b/>
          <w:sz w:val="18"/>
        </w:rPr>
        <w:t>Loan</w:t>
      </w:r>
      <w:r>
        <w:rPr>
          <w:b/>
          <w:spacing w:val="-2"/>
          <w:sz w:val="18"/>
        </w:rPr>
        <w:t> </w:t>
      </w:r>
      <w:r>
        <w:rPr>
          <w:b/>
          <w:sz w:val="18"/>
        </w:rPr>
        <w:t>Disbursements:</w:t>
      </w:r>
      <w:r>
        <w:rPr>
          <w:b/>
          <w:spacing w:val="-3"/>
          <w:sz w:val="18"/>
        </w:rPr>
        <w:t> </w:t>
      </w:r>
      <w:r>
        <w:rPr>
          <w:sz w:val="18"/>
        </w:rPr>
        <w:t>Loan</w:t>
      </w:r>
      <w:r>
        <w:rPr>
          <w:spacing w:val="-1"/>
          <w:sz w:val="18"/>
        </w:rPr>
        <w:t> </w:t>
      </w:r>
      <w:r>
        <w:rPr>
          <w:sz w:val="18"/>
        </w:rPr>
        <w:t>disbursements</w:t>
      </w:r>
      <w:r>
        <w:rPr>
          <w:spacing w:val="-2"/>
          <w:sz w:val="18"/>
        </w:rPr>
        <w:t> </w:t>
      </w:r>
      <w:r>
        <w:rPr>
          <w:sz w:val="18"/>
        </w:rPr>
        <w:t>net</w:t>
      </w:r>
      <w:r>
        <w:rPr>
          <w:spacing w:val="-1"/>
          <w:sz w:val="18"/>
        </w:rPr>
        <w:t> </w:t>
      </w:r>
      <w:r>
        <w:rPr>
          <w:sz w:val="18"/>
        </w:rPr>
        <w:t>of</w:t>
      </w:r>
      <w:r>
        <w:rPr>
          <w:spacing w:val="-1"/>
          <w:sz w:val="18"/>
        </w:rPr>
        <w:t> </w:t>
      </w:r>
      <w:r>
        <w:rPr>
          <w:sz w:val="18"/>
        </w:rPr>
        <w:t>repayments</w:t>
      </w:r>
      <w:r>
        <w:rPr>
          <w:spacing w:val="-2"/>
          <w:sz w:val="18"/>
        </w:rPr>
        <w:t> </w:t>
      </w:r>
      <w:r>
        <w:rPr>
          <w:sz w:val="18"/>
        </w:rPr>
        <w:t>and</w:t>
      </w:r>
      <w:r>
        <w:rPr>
          <w:spacing w:val="-1"/>
          <w:sz w:val="18"/>
        </w:rPr>
        <w:t> </w:t>
      </w:r>
      <w:r>
        <w:rPr>
          <w:spacing w:val="-2"/>
          <w:sz w:val="18"/>
        </w:rPr>
        <w:t>prepayments.</w:t>
      </w:r>
    </w:p>
    <w:p>
      <w:pPr>
        <w:spacing w:line="208" w:lineRule="auto" w:before="115"/>
        <w:ind w:left="720" w:right="718" w:firstLine="0"/>
        <w:jc w:val="both"/>
        <w:rPr>
          <w:sz w:val="18"/>
        </w:rPr>
      </w:pPr>
      <w:r>
        <w:rPr>
          <w:b/>
          <w:sz w:val="18"/>
        </w:rPr>
        <w:t>Prudential Minimum:</w:t>
      </w:r>
      <w:r>
        <w:rPr>
          <w:b/>
          <w:spacing w:val="40"/>
          <w:sz w:val="18"/>
        </w:rPr>
        <w:t> </w:t>
      </w:r>
      <w:r>
        <w:rPr>
          <w:sz w:val="18"/>
        </w:rPr>
        <w:t>The minimum amount of liquidity that IBRD is required to hold and is defined as 80% of the Target Liquidity Level.</w:t>
      </w:r>
    </w:p>
    <w:p>
      <w:pPr>
        <w:spacing w:before="98"/>
        <w:ind w:left="720" w:right="0" w:firstLine="0"/>
        <w:jc w:val="both"/>
        <w:rPr>
          <w:sz w:val="18"/>
        </w:rPr>
      </w:pPr>
      <w:r>
        <w:rPr>
          <w:b/>
          <w:sz w:val="18"/>
        </w:rPr>
        <w:t>Sustainable</w:t>
      </w:r>
      <w:r>
        <w:rPr>
          <w:b/>
          <w:spacing w:val="-1"/>
          <w:sz w:val="18"/>
        </w:rPr>
        <w:t> </w:t>
      </w:r>
      <w:r>
        <w:rPr>
          <w:b/>
          <w:sz w:val="18"/>
        </w:rPr>
        <w:t>Annual</w:t>
      </w:r>
      <w:r>
        <w:rPr>
          <w:b/>
          <w:spacing w:val="-1"/>
          <w:sz w:val="18"/>
        </w:rPr>
        <w:t> </w:t>
      </w:r>
      <w:r>
        <w:rPr>
          <w:b/>
          <w:sz w:val="18"/>
        </w:rPr>
        <w:t>Lending</w:t>
      </w:r>
      <w:r>
        <w:rPr>
          <w:b/>
          <w:spacing w:val="-1"/>
          <w:sz w:val="18"/>
        </w:rPr>
        <w:t> </w:t>
      </w:r>
      <w:r>
        <w:rPr>
          <w:b/>
          <w:sz w:val="18"/>
        </w:rPr>
        <w:t>Limit</w:t>
      </w:r>
      <w:r>
        <w:rPr>
          <w:b/>
          <w:spacing w:val="-1"/>
          <w:sz w:val="18"/>
        </w:rPr>
        <w:t> </w:t>
      </w:r>
      <w:r>
        <w:rPr>
          <w:b/>
          <w:sz w:val="18"/>
        </w:rPr>
        <w:t>(SALL):</w:t>
      </w:r>
      <w:r>
        <w:rPr>
          <w:b/>
          <w:spacing w:val="-4"/>
          <w:sz w:val="18"/>
        </w:rPr>
        <w:t> </w:t>
      </w:r>
      <w:r>
        <w:rPr>
          <w:sz w:val="18"/>
        </w:rPr>
        <w:t>The</w:t>
      </w:r>
      <w:r>
        <w:rPr>
          <w:spacing w:val="-1"/>
          <w:sz w:val="18"/>
        </w:rPr>
        <w:t> </w:t>
      </w:r>
      <w:r>
        <w:rPr>
          <w:sz w:val="18"/>
        </w:rPr>
        <w:t>level</w:t>
      </w:r>
      <w:r>
        <w:rPr>
          <w:spacing w:val="-1"/>
          <w:sz w:val="18"/>
        </w:rPr>
        <w:t> </w:t>
      </w:r>
      <w:r>
        <w:rPr>
          <w:sz w:val="18"/>
        </w:rPr>
        <w:t>of</w:t>
      </w:r>
      <w:r>
        <w:rPr>
          <w:spacing w:val="-1"/>
          <w:sz w:val="18"/>
        </w:rPr>
        <w:t> </w:t>
      </w:r>
      <w:r>
        <w:rPr>
          <w:sz w:val="18"/>
        </w:rPr>
        <w:t>lending that</w:t>
      </w:r>
      <w:r>
        <w:rPr>
          <w:spacing w:val="-1"/>
          <w:sz w:val="18"/>
        </w:rPr>
        <w:t> </w:t>
      </w:r>
      <w:r>
        <w:rPr>
          <w:sz w:val="18"/>
        </w:rPr>
        <w:t>can</w:t>
      </w:r>
      <w:r>
        <w:rPr>
          <w:spacing w:val="-1"/>
          <w:sz w:val="18"/>
        </w:rPr>
        <w:t> </w:t>
      </w:r>
      <w:r>
        <w:rPr>
          <w:sz w:val="18"/>
        </w:rPr>
        <w:t>be</w:t>
      </w:r>
      <w:r>
        <w:rPr>
          <w:spacing w:val="-1"/>
          <w:sz w:val="18"/>
        </w:rPr>
        <w:t> </w:t>
      </w:r>
      <w:r>
        <w:rPr>
          <w:sz w:val="18"/>
        </w:rPr>
        <w:t>sustained</w:t>
      </w:r>
      <w:r>
        <w:rPr>
          <w:spacing w:val="-1"/>
          <w:sz w:val="18"/>
        </w:rPr>
        <w:t> </w:t>
      </w:r>
      <w:r>
        <w:rPr>
          <w:sz w:val="18"/>
        </w:rPr>
        <w:t>in</w:t>
      </w:r>
      <w:r>
        <w:rPr>
          <w:spacing w:val="-1"/>
          <w:sz w:val="18"/>
        </w:rPr>
        <w:t> </w:t>
      </w:r>
      <w:r>
        <w:rPr>
          <w:sz w:val="18"/>
        </w:rPr>
        <w:t>real</w:t>
      </w:r>
      <w:r>
        <w:rPr>
          <w:spacing w:val="-1"/>
          <w:sz w:val="18"/>
        </w:rPr>
        <w:t> </w:t>
      </w:r>
      <w:r>
        <w:rPr>
          <w:sz w:val="18"/>
        </w:rPr>
        <w:t>terms</w:t>
      </w:r>
      <w:r>
        <w:rPr>
          <w:spacing w:val="-2"/>
          <w:sz w:val="18"/>
        </w:rPr>
        <w:t> </w:t>
      </w:r>
      <w:r>
        <w:rPr>
          <w:sz w:val="18"/>
        </w:rPr>
        <w:t>over</w:t>
      </w:r>
      <w:r>
        <w:rPr>
          <w:spacing w:val="-1"/>
          <w:sz w:val="18"/>
        </w:rPr>
        <w:t> </w:t>
      </w:r>
      <w:r>
        <w:rPr>
          <w:sz w:val="18"/>
        </w:rPr>
        <w:t>10 </w:t>
      </w:r>
      <w:r>
        <w:rPr>
          <w:spacing w:val="-2"/>
          <w:sz w:val="18"/>
        </w:rPr>
        <w:t>years.</w:t>
      </w:r>
    </w:p>
    <w:p>
      <w:pPr>
        <w:spacing w:line="208" w:lineRule="auto" w:before="115"/>
        <w:ind w:left="720" w:right="715" w:firstLine="0"/>
        <w:jc w:val="both"/>
        <w:rPr>
          <w:sz w:val="18"/>
        </w:rPr>
      </w:pPr>
      <w:r>
        <w:rPr>
          <w:b/>
          <w:sz w:val="18"/>
        </w:rPr>
        <w:t>Strategic Capital Adequacy Framework: </w:t>
      </w:r>
      <w:r>
        <w:rPr>
          <w:sz w:val="18"/>
        </w:rPr>
        <w:t>Evaluates IBRD’s capital adequacy as measured by stress tests and an appropriate minimum level for the long-term Equity-to-Loans ratio. The Equity-to-Loans ratio provides a background framework in </w:t>
      </w:r>
      <w:r>
        <w:rPr>
          <w:sz w:val="18"/>
        </w:rPr>
        <w:t>the context of annual net income allocation decisions, as well as in the assessment of the initiatives for the use of capital. The framework has been approved by the Board.</w:t>
      </w:r>
    </w:p>
    <w:p>
      <w:pPr>
        <w:spacing w:line="208" w:lineRule="auto" w:before="119"/>
        <w:ind w:left="720" w:right="715" w:firstLine="0"/>
        <w:jc w:val="both"/>
        <w:rPr>
          <w:sz w:val="18"/>
        </w:rPr>
      </w:pPr>
      <w:r>
        <w:rPr>
          <w:b/>
          <w:sz w:val="18"/>
        </w:rPr>
        <w:t>Single Borrower Limit (SBL): </w:t>
      </w:r>
      <w:r>
        <w:rPr>
          <w:sz w:val="18"/>
        </w:rPr>
        <w:t>The maximum authorized exposure to IBRD’s most creditworthy and largest borrowing</w:t>
      </w:r>
      <w:r>
        <w:rPr>
          <w:spacing w:val="40"/>
          <w:sz w:val="18"/>
        </w:rPr>
        <w:t> </w:t>
      </w:r>
      <w:r>
        <w:rPr>
          <w:sz w:val="18"/>
        </w:rPr>
        <w:t>countries in terms of population and economic size.</w:t>
      </w:r>
    </w:p>
    <w:p>
      <w:pPr>
        <w:spacing w:line="208" w:lineRule="auto" w:before="120"/>
        <w:ind w:left="720" w:right="715" w:firstLine="0"/>
        <w:jc w:val="both"/>
        <w:rPr>
          <w:sz w:val="18"/>
        </w:rPr>
      </w:pPr>
      <w:r>
        <w:rPr>
          <w:b/>
          <w:sz w:val="18"/>
        </w:rPr>
        <w:t>Statutory Lending Limit (SLL): </w:t>
      </w:r>
      <w:r>
        <w:rPr>
          <w:sz w:val="18"/>
        </w:rPr>
        <w:t>Under IBRD’s Articles, as applied, the total amount outstanding of loans, participations in loans, and callable guarantees may not exceed the sum of unimpaired subscribed capital, reserves and surplus.</w:t>
      </w:r>
    </w:p>
    <w:p>
      <w:pPr>
        <w:spacing w:line="208" w:lineRule="auto" w:before="120"/>
        <w:ind w:left="720" w:right="716" w:firstLine="0"/>
        <w:jc w:val="both"/>
        <w:rPr>
          <w:sz w:val="18"/>
        </w:rPr>
      </w:pPr>
      <w:r>
        <w:rPr>
          <w:b/>
          <w:sz w:val="18"/>
        </w:rPr>
        <w:t>Target Liquidity Level (TLL): </w:t>
      </w:r>
      <w:r>
        <w:rPr>
          <w:sz w:val="18"/>
        </w:rPr>
        <w:t>The twelve-</w:t>
      </w:r>
      <w:r>
        <w:rPr>
          <w:spacing w:val="-12"/>
          <w:sz w:val="18"/>
        </w:rPr>
        <w:t> </w:t>
      </w:r>
      <w:r>
        <w:rPr>
          <w:sz w:val="18"/>
        </w:rPr>
        <w:t>month Target Liquidity Level is calculated before the end of each fiscal year based on Management’s estimates of projected net loan disbursements approved at the time of projection and twelve-month of debt-service for the upcoming fiscal year. This twelve-month estimate becomes the target for the upcoming fiscal year.</w:t>
      </w:r>
    </w:p>
    <w:p>
      <w:pPr>
        <w:spacing w:before="98"/>
        <w:ind w:left="720" w:right="0" w:firstLine="0"/>
        <w:jc w:val="both"/>
        <w:rPr>
          <w:sz w:val="18"/>
        </w:rPr>
      </w:pPr>
      <w:r>
        <w:rPr>
          <w:b/>
          <w:sz w:val="18"/>
        </w:rPr>
        <w:t>U.S.</w:t>
      </w:r>
      <w:r>
        <w:rPr>
          <w:b/>
          <w:spacing w:val="-1"/>
          <w:sz w:val="18"/>
        </w:rPr>
        <w:t> </w:t>
      </w:r>
      <w:r>
        <w:rPr>
          <w:b/>
          <w:sz w:val="18"/>
        </w:rPr>
        <w:t>GAAP:</w:t>
      </w:r>
      <w:r>
        <w:rPr>
          <w:b/>
          <w:spacing w:val="-2"/>
          <w:sz w:val="18"/>
        </w:rPr>
        <w:t> </w:t>
      </w:r>
      <w:r>
        <w:rPr>
          <w:sz w:val="18"/>
        </w:rPr>
        <w:t>Accounting principles</w:t>
      </w:r>
      <w:r>
        <w:rPr>
          <w:spacing w:val="-2"/>
          <w:sz w:val="18"/>
        </w:rPr>
        <w:t> </w:t>
      </w:r>
      <w:r>
        <w:rPr>
          <w:sz w:val="18"/>
        </w:rPr>
        <w:t>generally</w:t>
      </w:r>
      <w:r>
        <w:rPr>
          <w:spacing w:val="-1"/>
          <w:sz w:val="18"/>
        </w:rPr>
        <w:t> </w:t>
      </w:r>
      <w:r>
        <w:rPr>
          <w:sz w:val="18"/>
        </w:rPr>
        <w:t>accepted in</w:t>
      </w:r>
      <w:r>
        <w:rPr>
          <w:spacing w:val="-1"/>
          <w:sz w:val="18"/>
        </w:rPr>
        <w:t> </w:t>
      </w:r>
      <w:r>
        <w:rPr>
          <w:sz w:val="18"/>
        </w:rPr>
        <w:t>the</w:t>
      </w:r>
      <w:r>
        <w:rPr>
          <w:spacing w:val="-1"/>
          <w:sz w:val="18"/>
        </w:rPr>
        <w:t> </w:t>
      </w:r>
      <w:r>
        <w:rPr>
          <w:sz w:val="18"/>
        </w:rPr>
        <w:t>United States</w:t>
      </w:r>
      <w:r>
        <w:rPr>
          <w:spacing w:val="-2"/>
          <w:sz w:val="18"/>
        </w:rPr>
        <w:t> </w:t>
      </w:r>
      <w:r>
        <w:rPr>
          <w:sz w:val="18"/>
        </w:rPr>
        <w:t>of </w:t>
      </w:r>
      <w:r>
        <w:rPr>
          <w:spacing w:val="-2"/>
          <w:sz w:val="18"/>
        </w:rPr>
        <w:t>America.</w:t>
      </w:r>
    </w:p>
    <w:p>
      <w:pPr>
        <w:spacing w:before="93"/>
        <w:ind w:left="720" w:right="0" w:firstLine="0"/>
        <w:jc w:val="both"/>
        <w:rPr>
          <w:sz w:val="18"/>
        </w:rPr>
      </w:pPr>
      <w:r>
        <w:rPr>
          <w:b/>
          <w:sz w:val="18"/>
        </w:rPr>
        <w:t>World</w:t>
      </w:r>
      <w:r>
        <w:rPr>
          <w:b/>
          <w:spacing w:val="-2"/>
          <w:sz w:val="18"/>
        </w:rPr>
        <w:t> </w:t>
      </w:r>
      <w:r>
        <w:rPr>
          <w:b/>
          <w:sz w:val="18"/>
        </w:rPr>
        <w:t>Bank:</w:t>
      </w:r>
      <w:r>
        <w:rPr>
          <w:b/>
          <w:spacing w:val="-1"/>
          <w:sz w:val="18"/>
        </w:rPr>
        <w:t> </w:t>
      </w:r>
      <w:r>
        <w:rPr>
          <w:sz w:val="18"/>
        </w:rPr>
        <w:t>The</w:t>
      </w:r>
      <w:r>
        <w:rPr>
          <w:spacing w:val="-1"/>
          <w:sz w:val="18"/>
        </w:rPr>
        <w:t> </w:t>
      </w:r>
      <w:r>
        <w:rPr>
          <w:sz w:val="18"/>
        </w:rPr>
        <w:t>World Bank</w:t>
      </w:r>
      <w:r>
        <w:rPr>
          <w:spacing w:val="-1"/>
          <w:sz w:val="18"/>
        </w:rPr>
        <w:t> </w:t>
      </w:r>
      <w:r>
        <w:rPr>
          <w:sz w:val="18"/>
        </w:rPr>
        <w:t>consists</w:t>
      </w:r>
      <w:r>
        <w:rPr>
          <w:spacing w:val="-1"/>
          <w:sz w:val="18"/>
        </w:rPr>
        <w:t> </w:t>
      </w:r>
      <w:r>
        <w:rPr>
          <w:sz w:val="18"/>
        </w:rPr>
        <w:t>of</w:t>
      </w:r>
      <w:r>
        <w:rPr>
          <w:spacing w:val="-1"/>
          <w:sz w:val="18"/>
        </w:rPr>
        <w:t> </w:t>
      </w:r>
      <w:r>
        <w:rPr>
          <w:sz w:val="18"/>
        </w:rPr>
        <w:t>IBRD</w:t>
      </w:r>
      <w:r>
        <w:rPr>
          <w:spacing w:val="-1"/>
          <w:sz w:val="18"/>
        </w:rPr>
        <w:t> </w:t>
      </w:r>
      <w:r>
        <w:rPr>
          <w:sz w:val="18"/>
        </w:rPr>
        <w:t>and </w:t>
      </w:r>
      <w:r>
        <w:rPr>
          <w:spacing w:val="-4"/>
          <w:sz w:val="18"/>
        </w:rPr>
        <w:t>IDA.</w:t>
      </w:r>
    </w:p>
    <w:p>
      <w:pPr>
        <w:spacing w:before="93"/>
        <w:ind w:left="720" w:right="0" w:firstLine="0"/>
        <w:jc w:val="both"/>
        <w:rPr>
          <w:sz w:val="18"/>
        </w:rPr>
      </w:pPr>
      <w:r>
        <w:rPr>
          <w:b/>
          <w:sz w:val="18"/>
        </w:rPr>
        <w:t>World</w:t>
      </w:r>
      <w:r>
        <w:rPr>
          <w:b/>
          <w:spacing w:val="-4"/>
          <w:sz w:val="18"/>
        </w:rPr>
        <w:t> </w:t>
      </w:r>
      <w:r>
        <w:rPr>
          <w:b/>
          <w:sz w:val="18"/>
        </w:rPr>
        <w:t>Bank</w:t>
      </w:r>
      <w:r>
        <w:rPr>
          <w:b/>
          <w:spacing w:val="-2"/>
          <w:sz w:val="18"/>
        </w:rPr>
        <w:t> </w:t>
      </w:r>
      <w:r>
        <w:rPr>
          <w:b/>
          <w:sz w:val="18"/>
        </w:rPr>
        <w:t>Group</w:t>
      </w:r>
      <w:r>
        <w:rPr>
          <w:b/>
          <w:spacing w:val="-2"/>
          <w:sz w:val="18"/>
        </w:rPr>
        <w:t> </w:t>
      </w:r>
      <w:r>
        <w:rPr>
          <w:b/>
          <w:sz w:val="18"/>
        </w:rPr>
        <w:t>(WBG):</w:t>
      </w:r>
      <w:r>
        <w:rPr>
          <w:b/>
          <w:spacing w:val="-3"/>
          <w:sz w:val="18"/>
        </w:rPr>
        <w:t> </w:t>
      </w:r>
      <w:r>
        <w:rPr>
          <w:sz w:val="18"/>
        </w:rPr>
        <w:t>The World</w:t>
      </w:r>
      <w:r>
        <w:rPr>
          <w:spacing w:val="-1"/>
          <w:sz w:val="18"/>
        </w:rPr>
        <w:t> </w:t>
      </w:r>
      <w:r>
        <w:rPr>
          <w:sz w:val="18"/>
        </w:rPr>
        <w:t>Bank</w:t>
      </w:r>
      <w:r>
        <w:rPr>
          <w:spacing w:val="-1"/>
          <w:sz w:val="18"/>
        </w:rPr>
        <w:t> </w:t>
      </w:r>
      <w:r>
        <w:rPr>
          <w:sz w:val="18"/>
        </w:rPr>
        <w:t>Group</w:t>
      </w:r>
      <w:r>
        <w:rPr>
          <w:spacing w:val="-1"/>
          <w:sz w:val="18"/>
        </w:rPr>
        <w:t> </w:t>
      </w:r>
      <w:r>
        <w:rPr>
          <w:sz w:val="18"/>
        </w:rPr>
        <w:t>consists</w:t>
      </w:r>
      <w:r>
        <w:rPr>
          <w:spacing w:val="-2"/>
          <w:sz w:val="18"/>
        </w:rPr>
        <w:t> </w:t>
      </w:r>
      <w:r>
        <w:rPr>
          <w:sz w:val="18"/>
        </w:rPr>
        <w:t>of IBRD,</w:t>
      </w:r>
      <w:r>
        <w:rPr>
          <w:spacing w:val="-1"/>
          <w:sz w:val="18"/>
        </w:rPr>
        <w:t> </w:t>
      </w:r>
      <w:r>
        <w:rPr>
          <w:sz w:val="18"/>
        </w:rPr>
        <w:t>IDA,</w:t>
      </w:r>
      <w:r>
        <w:rPr>
          <w:spacing w:val="-1"/>
          <w:sz w:val="18"/>
        </w:rPr>
        <w:t> </w:t>
      </w:r>
      <w:r>
        <w:rPr>
          <w:sz w:val="18"/>
        </w:rPr>
        <w:t>IFC,</w:t>
      </w:r>
      <w:r>
        <w:rPr>
          <w:spacing w:val="-1"/>
          <w:sz w:val="18"/>
        </w:rPr>
        <w:t> </w:t>
      </w:r>
      <w:r>
        <w:rPr>
          <w:sz w:val="18"/>
        </w:rPr>
        <w:t>MIGA,</w:t>
      </w:r>
      <w:r>
        <w:rPr>
          <w:spacing w:val="-1"/>
          <w:sz w:val="18"/>
        </w:rPr>
        <w:t> </w:t>
      </w:r>
      <w:r>
        <w:rPr>
          <w:sz w:val="18"/>
        </w:rPr>
        <w:t>and </w:t>
      </w:r>
      <w:r>
        <w:rPr>
          <w:spacing w:val="-2"/>
          <w:sz w:val="18"/>
        </w:rPr>
        <w:t>ICSID.</w:t>
      </w:r>
    </w:p>
    <w:p>
      <w:pPr>
        <w:spacing w:after="0"/>
        <w:jc w:val="both"/>
        <w:rPr>
          <w:sz w:val="18"/>
        </w:rPr>
        <w:sectPr>
          <w:headerReference w:type="default" r:id="rId78"/>
          <w:headerReference w:type="even" r:id="rId79"/>
          <w:footerReference w:type="default" r:id="rId80"/>
          <w:footerReference w:type="even" r:id="rId81"/>
          <w:pgSz w:w="12240" w:h="15840"/>
          <w:pgMar w:header="744" w:footer="713" w:top="1020" w:bottom="900" w:left="720" w:right="720"/>
          <w:pgNumType w:start="65"/>
        </w:sectPr>
      </w:pPr>
    </w:p>
    <w:p>
      <w:pPr>
        <w:pStyle w:val="BodyText"/>
        <w:spacing w:before="79"/>
        <w:rPr>
          <w:sz w:val="24"/>
        </w:rPr>
      </w:pPr>
    </w:p>
    <w:p>
      <w:pPr>
        <w:pStyle w:val="Heading1"/>
        <w:jc w:val="left"/>
      </w:pPr>
      <w:bookmarkStart w:name="Abbreviations and Acronyms" w:id="175"/>
      <w:bookmarkEnd w:id="175"/>
      <w:r>
        <w:rPr>
          <w:b w:val="0"/>
        </w:rPr>
      </w:r>
      <w:bookmarkStart w:name="_bookmark112" w:id="176"/>
      <w:bookmarkEnd w:id="176"/>
      <w:r>
        <w:rPr>
          <w:b w:val="0"/>
        </w:rPr>
      </w:r>
      <w:r>
        <w:rPr/>
        <w:t>Abbreviations</w:t>
      </w:r>
      <w:r>
        <w:rPr>
          <w:spacing w:val="-3"/>
        </w:rPr>
        <w:t> </w:t>
      </w:r>
      <w:r>
        <w:rPr/>
        <w:t>and</w:t>
      </w:r>
      <w:r>
        <w:rPr>
          <w:spacing w:val="-3"/>
        </w:rPr>
        <w:t> </w:t>
      </w:r>
      <w:r>
        <w:rPr>
          <w:spacing w:val="-2"/>
        </w:rPr>
        <w:t>Acronyms</w:t>
      </w:r>
    </w:p>
    <w:p>
      <w:pPr>
        <w:tabs>
          <w:tab w:pos="5777" w:val="left" w:leader="none"/>
        </w:tabs>
        <w:spacing w:before="140"/>
        <w:ind w:left="720" w:right="0" w:firstLine="0"/>
        <w:jc w:val="left"/>
        <w:rPr>
          <w:sz w:val="18"/>
        </w:rPr>
      </w:pPr>
      <w:r>
        <w:rPr>
          <w:b/>
          <w:sz w:val="18"/>
        </w:rPr>
        <w:t>AFDB:</w:t>
      </w:r>
      <w:r>
        <w:rPr>
          <w:b/>
          <w:spacing w:val="-5"/>
          <w:sz w:val="18"/>
        </w:rPr>
        <w:t> </w:t>
      </w:r>
      <w:r>
        <w:rPr>
          <w:sz w:val="18"/>
        </w:rPr>
        <w:t>African</w:t>
      </w:r>
      <w:r>
        <w:rPr>
          <w:spacing w:val="-1"/>
          <w:sz w:val="18"/>
        </w:rPr>
        <w:t> </w:t>
      </w:r>
      <w:r>
        <w:rPr>
          <w:sz w:val="18"/>
        </w:rPr>
        <w:t>Development</w:t>
      </w:r>
      <w:r>
        <w:rPr>
          <w:spacing w:val="-1"/>
          <w:sz w:val="18"/>
        </w:rPr>
        <w:t> </w:t>
      </w:r>
      <w:r>
        <w:rPr>
          <w:spacing w:val="-4"/>
          <w:sz w:val="18"/>
        </w:rPr>
        <w:t>Bank</w:t>
      </w:r>
      <w:r>
        <w:rPr>
          <w:sz w:val="18"/>
        </w:rPr>
        <w:tab/>
      </w:r>
      <w:r>
        <w:rPr>
          <w:b/>
          <w:sz w:val="18"/>
        </w:rPr>
        <w:t>IFLs:</w:t>
      </w:r>
      <w:r>
        <w:rPr>
          <w:b/>
          <w:spacing w:val="-4"/>
          <w:sz w:val="18"/>
        </w:rPr>
        <w:t> </w:t>
      </w:r>
      <w:r>
        <w:rPr>
          <w:sz w:val="18"/>
        </w:rPr>
        <w:t>IBRD</w:t>
      </w:r>
      <w:r>
        <w:rPr>
          <w:spacing w:val="-2"/>
          <w:sz w:val="18"/>
        </w:rPr>
        <w:t> </w:t>
      </w:r>
      <w:r>
        <w:rPr>
          <w:sz w:val="18"/>
        </w:rPr>
        <w:t>Flexible</w:t>
      </w:r>
      <w:r>
        <w:rPr>
          <w:spacing w:val="-1"/>
          <w:sz w:val="18"/>
        </w:rPr>
        <w:t> </w:t>
      </w:r>
      <w:r>
        <w:rPr>
          <w:spacing w:val="-2"/>
          <w:sz w:val="18"/>
        </w:rPr>
        <w:t>Loans</w:t>
      </w:r>
    </w:p>
    <w:p>
      <w:pPr>
        <w:spacing w:after="0"/>
        <w:jc w:val="left"/>
        <w:rPr>
          <w:sz w:val="18"/>
        </w:rPr>
        <w:sectPr>
          <w:pgSz w:w="12240" w:h="15840"/>
          <w:pgMar w:header="744" w:footer="583" w:top="1020" w:bottom="780" w:left="720" w:right="720"/>
        </w:sectPr>
      </w:pPr>
    </w:p>
    <w:p>
      <w:pPr>
        <w:spacing w:before="129"/>
        <w:ind w:left="720" w:right="0" w:firstLine="0"/>
        <w:jc w:val="left"/>
        <w:rPr>
          <w:sz w:val="18"/>
        </w:rPr>
      </w:pPr>
      <w:r>
        <w:rPr>
          <w:b/>
          <w:sz w:val="18"/>
        </w:rPr>
        <w:t>AOCI:</w:t>
      </w:r>
      <w:r>
        <w:rPr>
          <w:b/>
          <w:spacing w:val="-3"/>
          <w:sz w:val="18"/>
        </w:rPr>
        <w:t> </w:t>
      </w:r>
      <w:r>
        <w:rPr>
          <w:sz w:val="18"/>
        </w:rPr>
        <w:t>Accumulated</w:t>
      </w:r>
      <w:r>
        <w:rPr>
          <w:spacing w:val="-1"/>
          <w:sz w:val="18"/>
        </w:rPr>
        <w:t> </w:t>
      </w:r>
      <w:r>
        <w:rPr>
          <w:sz w:val="18"/>
        </w:rPr>
        <w:t>Other</w:t>
      </w:r>
      <w:r>
        <w:rPr>
          <w:spacing w:val="-2"/>
          <w:sz w:val="18"/>
        </w:rPr>
        <w:t> </w:t>
      </w:r>
      <w:r>
        <w:rPr>
          <w:sz w:val="18"/>
        </w:rPr>
        <w:t>Comprehensive</w:t>
      </w:r>
      <w:r>
        <w:rPr>
          <w:spacing w:val="-1"/>
          <w:sz w:val="18"/>
        </w:rPr>
        <w:t> </w:t>
      </w:r>
      <w:r>
        <w:rPr>
          <w:spacing w:val="-2"/>
          <w:sz w:val="18"/>
        </w:rPr>
        <w:t>Income</w:t>
      </w:r>
    </w:p>
    <w:p>
      <w:pPr>
        <w:spacing w:before="93"/>
        <w:ind w:left="720" w:right="0" w:firstLine="0"/>
        <w:jc w:val="left"/>
        <w:rPr>
          <w:sz w:val="18"/>
        </w:rPr>
      </w:pPr>
      <w:r>
        <w:rPr>
          <w:b/>
          <w:sz w:val="18"/>
        </w:rPr>
        <w:t>BETF:</w:t>
      </w:r>
      <w:r>
        <w:rPr>
          <w:b/>
          <w:spacing w:val="-2"/>
          <w:sz w:val="18"/>
        </w:rPr>
        <w:t> </w:t>
      </w:r>
      <w:r>
        <w:rPr>
          <w:sz w:val="18"/>
        </w:rPr>
        <w:t>IBRD-Executed</w:t>
      </w:r>
      <w:r>
        <w:rPr>
          <w:spacing w:val="-1"/>
          <w:sz w:val="18"/>
        </w:rPr>
        <w:t> </w:t>
      </w:r>
      <w:r>
        <w:rPr>
          <w:sz w:val="18"/>
        </w:rPr>
        <w:t>Trust</w:t>
      </w:r>
      <w:r>
        <w:rPr>
          <w:spacing w:val="-1"/>
          <w:sz w:val="18"/>
        </w:rPr>
        <w:t> </w:t>
      </w:r>
      <w:r>
        <w:rPr>
          <w:spacing w:val="-2"/>
          <w:sz w:val="18"/>
        </w:rPr>
        <w:t>Funds</w:t>
      </w:r>
    </w:p>
    <w:p>
      <w:pPr>
        <w:spacing w:before="93"/>
        <w:ind w:left="720" w:right="0" w:firstLine="0"/>
        <w:jc w:val="left"/>
        <w:rPr>
          <w:sz w:val="18"/>
        </w:rPr>
      </w:pPr>
      <w:r>
        <w:rPr>
          <w:b/>
          <w:sz w:val="18"/>
        </w:rPr>
        <w:t>BOG:</w:t>
      </w:r>
      <w:r>
        <w:rPr>
          <w:b/>
          <w:spacing w:val="-1"/>
          <w:sz w:val="18"/>
        </w:rPr>
        <w:t> </w:t>
      </w:r>
      <w:r>
        <w:rPr>
          <w:sz w:val="18"/>
        </w:rPr>
        <w:t>Board of </w:t>
      </w:r>
      <w:r>
        <w:rPr>
          <w:spacing w:val="-2"/>
          <w:sz w:val="18"/>
        </w:rPr>
        <w:t>Governors</w:t>
      </w:r>
    </w:p>
    <w:p>
      <w:pPr>
        <w:spacing w:line="208" w:lineRule="auto" w:before="114"/>
        <w:ind w:left="720" w:right="0" w:firstLine="0"/>
        <w:jc w:val="left"/>
        <w:rPr>
          <w:sz w:val="18"/>
        </w:rPr>
      </w:pPr>
      <w:r>
        <w:rPr>
          <w:b/>
          <w:sz w:val="18"/>
        </w:rPr>
        <w:t>COSO:</w:t>
      </w:r>
      <w:r>
        <w:rPr>
          <w:b/>
          <w:spacing w:val="40"/>
          <w:sz w:val="18"/>
        </w:rPr>
        <w:t> </w:t>
      </w:r>
      <w:r>
        <w:rPr>
          <w:sz w:val="18"/>
        </w:rPr>
        <w:t>Committee</w:t>
      </w:r>
      <w:r>
        <w:rPr>
          <w:spacing w:val="40"/>
          <w:sz w:val="18"/>
        </w:rPr>
        <w:t> </w:t>
      </w:r>
      <w:r>
        <w:rPr>
          <w:sz w:val="18"/>
        </w:rPr>
        <w:t>of</w:t>
      </w:r>
      <w:r>
        <w:rPr>
          <w:spacing w:val="40"/>
          <w:sz w:val="18"/>
        </w:rPr>
        <w:t> </w:t>
      </w:r>
      <w:r>
        <w:rPr>
          <w:sz w:val="18"/>
        </w:rPr>
        <w:t>Sponsoring</w:t>
      </w:r>
      <w:r>
        <w:rPr>
          <w:spacing w:val="40"/>
          <w:sz w:val="18"/>
        </w:rPr>
        <w:t> </w:t>
      </w:r>
      <w:r>
        <w:rPr>
          <w:sz w:val="18"/>
        </w:rPr>
        <w:t>Organizations</w:t>
      </w:r>
      <w:r>
        <w:rPr>
          <w:spacing w:val="40"/>
          <w:sz w:val="18"/>
        </w:rPr>
        <w:t> </w:t>
      </w:r>
      <w:r>
        <w:rPr>
          <w:sz w:val="18"/>
        </w:rPr>
        <w:t>of</w:t>
      </w:r>
      <w:r>
        <w:rPr>
          <w:spacing w:val="40"/>
          <w:sz w:val="18"/>
        </w:rPr>
        <w:t> </w:t>
      </w:r>
      <w:r>
        <w:rPr>
          <w:sz w:val="18"/>
        </w:rPr>
        <w:t>the Treadway Commission</w:t>
      </w:r>
    </w:p>
    <w:p>
      <w:pPr>
        <w:spacing w:before="98"/>
        <w:ind w:left="720" w:right="0" w:firstLine="0"/>
        <w:jc w:val="left"/>
        <w:rPr>
          <w:sz w:val="18"/>
        </w:rPr>
      </w:pPr>
      <w:r>
        <w:rPr>
          <w:b/>
          <w:sz w:val="18"/>
        </w:rPr>
        <w:t>CDS:</w:t>
      </w:r>
      <w:r>
        <w:rPr>
          <w:b/>
          <w:spacing w:val="-5"/>
          <w:sz w:val="18"/>
        </w:rPr>
        <w:t> </w:t>
      </w:r>
      <w:r>
        <w:rPr>
          <w:sz w:val="18"/>
        </w:rPr>
        <w:t>Credit</w:t>
      </w:r>
      <w:r>
        <w:rPr>
          <w:spacing w:val="-1"/>
          <w:sz w:val="18"/>
        </w:rPr>
        <w:t> </w:t>
      </w:r>
      <w:r>
        <w:rPr>
          <w:sz w:val="18"/>
        </w:rPr>
        <w:t>Default</w:t>
      </w:r>
      <w:r>
        <w:rPr>
          <w:spacing w:val="-1"/>
          <w:sz w:val="18"/>
        </w:rPr>
        <w:t> </w:t>
      </w:r>
      <w:r>
        <w:rPr>
          <w:spacing w:val="-2"/>
          <w:sz w:val="18"/>
        </w:rPr>
        <w:t>Swaps</w:t>
      </w:r>
    </w:p>
    <w:p>
      <w:pPr>
        <w:spacing w:before="93"/>
        <w:ind w:left="720" w:right="0" w:firstLine="0"/>
        <w:jc w:val="left"/>
        <w:rPr>
          <w:sz w:val="18"/>
        </w:rPr>
      </w:pPr>
      <w:r>
        <w:rPr>
          <w:b/>
          <w:sz w:val="18"/>
        </w:rPr>
        <w:t>CVA:</w:t>
      </w:r>
      <w:r>
        <w:rPr>
          <w:b/>
          <w:spacing w:val="-3"/>
          <w:sz w:val="18"/>
        </w:rPr>
        <w:t> </w:t>
      </w:r>
      <w:r>
        <w:rPr>
          <w:sz w:val="18"/>
        </w:rPr>
        <w:t>Credit</w:t>
      </w:r>
      <w:r>
        <w:rPr>
          <w:spacing w:val="-1"/>
          <w:sz w:val="18"/>
        </w:rPr>
        <w:t> </w:t>
      </w:r>
      <w:r>
        <w:rPr>
          <w:sz w:val="18"/>
        </w:rPr>
        <w:t>Valuation</w:t>
      </w:r>
      <w:r>
        <w:rPr>
          <w:spacing w:val="-1"/>
          <w:sz w:val="18"/>
        </w:rPr>
        <w:t> </w:t>
      </w:r>
      <w:r>
        <w:rPr>
          <w:spacing w:val="-2"/>
          <w:sz w:val="18"/>
        </w:rPr>
        <w:t>Adjustment</w:t>
      </w:r>
    </w:p>
    <w:p>
      <w:pPr>
        <w:spacing w:before="93"/>
        <w:ind w:left="720" w:right="0" w:firstLine="0"/>
        <w:jc w:val="left"/>
        <w:rPr>
          <w:sz w:val="18"/>
        </w:rPr>
      </w:pPr>
      <w:r>
        <w:rPr>
          <w:b/>
          <w:sz w:val="18"/>
        </w:rPr>
        <w:t>CRO:</w:t>
      </w:r>
      <w:r>
        <w:rPr>
          <w:b/>
          <w:spacing w:val="-2"/>
          <w:sz w:val="18"/>
        </w:rPr>
        <w:t> </w:t>
      </w:r>
      <w:r>
        <w:rPr>
          <w:sz w:val="18"/>
        </w:rPr>
        <w:t>Vice</w:t>
      </w:r>
      <w:r>
        <w:rPr>
          <w:spacing w:val="-1"/>
          <w:sz w:val="18"/>
        </w:rPr>
        <w:t> </w:t>
      </w:r>
      <w:r>
        <w:rPr>
          <w:sz w:val="18"/>
        </w:rPr>
        <w:t>President</w:t>
      </w:r>
      <w:r>
        <w:rPr>
          <w:spacing w:val="-1"/>
          <w:sz w:val="18"/>
        </w:rPr>
        <w:t> </w:t>
      </w:r>
      <w:r>
        <w:rPr>
          <w:sz w:val="18"/>
        </w:rPr>
        <w:t>and</w:t>
      </w:r>
      <w:r>
        <w:rPr>
          <w:spacing w:val="-1"/>
          <w:sz w:val="18"/>
        </w:rPr>
        <w:t> </w:t>
      </w:r>
      <w:r>
        <w:rPr>
          <w:sz w:val="18"/>
        </w:rPr>
        <w:t>WBG</w:t>
      </w:r>
      <w:r>
        <w:rPr>
          <w:spacing w:val="-2"/>
          <w:sz w:val="18"/>
        </w:rPr>
        <w:t> </w:t>
      </w:r>
      <w:r>
        <w:rPr>
          <w:sz w:val="18"/>
        </w:rPr>
        <w:t>Chief</w:t>
      </w:r>
      <w:r>
        <w:rPr>
          <w:spacing w:val="-1"/>
          <w:sz w:val="18"/>
        </w:rPr>
        <w:t> </w:t>
      </w:r>
      <w:r>
        <w:rPr>
          <w:sz w:val="18"/>
        </w:rPr>
        <w:t>Risk </w:t>
      </w:r>
      <w:r>
        <w:rPr>
          <w:spacing w:val="-2"/>
          <w:sz w:val="18"/>
        </w:rPr>
        <w:t>Officer</w:t>
      </w:r>
    </w:p>
    <w:p>
      <w:pPr>
        <w:spacing w:line="348" w:lineRule="auto" w:before="93"/>
        <w:ind w:left="720" w:right="1467" w:firstLine="0"/>
        <w:jc w:val="left"/>
        <w:rPr>
          <w:sz w:val="18"/>
        </w:rPr>
      </w:pPr>
      <w:r>
        <w:rPr>
          <w:b/>
          <w:sz w:val="18"/>
        </w:rPr>
        <w:t>DDO: </w:t>
      </w:r>
      <w:r>
        <w:rPr>
          <w:sz w:val="18"/>
        </w:rPr>
        <w:t>Deferred Drawdown Option </w:t>
      </w:r>
      <w:r>
        <w:rPr>
          <w:b/>
          <w:sz w:val="18"/>
        </w:rPr>
        <w:t>DPF:</w:t>
      </w:r>
      <w:r>
        <w:rPr>
          <w:b/>
          <w:spacing w:val="-12"/>
          <w:sz w:val="18"/>
        </w:rPr>
        <w:t> </w:t>
      </w:r>
      <w:r>
        <w:rPr>
          <w:sz w:val="18"/>
        </w:rPr>
        <w:t>Development</w:t>
      </w:r>
      <w:r>
        <w:rPr>
          <w:spacing w:val="-11"/>
          <w:sz w:val="18"/>
        </w:rPr>
        <w:t> </w:t>
      </w:r>
      <w:r>
        <w:rPr>
          <w:sz w:val="18"/>
        </w:rPr>
        <w:t>Project</w:t>
      </w:r>
      <w:r>
        <w:rPr>
          <w:spacing w:val="-11"/>
          <w:sz w:val="18"/>
        </w:rPr>
        <w:t> </w:t>
      </w:r>
      <w:r>
        <w:rPr>
          <w:sz w:val="18"/>
        </w:rPr>
        <w:t>Financing </w:t>
      </w:r>
      <w:r>
        <w:rPr>
          <w:b/>
          <w:sz w:val="18"/>
        </w:rPr>
        <w:t>DVA: </w:t>
      </w:r>
      <w:r>
        <w:rPr>
          <w:sz w:val="18"/>
        </w:rPr>
        <w:t>Debit Valuation Adjustment </w:t>
      </w:r>
      <w:r>
        <w:rPr>
          <w:b/>
          <w:sz w:val="18"/>
        </w:rPr>
        <w:t>EAL: </w:t>
      </w:r>
      <w:r>
        <w:rPr>
          <w:sz w:val="18"/>
        </w:rPr>
        <w:t>Equitable Access Limit</w:t>
      </w:r>
    </w:p>
    <w:p>
      <w:pPr>
        <w:spacing w:line="348" w:lineRule="auto" w:before="0"/>
        <w:ind w:left="720" w:right="1467" w:firstLine="0"/>
        <w:jc w:val="left"/>
        <w:rPr>
          <w:sz w:val="18"/>
        </w:rPr>
      </w:pPr>
      <w:r>
        <w:rPr>
          <w:b/>
          <w:sz w:val="18"/>
        </w:rPr>
        <w:t>EDF: </w:t>
      </w:r>
      <w:r>
        <w:rPr>
          <w:sz w:val="18"/>
        </w:rPr>
        <w:t>Expected default frequency </w:t>
      </w:r>
      <w:r>
        <w:rPr>
          <w:b/>
          <w:sz w:val="18"/>
        </w:rPr>
        <w:t>EEA:</w:t>
      </w:r>
      <w:r>
        <w:rPr>
          <w:b/>
          <w:spacing w:val="-12"/>
          <w:sz w:val="18"/>
        </w:rPr>
        <w:t> </w:t>
      </w:r>
      <w:r>
        <w:rPr>
          <w:sz w:val="18"/>
        </w:rPr>
        <w:t>Exposure</w:t>
      </w:r>
      <w:r>
        <w:rPr>
          <w:spacing w:val="-11"/>
          <w:sz w:val="18"/>
        </w:rPr>
        <w:t> </w:t>
      </w:r>
      <w:r>
        <w:rPr>
          <w:sz w:val="18"/>
        </w:rPr>
        <w:t>Exchange</w:t>
      </w:r>
      <w:r>
        <w:rPr>
          <w:spacing w:val="-11"/>
          <w:sz w:val="18"/>
        </w:rPr>
        <w:t> </w:t>
      </w:r>
      <w:r>
        <w:rPr>
          <w:sz w:val="18"/>
        </w:rPr>
        <w:t>Agreement </w:t>
      </w:r>
      <w:r>
        <w:rPr>
          <w:b/>
          <w:sz w:val="18"/>
        </w:rPr>
        <w:t>EFOs: </w:t>
      </w:r>
      <w:r>
        <w:rPr>
          <w:sz w:val="18"/>
        </w:rPr>
        <w:t>Externally Financed Outputs</w:t>
      </w:r>
    </w:p>
    <w:p>
      <w:pPr>
        <w:spacing w:line="348" w:lineRule="auto" w:before="0"/>
        <w:ind w:left="720" w:right="601" w:firstLine="0"/>
        <w:jc w:val="left"/>
        <w:rPr>
          <w:sz w:val="18"/>
        </w:rPr>
      </w:pPr>
      <w:r>
        <w:rPr>
          <w:b/>
          <w:sz w:val="18"/>
        </w:rPr>
        <w:t>ESG: </w:t>
      </w:r>
      <w:r>
        <w:rPr>
          <w:sz w:val="18"/>
        </w:rPr>
        <w:t>Environmental, Social and Governance </w:t>
      </w:r>
      <w:r>
        <w:rPr>
          <w:b/>
          <w:sz w:val="18"/>
        </w:rPr>
        <w:t>FASB:</w:t>
      </w:r>
      <w:r>
        <w:rPr>
          <w:b/>
          <w:spacing w:val="-10"/>
          <w:sz w:val="18"/>
        </w:rPr>
        <w:t> </w:t>
      </w:r>
      <w:r>
        <w:rPr>
          <w:sz w:val="18"/>
        </w:rPr>
        <w:t>Financial</w:t>
      </w:r>
      <w:r>
        <w:rPr>
          <w:spacing w:val="-10"/>
          <w:sz w:val="18"/>
        </w:rPr>
        <w:t> </w:t>
      </w:r>
      <w:r>
        <w:rPr>
          <w:sz w:val="18"/>
        </w:rPr>
        <w:t>Accounting</w:t>
      </w:r>
      <w:r>
        <w:rPr>
          <w:spacing w:val="-10"/>
          <w:sz w:val="18"/>
        </w:rPr>
        <w:t> </w:t>
      </w:r>
      <w:r>
        <w:rPr>
          <w:sz w:val="18"/>
        </w:rPr>
        <w:t>Standards</w:t>
      </w:r>
      <w:r>
        <w:rPr>
          <w:spacing w:val="-10"/>
          <w:sz w:val="18"/>
        </w:rPr>
        <w:t> </w:t>
      </w:r>
      <w:r>
        <w:rPr>
          <w:sz w:val="18"/>
        </w:rPr>
        <w:t>Board </w:t>
      </w:r>
      <w:r>
        <w:rPr>
          <w:b/>
          <w:sz w:val="18"/>
        </w:rPr>
        <w:t>FIFs: </w:t>
      </w:r>
      <w:r>
        <w:rPr>
          <w:sz w:val="18"/>
        </w:rPr>
        <w:t>Financial Intermediary Funds</w:t>
      </w:r>
    </w:p>
    <w:p>
      <w:pPr>
        <w:spacing w:line="207" w:lineRule="exact" w:before="0"/>
        <w:ind w:left="720" w:right="0" w:firstLine="0"/>
        <w:jc w:val="left"/>
        <w:rPr>
          <w:sz w:val="18"/>
        </w:rPr>
      </w:pPr>
      <w:r>
        <w:rPr>
          <w:b/>
          <w:sz w:val="18"/>
        </w:rPr>
        <w:t>FRC:</w:t>
      </w:r>
      <w:r>
        <w:rPr>
          <w:b/>
          <w:spacing w:val="-2"/>
          <w:sz w:val="18"/>
        </w:rPr>
        <w:t> </w:t>
      </w:r>
      <w:r>
        <w:rPr>
          <w:sz w:val="18"/>
        </w:rPr>
        <w:t>Finance</w:t>
      </w:r>
      <w:r>
        <w:rPr>
          <w:spacing w:val="-1"/>
          <w:sz w:val="18"/>
        </w:rPr>
        <w:t> </w:t>
      </w:r>
      <w:r>
        <w:rPr>
          <w:sz w:val="18"/>
        </w:rPr>
        <w:t>and</w:t>
      </w:r>
      <w:r>
        <w:rPr>
          <w:spacing w:val="-1"/>
          <w:sz w:val="18"/>
        </w:rPr>
        <w:t> </w:t>
      </w:r>
      <w:r>
        <w:rPr>
          <w:sz w:val="18"/>
        </w:rPr>
        <w:t>Risk</w:t>
      </w:r>
      <w:r>
        <w:rPr>
          <w:spacing w:val="-1"/>
          <w:sz w:val="18"/>
        </w:rPr>
        <w:t> </w:t>
      </w:r>
      <w:r>
        <w:rPr>
          <w:spacing w:val="-2"/>
          <w:sz w:val="18"/>
        </w:rPr>
        <w:t>Committee</w:t>
      </w:r>
    </w:p>
    <w:p>
      <w:pPr>
        <w:spacing w:before="93"/>
        <w:ind w:left="720" w:right="0" w:firstLine="0"/>
        <w:jc w:val="left"/>
        <w:rPr>
          <w:sz w:val="18"/>
        </w:rPr>
      </w:pPr>
      <w:r>
        <w:rPr>
          <w:b/>
          <w:sz w:val="18"/>
        </w:rPr>
        <w:t>GAVI:</w:t>
      </w:r>
      <w:r>
        <w:rPr>
          <w:b/>
          <w:spacing w:val="-2"/>
          <w:sz w:val="18"/>
        </w:rPr>
        <w:t> </w:t>
      </w:r>
      <w:r>
        <w:rPr>
          <w:sz w:val="18"/>
        </w:rPr>
        <w:t>Global</w:t>
      </w:r>
      <w:r>
        <w:rPr>
          <w:spacing w:val="-1"/>
          <w:sz w:val="18"/>
        </w:rPr>
        <w:t> </w:t>
      </w:r>
      <w:r>
        <w:rPr>
          <w:sz w:val="18"/>
        </w:rPr>
        <w:t>Alliance</w:t>
      </w:r>
      <w:r>
        <w:rPr>
          <w:spacing w:val="-1"/>
          <w:sz w:val="18"/>
        </w:rPr>
        <w:t> </w:t>
      </w:r>
      <w:r>
        <w:rPr>
          <w:sz w:val="18"/>
        </w:rPr>
        <w:t>for</w:t>
      </w:r>
      <w:r>
        <w:rPr>
          <w:spacing w:val="-1"/>
          <w:sz w:val="18"/>
        </w:rPr>
        <w:t> </w:t>
      </w:r>
      <w:r>
        <w:rPr>
          <w:sz w:val="18"/>
        </w:rPr>
        <w:t>Vaccines</w:t>
      </w:r>
      <w:r>
        <w:rPr>
          <w:spacing w:val="-2"/>
          <w:sz w:val="18"/>
        </w:rPr>
        <w:t> </w:t>
      </w:r>
      <w:r>
        <w:rPr>
          <w:sz w:val="18"/>
        </w:rPr>
        <w:t>and</w:t>
      </w:r>
      <w:r>
        <w:rPr>
          <w:spacing w:val="-1"/>
          <w:sz w:val="18"/>
        </w:rPr>
        <w:t> </w:t>
      </w:r>
      <w:r>
        <w:rPr>
          <w:spacing w:val="-2"/>
          <w:sz w:val="18"/>
        </w:rPr>
        <w:t>Immunization</w:t>
      </w:r>
    </w:p>
    <w:p>
      <w:pPr>
        <w:spacing w:before="93"/>
        <w:ind w:left="720" w:right="0" w:firstLine="0"/>
        <w:jc w:val="left"/>
        <w:rPr>
          <w:sz w:val="18"/>
        </w:rPr>
      </w:pPr>
      <w:r>
        <w:rPr>
          <w:b/>
          <w:sz w:val="18"/>
        </w:rPr>
        <w:t>GCI:</w:t>
      </w:r>
      <w:r>
        <w:rPr>
          <w:b/>
          <w:spacing w:val="-2"/>
          <w:sz w:val="18"/>
        </w:rPr>
        <w:t> </w:t>
      </w:r>
      <w:r>
        <w:rPr>
          <w:sz w:val="18"/>
        </w:rPr>
        <w:t>General</w:t>
      </w:r>
      <w:r>
        <w:rPr>
          <w:spacing w:val="-1"/>
          <w:sz w:val="18"/>
        </w:rPr>
        <w:t> </w:t>
      </w:r>
      <w:r>
        <w:rPr>
          <w:sz w:val="18"/>
        </w:rPr>
        <w:t>Capital</w:t>
      </w:r>
      <w:r>
        <w:rPr>
          <w:spacing w:val="-1"/>
          <w:sz w:val="18"/>
        </w:rPr>
        <w:t> </w:t>
      </w:r>
      <w:r>
        <w:rPr>
          <w:spacing w:val="-2"/>
          <w:sz w:val="18"/>
        </w:rPr>
        <w:t>Increase</w:t>
      </w:r>
    </w:p>
    <w:p>
      <w:pPr>
        <w:spacing w:line="348" w:lineRule="auto" w:before="93"/>
        <w:ind w:left="720" w:right="1654" w:firstLine="0"/>
        <w:jc w:val="left"/>
        <w:rPr>
          <w:sz w:val="18"/>
        </w:rPr>
      </w:pPr>
      <w:r>
        <w:rPr>
          <w:b/>
          <w:sz w:val="18"/>
        </w:rPr>
        <w:t>GDI</w:t>
      </w:r>
      <w:r>
        <w:rPr>
          <w:sz w:val="18"/>
        </w:rPr>
        <w:t>:</w:t>
      </w:r>
      <w:r>
        <w:rPr>
          <w:spacing w:val="-12"/>
          <w:sz w:val="18"/>
        </w:rPr>
        <w:t> </w:t>
      </w:r>
      <w:r>
        <w:rPr>
          <w:sz w:val="18"/>
        </w:rPr>
        <w:t>Graduation</w:t>
      </w:r>
      <w:r>
        <w:rPr>
          <w:spacing w:val="-11"/>
          <w:sz w:val="18"/>
        </w:rPr>
        <w:t> </w:t>
      </w:r>
      <w:r>
        <w:rPr>
          <w:sz w:val="18"/>
        </w:rPr>
        <w:t>Discussion</w:t>
      </w:r>
      <w:r>
        <w:rPr>
          <w:spacing w:val="-11"/>
          <w:sz w:val="18"/>
        </w:rPr>
        <w:t> </w:t>
      </w:r>
      <w:r>
        <w:rPr>
          <w:sz w:val="18"/>
        </w:rPr>
        <w:t>Income </w:t>
      </w:r>
      <w:r>
        <w:rPr>
          <w:b/>
          <w:sz w:val="18"/>
        </w:rPr>
        <w:t>GNI: </w:t>
      </w:r>
      <w:r>
        <w:rPr>
          <w:sz w:val="18"/>
        </w:rPr>
        <w:t>Gross National Income </w:t>
      </w:r>
      <w:r>
        <w:rPr>
          <w:b/>
          <w:sz w:val="18"/>
        </w:rPr>
        <w:t>GMFs: </w:t>
      </w:r>
      <w:r>
        <w:rPr>
          <w:sz w:val="18"/>
        </w:rPr>
        <w:t>Grant-Making Facilities </w:t>
      </w:r>
      <w:r>
        <w:rPr>
          <w:b/>
          <w:sz w:val="18"/>
        </w:rPr>
        <w:t>GPs: </w:t>
      </w:r>
      <w:r>
        <w:rPr>
          <w:sz w:val="18"/>
        </w:rPr>
        <w:t>Global Practices</w:t>
      </w:r>
    </w:p>
    <w:p>
      <w:pPr>
        <w:spacing w:line="206" w:lineRule="exact" w:before="0"/>
        <w:ind w:left="720" w:right="0" w:firstLine="0"/>
        <w:jc w:val="left"/>
        <w:rPr>
          <w:sz w:val="18"/>
        </w:rPr>
      </w:pPr>
      <w:r>
        <w:rPr>
          <w:b/>
          <w:sz w:val="18"/>
        </w:rPr>
        <w:t>IADB:</w:t>
      </w:r>
      <w:r>
        <w:rPr>
          <w:b/>
          <w:spacing w:val="-6"/>
          <w:sz w:val="18"/>
        </w:rPr>
        <w:t> </w:t>
      </w:r>
      <w:r>
        <w:rPr>
          <w:sz w:val="18"/>
        </w:rPr>
        <w:t>Inter</w:t>
      </w:r>
      <w:r>
        <w:rPr>
          <w:rFonts w:ascii="Arial MT"/>
          <w:sz w:val="18"/>
        </w:rPr>
        <w:t>-</w:t>
      </w:r>
      <w:r>
        <w:rPr>
          <w:sz w:val="18"/>
        </w:rPr>
        <w:t>American</w:t>
      </w:r>
      <w:r>
        <w:rPr>
          <w:spacing w:val="-5"/>
          <w:sz w:val="18"/>
        </w:rPr>
        <w:t> </w:t>
      </w:r>
      <w:r>
        <w:rPr>
          <w:sz w:val="18"/>
        </w:rPr>
        <w:t>Development</w:t>
      </w:r>
      <w:r>
        <w:rPr>
          <w:spacing w:val="-5"/>
          <w:sz w:val="18"/>
        </w:rPr>
        <w:t> </w:t>
      </w:r>
      <w:r>
        <w:rPr>
          <w:spacing w:val="-4"/>
          <w:sz w:val="18"/>
        </w:rPr>
        <w:t>Bank</w:t>
      </w:r>
    </w:p>
    <w:p>
      <w:pPr>
        <w:spacing w:line="208" w:lineRule="auto" w:before="115"/>
        <w:ind w:left="720" w:right="0" w:firstLine="0"/>
        <w:jc w:val="left"/>
        <w:rPr>
          <w:sz w:val="18"/>
        </w:rPr>
      </w:pPr>
      <w:r>
        <w:rPr>
          <w:b/>
          <w:sz w:val="18"/>
        </w:rPr>
        <w:t>IBRD:</w:t>
      </w:r>
      <w:r>
        <w:rPr>
          <w:b/>
          <w:spacing w:val="-9"/>
          <w:sz w:val="18"/>
        </w:rPr>
        <w:t> </w:t>
      </w:r>
      <w:r>
        <w:rPr>
          <w:sz w:val="18"/>
        </w:rPr>
        <w:t>International</w:t>
      </w:r>
      <w:r>
        <w:rPr>
          <w:spacing w:val="-8"/>
          <w:sz w:val="18"/>
        </w:rPr>
        <w:t> </w:t>
      </w:r>
      <w:r>
        <w:rPr>
          <w:sz w:val="18"/>
        </w:rPr>
        <w:t>Bank</w:t>
      </w:r>
      <w:r>
        <w:rPr>
          <w:spacing w:val="-8"/>
          <w:sz w:val="18"/>
        </w:rPr>
        <w:t> </w:t>
      </w:r>
      <w:r>
        <w:rPr>
          <w:sz w:val="18"/>
        </w:rPr>
        <w:t>for</w:t>
      </w:r>
      <w:r>
        <w:rPr>
          <w:spacing w:val="-8"/>
          <w:sz w:val="18"/>
        </w:rPr>
        <w:t> </w:t>
      </w:r>
      <w:r>
        <w:rPr>
          <w:sz w:val="18"/>
        </w:rPr>
        <w:t>Reconstruction</w:t>
      </w:r>
      <w:r>
        <w:rPr>
          <w:spacing w:val="-8"/>
          <w:sz w:val="18"/>
        </w:rPr>
        <w:t> </w:t>
      </w:r>
      <w:r>
        <w:rPr>
          <w:sz w:val="18"/>
        </w:rPr>
        <w:t>and </w:t>
      </w:r>
      <w:r>
        <w:rPr>
          <w:spacing w:val="-2"/>
          <w:sz w:val="18"/>
        </w:rPr>
        <w:t>Development</w:t>
      </w:r>
    </w:p>
    <w:p>
      <w:pPr>
        <w:spacing w:line="208" w:lineRule="auto" w:before="119"/>
        <w:ind w:left="720" w:right="0" w:firstLine="0"/>
        <w:jc w:val="left"/>
        <w:rPr>
          <w:sz w:val="18"/>
        </w:rPr>
      </w:pPr>
      <w:r>
        <w:rPr>
          <w:b/>
          <w:color w:val="0D0D0D"/>
          <w:sz w:val="18"/>
        </w:rPr>
        <w:t>ICSID:</w:t>
      </w:r>
      <w:r>
        <w:rPr>
          <w:b/>
          <w:color w:val="0D0D0D"/>
          <w:spacing w:val="-8"/>
          <w:sz w:val="18"/>
        </w:rPr>
        <w:t> </w:t>
      </w:r>
      <w:r>
        <w:rPr>
          <w:color w:val="0D0D0D"/>
          <w:sz w:val="18"/>
        </w:rPr>
        <w:t>International</w:t>
      </w:r>
      <w:r>
        <w:rPr>
          <w:color w:val="0D0D0D"/>
          <w:spacing w:val="-7"/>
          <w:sz w:val="18"/>
        </w:rPr>
        <w:t> </w:t>
      </w:r>
      <w:r>
        <w:rPr>
          <w:color w:val="0D0D0D"/>
          <w:sz w:val="18"/>
        </w:rPr>
        <w:t>Centre</w:t>
      </w:r>
      <w:r>
        <w:rPr>
          <w:color w:val="0D0D0D"/>
          <w:spacing w:val="-7"/>
          <w:sz w:val="18"/>
        </w:rPr>
        <w:t> </w:t>
      </w:r>
      <w:r>
        <w:rPr>
          <w:color w:val="0D0D0D"/>
          <w:sz w:val="18"/>
        </w:rPr>
        <w:t>for</w:t>
      </w:r>
      <w:r>
        <w:rPr>
          <w:color w:val="0D0D0D"/>
          <w:spacing w:val="-7"/>
          <w:sz w:val="18"/>
        </w:rPr>
        <w:t> </w:t>
      </w:r>
      <w:r>
        <w:rPr>
          <w:color w:val="0D0D0D"/>
          <w:sz w:val="18"/>
        </w:rPr>
        <w:t>Settlement</w:t>
      </w:r>
      <w:r>
        <w:rPr>
          <w:color w:val="0D0D0D"/>
          <w:spacing w:val="-7"/>
          <w:sz w:val="18"/>
        </w:rPr>
        <w:t> </w:t>
      </w:r>
      <w:r>
        <w:rPr>
          <w:color w:val="0D0D0D"/>
          <w:sz w:val="18"/>
        </w:rPr>
        <w:t>of</w:t>
      </w:r>
      <w:r>
        <w:rPr>
          <w:color w:val="0D0D0D"/>
          <w:spacing w:val="-7"/>
          <w:sz w:val="18"/>
        </w:rPr>
        <w:t> </w:t>
      </w:r>
      <w:r>
        <w:rPr>
          <w:color w:val="0D0D0D"/>
          <w:sz w:val="18"/>
        </w:rPr>
        <w:t>Investment </w:t>
      </w:r>
      <w:r>
        <w:rPr>
          <w:color w:val="0D0D0D"/>
          <w:spacing w:val="-2"/>
          <w:sz w:val="18"/>
        </w:rPr>
        <w:t>Disputes</w:t>
      </w:r>
    </w:p>
    <w:p>
      <w:pPr>
        <w:spacing w:before="98"/>
        <w:ind w:left="720" w:right="0" w:firstLine="0"/>
        <w:jc w:val="left"/>
        <w:rPr>
          <w:sz w:val="18"/>
        </w:rPr>
      </w:pPr>
      <w:r>
        <w:rPr>
          <w:b/>
          <w:sz w:val="18"/>
        </w:rPr>
        <w:t>IFC:</w:t>
      </w:r>
      <w:r>
        <w:rPr>
          <w:b/>
          <w:spacing w:val="-2"/>
          <w:sz w:val="18"/>
        </w:rPr>
        <w:t> </w:t>
      </w:r>
      <w:r>
        <w:rPr>
          <w:sz w:val="18"/>
        </w:rPr>
        <w:t>International</w:t>
      </w:r>
      <w:r>
        <w:rPr>
          <w:spacing w:val="-1"/>
          <w:sz w:val="18"/>
        </w:rPr>
        <w:t> </w:t>
      </w:r>
      <w:r>
        <w:rPr>
          <w:sz w:val="18"/>
        </w:rPr>
        <w:t>Finance</w:t>
      </w:r>
      <w:r>
        <w:rPr>
          <w:spacing w:val="-1"/>
          <w:sz w:val="18"/>
        </w:rPr>
        <w:t> </w:t>
      </w:r>
      <w:r>
        <w:rPr>
          <w:spacing w:val="-2"/>
          <w:sz w:val="18"/>
        </w:rPr>
        <w:t>Corporation</w:t>
      </w:r>
    </w:p>
    <w:p>
      <w:pPr>
        <w:spacing w:before="93"/>
        <w:ind w:left="720" w:right="0" w:firstLine="0"/>
        <w:jc w:val="left"/>
        <w:rPr>
          <w:sz w:val="18"/>
        </w:rPr>
      </w:pPr>
      <w:r>
        <w:rPr>
          <w:b/>
          <w:sz w:val="18"/>
        </w:rPr>
        <w:t>IDA:</w:t>
      </w:r>
      <w:r>
        <w:rPr>
          <w:b/>
          <w:spacing w:val="-5"/>
          <w:sz w:val="18"/>
        </w:rPr>
        <w:t> </w:t>
      </w:r>
      <w:r>
        <w:rPr>
          <w:sz w:val="18"/>
        </w:rPr>
        <w:t>International</w:t>
      </w:r>
      <w:r>
        <w:rPr>
          <w:spacing w:val="-1"/>
          <w:sz w:val="18"/>
        </w:rPr>
        <w:t> </w:t>
      </w:r>
      <w:r>
        <w:rPr>
          <w:sz w:val="18"/>
        </w:rPr>
        <w:t>Development</w:t>
      </w:r>
      <w:r>
        <w:rPr>
          <w:spacing w:val="-1"/>
          <w:sz w:val="18"/>
        </w:rPr>
        <w:t> </w:t>
      </w:r>
      <w:r>
        <w:rPr>
          <w:spacing w:val="-2"/>
          <w:sz w:val="18"/>
        </w:rPr>
        <w:t>Association</w:t>
      </w:r>
    </w:p>
    <w:p>
      <w:pPr>
        <w:spacing w:before="93"/>
        <w:ind w:left="720" w:right="0" w:firstLine="0"/>
        <w:jc w:val="left"/>
        <w:rPr>
          <w:sz w:val="18"/>
        </w:rPr>
      </w:pPr>
      <w:r>
        <w:rPr>
          <w:b/>
          <w:sz w:val="18"/>
        </w:rPr>
        <w:t>IFFIm:</w:t>
      </w:r>
      <w:r>
        <w:rPr>
          <w:b/>
          <w:spacing w:val="-2"/>
          <w:sz w:val="18"/>
        </w:rPr>
        <w:t> </w:t>
      </w:r>
      <w:r>
        <w:rPr>
          <w:sz w:val="18"/>
        </w:rPr>
        <w:t>International</w:t>
      </w:r>
      <w:r>
        <w:rPr>
          <w:spacing w:val="-1"/>
          <w:sz w:val="18"/>
        </w:rPr>
        <w:t> </w:t>
      </w:r>
      <w:r>
        <w:rPr>
          <w:sz w:val="18"/>
        </w:rPr>
        <w:t>Finance</w:t>
      </w:r>
      <w:r>
        <w:rPr>
          <w:spacing w:val="-1"/>
          <w:sz w:val="18"/>
        </w:rPr>
        <w:t> </w:t>
      </w:r>
      <w:r>
        <w:rPr>
          <w:sz w:val="18"/>
        </w:rPr>
        <w:t>Facility</w:t>
      </w:r>
      <w:r>
        <w:rPr>
          <w:spacing w:val="-1"/>
          <w:sz w:val="18"/>
        </w:rPr>
        <w:t> </w:t>
      </w:r>
      <w:r>
        <w:rPr>
          <w:sz w:val="18"/>
        </w:rPr>
        <w:t>for </w:t>
      </w:r>
      <w:r>
        <w:rPr>
          <w:spacing w:val="-2"/>
          <w:sz w:val="18"/>
        </w:rPr>
        <w:t>Immunization</w:t>
      </w:r>
    </w:p>
    <w:p>
      <w:pPr>
        <w:spacing w:line="348" w:lineRule="auto" w:before="129"/>
        <w:ind w:left="679" w:right="2045" w:firstLine="0"/>
        <w:jc w:val="left"/>
        <w:rPr>
          <w:sz w:val="18"/>
        </w:rPr>
      </w:pPr>
      <w:r>
        <w:rPr/>
        <w:br w:type="column"/>
      </w:r>
      <w:r>
        <w:rPr>
          <w:b/>
          <w:sz w:val="18"/>
        </w:rPr>
        <w:t>IPF: </w:t>
      </w:r>
      <w:r>
        <w:rPr>
          <w:sz w:val="18"/>
        </w:rPr>
        <w:t>Investment Project Financing </w:t>
      </w:r>
      <w:r>
        <w:rPr>
          <w:b/>
          <w:sz w:val="18"/>
        </w:rPr>
        <w:t>LIBID: </w:t>
      </w:r>
      <w:r>
        <w:rPr>
          <w:sz w:val="18"/>
        </w:rPr>
        <w:t>London Interbank Bid Rate </w:t>
      </w:r>
      <w:r>
        <w:rPr>
          <w:b/>
          <w:sz w:val="18"/>
        </w:rPr>
        <w:t>LIBOR:</w:t>
      </w:r>
      <w:r>
        <w:rPr>
          <w:b/>
          <w:spacing w:val="-11"/>
          <w:sz w:val="18"/>
        </w:rPr>
        <w:t> </w:t>
      </w:r>
      <w:r>
        <w:rPr>
          <w:sz w:val="18"/>
        </w:rPr>
        <w:t>London</w:t>
      </w:r>
      <w:r>
        <w:rPr>
          <w:spacing w:val="-10"/>
          <w:sz w:val="18"/>
        </w:rPr>
        <w:t> </w:t>
      </w:r>
      <w:r>
        <w:rPr>
          <w:sz w:val="18"/>
        </w:rPr>
        <w:t>Interbank</w:t>
      </w:r>
      <w:r>
        <w:rPr>
          <w:spacing w:val="-10"/>
          <w:sz w:val="18"/>
        </w:rPr>
        <w:t> </w:t>
      </w:r>
      <w:r>
        <w:rPr>
          <w:sz w:val="18"/>
        </w:rPr>
        <w:t>Offered</w:t>
      </w:r>
      <w:r>
        <w:rPr>
          <w:spacing w:val="-10"/>
          <w:sz w:val="18"/>
        </w:rPr>
        <w:t> </w:t>
      </w:r>
      <w:r>
        <w:rPr>
          <w:sz w:val="18"/>
        </w:rPr>
        <w:t>Rate </w:t>
      </w:r>
      <w:r>
        <w:rPr>
          <w:b/>
          <w:sz w:val="18"/>
        </w:rPr>
        <w:t>LLP: </w:t>
      </w:r>
      <w:r>
        <w:rPr>
          <w:sz w:val="18"/>
        </w:rPr>
        <w:t>Loan Loss Provision</w:t>
      </w:r>
    </w:p>
    <w:p>
      <w:pPr>
        <w:spacing w:line="206" w:lineRule="exact" w:before="0"/>
        <w:ind w:left="679" w:right="0" w:firstLine="0"/>
        <w:jc w:val="left"/>
        <w:rPr>
          <w:sz w:val="18"/>
        </w:rPr>
      </w:pPr>
      <w:r>
        <w:rPr>
          <w:b/>
          <w:sz w:val="18"/>
        </w:rPr>
        <w:t>LTRRO:</w:t>
      </w:r>
      <w:r>
        <w:rPr>
          <w:b/>
          <w:spacing w:val="-2"/>
          <w:sz w:val="18"/>
        </w:rPr>
        <w:t> </w:t>
      </w:r>
      <w:r>
        <w:rPr>
          <w:sz w:val="18"/>
        </w:rPr>
        <w:t>Long-Term Real</w:t>
      </w:r>
      <w:r>
        <w:rPr>
          <w:spacing w:val="-1"/>
          <w:sz w:val="18"/>
        </w:rPr>
        <w:t> </w:t>
      </w:r>
      <w:r>
        <w:rPr>
          <w:sz w:val="18"/>
        </w:rPr>
        <w:t>Return </w:t>
      </w:r>
      <w:r>
        <w:rPr>
          <w:spacing w:val="-2"/>
          <w:sz w:val="18"/>
        </w:rPr>
        <w:t>Objective</w:t>
      </w:r>
    </w:p>
    <w:p>
      <w:pPr>
        <w:spacing w:before="93"/>
        <w:ind w:left="679" w:right="0" w:firstLine="0"/>
        <w:jc w:val="left"/>
        <w:rPr>
          <w:sz w:val="18"/>
        </w:rPr>
      </w:pPr>
      <w:r>
        <w:rPr>
          <w:b/>
          <w:sz w:val="18"/>
        </w:rPr>
        <w:t>MDB:</w:t>
      </w:r>
      <w:r>
        <w:rPr>
          <w:b/>
          <w:spacing w:val="-2"/>
          <w:sz w:val="18"/>
        </w:rPr>
        <w:t> </w:t>
      </w:r>
      <w:r>
        <w:rPr>
          <w:sz w:val="18"/>
        </w:rPr>
        <w:t>Multilateral</w:t>
      </w:r>
      <w:r>
        <w:rPr>
          <w:spacing w:val="-1"/>
          <w:sz w:val="18"/>
        </w:rPr>
        <w:t> </w:t>
      </w:r>
      <w:r>
        <w:rPr>
          <w:sz w:val="18"/>
        </w:rPr>
        <w:t>Development</w:t>
      </w:r>
      <w:r>
        <w:rPr>
          <w:spacing w:val="-1"/>
          <w:sz w:val="18"/>
        </w:rPr>
        <w:t> </w:t>
      </w:r>
      <w:r>
        <w:rPr>
          <w:spacing w:val="-4"/>
          <w:sz w:val="18"/>
        </w:rPr>
        <w:t>Bank</w:t>
      </w:r>
    </w:p>
    <w:p>
      <w:pPr>
        <w:spacing w:line="208" w:lineRule="auto" w:before="114"/>
        <w:ind w:left="679" w:right="521" w:firstLine="0"/>
        <w:jc w:val="left"/>
        <w:rPr>
          <w:sz w:val="18"/>
        </w:rPr>
      </w:pPr>
      <w:r>
        <w:rPr>
          <w:b/>
          <w:sz w:val="18"/>
        </w:rPr>
        <w:t>MDCAO:</w:t>
      </w:r>
      <w:r>
        <w:rPr>
          <w:b/>
          <w:spacing w:val="40"/>
          <w:sz w:val="18"/>
        </w:rPr>
        <w:t> </w:t>
      </w:r>
      <w:r>
        <w:rPr>
          <w:sz w:val="18"/>
        </w:rPr>
        <w:t>Managing</w:t>
      </w:r>
      <w:r>
        <w:rPr>
          <w:spacing w:val="40"/>
          <w:sz w:val="18"/>
        </w:rPr>
        <w:t> </w:t>
      </w:r>
      <w:r>
        <w:rPr>
          <w:sz w:val="18"/>
        </w:rPr>
        <w:t>Director</w:t>
      </w:r>
      <w:r>
        <w:rPr>
          <w:spacing w:val="40"/>
          <w:sz w:val="18"/>
        </w:rPr>
        <w:t> </w:t>
      </w:r>
      <w:r>
        <w:rPr>
          <w:sz w:val="18"/>
        </w:rPr>
        <w:t>and</w:t>
      </w:r>
      <w:r>
        <w:rPr>
          <w:spacing w:val="40"/>
          <w:sz w:val="18"/>
        </w:rPr>
        <w:t> </w:t>
      </w:r>
      <w:r>
        <w:rPr>
          <w:sz w:val="18"/>
        </w:rPr>
        <w:t>World</w:t>
      </w:r>
      <w:r>
        <w:rPr>
          <w:spacing w:val="40"/>
          <w:sz w:val="18"/>
        </w:rPr>
        <w:t> </w:t>
      </w:r>
      <w:r>
        <w:rPr>
          <w:sz w:val="18"/>
        </w:rPr>
        <w:t>Bank</w:t>
      </w:r>
      <w:r>
        <w:rPr>
          <w:spacing w:val="40"/>
          <w:sz w:val="18"/>
        </w:rPr>
        <w:t> </w:t>
      </w:r>
      <w:r>
        <w:rPr>
          <w:sz w:val="18"/>
        </w:rPr>
        <w:t>Group Chief Administrative Officer</w:t>
      </w:r>
    </w:p>
    <w:p>
      <w:pPr>
        <w:spacing w:line="208" w:lineRule="auto" w:before="120"/>
        <w:ind w:left="679" w:right="521" w:firstLine="0"/>
        <w:jc w:val="left"/>
        <w:rPr>
          <w:sz w:val="18"/>
        </w:rPr>
      </w:pPr>
      <w:r>
        <w:rPr>
          <w:b/>
          <w:sz w:val="18"/>
        </w:rPr>
        <w:t>MDCFO:</w:t>
      </w:r>
      <w:r>
        <w:rPr>
          <w:b/>
          <w:spacing w:val="40"/>
          <w:sz w:val="18"/>
        </w:rPr>
        <w:t> </w:t>
      </w:r>
      <w:r>
        <w:rPr>
          <w:sz w:val="18"/>
        </w:rPr>
        <w:t>Managing</w:t>
      </w:r>
      <w:r>
        <w:rPr>
          <w:spacing w:val="40"/>
          <w:sz w:val="18"/>
        </w:rPr>
        <w:t> </w:t>
      </w:r>
      <w:r>
        <w:rPr>
          <w:sz w:val="18"/>
        </w:rPr>
        <w:t>Director</w:t>
      </w:r>
      <w:r>
        <w:rPr>
          <w:spacing w:val="40"/>
          <w:sz w:val="18"/>
        </w:rPr>
        <w:t> </w:t>
      </w:r>
      <w:r>
        <w:rPr>
          <w:sz w:val="18"/>
        </w:rPr>
        <w:t>and</w:t>
      </w:r>
      <w:r>
        <w:rPr>
          <w:spacing w:val="40"/>
          <w:sz w:val="18"/>
        </w:rPr>
        <w:t> </w:t>
      </w:r>
      <w:r>
        <w:rPr>
          <w:sz w:val="18"/>
        </w:rPr>
        <w:t>World</w:t>
      </w:r>
      <w:r>
        <w:rPr>
          <w:spacing w:val="40"/>
          <w:sz w:val="18"/>
        </w:rPr>
        <w:t> </w:t>
      </w:r>
      <w:r>
        <w:rPr>
          <w:sz w:val="18"/>
        </w:rPr>
        <w:t>Bank</w:t>
      </w:r>
      <w:r>
        <w:rPr>
          <w:spacing w:val="40"/>
          <w:sz w:val="18"/>
        </w:rPr>
        <w:t> </w:t>
      </w:r>
      <w:r>
        <w:rPr>
          <w:sz w:val="18"/>
        </w:rPr>
        <w:t>Group Chief Financial Officer</w:t>
      </w:r>
    </w:p>
    <w:p>
      <w:pPr>
        <w:spacing w:before="98"/>
        <w:ind w:left="679" w:right="0" w:firstLine="0"/>
        <w:jc w:val="left"/>
        <w:rPr>
          <w:sz w:val="18"/>
        </w:rPr>
      </w:pPr>
      <w:r>
        <w:rPr>
          <w:b/>
          <w:sz w:val="18"/>
        </w:rPr>
        <w:t>MIGA:</w:t>
      </w:r>
      <w:r>
        <w:rPr>
          <w:b/>
          <w:spacing w:val="-3"/>
          <w:sz w:val="18"/>
        </w:rPr>
        <w:t> </w:t>
      </w:r>
      <w:r>
        <w:rPr>
          <w:sz w:val="18"/>
        </w:rPr>
        <w:t>Multilateral</w:t>
      </w:r>
      <w:r>
        <w:rPr>
          <w:spacing w:val="-1"/>
          <w:sz w:val="18"/>
        </w:rPr>
        <w:t> </w:t>
      </w:r>
      <w:r>
        <w:rPr>
          <w:sz w:val="18"/>
        </w:rPr>
        <w:t>Investment</w:t>
      </w:r>
      <w:r>
        <w:rPr>
          <w:spacing w:val="-1"/>
          <w:sz w:val="18"/>
        </w:rPr>
        <w:t> </w:t>
      </w:r>
      <w:r>
        <w:rPr>
          <w:sz w:val="18"/>
        </w:rPr>
        <w:t>Guarantee</w:t>
      </w:r>
      <w:r>
        <w:rPr>
          <w:spacing w:val="-1"/>
          <w:sz w:val="18"/>
        </w:rPr>
        <w:t> </w:t>
      </w:r>
      <w:r>
        <w:rPr>
          <w:spacing w:val="-2"/>
          <w:sz w:val="18"/>
        </w:rPr>
        <w:t>Agency</w:t>
      </w:r>
    </w:p>
    <w:p>
      <w:pPr>
        <w:spacing w:before="93"/>
        <w:ind w:left="679" w:right="0" w:firstLine="0"/>
        <w:jc w:val="left"/>
        <w:rPr>
          <w:sz w:val="18"/>
        </w:rPr>
      </w:pPr>
      <w:r>
        <w:rPr>
          <w:b/>
          <w:sz w:val="18"/>
        </w:rPr>
        <w:t>MOV:</w:t>
      </w:r>
      <w:r>
        <w:rPr>
          <w:b/>
          <w:spacing w:val="-4"/>
          <w:sz w:val="18"/>
        </w:rPr>
        <w:t> </w:t>
      </w:r>
      <w:r>
        <w:rPr>
          <w:sz w:val="18"/>
        </w:rPr>
        <w:t>Maintenance-Of-</w:t>
      </w:r>
      <w:r>
        <w:rPr>
          <w:spacing w:val="-2"/>
          <w:sz w:val="18"/>
        </w:rPr>
        <w:t>Value</w:t>
      </w:r>
    </w:p>
    <w:p>
      <w:pPr>
        <w:spacing w:before="93"/>
        <w:ind w:left="679" w:right="0" w:firstLine="0"/>
        <w:jc w:val="left"/>
        <w:rPr>
          <w:sz w:val="18"/>
        </w:rPr>
      </w:pPr>
      <w:r>
        <w:rPr>
          <w:b/>
          <w:sz w:val="18"/>
        </w:rPr>
        <w:t>NBC:</w:t>
      </w:r>
      <w:r>
        <w:rPr>
          <w:b/>
          <w:spacing w:val="-3"/>
          <w:sz w:val="18"/>
        </w:rPr>
        <w:t> </w:t>
      </w:r>
      <w:r>
        <w:rPr>
          <w:sz w:val="18"/>
        </w:rPr>
        <w:t>New</w:t>
      </w:r>
      <w:r>
        <w:rPr>
          <w:spacing w:val="-3"/>
          <w:sz w:val="18"/>
        </w:rPr>
        <w:t> </w:t>
      </w:r>
      <w:r>
        <w:rPr>
          <w:sz w:val="18"/>
        </w:rPr>
        <w:t>Business</w:t>
      </w:r>
      <w:r>
        <w:rPr>
          <w:spacing w:val="-2"/>
          <w:sz w:val="18"/>
        </w:rPr>
        <w:t> Committee</w:t>
      </w:r>
    </w:p>
    <w:p>
      <w:pPr>
        <w:spacing w:before="93"/>
        <w:ind w:left="679" w:right="0" w:firstLine="0"/>
        <w:jc w:val="left"/>
        <w:rPr>
          <w:sz w:val="18"/>
        </w:rPr>
      </w:pPr>
      <w:r>
        <w:rPr>
          <w:b/>
          <w:sz w:val="18"/>
        </w:rPr>
        <w:t>NCPIC:</w:t>
      </w:r>
      <w:r>
        <w:rPr>
          <w:b/>
          <w:spacing w:val="-3"/>
          <w:sz w:val="18"/>
        </w:rPr>
        <w:t> </w:t>
      </w:r>
      <w:r>
        <w:rPr>
          <w:sz w:val="18"/>
        </w:rPr>
        <w:t>National</w:t>
      </w:r>
      <w:r>
        <w:rPr>
          <w:spacing w:val="-1"/>
          <w:sz w:val="18"/>
        </w:rPr>
        <w:t> </w:t>
      </w:r>
      <w:r>
        <w:rPr>
          <w:sz w:val="18"/>
        </w:rPr>
        <w:t>Currency</w:t>
      </w:r>
      <w:r>
        <w:rPr>
          <w:spacing w:val="-2"/>
          <w:sz w:val="18"/>
        </w:rPr>
        <w:t> </w:t>
      </w:r>
      <w:r>
        <w:rPr>
          <w:sz w:val="18"/>
        </w:rPr>
        <w:t>Paid-in</w:t>
      </w:r>
      <w:r>
        <w:rPr>
          <w:spacing w:val="-1"/>
          <w:sz w:val="18"/>
        </w:rPr>
        <w:t> </w:t>
      </w:r>
      <w:r>
        <w:rPr>
          <w:spacing w:val="-2"/>
          <w:sz w:val="18"/>
        </w:rPr>
        <w:t>Capital</w:t>
      </w:r>
    </w:p>
    <w:p>
      <w:pPr>
        <w:spacing w:before="93"/>
        <w:ind w:left="679" w:right="0" w:firstLine="0"/>
        <w:jc w:val="left"/>
        <w:rPr>
          <w:sz w:val="18"/>
        </w:rPr>
      </w:pPr>
      <w:r>
        <w:rPr>
          <w:b/>
          <w:sz w:val="18"/>
        </w:rPr>
        <w:t>ORC:</w:t>
      </w:r>
      <w:r>
        <w:rPr>
          <w:b/>
          <w:spacing w:val="-3"/>
          <w:sz w:val="18"/>
        </w:rPr>
        <w:t> </w:t>
      </w:r>
      <w:r>
        <w:rPr>
          <w:sz w:val="18"/>
        </w:rPr>
        <w:t>Operational</w:t>
      </w:r>
      <w:r>
        <w:rPr>
          <w:spacing w:val="-1"/>
          <w:sz w:val="18"/>
        </w:rPr>
        <w:t> </w:t>
      </w:r>
      <w:r>
        <w:rPr>
          <w:sz w:val="18"/>
        </w:rPr>
        <w:t>Risk</w:t>
      </w:r>
      <w:r>
        <w:rPr>
          <w:spacing w:val="-1"/>
          <w:sz w:val="18"/>
        </w:rPr>
        <w:t> </w:t>
      </w:r>
      <w:r>
        <w:rPr>
          <w:spacing w:val="-2"/>
          <w:sz w:val="18"/>
        </w:rPr>
        <w:t>Committee</w:t>
      </w:r>
    </w:p>
    <w:p>
      <w:pPr>
        <w:spacing w:before="93"/>
        <w:ind w:left="679" w:right="0" w:firstLine="0"/>
        <w:jc w:val="left"/>
        <w:rPr>
          <w:sz w:val="18"/>
        </w:rPr>
      </w:pPr>
      <w:r>
        <w:rPr>
          <w:b/>
          <w:sz w:val="18"/>
        </w:rPr>
        <w:t>PBAC:</w:t>
      </w:r>
      <w:r>
        <w:rPr>
          <w:b/>
          <w:spacing w:val="-3"/>
          <w:sz w:val="18"/>
        </w:rPr>
        <w:t> </w:t>
      </w:r>
      <w:r>
        <w:rPr>
          <w:sz w:val="18"/>
        </w:rPr>
        <w:t>Pension</w:t>
      </w:r>
      <w:r>
        <w:rPr>
          <w:spacing w:val="-1"/>
          <w:sz w:val="18"/>
        </w:rPr>
        <w:t> </w:t>
      </w:r>
      <w:r>
        <w:rPr>
          <w:sz w:val="18"/>
        </w:rPr>
        <w:t>Benefits</w:t>
      </w:r>
      <w:r>
        <w:rPr>
          <w:spacing w:val="-3"/>
          <w:sz w:val="18"/>
        </w:rPr>
        <w:t> </w:t>
      </w:r>
      <w:r>
        <w:rPr>
          <w:sz w:val="18"/>
        </w:rPr>
        <w:t>Administration</w:t>
      </w:r>
      <w:r>
        <w:rPr>
          <w:spacing w:val="-1"/>
          <w:sz w:val="18"/>
        </w:rPr>
        <w:t> </w:t>
      </w:r>
      <w:r>
        <w:rPr>
          <w:spacing w:val="-2"/>
          <w:sz w:val="18"/>
        </w:rPr>
        <w:t>Committee</w:t>
      </w:r>
    </w:p>
    <w:p>
      <w:pPr>
        <w:spacing w:before="93"/>
        <w:ind w:left="679" w:right="0" w:firstLine="0"/>
        <w:jc w:val="left"/>
        <w:rPr>
          <w:sz w:val="18"/>
        </w:rPr>
      </w:pPr>
      <w:r>
        <w:rPr>
          <w:b/>
          <w:sz w:val="18"/>
        </w:rPr>
        <w:t>PBO:</w:t>
      </w:r>
      <w:r>
        <w:rPr>
          <w:b/>
          <w:spacing w:val="-2"/>
          <w:sz w:val="18"/>
        </w:rPr>
        <w:t> </w:t>
      </w:r>
      <w:r>
        <w:rPr>
          <w:sz w:val="18"/>
        </w:rPr>
        <w:t>Pension</w:t>
      </w:r>
      <w:r>
        <w:rPr>
          <w:spacing w:val="-1"/>
          <w:sz w:val="18"/>
        </w:rPr>
        <w:t> </w:t>
      </w:r>
      <w:r>
        <w:rPr>
          <w:sz w:val="18"/>
        </w:rPr>
        <w:t>Benefit </w:t>
      </w:r>
      <w:r>
        <w:rPr>
          <w:spacing w:val="-2"/>
          <w:sz w:val="18"/>
        </w:rPr>
        <w:t>Obligation</w:t>
      </w:r>
    </w:p>
    <w:p>
      <w:pPr>
        <w:spacing w:before="93"/>
        <w:ind w:left="679" w:right="0" w:firstLine="0"/>
        <w:jc w:val="left"/>
        <w:rPr>
          <w:sz w:val="18"/>
        </w:rPr>
      </w:pPr>
      <w:r>
        <w:rPr>
          <w:b/>
          <w:sz w:val="18"/>
        </w:rPr>
        <w:t>PCRF:</w:t>
      </w:r>
      <w:r>
        <w:rPr>
          <w:b/>
          <w:spacing w:val="-2"/>
          <w:sz w:val="18"/>
        </w:rPr>
        <w:t> </w:t>
      </w:r>
      <w:r>
        <w:rPr>
          <w:sz w:val="18"/>
        </w:rPr>
        <w:t>Post</w:t>
      </w:r>
      <w:r>
        <w:rPr>
          <w:spacing w:val="-1"/>
          <w:sz w:val="18"/>
        </w:rPr>
        <w:t> </w:t>
      </w:r>
      <w:r>
        <w:rPr>
          <w:sz w:val="18"/>
        </w:rPr>
        <w:t>Retirement</w:t>
      </w:r>
      <w:r>
        <w:rPr>
          <w:spacing w:val="-1"/>
          <w:sz w:val="18"/>
        </w:rPr>
        <w:t> </w:t>
      </w:r>
      <w:r>
        <w:rPr>
          <w:sz w:val="18"/>
        </w:rPr>
        <w:t>Contribution</w:t>
      </w:r>
      <w:r>
        <w:rPr>
          <w:spacing w:val="-1"/>
          <w:sz w:val="18"/>
        </w:rPr>
        <w:t> </w:t>
      </w:r>
      <w:r>
        <w:rPr>
          <w:sz w:val="18"/>
        </w:rPr>
        <w:t>Reserve</w:t>
      </w:r>
      <w:r>
        <w:rPr>
          <w:spacing w:val="-1"/>
          <w:sz w:val="18"/>
        </w:rPr>
        <w:t> </w:t>
      </w:r>
      <w:r>
        <w:rPr>
          <w:spacing w:val="-4"/>
          <w:sz w:val="18"/>
        </w:rPr>
        <w:t>Fund</w:t>
      </w:r>
    </w:p>
    <w:p>
      <w:pPr>
        <w:spacing w:line="348" w:lineRule="auto" w:before="93"/>
        <w:ind w:left="679" w:right="2045" w:firstLine="0"/>
        <w:jc w:val="left"/>
        <w:rPr>
          <w:sz w:val="18"/>
        </w:rPr>
      </w:pPr>
      <w:r>
        <w:rPr>
          <w:b/>
          <w:sz w:val="18"/>
        </w:rPr>
        <w:t>PEBP:</w:t>
      </w:r>
      <w:r>
        <w:rPr>
          <w:b/>
          <w:spacing w:val="-12"/>
          <w:sz w:val="18"/>
        </w:rPr>
        <w:t> </w:t>
      </w:r>
      <w:r>
        <w:rPr>
          <w:sz w:val="18"/>
        </w:rPr>
        <w:t>Post-Employment</w:t>
      </w:r>
      <w:r>
        <w:rPr>
          <w:spacing w:val="-11"/>
          <w:sz w:val="18"/>
        </w:rPr>
        <w:t> </w:t>
      </w:r>
      <w:r>
        <w:rPr>
          <w:sz w:val="18"/>
        </w:rPr>
        <w:t>Benefit</w:t>
      </w:r>
      <w:r>
        <w:rPr>
          <w:spacing w:val="-11"/>
          <w:sz w:val="18"/>
        </w:rPr>
        <w:t> </w:t>
      </w:r>
      <w:r>
        <w:rPr>
          <w:sz w:val="18"/>
        </w:rPr>
        <w:t>Plan </w:t>
      </w:r>
      <w:r>
        <w:rPr>
          <w:b/>
          <w:sz w:val="18"/>
        </w:rPr>
        <w:t>PFC: </w:t>
      </w:r>
      <w:r>
        <w:rPr>
          <w:sz w:val="18"/>
        </w:rPr>
        <w:t>Pension Finance Committee </w:t>
      </w:r>
      <w:r>
        <w:rPr>
          <w:b/>
          <w:sz w:val="18"/>
        </w:rPr>
        <w:t>PforR: </w:t>
      </w:r>
      <w:r>
        <w:rPr>
          <w:sz w:val="18"/>
        </w:rPr>
        <w:t>Program-for-Results</w:t>
      </w:r>
    </w:p>
    <w:p>
      <w:pPr>
        <w:spacing w:line="207" w:lineRule="exact" w:before="0"/>
        <w:ind w:left="679" w:right="0" w:firstLine="0"/>
        <w:jc w:val="left"/>
        <w:rPr>
          <w:sz w:val="18"/>
        </w:rPr>
      </w:pPr>
      <w:r>
        <w:rPr>
          <w:b/>
          <w:sz w:val="18"/>
        </w:rPr>
        <w:t>RAS:</w:t>
      </w:r>
      <w:r>
        <w:rPr>
          <w:b/>
          <w:spacing w:val="-3"/>
          <w:sz w:val="18"/>
        </w:rPr>
        <w:t> </w:t>
      </w:r>
      <w:r>
        <w:rPr>
          <w:sz w:val="18"/>
        </w:rPr>
        <w:t>Reimbursable</w:t>
      </w:r>
      <w:r>
        <w:rPr>
          <w:spacing w:val="-2"/>
          <w:sz w:val="18"/>
        </w:rPr>
        <w:t> </w:t>
      </w:r>
      <w:r>
        <w:rPr>
          <w:sz w:val="18"/>
        </w:rPr>
        <w:t>Advisory</w:t>
      </w:r>
      <w:r>
        <w:rPr>
          <w:spacing w:val="-2"/>
          <w:sz w:val="18"/>
        </w:rPr>
        <w:t> Services</w:t>
      </w:r>
    </w:p>
    <w:p>
      <w:pPr>
        <w:spacing w:before="93"/>
        <w:ind w:left="679" w:right="0" w:firstLine="0"/>
        <w:jc w:val="left"/>
        <w:rPr>
          <w:sz w:val="18"/>
        </w:rPr>
      </w:pPr>
      <w:r>
        <w:rPr>
          <w:b/>
          <w:sz w:val="18"/>
        </w:rPr>
        <w:t>RAMP:</w:t>
      </w:r>
      <w:r>
        <w:rPr>
          <w:b/>
          <w:spacing w:val="-3"/>
          <w:sz w:val="18"/>
        </w:rPr>
        <w:t> </w:t>
      </w:r>
      <w:r>
        <w:rPr>
          <w:sz w:val="18"/>
        </w:rPr>
        <w:t>Reserves</w:t>
      </w:r>
      <w:r>
        <w:rPr>
          <w:spacing w:val="-2"/>
          <w:sz w:val="18"/>
        </w:rPr>
        <w:t> </w:t>
      </w:r>
      <w:r>
        <w:rPr>
          <w:sz w:val="18"/>
        </w:rPr>
        <w:t>Advisory</w:t>
      </w:r>
      <w:r>
        <w:rPr>
          <w:spacing w:val="-2"/>
          <w:sz w:val="18"/>
        </w:rPr>
        <w:t> </w:t>
      </w:r>
      <w:r>
        <w:rPr>
          <w:sz w:val="18"/>
        </w:rPr>
        <w:t>Management</w:t>
      </w:r>
      <w:r>
        <w:rPr>
          <w:spacing w:val="-3"/>
          <w:sz w:val="18"/>
        </w:rPr>
        <w:t> </w:t>
      </w:r>
      <w:r>
        <w:rPr>
          <w:spacing w:val="-2"/>
          <w:sz w:val="18"/>
        </w:rPr>
        <w:t>Partnership</w:t>
      </w:r>
    </w:p>
    <w:p>
      <w:pPr>
        <w:spacing w:before="93"/>
        <w:ind w:left="679" w:right="0" w:firstLine="0"/>
        <w:jc w:val="left"/>
        <w:rPr>
          <w:sz w:val="18"/>
        </w:rPr>
      </w:pPr>
      <w:r>
        <w:rPr>
          <w:b/>
          <w:sz w:val="18"/>
        </w:rPr>
        <w:t>RETF:</w:t>
      </w:r>
      <w:r>
        <w:rPr>
          <w:b/>
          <w:spacing w:val="-2"/>
          <w:sz w:val="18"/>
        </w:rPr>
        <w:t> </w:t>
      </w:r>
      <w:r>
        <w:rPr>
          <w:sz w:val="18"/>
        </w:rPr>
        <w:t>Recipient-Executed</w:t>
      </w:r>
      <w:r>
        <w:rPr>
          <w:spacing w:val="-3"/>
          <w:sz w:val="18"/>
        </w:rPr>
        <w:t> </w:t>
      </w:r>
      <w:r>
        <w:rPr>
          <w:sz w:val="18"/>
        </w:rPr>
        <w:t>Trust </w:t>
      </w:r>
      <w:r>
        <w:rPr>
          <w:spacing w:val="-2"/>
          <w:sz w:val="18"/>
        </w:rPr>
        <w:t>Funds</w:t>
      </w:r>
    </w:p>
    <w:p>
      <w:pPr>
        <w:spacing w:before="93"/>
        <w:ind w:left="679" w:right="0" w:firstLine="0"/>
        <w:jc w:val="left"/>
        <w:rPr>
          <w:sz w:val="18"/>
        </w:rPr>
      </w:pPr>
      <w:r>
        <w:rPr>
          <w:b/>
          <w:sz w:val="18"/>
        </w:rPr>
        <w:t>RSBP</w:t>
      </w:r>
      <w:r>
        <w:rPr>
          <w:sz w:val="18"/>
        </w:rPr>
        <w:t>:</w:t>
      </w:r>
      <w:r>
        <w:rPr>
          <w:spacing w:val="-3"/>
          <w:sz w:val="18"/>
        </w:rPr>
        <w:t> </w:t>
      </w:r>
      <w:r>
        <w:rPr>
          <w:sz w:val="18"/>
        </w:rPr>
        <w:t>Retired</w:t>
      </w:r>
      <w:r>
        <w:rPr>
          <w:spacing w:val="-2"/>
          <w:sz w:val="18"/>
        </w:rPr>
        <w:t> </w:t>
      </w:r>
      <w:r>
        <w:rPr>
          <w:sz w:val="18"/>
        </w:rPr>
        <w:t>Staff</w:t>
      </w:r>
      <w:r>
        <w:rPr>
          <w:spacing w:val="-1"/>
          <w:sz w:val="18"/>
        </w:rPr>
        <w:t> </w:t>
      </w:r>
      <w:r>
        <w:rPr>
          <w:sz w:val="18"/>
        </w:rPr>
        <w:t>Benefits</w:t>
      </w:r>
      <w:r>
        <w:rPr>
          <w:spacing w:val="-1"/>
          <w:sz w:val="18"/>
        </w:rPr>
        <w:t> </w:t>
      </w:r>
      <w:r>
        <w:rPr>
          <w:spacing w:val="-4"/>
          <w:sz w:val="18"/>
        </w:rPr>
        <w:t>Plan</w:t>
      </w:r>
    </w:p>
    <w:p>
      <w:pPr>
        <w:spacing w:before="93"/>
        <w:ind w:left="679" w:right="0" w:firstLine="0"/>
        <w:jc w:val="left"/>
        <w:rPr>
          <w:sz w:val="18"/>
        </w:rPr>
      </w:pPr>
      <w:r>
        <w:rPr>
          <w:b/>
          <w:sz w:val="18"/>
        </w:rPr>
        <w:t>SALL:</w:t>
      </w:r>
      <w:r>
        <w:rPr>
          <w:b/>
          <w:spacing w:val="-3"/>
          <w:sz w:val="18"/>
        </w:rPr>
        <w:t> </w:t>
      </w:r>
      <w:r>
        <w:rPr>
          <w:sz w:val="18"/>
        </w:rPr>
        <w:t>Sustainable</w:t>
      </w:r>
      <w:r>
        <w:rPr>
          <w:spacing w:val="-1"/>
          <w:sz w:val="18"/>
        </w:rPr>
        <w:t> </w:t>
      </w:r>
      <w:r>
        <w:rPr>
          <w:sz w:val="18"/>
        </w:rPr>
        <w:t>Annual</w:t>
      </w:r>
      <w:r>
        <w:rPr>
          <w:spacing w:val="-1"/>
          <w:sz w:val="18"/>
        </w:rPr>
        <w:t> </w:t>
      </w:r>
      <w:r>
        <w:rPr>
          <w:sz w:val="18"/>
        </w:rPr>
        <w:t>Lending</w:t>
      </w:r>
      <w:r>
        <w:rPr>
          <w:spacing w:val="-1"/>
          <w:sz w:val="18"/>
        </w:rPr>
        <w:t> </w:t>
      </w:r>
      <w:r>
        <w:rPr>
          <w:spacing w:val="-2"/>
          <w:sz w:val="18"/>
        </w:rPr>
        <w:t>Limit</w:t>
      </w:r>
    </w:p>
    <w:p>
      <w:pPr>
        <w:spacing w:before="93"/>
        <w:ind w:left="679" w:right="0" w:firstLine="0"/>
        <w:jc w:val="left"/>
        <w:rPr>
          <w:sz w:val="18"/>
        </w:rPr>
      </w:pPr>
      <w:r>
        <w:rPr>
          <w:b/>
          <w:sz w:val="18"/>
        </w:rPr>
        <w:t>SCI:</w:t>
      </w:r>
      <w:r>
        <w:rPr>
          <w:b/>
          <w:spacing w:val="-3"/>
          <w:sz w:val="18"/>
        </w:rPr>
        <w:t> </w:t>
      </w:r>
      <w:r>
        <w:rPr>
          <w:sz w:val="18"/>
        </w:rPr>
        <w:t>Selective</w:t>
      </w:r>
      <w:r>
        <w:rPr>
          <w:spacing w:val="-1"/>
          <w:sz w:val="18"/>
        </w:rPr>
        <w:t> </w:t>
      </w:r>
      <w:r>
        <w:rPr>
          <w:sz w:val="18"/>
        </w:rPr>
        <w:t>Capital</w:t>
      </w:r>
      <w:r>
        <w:rPr>
          <w:spacing w:val="-1"/>
          <w:sz w:val="18"/>
        </w:rPr>
        <w:t> </w:t>
      </w:r>
      <w:r>
        <w:rPr>
          <w:spacing w:val="-2"/>
          <w:sz w:val="18"/>
        </w:rPr>
        <w:t>Increase</w:t>
      </w:r>
    </w:p>
    <w:p>
      <w:pPr>
        <w:spacing w:before="93"/>
        <w:ind w:left="679" w:right="0" w:firstLine="0"/>
        <w:jc w:val="left"/>
        <w:rPr>
          <w:sz w:val="18"/>
        </w:rPr>
      </w:pPr>
      <w:r>
        <w:rPr>
          <w:b/>
          <w:sz w:val="18"/>
        </w:rPr>
        <w:t>SDPL:</w:t>
      </w:r>
      <w:r>
        <w:rPr>
          <w:b/>
          <w:spacing w:val="-3"/>
          <w:sz w:val="18"/>
        </w:rPr>
        <w:t> </w:t>
      </w:r>
      <w:r>
        <w:rPr>
          <w:sz w:val="18"/>
        </w:rPr>
        <w:t>Special</w:t>
      </w:r>
      <w:r>
        <w:rPr>
          <w:spacing w:val="-1"/>
          <w:sz w:val="18"/>
        </w:rPr>
        <w:t> </w:t>
      </w:r>
      <w:r>
        <w:rPr>
          <w:sz w:val="18"/>
        </w:rPr>
        <w:t>Development</w:t>
      </w:r>
      <w:r>
        <w:rPr>
          <w:spacing w:val="-1"/>
          <w:sz w:val="18"/>
        </w:rPr>
        <w:t> </w:t>
      </w:r>
      <w:r>
        <w:rPr>
          <w:sz w:val="18"/>
        </w:rPr>
        <w:t>Policy</w:t>
      </w:r>
      <w:r>
        <w:rPr>
          <w:spacing w:val="-1"/>
          <w:sz w:val="18"/>
        </w:rPr>
        <w:t> </w:t>
      </w:r>
      <w:r>
        <w:rPr>
          <w:spacing w:val="-2"/>
          <w:sz w:val="18"/>
        </w:rPr>
        <w:t>Loans</w:t>
      </w:r>
    </w:p>
    <w:p>
      <w:pPr>
        <w:spacing w:line="348" w:lineRule="auto" w:before="94"/>
        <w:ind w:left="679" w:right="2574" w:firstLine="0"/>
        <w:jc w:val="left"/>
        <w:rPr>
          <w:sz w:val="18"/>
        </w:rPr>
      </w:pPr>
      <w:r>
        <w:rPr>
          <w:b/>
          <w:sz w:val="18"/>
        </w:rPr>
        <w:t>SBL: </w:t>
      </w:r>
      <w:r>
        <w:rPr>
          <w:sz w:val="18"/>
        </w:rPr>
        <w:t>Single Borrower Limit </w:t>
      </w:r>
      <w:r>
        <w:rPr>
          <w:b/>
          <w:sz w:val="18"/>
        </w:rPr>
        <w:t>SLL:</w:t>
      </w:r>
      <w:r>
        <w:rPr>
          <w:b/>
          <w:spacing w:val="-12"/>
          <w:sz w:val="18"/>
        </w:rPr>
        <w:t> </w:t>
      </w:r>
      <w:r>
        <w:rPr>
          <w:sz w:val="18"/>
        </w:rPr>
        <w:t>Statutory</w:t>
      </w:r>
      <w:r>
        <w:rPr>
          <w:spacing w:val="-11"/>
          <w:sz w:val="18"/>
        </w:rPr>
        <w:t> </w:t>
      </w:r>
      <w:r>
        <w:rPr>
          <w:sz w:val="18"/>
        </w:rPr>
        <w:t>Lending</w:t>
      </w:r>
      <w:r>
        <w:rPr>
          <w:spacing w:val="-11"/>
          <w:sz w:val="18"/>
        </w:rPr>
        <w:t> </w:t>
      </w:r>
      <w:r>
        <w:rPr>
          <w:sz w:val="18"/>
        </w:rPr>
        <w:t>Limit </w:t>
      </w:r>
      <w:r>
        <w:rPr>
          <w:b/>
          <w:sz w:val="18"/>
        </w:rPr>
        <w:t>SRP: </w:t>
      </w:r>
      <w:r>
        <w:rPr>
          <w:sz w:val="18"/>
        </w:rPr>
        <w:t>Staff Retirement Plan</w:t>
      </w:r>
    </w:p>
    <w:p>
      <w:pPr>
        <w:spacing w:after="0" w:line="348" w:lineRule="auto"/>
        <w:jc w:val="left"/>
        <w:rPr>
          <w:sz w:val="18"/>
        </w:rPr>
        <w:sectPr>
          <w:type w:val="continuous"/>
          <w:pgSz w:w="12240" w:h="15840"/>
          <w:pgMar w:header="744" w:footer="583" w:top="1820" w:bottom="280" w:left="720" w:right="720"/>
          <w:cols w:num="2" w:equalWidth="0">
            <w:col w:w="5041" w:space="40"/>
            <w:col w:w="5719"/>
          </w:cols>
        </w:sectPr>
      </w:pPr>
    </w:p>
    <w:p>
      <w:pPr>
        <w:pStyle w:val="Heading1"/>
        <w:spacing w:before="238" w:after="54"/>
        <w:jc w:val="left"/>
      </w:pPr>
      <w:bookmarkStart w:name="Eligible Borrowing Member Countries by R" w:id="177"/>
      <w:bookmarkEnd w:id="177"/>
      <w:r>
        <w:rPr>
          <w:b w:val="0"/>
        </w:rPr>
      </w:r>
      <w:bookmarkStart w:name="_bookmark113" w:id="178"/>
      <w:bookmarkEnd w:id="178"/>
      <w:r>
        <w:rPr>
          <w:b w:val="0"/>
        </w:rPr>
      </w:r>
      <w:r>
        <w:rPr/>
        <w:t>Eligible</w:t>
      </w:r>
      <w:r>
        <w:rPr>
          <w:spacing w:val="-4"/>
        </w:rPr>
        <w:t> </w:t>
      </w:r>
      <w:r>
        <w:rPr/>
        <w:t>Borrowing</w:t>
      </w:r>
      <w:r>
        <w:rPr>
          <w:spacing w:val="-1"/>
        </w:rPr>
        <w:t> </w:t>
      </w:r>
      <w:r>
        <w:rPr/>
        <w:t>Member</w:t>
      </w:r>
      <w:r>
        <w:rPr>
          <w:spacing w:val="-2"/>
        </w:rPr>
        <w:t> </w:t>
      </w:r>
      <w:r>
        <w:rPr/>
        <w:t>Countries</w:t>
      </w:r>
      <w:r>
        <w:rPr>
          <w:spacing w:val="-1"/>
        </w:rPr>
        <w:t> </w:t>
      </w:r>
      <w:r>
        <w:rPr/>
        <w:t>by</w:t>
      </w:r>
      <w:r>
        <w:rPr>
          <w:spacing w:val="-2"/>
        </w:rPr>
        <w:t> </w:t>
      </w:r>
      <w:r>
        <w:rPr/>
        <w:t>Region</w:t>
      </w:r>
      <w:r>
        <w:rPr>
          <w:spacing w:val="-5"/>
        </w:rPr>
        <w:t> </w:t>
      </w:r>
      <w:r>
        <w:rPr/>
        <w:t>as</w:t>
      </w:r>
      <w:r>
        <w:rPr>
          <w:spacing w:val="-1"/>
        </w:rPr>
        <w:t> </w:t>
      </w:r>
      <w:r>
        <w:rPr/>
        <w:t>of</w:t>
      </w:r>
      <w:r>
        <w:rPr>
          <w:spacing w:val="-2"/>
        </w:rPr>
        <w:t> </w:t>
      </w:r>
      <w:r>
        <w:rPr/>
        <w:t>July</w:t>
      </w:r>
      <w:r>
        <w:rPr>
          <w:spacing w:val="-1"/>
        </w:rPr>
        <w:t> </w:t>
      </w:r>
      <w:r>
        <w:rPr/>
        <w:t>1,</w:t>
      </w:r>
      <w:r>
        <w:rPr>
          <w:spacing w:val="-3"/>
        </w:rPr>
        <w:t> </w:t>
      </w:r>
      <w:r>
        <w:rPr>
          <w:spacing w:val="-4"/>
        </w:rPr>
        <w:t>2023</w:t>
      </w:r>
    </w:p>
    <w:tbl>
      <w:tblPr>
        <w:tblW w:w="0" w:type="auto"/>
        <w:jc w:val="left"/>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5"/>
        <w:gridCol w:w="7095"/>
      </w:tblGrid>
      <w:tr>
        <w:trPr>
          <w:trHeight w:val="220" w:hRule="atLeast"/>
        </w:trPr>
        <w:tc>
          <w:tcPr>
            <w:tcW w:w="2265" w:type="dxa"/>
            <w:shd w:val="clear" w:color="auto" w:fill="7F7F7F"/>
          </w:tcPr>
          <w:p>
            <w:pPr>
              <w:pStyle w:val="TableParagraph"/>
              <w:spacing w:before="12"/>
              <w:ind w:left="52"/>
              <w:rPr>
                <w:rFonts w:ascii="Arial"/>
                <w:b/>
                <w:sz w:val="16"/>
              </w:rPr>
            </w:pPr>
            <w:r>
              <w:rPr>
                <w:rFonts w:ascii="Arial"/>
                <w:b/>
                <w:color w:val="FFFFFF"/>
                <w:spacing w:val="-2"/>
                <w:sz w:val="16"/>
              </w:rPr>
              <w:t>Region</w:t>
            </w:r>
          </w:p>
        </w:tc>
        <w:tc>
          <w:tcPr>
            <w:tcW w:w="7095" w:type="dxa"/>
            <w:shd w:val="clear" w:color="auto" w:fill="7F7F7F"/>
          </w:tcPr>
          <w:p>
            <w:pPr>
              <w:pStyle w:val="TableParagraph"/>
              <w:spacing w:before="12"/>
              <w:ind w:left="52"/>
              <w:rPr>
                <w:rFonts w:ascii="Arial"/>
                <w:b/>
                <w:sz w:val="16"/>
              </w:rPr>
            </w:pPr>
            <w:r>
              <w:rPr>
                <w:rFonts w:ascii="Arial"/>
                <w:b/>
                <w:color w:val="FFFFFF"/>
                <w:spacing w:val="-2"/>
                <w:sz w:val="16"/>
              </w:rPr>
              <w:t>Countries</w:t>
            </w:r>
          </w:p>
        </w:tc>
      </w:tr>
      <w:tr>
        <w:trPr>
          <w:trHeight w:val="220" w:hRule="atLeast"/>
        </w:trPr>
        <w:tc>
          <w:tcPr>
            <w:tcW w:w="2265" w:type="dxa"/>
          </w:tcPr>
          <w:p>
            <w:pPr>
              <w:pStyle w:val="TableParagraph"/>
              <w:spacing w:before="12"/>
              <w:ind w:left="52"/>
              <w:rPr>
                <w:sz w:val="16"/>
              </w:rPr>
            </w:pPr>
            <w:r>
              <w:rPr>
                <w:sz w:val="16"/>
              </w:rPr>
              <w:t>Eastern</w:t>
            </w:r>
            <w:r>
              <w:rPr>
                <w:spacing w:val="-5"/>
                <w:sz w:val="16"/>
              </w:rPr>
              <w:t> </w:t>
            </w:r>
            <w:r>
              <w:rPr>
                <w:sz w:val="16"/>
              </w:rPr>
              <w:t>and</w:t>
            </w:r>
            <w:r>
              <w:rPr>
                <w:spacing w:val="-3"/>
                <w:sz w:val="16"/>
              </w:rPr>
              <w:t> </w:t>
            </w:r>
            <w:r>
              <w:rPr>
                <w:sz w:val="16"/>
              </w:rPr>
              <w:t>Southern</w:t>
            </w:r>
            <w:r>
              <w:rPr>
                <w:spacing w:val="-11"/>
                <w:sz w:val="16"/>
              </w:rPr>
              <w:t> </w:t>
            </w:r>
            <w:r>
              <w:rPr>
                <w:spacing w:val="-2"/>
                <w:sz w:val="16"/>
              </w:rPr>
              <w:t>Africa</w:t>
            </w:r>
          </w:p>
        </w:tc>
        <w:tc>
          <w:tcPr>
            <w:tcW w:w="7095" w:type="dxa"/>
          </w:tcPr>
          <w:p>
            <w:pPr>
              <w:pStyle w:val="TableParagraph"/>
              <w:spacing w:before="12"/>
              <w:ind w:left="52"/>
              <w:rPr>
                <w:sz w:val="16"/>
              </w:rPr>
            </w:pPr>
            <w:r>
              <w:rPr>
                <w:sz w:val="16"/>
              </w:rPr>
              <w:t>Angola,</w:t>
            </w:r>
            <w:r>
              <w:rPr>
                <w:spacing w:val="-9"/>
                <w:sz w:val="16"/>
              </w:rPr>
              <w:t> </w:t>
            </w:r>
            <w:r>
              <w:rPr>
                <w:sz w:val="16"/>
              </w:rPr>
              <w:t>Botswana,</w:t>
            </w:r>
            <w:r>
              <w:rPr>
                <w:spacing w:val="-4"/>
                <w:sz w:val="16"/>
              </w:rPr>
              <w:t> </w:t>
            </w:r>
            <w:r>
              <w:rPr>
                <w:sz w:val="16"/>
              </w:rPr>
              <w:t>Eswatini,</w:t>
            </w:r>
            <w:r>
              <w:rPr>
                <w:spacing w:val="-5"/>
                <w:sz w:val="16"/>
              </w:rPr>
              <w:t> </w:t>
            </w:r>
            <w:r>
              <w:rPr>
                <w:sz w:val="16"/>
              </w:rPr>
              <w:t>Kenya*,</w:t>
            </w:r>
            <w:r>
              <w:rPr>
                <w:spacing w:val="-4"/>
                <w:sz w:val="16"/>
              </w:rPr>
              <w:t> </w:t>
            </w:r>
            <w:r>
              <w:rPr>
                <w:sz w:val="16"/>
              </w:rPr>
              <w:t>Mauritius,</w:t>
            </w:r>
            <w:r>
              <w:rPr>
                <w:spacing w:val="-5"/>
                <w:sz w:val="16"/>
              </w:rPr>
              <w:t> </w:t>
            </w:r>
            <w:r>
              <w:rPr>
                <w:sz w:val="16"/>
              </w:rPr>
              <w:t>Namibia,</w:t>
            </w:r>
            <w:r>
              <w:rPr>
                <w:spacing w:val="-4"/>
                <w:sz w:val="16"/>
              </w:rPr>
              <w:t> </w:t>
            </w:r>
            <w:r>
              <w:rPr>
                <w:sz w:val="16"/>
              </w:rPr>
              <w:t>Seychelles,</w:t>
            </w:r>
            <w:r>
              <w:rPr>
                <w:spacing w:val="-5"/>
                <w:sz w:val="16"/>
              </w:rPr>
              <w:t> </w:t>
            </w:r>
            <w:r>
              <w:rPr>
                <w:sz w:val="16"/>
              </w:rPr>
              <w:t>South</w:t>
            </w:r>
            <w:r>
              <w:rPr>
                <w:spacing w:val="-11"/>
                <w:sz w:val="16"/>
              </w:rPr>
              <w:t> </w:t>
            </w:r>
            <w:r>
              <w:rPr>
                <w:sz w:val="16"/>
              </w:rPr>
              <w:t>Africa,</w:t>
            </w:r>
            <w:r>
              <w:rPr>
                <w:spacing w:val="-4"/>
                <w:sz w:val="16"/>
              </w:rPr>
              <w:t> </w:t>
            </w:r>
            <w:r>
              <w:rPr>
                <w:spacing w:val="-2"/>
                <w:sz w:val="16"/>
              </w:rPr>
              <w:t>Zimbabwe*</w:t>
            </w:r>
          </w:p>
        </w:tc>
      </w:tr>
      <w:tr>
        <w:trPr>
          <w:trHeight w:val="220" w:hRule="atLeast"/>
        </w:trPr>
        <w:tc>
          <w:tcPr>
            <w:tcW w:w="2265" w:type="dxa"/>
            <w:shd w:val="clear" w:color="auto" w:fill="F2F2F2"/>
          </w:tcPr>
          <w:p>
            <w:pPr>
              <w:pStyle w:val="TableParagraph"/>
              <w:spacing w:before="12"/>
              <w:ind w:left="52"/>
              <w:rPr>
                <w:sz w:val="16"/>
              </w:rPr>
            </w:pPr>
            <w:r>
              <w:rPr>
                <w:sz w:val="16"/>
              </w:rPr>
              <w:t>Western</w:t>
            </w:r>
            <w:r>
              <w:rPr>
                <w:spacing w:val="-6"/>
                <w:sz w:val="16"/>
              </w:rPr>
              <w:t> </w:t>
            </w:r>
            <w:r>
              <w:rPr>
                <w:sz w:val="16"/>
              </w:rPr>
              <w:t>and</w:t>
            </w:r>
            <w:r>
              <w:rPr>
                <w:spacing w:val="-5"/>
                <w:sz w:val="16"/>
              </w:rPr>
              <w:t> </w:t>
            </w:r>
            <w:r>
              <w:rPr>
                <w:sz w:val="16"/>
              </w:rPr>
              <w:t>Central</w:t>
            </w:r>
            <w:r>
              <w:rPr>
                <w:spacing w:val="-11"/>
                <w:sz w:val="16"/>
              </w:rPr>
              <w:t> </w:t>
            </w:r>
            <w:r>
              <w:rPr>
                <w:spacing w:val="-2"/>
                <w:sz w:val="16"/>
              </w:rPr>
              <w:t>Africa</w:t>
            </w:r>
          </w:p>
        </w:tc>
        <w:tc>
          <w:tcPr>
            <w:tcW w:w="7095" w:type="dxa"/>
          </w:tcPr>
          <w:p>
            <w:pPr>
              <w:pStyle w:val="TableParagraph"/>
              <w:spacing w:before="12"/>
              <w:ind w:left="52"/>
              <w:rPr>
                <w:sz w:val="16"/>
              </w:rPr>
            </w:pPr>
            <w:r>
              <w:rPr>
                <w:sz w:val="16"/>
              </w:rPr>
              <w:t>Republic</w:t>
            </w:r>
            <w:r>
              <w:rPr>
                <w:spacing w:val="-6"/>
                <w:sz w:val="16"/>
              </w:rPr>
              <w:t> </w:t>
            </w:r>
            <w:r>
              <w:rPr>
                <w:sz w:val="16"/>
              </w:rPr>
              <w:t>of</w:t>
            </w:r>
            <w:r>
              <w:rPr>
                <w:spacing w:val="-5"/>
                <w:sz w:val="16"/>
              </w:rPr>
              <w:t> </w:t>
            </w:r>
            <w:r>
              <w:rPr>
                <w:sz w:val="16"/>
              </w:rPr>
              <w:t>Cabo</w:t>
            </w:r>
            <w:r>
              <w:rPr>
                <w:spacing w:val="-7"/>
                <w:sz w:val="16"/>
              </w:rPr>
              <w:t> </w:t>
            </w:r>
            <w:r>
              <w:rPr>
                <w:sz w:val="16"/>
              </w:rPr>
              <w:t>Verde*,</w:t>
            </w:r>
            <w:r>
              <w:rPr>
                <w:spacing w:val="-5"/>
                <w:sz w:val="16"/>
              </w:rPr>
              <w:t> </w:t>
            </w:r>
            <w:r>
              <w:rPr>
                <w:sz w:val="16"/>
              </w:rPr>
              <w:t>Cameroon*,</w:t>
            </w:r>
            <w:r>
              <w:rPr>
                <w:spacing w:val="-6"/>
                <w:sz w:val="16"/>
              </w:rPr>
              <w:t> </w:t>
            </w:r>
            <w:r>
              <w:rPr>
                <w:sz w:val="16"/>
              </w:rPr>
              <w:t>Republic</w:t>
            </w:r>
            <w:r>
              <w:rPr>
                <w:spacing w:val="-5"/>
                <w:sz w:val="16"/>
              </w:rPr>
              <w:t> </w:t>
            </w:r>
            <w:r>
              <w:rPr>
                <w:sz w:val="16"/>
              </w:rPr>
              <w:t>of</w:t>
            </w:r>
            <w:r>
              <w:rPr>
                <w:spacing w:val="-6"/>
                <w:sz w:val="16"/>
              </w:rPr>
              <w:t> </w:t>
            </w:r>
            <w:r>
              <w:rPr>
                <w:sz w:val="16"/>
              </w:rPr>
              <w:t>Congo*,</w:t>
            </w:r>
            <w:r>
              <w:rPr>
                <w:spacing w:val="-5"/>
                <w:sz w:val="16"/>
              </w:rPr>
              <w:t> </w:t>
            </w:r>
            <w:r>
              <w:rPr>
                <w:sz w:val="16"/>
              </w:rPr>
              <w:t>Equatorial</w:t>
            </w:r>
            <w:r>
              <w:rPr>
                <w:spacing w:val="-6"/>
                <w:sz w:val="16"/>
              </w:rPr>
              <w:t> </w:t>
            </w:r>
            <w:r>
              <w:rPr>
                <w:sz w:val="16"/>
              </w:rPr>
              <w:t>Guinea,</w:t>
            </w:r>
            <w:r>
              <w:rPr>
                <w:spacing w:val="-5"/>
                <w:sz w:val="16"/>
              </w:rPr>
              <w:t> </w:t>
            </w:r>
            <w:r>
              <w:rPr>
                <w:sz w:val="16"/>
              </w:rPr>
              <w:t>Gabon,</w:t>
            </w:r>
            <w:r>
              <w:rPr>
                <w:spacing w:val="-5"/>
                <w:sz w:val="16"/>
              </w:rPr>
              <w:t> </w:t>
            </w:r>
            <w:r>
              <w:rPr>
                <w:spacing w:val="-2"/>
                <w:sz w:val="16"/>
              </w:rPr>
              <w:t>Nigeria*</w:t>
            </w:r>
          </w:p>
        </w:tc>
      </w:tr>
      <w:tr>
        <w:trPr>
          <w:trHeight w:val="385" w:hRule="atLeast"/>
        </w:trPr>
        <w:tc>
          <w:tcPr>
            <w:tcW w:w="2265" w:type="dxa"/>
          </w:tcPr>
          <w:p>
            <w:pPr>
              <w:pStyle w:val="TableParagraph"/>
              <w:spacing w:before="95"/>
              <w:ind w:left="52"/>
              <w:rPr>
                <w:sz w:val="16"/>
              </w:rPr>
            </w:pPr>
            <w:r>
              <w:rPr>
                <w:sz w:val="16"/>
              </w:rPr>
              <w:t>East</w:t>
            </w:r>
            <w:r>
              <w:rPr>
                <w:spacing w:val="-11"/>
                <w:sz w:val="16"/>
              </w:rPr>
              <w:t> </w:t>
            </w:r>
            <w:r>
              <w:rPr>
                <w:sz w:val="16"/>
              </w:rPr>
              <w:t>Asia</w:t>
            </w:r>
            <w:r>
              <w:rPr>
                <w:spacing w:val="-2"/>
                <w:sz w:val="16"/>
              </w:rPr>
              <w:t> </w:t>
            </w:r>
            <w:r>
              <w:rPr>
                <w:sz w:val="16"/>
              </w:rPr>
              <w:t>and</w:t>
            </w:r>
            <w:r>
              <w:rPr>
                <w:spacing w:val="-2"/>
                <w:sz w:val="16"/>
              </w:rPr>
              <w:t> Pacific</w:t>
            </w:r>
          </w:p>
        </w:tc>
        <w:tc>
          <w:tcPr>
            <w:tcW w:w="7095" w:type="dxa"/>
          </w:tcPr>
          <w:p>
            <w:pPr>
              <w:pStyle w:val="TableParagraph"/>
              <w:spacing w:line="208" w:lineRule="auto" w:before="34"/>
              <w:ind w:left="52"/>
              <w:rPr>
                <w:sz w:val="16"/>
              </w:rPr>
            </w:pPr>
            <w:r>
              <w:rPr>
                <w:sz w:val="16"/>
              </w:rPr>
              <w:t>China,</w:t>
            </w:r>
            <w:r>
              <w:rPr>
                <w:spacing w:val="40"/>
                <w:sz w:val="16"/>
              </w:rPr>
              <w:t> </w:t>
            </w:r>
            <w:r>
              <w:rPr>
                <w:sz w:val="16"/>
              </w:rPr>
              <w:t>Fiji*,</w:t>
            </w:r>
            <w:r>
              <w:rPr>
                <w:spacing w:val="40"/>
                <w:sz w:val="16"/>
              </w:rPr>
              <w:t> </w:t>
            </w:r>
            <w:r>
              <w:rPr>
                <w:sz w:val="16"/>
              </w:rPr>
              <w:t>Indonesia,</w:t>
            </w:r>
            <w:r>
              <w:rPr>
                <w:spacing w:val="40"/>
                <w:sz w:val="16"/>
              </w:rPr>
              <w:t> </w:t>
            </w:r>
            <w:r>
              <w:rPr>
                <w:sz w:val="16"/>
              </w:rPr>
              <w:t>Malaysia,</w:t>
            </w:r>
            <w:r>
              <w:rPr>
                <w:spacing w:val="40"/>
                <w:sz w:val="16"/>
              </w:rPr>
              <w:t> </w:t>
            </w:r>
            <w:r>
              <w:rPr>
                <w:sz w:val="16"/>
              </w:rPr>
              <w:t>Mongolia,</w:t>
            </w:r>
            <w:r>
              <w:rPr>
                <w:spacing w:val="40"/>
                <w:sz w:val="16"/>
              </w:rPr>
              <w:t> </w:t>
            </w:r>
            <w:r>
              <w:rPr>
                <w:sz w:val="16"/>
              </w:rPr>
              <w:t>Nauru,</w:t>
            </w:r>
            <w:r>
              <w:rPr>
                <w:spacing w:val="40"/>
                <w:sz w:val="16"/>
              </w:rPr>
              <w:t> </w:t>
            </w:r>
            <w:r>
              <w:rPr>
                <w:sz w:val="16"/>
              </w:rPr>
              <w:t>Palau,</w:t>
            </w:r>
            <w:r>
              <w:rPr>
                <w:spacing w:val="40"/>
                <w:sz w:val="16"/>
              </w:rPr>
              <w:t> </w:t>
            </w:r>
            <w:r>
              <w:rPr>
                <w:sz w:val="16"/>
              </w:rPr>
              <w:t>Papua</w:t>
            </w:r>
            <w:r>
              <w:rPr>
                <w:spacing w:val="40"/>
                <w:sz w:val="16"/>
              </w:rPr>
              <w:t> </w:t>
            </w:r>
            <w:r>
              <w:rPr>
                <w:sz w:val="16"/>
              </w:rPr>
              <w:t>New</w:t>
            </w:r>
            <w:r>
              <w:rPr>
                <w:spacing w:val="40"/>
                <w:sz w:val="16"/>
              </w:rPr>
              <w:t> </w:t>
            </w:r>
            <w:r>
              <w:rPr>
                <w:sz w:val="16"/>
              </w:rPr>
              <w:t>Guinea*,</w:t>
            </w:r>
            <w:r>
              <w:rPr>
                <w:spacing w:val="40"/>
                <w:sz w:val="16"/>
              </w:rPr>
              <w:t> </w:t>
            </w:r>
            <w:r>
              <w:rPr>
                <w:sz w:val="16"/>
              </w:rPr>
              <w:t>Philippines, Thailand, Timor-Leste*, Vietnam</w:t>
            </w:r>
          </w:p>
        </w:tc>
      </w:tr>
      <w:tr>
        <w:trPr>
          <w:trHeight w:val="535" w:hRule="atLeast"/>
        </w:trPr>
        <w:tc>
          <w:tcPr>
            <w:tcW w:w="2265" w:type="dxa"/>
            <w:shd w:val="clear" w:color="auto" w:fill="F2F2F2"/>
          </w:tcPr>
          <w:p>
            <w:pPr>
              <w:pStyle w:val="TableParagraph"/>
              <w:spacing w:before="170"/>
              <w:ind w:left="52"/>
              <w:rPr>
                <w:sz w:val="16"/>
              </w:rPr>
            </w:pPr>
            <w:r>
              <w:rPr>
                <w:sz w:val="16"/>
              </w:rPr>
              <w:t>Europe</w:t>
            </w:r>
            <w:r>
              <w:rPr>
                <w:spacing w:val="-7"/>
                <w:sz w:val="16"/>
              </w:rPr>
              <w:t> </w:t>
            </w:r>
            <w:r>
              <w:rPr>
                <w:sz w:val="16"/>
              </w:rPr>
              <w:t>and</w:t>
            </w:r>
            <w:r>
              <w:rPr>
                <w:spacing w:val="-4"/>
                <w:sz w:val="16"/>
              </w:rPr>
              <w:t> </w:t>
            </w:r>
            <w:r>
              <w:rPr>
                <w:sz w:val="16"/>
              </w:rPr>
              <w:t>Central</w:t>
            </w:r>
            <w:r>
              <w:rPr>
                <w:spacing w:val="-11"/>
                <w:sz w:val="16"/>
              </w:rPr>
              <w:t> </w:t>
            </w:r>
            <w:r>
              <w:rPr>
                <w:spacing w:val="-4"/>
                <w:sz w:val="16"/>
              </w:rPr>
              <w:t>Asia</w:t>
            </w:r>
          </w:p>
        </w:tc>
        <w:tc>
          <w:tcPr>
            <w:tcW w:w="7095" w:type="dxa"/>
          </w:tcPr>
          <w:p>
            <w:pPr>
              <w:pStyle w:val="TableParagraph"/>
              <w:spacing w:line="208" w:lineRule="auto" w:before="29"/>
              <w:ind w:left="52" w:right="82"/>
              <w:jc w:val="both"/>
              <w:rPr>
                <w:sz w:val="16"/>
              </w:rPr>
            </w:pPr>
            <w:r>
              <w:rPr>
                <w:sz w:val="16"/>
              </w:rPr>
              <w:t>Albania, Armenia, Azerbaijan, Belarus, Bosnia and Herzegovina, Bulgaria, Croatia, Georgia, Kazakhstan, North Macedonia, Moldova, Montenegro, Poland, Romania, Russian Federation, Serbia, Türkiye, Turkmenistan, Ukraine, Uzbekistan*</w:t>
            </w:r>
          </w:p>
        </w:tc>
      </w:tr>
      <w:tr>
        <w:trPr>
          <w:trHeight w:val="700" w:hRule="atLeast"/>
        </w:trPr>
        <w:tc>
          <w:tcPr>
            <w:tcW w:w="2265" w:type="dxa"/>
          </w:tcPr>
          <w:p>
            <w:pPr>
              <w:pStyle w:val="TableParagraph"/>
              <w:spacing w:before="68"/>
              <w:rPr>
                <w:rFonts w:ascii="Arial"/>
                <w:b/>
                <w:sz w:val="16"/>
              </w:rPr>
            </w:pPr>
          </w:p>
          <w:p>
            <w:pPr>
              <w:pStyle w:val="TableParagraph"/>
              <w:ind w:left="52"/>
              <w:rPr>
                <w:sz w:val="16"/>
              </w:rPr>
            </w:pPr>
            <w:r>
              <w:rPr>
                <w:sz w:val="16"/>
              </w:rPr>
              <w:t>Latin</w:t>
            </w:r>
            <w:r>
              <w:rPr>
                <w:spacing w:val="-12"/>
                <w:sz w:val="16"/>
              </w:rPr>
              <w:t> </w:t>
            </w:r>
            <w:r>
              <w:rPr>
                <w:sz w:val="16"/>
              </w:rPr>
              <w:t>America</w:t>
            </w:r>
            <w:r>
              <w:rPr>
                <w:spacing w:val="-3"/>
                <w:sz w:val="16"/>
              </w:rPr>
              <w:t> </w:t>
            </w:r>
            <w:r>
              <w:rPr>
                <w:sz w:val="16"/>
              </w:rPr>
              <w:t>and</w:t>
            </w:r>
            <w:r>
              <w:rPr>
                <w:spacing w:val="-3"/>
                <w:sz w:val="16"/>
              </w:rPr>
              <w:t> </w:t>
            </w:r>
            <w:r>
              <w:rPr>
                <w:spacing w:val="-2"/>
                <w:sz w:val="16"/>
              </w:rPr>
              <w:t>Caribbean</w:t>
            </w:r>
          </w:p>
        </w:tc>
        <w:tc>
          <w:tcPr>
            <w:tcW w:w="7095" w:type="dxa"/>
          </w:tcPr>
          <w:p>
            <w:pPr>
              <w:pStyle w:val="TableParagraph"/>
              <w:spacing w:line="208" w:lineRule="auto" w:before="32"/>
              <w:ind w:left="52" w:right="82"/>
              <w:jc w:val="both"/>
              <w:rPr>
                <w:sz w:val="16"/>
              </w:rPr>
            </w:pPr>
            <w:r>
              <w:rPr>
                <w:sz w:val="16"/>
              </w:rPr>
              <w:t>Argentina, Antigua and Barbuda, Belize, Bolivia, Brazil, Chile, Colombia, Costa Rica, Dominica*, Dominican Republic, Ecuador, El Salvador, Grenada*, Guatemala, Jamaica, Mexico, Panama, Paraguay, Peru, St. Kitts and Nevis, St. Lucia*, St. Vincent and the Grenadines*, Suriname, Trinidad and Tobago, Uruguay, Venezuela</w:t>
            </w:r>
          </w:p>
        </w:tc>
      </w:tr>
      <w:tr>
        <w:trPr>
          <w:trHeight w:val="385" w:hRule="atLeast"/>
        </w:trPr>
        <w:tc>
          <w:tcPr>
            <w:tcW w:w="2265" w:type="dxa"/>
            <w:shd w:val="clear" w:color="auto" w:fill="F2F2F2"/>
          </w:tcPr>
          <w:p>
            <w:pPr>
              <w:pStyle w:val="TableParagraph"/>
              <w:spacing w:before="95"/>
              <w:ind w:left="52"/>
              <w:rPr>
                <w:sz w:val="16"/>
              </w:rPr>
            </w:pPr>
            <w:r>
              <w:rPr>
                <w:sz w:val="16"/>
              </w:rPr>
              <w:t>Middle</w:t>
            </w:r>
            <w:r>
              <w:rPr>
                <w:spacing w:val="-4"/>
                <w:sz w:val="16"/>
              </w:rPr>
              <w:t> </w:t>
            </w:r>
            <w:r>
              <w:rPr>
                <w:sz w:val="16"/>
              </w:rPr>
              <w:t>East</w:t>
            </w:r>
            <w:r>
              <w:rPr>
                <w:spacing w:val="-2"/>
                <w:sz w:val="16"/>
              </w:rPr>
              <w:t> </w:t>
            </w:r>
            <w:r>
              <w:rPr>
                <w:sz w:val="16"/>
              </w:rPr>
              <w:t>and</w:t>
            </w:r>
            <w:r>
              <w:rPr>
                <w:spacing w:val="-4"/>
                <w:sz w:val="16"/>
              </w:rPr>
              <w:t> </w:t>
            </w:r>
            <w:r>
              <w:rPr>
                <w:sz w:val="16"/>
              </w:rPr>
              <w:t>North</w:t>
            </w:r>
            <w:r>
              <w:rPr>
                <w:spacing w:val="-10"/>
                <w:sz w:val="16"/>
              </w:rPr>
              <w:t> </w:t>
            </w:r>
            <w:r>
              <w:rPr>
                <w:spacing w:val="-2"/>
                <w:sz w:val="16"/>
              </w:rPr>
              <w:t>Africa</w:t>
            </w:r>
          </w:p>
        </w:tc>
        <w:tc>
          <w:tcPr>
            <w:tcW w:w="7095" w:type="dxa"/>
            <w:shd w:val="clear" w:color="auto" w:fill="F2F2F2"/>
          </w:tcPr>
          <w:p>
            <w:pPr>
              <w:pStyle w:val="TableParagraph"/>
              <w:spacing w:line="208" w:lineRule="auto" w:before="34"/>
              <w:ind w:left="52"/>
              <w:rPr>
                <w:sz w:val="16"/>
              </w:rPr>
            </w:pPr>
            <w:r>
              <w:rPr>
                <w:sz w:val="16"/>
              </w:rPr>
              <w:t>Algeria,</w:t>
            </w:r>
            <w:r>
              <w:rPr>
                <w:spacing w:val="-12"/>
                <w:sz w:val="16"/>
              </w:rPr>
              <w:t> </w:t>
            </w:r>
            <w:r>
              <w:rPr>
                <w:sz w:val="16"/>
              </w:rPr>
              <w:t>Arab</w:t>
            </w:r>
            <w:r>
              <w:rPr>
                <w:spacing w:val="-4"/>
                <w:sz w:val="16"/>
              </w:rPr>
              <w:t> </w:t>
            </w:r>
            <w:r>
              <w:rPr>
                <w:sz w:val="16"/>
              </w:rPr>
              <w:t>Republic</w:t>
            </w:r>
            <w:r>
              <w:rPr>
                <w:spacing w:val="-4"/>
                <w:sz w:val="16"/>
              </w:rPr>
              <w:t> </w:t>
            </w:r>
            <w:r>
              <w:rPr>
                <w:sz w:val="16"/>
              </w:rPr>
              <w:t>of</w:t>
            </w:r>
            <w:r>
              <w:rPr>
                <w:spacing w:val="-4"/>
                <w:sz w:val="16"/>
              </w:rPr>
              <w:t> </w:t>
            </w:r>
            <w:r>
              <w:rPr>
                <w:sz w:val="16"/>
              </w:rPr>
              <w:t>Egypt,</w:t>
            </w:r>
            <w:r>
              <w:rPr>
                <w:spacing w:val="-4"/>
                <w:sz w:val="16"/>
              </w:rPr>
              <w:t> </w:t>
            </w:r>
            <w:r>
              <w:rPr>
                <w:sz w:val="16"/>
              </w:rPr>
              <w:t>Islamic</w:t>
            </w:r>
            <w:r>
              <w:rPr>
                <w:spacing w:val="-4"/>
                <w:sz w:val="16"/>
              </w:rPr>
              <w:t> </w:t>
            </w:r>
            <w:r>
              <w:rPr>
                <w:sz w:val="16"/>
              </w:rPr>
              <w:t>Republic</w:t>
            </w:r>
            <w:r>
              <w:rPr>
                <w:spacing w:val="-4"/>
                <w:sz w:val="16"/>
              </w:rPr>
              <w:t> </w:t>
            </w:r>
            <w:r>
              <w:rPr>
                <w:sz w:val="16"/>
              </w:rPr>
              <w:t>of</w:t>
            </w:r>
            <w:r>
              <w:rPr>
                <w:spacing w:val="-4"/>
                <w:sz w:val="16"/>
              </w:rPr>
              <w:t> </w:t>
            </w:r>
            <w:r>
              <w:rPr>
                <w:sz w:val="16"/>
              </w:rPr>
              <w:t>Iran,</w:t>
            </w:r>
            <w:r>
              <w:rPr>
                <w:spacing w:val="-4"/>
                <w:sz w:val="16"/>
              </w:rPr>
              <w:t> </w:t>
            </w:r>
            <w:r>
              <w:rPr>
                <w:sz w:val="16"/>
              </w:rPr>
              <w:t>Iraq,</w:t>
            </w:r>
            <w:r>
              <w:rPr>
                <w:spacing w:val="-4"/>
                <w:sz w:val="16"/>
              </w:rPr>
              <w:t> </w:t>
            </w:r>
            <w:r>
              <w:rPr>
                <w:sz w:val="16"/>
              </w:rPr>
              <w:t>Jordan,</w:t>
            </w:r>
            <w:r>
              <w:rPr>
                <w:spacing w:val="-4"/>
                <w:sz w:val="16"/>
              </w:rPr>
              <w:t> </w:t>
            </w:r>
            <w:r>
              <w:rPr>
                <w:sz w:val="16"/>
              </w:rPr>
              <w:t>Lebanon,</w:t>
            </w:r>
            <w:r>
              <w:rPr>
                <w:spacing w:val="-4"/>
                <w:sz w:val="16"/>
              </w:rPr>
              <w:t> </w:t>
            </w:r>
            <w:r>
              <w:rPr>
                <w:sz w:val="16"/>
              </w:rPr>
              <w:t>Libya,</w:t>
            </w:r>
            <w:r>
              <w:rPr>
                <w:spacing w:val="-4"/>
                <w:sz w:val="16"/>
              </w:rPr>
              <w:t> </w:t>
            </w:r>
            <w:r>
              <w:rPr>
                <w:sz w:val="16"/>
              </w:rPr>
              <w:t>Morocco, </w:t>
            </w:r>
            <w:r>
              <w:rPr>
                <w:spacing w:val="-2"/>
                <w:sz w:val="16"/>
              </w:rPr>
              <w:t>Tunisia</w:t>
            </w:r>
          </w:p>
        </w:tc>
      </w:tr>
      <w:tr>
        <w:trPr>
          <w:trHeight w:val="220" w:hRule="atLeast"/>
        </w:trPr>
        <w:tc>
          <w:tcPr>
            <w:tcW w:w="2265" w:type="dxa"/>
          </w:tcPr>
          <w:p>
            <w:pPr>
              <w:pStyle w:val="TableParagraph"/>
              <w:spacing w:before="12"/>
              <w:ind w:left="52"/>
              <w:rPr>
                <w:sz w:val="16"/>
              </w:rPr>
            </w:pPr>
            <w:r>
              <w:rPr>
                <w:sz w:val="16"/>
              </w:rPr>
              <w:t>South</w:t>
            </w:r>
            <w:r>
              <w:rPr>
                <w:spacing w:val="-13"/>
                <w:sz w:val="16"/>
              </w:rPr>
              <w:t> </w:t>
            </w:r>
            <w:r>
              <w:rPr>
                <w:spacing w:val="-4"/>
                <w:sz w:val="16"/>
              </w:rPr>
              <w:t>Asia</w:t>
            </w:r>
          </w:p>
        </w:tc>
        <w:tc>
          <w:tcPr>
            <w:tcW w:w="7095" w:type="dxa"/>
          </w:tcPr>
          <w:p>
            <w:pPr>
              <w:pStyle w:val="TableParagraph"/>
              <w:spacing w:before="12"/>
              <w:ind w:left="52"/>
              <w:rPr>
                <w:sz w:val="16"/>
              </w:rPr>
            </w:pPr>
            <w:r>
              <w:rPr>
                <w:sz w:val="16"/>
              </w:rPr>
              <w:t>India,</w:t>
            </w:r>
            <w:r>
              <w:rPr>
                <w:spacing w:val="-6"/>
                <w:sz w:val="16"/>
              </w:rPr>
              <w:t> </w:t>
            </w:r>
            <w:r>
              <w:rPr>
                <w:spacing w:val="-2"/>
                <w:sz w:val="16"/>
              </w:rPr>
              <w:t>Pakistan*</w:t>
            </w:r>
          </w:p>
        </w:tc>
      </w:tr>
    </w:tbl>
    <w:p>
      <w:pPr>
        <w:spacing w:before="176"/>
        <w:ind w:left="720" w:right="0" w:firstLine="0"/>
        <w:jc w:val="left"/>
        <w:rPr>
          <w:rFonts w:ascii="Arial"/>
          <w:i/>
          <w:sz w:val="16"/>
        </w:rPr>
      </w:pPr>
      <w:r>
        <w:rPr>
          <w:rFonts w:ascii="Arial"/>
          <w:i/>
          <w:sz w:val="16"/>
        </w:rPr>
        <w:t>*</w:t>
      </w:r>
      <w:r>
        <w:rPr>
          <w:rFonts w:ascii="Arial"/>
          <w:i/>
          <w:spacing w:val="-3"/>
          <w:sz w:val="16"/>
        </w:rPr>
        <w:t> </w:t>
      </w:r>
      <w:r>
        <w:rPr>
          <w:rFonts w:ascii="Arial"/>
          <w:i/>
          <w:sz w:val="16"/>
        </w:rPr>
        <w:t>Blend</w:t>
      </w:r>
      <w:r>
        <w:rPr>
          <w:rFonts w:ascii="Arial"/>
          <w:i/>
          <w:spacing w:val="-3"/>
          <w:sz w:val="16"/>
        </w:rPr>
        <w:t> </w:t>
      </w:r>
      <w:r>
        <w:rPr>
          <w:rFonts w:ascii="Arial"/>
          <w:i/>
          <w:sz w:val="16"/>
        </w:rPr>
        <w:t>countries</w:t>
      </w:r>
      <w:r>
        <w:rPr>
          <w:rFonts w:ascii="Arial"/>
          <w:i/>
          <w:spacing w:val="-3"/>
          <w:sz w:val="16"/>
        </w:rPr>
        <w:t> </w:t>
      </w:r>
      <w:r>
        <w:rPr>
          <w:rFonts w:ascii="Arial"/>
          <w:i/>
          <w:sz w:val="16"/>
        </w:rPr>
        <w:t>eligible</w:t>
      </w:r>
      <w:r>
        <w:rPr>
          <w:rFonts w:ascii="Arial"/>
          <w:i/>
          <w:spacing w:val="-3"/>
          <w:sz w:val="16"/>
        </w:rPr>
        <w:t> </w:t>
      </w:r>
      <w:r>
        <w:rPr>
          <w:rFonts w:ascii="Arial"/>
          <w:i/>
          <w:sz w:val="16"/>
        </w:rPr>
        <w:t>for</w:t>
      </w:r>
      <w:r>
        <w:rPr>
          <w:rFonts w:ascii="Arial"/>
          <w:i/>
          <w:spacing w:val="-3"/>
          <w:sz w:val="16"/>
        </w:rPr>
        <w:t> </w:t>
      </w:r>
      <w:r>
        <w:rPr>
          <w:rFonts w:ascii="Arial"/>
          <w:i/>
          <w:sz w:val="16"/>
        </w:rPr>
        <w:t>IDA</w:t>
      </w:r>
      <w:r>
        <w:rPr>
          <w:rFonts w:ascii="Arial"/>
          <w:i/>
          <w:spacing w:val="-3"/>
          <w:sz w:val="16"/>
        </w:rPr>
        <w:t> </w:t>
      </w:r>
      <w:r>
        <w:rPr>
          <w:rFonts w:ascii="Arial"/>
          <w:i/>
          <w:sz w:val="16"/>
        </w:rPr>
        <w:t>and</w:t>
      </w:r>
      <w:r>
        <w:rPr>
          <w:rFonts w:ascii="Arial"/>
          <w:i/>
          <w:spacing w:val="-3"/>
          <w:sz w:val="16"/>
        </w:rPr>
        <w:t> </w:t>
      </w:r>
      <w:r>
        <w:rPr>
          <w:rFonts w:ascii="Arial"/>
          <w:i/>
          <w:sz w:val="16"/>
        </w:rPr>
        <w:t>IBRD</w:t>
      </w:r>
      <w:r>
        <w:rPr>
          <w:rFonts w:ascii="Arial"/>
          <w:i/>
          <w:spacing w:val="-2"/>
          <w:sz w:val="16"/>
        </w:rPr>
        <w:t> loans.</w:t>
      </w:r>
    </w:p>
    <w:p>
      <w:pPr>
        <w:pStyle w:val="BodyText"/>
        <w:spacing w:before="15"/>
        <w:rPr>
          <w:rFonts w:ascii="Arial"/>
          <w:i/>
          <w:sz w:val="16"/>
        </w:rPr>
      </w:pPr>
    </w:p>
    <w:p>
      <w:pPr>
        <w:pStyle w:val="Heading1"/>
        <w:jc w:val="left"/>
      </w:pPr>
      <w:bookmarkStart w:name="List of Tables, Figures and Boxes" w:id="179"/>
      <w:bookmarkEnd w:id="179"/>
      <w:r>
        <w:rPr>
          <w:b w:val="0"/>
        </w:rPr>
      </w:r>
      <w:bookmarkStart w:name="_bookmark114" w:id="180"/>
      <w:bookmarkEnd w:id="180"/>
      <w:r>
        <w:rPr>
          <w:b w:val="0"/>
        </w:rPr>
      </w:r>
      <w:r>
        <w:rPr/>
        <w:t>List</w:t>
      </w:r>
      <w:r>
        <w:rPr>
          <w:spacing w:val="-2"/>
        </w:rPr>
        <w:t> </w:t>
      </w:r>
      <w:r>
        <w:rPr/>
        <w:t>of</w:t>
      </w:r>
      <w:r>
        <w:rPr>
          <w:spacing w:val="-1"/>
        </w:rPr>
        <w:t> </w:t>
      </w:r>
      <w:r>
        <w:rPr/>
        <w:t>Tables,</w:t>
      </w:r>
      <w:r>
        <w:rPr>
          <w:spacing w:val="-2"/>
        </w:rPr>
        <w:t> </w:t>
      </w:r>
      <w:r>
        <w:rPr/>
        <w:t>Figures</w:t>
      </w:r>
      <w:r>
        <w:rPr>
          <w:spacing w:val="-1"/>
        </w:rPr>
        <w:t> </w:t>
      </w:r>
      <w:r>
        <w:rPr/>
        <w:t>and</w:t>
      </w:r>
      <w:r>
        <w:rPr>
          <w:spacing w:val="-1"/>
        </w:rPr>
        <w:t> </w:t>
      </w:r>
      <w:r>
        <w:rPr>
          <w:spacing w:val="-4"/>
        </w:rPr>
        <w:t>Boxes</w:t>
      </w:r>
    </w:p>
    <w:p>
      <w:pPr>
        <w:pStyle w:val="Heading8"/>
        <w:spacing w:before="141"/>
        <w:rPr>
          <w:rFonts w:ascii="Arial"/>
        </w:rPr>
      </w:pPr>
      <w:r>
        <w:rPr>
          <w:rFonts w:ascii="Arial"/>
          <w:spacing w:val="-2"/>
        </w:rPr>
        <w:t>Tables</w:t>
      </w:r>
    </w:p>
    <w:p>
      <w:pPr>
        <w:tabs>
          <w:tab w:pos="10042" w:val="right" w:leader="none"/>
        </w:tabs>
        <w:spacing w:before="31"/>
        <w:ind w:left="772" w:right="0" w:firstLine="0"/>
        <w:jc w:val="left"/>
        <w:rPr>
          <w:rFonts w:ascii="Arial MT"/>
          <w:sz w:val="16"/>
        </w:rPr>
      </w:pPr>
      <w:r>
        <w:rPr>
          <w:rFonts w:ascii="Arial MT"/>
          <w:sz w:val="16"/>
        </w:rPr>
        <w:t>Table</w:t>
      </w:r>
      <w:r>
        <w:rPr>
          <w:rFonts w:ascii="Arial MT"/>
          <w:spacing w:val="-8"/>
          <w:sz w:val="16"/>
        </w:rPr>
        <w:t> </w:t>
      </w:r>
      <w:r>
        <w:rPr>
          <w:rFonts w:ascii="Arial MT"/>
          <w:sz w:val="16"/>
        </w:rPr>
        <w:t>1:</w:t>
      </w:r>
      <w:r>
        <w:rPr>
          <w:rFonts w:ascii="Arial MT"/>
          <w:spacing w:val="-7"/>
          <w:sz w:val="16"/>
        </w:rPr>
        <w:t> </w:t>
      </w:r>
      <w:r>
        <w:rPr>
          <w:rFonts w:ascii="Arial MT"/>
          <w:sz w:val="16"/>
        </w:rPr>
        <w:t>Statements</w:t>
      </w:r>
      <w:r>
        <w:rPr>
          <w:rFonts w:ascii="Arial MT"/>
          <w:spacing w:val="-7"/>
          <w:sz w:val="16"/>
        </w:rPr>
        <w:t> </w:t>
      </w:r>
      <w:r>
        <w:rPr>
          <w:rFonts w:ascii="Arial MT"/>
          <w:sz w:val="16"/>
        </w:rPr>
        <w:t>of</w:t>
      </w:r>
      <w:r>
        <w:rPr>
          <w:rFonts w:ascii="Arial MT"/>
          <w:spacing w:val="-6"/>
          <w:sz w:val="16"/>
        </w:rPr>
        <w:t> </w:t>
      </w:r>
      <w:r>
        <w:rPr>
          <w:rFonts w:ascii="Arial MT"/>
          <w:spacing w:val="-2"/>
          <w:sz w:val="16"/>
        </w:rPr>
        <w:t>Income</w:t>
      </w:r>
      <w:r>
        <w:rPr>
          <w:sz w:val="16"/>
        </w:rPr>
        <w:tab/>
      </w:r>
      <w:hyperlink w:history="true" w:anchor="_bookmark6">
        <w:r>
          <w:rPr>
            <w:rFonts w:ascii="Arial MT"/>
            <w:spacing w:val="-10"/>
            <w:sz w:val="16"/>
          </w:rPr>
          <w:t>9</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0"/>
          <w:sz w:val="16"/>
        </w:rPr>
        <w:t> </w:t>
      </w:r>
      <w:r>
        <w:rPr>
          <w:rFonts w:ascii="Arial MT"/>
          <w:sz w:val="16"/>
        </w:rPr>
        <w:t>2:</w:t>
      </w:r>
      <w:r>
        <w:rPr>
          <w:rFonts w:ascii="Arial MT"/>
          <w:spacing w:val="-9"/>
          <w:sz w:val="16"/>
        </w:rPr>
        <w:t> </w:t>
      </w:r>
      <w:r>
        <w:rPr>
          <w:rFonts w:ascii="Arial MT"/>
          <w:sz w:val="16"/>
        </w:rPr>
        <w:t>Balance</w:t>
      </w:r>
      <w:r>
        <w:rPr>
          <w:rFonts w:ascii="Arial MT"/>
          <w:spacing w:val="-9"/>
          <w:sz w:val="16"/>
        </w:rPr>
        <w:t> </w:t>
      </w:r>
      <w:r>
        <w:rPr>
          <w:rFonts w:ascii="Arial MT"/>
          <w:spacing w:val="-2"/>
          <w:sz w:val="16"/>
        </w:rPr>
        <w:t>Sheets</w:t>
      </w:r>
      <w:r>
        <w:rPr>
          <w:sz w:val="16"/>
        </w:rPr>
        <w:tab/>
      </w:r>
      <w:hyperlink w:history="true" w:anchor="_bookmark7">
        <w:r>
          <w:rPr>
            <w:rFonts w:ascii="Arial MT"/>
            <w:spacing w:val="-10"/>
            <w:sz w:val="16"/>
          </w:rPr>
          <w:t>9</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3:</w:t>
      </w:r>
      <w:r>
        <w:rPr>
          <w:rFonts w:ascii="Arial MT"/>
          <w:spacing w:val="-6"/>
          <w:sz w:val="16"/>
        </w:rPr>
        <w:t> </w:t>
      </w:r>
      <w:r>
        <w:rPr>
          <w:rFonts w:ascii="Arial MT"/>
          <w:sz w:val="16"/>
        </w:rPr>
        <w:t>Net</w:t>
      </w:r>
      <w:r>
        <w:rPr>
          <w:rFonts w:ascii="Arial MT"/>
          <w:spacing w:val="-7"/>
          <w:sz w:val="16"/>
        </w:rPr>
        <w:t> </w:t>
      </w:r>
      <w:r>
        <w:rPr>
          <w:rFonts w:ascii="Arial MT"/>
          <w:sz w:val="16"/>
        </w:rPr>
        <w:t>Other</w:t>
      </w:r>
      <w:r>
        <w:rPr>
          <w:rFonts w:ascii="Arial MT"/>
          <w:spacing w:val="-6"/>
          <w:sz w:val="16"/>
        </w:rPr>
        <w:t> </w:t>
      </w:r>
      <w:r>
        <w:rPr>
          <w:rFonts w:ascii="Arial MT"/>
          <w:spacing w:val="-2"/>
          <w:sz w:val="16"/>
        </w:rPr>
        <w:t>Revenue</w:t>
      </w:r>
      <w:r>
        <w:rPr>
          <w:sz w:val="16"/>
        </w:rPr>
        <w:tab/>
      </w:r>
      <w:hyperlink w:history="true" w:anchor="_bookmark14">
        <w:r>
          <w:rPr>
            <w:rFonts w:ascii="Arial MT"/>
            <w:spacing w:val="-5"/>
            <w:sz w:val="16"/>
          </w:rPr>
          <w:t>12</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4:</w:t>
      </w:r>
      <w:r>
        <w:rPr>
          <w:rFonts w:ascii="Arial MT"/>
          <w:spacing w:val="-7"/>
          <w:sz w:val="16"/>
        </w:rPr>
        <w:t> </w:t>
      </w:r>
      <w:r>
        <w:rPr>
          <w:rFonts w:ascii="Arial MT"/>
          <w:sz w:val="16"/>
        </w:rPr>
        <w:t>Net</w:t>
      </w:r>
      <w:r>
        <w:rPr>
          <w:rFonts w:ascii="Arial MT"/>
          <w:spacing w:val="-8"/>
          <w:sz w:val="16"/>
        </w:rPr>
        <w:t> </w:t>
      </w:r>
      <w:r>
        <w:rPr>
          <w:rFonts w:ascii="Arial MT"/>
          <w:sz w:val="16"/>
        </w:rPr>
        <w:t>Non-Interest</w:t>
      </w:r>
      <w:r>
        <w:rPr>
          <w:rFonts w:ascii="Arial MT"/>
          <w:spacing w:val="-7"/>
          <w:sz w:val="16"/>
        </w:rPr>
        <w:t> </w:t>
      </w:r>
      <w:r>
        <w:rPr>
          <w:rFonts w:ascii="Arial MT"/>
          <w:spacing w:val="-2"/>
          <w:sz w:val="16"/>
        </w:rPr>
        <w:t>Expenses</w:t>
      </w:r>
      <w:r>
        <w:rPr>
          <w:sz w:val="16"/>
        </w:rPr>
        <w:tab/>
      </w:r>
      <w:hyperlink w:history="true" w:anchor="_bookmark16">
        <w:r>
          <w:rPr>
            <w:rFonts w:ascii="Arial MT"/>
            <w:spacing w:val="-5"/>
            <w:sz w:val="16"/>
          </w:rPr>
          <w:t>14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4"/>
          <w:sz w:val="16"/>
        </w:rPr>
        <w:t> </w:t>
      </w:r>
      <w:r>
        <w:rPr>
          <w:rFonts w:ascii="Arial MT"/>
          <w:sz w:val="16"/>
        </w:rPr>
        <w:t>5:</w:t>
      </w:r>
      <w:r>
        <w:rPr>
          <w:rFonts w:ascii="Arial MT"/>
          <w:spacing w:val="-9"/>
          <w:sz w:val="16"/>
        </w:rPr>
        <w:t> </w:t>
      </w:r>
      <w:r>
        <w:rPr>
          <w:rFonts w:ascii="Arial MT"/>
          <w:sz w:val="16"/>
        </w:rPr>
        <w:t>Budget</w:t>
      </w:r>
      <w:r>
        <w:rPr>
          <w:rFonts w:ascii="Arial MT"/>
          <w:spacing w:val="-11"/>
          <w:sz w:val="16"/>
        </w:rPr>
        <w:t> </w:t>
      </w:r>
      <w:r>
        <w:rPr>
          <w:rFonts w:ascii="Arial MT"/>
          <w:sz w:val="16"/>
        </w:rPr>
        <w:t>Anchor</w:t>
      </w:r>
      <w:r>
        <w:rPr>
          <w:rFonts w:ascii="Arial MT"/>
          <w:spacing w:val="-7"/>
          <w:sz w:val="16"/>
        </w:rPr>
        <w:t> </w:t>
      </w:r>
      <w:r>
        <w:rPr>
          <w:rFonts w:ascii="Arial MT"/>
          <w:spacing w:val="-4"/>
          <w:sz w:val="16"/>
        </w:rPr>
        <w:t>Ratio</w:t>
      </w:r>
      <w:r>
        <w:rPr>
          <w:sz w:val="16"/>
        </w:rPr>
        <w:tab/>
      </w:r>
      <w:hyperlink w:history="true" w:anchor="_bookmark17">
        <w:r>
          <w:rPr>
            <w:rFonts w:ascii="Arial MT"/>
            <w:spacing w:val="-5"/>
            <w:sz w:val="16"/>
          </w:rPr>
          <w:t>14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6:</w:t>
      </w:r>
      <w:r>
        <w:rPr>
          <w:rFonts w:ascii="Arial MT"/>
          <w:spacing w:val="-7"/>
          <w:sz w:val="16"/>
        </w:rPr>
        <w:t> </w:t>
      </w:r>
      <w:r>
        <w:rPr>
          <w:rFonts w:ascii="Arial MT"/>
          <w:sz w:val="16"/>
        </w:rPr>
        <w:t>Unrealized</w:t>
      </w:r>
      <w:r>
        <w:rPr>
          <w:rFonts w:ascii="Arial MT"/>
          <w:spacing w:val="-8"/>
          <w:sz w:val="16"/>
        </w:rPr>
        <w:t> </w:t>
      </w:r>
      <w:r>
        <w:rPr>
          <w:rFonts w:ascii="Arial MT"/>
          <w:sz w:val="16"/>
        </w:rPr>
        <w:t>Mark-to-Market</w:t>
      </w:r>
      <w:r>
        <w:rPr>
          <w:rFonts w:ascii="Arial MT"/>
          <w:spacing w:val="-7"/>
          <w:sz w:val="16"/>
        </w:rPr>
        <w:t> </w:t>
      </w:r>
      <w:r>
        <w:rPr>
          <w:rFonts w:ascii="Arial MT"/>
          <w:sz w:val="16"/>
        </w:rPr>
        <w:t>gains/(losses)</w:t>
      </w:r>
      <w:r>
        <w:rPr>
          <w:rFonts w:ascii="Arial MT"/>
          <w:spacing w:val="-7"/>
          <w:sz w:val="16"/>
        </w:rPr>
        <w:t> </w:t>
      </w:r>
      <w:r>
        <w:rPr>
          <w:rFonts w:ascii="Arial MT"/>
          <w:sz w:val="16"/>
        </w:rPr>
        <w:t>on</w:t>
      </w:r>
      <w:r>
        <w:rPr>
          <w:rFonts w:ascii="Arial MT"/>
          <w:spacing w:val="-8"/>
          <w:sz w:val="16"/>
        </w:rPr>
        <w:t> </w:t>
      </w:r>
      <w:r>
        <w:rPr>
          <w:rFonts w:ascii="Arial MT"/>
          <w:sz w:val="16"/>
        </w:rPr>
        <w:t>non-trading</w:t>
      </w:r>
      <w:r>
        <w:rPr>
          <w:rFonts w:ascii="Arial MT"/>
          <w:spacing w:val="-7"/>
          <w:sz w:val="16"/>
        </w:rPr>
        <w:t> </w:t>
      </w:r>
      <w:r>
        <w:rPr>
          <w:rFonts w:ascii="Arial MT"/>
          <w:spacing w:val="-2"/>
          <w:sz w:val="16"/>
        </w:rPr>
        <w:t>portfolios</w:t>
      </w:r>
      <w:r>
        <w:rPr>
          <w:sz w:val="16"/>
        </w:rPr>
        <w:tab/>
      </w:r>
      <w:hyperlink w:history="true" w:anchor="_bookmark18">
        <w:r>
          <w:rPr>
            <w:rFonts w:ascii="Arial MT"/>
            <w:spacing w:val="-5"/>
            <w:sz w:val="16"/>
          </w:rPr>
          <w:t>15</w:t>
        </w:r>
      </w:hyperlink>
    </w:p>
    <w:p>
      <w:pPr>
        <w:tabs>
          <w:tab w:pos="10042" w:val="right" w:leader="none"/>
        </w:tabs>
        <w:spacing w:before="41"/>
        <w:ind w:left="772" w:right="0" w:firstLine="0"/>
        <w:jc w:val="left"/>
        <w:rPr>
          <w:rFonts w:ascii="Arial MT"/>
          <w:sz w:val="16"/>
        </w:rPr>
      </w:pPr>
      <w:r>
        <w:rPr>
          <w:rFonts w:ascii="Arial MT"/>
          <w:spacing w:val="-2"/>
          <w:sz w:val="16"/>
        </w:rPr>
        <w:t>Table</w:t>
      </w:r>
      <w:r>
        <w:rPr>
          <w:rFonts w:ascii="Arial MT"/>
          <w:sz w:val="16"/>
        </w:rPr>
        <w:t> </w:t>
      </w:r>
      <w:r>
        <w:rPr>
          <w:rFonts w:ascii="Arial MT"/>
          <w:spacing w:val="-2"/>
          <w:sz w:val="16"/>
        </w:rPr>
        <w:t>7:</w:t>
      </w:r>
      <w:r>
        <w:rPr>
          <w:rFonts w:ascii="Arial MT"/>
          <w:spacing w:val="-8"/>
          <w:sz w:val="16"/>
        </w:rPr>
        <w:t> </w:t>
      </w:r>
      <w:r>
        <w:rPr>
          <w:rFonts w:ascii="Arial MT"/>
          <w:spacing w:val="-2"/>
          <w:sz w:val="16"/>
        </w:rPr>
        <w:t>Allocable</w:t>
      </w:r>
      <w:r>
        <w:rPr>
          <w:rFonts w:ascii="Arial MT"/>
          <w:spacing w:val="1"/>
          <w:sz w:val="16"/>
        </w:rPr>
        <w:t> </w:t>
      </w:r>
      <w:r>
        <w:rPr>
          <w:rFonts w:ascii="Arial MT"/>
          <w:spacing w:val="-2"/>
          <w:sz w:val="16"/>
        </w:rPr>
        <w:t>Income</w:t>
      </w:r>
      <w:r>
        <w:rPr>
          <w:sz w:val="16"/>
        </w:rPr>
        <w:tab/>
      </w:r>
      <w:hyperlink w:history="true" w:anchor="_bookmark20">
        <w:r>
          <w:rPr>
            <w:rFonts w:ascii="Arial MT"/>
            <w:spacing w:val="-5"/>
            <w:sz w:val="16"/>
          </w:rPr>
          <w:t>16</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7"/>
          <w:sz w:val="16"/>
        </w:rPr>
        <w:t> </w:t>
      </w:r>
      <w:r>
        <w:rPr>
          <w:rFonts w:ascii="Arial MT"/>
          <w:sz w:val="16"/>
        </w:rPr>
        <w:t>8:</w:t>
      </w:r>
      <w:r>
        <w:rPr>
          <w:rFonts w:ascii="Arial MT"/>
          <w:spacing w:val="-6"/>
          <w:sz w:val="16"/>
        </w:rPr>
        <w:t> </w:t>
      </w:r>
      <w:r>
        <w:rPr>
          <w:rFonts w:ascii="Arial MT"/>
          <w:sz w:val="16"/>
        </w:rPr>
        <w:t>Net</w:t>
      </w:r>
      <w:r>
        <w:rPr>
          <w:rFonts w:ascii="Arial MT"/>
          <w:spacing w:val="-6"/>
          <w:sz w:val="16"/>
        </w:rPr>
        <w:t> </w:t>
      </w:r>
      <w:r>
        <w:rPr>
          <w:rFonts w:ascii="Arial MT"/>
          <w:sz w:val="16"/>
        </w:rPr>
        <w:t>Commitments</w:t>
      </w:r>
      <w:r>
        <w:rPr>
          <w:rFonts w:ascii="Arial MT"/>
          <w:spacing w:val="-6"/>
          <w:sz w:val="16"/>
        </w:rPr>
        <w:t> </w:t>
      </w:r>
      <w:r>
        <w:rPr>
          <w:rFonts w:ascii="Arial MT"/>
          <w:sz w:val="16"/>
        </w:rPr>
        <w:t>by</w:t>
      </w:r>
      <w:r>
        <w:rPr>
          <w:rFonts w:ascii="Arial MT"/>
          <w:spacing w:val="-6"/>
          <w:sz w:val="16"/>
        </w:rPr>
        <w:t> </w:t>
      </w:r>
      <w:r>
        <w:rPr>
          <w:rFonts w:ascii="Arial MT"/>
          <w:spacing w:val="-2"/>
          <w:sz w:val="16"/>
        </w:rPr>
        <w:t>Region</w:t>
      </w:r>
      <w:r>
        <w:rPr>
          <w:sz w:val="16"/>
        </w:rPr>
        <w:tab/>
      </w:r>
      <w:hyperlink w:history="true" w:anchor="_bookmark23">
        <w:r>
          <w:rPr>
            <w:rFonts w:ascii="Arial MT"/>
            <w:spacing w:val="-5"/>
            <w:sz w:val="16"/>
          </w:rPr>
          <w:t>19</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9:</w:t>
      </w:r>
      <w:r>
        <w:rPr>
          <w:rFonts w:ascii="Arial MT"/>
          <w:spacing w:val="-6"/>
          <w:sz w:val="16"/>
        </w:rPr>
        <w:t> </w:t>
      </w:r>
      <w:r>
        <w:rPr>
          <w:rFonts w:ascii="Arial MT"/>
          <w:sz w:val="16"/>
        </w:rPr>
        <w:t>Gross</w:t>
      </w:r>
      <w:r>
        <w:rPr>
          <w:rFonts w:ascii="Arial MT"/>
          <w:spacing w:val="-6"/>
          <w:sz w:val="16"/>
        </w:rPr>
        <w:t> </w:t>
      </w:r>
      <w:r>
        <w:rPr>
          <w:rFonts w:ascii="Arial MT"/>
          <w:sz w:val="16"/>
        </w:rPr>
        <w:t>Disbursements</w:t>
      </w:r>
      <w:r>
        <w:rPr>
          <w:rFonts w:ascii="Arial MT"/>
          <w:spacing w:val="-6"/>
          <w:sz w:val="16"/>
        </w:rPr>
        <w:t> </w:t>
      </w:r>
      <w:r>
        <w:rPr>
          <w:rFonts w:ascii="Arial MT"/>
          <w:sz w:val="16"/>
        </w:rPr>
        <w:t>by</w:t>
      </w:r>
      <w:r>
        <w:rPr>
          <w:rFonts w:ascii="Arial MT"/>
          <w:spacing w:val="-6"/>
          <w:sz w:val="16"/>
        </w:rPr>
        <w:t> </w:t>
      </w:r>
      <w:r>
        <w:rPr>
          <w:rFonts w:ascii="Arial MT"/>
          <w:spacing w:val="-2"/>
          <w:sz w:val="16"/>
        </w:rPr>
        <w:t>Region</w:t>
      </w:r>
      <w:r>
        <w:rPr>
          <w:sz w:val="16"/>
        </w:rPr>
        <w:tab/>
      </w:r>
      <w:hyperlink w:history="true" w:anchor="_bookmark24">
        <w:r>
          <w:rPr>
            <w:rFonts w:ascii="Arial MT"/>
            <w:spacing w:val="-5"/>
            <w:sz w:val="16"/>
          </w:rPr>
          <w:t>20</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10:</w:t>
      </w:r>
      <w:r>
        <w:rPr>
          <w:rFonts w:ascii="Arial MT"/>
          <w:spacing w:val="-6"/>
          <w:sz w:val="16"/>
        </w:rPr>
        <w:t> </w:t>
      </w:r>
      <w:r>
        <w:rPr>
          <w:rFonts w:ascii="Arial MT"/>
          <w:sz w:val="16"/>
        </w:rPr>
        <w:t>Net</w:t>
      </w:r>
      <w:r>
        <w:rPr>
          <w:rFonts w:ascii="Arial MT"/>
          <w:spacing w:val="-6"/>
          <w:sz w:val="16"/>
        </w:rPr>
        <w:t> </w:t>
      </w:r>
      <w:r>
        <w:rPr>
          <w:rFonts w:ascii="Arial MT"/>
          <w:sz w:val="16"/>
        </w:rPr>
        <w:t>Commitments</w:t>
      </w:r>
      <w:r>
        <w:rPr>
          <w:rFonts w:ascii="Arial MT"/>
          <w:spacing w:val="-6"/>
          <w:sz w:val="16"/>
        </w:rPr>
        <w:t> </w:t>
      </w:r>
      <w:r>
        <w:rPr>
          <w:rFonts w:ascii="Arial MT"/>
          <w:sz w:val="16"/>
        </w:rPr>
        <w:t>by</w:t>
      </w:r>
      <w:r>
        <w:rPr>
          <w:rFonts w:ascii="Arial MT"/>
          <w:spacing w:val="-6"/>
          <w:sz w:val="16"/>
        </w:rPr>
        <w:t> </w:t>
      </w:r>
      <w:r>
        <w:rPr>
          <w:rFonts w:ascii="Arial MT"/>
          <w:spacing w:val="-2"/>
          <w:sz w:val="16"/>
        </w:rPr>
        <w:t>Maturity</w:t>
      </w:r>
      <w:r>
        <w:rPr>
          <w:sz w:val="16"/>
        </w:rPr>
        <w:tab/>
      </w:r>
      <w:hyperlink w:history="true" w:anchor="_bookmark29">
        <w:r>
          <w:rPr>
            <w:rFonts w:ascii="Arial MT"/>
            <w:spacing w:val="-5"/>
            <w:sz w:val="16"/>
          </w:rPr>
          <w:t>21</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11:</w:t>
      </w:r>
      <w:r>
        <w:rPr>
          <w:rFonts w:ascii="Arial MT"/>
          <w:spacing w:val="-5"/>
          <w:sz w:val="16"/>
        </w:rPr>
        <w:t> </w:t>
      </w:r>
      <w:r>
        <w:rPr>
          <w:rFonts w:ascii="Arial MT"/>
          <w:sz w:val="16"/>
        </w:rPr>
        <w:t>Country</w:t>
      </w:r>
      <w:r>
        <w:rPr>
          <w:rFonts w:ascii="Arial MT"/>
          <w:spacing w:val="-6"/>
          <w:sz w:val="16"/>
        </w:rPr>
        <w:t> </w:t>
      </w:r>
      <w:r>
        <w:rPr>
          <w:rFonts w:ascii="Arial MT"/>
          <w:sz w:val="16"/>
        </w:rPr>
        <w:t>Pricing</w:t>
      </w:r>
      <w:r>
        <w:rPr>
          <w:rFonts w:ascii="Arial MT"/>
          <w:spacing w:val="-6"/>
          <w:sz w:val="16"/>
        </w:rPr>
        <w:t> </w:t>
      </w:r>
      <w:r>
        <w:rPr>
          <w:rFonts w:ascii="Arial MT"/>
          <w:sz w:val="16"/>
        </w:rPr>
        <w:t>Group</w:t>
      </w:r>
      <w:r>
        <w:rPr>
          <w:rFonts w:ascii="Arial MT"/>
          <w:spacing w:val="-7"/>
          <w:sz w:val="16"/>
        </w:rPr>
        <w:t> </w:t>
      </w:r>
      <w:r>
        <w:rPr>
          <w:rFonts w:ascii="Arial MT"/>
          <w:sz w:val="16"/>
        </w:rPr>
        <w:t>and</w:t>
      </w:r>
      <w:r>
        <w:rPr>
          <w:rFonts w:ascii="Arial MT"/>
          <w:spacing w:val="-6"/>
          <w:sz w:val="16"/>
        </w:rPr>
        <w:t> </w:t>
      </w:r>
      <w:r>
        <w:rPr>
          <w:rFonts w:ascii="Arial MT"/>
          <w:sz w:val="16"/>
        </w:rPr>
        <w:t>Maturity</w:t>
      </w:r>
      <w:r>
        <w:rPr>
          <w:rFonts w:ascii="Arial MT"/>
          <w:spacing w:val="-6"/>
          <w:sz w:val="16"/>
        </w:rPr>
        <w:t> </w:t>
      </w:r>
      <w:r>
        <w:rPr>
          <w:rFonts w:ascii="Arial MT"/>
          <w:sz w:val="16"/>
        </w:rPr>
        <w:t>Premium</w:t>
      </w:r>
      <w:r>
        <w:rPr>
          <w:rFonts w:ascii="Arial MT"/>
          <w:spacing w:val="-5"/>
          <w:sz w:val="16"/>
        </w:rPr>
        <w:t> </w:t>
      </w:r>
      <w:r>
        <w:rPr>
          <w:rFonts w:ascii="Arial MT"/>
          <w:sz w:val="16"/>
        </w:rPr>
        <w:t>(in</w:t>
      </w:r>
      <w:r>
        <w:rPr>
          <w:rFonts w:ascii="Arial MT"/>
          <w:spacing w:val="-7"/>
          <w:sz w:val="16"/>
        </w:rPr>
        <w:t> </w:t>
      </w:r>
      <w:r>
        <w:rPr>
          <w:rFonts w:ascii="Arial MT"/>
          <w:sz w:val="16"/>
        </w:rPr>
        <w:t>basis</w:t>
      </w:r>
      <w:r>
        <w:rPr>
          <w:rFonts w:ascii="Arial MT"/>
          <w:spacing w:val="-5"/>
          <w:sz w:val="16"/>
        </w:rPr>
        <w:t> </w:t>
      </w:r>
      <w:r>
        <w:rPr>
          <w:rFonts w:ascii="Arial MT"/>
          <w:spacing w:val="-2"/>
          <w:sz w:val="16"/>
        </w:rPr>
        <w:t>points)</w:t>
      </w:r>
      <w:r>
        <w:rPr>
          <w:sz w:val="16"/>
        </w:rPr>
        <w:tab/>
      </w:r>
      <w:hyperlink w:history="true" w:anchor="_bookmark31">
        <w:r>
          <w:rPr>
            <w:rFonts w:ascii="Arial MT"/>
            <w:spacing w:val="-5"/>
            <w:sz w:val="16"/>
          </w:rPr>
          <w:t>22</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2"/>
          <w:sz w:val="16"/>
        </w:rPr>
        <w:t> </w:t>
      </w:r>
      <w:r>
        <w:rPr>
          <w:rFonts w:ascii="Arial MT"/>
          <w:sz w:val="16"/>
        </w:rPr>
        <w:t>12:</w:t>
      </w:r>
      <w:r>
        <w:rPr>
          <w:rFonts w:ascii="Arial MT"/>
          <w:spacing w:val="-10"/>
          <w:sz w:val="16"/>
        </w:rPr>
        <w:t> </w:t>
      </w:r>
      <w:r>
        <w:rPr>
          <w:rFonts w:ascii="Arial MT"/>
          <w:sz w:val="16"/>
        </w:rPr>
        <w:t>Loan</w:t>
      </w:r>
      <w:r>
        <w:rPr>
          <w:rFonts w:ascii="Arial MT"/>
          <w:spacing w:val="-11"/>
          <w:sz w:val="16"/>
        </w:rPr>
        <w:t> </w:t>
      </w:r>
      <w:r>
        <w:rPr>
          <w:rFonts w:ascii="Arial MT"/>
          <w:sz w:val="16"/>
        </w:rPr>
        <w:t>Terms</w:t>
      </w:r>
      <w:r>
        <w:rPr>
          <w:rFonts w:ascii="Arial MT"/>
          <w:spacing w:val="-11"/>
          <w:sz w:val="16"/>
        </w:rPr>
        <w:t> </w:t>
      </w:r>
      <w:r>
        <w:rPr>
          <w:rFonts w:ascii="Arial MT"/>
          <w:sz w:val="16"/>
        </w:rPr>
        <w:t>Available</w:t>
      </w:r>
      <w:r>
        <w:rPr>
          <w:rFonts w:ascii="Arial MT"/>
          <w:spacing w:val="-9"/>
          <w:sz w:val="16"/>
        </w:rPr>
        <w:t> </w:t>
      </w:r>
      <w:r>
        <w:rPr>
          <w:rFonts w:ascii="Arial MT"/>
          <w:sz w:val="16"/>
        </w:rPr>
        <w:t>During</w:t>
      </w:r>
      <w:r>
        <w:rPr>
          <w:rFonts w:ascii="Arial MT"/>
          <w:spacing w:val="-9"/>
          <w:sz w:val="16"/>
        </w:rPr>
        <w:t> </w:t>
      </w:r>
      <w:r>
        <w:rPr>
          <w:rFonts w:ascii="Arial MT"/>
          <w:sz w:val="16"/>
        </w:rPr>
        <w:t>Fiscal</w:t>
      </w:r>
      <w:r>
        <w:rPr>
          <w:rFonts w:ascii="Arial MT"/>
          <w:spacing w:val="-11"/>
          <w:sz w:val="16"/>
        </w:rPr>
        <w:t> </w:t>
      </w:r>
      <w:r>
        <w:rPr>
          <w:rFonts w:ascii="Arial MT"/>
          <w:sz w:val="16"/>
        </w:rPr>
        <w:t>Year</w:t>
      </w:r>
      <w:r>
        <w:rPr>
          <w:rFonts w:ascii="Arial MT"/>
          <w:spacing w:val="-8"/>
          <w:sz w:val="16"/>
        </w:rPr>
        <w:t> </w:t>
      </w:r>
      <w:r>
        <w:rPr>
          <w:rFonts w:ascii="Arial MT"/>
          <w:sz w:val="16"/>
        </w:rPr>
        <w:t>Ended</w:t>
      </w:r>
      <w:r>
        <w:rPr>
          <w:rFonts w:ascii="Arial MT"/>
          <w:spacing w:val="-9"/>
          <w:sz w:val="16"/>
        </w:rPr>
        <w:t> </w:t>
      </w:r>
      <w:r>
        <w:rPr>
          <w:rFonts w:ascii="Arial MT"/>
          <w:sz w:val="16"/>
        </w:rPr>
        <w:t>June</w:t>
      </w:r>
      <w:r>
        <w:rPr>
          <w:rFonts w:ascii="Arial MT"/>
          <w:spacing w:val="-8"/>
          <w:sz w:val="16"/>
        </w:rPr>
        <w:t> </w:t>
      </w:r>
      <w:r>
        <w:rPr>
          <w:rFonts w:ascii="Arial MT"/>
          <w:sz w:val="16"/>
        </w:rPr>
        <w:t>30,</w:t>
      </w:r>
      <w:r>
        <w:rPr>
          <w:rFonts w:ascii="Arial MT"/>
          <w:spacing w:val="-8"/>
          <w:sz w:val="16"/>
        </w:rPr>
        <w:t> </w:t>
      </w:r>
      <w:r>
        <w:rPr>
          <w:rFonts w:ascii="Arial MT"/>
          <w:spacing w:val="-4"/>
          <w:sz w:val="16"/>
        </w:rPr>
        <w:t>2023</w:t>
      </w:r>
      <w:r>
        <w:rPr>
          <w:sz w:val="16"/>
        </w:rPr>
        <w:tab/>
      </w:r>
      <w:hyperlink w:history="true" w:anchor="_bookmark32">
        <w:r>
          <w:rPr>
            <w:rFonts w:ascii="Arial MT"/>
            <w:spacing w:val="-5"/>
            <w:sz w:val="16"/>
          </w:rPr>
          <w:t>23</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7"/>
          <w:sz w:val="16"/>
        </w:rPr>
        <w:t> </w:t>
      </w:r>
      <w:r>
        <w:rPr>
          <w:rFonts w:ascii="Arial MT"/>
          <w:sz w:val="16"/>
        </w:rPr>
        <w:t>13:</w:t>
      </w:r>
      <w:r>
        <w:rPr>
          <w:rFonts w:ascii="Arial MT"/>
          <w:spacing w:val="-5"/>
          <w:sz w:val="16"/>
        </w:rPr>
        <w:t> </w:t>
      </w:r>
      <w:r>
        <w:rPr>
          <w:rFonts w:ascii="Arial MT"/>
          <w:sz w:val="16"/>
        </w:rPr>
        <w:t>Loans</w:t>
      </w:r>
      <w:r>
        <w:rPr>
          <w:rFonts w:ascii="Arial MT"/>
          <w:spacing w:val="-6"/>
          <w:sz w:val="16"/>
        </w:rPr>
        <w:t> </w:t>
      </w:r>
      <w:r>
        <w:rPr>
          <w:rFonts w:ascii="Arial MT"/>
          <w:sz w:val="16"/>
        </w:rPr>
        <w:t>outstanding</w:t>
      </w:r>
      <w:r>
        <w:rPr>
          <w:rFonts w:ascii="Arial MT"/>
          <w:spacing w:val="-6"/>
          <w:sz w:val="16"/>
        </w:rPr>
        <w:t> </w:t>
      </w:r>
      <w:r>
        <w:rPr>
          <w:rFonts w:ascii="Arial MT"/>
          <w:sz w:val="16"/>
        </w:rPr>
        <w:t>by</w:t>
      </w:r>
      <w:r>
        <w:rPr>
          <w:rFonts w:ascii="Arial MT"/>
          <w:spacing w:val="-6"/>
          <w:sz w:val="16"/>
        </w:rPr>
        <w:t> </w:t>
      </w:r>
      <w:r>
        <w:rPr>
          <w:rFonts w:ascii="Arial MT"/>
          <w:sz w:val="16"/>
        </w:rPr>
        <w:t>interest</w:t>
      </w:r>
      <w:r>
        <w:rPr>
          <w:rFonts w:ascii="Arial MT"/>
          <w:spacing w:val="-5"/>
          <w:sz w:val="16"/>
        </w:rPr>
        <w:t> </w:t>
      </w:r>
      <w:r>
        <w:rPr>
          <w:rFonts w:ascii="Arial MT"/>
          <w:sz w:val="16"/>
        </w:rPr>
        <w:t>rate</w:t>
      </w:r>
      <w:r>
        <w:rPr>
          <w:rFonts w:ascii="Arial MT"/>
          <w:spacing w:val="-7"/>
          <w:sz w:val="16"/>
        </w:rPr>
        <w:t> </w:t>
      </w:r>
      <w:r>
        <w:rPr>
          <w:rFonts w:ascii="Arial MT"/>
          <w:sz w:val="16"/>
        </w:rPr>
        <w:t>structure,</w:t>
      </w:r>
      <w:r>
        <w:rPr>
          <w:rFonts w:ascii="Arial MT"/>
          <w:spacing w:val="-5"/>
          <w:sz w:val="16"/>
        </w:rPr>
        <w:t> </w:t>
      </w:r>
      <w:r>
        <w:rPr>
          <w:rFonts w:ascii="Arial MT"/>
          <w:sz w:val="16"/>
        </w:rPr>
        <w:t>excluding</w:t>
      </w:r>
      <w:r>
        <w:rPr>
          <w:rFonts w:ascii="Arial MT"/>
          <w:spacing w:val="-6"/>
          <w:sz w:val="16"/>
        </w:rPr>
        <w:t> </w:t>
      </w:r>
      <w:r>
        <w:rPr>
          <w:rFonts w:ascii="Arial MT"/>
          <w:spacing w:val="-2"/>
          <w:sz w:val="16"/>
        </w:rPr>
        <w:t>derivatives</w:t>
      </w:r>
      <w:r>
        <w:rPr>
          <w:sz w:val="16"/>
        </w:rPr>
        <w:tab/>
      </w:r>
      <w:hyperlink w:history="true" w:anchor="_bookmark35">
        <w:r>
          <w:rPr>
            <w:rFonts w:ascii="Arial MT"/>
            <w:spacing w:val="-5"/>
            <w:sz w:val="16"/>
          </w:rPr>
          <w:t>24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1"/>
          <w:sz w:val="16"/>
        </w:rPr>
        <w:t> </w:t>
      </w:r>
      <w:r>
        <w:rPr>
          <w:rFonts w:ascii="Arial MT"/>
          <w:sz w:val="16"/>
        </w:rPr>
        <w:t>14:</w:t>
      </w:r>
      <w:r>
        <w:rPr>
          <w:rFonts w:ascii="Arial MT"/>
          <w:spacing w:val="-10"/>
          <w:sz w:val="16"/>
        </w:rPr>
        <w:t> </w:t>
      </w:r>
      <w:r>
        <w:rPr>
          <w:rFonts w:ascii="Arial MT"/>
          <w:sz w:val="16"/>
        </w:rPr>
        <w:t>Guarantees</w:t>
      </w:r>
      <w:r>
        <w:rPr>
          <w:rFonts w:ascii="Arial MT"/>
          <w:spacing w:val="-9"/>
          <w:sz w:val="16"/>
        </w:rPr>
        <w:t> </w:t>
      </w:r>
      <w:r>
        <w:rPr>
          <w:rFonts w:ascii="Arial MT"/>
          <w:spacing w:val="-2"/>
          <w:sz w:val="16"/>
        </w:rPr>
        <w:t>Exposure</w:t>
      </w:r>
      <w:r>
        <w:rPr>
          <w:sz w:val="16"/>
        </w:rPr>
        <w:tab/>
      </w:r>
      <w:hyperlink w:history="true" w:anchor="_bookmark39">
        <w:r>
          <w:rPr>
            <w:rFonts w:ascii="Arial MT"/>
            <w:spacing w:val="-5"/>
            <w:sz w:val="16"/>
          </w:rPr>
          <w:t>25</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15:</w:t>
      </w:r>
      <w:r>
        <w:rPr>
          <w:rFonts w:ascii="Arial MT"/>
          <w:spacing w:val="-6"/>
          <w:sz w:val="16"/>
        </w:rPr>
        <w:t> </w:t>
      </w:r>
      <w:r>
        <w:rPr>
          <w:rFonts w:ascii="Arial MT"/>
          <w:sz w:val="16"/>
        </w:rPr>
        <w:t>Pricing</w:t>
      </w:r>
      <w:r>
        <w:rPr>
          <w:rFonts w:ascii="Arial MT"/>
          <w:spacing w:val="-5"/>
          <w:sz w:val="16"/>
        </w:rPr>
        <w:t> </w:t>
      </w:r>
      <w:r>
        <w:rPr>
          <w:rFonts w:ascii="Arial MT"/>
          <w:sz w:val="16"/>
        </w:rPr>
        <w:t>for</w:t>
      </w:r>
      <w:r>
        <w:rPr>
          <w:rFonts w:ascii="Arial MT"/>
          <w:spacing w:val="-6"/>
          <w:sz w:val="16"/>
        </w:rPr>
        <w:t> </w:t>
      </w:r>
      <w:r>
        <w:rPr>
          <w:rFonts w:ascii="Arial MT"/>
          <w:sz w:val="16"/>
        </w:rPr>
        <w:t>IBRD</w:t>
      </w:r>
      <w:r>
        <w:rPr>
          <w:rFonts w:ascii="Arial MT"/>
          <w:spacing w:val="-5"/>
          <w:sz w:val="16"/>
        </w:rPr>
        <w:t> </w:t>
      </w:r>
      <w:r>
        <w:rPr>
          <w:rFonts w:ascii="Arial MT"/>
          <w:sz w:val="16"/>
        </w:rPr>
        <w:t>Project-Based</w:t>
      </w:r>
      <w:r>
        <w:rPr>
          <w:rFonts w:ascii="Arial MT"/>
          <w:spacing w:val="-6"/>
          <w:sz w:val="16"/>
        </w:rPr>
        <w:t> </w:t>
      </w:r>
      <w:r>
        <w:rPr>
          <w:rFonts w:ascii="Arial MT"/>
          <w:sz w:val="16"/>
        </w:rPr>
        <w:t>and</w:t>
      </w:r>
      <w:r>
        <w:rPr>
          <w:rFonts w:ascii="Arial MT"/>
          <w:spacing w:val="-6"/>
          <w:sz w:val="16"/>
        </w:rPr>
        <w:t> </w:t>
      </w:r>
      <w:r>
        <w:rPr>
          <w:rFonts w:ascii="Arial MT"/>
          <w:sz w:val="16"/>
        </w:rPr>
        <w:t>Policy-Based</w:t>
      </w:r>
      <w:r>
        <w:rPr>
          <w:rFonts w:ascii="Arial MT"/>
          <w:spacing w:val="-5"/>
          <w:sz w:val="16"/>
        </w:rPr>
        <w:t> </w:t>
      </w:r>
      <w:r>
        <w:rPr>
          <w:rFonts w:ascii="Arial MT"/>
          <w:spacing w:val="-2"/>
          <w:sz w:val="16"/>
        </w:rPr>
        <w:t>Guarantees</w:t>
      </w:r>
      <w:r>
        <w:rPr>
          <w:sz w:val="16"/>
        </w:rPr>
        <w:tab/>
      </w:r>
      <w:hyperlink w:history="true" w:anchor="_bookmark40">
        <w:r>
          <w:rPr>
            <w:rFonts w:ascii="Arial MT"/>
            <w:spacing w:val="-5"/>
            <w:sz w:val="16"/>
          </w:rPr>
          <w:t>26</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2"/>
          <w:sz w:val="16"/>
        </w:rPr>
        <w:t> </w:t>
      </w:r>
      <w:r>
        <w:rPr>
          <w:rFonts w:ascii="Arial MT"/>
          <w:sz w:val="16"/>
        </w:rPr>
        <w:t>16:</w:t>
      </w:r>
      <w:r>
        <w:rPr>
          <w:rFonts w:ascii="Arial MT"/>
          <w:spacing w:val="-10"/>
          <w:sz w:val="16"/>
        </w:rPr>
        <w:t> </w:t>
      </w:r>
      <w:r>
        <w:rPr>
          <w:rFonts w:ascii="Arial MT"/>
          <w:sz w:val="16"/>
        </w:rPr>
        <w:t>Exposure</w:t>
      </w:r>
      <w:r>
        <w:rPr>
          <w:rFonts w:ascii="Arial MT"/>
          <w:spacing w:val="-8"/>
          <w:sz w:val="16"/>
        </w:rPr>
        <w:t> </w:t>
      </w:r>
      <w:r>
        <w:rPr>
          <w:rFonts w:ascii="Arial MT"/>
          <w:sz w:val="16"/>
        </w:rPr>
        <w:t>Exchange</w:t>
      </w:r>
      <w:r>
        <w:rPr>
          <w:rFonts w:ascii="Arial MT"/>
          <w:spacing w:val="-11"/>
          <w:sz w:val="16"/>
        </w:rPr>
        <w:t> </w:t>
      </w:r>
      <w:r>
        <w:rPr>
          <w:rFonts w:ascii="Arial MT"/>
          <w:spacing w:val="-2"/>
          <w:sz w:val="16"/>
        </w:rPr>
        <w:t>Agreements</w:t>
      </w:r>
      <w:r>
        <w:rPr>
          <w:sz w:val="16"/>
        </w:rPr>
        <w:tab/>
      </w:r>
      <w:hyperlink w:history="true" w:anchor="_bookmark41">
        <w:r>
          <w:rPr>
            <w:rFonts w:ascii="Arial MT"/>
            <w:spacing w:val="-5"/>
            <w:sz w:val="16"/>
          </w:rPr>
          <w:t>26</w:t>
        </w:r>
      </w:hyperlink>
    </w:p>
    <w:p>
      <w:pPr>
        <w:tabs>
          <w:tab w:pos="10042" w:val="right" w:leader="none"/>
        </w:tabs>
        <w:spacing w:before="41"/>
        <w:ind w:left="772" w:right="0" w:firstLine="0"/>
        <w:jc w:val="left"/>
        <w:rPr>
          <w:rFonts w:ascii="Arial MT" w:hAnsi="Arial MT"/>
          <w:sz w:val="16"/>
        </w:rPr>
      </w:pPr>
      <w:r>
        <w:rPr>
          <w:rFonts w:ascii="Arial MT" w:hAnsi="Arial MT"/>
          <w:sz w:val="16"/>
        </w:rPr>
        <w:t>Table</w:t>
      </w:r>
      <w:r>
        <w:rPr>
          <w:rFonts w:ascii="Arial MT" w:hAnsi="Arial MT"/>
          <w:spacing w:val="-8"/>
          <w:sz w:val="16"/>
        </w:rPr>
        <w:t> </w:t>
      </w:r>
      <w:r>
        <w:rPr>
          <w:rFonts w:ascii="Arial MT" w:hAnsi="Arial MT"/>
          <w:sz w:val="16"/>
        </w:rPr>
        <w:t>17:</w:t>
      </w:r>
      <w:r>
        <w:rPr>
          <w:rFonts w:ascii="Arial MT" w:hAnsi="Arial MT"/>
          <w:spacing w:val="-5"/>
          <w:sz w:val="16"/>
        </w:rPr>
        <w:t> </w:t>
      </w:r>
      <w:r>
        <w:rPr>
          <w:rFonts w:ascii="Arial MT" w:hAnsi="Arial MT"/>
          <w:sz w:val="16"/>
        </w:rPr>
        <w:t>RAMP</w:t>
      </w:r>
      <w:r>
        <w:rPr>
          <w:rFonts w:ascii="Arial MT" w:hAnsi="Arial MT"/>
          <w:spacing w:val="-7"/>
          <w:sz w:val="16"/>
        </w:rPr>
        <w:t> </w:t>
      </w:r>
      <w:r>
        <w:rPr>
          <w:rFonts w:ascii="Arial MT" w:hAnsi="Arial MT"/>
          <w:sz w:val="16"/>
        </w:rPr>
        <w:t>–</w:t>
      </w:r>
      <w:r>
        <w:rPr>
          <w:rFonts w:ascii="Arial MT" w:hAnsi="Arial MT"/>
          <w:spacing w:val="-11"/>
          <w:sz w:val="16"/>
        </w:rPr>
        <w:t> </w:t>
      </w:r>
      <w:r>
        <w:rPr>
          <w:rFonts w:ascii="Arial MT" w:hAnsi="Arial MT"/>
          <w:sz w:val="16"/>
        </w:rPr>
        <w:t>Assets</w:t>
      </w:r>
      <w:r>
        <w:rPr>
          <w:rFonts w:ascii="Arial MT" w:hAnsi="Arial MT"/>
          <w:spacing w:val="-5"/>
          <w:sz w:val="16"/>
        </w:rPr>
        <w:t> </w:t>
      </w:r>
      <w:r>
        <w:rPr>
          <w:rFonts w:ascii="Arial MT" w:hAnsi="Arial MT"/>
          <w:sz w:val="16"/>
        </w:rPr>
        <w:t>and</w:t>
      </w:r>
      <w:r>
        <w:rPr>
          <w:rFonts w:ascii="Arial MT" w:hAnsi="Arial MT"/>
          <w:spacing w:val="-5"/>
          <w:sz w:val="16"/>
        </w:rPr>
        <w:t> </w:t>
      </w:r>
      <w:r>
        <w:rPr>
          <w:rFonts w:ascii="Arial MT" w:hAnsi="Arial MT"/>
          <w:spacing w:val="-2"/>
          <w:sz w:val="16"/>
        </w:rPr>
        <w:t>Revenues</w:t>
      </w:r>
      <w:r>
        <w:rPr>
          <w:sz w:val="16"/>
        </w:rPr>
        <w:tab/>
      </w:r>
      <w:hyperlink w:history="true" w:anchor="_bookmark45">
        <w:r>
          <w:rPr>
            <w:rFonts w:ascii="Arial MT" w:hAnsi="Arial MT"/>
            <w:spacing w:val="-5"/>
            <w:sz w:val="16"/>
          </w:rPr>
          <w:t>28</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7"/>
          <w:sz w:val="16"/>
        </w:rPr>
        <w:t> </w:t>
      </w:r>
      <w:r>
        <w:rPr>
          <w:rFonts w:ascii="Arial MT"/>
          <w:sz w:val="16"/>
        </w:rPr>
        <w:t>18:</w:t>
      </w:r>
      <w:r>
        <w:rPr>
          <w:rFonts w:ascii="Arial MT"/>
          <w:spacing w:val="-6"/>
          <w:sz w:val="16"/>
        </w:rPr>
        <w:t> </w:t>
      </w:r>
      <w:r>
        <w:rPr>
          <w:rFonts w:ascii="Arial MT"/>
          <w:sz w:val="16"/>
        </w:rPr>
        <w:t>Funds</w:t>
      </w:r>
      <w:r>
        <w:rPr>
          <w:rFonts w:ascii="Arial MT"/>
          <w:spacing w:val="-5"/>
          <w:sz w:val="16"/>
        </w:rPr>
        <w:t> </w:t>
      </w:r>
      <w:r>
        <w:rPr>
          <w:rFonts w:ascii="Arial MT"/>
          <w:sz w:val="16"/>
        </w:rPr>
        <w:t>Held</w:t>
      </w:r>
      <w:r>
        <w:rPr>
          <w:rFonts w:ascii="Arial MT"/>
          <w:spacing w:val="-7"/>
          <w:sz w:val="16"/>
        </w:rPr>
        <w:t> </w:t>
      </w:r>
      <w:r>
        <w:rPr>
          <w:rFonts w:ascii="Arial MT"/>
          <w:sz w:val="16"/>
        </w:rPr>
        <w:t>in</w:t>
      </w:r>
      <w:r>
        <w:rPr>
          <w:rFonts w:ascii="Arial MT"/>
          <w:spacing w:val="-9"/>
          <w:sz w:val="16"/>
        </w:rPr>
        <w:t> </w:t>
      </w:r>
      <w:r>
        <w:rPr>
          <w:rFonts w:ascii="Arial MT"/>
          <w:sz w:val="16"/>
        </w:rPr>
        <w:t>Trust</w:t>
      </w:r>
      <w:r>
        <w:rPr>
          <w:rFonts w:ascii="Arial MT"/>
          <w:spacing w:val="-6"/>
          <w:sz w:val="16"/>
        </w:rPr>
        <w:t> </w:t>
      </w:r>
      <w:r>
        <w:rPr>
          <w:rFonts w:ascii="Arial MT"/>
          <w:sz w:val="16"/>
        </w:rPr>
        <w:t>by</w:t>
      </w:r>
      <w:r>
        <w:rPr>
          <w:rFonts w:ascii="Arial MT"/>
          <w:spacing w:val="-5"/>
          <w:sz w:val="16"/>
        </w:rPr>
        <w:t> </w:t>
      </w:r>
      <w:r>
        <w:rPr>
          <w:rFonts w:ascii="Arial MT"/>
          <w:spacing w:val="-4"/>
          <w:sz w:val="16"/>
        </w:rPr>
        <w:t>IBRD</w:t>
      </w:r>
      <w:r>
        <w:rPr>
          <w:sz w:val="16"/>
        </w:rPr>
        <w:tab/>
      </w:r>
      <w:hyperlink w:history="true" w:anchor="_bookmark46">
        <w:r>
          <w:rPr>
            <w:rFonts w:ascii="Arial MT"/>
            <w:spacing w:val="-5"/>
            <w:sz w:val="16"/>
          </w:rPr>
          <w:t>29</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2"/>
          <w:sz w:val="16"/>
        </w:rPr>
        <w:t> </w:t>
      </w:r>
      <w:r>
        <w:rPr>
          <w:rFonts w:ascii="Arial MT"/>
          <w:sz w:val="16"/>
        </w:rPr>
        <w:t>19:</w:t>
      </w:r>
      <w:r>
        <w:rPr>
          <w:rFonts w:ascii="Arial MT"/>
          <w:spacing w:val="-7"/>
          <w:sz w:val="16"/>
        </w:rPr>
        <w:t> </w:t>
      </w:r>
      <w:r>
        <w:rPr>
          <w:rFonts w:ascii="Arial MT"/>
          <w:sz w:val="16"/>
        </w:rPr>
        <w:t>Liquid</w:t>
      </w:r>
      <w:r>
        <w:rPr>
          <w:rFonts w:ascii="Arial MT"/>
          <w:spacing w:val="-11"/>
          <w:sz w:val="16"/>
        </w:rPr>
        <w:t> </w:t>
      </w:r>
      <w:r>
        <w:rPr>
          <w:rFonts w:ascii="Arial MT"/>
          <w:sz w:val="16"/>
        </w:rPr>
        <w:t>Asset</w:t>
      </w:r>
      <w:r>
        <w:rPr>
          <w:rFonts w:ascii="Arial MT"/>
          <w:spacing w:val="-7"/>
          <w:sz w:val="16"/>
        </w:rPr>
        <w:t> </w:t>
      </w:r>
      <w:r>
        <w:rPr>
          <w:rFonts w:ascii="Arial MT"/>
          <w:sz w:val="16"/>
        </w:rPr>
        <w:t>Portfolio</w:t>
      </w:r>
      <w:r>
        <w:rPr>
          <w:rFonts w:ascii="Arial MT"/>
          <w:spacing w:val="-7"/>
          <w:sz w:val="16"/>
        </w:rPr>
        <w:t> </w:t>
      </w:r>
      <w:r>
        <w:rPr>
          <w:rFonts w:ascii="Arial MT"/>
          <w:spacing w:val="-2"/>
          <w:sz w:val="16"/>
        </w:rPr>
        <w:t>Composition</w:t>
      </w:r>
      <w:r>
        <w:rPr>
          <w:sz w:val="16"/>
        </w:rPr>
        <w:tab/>
      </w:r>
      <w:hyperlink w:history="true" w:anchor="_bookmark49">
        <w:r>
          <w:rPr>
            <w:rFonts w:ascii="Arial MT"/>
            <w:spacing w:val="-5"/>
            <w:sz w:val="16"/>
          </w:rPr>
          <w:t>31</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1"/>
          <w:sz w:val="16"/>
        </w:rPr>
        <w:t> </w:t>
      </w:r>
      <w:r>
        <w:rPr>
          <w:rFonts w:ascii="Arial MT"/>
          <w:sz w:val="16"/>
        </w:rPr>
        <w:t>20:</w:t>
      </w:r>
      <w:r>
        <w:rPr>
          <w:rFonts w:ascii="Arial MT"/>
          <w:spacing w:val="-6"/>
          <w:sz w:val="16"/>
        </w:rPr>
        <w:t> </w:t>
      </w:r>
      <w:r>
        <w:rPr>
          <w:rFonts w:ascii="Arial MT"/>
          <w:sz w:val="16"/>
        </w:rPr>
        <w:t>Liquid</w:t>
      </w:r>
      <w:r>
        <w:rPr>
          <w:rFonts w:ascii="Arial MT"/>
          <w:spacing w:val="-11"/>
          <w:sz w:val="16"/>
        </w:rPr>
        <w:t> </w:t>
      </w:r>
      <w:r>
        <w:rPr>
          <w:rFonts w:ascii="Arial MT"/>
          <w:sz w:val="16"/>
        </w:rPr>
        <w:t>Asset</w:t>
      </w:r>
      <w:r>
        <w:rPr>
          <w:rFonts w:ascii="Arial MT"/>
          <w:spacing w:val="-5"/>
          <w:sz w:val="16"/>
        </w:rPr>
        <w:t> </w:t>
      </w:r>
      <w:r>
        <w:rPr>
          <w:rFonts w:ascii="Arial MT"/>
          <w:sz w:val="16"/>
        </w:rPr>
        <w:t>Portfolio</w:t>
      </w:r>
      <w:r>
        <w:rPr>
          <w:rFonts w:ascii="Arial MT"/>
          <w:spacing w:val="-6"/>
          <w:sz w:val="16"/>
        </w:rPr>
        <w:t> </w:t>
      </w:r>
      <w:r>
        <w:rPr>
          <w:rFonts w:ascii="Arial MT"/>
          <w:sz w:val="16"/>
        </w:rPr>
        <w:t>-</w:t>
      </w:r>
      <w:r>
        <w:rPr>
          <w:rFonts w:ascii="Arial MT"/>
          <w:spacing w:val="-12"/>
          <w:sz w:val="16"/>
        </w:rPr>
        <w:t> </w:t>
      </w:r>
      <w:r>
        <w:rPr>
          <w:rFonts w:ascii="Arial MT"/>
          <w:sz w:val="16"/>
        </w:rPr>
        <w:t>Average</w:t>
      </w:r>
      <w:r>
        <w:rPr>
          <w:rFonts w:ascii="Arial MT"/>
          <w:spacing w:val="-6"/>
          <w:sz w:val="16"/>
        </w:rPr>
        <w:t> </w:t>
      </w:r>
      <w:r>
        <w:rPr>
          <w:rFonts w:ascii="Arial MT"/>
          <w:sz w:val="16"/>
        </w:rPr>
        <w:t>Balances</w:t>
      </w:r>
      <w:r>
        <w:rPr>
          <w:rFonts w:ascii="Arial MT"/>
          <w:spacing w:val="-5"/>
          <w:sz w:val="16"/>
        </w:rPr>
        <w:t> </w:t>
      </w:r>
      <w:r>
        <w:rPr>
          <w:rFonts w:ascii="Arial MT"/>
          <w:sz w:val="16"/>
        </w:rPr>
        <w:t>and</w:t>
      </w:r>
      <w:r>
        <w:rPr>
          <w:rFonts w:ascii="Arial MT"/>
          <w:spacing w:val="-6"/>
          <w:sz w:val="16"/>
        </w:rPr>
        <w:t> </w:t>
      </w:r>
      <w:r>
        <w:rPr>
          <w:rFonts w:ascii="Arial MT"/>
          <w:spacing w:val="-2"/>
          <w:sz w:val="16"/>
        </w:rPr>
        <w:t>Returns</w:t>
      </w:r>
      <w:r>
        <w:rPr>
          <w:sz w:val="16"/>
        </w:rPr>
        <w:tab/>
      </w:r>
      <w:hyperlink w:history="true" w:anchor="_bookmark50">
        <w:r>
          <w:rPr>
            <w:rFonts w:ascii="Arial MT"/>
            <w:spacing w:val="-5"/>
            <w:sz w:val="16"/>
          </w:rPr>
          <w:t>31</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8"/>
          <w:sz w:val="16"/>
        </w:rPr>
        <w:t> </w:t>
      </w:r>
      <w:r>
        <w:rPr>
          <w:rFonts w:ascii="Arial MT"/>
          <w:sz w:val="16"/>
        </w:rPr>
        <w:t>21:</w:t>
      </w:r>
      <w:r>
        <w:rPr>
          <w:rFonts w:ascii="Arial MT"/>
          <w:spacing w:val="-7"/>
          <w:sz w:val="16"/>
        </w:rPr>
        <w:t> </w:t>
      </w:r>
      <w:r>
        <w:rPr>
          <w:rFonts w:ascii="Arial MT"/>
          <w:sz w:val="16"/>
        </w:rPr>
        <w:t>Net</w:t>
      </w:r>
      <w:r>
        <w:rPr>
          <w:rFonts w:ascii="Arial MT"/>
          <w:spacing w:val="-7"/>
          <w:sz w:val="16"/>
        </w:rPr>
        <w:t> </w:t>
      </w:r>
      <w:r>
        <w:rPr>
          <w:rFonts w:ascii="Arial MT"/>
          <w:sz w:val="16"/>
        </w:rPr>
        <w:t>Carrying</w:t>
      </w:r>
      <w:r>
        <w:rPr>
          <w:rFonts w:ascii="Arial MT"/>
          <w:spacing w:val="-7"/>
          <w:sz w:val="16"/>
        </w:rPr>
        <w:t> </w:t>
      </w:r>
      <w:r>
        <w:rPr>
          <w:rFonts w:ascii="Arial MT"/>
          <w:sz w:val="16"/>
        </w:rPr>
        <w:t>Value</w:t>
      </w:r>
      <w:r>
        <w:rPr>
          <w:rFonts w:ascii="Arial MT"/>
          <w:spacing w:val="-8"/>
          <w:sz w:val="16"/>
        </w:rPr>
        <w:t> </w:t>
      </w:r>
      <w:r>
        <w:rPr>
          <w:rFonts w:ascii="Arial MT"/>
          <w:sz w:val="16"/>
        </w:rPr>
        <w:t>of</w:t>
      </w:r>
      <w:r>
        <w:rPr>
          <w:rFonts w:ascii="Arial MT"/>
          <w:spacing w:val="-7"/>
          <w:sz w:val="16"/>
        </w:rPr>
        <w:t> </w:t>
      </w:r>
      <w:r>
        <w:rPr>
          <w:rFonts w:ascii="Arial MT"/>
          <w:sz w:val="16"/>
        </w:rPr>
        <w:t>Other</w:t>
      </w:r>
      <w:r>
        <w:rPr>
          <w:rFonts w:ascii="Arial MT"/>
          <w:spacing w:val="-6"/>
          <w:sz w:val="16"/>
        </w:rPr>
        <w:t> </w:t>
      </w:r>
      <w:r>
        <w:rPr>
          <w:rFonts w:ascii="Arial MT"/>
          <w:spacing w:val="-2"/>
          <w:sz w:val="16"/>
        </w:rPr>
        <w:t>Investments</w:t>
      </w:r>
      <w:r>
        <w:rPr>
          <w:sz w:val="16"/>
        </w:rPr>
        <w:tab/>
      </w:r>
      <w:hyperlink w:history="true" w:anchor="_bookmark52">
        <w:r>
          <w:rPr>
            <w:rFonts w:ascii="Arial MT"/>
            <w:spacing w:val="-5"/>
            <w:sz w:val="16"/>
          </w:rPr>
          <w:t>31</w:t>
        </w:r>
      </w:hyperlink>
    </w:p>
    <w:p>
      <w:pPr>
        <w:tabs>
          <w:tab w:pos="10042" w:val="right" w:leader="none"/>
        </w:tabs>
        <w:spacing w:before="41"/>
        <w:ind w:left="772" w:right="0" w:firstLine="0"/>
        <w:jc w:val="left"/>
        <w:rPr>
          <w:rFonts w:ascii="Arial MT"/>
          <w:sz w:val="16"/>
        </w:rPr>
      </w:pPr>
      <w:r>
        <w:rPr>
          <w:rFonts w:ascii="Arial MT"/>
          <w:spacing w:val="-2"/>
          <w:sz w:val="16"/>
        </w:rPr>
        <w:t>Table</w:t>
      </w:r>
      <w:r>
        <w:rPr>
          <w:rFonts w:ascii="Arial MT"/>
          <w:spacing w:val="-4"/>
          <w:sz w:val="16"/>
        </w:rPr>
        <w:t> </w:t>
      </w:r>
      <w:r>
        <w:rPr>
          <w:rFonts w:ascii="Arial MT"/>
          <w:spacing w:val="-2"/>
          <w:sz w:val="16"/>
        </w:rPr>
        <w:t>22:</w:t>
      </w:r>
      <w:r>
        <w:rPr>
          <w:rFonts w:ascii="Arial MT"/>
          <w:spacing w:val="-3"/>
          <w:sz w:val="16"/>
        </w:rPr>
        <w:t> </w:t>
      </w:r>
      <w:r>
        <w:rPr>
          <w:rFonts w:ascii="Arial MT"/>
          <w:spacing w:val="-2"/>
          <w:sz w:val="16"/>
        </w:rPr>
        <w:t>Short-Term Borrowings</w:t>
      </w:r>
      <w:r>
        <w:rPr>
          <w:sz w:val="16"/>
        </w:rPr>
        <w:tab/>
      </w:r>
      <w:hyperlink w:history="true" w:anchor="_bookmark56">
        <w:r>
          <w:rPr>
            <w:rFonts w:ascii="Arial MT"/>
            <w:spacing w:val="-5"/>
            <w:sz w:val="16"/>
          </w:rPr>
          <w:t>33</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0"/>
          <w:sz w:val="16"/>
        </w:rPr>
        <w:t> </w:t>
      </w:r>
      <w:r>
        <w:rPr>
          <w:rFonts w:ascii="Arial MT"/>
          <w:sz w:val="16"/>
        </w:rPr>
        <w:t>23:</w:t>
      </w:r>
      <w:r>
        <w:rPr>
          <w:rFonts w:ascii="Arial MT"/>
          <w:spacing w:val="-9"/>
          <w:sz w:val="16"/>
        </w:rPr>
        <w:t> </w:t>
      </w:r>
      <w:r>
        <w:rPr>
          <w:rFonts w:ascii="Arial MT"/>
          <w:sz w:val="16"/>
        </w:rPr>
        <w:t>Funding</w:t>
      </w:r>
      <w:r>
        <w:rPr>
          <w:rFonts w:ascii="Arial MT"/>
          <w:spacing w:val="-10"/>
          <w:sz w:val="16"/>
        </w:rPr>
        <w:t> </w:t>
      </w:r>
      <w:r>
        <w:rPr>
          <w:rFonts w:ascii="Arial MT"/>
          <w:sz w:val="16"/>
        </w:rPr>
        <w:t>Operations</w:t>
      </w:r>
      <w:r>
        <w:rPr>
          <w:rFonts w:ascii="Arial MT"/>
          <w:spacing w:val="-8"/>
          <w:sz w:val="16"/>
        </w:rPr>
        <w:t> </w:t>
      </w:r>
      <w:r>
        <w:rPr>
          <w:rFonts w:ascii="Arial MT"/>
          <w:spacing w:val="-2"/>
          <w:sz w:val="16"/>
        </w:rPr>
        <w:t>Indicators</w:t>
      </w:r>
      <w:r>
        <w:rPr>
          <w:sz w:val="16"/>
        </w:rPr>
        <w:tab/>
      </w:r>
      <w:hyperlink w:history="true" w:anchor="_bookmark58">
        <w:r>
          <w:rPr>
            <w:rFonts w:ascii="Arial MT"/>
            <w:spacing w:val="-5"/>
            <w:sz w:val="16"/>
          </w:rPr>
          <w:t>34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24:</w:t>
      </w:r>
      <w:r>
        <w:rPr>
          <w:rFonts w:ascii="Arial MT"/>
          <w:spacing w:val="-7"/>
          <w:sz w:val="16"/>
        </w:rPr>
        <w:t> </w:t>
      </w:r>
      <w:r>
        <w:rPr>
          <w:rFonts w:ascii="Arial MT"/>
          <w:sz w:val="16"/>
        </w:rPr>
        <w:t>Maturity</w:t>
      </w:r>
      <w:r>
        <w:rPr>
          <w:rFonts w:ascii="Arial MT"/>
          <w:spacing w:val="-8"/>
          <w:sz w:val="16"/>
        </w:rPr>
        <w:t> </w:t>
      </w:r>
      <w:r>
        <w:rPr>
          <w:rFonts w:ascii="Arial MT"/>
          <w:sz w:val="16"/>
        </w:rPr>
        <w:t>Profile</w:t>
      </w:r>
      <w:r>
        <w:rPr>
          <w:rFonts w:ascii="Arial MT"/>
          <w:spacing w:val="-8"/>
          <w:sz w:val="16"/>
        </w:rPr>
        <w:t> </w:t>
      </w:r>
      <w:r>
        <w:rPr>
          <w:rFonts w:ascii="Arial MT"/>
          <w:sz w:val="16"/>
        </w:rPr>
        <w:t>of</w:t>
      </w:r>
      <w:r>
        <w:rPr>
          <w:rFonts w:ascii="Arial MT"/>
          <w:spacing w:val="-7"/>
          <w:sz w:val="16"/>
        </w:rPr>
        <w:t> </w:t>
      </w:r>
      <w:r>
        <w:rPr>
          <w:rFonts w:ascii="Arial MT"/>
          <w:sz w:val="16"/>
        </w:rPr>
        <w:t>Medium</w:t>
      </w:r>
      <w:r>
        <w:rPr>
          <w:rFonts w:ascii="Arial MT"/>
          <w:spacing w:val="-8"/>
          <w:sz w:val="16"/>
        </w:rPr>
        <w:t> </w:t>
      </w:r>
      <w:r>
        <w:rPr>
          <w:rFonts w:ascii="Arial MT"/>
          <w:sz w:val="16"/>
        </w:rPr>
        <w:t>and</w:t>
      </w:r>
      <w:r>
        <w:rPr>
          <w:rFonts w:ascii="Arial MT"/>
          <w:spacing w:val="-8"/>
          <w:sz w:val="16"/>
        </w:rPr>
        <w:t> </w:t>
      </w:r>
      <w:r>
        <w:rPr>
          <w:rFonts w:ascii="Arial MT"/>
          <w:sz w:val="16"/>
        </w:rPr>
        <w:t>Long-Term</w:t>
      </w:r>
      <w:r>
        <w:rPr>
          <w:rFonts w:ascii="Arial MT"/>
          <w:spacing w:val="-7"/>
          <w:sz w:val="16"/>
        </w:rPr>
        <w:t> </w:t>
      </w:r>
      <w:r>
        <w:rPr>
          <w:rFonts w:ascii="Arial MT"/>
          <w:spacing w:val="-4"/>
          <w:sz w:val="16"/>
        </w:rPr>
        <w:t>Debt</w:t>
      </w:r>
      <w:r>
        <w:rPr>
          <w:sz w:val="16"/>
        </w:rPr>
        <w:tab/>
      </w:r>
      <w:hyperlink w:history="true" w:anchor="_bookmark59">
        <w:r>
          <w:rPr>
            <w:rFonts w:ascii="Arial MT"/>
            <w:spacing w:val="-5"/>
            <w:sz w:val="16"/>
          </w:rPr>
          <w:t>34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7"/>
          <w:sz w:val="16"/>
        </w:rPr>
        <w:t> </w:t>
      </w:r>
      <w:r>
        <w:rPr>
          <w:rFonts w:ascii="Arial MT"/>
          <w:sz w:val="16"/>
        </w:rPr>
        <w:t>25:</w:t>
      </w:r>
      <w:r>
        <w:rPr>
          <w:rFonts w:ascii="Arial MT"/>
          <w:spacing w:val="-6"/>
          <w:sz w:val="16"/>
        </w:rPr>
        <w:t> </w:t>
      </w:r>
      <w:r>
        <w:rPr>
          <w:rFonts w:ascii="Arial MT"/>
          <w:sz w:val="16"/>
        </w:rPr>
        <w:t>Breakdown</w:t>
      </w:r>
      <w:r>
        <w:rPr>
          <w:rFonts w:ascii="Arial MT"/>
          <w:spacing w:val="-7"/>
          <w:sz w:val="16"/>
        </w:rPr>
        <w:t> </w:t>
      </w:r>
      <w:r>
        <w:rPr>
          <w:rFonts w:ascii="Arial MT"/>
          <w:sz w:val="16"/>
        </w:rPr>
        <w:t>of</w:t>
      </w:r>
      <w:r>
        <w:rPr>
          <w:rFonts w:ascii="Arial MT"/>
          <w:spacing w:val="-6"/>
          <w:sz w:val="16"/>
        </w:rPr>
        <w:t> </w:t>
      </w:r>
      <w:r>
        <w:rPr>
          <w:rFonts w:ascii="Arial MT"/>
          <w:sz w:val="16"/>
        </w:rPr>
        <w:t>IBRD</w:t>
      </w:r>
      <w:r>
        <w:rPr>
          <w:rFonts w:ascii="Arial MT"/>
          <w:spacing w:val="-6"/>
          <w:sz w:val="16"/>
        </w:rPr>
        <w:t> </w:t>
      </w:r>
      <w:r>
        <w:rPr>
          <w:rFonts w:ascii="Arial MT"/>
          <w:sz w:val="16"/>
        </w:rPr>
        <w:t>Subscribed</w:t>
      </w:r>
      <w:r>
        <w:rPr>
          <w:rFonts w:ascii="Arial MT"/>
          <w:spacing w:val="-6"/>
          <w:sz w:val="16"/>
        </w:rPr>
        <w:t> </w:t>
      </w:r>
      <w:r>
        <w:rPr>
          <w:rFonts w:ascii="Arial MT"/>
          <w:spacing w:val="-2"/>
          <w:sz w:val="16"/>
        </w:rPr>
        <w:t>Capital</w:t>
      </w:r>
      <w:r>
        <w:rPr>
          <w:sz w:val="16"/>
        </w:rPr>
        <w:tab/>
      </w:r>
      <w:hyperlink w:history="true" w:anchor="_bookmark63">
        <w:r>
          <w:rPr>
            <w:rFonts w:ascii="Arial MT"/>
            <w:spacing w:val="-5"/>
            <w:sz w:val="16"/>
          </w:rPr>
          <w:t>35</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26:</w:t>
      </w:r>
      <w:r>
        <w:rPr>
          <w:rFonts w:ascii="Arial MT"/>
          <w:spacing w:val="-8"/>
          <w:sz w:val="16"/>
        </w:rPr>
        <w:t> </w:t>
      </w:r>
      <w:r>
        <w:rPr>
          <w:rFonts w:ascii="Arial MT"/>
          <w:sz w:val="16"/>
        </w:rPr>
        <w:t>Usable</w:t>
      </w:r>
      <w:r>
        <w:rPr>
          <w:rFonts w:ascii="Arial MT"/>
          <w:spacing w:val="-8"/>
          <w:sz w:val="16"/>
        </w:rPr>
        <w:t> </w:t>
      </w:r>
      <w:r>
        <w:rPr>
          <w:rFonts w:ascii="Arial MT"/>
          <w:sz w:val="16"/>
        </w:rPr>
        <w:t>Paid-In</w:t>
      </w:r>
      <w:r>
        <w:rPr>
          <w:rFonts w:ascii="Arial MT"/>
          <w:spacing w:val="-8"/>
          <w:sz w:val="16"/>
        </w:rPr>
        <w:t> </w:t>
      </w:r>
      <w:r>
        <w:rPr>
          <w:rFonts w:ascii="Arial MT"/>
          <w:spacing w:val="-2"/>
          <w:sz w:val="16"/>
        </w:rPr>
        <w:t>Capital</w:t>
      </w:r>
      <w:r>
        <w:rPr>
          <w:sz w:val="16"/>
        </w:rPr>
        <w:tab/>
      </w:r>
      <w:hyperlink w:history="true" w:anchor="_bookmark64">
        <w:r>
          <w:rPr>
            <w:rFonts w:ascii="Arial MT"/>
            <w:spacing w:val="-5"/>
            <w:sz w:val="16"/>
          </w:rPr>
          <w:t>36</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0"/>
          <w:sz w:val="16"/>
        </w:rPr>
        <w:t> </w:t>
      </w:r>
      <w:r>
        <w:rPr>
          <w:rFonts w:ascii="Arial MT"/>
          <w:sz w:val="16"/>
        </w:rPr>
        <w:t>27:</w:t>
      </w:r>
      <w:r>
        <w:rPr>
          <w:rFonts w:ascii="Arial MT"/>
          <w:spacing w:val="-10"/>
          <w:sz w:val="16"/>
        </w:rPr>
        <w:t> </w:t>
      </w:r>
      <w:r>
        <w:rPr>
          <w:rFonts w:ascii="Arial MT"/>
          <w:sz w:val="16"/>
        </w:rPr>
        <w:t>Usable</w:t>
      </w:r>
      <w:r>
        <w:rPr>
          <w:rFonts w:ascii="Arial MT"/>
          <w:spacing w:val="-9"/>
          <w:sz w:val="16"/>
        </w:rPr>
        <w:t> </w:t>
      </w:r>
      <w:r>
        <w:rPr>
          <w:rFonts w:ascii="Arial MT"/>
          <w:spacing w:val="-2"/>
          <w:sz w:val="16"/>
        </w:rPr>
        <w:t>Equity</w:t>
      </w:r>
      <w:r>
        <w:rPr>
          <w:sz w:val="16"/>
        </w:rPr>
        <w:tab/>
      </w:r>
      <w:hyperlink w:history="true" w:anchor="_bookmark66">
        <w:r>
          <w:rPr>
            <w:rFonts w:ascii="Arial MT"/>
            <w:spacing w:val="-5"/>
            <w:sz w:val="16"/>
          </w:rPr>
          <w:t>37</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4"/>
          <w:sz w:val="16"/>
        </w:rPr>
        <w:t> </w:t>
      </w:r>
      <w:r>
        <w:rPr>
          <w:rFonts w:ascii="Arial MT"/>
          <w:sz w:val="16"/>
        </w:rPr>
        <w:t>28:</w:t>
      </w:r>
      <w:r>
        <w:rPr>
          <w:rFonts w:ascii="Arial MT"/>
          <w:spacing w:val="-10"/>
          <w:sz w:val="16"/>
        </w:rPr>
        <w:t> </w:t>
      </w:r>
      <w:r>
        <w:rPr>
          <w:rFonts w:ascii="Arial MT"/>
          <w:sz w:val="16"/>
        </w:rPr>
        <w:t>Equity-to-Loans</w:t>
      </w:r>
      <w:r>
        <w:rPr>
          <w:rFonts w:ascii="Arial MT"/>
          <w:spacing w:val="-10"/>
          <w:sz w:val="16"/>
        </w:rPr>
        <w:t> </w:t>
      </w:r>
      <w:r>
        <w:rPr>
          <w:rFonts w:ascii="Arial MT"/>
          <w:spacing w:val="-4"/>
          <w:sz w:val="16"/>
        </w:rPr>
        <w:t>Ratio</w:t>
      </w:r>
      <w:r>
        <w:rPr>
          <w:sz w:val="16"/>
        </w:rPr>
        <w:tab/>
      </w:r>
      <w:hyperlink w:history="true" w:anchor="_bookmark75">
        <w:r>
          <w:rPr>
            <w:rFonts w:ascii="Arial MT"/>
            <w:spacing w:val="-5"/>
            <w:sz w:val="16"/>
          </w:rPr>
          <w:t>42</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29:</w:t>
      </w:r>
      <w:r>
        <w:rPr>
          <w:rFonts w:ascii="Arial MT"/>
          <w:spacing w:val="-5"/>
          <w:sz w:val="16"/>
        </w:rPr>
        <w:t> </w:t>
      </w:r>
      <w:r>
        <w:rPr>
          <w:rFonts w:ascii="Arial MT"/>
          <w:sz w:val="16"/>
        </w:rPr>
        <w:t>Commercial</w:t>
      </w:r>
      <w:r>
        <w:rPr>
          <w:rFonts w:ascii="Arial MT"/>
          <w:spacing w:val="-5"/>
          <w:sz w:val="16"/>
        </w:rPr>
        <w:t> </w:t>
      </w:r>
      <w:r>
        <w:rPr>
          <w:rFonts w:ascii="Arial MT"/>
          <w:sz w:val="16"/>
        </w:rPr>
        <w:t>Credit</w:t>
      </w:r>
      <w:r>
        <w:rPr>
          <w:rFonts w:ascii="Arial MT"/>
          <w:spacing w:val="-6"/>
          <w:sz w:val="16"/>
        </w:rPr>
        <w:t> </w:t>
      </w:r>
      <w:r>
        <w:rPr>
          <w:rFonts w:ascii="Arial MT"/>
          <w:sz w:val="16"/>
        </w:rPr>
        <w:t>Exposure,</w:t>
      </w:r>
      <w:r>
        <w:rPr>
          <w:rFonts w:ascii="Arial MT"/>
          <w:spacing w:val="-5"/>
          <w:sz w:val="16"/>
        </w:rPr>
        <w:t> </w:t>
      </w:r>
      <w:r>
        <w:rPr>
          <w:rFonts w:ascii="Arial MT"/>
          <w:sz w:val="16"/>
        </w:rPr>
        <w:t>Net</w:t>
      </w:r>
      <w:r>
        <w:rPr>
          <w:rFonts w:ascii="Arial MT"/>
          <w:spacing w:val="-5"/>
          <w:sz w:val="16"/>
        </w:rPr>
        <w:t> </w:t>
      </w:r>
      <w:r>
        <w:rPr>
          <w:rFonts w:ascii="Arial MT"/>
          <w:sz w:val="16"/>
        </w:rPr>
        <w:t>of</w:t>
      </w:r>
      <w:r>
        <w:rPr>
          <w:rFonts w:ascii="Arial MT"/>
          <w:spacing w:val="-5"/>
          <w:sz w:val="16"/>
        </w:rPr>
        <w:t> </w:t>
      </w:r>
      <w:r>
        <w:rPr>
          <w:rFonts w:ascii="Arial MT"/>
          <w:sz w:val="16"/>
        </w:rPr>
        <w:t>Collateral</w:t>
      </w:r>
      <w:r>
        <w:rPr>
          <w:rFonts w:ascii="Arial MT"/>
          <w:spacing w:val="-6"/>
          <w:sz w:val="16"/>
        </w:rPr>
        <w:t> </w:t>
      </w:r>
      <w:r>
        <w:rPr>
          <w:rFonts w:ascii="Arial MT"/>
          <w:sz w:val="16"/>
        </w:rPr>
        <w:t>Held,</w:t>
      </w:r>
      <w:r>
        <w:rPr>
          <w:rFonts w:ascii="Arial MT"/>
          <w:spacing w:val="-5"/>
          <w:sz w:val="16"/>
        </w:rPr>
        <w:t> </w:t>
      </w:r>
      <w:r>
        <w:rPr>
          <w:rFonts w:ascii="Arial MT"/>
          <w:sz w:val="16"/>
        </w:rPr>
        <w:t>by</w:t>
      </w:r>
      <w:r>
        <w:rPr>
          <w:rFonts w:ascii="Arial MT"/>
          <w:spacing w:val="-5"/>
          <w:sz w:val="16"/>
        </w:rPr>
        <w:t> </w:t>
      </w:r>
      <w:r>
        <w:rPr>
          <w:rFonts w:ascii="Arial MT"/>
          <w:sz w:val="16"/>
        </w:rPr>
        <w:t>Counterparty</w:t>
      </w:r>
      <w:r>
        <w:rPr>
          <w:rFonts w:ascii="Arial MT"/>
          <w:spacing w:val="-5"/>
          <w:sz w:val="16"/>
        </w:rPr>
        <w:t> </w:t>
      </w:r>
      <w:r>
        <w:rPr>
          <w:rFonts w:ascii="Arial MT"/>
          <w:spacing w:val="-2"/>
          <w:sz w:val="16"/>
        </w:rPr>
        <w:t>Rating</w:t>
      </w:r>
      <w:r>
        <w:rPr>
          <w:sz w:val="16"/>
        </w:rPr>
        <w:tab/>
      </w:r>
      <w:hyperlink w:history="true" w:anchor="_bookmark80">
        <w:r>
          <w:rPr>
            <w:rFonts w:ascii="Arial MT"/>
            <w:spacing w:val="-5"/>
            <w:sz w:val="16"/>
          </w:rPr>
          <w:t>48</w:t>
        </w:r>
      </w:hyperlink>
    </w:p>
    <w:p>
      <w:pPr>
        <w:tabs>
          <w:tab w:pos="10042" w:val="right" w:leader="none"/>
        </w:tabs>
        <w:spacing w:before="39"/>
        <w:ind w:left="772" w:right="0" w:firstLine="0"/>
        <w:jc w:val="left"/>
        <w:rPr>
          <w:rFonts w:ascii="Arial MT"/>
          <w:sz w:val="16"/>
        </w:rPr>
      </w:pPr>
      <w:r>
        <w:rPr>
          <w:rFonts w:ascii="Arial MT"/>
          <w:position w:val="1"/>
          <w:sz w:val="16"/>
        </w:rPr>
        <w:t>Table</w:t>
      </w:r>
      <w:r>
        <w:rPr>
          <w:rFonts w:ascii="Arial MT"/>
          <w:spacing w:val="-10"/>
          <w:position w:val="1"/>
          <w:sz w:val="16"/>
        </w:rPr>
        <w:t> </w:t>
      </w:r>
      <w:r>
        <w:rPr>
          <w:rFonts w:ascii="Arial MT"/>
          <w:position w:val="1"/>
          <w:sz w:val="16"/>
        </w:rPr>
        <w:t>30:</w:t>
      </w:r>
      <w:r>
        <w:rPr>
          <w:rFonts w:ascii="Arial MT"/>
          <w:spacing w:val="-8"/>
          <w:position w:val="1"/>
          <w:sz w:val="16"/>
        </w:rPr>
        <w:t> </w:t>
      </w:r>
      <w:r>
        <w:rPr>
          <w:rFonts w:ascii="Arial MT"/>
          <w:position w:val="1"/>
          <w:sz w:val="16"/>
        </w:rPr>
        <w:t>Non-Commercial</w:t>
      </w:r>
      <w:r>
        <w:rPr>
          <w:rFonts w:ascii="Arial MT"/>
          <w:spacing w:val="-9"/>
          <w:position w:val="1"/>
          <w:sz w:val="16"/>
        </w:rPr>
        <w:t> </w:t>
      </w:r>
      <w:r>
        <w:rPr>
          <w:rFonts w:ascii="Arial MT"/>
          <w:position w:val="1"/>
          <w:sz w:val="16"/>
        </w:rPr>
        <w:t>Counterparty</w:t>
      </w:r>
      <w:r>
        <w:rPr>
          <w:rFonts w:ascii="Arial MT"/>
          <w:spacing w:val="-8"/>
          <w:position w:val="1"/>
          <w:sz w:val="16"/>
        </w:rPr>
        <w:t> </w:t>
      </w:r>
      <w:r>
        <w:rPr>
          <w:rFonts w:ascii="Arial MT"/>
          <w:position w:val="1"/>
          <w:sz w:val="16"/>
        </w:rPr>
        <w:t>Credit</w:t>
      </w:r>
      <w:r>
        <w:rPr>
          <w:rFonts w:ascii="Arial MT"/>
          <w:spacing w:val="-8"/>
          <w:position w:val="1"/>
          <w:sz w:val="16"/>
        </w:rPr>
        <w:t> </w:t>
      </w:r>
      <w:r>
        <w:rPr>
          <w:rFonts w:ascii="Arial MT"/>
          <w:spacing w:val="-4"/>
          <w:position w:val="1"/>
          <w:sz w:val="16"/>
        </w:rPr>
        <w:t>Risk</w:t>
      </w:r>
      <w:r>
        <w:rPr>
          <w:position w:val="1"/>
          <w:sz w:val="16"/>
        </w:rPr>
        <w:tab/>
      </w:r>
      <w:hyperlink w:history="true" w:anchor="_bookmark81">
        <w:r>
          <w:rPr>
            <w:rFonts w:ascii="Arial MT"/>
            <w:spacing w:val="-5"/>
            <w:sz w:val="16"/>
          </w:rPr>
          <w:t>49</w:t>
        </w:r>
      </w:hyperlink>
    </w:p>
    <w:p>
      <w:pPr>
        <w:tabs>
          <w:tab w:pos="10042" w:val="right" w:leader="none"/>
        </w:tabs>
        <w:spacing w:before="48"/>
        <w:ind w:left="772" w:right="0" w:firstLine="0"/>
        <w:jc w:val="left"/>
        <w:rPr>
          <w:rFonts w:ascii="Arial MT"/>
          <w:sz w:val="16"/>
        </w:rPr>
      </w:pPr>
      <w:r>
        <w:rPr>
          <w:rFonts w:ascii="Arial MT"/>
          <w:sz w:val="16"/>
        </w:rPr>
        <w:t>Table</w:t>
      </w:r>
      <w:r>
        <w:rPr>
          <w:rFonts w:ascii="Arial MT"/>
          <w:spacing w:val="-11"/>
          <w:sz w:val="16"/>
        </w:rPr>
        <w:t> </w:t>
      </w:r>
      <w:r>
        <w:rPr>
          <w:rFonts w:ascii="Arial MT"/>
          <w:sz w:val="16"/>
        </w:rPr>
        <w:t>31:</w:t>
      </w:r>
      <w:r>
        <w:rPr>
          <w:rFonts w:ascii="Arial MT"/>
          <w:spacing w:val="-10"/>
          <w:sz w:val="16"/>
        </w:rPr>
        <w:t> </w:t>
      </w:r>
      <w:r>
        <w:rPr>
          <w:rFonts w:ascii="Arial MT"/>
          <w:sz w:val="16"/>
        </w:rPr>
        <w:t>Liquidity</w:t>
      </w:r>
      <w:r>
        <w:rPr>
          <w:rFonts w:ascii="Arial MT"/>
          <w:spacing w:val="-10"/>
          <w:sz w:val="16"/>
        </w:rPr>
        <w:t> </w:t>
      </w:r>
      <w:r>
        <w:rPr>
          <w:rFonts w:ascii="Arial MT"/>
          <w:spacing w:val="-2"/>
          <w:sz w:val="16"/>
        </w:rPr>
        <w:t>Levels</w:t>
      </w:r>
      <w:r>
        <w:rPr>
          <w:sz w:val="16"/>
        </w:rPr>
        <w:tab/>
      </w:r>
      <w:hyperlink w:history="true" w:anchor="_bookmark89">
        <w:r>
          <w:rPr>
            <w:rFonts w:ascii="Arial MT"/>
            <w:spacing w:val="-5"/>
            <w:sz w:val="16"/>
          </w:rPr>
          <w:t>54</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11"/>
          <w:sz w:val="16"/>
        </w:rPr>
        <w:t> </w:t>
      </w:r>
      <w:r>
        <w:rPr>
          <w:rFonts w:ascii="Arial MT"/>
          <w:sz w:val="16"/>
        </w:rPr>
        <w:t>32:</w:t>
      </w:r>
      <w:r>
        <w:rPr>
          <w:rFonts w:ascii="Arial MT"/>
          <w:spacing w:val="-10"/>
          <w:sz w:val="16"/>
        </w:rPr>
        <w:t> </w:t>
      </w:r>
      <w:r>
        <w:rPr>
          <w:rFonts w:ascii="Arial MT"/>
          <w:sz w:val="16"/>
        </w:rPr>
        <w:t>Contractual</w:t>
      </w:r>
      <w:r>
        <w:rPr>
          <w:rFonts w:ascii="Arial MT"/>
          <w:spacing w:val="-9"/>
          <w:sz w:val="16"/>
        </w:rPr>
        <w:t> </w:t>
      </w:r>
      <w:r>
        <w:rPr>
          <w:rFonts w:ascii="Arial MT"/>
          <w:spacing w:val="-2"/>
          <w:sz w:val="16"/>
        </w:rPr>
        <w:t>Obligations</w:t>
      </w:r>
      <w:r>
        <w:rPr>
          <w:sz w:val="16"/>
        </w:rPr>
        <w:tab/>
      </w:r>
      <w:hyperlink w:history="true" w:anchor="_bookmark92">
        <w:r>
          <w:rPr>
            <w:rFonts w:ascii="Arial MT"/>
            <w:spacing w:val="-5"/>
            <w:sz w:val="16"/>
          </w:rPr>
          <w:t>56</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7"/>
          <w:sz w:val="16"/>
        </w:rPr>
        <w:t> </w:t>
      </w:r>
      <w:r>
        <w:rPr>
          <w:rFonts w:ascii="Arial MT"/>
          <w:sz w:val="16"/>
        </w:rPr>
        <w:t>33:</w:t>
      </w:r>
      <w:r>
        <w:rPr>
          <w:rFonts w:ascii="Arial MT"/>
          <w:spacing w:val="-5"/>
          <w:sz w:val="16"/>
        </w:rPr>
        <w:t> </w:t>
      </w:r>
      <w:r>
        <w:rPr>
          <w:rFonts w:ascii="Arial MT"/>
          <w:sz w:val="16"/>
        </w:rPr>
        <w:t>Funded</w:t>
      </w:r>
      <w:r>
        <w:rPr>
          <w:rFonts w:ascii="Arial MT"/>
          <w:spacing w:val="-6"/>
          <w:sz w:val="16"/>
        </w:rPr>
        <w:t> </w:t>
      </w:r>
      <w:r>
        <w:rPr>
          <w:rFonts w:ascii="Arial MT"/>
          <w:sz w:val="16"/>
        </w:rPr>
        <w:t>Status</w:t>
      </w:r>
      <w:r>
        <w:rPr>
          <w:rFonts w:ascii="Arial MT"/>
          <w:spacing w:val="-6"/>
          <w:sz w:val="16"/>
        </w:rPr>
        <w:t> </w:t>
      </w:r>
      <w:r>
        <w:rPr>
          <w:rFonts w:ascii="Arial MT"/>
          <w:sz w:val="16"/>
        </w:rPr>
        <w:t>of</w:t>
      </w:r>
      <w:r>
        <w:rPr>
          <w:rFonts w:ascii="Arial MT"/>
          <w:spacing w:val="-5"/>
          <w:sz w:val="16"/>
        </w:rPr>
        <w:t> </w:t>
      </w:r>
      <w:r>
        <w:rPr>
          <w:rFonts w:ascii="Arial MT"/>
          <w:sz w:val="16"/>
        </w:rPr>
        <w:t>the</w:t>
      </w:r>
      <w:r>
        <w:rPr>
          <w:rFonts w:ascii="Arial MT"/>
          <w:spacing w:val="-6"/>
          <w:sz w:val="16"/>
        </w:rPr>
        <w:t> </w:t>
      </w:r>
      <w:r>
        <w:rPr>
          <w:rFonts w:ascii="Arial MT"/>
          <w:spacing w:val="-2"/>
          <w:sz w:val="16"/>
        </w:rPr>
        <w:t>Plans</w:t>
      </w:r>
      <w:r>
        <w:rPr>
          <w:sz w:val="16"/>
        </w:rPr>
        <w:tab/>
      </w:r>
      <w:hyperlink w:history="true" w:anchor="_bookmark97">
        <w:r>
          <w:rPr>
            <w:rFonts w:ascii="Arial MT"/>
            <w:spacing w:val="-5"/>
            <w:sz w:val="16"/>
          </w:rPr>
          <w:t>58</w:t>
        </w:r>
      </w:hyperlink>
    </w:p>
    <w:p>
      <w:pPr>
        <w:tabs>
          <w:tab w:pos="10042" w:val="right" w:leader="none"/>
        </w:tabs>
        <w:spacing w:before="41"/>
        <w:ind w:left="772" w:right="0" w:firstLine="0"/>
        <w:jc w:val="left"/>
        <w:rPr>
          <w:rFonts w:ascii="Arial MT"/>
          <w:sz w:val="16"/>
        </w:rPr>
      </w:pPr>
      <w:r>
        <w:rPr>
          <w:rFonts w:ascii="Arial MT"/>
          <w:sz w:val="16"/>
        </w:rPr>
        <w:t>Table</w:t>
      </w:r>
      <w:r>
        <w:rPr>
          <w:rFonts w:ascii="Arial MT"/>
          <w:spacing w:val="-9"/>
          <w:sz w:val="16"/>
        </w:rPr>
        <w:t> </w:t>
      </w:r>
      <w:r>
        <w:rPr>
          <w:rFonts w:ascii="Arial MT"/>
          <w:sz w:val="16"/>
        </w:rPr>
        <w:t>34:</w:t>
      </w:r>
      <w:r>
        <w:rPr>
          <w:rFonts w:ascii="Arial MT"/>
          <w:spacing w:val="-7"/>
          <w:sz w:val="16"/>
        </w:rPr>
        <w:t> </w:t>
      </w:r>
      <w:r>
        <w:rPr>
          <w:rFonts w:ascii="Arial MT"/>
          <w:sz w:val="16"/>
        </w:rPr>
        <w:t>Fair</w:t>
      </w:r>
      <w:r>
        <w:rPr>
          <w:rFonts w:ascii="Arial MT"/>
          <w:spacing w:val="-8"/>
          <w:sz w:val="16"/>
        </w:rPr>
        <w:t> </w:t>
      </w:r>
      <w:r>
        <w:rPr>
          <w:rFonts w:ascii="Arial MT"/>
          <w:sz w:val="16"/>
        </w:rPr>
        <w:t>Value</w:t>
      </w:r>
      <w:r>
        <w:rPr>
          <w:rFonts w:ascii="Arial MT"/>
          <w:spacing w:val="-8"/>
          <w:sz w:val="16"/>
        </w:rPr>
        <w:t> </w:t>
      </w:r>
      <w:r>
        <w:rPr>
          <w:rFonts w:ascii="Arial MT"/>
          <w:sz w:val="16"/>
        </w:rPr>
        <w:t>Level</w:t>
      </w:r>
      <w:r>
        <w:rPr>
          <w:rFonts w:ascii="Arial MT"/>
          <w:spacing w:val="-7"/>
          <w:sz w:val="16"/>
        </w:rPr>
        <w:t> </w:t>
      </w:r>
      <w:r>
        <w:rPr>
          <w:rFonts w:ascii="Arial MT"/>
          <w:sz w:val="16"/>
        </w:rPr>
        <w:t>3</w:t>
      </w:r>
      <w:r>
        <w:rPr>
          <w:rFonts w:ascii="Arial MT"/>
          <w:spacing w:val="-8"/>
          <w:sz w:val="16"/>
        </w:rPr>
        <w:t> </w:t>
      </w:r>
      <w:r>
        <w:rPr>
          <w:rFonts w:ascii="Arial MT"/>
          <w:spacing w:val="-2"/>
          <w:sz w:val="16"/>
        </w:rPr>
        <w:t>Summary</w:t>
      </w:r>
      <w:r>
        <w:rPr>
          <w:sz w:val="16"/>
        </w:rPr>
        <w:tab/>
      </w:r>
      <w:hyperlink w:history="true" w:anchor="_bookmark99">
        <w:r>
          <w:rPr>
            <w:rFonts w:ascii="Arial MT"/>
            <w:spacing w:val="-5"/>
            <w:sz w:val="16"/>
          </w:rPr>
          <w:t>59</w:t>
        </w:r>
      </w:hyperlink>
    </w:p>
    <w:p>
      <w:pPr>
        <w:spacing w:after="0"/>
        <w:jc w:val="left"/>
        <w:rPr>
          <w:rFonts w:ascii="Arial MT"/>
          <w:sz w:val="16"/>
        </w:rPr>
        <w:sectPr>
          <w:pgSz w:w="12240" w:h="15840"/>
          <w:pgMar w:header="744" w:footer="713" w:top="1020" w:bottom="900" w:left="720" w:right="720"/>
        </w:sectPr>
      </w:pPr>
    </w:p>
    <w:p>
      <w:pPr>
        <w:pStyle w:val="BodyText"/>
        <w:spacing w:before="3"/>
        <w:rPr>
          <w:rFonts w:ascii="Arial MT"/>
          <w:sz w:val="18"/>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9"/>
        <w:gridCol w:w="1009"/>
      </w:tblGrid>
      <w:tr>
        <w:trPr>
          <w:trHeight w:val="321" w:hRule="atLeast"/>
        </w:trPr>
        <w:tc>
          <w:tcPr>
            <w:tcW w:w="8399" w:type="dxa"/>
          </w:tcPr>
          <w:p>
            <w:pPr>
              <w:pStyle w:val="TableParagraph"/>
              <w:spacing w:line="223" w:lineRule="exact"/>
              <w:ind w:left="50"/>
              <w:rPr>
                <w:rFonts w:ascii="Arial"/>
                <w:b/>
                <w:sz w:val="20"/>
              </w:rPr>
            </w:pPr>
            <w:r>
              <w:rPr>
                <w:rFonts w:ascii="Arial"/>
                <w:b/>
                <w:spacing w:val="-2"/>
                <w:sz w:val="20"/>
              </w:rPr>
              <w:t>Figures</w:t>
            </w:r>
          </w:p>
        </w:tc>
        <w:tc>
          <w:tcPr>
            <w:tcW w:w="1009" w:type="dxa"/>
          </w:tcPr>
          <w:p>
            <w:pPr>
              <w:pStyle w:val="TableParagraph"/>
              <w:rPr>
                <w:rFonts w:ascii="Times New Roman"/>
                <w:sz w:val="16"/>
              </w:rPr>
            </w:pPr>
          </w:p>
        </w:tc>
      </w:tr>
      <w:tr>
        <w:trPr>
          <w:trHeight w:val="311" w:hRule="atLeast"/>
        </w:trPr>
        <w:tc>
          <w:tcPr>
            <w:tcW w:w="8399" w:type="dxa"/>
          </w:tcPr>
          <w:p>
            <w:pPr>
              <w:pStyle w:val="TableParagraph"/>
              <w:spacing w:before="93"/>
              <w:ind w:left="102"/>
              <w:rPr>
                <w:sz w:val="16"/>
              </w:rPr>
            </w:pPr>
            <w:r>
              <w:rPr>
                <w:sz w:val="16"/>
              </w:rPr>
              <w:t>Figure</w:t>
            </w:r>
            <w:r>
              <w:rPr>
                <w:spacing w:val="-4"/>
                <w:sz w:val="16"/>
              </w:rPr>
              <w:t> </w:t>
            </w:r>
            <w:r>
              <w:rPr>
                <w:sz w:val="16"/>
              </w:rPr>
              <w:t>1:</w:t>
            </w:r>
            <w:r>
              <w:rPr>
                <w:spacing w:val="-2"/>
                <w:sz w:val="16"/>
              </w:rPr>
              <w:t> </w:t>
            </w:r>
            <w:r>
              <w:rPr>
                <w:sz w:val="16"/>
              </w:rPr>
              <w:t>Sources</w:t>
            </w:r>
            <w:r>
              <w:rPr>
                <w:spacing w:val="-2"/>
                <w:sz w:val="16"/>
              </w:rPr>
              <w:t> </w:t>
            </w:r>
            <w:r>
              <w:rPr>
                <w:sz w:val="16"/>
              </w:rPr>
              <w:t>and</w:t>
            </w:r>
            <w:r>
              <w:rPr>
                <w:spacing w:val="-3"/>
                <w:sz w:val="16"/>
              </w:rPr>
              <w:t> </w:t>
            </w:r>
            <w:r>
              <w:rPr>
                <w:sz w:val="16"/>
              </w:rPr>
              <w:t>Uses</w:t>
            </w:r>
            <w:r>
              <w:rPr>
                <w:spacing w:val="-2"/>
                <w:sz w:val="16"/>
              </w:rPr>
              <w:t> </w:t>
            </w:r>
            <w:r>
              <w:rPr>
                <w:sz w:val="16"/>
              </w:rPr>
              <w:t>of</w:t>
            </w:r>
            <w:r>
              <w:rPr>
                <w:spacing w:val="-2"/>
                <w:sz w:val="16"/>
              </w:rPr>
              <w:t> Revenue</w:t>
            </w:r>
          </w:p>
        </w:tc>
        <w:tc>
          <w:tcPr>
            <w:tcW w:w="1009" w:type="dxa"/>
          </w:tcPr>
          <w:p>
            <w:pPr>
              <w:pStyle w:val="TableParagraph"/>
              <w:spacing w:before="100"/>
              <w:ind w:right="48"/>
              <w:jc w:val="right"/>
              <w:rPr>
                <w:sz w:val="16"/>
              </w:rPr>
            </w:pPr>
            <w:hyperlink w:history="true" w:anchor="_bookmark4">
              <w:r>
                <w:rPr>
                  <w:spacing w:val="-10"/>
                  <w:sz w:val="16"/>
                </w:rPr>
                <w:t>7</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2:</w:t>
            </w:r>
            <w:r>
              <w:rPr>
                <w:spacing w:val="-3"/>
                <w:sz w:val="16"/>
              </w:rPr>
              <w:t> </w:t>
            </w:r>
            <w:r>
              <w:rPr>
                <w:sz w:val="16"/>
              </w:rPr>
              <w:t>Loan</w:t>
            </w:r>
            <w:r>
              <w:rPr>
                <w:spacing w:val="-5"/>
                <w:sz w:val="16"/>
              </w:rPr>
              <w:t> </w:t>
            </w:r>
            <w:r>
              <w:rPr>
                <w:sz w:val="16"/>
              </w:rPr>
              <w:t>interest</w:t>
            </w:r>
            <w:r>
              <w:rPr>
                <w:spacing w:val="-3"/>
                <w:sz w:val="16"/>
              </w:rPr>
              <w:t> </w:t>
            </w:r>
            <w:r>
              <w:rPr>
                <w:sz w:val="16"/>
              </w:rPr>
              <w:t>revenue</w:t>
            </w:r>
            <w:r>
              <w:rPr>
                <w:spacing w:val="-5"/>
                <w:sz w:val="16"/>
              </w:rPr>
              <w:t> </w:t>
            </w:r>
            <w:r>
              <w:rPr>
                <w:sz w:val="16"/>
              </w:rPr>
              <w:t>and</w:t>
            </w:r>
            <w:r>
              <w:rPr>
                <w:spacing w:val="-4"/>
                <w:sz w:val="16"/>
              </w:rPr>
              <w:t> </w:t>
            </w:r>
            <w:r>
              <w:rPr>
                <w:sz w:val="16"/>
              </w:rPr>
              <w:t>funding</w:t>
            </w:r>
            <w:r>
              <w:rPr>
                <w:spacing w:val="-5"/>
                <w:sz w:val="16"/>
              </w:rPr>
              <w:t> </w:t>
            </w:r>
            <w:r>
              <w:rPr>
                <w:sz w:val="16"/>
              </w:rPr>
              <w:t>cost</w:t>
            </w:r>
            <w:r>
              <w:rPr>
                <w:spacing w:val="-3"/>
                <w:sz w:val="16"/>
              </w:rPr>
              <w:t> </w:t>
            </w:r>
            <w:r>
              <w:rPr>
                <w:sz w:val="16"/>
              </w:rPr>
              <w:t>(including</w:t>
            </w:r>
            <w:r>
              <w:rPr>
                <w:spacing w:val="-4"/>
                <w:sz w:val="16"/>
              </w:rPr>
              <w:t> </w:t>
            </w:r>
            <w:r>
              <w:rPr>
                <w:spacing w:val="-2"/>
                <w:sz w:val="16"/>
              </w:rPr>
              <w:t>derivatives)</w:t>
            </w:r>
          </w:p>
        </w:tc>
        <w:tc>
          <w:tcPr>
            <w:tcW w:w="1009" w:type="dxa"/>
          </w:tcPr>
          <w:p>
            <w:pPr>
              <w:pStyle w:val="TableParagraph"/>
              <w:spacing w:before="29"/>
              <w:ind w:right="48"/>
              <w:jc w:val="right"/>
              <w:rPr>
                <w:sz w:val="16"/>
              </w:rPr>
            </w:pPr>
            <w:hyperlink w:history="true" w:anchor="_bookmark9">
              <w:r>
                <w:rPr>
                  <w:spacing w:val="-5"/>
                  <w:sz w:val="16"/>
                </w:rPr>
                <w:t>10</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3:</w:t>
            </w:r>
            <w:r>
              <w:rPr>
                <w:spacing w:val="-3"/>
                <w:sz w:val="16"/>
              </w:rPr>
              <w:t> </w:t>
            </w:r>
            <w:r>
              <w:rPr>
                <w:sz w:val="16"/>
              </w:rPr>
              <w:t>Loan</w:t>
            </w:r>
            <w:r>
              <w:rPr>
                <w:spacing w:val="-5"/>
                <w:sz w:val="16"/>
              </w:rPr>
              <w:t> </w:t>
            </w:r>
            <w:r>
              <w:rPr>
                <w:sz w:val="16"/>
              </w:rPr>
              <w:t>Interest</w:t>
            </w:r>
            <w:r>
              <w:rPr>
                <w:spacing w:val="-3"/>
                <w:sz w:val="16"/>
              </w:rPr>
              <w:t> </w:t>
            </w:r>
            <w:r>
              <w:rPr>
                <w:sz w:val="16"/>
              </w:rPr>
              <w:t>Revenue,</w:t>
            </w:r>
            <w:r>
              <w:rPr>
                <w:spacing w:val="-3"/>
                <w:sz w:val="16"/>
              </w:rPr>
              <w:t> </w:t>
            </w:r>
            <w:r>
              <w:rPr>
                <w:spacing w:val="-5"/>
                <w:sz w:val="16"/>
              </w:rPr>
              <w:t>net</w:t>
            </w:r>
          </w:p>
        </w:tc>
        <w:tc>
          <w:tcPr>
            <w:tcW w:w="1009" w:type="dxa"/>
          </w:tcPr>
          <w:p>
            <w:pPr>
              <w:pStyle w:val="TableParagraph"/>
              <w:spacing w:before="29"/>
              <w:ind w:right="48"/>
              <w:jc w:val="right"/>
              <w:rPr>
                <w:sz w:val="16"/>
              </w:rPr>
            </w:pPr>
            <w:hyperlink w:history="true" w:anchor="_bookmark10">
              <w:r>
                <w:rPr>
                  <w:spacing w:val="-5"/>
                  <w:sz w:val="16"/>
                </w:rPr>
                <w:t>10</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4:</w:t>
            </w:r>
            <w:r>
              <w:rPr>
                <w:spacing w:val="-3"/>
                <w:sz w:val="16"/>
              </w:rPr>
              <w:t> </w:t>
            </w:r>
            <w:r>
              <w:rPr>
                <w:sz w:val="16"/>
              </w:rPr>
              <w:t>Change</w:t>
            </w:r>
            <w:r>
              <w:rPr>
                <w:spacing w:val="-4"/>
                <w:sz w:val="16"/>
              </w:rPr>
              <w:t> </w:t>
            </w:r>
            <w:r>
              <w:rPr>
                <w:sz w:val="16"/>
              </w:rPr>
              <w:t>in</w:t>
            </w:r>
            <w:r>
              <w:rPr>
                <w:spacing w:val="-4"/>
                <w:sz w:val="16"/>
              </w:rPr>
              <w:t> </w:t>
            </w:r>
            <w:r>
              <w:rPr>
                <w:sz w:val="16"/>
              </w:rPr>
              <w:t>Net</w:t>
            </w:r>
            <w:r>
              <w:rPr>
                <w:spacing w:val="-3"/>
                <w:sz w:val="16"/>
              </w:rPr>
              <w:t> </w:t>
            </w:r>
            <w:r>
              <w:rPr>
                <w:sz w:val="16"/>
              </w:rPr>
              <w:t>Loans</w:t>
            </w:r>
            <w:r>
              <w:rPr>
                <w:spacing w:val="-2"/>
                <w:sz w:val="16"/>
              </w:rPr>
              <w:t> Outstanding</w:t>
            </w:r>
          </w:p>
        </w:tc>
        <w:tc>
          <w:tcPr>
            <w:tcW w:w="1009" w:type="dxa"/>
          </w:tcPr>
          <w:p>
            <w:pPr>
              <w:pStyle w:val="TableParagraph"/>
              <w:spacing w:before="29"/>
              <w:ind w:right="48"/>
              <w:jc w:val="right"/>
              <w:rPr>
                <w:sz w:val="16"/>
              </w:rPr>
            </w:pPr>
            <w:hyperlink w:history="true" w:anchor="_bookmark11">
              <w:r>
                <w:rPr>
                  <w:spacing w:val="-5"/>
                  <w:sz w:val="16"/>
                </w:rPr>
                <w:t>11</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5:</w:t>
            </w:r>
            <w:r>
              <w:rPr>
                <w:spacing w:val="-3"/>
                <w:sz w:val="16"/>
              </w:rPr>
              <w:t> </w:t>
            </w:r>
            <w:r>
              <w:rPr>
                <w:sz w:val="16"/>
              </w:rPr>
              <w:t>Net</w:t>
            </w:r>
            <w:r>
              <w:rPr>
                <w:spacing w:val="-3"/>
                <w:sz w:val="16"/>
              </w:rPr>
              <w:t> </w:t>
            </w:r>
            <w:r>
              <w:rPr>
                <w:sz w:val="16"/>
              </w:rPr>
              <w:t>Loans</w:t>
            </w:r>
            <w:r>
              <w:rPr>
                <w:spacing w:val="-2"/>
                <w:sz w:val="16"/>
              </w:rPr>
              <w:t> Outstanding</w:t>
            </w:r>
          </w:p>
        </w:tc>
        <w:tc>
          <w:tcPr>
            <w:tcW w:w="1009" w:type="dxa"/>
          </w:tcPr>
          <w:p>
            <w:pPr>
              <w:pStyle w:val="TableParagraph"/>
              <w:spacing w:before="29"/>
              <w:ind w:right="48"/>
              <w:jc w:val="right"/>
              <w:rPr>
                <w:sz w:val="16"/>
              </w:rPr>
            </w:pPr>
            <w:hyperlink w:history="true" w:anchor="_bookmark11">
              <w:r>
                <w:rPr>
                  <w:spacing w:val="-5"/>
                  <w:sz w:val="16"/>
                </w:rPr>
                <w:t>11</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6:</w:t>
            </w:r>
            <w:r>
              <w:rPr>
                <w:spacing w:val="-3"/>
                <w:sz w:val="16"/>
              </w:rPr>
              <w:t> </w:t>
            </w:r>
            <w:r>
              <w:rPr>
                <w:sz w:val="16"/>
              </w:rPr>
              <w:t>Net</w:t>
            </w:r>
            <w:r>
              <w:rPr>
                <w:spacing w:val="-3"/>
                <w:sz w:val="16"/>
              </w:rPr>
              <w:t> </w:t>
            </w:r>
            <w:r>
              <w:rPr>
                <w:sz w:val="16"/>
              </w:rPr>
              <w:t>Investment</w:t>
            </w:r>
            <w:r>
              <w:rPr>
                <w:spacing w:val="-2"/>
                <w:sz w:val="16"/>
              </w:rPr>
              <w:t> Portfolio</w:t>
            </w:r>
          </w:p>
        </w:tc>
        <w:tc>
          <w:tcPr>
            <w:tcW w:w="1009" w:type="dxa"/>
          </w:tcPr>
          <w:p>
            <w:pPr>
              <w:pStyle w:val="TableParagraph"/>
              <w:spacing w:before="29"/>
              <w:ind w:right="48"/>
              <w:jc w:val="right"/>
              <w:rPr>
                <w:sz w:val="16"/>
              </w:rPr>
            </w:pPr>
            <w:hyperlink w:history="true" w:anchor="_bookmark12">
              <w:r>
                <w:rPr>
                  <w:spacing w:val="-5"/>
                  <w:sz w:val="16"/>
                </w:rPr>
                <w:t>12</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7:</w:t>
            </w:r>
            <w:r>
              <w:rPr>
                <w:spacing w:val="-4"/>
                <w:sz w:val="16"/>
              </w:rPr>
              <w:t> </w:t>
            </w:r>
            <w:r>
              <w:rPr>
                <w:sz w:val="16"/>
              </w:rPr>
              <w:t>Investment</w:t>
            </w:r>
            <w:r>
              <w:rPr>
                <w:spacing w:val="-4"/>
                <w:sz w:val="16"/>
              </w:rPr>
              <w:t> </w:t>
            </w:r>
            <w:r>
              <w:rPr>
                <w:sz w:val="16"/>
              </w:rPr>
              <w:t>Revenue,</w:t>
            </w:r>
            <w:r>
              <w:rPr>
                <w:spacing w:val="-3"/>
                <w:sz w:val="16"/>
              </w:rPr>
              <w:t> </w:t>
            </w:r>
            <w:r>
              <w:rPr>
                <w:spacing w:val="-5"/>
                <w:sz w:val="16"/>
              </w:rPr>
              <w:t>net</w:t>
            </w:r>
          </w:p>
        </w:tc>
        <w:tc>
          <w:tcPr>
            <w:tcW w:w="1009" w:type="dxa"/>
          </w:tcPr>
          <w:p>
            <w:pPr>
              <w:pStyle w:val="TableParagraph"/>
              <w:spacing w:before="29"/>
              <w:ind w:right="48"/>
              <w:jc w:val="right"/>
              <w:rPr>
                <w:sz w:val="16"/>
              </w:rPr>
            </w:pPr>
            <w:hyperlink w:history="true" w:anchor="_bookmark12">
              <w:r>
                <w:rPr>
                  <w:spacing w:val="-5"/>
                  <w:sz w:val="16"/>
                </w:rPr>
                <w:t>12</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8:</w:t>
            </w:r>
            <w:r>
              <w:rPr>
                <w:spacing w:val="-5"/>
                <w:sz w:val="16"/>
              </w:rPr>
              <w:t> </w:t>
            </w:r>
            <w:r>
              <w:rPr>
                <w:sz w:val="16"/>
              </w:rPr>
              <w:t>Borrowing</w:t>
            </w:r>
            <w:r>
              <w:rPr>
                <w:spacing w:val="-4"/>
                <w:sz w:val="16"/>
              </w:rPr>
              <w:t> </w:t>
            </w:r>
            <w:r>
              <w:rPr>
                <w:sz w:val="16"/>
              </w:rPr>
              <w:t>Portfolio</w:t>
            </w:r>
            <w:r>
              <w:rPr>
                <w:spacing w:val="-5"/>
                <w:sz w:val="16"/>
              </w:rPr>
              <w:t> </w:t>
            </w:r>
            <w:r>
              <w:rPr>
                <w:sz w:val="16"/>
              </w:rPr>
              <w:t>(original</w:t>
            </w:r>
            <w:r>
              <w:rPr>
                <w:spacing w:val="-4"/>
                <w:sz w:val="16"/>
              </w:rPr>
              <w:t> </w:t>
            </w:r>
            <w:r>
              <w:rPr>
                <w:spacing w:val="-2"/>
                <w:sz w:val="16"/>
              </w:rPr>
              <w:t>maturities)</w:t>
            </w:r>
          </w:p>
        </w:tc>
        <w:tc>
          <w:tcPr>
            <w:tcW w:w="1009" w:type="dxa"/>
          </w:tcPr>
          <w:p>
            <w:pPr>
              <w:pStyle w:val="TableParagraph"/>
              <w:spacing w:before="29"/>
              <w:ind w:right="48"/>
              <w:jc w:val="right"/>
              <w:rPr>
                <w:sz w:val="16"/>
              </w:rPr>
            </w:pPr>
            <w:hyperlink w:history="true" w:anchor="_bookmark13">
              <w:r>
                <w:rPr>
                  <w:spacing w:val="-5"/>
                  <w:sz w:val="16"/>
                </w:rPr>
                <w:t>12</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9:</w:t>
            </w:r>
            <w:r>
              <w:rPr>
                <w:spacing w:val="-3"/>
                <w:sz w:val="16"/>
              </w:rPr>
              <w:t> </w:t>
            </w:r>
            <w:r>
              <w:rPr>
                <w:sz w:val="16"/>
              </w:rPr>
              <w:t>Net</w:t>
            </w:r>
            <w:r>
              <w:rPr>
                <w:spacing w:val="-3"/>
                <w:sz w:val="16"/>
              </w:rPr>
              <w:t> </w:t>
            </w:r>
            <w:r>
              <w:rPr>
                <w:sz w:val="16"/>
              </w:rPr>
              <w:t>Non-Interest</w:t>
            </w:r>
            <w:r>
              <w:rPr>
                <w:spacing w:val="-3"/>
                <w:sz w:val="16"/>
              </w:rPr>
              <w:t> </w:t>
            </w:r>
            <w:r>
              <w:rPr>
                <w:sz w:val="16"/>
              </w:rPr>
              <w:t>Expenses</w:t>
            </w:r>
            <w:r>
              <w:rPr>
                <w:spacing w:val="-3"/>
                <w:sz w:val="16"/>
              </w:rPr>
              <w:t> </w:t>
            </w:r>
            <w:r>
              <w:rPr>
                <w:sz w:val="16"/>
              </w:rPr>
              <w:t>(GAAP</w:t>
            </w:r>
            <w:r>
              <w:rPr>
                <w:spacing w:val="-5"/>
                <w:sz w:val="16"/>
              </w:rPr>
              <w:t> </w:t>
            </w:r>
            <w:r>
              <w:rPr>
                <w:spacing w:val="-2"/>
                <w:sz w:val="16"/>
              </w:rPr>
              <w:t>basis)</w:t>
            </w:r>
          </w:p>
        </w:tc>
        <w:tc>
          <w:tcPr>
            <w:tcW w:w="1009" w:type="dxa"/>
          </w:tcPr>
          <w:p>
            <w:pPr>
              <w:pStyle w:val="TableParagraph"/>
              <w:spacing w:before="29"/>
              <w:ind w:right="48"/>
              <w:jc w:val="right"/>
              <w:rPr>
                <w:sz w:val="16"/>
              </w:rPr>
            </w:pPr>
            <w:hyperlink w:history="true" w:anchor="_bookmark15">
              <w:r>
                <w:rPr>
                  <w:spacing w:val="-5"/>
                  <w:sz w:val="16"/>
                </w:rPr>
                <w:t>13</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10:</w:t>
            </w:r>
            <w:r>
              <w:rPr>
                <w:spacing w:val="-3"/>
                <w:sz w:val="16"/>
              </w:rPr>
              <w:t> </w:t>
            </w:r>
            <w:r>
              <w:rPr>
                <w:sz w:val="16"/>
              </w:rPr>
              <w:t>FY23</w:t>
            </w:r>
            <w:r>
              <w:rPr>
                <w:spacing w:val="-11"/>
                <w:sz w:val="16"/>
              </w:rPr>
              <w:t> </w:t>
            </w:r>
            <w:r>
              <w:rPr>
                <w:sz w:val="16"/>
              </w:rPr>
              <w:t>Allocable</w:t>
            </w:r>
            <w:r>
              <w:rPr>
                <w:spacing w:val="-4"/>
                <w:sz w:val="16"/>
              </w:rPr>
              <w:t> </w:t>
            </w:r>
            <w:r>
              <w:rPr>
                <w:sz w:val="16"/>
              </w:rPr>
              <w:t>Income</w:t>
            </w:r>
            <w:r>
              <w:rPr>
                <w:spacing w:val="-4"/>
                <w:sz w:val="16"/>
              </w:rPr>
              <w:t> </w:t>
            </w:r>
            <w:r>
              <w:rPr>
                <w:sz w:val="16"/>
              </w:rPr>
              <w:t>and</w:t>
            </w:r>
            <w:r>
              <w:rPr>
                <w:spacing w:val="-4"/>
                <w:sz w:val="16"/>
              </w:rPr>
              <w:t> </w:t>
            </w:r>
            <w:r>
              <w:rPr>
                <w:sz w:val="16"/>
              </w:rPr>
              <w:t>Income</w:t>
            </w:r>
            <w:r>
              <w:rPr>
                <w:spacing w:val="-11"/>
                <w:sz w:val="16"/>
              </w:rPr>
              <w:t> </w:t>
            </w:r>
            <w:r>
              <w:rPr>
                <w:spacing w:val="-2"/>
                <w:sz w:val="16"/>
              </w:rPr>
              <w:t>Allocation</w:t>
            </w:r>
          </w:p>
        </w:tc>
        <w:tc>
          <w:tcPr>
            <w:tcW w:w="1009" w:type="dxa"/>
          </w:tcPr>
          <w:p>
            <w:pPr>
              <w:pStyle w:val="TableParagraph"/>
              <w:spacing w:before="29"/>
              <w:ind w:right="48"/>
              <w:jc w:val="right"/>
              <w:rPr>
                <w:sz w:val="16"/>
              </w:rPr>
            </w:pPr>
            <w:hyperlink w:history="true" w:anchor="_bookmark21">
              <w:r>
                <w:rPr>
                  <w:spacing w:val="-5"/>
                  <w:sz w:val="16"/>
                </w:rPr>
                <w:t>18</w:t>
              </w:r>
            </w:hyperlink>
          </w:p>
        </w:tc>
      </w:tr>
      <w:tr>
        <w:trPr>
          <w:trHeight w:val="240" w:hRule="atLeast"/>
        </w:trPr>
        <w:tc>
          <w:tcPr>
            <w:tcW w:w="8399" w:type="dxa"/>
          </w:tcPr>
          <w:p>
            <w:pPr>
              <w:pStyle w:val="TableParagraph"/>
              <w:spacing w:before="21"/>
              <w:ind w:left="102"/>
              <w:rPr>
                <w:sz w:val="16"/>
              </w:rPr>
            </w:pPr>
            <w:r>
              <w:rPr>
                <w:sz w:val="16"/>
              </w:rPr>
              <w:t>Figure</w:t>
            </w:r>
            <w:r>
              <w:rPr>
                <w:spacing w:val="-8"/>
                <w:sz w:val="16"/>
              </w:rPr>
              <w:t> </w:t>
            </w:r>
            <w:r>
              <w:rPr>
                <w:sz w:val="16"/>
              </w:rPr>
              <w:t>11:</w:t>
            </w:r>
            <w:r>
              <w:rPr>
                <w:spacing w:val="-4"/>
                <w:sz w:val="16"/>
              </w:rPr>
              <w:t> </w:t>
            </w:r>
            <w:r>
              <w:rPr>
                <w:sz w:val="16"/>
              </w:rPr>
              <w:t>Percentage</w:t>
            </w:r>
            <w:r>
              <w:rPr>
                <w:spacing w:val="-6"/>
                <w:sz w:val="16"/>
              </w:rPr>
              <w:t> </w:t>
            </w:r>
            <w:r>
              <w:rPr>
                <w:sz w:val="16"/>
              </w:rPr>
              <w:t>Share</w:t>
            </w:r>
            <w:r>
              <w:rPr>
                <w:spacing w:val="-5"/>
                <w:sz w:val="16"/>
              </w:rPr>
              <w:t> </w:t>
            </w:r>
            <w:r>
              <w:rPr>
                <w:sz w:val="16"/>
              </w:rPr>
              <w:t>of</w:t>
            </w:r>
            <w:r>
              <w:rPr>
                <w:spacing w:val="-5"/>
                <w:sz w:val="16"/>
              </w:rPr>
              <w:t> </w:t>
            </w:r>
            <w:r>
              <w:rPr>
                <w:sz w:val="16"/>
              </w:rPr>
              <w:t>Lending</w:t>
            </w:r>
            <w:r>
              <w:rPr>
                <w:spacing w:val="-5"/>
                <w:sz w:val="16"/>
              </w:rPr>
              <w:t> </w:t>
            </w:r>
            <w:r>
              <w:rPr>
                <w:sz w:val="16"/>
              </w:rPr>
              <w:t>Categories</w:t>
            </w:r>
            <w:r>
              <w:rPr>
                <w:spacing w:val="-5"/>
                <w:sz w:val="16"/>
              </w:rPr>
              <w:t> </w:t>
            </w:r>
            <w:r>
              <w:rPr>
                <w:sz w:val="16"/>
              </w:rPr>
              <w:t>for</w:t>
            </w:r>
            <w:r>
              <w:rPr>
                <w:spacing w:val="-11"/>
                <w:sz w:val="16"/>
              </w:rPr>
              <w:t> </w:t>
            </w:r>
            <w:r>
              <w:rPr>
                <w:sz w:val="16"/>
              </w:rPr>
              <w:t>Annual</w:t>
            </w:r>
            <w:r>
              <w:rPr>
                <w:spacing w:val="-5"/>
                <w:sz w:val="16"/>
              </w:rPr>
              <w:t> </w:t>
            </w:r>
            <w:r>
              <w:rPr>
                <w:sz w:val="16"/>
              </w:rPr>
              <w:t>Net</w:t>
            </w:r>
            <w:r>
              <w:rPr>
                <w:spacing w:val="-4"/>
                <w:sz w:val="16"/>
              </w:rPr>
              <w:t> </w:t>
            </w:r>
            <w:r>
              <w:rPr>
                <w:spacing w:val="-2"/>
                <w:sz w:val="16"/>
              </w:rPr>
              <w:t>Commitments</w:t>
            </w:r>
          </w:p>
        </w:tc>
        <w:tc>
          <w:tcPr>
            <w:tcW w:w="1009" w:type="dxa"/>
          </w:tcPr>
          <w:p>
            <w:pPr>
              <w:pStyle w:val="TableParagraph"/>
              <w:spacing w:before="29"/>
              <w:ind w:right="48"/>
              <w:jc w:val="right"/>
              <w:rPr>
                <w:sz w:val="16"/>
              </w:rPr>
            </w:pPr>
            <w:hyperlink w:history="true" w:anchor="_bookmark26">
              <w:r>
                <w:rPr>
                  <w:spacing w:val="-5"/>
                  <w:sz w:val="16"/>
                </w:rPr>
                <w:t>20</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12:</w:t>
            </w:r>
            <w:r>
              <w:rPr>
                <w:spacing w:val="-4"/>
                <w:sz w:val="16"/>
              </w:rPr>
              <w:t> </w:t>
            </w:r>
            <w:r>
              <w:rPr>
                <w:sz w:val="16"/>
              </w:rPr>
              <w:t>Loan</w:t>
            </w:r>
            <w:r>
              <w:rPr>
                <w:spacing w:val="-3"/>
                <w:sz w:val="16"/>
              </w:rPr>
              <w:t> </w:t>
            </w:r>
            <w:r>
              <w:rPr>
                <w:spacing w:val="-2"/>
                <w:sz w:val="16"/>
              </w:rPr>
              <w:t>Portfolio</w:t>
            </w:r>
          </w:p>
        </w:tc>
        <w:tc>
          <w:tcPr>
            <w:tcW w:w="1009" w:type="dxa"/>
          </w:tcPr>
          <w:p>
            <w:pPr>
              <w:pStyle w:val="TableParagraph"/>
              <w:spacing w:before="29"/>
              <w:ind w:right="48"/>
              <w:jc w:val="right"/>
              <w:rPr>
                <w:sz w:val="16"/>
              </w:rPr>
            </w:pPr>
            <w:hyperlink w:history="true" w:anchor="_bookmark36">
              <w:r>
                <w:rPr>
                  <w:spacing w:val="-5"/>
                  <w:sz w:val="16"/>
                </w:rPr>
                <w:t>24</w:t>
              </w:r>
            </w:hyperlink>
          </w:p>
        </w:tc>
      </w:tr>
      <w:tr>
        <w:trPr>
          <w:trHeight w:val="240" w:hRule="atLeast"/>
        </w:trPr>
        <w:tc>
          <w:tcPr>
            <w:tcW w:w="8399" w:type="dxa"/>
          </w:tcPr>
          <w:p>
            <w:pPr>
              <w:pStyle w:val="TableParagraph"/>
              <w:spacing w:before="21"/>
              <w:ind w:left="102"/>
              <w:rPr>
                <w:sz w:val="16"/>
              </w:rPr>
            </w:pPr>
            <w:r>
              <w:rPr>
                <w:sz w:val="16"/>
              </w:rPr>
              <w:t>Figure</w:t>
            </w:r>
            <w:r>
              <w:rPr>
                <w:spacing w:val="-6"/>
                <w:sz w:val="16"/>
              </w:rPr>
              <w:t> </w:t>
            </w:r>
            <w:r>
              <w:rPr>
                <w:sz w:val="16"/>
              </w:rPr>
              <w:t>13:</w:t>
            </w:r>
            <w:r>
              <w:rPr>
                <w:spacing w:val="-3"/>
                <w:sz w:val="16"/>
              </w:rPr>
              <w:t> </w:t>
            </w:r>
            <w:r>
              <w:rPr>
                <w:sz w:val="16"/>
              </w:rPr>
              <w:t>Liquid</w:t>
            </w:r>
            <w:r>
              <w:rPr>
                <w:spacing w:val="-11"/>
                <w:sz w:val="16"/>
              </w:rPr>
              <w:t> </w:t>
            </w:r>
            <w:r>
              <w:rPr>
                <w:sz w:val="16"/>
              </w:rPr>
              <w:t>Asset</w:t>
            </w:r>
            <w:r>
              <w:rPr>
                <w:spacing w:val="-3"/>
                <w:sz w:val="16"/>
              </w:rPr>
              <w:t> </w:t>
            </w:r>
            <w:r>
              <w:rPr>
                <w:sz w:val="16"/>
              </w:rPr>
              <w:t>Portfolio</w:t>
            </w:r>
            <w:r>
              <w:rPr>
                <w:spacing w:val="-4"/>
                <w:sz w:val="16"/>
              </w:rPr>
              <w:t> </w:t>
            </w:r>
            <w:r>
              <w:rPr>
                <w:sz w:val="16"/>
              </w:rPr>
              <w:t>by</w:t>
            </w:r>
            <w:r>
              <w:rPr>
                <w:spacing w:val="-11"/>
                <w:sz w:val="16"/>
              </w:rPr>
              <w:t> </w:t>
            </w:r>
            <w:r>
              <w:rPr>
                <w:sz w:val="16"/>
              </w:rPr>
              <w:t>Asset</w:t>
            </w:r>
            <w:r>
              <w:rPr>
                <w:spacing w:val="-2"/>
                <w:sz w:val="16"/>
              </w:rPr>
              <w:t> Class</w:t>
            </w:r>
          </w:p>
        </w:tc>
        <w:tc>
          <w:tcPr>
            <w:tcW w:w="1009" w:type="dxa"/>
          </w:tcPr>
          <w:p>
            <w:pPr>
              <w:pStyle w:val="TableParagraph"/>
              <w:spacing w:before="29"/>
              <w:ind w:right="48"/>
              <w:jc w:val="right"/>
              <w:rPr>
                <w:sz w:val="16"/>
              </w:rPr>
            </w:pPr>
            <w:hyperlink w:history="true" w:anchor="_bookmark48">
              <w:r>
                <w:rPr>
                  <w:spacing w:val="-5"/>
                  <w:sz w:val="16"/>
                </w:rPr>
                <w:t>30</w:t>
              </w:r>
            </w:hyperlink>
          </w:p>
        </w:tc>
      </w:tr>
      <w:tr>
        <w:trPr>
          <w:trHeight w:val="240" w:hRule="atLeast"/>
        </w:trPr>
        <w:tc>
          <w:tcPr>
            <w:tcW w:w="8399" w:type="dxa"/>
          </w:tcPr>
          <w:p>
            <w:pPr>
              <w:pStyle w:val="TableParagraph"/>
              <w:spacing w:before="21"/>
              <w:ind w:left="102"/>
              <w:rPr>
                <w:sz w:val="16"/>
              </w:rPr>
            </w:pPr>
            <w:r>
              <w:rPr>
                <w:sz w:val="16"/>
              </w:rPr>
              <w:t>Figure</w:t>
            </w:r>
            <w:r>
              <w:rPr>
                <w:spacing w:val="-6"/>
                <w:sz w:val="16"/>
              </w:rPr>
              <w:t> </w:t>
            </w:r>
            <w:r>
              <w:rPr>
                <w:sz w:val="16"/>
              </w:rPr>
              <w:t>14:</w:t>
            </w:r>
            <w:r>
              <w:rPr>
                <w:spacing w:val="-3"/>
                <w:sz w:val="16"/>
              </w:rPr>
              <w:t> </w:t>
            </w:r>
            <w:r>
              <w:rPr>
                <w:sz w:val="16"/>
              </w:rPr>
              <w:t>Effect</w:t>
            </w:r>
            <w:r>
              <w:rPr>
                <w:spacing w:val="-3"/>
                <w:sz w:val="16"/>
              </w:rPr>
              <w:t> </w:t>
            </w:r>
            <w:r>
              <w:rPr>
                <w:sz w:val="16"/>
              </w:rPr>
              <w:t>of</w:t>
            </w:r>
            <w:r>
              <w:rPr>
                <w:spacing w:val="-3"/>
                <w:sz w:val="16"/>
              </w:rPr>
              <w:t> </w:t>
            </w:r>
            <w:r>
              <w:rPr>
                <w:sz w:val="16"/>
              </w:rPr>
              <w:t>Derivatives</w:t>
            </w:r>
            <w:r>
              <w:rPr>
                <w:spacing w:val="-3"/>
                <w:sz w:val="16"/>
              </w:rPr>
              <w:t> </w:t>
            </w:r>
            <w:r>
              <w:rPr>
                <w:sz w:val="16"/>
              </w:rPr>
              <w:t>on</w:t>
            </w:r>
            <w:r>
              <w:rPr>
                <w:spacing w:val="-4"/>
                <w:sz w:val="16"/>
              </w:rPr>
              <w:t> </w:t>
            </w:r>
            <w:r>
              <w:rPr>
                <w:sz w:val="16"/>
              </w:rPr>
              <w:t>Currency</w:t>
            </w:r>
            <w:r>
              <w:rPr>
                <w:spacing w:val="-3"/>
                <w:sz w:val="16"/>
              </w:rPr>
              <w:t> </w:t>
            </w:r>
            <w:r>
              <w:rPr>
                <w:sz w:val="16"/>
              </w:rPr>
              <w:t>Composition</w:t>
            </w:r>
            <w:r>
              <w:rPr>
                <w:spacing w:val="-4"/>
                <w:sz w:val="16"/>
              </w:rPr>
              <w:t> </w:t>
            </w:r>
            <w:r>
              <w:rPr>
                <w:sz w:val="16"/>
              </w:rPr>
              <w:t>of</w:t>
            </w:r>
            <w:r>
              <w:rPr>
                <w:spacing w:val="-3"/>
                <w:sz w:val="16"/>
              </w:rPr>
              <w:t> </w:t>
            </w:r>
            <w:r>
              <w:rPr>
                <w:sz w:val="16"/>
              </w:rPr>
              <w:t>the</w:t>
            </w:r>
            <w:r>
              <w:rPr>
                <w:spacing w:val="-4"/>
                <w:sz w:val="16"/>
              </w:rPr>
              <w:t> </w:t>
            </w:r>
            <w:r>
              <w:rPr>
                <w:sz w:val="16"/>
              </w:rPr>
              <w:t>Borrowing</w:t>
            </w:r>
            <w:r>
              <w:rPr>
                <w:spacing w:val="-4"/>
                <w:sz w:val="16"/>
              </w:rPr>
              <w:t> </w:t>
            </w:r>
            <w:r>
              <w:rPr>
                <w:sz w:val="16"/>
              </w:rPr>
              <w:t>Portfolio</w:t>
            </w:r>
            <w:r>
              <w:rPr>
                <w:spacing w:val="-4"/>
                <w:sz w:val="16"/>
              </w:rPr>
              <w:t> </w:t>
            </w:r>
            <w:r>
              <w:rPr>
                <w:sz w:val="16"/>
              </w:rPr>
              <w:t>–</w:t>
            </w:r>
            <w:r>
              <w:rPr>
                <w:spacing w:val="-4"/>
                <w:sz w:val="16"/>
              </w:rPr>
              <w:t> </w:t>
            </w:r>
            <w:r>
              <w:rPr>
                <w:sz w:val="16"/>
              </w:rPr>
              <w:t>June</w:t>
            </w:r>
            <w:r>
              <w:rPr>
                <w:spacing w:val="-4"/>
                <w:sz w:val="16"/>
              </w:rPr>
              <w:t> </w:t>
            </w:r>
            <w:r>
              <w:rPr>
                <w:sz w:val="16"/>
              </w:rPr>
              <w:t>30,</w:t>
            </w:r>
            <w:r>
              <w:rPr>
                <w:spacing w:val="-2"/>
                <w:sz w:val="16"/>
              </w:rPr>
              <w:t> </w:t>
            </w:r>
            <w:r>
              <w:rPr>
                <w:spacing w:val="-4"/>
                <w:sz w:val="16"/>
              </w:rPr>
              <w:t>2023</w:t>
            </w:r>
          </w:p>
        </w:tc>
        <w:tc>
          <w:tcPr>
            <w:tcW w:w="1009" w:type="dxa"/>
          </w:tcPr>
          <w:p>
            <w:pPr>
              <w:pStyle w:val="TableParagraph"/>
              <w:spacing w:before="29"/>
              <w:ind w:right="48"/>
              <w:jc w:val="right"/>
              <w:rPr>
                <w:sz w:val="16"/>
              </w:rPr>
            </w:pPr>
            <w:hyperlink w:history="true" w:anchor="_bookmark54">
              <w:r>
                <w:rPr>
                  <w:spacing w:val="-5"/>
                  <w:sz w:val="16"/>
                </w:rPr>
                <w:t>32</w:t>
              </w:r>
            </w:hyperlink>
          </w:p>
        </w:tc>
      </w:tr>
      <w:tr>
        <w:trPr>
          <w:trHeight w:val="240" w:hRule="atLeast"/>
        </w:trPr>
        <w:tc>
          <w:tcPr>
            <w:tcW w:w="8399" w:type="dxa"/>
          </w:tcPr>
          <w:p>
            <w:pPr>
              <w:pStyle w:val="TableParagraph"/>
              <w:spacing w:before="21"/>
              <w:ind w:left="102"/>
              <w:rPr>
                <w:sz w:val="16"/>
              </w:rPr>
            </w:pPr>
            <w:r>
              <w:rPr>
                <w:sz w:val="16"/>
              </w:rPr>
              <w:t>Figure</w:t>
            </w:r>
            <w:r>
              <w:rPr>
                <w:spacing w:val="-9"/>
                <w:sz w:val="16"/>
              </w:rPr>
              <w:t> </w:t>
            </w:r>
            <w:r>
              <w:rPr>
                <w:sz w:val="16"/>
              </w:rPr>
              <w:t>15:</w:t>
            </w:r>
            <w:r>
              <w:rPr>
                <w:spacing w:val="-5"/>
                <w:sz w:val="16"/>
              </w:rPr>
              <w:t> </w:t>
            </w:r>
            <w:r>
              <w:rPr>
                <w:sz w:val="16"/>
              </w:rPr>
              <w:t>Medium-</w:t>
            </w:r>
            <w:r>
              <w:rPr>
                <w:spacing w:val="-6"/>
                <w:sz w:val="16"/>
              </w:rPr>
              <w:t> </w:t>
            </w:r>
            <w:r>
              <w:rPr>
                <w:sz w:val="16"/>
              </w:rPr>
              <w:t>and</w:t>
            </w:r>
            <w:r>
              <w:rPr>
                <w:spacing w:val="-6"/>
                <w:sz w:val="16"/>
              </w:rPr>
              <w:t> </w:t>
            </w:r>
            <w:r>
              <w:rPr>
                <w:sz w:val="16"/>
              </w:rPr>
              <w:t>Long-Term</w:t>
            </w:r>
            <w:r>
              <w:rPr>
                <w:spacing w:val="-6"/>
                <w:sz w:val="16"/>
              </w:rPr>
              <w:t> </w:t>
            </w:r>
            <w:r>
              <w:rPr>
                <w:sz w:val="16"/>
              </w:rPr>
              <w:t>Borrowings</w:t>
            </w:r>
            <w:r>
              <w:rPr>
                <w:spacing w:val="-5"/>
                <w:sz w:val="16"/>
              </w:rPr>
              <w:t> </w:t>
            </w:r>
            <w:r>
              <w:rPr>
                <w:sz w:val="16"/>
              </w:rPr>
              <w:t>Raised</w:t>
            </w:r>
            <w:r>
              <w:rPr>
                <w:spacing w:val="-7"/>
                <w:sz w:val="16"/>
              </w:rPr>
              <w:t> </w:t>
            </w:r>
            <w:r>
              <w:rPr>
                <w:sz w:val="16"/>
              </w:rPr>
              <w:t>by</w:t>
            </w:r>
            <w:r>
              <w:rPr>
                <w:spacing w:val="-5"/>
                <w:sz w:val="16"/>
              </w:rPr>
              <w:t> </w:t>
            </w:r>
            <w:r>
              <w:rPr>
                <w:sz w:val="16"/>
              </w:rPr>
              <w:t>Currency</w:t>
            </w:r>
            <w:r>
              <w:rPr>
                <w:spacing w:val="-6"/>
                <w:sz w:val="16"/>
              </w:rPr>
              <w:t> </w:t>
            </w:r>
            <w:r>
              <w:rPr>
                <w:sz w:val="16"/>
              </w:rPr>
              <w:t>during</w:t>
            </w:r>
            <w:r>
              <w:rPr>
                <w:spacing w:val="-6"/>
                <w:sz w:val="16"/>
              </w:rPr>
              <w:t> </w:t>
            </w:r>
            <w:r>
              <w:rPr>
                <w:sz w:val="16"/>
              </w:rPr>
              <w:t>the</w:t>
            </w:r>
            <w:r>
              <w:rPr>
                <w:spacing w:val="-7"/>
                <w:sz w:val="16"/>
              </w:rPr>
              <w:t> </w:t>
            </w:r>
            <w:r>
              <w:rPr>
                <w:sz w:val="16"/>
              </w:rPr>
              <w:t>year,</w:t>
            </w:r>
            <w:r>
              <w:rPr>
                <w:spacing w:val="-5"/>
                <w:sz w:val="16"/>
              </w:rPr>
              <w:t> </w:t>
            </w:r>
            <w:r>
              <w:rPr>
                <w:sz w:val="16"/>
              </w:rPr>
              <w:t>Excluding</w:t>
            </w:r>
            <w:r>
              <w:rPr>
                <w:spacing w:val="-6"/>
                <w:sz w:val="16"/>
              </w:rPr>
              <w:t> </w:t>
            </w:r>
            <w:r>
              <w:rPr>
                <w:spacing w:val="-2"/>
                <w:sz w:val="16"/>
              </w:rPr>
              <w:t>Derivatives</w:t>
            </w:r>
          </w:p>
        </w:tc>
        <w:tc>
          <w:tcPr>
            <w:tcW w:w="1009" w:type="dxa"/>
          </w:tcPr>
          <w:p>
            <w:pPr>
              <w:pStyle w:val="TableParagraph"/>
              <w:spacing w:before="29"/>
              <w:ind w:right="48"/>
              <w:jc w:val="right"/>
              <w:rPr>
                <w:sz w:val="16"/>
              </w:rPr>
            </w:pPr>
            <w:hyperlink w:history="true" w:anchor="_bookmark60">
              <w:r>
                <w:rPr>
                  <w:spacing w:val="-5"/>
                  <w:sz w:val="16"/>
                </w:rPr>
                <w:t>34</w:t>
              </w:r>
            </w:hyperlink>
          </w:p>
        </w:tc>
      </w:tr>
      <w:tr>
        <w:trPr>
          <w:trHeight w:val="240" w:hRule="atLeast"/>
        </w:trPr>
        <w:tc>
          <w:tcPr>
            <w:tcW w:w="8399" w:type="dxa"/>
          </w:tcPr>
          <w:p>
            <w:pPr>
              <w:pStyle w:val="TableParagraph"/>
              <w:spacing w:before="21"/>
              <w:ind w:left="102"/>
              <w:rPr>
                <w:sz w:val="16"/>
              </w:rPr>
            </w:pPr>
            <w:r>
              <w:rPr>
                <w:sz w:val="16"/>
              </w:rPr>
              <w:t>Figure</w:t>
            </w:r>
            <w:r>
              <w:rPr>
                <w:spacing w:val="-8"/>
                <w:sz w:val="16"/>
              </w:rPr>
              <w:t> </w:t>
            </w:r>
            <w:r>
              <w:rPr>
                <w:sz w:val="16"/>
              </w:rPr>
              <w:t>16:</w:t>
            </w:r>
            <w:r>
              <w:rPr>
                <w:spacing w:val="-4"/>
                <w:sz w:val="16"/>
              </w:rPr>
              <w:t> </w:t>
            </w:r>
            <w:r>
              <w:rPr>
                <w:sz w:val="16"/>
              </w:rPr>
              <w:t>Voting</w:t>
            </w:r>
            <w:r>
              <w:rPr>
                <w:spacing w:val="-5"/>
                <w:sz w:val="16"/>
              </w:rPr>
              <w:t> </w:t>
            </w:r>
            <w:r>
              <w:rPr>
                <w:sz w:val="16"/>
              </w:rPr>
              <w:t>Power</w:t>
            </w:r>
            <w:r>
              <w:rPr>
                <w:spacing w:val="-5"/>
                <w:sz w:val="16"/>
              </w:rPr>
              <w:t> </w:t>
            </w:r>
            <w:r>
              <w:rPr>
                <w:sz w:val="16"/>
              </w:rPr>
              <w:t>of</w:t>
            </w:r>
            <w:r>
              <w:rPr>
                <w:spacing w:val="-7"/>
                <w:sz w:val="16"/>
              </w:rPr>
              <w:t> </w:t>
            </w:r>
            <w:r>
              <w:rPr>
                <w:sz w:val="16"/>
              </w:rPr>
              <w:t>Top</w:t>
            </w:r>
            <w:r>
              <w:rPr>
                <w:spacing w:val="-5"/>
                <w:sz w:val="16"/>
              </w:rPr>
              <w:t> </w:t>
            </w:r>
            <w:r>
              <w:rPr>
                <w:sz w:val="16"/>
              </w:rPr>
              <w:t>Six</w:t>
            </w:r>
            <w:r>
              <w:rPr>
                <w:spacing w:val="-4"/>
                <w:sz w:val="16"/>
              </w:rPr>
              <w:t> </w:t>
            </w:r>
            <w:r>
              <w:rPr>
                <w:sz w:val="16"/>
              </w:rPr>
              <w:t>Members</w:t>
            </w:r>
            <w:r>
              <w:rPr>
                <w:spacing w:val="-4"/>
                <w:sz w:val="16"/>
              </w:rPr>
              <w:t> </w:t>
            </w:r>
            <w:r>
              <w:rPr>
                <w:sz w:val="16"/>
              </w:rPr>
              <w:t>as</w:t>
            </w:r>
            <w:r>
              <w:rPr>
                <w:spacing w:val="-5"/>
                <w:sz w:val="16"/>
              </w:rPr>
              <w:t> </w:t>
            </w:r>
            <w:r>
              <w:rPr>
                <w:sz w:val="16"/>
              </w:rPr>
              <w:t>of</w:t>
            </w:r>
            <w:r>
              <w:rPr>
                <w:spacing w:val="-4"/>
                <w:sz w:val="16"/>
              </w:rPr>
              <w:t> </w:t>
            </w:r>
            <w:r>
              <w:rPr>
                <w:sz w:val="16"/>
              </w:rPr>
              <w:t>June</w:t>
            </w:r>
            <w:r>
              <w:rPr>
                <w:spacing w:val="-5"/>
                <w:sz w:val="16"/>
              </w:rPr>
              <w:t> </w:t>
            </w:r>
            <w:r>
              <w:rPr>
                <w:sz w:val="16"/>
              </w:rPr>
              <w:t>30,</w:t>
            </w:r>
            <w:r>
              <w:rPr>
                <w:spacing w:val="-4"/>
                <w:sz w:val="16"/>
              </w:rPr>
              <w:t> 2023</w:t>
            </w:r>
          </w:p>
        </w:tc>
        <w:tc>
          <w:tcPr>
            <w:tcW w:w="1009" w:type="dxa"/>
          </w:tcPr>
          <w:p>
            <w:pPr>
              <w:pStyle w:val="TableParagraph"/>
              <w:spacing w:before="29"/>
              <w:ind w:right="48"/>
              <w:jc w:val="right"/>
              <w:rPr>
                <w:sz w:val="16"/>
              </w:rPr>
            </w:pPr>
            <w:hyperlink w:history="true" w:anchor="_bookmark62">
              <w:r>
                <w:rPr>
                  <w:spacing w:val="-5"/>
                  <w:sz w:val="16"/>
                </w:rPr>
                <w:t>35</w:t>
              </w:r>
            </w:hyperlink>
          </w:p>
        </w:tc>
      </w:tr>
      <w:tr>
        <w:trPr>
          <w:trHeight w:val="240" w:hRule="atLeast"/>
        </w:trPr>
        <w:tc>
          <w:tcPr>
            <w:tcW w:w="8399" w:type="dxa"/>
          </w:tcPr>
          <w:p>
            <w:pPr>
              <w:pStyle w:val="TableParagraph"/>
              <w:spacing w:before="21"/>
              <w:ind w:left="102"/>
              <w:rPr>
                <w:sz w:val="16"/>
              </w:rPr>
            </w:pPr>
            <w:r>
              <w:rPr>
                <w:sz w:val="16"/>
              </w:rPr>
              <w:t>Figure</w:t>
            </w:r>
            <w:r>
              <w:rPr>
                <w:spacing w:val="-7"/>
                <w:sz w:val="16"/>
              </w:rPr>
              <w:t> </w:t>
            </w:r>
            <w:r>
              <w:rPr>
                <w:sz w:val="16"/>
              </w:rPr>
              <w:t>17:</w:t>
            </w:r>
            <w:r>
              <w:rPr>
                <w:spacing w:val="-3"/>
                <w:sz w:val="16"/>
              </w:rPr>
              <w:t> </w:t>
            </w:r>
            <w:r>
              <w:rPr>
                <w:sz w:val="16"/>
              </w:rPr>
              <w:t>Percentage</w:t>
            </w:r>
            <w:r>
              <w:rPr>
                <w:spacing w:val="-4"/>
                <w:sz w:val="16"/>
              </w:rPr>
              <w:t> </w:t>
            </w:r>
            <w:r>
              <w:rPr>
                <w:sz w:val="16"/>
              </w:rPr>
              <w:t>of</w:t>
            </w:r>
            <w:r>
              <w:rPr>
                <w:spacing w:val="-3"/>
                <w:sz w:val="16"/>
              </w:rPr>
              <w:t> </w:t>
            </w:r>
            <w:r>
              <w:rPr>
                <w:sz w:val="16"/>
              </w:rPr>
              <w:t>Votes</w:t>
            </w:r>
            <w:r>
              <w:rPr>
                <w:spacing w:val="-4"/>
                <w:sz w:val="16"/>
              </w:rPr>
              <w:t> </w:t>
            </w:r>
            <w:r>
              <w:rPr>
                <w:sz w:val="16"/>
              </w:rPr>
              <w:t>held</w:t>
            </w:r>
            <w:r>
              <w:rPr>
                <w:spacing w:val="-4"/>
                <w:sz w:val="16"/>
              </w:rPr>
              <w:t> </w:t>
            </w:r>
            <w:r>
              <w:rPr>
                <w:sz w:val="16"/>
              </w:rPr>
              <w:t>by</w:t>
            </w:r>
            <w:r>
              <w:rPr>
                <w:spacing w:val="-3"/>
                <w:sz w:val="16"/>
              </w:rPr>
              <w:t> </w:t>
            </w:r>
            <w:r>
              <w:rPr>
                <w:sz w:val="16"/>
              </w:rPr>
              <w:t>Member</w:t>
            </w:r>
            <w:r>
              <w:rPr>
                <w:spacing w:val="-3"/>
                <w:sz w:val="16"/>
              </w:rPr>
              <w:t> </w:t>
            </w:r>
            <w:r>
              <w:rPr>
                <w:sz w:val="16"/>
              </w:rPr>
              <w:t>Countries,</w:t>
            </w:r>
            <w:r>
              <w:rPr>
                <w:spacing w:val="-4"/>
                <w:sz w:val="16"/>
              </w:rPr>
              <w:t> </w:t>
            </w:r>
            <w:r>
              <w:rPr>
                <w:sz w:val="16"/>
              </w:rPr>
              <w:t>as</w:t>
            </w:r>
            <w:r>
              <w:rPr>
                <w:spacing w:val="-3"/>
                <w:sz w:val="16"/>
              </w:rPr>
              <w:t> </w:t>
            </w:r>
            <w:r>
              <w:rPr>
                <w:sz w:val="16"/>
              </w:rPr>
              <w:t>of</w:t>
            </w:r>
            <w:r>
              <w:rPr>
                <w:spacing w:val="-3"/>
                <w:sz w:val="16"/>
              </w:rPr>
              <w:t> </w:t>
            </w:r>
            <w:r>
              <w:rPr>
                <w:sz w:val="16"/>
              </w:rPr>
              <w:t>June</w:t>
            </w:r>
            <w:r>
              <w:rPr>
                <w:spacing w:val="-4"/>
                <w:sz w:val="16"/>
              </w:rPr>
              <w:t> </w:t>
            </w:r>
            <w:r>
              <w:rPr>
                <w:sz w:val="16"/>
              </w:rPr>
              <w:t>30,</w:t>
            </w:r>
            <w:r>
              <w:rPr>
                <w:spacing w:val="-3"/>
                <w:sz w:val="16"/>
              </w:rPr>
              <w:t> </w:t>
            </w:r>
            <w:r>
              <w:rPr>
                <w:spacing w:val="-4"/>
                <w:sz w:val="16"/>
              </w:rPr>
              <w:t>2023</w:t>
            </w:r>
          </w:p>
        </w:tc>
        <w:tc>
          <w:tcPr>
            <w:tcW w:w="1009" w:type="dxa"/>
          </w:tcPr>
          <w:p>
            <w:pPr>
              <w:pStyle w:val="TableParagraph"/>
              <w:spacing w:before="29"/>
              <w:ind w:right="48"/>
              <w:jc w:val="right"/>
              <w:rPr>
                <w:sz w:val="16"/>
              </w:rPr>
            </w:pPr>
            <w:hyperlink w:history="true" w:anchor="_bookmark62">
              <w:r>
                <w:rPr>
                  <w:spacing w:val="-5"/>
                  <w:sz w:val="16"/>
                </w:rPr>
                <w:t>35</w:t>
              </w:r>
            </w:hyperlink>
          </w:p>
        </w:tc>
      </w:tr>
      <w:tr>
        <w:trPr>
          <w:trHeight w:val="240" w:hRule="atLeast"/>
        </w:trPr>
        <w:tc>
          <w:tcPr>
            <w:tcW w:w="8399" w:type="dxa"/>
          </w:tcPr>
          <w:p>
            <w:pPr>
              <w:pStyle w:val="TableParagraph"/>
              <w:spacing w:before="21"/>
              <w:ind w:left="102"/>
              <w:rPr>
                <w:sz w:val="16"/>
              </w:rPr>
            </w:pPr>
            <w:r>
              <w:rPr>
                <w:sz w:val="16"/>
              </w:rPr>
              <w:t>Figure</w:t>
            </w:r>
            <w:r>
              <w:rPr>
                <w:spacing w:val="-5"/>
                <w:sz w:val="16"/>
              </w:rPr>
              <w:t> </w:t>
            </w:r>
            <w:r>
              <w:rPr>
                <w:sz w:val="16"/>
              </w:rPr>
              <w:t>18:</w:t>
            </w:r>
            <w:r>
              <w:rPr>
                <w:spacing w:val="-3"/>
                <w:sz w:val="16"/>
              </w:rPr>
              <w:t> </w:t>
            </w:r>
            <w:r>
              <w:rPr>
                <w:sz w:val="16"/>
              </w:rPr>
              <w:t>Risk</w:t>
            </w:r>
            <w:r>
              <w:rPr>
                <w:spacing w:val="-4"/>
                <w:sz w:val="16"/>
              </w:rPr>
              <w:t> </w:t>
            </w:r>
            <w:r>
              <w:rPr>
                <w:sz w:val="16"/>
              </w:rPr>
              <w:t>Committee</w:t>
            </w:r>
            <w:r>
              <w:rPr>
                <w:spacing w:val="-4"/>
                <w:sz w:val="16"/>
              </w:rPr>
              <w:t> </w:t>
            </w:r>
            <w:r>
              <w:rPr>
                <w:sz w:val="16"/>
              </w:rPr>
              <w:t>Structure</w:t>
            </w:r>
            <w:r>
              <w:rPr>
                <w:spacing w:val="-5"/>
                <w:sz w:val="16"/>
              </w:rPr>
              <w:t> </w:t>
            </w:r>
            <w:r>
              <w:rPr>
                <w:sz w:val="16"/>
              </w:rPr>
              <w:t>for</w:t>
            </w:r>
            <w:r>
              <w:rPr>
                <w:spacing w:val="-3"/>
                <w:sz w:val="16"/>
              </w:rPr>
              <w:t> </w:t>
            </w:r>
            <w:r>
              <w:rPr>
                <w:sz w:val="16"/>
              </w:rPr>
              <w:t>Financial</w:t>
            </w:r>
            <w:r>
              <w:rPr>
                <w:spacing w:val="-4"/>
                <w:sz w:val="16"/>
              </w:rPr>
              <w:t> </w:t>
            </w:r>
            <w:r>
              <w:rPr>
                <w:sz w:val="16"/>
              </w:rPr>
              <w:t>and</w:t>
            </w:r>
            <w:r>
              <w:rPr>
                <w:spacing w:val="-4"/>
                <w:sz w:val="16"/>
              </w:rPr>
              <w:t> </w:t>
            </w:r>
            <w:r>
              <w:rPr>
                <w:sz w:val="16"/>
              </w:rPr>
              <w:t>Operational</w:t>
            </w:r>
            <w:r>
              <w:rPr>
                <w:spacing w:val="-3"/>
                <w:sz w:val="16"/>
              </w:rPr>
              <w:t> </w:t>
            </w:r>
            <w:r>
              <w:rPr>
                <w:spacing w:val="-2"/>
                <w:sz w:val="16"/>
              </w:rPr>
              <w:t>Risks</w:t>
            </w:r>
          </w:p>
        </w:tc>
        <w:tc>
          <w:tcPr>
            <w:tcW w:w="1009" w:type="dxa"/>
          </w:tcPr>
          <w:p>
            <w:pPr>
              <w:pStyle w:val="TableParagraph"/>
              <w:spacing w:before="29"/>
              <w:ind w:right="48"/>
              <w:jc w:val="right"/>
              <w:rPr>
                <w:sz w:val="16"/>
              </w:rPr>
            </w:pPr>
            <w:hyperlink w:history="true" w:anchor="_bookmark69">
              <w:r>
                <w:rPr>
                  <w:spacing w:val="-5"/>
                  <w:sz w:val="16"/>
                </w:rPr>
                <w:t>39</w:t>
              </w:r>
            </w:hyperlink>
          </w:p>
        </w:tc>
      </w:tr>
      <w:tr>
        <w:trPr>
          <w:trHeight w:val="240" w:hRule="atLeast"/>
        </w:trPr>
        <w:tc>
          <w:tcPr>
            <w:tcW w:w="8399" w:type="dxa"/>
          </w:tcPr>
          <w:p>
            <w:pPr>
              <w:pStyle w:val="TableParagraph"/>
              <w:spacing w:before="21"/>
              <w:ind w:left="102"/>
              <w:rPr>
                <w:sz w:val="16"/>
              </w:rPr>
            </w:pPr>
            <w:r>
              <w:rPr>
                <w:sz w:val="16"/>
              </w:rPr>
              <w:t>Figure</w:t>
            </w:r>
            <w:r>
              <w:rPr>
                <w:spacing w:val="-8"/>
                <w:sz w:val="16"/>
              </w:rPr>
              <w:t> </w:t>
            </w:r>
            <w:r>
              <w:rPr>
                <w:sz w:val="16"/>
              </w:rPr>
              <w:t>19:</w:t>
            </w:r>
            <w:r>
              <w:rPr>
                <w:spacing w:val="-5"/>
                <w:sz w:val="16"/>
              </w:rPr>
              <w:t> </w:t>
            </w:r>
            <w:r>
              <w:rPr>
                <w:sz w:val="16"/>
              </w:rPr>
              <w:t>Equity-to-Loans</w:t>
            </w:r>
            <w:r>
              <w:rPr>
                <w:spacing w:val="-4"/>
                <w:sz w:val="16"/>
              </w:rPr>
              <w:t> Ratio</w:t>
            </w:r>
          </w:p>
        </w:tc>
        <w:tc>
          <w:tcPr>
            <w:tcW w:w="1009" w:type="dxa"/>
          </w:tcPr>
          <w:p>
            <w:pPr>
              <w:pStyle w:val="TableParagraph"/>
              <w:spacing w:before="29"/>
              <w:ind w:right="48"/>
              <w:jc w:val="right"/>
              <w:rPr>
                <w:sz w:val="16"/>
              </w:rPr>
            </w:pPr>
            <w:hyperlink w:history="true" w:anchor="_bookmark74">
              <w:r>
                <w:rPr>
                  <w:spacing w:val="-5"/>
                  <w:sz w:val="16"/>
                </w:rPr>
                <w:t>42</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20:</w:t>
            </w:r>
            <w:r>
              <w:rPr>
                <w:spacing w:val="-2"/>
                <w:sz w:val="16"/>
              </w:rPr>
              <w:t> </w:t>
            </w:r>
            <w:r>
              <w:rPr>
                <w:sz w:val="16"/>
              </w:rPr>
              <w:t>Country</w:t>
            </w:r>
            <w:r>
              <w:rPr>
                <w:spacing w:val="-3"/>
                <w:sz w:val="16"/>
              </w:rPr>
              <w:t> </w:t>
            </w:r>
            <w:r>
              <w:rPr>
                <w:sz w:val="16"/>
              </w:rPr>
              <w:t>Exposures</w:t>
            </w:r>
            <w:r>
              <w:rPr>
                <w:spacing w:val="-2"/>
                <w:sz w:val="16"/>
              </w:rPr>
              <w:t> </w:t>
            </w:r>
            <w:r>
              <w:rPr>
                <w:sz w:val="16"/>
              </w:rPr>
              <w:t>as</w:t>
            </w:r>
            <w:r>
              <w:rPr>
                <w:spacing w:val="-3"/>
                <w:sz w:val="16"/>
              </w:rPr>
              <w:t> </w:t>
            </w:r>
            <w:r>
              <w:rPr>
                <w:sz w:val="16"/>
              </w:rPr>
              <w:t>of</w:t>
            </w:r>
            <w:r>
              <w:rPr>
                <w:spacing w:val="-3"/>
                <w:sz w:val="16"/>
              </w:rPr>
              <w:t> </w:t>
            </w:r>
            <w:r>
              <w:rPr>
                <w:sz w:val="16"/>
              </w:rPr>
              <w:t>June</w:t>
            </w:r>
            <w:r>
              <w:rPr>
                <w:spacing w:val="-3"/>
                <w:sz w:val="16"/>
              </w:rPr>
              <w:t> </w:t>
            </w:r>
            <w:r>
              <w:rPr>
                <w:sz w:val="16"/>
              </w:rPr>
              <w:t>30,</w:t>
            </w:r>
            <w:r>
              <w:rPr>
                <w:spacing w:val="-2"/>
                <w:sz w:val="16"/>
              </w:rPr>
              <w:t> </w:t>
            </w:r>
            <w:r>
              <w:rPr>
                <w:spacing w:val="-4"/>
                <w:sz w:val="16"/>
              </w:rPr>
              <w:t>2023</w:t>
            </w:r>
          </w:p>
        </w:tc>
        <w:tc>
          <w:tcPr>
            <w:tcW w:w="1009" w:type="dxa"/>
          </w:tcPr>
          <w:p>
            <w:pPr>
              <w:pStyle w:val="TableParagraph"/>
              <w:spacing w:before="29"/>
              <w:ind w:right="48"/>
              <w:jc w:val="right"/>
              <w:rPr>
                <w:sz w:val="16"/>
              </w:rPr>
            </w:pPr>
            <w:hyperlink w:history="true" w:anchor="_bookmark77">
              <w:r>
                <w:rPr>
                  <w:spacing w:val="-5"/>
                  <w:sz w:val="16"/>
                </w:rPr>
                <w:t>44</w:t>
              </w:r>
            </w:hyperlink>
          </w:p>
        </w:tc>
      </w:tr>
      <w:tr>
        <w:trPr>
          <w:trHeight w:val="240" w:hRule="atLeast"/>
        </w:trPr>
        <w:tc>
          <w:tcPr>
            <w:tcW w:w="8399" w:type="dxa"/>
          </w:tcPr>
          <w:p>
            <w:pPr>
              <w:pStyle w:val="TableParagraph"/>
              <w:spacing w:before="21"/>
              <w:ind w:left="102"/>
              <w:rPr>
                <w:sz w:val="16"/>
              </w:rPr>
            </w:pPr>
            <w:r>
              <w:rPr>
                <w:sz w:val="16"/>
              </w:rPr>
              <w:t>Figure</w:t>
            </w:r>
            <w:r>
              <w:rPr>
                <w:spacing w:val="-6"/>
                <w:sz w:val="16"/>
              </w:rPr>
              <w:t> </w:t>
            </w:r>
            <w:r>
              <w:rPr>
                <w:sz w:val="16"/>
              </w:rPr>
              <w:t>21:</w:t>
            </w:r>
            <w:r>
              <w:rPr>
                <w:spacing w:val="-2"/>
                <w:sz w:val="16"/>
              </w:rPr>
              <w:t> </w:t>
            </w:r>
            <w:r>
              <w:rPr>
                <w:sz w:val="16"/>
              </w:rPr>
              <w:t>Effect</w:t>
            </w:r>
            <w:r>
              <w:rPr>
                <w:spacing w:val="-3"/>
                <w:sz w:val="16"/>
              </w:rPr>
              <w:t> </w:t>
            </w:r>
            <w:r>
              <w:rPr>
                <w:sz w:val="16"/>
              </w:rPr>
              <w:t>of</w:t>
            </w:r>
            <w:r>
              <w:rPr>
                <w:spacing w:val="-3"/>
                <w:sz w:val="16"/>
              </w:rPr>
              <w:t> </w:t>
            </w:r>
            <w:r>
              <w:rPr>
                <w:sz w:val="16"/>
              </w:rPr>
              <w:t>Derivatives</w:t>
            </w:r>
            <w:r>
              <w:rPr>
                <w:spacing w:val="-2"/>
                <w:sz w:val="16"/>
              </w:rPr>
              <w:t> </w:t>
            </w:r>
            <w:r>
              <w:rPr>
                <w:sz w:val="16"/>
              </w:rPr>
              <w:t>on</w:t>
            </w:r>
            <w:r>
              <w:rPr>
                <w:spacing w:val="-4"/>
                <w:sz w:val="16"/>
              </w:rPr>
              <w:t> </w:t>
            </w:r>
            <w:r>
              <w:rPr>
                <w:sz w:val="16"/>
              </w:rPr>
              <w:t>Interest</w:t>
            </w:r>
            <w:r>
              <w:rPr>
                <w:spacing w:val="-2"/>
                <w:sz w:val="16"/>
              </w:rPr>
              <w:t> </w:t>
            </w:r>
            <w:r>
              <w:rPr>
                <w:sz w:val="16"/>
              </w:rPr>
              <w:t>Rate</w:t>
            </w:r>
            <w:r>
              <w:rPr>
                <w:spacing w:val="-4"/>
                <w:sz w:val="16"/>
              </w:rPr>
              <w:t> </w:t>
            </w:r>
            <w:r>
              <w:rPr>
                <w:sz w:val="16"/>
              </w:rPr>
              <w:t>Structure</w:t>
            </w:r>
            <w:r>
              <w:rPr>
                <w:spacing w:val="-3"/>
                <w:sz w:val="16"/>
              </w:rPr>
              <w:t> </w:t>
            </w:r>
            <w:r>
              <w:rPr>
                <w:sz w:val="16"/>
              </w:rPr>
              <w:t>of</w:t>
            </w:r>
            <w:r>
              <w:rPr>
                <w:spacing w:val="-3"/>
                <w:sz w:val="16"/>
              </w:rPr>
              <w:t> </w:t>
            </w:r>
            <w:r>
              <w:rPr>
                <w:sz w:val="16"/>
              </w:rPr>
              <w:t>the</w:t>
            </w:r>
            <w:r>
              <w:rPr>
                <w:spacing w:val="-3"/>
                <w:sz w:val="16"/>
              </w:rPr>
              <w:t> </w:t>
            </w:r>
            <w:r>
              <w:rPr>
                <w:sz w:val="16"/>
              </w:rPr>
              <w:t>Borrowing</w:t>
            </w:r>
            <w:r>
              <w:rPr>
                <w:spacing w:val="-3"/>
                <w:sz w:val="16"/>
              </w:rPr>
              <w:t> </w:t>
            </w:r>
            <w:r>
              <w:rPr>
                <w:sz w:val="16"/>
              </w:rPr>
              <w:t>Portfolio</w:t>
            </w:r>
            <w:r>
              <w:rPr>
                <w:spacing w:val="-4"/>
                <w:sz w:val="16"/>
              </w:rPr>
              <w:t> </w:t>
            </w:r>
            <w:r>
              <w:rPr>
                <w:sz w:val="16"/>
              </w:rPr>
              <w:t>-</w:t>
            </w:r>
            <w:r>
              <w:rPr>
                <w:spacing w:val="-2"/>
                <w:sz w:val="16"/>
              </w:rPr>
              <w:t> </w:t>
            </w:r>
            <w:r>
              <w:rPr>
                <w:sz w:val="16"/>
              </w:rPr>
              <w:t>June</w:t>
            </w:r>
            <w:r>
              <w:rPr>
                <w:spacing w:val="-4"/>
                <w:sz w:val="16"/>
              </w:rPr>
              <w:t> </w:t>
            </w:r>
            <w:r>
              <w:rPr>
                <w:sz w:val="16"/>
              </w:rPr>
              <w:t>30,</w:t>
            </w:r>
            <w:r>
              <w:rPr>
                <w:spacing w:val="-2"/>
                <w:sz w:val="16"/>
              </w:rPr>
              <w:t> </w:t>
            </w:r>
            <w:r>
              <w:rPr>
                <w:spacing w:val="-4"/>
                <w:sz w:val="16"/>
              </w:rPr>
              <w:t>2023</w:t>
            </w:r>
          </w:p>
        </w:tc>
        <w:tc>
          <w:tcPr>
            <w:tcW w:w="1009" w:type="dxa"/>
          </w:tcPr>
          <w:p>
            <w:pPr>
              <w:pStyle w:val="TableParagraph"/>
              <w:spacing w:before="29"/>
              <w:ind w:right="48"/>
              <w:jc w:val="right"/>
              <w:rPr>
                <w:sz w:val="16"/>
              </w:rPr>
            </w:pPr>
            <w:hyperlink w:history="true" w:anchor="_bookmark83">
              <w:r>
                <w:rPr>
                  <w:spacing w:val="-5"/>
                  <w:sz w:val="16"/>
                </w:rPr>
                <w:t>50</w:t>
              </w:r>
            </w:hyperlink>
          </w:p>
        </w:tc>
      </w:tr>
      <w:tr>
        <w:trPr>
          <w:trHeight w:val="240" w:hRule="atLeast"/>
        </w:trPr>
        <w:tc>
          <w:tcPr>
            <w:tcW w:w="8399" w:type="dxa"/>
          </w:tcPr>
          <w:p>
            <w:pPr>
              <w:pStyle w:val="TableParagraph"/>
              <w:spacing w:before="21"/>
              <w:ind w:left="102"/>
              <w:rPr>
                <w:sz w:val="16"/>
              </w:rPr>
            </w:pPr>
            <w:r>
              <w:rPr>
                <w:sz w:val="16"/>
              </w:rPr>
              <w:t>Figure</w:t>
            </w:r>
            <w:r>
              <w:rPr>
                <w:spacing w:val="-6"/>
                <w:sz w:val="16"/>
              </w:rPr>
              <w:t> </w:t>
            </w:r>
            <w:r>
              <w:rPr>
                <w:sz w:val="16"/>
              </w:rPr>
              <w:t>22:</w:t>
            </w:r>
            <w:r>
              <w:rPr>
                <w:spacing w:val="-2"/>
                <w:sz w:val="16"/>
              </w:rPr>
              <w:t> </w:t>
            </w:r>
            <w:r>
              <w:rPr>
                <w:sz w:val="16"/>
              </w:rPr>
              <w:t>Effect</w:t>
            </w:r>
            <w:r>
              <w:rPr>
                <w:spacing w:val="-3"/>
                <w:sz w:val="16"/>
              </w:rPr>
              <w:t> </w:t>
            </w:r>
            <w:r>
              <w:rPr>
                <w:sz w:val="16"/>
              </w:rPr>
              <w:t>of</w:t>
            </w:r>
            <w:r>
              <w:rPr>
                <w:spacing w:val="-2"/>
                <w:sz w:val="16"/>
              </w:rPr>
              <w:t> </w:t>
            </w:r>
            <w:r>
              <w:rPr>
                <w:sz w:val="16"/>
              </w:rPr>
              <w:t>Derivatives</w:t>
            </w:r>
            <w:r>
              <w:rPr>
                <w:spacing w:val="-2"/>
                <w:sz w:val="16"/>
              </w:rPr>
              <w:t> </w:t>
            </w:r>
            <w:r>
              <w:rPr>
                <w:sz w:val="16"/>
              </w:rPr>
              <w:t>on</w:t>
            </w:r>
            <w:r>
              <w:rPr>
                <w:spacing w:val="-4"/>
                <w:sz w:val="16"/>
              </w:rPr>
              <w:t> </w:t>
            </w:r>
            <w:r>
              <w:rPr>
                <w:sz w:val="16"/>
              </w:rPr>
              <w:t>Interest</w:t>
            </w:r>
            <w:r>
              <w:rPr>
                <w:spacing w:val="-2"/>
                <w:sz w:val="16"/>
              </w:rPr>
              <w:t> </w:t>
            </w:r>
            <w:r>
              <w:rPr>
                <w:sz w:val="16"/>
              </w:rPr>
              <w:t>Rate</w:t>
            </w:r>
            <w:r>
              <w:rPr>
                <w:spacing w:val="-4"/>
                <w:sz w:val="16"/>
              </w:rPr>
              <w:t> </w:t>
            </w:r>
            <w:r>
              <w:rPr>
                <w:sz w:val="16"/>
              </w:rPr>
              <w:t>Structure</w:t>
            </w:r>
            <w:r>
              <w:rPr>
                <w:spacing w:val="-3"/>
                <w:sz w:val="16"/>
              </w:rPr>
              <w:t> </w:t>
            </w:r>
            <w:r>
              <w:rPr>
                <w:sz w:val="16"/>
              </w:rPr>
              <w:t>of</w:t>
            </w:r>
            <w:r>
              <w:rPr>
                <w:spacing w:val="-2"/>
                <w:sz w:val="16"/>
              </w:rPr>
              <w:t> </w:t>
            </w:r>
            <w:r>
              <w:rPr>
                <w:sz w:val="16"/>
              </w:rPr>
              <w:t>the</w:t>
            </w:r>
            <w:r>
              <w:rPr>
                <w:spacing w:val="-4"/>
                <w:sz w:val="16"/>
              </w:rPr>
              <w:t> </w:t>
            </w:r>
            <w:r>
              <w:rPr>
                <w:sz w:val="16"/>
              </w:rPr>
              <w:t>Loan</w:t>
            </w:r>
            <w:r>
              <w:rPr>
                <w:spacing w:val="-3"/>
                <w:sz w:val="16"/>
              </w:rPr>
              <w:t> </w:t>
            </w:r>
            <w:r>
              <w:rPr>
                <w:sz w:val="16"/>
              </w:rPr>
              <w:t>Portfolio</w:t>
            </w:r>
            <w:r>
              <w:rPr>
                <w:spacing w:val="-3"/>
                <w:sz w:val="16"/>
              </w:rPr>
              <w:t> </w:t>
            </w:r>
            <w:r>
              <w:rPr>
                <w:sz w:val="16"/>
              </w:rPr>
              <w:t>-</w:t>
            </w:r>
            <w:r>
              <w:rPr>
                <w:spacing w:val="-3"/>
                <w:sz w:val="16"/>
              </w:rPr>
              <w:t> </w:t>
            </w:r>
            <w:r>
              <w:rPr>
                <w:sz w:val="16"/>
              </w:rPr>
              <w:t>June</w:t>
            </w:r>
            <w:r>
              <w:rPr>
                <w:spacing w:val="-3"/>
                <w:sz w:val="16"/>
              </w:rPr>
              <w:t> </w:t>
            </w:r>
            <w:r>
              <w:rPr>
                <w:sz w:val="16"/>
              </w:rPr>
              <w:t>30,</w:t>
            </w:r>
            <w:r>
              <w:rPr>
                <w:spacing w:val="-2"/>
                <w:sz w:val="16"/>
              </w:rPr>
              <w:t> </w:t>
            </w:r>
            <w:r>
              <w:rPr>
                <w:spacing w:val="-4"/>
                <w:sz w:val="16"/>
              </w:rPr>
              <w:t>2023</w:t>
            </w:r>
          </w:p>
        </w:tc>
        <w:tc>
          <w:tcPr>
            <w:tcW w:w="1009" w:type="dxa"/>
          </w:tcPr>
          <w:p>
            <w:pPr>
              <w:pStyle w:val="TableParagraph"/>
              <w:spacing w:before="29"/>
              <w:ind w:right="48"/>
              <w:jc w:val="right"/>
              <w:rPr>
                <w:sz w:val="16"/>
              </w:rPr>
            </w:pPr>
            <w:hyperlink w:history="true" w:anchor="_bookmark84">
              <w:r>
                <w:rPr>
                  <w:spacing w:val="-5"/>
                  <w:sz w:val="16"/>
                </w:rPr>
                <w:t>51</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23:</w:t>
            </w:r>
            <w:r>
              <w:rPr>
                <w:spacing w:val="-3"/>
                <w:sz w:val="16"/>
              </w:rPr>
              <w:t> </w:t>
            </w:r>
            <w:r>
              <w:rPr>
                <w:sz w:val="16"/>
              </w:rPr>
              <w:t>Use</w:t>
            </w:r>
            <w:r>
              <w:rPr>
                <w:spacing w:val="-3"/>
                <w:sz w:val="16"/>
              </w:rPr>
              <w:t> </w:t>
            </w:r>
            <w:r>
              <w:rPr>
                <w:sz w:val="16"/>
              </w:rPr>
              <w:t>of</w:t>
            </w:r>
            <w:r>
              <w:rPr>
                <w:spacing w:val="-3"/>
                <w:sz w:val="16"/>
              </w:rPr>
              <w:t> </w:t>
            </w:r>
            <w:r>
              <w:rPr>
                <w:sz w:val="16"/>
              </w:rPr>
              <w:t>Derivatives</w:t>
            </w:r>
            <w:r>
              <w:rPr>
                <w:spacing w:val="-3"/>
                <w:sz w:val="16"/>
              </w:rPr>
              <w:t> </w:t>
            </w:r>
            <w:r>
              <w:rPr>
                <w:sz w:val="16"/>
              </w:rPr>
              <w:t>for</w:t>
            </w:r>
            <w:r>
              <w:rPr>
                <w:spacing w:val="-2"/>
                <w:sz w:val="16"/>
              </w:rPr>
              <w:t> </w:t>
            </w:r>
            <w:r>
              <w:rPr>
                <w:sz w:val="16"/>
              </w:rPr>
              <w:t>Loans</w:t>
            </w:r>
            <w:r>
              <w:rPr>
                <w:spacing w:val="-3"/>
                <w:sz w:val="16"/>
              </w:rPr>
              <w:t> </w:t>
            </w:r>
            <w:r>
              <w:rPr>
                <w:sz w:val="16"/>
              </w:rPr>
              <w:t>and</w:t>
            </w:r>
            <w:r>
              <w:rPr>
                <w:spacing w:val="-3"/>
                <w:sz w:val="16"/>
              </w:rPr>
              <w:t> </w:t>
            </w:r>
            <w:r>
              <w:rPr>
                <w:spacing w:val="-2"/>
                <w:sz w:val="16"/>
              </w:rPr>
              <w:t>Borrowings</w:t>
            </w:r>
          </w:p>
        </w:tc>
        <w:tc>
          <w:tcPr>
            <w:tcW w:w="1009" w:type="dxa"/>
          </w:tcPr>
          <w:p>
            <w:pPr>
              <w:pStyle w:val="TableParagraph"/>
              <w:spacing w:before="29"/>
              <w:ind w:right="48"/>
              <w:jc w:val="right"/>
              <w:rPr>
                <w:sz w:val="16"/>
              </w:rPr>
            </w:pPr>
            <w:hyperlink w:history="true" w:anchor="_bookmark85">
              <w:r>
                <w:rPr>
                  <w:spacing w:val="-5"/>
                  <w:sz w:val="16"/>
                </w:rPr>
                <w:t>51</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24:</w:t>
            </w:r>
            <w:r>
              <w:rPr>
                <w:spacing w:val="-2"/>
                <w:sz w:val="16"/>
              </w:rPr>
              <w:t> </w:t>
            </w:r>
            <w:r>
              <w:rPr>
                <w:sz w:val="16"/>
              </w:rPr>
              <w:t>Use</w:t>
            </w:r>
            <w:r>
              <w:rPr>
                <w:spacing w:val="-4"/>
                <w:sz w:val="16"/>
              </w:rPr>
              <w:t> </w:t>
            </w:r>
            <w:r>
              <w:rPr>
                <w:sz w:val="16"/>
              </w:rPr>
              <w:t>of</w:t>
            </w:r>
            <w:r>
              <w:rPr>
                <w:spacing w:val="-2"/>
                <w:sz w:val="16"/>
              </w:rPr>
              <w:t> </w:t>
            </w:r>
            <w:r>
              <w:rPr>
                <w:sz w:val="16"/>
              </w:rPr>
              <w:t>Derivatives</w:t>
            </w:r>
            <w:r>
              <w:rPr>
                <w:spacing w:val="-3"/>
                <w:sz w:val="16"/>
              </w:rPr>
              <w:t> </w:t>
            </w:r>
            <w:r>
              <w:rPr>
                <w:sz w:val="16"/>
              </w:rPr>
              <w:t>for</w:t>
            </w:r>
            <w:r>
              <w:rPr>
                <w:spacing w:val="-2"/>
                <w:sz w:val="16"/>
              </w:rPr>
              <w:t> Investments</w:t>
            </w:r>
          </w:p>
        </w:tc>
        <w:tc>
          <w:tcPr>
            <w:tcW w:w="1009" w:type="dxa"/>
          </w:tcPr>
          <w:p>
            <w:pPr>
              <w:pStyle w:val="TableParagraph"/>
              <w:spacing w:before="29"/>
              <w:ind w:right="48"/>
              <w:jc w:val="right"/>
              <w:rPr>
                <w:sz w:val="16"/>
              </w:rPr>
            </w:pPr>
            <w:hyperlink w:history="true" w:anchor="_bookmark86">
              <w:r>
                <w:rPr>
                  <w:spacing w:val="-5"/>
                  <w:sz w:val="16"/>
                </w:rPr>
                <w:t>52</w:t>
              </w:r>
            </w:hyperlink>
          </w:p>
        </w:tc>
      </w:tr>
      <w:tr>
        <w:trPr>
          <w:trHeight w:val="240" w:hRule="atLeast"/>
        </w:trPr>
        <w:tc>
          <w:tcPr>
            <w:tcW w:w="8399" w:type="dxa"/>
          </w:tcPr>
          <w:p>
            <w:pPr>
              <w:pStyle w:val="TableParagraph"/>
              <w:spacing w:before="21"/>
              <w:ind w:left="102"/>
              <w:rPr>
                <w:sz w:val="16"/>
              </w:rPr>
            </w:pPr>
            <w:r>
              <w:rPr>
                <w:sz w:val="16"/>
              </w:rPr>
              <w:t>Figure</w:t>
            </w:r>
            <w:r>
              <w:rPr>
                <w:spacing w:val="-4"/>
                <w:sz w:val="16"/>
              </w:rPr>
              <w:t> </w:t>
            </w:r>
            <w:r>
              <w:rPr>
                <w:sz w:val="16"/>
              </w:rPr>
              <w:t>25:</w:t>
            </w:r>
            <w:r>
              <w:rPr>
                <w:spacing w:val="-2"/>
                <w:sz w:val="16"/>
              </w:rPr>
              <w:t> </w:t>
            </w:r>
            <w:r>
              <w:rPr>
                <w:sz w:val="16"/>
              </w:rPr>
              <w:t>Use</w:t>
            </w:r>
            <w:r>
              <w:rPr>
                <w:spacing w:val="-4"/>
                <w:sz w:val="16"/>
              </w:rPr>
              <w:t> </w:t>
            </w:r>
            <w:r>
              <w:rPr>
                <w:sz w:val="16"/>
              </w:rPr>
              <w:t>of</w:t>
            </w:r>
            <w:r>
              <w:rPr>
                <w:spacing w:val="-2"/>
                <w:sz w:val="16"/>
              </w:rPr>
              <w:t> </w:t>
            </w:r>
            <w:r>
              <w:rPr>
                <w:sz w:val="16"/>
              </w:rPr>
              <w:t>Derivatives</w:t>
            </w:r>
            <w:r>
              <w:rPr>
                <w:spacing w:val="-3"/>
                <w:sz w:val="16"/>
              </w:rPr>
              <w:t> </w:t>
            </w:r>
            <w:r>
              <w:rPr>
                <w:sz w:val="16"/>
              </w:rPr>
              <w:t>for</w:t>
            </w:r>
            <w:r>
              <w:rPr>
                <w:spacing w:val="-2"/>
                <w:sz w:val="16"/>
              </w:rPr>
              <w:t> </w:t>
            </w:r>
            <w:r>
              <w:rPr>
                <w:sz w:val="16"/>
              </w:rPr>
              <w:t>Other</w:t>
            </w:r>
            <w:r>
              <w:rPr>
                <w:spacing w:val="-11"/>
                <w:sz w:val="16"/>
              </w:rPr>
              <w:t> </w:t>
            </w:r>
            <w:r>
              <w:rPr>
                <w:spacing w:val="-5"/>
                <w:sz w:val="16"/>
              </w:rPr>
              <w:t>ALM</w:t>
            </w:r>
          </w:p>
        </w:tc>
        <w:tc>
          <w:tcPr>
            <w:tcW w:w="1009" w:type="dxa"/>
          </w:tcPr>
          <w:p>
            <w:pPr>
              <w:pStyle w:val="TableParagraph"/>
              <w:spacing w:before="29"/>
              <w:ind w:right="48"/>
              <w:jc w:val="right"/>
              <w:rPr>
                <w:sz w:val="16"/>
              </w:rPr>
            </w:pPr>
            <w:hyperlink w:history="true" w:anchor="_bookmark87">
              <w:r>
                <w:rPr>
                  <w:spacing w:val="-5"/>
                  <w:sz w:val="16"/>
                </w:rPr>
                <w:t>52</w:t>
              </w:r>
            </w:hyperlink>
          </w:p>
        </w:tc>
      </w:tr>
      <w:tr>
        <w:trPr>
          <w:trHeight w:val="240" w:hRule="atLeast"/>
        </w:trPr>
        <w:tc>
          <w:tcPr>
            <w:tcW w:w="8399" w:type="dxa"/>
          </w:tcPr>
          <w:p>
            <w:pPr>
              <w:pStyle w:val="TableParagraph"/>
              <w:spacing w:before="21"/>
              <w:ind w:left="102"/>
              <w:rPr>
                <w:sz w:val="16"/>
              </w:rPr>
            </w:pPr>
            <w:r>
              <w:rPr>
                <w:sz w:val="16"/>
              </w:rPr>
              <w:t>Figure</w:t>
            </w:r>
            <w:r>
              <w:rPr>
                <w:spacing w:val="-6"/>
                <w:sz w:val="16"/>
              </w:rPr>
              <w:t> </w:t>
            </w:r>
            <w:r>
              <w:rPr>
                <w:sz w:val="16"/>
              </w:rPr>
              <w:t>26:</w:t>
            </w:r>
            <w:r>
              <w:rPr>
                <w:spacing w:val="-3"/>
                <w:sz w:val="16"/>
              </w:rPr>
              <w:t> </w:t>
            </w:r>
            <w:r>
              <w:rPr>
                <w:sz w:val="16"/>
              </w:rPr>
              <w:t>Currency</w:t>
            </w:r>
            <w:r>
              <w:rPr>
                <w:spacing w:val="-4"/>
                <w:sz w:val="16"/>
              </w:rPr>
              <w:t> </w:t>
            </w:r>
            <w:r>
              <w:rPr>
                <w:sz w:val="16"/>
              </w:rPr>
              <w:t>Composition</w:t>
            </w:r>
            <w:r>
              <w:rPr>
                <w:spacing w:val="-3"/>
                <w:sz w:val="16"/>
              </w:rPr>
              <w:t> </w:t>
            </w:r>
            <w:r>
              <w:rPr>
                <w:sz w:val="16"/>
              </w:rPr>
              <w:t>of</w:t>
            </w:r>
            <w:r>
              <w:rPr>
                <w:spacing w:val="-4"/>
                <w:sz w:val="16"/>
              </w:rPr>
              <w:t> </w:t>
            </w:r>
            <w:r>
              <w:rPr>
                <w:sz w:val="16"/>
              </w:rPr>
              <w:t>Loan</w:t>
            </w:r>
            <w:r>
              <w:rPr>
                <w:spacing w:val="-3"/>
                <w:sz w:val="16"/>
              </w:rPr>
              <w:t> </w:t>
            </w:r>
            <w:r>
              <w:rPr>
                <w:sz w:val="16"/>
              </w:rPr>
              <w:t>and</w:t>
            </w:r>
            <w:r>
              <w:rPr>
                <w:spacing w:val="-4"/>
                <w:sz w:val="16"/>
              </w:rPr>
              <w:t> </w:t>
            </w:r>
            <w:r>
              <w:rPr>
                <w:sz w:val="16"/>
              </w:rPr>
              <w:t>Borrowing</w:t>
            </w:r>
            <w:r>
              <w:rPr>
                <w:spacing w:val="-4"/>
                <w:sz w:val="16"/>
              </w:rPr>
              <w:t> </w:t>
            </w:r>
            <w:r>
              <w:rPr>
                <w:sz w:val="16"/>
              </w:rPr>
              <w:t>Portfolios</w:t>
            </w:r>
            <w:r>
              <w:rPr>
                <w:spacing w:val="-3"/>
                <w:sz w:val="16"/>
              </w:rPr>
              <w:t> </w:t>
            </w:r>
            <w:r>
              <w:rPr>
                <w:sz w:val="16"/>
              </w:rPr>
              <w:t>as</w:t>
            </w:r>
            <w:r>
              <w:rPr>
                <w:spacing w:val="-3"/>
                <w:sz w:val="16"/>
              </w:rPr>
              <w:t> </w:t>
            </w:r>
            <w:r>
              <w:rPr>
                <w:sz w:val="16"/>
              </w:rPr>
              <w:t>of</w:t>
            </w:r>
            <w:r>
              <w:rPr>
                <w:spacing w:val="-3"/>
                <w:sz w:val="16"/>
              </w:rPr>
              <w:t> </w:t>
            </w:r>
            <w:r>
              <w:rPr>
                <w:sz w:val="16"/>
              </w:rPr>
              <w:t>June</w:t>
            </w:r>
            <w:r>
              <w:rPr>
                <w:spacing w:val="-4"/>
                <w:sz w:val="16"/>
              </w:rPr>
              <w:t> </w:t>
            </w:r>
            <w:r>
              <w:rPr>
                <w:sz w:val="16"/>
              </w:rPr>
              <w:t>30,</w:t>
            </w:r>
            <w:r>
              <w:rPr>
                <w:spacing w:val="-3"/>
                <w:sz w:val="16"/>
              </w:rPr>
              <w:t> </w:t>
            </w:r>
            <w:r>
              <w:rPr>
                <w:spacing w:val="-4"/>
                <w:sz w:val="16"/>
              </w:rPr>
              <w:t>2023</w:t>
            </w:r>
          </w:p>
        </w:tc>
        <w:tc>
          <w:tcPr>
            <w:tcW w:w="1009" w:type="dxa"/>
          </w:tcPr>
          <w:p>
            <w:pPr>
              <w:pStyle w:val="TableParagraph"/>
              <w:spacing w:before="29"/>
              <w:ind w:right="48"/>
              <w:jc w:val="right"/>
              <w:rPr>
                <w:sz w:val="16"/>
              </w:rPr>
            </w:pPr>
            <w:hyperlink w:history="true" w:anchor="_bookmark88">
              <w:r>
                <w:rPr>
                  <w:spacing w:val="-5"/>
                  <w:sz w:val="16"/>
                </w:rPr>
                <w:t>54</w:t>
              </w:r>
            </w:hyperlink>
          </w:p>
        </w:tc>
      </w:tr>
      <w:tr>
        <w:trPr>
          <w:trHeight w:val="320" w:hRule="atLeast"/>
        </w:trPr>
        <w:tc>
          <w:tcPr>
            <w:tcW w:w="8399" w:type="dxa"/>
          </w:tcPr>
          <w:p>
            <w:pPr>
              <w:pStyle w:val="TableParagraph"/>
              <w:spacing w:before="21"/>
              <w:ind w:left="102"/>
              <w:rPr>
                <w:sz w:val="16"/>
              </w:rPr>
            </w:pPr>
            <w:r>
              <w:rPr>
                <w:sz w:val="16"/>
              </w:rPr>
              <w:t>Figure</w:t>
            </w:r>
            <w:r>
              <w:rPr>
                <w:spacing w:val="-5"/>
                <w:sz w:val="16"/>
              </w:rPr>
              <w:t> </w:t>
            </w:r>
            <w:r>
              <w:rPr>
                <w:sz w:val="16"/>
              </w:rPr>
              <w:t>27:</w:t>
            </w:r>
            <w:r>
              <w:rPr>
                <w:spacing w:val="-4"/>
                <w:sz w:val="16"/>
              </w:rPr>
              <w:t> </w:t>
            </w:r>
            <w:r>
              <w:rPr>
                <w:sz w:val="16"/>
              </w:rPr>
              <w:t>Governance</w:t>
            </w:r>
            <w:r>
              <w:rPr>
                <w:spacing w:val="-4"/>
                <w:sz w:val="16"/>
              </w:rPr>
              <w:t> </w:t>
            </w:r>
            <w:r>
              <w:rPr>
                <w:spacing w:val="-2"/>
                <w:sz w:val="16"/>
              </w:rPr>
              <w:t>Structure</w:t>
            </w:r>
          </w:p>
        </w:tc>
        <w:tc>
          <w:tcPr>
            <w:tcW w:w="1009" w:type="dxa"/>
          </w:tcPr>
          <w:p>
            <w:pPr>
              <w:pStyle w:val="TableParagraph"/>
              <w:spacing w:before="29"/>
              <w:ind w:right="48"/>
              <w:jc w:val="right"/>
              <w:rPr>
                <w:sz w:val="16"/>
              </w:rPr>
            </w:pPr>
            <w:hyperlink w:history="true" w:anchor="_bookmark104">
              <w:r>
                <w:rPr>
                  <w:spacing w:val="-5"/>
                  <w:sz w:val="16"/>
                </w:rPr>
                <w:t>61</w:t>
              </w:r>
            </w:hyperlink>
          </w:p>
        </w:tc>
      </w:tr>
      <w:tr>
        <w:trPr>
          <w:trHeight w:val="579" w:hRule="atLeast"/>
        </w:trPr>
        <w:tc>
          <w:tcPr>
            <w:tcW w:w="8399" w:type="dxa"/>
          </w:tcPr>
          <w:p>
            <w:pPr>
              <w:pStyle w:val="TableParagraph"/>
              <w:spacing w:before="100"/>
              <w:ind w:left="50"/>
              <w:rPr>
                <w:rFonts w:ascii="Arial"/>
                <w:b/>
                <w:sz w:val="20"/>
              </w:rPr>
            </w:pPr>
            <w:r>
              <w:rPr>
                <w:rFonts w:ascii="Arial"/>
                <w:b/>
                <w:spacing w:val="-2"/>
                <w:sz w:val="20"/>
              </w:rPr>
              <w:t>Boxes</w:t>
            </w:r>
          </w:p>
          <w:p>
            <w:pPr>
              <w:pStyle w:val="TableParagraph"/>
              <w:spacing w:before="31"/>
              <w:ind w:left="102"/>
              <w:rPr>
                <w:sz w:val="16"/>
              </w:rPr>
            </w:pPr>
            <w:r>
              <w:rPr>
                <w:sz w:val="16"/>
              </w:rPr>
              <w:t>Box</w:t>
            </w:r>
            <w:r>
              <w:rPr>
                <w:spacing w:val="-4"/>
                <w:sz w:val="16"/>
              </w:rPr>
              <w:t> </w:t>
            </w:r>
            <w:r>
              <w:rPr>
                <w:sz w:val="16"/>
              </w:rPr>
              <w:t>1:</w:t>
            </w:r>
            <w:r>
              <w:rPr>
                <w:spacing w:val="-3"/>
                <w:sz w:val="16"/>
              </w:rPr>
              <w:t> </w:t>
            </w:r>
            <w:r>
              <w:rPr>
                <w:sz w:val="16"/>
              </w:rPr>
              <w:t>Selected</w:t>
            </w:r>
            <w:r>
              <w:rPr>
                <w:spacing w:val="-4"/>
                <w:sz w:val="16"/>
              </w:rPr>
              <w:t> </w:t>
            </w:r>
            <w:r>
              <w:rPr>
                <w:sz w:val="16"/>
              </w:rPr>
              <w:t>Financial</w:t>
            </w:r>
            <w:r>
              <w:rPr>
                <w:spacing w:val="-3"/>
                <w:sz w:val="16"/>
              </w:rPr>
              <w:t> </w:t>
            </w:r>
            <w:r>
              <w:rPr>
                <w:spacing w:val="-4"/>
                <w:sz w:val="16"/>
              </w:rPr>
              <w:t>Data</w:t>
            </w:r>
          </w:p>
        </w:tc>
        <w:tc>
          <w:tcPr>
            <w:tcW w:w="1009" w:type="dxa"/>
          </w:tcPr>
          <w:p>
            <w:pPr>
              <w:pStyle w:val="TableParagraph"/>
              <w:rPr>
                <w:sz w:val="16"/>
              </w:rPr>
            </w:pPr>
          </w:p>
          <w:p>
            <w:pPr>
              <w:pStyle w:val="TableParagraph"/>
              <w:rPr>
                <w:sz w:val="16"/>
              </w:rPr>
            </w:pPr>
          </w:p>
          <w:p>
            <w:pPr>
              <w:pStyle w:val="TableParagraph"/>
              <w:spacing w:before="1"/>
              <w:ind w:right="48"/>
              <w:jc w:val="right"/>
              <w:rPr>
                <w:sz w:val="16"/>
              </w:rPr>
            </w:pPr>
            <w:hyperlink w:history="true" w:anchor="_bookmark0">
              <w:r>
                <w:rPr>
                  <w:spacing w:val="-10"/>
                  <w:sz w:val="16"/>
                </w:rPr>
                <w:t>2</w:t>
              </w:r>
            </w:hyperlink>
          </w:p>
        </w:tc>
      </w:tr>
      <w:tr>
        <w:trPr>
          <w:trHeight w:val="240" w:hRule="atLeast"/>
        </w:trPr>
        <w:tc>
          <w:tcPr>
            <w:tcW w:w="8399" w:type="dxa"/>
          </w:tcPr>
          <w:p>
            <w:pPr>
              <w:pStyle w:val="TableParagraph"/>
              <w:spacing w:before="21"/>
              <w:ind w:left="102"/>
              <w:rPr>
                <w:sz w:val="16"/>
              </w:rPr>
            </w:pPr>
            <w:r>
              <w:rPr>
                <w:sz w:val="16"/>
              </w:rPr>
              <w:t>Box</w:t>
            </w:r>
            <w:r>
              <w:rPr>
                <w:spacing w:val="-3"/>
                <w:sz w:val="16"/>
              </w:rPr>
              <w:t> </w:t>
            </w:r>
            <w:r>
              <w:rPr>
                <w:sz w:val="16"/>
              </w:rPr>
              <w:t>2:</w:t>
            </w:r>
            <w:r>
              <w:rPr>
                <w:spacing w:val="-3"/>
                <w:sz w:val="16"/>
              </w:rPr>
              <w:t> </w:t>
            </w:r>
            <w:r>
              <w:rPr>
                <w:sz w:val="16"/>
              </w:rPr>
              <w:t>Components</w:t>
            </w:r>
            <w:r>
              <w:rPr>
                <w:spacing w:val="-2"/>
                <w:sz w:val="16"/>
              </w:rPr>
              <w:t> </w:t>
            </w:r>
            <w:r>
              <w:rPr>
                <w:sz w:val="16"/>
              </w:rPr>
              <w:t>of</w:t>
            </w:r>
            <w:r>
              <w:rPr>
                <w:spacing w:val="-3"/>
                <w:sz w:val="16"/>
              </w:rPr>
              <w:t> </w:t>
            </w:r>
            <w:r>
              <w:rPr>
                <w:sz w:val="16"/>
              </w:rPr>
              <w:t>Loan</w:t>
            </w:r>
            <w:r>
              <w:rPr>
                <w:spacing w:val="-3"/>
                <w:sz w:val="16"/>
              </w:rPr>
              <w:t> </w:t>
            </w:r>
            <w:r>
              <w:rPr>
                <w:spacing w:val="-2"/>
                <w:sz w:val="16"/>
              </w:rPr>
              <w:t>spread</w:t>
            </w:r>
          </w:p>
        </w:tc>
        <w:tc>
          <w:tcPr>
            <w:tcW w:w="1009" w:type="dxa"/>
          </w:tcPr>
          <w:p>
            <w:pPr>
              <w:pStyle w:val="TableParagraph"/>
              <w:spacing w:before="29"/>
              <w:ind w:right="48"/>
              <w:jc w:val="right"/>
              <w:rPr>
                <w:sz w:val="16"/>
              </w:rPr>
            </w:pPr>
            <w:hyperlink w:history="true" w:anchor="_bookmark28">
              <w:r>
                <w:rPr>
                  <w:spacing w:val="-5"/>
                  <w:sz w:val="16"/>
                </w:rPr>
                <w:t>21</w:t>
              </w:r>
            </w:hyperlink>
          </w:p>
        </w:tc>
      </w:tr>
      <w:tr>
        <w:trPr>
          <w:trHeight w:val="240" w:hRule="atLeast"/>
        </w:trPr>
        <w:tc>
          <w:tcPr>
            <w:tcW w:w="8399" w:type="dxa"/>
          </w:tcPr>
          <w:p>
            <w:pPr>
              <w:pStyle w:val="TableParagraph"/>
              <w:spacing w:before="21"/>
              <w:ind w:left="102"/>
              <w:rPr>
                <w:sz w:val="16"/>
              </w:rPr>
            </w:pPr>
            <w:r>
              <w:rPr>
                <w:sz w:val="16"/>
              </w:rPr>
              <w:t>Box</w:t>
            </w:r>
            <w:r>
              <w:rPr>
                <w:spacing w:val="-4"/>
                <w:sz w:val="16"/>
              </w:rPr>
              <w:t> </w:t>
            </w:r>
            <w:r>
              <w:rPr>
                <w:sz w:val="16"/>
              </w:rPr>
              <w:t>3:</w:t>
            </w:r>
            <w:r>
              <w:rPr>
                <w:spacing w:val="-3"/>
                <w:sz w:val="16"/>
              </w:rPr>
              <w:t> </w:t>
            </w:r>
            <w:r>
              <w:rPr>
                <w:sz w:val="16"/>
              </w:rPr>
              <w:t>Other</w:t>
            </w:r>
            <w:r>
              <w:rPr>
                <w:spacing w:val="-3"/>
                <w:sz w:val="16"/>
              </w:rPr>
              <w:t> </w:t>
            </w:r>
            <w:r>
              <w:rPr>
                <w:sz w:val="16"/>
              </w:rPr>
              <w:t>Lending</w:t>
            </w:r>
            <w:r>
              <w:rPr>
                <w:spacing w:val="-4"/>
                <w:sz w:val="16"/>
              </w:rPr>
              <w:t> </w:t>
            </w:r>
            <w:r>
              <w:rPr>
                <w:sz w:val="16"/>
              </w:rPr>
              <w:t>Products</w:t>
            </w:r>
            <w:r>
              <w:rPr>
                <w:spacing w:val="-3"/>
                <w:sz w:val="16"/>
              </w:rPr>
              <w:t> </w:t>
            </w:r>
            <w:r>
              <w:rPr>
                <w:sz w:val="16"/>
              </w:rPr>
              <w:t>Currently</w:t>
            </w:r>
            <w:r>
              <w:rPr>
                <w:spacing w:val="-11"/>
                <w:sz w:val="16"/>
              </w:rPr>
              <w:t> </w:t>
            </w:r>
            <w:r>
              <w:rPr>
                <w:spacing w:val="-2"/>
                <w:sz w:val="16"/>
              </w:rPr>
              <w:t>Available</w:t>
            </w:r>
          </w:p>
        </w:tc>
        <w:tc>
          <w:tcPr>
            <w:tcW w:w="1009" w:type="dxa"/>
          </w:tcPr>
          <w:p>
            <w:pPr>
              <w:pStyle w:val="TableParagraph"/>
              <w:spacing w:before="29"/>
              <w:ind w:right="48"/>
              <w:jc w:val="right"/>
              <w:rPr>
                <w:sz w:val="16"/>
              </w:rPr>
            </w:pPr>
            <w:hyperlink w:history="true" w:anchor="_bookmark30">
              <w:r>
                <w:rPr>
                  <w:spacing w:val="-5"/>
                  <w:sz w:val="16"/>
                </w:rPr>
                <w:t>22</w:t>
              </w:r>
            </w:hyperlink>
          </w:p>
        </w:tc>
      </w:tr>
      <w:tr>
        <w:trPr>
          <w:trHeight w:val="240" w:hRule="atLeast"/>
        </w:trPr>
        <w:tc>
          <w:tcPr>
            <w:tcW w:w="8399" w:type="dxa"/>
          </w:tcPr>
          <w:p>
            <w:pPr>
              <w:pStyle w:val="TableParagraph"/>
              <w:spacing w:before="21"/>
              <w:ind w:left="102"/>
              <w:rPr>
                <w:sz w:val="16"/>
              </w:rPr>
            </w:pPr>
            <w:r>
              <w:rPr>
                <w:sz w:val="16"/>
              </w:rPr>
              <w:t>Box</w:t>
            </w:r>
            <w:r>
              <w:rPr>
                <w:spacing w:val="-4"/>
                <w:sz w:val="16"/>
              </w:rPr>
              <w:t> </w:t>
            </w:r>
            <w:r>
              <w:rPr>
                <w:sz w:val="16"/>
              </w:rPr>
              <w:t>4:</w:t>
            </w:r>
            <w:r>
              <w:rPr>
                <w:spacing w:val="-6"/>
                <w:sz w:val="16"/>
              </w:rPr>
              <w:t> </w:t>
            </w:r>
            <w:r>
              <w:rPr>
                <w:sz w:val="16"/>
              </w:rPr>
              <w:t>Types</w:t>
            </w:r>
            <w:r>
              <w:rPr>
                <w:spacing w:val="-4"/>
                <w:sz w:val="16"/>
              </w:rPr>
              <w:t> </w:t>
            </w:r>
            <w:r>
              <w:rPr>
                <w:sz w:val="16"/>
              </w:rPr>
              <w:t>of</w:t>
            </w:r>
            <w:r>
              <w:rPr>
                <w:spacing w:val="-4"/>
                <w:sz w:val="16"/>
              </w:rPr>
              <w:t> </w:t>
            </w:r>
            <w:r>
              <w:rPr>
                <w:sz w:val="16"/>
              </w:rPr>
              <w:t>Guarantees</w:t>
            </w:r>
            <w:r>
              <w:rPr>
                <w:spacing w:val="-3"/>
                <w:sz w:val="16"/>
              </w:rPr>
              <w:t> </w:t>
            </w:r>
            <w:r>
              <w:rPr>
                <w:sz w:val="16"/>
              </w:rPr>
              <w:t>Provided</w:t>
            </w:r>
            <w:r>
              <w:rPr>
                <w:spacing w:val="-5"/>
                <w:sz w:val="16"/>
              </w:rPr>
              <w:t> </w:t>
            </w:r>
            <w:r>
              <w:rPr>
                <w:sz w:val="16"/>
              </w:rPr>
              <w:t>by</w:t>
            </w:r>
            <w:r>
              <w:rPr>
                <w:spacing w:val="-3"/>
                <w:sz w:val="16"/>
              </w:rPr>
              <w:t> </w:t>
            </w:r>
            <w:r>
              <w:rPr>
                <w:spacing w:val="-4"/>
                <w:sz w:val="16"/>
              </w:rPr>
              <w:t>IBRD</w:t>
            </w:r>
          </w:p>
        </w:tc>
        <w:tc>
          <w:tcPr>
            <w:tcW w:w="1009" w:type="dxa"/>
          </w:tcPr>
          <w:p>
            <w:pPr>
              <w:pStyle w:val="TableParagraph"/>
              <w:spacing w:before="29"/>
              <w:ind w:right="48"/>
              <w:jc w:val="right"/>
              <w:rPr>
                <w:sz w:val="16"/>
              </w:rPr>
            </w:pPr>
            <w:hyperlink w:history="true" w:anchor="_bookmark38">
              <w:r>
                <w:rPr>
                  <w:spacing w:val="-5"/>
                  <w:sz w:val="16"/>
                </w:rPr>
                <w:t>25</w:t>
              </w:r>
            </w:hyperlink>
          </w:p>
        </w:tc>
      </w:tr>
      <w:tr>
        <w:trPr>
          <w:trHeight w:val="240" w:hRule="atLeast"/>
        </w:trPr>
        <w:tc>
          <w:tcPr>
            <w:tcW w:w="8399" w:type="dxa"/>
          </w:tcPr>
          <w:p>
            <w:pPr>
              <w:pStyle w:val="TableParagraph"/>
              <w:spacing w:before="21"/>
              <w:ind w:left="102"/>
              <w:rPr>
                <w:sz w:val="16"/>
              </w:rPr>
            </w:pPr>
            <w:r>
              <w:rPr>
                <w:sz w:val="16"/>
              </w:rPr>
              <w:t>Box</w:t>
            </w:r>
            <w:r>
              <w:rPr>
                <w:spacing w:val="-4"/>
                <w:sz w:val="16"/>
              </w:rPr>
              <w:t> </w:t>
            </w:r>
            <w:r>
              <w:rPr>
                <w:sz w:val="16"/>
              </w:rPr>
              <w:t>5:</w:t>
            </w:r>
            <w:r>
              <w:rPr>
                <w:spacing w:val="-3"/>
                <w:sz w:val="16"/>
              </w:rPr>
              <w:t> </w:t>
            </w:r>
            <w:r>
              <w:rPr>
                <w:sz w:val="16"/>
              </w:rPr>
              <w:t>Financing</w:t>
            </w:r>
            <w:r>
              <w:rPr>
                <w:spacing w:val="-3"/>
                <w:sz w:val="16"/>
              </w:rPr>
              <w:t> </w:t>
            </w:r>
            <w:r>
              <w:rPr>
                <w:spacing w:val="-2"/>
                <w:sz w:val="16"/>
              </w:rPr>
              <w:t>Instruments</w:t>
            </w:r>
          </w:p>
        </w:tc>
        <w:tc>
          <w:tcPr>
            <w:tcW w:w="1009" w:type="dxa"/>
          </w:tcPr>
          <w:p>
            <w:pPr>
              <w:pStyle w:val="TableParagraph"/>
              <w:spacing w:before="29"/>
              <w:ind w:right="48"/>
              <w:jc w:val="right"/>
              <w:rPr>
                <w:sz w:val="16"/>
              </w:rPr>
            </w:pPr>
            <w:hyperlink w:history="true" w:anchor="_bookmark44">
              <w:r>
                <w:rPr>
                  <w:spacing w:val="-5"/>
                  <w:sz w:val="16"/>
                </w:rPr>
                <w:t>28</w:t>
              </w:r>
            </w:hyperlink>
          </w:p>
        </w:tc>
      </w:tr>
      <w:tr>
        <w:trPr>
          <w:trHeight w:val="240" w:hRule="atLeast"/>
        </w:trPr>
        <w:tc>
          <w:tcPr>
            <w:tcW w:w="8399" w:type="dxa"/>
          </w:tcPr>
          <w:p>
            <w:pPr>
              <w:pStyle w:val="TableParagraph"/>
              <w:spacing w:before="21"/>
              <w:ind w:left="102"/>
              <w:rPr>
                <w:sz w:val="16"/>
              </w:rPr>
            </w:pPr>
            <w:r>
              <w:rPr>
                <w:sz w:val="16"/>
              </w:rPr>
              <w:t>Box</w:t>
            </w:r>
            <w:r>
              <w:rPr>
                <w:spacing w:val="-2"/>
                <w:sz w:val="16"/>
              </w:rPr>
              <w:t> </w:t>
            </w:r>
            <w:r>
              <w:rPr>
                <w:sz w:val="16"/>
              </w:rPr>
              <w:t>6:</w:t>
            </w:r>
            <w:r>
              <w:rPr>
                <w:spacing w:val="-2"/>
                <w:sz w:val="16"/>
              </w:rPr>
              <w:t> </w:t>
            </w:r>
            <w:r>
              <w:rPr>
                <w:sz w:val="16"/>
              </w:rPr>
              <w:t>Summary</w:t>
            </w:r>
            <w:r>
              <w:rPr>
                <w:spacing w:val="-2"/>
                <w:sz w:val="16"/>
              </w:rPr>
              <w:t> </w:t>
            </w:r>
            <w:r>
              <w:rPr>
                <w:sz w:val="16"/>
              </w:rPr>
              <w:t>of</w:t>
            </w:r>
            <w:r>
              <w:rPr>
                <w:spacing w:val="-2"/>
                <w:sz w:val="16"/>
              </w:rPr>
              <w:t> </w:t>
            </w:r>
            <w:r>
              <w:rPr>
                <w:sz w:val="16"/>
              </w:rPr>
              <w:t>IBRD's</w:t>
            </w:r>
            <w:r>
              <w:rPr>
                <w:spacing w:val="-2"/>
                <w:sz w:val="16"/>
              </w:rPr>
              <w:t> </w:t>
            </w:r>
            <w:r>
              <w:rPr>
                <w:sz w:val="16"/>
              </w:rPr>
              <w:t>Specific</w:t>
            </w:r>
            <w:r>
              <w:rPr>
                <w:spacing w:val="-2"/>
                <w:sz w:val="16"/>
              </w:rPr>
              <w:t> </w:t>
            </w:r>
            <w:r>
              <w:rPr>
                <w:sz w:val="16"/>
              </w:rPr>
              <w:t>Risk</w:t>
            </w:r>
            <w:r>
              <w:rPr>
                <w:spacing w:val="-2"/>
                <w:sz w:val="16"/>
              </w:rPr>
              <w:t> Categories</w:t>
            </w:r>
          </w:p>
        </w:tc>
        <w:tc>
          <w:tcPr>
            <w:tcW w:w="1009" w:type="dxa"/>
          </w:tcPr>
          <w:p>
            <w:pPr>
              <w:pStyle w:val="TableParagraph"/>
              <w:spacing w:before="29"/>
              <w:ind w:right="48"/>
              <w:jc w:val="right"/>
              <w:rPr>
                <w:sz w:val="16"/>
              </w:rPr>
            </w:pPr>
            <w:hyperlink w:history="true" w:anchor="_bookmark70">
              <w:r>
                <w:rPr>
                  <w:spacing w:val="-5"/>
                  <w:sz w:val="16"/>
                </w:rPr>
                <w:t>40</w:t>
              </w:r>
            </w:hyperlink>
          </w:p>
        </w:tc>
      </w:tr>
      <w:tr>
        <w:trPr>
          <w:trHeight w:val="240" w:hRule="atLeast"/>
        </w:trPr>
        <w:tc>
          <w:tcPr>
            <w:tcW w:w="8399" w:type="dxa"/>
          </w:tcPr>
          <w:p>
            <w:pPr>
              <w:pStyle w:val="TableParagraph"/>
              <w:spacing w:before="21"/>
              <w:ind w:left="102"/>
              <w:rPr>
                <w:sz w:val="16"/>
              </w:rPr>
            </w:pPr>
            <w:r>
              <w:rPr>
                <w:sz w:val="16"/>
              </w:rPr>
              <w:t>Box</w:t>
            </w:r>
            <w:r>
              <w:rPr>
                <w:spacing w:val="-4"/>
                <w:sz w:val="16"/>
              </w:rPr>
              <w:t> </w:t>
            </w:r>
            <w:r>
              <w:rPr>
                <w:sz w:val="16"/>
              </w:rPr>
              <w:t>7:</w:t>
            </w:r>
            <w:r>
              <w:rPr>
                <w:spacing w:val="-6"/>
                <w:sz w:val="16"/>
              </w:rPr>
              <w:t> </w:t>
            </w:r>
            <w:r>
              <w:rPr>
                <w:sz w:val="16"/>
              </w:rPr>
              <w:t>Treatment</w:t>
            </w:r>
            <w:r>
              <w:rPr>
                <w:spacing w:val="-3"/>
                <w:sz w:val="16"/>
              </w:rPr>
              <w:t> </w:t>
            </w:r>
            <w:r>
              <w:rPr>
                <w:sz w:val="16"/>
              </w:rPr>
              <w:t>of</w:t>
            </w:r>
            <w:r>
              <w:rPr>
                <w:spacing w:val="-3"/>
                <w:sz w:val="16"/>
              </w:rPr>
              <w:t> </w:t>
            </w:r>
            <w:r>
              <w:rPr>
                <w:sz w:val="16"/>
              </w:rPr>
              <w:t>Overdue</w:t>
            </w:r>
            <w:r>
              <w:rPr>
                <w:spacing w:val="-4"/>
                <w:sz w:val="16"/>
              </w:rPr>
              <w:t> </w:t>
            </w:r>
            <w:r>
              <w:rPr>
                <w:spacing w:val="-2"/>
                <w:sz w:val="16"/>
              </w:rPr>
              <w:t>Payments</w:t>
            </w:r>
          </w:p>
        </w:tc>
        <w:tc>
          <w:tcPr>
            <w:tcW w:w="1009" w:type="dxa"/>
          </w:tcPr>
          <w:p>
            <w:pPr>
              <w:pStyle w:val="TableParagraph"/>
              <w:spacing w:before="29"/>
              <w:ind w:right="48"/>
              <w:jc w:val="right"/>
              <w:rPr>
                <w:sz w:val="16"/>
              </w:rPr>
            </w:pPr>
            <w:hyperlink w:history="true" w:anchor="_bookmark78">
              <w:r>
                <w:rPr>
                  <w:spacing w:val="-5"/>
                  <w:sz w:val="16"/>
                </w:rPr>
                <w:t>46</w:t>
              </w:r>
            </w:hyperlink>
          </w:p>
        </w:tc>
      </w:tr>
      <w:tr>
        <w:trPr>
          <w:trHeight w:val="213" w:hRule="atLeast"/>
        </w:trPr>
        <w:tc>
          <w:tcPr>
            <w:tcW w:w="8399" w:type="dxa"/>
          </w:tcPr>
          <w:p>
            <w:pPr>
              <w:pStyle w:val="TableParagraph"/>
              <w:spacing w:line="171" w:lineRule="exact" w:before="21"/>
              <w:ind w:left="102"/>
              <w:rPr>
                <w:sz w:val="16"/>
              </w:rPr>
            </w:pPr>
            <w:r>
              <w:rPr>
                <w:sz w:val="16"/>
              </w:rPr>
              <w:t>Box</w:t>
            </w:r>
            <w:r>
              <w:rPr>
                <w:spacing w:val="-4"/>
                <w:sz w:val="16"/>
              </w:rPr>
              <w:t> </w:t>
            </w:r>
            <w:r>
              <w:rPr>
                <w:sz w:val="16"/>
              </w:rPr>
              <w:t>8:</w:t>
            </w:r>
            <w:r>
              <w:rPr>
                <w:spacing w:val="-3"/>
                <w:sz w:val="16"/>
              </w:rPr>
              <w:t> </w:t>
            </w:r>
            <w:r>
              <w:rPr>
                <w:sz w:val="16"/>
              </w:rPr>
              <w:t>Eligibility</w:t>
            </w:r>
            <w:r>
              <w:rPr>
                <w:spacing w:val="-3"/>
                <w:sz w:val="16"/>
              </w:rPr>
              <w:t> </w:t>
            </w:r>
            <w:r>
              <w:rPr>
                <w:sz w:val="16"/>
              </w:rPr>
              <w:t>Criteria</w:t>
            </w:r>
            <w:r>
              <w:rPr>
                <w:spacing w:val="-3"/>
                <w:sz w:val="16"/>
              </w:rPr>
              <w:t> </w:t>
            </w:r>
            <w:r>
              <w:rPr>
                <w:sz w:val="16"/>
              </w:rPr>
              <w:t>for</w:t>
            </w:r>
            <w:r>
              <w:rPr>
                <w:spacing w:val="-3"/>
                <w:sz w:val="16"/>
              </w:rPr>
              <w:t> </w:t>
            </w:r>
            <w:r>
              <w:rPr>
                <w:sz w:val="16"/>
              </w:rPr>
              <w:t>IBRD's</w:t>
            </w:r>
            <w:r>
              <w:rPr>
                <w:spacing w:val="-3"/>
                <w:sz w:val="16"/>
              </w:rPr>
              <w:t> </w:t>
            </w:r>
            <w:r>
              <w:rPr>
                <w:spacing w:val="-2"/>
                <w:sz w:val="16"/>
              </w:rPr>
              <w:t>Investments</w:t>
            </w:r>
          </w:p>
        </w:tc>
        <w:tc>
          <w:tcPr>
            <w:tcW w:w="1009" w:type="dxa"/>
          </w:tcPr>
          <w:p>
            <w:pPr>
              <w:pStyle w:val="TableParagraph"/>
              <w:spacing w:line="164" w:lineRule="exact" w:before="29"/>
              <w:ind w:right="48"/>
              <w:jc w:val="right"/>
              <w:rPr>
                <w:sz w:val="16"/>
              </w:rPr>
            </w:pPr>
            <w:hyperlink w:history="true" w:anchor="_bookmark79">
              <w:r>
                <w:rPr>
                  <w:spacing w:val="-5"/>
                  <w:sz w:val="16"/>
                </w:rPr>
                <w:t>48</w:t>
              </w:r>
            </w:hyperlink>
          </w:p>
        </w:tc>
      </w:tr>
    </w:tbl>
    <w:p>
      <w:pPr>
        <w:pStyle w:val="TableParagraph"/>
        <w:spacing w:after="0" w:line="164" w:lineRule="exact"/>
        <w:jc w:val="right"/>
        <w:rPr>
          <w:sz w:val="16"/>
        </w:rPr>
        <w:sectPr>
          <w:pgSz w:w="12240" w:h="15840"/>
          <w:pgMar w:header="744" w:footer="583" w:top="1020" w:bottom="780" w:left="720" w:right="720"/>
        </w:sectPr>
      </w:pPr>
    </w:p>
    <w:p>
      <w:pPr>
        <w:spacing w:before="61"/>
        <w:ind w:left="720" w:right="0" w:firstLine="0"/>
        <w:jc w:val="left"/>
        <w:rPr>
          <w:rFonts w:ascii="Arial MT"/>
          <w:sz w:val="28"/>
        </w:rPr>
      </w:pPr>
      <w:bookmarkStart w:name="TABLE OF CONTENTS" w:id="181"/>
      <w:bookmarkEnd w:id="181"/>
      <w:r>
        <w:rPr/>
      </w:r>
      <w:r>
        <w:rPr>
          <w:rFonts w:ascii="Arial MT"/>
          <w:sz w:val="28"/>
        </w:rPr>
        <w:t>INTERNATIONAL</w:t>
      </w:r>
      <w:r>
        <w:rPr>
          <w:rFonts w:ascii="Arial MT"/>
          <w:spacing w:val="-22"/>
          <w:sz w:val="28"/>
        </w:rPr>
        <w:t> </w:t>
      </w:r>
      <w:r>
        <w:rPr>
          <w:rFonts w:ascii="Arial MT"/>
          <w:sz w:val="28"/>
        </w:rPr>
        <w:t>BANK</w:t>
      </w:r>
      <w:r>
        <w:rPr>
          <w:rFonts w:ascii="Arial MT"/>
          <w:spacing w:val="-7"/>
          <w:sz w:val="28"/>
        </w:rPr>
        <w:t> </w:t>
      </w:r>
      <w:r>
        <w:rPr>
          <w:rFonts w:ascii="Arial MT"/>
          <w:sz w:val="28"/>
        </w:rPr>
        <w:t>FOR</w:t>
      </w:r>
      <w:r>
        <w:rPr>
          <w:rFonts w:ascii="Arial MT"/>
          <w:spacing w:val="-7"/>
          <w:sz w:val="28"/>
        </w:rPr>
        <w:t> </w:t>
      </w:r>
      <w:r>
        <w:rPr>
          <w:rFonts w:ascii="Arial MT"/>
          <w:sz w:val="28"/>
        </w:rPr>
        <w:t>RECONSTRUCTION</w:t>
      </w:r>
      <w:r>
        <w:rPr>
          <w:rFonts w:ascii="Arial MT"/>
          <w:spacing w:val="-19"/>
          <w:sz w:val="28"/>
        </w:rPr>
        <w:t> </w:t>
      </w:r>
      <w:r>
        <w:rPr>
          <w:rFonts w:ascii="Arial MT"/>
          <w:sz w:val="28"/>
        </w:rPr>
        <w:t>AND</w:t>
      </w:r>
      <w:r>
        <w:rPr>
          <w:rFonts w:ascii="Arial MT"/>
          <w:spacing w:val="-7"/>
          <w:sz w:val="28"/>
        </w:rPr>
        <w:t> </w:t>
      </w:r>
      <w:r>
        <w:rPr>
          <w:rFonts w:ascii="Arial MT"/>
          <w:spacing w:val="-2"/>
          <w:sz w:val="28"/>
        </w:rPr>
        <w:t>DEVELOPMENT</w:t>
      </w:r>
    </w:p>
    <w:p>
      <w:pPr>
        <w:pStyle w:val="BodyText"/>
        <w:spacing w:before="64"/>
        <w:rPr>
          <w:rFonts w:ascii="Arial MT"/>
          <w:sz w:val="28"/>
        </w:rPr>
      </w:pPr>
    </w:p>
    <w:p>
      <w:pPr>
        <w:spacing w:line="278" w:lineRule="auto" w:before="0"/>
        <w:ind w:left="720" w:right="1636" w:firstLine="0"/>
        <w:jc w:val="left"/>
        <w:rPr>
          <w:rFonts w:ascii="Arial MT"/>
          <w:sz w:val="28"/>
        </w:rPr>
      </w:pPr>
      <w:r>
        <w:rPr>
          <w:rFonts w:ascii="Arial MT"/>
          <w:spacing w:val="-2"/>
          <w:sz w:val="28"/>
        </w:rPr>
        <w:t>FINANCIAL</w:t>
      </w:r>
      <w:r>
        <w:rPr>
          <w:rFonts w:ascii="Arial MT"/>
          <w:spacing w:val="-10"/>
          <w:sz w:val="28"/>
        </w:rPr>
        <w:t> </w:t>
      </w:r>
      <w:r>
        <w:rPr>
          <w:rFonts w:ascii="Arial MT"/>
          <w:spacing w:val="-2"/>
          <w:sz w:val="28"/>
        </w:rPr>
        <w:t>STATEMENTS</w:t>
      </w:r>
      <w:r>
        <w:rPr>
          <w:rFonts w:ascii="Arial MT"/>
          <w:spacing w:val="-15"/>
          <w:sz w:val="28"/>
        </w:rPr>
        <w:t> </w:t>
      </w:r>
      <w:r>
        <w:rPr>
          <w:rFonts w:ascii="Arial MT"/>
          <w:spacing w:val="-2"/>
          <w:sz w:val="28"/>
        </w:rPr>
        <w:t>AND INTERNAL</w:t>
      </w:r>
      <w:r>
        <w:rPr>
          <w:rFonts w:ascii="Arial MT"/>
          <w:spacing w:val="-10"/>
          <w:sz w:val="28"/>
        </w:rPr>
        <w:t> </w:t>
      </w:r>
      <w:r>
        <w:rPr>
          <w:rFonts w:ascii="Arial MT"/>
          <w:spacing w:val="-2"/>
          <w:sz w:val="28"/>
        </w:rPr>
        <w:t>CONTROL</w:t>
      </w:r>
      <w:r>
        <w:rPr>
          <w:rFonts w:ascii="Arial MT"/>
          <w:spacing w:val="-10"/>
          <w:sz w:val="28"/>
        </w:rPr>
        <w:t> </w:t>
      </w:r>
      <w:r>
        <w:rPr>
          <w:rFonts w:ascii="Arial MT"/>
          <w:spacing w:val="-2"/>
          <w:sz w:val="28"/>
        </w:rPr>
        <w:t>REPORTS </w:t>
      </w:r>
      <w:r>
        <w:rPr>
          <w:rFonts w:ascii="Arial MT"/>
          <w:sz w:val="28"/>
        </w:rPr>
        <w:t>JUNE 30, 2023</w:t>
      </w:r>
    </w:p>
    <w:p>
      <w:pPr>
        <w:pStyle w:val="Heading8"/>
        <w:tabs>
          <w:tab w:pos="9654" w:val="left" w:leader="none"/>
        </w:tabs>
        <w:spacing w:line="422" w:lineRule="auto" w:before="927"/>
        <w:ind w:left="772" w:right="920"/>
        <w:jc w:val="both"/>
        <w:rPr>
          <w:rFonts w:ascii="Arial" w:hAnsi="Arial"/>
        </w:rPr>
      </w:pPr>
      <w:r>
        <w:rPr>
          <w:rFonts w:ascii="Arial" w:hAnsi="Arial"/>
        </w:rPr>
        <w:t>Management’s</w:t>
      </w:r>
      <w:r>
        <w:rPr>
          <w:rFonts w:ascii="Arial" w:hAnsi="Arial"/>
          <w:spacing w:val="-4"/>
        </w:rPr>
        <w:t> </w:t>
      </w:r>
      <w:r>
        <w:rPr>
          <w:rFonts w:ascii="Arial" w:hAnsi="Arial"/>
        </w:rPr>
        <w:t>Report</w:t>
      </w:r>
      <w:r>
        <w:rPr>
          <w:rFonts w:ascii="Arial" w:hAnsi="Arial"/>
          <w:spacing w:val="-4"/>
        </w:rPr>
        <w:t> </w:t>
      </w:r>
      <w:r>
        <w:rPr>
          <w:rFonts w:ascii="Arial" w:hAnsi="Arial"/>
        </w:rPr>
        <w:t>Regarding</w:t>
      </w:r>
      <w:r>
        <w:rPr>
          <w:rFonts w:ascii="Arial" w:hAnsi="Arial"/>
          <w:spacing w:val="-4"/>
        </w:rPr>
        <w:t> </w:t>
      </w:r>
      <w:r>
        <w:rPr>
          <w:rFonts w:ascii="Arial" w:hAnsi="Arial"/>
        </w:rPr>
        <w:t>Effectiveness</w:t>
      </w:r>
      <w:r>
        <w:rPr>
          <w:rFonts w:ascii="Arial" w:hAnsi="Arial"/>
          <w:spacing w:val="-4"/>
        </w:rPr>
        <w:t> </w:t>
      </w:r>
      <w:r>
        <w:rPr>
          <w:rFonts w:ascii="Arial" w:hAnsi="Arial"/>
        </w:rPr>
        <w:t>of</w:t>
      </w:r>
      <w:r>
        <w:rPr>
          <w:rFonts w:ascii="Arial" w:hAnsi="Arial"/>
          <w:spacing w:val="-4"/>
        </w:rPr>
        <w:t> </w:t>
      </w:r>
      <w:r>
        <w:rPr>
          <w:rFonts w:ascii="Arial" w:hAnsi="Arial"/>
        </w:rPr>
        <w:t>Internal</w:t>
      </w:r>
      <w:r>
        <w:rPr>
          <w:rFonts w:ascii="Arial" w:hAnsi="Arial"/>
          <w:spacing w:val="-4"/>
        </w:rPr>
        <w:t> </w:t>
      </w:r>
      <w:r>
        <w:rPr>
          <w:rFonts w:ascii="Arial" w:hAnsi="Arial"/>
        </w:rPr>
        <w:t>Control</w:t>
      </w:r>
      <w:r>
        <w:rPr>
          <w:rFonts w:ascii="Arial" w:hAnsi="Arial"/>
          <w:spacing w:val="-4"/>
        </w:rPr>
        <w:t> </w:t>
      </w:r>
      <w:r>
        <w:rPr>
          <w:rFonts w:ascii="Arial" w:hAnsi="Arial"/>
        </w:rPr>
        <w:t>Over</w:t>
      </w:r>
      <w:r>
        <w:rPr>
          <w:rFonts w:ascii="Arial" w:hAnsi="Arial"/>
          <w:spacing w:val="-4"/>
        </w:rPr>
        <w:t> </w:t>
      </w:r>
      <w:r>
        <w:rPr>
          <w:rFonts w:ascii="Arial" w:hAnsi="Arial"/>
        </w:rPr>
        <w:t>Financial</w:t>
      </w:r>
      <w:r>
        <w:rPr>
          <w:rFonts w:ascii="Arial" w:hAnsi="Arial"/>
          <w:spacing w:val="-4"/>
        </w:rPr>
        <w:t> </w:t>
      </w:r>
      <w:r>
        <w:rPr>
          <w:rFonts w:ascii="Arial" w:hAnsi="Arial"/>
        </w:rPr>
        <w:t>Reporting</w:t>
      </w:r>
      <w:r>
        <w:rPr>
          <w:rFonts w:ascii="Arial" w:hAnsi="Arial"/>
          <w:spacing w:val="80"/>
        </w:rPr>
        <w:t> </w:t>
      </w:r>
      <w:hyperlink w:history="true" w:anchor="_bookmark115">
        <w:r>
          <w:rPr>
            <w:rFonts w:ascii="Arial" w:hAnsi="Arial"/>
          </w:rPr>
          <w:t>70</w:t>
        </w:r>
      </w:hyperlink>
      <w:r>
        <w:rPr>
          <w:rFonts w:ascii="Arial" w:hAnsi="Arial"/>
        </w:rPr>
        <w:t> Independent</w:t>
      </w:r>
      <w:r>
        <w:rPr>
          <w:rFonts w:ascii="Arial" w:hAnsi="Arial"/>
          <w:spacing w:val="-4"/>
        </w:rPr>
        <w:t> </w:t>
      </w:r>
      <w:r>
        <w:rPr>
          <w:rFonts w:ascii="Arial" w:hAnsi="Arial"/>
        </w:rPr>
        <w:t>Auditor's</w:t>
      </w:r>
      <w:r>
        <w:rPr>
          <w:rFonts w:ascii="Arial" w:hAnsi="Arial"/>
          <w:spacing w:val="-4"/>
        </w:rPr>
        <w:t> </w:t>
      </w:r>
      <w:r>
        <w:rPr>
          <w:rFonts w:ascii="Arial" w:hAnsi="Arial"/>
        </w:rPr>
        <w:t>Report</w:t>
      </w:r>
      <w:r>
        <w:rPr>
          <w:rFonts w:ascii="Arial" w:hAnsi="Arial"/>
          <w:spacing w:val="-4"/>
        </w:rPr>
        <w:t> </w:t>
      </w:r>
      <w:r>
        <w:rPr>
          <w:rFonts w:ascii="Arial" w:hAnsi="Arial"/>
        </w:rPr>
        <w:t>on</w:t>
      </w:r>
      <w:r>
        <w:rPr>
          <w:rFonts w:ascii="Arial" w:hAnsi="Arial"/>
          <w:spacing w:val="-4"/>
        </w:rPr>
        <w:t> </w:t>
      </w:r>
      <w:r>
        <w:rPr>
          <w:rFonts w:ascii="Arial" w:hAnsi="Arial"/>
        </w:rPr>
        <w:t>Effectiveness</w:t>
      </w:r>
      <w:r>
        <w:rPr>
          <w:rFonts w:ascii="Arial" w:hAnsi="Arial"/>
          <w:spacing w:val="-4"/>
        </w:rPr>
        <w:t> </w:t>
      </w:r>
      <w:r>
        <w:rPr>
          <w:rFonts w:ascii="Arial" w:hAnsi="Arial"/>
        </w:rPr>
        <w:t>of</w:t>
      </w:r>
      <w:r>
        <w:rPr>
          <w:rFonts w:ascii="Arial" w:hAnsi="Arial"/>
          <w:spacing w:val="-4"/>
        </w:rPr>
        <w:t> </w:t>
      </w:r>
      <w:r>
        <w:rPr>
          <w:rFonts w:ascii="Arial" w:hAnsi="Arial"/>
        </w:rPr>
        <w:t>Internal</w:t>
      </w:r>
      <w:r>
        <w:rPr>
          <w:rFonts w:ascii="Arial" w:hAnsi="Arial"/>
          <w:spacing w:val="-4"/>
        </w:rPr>
        <w:t> </w:t>
      </w:r>
      <w:r>
        <w:rPr>
          <w:rFonts w:ascii="Arial" w:hAnsi="Arial"/>
        </w:rPr>
        <w:t>Control</w:t>
      </w:r>
      <w:r>
        <w:rPr>
          <w:rFonts w:ascii="Arial" w:hAnsi="Arial"/>
          <w:spacing w:val="-4"/>
        </w:rPr>
        <w:t> </w:t>
      </w:r>
      <w:r>
        <w:rPr>
          <w:rFonts w:ascii="Arial" w:hAnsi="Arial"/>
        </w:rPr>
        <w:t>Over</w:t>
      </w:r>
      <w:r>
        <w:rPr>
          <w:rFonts w:ascii="Arial" w:hAnsi="Arial"/>
          <w:spacing w:val="-4"/>
        </w:rPr>
        <w:t> </w:t>
      </w:r>
      <w:r>
        <w:rPr>
          <w:rFonts w:ascii="Arial" w:hAnsi="Arial"/>
        </w:rPr>
        <w:t>Financial</w:t>
      </w:r>
      <w:r>
        <w:rPr>
          <w:rFonts w:ascii="Arial" w:hAnsi="Arial"/>
          <w:spacing w:val="-4"/>
        </w:rPr>
        <w:t> </w:t>
      </w:r>
      <w:r>
        <w:rPr>
          <w:rFonts w:ascii="Arial" w:hAnsi="Arial"/>
        </w:rPr>
        <w:t>Reporting</w:t>
      </w:r>
      <w:r>
        <w:rPr>
          <w:rFonts w:ascii="Arial" w:hAnsi="Arial"/>
          <w:spacing w:val="80"/>
        </w:rPr>
        <w:t> </w:t>
      </w:r>
      <w:hyperlink w:history="true" w:anchor="_bookmark116">
        <w:r>
          <w:rPr>
            <w:rFonts w:ascii="Arial" w:hAnsi="Arial"/>
          </w:rPr>
          <w:t>72</w:t>
        </w:r>
      </w:hyperlink>
      <w:r>
        <w:rPr>
          <w:rFonts w:ascii="Arial" w:hAnsi="Arial"/>
        </w:rPr>
        <w:t> Independent</w:t>
      </w:r>
      <w:r>
        <w:rPr>
          <w:rFonts w:ascii="Arial" w:hAnsi="Arial"/>
          <w:spacing w:val="-10"/>
        </w:rPr>
        <w:t> </w:t>
      </w:r>
      <w:r>
        <w:rPr>
          <w:rFonts w:ascii="Arial" w:hAnsi="Arial"/>
        </w:rPr>
        <w:t>Auditor's</w:t>
      </w:r>
      <w:r>
        <w:rPr>
          <w:rFonts w:ascii="Arial" w:hAnsi="Arial"/>
          <w:spacing w:val="-9"/>
        </w:rPr>
        <w:t> </w:t>
      </w:r>
      <w:r>
        <w:rPr>
          <w:rFonts w:ascii="Arial" w:hAnsi="Arial"/>
          <w:spacing w:val="-2"/>
        </w:rPr>
        <w:t>Report</w:t>
      </w:r>
      <w:r>
        <w:rPr>
          <w:b w:val="0"/>
        </w:rPr>
        <w:tab/>
      </w:r>
      <w:hyperlink w:history="true" w:anchor="_bookmark117">
        <w:r>
          <w:rPr>
            <w:rFonts w:ascii="Arial" w:hAnsi="Arial"/>
            <w:spacing w:val="-5"/>
          </w:rPr>
          <w:t>74</w:t>
        </w:r>
      </w:hyperlink>
    </w:p>
    <w:p>
      <w:pPr>
        <w:pStyle w:val="Heading8"/>
        <w:tabs>
          <w:tab w:pos="9654" w:val="left" w:leader="none"/>
        </w:tabs>
        <w:spacing w:before="1"/>
        <w:ind w:left="772"/>
        <w:jc w:val="both"/>
        <w:rPr>
          <w:rFonts w:ascii="Arial"/>
        </w:rPr>
      </w:pPr>
      <w:r>
        <w:rPr>
          <w:rFonts w:ascii="Arial"/>
        </w:rPr>
        <w:t>Balance</w:t>
      </w:r>
      <w:r>
        <w:rPr>
          <w:rFonts w:ascii="Arial"/>
          <w:spacing w:val="-7"/>
        </w:rPr>
        <w:t> </w:t>
      </w:r>
      <w:r>
        <w:rPr>
          <w:rFonts w:ascii="Arial"/>
          <w:spacing w:val="-2"/>
        </w:rPr>
        <w:t>Sheets</w:t>
      </w:r>
      <w:r>
        <w:rPr>
          <w:b w:val="0"/>
        </w:rPr>
        <w:tab/>
      </w:r>
      <w:hyperlink w:history="true" w:anchor="_bookmark118">
        <w:r>
          <w:rPr>
            <w:rFonts w:ascii="Arial"/>
            <w:spacing w:val="-7"/>
          </w:rPr>
          <w:t>78</w:t>
        </w:r>
      </w:hyperlink>
    </w:p>
    <w:p>
      <w:pPr>
        <w:pStyle w:val="Heading8"/>
        <w:tabs>
          <w:tab w:pos="9654" w:val="left" w:leader="none"/>
        </w:tabs>
        <w:spacing w:before="175"/>
        <w:ind w:left="772"/>
        <w:jc w:val="both"/>
        <w:rPr>
          <w:rFonts w:ascii="Arial"/>
        </w:rPr>
      </w:pPr>
      <w:r>
        <w:rPr>
          <w:rFonts w:ascii="Arial"/>
        </w:rPr>
        <w:t>Statements</w:t>
      </w:r>
      <w:r>
        <w:rPr>
          <w:rFonts w:ascii="Arial"/>
          <w:spacing w:val="-5"/>
        </w:rPr>
        <w:t> </w:t>
      </w:r>
      <w:r>
        <w:rPr>
          <w:rFonts w:ascii="Arial"/>
        </w:rPr>
        <w:t>of</w:t>
      </w:r>
      <w:r>
        <w:rPr>
          <w:rFonts w:ascii="Arial"/>
          <w:spacing w:val="-4"/>
        </w:rPr>
        <w:t> </w:t>
      </w:r>
      <w:r>
        <w:rPr>
          <w:rFonts w:ascii="Arial"/>
          <w:spacing w:val="-2"/>
        </w:rPr>
        <w:t>Income</w:t>
      </w:r>
      <w:r>
        <w:rPr>
          <w:b w:val="0"/>
        </w:rPr>
        <w:tab/>
      </w:r>
      <w:hyperlink w:history="true" w:anchor="_bookmark119">
        <w:r>
          <w:rPr>
            <w:rFonts w:ascii="Arial"/>
            <w:spacing w:val="-5"/>
          </w:rPr>
          <w:t>80</w:t>
        </w:r>
      </w:hyperlink>
    </w:p>
    <w:p>
      <w:pPr>
        <w:pStyle w:val="Heading8"/>
        <w:tabs>
          <w:tab w:pos="9654" w:val="left" w:leader="none"/>
        </w:tabs>
        <w:spacing w:before="175"/>
        <w:ind w:left="772"/>
        <w:jc w:val="both"/>
        <w:rPr>
          <w:rFonts w:ascii="Arial"/>
        </w:rPr>
      </w:pPr>
      <w:r>
        <w:rPr>
          <w:rFonts w:ascii="Arial"/>
        </w:rPr>
        <w:t>Statements</w:t>
      </w:r>
      <w:r>
        <w:rPr>
          <w:rFonts w:ascii="Arial"/>
          <w:spacing w:val="-8"/>
        </w:rPr>
        <w:t> </w:t>
      </w:r>
      <w:r>
        <w:rPr>
          <w:rFonts w:ascii="Arial"/>
        </w:rPr>
        <w:t>of</w:t>
      </w:r>
      <w:r>
        <w:rPr>
          <w:rFonts w:ascii="Arial"/>
          <w:spacing w:val="-7"/>
        </w:rPr>
        <w:t> </w:t>
      </w:r>
      <w:r>
        <w:rPr>
          <w:rFonts w:ascii="Arial"/>
        </w:rPr>
        <w:t>Comprehensive</w:t>
      </w:r>
      <w:r>
        <w:rPr>
          <w:rFonts w:ascii="Arial"/>
          <w:spacing w:val="-7"/>
        </w:rPr>
        <w:t> </w:t>
      </w:r>
      <w:r>
        <w:rPr>
          <w:rFonts w:ascii="Arial"/>
          <w:spacing w:val="-2"/>
        </w:rPr>
        <w:t>Income</w:t>
      </w:r>
      <w:r>
        <w:rPr>
          <w:b w:val="0"/>
        </w:rPr>
        <w:tab/>
      </w:r>
      <w:hyperlink w:history="true" w:anchor="_bookmark120">
        <w:r>
          <w:rPr>
            <w:rFonts w:ascii="Arial"/>
            <w:spacing w:val="-7"/>
          </w:rPr>
          <w:t>81</w:t>
        </w:r>
      </w:hyperlink>
    </w:p>
    <w:p>
      <w:pPr>
        <w:pStyle w:val="Heading8"/>
        <w:tabs>
          <w:tab w:pos="9654" w:val="left" w:leader="none"/>
        </w:tabs>
        <w:spacing w:before="175"/>
        <w:ind w:left="772"/>
        <w:jc w:val="both"/>
        <w:rPr>
          <w:rFonts w:ascii="Arial"/>
        </w:rPr>
      </w:pPr>
      <w:hyperlink w:history="true" w:anchor="_bookmark121">
        <w:r>
          <w:rPr>
            <w:rFonts w:ascii="Arial"/>
          </w:rPr>
          <w:t>Statements</w:t>
        </w:r>
        <w:r>
          <w:rPr>
            <w:rFonts w:ascii="Arial"/>
            <w:spacing w:val="-5"/>
          </w:rPr>
          <w:t> </w:t>
        </w:r>
        <w:r>
          <w:rPr>
            <w:rFonts w:ascii="Arial"/>
          </w:rPr>
          <w:t>of</w:t>
        </w:r>
        <w:r>
          <w:rPr>
            <w:rFonts w:ascii="Arial"/>
            <w:spacing w:val="-5"/>
          </w:rPr>
          <w:t> </w:t>
        </w:r>
        <w:r>
          <w:rPr>
            <w:rFonts w:ascii="Arial"/>
          </w:rPr>
          <w:t>Changes</w:t>
        </w:r>
        <w:r>
          <w:rPr>
            <w:rFonts w:ascii="Arial"/>
            <w:spacing w:val="-5"/>
          </w:rPr>
          <w:t> </w:t>
        </w:r>
        <w:r>
          <w:rPr>
            <w:rFonts w:ascii="Arial"/>
          </w:rPr>
          <w:t>in</w:t>
        </w:r>
        <w:r>
          <w:rPr>
            <w:rFonts w:ascii="Arial"/>
            <w:spacing w:val="-5"/>
          </w:rPr>
          <w:t> </w:t>
        </w:r>
        <w:r>
          <w:rPr>
            <w:rFonts w:ascii="Arial"/>
          </w:rPr>
          <w:t>Retained</w:t>
        </w:r>
        <w:r>
          <w:rPr>
            <w:rFonts w:ascii="Arial"/>
            <w:spacing w:val="-5"/>
          </w:rPr>
          <w:t> </w:t>
        </w:r>
        <w:r>
          <w:rPr>
            <w:rFonts w:ascii="Arial"/>
            <w:spacing w:val="-2"/>
          </w:rPr>
          <w:t>Earnings</w:t>
        </w:r>
      </w:hyperlink>
      <w:r>
        <w:rPr>
          <w:b w:val="0"/>
        </w:rPr>
        <w:tab/>
      </w:r>
      <w:hyperlink w:history="true" w:anchor="_bookmark121">
        <w:r>
          <w:rPr>
            <w:rFonts w:ascii="Arial"/>
            <w:spacing w:val="-5"/>
          </w:rPr>
          <w:t>81</w:t>
        </w:r>
      </w:hyperlink>
    </w:p>
    <w:p>
      <w:pPr>
        <w:pStyle w:val="Heading8"/>
        <w:tabs>
          <w:tab w:pos="9654" w:val="left" w:leader="none"/>
        </w:tabs>
        <w:spacing w:before="175"/>
        <w:ind w:left="772"/>
        <w:jc w:val="both"/>
        <w:rPr>
          <w:rFonts w:ascii="Arial"/>
        </w:rPr>
      </w:pPr>
      <w:r>
        <w:rPr>
          <w:rFonts w:ascii="Arial"/>
        </w:rPr>
        <w:t>Statements</w:t>
      </w:r>
      <w:r>
        <w:rPr>
          <w:rFonts w:ascii="Arial"/>
          <w:spacing w:val="-5"/>
        </w:rPr>
        <w:t> </w:t>
      </w:r>
      <w:r>
        <w:rPr>
          <w:rFonts w:ascii="Arial"/>
        </w:rPr>
        <w:t>of</w:t>
      </w:r>
      <w:r>
        <w:rPr>
          <w:rFonts w:ascii="Arial"/>
          <w:spacing w:val="-4"/>
        </w:rPr>
        <w:t> </w:t>
      </w:r>
      <w:r>
        <w:rPr>
          <w:rFonts w:ascii="Arial"/>
        </w:rPr>
        <w:t>Cash</w:t>
      </w:r>
      <w:r>
        <w:rPr>
          <w:rFonts w:ascii="Arial"/>
          <w:spacing w:val="-4"/>
        </w:rPr>
        <w:t> </w:t>
      </w:r>
      <w:r>
        <w:rPr>
          <w:rFonts w:ascii="Arial"/>
          <w:spacing w:val="-2"/>
        </w:rPr>
        <w:t>Flows</w:t>
      </w:r>
      <w:r>
        <w:rPr>
          <w:b w:val="0"/>
        </w:rPr>
        <w:tab/>
      </w:r>
      <w:hyperlink w:history="true" w:anchor="_bookmark122">
        <w:r>
          <w:rPr>
            <w:rFonts w:ascii="Arial"/>
            <w:spacing w:val="-5"/>
          </w:rPr>
          <w:t>82</w:t>
        </w:r>
      </w:hyperlink>
    </w:p>
    <w:p>
      <w:pPr>
        <w:pStyle w:val="Heading8"/>
        <w:spacing w:before="175"/>
        <w:ind w:left="772"/>
        <w:jc w:val="both"/>
        <w:rPr>
          <w:rFonts w:ascii="Arial"/>
        </w:rPr>
      </w:pPr>
      <w:r>
        <w:rPr>
          <w:rFonts w:ascii="Arial"/>
        </w:rPr>
        <w:t>Supplementary</w:t>
      </w:r>
      <w:r>
        <w:rPr>
          <w:rFonts w:ascii="Arial"/>
          <w:spacing w:val="-12"/>
        </w:rPr>
        <w:t> </w:t>
      </w:r>
      <w:r>
        <w:rPr>
          <w:rFonts w:ascii="Arial"/>
          <w:spacing w:val="-2"/>
        </w:rPr>
        <w:t>Information</w:t>
      </w:r>
    </w:p>
    <w:p>
      <w:pPr>
        <w:pStyle w:val="Heading8"/>
        <w:tabs>
          <w:tab w:pos="9654" w:val="left" w:leader="none"/>
        </w:tabs>
        <w:spacing w:before="175"/>
        <w:ind w:left="1132"/>
        <w:rPr>
          <w:rFonts w:ascii="Arial"/>
        </w:rPr>
      </w:pPr>
      <w:r>
        <w:rPr>
          <w:rFonts w:ascii="Arial"/>
        </w:rPr>
        <w:t>Summary</w:t>
      </w:r>
      <w:r>
        <w:rPr>
          <w:rFonts w:ascii="Arial"/>
          <w:spacing w:val="-6"/>
        </w:rPr>
        <w:t> </w:t>
      </w:r>
      <w:r>
        <w:rPr>
          <w:rFonts w:ascii="Arial"/>
        </w:rPr>
        <w:t>Statement</w:t>
      </w:r>
      <w:r>
        <w:rPr>
          <w:rFonts w:ascii="Arial"/>
          <w:spacing w:val="-5"/>
        </w:rPr>
        <w:t> </w:t>
      </w:r>
      <w:r>
        <w:rPr>
          <w:rFonts w:ascii="Arial"/>
        </w:rPr>
        <w:t>of</w:t>
      </w:r>
      <w:r>
        <w:rPr>
          <w:rFonts w:ascii="Arial"/>
          <w:spacing w:val="-5"/>
        </w:rPr>
        <w:t> </w:t>
      </w:r>
      <w:r>
        <w:rPr>
          <w:rFonts w:ascii="Arial"/>
          <w:spacing w:val="-2"/>
        </w:rPr>
        <w:t>Loans</w:t>
      </w:r>
      <w:r>
        <w:rPr>
          <w:b w:val="0"/>
        </w:rPr>
        <w:tab/>
      </w:r>
      <w:hyperlink w:history="true" w:anchor="_bookmark123">
        <w:r>
          <w:rPr>
            <w:rFonts w:ascii="Arial"/>
            <w:spacing w:val="-5"/>
          </w:rPr>
          <w:t>84</w:t>
        </w:r>
      </w:hyperlink>
    </w:p>
    <w:p>
      <w:pPr>
        <w:pStyle w:val="Heading8"/>
        <w:tabs>
          <w:tab w:pos="9654" w:val="left" w:leader="none"/>
        </w:tabs>
        <w:spacing w:before="145"/>
        <w:ind w:left="1132"/>
        <w:rPr>
          <w:rFonts w:ascii="Arial"/>
        </w:rPr>
      </w:pPr>
      <w:r>
        <w:rPr>
          <w:rFonts w:ascii="Arial"/>
        </w:rPr>
        <w:t>Statement</w:t>
      </w:r>
      <w:r>
        <w:rPr>
          <w:rFonts w:ascii="Arial"/>
          <w:spacing w:val="-7"/>
        </w:rPr>
        <w:t> </w:t>
      </w:r>
      <w:r>
        <w:rPr>
          <w:rFonts w:ascii="Arial"/>
        </w:rPr>
        <w:t>of</w:t>
      </w:r>
      <w:r>
        <w:rPr>
          <w:rFonts w:ascii="Arial"/>
          <w:spacing w:val="-5"/>
        </w:rPr>
        <w:t> </w:t>
      </w:r>
      <w:r>
        <w:rPr>
          <w:rFonts w:ascii="Arial"/>
        </w:rPr>
        <w:t>Subscriptions</w:t>
      </w:r>
      <w:r>
        <w:rPr>
          <w:rFonts w:ascii="Arial"/>
          <w:spacing w:val="-5"/>
        </w:rPr>
        <w:t> </w:t>
      </w:r>
      <w:r>
        <w:rPr>
          <w:rFonts w:ascii="Arial"/>
        </w:rPr>
        <w:t>to</w:t>
      </w:r>
      <w:r>
        <w:rPr>
          <w:rFonts w:ascii="Arial"/>
          <w:spacing w:val="-5"/>
        </w:rPr>
        <w:t> </w:t>
      </w:r>
      <w:r>
        <w:rPr>
          <w:rFonts w:ascii="Arial"/>
        </w:rPr>
        <w:t>Capital</w:t>
      </w:r>
      <w:r>
        <w:rPr>
          <w:rFonts w:ascii="Arial"/>
          <w:spacing w:val="-5"/>
        </w:rPr>
        <w:t> </w:t>
      </w:r>
      <w:r>
        <w:rPr>
          <w:rFonts w:ascii="Arial"/>
        </w:rPr>
        <w:t>Stock</w:t>
      </w:r>
      <w:r>
        <w:rPr>
          <w:rFonts w:ascii="Arial"/>
          <w:spacing w:val="-5"/>
        </w:rPr>
        <w:t> </w:t>
      </w:r>
      <w:r>
        <w:rPr>
          <w:rFonts w:ascii="Arial"/>
        </w:rPr>
        <w:t>and</w:t>
      </w:r>
      <w:r>
        <w:rPr>
          <w:rFonts w:ascii="Arial"/>
          <w:spacing w:val="-5"/>
        </w:rPr>
        <w:t> </w:t>
      </w:r>
      <w:r>
        <w:rPr>
          <w:rFonts w:ascii="Arial"/>
        </w:rPr>
        <w:t>Voting</w:t>
      </w:r>
      <w:r>
        <w:rPr>
          <w:rFonts w:ascii="Arial"/>
          <w:spacing w:val="-5"/>
        </w:rPr>
        <w:t> </w:t>
      </w:r>
      <w:r>
        <w:rPr>
          <w:rFonts w:ascii="Arial"/>
          <w:spacing w:val="-2"/>
        </w:rPr>
        <w:t>Power</w:t>
      </w:r>
      <w:r>
        <w:rPr>
          <w:b w:val="0"/>
        </w:rPr>
        <w:tab/>
      </w:r>
      <w:hyperlink w:history="true" w:anchor="_bookmark124">
        <w:r>
          <w:rPr>
            <w:rFonts w:ascii="Arial"/>
            <w:spacing w:val="-5"/>
          </w:rPr>
          <w:t>86</w:t>
        </w:r>
      </w:hyperlink>
    </w:p>
    <w:p>
      <w:pPr>
        <w:pStyle w:val="Heading8"/>
        <w:tabs>
          <w:tab w:pos="9654" w:val="left" w:leader="none"/>
        </w:tabs>
        <w:spacing w:before="145"/>
        <w:ind w:left="772"/>
        <w:jc w:val="both"/>
        <w:rPr>
          <w:rFonts w:ascii="Arial"/>
        </w:rPr>
      </w:pPr>
      <w:r>
        <w:rPr>
          <w:rFonts w:ascii="Arial"/>
        </w:rPr>
        <w:t>Notes</w:t>
      </w:r>
      <w:r>
        <w:rPr>
          <w:rFonts w:ascii="Arial"/>
          <w:spacing w:val="-5"/>
        </w:rPr>
        <w:t> </w:t>
      </w:r>
      <w:r>
        <w:rPr>
          <w:rFonts w:ascii="Arial"/>
        </w:rPr>
        <w:t>to</w:t>
      </w:r>
      <w:r>
        <w:rPr>
          <w:rFonts w:ascii="Arial"/>
          <w:spacing w:val="-5"/>
        </w:rPr>
        <w:t> </w:t>
      </w:r>
      <w:r>
        <w:rPr>
          <w:rFonts w:ascii="Arial"/>
        </w:rPr>
        <w:t>Financial</w:t>
      </w:r>
      <w:r>
        <w:rPr>
          <w:rFonts w:ascii="Arial"/>
          <w:spacing w:val="-4"/>
        </w:rPr>
        <w:t> </w:t>
      </w:r>
      <w:r>
        <w:rPr>
          <w:rFonts w:ascii="Arial"/>
          <w:spacing w:val="-2"/>
        </w:rPr>
        <w:t>Statements</w:t>
      </w:r>
      <w:r>
        <w:rPr>
          <w:b w:val="0"/>
        </w:rPr>
        <w:tab/>
      </w:r>
      <w:hyperlink w:history="true" w:anchor="_bookmark125">
        <w:r>
          <w:rPr>
            <w:rFonts w:ascii="Arial"/>
            <w:spacing w:val="-7"/>
          </w:rPr>
          <w:t>90</w:t>
        </w:r>
      </w:hyperlink>
    </w:p>
    <w:p>
      <w:pPr>
        <w:pStyle w:val="Heading8"/>
        <w:spacing w:after="0"/>
        <w:jc w:val="both"/>
        <w:rPr>
          <w:rFonts w:ascii="Arial"/>
        </w:rPr>
        <w:sectPr>
          <w:headerReference w:type="default" r:id="rId82"/>
          <w:footerReference w:type="default" r:id="rId83"/>
          <w:footerReference w:type="even" r:id="rId84"/>
          <w:pgSz w:w="12240" w:h="15840"/>
          <w:pgMar w:header="0" w:footer="423" w:top="1320" w:bottom="620" w:left="720" w:right="720"/>
          <w:pgNumType w:start="69"/>
        </w:sectPr>
      </w:pPr>
    </w:p>
    <w:p>
      <w:pPr>
        <w:spacing w:line="249" w:lineRule="auto" w:before="61"/>
        <w:ind w:left="720" w:right="0" w:firstLine="0"/>
        <w:jc w:val="left"/>
        <w:rPr>
          <w:rFonts w:ascii="Arial MT"/>
          <w:sz w:val="28"/>
        </w:rPr>
      </w:pPr>
      <w:r>
        <w:rPr>
          <w:rFonts w:ascii="Arial MT"/>
          <w:sz w:val="28"/>
        </w:rPr>
        <w:t>Management's</w:t>
      </w:r>
      <w:r>
        <w:rPr>
          <w:rFonts w:ascii="Arial MT"/>
          <w:spacing w:val="-6"/>
          <w:sz w:val="28"/>
        </w:rPr>
        <w:t> </w:t>
      </w:r>
      <w:r>
        <w:rPr>
          <w:rFonts w:ascii="Arial MT"/>
          <w:sz w:val="28"/>
        </w:rPr>
        <w:t>Report</w:t>
      </w:r>
      <w:r>
        <w:rPr>
          <w:rFonts w:ascii="Arial MT"/>
          <w:spacing w:val="-6"/>
          <w:sz w:val="28"/>
        </w:rPr>
        <w:t> </w:t>
      </w:r>
      <w:r>
        <w:rPr>
          <w:rFonts w:ascii="Arial MT"/>
          <w:sz w:val="28"/>
        </w:rPr>
        <w:t>on</w:t>
      </w:r>
      <w:r>
        <w:rPr>
          <w:rFonts w:ascii="Arial MT"/>
          <w:spacing w:val="-6"/>
          <w:sz w:val="28"/>
        </w:rPr>
        <w:t> </w:t>
      </w:r>
      <w:r>
        <w:rPr>
          <w:rFonts w:ascii="Arial MT"/>
          <w:sz w:val="28"/>
        </w:rPr>
        <w:t>Effectiveness</w:t>
      </w:r>
      <w:r>
        <w:rPr>
          <w:rFonts w:ascii="Arial MT"/>
          <w:spacing w:val="-6"/>
          <w:sz w:val="28"/>
        </w:rPr>
        <w:t> </w:t>
      </w:r>
      <w:r>
        <w:rPr>
          <w:rFonts w:ascii="Arial MT"/>
          <w:sz w:val="28"/>
        </w:rPr>
        <w:t>of</w:t>
      </w:r>
      <w:r>
        <w:rPr>
          <w:rFonts w:ascii="Arial MT"/>
          <w:spacing w:val="-6"/>
          <w:sz w:val="28"/>
        </w:rPr>
        <w:t> </w:t>
      </w:r>
      <w:r>
        <w:rPr>
          <w:rFonts w:ascii="Arial MT"/>
          <w:sz w:val="28"/>
        </w:rPr>
        <w:t>Internal</w:t>
      </w:r>
      <w:r>
        <w:rPr>
          <w:rFonts w:ascii="Arial MT"/>
          <w:spacing w:val="-6"/>
          <w:sz w:val="28"/>
        </w:rPr>
        <w:t> </w:t>
      </w:r>
      <w:r>
        <w:rPr>
          <w:rFonts w:ascii="Arial MT"/>
          <w:sz w:val="28"/>
        </w:rPr>
        <w:t>Control</w:t>
      </w:r>
      <w:r>
        <w:rPr>
          <w:rFonts w:ascii="Arial MT"/>
          <w:spacing w:val="-6"/>
          <w:sz w:val="28"/>
        </w:rPr>
        <w:t> </w:t>
      </w:r>
      <w:r>
        <w:rPr>
          <w:rFonts w:ascii="Arial MT"/>
          <w:sz w:val="28"/>
        </w:rPr>
        <w:t>Over</w:t>
      </w:r>
      <w:r>
        <w:rPr>
          <w:rFonts w:ascii="Arial MT"/>
          <w:spacing w:val="-6"/>
          <w:sz w:val="28"/>
        </w:rPr>
        <w:t> </w:t>
      </w:r>
      <w:r>
        <w:rPr>
          <w:rFonts w:ascii="Arial MT"/>
          <w:sz w:val="28"/>
        </w:rPr>
        <w:t>Financial </w:t>
      </w:r>
      <w:r>
        <w:rPr>
          <w:rFonts w:ascii="Arial MT"/>
          <w:spacing w:val="-2"/>
          <w:sz w:val="28"/>
        </w:rPr>
        <w:t>Reporting</w:t>
      </w:r>
    </w:p>
    <w:p>
      <w:pPr>
        <w:pStyle w:val="BodyText"/>
        <w:spacing w:before="1"/>
        <w:rPr>
          <w:rFonts w:ascii="Arial MT"/>
          <w:sz w:val="6"/>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1"/>
        <w:gridCol w:w="2421"/>
        <w:gridCol w:w="2495"/>
      </w:tblGrid>
      <w:tr>
        <w:trPr>
          <w:trHeight w:val="253" w:hRule="atLeast"/>
        </w:trPr>
        <w:tc>
          <w:tcPr>
            <w:tcW w:w="4891" w:type="dxa"/>
          </w:tcPr>
          <w:p>
            <w:pPr>
              <w:pStyle w:val="TableParagraph"/>
              <w:spacing w:line="233" w:lineRule="exact"/>
              <w:ind w:left="50"/>
              <w:rPr>
                <w:rFonts w:ascii="Arial"/>
                <w:b/>
                <w:sz w:val="22"/>
              </w:rPr>
            </w:pPr>
            <w:bookmarkStart w:name="Management’s Report Regarding Effectiven" w:id="182"/>
            <w:bookmarkEnd w:id="182"/>
            <w:r>
              <w:rPr/>
            </w:r>
            <w:bookmarkStart w:name="_bookmark115" w:id="183"/>
            <w:bookmarkEnd w:id="183"/>
            <w:r>
              <w:rPr/>
            </w:r>
            <w:r>
              <w:rPr>
                <w:rFonts w:ascii="Arial"/>
                <w:b/>
                <w:sz w:val="22"/>
              </w:rPr>
              <w:t>The</w:t>
            </w:r>
            <w:r>
              <w:rPr>
                <w:rFonts w:ascii="Arial"/>
                <w:b/>
                <w:spacing w:val="-3"/>
                <w:sz w:val="22"/>
              </w:rPr>
              <w:t> </w:t>
            </w:r>
            <w:r>
              <w:rPr>
                <w:rFonts w:ascii="Arial"/>
                <w:b/>
                <w:sz w:val="22"/>
              </w:rPr>
              <w:t>World</w:t>
            </w:r>
            <w:r>
              <w:rPr>
                <w:rFonts w:ascii="Arial"/>
                <w:b/>
                <w:spacing w:val="-2"/>
                <w:sz w:val="22"/>
              </w:rPr>
              <w:t> </w:t>
            </w:r>
            <w:r>
              <w:rPr>
                <w:rFonts w:ascii="Arial"/>
                <w:b/>
                <w:spacing w:val="-4"/>
                <w:sz w:val="22"/>
              </w:rPr>
              <w:t>Bank</w:t>
            </w:r>
          </w:p>
        </w:tc>
        <w:tc>
          <w:tcPr>
            <w:tcW w:w="2421" w:type="dxa"/>
          </w:tcPr>
          <w:p>
            <w:pPr>
              <w:pStyle w:val="TableParagraph"/>
              <w:spacing w:before="68"/>
              <w:ind w:left="198"/>
              <w:rPr>
                <w:sz w:val="14"/>
              </w:rPr>
            </w:pPr>
            <w:r>
              <w:rPr>
                <w:sz w:val="14"/>
              </w:rPr>
              <w:t>1818</w:t>
            </w:r>
            <w:r>
              <w:rPr>
                <w:spacing w:val="-4"/>
                <w:sz w:val="14"/>
              </w:rPr>
              <w:t> </w:t>
            </w:r>
            <w:r>
              <w:rPr>
                <w:sz w:val="14"/>
              </w:rPr>
              <w:t>H</w:t>
            </w:r>
            <w:r>
              <w:rPr>
                <w:spacing w:val="-2"/>
                <w:sz w:val="14"/>
              </w:rPr>
              <w:t> </w:t>
            </w:r>
            <w:r>
              <w:rPr>
                <w:sz w:val="14"/>
              </w:rPr>
              <w:t>Street</w:t>
            </w:r>
            <w:r>
              <w:rPr>
                <w:spacing w:val="-2"/>
                <w:sz w:val="14"/>
              </w:rPr>
              <w:t> </w:t>
            </w:r>
            <w:r>
              <w:rPr>
                <w:spacing w:val="-4"/>
                <w:sz w:val="14"/>
              </w:rPr>
              <w:t>N.W.</w:t>
            </w:r>
          </w:p>
        </w:tc>
        <w:tc>
          <w:tcPr>
            <w:tcW w:w="2495" w:type="dxa"/>
          </w:tcPr>
          <w:p>
            <w:pPr>
              <w:pStyle w:val="TableParagraph"/>
              <w:spacing w:before="68"/>
              <w:ind w:left="659"/>
              <w:rPr>
                <w:sz w:val="14"/>
              </w:rPr>
            </w:pPr>
            <w:r>
              <w:rPr>
                <w:sz w:val="14"/>
              </w:rPr>
              <w:t>(202)</w:t>
            </w:r>
            <w:r>
              <w:rPr>
                <w:spacing w:val="-6"/>
                <w:sz w:val="14"/>
              </w:rPr>
              <w:t> </w:t>
            </w:r>
            <w:r>
              <w:rPr>
                <w:sz w:val="14"/>
              </w:rPr>
              <w:t>477-</w:t>
            </w:r>
            <w:r>
              <w:rPr>
                <w:spacing w:val="-4"/>
                <w:sz w:val="14"/>
              </w:rPr>
              <w:t>1234</w:t>
            </w:r>
          </w:p>
        </w:tc>
      </w:tr>
      <w:tr>
        <w:trPr>
          <w:trHeight w:val="164" w:hRule="atLeast"/>
        </w:trPr>
        <w:tc>
          <w:tcPr>
            <w:tcW w:w="4891" w:type="dxa"/>
          </w:tcPr>
          <w:p>
            <w:pPr>
              <w:pStyle w:val="TableParagraph"/>
              <w:spacing w:line="141" w:lineRule="exact" w:before="3"/>
              <w:ind w:left="50"/>
              <w:rPr>
                <w:sz w:val="14"/>
              </w:rPr>
            </w:pPr>
            <w:r>
              <w:rPr>
                <w:sz w:val="14"/>
              </w:rPr>
              <w:t>INTERNATIONAL</w:t>
            </w:r>
            <w:r>
              <w:rPr>
                <w:spacing w:val="-10"/>
                <w:sz w:val="14"/>
              </w:rPr>
              <w:t> </w:t>
            </w:r>
            <w:r>
              <w:rPr>
                <w:sz w:val="14"/>
              </w:rPr>
              <w:t>BANK</w:t>
            </w:r>
            <w:r>
              <w:rPr>
                <w:spacing w:val="-10"/>
                <w:sz w:val="14"/>
              </w:rPr>
              <w:t> </w:t>
            </w:r>
            <w:r>
              <w:rPr>
                <w:sz w:val="14"/>
              </w:rPr>
              <w:t>FOR</w:t>
            </w:r>
            <w:r>
              <w:rPr>
                <w:spacing w:val="-8"/>
                <w:sz w:val="14"/>
              </w:rPr>
              <w:t> </w:t>
            </w:r>
            <w:r>
              <w:rPr>
                <w:sz w:val="14"/>
              </w:rPr>
              <w:t>RECONSTRUCTION</w:t>
            </w:r>
            <w:r>
              <w:rPr>
                <w:spacing w:val="-10"/>
                <w:sz w:val="14"/>
              </w:rPr>
              <w:t> </w:t>
            </w:r>
            <w:r>
              <w:rPr>
                <w:sz w:val="14"/>
              </w:rPr>
              <w:t>AND</w:t>
            </w:r>
            <w:r>
              <w:rPr>
                <w:spacing w:val="-6"/>
                <w:sz w:val="14"/>
              </w:rPr>
              <w:t> </w:t>
            </w:r>
            <w:r>
              <w:rPr>
                <w:spacing w:val="-2"/>
                <w:sz w:val="14"/>
              </w:rPr>
              <w:t>DEVELOPMENT</w:t>
            </w:r>
          </w:p>
        </w:tc>
        <w:tc>
          <w:tcPr>
            <w:tcW w:w="2421" w:type="dxa"/>
          </w:tcPr>
          <w:p>
            <w:pPr>
              <w:pStyle w:val="TableParagraph"/>
              <w:spacing w:line="141" w:lineRule="exact" w:before="3"/>
              <w:ind w:left="203"/>
              <w:rPr>
                <w:sz w:val="14"/>
              </w:rPr>
            </w:pPr>
            <w:r>
              <w:rPr>
                <w:sz w:val="14"/>
              </w:rPr>
              <w:t>Washington,</w:t>
            </w:r>
            <w:r>
              <w:rPr>
                <w:spacing w:val="-5"/>
                <w:sz w:val="14"/>
              </w:rPr>
              <w:t> </w:t>
            </w:r>
            <w:r>
              <w:rPr>
                <w:sz w:val="14"/>
              </w:rPr>
              <w:t>D.C.</w:t>
            </w:r>
            <w:r>
              <w:rPr>
                <w:spacing w:val="28"/>
                <w:sz w:val="14"/>
              </w:rPr>
              <w:t> </w:t>
            </w:r>
            <w:r>
              <w:rPr>
                <w:spacing w:val="-2"/>
                <w:sz w:val="14"/>
              </w:rPr>
              <w:t>20433</w:t>
            </w:r>
          </w:p>
        </w:tc>
        <w:tc>
          <w:tcPr>
            <w:tcW w:w="2495" w:type="dxa"/>
          </w:tcPr>
          <w:p>
            <w:pPr>
              <w:pStyle w:val="TableParagraph"/>
              <w:spacing w:line="141" w:lineRule="exact" w:before="3"/>
              <w:ind w:left="663"/>
              <w:rPr>
                <w:sz w:val="14"/>
              </w:rPr>
            </w:pPr>
            <w:r>
              <w:rPr>
                <w:sz w:val="14"/>
              </w:rPr>
              <w:t>Cable</w:t>
            </w:r>
            <w:r>
              <w:rPr>
                <w:spacing w:val="-10"/>
                <w:sz w:val="14"/>
              </w:rPr>
              <w:t> </w:t>
            </w:r>
            <w:r>
              <w:rPr>
                <w:sz w:val="14"/>
              </w:rPr>
              <w:t>Address:</w:t>
            </w:r>
            <w:r>
              <w:rPr>
                <w:spacing w:val="-6"/>
                <w:sz w:val="14"/>
              </w:rPr>
              <w:t> </w:t>
            </w:r>
            <w:r>
              <w:rPr>
                <w:spacing w:val="-2"/>
                <w:sz w:val="14"/>
              </w:rPr>
              <w:t>INTBAFRAD</w:t>
            </w:r>
          </w:p>
        </w:tc>
      </w:tr>
      <w:tr>
        <w:trPr>
          <w:trHeight w:val="156" w:hRule="atLeast"/>
        </w:trPr>
        <w:tc>
          <w:tcPr>
            <w:tcW w:w="4891" w:type="dxa"/>
          </w:tcPr>
          <w:p>
            <w:pPr>
              <w:pStyle w:val="TableParagraph"/>
              <w:spacing w:line="137" w:lineRule="exact"/>
              <w:ind w:left="50"/>
              <w:rPr>
                <w:sz w:val="14"/>
              </w:rPr>
            </w:pPr>
            <w:r>
              <w:rPr>
                <w:spacing w:val="-2"/>
                <w:sz w:val="14"/>
              </w:rPr>
              <w:t>INTERNATIONAL</w:t>
            </w:r>
            <w:r>
              <w:rPr>
                <w:spacing w:val="7"/>
                <w:sz w:val="14"/>
              </w:rPr>
              <w:t> </w:t>
            </w:r>
            <w:r>
              <w:rPr>
                <w:spacing w:val="-2"/>
                <w:sz w:val="14"/>
              </w:rPr>
              <w:t>DEVELOPMENT</w:t>
            </w:r>
            <w:r>
              <w:rPr>
                <w:sz w:val="14"/>
              </w:rPr>
              <w:t> </w:t>
            </w:r>
            <w:r>
              <w:rPr>
                <w:spacing w:val="-2"/>
                <w:sz w:val="14"/>
              </w:rPr>
              <w:t>ASSOCIATION</w:t>
            </w:r>
          </w:p>
        </w:tc>
        <w:tc>
          <w:tcPr>
            <w:tcW w:w="2421" w:type="dxa"/>
          </w:tcPr>
          <w:p>
            <w:pPr>
              <w:pStyle w:val="TableParagraph"/>
              <w:spacing w:line="137" w:lineRule="exact"/>
              <w:ind w:left="201"/>
              <w:rPr>
                <w:sz w:val="14"/>
              </w:rPr>
            </w:pPr>
            <w:r>
              <w:rPr>
                <w:spacing w:val="-2"/>
                <w:sz w:val="14"/>
              </w:rPr>
              <w:t>U.S.A.</w:t>
            </w:r>
          </w:p>
        </w:tc>
        <w:tc>
          <w:tcPr>
            <w:tcW w:w="2495" w:type="dxa"/>
          </w:tcPr>
          <w:p>
            <w:pPr>
              <w:pStyle w:val="TableParagraph"/>
              <w:spacing w:line="137" w:lineRule="exact"/>
              <w:ind w:left="661"/>
              <w:rPr>
                <w:sz w:val="14"/>
              </w:rPr>
            </w:pPr>
            <w:r>
              <w:rPr>
                <w:sz w:val="14"/>
              </w:rPr>
              <w:t>Cable</w:t>
            </w:r>
            <w:r>
              <w:rPr>
                <w:spacing w:val="-10"/>
                <w:sz w:val="14"/>
              </w:rPr>
              <w:t> </w:t>
            </w:r>
            <w:r>
              <w:rPr>
                <w:sz w:val="14"/>
              </w:rPr>
              <w:t>Address:</w:t>
            </w:r>
            <w:r>
              <w:rPr>
                <w:spacing w:val="-6"/>
                <w:sz w:val="14"/>
              </w:rPr>
              <w:t> </w:t>
            </w:r>
            <w:r>
              <w:rPr>
                <w:spacing w:val="-2"/>
                <w:sz w:val="14"/>
              </w:rPr>
              <w:t>INDEVAS</w:t>
            </w:r>
          </w:p>
        </w:tc>
      </w:tr>
    </w:tbl>
    <w:p>
      <w:pPr>
        <w:pStyle w:val="Heading4"/>
        <w:spacing w:line="249" w:lineRule="auto" w:before="245"/>
        <w:ind w:left="3415" w:right="3062" w:hanging="349"/>
        <w:jc w:val="left"/>
      </w:pPr>
      <w:r>
        <w:rPr/>
        <w:t>Management’s</w:t>
      </w:r>
      <w:r>
        <w:rPr>
          <w:spacing w:val="-10"/>
        </w:rPr>
        <w:t> </w:t>
      </w:r>
      <w:r>
        <w:rPr/>
        <w:t>Report</w:t>
      </w:r>
      <w:r>
        <w:rPr>
          <w:spacing w:val="-9"/>
        </w:rPr>
        <w:t> </w:t>
      </w:r>
      <w:r>
        <w:rPr/>
        <w:t>Regarding</w:t>
      </w:r>
      <w:r>
        <w:rPr>
          <w:spacing w:val="-9"/>
        </w:rPr>
        <w:t> </w:t>
      </w:r>
      <w:r>
        <w:rPr/>
        <w:t>Effectiveness</w:t>
      </w:r>
      <w:r>
        <w:rPr>
          <w:spacing w:val="-10"/>
        </w:rPr>
        <w:t> </w:t>
      </w:r>
      <w:r>
        <w:rPr/>
        <w:t>of Internal Control over Financial Reporting</w:t>
      </w:r>
    </w:p>
    <w:p>
      <w:pPr>
        <w:pStyle w:val="BodyText"/>
        <w:rPr>
          <w:b/>
          <w:sz w:val="22"/>
        </w:rPr>
      </w:pPr>
    </w:p>
    <w:p>
      <w:pPr>
        <w:pStyle w:val="BodyText"/>
        <w:spacing w:before="4"/>
        <w:rPr>
          <w:b/>
          <w:sz w:val="22"/>
        </w:rPr>
      </w:pPr>
    </w:p>
    <w:p>
      <w:pPr>
        <w:pStyle w:val="Heading6"/>
        <w:ind w:left="0" w:right="717"/>
        <w:jc w:val="right"/>
      </w:pPr>
      <w:r>
        <w:rPr/>
        <w:t>August</w:t>
      </w:r>
      <w:r>
        <w:rPr>
          <w:spacing w:val="-3"/>
        </w:rPr>
        <w:t> </w:t>
      </w:r>
      <w:r>
        <w:rPr/>
        <w:t>4,</w:t>
      </w:r>
      <w:r>
        <w:rPr>
          <w:spacing w:val="-1"/>
        </w:rPr>
        <w:t> </w:t>
      </w:r>
      <w:r>
        <w:rPr>
          <w:spacing w:val="-4"/>
        </w:rPr>
        <w:t>2023</w:t>
      </w:r>
    </w:p>
    <w:p>
      <w:pPr>
        <w:pStyle w:val="BodyText"/>
        <w:rPr>
          <w:sz w:val="22"/>
        </w:rPr>
      </w:pPr>
    </w:p>
    <w:p>
      <w:pPr>
        <w:pStyle w:val="BodyText"/>
        <w:spacing w:before="9"/>
        <w:rPr>
          <w:sz w:val="22"/>
        </w:rPr>
      </w:pPr>
    </w:p>
    <w:p>
      <w:pPr>
        <w:pStyle w:val="Heading6"/>
        <w:spacing w:line="249" w:lineRule="auto"/>
        <w:ind w:right="712"/>
      </w:pPr>
      <w:r>
        <w:rPr/>
        <w:t>The management of the International Bank for Reconstruction and Development (IBRD) is responsible</w:t>
      </w:r>
      <w:r>
        <w:rPr>
          <w:spacing w:val="40"/>
        </w:rPr>
        <w:t> </w:t>
      </w:r>
      <w:r>
        <w:rPr/>
        <w:t>for the preparation, integrity, and fair presentation of its published financial statements. The financial statements have been prepared in accordance with accounting principles generally accepted in the United States of America and include amounts based on informed judgments and estimates made by</w:t>
      </w:r>
      <w:r>
        <w:rPr>
          <w:spacing w:val="40"/>
        </w:rPr>
        <w:t> </w:t>
      </w:r>
      <w:r>
        <w:rPr>
          <w:spacing w:val="-2"/>
        </w:rPr>
        <w:t>management.</w:t>
      </w:r>
    </w:p>
    <w:p>
      <w:pPr>
        <w:pStyle w:val="Heading6"/>
        <w:spacing w:line="249" w:lineRule="auto" w:before="124"/>
        <w:ind w:right="712"/>
      </w:pPr>
      <w:r>
        <w:rPr/>
        <w:t>The financial statements have been audited by an independent audit firm, which was given unrestricted access to all financial records and related data, including minutes of all meetings of the Executive Directors and their Committees. Management believes that all representations made to the independent auditors during their audit of IBRD’s financial statements and audit of its internal control over </w:t>
      </w:r>
      <w:r>
        <w:rPr/>
        <w:t>financial reporting were valid and appropriate. The independent auditors’ reports accompany the audited financial </w:t>
      </w:r>
      <w:r>
        <w:rPr>
          <w:spacing w:val="-2"/>
        </w:rPr>
        <w:t>statements.</w:t>
      </w:r>
    </w:p>
    <w:p>
      <w:pPr>
        <w:pStyle w:val="Heading6"/>
        <w:spacing w:line="249" w:lineRule="auto" w:before="126"/>
        <w:ind w:right="713"/>
      </w:pPr>
      <w:r>
        <w:rPr/>
        <w:t>Management is responsible for establishing and maintaining effective internal control over financial reporting for financial statement presentations in conformity with accounting principles generally</w:t>
      </w:r>
      <w:r>
        <w:rPr>
          <w:spacing w:val="40"/>
        </w:rPr>
        <w:t> </w:t>
      </w:r>
      <w:r>
        <w:rPr/>
        <w:t>accepted in the United States of America. Management maintains a comprehensive system of controls intended to ensure that transactions are executed in accordance with management’s authorization, assets are safeguarded, and financial records are reliable. The system of internal control contains monitoring mechanisms, and actions are taken to correct deficiencies identified. Management believes that internal control over financial reporting supports the integrity and reliability of the external financial statements.</w:t>
      </w:r>
    </w:p>
    <w:p>
      <w:pPr>
        <w:pStyle w:val="Heading6"/>
        <w:spacing w:line="249" w:lineRule="auto" w:before="126"/>
        <w:ind w:right="713"/>
      </w:pPr>
      <w:r>
        <w:rPr/>
        <w:t>There are inherent limitations in the effectiveness of any internal control, including the possibility of human error and the circumvention or overriding of controls. Accordingly, even effective internal</w:t>
      </w:r>
      <w:r>
        <w:rPr>
          <w:spacing w:val="80"/>
        </w:rPr>
        <w:t> </w:t>
      </w:r>
      <w:r>
        <w:rPr/>
        <w:t>controls can provide only reasonable assurance with respect to financial statement preparation. Further, because of changes in conditions, the effectiveness of internal controls may vary over time.</w:t>
      </w:r>
    </w:p>
    <w:p>
      <w:pPr>
        <w:pStyle w:val="Heading6"/>
        <w:spacing w:line="249" w:lineRule="auto" w:before="124"/>
        <w:ind w:right="712"/>
      </w:pPr>
      <w:r>
        <w:rPr/>
        <w:t>IBRD assessed its internal control over financial reporting for financial statement presentation in conformity with accounting principles generally accepted in the United States of America as of June 30, 2023. This assessment was based on the criteria for effective internal control over financial reporting described in the </w:t>
      </w:r>
      <w:r>
        <w:rPr>
          <w:i/>
        </w:rPr>
        <w:t>Internal Control-Integrated Framework (2013) </w:t>
      </w:r>
      <w:r>
        <w:rPr/>
        <w:t>issued by the Committee of Sponsoring Organizations of the Treadway Commission. Based upon this assessment, management believes that IBRD maintained effective internal control over financial reporting presented in conformity with accounting principles generally accepted in the United States of America as of June 30, 2023. The independent audit firm that audited the financial statements has issued an Independent Auditors Report which expresses an opinion on IBRD’s internal control over financial reporting.</w:t>
      </w:r>
    </w:p>
    <w:p>
      <w:pPr>
        <w:pStyle w:val="Heading6"/>
        <w:spacing w:after="0" w:line="249" w:lineRule="auto"/>
        <w:sectPr>
          <w:headerReference w:type="even" r:id="rId85"/>
          <w:pgSz w:w="12240" w:h="15840"/>
          <w:pgMar w:header="0" w:footer="0" w:top="600" w:bottom="1080" w:left="720" w:right="720"/>
        </w:sectPr>
      </w:pPr>
    </w:p>
    <w:p>
      <w:pPr>
        <w:pStyle w:val="Heading2"/>
        <w:spacing w:line="249" w:lineRule="auto"/>
      </w:pPr>
      <w:r>
        <w:rPr/>
        <w:t>The Executive Directors of IBRD have appointed an Audit Committee responsible for</w:t>
      </w:r>
      <w:r>
        <w:rPr>
          <w:spacing w:val="40"/>
        </w:rPr>
        <w:t> </w:t>
      </w:r>
      <w:r>
        <w:rPr/>
        <w:t>monitoring the accounting practices and internal controls of IBRD. The Audit Committee is comprised entirely of Executive Directors who are independent of IBRD’s management. The Audit Committee is responsible for recommending to the Executive Directors the selection of independent auditors. It meets periodically with management, the independent auditors, and the internal auditors to ensure that they are carrying out their responsibilities. The Audit Committee is responsible for performing an oversight role by reviewing and monitoring the financial, accounting and auditing procedures of IBRD in addition to reviewing IBRD’s financial reports. The independent auditors and the internal auditors have full and free access to the Audit Committee, with or without the presence of management, to discuss the adequacy of </w:t>
      </w:r>
      <w:r>
        <w:rPr/>
        <w:t>internal control over financial reporting and any other matters which they believe should be brought to</w:t>
      </w:r>
      <w:r>
        <w:rPr>
          <w:spacing w:val="40"/>
        </w:rPr>
        <w:t> </w:t>
      </w:r>
      <w:r>
        <w:rPr/>
        <w:t>the attention of the Audit Committee.</w:t>
      </w:r>
    </w:p>
    <w:p>
      <w:pPr>
        <w:pStyle w:val="BodyText"/>
      </w:pPr>
    </w:p>
    <w:p>
      <w:pPr>
        <w:pStyle w:val="BodyText"/>
      </w:pPr>
    </w:p>
    <w:p>
      <w:pPr>
        <w:pStyle w:val="BodyText"/>
      </w:pPr>
    </w:p>
    <w:p>
      <w:pPr>
        <w:pStyle w:val="BodyText"/>
      </w:pPr>
    </w:p>
    <w:p>
      <w:pPr>
        <w:pStyle w:val="BodyText"/>
      </w:pPr>
    </w:p>
    <w:p>
      <w:pPr>
        <w:pStyle w:val="BodyText"/>
        <w:spacing w:before="173"/>
      </w:pPr>
      <w:r>
        <w:rPr/>
        <w:drawing>
          <wp:anchor distT="0" distB="0" distL="0" distR="0" allowOverlap="1" layoutInCell="1" locked="0" behindDoc="1" simplePos="0" relativeHeight="487670784">
            <wp:simplePos x="0" y="0"/>
            <wp:positionH relativeFrom="page">
              <wp:posOffset>1814635</wp:posOffset>
            </wp:positionH>
            <wp:positionV relativeFrom="paragraph">
              <wp:posOffset>271589</wp:posOffset>
            </wp:positionV>
            <wp:extent cx="4052132" cy="3663315"/>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89" cstate="print"/>
                    <a:stretch>
                      <a:fillRect/>
                    </a:stretch>
                  </pic:blipFill>
                  <pic:spPr>
                    <a:xfrm>
                      <a:off x="0" y="0"/>
                      <a:ext cx="4052132" cy="3663315"/>
                    </a:xfrm>
                    <a:prstGeom prst="rect">
                      <a:avLst/>
                    </a:prstGeom>
                  </pic:spPr>
                </pic:pic>
              </a:graphicData>
            </a:graphic>
          </wp:anchor>
        </w:drawing>
      </w:r>
    </w:p>
    <w:p>
      <w:pPr>
        <w:pStyle w:val="BodyText"/>
        <w:spacing w:after="0"/>
        <w:sectPr>
          <w:headerReference w:type="default" r:id="rId86"/>
          <w:footerReference w:type="default" r:id="rId87"/>
          <w:footerReference w:type="even" r:id="rId88"/>
          <w:pgSz w:w="12240" w:h="15840"/>
          <w:pgMar w:header="0" w:footer="888" w:top="1320" w:bottom="1080" w:left="720" w:right="720"/>
          <w:pgNumType w:start="71"/>
        </w:sectPr>
      </w:pPr>
    </w:p>
    <w:p>
      <w:pPr>
        <w:spacing w:line="249" w:lineRule="auto" w:before="61"/>
        <w:ind w:left="720" w:right="719" w:firstLine="0"/>
        <w:jc w:val="left"/>
        <w:rPr>
          <w:rFonts w:ascii="Arial MT"/>
          <w:sz w:val="28"/>
        </w:rPr>
      </w:pPr>
      <w:bookmarkStart w:name="Independent Auditor's Report on Effectiv" w:id="184"/>
      <w:bookmarkEnd w:id="184"/>
      <w:r>
        <w:rPr/>
      </w:r>
      <w:bookmarkStart w:name="_bookmark116" w:id="185"/>
      <w:bookmarkEnd w:id="185"/>
      <w:r>
        <w:rPr/>
      </w:r>
      <w:r>
        <w:rPr>
          <w:rFonts w:ascii="Arial MT"/>
          <w:sz w:val="28"/>
        </w:rPr>
        <w:t>Independent</w:t>
      </w:r>
      <w:r>
        <w:rPr>
          <w:rFonts w:ascii="Arial MT"/>
          <w:spacing w:val="-20"/>
          <w:sz w:val="28"/>
        </w:rPr>
        <w:t> </w:t>
      </w:r>
      <w:r>
        <w:rPr>
          <w:rFonts w:ascii="Arial MT"/>
          <w:sz w:val="28"/>
        </w:rPr>
        <w:t>Auditor's</w:t>
      </w:r>
      <w:r>
        <w:rPr>
          <w:rFonts w:ascii="Arial MT"/>
          <w:spacing w:val="-6"/>
          <w:sz w:val="28"/>
        </w:rPr>
        <w:t> </w:t>
      </w:r>
      <w:r>
        <w:rPr>
          <w:rFonts w:ascii="Arial MT"/>
          <w:sz w:val="28"/>
        </w:rPr>
        <w:t>Report</w:t>
      </w:r>
      <w:r>
        <w:rPr>
          <w:rFonts w:ascii="Arial MT"/>
          <w:spacing w:val="-6"/>
          <w:sz w:val="28"/>
        </w:rPr>
        <w:t> </w:t>
      </w:r>
      <w:r>
        <w:rPr>
          <w:rFonts w:ascii="Arial MT"/>
          <w:sz w:val="28"/>
        </w:rPr>
        <w:t>on</w:t>
      </w:r>
      <w:r>
        <w:rPr>
          <w:rFonts w:ascii="Arial MT"/>
          <w:spacing w:val="-6"/>
          <w:sz w:val="28"/>
        </w:rPr>
        <w:t> </w:t>
      </w:r>
      <w:r>
        <w:rPr>
          <w:rFonts w:ascii="Arial MT"/>
          <w:sz w:val="28"/>
        </w:rPr>
        <w:t>Effectiveness</w:t>
      </w:r>
      <w:r>
        <w:rPr>
          <w:rFonts w:ascii="Arial MT"/>
          <w:spacing w:val="-6"/>
          <w:sz w:val="28"/>
        </w:rPr>
        <w:t> </w:t>
      </w:r>
      <w:r>
        <w:rPr>
          <w:rFonts w:ascii="Arial MT"/>
          <w:sz w:val="28"/>
        </w:rPr>
        <w:t>of</w:t>
      </w:r>
      <w:r>
        <w:rPr>
          <w:rFonts w:ascii="Arial MT"/>
          <w:spacing w:val="-6"/>
          <w:sz w:val="28"/>
        </w:rPr>
        <w:t> </w:t>
      </w:r>
      <w:r>
        <w:rPr>
          <w:rFonts w:ascii="Arial MT"/>
          <w:sz w:val="28"/>
        </w:rPr>
        <w:t>Internal</w:t>
      </w:r>
      <w:r>
        <w:rPr>
          <w:rFonts w:ascii="Arial MT"/>
          <w:spacing w:val="-6"/>
          <w:sz w:val="28"/>
        </w:rPr>
        <w:t> </w:t>
      </w:r>
      <w:r>
        <w:rPr>
          <w:rFonts w:ascii="Arial MT"/>
          <w:sz w:val="28"/>
        </w:rPr>
        <w:t>Control</w:t>
      </w:r>
      <w:r>
        <w:rPr>
          <w:rFonts w:ascii="Arial MT"/>
          <w:spacing w:val="-6"/>
          <w:sz w:val="28"/>
        </w:rPr>
        <w:t> </w:t>
      </w:r>
      <w:r>
        <w:rPr>
          <w:rFonts w:ascii="Arial MT"/>
          <w:sz w:val="28"/>
        </w:rPr>
        <w:t>Over Financial Reporting</w:t>
      </w:r>
    </w:p>
    <w:p>
      <w:pPr>
        <w:pStyle w:val="BodyText"/>
        <w:spacing w:before="3"/>
        <w:rPr>
          <w:rFonts w:ascii="Arial MT"/>
          <w:sz w:val="14"/>
        </w:rPr>
      </w:pPr>
      <w:r>
        <w:rPr>
          <w:rFonts w:ascii="Arial MT"/>
          <w:sz w:val="14"/>
        </w:rPr>
        <w:drawing>
          <wp:anchor distT="0" distB="0" distL="0" distR="0" allowOverlap="1" layoutInCell="1" locked="0" behindDoc="1" simplePos="0" relativeHeight="487671296">
            <wp:simplePos x="0" y="0"/>
            <wp:positionH relativeFrom="page">
              <wp:posOffset>1056469</wp:posOffset>
            </wp:positionH>
            <wp:positionV relativeFrom="paragraph">
              <wp:posOffset>119387</wp:posOffset>
            </wp:positionV>
            <wp:extent cx="5563334" cy="7607236"/>
            <wp:effectExtent l="0" t="0" r="0" b="0"/>
            <wp:wrapTopAndBottom/>
            <wp:docPr id="622" name="Image 622"/>
            <wp:cNvGraphicFramePr>
              <a:graphicFrameLocks/>
            </wp:cNvGraphicFramePr>
            <a:graphic>
              <a:graphicData uri="http://schemas.openxmlformats.org/drawingml/2006/picture">
                <pic:pic>
                  <pic:nvPicPr>
                    <pic:cNvPr id="622" name="Image 622"/>
                    <pic:cNvPicPr/>
                  </pic:nvPicPr>
                  <pic:blipFill>
                    <a:blip r:embed="rId91" cstate="print"/>
                    <a:stretch>
                      <a:fillRect/>
                    </a:stretch>
                  </pic:blipFill>
                  <pic:spPr>
                    <a:xfrm>
                      <a:off x="0" y="0"/>
                      <a:ext cx="5563334" cy="7607236"/>
                    </a:xfrm>
                    <a:prstGeom prst="rect">
                      <a:avLst/>
                    </a:prstGeom>
                  </pic:spPr>
                </pic:pic>
              </a:graphicData>
            </a:graphic>
          </wp:anchor>
        </w:drawing>
      </w:r>
    </w:p>
    <w:p>
      <w:pPr>
        <w:pStyle w:val="BodyText"/>
        <w:spacing w:after="0"/>
        <w:rPr>
          <w:rFonts w:ascii="Arial MT"/>
          <w:sz w:val="14"/>
        </w:rPr>
        <w:sectPr>
          <w:headerReference w:type="even" r:id="rId90"/>
          <w:pgSz w:w="12240" w:h="15840"/>
          <w:pgMar w:header="0" w:footer="0" w:top="600" w:bottom="1080" w:left="720" w:right="720"/>
        </w:sectPr>
      </w:pPr>
    </w:p>
    <w:p>
      <w:pPr>
        <w:spacing w:line="240" w:lineRule="auto"/>
        <w:ind w:left="819" w:right="0" w:firstLine="0"/>
        <w:rPr>
          <w:rFonts w:ascii="Arial MT"/>
          <w:sz w:val="20"/>
        </w:rPr>
      </w:pPr>
      <w:r>
        <w:rPr>
          <w:rFonts w:ascii="Arial MT"/>
          <w:sz w:val="20"/>
        </w:rPr>
        <w:drawing>
          <wp:inline distT="0" distB="0" distL="0" distR="0">
            <wp:extent cx="5709277" cy="4371975"/>
            <wp:effectExtent l="0" t="0" r="0" b="0"/>
            <wp:docPr id="627" name="Image 627"/>
            <wp:cNvGraphicFramePr>
              <a:graphicFrameLocks/>
            </wp:cNvGraphicFramePr>
            <a:graphic>
              <a:graphicData uri="http://schemas.openxmlformats.org/drawingml/2006/picture">
                <pic:pic>
                  <pic:nvPicPr>
                    <pic:cNvPr id="627" name="Image 627"/>
                    <pic:cNvPicPr/>
                  </pic:nvPicPr>
                  <pic:blipFill>
                    <a:blip r:embed="rId95" cstate="print"/>
                    <a:stretch>
                      <a:fillRect/>
                    </a:stretch>
                  </pic:blipFill>
                  <pic:spPr>
                    <a:xfrm>
                      <a:off x="0" y="0"/>
                      <a:ext cx="5709277" cy="4371975"/>
                    </a:xfrm>
                    <a:prstGeom prst="rect">
                      <a:avLst/>
                    </a:prstGeom>
                  </pic:spPr>
                </pic:pic>
              </a:graphicData>
            </a:graphic>
          </wp:inline>
        </w:drawing>
      </w:r>
      <w:r>
        <w:rPr>
          <w:rFonts w:ascii="Arial MT"/>
          <w:sz w:val="20"/>
        </w:rPr>
      </w:r>
    </w:p>
    <w:p>
      <w:pPr>
        <w:spacing w:after="0" w:line="240" w:lineRule="auto"/>
        <w:rPr>
          <w:rFonts w:ascii="Arial MT"/>
          <w:sz w:val="20"/>
        </w:rPr>
        <w:sectPr>
          <w:headerReference w:type="default" r:id="rId92"/>
          <w:footerReference w:type="default" r:id="rId93"/>
          <w:footerReference w:type="even" r:id="rId94"/>
          <w:pgSz w:w="12240" w:h="15840"/>
          <w:pgMar w:header="0" w:footer="888" w:top="1620" w:bottom="1080" w:left="720" w:right="720"/>
          <w:pgNumType w:start="73"/>
        </w:sectPr>
      </w:pPr>
    </w:p>
    <w:p>
      <w:pPr>
        <w:pStyle w:val="BodyText"/>
        <w:rPr>
          <w:rFonts w:ascii="Arial MT"/>
        </w:rPr>
      </w:pPr>
    </w:p>
    <w:p>
      <w:pPr>
        <w:pStyle w:val="BodyText"/>
        <w:spacing w:before="86"/>
        <w:rPr>
          <w:rFonts w:ascii="Arial MT"/>
        </w:rPr>
      </w:pPr>
    </w:p>
    <w:p>
      <w:pPr>
        <w:spacing w:line="240" w:lineRule="auto"/>
        <w:ind w:left="890" w:right="0" w:firstLine="0"/>
        <w:rPr>
          <w:rFonts w:ascii="Arial MT"/>
          <w:sz w:val="20"/>
        </w:rPr>
      </w:pPr>
      <w:bookmarkStart w:name="Independent Auditor's Report" w:id="186"/>
      <w:bookmarkEnd w:id="186"/>
      <w:r>
        <w:rPr/>
      </w:r>
      <w:bookmarkStart w:name="_bookmark117" w:id="187"/>
      <w:bookmarkEnd w:id="187"/>
      <w:r>
        <w:rPr/>
      </w:r>
      <w:r>
        <w:rPr>
          <w:rFonts w:ascii="Arial MT"/>
          <w:sz w:val="20"/>
        </w:rPr>
        <w:drawing>
          <wp:inline distT="0" distB="0" distL="0" distR="0">
            <wp:extent cx="5681595" cy="7665339"/>
            <wp:effectExtent l="0" t="0" r="0" b="0"/>
            <wp:docPr id="629" name="Image 629"/>
            <wp:cNvGraphicFramePr>
              <a:graphicFrameLocks/>
            </wp:cNvGraphicFramePr>
            <a:graphic>
              <a:graphicData uri="http://schemas.openxmlformats.org/drawingml/2006/picture">
                <pic:pic>
                  <pic:nvPicPr>
                    <pic:cNvPr id="629" name="Image 629"/>
                    <pic:cNvPicPr/>
                  </pic:nvPicPr>
                  <pic:blipFill>
                    <a:blip r:embed="rId97" cstate="print"/>
                    <a:stretch>
                      <a:fillRect/>
                    </a:stretch>
                  </pic:blipFill>
                  <pic:spPr>
                    <a:xfrm>
                      <a:off x="0" y="0"/>
                      <a:ext cx="5681595" cy="7665339"/>
                    </a:xfrm>
                    <a:prstGeom prst="rect">
                      <a:avLst/>
                    </a:prstGeom>
                  </pic:spPr>
                </pic:pic>
              </a:graphicData>
            </a:graphic>
          </wp:inline>
        </w:drawing>
      </w:r>
      <w:r>
        <w:rPr>
          <w:rFonts w:ascii="Arial MT"/>
          <w:sz w:val="20"/>
        </w:rPr>
      </w:r>
    </w:p>
    <w:p>
      <w:pPr>
        <w:spacing w:after="0" w:line="240" w:lineRule="auto"/>
        <w:rPr>
          <w:rFonts w:ascii="Arial MT"/>
          <w:sz w:val="20"/>
        </w:rPr>
        <w:sectPr>
          <w:headerReference w:type="even" r:id="rId96"/>
          <w:pgSz w:w="12240" w:h="15840"/>
          <w:pgMar w:header="670" w:footer="0" w:top="980" w:bottom="1080" w:left="720" w:right="720"/>
        </w:sectPr>
      </w:pPr>
    </w:p>
    <w:p>
      <w:pPr>
        <w:spacing w:before="61"/>
        <w:ind w:left="720" w:right="0" w:firstLine="0"/>
        <w:jc w:val="left"/>
        <w:rPr>
          <w:rFonts w:ascii="Arial MT"/>
          <w:sz w:val="28"/>
        </w:rPr>
      </w:pPr>
      <w:r>
        <w:rPr>
          <w:rFonts w:ascii="Arial MT"/>
          <w:sz w:val="28"/>
        </w:rPr>
        <w:t>Independent</w:t>
      </w:r>
      <w:r>
        <w:rPr>
          <w:rFonts w:ascii="Arial MT"/>
          <w:spacing w:val="-20"/>
          <w:sz w:val="28"/>
        </w:rPr>
        <w:t> </w:t>
      </w:r>
      <w:r>
        <w:rPr>
          <w:rFonts w:ascii="Arial MT"/>
          <w:sz w:val="28"/>
        </w:rPr>
        <w:t>Auditor's</w:t>
      </w:r>
      <w:r>
        <w:rPr>
          <w:rFonts w:ascii="Arial MT"/>
          <w:spacing w:val="-9"/>
          <w:sz w:val="28"/>
        </w:rPr>
        <w:t> </w:t>
      </w:r>
      <w:r>
        <w:rPr>
          <w:rFonts w:ascii="Arial MT"/>
          <w:spacing w:val="-2"/>
          <w:sz w:val="28"/>
        </w:rPr>
        <w:t>Report</w:t>
      </w:r>
    </w:p>
    <w:p>
      <w:pPr>
        <w:pStyle w:val="BodyText"/>
        <w:rPr>
          <w:rFonts w:ascii="Arial MT"/>
        </w:rPr>
      </w:pPr>
    </w:p>
    <w:p>
      <w:pPr>
        <w:pStyle w:val="BodyText"/>
        <w:spacing w:before="161"/>
        <w:rPr>
          <w:rFonts w:ascii="Arial MT"/>
        </w:rPr>
      </w:pPr>
      <w:r>
        <w:rPr>
          <w:rFonts w:ascii="Arial MT"/>
        </w:rPr>
        <w:drawing>
          <wp:anchor distT="0" distB="0" distL="0" distR="0" allowOverlap="1" layoutInCell="1" locked="0" behindDoc="1" simplePos="0" relativeHeight="487671808">
            <wp:simplePos x="0" y="0"/>
            <wp:positionH relativeFrom="page">
              <wp:posOffset>1028476</wp:posOffset>
            </wp:positionH>
            <wp:positionV relativeFrom="paragraph">
              <wp:posOffset>263720</wp:posOffset>
            </wp:positionV>
            <wp:extent cx="5608538" cy="7547324"/>
            <wp:effectExtent l="0" t="0" r="0" b="0"/>
            <wp:wrapTopAndBottom/>
            <wp:docPr id="630" name="Image 630"/>
            <wp:cNvGraphicFramePr>
              <a:graphicFrameLocks/>
            </wp:cNvGraphicFramePr>
            <a:graphic>
              <a:graphicData uri="http://schemas.openxmlformats.org/drawingml/2006/picture">
                <pic:pic>
                  <pic:nvPicPr>
                    <pic:cNvPr id="630" name="Image 630"/>
                    <pic:cNvPicPr/>
                  </pic:nvPicPr>
                  <pic:blipFill>
                    <a:blip r:embed="rId99" cstate="print"/>
                    <a:stretch>
                      <a:fillRect/>
                    </a:stretch>
                  </pic:blipFill>
                  <pic:spPr>
                    <a:xfrm>
                      <a:off x="0" y="0"/>
                      <a:ext cx="5608538" cy="7547324"/>
                    </a:xfrm>
                    <a:prstGeom prst="rect">
                      <a:avLst/>
                    </a:prstGeom>
                  </pic:spPr>
                </pic:pic>
              </a:graphicData>
            </a:graphic>
          </wp:anchor>
        </w:drawing>
      </w:r>
    </w:p>
    <w:p>
      <w:pPr>
        <w:pStyle w:val="BodyText"/>
        <w:spacing w:after="0"/>
        <w:rPr>
          <w:rFonts w:ascii="Arial MT"/>
        </w:rPr>
        <w:sectPr>
          <w:headerReference w:type="default" r:id="rId98"/>
          <w:pgSz w:w="12240" w:h="15840"/>
          <w:pgMar w:header="0" w:footer="0" w:top="600" w:bottom="1080" w:left="720" w:right="720"/>
        </w:sectPr>
      </w:pPr>
    </w:p>
    <w:p>
      <w:pPr>
        <w:pStyle w:val="BodyText"/>
        <w:rPr>
          <w:rFonts w:ascii="Arial MT"/>
        </w:rPr>
      </w:pPr>
    </w:p>
    <w:p>
      <w:pPr>
        <w:pStyle w:val="BodyText"/>
        <w:spacing w:before="222"/>
        <w:rPr>
          <w:rFonts w:ascii="Arial MT"/>
        </w:rPr>
      </w:pPr>
    </w:p>
    <w:p>
      <w:pPr>
        <w:spacing w:line="240" w:lineRule="auto"/>
        <w:ind w:left="891" w:right="0" w:firstLine="0"/>
        <w:rPr>
          <w:rFonts w:ascii="Arial MT"/>
          <w:sz w:val="20"/>
        </w:rPr>
      </w:pPr>
      <w:r>
        <w:rPr>
          <w:rFonts w:ascii="Arial MT"/>
          <w:sz w:val="20"/>
        </w:rPr>
        <w:drawing>
          <wp:inline distT="0" distB="0" distL="0" distR="0">
            <wp:extent cx="5663717" cy="2886075"/>
            <wp:effectExtent l="0" t="0" r="0" b="0"/>
            <wp:docPr id="636" name="Image 636"/>
            <wp:cNvGraphicFramePr>
              <a:graphicFrameLocks/>
            </wp:cNvGraphicFramePr>
            <a:graphic>
              <a:graphicData uri="http://schemas.openxmlformats.org/drawingml/2006/picture">
                <pic:pic>
                  <pic:nvPicPr>
                    <pic:cNvPr id="636" name="Image 636"/>
                    <pic:cNvPicPr/>
                  </pic:nvPicPr>
                  <pic:blipFill>
                    <a:blip r:embed="rId103" cstate="print"/>
                    <a:stretch>
                      <a:fillRect/>
                    </a:stretch>
                  </pic:blipFill>
                  <pic:spPr>
                    <a:xfrm>
                      <a:off x="0" y="0"/>
                      <a:ext cx="5663717" cy="2886075"/>
                    </a:xfrm>
                    <a:prstGeom prst="rect">
                      <a:avLst/>
                    </a:prstGeom>
                  </pic:spPr>
                </pic:pic>
              </a:graphicData>
            </a:graphic>
          </wp:inline>
        </w:drawing>
      </w:r>
      <w:r>
        <w:rPr>
          <w:rFonts w:ascii="Arial MT"/>
          <w:sz w:val="20"/>
        </w:rPr>
      </w:r>
    </w:p>
    <w:p>
      <w:pPr>
        <w:spacing w:after="0" w:line="240" w:lineRule="auto"/>
        <w:rPr>
          <w:rFonts w:ascii="Arial MT"/>
          <w:sz w:val="20"/>
        </w:rPr>
        <w:sectPr>
          <w:headerReference w:type="even" r:id="rId100"/>
          <w:footerReference w:type="even" r:id="rId101"/>
          <w:footerReference w:type="default" r:id="rId102"/>
          <w:pgSz w:w="12240" w:h="15840"/>
          <w:pgMar w:header="670" w:footer="888" w:top="980" w:bottom="1080" w:left="720" w:right="720"/>
          <w:pgNumType w:start="76"/>
        </w:sectPr>
      </w:pPr>
    </w:p>
    <w:p>
      <w:pPr>
        <w:spacing w:before="65"/>
        <w:ind w:left="720" w:right="0" w:firstLine="0"/>
        <w:jc w:val="left"/>
        <w:rPr>
          <w:rFonts w:ascii="Arial MT"/>
          <w:sz w:val="28"/>
        </w:rPr>
      </w:pPr>
      <w:bookmarkStart w:name="IBRD Financial Statements" w:id="188"/>
      <w:bookmarkEnd w:id="188"/>
      <w:r>
        <w:rPr/>
      </w:r>
      <w:r>
        <w:rPr>
          <w:rFonts w:ascii="Arial MT"/>
          <w:sz w:val="28"/>
        </w:rPr>
        <w:t>INTERNATIONAL</w:t>
      </w:r>
      <w:r>
        <w:rPr>
          <w:rFonts w:ascii="Arial MT"/>
          <w:spacing w:val="-22"/>
          <w:sz w:val="28"/>
        </w:rPr>
        <w:t> </w:t>
      </w:r>
      <w:r>
        <w:rPr>
          <w:rFonts w:ascii="Arial MT"/>
          <w:sz w:val="28"/>
        </w:rPr>
        <w:t>BANK</w:t>
      </w:r>
      <w:r>
        <w:rPr>
          <w:rFonts w:ascii="Arial MT"/>
          <w:spacing w:val="-7"/>
          <w:sz w:val="28"/>
        </w:rPr>
        <w:t> </w:t>
      </w:r>
      <w:r>
        <w:rPr>
          <w:rFonts w:ascii="Arial MT"/>
          <w:sz w:val="28"/>
        </w:rPr>
        <w:t>FOR</w:t>
      </w:r>
      <w:r>
        <w:rPr>
          <w:rFonts w:ascii="Arial MT"/>
          <w:spacing w:val="-7"/>
          <w:sz w:val="28"/>
        </w:rPr>
        <w:t> </w:t>
      </w:r>
      <w:r>
        <w:rPr>
          <w:rFonts w:ascii="Arial MT"/>
          <w:sz w:val="28"/>
        </w:rPr>
        <w:t>RECONSTRUCTION</w:t>
      </w:r>
      <w:r>
        <w:rPr>
          <w:rFonts w:ascii="Arial MT"/>
          <w:spacing w:val="-19"/>
          <w:sz w:val="28"/>
        </w:rPr>
        <w:t> </w:t>
      </w:r>
      <w:r>
        <w:rPr>
          <w:rFonts w:ascii="Arial MT"/>
          <w:sz w:val="28"/>
        </w:rPr>
        <w:t>AND</w:t>
      </w:r>
      <w:r>
        <w:rPr>
          <w:rFonts w:ascii="Arial MT"/>
          <w:spacing w:val="-7"/>
          <w:sz w:val="28"/>
        </w:rPr>
        <w:t> </w:t>
      </w:r>
      <w:r>
        <w:rPr>
          <w:rFonts w:ascii="Arial MT"/>
          <w:spacing w:val="-2"/>
          <w:sz w:val="28"/>
        </w:rPr>
        <w:t>DEVELOPMENT</w:t>
      </w:r>
    </w:p>
    <w:p>
      <w:pPr>
        <w:pStyle w:val="BodyText"/>
        <w:spacing w:before="64"/>
        <w:rPr>
          <w:rFonts w:ascii="Arial MT"/>
          <w:sz w:val="28"/>
        </w:rPr>
      </w:pPr>
    </w:p>
    <w:p>
      <w:pPr>
        <w:spacing w:line="278" w:lineRule="auto" w:before="0"/>
        <w:ind w:left="720" w:right="6035" w:firstLine="0"/>
        <w:jc w:val="left"/>
        <w:rPr>
          <w:rFonts w:ascii="Arial MT"/>
          <w:sz w:val="28"/>
        </w:rPr>
      </w:pPr>
      <w:r>
        <w:rPr>
          <w:rFonts w:ascii="Arial MT"/>
          <w:spacing w:val="-4"/>
          <w:sz w:val="28"/>
        </w:rPr>
        <w:t>FINANCIAL</w:t>
      </w:r>
      <w:r>
        <w:rPr>
          <w:rFonts w:ascii="Arial MT"/>
          <w:spacing w:val="-13"/>
          <w:sz w:val="28"/>
        </w:rPr>
        <w:t> </w:t>
      </w:r>
      <w:r>
        <w:rPr>
          <w:rFonts w:ascii="Arial MT"/>
          <w:spacing w:val="-4"/>
          <w:sz w:val="28"/>
        </w:rPr>
        <w:t>STATEMENTS </w:t>
      </w:r>
      <w:r>
        <w:rPr>
          <w:rFonts w:ascii="Arial MT"/>
          <w:sz w:val="28"/>
        </w:rPr>
        <w:t>JUNE 30, 2023</w:t>
      </w:r>
    </w:p>
    <w:p>
      <w:pPr>
        <w:spacing w:after="0" w:line="278" w:lineRule="auto"/>
        <w:jc w:val="left"/>
        <w:rPr>
          <w:rFonts w:ascii="Arial MT"/>
          <w:sz w:val="28"/>
        </w:rPr>
        <w:sectPr>
          <w:headerReference w:type="default" r:id="rId104"/>
          <w:pgSz w:w="12240" w:h="15840"/>
          <w:pgMar w:header="0" w:footer="0" w:top="1700" w:bottom="1080" w:left="720" w:right="72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40"/>
        <w:gridCol w:w="1354"/>
        <w:gridCol w:w="1316"/>
      </w:tblGrid>
      <w:tr>
        <w:trPr>
          <w:trHeight w:val="331" w:hRule="atLeast"/>
        </w:trPr>
        <w:tc>
          <w:tcPr>
            <w:tcW w:w="6740" w:type="dxa"/>
          </w:tcPr>
          <w:p>
            <w:pPr>
              <w:pStyle w:val="TableParagraph"/>
              <w:spacing w:line="312" w:lineRule="exact"/>
              <w:ind w:left="50"/>
              <w:rPr>
                <w:sz w:val="28"/>
              </w:rPr>
            </w:pPr>
            <w:bookmarkStart w:name="BALANCE SHEETS" w:id="189"/>
            <w:bookmarkEnd w:id="189"/>
            <w:r>
              <w:rPr/>
            </w:r>
            <w:bookmarkStart w:name="_bookmark118" w:id="190"/>
            <w:bookmarkEnd w:id="190"/>
            <w:r>
              <w:rPr/>
            </w:r>
            <w:r>
              <w:rPr>
                <w:sz w:val="28"/>
              </w:rPr>
              <w:t>BALANCE</w:t>
            </w:r>
            <w:r>
              <w:rPr>
                <w:spacing w:val="-4"/>
                <w:sz w:val="28"/>
              </w:rPr>
              <w:t> </w:t>
            </w:r>
            <w:r>
              <w:rPr>
                <w:spacing w:val="-2"/>
                <w:sz w:val="28"/>
              </w:rPr>
              <w:t>SHEETS</w:t>
            </w:r>
          </w:p>
        </w:tc>
        <w:tc>
          <w:tcPr>
            <w:tcW w:w="2670" w:type="dxa"/>
            <w:gridSpan w:val="2"/>
            <w:vMerge w:val="restart"/>
          </w:tcPr>
          <w:p>
            <w:pPr>
              <w:pStyle w:val="TableParagraph"/>
              <w:rPr>
                <w:rFonts w:ascii="Times New Roman"/>
                <w:sz w:val="20"/>
              </w:rPr>
            </w:pPr>
          </w:p>
        </w:tc>
      </w:tr>
      <w:tr>
        <w:trPr>
          <w:trHeight w:val="430" w:hRule="atLeast"/>
        </w:trPr>
        <w:tc>
          <w:tcPr>
            <w:tcW w:w="6740" w:type="dxa"/>
          </w:tcPr>
          <w:p>
            <w:pPr>
              <w:pStyle w:val="TableParagraph"/>
              <w:spacing w:before="12"/>
              <w:ind w:left="50"/>
              <w:rPr>
                <w:rFonts w:ascii="Arial"/>
                <w:i/>
                <w:sz w:val="20"/>
              </w:rPr>
            </w:pPr>
            <w:r>
              <w:rPr>
                <w:rFonts w:ascii="Arial"/>
                <w:i/>
                <w:sz w:val="20"/>
              </w:rPr>
              <w:t>June</w:t>
            </w:r>
            <w:r>
              <w:rPr>
                <w:rFonts w:ascii="Arial"/>
                <w:i/>
                <w:spacing w:val="-4"/>
                <w:sz w:val="20"/>
              </w:rPr>
              <w:t> </w:t>
            </w:r>
            <w:r>
              <w:rPr>
                <w:rFonts w:ascii="Arial"/>
                <w:i/>
                <w:sz w:val="20"/>
              </w:rPr>
              <w:t>30,</w:t>
            </w:r>
            <w:r>
              <w:rPr>
                <w:rFonts w:ascii="Arial"/>
                <w:i/>
                <w:spacing w:val="-3"/>
                <w:sz w:val="20"/>
              </w:rPr>
              <w:t> </w:t>
            </w:r>
            <w:r>
              <w:rPr>
                <w:rFonts w:ascii="Arial"/>
                <w:i/>
                <w:sz w:val="20"/>
              </w:rPr>
              <w:t>2023</w:t>
            </w:r>
            <w:r>
              <w:rPr>
                <w:rFonts w:ascii="Arial"/>
                <w:i/>
                <w:spacing w:val="-3"/>
                <w:sz w:val="20"/>
              </w:rPr>
              <w:t> </w:t>
            </w:r>
            <w:r>
              <w:rPr>
                <w:rFonts w:ascii="Arial"/>
                <w:i/>
                <w:sz w:val="20"/>
              </w:rPr>
              <w:t>and</w:t>
            </w:r>
            <w:r>
              <w:rPr>
                <w:rFonts w:ascii="Arial"/>
                <w:i/>
                <w:spacing w:val="-3"/>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2022</w:t>
            </w:r>
          </w:p>
        </w:tc>
        <w:tc>
          <w:tcPr>
            <w:tcW w:w="2670" w:type="dxa"/>
            <w:gridSpan w:val="2"/>
            <w:vMerge/>
            <w:tcBorders>
              <w:top w:val="nil"/>
            </w:tcBorders>
          </w:tcPr>
          <w:p>
            <w:pPr>
              <w:rPr>
                <w:sz w:val="2"/>
                <w:szCs w:val="2"/>
              </w:rPr>
            </w:pPr>
          </w:p>
        </w:tc>
      </w:tr>
      <w:tr>
        <w:trPr>
          <w:trHeight w:val="566" w:hRule="atLeast"/>
        </w:trPr>
        <w:tc>
          <w:tcPr>
            <w:tcW w:w="6740" w:type="dxa"/>
          </w:tcPr>
          <w:p>
            <w:pPr>
              <w:pStyle w:val="TableParagraph"/>
              <w:spacing w:before="181"/>
              <w:ind w:left="50"/>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c>
        <w:tc>
          <w:tcPr>
            <w:tcW w:w="2670" w:type="dxa"/>
            <w:gridSpan w:val="2"/>
            <w:vMerge/>
            <w:tcBorders>
              <w:top w:val="nil"/>
            </w:tcBorders>
          </w:tcPr>
          <w:p>
            <w:pPr>
              <w:rPr>
                <w:sz w:val="2"/>
                <w:szCs w:val="2"/>
              </w:rPr>
            </w:pPr>
          </w:p>
        </w:tc>
      </w:tr>
      <w:tr>
        <w:trPr>
          <w:trHeight w:val="382" w:hRule="atLeast"/>
        </w:trPr>
        <w:tc>
          <w:tcPr>
            <w:tcW w:w="6740" w:type="dxa"/>
          </w:tcPr>
          <w:p>
            <w:pPr>
              <w:pStyle w:val="TableParagraph"/>
              <w:rPr>
                <w:rFonts w:ascii="Times New Roman"/>
                <w:sz w:val="20"/>
              </w:rPr>
            </w:pPr>
          </w:p>
        </w:tc>
        <w:tc>
          <w:tcPr>
            <w:tcW w:w="1354" w:type="dxa"/>
            <w:tcBorders>
              <w:bottom w:val="single" w:sz="8" w:space="0" w:color="000000"/>
            </w:tcBorders>
          </w:tcPr>
          <w:p>
            <w:pPr>
              <w:pStyle w:val="TableParagraph"/>
              <w:spacing w:line="214" w:lineRule="exact" w:before="148"/>
              <w:ind w:left="430"/>
              <w:rPr>
                <w:rFonts w:ascii="Arial"/>
                <w:i/>
                <w:sz w:val="20"/>
              </w:rPr>
            </w:pPr>
            <w:r>
              <w:rPr>
                <w:rFonts w:ascii="Arial"/>
                <w:i/>
                <w:spacing w:val="-4"/>
                <w:sz w:val="20"/>
              </w:rPr>
              <w:t>2023</w:t>
            </w:r>
          </w:p>
        </w:tc>
        <w:tc>
          <w:tcPr>
            <w:tcW w:w="1316" w:type="dxa"/>
            <w:tcBorders>
              <w:bottom w:val="single" w:sz="8" w:space="0" w:color="000000"/>
            </w:tcBorders>
          </w:tcPr>
          <w:p>
            <w:pPr>
              <w:pStyle w:val="TableParagraph"/>
              <w:spacing w:line="214" w:lineRule="exact" w:before="148"/>
              <w:ind w:left="441"/>
              <w:rPr>
                <w:rFonts w:ascii="Arial"/>
                <w:i/>
                <w:sz w:val="20"/>
              </w:rPr>
            </w:pPr>
            <w:r>
              <w:rPr>
                <w:rFonts w:ascii="Arial"/>
                <w:i/>
                <w:spacing w:val="-4"/>
                <w:sz w:val="20"/>
              </w:rPr>
              <w:t>2022</w:t>
            </w:r>
          </w:p>
        </w:tc>
      </w:tr>
      <w:tr>
        <w:trPr>
          <w:trHeight w:val="231" w:hRule="atLeast"/>
        </w:trPr>
        <w:tc>
          <w:tcPr>
            <w:tcW w:w="6740" w:type="dxa"/>
          </w:tcPr>
          <w:p>
            <w:pPr>
              <w:pStyle w:val="TableParagraph"/>
              <w:spacing w:line="211" w:lineRule="exact"/>
              <w:ind w:left="102"/>
              <w:rPr>
                <w:rFonts w:ascii="Arial"/>
                <w:b/>
                <w:sz w:val="20"/>
              </w:rPr>
            </w:pPr>
            <w:r>
              <w:rPr>
                <w:rFonts w:ascii="Arial"/>
                <w:b/>
                <w:spacing w:val="-2"/>
                <w:sz w:val="20"/>
              </w:rPr>
              <w:t>Assets</w:t>
            </w:r>
          </w:p>
        </w:tc>
        <w:tc>
          <w:tcPr>
            <w:tcW w:w="1354" w:type="dxa"/>
            <w:tcBorders>
              <w:top w:val="single" w:sz="8" w:space="0" w:color="000000"/>
            </w:tcBorders>
          </w:tcPr>
          <w:p>
            <w:pPr>
              <w:pStyle w:val="TableParagraph"/>
              <w:rPr>
                <w:rFonts w:ascii="Times New Roman"/>
                <w:sz w:val="16"/>
              </w:rPr>
            </w:pPr>
          </w:p>
        </w:tc>
        <w:tc>
          <w:tcPr>
            <w:tcW w:w="1316" w:type="dxa"/>
            <w:tcBorders>
              <w:top w:val="single" w:sz="8" w:space="0" w:color="000000"/>
            </w:tcBorders>
          </w:tcPr>
          <w:p>
            <w:pPr>
              <w:pStyle w:val="TableParagraph"/>
              <w:rPr>
                <w:rFonts w:ascii="Times New Roman"/>
                <w:sz w:val="16"/>
              </w:rPr>
            </w:pPr>
          </w:p>
        </w:tc>
      </w:tr>
      <w:tr>
        <w:trPr>
          <w:trHeight w:val="255" w:hRule="atLeast"/>
        </w:trPr>
        <w:tc>
          <w:tcPr>
            <w:tcW w:w="6740" w:type="dxa"/>
          </w:tcPr>
          <w:p>
            <w:pPr>
              <w:pStyle w:val="TableParagraph"/>
              <w:spacing w:line="226" w:lineRule="exact" w:before="9"/>
              <w:ind w:left="102"/>
              <w:rPr>
                <w:rFonts w:ascii="Arial" w:hAnsi="Arial"/>
                <w:b/>
                <w:i/>
                <w:sz w:val="20"/>
              </w:rPr>
            </w:pPr>
            <w:r>
              <w:rPr>
                <w:rFonts w:ascii="Arial" w:hAnsi="Arial"/>
                <w:b/>
                <w:i/>
                <w:sz w:val="20"/>
              </w:rPr>
              <w:t>Due</w:t>
            </w:r>
            <w:r>
              <w:rPr>
                <w:rFonts w:ascii="Arial" w:hAnsi="Arial"/>
                <w:b/>
                <w:i/>
                <w:spacing w:val="-4"/>
                <w:sz w:val="20"/>
              </w:rPr>
              <w:t> </w:t>
            </w:r>
            <w:r>
              <w:rPr>
                <w:rFonts w:ascii="Arial" w:hAnsi="Arial"/>
                <w:b/>
                <w:i/>
                <w:sz w:val="20"/>
              </w:rPr>
              <w:t>from</w:t>
            </w:r>
            <w:r>
              <w:rPr>
                <w:rFonts w:ascii="Arial" w:hAnsi="Arial"/>
                <w:b/>
                <w:i/>
                <w:spacing w:val="-4"/>
                <w:sz w:val="20"/>
              </w:rPr>
              <w:t> </w:t>
            </w:r>
            <w:r>
              <w:rPr>
                <w:rFonts w:ascii="Arial" w:hAnsi="Arial"/>
                <w:b/>
                <w:i/>
                <w:sz w:val="20"/>
              </w:rPr>
              <w:t>banks—Notes</w:t>
            </w:r>
            <w:r>
              <w:rPr>
                <w:rFonts w:ascii="Arial" w:hAnsi="Arial"/>
                <w:b/>
                <w:i/>
                <w:spacing w:val="-4"/>
                <w:sz w:val="20"/>
              </w:rPr>
              <w:t> </w:t>
            </w:r>
            <w:r>
              <w:rPr>
                <w:rFonts w:ascii="Arial" w:hAnsi="Arial"/>
                <w:b/>
                <w:i/>
                <w:sz w:val="20"/>
              </w:rPr>
              <w:t>C</w:t>
            </w:r>
            <w:r>
              <w:rPr>
                <w:rFonts w:ascii="Arial" w:hAnsi="Arial"/>
                <w:b/>
                <w:i/>
                <w:spacing w:val="-4"/>
                <w:sz w:val="20"/>
              </w:rPr>
              <w:t> </w:t>
            </w:r>
            <w:r>
              <w:rPr>
                <w:rFonts w:ascii="Arial" w:hAnsi="Arial"/>
                <w:b/>
                <w:i/>
                <w:sz w:val="20"/>
              </w:rPr>
              <w:t>and</w:t>
            </w:r>
            <w:r>
              <w:rPr>
                <w:rFonts w:ascii="Arial" w:hAnsi="Arial"/>
                <w:b/>
                <w:i/>
                <w:spacing w:val="-3"/>
                <w:sz w:val="20"/>
              </w:rPr>
              <w:t> </w:t>
            </w:r>
            <w:r>
              <w:rPr>
                <w:rFonts w:ascii="Arial" w:hAnsi="Arial"/>
                <w:b/>
                <w:i/>
                <w:spacing w:val="-10"/>
                <w:sz w:val="20"/>
              </w:rPr>
              <w:t>L</w:t>
            </w:r>
          </w:p>
        </w:tc>
        <w:tc>
          <w:tcPr>
            <w:tcW w:w="1354" w:type="dxa"/>
          </w:tcPr>
          <w:p>
            <w:pPr>
              <w:pStyle w:val="TableParagraph"/>
              <w:rPr>
                <w:rFonts w:ascii="Times New Roman"/>
                <w:sz w:val="18"/>
              </w:rPr>
            </w:pPr>
          </w:p>
        </w:tc>
        <w:tc>
          <w:tcPr>
            <w:tcW w:w="1316" w:type="dxa"/>
          </w:tcPr>
          <w:p>
            <w:pPr>
              <w:pStyle w:val="TableParagraph"/>
              <w:rPr>
                <w:rFonts w:ascii="Times New Roman"/>
                <w:sz w:val="18"/>
              </w:rPr>
            </w:pPr>
          </w:p>
        </w:tc>
      </w:tr>
      <w:tr>
        <w:trPr>
          <w:trHeight w:val="262" w:hRule="atLeast"/>
        </w:trPr>
        <w:tc>
          <w:tcPr>
            <w:tcW w:w="6740" w:type="dxa"/>
          </w:tcPr>
          <w:p>
            <w:pPr>
              <w:pStyle w:val="TableParagraph"/>
              <w:spacing w:before="9"/>
              <w:ind w:left="282"/>
              <w:rPr>
                <w:sz w:val="20"/>
              </w:rPr>
            </w:pPr>
            <w:r>
              <w:rPr>
                <w:sz w:val="20"/>
              </w:rPr>
              <w:t>Unrestricted</w:t>
            </w:r>
            <w:r>
              <w:rPr>
                <w:spacing w:val="-10"/>
                <w:sz w:val="20"/>
              </w:rPr>
              <w:t> </w:t>
            </w:r>
            <w:r>
              <w:rPr>
                <w:spacing w:val="-4"/>
                <w:sz w:val="20"/>
              </w:rPr>
              <w:t>cash</w:t>
            </w:r>
          </w:p>
        </w:tc>
        <w:tc>
          <w:tcPr>
            <w:tcW w:w="1354" w:type="dxa"/>
          </w:tcPr>
          <w:p>
            <w:pPr>
              <w:pStyle w:val="TableParagraph"/>
              <w:tabs>
                <w:tab w:pos="889" w:val="left" w:leader="none"/>
              </w:tabs>
              <w:spacing w:line="218" w:lineRule="exact" w:before="24"/>
              <w:ind w:left="52"/>
              <w:rPr>
                <w:sz w:val="20"/>
              </w:rPr>
            </w:pPr>
            <w:r>
              <w:rPr>
                <w:spacing w:val="-10"/>
                <w:sz w:val="20"/>
              </w:rPr>
              <w:t>$</w:t>
            </w:r>
            <w:r>
              <w:rPr>
                <w:sz w:val="20"/>
              </w:rPr>
              <w:tab/>
            </w:r>
            <w:r>
              <w:rPr>
                <w:spacing w:val="-5"/>
                <w:sz w:val="20"/>
              </w:rPr>
              <w:t>479</w:t>
            </w:r>
          </w:p>
        </w:tc>
        <w:tc>
          <w:tcPr>
            <w:tcW w:w="1316" w:type="dxa"/>
          </w:tcPr>
          <w:p>
            <w:pPr>
              <w:pStyle w:val="TableParagraph"/>
              <w:tabs>
                <w:tab w:pos="837" w:val="left" w:leader="none"/>
              </w:tabs>
              <w:spacing w:before="9"/>
              <w:ind w:right="79"/>
              <w:jc w:val="right"/>
              <w:rPr>
                <w:sz w:val="20"/>
              </w:rPr>
            </w:pPr>
            <w:r>
              <w:rPr>
                <w:spacing w:val="-10"/>
                <w:sz w:val="20"/>
              </w:rPr>
              <w:t>$</w:t>
            </w:r>
            <w:r>
              <w:rPr>
                <w:sz w:val="20"/>
              </w:rPr>
              <w:tab/>
            </w:r>
            <w:r>
              <w:rPr>
                <w:spacing w:val="-5"/>
                <w:sz w:val="20"/>
              </w:rPr>
              <w:t>392</w:t>
            </w:r>
          </w:p>
        </w:tc>
      </w:tr>
      <w:tr>
        <w:trPr>
          <w:trHeight w:val="251" w:hRule="atLeast"/>
        </w:trPr>
        <w:tc>
          <w:tcPr>
            <w:tcW w:w="6740" w:type="dxa"/>
          </w:tcPr>
          <w:p>
            <w:pPr>
              <w:pStyle w:val="TableParagraph"/>
              <w:spacing w:line="230" w:lineRule="exact" w:before="1"/>
              <w:ind w:left="282"/>
              <w:rPr>
                <w:sz w:val="20"/>
              </w:rPr>
            </w:pPr>
            <w:r>
              <w:rPr>
                <w:sz w:val="20"/>
              </w:rPr>
              <w:t>Restricted</w:t>
            </w:r>
            <w:r>
              <w:rPr>
                <w:spacing w:val="-7"/>
                <w:sz w:val="20"/>
              </w:rPr>
              <w:t> </w:t>
            </w:r>
            <w:r>
              <w:rPr>
                <w:spacing w:val="-4"/>
                <w:sz w:val="20"/>
              </w:rPr>
              <w:t>cash</w:t>
            </w:r>
          </w:p>
        </w:tc>
        <w:tc>
          <w:tcPr>
            <w:tcW w:w="1354" w:type="dxa"/>
            <w:tcBorders>
              <w:bottom w:val="single" w:sz="8" w:space="0" w:color="000000"/>
            </w:tcBorders>
          </w:tcPr>
          <w:p>
            <w:pPr>
              <w:pStyle w:val="TableParagraph"/>
              <w:spacing w:line="214" w:lineRule="exact" w:before="17"/>
              <w:ind w:right="128"/>
              <w:jc w:val="right"/>
              <w:rPr>
                <w:sz w:val="20"/>
              </w:rPr>
            </w:pPr>
            <w:r>
              <w:rPr>
                <w:spacing w:val="-5"/>
                <w:sz w:val="20"/>
              </w:rPr>
              <w:t>68</w:t>
            </w:r>
          </w:p>
        </w:tc>
        <w:tc>
          <w:tcPr>
            <w:tcW w:w="1316" w:type="dxa"/>
            <w:tcBorders>
              <w:bottom w:val="single" w:sz="8" w:space="0" w:color="000000"/>
            </w:tcBorders>
          </w:tcPr>
          <w:p>
            <w:pPr>
              <w:pStyle w:val="TableParagraph"/>
              <w:spacing w:line="230" w:lineRule="exact" w:before="1"/>
              <w:ind w:right="50"/>
              <w:jc w:val="right"/>
              <w:rPr>
                <w:sz w:val="20"/>
              </w:rPr>
            </w:pPr>
            <w:r>
              <w:rPr>
                <w:spacing w:val="-5"/>
                <w:sz w:val="20"/>
              </w:rPr>
              <w:t>87</w:t>
            </w:r>
          </w:p>
        </w:tc>
      </w:tr>
      <w:tr>
        <w:trPr>
          <w:trHeight w:val="235" w:hRule="atLeast"/>
        </w:trPr>
        <w:tc>
          <w:tcPr>
            <w:tcW w:w="6740" w:type="dxa"/>
          </w:tcPr>
          <w:p>
            <w:pPr>
              <w:pStyle w:val="TableParagraph"/>
              <w:rPr>
                <w:rFonts w:ascii="Times New Roman"/>
                <w:sz w:val="16"/>
              </w:rPr>
            </w:pPr>
          </w:p>
        </w:tc>
        <w:tc>
          <w:tcPr>
            <w:tcW w:w="1354" w:type="dxa"/>
            <w:tcBorders>
              <w:top w:val="single" w:sz="8" w:space="0" w:color="000000"/>
              <w:bottom w:val="single" w:sz="8" w:space="0" w:color="000000"/>
            </w:tcBorders>
          </w:tcPr>
          <w:p>
            <w:pPr>
              <w:pStyle w:val="TableParagraph"/>
              <w:spacing w:line="214" w:lineRule="exact"/>
              <w:ind w:right="128"/>
              <w:jc w:val="right"/>
              <w:rPr>
                <w:sz w:val="20"/>
              </w:rPr>
            </w:pPr>
            <w:r>
              <w:rPr>
                <w:spacing w:val="-5"/>
                <w:sz w:val="20"/>
              </w:rPr>
              <w:t>547</w:t>
            </w:r>
          </w:p>
        </w:tc>
        <w:tc>
          <w:tcPr>
            <w:tcW w:w="1316" w:type="dxa"/>
            <w:tcBorders>
              <w:top w:val="single" w:sz="8" w:space="0" w:color="000000"/>
              <w:bottom w:val="single" w:sz="8" w:space="0" w:color="000000"/>
            </w:tcBorders>
          </w:tcPr>
          <w:p>
            <w:pPr>
              <w:pStyle w:val="TableParagraph"/>
              <w:spacing w:line="214" w:lineRule="exact"/>
              <w:ind w:right="79"/>
              <w:jc w:val="right"/>
              <w:rPr>
                <w:sz w:val="20"/>
              </w:rPr>
            </w:pPr>
            <w:r>
              <w:rPr>
                <w:spacing w:val="-5"/>
                <w:sz w:val="20"/>
              </w:rPr>
              <w:t>479</w:t>
            </w:r>
          </w:p>
        </w:tc>
      </w:tr>
      <w:tr>
        <w:trPr>
          <w:trHeight w:val="223" w:hRule="atLeast"/>
        </w:trPr>
        <w:tc>
          <w:tcPr>
            <w:tcW w:w="6740" w:type="dxa"/>
          </w:tcPr>
          <w:p>
            <w:pPr>
              <w:pStyle w:val="TableParagraph"/>
              <w:spacing w:line="198" w:lineRule="exact" w:before="5"/>
              <w:ind w:left="102"/>
              <w:rPr>
                <w:sz w:val="20"/>
              </w:rPr>
            </w:pPr>
            <w:r>
              <w:rPr>
                <w:rFonts w:ascii="Arial"/>
                <w:b/>
                <w:i/>
                <w:sz w:val="20"/>
              </w:rPr>
              <w:t>Investments-Trading</w:t>
            </w:r>
            <w:r>
              <w:rPr>
                <w:rFonts w:ascii="Arial"/>
                <w:b/>
                <w:i/>
                <w:spacing w:val="-11"/>
                <w:sz w:val="20"/>
              </w:rPr>
              <w:t> </w:t>
            </w:r>
            <w:r>
              <w:rPr>
                <w:sz w:val="20"/>
              </w:rPr>
              <w:t>(including</w:t>
            </w:r>
            <w:r>
              <w:rPr>
                <w:spacing w:val="-9"/>
                <w:sz w:val="20"/>
              </w:rPr>
              <w:t> </w:t>
            </w:r>
            <w:r>
              <w:rPr>
                <w:sz w:val="20"/>
              </w:rPr>
              <w:t>securities</w:t>
            </w:r>
            <w:r>
              <w:rPr>
                <w:spacing w:val="-8"/>
                <w:sz w:val="20"/>
              </w:rPr>
              <w:t> </w:t>
            </w:r>
            <w:r>
              <w:rPr>
                <w:sz w:val="20"/>
              </w:rPr>
              <w:t>transferred</w:t>
            </w:r>
            <w:r>
              <w:rPr>
                <w:spacing w:val="-9"/>
                <w:sz w:val="20"/>
              </w:rPr>
              <w:t> </w:t>
            </w:r>
            <w:r>
              <w:rPr>
                <w:sz w:val="20"/>
              </w:rPr>
              <w:t>under</w:t>
            </w:r>
            <w:r>
              <w:rPr>
                <w:spacing w:val="-8"/>
                <w:sz w:val="20"/>
              </w:rPr>
              <w:t> </w:t>
            </w:r>
            <w:r>
              <w:rPr>
                <w:spacing w:val="-2"/>
                <w:sz w:val="20"/>
              </w:rPr>
              <w:t>repurchase</w:t>
            </w:r>
          </w:p>
        </w:tc>
        <w:tc>
          <w:tcPr>
            <w:tcW w:w="1354" w:type="dxa"/>
            <w:tcBorders>
              <w:top w:val="single" w:sz="8" w:space="0" w:color="000000"/>
            </w:tcBorders>
          </w:tcPr>
          <w:p>
            <w:pPr>
              <w:pStyle w:val="TableParagraph"/>
              <w:rPr>
                <w:rFonts w:ascii="Times New Roman"/>
                <w:sz w:val="14"/>
              </w:rPr>
            </w:pPr>
          </w:p>
        </w:tc>
        <w:tc>
          <w:tcPr>
            <w:tcW w:w="1316" w:type="dxa"/>
            <w:tcBorders>
              <w:top w:val="single" w:sz="8" w:space="0" w:color="000000"/>
            </w:tcBorders>
          </w:tcPr>
          <w:p>
            <w:pPr>
              <w:pStyle w:val="TableParagraph"/>
              <w:rPr>
                <w:rFonts w:ascii="Times New Roman"/>
                <w:sz w:val="14"/>
              </w:rPr>
            </w:pPr>
          </w:p>
        </w:tc>
      </w:tr>
      <w:tr>
        <w:trPr>
          <w:trHeight w:val="200" w:hRule="atLeast"/>
        </w:trPr>
        <w:tc>
          <w:tcPr>
            <w:tcW w:w="9410" w:type="dxa"/>
            <w:gridSpan w:val="3"/>
          </w:tcPr>
          <w:p>
            <w:pPr>
              <w:pStyle w:val="TableParagraph"/>
              <w:spacing w:line="180" w:lineRule="exact"/>
              <w:ind w:left="282"/>
              <w:rPr>
                <w:sz w:val="20"/>
              </w:rPr>
            </w:pPr>
            <w:r>
              <w:rPr>
                <w:sz w:val="20"/>
              </w:rPr>
              <w:t>or</w:t>
            </w:r>
            <w:r>
              <w:rPr>
                <w:spacing w:val="-7"/>
                <w:sz w:val="20"/>
              </w:rPr>
              <w:t> </w:t>
            </w:r>
            <w:r>
              <w:rPr>
                <w:sz w:val="20"/>
              </w:rPr>
              <w:t>securities</w:t>
            </w:r>
            <w:r>
              <w:rPr>
                <w:spacing w:val="-5"/>
                <w:sz w:val="20"/>
              </w:rPr>
              <w:t> </w:t>
            </w:r>
            <w:r>
              <w:rPr>
                <w:sz w:val="20"/>
              </w:rPr>
              <w:t>lending</w:t>
            </w:r>
            <w:r>
              <w:rPr>
                <w:spacing w:val="-5"/>
                <w:sz w:val="20"/>
              </w:rPr>
              <w:t> </w:t>
            </w:r>
            <w:r>
              <w:rPr>
                <w:sz w:val="20"/>
              </w:rPr>
              <w:t>agreements</w:t>
            </w:r>
            <w:r>
              <w:rPr>
                <w:spacing w:val="-5"/>
                <w:sz w:val="20"/>
              </w:rPr>
              <w:t> </w:t>
            </w:r>
            <w:r>
              <w:rPr>
                <w:sz w:val="20"/>
              </w:rPr>
              <w:t>of</w:t>
            </w:r>
            <w:r>
              <w:rPr>
                <w:spacing w:val="-5"/>
                <w:sz w:val="20"/>
              </w:rPr>
              <w:t> </w:t>
            </w:r>
            <w:r>
              <w:rPr>
                <w:sz w:val="20"/>
              </w:rPr>
              <w:t>$9</w:t>
            </w:r>
            <w:r>
              <w:rPr>
                <w:spacing w:val="-5"/>
                <w:sz w:val="20"/>
              </w:rPr>
              <w:t> </w:t>
            </w:r>
            <w:r>
              <w:rPr>
                <w:sz w:val="20"/>
              </w:rPr>
              <w:t>million—June</w:t>
            </w:r>
            <w:r>
              <w:rPr>
                <w:spacing w:val="-5"/>
                <w:sz w:val="20"/>
              </w:rPr>
              <w:t> </w:t>
            </w:r>
            <w:r>
              <w:rPr>
                <w:sz w:val="20"/>
              </w:rPr>
              <w:t>30,</w:t>
            </w:r>
            <w:r>
              <w:rPr>
                <w:spacing w:val="-5"/>
                <w:sz w:val="20"/>
              </w:rPr>
              <w:t> </w:t>
            </w:r>
            <w:r>
              <w:rPr>
                <w:sz w:val="20"/>
              </w:rPr>
              <w:t>2023;</w:t>
            </w:r>
            <w:r>
              <w:rPr>
                <w:spacing w:val="-5"/>
                <w:sz w:val="20"/>
              </w:rPr>
              <w:t> $36</w:t>
            </w:r>
          </w:p>
        </w:tc>
      </w:tr>
      <w:tr>
        <w:trPr>
          <w:trHeight w:val="287" w:hRule="atLeast"/>
        </w:trPr>
        <w:tc>
          <w:tcPr>
            <w:tcW w:w="6740" w:type="dxa"/>
          </w:tcPr>
          <w:p>
            <w:pPr>
              <w:pStyle w:val="TableParagraph"/>
              <w:spacing w:line="212" w:lineRule="exact"/>
              <w:ind w:left="282"/>
              <w:rPr>
                <w:rFonts w:ascii="Arial" w:hAnsi="Arial"/>
                <w:i/>
                <w:sz w:val="20"/>
              </w:rPr>
            </w:pPr>
            <w:r>
              <w:rPr>
                <w:sz w:val="20"/>
              </w:rPr>
              <w:t>million—June</w:t>
            </w:r>
            <w:r>
              <w:rPr>
                <w:spacing w:val="-7"/>
                <w:sz w:val="20"/>
              </w:rPr>
              <w:t> </w:t>
            </w:r>
            <w:r>
              <w:rPr>
                <w:sz w:val="20"/>
              </w:rPr>
              <w:t>30,</w:t>
            </w:r>
            <w:r>
              <w:rPr>
                <w:spacing w:val="-5"/>
                <w:sz w:val="20"/>
              </w:rPr>
              <w:t> </w:t>
            </w:r>
            <w:r>
              <w:rPr>
                <w:sz w:val="20"/>
              </w:rPr>
              <w:t>2022)—</w:t>
            </w:r>
            <w:r>
              <w:rPr>
                <w:rFonts w:ascii="Arial" w:hAnsi="Arial"/>
                <w:i/>
                <w:sz w:val="20"/>
              </w:rPr>
              <w:t>Notes</w:t>
            </w:r>
            <w:r>
              <w:rPr>
                <w:rFonts w:ascii="Arial" w:hAnsi="Arial"/>
                <w:i/>
                <w:spacing w:val="-5"/>
                <w:sz w:val="20"/>
              </w:rPr>
              <w:t> </w:t>
            </w:r>
            <w:r>
              <w:rPr>
                <w:rFonts w:ascii="Arial" w:hAnsi="Arial"/>
                <w:i/>
                <w:sz w:val="20"/>
              </w:rPr>
              <w:t>C</w:t>
            </w:r>
            <w:r>
              <w:rPr>
                <w:rFonts w:ascii="Arial" w:hAnsi="Arial"/>
                <w:i/>
                <w:spacing w:val="-5"/>
                <w:sz w:val="20"/>
              </w:rPr>
              <w:t> </w:t>
            </w:r>
            <w:r>
              <w:rPr>
                <w:rFonts w:ascii="Arial" w:hAnsi="Arial"/>
                <w:i/>
                <w:sz w:val="20"/>
              </w:rPr>
              <w:t>and</w:t>
            </w:r>
            <w:r>
              <w:rPr>
                <w:rFonts w:ascii="Arial" w:hAnsi="Arial"/>
                <w:i/>
                <w:spacing w:val="-5"/>
                <w:sz w:val="20"/>
              </w:rPr>
              <w:t> </w:t>
            </w:r>
            <w:r>
              <w:rPr>
                <w:rFonts w:ascii="Arial" w:hAnsi="Arial"/>
                <w:i/>
                <w:spacing w:val="-10"/>
                <w:sz w:val="20"/>
              </w:rPr>
              <w:t>L</w:t>
            </w:r>
          </w:p>
        </w:tc>
        <w:tc>
          <w:tcPr>
            <w:tcW w:w="1354" w:type="dxa"/>
          </w:tcPr>
          <w:p>
            <w:pPr>
              <w:pStyle w:val="TableParagraph"/>
              <w:spacing w:line="212" w:lineRule="exact"/>
              <w:ind w:right="128"/>
              <w:jc w:val="right"/>
              <w:rPr>
                <w:sz w:val="20"/>
              </w:rPr>
            </w:pPr>
            <w:r>
              <w:rPr>
                <w:spacing w:val="-2"/>
                <w:sz w:val="20"/>
              </w:rPr>
              <w:t>79,199</w:t>
            </w:r>
          </w:p>
        </w:tc>
        <w:tc>
          <w:tcPr>
            <w:tcW w:w="1316" w:type="dxa"/>
          </w:tcPr>
          <w:p>
            <w:pPr>
              <w:pStyle w:val="TableParagraph"/>
              <w:spacing w:line="212" w:lineRule="exact"/>
              <w:ind w:right="79"/>
              <w:jc w:val="right"/>
              <w:rPr>
                <w:sz w:val="20"/>
              </w:rPr>
            </w:pPr>
            <w:r>
              <w:rPr>
                <w:spacing w:val="-2"/>
                <w:sz w:val="20"/>
              </w:rPr>
              <w:t>81,783</w:t>
            </w:r>
          </w:p>
        </w:tc>
      </w:tr>
      <w:tr>
        <w:trPr>
          <w:trHeight w:val="360" w:hRule="atLeast"/>
        </w:trPr>
        <w:tc>
          <w:tcPr>
            <w:tcW w:w="6740" w:type="dxa"/>
          </w:tcPr>
          <w:p>
            <w:pPr>
              <w:pStyle w:val="TableParagraph"/>
              <w:spacing w:before="69"/>
              <w:ind w:left="102"/>
              <w:rPr>
                <w:rFonts w:ascii="Arial" w:hAnsi="Arial"/>
                <w:b/>
                <w:i/>
                <w:sz w:val="20"/>
              </w:rPr>
            </w:pPr>
            <w:r>
              <w:rPr>
                <w:rFonts w:ascii="Arial" w:hAnsi="Arial"/>
                <w:b/>
                <w:i/>
                <w:sz w:val="20"/>
              </w:rPr>
              <w:t>Securities</w:t>
            </w:r>
            <w:r>
              <w:rPr>
                <w:rFonts w:ascii="Arial" w:hAnsi="Arial"/>
                <w:b/>
                <w:i/>
                <w:spacing w:val="-9"/>
                <w:sz w:val="20"/>
              </w:rPr>
              <w:t> </w:t>
            </w:r>
            <w:r>
              <w:rPr>
                <w:rFonts w:ascii="Arial" w:hAnsi="Arial"/>
                <w:b/>
                <w:i/>
                <w:sz w:val="20"/>
              </w:rPr>
              <w:t>purchased</w:t>
            </w:r>
            <w:r>
              <w:rPr>
                <w:rFonts w:ascii="Arial" w:hAnsi="Arial"/>
                <w:b/>
                <w:i/>
                <w:spacing w:val="-7"/>
                <w:sz w:val="20"/>
              </w:rPr>
              <w:t> </w:t>
            </w:r>
            <w:r>
              <w:rPr>
                <w:rFonts w:ascii="Arial" w:hAnsi="Arial"/>
                <w:b/>
                <w:i/>
                <w:sz w:val="20"/>
              </w:rPr>
              <w:t>under</w:t>
            </w:r>
            <w:r>
              <w:rPr>
                <w:rFonts w:ascii="Arial" w:hAnsi="Arial"/>
                <w:b/>
                <w:i/>
                <w:spacing w:val="-6"/>
                <w:sz w:val="20"/>
              </w:rPr>
              <w:t> </w:t>
            </w:r>
            <w:r>
              <w:rPr>
                <w:rFonts w:ascii="Arial" w:hAnsi="Arial"/>
                <w:b/>
                <w:i/>
                <w:sz w:val="20"/>
              </w:rPr>
              <w:t>resale</w:t>
            </w:r>
            <w:r>
              <w:rPr>
                <w:rFonts w:ascii="Arial" w:hAnsi="Arial"/>
                <w:b/>
                <w:i/>
                <w:spacing w:val="-7"/>
                <w:sz w:val="20"/>
              </w:rPr>
              <w:t> </w:t>
            </w:r>
            <w:r>
              <w:rPr>
                <w:rFonts w:ascii="Arial" w:hAnsi="Arial"/>
                <w:b/>
                <w:i/>
                <w:sz w:val="20"/>
              </w:rPr>
              <w:t>agreements—Notes</w:t>
            </w:r>
            <w:r>
              <w:rPr>
                <w:rFonts w:ascii="Arial" w:hAnsi="Arial"/>
                <w:b/>
                <w:i/>
                <w:spacing w:val="-6"/>
                <w:sz w:val="20"/>
              </w:rPr>
              <w:t> </w:t>
            </w:r>
            <w:r>
              <w:rPr>
                <w:rFonts w:ascii="Arial" w:hAnsi="Arial"/>
                <w:b/>
                <w:i/>
                <w:sz w:val="20"/>
              </w:rPr>
              <w:t>C</w:t>
            </w:r>
            <w:r>
              <w:rPr>
                <w:rFonts w:ascii="Arial" w:hAnsi="Arial"/>
                <w:b/>
                <w:i/>
                <w:spacing w:val="-7"/>
                <w:sz w:val="20"/>
              </w:rPr>
              <w:t> </w:t>
            </w:r>
            <w:r>
              <w:rPr>
                <w:rFonts w:ascii="Arial" w:hAnsi="Arial"/>
                <w:b/>
                <w:i/>
                <w:sz w:val="20"/>
              </w:rPr>
              <w:t>and</w:t>
            </w:r>
            <w:r>
              <w:rPr>
                <w:rFonts w:ascii="Arial" w:hAnsi="Arial"/>
                <w:b/>
                <w:i/>
                <w:spacing w:val="-6"/>
                <w:sz w:val="20"/>
              </w:rPr>
              <w:t> </w:t>
            </w:r>
            <w:r>
              <w:rPr>
                <w:rFonts w:ascii="Arial" w:hAnsi="Arial"/>
                <w:b/>
                <w:i/>
                <w:spacing w:val="-10"/>
                <w:sz w:val="20"/>
              </w:rPr>
              <w:t>L</w:t>
            </w:r>
          </w:p>
        </w:tc>
        <w:tc>
          <w:tcPr>
            <w:tcW w:w="1354" w:type="dxa"/>
          </w:tcPr>
          <w:p>
            <w:pPr>
              <w:pStyle w:val="TableParagraph"/>
              <w:spacing w:before="84"/>
              <w:ind w:right="128"/>
              <w:jc w:val="right"/>
              <w:rPr>
                <w:sz w:val="20"/>
              </w:rPr>
            </w:pPr>
            <w:r>
              <w:rPr>
                <w:spacing w:val="-5"/>
                <w:sz w:val="20"/>
              </w:rPr>
              <w:t>78</w:t>
            </w:r>
          </w:p>
        </w:tc>
        <w:tc>
          <w:tcPr>
            <w:tcW w:w="1316" w:type="dxa"/>
          </w:tcPr>
          <w:p>
            <w:pPr>
              <w:pStyle w:val="TableParagraph"/>
              <w:spacing w:before="84"/>
              <w:ind w:right="79"/>
              <w:jc w:val="right"/>
              <w:rPr>
                <w:sz w:val="20"/>
              </w:rPr>
            </w:pPr>
            <w:r>
              <w:rPr>
                <w:spacing w:val="-5"/>
                <w:sz w:val="20"/>
              </w:rPr>
              <w:t>37</w:t>
            </w:r>
          </w:p>
        </w:tc>
      </w:tr>
      <w:tr>
        <w:trPr>
          <w:trHeight w:val="374" w:hRule="atLeast"/>
        </w:trPr>
        <w:tc>
          <w:tcPr>
            <w:tcW w:w="6740" w:type="dxa"/>
          </w:tcPr>
          <w:p>
            <w:pPr>
              <w:pStyle w:val="TableParagraph"/>
              <w:spacing w:before="39"/>
              <w:ind w:left="102"/>
              <w:rPr>
                <w:rFonts w:ascii="Arial" w:hAnsi="Arial"/>
                <w:b/>
                <w:i/>
                <w:sz w:val="20"/>
              </w:rPr>
            </w:pPr>
            <w:r>
              <w:rPr>
                <w:rFonts w:ascii="Arial" w:hAnsi="Arial"/>
                <w:b/>
                <w:i/>
                <w:sz w:val="20"/>
              </w:rPr>
              <w:t>Derivative</w:t>
            </w:r>
            <w:r>
              <w:rPr>
                <w:rFonts w:ascii="Arial" w:hAnsi="Arial"/>
                <w:b/>
                <w:i/>
                <w:spacing w:val="-7"/>
                <w:sz w:val="20"/>
              </w:rPr>
              <w:t> </w:t>
            </w:r>
            <w:r>
              <w:rPr>
                <w:rFonts w:ascii="Arial" w:hAnsi="Arial"/>
                <w:b/>
                <w:i/>
                <w:sz w:val="20"/>
              </w:rPr>
              <w:t>assets,</w:t>
            </w:r>
            <w:r>
              <w:rPr>
                <w:rFonts w:ascii="Arial" w:hAnsi="Arial"/>
                <w:b/>
                <w:i/>
                <w:spacing w:val="-4"/>
                <w:sz w:val="20"/>
              </w:rPr>
              <w:t> </w:t>
            </w:r>
            <w:r>
              <w:rPr>
                <w:rFonts w:ascii="Arial" w:hAnsi="Arial"/>
                <w:b/>
                <w:i/>
                <w:sz w:val="20"/>
              </w:rPr>
              <w:t>net—Notes</w:t>
            </w:r>
            <w:r>
              <w:rPr>
                <w:rFonts w:ascii="Arial" w:hAnsi="Arial"/>
                <w:b/>
                <w:i/>
                <w:spacing w:val="-5"/>
                <w:sz w:val="20"/>
              </w:rPr>
              <w:t> </w:t>
            </w:r>
            <w:r>
              <w:rPr>
                <w:rFonts w:ascii="Arial" w:hAnsi="Arial"/>
                <w:b/>
                <w:i/>
                <w:sz w:val="20"/>
              </w:rPr>
              <w:t>C,</w:t>
            </w:r>
            <w:r>
              <w:rPr>
                <w:rFonts w:ascii="Arial" w:hAnsi="Arial"/>
                <w:b/>
                <w:i/>
                <w:spacing w:val="-4"/>
                <w:sz w:val="20"/>
              </w:rPr>
              <w:t> </w:t>
            </w:r>
            <w:r>
              <w:rPr>
                <w:rFonts w:ascii="Arial" w:hAnsi="Arial"/>
                <w:b/>
                <w:i/>
                <w:sz w:val="20"/>
              </w:rPr>
              <w:t>F</w:t>
            </w:r>
            <w:r>
              <w:rPr>
                <w:rFonts w:ascii="Arial" w:hAnsi="Arial"/>
                <w:b/>
                <w:i/>
                <w:spacing w:val="-5"/>
                <w:sz w:val="20"/>
              </w:rPr>
              <w:t> </w:t>
            </w:r>
            <w:r>
              <w:rPr>
                <w:rFonts w:ascii="Arial" w:hAnsi="Arial"/>
                <w:b/>
                <w:i/>
                <w:sz w:val="20"/>
              </w:rPr>
              <w:t>and</w:t>
            </w:r>
            <w:r>
              <w:rPr>
                <w:rFonts w:ascii="Arial" w:hAnsi="Arial"/>
                <w:b/>
                <w:i/>
                <w:spacing w:val="-4"/>
                <w:sz w:val="20"/>
              </w:rPr>
              <w:t> </w:t>
            </w:r>
            <w:r>
              <w:rPr>
                <w:rFonts w:ascii="Arial" w:hAnsi="Arial"/>
                <w:b/>
                <w:i/>
                <w:spacing w:val="-10"/>
                <w:sz w:val="20"/>
              </w:rPr>
              <w:t>L</w:t>
            </w:r>
          </w:p>
        </w:tc>
        <w:tc>
          <w:tcPr>
            <w:tcW w:w="1354" w:type="dxa"/>
          </w:tcPr>
          <w:p>
            <w:pPr>
              <w:pStyle w:val="TableParagraph"/>
              <w:spacing w:before="54"/>
              <w:ind w:right="128"/>
              <w:jc w:val="right"/>
              <w:rPr>
                <w:sz w:val="20"/>
              </w:rPr>
            </w:pPr>
            <w:r>
              <w:rPr>
                <w:spacing w:val="-5"/>
                <w:sz w:val="20"/>
              </w:rPr>
              <w:t>271</w:t>
            </w:r>
          </w:p>
        </w:tc>
        <w:tc>
          <w:tcPr>
            <w:tcW w:w="1316" w:type="dxa"/>
          </w:tcPr>
          <w:p>
            <w:pPr>
              <w:pStyle w:val="TableParagraph"/>
              <w:spacing w:before="54"/>
              <w:ind w:right="79"/>
              <w:jc w:val="right"/>
              <w:rPr>
                <w:sz w:val="20"/>
              </w:rPr>
            </w:pPr>
            <w:r>
              <w:rPr>
                <w:spacing w:val="-5"/>
                <w:sz w:val="20"/>
              </w:rPr>
              <w:t>804</w:t>
            </w:r>
          </w:p>
        </w:tc>
      </w:tr>
      <w:tr>
        <w:trPr>
          <w:trHeight w:val="329" w:hRule="atLeast"/>
        </w:trPr>
        <w:tc>
          <w:tcPr>
            <w:tcW w:w="6740" w:type="dxa"/>
          </w:tcPr>
          <w:p>
            <w:pPr>
              <w:pStyle w:val="TableParagraph"/>
              <w:spacing w:line="226" w:lineRule="exact" w:before="84"/>
              <w:ind w:left="102"/>
              <w:rPr>
                <w:rFonts w:ascii="Arial"/>
                <w:b/>
                <w:i/>
                <w:sz w:val="20"/>
              </w:rPr>
            </w:pPr>
            <w:r>
              <w:rPr>
                <w:rFonts w:ascii="Arial"/>
                <w:b/>
                <w:i/>
                <w:sz w:val="20"/>
              </w:rPr>
              <w:t>Other</w:t>
            </w:r>
            <w:r>
              <w:rPr>
                <w:rFonts w:ascii="Arial"/>
                <w:b/>
                <w:i/>
                <w:spacing w:val="-4"/>
                <w:sz w:val="20"/>
              </w:rPr>
              <w:t> </w:t>
            </w:r>
            <w:r>
              <w:rPr>
                <w:rFonts w:ascii="Arial"/>
                <w:b/>
                <w:i/>
                <w:spacing w:val="-2"/>
                <w:sz w:val="20"/>
              </w:rPr>
              <w:t>receivables</w:t>
            </w:r>
          </w:p>
        </w:tc>
        <w:tc>
          <w:tcPr>
            <w:tcW w:w="1354" w:type="dxa"/>
          </w:tcPr>
          <w:p>
            <w:pPr>
              <w:pStyle w:val="TableParagraph"/>
              <w:rPr>
                <w:rFonts w:ascii="Times New Roman"/>
                <w:sz w:val="20"/>
              </w:rPr>
            </w:pPr>
          </w:p>
        </w:tc>
        <w:tc>
          <w:tcPr>
            <w:tcW w:w="1316" w:type="dxa"/>
          </w:tcPr>
          <w:p>
            <w:pPr>
              <w:pStyle w:val="TableParagraph"/>
              <w:rPr>
                <w:rFonts w:ascii="Times New Roman"/>
                <w:sz w:val="20"/>
              </w:rPr>
            </w:pPr>
          </w:p>
        </w:tc>
      </w:tr>
      <w:tr>
        <w:trPr>
          <w:trHeight w:val="262" w:hRule="atLeast"/>
        </w:trPr>
        <w:tc>
          <w:tcPr>
            <w:tcW w:w="6740" w:type="dxa"/>
          </w:tcPr>
          <w:p>
            <w:pPr>
              <w:pStyle w:val="TableParagraph"/>
              <w:spacing w:before="9"/>
              <w:ind w:left="282"/>
              <w:rPr>
                <w:rFonts w:ascii="Arial" w:hAnsi="Arial"/>
                <w:i/>
                <w:sz w:val="20"/>
              </w:rPr>
            </w:pPr>
            <w:r>
              <w:rPr>
                <w:sz w:val="20"/>
              </w:rPr>
              <w:t>Receivable</w:t>
            </w:r>
            <w:r>
              <w:rPr>
                <w:spacing w:val="-9"/>
                <w:sz w:val="20"/>
              </w:rPr>
              <w:t> </w:t>
            </w:r>
            <w:r>
              <w:rPr>
                <w:sz w:val="20"/>
              </w:rPr>
              <w:t>from</w:t>
            </w:r>
            <w:r>
              <w:rPr>
                <w:spacing w:val="-7"/>
                <w:sz w:val="20"/>
              </w:rPr>
              <w:t> </w:t>
            </w:r>
            <w:r>
              <w:rPr>
                <w:sz w:val="20"/>
              </w:rPr>
              <w:t>investment</w:t>
            </w:r>
            <w:r>
              <w:rPr>
                <w:spacing w:val="-7"/>
                <w:sz w:val="20"/>
              </w:rPr>
              <w:t> </w:t>
            </w:r>
            <w:r>
              <w:rPr>
                <w:sz w:val="20"/>
              </w:rPr>
              <w:t>securities</w:t>
            </w:r>
            <w:r>
              <w:rPr>
                <w:spacing w:val="-7"/>
                <w:sz w:val="20"/>
              </w:rPr>
              <w:t> </w:t>
            </w:r>
            <w:r>
              <w:rPr>
                <w:sz w:val="20"/>
              </w:rPr>
              <w:t>traded—</w:t>
            </w:r>
            <w:r>
              <w:rPr>
                <w:rFonts w:ascii="Arial" w:hAnsi="Arial"/>
                <w:i/>
                <w:sz w:val="20"/>
              </w:rPr>
              <w:t>Note</w:t>
            </w:r>
            <w:r>
              <w:rPr>
                <w:rFonts w:ascii="Arial" w:hAnsi="Arial"/>
                <w:i/>
                <w:spacing w:val="-6"/>
                <w:sz w:val="20"/>
              </w:rPr>
              <w:t> </w:t>
            </w:r>
            <w:r>
              <w:rPr>
                <w:rFonts w:ascii="Arial" w:hAnsi="Arial"/>
                <w:i/>
                <w:spacing w:val="-10"/>
                <w:sz w:val="20"/>
              </w:rPr>
              <w:t>C</w:t>
            </w:r>
          </w:p>
        </w:tc>
        <w:tc>
          <w:tcPr>
            <w:tcW w:w="1354" w:type="dxa"/>
          </w:tcPr>
          <w:p>
            <w:pPr>
              <w:pStyle w:val="TableParagraph"/>
              <w:spacing w:line="218" w:lineRule="exact" w:before="24"/>
              <w:ind w:right="128"/>
              <w:jc w:val="right"/>
              <w:rPr>
                <w:sz w:val="20"/>
              </w:rPr>
            </w:pPr>
            <w:r>
              <w:rPr>
                <w:spacing w:val="-5"/>
                <w:sz w:val="20"/>
              </w:rPr>
              <w:t>102</w:t>
            </w:r>
          </w:p>
        </w:tc>
        <w:tc>
          <w:tcPr>
            <w:tcW w:w="1316" w:type="dxa"/>
          </w:tcPr>
          <w:p>
            <w:pPr>
              <w:pStyle w:val="TableParagraph"/>
              <w:spacing w:line="218" w:lineRule="exact" w:before="24"/>
              <w:ind w:right="79"/>
              <w:jc w:val="right"/>
              <w:rPr>
                <w:sz w:val="20"/>
              </w:rPr>
            </w:pPr>
            <w:r>
              <w:rPr>
                <w:spacing w:val="-5"/>
                <w:sz w:val="20"/>
              </w:rPr>
              <w:t>103</w:t>
            </w:r>
          </w:p>
        </w:tc>
      </w:tr>
      <w:tr>
        <w:trPr>
          <w:trHeight w:val="251" w:hRule="atLeast"/>
        </w:trPr>
        <w:tc>
          <w:tcPr>
            <w:tcW w:w="6740" w:type="dxa"/>
          </w:tcPr>
          <w:p>
            <w:pPr>
              <w:pStyle w:val="TableParagraph"/>
              <w:spacing w:line="230" w:lineRule="exact" w:before="1"/>
              <w:ind w:left="282"/>
              <w:rPr>
                <w:rFonts w:ascii="Arial" w:hAnsi="Arial"/>
                <w:i/>
                <w:sz w:val="20"/>
              </w:rPr>
            </w:pPr>
            <w:r>
              <w:rPr>
                <w:sz w:val="20"/>
              </w:rPr>
              <w:t>Accrued</w:t>
            </w:r>
            <w:r>
              <w:rPr>
                <w:spacing w:val="-6"/>
                <w:sz w:val="20"/>
              </w:rPr>
              <w:t> </w:t>
            </w:r>
            <w:r>
              <w:rPr>
                <w:sz w:val="20"/>
              </w:rPr>
              <w:t>income</w:t>
            </w:r>
            <w:r>
              <w:rPr>
                <w:spacing w:val="-5"/>
                <w:sz w:val="20"/>
              </w:rPr>
              <w:t> </w:t>
            </w:r>
            <w:r>
              <w:rPr>
                <w:sz w:val="20"/>
              </w:rPr>
              <w:t>on</w:t>
            </w:r>
            <w:r>
              <w:rPr>
                <w:spacing w:val="-5"/>
                <w:sz w:val="20"/>
              </w:rPr>
              <w:t> </w:t>
            </w:r>
            <w:r>
              <w:rPr>
                <w:sz w:val="20"/>
              </w:rPr>
              <w:t>loans</w:t>
            </w:r>
            <w:r>
              <w:rPr>
                <w:spacing w:val="-5"/>
                <w:sz w:val="20"/>
              </w:rPr>
              <w:t> </w:t>
            </w:r>
            <w:r>
              <w:rPr>
                <w:sz w:val="20"/>
              </w:rPr>
              <w:t>and</w:t>
            </w:r>
            <w:r>
              <w:rPr>
                <w:spacing w:val="-5"/>
                <w:sz w:val="20"/>
              </w:rPr>
              <w:t> </w:t>
            </w:r>
            <w:r>
              <w:rPr>
                <w:sz w:val="20"/>
              </w:rPr>
              <w:t>guarantee</w:t>
            </w:r>
            <w:r>
              <w:rPr>
                <w:spacing w:val="-5"/>
                <w:sz w:val="20"/>
              </w:rPr>
              <w:t> </w:t>
            </w:r>
            <w:r>
              <w:rPr>
                <w:sz w:val="20"/>
              </w:rPr>
              <w:t>fees</w:t>
            </w:r>
            <w:r>
              <w:rPr>
                <w:spacing w:val="-5"/>
                <w:sz w:val="20"/>
              </w:rPr>
              <w:t> </w:t>
            </w:r>
            <w:r>
              <w:rPr>
                <w:sz w:val="20"/>
              </w:rPr>
              <w:t>receivable—</w:t>
            </w:r>
            <w:r>
              <w:rPr>
                <w:rFonts w:ascii="Arial" w:hAnsi="Arial"/>
                <w:i/>
                <w:sz w:val="20"/>
              </w:rPr>
              <w:t>Note</w:t>
            </w:r>
            <w:r>
              <w:rPr>
                <w:rFonts w:ascii="Arial" w:hAnsi="Arial"/>
                <w:i/>
                <w:spacing w:val="-5"/>
                <w:sz w:val="20"/>
              </w:rPr>
              <w:t> </w:t>
            </w:r>
            <w:r>
              <w:rPr>
                <w:rFonts w:ascii="Arial" w:hAnsi="Arial"/>
                <w:i/>
                <w:spacing w:val="-10"/>
                <w:sz w:val="20"/>
              </w:rPr>
              <w:t>D</w:t>
            </w:r>
          </w:p>
        </w:tc>
        <w:tc>
          <w:tcPr>
            <w:tcW w:w="1354" w:type="dxa"/>
            <w:tcBorders>
              <w:bottom w:val="single" w:sz="8" w:space="0" w:color="000000"/>
            </w:tcBorders>
          </w:tcPr>
          <w:p>
            <w:pPr>
              <w:pStyle w:val="TableParagraph"/>
              <w:spacing w:line="214" w:lineRule="exact" w:before="17"/>
              <w:ind w:right="128"/>
              <w:jc w:val="right"/>
              <w:rPr>
                <w:sz w:val="20"/>
              </w:rPr>
            </w:pPr>
            <w:r>
              <w:rPr>
                <w:spacing w:val="-2"/>
                <w:sz w:val="20"/>
              </w:rPr>
              <w:t>3,416</w:t>
            </w:r>
          </w:p>
        </w:tc>
        <w:tc>
          <w:tcPr>
            <w:tcW w:w="1316" w:type="dxa"/>
            <w:tcBorders>
              <w:bottom w:val="single" w:sz="8" w:space="0" w:color="000000"/>
            </w:tcBorders>
          </w:tcPr>
          <w:p>
            <w:pPr>
              <w:pStyle w:val="TableParagraph"/>
              <w:spacing w:line="214" w:lineRule="exact" w:before="17"/>
              <w:ind w:right="79"/>
              <w:jc w:val="right"/>
              <w:rPr>
                <w:sz w:val="20"/>
              </w:rPr>
            </w:pPr>
            <w:r>
              <w:rPr>
                <w:spacing w:val="-2"/>
                <w:sz w:val="20"/>
              </w:rPr>
              <w:t>1,328</w:t>
            </w:r>
          </w:p>
        </w:tc>
      </w:tr>
      <w:tr>
        <w:trPr>
          <w:trHeight w:val="235" w:hRule="atLeast"/>
        </w:trPr>
        <w:tc>
          <w:tcPr>
            <w:tcW w:w="6740" w:type="dxa"/>
          </w:tcPr>
          <w:p>
            <w:pPr>
              <w:pStyle w:val="TableParagraph"/>
              <w:rPr>
                <w:rFonts w:ascii="Times New Roman"/>
                <w:sz w:val="16"/>
              </w:rPr>
            </w:pPr>
          </w:p>
        </w:tc>
        <w:tc>
          <w:tcPr>
            <w:tcW w:w="1354" w:type="dxa"/>
            <w:tcBorders>
              <w:top w:val="single" w:sz="8" w:space="0" w:color="000000"/>
              <w:bottom w:val="single" w:sz="8" w:space="0" w:color="000000"/>
            </w:tcBorders>
          </w:tcPr>
          <w:p>
            <w:pPr>
              <w:pStyle w:val="TableParagraph"/>
              <w:spacing w:line="214" w:lineRule="exact"/>
              <w:ind w:right="128"/>
              <w:jc w:val="right"/>
              <w:rPr>
                <w:sz w:val="20"/>
              </w:rPr>
            </w:pPr>
            <w:r>
              <w:rPr>
                <w:spacing w:val="-2"/>
                <w:sz w:val="20"/>
              </w:rPr>
              <w:t>3,518</w:t>
            </w:r>
          </w:p>
        </w:tc>
        <w:tc>
          <w:tcPr>
            <w:tcW w:w="1316" w:type="dxa"/>
            <w:tcBorders>
              <w:top w:val="single" w:sz="8" w:space="0" w:color="000000"/>
              <w:bottom w:val="single" w:sz="8" w:space="0" w:color="000000"/>
            </w:tcBorders>
          </w:tcPr>
          <w:p>
            <w:pPr>
              <w:pStyle w:val="TableParagraph"/>
              <w:spacing w:line="214" w:lineRule="exact"/>
              <w:ind w:right="79"/>
              <w:jc w:val="right"/>
              <w:rPr>
                <w:sz w:val="20"/>
              </w:rPr>
            </w:pPr>
            <w:r>
              <w:rPr>
                <w:spacing w:val="-2"/>
                <w:sz w:val="20"/>
              </w:rPr>
              <w:t>1,431</w:t>
            </w:r>
          </w:p>
        </w:tc>
      </w:tr>
      <w:tr>
        <w:trPr>
          <w:trHeight w:val="231" w:hRule="atLeast"/>
        </w:trPr>
        <w:tc>
          <w:tcPr>
            <w:tcW w:w="6740" w:type="dxa"/>
          </w:tcPr>
          <w:p>
            <w:pPr>
              <w:pStyle w:val="TableParagraph"/>
              <w:spacing w:line="211" w:lineRule="exact"/>
              <w:ind w:left="102"/>
              <w:rPr>
                <w:rFonts w:ascii="Arial"/>
                <w:b/>
                <w:i/>
                <w:sz w:val="20"/>
              </w:rPr>
            </w:pPr>
            <w:r>
              <w:rPr>
                <w:rFonts w:ascii="Arial"/>
                <w:b/>
                <w:i/>
                <w:sz w:val="20"/>
              </w:rPr>
              <w:t>Loans</w:t>
            </w:r>
            <w:r>
              <w:rPr>
                <w:rFonts w:ascii="Arial"/>
                <w:b/>
                <w:i/>
                <w:spacing w:val="-7"/>
                <w:sz w:val="20"/>
              </w:rPr>
              <w:t> </w:t>
            </w:r>
            <w:r>
              <w:rPr>
                <w:rFonts w:ascii="Arial"/>
                <w:b/>
                <w:i/>
                <w:sz w:val="20"/>
              </w:rPr>
              <w:t>outstanding</w:t>
            </w:r>
            <w:r>
              <w:rPr>
                <w:rFonts w:ascii="Arial"/>
                <w:b/>
                <w:i/>
                <w:spacing w:val="-5"/>
                <w:sz w:val="20"/>
              </w:rPr>
              <w:t> </w:t>
            </w:r>
            <w:r>
              <w:rPr>
                <w:rFonts w:ascii="Arial"/>
                <w:b/>
                <w:i/>
                <w:sz w:val="20"/>
              </w:rPr>
              <w:t>(Summary</w:t>
            </w:r>
            <w:r>
              <w:rPr>
                <w:rFonts w:ascii="Arial"/>
                <w:b/>
                <w:i/>
                <w:spacing w:val="-4"/>
                <w:sz w:val="20"/>
              </w:rPr>
              <w:t> </w:t>
            </w:r>
            <w:r>
              <w:rPr>
                <w:rFonts w:ascii="Arial"/>
                <w:b/>
                <w:i/>
                <w:sz w:val="20"/>
              </w:rPr>
              <w:t>Statement</w:t>
            </w:r>
            <w:r>
              <w:rPr>
                <w:rFonts w:ascii="Arial"/>
                <w:b/>
                <w:i/>
                <w:spacing w:val="-5"/>
                <w:sz w:val="20"/>
              </w:rPr>
              <w:t> </w:t>
            </w:r>
            <w:r>
              <w:rPr>
                <w:rFonts w:ascii="Arial"/>
                <w:b/>
                <w:i/>
                <w:sz w:val="20"/>
              </w:rPr>
              <w:t>of</w:t>
            </w:r>
            <w:r>
              <w:rPr>
                <w:rFonts w:ascii="Arial"/>
                <w:b/>
                <w:i/>
                <w:spacing w:val="-4"/>
                <w:sz w:val="20"/>
              </w:rPr>
              <w:t> </w:t>
            </w:r>
            <w:r>
              <w:rPr>
                <w:rFonts w:ascii="Arial"/>
                <w:b/>
                <w:i/>
                <w:sz w:val="20"/>
              </w:rPr>
              <w:t>Loans,</w:t>
            </w:r>
            <w:r>
              <w:rPr>
                <w:rFonts w:ascii="Arial"/>
                <w:b/>
                <w:i/>
                <w:spacing w:val="-5"/>
                <w:sz w:val="20"/>
              </w:rPr>
              <w:t> </w:t>
            </w:r>
            <w:r>
              <w:rPr>
                <w:rFonts w:ascii="Arial"/>
                <w:b/>
                <w:i/>
                <w:sz w:val="20"/>
              </w:rPr>
              <w:t>Notes</w:t>
            </w:r>
            <w:r>
              <w:rPr>
                <w:rFonts w:ascii="Arial"/>
                <w:b/>
                <w:i/>
                <w:spacing w:val="-5"/>
                <w:sz w:val="20"/>
              </w:rPr>
              <w:t> </w:t>
            </w:r>
            <w:r>
              <w:rPr>
                <w:rFonts w:ascii="Arial"/>
                <w:b/>
                <w:i/>
                <w:sz w:val="20"/>
              </w:rPr>
              <w:t>D,</w:t>
            </w:r>
            <w:r>
              <w:rPr>
                <w:rFonts w:ascii="Arial"/>
                <w:b/>
                <w:i/>
                <w:spacing w:val="-4"/>
                <w:sz w:val="20"/>
              </w:rPr>
              <w:t> </w:t>
            </w:r>
            <w:r>
              <w:rPr>
                <w:rFonts w:ascii="Arial"/>
                <w:b/>
                <w:i/>
                <w:sz w:val="20"/>
              </w:rPr>
              <w:t>H</w:t>
            </w:r>
            <w:r>
              <w:rPr>
                <w:rFonts w:ascii="Arial"/>
                <w:b/>
                <w:i/>
                <w:spacing w:val="-5"/>
                <w:sz w:val="20"/>
              </w:rPr>
              <w:t> </w:t>
            </w:r>
            <w:r>
              <w:rPr>
                <w:rFonts w:ascii="Arial"/>
                <w:b/>
                <w:i/>
                <w:sz w:val="20"/>
              </w:rPr>
              <w:t>and</w:t>
            </w:r>
            <w:r>
              <w:rPr>
                <w:rFonts w:ascii="Arial"/>
                <w:b/>
                <w:i/>
                <w:spacing w:val="-4"/>
                <w:sz w:val="20"/>
              </w:rPr>
              <w:t> </w:t>
            </w:r>
            <w:r>
              <w:rPr>
                <w:rFonts w:ascii="Arial"/>
                <w:b/>
                <w:i/>
                <w:spacing w:val="-5"/>
                <w:sz w:val="20"/>
              </w:rPr>
              <w:t>L)</w:t>
            </w:r>
          </w:p>
        </w:tc>
        <w:tc>
          <w:tcPr>
            <w:tcW w:w="1354" w:type="dxa"/>
            <w:tcBorders>
              <w:top w:val="single" w:sz="8" w:space="0" w:color="000000"/>
            </w:tcBorders>
          </w:tcPr>
          <w:p>
            <w:pPr>
              <w:pStyle w:val="TableParagraph"/>
              <w:rPr>
                <w:rFonts w:ascii="Times New Roman"/>
                <w:sz w:val="16"/>
              </w:rPr>
            </w:pPr>
          </w:p>
        </w:tc>
        <w:tc>
          <w:tcPr>
            <w:tcW w:w="1316" w:type="dxa"/>
            <w:tcBorders>
              <w:top w:val="single" w:sz="8" w:space="0" w:color="000000"/>
            </w:tcBorders>
          </w:tcPr>
          <w:p>
            <w:pPr>
              <w:pStyle w:val="TableParagraph"/>
              <w:rPr>
                <w:rFonts w:ascii="Times New Roman"/>
                <w:sz w:val="16"/>
              </w:rPr>
            </w:pPr>
          </w:p>
        </w:tc>
      </w:tr>
      <w:tr>
        <w:trPr>
          <w:trHeight w:val="277" w:hRule="atLeast"/>
        </w:trPr>
        <w:tc>
          <w:tcPr>
            <w:tcW w:w="6740" w:type="dxa"/>
          </w:tcPr>
          <w:p>
            <w:pPr>
              <w:pStyle w:val="TableParagraph"/>
              <w:spacing w:before="9"/>
              <w:ind w:left="102"/>
              <w:rPr>
                <w:sz w:val="20"/>
              </w:rPr>
            </w:pPr>
            <w:r>
              <w:rPr>
                <w:spacing w:val="-4"/>
                <w:sz w:val="20"/>
              </w:rPr>
              <w:t>Total</w:t>
            </w:r>
            <w:r>
              <w:rPr>
                <w:spacing w:val="-7"/>
                <w:sz w:val="20"/>
              </w:rPr>
              <w:t> </w:t>
            </w:r>
            <w:r>
              <w:rPr>
                <w:spacing w:val="-2"/>
                <w:sz w:val="20"/>
              </w:rPr>
              <w:t>loans</w:t>
            </w:r>
          </w:p>
        </w:tc>
        <w:tc>
          <w:tcPr>
            <w:tcW w:w="1354" w:type="dxa"/>
          </w:tcPr>
          <w:p>
            <w:pPr>
              <w:pStyle w:val="TableParagraph"/>
              <w:spacing w:before="24"/>
              <w:ind w:right="128"/>
              <w:jc w:val="right"/>
              <w:rPr>
                <w:sz w:val="20"/>
              </w:rPr>
            </w:pPr>
            <w:r>
              <w:rPr>
                <w:spacing w:val="-2"/>
                <w:sz w:val="20"/>
              </w:rPr>
              <w:t>329,008</w:t>
            </w:r>
          </w:p>
        </w:tc>
        <w:tc>
          <w:tcPr>
            <w:tcW w:w="1316" w:type="dxa"/>
          </w:tcPr>
          <w:p>
            <w:pPr>
              <w:pStyle w:val="TableParagraph"/>
              <w:spacing w:before="24"/>
              <w:ind w:right="79"/>
              <w:jc w:val="right"/>
              <w:rPr>
                <w:sz w:val="20"/>
              </w:rPr>
            </w:pPr>
            <w:r>
              <w:rPr>
                <w:spacing w:val="-2"/>
                <w:sz w:val="20"/>
              </w:rPr>
              <w:t>303,867</w:t>
            </w:r>
          </w:p>
        </w:tc>
      </w:tr>
      <w:tr>
        <w:trPr>
          <w:trHeight w:val="246" w:hRule="atLeast"/>
        </w:trPr>
        <w:tc>
          <w:tcPr>
            <w:tcW w:w="9410" w:type="dxa"/>
            <w:gridSpan w:val="3"/>
          </w:tcPr>
          <w:p>
            <w:pPr>
              <w:pStyle w:val="TableParagraph"/>
              <w:spacing w:line="210" w:lineRule="exact" w:before="16"/>
              <w:ind w:left="462"/>
              <w:rPr>
                <w:sz w:val="20"/>
              </w:rPr>
            </w:pPr>
            <w:r>
              <w:rPr>
                <w:sz w:val="20"/>
              </w:rPr>
              <w:t>Less</w:t>
            </w:r>
            <w:r>
              <w:rPr>
                <w:spacing w:val="-6"/>
                <w:sz w:val="20"/>
              </w:rPr>
              <w:t> </w:t>
            </w:r>
            <w:r>
              <w:rPr>
                <w:sz w:val="20"/>
              </w:rPr>
              <w:t>undisbursed</w:t>
            </w:r>
            <w:r>
              <w:rPr>
                <w:spacing w:val="-6"/>
                <w:sz w:val="20"/>
              </w:rPr>
              <w:t> </w:t>
            </w:r>
            <w:r>
              <w:rPr>
                <w:sz w:val="20"/>
              </w:rPr>
              <w:t>balance</w:t>
            </w:r>
            <w:r>
              <w:rPr>
                <w:spacing w:val="-6"/>
                <w:sz w:val="20"/>
              </w:rPr>
              <w:t> </w:t>
            </w:r>
            <w:r>
              <w:rPr>
                <w:sz w:val="20"/>
              </w:rPr>
              <w:t>(including</w:t>
            </w:r>
            <w:r>
              <w:rPr>
                <w:spacing w:val="-6"/>
                <w:sz w:val="20"/>
              </w:rPr>
              <w:t> </w:t>
            </w:r>
            <w:r>
              <w:rPr>
                <w:sz w:val="20"/>
              </w:rPr>
              <w:t>signed</w:t>
            </w:r>
            <w:r>
              <w:rPr>
                <w:spacing w:val="-6"/>
                <w:sz w:val="20"/>
              </w:rPr>
              <w:t> </w:t>
            </w:r>
            <w:r>
              <w:rPr>
                <w:sz w:val="20"/>
              </w:rPr>
              <w:t>loan</w:t>
            </w:r>
            <w:r>
              <w:rPr>
                <w:spacing w:val="-6"/>
                <w:sz w:val="20"/>
              </w:rPr>
              <w:t> </w:t>
            </w:r>
            <w:r>
              <w:rPr>
                <w:sz w:val="20"/>
              </w:rPr>
              <w:t>commitments</w:t>
            </w:r>
            <w:r>
              <w:rPr>
                <w:spacing w:val="-5"/>
                <w:sz w:val="20"/>
              </w:rPr>
              <w:t> of</w:t>
            </w:r>
          </w:p>
        </w:tc>
      </w:tr>
      <w:tr>
        <w:trPr>
          <w:trHeight w:val="248" w:hRule="atLeast"/>
        </w:trPr>
        <w:tc>
          <w:tcPr>
            <w:tcW w:w="6740" w:type="dxa"/>
          </w:tcPr>
          <w:p>
            <w:pPr>
              <w:pStyle w:val="TableParagraph"/>
              <w:spacing w:line="218" w:lineRule="exact" w:before="10"/>
              <w:ind w:left="642"/>
              <w:rPr>
                <w:sz w:val="20"/>
              </w:rPr>
            </w:pPr>
            <w:r>
              <w:rPr>
                <w:sz w:val="20"/>
              </w:rPr>
              <w:t>$59,350</w:t>
            </w:r>
            <w:r>
              <w:rPr>
                <w:spacing w:val="-7"/>
                <w:sz w:val="20"/>
              </w:rPr>
              <w:t> </w:t>
            </w:r>
            <w:r>
              <w:rPr>
                <w:sz w:val="20"/>
              </w:rPr>
              <w:t>million</w:t>
            </w:r>
            <w:r>
              <w:rPr>
                <w:spacing w:val="-4"/>
                <w:sz w:val="20"/>
              </w:rPr>
              <w:t> </w:t>
            </w:r>
            <w:r>
              <w:rPr>
                <w:sz w:val="20"/>
              </w:rPr>
              <w:t>—</w:t>
            </w:r>
            <w:r>
              <w:rPr>
                <w:spacing w:val="-4"/>
                <w:sz w:val="20"/>
              </w:rPr>
              <w:t> </w:t>
            </w:r>
            <w:r>
              <w:rPr>
                <w:sz w:val="20"/>
              </w:rPr>
              <w:t>June</w:t>
            </w:r>
            <w:r>
              <w:rPr>
                <w:spacing w:val="-4"/>
                <w:sz w:val="20"/>
              </w:rPr>
              <w:t> </w:t>
            </w:r>
            <w:r>
              <w:rPr>
                <w:sz w:val="20"/>
              </w:rPr>
              <w:t>30,</w:t>
            </w:r>
            <w:r>
              <w:rPr>
                <w:spacing w:val="-4"/>
                <w:sz w:val="20"/>
              </w:rPr>
              <w:t> </w:t>
            </w:r>
            <w:r>
              <w:rPr>
                <w:sz w:val="20"/>
              </w:rPr>
              <w:t>2023,</w:t>
            </w:r>
            <w:r>
              <w:rPr>
                <w:spacing w:val="-4"/>
                <w:sz w:val="20"/>
              </w:rPr>
              <w:t> </w:t>
            </w:r>
            <w:r>
              <w:rPr>
                <w:sz w:val="20"/>
              </w:rPr>
              <w:t>and</w:t>
            </w:r>
            <w:r>
              <w:rPr>
                <w:spacing w:val="-4"/>
                <w:sz w:val="20"/>
              </w:rPr>
              <w:t> </w:t>
            </w:r>
            <w:r>
              <w:rPr>
                <w:sz w:val="20"/>
              </w:rPr>
              <w:t>$56,951</w:t>
            </w:r>
            <w:r>
              <w:rPr>
                <w:spacing w:val="-4"/>
                <w:sz w:val="20"/>
              </w:rPr>
              <w:t> </w:t>
            </w:r>
            <w:r>
              <w:rPr>
                <w:sz w:val="20"/>
              </w:rPr>
              <w:t>million</w:t>
            </w:r>
            <w:r>
              <w:rPr>
                <w:spacing w:val="-4"/>
                <w:sz w:val="20"/>
              </w:rPr>
              <w:t> </w:t>
            </w:r>
            <w:r>
              <w:rPr>
                <w:sz w:val="20"/>
              </w:rPr>
              <w:t>—</w:t>
            </w:r>
            <w:r>
              <w:rPr>
                <w:spacing w:val="-4"/>
                <w:sz w:val="20"/>
              </w:rPr>
              <w:t> </w:t>
            </w:r>
            <w:r>
              <w:rPr>
                <w:sz w:val="20"/>
              </w:rPr>
              <w:t>June</w:t>
            </w:r>
            <w:r>
              <w:rPr>
                <w:spacing w:val="-4"/>
                <w:sz w:val="20"/>
              </w:rPr>
              <w:t> </w:t>
            </w:r>
            <w:r>
              <w:rPr>
                <w:spacing w:val="-5"/>
                <w:sz w:val="20"/>
              </w:rPr>
              <w:t>30,</w:t>
            </w:r>
          </w:p>
        </w:tc>
        <w:tc>
          <w:tcPr>
            <w:tcW w:w="1354" w:type="dxa"/>
          </w:tcPr>
          <w:p>
            <w:pPr>
              <w:pStyle w:val="TableParagraph"/>
              <w:rPr>
                <w:rFonts w:ascii="Times New Roman"/>
                <w:sz w:val="18"/>
              </w:rPr>
            </w:pPr>
          </w:p>
        </w:tc>
        <w:tc>
          <w:tcPr>
            <w:tcW w:w="1316" w:type="dxa"/>
          </w:tcPr>
          <w:p>
            <w:pPr>
              <w:pStyle w:val="TableParagraph"/>
              <w:rPr>
                <w:rFonts w:ascii="Times New Roman"/>
                <w:sz w:val="18"/>
              </w:rPr>
            </w:pPr>
          </w:p>
        </w:tc>
      </w:tr>
      <w:tr>
        <w:trPr>
          <w:trHeight w:val="251" w:hRule="atLeast"/>
        </w:trPr>
        <w:tc>
          <w:tcPr>
            <w:tcW w:w="6740" w:type="dxa"/>
          </w:tcPr>
          <w:p>
            <w:pPr>
              <w:pStyle w:val="TableParagraph"/>
              <w:spacing w:line="230" w:lineRule="exact" w:before="1"/>
              <w:ind w:left="642"/>
              <w:rPr>
                <w:sz w:val="20"/>
              </w:rPr>
            </w:pPr>
            <w:r>
              <w:rPr>
                <w:spacing w:val="-2"/>
                <w:sz w:val="20"/>
              </w:rPr>
              <w:t>2022)</w:t>
            </w:r>
          </w:p>
        </w:tc>
        <w:tc>
          <w:tcPr>
            <w:tcW w:w="1354" w:type="dxa"/>
            <w:tcBorders>
              <w:bottom w:val="single" w:sz="8" w:space="0" w:color="000000"/>
            </w:tcBorders>
          </w:tcPr>
          <w:p>
            <w:pPr>
              <w:pStyle w:val="TableParagraph"/>
              <w:spacing w:line="230" w:lineRule="exact" w:before="1"/>
              <w:ind w:right="63"/>
              <w:jc w:val="right"/>
              <w:rPr>
                <w:sz w:val="20"/>
              </w:rPr>
            </w:pPr>
            <w:r>
              <w:rPr>
                <w:spacing w:val="-2"/>
                <w:sz w:val="20"/>
              </w:rPr>
              <w:t>(85,112)</w:t>
            </w:r>
          </w:p>
        </w:tc>
        <w:tc>
          <w:tcPr>
            <w:tcW w:w="1316" w:type="dxa"/>
            <w:tcBorders>
              <w:bottom w:val="single" w:sz="8" w:space="0" w:color="000000"/>
            </w:tcBorders>
          </w:tcPr>
          <w:p>
            <w:pPr>
              <w:pStyle w:val="TableParagraph"/>
              <w:spacing w:line="230" w:lineRule="exact" w:before="1"/>
              <w:ind w:right="14"/>
              <w:jc w:val="right"/>
              <w:rPr>
                <w:sz w:val="20"/>
              </w:rPr>
            </w:pPr>
            <w:r>
              <w:rPr>
                <w:spacing w:val="-2"/>
                <w:sz w:val="20"/>
              </w:rPr>
              <w:t>(74,523)</w:t>
            </w:r>
          </w:p>
        </w:tc>
      </w:tr>
      <w:tr>
        <w:trPr>
          <w:trHeight w:val="230" w:hRule="atLeast"/>
        </w:trPr>
        <w:tc>
          <w:tcPr>
            <w:tcW w:w="6740" w:type="dxa"/>
          </w:tcPr>
          <w:p>
            <w:pPr>
              <w:pStyle w:val="TableParagraph"/>
              <w:spacing w:line="211" w:lineRule="exact"/>
              <w:ind w:left="642"/>
              <w:rPr>
                <w:sz w:val="20"/>
              </w:rPr>
            </w:pPr>
            <w:r>
              <w:rPr>
                <w:sz w:val="20"/>
              </w:rPr>
              <w:t>Loans</w:t>
            </w:r>
            <w:r>
              <w:rPr>
                <w:spacing w:val="-5"/>
                <w:sz w:val="20"/>
              </w:rPr>
              <w:t> </w:t>
            </w:r>
            <w:r>
              <w:rPr>
                <w:spacing w:val="-2"/>
                <w:sz w:val="20"/>
              </w:rPr>
              <w:t>outstanding</w:t>
            </w:r>
          </w:p>
        </w:tc>
        <w:tc>
          <w:tcPr>
            <w:tcW w:w="1354" w:type="dxa"/>
            <w:tcBorders>
              <w:top w:val="single" w:sz="8" w:space="0" w:color="000000"/>
            </w:tcBorders>
          </w:tcPr>
          <w:p>
            <w:pPr>
              <w:pStyle w:val="TableParagraph"/>
              <w:spacing w:line="210" w:lineRule="exact"/>
              <w:ind w:right="128"/>
              <w:jc w:val="right"/>
              <w:rPr>
                <w:sz w:val="20"/>
              </w:rPr>
            </w:pPr>
            <w:r>
              <w:rPr>
                <w:spacing w:val="-2"/>
                <w:sz w:val="20"/>
              </w:rPr>
              <w:t>243,896</w:t>
            </w:r>
          </w:p>
        </w:tc>
        <w:tc>
          <w:tcPr>
            <w:tcW w:w="1316" w:type="dxa"/>
            <w:tcBorders>
              <w:top w:val="single" w:sz="8" w:space="0" w:color="000000"/>
            </w:tcBorders>
          </w:tcPr>
          <w:p>
            <w:pPr>
              <w:pStyle w:val="TableParagraph"/>
              <w:spacing w:line="210" w:lineRule="exact"/>
              <w:ind w:right="79"/>
              <w:jc w:val="right"/>
              <w:rPr>
                <w:sz w:val="20"/>
              </w:rPr>
            </w:pPr>
            <w:r>
              <w:rPr>
                <w:spacing w:val="-2"/>
                <w:sz w:val="20"/>
              </w:rPr>
              <w:t>229,344</w:t>
            </w:r>
          </w:p>
        </w:tc>
      </w:tr>
      <w:tr>
        <w:trPr>
          <w:trHeight w:val="255" w:hRule="atLeast"/>
        </w:trPr>
        <w:tc>
          <w:tcPr>
            <w:tcW w:w="9410" w:type="dxa"/>
            <w:gridSpan w:val="3"/>
          </w:tcPr>
          <w:p>
            <w:pPr>
              <w:pStyle w:val="TableParagraph"/>
              <w:spacing w:line="226" w:lineRule="exact" w:before="10"/>
              <w:ind w:left="462"/>
              <w:rPr>
                <w:sz w:val="20"/>
              </w:rPr>
            </w:pPr>
            <w:r>
              <w:rPr>
                <w:spacing w:val="-2"/>
                <w:sz w:val="20"/>
              </w:rPr>
              <w:t>Less:</w:t>
            </w:r>
          </w:p>
        </w:tc>
      </w:tr>
      <w:tr>
        <w:trPr>
          <w:trHeight w:val="262" w:hRule="atLeast"/>
        </w:trPr>
        <w:tc>
          <w:tcPr>
            <w:tcW w:w="6740" w:type="dxa"/>
          </w:tcPr>
          <w:p>
            <w:pPr>
              <w:pStyle w:val="TableParagraph"/>
              <w:spacing w:before="9"/>
              <w:ind w:left="642"/>
              <w:rPr>
                <w:sz w:val="20"/>
              </w:rPr>
            </w:pPr>
            <w:r>
              <w:rPr>
                <w:sz w:val="20"/>
              </w:rPr>
              <w:t>Accumulated</w:t>
            </w:r>
            <w:r>
              <w:rPr>
                <w:spacing w:val="-6"/>
                <w:sz w:val="20"/>
              </w:rPr>
              <w:t> </w:t>
            </w:r>
            <w:r>
              <w:rPr>
                <w:sz w:val="20"/>
              </w:rPr>
              <w:t>provision</w:t>
            </w:r>
            <w:r>
              <w:rPr>
                <w:spacing w:val="-5"/>
                <w:sz w:val="20"/>
              </w:rPr>
              <w:t> </w:t>
            </w:r>
            <w:r>
              <w:rPr>
                <w:sz w:val="20"/>
              </w:rPr>
              <w:t>for</w:t>
            </w:r>
            <w:r>
              <w:rPr>
                <w:spacing w:val="-5"/>
                <w:sz w:val="20"/>
              </w:rPr>
              <w:t> </w:t>
            </w:r>
            <w:r>
              <w:rPr>
                <w:sz w:val="20"/>
              </w:rPr>
              <w:t>loan</w:t>
            </w:r>
            <w:r>
              <w:rPr>
                <w:spacing w:val="-5"/>
                <w:sz w:val="20"/>
              </w:rPr>
              <w:t> </w:t>
            </w:r>
            <w:r>
              <w:rPr>
                <w:spacing w:val="-2"/>
                <w:sz w:val="20"/>
              </w:rPr>
              <w:t>losses</w:t>
            </w:r>
          </w:p>
        </w:tc>
        <w:tc>
          <w:tcPr>
            <w:tcW w:w="1354" w:type="dxa"/>
          </w:tcPr>
          <w:p>
            <w:pPr>
              <w:pStyle w:val="TableParagraph"/>
              <w:spacing w:line="218" w:lineRule="exact" w:before="24"/>
              <w:ind w:right="63"/>
              <w:jc w:val="right"/>
              <w:rPr>
                <w:sz w:val="20"/>
              </w:rPr>
            </w:pPr>
            <w:r>
              <w:rPr>
                <w:spacing w:val="-2"/>
                <w:sz w:val="20"/>
              </w:rPr>
              <w:t>(2,336)</w:t>
            </w:r>
          </w:p>
        </w:tc>
        <w:tc>
          <w:tcPr>
            <w:tcW w:w="1316" w:type="dxa"/>
          </w:tcPr>
          <w:p>
            <w:pPr>
              <w:pStyle w:val="TableParagraph"/>
              <w:spacing w:line="218" w:lineRule="exact" w:before="24"/>
              <w:ind w:right="14"/>
              <w:jc w:val="right"/>
              <w:rPr>
                <w:sz w:val="20"/>
              </w:rPr>
            </w:pPr>
            <w:r>
              <w:rPr>
                <w:spacing w:val="-2"/>
                <w:sz w:val="20"/>
              </w:rPr>
              <w:t>(1,742)</w:t>
            </w:r>
          </w:p>
        </w:tc>
      </w:tr>
      <w:tr>
        <w:trPr>
          <w:trHeight w:val="251" w:hRule="atLeast"/>
        </w:trPr>
        <w:tc>
          <w:tcPr>
            <w:tcW w:w="6740" w:type="dxa"/>
          </w:tcPr>
          <w:p>
            <w:pPr>
              <w:pStyle w:val="TableParagraph"/>
              <w:spacing w:line="230" w:lineRule="exact" w:before="1"/>
              <w:ind w:left="642"/>
              <w:rPr>
                <w:sz w:val="20"/>
              </w:rPr>
            </w:pPr>
            <w:r>
              <w:rPr>
                <w:sz w:val="20"/>
              </w:rPr>
              <w:t>Deferred</w:t>
            </w:r>
            <w:r>
              <w:rPr>
                <w:spacing w:val="-5"/>
                <w:sz w:val="20"/>
              </w:rPr>
              <w:t> </w:t>
            </w:r>
            <w:r>
              <w:rPr>
                <w:sz w:val="20"/>
              </w:rPr>
              <w:t>loan</w:t>
            </w:r>
            <w:r>
              <w:rPr>
                <w:spacing w:val="-5"/>
                <w:sz w:val="20"/>
              </w:rPr>
              <w:t> </w:t>
            </w:r>
            <w:r>
              <w:rPr>
                <w:spacing w:val="-2"/>
                <w:sz w:val="20"/>
              </w:rPr>
              <w:t>income</w:t>
            </w:r>
          </w:p>
        </w:tc>
        <w:tc>
          <w:tcPr>
            <w:tcW w:w="1354" w:type="dxa"/>
            <w:tcBorders>
              <w:bottom w:val="single" w:sz="8" w:space="0" w:color="000000"/>
            </w:tcBorders>
          </w:tcPr>
          <w:p>
            <w:pPr>
              <w:pStyle w:val="TableParagraph"/>
              <w:spacing w:line="214" w:lineRule="exact" w:before="17"/>
              <w:ind w:right="63"/>
              <w:jc w:val="right"/>
              <w:rPr>
                <w:sz w:val="20"/>
              </w:rPr>
            </w:pPr>
            <w:r>
              <w:rPr>
                <w:spacing w:val="-2"/>
                <w:sz w:val="20"/>
              </w:rPr>
              <w:t>(519)</w:t>
            </w:r>
          </w:p>
        </w:tc>
        <w:tc>
          <w:tcPr>
            <w:tcW w:w="1316" w:type="dxa"/>
            <w:tcBorders>
              <w:bottom w:val="single" w:sz="8" w:space="0" w:color="000000"/>
            </w:tcBorders>
          </w:tcPr>
          <w:p>
            <w:pPr>
              <w:pStyle w:val="TableParagraph"/>
              <w:spacing w:line="214" w:lineRule="exact" w:before="17"/>
              <w:ind w:right="14"/>
              <w:jc w:val="right"/>
              <w:rPr>
                <w:sz w:val="20"/>
              </w:rPr>
            </w:pPr>
            <w:r>
              <w:rPr>
                <w:spacing w:val="-2"/>
                <w:sz w:val="20"/>
              </w:rPr>
              <w:t>(510)</w:t>
            </w:r>
          </w:p>
        </w:tc>
      </w:tr>
      <w:tr>
        <w:trPr>
          <w:trHeight w:val="235" w:hRule="atLeast"/>
        </w:trPr>
        <w:tc>
          <w:tcPr>
            <w:tcW w:w="6740" w:type="dxa"/>
          </w:tcPr>
          <w:p>
            <w:pPr>
              <w:pStyle w:val="TableParagraph"/>
              <w:spacing w:line="215" w:lineRule="exact"/>
              <w:ind w:left="102"/>
              <w:rPr>
                <w:sz w:val="20"/>
              </w:rPr>
            </w:pPr>
            <w:r>
              <w:rPr>
                <w:sz w:val="20"/>
              </w:rPr>
              <w:t>Net</w:t>
            </w:r>
            <w:r>
              <w:rPr>
                <w:spacing w:val="-4"/>
                <w:sz w:val="20"/>
              </w:rPr>
              <w:t> </w:t>
            </w:r>
            <w:r>
              <w:rPr>
                <w:sz w:val="20"/>
              </w:rPr>
              <w:t>loans</w:t>
            </w:r>
            <w:r>
              <w:rPr>
                <w:spacing w:val="-4"/>
                <w:sz w:val="20"/>
              </w:rPr>
              <w:t> </w:t>
            </w:r>
            <w:r>
              <w:rPr>
                <w:spacing w:val="-2"/>
                <w:sz w:val="20"/>
              </w:rPr>
              <w:t>outstanding</w:t>
            </w:r>
          </w:p>
        </w:tc>
        <w:tc>
          <w:tcPr>
            <w:tcW w:w="1354" w:type="dxa"/>
            <w:tcBorders>
              <w:top w:val="single" w:sz="8" w:space="0" w:color="000000"/>
              <w:bottom w:val="single" w:sz="8" w:space="0" w:color="000000"/>
            </w:tcBorders>
          </w:tcPr>
          <w:p>
            <w:pPr>
              <w:pStyle w:val="TableParagraph"/>
              <w:spacing w:line="214" w:lineRule="exact"/>
              <w:ind w:right="128"/>
              <w:jc w:val="right"/>
              <w:rPr>
                <w:sz w:val="20"/>
              </w:rPr>
            </w:pPr>
            <w:r>
              <w:rPr>
                <w:spacing w:val="-2"/>
                <w:sz w:val="20"/>
              </w:rPr>
              <w:t>241,041</w:t>
            </w:r>
          </w:p>
        </w:tc>
        <w:tc>
          <w:tcPr>
            <w:tcW w:w="1316" w:type="dxa"/>
            <w:tcBorders>
              <w:top w:val="single" w:sz="8" w:space="0" w:color="000000"/>
              <w:bottom w:val="single" w:sz="8" w:space="0" w:color="000000"/>
            </w:tcBorders>
          </w:tcPr>
          <w:p>
            <w:pPr>
              <w:pStyle w:val="TableParagraph"/>
              <w:spacing w:line="214" w:lineRule="exact"/>
              <w:ind w:right="79"/>
              <w:jc w:val="right"/>
              <w:rPr>
                <w:sz w:val="20"/>
              </w:rPr>
            </w:pPr>
            <w:r>
              <w:rPr>
                <w:spacing w:val="-2"/>
                <w:sz w:val="20"/>
              </w:rPr>
              <w:t>227,092</w:t>
            </w:r>
          </w:p>
        </w:tc>
      </w:tr>
      <w:tr>
        <w:trPr>
          <w:trHeight w:val="321" w:hRule="atLeast"/>
        </w:trPr>
        <w:tc>
          <w:tcPr>
            <w:tcW w:w="6740" w:type="dxa"/>
          </w:tcPr>
          <w:p>
            <w:pPr>
              <w:pStyle w:val="TableParagraph"/>
              <w:spacing w:before="60"/>
              <w:ind w:left="102"/>
              <w:rPr>
                <w:rFonts w:ascii="Arial"/>
                <w:b/>
                <w:i/>
                <w:sz w:val="20"/>
              </w:rPr>
            </w:pPr>
            <w:r>
              <w:rPr>
                <w:rFonts w:ascii="Arial"/>
                <w:b/>
                <w:i/>
                <w:sz w:val="20"/>
              </w:rPr>
              <w:t>Other</w:t>
            </w:r>
            <w:r>
              <w:rPr>
                <w:rFonts w:ascii="Arial"/>
                <w:b/>
                <w:i/>
                <w:spacing w:val="-4"/>
                <w:sz w:val="20"/>
              </w:rPr>
              <w:t> </w:t>
            </w:r>
            <w:r>
              <w:rPr>
                <w:rFonts w:ascii="Arial"/>
                <w:b/>
                <w:i/>
                <w:spacing w:val="-2"/>
                <w:sz w:val="20"/>
              </w:rPr>
              <w:t>assets</w:t>
            </w:r>
          </w:p>
        </w:tc>
        <w:tc>
          <w:tcPr>
            <w:tcW w:w="1354" w:type="dxa"/>
            <w:tcBorders>
              <w:top w:val="single" w:sz="8" w:space="0" w:color="000000"/>
            </w:tcBorders>
          </w:tcPr>
          <w:p>
            <w:pPr>
              <w:pStyle w:val="TableParagraph"/>
              <w:rPr>
                <w:rFonts w:ascii="Times New Roman"/>
                <w:sz w:val="20"/>
              </w:rPr>
            </w:pPr>
          </w:p>
        </w:tc>
        <w:tc>
          <w:tcPr>
            <w:tcW w:w="1316" w:type="dxa"/>
            <w:tcBorders>
              <w:top w:val="single" w:sz="8" w:space="0" w:color="000000"/>
            </w:tcBorders>
          </w:tcPr>
          <w:p>
            <w:pPr>
              <w:pStyle w:val="TableParagraph"/>
              <w:rPr>
                <w:rFonts w:ascii="Times New Roman"/>
                <w:sz w:val="20"/>
              </w:rPr>
            </w:pPr>
          </w:p>
        </w:tc>
      </w:tr>
      <w:tr>
        <w:trPr>
          <w:trHeight w:val="270" w:hRule="atLeast"/>
        </w:trPr>
        <w:tc>
          <w:tcPr>
            <w:tcW w:w="6740" w:type="dxa"/>
          </w:tcPr>
          <w:p>
            <w:pPr>
              <w:pStyle w:val="TableParagraph"/>
              <w:spacing w:line="226" w:lineRule="exact" w:before="24"/>
              <w:ind w:left="462"/>
              <w:rPr>
                <w:rFonts w:ascii="Arial" w:hAnsi="Arial"/>
                <w:i/>
                <w:sz w:val="20"/>
              </w:rPr>
            </w:pPr>
            <w:r>
              <w:rPr>
                <w:sz w:val="20"/>
              </w:rPr>
              <w:t>Assets</w:t>
            </w:r>
            <w:r>
              <w:rPr>
                <w:spacing w:val="-6"/>
                <w:sz w:val="20"/>
              </w:rPr>
              <w:t> </w:t>
            </w:r>
            <w:r>
              <w:rPr>
                <w:sz w:val="20"/>
              </w:rPr>
              <w:t>under</w:t>
            </w:r>
            <w:r>
              <w:rPr>
                <w:spacing w:val="-5"/>
                <w:sz w:val="20"/>
              </w:rPr>
              <w:t> </w:t>
            </w:r>
            <w:r>
              <w:rPr>
                <w:sz w:val="20"/>
              </w:rPr>
              <w:t>retirement</w:t>
            </w:r>
            <w:r>
              <w:rPr>
                <w:spacing w:val="-5"/>
                <w:sz w:val="20"/>
              </w:rPr>
              <w:t> </w:t>
            </w:r>
            <w:r>
              <w:rPr>
                <w:sz w:val="20"/>
              </w:rPr>
              <w:t>benefits</w:t>
            </w:r>
            <w:r>
              <w:rPr>
                <w:spacing w:val="-6"/>
                <w:sz w:val="20"/>
              </w:rPr>
              <w:t> </w:t>
            </w:r>
            <w:r>
              <w:rPr>
                <w:sz w:val="20"/>
              </w:rPr>
              <w:t>plans—</w:t>
            </w:r>
            <w:r>
              <w:rPr>
                <w:rFonts w:ascii="Arial" w:hAnsi="Arial"/>
                <w:i/>
                <w:sz w:val="20"/>
              </w:rPr>
              <w:t>Notes</w:t>
            </w:r>
            <w:r>
              <w:rPr>
                <w:rFonts w:ascii="Arial" w:hAnsi="Arial"/>
                <w:i/>
                <w:spacing w:val="-5"/>
                <w:sz w:val="20"/>
              </w:rPr>
              <w:t> </w:t>
            </w:r>
            <w:r>
              <w:rPr>
                <w:rFonts w:ascii="Arial" w:hAnsi="Arial"/>
                <w:i/>
                <w:sz w:val="20"/>
              </w:rPr>
              <w:t>J</w:t>
            </w:r>
            <w:r>
              <w:rPr>
                <w:rFonts w:ascii="Arial" w:hAnsi="Arial"/>
                <w:i/>
                <w:spacing w:val="-5"/>
                <w:sz w:val="20"/>
              </w:rPr>
              <w:t> </w:t>
            </w:r>
            <w:r>
              <w:rPr>
                <w:rFonts w:ascii="Arial" w:hAnsi="Arial"/>
                <w:i/>
                <w:sz w:val="20"/>
              </w:rPr>
              <w:t>and</w:t>
            </w:r>
            <w:r>
              <w:rPr>
                <w:rFonts w:ascii="Arial" w:hAnsi="Arial"/>
                <w:i/>
                <w:spacing w:val="-5"/>
                <w:sz w:val="20"/>
              </w:rPr>
              <w:t> </w:t>
            </w:r>
            <w:r>
              <w:rPr>
                <w:rFonts w:ascii="Arial" w:hAnsi="Arial"/>
                <w:i/>
                <w:spacing w:val="-10"/>
                <w:sz w:val="20"/>
              </w:rPr>
              <w:t>K</w:t>
            </w:r>
          </w:p>
        </w:tc>
        <w:tc>
          <w:tcPr>
            <w:tcW w:w="1354" w:type="dxa"/>
          </w:tcPr>
          <w:p>
            <w:pPr>
              <w:pStyle w:val="TableParagraph"/>
              <w:spacing w:line="226" w:lineRule="exact" w:before="24"/>
              <w:ind w:right="128"/>
              <w:jc w:val="right"/>
              <w:rPr>
                <w:sz w:val="20"/>
              </w:rPr>
            </w:pPr>
            <w:r>
              <w:rPr>
                <w:spacing w:val="-2"/>
                <w:sz w:val="20"/>
              </w:rPr>
              <w:t>4,297</w:t>
            </w:r>
          </w:p>
        </w:tc>
        <w:tc>
          <w:tcPr>
            <w:tcW w:w="1316" w:type="dxa"/>
          </w:tcPr>
          <w:p>
            <w:pPr>
              <w:pStyle w:val="TableParagraph"/>
              <w:spacing w:line="226" w:lineRule="exact" w:before="24"/>
              <w:ind w:right="79"/>
              <w:jc w:val="right"/>
              <w:rPr>
                <w:sz w:val="20"/>
              </w:rPr>
            </w:pPr>
            <w:r>
              <w:rPr>
                <w:spacing w:val="-2"/>
                <w:sz w:val="20"/>
              </w:rPr>
              <w:t>2,309</w:t>
            </w:r>
          </w:p>
        </w:tc>
      </w:tr>
      <w:tr>
        <w:trPr>
          <w:trHeight w:val="262" w:hRule="atLeast"/>
        </w:trPr>
        <w:tc>
          <w:tcPr>
            <w:tcW w:w="6740" w:type="dxa"/>
          </w:tcPr>
          <w:p>
            <w:pPr>
              <w:pStyle w:val="TableParagraph"/>
              <w:spacing w:before="9"/>
              <w:ind w:left="462"/>
              <w:rPr>
                <w:sz w:val="20"/>
              </w:rPr>
            </w:pPr>
            <w:r>
              <w:rPr>
                <w:sz w:val="20"/>
              </w:rPr>
              <w:t>Premises</w:t>
            </w:r>
            <w:r>
              <w:rPr>
                <w:spacing w:val="-8"/>
                <w:sz w:val="20"/>
              </w:rPr>
              <w:t> </w:t>
            </w:r>
            <w:r>
              <w:rPr>
                <w:sz w:val="20"/>
              </w:rPr>
              <w:t>and</w:t>
            </w:r>
            <w:r>
              <w:rPr>
                <w:spacing w:val="-6"/>
                <w:sz w:val="20"/>
              </w:rPr>
              <w:t> </w:t>
            </w:r>
            <w:r>
              <w:rPr>
                <w:sz w:val="20"/>
              </w:rPr>
              <w:t>equipment,</w:t>
            </w:r>
            <w:r>
              <w:rPr>
                <w:spacing w:val="-5"/>
                <w:sz w:val="20"/>
              </w:rPr>
              <w:t> net</w:t>
            </w:r>
          </w:p>
        </w:tc>
        <w:tc>
          <w:tcPr>
            <w:tcW w:w="1354" w:type="dxa"/>
          </w:tcPr>
          <w:p>
            <w:pPr>
              <w:pStyle w:val="TableParagraph"/>
              <w:spacing w:line="218" w:lineRule="exact" w:before="24"/>
              <w:ind w:right="128"/>
              <w:jc w:val="right"/>
              <w:rPr>
                <w:sz w:val="20"/>
              </w:rPr>
            </w:pPr>
            <w:r>
              <w:rPr>
                <w:spacing w:val="-2"/>
                <w:sz w:val="20"/>
              </w:rPr>
              <w:t>1,815</w:t>
            </w:r>
          </w:p>
        </w:tc>
        <w:tc>
          <w:tcPr>
            <w:tcW w:w="1316" w:type="dxa"/>
          </w:tcPr>
          <w:p>
            <w:pPr>
              <w:pStyle w:val="TableParagraph"/>
              <w:spacing w:line="218" w:lineRule="exact" w:before="24"/>
              <w:ind w:right="79"/>
              <w:jc w:val="right"/>
              <w:rPr>
                <w:sz w:val="20"/>
              </w:rPr>
            </w:pPr>
            <w:r>
              <w:rPr>
                <w:spacing w:val="-2"/>
                <w:sz w:val="20"/>
              </w:rPr>
              <w:t>1,821</w:t>
            </w:r>
          </w:p>
        </w:tc>
      </w:tr>
      <w:tr>
        <w:trPr>
          <w:trHeight w:val="251" w:hRule="atLeast"/>
        </w:trPr>
        <w:tc>
          <w:tcPr>
            <w:tcW w:w="6740" w:type="dxa"/>
          </w:tcPr>
          <w:p>
            <w:pPr>
              <w:pStyle w:val="TableParagraph"/>
              <w:spacing w:line="230" w:lineRule="exact" w:before="1"/>
              <w:ind w:left="462"/>
              <w:rPr>
                <w:rFonts w:ascii="Arial" w:hAnsi="Arial"/>
                <w:i/>
                <w:sz w:val="20"/>
              </w:rPr>
            </w:pPr>
            <w:r>
              <w:rPr>
                <w:sz w:val="20"/>
              </w:rPr>
              <w:t>Miscellaneous—</w:t>
            </w:r>
            <w:r>
              <w:rPr>
                <w:rFonts w:ascii="Arial" w:hAnsi="Arial"/>
                <w:i/>
                <w:sz w:val="20"/>
              </w:rPr>
              <w:t>Notes</w:t>
            </w:r>
            <w:r>
              <w:rPr>
                <w:rFonts w:ascii="Arial" w:hAnsi="Arial"/>
                <w:i/>
                <w:spacing w:val="-5"/>
                <w:sz w:val="20"/>
              </w:rPr>
              <w:t> </w:t>
            </w:r>
            <w:r>
              <w:rPr>
                <w:rFonts w:ascii="Arial" w:hAnsi="Arial"/>
                <w:i/>
                <w:sz w:val="20"/>
              </w:rPr>
              <w:t>E,</w:t>
            </w:r>
            <w:r>
              <w:rPr>
                <w:rFonts w:ascii="Arial" w:hAnsi="Arial"/>
                <w:i/>
                <w:spacing w:val="-5"/>
                <w:sz w:val="20"/>
              </w:rPr>
              <w:t> </w:t>
            </w:r>
            <w:r>
              <w:rPr>
                <w:rFonts w:ascii="Arial" w:hAnsi="Arial"/>
                <w:i/>
                <w:sz w:val="20"/>
              </w:rPr>
              <w:t>H</w:t>
            </w:r>
            <w:r>
              <w:rPr>
                <w:rFonts w:ascii="Arial" w:hAnsi="Arial"/>
                <w:i/>
                <w:spacing w:val="-5"/>
                <w:sz w:val="20"/>
              </w:rPr>
              <w:t> </w:t>
            </w:r>
            <w:r>
              <w:rPr>
                <w:rFonts w:ascii="Arial" w:hAnsi="Arial"/>
                <w:i/>
                <w:sz w:val="20"/>
              </w:rPr>
              <w:t>and</w:t>
            </w:r>
            <w:r>
              <w:rPr>
                <w:rFonts w:ascii="Arial" w:hAnsi="Arial"/>
                <w:i/>
                <w:spacing w:val="-5"/>
                <w:sz w:val="20"/>
              </w:rPr>
              <w:t> </w:t>
            </w:r>
            <w:r>
              <w:rPr>
                <w:rFonts w:ascii="Arial" w:hAnsi="Arial"/>
                <w:i/>
                <w:spacing w:val="-10"/>
                <w:sz w:val="20"/>
              </w:rPr>
              <w:t>I</w:t>
            </w:r>
          </w:p>
        </w:tc>
        <w:tc>
          <w:tcPr>
            <w:tcW w:w="1354" w:type="dxa"/>
            <w:tcBorders>
              <w:bottom w:val="single" w:sz="8" w:space="0" w:color="000000"/>
            </w:tcBorders>
          </w:tcPr>
          <w:p>
            <w:pPr>
              <w:pStyle w:val="TableParagraph"/>
              <w:spacing w:line="214" w:lineRule="exact" w:before="17"/>
              <w:ind w:right="128"/>
              <w:jc w:val="right"/>
              <w:rPr>
                <w:sz w:val="20"/>
              </w:rPr>
            </w:pPr>
            <w:r>
              <w:rPr>
                <w:spacing w:val="-2"/>
                <w:sz w:val="20"/>
              </w:rPr>
              <w:t>1,875</w:t>
            </w:r>
          </w:p>
        </w:tc>
        <w:tc>
          <w:tcPr>
            <w:tcW w:w="1316" w:type="dxa"/>
            <w:tcBorders>
              <w:bottom w:val="single" w:sz="8" w:space="0" w:color="000000"/>
            </w:tcBorders>
          </w:tcPr>
          <w:p>
            <w:pPr>
              <w:pStyle w:val="TableParagraph"/>
              <w:spacing w:line="214" w:lineRule="exact" w:before="17"/>
              <w:ind w:right="79"/>
              <w:jc w:val="right"/>
              <w:rPr>
                <w:sz w:val="20"/>
              </w:rPr>
            </w:pPr>
            <w:r>
              <w:rPr>
                <w:spacing w:val="-2"/>
                <w:sz w:val="20"/>
              </w:rPr>
              <w:t>1,786</w:t>
            </w:r>
          </w:p>
        </w:tc>
      </w:tr>
      <w:tr>
        <w:trPr>
          <w:trHeight w:val="235" w:hRule="atLeast"/>
        </w:trPr>
        <w:tc>
          <w:tcPr>
            <w:tcW w:w="6740" w:type="dxa"/>
          </w:tcPr>
          <w:p>
            <w:pPr>
              <w:pStyle w:val="TableParagraph"/>
              <w:rPr>
                <w:rFonts w:ascii="Times New Roman"/>
                <w:sz w:val="16"/>
              </w:rPr>
            </w:pPr>
          </w:p>
        </w:tc>
        <w:tc>
          <w:tcPr>
            <w:tcW w:w="1354" w:type="dxa"/>
            <w:tcBorders>
              <w:top w:val="single" w:sz="8" w:space="0" w:color="000000"/>
              <w:bottom w:val="single" w:sz="8" w:space="0" w:color="000000"/>
            </w:tcBorders>
          </w:tcPr>
          <w:p>
            <w:pPr>
              <w:pStyle w:val="TableParagraph"/>
              <w:spacing w:line="214" w:lineRule="exact"/>
              <w:ind w:right="128"/>
              <w:jc w:val="right"/>
              <w:rPr>
                <w:sz w:val="20"/>
              </w:rPr>
            </w:pPr>
            <w:r>
              <w:rPr>
                <w:spacing w:val="-2"/>
                <w:sz w:val="20"/>
              </w:rPr>
              <w:t>7,987</w:t>
            </w:r>
          </w:p>
        </w:tc>
        <w:tc>
          <w:tcPr>
            <w:tcW w:w="1316" w:type="dxa"/>
            <w:tcBorders>
              <w:top w:val="single" w:sz="8" w:space="0" w:color="000000"/>
              <w:bottom w:val="single" w:sz="8" w:space="0" w:color="000000"/>
            </w:tcBorders>
          </w:tcPr>
          <w:p>
            <w:pPr>
              <w:pStyle w:val="TableParagraph"/>
              <w:spacing w:line="214" w:lineRule="exact"/>
              <w:ind w:right="79"/>
              <w:jc w:val="right"/>
              <w:rPr>
                <w:sz w:val="20"/>
              </w:rPr>
            </w:pPr>
            <w:r>
              <w:rPr>
                <w:spacing w:val="-2"/>
                <w:sz w:val="20"/>
              </w:rPr>
              <w:t>5,916</w:t>
            </w:r>
          </w:p>
        </w:tc>
      </w:tr>
      <w:tr>
        <w:trPr>
          <w:trHeight w:val="215" w:hRule="atLeast"/>
        </w:trPr>
        <w:tc>
          <w:tcPr>
            <w:tcW w:w="6740" w:type="dxa"/>
          </w:tcPr>
          <w:p>
            <w:pPr>
              <w:pStyle w:val="TableParagraph"/>
              <w:spacing w:line="195" w:lineRule="exact"/>
              <w:ind w:left="102"/>
              <w:rPr>
                <w:rFonts w:ascii="Arial"/>
                <w:b/>
                <w:sz w:val="20"/>
              </w:rPr>
            </w:pPr>
            <w:r>
              <w:rPr>
                <w:rFonts w:ascii="Arial"/>
                <w:b/>
                <w:sz w:val="20"/>
              </w:rPr>
              <w:t>Total</w:t>
            </w:r>
            <w:r>
              <w:rPr>
                <w:rFonts w:ascii="Arial"/>
                <w:b/>
                <w:spacing w:val="-4"/>
                <w:sz w:val="20"/>
              </w:rPr>
              <w:t> </w:t>
            </w:r>
            <w:r>
              <w:rPr>
                <w:rFonts w:ascii="Arial"/>
                <w:b/>
                <w:spacing w:val="-2"/>
                <w:sz w:val="20"/>
              </w:rPr>
              <w:t>assets</w:t>
            </w:r>
          </w:p>
        </w:tc>
        <w:tc>
          <w:tcPr>
            <w:tcW w:w="1354" w:type="dxa"/>
            <w:tcBorders>
              <w:top w:val="single" w:sz="8" w:space="0" w:color="000000"/>
              <w:bottom w:val="double" w:sz="8" w:space="0" w:color="000000"/>
            </w:tcBorders>
          </w:tcPr>
          <w:p>
            <w:pPr>
              <w:pStyle w:val="TableParagraph"/>
              <w:tabs>
                <w:tab w:pos="500" w:val="left" w:leader="none"/>
              </w:tabs>
              <w:spacing w:line="194" w:lineRule="exact"/>
              <w:ind w:left="52"/>
              <w:rPr>
                <w:sz w:val="20"/>
              </w:rPr>
            </w:pPr>
            <w:r>
              <w:rPr>
                <w:spacing w:val="-10"/>
                <w:sz w:val="20"/>
              </w:rPr>
              <w:t>$</w:t>
            </w:r>
            <w:r>
              <w:rPr>
                <w:sz w:val="20"/>
              </w:rPr>
              <w:tab/>
            </w:r>
            <w:r>
              <w:rPr>
                <w:spacing w:val="-2"/>
                <w:sz w:val="20"/>
              </w:rPr>
              <w:t>332,641</w:t>
            </w:r>
          </w:p>
        </w:tc>
        <w:tc>
          <w:tcPr>
            <w:tcW w:w="1316" w:type="dxa"/>
            <w:tcBorders>
              <w:top w:val="single" w:sz="8" w:space="0" w:color="000000"/>
              <w:bottom w:val="double" w:sz="8" w:space="0" w:color="000000"/>
            </w:tcBorders>
          </w:tcPr>
          <w:p>
            <w:pPr>
              <w:pStyle w:val="TableParagraph"/>
              <w:tabs>
                <w:tab w:pos="448" w:val="left" w:leader="none"/>
              </w:tabs>
              <w:spacing w:line="194" w:lineRule="exact"/>
              <w:ind w:right="79"/>
              <w:jc w:val="right"/>
              <w:rPr>
                <w:sz w:val="20"/>
              </w:rPr>
            </w:pPr>
            <w:r>
              <w:rPr>
                <w:spacing w:val="-10"/>
                <w:sz w:val="20"/>
              </w:rPr>
              <w:t>$</w:t>
            </w:r>
            <w:r>
              <w:rPr>
                <w:sz w:val="20"/>
              </w:rPr>
              <w:tab/>
            </w:r>
            <w:r>
              <w:rPr>
                <w:spacing w:val="-2"/>
                <w:sz w:val="20"/>
              </w:rPr>
              <w:t>317,542</w:t>
            </w:r>
          </w:p>
        </w:tc>
      </w:tr>
    </w:tbl>
    <w:p>
      <w:pPr>
        <w:pStyle w:val="TableParagraph"/>
        <w:spacing w:after="0" w:line="194" w:lineRule="exact"/>
        <w:jc w:val="right"/>
        <w:rPr>
          <w:sz w:val="20"/>
        </w:rPr>
        <w:sectPr>
          <w:headerReference w:type="even" r:id="rId105"/>
          <w:footerReference w:type="even" r:id="rId106"/>
          <w:footerReference w:type="default" r:id="rId107"/>
          <w:pgSz w:w="12240" w:h="15840"/>
          <w:pgMar w:header="0" w:footer="528" w:top="1020" w:bottom="720" w:left="720" w:right="720"/>
          <w:pgNumType w:start="78"/>
        </w:sectPr>
      </w:pPr>
    </w:p>
    <w:p>
      <w:pPr>
        <w:pStyle w:val="BodyText"/>
        <w:spacing w:before="118"/>
        <w:rPr>
          <w:rFonts w:ascii="Arial MT"/>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87"/>
        <w:gridCol w:w="1320"/>
        <w:gridCol w:w="1349"/>
      </w:tblGrid>
      <w:tr>
        <w:trPr>
          <w:trHeight w:val="242" w:hRule="atLeast"/>
        </w:trPr>
        <w:tc>
          <w:tcPr>
            <w:tcW w:w="6687" w:type="dxa"/>
          </w:tcPr>
          <w:p>
            <w:pPr>
              <w:pStyle w:val="TableParagraph"/>
              <w:rPr>
                <w:rFonts w:ascii="Times New Roman"/>
                <w:sz w:val="16"/>
              </w:rPr>
            </w:pPr>
          </w:p>
        </w:tc>
        <w:tc>
          <w:tcPr>
            <w:tcW w:w="1320" w:type="dxa"/>
            <w:tcBorders>
              <w:bottom w:val="single" w:sz="8" w:space="0" w:color="000000"/>
            </w:tcBorders>
          </w:tcPr>
          <w:p>
            <w:pPr>
              <w:pStyle w:val="TableParagraph"/>
              <w:spacing w:line="222" w:lineRule="exact"/>
              <w:ind w:left="430"/>
              <w:rPr>
                <w:rFonts w:ascii="Arial"/>
                <w:i/>
                <w:sz w:val="20"/>
              </w:rPr>
            </w:pPr>
            <w:r>
              <w:rPr>
                <w:rFonts w:ascii="Arial"/>
                <w:i/>
                <w:spacing w:val="-4"/>
                <w:sz w:val="20"/>
              </w:rPr>
              <w:t>2023</w:t>
            </w:r>
          </w:p>
        </w:tc>
        <w:tc>
          <w:tcPr>
            <w:tcW w:w="1349" w:type="dxa"/>
            <w:tcBorders>
              <w:bottom w:val="single" w:sz="8" w:space="0" w:color="000000"/>
            </w:tcBorders>
          </w:tcPr>
          <w:p>
            <w:pPr>
              <w:pStyle w:val="TableParagraph"/>
              <w:spacing w:line="222" w:lineRule="exact"/>
              <w:ind w:left="475"/>
              <w:rPr>
                <w:rFonts w:ascii="Arial"/>
                <w:i/>
                <w:sz w:val="20"/>
              </w:rPr>
            </w:pPr>
            <w:r>
              <w:rPr>
                <w:rFonts w:ascii="Arial"/>
                <w:i/>
                <w:spacing w:val="-4"/>
                <w:sz w:val="20"/>
              </w:rPr>
              <w:t>2022</w:t>
            </w:r>
          </w:p>
        </w:tc>
      </w:tr>
      <w:tr>
        <w:trPr>
          <w:trHeight w:val="276" w:hRule="atLeast"/>
        </w:trPr>
        <w:tc>
          <w:tcPr>
            <w:tcW w:w="6687" w:type="dxa"/>
          </w:tcPr>
          <w:p>
            <w:pPr>
              <w:pStyle w:val="TableParagraph"/>
              <w:spacing w:before="15"/>
              <w:ind w:left="50"/>
              <w:rPr>
                <w:rFonts w:ascii="Arial"/>
                <w:b/>
                <w:sz w:val="20"/>
              </w:rPr>
            </w:pPr>
            <w:r>
              <w:rPr>
                <w:rFonts w:ascii="Arial"/>
                <w:b/>
                <w:spacing w:val="-2"/>
                <w:sz w:val="20"/>
              </w:rPr>
              <w:t>Liabilities</w:t>
            </w:r>
          </w:p>
        </w:tc>
        <w:tc>
          <w:tcPr>
            <w:tcW w:w="1320" w:type="dxa"/>
            <w:tcBorders>
              <w:top w:val="single" w:sz="8" w:space="0" w:color="000000"/>
            </w:tcBorders>
          </w:tcPr>
          <w:p>
            <w:pPr>
              <w:pStyle w:val="TableParagraph"/>
              <w:rPr>
                <w:rFonts w:ascii="Times New Roman"/>
                <w:sz w:val="18"/>
              </w:rPr>
            </w:pPr>
          </w:p>
        </w:tc>
        <w:tc>
          <w:tcPr>
            <w:tcW w:w="1349" w:type="dxa"/>
            <w:tcBorders>
              <w:top w:val="single" w:sz="8" w:space="0" w:color="000000"/>
            </w:tcBorders>
          </w:tcPr>
          <w:p>
            <w:pPr>
              <w:pStyle w:val="TableParagraph"/>
              <w:rPr>
                <w:rFonts w:ascii="Times New Roman"/>
                <w:sz w:val="18"/>
              </w:rPr>
            </w:pPr>
          </w:p>
        </w:tc>
      </w:tr>
      <w:tr>
        <w:trPr>
          <w:trHeight w:val="337" w:hRule="atLeast"/>
        </w:trPr>
        <w:tc>
          <w:tcPr>
            <w:tcW w:w="6687" w:type="dxa"/>
          </w:tcPr>
          <w:p>
            <w:pPr>
              <w:pStyle w:val="TableParagraph"/>
              <w:spacing w:before="24"/>
              <w:ind w:left="50"/>
              <w:rPr>
                <w:rFonts w:ascii="Arial" w:hAnsi="Arial"/>
                <w:b/>
                <w:i/>
                <w:sz w:val="20"/>
              </w:rPr>
            </w:pPr>
            <w:r>
              <w:rPr>
                <w:rFonts w:ascii="Arial" w:hAnsi="Arial"/>
                <w:b/>
                <w:i/>
                <w:sz w:val="20"/>
              </w:rPr>
              <w:t>Borrowings—Notes</w:t>
            </w:r>
            <w:r>
              <w:rPr>
                <w:rFonts w:ascii="Arial" w:hAnsi="Arial"/>
                <w:b/>
                <w:i/>
                <w:spacing w:val="-6"/>
                <w:sz w:val="20"/>
              </w:rPr>
              <w:t> </w:t>
            </w:r>
            <w:r>
              <w:rPr>
                <w:rFonts w:ascii="Arial" w:hAnsi="Arial"/>
                <w:b/>
                <w:i/>
                <w:sz w:val="20"/>
              </w:rPr>
              <w:t>E</w:t>
            </w:r>
            <w:r>
              <w:rPr>
                <w:rFonts w:ascii="Arial" w:hAnsi="Arial"/>
                <w:b/>
                <w:i/>
                <w:spacing w:val="-6"/>
                <w:sz w:val="20"/>
              </w:rPr>
              <w:t> </w:t>
            </w:r>
            <w:r>
              <w:rPr>
                <w:rFonts w:ascii="Arial" w:hAnsi="Arial"/>
                <w:b/>
                <w:i/>
                <w:sz w:val="20"/>
              </w:rPr>
              <w:t>and</w:t>
            </w:r>
            <w:r>
              <w:rPr>
                <w:rFonts w:ascii="Arial" w:hAnsi="Arial"/>
                <w:b/>
                <w:i/>
                <w:spacing w:val="-6"/>
                <w:sz w:val="20"/>
              </w:rPr>
              <w:t> </w:t>
            </w:r>
            <w:r>
              <w:rPr>
                <w:rFonts w:ascii="Arial" w:hAnsi="Arial"/>
                <w:b/>
                <w:i/>
                <w:spacing w:val="-10"/>
                <w:sz w:val="20"/>
              </w:rPr>
              <w:t>L</w:t>
            </w:r>
          </w:p>
        </w:tc>
        <w:tc>
          <w:tcPr>
            <w:tcW w:w="1320" w:type="dxa"/>
          </w:tcPr>
          <w:p>
            <w:pPr>
              <w:pStyle w:val="TableParagraph"/>
              <w:tabs>
                <w:tab w:pos="448" w:val="left" w:leader="none"/>
              </w:tabs>
              <w:spacing w:before="24"/>
              <w:ind w:right="94"/>
              <w:jc w:val="right"/>
              <w:rPr>
                <w:sz w:val="20"/>
              </w:rPr>
            </w:pPr>
            <w:r>
              <w:rPr>
                <w:spacing w:val="-10"/>
                <w:sz w:val="20"/>
              </w:rPr>
              <w:t>$</w:t>
            </w:r>
            <w:r>
              <w:rPr>
                <w:sz w:val="20"/>
              </w:rPr>
              <w:tab/>
            </w:r>
            <w:r>
              <w:rPr>
                <w:spacing w:val="-2"/>
                <w:sz w:val="20"/>
              </w:rPr>
              <w:t>237,265</w:t>
            </w:r>
          </w:p>
        </w:tc>
        <w:tc>
          <w:tcPr>
            <w:tcW w:w="1349" w:type="dxa"/>
          </w:tcPr>
          <w:p>
            <w:pPr>
              <w:pStyle w:val="TableParagraph"/>
              <w:tabs>
                <w:tab w:pos="448" w:val="left" w:leader="none"/>
              </w:tabs>
              <w:spacing w:before="24"/>
              <w:ind w:right="78"/>
              <w:jc w:val="right"/>
              <w:rPr>
                <w:sz w:val="20"/>
              </w:rPr>
            </w:pPr>
            <w:r>
              <w:rPr>
                <w:spacing w:val="-10"/>
                <w:sz w:val="20"/>
              </w:rPr>
              <w:t>$</w:t>
            </w:r>
            <w:r>
              <w:rPr>
                <w:sz w:val="20"/>
              </w:rPr>
              <w:tab/>
            </w:r>
            <w:r>
              <w:rPr>
                <w:spacing w:val="-2"/>
                <w:sz w:val="20"/>
              </w:rPr>
              <w:t>235,173</w:t>
            </w:r>
          </w:p>
        </w:tc>
      </w:tr>
      <w:tr>
        <w:trPr>
          <w:trHeight w:val="870" w:hRule="atLeast"/>
        </w:trPr>
        <w:tc>
          <w:tcPr>
            <w:tcW w:w="6687" w:type="dxa"/>
          </w:tcPr>
          <w:p>
            <w:pPr>
              <w:pStyle w:val="TableParagraph"/>
              <w:spacing w:line="249" w:lineRule="auto" w:before="76"/>
              <w:ind w:left="230" w:hanging="180"/>
              <w:rPr>
                <w:rFonts w:ascii="Arial" w:hAnsi="Arial"/>
                <w:b/>
                <w:i/>
                <w:sz w:val="20"/>
              </w:rPr>
            </w:pPr>
            <w:r>
              <w:rPr>
                <w:rFonts w:ascii="Arial" w:hAnsi="Arial"/>
                <w:b/>
                <w:i/>
                <w:sz w:val="20"/>
              </w:rPr>
              <w:t>Securities</w:t>
            </w:r>
            <w:r>
              <w:rPr>
                <w:rFonts w:ascii="Arial" w:hAnsi="Arial"/>
                <w:b/>
                <w:i/>
                <w:spacing w:val="-7"/>
                <w:sz w:val="20"/>
              </w:rPr>
              <w:t> </w:t>
            </w:r>
            <w:r>
              <w:rPr>
                <w:rFonts w:ascii="Arial" w:hAnsi="Arial"/>
                <w:b/>
                <w:i/>
                <w:sz w:val="20"/>
              </w:rPr>
              <w:t>sold</w:t>
            </w:r>
            <w:r>
              <w:rPr>
                <w:rFonts w:ascii="Arial" w:hAnsi="Arial"/>
                <w:b/>
                <w:i/>
                <w:spacing w:val="-7"/>
                <w:sz w:val="20"/>
              </w:rPr>
              <w:t> </w:t>
            </w:r>
            <w:r>
              <w:rPr>
                <w:rFonts w:ascii="Arial" w:hAnsi="Arial"/>
                <w:b/>
                <w:i/>
                <w:sz w:val="20"/>
              </w:rPr>
              <w:t>under</w:t>
            </w:r>
            <w:r>
              <w:rPr>
                <w:rFonts w:ascii="Arial" w:hAnsi="Arial"/>
                <w:b/>
                <w:i/>
                <w:spacing w:val="-7"/>
                <w:sz w:val="20"/>
              </w:rPr>
              <w:t> </w:t>
            </w:r>
            <w:r>
              <w:rPr>
                <w:rFonts w:ascii="Arial" w:hAnsi="Arial"/>
                <w:b/>
                <w:i/>
                <w:sz w:val="20"/>
              </w:rPr>
              <w:t>repurchase</w:t>
            </w:r>
            <w:r>
              <w:rPr>
                <w:rFonts w:ascii="Arial" w:hAnsi="Arial"/>
                <w:b/>
                <w:i/>
                <w:spacing w:val="-7"/>
                <w:sz w:val="20"/>
              </w:rPr>
              <w:t> </w:t>
            </w:r>
            <w:r>
              <w:rPr>
                <w:rFonts w:ascii="Arial" w:hAnsi="Arial"/>
                <w:b/>
                <w:i/>
                <w:sz w:val="20"/>
              </w:rPr>
              <w:t>agreements,</w:t>
            </w:r>
            <w:r>
              <w:rPr>
                <w:rFonts w:ascii="Arial" w:hAnsi="Arial"/>
                <w:b/>
                <w:i/>
                <w:spacing w:val="-7"/>
                <w:sz w:val="20"/>
              </w:rPr>
              <w:t> </w:t>
            </w:r>
            <w:r>
              <w:rPr>
                <w:rFonts w:ascii="Arial" w:hAnsi="Arial"/>
                <w:b/>
                <w:i/>
                <w:sz w:val="20"/>
              </w:rPr>
              <w:t>securities</w:t>
            </w:r>
            <w:r>
              <w:rPr>
                <w:rFonts w:ascii="Arial" w:hAnsi="Arial"/>
                <w:b/>
                <w:i/>
                <w:spacing w:val="-7"/>
                <w:sz w:val="20"/>
              </w:rPr>
              <w:t> </w:t>
            </w:r>
            <w:r>
              <w:rPr>
                <w:rFonts w:ascii="Arial" w:hAnsi="Arial"/>
                <w:b/>
                <w:i/>
                <w:sz w:val="20"/>
              </w:rPr>
              <w:t>lent</w:t>
            </w:r>
            <w:r>
              <w:rPr>
                <w:rFonts w:ascii="Arial" w:hAnsi="Arial"/>
                <w:b/>
                <w:i/>
                <w:spacing w:val="-7"/>
                <w:sz w:val="20"/>
              </w:rPr>
              <w:t> </w:t>
            </w:r>
            <w:r>
              <w:rPr>
                <w:rFonts w:ascii="Arial" w:hAnsi="Arial"/>
                <w:b/>
                <w:i/>
                <w:sz w:val="20"/>
              </w:rPr>
              <w:t>under securities lending agreements, and payable for cash collateral received—Notes C and L</w:t>
            </w:r>
          </w:p>
        </w:tc>
        <w:tc>
          <w:tcPr>
            <w:tcW w:w="1320" w:type="dxa"/>
          </w:tcPr>
          <w:p>
            <w:pPr>
              <w:pStyle w:val="TableParagraph"/>
              <w:rPr>
                <w:sz w:val="20"/>
              </w:rPr>
            </w:pPr>
          </w:p>
          <w:p>
            <w:pPr>
              <w:pStyle w:val="TableParagraph"/>
              <w:spacing w:before="96"/>
              <w:rPr>
                <w:sz w:val="20"/>
              </w:rPr>
            </w:pPr>
          </w:p>
          <w:p>
            <w:pPr>
              <w:pStyle w:val="TableParagraph"/>
              <w:ind w:right="94"/>
              <w:jc w:val="right"/>
              <w:rPr>
                <w:sz w:val="20"/>
              </w:rPr>
            </w:pPr>
            <w:r>
              <w:rPr>
                <w:spacing w:val="-10"/>
                <w:sz w:val="20"/>
              </w:rPr>
              <w:t>9</w:t>
            </w:r>
          </w:p>
        </w:tc>
        <w:tc>
          <w:tcPr>
            <w:tcW w:w="1349" w:type="dxa"/>
          </w:tcPr>
          <w:p>
            <w:pPr>
              <w:pStyle w:val="TableParagraph"/>
              <w:rPr>
                <w:sz w:val="20"/>
              </w:rPr>
            </w:pPr>
          </w:p>
          <w:p>
            <w:pPr>
              <w:pStyle w:val="TableParagraph"/>
              <w:spacing w:before="96"/>
              <w:rPr>
                <w:sz w:val="20"/>
              </w:rPr>
            </w:pPr>
          </w:p>
          <w:p>
            <w:pPr>
              <w:pStyle w:val="TableParagraph"/>
              <w:ind w:right="78"/>
              <w:jc w:val="right"/>
              <w:rPr>
                <w:sz w:val="20"/>
              </w:rPr>
            </w:pPr>
            <w:r>
              <w:rPr>
                <w:spacing w:val="-5"/>
                <w:sz w:val="20"/>
              </w:rPr>
              <w:t>37</w:t>
            </w:r>
          </w:p>
        </w:tc>
      </w:tr>
      <w:tr>
        <w:trPr>
          <w:trHeight w:val="390" w:hRule="atLeast"/>
        </w:trPr>
        <w:tc>
          <w:tcPr>
            <w:tcW w:w="6687" w:type="dxa"/>
          </w:tcPr>
          <w:p>
            <w:pPr>
              <w:pStyle w:val="TableParagraph"/>
              <w:spacing w:before="76"/>
              <w:ind w:left="50"/>
              <w:rPr>
                <w:rFonts w:ascii="Arial" w:hAnsi="Arial"/>
                <w:b/>
                <w:i/>
                <w:sz w:val="20"/>
              </w:rPr>
            </w:pPr>
            <w:r>
              <w:rPr>
                <w:rFonts w:ascii="Arial" w:hAnsi="Arial"/>
                <w:b/>
                <w:i/>
                <w:sz w:val="20"/>
              </w:rPr>
              <w:t>Derivative</w:t>
            </w:r>
            <w:r>
              <w:rPr>
                <w:rFonts w:ascii="Arial" w:hAnsi="Arial"/>
                <w:b/>
                <w:i/>
                <w:spacing w:val="-8"/>
                <w:sz w:val="20"/>
              </w:rPr>
              <w:t> </w:t>
            </w:r>
            <w:r>
              <w:rPr>
                <w:rFonts w:ascii="Arial" w:hAnsi="Arial"/>
                <w:b/>
                <w:i/>
                <w:sz w:val="20"/>
              </w:rPr>
              <w:t>liabilities,</w:t>
            </w:r>
            <w:r>
              <w:rPr>
                <w:rFonts w:ascii="Arial" w:hAnsi="Arial"/>
                <w:b/>
                <w:i/>
                <w:spacing w:val="-5"/>
                <w:sz w:val="20"/>
              </w:rPr>
              <w:t> </w:t>
            </w:r>
            <w:r>
              <w:rPr>
                <w:rFonts w:ascii="Arial" w:hAnsi="Arial"/>
                <w:b/>
                <w:i/>
                <w:sz w:val="20"/>
              </w:rPr>
              <w:t>net—Notes</w:t>
            </w:r>
            <w:r>
              <w:rPr>
                <w:rFonts w:ascii="Arial" w:hAnsi="Arial"/>
                <w:b/>
                <w:i/>
                <w:spacing w:val="-5"/>
                <w:sz w:val="20"/>
              </w:rPr>
              <w:t> </w:t>
            </w:r>
            <w:r>
              <w:rPr>
                <w:rFonts w:ascii="Arial" w:hAnsi="Arial"/>
                <w:b/>
                <w:i/>
                <w:sz w:val="20"/>
              </w:rPr>
              <w:t>C,</w:t>
            </w:r>
            <w:r>
              <w:rPr>
                <w:rFonts w:ascii="Arial" w:hAnsi="Arial"/>
                <w:b/>
                <w:i/>
                <w:spacing w:val="-6"/>
                <w:sz w:val="20"/>
              </w:rPr>
              <w:t> </w:t>
            </w:r>
            <w:r>
              <w:rPr>
                <w:rFonts w:ascii="Arial" w:hAnsi="Arial"/>
                <w:b/>
                <w:i/>
                <w:sz w:val="20"/>
              </w:rPr>
              <w:t>F</w:t>
            </w:r>
            <w:r>
              <w:rPr>
                <w:rFonts w:ascii="Arial" w:hAnsi="Arial"/>
                <w:b/>
                <w:i/>
                <w:spacing w:val="-5"/>
                <w:sz w:val="20"/>
              </w:rPr>
              <w:t> </w:t>
            </w:r>
            <w:r>
              <w:rPr>
                <w:rFonts w:ascii="Arial" w:hAnsi="Arial"/>
                <w:b/>
                <w:i/>
                <w:sz w:val="20"/>
              </w:rPr>
              <w:t>and</w:t>
            </w:r>
            <w:r>
              <w:rPr>
                <w:rFonts w:ascii="Arial" w:hAnsi="Arial"/>
                <w:b/>
                <w:i/>
                <w:spacing w:val="-5"/>
                <w:sz w:val="20"/>
              </w:rPr>
              <w:t> </w:t>
            </w:r>
            <w:r>
              <w:rPr>
                <w:rFonts w:ascii="Arial" w:hAnsi="Arial"/>
                <w:b/>
                <w:i/>
                <w:spacing w:val="-10"/>
                <w:sz w:val="20"/>
              </w:rPr>
              <w:t>L</w:t>
            </w:r>
          </w:p>
        </w:tc>
        <w:tc>
          <w:tcPr>
            <w:tcW w:w="1320" w:type="dxa"/>
          </w:tcPr>
          <w:p>
            <w:pPr>
              <w:pStyle w:val="TableParagraph"/>
              <w:spacing w:before="76"/>
              <w:ind w:right="94"/>
              <w:jc w:val="right"/>
              <w:rPr>
                <w:sz w:val="20"/>
              </w:rPr>
            </w:pPr>
            <w:r>
              <w:rPr>
                <w:spacing w:val="-2"/>
                <w:sz w:val="20"/>
              </w:rPr>
              <w:t>26,893</w:t>
            </w:r>
          </w:p>
        </w:tc>
        <w:tc>
          <w:tcPr>
            <w:tcW w:w="1349" w:type="dxa"/>
          </w:tcPr>
          <w:p>
            <w:pPr>
              <w:pStyle w:val="TableParagraph"/>
              <w:spacing w:before="76"/>
              <w:ind w:right="78"/>
              <w:jc w:val="right"/>
              <w:rPr>
                <w:sz w:val="20"/>
              </w:rPr>
            </w:pPr>
            <w:r>
              <w:rPr>
                <w:spacing w:val="-2"/>
                <w:sz w:val="20"/>
              </w:rPr>
              <w:t>20,041</w:t>
            </w:r>
          </w:p>
        </w:tc>
      </w:tr>
      <w:tr>
        <w:trPr>
          <w:trHeight w:val="337" w:hRule="atLeast"/>
        </w:trPr>
        <w:tc>
          <w:tcPr>
            <w:tcW w:w="6687" w:type="dxa"/>
          </w:tcPr>
          <w:p>
            <w:pPr>
              <w:pStyle w:val="TableParagraph"/>
              <w:spacing w:before="76"/>
              <w:ind w:left="50"/>
              <w:rPr>
                <w:rFonts w:ascii="Arial"/>
                <w:b/>
                <w:i/>
                <w:sz w:val="20"/>
              </w:rPr>
            </w:pPr>
            <w:r>
              <w:rPr>
                <w:rFonts w:ascii="Arial"/>
                <w:b/>
                <w:i/>
                <w:sz w:val="20"/>
              </w:rPr>
              <w:t>Other</w:t>
            </w:r>
            <w:r>
              <w:rPr>
                <w:rFonts w:ascii="Arial"/>
                <w:b/>
                <w:i/>
                <w:spacing w:val="-4"/>
                <w:sz w:val="20"/>
              </w:rPr>
              <w:t> </w:t>
            </w:r>
            <w:r>
              <w:rPr>
                <w:rFonts w:ascii="Arial"/>
                <w:b/>
                <w:i/>
                <w:spacing w:val="-2"/>
                <w:sz w:val="20"/>
              </w:rPr>
              <w:t>liabilities</w:t>
            </w:r>
          </w:p>
        </w:tc>
        <w:tc>
          <w:tcPr>
            <w:tcW w:w="1320" w:type="dxa"/>
          </w:tcPr>
          <w:p>
            <w:pPr>
              <w:pStyle w:val="TableParagraph"/>
              <w:rPr>
                <w:rFonts w:ascii="Times New Roman"/>
                <w:sz w:val="18"/>
              </w:rPr>
            </w:pPr>
          </w:p>
        </w:tc>
        <w:tc>
          <w:tcPr>
            <w:tcW w:w="1349" w:type="dxa"/>
          </w:tcPr>
          <w:p>
            <w:pPr>
              <w:pStyle w:val="TableParagraph"/>
              <w:rPr>
                <w:rFonts w:ascii="Times New Roman"/>
                <w:sz w:val="18"/>
              </w:rPr>
            </w:pPr>
          </w:p>
        </w:tc>
      </w:tr>
      <w:tr>
        <w:trPr>
          <w:trHeight w:val="285" w:hRule="atLeast"/>
        </w:trPr>
        <w:tc>
          <w:tcPr>
            <w:tcW w:w="6687" w:type="dxa"/>
          </w:tcPr>
          <w:p>
            <w:pPr>
              <w:pStyle w:val="TableParagraph"/>
              <w:spacing w:before="24"/>
              <w:ind w:left="230"/>
              <w:rPr>
                <w:rFonts w:ascii="Arial" w:hAnsi="Arial"/>
                <w:i/>
                <w:sz w:val="20"/>
              </w:rPr>
            </w:pPr>
            <w:r>
              <w:rPr>
                <w:sz w:val="20"/>
              </w:rPr>
              <w:t>Payable</w:t>
            </w:r>
            <w:r>
              <w:rPr>
                <w:spacing w:val="-7"/>
                <w:sz w:val="20"/>
              </w:rPr>
              <w:t> </w:t>
            </w:r>
            <w:r>
              <w:rPr>
                <w:sz w:val="20"/>
              </w:rPr>
              <w:t>for</w:t>
            </w:r>
            <w:r>
              <w:rPr>
                <w:spacing w:val="-7"/>
                <w:sz w:val="20"/>
              </w:rPr>
              <w:t> </w:t>
            </w:r>
            <w:r>
              <w:rPr>
                <w:sz w:val="20"/>
              </w:rPr>
              <w:t>investment</w:t>
            </w:r>
            <w:r>
              <w:rPr>
                <w:spacing w:val="-6"/>
                <w:sz w:val="20"/>
              </w:rPr>
              <w:t> </w:t>
            </w:r>
            <w:r>
              <w:rPr>
                <w:sz w:val="20"/>
              </w:rPr>
              <w:t>securities</w:t>
            </w:r>
            <w:r>
              <w:rPr>
                <w:spacing w:val="-7"/>
                <w:sz w:val="20"/>
              </w:rPr>
              <w:t> </w:t>
            </w:r>
            <w:r>
              <w:rPr>
                <w:sz w:val="20"/>
              </w:rPr>
              <w:t>purchased—</w:t>
            </w:r>
            <w:r>
              <w:rPr>
                <w:rFonts w:ascii="Arial" w:hAnsi="Arial"/>
                <w:i/>
                <w:sz w:val="20"/>
              </w:rPr>
              <w:t>Note</w:t>
            </w:r>
            <w:r>
              <w:rPr>
                <w:rFonts w:ascii="Arial" w:hAnsi="Arial"/>
                <w:i/>
                <w:spacing w:val="-6"/>
                <w:sz w:val="20"/>
              </w:rPr>
              <w:t> </w:t>
            </w:r>
            <w:r>
              <w:rPr>
                <w:rFonts w:ascii="Arial" w:hAnsi="Arial"/>
                <w:i/>
                <w:spacing w:val="-10"/>
                <w:sz w:val="20"/>
              </w:rPr>
              <w:t>C</w:t>
            </w:r>
          </w:p>
        </w:tc>
        <w:tc>
          <w:tcPr>
            <w:tcW w:w="1320" w:type="dxa"/>
          </w:tcPr>
          <w:p>
            <w:pPr>
              <w:pStyle w:val="TableParagraph"/>
              <w:spacing w:before="24"/>
              <w:ind w:right="94"/>
              <w:jc w:val="right"/>
              <w:rPr>
                <w:sz w:val="20"/>
              </w:rPr>
            </w:pPr>
            <w:r>
              <w:rPr>
                <w:spacing w:val="-5"/>
                <w:sz w:val="20"/>
              </w:rPr>
              <w:t>640</w:t>
            </w:r>
          </w:p>
        </w:tc>
        <w:tc>
          <w:tcPr>
            <w:tcW w:w="1349" w:type="dxa"/>
          </w:tcPr>
          <w:p>
            <w:pPr>
              <w:pStyle w:val="TableParagraph"/>
              <w:spacing w:before="24"/>
              <w:ind w:right="78"/>
              <w:jc w:val="right"/>
              <w:rPr>
                <w:sz w:val="20"/>
              </w:rPr>
            </w:pPr>
            <w:r>
              <w:rPr>
                <w:spacing w:val="-5"/>
                <w:sz w:val="20"/>
              </w:rPr>
              <w:t>51</w:t>
            </w:r>
          </w:p>
        </w:tc>
      </w:tr>
      <w:tr>
        <w:trPr>
          <w:trHeight w:val="285" w:hRule="atLeast"/>
        </w:trPr>
        <w:tc>
          <w:tcPr>
            <w:tcW w:w="6687" w:type="dxa"/>
          </w:tcPr>
          <w:p>
            <w:pPr>
              <w:pStyle w:val="TableParagraph"/>
              <w:spacing w:before="24"/>
              <w:ind w:left="230"/>
              <w:rPr>
                <w:rFonts w:ascii="Arial" w:hAnsi="Arial"/>
                <w:i/>
                <w:sz w:val="20"/>
              </w:rPr>
            </w:pPr>
            <w:r>
              <w:rPr>
                <w:sz w:val="20"/>
              </w:rPr>
              <w:t>Liabilities</w:t>
            </w:r>
            <w:r>
              <w:rPr>
                <w:spacing w:val="-7"/>
                <w:sz w:val="20"/>
              </w:rPr>
              <w:t> </w:t>
            </w:r>
            <w:r>
              <w:rPr>
                <w:sz w:val="20"/>
              </w:rPr>
              <w:t>under</w:t>
            </w:r>
            <w:r>
              <w:rPr>
                <w:spacing w:val="-6"/>
                <w:sz w:val="20"/>
              </w:rPr>
              <w:t> </w:t>
            </w:r>
            <w:r>
              <w:rPr>
                <w:sz w:val="20"/>
              </w:rPr>
              <w:t>retirement</w:t>
            </w:r>
            <w:r>
              <w:rPr>
                <w:spacing w:val="-6"/>
                <w:sz w:val="20"/>
              </w:rPr>
              <w:t> </w:t>
            </w:r>
            <w:r>
              <w:rPr>
                <w:sz w:val="20"/>
              </w:rPr>
              <w:t>benefits</w:t>
            </w:r>
            <w:r>
              <w:rPr>
                <w:spacing w:val="-7"/>
                <w:sz w:val="20"/>
              </w:rPr>
              <w:t> </w:t>
            </w:r>
            <w:r>
              <w:rPr>
                <w:sz w:val="20"/>
              </w:rPr>
              <w:t>plans—</w:t>
            </w:r>
            <w:r>
              <w:rPr>
                <w:rFonts w:ascii="Arial" w:hAnsi="Arial"/>
                <w:i/>
                <w:sz w:val="20"/>
              </w:rPr>
              <w:t>Notes</w:t>
            </w:r>
            <w:r>
              <w:rPr>
                <w:rFonts w:ascii="Arial" w:hAnsi="Arial"/>
                <w:i/>
                <w:spacing w:val="-6"/>
                <w:sz w:val="20"/>
              </w:rPr>
              <w:t> </w:t>
            </w:r>
            <w:r>
              <w:rPr>
                <w:rFonts w:ascii="Arial" w:hAnsi="Arial"/>
                <w:i/>
                <w:sz w:val="20"/>
              </w:rPr>
              <w:t>J</w:t>
            </w:r>
            <w:r>
              <w:rPr>
                <w:rFonts w:ascii="Arial" w:hAnsi="Arial"/>
                <w:i/>
                <w:spacing w:val="-6"/>
                <w:sz w:val="20"/>
              </w:rPr>
              <w:t> </w:t>
            </w:r>
            <w:r>
              <w:rPr>
                <w:rFonts w:ascii="Arial" w:hAnsi="Arial"/>
                <w:i/>
                <w:sz w:val="20"/>
              </w:rPr>
              <w:t>and</w:t>
            </w:r>
            <w:r>
              <w:rPr>
                <w:rFonts w:ascii="Arial" w:hAnsi="Arial"/>
                <w:i/>
                <w:spacing w:val="-6"/>
                <w:sz w:val="20"/>
              </w:rPr>
              <w:t> </w:t>
            </w:r>
            <w:r>
              <w:rPr>
                <w:rFonts w:ascii="Arial" w:hAnsi="Arial"/>
                <w:i/>
                <w:spacing w:val="-10"/>
                <w:sz w:val="20"/>
              </w:rPr>
              <w:t>K</w:t>
            </w:r>
          </w:p>
        </w:tc>
        <w:tc>
          <w:tcPr>
            <w:tcW w:w="1320" w:type="dxa"/>
          </w:tcPr>
          <w:p>
            <w:pPr>
              <w:pStyle w:val="TableParagraph"/>
              <w:spacing w:before="24"/>
              <w:ind w:right="94"/>
              <w:jc w:val="right"/>
              <w:rPr>
                <w:sz w:val="20"/>
              </w:rPr>
            </w:pPr>
            <w:r>
              <w:rPr>
                <w:spacing w:val="-2"/>
                <w:sz w:val="20"/>
              </w:rPr>
              <w:t>2,057</w:t>
            </w:r>
          </w:p>
        </w:tc>
        <w:tc>
          <w:tcPr>
            <w:tcW w:w="1349" w:type="dxa"/>
          </w:tcPr>
          <w:p>
            <w:pPr>
              <w:pStyle w:val="TableParagraph"/>
              <w:spacing w:before="24"/>
              <w:ind w:right="78"/>
              <w:jc w:val="right"/>
              <w:rPr>
                <w:sz w:val="20"/>
              </w:rPr>
            </w:pPr>
            <w:r>
              <w:rPr>
                <w:spacing w:val="-2"/>
                <w:sz w:val="20"/>
              </w:rPr>
              <w:t>2,107</w:t>
            </w:r>
          </w:p>
        </w:tc>
      </w:tr>
      <w:tr>
        <w:trPr>
          <w:trHeight w:val="273" w:hRule="atLeast"/>
        </w:trPr>
        <w:tc>
          <w:tcPr>
            <w:tcW w:w="6687" w:type="dxa"/>
          </w:tcPr>
          <w:p>
            <w:pPr>
              <w:pStyle w:val="TableParagraph"/>
              <w:spacing w:line="230" w:lineRule="exact" w:before="24"/>
              <w:ind w:left="230"/>
              <w:rPr>
                <w:rFonts w:ascii="Arial" w:hAnsi="Arial"/>
                <w:i/>
                <w:sz w:val="20"/>
              </w:rPr>
            </w:pPr>
            <w:r>
              <w:rPr>
                <w:sz w:val="20"/>
              </w:rPr>
              <w:t>Accounts</w:t>
            </w:r>
            <w:r>
              <w:rPr>
                <w:spacing w:val="-8"/>
                <w:sz w:val="20"/>
              </w:rPr>
              <w:t> </w:t>
            </w:r>
            <w:r>
              <w:rPr>
                <w:sz w:val="20"/>
              </w:rPr>
              <w:t>payable</w:t>
            </w:r>
            <w:r>
              <w:rPr>
                <w:spacing w:val="-6"/>
                <w:sz w:val="20"/>
              </w:rPr>
              <w:t> </w:t>
            </w:r>
            <w:r>
              <w:rPr>
                <w:sz w:val="20"/>
              </w:rPr>
              <w:t>and</w:t>
            </w:r>
            <w:r>
              <w:rPr>
                <w:spacing w:val="-6"/>
                <w:sz w:val="20"/>
              </w:rPr>
              <w:t> </w:t>
            </w:r>
            <w:r>
              <w:rPr>
                <w:sz w:val="20"/>
              </w:rPr>
              <w:t>miscellaneous</w:t>
            </w:r>
            <w:r>
              <w:rPr>
                <w:spacing w:val="-5"/>
                <w:sz w:val="20"/>
              </w:rPr>
              <w:t> </w:t>
            </w:r>
            <w:r>
              <w:rPr>
                <w:sz w:val="20"/>
              </w:rPr>
              <w:t>liabilities—</w:t>
            </w:r>
            <w:r>
              <w:rPr>
                <w:rFonts w:ascii="Arial" w:hAnsi="Arial"/>
                <w:i/>
                <w:sz w:val="20"/>
              </w:rPr>
              <w:t>Notes</w:t>
            </w:r>
            <w:r>
              <w:rPr>
                <w:rFonts w:ascii="Arial" w:hAnsi="Arial"/>
                <w:i/>
                <w:spacing w:val="-6"/>
                <w:sz w:val="20"/>
              </w:rPr>
              <w:t> </w:t>
            </w:r>
            <w:r>
              <w:rPr>
                <w:rFonts w:ascii="Arial" w:hAnsi="Arial"/>
                <w:i/>
                <w:sz w:val="20"/>
              </w:rPr>
              <w:t>D,</w:t>
            </w:r>
            <w:r>
              <w:rPr>
                <w:rFonts w:ascii="Arial" w:hAnsi="Arial"/>
                <w:i/>
                <w:spacing w:val="-6"/>
                <w:sz w:val="20"/>
              </w:rPr>
              <w:t> </w:t>
            </w:r>
            <w:r>
              <w:rPr>
                <w:rFonts w:ascii="Arial" w:hAnsi="Arial"/>
                <w:i/>
                <w:sz w:val="20"/>
              </w:rPr>
              <w:t>H</w:t>
            </w:r>
            <w:r>
              <w:rPr>
                <w:rFonts w:ascii="Arial" w:hAnsi="Arial"/>
                <w:i/>
                <w:spacing w:val="-6"/>
                <w:sz w:val="20"/>
              </w:rPr>
              <w:t> </w:t>
            </w:r>
            <w:r>
              <w:rPr>
                <w:rFonts w:ascii="Arial" w:hAnsi="Arial"/>
                <w:i/>
                <w:sz w:val="20"/>
              </w:rPr>
              <w:t>and</w:t>
            </w:r>
            <w:r>
              <w:rPr>
                <w:rFonts w:ascii="Arial" w:hAnsi="Arial"/>
                <w:i/>
                <w:spacing w:val="-5"/>
                <w:sz w:val="20"/>
              </w:rPr>
              <w:t> </w:t>
            </w:r>
            <w:r>
              <w:rPr>
                <w:rFonts w:ascii="Arial" w:hAnsi="Arial"/>
                <w:i/>
                <w:spacing w:val="-10"/>
                <w:sz w:val="20"/>
              </w:rPr>
              <w:t>I</w:t>
            </w:r>
          </w:p>
        </w:tc>
        <w:tc>
          <w:tcPr>
            <w:tcW w:w="1320" w:type="dxa"/>
            <w:tcBorders>
              <w:bottom w:val="single" w:sz="8" w:space="0" w:color="000000"/>
            </w:tcBorders>
          </w:tcPr>
          <w:p>
            <w:pPr>
              <w:pStyle w:val="TableParagraph"/>
              <w:spacing w:line="230" w:lineRule="exact" w:before="24"/>
              <w:ind w:right="94"/>
              <w:jc w:val="right"/>
              <w:rPr>
                <w:sz w:val="20"/>
              </w:rPr>
            </w:pPr>
            <w:r>
              <w:rPr>
                <w:spacing w:val="-2"/>
                <w:sz w:val="20"/>
              </w:rPr>
              <w:t>5,395</w:t>
            </w:r>
          </w:p>
        </w:tc>
        <w:tc>
          <w:tcPr>
            <w:tcW w:w="1349" w:type="dxa"/>
            <w:tcBorders>
              <w:bottom w:val="single" w:sz="8" w:space="0" w:color="000000"/>
            </w:tcBorders>
          </w:tcPr>
          <w:p>
            <w:pPr>
              <w:pStyle w:val="TableParagraph"/>
              <w:spacing w:line="230" w:lineRule="exact" w:before="24"/>
              <w:ind w:right="78"/>
              <w:jc w:val="right"/>
              <w:rPr>
                <w:sz w:val="20"/>
              </w:rPr>
            </w:pPr>
            <w:r>
              <w:rPr>
                <w:spacing w:val="-2"/>
                <w:sz w:val="20"/>
              </w:rPr>
              <w:t>4,813</w:t>
            </w:r>
          </w:p>
        </w:tc>
      </w:tr>
      <w:tr>
        <w:trPr>
          <w:trHeight w:val="265" w:hRule="atLeast"/>
        </w:trPr>
        <w:tc>
          <w:tcPr>
            <w:tcW w:w="6687" w:type="dxa"/>
          </w:tcPr>
          <w:p>
            <w:pPr>
              <w:pStyle w:val="TableParagraph"/>
              <w:rPr>
                <w:rFonts w:ascii="Times New Roman"/>
                <w:sz w:val="18"/>
              </w:rPr>
            </w:pPr>
          </w:p>
        </w:tc>
        <w:tc>
          <w:tcPr>
            <w:tcW w:w="1320" w:type="dxa"/>
            <w:tcBorders>
              <w:top w:val="single" w:sz="8" w:space="0" w:color="000000"/>
              <w:bottom w:val="single" w:sz="8" w:space="0" w:color="000000"/>
            </w:tcBorders>
          </w:tcPr>
          <w:p>
            <w:pPr>
              <w:pStyle w:val="TableParagraph"/>
              <w:spacing w:line="230" w:lineRule="exact" w:before="15"/>
              <w:ind w:right="94"/>
              <w:jc w:val="right"/>
              <w:rPr>
                <w:sz w:val="20"/>
              </w:rPr>
            </w:pPr>
            <w:r>
              <w:rPr>
                <w:spacing w:val="-2"/>
                <w:sz w:val="20"/>
              </w:rPr>
              <w:t>8,092</w:t>
            </w:r>
          </w:p>
        </w:tc>
        <w:tc>
          <w:tcPr>
            <w:tcW w:w="1349" w:type="dxa"/>
            <w:tcBorders>
              <w:top w:val="single" w:sz="8" w:space="0" w:color="000000"/>
              <w:bottom w:val="single" w:sz="8" w:space="0" w:color="000000"/>
            </w:tcBorders>
          </w:tcPr>
          <w:p>
            <w:pPr>
              <w:pStyle w:val="TableParagraph"/>
              <w:spacing w:line="230" w:lineRule="exact" w:before="15"/>
              <w:ind w:right="78"/>
              <w:jc w:val="right"/>
              <w:rPr>
                <w:sz w:val="20"/>
              </w:rPr>
            </w:pPr>
            <w:r>
              <w:rPr>
                <w:spacing w:val="-2"/>
                <w:sz w:val="20"/>
              </w:rPr>
              <w:t>6,971</w:t>
            </w:r>
          </w:p>
        </w:tc>
      </w:tr>
      <w:tr>
        <w:trPr>
          <w:trHeight w:val="265" w:hRule="atLeast"/>
        </w:trPr>
        <w:tc>
          <w:tcPr>
            <w:tcW w:w="6687" w:type="dxa"/>
          </w:tcPr>
          <w:p>
            <w:pPr>
              <w:pStyle w:val="TableParagraph"/>
              <w:spacing w:line="230" w:lineRule="exact" w:before="15"/>
              <w:ind w:left="50"/>
              <w:rPr>
                <w:rFonts w:ascii="Arial"/>
                <w:b/>
                <w:sz w:val="20"/>
              </w:rPr>
            </w:pPr>
            <w:r>
              <w:rPr>
                <w:rFonts w:ascii="Arial"/>
                <w:b/>
                <w:sz w:val="20"/>
              </w:rPr>
              <w:t>Total</w:t>
            </w:r>
            <w:r>
              <w:rPr>
                <w:rFonts w:ascii="Arial"/>
                <w:b/>
                <w:spacing w:val="-4"/>
                <w:sz w:val="20"/>
              </w:rPr>
              <w:t> </w:t>
            </w:r>
            <w:r>
              <w:rPr>
                <w:rFonts w:ascii="Arial"/>
                <w:b/>
                <w:spacing w:val="-2"/>
                <w:sz w:val="20"/>
              </w:rPr>
              <w:t>liabilities</w:t>
            </w:r>
          </w:p>
        </w:tc>
        <w:tc>
          <w:tcPr>
            <w:tcW w:w="1320" w:type="dxa"/>
            <w:tcBorders>
              <w:top w:val="single" w:sz="8" w:space="0" w:color="000000"/>
              <w:bottom w:val="single" w:sz="8" w:space="0" w:color="000000"/>
            </w:tcBorders>
          </w:tcPr>
          <w:p>
            <w:pPr>
              <w:pStyle w:val="TableParagraph"/>
              <w:spacing w:line="230" w:lineRule="exact" w:before="15"/>
              <w:ind w:right="94"/>
              <w:jc w:val="right"/>
              <w:rPr>
                <w:sz w:val="20"/>
              </w:rPr>
            </w:pPr>
            <w:r>
              <w:rPr>
                <w:spacing w:val="-2"/>
                <w:sz w:val="20"/>
              </w:rPr>
              <w:t>272,259</w:t>
            </w:r>
          </w:p>
        </w:tc>
        <w:tc>
          <w:tcPr>
            <w:tcW w:w="1349" w:type="dxa"/>
            <w:tcBorders>
              <w:top w:val="single" w:sz="8" w:space="0" w:color="000000"/>
              <w:bottom w:val="single" w:sz="8" w:space="0" w:color="000000"/>
            </w:tcBorders>
          </w:tcPr>
          <w:p>
            <w:pPr>
              <w:pStyle w:val="TableParagraph"/>
              <w:spacing w:line="230" w:lineRule="exact" w:before="15"/>
              <w:ind w:right="78"/>
              <w:jc w:val="right"/>
              <w:rPr>
                <w:sz w:val="20"/>
              </w:rPr>
            </w:pPr>
            <w:r>
              <w:rPr>
                <w:spacing w:val="-2"/>
                <w:sz w:val="20"/>
              </w:rPr>
              <w:t>262,222</w:t>
            </w:r>
          </w:p>
        </w:tc>
      </w:tr>
      <w:tr>
        <w:trPr>
          <w:trHeight w:val="448" w:hRule="atLeast"/>
        </w:trPr>
        <w:tc>
          <w:tcPr>
            <w:tcW w:w="6687" w:type="dxa"/>
          </w:tcPr>
          <w:p>
            <w:pPr>
              <w:pStyle w:val="TableParagraph"/>
              <w:spacing w:before="150"/>
              <w:ind w:left="50"/>
              <w:rPr>
                <w:rFonts w:ascii="Arial"/>
                <w:b/>
                <w:sz w:val="20"/>
              </w:rPr>
            </w:pPr>
            <w:r>
              <w:rPr>
                <w:rFonts w:ascii="Arial"/>
                <w:b/>
                <w:spacing w:val="-2"/>
                <w:sz w:val="20"/>
              </w:rPr>
              <w:t>Equity</w:t>
            </w:r>
          </w:p>
        </w:tc>
        <w:tc>
          <w:tcPr>
            <w:tcW w:w="1320" w:type="dxa"/>
            <w:tcBorders>
              <w:top w:val="single" w:sz="8" w:space="0" w:color="000000"/>
            </w:tcBorders>
          </w:tcPr>
          <w:p>
            <w:pPr>
              <w:pStyle w:val="TableParagraph"/>
              <w:rPr>
                <w:rFonts w:ascii="Times New Roman"/>
                <w:sz w:val="18"/>
              </w:rPr>
            </w:pPr>
          </w:p>
        </w:tc>
        <w:tc>
          <w:tcPr>
            <w:tcW w:w="1349" w:type="dxa"/>
            <w:tcBorders>
              <w:top w:val="single" w:sz="8" w:space="0" w:color="000000"/>
            </w:tcBorders>
          </w:tcPr>
          <w:p>
            <w:pPr>
              <w:pStyle w:val="TableParagraph"/>
              <w:rPr>
                <w:rFonts w:ascii="Times New Roman"/>
                <w:sz w:val="18"/>
              </w:rPr>
            </w:pPr>
          </w:p>
        </w:tc>
      </w:tr>
      <w:tr>
        <w:trPr>
          <w:trHeight w:val="291" w:hRule="atLeast"/>
        </w:trPr>
        <w:tc>
          <w:tcPr>
            <w:tcW w:w="6687" w:type="dxa"/>
          </w:tcPr>
          <w:p>
            <w:pPr>
              <w:pStyle w:val="TableParagraph"/>
              <w:spacing w:line="210" w:lineRule="exact" w:before="61"/>
              <w:ind w:left="50"/>
              <w:rPr>
                <w:rFonts w:ascii="Arial"/>
                <w:b/>
                <w:i/>
                <w:sz w:val="20"/>
              </w:rPr>
            </w:pPr>
            <w:r>
              <w:rPr>
                <w:rFonts w:ascii="Arial"/>
                <w:b/>
                <w:i/>
                <w:sz w:val="20"/>
              </w:rPr>
              <w:t>Capital</w:t>
            </w:r>
            <w:r>
              <w:rPr>
                <w:rFonts w:ascii="Arial"/>
                <w:b/>
                <w:i/>
                <w:spacing w:val="-8"/>
                <w:sz w:val="20"/>
              </w:rPr>
              <w:t> </w:t>
            </w:r>
            <w:r>
              <w:rPr>
                <w:rFonts w:ascii="Arial"/>
                <w:b/>
                <w:i/>
                <w:sz w:val="20"/>
              </w:rPr>
              <w:t>stock</w:t>
            </w:r>
            <w:r>
              <w:rPr>
                <w:rFonts w:ascii="Arial"/>
                <w:b/>
                <w:i/>
                <w:spacing w:val="-5"/>
                <w:sz w:val="20"/>
              </w:rPr>
              <w:t> </w:t>
            </w:r>
            <w:r>
              <w:rPr>
                <w:rFonts w:ascii="Arial"/>
                <w:b/>
                <w:i/>
                <w:sz w:val="20"/>
              </w:rPr>
              <w:t>(Statement</w:t>
            </w:r>
            <w:r>
              <w:rPr>
                <w:rFonts w:ascii="Arial"/>
                <w:b/>
                <w:i/>
                <w:spacing w:val="-5"/>
                <w:sz w:val="20"/>
              </w:rPr>
              <w:t> </w:t>
            </w:r>
            <w:r>
              <w:rPr>
                <w:rFonts w:ascii="Arial"/>
                <w:b/>
                <w:i/>
                <w:sz w:val="20"/>
              </w:rPr>
              <w:t>of</w:t>
            </w:r>
            <w:r>
              <w:rPr>
                <w:rFonts w:ascii="Arial"/>
                <w:b/>
                <w:i/>
                <w:spacing w:val="-5"/>
                <w:sz w:val="20"/>
              </w:rPr>
              <w:t> </w:t>
            </w:r>
            <w:r>
              <w:rPr>
                <w:rFonts w:ascii="Arial"/>
                <w:b/>
                <w:i/>
                <w:sz w:val="20"/>
              </w:rPr>
              <w:t>Subscriptions</w:t>
            </w:r>
            <w:r>
              <w:rPr>
                <w:rFonts w:ascii="Arial"/>
                <w:b/>
                <w:i/>
                <w:spacing w:val="-6"/>
                <w:sz w:val="20"/>
              </w:rPr>
              <w:t> </w:t>
            </w:r>
            <w:r>
              <w:rPr>
                <w:rFonts w:ascii="Arial"/>
                <w:b/>
                <w:i/>
                <w:sz w:val="20"/>
              </w:rPr>
              <w:t>to</w:t>
            </w:r>
            <w:r>
              <w:rPr>
                <w:rFonts w:ascii="Arial"/>
                <w:b/>
                <w:i/>
                <w:spacing w:val="-5"/>
                <w:sz w:val="20"/>
              </w:rPr>
              <w:t> </w:t>
            </w:r>
            <w:r>
              <w:rPr>
                <w:rFonts w:ascii="Arial"/>
                <w:b/>
                <w:i/>
                <w:sz w:val="20"/>
              </w:rPr>
              <w:t>Capital</w:t>
            </w:r>
            <w:r>
              <w:rPr>
                <w:rFonts w:ascii="Arial"/>
                <w:b/>
                <w:i/>
                <w:spacing w:val="-5"/>
                <w:sz w:val="20"/>
              </w:rPr>
              <w:t> </w:t>
            </w:r>
            <w:r>
              <w:rPr>
                <w:rFonts w:ascii="Arial"/>
                <w:b/>
                <w:i/>
                <w:sz w:val="20"/>
              </w:rPr>
              <w:t>Stock</w:t>
            </w:r>
            <w:r>
              <w:rPr>
                <w:rFonts w:ascii="Arial"/>
                <w:b/>
                <w:i/>
                <w:spacing w:val="-5"/>
                <w:sz w:val="20"/>
              </w:rPr>
              <w:t> and</w:t>
            </w:r>
          </w:p>
        </w:tc>
        <w:tc>
          <w:tcPr>
            <w:tcW w:w="1320" w:type="dxa"/>
          </w:tcPr>
          <w:p>
            <w:pPr>
              <w:pStyle w:val="TableParagraph"/>
              <w:rPr>
                <w:rFonts w:ascii="Times New Roman"/>
                <w:sz w:val="18"/>
              </w:rPr>
            </w:pPr>
          </w:p>
        </w:tc>
        <w:tc>
          <w:tcPr>
            <w:tcW w:w="1349" w:type="dxa"/>
          </w:tcPr>
          <w:p>
            <w:pPr>
              <w:pStyle w:val="TableParagraph"/>
              <w:rPr>
                <w:rFonts w:ascii="Times New Roman"/>
                <w:sz w:val="18"/>
              </w:rPr>
            </w:pPr>
          </w:p>
        </w:tc>
      </w:tr>
    </w:tbl>
    <w:p>
      <w:pPr>
        <w:pStyle w:val="Heading9"/>
      </w:pPr>
      <w:r>
        <w:rPr/>
        <w:t>Voting</w:t>
      </w:r>
      <w:r>
        <w:rPr>
          <w:spacing w:val="-5"/>
        </w:rPr>
        <w:t> </w:t>
      </w:r>
      <w:r>
        <w:rPr/>
        <w:t>Power,</w:t>
      </w:r>
      <w:r>
        <w:rPr>
          <w:spacing w:val="-5"/>
        </w:rPr>
        <w:t> </w:t>
      </w:r>
      <w:r>
        <w:rPr/>
        <w:t>Note</w:t>
      </w:r>
      <w:r>
        <w:rPr>
          <w:spacing w:val="-4"/>
        </w:rPr>
        <w:t> </w:t>
      </w:r>
      <w:r>
        <w:rPr>
          <w:spacing w:val="-5"/>
        </w:rPr>
        <w:t>B)</w:t>
      </w:r>
    </w:p>
    <w:p>
      <w:pPr>
        <w:pStyle w:val="BodyText"/>
        <w:spacing w:before="55"/>
        <w:ind w:left="952"/>
        <w:rPr>
          <w:rFonts w:ascii="Arial MT" w:hAnsi="Arial MT"/>
        </w:rPr>
      </w:pPr>
      <w:r>
        <w:rPr>
          <w:rFonts w:ascii="Arial MT" w:hAnsi="Arial MT"/>
        </w:rPr>
        <w:t>Authorized</w:t>
      </w:r>
      <w:r>
        <w:rPr>
          <w:rFonts w:ascii="Arial MT" w:hAnsi="Arial MT"/>
          <w:spacing w:val="-7"/>
        </w:rPr>
        <w:t> </w:t>
      </w:r>
      <w:r>
        <w:rPr>
          <w:rFonts w:ascii="Arial MT" w:hAnsi="Arial MT"/>
        </w:rPr>
        <w:t>capital</w:t>
      </w:r>
      <w:r>
        <w:rPr>
          <w:rFonts w:ascii="Arial MT" w:hAnsi="Arial MT"/>
          <w:spacing w:val="-6"/>
        </w:rPr>
        <w:t> </w:t>
      </w:r>
      <w:r>
        <w:rPr>
          <w:rFonts w:ascii="Arial MT" w:hAnsi="Arial MT"/>
        </w:rPr>
        <w:t>(2,783,873</w:t>
      </w:r>
      <w:r>
        <w:rPr>
          <w:rFonts w:ascii="Arial MT" w:hAnsi="Arial MT"/>
          <w:spacing w:val="-6"/>
        </w:rPr>
        <w:t> </w:t>
      </w:r>
      <w:r>
        <w:rPr>
          <w:rFonts w:ascii="Arial MT" w:hAnsi="Arial MT"/>
        </w:rPr>
        <w:t>shares—June</w:t>
      </w:r>
      <w:r>
        <w:rPr>
          <w:rFonts w:ascii="Arial MT" w:hAnsi="Arial MT"/>
          <w:spacing w:val="-6"/>
        </w:rPr>
        <w:t> </w:t>
      </w:r>
      <w:r>
        <w:rPr>
          <w:rFonts w:ascii="Arial MT" w:hAnsi="Arial MT"/>
        </w:rPr>
        <w:t>30,</w:t>
      </w:r>
      <w:r>
        <w:rPr>
          <w:rFonts w:ascii="Arial MT" w:hAnsi="Arial MT"/>
          <w:spacing w:val="-6"/>
        </w:rPr>
        <w:t> </w:t>
      </w:r>
      <w:r>
        <w:rPr>
          <w:rFonts w:ascii="Arial MT" w:hAnsi="Arial MT"/>
        </w:rPr>
        <w:t>2023,</w:t>
      </w:r>
      <w:r>
        <w:rPr>
          <w:rFonts w:ascii="Arial MT" w:hAnsi="Arial MT"/>
          <w:spacing w:val="-6"/>
        </w:rPr>
        <w:t> </w:t>
      </w:r>
      <w:r>
        <w:rPr>
          <w:rFonts w:ascii="Arial MT" w:hAnsi="Arial MT"/>
          <w:spacing w:val="-5"/>
        </w:rPr>
        <w:t>and</w:t>
      </w:r>
    </w:p>
    <w:p>
      <w:pPr>
        <w:pStyle w:val="BodyText"/>
        <w:spacing w:before="10"/>
        <w:ind w:left="1132"/>
        <w:rPr>
          <w:rFonts w:ascii="Arial MT"/>
        </w:rPr>
      </w:pPr>
      <w:r>
        <w:rPr>
          <w:rFonts w:ascii="Arial MT"/>
        </w:rPr>
        <w:t>June</w:t>
      </w:r>
      <w:r>
        <w:rPr>
          <w:rFonts w:ascii="Arial MT"/>
          <w:spacing w:val="-3"/>
        </w:rPr>
        <w:t> </w:t>
      </w:r>
      <w:r>
        <w:rPr>
          <w:rFonts w:ascii="Arial MT"/>
        </w:rPr>
        <w:t>30,</w:t>
      </w:r>
      <w:r>
        <w:rPr>
          <w:rFonts w:ascii="Arial MT"/>
          <w:spacing w:val="-3"/>
        </w:rPr>
        <w:t> </w:t>
      </w:r>
      <w:r>
        <w:rPr>
          <w:rFonts w:ascii="Arial MT"/>
          <w:spacing w:val="-2"/>
        </w:rPr>
        <w:t>2022)</w:t>
      </w:r>
    </w:p>
    <w:p>
      <w:pPr>
        <w:pStyle w:val="BodyText"/>
        <w:spacing w:before="55" w:after="16"/>
        <w:ind w:left="1132"/>
        <w:rPr>
          <w:rFonts w:ascii="Arial MT" w:hAnsi="Arial MT"/>
        </w:rPr>
      </w:pPr>
      <w:r>
        <w:rPr>
          <w:rFonts w:ascii="Arial MT" w:hAnsi="Arial MT"/>
        </w:rPr>
        <w:t>Subscribed</w:t>
      </w:r>
      <w:r>
        <w:rPr>
          <w:rFonts w:ascii="Arial MT" w:hAnsi="Arial MT"/>
          <w:spacing w:val="-6"/>
        </w:rPr>
        <w:t> </w:t>
      </w:r>
      <w:r>
        <w:rPr>
          <w:rFonts w:ascii="Arial MT" w:hAnsi="Arial MT"/>
        </w:rPr>
        <w:t>capital</w:t>
      </w:r>
      <w:r>
        <w:rPr>
          <w:rFonts w:ascii="Arial MT" w:hAnsi="Arial MT"/>
          <w:spacing w:val="-6"/>
        </w:rPr>
        <w:t> </w:t>
      </w:r>
      <w:r>
        <w:rPr>
          <w:rFonts w:ascii="Arial MT" w:hAnsi="Arial MT"/>
        </w:rPr>
        <w:t>(2,634,728</w:t>
      </w:r>
      <w:r>
        <w:rPr>
          <w:rFonts w:ascii="Arial MT" w:hAnsi="Arial MT"/>
          <w:spacing w:val="-5"/>
        </w:rPr>
        <w:t> </w:t>
      </w:r>
      <w:r>
        <w:rPr>
          <w:rFonts w:ascii="Arial MT" w:hAnsi="Arial MT"/>
        </w:rPr>
        <w:t>shares—June</w:t>
      </w:r>
      <w:r>
        <w:rPr>
          <w:rFonts w:ascii="Arial MT" w:hAnsi="Arial MT"/>
          <w:spacing w:val="-6"/>
        </w:rPr>
        <w:t> </w:t>
      </w:r>
      <w:r>
        <w:rPr>
          <w:rFonts w:ascii="Arial MT" w:hAnsi="Arial MT"/>
        </w:rPr>
        <w:t>30,</w:t>
      </w:r>
      <w:r>
        <w:rPr>
          <w:rFonts w:ascii="Arial MT" w:hAnsi="Arial MT"/>
          <w:spacing w:val="-5"/>
        </w:rPr>
        <w:t> </w:t>
      </w:r>
      <w:r>
        <w:rPr>
          <w:rFonts w:ascii="Arial MT" w:hAnsi="Arial MT"/>
        </w:rPr>
        <w:t>2023,</w:t>
      </w:r>
      <w:r>
        <w:rPr>
          <w:rFonts w:ascii="Arial MT" w:hAnsi="Arial MT"/>
          <w:spacing w:val="-6"/>
        </w:rPr>
        <w:t> </w:t>
      </w:r>
      <w:r>
        <w:rPr>
          <w:rFonts w:ascii="Arial MT" w:hAnsi="Arial MT"/>
        </w:rPr>
        <w:t>and</w:t>
      </w:r>
      <w:r>
        <w:rPr>
          <w:rFonts w:ascii="Arial MT" w:hAnsi="Arial MT"/>
          <w:spacing w:val="-5"/>
        </w:rPr>
        <w:t> </w:t>
      </w:r>
      <w:r>
        <w:rPr>
          <w:rFonts w:ascii="Arial MT" w:hAnsi="Arial MT"/>
          <w:spacing w:val="-2"/>
        </w:rPr>
        <w:t>2,545,984</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87"/>
        <w:gridCol w:w="1353"/>
        <w:gridCol w:w="1315"/>
      </w:tblGrid>
      <w:tr>
        <w:trPr>
          <w:trHeight w:val="254" w:hRule="atLeast"/>
        </w:trPr>
        <w:tc>
          <w:tcPr>
            <w:tcW w:w="6687" w:type="dxa"/>
          </w:tcPr>
          <w:p>
            <w:pPr>
              <w:pStyle w:val="TableParagraph"/>
              <w:spacing w:line="223" w:lineRule="exact"/>
              <w:ind w:left="590"/>
              <w:rPr>
                <w:sz w:val="20"/>
              </w:rPr>
            </w:pPr>
            <w:r>
              <w:rPr>
                <w:sz w:val="20"/>
              </w:rPr>
              <w:t>shares—June</w:t>
            </w:r>
            <w:r>
              <w:rPr>
                <w:spacing w:val="-5"/>
                <w:sz w:val="20"/>
              </w:rPr>
              <w:t> </w:t>
            </w:r>
            <w:r>
              <w:rPr>
                <w:sz w:val="20"/>
              </w:rPr>
              <w:t>30,</w:t>
            </w:r>
            <w:r>
              <w:rPr>
                <w:spacing w:val="-4"/>
                <w:sz w:val="20"/>
              </w:rPr>
              <w:t> </w:t>
            </w:r>
            <w:r>
              <w:rPr>
                <w:spacing w:val="-2"/>
                <w:sz w:val="20"/>
              </w:rPr>
              <w:t>2022)</w:t>
            </w:r>
          </w:p>
        </w:tc>
        <w:tc>
          <w:tcPr>
            <w:tcW w:w="1353" w:type="dxa"/>
          </w:tcPr>
          <w:p>
            <w:pPr>
              <w:pStyle w:val="TableParagraph"/>
              <w:spacing w:line="223" w:lineRule="exact"/>
              <w:ind w:left="501"/>
              <w:rPr>
                <w:sz w:val="20"/>
              </w:rPr>
            </w:pPr>
            <w:r>
              <w:rPr>
                <w:spacing w:val="-2"/>
                <w:sz w:val="20"/>
              </w:rPr>
              <w:t>317,840</w:t>
            </w:r>
          </w:p>
        </w:tc>
        <w:tc>
          <w:tcPr>
            <w:tcW w:w="1315" w:type="dxa"/>
          </w:tcPr>
          <w:p>
            <w:pPr>
              <w:pStyle w:val="TableParagraph"/>
              <w:spacing w:line="223" w:lineRule="exact"/>
              <w:ind w:right="77"/>
              <w:jc w:val="right"/>
              <w:rPr>
                <w:sz w:val="20"/>
              </w:rPr>
            </w:pPr>
            <w:r>
              <w:rPr>
                <w:spacing w:val="-2"/>
                <w:sz w:val="20"/>
              </w:rPr>
              <w:t>307,135</w:t>
            </w:r>
          </w:p>
        </w:tc>
      </w:tr>
      <w:tr>
        <w:trPr>
          <w:trHeight w:val="273" w:hRule="atLeast"/>
        </w:trPr>
        <w:tc>
          <w:tcPr>
            <w:tcW w:w="6687" w:type="dxa"/>
          </w:tcPr>
          <w:p>
            <w:pPr>
              <w:pStyle w:val="TableParagraph"/>
              <w:spacing w:line="230" w:lineRule="exact" w:before="24"/>
              <w:ind w:left="410"/>
              <w:rPr>
                <w:sz w:val="20"/>
              </w:rPr>
            </w:pPr>
            <w:r>
              <w:rPr>
                <w:sz w:val="20"/>
              </w:rPr>
              <w:t>Less</w:t>
            </w:r>
            <w:r>
              <w:rPr>
                <w:spacing w:val="-5"/>
                <w:sz w:val="20"/>
              </w:rPr>
              <w:t> </w:t>
            </w:r>
            <w:r>
              <w:rPr>
                <w:sz w:val="20"/>
              </w:rPr>
              <w:t>uncalled</w:t>
            </w:r>
            <w:r>
              <w:rPr>
                <w:spacing w:val="-4"/>
                <w:sz w:val="20"/>
              </w:rPr>
              <w:t> </w:t>
            </w:r>
            <w:r>
              <w:rPr>
                <w:sz w:val="20"/>
              </w:rPr>
              <w:t>portion</w:t>
            </w:r>
            <w:r>
              <w:rPr>
                <w:spacing w:val="-5"/>
                <w:sz w:val="20"/>
              </w:rPr>
              <w:t> </w:t>
            </w:r>
            <w:r>
              <w:rPr>
                <w:sz w:val="20"/>
              </w:rPr>
              <w:t>of</w:t>
            </w:r>
            <w:r>
              <w:rPr>
                <w:spacing w:val="-4"/>
                <w:sz w:val="20"/>
              </w:rPr>
              <w:t> </w:t>
            </w:r>
            <w:r>
              <w:rPr>
                <w:spacing w:val="-2"/>
                <w:sz w:val="20"/>
              </w:rPr>
              <w:t>subscriptions</w:t>
            </w:r>
          </w:p>
        </w:tc>
        <w:tc>
          <w:tcPr>
            <w:tcW w:w="1353" w:type="dxa"/>
            <w:tcBorders>
              <w:bottom w:val="single" w:sz="8" w:space="0" w:color="000000"/>
            </w:tcBorders>
          </w:tcPr>
          <w:p>
            <w:pPr>
              <w:pStyle w:val="TableParagraph"/>
              <w:spacing w:line="230" w:lineRule="exact" w:before="24"/>
              <w:ind w:right="60"/>
              <w:jc w:val="right"/>
              <w:rPr>
                <w:sz w:val="20"/>
              </w:rPr>
            </w:pPr>
            <w:r>
              <w:rPr>
                <w:spacing w:val="-2"/>
                <w:sz w:val="20"/>
              </w:rPr>
              <w:t>(296,021)</w:t>
            </w:r>
          </w:p>
        </w:tc>
        <w:tc>
          <w:tcPr>
            <w:tcW w:w="1315" w:type="dxa"/>
            <w:tcBorders>
              <w:bottom w:val="single" w:sz="8" w:space="0" w:color="000000"/>
            </w:tcBorders>
          </w:tcPr>
          <w:p>
            <w:pPr>
              <w:pStyle w:val="TableParagraph"/>
              <w:spacing w:line="230" w:lineRule="exact" w:before="24"/>
              <w:ind w:right="10"/>
              <w:jc w:val="right"/>
              <w:rPr>
                <w:sz w:val="20"/>
              </w:rPr>
            </w:pPr>
            <w:r>
              <w:rPr>
                <w:spacing w:val="-2"/>
                <w:sz w:val="20"/>
              </w:rPr>
              <w:t>(286,636)</w:t>
            </w:r>
          </w:p>
        </w:tc>
      </w:tr>
      <w:tr>
        <w:trPr>
          <w:trHeight w:val="276" w:hRule="atLeast"/>
        </w:trPr>
        <w:tc>
          <w:tcPr>
            <w:tcW w:w="6687" w:type="dxa"/>
          </w:tcPr>
          <w:p>
            <w:pPr>
              <w:pStyle w:val="TableParagraph"/>
              <w:spacing w:before="15"/>
              <w:ind w:left="230"/>
              <w:rPr>
                <w:sz w:val="20"/>
              </w:rPr>
            </w:pPr>
            <w:r>
              <w:rPr>
                <w:sz w:val="20"/>
              </w:rPr>
              <w:t>Paid-in</w:t>
            </w:r>
            <w:r>
              <w:rPr>
                <w:spacing w:val="-6"/>
                <w:sz w:val="20"/>
              </w:rPr>
              <w:t> </w:t>
            </w:r>
            <w:r>
              <w:rPr>
                <w:spacing w:val="-2"/>
                <w:sz w:val="20"/>
              </w:rPr>
              <w:t>capital</w:t>
            </w:r>
          </w:p>
        </w:tc>
        <w:tc>
          <w:tcPr>
            <w:tcW w:w="1353" w:type="dxa"/>
            <w:tcBorders>
              <w:top w:val="single" w:sz="8" w:space="0" w:color="000000"/>
            </w:tcBorders>
          </w:tcPr>
          <w:p>
            <w:pPr>
              <w:pStyle w:val="TableParagraph"/>
              <w:spacing w:before="15"/>
              <w:ind w:right="127"/>
              <w:jc w:val="right"/>
              <w:rPr>
                <w:sz w:val="20"/>
              </w:rPr>
            </w:pPr>
            <w:r>
              <w:rPr>
                <w:spacing w:val="-2"/>
                <w:sz w:val="20"/>
              </w:rPr>
              <w:t>21,819</w:t>
            </w:r>
          </w:p>
        </w:tc>
        <w:tc>
          <w:tcPr>
            <w:tcW w:w="1315" w:type="dxa"/>
            <w:tcBorders>
              <w:top w:val="single" w:sz="8" w:space="0" w:color="000000"/>
            </w:tcBorders>
          </w:tcPr>
          <w:p>
            <w:pPr>
              <w:pStyle w:val="TableParagraph"/>
              <w:spacing w:before="15"/>
              <w:ind w:right="77"/>
              <w:jc w:val="right"/>
              <w:rPr>
                <w:sz w:val="20"/>
              </w:rPr>
            </w:pPr>
            <w:r>
              <w:rPr>
                <w:spacing w:val="-2"/>
                <w:sz w:val="20"/>
              </w:rPr>
              <w:t>20,499</w:t>
            </w:r>
          </w:p>
        </w:tc>
      </w:tr>
      <w:tr>
        <w:trPr>
          <w:trHeight w:val="254" w:hRule="atLeast"/>
        </w:trPr>
        <w:tc>
          <w:tcPr>
            <w:tcW w:w="9355" w:type="dxa"/>
            <w:gridSpan w:val="3"/>
          </w:tcPr>
          <w:p>
            <w:pPr>
              <w:pStyle w:val="TableParagraph"/>
              <w:spacing w:line="210" w:lineRule="exact" w:before="24"/>
              <w:ind w:left="50"/>
              <w:rPr>
                <w:rFonts w:ascii="Arial"/>
                <w:b/>
                <w:i/>
                <w:sz w:val="20"/>
              </w:rPr>
            </w:pPr>
            <w:r>
              <w:rPr>
                <w:rFonts w:ascii="Arial"/>
                <w:b/>
                <w:i/>
                <w:sz w:val="20"/>
              </w:rPr>
              <w:t>Nonnegotiable,</w:t>
            </w:r>
            <w:r>
              <w:rPr>
                <w:rFonts w:ascii="Arial"/>
                <w:b/>
                <w:i/>
                <w:spacing w:val="-12"/>
                <w:sz w:val="20"/>
              </w:rPr>
              <w:t> </w:t>
            </w:r>
            <w:r>
              <w:rPr>
                <w:rFonts w:ascii="Arial"/>
                <w:b/>
                <w:i/>
                <w:sz w:val="20"/>
              </w:rPr>
              <w:t>noninterest-bearing</w:t>
            </w:r>
            <w:r>
              <w:rPr>
                <w:rFonts w:ascii="Arial"/>
                <w:b/>
                <w:i/>
                <w:spacing w:val="-9"/>
                <w:sz w:val="20"/>
              </w:rPr>
              <w:t> </w:t>
            </w:r>
            <w:r>
              <w:rPr>
                <w:rFonts w:ascii="Arial"/>
                <w:b/>
                <w:i/>
                <w:sz w:val="20"/>
              </w:rPr>
              <w:t>demand</w:t>
            </w:r>
            <w:r>
              <w:rPr>
                <w:rFonts w:ascii="Arial"/>
                <w:b/>
                <w:i/>
                <w:spacing w:val="-10"/>
                <w:sz w:val="20"/>
              </w:rPr>
              <w:t> </w:t>
            </w:r>
            <w:r>
              <w:rPr>
                <w:rFonts w:ascii="Arial"/>
                <w:b/>
                <w:i/>
                <w:sz w:val="20"/>
              </w:rPr>
              <w:t>obligations</w:t>
            </w:r>
            <w:r>
              <w:rPr>
                <w:rFonts w:ascii="Arial"/>
                <w:b/>
                <w:i/>
                <w:spacing w:val="-9"/>
                <w:sz w:val="20"/>
              </w:rPr>
              <w:t> </w:t>
            </w:r>
            <w:r>
              <w:rPr>
                <w:rFonts w:ascii="Arial"/>
                <w:b/>
                <w:i/>
                <w:sz w:val="20"/>
              </w:rPr>
              <w:t>on</w:t>
            </w:r>
            <w:r>
              <w:rPr>
                <w:rFonts w:ascii="Arial"/>
                <w:b/>
                <w:i/>
                <w:spacing w:val="-9"/>
                <w:sz w:val="20"/>
              </w:rPr>
              <w:t> </w:t>
            </w:r>
            <w:r>
              <w:rPr>
                <w:rFonts w:ascii="Arial"/>
                <w:b/>
                <w:i/>
                <w:spacing w:val="-2"/>
                <w:sz w:val="20"/>
              </w:rPr>
              <w:t>account</w:t>
            </w:r>
          </w:p>
        </w:tc>
      </w:tr>
      <w:tr>
        <w:trPr>
          <w:trHeight w:val="300" w:hRule="atLeast"/>
        </w:trPr>
        <w:tc>
          <w:tcPr>
            <w:tcW w:w="6687" w:type="dxa"/>
          </w:tcPr>
          <w:p>
            <w:pPr>
              <w:pStyle w:val="TableParagraph"/>
              <w:spacing w:before="10"/>
              <w:ind w:left="230"/>
              <w:rPr>
                <w:rFonts w:ascii="Arial"/>
                <w:b/>
                <w:i/>
                <w:sz w:val="20"/>
              </w:rPr>
            </w:pPr>
            <w:r>
              <w:rPr>
                <w:rFonts w:ascii="Arial"/>
                <w:b/>
                <w:i/>
                <w:sz w:val="20"/>
              </w:rPr>
              <w:t>of</w:t>
            </w:r>
            <w:r>
              <w:rPr>
                <w:rFonts w:ascii="Arial"/>
                <w:b/>
                <w:i/>
                <w:spacing w:val="-6"/>
                <w:sz w:val="20"/>
              </w:rPr>
              <w:t> </w:t>
            </w:r>
            <w:r>
              <w:rPr>
                <w:rFonts w:ascii="Arial"/>
                <w:b/>
                <w:i/>
                <w:sz w:val="20"/>
              </w:rPr>
              <w:t>subscribed</w:t>
            </w:r>
            <w:r>
              <w:rPr>
                <w:rFonts w:ascii="Arial"/>
                <w:b/>
                <w:i/>
                <w:spacing w:val="-6"/>
                <w:sz w:val="20"/>
              </w:rPr>
              <w:t> </w:t>
            </w:r>
            <w:r>
              <w:rPr>
                <w:rFonts w:ascii="Arial"/>
                <w:b/>
                <w:i/>
                <w:spacing w:val="-2"/>
                <w:sz w:val="20"/>
              </w:rPr>
              <w:t>capital</w:t>
            </w:r>
          </w:p>
        </w:tc>
        <w:tc>
          <w:tcPr>
            <w:tcW w:w="1353" w:type="dxa"/>
          </w:tcPr>
          <w:p>
            <w:pPr>
              <w:pStyle w:val="TableParagraph"/>
              <w:spacing w:before="10"/>
              <w:ind w:right="60"/>
              <w:jc w:val="right"/>
              <w:rPr>
                <w:sz w:val="20"/>
              </w:rPr>
            </w:pPr>
            <w:r>
              <w:rPr>
                <w:spacing w:val="-2"/>
                <w:sz w:val="20"/>
              </w:rPr>
              <w:t>(320)</w:t>
            </w:r>
          </w:p>
        </w:tc>
        <w:tc>
          <w:tcPr>
            <w:tcW w:w="1315" w:type="dxa"/>
          </w:tcPr>
          <w:p>
            <w:pPr>
              <w:pStyle w:val="TableParagraph"/>
              <w:spacing w:before="10"/>
              <w:ind w:right="10"/>
              <w:jc w:val="right"/>
              <w:rPr>
                <w:sz w:val="20"/>
              </w:rPr>
            </w:pPr>
            <w:r>
              <w:rPr>
                <w:spacing w:val="-2"/>
                <w:sz w:val="20"/>
              </w:rPr>
              <w:t>(316)</w:t>
            </w:r>
          </w:p>
        </w:tc>
      </w:tr>
      <w:tr>
        <w:trPr>
          <w:trHeight w:val="352" w:hRule="atLeast"/>
        </w:trPr>
        <w:tc>
          <w:tcPr>
            <w:tcW w:w="6687" w:type="dxa"/>
          </w:tcPr>
          <w:p>
            <w:pPr>
              <w:pStyle w:val="TableParagraph"/>
              <w:spacing w:before="54"/>
              <w:ind w:left="50"/>
              <w:rPr>
                <w:rFonts w:ascii="Arial" w:hAnsi="Arial"/>
                <w:b/>
                <w:i/>
                <w:sz w:val="20"/>
              </w:rPr>
            </w:pPr>
            <w:r>
              <w:rPr>
                <w:rFonts w:ascii="Arial" w:hAnsi="Arial"/>
                <w:b/>
                <w:i/>
                <w:sz w:val="20"/>
              </w:rPr>
              <w:t>Receivable</w:t>
            </w:r>
            <w:r>
              <w:rPr>
                <w:rFonts w:ascii="Arial" w:hAnsi="Arial"/>
                <w:b/>
                <w:i/>
                <w:spacing w:val="-7"/>
                <w:sz w:val="20"/>
              </w:rPr>
              <w:t> </w:t>
            </w:r>
            <w:r>
              <w:rPr>
                <w:rFonts w:ascii="Arial" w:hAnsi="Arial"/>
                <w:b/>
                <w:i/>
                <w:sz w:val="20"/>
              </w:rPr>
              <w:t>amounts</w:t>
            </w:r>
            <w:r>
              <w:rPr>
                <w:rFonts w:ascii="Arial" w:hAnsi="Arial"/>
                <w:b/>
                <w:i/>
                <w:spacing w:val="-6"/>
                <w:sz w:val="20"/>
              </w:rPr>
              <w:t> </w:t>
            </w:r>
            <w:r>
              <w:rPr>
                <w:rFonts w:ascii="Arial" w:hAnsi="Arial"/>
                <w:b/>
                <w:i/>
                <w:sz w:val="20"/>
              </w:rPr>
              <w:t>to</w:t>
            </w:r>
            <w:r>
              <w:rPr>
                <w:rFonts w:ascii="Arial" w:hAnsi="Arial"/>
                <w:b/>
                <w:i/>
                <w:spacing w:val="-6"/>
                <w:sz w:val="20"/>
              </w:rPr>
              <w:t> </w:t>
            </w:r>
            <w:r>
              <w:rPr>
                <w:rFonts w:ascii="Arial" w:hAnsi="Arial"/>
                <w:b/>
                <w:i/>
                <w:sz w:val="20"/>
              </w:rPr>
              <w:t>maintain</w:t>
            </w:r>
            <w:r>
              <w:rPr>
                <w:rFonts w:ascii="Arial" w:hAnsi="Arial"/>
                <w:b/>
                <w:i/>
                <w:spacing w:val="-6"/>
                <w:sz w:val="20"/>
              </w:rPr>
              <w:t> </w:t>
            </w:r>
            <w:r>
              <w:rPr>
                <w:rFonts w:ascii="Arial" w:hAnsi="Arial"/>
                <w:b/>
                <w:i/>
                <w:sz w:val="20"/>
              </w:rPr>
              <w:t>value</w:t>
            </w:r>
            <w:r>
              <w:rPr>
                <w:rFonts w:ascii="Arial" w:hAnsi="Arial"/>
                <w:b/>
                <w:i/>
                <w:spacing w:val="-7"/>
                <w:sz w:val="20"/>
              </w:rPr>
              <w:t> </w:t>
            </w:r>
            <w:r>
              <w:rPr>
                <w:rFonts w:ascii="Arial" w:hAnsi="Arial"/>
                <w:b/>
                <w:i/>
                <w:sz w:val="20"/>
              </w:rPr>
              <w:t>of</w:t>
            </w:r>
            <w:r>
              <w:rPr>
                <w:rFonts w:ascii="Arial" w:hAnsi="Arial"/>
                <w:b/>
                <w:i/>
                <w:spacing w:val="-6"/>
                <w:sz w:val="20"/>
              </w:rPr>
              <w:t> </w:t>
            </w:r>
            <w:r>
              <w:rPr>
                <w:rFonts w:ascii="Arial" w:hAnsi="Arial"/>
                <w:b/>
                <w:i/>
                <w:sz w:val="20"/>
              </w:rPr>
              <w:t>currency</w:t>
            </w:r>
            <w:r>
              <w:rPr>
                <w:rFonts w:ascii="Arial" w:hAnsi="Arial"/>
                <w:b/>
                <w:i/>
                <w:spacing w:val="-6"/>
                <w:sz w:val="20"/>
              </w:rPr>
              <w:t> </w:t>
            </w:r>
            <w:r>
              <w:rPr>
                <w:rFonts w:ascii="Arial" w:hAnsi="Arial"/>
                <w:b/>
                <w:i/>
                <w:sz w:val="20"/>
              </w:rPr>
              <w:t>holdings—Note</w:t>
            </w:r>
            <w:r>
              <w:rPr>
                <w:rFonts w:ascii="Arial" w:hAnsi="Arial"/>
                <w:b/>
                <w:i/>
                <w:spacing w:val="-6"/>
                <w:sz w:val="20"/>
              </w:rPr>
              <w:t> </w:t>
            </w:r>
            <w:r>
              <w:rPr>
                <w:rFonts w:ascii="Arial" w:hAnsi="Arial"/>
                <w:b/>
                <w:i/>
                <w:spacing w:val="-10"/>
                <w:sz w:val="20"/>
              </w:rPr>
              <w:t>B</w:t>
            </w:r>
          </w:p>
        </w:tc>
        <w:tc>
          <w:tcPr>
            <w:tcW w:w="1353" w:type="dxa"/>
          </w:tcPr>
          <w:p>
            <w:pPr>
              <w:pStyle w:val="TableParagraph"/>
              <w:spacing w:before="54"/>
              <w:ind w:right="60"/>
              <w:jc w:val="right"/>
              <w:rPr>
                <w:sz w:val="20"/>
              </w:rPr>
            </w:pPr>
            <w:r>
              <w:rPr>
                <w:spacing w:val="-2"/>
                <w:sz w:val="20"/>
              </w:rPr>
              <w:t>(345)</w:t>
            </w:r>
          </w:p>
        </w:tc>
        <w:tc>
          <w:tcPr>
            <w:tcW w:w="1315" w:type="dxa"/>
          </w:tcPr>
          <w:p>
            <w:pPr>
              <w:pStyle w:val="TableParagraph"/>
              <w:spacing w:before="54"/>
              <w:ind w:right="10"/>
              <w:jc w:val="right"/>
              <w:rPr>
                <w:sz w:val="20"/>
              </w:rPr>
            </w:pPr>
            <w:r>
              <w:rPr>
                <w:spacing w:val="-2"/>
                <w:sz w:val="20"/>
              </w:rPr>
              <w:t>(354)</w:t>
            </w:r>
          </w:p>
        </w:tc>
      </w:tr>
      <w:tr>
        <w:trPr>
          <w:trHeight w:val="352" w:hRule="atLeast"/>
        </w:trPr>
        <w:tc>
          <w:tcPr>
            <w:tcW w:w="6687" w:type="dxa"/>
          </w:tcPr>
          <w:p>
            <w:pPr>
              <w:pStyle w:val="TableParagraph"/>
              <w:spacing w:before="61"/>
              <w:ind w:left="50"/>
              <w:rPr>
                <w:rFonts w:ascii="Arial" w:hAnsi="Arial"/>
                <w:b/>
                <w:i/>
                <w:sz w:val="20"/>
              </w:rPr>
            </w:pPr>
            <w:r>
              <w:rPr>
                <w:rFonts w:ascii="Arial" w:hAnsi="Arial"/>
                <w:b/>
                <w:i/>
                <w:sz w:val="20"/>
              </w:rPr>
              <w:t>Deferred</w:t>
            </w:r>
            <w:r>
              <w:rPr>
                <w:rFonts w:ascii="Arial" w:hAnsi="Arial"/>
                <w:b/>
                <w:i/>
                <w:spacing w:val="-8"/>
                <w:sz w:val="20"/>
              </w:rPr>
              <w:t> </w:t>
            </w:r>
            <w:r>
              <w:rPr>
                <w:rFonts w:ascii="Arial" w:hAnsi="Arial"/>
                <w:b/>
                <w:i/>
                <w:sz w:val="20"/>
              </w:rPr>
              <w:t>amounts</w:t>
            </w:r>
            <w:r>
              <w:rPr>
                <w:rFonts w:ascii="Arial" w:hAnsi="Arial"/>
                <w:b/>
                <w:i/>
                <w:spacing w:val="-6"/>
                <w:sz w:val="20"/>
              </w:rPr>
              <w:t> </w:t>
            </w:r>
            <w:r>
              <w:rPr>
                <w:rFonts w:ascii="Arial" w:hAnsi="Arial"/>
                <w:b/>
                <w:i/>
                <w:sz w:val="20"/>
              </w:rPr>
              <w:t>to</w:t>
            </w:r>
            <w:r>
              <w:rPr>
                <w:rFonts w:ascii="Arial" w:hAnsi="Arial"/>
                <w:b/>
                <w:i/>
                <w:spacing w:val="-6"/>
                <w:sz w:val="20"/>
              </w:rPr>
              <w:t> </w:t>
            </w:r>
            <w:r>
              <w:rPr>
                <w:rFonts w:ascii="Arial" w:hAnsi="Arial"/>
                <w:b/>
                <w:i/>
                <w:sz w:val="20"/>
              </w:rPr>
              <w:t>maintain</w:t>
            </w:r>
            <w:r>
              <w:rPr>
                <w:rFonts w:ascii="Arial" w:hAnsi="Arial"/>
                <w:b/>
                <w:i/>
                <w:spacing w:val="-6"/>
                <w:sz w:val="20"/>
              </w:rPr>
              <w:t> </w:t>
            </w:r>
            <w:r>
              <w:rPr>
                <w:rFonts w:ascii="Arial" w:hAnsi="Arial"/>
                <w:b/>
                <w:i/>
                <w:sz w:val="20"/>
              </w:rPr>
              <w:t>value</w:t>
            </w:r>
            <w:r>
              <w:rPr>
                <w:rFonts w:ascii="Arial" w:hAnsi="Arial"/>
                <w:b/>
                <w:i/>
                <w:spacing w:val="-6"/>
                <w:sz w:val="20"/>
              </w:rPr>
              <w:t> </w:t>
            </w:r>
            <w:r>
              <w:rPr>
                <w:rFonts w:ascii="Arial" w:hAnsi="Arial"/>
                <w:b/>
                <w:i/>
                <w:sz w:val="20"/>
              </w:rPr>
              <w:t>of</w:t>
            </w:r>
            <w:r>
              <w:rPr>
                <w:rFonts w:ascii="Arial" w:hAnsi="Arial"/>
                <w:b/>
                <w:i/>
                <w:spacing w:val="-6"/>
                <w:sz w:val="20"/>
              </w:rPr>
              <w:t> </w:t>
            </w:r>
            <w:r>
              <w:rPr>
                <w:rFonts w:ascii="Arial" w:hAnsi="Arial"/>
                <w:b/>
                <w:i/>
                <w:sz w:val="20"/>
              </w:rPr>
              <w:t>currency</w:t>
            </w:r>
            <w:r>
              <w:rPr>
                <w:rFonts w:ascii="Arial" w:hAnsi="Arial"/>
                <w:b/>
                <w:i/>
                <w:spacing w:val="-6"/>
                <w:sz w:val="20"/>
              </w:rPr>
              <w:t> </w:t>
            </w:r>
            <w:r>
              <w:rPr>
                <w:rFonts w:ascii="Arial" w:hAnsi="Arial"/>
                <w:b/>
                <w:i/>
                <w:sz w:val="20"/>
              </w:rPr>
              <w:t>holdings—Note</w:t>
            </w:r>
            <w:r>
              <w:rPr>
                <w:rFonts w:ascii="Arial" w:hAnsi="Arial"/>
                <w:b/>
                <w:i/>
                <w:spacing w:val="-5"/>
                <w:sz w:val="20"/>
              </w:rPr>
              <w:t> </w:t>
            </w:r>
            <w:r>
              <w:rPr>
                <w:rFonts w:ascii="Arial" w:hAnsi="Arial"/>
                <w:b/>
                <w:i/>
                <w:spacing w:val="-10"/>
                <w:sz w:val="20"/>
              </w:rPr>
              <w:t>B</w:t>
            </w:r>
          </w:p>
        </w:tc>
        <w:tc>
          <w:tcPr>
            <w:tcW w:w="1353" w:type="dxa"/>
          </w:tcPr>
          <w:p>
            <w:pPr>
              <w:pStyle w:val="TableParagraph"/>
              <w:spacing w:before="61"/>
              <w:ind w:right="60"/>
              <w:jc w:val="right"/>
              <w:rPr>
                <w:sz w:val="20"/>
              </w:rPr>
            </w:pPr>
            <w:r>
              <w:rPr>
                <w:spacing w:val="-2"/>
                <w:sz w:val="20"/>
              </w:rPr>
              <w:t>(436)</w:t>
            </w:r>
          </w:p>
        </w:tc>
        <w:tc>
          <w:tcPr>
            <w:tcW w:w="1315" w:type="dxa"/>
          </w:tcPr>
          <w:p>
            <w:pPr>
              <w:pStyle w:val="TableParagraph"/>
              <w:spacing w:before="61"/>
              <w:ind w:right="10"/>
              <w:jc w:val="right"/>
              <w:rPr>
                <w:sz w:val="20"/>
              </w:rPr>
            </w:pPr>
            <w:r>
              <w:rPr>
                <w:spacing w:val="-2"/>
                <w:sz w:val="20"/>
              </w:rPr>
              <w:t>(424)</w:t>
            </w:r>
          </w:p>
        </w:tc>
      </w:tr>
      <w:tr>
        <w:trPr>
          <w:trHeight w:val="292" w:hRule="atLeast"/>
        </w:trPr>
        <w:tc>
          <w:tcPr>
            <w:tcW w:w="6687" w:type="dxa"/>
          </w:tcPr>
          <w:p>
            <w:pPr>
              <w:pStyle w:val="TableParagraph"/>
              <w:spacing w:line="218" w:lineRule="exact" w:before="54"/>
              <w:ind w:left="50"/>
              <w:rPr>
                <w:rFonts w:ascii="Arial"/>
                <w:b/>
                <w:i/>
                <w:sz w:val="20"/>
              </w:rPr>
            </w:pPr>
            <w:r>
              <w:rPr>
                <w:rFonts w:ascii="Arial"/>
                <w:b/>
                <w:i/>
                <w:sz w:val="20"/>
              </w:rPr>
              <w:t>Retained</w:t>
            </w:r>
            <w:r>
              <w:rPr>
                <w:rFonts w:ascii="Arial"/>
                <w:b/>
                <w:i/>
                <w:spacing w:val="-6"/>
                <w:sz w:val="20"/>
              </w:rPr>
              <w:t> </w:t>
            </w:r>
            <w:r>
              <w:rPr>
                <w:rFonts w:ascii="Arial"/>
                <w:b/>
                <w:i/>
                <w:sz w:val="20"/>
              </w:rPr>
              <w:t>earnings</w:t>
            </w:r>
            <w:r>
              <w:rPr>
                <w:rFonts w:ascii="Arial"/>
                <w:b/>
                <w:i/>
                <w:spacing w:val="-6"/>
                <w:sz w:val="20"/>
              </w:rPr>
              <w:t> </w:t>
            </w:r>
            <w:r>
              <w:rPr>
                <w:rFonts w:ascii="Arial"/>
                <w:b/>
                <w:i/>
                <w:sz w:val="20"/>
              </w:rPr>
              <w:t>(Statements</w:t>
            </w:r>
            <w:r>
              <w:rPr>
                <w:rFonts w:ascii="Arial"/>
                <w:b/>
                <w:i/>
                <w:spacing w:val="-6"/>
                <w:sz w:val="20"/>
              </w:rPr>
              <w:t> </w:t>
            </w:r>
            <w:r>
              <w:rPr>
                <w:rFonts w:ascii="Arial"/>
                <w:b/>
                <w:i/>
                <w:sz w:val="20"/>
              </w:rPr>
              <w:t>of</w:t>
            </w:r>
            <w:r>
              <w:rPr>
                <w:rFonts w:ascii="Arial"/>
                <w:b/>
                <w:i/>
                <w:spacing w:val="-6"/>
                <w:sz w:val="20"/>
              </w:rPr>
              <w:t> </w:t>
            </w:r>
            <w:r>
              <w:rPr>
                <w:rFonts w:ascii="Arial"/>
                <w:b/>
                <w:i/>
                <w:sz w:val="20"/>
              </w:rPr>
              <w:t>Changes</w:t>
            </w:r>
            <w:r>
              <w:rPr>
                <w:rFonts w:ascii="Arial"/>
                <w:b/>
                <w:i/>
                <w:spacing w:val="-6"/>
                <w:sz w:val="20"/>
              </w:rPr>
              <w:t> </w:t>
            </w:r>
            <w:r>
              <w:rPr>
                <w:rFonts w:ascii="Arial"/>
                <w:b/>
                <w:i/>
                <w:sz w:val="20"/>
              </w:rPr>
              <w:t>in</w:t>
            </w:r>
            <w:r>
              <w:rPr>
                <w:rFonts w:ascii="Arial"/>
                <w:b/>
                <w:i/>
                <w:spacing w:val="-6"/>
                <w:sz w:val="20"/>
              </w:rPr>
              <w:t> </w:t>
            </w:r>
            <w:r>
              <w:rPr>
                <w:rFonts w:ascii="Arial"/>
                <w:b/>
                <w:i/>
                <w:sz w:val="20"/>
              </w:rPr>
              <w:t>Retained</w:t>
            </w:r>
            <w:r>
              <w:rPr>
                <w:rFonts w:ascii="Arial"/>
                <w:b/>
                <w:i/>
                <w:spacing w:val="-6"/>
                <w:sz w:val="20"/>
              </w:rPr>
              <w:t> </w:t>
            </w:r>
            <w:r>
              <w:rPr>
                <w:rFonts w:ascii="Arial"/>
                <w:b/>
                <w:i/>
                <w:sz w:val="20"/>
              </w:rPr>
              <w:t>Earnings</w:t>
            </w:r>
            <w:r>
              <w:rPr>
                <w:rFonts w:ascii="Arial"/>
                <w:b/>
                <w:i/>
                <w:spacing w:val="-6"/>
                <w:sz w:val="20"/>
              </w:rPr>
              <w:t> </w:t>
            </w:r>
            <w:r>
              <w:rPr>
                <w:rFonts w:ascii="Arial"/>
                <w:b/>
                <w:i/>
                <w:spacing w:val="-5"/>
                <w:sz w:val="20"/>
              </w:rPr>
              <w:t>and</w:t>
            </w:r>
          </w:p>
        </w:tc>
        <w:tc>
          <w:tcPr>
            <w:tcW w:w="1353" w:type="dxa"/>
          </w:tcPr>
          <w:p>
            <w:pPr>
              <w:pStyle w:val="TableParagraph"/>
              <w:rPr>
                <w:rFonts w:ascii="Times New Roman"/>
                <w:sz w:val="18"/>
              </w:rPr>
            </w:pPr>
          </w:p>
        </w:tc>
        <w:tc>
          <w:tcPr>
            <w:tcW w:w="1315" w:type="dxa"/>
          </w:tcPr>
          <w:p>
            <w:pPr>
              <w:pStyle w:val="TableParagraph"/>
              <w:rPr>
                <w:rFonts w:ascii="Times New Roman"/>
                <w:sz w:val="18"/>
              </w:rPr>
            </w:pPr>
          </w:p>
        </w:tc>
      </w:tr>
      <w:tr>
        <w:trPr>
          <w:trHeight w:val="292" w:hRule="atLeast"/>
        </w:trPr>
        <w:tc>
          <w:tcPr>
            <w:tcW w:w="6687" w:type="dxa"/>
          </w:tcPr>
          <w:p>
            <w:pPr>
              <w:pStyle w:val="TableParagraph"/>
              <w:spacing w:before="1"/>
              <w:ind w:left="230"/>
              <w:rPr>
                <w:rFonts w:ascii="Arial"/>
                <w:b/>
                <w:i/>
                <w:sz w:val="20"/>
              </w:rPr>
            </w:pPr>
            <w:r>
              <w:rPr>
                <w:rFonts w:ascii="Arial"/>
                <w:b/>
                <w:i/>
                <w:sz w:val="20"/>
              </w:rPr>
              <w:t>Note</w:t>
            </w:r>
            <w:r>
              <w:rPr>
                <w:rFonts w:ascii="Arial"/>
                <w:b/>
                <w:i/>
                <w:spacing w:val="-5"/>
                <w:sz w:val="20"/>
              </w:rPr>
              <w:t> G)</w:t>
            </w:r>
          </w:p>
        </w:tc>
        <w:tc>
          <w:tcPr>
            <w:tcW w:w="1353" w:type="dxa"/>
          </w:tcPr>
          <w:p>
            <w:pPr>
              <w:pStyle w:val="TableParagraph"/>
              <w:spacing w:before="1"/>
              <w:ind w:right="127"/>
              <w:jc w:val="right"/>
              <w:rPr>
                <w:sz w:val="20"/>
              </w:rPr>
            </w:pPr>
            <w:r>
              <w:rPr>
                <w:spacing w:val="-2"/>
                <w:sz w:val="20"/>
              </w:rPr>
              <w:t>36,141</w:t>
            </w:r>
          </w:p>
        </w:tc>
        <w:tc>
          <w:tcPr>
            <w:tcW w:w="1315" w:type="dxa"/>
          </w:tcPr>
          <w:p>
            <w:pPr>
              <w:pStyle w:val="TableParagraph"/>
              <w:spacing w:before="1"/>
              <w:ind w:right="77"/>
              <w:jc w:val="right"/>
              <w:rPr>
                <w:sz w:val="20"/>
              </w:rPr>
            </w:pPr>
            <w:r>
              <w:rPr>
                <w:spacing w:val="-2"/>
                <w:sz w:val="20"/>
              </w:rPr>
              <w:t>34,997</w:t>
            </w:r>
          </w:p>
        </w:tc>
      </w:tr>
      <w:tr>
        <w:trPr>
          <w:trHeight w:val="363" w:hRule="atLeast"/>
        </w:trPr>
        <w:tc>
          <w:tcPr>
            <w:tcW w:w="6687" w:type="dxa"/>
          </w:tcPr>
          <w:p>
            <w:pPr>
              <w:pStyle w:val="TableParagraph"/>
              <w:spacing w:before="54"/>
              <w:ind w:left="50"/>
              <w:rPr>
                <w:rFonts w:ascii="Arial" w:hAnsi="Arial"/>
                <w:b/>
                <w:i/>
                <w:sz w:val="20"/>
              </w:rPr>
            </w:pPr>
            <w:r>
              <w:rPr>
                <w:rFonts w:ascii="Arial" w:hAnsi="Arial"/>
                <w:b/>
                <w:i/>
                <w:sz w:val="20"/>
              </w:rPr>
              <w:t>Accumulated</w:t>
            </w:r>
            <w:r>
              <w:rPr>
                <w:rFonts w:ascii="Arial" w:hAnsi="Arial"/>
                <w:b/>
                <w:i/>
                <w:spacing w:val="-8"/>
                <w:sz w:val="20"/>
              </w:rPr>
              <w:t> </w:t>
            </w:r>
            <w:r>
              <w:rPr>
                <w:rFonts w:ascii="Arial" w:hAnsi="Arial"/>
                <w:b/>
                <w:i/>
                <w:sz w:val="20"/>
              </w:rPr>
              <w:t>other</w:t>
            </w:r>
            <w:r>
              <w:rPr>
                <w:rFonts w:ascii="Arial" w:hAnsi="Arial"/>
                <w:b/>
                <w:i/>
                <w:spacing w:val="-7"/>
                <w:sz w:val="20"/>
              </w:rPr>
              <w:t> </w:t>
            </w:r>
            <w:r>
              <w:rPr>
                <w:rFonts w:ascii="Arial" w:hAnsi="Arial"/>
                <w:b/>
                <w:i/>
                <w:sz w:val="20"/>
              </w:rPr>
              <w:t>comprehensive</w:t>
            </w:r>
            <w:r>
              <w:rPr>
                <w:rFonts w:ascii="Arial" w:hAnsi="Arial"/>
                <w:b/>
                <w:i/>
                <w:spacing w:val="-7"/>
                <w:sz w:val="20"/>
              </w:rPr>
              <w:t> </w:t>
            </w:r>
            <w:r>
              <w:rPr>
                <w:rFonts w:ascii="Arial" w:hAnsi="Arial"/>
                <w:b/>
                <w:i/>
                <w:sz w:val="20"/>
              </w:rPr>
              <w:t>income</w:t>
            </w:r>
            <w:r>
              <w:rPr>
                <w:rFonts w:ascii="Arial" w:hAnsi="Arial"/>
                <w:b/>
                <w:i/>
                <w:spacing w:val="-7"/>
                <w:sz w:val="20"/>
              </w:rPr>
              <w:t> </w:t>
            </w:r>
            <w:r>
              <w:rPr>
                <w:rFonts w:ascii="Arial" w:hAnsi="Arial"/>
                <w:b/>
                <w:i/>
                <w:sz w:val="20"/>
              </w:rPr>
              <w:t>—Note</w:t>
            </w:r>
            <w:r>
              <w:rPr>
                <w:rFonts w:ascii="Arial" w:hAnsi="Arial"/>
                <w:b/>
                <w:i/>
                <w:spacing w:val="-7"/>
                <w:sz w:val="20"/>
              </w:rPr>
              <w:t> </w:t>
            </w:r>
            <w:r>
              <w:rPr>
                <w:rFonts w:ascii="Arial" w:hAnsi="Arial"/>
                <w:b/>
                <w:i/>
                <w:spacing w:val="-12"/>
                <w:sz w:val="20"/>
              </w:rPr>
              <w:t>K</w:t>
            </w:r>
          </w:p>
        </w:tc>
        <w:tc>
          <w:tcPr>
            <w:tcW w:w="1353" w:type="dxa"/>
            <w:tcBorders>
              <w:bottom w:val="single" w:sz="8" w:space="0" w:color="000000"/>
            </w:tcBorders>
          </w:tcPr>
          <w:p>
            <w:pPr>
              <w:pStyle w:val="TableParagraph"/>
              <w:spacing w:before="54"/>
              <w:ind w:right="127"/>
              <w:jc w:val="right"/>
              <w:rPr>
                <w:sz w:val="20"/>
              </w:rPr>
            </w:pPr>
            <w:r>
              <w:rPr>
                <w:spacing w:val="-2"/>
                <w:sz w:val="20"/>
              </w:rPr>
              <w:t>3,523</w:t>
            </w:r>
          </w:p>
        </w:tc>
        <w:tc>
          <w:tcPr>
            <w:tcW w:w="1315" w:type="dxa"/>
            <w:tcBorders>
              <w:bottom w:val="single" w:sz="8" w:space="0" w:color="000000"/>
            </w:tcBorders>
          </w:tcPr>
          <w:p>
            <w:pPr>
              <w:pStyle w:val="TableParagraph"/>
              <w:spacing w:before="54"/>
              <w:ind w:right="77"/>
              <w:jc w:val="right"/>
              <w:rPr>
                <w:sz w:val="20"/>
              </w:rPr>
            </w:pPr>
            <w:r>
              <w:rPr>
                <w:spacing w:val="-5"/>
                <w:sz w:val="20"/>
              </w:rPr>
              <w:t>918</w:t>
            </w:r>
          </w:p>
        </w:tc>
      </w:tr>
      <w:tr>
        <w:trPr>
          <w:trHeight w:val="265" w:hRule="atLeast"/>
        </w:trPr>
        <w:tc>
          <w:tcPr>
            <w:tcW w:w="6687" w:type="dxa"/>
          </w:tcPr>
          <w:p>
            <w:pPr>
              <w:pStyle w:val="TableParagraph"/>
              <w:spacing w:line="230" w:lineRule="exact" w:before="15"/>
              <w:ind w:left="50"/>
              <w:rPr>
                <w:rFonts w:ascii="Arial"/>
                <w:b/>
                <w:sz w:val="20"/>
              </w:rPr>
            </w:pPr>
            <w:r>
              <w:rPr>
                <w:rFonts w:ascii="Arial"/>
                <w:b/>
                <w:sz w:val="20"/>
              </w:rPr>
              <w:t>Total</w:t>
            </w:r>
            <w:r>
              <w:rPr>
                <w:rFonts w:ascii="Arial"/>
                <w:b/>
                <w:spacing w:val="-4"/>
                <w:sz w:val="20"/>
              </w:rPr>
              <w:t> </w:t>
            </w:r>
            <w:r>
              <w:rPr>
                <w:rFonts w:ascii="Arial"/>
                <w:b/>
                <w:spacing w:val="-2"/>
                <w:sz w:val="20"/>
              </w:rPr>
              <w:t>equity</w:t>
            </w:r>
          </w:p>
        </w:tc>
        <w:tc>
          <w:tcPr>
            <w:tcW w:w="1353" w:type="dxa"/>
            <w:tcBorders>
              <w:top w:val="single" w:sz="8" w:space="0" w:color="000000"/>
              <w:bottom w:val="single" w:sz="8" w:space="0" w:color="000000"/>
            </w:tcBorders>
          </w:tcPr>
          <w:p>
            <w:pPr>
              <w:pStyle w:val="TableParagraph"/>
              <w:spacing w:line="230" w:lineRule="exact" w:before="15"/>
              <w:ind w:right="127"/>
              <w:jc w:val="right"/>
              <w:rPr>
                <w:sz w:val="20"/>
              </w:rPr>
            </w:pPr>
            <w:r>
              <w:rPr>
                <w:spacing w:val="-2"/>
                <w:sz w:val="20"/>
              </w:rPr>
              <w:t>60,382</w:t>
            </w:r>
          </w:p>
        </w:tc>
        <w:tc>
          <w:tcPr>
            <w:tcW w:w="1315" w:type="dxa"/>
            <w:tcBorders>
              <w:top w:val="single" w:sz="8" w:space="0" w:color="000000"/>
              <w:bottom w:val="single" w:sz="8" w:space="0" w:color="000000"/>
            </w:tcBorders>
          </w:tcPr>
          <w:p>
            <w:pPr>
              <w:pStyle w:val="TableParagraph"/>
              <w:spacing w:line="230" w:lineRule="exact" w:before="15"/>
              <w:ind w:right="77"/>
              <w:jc w:val="right"/>
              <w:rPr>
                <w:sz w:val="20"/>
              </w:rPr>
            </w:pPr>
            <w:r>
              <w:rPr>
                <w:spacing w:val="-2"/>
                <w:sz w:val="20"/>
              </w:rPr>
              <w:t>55,320</w:t>
            </w:r>
          </w:p>
        </w:tc>
      </w:tr>
      <w:tr>
        <w:trPr>
          <w:trHeight w:val="245" w:hRule="atLeast"/>
        </w:trPr>
        <w:tc>
          <w:tcPr>
            <w:tcW w:w="6687" w:type="dxa"/>
          </w:tcPr>
          <w:p>
            <w:pPr>
              <w:pStyle w:val="TableParagraph"/>
              <w:spacing w:line="210" w:lineRule="exact" w:before="15"/>
              <w:ind w:left="50"/>
              <w:rPr>
                <w:rFonts w:ascii="Arial"/>
                <w:b/>
                <w:sz w:val="20"/>
              </w:rPr>
            </w:pPr>
            <w:r>
              <w:rPr>
                <w:rFonts w:ascii="Arial"/>
                <w:b/>
                <w:sz w:val="20"/>
              </w:rPr>
              <w:t>Total</w:t>
            </w:r>
            <w:r>
              <w:rPr>
                <w:rFonts w:ascii="Arial"/>
                <w:b/>
                <w:spacing w:val="-8"/>
                <w:sz w:val="20"/>
              </w:rPr>
              <w:t> </w:t>
            </w:r>
            <w:r>
              <w:rPr>
                <w:rFonts w:ascii="Arial"/>
                <w:b/>
                <w:sz w:val="20"/>
              </w:rPr>
              <w:t>liabilities</w:t>
            </w:r>
            <w:r>
              <w:rPr>
                <w:rFonts w:ascii="Arial"/>
                <w:b/>
                <w:spacing w:val="-6"/>
                <w:sz w:val="20"/>
              </w:rPr>
              <w:t> </w:t>
            </w:r>
            <w:r>
              <w:rPr>
                <w:rFonts w:ascii="Arial"/>
                <w:b/>
                <w:sz w:val="20"/>
              </w:rPr>
              <w:t>and</w:t>
            </w:r>
            <w:r>
              <w:rPr>
                <w:rFonts w:ascii="Arial"/>
                <w:b/>
                <w:spacing w:val="-5"/>
                <w:sz w:val="20"/>
              </w:rPr>
              <w:t> </w:t>
            </w:r>
            <w:r>
              <w:rPr>
                <w:rFonts w:ascii="Arial"/>
                <w:b/>
                <w:spacing w:val="-2"/>
                <w:sz w:val="20"/>
              </w:rPr>
              <w:t>equity</w:t>
            </w:r>
          </w:p>
        </w:tc>
        <w:tc>
          <w:tcPr>
            <w:tcW w:w="1353" w:type="dxa"/>
            <w:tcBorders>
              <w:top w:val="single" w:sz="8" w:space="0" w:color="000000"/>
              <w:bottom w:val="double" w:sz="8" w:space="0" w:color="000000"/>
            </w:tcBorders>
          </w:tcPr>
          <w:p>
            <w:pPr>
              <w:pStyle w:val="TableParagraph"/>
              <w:tabs>
                <w:tab w:pos="501" w:val="left" w:leader="none"/>
              </w:tabs>
              <w:spacing w:line="210" w:lineRule="exact" w:before="15"/>
              <w:ind w:left="52"/>
              <w:rPr>
                <w:sz w:val="20"/>
              </w:rPr>
            </w:pPr>
            <w:r>
              <w:rPr>
                <w:spacing w:val="-10"/>
                <w:sz w:val="20"/>
              </w:rPr>
              <w:t>$</w:t>
            </w:r>
            <w:r>
              <w:rPr>
                <w:sz w:val="20"/>
              </w:rPr>
              <w:tab/>
            </w:r>
            <w:r>
              <w:rPr>
                <w:spacing w:val="-2"/>
                <w:sz w:val="20"/>
              </w:rPr>
              <w:t>332,641</w:t>
            </w:r>
          </w:p>
        </w:tc>
        <w:tc>
          <w:tcPr>
            <w:tcW w:w="1315" w:type="dxa"/>
            <w:tcBorders>
              <w:top w:val="single" w:sz="8" w:space="0" w:color="000000"/>
              <w:bottom w:val="double" w:sz="8" w:space="0" w:color="000000"/>
            </w:tcBorders>
          </w:tcPr>
          <w:p>
            <w:pPr>
              <w:pStyle w:val="TableParagraph"/>
              <w:tabs>
                <w:tab w:pos="513" w:val="left" w:leader="none"/>
              </w:tabs>
              <w:spacing w:line="210" w:lineRule="exact" w:before="15"/>
              <w:ind w:left="65"/>
              <w:rPr>
                <w:sz w:val="20"/>
              </w:rPr>
            </w:pPr>
            <w:r>
              <w:rPr>
                <w:spacing w:val="-10"/>
                <w:sz w:val="20"/>
              </w:rPr>
              <w:t>$</w:t>
            </w:r>
            <w:r>
              <w:rPr>
                <w:sz w:val="20"/>
              </w:rPr>
              <w:tab/>
            </w:r>
            <w:r>
              <w:rPr>
                <w:spacing w:val="-2"/>
                <w:sz w:val="20"/>
              </w:rPr>
              <w:t>317,542</w:t>
            </w:r>
          </w:p>
        </w:tc>
      </w:tr>
    </w:tbl>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217"/>
        <w:rPr>
          <w:rFonts w:ascii="Arial MT"/>
        </w:rPr>
      </w:pPr>
    </w:p>
    <w:p>
      <w:pPr>
        <w:spacing w:before="1"/>
        <w:ind w:left="1639" w:right="1632"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headerReference w:type="default" r:id="rId108"/>
          <w:pgSz w:w="12240" w:h="15840"/>
          <w:pgMar w:header="0" w:footer="0" w:top="1820" w:bottom="720" w:left="720" w:right="720"/>
        </w:sectPr>
      </w:pPr>
    </w:p>
    <w:p>
      <w:pPr>
        <w:pStyle w:val="BodyText"/>
        <w:spacing w:before="174"/>
        <w:rPr>
          <w:rFonts w:ascii="Arial"/>
          <w:b/>
          <w:i/>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72"/>
        <w:gridCol w:w="1203"/>
        <w:gridCol w:w="1214"/>
        <w:gridCol w:w="1165"/>
      </w:tblGrid>
      <w:tr>
        <w:trPr>
          <w:trHeight w:val="242" w:hRule="atLeast"/>
        </w:trPr>
        <w:tc>
          <w:tcPr>
            <w:tcW w:w="5772" w:type="dxa"/>
          </w:tcPr>
          <w:p>
            <w:pPr>
              <w:pStyle w:val="TableParagraph"/>
              <w:rPr>
                <w:rFonts w:ascii="Times New Roman"/>
                <w:sz w:val="16"/>
              </w:rPr>
            </w:pPr>
          </w:p>
        </w:tc>
        <w:tc>
          <w:tcPr>
            <w:tcW w:w="1203" w:type="dxa"/>
            <w:tcBorders>
              <w:bottom w:val="single" w:sz="8" w:space="0" w:color="000000"/>
            </w:tcBorders>
          </w:tcPr>
          <w:p>
            <w:pPr>
              <w:pStyle w:val="TableParagraph"/>
              <w:spacing w:line="222" w:lineRule="exact"/>
              <w:ind w:left="355"/>
              <w:rPr>
                <w:rFonts w:ascii="Arial"/>
                <w:i/>
                <w:sz w:val="20"/>
              </w:rPr>
            </w:pPr>
            <w:bookmarkStart w:name="STATEMENTS OF INCOME" w:id="191"/>
            <w:bookmarkEnd w:id="191"/>
            <w:r>
              <w:rPr/>
            </w:r>
            <w:bookmarkStart w:name="_bookmark119" w:id="192"/>
            <w:bookmarkEnd w:id="192"/>
            <w:r>
              <w:rPr/>
            </w:r>
            <w:r>
              <w:rPr>
                <w:rFonts w:ascii="Arial"/>
                <w:i/>
                <w:spacing w:val="-4"/>
                <w:sz w:val="20"/>
              </w:rPr>
              <w:t>2023</w:t>
            </w:r>
          </w:p>
        </w:tc>
        <w:tc>
          <w:tcPr>
            <w:tcW w:w="1214" w:type="dxa"/>
            <w:tcBorders>
              <w:bottom w:val="single" w:sz="8" w:space="0" w:color="000000"/>
            </w:tcBorders>
          </w:tcPr>
          <w:p>
            <w:pPr>
              <w:pStyle w:val="TableParagraph"/>
              <w:spacing w:line="222" w:lineRule="exact"/>
              <w:ind w:left="367"/>
              <w:rPr>
                <w:rFonts w:ascii="Arial"/>
                <w:i/>
                <w:sz w:val="20"/>
              </w:rPr>
            </w:pPr>
            <w:r>
              <w:rPr>
                <w:rFonts w:ascii="Arial"/>
                <w:i/>
                <w:spacing w:val="-4"/>
                <w:sz w:val="20"/>
              </w:rPr>
              <w:t>2022</w:t>
            </w:r>
          </w:p>
        </w:tc>
        <w:tc>
          <w:tcPr>
            <w:tcW w:w="1165" w:type="dxa"/>
            <w:tcBorders>
              <w:bottom w:val="single" w:sz="8" w:space="0" w:color="000000"/>
            </w:tcBorders>
          </w:tcPr>
          <w:p>
            <w:pPr>
              <w:pStyle w:val="TableParagraph"/>
              <w:spacing w:line="222" w:lineRule="exact"/>
              <w:ind w:left="368"/>
              <w:rPr>
                <w:rFonts w:ascii="Arial"/>
                <w:i/>
                <w:sz w:val="20"/>
              </w:rPr>
            </w:pPr>
            <w:r>
              <w:rPr>
                <w:rFonts w:ascii="Arial"/>
                <w:i/>
                <w:spacing w:val="-4"/>
                <w:sz w:val="20"/>
              </w:rPr>
              <w:t>2021</w:t>
            </w:r>
          </w:p>
        </w:tc>
      </w:tr>
      <w:tr>
        <w:trPr>
          <w:trHeight w:val="276" w:hRule="atLeast"/>
        </w:trPr>
        <w:tc>
          <w:tcPr>
            <w:tcW w:w="5772" w:type="dxa"/>
          </w:tcPr>
          <w:p>
            <w:pPr>
              <w:pStyle w:val="TableParagraph"/>
              <w:spacing w:before="15"/>
              <w:ind w:left="50"/>
              <w:rPr>
                <w:rFonts w:ascii="Arial"/>
                <w:b/>
                <w:i/>
                <w:sz w:val="20"/>
              </w:rPr>
            </w:pPr>
            <w:r>
              <w:rPr>
                <w:rFonts w:ascii="Arial"/>
                <w:b/>
                <w:i/>
                <w:sz w:val="20"/>
              </w:rPr>
              <w:t>Interest</w:t>
            </w:r>
            <w:r>
              <w:rPr>
                <w:rFonts w:ascii="Arial"/>
                <w:b/>
                <w:i/>
                <w:spacing w:val="-7"/>
                <w:sz w:val="20"/>
              </w:rPr>
              <w:t> </w:t>
            </w:r>
            <w:r>
              <w:rPr>
                <w:rFonts w:ascii="Arial"/>
                <w:b/>
                <w:i/>
                <w:spacing w:val="-2"/>
                <w:sz w:val="20"/>
              </w:rPr>
              <w:t>revenue</w:t>
            </w:r>
          </w:p>
        </w:tc>
        <w:tc>
          <w:tcPr>
            <w:tcW w:w="1203" w:type="dxa"/>
            <w:tcBorders>
              <w:top w:val="single" w:sz="8" w:space="0" w:color="000000"/>
            </w:tcBorders>
          </w:tcPr>
          <w:p>
            <w:pPr>
              <w:pStyle w:val="TableParagraph"/>
              <w:rPr>
                <w:rFonts w:ascii="Times New Roman"/>
                <w:sz w:val="20"/>
              </w:rPr>
            </w:pPr>
          </w:p>
        </w:tc>
        <w:tc>
          <w:tcPr>
            <w:tcW w:w="1214" w:type="dxa"/>
            <w:tcBorders>
              <w:top w:val="single" w:sz="8" w:space="0" w:color="000000"/>
            </w:tcBorders>
          </w:tcPr>
          <w:p>
            <w:pPr>
              <w:pStyle w:val="TableParagraph"/>
              <w:rPr>
                <w:rFonts w:ascii="Times New Roman"/>
                <w:sz w:val="20"/>
              </w:rPr>
            </w:pPr>
          </w:p>
        </w:tc>
        <w:tc>
          <w:tcPr>
            <w:tcW w:w="1165" w:type="dxa"/>
            <w:tcBorders>
              <w:top w:val="single" w:sz="8" w:space="0" w:color="000000"/>
            </w:tcBorders>
          </w:tcPr>
          <w:p>
            <w:pPr>
              <w:pStyle w:val="TableParagraph"/>
              <w:rPr>
                <w:rFonts w:ascii="Times New Roman"/>
                <w:sz w:val="20"/>
              </w:rPr>
            </w:pPr>
          </w:p>
        </w:tc>
      </w:tr>
      <w:tr>
        <w:trPr>
          <w:trHeight w:val="285" w:hRule="atLeast"/>
        </w:trPr>
        <w:tc>
          <w:tcPr>
            <w:tcW w:w="5772" w:type="dxa"/>
          </w:tcPr>
          <w:p>
            <w:pPr>
              <w:pStyle w:val="TableParagraph"/>
              <w:spacing w:before="24"/>
              <w:ind w:left="230"/>
              <w:rPr>
                <w:rFonts w:ascii="Arial" w:hAnsi="Arial"/>
                <w:i/>
                <w:sz w:val="20"/>
              </w:rPr>
            </w:pPr>
            <w:r>
              <w:rPr>
                <w:sz w:val="20"/>
              </w:rPr>
              <w:t>Loans,</w:t>
            </w:r>
            <w:r>
              <w:rPr>
                <w:spacing w:val="-6"/>
                <w:sz w:val="20"/>
              </w:rPr>
              <w:t> </w:t>
            </w:r>
            <w:r>
              <w:rPr>
                <w:sz w:val="20"/>
              </w:rPr>
              <w:t>net—</w:t>
            </w:r>
            <w:r>
              <w:rPr>
                <w:rFonts w:ascii="Arial" w:hAnsi="Arial"/>
                <w:i/>
                <w:sz w:val="20"/>
              </w:rPr>
              <w:t>Note</w:t>
            </w:r>
            <w:r>
              <w:rPr>
                <w:rFonts w:ascii="Arial" w:hAnsi="Arial"/>
                <w:i/>
                <w:spacing w:val="-6"/>
                <w:sz w:val="20"/>
              </w:rPr>
              <w:t> </w:t>
            </w:r>
            <w:r>
              <w:rPr>
                <w:rFonts w:ascii="Arial" w:hAnsi="Arial"/>
                <w:i/>
                <w:spacing w:val="-10"/>
                <w:sz w:val="20"/>
              </w:rPr>
              <w:t>D</w:t>
            </w:r>
          </w:p>
        </w:tc>
        <w:tc>
          <w:tcPr>
            <w:tcW w:w="1203" w:type="dxa"/>
          </w:tcPr>
          <w:p>
            <w:pPr>
              <w:pStyle w:val="TableParagraph"/>
              <w:tabs>
                <w:tab w:pos="409" w:val="left" w:leader="none"/>
              </w:tabs>
              <w:spacing w:before="24"/>
              <w:ind w:right="127"/>
              <w:jc w:val="right"/>
              <w:rPr>
                <w:sz w:val="20"/>
              </w:rPr>
            </w:pPr>
            <w:r>
              <w:rPr>
                <w:spacing w:val="-10"/>
                <w:sz w:val="20"/>
              </w:rPr>
              <w:t>$</w:t>
            </w:r>
            <w:r>
              <w:rPr>
                <w:sz w:val="20"/>
              </w:rPr>
              <w:tab/>
            </w:r>
            <w:r>
              <w:rPr>
                <w:spacing w:val="-2"/>
                <w:sz w:val="20"/>
              </w:rPr>
              <w:t>10,522</w:t>
            </w:r>
          </w:p>
        </w:tc>
        <w:tc>
          <w:tcPr>
            <w:tcW w:w="1214" w:type="dxa"/>
          </w:tcPr>
          <w:p>
            <w:pPr>
              <w:pStyle w:val="TableParagraph"/>
              <w:tabs>
                <w:tab w:pos="585" w:val="left" w:leader="none"/>
              </w:tabs>
              <w:spacing w:before="24"/>
              <w:ind w:left="65"/>
              <w:rPr>
                <w:sz w:val="20"/>
              </w:rPr>
            </w:pPr>
            <w:r>
              <w:rPr>
                <w:spacing w:val="-10"/>
                <w:sz w:val="20"/>
              </w:rPr>
              <w:t>$</w:t>
            </w:r>
            <w:r>
              <w:rPr>
                <w:sz w:val="20"/>
              </w:rPr>
              <w:tab/>
            </w:r>
            <w:r>
              <w:rPr>
                <w:spacing w:val="-2"/>
                <w:sz w:val="20"/>
              </w:rPr>
              <w:t>2,368</w:t>
            </w:r>
          </w:p>
        </w:tc>
        <w:tc>
          <w:tcPr>
            <w:tcW w:w="1165" w:type="dxa"/>
          </w:tcPr>
          <w:p>
            <w:pPr>
              <w:pStyle w:val="TableParagraph"/>
              <w:tabs>
                <w:tab w:pos="586" w:val="left" w:leader="none"/>
              </w:tabs>
              <w:spacing w:before="24"/>
              <w:ind w:left="66"/>
              <w:rPr>
                <w:sz w:val="20"/>
              </w:rPr>
            </w:pPr>
            <w:r>
              <w:rPr>
                <w:spacing w:val="-10"/>
                <w:sz w:val="20"/>
              </w:rPr>
              <w:t>$</w:t>
            </w:r>
            <w:r>
              <w:rPr>
                <w:sz w:val="20"/>
              </w:rPr>
              <w:tab/>
            </w:r>
            <w:r>
              <w:rPr>
                <w:spacing w:val="-2"/>
                <w:sz w:val="20"/>
              </w:rPr>
              <w:t>2,213</w:t>
            </w:r>
          </w:p>
        </w:tc>
      </w:tr>
      <w:tr>
        <w:trPr>
          <w:trHeight w:val="262" w:hRule="atLeast"/>
        </w:trPr>
        <w:tc>
          <w:tcPr>
            <w:tcW w:w="5772" w:type="dxa"/>
          </w:tcPr>
          <w:p>
            <w:pPr>
              <w:pStyle w:val="TableParagraph"/>
              <w:spacing w:line="218" w:lineRule="exact" w:before="24"/>
              <w:ind w:left="230"/>
              <w:rPr>
                <w:rFonts w:ascii="Arial" w:hAnsi="Arial"/>
                <w:i/>
                <w:sz w:val="20"/>
              </w:rPr>
            </w:pPr>
            <w:r>
              <w:rPr>
                <w:sz w:val="20"/>
              </w:rPr>
              <w:t>Other</w:t>
            </w:r>
            <w:r>
              <w:rPr>
                <w:spacing w:val="-9"/>
                <w:sz w:val="20"/>
              </w:rPr>
              <w:t> </w:t>
            </w:r>
            <w:r>
              <w:rPr>
                <w:sz w:val="20"/>
              </w:rPr>
              <w:t>asset/liability</w:t>
            </w:r>
            <w:r>
              <w:rPr>
                <w:spacing w:val="-8"/>
                <w:sz w:val="20"/>
              </w:rPr>
              <w:t> </w:t>
            </w:r>
            <w:r>
              <w:rPr>
                <w:sz w:val="20"/>
              </w:rPr>
              <w:t>management</w:t>
            </w:r>
            <w:r>
              <w:rPr>
                <w:spacing w:val="-9"/>
                <w:sz w:val="20"/>
              </w:rPr>
              <w:t> </w:t>
            </w:r>
            <w:r>
              <w:rPr>
                <w:sz w:val="20"/>
              </w:rPr>
              <w:t>derivatives,</w:t>
            </w:r>
            <w:r>
              <w:rPr>
                <w:spacing w:val="-8"/>
                <w:sz w:val="20"/>
              </w:rPr>
              <w:t> </w:t>
            </w:r>
            <w:r>
              <w:rPr>
                <w:sz w:val="20"/>
              </w:rPr>
              <w:t>net—</w:t>
            </w:r>
            <w:r>
              <w:rPr>
                <w:rFonts w:ascii="Arial" w:hAnsi="Arial"/>
                <w:i/>
                <w:sz w:val="20"/>
              </w:rPr>
              <w:t>Notes</w:t>
            </w:r>
            <w:r>
              <w:rPr>
                <w:rFonts w:ascii="Arial" w:hAnsi="Arial"/>
                <w:i/>
                <w:spacing w:val="-8"/>
                <w:sz w:val="20"/>
              </w:rPr>
              <w:t> </w:t>
            </w:r>
            <w:r>
              <w:rPr>
                <w:rFonts w:ascii="Arial" w:hAnsi="Arial"/>
                <w:i/>
                <w:spacing w:val="-10"/>
                <w:sz w:val="20"/>
              </w:rPr>
              <w:t>F</w:t>
            </w:r>
          </w:p>
        </w:tc>
        <w:tc>
          <w:tcPr>
            <w:tcW w:w="1203" w:type="dxa"/>
          </w:tcPr>
          <w:p>
            <w:pPr>
              <w:pStyle w:val="TableParagraph"/>
              <w:rPr>
                <w:rFonts w:ascii="Times New Roman"/>
                <w:sz w:val="18"/>
              </w:rPr>
            </w:pPr>
          </w:p>
        </w:tc>
        <w:tc>
          <w:tcPr>
            <w:tcW w:w="1214" w:type="dxa"/>
          </w:tcPr>
          <w:p>
            <w:pPr>
              <w:pStyle w:val="TableParagraph"/>
              <w:rPr>
                <w:rFonts w:ascii="Times New Roman"/>
                <w:sz w:val="18"/>
              </w:rPr>
            </w:pPr>
          </w:p>
        </w:tc>
        <w:tc>
          <w:tcPr>
            <w:tcW w:w="1165" w:type="dxa"/>
          </w:tcPr>
          <w:p>
            <w:pPr>
              <w:pStyle w:val="TableParagraph"/>
              <w:rPr>
                <w:rFonts w:ascii="Times New Roman"/>
                <w:sz w:val="18"/>
              </w:rPr>
            </w:pPr>
          </w:p>
        </w:tc>
      </w:tr>
      <w:tr>
        <w:trPr>
          <w:trHeight w:val="262" w:hRule="atLeast"/>
        </w:trPr>
        <w:tc>
          <w:tcPr>
            <w:tcW w:w="5772" w:type="dxa"/>
          </w:tcPr>
          <w:p>
            <w:pPr>
              <w:pStyle w:val="TableParagraph"/>
              <w:spacing w:before="2"/>
              <w:ind w:left="410"/>
              <w:rPr>
                <w:rFonts w:ascii="Arial"/>
                <w:i/>
                <w:sz w:val="20"/>
              </w:rPr>
            </w:pPr>
            <w:r>
              <w:rPr>
                <w:rFonts w:ascii="Arial"/>
                <w:i/>
                <w:sz w:val="20"/>
              </w:rPr>
              <w:t>and</w:t>
            </w:r>
            <w:r>
              <w:rPr>
                <w:rFonts w:ascii="Arial"/>
                <w:i/>
                <w:spacing w:val="-5"/>
                <w:sz w:val="20"/>
              </w:rPr>
              <w:t> </w:t>
            </w:r>
            <w:r>
              <w:rPr>
                <w:rFonts w:ascii="Arial"/>
                <w:i/>
                <w:spacing w:val="-10"/>
                <w:sz w:val="20"/>
              </w:rPr>
              <w:t>L</w:t>
            </w:r>
          </w:p>
        </w:tc>
        <w:tc>
          <w:tcPr>
            <w:tcW w:w="1203" w:type="dxa"/>
          </w:tcPr>
          <w:p>
            <w:pPr>
              <w:pStyle w:val="TableParagraph"/>
              <w:spacing w:before="1"/>
              <w:ind w:right="60"/>
              <w:jc w:val="right"/>
              <w:rPr>
                <w:sz w:val="20"/>
              </w:rPr>
            </w:pPr>
            <w:r>
              <w:rPr>
                <w:spacing w:val="-2"/>
                <w:sz w:val="20"/>
              </w:rPr>
              <w:t>(850)</w:t>
            </w:r>
          </w:p>
        </w:tc>
        <w:tc>
          <w:tcPr>
            <w:tcW w:w="1214" w:type="dxa"/>
          </w:tcPr>
          <w:p>
            <w:pPr>
              <w:pStyle w:val="TableParagraph"/>
              <w:spacing w:before="1"/>
              <w:ind w:right="126"/>
              <w:jc w:val="right"/>
              <w:rPr>
                <w:sz w:val="20"/>
              </w:rPr>
            </w:pPr>
            <w:r>
              <w:rPr>
                <w:spacing w:val="-5"/>
                <w:sz w:val="20"/>
              </w:rPr>
              <w:t>583</w:t>
            </w:r>
          </w:p>
        </w:tc>
        <w:tc>
          <w:tcPr>
            <w:tcW w:w="1165" w:type="dxa"/>
          </w:tcPr>
          <w:p>
            <w:pPr>
              <w:pStyle w:val="TableParagraph"/>
              <w:spacing w:before="1"/>
              <w:ind w:right="76"/>
              <w:jc w:val="right"/>
              <w:rPr>
                <w:sz w:val="20"/>
              </w:rPr>
            </w:pPr>
            <w:r>
              <w:rPr>
                <w:spacing w:val="-5"/>
                <w:sz w:val="20"/>
              </w:rPr>
              <w:t>604</w:t>
            </w:r>
          </w:p>
        </w:tc>
      </w:tr>
      <w:tr>
        <w:trPr>
          <w:trHeight w:val="284" w:hRule="atLeast"/>
        </w:trPr>
        <w:tc>
          <w:tcPr>
            <w:tcW w:w="5772" w:type="dxa"/>
          </w:tcPr>
          <w:p>
            <w:pPr>
              <w:pStyle w:val="TableParagraph"/>
              <w:spacing w:before="24"/>
              <w:ind w:left="230"/>
              <w:rPr>
                <w:rFonts w:ascii="Arial" w:hAnsi="Arial"/>
                <w:i/>
                <w:sz w:val="20"/>
              </w:rPr>
            </w:pPr>
            <w:r>
              <w:rPr>
                <w:spacing w:val="-2"/>
                <w:sz w:val="20"/>
              </w:rPr>
              <w:t>Investments-Trading,</w:t>
            </w:r>
            <w:r>
              <w:rPr>
                <w:spacing w:val="14"/>
                <w:sz w:val="20"/>
              </w:rPr>
              <w:t> </w:t>
            </w:r>
            <w:r>
              <w:rPr>
                <w:spacing w:val="-2"/>
                <w:sz w:val="20"/>
              </w:rPr>
              <w:t>net—</w:t>
            </w:r>
            <w:r>
              <w:rPr>
                <w:rFonts w:ascii="Arial" w:hAnsi="Arial"/>
                <w:i/>
                <w:spacing w:val="-2"/>
                <w:sz w:val="20"/>
              </w:rPr>
              <w:t>Note</w:t>
            </w:r>
            <w:r>
              <w:rPr>
                <w:rFonts w:ascii="Arial" w:hAnsi="Arial"/>
                <w:i/>
                <w:spacing w:val="14"/>
                <w:sz w:val="20"/>
              </w:rPr>
              <w:t> </w:t>
            </w:r>
            <w:r>
              <w:rPr>
                <w:rFonts w:ascii="Arial" w:hAnsi="Arial"/>
                <w:i/>
                <w:spacing w:val="-10"/>
                <w:sz w:val="20"/>
              </w:rPr>
              <w:t>C</w:t>
            </w:r>
          </w:p>
        </w:tc>
        <w:tc>
          <w:tcPr>
            <w:tcW w:w="1203" w:type="dxa"/>
          </w:tcPr>
          <w:p>
            <w:pPr>
              <w:pStyle w:val="TableParagraph"/>
              <w:spacing w:before="24"/>
              <w:ind w:right="127"/>
              <w:jc w:val="right"/>
              <w:rPr>
                <w:sz w:val="20"/>
              </w:rPr>
            </w:pPr>
            <w:r>
              <w:rPr>
                <w:spacing w:val="-2"/>
                <w:sz w:val="20"/>
              </w:rPr>
              <w:t>3,079</w:t>
            </w:r>
          </w:p>
        </w:tc>
        <w:tc>
          <w:tcPr>
            <w:tcW w:w="1214" w:type="dxa"/>
          </w:tcPr>
          <w:p>
            <w:pPr>
              <w:pStyle w:val="TableParagraph"/>
              <w:spacing w:before="24"/>
              <w:ind w:right="126"/>
              <w:jc w:val="right"/>
              <w:rPr>
                <w:sz w:val="20"/>
              </w:rPr>
            </w:pPr>
            <w:r>
              <w:rPr>
                <w:spacing w:val="-5"/>
                <w:sz w:val="20"/>
              </w:rPr>
              <w:t>296</w:t>
            </w:r>
          </w:p>
        </w:tc>
        <w:tc>
          <w:tcPr>
            <w:tcW w:w="1165" w:type="dxa"/>
          </w:tcPr>
          <w:p>
            <w:pPr>
              <w:pStyle w:val="TableParagraph"/>
              <w:spacing w:before="24"/>
              <w:ind w:right="76"/>
              <w:jc w:val="right"/>
              <w:rPr>
                <w:sz w:val="20"/>
              </w:rPr>
            </w:pPr>
            <w:r>
              <w:rPr>
                <w:spacing w:val="-5"/>
                <w:sz w:val="20"/>
              </w:rPr>
              <w:t>211</w:t>
            </w:r>
          </w:p>
        </w:tc>
      </w:tr>
      <w:tr>
        <w:trPr>
          <w:trHeight w:val="285" w:hRule="atLeast"/>
        </w:trPr>
        <w:tc>
          <w:tcPr>
            <w:tcW w:w="5772" w:type="dxa"/>
          </w:tcPr>
          <w:p>
            <w:pPr>
              <w:pStyle w:val="TableParagraph"/>
              <w:spacing w:before="24"/>
              <w:ind w:left="230"/>
              <w:rPr>
                <w:sz w:val="20"/>
              </w:rPr>
            </w:pPr>
            <w:r>
              <w:rPr>
                <w:spacing w:val="-2"/>
                <w:sz w:val="20"/>
              </w:rPr>
              <w:t>Other,</w:t>
            </w:r>
            <w:r>
              <w:rPr>
                <w:spacing w:val="-4"/>
                <w:sz w:val="20"/>
              </w:rPr>
              <w:t> </w:t>
            </w:r>
            <w:r>
              <w:rPr>
                <w:spacing w:val="-5"/>
                <w:sz w:val="20"/>
              </w:rPr>
              <w:t>net</w:t>
            </w:r>
          </w:p>
        </w:tc>
        <w:tc>
          <w:tcPr>
            <w:tcW w:w="1203" w:type="dxa"/>
          </w:tcPr>
          <w:p>
            <w:pPr>
              <w:pStyle w:val="TableParagraph"/>
              <w:spacing w:before="24"/>
              <w:ind w:right="127"/>
              <w:jc w:val="right"/>
              <w:rPr>
                <w:sz w:val="20"/>
              </w:rPr>
            </w:pPr>
            <w:r>
              <w:rPr>
                <w:spacing w:val="-10"/>
                <w:sz w:val="20"/>
              </w:rPr>
              <w:t>2</w:t>
            </w:r>
          </w:p>
        </w:tc>
        <w:tc>
          <w:tcPr>
            <w:tcW w:w="1214" w:type="dxa"/>
          </w:tcPr>
          <w:p>
            <w:pPr>
              <w:pStyle w:val="TableParagraph"/>
              <w:spacing w:before="24"/>
              <w:ind w:right="59"/>
              <w:jc w:val="right"/>
              <w:rPr>
                <w:sz w:val="20"/>
              </w:rPr>
            </w:pPr>
            <w:r>
              <w:rPr>
                <w:spacing w:val="-5"/>
                <w:sz w:val="20"/>
              </w:rPr>
              <w:t>(2)</w:t>
            </w:r>
          </w:p>
        </w:tc>
        <w:tc>
          <w:tcPr>
            <w:tcW w:w="1165" w:type="dxa"/>
          </w:tcPr>
          <w:p>
            <w:pPr>
              <w:pStyle w:val="TableParagraph"/>
              <w:spacing w:before="24"/>
              <w:ind w:right="9"/>
              <w:jc w:val="right"/>
              <w:rPr>
                <w:sz w:val="20"/>
              </w:rPr>
            </w:pPr>
            <w:r>
              <w:rPr>
                <w:spacing w:val="-5"/>
                <w:sz w:val="20"/>
              </w:rPr>
              <w:t>(2)</w:t>
            </w:r>
          </w:p>
        </w:tc>
      </w:tr>
      <w:tr>
        <w:trPr>
          <w:trHeight w:val="273" w:hRule="atLeast"/>
        </w:trPr>
        <w:tc>
          <w:tcPr>
            <w:tcW w:w="5772" w:type="dxa"/>
          </w:tcPr>
          <w:p>
            <w:pPr>
              <w:pStyle w:val="TableParagraph"/>
              <w:spacing w:line="230" w:lineRule="exact" w:before="24"/>
              <w:ind w:left="50"/>
              <w:rPr>
                <w:rFonts w:ascii="Arial" w:hAnsi="Arial"/>
                <w:b/>
                <w:i/>
                <w:sz w:val="20"/>
              </w:rPr>
            </w:pPr>
            <w:r>
              <w:rPr>
                <w:rFonts w:ascii="Arial" w:hAnsi="Arial"/>
                <w:b/>
                <w:i/>
                <w:sz w:val="20"/>
              </w:rPr>
              <w:t>Borrowing</w:t>
            </w:r>
            <w:r>
              <w:rPr>
                <w:rFonts w:ascii="Arial" w:hAnsi="Arial"/>
                <w:b/>
                <w:i/>
                <w:spacing w:val="-8"/>
                <w:sz w:val="20"/>
              </w:rPr>
              <w:t> </w:t>
            </w:r>
            <w:r>
              <w:rPr>
                <w:rFonts w:ascii="Arial" w:hAnsi="Arial"/>
                <w:b/>
                <w:i/>
                <w:sz w:val="20"/>
              </w:rPr>
              <w:t>expenses,</w:t>
            </w:r>
            <w:r>
              <w:rPr>
                <w:rFonts w:ascii="Arial" w:hAnsi="Arial"/>
                <w:b/>
                <w:i/>
                <w:spacing w:val="-8"/>
                <w:sz w:val="20"/>
              </w:rPr>
              <w:t> </w:t>
            </w:r>
            <w:r>
              <w:rPr>
                <w:rFonts w:ascii="Arial" w:hAnsi="Arial"/>
                <w:b/>
                <w:i/>
                <w:sz w:val="20"/>
              </w:rPr>
              <w:t>net—Note</w:t>
            </w:r>
            <w:r>
              <w:rPr>
                <w:rFonts w:ascii="Arial" w:hAnsi="Arial"/>
                <w:b/>
                <w:i/>
                <w:spacing w:val="-7"/>
                <w:sz w:val="20"/>
              </w:rPr>
              <w:t> </w:t>
            </w:r>
            <w:r>
              <w:rPr>
                <w:rFonts w:ascii="Arial" w:hAnsi="Arial"/>
                <w:b/>
                <w:i/>
                <w:spacing w:val="-10"/>
                <w:sz w:val="20"/>
              </w:rPr>
              <w:t>E</w:t>
            </w:r>
          </w:p>
        </w:tc>
        <w:tc>
          <w:tcPr>
            <w:tcW w:w="1203" w:type="dxa"/>
            <w:tcBorders>
              <w:bottom w:val="single" w:sz="8" w:space="0" w:color="000000"/>
            </w:tcBorders>
          </w:tcPr>
          <w:p>
            <w:pPr>
              <w:pStyle w:val="TableParagraph"/>
              <w:spacing w:line="230" w:lineRule="exact" w:before="24"/>
              <w:ind w:right="60"/>
              <w:jc w:val="right"/>
              <w:rPr>
                <w:sz w:val="20"/>
              </w:rPr>
            </w:pPr>
            <w:r>
              <w:rPr>
                <w:spacing w:val="-2"/>
                <w:sz w:val="20"/>
              </w:rPr>
              <w:t>(9,562)</w:t>
            </w:r>
          </w:p>
        </w:tc>
        <w:tc>
          <w:tcPr>
            <w:tcW w:w="1214" w:type="dxa"/>
            <w:tcBorders>
              <w:bottom w:val="single" w:sz="8" w:space="0" w:color="000000"/>
            </w:tcBorders>
          </w:tcPr>
          <w:p>
            <w:pPr>
              <w:pStyle w:val="TableParagraph"/>
              <w:spacing w:line="230" w:lineRule="exact" w:before="24"/>
              <w:ind w:right="59"/>
              <w:jc w:val="right"/>
              <w:rPr>
                <w:sz w:val="20"/>
              </w:rPr>
            </w:pPr>
            <w:r>
              <w:rPr>
                <w:spacing w:val="-2"/>
                <w:sz w:val="20"/>
              </w:rPr>
              <w:t>(750)</w:t>
            </w:r>
          </w:p>
        </w:tc>
        <w:tc>
          <w:tcPr>
            <w:tcW w:w="1165" w:type="dxa"/>
            <w:tcBorders>
              <w:bottom w:val="single" w:sz="8" w:space="0" w:color="000000"/>
            </w:tcBorders>
          </w:tcPr>
          <w:p>
            <w:pPr>
              <w:pStyle w:val="TableParagraph"/>
              <w:spacing w:line="230" w:lineRule="exact" w:before="24"/>
              <w:ind w:right="9"/>
              <w:jc w:val="right"/>
              <w:rPr>
                <w:sz w:val="20"/>
              </w:rPr>
            </w:pPr>
            <w:r>
              <w:rPr>
                <w:spacing w:val="-2"/>
                <w:sz w:val="20"/>
              </w:rPr>
              <w:t>(662)</w:t>
            </w:r>
          </w:p>
        </w:tc>
      </w:tr>
      <w:tr>
        <w:trPr>
          <w:trHeight w:val="265" w:hRule="atLeast"/>
        </w:trPr>
        <w:tc>
          <w:tcPr>
            <w:tcW w:w="5772" w:type="dxa"/>
          </w:tcPr>
          <w:p>
            <w:pPr>
              <w:pStyle w:val="TableParagraph"/>
              <w:spacing w:line="230" w:lineRule="exact" w:before="15"/>
              <w:ind w:left="50"/>
              <w:rPr>
                <w:rFonts w:ascii="Arial"/>
                <w:b/>
                <w:i/>
                <w:sz w:val="20"/>
              </w:rPr>
            </w:pPr>
            <w:r>
              <w:rPr>
                <w:rFonts w:ascii="Arial"/>
                <w:b/>
                <w:i/>
                <w:sz w:val="20"/>
              </w:rPr>
              <w:t>Interest</w:t>
            </w:r>
            <w:r>
              <w:rPr>
                <w:rFonts w:ascii="Arial"/>
                <w:b/>
                <w:i/>
                <w:spacing w:val="-6"/>
                <w:sz w:val="20"/>
              </w:rPr>
              <w:t> </w:t>
            </w:r>
            <w:r>
              <w:rPr>
                <w:rFonts w:ascii="Arial"/>
                <w:b/>
                <w:i/>
                <w:sz w:val="20"/>
              </w:rPr>
              <w:t>revenue,</w:t>
            </w:r>
            <w:r>
              <w:rPr>
                <w:rFonts w:ascii="Arial"/>
                <w:b/>
                <w:i/>
                <w:spacing w:val="-6"/>
                <w:sz w:val="20"/>
              </w:rPr>
              <w:t> </w:t>
            </w:r>
            <w:r>
              <w:rPr>
                <w:rFonts w:ascii="Arial"/>
                <w:b/>
                <w:i/>
                <w:sz w:val="20"/>
              </w:rPr>
              <w:t>net</w:t>
            </w:r>
            <w:r>
              <w:rPr>
                <w:rFonts w:ascii="Arial"/>
                <w:b/>
                <w:i/>
                <w:spacing w:val="-6"/>
                <w:sz w:val="20"/>
              </w:rPr>
              <w:t> </w:t>
            </w:r>
            <w:r>
              <w:rPr>
                <w:rFonts w:ascii="Arial"/>
                <w:b/>
                <w:i/>
                <w:sz w:val="20"/>
              </w:rPr>
              <w:t>of</w:t>
            </w:r>
            <w:r>
              <w:rPr>
                <w:rFonts w:ascii="Arial"/>
                <w:b/>
                <w:i/>
                <w:spacing w:val="-6"/>
                <w:sz w:val="20"/>
              </w:rPr>
              <w:t> </w:t>
            </w:r>
            <w:r>
              <w:rPr>
                <w:rFonts w:ascii="Arial"/>
                <w:b/>
                <w:i/>
                <w:sz w:val="20"/>
              </w:rPr>
              <w:t>borrowing</w:t>
            </w:r>
            <w:r>
              <w:rPr>
                <w:rFonts w:ascii="Arial"/>
                <w:b/>
                <w:i/>
                <w:spacing w:val="-5"/>
                <w:sz w:val="20"/>
              </w:rPr>
              <w:t> </w:t>
            </w:r>
            <w:r>
              <w:rPr>
                <w:rFonts w:ascii="Arial"/>
                <w:b/>
                <w:i/>
                <w:spacing w:val="-2"/>
                <w:sz w:val="20"/>
              </w:rPr>
              <w:t>expenses</w:t>
            </w:r>
          </w:p>
        </w:tc>
        <w:tc>
          <w:tcPr>
            <w:tcW w:w="1203" w:type="dxa"/>
            <w:tcBorders>
              <w:top w:val="single" w:sz="8" w:space="0" w:color="000000"/>
              <w:bottom w:val="single" w:sz="8" w:space="0" w:color="000000"/>
            </w:tcBorders>
          </w:tcPr>
          <w:p>
            <w:pPr>
              <w:pStyle w:val="TableParagraph"/>
              <w:spacing w:line="230" w:lineRule="exact" w:before="15"/>
              <w:ind w:right="127"/>
              <w:jc w:val="right"/>
              <w:rPr>
                <w:sz w:val="20"/>
              </w:rPr>
            </w:pPr>
            <w:r>
              <w:rPr>
                <w:spacing w:val="-2"/>
                <w:sz w:val="20"/>
              </w:rPr>
              <w:t>3,191</w:t>
            </w:r>
          </w:p>
        </w:tc>
        <w:tc>
          <w:tcPr>
            <w:tcW w:w="1214" w:type="dxa"/>
            <w:tcBorders>
              <w:top w:val="single" w:sz="8" w:space="0" w:color="000000"/>
              <w:bottom w:val="single" w:sz="8" w:space="0" w:color="000000"/>
            </w:tcBorders>
          </w:tcPr>
          <w:p>
            <w:pPr>
              <w:pStyle w:val="TableParagraph"/>
              <w:spacing w:line="230" w:lineRule="exact" w:before="15"/>
              <w:ind w:right="126"/>
              <w:jc w:val="right"/>
              <w:rPr>
                <w:sz w:val="20"/>
              </w:rPr>
            </w:pPr>
            <w:r>
              <w:rPr>
                <w:spacing w:val="-2"/>
                <w:sz w:val="20"/>
              </w:rPr>
              <w:t>2,495</w:t>
            </w:r>
          </w:p>
        </w:tc>
        <w:tc>
          <w:tcPr>
            <w:tcW w:w="1165" w:type="dxa"/>
            <w:tcBorders>
              <w:top w:val="single" w:sz="8" w:space="0" w:color="000000"/>
              <w:bottom w:val="single" w:sz="8" w:space="0" w:color="000000"/>
            </w:tcBorders>
          </w:tcPr>
          <w:p>
            <w:pPr>
              <w:pStyle w:val="TableParagraph"/>
              <w:spacing w:line="230" w:lineRule="exact" w:before="15"/>
              <w:ind w:right="76"/>
              <w:jc w:val="right"/>
              <w:rPr>
                <w:sz w:val="20"/>
              </w:rPr>
            </w:pPr>
            <w:r>
              <w:rPr>
                <w:spacing w:val="-2"/>
                <w:sz w:val="20"/>
              </w:rPr>
              <w:t>2,364</w:t>
            </w:r>
          </w:p>
        </w:tc>
      </w:tr>
      <w:tr>
        <w:trPr>
          <w:trHeight w:val="628" w:hRule="atLeast"/>
        </w:trPr>
        <w:tc>
          <w:tcPr>
            <w:tcW w:w="5772" w:type="dxa"/>
          </w:tcPr>
          <w:p>
            <w:pPr>
              <w:pStyle w:val="TableParagraph"/>
              <w:spacing w:before="25"/>
              <w:rPr>
                <w:rFonts w:ascii="Arial"/>
                <w:b/>
                <w:i/>
                <w:sz w:val="20"/>
              </w:rPr>
            </w:pPr>
          </w:p>
          <w:p>
            <w:pPr>
              <w:pStyle w:val="TableParagraph"/>
              <w:ind w:left="50"/>
              <w:rPr>
                <w:rFonts w:ascii="Arial" w:hAnsi="Arial"/>
                <w:b/>
                <w:i/>
                <w:sz w:val="20"/>
              </w:rPr>
            </w:pPr>
            <w:r>
              <w:rPr>
                <w:rFonts w:ascii="Arial" w:hAnsi="Arial"/>
                <w:b/>
                <w:i/>
                <w:sz w:val="20"/>
              </w:rPr>
              <w:t>Provision</w:t>
            </w:r>
            <w:r>
              <w:rPr>
                <w:rFonts w:ascii="Arial" w:hAnsi="Arial"/>
                <w:b/>
                <w:i/>
                <w:spacing w:val="-8"/>
                <w:sz w:val="20"/>
              </w:rPr>
              <w:t> </w:t>
            </w:r>
            <w:r>
              <w:rPr>
                <w:rFonts w:ascii="Arial" w:hAnsi="Arial"/>
                <w:b/>
                <w:i/>
                <w:sz w:val="20"/>
              </w:rPr>
              <w:t>for</w:t>
            </w:r>
            <w:r>
              <w:rPr>
                <w:rFonts w:ascii="Arial" w:hAnsi="Arial"/>
                <w:b/>
                <w:i/>
                <w:spacing w:val="-5"/>
                <w:sz w:val="20"/>
              </w:rPr>
              <w:t> </w:t>
            </w:r>
            <w:r>
              <w:rPr>
                <w:rFonts w:ascii="Arial" w:hAnsi="Arial"/>
                <w:b/>
                <w:i/>
                <w:sz w:val="20"/>
              </w:rPr>
              <w:t>losses</w:t>
            </w:r>
            <w:r>
              <w:rPr>
                <w:rFonts w:ascii="Arial" w:hAnsi="Arial"/>
                <w:b/>
                <w:i/>
                <w:spacing w:val="-6"/>
                <w:sz w:val="20"/>
              </w:rPr>
              <w:t> </w:t>
            </w:r>
            <w:r>
              <w:rPr>
                <w:rFonts w:ascii="Arial" w:hAnsi="Arial"/>
                <w:b/>
                <w:i/>
                <w:sz w:val="20"/>
              </w:rPr>
              <w:t>on</w:t>
            </w:r>
            <w:r>
              <w:rPr>
                <w:rFonts w:ascii="Arial" w:hAnsi="Arial"/>
                <w:b/>
                <w:i/>
                <w:spacing w:val="-5"/>
                <w:sz w:val="20"/>
              </w:rPr>
              <w:t> </w:t>
            </w:r>
            <w:r>
              <w:rPr>
                <w:rFonts w:ascii="Arial" w:hAnsi="Arial"/>
                <w:b/>
                <w:i/>
                <w:sz w:val="20"/>
              </w:rPr>
              <w:t>loans</w:t>
            </w:r>
            <w:r>
              <w:rPr>
                <w:rFonts w:ascii="Arial" w:hAnsi="Arial"/>
                <w:b/>
                <w:i/>
                <w:spacing w:val="-5"/>
                <w:sz w:val="20"/>
              </w:rPr>
              <w:t> </w:t>
            </w:r>
            <w:r>
              <w:rPr>
                <w:rFonts w:ascii="Arial" w:hAnsi="Arial"/>
                <w:b/>
                <w:i/>
                <w:sz w:val="20"/>
              </w:rPr>
              <w:t>and</w:t>
            </w:r>
            <w:r>
              <w:rPr>
                <w:rFonts w:ascii="Arial" w:hAnsi="Arial"/>
                <w:b/>
                <w:i/>
                <w:spacing w:val="-6"/>
                <w:sz w:val="20"/>
              </w:rPr>
              <w:t> </w:t>
            </w:r>
            <w:r>
              <w:rPr>
                <w:rFonts w:ascii="Arial" w:hAnsi="Arial"/>
                <w:b/>
                <w:i/>
                <w:sz w:val="20"/>
              </w:rPr>
              <w:t>other</w:t>
            </w:r>
            <w:r>
              <w:rPr>
                <w:rFonts w:ascii="Arial" w:hAnsi="Arial"/>
                <w:b/>
                <w:i/>
                <w:spacing w:val="-5"/>
                <w:sz w:val="20"/>
              </w:rPr>
              <w:t> </w:t>
            </w:r>
            <w:r>
              <w:rPr>
                <w:rFonts w:ascii="Arial" w:hAnsi="Arial"/>
                <w:b/>
                <w:i/>
                <w:sz w:val="20"/>
              </w:rPr>
              <w:t>exposures—Note</w:t>
            </w:r>
            <w:r>
              <w:rPr>
                <w:rFonts w:ascii="Arial" w:hAnsi="Arial"/>
                <w:b/>
                <w:i/>
                <w:spacing w:val="-5"/>
                <w:sz w:val="20"/>
              </w:rPr>
              <w:t> </w:t>
            </w:r>
            <w:r>
              <w:rPr>
                <w:rFonts w:ascii="Arial" w:hAnsi="Arial"/>
                <w:b/>
                <w:i/>
                <w:spacing w:val="-10"/>
                <w:sz w:val="20"/>
              </w:rPr>
              <w:t>D</w:t>
            </w:r>
          </w:p>
        </w:tc>
        <w:tc>
          <w:tcPr>
            <w:tcW w:w="1203" w:type="dxa"/>
            <w:tcBorders>
              <w:top w:val="single" w:sz="8" w:space="0" w:color="000000"/>
            </w:tcBorders>
          </w:tcPr>
          <w:p>
            <w:pPr>
              <w:pStyle w:val="TableParagraph"/>
              <w:spacing w:before="25"/>
              <w:rPr>
                <w:rFonts w:ascii="Arial"/>
                <w:b/>
                <w:i/>
                <w:sz w:val="20"/>
              </w:rPr>
            </w:pPr>
          </w:p>
          <w:p>
            <w:pPr>
              <w:pStyle w:val="TableParagraph"/>
              <w:ind w:right="60"/>
              <w:jc w:val="right"/>
              <w:rPr>
                <w:sz w:val="20"/>
              </w:rPr>
            </w:pPr>
            <w:r>
              <w:rPr>
                <w:spacing w:val="-2"/>
                <w:sz w:val="20"/>
              </w:rPr>
              <w:t>(685)</w:t>
            </w:r>
          </w:p>
        </w:tc>
        <w:tc>
          <w:tcPr>
            <w:tcW w:w="1214" w:type="dxa"/>
            <w:tcBorders>
              <w:top w:val="single" w:sz="8" w:space="0" w:color="000000"/>
            </w:tcBorders>
          </w:tcPr>
          <w:p>
            <w:pPr>
              <w:pStyle w:val="TableParagraph"/>
              <w:spacing w:before="25"/>
              <w:rPr>
                <w:rFonts w:ascii="Arial"/>
                <w:b/>
                <w:i/>
                <w:sz w:val="20"/>
              </w:rPr>
            </w:pPr>
          </w:p>
          <w:p>
            <w:pPr>
              <w:pStyle w:val="TableParagraph"/>
              <w:ind w:right="59"/>
              <w:jc w:val="right"/>
              <w:rPr>
                <w:sz w:val="20"/>
              </w:rPr>
            </w:pPr>
            <w:r>
              <w:rPr>
                <w:spacing w:val="-2"/>
                <w:sz w:val="20"/>
              </w:rPr>
              <w:t>(570)</w:t>
            </w:r>
          </w:p>
        </w:tc>
        <w:tc>
          <w:tcPr>
            <w:tcW w:w="1165" w:type="dxa"/>
            <w:tcBorders>
              <w:top w:val="single" w:sz="8" w:space="0" w:color="000000"/>
            </w:tcBorders>
          </w:tcPr>
          <w:p>
            <w:pPr>
              <w:pStyle w:val="TableParagraph"/>
              <w:spacing w:before="25"/>
              <w:rPr>
                <w:rFonts w:ascii="Arial"/>
                <w:b/>
                <w:i/>
                <w:sz w:val="20"/>
              </w:rPr>
            </w:pPr>
          </w:p>
          <w:p>
            <w:pPr>
              <w:pStyle w:val="TableParagraph"/>
              <w:ind w:right="9"/>
              <w:jc w:val="right"/>
              <w:rPr>
                <w:sz w:val="20"/>
              </w:rPr>
            </w:pPr>
            <w:r>
              <w:rPr>
                <w:spacing w:val="-2"/>
                <w:sz w:val="20"/>
              </w:rPr>
              <w:t>(146)</w:t>
            </w:r>
          </w:p>
        </w:tc>
      </w:tr>
      <w:tr>
        <w:trPr>
          <w:trHeight w:val="397" w:hRule="atLeast"/>
        </w:trPr>
        <w:tc>
          <w:tcPr>
            <w:tcW w:w="5772" w:type="dxa"/>
          </w:tcPr>
          <w:p>
            <w:pPr>
              <w:pStyle w:val="TableParagraph"/>
              <w:spacing w:before="136"/>
              <w:ind w:left="50"/>
              <w:rPr>
                <w:rFonts w:ascii="Arial"/>
                <w:b/>
                <w:i/>
                <w:sz w:val="20"/>
              </w:rPr>
            </w:pPr>
            <w:r>
              <w:rPr>
                <w:rFonts w:ascii="Arial"/>
                <w:b/>
                <w:i/>
                <w:sz w:val="20"/>
              </w:rPr>
              <w:t>Non-interest</w:t>
            </w:r>
            <w:r>
              <w:rPr>
                <w:rFonts w:ascii="Arial"/>
                <w:b/>
                <w:i/>
                <w:spacing w:val="-10"/>
                <w:sz w:val="20"/>
              </w:rPr>
              <w:t> </w:t>
            </w:r>
            <w:r>
              <w:rPr>
                <w:rFonts w:ascii="Arial"/>
                <w:b/>
                <w:i/>
                <w:spacing w:val="-2"/>
                <w:sz w:val="20"/>
              </w:rPr>
              <w:t>revenue</w:t>
            </w:r>
          </w:p>
        </w:tc>
        <w:tc>
          <w:tcPr>
            <w:tcW w:w="1203" w:type="dxa"/>
          </w:tcPr>
          <w:p>
            <w:pPr>
              <w:pStyle w:val="TableParagraph"/>
              <w:rPr>
                <w:rFonts w:ascii="Times New Roman"/>
                <w:sz w:val="20"/>
              </w:rPr>
            </w:pPr>
          </w:p>
        </w:tc>
        <w:tc>
          <w:tcPr>
            <w:tcW w:w="1214" w:type="dxa"/>
          </w:tcPr>
          <w:p>
            <w:pPr>
              <w:pStyle w:val="TableParagraph"/>
              <w:rPr>
                <w:rFonts w:ascii="Times New Roman"/>
                <w:sz w:val="20"/>
              </w:rPr>
            </w:pPr>
          </w:p>
        </w:tc>
        <w:tc>
          <w:tcPr>
            <w:tcW w:w="1165" w:type="dxa"/>
          </w:tcPr>
          <w:p>
            <w:pPr>
              <w:pStyle w:val="TableParagraph"/>
              <w:rPr>
                <w:rFonts w:ascii="Times New Roman"/>
                <w:sz w:val="20"/>
              </w:rPr>
            </w:pPr>
          </w:p>
        </w:tc>
      </w:tr>
      <w:tr>
        <w:trPr>
          <w:trHeight w:val="285" w:hRule="atLeast"/>
        </w:trPr>
        <w:tc>
          <w:tcPr>
            <w:tcW w:w="5772" w:type="dxa"/>
          </w:tcPr>
          <w:p>
            <w:pPr>
              <w:pStyle w:val="TableParagraph"/>
              <w:spacing w:before="24"/>
              <w:ind w:left="230"/>
              <w:rPr>
                <w:rFonts w:ascii="Arial" w:hAnsi="Arial"/>
                <w:i/>
                <w:sz w:val="20"/>
              </w:rPr>
            </w:pPr>
            <w:r>
              <w:rPr>
                <w:sz w:val="20"/>
              </w:rPr>
              <w:t>Revenue</w:t>
            </w:r>
            <w:r>
              <w:rPr>
                <w:spacing w:val="-6"/>
                <w:sz w:val="20"/>
              </w:rPr>
              <w:t> </w:t>
            </w:r>
            <w:r>
              <w:rPr>
                <w:sz w:val="20"/>
              </w:rPr>
              <w:t>from</w:t>
            </w:r>
            <w:r>
              <w:rPr>
                <w:spacing w:val="-6"/>
                <w:sz w:val="20"/>
              </w:rPr>
              <w:t> </w:t>
            </w:r>
            <w:r>
              <w:rPr>
                <w:sz w:val="20"/>
              </w:rPr>
              <w:t>externally</w:t>
            </w:r>
            <w:r>
              <w:rPr>
                <w:spacing w:val="-5"/>
                <w:sz w:val="20"/>
              </w:rPr>
              <w:t> </w:t>
            </w:r>
            <w:r>
              <w:rPr>
                <w:sz w:val="20"/>
              </w:rPr>
              <w:t>funded</w:t>
            </w:r>
            <w:r>
              <w:rPr>
                <w:spacing w:val="-6"/>
                <w:sz w:val="20"/>
              </w:rPr>
              <w:t> </w:t>
            </w:r>
            <w:r>
              <w:rPr>
                <w:sz w:val="20"/>
              </w:rPr>
              <w:t>activities—</w:t>
            </w:r>
            <w:r>
              <w:rPr>
                <w:rFonts w:ascii="Arial" w:hAnsi="Arial"/>
                <w:i/>
                <w:sz w:val="20"/>
              </w:rPr>
              <w:t>Notes</w:t>
            </w:r>
            <w:r>
              <w:rPr>
                <w:rFonts w:ascii="Arial" w:hAnsi="Arial"/>
                <w:i/>
                <w:spacing w:val="-5"/>
                <w:sz w:val="20"/>
              </w:rPr>
              <w:t> </w:t>
            </w:r>
            <w:r>
              <w:rPr>
                <w:rFonts w:ascii="Arial" w:hAnsi="Arial"/>
                <w:i/>
                <w:sz w:val="20"/>
              </w:rPr>
              <w:t>H</w:t>
            </w:r>
            <w:r>
              <w:rPr>
                <w:rFonts w:ascii="Arial" w:hAnsi="Arial"/>
                <w:i/>
                <w:spacing w:val="-6"/>
                <w:sz w:val="20"/>
              </w:rPr>
              <w:t> </w:t>
            </w:r>
            <w:r>
              <w:rPr>
                <w:rFonts w:ascii="Arial" w:hAnsi="Arial"/>
                <w:i/>
                <w:sz w:val="20"/>
              </w:rPr>
              <w:t>and</w:t>
            </w:r>
            <w:r>
              <w:rPr>
                <w:rFonts w:ascii="Arial" w:hAnsi="Arial"/>
                <w:i/>
                <w:spacing w:val="-5"/>
                <w:sz w:val="20"/>
              </w:rPr>
              <w:t> </w:t>
            </w:r>
            <w:r>
              <w:rPr>
                <w:rFonts w:ascii="Arial" w:hAnsi="Arial"/>
                <w:i/>
                <w:spacing w:val="-10"/>
                <w:sz w:val="20"/>
              </w:rPr>
              <w:t>I</w:t>
            </w:r>
          </w:p>
        </w:tc>
        <w:tc>
          <w:tcPr>
            <w:tcW w:w="1203" w:type="dxa"/>
          </w:tcPr>
          <w:p>
            <w:pPr>
              <w:pStyle w:val="TableParagraph"/>
              <w:spacing w:before="24"/>
              <w:ind w:right="127"/>
              <w:jc w:val="right"/>
              <w:rPr>
                <w:sz w:val="20"/>
              </w:rPr>
            </w:pPr>
            <w:r>
              <w:rPr>
                <w:spacing w:val="-5"/>
                <w:sz w:val="20"/>
              </w:rPr>
              <w:t>878</w:t>
            </w:r>
          </w:p>
        </w:tc>
        <w:tc>
          <w:tcPr>
            <w:tcW w:w="1214" w:type="dxa"/>
          </w:tcPr>
          <w:p>
            <w:pPr>
              <w:pStyle w:val="TableParagraph"/>
              <w:spacing w:before="24"/>
              <w:ind w:right="126"/>
              <w:jc w:val="right"/>
              <w:rPr>
                <w:sz w:val="20"/>
              </w:rPr>
            </w:pPr>
            <w:r>
              <w:rPr>
                <w:spacing w:val="-5"/>
                <w:sz w:val="20"/>
              </w:rPr>
              <w:t>787</w:t>
            </w:r>
          </w:p>
        </w:tc>
        <w:tc>
          <w:tcPr>
            <w:tcW w:w="1165" w:type="dxa"/>
          </w:tcPr>
          <w:p>
            <w:pPr>
              <w:pStyle w:val="TableParagraph"/>
              <w:spacing w:before="24"/>
              <w:ind w:right="76"/>
              <w:jc w:val="right"/>
              <w:rPr>
                <w:sz w:val="20"/>
              </w:rPr>
            </w:pPr>
            <w:r>
              <w:rPr>
                <w:spacing w:val="-5"/>
                <w:sz w:val="20"/>
              </w:rPr>
              <w:t>776</w:t>
            </w:r>
          </w:p>
        </w:tc>
      </w:tr>
      <w:tr>
        <w:trPr>
          <w:trHeight w:val="285" w:hRule="atLeast"/>
        </w:trPr>
        <w:tc>
          <w:tcPr>
            <w:tcW w:w="5772" w:type="dxa"/>
          </w:tcPr>
          <w:p>
            <w:pPr>
              <w:pStyle w:val="TableParagraph"/>
              <w:spacing w:before="24"/>
              <w:ind w:left="230"/>
              <w:rPr>
                <w:rFonts w:ascii="Arial" w:hAnsi="Arial"/>
                <w:i/>
                <w:sz w:val="20"/>
              </w:rPr>
            </w:pPr>
            <w:r>
              <w:rPr>
                <w:sz w:val="20"/>
              </w:rPr>
              <w:t>Commitment</w:t>
            </w:r>
            <w:r>
              <w:rPr>
                <w:spacing w:val="-8"/>
                <w:sz w:val="20"/>
              </w:rPr>
              <w:t> </w:t>
            </w:r>
            <w:r>
              <w:rPr>
                <w:sz w:val="20"/>
              </w:rPr>
              <w:t>charges—</w:t>
            </w:r>
            <w:r>
              <w:rPr>
                <w:rFonts w:ascii="Arial" w:hAnsi="Arial"/>
                <w:i/>
                <w:sz w:val="20"/>
              </w:rPr>
              <w:t>Note</w:t>
            </w:r>
            <w:r>
              <w:rPr>
                <w:rFonts w:ascii="Arial" w:hAnsi="Arial"/>
                <w:i/>
                <w:spacing w:val="-7"/>
                <w:sz w:val="20"/>
              </w:rPr>
              <w:t> </w:t>
            </w:r>
            <w:r>
              <w:rPr>
                <w:rFonts w:ascii="Arial" w:hAnsi="Arial"/>
                <w:i/>
                <w:spacing w:val="-10"/>
                <w:sz w:val="20"/>
              </w:rPr>
              <w:t>D</w:t>
            </w:r>
          </w:p>
        </w:tc>
        <w:tc>
          <w:tcPr>
            <w:tcW w:w="1203" w:type="dxa"/>
          </w:tcPr>
          <w:p>
            <w:pPr>
              <w:pStyle w:val="TableParagraph"/>
              <w:spacing w:before="24"/>
              <w:ind w:right="127"/>
              <w:jc w:val="right"/>
              <w:rPr>
                <w:sz w:val="20"/>
              </w:rPr>
            </w:pPr>
            <w:r>
              <w:rPr>
                <w:spacing w:val="-5"/>
                <w:sz w:val="20"/>
              </w:rPr>
              <w:t>124</w:t>
            </w:r>
          </w:p>
        </w:tc>
        <w:tc>
          <w:tcPr>
            <w:tcW w:w="1214" w:type="dxa"/>
          </w:tcPr>
          <w:p>
            <w:pPr>
              <w:pStyle w:val="TableParagraph"/>
              <w:spacing w:before="24"/>
              <w:ind w:right="126"/>
              <w:jc w:val="right"/>
              <w:rPr>
                <w:sz w:val="20"/>
              </w:rPr>
            </w:pPr>
            <w:r>
              <w:rPr>
                <w:spacing w:val="-5"/>
                <w:sz w:val="20"/>
              </w:rPr>
              <w:t>126</w:t>
            </w:r>
          </w:p>
        </w:tc>
        <w:tc>
          <w:tcPr>
            <w:tcW w:w="1165" w:type="dxa"/>
          </w:tcPr>
          <w:p>
            <w:pPr>
              <w:pStyle w:val="TableParagraph"/>
              <w:spacing w:before="24"/>
              <w:ind w:right="76"/>
              <w:jc w:val="right"/>
              <w:rPr>
                <w:sz w:val="20"/>
              </w:rPr>
            </w:pPr>
            <w:r>
              <w:rPr>
                <w:spacing w:val="-5"/>
                <w:sz w:val="20"/>
              </w:rPr>
              <w:t>115</w:t>
            </w:r>
          </w:p>
        </w:tc>
      </w:tr>
      <w:tr>
        <w:trPr>
          <w:trHeight w:val="273" w:hRule="atLeast"/>
        </w:trPr>
        <w:tc>
          <w:tcPr>
            <w:tcW w:w="5772" w:type="dxa"/>
          </w:tcPr>
          <w:p>
            <w:pPr>
              <w:pStyle w:val="TableParagraph"/>
              <w:spacing w:line="230" w:lineRule="exact" w:before="24"/>
              <w:ind w:left="230"/>
              <w:rPr>
                <w:rFonts w:ascii="Arial" w:hAnsi="Arial"/>
                <w:i/>
                <w:sz w:val="20"/>
              </w:rPr>
            </w:pPr>
            <w:r>
              <w:rPr>
                <w:sz w:val="20"/>
              </w:rPr>
              <w:t>Other,</w:t>
            </w:r>
            <w:r>
              <w:rPr>
                <w:spacing w:val="-12"/>
                <w:sz w:val="20"/>
              </w:rPr>
              <w:t> </w:t>
            </w:r>
            <w:r>
              <w:rPr>
                <w:sz w:val="20"/>
              </w:rPr>
              <w:t>net—</w:t>
            </w:r>
            <w:r>
              <w:rPr>
                <w:rFonts w:ascii="Arial" w:hAnsi="Arial"/>
                <w:i/>
                <w:sz w:val="20"/>
              </w:rPr>
              <w:t>Note</w:t>
            </w:r>
            <w:r>
              <w:rPr>
                <w:rFonts w:ascii="Arial" w:hAnsi="Arial"/>
                <w:i/>
                <w:spacing w:val="-11"/>
                <w:sz w:val="20"/>
              </w:rPr>
              <w:t> </w:t>
            </w:r>
            <w:r>
              <w:rPr>
                <w:rFonts w:ascii="Arial" w:hAnsi="Arial"/>
                <w:i/>
                <w:spacing w:val="-10"/>
                <w:sz w:val="20"/>
              </w:rPr>
              <w:t>I</w:t>
            </w:r>
          </w:p>
        </w:tc>
        <w:tc>
          <w:tcPr>
            <w:tcW w:w="1203" w:type="dxa"/>
            <w:tcBorders>
              <w:bottom w:val="single" w:sz="8" w:space="0" w:color="000000"/>
            </w:tcBorders>
          </w:tcPr>
          <w:p>
            <w:pPr>
              <w:pStyle w:val="TableParagraph"/>
              <w:spacing w:line="230" w:lineRule="exact" w:before="24"/>
              <w:ind w:right="127"/>
              <w:jc w:val="right"/>
              <w:rPr>
                <w:sz w:val="20"/>
              </w:rPr>
            </w:pPr>
            <w:r>
              <w:rPr>
                <w:spacing w:val="-5"/>
                <w:sz w:val="20"/>
              </w:rPr>
              <w:t>43</w:t>
            </w:r>
          </w:p>
        </w:tc>
        <w:tc>
          <w:tcPr>
            <w:tcW w:w="1214" w:type="dxa"/>
            <w:tcBorders>
              <w:bottom w:val="single" w:sz="8" w:space="0" w:color="000000"/>
            </w:tcBorders>
          </w:tcPr>
          <w:p>
            <w:pPr>
              <w:pStyle w:val="TableParagraph"/>
              <w:spacing w:line="230" w:lineRule="exact" w:before="24"/>
              <w:ind w:right="126"/>
              <w:jc w:val="right"/>
              <w:rPr>
                <w:sz w:val="20"/>
              </w:rPr>
            </w:pPr>
            <w:r>
              <w:rPr>
                <w:spacing w:val="-5"/>
                <w:sz w:val="20"/>
              </w:rPr>
              <w:t>43</w:t>
            </w:r>
          </w:p>
        </w:tc>
        <w:tc>
          <w:tcPr>
            <w:tcW w:w="1165" w:type="dxa"/>
            <w:tcBorders>
              <w:bottom w:val="single" w:sz="8" w:space="0" w:color="000000"/>
            </w:tcBorders>
          </w:tcPr>
          <w:p>
            <w:pPr>
              <w:pStyle w:val="TableParagraph"/>
              <w:spacing w:line="230" w:lineRule="exact" w:before="24"/>
              <w:ind w:right="76"/>
              <w:jc w:val="right"/>
              <w:rPr>
                <w:sz w:val="20"/>
              </w:rPr>
            </w:pPr>
            <w:r>
              <w:rPr>
                <w:spacing w:val="-5"/>
                <w:sz w:val="20"/>
              </w:rPr>
              <w:t>36</w:t>
            </w:r>
          </w:p>
        </w:tc>
      </w:tr>
      <w:tr>
        <w:trPr>
          <w:trHeight w:val="265" w:hRule="atLeast"/>
        </w:trPr>
        <w:tc>
          <w:tcPr>
            <w:tcW w:w="5772" w:type="dxa"/>
          </w:tcPr>
          <w:p>
            <w:pPr>
              <w:pStyle w:val="TableParagraph"/>
              <w:spacing w:line="230" w:lineRule="exact" w:before="15"/>
              <w:ind w:left="410"/>
              <w:rPr>
                <w:sz w:val="20"/>
              </w:rPr>
            </w:pPr>
            <w:r>
              <w:rPr>
                <w:spacing w:val="-2"/>
                <w:sz w:val="20"/>
              </w:rPr>
              <w:t>Total</w:t>
            </w:r>
          </w:p>
        </w:tc>
        <w:tc>
          <w:tcPr>
            <w:tcW w:w="1203" w:type="dxa"/>
            <w:tcBorders>
              <w:top w:val="single" w:sz="8" w:space="0" w:color="000000"/>
              <w:bottom w:val="single" w:sz="8" w:space="0" w:color="000000"/>
            </w:tcBorders>
          </w:tcPr>
          <w:p>
            <w:pPr>
              <w:pStyle w:val="TableParagraph"/>
              <w:spacing w:line="230" w:lineRule="exact" w:before="15"/>
              <w:ind w:right="127"/>
              <w:jc w:val="right"/>
              <w:rPr>
                <w:sz w:val="20"/>
              </w:rPr>
            </w:pPr>
            <w:r>
              <w:rPr>
                <w:spacing w:val="-2"/>
                <w:sz w:val="20"/>
              </w:rPr>
              <w:t>1,045</w:t>
            </w:r>
          </w:p>
        </w:tc>
        <w:tc>
          <w:tcPr>
            <w:tcW w:w="1214" w:type="dxa"/>
            <w:tcBorders>
              <w:top w:val="single" w:sz="8" w:space="0" w:color="000000"/>
              <w:bottom w:val="single" w:sz="8" w:space="0" w:color="000000"/>
            </w:tcBorders>
          </w:tcPr>
          <w:p>
            <w:pPr>
              <w:pStyle w:val="TableParagraph"/>
              <w:spacing w:line="230" w:lineRule="exact" w:before="15"/>
              <w:ind w:right="126"/>
              <w:jc w:val="right"/>
              <w:rPr>
                <w:sz w:val="20"/>
              </w:rPr>
            </w:pPr>
            <w:r>
              <w:rPr>
                <w:spacing w:val="-5"/>
                <w:sz w:val="20"/>
              </w:rPr>
              <w:t>956</w:t>
            </w:r>
          </w:p>
        </w:tc>
        <w:tc>
          <w:tcPr>
            <w:tcW w:w="1165" w:type="dxa"/>
            <w:tcBorders>
              <w:top w:val="single" w:sz="8" w:space="0" w:color="000000"/>
              <w:bottom w:val="single" w:sz="8" w:space="0" w:color="000000"/>
            </w:tcBorders>
          </w:tcPr>
          <w:p>
            <w:pPr>
              <w:pStyle w:val="TableParagraph"/>
              <w:spacing w:line="230" w:lineRule="exact" w:before="15"/>
              <w:ind w:right="76"/>
              <w:jc w:val="right"/>
              <w:rPr>
                <w:sz w:val="20"/>
              </w:rPr>
            </w:pPr>
            <w:r>
              <w:rPr>
                <w:spacing w:val="-5"/>
                <w:sz w:val="20"/>
              </w:rPr>
              <w:t>927</w:t>
            </w:r>
          </w:p>
        </w:tc>
      </w:tr>
      <w:tr>
        <w:trPr>
          <w:trHeight w:val="410" w:hRule="atLeast"/>
        </w:trPr>
        <w:tc>
          <w:tcPr>
            <w:tcW w:w="5772" w:type="dxa"/>
          </w:tcPr>
          <w:p>
            <w:pPr>
              <w:pStyle w:val="TableParagraph"/>
              <w:spacing w:line="210" w:lineRule="exact" w:before="180"/>
              <w:ind w:left="50"/>
              <w:rPr>
                <w:rFonts w:ascii="Arial"/>
                <w:b/>
                <w:i/>
                <w:sz w:val="20"/>
              </w:rPr>
            </w:pPr>
            <w:r>
              <w:rPr>
                <w:rFonts w:ascii="Arial"/>
                <w:b/>
                <w:i/>
                <w:sz w:val="20"/>
              </w:rPr>
              <w:t>Non-interest</w:t>
            </w:r>
            <w:r>
              <w:rPr>
                <w:rFonts w:ascii="Arial"/>
                <w:b/>
                <w:i/>
                <w:spacing w:val="-10"/>
                <w:sz w:val="20"/>
              </w:rPr>
              <w:t> </w:t>
            </w:r>
            <w:r>
              <w:rPr>
                <w:rFonts w:ascii="Arial"/>
                <w:b/>
                <w:i/>
                <w:spacing w:val="-2"/>
                <w:sz w:val="20"/>
              </w:rPr>
              <w:t>expenses</w:t>
            </w:r>
          </w:p>
        </w:tc>
        <w:tc>
          <w:tcPr>
            <w:tcW w:w="1203" w:type="dxa"/>
          </w:tcPr>
          <w:p>
            <w:pPr>
              <w:pStyle w:val="TableParagraph"/>
              <w:rPr>
                <w:rFonts w:ascii="Times New Roman"/>
                <w:sz w:val="20"/>
              </w:rPr>
            </w:pPr>
          </w:p>
        </w:tc>
        <w:tc>
          <w:tcPr>
            <w:tcW w:w="1214" w:type="dxa"/>
          </w:tcPr>
          <w:p>
            <w:pPr>
              <w:pStyle w:val="TableParagraph"/>
              <w:rPr>
                <w:rFonts w:ascii="Times New Roman"/>
                <w:sz w:val="20"/>
              </w:rPr>
            </w:pPr>
          </w:p>
        </w:tc>
        <w:tc>
          <w:tcPr>
            <w:tcW w:w="1165" w:type="dxa"/>
          </w:tcPr>
          <w:p>
            <w:pPr>
              <w:pStyle w:val="TableParagraph"/>
              <w:rPr>
                <w:rFonts w:ascii="Times New Roman"/>
                <w:sz w:val="20"/>
              </w:rPr>
            </w:pPr>
          </w:p>
        </w:tc>
      </w:tr>
      <w:tr>
        <w:trPr>
          <w:trHeight w:val="315" w:hRule="atLeast"/>
        </w:trPr>
        <w:tc>
          <w:tcPr>
            <w:tcW w:w="5772" w:type="dxa"/>
          </w:tcPr>
          <w:p>
            <w:pPr>
              <w:pStyle w:val="TableParagraph"/>
              <w:spacing w:before="55"/>
              <w:ind w:left="230"/>
              <w:rPr>
                <w:rFonts w:ascii="Arial" w:hAnsi="Arial"/>
                <w:i/>
                <w:sz w:val="20"/>
              </w:rPr>
            </w:pPr>
            <w:r>
              <w:rPr>
                <w:sz w:val="20"/>
              </w:rPr>
              <w:t>Administrative—</w:t>
            </w:r>
            <w:r>
              <w:rPr>
                <w:rFonts w:ascii="Arial" w:hAnsi="Arial"/>
                <w:i/>
                <w:sz w:val="20"/>
              </w:rPr>
              <w:t>Notes</w:t>
            </w:r>
            <w:r>
              <w:rPr>
                <w:rFonts w:ascii="Arial" w:hAnsi="Arial"/>
                <w:i/>
                <w:spacing w:val="-6"/>
                <w:sz w:val="20"/>
              </w:rPr>
              <w:t> </w:t>
            </w:r>
            <w:r>
              <w:rPr>
                <w:rFonts w:ascii="Arial" w:hAnsi="Arial"/>
                <w:i/>
                <w:sz w:val="20"/>
              </w:rPr>
              <w:t>H,</w:t>
            </w:r>
            <w:r>
              <w:rPr>
                <w:rFonts w:ascii="Arial" w:hAnsi="Arial"/>
                <w:i/>
                <w:spacing w:val="-5"/>
                <w:sz w:val="20"/>
              </w:rPr>
              <w:t> </w:t>
            </w:r>
            <w:r>
              <w:rPr>
                <w:rFonts w:ascii="Arial" w:hAnsi="Arial"/>
                <w:i/>
                <w:sz w:val="20"/>
              </w:rPr>
              <w:t>I</w:t>
            </w:r>
            <w:r>
              <w:rPr>
                <w:rFonts w:ascii="Arial" w:hAnsi="Arial"/>
                <w:i/>
                <w:spacing w:val="-5"/>
                <w:sz w:val="20"/>
              </w:rPr>
              <w:t> </w:t>
            </w:r>
            <w:r>
              <w:rPr>
                <w:rFonts w:ascii="Arial" w:hAnsi="Arial"/>
                <w:i/>
                <w:sz w:val="20"/>
              </w:rPr>
              <w:t>and</w:t>
            </w:r>
            <w:r>
              <w:rPr>
                <w:rFonts w:ascii="Arial" w:hAnsi="Arial"/>
                <w:i/>
                <w:spacing w:val="-5"/>
                <w:sz w:val="20"/>
              </w:rPr>
              <w:t> </w:t>
            </w:r>
            <w:r>
              <w:rPr>
                <w:rFonts w:ascii="Arial" w:hAnsi="Arial"/>
                <w:i/>
                <w:spacing w:val="-10"/>
                <w:sz w:val="20"/>
              </w:rPr>
              <w:t>J</w:t>
            </w:r>
          </w:p>
        </w:tc>
        <w:tc>
          <w:tcPr>
            <w:tcW w:w="1203" w:type="dxa"/>
          </w:tcPr>
          <w:p>
            <w:pPr>
              <w:pStyle w:val="TableParagraph"/>
              <w:spacing w:before="55"/>
              <w:ind w:right="60"/>
              <w:jc w:val="right"/>
              <w:rPr>
                <w:sz w:val="20"/>
              </w:rPr>
            </w:pPr>
            <w:r>
              <w:rPr>
                <w:spacing w:val="-2"/>
                <w:sz w:val="20"/>
              </w:rPr>
              <w:t>(2,320)</w:t>
            </w:r>
          </w:p>
        </w:tc>
        <w:tc>
          <w:tcPr>
            <w:tcW w:w="1214" w:type="dxa"/>
          </w:tcPr>
          <w:p>
            <w:pPr>
              <w:pStyle w:val="TableParagraph"/>
              <w:spacing w:before="55"/>
              <w:ind w:right="59"/>
              <w:jc w:val="right"/>
              <w:rPr>
                <w:sz w:val="20"/>
              </w:rPr>
            </w:pPr>
            <w:r>
              <w:rPr>
                <w:spacing w:val="-2"/>
                <w:sz w:val="20"/>
              </w:rPr>
              <w:t>(2,225)</w:t>
            </w:r>
          </w:p>
        </w:tc>
        <w:tc>
          <w:tcPr>
            <w:tcW w:w="1165" w:type="dxa"/>
          </w:tcPr>
          <w:p>
            <w:pPr>
              <w:pStyle w:val="TableParagraph"/>
              <w:spacing w:before="55"/>
              <w:ind w:right="9"/>
              <w:jc w:val="right"/>
              <w:rPr>
                <w:sz w:val="20"/>
              </w:rPr>
            </w:pPr>
            <w:r>
              <w:rPr>
                <w:spacing w:val="-2"/>
                <w:sz w:val="20"/>
              </w:rPr>
              <w:t>(2,142)</w:t>
            </w:r>
          </w:p>
        </w:tc>
      </w:tr>
      <w:tr>
        <w:trPr>
          <w:trHeight w:val="285" w:hRule="atLeast"/>
        </w:trPr>
        <w:tc>
          <w:tcPr>
            <w:tcW w:w="5772" w:type="dxa"/>
          </w:tcPr>
          <w:p>
            <w:pPr>
              <w:pStyle w:val="TableParagraph"/>
              <w:spacing w:before="24"/>
              <w:ind w:left="230"/>
              <w:rPr>
                <w:sz w:val="20"/>
              </w:rPr>
            </w:pPr>
            <w:r>
              <w:rPr>
                <w:sz w:val="20"/>
              </w:rPr>
              <w:t>Contributions</w:t>
            </w:r>
            <w:r>
              <w:rPr>
                <w:spacing w:val="-7"/>
                <w:sz w:val="20"/>
              </w:rPr>
              <w:t> </w:t>
            </w:r>
            <w:r>
              <w:rPr>
                <w:sz w:val="20"/>
              </w:rPr>
              <w:t>to</w:t>
            </w:r>
            <w:r>
              <w:rPr>
                <w:spacing w:val="-6"/>
                <w:sz w:val="20"/>
              </w:rPr>
              <w:t> </w:t>
            </w:r>
            <w:r>
              <w:rPr>
                <w:sz w:val="20"/>
              </w:rPr>
              <w:t>special</w:t>
            </w:r>
            <w:r>
              <w:rPr>
                <w:spacing w:val="-6"/>
                <w:sz w:val="20"/>
              </w:rPr>
              <w:t> </w:t>
            </w:r>
            <w:r>
              <w:rPr>
                <w:spacing w:val="-2"/>
                <w:sz w:val="20"/>
              </w:rPr>
              <w:t>programs</w:t>
            </w:r>
          </w:p>
        </w:tc>
        <w:tc>
          <w:tcPr>
            <w:tcW w:w="1203" w:type="dxa"/>
          </w:tcPr>
          <w:p>
            <w:pPr>
              <w:pStyle w:val="TableParagraph"/>
              <w:spacing w:before="24"/>
              <w:ind w:right="60"/>
              <w:jc w:val="right"/>
              <w:rPr>
                <w:sz w:val="20"/>
              </w:rPr>
            </w:pPr>
            <w:r>
              <w:rPr>
                <w:spacing w:val="-4"/>
                <w:sz w:val="20"/>
              </w:rPr>
              <w:t>(17)</w:t>
            </w:r>
          </w:p>
        </w:tc>
        <w:tc>
          <w:tcPr>
            <w:tcW w:w="1214" w:type="dxa"/>
          </w:tcPr>
          <w:p>
            <w:pPr>
              <w:pStyle w:val="TableParagraph"/>
              <w:spacing w:before="24"/>
              <w:ind w:right="59"/>
              <w:jc w:val="right"/>
              <w:rPr>
                <w:sz w:val="20"/>
              </w:rPr>
            </w:pPr>
            <w:r>
              <w:rPr>
                <w:spacing w:val="-4"/>
                <w:sz w:val="20"/>
              </w:rPr>
              <w:t>(17)</w:t>
            </w:r>
          </w:p>
        </w:tc>
        <w:tc>
          <w:tcPr>
            <w:tcW w:w="1165" w:type="dxa"/>
          </w:tcPr>
          <w:p>
            <w:pPr>
              <w:pStyle w:val="TableParagraph"/>
              <w:spacing w:before="24"/>
              <w:ind w:right="9"/>
              <w:jc w:val="right"/>
              <w:rPr>
                <w:sz w:val="20"/>
              </w:rPr>
            </w:pPr>
            <w:r>
              <w:rPr>
                <w:spacing w:val="-4"/>
                <w:sz w:val="20"/>
              </w:rPr>
              <w:t>(18)</w:t>
            </w:r>
          </w:p>
        </w:tc>
      </w:tr>
      <w:tr>
        <w:trPr>
          <w:trHeight w:val="273" w:hRule="atLeast"/>
        </w:trPr>
        <w:tc>
          <w:tcPr>
            <w:tcW w:w="5772" w:type="dxa"/>
          </w:tcPr>
          <w:p>
            <w:pPr>
              <w:pStyle w:val="TableParagraph"/>
              <w:spacing w:line="230" w:lineRule="exact" w:before="24"/>
              <w:ind w:left="230"/>
              <w:rPr>
                <w:rFonts w:ascii="Arial" w:hAnsi="Arial"/>
                <w:i/>
                <w:sz w:val="20"/>
              </w:rPr>
            </w:pPr>
            <w:r>
              <w:rPr>
                <w:sz w:val="20"/>
              </w:rPr>
              <w:t>Other—</w:t>
            </w:r>
            <w:r>
              <w:rPr>
                <w:rFonts w:ascii="Arial" w:hAnsi="Arial"/>
                <w:i/>
                <w:sz w:val="20"/>
              </w:rPr>
              <w:t>Note</w:t>
            </w:r>
            <w:r>
              <w:rPr>
                <w:rFonts w:ascii="Arial" w:hAnsi="Arial"/>
                <w:i/>
                <w:spacing w:val="-8"/>
                <w:sz w:val="20"/>
              </w:rPr>
              <w:t> </w:t>
            </w:r>
            <w:r>
              <w:rPr>
                <w:rFonts w:ascii="Arial" w:hAnsi="Arial"/>
                <w:i/>
                <w:spacing w:val="-10"/>
                <w:sz w:val="20"/>
              </w:rPr>
              <w:t>J</w:t>
            </w:r>
          </w:p>
        </w:tc>
        <w:tc>
          <w:tcPr>
            <w:tcW w:w="1203" w:type="dxa"/>
            <w:tcBorders>
              <w:bottom w:val="single" w:sz="8" w:space="0" w:color="000000"/>
            </w:tcBorders>
          </w:tcPr>
          <w:p>
            <w:pPr>
              <w:pStyle w:val="TableParagraph"/>
              <w:spacing w:line="230" w:lineRule="exact" w:before="24"/>
              <w:ind w:right="127"/>
              <w:jc w:val="right"/>
              <w:rPr>
                <w:sz w:val="20"/>
              </w:rPr>
            </w:pPr>
            <w:r>
              <w:rPr>
                <w:spacing w:val="-5"/>
                <w:sz w:val="20"/>
              </w:rPr>
              <w:t>183</w:t>
            </w:r>
          </w:p>
        </w:tc>
        <w:tc>
          <w:tcPr>
            <w:tcW w:w="1214" w:type="dxa"/>
            <w:tcBorders>
              <w:bottom w:val="single" w:sz="8" w:space="0" w:color="000000"/>
            </w:tcBorders>
          </w:tcPr>
          <w:p>
            <w:pPr>
              <w:pStyle w:val="TableParagraph"/>
              <w:spacing w:line="230" w:lineRule="exact" w:before="24"/>
              <w:ind w:right="126"/>
              <w:jc w:val="right"/>
              <w:rPr>
                <w:sz w:val="20"/>
              </w:rPr>
            </w:pPr>
            <w:r>
              <w:rPr>
                <w:spacing w:val="-5"/>
                <w:sz w:val="20"/>
              </w:rPr>
              <w:t>258</w:t>
            </w:r>
          </w:p>
        </w:tc>
        <w:tc>
          <w:tcPr>
            <w:tcW w:w="1165" w:type="dxa"/>
            <w:tcBorders>
              <w:bottom w:val="single" w:sz="8" w:space="0" w:color="000000"/>
            </w:tcBorders>
          </w:tcPr>
          <w:p>
            <w:pPr>
              <w:pStyle w:val="TableParagraph"/>
              <w:spacing w:line="230" w:lineRule="exact" w:before="24"/>
              <w:ind w:right="9"/>
              <w:jc w:val="right"/>
              <w:rPr>
                <w:sz w:val="20"/>
              </w:rPr>
            </w:pPr>
            <w:r>
              <w:rPr>
                <w:spacing w:val="-4"/>
                <w:sz w:val="20"/>
              </w:rPr>
              <w:t>(33)</w:t>
            </w:r>
          </w:p>
        </w:tc>
      </w:tr>
      <w:tr>
        <w:trPr>
          <w:trHeight w:val="265" w:hRule="atLeast"/>
        </w:trPr>
        <w:tc>
          <w:tcPr>
            <w:tcW w:w="5772" w:type="dxa"/>
          </w:tcPr>
          <w:p>
            <w:pPr>
              <w:pStyle w:val="TableParagraph"/>
              <w:spacing w:line="230" w:lineRule="exact" w:before="15"/>
              <w:ind w:left="410"/>
              <w:rPr>
                <w:sz w:val="20"/>
              </w:rPr>
            </w:pPr>
            <w:r>
              <w:rPr>
                <w:spacing w:val="-2"/>
                <w:sz w:val="20"/>
              </w:rPr>
              <w:t>Total</w:t>
            </w:r>
          </w:p>
        </w:tc>
        <w:tc>
          <w:tcPr>
            <w:tcW w:w="1203" w:type="dxa"/>
            <w:tcBorders>
              <w:top w:val="single" w:sz="8" w:space="0" w:color="000000"/>
              <w:bottom w:val="single" w:sz="8" w:space="0" w:color="000000"/>
            </w:tcBorders>
          </w:tcPr>
          <w:p>
            <w:pPr>
              <w:pStyle w:val="TableParagraph"/>
              <w:spacing w:line="230" w:lineRule="exact" w:before="15"/>
              <w:ind w:right="60"/>
              <w:jc w:val="right"/>
              <w:rPr>
                <w:sz w:val="20"/>
              </w:rPr>
            </w:pPr>
            <w:r>
              <w:rPr>
                <w:spacing w:val="-2"/>
                <w:sz w:val="20"/>
              </w:rPr>
              <w:t>(2,154)</w:t>
            </w:r>
          </w:p>
        </w:tc>
        <w:tc>
          <w:tcPr>
            <w:tcW w:w="1214" w:type="dxa"/>
            <w:tcBorders>
              <w:top w:val="single" w:sz="8" w:space="0" w:color="000000"/>
              <w:bottom w:val="single" w:sz="8" w:space="0" w:color="000000"/>
            </w:tcBorders>
          </w:tcPr>
          <w:p>
            <w:pPr>
              <w:pStyle w:val="TableParagraph"/>
              <w:spacing w:line="230" w:lineRule="exact" w:before="15"/>
              <w:ind w:right="59"/>
              <w:jc w:val="right"/>
              <w:rPr>
                <w:sz w:val="20"/>
              </w:rPr>
            </w:pPr>
            <w:r>
              <w:rPr>
                <w:spacing w:val="-2"/>
                <w:sz w:val="20"/>
              </w:rPr>
              <w:t>(1,984)</w:t>
            </w:r>
          </w:p>
        </w:tc>
        <w:tc>
          <w:tcPr>
            <w:tcW w:w="1165" w:type="dxa"/>
            <w:tcBorders>
              <w:top w:val="single" w:sz="8" w:space="0" w:color="000000"/>
              <w:bottom w:val="single" w:sz="8" w:space="0" w:color="000000"/>
            </w:tcBorders>
          </w:tcPr>
          <w:p>
            <w:pPr>
              <w:pStyle w:val="TableParagraph"/>
              <w:spacing w:line="230" w:lineRule="exact" w:before="15"/>
              <w:ind w:right="9"/>
              <w:jc w:val="right"/>
              <w:rPr>
                <w:sz w:val="20"/>
              </w:rPr>
            </w:pPr>
            <w:r>
              <w:rPr>
                <w:spacing w:val="-2"/>
                <w:sz w:val="20"/>
              </w:rPr>
              <w:t>(2,193)</w:t>
            </w:r>
          </w:p>
        </w:tc>
      </w:tr>
      <w:tr>
        <w:trPr>
          <w:trHeight w:val="553" w:hRule="atLeast"/>
        </w:trPr>
        <w:tc>
          <w:tcPr>
            <w:tcW w:w="5772" w:type="dxa"/>
          </w:tcPr>
          <w:p>
            <w:pPr>
              <w:pStyle w:val="TableParagraph"/>
              <w:spacing w:before="210"/>
              <w:ind w:left="50"/>
              <w:rPr>
                <w:rFonts w:ascii="Arial" w:hAnsi="Arial"/>
                <w:b/>
                <w:i/>
                <w:sz w:val="20"/>
              </w:rPr>
            </w:pPr>
            <w:r>
              <w:rPr>
                <w:rFonts w:ascii="Arial" w:hAnsi="Arial"/>
                <w:b/>
                <w:i/>
                <w:sz w:val="20"/>
              </w:rPr>
              <w:t>Board</w:t>
            </w:r>
            <w:r>
              <w:rPr>
                <w:rFonts w:ascii="Arial" w:hAnsi="Arial"/>
                <w:b/>
                <w:i/>
                <w:spacing w:val="-7"/>
                <w:sz w:val="20"/>
              </w:rPr>
              <w:t> </w:t>
            </w:r>
            <w:r>
              <w:rPr>
                <w:rFonts w:ascii="Arial" w:hAnsi="Arial"/>
                <w:b/>
                <w:i/>
                <w:sz w:val="20"/>
              </w:rPr>
              <w:t>of</w:t>
            </w:r>
            <w:r>
              <w:rPr>
                <w:rFonts w:ascii="Arial" w:hAnsi="Arial"/>
                <w:b/>
                <w:i/>
                <w:spacing w:val="-7"/>
                <w:sz w:val="20"/>
              </w:rPr>
              <w:t> </w:t>
            </w:r>
            <w:r>
              <w:rPr>
                <w:rFonts w:ascii="Arial" w:hAnsi="Arial"/>
                <w:b/>
                <w:i/>
                <w:sz w:val="20"/>
              </w:rPr>
              <w:t>Governors-approved</w:t>
            </w:r>
            <w:r>
              <w:rPr>
                <w:rFonts w:ascii="Arial" w:hAnsi="Arial"/>
                <w:b/>
                <w:i/>
                <w:spacing w:val="-7"/>
                <w:sz w:val="20"/>
              </w:rPr>
              <w:t> </w:t>
            </w:r>
            <w:r>
              <w:rPr>
                <w:rFonts w:ascii="Arial" w:hAnsi="Arial"/>
                <w:b/>
                <w:i/>
                <w:sz w:val="20"/>
              </w:rPr>
              <w:t>and</w:t>
            </w:r>
            <w:r>
              <w:rPr>
                <w:rFonts w:ascii="Arial" w:hAnsi="Arial"/>
                <w:b/>
                <w:i/>
                <w:spacing w:val="-7"/>
                <w:sz w:val="20"/>
              </w:rPr>
              <w:t> </w:t>
            </w:r>
            <w:r>
              <w:rPr>
                <w:rFonts w:ascii="Arial" w:hAnsi="Arial"/>
                <w:b/>
                <w:i/>
                <w:sz w:val="20"/>
              </w:rPr>
              <w:t>other</w:t>
            </w:r>
            <w:r>
              <w:rPr>
                <w:rFonts w:ascii="Arial" w:hAnsi="Arial"/>
                <w:b/>
                <w:i/>
                <w:spacing w:val="-7"/>
                <w:sz w:val="20"/>
              </w:rPr>
              <w:t> </w:t>
            </w:r>
            <w:r>
              <w:rPr>
                <w:rFonts w:ascii="Arial" w:hAnsi="Arial"/>
                <w:b/>
                <w:i/>
                <w:sz w:val="20"/>
              </w:rPr>
              <w:t>transfers—Note</w:t>
            </w:r>
            <w:r>
              <w:rPr>
                <w:rFonts w:ascii="Arial" w:hAnsi="Arial"/>
                <w:b/>
                <w:i/>
                <w:spacing w:val="-6"/>
                <w:sz w:val="20"/>
              </w:rPr>
              <w:t> </w:t>
            </w:r>
            <w:r>
              <w:rPr>
                <w:rFonts w:ascii="Arial" w:hAnsi="Arial"/>
                <w:b/>
                <w:i/>
                <w:spacing w:val="-10"/>
                <w:sz w:val="20"/>
              </w:rPr>
              <w:t>G</w:t>
            </w:r>
          </w:p>
        </w:tc>
        <w:tc>
          <w:tcPr>
            <w:tcW w:w="1203" w:type="dxa"/>
            <w:tcBorders>
              <w:top w:val="single" w:sz="8" w:space="0" w:color="000000"/>
            </w:tcBorders>
          </w:tcPr>
          <w:p>
            <w:pPr>
              <w:pStyle w:val="TableParagraph"/>
              <w:spacing w:before="210"/>
              <w:ind w:right="60"/>
              <w:jc w:val="right"/>
              <w:rPr>
                <w:sz w:val="20"/>
              </w:rPr>
            </w:pPr>
            <w:r>
              <w:rPr>
                <w:spacing w:val="-2"/>
                <w:sz w:val="20"/>
              </w:rPr>
              <w:t>(221)</w:t>
            </w:r>
          </w:p>
        </w:tc>
        <w:tc>
          <w:tcPr>
            <w:tcW w:w="1214" w:type="dxa"/>
            <w:tcBorders>
              <w:top w:val="single" w:sz="8" w:space="0" w:color="000000"/>
            </w:tcBorders>
          </w:tcPr>
          <w:p>
            <w:pPr>
              <w:pStyle w:val="TableParagraph"/>
              <w:spacing w:before="210"/>
              <w:ind w:right="59"/>
              <w:jc w:val="right"/>
              <w:rPr>
                <w:sz w:val="20"/>
              </w:rPr>
            </w:pPr>
            <w:r>
              <w:rPr>
                <w:spacing w:val="-2"/>
                <w:sz w:val="20"/>
              </w:rPr>
              <w:t>(354)</w:t>
            </w:r>
          </w:p>
        </w:tc>
        <w:tc>
          <w:tcPr>
            <w:tcW w:w="1165" w:type="dxa"/>
            <w:tcBorders>
              <w:top w:val="single" w:sz="8" w:space="0" w:color="000000"/>
            </w:tcBorders>
          </w:tcPr>
          <w:p>
            <w:pPr>
              <w:pStyle w:val="TableParagraph"/>
              <w:spacing w:before="210"/>
              <w:ind w:right="9"/>
              <w:jc w:val="right"/>
              <w:rPr>
                <w:sz w:val="20"/>
              </w:rPr>
            </w:pPr>
            <w:r>
              <w:rPr>
                <w:spacing w:val="-2"/>
                <w:sz w:val="20"/>
              </w:rPr>
              <w:t>(411)</w:t>
            </w:r>
          </w:p>
        </w:tc>
      </w:tr>
      <w:tr>
        <w:trPr>
          <w:trHeight w:val="450" w:hRule="atLeast"/>
        </w:trPr>
        <w:tc>
          <w:tcPr>
            <w:tcW w:w="5772" w:type="dxa"/>
          </w:tcPr>
          <w:p>
            <w:pPr>
              <w:pStyle w:val="TableParagraph"/>
              <w:spacing w:before="106"/>
              <w:ind w:left="50"/>
              <w:rPr>
                <w:rFonts w:ascii="Arial"/>
                <w:b/>
                <w:i/>
                <w:sz w:val="20"/>
              </w:rPr>
            </w:pPr>
            <w:r>
              <w:rPr>
                <w:rFonts w:ascii="Arial"/>
                <w:b/>
                <w:i/>
                <w:sz w:val="20"/>
              </w:rPr>
              <w:t>Non-functional</w:t>
            </w:r>
            <w:r>
              <w:rPr>
                <w:rFonts w:ascii="Arial"/>
                <w:b/>
                <w:i/>
                <w:spacing w:val="-11"/>
                <w:sz w:val="20"/>
              </w:rPr>
              <w:t> </w:t>
            </w:r>
            <w:r>
              <w:rPr>
                <w:rFonts w:ascii="Arial"/>
                <w:b/>
                <w:i/>
                <w:sz w:val="20"/>
              </w:rPr>
              <w:t>currency</w:t>
            </w:r>
            <w:r>
              <w:rPr>
                <w:rFonts w:ascii="Arial"/>
                <w:b/>
                <w:i/>
                <w:spacing w:val="-9"/>
                <w:sz w:val="20"/>
              </w:rPr>
              <w:t> </w:t>
            </w:r>
            <w:r>
              <w:rPr>
                <w:rFonts w:ascii="Arial"/>
                <w:b/>
                <w:i/>
                <w:sz w:val="20"/>
              </w:rPr>
              <w:t>translation</w:t>
            </w:r>
            <w:r>
              <w:rPr>
                <w:rFonts w:ascii="Arial"/>
                <w:b/>
                <w:i/>
                <w:spacing w:val="-8"/>
                <w:sz w:val="20"/>
              </w:rPr>
              <w:t> </w:t>
            </w:r>
            <w:r>
              <w:rPr>
                <w:rFonts w:ascii="Arial"/>
                <w:b/>
                <w:i/>
                <w:sz w:val="20"/>
              </w:rPr>
              <w:t>adjustment</w:t>
            </w:r>
            <w:r>
              <w:rPr>
                <w:rFonts w:ascii="Arial"/>
                <w:b/>
                <w:i/>
                <w:spacing w:val="-9"/>
                <w:sz w:val="20"/>
              </w:rPr>
              <w:t> </w:t>
            </w:r>
            <w:r>
              <w:rPr>
                <w:rFonts w:ascii="Arial"/>
                <w:b/>
                <w:i/>
                <w:sz w:val="20"/>
              </w:rPr>
              <w:t>gains,</w:t>
            </w:r>
            <w:r>
              <w:rPr>
                <w:rFonts w:ascii="Arial"/>
                <w:b/>
                <w:i/>
                <w:spacing w:val="-8"/>
                <w:sz w:val="20"/>
              </w:rPr>
              <w:t> </w:t>
            </w:r>
            <w:r>
              <w:rPr>
                <w:rFonts w:ascii="Arial"/>
                <w:b/>
                <w:i/>
                <w:spacing w:val="-5"/>
                <w:sz w:val="20"/>
              </w:rPr>
              <w:t>net</w:t>
            </w:r>
          </w:p>
        </w:tc>
        <w:tc>
          <w:tcPr>
            <w:tcW w:w="1203" w:type="dxa"/>
          </w:tcPr>
          <w:p>
            <w:pPr>
              <w:pStyle w:val="TableParagraph"/>
              <w:spacing w:before="106"/>
              <w:ind w:right="127"/>
              <w:jc w:val="right"/>
              <w:rPr>
                <w:sz w:val="20"/>
              </w:rPr>
            </w:pPr>
            <w:r>
              <w:rPr>
                <w:spacing w:val="-5"/>
                <w:sz w:val="20"/>
              </w:rPr>
              <w:t>39</w:t>
            </w:r>
          </w:p>
        </w:tc>
        <w:tc>
          <w:tcPr>
            <w:tcW w:w="1214" w:type="dxa"/>
          </w:tcPr>
          <w:p>
            <w:pPr>
              <w:pStyle w:val="TableParagraph"/>
              <w:spacing w:before="106"/>
              <w:ind w:right="126"/>
              <w:jc w:val="right"/>
              <w:rPr>
                <w:sz w:val="20"/>
              </w:rPr>
            </w:pPr>
            <w:r>
              <w:rPr>
                <w:spacing w:val="-5"/>
                <w:sz w:val="20"/>
              </w:rPr>
              <w:t>150</w:t>
            </w:r>
          </w:p>
        </w:tc>
        <w:tc>
          <w:tcPr>
            <w:tcW w:w="1165" w:type="dxa"/>
          </w:tcPr>
          <w:p>
            <w:pPr>
              <w:pStyle w:val="TableParagraph"/>
              <w:spacing w:before="106"/>
              <w:ind w:right="76"/>
              <w:jc w:val="right"/>
              <w:rPr>
                <w:sz w:val="20"/>
              </w:rPr>
            </w:pPr>
            <w:r>
              <w:rPr>
                <w:spacing w:val="-5"/>
                <w:sz w:val="20"/>
              </w:rPr>
              <w:t>35</w:t>
            </w:r>
          </w:p>
        </w:tc>
      </w:tr>
      <w:tr>
        <w:trPr>
          <w:trHeight w:val="345" w:hRule="atLeast"/>
        </w:trPr>
        <w:tc>
          <w:tcPr>
            <w:tcW w:w="5772" w:type="dxa"/>
          </w:tcPr>
          <w:p>
            <w:pPr>
              <w:pStyle w:val="TableParagraph"/>
              <w:spacing w:line="218" w:lineRule="exact" w:before="106"/>
              <w:ind w:left="50"/>
              <w:rPr>
                <w:rFonts w:ascii="Arial"/>
                <w:b/>
                <w:i/>
                <w:sz w:val="20"/>
              </w:rPr>
            </w:pPr>
            <w:r>
              <w:rPr>
                <w:rFonts w:ascii="Arial"/>
                <w:b/>
                <w:i/>
                <w:sz w:val="20"/>
              </w:rPr>
              <w:t>Unrealized</w:t>
            </w:r>
            <w:r>
              <w:rPr>
                <w:rFonts w:ascii="Arial"/>
                <w:b/>
                <w:i/>
                <w:spacing w:val="-9"/>
                <w:sz w:val="20"/>
              </w:rPr>
              <w:t> </w:t>
            </w:r>
            <w:r>
              <w:rPr>
                <w:rFonts w:ascii="Arial"/>
                <w:b/>
                <w:i/>
                <w:sz w:val="20"/>
              </w:rPr>
              <w:t>mark-to-market</w:t>
            </w:r>
            <w:r>
              <w:rPr>
                <w:rFonts w:ascii="Arial"/>
                <w:b/>
                <w:i/>
                <w:spacing w:val="-7"/>
                <w:sz w:val="20"/>
              </w:rPr>
              <w:t> </w:t>
            </w:r>
            <w:r>
              <w:rPr>
                <w:rFonts w:ascii="Arial"/>
                <w:b/>
                <w:i/>
                <w:sz w:val="20"/>
              </w:rPr>
              <w:t>gains</w:t>
            </w:r>
            <w:r>
              <w:rPr>
                <w:rFonts w:ascii="Arial"/>
                <w:b/>
                <w:i/>
                <w:spacing w:val="-7"/>
                <w:sz w:val="20"/>
              </w:rPr>
              <w:t> </w:t>
            </w:r>
            <w:r>
              <w:rPr>
                <w:rFonts w:ascii="Arial"/>
                <w:b/>
                <w:i/>
                <w:sz w:val="20"/>
              </w:rPr>
              <w:t>(losses)</w:t>
            </w:r>
            <w:r>
              <w:rPr>
                <w:rFonts w:ascii="Arial"/>
                <w:b/>
                <w:i/>
                <w:spacing w:val="-7"/>
                <w:sz w:val="20"/>
              </w:rPr>
              <w:t> </w:t>
            </w:r>
            <w:r>
              <w:rPr>
                <w:rFonts w:ascii="Arial"/>
                <w:b/>
                <w:i/>
                <w:sz w:val="20"/>
              </w:rPr>
              <w:t>on</w:t>
            </w:r>
            <w:r>
              <w:rPr>
                <w:rFonts w:ascii="Arial"/>
                <w:b/>
                <w:i/>
                <w:spacing w:val="-6"/>
                <w:sz w:val="20"/>
              </w:rPr>
              <w:t> </w:t>
            </w:r>
            <w:r>
              <w:rPr>
                <w:rFonts w:ascii="Arial"/>
                <w:b/>
                <w:i/>
                <w:spacing w:val="-2"/>
                <w:sz w:val="20"/>
              </w:rPr>
              <w:t>Investments-</w:t>
            </w:r>
          </w:p>
        </w:tc>
        <w:tc>
          <w:tcPr>
            <w:tcW w:w="1203" w:type="dxa"/>
          </w:tcPr>
          <w:p>
            <w:pPr>
              <w:pStyle w:val="TableParagraph"/>
              <w:rPr>
                <w:rFonts w:ascii="Times New Roman"/>
                <w:sz w:val="20"/>
              </w:rPr>
            </w:pPr>
          </w:p>
        </w:tc>
        <w:tc>
          <w:tcPr>
            <w:tcW w:w="1214" w:type="dxa"/>
          </w:tcPr>
          <w:p>
            <w:pPr>
              <w:pStyle w:val="TableParagraph"/>
              <w:rPr>
                <w:rFonts w:ascii="Times New Roman"/>
                <w:sz w:val="20"/>
              </w:rPr>
            </w:pPr>
          </w:p>
        </w:tc>
        <w:tc>
          <w:tcPr>
            <w:tcW w:w="1165" w:type="dxa"/>
          </w:tcPr>
          <w:p>
            <w:pPr>
              <w:pStyle w:val="TableParagraph"/>
              <w:rPr>
                <w:rFonts w:ascii="Times New Roman"/>
                <w:sz w:val="20"/>
              </w:rPr>
            </w:pPr>
          </w:p>
        </w:tc>
      </w:tr>
      <w:tr>
        <w:trPr>
          <w:trHeight w:val="231" w:hRule="atLeast"/>
        </w:trPr>
        <w:tc>
          <w:tcPr>
            <w:tcW w:w="5772" w:type="dxa"/>
          </w:tcPr>
          <w:p>
            <w:pPr>
              <w:pStyle w:val="TableParagraph"/>
              <w:spacing w:line="210" w:lineRule="exact" w:before="1"/>
              <w:ind w:left="230"/>
              <w:rPr>
                <w:rFonts w:ascii="Arial" w:hAnsi="Arial"/>
                <w:b/>
                <w:i/>
                <w:sz w:val="20"/>
              </w:rPr>
            </w:pPr>
            <w:r>
              <w:rPr>
                <w:rFonts w:ascii="Arial" w:hAnsi="Arial"/>
                <w:b/>
                <w:i/>
                <w:sz w:val="20"/>
              </w:rPr>
              <w:t>Trading</w:t>
            </w:r>
            <w:r>
              <w:rPr>
                <w:rFonts w:ascii="Arial" w:hAnsi="Arial"/>
                <w:b/>
                <w:i/>
                <w:spacing w:val="-5"/>
                <w:sz w:val="20"/>
              </w:rPr>
              <w:t> </w:t>
            </w:r>
            <w:r>
              <w:rPr>
                <w:rFonts w:ascii="Arial" w:hAnsi="Arial"/>
                <w:b/>
                <w:i/>
                <w:sz w:val="20"/>
              </w:rPr>
              <w:t>portfolio,</w:t>
            </w:r>
            <w:r>
              <w:rPr>
                <w:rFonts w:ascii="Arial" w:hAnsi="Arial"/>
                <w:b/>
                <w:i/>
                <w:spacing w:val="-5"/>
                <w:sz w:val="20"/>
              </w:rPr>
              <w:t> </w:t>
            </w:r>
            <w:r>
              <w:rPr>
                <w:rFonts w:ascii="Arial" w:hAnsi="Arial"/>
                <w:b/>
                <w:i/>
                <w:sz w:val="20"/>
              </w:rPr>
              <w:t>net—Notes</w:t>
            </w:r>
            <w:r>
              <w:rPr>
                <w:rFonts w:ascii="Arial" w:hAnsi="Arial"/>
                <w:b/>
                <w:i/>
                <w:spacing w:val="-5"/>
                <w:sz w:val="20"/>
              </w:rPr>
              <w:t> </w:t>
            </w:r>
            <w:r>
              <w:rPr>
                <w:rFonts w:ascii="Arial" w:hAnsi="Arial"/>
                <w:b/>
                <w:i/>
                <w:sz w:val="20"/>
              </w:rPr>
              <w:t>F</w:t>
            </w:r>
            <w:r>
              <w:rPr>
                <w:rFonts w:ascii="Arial" w:hAnsi="Arial"/>
                <w:b/>
                <w:i/>
                <w:spacing w:val="-5"/>
                <w:sz w:val="20"/>
              </w:rPr>
              <w:t> </w:t>
            </w:r>
            <w:r>
              <w:rPr>
                <w:rFonts w:ascii="Arial" w:hAnsi="Arial"/>
                <w:b/>
                <w:i/>
                <w:sz w:val="20"/>
              </w:rPr>
              <w:t>and</w:t>
            </w:r>
            <w:r>
              <w:rPr>
                <w:rFonts w:ascii="Arial" w:hAnsi="Arial"/>
                <w:b/>
                <w:i/>
                <w:spacing w:val="-5"/>
                <w:sz w:val="20"/>
              </w:rPr>
              <w:t> </w:t>
            </w:r>
            <w:r>
              <w:rPr>
                <w:rFonts w:ascii="Arial" w:hAnsi="Arial"/>
                <w:b/>
                <w:i/>
                <w:spacing w:val="-10"/>
                <w:sz w:val="20"/>
              </w:rPr>
              <w:t>L</w:t>
            </w:r>
          </w:p>
        </w:tc>
        <w:tc>
          <w:tcPr>
            <w:tcW w:w="1203" w:type="dxa"/>
          </w:tcPr>
          <w:p>
            <w:pPr>
              <w:pStyle w:val="TableParagraph"/>
              <w:spacing w:line="210" w:lineRule="exact" w:before="1"/>
              <w:ind w:right="127"/>
              <w:jc w:val="right"/>
              <w:rPr>
                <w:sz w:val="20"/>
              </w:rPr>
            </w:pPr>
            <w:r>
              <w:rPr>
                <w:spacing w:val="-5"/>
                <w:sz w:val="20"/>
              </w:rPr>
              <w:t>84</w:t>
            </w:r>
          </w:p>
        </w:tc>
        <w:tc>
          <w:tcPr>
            <w:tcW w:w="1214" w:type="dxa"/>
          </w:tcPr>
          <w:p>
            <w:pPr>
              <w:pStyle w:val="TableParagraph"/>
              <w:spacing w:line="210" w:lineRule="exact" w:before="1"/>
              <w:ind w:right="59"/>
              <w:jc w:val="right"/>
              <w:rPr>
                <w:sz w:val="20"/>
              </w:rPr>
            </w:pPr>
            <w:r>
              <w:rPr>
                <w:spacing w:val="-4"/>
                <w:sz w:val="20"/>
              </w:rPr>
              <w:t>(77)</w:t>
            </w:r>
          </w:p>
        </w:tc>
        <w:tc>
          <w:tcPr>
            <w:tcW w:w="1165" w:type="dxa"/>
          </w:tcPr>
          <w:p>
            <w:pPr>
              <w:pStyle w:val="TableParagraph"/>
              <w:spacing w:line="210" w:lineRule="exact" w:before="1"/>
              <w:ind w:right="76"/>
              <w:jc w:val="right"/>
              <w:rPr>
                <w:sz w:val="20"/>
              </w:rPr>
            </w:pPr>
            <w:r>
              <w:rPr>
                <w:spacing w:val="-5"/>
                <w:sz w:val="20"/>
              </w:rPr>
              <w:t>231</w:t>
            </w:r>
          </w:p>
        </w:tc>
      </w:tr>
      <w:tr>
        <w:trPr>
          <w:trHeight w:val="855" w:hRule="atLeast"/>
        </w:trPr>
        <w:tc>
          <w:tcPr>
            <w:tcW w:w="5772" w:type="dxa"/>
          </w:tcPr>
          <w:p>
            <w:pPr>
              <w:pStyle w:val="TableParagraph"/>
              <w:spacing w:before="125"/>
              <w:rPr>
                <w:rFonts w:ascii="Arial"/>
                <w:b/>
                <w:i/>
                <w:sz w:val="20"/>
              </w:rPr>
            </w:pPr>
          </w:p>
          <w:p>
            <w:pPr>
              <w:pStyle w:val="TableParagraph"/>
              <w:spacing w:line="249" w:lineRule="auto"/>
              <w:ind w:left="230" w:hanging="180"/>
              <w:rPr>
                <w:rFonts w:ascii="Arial"/>
                <w:b/>
                <w:i/>
                <w:sz w:val="20"/>
              </w:rPr>
            </w:pPr>
            <w:r>
              <w:rPr>
                <w:rFonts w:ascii="Arial"/>
                <w:b/>
                <w:i/>
                <w:sz w:val="20"/>
              </w:rPr>
              <w:t>Unrealized</w:t>
            </w:r>
            <w:r>
              <w:rPr>
                <w:rFonts w:ascii="Arial"/>
                <w:b/>
                <w:i/>
                <w:spacing w:val="-8"/>
                <w:sz w:val="20"/>
              </w:rPr>
              <w:t> </w:t>
            </w:r>
            <w:r>
              <w:rPr>
                <w:rFonts w:ascii="Arial"/>
                <w:b/>
                <w:i/>
                <w:sz w:val="20"/>
              </w:rPr>
              <w:t>mark-to-market</w:t>
            </w:r>
            <w:r>
              <w:rPr>
                <w:rFonts w:ascii="Arial"/>
                <w:b/>
                <w:i/>
                <w:spacing w:val="40"/>
                <w:sz w:val="20"/>
              </w:rPr>
              <w:t> </w:t>
            </w:r>
            <w:r>
              <w:rPr>
                <w:rFonts w:ascii="Arial"/>
                <w:b/>
                <w:i/>
                <w:sz w:val="20"/>
              </w:rPr>
              <w:t>(losses)</w:t>
            </w:r>
            <w:r>
              <w:rPr>
                <w:rFonts w:ascii="Arial"/>
                <w:b/>
                <w:i/>
                <w:spacing w:val="-8"/>
                <w:sz w:val="20"/>
              </w:rPr>
              <w:t> </w:t>
            </w:r>
            <w:r>
              <w:rPr>
                <w:rFonts w:ascii="Arial"/>
                <w:b/>
                <w:i/>
                <w:sz w:val="20"/>
              </w:rPr>
              <w:t>gains</w:t>
            </w:r>
            <w:r>
              <w:rPr>
                <w:rFonts w:ascii="Arial"/>
                <w:b/>
                <w:i/>
                <w:spacing w:val="-8"/>
                <w:sz w:val="20"/>
              </w:rPr>
              <w:t> </w:t>
            </w:r>
            <w:r>
              <w:rPr>
                <w:rFonts w:ascii="Arial"/>
                <w:b/>
                <w:i/>
                <w:sz w:val="20"/>
              </w:rPr>
              <w:t>on</w:t>
            </w:r>
            <w:r>
              <w:rPr>
                <w:rFonts w:ascii="Arial"/>
                <w:b/>
                <w:i/>
                <w:spacing w:val="-8"/>
                <w:sz w:val="20"/>
              </w:rPr>
              <w:t> </w:t>
            </w:r>
            <w:r>
              <w:rPr>
                <w:rFonts w:ascii="Arial"/>
                <w:b/>
                <w:i/>
                <w:sz w:val="20"/>
              </w:rPr>
              <w:t>non-trading portfolios, net</w:t>
            </w:r>
          </w:p>
        </w:tc>
        <w:tc>
          <w:tcPr>
            <w:tcW w:w="1203" w:type="dxa"/>
          </w:tcPr>
          <w:p>
            <w:pPr>
              <w:pStyle w:val="TableParagraph"/>
              <w:rPr>
                <w:rFonts w:ascii="Times New Roman"/>
                <w:sz w:val="20"/>
              </w:rPr>
            </w:pPr>
          </w:p>
        </w:tc>
        <w:tc>
          <w:tcPr>
            <w:tcW w:w="1214" w:type="dxa"/>
          </w:tcPr>
          <w:p>
            <w:pPr>
              <w:pStyle w:val="TableParagraph"/>
              <w:rPr>
                <w:rFonts w:ascii="Times New Roman"/>
                <w:sz w:val="20"/>
              </w:rPr>
            </w:pPr>
          </w:p>
        </w:tc>
        <w:tc>
          <w:tcPr>
            <w:tcW w:w="1165" w:type="dxa"/>
          </w:tcPr>
          <w:p>
            <w:pPr>
              <w:pStyle w:val="TableParagraph"/>
              <w:rPr>
                <w:rFonts w:ascii="Times New Roman"/>
                <w:sz w:val="20"/>
              </w:rPr>
            </w:pPr>
          </w:p>
        </w:tc>
      </w:tr>
      <w:tr>
        <w:trPr>
          <w:trHeight w:val="285" w:hRule="atLeast"/>
        </w:trPr>
        <w:tc>
          <w:tcPr>
            <w:tcW w:w="5772" w:type="dxa"/>
          </w:tcPr>
          <w:p>
            <w:pPr>
              <w:pStyle w:val="TableParagraph"/>
              <w:spacing w:before="24"/>
              <w:ind w:left="230"/>
              <w:rPr>
                <w:rFonts w:ascii="Arial" w:hAnsi="Arial"/>
                <w:i/>
                <w:sz w:val="20"/>
              </w:rPr>
            </w:pPr>
            <w:r>
              <w:rPr>
                <w:sz w:val="20"/>
              </w:rPr>
              <w:t>Loan-related</w:t>
            </w:r>
            <w:r>
              <w:rPr>
                <w:spacing w:val="-6"/>
                <w:sz w:val="20"/>
              </w:rPr>
              <w:t> </w:t>
            </w:r>
            <w:r>
              <w:rPr>
                <w:sz w:val="20"/>
              </w:rPr>
              <w:t>derivatives—</w:t>
            </w:r>
            <w:r>
              <w:rPr>
                <w:rFonts w:ascii="Arial" w:hAnsi="Arial"/>
                <w:i/>
                <w:sz w:val="20"/>
              </w:rPr>
              <w:t>Notes</w:t>
            </w:r>
            <w:r>
              <w:rPr>
                <w:rFonts w:ascii="Arial" w:hAnsi="Arial"/>
                <w:i/>
                <w:spacing w:val="-6"/>
                <w:sz w:val="20"/>
              </w:rPr>
              <w:t> </w:t>
            </w:r>
            <w:r>
              <w:rPr>
                <w:rFonts w:ascii="Arial" w:hAnsi="Arial"/>
                <w:i/>
                <w:sz w:val="20"/>
              </w:rPr>
              <w:t>D,</w:t>
            </w:r>
            <w:r>
              <w:rPr>
                <w:rFonts w:ascii="Arial" w:hAnsi="Arial"/>
                <w:i/>
                <w:spacing w:val="-5"/>
                <w:sz w:val="20"/>
              </w:rPr>
              <w:t> </w:t>
            </w:r>
            <w:r>
              <w:rPr>
                <w:rFonts w:ascii="Arial" w:hAnsi="Arial"/>
                <w:i/>
                <w:sz w:val="20"/>
              </w:rPr>
              <w:t>F</w:t>
            </w:r>
            <w:r>
              <w:rPr>
                <w:rFonts w:ascii="Arial" w:hAnsi="Arial"/>
                <w:i/>
                <w:spacing w:val="-6"/>
                <w:sz w:val="20"/>
              </w:rPr>
              <w:t> </w:t>
            </w:r>
            <w:r>
              <w:rPr>
                <w:rFonts w:ascii="Arial" w:hAnsi="Arial"/>
                <w:i/>
                <w:sz w:val="20"/>
              </w:rPr>
              <w:t>and</w:t>
            </w:r>
            <w:r>
              <w:rPr>
                <w:rFonts w:ascii="Arial" w:hAnsi="Arial"/>
                <w:i/>
                <w:spacing w:val="-5"/>
                <w:sz w:val="20"/>
              </w:rPr>
              <w:t> </w:t>
            </w:r>
            <w:r>
              <w:rPr>
                <w:rFonts w:ascii="Arial" w:hAnsi="Arial"/>
                <w:i/>
                <w:spacing w:val="-10"/>
                <w:sz w:val="20"/>
              </w:rPr>
              <w:t>L</w:t>
            </w:r>
          </w:p>
        </w:tc>
        <w:tc>
          <w:tcPr>
            <w:tcW w:w="1203" w:type="dxa"/>
          </w:tcPr>
          <w:p>
            <w:pPr>
              <w:pStyle w:val="TableParagraph"/>
              <w:spacing w:before="24"/>
              <w:ind w:right="127"/>
              <w:jc w:val="right"/>
              <w:rPr>
                <w:sz w:val="20"/>
              </w:rPr>
            </w:pPr>
            <w:r>
              <w:rPr>
                <w:spacing w:val="-2"/>
                <w:sz w:val="20"/>
              </w:rPr>
              <w:t>1,677</w:t>
            </w:r>
          </w:p>
        </w:tc>
        <w:tc>
          <w:tcPr>
            <w:tcW w:w="1214" w:type="dxa"/>
          </w:tcPr>
          <w:p>
            <w:pPr>
              <w:pStyle w:val="TableParagraph"/>
              <w:spacing w:before="24"/>
              <w:ind w:right="126"/>
              <w:jc w:val="right"/>
              <w:rPr>
                <w:sz w:val="20"/>
              </w:rPr>
            </w:pPr>
            <w:r>
              <w:rPr>
                <w:spacing w:val="-2"/>
                <w:sz w:val="20"/>
              </w:rPr>
              <w:t>5,994</w:t>
            </w:r>
          </w:p>
        </w:tc>
        <w:tc>
          <w:tcPr>
            <w:tcW w:w="1165" w:type="dxa"/>
          </w:tcPr>
          <w:p>
            <w:pPr>
              <w:pStyle w:val="TableParagraph"/>
              <w:spacing w:before="24"/>
              <w:ind w:right="76"/>
              <w:jc w:val="right"/>
              <w:rPr>
                <w:sz w:val="20"/>
              </w:rPr>
            </w:pPr>
            <w:r>
              <w:rPr>
                <w:spacing w:val="-2"/>
                <w:sz w:val="20"/>
              </w:rPr>
              <w:t>2,415</w:t>
            </w:r>
          </w:p>
        </w:tc>
      </w:tr>
      <w:tr>
        <w:trPr>
          <w:trHeight w:val="262" w:hRule="atLeast"/>
        </w:trPr>
        <w:tc>
          <w:tcPr>
            <w:tcW w:w="5772" w:type="dxa"/>
          </w:tcPr>
          <w:p>
            <w:pPr>
              <w:pStyle w:val="TableParagraph"/>
              <w:spacing w:line="218" w:lineRule="exact" w:before="24"/>
              <w:ind w:left="230"/>
              <w:rPr>
                <w:rFonts w:ascii="Arial" w:hAnsi="Arial"/>
                <w:i/>
                <w:sz w:val="20"/>
              </w:rPr>
            </w:pPr>
            <w:r>
              <w:rPr>
                <w:sz w:val="20"/>
              </w:rPr>
              <w:t>Other</w:t>
            </w:r>
            <w:r>
              <w:rPr>
                <w:spacing w:val="-9"/>
                <w:sz w:val="20"/>
              </w:rPr>
              <w:t> </w:t>
            </w:r>
            <w:r>
              <w:rPr>
                <w:sz w:val="20"/>
              </w:rPr>
              <w:t>asset/liability</w:t>
            </w:r>
            <w:r>
              <w:rPr>
                <w:spacing w:val="-8"/>
                <w:sz w:val="20"/>
              </w:rPr>
              <w:t> </w:t>
            </w:r>
            <w:r>
              <w:rPr>
                <w:sz w:val="20"/>
              </w:rPr>
              <w:t>management</w:t>
            </w:r>
            <w:r>
              <w:rPr>
                <w:spacing w:val="-9"/>
                <w:sz w:val="20"/>
              </w:rPr>
              <w:t> </w:t>
            </w:r>
            <w:r>
              <w:rPr>
                <w:sz w:val="20"/>
              </w:rPr>
              <w:t>derivatives,</w:t>
            </w:r>
            <w:r>
              <w:rPr>
                <w:spacing w:val="-8"/>
                <w:sz w:val="20"/>
              </w:rPr>
              <w:t> </w:t>
            </w:r>
            <w:r>
              <w:rPr>
                <w:sz w:val="20"/>
              </w:rPr>
              <w:t>net—</w:t>
            </w:r>
            <w:r>
              <w:rPr>
                <w:rFonts w:ascii="Arial" w:hAnsi="Arial"/>
                <w:i/>
                <w:sz w:val="20"/>
              </w:rPr>
              <w:t>Notes</w:t>
            </w:r>
            <w:r>
              <w:rPr>
                <w:rFonts w:ascii="Arial" w:hAnsi="Arial"/>
                <w:i/>
                <w:spacing w:val="-8"/>
                <w:sz w:val="20"/>
              </w:rPr>
              <w:t> </w:t>
            </w:r>
            <w:r>
              <w:rPr>
                <w:rFonts w:ascii="Arial" w:hAnsi="Arial"/>
                <w:i/>
                <w:spacing w:val="-10"/>
                <w:sz w:val="20"/>
              </w:rPr>
              <w:t>F</w:t>
            </w:r>
          </w:p>
        </w:tc>
        <w:tc>
          <w:tcPr>
            <w:tcW w:w="1203" w:type="dxa"/>
          </w:tcPr>
          <w:p>
            <w:pPr>
              <w:pStyle w:val="TableParagraph"/>
              <w:rPr>
                <w:rFonts w:ascii="Times New Roman"/>
                <w:sz w:val="18"/>
              </w:rPr>
            </w:pPr>
          </w:p>
        </w:tc>
        <w:tc>
          <w:tcPr>
            <w:tcW w:w="1214" w:type="dxa"/>
          </w:tcPr>
          <w:p>
            <w:pPr>
              <w:pStyle w:val="TableParagraph"/>
              <w:rPr>
                <w:rFonts w:ascii="Times New Roman"/>
                <w:sz w:val="18"/>
              </w:rPr>
            </w:pPr>
          </w:p>
        </w:tc>
        <w:tc>
          <w:tcPr>
            <w:tcW w:w="1165" w:type="dxa"/>
          </w:tcPr>
          <w:p>
            <w:pPr>
              <w:pStyle w:val="TableParagraph"/>
              <w:rPr>
                <w:rFonts w:ascii="Times New Roman"/>
                <w:sz w:val="18"/>
              </w:rPr>
            </w:pPr>
          </w:p>
        </w:tc>
      </w:tr>
      <w:tr>
        <w:trPr>
          <w:trHeight w:val="262" w:hRule="atLeast"/>
        </w:trPr>
        <w:tc>
          <w:tcPr>
            <w:tcW w:w="5772" w:type="dxa"/>
          </w:tcPr>
          <w:p>
            <w:pPr>
              <w:pStyle w:val="TableParagraph"/>
              <w:spacing w:before="2"/>
              <w:ind w:left="410"/>
              <w:rPr>
                <w:rFonts w:ascii="Arial"/>
                <w:i/>
                <w:sz w:val="20"/>
              </w:rPr>
            </w:pPr>
            <w:r>
              <w:rPr>
                <w:rFonts w:ascii="Arial"/>
                <w:i/>
                <w:sz w:val="20"/>
              </w:rPr>
              <w:t>and</w:t>
            </w:r>
            <w:r>
              <w:rPr>
                <w:rFonts w:ascii="Arial"/>
                <w:i/>
                <w:spacing w:val="-5"/>
                <w:sz w:val="20"/>
              </w:rPr>
              <w:t> </w:t>
            </w:r>
            <w:r>
              <w:rPr>
                <w:rFonts w:ascii="Arial"/>
                <w:i/>
                <w:spacing w:val="-10"/>
                <w:sz w:val="20"/>
              </w:rPr>
              <w:t>L</w:t>
            </w:r>
          </w:p>
        </w:tc>
        <w:tc>
          <w:tcPr>
            <w:tcW w:w="1203" w:type="dxa"/>
          </w:tcPr>
          <w:p>
            <w:pPr>
              <w:pStyle w:val="TableParagraph"/>
              <w:spacing w:before="1"/>
              <w:ind w:right="60"/>
              <w:jc w:val="right"/>
              <w:rPr>
                <w:sz w:val="20"/>
              </w:rPr>
            </w:pPr>
            <w:r>
              <w:rPr>
                <w:spacing w:val="-2"/>
                <w:sz w:val="20"/>
              </w:rPr>
              <w:t>(1,642)</w:t>
            </w:r>
          </w:p>
        </w:tc>
        <w:tc>
          <w:tcPr>
            <w:tcW w:w="1214" w:type="dxa"/>
          </w:tcPr>
          <w:p>
            <w:pPr>
              <w:pStyle w:val="TableParagraph"/>
              <w:spacing w:before="1"/>
              <w:ind w:right="59"/>
              <w:jc w:val="right"/>
              <w:rPr>
                <w:sz w:val="20"/>
              </w:rPr>
            </w:pPr>
            <w:r>
              <w:rPr>
                <w:spacing w:val="-2"/>
                <w:sz w:val="20"/>
              </w:rPr>
              <w:t>(3,392)</w:t>
            </w:r>
          </w:p>
        </w:tc>
        <w:tc>
          <w:tcPr>
            <w:tcW w:w="1165" w:type="dxa"/>
          </w:tcPr>
          <w:p>
            <w:pPr>
              <w:pStyle w:val="TableParagraph"/>
              <w:spacing w:before="1"/>
              <w:ind w:right="9"/>
              <w:jc w:val="right"/>
              <w:rPr>
                <w:sz w:val="20"/>
              </w:rPr>
            </w:pPr>
            <w:r>
              <w:rPr>
                <w:spacing w:val="-2"/>
                <w:sz w:val="20"/>
              </w:rPr>
              <w:t>(1,351)</w:t>
            </w:r>
          </w:p>
        </w:tc>
      </w:tr>
      <w:tr>
        <w:trPr>
          <w:trHeight w:val="284" w:hRule="atLeast"/>
        </w:trPr>
        <w:tc>
          <w:tcPr>
            <w:tcW w:w="5772" w:type="dxa"/>
          </w:tcPr>
          <w:p>
            <w:pPr>
              <w:pStyle w:val="TableParagraph"/>
              <w:spacing w:before="24"/>
              <w:ind w:left="230"/>
              <w:rPr>
                <w:rFonts w:ascii="Arial" w:hAnsi="Arial"/>
                <w:i/>
                <w:sz w:val="20"/>
              </w:rPr>
            </w:pPr>
            <w:r>
              <w:rPr>
                <w:sz w:val="20"/>
              </w:rPr>
              <w:t>Borrowings,</w:t>
            </w:r>
            <w:r>
              <w:rPr>
                <w:spacing w:val="-8"/>
                <w:sz w:val="20"/>
              </w:rPr>
              <w:t> </w:t>
            </w:r>
            <w:r>
              <w:rPr>
                <w:sz w:val="20"/>
              </w:rPr>
              <w:t>including</w:t>
            </w:r>
            <w:r>
              <w:rPr>
                <w:spacing w:val="-6"/>
                <w:sz w:val="20"/>
              </w:rPr>
              <w:t> </w:t>
            </w:r>
            <w:r>
              <w:rPr>
                <w:sz w:val="20"/>
              </w:rPr>
              <w:t>derivatives—</w:t>
            </w:r>
            <w:r>
              <w:rPr>
                <w:rFonts w:ascii="Arial" w:hAnsi="Arial"/>
                <w:i/>
                <w:sz w:val="20"/>
              </w:rPr>
              <w:t>Notes</w:t>
            </w:r>
            <w:r>
              <w:rPr>
                <w:rFonts w:ascii="Arial" w:hAnsi="Arial"/>
                <w:i/>
                <w:spacing w:val="-5"/>
                <w:sz w:val="20"/>
              </w:rPr>
              <w:t> </w:t>
            </w:r>
            <w:r>
              <w:rPr>
                <w:rFonts w:ascii="Arial" w:hAnsi="Arial"/>
                <w:i/>
                <w:sz w:val="20"/>
              </w:rPr>
              <w:t>E,</w:t>
            </w:r>
            <w:r>
              <w:rPr>
                <w:rFonts w:ascii="Arial" w:hAnsi="Arial"/>
                <w:i/>
                <w:spacing w:val="-6"/>
                <w:sz w:val="20"/>
              </w:rPr>
              <w:t> </w:t>
            </w:r>
            <w:r>
              <w:rPr>
                <w:rFonts w:ascii="Arial" w:hAnsi="Arial"/>
                <w:i/>
                <w:sz w:val="20"/>
              </w:rPr>
              <w:t>F</w:t>
            </w:r>
            <w:r>
              <w:rPr>
                <w:rFonts w:ascii="Arial" w:hAnsi="Arial"/>
                <w:i/>
                <w:spacing w:val="-6"/>
                <w:sz w:val="20"/>
              </w:rPr>
              <w:t> </w:t>
            </w:r>
            <w:r>
              <w:rPr>
                <w:rFonts w:ascii="Arial" w:hAnsi="Arial"/>
                <w:i/>
                <w:sz w:val="20"/>
              </w:rPr>
              <w:t>and</w:t>
            </w:r>
            <w:r>
              <w:rPr>
                <w:rFonts w:ascii="Arial" w:hAnsi="Arial"/>
                <w:i/>
                <w:spacing w:val="-5"/>
                <w:sz w:val="20"/>
              </w:rPr>
              <w:t> </w:t>
            </w:r>
            <w:r>
              <w:rPr>
                <w:rFonts w:ascii="Arial" w:hAnsi="Arial"/>
                <w:i/>
                <w:spacing w:val="-10"/>
                <w:sz w:val="20"/>
              </w:rPr>
              <w:t>L</w:t>
            </w:r>
          </w:p>
        </w:tc>
        <w:tc>
          <w:tcPr>
            <w:tcW w:w="1203" w:type="dxa"/>
          </w:tcPr>
          <w:p>
            <w:pPr>
              <w:pStyle w:val="TableParagraph"/>
              <w:spacing w:before="24"/>
              <w:ind w:right="60"/>
              <w:jc w:val="right"/>
              <w:rPr>
                <w:sz w:val="20"/>
              </w:rPr>
            </w:pPr>
            <w:r>
              <w:rPr>
                <w:spacing w:val="-2"/>
                <w:sz w:val="20"/>
              </w:rPr>
              <w:t>(190)</w:t>
            </w:r>
          </w:p>
        </w:tc>
        <w:tc>
          <w:tcPr>
            <w:tcW w:w="1214" w:type="dxa"/>
          </w:tcPr>
          <w:p>
            <w:pPr>
              <w:pStyle w:val="TableParagraph"/>
              <w:spacing w:before="24"/>
              <w:ind w:right="126"/>
              <w:jc w:val="right"/>
              <w:rPr>
                <w:sz w:val="20"/>
              </w:rPr>
            </w:pPr>
            <w:r>
              <w:rPr>
                <w:spacing w:val="-5"/>
                <w:sz w:val="20"/>
              </w:rPr>
              <w:t>759</w:t>
            </w:r>
          </w:p>
        </w:tc>
        <w:tc>
          <w:tcPr>
            <w:tcW w:w="1165" w:type="dxa"/>
          </w:tcPr>
          <w:p>
            <w:pPr>
              <w:pStyle w:val="TableParagraph"/>
              <w:spacing w:before="24"/>
              <w:ind w:right="76"/>
              <w:jc w:val="right"/>
              <w:rPr>
                <w:sz w:val="20"/>
              </w:rPr>
            </w:pPr>
            <w:r>
              <w:rPr>
                <w:spacing w:val="-5"/>
                <w:sz w:val="20"/>
              </w:rPr>
              <w:t>154</w:t>
            </w:r>
          </w:p>
        </w:tc>
      </w:tr>
      <w:tr>
        <w:trPr>
          <w:trHeight w:val="273" w:hRule="atLeast"/>
        </w:trPr>
        <w:tc>
          <w:tcPr>
            <w:tcW w:w="5772" w:type="dxa"/>
          </w:tcPr>
          <w:p>
            <w:pPr>
              <w:pStyle w:val="TableParagraph"/>
              <w:spacing w:line="230" w:lineRule="exact" w:before="24"/>
              <w:ind w:left="230"/>
              <w:rPr>
                <w:rFonts w:ascii="Arial" w:hAnsi="Arial"/>
                <w:i/>
                <w:sz w:val="20"/>
              </w:rPr>
            </w:pPr>
            <w:r>
              <w:rPr>
                <w:sz w:val="20"/>
              </w:rPr>
              <w:t>Others,</w:t>
            </w:r>
            <w:r>
              <w:rPr>
                <w:spacing w:val="-4"/>
                <w:sz w:val="20"/>
              </w:rPr>
              <w:t> </w:t>
            </w:r>
            <w:r>
              <w:rPr>
                <w:sz w:val="20"/>
              </w:rPr>
              <w:t>net</w:t>
            </w:r>
            <w:r>
              <w:rPr>
                <w:spacing w:val="-4"/>
                <w:sz w:val="20"/>
              </w:rPr>
              <w:t> </w:t>
            </w:r>
            <w:r>
              <w:rPr>
                <w:sz w:val="20"/>
              </w:rPr>
              <w:t>—</w:t>
            </w:r>
            <w:r>
              <w:rPr>
                <w:rFonts w:ascii="Arial" w:hAnsi="Arial"/>
                <w:i/>
                <w:sz w:val="20"/>
              </w:rPr>
              <w:t>Note</w:t>
            </w:r>
            <w:r>
              <w:rPr>
                <w:rFonts w:ascii="Arial" w:hAnsi="Arial"/>
                <w:i/>
                <w:spacing w:val="-4"/>
                <w:sz w:val="20"/>
              </w:rPr>
              <w:t> </w:t>
            </w:r>
            <w:r>
              <w:rPr>
                <w:rFonts w:ascii="Arial" w:hAnsi="Arial"/>
                <w:i/>
                <w:spacing w:val="-10"/>
                <w:sz w:val="20"/>
              </w:rPr>
              <w:t>L</w:t>
            </w:r>
          </w:p>
        </w:tc>
        <w:tc>
          <w:tcPr>
            <w:tcW w:w="1203" w:type="dxa"/>
            <w:tcBorders>
              <w:bottom w:val="single" w:sz="8" w:space="0" w:color="000000"/>
            </w:tcBorders>
          </w:tcPr>
          <w:p>
            <w:pPr>
              <w:pStyle w:val="TableParagraph"/>
              <w:spacing w:line="230" w:lineRule="exact" w:before="24"/>
              <w:ind w:right="127"/>
              <w:jc w:val="right"/>
              <w:rPr>
                <w:sz w:val="20"/>
              </w:rPr>
            </w:pPr>
            <w:r>
              <w:rPr>
                <w:sz w:val="20"/>
              </w:rPr>
              <w:t>—</w:t>
            </w:r>
          </w:p>
        </w:tc>
        <w:tc>
          <w:tcPr>
            <w:tcW w:w="1214" w:type="dxa"/>
            <w:tcBorders>
              <w:bottom w:val="single" w:sz="8" w:space="0" w:color="000000"/>
            </w:tcBorders>
          </w:tcPr>
          <w:p>
            <w:pPr>
              <w:pStyle w:val="TableParagraph"/>
              <w:spacing w:line="230" w:lineRule="exact" w:before="24"/>
              <w:ind w:right="126"/>
              <w:jc w:val="right"/>
              <w:rPr>
                <w:sz w:val="20"/>
              </w:rPr>
            </w:pPr>
            <w:r>
              <w:rPr>
                <w:spacing w:val="-5"/>
                <w:sz w:val="20"/>
              </w:rPr>
              <w:t>13</w:t>
            </w:r>
          </w:p>
        </w:tc>
        <w:tc>
          <w:tcPr>
            <w:tcW w:w="1165" w:type="dxa"/>
            <w:tcBorders>
              <w:bottom w:val="single" w:sz="8" w:space="0" w:color="000000"/>
            </w:tcBorders>
          </w:tcPr>
          <w:p>
            <w:pPr>
              <w:pStyle w:val="TableParagraph"/>
              <w:spacing w:line="230" w:lineRule="exact" w:before="24"/>
              <w:ind w:right="76"/>
              <w:jc w:val="right"/>
              <w:rPr>
                <w:sz w:val="20"/>
              </w:rPr>
            </w:pPr>
            <w:r>
              <w:rPr>
                <w:spacing w:val="-5"/>
                <w:sz w:val="20"/>
              </w:rPr>
              <w:t>14</w:t>
            </w:r>
          </w:p>
        </w:tc>
      </w:tr>
      <w:tr>
        <w:trPr>
          <w:trHeight w:val="265" w:hRule="atLeast"/>
        </w:trPr>
        <w:tc>
          <w:tcPr>
            <w:tcW w:w="5772" w:type="dxa"/>
          </w:tcPr>
          <w:p>
            <w:pPr>
              <w:pStyle w:val="TableParagraph"/>
              <w:spacing w:line="230" w:lineRule="exact" w:before="15"/>
              <w:ind w:left="410"/>
              <w:rPr>
                <w:sz w:val="20"/>
              </w:rPr>
            </w:pPr>
            <w:r>
              <w:rPr>
                <w:spacing w:val="-2"/>
                <w:sz w:val="20"/>
              </w:rPr>
              <w:t>Total</w:t>
            </w:r>
          </w:p>
        </w:tc>
        <w:tc>
          <w:tcPr>
            <w:tcW w:w="1203" w:type="dxa"/>
            <w:tcBorders>
              <w:top w:val="single" w:sz="8" w:space="0" w:color="000000"/>
              <w:bottom w:val="single" w:sz="8" w:space="0" w:color="000000"/>
            </w:tcBorders>
          </w:tcPr>
          <w:p>
            <w:pPr>
              <w:pStyle w:val="TableParagraph"/>
              <w:spacing w:line="230" w:lineRule="exact" w:before="15"/>
              <w:ind w:right="60"/>
              <w:jc w:val="right"/>
              <w:rPr>
                <w:sz w:val="20"/>
              </w:rPr>
            </w:pPr>
            <w:r>
              <w:rPr>
                <w:spacing w:val="-2"/>
                <w:sz w:val="20"/>
              </w:rPr>
              <w:t>(155)</w:t>
            </w:r>
          </w:p>
        </w:tc>
        <w:tc>
          <w:tcPr>
            <w:tcW w:w="1214" w:type="dxa"/>
            <w:tcBorders>
              <w:top w:val="single" w:sz="8" w:space="0" w:color="000000"/>
              <w:bottom w:val="single" w:sz="8" w:space="0" w:color="000000"/>
            </w:tcBorders>
          </w:tcPr>
          <w:p>
            <w:pPr>
              <w:pStyle w:val="TableParagraph"/>
              <w:spacing w:line="230" w:lineRule="exact" w:before="15"/>
              <w:ind w:right="126"/>
              <w:jc w:val="right"/>
              <w:rPr>
                <w:sz w:val="20"/>
              </w:rPr>
            </w:pPr>
            <w:r>
              <w:rPr>
                <w:spacing w:val="-2"/>
                <w:sz w:val="20"/>
              </w:rPr>
              <w:t>3,374</w:t>
            </w:r>
          </w:p>
        </w:tc>
        <w:tc>
          <w:tcPr>
            <w:tcW w:w="1165" w:type="dxa"/>
            <w:tcBorders>
              <w:top w:val="single" w:sz="8" w:space="0" w:color="000000"/>
              <w:bottom w:val="single" w:sz="8" w:space="0" w:color="000000"/>
            </w:tcBorders>
          </w:tcPr>
          <w:p>
            <w:pPr>
              <w:pStyle w:val="TableParagraph"/>
              <w:spacing w:line="230" w:lineRule="exact" w:before="15"/>
              <w:ind w:right="76"/>
              <w:jc w:val="right"/>
              <w:rPr>
                <w:sz w:val="20"/>
              </w:rPr>
            </w:pPr>
            <w:r>
              <w:rPr>
                <w:spacing w:val="-2"/>
                <w:sz w:val="20"/>
              </w:rPr>
              <w:t>1,232</w:t>
            </w:r>
          </w:p>
        </w:tc>
      </w:tr>
      <w:tr>
        <w:trPr>
          <w:trHeight w:val="245" w:hRule="atLeast"/>
        </w:trPr>
        <w:tc>
          <w:tcPr>
            <w:tcW w:w="5772" w:type="dxa"/>
          </w:tcPr>
          <w:p>
            <w:pPr>
              <w:pStyle w:val="TableParagraph"/>
              <w:spacing w:line="210" w:lineRule="exact" w:before="15"/>
              <w:ind w:left="50"/>
              <w:rPr>
                <w:rFonts w:ascii="Arial"/>
                <w:b/>
                <w:sz w:val="20"/>
              </w:rPr>
            </w:pPr>
            <w:r>
              <w:rPr>
                <w:rFonts w:ascii="Arial"/>
                <w:b/>
                <w:sz w:val="20"/>
              </w:rPr>
              <w:t>Net</w:t>
            </w:r>
            <w:r>
              <w:rPr>
                <w:rFonts w:ascii="Arial"/>
                <w:b/>
                <w:spacing w:val="-3"/>
                <w:sz w:val="20"/>
              </w:rPr>
              <w:t> </w:t>
            </w:r>
            <w:r>
              <w:rPr>
                <w:rFonts w:ascii="Arial"/>
                <w:b/>
                <w:spacing w:val="-2"/>
                <w:sz w:val="20"/>
              </w:rPr>
              <w:t>income</w:t>
            </w:r>
          </w:p>
        </w:tc>
        <w:tc>
          <w:tcPr>
            <w:tcW w:w="1203" w:type="dxa"/>
            <w:tcBorders>
              <w:top w:val="single" w:sz="8" w:space="0" w:color="000000"/>
              <w:bottom w:val="double" w:sz="8" w:space="0" w:color="000000"/>
            </w:tcBorders>
          </w:tcPr>
          <w:p>
            <w:pPr>
              <w:pStyle w:val="TableParagraph"/>
              <w:tabs>
                <w:tab w:pos="520" w:val="left" w:leader="none"/>
              </w:tabs>
              <w:spacing w:line="210" w:lineRule="exact" w:before="15"/>
              <w:ind w:right="127"/>
              <w:jc w:val="right"/>
              <w:rPr>
                <w:sz w:val="20"/>
              </w:rPr>
            </w:pPr>
            <w:r>
              <w:rPr>
                <w:spacing w:val="-10"/>
                <w:sz w:val="20"/>
              </w:rPr>
              <w:t>$</w:t>
            </w:r>
            <w:r>
              <w:rPr>
                <w:sz w:val="20"/>
              </w:rPr>
              <w:tab/>
            </w:r>
            <w:r>
              <w:rPr>
                <w:spacing w:val="-2"/>
                <w:sz w:val="20"/>
              </w:rPr>
              <w:t>1,144</w:t>
            </w:r>
          </w:p>
        </w:tc>
        <w:tc>
          <w:tcPr>
            <w:tcW w:w="1214" w:type="dxa"/>
            <w:tcBorders>
              <w:top w:val="single" w:sz="8" w:space="0" w:color="000000"/>
              <w:bottom w:val="double" w:sz="8" w:space="0" w:color="000000"/>
            </w:tcBorders>
          </w:tcPr>
          <w:p>
            <w:pPr>
              <w:pStyle w:val="TableParagraph"/>
              <w:tabs>
                <w:tab w:pos="585" w:val="left" w:leader="none"/>
              </w:tabs>
              <w:spacing w:line="210" w:lineRule="exact" w:before="15"/>
              <w:ind w:left="65"/>
              <w:rPr>
                <w:sz w:val="20"/>
              </w:rPr>
            </w:pPr>
            <w:r>
              <w:rPr>
                <w:spacing w:val="-10"/>
                <w:sz w:val="20"/>
              </w:rPr>
              <w:t>$</w:t>
            </w:r>
            <w:r>
              <w:rPr>
                <w:sz w:val="20"/>
              </w:rPr>
              <w:tab/>
            </w:r>
            <w:r>
              <w:rPr>
                <w:spacing w:val="-2"/>
                <w:sz w:val="20"/>
              </w:rPr>
              <w:t>3,990</w:t>
            </w:r>
          </w:p>
        </w:tc>
        <w:tc>
          <w:tcPr>
            <w:tcW w:w="1165" w:type="dxa"/>
            <w:tcBorders>
              <w:top w:val="single" w:sz="8" w:space="0" w:color="000000"/>
              <w:bottom w:val="double" w:sz="8" w:space="0" w:color="000000"/>
            </w:tcBorders>
          </w:tcPr>
          <w:p>
            <w:pPr>
              <w:pStyle w:val="TableParagraph"/>
              <w:tabs>
                <w:tab w:pos="586" w:val="left" w:leader="none"/>
              </w:tabs>
              <w:spacing w:line="210" w:lineRule="exact" w:before="15"/>
              <w:ind w:left="66"/>
              <w:rPr>
                <w:sz w:val="20"/>
              </w:rPr>
            </w:pPr>
            <w:r>
              <w:rPr>
                <w:spacing w:val="-10"/>
                <w:sz w:val="20"/>
              </w:rPr>
              <w:t>$</w:t>
            </w:r>
            <w:r>
              <w:rPr>
                <w:sz w:val="20"/>
              </w:rPr>
              <w:tab/>
            </w:r>
            <w:r>
              <w:rPr>
                <w:spacing w:val="-2"/>
                <w:sz w:val="20"/>
              </w:rPr>
              <w:t>2,039</w:t>
            </w:r>
          </w:p>
        </w:tc>
      </w:tr>
    </w:tbl>
    <w:p>
      <w:pPr>
        <w:pStyle w:val="BodyText"/>
        <w:rPr>
          <w:rFonts w:ascii="Arial"/>
          <w:b/>
          <w:i/>
          <w:sz w:val="18"/>
        </w:rPr>
      </w:pPr>
    </w:p>
    <w:p>
      <w:pPr>
        <w:pStyle w:val="BodyText"/>
        <w:spacing w:before="115"/>
        <w:rPr>
          <w:rFonts w:ascii="Arial"/>
          <w:b/>
          <w:i/>
          <w:sz w:val="18"/>
        </w:rPr>
      </w:pPr>
    </w:p>
    <w:p>
      <w:pPr>
        <w:spacing w:before="0"/>
        <w:ind w:left="1639" w:right="1632"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headerReference w:type="even" r:id="rId109"/>
          <w:footerReference w:type="even" r:id="rId110"/>
          <w:footerReference w:type="default" r:id="rId111"/>
          <w:pgSz w:w="12240" w:h="15840"/>
          <w:pgMar w:header="1030" w:footer="528" w:top="2160" w:bottom="720" w:left="720" w:right="720"/>
          <w:pgNumType w:start="80"/>
        </w:sectPr>
      </w:pPr>
    </w:p>
    <w:p>
      <w:pPr>
        <w:spacing w:before="61"/>
        <w:ind w:left="720" w:right="0" w:firstLine="0"/>
        <w:jc w:val="left"/>
        <w:rPr>
          <w:rFonts w:ascii="Arial MT"/>
          <w:sz w:val="28"/>
        </w:rPr>
      </w:pPr>
      <w:bookmarkStart w:name="STATEMENTS OF COMPREHENSIVE INCOME  " w:id="193"/>
      <w:bookmarkEnd w:id="193"/>
      <w:r>
        <w:rPr/>
      </w:r>
      <w:bookmarkStart w:name="_bookmark120" w:id="194"/>
      <w:bookmarkEnd w:id="194"/>
      <w:r>
        <w:rPr/>
      </w:r>
      <w:r>
        <w:rPr>
          <w:rFonts w:ascii="Arial MT"/>
          <w:sz w:val="28"/>
        </w:rPr>
        <w:t>STATEMENTS</w:t>
      </w:r>
      <w:r>
        <w:rPr>
          <w:rFonts w:ascii="Arial MT"/>
          <w:spacing w:val="-18"/>
          <w:sz w:val="28"/>
        </w:rPr>
        <w:t> </w:t>
      </w:r>
      <w:r>
        <w:rPr>
          <w:rFonts w:ascii="Arial MT"/>
          <w:sz w:val="28"/>
        </w:rPr>
        <w:t>OF</w:t>
      </w:r>
      <w:r>
        <w:rPr>
          <w:rFonts w:ascii="Arial MT"/>
          <w:spacing w:val="-16"/>
          <w:sz w:val="28"/>
        </w:rPr>
        <w:t> </w:t>
      </w:r>
      <w:r>
        <w:rPr>
          <w:rFonts w:ascii="Arial MT"/>
          <w:sz w:val="28"/>
        </w:rPr>
        <w:t>COMPREHENSIVE</w:t>
      </w:r>
      <w:r>
        <w:rPr>
          <w:rFonts w:ascii="Arial MT"/>
          <w:spacing w:val="-15"/>
          <w:sz w:val="28"/>
        </w:rPr>
        <w:t> </w:t>
      </w:r>
      <w:r>
        <w:rPr>
          <w:rFonts w:ascii="Arial MT"/>
          <w:spacing w:val="-2"/>
          <w:sz w:val="28"/>
        </w:rPr>
        <w:t>INCOME</w:t>
      </w:r>
    </w:p>
    <w:p>
      <w:pPr>
        <w:spacing w:before="31"/>
        <w:ind w:left="7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p>
      <w:pPr>
        <w:pStyle w:val="BodyText"/>
        <w:spacing w:before="106"/>
        <w:rPr>
          <w:rFonts w:ascii="Arial"/>
          <w:i/>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5"/>
        <w:gridCol w:w="1354"/>
        <w:gridCol w:w="1365"/>
        <w:gridCol w:w="1366"/>
      </w:tblGrid>
      <w:tr>
        <w:trPr>
          <w:trHeight w:val="425" w:hRule="atLeast"/>
        </w:trPr>
        <w:tc>
          <w:tcPr>
            <w:tcW w:w="5375" w:type="dxa"/>
          </w:tcPr>
          <w:p>
            <w:pPr>
              <w:pStyle w:val="TableParagraph"/>
              <w:spacing w:line="223" w:lineRule="exact"/>
              <w:ind w:left="50"/>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c>
        <w:tc>
          <w:tcPr>
            <w:tcW w:w="4085" w:type="dxa"/>
            <w:gridSpan w:val="3"/>
          </w:tcPr>
          <w:p>
            <w:pPr>
              <w:pStyle w:val="TableParagraph"/>
              <w:rPr>
                <w:rFonts w:ascii="Times New Roman"/>
                <w:sz w:val="20"/>
              </w:rPr>
            </w:pPr>
          </w:p>
        </w:tc>
      </w:tr>
      <w:tr>
        <w:trPr>
          <w:trHeight w:val="454" w:hRule="atLeast"/>
        </w:trPr>
        <w:tc>
          <w:tcPr>
            <w:tcW w:w="5375" w:type="dxa"/>
          </w:tcPr>
          <w:p>
            <w:pPr>
              <w:pStyle w:val="TableParagraph"/>
              <w:rPr>
                <w:rFonts w:ascii="Times New Roman"/>
                <w:sz w:val="20"/>
              </w:rPr>
            </w:pPr>
          </w:p>
        </w:tc>
        <w:tc>
          <w:tcPr>
            <w:tcW w:w="1354" w:type="dxa"/>
          </w:tcPr>
          <w:p>
            <w:pPr>
              <w:pStyle w:val="TableParagraph"/>
              <w:spacing w:before="195"/>
              <w:ind w:left="430"/>
              <w:rPr>
                <w:rFonts w:ascii="Arial"/>
                <w:i/>
                <w:sz w:val="20"/>
              </w:rPr>
            </w:pPr>
            <w:r>
              <w:rPr>
                <w:rFonts w:ascii="Arial"/>
                <w:i/>
                <w:spacing w:val="-4"/>
                <w:sz w:val="20"/>
              </w:rPr>
              <w:t>2023</w:t>
            </w:r>
          </w:p>
        </w:tc>
        <w:tc>
          <w:tcPr>
            <w:tcW w:w="1365" w:type="dxa"/>
          </w:tcPr>
          <w:p>
            <w:pPr>
              <w:pStyle w:val="TableParagraph"/>
              <w:spacing w:before="195"/>
              <w:ind w:left="441"/>
              <w:rPr>
                <w:rFonts w:ascii="Arial"/>
                <w:i/>
                <w:sz w:val="20"/>
              </w:rPr>
            </w:pPr>
            <w:r>
              <w:rPr>
                <w:rFonts w:ascii="Arial"/>
                <w:i/>
                <w:spacing w:val="-4"/>
                <w:sz w:val="20"/>
              </w:rPr>
              <w:t>2022</w:t>
            </w:r>
          </w:p>
        </w:tc>
        <w:tc>
          <w:tcPr>
            <w:tcW w:w="1366" w:type="dxa"/>
          </w:tcPr>
          <w:p>
            <w:pPr>
              <w:pStyle w:val="TableParagraph"/>
              <w:spacing w:before="195"/>
              <w:ind w:left="441"/>
              <w:rPr>
                <w:rFonts w:ascii="Arial"/>
                <w:i/>
                <w:sz w:val="20"/>
              </w:rPr>
            </w:pPr>
            <w:r>
              <w:rPr>
                <w:rFonts w:ascii="Arial"/>
                <w:i/>
                <w:spacing w:val="-4"/>
                <w:sz w:val="20"/>
              </w:rPr>
              <w:t>2021</w:t>
            </w:r>
          </w:p>
        </w:tc>
      </w:tr>
      <w:tr>
        <w:trPr>
          <w:trHeight w:val="541" w:hRule="atLeast"/>
        </w:trPr>
        <w:tc>
          <w:tcPr>
            <w:tcW w:w="5375" w:type="dxa"/>
          </w:tcPr>
          <w:p>
            <w:pPr>
              <w:pStyle w:val="TableParagraph"/>
              <w:spacing w:before="50"/>
              <w:rPr>
                <w:rFonts w:ascii="Arial"/>
                <w:i/>
                <w:sz w:val="20"/>
              </w:rPr>
            </w:pPr>
          </w:p>
          <w:p>
            <w:pPr>
              <w:pStyle w:val="TableParagraph"/>
              <w:ind w:left="102"/>
              <w:rPr>
                <w:rFonts w:ascii="Arial"/>
                <w:b/>
                <w:sz w:val="20"/>
              </w:rPr>
            </w:pPr>
            <w:r>
              <w:rPr>
                <w:rFonts w:ascii="Arial"/>
                <w:b/>
                <w:sz w:val="20"/>
              </w:rPr>
              <w:t>Net</w:t>
            </w:r>
            <w:r>
              <w:rPr>
                <w:rFonts w:ascii="Arial"/>
                <w:b/>
                <w:spacing w:val="-3"/>
                <w:sz w:val="20"/>
              </w:rPr>
              <w:t> </w:t>
            </w:r>
            <w:r>
              <w:rPr>
                <w:rFonts w:ascii="Arial"/>
                <w:b/>
                <w:spacing w:val="-2"/>
                <w:sz w:val="20"/>
              </w:rPr>
              <w:t>income</w:t>
            </w:r>
          </w:p>
        </w:tc>
        <w:tc>
          <w:tcPr>
            <w:tcW w:w="1354" w:type="dxa"/>
          </w:tcPr>
          <w:p>
            <w:pPr>
              <w:pStyle w:val="TableParagraph"/>
              <w:spacing w:before="50"/>
              <w:rPr>
                <w:rFonts w:ascii="Arial"/>
                <w:i/>
                <w:sz w:val="20"/>
              </w:rPr>
            </w:pPr>
          </w:p>
          <w:p>
            <w:pPr>
              <w:pStyle w:val="TableParagraph"/>
              <w:tabs>
                <w:tab w:pos="723" w:val="left" w:leader="none"/>
              </w:tabs>
              <w:ind w:left="52"/>
              <w:rPr>
                <w:sz w:val="20"/>
              </w:rPr>
            </w:pPr>
            <w:r>
              <w:rPr>
                <w:sz w:val="20"/>
              </w:rPr>
              <mc:AlternateContent>
                <mc:Choice Requires="wps">
                  <w:drawing>
                    <wp:anchor distT="0" distB="0" distL="0" distR="0" allowOverlap="1" layoutInCell="1" locked="0" behindDoc="1" simplePos="0" relativeHeight="470601216">
                      <wp:simplePos x="0" y="0"/>
                      <wp:positionH relativeFrom="column">
                        <wp:posOffset>0</wp:posOffset>
                      </wp:positionH>
                      <wp:positionV relativeFrom="paragraph">
                        <wp:posOffset>-184405</wp:posOffset>
                      </wp:positionV>
                      <wp:extent cx="2562225" cy="12700"/>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2562225" cy="12700"/>
                                <a:chExt cx="2562225" cy="12700"/>
                              </a:xfrm>
                            </wpg:grpSpPr>
                            <wps:wsp>
                              <wps:cNvPr id="648" name="Graphic 648"/>
                              <wps:cNvSpPr/>
                              <wps:spPr>
                                <a:xfrm>
                                  <a:off x="0" y="6350"/>
                                  <a:ext cx="2562225" cy="1270"/>
                                </a:xfrm>
                                <a:custGeom>
                                  <a:avLst/>
                                  <a:gdLst/>
                                  <a:ahLst/>
                                  <a:cxnLst/>
                                  <a:rect l="l" t="t" r="r" b="b"/>
                                  <a:pathLst>
                                    <a:path w="2562225" h="0">
                                      <a:moveTo>
                                        <a:pt x="0" y="0"/>
                                      </a:moveTo>
                                      <a:lnTo>
                                        <a:pt x="828675" y="0"/>
                                      </a:lnTo>
                                    </a:path>
                                    <a:path w="2562225" h="0">
                                      <a:moveTo>
                                        <a:pt x="866775" y="0"/>
                                      </a:moveTo>
                                      <a:lnTo>
                                        <a:pt x="1695450" y="0"/>
                                      </a:lnTo>
                                    </a:path>
                                    <a:path w="2562225" h="0">
                                      <a:moveTo>
                                        <a:pt x="1733550" y="0"/>
                                      </a:moveTo>
                                      <a:lnTo>
                                        <a:pt x="256222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52014pt;width:201.75pt;height:1pt;mso-position-horizontal-relative:column;mso-position-vertical-relative:paragraph;z-index:-32715264" id="docshapegroup545" coordorigin="0,-290" coordsize="4035,20">
                      <v:shape style="position:absolute;left:0;top:-281;width:4035;height:2" id="docshape546" coordorigin="0,-280" coordsize="4035,0" path="m0,-280l1305,-280m1365,-280l2670,-280m2730,-280l4035,-280e" filled="false" stroked="true" strokeweight="1pt" strokecolor="#000000">
                        <v:path arrowok="t"/>
                        <v:stroke dashstyle="solid"/>
                      </v:shape>
                      <w10:wrap type="none"/>
                    </v:group>
                  </w:pict>
                </mc:Fallback>
              </mc:AlternateContent>
            </w:r>
            <w:r>
              <w:rPr>
                <w:spacing w:val="-10"/>
                <w:sz w:val="20"/>
              </w:rPr>
              <w:t>$</w:t>
            </w:r>
            <w:r>
              <w:rPr>
                <w:sz w:val="20"/>
              </w:rPr>
              <w:tab/>
            </w:r>
            <w:r>
              <w:rPr>
                <w:spacing w:val="-2"/>
                <w:sz w:val="20"/>
              </w:rPr>
              <w:t>1,144</w:t>
            </w:r>
          </w:p>
        </w:tc>
        <w:tc>
          <w:tcPr>
            <w:tcW w:w="1365" w:type="dxa"/>
          </w:tcPr>
          <w:p>
            <w:pPr>
              <w:pStyle w:val="TableParagraph"/>
              <w:spacing w:before="50"/>
              <w:rPr>
                <w:rFonts w:ascii="Arial"/>
                <w:i/>
                <w:sz w:val="20"/>
              </w:rPr>
            </w:pPr>
          </w:p>
          <w:p>
            <w:pPr>
              <w:pStyle w:val="TableParagraph"/>
              <w:tabs>
                <w:tab w:pos="734" w:val="left" w:leader="none"/>
              </w:tabs>
              <w:ind w:left="63"/>
              <w:rPr>
                <w:sz w:val="20"/>
              </w:rPr>
            </w:pPr>
            <w:r>
              <w:rPr>
                <w:spacing w:val="-10"/>
                <w:sz w:val="20"/>
              </w:rPr>
              <w:t>$</w:t>
            </w:r>
            <w:r>
              <w:rPr>
                <w:sz w:val="20"/>
              </w:rPr>
              <w:tab/>
            </w:r>
            <w:r>
              <w:rPr>
                <w:spacing w:val="-2"/>
                <w:sz w:val="20"/>
              </w:rPr>
              <w:t>3,990</w:t>
            </w:r>
          </w:p>
        </w:tc>
        <w:tc>
          <w:tcPr>
            <w:tcW w:w="1366" w:type="dxa"/>
          </w:tcPr>
          <w:p>
            <w:pPr>
              <w:pStyle w:val="TableParagraph"/>
              <w:spacing w:before="50"/>
              <w:rPr>
                <w:rFonts w:ascii="Arial"/>
                <w:i/>
                <w:sz w:val="20"/>
              </w:rPr>
            </w:pPr>
          </w:p>
          <w:p>
            <w:pPr>
              <w:pStyle w:val="TableParagraph"/>
              <w:tabs>
                <w:tab w:pos="734" w:val="left" w:leader="none"/>
              </w:tabs>
              <w:ind w:left="63"/>
              <w:rPr>
                <w:sz w:val="20"/>
              </w:rPr>
            </w:pPr>
            <w:r>
              <w:rPr>
                <w:spacing w:val="-10"/>
                <w:sz w:val="20"/>
              </w:rPr>
              <w:t>$</w:t>
            </w:r>
            <w:r>
              <w:rPr>
                <w:sz w:val="20"/>
              </w:rPr>
              <w:tab/>
            </w:r>
            <w:r>
              <w:rPr>
                <w:spacing w:val="-2"/>
                <w:sz w:val="20"/>
              </w:rPr>
              <w:t>2,039</w:t>
            </w:r>
          </w:p>
        </w:tc>
      </w:tr>
      <w:tr>
        <w:trPr>
          <w:trHeight w:val="285" w:hRule="atLeast"/>
        </w:trPr>
        <w:tc>
          <w:tcPr>
            <w:tcW w:w="5375" w:type="dxa"/>
          </w:tcPr>
          <w:p>
            <w:pPr>
              <w:pStyle w:val="TableParagraph"/>
              <w:spacing w:before="24"/>
              <w:ind w:left="102"/>
              <w:rPr>
                <w:rFonts w:ascii="Arial" w:hAnsi="Arial"/>
                <w:b/>
                <w:i/>
                <w:sz w:val="20"/>
              </w:rPr>
            </w:pPr>
            <w:r>
              <w:rPr>
                <w:rFonts w:ascii="Arial" w:hAnsi="Arial"/>
                <w:b/>
                <w:sz w:val="20"/>
              </w:rPr>
              <w:t>Other</w:t>
            </w:r>
            <w:r>
              <w:rPr>
                <w:rFonts w:ascii="Arial" w:hAnsi="Arial"/>
                <w:b/>
                <w:spacing w:val="-9"/>
                <w:sz w:val="20"/>
              </w:rPr>
              <w:t> </w:t>
            </w:r>
            <w:r>
              <w:rPr>
                <w:rFonts w:ascii="Arial" w:hAnsi="Arial"/>
                <w:b/>
                <w:sz w:val="20"/>
              </w:rPr>
              <w:t>comprehensive</w:t>
            </w:r>
            <w:r>
              <w:rPr>
                <w:rFonts w:ascii="Arial" w:hAnsi="Arial"/>
                <w:b/>
                <w:spacing w:val="-9"/>
                <w:sz w:val="20"/>
              </w:rPr>
              <w:t> </w:t>
            </w:r>
            <w:r>
              <w:rPr>
                <w:rFonts w:ascii="Arial" w:hAnsi="Arial"/>
                <w:b/>
                <w:sz w:val="20"/>
              </w:rPr>
              <w:t>income—</w:t>
            </w:r>
            <w:r>
              <w:rPr>
                <w:rFonts w:ascii="Arial" w:hAnsi="Arial"/>
                <w:b/>
                <w:i/>
                <w:sz w:val="20"/>
              </w:rPr>
              <w:t>Note</w:t>
            </w:r>
            <w:r>
              <w:rPr>
                <w:rFonts w:ascii="Arial" w:hAnsi="Arial"/>
                <w:b/>
                <w:i/>
                <w:spacing w:val="-8"/>
                <w:sz w:val="20"/>
              </w:rPr>
              <w:t> </w:t>
            </w:r>
            <w:r>
              <w:rPr>
                <w:rFonts w:ascii="Arial" w:hAnsi="Arial"/>
                <w:b/>
                <w:i/>
                <w:spacing w:val="-10"/>
                <w:sz w:val="20"/>
              </w:rPr>
              <w:t>K</w:t>
            </w:r>
          </w:p>
        </w:tc>
        <w:tc>
          <w:tcPr>
            <w:tcW w:w="1354" w:type="dxa"/>
          </w:tcPr>
          <w:p>
            <w:pPr>
              <w:pStyle w:val="TableParagraph"/>
              <w:rPr>
                <w:rFonts w:ascii="Times New Roman"/>
                <w:sz w:val="20"/>
              </w:rPr>
            </w:pPr>
          </w:p>
        </w:tc>
        <w:tc>
          <w:tcPr>
            <w:tcW w:w="1365" w:type="dxa"/>
          </w:tcPr>
          <w:p>
            <w:pPr>
              <w:pStyle w:val="TableParagraph"/>
              <w:rPr>
                <w:rFonts w:ascii="Times New Roman"/>
                <w:sz w:val="20"/>
              </w:rPr>
            </w:pPr>
          </w:p>
        </w:tc>
        <w:tc>
          <w:tcPr>
            <w:tcW w:w="1366" w:type="dxa"/>
          </w:tcPr>
          <w:p>
            <w:pPr>
              <w:pStyle w:val="TableParagraph"/>
              <w:rPr>
                <w:rFonts w:ascii="Times New Roman"/>
                <w:sz w:val="20"/>
              </w:rPr>
            </w:pPr>
          </w:p>
        </w:tc>
      </w:tr>
      <w:tr>
        <w:trPr>
          <w:trHeight w:val="285" w:hRule="atLeast"/>
        </w:trPr>
        <w:tc>
          <w:tcPr>
            <w:tcW w:w="5375" w:type="dxa"/>
          </w:tcPr>
          <w:p>
            <w:pPr>
              <w:pStyle w:val="TableParagraph"/>
              <w:spacing w:before="24"/>
              <w:ind w:left="282"/>
              <w:rPr>
                <w:sz w:val="20"/>
              </w:rPr>
            </w:pPr>
            <w:r>
              <w:rPr>
                <w:sz w:val="20"/>
              </w:rPr>
              <w:t>Net</w:t>
            </w:r>
            <w:r>
              <w:rPr>
                <w:spacing w:val="-5"/>
                <w:sz w:val="20"/>
              </w:rPr>
              <w:t> </w:t>
            </w:r>
            <w:r>
              <w:rPr>
                <w:sz w:val="20"/>
              </w:rPr>
              <w:t>actuarial</w:t>
            </w:r>
            <w:r>
              <w:rPr>
                <w:spacing w:val="-5"/>
                <w:sz w:val="20"/>
              </w:rPr>
              <w:t> </w:t>
            </w:r>
            <w:r>
              <w:rPr>
                <w:sz w:val="20"/>
              </w:rPr>
              <w:t>gains</w:t>
            </w:r>
            <w:r>
              <w:rPr>
                <w:spacing w:val="-5"/>
                <w:sz w:val="20"/>
              </w:rPr>
              <w:t> </w:t>
            </w:r>
            <w:r>
              <w:rPr>
                <w:sz w:val="20"/>
              </w:rPr>
              <w:t>on</w:t>
            </w:r>
            <w:r>
              <w:rPr>
                <w:spacing w:val="-5"/>
                <w:sz w:val="20"/>
              </w:rPr>
              <w:t> </w:t>
            </w:r>
            <w:r>
              <w:rPr>
                <w:sz w:val="20"/>
              </w:rPr>
              <w:t>benefit</w:t>
            </w:r>
            <w:r>
              <w:rPr>
                <w:spacing w:val="-4"/>
                <w:sz w:val="20"/>
              </w:rPr>
              <w:t> </w:t>
            </w:r>
            <w:r>
              <w:rPr>
                <w:spacing w:val="-2"/>
                <w:sz w:val="20"/>
              </w:rPr>
              <w:t>plans</w:t>
            </w:r>
          </w:p>
        </w:tc>
        <w:tc>
          <w:tcPr>
            <w:tcW w:w="1354" w:type="dxa"/>
          </w:tcPr>
          <w:p>
            <w:pPr>
              <w:pStyle w:val="TableParagraph"/>
              <w:spacing w:before="24"/>
              <w:ind w:right="128"/>
              <w:jc w:val="right"/>
              <w:rPr>
                <w:sz w:val="20"/>
              </w:rPr>
            </w:pPr>
            <w:r>
              <w:rPr>
                <w:spacing w:val="-2"/>
                <w:sz w:val="20"/>
              </w:rPr>
              <w:t>2,103</w:t>
            </w:r>
          </w:p>
        </w:tc>
        <w:tc>
          <w:tcPr>
            <w:tcW w:w="1365" w:type="dxa"/>
          </w:tcPr>
          <w:p>
            <w:pPr>
              <w:pStyle w:val="TableParagraph"/>
              <w:spacing w:before="24"/>
              <w:ind w:right="128"/>
              <w:jc w:val="right"/>
              <w:rPr>
                <w:sz w:val="20"/>
              </w:rPr>
            </w:pPr>
            <w:r>
              <w:rPr>
                <w:spacing w:val="-2"/>
                <w:sz w:val="20"/>
              </w:rPr>
              <w:t>3,027</w:t>
            </w:r>
          </w:p>
        </w:tc>
        <w:tc>
          <w:tcPr>
            <w:tcW w:w="1366" w:type="dxa"/>
          </w:tcPr>
          <w:p>
            <w:pPr>
              <w:pStyle w:val="TableParagraph"/>
              <w:spacing w:before="24"/>
              <w:ind w:right="129"/>
              <w:jc w:val="right"/>
              <w:rPr>
                <w:sz w:val="20"/>
              </w:rPr>
            </w:pPr>
            <w:r>
              <w:rPr>
                <w:spacing w:val="-2"/>
                <w:sz w:val="20"/>
              </w:rPr>
              <w:t>5,105</w:t>
            </w:r>
          </w:p>
        </w:tc>
      </w:tr>
      <w:tr>
        <w:trPr>
          <w:trHeight w:val="285" w:hRule="atLeast"/>
        </w:trPr>
        <w:tc>
          <w:tcPr>
            <w:tcW w:w="5375" w:type="dxa"/>
          </w:tcPr>
          <w:p>
            <w:pPr>
              <w:pStyle w:val="TableParagraph"/>
              <w:spacing w:before="24"/>
              <w:ind w:left="282"/>
              <w:rPr>
                <w:sz w:val="20"/>
              </w:rPr>
            </w:pPr>
            <w:r>
              <w:rPr>
                <w:sz w:val="20"/>
              </w:rPr>
              <w:t>Prior</w:t>
            </w:r>
            <w:r>
              <w:rPr>
                <w:spacing w:val="-5"/>
                <w:sz w:val="20"/>
              </w:rPr>
              <w:t> </w:t>
            </w:r>
            <w:r>
              <w:rPr>
                <w:sz w:val="20"/>
              </w:rPr>
              <w:t>service</w:t>
            </w:r>
            <w:r>
              <w:rPr>
                <w:spacing w:val="-4"/>
                <w:sz w:val="20"/>
              </w:rPr>
              <w:t> </w:t>
            </w:r>
            <w:r>
              <w:rPr>
                <w:sz w:val="20"/>
              </w:rPr>
              <w:t>credit</w:t>
            </w:r>
            <w:r>
              <w:rPr>
                <w:spacing w:val="-4"/>
                <w:sz w:val="20"/>
              </w:rPr>
              <w:t> </w:t>
            </w:r>
            <w:r>
              <w:rPr>
                <w:sz w:val="20"/>
              </w:rPr>
              <w:t>on</w:t>
            </w:r>
            <w:r>
              <w:rPr>
                <w:spacing w:val="-4"/>
                <w:sz w:val="20"/>
              </w:rPr>
              <w:t> </w:t>
            </w:r>
            <w:r>
              <w:rPr>
                <w:sz w:val="20"/>
              </w:rPr>
              <w:t>benefit</w:t>
            </w:r>
            <w:r>
              <w:rPr>
                <w:spacing w:val="-4"/>
                <w:sz w:val="20"/>
              </w:rPr>
              <w:t> </w:t>
            </w:r>
            <w:r>
              <w:rPr>
                <w:sz w:val="20"/>
              </w:rPr>
              <w:t>plans,</w:t>
            </w:r>
            <w:r>
              <w:rPr>
                <w:spacing w:val="-4"/>
                <w:sz w:val="20"/>
              </w:rPr>
              <w:t> </w:t>
            </w:r>
            <w:r>
              <w:rPr>
                <w:spacing w:val="-5"/>
                <w:sz w:val="20"/>
              </w:rPr>
              <w:t>net</w:t>
            </w:r>
          </w:p>
        </w:tc>
        <w:tc>
          <w:tcPr>
            <w:tcW w:w="1354" w:type="dxa"/>
          </w:tcPr>
          <w:p>
            <w:pPr>
              <w:pStyle w:val="TableParagraph"/>
              <w:spacing w:before="24"/>
              <w:ind w:right="128"/>
              <w:jc w:val="right"/>
              <w:rPr>
                <w:sz w:val="20"/>
              </w:rPr>
            </w:pPr>
            <w:r>
              <w:rPr>
                <w:spacing w:val="-5"/>
                <w:sz w:val="20"/>
              </w:rPr>
              <w:t>20</w:t>
            </w:r>
          </w:p>
        </w:tc>
        <w:tc>
          <w:tcPr>
            <w:tcW w:w="1365" w:type="dxa"/>
          </w:tcPr>
          <w:p>
            <w:pPr>
              <w:pStyle w:val="TableParagraph"/>
              <w:spacing w:before="24"/>
              <w:ind w:right="128"/>
              <w:jc w:val="right"/>
              <w:rPr>
                <w:sz w:val="20"/>
              </w:rPr>
            </w:pPr>
            <w:r>
              <w:rPr>
                <w:spacing w:val="-5"/>
                <w:sz w:val="20"/>
              </w:rPr>
              <w:t>23</w:t>
            </w:r>
          </w:p>
        </w:tc>
        <w:tc>
          <w:tcPr>
            <w:tcW w:w="1366" w:type="dxa"/>
          </w:tcPr>
          <w:p>
            <w:pPr>
              <w:pStyle w:val="TableParagraph"/>
              <w:spacing w:before="24"/>
              <w:ind w:right="129"/>
              <w:jc w:val="right"/>
              <w:rPr>
                <w:sz w:val="20"/>
              </w:rPr>
            </w:pPr>
            <w:r>
              <w:rPr>
                <w:spacing w:val="-5"/>
                <w:sz w:val="20"/>
              </w:rPr>
              <w:t>23</w:t>
            </w:r>
          </w:p>
        </w:tc>
      </w:tr>
      <w:tr>
        <w:trPr>
          <w:trHeight w:val="262" w:hRule="atLeast"/>
        </w:trPr>
        <w:tc>
          <w:tcPr>
            <w:tcW w:w="5375" w:type="dxa"/>
          </w:tcPr>
          <w:p>
            <w:pPr>
              <w:pStyle w:val="TableParagraph"/>
              <w:spacing w:line="218" w:lineRule="exact" w:before="24"/>
              <w:ind w:left="282"/>
              <w:rPr>
                <w:sz w:val="20"/>
              </w:rPr>
            </w:pPr>
            <w:r>
              <w:rPr>
                <w:sz w:val="20"/>
              </w:rPr>
              <w:t>Net</w:t>
            </w:r>
            <w:r>
              <w:rPr>
                <w:spacing w:val="-15"/>
                <w:sz w:val="20"/>
              </w:rPr>
              <w:t> </w:t>
            </w:r>
            <w:r>
              <w:rPr>
                <w:sz w:val="20"/>
              </w:rPr>
              <w:t>Change</w:t>
            </w:r>
            <w:r>
              <w:rPr>
                <w:spacing w:val="-9"/>
                <w:sz w:val="20"/>
              </w:rPr>
              <w:t> </w:t>
            </w:r>
            <w:r>
              <w:rPr>
                <w:sz w:val="20"/>
              </w:rPr>
              <w:t>in</w:t>
            </w:r>
            <w:r>
              <w:rPr>
                <w:spacing w:val="-8"/>
                <w:sz w:val="20"/>
              </w:rPr>
              <w:t> </w:t>
            </w:r>
            <w:r>
              <w:rPr>
                <w:sz w:val="20"/>
              </w:rPr>
              <w:t>Debit</w:t>
            </w:r>
            <w:r>
              <w:rPr>
                <w:spacing w:val="-9"/>
                <w:sz w:val="20"/>
              </w:rPr>
              <w:t> </w:t>
            </w:r>
            <w:r>
              <w:rPr>
                <w:sz w:val="20"/>
              </w:rPr>
              <w:t>Valuation</w:t>
            </w:r>
            <w:r>
              <w:rPr>
                <w:spacing w:val="-14"/>
                <w:sz w:val="20"/>
              </w:rPr>
              <w:t> </w:t>
            </w:r>
            <w:r>
              <w:rPr>
                <w:sz w:val="20"/>
              </w:rPr>
              <w:t>Adjustment</w:t>
            </w:r>
            <w:r>
              <w:rPr>
                <w:spacing w:val="-8"/>
                <w:sz w:val="20"/>
              </w:rPr>
              <w:t> </w:t>
            </w:r>
            <w:r>
              <w:rPr>
                <w:sz w:val="20"/>
              </w:rPr>
              <w:t>(DVA)</w:t>
            </w:r>
            <w:r>
              <w:rPr>
                <w:spacing w:val="-9"/>
                <w:sz w:val="20"/>
              </w:rPr>
              <w:t> </w:t>
            </w:r>
            <w:r>
              <w:rPr>
                <w:sz w:val="20"/>
              </w:rPr>
              <w:t>on</w:t>
            </w:r>
            <w:r>
              <w:rPr>
                <w:spacing w:val="-8"/>
                <w:sz w:val="20"/>
              </w:rPr>
              <w:t> </w:t>
            </w:r>
            <w:r>
              <w:rPr>
                <w:spacing w:val="-4"/>
                <w:sz w:val="20"/>
              </w:rPr>
              <w:t>fair</w:t>
            </w:r>
          </w:p>
        </w:tc>
        <w:tc>
          <w:tcPr>
            <w:tcW w:w="1354" w:type="dxa"/>
          </w:tcPr>
          <w:p>
            <w:pPr>
              <w:pStyle w:val="TableParagraph"/>
              <w:rPr>
                <w:rFonts w:ascii="Times New Roman"/>
                <w:sz w:val="18"/>
              </w:rPr>
            </w:pPr>
          </w:p>
        </w:tc>
        <w:tc>
          <w:tcPr>
            <w:tcW w:w="1365" w:type="dxa"/>
          </w:tcPr>
          <w:p>
            <w:pPr>
              <w:pStyle w:val="TableParagraph"/>
              <w:rPr>
                <w:rFonts w:ascii="Times New Roman"/>
                <w:sz w:val="18"/>
              </w:rPr>
            </w:pPr>
          </w:p>
        </w:tc>
        <w:tc>
          <w:tcPr>
            <w:tcW w:w="1366" w:type="dxa"/>
          </w:tcPr>
          <w:p>
            <w:pPr>
              <w:pStyle w:val="TableParagraph"/>
              <w:rPr>
                <w:rFonts w:ascii="Times New Roman"/>
                <w:sz w:val="18"/>
              </w:rPr>
            </w:pPr>
          </w:p>
        </w:tc>
      </w:tr>
      <w:tr>
        <w:trPr>
          <w:trHeight w:val="262" w:hRule="atLeast"/>
        </w:trPr>
        <w:tc>
          <w:tcPr>
            <w:tcW w:w="5375" w:type="dxa"/>
          </w:tcPr>
          <w:p>
            <w:pPr>
              <w:pStyle w:val="TableParagraph"/>
              <w:spacing w:before="1"/>
              <w:ind w:left="462"/>
              <w:rPr>
                <w:rFonts w:ascii="Arial" w:hAnsi="Arial"/>
                <w:i/>
                <w:sz w:val="20"/>
              </w:rPr>
            </w:pPr>
            <w:r>
              <w:rPr>
                <w:sz w:val="20"/>
              </w:rPr>
              <w:t>value</w:t>
            </w:r>
            <w:r>
              <w:rPr>
                <w:spacing w:val="-10"/>
                <w:sz w:val="20"/>
              </w:rPr>
              <w:t> </w:t>
            </w:r>
            <w:r>
              <w:rPr>
                <w:sz w:val="20"/>
              </w:rPr>
              <w:t>option</w:t>
            </w:r>
            <w:r>
              <w:rPr>
                <w:spacing w:val="-7"/>
                <w:sz w:val="20"/>
              </w:rPr>
              <w:t> </w:t>
            </w:r>
            <w:r>
              <w:rPr>
                <w:sz w:val="20"/>
              </w:rPr>
              <w:t>elected</w:t>
            </w:r>
            <w:r>
              <w:rPr>
                <w:spacing w:val="-8"/>
                <w:sz w:val="20"/>
              </w:rPr>
              <w:t> </w:t>
            </w:r>
            <w:r>
              <w:rPr>
                <w:sz w:val="20"/>
              </w:rPr>
              <w:t>liabilities—</w:t>
            </w:r>
            <w:r>
              <w:rPr>
                <w:rFonts w:ascii="Arial" w:hAnsi="Arial"/>
                <w:i/>
                <w:sz w:val="20"/>
              </w:rPr>
              <w:t>Note</w:t>
            </w:r>
            <w:r>
              <w:rPr>
                <w:rFonts w:ascii="Arial" w:hAnsi="Arial"/>
                <w:i/>
                <w:spacing w:val="-7"/>
                <w:sz w:val="20"/>
              </w:rPr>
              <w:t> </w:t>
            </w:r>
            <w:r>
              <w:rPr>
                <w:rFonts w:ascii="Arial" w:hAnsi="Arial"/>
                <w:i/>
                <w:spacing w:val="-10"/>
                <w:sz w:val="20"/>
              </w:rPr>
              <w:t>L</w:t>
            </w:r>
          </w:p>
        </w:tc>
        <w:tc>
          <w:tcPr>
            <w:tcW w:w="1354" w:type="dxa"/>
          </w:tcPr>
          <w:p>
            <w:pPr>
              <w:pStyle w:val="TableParagraph"/>
              <w:spacing w:before="1"/>
              <w:ind w:right="63"/>
              <w:jc w:val="right"/>
              <w:rPr>
                <w:sz w:val="20"/>
              </w:rPr>
            </w:pPr>
            <w:r>
              <w:rPr>
                <w:spacing w:val="-4"/>
                <w:sz w:val="20"/>
              </w:rPr>
              <w:t>(13)</w:t>
            </w:r>
          </w:p>
        </w:tc>
        <w:tc>
          <w:tcPr>
            <w:tcW w:w="1365" w:type="dxa"/>
          </w:tcPr>
          <w:p>
            <w:pPr>
              <w:pStyle w:val="TableParagraph"/>
              <w:spacing w:before="1"/>
              <w:ind w:right="128"/>
              <w:jc w:val="right"/>
              <w:rPr>
                <w:sz w:val="20"/>
              </w:rPr>
            </w:pPr>
            <w:r>
              <w:rPr>
                <w:spacing w:val="-5"/>
                <w:sz w:val="20"/>
              </w:rPr>
              <w:t>582</w:t>
            </w:r>
          </w:p>
        </w:tc>
        <w:tc>
          <w:tcPr>
            <w:tcW w:w="1366" w:type="dxa"/>
          </w:tcPr>
          <w:p>
            <w:pPr>
              <w:pStyle w:val="TableParagraph"/>
              <w:spacing w:before="1"/>
              <w:ind w:right="64"/>
              <w:jc w:val="right"/>
              <w:rPr>
                <w:sz w:val="20"/>
              </w:rPr>
            </w:pPr>
            <w:r>
              <w:rPr>
                <w:spacing w:val="-2"/>
                <w:sz w:val="20"/>
              </w:rPr>
              <w:t>(1,432)</w:t>
            </w:r>
          </w:p>
        </w:tc>
      </w:tr>
      <w:tr>
        <w:trPr>
          <w:trHeight w:val="254" w:hRule="atLeast"/>
        </w:trPr>
        <w:tc>
          <w:tcPr>
            <w:tcW w:w="9460" w:type="dxa"/>
            <w:gridSpan w:val="4"/>
          </w:tcPr>
          <w:p>
            <w:pPr>
              <w:pStyle w:val="TableParagraph"/>
              <w:spacing w:line="210" w:lineRule="exact" w:before="24"/>
              <w:ind w:left="282"/>
              <w:rPr>
                <w:sz w:val="20"/>
              </w:rPr>
            </w:pPr>
            <w:r>
              <w:rPr>
                <w:sz w:val="20"/>
              </w:rPr>
              <w:t>Currency</w:t>
            </w:r>
            <w:r>
              <w:rPr>
                <w:spacing w:val="-9"/>
                <w:sz w:val="20"/>
              </w:rPr>
              <w:t> </w:t>
            </w:r>
            <w:r>
              <w:rPr>
                <w:sz w:val="20"/>
              </w:rPr>
              <w:t>translation</w:t>
            </w:r>
            <w:r>
              <w:rPr>
                <w:spacing w:val="-6"/>
                <w:sz w:val="20"/>
              </w:rPr>
              <w:t> </w:t>
            </w:r>
            <w:r>
              <w:rPr>
                <w:sz w:val="20"/>
              </w:rPr>
              <w:t>adjustments</w:t>
            </w:r>
            <w:r>
              <w:rPr>
                <w:spacing w:val="-6"/>
                <w:sz w:val="20"/>
              </w:rPr>
              <w:t> </w:t>
            </w:r>
            <w:r>
              <w:rPr>
                <w:sz w:val="20"/>
              </w:rPr>
              <w:t>on</w:t>
            </w:r>
            <w:r>
              <w:rPr>
                <w:spacing w:val="-6"/>
                <w:sz w:val="20"/>
              </w:rPr>
              <w:t> </w:t>
            </w:r>
            <w:r>
              <w:rPr>
                <w:spacing w:val="-2"/>
                <w:sz w:val="20"/>
              </w:rPr>
              <w:t>functional</w:t>
            </w:r>
          </w:p>
        </w:tc>
      </w:tr>
      <w:tr>
        <w:trPr>
          <w:trHeight w:val="269" w:hRule="atLeast"/>
        </w:trPr>
        <w:tc>
          <w:tcPr>
            <w:tcW w:w="5375" w:type="dxa"/>
          </w:tcPr>
          <w:p>
            <w:pPr>
              <w:pStyle w:val="TableParagraph"/>
              <w:spacing w:before="10"/>
              <w:ind w:left="462"/>
              <w:rPr>
                <w:sz w:val="20"/>
              </w:rPr>
            </w:pPr>
            <w:r>
              <w:rPr>
                <w:spacing w:val="-2"/>
                <w:sz w:val="20"/>
              </w:rPr>
              <w:t>currency</w:t>
            </w:r>
          </w:p>
        </w:tc>
        <w:tc>
          <w:tcPr>
            <w:tcW w:w="1354" w:type="dxa"/>
          </w:tcPr>
          <w:p>
            <w:pPr>
              <w:pStyle w:val="TableParagraph"/>
              <w:spacing w:before="10"/>
              <w:ind w:right="128"/>
              <w:jc w:val="right"/>
              <w:rPr>
                <w:sz w:val="20"/>
              </w:rPr>
            </w:pPr>
            <w:r>
              <w:rPr>
                <w:spacing w:val="-5"/>
                <w:sz w:val="20"/>
              </w:rPr>
              <w:t>495</w:t>
            </w:r>
          </w:p>
        </w:tc>
        <w:tc>
          <w:tcPr>
            <w:tcW w:w="1365" w:type="dxa"/>
          </w:tcPr>
          <w:p>
            <w:pPr>
              <w:pStyle w:val="TableParagraph"/>
              <w:spacing w:before="10"/>
              <w:ind w:right="63"/>
              <w:jc w:val="right"/>
              <w:rPr>
                <w:sz w:val="20"/>
              </w:rPr>
            </w:pPr>
            <w:r>
              <w:rPr>
                <w:spacing w:val="-2"/>
                <w:sz w:val="20"/>
              </w:rPr>
              <w:t>(1,149)</w:t>
            </w:r>
          </w:p>
        </w:tc>
        <w:tc>
          <w:tcPr>
            <w:tcW w:w="1366" w:type="dxa"/>
          </w:tcPr>
          <w:p>
            <w:pPr>
              <w:pStyle w:val="TableParagraph"/>
              <w:spacing w:before="10"/>
              <w:ind w:right="129"/>
              <w:jc w:val="right"/>
              <w:rPr>
                <w:sz w:val="20"/>
              </w:rPr>
            </w:pPr>
            <w:r>
              <w:rPr>
                <w:spacing w:val="-5"/>
                <w:sz w:val="20"/>
              </w:rPr>
              <w:t>465</w:t>
            </w:r>
          </w:p>
        </w:tc>
      </w:tr>
      <w:tr>
        <w:trPr>
          <w:trHeight w:val="300" w:hRule="atLeast"/>
        </w:trPr>
        <w:tc>
          <w:tcPr>
            <w:tcW w:w="5375" w:type="dxa"/>
          </w:tcPr>
          <w:p>
            <w:pPr>
              <w:pStyle w:val="TableParagraph"/>
              <w:spacing w:before="40"/>
              <w:ind w:left="102"/>
              <w:rPr>
                <w:sz w:val="20"/>
              </w:rPr>
            </w:pPr>
            <w:r>
              <w:rPr>
                <w:sz w:val="20"/>
              </w:rPr>
              <w:t>Total</w:t>
            </w:r>
            <w:r>
              <w:rPr>
                <w:spacing w:val="-14"/>
                <w:sz w:val="20"/>
              </w:rPr>
              <w:t> </w:t>
            </w:r>
            <w:r>
              <w:rPr>
                <w:sz w:val="20"/>
              </w:rPr>
              <w:t>other</w:t>
            </w:r>
            <w:r>
              <w:rPr>
                <w:spacing w:val="-13"/>
                <w:sz w:val="20"/>
              </w:rPr>
              <w:t> </w:t>
            </w:r>
            <w:r>
              <w:rPr>
                <w:sz w:val="20"/>
              </w:rPr>
              <w:t>comprehensive</w:t>
            </w:r>
            <w:r>
              <w:rPr>
                <w:spacing w:val="-13"/>
                <w:sz w:val="20"/>
              </w:rPr>
              <w:t> </w:t>
            </w:r>
            <w:r>
              <w:rPr>
                <w:spacing w:val="-2"/>
                <w:sz w:val="20"/>
              </w:rPr>
              <w:t>income</w:t>
            </w:r>
          </w:p>
        </w:tc>
        <w:tc>
          <w:tcPr>
            <w:tcW w:w="1354" w:type="dxa"/>
          </w:tcPr>
          <w:p>
            <w:pPr>
              <w:pStyle w:val="TableParagraph"/>
              <w:spacing w:before="40"/>
              <w:ind w:right="128"/>
              <w:jc w:val="right"/>
              <w:rPr>
                <w:sz w:val="20"/>
              </w:rPr>
            </w:pPr>
            <w:r>
              <w:rPr>
                <w:spacing w:val="-2"/>
                <w:sz w:val="20"/>
              </w:rPr>
              <w:t>2,605</w:t>
            </w:r>
          </w:p>
        </w:tc>
        <w:tc>
          <w:tcPr>
            <w:tcW w:w="1365" w:type="dxa"/>
          </w:tcPr>
          <w:p>
            <w:pPr>
              <w:pStyle w:val="TableParagraph"/>
              <w:spacing w:before="40"/>
              <w:ind w:right="128"/>
              <w:jc w:val="right"/>
              <w:rPr>
                <w:sz w:val="20"/>
              </w:rPr>
            </w:pPr>
            <w:r>
              <w:rPr>
                <w:spacing w:val="-2"/>
                <w:sz w:val="20"/>
              </w:rPr>
              <w:t>2,483</w:t>
            </w:r>
          </w:p>
        </w:tc>
        <w:tc>
          <w:tcPr>
            <w:tcW w:w="1366" w:type="dxa"/>
          </w:tcPr>
          <w:p>
            <w:pPr>
              <w:pStyle w:val="TableParagraph"/>
              <w:spacing w:before="40"/>
              <w:ind w:right="129"/>
              <w:jc w:val="right"/>
              <w:rPr>
                <w:sz w:val="20"/>
              </w:rPr>
            </w:pPr>
            <w:r>
              <w:rPr>
                <w:spacing w:val="-2"/>
                <w:sz w:val="20"/>
              </w:rPr>
              <w:t>4,161</w:t>
            </w:r>
          </w:p>
        </w:tc>
      </w:tr>
      <w:tr>
        <w:trPr>
          <w:trHeight w:val="405" w:hRule="atLeast"/>
        </w:trPr>
        <w:tc>
          <w:tcPr>
            <w:tcW w:w="5375" w:type="dxa"/>
          </w:tcPr>
          <w:p>
            <w:pPr>
              <w:pStyle w:val="TableParagraph"/>
              <w:spacing w:before="145"/>
              <w:ind w:left="102"/>
              <w:rPr>
                <w:rFonts w:ascii="Arial"/>
                <w:b/>
                <w:sz w:val="20"/>
              </w:rPr>
            </w:pPr>
            <w:r>
              <w:rPr>
                <w:rFonts w:ascii="Arial"/>
                <w:b/>
                <w:sz w:val="20"/>
              </w:rPr>
              <w:t>Total</w:t>
            </w:r>
            <w:r>
              <w:rPr>
                <w:rFonts w:ascii="Arial"/>
                <w:b/>
                <w:spacing w:val="-9"/>
                <w:sz w:val="20"/>
              </w:rPr>
              <w:t> </w:t>
            </w:r>
            <w:r>
              <w:rPr>
                <w:rFonts w:ascii="Arial"/>
                <w:b/>
                <w:sz w:val="20"/>
              </w:rPr>
              <w:t>comprehensive</w:t>
            </w:r>
            <w:r>
              <w:rPr>
                <w:rFonts w:ascii="Arial"/>
                <w:b/>
                <w:spacing w:val="-8"/>
                <w:sz w:val="20"/>
              </w:rPr>
              <w:t> </w:t>
            </w:r>
            <w:r>
              <w:rPr>
                <w:rFonts w:ascii="Arial"/>
                <w:b/>
                <w:spacing w:val="-2"/>
                <w:sz w:val="20"/>
              </w:rPr>
              <w:t>income</w:t>
            </w:r>
          </w:p>
        </w:tc>
        <w:tc>
          <w:tcPr>
            <w:tcW w:w="1354" w:type="dxa"/>
          </w:tcPr>
          <w:p>
            <w:pPr>
              <w:pStyle w:val="TableParagraph"/>
              <w:tabs>
                <w:tab w:pos="723" w:val="left" w:leader="none"/>
              </w:tabs>
              <w:spacing w:before="145"/>
              <w:ind w:left="52"/>
              <w:rPr>
                <w:sz w:val="20"/>
              </w:rPr>
            </w:pPr>
            <w:r>
              <w:rPr>
                <w:sz w:val="20"/>
              </w:rPr>
              <mc:AlternateContent>
                <mc:Choice Requires="wps">
                  <w:drawing>
                    <wp:anchor distT="0" distB="0" distL="0" distR="0" allowOverlap="1" layoutInCell="1" locked="0" behindDoc="1" simplePos="0" relativeHeight="470601728">
                      <wp:simplePos x="0" y="0"/>
                      <wp:positionH relativeFrom="column">
                        <wp:posOffset>0</wp:posOffset>
                      </wp:positionH>
                      <wp:positionV relativeFrom="paragraph">
                        <wp:posOffset>-197105</wp:posOffset>
                      </wp:positionV>
                      <wp:extent cx="2562225" cy="12700"/>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2562225" cy="12700"/>
                                <a:chExt cx="2562225" cy="12700"/>
                              </a:xfrm>
                            </wpg:grpSpPr>
                            <wps:wsp>
                              <wps:cNvPr id="650" name="Graphic 650"/>
                              <wps:cNvSpPr/>
                              <wps:spPr>
                                <a:xfrm>
                                  <a:off x="0" y="6350"/>
                                  <a:ext cx="2562225" cy="1270"/>
                                </a:xfrm>
                                <a:custGeom>
                                  <a:avLst/>
                                  <a:gdLst/>
                                  <a:ahLst/>
                                  <a:cxnLst/>
                                  <a:rect l="l" t="t" r="r" b="b"/>
                                  <a:pathLst>
                                    <a:path w="2562225" h="0">
                                      <a:moveTo>
                                        <a:pt x="0" y="0"/>
                                      </a:moveTo>
                                      <a:lnTo>
                                        <a:pt x="828675" y="0"/>
                                      </a:lnTo>
                                    </a:path>
                                    <a:path w="2562225" h="0">
                                      <a:moveTo>
                                        <a:pt x="866775" y="0"/>
                                      </a:moveTo>
                                      <a:lnTo>
                                        <a:pt x="1695450" y="0"/>
                                      </a:lnTo>
                                    </a:path>
                                    <a:path w="2562225" h="0">
                                      <a:moveTo>
                                        <a:pt x="1733550" y="0"/>
                                      </a:moveTo>
                                      <a:lnTo>
                                        <a:pt x="256222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5.52014pt;width:201.75pt;height:1pt;mso-position-horizontal-relative:column;mso-position-vertical-relative:paragraph;z-index:-32714752" id="docshapegroup547" coordorigin="0,-310" coordsize="4035,20">
                      <v:shape style="position:absolute;left:0;top:-301;width:4035;height:2" id="docshape548" coordorigin="0,-300" coordsize="4035,0" path="m0,-300l1305,-300m1365,-300l2670,-300m2730,-300l4035,-300e" filled="false" stroked="true" strokeweight="1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70602240">
                      <wp:simplePos x="0" y="0"/>
                      <wp:positionH relativeFrom="column">
                        <wp:posOffset>0</wp:posOffset>
                      </wp:positionH>
                      <wp:positionV relativeFrom="paragraph">
                        <wp:posOffset>-6605</wp:posOffset>
                      </wp:positionV>
                      <wp:extent cx="2562225" cy="12700"/>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2562225" cy="12700"/>
                                <a:chExt cx="2562225" cy="12700"/>
                              </a:xfrm>
                            </wpg:grpSpPr>
                            <wps:wsp>
                              <wps:cNvPr id="652" name="Graphic 652"/>
                              <wps:cNvSpPr/>
                              <wps:spPr>
                                <a:xfrm>
                                  <a:off x="0" y="6350"/>
                                  <a:ext cx="2562225" cy="1270"/>
                                </a:xfrm>
                                <a:custGeom>
                                  <a:avLst/>
                                  <a:gdLst/>
                                  <a:ahLst/>
                                  <a:cxnLst/>
                                  <a:rect l="l" t="t" r="r" b="b"/>
                                  <a:pathLst>
                                    <a:path w="2562225" h="0">
                                      <a:moveTo>
                                        <a:pt x="0" y="0"/>
                                      </a:moveTo>
                                      <a:lnTo>
                                        <a:pt x="828675" y="0"/>
                                      </a:lnTo>
                                    </a:path>
                                    <a:path w="2562225" h="0">
                                      <a:moveTo>
                                        <a:pt x="866775" y="0"/>
                                      </a:moveTo>
                                      <a:lnTo>
                                        <a:pt x="1695450" y="0"/>
                                      </a:lnTo>
                                    </a:path>
                                    <a:path w="2562225" h="0">
                                      <a:moveTo>
                                        <a:pt x="1733550" y="0"/>
                                      </a:moveTo>
                                      <a:lnTo>
                                        <a:pt x="256222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20139pt;width:201.75pt;height:1pt;mso-position-horizontal-relative:column;mso-position-vertical-relative:paragraph;z-index:-32714240" id="docshapegroup549" coordorigin="0,-10" coordsize="4035,20">
                      <v:shape style="position:absolute;left:0;top:-1;width:4035;height:2" id="docshape550" coordorigin="0,0" coordsize="4035,0" path="m0,0l1305,0m1365,0l2670,0m2730,0l4035,0e" filled="false" stroked="true" strokeweight="1pt" strokecolor="#000000">
                        <v:path arrowok="t"/>
                        <v:stroke dashstyle="solid"/>
                      </v:shape>
                      <w10:wrap type="none"/>
                    </v:group>
                  </w:pict>
                </mc:Fallback>
              </mc:AlternateContent>
            </w:r>
            <w:r>
              <w:rPr>
                <w:spacing w:val="-10"/>
                <w:sz w:val="20"/>
              </w:rPr>
              <w:t>$</w:t>
            </w:r>
            <w:r>
              <w:rPr>
                <w:sz w:val="20"/>
              </w:rPr>
              <w:tab/>
            </w:r>
            <w:r>
              <w:rPr>
                <w:spacing w:val="-2"/>
                <w:sz w:val="20"/>
              </w:rPr>
              <w:t>3,749</w:t>
            </w:r>
          </w:p>
        </w:tc>
        <w:tc>
          <w:tcPr>
            <w:tcW w:w="1365" w:type="dxa"/>
          </w:tcPr>
          <w:p>
            <w:pPr>
              <w:pStyle w:val="TableParagraph"/>
              <w:tabs>
                <w:tab w:pos="734" w:val="left" w:leader="none"/>
              </w:tabs>
              <w:spacing w:before="145"/>
              <w:ind w:left="63"/>
              <w:rPr>
                <w:sz w:val="20"/>
              </w:rPr>
            </w:pPr>
            <w:r>
              <w:rPr>
                <w:spacing w:val="-10"/>
                <w:sz w:val="20"/>
              </w:rPr>
              <w:t>$</w:t>
            </w:r>
            <w:r>
              <w:rPr>
                <w:sz w:val="20"/>
              </w:rPr>
              <w:tab/>
            </w:r>
            <w:r>
              <w:rPr>
                <w:spacing w:val="-2"/>
                <w:sz w:val="20"/>
              </w:rPr>
              <w:t>6,473</w:t>
            </w:r>
          </w:p>
        </w:tc>
        <w:tc>
          <w:tcPr>
            <w:tcW w:w="1366" w:type="dxa"/>
          </w:tcPr>
          <w:p>
            <w:pPr>
              <w:pStyle w:val="TableParagraph"/>
              <w:tabs>
                <w:tab w:pos="734" w:val="left" w:leader="none"/>
              </w:tabs>
              <w:spacing w:before="145"/>
              <w:ind w:left="63"/>
              <w:rPr>
                <w:sz w:val="20"/>
              </w:rPr>
            </w:pPr>
            <w:r>
              <w:rPr>
                <w:spacing w:val="-10"/>
                <w:sz w:val="20"/>
              </w:rPr>
              <w:t>$</w:t>
            </w:r>
            <w:r>
              <w:rPr>
                <w:sz w:val="20"/>
              </w:rPr>
              <w:tab/>
            </w:r>
            <w:r>
              <w:rPr>
                <w:spacing w:val="-2"/>
                <w:sz w:val="20"/>
              </w:rPr>
              <w:t>6,200</w:t>
            </w:r>
          </w:p>
        </w:tc>
      </w:tr>
    </w:tbl>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94"/>
        <w:rPr>
          <w:rFonts w:ascii="Arial"/>
          <w:i/>
        </w:rPr>
      </w:pPr>
    </w:p>
    <w:p>
      <w:pPr>
        <w:spacing w:before="0"/>
        <w:ind w:left="720" w:right="0" w:firstLine="0"/>
        <w:jc w:val="left"/>
        <w:rPr>
          <w:rFonts w:ascii="Arial MT"/>
          <w:sz w:val="28"/>
        </w:rPr>
      </w:pPr>
      <w:r>
        <w:rPr>
          <w:rFonts w:ascii="Arial MT"/>
          <w:sz w:val="28"/>
        </w:rPr>
        <mc:AlternateContent>
          <mc:Choice Requires="wps">
            <w:drawing>
              <wp:anchor distT="0" distB="0" distL="0" distR="0" allowOverlap="1" layoutInCell="1" locked="0" behindDoc="0" simplePos="0" relativeHeight="15814656">
                <wp:simplePos x="0" y="0"/>
                <wp:positionH relativeFrom="page">
                  <wp:posOffset>4295775</wp:posOffset>
                </wp:positionH>
                <wp:positionV relativeFrom="paragraph">
                  <wp:posOffset>-800384</wp:posOffset>
                </wp:positionV>
                <wp:extent cx="2562225" cy="25400"/>
                <wp:effectExtent l="0" t="0" r="0" b="0"/>
                <wp:wrapNone/>
                <wp:docPr id="653" name="Graphic 653"/>
                <wp:cNvGraphicFramePr>
                  <a:graphicFrameLocks/>
                </wp:cNvGraphicFramePr>
                <a:graphic>
                  <a:graphicData uri="http://schemas.microsoft.com/office/word/2010/wordprocessingShape">
                    <wps:wsp>
                      <wps:cNvPr id="653" name="Graphic 653"/>
                      <wps:cNvSpPr/>
                      <wps:spPr>
                        <a:xfrm>
                          <a:off x="0" y="0"/>
                          <a:ext cx="2562225" cy="25400"/>
                        </a:xfrm>
                        <a:custGeom>
                          <a:avLst/>
                          <a:gdLst/>
                          <a:ahLst/>
                          <a:cxnLst/>
                          <a:rect l="l" t="t" r="r" b="b"/>
                          <a:pathLst>
                            <a:path w="2562225" h="25400">
                              <a:moveTo>
                                <a:pt x="0" y="0"/>
                              </a:moveTo>
                              <a:lnTo>
                                <a:pt x="828675" y="0"/>
                              </a:lnTo>
                            </a:path>
                            <a:path w="2562225" h="25400">
                              <a:moveTo>
                                <a:pt x="0" y="25400"/>
                              </a:moveTo>
                              <a:lnTo>
                                <a:pt x="828675" y="25400"/>
                              </a:lnTo>
                            </a:path>
                            <a:path w="2562225" h="25400">
                              <a:moveTo>
                                <a:pt x="866775" y="0"/>
                              </a:moveTo>
                              <a:lnTo>
                                <a:pt x="1695450" y="0"/>
                              </a:lnTo>
                            </a:path>
                            <a:path w="2562225" h="25400">
                              <a:moveTo>
                                <a:pt x="866775" y="25400"/>
                              </a:moveTo>
                              <a:lnTo>
                                <a:pt x="1695450" y="25400"/>
                              </a:lnTo>
                            </a:path>
                            <a:path w="2562225" h="25400">
                              <a:moveTo>
                                <a:pt x="1733550" y="0"/>
                              </a:moveTo>
                              <a:lnTo>
                                <a:pt x="2562225" y="0"/>
                              </a:lnTo>
                            </a:path>
                            <a:path w="2562225" h="25400">
                              <a:moveTo>
                                <a:pt x="1733550" y="25400"/>
                              </a:moveTo>
                              <a:lnTo>
                                <a:pt x="2562225" y="254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8.25pt;margin-top:-63.022411pt;width:201.75pt;height:2pt;mso-position-horizontal-relative:page;mso-position-vertical-relative:paragraph;z-index:15814656" id="docshape551" coordorigin="6765,-1260" coordsize="4035,40" path="m6765,-1260l8070,-1260m6765,-1220l8070,-1220m8130,-1260l9435,-1260m8130,-1220l9435,-1220m9495,-1260l10800,-1260m9495,-1220l10800,-1220e" filled="false" stroked="true" strokeweight="1pt" strokecolor="#000000">
                <v:path arrowok="t"/>
                <v:stroke dashstyle="solid"/>
                <w10:wrap type="none"/>
              </v:shape>
            </w:pict>
          </mc:Fallback>
        </mc:AlternateContent>
      </w:r>
      <w:bookmarkStart w:name="STATEMENTS OF CHANGES IN RETAINED EARNIN" w:id="195"/>
      <w:bookmarkEnd w:id="195"/>
      <w:r>
        <w:rPr/>
      </w:r>
      <w:bookmarkStart w:name="_bookmark121" w:id="196"/>
      <w:bookmarkEnd w:id="196"/>
      <w:r>
        <w:rPr/>
      </w:r>
      <w:r>
        <w:rPr>
          <w:rFonts w:ascii="Arial MT"/>
          <w:sz w:val="28"/>
        </w:rPr>
        <w:t>STATEMENTS</w:t>
      </w:r>
      <w:r>
        <w:rPr>
          <w:rFonts w:ascii="Arial MT"/>
          <w:spacing w:val="-16"/>
          <w:sz w:val="28"/>
        </w:rPr>
        <w:t> </w:t>
      </w:r>
      <w:r>
        <w:rPr>
          <w:rFonts w:ascii="Arial MT"/>
          <w:sz w:val="28"/>
        </w:rPr>
        <w:t>OF</w:t>
      </w:r>
      <w:r>
        <w:rPr>
          <w:rFonts w:ascii="Arial MT"/>
          <w:spacing w:val="-14"/>
          <w:sz w:val="28"/>
        </w:rPr>
        <w:t> </w:t>
      </w:r>
      <w:r>
        <w:rPr>
          <w:rFonts w:ascii="Arial MT"/>
          <w:sz w:val="28"/>
        </w:rPr>
        <w:t>CHANGES</w:t>
      </w:r>
      <w:r>
        <w:rPr>
          <w:rFonts w:ascii="Arial MT"/>
          <w:spacing w:val="-14"/>
          <w:sz w:val="28"/>
        </w:rPr>
        <w:t> </w:t>
      </w:r>
      <w:r>
        <w:rPr>
          <w:rFonts w:ascii="Arial MT"/>
          <w:sz w:val="28"/>
        </w:rPr>
        <w:t>IN</w:t>
      </w:r>
      <w:r>
        <w:rPr>
          <w:rFonts w:ascii="Arial MT"/>
          <w:spacing w:val="-14"/>
          <w:sz w:val="28"/>
        </w:rPr>
        <w:t> </w:t>
      </w:r>
      <w:r>
        <w:rPr>
          <w:rFonts w:ascii="Arial MT"/>
          <w:sz w:val="28"/>
        </w:rPr>
        <w:t>RETAINED</w:t>
      </w:r>
      <w:r>
        <w:rPr>
          <w:rFonts w:ascii="Arial MT"/>
          <w:spacing w:val="-13"/>
          <w:sz w:val="28"/>
        </w:rPr>
        <w:t> </w:t>
      </w:r>
      <w:r>
        <w:rPr>
          <w:rFonts w:ascii="Arial MT"/>
          <w:spacing w:val="-2"/>
          <w:sz w:val="28"/>
        </w:rPr>
        <w:t>EARNINGS</w:t>
      </w:r>
    </w:p>
    <w:p>
      <w:pPr>
        <w:spacing w:before="31"/>
        <w:ind w:left="7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p>
      <w:pPr>
        <w:pStyle w:val="BodyText"/>
        <w:spacing w:before="107"/>
        <w:rPr>
          <w:rFonts w:ascii="Arial"/>
          <w:i/>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5"/>
        <w:gridCol w:w="1321"/>
        <w:gridCol w:w="1365"/>
        <w:gridCol w:w="1349"/>
      </w:tblGrid>
      <w:tr>
        <w:trPr>
          <w:trHeight w:val="425" w:hRule="atLeast"/>
        </w:trPr>
        <w:tc>
          <w:tcPr>
            <w:tcW w:w="5375" w:type="dxa"/>
          </w:tcPr>
          <w:p>
            <w:pPr>
              <w:pStyle w:val="TableParagraph"/>
              <w:spacing w:line="223" w:lineRule="exact"/>
              <w:ind w:left="50"/>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c>
        <w:tc>
          <w:tcPr>
            <w:tcW w:w="1321" w:type="dxa"/>
          </w:tcPr>
          <w:p>
            <w:pPr>
              <w:pStyle w:val="TableParagraph"/>
              <w:rPr>
                <w:rFonts w:ascii="Times New Roman"/>
                <w:sz w:val="20"/>
              </w:rPr>
            </w:pPr>
          </w:p>
        </w:tc>
        <w:tc>
          <w:tcPr>
            <w:tcW w:w="1365" w:type="dxa"/>
          </w:tcPr>
          <w:p>
            <w:pPr>
              <w:pStyle w:val="TableParagraph"/>
              <w:rPr>
                <w:rFonts w:ascii="Times New Roman"/>
                <w:sz w:val="20"/>
              </w:rPr>
            </w:pPr>
          </w:p>
        </w:tc>
        <w:tc>
          <w:tcPr>
            <w:tcW w:w="1349" w:type="dxa"/>
          </w:tcPr>
          <w:p>
            <w:pPr>
              <w:pStyle w:val="TableParagraph"/>
              <w:rPr>
                <w:rFonts w:ascii="Times New Roman"/>
                <w:sz w:val="20"/>
              </w:rPr>
            </w:pPr>
          </w:p>
        </w:tc>
      </w:tr>
      <w:tr>
        <w:trPr>
          <w:trHeight w:val="444" w:hRule="atLeast"/>
        </w:trPr>
        <w:tc>
          <w:tcPr>
            <w:tcW w:w="5375" w:type="dxa"/>
          </w:tcPr>
          <w:p>
            <w:pPr>
              <w:pStyle w:val="TableParagraph"/>
              <w:rPr>
                <w:rFonts w:ascii="Times New Roman"/>
                <w:sz w:val="20"/>
              </w:rPr>
            </w:pPr>
          </w:p>
        </w:tc>
        <w:tc>
          <w:tcPr>
            <w:tcW w:w="1321" w:type="dxa"/>
            <w:tcBorders>
              <w:bottom w:val="single" w:sz="8" w:space="0" w:color="000000"/>
            </w:tcBorders>
          </w:tcPr>
          <w:p>
            <w:pPr>
              <w:pStyle w:val="TableParagraph"/>
              <w:spacing w:line="229" w:lineRule="exact" w:before="195"/>
              <w:ind w:left="430"/>
              <w:rPr>
                <w:rFonts w:ascii="Arial"/>
                <w:i/>
                <w:sz w:val="20"/>
              </w:rPr>
            </w:pPr>
            <w:r>
              <w:rPr>
                <w:rFonts w:ascii="Arial"/>
                <w:i/>
                <w:spacing w:val="-4"/>
                <w:sz w:val="20"/>
              </w:rPr>
              <w:t>2023</w:t>
            </w:r>
          </w:p>
        </w:tc>
        <w:tc>
          <w:tcPr>
            <w:tcW w:w="1365" w:type="dxa"/>
            <w:tcBorders>
              <w:bottom w:val="single" w:sz="8" w:space="0" w:color="000000"/>
            </w:tcBorders>
          </w:tcPr>
          <w:p>
            <w:pPr>
              <w:pStyle w:val="TableParagraph"/>
              <w:spacing w:line="229" w:lineRule="exact" w:before="195"/>
              <w:ind w:left="473"/>
              <w:rPr>
                <w:rFonts w:ascii="Arial"/>
                <w:i/>
                <w:sz w:val="20"/>
              </w:rPr>
            </w:pPr>
            <w:r>
              <w:rPr>
                <w:rFonts w:ascii="Arial"/>
                <w:i/>
                <w:spacing w:val="-4"/>
                <w:sz w:val="20"/>
              </w:rPr>
              <w:t>2022</w:t>
            </w:r>
          </w:p>
        </w:tc>
        <w:tc>
          <w:tcPr>
            <w:tcW w:w="1349" w:type="dxa"/>
            <w:tcBorders>
              <w:bottom w:val="single" w:sz="8" w:space="0" w:color="000000"/>
            </w:tcBorders>
          </w:tcPr>
          <w:p>
            <w:pPr>
              <w:pStyle w:val="TableParagraph"/>
              <w:spacing w:line="229" w:lineRule="exact" w:before="195"/>
              <w:ind w:left="473"/>
              <w:rPr>
                <w:rFonts w:ascii="Arial"/>
                <w:i/>
                <w:sz w:val="20"/>
              </w:rPr>
            </w:pPr>
            <w:r>
              <w:rPr>
                <w:rFonts w:ascii="Arial"/>
                <w:i/>
                <w:spacing w:val="-4"/>
                <w:sz w:val="20"/>
              </w:rPr>
              <w:t>2021</w:t>
            </w:r>
          </w:p>
        </w:tc>
      </w:tr>
      <w:tr>
        <w:trPr>
          <w:trHeight w:val="531" w:hRule="atLeast"/>
        </w:trPr>
        <w:tc>
          <w:tcPr>
            <w:tcW w:w="5375" w:type="dxa"/>
          </w:tcPr>
          <w:p>
            <w:pPr>
              <w:pStyle w:val="TableParagraph"/>
              <w:spacing w:before="40"/>
              <w:rPr>
                <w:rFonts w:ascii="Arial"/>
                <w:i/>
                <w:sz w:val="20"/>
              </w:rPr>
            </w:pPr>
          </w:p>
          <w:p>
            <w:pPr>
              <w:pStyle w:val="TableParagraph"/>
              <w:ind w:left="102"/>
              <w:rPr>
                <w:rFonts w:ascii="Arial"/>
                <w:b/>
                <w:sz w:val="20"/>
              </w:rPr>
            </w:pPr>
            <w:r>
              <w:rPr>
                <w:rFonts w:ascii="Arial"/>
                <w:b/>
                <w:sz w:val="20"/>
              </w:rPr>
              <w:t>Retained</w:t>
            </w:r>
            <w:r>
              <w:rPr>
                <w:rFonts w:ascii="Arial"/>
                <w:b/>
                <w:spacing w:val="-7"/>
                <w:sz w:val="20"/>
              </w:rPr>
              <w:t> </w:t>
            </w:r>
            <w:r>
              <w:rPr>
                <w:rFonts w:ascii="Arial"/>
                <w:b/>
                <w:sz w:val="20"/>
              </w:rPr>
              <w:t>earnings</w:t>
            </w:r>
            <w:r>
              <w:rPr>
                <w:rFonts w:ascii="Arial"/>
                <w:b/>
                <w:spacing w:val="-5"/>
                <w:sz w:val="20"/>
              </w:rPr>
              <w:t> </w:t>
            </w:r>
            <w:r>
              <w:rPr>
                <w:rFonts w:ascii="Arial"/>
                <w:b/>
                <w:sz w:val="20"/>
              </w:rPr>
              <w:t>at</w:t>
            </w:r>
            <w:r>
              <w:rPr>
                <w:rFonts w:ascii="Arial"/>
                <w:b/>
                <w:spacing w:val="-4"/>
                <w:sz w:val="20"/>
              </w:rPr>
              <w:t> </w:t>
            </w:r>
            <w:r>
              <w:rPr>
                <w:rFonts w:ascii="Arial"/>
                <w:b/>
                <w:sz w:val="20"/>
              </w:rPr>
              <w:t>the</w:t>
            </w:r>
            <w:r>
              <w:rPr>
                <w:rFonts w:ascii="Arial"/>
                <w:b/>
                <w:spacing w:val="-5"/>
                <w:sz w:val="20"/>
              </w:rPr>
              <w:t> </w:t>
            </w:r>
            <w:r>
              <w:rPr>
                <w:rFonts w:ascii="Arial"/>
                <w:b/>
                <w:sz w:val="20"/>
              </w:rPr>
              <w:t>beginning</w:t>
            </w:r>
            <w:r>
              <w:rPr>
                <w:rFonts w:ascii="Arial"/>
                <w:b/>
                <w:spacing w:val="-5"/>
                <w:sz w:val="20"/>
              </w:rPr>
              <w:t> </w:t>
            </w:r>
            <w:r>
              <w:rPr>
                <w:rFonts w:ascii="Arial"/>
                <w:b/>
                <w:sz w:val="20"/>
              </w:rPr>
              <w:t>of</w:t>
            </w:r>
            <w:r>
              <w:rPr>
                <w:rFonts w:ascii="Arial"/>
                <w:b/>
                <w:spacing w:val="-4"/>
                <w:sz w:val="20"/>
              </w:rPr>
              <w:t> </w:t>
            </w:r>
            <w:r>
              <w:rPr>
                <w:rFonts w:ascii="Arial"/>
                <w:b/>
                <w:sz w:val="20"/>
              </w:rPr>
              <w:t>the</w:t>
            </w:r>
            <w:r>
              <w:rPr>
                <w:rFonts w:ascii="Arial"/>
                <w:b/>
                <w:spacing w:val="-5"/>
                <w:sz w:val="20"/>
              </w:rPr>
              <w:t> </w:t>
            </w:r>
            <w:r>
              <w:rPr>
                <w:rFonts w:ascii="Arial"/>
                <w:b/>
                <w:sz w:val="20"/>
              </w:rPr>
              <w:t>fiscal</w:t>
            </w:r>
            <w:r>
              <w:rPr>
                <w:rFonts w:ascii="Arial"/>
                <w:b/>
                <w:spacing w:val="-4"/>
                <w:sz w:val="20"/>
              </w:rPr>
              <w:t> year</w:t>
            </w:r>
          </w:p>
        </w:tc>
        <w:tc>
          <w:tcPr>
            <w:tcW w:w="1321" w:type="dxa"/>
            <w:tcBorders>
              <w:top w:val="single" w:sz="8" w:space="0" w:color="000000"/>
            </w:tcBorders>
          </w:tcPr>
          <w:p>
            <w:pPr>
              <w:pStyle w:val="TableParagraph"/>
              <w:spacing w:before="40"/>
              <w:rPr>
                <w:rFonts w:ascii="Arial"/>
                <w:i/>
                <w:sz w:val="20"/>
              </w:rPr>
            </w:pPr>
          </w:p>
          <w:p>
            <w:pPr>
              <w:pStyle w:val="TableParagraph"/>
              <w:tabs>
                <w:tab w:pos="559" w:val="left" w:leader="none"/>
              </w:tabs>
              <w:ind w:right="95"/>
              <w:jc w:val="right"/>
              <w:rPr>
                <w:sz w:val="20"/>
              </w:rPr>
            </w:pPr>
            <w:r>
              <w:rPr>
                <w:spacing w:val="-10"/>
                <w:sz w:val="20"/>
              </w:rPr>
              <w:t>$</w:t>
            </w:r>
            <w:r>
              <w:rPr>
                <w:sz w:val="20"/>
              </w:rPr>
              <w:tab/>
            </w:r>
            <w:r>
              <w:rPr>
                <w:spacing w:val="-2"/>
                <w:sz w:val="20"/>
              </w:rPr>
              <w:t>34,997</w:t>
            </w:r>
          </w:p>
        </w:tc>
        <w:tc>
          <w:tcPr>
            <w:tcW w:w="1365" w:type="dxa"/>
            <w:tcBorders>
              <w:top w:val="single" w:sz="8" w:space="0" w:color="000000"/>
            </w:tcBorders>
          </w:tcPr>
          <w:p>
            <w:pPr>
              <w:pStyle w:val="TableParagraph"/>
              <w:spacing w:before="40"/>
              <w:rPr>
                <w:rFonts w:ascii="Arial"/>
                <w:i/>
                <w:sz w:val="20"/>
              </w:rPr>
            </w:pPr>
          </w:p>
          <w:p>
            <w:pPr>
              <w:pStyle w:val="TableParagraph"/>
              <w:tabs>
                <w:tab w:pos="559" w:val="left" w:leader="none"/>
              </w:tabs>
              <w:ind w:right="95"/>
              <w:jc w:val="right"/>
              <w:rPr>
                <w:sz w:val="20"/>
              </w:rPr>
            </w:pPr>
            <w:r>
              <w:rPr>
                <w:spacing w:val="-10"/>
                <w:sz w:val="20"/>
              </w:rPr>
              <w:t>$</w:t>
            </w:r>
            <w:r>
              <w:rPr>
                <w:sz w:val="20"/>
              </w:rPr>
              <w:tab/>
            </w:r>
            <w:r>
              <w:rPr>
                <w:spacing w:val="-2"/>
                <w:sz w:val="20"/>
              </w:rPr>
              <w:t>31,007</w:t>
            </w:r>
          </w:p>
        </w:tc>
        <w:tc>
          <w:tcPr>
            <w:tcW w:w="1349" w:type="dxa"/>
            <w:tcBorders>
              <w:top w:val="single" w:sz="8" w:space="0" w:color="000000"/>
            </w:tcBorders>
          </w:tcPr>
          <w:p>
            <w:pPr>
              <w:pStyle w:val="TableParagraph"/>
              <w:spacing w:before="40"/>
              <w:rPr>
                <w:rFonts w:ascii="Arial"/>
                <w:i/>
                <w:sz w:val="20"/>
              </w:rPr>
            </w:pPr>
          </w:p>
          <w:p>
            <w:pPr>
              <w:pStyle w:val="TableParagraph"/>
              <w:tabs>
                <w:tab w:pos="559" w:val="left" w:leader="none"/>
              </w:tabs>
              <w:ind w:right="79"/>
              <w:jc w:val="right"/>
              <w:rPr>
                <w:sz w:val="20"/>
              </w:rPr>
            </w:pPr>
            <w:r>
              <w:rPr>
                <w:spacing w:val="-10"/>
                <w:sz w:val="20"/>
              </w:rPr>
              <w:t>$</w:t>
            </w:r>
            <w:r>
              <w:rPr>
                <w:sz w:val="20"/>
              </w:rPr>
              <w:tab/>
            </w:r>
            <w:r>
              <w:rPr>
                <w:spacing w:val="-2"/>
                <w:sz w:val="20"/>
              </w:rPr>
              <w:t>28,765</w:t>
            </w:r>
          </w:p>
        </w:tc>
      </w:tr>
      <w:tr>
        <w:trPr>
          <w:trHeight w:val="262" w:hRule="atLeast"/>
        </w:trPr>
        <w:tc>
          <w:tcPr>
            <w:tcW w:w="5375" w:type="dxa"/>
          </w:tcPr>
          <w:p>
            <w:pPr>
              <w:pStyle w:val="TableParagraph"/>
              <w:spacing w:line="218" w:lineRule="exact" w:before="24"/>
              <w:ind w:left="102"/>
              <w:rPr>
                <w:sz w:val="20"/>
              </w:rPr>
            </w:pPr>
            <w:r>
              <w:rPr>
                <w:sz w:val="20"/>
              </w:rPr>
              <w:t>Cumulative</w:t>
            </w:r>
            <w:r>
              <w:rPr>
                <w:spacing w:val="-7"/>
                <w:sz w:val="20"/>
              </w:rPr>
              <w:t> </w:t>
            </w:r>
            <w:r>
              <w:rPr>
                <w:sz w:val="20"/>
              </w:rPr>
              <w:t>effect</w:t>
            </w:r>
            <w:r>
              <w:rPr>
                <w:spacing w:val="-5"/>
                <w:sz w:val="20"/>
              </w:rPr>
              <w:t> </w:t>
            </w:r>
            <w:r>
              <w:rPr>
                <w:sz w:val="20"/>
              </w:rPr>
              <w:t>of</w:t>
            </w:r>
            <w:r>
              <w:rPr>
                <w:spacing w:val="-5"/>
                <w:sz w:val="20"/>
              </w:rPr>
              <w:t> </w:t>
            </w:r>
            <w:r>
              <w:rPr>
                <w:sz w:val="20"/>
              </w:rPr>
              <w:t>a</w:t>
            </w:r>
            <w:r>
              <w:rPr>
                <w:spacing w:val="-5"/>
                <w:sz w:val="20"/>
              </w:rPr>
              <w:t> </w:t>
            </w:r>
            <w:r>
              <w:rPr>
                <w:sz w:val="20"/>
              </w:rPr>
              <w:t>change</w:t>
            </w:r>
            <w:r>
              <w:rPr>
                <w:spacing w:val="-5"/>
                <w:sz w:val="20"/>
              </w:rPr>
              <w:t> </w:t>
            </w:r>
            <w:r>
              <w:rPr>
                <w:sz w:val="20"/>
              </w:rPr>
              <w:t>in</w:t>
            </w:r>
            <w:r>
              <w:rPr>
                <w:spacing w:val="-5"/>
                <w:sz w:val="20"/>
              </w:rPr>
              <w:t> </w:t>
            </w:r>
            <w:r>
              <w:rPr>
                <w:sz w:val="20"/>
              </w:rPr>
              <w:t>accounting</w:t>
            </w:r>
            <w:r>
              <w:rPr>
                <w:spacing w:val="-4"/>
                <w:sz w:val="20"/>
              </w:rPr>
              <w:t> </w:t>
            </w:r>
            <w:r>
              <w:rPr>
                <w:spacing w:val="-2"/>
                <w:sz w:val="20"/>
              </w:rPr>
              <w:t>principle—</w:t>
            </w:r>
          </w:p>
        </w:tc>
        <w:tc>
          <w:tcPr>
            <w:tcW w:w="1321" w:type="dxa"/>
          </w:tcPr>
          <w:p>
            <w:pPr>
              <w:pStyle w:val="TableParagraph"/>
              <w:rPr>
                <w:rFonts w:ascii="Times New Roman"/>
                <w:sz w:val="18"/>
              </w:rPr>
            </w:pPr>
          </w:p>
        </w:tc>
        <w:tc>
          <w:tcPr>
            <w:tcW w:w="1365" w:type="dxa"/>
          </w:tcPr>
          <w:p>
            <w:pPr>
              <w:pStyle w:val="TableParagraph"/>
              <w:rPr>
                <w:rFonts w:ascii="Times New Roman"/>
                <w:sz w:val="18"/>
              </w:rPr>
            </w:pPr>
          </w:p>
        </w:tc>
        <w:tc>
          <w:tcPr>
            <w:tcW w:w="1349" w:type="dxa"/>
          </w:tcPr>
          <w:p>
            <w:pPr>
              <w:pStyle w:val="TableParagraph"/>
              <w:rPr>
                <w:rFonts w:ascii="Times New Roman"/>
                <w:sz w:val="18"/>
              </w:rPr>
            </w:pPr>
          </w:p>
        </w:tc>
      </w:tr>
      <w:tr>
        <w:trPr>
          <w:trHeight w:val="251" w:hRule="atLeast"/>
        </w:trPr>
        <w:tc>
          <w:tcPr>
            <w:tcW w:w="5375" w:type="dxa"/>
          </w:tcPr>
          <w:p>
            <w:pPr>
              <w:pStyle w:val="TableParagraph"/>
              <w:spacing w:line="229" w:lineRule="exact" w:before="2"/>
              <w:ind w:left="282"/>
              <w:rPr>
                <w:rFonts w:ascii="Arial"/>
                <w:i/>
                <w:sz w:val="20"/>
              </w:rPr>
            </w:pPr>
            <w:r>
              <w:rPr>
                <w:rFonts w:ascii="Arial"/>
                <w:i/>
                <w:sz w:val="20"/>
              </w:rPr>
              <w:t>Note</w:t>
            </w:r>
            <w:r>
              <w:rPr>
                <w:rFonts w:ascii="Arial"/>
                <w:i/>
                <w:spacing w:val="-4"/>
                <w:sz w:val="20"/>
              </w:rPr>
              <w:t> </w:t>
            </w:r>
            <w:r>
              <w:rPr>
                <w:rFonts w:ascii="Arial"/>
                <w:i/>
                <w:spacing w:val="-10"/>
                <w:sz w:val="20"/>
              </w:rPr>
              <w:t>G</w:t>
            </w:r>
          </w:p>
        </w:tc>
        <w:tc>
          <w:tcPr>
            <w:tcW w:w="1321" w:type="dxa"/>
            <w:tcBorders>
              <w:bottom w:val="single" w:sz="8" w:space="0" w:color="000000"/>
            </w:tcBorders>
          </w:tcPr>
          <w:p>
            <w:pPr>
              <w:pStyle w:val="TableParagraph"/>
              <w:spacing w:line="230" w:lineRule="exact" w:before="1"/>
              <w:ind w:right="95"/>
              <w:jc w:val="right"/>
              <w:rPr>
                <w:sz w:val="20"/>
              </w:rPr>
            </w:pPr>
            <w:r>
              <w:rPr>
                <w:sz w:val="20"/>
              </w:rPr>
              <w:t>—</w:t>
            </w:r>
          </w:p>
        </w:tc>
        <w:tc>
          <w:tcPr>
            <w:tcW w:w="1365" w:type="dxa"/>
            <w:tcBorders>
              <w:bottom w:val="single" w:sz="8" w:space="0" w:color="000000"/>
            </w:tcBorders>
          </w:tcPr>
          <w:p>
            <w:pPr>
              <w:pStyle w:val="TableParagraph"/>
              <w:spacing w:line="230" w:lineRule="exact" w:before="1"/>
              <w:ind w:right="95"/>
              <w:jc w:val="right"/>
              <w:rPr>
                <w:sz w:val="20"/>
              </w:rPr>
            </w:pPr>
            <w:r>
              <w:rPr>
                <w:sz w:val="20"/>
              </w:rPr>
              <w:t>—</w:t>
            </w:r>
          </w:p>
        </w:tc>
        <w:tc>
          <w:tcPr>
            <w:tcW w:w="1349" w:type="dxa"/>
            <w:tcBorders>
              <w:bottom w:val="single" w:sz="8" w:space="0" w:color="000000"/>
            </w:tcBorders>
          </w:tcPr>
          <w:p>
            <w:pPr>
              <w:pStyle w:val="TableParagraph"/>
              <w:spacing w:line="230" w:lineRule="exact" w:before="1"/>
              <w:ind w:right="79"/>
              <w:jc w:val="right"/>
              <w:rPr>
                <w:sz w:val="20"/>
              </w:rPr>
            </w:pPr>
            <w:r>
              <w:rPr>
                <w:spacing w:val="-5"/>
                <w:sz w:val="20"/>
              </w:rPr>
              <w:t>203</w:t>
            </w:r>
          </w:p>
        </w:tc>
      </w:tr>
      <w:tr>
        <w:trPr>
          <w:trHeight w:val="245" w:hRule="atLeast"/>
        </w:trPr>
        <w:tc>
          <w:tcPr>
            <w:tcW w:w="9410" w:type="dxa"/>
            <w:gridSpan w:val="4"/>
          </w:tcPr>
          <w:p>
            <w:pPr>
              <w:pStyle w:val="TableParagraph"/>
              <w:spacing w:line="210" w:lineRule="exact" w:before="15"/>
              <w:ind w:left="102"/>
              <w:rPr>
                <w:rFonts w:ascii="Arial"/>
                <w:b/>
                <w:sz w:val="20"/>
              </w:rPr>
            </w:pPr>
            <w:r>
              <w:rPr>
                <w:rFonts w:ascii="Arial"/>
                <w:b/>
                <w:sz w:val="20"/>
              </w:rPr>
              <w:t>Adjusted</w:t>
            </w:r>
            <w:r>
              <w:rPr>
                <w:rFonts w:ascii="Arial"/>
                <w:b/>
                <w:spacing w:val="-8"/>
                <w:sz w:val="20"/>
              </w:rPr>
              <w:t> </w:t>
            </w:r>
            <w:r>
              <w:rPr>
                <w:rFonts w:ascii="Arial"/>
                <w:b/>
                <w:sz w:val="20"/>
              </w:rPr>
              <w:t>retained</w:t>
            </w:r>
            <w:r>
              <w:rPr>
                <w:rFonts w:ascii="Arial"/>
                <w:b/>
                <w:spacing w:val="-5"/>
                <w:sz w:val="20"/>
              </w:rPr>
              <w:t> </w:t>
            </w:r>
            <w:r>
              <w:rPr>
                <w:rFonts w:ascii="Arial"/>
                <w:b/>
                <w:sz w:val="20"/>
              </w:rPr>
              <w:t>earnings</w:t>
            </w:r>
            <w:r>
              <w:rPr>
                <w:rFonts w:ascii="Arial"/>
                <w:b/>
                <w:spacing w:val="-5"/>
                <w:sz w:val="20"/>
              </w:rPr>
              <w:t> </w:t>
            </w:r>
            <w:r>
              <w:rPr>
                <w:rFonts w:ascii="Arial"/>
                <w:b/>
                <w:sz w:val="20"/>
              </w:rPr>
              <w:t>at</w:t>
            </w:r>
            <w:r>
              <w:rPr>
                <w:rFonts w:ascii="Arial"/>
                <w:b/>
                <w:spacing w:val="-6"/>
                <w:sz w:val="20"/>
              </w:rPr>
              <w:t> </w:t>
            </w:r>
            <w:r>
              <w:rPr>
                <w:rFonts w:ascii="Arial"/>
                <w:b/>
                <w:sz w:val="20"/>
              </w:rPr>
              <w:t>the</w:t>
            </w:r>
            <w:r>
              <w:rPr>
                <w:rFonts w:ascii="Arial"/>
                <w:b/>
                <w:spacing w:val="-5"/>
                <w:sz w:val="20"/>
              </w:rPr>
              <w:t> </w:t>
            </w:r>
            <w:r>
              <w:rPr>
                <w:rFonts w:ascii="Arial"/>
                <w:b/>
                <w:sz w:val="20"/>
              </w:rPr>
              <w:t>beginning</w:t>
            </w:r>
            <w:r>
              <w:rPr>
                <w:rFonts w:ascii="Arial"/>
                <w:b/>
                <w:spacing w:val="-5"/>
                <w:sz w:val="20"/>
              </w:rPr>
              <w:t> </w:t>
            </w:r>
            <w:r>
              <w:rPr>
                <w:rFonts w:ascii="Arial"/>
                <w:b/>
                <w:sz w:val="20"/>
              </w:rPr>
              <w:t>of</w:t>
            </w:r>
            <w:r>
              <w:rPr>
                <w:rFonts w:ascii="Arial"/>
                <w:b/>
                <w:spacing w:val="-5"/>
                <w:sz w:val="20"/>
              </w:rPr>
              <w:t> the</w:t>
            </w:r>
          </w:p>
        </w:tc>
      </w:tr>
      <w:tr>
        <w:trPr>
          <w:trHeight w:val="270" w:hRule="atLeast"/>
        </w:trPr>
        <w:tc>
          <w:tcPr>
            <w:tcW w:w="5375" w:type="dxa"/>
          </w:tcPr>
          <w:p>
            <w:pPr>
              <w:pStyle w:val="TableParagraph"/>
              <w:spacing w:before="10"/>
              <w:ind w:left="282"/>
              <w:rPr>
                <w:rFonts w:ascii="Arial"/>
                <w:b/>
                <w:sz w:val="20"/>
              </w:rPr>
            </w:pPr>
            <w:r>
              <w:rPr>
                <w:rFonts w:ascii="Arial"/>
                <w:b/>
                <w:sz w:val="20"/>
              </w:rPr>
              <w:t>fiscal</w:t>
            </w:r>
            <w:r>
              <w:rPr>
                <w:rFonts w:ascii="Arial"/>
                <w:b/>
                <w:spacing w:val="-7"/>
                <w:sz w:val="20"/>
              </w:rPr>
              <w:t> </w:t>
            </w:r>
            <w:r>
              <w:rPr>
                <w:rFonts w:ascii="Arial"/>
                <w:b/>
                <w:spacing w:val="-4"/>
                <w:sz w:val="20"/>
              </w:rPr>
              <w:t>year</w:t>
            </w:r>
          </w:p>
        </w:tc>
        <w:tc>
          <w:tcPr>
            <w:tcW w:w="1321" w:type="dxa"/>
          </w:tcPr>
          <w:p>
            <w:pPr>
              <w:pStyle w:val="TableParagraph"/>
              <w:spacing w:before="10"/>
              <w:ind w:right="95"/>
              <w:jc w:val="right"/>
              <w:rPr>
                <w:sz w:val="20"/>
              </w:rPr>
            </w:pPr>
            <w:r>
              <w:rPr>
                <w:spacing w:val="-2"/>
                <w:sz w:val="20"/>
              </w:rPr>
              <w:t>34,997</w:t>
            </w:r>
          </w:p>
        </w:tc>
        <w:tc>
          <w:tcPr>
            <w:tcW w:w="1365" w:type="dxa"/>
          </w:tcPr>
          <w:p>
            <w:pPr>
              <w:pStyle w:val="TableParagraph"/>
              <w:spacing w:before="10"/>
              <w:ind w:right="95"/>
              <w:jc w:val="right"/>
              <w:rPr>
                <w:sz w:val="20"/>
              </w:rPr>
            </w:pPr>
            <w:r>
              <w:rPr>
                <w:spacing w:val="-2"/>
                <w:sz w:val="20"/>
              </w:rPr>
              <w:t>31,007</w:t>
            </w:r>
          </w:p>
        </w:tc>
        <w:tc>
          <w:tcPr>
            <w:tcW w:w="1349" w:type="dxa"/>
          </w:tcPr>
          <w:p>
            <w:pPr>
              <w:pStyle w:val="TableParagraph"/>
              <w:spacing w:before="10"/>
              <w:ind w:right="79"/>
              <w:jc w:val="right"/>
              <w:rPr>
                <w:sz w:val="20"/>
              </w:rPr>
            </w:pPr>
            <w:r>
              <w:rPr>
                <w:spacing w:val="-2"/>
                <w:sz w:val="20"/>
              </w:rPr>
              <w:t>28,968</w:t>
            </w:r>
          </w:p>
        </w:tc>
      </w:tr>
      <w:tr>
        <w:trPr>
          <w:trHeight w:val="273" w:hRule="atLeast"/>
        </w:trPr>
        <w:tc>
          <w:tcPr>
            <w:tcW w:w="5375" w:type="dxa"/>
          </w:tcPr>
          <w:p>
            <w:pPr>
              <w:pStyle w:val="TableParagraph"/>
              <w:spacing w:line="230" w:lineRule="exact" w:before="24"/>
              <w:ind w:left="282"/>
              <w:rPr>
                <w:sz w:val="20"/>
              </w:rPr>
            </w:pPr>
            <w:r>
              <w:rPr>
                <w:sz w:val="20"/>
              </w:rPr>
              <w:t>Net</w:t>
            </w:r>
            <w:r>
              <w:rPr>
                <w:spacing w:val="-4"/>
                <w:sz w:val="20"/>
              </w:rPr>
              <w:t> </w:t>
            </w:r>
            <w:r>
              <w:rPr>
                <w:sz w:val="20"/>
              </w:rPr>
              <w:t>income</w:t>
            </w:r>
            <w:r>
              <w:rPr>
                <w:spacing w:val="-3"/>
                <w:sz w:val="20"/>
              </w:rPr>
              <w:t> </w:t>
            </w:r>
            <w:r>
              <w:rPr>
                <w:sz w:val="20"/>
              </w:rPr>
              <w:t>for</w:t>
            </w:r>
            <w:r>
              <w:rPr>
                <w:spacing w:val="-4"/>
                <w:sz w:val="20"/>
              </w:rPr>
              <w:t> </w:t>
            </w:r>
            <w:r>
              <w:rPr>
                <w:sz w:val="20"/>
              </w:rPr>
              <w:t>the</w:t>
            </w:r>
            <w:r>
              <w:rPr>
                <w:spacing w:val="-3"/>
                <w:sz w:val="20"/>
              </w:rPr>
              <w:t> </w:t>
            </w:r>
            <w:r>
              <w:rPr>
                <w:sz w:val="20"/>
              </w:rPr>
              <w:t>fiscal</w:t>
            </w:r>
            <w:r>
              <w:rPr>
                <w:spacing w:val="-3"/>
                <w:sz w:val="20"/>
              </w:rPr>
              <w:t> </w:t>
            </w:r>
            <w:r>
              <w:rPr>
                <w:spacing w:val="-4"/>
                <w:sz w:val="20"/>
              </w:rPr>
              <w:t>year</w:t>
            </w:r>
          </w:p>
        </w:tc>
        <w:tc>
          <w:tcPr>
            <w:tcW w:w="1321" w:type="dxa"/>
            <w:tcBorders>
              <w:bottom w:val="single" w:sz="8" w:space="0" w:color="000000"/>
            </w:tcBorders>
          </w:tcPr>
          <w:p>
            <w:pPr>
              <w:pStyle w:val="TableParagraph"/>
              <w:spacing w:line="230" w:lineRule="exact" w:before="24"/>
              <w:ind w:right="95"/>
              <w:jc w:val="right"/>
              <w:rPr>
                <w:sz w:val="20"/>
              </w:rPr>
            </w:pPr>
            <w:r>
              <w:rPr>
                <w:spacing w:val="-2"/>
                <w:sz w:val="20"/>
              </w:rPr>
              <w:t>1,144</w:t>
            </w:r>
          </w:p>
        </w:tc>
        <w:tc>
          <w:tcPr>
            <w:tcW w:w="1365" w:type="dxa"/>
            <w:tcBorders>
              <w:bottom w:val="single" w:sz="8" w:space="0" w:color="000000"/>
            </w:tcBorders>
          </w:tcPr>
          <w:p>
            <w:pPr>
              <w:pStyle w:val="TableParagraph"/>
              <w:spacing w:line="230" w:lineRule="exact" w:before="24"/>
              <w:ind w:right="95"/>
              <w:jc w:val="right"/>
              <w:rPr>
                <w:sz w:val="20"/>
              </w:rPr>
            </w:pPr>
            <w:r>
              <w:rPr>
                <w:spacing w:val="-2"/>
                <w:sz w:val="20"/>
              </w:rPr>
              <w:t>3,990</w:t>
            </w:r>
          </w:p>
        </w:tc>
        <w:tc>
          <w:tcPr>
            <w:tcW w:w="1349" w:type="dxa"/>
            <w:tcBorders>
              <w:bottom w:val="single" w:sz="8" w:space="0" w:color="000000"/>
            </w:tcBorders>
          </w:tcPr>
          <w:p>
            <w:pPr>
              <w:pStyle w:val="TableParagraph"/>
              <w:spacing w:line="230" w:lineRule="exact" w:before="24"/>
              <w:ind w:right="79"/>
              <w:jc w:val="right"/>
              <w:rPr>
                <w:sz w:val="20"/>
              </w:rPr>
            </w:pPr>
            <w:r>
              <w:rPr>
                <w:spacing w:val="-2"/>
                <w:sz w:val="20"/>
              </w:rPr>
              <w:t>2,039</w:t>
            </w:r>
          </w:p>
        </w:tc>
      </w:tr>
      <w:tr>
        <w:trPr>
          <w:trHeight w:val="245" w:hRule="atLeast"/>
        </w:trPr>
        <w:tc>
          <w:tcPr>
            <w:tcW w:w="5375" w:type="dxa"/>
          </w:tcPr>
          <w:p>
            <w:pPr>
              <w:pStyle w:val="TableParagraph"/>
              <w:spacing w:line="210" w:lineRule="exact" w:before="15"/>
              <w:ind w:left="102"/>
              <w:rPr>
                <w:rFonts w:ascii="Arial"/>
                <w:b/>
                <w:sz w:val="20"/>
              </w:rPr>
            </w:pPr>
            <w:r>
              <w:rPr>
                <w:rFonts w:ascii="Arial"/>
                <w:b/>
                <w:sz w:val="20"/>
              </w:rPr>
              <w:t>Retained</w:t>
            </w:r>
            <w:r>
              <w:rPr>
                <w:rFonts w:ascii="Arial"/>
                <w:b/>
                <w:spacing w:val="-6"/>
                <w:sz w:val="20"/>
              </w:rPr>
              <w:t> </w:t>
            </w:r>
            <w:r>
              <w:rPr>
                <w:rFonts w:ascii="Arial"/>
                <w:b/>
                <w:sz w:val="20"/>
              </w:rPr>
              <w:t>earnings</w:t>
            </w:r>
            <w:r>
              <w:rPr>
                <w:rFonts w:ascii="Arial"/>
                <w:b/>
                <w:spacing w:val="-4"/>
                <w:sz w:val="20"/>
              </w:rPr>
              <w:t> </w:t>
            </w:r>
            <w:r>
              <w:rPr>
                <w:rFonts w:ascii="Arial"/>
                <w:b/>
                <w:sz w:val="20"/>
              </w:rPr>
              <w:t>at</w:t>
            </w:r>
            <w:r>
              <w:rPr>
                <w:rFonts w:ascii="Arial"/>
                <w:b/>
                <w:spacing w:val="-4"/>
                <w:sz w:val="20"/>
              </w:rPr>
              <w:t> </w:t>
            </w:r>
            <w:r>
              <w:rPr>
                <w:rFonts w:ascii="Arial"/>
                <w:b/>
                <w:sz w:val="20"/>
              </w:rPr>
              <w:t>the</w:t>
            </w:r>
            <w:r>
              <w:rPr>
                <w:rFonts w:ascii="Arial"/>
                <w:b/>
                <w:spacing w:val="-4"/>
                <w:sz w:val="20"/>
              </w:rPr>
              <w:t> </w:t>
            </w:r>
            <w:r>
              <w:rPr>
                <w:rFonts w:ascii="Arial"/>
                <w:b/>
                <w:sz w:val="20"/>
              </w:rPr>
              <w:t>end</w:t>
            </w:r>
            <w:r>
              <w:rPr>
                <w:rFonts w:ascii="Arial"/>
                <w:b/>
                <w:spacing w:val="-4"/>
                <w:sz w:val="20"/>
              </w:rPr>
              <w:t> </w:t>
            </w:r>
            <w:r>
              <w:rPr>
                <w:rFonts w:ascii="Arial"/>
                <w:b/>
                <w:sz w:val="20"/>
              </w:rPr>
              <w:t>of</w:t>
            </w:r>
            <w:r>
              <w:rPr>
                <w:rFonts w:ascii="Arial"/>
                <w:b/>
                <w:spacing w:val="-4"/>
                <w:sz w:val="20"/>
              </w:rPr>
              <w:t> </w:t>
            </w:r>
            <w:r>
              <w:rPr>
                <w:rFonts w:ascii="Arial"/>
                <w:b/>
                <w:sz w:val="20"/>
              </w:rPr>
              <w:t>the</w:t>
            </w:r>
            <w:r>
              <w:rPr>
                <w:rFonts w:ascii="Arial"/>
                <w:b/>
                <w:spacing w:val="-4"/>
                <w:sz w:val="20"/>
              </w:rPr>
              <w:t> </w:t>
            </w:r>
            <w:r>
              <w:rPr>
                <w:rFonts w:ascii="Arial"/>
                <w:b/>
                <w:sz w:val="20"/>
              </w:rPr>
              <w:t>fiscal</w:t>
            </w:r>
            <w:r>
              <w:rPr>
                <w:rFonts w:ascii="Arial"/>
                <w:b/>
                <w:spacing w:val="-3"/>
                <w:sz w:val="20"/>
              </w:rPr>
              <w:t> </w:t>
            </w:r>
            <w:r>
              <w:rPr>
                <w:rFonts w:ascii="Arial"/>
                <w:b/>
                <w:spacing w:val="-4"/>
                <w:sz w:val="20"/>
              </w:rPr>
              <w:t>year</w:t>
            </w:r>
          </w:p>
        </w:tc>
        <w:tc>
          <w:tcPr>
            <w:tcW w:w="1321" w:type="dxa"/>
            <w:tcBorders>
              <w:top w:val="single" w:sz="8" w:space="0" w:color="000000"/>
              <w:bottom w:val="double" w:sz="8" w:space="0" w:color="000000"/>
            </w:tcBorders>
          </w:tcPr>
          <w:p>
            <w:pPr>
              <w:pStyle w:val="TableParagraph"/>
              <w:tabs>
                <w:tab w:pos="559" w:val="left" w:leader="none"/>
              </w:tabs>
              <w:spacing w:line="210" w:lineRule="exact" w:before="15"/>
              <w:ind w:right="95"/>
              <w:jc w:val="right"/>
              <w:rPr>
                <w:sz w:val="20"/>
              </w:rPr>
            </w:pPr>
            <w:r>
              <w:rPr>
                <w:spacing w:val="-10"/>
                <w:sz w:val="20"/>
              </w:rPr>
              <w:t>$</w:t>
            </w:r>
            <w:r>
              <w:rPr>
                <w:sz w:val="20"/>
              </w:rPr>
              <w:tab/>
            </w:r>
            <w:r>
              <w:rPr>
                <w:spacing w:val="-2"/>
                <w:sz w:val="20"/>
              </w:rPr>
              <w:t>36,141</w:t>
            </w:r>
          </w:p>
        </w:tc>
        <w:tc>
          <w:tcPr>
            <w:tcW w:w="1365" w:type="dxa"/>
            <w:tcBorders>
              <w:top w:val="single" w:sz="8" w:space="0" w:color="000000"/>
              <w:bottom w:val="double" w:sz="8" w:space="0" w:color="000000"/>
            </w:tcBorders>
          </w:tcPr>
          <w:p>
            <w:pPr>
              <w:pStyle w:val="TableParagraph"/>
              <w:tabs>
                <w:tab w:pos="559" w:val="left" w:leader="none"/>
              </w:tabs>
              <w:spacing w:line="210" w:lineRule="exact" w:before="15"/>
              <w:ind w:right="95"/>
              <w:jc w:val="right"/>
              <w:rPr>
                <w:sz w:val="20"/>
              </w:rPr>
            </w:pPr>
            <w:r>
              <w:rPr>
                <w:spacing w:val="-10"/>
                <w:sz w:val="20"/>
              </w:rPr>
              <w:t>$</w:t>
            </w:r>
            <w:r>
              <w:rPr>
                <w:sz w:val="20"/>
              </w:rPr>
              <w:tab/>
            </w:r>
            <w:r>
              <w:rPr>
                <w:spacing w:val="-2"/>
                <w:sz w:val="20"/>
              </w:rPr>
              <w:t>34,997</w:t>
            </w:r>
          </w:p>
        </w:tc>
        <w:tc>
          <w:tcPr>
            <w:tcW w:w="1349" w:type="dxa"/>
            <w:tcBorders>
              <w:top w:val="single" w:sz="8" w:space="0" w:color="000000"/>
              <w:bottom w:val="double" w:sz="8" w:space="0" w:color="000000"/>
            </w:tcBorders>
          </w:tcPr>
          <w:p>
            <w:pPr>
              <w:pStyle w:val="TableParagraph"/>
              <w:tabs>
                <w:tab w:pos="559" w:val="left" w:leader="none"/>
              </w:tabs>
              <w:spacing w:line="210" w:lineRule="exact" w:before="15"/>
              <w:ind w:right="79"/>
              <w:jc w:val="right"/>
              <w:rPr>
                <w:sz w:val="20"/>
              </w:rPr>
            </w:pPr>
            <w:r>
              <w:rPr>
                <w:spacing w:val="-10"/>
                <w:sz w:val="20"/>
              </w:rPr>
              <w:t>$</w:t>
            </w:r>
            <w:r>
              <w:rPr>
                <w:sz w:val="20"/>
              </w:rPr>
              <w:tab/>
            </w:r>
            <w:r>
              <w:rPr>
                <w:spacing w:val="-2"/>
                <w:sz w:val="20"/>
              </w:rPr>
              <w:t>31,007</w:t>
            </w:r>
          </w:p>
        </w:tc>
      </w:tr>
    </w:tbl>
    <w:p>
      <w:pPr>
        <w:pStyle w:val="BodyText"/>
        <w:rPr>
          <w:rFonts w:ascii="Arial"/>
          <w:i/>
        </w:rPr>
      </w:pPr>
    </w:p>
    <w:p>
      <w:pPr>
        <w:pStyle w:val="BodyText"/>
        <w:rPr>
          <w:rFonts w:ascii="Arial"/>
          <w:i/>
        </w:rPr>
      </w:pPr>
    </w:p>
    <w:p>
      <w:pPr>
        <w:pStyle w:val="BodyText"/>
        <w:rPr>
          <w:rFonts w:ascii="Arial"/>
          <w:i/>
        </w:rPr>
      </w:pPr>
    </w:p>
    <w:p>
      <w:pPr>
        <w:pStyle w:val="BodyText"/>
        <w:rPr>
          <w:rFonts w:ascii="Arial"/>
          <w:i/>
        </w:rPr>
      </w:pPr>
    </w:p>
    <w:p>
      <w:pPr>
        <w:pStyle w:val="BodyText"/>
        <w:spacing w:before="86"/>
        <w:rPr>
          <w:rFonts w:ascii="Arial"/>
          <w:i/>
        </w:rPr>
      </w:pPr>
    </w:p>
    <w:p>
      <w:pPr>
        <w:spacing w:before="0"/>
        <w:ind w:left="1639" w:right="1632"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headerReference w:type="default" r:id="rId112"/>
          <w:pgSz w:w="12240" w:h="15840"/>
          <w:pgMar w:header="0" w:footer="0" w:top="960" w:bottom="720" w:left="720" w:right="720"/>
        </w:sectPr>
      </w:pPr>
    </w:p>
    <w:p>
      <w:pPr>
        <w:pStyle w:val="BodyText"/>
        <w:spacing w:before="24"/>
        <w:rPr>
          <w:rFonts w:ascii="Arial"/>
          <w:b/>
          <w:i/>
          <w:sz w:val="18"/>
        </w:rPr>
      </w:pPr>
      <w:r>
        <w:rPr>
          <w:rFonts w:ascii="Arial"/>
          <w:b/>
          <w:i/>
          <w:sz w:val="18"/>
        </w:rPr>
        <mc:AlternateContent>
          <mc:Choice Requires="wps">
            <w:drawing>
              <wp:anchor distT="0" distB="0" distL="0" distR="0" allowOverlap="1" layoutInCell="1" locked="0" behindDoc="0" simplePos="0" relativeHeight="15817728">
                <wp:simplePos x="0" y="0"/>
                <wp:positionH relativeFrom="page">
                  <wp:posOffset>4695825</wp:posOffset>
                </wp:positionH>
                <wp:positionV relativeFrom="page">
                  <wp:posOffset>9049384</wp:posOffset>
                </wp:positionV>
                <wp:extent cx="2162175" cy="25400"/>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2162175" cy="25400"/>
                        </a:xfrm>
                        <a:custGeom>
                          <a:avLst/>
                          <a:gdLst/>
                          <a:ahLst/>
                          <a:cxnLst/>
                          <a:rect l="l" t="t" r="r" b="b"/>
                          <a:pathLst>
                            <a:path w="2162175" h="25400">
                              <a:moveTo>
                                <a:pt x="0" y="0"/>
                              </a:moveTo>
                              <a:lnTo>
                                <a:pt x="695325" y="0"/>
                              </a:lnTo>
                            </a:path>
                            <a:path w="2162175" h="25400">
                              <a:moveTo>
                                <a:pt x="0" y="25400"/>
                              </a:moveTo>
                              <a:lnTo>
                                <a:pt x="695325" y="25400"/>
                              </a:lnTo>
                            </a:path>
                            <a:path w="2162175" h="25400">
                              <a:moveTo>
                                <a:pt x="733425" y="0"/>
                              </a:moveTo>
                              <a:lnTo>
                                <a:pt x="1428750" y="0"/>
                              </a:lnTo>
                            </a:path>
                            <a:path w="2162175" h="25400">
                              <a:moveTo>
                                <a:pt x="733425" y="25400"/>
                              </a:moveTo>
                              <a:lnTo>
                                <a:pt x="1428750" y="25400"/>
                              </a:lnTo>
                            </a:path>
                            <a:path w="2162175" h="25400">
                              <a:moveTo>
                                <a:pt x="1466850" y="0"/>
                              </a:moveTo>
                              <a:lnTo>
                                <a:pt x="2162175" y="0"/>
                              </a:lnTo>
                            </a:path>
                            <a:path w="2162175" h="25400">
                              <a:moveTo>
                                <a:pt x="1466850" y="25400"/>
                              </a:moveTo>
                              <a:lnTo>
                                <a:pt x="2162175" y="254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9.75pt;margin-top:712.549988pt;width:170.25pt;height:2pt;mso-position-horizontal-relative:page;mso-position-vertical-relative:page;z-index:15817728" id="docshape558" coordorigin="7395,14251" coordsize="3405,40" path="m7395,14251l8490,14251m7395,14291l8490,14291m8550,14251l9645,14251m8550,14291l9645,14291m9705,14251l10800,14251m9705,14291l10800,14291e" filled="false" stroked="true" strokeweight="1pt" strokecolor="#000000">
                <v:path arrowok="t"/>
                <v:stroke dashstyle="solid"/>
                <w10:wrap type="none"/>
              </v:shape>
            </w:pict>
          </mc:Fallback>
        </mc:AlternateContent>
      </w:r>
    </w:p>
    <w:p>
      <w:pPr>
        <w:tabs>
          <w:tab w:pos="8177" w:val="left" w:leader="none"/>
          <w:tab w:pos="9332" w:val="left" w:leader="none"/>
        </w:tabs>
        <w:spacing w:before="0"/>
        <w:ind w:left="7022" w:right="0" w:firstLine="0"/>
        <w:jc w:val="left"/>
        <w:rPr>
          <w:rFonts w:ascii="Arial"/>
          <w:i/>
          <w:sz w:val="18"/>
        </w:rPr>
      </w:pPr>
      <w:r>
        <w:rPr>
          <w:rFonts w:ascii="Arial"/>
          <w:i/>
          <w:sz w:val="18"/>
        </w:rPr>
        <mc:AlternateContent>
          <mc:Choice Requires="wps">
            <w:drawing>
              <wp:anchor distT="0" distB="0" distL="0" distR="0" allowOverlap="1" layoutInCell="1" locked="0" behindDoc="1" simplePos="0" relativeHeight="487674368">
                <wp:simplePos x="0" y="0"/>
                <wp:positionH relativeFrom="page">
                  <wp:posOffset>4695825</wp:posOffset>
                </wp:positionH>
                <wp:positionV relativeFrom="paragraph">
                  <wp:posOffset>149881</wp:posOffset>
                </wp:positionV>
                <wp:extent cx="2162175" cy="1270"/>
                <wp:effectExtent l="0" t="0" r="0" b="0"/>
                <wp:wrapTopAndBottom/>
                <wp:docPr id="661" name="Graphic 661"/>
                <wp:cNvGraphicFramePr>
                  <a:graphicFrameLocks/>
                </wp:cNvGraphicFramePr>
                <a:graphic>
                  <a:graphicData uri="http://schemas.microsoft.com/office/word/2010/wordprocessingShape">
                    <wps:wsp>
                      <wps:cNvPr id="661" name="Graphic 661"/>
                      <wps:cNvSpPr/>
                      <wps:spPr>
                        <a:xfrm>
                          <a:off x="0" y="0"/>
                          <a:ext cx="2162175" cy="1270"/>
                        </a:xfrm>
                        <a:custGeom>
                          <a:avLst/>
                          <a:gdLst/>
                          <a:ahLst/>
                          <a:cxnLst/>
                          <a:rect l="l" t="t" r="r" b="b"/>
                          <a:pathLst>
                            <a:path w="2162175" h="0">
                              <a:moveTo>
                                <a:pt x="0" y="0"/>
                              </a:moveTo>
                              <a:lnTo>
                                <a:pt x="695325" y="0"/>
                              </a:lnTo>
                            </a:path>
                            <a:path w="2162175" h="0">
                              <a:moveTo>
                                <a:pt x="733425" y="0"/>
                              </a:moveTo>
                              <a:lnTo>
                                <a:pt x="1428750" y="0"/>
                              </a:lnTo>
                            </a:path>
                            <a:path w="2162175" h="0">
                              <a:moveTo>
                                <a:pt x="1466850" y="0"/>
                              </a:moveTo>
                              <a:lnTo>
                                <a:pt x="21621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9.75pt;margin-top:11.801708pt;width:170.25pt;height:.1pt;mso-position-horizontal-relative:page;mso-position-vertical-relative:paragraph;z-index:-15642112;mso-wrap-distance-left:0;mso-wrap-distance-right:0" id="docshape559" coordorigin="7395,236" coordsize="3405,0" path="m7395,236l8490,236m8550,236l9645,236m9705,236l10800,236e" filled="false" stroked="true" strokeweight="1pt" strokecolor="#000000">
                <v:path arrowok="t"/>
                <v:stroke dashstyle="solid"/>
                <w10:wrap type="topAndBottom"/>
              </v:shape>
            </w:pict>
          </mc:Fallback>
        </mc:AlternateContent>
      </w:r>
      <w:bookmarkStart w:name="STATEMENTS OF CASH FLOWS " w:id="197"/>
      <w:bookmarkEnd w:id="197"/>
      <w:r>
        <w:rPr/>
      </w:r>
      <w:bookmarkStart w:name="_bookmark122" w:id="198"/>
      <w:bookmarkEnd w:id="198"/>
      <w:r>
        <w:rPr/>
      </w:r>
      <w:r>
        <w:rPr>
          <w:rFonts w:ascii="Arial"/>
          <w:i/>
          <w:spacing w:val="-4"/>
          <w:sz w:val="18"/>
        </w:rPr>
        <w:t>2023</w:t>
      </w:r>
      <w:r>
        <w:rPr>
          <w:rFonts w:ascii="Arial"/>
          <w:i/>
          <w:sz w:val="18"/>
        </w:rPr>
        <w:tab/>
      </w:r>
      <w:r>
        <w:rPr>
          <w:rFonts w:ascii="Arial"/>
          <w:i/>
          <w:spacing w:val="-4"/>
          <w:sz w:val="18"/>
        </w:rPr>
        <w:t>2022</w:t>
      </w:r>
      <w:r>
        <w:rPr>
          <w:rFonts w:ascii="Arial"/>
          <w:i/>
          <w:sz w:val="18"/>
        </w:rPr>
        <w:tab/>
      </w:r>
      <w:r>
        <w:rPr>
          <w:rFonts w:ascii="Arial"/>
          <w:i/>
          <w:spacing w:val="-4"/>
          <w:sz w:val="18"/>
        </w:rPr>
        <w:t>2021</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2"/>
        <w:gridCol w:w="1144"/>
        <w:gridCol w:w="1155"/>
        <w:gridCol w:w="1156"/>
      </w:tblGrid>
      <w:tr>
        <w:trPr>
          <w:trHeight w:val="510" w:hRule="atLeast"/>
        </w:trPr>
        <w:tc>
          <w:tcPr>
            <w:tcW w:w="5952" w:type="dxa"/>
          </w:tcPr>
          <w:p>
            <w:pPr>
              <w:pStyle w:val="TableParagraph"/>
              <w:spacing w:line="201" w:lineRule="exact"/>
              <w:ind w:left="50"/>
              <w:rPr>
                <w:rFonts w:ascii="Arial"/>
                <w:b/>
                <w:sz w:val="18"/>
              </w:rPr>
            </w:pPr>
            <w:r>
              <w:rPr>
                <w:rFonts w:ascii="Arial"/>
                <w:b/>
                <w:sz w:val="18"/>
              </w:rPr>
              <w:t>Cash</w:t>
            </w:r>
            <w:r>
              <w:rPr>
                <w:rFonts w:ascii="Arial"/>
                <w:b/>
                <w:spacing w:val="-2"/>
                <w:sz w:val="18"/>
              </w:rPr>
              <w:t> </w:t>
            </w:r>
            <w:r>
              <w:rPr>
                <w:rFonts w:ascii="Arial"/>
                <w:b/>
                <w:sz w:val="18"/>
              </w:rPr>
              <w:t>flows</w:t>
            </w:r>
            <w:r>
              <w:rPr>
                <w:rFonts w:ascii="Arial"/>
                <w:b/>
                <w:spacing w:val="-2"/>
                <w:sz w:val="18"/>
              </w:rPr>
              <w:t> </w:t>
            </w:r>
            <w:r>
              <w:rPr>
                <w:rFonts w:ascii="Arial"/>
                <w:b/>
                <w:sz w:val="18"/>
              </w:rPr>
              <w:t>from</w:t>
            </w:r>
            <w:r>
              <w:rPr>
                <w:rFonts w:ascii="Arial"/>
                <w:b/>
                <w:spacing w:val="-2"/>
                <w:sz w:val="18"/>
              </w:rPr>
              <w:t> </w:t>
            </w:r>
            <w:r>
              <w:rPr>
                <w:rFonts w:ascii="Arial"/>
                <w:b/>
                <w:sz w:val="18"/>
              </w:rPr>
              <w:t>investing</w:t>
            </w:r>
            <w:r>
              <w:rPr>
                <w:rFonts w:ascii="Arial"/>
                <w:b/>
                <w:spacing w:val="-1"/>
                <w:sz w:val="18"/>
              </w:rPr>
              <w:t> </w:t>
            </w:r>
            <w:r>
              <w:rPr>
                <w:rFonts w:ascii="Arial"/>
                <w:b/>
                <w:spacing w:val="-2"/>
                <w:sz w:val="18"/>
              </w:rPr>
              <w:t>activities</w:t>
            </w:r>
          </w:p>
          <w:p>
            <w:pPr>
              <w:pStyle w:val="TableParagraph"/>
              <w:spacing w:before="48"/>
              <w:ind w:left="230"/>
              <w:rPr>
                <w:sz w:val="18"/>
              </w:rPr>
            </w:pPr>
            <w:r>
              <w:rPr>
                <w:spacing w:val="-2"/>
                <w:sz w:val="18"/>
              </w:rPr>
              <w:t>Loans</w:t>
            </w:r>
          </w:p>
        </w:tc>
        <w:tc>
          <w:tcPr>
            <w:tcW w:w="3455" w:type="dxa"/>
            <w:gridSpan w:val="3"/>
          </w:tcPr>
          <w:p>
            <w:pPr>
              <w:pStyle w:val="TableParagraph"/>
              <w:rPr>
                <w:rFonts w:ascii="Times New Roman"/>
                <w:sz w:val="18"/>
              </w:rPr>
            </w:pPr>
          </w:p>
        </w:tc>
      </w:tr>
      <w:tr>
        <w:trPr>
          <w:trHeight w:val="228" w:hRule="atLeast"/>
        </w:trPr>
        <w:tc>
          <w:tcPr>
            <w:tcW w:w="5952" w:type="dxa"/>
          </w:tcPr>
          <w:p>
            <w:pPr>
              <w:pStyle w:val="TableParagraph"/>
              <w:spacing w:line="201" w:lineRule="exact"/>
              <w:ind w:left="410"/>
              <w:rPr>
                <w:sz w:val="18"/>
              </w:rPr>
            </w:pPr>
            <w:r>
              <w:rPr>
                <w:spacing w:val="-2"/>
                <w:sz w:val="18"/>
              </w:rPr>
              <w:t>Disbursements</w:t>
            </w:r>
          </w:p>
        </w:tc>
        <w:tc>
          <w:tcPr>
            <w:tcW w:w="1144" w:type="dxa"/>
          </w:tcPr>
          <w:p>
            <w:pPr>
              <w:pStyle w:val="TableParagraph"/>
              <w:tabs>
                <w:tab w:pos="357" w:val="left" w:leader="none"/>
              </w:tabs>
              <w:spacing w:line="201" w:lineRule="exact"/>
              <w:ind w:right="60"/>
              <w:jc w:val="right"/>
              <w:rPr>
                <w:sz w:val="18"/>
              </w:rPr>
            </w:pPr>
            <w:r>
              <w:rPr>
                <w:spacing w:val="-10"/>
                <w:sz w:val="18"/>
              </w:rPr>
              <w:t>$</w:t>
            </w:r>
            <w:r>
              <w:rPr>
                <w:sz w:val="18"/>
              </w:rPr>
              <w:tab/>
            </w:r>
            <w:r>
              <w:rPr>
                <w:spacing w:val="-2"/>
                <w:sz w:val="18"/>
              </w:rPr>
              <w:t>(25,465)</w:t>
            </w:r>
          </w:p>
        </w:tc>
        <w:tc>
          <w:tcPr>
            <w:tcW w:w="1155" w:type="dxa"/>
          </w:tcPr>
          <w:p>
            <w:pPr>
              <w:pStyle w:val="TableParagraph"/>
              <w:tabs>
                <w:tab w:pos="357" w:val="left" w:leader="none"/>
              </w:tabs>
              <w:spacing w:line="201" w:lineRule="exact"/>
              <w:ind w:right="60"/>
              <w:jc w:val="right"/>
              <w:rPr>
                <w:sz w:val="18"/>
              </w:rPr>
            </w:pPr>
            <w:r>
              <w:rPr>
                <w:spacing w:val="-10"/>
                <w:sz w:val="18"/>
              </w:rPr>
              <w:t>$</w:t>
            </w:r>
            <w:r>
              <w:rPr>
                <w:sz w:val="18"/>
              </w:rPr>
              <w:tab/>
            </w:r>
            <w:r>
              <w:rPr>
                <w:spacing w:val="-2"/>
                <w:sz w:val="18"/>
              </w:rPr>
              <w:t>(28,115)</w:t>
            </w:r>
          </w:p>
        </w:tc>
        <w:tc>
          <w:tcPr>
            <w:tcW w:w="1156" w:type="dxa"/>
          </w:tcPr>
          <w:p>
            <w:pPr>
              <w:pStyle w:val="TableParagraph"/>
              <w:tabs>
                <w:tab w:pos="357" w:val="left" w:leader="none"/>
              </w:tabs>
              <w:spacing w:line="201" w:lineRule="exact"/>
              <w:ind w:right="61"/>
              <w:jc w:val="right"/>
              <w:rPr>
                <w:sz w:val="18"/>
              </w:rPr>
            </w:pPr>
            <w:r>
              <w:rPr>
                <w:spacing w:val="-10"/>
                <w:sz w:val="18"/>
              </w:rPr>
              <w:t>$</w:t>
            </w:r>
            <w:r>
              <w:rPr>
                <w:sz w:val="18"/>
              </w:rPr>
              <w:tab/>
            </w:r>
            <w:r>
              <w:rPr>
                <w:spacing w:val="-2"/>
                <w:sz w:val="18"/>
              </w:rPr>
              <w:t>(23,651)</w:t>
            </w:r>
          </w:p>
        </w:tc>
      </w:tr>
      <w:tr>
        <w:trPr>
          <w:trHeight w:val="255" w:hRule="atLeast"/>
        </w:trPr>
        <w:tc>
          <w:tcPr>
            <w:tcW w:w="5952" w:type="dxa"/>
          </w:tcPr>
          <w:p>
            <w:pPr>
              <w:pStyle w:val="TableParagraph"/>
              <w:spacing w:before="21"/>
              <w:ind w:left="410"/>
              <w:rPr>
                <w:sz w:val="18"/>
              </w:rPr>
            </w:pPr>
            <w:r>
              <w:rPr>
                <w:sz w:val="18"/>
              </w:rPr>
              <w:t>Principal</w:t>
            </w:r>
            <w:r>
              <w:rPr>
                <w:spacing w:val="-5"/>
                <w:sz w:val="18"/>
              </w:rPr>
              <w:t> </w:t>
            </w:r>
            <w:r>
              <w:rPr>
                <w:spacing w:val="-2"/>
                <w:sz w:val="18"/>
              </w:rPr>
              <w:t>repayments</w:t>
            </w:r>
          </w:p>
        </w:tc>
        <w:tc>
          <w:tcPr>
            <w:tcW w:w="1144" w:type="dxa"/>
          </w:tcPr>
          <w:p>
            <w:pPr>
              <w:pStyle w:val="TableParagraph"/>
              <w:spacing w:before="21"/>
              <w:ind w:right="120"/>
              <w:jc w:val="right"/>
              <w:rPr>
                <w:sz w:val="18"/>
              </w:rPr>
            </w:pPr>
            <w:r>
              <w:rPr>
                <w:spacing w:val="-2"/>
                <w:sz w:val="18"/>
              </w:rPr>
              <w:t>12,296</w:t>
            </w:r>
          </w:p>
        </w:tc>
        <w:tc>
          <w:tcPr>
            <w:tcW w:w="1155" w:type="dxa"/>
          </w:tcPr>
          <w:p>
            <w:pPr>
              <w:pStyle w:val="TableParagraph"/>
              <w:spacing w:before="21"/>
              <w:ind w:right="120"/>
              <w:jc w:val="right"/>
              <w:rPr>
                <w:sz w:val="18"/>
              </w:rPr>
            </w:pPr>
            <w:r>
              <w:rPr>
                <w:spacing w:val="-2"/>
                <w:sz w:val="18"/>
              </w:rPr>
              <w:t>12,797</w:t>
            </w:r>
          </w:p>
        </w:tc>
        <w:tc>
          <w:tcPr>
            <w:tcW w:w="1156" w:type="dxa"/>
          </w:tcPr>
          <w:p>
            <w:pPr>
              <w:pStyle w:val="TableParagraph"/>
              <w:spacing w:before="21"/>
              <w:ind w:right="121"/>
              <w:jc w:val="right"/>
              <w:rPr>
                <w:sz w:val="18"/>
              </w:rPr>
            </w:pPr>
            <w:r>
              <w:rPr>
                <w:spacing w:val="-2"/>
                <w:sz w:val="18"/>
              </w:rPr>
              <w:t>10,020</w:t>
            </w:r>
          </w:p>
        </w:tc>
      </w:tr>
      <w:tr>
        <w:trPr>
          <w:trHeight w:val="255" w:hRule="atLeast"/>
        </w:trPr>
        <w:tc>
          <w:tcPr>
            <w:tcW w:w="5952" w:type="dxa"/>
          </w:tcPr>
          <w:p>
            <w:pPr>
              <w:pStyle w:val="TableParagraph"/>
              <w:spacing w:before="21"/>
              <w:ind w:left="410"/>
              <w:rPr>
                <w:sz w:val="18"/>
              </w:rPr>
            </w:pPr>
            <w:r>
              <w:rPr>
                <w:sz w:val="18"/>
              </w:rPr>
              <w:t>Principal</w:t>
            </w:r>
            <w:r>
              <w:rPr>
                <w:spacing w:val="-5"/>
                <w:sz w:val="18"/>
              </w:rPr>
              <w:t> </w:t>
            </w:r>
            <w:r>
              <w:rPr>
                <w:spacing w:val="-2"/>
                <w:sz w:val="18"/>
              </w:rPr>
              <w:t>prepayments</w:t>
            </w:r>
          </w:p>
        </w:tc>
        <w:tc>
          <w:tcPr>
            <w:tcW w:w="1144" w:type="dxa"/>
          </w:tcPr>
          <w:p>
            <w:pPr>
              <w:pStyle w:val="TableParagraph"/>
              <w:spacing w:before="21"/>
              <w:ind w:right="121"/>
              <w:jc w:val="right"/>
              <w:rPr>
                <w:sz w:val="18"/>
              </w:rPr>
            </w:pPr>
            <w:r>
              <w:rPr>
                <w:spacing w:val="-5"/>
                <w:sz w:val="18"/>
              </w:rPr>
              <w:t>472</w:t>
            </w:r>
          </w:p>
        </w:tc>
        <w:tc>
          <w:tcPr>
            <w:tcW w:w="1155" w:type="dxa"/>
          </w:tcPr>
          <w:p>
            <w:pPr>
              <w:pStyle w:val="TableParagraph"/>
              <w:spacing w:before="21"/>
              <w:ind w:right="121"/>
              <w:jc w:val="right"/>
              <w:rPr>
                <w:sz w:val="18"/>
              </w:rPr>
            </w:pPr>
            <w:r>
              <w:rPr>
                <w:spacing w:val="-5"/>
                <w:sz w:val="18"/>
              </w:rPr>
              <w:t>495</w:t>
            </w:r>
          </w:p>
        </w:tc>
        <w:tc>
          <w:tcPr>
            <w:tcW w:w="1156" w:type="dxa"/>
          </w:tcPr>
          <w:p>
            <w:pPr>
              <w:pStyle w:val="TableParagraph"/>
              <w:spacing w:before="21"/>
              <w:ind w:right="122"/>
              <w:jc w:val="right"/>
              <w:rPr>
                <w:sz w:val="18"/>
              </w:rPr>
            </w:pPr>
            <w:r>
              <w:rPr>
                <w:spacing w:val="-5"/>
                <w:sz w:val="18"/>
              </w:rPr>
              <w:t>81</w:t>
            </w:r>
          </w:p>
        </w:tc>
      </w:tr>
      <w:tr>
        <w:trPr>
          <w:trHeight w:val="255" w:hRule="atLeast"/>
        </w:trPr>
        <w:tc>
          <w:tcPr>
            <w:tcW w:w="5952" w:type="dxa"/>
          </w:tcPr>
          <w:p>
            <w:pPr>
              <w:pStyle w:val="TableParagraph"/>
              <w:spacing w:before="21"/>
              <w:ind w:left="410"/>
              <w:rPr>
                <w:sz w:val="18"/>
              </w:rPr>
            </w:pPr>
            <w:r>
              <w:rPr>
                <w:sz w:val="18"/>
              </w:rPr>
              <w:t>Loan</w:t>
            </w:r>
            <w:r>
              <w:rPr>
                <w:spacing w:val="-5"/>
                <w:sz w:val="18"/>
              </w:rPr>
              <w:t> </w:t>
            </w:r>
            <w:r>
              <w:rPr>
                <w:sz w:val="18"/>
              </w:rPr>
              <w:t>origination</w:t>
            </w:r>
            <w:r>
              <w:rPr>
                <w:spacing w:val="-4"/>
                <w:sz w:val="18"/>
              </w:rPr>
              <w:t> </w:t>
            </w:r>
            <w:r>
              <w:rPr>
                <w:sz w:val="18"/>
              </w:rPr>
              <w:t>fees</w:t>
            </w:r>
            <w:r>
              <w:rPr>
                <w:spacing w:val="-4"/>
                <w:sz w:val="18"/>
              </w:rPr>
              <w:t> </w:t>
            </w:r>
            <w:r>
              <w:rPr>
                <w:spacing w:val="-2"/>
                <w:sz w:val="18"/>
              </w:rPr>
              <w:t>received</w:t>
            </w:r>
          </w:p>
        </w:tc>
        <w:tc>
          <w:tcPr>
            <w:tcW w:w="1144" w:type="dxa"/>
          </w:tcPr>
          <w:p>
            <w:pPr>
              <w:pStyle w:val="TableParagraph"/>
              <w:spacing w:before="21"/>
              <w:ind w:right="121"/>
              <w:jc w:val="right"/>
              <w:rPr>
                <w:sz w:val="18"/>
              </w:rPr>
            </w:pPr>
            <w:r>
              <w:rPr>
                <w:spacing w:val="-5"/>
                <w:sz w:val="18"/>
              </w:rPr>
              <w:t>27</w:t>
            </w:r>
          </w:p>
        </w:tc>
        <w:tc>
          <w:tcPr>
            <w:tcW w:w="1155" w:type="dxa"/>
          </w:tcPr>
          <w:p>
            <w:pPr>
              <w:pStyle w:val="TableParagraph"/>
              <w:spacing w:before="21"/>
              <w:ind w:right="121"/>
              <w:jc w:val="right"/>
              <w:rPr>
                <w:sz w:val="18"/>
              </w:rPr>
            </w:pPr>
            <w:r>
              <w:rPr>
                <w:spacing w:val="-5"/>
                <w:sz w:val="18"/>
              </w:rPr>
              <w:t>28</w:t>
            </w:r>
          </w:p>
        </w:tc>
        <w:tc>
          <w:tcPr>
            <w:tcW w:w="1156" w:type="dxa"/>
          </w:tcPr>
          <w:p>
            <w:pPr>
              <w:pStyle w:val="TableParagraph"/>
              <w:spacing w:before="21"/>
              <w:ind w:right="122"/>
              <w:jc w:val="right"/>
              <w:rPr>
                <w:sz w:val="18"/>
              </w:rPr>
            </w:pPr>
            <w:r>
              <w:rPr>
                <w:spacing w:val="-5"/>
                <w:sz w:val="18"/>
              </w:rPr>
              <w:t>24</w:t>
            </w:r>
          </w:p>
        </w:tc>
      </w:tr>
      <w:tr>
        <w:trPr>
          <w:trHeight w:val="255" w:hRule="atLeast"/>
        </w:trPr>
        <w:tc>
          <w:tcPr>
            <w:tcW w:w="5952" w:type="dxa"/>
          </w:tcPr>
          <w:p>
            <w:pPr>
              <w:pStyle w:val="TableParagraph"/>
              <w:spacing w:before="21"/>
              <w:ind w:left="230"/>
              <w:rPr>
                <w:sz w:val="18"/>
              </w:rPr>
            </w:pPr>
            <w:r>
              <w:rPr>
                <w:sz w:val="18"/>
              </w:rPr>
              <w:t>Net</w:t>
            </w:r>
            <w:r>
              <w:rPr>
                <w:spacing w:val="-8"/>
                <w:sz w:val="18"/>
              </w:rPr>
              <w:t> </w:t>
            </w:r>
            <w:r>
              <w:rPr>
                <w:sz w:val="18"/>
              </w:rPr>
              <w:t>derivatives-</w:t>
            </w:r>
            <w:r>
              <w:rPr>
                <w:spacing w:val="-2"/>
                <w:sz w:val="18"/>
              </w:rPr>
              <w:t>loans</w:t>
            </w:r>
          </w:p>
        </w:tc>
        <w:tc>
          <w:tcPr>
            <w:tcW w:w="1144" w:type="dxa"/>
          </w:tcPr>
          <w:p>
            <w:pPr>
              <w:pStyle w:val="TableParagraph"/>
              <w:spacing w:before="21"/>
              <w:ind w:right="121"/>
              <w:jc w:val="right"/>
              <w:rPr>
                <w:sz w:val="18"/>
              </w:rPr>
            </w:pPr>
            <w:r>
              <w:rPr>
                <w:spacing w:val="-5"/>
                <w:sz w:val="18"/>
              </w:rPr>
              <w:t>66</w:t>
            </w:r>
          </w:p>
        </w:tc>
        <w:tc>
          <w:tcPr>
            <w:tcW w:w="1155" w:type="dxa"/>
          </w:tcPr>
          <w:p>
            <w:pPr>
              <w:pStyle w:val="TableParagraph"/>
              <w:spacing w:before="21"/>
              <w:ind w:right="121"/>
              <w:jc w:val="right"/>
              <w:rPr>
                <w:sz w:val="18"/>
              </w:rPr>
            </w:pPr>
            <w:r>
              <w:rPr>
                <w:spacing w:val="-5"/>
                <w:sz w:val="18"/>
              </w:rPr>
              <w:t>147</w:t>
            </w:r>
          </w:p>
        </w:tc>
        <w:tc>
          <w:tcPr>
            <w:tcW w:w="1156" w:type="dxa"/>
          </w:tcPr>
          <w:p>
            <w:pPr>
              <w:pStyle w:val="TableParagraph"/>
              <w:spacing w:before="21"/>
              <w:ind w:right="122"/>
              <w:jc w:val="right"/>
              <w:rPr>
                <w:sz w:val="18"/>
              </w:rPr>
            </w:pPr>
            <w:r>
              <w:rPr>
                <w:spacing w:val="-5"/>
                <w:sz w:val="18"/>
              </w:rPr>
              <w:t>64</w:t>
            </w:r>
          </w:p>
        </w:tc>
      </w:tr>
      <w:tr>
        <w:trPr>
          <w:trHeight w:val="247" w:hRule="atLeast"/>
        </w:trPr>
        <w:tc>
          <w:tcPr>
            <w:tcW w:w="5952" w:type="dxa"/>
          </w:tcPr>
          <w:p>
            <w:pPr>
              <w:pStyle w:val="TableParagraph"/>
              <w:spacing w:line="207" w:lineRule="exact" w:before="21"/>
              <w:ind w:left="230"/>
              <w:rPr>
                <w:sz w:val="18"/>
              </w:rPr>
            </w:pPr>
            <w:r>
              <w:rPr>
                <w:sz w:val="18"/>
              </w:rPr>
              <w:t>Other</w:t>
            </w:r>
            <w:r>
              <w:rPr>
                <w:spacing w:val="-4"/>
                <w:sz w:val="18"/>
              </w:rPr>
              <w:t> </w:t>
            </w:r>
            <w:r>
              <w:rPr>
                <w:sz w:val="18"/>
              </w:rPr>
              <w:t>investing</w:t>
            </w:r>
            <w:r>
              <w:rPr>
                <w:spacing w:val="-4"/>
                <w:sz w:val="18"/>
              </w:rPr>
              <w:t> </w:t>
            </w:r>
            <w:r>
              <w:rPr>
                <w:sz w:val="18"/>
              </w:rPr>
              <w:t>activities,</w:t>
            </w:r>
            <w:r>
              <w:rPr>
                <w:spacing w:val="-4"/>
                <w:sz w:val="18"/>
              </w:rPr>
              <w:t> </w:t>
            </w:r>
            <w:r>
              <w:rPr>
                <w:spacing w:val="-5"/>
                <w:sz w:val="18"/>
              </w:rPr>
              <w:t>net</w:t>
            </w:r>
          </w:p>
        </w:tc>
        <w:tc>
          <w:tcPr>
            <w:tcW w:w="1144" w:type="dxa"/>
            <w:tcBorders>
              <w:bottom w:val="single" w:sz="8" w:space="0" w:color="000000"/>
            </w:tcBorders>
          </w:tcPr>
          <w:p>
            <w:pPr>
              <w:pStyle w:val="TableParagraph"/>
              <w:spacing w:line="207" w:lineRule="exact" w:before="21"/>
              <w:ind w:right="61"/>
              <w:jc w:val="right"/>
              <w:rPr>
                <w:sz w:val="18"/>
              </w:rPr>
            </w:pPr>
            <w:r>
              <w:rPr>
                <w:spacing w:val="-2"/>
                <w:sz w:val="18"/>
              </w:rPr>
              <w:t>(141)</w:t>
            </w:r>
          </w:p>
        </w:tc>
        <w:tc>
          <w:tcPr>
            <w:tcW w:w="1155" w:type="dxa"/>
            <w:tcBorders>
              <w:bottom w:val="single" w:sz="8" w:space="0" w:color="000000"/>
            </w:tcBorders>
          </w:tcPr>
          <w:p>
            <w:pPr>
              <w:pStyle w:val="TableParagraph"/>
              <w:spacing w:line="207" w:lineRule="exact" w:before="21"/>
              <w:ind w:right="61"/>
              <w:jc w:val="right"/>
              <w:rPr>
                <w:sz w:val="18"/>
              </w:rPr>
            </w:pPr>
            <w:r>
              <w:rPr>
                <w:spacing w:val="-2"/>
                <w:sz w:val="18"/>
              </w:rPr>
              <w:t>(163)</w:t>
            </w:r>
          </w:p>
        </w:tc>
        <w:tc>
          <w:tcPr>
            <w:tcW w:w="1156" w:type="dxa"/>
            <w:tcBorders>
              <w:bottom w:val="single" w:sz="8" w:space="0" w:color="000000"/>
            </w:tcBorders>
          </w:tcPr>
          <w:p>
            <w:pPr>
              <w:pStyle w:val="TableParagraph"/>
              <w:spacing w:line="207" w:lineRule="exact" w:before="21"/>
              <w:ind w:right="62"/>
              <w:jc w:val="right"/>
              <w:rPr>
                <w:sz w:val="18"/>
              </w:rPr>
            </w:pPr>
            <w:r>
              <w:rPr>
                <w:spacing w:val="-2"/>
                <w:sz w:val="18"/>
              </w:rPr>
              <w:t>(175)</w:t>
            </w:r>
          </w:p>
        </w:tc>
      </w:tr>
      <w:tr>
        <w:trPr>
          <w:trHeight w:val="235" w:hRule="atLeast"/>
        </w:trPr>
        <w:tc>
          <w:tcPr>
            <w:tcW w:w="5952" w:type="dxa"/>
          </w:tcPr>
          <w:p>
            <w:pPr>
              <w:pStyle w:val="TableParagraph"/>
              <w:spacing w:line="207" w:lineRule="exact" w:before="8"/>
              <w:ind w:left="590"/>
              <w:rPr>
                <w:sz w:val="18"/>
              </w:rPr>
            </w:pPr>
            <w:r>
              <w:rPr>
                <w:sz w:val="18"/>
              </w:rPr>
              <w:t>Net</w:t>
            </w:r>
            <w:r>
              <w:rPr>
                <w:spacing w:val="-3"/>
                <w:sz w:val="18"/>
              </w:rPr>
              <w:t> </w:t>
            </w:r>
            <w:r>
              <w:rPr>
                <w:sz w:val="18"/>
              </w:rPr>
              <w:t>cash</w:t>
            </w:r>
            <w:r>
              <w:rPr>
                <w:spacing w:val="-2"/>
                <w:sz w:val="18"/>
              </w:rPr>
              <w:t> </w:t>
            </w:r>
            <w:r>
              <w:rPr>
                <w:sz w:val="18"/>
              </w:rPr>
              <w:t>used</w:t>
            </w:r>
            <w:r>
              <w:rPr>
                <w:spacing w:val="-2"/>
                <w:sz w:val="18"/>
              </w:rPr>
              <w:t> </w:t>
            </w:r>
            <w:r>
              <w:rPr>
                <w:sz w:val="18"/>
              </w:rPr>
              <w:t>in</w:t>
            </w:r>
            <w:r>
              <w:rPr>
                <w:spacing w:val="-2"/>
                <w:sz w:val="18"/>
              </w:rPr>
              <w:t> </w:t>
            </w:r>
            <w:r>
              <w:rPr>
                <w:sz w:val="18"/>
              </w:rPr>
              <w:t>investing</w:t>
            </w:r>
            <w:r>
              <w:rPr>
                <w:spacing w:val="-2"/>
                <w:sz w:val="18"/>
              </w:rPr>
              <w:t> activities</w:t>
            </w:r>
          </w:p>
        </w:tc>
        <w:tc>
          <w:tcPr>
            <w:tcW w:w="1144" w:type="dxa"/>
            <w:tcBorders>
              <w:top w:val="single" w:sz="8" w:space="0" w:color="000000"/>
              <w:bottom w:val="single" w:sz="8" w:space="0" w:color="000000"/>
            </w:tcBorders>
          </w:tcPr>
          <w:p>
            <w:pPr>
              <w:pStyle w:val="TableParagraph"/>
              <w:spacing w:line="207" w:lineRule="exact" w:before="8"/>
              <w:ind w:right="61"/>
              <w:jc w:val="right"/>
              <w:rPr>
                <w:sz w:val="18"/>
              </w:rPr>
            </w:pPr>
            <w:r>
              <w:rPr>
                <w:spacing w:val="-2"/>
                <w:sz w:val="18"/>
              </w:rPr>
              <w:t>(12,745)</w:t>
            </w:r>
          </w:p>
        </w:tc>
        <w:tc>
          <w:tcPr>
            <w:tcW w:w="1155" w:type="dxa"/>
            <w:tcBorders>
              <w:top w:val="single" w:sz="8" w:space="0" w:color="000000"/>
              <w:bottom w:val="single" w:sz="8" w:space="0" w:color="000000"/>
            </w:tcBorders>
          </w:tcPr>
          <w:p>
            <w:pPr>
              <w:pStyle w:val="TableParagraph"/>
              <w:spacing w:line="207" w:lineRule="exact" w:before="8"/>
              <w:ind w:right="61"/>
              <w:jc w:val="right"/>
              <w:rPr>
                <w:sz w:val="18"/>
              </w:rPr>
            </w:pPr>
            <w:r>
              <w:rPr>
                <w:spacing w:val="-2"/>
                <w:sz w:val="18"/>
              </w:rPr>
              <w:t>(14,811)</w:t>
            </w:r>
          </w:p>
        </w:tc>
        <w:tc>
          <w:tcPr>
            <w:tcW w:w="1156" w:type="dxa"/>
            <w:tcBorders>
              <w:top w:val="single" w:sz="8" w:space="0" w:color="000000"/>
              <w:bottom w:val="single" w:sz="8" w:space="0" w:color="000000"/>
            </w:tcBorders>
          </w:tcPr>
          <w:p>
            <w:pPr>
              <w:pStyle w:val="TableParagraph"/>
              <w:spacing w:line="207" w:lineRule="exact" w:before="8"/>
              <w:ind w:right="62"/>
              <w:jc w:val="right"/>
              <w:rPr>
                <w:sz w:val="18"/>
              </w:rPr>
            </w:pPr>
            <w:r>
              <w:rPr>
                <w:spacing w:val="-2"/>
                <w:sz w:val="18"/>
              </w:rPr>
              <w:t>(13,637)</w:t>
            </w:r>
          </w:p>
        </w:tc>
      </w:tr>
      <w:tr>
        <w:trPr>
          <w:trHeight w:val="470" w:hRule="atLeast"/>
        </w:trPr>
        <w:tc>
          <w:tcPr>
            <w:tcW w:w="5952" w:type="dxa"/>
          </w:tcPr>
          <w:p>
            <w:pPr>
              <w:pStyle w:val="TableParagraph"/>
              <w:spacing w:before="8"/>
              <w:ind w:right="2779"/>
              <w:jc w:val="center"/>
              <w:rPr>
                <w:rFonts w:ascii="Arial"/>
                <w:b/>
                <w:sz w:val="18"/>
              </w:rPr>
            </w:pPr>
            <w:r>
              <w:rPr>
                <w:rFonts w:ascii="Arial"/>
                <w:b/>
                <w:sz w:val="18"/>
              </w:rPr>
              <w:t>Cash</w:t>
            </w:r>
            <w:r>
              <w:rPr>
                <w:rFonts w:ascii="Arial"/>
                <w:b/>
                <w:spacing w:val="-2"/>
                <w:sz w:val="18"/>
              </w:rPr>
              <w:t> </w:t>
            </w:r>
            <w:r>
              <w:rPr>
                <w:rFonts w:ascii="Arial"/>
                <w:b/>
                <w:sz w:val="18"/>
              </w:rPr>
              <w:t>flows</w:t>
            </w:r>
            <w:r>
              <w:rPr>
                <w:rFonts w:ascii="Arial"/>
                <w:b/>
                <w:spacing w:val="-1"/>
                <w:sz w:val="18"/>
              </w:rPr>
              <w:t> </w:t>
            </w:r>
            <w:r>
              <w:rPr>
                <w:rFonts w:ascii="Arial"/>
                <w:b/>
                <w:sz w:val="18"/>
              </w:rPr>
              <w:t>from</w:t>
            </w:r>
            <w:r>
              <w:rPr>
                <w:rFonts w:ascii="Arial"/>
                <w:b/>
                <w:spacing w:val="-2"/>
                <w:sz w:val="18"/>
              </w:rPr>
              <w:t> </w:t>
            </w:r>
            <w:r>
              <w:rPr>
                <w:rFonts w:ascii="Arial"/>
                <w:b/>
                <w:sz w:val="18"/>
              </w:rPr>
              <w:t>financing</w:t>
            </w:r>
            <w:r>
              <w:rPr>
                <w:rFonts w:ascii="Arial"/>
                <w:b/>
                <w:spacing w:val="-1"/>
                <w:sz w:val="18"/>
              </w:rPr>
              <w:t> </w:t>
            </w:r>
            <w:r>
              <w:rPr>
                <w:rFonts w:ascii="Arial"/>
                <w:b/>
                <w:spacing w:val="-2"/>
                <w:sz w:val="18"/>
              </w:rPr>
              <w:t>activities</w:t>
            </w:r>
          </w:p>
          <w:p>
            <w:pPr>
              <w:pStyle w:val="TableParagraph"/>
              <w:spacing w:line="187" w:lineRule="exact" w:before="48"/>
              <w:ind w:left="20" w:right="2779"/>
              <w:jc w:val="center"/>
              <w:rPr>
                <w:sz w:val="18"/>
              </w:rPr>
            </w:pPr>
            <w:r>
              <w:rPr>
                <w:sz w:val="18"/>
              </w:rPr>
              <w:t>Medium</w:t>
            </w:r>
            <w:r>
              <w:rPr>
                <w:spacing w:val="-4"/>
                <w:sz w:val="18"/>
              </w:rPr>
              <w:t> </w:t>
            </w:r>
            <w:r>
              <w:rPr>
                <w:sz w:val="18"/>
              </w:rPr>
              <w:t>and</w:t>
            </w:r>
            <w:r>
              <w:rPr>
                <w:spacing w:val="-4"/>
                <w:sz w:val="18"/>
              </w:rPr>
              <w:t> </w:t>
            </w:r>
            <w:r>
              <w:rPr>
                <w:sz w:val="18"/>
              </w:rPr>
              <w:t>long-term</w:t>
            </w:r>
            <w:r>
              <w:rPr>
                <w:spacing w:val="-3"/>
                <w:sz w:val="18"/>
              </w:rPr>
              <w:t> </w:t>
            </w:r>
            <w:r>
              <w:rPr>
                <w:spacing w:val="-2"/>
                <w:sz w:val="18"/>
              </w:rPr>
              <w:t>borrowings</w:t>
            </w:r>
          </w:p>
        </w:tc>
        <w:tc>
          <w:tcPr>
            <w:tcW w:w="1144" w:type="dxa"/>
          </w:tcPr>
          <w:p>
            <w:pPr>
              <w:pStyle w:val="TableParagraph"/>
              <w:rPr>
                <w:rFonts w:ascii="Times New Roman"/>
                <w:sz w:val="18"/>
              </w:rPr>
            </w:pPr>
          </w:p>
        </w:tc>
        <w:tc>
          <w:tcPr>
            <w:tcW w:w="1155" w:type="dxa"/>
          </w:tcPr>
          <w:p>
            <w:pPr>
              <w:pStyle w:val="TableParagraph"/>
              <w:rPr>
                <w:rFonts w:ascii="Times New Roman"/>
                <w:sz w:val="18"/>
              </w:rPr>
            </w:pPr>
          </w:p>
        </w:tc>
        <w:tc>
          <w:tcPr>
            <w:tcW w:w="1156" w:type="dxa"/>
          </w:tcPr>
          <w:p>
            <w:pPr>
              <w:pStyle w:val="TableParagraph"/>
              <w:rPr>
                <w:rFonts w:ascii="Times New Roman"/>
                <w:sz w:val="18"/>
              </w:rPr>
            </w:pPr>
          </w:p>
        </w:tc>
      </w:tr>
      <w:tr>
        <w:trPr>
          <w:trHeight w:val="281" w:hRule="atLeast"/>
        </w:trPr>
        <w:tc>
          <w:tcPr>
            <w:tcW w:w="5952" w:type="dxa"/>
          </w:tcPr>
          <w:p>
            <w:pPr>
              <w:pStyle w:val="TableParagraph"/>
              <w:spacing w:before="48"/>
              <w:ind w:left="410"/>
              <w:rPr>
                <w:sz w:val="18"/>
              </w:rPr>
            </w:pPr>
            <w:r>
              <w:rPr>
                <w:sz w:val="18"/>
              </w:rPr>
              <w:t>New</w:t>
            </w:r>
            <w:r>
              <w:rPr>
                <w:spacing w:val="-2"/>
                <w:sz w:val="18"/>
              </w:rPr>
              <w:t> issues</w:t>
            </w:r>
          </w:p>
        </w:tc>
        <w:tc>
          <w:tcPr>
            <w:tcW w:w="1144" w:type="dxa"/>
          </w:tcPr>
          <w:p>
            <w:pPr>
              <w:pStyle w:val="TableParagraph"/>
              <w:spacing w:before="48"/>
              <w:ind w:right="120"/>
              <w:jc w:val="right"/>
              <w:rPr>
                <w:sz w:val="18"/>
              </w:rPr>
            </w:pPr>
            <w:r>
              <w:rPr>
                <w:spacing w:val="-2"/>
                <w:sz w:val="18"/>
              </w:rPr>
              <w:t>42,056</w:t>
            </w:r>
          </w:p>
        </w:tc>
        <w:tc>
          <w:tcPr>
            <w:tcW w:w="1155" w:type="dxa"/>
          </w:tcPr>
          <w:p>
            <w:pPr>
              <w:pStyle w:val="TableParagraph"/>
              <w:spacing w:before="48"/>
              <w:ind w:right="120"/>
              <w:jc w:val="right"/>
              <w:rPr>
                <w:sz w:val="18"/>
              </w:rPr>
            </w:pPr>
            <w:r>
              <w:rPr>
                <w:spacing w:val="-2"/>
                <w:sz w:val="18"/>
              </w:rPr>
              <w:t>40,715</w:t>
            </w:r>
          </w:p>
        </w:tc>
        <w:tc>
          <w:tcPr>
            <w:tcW w:w="1156" w:type="dxa"/>
          </w:tcPr>
          <w:p>
            <w:pPr>
              <w:pStyle w:val="TableParagraph"/>
              <w:spacing w:before="48"/>
              <w:ind w:right="121"/>
              <w:jc w:val="right"/>
              <w:rPr>
                <w:sz w:val="18"/>
              </w:rPr>
            </w:pPr>
            <w:r>
              <w:rPr>
                <w:spacing w:val="-2"/>
                <w:sz w:val="18"/>
              </w:rPr>
              <w:t>67,365</w:t>
            </w:r>
          </w:p>
        </w:tc>
      </w:tr>
      <w:tr>
        <w:trPr>
          <w:trHeight w:val="255" w:hRule="atLeast"/>
        </w:trPr>
        <w:tc>
          <w:tcPr>
            <w:tcW w:w="5952" w:type="dxa"/>
          </w:tcPr>
          <w:p>
            <w:pPr>
              <w:pStyle w:val="TableParagraph"/>
              <w:spacing w:before="21"/>
              <w:ind w:left="410"/>
              <w:rPr>
                <w:sz w:val="18"/>
              </w:rPr>
            </w:pPr>
            <w:r>
              <w:rPr>
                <w:spacing w:val="-2"/>
                <w:sz w:val="18"/>
              </w:rPr>
              <w:t>Retirements</w:t>
            </w:r>
          </w:p>
        </w:tc>
        <w:tc>
          <w:tcPr>
            <w:tcW w:w="1144" w:type="dxa"/>
          </w:tcPr>
          <w:p>
            <w:pPr>
              <w:pStyle w:val="TableParagraph"/>
              <w:spacing w:before="21"/>
              <w:ind w:right="61"/>
              <w:jc w:val="right"/>
              <w:rPr>
                <w:sz w:val="18"/>
              </w:rPr>
            </w:pPr>
            <w:r>
              <w:rPr>
                <w:spacing w:val="-2"/>
                <w:sz w:val="18"/>
              </w:rPr>
              <w:t>(30,275)</w:t>
            </w:r>
          </w:p>
        </w:tc>
        <w:tc>
          <w:tcPr>
            <w:tcW w:w="1155" w:type="dxa"/>
          </w:tcPr>
          <w:p>
            <w:pPr>
              <w:pStyle w:val="TableParagraph"/>
              <w:spacing w:before="21"/>
              <w:ind w:right="61"/>
              <w:jc w:val="right"/>
              <w:rPr>
                <w:sz w:val="18"/>
              </w:rPr>
            </w:pPr>
            <w:r>
              <w:rPr>
                <w:spacing w:val="-2"/>
                <w:sz w:val="18"/>
              </w:rPr>
              <w:t>(36,255)</w:t>
            </w:r>
          </w:p>
        </w:tc>
        <w:tc>
          <w:tcPr>
            <w:tcW w:w="1156" w:type="dxa"/>
          </w:tcPr>
          <w:p>
            <w:pPr>
              <w:pStyle w:val="TableParagraph"/>
              <w:spacing w:before="21"/>
              <w:ind w:right="62"/>
              <w:jc w:val="right"/>
              <w:rPr>
                <w:sz w:val="18"/>
              </w:rPr>
            </w:pPr>
            <w:r>
              <w:rPr>
                <w:spacing w:val="-2"/>
                <w:sz w:val="18"/>
              </w:rPr>
              <w:t>(51,692)</w:t>
            </w:r>
          </w:p>
        </w:tc>
      </w:tr>
      <w:tr>
        <w:trPr>
          <w:trHeight w:val="255" w:hRule="atLeast"/>
        </w:trPr>
        <w:tc>
          <w:tcPr>
            <w:tcW w:w="9407" w:type="dxa"/>
            <w:gridSpan w:val="4"/>
          </w:tcPr>
          <w:p>
            <w:pPr>
              <w:pStyle w:val="TableParagraph"/>
              <w:spacing w:before="21"/>
              <w:ind w:left="230"/>
              <w:rPr>
                <w:sz w:val="18"/>
              </w:rPr>
            </w:pPr>
            <w:r>
              <w:rPr>
                <w:sz w:val="18"/>
              </w:rPr>
              <w:t>Short-term</w:t>
            </w:r>
            <w:r>
              <w:rPr>
                <w:spacing w:val="-6"/>
                <w:sz w:val="18"/>
              </w:rPr>
              <w:t> </w:t>
            </w:r>
            <w:r>
              <w:rPr>
                <w:sz w:val="18"/>
              </w:rPr>
              <w:t>borrowings</w:t>
            </w:r>
            <w:r>
              <w:rPr>
                <w:spacing w:val="-4"/>
                <w:sz w:val="18"/>
              </w:rPr>
              <w:t> </w:t>
            </w:r>
            <w:r>
              <w:rPr>
                <w:sz w:val="18"/>
              </w:rPr>
              <w:t>(original</w:t>
            </w:r>
            <w:r>
              <w:rPr>
                <w:spacing w:val="-4"/>
                <w:sz w:val="18"/>
              </w:rPr>
              <w:t> </w:t>
            </w:r>
            <w:r>
              <w:rPr>
                <w:sz w:val="18"/>
              </w:rPr>
              <w:t>maturities</w:t>
            </w:r>
            <w:r>
              <w:rPr>
                <w:spacing w:val="-4"/>
                <w:sz w:val="18"/>
              </w:rPr>
              <w:t> </w:t>
            </w:r>
            <w:r>
              <w:rPr>
                <w:sz w:val="18"/>
              </w:rPr>
              <w:t>greater</w:t>
            </w:r>
            <w:r>
              <w:rPr>
                <w:spacing w:val="-4"/>
                <w:sz w:val="18"/>
              </w:rPr>
              <w:t> </w:t>
            </w:r>
            <w:r>
              <w:rPr>
                <w:sz w:val="18"/>
              </w:rPr>
              <w:t>than</w:t>
            </w:r>
            <w:r>
              <w:rPr>
                <w:spacing w:val="-4"/>
                <w:sz w:val="18"/>
              </w:rPr>
              <w:t> </w:t>
            </w:r>
            <w:r>
              <w:rPr>
                <w:sz w:val="18"/>
              </w:rPr>
              <w:t>90</w:t>
            </w:r>
            <w:r>
              <w:rPr>
                <w:spacing w:val="-4"/>
                <w:sz w:val="18"/>
              </w:rPr>
              <w:t> </w:t>
            </w:r>
            <w:r>
              <w:rPr>
                <w:spacing w:val="-2"/>
                <w:sz w:val="18"/>
              </w:rPr>
              <w:t>days)</w:t>
            </w:r>
          </w:p>
        </w:tc>
      </w:tr>
      <w:tr>
        <w:trPr>
          <w:trHeight w:val="255" w:hRule="atLeast"/>
        </w:trPr>
        <w:tc>
          <w:tcPr>
            <w:tcW w:w="5952" w:type="dxa"/>
          </w:tcPr>
          <w:p>
            <w:pPr>
              <w:pStyle w:val="TableParagraph"/>
              <w:spacing w:before="21"/>
              <w:ind w:left="410"/>
              <w:rPr>
                <w:sz w:val="18"/>
              </w:rPr>
            </w:pPr>
            <w:r>
              <w:rPr>
                <w:sz w:val="18"/>
              </w:rPr>
              <w:t>New</w:t>
            </w:r>
            <w:r>
              <w:rPr>
                <w:spacing w:val="-2"/>
                <w:sz w:val="18"/>
              </w:rPr>
              <w:t> issues</w:t>
            </w:r>
          </w:p>
        </w:tc>
        <w:tc>
          <w:tcPr>
            <w:tcW w:w="1144" w:type="dxa"/>
          </w:tcPr>
          <w:p>
            <w:pPr>
              <w:pStyle w:val="TableParagraph"/>
              <w:spacing w:before="21"/>
              <w:ind w:right="120"/>
              <w:jc w:val="right"/>
              <w:rPr>
                <w:sz w:val="18"/>
              </w:rPr>
            </w:pPr>
            <w:r>
              <w:rPr>
                <w:spacing w:val="-2"/>
                <w:sz w:val="18"/>
              </w:rPr>
              <w:t>25,358</w:t>
            </w:r>
          </w:p>
        </w:tc>
        <w:tc>
          <w:tcPr>
            <w:tcW w:w="1155" w:type="dxa"/>
          </w:tcPr>
          <w:p>
            <w:pPr>
              <w:pStyle w:val="TableParagraph"/>
              <w:spacing w:before="21"/>
              <w:ind w:right="120"/>
              <w:jc w:val="right"/>
              <w:rPr>
                <w:sz w:val="18"/>
              </w:rPr>
            </w:pPr>
            <w:r>
              <w:rPr>
                <w:spacing w:val="-2"/>
                <w:sz w:val="18"/>
              </w:rPr>
              <w:t>21,631</w:t>
            </w:r>
          </w:p>
        </w:tc>
        <w:tc>
          <w:tcPr>
            <w:tcW w:w="1156" w:type="dxa"/>
          </w:tcPr>
          <w:p>
            <w:pPr>
              <w:pStyle w:val="TableParagraph"/>
              <w:spacing w:before="21"/>
              <w:ind w:right="121"/>
              <w:jc w:val="right"/>
              <w:rPr>
                <w:sz w:val="18"/>
              </w:rPr>
            </w:pPr>
            <w:r>
              <w:rPr>
                <w:spacing w:val="-2"/>
                <w:sz w:val="18"/>
              </w:rPr>
              <w:t>21,937</w:t>
            </w:r>
          </w:p>
        </w:tc>
      </w:tr>
      <w:tr>
        <w:trPr>
          <w:trHeight w:val="255" w:hRule="atLeast"/>
        </w:trPr>
        <w:tc>
          <w:tcPr>
            <w:tcW w:w="5952" w:type="dxa"/>
          </w:tcPr>
          <w:p>
            <w:pPr>
              <w:pStyle w:val="TableParagraph"/>
              <w:spacing w:before="21"/>
              <w:ind w:left="410"/>
              <w:rPr>
                <w:sz w:val="18"/>
              </w:rPr>
            </w:pPr>
            <w:r>
              <w:rPr>
                <w:spacing w:val="-2"/>
                <w:sz w:val="18"/>
              </w:rPr>
              <w:t>Retirements</w:t>
            </w:r>
          </w:p>
        </w:tc>
        <w:tc>
          <w:tcPr>
            <w:tcW w:w="1144" w:type="dxa"/>
          </w:tcPr>
          <w:p>
            <w:pPr>
              <w:pStyle w:val="TableParagraph"/>
              <w:spacing w:before="21"/>
              <w:ind w:right="61"/>
              <w:jc w:val="right"/>
              <w:rPr>
                <w:sz w:val="18"/>
              </w:rPr>
            </w:pPr>
            <w:r>
              <w:rPr>
                <w:spacing w:val="-2"/>
                <w:sz w:val="18"/>
              </w:rPr>
              <w:t>(25,846)</w:t>
            </w:r>
          </w:p>
        </w:tc>
        <w:tc>
          <w:tcPr>
            <w:tcW w:w="1155" w:type="dxa"/>
          </w:tcPr>
          <w:p>
            <w:pPr>
              <w:pStyle w:val="TableParagraph"/>
              <w:spacing w:before="21"/>
              <w:ind w:right="61"/>
              <w:jc w:val="right"/>
              <w:rPr>
                <w:sz w:val="18"/>
              </w:rPr>
            </w:pPr>
            <w:r>
              <w:rPr>
                <w:spacing w:val="-2"/>
                <w:sz w:val="18"/>
              </w:rPr>
              <w:t>(20,692)</w:t>
            </w:r>
          </w:p>
        </w:tc>
        <w:tc>
          <w:tcPr>
            <w:tcW w:w="1156" w:type="dxa"/>
          </w:tcPr>
          <w:p>
            <w:pPr>
              <w:pStyle w:val="TableParagraph"/>
              <w:spacing w:before="21"/>
              <w:ind w:right="62"/>
              <w:jc w:val="right"/>
              <w:rPr>
                <w:sz w:val="18"/>
              </w:rPr>
            </w:pPr>
            <w:r>
              <w:rPr>
                <w:spacing w:val="-2"/>
                <w:sz w:val="18"/>
              </w:rPr>
              <w:t>(20,469)</w:t>
            </w:r>
          </w:p>
        </w:tc>
      </w:tr>
      <w:tr>
        <w:trPr>
          <w:trHeight w:val="255" w:hRule="atLeast"/>
        </w:trPr>
        <w:tc>
          <w:tcPr>
            <w:tcW w:w="5952" w:type="dxa"/>
          </w:tcPr>
          <w:p>
            <w:pPr>
              <w:pStyle w:val="TableParagraph"/>
              <w:spacing w:before="21"/>
              <w:ind w:left="230"/>
              <w:rPr>
                <w:sz w:val="18"/>
              </w:rPr>
            </w:pPr>
            <w:r>
              <w:rPr>
                <w:sz w:val="18"/>
              </w:rPr>
              <w:t>Net</w:t>
            </w:r>
            <w:r>
              <w:rPr>
                <w:spacing w:val="-4"/>
                <w:sz w:val="18"/>
              </w:rPr>
              <w:t> </w:t>
            </w:r>
            <w:r>
              <w:rPr>
                <w:sz w:val="18"/>
              </w:rPr>
              <w:t>short-term</w:t>
            </w:r>
            <w:r>
              <w:rPr>
                <w:spacing w:val="-3"/>
                <w:sz w:val="18"/>
              </w:rPr>
              <w:t> </w:t>
            </w:r>
            <w:r>
              <w:rPr>
                <w:sz w:val="18"/>
              </w:rPr>
              <w:t>borrowings</w:t>
            </w:r>
            <w:r>
              <w:rPr>
                <w:spacing w:val="-4"/>
                <w:sz w:val="18"/>
              </w:rPr>
              <w:t> </w:t>
            </w:r>
            <w:r>
              <w:rPr>
                <w:sz w:val="18"/>
              </w:rPr>
              <w:t>(original</w:t>
            </w:r>
            <w:r>
              <w:rPr>
                <w:spacing w:val="-3"/>
                <w:sz w:val="18"/>
              </w:rPr>
              <w:t> </w:t>
            </w:r>
            <w:r>
              <w:rPr>
                <w:sz w:val="18"/>
              </w:rPr>
              <w:t>maturities</w:t>
            </w:r>
            <w:r>
              <w:rPr>
                <w:spacing w:val="-4"/>
                <w:sz w:val="18"/>
              </w:rPr>
              <w:t> </w:t>
            </w:r>
            <w:r>
              <w:rPr>
                <w:sz w:val="18"/>
              </w:rPr>
              <w:t>less</w:t>
            </w:r>
            <w:r>
              <w:rPr>
                <w:spacing w:val="-3"/>
                <w:sz w:val="18"/>
              </w:rPr>
              <w:t> </w:t>
            </w:r>
            <w:r>
              <w:rPr>
                <w:sz w:val="18"/>
              </w:rPr>
              <w:t>than</w:t>
            </w:r>
            <w:r>
              <w:rPr>
                <w:spacing w:val="-4"/>
                <w:sz w:val="18"/>
              </w:rPr>
              <w:t> </w:t>
            </w:r>
            <w:r>
              <w:rPr>
                <w:sz w:val="18"/>
              </w:rPr>
              <w:t>90</w:t>
            </w:r>
            <w:r>
              <w:rPr>
                <w:spacing w:val="-3"/>
                <w:sz w:val="18"/>
              </w:rPr>
              <w:t> </w:t>
            </w:r>
            <w:r>
              <w:rPr>
                <w:spacing w:val="-2"/>
                <w:sz w:val="18"/>
              </w:rPr>
              <w:t>days)</w:t>
            </w:r>
          </w:p>
        </w:tc>
        <w:tc>
          <w:tcPr>
            <w:tcW w:w="1144" w:type="dxa"/>
          </w:tcPr>
          <w:p>
            <w:pPr>
              <w:pStyle w:val="TableParagraph"/>
              <w:spacing w:before="21"/>
              <w:ind w:right="61"/>
              <w:jc w:val="right"/>
              <w:rPr>
                <w:sz w:val="18"/>
              </w:rPr>
            </w:pPr>
            <w:r>
              <w:rPr>
                <w:spacing w:val="-2"/>
                <w:sz w:val="18"/>
              </w:rPr>
              <w:t>(4,716)</w:t>
            </w:r>
          </w:p>
        </w:tc>
        <w:tc>
          <w:tcPr>
            <w:tcW w:w="1155" w:type="dxa"/>
          </w:tcPr>
          <w:p>
            <w:pPr>
              <w:pStyle w:val="TableParagraph"/>
              <w:spacing w:before="21"/>
              <w:ind w:right="121"/>
              <w:jc w:val="right"/>
              <w:rPr>
                <w:sz w:val="18"/>
              </w:rPr>
            </w:pPr>
            <w:r>
              <w:rPr>
                <w:spacing w:val="-2"/>
                <w:sz w:val="18"/>
              </w:rPr>
              <w:t>3,996</w:t>
            </w:r>
          </w:p>
        </w:tc>
        <w:tc>
          <w:tcPr>
            <w:tcW w:w="1156" w:type="dxa"/>
          </w:tcPr>
          <w:p>
            <w:pPr>
              <w:pStyle w:val="TableParagraph"/>
              <w:spacing w:before="21"/>
              <w:ind w:right="62"/>
              <w:jc w:val="right"/>
              <w:rPr>
                <w:sz w:val="18"/>
              </w:rPr>
            </w:pPr>
            <w:r>
              <w:rPr>
                <w:spacing w:val="-2"/>
                <w:sz w:val="18"/>
              </w:rPr>
              <w:t>(2,270)</w:t>
            </w:r>
          </w:p>
        </w:tc>
      </w:tr>
      <w:tr>
        <w:trPr>
          <w:trHeight w:val="255" w:hRule="atLeast"/>
        </w:trPr>
        <w:tc>
          <w:tcPr>
            <w:tcW w:w="5952" w:type="dxa"/>
          </w:tcPr>
          <w:p>
            <w:pPr>
              <w:pStyle w:val="TableParagraph"/>
              <w:spacing w:before="21"/>
              <w:ind w:left="230"/>
              <w:rPr>
                <w:sz w:val="18"/>
              </w:rPr>
            </w:pPr>
            <w:r>
              <w:rPr>
                <w:sz w:val="18"/>
              </w:rPr>
              <w:t>Net</w:t>
            </w:r>
            <w:r>
              <w:rPr>
                <w:spacing w:val="-8"/>
                <w:sz w:val="18"/>
              </w:rPr>
              <w:t> </w:t>
            </w:r>
            <w:r>
              <w:rPr>
                <w:sz w:val="18"/>
              </w:rPr>
              <w:t>derivatives-</w:t>
            </w:r>
            <w:r>
              <w:rPr>
                <w:spacing w:val="-2"/>
                <w:sz w:val="18"/>
              </w:rPr>
              <w:t>borrowings</w:t>
            </w:r>
          </w:p>
        </w:tc>
        <w:tc>
          <w:tcPr>
            <w:tcW w:w="1144" w:type="dxa"/>
          </w:tcPr>
          <w:p>
            <w:pPr>
              <w:pStyle w:val="TableParagraph"/>
              <w:spacing w:before="21"/>
              <w:ind w:right="61"/>
              <w:jc w:val="right"/>
              <w:rPr>
                <w:sz w:val="18"/>
              </w:rPr>
            </w:pPr>
            <w:r>
              <w:rPr>
                <w:spacing w:val="-2"/>
                <w:sz w:val="18"/>
              </w:rPr>
              <w:t>(787)</w:t>
            </w:r>
          </w:p>
        </w:tc>
        <w:tc>
          <w:tcPr>
            <w:tcW w:w="1155" w:type="dxa"/>
          </w:tcPr>
          <w:p>
            <w:pPr>
              <w:pStyle w:val="TableParagraph"/>
              <w:spacing w:before="21"/>
              <w:ind w:right="61"/>
              <w:jc w:val="right"/>
              <w:rPr>
                <w:sz w:val="18"/>
              </w:rPr>
            </w:pPr>
            <w:r>
              <w:rPr>
                <w:spacing w:val="-4"/>
                <w:sz w:val="18"/>
              </w:rPr>
              <w:t>(13)</w:t>
            </w:r>
          </w:p>
        </w:tc>
        <w:tc>
          <w:tcPr>
            <w:tcW w:w="1156" w:type="dxa"/>
          </w:tcPr>
          <w:p>
            <w:pPr>
              <w:pStyle w:val="TableParagraph"/>
              <w:spacing w:before="21"/>
              <w:ind w:right="62"/>
              <w:jc w:val="right"/>
              <w:rPr>
                <w:sz w:val="18"/>
              </w:rPr>
            </w:pPr>
            <w:r>
              <w:rPr>
                <w:spacing w:val="-2"/>
                <w:sz w:val="18"/>
              </w:rPr>
              <w:t>(758)</w:t>
            </w:r>
          </w:p>
        </w:tc>
      </w:tr>
      <w:tr>
        <w:trPr>
          <w:trHeight w:val="255" w:hRule="atLeast"/>
        </w:trPr>
        <w:tc>
          <w:tcPr>
            <w:tcW w:w="5952" w:type="dxa"/>
          </w:tcPr>
          <w:p>
            <w:pPr>
              <w:pStyle w:val="TableParagraph"/>
              <w:spacing w:before="21"/>
              <w:ind w:left="230"/>
              <w:rPr>
                <w:sz w:val="18"/>
              </w:rPr>
            </w:pPr>
            <w:r>
              <w:rPr>
                <w:sz w:val="18"/>
              </w:rPr>
              <w:t>Capital</w:t>
            </w:r>
            <w:r>
              <w:rPr>
                <w:spacing w:val="-5"/>
                <w:sz w:val="18"/>
              </w:rPr>
              <w:t> </w:t>
            </w:r>
            <w:r>
              <w:rPr>
                <w:spacing w:val="-2"/>
                <w:sz w:val="18"/>
              </w:rPr>
              <w:t>subscriptions</w:t>
            </w:r>
          </w:p>
        </w:tc>
        <w:tc>
          <w:tcPr>
            <w:tcW w:w="1144" w:type="dxa"/>
          </w:tcPr>
          <w:p>
            <w:pPr>
              <w:pStyle w:val="TableParagraph"/>
              <w:spacing w:before="21"/>
              <w:ind w:right="121"/>
              <w:jc w:val="right"/>
              <w:rPr>
                <w:sz w:val="18"/>
              </w:rPr>
            </w:pPr>
            <w:r>
              <w:rPr>
                <w:spacing w:val="-2"/>
                <w:sz w:val="18"/>
              </w:rPr>
              <w:t>1,320</w:t>
            </w:r>
          </w:p>
        </w:tc>
        <w:tc>
          <w:tcPr>
            <w:tcW w:w="1155" w:type="dxa"/>
          </w:tcPr>
          <w:p>
            <w:pPr>
              <w:pStyle w:val="TableParagraph"/>
              <w:spacing w:before="21"/>
              <w:ind w:right="121"/>
              <w:jc w:val="right"/>
              <w:rPr>
                <w:sz w:val="18"/>
              </w:rPr>
            </w:pPr>
            <w:r>
              <w:rPr>
                <w:spacing w:val="-2"/>
                <w:sz w:val="18"/>
              </w:rPr>
              <w:t>1,255</w:t>
            </w:r>
          </w:p>
        </w:tc>
        <w:tc>
          <w:tcPr>
            <w:tcW w:w="1156" w:type="dxa"/>
          </w:tcPr>
          <w:p>
            <w:pPr>
              <w:pStyle w:val="TableParagraph"/>
              <w:spacing w:before="21"/>
              <w:ind w:right="122"/>
              <w:jc w:val="right"/>
              <w:rPr>
                <w:sz w:val="18"/>
              </w:rPr>
            </w:pPr>
            <w:r>
              <w:rPr>
                <w:spacing w:val="-2"/>
                <w:sz w:val="18"/>
              </w:rPr>
              <w:t>1,210</w:t>
            </w:r>
          </w:p>
        </w:tc>
      </w:tr>
      <w:tr>
        <w:trPr>
          <w:trHeight w:val="247" w:hRule="atLeast"/>
        </w:trPr>
        <w:tc>
          <w:tcPr>
            <w:tcW w:w="5952" w:type="dxa"/>
          </w:tcPr>
          <w:p>
            <w:pPr>
              <w:pStyle w:val="TableParagraph"/>
              <w:spacing w:line="207" w:lineRule="exact" w:before="21"/>
              <w:ind w:left="230"/>
              <w:rPr>
                <w:sz w:val="18"/>
              </w:rPr>
            </w:pPr>
            <w:r>
              <w:rPr>
                <w:sz w:val="18"/>
              </w:rPr>
              <w:t>Other</w:t>
            </w:r>
            <w:r>
              <w:rPr>
                <w:spacing w:val="-5"/>
                <w:sz w:val="18"/>
              </w:rPr>
              <w:t> </w:t>
            </w:r>
            <w:r>
              <w:rPr>
                <w:sz w:val="18"/>
              </w:rPr>
              <w:t>financing</w:t>
            </w:r>
            <w:r>
              <w:rPr>
                <w:spacing w:val="-4"/>
                <w:sz w:val="18"/>
              </w:rPr>
              <w:t> </w:t>
            </w:r>
            <w:r>
              <w:rPr>
                <w:sz w:val="18"/>
              </w:rPr>
              <w:t>activities,</w:t>
            </w:r>
            <w:r>
              <w:rPr>
                <w:spacing w:val="-4"/>
                <w:sz w:val="18"/>
              </w:rPr>
              <w:t> </w:t>
            </w:r>
            <w:r>
              <w:rPr>
                <w:spacing w:val="-5"/>
                <w:sz w:val="18"/>
              </w:rPr>
              <w:t>net</w:t>
            </w:r>
          </w:p>
        </w:tc>
        <w:tc>
          <w:tcPr>
            <w:tcW w:w="1144" w:type="dxa"/>
            <w:tcBorders>
              <w:bottom w:val="single" w:sz="8" w:space="0" w:color="000000"/>
            </w:tcBorders>
          </w:tcPr>
          <w:p>
            <w:pPr>
              <w:pStyle w:val="TableParagraph"/>
              <w:spacing w:line="207" w:lineRule="exact" w:before="21"/>
              <w:ind w:right="61"/>
              <w:jc w:val="right"/>
              <w:rPr>
                <w:sz w:val="18"/>
              </w:rPr>
            </w:pPr>
            <w:r>
              <w:rPr>
                <w:spacing w:val="-5"/>
                <w:sz w:val="18"/>
              </w:rPr>
              <w:t>(5)</w:t>
            </w:r>
          </w:p>
        </w:tc>
        <w:tc>
          <w:tcPr>
            <w:tcW w:w="1155" w:type="dxa"/>
            <w:tcBorders>
              <w:bottom w:val="single" w:sz="8" w:space="0" w:color="000000"/>
            </w:tcBorders>
          </w:tcPr>
          <w:p>
            <w:pPr>
              <w:pStyle w:val="TableParagraph"/>
              <w:spacing w:line="207" w:lineRule="exact" w:before="21"/>
              <w:ind w:right="121"/>
              <w:jc w:val="right"/>
              <w:rPr>
                <w:sz w:val="18"/>
              </w:rPr>
            </w:pPr>
            <w:r>
              <w:rPr>
                <w:spacing w:val="-10"/>
                <w:sz w:val="18"/>
              </w:rPr>
              <w:t>2</w:t>
            </w:r>
          </w:p>
        </w:tc>
        <w:tc>
          <w:tcPr>
            <w:tcW w:w="1156" w:type="dxa"/>
            <w:tcBorders>
              <w:bottom w:val="single" w:sz="8" w:space="0" w:color="000000"/>
            </w:tcBorders>
          </w:tcPr>
          <w:p>
            <w:pPr>
              <w:pStyle w:val="TableParagraph"/>
              <w:spacing w:line="207" w:lineRule="exact" w:before="21"/>
              <w:ind w:right="122"/>
              <w:jc w:val="right"/>
              <w:rPr>
                <w:sz w:val="18"/>
              </w:rPr>
            </w:pPr>
            <w:r>
              <w:rPr>
                <w:spacing w:val="-10"/>
                <w:sz w:val="18"/>
              </w:rPr>
              <w:t>6</w:t>
            </w:r>
          </w:p>
        </w:tc>
      </w:tr>
      <w:tr>
        <w:trPr>
          <w:trHeight w:val="235" w:hRule="atLeast"/>
        </w:trPr>
        <w:tc>
          <w:tcPr>
            <w:tcW w:w="5952" w:type="dxa"/>
          </w:tcPr>
          <w:p>
            <w:pPr>
              <w:pStyle w:val="TableParagraph"/>
              <w:spacing w:line="207" w:lineRule="exact" w:before="8"/>
              <w:ind w:left="590"/>
              <w:rPr>
                <w:sz w:val="18"/>
              </w:rPr>
            </w:pPr>
            <w:r>
              <w:rPr>
                <w:sz w:val="18"/>
              </w:rPr>
              <w:t>Net</w:t>
            </w:r>
            <w:r>
              <w:rPr>
                <w:spacing w:val="-3"/>
                <w:sz w:val="18"/>
              </w:rPr>
              <w:t> </w:t>
            </w:r>
            <w:r>
              <w:rPr>
                <w:sz w:val="18"/>
              </w:rPr>
              <w:t>cash</w:t>
            </w:r>
            <w:r>
              <w:rPr>
                <w:spacing w:val="-3"/>
                <w:sz w:val="18"/>
              </w:rPr>
              <w:t> </w:t>
            </w:r>
            <w:r>
              <w:rPr>
                <w:sz w:val="18"/>
              </w:rPr>
              <w:t>provided</w:t>
            </w:r>
            <w:r>
              <w:rPr>
                <w:spacing w:val="-3"/>
                <w:sz w:val="18"/>
              </w:rPr>
              <w:t> </w:t>
            </w:r>
            <w:r>
              <w:rPr>
                <w:sz w:val="18"/>
              </w:rPr>
              <w:t>by</w:t>
            </w:r>
            <w:r>
              <w:rPr>
                <w:spacing w:val="-3"/>
                <w:sz w:val="18"/>
              </w:rPr>
              <w:t> </w:t>
            </w:r>
            <w:r>
              <w:rPr>
                <w:sz w:val="18"/>
              </w:rPr>
              <w:t>financing</w:t>
            </w:r>
            <w:r>
              <w:rPr>
                <w:spacing w:val="-3"/>
                <w:sz w:val="18"/>
              </w:rPr>
              <w:t> </w:t>
            </w:r>
            <w:r>
              <w:rPr>
                <w:spacing w:val="-2"/>
                <w:sz w:val="18"/>
              </w:rPr>
              <w:t>activities</w:t>
            </w:r>
          </w:p>
        </w:tc>
        <w:tc>
          <w:tcPr>
            <w:tcW w:w="1144" w:type="dxa"/>
            <w:tcBorders>
              <w:top w:val="single" w:sz="8" w:space="0" w:color="000000"/>
              <w:bottom w:val="single" w:sz="8" w:space="0" w:color="000000"/>
            </w:tcBorders>
          </w:tcPr>
          <w:p>
            <w:pPr>
              <w:pStyle w:val="TableParagraph"/>
              <w:spacing w:line="207" w:lineRule="exact" w:before="8"/>
              <w:ind w:right="121"/>
              <w:jc w:val="right"/>
              <w:rPr>
                <w:sz w:val="18"/>
              </w:rPr>
            </w:pPr>
            <w:r>
              <w:rPr>
                <w:spacing w:val="-2"/>
                <w:sz w:val="18"/>
              </w:rPr>
              <w:t>7,105</w:t>
            </w:r>
          </w:p>
        </w:tc>
        <w:tc>
          <w:tcPr>
            <w:tcW w:w="1155" w:type="dxa"/>
            <w:tcBorders>
              <w:top w:val="single" w:sz="8" w:space="0" w:color="000000"/>
              <w:bottom w:val="single" w:sz="8" w:space="0" w:color="000000"/>
            </w:tcBorders>
          </w:tcPr>
          <w:p>
            <w:pPr>
              <w:pStyle w:val="TableParagraph"/>
              <w:spacing w:line="207" w:lineRule="exact" w:before="8"/>
              <w:ind w:right="120"/>
              <w:jc w:val="right"/>
              <w:rPr>
                <w:sz w:val="18"/>
              </w:rPr>
            </w:pPr>
            <w:r>
              <w:rPr>
                <w:spacing w:val="-2"/>
                <w:sz w:val="18"/>
              </w:rPr>
              <w:t>10,639</w:t>
            </w:r>
          </w:p>
        </w:tc>
        <w:tc>
          <w:tcPr>
            <w:tcW w:w="1156" w:type="dxa"/>
            <w:tcBorders>
              <w:top w:val="single" w:sz="8" w:space="0" w:color="000000"/>
              <w:bottom w:val="single" w:sz="8" w:space="0" w:color="000000"/>
            </w:tcBorders>
          </w:tcPr>
          <w:p>
            <w:pPr>
              <w:pStyle w:val="TableParagraph"/>
              <w:spacing w:line="207" w:lineRule="exact" w:before="8"/>
              <w:ind w:right="121"/>
              <w:jc w:val="right"/>
              <w:rPr>
                <w:sz w:val="18"/>
              </w:rPr>
            </w:pPr>
            <w:r>
              <w:rPr>
                <w:spacing w:val="-2"/>
                <w:sz w:val="18"/>
              </w:rPr>
              <w:t>15,329</w:t>
            </w:r>
          </w:p>
        </w:tc>
      </w:tr>
      <w:tr>
        <w:trPr>
          <w:trHeight w:val="242" w:hRule="atLeast"/>
        </w:trPr>
        <w:tc>
          <w:tcPr>
            <w:tcW w:w="5952" w:type="dxa"/>
          </w:tcPr>
          <w:p>
            <w:pPr>
              <w:pStyle w:val="TableParagraph"/>
              <w:spacing w:before="8"/>
              <w:ind w:left="50"/>
              <w:rPr>
                <w:rFonts w:ascii="Arial"/>
                <w:b/>
                <w:sz w:val="18"/>
              </w:rPr>
            </w:pPr>
            <w:r>
              <w:rPr>
                <w:rFonts w:ascii="Arial"/>
                <w:b/>
                <w:sz w:val="18"/>
              </w:rPr>
              <w:t>Cash</w:t>
            </w:r>
            <w:r>
              <w:rPr>
                <w:rFonts w:ascii="Arial"/>
                <w:b/>
                <w:spacing w:val="-2"/>
                <w:sz w:val="18"/>
              </w:rPr>
              <w:t> </w:t>
            </w:r>
            <w:r>
              <w:rPr>
                <w:rFonts w:ascii="Arial"/>
                <w:b/>
                <w:sz w:val="18"/>
              </w:rPr>
              <w:t>flows</w:t>
            </w:r>
            <w:r>
              <w:rPr>
                <w:rFonts w:ascii="Arial"/>
                <w:b/>
                <w:spacing w:val="-2"/>
                <w:sz w:val="18"/>
              </w:rPr>
              <w:t> </w:t>
            </w:r>
            <w:r>
              <w:rPr>
                <w:rFonts w:ascii="Arial"/>
                <w:b/>
                <w:sz w:val="18"/>
              </w:rPr>
              <w:t>from</w:t>
            </w:r>
            <w:r>
              <w:rPr>
                <w:rFonts w:ascii="Arial"/>
                <w:b/>
                <w:spacing w:val="-2"/>
                <w:sz w:val="18"/>
              </w:rPr>
              <w:t> </w:t>
            </w:r>
            <w:r>
              <w:rPr>
                <w:rFonts w:ascii="Arial"/>
                <w:b/>
                <w:sz w:val="18"/>
              </w:rPr>
              <w:t>operating</w:t>
            </w:r>
            <w:r>
              <w:rPr>
                <w:rFonts w:ascii="Arial"/>
                <w:b/>
                <w:spacing w:val="-1"/>
                <w:sz w:val="18"/>
              </w:rPr>
              <w:t> </w:t>
            </w:r>
            <w:r>
              <w:rPr>
                <w:rFonts w:ascii="Arial"/>
                <w:b/>
                <w:spacing w:val="-2"/>
                <w:sz w:val="18"/>
              </w:rPr>
              <w:t>activities</w:t>
            </w:r>
          </w:p>
        </w:tc>
        <w:tc>
          <w:tcPr>
            <w:tcW w:w="1144" w:type="dxa"/>
            <w:tcBorders>
              <w:top w:val="single" w:sz="8" w:space="0" w:color="000000"/>
            </w:tcBorders>
          </w:tcPr>
          <w:p>
            <w:pPr>
              <w:pStyle w:val="TableParagraph"/>
              <w:rPr>
                <w:rFonts w:ascii="Times New Roman"/>
                <w:sz w:val="16"/>
              </w:rPr>
            </w:pPr>
          </w:p>
        </w:tc>
        <w:tc>
          <w:tcPr>
            <w:tcW w:w="1155" w:type="dxa"/>
            <w:tcBorders>
              <w:top w:val="single" w:sz="8" w:space="0" w:color="000000"/>
            </w:tcBorders>
          </w:tcPr>
          <w:p>
            <w:pPr>
              <w:pStyle w:val="TableParagraph"/>
              <w:rPr>
                <w:rFonts w:ascii="Times New Roman"/>
                <w:sz w:val="16"/>
              </w:rPr>
            </w:pPr>
          </w:p>
        </w:tc>
        <w:tc>
          <w:tcPr>
            <w:tcW w:w="1156" w:type="dxa"/>
            <w:tcBorders>
              <w:top w:val="single" w:sz="8" w:space="0" w:color="000000"/>
            </w:tcBorders>
          </w:tcPr>
          <w:p>
            <w:pPr>
              <w:pStyle w:val="TableParagraph"/>
              <w:rPr>
                <w:rFonts w:ascii="Times New Roman"/>
                <w:sz w:val="16"/>
              </w:rPr>
            </w:pPr>
          </w:p>
        </w:tc>
      </w:tr>
      <w:tr>
        <w:trPr>
          <w:trHeight w:val="259" w:hRule="atLeast"/>
        </w:trPr>
        <w:tc>
          <w:tcPr>
            <w:tcW w:w="5952" w:type="dxa"/>
          </w:tcPr>
          <w:p>
            <w:pPr>
              <w:pStyle w:val="TableParagraph"/>
              <w:spacing w:before="21"/>
              <w:ind w:left="230"/>
              <w:rPr>
                <w:sz w:val="18"/>
              </w:rPr>
            </w:pPr>
            <w:r>
              <w:rPr>
                <w:sz w:val="18"/>
              </w:rPr>
              <w:t>Net</w:t>
            </w:r>
            <w:r>
              <w:rPr>
                <w:spacing w:val="-2"/>
                <w:sz w:val="18"/>
              </w:rPr>
              <w:t> income</w:t>
            </w:r>
          </w:p>
        </w:tc>
        <w:tc>
          <w:tcPr>
            <w:tcW w:w="1144" w:type="dxa"/>
          </w:tcPr>
          <w:p>
            <w:pPr>
              <w:pStyle w:val="TableParagraph"/>
              <w:spacing w:before="21"/>
              <w:ind w:right="121"/>
              <w:jc w:val="right"/>
              <w:rPr>
                <w:sz w:val="18"/>
              </w:rPr>
            </w:pPr>
            <w:r>
              <w:rPr>
                <w:spacing w:val="-2"/>
                <w:sz w:val="18"/>
              </w:rPr>
              <w:t>1,144</w:t>
            </w:r>
          </w:p>
        </w:tc>
        <w:tc>
          <w:tcPr>
            <w:tcW w:w="1155" w:type="dxa"/>
          </w:tcPr>
          <w:p>
            <w:pPr>
              <w:pStyle w:val="TableParagraph"/>
              <w:spacing w:before="21"/>
              <w:ind w:right="121"/>
              <w:jc w:val="right"/>
              <w:rPr>
                <w:sz w:val="18"/>
              </w:rPr>
            </w:pPr>
            <w:r>
              <w:rPr>
                <w:spacing w:val="-2"/>
                <w:sz w:val="18"/>
              </w:rPr>
              <w:t>3,990</w:t>
            </w:r>
          </w:p>
        </w:tc>
        <w:tc>
          <w:tcPr>
            <w:tcW w:w="1156" w:type="dxa"/>
          </w:tcPr>
          <w:p>
            <w:pPr>
              <w:pStyle w:val="TableParagraph"/>
              <w:spacing w:before="21"/>
              <w:ind w:right="122"/>
              <w:jc w:val="right"/>
              <w:rPr>
                <w:sz w:val="18"/>
              </w:rPr>
            </w:pPr>
            <w:r>
              <w:rPr>
                <w:spacing w:val="-2"/>
                <w:sz w:val="18"/>
              </w:rPr>
              <w:t>2,039</w:t>
            </w:r>
          </w:p>
        </w:tc>
      </w:tr>
      <w:tr>
        <w:trPr>
          <w:trHeight w:val="240" w:hRule="atLeast"/>
        </w:trPr>
        <w:tc>
          <w:tcPr>
            <w:tcW w:w="5952" w:type="dxa"/>
          </w:tcPr>
          <w:p>
            <w:pPr>
              <w:pStyle w:val="TableParagraph"/>
              <w:spacing w:line="194" w:lineRule="exact" w:before="25"/>
              <w:ind w:left="230"/>
              <w:rPr>
                <w:sz w:val="18"/>
              </w:rPr>
            </w:pPr>
            <w:r>
              <w:rPr>
                <w:sz w:val="18"/>
              </w:rPr>
              <w:t>Adjustments</w:t>
            </w:r>
            <w:r>
              <w:rPr>
                <w:spacing w:val="-3"/>
                <w:sz w:val="18"/>
              </w:rPr>
              <w:t> </w:t>
            </w:r>
            <w:r>
              <w:rPr>
                <w:sz w:val="18"/>
              </w:rPr>
              <w:t>to</w:t>
            </w:r>
            <w:r>
              <w:rPr>
                <w:spacing w:val="-2"/>
                <w:sz w:val="18"/>
              </w:rPr>
              <w:t> </w:t>
            </w:r>
            <w:r>
              <w:rPr>
                <w:sz w:val="18"/>
              </w:rPr>
              <w:t>reconcile</w:t>
            </w:r>
            <w:r>
              <w:rPr>
                <w:spacing w:val="-3"/>
                <w:sz w:val="18"/>
              </w:rPr>
              <w:t> </w:t>
            </w:r>
            <w:r>
              <w:rPr>
                <w:sz w:val="18"/>
              </w:rPr>
              <w:t>net</w:t>
            </w:r>
            <w:r>
              <w:rPr>
                <w:spacing w:val="-2"/>
                <w:sz w:val="18"/>
              </w:rPr>
              <w:t> </w:t>
            </w:r>
            <w:r>
              <w:rPr>
                <w:sz w:val="18"/>
              </w:rPr>
              <w:t>income</w:t>
            </w:r>
            <w:r>
              <w:rPr>
                <w:spacing w:val="-2"/>
                <w:sz w:val="18"/>
              </w:rPr>
              <w:t> </w:t>
            </w:r>
            <w:r>
              <w:rPr>
                <w:sz w:val="18"/>
              </w:rPr>
              <w:t>to</w:t>
            </w:r>
            <w:r>
              <w:rPr>
                <w:spacing w:val="-3"/>
                <w:sz w:val="18"/>
              </w:rPr>
              <w:t> </w:t>
            </w:r>
            <w:r>
              <w:rPr>
                <w:sz w:val="18"/>
              </w:rPr>
              <w:t>net</w:t>
            </w:r>
            <w:r>
              <w:rPr>
                <w:spacing w:val="-2"/>
                <w:sz w:val="18"/>
              </w:rPr>
              <w:t> </w:t>
            </w:r>
            <w:r>
              <w:rPr>
                <w:sz w:val="18"/>
              </w:rPr>
              <w:t>cash</w:t>
            </w:r>
            <w:r>
              <w:rPr>
                <w:spacing w:val="-2"/>
                <w:sz w:val="18"/>
              </w:rPr>
              <w:t> </w:t>
            </w:r>
            <w:r>
              <w:rPr>
                <w:sz w:val="18"/>
              </w:rPr>
              <w:t>provided</w:t>
            </w:r>
            <w:r>
              <w:rPr>
                <w:spacing w:val="-3"/>
                <w:sz w:val="18"/>
              </w:rPr>
              <w:t> </w:t>
            </w:r>
            <w:r>
              <w:rPr>
                <w:sz w:val="18"/>
              </w:rPr>
              <w:t>by</w:t>
            </w:r>
            <w:r>
              <w:rPr>
                <w:spacing w:val="-2"/>
                <w:sz w:val="18"/>
              </w:rPr>
              <w:t> </w:t>
            </w:r>
            <w:r>
              <w:rPr>
                <w:sz w:val="18"/>
              </w:rPr>
              <w:t>(used</w:t>
            </w:r>
            <w:r>
              <w:rPr>
                <w:spacing w:val="-2"/>
                <w:sz w:val="18"/>
              </w:rPr>
              <w:t> </w:t>
            </w:r>
            <w:r>
              <w:rPr>
                <w:spacing w:val="-5"/>
                <w:sz w:val="18"/>
              </w:rPr>
              <w:t>in)</w:t>
            </w:r>
          </w:p>
        </w:tc>
        <w:tc>
          <w:tcPr>
            <w:tcW w:w="1144" w:type="dxa"/>
          </w:tcPr>
          <w:p>
            <w:pPr>
              <w:pStyle w:val="TableParagraph"/>
              <w:rPr>
                <w:rFonts w:ascii="Times New Roman"/>
                <w:sz w:val="16"/>
              </w:rPr>
            </w:pPr>
          </w:p>
        </w:tc>
        <w:tc>
          <w:tcPr>
            <w:tcW w:w="1155" w:type="dxa"/>
          </w:tcPr>
          <w:p>
            <w:pPr>
              <w:pStyle w:val="TableParagraph"/>
              <w:rPr>
                <w:rFonts w:ascii="Times New Roman"/>
                <w:sz w:val="16"/>
              </w:rPr>
            </w:pPr>
          </w:p>
        </w:tc>
        <w:tc>
          <w:tcPr>
            <w:tcW w:w="1156" w:type="dxa"/>
          </w:tcPr>
          <w:p>
            <w:pPr>
              <w:pStyle w:val="TableParagraph"/>
              <w:rPr>
                <w:rFonts w:ascii="Times New Roman"/>
                <w:sz w:val="16"/>
              </w:rPr>
            </w:pPr>
          </w:p>
        </w:tc>
      </w:tr>
      <w:tr>
        <w:trPr>
          <w:trHeight w:val="240" w:hRule="atLeast"/>
        </w:trPr>
        <w:tc>
          <w:tcPr>
            <w:tcW w:w="5952" w:type="dxa"/>
          </w:tcPr>
          <w:p>
            <w:pPr>
              <w:pStyle w:val="TableParagraph"/>
              <w:spacing w:before="1"/>
              <w:ind w:left="230"/>
              <w:rPr>
                <w:sz w:val="18"/>
              </w:rPr>
            </w:pPr>
            <w:r>
              <w:rPr>
                <w:sz w:val="18"/>
              </w:rPr>
              <w:t>operating</w:t>
            </w:r>
            <w:r>
              <w:rPr>
                <w:spacing w:val="-6"/>
                <w:sz w:val="18"/>
              </w:rPr>
              <w:t> </w:t>
            </w:r>
            <w:r>
              <w:rPr>
                <w:spacing w:val="-2"/>
                <w:sz w:val="18"/>
              </w:rPr>
              <w:t>activities:</w:t>
            </w:r>
          </w:p>
        </w:tc>
        <w:tc>
          <w:tcPr>
            <w:tcW w:w="1144" w:type="dxa"/>
          </w:tcPr>
          <w:p>
            <w:pPr>
              <w:pStyle w:val="TableParagraph"/>
              <w:rPr>
                <w:rFonts w:ascii="Times New Roman"/>
                <w:sz w:val="16"/>
              </w:rPr>
            </w:pPr>
          </w:p>
        </w:tc>
        <w:tc>
          <w:tcPr>
            <w:tcW w:w="1155" w:type="dxa"/>
          </w:tcPr>
          <w:p>
            <w:pPr>
              <w:pStyle w:val="TableParagraph"/>
              <w:rPr>
                <w:rFonts w:ascii="Times New Roman"/>
                <w:sz w:val="16"/>
              </w:rPr>
            </w:pPr>
          </w:p>
        </w:tc>
        <w:tc>
          <w:tcPr>
            <w:tcW w:w="1156" w:type="dxa"/>
          </w:tcPr>
          <w:p>
            <w:pPr>
              <w:pStyle w:val="TableParagraph"/>
              <w:rPr>
                <w:rFonts w:ascii="Times New Roman"/>
                <w:sz w:val="16"/>
              </w:rPr>
            </w:pPr>
          </w:p>
        </w:tc>
      </w:tr>
      <w:tr>
        <w:trPr>
          <w:trHeight w:val="232" w:hRule="atLeast"/>
        </w:trPr>
        <w:tc>
          <w:tcPr>
            <w:tcW w:w="5952" w:type="dxa"/>
          </w:tcPr>
          <w:p>
            <w:pPr>
              <w:pStyle w:val="TableParagraph"/>
              <w:spacing w:line="187" w:lineRule="exact" w:before="25"/>
              <w:ind w:left="590"/>
              <w:rPr>
                <w:sz w:val="18"/>
              </w:rPr>
            </w:pPr>
            <w:r>
              <w:rPr>
                <w:sz w:val="18"/>
              </w:rPr>
              <w:t>Unrealized</w:t>
            </w:r>
            <w:r>
              <w:rPr>
                <w:spacing w:val="-7"/>
                <w:sz w:val="18"/>
              </w:rPr>
              <w:t> </w:t>
            </w:r>
            <w:r>
              <w:rPr>
                <w:sz w:val="18"/>
              </w:rPr>
              <w:t>mark-to-market</w:t>
            </w:r>
            <w:r>
              <w:rPr>
                <w:spacing w:val="-4"/>
                <w:sz w:val="18"/>
              </w:rPr>
              <w:t> </w:t>
            </w:r>
            <w:r>
              <w:rPr>
                <w:sz w:val="18"/>
              </w:rPr>
              <w:t>losses</w:t>
            </w:r>
            <w:r>
              <w:rPr>
                <w:spacing w:val="-5"/>
                <w:sz w:val="18"/>
              </w:rPr>
              <w:t> </w:t>
            </w:r>
            <w:r>
              <w:rPr>
                <w:sz w:val="18"/>
              </w:rPr>
              <w:t>(gains)</w:t>
            </w:r>
            <w:r>
              <w:rPr>
                <w:spacing w:val="-4"/>
                <w:sz w:val="18"/>
              </w:rPr>
              <w:t> </w:t>
            </w:r>
            <w:r>
              <w:rPr>
                <w:sz w:val="18"/>
              </w:rPr>
              <w:t>on</w:t>
            </w:r>
            <w:r>
              <w:rPr>
                <w:spacing w:val="-4"/>
                <w:sz w:val="18"/>
              </w:rPr>
              <w:t> </w:t>
            </w:r>
            <w:r>
              <w:rPr>
                <w:sz w:val="18"/>
              </w:rPr>
              <w:t>non-</w:t>
            </w:r>
            <w:r>
              <w:rPr>
                <w:spacing w:val="-2"/>
                <w:sz w:val="18"/>
              </w:rPr>
              <w:t>trading</w:t>
            </w:r>
          </w:p>
        </w:tc>
        <w:tc>
          <w:tcPr>
            <w:tcW w:w="1144" w:type="dxa"/>
          </w:tcPr>
          <w:p>
            <w:pPr>
              <w:pStyle w:val="TableParagraph"/>
              <w:rPr>
                <w:rFonts w:ascii="Times New Roman"/>
                <w:sz w:val="16"/>
              </w:rPr>
            </w:pPr>
          </w:p>
        </w:tc>
        <w:tc>
          <w:tcPr>
            <w:tcW w:w="1155" w:type="dxa"/>
          </w:tcPr>
          <w:p>
            <w:pPr>
              <w:pStyle w:val="TableParagraph"/>
              <w:rPr>
                <w:rFonts w:ascii="Times New Roman"/>
                <w:sz w:val="16"/>
              </w:rPr>
            </w:pPr>
          </w:p>
        </w:tc>
        <w:tc>
          <w:tcPr>
            <w:tcW w:w="1156" w:type="dxa"/>
          </w:tcPr>
          <w:p>
            <w:pPr>
              <w:pStyle w:val="TableParagraph"/>
              <w:rPr>
                <w:rFonts w:ascii="Times New Roman"/>
                <w:sz w:val="16"/>
              </w:rPr>
            </w:pPr>
          </w:p>
        </w:tc>
      </w:tr>
      <w:tr>
        <w:trPr>
          <w:trHeight w:val="242" w:hRule="atLeast"/>
        </w:trPr>
        <w:tc>
          <w:tcPr>
            <w:tcW w:w="5952" w:type="dxa"/>
          </w:tcPr>
          <w:p>
            <w:pPr>
              <w:pStyle w:val="TableParagraph"/>
              <w:spacing w:line="201" w:lineRule="exact"/>
              <w:ind w:left="770"/>
              <w:rPr>
                <w:sz w:val="18"/>
              </w:rPr>
            </w:pPr>
            <w:r>
              <w:rPr>
                <w:sz w:val="18"/>
              </w:rPr>
              <w:t>portfolios,</w:t>
            </w:r>
            <w:r>
              <w:rPr>
                <w:spacing w:val="-6"/>
                <w:sz w:val="18"/>
              </w:rPr>
              <w:t> </w:t>
            </w:r>
            <w:r>
              <w:rPr>
                <w:spacing w:val="-5"/>
                <w:sz w:val="18"/>
              </w:rPr>
              <w:t>net</w:t>
            </w:r>
          </w:p>
        </w:tc>
        <w:tc>
          <w:tcPr>
            <w:tcW w:w="1144" w:type="dxa"/>
          </w:tcPr>
          <w:p>
            <w:pPr>
              <w:pStyle w:val="TableParagraph"/>
              <w:spacing w:line="201" w:lineRule="exact"/>
              <w:ind w:right="121"/>
              <w:jc w:val="right"/>
              <w:rPr>
                <w:sz w:val="18"/>
              </w:rPr>
            </w:pPr>
            <w:r>
              <w:rPr>
                <w:spacing w:val="-5"/>
                <w:sz w:val="18"/>
              </w:rPr>
              <w:t>155</w:t>
            </w:r>
          </w:p>
        </w:tc>
        <w:tc>
          <w:tcPr>
            <w:tcW w:w="1155" w:type="dxa"/>
          </w:tcPr>
          <w:p>
            <w:pPr>
              <w:pStyle w:val="TableParagraph"/>
              <w:spacing w:line="201" w:lineRule="exact"/>
              <w:ind w:right="61"/>
              <w:jc w:val="right"/>
              <w:rPr>
                <w:sz w:val="18"/>
              </w:rPr>
            </w:pPr>
            <w:r>
              <w:rPr>
                <w:spacing w:val="-2"/>
                <w:sz w:val="18"/>
              </w:rPr>
              <w:t>(3,374)</w:t>
            </w:r>
          </w:p>
        </w:tc>
        <w:tc>
          <w:tcPr>
            <w:tcW w:w="1156" w:type="dxa"/>
          </w:tcPr>
          <w:p>
            <w:pPr>
              <w:pStyle w:val="TableParagraph"/>
              <w:spacing w:line="201" w:lineRule="exact"/>
              <w:ind w:right="62"/>
              <w:jc w:val="right"/>
              <w:rPr>
                <w:sz w:val="18"/>
              </w:rPr>
            </w:pPr>
            <w:r>
              <w:rPr>
                <w:spacing w:val="-2"/>
                <w:sz w:val="18"/>
              </w:rPr>
              <w:t>(1,232)</w:t>
            </w:r>
          </w:p>
        </w:tc>
      </w:tr>
      <w:tr>
        <w:trPr>
          <w:trHeight w:val="255" w:hRule="atLeast"/>
        </w:trPr>
        <w:tc>
          <w:tcPr>
            <w:tcW w:w="5952" w:type="dxa"/>
          </w:tcPr>
          <w:p>
            <w:pPr>
              <w:pStyle w:val="TableParagraph"/>
              <w:spacing w:before="21"/>
              <w:ind w:left="590"/>
              <w:rPr>
                <w:sz w:val="18"/>
              </w:rPr>
            </w:pPr>
            <w:r>
              <w:rPr>
                <w:sz w:val="18"/>
              </w:rPr>
              <w:t>Non-functional</w:t>
            </w:r>
            <w:r>
              <w:rPr>
                <w:spacing w:val="-6"/>
                <w:sz w:val="18"/>
              </w:rPr>
              <w:t> </w:t>
            </w:r>
            <w:r>
              <w:rPr>
                <w:sz w:val="18"/>
              </w:rPr>
              <w:t>currency</w:t>
            </w:r>
            <w:r>
              <w:rPr>
                <w:spacing w:val="-6"/>
                <w:sz w:val="18"/>
              </w:rPr>
              <w:t> </w:t>
            </w:r>
            <w:r>
              <w:rPr>
                <w:sz w:val="18"/>
              </w:rPr>
              <w:t>translation</w:t>
            </w:r>
            <w:r>
              <w:rPr>
                <w:spacing w:val="-5"/>
                <w:sz w:val="18"/>
              </w:rPr>
              <w:t> </w:t>
            </w:r>
            <w:r>
              <w:rPr>
                <w:sz w:val="18"/>
              </w:rPr>
              <w:t>adjustment</w:t>
            </w:r>
            <w:r>
              <w:rPr>
                <w:spacing w:val="-6"/>
                <w:sz w:val="18"/>
              </w:rPr>
              <w:t> </w:t>
            </w:r>
            <w:r>
              <w:rPr>
                <w:sz w:val="18"/>
              </w:rPr>
              <w:t>gains,</w:t>
            </w:r>
            <w:r>
              <w:rPr>
                <w:spacing w:val="-5"/>
                <w:sz w:val="18"/>
              </w:rPr>
              <w:t> net</w:t>
            </w:r>
          </w:p>
        </w:tc>
        <w:tc>
          <w:tcPr>
            <w:tcW w:w="1144" w:type="dxa"/>
          </w:tcPr>
          <w:p>
            <w:pPr>
              <w:pStyle w:val="TableParagraph"/>
              <w:spacing w:before="21"/>
              <w:ind w:right="61"/>
              <w:jc w:val="right"/>
              <w:rPr>
                <w:sz w:val="18"/>
              </w:rPr>
            </w:pPr>
            <w:r>
              <w:rPr>
                <w:spacing w:val="-4"/>
                <w:sz w:val="18"/>
              </w:rPr>
              <w:t>(39)</w:t>
            </w:r>
          </w:p>
        </w:tc>
        <w:tc>
          <w:tcPr>
            <w:tcW w:w="1155" w:type="dxa"/>
          </w:tcPr>
          <w:p>
            <w:pPr>
              <w:pStyle w:val="TableParagraph"/>
              <w:spacing w:before="21"/>
              <w:ind w:right="61"/>
              <w:jc w:val="right"/>
              <w:rPr>
                <w:sz w:val="18"/>
              </w:rPr>
            </w:pPr>
            <w:r>
              <w:rPr>
                <w:spacing w:val="-2"/>
                <w:sz w:val="18"/>
              </w:rPr>
              <w:t>(150)</w:t>
            </w:r>
          </w:p>
        </w:tc>
        <w:tc>
          <w:tcPr>
            <w:tcW w:w="1156" w:type="dxa"/>
          </w:tcPr>
          <w:p>
            <w:pPr>
              <w:pStyle w:val="TableParagraph"/>
              <w:spacing w:before="21"/>
              <w:ind w:right="62"/>
              <w:jc w:val="right"/>
              <w:rPr>
                <w:sz w:val="18"/>
              </w:rPr>
            </w:pPr>
            <w:r>
              <w:rPr>
                <w:spacing w:val="-4"/>
                <w:sz w:val="18"/>
              </w:rPr>
              <w:t>(35)</w:t>
            </w:r>
          </w:p>
        </w:tc>
      </w:tr>
      <w:tr>
        <w:trPr>
          <w:trHeight w:val="255" w:hRule="atLeast"/>
        </w:trPr>
        <w:tc>
          <w:tcPr>
            <w:tcW w:w="5952" w:type="dxa"/>
          </w:tcPr>
          <w:p>
            <w:pPr>
              <w:pStyle w:val="TableParagraph"/>
              <w:spacing w:before="21"/>
              <w:ind w:left="590"/>
              <w:rPr>
                <w:sz w:val="18"/>
              </w:rPr>
            </w:pPr>
            <w:r>
              <w:rPr>
                <w:sz w:val="18"/>
              </w:rPr>
              <w:t>Depreciation</w:t>
            </w:r>
            <w:r>
              <w:rPr>
                <w:spacing w:val="-5"/>
                <w:sz w:val="18"/>
              </w:rPr>
              <w:t> </w:t>
            </w:r>
            <w:r>
              <w:rPr>
                <w:sz w:val="18"/>
              </w:rPr>
              <w:t>and</w:t>
            </w:r>
            <w:r>
              <w:rPr>
                <w:spacing w:val="-5"/>
                <w:sz w:val="18"/>
              </w:rPr>
              <w:t> </w:t>
            </w:r>
            <w:r>
              <w:rPr>
                <w:spacing w:val="-2"/>
                <w:sz w:val="18"/>
              </w:rPr>
              <w:t>amortization</w:t>
            </w:r>
          </w:p>
        </w:tc>
        <w:tc>
          <w:tcPr>
            <w:tcW w:w="1144" w:type="dxa"/>
          </w:tcPr>
          <w:p>
            <w:pPr>
              <w:pStyle w:val="TableParagraph"/>
              <w:spacing w:before="21"/>
              <w:ind w:right="121"/>
              <w:jc w:val="right"/>
              <w:rPr>
                <w:sz w:val="18"/>
              </w:rPr>
            </w:pPr>
            <w:r>
              <w:rPr>
                <w:spacing w:val="-5"/>
                <w:sz w:val="18"/>
              </w:rPr>
              <w:t>535</w:t>
            </w:r>
          </w:p>
        </w:tc>
        <w:tc>
          <w:tcPr>
            <w:tcW w:w="1155" w:type="dxa"/>
          </w:tcPr>
          <w:p>
            <w:pPr>
              <w:pStyle w:val="TableParagraph"/>
              <w:spacing w:before="21"/>
              <w:ind w:right="121"/>
              <w:jc w:val="right"/>
              <w:rPr>
                <w:sz w:val="18"/>
              </w:rPr>
            </w:pPr>
            <w:r>
              <w:rPr>
                <w:spacing w:val="-5"/>
                <w:sz w:val="18"/>
              </w:rPr>
              <w:t>106</w:t>
            </w:r>
          </w:p>
        </w:tc>
        <w:tc>
          <w:tcPr>
            <w:tcW w:w="1156" w:type="dxa"/>
          </w:tcPr>
          <w:p>
            <w:pPr>
              <w:pStyle w:val="TableParagraph"/>
              <w:spacing w:before="21"/>
              <w:ind w:right="122"/>
              <w:jc w:val="right"/>
              <w:rPr>
                <w:sz w:val="18"/>
              </w:rPr>
            </w:pPr>
            <w:r>
              <w:rPr>
                <w:spacing w:val="-5"/>
                <w:sz w:val="18"/>
              </w:rPr>
              <w:t>94</w:t>
            </w:r>
          </w:p>
        </w:tc>
      </w:tr>
      <w:tr>
        <w:trPr>
          <w:trHeight w:val="254" w:hRule="atLeast"/>
        </w:trPr>
        <w:tc>
          <w:tcPr>
            <w:tcW w:w="5952" w:type="dxa"/>
          </w:tcPr>
          <w:p>
            <w:pPr>
              <w:pStyle w:val="TableParagraph"/>
              <w:spacing w:before="21"/>
              <w:ind w:left="590"/>
              <w:rPr>
                <w:sz w:val="18"/>
              </w:rPr>
            </w:pPr>
            <w:r>
              <w:rPr>
                <w:sz w:val="18"/>
              </w:rPr>
              <w:t>Provision</w:t>
            </w:r>
            <w:r>
              <w:rPr>
                <w:spacing w:val="-3"/>
                <w:sz w:val="18"/>
              </w:rPr>
              <w:t> </w:t>
            </w:r>
            <w:r>
              <w:rPr>
                <w:sz w:val="18"/>
              </w:rPr>
              <w:t>for</w:t>
            </w:r>
            <w:r>
              <w:rPr>
                <w:spacing w:val="-3"/>
                <w:sz w:val="18"/>
              </w:rPr>
              <w:t> </w:t>
            </w:r>
            <w:r>
              <w:rPr>
                <w:sz w:val="18"/>
              </w:rPr>
              <w:t>losses</w:t>
            </w:r>
            <w:r>
              <w:rPr>
                <w:spacing w:val="-2"/>
                <w:sz w:val="18"/>
              </w:rPr>
              <w:t> </w:t>
            </w:r>
            <w:r>
              <w:rPr>
                <w:sz w:val="18"/>
              </w:rPr>
              <w:t>on</w:t>
            </w:r>
            <w:r>
              <w:rPr>
                <w:spacing w:val="-3"/>
                <w:sz w:val="18"/>
              </w:rPr>
              <w:t> </w:t>
            </w:r>
            <w:r>
              <w:rPr>
                <w:sz w:val="18"/>
              </w:rPr>
              <w:t>loans</w:t>
            </w:r>
            <w:r>
              <w:rPr>
                <w:spacing w:val="-2"/>
                <w:sz w:val="18"/>
              </w:rPr>
              <w:t> </w:t>
            </w:r>
            <w:r>
              <w:rPr>
                <w:sz w:val="18"/>
              </w:rPr>
              <w:t>and</w:t>
            </w:r>
            <w:r>
              <w:rPr>
                <w:spacing w:val="-3"/>
                <w:sz w:val="18"/>
              </w:rPr>
              <w:t> </w:t>
            </w:r>
            <w:r>
              <w:rPr>
                <w:sz w:val="18"/>
              </w:rPr>
              <w:t>other</w:t>
            </w:r>
            <w:r>
              <w:rPr>
                <w:spacing w:val="-2"/>
                <w:sz w:val="18"/>
              </w:rPr>
              <w:t> exposures</w:t>
            </w:r>
          </w:p>
        </w:tc>
        <w:tc>
          <w:tcPr>
            <w:tcW w:w="1144" w:type="dxa"/>
          </w:tcPr>
          <w:p>
            <w:pPr>
              <w:pStyle w:val="TableParagraph"/>
              <w:spacing w:before="21"/>
              <w:ind w:right="121"/>
              <w:jc w:val="right"/>
              <w:rPr>
                <w:sz w:val="18"/>
              </w:rPr>
            </w:pPr>
            <w:r>
              <w:rPr>
                <w:spacing w:val="-5"/>
                <w:sz w:val="18"/>
              </w:rPr>
              <w:t>685</w:t>
            </w:r>
          </w:p>
        </w:tc>
        <w:tc>
          <w:tcPr>
            <w:tcW w:w="1155" w:type="dxa"/>
          </w:tcPr>
          <w:p>
            <w:pPr>
              <w:pStyle w:val="TableParagraph"/>
              <w:spacing w:before="21"/>
              <w:ind w:right="121"/>
              <w:jc w:val="right"/>
              <w:rPr>
                <w:sz w:val="18"/>
              </w:rPr>
            </w:pPr>
            <w:r>
              <w:rPr>
                <w:spacing w:val="-5"/>
                <w:sz w:val="18"/>
              </w:rPr>
              <w:t>570</w:t>
            </w:r>
          </w:p>
        </w:tc>
        <w:tc>
          <w:tcPr>
            <w:tcW w:w="1156" w:type="dxa"/>
          </w:tcPr>
          <w:p>
            <w:pPr>
              <w:pStyle w:val="TableParagraph"/>
              <w:spacing w:before="21"/>
              <w:ind w:right="122"/>
              <w:jc w:val="right"/>
              <w:rPr>
                <w:sz w:val="18"/>
              </w:rPr>
            </w:pPr>
            <w:r>
              <w:rPr>
                <w:spacing w:val="-5"/>
                <w:sz w:val="18"/>
              </w:rPr>
              <w:t>146</w:t>
            </w:r>
          </w:p>
        </w:tc>
      </w:tr>
      <w:tr>
        <w:trPr>
          <w:trHeight w:val="254" w:hRule="atLeast"/>
        </w:trPr>
        <w:tc>
          <w:tcPr>
            <w:tcW w:w="9407" w:type="dxa"/>
            <w:gridSpan w:val="4"/>
          </w:tcPr>
          <w:p>
            <w:pPr>
              <w:pStyle w:val="TableParagraph"/>
              <w:spacing w:before="21"/>
              <w:ind w:left="230"/>
              <w:rPr>
                <w:sz w:val="18"/>
              </w:rPr>
            </w:pPr>
            <w:r>
              <w:rPr>
                <w:sz w:val="18"/>
              </w:rPr>
              <w:t>Changes</w:t>
            </w:r>
            <w:r>
              <w:rPr>
                <w:spacing w:val="-6"/>
                <w:sz w:val="18"/>
              </w:rPr>
              <w:t> </w:t>
            </w:r>
            <w:r>
              <w:rPr>
                <w:spacing w:val="-5"/>
                <w:sz w:val="18"/>
              </w:rPr>
              <w:t>in:</w:t>
            </w:r>
          </w:p>
        </w:tc>
      </w:tr>
      <w:tr>
        <w:trPr>
          <w:trHeight w:val="255" w:hRule="atLeast"/>
        </w:trPr>
        <w:tc>
          <w:tcPr>
            <w:tcW w:w="5952" w:type="dxa"/>
          </w:tcPr>
          <w:p>
            <w:pPr>
              <w:pStyle w:val="TableParagraph"/>
              <w:spacing w:before="21"/>
              <w:ind w:left="410"/>
              <w:rPr>
                <w:sz w:val="18"/>
              </w:rPr>
            </w:pPr>
            <w:r>
              <w:rPr>
                <w:spacing w:val="-2"/>
                <w:sz w:val="18"/>
              </w:rPr>
              <w:t>Investments-Trading</w:t>
            </w:r>
          </w:p>
        </w:tc>
        <w:tc>
          <w:tcPr>
            <w:tcW w:w="1144" w:type="dxa"/>
          </w:tcPr>
          <w:p>
            <w:pPr>
              <w:pStyle w:val="TableParagraph"/>
              <w:spacing w:before="21"/>
              <w:ind w:right="121"/>
              <w:jc w:val="right"/>
              <w:rPr>
                <w:sz w:val="18"/>
              </w:rPr>
            </w:pPr>
            <w:r>
              <w:rPr>
                <w:spacing w:val="-2"/>
                <w:sz w:val="18"/>
              </w:rPr>
              <w:t>3,173</w:t>
            </w:r>
          </w:p>
        </w:tc>
        <w:tc>
          <w:tcPr>
            <w:tcW w:w="1155" w:type="dxa"/>
          </w:tcPr>
          <w:p>
            <w:pPr>
              <w:pStyle w:val="TableParagraph"/>
              <w:spacing w:before="21"/>
              <w:ind w:right="121"/>
              <w:jc w:val="right"/>
              <w:rPr>
                <w:sz w:val="18"/>
              </w:rPr>
            </w:pPr>
            <w:r>
              <w:rPr>
                <w:spacing w:val="-2"/>
                <w:sz w:val="18"/>
              </w:rPr>
              <w:t>1,792</w:t>
            </w:r>
          </w:p>
        </w:tc>
        <w:tc>
          <w:tcPr>
            <w:tcW w:w="1156" w:type="dxa"/>
          </w:tcPr>
          <w:p>
            <w:pPr>
              <w:pStyle w:val="TableParagraph"/>
              <w:spacing w:before="21"/>
              <w:ind w:right="62"/>
              <w:jc w:val="right"/>
              <w:rPr>
                <w:sz w:val="18"/>
              </w:rPr>
            </w:pPr>
            <w:r>
              <w:rPr>
                <w:spacing w:val="-2"/>
                <w:sz w:val="18"/>
              </w:rPr>
              <w:t>(2,359)</w:t>
            </w:r>
          </w:p>
        </w:tc>
      </w:tr>
      <w:tr>
        <w:trPr>
          <w:trHeight w:val="255" w:hRule="atLeast"/>
        </w:trPr>
        <w:tc>
          <w:tcPr>
            <w:tcW w:w="5952" w:type="dxa"/>
          </w:tcPr>
          <w:p>
            <w:pPr>
              <w:pStyle w:val="TableParagraph"/>
              <w:spacing w:before="21"/>
              <w:ind w:left="410"/>
              <w:rPr>
                <w:sz w:val="18"/>
              </w:rPr>
            </w:pPr>
            <w:r>
              <w:rPr>
                <w:sz w:val="18"/>
              </w:rPr>
              <w:t>Net</w:t>
            </w:r>
            <w:r>
              <w:rPr>
                <w:spacing w:val="-4"/>
                <w:sz w:val="18"/>
              </w:rPr>
              <w:t> </w:t>
            </w:r>
            <w:r>
              <w:rPr>
                <w:sz w:val="18"/>
              </w:rPr>
              <w:t>investment</w:t>
            </w:r>
            <w:r>
              <w:rPr>
                <w:spacing w:val="-4"/>
                <w:sz w:val="18"/>
              </w:rPr>
              <w:t> </w:t>
            </w:r>
            <w:r>
              <w:rPr>
                <w:sz w:val="18"/>
              </w:rPr>
              <w:t>securities</w:t>
            </w:r>
            <w:r>
              <w:rPr>
                <w:spacing w:val="-4"/>
                <w:sz w:val="18"/>
              </w:rPr>
              <w:t> </w:t>
            </w:r>
            <w:r>
              <w:rPr>
                <w:spacing w:val="-2"/>
                <w:sz w:val="18"/>
              </w:rPr>
              <w:t>purchased/traded</w:t>
            </w:r>
          </w:p>
        </w:tc>
        <w:tc>
          <w:tcPr>
            <w:tcW w:w="1144" w:type="dxa"/>
          </w:tcPr>
          <w:p>
            <w:pPr>
              <w:pStyle w:val="TableParagraph"/>
              <w:spacing w:before="21"/>
              <w:ind w:right="121"/>
              <w:jc w:val="right"/>
              <w:rPr>
                <w:sz w:val="18"/>
              </w:rPr>
            </w:pPr>
            <w:r>
              <w:rPr>
                <w:spacing w:val="-5"/>
                <w:sz w:val="18"/>
              </w:rPr>
              <w:t>608</w:t>
            </w:r>
          </w:p>
        </w:tc>
        <w:tc>
          <w:tcPr>
            <w:tcW w:w="1155" w:type="dxa"/>
          </w:tcPr>
          <w:p>
            <w:pPr>
              <w:pStyle w:val="TableParagraph"/>
              <w:spacing w:before="21"/>
              <w:ind w:right="61"/>
              <w:jc w:val="right"/>
              <w:rPr>
                <w:sz w:val="18"/>
              </w:rPr>
            </w:pPr>
            <w:r>
              <w:rPr>
                <w:spacing w:val="-2"/>
                <w:sz w:val="18"/>
              </w:rPr>
              <w:t>(371)</w:t>
            </w:r>
          </w:p>
        </w:tc>
        <w:tc>
          <w:tcPr>
            <w:tcW w:w="1156" w:type="dxa"/>
          </w:tcPr>
          <w:p>
            <w:pPr>
              <w:pStyle w:val="TableParagraph"/>
              <w:spacing w:before="21"/>
              <w:ind w:right="122"/>
              <w:jc w:val="right"/>
              <w:rPr>
                <w:sz w:val="18"/>
              </w:rPr>
            </w:pPr>
            <w:r>
              <w:rPr>
                <w:spacing w:val="-5"/>
                <w:sz w:val="18"/>
              </w:rPr>
              <w:t>137</w:t>
            </w:r>
          </w:p>
        </w:tc>
      </w:tr>
      <w:tr>
        <w:trPr>
          <w:trHeight w:val="259" w:hRule="atLeast"/>
        </w:trPr>
        <w:tc>
          <w:tcPr>
            <w:tcW w:w="5952" w:type="dxa"/>
          </w:tcPr>
          <w:p>
            <w:pPr>
              <w:pStyle w:val="TableParagraph"/>
              <w:spacing w:before="21"/>
              <w:ind w:left="410"/>
              <w:rPr>
                <w:sz w:val="18"/>
              </w:rPr>
            </w:pPr>
            <w:r>
              <w:rPr>
                <w:sz w:val="18"/>
              </w:rPr>
              <w:t>Net</w:t>
            </w:r>
            <w:r>
              <w:rPr>
                <w:spacing w:val="-8"/>
                <w:sz w:val="18"/>
              </w:rPr>
              <w:t> </w:t>
            </w:r>
            <w:r>
              <w:rPr>
                <w:sz w:val="18"/>
              </w:rPr>
              <w:t>derivatives-</w:t>
            </w:r>
            <w:r>
              <w:rPr>
                <w:spacing w:val="-2"/>
                <w:sz w:val="18"/>
              </w:rPr>
              <w:t>investments</w:t>
            </w:r>
          </w:p>
        </w:tc>
        <w:tc>
          <w:tcPr>
            <w:tcW w:w="1144" w:type="dxa"/>
          </w:tcPr>
          <w:p>
            <w:pPr>
              <w:pStyle w:val="TableParagraph"/>
              <w:spacing w:before="21"/>
              <w:ind w:right="61"/>
              <w:jc w:val="right"/>
              <w:rPr>
                <w:sz w:val="18"/>
              </w:rPr>
            </w:pPr>
            <w:r>
              <w:rPr>
                <w:spacing w:val="-2"/>
                <w:sz w:val="18"/>
              </w:rPr>
              <w:t>(826)</w:t>
            </w:r>
          </w:p>
        </w:tc>
        <w:tc>
          <w:tcPr>
            <w:tcW w:w="1155" w:type="dxa"/>
          </w:tcPr>
          <w:p>
            <w:pPr>
              <w:pStyle w:val="TableParagraph"/>
              <w:spacing w:before="21"/>
              <w:ind w:right="121"/>
              <w:jc w:val="right"/>
              <w:rPr>
                <w:sz w:val="18"/>
              </w:rPr>
            </w:pPr>
            <w:r>
              <w:rPr>
                <w:spacing w:val="-2"/>
                <w:sz w:val="18"/>
              </w:rPr>
              <w:t>2,921</w:t>
            </w:r>
          </w:p>
        </w:tc>
        <w:tc>
          <w:tcPr>
            <w:tcW w:w="1156" w:type="dxa"/>
          </w:tcPr>
          <w:p>
            <w:pPr>
              <w:pStyle w:val="TableParagraph"/>
              <w:spacing w:before="21"/>
              <w:ind w:right="62"/>
              <w:jc w:val="right"/>
              <w:rPr>
                <w:sz w:val="18"/>
              </w:rPr>
            </w:pPr>
            <w:r>
              <w:rPr>
                <w:spacing w:val="-2"/>
                <w:sz w:val="18"/>
              </w:rPr>
              <w:t>(1,406)</w:t>
            </w:r>
          </w:p>
        </w:tc>
      </w:tr>
      <w:tr>
        <w:trPr>
          <w:trHeight w:val="240" w:hRule="atLeast"/>
        </w:trPr>
        <w:tc>
          <w:tcPr>
            <w:tcW w:w="5952" w:type="dxa"/>
          </w:tcPr>
          <w:p>
            <w:pPr>
              <w:pStyle w:val="TableParagraph"/>
              <w:spacing w:line="194" w:lineRule="exact" w:before="25"/>
              <w:ind w:left="410"/>
              <w:rPr>
                <w:sz w:val="18"/>
              </w:rPr>
            </w:pPr>
            <w:r>
              <w:rPr>
                <w:sz w:val="18"/>
              </w:rPr>
              <w:t>Net</w:t>
            </w:r>
            <w:r>
              <w:rPr>
                <w:spacing w:val="-5"/>
                <w:sz w:val="18"/>
              </w:rPr>
              <w:t> </w:t>
            </w:r>
            <w:r>
              <w:rPr>
                <w:sz w:val="18"/>
              </w:rPr>
              <w:t>securities</w:t>
            </w:r>
            <w:r>
              <w:rPr>
                <w:spacing w:val="-5"/>
                <w:sz w:val="18"/>
              </w:rPr>
              <w:t> </w:t>
            </w:r>
            <w:r>
              <w:rPr>
                <w:sz w:val="18"/>
              </w:rPr>
              <w:t>purchased/sold</w:t>
            </w:r>
            <w:r>
              <w:rPr>
                <w:spacing w:val="-5"/>
                <w:sz w:val="18"/>
              </w:rPr>
              <w:t> </w:t>
            </w:r>
            <w:r>
              <w:rPr>
                <w:sz w:val="18"/>
              </w:rPr>
              <w:t>under</w:t>
            </w:r>
            <w:r>
              <w:rPr>
                <w:spacing w:val="-4"/>
                <w:sz w:val="18"/>
              </w:rPr>
              <w:t> </w:t>
            </w:r>
            <w:r>
              <w:rPr>
                <w:spacing w:val="-2"/>
                <w:sz w:val="18"/>
              </w:rPr>
              <w:t>resale/repurchase</w:t>
            </w:r>
          </w:p>
        </w:tc>
        <w:tc>
          <w:tcPr>
            <w:tcW w:w="1144" w:type="dxa"/>
          </w:tcPr>
          <w:p>
            <w:pPr>
              <w:pStyle w:val="TableParagraph"/>
              <w:rPr>
                <w:rFonts w:ascii="Times New Roman"/>
                <w:sz w:val="16"/>
              </w:rPr>
            </w:pPr>
          </w:p>
        </w:tc>
        <w:tc>
          <w:tcPr>
            <w:tcW w:w="1155" w:type="dxa"/>
          </w:tcPr>
          <w:p>
            <w:pPr>
              <w:pStyle w:val="TableParagraph"/>
              <w:rPr>
                <w:rFonts w:ascii="Times New Roman"/>
                <w:sz w:val="16"/>
              </w:rPr>
            </w:pPr>
          </w:p>
        </w:tc>
        <w:tc>
          <w:tcPr>
            <w:tcW w:w="1156" w:type="dxa"/>
          </w:tcPr>
          <w:p>
            <w:pPr>
              <w:pStyle w:val="TableParagraph"/>
              <w:rPr>
                <w:rFonts w:ascii="Times New Roman"/>
                <w:sz w:val="16"/>
              </w:rPr>
            </w:pPr>
          </w:p>
        </w:tc>
      </w:tr>
      <w:tr>
        <w:trPr>
          <w:trHeight w:val="235" w:hRule="atLeast"/>
        </w:trPr>
        <w:tc>
          <w:tcPr>
            <w:tcW w:w="5952" w:type="dxa"/>
          </w:tcPr>
          <w:p>
            <w:pPr>
              <w:pStyle w:val="TableParagraph"/>
              <w:spacing w:before="1"/>
              <w:ind w:left="590"/>
              <w:rPr>
                <w:sz w:val="18"/>
              </w:rPr>
            </w:pPr>
            <w:r>
              <w:rPr>
                <w:sz w:val="18"/>
              </w:rPr>
              <w:t>agreements</w:t>
            </w:r>
            <w:r>
              <w:rPr>
                <w:spacing w:val="-4"/>
                <w:sz w:val="18"/>
              </w:rPr>
              <w:t> </w:t>
            </w:r>
            <w:r>
              <w:rPr>
                <w:sz w:val="18"/>
              </w:rPr>
              <w:t>and</w:t>
            </w:r>
            <w:r>
              <w:rPr>
                <w:spacing w:val="-3"/>
                <w:sz w:val="18"/>
              </w:rPr>
              <w:t> </w:t>
            </w:r>
            <w:r>
              <w:rPr>
                <w:sz w:val="18"/>
              </w:rPr>
              <w:t>payable</w:t>
            </w:r>
            <w:r>
              <w:rPr>
                <w:spacing w:val="-4"/>
                <w:sz w:val="18"/>
              </w:rPr>
              <w:t> </w:t>
            </w:r>
            <w:r>
              <w:rPr>
                <w:sz w:val="18"/>
              </w:rPr>
              <w:t>for</w:t>
            </w:r>
            <w:r>
              <w:rPr>
                <w:spacing w:val="-3"/>
                <w:sz w:val="18"/>
              </w:rPr>
              <w:t> </w:t>
            </w:r>
            <w:r>
              <w:rPr>
                <w:sz w:val="18"/>
              </w:rPr>
              <w:t>cash</w:t>
            </w:r>
            <w:r>
              <w:rPr>
                <w:spacing w:val="-4"/>
                <w:sz w:val="18"/>
              </w:rPr>
              <w:t> </w:t>
            </w:r>
            <w:r>
              <w:rPr>
                <w:sz w:val="18"/>
              </w:rPr>
              <w:t>collateral</w:t>
            </w:r>
            <w:r>
              <w:rPr>
                <w:spacing w:val="-3"/>
                <w:sz w:val="18"/>
              </w:rPr>
              <w:t> </w:t>
            </w:r>
            <w:r>
              <w:rPr>
                <w:spacing w:val="-2"/>
                <w:sz w:val="18"/>
              </w:rPr>
              <w:t>received</w:t>
            </w:r>
          </w:p>
        </w:tc>
        <w:tc>
          <w:tcPr>
            <w:tcW w:w="1144" w:type="dxa"/>
          </w:tcPr>
          <w:p>
            <w:pPr>
              <w:pStyle w:val="TableParagraph"/>
              <w:spacing w:before="1"/>
              <w:ind w:right="61"/>
              <w:jc w:val="right"/>
              <w:rPr>
                <w:sz w:val="18"/>
              </w:rPr>
            </w:pPr>
            <w:r>
              <w:rPr>
                <w:spacing w:val="-4"/>
                <w:sz w:val="18"/>
              </w:rPr>
              <w:t>(94)</w:t>
            </w:r>
          </w:p>
        </w:tc>
        <w:tc>
          <w:tcPr>
            <w:tcW w:w="1155" w:type="dxa"/>
          </w:tcPr>
          <w:p>
            <w:pPr>
              <w:pStyle w:val="TableParagraph"/>
              <w:spacing w:before="1"/>
              <w:ind w:right="61"/>
              <w:jc w:val="right"/>
              <w:rPr>
                <w:sz w:val="18"/>
              </w:rPr>
            </w:pPr>
            <w:r>
              <w:rPr>
                <w:spacing w:val="-2"/>
                <w:sz w:val="18"/>
              </w:rPr>
              <w:t>(2,781)</w:t>
            </w:r>
          </w:p>
        </w:tc>
        <w:tc>
          <w:tcPr>
            <w:tcW w:w="1156" w:type="dxa"/>
          </w:tcPr>
          <w:p>
            <w:pPr>
              <w:pStyle w:val="TableParagraph"/>
              <w:spacing w:before="1"/>
              <w:ind w:right="122"/>
              <w:jc w:val="right"/>
              <w:rPr>
                <w:sz w:val="18"/>
              </w:rPr>
            </w:pPr>
            <w:r>
              <w:rPr>
                <w:spacing w:val="-2"/>
                <w:sz w:val="18"/>
              </w:rPr>
              <w:t>1,171</w:t>
            </w:r>
          </w:p>
        </w:tc>
      </w:tr>
      <w:tr>
        <w:trPr>
          <w:trHeight w:val="255" w:hRule="atLeast"/>
        </w:trPr>
        <w:tc>
          <w:tcPr>
            <w:tcW w:w="5952" w:type="dxa"/>
          </w:tcPr>
          <w:p>
            <w:pPr>
              <w:pStyle w:val="TableParagraph"/>
              <w:spacing w:before="21"/>
              <w:ind w:left="440"/>
              <w:rPr>
                <w:sz w:val="18"/>
              </w:rPr>
            </w:pPr>
            <w:r>
              <w:rPr>
                <w:sz w:val="18"/>
              </w:rPr>
              <w:t>Accrued</w:t>
            </w:r>
            <w:r>
              <w:rPr>
                <w:spacing w:val="-3"/>
                <w:sz w:val="18"/>
              </w:rPr>
              <w:t> </w:t>
            </w:r>
            <w:r>
              <w:rPr>
                <w:sz w:val="18"/>
              </w:rPr>
              <w:t>income</w:t>
            </w:r>
            <w:r>
              <w:rPr>
                <w:spacing w:val="-3"/>
                <w:sz w:val="18"/>
              </w:rPr>
              <w:t> </w:t>
            </w:r>
            <w:r>
              <w:rPr>
                <w:sz w:val="18"/>
              </w:rPr>
              <w:t>on</w:t>
            </w:r>
            <w:r>
              <w:rPr>
                <w:spacing w:val="-3"/>
                <w:sz w:val="18"/>
              </w:rPr>
              <w:t> </w:t>
            </w:r>
            <w:r>
              <w:rPr>
                <w:sz w:val="18"/>
              </w:rPr>
              <w:t>loans</w:t>
            </w:r>
            <w:r>
              <w:rPr>
                <w:spacing w:val="-3"/>
                <w:sz w:val="18"/>
              </w:rPr>
              <w:t> </w:t>
            </w:r>
            <w:r>
              <w:rPr>
                <w:sz w:val="18"/>
              </w:rPr>
              <w:t>and</w:t>
            </w:r>
            <w:r>
              <w:rPr>
                <w:spacing w:val="-3"/>
                <w:sz w:val="18"/>
              </w:rPr>
              <w:t> </w:t>
            </w:r>
            <w:r>
              <w:rPr>
                <w:sz w:val="18"/>
              </w:rPr>
              <w:t>guarantee</w:t>
            </w:r>
            <w:r>
              <w:rPr>
                <w:spacing w:val="-3"/>
                <w:sz w:val="18"/>
              </w:rPr>
              <w:t> </w:t>
            </w:r>
            <w:r>
              <w:rPr>
                <w:sz w:val="18"/>
              </w:rPr>
              <w:t>fees</w:t>
            </w:r>
            <w:r>
              <w:rPr>
                <w:spacing w:val="-2"/>
                <w:sz w:val="18"/>
              </w:rPr>
              <w:t> receivable</w:t>
            </w:r>
          </w:p>
        </w:tc>
        <w:tc>
          <w:tcPr>
            <w:tcW w:w="1144" w:type="dxa"/>
          </w:tcPr>
          <w:p>
            <w:pPr>
              <w:pStyle w:val="TableParagraph"/>
              <w:spacing w:before="21"/>
              <w:ind w:right="61"/>
              <w:jc w:val="right"/>
              <w:rPr>
                <w:sz w:val="18"/>
              </w:rPr>
            </w:pPr>
            <w:r>
              <w:rPr>
                <w:spacing w:val="-2"/>
                <w:sz w:val="18"/>
              </w:rPr>
              <w:t>(2,230)</w:t>
            </w:r>
          </w:p>
        </w:tc>
        <w:tc>
          <w:tcPr>
            <w:tcW w:w="1155" w:type="dxa"/>
          </w:tcPr>
          <w:p>
            <w:pPr>
              <w:pStyle w:val="TableParagraph"/>
              <w:spacing w:before="21"/>
              <w:ind w:right="61"/>
              <w:jc w:val="right"/>
              <w:rPr>
                <w:sz w:val="18"/>
              </w:rPr>
            </w:pPr>
            <w:r>
              <w:rPr>
                <w:spacing w:val="-2"/>
                <w:sz w:val="18"/>
              </w:rPr>
              <w:t>(299)</w:t>
            </w:r>
          </w:p>
        </w:tc>
        <w:tc>
          <w:tcPr>
            <w:tcW w:w="1156" w:type="dxa"/>
          </w:tcPr>
          <w:p>
            <w:pPr>
              <w:pStyle w:val="TableParagraph"/>
              <w:spacing w:before="21"/>
              <w:ind w:right="122"/>
              <w:jc w:val="right"/>
              <w:rPr>
                <w:sz w:val="18"/>
              </w:rPr>
            </w:pPr>
            <w:r>
              <w:rPr>
                <w:spacing w:val="-5"/>
                <w:sz w:val="18"/>
              </w:rPr>
              <w:t>449</w:t>
            </w:r>
          </w:p>
        </w:tc>
      </w:tr>
      <w:tr>
        <w:trPr>
          <w:trHeight w:val="255" w:hRule="atLeast"/>
        </w:trPr>
        <w:tc>
          <w:tcPr>
            <w:tcW w:w="5952" w:type="dxa"/>
          </w:tcPr>
          <w:p>
            <w:pPr>
              <w:pStyle w:val="TableParagraph"/>
              <w:spacing w:before="21"/>
              <w:ind w:left="410"/>
              <w:rPr>
                <w:sz w:val="18"/>
              </w:rPr>
            </w:pPr>
            <w:r>
              <w:rPr>
                <w:sz w:val="18"/>
              </w:rPr>
              <w:t>Miscellaneous</w:t>
            </w:r>
            <w:r>
              <w:rPr>
                <w:spacing w:val="-9"/>
                <w:sz w:val="18"/>
              </w:rPr>
              <w:t> </w:t>
            </w:r>
            <w:r>
              <w:rPr>
                <w:spacing w:val="-2"/>
                <w:sz w:val="18"/>
              </w:rPr>
              <w:t>assets</w:t>
            </w:r>
          </w:p>
        </w:tc>
        <w:tc>
          <w:tcPr>
            <w:tcW w:w="1144" w:type="dxa"/>
          </w:tcPr>
          <w:p>
            <w:pPr>
              <w:pStyle w:val="TableParagraph"/>
              <w:spacing w:before="21"/>
              <w:ind w:right="61"/>
              <w:jc w:val="right"/>
              <w:rPr>
                <w:sz w:val="18"/>
              </w:rPr>
            </w:pPr>
            <w:r>
              <w:rPr>
                <w:spacing w:val="-5"/>
                <w:sz w:val="18"/>
              </w:rPr>
              <w:t>(4)</w:t>
            </w:r>
          </w:p>
        </w:tc>
        <w:tc>
          <w:tcPr>
            <w:tcW w:w="1155" w:type="dxa"/>
          </w:tcPr>
          <w:p>
            <w:pPr>
              <w:pStyle w:val="TableParagraph"/>
              <w:spacing w:before="21"/>
              <w:ind w:right="121"/>
              <w:jc w:val="right"/>
              <w:rPr>
                <w:sz w:val="18"/>
              </w:rPr>
            </w:pPr>
            <w:r>
              <w:rPr>
                <w:spacing w:val="-5"/>
                <w:sz w:val="18"/>
              </w:rPr>
              <w:t>87</w:t>
            </w:r>
          </w:p>
        </w:tc>
        <w:tc>
          <w:tcPr>
            <w:tcW w:w="1156" w:type="dxa"/>
          </w:tcPr>
          <w:p>
            <w:pPr>
              <w:pStyle w:val="TableParagraph"/>
              <w:spacing w:before="21"/>
              <w:ind w:right="62"/>
              <w:jc w:val="right"/>
              <w:rPr>
                <w:sz w:val="18"/>
              </w:rPr>
            </w:pPr>
            <w:r>
              <w:rPr>
                <w:spacing w:val="-2"/>
                <w:sz w:val="18"/>
              </w:rPr>
              <w:t>(239)</w:t>
            </w:r>
          </w:p>
        </w:tc>
      </w:tr>
      <w:tr>
        <w:trPr>
          <w:trHeight w:val="255" w:hRule="atLeast"/>
        </w:trPr>
        <w:tc>
          <w:tcPr>
            <w:tcW w:w="5952" w:type="dxa"/>
          </w:tcPr>
          <w:p>
            <w:pPr>
              <w:pStyle w:val="TableParagraph"/>
              <w:spacing w:before="21"/>
              <w:ind w:left="410"/>
              <w:rPr>
                <w:sz w:val="18"/>
              </w:rPr>
            </w:pPr>
            <w:r>
              <w:rPr>
                <w:sz w:val="18"/>
              </w:rPr>
              <w:t>Accrued</w:t>
            </w:r>
            <w:r>
              <w:rPr>
                <w:spacing w:val="-3"/>
                <w:sz w:val="18"/>
              </w:rPr>
              <w:t> </w:t>
            </w:r>
            <w:r>
              <w:rPr>
                <w:sz w:val="18"/>
              </w:rPr>
              <w:t>interest</w:t>
            </w:r>
            <w:r>
              <w:rPr>
                <w:spacing w:val="-2"/>
                <w:sz w:val="18"/>
              </w:rPr>
              <w:t> </w:t>
            </w:r>
            <w:r>
              <w:rPr>
                <w:sz w:val="18"/>
              </w:rPr>
              <w:t>on</w:t>
            </w:r>
            <w:r>
              <w:rPr>
                <w:spacing w:val="-2"/>
                <w:sz w:val="18"/>
              </w:rPr>
              <w:t> borrowings</w:t>
            </w:r>
          </w:p>
        </w:tc>
        <w:tc>
          <w:tcPr>
            <w:tcW w:w="1144" w:type="dxa"/>
          </w:tcPr>
          <w:p>
            <w:pPr>
              <w:pStyle w:val="TableParagraph"/>
              <w:spacing w:before="21"/>
              <w:ind w:right="121"/>
              <w:jc w:val="right"/>
              <w:rPr>
                <w:sz w:val="18"/>
              </w:rPr>
            </w:pPr>
            <w:r>
              <w:rPr>
                <w:spacing w:val="-2"/>
                <w:sz w:val="18"/>
              </w:rPr>
              <w:t>2,051</w:t>
            </w:r>
          </w:p>
        </w:tc>
        <w:tc>
          <w:tcPr>
            <w:tcW w:w="1155" w:type="dxa"/>
          </w:tcPr>
          <w:p>
            <w:pPr>
              <w:pStyle w:val="TableParagraph"/>
              <w:spacing w:before="21"/>
              <w:ind w:right="61"/>
              <w:jc w:val="right"/>
              <w:rPr>
                <w:sz w:val="18"/>
              </w:rPr>
            </w:pPr>
            <w:r>
              <w:rPr>
                <w:spacing w:val="-2"/>
                <w:sz w:val="18"/>
              </w:rPr>
              <w:t>(419)</w:t>
            </w:r>
          </w:p>
        </w:tc>
        <w:tc>
          <w:tcPr>
            <w:tcW w:w="1156" w:type="dxa"/>
          </w:tcPr>
          <w:p>
            <w:pPr>
              <w:pStyle w:val="TableParagraph"/>
              <w:spacing w:before="21"/>
              <w:ind w:right="62"/>
              <w:jc w:val="right"/>
              <w:rPr>
                <w:sz w:val="18"/>
              </w:rPr>
            </w:pPr>
            <w:r>
              <w:rPr>
                <w:spacing w:val="-2"/>
                <w:sz w:val="18"/>
              </w:rPr>
              <w:t>(811)</w:t>
            </w:r>
          </w:p>
        </w:tc>
      </w:tr>
      <w:tr>
        <w:trPr>
          <w:trHeight w:val="255" w:hRule="atLeast"/>
        </w:trPr>
        <w:tc>
          <w:tcPr>
            <w:tcW w:w="5952" w:type="dxa"/>
          </w:tcPr>
          <w:p>
            <w:pPr>
              <w:pStyle w:val="TableParagraph"/>
              <w:spacing w:before="21"/>
              <w:ind w:left="410"/>
              <w:rPr>
                <w:sz w:val="18"/>
              </w:rPr>
            </w:pPr>
            <w:r>
              <w:rPr>
                <w:sz w:val="18"/>
              </w:rPr>
              <w:t>Accounts</w:t>
            </w:r>
            <w:r>
              <w:rPr>
                <w:spacing w:val="-5"/>
                <w:sz w:val="18"/>
              </w:rPr>
              <w:t> </w:t>
            </w:r>
            <w:r>
              <w:rPr>
                <w:sz w:val="18"/>
              </w:rPr>
              <w:t>payable</w:t>
            </w:r>
            <w:r>
              <w:rPr>
                <w:spacing w:val="-5"/>
                <w:sz w:val="18"/>
              </w:rPr>
              <w:t> </w:t>
            </w:r>
            <w:r>
              <w:rPr>
                <w:sz w:val="18"/>
              </w:rPr>
              <w:t>and</w:t>
            </w:r>
            <w:r>
              <w:rPr>
                <w:spacing w:val="-5"/>
                <w:sz w:val="18"/>
              </w:rPr>
              <w:t> </w:t>
            </w:r>
            <w:r>
              <w:rPr>
                <w:sz w:val="18"/>
              </w:rPr>
              <w:t>miscellaneous</w:t>
            </w:r>
            <w:r>
              <w:rPr>
                <w:spacing w:val="-4"/>
                <w:sz w:val="18"/>
              </w:rPr>
              <w:t> </w:t>
            </w:r>
            <w:r>
              <w:rPr>
                <w:spacing w:val="-2"/>
                <w:sz w:val="18"/>
              </w:rPr>
              <w:t>liabilities</w:t>
            </w:r>
          </w:p>
        </w:tc>
        <w:tc>
          <w:tcPr>
            <w:tcW w:w="1144" w:type="dxa"/>
          </w:tcPr>
          <w:p>
            <w:pPr>
              <w:pStyle w:val="TableParagraph"/>
              <w:spacing w:before="21"/>
              <w:ind w:right="121"/>
              <w:jc w:val="right"/>
              <w:rPr>
                <w:sz w:val="18"/>
              </w:rPr>
            </w:pPr>
            <w:r>
              <w:rPr>
                <w:spacing w:val="-5"/>
                <w:sz w:val="18"/>
              </w:rPr>
              <w:t>463</w:t>
            </w:r>
          </w:p>
        </w:tc>
        <w:tc>
          <w:tcPr>
            <w:tcW w:w="1155" w:type="dxa"/>
          </w:tcPr>
          <w:p>
            <w:pPr>
              <w:pStyle w:val="TableParagraph"/>
              <w:spacing w:before="21"/>
              <w:ind w:right="121"/>
              <w:jc w:val="right"/>
              <w:rPr>
                <w:sz w:val="18"/>
              </w:rPr>
            </w:pPr>
            <w:r>
              <w:rPr>
                <w:spacing w:val="-5"/>
                <w:sz w:val="18"/>
              </w:rPr>
              <w:t>200</w:t>
            </w:r>
          </w:p>
        </w:tc>
        <w:tc>
          <w:tcPr>
            <w:tcW w:w="1156" w:type="dxa"/>
          </w:tcPr>
          <w:p>
            <w:pPr>
              <w:pStyle w:val="TableParagraph"/>
              <w:spacing w:before="21"/>
              <w:ind w:right="122"/>
              <w:jc w:val="right"/>
              <w:rPr>
                <w:sz w:val="18"/>
              </w:rPr>
            </w:pPr>
            <w:r>
              <w:rPr>
                <w:spacing w:val="-5"/>
                <w:sz w:val="18"/>
              </w:rPr>
              <w:t>123</w:t>
            </w:r>
          </w:p>
        </w:tc>
      </w:tr>
      <w:tr>
        <w:trPr>
          <w:trHeight w:val="257" w:hRule="atLeast"/>
        </w:trPr>
        <w:tc>
          <w:tcPr>
            <w:tcW w:w="5952" w:type="dxa"/>
          </w:tcPr>
          <w:p>
            <w:pPr>
              <w:pStyle w:val="TableParagraph"/>
              <w:spacing w:before="21"/>
              <w:ind w:left="410"/>
              <w:rPr>
                <w:sz w:val="18"/>
              </w:rPr>
            </w:pPr>
            <w:r>
              <w:rPr>
                <w:sz w:val="18"/>
              </w:rPr>
              <w:t>Pension</w:t>
            </w:r>
            <w:r>
              <w:rPr>
                <w:spacing w:val="-4"/>
                <w:sz w:val="18"/>
              </w:rPr>
              <w:t> </w:t>
            </w:r>
            <w:r>
              <w:rPr>
                <w:sz w:val="18"/>
              </w:rPr>
              <w:t>and</w:t>
            </w:r>
            <w:r>
              <w:rPr>
                <w:spacing w:val="-4"/>
                <w:sz w:val="18"/>
              </w:rPr>
              <w:t> </w:t>
            </w:r>
            <w:r>
              <w:rPr>
                <w:sz w:val="18"/>
              </w:rPr>
              <w:t>other</w:t>
            </w:r>
            <w:r>
              <w:rPr>
                <w:spacing w:val="-4"/>
                <w:sz w:val="18"/>
              </w:rPr>
              <w:t> </w:t>
            </w:r>
            <w:r>
              <w:rPr>
                <w:sz w:val="18"/>
              </w:rPr>
              <w:t>post-retirement</w:t>
            </w:r>
            <w:r>
              <w:rPr>
                <w:spacing w:val="-4"/>
                <w:sz w:val="18"/>
              </w:rPr>
              <w:t> </w:t>
            </w:r>
            <w:r>
              <w:rPr>
                <w:spacing w:val="-2"/>
                <w:sz w:val="18"/>
              </w:rPr>
              <w:t>benefits</w:t>
            </w:r>
          </w:p>
        </w:tc>
        <w:tc>
          <w:tcPr>
            <w:tcW w:w="1144" w:type="dxa"/>
          </w:tcPr>
          <w:p>
            <w:pPr>
              <w:pStyle w:val="TableParagraph"/>
              <w:spacing w:before="21"/>
              <w:ind w:right="121"/>
              <w:jc w:val="right"/>
              <w:rPr>
                <w:sz w:val="18"/>
              </w:rPr>
            </w:pPr>
            <w:r>
              <w:rPr>
                <w:spacing w:val="-5"/>
                <w:sz w:val="18"/>
              </w:rPr>
              <w:t>86</w:t>
            </w:r>
          </w:p>
        </w:tc>
        <w:tc>
          <w:tcPr>
            <w:tcW w:w="1155" w:type="dxa"/>
          </w:tcPr>
          <w:p>
            <w:pPr>
              <w:pStyle w:val="TableParagraph"/>
              <w:spacing w:before="21"/>
              <w:ind w:right="121"/>
              <w:jc w:val="right"/>
              <w:rPr>
                <w:sz w:val="18"/>
              </w:rPr>
            </w:pPr>
            <w:r>
              <w:rPr>
                <w:spacing w:val="-5"/>
                <w:sz w:val="18"/>
              </w:rPr>
              <w:t>99</w:t>
            </w:r>
          </w:p>
        </w:tc>
        <w:tc>
          <w:tcPr>
            <w:tcW w:w="1156" w:type="dxa"/>
          </w:tcPr>
          <w:p>
            <w:pPr>
              <w:pStyle w:val="TableParagraph"/>
              <w:spacing w:before="21"/>
              <w:ind w:right="122"/>
              <w:jc w:val="right"/>
              <w:rPr>
                <w:sz w:val="18"/>
              </w:rPr>
            </w:pPr>
            <w:r>
              <w:rPr>
                <w:spacing w:val="-5"/>
                <w:sz w:val="18"/>
              </w:rPr>
              <w:t>638</w:t>
            </w:r>
          </w:p>
        </w:tc>
      </w:tr>
      <w:tr>
        <w:trPr>
          <w:trHeight w:val="255" w:hRule="atLeast"/>
        </w:trPr>
        <w:tc>
          <w:tcPr>
            <w:tcW w:w="5952" w:type="dxa"/>
          </w:tcPr>
          <w:p>
            <w:pPr>
              <w:pStyle w:val="TableParagraph"/>
              <w:spacing w:before="18"/>
              <w:ind w:left="50"/>
              <w:rPr>
                <w:sz w:val="18"/>
              </w:rPr>
            </w:pPr>
            <w:r>
              <w:rPr>
                <w:sz w:val="18"/>
              </w:rPr>
              <w:t>Net</w:t>
            </w:r>
            <w:r>
              <w:rPr>
                <w:spacing w:val="-3"/>
                <w:sz w:val="18"/>
              </w:rPr>
              <w:t> </w:t>
            </w:r>
            <w:r>
              <w:rPr>
                <w:sz w:val="18"/>
              </w:rPr>
              <w:t>cash</w:t>
            </w:r>
            <w:r>
              <w:rPr>
                <w:spacing w:val="-3"/>
                <w:sz w:val="18"/>
              </w:rPr>
              <w:t> </w:t>
            </w:r>
            <w:r>
              <w:rPr>
                <w:sz w:val="18"/>
              </w:rPr>
              <w:t>provided</w:t>
            </w:r>
            <w:r>
              <w:rPr>
                <w:spacing w:val="-3"/>
                <w:sz w:val="18"/>
              </w:rPr>
              <w:t> </w:t>
            </w:r>
            <w:r>
              <w:rPr>
                <w:sz w:val="18"/>
              </w:rPr>
              <w:t>by</w:t>
            </w:r>
            <w:r>
              <w:rPr>
                <w:spacing w:val="-2"/>
                <w:sz w:val="18"/>
              </w:rPr>
              <w:t> </w:t>
            </w:r>
            <w:r>
              <w:rPr>
                <w:sz w:val="18"/>
              </w:rPr>
              <w:t>(used</w:t>
            </w:r>
            <w:r>
              <w:rPr>
                <w:spacing w:val="-3"/>
                <w:sz w:val="18"/>
              </w:rPr>
              <w:t> </w:t>
            </w:r>
            <w:r>
              <w:rPr>
                <w:sz w:val="18"/>
              </w:rPr>
              <w:t>in)</w:t>
            </w:r>
            <w:r>
              <w:rPr>
                <w:spacing w:val="-3"/>
                <w:sz w:val="18"/>
              </w:rPr>
              <w:t> </w:t>
            </w:r>
            <w:r>
              <w:rPr>
                <w:sz w:val="18"/>
              </w:rPr>
              <w:t>operating</w:t>
            </w:r>
            <w:r>
              <w:rPr>
                <w:spacing w:val="-2"/>
                <w:sz w:val="18"/>
              </w:rPr>
              <w:t> activities</w:t>
            </w:r>
          </w:p>
        </w:tc>
        <w:tc>
          <w:tcPr>
            <w:tcW w:w="1144" w:type="dxa"/>
          </w:tcPr>
          <w:p>
            <w:pPr>
              <w:pStyle w:val="TableParagraph"/>
              <w:spacing w:before="18"/>
              <w:ind w:right="121"/>
              <w:jc w:val="right"/>
              <w:rPr>
                <w:sz w:val="18"/>
              </w:rPr>
            </w:pPr>
            <w:r>
              <w:rPr>
                <w:sz w:val="18"/>
              </w:rPr>
              <mc:AlternateContent>
                <mc:Choice Requires="wps">
                  <w:drawing>
                    <wp:anchor distT="0" distB="0" distL="0" distR="0" allowOverlap="1" layoutInCell="1" locked="0" behindDoc="1" simplePos="0" relativeHeight="470603776">
                      <wp:simplePos x="0" y="0"/>
                      <wp:positionH relativeFrom="column">
                        <wp:posOffset>0</wp:posOffset>
                      </wp:positionH>
                      <wp:positionV relativeFrom="paragraph">
                        <wp:posOffset>-6579</wp:posOffset>
                      </wp:positionV>
                      <wp:extent cx="2162175" cy="1270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2162175" cy="12700"/>
                                <a:chExt cx="2162175" cy="12700"/>
                              </a:xfrm>
                            </wpg:grpSpPr>
                            <wps:wsp>
                              <wps:cNvPr id="663" name="Graphic 663"/>
                              <wps:cNvSpPr/>
                              <wps:spPr>
                                <a:xfrm>
                                  <a:off x="0" y="6350"/>
                                  <a:ext cx="2162175" cy="1270"/>
                                </a:xfrm>
                                <a:custGeom>
                                  <a:avLst/>
                                  <a:gdLst/>
                                  <a:ahLst/>
                                  <a:cxnLst/>
                                  <a:rect l="l" t="t" r="r" b="b"/>
                                  <a:pathLst>
                                    <a:path w="2162175" h="0">
                                      <a:moveTo>
                                        <a:pt x="0" y="0"/>
                                      </a:moveTo>
                                      <a:lnTo>
                                        <a:pt x="695325" y="0"/>
                                      </a:lnTo>
                                    </a:path>
                                    <a:path w="2162175" h="0">
                                      <a:moveTo>
                                        <a:pt x="733425" y="0"/>
                                      </a:moveTo>
                                      <a:lnTo>
                                        <a:pt x="1428750" y="0"/>
                                      </a:lnTo>
                                    </a:path>
                                    <a:path w="2162175" h="0">
                                      <a:moveTo>
                                        <a:pt x="1466850" y="0"/>
                                      </a:moveTo>
                                      <a:lnTo>
                                        <a:pt x="2162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18089pt;width:170.25pt;height:1pt;mso-position-horizontal-relative:column;mso-position-vertical-relative:paragraph;z-index:-32712704" id="docshapegroup560" coordorigin="0,-10" coordsize="3405,20">
                      <v:shape style="position:absolute;left:0;top:-1;width:3405;height:2" id="docshape561" coordorigin="0,0" coordsize="3405,0" path="m0,0l1095,0m1155,0l2250,0m2310,0l3405,0e" filled="false" stroked="true" strokeweight="1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70604288">
                      <wp:simplePos x="0" y="0"/>
                      <wp:positionH relativeFrom="column">
                        <wp:posOffset>0</wp:posOffset>
                      </wp:positionH>
                      <wp:positionV relativeFrom="paragraph">
                        <wp:posOffset>155345</wp:posOffset>
                      </wp:positionV>
                      <wp:extent cx="2162175" cy="12700"/>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2162175" cy="12700"/>
                                <a:chExt cx="2162175" cy="12700"/>
                              </a:xfrm>
                            </wpg:grpSpPr>
                            <wps:wsp>
                              <wps:cNvPr id="665" name="Graphic 665"/>
                              <wps:cNvSpPr/>
                              <wps:spPr>
                                <a:xfrm>
                                  <a:off x="0" y="6350"/>
                                  <a:ext cx="2162175" cy="1270"/>
                                </a:xfrm>
                                <a:custGeom>
                                  <a:avLst/>
                                  <a:gdLst/>
                                  <a:ahLst/>
                                  <a:cxnLst/>
                                  <a:rect l="l" t="t" r="r" b="b"/>
                                  <a:pathLst>
                                    <a:path w="2162175" h="0">
                                      <a:moveTo>
                                        <a:pt x="0" y="0"/>
                                      </a:moveTo>
                                      <a:lnTo>
                                        <a:pt x="695325" y="0"/>
                                      </a:lnTo>
                                    </a:path>
                                    <a:path w="2162175" h="0">
                                      <a:moveTo>
                                        <a:pt x="733425" y="0"/>
                                      </a:moveTo>
                                      <a:lnTo>
                                        <a:pt x="1428750" y="0"/>
                                      </a:lnTo>
                                    </a:path>
                                    <a:path w="2162175" h="0">
                                      <a:moveTo>
                                        <a:pt x="1466850" y="0"/>
                                      </a:moveTo>
                                      <a:lnTo>
                                        <a:pt x="2162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2.231912pt;width:170.25pt;height:1pt;mso-position-horizontal-relative:column;mso-position-vertical-relative:paragraph;z-index:-32712192" id="docshapegroup562" coordorigin="0,245" coordsize="3405,20">
                      <v:shape style="position:absolute;left:0;top:254;width:3405;height:2" id="docshape563" coordorigin="0,255" coordsize="3405,0" path="m0,255l1095,255m1155,255l2250,255m2310,255l3405,255e" filled="false" stroked="true" strokeweight="1pt" strokecolor="#000000">
                        <v:path arrowok="t"/>
                        <v:stroke dashstyle="solid"/>
                      </v:shape>
                      <w10:wrap type="none"/>
                    </v:group>
                  </w:pict>
                </mc:Fallback>
              </mc:AlternateContent>
            </w:r>
            <w:r>
              <w:rPr>
                <w:spacing w:val="-2"/>
                <w:sz w:val="18"/>
              </w:rPr>
              <w:t>5,707</w:t>
            </w:r>
          </w:p>
        </w:tc>
        <w:tc>
          <w:tcPr>
            <w:tcW w:w="1155" w:type="dxa"/>
          </w:tcPr>
          <w:p>
            <w:pPr>
              <w:pStyle w:val="TableParagraph"/>
              <w:spacing w:before="18"/>
              <w:ind w:right="121"/>
              <w:jc w:val="right"/>
              <w:rPr>
                <w:sz w:val="18"/>
              </w:rPr>
            </w:pPr>
            <w:r>
              <w:rPr>
                <w:spacing w:val="-2"/>
                <w:sz w:val="18"/>
              </w:rPr>
              <w:t>2,371</w:t>
            </w:r>
          </w:p>
        </w:tc>
        <w:tc>
          <w:tcPr>
            <w:tcW w:w="1156" w:type="dxa"/>
          </w:tcPr>
          <w:p>
            <w:pPr>
              <w:pStyle w:val="TableParagraph"/>
              <w:spacing w:before="18"/>
              <w:ind w:right="62"/>
              <w:jc w:val="right"/>
              <w:rPr>
                <w:sz w:val="18"/>
              </w:rPr>
            </w:pPr>
            <w:r>
              <w:rPr>
                <w:spacing w:val="-2"/>
                <w:sz w:val="18"/>
              </w:rPr>
              <w:t>(1,285)</w:t>
            </w:r>
          </w:p>
        </w:tc>
      </w:tr>
      <w:tr>
        <w:trPr>
          <w:trHeight w:val="254" w:hRule="atLeast"/>
        </w:trPr>
        <w:tc>
          <w:tcPr>
            <w:tcW w:w="5952" w:type="dxa"/>
          </w:tcPr>
          <w:p>
            <w:pPr>
              <w:pStyle w:val="TableParagraph"/>
              <w:spacing w:before="18"/>
              <w:ind w:left="50"/>
              <w:rPr>
                <w:rFonts w:ascii="Arial"/>
                <w:b/>
                <w:sz w:val="18"/>
              </w:rPr>
            </w:pPr>
            <w:r>
              <w:rPr>
                <w:rFonts w:ascii="Arial"/>
                <w:b/>
                <w:sz w:val="18"/>
              </w:rPr>
              <w:t>Effect</w:t>
            </w:r>
            <w:r>
              <w:rPr>
                <w:rFonts w:ascii="Arial"/>
                <w:b/>
                <w:spacing w:val="-5"/>
                <w:sz w:val="18"/>
              </w:rPr>
              <w:t> </w:t>
            </w:r>
            <w:r>
              <w:rPr>
                <w:rFonts w:ascii="Arial"/>
                <w:b/>
                <w:sz w:val="18"/>
              </w:rPr>
              <w:t>of</w:t>
            </w:r>
            <w:r>
              <w:rPr>
                <w:rFonts w:ascii="Arial"/>
                <w:b/>
                <w:spacing w:val="-3"/>
                <w:sz w:val="18"/>
              </w:rPr>
              <w:t> </w:t>
            </w:r>
            <w:r>
              <w:rPr>
                <w:rFonts w:ascii="Arial"/>
                <w:b/>
                <w:sz w:val="18"/>
              </w:rPr>
              <w:t>exchange</w:t>
            </w:r>
            <w:r>
              <w:rPr>
                <w:rFonts w:ascii="Arial"/>
                <w:b/>
                <w:spacing w:val="-2"/>
                <w:sz w:val="18"/>
              </w:rPr>
              <w:t> </w:t>
            </w:r>
            <w:r>
              <w:rPr>
                <w:rFonts w:ascii="Arial"/>
                <w:b/>
                <w:sz w:val="18"/>
              </w:rPr>
              <w:t>rate</w:t>
            </w:r>
            <w:r>
              <w:rPr>
                <w:rFonts w:ascii="Arial"/>
                <w:b/>
                <w:spacing w:val="-3"/>
                <w:sz w:val="18"/>
              </w:rPr>
              <w:t> </w:t>
            </w:r>
            <w:r>
              <w:rPr>
                <w:rFonts w:ascii="Arial"/>
                <w:b/>
                <w:sz w:val="18"/>
              </w:rPr>
              <w:t>changes</w:t>
            </w:r>
            <w:r>
              <w:rPr>
                <w:rFonts w:ascii="Arial"/>
                <w:b/>
                <w:spacing w:val="-3"/>
                <w:sz w:val="18"/>
              </w:rPr>
              <w:t> </w:t>
            </w:r>
            <w:r>
              <w:rPr>
                <w:rFonts w:ascii="Arial"/>
                <w:b/>
                <w:sz w:val="18"/>
              </w:rPr>
              <w:t>on</w:t>
            </w:r>
            <w:r>
              <w:rPr>
                <w:rFonts w:ascii="Arial"/>
                <w:b/>
                <w:spacing w:val="-2"/>
                <w:sz w:val="18"/>
              </w:rPr>
              <w:t> </w:t>
            </w:r>
            <w:r>
              <w:rPr>
                <w:rFonts w:ascii="Arial"/>
                <w:b/>
                <w:sz w:val="18"/>
              </w:rPr>
              <w:t>unrestricted</w:t>
            </w:r>
            <w:r>
              <w:rPr>
                <w:rFonts w:ascii="Arial"/>
                <w:b/>
                <w:spacing w:val="-3"/>
                <w:sz w:val="18"/>
              </w:rPr>
              <w:t> </w:t>
            </w:r>
            <w:r>
              <w:rPr>
                <w:rFonts w:ascii="Arial"/>
                <w:b/>
                <w:sz w:val="18"/>
              </w:rPr>
              <w:t>and</w:t>
            </w:r>
            <w:r>
              <w:rPr>
                <w:rFonts w:ascii="Arial"/>
                <w:b/>
                <w:spacing w:val="-3"/>
                <w:sz w:val="18"/>
              </w:rPr>
              <w:t> </w:t>
            </w:r>
            <w:r>
              <w:rPr>
                <w:rFonts w:ascii="Arial"/>
                <w:b/>
                <w:sz w:val="18"/>
              </w:rPr>
              <w:t>restricted</w:t>
            </w:r>
            <w:r>
              <w:rPr>
                <w:rFonts w:ascii="Arial"/>
                <w:b/>
                <w:spacing w:val="-2"/>
                <w:sz w:val="18"/>
              </w:rPr>
              <w:t> </w:t>
            </w:r>
            <w:r>
              <w:rPr>
                <w:rFonts w:ascii="Arial"/>
                <w:b/>
                <w:spacing w:val="-4"/>
                <w:sz w:val="18"/>
              </w:rPr>
              <w:t>cash</w:t>
            </w:r>
          </w:p>
        </w:tc>
        <w:tc>
          <w:tcPr>
            <w:tcW w:w="1144" w:type="dxa"/>
          </w:tcPr>
          <w:p>
            <w:pPr>
              <w:pStyle w:val="TableParagraph"/>
              <w:spacing w:before="18"/>
              <w:ind w:right="121"/>
              <w:jc w:val="right"/>
              <w:rPr>
                <w:sz w:val="18"/>
              </w:rPr>
            </w:pPr>
            <w:r>
              <w:rPr>
                <w:spacing w:val="-10"/>
                <w:sz w:val="18"/>
              </w:rPr>
              <w:t>1</w:t>
            </w:r>
          </w:p>
        </w:tc>
        <w:tc>
          <w:tcPr>
            <w:tcW w:w="1155" w:type="dxa"/>
          </w:tcPr>
          <w:p>
            <w:pPr>
              <w:pStyle w:val="TableParagraph"/>
              <w:spacing w:before="18"/>
              <w:ind w:right="61"/>
              <w:jc w:val="right"/>
              <w:rPr>
                <w:sz w:val="18"/>
              </w:rPr>
            </w:pPr>
            <w:r>
              <w:rPr>
                <w:spacing w:val="-4"/>
                <w:sz w:val="18"/>
              </w:rPr>
              <w:t>(67)</w:t>
            </w:r>
          </w:p>
        </w:tc>
        <w:tc>
          <w:tcPr>
            <w:tcW w:w="1156" w:type="dxa"/>
          </w:tcPr>
          <w:p>
            <w:pPr>
              <w:pStyle w:val="TableParagraph"/>
              <w:spacing w:before="18"/>
              <w:ind w:right="122"/>
              <w:jc w:val="right"/>
              <w:rPr>
                <w:sz w:val="18"/>
              </w:rPr>
            </w:pPr>
            <w:r>
              <w:rPr>
                <w:spacing w:val="-5"/>
                <w:sz w:val="18"/>
              </w:rPr>
              <w:t>70</w:t>
            </w:r>
          </w:p>
        </w:tc>
      </w:tr>
      <w:tr>
        <w:trPr>
          <w:trHeight w:val="252" w:hRule="atLeast"/>
        </w:trPr>
        <w:tc>
          <w:tcPr>
            <w:tcW w:w="5952" w:type="dxa"/>
          </w:tcPr>
          <w:p>
            <w:pPr>
              <w:pStyle w:val="TableParagraph"/>
              <w:spacing w:before="18"/>
              <w:ind w:left="50"/>
              <w:rPr>
                <w:rFonts w:ascii="Arial"/>
                <w:b/>
                <w:sz w:val="18"/>
              </w:rPr>
            </w:pPr>
            <w:r>
              <w:rPr>
                <w:rFonts w:ascii="Arial"/>
                <w:b/>
                <w:sz w:val="18"/>
              </w:rPr>
              <w:t>Net</w:t>
            </w:r>
            <w:r>
              <w:rPr>
                <w:rFonts w:ascii="Arial"/>
                <w:b/>
                <w:spacing w:val="-6"/>
                <w:sz w:val="18"/>
              </w:rPr>
              <w:t> </w:t>
            </w:r>
            <w:r>
              <w:rPr>
                <w:rFonts w:ascii="Arial"/>
                <w:b/>
                <w:sz w:val="18"/>
              </w:rPr>
              <w:t>increase</w:t>
            </w:r>
            <w:r>
              <w:rPr>
                <w:rFonts w:ascii="Arial"/>
                <w:b/>
                <w:spacing w:val="-4"/>
                <w:sz w:val="18"/>
              </w:rPr>
              <w:t> </w:t>
            </w:r>
            <w:r>
              <w:rPr>
                <w:rFonts w:ascii="Arial"/>
                <w:b/>
                <w:sz w:val="18"/>
              </w:rPr>
              <w:t>(decrease)</w:t>
            </w:r>
            <w:r>
              <w:rPr>
                <w:rFonts w:ascii="Arial"/>
                <w:b/>
                <w:spacing w:val="-4"/>
                <w:sz w:val="18"/>
              </w:rPr>
              <w:t> </w:t>
            </w:r>
            <w:r>
              <w:rPr>
                <w:rFonts w:ascii="Arial"/>
                <w:b/>
                <w:sz w:val="18"/>
              </w:rPr>
              <w:t>in</w:t>
            </w:r>
            <w:r>
              <w:rPr>
                <w:rFonts w:ascii="Arial"/>
                <w:b/>
                <w:spacing w:val="-4"/>
                <w:sz w:val="18"/>
              </w:rPr>
              <w:t> </w:t>
            </w:r>
            <w:r>
              <w:rPr>
                <w:rFonts w:ascii="Arial"/>
                <w:b/>
                <w:sz w:val="18"/>
              </w:rPr>
              <w:t>unrestricted</w:t>
            </w:r>
            <w:r>
              <w:rPr>
                <w:rFonts w:ascii="Arial"/>
                <w:b/>
                <w:spacing w:val="-4"/>
                <w:sz w:val="18"/>
              </w:rPr>
              <w:t> </w:t>
            </w:r>
            <w:r>
              <w:rPr>
                <w:rFonts w:ascii="Arial"/>
                <w:b/>
                <w:sz w:val="18"/>
              </w:rPr>
              <w:t>and</w:t>
            </w:r>
            <w:r>
              <w:rPr>
                <w:rFonts w:ascii="Arial"/>
                <w:b/>
                <w:spacing w:val="-4"/>
                <w:sz w:val="18"/>
              </w:rPr>
              <w:t> </w:t>
            </w:r>
            <w:r>
              <w:rPr>
                <w:rFonts w:ascii="Arial"/>
                <w:b/>
                <w:sz w:val="18"/>
              </w:rPr>
              <w:t>restricted</w:t>
            </w:r>
            <w:r>
              <w:rPr>
                <w:rFonts w:ascii="Arial"/>
                <w:b/>
                <w:spacing w:val="-3"/>
                <w:sz w:val="18"/>
              </w:rPr>
              <w:t> </w:t>
            </w:r>
            <w:r>
              <w:rPr>
                <w:rFonts w:ascii="Arial"/>
                <w:b/>
                <w:spacing w:val="-4"/>
                <w:sz w:val="18"/>
              </w:rPr>
              <w:t>cash</w:t>
            </w:r>
          </w:p>
        </w:tc>
        <w:tc>
          <w:tcPr>
            <w:tcW w:w="1144" w:type="dxa"/>
          </w:tcPr>
          <w:p>
            <w:pPr>
              <w:pStyle w:val="TableParagraph"/>
              <w:spacing w:before="18"/>
              <w:ind w:right="121"/>
              <w:jc w:val="right"/>
              <w:rPr>
                <w:sz w:val="18"/>
              </w:rPr>
            </w:pPr>
            <w:r>
              <w:rPr>
                <w:spacing w:val="-5"/>
                <w:sz w:val="18"/>
              </w:rPr>
              <w:t>68</w:t>
            </w:r>
          </w:p>
        </w:tc>
        <w:tc>
          <w:tcPr>
            <w:tcW w:w="1155" w:type="dxa"/>
          </w:tcPr>
          <w:p>
            <w:pPr>
              <w:pStyle w:val="TableParagraph"/>
              <w:spacing w:before="18"/>
              <w:ind w:right="61"/>
              <w:jc w:val="right"/>
              <w:rPr>
                <w:sz w:val="18"/>
              </w:rPr>
            </w:pPr>
            <w:r>
              <w:rPr>
                <w:spacing w:val="-2"/>
                <w:sz w:val="18"/>
              </w:rPr>
              <w:t>(1,868)</w:t>
            </w:r>
          </w:p>
        </w:tc>
        <w:tc>
          <w:tcPr>
            <w:tcW w:w="1156" w:type="dxa"/>
          </w:tcPr>
          <w:p>
            <w:pPr>
              <w:pStyle w:val="TableParagraph"/>
              <w:spacing w:before="18"/>
              <w:ind w:right="122"/>
              <w:jc w:val="right"/>
              <w:rPr>
                <w:sz w:val="18"/>
              </w:rPr>
            </w:pPr>
            <w:r>
              <w:rPr>
                <w:spacing w:val="-5"/>
                <w:sz w:val="18"/>
              </w:rPr>
              <w:t>477</w:t>
            </w:r>
          </w:p>
        </w:tc>
      </w:tr>
      <w:tr>
        <w:trPr>
          <w:trHeight w:val="257" w:hRule="atLeast"/>
        </w:trPr>
        <w:tc>
          <w:tcPr>
            <w:tcW w:w="5952" w:type="dxa"/>
          </w:tcPr>
          <w:p>
            <w:pPr>
              <w:pStyle w:val="TableParagraph"/>
              <w:spacing w:before="21"/>
              <w:ind w:left="50"/>
              <w:rPr>
                <w:rFonts w:ascii="Arial"/>
                <w:b/>
                <w:sz w:val="18"/>
              </w:rPr>
            </w:pPr>
            <w:r>
              <w:rPr>
                <w:rFonts w:ascii="Arial"/>
                <w:b/>
                <w:sz w:val="18"/>
              </w:rPr>
              <w:t>Unrestricted</w:t>
            </w:r>
            <w:r>
              <w:rPr>
                <w:rFonts w:ascii="Arial"/>
                <w:b/>
                <w:spacing w:val="-3"/>
                <w:sz w:val="18"/>
              </w:rPr>
              <w:t> </w:t>
            </w:r>
            <w:r>
              <w:rPr>
                <w:rFonts w:ascii="Arial"/>
                <w:b/>
                <w:sz w:val="18"/>
              </w:rPr>
              <w:t>and</w:t>
            </w:r>
            <w:r>
              <w:rPr>
                <w:rFonts w:ascii="Arial"/>
                <w:b/>
                <w:spacing w:val="-2"/>
                <w:sz w:val="18"/>
              </w:rPr>
              <w:t> </w:t>
            </w:r>
            <w:r>
              <w:rPr>
                <w:rFonts w:ascii="Arial"/>
                <w:b/>
                <w:sz w:val="18"/>
              </w:rPr>
              <w:t>restricted</w:t>
            </w:r>
            <w:r>
              <w:rPr>
                <w:rFonts w:ascii="Arial"/>
                <w:b/>
                <w:spacing w:val="-2"/>
                <w:sz w:val="18"/>
              </w:rPr>
              <w:t> </w:t>
            </w:r>
            <w:r>
              <w:rPr>
                <w:rFonts w:ascii="Arial"/>
                <w:b/>
                <w:sz w:val="18"/>
              </w:rPr>
              <w:t>cash</w:t>
            </w:r>
            <w:r>
              <w:rPr>
                <w:rFonts w:ascii="Arial"/>
                <w:b/>
                <w:spacing w:val="-2"/>
                <w:sz w:val="18"/>
              </w:rPr>
              <w:t> </w:t>
            </w:r>
            <w:r>
              <w:rPr>
                <w:rFonts w:ascii="Arial"/>
                <w:b/>
                <w:sz w:val="18"/>
              </w:rPr>
              <w:t>at</w:t>
            </w:r>
            <w:r>
              <w:rPr>
                <w:rFonts w:ascii="Arial"/>
                <w:b/>
                <w:spacing w:val="-2"/>
                <w:sz w:val="18"/>
              </w:rPr>
              <w:t> </w:t>
            </w:r>
            <w:r>
              <w:rPr>
                <w:rFonts w:ascii="Arial"/>
                <w:b/>
                <w:sz w:val="18"/>
              </w:rPr>
              <w:t>the</w:t>
            </w:r>
            <w:r>
              <w:rPr>
                <w:rFonts w:ascii="Arial"/>
                <w:b/>
                <w:spacing w:val="-3"/>
                <w:sz w:val="18"/>
              </w:rPr>
              <w:t> </w:t>
            </w:r>
            <w:r>
              <w:rPr>
                <w:rFonts w:ascii="Arial"/>
                <w:b/>
                <w:sz w:val="18"/>
              </w:rPr>
              <w:t>beginning</w:t>
            </w:r>
            <w:r>
              <w:rPr>
                <w:rFonts w:ascii="Arial"/>
                <w:b/>
                <w:spacing w:val="-2"/>
                <w:sz w:val="18"/>
              </w:rPr>
              <w:t> </w:t>
            </w:r>
            <w:r>
              <w:rPr>
                <w:rFonts w:ascii="Arial"/>
                <w:b/>
                <w:sz w:val="18"/>
              </w:rPr>
              <w:t>of</w:t>
            </w:r>
            <w:r>
              <w:rPr>
                <w:rFonts w:ascii="Arial"/>
                <w:b/>
                <w:spacing w:val="-2"/>
                <w:sz w:val="18"/>
              </w:rPr>
              <w:t> </w:t>
            </w:r>
            <w:r>
              <w:rPr>
                <w:rFonts w:ascii="Arial"/>
                <w:b/>
                <w:sz w:val="18"/>
              </w:rPr>
              <w:t>the</w:t>
            </w:r>
            <w:r>
              <w:rPr>
                <w:rFonts w:ascii="Arial"/>
                <w:b/>
                <w:spacing w:val="-2"/>
                <w:sz w:val="18"/>
              </w:rPr>
              <w:t> </w:t>
            </w:r>
            <w:r>
              <w:rPr>
                <w:rFonts w:ascii="Arial"/>
                <w:b/>
                <w:sz w:val="18"/>
              </w:rPr>
              <w:t>fiscal</w:t>
            </w:r>
            <w:r>
              <w:rPr>
                <w:rFonts w:ascii="Arial"/>
                <w:b/>
                <w:spacing w:val="-2"/>
                <w:sz w:val="18"/>
              </w:rPr>
              <w:t> </w:t>
            </w:r>
            <w:r>
              <w:rPr>
                <w:rFonts w:ascii="Arial"/>
                <w:b/>
                <w:spacing w:val="-4"/>
                <w:sz w:val="18"/>
              </w:rPr>
              <w:t>year</w:t>
            </w:r>
          </w:p>
        </w:tc>
        <w:tc>
          <w:tcPr>
            <w:tcW w:w="1144" w:type="dxa"/>
          </w:tcPr>
          <w:p>
            <w:pPr>
              <w:pStyle w:val="TableParagraph"/>
              <w:spacing w:before="21"/>
              <w:ind w:right="121"/>
              <w:jc w:val="right"/>
              <w:rPr>
                <w:sz w:val="18"/>
              </w:rPr>
            </w:pPr>
            <w:r>
              <w:rPr>
                <w:spacing w:val="-5"/>
                <w:sz w:val="18"/>
              </w:rPr>
              <w:t>479</w:t>
            </w:r>
          </w:p>
        </w:tc>
        <w:tc>
          <w:tcPr>
            <w:tcW w:w="1155" w:type="dxa"/>
          </w:tcPr>
          <w:p>
            <w:pPr>
              <w:pStyle w:val="TableParagraph"/>
              <w:spacing w:before="21"/>
              <w:ind w:right="121"/>
              <w:jc w:val="right"/>
              <w:rPr>
                <w:sz w:val="18"/>
              </w:rPr>
            </w:pPr>
            <w:r>
              <w:rPr>
                <w:spacing w:val="-2"/>
                <w:sz w:val="18"/>
              </w:rPr>
              <w:t>2,347</w:t>
            </w:r>
          </w:p>
        </w:tc>
        <w:tc>
          <w:tcPr>
            <w:tcW w:w="1156" w:type="dxa"/>
          </w:tcPr>
          <w:p>
            <w:pPr>
              <w:pStyle w:val="TableParagraph"/>
              <w:spacing w:before="21"/>
              <w:ind w:right="122"/>
              <w:jc w:val="right"/>
              <w:rPr>
                <w:sz w:val="18"/>
              </w:rPr>
            </w:pPr>
            <w:r>
              <w:rPr>
                <w:spacing w:val="-2"/>
                <w:sz w:val="18"/>
              </w:rPr>
              <w:t>1,870</w:t>
            </w:r>
          </w:p>
        </w:tc>
      </w:tr>
      <w:tr>
        <w:trPr>
          <w:trHeight w:val="255" w:hRule="atLeast"/>
        </w:trPr>
        <w:tc>
          <w:tcPr>
            <w:tcW w:w="5952" w:type="dxa"/>
          </w:tcPr>
          <w:p>
            <w:pPr>
              <w:pStyle w:val="TableParagraph"/>
              <w:spacing w:before="18"/>
              <w:ind w:left="50"/>
              <w:rPr>
                <w:rFonts w:ascii="Arial"/>
                <w:b/>
                <w:sz w:val="18"/>
              </w:rPr>
            </w:pPr>
            <w:r>
              <w:rPr>
                <w:rFonts w:ascii="Arial"/>
                <w:b/>
                <w:sz w:val="18"/>
              </w:rPr>
              <w:t>Unrestricted</w:t>
            </w:r>
            <w:r>
              <w:rPr>
                <w:rFonts w:ascii="Arial"/>
                <w:b/>
                <w:spacing w:val="-3"/>
                <w:sz w:val="18"/>
              </w:rPr>
              <w:t> </w:t>
            </w:r>
            <w:r>
              <w:rPr>
                <w:rFonts w:ascii="Arial"/>
                <w:b/>
                <w:sz w:val="18"/>
              </w:rPr>
              <w:t>and</w:t>
            </w:r>
            <w:r>
              <w:rPr>
                <w:rFonts w:ascii="Arial"/>
                <w:b/>
                <w:spacing w:val="-2"/>
                <w:sz w:val="18"/>
              </w:rPr>
              <w:t> </w:t>
            </w:r>
            <w:r>
              <w:rPr>
                <w:rFonts w:ascii="Arial"/>
                <w:b/>
                <w:sz w:val="18"/>
              </w:rPr>
              <w:t>restricted</w:t>
            </w:r>
            <w:r>
              <w:rPr>
                <w:rFonts w:ascii="Arial"/>
                <w:b/>
                <w:spacing w:val="-2"/>
                <w:sz w:val="18"/>
              </w:rPr>
              <w:t> </w:t>
            </w:r>
            <w:r>
              <w:rPr>
                <w:rFonts w:ascii="Arial"/>
                <w:b/>
                <w:sz w:val="18"/>
              </w:rPr>
              <w:t>cash</w:t>
            </w:r>
            <w:r>
              <w:rPr>
                <w:rFonts w:ascii="Arial"/>
                <w:b/>
                <w:spacing w:val="-2"/>
                <w:sz w:val="18"/>
              </w:rPr>
              <w:t> </w:t>
            </w:r>
            <w:r>
              <w:rPr>
                <w:rFonts w:ascii="Arial"/>
                <w:b/>
                <w:sz w:val="18"/>
              </w:rPr>
              <w:t>at</w:t>
            </w:r>
            <w:r>
              <w:rPr>
                <w:rFonts w:ascii="Arial"/>
                <w:b/>
                <w:spacing w:val="-2"/>
                <w:sz w:val="18"/>
              </w:rPr>
              <w:t> </w:t>
            </w:r>
            <w:r>
              <w:rPr>
                <w:rFonts w:ascii="Arial"/>
                <w:b/>
                <w:sz w:val="18"/>
              </w:rPr>
              <w:t>the</w:t>
            </w:r>
            <w:r>
              <w:rPr>
                <w:rFonts w:ascii="Arial"/>
                <w:b/>
                <w:spacing w:val="-3"/>
                <w:sz w:val="18"/>
              </w:rPr>
              <w:t> </w:t>
            </w:r>
            <w:r>
              <w:rPr>
                <w:rFonts w:ascii="Arial"/>
                <w:b/>
                <w:sz w:val="18"/>
              </w:rPr>
              <w:t>end</w:t>
            </w:r>
            <w:r>
              <w:rPr>
                <w:rFonts w:ascii="Arial"/>
                <w:b/>
                <w:spacing w:val="-2"/>
                <w:sz w:val="18"/>
              </w:rPr>
              <w:t> </w:t>
            </w:r>
            <w:r>
              <w:rPr>
                <w:rFonts w:ascii="Arial"/>
                <w:b/>
                <w:sz w:val="18"/>
              </w:rPr>
              <w:t>of</w:t>
            </w:r>
            <w:r>
              <w:rPr>
                <w:rFonts w:ascii="Arial"/>
                <w:b/>
                <w:spacing w:val="-2"/>
                <w:sz w:val="18"/>
              </w:rPr>
              <w:t> </w:t>
            </w:r>
            <w:r>
              <w:rPr>
                <w:rFonts w:ascii="Arial"/>
                <w:b/>
                <w:sz w:val="18"/>
              </w:rPr>
              <w:t>the</w:t>
            </w:r>
            <w:r>
              <w:rPr>
                <w:rFonts w:ascii="Arial"/>
                <w:b/>
                <w:spacing w:val="-2"/>
                <w:sz w:val="18"/>
              </w:rPr>
              <w:t> </w:t>
            </w:r>
            <w:r>
              <w:rPr>
                <w:rFonts w:ascii="Arial"/>
                <w:b/>
                <w:sz w:val="18"/>
              </w:rPr>
              <w:t>fiscal</w:t>
            </w:r>
            <w:r>
              <w:rPr>
                <w:rFonts w:ascii="Arial"/>
                <w:b/>
                <w:spacing w:val="-2"/>
                <w:sz w:val="18"/>
              </w:rPr>
              <w:t> </w:t>
            </w:r>
            <w:r>
              <w:rPr>
                <w:rFonts w:ascii="Arial"/>
                <w:b/>
                <w:spacing w:val="-4"/>
                <w:sz w:val="18"/>
              </w:rPr>
              <w:t>year</w:t>
            </w:r>
          </w:p>
        </w:tc>
        <w:tc>
          <w:tcPr>
            <w:tcW w:w="1144" w:type="dxa"/>
          </w:tcPr>
          <w:p>
            <w:pPr>
              <w:pStyle w:val="TableParagraph"/>
              <w:tabs>
                <w:tab w:pos="667" w:val="left" w:leader="none"/>
              </w:tabs>
              <w:spacing w:before="18"/>
              <w:ind w:right="121"/>
              <w:jc w:val="right"/>
              <w:rPr>
                <w:sz w:val="18"/>
              </w:rPr>
            </w:pPr>
            <w:r>
              <w:rPr>
                <w:sz w:val="18"/>
              </w:rPr>
              <mc:AlternateContent>
                <mc:Choice Requires="wps">
                  <w:drawing>
                    <wp:anchor distT="0" distB="0" distL="0" distR="0" allowOverlap="1" layoutInCell="1" locked="0" behindDoc="1" simplePos="0" relativeHeight="470604800">
                      <wp:simplePos x="0" y="0"/>
                      <wp:positionH relativeFrom="column">
                        <wp:posOffset>0</wp:posOffset>
                      </wp:positionH>
                      <wp:positionV relativeFrom="paragraph">
                        <wp:posOffset>-330429</wp:posOffset>
                      </wp:positionV>
                      <wp:extent cx="2162175" cy="12700"/>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2162175" cy="12700"/>
                                <a:chExt cx="2162175" cy="12700"/>
                              </a:xfrm>
                            </wpg:grpSpPr>
                            <wps:wsp>
                              <wps:cNvPr id="667" name="Graphic 667"/>
                              <wps:cNvSpPr/>
                              <wps:spPr>
                                <a:xfrm>
                                  <a:off x="0" y="6350"/>
                                  <a:ext cx="2162175" cy="1270"/>
                                </a:xfrm>
                                <a:custGeom>
                                  <a:avLst/>
                                  <a:gdLst/>
                                  <a:ahLst/>
                                  <a:cxnLst/>
                                  <a:rect l="l" t="t" r="r" b="b"/>
                                  <a:pathLst>
                                    <a:path w="2162175" h="0">
                                      <a:moveTo>
                                        <a:pt x="0" y="0"/>
                                      </a:moveTo>
                                      <a:lnTo>
                                        <a:pt x="695325" y="0"/>
                                      </a:lnTo>
                                    </a:path>
                                    <a:path w="2162175" h="0">
                                      <a:moveTo>
                                        <a:pt x="733425" y="0"/>
                                      </a:moveTo>
                                      <a:lnTo>
                                        <a:pt x="1428750" y="0"/>
                                      </a:lnTo>
                                    </a:path>
                                    <a:path w="2162175" h="0">
                                      <a:moveTo>
                                        <a:pt x="1466850" y="0"/>
                                      </a:moveTo>
                                      <a:lnTo>
                                        <a:pt x="2162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6.018089pt;width:170.25pt;height:1pt;mso-position-horizontal-relative:column;mso-position-vertical-relative:paragraph;z-index:-32711680" id="docshapegroup564" coordorigin="0,-520" coordsize="3405,20">
                      <v:shape style="position:absolute;left:0;top:-511;width:3405;height:2" id="docshape565" coordorigin="0,-510" coordsize="3405,0" path="m0,-510l1095,-510m1155,-510l2250,-510m2310,-510l3405,-510e" filled="false" stroked="true" strokeweight="1pt" strokecolor="#000000">
                        <v:path arrowok="t"/>
                        <v:stroke dashstyle="solid"/>
                      </v:shape>
                      <w10:wrap type="none"/>
                    </v:group>
                  </w:pict>
                </mc:Fallback>
              </mc:AlternateContent>
            </w:r>
            <w:r>
              <w:rPr>
                <w:sz w:val="18"/>
              </w:rPr>
              <mc:AlternateContent>
                <mc:Choice Requires="wps">
                  <w:drawing>
                    <wp:anchor distT="0" distB="0" distL="0" distR="0" allowOverlap="1" layoutInCell="1" locked="0" behindDoc="1" simplePos="0" relativeHeight="470605312">
                      <wp:simplePos x="0" y="0"/>
                      <wp:positionH relativeFrom="column">
                        <wp:posOffset>0</wp:posOffset>
                      </wp:positionH>
                      <wp:positionV relativeFrom="paragraph">
                        <wp:posOffset>-6579</wp:posOffset>
                      </wp:positionV>
                      <wp:extent cx="2162175" cy="1270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2162175" cy="12700"/>
                                <a:chExt cx="2162175" cy="12700"/>
                              </a:xfrm>
                            </wpg:grpSpPr>
                            <wps:wsp>
                              <wps:cNvPr id="669" name="Graphic 669"/>
                              <wps:cNvSpPr/>
                              <wps:spPr>
                                <a:xfrm>
                                  <a:off x="0" y="6350"/>
                                  <a:ext cx="2162175" cy="1270"/>
                                </a:xfrm>
                                <a:custGeom>
                                  <a:avLst/>
                                  <a:gdLst/>
                                  <a:ahLst/>
                                  <a:cxnLst/>
                                  <a:rect l="l" t="t" r="r" b="b"/>
                                  <a:pathLst>
                                    <a:path w="2162175" h="0">
                                      <a:moveTo>
                                        <a:pt x="0" y="0"/>
                                      </a:moveTo>
                                      <a:lnTo>
                                        <a:pt x="695325" y="0"/>
                                      </a:lnTo>
                                    </a:path>
                                    <a:path w="2162175" h="0">
                                      <a:moveTo>
                                        <a:pt x="733425" y="0"/>
                                      </a:moveTo>
                                      <a:lnTo>
                                        <a:pt x="1428750" y="0"/>
                                      </a:lnTo>
                                    </a:path>
                                    <a:path w="2162175" h="0">
                                      <a:moveTo>
                                        <a:pt x="1466850" y="0"/>
                                      </a:moveTo>
                                      <a:lnTo>
                                        <a:pt x="21621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18089pt;width:170.25pt;height:1pt;mso-position-horizontal-relative:column;mso-position-vertical-relative:paragraph;z-index:-32711168" id="docshapegroup566" coordorigin="0,-10" coordsize="3405,20">
                      <v:shape style="position:absolute;left:0;top:-1;width:3405;height:2" id="docshape567" coordorigin="0,0" coordsize="3405,0" path="m0,0l1095,0m1155,0l2250,0m2310,0l3405,0e" filled="false" stroked="true" strokeweight="1pt" strokecolor="#000000">
                        <v:path arrowok="t"/>
                        <v:stroke dashstyle="solid"/>
                      </v:shape>
                      <w10:wrap type="none"/>
                    </v:group>
                  </w:pict>
                </mc:Fallback>
              </mc:AlternateContent>
            </w:r>
            <w:r>
              <w:rPr>
                <w:spacing w:val="-10"/>
                <w:sz w:val="18"/>
              </w:rPr>
              <w:t>$</w:t>
            </w:r>
            <w:r>
              <w:rPr>
                <w:sz w:val="18"/>
              </w:rPr>
              <w:tab/>
            </w:r>
            <w:r>
              <w:rPr>
                <w:spacing w:val="-5"/>
                <w:sz w:val="18"/>
              </w:rPr>
              <w:t>547</w:t>
            </w:r>
          </w:p>
        </w:tc>
        <w:tc>
          <w:tcPr>
            <w:tcW w:w="1155" w:type="dxa"/>
          </w:tcPr>
          <w:p>
            <w:pPr>
              <w:pStyle w:val="TableParagraph"/>
              <w:tabs>
                <w:tab w:pos="667" w:val="left" w:leader="none"/>
              </w:tabs>
              <w:spacing w:before="18"/>
              <w:ind w:right="121"/>
              <w:jc w:val="right"/>
              <w:rPr>
                <w:sz w:val="18"/>
              </w:rPr>
            </w:pPr>
            <w:r>
              <w:rPr>
                <w:spacing w:val="-10"/>
                <w:sz w:val="18"/>
              </w:rPr>
              <w:t>$</w:t>
            </w:r>
            <w:r>
              <w:rPr>
                <w:sz w:val="18"/>
              </w:rPr>
              <w:tab/>
            </w:r>
            <w:r>
              <w:rPr>
                <w:spacing w:val="-5"/>
                <w:sz w:val="18"/>
              </w:rPr>
              <w:t>479</w:t>
            </w:r>
          </w:p>
        </w:tc>
        <w:tc>
          <w:tcPr>
            <w:tcW w:w="1156" w:type="dxa"/>
          </w:tcPr>
          <w:p>
            <w:pPr>
              <w:pStyle w:val="TableParagraph"/>
              <w:tabs>
                <w:tab w:pos="517" w:val="left" w:leader="none"/>
              </w:tabs>
              <w:spacing w:before="18"/>
              <w:ind w:right="121"/>
              <w:jc w:val="right"/>
              <w:rPr>
                <w:sz w:val="18"/>
              </w:rPr>
            </w:pPr>
            <w:r>
              <w:rPr>
                <w:spacing w:val="-10"/>
                <w:sz w:val="18"/>
              </w:rPr>
              <w:t>$</w:t>
            </w:r>
            <w:r>
              <w:rPr>
                <w:sz w:val="18"/>
              </w:rPr>
              <w:tab/>
            </w:r>
            <w:r>
              <w:rPr>
                <w:spacing w:val="-2"/>
                <w:sz w:val="18"/>
              </w:rPr>
              <w:t>2,347</w:t>
            </w:r>
          </w:p>
        </w:tc>
      </w:tr>
    </w:tbl>
    <w:p>
      <w:pPr>
        <w:pStyle w:val="TableParagraph"/>
        <w:spacing w:after="0"/>
        <w:jc w:val="right"/>
        <w:rPr>
          <w:sz w:val="18"/>
        </w:rPr>
        <w:sectPr>
          <w:headerReference w:type="even" r:id="rId113"/>
          <w:footerReference w:type="even" r:id="rId114"/>
          <w:footerReference w:type="default" r:id="rId115"/>
          <w:pgSz w:w="12240" w:h="15840"/>
          <w:pgMar w:header="1030" w:footer="528" w:top="2160" w:bottom="720" w:left="720" w:right="720"/>
          <w:pgNumType w:start="82"/>
        </w:sectPr>
      </w:pPr>
    </w:p>
    <w:p>
      <w:pPr>
        <w:spacing w:before="78"/>
        <w:ind w:left="720" w:right="0" w:firstLine="0"/>
        <w:jc w:val="left"/>
        <w:rPr>
          <w:rFonts w:ascii="Arial"/>
          <w:i/>
          <w:sz w:val="20"/>
        </w:rPr>
      </w:pPr>
      <w:bookmarkStart w:name="SUPPLEMENTARY INFORMATION" w:id="199"/>
      <w:bookmarkEnd w:id="199"/>
      <w:r>
        <w:rPr/>
      </w: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p>
      <w:pPr>
        <w:pStyle w:val="BodyText"/>
        <w:spacing w:before="55"/>
        <w:rPr>
          <w:rFonts w:ascii="Arial"/>
          <w:i/>
        </w:rPr>
      </w:pPr>
    </w:p>
    <w:p>
      <w:pPr>
        <w:spacing w:before="0"/>
        <w:ind w:left="772" w:right="0" w:firstLine="0"/>
        <w:jc w:val="left"/>
        <w:rPr>
          <w:rFonts w:ascii="Arial"/>
          <w:b/>
          <w:sz w:val="18"/>
        </w:rPr>
      </w:pPr>
      <w:r>
        <w:rPr>
          <w:rFonts w:ascii="Arial"/>
          <w:b/>
          <w:sz w:val="18"/>
        </w:rPr>
        <w:t>Supplemental</w:t>
      </w:r>
      <w:r>
        <w:rPr>
          <w:rFonts w:ascii="Arial"/>
          <w:b/>
          <w:spacing w:val="-4"/>
          <w:sz w:val="18"/>
        </w:rPr>
        <w:t> </w:t>
      </w:r>
      <w:r>
        <w:rPr>
          <w:rFonts w:ascii="Arial"/>
          <w:b/>
          <w:spacing w:val="-2"/>
          <w:sz w:val="18"/>
        </w:rPr>
        <w:t>disclosure</w:t>
      </w:r>
    </w:p>
    <w:p>
      <w:pPr>
        <w:spacing w:before="57"/>
        <w:ind w:left="952" w:right="0" w:firstLine="0"/>
        <w:jc w:val="left"/>
        <w:rPr>
          <w:rFonts w:ascii="Arial MT"/>
          <w:sz w:val="18"/>
        </w:rPr>
      </w:pPr>
      <w:r>
        <w:rPr>
          <w:rFonts w:ascii="Arial MT"/>
          <w:sz w:val="18"/>
        </w:rPr>
        <w:t>Increase</w:t>
      </w:r>
      <w:r>
        <w:rPr>
          <w:rFonts w:ascii="Arial MT"/>
          <w:spacing w:val="-5"/>
          <w:sz w:val="18"/>
        </w:rPr>
        <w:t> </w:t>
      </w:r>
      <w:r>
        <w:rPr>
          <w:rFonts w:ascii="Arial MT"/>
          <w:sz w:val="18"/>
        </w:rPr>
        <w:t>(decrease)</w:t>
      </w:r>
      <w:r>
        <w:rPr>
          <w:rFonts w:ascii="Arial MT"/>
          <w:spacing w:val="-4"/>
          <w:sz w:val="18"/>
        </w:rPr>
        <w:t> </w:t>
      </w:r>
      <w:r>
        <w:rPr>
          <w:rFonts w:ascii="Arial MT"/>
          <w:sz w:val="18"/>
        </w:rPr>
        <w:t>in</w:t>
      </w:r>
      <w:r>
        <w:rPr>
          <w:rFonts w:ascii="Arial MT"/>
          <w:spacing w:val="-4"/>
          <w:sz w:val="18"/>
        </w:rPr>
        <w:t> </w:t>
      </w:r>
      <w:r>
        <w:rPr>
          <w:rFonts w:ascii="Arial MT"/>
          <w:sz w:val="18"/>
        </w:rPr>
        <w:t>ending</w:t>
      </w:r>
      <w:r>
        <w:rPr>
          <w:rFonts w:ascii="Arial MT"/>
          <w:spacing w:val="-4"/>
          <w:sz w:val="18"/>
        </w:rPr>
        <w:t> </w:t>
      </w:r>
      <w:r>
        <w:rPr>
          <w:rFonts w:ascii="Arial MT"/>
          <w:sz w:val="18"/>
        </w:rPr>
        <w:t>balances</w:t>
      </w:r>
      <w:r>
        <w:rPr>
          <w:rFonts w:ascii="Arial MT"/>
          <w:spacing w:val="-4"/>
          <w:sz w:val="18"/>
        </w:rPr>
        <w:t> </w:t>
      </w:r>
      <w:r>
        <w:rPr>
          <w:rFonts w:ascii="Arial MT"/>
          <w:sz w:val="18"/>
        </w:rPr>
        <w:t>resulting</w:t>
      </w:r>
      <w:r>
        <w:rPr>
          <w:rFonts w:ascii="Arial MT"/>
          <w:spacing w:val="-4"/>
          <w:sz w:val="18"/>
        </w:rPr>
        <w:t> from</w:t>
      </w:r>
    </w:p>
    <w:p>
      <w:pPr>
        <w:pStyle w:val="BodyText"/>
        <w:spacing w:before="131"/>
        <w:rPr>
          <w:rFonts w:ascii="Arial MT"/>
          <w:sz w:val="18"/>
        </w:rPr>
      </w:pPr>
      <w:r>
        <w:rPr/>
        <w:br w:type="column"/>
      </w:r>
      <w:r>
        <w:rPr>
          <w:rFonts w:ascii="Arial MT"/>
          <w:sz w:val="18"/>
        </w:rPr>
      </w:r>
    </w:p>
    <w:p>
      <w:pPr>
        <w:tabs>
          <w:tab w:pos="1904" w:val="left" w:leader="none"/>
          <w:tab w:pos="3089" w:val="left" w:leader="none"/>
        </w:tabs>
        <w:spacing w:before="1"/>
        <w:ind w:left="720" w:right="0" w:firstLine="0"/>
        <w:jc w:val="left"/>
        <w:rPr>
          <w:rFonts w:ascii="Arial"/>
          <w:i/>
          <w:sz w:val="18"/>
        </w:rPr>
      </w:pPr>
      <w:r>
        <w:rPr>
          <w:rFonts w:ascii="Arial"/>
          <w:i/>
          <w:spacing w:val="-4"/>
          <w:sz w:val="18"/>
        </w:rPr>
        <w:t>2023</w:t>
      </w:r>
      <w:r>
        <w:rPr>
          <w:rFonts w:ascii="Arial"/>
          <w:i/>
          <w:sz w:val="18"/>
        </w:rPr>
        <w:tab/>
      </w:r>
      <w:r>
        <w:rPr>
          <w:rFonts w:ascii="Arial"/>
          <w:i/>
          <w:spacing w:val="-4"/>
          <w:sz w:val="18"/>
        </w:rPr>
        <w:t>2022</w:t>
      </w:r>
      <w:r>
        <w:rPr>
          <w:rFonts w:ascii="Arial"/>
          <w:i/>
          <w:sz w:val="18"/>
        </w:rPr>
        <w:tab/>
      </w:r>
      <w:r>
        <w:rPr>
          <w:rFonts w:ascii="Arial"/>
          <w:i/>
          <w:spacing w:val="-4"/>
          <w:sz w:val="18"/>
        </w:rPr>
        <w:t>2021</w:t>
      </w:r>
    </w:p>
    <w:p>
      <w:pPr>
        <w:spacing w:line="20" w:lineRule="exact"/>
        <w:ind w:left="347" w:right="0" w:firstLine="0"/>
        <w:rPr>
          <w:rFonts w:ascii="Arial"/>
          <w:sz w:val="2"/>
        </w:rPr>
      </w:pPr>
      <w:r>
        <w:rPr>
          <w:rFonts w:ascii="Arial"/>
          <w:sz w:val="2"/>
        </w:rPr>
        <mc:AlternateContent>
          <mc:Choice Requires="wps">
            <w:drawing>
              <wp:inline distT="0" distB="0" distL="0" distR="0">
                <wp:extent cx="2219325" cy="12700"/>
                <wp:effectExtent l="9525" t="0" r="0" b="6350"/>
                <wp:docPr id="670" name="Group 670"/>
                <wp:cNvGraphicFramePr>
                  <a:graphicFrameLocks/>
                </wp:cNvGraphicFramePr>
                <a:graphic>
                  <a:graphicData uri="http://schemas.microsoft.com/office/word/2010/wordprocessingGroup">
                    <wpg:wgp>
                      <wpg:cNvPr id="670" name="Group 670"/>
                      <wpg:cNvGrpSpPr/>
                      <wpg:grpSpPr>
                        <a:xfrm>
                          <a:off x="0" y="0"/>
                          <a:ext cx="2219325" cy="12700"/>
                          <a:chExt cx="2219325" cy="12700"/>
                        </a:xfrm>
                      </wpg:grpSpPr>
                      <wps:wsp>
                        <wps:cNvPr id="671" name="Graphic 671"/>
                        <wps:cNvSpPr/>
                        <wps:spPr>
                          <a:xfrm>
                            <a:off x="0" y="6350"/>
                            <a:ext cx="2219325" cy="1270"/>
                          </a:xfrm>
                          <a:custGeom>
                            <a:avLst/>
                            <a:gdLst/>
                            <a:ahLst/>
                            <a:cxnLst/>
                            <a:rect l="l" t="t" r="r" b="b"/>
                            <a:pathLst>
                              <a:path w="2219325" h="0">
                                <a:moveTo>
                                  <a:pt x="0" y="0"/>
                                </a:moveTo>
                                <a:lnTo>
                                  <a:pt x="714375" y="0"/>
                                </a:lnTo>
                              </a:path>
                              <a:path w="2219325" h="0">
                                <a:moveTo>
                                  <a:pt x="752475" y="0"/>
                                </a:moveTo>
                                <a:lnTo>
                                  <a:pt x="1466850" y="0"/>
                                </a:lnTo>
                              </a:path>
                              <a:path w="2219325" h="0">
                                <a:moveTo>
                                  <a:pt x="1504950" y="0"/>
                                </a:moveTo>
                                <a:lnTo>
                                  <a:pt x="22193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75pt;height:1pt;mso-position-horizontal-relative:char;mso-position-vertical-relative:line" id="docshapegroup568" coordorigin="0,0" coordsize="3495,20">
                <v:shape style="position:absolute;left:0;top:10;width:3495;height:2" id="docshape569" coordorigin="0,10" coordsize="3495,0" path="m0,10l1125,10m1185,10l2310,10m2370,10l3495,10e" filled="false" stroked="true" strokeweight="1pt" strokecolor="#000000">
                  <v:path arrowok="t"/>
                  <v:stroke dashstyle="solid"/>
                </v:shape>
              </v:group>
            </w:pict>
          </mc:Fallback>
        </mc:AlternateContent>
      </w:r>
      <w:r>
        <w:rPr>
          <w:rFonts w:ascii="Arial"/>
          <w:sz w:val="2"/>
        </w:rPr>
      </w:r>
    </w:p>
    <w:p>
      <w:pPr>
        <w:spacing w:after="0" w:line="20" w:lineRule="exact"/>
        <w:rPr>
          <w:rFonts w:ascii="Arial"/>
          <w:sz w:val="2"/>
        </w:rPr>
        <w:sectPr>
          <w:headerReference w:type="default" r:id="rId116"/>
          <w:pgSz w:w="12240" w:h="15840"/>
          <w:pgMar w:header="0" w:footer="0" w:top="1360" w:bottom="720" w:left="720" w:right="720"/>
          <w:cols w:num="2" w:equalWidth="0">
            <w:col w:w="5285" w:space="943"/>
            <w:col w:w="4572"/>
          </w:cols>
        </w:sectPr>
      </w:pPr>
    </w:p>
    <w:tbl>
      <w:tblPr>
        <w:tblW w:w="0" w:type="auto"/>
        <w:jc w:val="left"/>
        <w:tblInd w:w="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9"/>
        <w:gridCol w:w="1768"/>
        <w:gridCol w:w="1215"/>
        <w:gridCol w:w="1171"/>
      </w:tblGrid>
      <w:tr>
        <w:trPr>
          <w:trHeight w:val="228" w:hRule="atLeast"/>
        </w:trPr>
        <w:tc>
          <w:tcPr>
            <w:tcW w:w="5059" w:type="dxa"/>
          </w:tcPr>
          <w:p>
            <w:pPr>
              <w:pStyle w:val="TableParagraph"/>
              <w:spacing w:line="201" w:lineRule="exact"/>
              <w:ind w:left="230"/>
              <w:rPr>
                <w:sz w:val="18"/>
              </w:rPr>
            </w:pPr>
            <w:r>
              <w:rPr>
                <w:sz w:val="18"/>
              </w:rPr>
              <w:t>exchange</w:t>
            </w:r>
            <w:r>
              <w:rPr>
                <w:spacing w:val="-3"/>
                <w:sz w:val="18"/>
              </w:rPr>
              <w:t> </w:t>
            </w:r>
            <w:r>
              <w:rPr>
                <w:sz w:val="18"/>
              </w:rPr>
              <w:t>rate</w:t>
            </w:r>
            <w:r>
              <w:rPr>
                <w:spacing w:val="-3"/>
                <w:sz w:val="18"/>
              </w:rPr>
              <w:t> </w:t>
            </w:r>
            <w:r>
              <w:rPr>
                <w:spacing w:val="-2"/>
                <w:sz w:val="18"/>
              </w:rPr>
              <w:t>fluctuations</w:t>
            </w:r>
          </w:p>
        </w:tc>
        <w:tc>
          <w:tcPr>
            <w:tcW w:w="4154" w:type="dxa"/>
            <w:gridSpan w:val="3"/>
          </w:tcPr>
          <w:p>
            <w:pPr>
              <w:pStyle w:val="TableParagraph"/>
              <w:rPr>
                <w:rFonts w:ascii="Times New Roman"/>
                <w:sz w:val="16"/>
              </w:rPr>
            </w:pPr>
          </w:p>
        </w:tc>
      </w:tr>
      <w:tr>
        <w:trPr>
          <w:trHeight w:val="255" w:hRule="atLeast"/>
        </w:trPr>
        <w:tc>
          <w:tcPr>
            <w:tcW w:w="5059" w:type="dxa"/>
          </w:tcPr>
          <w:p>
            <w:pPr>
              <w:pStyle w:val="TableParagraph"/>
              <w:spacing w:before="21"/>
              <w:ind w:left="230"/>
              <w:rPr>
                <w:sz w:val="18"/>
              </w:rPr>
            </w:pPr>
            <w:r>
              <w:rPr>
                <w:sz w:val="18"/>
              </w:rPr>
              <w:t>Loans</w:t>
            </w:r>
            <w:r>
              <w:rPr>
                <w:spacing w:val="-4"/>
                <w:sz w:val="18"/>
              </w:rPr>
              <w:t> </w:t>
            </w:r>
            <w:r>
              <w:rPr>
                <w:spacing w:val="-2"/>
                <w:sz w:val="18"/>
              </w:rPr>
              <w:t>outstanding</w:t>
            </w:r>
          </w:p>
        </w:tc>
        <w:tc>
          <w:tcPr>
            <w:tcW w:w="1768" w:type="dxa"/>
          </w:tcPr>
          <w:p>
            <w:pPr>
              <w:pStyle w:val="TableParagraph"/>
              <w:tabs>
                <w:tab w:pos="547" w:val="left" w:leader="none"/>
              </w:tabs>
              <w:spacing w:before="21"/>
              <w:ind w:right="92"/>
              <w:jc w:val="right"/>
              <w:rPr>
                <w:sz w:val="18"/>
              </w:rPr>
            </w:pPr>
            <w:r>
              <w:rPr>
                <w:spacing w:val="-10"/>
                <w:sz w:val="18"/>
              </w:rPr>
              <w:t>$</w:t>
            </w:r>
            <w:r>
              <w:rPr>
                <w:sz w:val="18"/>
              </w:rPr>
              <w:tab/>
            </w:r>
            <w:r>
              <w:rPr>
                <w:spacing w:val="-2"/>
                <w:sz w:val="18"/>
              </w:rPr>
              <w:t>1,817</w:t>
            </w:r>
          </w:p>
        </w:tc>
        <w:tc>
          <w:tcPr>
            <w:tcW w:w="1215" w:type="dxa"/>
          </w:tcPr>
          <w:p>
            <w:pPr>
              <w:pStyle w:val="TableParagraph"/>
              <w:tabs>
                <w:tab w:pos="487" w:val="left" w:leader="none"/>
              </w:tabs>
              <w:spacing w:before="21"/>
              <w:ind w:right="61"/>
              <w:jc w:val="right"/>
              <w:rPr>
                <w:sz w:val="18"/>
              </w:rPr>
            </w:pPr>
            <w:r>
              <w:rPr>
                <w:spacing w:val="-10"/>
                <w:sz w:val="18"/>
              </w:rPr>
              <w:t>$</w:t>
            </w:r>
            <w:r>
              <w:rPr>
                <w:sz w:val="18"/>
              </w:rPr>
              <w:tab/>
            </w:r>
            <w:r>
              <w:rPr>
                <w:spacing w:val="-2"/>
                <w:sz w:val="18"/>
              </w:rPr>
              <w:t>(6,094)</w:t>
            </w:r>
          </w:p>
        </w:tc>
        <w:tc>
          <w:tcPr>
            <w:tcW w:w="1171" w:type="dxa"/>
          </w:tcPr>
          <w:p>
            <w:pPr>
              <w:pStyle w:val="TableParagraph"/>
              <w:tabs>
                <w:tab w:pos="547" w:val="left" w:leader="none"/>
              </w:tabs>
              <w:spacing w:before="21"/>
              <w:ind w:right="108"/>
              <w:jc w:val="right"/>
              <w:rPr>
                <w:sz w:val="18"/>
              </w:rPr>
            </w:pPr>
            <w:r>
              <w:rPr>
                <w:spacing w:val="-10"/>
                <w:sz w:val="18"/>
              </w:rPr>
              <w:t>$</w:t>
            </w:r>
            <w:r>
              <w:rPr>
                <w:sz w:val="18"/>
              </w:rPr>
              <w:tab/>
            </w:r>
            <w:r>
              <w:rPr>
                <w:spacing w:val="-2"/>
                <w:sz w:val="18"/>
              </w:rPr>
              <w:t>2,742</w:t>
            </w:r>
          </w:p>
        </w:tc>
      </w:tr>
      <w:tr>
        <w:trPr>
          <w:trHeight w:val="255" w:hRule="atLeast"/>
        </w:trPr>
        <w:tc>
          <w:tcPr>
            <w:tcW w:w="5059" w:type="dxa"/>
          </w:tcPr>
          <w:p>
            <w:pPr>
              <w:pStyle w:val="TableParagraph"/>
              <w:spacing w:before="21"/>
              <w:ind w:left="230"/>
              <w:rPr>
                <w:sz w:val="18"/>
              </w:rPr>
            </w:pPr>
            <w:r>
              <w:rPr>
                <w:sz w:val="18"/>
              </w:rPr>
              <w:t>Investment</w:t>
            </w:r>
            <w:r>
              <w:rPr>
                <w:spacing w:val="-4"/>
                <w:sz w:val="18"/>
              </w:rPr>
              <w:t> </w:t>
            </w:r>
            <w:r>
              <w:rPr>
                <w:spacing w:val="-2"/>
                <w:sz w:val="18"/>
              </w:rPr>
              <w:t>portfolio</w:t>
            </w:r>
          </w:p>
        </w:tc>
        <w:tc>
          <w:tcPr>
            <w:tcW w:w="1768" w:type="dxa"/>
          </w:tcPr>
          <w:p>
            <w:pPr>
              <w:pStyle w:val="TableParagraph"/>
              <w:spacing w:before="21"/>
              <w:ind w:right="92"/>
              <w:jc w:val="right"/>
              <w:rPr>
                <w:sz w:val="18"/>
              </w:rPr>
            </w:pPr>
            <w:r>
              <w:rPr>
                <w:spacing w:val="-10"/>
                <w:sz w:val="18"/>
              </w:rPr>
              <w:t>4</w:t>
            </w:r>
          </w:p>
        </w:tc>
        <w:tc>
          <w:tcPr>
            <w:tcW w:w="1215" w:type="dxa"/>
          </w:tcPr>
          <w:p>
            <w:pPr>
              <w:pStyle w:val="TableParagraph"/>
              <w:spacing w:before="21"/>
              <w:ind w:right="62"/>
              <w:jc w:val="right"/>
              <w:rPr>
                <w:sz w:val="18"/>
              </w:rPr>
            </w:pPr>
            <w:r>
              <w:rPr>
                <w:spacing w:val="-2"/>
                <w:sz w:val="18"/>
              </w:rPr>
              <w:t>(210)</w:t>
            </w:r>
          </w:p>
        </w:tc>
        <w:tc>
          <w:tcPr>
            <w:tcW w:w="1171" w:type="dxa"/>
          </w:tcPr>
          <w:p>
            <w:pPr>
              <w:pStyle w:val="TableParagraph"/>
              <w:spacing w:before="21"/>
              <w:ind w:right="108"/>
              <w:jc w:val="right"/>
              <w:rPr>
                <w:sz w:val="18"/>
              </w:rPr>
            </w:pPr>
            <w:r>
              <w:rPr>
                <w:spacing w:val="-5"/>
                <w:sz w:val="18"/>
              </w:rPr>
              <w:t>277</w:t>
            </w:r>
          </w:p>
        </w:tc>
      </w:tr>
      <w:tr>
        <w:trPr>
          <w:trHeight w:val="255" w:hRule="atLeast"/>
        </w:trPr>
        <w:tc>
          <w:tcPr>
            <w:tcW w:w="5059" w:type="dxa"/>
          </w:tcPr>
          <w:p>
            <w:pPr>
              <w:pStyle w:val="TableParagraph"/>
              <w:spacing w:before="21"/>
              <w:ind w:left="230"/>
              <w:rPr>
                <w:sz w:val="18"/>
              </w:rPr>
            </w:pPr>
            <w:r>
              <w:rPr>
                <w:sz w:val="18"/>
              </w:rPr>
              <w:t>Borrowing</w:t>
            </w:r>
            <w:r>
              <w:rPr>
                <w:spacing w:val="-5"/>
                <w:sz w:val="18"/>
              </w:rPr>
              <w:t> </w:t>
            </w:r>
            <w:r>
              <w:rPr>
                <w:spacing w:val="-2"/>
                <w:sz w:val="18"/>
              </w:rPr>
              <w:t>portfolio</w:t>
            </w:r>
          </w:p>
        </w:tc>
        <w:tc>
          <w:tcPr>
            <w:tcW w:w="1768" w:type="dxa"/>
          </w:tcPr>
          <w:p>
            <w:pPr>
              <w:pStyle w:val="TableParagraph"/>
              <w:spacing w:before="21"/>
              <w:ind w:right="92"/>
              <w:jc w:val="right"/>
              <w:rPr>
                <w:sz w:val="18"/>
              </w:rPr>
            </w:pPr>
            <w:r>
              <w:rPr>
                <w:spacing w:val="-2"/>
                <w:sz w:val="18"/>
              </w:rPr>
              <w:t>1,397</w:t>
            </w:r>
          </w:p>
        </w:tc>
        <w:tc>
          <w:tcPr>
            <w:tcW w:w="1215" w:type="dxa"/>
          </w:tcPr>
          <w:p>
            <w:pPr>
              <w:pStyle w:val="TableParagraph"/>
              <w:spacing w:before="21"/>
              <w:ind w:right="61"/>
              <w:jc w:val="right"/>
              <w:rPr>
                <w:sz w:val="18"/>
              </w:rPr>
            </w:pPr>
            <w:r>
              <w:rPr>
                <w:spacing w:val="-2"/>
                <w:sz w:val="18"/>
              </w:rPr>
              <w:t>(4,527)</w:t>
            </w:r>
          </w:p>
        </w:tc>
        <w:tc>
          <w:tcPr>
            <w:tcW w:w="1171" w:type="dxa"/>
          </w:tcPr>
          <w:p>
            <w:pPr>
              <w:pStyle w:val="TableParagraph"/>
              <w:spacing w:before="21"/>
              <w:ind w:right="47"/>
              <w:jc w:val="right"/>
              <w:rPr>
                <w:sz w:val="18"/>
              </w:rPr>
            </w:pPr>
            <w:r>
              <w:rPr>
                <w:spacing w:val="-2"/>
                <w:sz w:val="18"/>
              </w:rPr>
              <w:t>(1,971)</w:t>
            </w:r>
          </w:p>
        </w:tc>
      </w:tr>
      <w:tr>
        <w:trPr>
          <w:trHeight w:val="255" w:hRule="atLeast"/>
        </w:trPr>
        <w:tc>
          <w:tcPr>
            <w:tcW w:w="5059" w:type="dxa"/>
          </w:tcPr>
          <w:p>
            <w:pPr>
              <w:pStyle w:val="TableParagraph"/>
              <w:spacing w:before="21"/>
              <w:ind w:left="50"/>
              <w:rPr>
                <w:sz w:val="18"/>
              </w:rPr>
            </w:pPr>
            <w:r>
              <w:rPr>
                <w:sz w:val="18"/>
              </w:rPr>
              <w:t>Capitalized</w:t>
            </w:r>
            <w:r>
              <w:rPr>
                <w:spacing w:val="-7"/>
                <w:sz w:val="18"/>
              </w:rPr>
              <w:t> </w:t>
            </w:r>
            <w:r>
              <w:rPr>
                <w:sz w:val="18"/>
              </w:rPr>
              <w:t>loan</w:t>
            </w:r>
            <w:r>
              <w:rPr>
                <w:spacing w:val="-4"/>
                <w:sz w:val="18"/>
              </w:rPr>
              <w:t> </w:t>
            </w:r>
            <w:r>
              <w:rPr>
                <w:sz w:val="18"/>
              </w:rPr>
              <w:t>origination</w:t>
            </w:r>
            <w:r>
              <w:rPr>
                <w:spacing w:val="-4"/>
                <w:sz w:val="18"/>
              </w:rPr>
              <w:t> </w:t>
            </w:r>
            <w:r>
              <w:rPr>
                <w:sz w:val="18"/>
              </w:rPr>
              <w:t>fees</w:t>
            </w:r>
            <w:r>
              <w:rPr>
                <w:spacing w:val="-5"/>
                <w:sz w:val="18"/>
              </w:rPr>
              <w:t> </w:t>
            </w:r>
            <w:r>
              <w:rPr>
                <w:sz w:val="18"/>
              </w:rPr>
              <w:t>included</w:t>
            </w:r>
            <w:r>
              <w:rPr>
                <w:spacing w:val="-4"/>
                <w:sz w:val="18"/>
              </w:rPr>
              <w:t> </w:t>
            </w:r>
            <w:r>
              <w:rPr>
                <w:sz w:val="18"/>
              </w:rPr>
              <w:t>in</w:t>
            </w:r>
            <w:r>
              <w:rPr>
                <w:spacing w:val="-4"/>
                <w:sz w:val="18"/>
              </w:rPr>
              <w:t> </w:t>
            </w:r>
            <w:r>
              <w:rPr>
                <w:sz w:val="18"/>
              </w:rPr>
              <w:t>total</w:t>
            </w:r>
            <w:r>
              <w:rPr>
                <w:spacing w:val="-4"/>
                <w:sz w:val="18"/>
              </w:rPr>
              <w:t> </w:t>
            </w:r>
            <w:r>
              <w:rPr>
                <w:spacing w:val="-2"/>
                <w:sz w:val="18"/>
              </w:rPr>
              <w:t>loans</w:t>
            </w:r>
          </w:p>
        </w:tc>
        <w:tc>
          <w:tcPr>
            <w:tcW w:w="1768" w:type="dxa"/>
          </w:tcPr>
          <w:p>
            <w:pPr>
              <w:pStyle w:val="TableParagraph"/>
              <w:spacing w:before="21"/>
              <w:ind w:right="92"/>
              <w:jc w:val="right"/>
              <w:rPr>
                <w:sz w:val="18"/>
              </w:rPr>
            </w:pPr>
            <w:r>
              <w:rPr>
                <w:spacing w:val="-5"/>
                <w:sz w:val="18"/>
              </w:rPr>
              <w:t>39</w:t>
            </w:r>
          </w:p>
        </w:tc>
        <w:tc>
          <w:tcPr>
            <w:tcW w:w="1215" w:type="dxa"/>
          </w:tcPr>
          <w:p>
            <w:pPr>
              <w:pStyle w:val="TableParagraph"/>
              <w:spacing w:before="21"/>
              <w:ind w:right="122"/>
              <w:jc w:val="right"/>
              <w:rPr>
                <w:sz w:val="18"/>
              </w:rPr>
            </w:pPr>
            <w:r>
              <w:rPr>
                <w:spacing w:val="-5"/>
                <w:sz w:val="18"/>
              </w:rPr>
              <w:t>53</w:t>
            </w:r>
          </w:p>
        </w:tc>
        <w:tc>
          <w:tcPr>
            <w:tcW w:w="1171" w:type="dxa"/>
          </w:tcPr>
          <w:p>
            <w:pPr>
              <w:pStyle w:val="TableParagraph"/>
              <w:spacing w:before="21"/>
              <w:ind w:right="108"/>
              <w:jc w:val="right"/>
              <w:rPr>
                <w:sz w:val="18"/>
              </w:rPr>
            </w:pPr>
            <w:r>
              <w:rPr>
                <w:spacing w:val="-5"/>
                <w:sz w:val="18"/>
              </w:rPr>
              <w:t>39</w:t>
            </w:r>
          </w:p>
        </w:tc>
      </w:tr>
      <w:tr>
        <w:trPr>
          <w:trHeight w:val="228" w:hRule="atLeast"/>
        </w:trPr>
        <w:tc>
          <w:tcPr>
            <w:tcW w:w="5059" w:type="dxa"/>
          </w:tcPr>
          <w:p>
            <w:pPr>
              <w:pStyle w:val="TableParagraph"/>
              <w:spacing w:line="187" w:lineRule="exact" w:before="21"/>
              <w:ind w:left="50"/>
              <w:rPr>
                <w:sz w:val="18"/>
              </w:rPr>
            </w:pPr>
            <w:r>
              <w:rPr>
                <w:sz w:val="18"/>
              </w:rPr>
              <w:t>Interest</w:t>
            </w:r>
            <w:r>
              <w:rPr>
                <w:spacing w:val="-4"/>
                <w:sz w:val="18"/>
              </w:rPr>
              <w:t> </w:t>
            </w:r>
            <w:r>
              <w:rPr>
                <w:sz w:val="18"/>
              </w:rPr>
              <w:t>paid</w:t>
            </w:r>
            <w:r>
              <w:rPr>
                <w:spacing w:val="-3"/>
                <w:sz w:val="18"/>
              </w:rPr>
              <w:t> </w:t>
            </w:r>
            <w:r>
              <w:rPr>
                <w:sz w:val="18"/>
              </w:rPr>
              <w:t>on</w:t>
            </w:r>
            <w:r>
              <w:rPr>
                <w:spacing w:val="-3"/>
                <w:sz w:val="18"/>
              </w:rPr>
              <w:t> </w:t>
            </w:r>
            <w:r>
              <w:rPr>
                <w:sz w:val="18"/>
              </w:rPr>
              <w:t>borrowing</w:t>
            </w:r>
            <w:r>
              <w:rPr>
                <w:spacing w:val="-3"/>
                <w:sz w:val="18"/>
              </w:rPr>
              <w:t> </w:t>
            </w:r>
            <w:r>
              <w:rPr>
                <w:spacing w:val="-2"/>
                <w:sz w:val="18"/>
              </w:rPr>
              <w:t>portfolio</w:t>
            </w:r>
          </w:p>
        </w:tc>
        <w:tc>
          <w:tcPr>
            <w:tcW w:w="1768" w:type="dxa"/>
          </w:tcPr>
          <w:p>
            <w:pPr>
              <w:pStyle w:val="TableParagraph"/>
              <w:spacing w:line="187" w:lineRule="exact" w:before="21"/>
              <w:ind w:right="92"/>
              <w:jc w:val="right"/>
              <w:rPr>
                <w:sz w:val="18"/>
              </w:rPr>
            </w:pPr>
            <w:r>
              <w:rPr>
                <w:spacing w:val="-2"/>
                <w:sz w:val="18"/>
              </w:rPr>
              <w:t>6,948</w:t>
            </w:r>
          </w:p>
        </w:tc>
        <w:tc>
          <w:tcPr>
            <w:tcW w:w="1215" w:type="dxa"/>
          </w:tcPr>
          <w:p>
            <w:pPr>
              <w:pStyle w:val="TableParagraph"/>
              <w:spacing w:line="187" w:lineRule="exact" w:before="21"/>
              <w:ind w:right="122"/>
              <w:jc w:val="right"/>
              <w:rPr>
                <w:sz w:val="18"/>
              </w:rPr>
            </w:pPr>
            <w:r>
              <w:rPr>
                <w:spacing w:val="-2"/>
                <w:sz w:val="18"/>
              </w:rPr>
              <w:t>1,157</w:t>
            </w:r>
          </w:p>
        </w:tc>
        <w:tc>
          <w:tcPr>
            <w:tcW w:w="1171" w:type="dxa"/>
          </w:tcPr>
          <w:p>
            <w:pPr>
              <w:pStyle w:val="TableParagraph"/>
              <w:spacing w:line="187" w:lineRule="exact" w:before="21"/>
              <w:ind w:right="108"/>
              <w:jc w:val="right"/>
              <w:rPr>
                <w:sz w:val="18"/>
              </w:rPr>
            </w:pPr>
            <w:r>
              <w:rPr>
                <w:spacing w:val="-2"/>
                <w:sz w:val="18"/>
              </w:rPr>
              <w:t>1,488</w:t>
            </w:r>
          </w:p>
        </w:tc>
      </w:tr>
    </w:tbl>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79"/>
        <w:rPr>
          <w:rFonts w:ascii="Arial"/>
          <w:i/>
          <w:sz w:val="18"/>
        </w:rPr>
      </w:pPr>
    </w:p>
    <w:p>
      <w:pPr>
        <w:spacing w:before="0"/>
        <w:ind w:left="1639" w:right="1632"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type w:val="continuous"/>
          <w:pgSz w:w="12240" w:h="15840"/>
          <w:pgMar w:header="0" w:footer="0" w:top="1820" w:bottom="280" w:left="720" w:right="720"/>
        </w:sectPr>
      </w:pPr>
    </w:p>
    <w:p>
      <w:pPr>
        <w:pStyle w:val="BodyText"/>
        <w:rPr>
          <w:rFonts w:ascii="Arial"/>
          <w:b/>
          <w:i/>
        </w:rPr>
      </w:pPr>
    </w:p>
    <w:p>
      <w:pPr>
        <w:pStyle w:val="BodyText"/>
        <w:spacing w:before="30"/>
        <w:rPr>
          <w:rFonts w:ascii="Arial"/>
          <w:b/>
          <w:i/>
        </w:rPr>
      </w:pPr>
    </w:p>
    <w:p>
      <w:pPr>
        <w:spacing w:before="0"/>
        <w:ind w:left="720" w:right="0" w:firstLine="0"/>
        <w:jc w:val="left"/>
        <w:rPr>
          <w:rFonts w:ascii="Arial"/>
          <w:i/>
          <w:sz w:val="20"/>
        </w:rPr>
      </w:pPr>
      <w:r>
        <w:rPr>
          <w:rFonts w:ascii="Arial"/>
          <w:i/>
          <w:sz w:val="20"/>
        </w:rPr>
        <mc:AlternateContent>
          <mc:Choice Requires="wps">
            <w:drawing>
              <wp:anchor distT="0" distB="0" distL="0" distR="0" allowOverlap="1" layoutInCell="1" locked="0" behindDoc="1" simplePos="0" relativeHeight="487677952">
                <wp:simplePos x="0" y="0"/>
                <wp:positionH relativeFrom="page">
                  <wp:posOffset>914400</wp:posOffset>
                </wp:positionH>
                <wp:positionV relativeFrom="paragraph">
                  <wp:posOffset>153705</wp:posOffset>
                </wp:positionV>
                <wp:extent cx="5876925" cy="1270"/>
                <wp:effectExtent l="0" t="0" r="0" b="0"/>
                <wp:wrapTopAndBottom/>
                <wp:docPr id="677" name="Graphic 677"/>
                <wp:cNvGraphicFramePr>
                  <a:graphicFrameLocks/>
                </wp:cNvGraphicFramePr>
                <a:graphic>
                  <a:graphicData uri="http://schemas.microsoft.com/office/word/2010/wordprocessingShape">
                    <wps:wsp>
                      <wps:cNvPr id="677" name="Graphic 677"/>
                      <wps:cNvSpPr/>
                      <wps:spPr>
                        <a:xfrm>
                          <a:off x="0" y="0"/>
                          <a:ext cx="5876925" cy="1270"/>
                        </a:xfrm>
                        <a:custGeom>
                          <a:avLst/>
                          <a:gdLst/>
                          <a:ahLst/>
                          <a:cxnLst/>
                          <a:rect l="l" t="t" r="r" b="b"/>
                          <a:pathLst>
                            <a:path w="5876925" h="0">
                              <a:moveTo>
                                <a:pt x="0" y="0"/>
                              </a:moveTo>
                              <a:lnTo>
                                <a:pt x="5876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102782pt;width:462.75pt;height:.1pt;mso-position-horizontal-relative:page;mso-position-vertical-relative:paragraph;z-index:-15638528;mso-wrap-distance-left:0;mso-wrap-distance-right:0" id="docshape575" coordorigin="1440,242" coordsize="9255,0" path="m1440,242l10695,242e" filled="false" stroked="true" strokeweight="1pt" strokecolor="#000000">
                <v:path arrowok="t"/>
                <v:stroke dashstyle="solid"/>
                <w10:wrap type="topAndBottom"/>
              </v:shape>
            </w:pict>
          </mc:Fallback>
        </mc:AlternateContent>
      </w:r>
      <w:bookmarkStart w:name="SUMMARY STATEMENT OF LOANS " w:id="200"/>
      <w:bookmarkEnd w:id="200"/>
      <w:r>
        <w:rPr/>
      </w:r>
      <w:bookmarkStart w:name="_bookmark123" w:id="201"/>
      <w:bookmarkEnd w:id="201"/>
      <w:r>
        <w:rPr/>
      </w: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p>
      <w:pPr>
        <w:spacing w:before="16" w:after="30"/>
        <w:ind w:left="1380" w:right="0" w:firstLine="0"/>
        <w:jc w:val="center"/>
        <w:rPr>
          <w:rFonts w:ascii="Arial"/>
          <w:i/>
          <w:sz w:val="16"/>
        </w:rPr>
      </w:pPr>
      <w:r>
        <w:rPr>
          <w:rFonts w:ascii="Arial"/>
          <w:i/>
          <w:sz w:val="16"/>
        </w:rPr>
        <w:t>Undisbursed</w:t>
      </w:r>
      <w:r>
        <w:rPr>
          <w:rFonts w:ascii="Arial"/>
          <w:i/>
          <w:spacing w:val="-8"/>
          <w:sz w:val="16"/>
        </w:rPr>
        <w:t> </w:t>
      </w:r>
      <w:r>
        <w:rPr>
          <w:rFonts w:ascii="Arial"/>
          <w:i/>
          <w:spacing w:val="-2"/>
          <w:sz w:val="16"/>
        </w:rPr>
        <w:t>balance</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757"/>
        <w:gridCol w:w="823"/>
        <w:gridCol w:w="503"/>
        <w:gridCol w:w="718"/>
        <w:gridCol w:w="540"/>
        <w:gridCol w:w="695"/>
        <w:gridCol w:w="214"/>
        <w:gridCol w:w="1091"/>
        <w:gridCol w:w="1347"/>
      </w:tblGrid>
      <w:tr>
        <w:trPr>
          <w:trHeight w:val="625" w:hRule="atLeast"/>
        </w:trPr>
        <w:tc>
          <w:tcPr>
            <w:tcW w:w="2560" w:type="dxa"/>
            <w:tcBorders>
              <w:bottom w:val="single" w:sz="8" w:space="0" w:color="000000"/>
            </w:tcBorders>
          </w:tcPr>
          <w:p>
            <w:pPr>
              <w:pStyle w:val="TableParagraph"/>
              <w:rPr>
                <w:rFonts w:ascii="Arial"/>
                <w:i/>
                <w:sz w:val="16"/>
              </w:rPr>
            </w:pPr>
          </w:p>
          <w:p>
            <w:pPr>
              <w:pStyle w:val="TableParagraph"/>
              <w:spacing w:before="53"/>
              <w:rPr>
                <w:rFonts w:ascii="Arial"/>
                <w:i/>
                <w:sz w:val="16"/>
              </w:rPr>
            </w:pPr>
          </w:p>
          <w:p>
            <w:pPr>
              <w:pStyle w:val="TableParagraph"/>
              <w:spacing w:line="183" w:lineRule="exact"/>
              <w:ind w:left="52"/>
              <w:rPr>
                <w:rFonts w:ascii="Arial"/>
                <w:i/>
                <w:sz w:val="16"/>
              </w:rPr>
            </w:pPr>
            <w:r>
              <w:rPr>
                <w:rFonts w:ascii="Arial"/>
                <w:i/>
                <w:sz w:val="16"/>
              </w:rPr>
              <w:t>Borrower</w:t>
            </w:r>
            <w:r>
              <w:rPr>
                <w:rFonts w:ascii="Arial"/>
                <w:i/>
                <w:spacing w:val="-3"/>
                <w:sz w:val="16"/>
              </w:rPr>
              <w:t> </w:t>
            </w:r>
            <w:r>
              <w:rPr>
                <w:rFonts w:ascii="Arial"/>
                <w:i/>
                <w:sz w:val="16"/>
              </w:rPr>
              <w:t>or</w:t>
            </w:r>
            <w:r>
              <w:rPr>
                <w:rFonts w:ascii="Arial"/>
                <w:i/>
                <w:spacing w:val="-2"/>
                <w:sz w:val="16"/>
              </w:rPr>
              <w:t> guarantor</w:t>
            </w:r>
          </w:p>
        </w:tc>
        <w:tc>
          <w:tcPr>
            <w:tcW w:w="1580" w:type="dxa"/>
            <w:gridSpan w:val="2"/>
            <w:tcBorders>
              <w:bottom w:val="single" w:sz="8" w:space="0" w:color="000000"/>
            </w:tcBorders>
          </w:tcPr>
          <w:p>
            <w:pPr>
              <w:pStyle w:val="TableParagraph"/>
              <w:rPr>
                <w:rFonts w:ascii="Arial"/>
                <w:i/>
                <w:sz w:val="16"/>
              </w:rPr>
            </w:pPr>
          </w:p>
          <w:p>
            <w:pPr>
              <w:pStyle w:val="TableParagraph"/>
              <w:spacing w:before="53"/>
              <w:rPr>
                <w:rFonts w:ascii="Arial"/>
                <w:i/>
                <w:sz w:val="16"/>
              </w:rPr>
            </w:pPr>
          </w:p>
          <w:p>
            <w:pPr>
              <w:pStyle w:val="TableParagraph"/>
              <w:spacing w:line="183" w:lineRule="exact"/>
              <w:ind w:left="435"/>
              <w:rPr>
                <w:rFonts w:ascii="Arial"/>
                <w:i/>
                <w:sz w:val="16"/>
              </w:rPr>
            </w:pPr>
            <w:r>
              <w:rPr>
                <w:rFonts w:ascii="Arial"/>
                <w:i/>
                <w:sz w:val="16"/>
              </w:rPr>
              <w:t>Total</w:t>
            </w:r>
            <w:r>
              <w:rPr>
                <w:rFonts w:ascii="Arial"/>
                <w:i/>
                <w:spacing w:val="-4"/>
                <w:sz w:val="16"/>
              </w:rPr>
              <w:t> </w:t>
            </w:r>
            <w:r>
              <w:rPr>
                <w:rFonts w:ascii="Arial"/>
                <w:i/>
                <w:sz w:val="16"/>
              </w:rPr>
              <w:t>loans</w:t>
            </w:r>
            <w:r>
              <w:rPr>
                <w:rFonts w:ascii="Arial"/>
                <w:i/>
                <w:spacing w:val="-4"/>
                <w:sz w:val="16"/>
              </w:rPr>
              <w:t> </w:t>
            </w:r>
            <w:r>
              <w:rPr>
                <w:rFonts w:ascii="Arial"/>
                <w:i/>
                <w:spacing w:val="-5"/>
                <w:sz w:val="16"/>
                <w:vertAlign w:val="superscript"/>
              </w:rPr>
              <w:t>a,b</w:t>
            </w:r>
          </w:p>
        </w:tc>
        <w:tc>
          <w:tcPr>
            <w:tcW w:w="1221" w:type="dxa"/>
            <w:gridSpan w:val="2"/>
            <w:tcBorders>
              <w:top w:val="single" w:sz="8" w:space="0" w:color="000000"/>
              <w:bottom w:val="single" w:sz="8" w:space="0" w:color="000000"/>
            </w:tcBorders>
          </w:tcPr>
          <w:p>
            <w:pPr>
              <w:pStyle w:val="TableParagraph"/>
              <w:spacing w:line="190" w:lineRule="atLeast" w:before="31"/>
              <w:ind w:left="102" w:right="121" w:hanging="1"/>
              <w:jc w:val="center"/>
              <w:rPr>
                <w:rFonts w:ascii="Arial"/>
                <w:i/>
                <w:sz w:val="16"/>
              </w:rPr>
            </w:pPr>
            <w:r>
              <w:rPr>
                <w:rFonts w:ascii="Arial"/>
                <w:i/>
                <w:spacing w:val="-2"/>
                <w:sz w:val="16"/>
              </w:rPr>
              <w:t>Loans </w:t>
            </w:r>
            <w:r>
              <w:rPr>
                <w:rFonts w:ascii="Arial"/>
                <w:i/>
                <w:sz w:val="16"/>
              </w:rPr>
              <w:t>approved but not</w:t>
            </w:r>
            <w:r>
              <w:rPr>
                <w:rFonts w:ascii="Arial"/>
                <w:i/>
                <w:spacing w:val="-2"/>
                <w:sz w:val="16"/>
              </w:rPr>
              <w:t> </w:t>
            </w:r>
            <w:r>
              <w:rPr>
                <w:rFonts w:ascii="Arial"/>
                <w:i/>
                <w:sz w:val="16"/>
              </w:rPr>
              <w:t>yet</w:t>
            </w:r>
            <w:r>
              <w:rPr>
                <w:rFonts w:ascii="Arial"/>
                <w:i/>
                <w:spacing w:val="-1"/>
                <w:sz w:val="16"/>
              </w:rPr>
              <w:t> </w:t>
            </w:r>
            <w:r>
              <w:rPr>
                <w:rFonts w:ascii="Arial"/>
                <w:i/>
                <w:spacing w:val="-2"/>
                <w:sz w:val="16"/>
              </w:rPr>
              <w:t>signed</w:t>
            </w:r>
          </w:p>
        </w:tc>
        <w:tc>
          <w:tcPr>
            <w:tcW w:w="1235" w:type="dxa"/>
            <w:gridSpan w:val="2"/>
            <w:tcBorders>
              <w:top w:val="single" w:sz="8" w:space="0" w:color="000000"/>
              <w:bottom w:val="single" w:sz="8" w:space="0" w:color="000000"/>
            </w:tcBorders>
          </w:tcPr>
          <w:p>
            <w:pPr>
              <w:pStyle w:val="TableParagraph"/>
              <w:spacing w:before="39"/>
              <w:rPr>
                <w:rFonts w:ascii="Arial"/>
                <w:i/>
                <w:sz w:val="16"/>
              </w:rPr>
            </w:pPr>
          </w:p>
          <w:p>
            <w:pPr>
              <w:pStyle w:val="TableParagraph"/>
              <w:spacing w:line="190" w:lineRule="atLeast"/>
              <w:ind w:left="155" w:right="109" w:firstLine="61"/>
              <w:rPr>
                <w:rFonts w:ascii="Arial"/>
                <w:i/>
                <w:sz w:val="16"/>
              </w:rPr>
            </w:pPr>
            <w:r>
              <w:rPr>
                <w:rFonts w:ascii="Arial"/>
                <w:i/>
                <w:sz w:val="16"/>
              </w:rPr>
              <w:t>Signed loan commitment</w:t>
            </w:r>
            <w:r>
              <w:rPr>
                <w:rFonts w:ascii="Arial"/>
                <w:i/>
                <w:spacing w:val="-5"/>
                <w:sz w:val="16"/>
              </w:rPr>
              <w:t> </w:t>
            </w:r>
            <w:r>
              <w:rPr>
                <w:rFonts w:ascii="Arial"/>
                <w:i/>
                <w:spacing w:val="-10"/>
                <w:sz w:val="16"/>
                <w:vertAlign w:val="superscript"/>
              </w:rPr>
              <w:t>c</w:t>
            </w:r>
          </w:p>
        </w:tc>
        <w:tc>
          <w:tcPr>
            <w:tcW w:w="1305" w:type="dxa"/>
            <w:gridSpan w:val="2"/>
            <w:tcBorders>
              <w:bottom w:val="single" w:sz="8" w:space="0" w:color="000000"/>
            </w:tcBorders>
          </w:tcPr>
          <w:p>
            <w:pPr>
              <w:pStyle w:val="TableParagraph"/>
              <w:spacing w:before="39"/>
              <w:rPr>
                <w:rFonts w:ascii="Arial"/>
                <w:i/>
                <w:sz w:val="16"/>
              </w:rPr>
            </w:pPr>
          </w:p>
          <w:p>
            <w:pPr>
              <w:pStyle w:val="TableParagraph"/>
              <w:spacing w:line="190" w:lineRule="atLeast"/>
              <w:ind w:left="233" w:firstLine="213"/>
              <w:rPr>
                <w:rFonts w:ascii="Arial"/>
                <w:i/>
                <w:sz w:val="16"/>
              </w:rPr>
            </w:pPr>
            <w:r>
              <w:rPr>
                <w:rFonts w:ascii="Arial"/>
                <w:i/>
                <w:spacing w:val="-2"/>
                <w:sz w:val="16"/>
              </w:rPr>
              <w:t>Loans Outstanding</w:t>
            </w:r>
          </w:p>
        </w:tc>
        <w:tc>
          <w:tcPr>
            <w:tcW w:w="1347" w:type="dxa"/>
            <w:tcBorders>
              <w:bottom w:val="single" w:sz="8" w:space="0" w:color="000000"/>
            </w:tcBorders>
          </w:tcPr>
          <w:p>
            <w:pPr>
              <w:pStyle w:val="TableParagraph"/>
              <w:spacing w:line="190" w:lineRule="atLeast" w:before="31"/>
              <w:ind w:right="107"/>
              <w:jc w:val="center"/>
              <w:rPr>
                <w:rFonts w:ascii="Arial"/>
                <w:i/>
                <w:sz w:val="16"/>
              </w:rPr>
            </w:pPr>
            <w:r>
              <w:rPr>
                <w:rFonts w:ascii="Arial"/>
                <w:i/>
                <w:sz w:val="16"/>
              </w:rPr>
              <w:t>Percentage</w:t>
            </w:r>
            <w:r>
              <w:rPr>
                <w:rFonts w:ascii="Arial"/>
                <w:i/>
                <w:spacing w:val="-12"/>
                <w:sz w:val="16"/>
              </w:rPr>
              <w:t> </w:t>
            </w:r>
            <w:r>
              <w:rPr>
                <w:rFonts w:ascii="Arial"/>
                <w:i/>
                <w:sz w:val="16"/>
              </w:rPr>
              <w:t>of total loans outstanding </w:t>
            </w:r>
            <w:r>
              <w:rPr>
                <w:rFonts w:ascii="Arial"/>
                <w:i/>
                <w:sz w:val="16"/>
                <w:vertAlign w:val="superscript"/>
              </w:rPr>
              <w:t>d</w:t>
            </w:r>
          </w:p>
        </w:tc>
      </w:tr>
      <w:tr>
        <w:trPr>
          <w:trHeight w:val="205" w:hRule="atLeast"/>
        </w:trPr>
        <w:tc>
          <w:tcPr>
            <w:tcW w:w="2560" w:type="dxa"/>
            <w:tcBorders>
              <w:top w:val="single" w:sz="8" w:space="0" w:color="000000"/>
            </w:tcBorders>
            <w:shd w:val="clear" w:color="auto" w:fill="D8D8D8"/>
          </w:tcPr>
          <w:p>
            <w:pPr>
              <w:pStyle w:val="TableParagraph"/>
              <w:spacing w:line="176" w:lineRule="exact" w:before="9"/>
              <w:ind w:left="52"/>
              <w:rPr>
                <w:sz w:val="16"/>
              </w:rPr>
            </w:pPr>
            <w:r>
              <w:rPr>
                <w:sz w:val="16"/>
              </w:rPr>
              <w:t>Albania</w:t>
            </w:r>
            <w:r>
              <w:rPr>
                <w:spacing w:val="-6"/>
                <w:sz w:val="16"/>
              </w:rPr>
              <w:t> </w:t>
            </w:r>
            <w:r>
              <w:rPr>
                <w:spacing w:val="-10"/>
                <w:sz w:val="16"/>
                <w:vertAlign w:val="superscript"/>
              </w:rPr>
              <w:t>b</w:t>
            </w:r>
          </w:p>
        </w:tc>
        <w:tc>
          <w:tcPr>
            <w:tcW w:w="757" w:type="dxa"/>
            <w:tcBorders>
              <w:top w:val="single" w:sz="8" w:space="0" w:color="000000"/>
            </w:tcBorders>
            <w:shd w:val="clear" w:color="auto" w:fill="D8D8D8"/>
          </w:tcPr>
          <w:p>
            <w:pPr>
              <w:pStyle w:val="TableParagraph"/>
              <w:spacing w:line="176" w:lineRule="exact" w:before="9"/>
              <w:ind w:left="77"/>
              <w:jc w:val="center"/>
              <w:rPr>
                <w:sz w:val="16"/>
              </w:rPr>
            </w:pPr>
            <w:r>
              <w:rPr>
                <w:spacing w:val="-10"/>
                <w:sz w:val="16"/>
              </w:rPr>
              <w:t>$</w:t>
            </w:r>
          </w:p>
        </w:tc>
        <w:tc>
          <w:tcPr>
            <w:tcW w:w="823" w:type="dxa"/>
            <w:tcBorders>
              <w:top w:val="single" w:sz="8" w:space="0" w:color="000000"/>
            </w:tcBorders>
            <w:shd w:val="clear" w:color="auto" w:fill="D8D8D8"/>
          </w:tcPr>
          <w:p>
            <w:pPr>
              <w:pStyle w:val="TableParagraph"/>
              <w:spacing w:line="176" w:lineRule="exact" w:before="9"/>
              <w:ind w:left="295"/>
              <w:rPr>
                <w:sz w:val="16"/>
              </w:rPr>
            </w:pPr>
            <w:r>
              <w:rPr>
                <w:spacing w:val="-2"/>
                <w:sz w:val="16"/>
              </w:rPr>
              <w:t>1,403</w:t>
            </w:r>
          </w:p>
        </w:tc>
        <w:tc>
          <w:tcPr>
            <w:tcW w:w="503" w:type="dxa"/>
            <w:tcBorders>
              <w:top w:val="single" w:sz="8" w:space="0" w:color="000000"/>
            </w:tcBorders>
            <w:shd w:val="clear" w:color="auto" w:fill="D8D8D8"/>
          </w:tcPr>
          <w:p>
            <w:pPr>
              <w:pStyle w:val="TableParagraph"/>
              <w:spacing w:line="176" w:lineRule="exact" w:before="9"/>
              <w:ind w:left="52"/>
              <w:rPr>
                <w:sz w:val="16"/>
              </w:rPr>
            </w:pPr>
            <w:r>
              <w:rPr>
                <w:spacing w:val="-10"/>
                <w:sz w:val="16"/>
              </w:rPr>
              <w:t>$</w:t>
            </w:r>
          </w:p>
        </w:tc>
        <w:tc>
          <w:tcPr>
            <w:tcW w:w="718" w:type="dxa"/>
            <w:tcBorders>
              <w:top w:val="single" w:sz="8" w:space="0" w:color="000000"/>
            </w:tcBorders>
            <w:shd w:val="clear" w:color="auto" w:fill="D8D8D8"/>
          </w:tcPr>
          <w:p>
            <w:pPr>
              <w:pStyle w:val="TableParagraph"/>
              <w:spacing w:line="176" w:lineRule="exact" w:before="9"/>
              <w:ind w:left="362"/>
              <w:rPr>
                <w:sz w:val="16"/>
              </w:rPr>
            </w:pPr>
            <w:r>
              <w:rPr>
                <w:spacing w:val="-5"/>
                <w:sz w:val="16"/>
              </w:rPr>
              <w:t>246</w:t>
            </w:r>
          </w:p>
        </w:tc>
        <w:tc>
          <w:tcPr>
            <w:tcW w:w="540" w:type="dxa"/>
            <w:tcBorders>
              <w:top w:val="single" w:sz="8" w:space="0" w:color="000000"/>
            </w:tcBorders>
            <w:shd w:val="clear" w:color="auto" w:fill="D8D8D8"/>
          </w:tcPr>
          <w:p>
            <w:pPr>
              <w:pStyle w:val="TableParagraph"/>
              <w:spacing w:line="176" w:lineRule="exact" w:before="9"/>
              <w:ind w:left="91"/>
              <w:rPr>
                <w:sz w:val="16"/>
              </w:rPr>
            </w:pPr>
            <w:r>
              <w:rPr>
                <w:spacing w:val="-10"/>
                <w:sz w:val="16"/>
              </w:rPr>
              <w:t>$</w:t>
            </w:r>
          </w:p>
        </w:tc>
        <w:tc>
          <w:tcPr>
            <w:tcW w:w="695" w:type="dxa"/>
            <w:tcBorders>
              <w:top w:val="single" w:sz="8" w:space="0" w:color="000000"/>
            </w:tcBorders>
            <w:shd w:val="clear" w:color="auto" w:fill="D8D8D8"/>
          </w:tcPr>
          <w:p>
            <w:pPr>
              <w:pStyle w:val="TableParagraph"/>
              <w:spacing w:line="176" w:lineRule="exact" w:before="9"/>
              <w:ind w:left="364"/>
              <w:rPr>
                <w:sz w:val="16"/>
              </w:rPr>
            </w:pPr>
            <w:r>
              <w:rPr>
                <w:spacing w:val="-5"/>
                <w:sz w:val="16"/>
              </w:rPr>
              <w:t>287</w:t>
            </w:r>
          </w:p>
        </w:tc>
        <w:tc>
          <w:tcPr>
            <w:tcW w:w="214" w:type="dxa"/>
            <w:tcBorders>
              <w:top w:val="single" w:sz="8" w:space="0" w:color="000000"/>
            </w:tcBorders>
            <w:shd w:val="clear" w:color="auto" w:fill="D8D8D8"/>
          </w:tcPr>
          <w:p>
            <w:pPr>
              <w:pStyle w:val="TableParagraph"/>
              <w:spacing w:line="176" w:lineRule="exact" w:before="9"/>
              <w:ind w:left="116"/>
              <w:rPr>
                <w:sz w:val="16"/>
              </w:rPr>
            </w:pPr>
            <w:r>
              <w:rPr>
                <w:spacing w:val="-10"/>
                <w:sz w:val="16"/>
              </w:rPr>
              <w:t>$</w:t>
            </w:r>
          </w:p>
        </w:tc>
        <w:tc>
          <w:tcPr>
            <w:tcW w:w="1091" w:type="dxa"/>
            <w:tcBorders>
              <w:top w:val="single" w:sz="8" w:space="0" w:color="000000"/>
            </w:tcBorders>
            <w:shd w:val="clear" w:color="auto" w:fill="D8D8D8"/>
          </w:tcPr>
          <w:p>
            <w:pPr>
              <w:pStyle w:val="TableParagraph"/>
              <w:spacing w:line="176" w:lineRule="exact" w:before="9"/>
              <w:ind w:left="715"/>
              <w:rPr>
                <w:sz w:val="16"/>
              </w:rPr>
            </w:pPr>
            <w:r>
              <w:rPr>
                <w:spacing w:val="-5"/>
                <w:sz w:val="16"/>
              </w:rPr>
              <w:t>870</w:t>
            </w:r>
          </w:p>
        </w:tc>
        <w:tc>
          <w:tcPr>
            <w:tcW w:w="1347" w:type="dxa"/>
            <w:tcBorders>
              <w:top w:val="single" w:sz="8" w:space="0" w:color="000000"/>
            </w:tcBorders>
            <w:shd w:val="clear" w:color="auto" w:fill="D8D8D8"/>
          </w:tcPr>
          <w:p>
            <w:pPr>
              <w:pStyle w:val="TableParagraph"/>
              <w:spacing w:line="176" w:lineRule="exact" w:before="9"/>
              <w:ind w:left="855" w:right="-15"/>
              <w:rPr>
                <w:sz w:val="16"/>
              </w:rPr>
            </w:pPr>
            <w:r>
              <w:rPr>
                <w:sz w:val="16"/>
              </w:rPr>
              <w:t>0.36</w:t>
            </w:r>
            <w:r>
              <w:rPr>
                <w:spacing w:val="2"/>
                <w:sz w:val="16"/>
              </w:rPr>
              <w:t> </w:t>
            </w:r>
            <w:r>
              <w:rPr>
                <w:spacing w:val="-10"/>
                <w:sz w:val="16"/>
              </w:rPr>
              <w:t>%</w:t>
            </w:r>
          </w:p>
        </w:tc>
      </w:tr>
      <w:tr>
        <w:trPr>
          <w:trHeight w:val="235" w:hRule="atLeast"/>
        </w:trPr>
        <w:tc>
          <w:tcPr>
            <w:tcW w:w="2560" w:type="dxa"/>
            <w:shd w:val="clear" w:color="auto" w:fill="D8D8D8"/>
          </w:tcPr>
          <w:p>
            <w:pPr>
              <w:pStyle w:val="TableParagraph"/>
              <w:spacing w:before="28"/>
              <w:ind w:left="52"/>
              <w:rPr>
                <w:sz w:val="16"/>
              </w:rPr>
            </w:pPr>
            <w:r>
              <w:rPr>
                <w:sz w:val="16"/>
              </w:rPr>
              <w:t>Angola</w:t>
            </w:r>
            <w:r>
              <w:rPr>
                <w:spacing w:val="-5"/>
                <w:sz w:val="16"/>
              </w:rPr>
              <w:t> </w:t>
            </w:r>
            <w:r>
              <w:rPr>
                <w:spacing w:val="-10"/>
                <w:sz w:val="16"/>
                <w:vertAlign w:val="superscript"/>
              </w:rPr>
              <w:t>a</w:t>
            </w:r>
          </w:p>
        </w:tc>
        <w:tc>
          <w:tcPr>
            <w:tcW w:w="1580" w:type="dxa"/>
            <w:gridSpan w:val="2"/>
            <w:shd w:val="clear" w:color="auto" w:fill="D8D8D8"/>
          </w:tcPr>
          <w:p>
            <w:pPr>
              <w:pStyle w:val="TableParagraph"/>
              <w:spacing w:before="28"/>
              <w:ind w:left="1052"/>
              <w:rPr>
                <w:sz w:val="16"/>
              </w:rPr>
            </w:pPr>
            <w:r>
              <w:rPr>
                <w:spacing w:val="-2"/>
                <w:sz w:val="16"/>
              </w:rPr>
              <w:t>5,866</w:t>
            </w:r>
          </w:p>
        </w:tc>
        <w:tc>
          <w:tcPr>
            <w:tcW w:w="1221" w:type="dxa"/>
            <w:gridSpan w:val="2"/>
            <w:shd w:val="clear" w:color="auto" w:fill="D8D8D8"/>
          </w:tcPr>
          <w:p>
            <w:pPr>
              <w:pStyle w:val="TableParagraph"/>
              <w:spacing w:before="28"/>
              <w:ind w:right="87"/>
              <w:jc w:val="right"/>
              <w:rPr>
                <w:sz w:val="16"/>
              </w:rPr>
            </w:pPr>
            <w:r>
              <w:rPr>
                <w:spacing w:val="-5"/>
                <w:sz w:val="16"/>
              </w:rPr>
              <w:t>700</w:t>
            </w:r>
          </w:p>
        </w:tc>
        <w:tc>
          <w:tcPr>
            <w:tcW w:w="1235" w:type="dxa"/>
            <w:gridSpan w:val="2"/>
            <w:shd w:val="clear" w:color="auto" w:fill="D8D8D8"/>
          </w:tcPr>
          <w:p>
            <w:pPr>
              <w:pStyle w:val="TableParagraph"/>
              <w:spacing w:before="28"/>
              <w:ind w:left="771"/>
              <w:rPr>
                <w:sz w:val="16"/>
              </w:rPr>
            </w:pPr>
            <w:r>
              <w:rPr>
                <w:spacing w:val="-2"/>
                <w:sz w:val="16"/>
              </w:rPr>
              <w:t>2,207</w:t>
            </w:r>
          </w:p>
        </w:tc>
        <w:tc>
          <w:tcPr>
            <w:tcW w:w="1305" w:type="dxa"/>
            <w:gridSpan w:val="2"/>
            <w:shd w:val="clear" w:color="auto" w:fill="D8D8D8"/>
          </w:tcPr>
          <w:p>
            <w:pPr>
              <w:pStyle w:val="TableParagraph"/>
              <w:spacing w:before="28"/>
              <w:ind w:left="796"/>
              <w:rPr>
                <w:sz w:val="16"/>
              </w:rPr>
            </w:pPr>
            <w:r>
              <w:rPr>
                <w:spacing w:val="-2"/>
                <w:sz w:val="16"/>
              </w:rPr>
              <w:t>2,959</w:t>
            </w:r>
          </w:p>
        </w:tc>
        <w:tc>
          <w:tcPr>
            <w:tcW w:w="1347" w:type="dxa"/>
            <w:shd w:val="clear" w:color="auto" w:fill="D8D8D8"/>
          </w:tcPr>
          <w:p>
            <w:pPr>
              <w:pStyle w:val="TableParagraph"/>
              <w:spacing w:before="28"/>
              <w:ind w:left="855"/>
              <w:rPr>
                <w:sz w:val="16"/>
              </w:rPr>
            </w:pPr>
            <w:r>
              <w:rPr>
                <w:spacing w:val="-4"/>
                <w:sz w:val="16"/>
              </w:rPr>
              <w:t>1.21</w:t>
            </w:r>
          </w:p>
        </w:tc>
      </w:tr>
      <w:tr>
        <w:trPr>
          <w:trHeight w:val="225" w:hRule="atLeast"/>
        </w:trPr>
        <w:tc>
          <w:tcPr>
            <w:tcW w:w="2560" w:type="dxa"/>
            <w:shd w:val="clear" w:color="auto" w:fill="D8D8D8"/>
          </w:tcPr>
          <w:p>
            <w:pPr>
              <w:pStyle w:val="TableParagraph"/>
              <w:spacing w:before="18"/>
              <w:ind w:left="52"/>
              <w:rPr>
                <w:sz w:val="16"/>
              </w:rPr>
            </w:pPr>
            <w:r>
              <w:rPr>
                <w:sz w:val="16"/>
              </w:rPr>
              <w:t>Antigua</w:t>
            </w:r>
            <w:r>
              <w:rPr>
                <w:spacing w:val="-4"/>
                <w:sz w:val="16"/>
              </w:rPr>
              <w:t> </w:t>
            </w:r>
            <w:r>
              <w:rPr>
                <w:sz w:val="16"/>
              </w:rPr>
              <w:t>and</w:t>
            </w:r>
            <w:r>
              <w:rPr>
                <w:spacing w:val="-4"/>
                <w:sz w:val="16"/>
              </w:rPr>
              <w:t> </w:t>
            </w:r>
            <w:r>
              <w:rPr>
                <w:spacing w:val="-2"/>
                <w:sz w:val="16"/>
              </w:rPr>
              <w:t>Barbuda</w:t>
            </w:r>
          </w:p>
        </w:tc>
        <w:tc>
          <w:tcPr>
            <w:tcW w:w="1580" w:type="dxa"/>
            <w:gridSpan w:val="2"/>
            <w:shd w:val="clear" w:color="auto" w:fill="D8D8D8"/>
          </w:tcPr>
          <w:p>
            <w:pPr>
              <w:pStyle w:val="TableParagraph"/>
              <w:spacing w:before="18"/>
              <w:ind w:right="126"/>
              <w:jc w:val="right"/>
              <w:rPr>
                <w:sz w:val="16"/>
              </w:rPr>
            </w:pPr>
            <w:r>
              <w:rPr>
                <w:spacing w:val="-10"/>
                <w:sz w:val="16"/>
              </w:rPr>
              <w:t>4</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z w:val="16"/>
              </w:rPr>
              <w:t>—</w:t>
            </w:r>
          </w:p>
        </w:tc>
        <w:tc>
          <w:tcPr>
            <w:tcW w:w="1305" w:type="dxa"/>
            <w:gridSpan w:val="2"/>
            <w:shd w:val="clear" w:color="auto" w:fill="D8D8D8"/>
          </w:tcPr>
          <w:p>
            <w:pPr>
              <w:pStyle w:val="TableParagraph"/>
              <w:spacing w:before="18"/>
              <w:ind w:right="107"/>
              <w:jc w:val="right"/>
              <w:rPr>
                <w:sz w:val="16"/>
              </w:rPr>
            </w:pPr>
            <w:r>
              <w:rPr>
                <w:spacing w:val="-10"/>
                <w:sz w:val="16"/>
              </w:rPr>
              <w:t>4</w:t>
            </w:r>
          </w:p>
        </w:tc>
        <w:tc>
          <w:tcPr>
            <w:tcW w:w="1347" w:type="dxa"/>
            <w:shd w:val="clear" w:color="auto" w:fill="D8D8D8"/>
          </w:tcPr>
          <w:p>
            <w:pPr>
              <w:pStyle w:val="TableParagraph"/>
              <w:spacing w:before="18"/>
              <w:ind w:right="178"/>
              <w:jc w:val="right"/>
              <w:rPr>
                <w:sz w:val="16"/>
              </w:rPr>
            </w:pPr>
            <w:r>
              <w:rPr>
                <w:spacing w:val="-10"/>
                <w:sz w:val="16"/>
              </w:rPr>
              <w:t>*</w:t>
            </w:r>
          </w:p>
        </w:tc>
      </w:tr>
      <w:tr>
        <w:trPr>
          <w:trHeight w:val="214" w:hRule="atLeast"/>
        </w:trPr>
        <w:tc>
          <w:tcPr>
            <w:tcW w:w="2560" w:type="dxa"/>
            <w:shd w:val="clear" w:color="auto" w:fill="D8D8D8"/>
          </w:tcPr>
          <w:p>
            <w:pPr>
              <w:pStyle w:val="TableParagraph"/>
              <w:spacing w:line="176" w:lineRule="exact" w:before="18"/>
              <w:ind w:left="52"/>
              <w:rPr>
                <w:sz w:val="16"/>
              </w:rPr>
            </w:pPr>
            <w:r>
              <w:rPr>
                <w:spacing w:val="-2"/>
                <w:sz w:val="16"/>
              </w:rPr>
              <w:t>Argentina</w:t>
            </w:r>
          </w:p>
        </w:tc>
        <w:tc>
          <w:tcPr>
            <w:tcW w:w="1580" w:type="dxa"/>
            <w:gridSpan w:val="2"/>
            <w:shd w:val="clear" w:color="auto" w:fill="D8D8D8"/>
          </w:tcPr>
          <w:p>
            <w:pPr>
              <w:pStyle w:val="TableParagraph"/>
              <w:spacing w:line="176" w:lineRule="exact" w:before="18"/>
              <w:ind w:left="963"/>
              <w:rPr>
                <w:sz w:val="16"/>
              </w:rPr>
            </w:pPr>
            <w:r>
              <w:rPr>
                <w:spacing w:val="-2"/>
                <w:sz w:val="16"/>
              </w:rPr>
              <w:t>13,823</w:t>
            </w:r>
          </w:p>
        </w:tc>
        <w:tc>
          <w:tcPr>
            <w:tcW w:w="1221" w:type="dxa"/>
            <w:gridSpan w:val="2"/>
            <w:shd w:val="clear" w:color="auto" w:fill="D8D8D8"/>
          </w:tcPr>
          <w:p>
            <w:pPr>
              <w:pStyle w:val="TableParagraph"/>
              <w:spacing w:line="176" w:lineRule="exact" w:before="18"/>
              <w:ind w:left="732"/>
              <w:rPr>
                <w:sz w:val="16"/>
              </w:rPr>
            </w:pPr>
            <w:r>
              <w:rPr>
                <w:spacing w:val="-2"/>
                <w:sz w:val="16"/>
              </w:rPr>
              <w:t>1,050</w:t>
            </w:r>
          </w:p>
        </w:tc>
        <w:tc>
          <w:tcPr>
            <w:tcW w:w="1235" w:type="dxa"/>
            <w:gridSpan w:val="2"/>
            <w:shd w:val="clear" w:color="auto" w:fill="D8D8D8"/>
          </w:tcPr>
          <w:p>
            <w:pPr>
              <w:pStyle w:val="TableParagraph"/>
              <w:spacing w:line="176" w:lineRule="exact" w:before="18"/>
              <w:ind w:left="771"/>
              <w:rPr>
                <w:sz w:val="16"/>
              </w:rPr>
            </w:pPr>
            <w:r>
              <w:rPr>
                <w:spacing w:val="-2"/>
                <w:sz w:val="16"/>
              </w:rPr>
              <w:t>3,385</w:t>
            </w:r>
          </w:p>
        </w:tc>
        <w:tc>
          <w:tcPr>
            <w:tcW w:w="1305" w:type="dxa"/>
            <w:gridSpan w:val="2"/>
            <w:shd w:val="clear" w:color="auto" w:fill="D8D8D8"/>
          </w:tcPr>
          <w:p>
            <w:pPr>
              <w:pStyle w:val="TableParagraph"/>
              <w:spacing w:line="176" w:lineRule="exact" w:before="18"/>
              <w:ind w:left="796"/>
              <w:rPr>
                <w:sz w:val="16"/>
              </w:rPr>
            </w:pPr>
            <w:r>
              <w:rPr>
                <w:spacing w:val="-2"/>
                <w:sz w:val="16"/>
              </w:rPr>
              <w:t>9,388</w:t>
            </w:r>
          </w:p>
        </w:tc>
        <w:tc>
          <w:tcPr>
            <w:tcW w:w="1347" w:type="dxa"/>
            <w:shd w:val="clear" w:color="auto" w:fill="D8D8D8"/>
          </w:tcPr>
          <w:p>
            <w:pPr>
              <w:pStyle w:val="TableParagraph"/>
              <w:spacing w:line="176" w:lineRule="exact" w:before="18"/>
              <w:ind w:left="855"/>
              <w:rPr>
                <w:sz w:val="16"/>
              </w:rPr>
            </w:pPr>
            <w:r>
              <w:rPr>
                <w:spacing w:val="-4"/>
                <w:sz w:val="16"/>
              </w:rPr>
              <w:t>3.85</w:t>
            </w:r>
          </w:p>
        </w:tc>
      </w:tr>
      <w:tr>
        <w:trPr>
          <w:trHeight w:val="234" w:hRule="atLeast"/>
        </w:trPr>
        <w:tc>
          <w:tcPr>
            <w:tcW w:w="2560" w:type="dxa"/>
            <w:shd w:val="clear" w:color="auto" w:fill="D8D8D8"/>
          </w:tcPr>
          <w:p>
            <w:pPr>
              <w:pStyle w:val="TableParagraph"/>
              <w:spacing w:before="28"/>
              <w:ind w:left="52"/>
              <w:rPr>
                <w:sz w:val="16"/>
              </w:rPr>
            </w:pPr>
            <w:r>
              <w:rPr>
                <w:sz w:val="16"/>
              </w:rPr>
              <w:t>Armenia</w:t>
            </w:r>
            <w:r>
              <w:rPr>
                <w:spacing w:val="-4"/>
                <w:sz w:val="16"/>
              </w:rPr>
              <w:t> </w:t>
            </w:r>
            <w:r>
              <w:rPr>
                <w:spacing w:val="-10"/>
                <w:sz w:val="16"/>
                <w:vertAlign w:val="superscript"/>
              </w:rPr>
              <w:t>b</w:t>
            </w:r>
          </w:p>
        </w:tc>
        <w:tc>
          <w:tcPr>
            <w:tcW w:w="1580" w:type="dxa"/>
            <w:gridSpan w:val="2"/>
            <w:shd w:val="clear" w:color="auto" w:fill="D8D8D8"/>
          </w:tcPr>
          <w:p>
            <w:pPr>
              <w:pStyle w:val="TableParagraph"/>
              <w:spacing w:before="28"/>
              <w:ind w:left="1052"/>
              <w:rPr>
                <w:sz w:val="16"/>
              </w:rPr>
            </w:pPr>
            <w:r>
              <w:rPr>
                <w:spacing w:val="-2"/>
                <w:sz w:val="16"/>
              </w:rPr>
              <w:t>1,101</w:t>
            </w:r>
          </w:p>
        </w:tc>
        <w:tc>
          <w:tcPr>
            <w:tcW w:w="1221" w:type="dxa"/>
            <w:gridSpan w:val="2"/>
            <w:shd w:val="clear" w:color="auto" w:fill="D8D8D8"/>
          </w:tcPr>
          <w:p>
            <w:pPr>
              <w:pStyle w:val="TableParagraph"/>
              <w:spacing w:before="28"/>
              <w:ind w:right="87"/>
              <w:jc w:val="right"/>
              <w:rPr>
                <w:sz w:val="16"/>
              </w:rPr>
            </w:pPr>
            <w:r>
              <w:rPr>
                <w:sz w:val="16"/>
              </w:rPr>
              <w:t>—</w:t>
            </w:r>
          </w:p>
        </w:tc>
        <w:tc>
          <w:tcPr>
            <w:tcW w:w="1235" w:type="dxa"/>
            <w:gridSpan w:val="2"/>
            <w:shd w:val="clear" w:color="auto" w:fill="D8D8D8"/>
          </w:tcPr>
          <w:p>
            <w:pPr>
              <w:pStyle w:val="TableParagraph"/>
              <w:spacing w:before="28"/>
              <w:ind w:right="62"/>
              <w:jc w:val="right"/>
              <w:rPr>
                <w:sz w:val="16"/>
              </w:rPr>
            </w:pPr>
            <w:r>
              <w:rPr>
                <w:spacing w:val="-5"/>
                <w:sz w:val="16"/>
              </w:rPr>
              <w:t>236</w:t>
            </w:r>
          </w:p>
        </w:tc>
        <w:tc>
          <w:tcPr>
            <w:tcW w:w="1305" w:type="dxa"/>
            <w:gridSpan w:val="2"/>
            <w:shd w:val="clear" w:color="auto" w:fill="D8D8D8"/>
          </w:tcPr>
          <w:p>
            <w:pPr>
              <w:pStyle w:val="TableParagraph"/>
              <w:spacing w:before="28"/>
              <w:ind w:right="107"/>
              <w:jc w:val="right"/>
              <w:rPr>
                <w:sz w:val="16"/>
              </w:rPr>
            </w:pPr>
            <w:r>
              <w:rPr>
                <w:spacing w:val="-5"/>
                <w:sz w:val="16"/>
              </w:rPr>
              <w:t>865</w:t>
            </w:r>
          </w:p>
        </w:tc>
        <w:tc>
          <w:tcPr>
            <w:tcW w:w="1347" w:type="dxa"/>
            <w:shd w:val="clear" w:color="auto" w:fill="D8D8D8"/>
          </w:tcPr>
          <w:p>
            <w:pPr>
              <w:pStyle w:val="TableParagraph"/>
              <w:spacing w:before="28"/>
              <w:ind w:left="855"/>
              <w:rPr>
                <w:sz w:val="16"/>
              </w:rPr>
            </w:pPr>
            <w:r>
              <w:rPr>
                <w:spacing w:val="-4"/>
                <w:sz w:val="16"/>
              </w:rPr>
              <w:t>0.36</w:t>
            </w:r>
          </w:p>
        </w:tc>
      </w:tr>
      <w:tr>
        <w:trPr>
          <w:trHeight w:val="226" w:hRule="atLeast"/>
        </w:trPr>
        <w:tc>
          <w:tcPr>
            <w:tcW w:w="2560" w:type="dxa"/>
          </w:tcPr>
          <w:p>
            <w:pPr>
              <w:pStyle w:val="TableParagraph"/>
              <w:spacing w:before="19"/>
              <w:ind w:left="52"/>
              <w:rPr>
                <w:sz w:val="16"/>
              </w:rPr>
            </w:pPr>
            <w:r>
              <w:rPr>
                <w:spacing w:val="-2"/>
                <w:sz w:val="16"/>
              </w:rPr>
              <w:t>Azerbaijan</w:t>
            </w:r>
          </w:p>
        </w:tc>
        <w:tc>
          <w:tcPr>
            <w:tcW w:w="1580" w:type="dxa"/>
            <w:gridSpan w:val="2"/>
          </w:tcPr>
          <w:p>
            <w:pPr>
              <w:pStyle w:val="TableParagraph"/>
              <w:spacing w:before="19"/>
              <w:ind w:left="1052"/>
              <w:rPr>
                <w:sz w:val="16"/>
              </w:rPr>
            </w:pPr>
            <w:r>
              <w:rPr>
                <w:spacing w:val="-2"/>
                <w:sz w:val="16"/>
              </w:rPr>
              <w:t>1,358</w:t>
            </w:r>
          </w:p>
        </w:tc>
        <w:tc>
          <w:tcPr>
            <w:tcW w:w="1221" w:type="dxa"/>
            <w:gridSpan w:val="2"/>
          </w:tcPr>
          <w:p>
            <w:pPr>
              <w:pStyle w:val="TableParagraph"/>
              <w:spacing w:before="19"/>
              <w:ind w:right="87"/>
              <w:jc w:val="right"/>
              <w:rPr>
                <w:sz w:val="16"/>
              </w:rPr>
            </w:pPr>
            <w:r>
              <w:rPr>
                <w:sz w:val="16"/>
              </w:rPr>
              <w:t>—</w:t>
            </w:r>
          </w:p>
        </w:tc>
        <w:tc>
          <w:tcPr>
            <w:tcW w:w="1235" w:type="dxa"/>
            <w:gridSpan w:val="2"/>
          </w:tcPr>
          <w:p>
            <w:pPr>
              <w:pStyle w:val="TableParagraph"/>
              <w:spacing w:before="19"/>
              <w:ind w:right="62"/>
              <w:jc w:val="right"/>
              <w:rPr>
                <w:sz w:val="16"/>
              </w:rPr>
            </w:pPr>
            <w:r>
              <w:rPr>
                <w:spacing w:val="-5"/>
                <w:sz w:val="16"/>
              </w:rPr>
              <w:t>114</w:t>
            </w:r>
          </w:p>
        </w:tc>
        <w:tc>
          <w:tcPr>
            <w:tcW w:w="1305" w:type="dxa"/>
            <w:gridSpan w:val="2"/>
          </w:tcPr>
          <w:p>
            <w:pPr>
              <w:pStyle w:val="TableParagraph"/>
              <w:spacing w:before="19"/>
              <w:ind w:left="796"/>
              <w:rPr>
                <w:sz w:val="16"/>
              </w:rPr>
            </w:pPr>
            <w:r>
              <w:rPr>
                <w:spacing w:val="-2"/>
                <w:sz w:val="16"/>
              </w:rPr>
              <w:t>1,244</w:t>
            </w:r>
          </w:p>
        </w:tc>
        <w:tc>
          <w:tcPr>
            <w:tcW w:w="1347" w:type="dxa"/>
          </w:tcPr>
          <w:p>
            <w:pPr>
              <w:pStyle w:val="TableParagraph"/>
              <w:spacing w:before="19"/>
              <w:ind w:left="855"/>
              <w:rPr>
                <w:sz w:val="16"/>
              </w:rPr>
            </w:pPr>
            <w:r>
              <w:rPr>
                <w:spacing w:val="-4"/>
                <w:sz w:val="16"/>
              </w:rPr>
              <w:t>0.51</w:t>
            </w:r>
          </w:p>
        </w:tc>
      </w:tr>
      <w:tr>
        <w:trPr>
          <w:trHeight w:val="225" w:hRule="atLeast"/>
        </w:trPr>
        <w:tc>
          <w:tcPr>
            <w:tcW w:w="2560" w:type="dxa"/>
          </w:tcPr>
          <w:p>
            <w:pPr>
              <w:pStyle w:val="TableParagraph"/>
              <w:spacing w:before="18"/>
              <w:ind w:left="52"/>
              <w:rPr>
                <w:sz w:val="16"/>
              </w:rPr>
            </w:pPr>
            <w:r>
              <w:rPr>
                <w:sz w:val="16"/>
              </w:rPr>
              <w:t>Bahamas,</w:t>
            </w:r>
            <w:r>
              <w:rPr>
                <w:spacing w:val="-7"/>
                <w:sz w:val="16"/>
              </w:rPr>
              <w:t> </w:t>
            </w:r>
            <w:r>
              <w:rPr>
                <w:spacing w:val="-5"/>
                <w:sz w:val="16"/>
              </w:rPr>
              <w:t>The</w:t>
            </w:r>
          </w:p>
        </w:tc>
        <w:tc>
          <w:tcPr>
            <w:tcW w:w="1580" w:type="dxa"/>
            <w:gridSpan w:val="2"/>
          </w:tcPr>
          <w:p>
            <w:pPr>
              <w:pStyle w:val="TableParagraph"/>
              <w:spacing w:before="18"/>
              <w:ind w:right="126"/>
              <w:jc w:val="right"/>
              <w:rPr>
                <w:sz w:val="16"/>
              </w:rPr>
            </w:pPr>
            <w:r>
              <w:rPr>
                <w:spacing w:val="-5"/>
                <w:sz w:val="16"/>
              </w:rPr>
              <w:t>100</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z w:val="16"/>
              </w:rPr>
              <w:t>—</w:t>
            </w:r>
          </w:p>
        </w:tc>
        <w:tc>
          <w:tcPr>
            <w:tcW w:w="1305" w:type="dxa"/>
            <w:gridSpan w:val="2"/>
          </w:tcPr>
          <w:p>
            <w:pPr>
              <w:pStyle w:val="TableParagraph"/>
              <w:spacing w:before="18"/>
              <w:ind w:right="107"/>
              <w:jc w:val="right"/>
              <w:rPr>
                <w:sz w:val="16"/>
              </w:rPr>
            </w:pPr>
            <w:r>
              <w:rPr>
                <w:spacing w:val="-5"/>
                <w:sz w:val="16"/>
              </w:rPr>
              <w:t>100</w:t>
            </w:r>
          </w:p>
        </w:tc>
        <w:tc>
          <w:tcPr>
            <w:tcW w:w="1347" w:type="dxa"/>
          </w:tcPr>
          <w:p>
            <w:pPr>
              <w:pStyle w:val="TableParagraph"/>
              <w:spacing w:before="18"/>
              <w:ind w:left="855"/>
              <w:rPr>
                <w:sz w:val="16"/>
              </w:rPr>
            </w:pPr>
            <w:r>
              <w:rPr>
                <w:spacing w:val="-4"/>
                <w:sz w:val="16"/>
              </w:rPr>
              <w:t>0.04</w:t>
            </w:r>
          </w:p>
        </w:tc>
      </w:tr>
      <w:tr>
        <w:trPr>
          <w:trHeight w:val="225" w:hRule="atLeast"/>
        </w:trPr>
        <w:tc>
          <w:tcPr>
            <w:tcW w:w="2560" w:type="dxa"/>
          </w:tcPr>
          <w:p>
            <w:pPr>
              <w:pStyle w:val="TableParagraph"/>
              <w:spacing w:before="18"/>
              <w:ind w:left="52"/>
              <w:rPr>
                <w:sz w:val="16"/>
              </w:rPr>
            </w:pPr>
            <w:r>
              <w:rPr>
                <w:spacing w:val="-2"/>
                <w:sz w:val="16"/>
              </w:rPr>
              <w:t>Barbados</w:t>
            </w:r>
          </w:p>
        </w:tc>
        <w:tc>
          <w:tcPr>
            <w:tcW w:w="1580" w:type="dxa"/>
            <w:gridSpan w:val="2"/>
          </w:tcPr>
          <w:p>
            <w:pPr>
              <w:pStyle w:val="TableParagraph"/>
              <w:spacing w:before="18"/>
              <w:ind w:right="126"/>
              <w:jc w:val="right"/>
              <w:rPr>
                <w:sz w:val="16"/>
              </w:rPr>
            </w:pPr>
            <w:r>
              <w:rPr>
                <w:spacing w:val="-5"/>
                <w:sz w:val="16"/>
              </w:rPr>
              <w:t>221</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z w:val="16"/>
              </w:rPr>
              <w:t>—</w:t>
            </w:r>
          </w:p>
        </w:tc>
        <w:tc>
          <w:tcPr>
            <w:tcW w:w="1305" w:type="dxa"/>
            <w:gridSpan w:val="2"/>
          </w:tcPr>
          <w:p>
            <w:pPr>
              <w:pStyle w:val="TableParagraph"/>
              <w:spacing w:before="18"/>
              <w:ind w:right="107"/>
              <w:jc w:val="right"/>
              <w:rPr>
                <w:sz w:val="16"/>
              </w:rPr>
            </w:pPr>
            <w:r>
              <w:rPr>
                <w:spacing w:val="-5"/>
                <w:sz w:val="16"/>
              </w:rPr>
              <w:t>221</w:t>
            </w:r>
          </w:p>
        </w:tc>
        <w:tc>
          <w:tcPr>
            <w:tcW w:w="1347" w:type="dxa"/>
          </w:tcPr>
          <w:p>
            <w:pPr>
              <w:pStyle w:val="TableParagraph"/>
              <w:spacing w:before="18"/>
              <w:ind w:left="855"/>
              <w:rPr>
                <w:sz w:val="16"/>
              </w:rPr>
            </w:pPr>
            <w:r>
              <w:rPr>
                <w:spacing w:val="-4"/>
                <w:sz w:val="16"/>
              </w:rPr>
              <w:t>0.09</w:t>
            </w:r>
          </w:p>
        </w:tc>
      </w:tr>
      <w:tr>
        <w:trPr>
          <w:trHeight w:val="225" w:hRule="atLeast"/>
        </w:trPr>
        <w:tc>
          <w:tcPr>
            <w:tcW w:w="2560" w:type="dxa"/>
          </w:tcPr>
          <w:p>
            <w:pPr>
              <w:pStyle w:val="TableParagraph"/>
              <w:spacing w:before="18"/>
              <w:ind w:left="52"/>
              <w:rPr>
                <w:sz w:val="16"/>
              </w:rPr>
            </w:pPr>
            <w:r>
              <w:rPr>
                <w:spacing w:val="-2"/>
                <w:sz w:val="16"/>
              </w:rPr>
              <w:t>Belarus</w:t>
            </w:r>
          </w:p>
        </w:tc>
        <w:tc>
          <w:tcPr>
            <w:tcW w:w="1580" w:type="dxa"/>
            <w:gridSpan w:val="2"/>
          </w:tcPr>
          <w:p>
            <w:pPr>
              <w:pStyle w:val="TableParagraph"/>
              <w:spacing w:before="18"/>
              <w:ind w:right="126"/>
              <w:jc w:val="right"/>
              <w:rPr>
                <w:sz w:val="16"/>
              </w:rPr>
            </w:pPr>
            <w:r>
              <w:rPr>
                <w:spacing w:val="-5"/>
                <w:sz w:val="16"/>
              </w:rPr>
              <w:t>998</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z w:val="16"/>
              </w:rPr>
              <w:t>—</w:t>
            </w:r>
          </w:p>
        </w:tc>
        <w:tc>
          <w:tcPr>
            <w:tcW w:w="1305" w:type="dxa"/>
            <w:gridSpan w:val="2"/>
          </w:tcPr>
          <w:p>
            <w:pPr>
              <w:pStyle w:val="TableParagraph"/>
              <w:spacing w:before="18"/>
              <w:ind w:right="107"/>
              <w:jc w:val="right"/>
              <w:rPr>
                <w:sz w:val="16"/>
              </w:rPr>
            </w:pPr>
            <w:r>
              <w:rPr>
                <w:spacing w:val="-5"/>
                <w:sz w:val="16"/>
              </w:rPr>
              <w:t>998</w:t>
            </w:r>
          </w:p>
        </w:tc>
        <w:tc>
          <w:tcPr>
            <w:tcW w:w="1347" w:type="dxa"/>
          </w:tcPr>
          <w:p>
            <w:pPr>
              <w:pStyle w:val="TableParagraph"/>
              <w:spacing w:before="18"/>
              <w:ind w:left="855"/>
              <w:rPr>
                <w:sz w:val="16"/>
              </w:rPr>
            </w:pPr>
            <w:r>
              <w:rPr>
                <w:spacing w:val="-4"/>
                <w:sz w:val="16"/>
              </w:rPr>
              <w:t>0.41</w:t>
            </w:r>
          </w:p>
        </w:tc>
      </w:tr>
      <w:tr>
        <w:trPr>
          <w:trHeight w:val="223" w:hRule="atLeast"/>
        </w:trPr>
        <w:tc>
          <w:tcPr>
            <w:tcW w:w="2560" w:type="dxa"/>
          </w:tcPr>
          <w:p>
            <w:pPr>
              <w:pStyle w:val="TableParagraph"/>
              <w:spacing w:before="18"/>
              <w:ind w:left="52"/>
              <w:rPr>
                <w:sz w:val="16"/>
              </w:rPr>
            </w:pPr>
            <w:r>
              <w:rPr>
                <w:spacing w:val="-2"/>
                <w:sz w:val="16"/>
              </w:rPr>
              <w:t>Belize</w:t>
            </w:r>
          </w:p>
        </w:tc>
        <w:tc>
          <w:tcPr>
            <w:tcW w:w="1580" w:type="dxa"/>
            <w:gridSpan w:val="2"/>
          </w:tcPr>
          <w:p>
            <w:pPr>
              <w:pStyle w:val="TableParagraph"/>
              <w:spacing w:before="18"/>
              <w:ind w:right="126"/>
              <w:jc w:val="right"/>
              <w:rPr>
                <w:sz w:val="16"/>
              </w:rPr>
            </w:pPr>
            <w:r>
              <w:rPr>
                <w:spacing w:val="-5"/>
                <w:sz w:val="16"/>
              </w:rPr>
              <w:t>65</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pacing w:val="-5"/>
                <w:sz w:val="16"/>
              </w:rPr>
              <w:t>28</w:t>
            </w:r>
          </w:p>
        </w:tc>
        <w:tc>
          <w:tcPr>
            <w:tcW w:w="1305" w:type="dxa"/>
            <w:gridSpan w:val="2"/>
          </w:tcPr>
          <w:p>
            <w:pPr>
              <w:pStyle w:val="TableParagraph"/>
              <w:spacing w:before="18"/>
              <w:ind w:right="107"/>
              <w:jc w:val="right"/>
              <w:rPr>
                <w:sz w:val="16"/>
              </w:rPr>
            </w:pPr>
            <w:r>
              <w:rPr>
                <w:spacing w:val="-5"/>
                <w:sz w:val="16"/>
              </w:rPr>
              <w:t>37</w:t>
            </w:r>
          </w:p>
        </w:tc>
        <w:tc>
          <w:tcPr>
            <w:tcW w:w="1347" w:type="dxa"/>
          </w:tcPr>
          <w:p>
            <w:pPr>
              <w:pStyle w:val="TableParagraph"/>
              <w:spacing w:before="18"/>
              <w:ind w:left="855"/>
              <w:rPr>
                <w:sz w:val="16"/>
              </w:rPr>
            </w:pPr>
            <w:r>
              <w:rPr>
                <w:spacing w:val="-4"/>
                <w:sz w:val="16"/>
              </w:rPr>
              <w:t>0.02</w:t>
            </w:r>
          </w:p>
        </w:tc>
      </w:tr>
      <w:tr>
        <w:trPr>
          <w:trHeight w:val="215" w:hRule="atLeast"/>
        </w:trPr>
        <w:tc>
          <w:tcPr>
            <w:tcW w:w="2560" w:type="dxa"/>
            <w:shd w:val="clear" w:color="auto" w:fill="D8D8D8"/>
          </w:tcPr>
          <w:p>
            <w:pPr>
              <w:pStyle w:val="TableParagraph"/>
              <w:spacing w:line="176" w:lineRule="exact" w:before="19"/>
              <w:ind w:left="52"/>
              <w:rPr>
                <w:sz w:val="16"/>
              </w:rPr>
            </w:pPr>
            <w:r>
              <w:rPr>
                <w:sz w:val="16"/>
              </w:rPr>
              <w:t>Bolivia,</w:t>
            </w:r>
            <w:r>
              <w:rPr>
                <w:spacing w:val="-5"/>
                <w:sz w:val="16"/>
              </w:rPr>
              <w:t> </w:t>
            </w:r>
            <w:r>
              <w:rPr>
                <w:sz w:val="16"/>
              </w:rPr>
              <w:t>Plurinational</w:t>
            </w:r>
            <w:r>
              <w:rPr>
                <w:spacing w:val="-4"/>
                <w:sz w:val="16"/>
              </w:rPr>
              <w:t> </w:t>
            </w:r>
            <w:r>
              <w:rPr>
                <w:sz w:val="16"/>
              </w:rPr>
              <w:t>State</w:t>
            </w:r>
            <w:r>
              <w:rPr>
                <w:spacing w:val="-5"/>
                <w:sz w:val="16"/>
              </w:rPr>
              <w:t> </w:t>
            </w:r>
            <w:r>
              <w:rPr>
                <w:sz w:val="16"/>
              </w:rPr>
              <w:t>of</w:t>
            </w:r>
            <w:r>
              <w:rPr>
                <w:spacing w:val="-5"/>
                <w:sz w:val="16"/>
              </w:rPr>
              <w:t> </w:t>
            </w:r>
            <w:r>
              <w:rPr>
                <w:spacing w:val="-10"/>
                <w:sz w:val="16"/>
                <w:vertAlign w:val="superscript"/>
              </w:rPr>
              <w:t>a</w:t>
            </w:r>
          </w:p>
        </w:tc>
        <w:tc>
          <w:tcPr>
            <w:tcW w:w="1580" w:type="dxa"/>
            <w:gridSpan w:val="2"/>
            <w:shd w:val="clear" w:color="auto" w:fill="D8D8D8"/>
          </w:tcPr>
          <w:p>
            <w:pPr>
              <w:pStyle w:val="TableParagraph"/>
              <w:spacing w:line="176" w:lineRule="exact" w:before="19"/>
              <w:ind w:left="1052"/>
              <w:rPr>
                <w:sz w:val="16"/>
              </w:rPr>
            </w:pPr>
            <w:r>
              <w:rPr>
                <w:spacing w:val="-2"/>
                <w:sz w:val="16"/>
              </w:rPr>
              <w:t>1,315</w:t>
            </w:r>
          </w:p>
        </w:tc>
        <w:tc>
          <w:tcPr>
            <w:tcW w:w="1221" w:type="dxa"/>
            <w:gridSpan w:val="2"/>
            <w:shd w:val="clear" w:color="auto" w:fill="D8D8D8"/>
          </w:tcPr>
          <w:p>
            <w:pPr>
              <w:pStyle w:val="TableParagraph"/>
              <w:spacing w:line="176" w:lineRule="exact" w:before="19"/>
              <w:ind w:right="87"/>
              <w:jc w:val="right"/>
              <w:rPr>
                <w:sz w:val="16"/>
              </w:rPr>
            </w:pPr>
            <w:r>
              <w:rPr>
                <w:sz w:val="16"/>
              </w:rPr>
              <w:t>—</w:t>
            </w:r>
          </w:p>
        </w:tc>
        <w:tc>
          <w:tcPr>
            <w:tcW w:w="1235" w:type="dxa"/>
            <w:gridSpan w:val="2"/>
            <w:shd w:val="clear" w:color="auto" w:fill="D8D8D8"/>
          </w:tcPr>
          <w:p>
            <w:pPr>
              <w:pStyle w:val="TableParagraph"/>
              <w:spacing w:line="176" w:lineRule="exact" w:before="19"/>
              <w:ind w:right="62"/>
              <w:jc w:val="right"/>
              <w:rPr>
                <w:sz w:val="16"/>
              </w:rPr>
            </w:pPr>
            <w:r>
              <w:rPr>
                <w:spacing w:val="-5"/>
                <w:sz w:val="16"/>
              </w:rPr>
              <w:t>550</w:t>
            </w:r>
          </w:p>
        </w:tc>
        <w:tc>
          <w:tcPr>
            <w:tcW w:w="1305" w:type="dxa"/>
            <w:gridSpan w:val="2"/>
            <w:shd w:val="clear" w:color="auto" w:fill="D8D8D8"/>
          </w:tcPr>
          <w:p>
            <w:pPr>
              <w:pStyle w:val="TableParagraph"/>
              <w:spacing w:line="176" w:lineRule="exact" w:before="19"/>
              <w:ind w:right="107"/>
              <w:jc w:val="right"/>
              <w:rPr>
                <w:sz w:val="16"/>
              </w:rPr>
            </w:pPr>
            <w:r>
              <w:rPr>
                <w:spacing w:val="-5"/>
                <w:sz w:val="16"/>
              </w:rPr>
              <w:t>765</w:t>
            </w:r>
          </w:p>
        </w:tc>
        <w:tc>
          <w:tcPr>
            <w:tcW w:w="1347" w:type="dxa"/>
            <w:shd w:val="clear" w:color="auto" w:fill="D8D8D8"/>
          </w:tcPr>
          <w:p>
            <w:pPr>
              <w:pStyle w:val="TableParagraph"/>
              <w:spacing w:line="176" w:lineRule="exact" w:before="19"/>
              <w:ind w:left="855"/>
              <w:rPr>
                <w:sz w:val="16"/>
              </w:rPr>
            </w:pPr>
            <w:r>
              <w:rPr>
                <w:spacing w:val="-4"/>
                <w:sz w:val="16"/>
              </w:rPr>
              <w:t>0.31</w:t>
            </w:r>
          </w:p>
        </w:tc>
      </w:tr>
      <w:tr>
        <w:trPr>
          <w:trHeight w:val="225" w:hRule="atLeast"/>
        </w:trPr>
        <w:tc>
          <w:tcPr>
            <w:tcW w:w="2560" w:type="dxa"/>
            <w:shd w:val="clear" w:color="auto" w:fill="D8D8D8"/>
          </w:tcPr>
          <w:p>
            <w:pPr>
              <w:pStyle w:val="TableParagraph"/>
              <w:spacing w:line="176" w:lineRule="exact" w:before="28"/>
              <w:ind w:left="52"/>
              <w:rPr>
                <w:sz w:val="16"/>
              </w:rPr>
            </w:pPr>
            <w:r>
              <w:rPr>
                <w:sz w:val="16"/>
              </w:rPr>
              <w:t>Bosnia</w:t>
            </w:r>
            <w:r>
              <w:rPr>
                <w:spacing w:val="-5"/>
                <w:sz w:val="16"/>
              </w:rPr>
              <w:t> </w:t>
            </w:r>
            <w:r>
              <w:rPr>
                <w:sz w:val="16"/>
              </w:rPr>
              <w:t>and</w:t>
            </w:r>
            <w:r>
              <w:rPr>
                <w:spacing w:val="-5"/>
                <w:sz w:val="16"/>
              </w:rPr>
              <w:t> </w:t>
            </w:r>
            <w:r>
              <w:rPr>
                <w:sz w:val="16"/>
              </w:rPr>
              <w:t>Herzegovina</w:t>
            </w:r>
            <w:r>
              <w:rPr>
                <w:spacing w:val="-5"/>
                <w:sz w:val="16"/>
              </w:rPr>
              <w:t> </w:t>
            </w:r>
            <w:r>
              <w:rPr>
                <w:spacing w:val="-10"/>
                <w:sz w:val="16"/>
                <w:vertAlign w:val="superscript"/>
              </w:rPr>
              <w:t>b</w:t>
            </w:r>
          </w:p>
        </w:tc>
        <w:tc>
          <w:tcPr>
            <w:tcW w:w="1580" w:type="dxa"/>
            <w:gridSpan w:val="2"/>
            <w:shd w:val="clear" w:color="auto" w:fill="D8D8D8"/>
          </w:tcPr>
          <w:p>
            <w:pPr>
              <w:pStyle w:val="TableParagraph"/>
              <w:spacing w:line="176" w:lineRule="exact" w:before="28"/>
              <w:ind w:left="1052"/>
              <w:rPr>
                <w:sz w:val="16"/>
              </w:rPr>
            </w:pPr>
            <w:r>
              <w:rPr>
                <w:spacing w:val="-2"/>
                <w:sz w:val="16"/>
              </w:rPr>
              <w:t>1,158</w:t>
            </w:r>
          </w:p>
        </w:tc>
        <w:tc>
          <w:tcPr>
            <w:tcW w:w="1221" w:type="dxa"/>
            <w:gridSpan w:val="2"/>
            <w:shd w:val="clear" w:color="auto" w:fill="D8D8D8"/>
          </w:tcPr>
          <w:p>
            <w:pPr>
              <w:pStyle w:val="TableParagraph"/>
              <w:spacing w:line="176" w:lineRule="exact" w:before="28"/>
              <w:ind w:right="87"/>
              <w:jc w:val="right"/>
              <w:rPr>
                <w:sz w:val="16"/>
              </w:rPr>
            </w:pPr>
            <w:r>
              <w:rPr>
                <w:spacing w:val="-5"/>
                <w:sz w:val="16"/>
              </w:rPr>
              <w:t>150</w:t>
            </w:r>
          </w:p>
        </w:tc>
        <w:tc>
          <w:tcPr>
            <w:tcW w:w="1235" w:type="dxa"/>
            <w:gridSpan w:val="2"/>
            <w:shd w:val="clear" w:color="auto" w:fill="D8D8D8"/>
          </w:tcPr>
          <w:p>
            <w:pPr>
              <w:pStyle w:val="TableParagraph"/>
              <w:spacing w:line="176" w:lineRule="exact" w:before="28"/>
              <w:ind w:right="62"/>
              <w:jc w:val="right"/>
              <w:rPr>
                <w:sz w:val="16"/>
              </w:rPr>
            </w:pPr>
            <w:r>
              <w:rPr>
                <w:spacing w:val="-5"/>
                <w:sz w:val="16"/>
              </w:rPr>
              <w:t>338</w:t>
            </w:r>
          </w:p>
        </w:tc>
        <w:tc>
          <w:tcPr>
            <w:tcW w:w="1305" w:type="dxa"/>
            <w:gridSpan w:val="2"/>
            <w:shd w:val="clear" w:color="auto" w:fill="D8D8D8"/>
          </w:tcPr>
          <w:p>
            <w:pPr>
              <w:pStyle w:val="TableParagraph"/>
              <w:spacing w:line="176" w:lineRule="exact" w:before="28"/>
              <w:ind w:right="107"/>
              <w:jc w:val="right"/>
              <w:rPr>
                <w:sz w:val="16"/>
              </w:rPr>
            </w:pPr>
            <w:r>
              <w:rPr>
                <w:spacing w:val="-5"/>
                <w:sz w:val="16"/>
              </w:rPr>
              <w:t>670</w:t>
            </w:r>
          </w:p>
        </w:tc>
        <w:tc>
          <w:tcPr>
            <w:tcW w:w="1347" w:type="dxa"/>
            <w:shd w:val="clear" w:color="auto" w:fill="D8D8D8"/>
          </w:tcPr>
          <w:p>
            <w:pPr>
              <w:pStyle w:val="TableParagraph"/>
              <w:spacing w:line="176" w:lineRule="exact" w:before="28"/>
              <w:ind w:left="855"/>
              <w:rPr>
                <w:sz w:val="16"/>
              </w:rPr>
            </w:pPr>
            <w:r>
              <w:rPr>
                <w:spacing w:val="-4"/>
                <w:sz w:val="16"/>
              </w:rPr>
              <w:t>0.27</w:t>
            </w:r>
          </w:p>
        </w:tc>
      </w:tr>
      <w:tr>
        <w:trPr>
          <w:trHeight w:val="225" w:hRule="atLeast"/>
        </w:trPr>
        <w:tc>
          <w:tcPr>
            <w:tcW w:w="2560" w:type="dxa"/>
            <w:shd w:val="clear" w:color="auto" w:fill="D8D8D8"/>
          </w:tcPr>
          <w:p>
            <w:pPr>
              <w:pStyle w:val="TableParagraph"/>
              <w:spacing w:line="176" w:lineRule="exact" w:before="28"/>
              <w:ind w:left="52"/>
              <w:rPr>
                <w:sz w:val="16"/>
              </w:rPr>
            </w:pPr>
            <w:r>
              <w:rPr>
                <w:sz w:val="16"/>
              </w:rPr>
              <w:t>Botswana</w:t>
            </w:r>
            <w:r>
              <w:rPr>
                <w:spacing w:val="-5"/>
                <w:sz w:val="16"/>
              </w:rPr>
              <w:t> </w:t>
            </w:r>
            <w:r>
              <w:rPr>
                <w:spacing w:val="-10"/>
                <w:sz w:val="16"/>
                <w:vertAlign w:val="superscript"/>
              </w:rPr>
              <w:t>a</w:t>
            </w:r>
          </w:p>
        </w:tc>
        <w:tc>
          <w:tcPr>
            <w:tcW w:w="1580" w:type="dxa"/>
            <w:gridSpan w:val="2"/>
            <w:shd w:val="clear" w:color="auto" w:fill="D8D8D8"/>
          </w:tcPr>
          <w:p>
            <w:pPr>
              <w:pStyle w:val="TableParagraph"/>
              <w:spacing w:line="176" w:lineRule="exact" w:before="28"/>
              <w:ind w:right="126"/>
              <w:jc w:val="right"/>
              <w:rPr>
                <w:sz w:val="16"/>
              </w:rPr>
            </w:pPr>
            <w:r>
              <w:rPr>
                <w:spacing w:val="-5"/>
                <w:sz w:val="16"/>
              </w:rPr>
              <w:t>760</w:t>
            </w:r>
          </w:p>
        </w:tc>
        <w:tc>
          <w:tcPr>
            <w:tcW w:w="1221" w:type="dxa"/>
            <w:gridSpan w:val="2"/>
            <w:shd w:val="clear" w:color="auto" w:fill="D8D8D8"/>
          </w:tcPr>
          <w:p>
            <w:pPr>
              <w:pStyle w:val="TableParagraph"/>
              <w:spacing w:line="176" w:lineRule="exact" w:before="28"/>
              <w:ind w:right="87"/>
              <w:jc w:val="right"/>
              <w:rPr>
                <w:sz w:val="16"/>
              </w:rPr>
            </w:pPr>
            <w:r>
              <w:rPr>
                <w:spacing w:val="-5"/>
                <w:sz w:val="16"/>
              </w:rPr>
              <w:t>150</w:t>
            </w:r>
          </w:p>
        </w:tc>
        <w:tc>
          <w:tcPr>
            <w:tcW w:w="1235" w:type="dxa"/>
            <w:gridSpan w:val="2"/>
            <w:shd w:val="clear" w:color="auto" w:fill="D8D8D8"/>
          </w:tcPr>
          <w:p>
            <w:pPr>
              <w:pStyle w:val="TableParagraph"/>
              <w:spacing w:line="176" w:lineRule="exact" w:before="28"/>
              <w:ind w:right="62"/>
              <w:jc w:val="right"/>
              <w:rPr>
                <w:sz w:val="16"/>
              </w:rPr>
            </w:pPr>
            <w:r>
              <w:rPr>
                <w:spacing w:val="-5"/>
                <w:sz w:val="16"/>
              </w:rPr>
              <w:t>91</w:t>
            </w:r>
          </w:p>
        </w:tc>
        <w:tc>
          <w:tcPr>
            <w:tcW w:w="1305" w:type="dxa"/>
            <w:gridSpan w:val="2"/>
            <w:shd w:val="clear" w:color="auto" w:fill="D8D8D8"/>
          </w:tcPr>
          <w:p>
            <w:pPr>
              <w:pStyle w:val="TableParagraph"/>
              <w:spacing w:line="176" w:lineRule="exact" w:before="28"/>
              <w:ind w:right="107"/>
              <w:jc w:val="right"/>
              <w:rPr>
                <w:sz w:val="16"/>
              </w:rPr>
            </w:pPr>
            <w:r>
              <w:rPr>
                <w:spacing w:val="-5"/>
                <w:sz w:val="16"/>
              </w:rPr>
              <w:t>519</w:t>
            </w:r>
          </w:p>
        </w:tc>
        <w:tc>
          <w:tcPr>
            <w:tcW w:w="1347" w:type="dxa"/>
            <w:shd w:val="clear" w:color="auto" w:fill="D8D8D8"/>
          </w:tcPr>
          <w:p>
            <w:pPr>
              <w:pStyle w:val="TableParagraph"/>
              <w:spacing w:line="176" w:lineRule="exact" w:before="28"/>
              <w:ind w:left="855"/>
              <w:rPr>
                <w:sz w:val="16"/>
              </w:rPr>
            </w:pPr>
            <w:r>
              <w:rPr>
                <w:spacing w:val="-4"/>
                <w:sz w:val="16"/>
              </w:rPr>
              <w:t>0.21</w:t>
            </w:r>
          </w:p>
        </w:tc>
      </w:tr>
      <w:tr>
        <w:trPr>
          <w:trHeight w:val="235" w:hRule="atLeast"/>
        </w:trPr>
        <w:tc>
          <w:tcPr>
            <w:tcW w:w="2560" w:type="dxa"/>
            <w:shd w:val="clear" w:color="auto" w:fill="D8D8D8"/>
          </w:tcPr>
          <w:p>
            <w:pPr>
              <w:pStyle w:val="TableParagraph"/>
              <w:spacing w:before="28"/>
              <w:ind w:left="52"/>
              <w:rPr>
                <w:sz w:val="16"/>
              </w:rPr>
            </w:pPr>
            <w:r>
              <w:rPr>
                <w:sz w:val="16"/>
              </w:rPr>
              <w:t>Brazil</w:t>
            </w:r>
            <w:r>
              <w:rPr>
                <w:spacing w:val="-5"/>
                <w:sz w:val="16"/>
              </w:rPr>
              <w:t> </w:t>
            </w:r>
            <w:r>
              <w:rPr>
                <w:spacing w:val="-10"/>
                <w:sz w:val="16"/>
                <w:vertAlign w:val="superscript"/>
              </w:rPr>
              <w:t>b</w:t>
            </w:r>
          </w:p>
        </w:tc>
        <w:tc>
          <w:tcPr>
            <w:tcW w:w="1580" w:type="dxa"/>
            <w:gridSpan w:val="2"/>
            <w:shd w:val="clear" w:color="auto" w:fill="D8D8D8"/>
          </w:tcPr>
          <w:p>
            <w:pPr>
              <w:pStyle w:val="TableParagraph"/>
              <w:spacing w:before="28"/>
              <w:ind w:left="963"/>
              <w:rPr>
                <w:sz w:val="16"/>
              </w:rPr>
            </w:pPr>
            <w:r>
              <w:rPr>
                <w:spacing w:val="-2"/>
                <w:sz w:val="16"/>
              </w:rPr>
              <w:t>18,141</w:t>
            </w:r>
          </w:p>
        </w:tc>
        <w:tc>
          <w:tcPr>
            <w:tcW w:w="1221" w:type="dxa"/>
            <w:gridSpan w:val="2"/>
            <w:shd w:val="clear" w:color="auto" w:fill="D8D8D8"/>
          </w:tcPr>
          <w:p>
            <w:pPr>
              <w:pStyle w:val="TableParagraph"/>
              <w:spacing w:before="28"/>
              <w:ind w:left="732"/>
              <w:rPr>
                <w:sz w:val="16"/>
              </w:rPr>
            </w:pPr>
            <w:r>
              <w:rPr>
                <w:spacing w:val="-2"/>
                <w:sz w:val="16"/>
              </w:rPr>
              <w:t>1,000</w:t>
            </w:r>
          </w:p>
        </w:tc>
        <w:tc>
          <w:tcPr>
            <w:tcW w:w="1235" w:type="dxa"/>
            <w:gridSpan w:val="2"/>
            <w:shd w:val="clear" w:color="auto" w:fill="D8D8D8"/>
          </w:tcPr>
          <w:p>
            <w:pPr>
              <w:pStyle w:val="TableParagraph"/>
              <w:spacing w:before="28"/>
              <w:ind w:left="771"/>
              <w:rPr>
                <w:sz w:val="16"/>
              </w:rPr>
            </w:pPr>
            <w:r>
              <w:rPr>
                <w:spacing w:val="-2"/>
                <w:sz w:val="16"/>
              </w:rPr>
              <w:t>1,260</w:t>
            </w:r>
          </w:p>
        </w:tc>
        <w:tc>
          <w:tcPr>
            <w:tcW w:w="1305" w:type="dxa"/>
            <w:gridSpan w:val="2"/>
            <w:shd w:val="clear" w:color="auto" w:fill="D8D8D8"/>
          </w:tcPr>
          <w:p>
            <w:pPr>
              <w:pStyle w:val="TableParagraph"/>
              <w:spacing w:before="28"/>
              <w:ind w:left="707"/>
              <w:rPr>
                <w:sz w:val="16"/>
              </w:rPr>
            </w:pPr>
            <w:r>
              <w:rPr>
                <w:spacing w:val="-2"/>
                <w:sz w:val="16"/>
              </w:rPr>
              <w:t>15,881</w:t>
            </w:r>
          </w:p>
        </w:tc>
        <w:tc>
          <w:tcPr>
            <w:tcW w:w="1347" w:type="dxa"/>
            <w:shd w:val="clear" w:color="auto" w:fill="D8D8D8"/>
          </w:tcPr>
          <w:p>
            <w:pPr>
              <w:pStyle w:val="TableParagraph"/>
              <w:spacing w:before="28"/>
              <w:ind w:left="855"/>
              <w:rPr>
                <w:sz w:val="16"/>
              </w:rPr>
            </w:pPr>
            <w:r>
              <w:rPr>
                <w:spacing w:val="-4"/>
                <w:sz w:val="16"/>
              </w:rPr>
              <w:t>6.51</w:t>
            </w:r>
          </w:p>
        </w:tc>
      </w:tr>
      <w:tr>
        <w:trPr>
          <w:trHeight w:val="223" w:hRule="atLeast"/>
        </w:trPr>
        <w:tc>
          <w:tcPr>
            <w:tcW w:w="2560" w:type="dxa"/>
            <w:shd w:val="clear" w:color="auto" w:fill="D8D8D8"/>
          </w:tcPr>
          <w:p>
            <w:pPr>
              <w:pStyle w:val="TableParagraph"/>
              <w:spacing w:before="18"/>
              <w:ind w:left="52"/>
              <w:rPr>
                <w:sz w:val="16"/>
              </w:rPr>
            </w:pPr>
            <w:r>
              <w:rPr>
                <w:spacing w:val="-2"/>
                <w:sz w:val="16"/>
              </w:rPr>
              <w:t>Bulgaria</w:t>
            </w:r>
          </w:p>
        </w:tc>
        <w:tc>
          <w:tcPr>
            <w:tcW w:w="1580" w:type="dxa"/>
            <w:gridSpan w:val="2"/>
            <w:shd w:val="clear" w:color="auto" w:fill="D8D8D8"/>
          </w:tcPr>
          <w:p>
            <w:pPr>
              <w:pStyle w:val="TableParagraph"/>
              <w:spacing w:before="18"/>
              <w:ind w:right="126"/>
              <w:jc w:val="right"/>
              <w:rPr>
                <w:sz w:val="16"/>
              </w:rPr>
            </w:pPr>
            <w:r>
              <w:rPr>
                <w:spacing w:val="-5"/>
                <w:sz w:val="16"/>
              </w:rPr>
              <w:t>437</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z w:val="16"/>
              </w:rPr>
              <w:t>—</w:t>
            </w:r>
          </w:p>
        </w:tc>
        <w:tc>
          <w:tcPr>
            <w:tcW w:w="1305" w:type="dxa"/>
            <w:gridSpan w:val="2"/>
            <w:shd w:val="clear" w:color="auto" w:fill="D8D8D8"/>
          </w:tcPr>
          <w:p>
            <w:pPr>
              <w:pStyle w:val="TableParagraph"/>
              <w:spacing w:before="18"/>
              <w:ind w:right="107"/>
              <w:jc w:val="right"/>
              <w:rPr>
                <w:sz w:val="16"/>
              </w:rPr>
            </w:pPr>
            <w:r>
              <w:rPr>
                <w:spacing w:val="-5"/>
                <w:sz w:val="16"/>
              </w:rPr>
              <w:t>437</w:t>
            </w:r>
          </w:p>
        </w:tc>
        <w:tc>
          <w:tcPr>
            <w:tcW w:w="1347" w:type="dxa"/>
            <w:shd w:val="clear" w:color="auto" w:fill="D8D8D8"/>
          </w:tcPr>
          <w:p>
            <w:pPr>
              <w:pStyle w:val="TableParagraph"/>
              <w:spacing w:before="18"/>
              <w:ind w:left="855"/>
              <w:rPr>
                <w:sz w:val="16"/>
              </w:rPr>
            </w:pPr>
            <w:r>
              <w:rPr>
                <w:spacing w:val="-4"/>
                <w:sz w:val="16"/>
              </w:rPr>
              <w:t>0.18</w:t>
            </w:r>
          </w:p>
        </w:tc>
      </w:tr>
      <w:tr>
        <w:trPr>
          <w:trHeight w:val="226" w:hRule="atLeast"/>
        </w:trPr>
        <w:tc>
          <w:tcPr>
            <w:tcW w:w="2560" w:type="dxa"/>
          </w:tcPr>
          <w:p>
            <w:pPr>
              <w:pStyle w:val="TableParagraph"/>
              <w:spacing w:before="19"/>
              <w:ind w:left="52"/>
              <w:rPr>
                <w:sz w:val="16"/>
              </w:rPr>
            </w:pPr>
            <w:r>
              <w:rPr>
                <w:sz w:val="16"/>
              </w:rPr>
              <w:t>Cabo</w:t>
            </w:r>
            <w:r>
              <w:rPr>
                <w:spacing w:val="-9"/>
                <w:sz w:val="16"/>
              </w:rPr>
              <w:t> </w:t>
            </w:r>
            <w:r>
              <w:rPr>
                <w:sz w:val="16"/>
              </w:rPr>
              <w:t>Verde,</w:t>
            </w:r>
            <w:r>
              <w:rPr>
                <w:spacing w:val="-7"/>
                <w:sz w:val="16"/>
              </w:rPr>
              <w:t> </w:t>
            </w:r>
            <w:r>
              <w:rPr>
                <w:sz w:val="16"/>
              </w:rPr>
              <w:t>Republic</w:t>
            </w:r>
            <w:r>
              <w:rPr>
                <w:spacing w:val="-7"/>
                <w:sz w:val="16"/>
              </w:rPr>
              <w:t> </w:t>
            </w:r>
            <w:r>
              <w:rPr>
                <w:spacing w:val="-5"/>
                <w:sz w:val="16"/>
              </w:rPr>
              <w:t>of</w:t>
            </w:r>
          </w:p>
        </w:tc>
        <w:tc>
          <w:tcPr>
            <w:tcW w:w="1580" w:type="dxa"/>
            <w:gridSpan w:val="2"/>
          </w:tcPr>
          <w:p>
            <w:pPr>
              <w:pStyle w:val="TableParagraph"/>
              <w:spacing w:before="19"/>
              <w:ind w:right="126"/>
              <w:jc w:val="right"/>
              <w:rPr>
                <w:sz w:val="16"/>
              </w:rPr>
            </w:pPr>
            <w:r>
              <w:rPr>
                <w:spacing w:val="-5"/>
                <w:sz w:val="16"/>
              </w:rPr>
              <w:t>41</w:t>
            </w:r>
          </w:p>
        </w:tc>
        <w:tc>
          <w:tcPr>
            <w:tcW w:w="1221" w:type="dxa"/>
            <w:gridSpan w:val="2"/>
          </w:tcPr>
          <w:p>
            <w:pPr>
              <w:pStyle w:val="TableParagraph"/>
              <w:spacing w:before="19"/>
              <w:ind w:right="87"/>
              <w:jc w:val="right"/>
              <w:rPr>
                <w:sz w:val="16"/>
              </w:rPr>
            </w:pPr>
            <w:r>
              <w:rPr>
                <w:sz w:val="16"/>
              </w:rPr>
              <w:t>—</w:t>
            </w:r>
          </w:p>
        </w:tc>
        <w:tc>
          <w:tcPr>
            <w:tcW w:w="1235" w:type="dxa"/>
            <w:gridSpan w:val="2"/>
          </w:tcPr>
          <w:p>
            <w:pPr>
              <w:pStyle w:val="TableParagraph"/>
              <w:spacing w:before="19"/>
              <w:ind w:right="62"/>
              <w:jc w:val="right"/>
              <w:rPr>
                <w:sz w:val="16"/>
              </w:rPr>
            </w:pPr>
            <w:r>
              <w:rPr>
                <w:spacing w:val="-10"/>
                <w:sz w:val="16"/>
              </w:rPr>
              <w:t>3</w:t>
            </w:r>
          </w:p>
        </w:tc>
        <w:tc>
          <w:tcPr>
            <w:tcW w:w="1305" w:type="dxa"/>
            <w:gridSpan w:val="2"/>
          </w:tcPr>
          <w:p>
            <w:pPr>
              <w:pStyle w:val="TableParagraph"/>
              <w:spacing w:before="19"/>
              <w:ind w:right="107"/>
              <w:jc w:val="right"/>
              <w:rPr>
                <w:sz w:val="16"/>
              </w:rPr>
            </w:pPr>
            <w:r>
              <w:rPr>
                <w:spacing w:val="-5"/>
                <w:sz w:val="16"/>
              </w:rPr>
              <w:t>38</w:t>
            </w:r>
          </w:p>
        </w:tc>
        <w:tc>
          <w:tcPr>
            <w:tcW w:w="1347" w:type="dxa"/>
          </w:tcPr>
          <w:p>
            <w:pPr>
              <w:pStyle w:val="TableParagraph"/>
              <w:spacing w:before="19"/>
              <w:ind w:left="855"/>
              <w:rPr>
                <w:sz w:val="16"/>
              </w:rPr>
            </w:pPr>
            <w:r>
              <w:rPr>
                <w:spacing w:val="-4"/>
                <w:sz w:val="16"/>
              </w:rPr>
              <w:t>0.02</w:t>
            </w:r>
          </w:p>
        </w:tc>
      </w:tr>
      <w:tr>
        <w:trPr>
          <w:trHeight w:val="214" w:hRule="atLeast"/>
        </w:trPr>
        <w:tc>
          <w:tcPr>
            <w:tcW w:w="2560" w:type="dxa"/>
          </w:tcPr>
          <w:p>
            <w:pPr>
              <w:pStyle w:val="TableParagraph"/>
              <w:spacing w:line="176" w:lineRule="exact" w:before="18"/>
              <w:ind w:left="52"/>
              <w:rPr>
                <w:sz w:val="16"/>
              </w:rPr>
            </w:pPr>
            <w:r>
              <w:rPr>
                <w:spacing w:val="-2"/>
                <w:sz w:val="16"/>
              </w:rPr>
              <w:t>Cameroon</w:t>
            </w:r>
          </w:p>
        </w:tc>
        <w:tc>
          <w:tcPr>
            <w:tcW w:w="1580" w:type="dxa"/>
            <w:gridSpan w:val="2"/>
          </w:tcPr>
          <w:p>
            <w:pPr>
              <w:pStyle w:val="TableParagraph"/>
              <w:spacing w:line="176" w:lineRule="exact" w:before="18"/>
              <w:ind w:right="126"/>
              <w:jc w:val="right"/>
              <w:rPr>
                <w:sz w:val="16"/>
              </w:rPr>
            </w:pPr>
            <w:r>
              <w:rPr>
                <w:spacing w:val="-5"/>
                <w:sz w:val="16"/>
              </w:rPr>
              <w:t>898</w:t>
            </w:r>
          </w:p>
        </w:tc>
        <w:tc>
          <w:tcPr>
            <w:tcW w:w="1221" w:type="dxa"/>
            <w:gridSpan w:val="2"/>
          </w:tcPr>
          <w:p>
            <w:pPr>
              <w:pStyle w:val="TableParagraph"/>
              <w:spacing w:line="176" w:lineRule="exact" w:before="18"/>
              <w:ind w:right="87"/>
              <w:jc w:val="right"/>
              <w:rPr>
                <w:sz w:val="16"/>
              </w:rPr>
            </w:pPr>
            <w:r>
              <w:rPr>
                <w:spacing w:val="-5"/>
                <w:sz w:val="16"/>
              </w:rPr>
              <w:t>208</w:t>
            </w:r>
          </w:p>
        </w:tc>
        <w:tc>
          <w:tcPr>
            <w:tcW w:w="1235" w:type="dxa"/>
            <w:gridSpan w:val="2"/>
          </w:tcPr>
          <w:p>
            <w:pPr>
              <w:pStyle w:val="TableParagraph"/>
              <w:spacing w:line="176" w:lineRule="exact" w:before="18"/>
              <w:ind w:right="62"/>
              <w:jc w:val="right"/>
              <w:rPr>
                <w:sz w:val="16"/>
              </w:rPr>
            </w:pPr>
            <w:r>
              <w:rPr>
                <w:spacing w:val="-5"/>
                <w:sz w:val="16"/>
              </w:rPr>
              <w:t>268</w:t>
            </w:r>
          </w:p>
        </w:tc>
        <w:tc>
          <w:tcPr>
            <w:tcW w:w="1305" w:type="dxa"/>
            <w:gridSpan w:val="2"/>
          </w:tcPr>
          <w:p>
            <w:pPr>
              <w:pStyle w:val="TableParagraph"/>
              <w:spacing w:line="176" w:lineRule="exact" w:before="18"/>
              <w:ind w:right="107"/>
              <w:jc w:val="right"/>
              <w:rPr>
                <w:sz w:val="16"/>
              </w:rPr>
            </w:pPr>
            <w:r>
              <w:rPr>
                <w:spacing w:val="-5"/>
                <w:sz w:val="16"/>
              </w:rPr>
              <w:t>422</w:t>
            </w:r>
          </w:p>
        </w:tc>
        <w:tc>
          <w:tcPr>
            <w:tcW w:w="1347" w:type="dxa"/>
          </w:tcPr>
          <w:p>
            <w:pPr>
              <w:pStyle w:val="TableParagraph"/>
              <w:spacing w:line="176" w:lineRule="exact" w:before="18"/>
              <w:ind w:left="855"/>
              <w:rPr>
                <w:sz w:val="16"/>
              </w:rPr>
            </w:pPr>
            <w:r>
              <w:rPr>
                <w:spacing w:val="-4"/>
                <w:sz w:val="16"/>
              </w:rPr>
              <w:t>0.17</w:t>
            </w:r>
          </w:p>
        </w:tc>
      </w:tr>
      <w:tr>
        <w:trPr>
          <w:trHeight w:val="225" w:hRule="atLeast"/>
        </w:trPr>
        <w:tc>
          <w:tcPr>
            <w:tcW w:w="2560" w:type="dxa"/>
          </w:tcPr>
          <w:p>
            <w:pPr>
              <w:pStyle w:val="TableParagraph"/>
              <w:spacing w:line="176" w:lineRule="exact" w:before="28"/>
              <w:ind w:left="52"/>
              <w:rPr>
                <w:sz w:val="16"/>
              </w:rPr>
            </w:pPr>
            <w:r>
              <w:rPr>
                <w:sz w:val="16"/>
              </w:rPr>
              <w:t>Chile</w:t>
            </w:r>
            <w:r>
              <w:rPr>
                <w:spacing w:val="-7"/>
                <w:sz w:val="16"/>
              </w:rPr>
              <w:t> </w:t>
            </w:r>
            <w:r>
              <w:rPr>
                <w:spacing w:val="-10"/>
                <w:sz w:val="16"/>
                <w:vertAlign w:val="superscript"/>
              </w:rPr>
              <w:t>a</w:t>
            </w:r>
          </w:p>
        </w:tc>
        <w:tc>
          <w:tcPr>
            <w:tcW w:w="1580" w:type="dxa"/>
            <w:gridSpan w:val="2"/>
          </w:tcPr>
          <w:p>
            <w:pPr>
              <w:pStyle w:val="TableParagraph"/>
              <w:spacing w:line="176" w:lineRule="exact" w:before="28"/>
              <w:ind w:right="126"/>
              <w:jc w:val="right"/>
              <w:rPr>
                <w:sz w:val="16"/>
              </w:rPr>
            </w:pPr>
            <w:r>
              <w:rPr>
                <w:spacing w:val="-5"/>
                <w:sz w:val="16"/>
              </w:rPr>
              <w:t>300</w:t>
            </w:r>
          </w:p>
        </w:tc>
        <w:tc>
          <w:tcPr>
            <w:tcW w:w="1221" w:type="dxa"/>
            <w:gridSpan w:val="2"/>
          </w:tcPr>
          <w:p>
            <w:pPr>
              <w:pStyle w:val="TableParagraph"/>
              <w:spacing w:line="176" w:lineRule="exact" w:before="28"/>
              <w:ind w:right="87"/>
              <w:jc w:val="right"/>
              <w:rPr>
                <w:sz w:val="16"/>
              </w:rPr>
            </w:pPr>
            <w:r>
              <w:rPr>
                <w:spacing w:val="-5"/>
                <w:sz w:val="16"/>
              </w:rPr>
              <w:t>150</w:t>
            </w:r>
          </w:p>
        </w:tc>
        <w:tc>
          <w:tcPr>
            <w:tcW w:w="1235" w:type="dxa"/>
            <w:gridSpan w:val="2"/>
          </w:tcPr>
          <w:p>
            <w:pPr>
              <w:pStyle w:val="TableParagraph"/>
              <w:spacing w:line="176" w:lineRule="exact" w:before="28"/>
              <w:ind w:right="62"/>
              <w:jc w:val="right"/>
              <w:rPr>
                <w:sz w:val="16"/>
              </w:rPr>
            </w:pPr>
            <w:r>
              <w:rPr>
                <w:sz w:val="16"/>
              </w:rPr>
              <w:t>—</w:t>
            </w:r>
          </w:p>
        </w:tc>
        <w:tc>
          <w:tcPr>
            <w:tcW w:w="1305" w:type="dxa"/>
            <w:gridSpan w:val="2"/>
          </w:tcPr>
          <w:p>
            <w:pPr>
              <w:pStyle w:val="TableParagraph"/>
              <w:spacing w:line="176" w:lineRule="exact" w:before="28"/>
              <w:ind w:right="107"/>
              <w:jc w:val="right"/>
              <w:rPr>
                <w:sz w:val="16"/>
              </w:rPr>
            </w:pPr>
            <w:r>
              <w:rPr>
                <w:spacing w:val="-5"/>
                <w:sz w:val="16"/>
              </w:rPr>
              <w:t>150</w:t>
            </w:r>
          </w:p>
        </w:tc>
        <w:tc>
          <w:tcPr>
            <w:tcW w:w="1347" w:type="dxa"/>
          </w:tcPr>
          <w:p>
            <w:pPr>
              <w:pStyle w:val="TableParagraph"/>
              <w:spacing w:line="176" w:lineRule="exact" w:before="28"/>
              <w:ind w:left="855"/>
              <w:rPr>
                <w:sz w:val="16"/>
              </w:rPr>
            </w:pPr>
            <w:r>
              <w:rPr>
                <w:spacing w:val="-4"/>
                <w:sz w:val="16"/>
              </w:rPr>
              <w:t>0.06</w:t>
            </w:r>
          </w:p>
        </w:tc>
      </w:tr>
      <w:tr>
        <w:trPr>
          <w:trHeight w:val="225" w:hRule="atLeast"/>
        </w:trPr>
        <w:tc>
          <w:tcPr>
            <w:tcW w:w="2560" w:type="dxa"/>
          </w:tcPr>
          <w:p>
            <w:pPr>
              <w:pStyle w:val="TableParagraph"/>
              <w:spacing w:line="176" w:lineRule="exact" w:before="28"/>
              <w:ind w:left="52"/>
              <w:rPr>
                <w:sz w:val="16"/>
              </w:rPr>
            </w:pPr>
            <w:r>
              <w:rPr>
                <w:sz w:val="16"/>
              </w:rPr>
              <w:t>China</w:t>
            </w:r>
            <w:r>
              <w:rPr>
                <w:spacing w:val="-5"/>
                <w:sz w:val="16"/>
              </w:rPr>
              <w:t> </w:t>
            </w:r>
            <w:r>
              <w:rPr>
                <w:spacing w:val="-10"/>
                <w:sz w:val="16"/>
                <w:vertAlign w:val="superscript"/>
              </w:rPr>
              <w:t>b</w:t>
            </w:r>
          </w:p>
        </w:tc>
        <w:tc>
          <w:tcPr>
            <w:tcW w:w="1580" w:type="dxa"/>
            <w:gridSpan w:val="2"/>
          </w:tcPr>
          <w:p>
            <w:pPr>
              <w:pStyle w:val="TableParagraph"/>
              <w:spacing w:line="176" w:lineRule="exact" w:before="28"/>
              <w:ind w:left="963"/>
              <w:rPr>
                <w:sz w:val="16"/>
              </w:rPr>
            </w:pPr>
            <w:r>
              <w:rPr>
                <w:spacing w:val="-2"/>
                <w:sz w:val="16"/>
              </w:rPr>
              <w:t>21,298</w:t>
            </w:r>
          </w:p>
        </w:tc>
        <w:tc>
          <w:tcPr>
            <w:tcW w:w="1221" w:type="dxa"/>
            <w:gridSpan w:val="2"/>
          </w:tcPr>
          <w:p>
            <w:pPr>
              <w:pStyle w:val="TableParagraph"/>
              <w:spacing w:line="176" w:lineRule="exact" w:before="28"/>
              <w:ind w:left="732"/>
              <w:rPr>
                <w:sz w:val="16"/>
              </w:rPr>
            </w:pPr>
            <w:r>
              <w:rPr>
                <w:spacing w:val="-2"/>
                <w:sz w:val="16"/>
              </w:rPr>
              <w:t>2,715</w:t>
            </w:r>
          </w:p>
        </w:tc>
        <w:tc>
          <w:tcPr>
            <w:tcW w:w="1235" w:type="dxa"/>
            <w:gridSpan w:val="2"/>
          </w:tcPr>
          <w:p>
            <w:pPr>
              <w:pStyle w:val="TableParagraph"/>
              <w:spacing w:line="176" w:lineRule="exact" w:before="28"/>
              <w:ind w:left="771"/>
              <w:rPr>
                <w:sz w:val="16"/>
              </w:rPr>
            </w:pPr>
            <w:r>
              <w:rPr>
                <w:spacing w:val="-2"/>
                <w:sz w:val="16"/>
              </w:rPr>
              <w:t>3,015</w:t>
            </w:r>
          </w:p>
        </w:tc>
        <w:tc>
          <w:tcPr>
            <w:tcW w:w="1305" w:type="dxa"/>
            <w:gridSpan w:val="2"/>
          </w:tcPr>
          <w:p>
            <w:pPr>
              <w:pStyle w:val="TableParagraph"/>
              <w:spacing w:line="176" w:lineRule="exact" w:before="28"/>
              <w:ind w:left="707"/>
              <w:rPr>
                <w:sz w:val="16"/>
              </w:rPr>
            </w:pPr>
            <w:r>
              <w:rPr>
                <w:spacing w:val="-2"/>
                <w:sz w:val="16"/>
              </w:rPr>
              <w:t>15,568</w:t>
            </w:r>
          </w:p>
        </w:tc>
        <w:tc>
          <w:tcPr>
            <w:tcW w:w="1347" w:type="dxa"/>
          </w:tcPr>
          <w:p>
            <w:pPr>
              <w:pStyle w:val="TableParagraph"/>
              <w:spacing w:line="176" w:lineRule="exact" w:before="28"/>
              <w:ind w:left="855"/>
              <w:rPr>
                <w:sz w:val="16"/>
              </w:rPr>
            </w:pPr>
            <w:r>
              <w:rPr>
                <w:spacing w:val="-4"/>
                <w:sz w:val="16"/>
              </w:rPr>
              <w:t>6.38</w:t>
            </w:r>
          </w:p>
        </w:tc>
      </w:tr>
      <w:tr>
        <w:trPr>
          <w:trHeight w:val="234" w:hRule="atLeast"/>
        </w:trPr>
        <w:tc>
          <w:tcPr>
            <w:tcW w:w="2560" w:type="dxa"/>
          </w:tcPr>
          <w:p>
            <w:pPr>
              <w:pStyle w:val="TableParagraph"/>
              <w:spacing w:before="28"/>
              <w:ind w:left="52"/>
              <w:rPr>
                <w:sz w:val="16"/>
              </w:rPr>
            </w:pPr>
            <w:r>
              <w:rPr>
                <w:sz w:val="16"/>
              </w:rPr>
              <w:t>Colombia</w:t>
            </w:r>
            <w:r>
              <w:rPr>
                <w:spacing w:val="-7"/>
                <w:sz w:val="16"/>
              </w:rPr>
              <w:t> </w:t>
            </w:r>
            <w:r>
              <w:rPr>
                <w:spacing w:val="-10"/>
                <w:sz w:val="16"/>
                <w:vertAlign w:val="superscript"/>
              </w:rPr>
              <w:t>a</w:t>
            </w:r>
          </w:p>
        </w:tc>
        <w:tc>
          <w:tcPr>
            <w:tcW w:w="1580" w:type="dxa"/>
            <w:gridSpan w:val="2"/>
          </w:tcPr>
          <w:p>
            <w:pPr>
              <w:pStyle w:val="TableParagraph"/>
              <w:spacing w:before="28"/>
              <w:ind w:left="963"/>
              <w:rPr>
                <w:sz w:val="16"/>
              </w:rPr>
            </w:pPr>
            <w:r>
              <w:rPr>
                <w:spacing w:val="-2"/>
                <w:sz w:val="16"/>
              </w:rPr>
              <w:t>16,493</w:t>
            </w:r>
          </w:p>
        </w:tc>
        <w:tc>
          <w:tcPr>
            <w:tcW w:w="1221" w:type="dxa"/>
            <w:gridSpan w:val="2"/>
          </w:tcPr>
          <w:p>
            <w:pPr>
              <w:pStyle w:val="TableParagraph"/>
              <w:spacing w:before="28"/>
              <w:ind w:right="87"/>
              <w:jc w:val="right"/>
              <w:rPr>
                <w:sz w:val="16"/>
              </w:rPr>
            </w:pPr>
            <w:r>
              <w:rPr>
                <w:spacing w:val="-5"/>
                <w:sz w:val="16"/>
              </w:rPr>
              <w:t>750</w:t>
            </w:r>
          </w:p>
        </w:tc>
        <w:tc>
          <w:tcPr>
            <w:tcW w:w="1235" w:type="dxa"/>
            <w:gridSpan w:val="2"/>
          </w:tcPr>
          <w:p>
            <w:pPr>
              <w:pStyle w:val="TableParagraph"/>
              <w:spacing w:before="28"/>
              <w:ind w:right="62"/>
              <w:jc w:val="right"/>
              <w:rPr>
                <w:sz w:val="16"/>
              </w:rPr>
            </w:pPr>
            <w:r>
              <w:rPr>
                <w:spacing w:val="-5"/>
                <w:sz w:val="16"/>
              </w:rPr>
              <w:t>641</w:t>
            </w:r>
          </w:p>
        </w:tc>
        <w:tc>
          <w:tcPr>
            <w:tcW w:w="1305" w:type="dxa"/>
            <w:gridSpan w:val="2"/>
          </w:tcPr>
          <w:p>
            <w:pPr>
              <w:pStyle w:val="TableParagraph"/>
              <w:spacing w:before="28"/>
              <w:ind w:left="707"/>
              <w:rPr>
                <w:sz w:val="16"/>
              </w:rPr>
            </w:pPr>
            <w:r>
              <w:rPr>
                <w:spacing w:val="-2"/>
                <w:sz w:val="16"/>
              </w:rPr>
              <w:t>15,102</w:t>
            </w:r>
          </w:p>
        </w:tc>
        <w:tc>
          <w:tcPr>
            <w:tcW w:w="1347" w:type="dxa"/>
          </w:tcPr>
          <w:p>
            <w:pPr>
              <w:pStyle w:val="TableParagraph"/>
              <w:spacing w:before="28"/>
              <w:ind w:left="855"/>
              <w:rPr>
                <w:sz w:val="16"/>
              </w:rPr>
            </w:pPr>
            <w:r>
              <w:rPr>
                <w:spacing w:val="-4"/>
                <w:sz w:val="16"/>
              </w:rPr>
              <w:t>6.19</w:t>
            </w:r>
          </w:p>
        </w:tc>
      </w:tr>
      <w:tr>
        <w:trPr>
          <w:trHeight w:val="215" w:hRule="atLeast"/>
        </w:trPr>
        <w:tc>
          <w:tcPr>
            <w:tcW w:w="2560" w:type="dxa"/>
            <w:shd w:val="clear" w:color="auto" w:fill="D8D8D8"/>
          </w:tcPr>
          <w:p>
            <w:pPr>
              <w:pStyle w:val="TableParagraph"/>
              <w:spacing w:line="176" w:lineRule="exact" w:before="19"/>
              <w:ind w:left="52"/>
              <w:rPr>
                <w:sz w:val="16"/>
              </w:rPr>
            </w:pPr>
            <w:r>
              <w:rPr>
                <w:sz w:val="16"/>
              </w:rPr>
              <w:t>Congo,</w:t>
            </w:r>
            <w:r>
              <w:rPr>
                <w:spacing w:val="-6"/>
                <w:sz w:val="16"/>
              </w:rPr>
              <w:t> </w:t>
            </w:r>
            <w:r>
              <w:rPr>
                <w:sz w:val="16"/>
              </w:rPr>
              <w:t>Republic</w:t>
            </w:r>
            <w:r>
              <w:rPr>
                <w:spacing w:val="-6"/>
                <w:sz w:val="16"/>
              </w:rPr>
              <w:t> </w:t>
            </w:r>
            <w:r>
              <w:rPr>
                <w:spacing w:val="-5"/>
                <w:sz w:val="16"/>
              </w:rPr>
              <w:t>of</w:t>
            </w:r>
          </w:p>
        </w:tc>
        <w:tc>
          <w:tcPr>
            <w:tcW w:w="1580" w:type="dxa"/>
            <w:gridSpan w:val="2"/>
            <w:shd w:val="clear" w:color="auto" w:fill="D8D8D8"/>
          </w:tcPr>
          <w:p>
            <w:pPr>
              <w:pStyle w:val="TableParagraph"/>
              <w:spacing w:line="176" w:lineRule="exact" w:before="19"/>
              <w:ind w:right="126"/>
              <w:jc w:val="right"/>
              <w:rPr>
                <w:sz w:val="16"/>
              </w:rPr>
            </w:pPr>
            <w:r>
              <w:rPr>
                <w:spacing w:val="-5"/>
                <w:sz w:val="16"/>
              </w:rPr>
              <w:t>375</w:t>
            </w:r>
          </w:p>
        </w:tc>
        <w:tc>
          <w:tcPr>
            <w:tcW w:w="1221" w:type="dxa"/>
            <w:gridSpan w:val="2"/>
            <w:shd w:val="clear" w:color="auto" w:fill="D8D8D8"/>
          </w:tcPr>
          <w:p>
            <w:pPr>
              <w:pStyle w:val="TableParagraph"/>
              <w:spacing w:line="176" w:lineRule="exact" w:before="19"/>
              <w:ind w:right="87"/>
              <w:jc w:val="right"/>
              <w:rPr>
                <w:sz w:val="16"/>
              </w:rPr>
            </w:pPr>
            <w:r>
              <w:rPr>
                <w:sz w:val="16"/>
              </w:rPr>
              <w:t>—</w:t>
            </w:r>
          </w:p>
        </w:tc>
        <w:tc>
          <w:tcPr>
            <w:tcW w:w="1235" w:type="dxa"/>
            <w:gridSpan w:val="2"/>
            <w:shd w:val="clear" w:color="auto" w:fill="D8D8D8"/>
          </w:tcPr>
          <w:p>
            <w:pPr>
              <w:pStyle w:val="TableParagraph"/>
              <w:spacing w:line="176" w:lineRule="exact" w:before="19"/>
              <w:ind w:right="62"/>
              <w:jc w:val="right"/>
              <w:rPr>
                <w:sz w:val="16"/>
              </w:rPr>
            </w:pPr>
            <w:r>
              <w:rPr>
                <w:spacing w:val="-5"/>
                <w:sz w:val="16"/>
              </w:rPr>
              <w:t>216</w:t>
            </w:r>
          </w:p>
        </w:tc>
        <w:tc>
          <w:tcPr>
            <w:tcW w:w="1305" w:type="dxa"/>
            <w:gridSpan w:val="2"/>
            <w:shd w:val="clear" w:color="auto" w:fill="D8D8D8"/>
          </w:tcPr>
          <w:p>
            <w:pPr>
              <w:pStyle w:val="TableParagraph"/>
              <w:spacing w:line="176" w:lineRule="exact" w:before="19"/>
              <w:ind w:right="107"/>
              <w:jc w:val="right"/>
              <w:rPr>
                <w:sz w:val="16"/>
              </w:rPr>
            </w:pPr>
            <w:r>
              <w:rPr>
                <w:spacing w:val="-5"/>
                <w:sz w:val="16"/>
              </w:rPr>
              <w:t>159</w:t>
            </w:r>
          </w:p>
        </w:tc>
        <w:tc>
          <w:tcPr>
            <w:tcW w:w="1347" w:type="dxa"/>
            <w:shd w:val="clear" w:color="auto" w:fill="D8D8D8"/>
          </w:tcPr>
          <w:p>
            <w:pPr>
              <w:pStyle w:val="TableParagraph"/>
              <w:spacing w:line="176" w:lineRule="exact" w:before="19"/>
              <w:ind w:left="855"/>
              <w:rPr>
                <w:sz w:val="16"/>
              </w:rPr>
            </w:pPr>
            <w:r>
              <w:rPr>
                <w:spacing w:val="-4"/>
                <w:sz w:val="16"/>
              </w:rPr>
              <w:t>0.07</w:t>
            </w:r>
          </w:p>
        </w:tc>
      </w:tr>
      <w:tr>
        <w:trPr>
          <w:trHeight w:val="235" w:hRule="atLeast"/>
        </w:trPr>
        <w:tc>
          <w:tcPr>
            <w:tcW w:w="2560" w:type="dxa"/>
            <w:shd w:val="clear" w:color="auto" w:fill="D8D8D8"/>
          </w:tcPr>
          <w:p>
            <w:pPr>
              <w:pStyle w:val="TableParagraph"/>
              <w:spacing w:before="28"/>
              <w:ind w:left="52"/>
              <w:rPr>
                <w:sz w:val="16"/>
              </w:rPr>
            </w:pPr>
            <w:r>
              <w:rPr>
                <w:sz w:val="16"/>
              </w:rPr>
              <w:t>Costa</w:t>
            </w:r>
            <w:r>
              <w:rPr>
                <w:spacing w:val="-3"/>
                <w:sz w:val="16"/>
              </w:rPr>
              <w:t> </w:t>
            </w:r>
            <w:r>
              <w:rPr>
                <w:sz w:val="16"/>
              </w:rPr>
              <w:t>Rica</w:t>
            </w:r>
            <w:r>
              <w:rPr>
                <w:spacing w:val="-3"/>
                <w:sz w:val="16"/>
              </w:rPr>
              <w:t> </w:t>
            </w:r>
            <w:r>
              <w:rPr>
                <w:spacing w:val="-10"/>
                <w:sz w:val="16"/>
                <w:vertAlign w:val="superscript"/>
              </w:rPr>
              <w:t>a</w:t>
            </w:r>
          </w:p>
        </w:tc>
        <w:tc>
          <w:tcPr>
            <w:tcW w:w="1580" w:type="dxa"/>
            <w:gridSpan w:val="2"/>
            <w:shd w:val="clear" w:color="auto" w:fill="D8D8D8"/>
          </w:tcPr>
          <w:p>
            <w:pPr>
              <w:pStyle w:val="TableParagraph"/>
              <w:spacing w:before="28"/>
              <w:ind w:left="1052"/>
              <w:rPr>
                <w:sz w:val="16"/>
              </w:rPr>
            </w:pPr>
            <w:r>
              <w:rPr>
                <w:spacing w:val="-2"/>
                <w:sz w:val="16"/>
              </w:rPr>
              <w:t>2,450</w:t>
            </w:r>
          </w:p>
        </w:tc>
        <w:tc>
          <w:tcPr>
            <w:tcW w:w="1221" w:type="dxa"/>
            <w:gridSpan w:val="2"/>
            <w:shd w:val="clear" w:color="auto" w:fill="D8D8D8"/>
          </w:tcPr>
          <w:p>
            <w:pPr>
              <w:pStyle w:val="TableParagraph"/>
              <w:spacing w:before="28"/>
              <w:ind w:right="87"/>
              <w:jc w:val="right"/>
              <w:rPr>
                <w:sz w:val="16"/>
              </w:rPr>
            </w:pPr>
            <w:r>
              <w:rPr>
                <w:spacing w:val="-5"/>
                <w:sz w:val="16"/>
              </w:rPr>
              <w:t>660</w:t>
            </w:r>
          </w:p>
        </w:tc>
        <w:tc>
          <w:tcPr>
            <w:tcW w:w="1235" w:type="dxa"/>
            <w:gridSpan w:val="2"/>
            <w:shd w:val="clear" w:color="auto" w:fill="D8D8D8"/>
          </w:tcPr>
          <w:p>
            <w:pPr>
              <w:pStyle w:val="TableParagraph"/>
              <w:spacing w:before="28"/>
              <w:ind w:right="62"/>
              <w:jc w:val="right"/>
              <w:rPr>
                <w:sz w:val="16"/>
              </w:rPr>
            </w:pPr>
            <w:r>
              <w:rPr>
                <w:spacing w:val="-5"/>
                <w:sz w:val="16"/>
              </w:rPr>
              <w:t>218</w:t>
            </w:r>
          </w:p>
        </w:tc>
        <w:tc>
          <w:tcPr>
            <w:tcW w:w="1305" w:type="dxa"/>
            <w:gridSpan w:val="2"/>
            <w:shd w:val="clear" w:color="auto" w:fill="D8D8D8"/>
          </w:tcPr>
          <w:p>
            <w:pPr>
              <w:pStyle w:val="TableParagraph"/>
              <w:spacing w:before="28"/>
              <w:ind w:left="796"/>
              <w:rPr>
                <w:sz w:val="16"/>
              </w:rPr>
            </w:pPr>
            <w:r>
              <w:rPr>
                <w:spacing w:val="-2"/>
                <w:sz w:val="16"/>
              </w:rPr>
              <w:t>1,572</w:t>
            </w:r>
          </w:p>
        </w:tc>
        <w:tc>
          <w:tcPr>
            <w:tcW w:w="1347" w:type="dxa"/>
            <w:shd w:val="clear" w:color="auto" w:fill="D8D8D8"/>
          </w:tcPr>
          <w:p>
            <w:pPr>
              <w:pStyle w:val="TableParagraph"/>
              <w:spacing w:before="28"/>
              <w:ind w:left="855"/>
              <w:rPr>
                <w:sz w:val="16"/>
              </w:rPr>
            </w:pPr>
            <w:r>
              <w:rPr>
                <w:spacing w:val="-4"/>
                <w:sz w:val="16"/>
              </w:rPr>
              <w:t>0.65</w:t>
            </w:r>
          </w:p>
        </w:tc>
      </w:tr>
      <w:tr>
        <w:trPr>
          <w:trHeight w:val="225" w:hRule="atLeast"/>
        </w:trPr>
        <w:tc>
          <w:tcPr>
            <w:tcW w:w="2560" w:type="dxa"/>
            <w:shd w:val="clear" w:color="auto" w:fill="D8D8D8"/>
          </w:tcPr>
          <w:p>
            <w:pPr>
              <w:pStyle w:val="TableParagraph"/>
              <w:spacing w:before="18"/>
              <w:ind w:left="52"/>
              <w:rPr>
                <w:sz w:val="16"/>
              </w:rPr>
            </w:pPr>
            <w:r>
              <w:rPr>
                <w:sz w:val="16"/>
              </w:rPr>
              <w:t>Cote</w:t>
            </w:r>
            <w:r>
              <w:rPr>
                <w:spacing w:val="-5"/>
                <w:sz w:val="16"/>
              </w:rPr>
              <w:t> </w:t>
            </w:r>
            <w:r>
              <w:rPr>
                <w:spacing w:val="-2"/>
                <w:sz w:val="16"/>
              </w:rPr>
              <w:t>d'Ivoire</w:t>
            </w:r>
          </w:p>
        </w:tc>
        <w:tc>
          <w:tcPr>
            <w:tcW w:w="1580" w:type="dxa"/>
            <w:gridSpan w:val="2"/>
            <w:shd w:val="clear" w:color="auto" w:fill="D8D8D8"/>
          </w:tcPr>
          <w:p>
            <w:pPr>
              <w:pStyle w:val="TableParagraph"/>
              <w:spacing w:before="18"/>
              <w:ind w:right="126"/>
              <w:jc w:val="right"/>
              <w:rPr>
                <w:sz w:val="16"/>
              </w:rPr>
            </w:pPr>
            <w:r>
              <w:rPr>
                <w:spacing w:val="-5"/>
                <w:sz w:val="16"/>
              </w:rPr>
              <w:t>174</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pacing w:val="-5"/>
                <w:sz w:val="16"/>
              </w:rPr>
              <w:t>41</w:t>
            </w:r>
          </w:p>
        </w:tc>
        <w:tc>
          <w:tcPr>
            <w:tcW w:w="1305" w:type="dxa"/>
            <w:gridSpan w:val="2"/>
            <w:shd w:val="clear" w:color="auto" w:fill="D8D8D8"/>
          </w:tcPr>
          <w:p>
            <w:pPr>
              <w:pStyle w:val="TableParagraph"/>
              <w:spacing w:before="18"/>
              <w:ind w:right="107"/>
              <w:jc w:val="right"/>
              <w:rPr>
                <w:sz w:val="16"/>
              </w:rPr>
            </w:pPr>
            <w:r>
              <w:rPr>
                <w:spacing w:val="-5"/>
                <w:sz w:val="16"/>
              </w:rPr>
              <w:t>133</w:t>
            </w:r>
          </w:p>
        </w:tc>
        <w:tc>
          <w:tcPr>
            <w:tcW w:w="1347" w:type="dxa"/>
            <w:shd w:val="clear" w:color="auto" w:fill="D8D8D8"/>
          </w:tcPr>
          <w:p>
            <w:pPr>
              <w:pStyle w:val="TableParagraph"/>
              <w:spacing w:before="18"/>
              <w:ind w:left="855"/>
              <w:rPr>
                <w:sz w:val="16"/>
              </w:rPr>
            </w:pPr>
            <w:r>
              <w:rPr>
                <w:spacing w:val="-4"/>
                <w:sz w:val="16"/>
              </w:rPr>
              <w:t>0.06</w:t>
            </w:r>
          </w:p>
        </w:tc>
      </w:tr>
      <w:tr>
        <w:trPr>
          <w:trHeight w:val="214" w:hRule="atLeast"/>
        </w:trPr>
        <w:tc>
          <w:tcPr>
            <w:tcW w:w="2560" w:type="dxa"/>
            <w:shd w:val="clear" w:color="auto" w:fill="D8D8D8"/>
          </w:tcPr>
          <w:p>
            <w:pPr>
              <w:pStyle w:val="TableParagraph"/>
              <w:spacing w:line="176" w:lineRule="exact" w:before="18"/>
              <w:ind w:left="52"/>
              <w:rPr>
                <w:sz w:val="16"/>
              </w:rPr>
            </w:pPr>
            <w:r>
              <w:rPr>
                <w:spacing w:val="-2"/>
                <w:sz w:val="16"/>
              </w:rPr>
              <w:t>Croatia</w:t>
            </w:r>
          </w:p>
        </w:tc>
        <w:tc>
          <w:tcPr>
            <w:tcW w:w="1580" w:type="dxa"/>
            <w:gridSpan w:val="2"/>
            <w:shd w:val="clear" w:color="auto" w:fill="D8D8D8"/>
          </w:tcPr>
          <w:p>
            <w:pPr>
              <w:pStyle w:val="TableParagraph"/>
              <w:spacing w:line="176" w:lineRule="exact" w:before="18"/>
              <w:ind w:left="1052"/>
              <w:rPr>
                <w:sz w:val="16"/>
              </w:rPr>
            </w:pPr>
            <w:r>
              <w:rPr>
                <w:spacing w:val="-2"/>
                <w:sz w:val="16"/>
              </w:rPr>
              <w:t>1,981</w:t>
            </w:r>
          </w:p>
        </w:tc>
        <w:tc>
          <w:tcPr>
            <w:tcW w:w="1221" w:type="dxa"/>
            <w:gridSpan w:val="2"/>
            <w:shd w:val="clear" w:color="auto" w:fill="D8D8D8"/>
          </w:tcPr>
          <w:p>
            <w:pPr>
              <w:pStyle w:val="TableParagraph"/>
              <w:spacing w:line="176" w:lineRule="exact" w:before="18"/>
              <w:ind w:right="87"/>
              <w:jc w:val="right"/>
              <w:rPr>
                <w:sz w:val="16"/>
              </w:rPr>
            </w:pPr>
            <w:r>
              <w:rPr>
                <w:sz w:val="16"/>
              </w:rPr>
              <w:t>—</w:t>
            </w:r>
          </w:p>
        </w:tc>
        <w:tc>
          <w:tcPr>
            <w:tcW w:w="1235" w:type="dxa"/>
            <w:gridSpan w:val="2"/>
            <w:shd w:val="clear" w:color="auto" w:fill="D8D8D8"/>
          </w:tcPr>
          <w:p>
            <w:pPr>
              <w:pStyle w:val="TableParagraph"/>
              <w:spacing w:line="176" w:lineRule="exact" w:before="18"/>
              <w:ind w:right="62"/>
              <w:jc w:val="right"/>
              <w:rPr>
                <w:sz w:val="16"/>
              </w:rPr>
            </w:pPr>
            <w:r>
              <w:rPr>
                <w:spacing w:val="-5"/>
                <w:sz w:val="16"/>
              </w:rPr>
              <w:t>564</w:t>
            </w:r>
          </w:p>
        </w:tc>
        <w:tc>
          <w:tcPr>
            <w:tcW w:w="1305" w:type="dxa"/>
            <w:gridSpan w:val="2"/>
            <w:shd w:val="clear" w:color="auto" w:fill="D8D8D8"/>
          </w:tcPr>
          <w:p>
            <w:pPr>
              <w:pStyle w:val="TableParagraph"/>
              <w:spacing w:line="176" w:lineRule="exact" w:before="18"/>
              <w:ind w:left="796"/>
              <w:rPr>
                <w:sz w:val="16"/>
              </w:rPr>
            </w:pPr>
            <w:r>
              <w:rPr>
                <w:spacing w:val="-2"/>
                <w:sz w:val="16"/>
              </w:rPr>
              <w:t>1,417</w:t>
            </w:r>
          </w:p>
        </w:tc>
        <w:tc>
          <w:tcPr>
            <w:tcW w:w="1347" w:type="dxa"/>
            <w:shd w:val="clear" w:color="auto" w:fill="D8D8D8"/>
          </w:tcPr>
          <w:p>
            <w:pPr>
              <w:pStyle w:val="TableParagraph"/>
              <w:spacing w:line="176" w:lineRule="exact" w:before="18"/>
              <w:ind w:left="855"/>
              <w:rPr>
                <w:sz w:val="16"/>
              </w:rPr>
            </w:pPr>
            <w:r>
              <w:rPr>
                <w:spacing w:val="-4"/>
                <w:sz w:val="16"/>
              </w:rPr>
              <w:t>0.58</w:t>
            </w:r>
          </w:p>
        </w:tc>
      </w:tr>
      <w:tr>
        <w:trPr>
          <w:trHeight w:val="234" w:hRule="atLeast"/>
        </w:trPr>
        <w:tc>
          <w:tcPr>
            <w:tcW w:w="2560" w:type="dxa"/>
            <w:shd w:val="clear" w:color="auto" w:fill="D8D8D8"/>
          </w:tcPr>
          <w:p>
            <w:pPr>
              <w:pStyle w:val="TableParagraph"/>
              <w:spacing w:before="28"/>
              <w:ind w:left="52"/>
              <w:rPr>
                <w:sz w:val="16"/>
              </w:rPr>
            </w:pPr>
            <w:r>
              <w:rPr>
                <w:sz w:val="16"/>
              </w:rPr>
              <w:t>Dominican</w:t>
            </w:r>
            <w:r>
              <w:rPr>
                <w:spacing w:val="-8"/>
                <w:sz w:val="16"/>
              </w:rPr>
              <w:t> </w:t>
            </w:r>
            <w:r>
              <w:rPr>
                <w:sz w:val="16"/>
              </w:rPr>
              <w:t>Republic</w:t>
            </w:r>
            <w:r>
              <w:rPr>
                <w:spacing w:val="-7"/>
                <w:sz w:val="16"/>
              </w:rPr>
              <w:t> </w:t>
            </w:r>
            <w:r>
              <w:rPr>
                <w:spacing w:val="-10"/>
                <w:sz w:val="16"/>
                <w:vertAlign w:val="superscript"/>
              </w:rPr>
              <w:t>a</w:t>
            </w:r>
          </w:p>
        </w:tc>
        <w:tc>
          <w:tcPr>
            <w:tcW w:w="1580" w:type="dxa"/>
            <w:gridSpan w:val="2"/>
            <w:shd w:val="clear" w:color="auto" w:fill="D8D8D8"/>
          </w:tcPr>
          <w:p>
            <w:pPr>
              <w:pStyle w:val="TableParagraph"/>
              <w:spacing w:before="28"/>
              <w:ind w:left="1052"/>
              <w:rPr>
                <w:sz w:val="16"/>
              </w:rPr>
            </w:pPr>
            <w:r>
              <w:rPr>
                <w:spacing w:val="-2"/>
                <w:sz w:val="16"/>
              </w:rPr>
              <w:t>2,953</w:t>
            </w:r>
          </w:p>
        </w:tc>
        <w:tc>
          <w:tcPr>
            <w:tcW w:w="1221" w:type="dxa"/>
            <w:gridSpan w:val="2"/>
            <w:shd w:val="clear" w:color="auto" w:fill="D8D8D8"/>
          </w:tcPr>
          <w:p>
            <w:pPr>
              <w:pStyle w:val="TableParagraph"/>
              <w:spacing w:before="28"/>
              <w:ind w:right="87"/>
              <w:jc w:val="right"/>
              <w:rPr>
                <w:sz w:val="16"/>
              </w:rPr>
            </w:pPr>
            <w:r>
              <w:rPr>
                <w:spacing w:val="-5"/>
                <w:sz w:val="16"/>
              </w:rPr>
              <w:t>950</w:t>
            </w:r>
          </w:p>
        </w:tc>
        <w:tc>
          <w:tcPr>
            <w:tcW w:w="1235" w:type="dxa"/>
            <w:gridSpan w:val="2"/>
            <w:shd w:val="clear" w:color="auto" w:fill="D8D8D8"/>
          </w:tcPr>
          <w:p>
            <w:pPr>
              <w:pStyle w:val="TableParagraph"/>
              <w:spacing w:before="28"/>
              <w:ind w:right="62"/>
              <w:jc w:val="right"/>
              <w:rPr>
                <w:sz w:val="16"/>
              </w:rPr>
            </w:pPr>
            <w:r>
              <w:rPr>
                <w:spacing w:val="-5"/>
                <w:sz w:val="16"/>
              </w:rPr>
              <w:t>448</w:t>
            </w:r>
          </w:p>
        </w:tc>
        <w:tc>
          <w:tcPr>
            <w:tcW w:w="1305" w:type="dxa"/>
            <w:gridSpan w:val="2"/>
            <w:shd w:val="clear" w:color="auto" w:fill="D8D8D8"/>
          </w:tcPr>
          <w:p>
            <w:pPr>
              <w:pStyle w:val="TableParagraph"/>
              <w:spacing w:before="28"/>
              <w:ind w:left="796"/>
              <w:rPr>
                <w:sz w:val="16"/>
              </w:rPr>
            </w:pPr>
            <w:r>
              <w:rPr>
                <w:spacing w:val="-2"/>
                <w:sz w:val="16"/>
              </w:rPr>
              <w:t>1,555</w:t>
            </w:r>
          </w:p>
        </w:tc>
        <w:tc>
          <w:tcPr>
            <w:tcW w:w="1347" w:type="dxa"/>
            <w:shd w:val="clear" w:color="auto" w:fill="D8D8D8"/>
          </w:tcPr>
          <w:p>
            <w:pPr>
              <w:pStyle w:val="TableParagraph"/>
              <w:spacing w:before="28"/>
              <w:ind w:left="855"/>
              <w:rPr>
                <w:sz w:val="16"/>
              </w:rPr>
            </w:pPr>
            <w:r>
              <w:rPr>
                <w:spacing w:val="-4"/>
                <w:sz w:val="16"/>
              </w:rPr>
              <w:t>0.64</w:t>
            </w:r>
          </w:p>
        </w:tc>
      </w:tr>
      <w:tr>
        <w:trPr>
          <w:trHeight w:val="215" w:hRule="atLeast"/>
        </w:trPr>
        <w:tc>
          <w:tcPr>
            <w:tcW w:w="2560" w:type="dxa"/>
          </w:tcPr>
          <w:p>
            <w:pPr>
              <w:pStyle w:val="TableParagraph"/>
              <w:spacing w:line="176" w:lineRule="exact" w:before="19"/>
              <w:ind w:left="52"/>
              <w:rPr>
                <w:sz w:val="16"/>
              </w:rPr>
            </w:pPr>
            <w:r>
              <w:rPr>
                <w:sz w:val="16"/>
              </w:rPr>
              <w:t>Ecuador</w:t>
            </w:r>
            <w:r>
              <w:rPr>
                <w:spacing w:val="-5"/>
                <w:sz w:val="16"/>
              </w:rPr>
              <w:t> </w:t>
            </w:r>
            <w:r>
              <w:rPr>
                <w:spacing w:val="-10"/>
                <w:sz w:val="16"/>
                <w:vertAlign w:val="superscript"/>
              </w:rPr>
              <w:t>a</w:t>
            </w:r>
          </w:p>
        </w:tc>
        <w:tc>
          <w:tcPr>
            <w:tcW w:w="1580" w:type="dxa"/>
            <w:gridSpan w:val="2"/>
          </w:tcPr>
          <w:p>
            <w:pPr>
              <w:pStyle w:val="TableParagraph"/>
              <w:spacing w:line="176" w:lineRule="exact" w:before="19"/>
              <w:ind w:left="1052"/>
              <w:rPr>
                <w:sz w:val="16"/>
              </w:rPr>
            </w:pPr>
            <w:r>
              <w:rPr>
                <w:spacing w:val="-2"/>
                <w:sz w:val="16"/>
              </w:rPr>
              <w:t>5,538</w:t>
            </w:r>
          </w:p>
        </w:tc>
        <w:tc>
          <w:tcPr>
            <w:tcW w:w="1221" w:type="dxa"/>
            <w:gridSpan w:val="2"/>
          </w:tcPr>
          <w:p>
            <w:pPr>
              <w:pStyle w:val="TableParagraph"/>
              <w:spacing w:line="176" w:lineRule="exact" w:before="19"/>
              <w:ind w:right="87"/>
              <w:jc w:val="right"/>
              <w:rPr>
                <w:sz w:val="16"/>
              </w:rPr>
            </w:pPr>
            <w:r>
              <w:rPr>
                <w:spacing w:val="-5"/>
                <w:sz w:val="16"/>
              </w:rPr>
              <w:t>450</w:t>
            </w:r>
          </w:p>
        </w:tc>
        <w:tc>
          <w:tcPr>
            <w:tcW w:w="1235" w:type="dxa"/>
            <w:gridSpan w:val="2"/>
          </w:tcPr>
          <w:p>
            <w:pPr>
              <w:pStyle w:val="TableParagraph"/>
              <w:spacing w:line="176" w:lineRule="exact" w:before="19"/>
              <w:ind w:right="62"/>
              <w:jc w:val="right"/>
              <w:rPr>
                <w:sz w:val="16"/>
              </w:rPr>
            </w:pPr>
            <w:r>
              <w:rPr>
                <w:spacing w:val="-5"/>
                <w:sz w:val="16"/>
              </w:rPr>
              <w:t>652</w:t>
            </w:r>
          </w:p>
        </w:tc>
        <w:tc>
          <w:tcPr>
            <w:tcW w:w="1305" w:type="dxa"/>
            <w:gridSpan w:val="2"/>
          </w:tcPr>
          <w:p>
            <w:pPr>
              <w:pStyle w:val="TableParagraph"/>
              <w:spacing w:line="176" w:lineRule="exact" w:before="19"/>
              <w:ind w:left="796"/>
              <w:rPr>
                <w:sz w:val="16"/>
              </w:rPr>
            </w:pPr>
            <w:r>
              <w:rPr>
                <w:spacing w:val="-2"/>
                <w:sz w:val="16"/>
              </w:rPr>
              <w:t>4,436</w:t>
            </w:r>
          </w:p>
        </w:tc>
        <w:tc>
          <w:tcPr>
            <w:tcW w:w="1347" w:type="dxa"/>
          </w:tcPr>
          <w:p>
            <w:pPr>
              <w:pStyle w:val="TableParagraph"/>
              <w:spacing w:line="176" w:lineRule="exact" w:before="19"/>
              <w:ind w:left="855"/>
              <w:rPr>
                <w:sz w:val="16"/>
              </w:rPr>
            </w:pPr>
            <w:r>
              <w:rPr>
                <w:spacing w:val="-4"/>
                <w:sz w:val="16"/>
              </w:rPr>
              <w:t>1.82</w:t>
            </w:r>
          </w:p>
        </w:tc>
      </w:tr>
      <w:tr>
        <w:trPr>
          <w:trHeight w:val="235" w:hRule="atLeast"/>
        </w:trPr>
        <w:tc>
          <w:tcPr>
            <w:tcW w:w="2560" w:type="dxa"/>
          </w:tcPr>
          <w:p>
            <w:pPr>
              <w:pStyle w:val="TableParagraph"/>
              <w:spacing w:before="28"/>
              <w:ind w:left="52"/>
              <w:rPr>
                <w:sz w:val="16"/>
              </w:rPr>
            </w:pPr>
            <w:r>
              <w:rPr>
                <w:sz w:val="16"/>
              </w:rPr>
              <w:t>Egypt,</w:t>
            </w:r>
            <w:r>
              <w:rPr>
                <w:spacing w:val="-12"/>
                <w:sz w:val="16"/>
              </w:rPr>
              <w:t> </w:t>
            </w:r>
            <w:r>
              <w:rPr>
                <w:sz w:val="16"/>
              </w:rPr>
              <w:t>Arab</w:t>
            </w:r>
            <w:r>
              <w:rPr>
                <w:spacing w:val="-4"/>
                <w:sz w:val="16"/>
              </w:rPr>
              <w:t> </w:t>
            </w:r>
            <w:r>
              <w:rPr>
                <w:sz w:val="16"/>
              </w:rPr>
              <w:t>Republic</w:t>
            </w:r>
            <w:r>
              <w:rPr>
                <w:spacing w:val="-3"/>
                <w:sz w:val="16"/>
              </w:rPr>
              <w:t> </w:t>
            </w:r>
            <w:r>
              <w:rPr>
                <w:sz w:val="16"/>
              </w:rPr>
              <w:t>of</w:t>
            </w:r>
            <w:r>
              <w:rPr>
                <w:spacing w:val="-4"/>
                <w:sz w:val="16"/>
              </w:rPr>
              <w:t> </w:t>
            </w:r>
            <w:r>
              <w:rPr>
                <w:spacing w:val="-10"/>
                <w:sz w:val="16"/>
                <w:vertAlign w:val="superscript"/>
              </w:rPr>
              <w:t>b</w:t>
            </w:r>
          </w:p>
        </w:tc>
        <w:tc>
          <w:tcPr>
            <w:tcW w:w="1580" w:type="dxa"/>
            <w:gridSpan w:val="2"/>
          </w:tcPr>
          <w:p>
            <w:pPr>
              <w:pStyle w:val="TableParagraph"/>
              <w:spacing w:before="28"/>
              <w:ind w:left="963"/>
              <w:rPr>
                <w:sz w:val="16"/>
              </w:rPr>
            </w:pPr>
            <w:r>
              <w:rPr>
                <w:spacing w:val="-2"/>
                <w:sz w:val="16"/>
              </w:rPr>
              <w:t>15,111</w:t>
            </w:r>
          </w:p>
        </w:tc>
        <w:tc>
          <w:tcPr>
            <w:tcW w:w="1221" w:type="dxa"/>
            <w:gridSpan w:val="2"/>
          </w:tcPr>
          <w:p>
            <w:pPr>
              <w:pStyle w:val="TableParagraph"/>
              <w:spacing w:before="28"/>
              <w:ind w:right="87"/>
              <w:jc w:val="right"/>
              <w:rPr>
                <w:sz w:val="16"/>
              </w:rPr>
            </w:pPr>
            <w:r>
              <w:rPr>
                <w:sz w:val="16"/>
              </w:rPr>
              <w:t>—</w:t>
            </w:r>
          </w:p>
        </w:tc>
        <w:tc>
          <w:tcPr>
            <w:tcW w:w="1235" w:type="dxa"/>
            <w:gridSpan w:val="2"/>
          </w:tcPr>
          <w:p>
            <w:pPr>
              <w:pStyle w:val="TableParagraph"/>
              <w:spacing w:before="28"/>
              <w:ind w:left="771"/>
              <w:rPr>
                <w:sz w:val="16"/>
              </w:rPr>
            </w:pPr>
            <w:r>
              <w:rPr>
                <w:spacing w:val="-2"/>
                <w:sz w:val="16"/>
              </w:rPr>
              <w:t>2,795</w:t>
            </w:r>
          </w:p>
        </w:tc>
        <w:tc>
          <w:tcPr>
            <w:tcW w:w="1305" w:type="dxa"/>
            <w:gridSpan w:val="2"/>
          </w:tcPr>
          <w:p>
            <w:pPr>
              <w:pStyle w:val="TableParagraph"/>
              <w:spacing w:before="28"/>
              <w:ind w:left="707"/>
              <w:rPr>
                <w:sz w:val="16"/>
              </w:rPr>
            </w:pPr>
            <w:r>
              <w:rPr>
                <w:spacing w:val="-2"/>
                <w:sz w:val="16"/>
              </w:rPr>
              <w:t>12,316</w:t>
            </w:r>
          </w:p>
        </w:tc>
        <w:tc>
          <w:tcPr>
            <w:tcW w:w="1347" w:type="dxa"/>
          </w:tcPr>
          <w:p>
            <w:pPr>
              <w:pStyle w:val="TableParagraph"/>
              <w:spacing w:before="28"/>
              <w:ind w:left="855"/>
              <w:rPr>
                <w:sz w:val="16"/>
              </w:rPr>
            </w:pPr>
            <w:r>
              <w:rPr>
                <w:spacing w:val="-4"/>
                <w:sz w:val="16"/>
              </w:rPr>
              <w:t>5.05</w:t>
            </w:r>
          </w:p>
        </w:tc>
      </w:tr>
      <w:tr>
        <w:trPr>
          <w:trHeight w:val="225" w:hRule="atLeast"/>
        </w:trPr>
        <w:tc>
          <w:tcPr>
            <w:tcW w:w="2560" w:type="dxa"/>
          </w:tcPr>
          <w:p>
            <w:pPr>
              <w:pStyle w:val="TableParagraph"/>
              <w:spacing w:before="18"/>
              <w:ind w:left="52"/>
              <w:rPr>
                <w:sz w:val="16"/>
              </w:rPr>
            </w:pPr>
            <w:r>
              <w:rPr>
                <w:sz w:val="16"/>
              </w:rPr>
              <w:t>El </w:t>
            </w:r>
            <w:r>
              <w:rPr>
                <w:spacing w:val="-2"/>
                <w:sz w:val="16"/>
              </w:rPr>
              <w:t>Salvador</w:t>
            </w:r>
          </w:p>
        </w:tc>
        <w:tc>
          <w:tcPr>
            <w:tcW w:w="1580" w:type="dxa"/>
            <w:gridSpan w:val="2"/>
          </w:tcPr>
          <w:p>
            <w:pPr>
              <w:pStyle w:val="TableParagraph"/>
              <w:spacing w:before="18"/>
              <w:ind w:left="1052"/>
              <w:rPr>
                <w:sz w:val="16"/>
              </w:rPr>
            </w:pPr>
            <w:r>
              <w:rPr>
                <w:spacing w:val="-2"/>
                <w:sz w:val="16"/>
              </w:rPr>
              <w:t>1,642</w:t>
            </w:r>
          </w:p>
        </w:tc>
        <w:tc>
          <w:tcPr>
            <w:tcW w:w="1221" w:type="dxa"/>
            <w:gridSpan w:val="2"/>
          </w:tcPr>
          <w:p>
            <w:pPr>
              <w:pStyle w:val="TableParagraph"/>
              <w:spacing w:before="18"/>
              <w:ind w:right="87"/>
              <w:jc w:val="right"/>
              <w:rPr>
                <w:sz w:val="16"/>
              </w:rPr>
            </w:pPr>
            <w:r>
              <w:rPr>
                <w:spacing w:val="-5"/>
                <w:sz w:val="16"/>
              </w:rPr>
              <w:t>100</w:t>
            </w:r>
          </w:p>
        </w:tc>
        <w:tc>
          <w:tcPr>
            <w:tcW w:w="1235" w:type="dxa"/>
            <w:gridSpan w:val="2"/>
          </w:tcPr>
          <w:p>
            <w:pPr>
              <w:pStyle w:val="TableParagraph"/>
              <w:spacing w:before="18"/>
              <w:ind w:right="62"/>
              <w:jc w:val="right"/>
              <w:rPr>
                <w:sz w:val="16"/>
              </w:rPr>
            </w:pPr>
            <w:r>
              <w:rPr>
                <w:spacing w:val="-5"/>
                <w:sz w:val="16"/>
              </w:rPr>
              <w:t>663</w:t>
            </w:r>
          </w:p>
        </w:tc>
        <w:tc>
          <w:tcPr>
            <w:tcW w:w="1305" w:type="dxa"/>
            <w:gridSpan w:val="2"/>
          </w:tcPr>
          <w:p>
            <w:pPr>
              <w:pStyle w:val="TableParagraph"/>
              <w:spacing w:before="18"/>
              <w:ind w:right="107"/>
              <w:jc w:val="right"/>
              <w:rPr>
                <w:sz w:val="16"/>
              </w:rPr>
            </w:pPr>
            <w:r>
              <w:rPr>
                <w:spacing w:val="-5"/>
                <w:sz w:val="16"/>
              </w:rPr>
              <w:t>879</w:t>
            </w:r>
          </w:p>
        </w:tc>
        <w:tc>
          <w:tcPr>
            <w:tcW w:w="1347" w:type="dxa"/>
          </w:tcPr>
          <w:p>
            <w:pPr>
              <w:pStyle w:val="TableParagraph"/>
              <w:spacing w:before="18"/>
              <w:ind w:left="855"/>
              <w:rPr>
                <w:sz w:val="16"/>
              </w:rPr>
            </w:pPr>
            <w:r>
              <w:rPr>
                <w:spacing w:val="-4"/>
                <w:sz w:val="16"/>
              </w:rPr>
              <w:t>0.36</w:t>
            </w:r>
          </w:p>
        </w:tc>
      </w:tr>
      <w:tr>
        <w:trPr>
          <w:trHeight w:val="225" w:hRule="atLeast"/>
        </w:trPr>
        <w:tc>
          <w:tcPr>
            <w:tcW w:w="2560" w:type="dxa"/>
          </w:tcPr>
          <w:p>
            <w:pPr>
              <w:pStyle w:val="TableParagraph"/>
              <w:spacing w:before="18"/>
              <w:ind w:left="52"/>
              <w:rPr>
                <w:sz w:val="16"/>
              </w:rPr>
            </w:pPr>
            <w:r>
              <w:rPr>
                <w:spacing w:val="-2"/>
                <w:sz w:val="16"/>
              </w:rPr>
              <w:t>Eswatini</w:t>
            </w:r>
          </w:p>
        </w:tc>
        <w:tc>
          <w:tcPr>
            <w:tcW w:w="1580" w:type="dxa"/>
            <w:gridSpan w:val="2"/>
          </w:tcPr>
          <w:p>
            <w:pPr>
              <w:pStyle w:val="TableParagraph"/>
              <w:spacing w:before="18"/>
              <w:ind w:right="126"/>
              <w:jc w:val="right"/>
              <w:rPr>
                <w:sz w:val="16"/>
              </w:rPr>
            </w:pPr>
            <w:r>
              <w:rPr>
                <w:spacing w:val="-5"/>
                <w:sz w:val="16"/>
              </w:rPr>
              <w:t>281</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pacing w:val="-5"/>
                <w:sz w:val="16"/>
              </w:rPr>
              <w:t>99</w:t>
            </w:r>
          </w:p>
        </w:tc>
        <w:tc>
          <w:tcPr>
            <w:tcW w:w="1305" w:type="dxa"/>
            <w:gridSpan w:val="2"/>
          </w:tcPr>
          <w:p>
            <w:pPr>
              <w:pStyle w:val="TableParagraph"/>
              <w:spacing w:before="18"/>
              <w:ind w:right="107"/>
              <w:jc w:val="right"/>
              <w:rPr>
                <w:sz w:val="16"/>
              </w:rPr>
            </w:pPr>
            <w:r>
              <w:rPr>
                <w:spacing w:val="-5"/>
                <w:sz w:val="16"/>
              </w:rPr>
              <w:t>182</w:t>
            </w:r>
          </w:p>
        </w:tc>
        <w:tc>
          <w:tcPr>
            <w:tcW w:w="1347" w:type="dxa"/>
          </w:tcPr>
          <w:p>
            <w:pPr>
              <w:pStyle w:val="TableParagraph"/>
              <w:spacing w:before="18"/>
              <w:ind w:left="855"/>
              <w:rPr>
                <w:sz w:val="16"/>
              </w:rPr>
            </w:pPr>
            <w:r>
              <w:rPr>
                <w:spacing w:val="-4"/>
                <w:sz w:val="16"/>
              </w:rPr>
              <w:t>0.07</w:t>
            </w:r>
          </w:p>
        </w:tc>
      </w:tr>
      <w:tr>
        <w:trPr>
          <w:trHeight w:val="223" w:hRule="atLeast"/>
        </w:trPr>
        <w:tc>
          <w:tcPr>
            <w:tcW w:w="2560" w:type="dxa"/>
          </w:tcPr>
          <w:p>
            <w:pPr>
              <w:pStyle w:val="TableParagraph"/>
              <w:spacing w:before="18"/>
              <w:ind w:left="52"/>
              <w:rPr>
                <w:sz w:val="16"/>
              </w:rPr>
            </w:pPr>
            <w:r>
              <w:rPr>
                <w:spacing w:val="-4"/>
                <w:sz w:val="16"/>
              </w:rPr>
              <w:t>Fiji</w:t>
            </w:r>
          </w:p>
        </w:tc>
        <w:tc>
          <w:tcPr>
            <w:tcW w:w="1580" w:type="dxa"/>
            <w:gridSpan w:val="2"/>
          </w:tcPr>
          <w:p>
            <w:pPr>
              <w:pStyle w:val="TableParagraph"/>
              <w:spacing w:before="18"/>
              <w:ind w:right="126"/>
              <w:jc w:val="right"/>
              <w:rPr>
                <w:sz w:val="16"/>
              </w:rPr>
            </w:pPr>
            <w:r>
              <w:rPr>
                <w:spacing w:val="-5"/>
                <w:sz w:val="16"/>
              </w:rPr>
              <w:t>195</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pacing w:val="-5"/>
                <w:sz w:val="16"/>
              </w:rPr>
              <w:t>13</w:t>
            </w:r>
          </w:p>
        </w:tc>
        <w:tc>
          <w:tcPr>
            <w:tcW w:w="1305" w:type="dxa"/>
            <w:gridSpan w:val="2"/>
          </w:tcPr>
          <w:p>
            <w:pPr>
              <w:pStyle w:val="TableParagraph"/>
              <w:spacing w:before="18"/>
              <w:ind w:right="107"/>
              <w:jc w:val="right"/>
              <w:rPr>
                <w:sz w:val="16"/>
              </w:rPr>
            </w:pPr>
            <w:r>
              <w:rPr>
                <w:spacing w:val="-5"/>
                <w:sz w:val="16"/>
              </w:rPr>
              <w:t>182</w:t>
            </w:r>
          </w:p>
        </w:tc>
        <w:tc>
          <w:tcPr>
            <w:tcW w:w="1347" w:type="dxa"/>
          </w:tcPr>
          <w:p>
            <w:pPr>
              <w:pStyle w:val="TableParagraph"/>
              <w:spacing w:before="18"/>
              <w:ind w:left="855"/>
              <w:rPr>
                <w:sz w:val="16"/>
              </w:rPr>
            </w:pPr>
            <w:r>
              <w:rPr>
                <w:spacing w:val="-4"/>
                <w:sz w:val="16"/>
              </w:rPr>
              <w:t>0.07</w:t>
            </w:r>
          </w:p>
        </w:tc>
      </w:tr>
      <w:tr>
        <w:trPr>
          <w:trHeight w:val="215" w:hRule="atLeast"/>
        </w:trPr>
        <w:tc>
          <w:tcPr>
            <w:tcW w:w="2560" w:type="dxa"/>
            <w:shd w:val="clear" w:color="auto" w:fill="D8D8D8"/>
          </w:tcPr>
          <w:p>
            <w:pPr>
              <w:pStyle w:val="TableParagraph"/>
              <w:spacing w:line="176" w:lineRule="exact" w:before="19"/>
              <w:ind w:left="52"/>
              <w:rPr>
                <w:sz w:val="16"/>
              </w:rPr>
            </w:pPr>
            <w:r>
              <w:rPr>
                <w:sz w:val="16"/>
              </w:rPr>
              <w:t>Gabon</w:t>
            </w:r>
            <w:r>
              <w:rPr>
                <w:spacing w:val="-4"/>
                <w:sz w:val="16"/>
              </w:rPr>
              <w:t> </w:t>
            </w:r>
            <w:r>
              <w:rPr>
                <w:spacing w:val="-10"/>
                <w:sz w:val="16"/>
                <w:vertAlign w:val="superscript"/>
              </w:rPr>
              <w:t>a</w:t>
            </w:r>
          </w:p>
        </w:tc>
        <w:tc>
          <w:tcPr>
            <w:tcW w:w="1580" w:type="dxa"/>
            <w:gridSpan w:val="2"/>
            <w:shd w:val="clear" w:color="auto" w:fill="D8D8D8"/>
          </w:tcPr>
          <w:p>
            <w:pPr>
              <w:pStyle w:val="TableParagraph"/>
              <w:spacing w:line="176" w:lineRule="exact" w:before="19"/>
              <w:ind w:right="126"/>
              <w:jc w:val="right"/>
              <w:rPr>
                <w:sz w:val="16"/>
              </w:rPr>
            </w:pPr>
            <w:r>
              <w:rPr>
                <w:spacing w:val="-5"/>
                <w:sz w:val="16"/>
              </w:rPr>
              <w:t>769</w:t>
            </w:r>
          </w:p>
        </w:tc>
        <w:tc>
          <w:tcPr>
            <w:tcW w:w="1221" w:type="dxa"/>
            <w:gridSpan w:val="2"/>
            <w:shd w:val="clear" w:color="auto" w:fill="D8D8D8"/>
          </w:tcPr>
          <w:p>
            <w:pPr>
              <w:pStyle w:val="TableParagraph"/>
              <w:spacing w:line="176" w:lineRule="exact" w:before="19"/>
              <w:ind w:right="87"/>
              <w:jc w:val="right"/>
              <w:rPr>
                <w:sz w:val="16"/>
              </w:rPr>
            </w:pPr>
            <w:r>
              <w:rPr>
                <w:spacing w:val="-5"/>
                <w:sz w:val="16"/>
              </w:rPr>
              <w:t>61</w:t>
            </w:r>
          </w:p>
        </w:tc>
        <w:tc>
          <w:tcPr>
            <w:tcW w:w="1235" w:type="dxa"/>
            <w:gridSpan w:val="2"/>
            <w:shd w:val="clear" w:color="auto" w:fill="D8D8D8"/>
          </w:tcPr>
          <w:p>
            <w:pPr>
              <w:pStyle w:val="TableParagraph"/>
              <w:spacing w:line="176" w:lineRule="exact" w:before="19"/>
              <w:ind w:right="62"/>
              <w:jc w:val="right"/>
              <w:rPr>
                <w:sz w:val="16"/>
              </w:rPr>
            </w:pPr>
            <w:r>
              <w:rPr>
                <w:spacing w:val="-5"/>
                <w:sz w:val="16"/>
              </w:rPr>
              <w:t>49</w:t>
            </w:r>
          </w:p>
        </w:tc>
        <w:tc>
          <w:tcPr>
            <w:tcW w:w="1305" w:type="dxa"/>
            <w:gridSpan w:val="2"/>
            <w:shd w:val="clear" w:color="auto" w:fill="D8D8D8"/>
          </w:tcPr>
          <w:p>
            <w:pPr>
              <w:pStyle w:val="TableParagraph"/>
              <w:spacing w:line="176" w:lineRule="exact" w:before="19"/>
              <w:ind w:right="107"/>
              <w:jc w:val="right"/>
              <w:rPr>
                <w:sz w:val="16"/>
              </w:rPr>
            </w:pPr>
            <w:r>
              <w:rPr>
                <w:spacing w:val="-5"/>
                <w:sz w:val="16"/>
              </w:rPr>
              <w:t>659</w:t>
            </w:r>
          </w:p>
        </w:tc>
        <w:tc>
          <w:tcPr>
            <w:tcW w:w="1347" w:type="dxa"/>
            <w:shd w:val="clear" w:color="auto" w:fill="D8D8D8"/>
          </w:tcPr>
          <w:p>
            <w:pPr>
              <w:pStyle w:val="TableParagraph"/>
              <w:spacing w:line="176" w:lineRule="exact" w:before="19"/>
              <w:ind w:left="855"/>
              <w:rPr>
                <w:sz w:val="16"/>
              </w:rPr>
            </w:pPr>
            <w:r>
              <w:rPr>
                <w:spacing w:val="-4"/>
                <w:sz w:val="16"/>
              </w:rPr>
              <w:t>0.27</w:t>
            </w:r>
          </w:p>
        </w:tc>
      </w:tr>
      <w:tr>
        <w:trPr>
          <w:trHeight w:val="235" w:hRule="atLeast"/>
        </w:trPr>
        <w:tc>
          <w:tcPr>
            <w:tcW w:w="2560" w:type="dxa"/>
            <w:shd w:val="clear" w:color="auto" w:fill="D8D8D8"/>
          </w:tcPr>
          <w:p>
            <w:pPr>
              <w:pStyle w:val="TableParagraph"/>
              <w:spacing w:before="28"/>
              <w:ind w:left="52"/>
              <w:rPr>
                <w:sz w:val="16"/>
              </w:rPr>
            </w:pPr>
            <w:r>
              <w:rPr>
                <w:sz w:val="16"/>
              </w:rPr>
              <w:t>Georgia</w:t>
            </w:r>
            <w:r>
              <w:rPr>
                <w:spacing w:val="-5"/>
                <w:sz w:val="16"/>
              </w:rPr>
              <w:t> </w:t>
            </w:r>
            <w:r>
              <w:rPr>
                <w:spacing w:val="-10"/>
                <w:sz w:val="16"/>
                <w:vertAlign w:val="superscript"/>
              </w:rPr>
              <w:t>b</w:t>
            </w:r>
          </w:p>
        </w:tc>
        <w:tc>
          <w:tcPr>
            <w:tcW w:w="1580" w:type="dxa"/>
            <w:gridSpan w:val="2"/>
            <w:shd w:val="clear" w:color="auto" w:fill="D8D8D8"/>
          </w:tcPr>
          <w:p>
            <w:pPr>
              <w:pStyle w:val="TableParagraph"/>
              <w:spacing w:before="28"/>
              <w:ind w:left="1052"/>
              <w:rPr>
                <w:sz w:val="16"/>
              </w:rPr>
            </w:pPr>
            <w:r>
              <w:rPr>
                <w:spacing w:val="-2"/>
                <w:sz w:val="16"/>
              </w:rPr>
              <w:t>2,278</w:t>
            </w:r>
          </w:p>
        </w:tc>
        <w:tc>
          <w:tcPr>
            <w:tcW w:w="1221" w:type="dxa"/>
            <w:gridSpan w:val="2"/>
            <w:shd w:val="clear" w:color="auto" w:fill="D8D8D8"/>
          </w:tcPr>
          <w:p>
            <w:pPr>
              <w:pStyle w:val="TableParagraph"/>
              <w:spacing w:before="28"/>
              <w:ind w:right="87"/>
              <w:jc w:val="right"/>
              <w:rPr>
                <w:sz w:val="16"/>
              </w:rPr>
            </w:pPr>
            <w:r>
              <w:rPr>
                <w:sz w:val="16"/>
              </w:rPr>
              <w:t>—</w:t>
            </w:r>
          </w:p>
        </w:tc>
        <w:tc>
          <w:tcPr>
            <w:tcW w:w="1235" w:type="dxa"/>
            <w:gridSpan w:val="2"/>
            <w:shd w:val="clear" w:color="auto" w:fill="D8D8D8"/>
          </w:tcPr>
          <w:p>
            <w:pPr>
              <w:pStyle w:val="TableParagraph"/>
              <w:spacing w:before="28"/>
              <w:ind w:right="62"/>
              <w:jc w:val="right"/>
              <w:rPr>
                <w:sz w:val="16"/>
              </w:rPr>
            </w:pPr>
            <w:r>
              <w:rPr>
                <w:spacing w:val="-5"/>
                <w:sz w:val="16"/>
              </w:rPr>
              <w:t>903</w:t>
            </w:r>
          </w:p>
        </w:tc>
        <w:tc>
          <w:tcPr>
            <w:tcW w:w="1305" w:type="dxa"/>
            <w:gridSpan w:val="2"/>
            <w:shd w:val="clear" w:color="auto" w:fill="D8D8D8"/>
          </w:tcPr>
          <w:p>
            <w:pPr>
              <w:pStyle w:val="TableParagraph"/>
              <w:spacing w:before="28"/>
              <w:ind w:left="796"/>
              <w:rPr>
                <w:sz w:val="16"/>
              </w:rPr>
            </w:pPr>
            <w:r>
              <w:rPr>
                <w:spacing w:val="-2"/>
                <w:sz w:val="16"/>
              </w:rPr>
              <w:t>1,375</w:t>
            </w:r>
          </w:p>
        </w:tc>
        <w:tc>
          <w:tcPr>
            <w:tcW w:w="1347" w:type="dxa"/>
            <w:shd w:val="clear" w:color="auto" w:fill="D8D8D8"/>
          </w:tcPr>
          <w:p>
            <w:pPr>
              <w:pStyle w:val="TableParagraph"/>
              <w:spacing w:before="28"/>
              <w:ind w:left="855"/>
              <w:rPr>
                <w:sz w:val="16"/>
              </w:rPr>
            </w:pPr>
            <w:r>
              <w:rPr>
                <w:spacing w:val="-4"/>
                <w:sz w:val="16"/>
              </w:rPr>
              <w:t>0.56</w:t>
            </w:r>
          </w:p>
        </w:tc>
      </w:tr>
      <w:tr>
        <w:trPr>
          <w:trHeight w:val="225" w:hRule="atLeast"/>
        </w:trPr>
        <w:tc>
          <w:tcPr>
            <w:tcW w:w="2560" w:type="dxa"/>
            <w:shd w:val="clear" w:color="auto" w:fill="D8D8D8"/>
          </w:tcPr>
          <w:p>
            <w:pPr>
              <w:pStyle w:val="TableParagraph"/>
              <w:spacing w:before="18"/>
              <w:ind w:left="52"/>
              <w:rPr>
                <w:sz w:val="16"/>
              </w:rPr>
            </w:pPr>
            <w:r>
              <w:rPr>
                <w:spacing w:val="-2"/>
                <w:sz w:val="16"/>
              </w:rPr>
              <w:t>Grenada</w:t>
            </w:r>
          </w:p>
        </w:tc>
        <w:tc>
          <w:tcPr>
            <w:tcW w:w="1580" w:type="dxa"/>
            <w:gridSpan w:val="2"/>
            <w:shd w:val="clear" w:color="auto" w:fill="D8D8D8"/>
          </w:tcPr>
          <w:p>
            <w:pPr>
              <w:pStyle w:val="TableParagraph"/>
              <w:spacing w:before="18"/>
              <w:ind w:right="126"/>
              <w:jc w:val="right"/>
              <w:rPr>
                <w:sz w:val="16"/>
              </w:rPr>
            </w:pPr>
            <w:r>
              <w:rPr>
                <w:spacing w:val="-5"/>
                <w:sz w:val="16"/>
              </w:rPr>
              <w:t>15</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pacing w:val="-10"/>
                <w:sz w:val="16"/>
              </w:rPr>
              <w:t>2</w:t>
            </w:r>
          </w:p>
        </w:tc>
        <w:tc>
          <w:tcPr>
            <w:tcW w:w="1305" w:type="dxa"/>
            <w:gridSpan w:val="2"/>
            <w:shd w:val="clear" w:color="auto" w:fill="D8D8D8"/>
          </w:tcPr>
          <w:p>
            <w:pPr>
              <w:pStyle w:val="TableParagraph"/>
              <w:spacing w:before="18"/>
              <w:ind w:right="107"/>
              <w:jc w:val="right"/>
              <w:rPr>
                <w:sz w:val="16"/>
              </w:rPr>
            </w:pPr>
            <w:r>
              <w:rPr>
                <w:spacing w:val="-5"/>
                <w:sz w:val="16"/>
              </w:rPr>
              <w:t>13</w:t>
            </w:r>
          </w:p>
        </w:tc>
        <w:tc>
          <w:tcPr>
            <w:tcW w:w="1347" w:type="dxa"/>
            <w:shd w:val="clear" w:color="auto" w:fill="D8D8D8"/>
          </w:tcPr>
          <w:p>
            <w:pPr>
              <w:pStyle w:val="TableParagraph"/>
              <w:spacing w:before="18"/>
              <w:ind w:left="855"/>
              <w:rPr>
                <w:sz w:val="16"/>
              </w:rPr>
            </w:pPr>
            <w:r>
              <w:rPr>
                <w:spacing w:val="-4"/>
                <w:sz w:val="16"/>
              </w:rPr>
              <w:t>0.01</w:t>
            </w:r>
          </w:p>
        </w:tc>
      </w:tr>
      <w:tr>
        <w:trPr>
          <w:trHeight w:val="214" w:hRule="atLeast"/>
        </w:trPr>
        <w:tc>
          <w:tcPr>
            <w:tcW w:w="2560" w:type="dxa"/>
            <w:shd w:val="clear" w:color="auto" w:fill="D8D8D8"/>
          </w:tcPr>
          <w:p>
            <w:pPr>
              <w:pStyle w:val="TableParagraph"/>
              <w:spacing w:line="176" w:lineRule="exact" w:before="18"/>
              <w:ind w:left="52"/>
              <w:rPr>
                <w:sz w:val="16"/>
              </w:rPr>
            </w:pPr>
            <w:r>
              <w:rPr>
                <w:spacing w:val="-2"/>
                <w:sz w:val="16"/>
              </w:rPr>
              <w:t>Guatemala</w:t>
            </w:r>
          </w:p>
        </w:tc>
        <w:tc>
          <w:tcPr>
            <w:tcW w:w="1580" w:type="dxa"/>
            <w:gridSpan w:val="2"/>
            <w:shd w:val="clear" w:color="auto" w:fill="D8D8D8"/>
          </w:tcPr>
          <w:p>
            <w:pPr>
              <w:pStyle w:val="TableParagraph"/>
              <w:spacing w:line="176" w:lineRule="exact" w:before="18"/>
              <w:ind w:left="1052"/>
              <w:rPr>
                <w:sz w:val="16"/>
              </w:rPr>
            </w:pPr>
            <w:r>
              <w:rPr>
                <w:spacing w:val="-2"/>
                <w:sz w:val="16"/>
              </w:rPr>
              <w:t>2,558</w:t>
            </w:r>
          </w:p>
        </w:tc>
        <w:tc>
          <w:tcPr>
            <w:tcW w:w="1221" w:type="dxa"/>
            <w:gridSpan w:val="2"/>
            <w:shd w:val="clear" w:color="auto" w:fill="D8D8D8"/>
          </w:tcPr>
          <w:p>
            <w:pPr>
              <w:pStyle w:val="TableParagraph"/>
              <w:spacing w:line="176" w:lineRule="exact" w:before="18"/>
              <w:ind w:right="87"/>
              <w:jc w:val="right"/>
              <w:rPr>
                <w:sz w:val="16"/>
              </w:rPr>
            </w:pPr>
            <w:r>
              <w:rPr>
                <w:spacing w:val="-5"/>
                <w:sz w:val="16"/>
              </w:rPr>
              <w:t>400</w:t>
            </w:r>
          </w:p>
        </w:tc>
        <w:tc>
          <w:tcPr>
            <w:tcW w:w="1235" w:type="dxa"/>
            <w:gridSpan w:val="2"/>
            <w:shd w:val="clear" w:color="auto" w:fill="D8D8D8"/>
          </w:tcPr>
          <w:p>
            <w:pPr>
              <w:pStyle w:val="TableParagraph"/>
              <w:spacing w:line="176" w:lineRule="exact" w:before="18"/>
              <w:ind w:right="62"/>
              <w:jc w:val="right"/>
              <w:rPr>
                <w:sz w:val="16"/>
              </w:rPr>
            </w:pPr>
            <w:r>
              <w:rPr>
                <w:spacing w:val="-5"/>
                <w:sz w:val="16"/>
              </w:rPr>
              <w:t>73</w:t>
            </w:r>
          </w:p>
        </w:tc>
        <w:tc>
          <w:tcPr>
            <w:tcW w:w="1305" w:type="dxa"/>
            <w:gridSpan w:val="2"/>
            <w:shd w:val="clear" w:color="auto" w:fill="D8D8D8"/>
          </w:tcPr>
          <w:p>
            <w:pPr>
              <w:pStyle w:val="TableParagraph"/>
              <w:spacing w:line="176" w:lineRule="exact" w:before="18"/>
              <w:ind w:left="796"/>
              <w:rPr>
                <w:sz w:val="16"/>
              </w:rPr>
            </w:pPr>
            <w:r>
              <w:rPr>
                <w:spacing w:val="-2"/>
                <w:sz w:val="16"/>
              </w:rPr>
              <w:t>2,085</w:t>
            </w:r>
          </w:p>
        </w:tc>
        <w:tc>
          <w:tcPr>
            <w:tcW w:w="1347" w:type="dxa"/>
            <w:shd w:val="clear" w:color="auto" w:fill="D8D8D8"/>
          </w:tcPr>
          <w:p>
            <w:pPr>
              <w:pStyle w:val="TableParagraph"/>
              <w:spacing w:line="176" w:lineRule="exact" w:before="18"/>
              <w:ind w:left="855"/>
              <w:rPr>
                <w:sz w:val="16"/>
              </w:rPr>
            </w:pPr>
            <w:r>
              <w:rPr>
                <w:spacing w:val="-4"/>
                <w:sz w:val="16"/>
              </w:rPr>
              <w:t>0.85</w:t>
            </w:r>
          </w:p>
        </w:tc>
      </w:tr>
      <w:tr>
        <w:trPr>
          <w:trHeight w:val="234" w:hRule="atLeast"/>
        </w:trPr>
        <w:tc>
          <w:tcPr>
            <w:tcW w:w="2560" w:type="dxa"/>
            <w:shd w:val="clear" w:color="auto" w:fill="D8D8D8"/>
          </w:tcPr>
          <w:p>
            <w:pPr>
              <w:pStyle w:val="TableParagraph"/>
              <w:spacing w:before="28"/>
              <w:ind w:left="52"/>
              <w:rPr>
                <w:sz w:val="16"/>
              </w:rPr>
            </w:pPr>
            <w:r>
              <w:rPr>
                <w:sz w:val="16"/>
              </w:rPr>
              <w:t>India</w:t>
            </w:r>
            <w:r>
              <w:rPr>
                <w:spacing w:val="-4"/>
                <w:sz w:val="16"/>
              </w:rPr>
              <w:t> </w:t>
            </w:r>
            <w:r>
              <w:rPr>
                <w:spacing w:val="-10"/>
                <w:sz w:val="16"/>
                <w:vertAlign w:val="superscript"/>
              </w:rPr>
              <w:t>b</w:t>
            </w:r>
          </w:p>
        </w:tc>
        <w:tc>
          <w:tcPr>
            <w:tcW w:w="1580" w:type="dxa"/>
            <w:gridSpan w:val="2"/>
            <w:shd w:val="clear" w:color="auto" w:fill="D8D8D8"/>
          </w:tcPr>
          <w:p>
            <w:pPr>
              <w:pStyle w:val="TableParagraph"/>
              <w:spacing w:before="28"/>
              <w:ind w:left="963"/>
              <w:rPr>
                <w:sz w:val="16"/>
              </w:rPr>
            </w:pPr>
            <w:r>
              <w:rPr>
                <w:spacing w:val="-2"/>
                <w:sz w:val="16"/>
              </w:rPr>
              <w:t>34,277</w:t>
            </w:r>
          </w:p>
        </w:tc>
        <w:tc>
          <w:tcPr>
            <w:tcW w:w="1221" w:type="dxa"/>
            <w:gridSpan w:val="2"/>
            <w:shd w:val="clear" w:color="auto" w:fill="D8D8D8"/>
          </w:tcPr>
          <w:p>
            <w:pPr>
              <w:pStyle w:val="TableParagraph"/>
              <w:spacing w:before="28"/>
              <w:ind w:left="732"/>
              <w:rPr>
                <w:sz w:val="16"/>
              </w:rPr>
            </w:pPr>
            <w:r>
              <w:rPr>
                <w:spacing w:val="-2"/>
                <w:sz w:val="16"/>
              </w:rPr>
              <w:t>4,050</w:t>
            </w:r>
          </w:p>
        </w:tc>
        <w:tc>
          <w:tcPr>
            <w:tcW w:w="1235" w:type="dxa"/>
            <w:gridSpan w:val="2"/>
            <w:shd w:val="clear" w:color="auto" w:fill="D8D8D8"/>
          </w:tcPr>
          <w:p>
            <w:pPr>
              <w:pStyle w:val="TableParagraph"/>
              <w:spacing w:before="28"/>
              <w:ind w:left="771"/>
              <w:rPr>
                <w:sz w:val="16"/>
              </w:rPr>
            </w:pPr>
            <w:r>
              <w:rPr>
                <w:spacing w:val="-2"/>
                <w:sz w:val="16"/>
              </w:rPr>
              <w:t>9,687</w:t>
            </w:r>
          </w:p>
        </w:tc>
        <w:tc>
          <w:tcPr>
            <w:tcW w:w="1305" w:type="dxa"/>
            <w:gridSpan w:val="2"/>
            <w:shd w:val="clear" w:color="auto" w:fill="D8D8D8"/>
          </w:tcPr>
          <w:p>
            <w:pPr>
              <w:pStyle w:val="TableParagraph"/>
              <w:spacing w:before="28"/>
              <w:ind w:left="707"/>
              <w:rPr>
                <w:sz w:val="16"/>
              </w:rPr>
            </w:pPr>
            <w:r>
              <w:rPr>
                <w:spacing w:val="-2"/>
                <w:sz w:val="16"/>
              </w:rPr>
              <w:t>20,540</w:t>
            </w:r>
          </w:p>
        </w:tc>
        <w:tc>
          <w:tcPr>
            <w:tcW w:w="1347" w:type="dxa"/>
            <w:shd w:val="clear" w:color="auto" w:fill="D8D8D8"/>
          </w:tcPr>
          <w:p>
            <w:pPr>
              <w:pStyle w:val="TableParagraph"/>
              <w:spacing w:before="28"/>
              <w:ind w:left="855"/>
              <w:rPr>
                <w:sz w:val="16"/>
              </w:rPr>
            </w:pPr>
            <w:r>
              <w:rPr>
                <w:spacing w:val="-4"/>
                <w:sz w:val="16"/>
              </w:rPr>
              <w:t>8.42</w:t>
            </w:r>
          </w:p>
        </w:tc>
      </w:tr>
      <w:tr>
        <w:trPr>
          <w:trHeight w:val="226" w:hRule="atLeast"/>
        </w:trPr>
        <w:tc>
          <w:tcPr>
            <w:tcW w:w="2560" w:type="dxa"/>
          </w:tcPr>
          <w:p>
            <w:pPr>
              <w:pStyle w:val="TableParagraph"/>
              <w:spacing w:before="19"/>
              <w:ind w:left="52"/>
              <w:rPr>
                <w:sz w:val="16"/>
              </w:rPr>
            </w:pPr>
            <w:r>
              <w:rPr>
                <w:sz w:val="16"/>
              </w:rPr>
              <w:t>Indonesia</w:t>
            </w:r>
            <w:r>
              <w:rPr>
                <w:spacing w:val="-7"/>
                <w:sz w:val="16"/>
              </w:rPr>
              <w:t> </w:t>
            </w:r>
            <w:r>
              <w:rPr>
                <w:spacing w:val="-10"/>
                <w:sz w:val="16"/>
                <w:vertAlign w:val="superscript"/>
              </w:rPr>
              <w:t>b</w:t>
            </w:r>
          </w:p>
        </w:tc>
        <w:tc>
          <w:tcPr>
            <w:tcW w:w="1580" w:type="dxa"/>
            <w:gridSpan w:val="2"/>
          </w:tcPr>
          <w:p>
            <w:pPr>
              <w:pStyle w:val="TableParagraph"/>
              <w:spacing w:before="19"/>
              <w:ind w:left="963"/>
              <w:rPr>
                <w:sz w:val="16"/>
              </w:rPr>
            </w:pPr>
            <w:r>
              <w:rPr>
                <w:spacing w:val="-2"/>
                <w:sz w:val="16"/>
              </w:rPr>
              <w:t>26,279</w:t>
            </w:r>
          </w:p>
        </w:tc>
        <w:tc>
          <w:tcPr>
            <w:tcW w:w="1221" w:type="dxa"/>
            <w:gridSpan w:val="2"/>
          </w:tcPr>
          <w:p>
            <w:pPr>
              <w:pStyle w:val="TableParagraph"/>
              <w:spacing w:before="19"/>
              <w:ind w:left="732"/>
              <w:rPr>
                <w:sz w:val="16"/>
              </w:rPr>
            </w:pPr>
            <w:r>
              <w:rPr>
                <w:spacing w:val="-2"/>
                <w:sz w:val="16"/>
              </w:rPr>
              <w:t>2,065</w:t>
            </w:r>
          </w:p>
        </w:tc>
        <w:tc>
          <w:tcPr>
            <w:tcW w:w="1235" w:type="dxa"/>
            <w:gridSpan w:val="2"/>
          </w:tcPr>
          <w:p>
            <w:pPr>
              <w:pStyle w:val="TableParagraph"/>
              <w:spacing w:before="19"/>
              <w:ind w:left="771"/>
              <w:rPr>
                <w:sz w:val="16"/>
              </w:rPr>
            </w:pPr>
            <w:r>
              <w:rPr>
                <w:spacing w:val="-2"/>
                <w:sz w:val="16"/>
              </w:rPr>
              <w:t>4,330</w:t>
            </w:r>
          </w:p>
        </w:tc>
        <w:tc>
          <w:tcPr>
            <w:tcW w:w="1305" w:type="dxa"/>
            <w:gridSpan w:val="2"/>
          </w:tcPr>
          <w:p>
            <w:pPr>
              <w:pStyle w:val="TableParagraph"/>
              <w:spacing w:before="19"/>
              <w:ind w:left="707"/>
              <w:rPr>
                <w:sz w:val="16"/>
              </w:rPr>
            </w:pPr>
            <w:r>
              <w:rPr>
                <w:spacing w:val="-2"/>
                <w:sz w:val="16"/>
              </w:rPr>
              <w:t>19,884</w:t>
            </w:r>
          </w:p>
        </w:tc>
        <w:tc>
          <w:tcPr>
            <w:tcW w:w="1347" w:type="dxa"/>
          </w:tcPr>
          <w:p>
            <w:pPr>
              <w:pStyle w:val="TableParagraph"/>
              <w:spacing w:before="19"/>
              <w:ind w:left="855"/>
              <w:rPr>
                <w:sz w:val="16"/>
              </w:rPr>
            </w:pPr>
            <w:r>
              <w:rPr>
                <w:spacing w:val="-4"/>
                <w:sz w:val="16"/>
              </w:rPr>
              <w:t>8.15</w:t>
            </w:r>
          </w:p>
        </w:tc>
      </w:tr>
      <w:tr>
        <w:trPr>
          <w:trHeight w:val="214" w:hRule="atLeast"/>
        </w:trPr>
        <w:tc>
          <w:tcPr>
            <w:tcW w:w="2560" w:type="dxa"/>
          </w:tcPr>
          <w:p>
            <w:pPr>
              <w:pStyle w:val="TableParagraph"/>
              <w:spacing w:line="176" w:lineRule="exact" w:before="18"/>
              <w:ind w:left="52"/>
              <w:rPr>
                <w:sz w:val="16"/>
              </w:rPr>
            </w:pPr>
            <w:r>
              <w:rPr>
                <w:sz w:val="16"/>
              </w:rPr>
              <w:t>Iran,</w:t>
            </w:r>
            <w:r>
              <w:rPr>
                <w:spacing w:val="-4"/>
                <w:sz w:val="16"/>
              </w:rPr>
              <w:t> </w:t>
            </w:r>
            <w:r>
              <w:rPr>
                <w:sz w:val="16"/>
              </w:rPr>
              <w:t>Islamic</w:t>
            </w:r>
            <w:r>
              <w:rPr>
                <w:spacing w:val="-4"/>
                <w:sz w:val="16"/>
              </w:rPr>
              <w:t> </w:t>
            </w:r>
            <w:r>
              <w:rPr>
                <w:sz w:val="16"/>
              </w:rPr>
              <w:t>Republic</w:t>
            </w:r>
            <w:r>
              <w:rPr>
                <w:spacing w:val="-4"/>
                <w:sz w:val="16"/>
              </w:rPr>
              <w:t> </w:t>
            </w:r>
            <w:r>
              <w:rPr>
                <w:spacing w:val="-5"/>
                <w:sz w:val="16"/>
              </w:rPr>
              <w:t>of</w:t>
            </w:r>
          </w:p>
        </w:tc>
        <w:tc>
          <w:tcPr>
            <w:tcW w:w="1580" w:type="dxa"/>
            <w:gridSpan w:val="2"/>
          </w:tcPr>
          <w:p>
            <w:pPr>
              <w:pStyle w:val="TableParagraph"/>
              <w:spacing w:line="176" w:lineRule="exact" w:before="18"/>
              <w:ind w:right="126"/>
              <w:jc w:val="right"/>
              <w:rPr>
                <w:sz w:val="16"/>
              </w:rPr>
            </w:pPr>
            <w:r>
              <w:rPr>
                <w:spacing w:val="-5"/>
                <w:sz w:val="16"/>
              </w:rPr>
              <w:t>132</w:t>
            </w:r>
          </w:p>
        </w:tc>
        <w:tc>
          <w:tcPr>
            <w:tcW w:w="1221" w:type="dxa"/>
            <w:gridSpan w:val="2"/>
          </w:tcPr>
          <w:p>
            <w:pPr>
              <w:pStyle w:val="TableParagraph"/>
              <w:spacing w:line="176" w:lineRule="exact" w:before="18"/>
              <w:ind w:right="87"/>
              <w:jc w:val="right"/>
              <w:rPr>
                <w:sz w:val="16"/>
              </w:rPr>
            </w:pPr>
            <w:r>
              <w:rPr>
                <w:sz w:val="16"/>
              </w:rPr>
              <w:t>—</w:t>
            </w:r>
          </w:p>
        </w:tc>
        <w:tc>
          <w:tcPr>
            <w:tcW w:w="1235" w:type="dxa"/>
            <w:gridSpan w:val="2"/>
          </w:tcPr>
          <w:p>
            <w:pPr>
              <w:pStyle w:val="TableParagraph"/>
              <w:spacing w:line="176" w:lineRule="exact" w:before="18"/>
              <w:ind w:right="62"/>
              <w:jc w:val="right"/>
              <w:rPr>
                <w:sz w:val="16"/>
              </w:rPr>
            </w:pPr>
            <w:r>
              <w:rPr>
                <w:sz w:val="16"/>
              </w:rPr>
              <w:t>—</w:t>
            </w:r>
          </w:p>
        </w:tc>
        <w:tc>
          <w:tcPr>
            <w:tcW w:w="1305" w:type="dxa"/>
            <w:gridSpan w:val="2"/>
          </w:tcPr>
          <w:p>
            <w:pPr>
              <w:pStyle w:val="TableParagraph"/>
              <w:spacing w:line="176" w:lineRule="exact" w:before="18"/>
              <w:ind w:right="107"/>
              <w:jc w:val="right"/>
              <w:rPr>
                <w:sz w:val="16"/>
              </w:rPr>
            </w:pPr>
            <w:r>
              <w:rPr>
                <w:spacing w:val="-5"/>
                <w:sz w:val="16"/>
              </w:rPr>
              <w:t>132</w:t>
            </w:r>
          </w:p>
        </w:tc>
        <w:tc>
          <w:tcPr>
            <w:tcW w:w="1347" w:type="dxa"/>
          </w:tcPr>
          <w:p>
            <w:pPr>
              <w:pStyle w:val="TableParagraph"/>
              <w:spacing w:line="176" w:lineRule="exact" w:before="18"/>
              <w:ind w:left="855"/>
              <w:rPr>
                <w:sz w:val="16"/>
              </w:rPr>
            </w:pPr>
            <w:r>
              <w:rPr>
                <w:spacing w:val="-4"/>
                <w:sz w:val="16"/>
              </w:rPr>
              <w:t>0.05</w:t>
            </w:r>
          </w:p>
        </w:tc>
      </w:tr>
      <w:tr>
        <w:trPr>
          <w:trHeight w:val="235" w:hRule="atLeast"/>
        </w:trPr>
        <w:tc>
          <w:tcPr>
            <w:tcW w:w="2560" w:type="dxa"/>
          </w:tcPr>
          <w:p>
            <w:pPr>
              <w:pStyle w:val="TableParagraph"/>
              <w:spacing w:before="28"/>
              <w:ind w:left="52"/>
              <w:rPr>
                <w:sz w:val="16"/>
              </w:rPr>
            </w:pPr>
            <w:r>
              <w:rPr>
                <w:sz w:val="16"/>
              </w:rPr>
              <w:t>Iraq</w:t>
            </w:r>
            <w:r>
              <w:rPr>
                <w:spacing w:val="-2"/>
                <w:sz w:val="16"/>
              </w:rPr>
              <w:t> </w:t>
            </w:r>
            <w:r>
              <w:rPr>
                <w:spacing w:val="-10"/>
                <w:sz w:val="16"/>
                <w:vertAlign w:val="superscript"/>
              </w:rPr>
              <w:t>b</w:t>
            </w:r>
          </w:p>
        </w:tc>
        <w:tc>
          <w:tcPr>
            <w:tcW w:w="1580" w:type="dxa"/>
            <w:gridSpan w:val="2"/>
          </w:tcPr>
          <w:p>
            <w:pPr>
              <w:pStyle w:val="TableParagraph"/>
              <w:spacing w:before="28"/>
              <w:ind w:left="1052"/>
              <w:rPr>
                <w:sz w:val="16"/>
              </w:rPr>
            </w:pPr>
            <w:r>
              <w:rPr>
                <w:spacing w:val="-2"/>
                <w:sz w:val="16"/>
              </w:rPr>
              <w:t>3,984</w:t>
            </w:r>
          </w:p>
        </w:tc>
        <w:tc>
          <w:tcPr>
            <w:tcW w:w="1221" w:type="dxa"/>
            <w:gridSpan w:val="2"/>
          </w:tcPr>
          <w:p>
            <w:pPr>
              <w:pStyle w:val="TableParagraph"/>
              <w:spacing w:before="28"/>
              <w:ind w:right="87"/>
              <w:jc w:val="right"/>
              <w:rPr>
                <w:sz w:val="16"/>
              </w:rPr>
            </w:pPr>
            <w:r>
              <w:rPr>
                <w:sz w:val="16"/>
              </w:rPr>
              <w:t>—</w:t>
            </w:r>
          </w:p>
        </w:tc>
        <w:tc>
          <w:tcPr>
            <w:tcW w:w="1235" w:type="dxa"/>
            <w:gridSpan w:val="2"/>
          </w:tcPr>
          <w:p>
            <w:pPr>
              <w:pStyle w:val="TableParagraph"/>
              <w:spacing w:before="28"/>
              <w:ind w:right="62"/>
              <w:jc w:val="right"/>
              <w:rPr>
                <w:sz w:val="16"/>
              </w:rPr>
            </w:pPr>
            <w:r>
              <w:rPr>
                <w:spacing w:val="-5"/>
                <w:sz w:val="16"/>
              </w:rPr>
              <w:t>837</w:t>
            </w:r>
          </w:p>
        </w:tc>
        <w:tc>
          <w:tcPr>
            <w:tcW w:w="1305" w:type="dxa"/>
            <w:gridSpan w:val="2"/>
          </w:tcPr>
          <w:p>
            <w:pPr>
              <w:pStyle w:val="TableParagraph"/>
              <w:spacing w:before="28"/>
              <w:ind w:left="796"/>
              <w:rPr>
                <w:sz w:val="16"/>
              </w:rPr>
            </w:pPr>
            <w:r>
              <w:rPr>
                <w:spacing w:val="-2"/>
                <w:sz w:val="16"/>
              </w:rPr>
              <w:t>3,147</w:t>
            </w:r>
          </w:p>
        </w:tc>
        <w:tc>
          <w:tcPr>
            <w:tcW w:w="1347" w:type="dxa"/>
          </w:tcPr>
          <w:p>
            <w:pPr>
              <w:pStyle w:val="TableParagraph"/>
              <w:spacing w:before="28"/>
              <w:ind w:left="855"/>
              <w:rPr>
                <w:sz w:val="16"/>
              </w:rPr>
            </w:pPr>
            <w:r>
              <w:rPr>
                <w:spacing w:val="-4"/>
                <w:sz w:val="16"/>
              </w:rPr>
              <w:t>1.29</w:t>
            </w:r>
          </w:p>
        </w:tc>
      </w:tr>
      <w:tr>
        <w:trPr>
          <w:trHeight w:val="214" w:hRule="atLeast"/>
        </w:trPr>
        <w:tc>
          <w:tcPr>
            <w:tcW w:w="2560" w:type="dxa"/>
          </w:tcPr>
          <w:p>
            <w:pPr>
              <w:pStyle w:val="TableParagraph"/>
              <w:spacing w:line="176" w:lineRule="exact" w:before="18"/>
              <w:ind w:left="52"/>
              <w:rPr>
                <w:sz w:val="16"/>
              </w:rPr>
            </w:pPr>
            <w:r>
              <w:rPr>
                <w:spacing w:val="-2"/>
                <w:sz w:val="16"/>
              </w:rPr>
              <w:t>Jamaica</w:t>
            </w:r>
          </w:p>
        </w:tc>
        <w:tc>
          <w:tcPr>
            <w:tcW w:w="1580" w:type="dxa"/>
            <w:gridSpan w:val="2"/>
          </w:tcPr>
          <w:p>
            <w:pPr>
              <w:pStyle w:val="TableParagraph"/>
              <w:spacing w:line="176" w:lineRule="exact" w:before="18"/>
              <w:ind w:left="1052"/>
              <w:rPr>
                <w:sz w:val="16"/>
              </w:rPr>
            </w:pPr>
            <w:r>
              <w:rPr>
                <w:spacing w:val="-2"/>
                <w:sz w:val="16"/>
              </w:rPr>
              <w:t>1,065</w:t>
            </w:r>
          </w:p>
        </w:tc>
        <w:tc>
          <w:tcPr>
            <w:tcW w:w="1221" w:type="dxa"/>
            <w:gridSpan w:val="2"/>
          </w:tcPr>
          <w:p>
            <w:pPr>
              <w:pStyle w:val="TableParagraph"/>
              <w:spacing w:line="176" w:lineRule="exact" w:before="18"/>
              <w:ind w:right="87"/>
              <w:jc w:val="right"/>
              <w:rPr>
                <w:sz w:val="16"/>
              </w:rPr>
            </w:pPr>
            <w:r>
              <w:rPr>
                <w:sz w:val="16"/>
              </w:rPr>
              <w:t>—</w:t>
            </w:r>
          </w:p>
        </w:tc>
        <w:tc>
          <w:tcPr>
            <w:tcW w:w="1235" w:type="dxa"/>
            <w:gridSpan w:val="2"/>
          </w:tcPr>
          <w:p>
            <w:pPr>
              <w:pStyle w:val="TableParagraph"/>
              <w:spacing w:line="176" w:lineRule="exact" w:before="18"/>
              <w:ind w:right="62"/>
              <w:jc w:val="right"/>
              <w:rPr>
                <w:sz w:val="16"/>
              </w:rPr>
            </w:pPr>
            <w:r>
              <w:rPr>
                <w:spacing w:val="-5"/>
                <w:sz w:val="16"/>
              </w:rPr>
              <w:t>52</w:t>
            </w:r>
          </w:p>
        </w:tc>
        <w:tc>
          <w:tcPr>
            <w:tcW w:w="1305" w:type="dxa"/>
            <w:gridSpan w:val="2"/>
          </w:tcPr>
          <w:p>
            <w:pPr>
              <w:pStyle w:val="TableParagraph"/>
              <w:spacing w:line="176" w:lineRule="exact" w:before="18"/>
              <w:ind w:left="796"/>
              <w:rPr>
                <w:sz w:val="16"/>
              </w:rPr>
            </w:pPr>
            <w:r>
              <w:rPr>
                <w:spacing w:val="-2"/>
                <w:sz w:val="16"/>
              </w:rPr>
              <w:t>1,013</w:t>
            </w:r>
          </w:p>
        </w:tc>
        <w:tc>
          <w:tcPr>
            <w:tcW w:w="1347" w:type="dxa"/>
          </w:tcPr>
          <w:p>
            <w:pPr>
              <w:pStyle w:val="TableParagraph"/>
              <w:spacing w:line="176" w:lineRule="exact" w:before="18"/>
              <w:ind w:left="855"/>
              <w:rPr>
                <w:sz w:val="16"/>
              </w:rPr>
            </w:pPr>
            <w:r>
              <w:rPr>
                <w:spacing w:val="-4"/>
                <w:sz w:val="16"/>
              </w:rPr>
              <w:t>0.42</w:t>
            </w:r>
          </w:p>
        </w:tc>
      </w:tr>
      <w:tr>
        <w:trPr>
          <w:trHeight w:val="234" w:hRule="atLeast"/>
        </w:trPr>
        <w:tc>
          <w:tcPr>
            <w:tcW w:w="2560" w:type="dxa"/>
          </w:tcPr>
          <w:p>
            <w:pPr>
              <w:pStyle w:val="TableParagraph"/>
              <w:spacing w:before="28"/>
              <w:ind w:left="52"/>
              <w:rPr>
                <w:sz w:val="16"/>
              </w:rPr>
            </w:pPr>
            <w:r>
              <w:rPr>
                <w:sz w:val="16"/>
              </w:rPr>
              <w:t>Jordan</w:t>
            </w:r>
            <w:r>
              <w:rPr>
                <w:spacing w:val="-4"/>
                <w:sz w:val="16"/>
              </w:rPr>
              <w:t> </w:t>
            </w:r>
            <w:r>
              <w:rPr>
                <w:spacing w:val="-10"/>
                <w:sz w:val="16"/>
                <w:vertAlign w:val="superscript"/>
              </w:rPr>
              <w:t>b</w:t>
            </w:r>
          </w:p>
        </w:tc>
        <w:tc>
          <w:tcPr>
            <w:tcW w:w="1580" w:type="dxa"/>
            <w:gridSpan w:val="2"/>
          </w:tcPr>
          <w:p>
            <w:pPr>
              <w:pStyle w:val="TableParagraph"/>
              <w:spacing w:before="28"/>
              <w:ind w:left="1052"/>
              <w:rPr>
                <w:sz w:val="16"/>
              </w:rPr>
            </w:pPr>
            <w:r>
              <w:rPr>
                <w:spacing w:val="-2"/>
                <w:sz w:val="16"/>
              </w:rPr>
              <w:t>5,960</w:t>
            </w:r>
          </w:p>
        </w:tc>
        <w:tc>
          <w:tcPr>
            <w:tcW w:w="1221" w:type="dxa"/>
            <w:gridSpan w:val="2"/>
          </w:tcPr>
          <w:p>
            <w:pPr>
              <w:pStyle w:val="TableParagraph"/>
              <w:spacing w:before="28"/>
              <w:ind w:right="87"/>
              <w:jc w:val="right"/>
              <w:rPr>
                <w:sz w:val="16"/>
              </w:rPr>
            </w:pPr>
            <w:r>
              <w:rPr>
                <w:spacing w:val="-5"/>
                <w:sz w:val="16"/>
              </w:rPr>
              <w:t>200</w:t>
            </w:r>
          </w:p>
        </w:tc>
        <w:tc>
          <w:tcPr>
            <w:tcW w:w="1235" w:type="dxa"/>
            <w:gridSpan w:val="2"/>
          </w:tcPr>
          <w:p>
            <w:pPr>
              <w:pStyle w:val="TableParagraph"/>
              <w:spacing w:before="28"/>
              <w:ind w:left="771"/>
              <w:rPr>
                <w:sz w:val="16"/>
              </w:rPr>
            </w:pPr>
            <w:r>
              <w:rPr>
                <w:spacing w:val="-2"/>
                <w:sz w:val="16"/>
              </w:rPr>
              <w:t>1,647</w:t>
            </w:r>
          </w:p>
        </w:tc>
        <w:tc>
          <w:tcPr>
            <w:tcW w:w="1305" w:type="dxa"/>
            <w:gridSpan w:val="2"/>
          </w:tcPr>
          <w:p>
            <w:pPr>
              <w:pStyle w:val="TableParagraph"/>
              <w:spacing w:before="28"/>
              <w:ind w:left="796"/>
              <w:rPr>
                <w:sz w:val="16"/>
              </w:rPr>
            </w:pPr>
            <w:r>
              <w:rPr>
                <w:spacing w:val="-2"/>
                <w:sz w:val="16"/>
              </w:rPr>
              <w:t>4,113</w:t>
            </w:r>
          </w:p>
        </w:tc>
        <w:tc>
          <w:tcPr>
            <w:tcW w:w="1347" w:type="dxa"/>
          </w:tcPr>
          <w:p>
            <w:pPr>
              <w:pStyle w:val="TableParagraph"/>
              <w:spacing w:before="28"/>
              <w:ind w:left="855"/>
              <w:rPr>
                <w:sz w:val="16"/>
              </w:rPr>
            </w:pPr>
            <w:r>
              <w:rPr>
                <w:spacing w:val="-4"/>
                <w:sz w:val="16"/>
              </w:rPr>
              <w:t>1.69</w:t>
            </w:r>
          </w:p>
        </w:tc>
      </w:tr>
      <w:tr>
        <w:trPr>
          <w:trHeight w:val="226" w:hRule="atLeast"/>
        </w:trPr>
        <w:tc>
          <w:tcPr>
            <w:tcW w:w="2560" w:type="dxa"/>
            <w:shd w:val="clear" w:color="auto" w:fill="D8D8D8"/>
          </w:tcPr>
          <w:p>
            <w:pPr>
              <w:pStyle w:val="TableParagraph"/>
              <w:spacing w:before="19"/>
              <w:ind w:left="52"/>
              <w:rPr>
                <w:sz w:val="16"/>
              </w:rPr>
            </w:pPr>
            <w:r>
              <w:rPr>
                <w:spacing w:val="-2"/>
                <w:sz w:val="16"/>
              </w:rPr>
              <w:t>Kazakhstan</w:t>
            </w:r>
          </w:p>
        </w:tc>
        <w:tc>
          <w:tcPr>
            <w:tcW w:w="1580" w:type="dxa"/>
            <w:gridSpan w:val="2"/>
            <w:shd w:val="clear" w:color="auto" w:fill="D8D8D8"/>
          </w:tcPr>
          <w:p>
            <w:pPr>
              <w:pStyle w:val="TableParagraph"/>
              <w:spacing w:before="19"/>
              <w:ind w:left="1052"/>
              <w:rPr>
                <w:sz w:val="16"/>
              </w:rPr>
            </w:pPr>
            <w:r>
              <w:rPr>
                <w:spacing w:val="-2"/>
                <w:sz w:val="16"/>
              </w:rPr>
              <w:t>3,947</w:t>
            </w:r>
          </w:p>
        </w:tc>
        <w:tc>
          <w:tcPr>
            <w:tcW w:w="1221" w:type="dxa"/>
            <w:gridSpan w:val="2"/>
            <w:shd w:val="clear" w:color="auto" w:fill="D8D8D8"/>
          </w:tcPr>
          <w:p>
            <w:pPr>
              <w:pStyle w:val="TableParagraph"/>
              <w:spacing w:before="19"/>
              <w:ind w:right="87"/>
              <w:jc w:val="right"/>
              <w:rPr>
                <w:sz w:val="16"/>
              </w:rPr>
            </w:pPr>
            <w:r>
              <w:rPr>
                <w:sz w:val="16"/>
              </w:rPr>
              <w:t>—</w:t>
            </w:r>
          </w:p>
        </w:tc>
        <w:tc>
          <w:tcPr>
            <w:tcW w:w="1235" w:type="dxa"/>
            <w:gridSpan w:val="2"/>
            <w:shd w:val="clear" w:color="auto" w:fill="D8D8D8"/>
          </w:tcPr>
          <w:p>
            <w:pPr>
              <w:pStyle w:val="TableParagraph"/>
              <w:spacing w:before="19"/>
              <w:ind w:right="62"/>
              <w:jc w:val="right"/>
              <w:rPr>
                <w:sz w:val="16"/>
              </w:rPr>
            </w:pPr>
            <w:r>
              <w:rPr>
                <w:spacing w:val="-5"/>
                <w:sz w:val="16"/>
              </w:rPr>
              <w:t>478</w:t>
            </w:r>
          </w:p>
        </w:tc>
        <w:tc>
          <w:tcPr>
            <w:tcW w:w="1305" w:type="dxa"/>
            <w:gridSpan w:val="2"/>
            <w:shd w:val="clear" w:color="auto" w:fill="D8D8D8"/>
          </w:tcPr>
          <w:p>
            <w:pPr>
              <w:pStyle w:val="TableParagraph"/>
              <w:spacing w:before="19"/>
              <w:ind w:left="796"/>
              <w:rPr>
                <w:sz w:val="16"/>
              </w:rPr>
            </w:pPr>
            <w:r>
              <w:rPr>
                <w:spacing w:val="-2"/>
                <w:sz w:val="16"/>
              </w:rPr>
              <w:t>3,469</w:t>
            </w:r>
          </w:p>
        </w:tc>
        <w:tc>
          <w:tcPr>
            <w:tcW w:w="1347" w:type="dxa"/>
            <w:shd w:val="clear" w:color="auto" w:fill="D8D8D8"/>
          </w:tcPr>
          <w:p>
            <w:pPr>
              <w:pStyle w:val="TableParagraph"/>
              <w:spacing w:before="19"/>
              <w:ind w:left="855"/>
              <w:rPr>
                <w:sz w:val="16"/>
              </w:rPr>
            </w:pPr>
            <w:r>
              <w:rPr>
                <w:spacing w:val="-4"/>
                <w:sz w:val="16"/>
              </w:rPr>
              <w:t>1.42</w:t>
            </w:r>
          </w:p>
        </w:tc>
      </w:tr>
      <w:tr>
        <w:trPr>
          <w:trHeight w:val="225" w:hRule="atLeast"/>
        </w:trPr>
        <w:tc>
          <w:tcPr>
            <w:tcW w:w="2560" w:type="dxa"/>
            <w:shd w:val="clear" w:color="auto" w:fill="D8D8D8"/>
          </w:tcPr>
          <w:p>
            <w:pPr>
              <w:pStyle w:val="TableParagraph"/>
              <w:spacing w:before="18"/>
              <w:ind w:left="52"/>
              <w:rPr>
                <w:sz w:val="16"/>
              </w:rPr>
            </w:pPr>
            <w:r>
              <w:rPr>
                <w:spacing w:val="-2"/>
                <w:sz w:val="16"/>
              </w:rPr>
              <w:t>Kenya</w:t>
            </w:r>
          </w:p>
        </w:tc>
        <w:tc>
          <w:tcPr>
            <w:tcW w:w="1580" w:type="dxa"/>
            <w:gridSpan w:val="2"/>
            <w:shd w:val="clear" w:color="auto" w:fill="D8D8D8"/>
          </w:tcPr>
          <w:p>
            <w:pPr>
              <w:pStyle w:val="TableParagraph"/>
              <w:spacing w:before="18"/>
              <w:ind w:left="1052"/>
              <w:rPr>
                <w:sz w:val="16"/>
              </w:rPr>
            </w:pPr>
            <w:r>
              <w:rPr>
                <w:spacing w:val="-2"/>
                <w:sz w:val="16"/>
              </w:rPr>
              <w:t>1,218</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pacing w:val="-5"/>
                <w:sz w:val="16"/>
              </w:rPr>
              <w:t>135</w:t>
            </w:r>
          </w:p>
        </w:tc>
        <w:tc>
          <w:tcPr>
            <w:tcW w:w="1305" w:type="dxa"/>
            <w:gridSpan w:val="2"/>
            <w:shd w:val="clear" w:color="auto" w:fill="D8D8D8"/>
          </w:tcPr>
          <w:p>
            <w:pPr>
              <w:pStyle w:val="TableParagraph"/>
              <w:spacing w:before="18"/>
              <w:ind w:left="796"/>
              <w:rPr>
                <w:sz w:val="16"/>
              </w:rPr>
            </w:pPr>
            <w:r>
              <w:rPr>
                <w:spacing w:val="-2"/>
                <w:sz w:val="16"/>
              </w:rPr>
              <w:t>1,083</w:t>
            </w:r>
          </w:p>
        </w:tc>
        <w:tc>
          <w:tcPr>
            <w:tcW w:w="1347" w:type="dxa"/>
            <w:shd w:val="clear" w:color="auto" w:fill="D8D8D8"/>
          </w:tcPr>
          <w:p>
            <w:pPr>
              <w:pStyle w:val="TableParagraph"/>
              <w:spacing w:before="18"/>
              <w:ind w:left="855"/>
              <w:rPr>
                <w:sz w:val="16"/>
              </w:rPr>
            </w:pPr>
            <w:r>
              <w:rPr>
                <w:spacing w:val="-4"/>
                <w:sz w:val="16"/>
              </w:rPr>
              <w:t>0.44</w:t>
            </w:r>
          </w:p>
        </w:tc>
      </w:tr>
      <w:tr>
        <w:trPr>
          <w:trHeight w:val="225" w:hRule="atLeast"/>
        </w:trPr>
        <w:tc>
          <w:tcPr>
            <w:tcW w:w="2560" w:type="dxa"/>
            <w:shd w:val="clear" w:color="auto" w:fill="D8D8D8"/>
          </w:tcPr>
          <w:p>
            <w:pPr>
              <w:pStyle w:val="TableParagraph"/>
              <w:spacing w:before="18"/>
              <w:ind w:left="52"/>
              <w:rPr>
                <w:sz w:val="16"/>
              </w:rPr>
            </w:pPr>
            <w:r>
              <w:rPr>
                <w:spacing w:val="-2"/>
                <w:sz w:val="16"/>
              </w:rPr>
              <w:t>Kosovo</w:t>
            </w:r>
          </w:p>
        </w:tc>
        <w:tc>
          <w:tcPr>
            <w:tcW w:w="1580" w:type="dxa"/>
            <w:gridSpan w:val="2"/>
            <w:shd w:val="clear" w:color="auto" w:fill="D8D8D8"/>
          </w:tcPr>
          <w:p>
            <w:pPr>
              <w:pStyle w:val="TableParagraph"/>
              <w:spacing w:before="18"/>
              <w:ind w:right="126"/>
              <w:jc w:val="right"/>
              <w:rPr>
                <w:sz w:val="16"/>
              </w:rPr>
            </w:pPr>
            <w:r>
              <w:rPr>
                <w:spacing w:val="-5"/>
                <w:sz w:val="16"/>
              </w:rPr>
              <w:t>104</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z w:val="16"/>
              </w:rPr>
              <w:t>—</w:t>
            </w:r>
          </w:p>
        </w:tc>
        <w:tc>
          <w:tcPr>
            <w:tcW w:w="1305" w:type="dxa"/>
            <w:gridSpan w:val="2"/>
            <w:shd w:val="clear" w:color="auto" w:fill="D8D8D8"/>
          </w:tcPr>
          <w:p>
            <w:pPr>
              <w:pStyle w:val="TableParagraph"/>
              <w:spacing w:before="18"/>
              <w:ind w:right="107"/>
              <w:jc w:val="right"/>
              <w:rPr>
                <w:sz w:val="16"/>
              </w:rPr>
            </w:pPr>
            <w:r>
              <w:rPr>
                <w:spacing w:val="-5"/>
                <w:sz w:val="16"/>
              </w:rPr>
              <w:t>104</w:t>
            </w:r>
          </w:p>
        </w:tc>
        <w:tc>
          <w:tcPr>
            <w:tcW w:w="1347" w:type="dxa"/>
            <w:shd w:val="clear" w:color="auto" w:fill="D8D8D8"/>
          </w:tcPr>
          <w:p>
            <w:pPr>
              <w:pStyle w:val="TableParagraph"/>
              <w:spacing w:before="18"/>
              <w:ind w:left="855"/>
              <w:rPr>
                <w:sz w:val="16"/>
              </w:rPr>
            </w:pPr>
            <w:r>
              <w:rPr>
                <w:spacing w:val="-4"/>
                <w:sz w:val="16"/>
              </w:rPr>
              <w:t>0.04</w:t>
            </w:r>
          </w:p>
        </w:tc>
      </w:tr>
      <w:tr>
        <w:trPr>
          <w:trHeight w:val="225" w:hRule="atLeast"/>
        </w:trPr>
        <w:tc>
          <w:tcPr>
            <w:tcW w:w="2560" w:type="dxa"/>
            <w:shd w:val="clear" w:color="auto" w:fill="D8D8D8"/>
          </w:tcPr>
          <w:p>
            <w:pPr>
              <w:pStyle w:val="TableParagraph"/>
              <w:spacing w:before="18"/>
              <w:ind w:left="52"/>
              <w:rPr>
                <w:sz w:val="16"/>
              </w:rPr>
            </w:pPr>
            <w:r>
              <w:rPr>
                <w:spacing w:val="-2"/>
                <w:sz w:val="16"/>
              </w:rPr>
              <w:t>Lebanon</w:t>
            </w:r>
          </w:p>
        </w:tc>
        <w:tc>
          <w:tcPr>
            <w:tcW w:w="1580" w:type="dxa"/>
            <w:gridSpan w:val="2"/>
            <w:shd w:val="clear" w:color="auto" w:fill="D8D8D8"/>
          </w:tcPr>
          <w:p>
            <w:pPr>
              <w:pStyle w:val="TableParagraph"/>
              <w:spacing w:before="18"/>
              <w:ind w:left="1052"/>
              <w:rPr>
                <w:sz w:val="16"/>
              </w:rPr>
            </w:pPr>
            <w:r>
              <w:rPr>
                <w:spacing w:val="-2"/>
                <w:sz w:val="16"/>
              </w:rPr>
              <w:t>1,670</w:t>
            </w:r>
          </w:p>
        </w:tc>
        <w:tc>
          <w:tcPr>
            <w:tcW w:w="1221" w:type="dxa"/>
            <w:gridSpan w:val="2"/>
            <w:shd w:val="clear" w:color="auto" w:fill="D8D8D8"/>
          </w:tcPr>
          <w:p>
            <w:pPr>
              <w:pStyle w:val="TableParagraph"/>
              <w:spacing w:before="18"/>
              <w:ind w:right="87"/>
              <w:jc w:val="right"/>
              <w:rPr>
                <w:sz w:val="16"/>
              </w:rPr>
            </w:pPr>
            <w:r>
              <w:rPr>
                <w:spacing w:val="-5"/>
                <w:sz w:val="16"/>
              </w:rPr>
              <w:t>500</w:t>
            </w:r>
          </w:p>
        </w:tc>
        <w:tc>
          <w:tcPr>
            <w:tcW w:w="1235" w:type="dxa"/>
            <w:gridSpan w:val="2"/>
            <w:shd w:val="clear" w:color="auto" w:fill="D8D8D8"/>
          </w:tcPr>
          <w:p>
            <w:pPr>
              <w:pStyle w:val="TableParagraph"/>
              <w:spacing w:before="18"/>
              <w:ind w:right="62"/>
              <w:jc w:val="right"/>
              <w:rPr>
                <w:sz w:val="16"/>
              </w:rPr>
            </w:pPr>
            <w:r>
              <w:rPr>
                <w:spacing w:val="-5"/>
                <w:sz w:val="16"/>
              </w:rPr>
              <w:t>298</w:t>
            </w:r>
          </w:p>
        </w:tc>
        <w:tc>
          <w:tcPr>
            <w:tcW w:w="1305" w:type="dxa"/>
            <w:gridSpan w:val="2"/>
            <w:shd w:val="clear" w:color="auto" w:fill="D8D8D8"/>
          </w:tcPr>
          <w:p>
            <w:pPr>
              <w:pStyle w:val="TableParagraph"/>
              <w:spacing w:before="18"/>
              <w:ind w:right="107"/>
              <w:jc w:val="right"/>
              <w:rPr>
                <w:sz w:val="16"/>
              </w:rPr>
            </w:pPr>
            <w:r>
              <w:rPr>
                <w:spacing w:val="-5"/>
                <w:sz w:val="16"/>
              </w:rPr>
              <w:t>872</w:t>
            </w:r>
          </w:p>
        </w:tc>
        <w:tc>
          <w:tcPr>
            <w:tcW w:w="1347" w:type="dxa"/>
            <w:shd w:val="clear" w:color="auto" w:fill="D8D8D8"/>
          </w:tcPr>
          <w:p>
            <w:pPr>
              <w:pStyle w:val="TableParagraph"/>
              <w:spacing w:before="18"/>
              <w:ind w:left="855"/>
              <w:rPr>
                <w:sz w:val="16"/>
              </w:rPr>
            </w:pPr>
            <w:r>
              <w:rPr>
                <w:spacing w:val="-4"/>
                <w:sz w:val="16"/>
              </w:rPr>
              <w:t>0.36</w:t>
            </w:r>
          </w:p>
        </w:tc>
      </w:tr>
      <w:tr>
        <w:trPr>
          <w:trHeight w:val="223" w:hRule="atLeast"/>
        </w:trPr>
        <w:tc>
          <w:tcPr>
            <w:tcW w:w="2560" w:type="dxa"/>
            <w:shd w:val="clear" w:color="auto" w:fill="D8D8D8"/>
          </w:tcPr>
          <w:p>
            <w:pPr>
              <w:pStyle w:val="TableParagraph"/>
              <w:spacing w:before="18"/>
              <w:ind w:left="52"/>
              <w:rPr>
                <w:sz w:val="16"/>
              </w:rPr>
            </w:pPr>
            <w:r>
              <w:rPr>
                <w:spacing w:val="-2"/>
                <w:sz w:val="16"/>
              </w:rPr>
              <w:t>Mauritius</w:t>
            </w:r>
          </w:p>
        </w:tc>
        <w:tc>
          <w:tcPr>
            <w:tcW w:w="1580" w:type="dxa"/>
            <w:gridSpan w:val="2"/>
            <w:shd w:val="clear" w:color="auto" w:fill="D8D8D8"/>
          </w:tcPr>
          <w:p>
            <w:pPr>
              <w:pStyle w:val="TableParagraph"/>
              <w:spacing w:before="18"/>
              <w:ind w:right="126"/>
              <w:jc w:val="right"/>
              <w:rPr>
                <w:sz w:val="16"/>
              </w:rPr>
            </w:pPr>
            <w:r>
              <w:rPr>
                <w:spacing w:val="-5"/>
                <w:sz w:val="16"/>
              </w:rPr>
              <w:t>122</w:t>
            </w:r>
          </w:p>
        </w:tc>
        <w:tc>
          <w:tcPr>
            <w:tcW w:w="1221" w:type="dxa"/>
            <w:gridSpan w:val="2"/>
            <w:shd w:val="clear" w:color="auto" w:fill="D8D8D8"/>
          </w:tcPr>
          <w:p>
            <w:pPr>
              <w:pStyle w:val="TableParagraph"/>
              <w:spacing w:before="18"/>
              <w:ind w:right="87"/>
              <w:jc w:val="right"/>
              <w:rPr>
                <w:sz w:val="16"/>
              </w:rPr>
            </w:pPr>
            <w:r>
              <w:rPr>
                <w:sz w:val="16"/>
              </w:rPr>
              <w:t>—</w:t>
            </w:r>
          </w:p>
        </w:tc>
        <w:tc>
          <w:tcPr>
            <w:tcW w:w="1235" w:type="dxa"/>
            <w:gridSpan w:val="2"/>
            <w:shd w:val="clear" w:color="auto" w:fill="D8D8D8"/>
          </w:tcPr>
          <w:p>
            <w:pPr>
              <w:pStyle w:val="TableParagraph"/>
              <w:spacing w:before="18"/>
              <w:ind w:right="62"/>
              <w:jc w:val="right"/>
              <w:rPr>
                <w:sz w:val="16"/>
              </w:rPr>
            </w:pPr>
            <w:r>
              <w:rPr>
                <w:sz w:val="16"/>
              </w:rPr>
              <w:t>—</w:t>
            </w:r>
          </w:p>
        </w:tc>
        <w:tc>
          <w:tcPr>
            <w:tcW w:w="1305" w:type="dxa"/>
            <w:gridSpan w:val="2"/>
            <w:shd w:val="clear" w:color="auto" w:fill="D8D8D8"/>
          </w:tcPr>
          <w:p>
            <w:pPr>
              <w:pStyle w:val="TableParagraph"/>
              <w:spacing w:before="18"/>
              <w:ind w:right="107"/>
              <w:jc w:val="right"/>
              <w:rPr>
                <w:sz w:val="16"/>
              </w:rPr>
            </w:pPr>
            <w:r>
              <w:rPr>
                <w:spacing w:val="-5"/>
                <w:sz w:val="16"/>
              </w:rPr>
              <w:t>122</w:t>
            </w:r>
          </w:p>
        </w:tc>
        <w:tc>
          <w:tcPr>
            <w:tcW w:w="1347" w:type="dxa"/>
            <w:shd w:val="clear" w:color="auto" w:fill="D8D8D8"/>
          </w:tcPr>
          <w:p>
            <w:pPr>
              <w:pStyle w:val="TableParagraph"/>
              <w:spacing w:before="18"/>
              <w:ind w:left="855"/>
              <w:rPr>
                <w:sz w:val="16"/>
              </w:rPr>
            </w:pPr>
            <w:r>
              <w:rPr>
                <w:spacing w:val="-4"/>
                <w:sz w:val="16"/>
              </w:rPr>
              <w:t>0.05</w:t>
            </w:r>
          </w:p>
        </w:tc>
      </w:tr>
      <w:tr>
        <w:trPr>
          <w:trHeight w:val="226" w:hRule="atLeast"/>
        </w:trPr>
        <w:tc>
          <w:tcPr>
            <w:tcW w:w="2560" w:type="dxa"/>
          </w:tcPr>
          <w:p>
            <w:pPr>
              <w:pStyle w:val="TableParagraph"/>
              <w:spacing w:before="19"/>
              <w:ind w:left="52"/>
              <w:rPr>
                <w:sz w:val="16"/>
              </w:rPr>
            </w:pPr>
            <w:r>
              <w:rPr>
                <w:spacing w:val="-2"/>
                <w:sz w:val="16"/>
              </w:rPr>
              <w:t>Mexico</w:t>
            </w:r>
          </w:p>
        </w:tc>
        <w:tc>
          <w:tcPr>
            <w:tcW w:w="1580" w:type="dxa"/>
            <w:gridSpan w:val="2"/>
          </w:tcPr>
          <w:p>
            <w:pPr>
              <w:pStyle w:val="TableParagraph"/>
              <w:spacing w:before="19"/>
              <w:ind w:left="963"/>
              <w:rPr>
                <w:sz w:val="16"/>
              </w:rPr>
            </w:pPr>
            <w:r>
              <w:rPr>
                <w:spacing w:val="-2"/>
                <w:sz w:val="16"/>
              </w:rPr>
              <w:t>16,453</w:t>
            </w:r>
          </w:p>
        </w:tc>
        <w:tc>
          <w:tcPr>
            <w:tcW w:w="1221" w:type="dxa"/>
            <w:gridSpan w:val="2"/>
          </w:tcPr>
          <w:p>
            <w:pPr>
              <w:pStyle w:val="TableParagraph"/>
              <w:spacing w:before="19"/>
              <w:ind w:right="87"/>
              <w:jc w:val="right"/>
              <w:rPr>
                <w:sz w:val="16"/>
              </w:rPr>
            </w:pPr>
            <w:r>
              <w:rPr>
                <w:spacing w:val="-5"/>
                <w:sz w:val="16"/>
              </w:rPr>
              <w:t>700</w:t>
            </w:r>
          </w:p>
        </w:tc>
        <w:tc>
          <w:tcPr>
            <w:tcW w:w="1235" w:type="dxa"/>
            <w:gridSpan w:val="2"/>
          </w:tcPr>
          <w:p>
            <w:pPr>
              <w:pStyle w:val="TableParagraph"/>
              <w:spacing w:before="19"/>
              <w:ind w:right="62"/>
              <w:jc w:val="right"/>
              <w:rPr>
                <w:sz w:val="16"/>
              </w:rPr>
            </w:pPr>
            <w:r>
              <w:rPr>
                <w:spacing w:val="-5"/>
                <w:sz w:val="16"/>
              </w:rPr>
              <w:t>193</w:t>
            </w:r>
          </w:p>
        </w:tc>
        <w:tc>
          <w:tcPr>
            <w:tcW w:w="1305" w:type="dxa"/>
            <w:gridSpan w:val="2"/>
          </w:tcPr>
          <w:p>
            <w:pPr>
              <w:pStyle w:val="TableParagraph"/>
              <w:spacing w:before="19"/>
              <w:ind w:left="707"/>
              <w:rPr>
                <w:sz w:val="16"/>
              </w:rPr>
            </w:pPr>
            <w:r>
              <w:rPr>
                <w:spacing w:val="-2"/>
                <w:sz w:val="16"/>
              </w:rPr>
              <w:t>15,560</w:t>
            </w:r>
          </w:p>
        </w:tc>
        <w:tc>
          <w:tcPr>
            <w:tcW w:w="1347" w:type="dxa"/>
          </w:tcPr>
          <w:p>
            <w:pPr>
              <w:pStyle w:val="TableParagraph"/>
              <w:spacing w:before="19"/>
              <w:ind w:left="855"/>
              <w:rPr>
                <w:sz w:val="16"/>
              </w:rPr>
            </w:pPr>
            <w:r>
              <w:rPr>
                <w:spacing w:val="-4"/>
                <w:sz w:val="16"/>
              </w:rPr>
              <w:t>6.38</w:t>
            </w:r>
          </w:p>
        </w:tc>
      </w:tr>
      <w:tr>
        <w:trPr>
          <w:trHeight w:val="225" w:hRule="atLeast"/>
        </w:trPr>
        <w:tc>
          <w:tcPr>
            <w:tcW w:w="2560" w:type="dxa"/>
          </w:tcPr>
          <w:p>
            <w:pPr>
              <w:pStyle w:val="TableParagraph"/>
              <w:spacing w:before="18"/>
              <w:ind w:left="52"/>
              <w:rPr>
                <w:sz w:val="16"/>
              </w:rPr>
            </w:pPr>
            <w:r>
              <w:rPr>
                <w:spacing w:val="-2"/>
                <w:sz w:val="16"/>
              </w:rPr>
              <w:t>Moldova</w:t>
            </w:r>
          </w:p>
        </w:tc>
        <w:tc>
          <w:tcPr>
            <w:tcW w:w="1580" w:type="dxa"/>
            <w:gridSpan w:val="2"/>
          </w:tcPr>
          <w:p>
            <w:pPr>
              <w:pStyle w:val="TableParagraph"/>
              <w:spacing w:before="18"/>
              <w:ind w:right="126"/>
              <w:jc w:val="right"/>
              <w:rPr>
                <w:sz w:val="16"/>
              </w:rPr>
            </w:pPr>
            <w:r>
              <w:rPr>
                <w:spacing w:val="-5"/>
                <w:sz w:val="16"/>
              </w:rPr>
              <w:t>463</w:t>
            </w:r>
          </w:p>
        </w:tc>
        <w:tc>
          <w:tcPr>
            <w:tcW w:w="1221" w:type="dxa"/>
            <w:gridSpan w:val="2"/>
          </w:tcPr>
          <w:p>
            <w:pPr>
              <w:pStyle w:val="TableParagraph"/>
              <w:spacing w:before="18"/>
              <w:ind w:right="87"/>
              <w:jc w:val="right"/>
              <w:rPr>
                <w:sz w:val="16"/>
              </w:rPr>
            </w:pPr>
            <w:r>
              <w:rPr>
                <w:sz w:val="16"/>
              </w:rPr>
              <w:t>—</w:t>
            </w:r>
          </w:p>
        </w:tc>
        <w:tc>
          <w:tcPr>
            <w:tcW w:w="1235" w:type="dxa"/>
            <w:gridSpan w:val="2"/>
          </w:tcPr>
          <w:p>
            <w:pPr>
              <w:pStyle w:val="TableParagraph"/>
              <w:spacing w:before="18"/>
              <w:ind w:right="62"/>
              <w:jc w:val="right"/>
              <w:rPr>
                <w:sz w:val="16"/>
              </w:rPr>
            </w:pPr>
            <w:r>
              <w:rPr>
                <w:spacing w:val="-5"/>
                <w:sz w:val="16"/>
              </w:rPr>
              <w:t>317</w:t>
            </w:r>
          </w:p>
        </w:tc>
        <w:tc>
          <w:tcPr>
            <w:tcW w:w="1305" w:type="dxa"/>
            <w:gridSpan w:val="2"/>
          </w:tcPr>
          <w:p>
            <w:pPr>
              <w:pStyle w:val="TableParagraph"/>
              <w:spacing w:before="18"/>
              <w:ind w:right="107"/>
              <w:jc w:val="right"/>
              <w:rPr>
                <w:sz w:val="16"/>
              </w:rPr>
            </w:pPr>
            <w:r>
              <w:rPr>
                <w:spacing w:val="-5"/>
                <w:sz w:val="16"/>
              </w:rPr>
              <w:t>146</w:t>
            </w:r>
          </w:p>
        </w:tc>
        <w:tc>
          <w:tcPr>
            <w:tcW w:w="1347" w:type="dxa"/>
          </w:tcPr>
          <w:p>
            <w:pPr>
              <w:pStyle w:val="TableParagraph"/>
              <w:spacing w:before="18"/>
              <w:ind w:left="855"/>
              <w:rPr>
                <w:sz w:val="16"/>
              </w:rPr>
            </w:pPr>
            <w:r>
              <w:rPr>
                <w:spacing w:val="-4"/>
                <w:sz w:val="16"/>
              </w:rPr>
              <w:t>0.06</w:t>
            </w:r>
          </w:p>
        </w:tc>
      </w:tr>
      <w:tr>
        <w:trPr>
          <w:trHeight w:val="214" w:hRule="atLeast"/>
        </w:trPr>
        <w:tc>
          <w:tcPr>
            <w:tcW w:w="2560" w:type="dxa"/>
          </w:tcPr>
          <w:p>
            <w:pPr>
              <w:pStyle w:val="TableParagraph"/>
              <w:spacing w:line="176" w:lineRule="exact" w:before="18"/>
              <w:ind w:left="52"/>
              <w:rPr>
                <w:sz w:val="16"/>
              </w:rPr>
            </w:pPr>
            <w:r>
              <w:rPr>
                <w:spacing w:val="-2"/>
                <w:sz w:val="16"/>
              </w:rPr>
              <w:t>Mongolia</w:t>
            </w:r>
          </w:p>
        </w:tc>
        <w:tc>
          <w:tcPr>
            <w:tcW w:w="1580" w:type="dxa"/>
            <w:gridSpan w:val="2"/>
          </w:tcPr>
          <w:p>
            <w:pPr>
              <w:pStyle w:val="TableParagraph"/>
              <w:spacing w:line="176" w:lineRule="exact" w:before="18"/>
              <w:ind w:right="126"/>
              <w:jc w:val="right"/>
              <w:rPr>
                <w:sz w:val="16"/>
              </w:rPr>
            </w:pPr>
            <w:r>
              <w:rPr>
                <w:spacing w:val="-5"/>
                <w:sz w:val="16"/>
              </w:rPr>
              <w:t>234</w:t>
            </w:r>
          </w:p>
        </w:tc>
        <w:tc>
          <w:tcPr>
            <w:tcW w:w="1221" w:type="dxa"/>
            <w:gridSpan w:val="2"/>
          </w:tcPr>
          <w:p>
            <w:pPr>
              <w:pStyle w:val="TableParagraph"/>
              <w:spacing w:line="176" w:lineRule="exact" w:before="18"/>
              <w:ind w:right="87"/>
              <w:jc w:val="right"/>
              <w:rPr>
                <w:sz w:val="16"/>
              </w:rPr>
            </w:pPr>
            <w:r>
              <w:rPr>
                <w:spacing w:val="-5"/>
                <w:sz w:val="16"/>
              </w:rPr>
              <w:t>100</w:t>
            </w:r>
          </w:p>
        </w:tc>
        <w:tc>
          <w:tcPr>
            <w:tcW w:w="1235" w:type="dxa"/>
            <w:gridSpan w:val="2"/>
          </w:tcPr>
          <w:p>
            <w:pPr>
              <w:pStyle w:val="TableParagraph"/>
              <w:spacing w:line="176" w:lineRule="exact" w:before="18"/>
              <w:ind w:right="62"/>
              <w:jc w:val="right"/>
              <w:rPr>
                <w:sz w:val="16"/>
              </w:rPr>
            </w:pPr>
            <w:r>
              <w:rPr>
                <w:spacing w:val="-5"/>
                <w:sz w:val="16"/>
              </w:rPr>
              <w:t>98</w:t>
            </w:r>
          </w:p>
        </w:tc>
        <w:tc>
          <w:tcPr>
            <w:tcW w:w="1305" w:type="dxa"/>
            <w:gridSpan w:val="2"/>
          </w:tcPr>
          <w:p>
            <w:pPr>
              <w:pStyle w:val="TableParagraph"/>
              <w:spacing w:line="176" w:lineRule="exact" w:before="18"/>
              <w:ind w:right="107"/>
              <w:jc w:val="right"/>
              <w:rPr>
                <w:sz w:val="16"/>
              </w:rPr>
            </w:pPr>
            <w:r>
              <w:rPr>
                <w:spacing w:val="-5"/>
                <w:sz w:val="16"/>
              </w:rPr>
              <w:t>36</w:t>
            </w:r>
          </w:p>
        </w:tc>
        <w:tc>
          <w:tcPr>
            <w:tcW w:w="1347" w:type="dxa"/>
          </w:tcPr>
          <w:p>
            <w:pPr>
              <w:pStyle w:val="TableParagraph"/>
              <w:spacing w:line="176" w:lineRule="exact" w:before="18"/>
              <w:ind w:left="855"/>
              <w:rPr>
                <w:sz w:val="16"/>
              </w:rPr>
            </w:pPr>
            <w:r>
              <w:rPr>
                <w:spacing w:val="-4"/>
                <w:sz w:val="16"/>
              </w:rPr>
              <w:t>0.01</w:t>
            </w:r>
          </w:p>
        </w:tc>
      </w:tr>
      <w:tr>
        <w:trPr>
          <w:trHeight w:val="235" w:hRule="atLeast"/>
        </w:trPr>
        <w:tc>
          <w:tcPr>
            <w:tcW w:w="2560" w:type="dxa"/>
          </w:tcPr>
          <w:p>
            <w:pPr>
              <w:pStyle w:val="TableParagraph"/>
              <w:spacing w:before="28"/>
              <w:ind w:left="52"/>
              <w:rPr>
                <w:sz w:val="16"/>
              </w:rPr>
            </w:pPr>
            <w:r>
              <w:rPr>
                <w:sz w:val="16"/>
              </w:rPr>
              <w:t>Montenegro</w:t>
            </w:r>
            <w:r>
              <w:rPr>
                <w:spacing w:val="-7"/>
                <w:sz w:val="16"/>
              </w:rPr>
              <w:t> </w:t>
            </w:r>
            <w:r>
              <w:rPr>
                <w:spacing w:val="-10"/>
                <w:sz w:val="16"/>
                <w:vertAlign w:val="superscript"/>
              </w:rPr>
              <w:t>b</w:t>
            </w:r>
          </w:p>
        </w:tc>
        <w:tc>
          <w:tcPr>
            <w:tcW w:w="1580" w:type="dxa"/>
            <w:gridSpan w:val="2"/>
          </w:tcPr>
          <w:p>
            <w:pPr>
              <w:pStyle w:val="TableParagraph"/>
              <w:spacing w:before="28"/>
              <w:ind w:right="126"/>
              <w:jc w:val="right"/>
              <w:rPr>
                <w:sz w:val="16"/>
              </w:rPr>
            </w:pPr>
            <w:r>
              <w:rPr>
                <w:spacing w:val="-5"/>
                <w:sz w:val="16"/>
              </w:rPr>
              <w:t>270</w:t>
            </w:r>
          </w:p>
        </w:tc>
        <w:tc>
          <w:tcPr>
            <w:tcW w:w="1221" w:type="dxa"/>
            <w:gridSpan w:val="2"/>
          </w:tcPr>
          <w:p>
            <w:pPr>
              <w:pStyle w:val="TableParagraph"/>
              <w:spacing w:before="28"/>
              <w:ind w:right="87"/>
              <w:jc w:val="right"/>
              <w:rPr>
                <w:sz w:val="16"/>
              </w:rPr>
            </w:pPr>
            <w:r>
              <w:rPr>
                <w:sz w:val="16"/>
              </w:rPr>
              <w:t>—</w:t>
            </w:r>
          </w:p>
        </w:tc>
        <w:tc>
          <w:tcPr>
            <w:tcW w:w="1235" w:type="dxa"/>
            <w:gridSpan w:val="2"/>
          </w:tcPr>
          <w:p>
            <w:pPr>
              <w:pStyle w:val="TableParagraph"/>
              <w:spacing w:before="28"/>
              <w:ind w:right="62"/>
              <w:jc w:val="right"/>
              <w:rPr>
                <w:sz w:val="16"/>
              </w:rPr>
            </w:pPr>
            <w:r>
              <w:rPr>
                <w:spacing w:val="-5"/>
                <w:sz w:val="16"/>
              </w:rPr>
              <w:t>75</w:t>
            </w:r>
          </w:p>
        </w:tc>
        <w:tc>
          <w:tcPr>
            <w:tcW w:w="1305" w:type="dxa"/>
            <w:gridSpan w:val="2"/>
          </w:tcPr>
          <w:p>
            <w:pPr>
              <w:pStyle w:val="TableParagraph"/>
              <w:spacing w:before="28"/>
              <w:ind w:right="107"/>
              <w:jc w:val="right"/>
              <w:rPr>
                <w:sz w:val="16"/>
              </w:rPr>
            </w:pPr>
            <w:r>
              <w:rPr>
                <w:spacing w:val="-5"/>
                <w:sz w:val="16"/>
              </w:rPr>
              <w:t>195</w:t>
            </w:r>
          </w:p>
        </w:tc>
        <w:tc>
          <w:tcPr>
            <w:tcW w:w="1347" w:type="dxa"/>
          </w:tcPr>
          <w:p>
            <w:pPr>
              <w:pStyle w:val="TableParagraph"/>
              <w:spacing w:before="28"/>
              <w:ind w:left="855"/>
              <w:rPr>
                <w:sz w:val="16"/>
              </w:rPr>
            </w:pPr>
            <w:r>
              <w:rPr>
                <w:spacing w:val="-4"/>
                <w:sz w:val="16"/>
              </w:rPr>
              <w:t>0.08</w:t>
            </w:r>
          </w:p>
        </w:tc>
      </w:tr>
      <w:tr>
        <w:trPr>
          <w:trHeight w:val="213" w:hRule="atLeast"/>
        </w:trPr>
        <w:tc>
          <w:tcPr>
            <w:tcW w:w="2560" w:type="dxa"/>
            <w:tcBorders>
              <w:bottom w:val="single" w:sz="8" w:space="0" w:color="000000"/>
            </w:tcBorders>
          </w:tcPr>
          <w:p>
            <w:pPr>
              <w:pStyle w:val="TableParagraph"/>
              <w:spacing w:line="176" w:lineRule="exact" w:before="18"/>
              <w:ind w:left="52"/>
              <w:rPr>
                <w:sz w:val="16"/>
              </w:rPr>
            </w:pPr>
            <w:r>
              <w:rPr>
                <w:spacing w:val="-2"/>
                <w:sz w:val="16"/>
              </w:rPr>
              <w:t>Morocco</w:t>
            </w:r>
          </w:p>
        </w:tc>
        <w:tc>
          <w:tcPr>
            <w:tcW w:w="1580" w:type="dxa"/>
            <w:gridSpan w:val="2"/>
            <w:tcBorders>
              <w:bottom w:val="single" w:sz="8" w:space="0" w:color="000000"/>
            </w:tcBorders>
          </w:tcPr>
          <w:p>
            <w:pPr>
              <w:pStyle w:val="TableParagraph"/>
              <w:spacing w:line="176" w:lineRule="exact" w:before="18"/>
              <w:ind w:left="963"/>
              <w:rPr>
                <w:sz w:val="16"/>
              </w:rPr>
            </w:pPr>
            <w:r>
              <w:rPr>
                <w:spacing w:val="-2"/>
                <w:sz w:val="16"/>
              </w:rPr>
              <w:t>12,787</w:t>
            </w:r>
          </w:p>
        </w:tc>
        <w:tc>
          <w:tcPr>
            <w:tcW w:w="1221" w:type="dxa"/>
            <w:gridSpan w:val="2"/>
            <w:tcBorders>
              <w:bottom w:val="single" w:sz="8" w:space="0" w:color="000000"/>
            </w:tcBorders>
          </w:tcPr>
          <w:p>
            <w:pPr>
              <w:pStyle w:val="TableParagraph"/>
              <w:spacing w:line="176" w:lineRule="exact" w:before="18"/>
              <w:ind w:left="732"/>
              <w:rPr>
                <w:sz w:val="16"/>
              </w:rPr>
            </w:pPr>
            <w:r>
              <w:rPr>
                <w:spacing w:val="-2"/>
                <w:sz w:val="16"/>
              </w:rPr>
              <w:t>1,137</w:t>
            </w:r>
          </w:p>
        </w:tc>
        <w:tc>
          <w:tcPr>
            <w:tcW w:w="1235" w:type="dxa"/>
            <w:gridSpan w:val="2"/>
            <w:tcBorders>
              <w:bottom w:val="single" w:sz="8" w:space="0" w:color="000000"/>
            </w:tcBorders>
          </w:tcPr>
          <w:p>
            <w:pPr>
              <w:pStyle w:val="TableParagraph"/>
              <w:spacing w:line="176" w:lineRule="exact" w:before="18"/>
              <w:ind w:left="771"/>
              <w:rPr>
                <w:sz w:val="16"/>
              </w:rPr>
            </w:pPr>
            <w:r>
              <w:rPr>
                <w:spacing w:val="-2"/>
                <w:sz w:val="16"/>
              </w:rPr>
              <w:t>2,737</w:t>
            </w:r>
          </w:p>
        </w:tc>
        <w:tc>
          <w:tcPr>
            <w:tcW w:w="1305" w:type="dxa"/>
            <w:gridSpan w:val="2"/>
            <w:tcBorders>
              <w:bottom w:val="single" w:sz="8" w:space="0" w:color="000000"/>
            </w:tcBorders>
          </w:tcPr>
          <w:p>
            <w:pPr>
              <w:pStyle w:val="TableParagraph"/>
              <w:spacing w:line="176" w:lineRule="exact" w:before="18"/>
              <w:ind w:left="796"/>
              <w:rPr>
                <w:sz w:val="16"/>
              </w:rPr>
            </w:pPr>
            <w:r>
              <w:rPr>
                <w:spacing w:val="-2"/>
                <w:sz w:val="16"/>
              </w:rPr>
              <w:t>8,913</w:t>
            </w:r>
          </w:p>
        </w:tc>
        <w:tc>
          <w:tcPr>
            <w:tcW w:w="1347" w:type="dxa"/>
            <w:tcBorders>
              <w:bottom w:val="single" w:sz="8" w:space="0" w:color="000000"/>
            </w:tcBorders>
          </w:tcPr>
          <w:p>
            <w:pPr>
              <w:pStyle w:val="TableParagraph"/>
              <w:spacing w:line="176" w:lineRule="exact" w:before="18"/>
              <w:ind w:left="855"/>
              <w:rPr>
                <w:sz w:val="16"/>
              </w:rPr>
            </w:pPr>
            <w:r>
              <w:rPr>
                <w:spacing w:val="-4"/>
                <w:sz w:val="16"/>
              </w:rPr>
              <w:t>3.65</w:t>
            </w:r>
          </w:p>
        </w:tc>
      </w:tr>
    </w:tbl>
    <w:p>
      <w:pPr>
        <w:pStyle w:val="TableParagraph"/>
        <w:spacing w:after="0" w:line="176" w:lineRule="exact"/>
        <w:rPr>
          <w:sz w:val="16"/>
        </w:rPr>
        <w:sectPr>
          <w:headerReference w:type="even" r:id="rId117"/>
          <w:footerReference w:type="even" r:id="rId118"/>
          <w:footerReference w:type="default" r:id="rId119"/>
          <w:pgSz w:w="12240" w:h="15840"/>
          <w:pgMar w:header="1030" w:footer="528" w:top="1600" w:bottom="720" w:left="720" w:right="720"/>
          <w:pgNumType w:start="84"/>
        </w:sectPr>
      </w:pPr>
    </w:p>
    <w:p>
      <w:pPr>
        <w:spacing w:before="61"/>
        <w:ind w:left="720" w:right="0" w:firstLine="0"/>
        <w:jc w:val="left"/>
        <w:rPr>
          <w:rFonts w:ascii="Arial"/>
          <w:i/>
          <w:sz w:val="28"/>
        </w:rPr>
      </w:pPr>
      <w:r>
        <w:rPr>
          <w:rFonts w:ascii="Arial MT"/>
          <w:sz w:val="28"/>
        </w:rPr>
        <w:t>SUMMARY</w:t>
      </w:r>
      <w:r>
        <w:rPr>
          <w:rFonts w:ascii="Arial MT"/>
          <w:spacing w:val="-18"/>
          <w:sz w:val="28"/>
        </w:rPr>
        <w:t> </w:t>
      </w:r>
      <w:r>
        <w:rPr>
          <w:rFonts w:ascii="Arial MT"/>
          <w:sz w:val="28"/>
        </w:rPr>
        <w:t>STATEMENT</w:t>
      </w:r>
      <w:r>
        <w:rPr>
          <w:rFonts w:ascii="Arial MT"/>
          <w:spacing w:val="-17"/>
          <w:sz w:val="28"/>
        </w:rPr>
        <w:t> </w:t>
      </w:r>
      <w:r>
        <w:rPr>
          <w:rFonts w:ascii="Arial MT"/>
          <w:sz w:val="28"/>
        </w:rPr>
        <w:t>OF</w:t>
      </w:r>
      <w:r>
        <w:rPr>
          <w:rFonts w:ascii="Arial MT"/>
          <w:spacing w:val="-14"/>
          <w:sz w:val="28"/>
        </w:rPr>
        <w:t> </w:t>
      </w:r>
      <w:r>
        <w:rPr>
          <w:rFonts w:ascii="Arial MT"/>
          <w:sz w:val="28"/>
        </w:rPr>
        <w:t>LOANS</w:t>
      </w:r>
      <w:r>
        <w:rPr>
          <w:rFonts w:ascii="Arial MT"/>
          <w:spacing w:val="-16"/>
          <w:sz w:val="28"/>
        </w:rPr>
        <w:t> </w:t>
      </w:r>
      <w:r>
        <w:rPr>
          <w:rFonts w:ascii="Arial"/>
          <w:i/>
          <w:spacing w:val="-2"/>
          <w:sz w:val="28"/>
        </w:rPr>
        <w:t>(continued)</w:t>
      </w:r>
    </w:p>
    <w:p>
      <w:pPr>
        <w:pStyle w:val="Heading7"/>
        <w:spacing w:before="26"/>
        <w:rPr>
          <w:rFonts w:ascii="Arial"/>
        </w:rPr>
      </w:pPr>
      <w:r>
        <w:rPr>
          <w:rFonts w:ascii="Arial"/>
        </w:rPr>
        <w:t>June</w:t>
      </w:r>
      <w:r>
        <w:rPr>
          <w:rFonts w:ascii="Arial"/>
          <w:spacing w:val="-2"/>
        </w:rPr>
        <w:t> </w:t>
      </w:r>
      <w:r>
        <w:rPr>
          <w:rFonts w:ascii="Arial"/>
        </w:rPr>
        <w:t>30,</w:t>
      </w:r>
      <w:r>
        <w:rPr>
          <w:rFonts w:ascii="Arial"/>
          <w:spacing w:val="-2"/>
        </w:rPr>
        <w:t> </w:t>
      </w:r>
      <w:r>
        <w:rPr>
          <w:rFonts w:ascii="Arial"/>
          <w:spacing w:val="-4"/>
        </w:rPr>
        <w:t>2023</w:t>
      </w:r>
    </w:p>
    <w:p>
      <w:pPr>
        <w:pStyle w:val="BodyText"/>
        <w:spacing w:before="8"/>
        <w:rPr>
          <w:rFonts w:ascii="Arial"/>
          <w:i/>
        </w:rPr>
      </w:pPr>
    </w:p>
    <w:p>
      <w:pPr>
        <w:pStyle w:val="BodyText"/>
        <w:spacing w:after="0"/>
        <w:rPr>
          <w:rFonts w:ascii="Arial"/>
          <w:i/>
        </w:rPr>
        <w:sectPr>
          <w:headerReference w:type="default" r:id="rId120"/>
          <w:pgSz w:w="12240" w:h="15840"/>
          <w:pgMar w:header="0" w:footer="0" w:top="960" w:bottom="720" w:left="720" w:right="720"/>
        </w:sectPr>
      </w:pPr>
    </w:p>
    <w:p>
      <w:pPr>
        <w:spacing w:before="94"/>
        <w:ind w:left="720" w:right="0" w:firstLine="0"/>
        <w:jc w:val="left"/>
        <w:rPr>
          <w:rFonts w:ascii="Arial"/>
          <w:i/>
          <w:sz w:val="20"/>
        </w:rPr>
      </w:pPr>
      <w:r>
        <w:rPr>
          <w:rFonts w:ascii="Arial"/>
          <w:i/>
          <w:sz w:val="20"/>
        </w:rPr>
        <mc:AlternateContent>
          <mc:Choice Requires="wps">
            <w:drawing>
              <wp:anchor distT="0" distB="0" distL="0" distR="0" allowOverlap="1" layoutInCell="1" locked="0" behindDoc="0" simplePos="0" relativeHeight="15820288">
                <wp:simplePos x="0" y="0"/>
                <wp:positionH relativeFrom="page">
                  <wp:posOffset>914400</wp:posOffset>
                </wp:positionH>
                <wp:positionV relativeFrom="paragraph">
                  <wp:posOffset>213403</wp:posOffset>
                </wp:positionV>
                <wp:extent cx="5886450" cy="127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5886450" cy="1270"/>
                        </a:xfrm>
                        <a:custGeom>
                          <a:avLst/>
                          <a:gdLst/>
                          <a:ahLst/>
                          <a:cxnLst/>
                          <a:rect l="l" t="t" r="r" b="b"/>
                          <a:pathLst>
                            <a:path w="5886450" h="0">
                              <a:moveTo>
                                <a:pt x="0" y="0"/>
                              </a:moveTo>
                              <a:lnTo>
                                <a:pt x="5886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288" from="72pt,16.803408pt" to="535.5pt,16.803408pt" stroked="true" strokeweight="1pt" strokecolor="#000000">
                <v:stroke dashstyle="solid"/>
                <w10:wrap type="none"/>
              </v:line>
            </w:pict>
          </mc:Fallback>
        </mc:AlternateContent>
      </w: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p>
      <w:pPr>
        <w:pStyle w:val="BodyText"/>
        <w:spacing w:before="102"/>
        <w:rPr>
          <w:rFonts w:ascii="Arial"/>
          <w:i/>
          <w:sz w:val="16"/>
        </w:rPr>
      </w:pPr>
      <w:r>
        <w:rPr/>
        <w:br w:type="column"/>
      </w:r>
      <w:r>
        <w:rPr>
          <w:rFonts w:ascii="Arial"/>
          <w:i/>
          <w:sz w:val="16"/>
        </w:rPr>
      </w:r>
    </w:p>
    <w:p>
      <w:pPr>
        <w:spacing w:line="260" w:lineRule="atLeast" w:before="0"/>
        <w:ind w:left="720" w:right="38" w:firstLine="97"/>
        <w:jc w:val="left"/>
        <w:rPr>
          <w:rFonts w:ascii="Arial"/>
          <w:i/>
          <w:sz w:val="16"/>
        </w:rPr>
      </w:pPr>
      <w:r>
        <w:rPr>
          <w:rFonts w:ascii="Arial"/>
          <w:i/>
          <w:sz w:val="16"/>
        </w:rPr>
        <mc:AlternateContent>
          <mc:Choice Requires="wps">
            <w:drawing>
              <wp:anchor distT="0" distB="0" distL="0" distR="0" allowOverlap="1" layoutInCell="1" locked="0" behindDoc="0" simplePos="0" relativeHeight="15820800">
                <wp:simplePos x="0" y="0"/>
                <wp:positionH relativeFrom="page">
                  <wp:posOffset>3543300</wp:posOffset>
                </wp:positionH>
                <wp:positionV relativeFrom="paragraph">
                  <wp:posOffset>184203</wp:posOffset>
                </wp:positionV>
                <wp:extent cx="1562100" cy="1270"/>
                <wp:effectExtent l="0" t="0" r="0" b="0"/>
                <wp:wrapNone/>
                <wp:docPr id="679" name="Graphic 679"/>
                <wp:cNvGraphicFramePr>
                  <a:graphicFrameLocks/>
                </wp:cNvGraphicFramePr>
                <a:graphic>
                  <a:graphicData uri="http://schemas.microsoft.com/office/word/2010/wordprocessingShape">
                    <wps:wsp>
                      <wps:cNvPr id="679" name="Graphic 679"/>
                      <wps:cNvSpPr/>
                      <wps:spPr>
                        <a:xfrm>
                          <a:off x="0" y="0"/>
                          <a:ext cx="1562100" cy="1270"/>
                        </a:xfrm>
                        <a:custGeom>
                          <a:avLst/>
                          <a:gdLst/>
                          <a:ahLst/>
                          <a:cxnLst/>
                          <a:rect l="l" t="t" r="r" b="b"/>
                          <a:pathLst>
                            <a:path w="1562100" h="0">
                              <a:moveTo>
                                <a:pt x="0" y="0"/>
                              </a:moveTo>
                              <a:lnTo>
                                <a:pt x="1562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0800" from="279pt,14.504189pt" to="402pt,14.504189pt" stroked="true" strokeweight="1pt" strokecolor="#000000">
                <v:stroke dashstyle="solid"/>
                <w10:wrap type="none"/>
              </v:line>
            </w:pict>
          </mc:Fallback>
        </mc:AlternateContent>
      </w:r>
      <w:r>
        <w:rPr>
          <w:rFonts w:ascii="Arial"/>
          <w:i/>
          <w:sz w:val="16"/>
        </w:rPr>
        <w:t>Undisbursed</w:t>
      </w:r>
      <w:r>
        <w:rPr>
          <w:rFonts w:ascii="Arial"/>
          <w:i/>
          <w:spacing w:val="-12"/>
          <w:sz w:val="16"/>
        </w:rPr>
        <w:t> </w:t>
      </w:r>
      <w:r>
        <w:rPr>
          <w:rFonts w:ascii="Arial"/>
          <w:i/>
          <w:sz w:val="16"/>
        </w:rPr>
        <w:t>balance </w:t>
      </w:r>
      <w:r>
        <w:rPr>
          <w:rFonts w:ascii="Arial"/>
          <w:i/>
          <w:spacing w:val="-2"/>
          <w:sz w:val="16"/>
        </w:rPr>
        <w:t>Loans</w:t>
      </w:r>
    </w:p>
    <w:p>
      <w:pPr>
        <w:pStyle w:val="BodyText"/>
        <w:rPr>
          <w:rFonts w:ascii="Arial"/>
          <w:i/>
          <w:sz w:val="16"/>
        </w:rPr>
      </w:pPr>
      <w:r>
        <w:rPr/>
        <w:br w:type="column"/>
      </w:r>
      <w:r>
        <w:rPr>
          <w:rFonts w:ascii="Arial"/>
          <w:i/>
          <w:sz w:val="16"/>
        </w:rPr>
      </w:r>
    </w:p>
    <w:p>
      <w:pPr>
        <w:pStyle w:val="BodyText"/>
        <w:rPr>
          <w:rFonts w:ascii="Arial"/>
          <w:i/>
          <w:sz w:val="16"/>
        </w:rPr>
      </w:pPr>
    </w:p>
    <w:p>
      <w:pPr>
        <w:pStyle w:val="BodyText"/>
        <w:spacing w:before="71"/>
        <w:rPr>
          <w:rFonts w:ascii="Arial"/>
          <w:i/>
          <w:sz w:val="16"/>
        </w:rPr>
      </w:pPr>
    </w:p>
    <w:p>
      <w:pPr>
        <w:spacing w:before="1"/>
        <w:ind w:left="720" w:right="0" w:firstLine="0"/>
        <w:jc w:val="left"/>
        <w:rPr>
          <w:rFonts w:ascii="Arial"/>
          <w:i/>
          <w:sz w:val="16"/>
        </w:rPr>
      </w:pPr>
      <w:r>
        <w:rPr>
          <w:rFonts w:ascii="Arial"/>
          <w:i/>
          <w:sz w:val="16"/>
        </w:rPr>
        <w:t>Percentage</w:t>
      </w:r>
      <w:r>
        <w:rPr>
          <w:rFonts w:ascii="Arial"/>
          <w:i/>
          <w:spacing w:val="-6"/>
          <w:sz w:val="16"/>
        </w:rPr>
        <w:t> </w:t>
      </w:r>
      <w:r>
        <w:rPr>
          <w:rFonts w:ascii="Arial"/>
          <w:i/>
          <w:spacing w:val="-5"/>
          <w:sz w:val="16"/>
        </w:rPr>
        <w:t>of</w:t>
      </w:r>
    </w:p>
    <w:p>
      <w:pPr>
        <w:spacing w:after="0"/>
        <w:jc w:val="left"/>
        <w:rPr>
          <w:rFonts w:ascii="Arial"/>
          <w:i/>
          <w:sz w:val="16"/>
        </w:rPr>
        <w:sectPr>
          <w:type w:val="continuous"/>
          <w:pgSz w:w="12240" w:h="15840"/>
          <w:pgMar w:header="0" w:footer="0" w:top="1820" w:bottom="280" w:left="720" w:right="720"/>
          <w:cols w:num="3" w:equalWidth="0">
            <w:col w:w="3948" w:space="574"/>
            <w:col w:w="2359" w:space="1142"/>
            <w:col w:w="2777"/>
          </w:cols>
        </w:sectPr>
      </w:pPr>
    </w:p>
    <w:p>
      <w:pPr>
        <w:pStyle w:val="BodyText"/>
        <w:spacing w:before="15"/>
        <w:rPr>
          <w:rFonts w:ascii="Arial"/>
          <w:i/>
          <w:sz w:val="16"/>
        </w:rPr>
      </w:pPr>
    </w:p>
    <w:p>
      <w:pPr>
        <w:spacing w:before="1"/>
        <w:ind w:left="720" w:right="0" w:firstLine="0"/>
        <w:jc w:val="left"/>
        <w:rPr>
          <w:rFonts w:ascii="Arial"/>
          <w:i/>
          <w:sz w:val="16"/>
        </w:rPr>
      </w:pPr>
      <w:r>
        <w:rPr>
          <w:rFonts w:ascii="Arial"/>
          <w:i/>
          <w:sz w:val="16"/>
        </w:rPr>
        <w:t>Borrower</w:t>
      </w:r>
      <w:r>
        <w:rPr>
          <w:rFonts w:ascii="Arial"/>
          <w:i/>
          <w:spacing w:val="-3"/>
          <w:sz w:val="16"/>
        </w:rPr>
        <w:t> </w:t>
      </w:r>
      <w:r>
        <w:rPr>
          <w:rFonts w:ascii="Arial"/>
          <w:i/>
          <w:sz w:val="16"/>
        </w:rPr>
        <w:t>or</w:t>
      </w:r>
      <w:r>
        <w:rPr>
          <w:rFonts w:ascii="Arial"/>
          <w:i/>
          <w:spacing w:val="-2"/>
          <w:sz w:val="16"/>
        </w:rPr>
        <w:t> guarantor</w:t>
      </w:r>
    </w:p>
    <w:p>
      <w:pPr>
        <w:pStyle w:val="BodyText"/>
        <w:spacing w:before="15"/>
        <w:rPr>
          <w:rFonts w:ascii="Arial"/>
          <w:i/>
          <w:sz w:val="16"/>
        </w:rPr>
      </w:pPr>
      <w:r>
        <w:rPr/>
        <w:br w:type="column"/>
      </w:r>
      <w:r>
        <w:rPr>
          <w:rFonts w:ascii="Arial"/>
          <w:i/>
          <w:sz w:val="16"/>
        </w:rPr>
      </w:r>
    </w:p>
    <w:p>
      <w:pPr>
        <w:spacing w:before="1"/>
        <w:ind w:left="720" w:right="0" w:firstLine="0"/>
        <w:jc w:val="left"/>
        <w:rPr>
          <w:rFonts w:ascii="Arial"/>
          <w:i/>
          <w:sz w:val="16"/>
        </w:rPr>
      </w:pPr>
      <w:r>
        <w:rPr>
          <w:rFonts w:ascii="Arial"/>
          <w:i/>
          <w:sz w:val="16"/>
        </w:rPr>
        <w:t>Total</w:t>
      </w:r>
      <w:r>
        <w:rPr>
          <w:rFonts w:ascii="Arial"/>
          <w:i/>
          <w:spacing w:val="-4"/>
          <w:sz w:val="16"/>
        </w:rPr>
        <w:t> </w:t>
      </w:r>
      <w:r>
        <w:rPr>
          <w:rFonts w:ascii="Arial"/>
          <w:i/>
          <w:sz w:val="16"/>
        </w:rPr>
        <w:t>loans</w:t>
      </w:r>
      <w:r>
        <w:rPr>
          <w:rFonts w:ascii="Arial"/>
          <w:i/>
          <w:spacing w:val="-4"/>
          <w:sz w:val="16"/>
        </w:rPr>
        <w:t> </w:t>
      </w:r>
      <w:r>
        <w:rPr>
          <w:rFonts w:ascii="Arial"/>
          <w:i/>
          <w:spacing w:val="-5"/>
          <w:sz w:val="16"/>
          <w:vertAlign w:val="superscript"/>
        </w:rPr>
        <w:t>a,b</w:t>
      </w:r>
    </w:p>
    <w:p>
      <w:pPr>
        <w:spacing w:line="249" w:lineRule="auto" w:before="8"/>
        <w:ind w:left="237" w:right="0" w:firstLine="31"/>
        <w:jc w:val="left"/>
        <w:rPr>
          <w:rFonts w:ascii="Arial"/>
          <w:i/>
          <w:sz w:val="16"/>
        </w:rPr>
      </w:pPr>
      <w:r>
        <w:rPr/>
        <w:br w:type="column"/>
      </w:r>
      <w:r>
        <w:rPr>
          <w:rFonts w:ascii="Arial"/>
          <w:i/>
          <w:sz w:val="16"/>
        </w:rPr>
        <w:t>approved</w:t>
      </w:r>
      <w:r>
        <w:rPr>
          <w:rFonts w:ascii="Arial"/>
          <w:i/>
          <w:spacing w:val="-10"/>
          <w:sz w:val="16"/>
        </w:rPr>
        <w:t> </w:t>
      </w:r>
      <w:r>
        <w:rPr>
          <w:rFonts w:ascii="Arial"/>
          <w:i/>
          <w:sz w:val="16"/>
        </w:rPr>
        <w:t>but not</w:t>
      </w:r>
      <w:r>
        <w:rPr>
          <w:rFonts w:ascii="Arial"/>
          <w:i/>
          <w:spacing w:val="-2"/>
          <w:sz w:val="16"/>
        </w:rPr>
        <w:t> </w:t>
      </w:r>
      <w:r>
        <w:rPr>
          <w:rFonts w:ascii="Arial"/>
          <w:i/>
          <w:sz w:val="16"/>
        </w:rPr>
        <w:t>yet</w:t>
      </w:r>
      <w:r>
        <w:rPr>
          <w:rFonts w:ascii="Arial"/>
          <w:i/>
          <w:spacing w:val="-1"/>
          <w:sz w:val="16"/>
        </w:rPr>
        <w:t> </w:t>
      </w:r>
      <w:r>
        <w:rPr>
          <w:rFonts w:ascii="Arial"/>
          <w:i/>
          <w:spacing w:val="-2"/>
          <w:sz w:val="16"/>
        </w:rPr>
        <w:t>signed</w:t>
      </w:r>
    </w:p>
    <w:p>
      <w:pPr>
        <w:spacing w:line="249" w:lineRule="auto" w:before="8"/>
        <w:ind w:left="238" w:right="0" w:firstLine="61"/>
        <w:jc w:val="left"/>
        <w:rPr>
          <w:rFonts w:ascii="Arial"/>
          <w:i/>
          <w:sz w:val="16"/>
        </w:rPr>
      </w:pPr>
      <w:r>
        <w:rPr/>
        <w:br w:type="column"/>
      </w:r>
      <w:r>
        <w:rPr>
          <w:rFonts w:ascii="Arial"/>
          <w:i/>
          <w:sz w:val="16"/>
        </w:rPr>
        <w:t>Signed loan commitment</w:t>
      </w:r>
      <w:r>
        <w:rPr>
          <w:rFonts w:ascii="Arial"/>
          <w:i/>
          <w:spacing w:val="-5"/>
          <w:sz w:val="16"/>
        </w:rPr>
        <w:t> </w:t>
      </w:r>
      <w:r>
        <w:rPr>
          <w:rFonts w:ascii="Arial"/>
          <w:i/>
          <w:spacing w:val="-10"/>
          <w:sz w:val="16"/>
          <w:vertAlign w:val="superscript"/>
        </w:rPr>
        <w:t>c</w:t>
      </w:r>
    </w:p>
    <w:p>
      <w:pPr>
        <w:spacing w:line="249" w:lineRule="auto" w:before="8"/>
        <w:ind w:left="305" w:right="0" w:firstLine="213"/>
        <w:jc w:val="left"/>
        <w:rPr>
          <w:rFonts w:ascii="Arial"/>
          <w:i/>
          <w:sz w:val="16"/>
        </w:rPr>
      </w:pPr>
      <w:r>
        <w:rPr/>
        <w:br w:type="column"/>
      </w:r>
      <w:r>
        <w:rPr>
          <w:rFonts w:ascii="Arial"/>
          <w:i/>
          <w:spacing w:val="-2"/>
          <w:sz w:val="16"/>
        </w:rPr>
        <w:t>Loans Outstanding</w:t>
      </w:r>
    </w:p>
    <w:p>
      <w:pPr>
        <w:spacing w:line="249" w:lineRule="auto" w:before="8"/>
        <w:ind w:left="324" w:right="1093" w:firstLine="100"/>
        <w:jc w:val="left"/>
        <w:rPr>
          <w:rFonts w:ascii="Arial"/>
          <w:i/>
          <w:sz w:val="16"/>
        </w:rPr>
      </w:pPr>
      <w:r>
        <w:rPr/>
        <w:br w:type="column"/>
      </w:r>
      <w:r>
        <w:rPr>
          <w:rFonts w:ascii="Arial"/>
          <w:i/>
          <w:sz w:val="16"/>
        </w:rPr>
        <w:t>total loans outstanding</w:t>
      </w:r>
      <w:r>
        <w:rPr>
          <w:rFonts w:ascii="Arial"/>
          <w:i/>
          <w:spacing w:val="-12"/>
          <w:sz w:val="16"/>
        </w:rPr>
        <w:t> </w:t>
      </w:r>
      <w:r>
        <w:rPr>
          <w:rFonts w:ascii="Arial"/>
          <w:i/>
          <w:sz w:val="16"/>
          <w:vertAlign w:val="superscript"/>
        </w:rPr>
        <w:t>d</w:t>
      </w:r>
    </w:p>
    <w:p>
      <w:pPr>
        <w:spacing w:after="0" w:line="249" w:lineRule="auto"/>
        <w:jc w:val="left"/>
        <w:rPr>
          <w:rFonts w:ascii="Arial"/>
          <w:i/>
          <w:sz w:val="16"/>
        </w:rPr>
        <w:sectPr>
          <w:type w:val="continuous"/>
          <w:pgSz w:w="12240" w:h="15840"/>
          <w:pgMar w:header="0" w:footer="0" w:top="1820" w:bottom="280" w:left="720" w:right="720"/>
          <w:cols w:num="6" w:equalWidth="0">
            <w:col w:w="2324" w:space="671"/>
            <w:col w:w="1691" w:space="40"/>
            <w:col w:w="1233" w:space="39"/>
            <w:col w:w="1206" w:space="39"/>
            <w:col w:w="1168" w:space="40"/>
            <w:col w:w="2349"/>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0"/>
        <w:gridCol w:w="1222"/>
        <w:gridCol w:w="1260"/>
        <w:gridCol w:w="1260"/>
        <w:gridCol w:w="1595"/>
        <w:gridCol w:w="1052"/>
      </w:tblGrid>
      <w:tr>
        <w:trPr>
          <w:trHeight w:val="220" w:hRule="atLeast"/>
        </w:trPr>
        <w:tc>
          <w:tcPr>
            <w:tcW w:w="2880" w:type="dxa"/>
            <w:tcBorders>
              <w:top w:val="single" w:sz="8" w:space="0" w:color="000000"/>
            </w:tcBorders>
            <w:shd w:val="clear" w:color="auto" w:fill="D8D8D8"/>
          </w:tcPr>
          <w:p>
            <w:pPr>
              <w:pStyle w:val="TableParagraph"/>
              <w:spacing w:line="184" w:lineRule="exact" w:before="16"/>
              <w:ind w:left="52"/>
              <w:rPr>
                <w:sz w:val="16"/>
              </w:rPr>
            </w:pPr>
            <w:r>
              <w:rPr>
                <w:sz w:val="16"/>
              </w:rPr>
              <w:t>Nigeria</w:t>
            </w:r>
            <w:r>
              <w:rPr>
                <w:spacing w:val="-6"/>
                <w:sz w:val="16"/>
              </w:rPr>
              <w:t> </w:t>
            </w:r>
            <w:r>
              <w:rPr>
                <w:spacing w:val="-10"/>
                <w:sz w:val="16"/>
                <w:vertAlign w:val="superscript"/>
              </w:rPr>
              <w:t>a</w:t>
            </w:r>
          </w:p>
        </w:tc>
        <w:tc>
          <w:tcPr>
            <w:tcW w:w="1222" w:type="dxa"/>
            <w:tcBorders>
              <w:top w:val="single" w:sz="8" w:space="0" w:color="000000"/>
            </w:tcBorders>
            <w:shd w:val="clear" w:color="auto" w:fill="D8D8D8"/>
          </w:tcPr>
          <w:p>
            <w:pPr>
              <w:pStyle w:val="TableParagraph"/>
              <w:tabs>
                <w:tab w:pos="679" w:val="left" w:leader="none"/>
              </w:tabs>
              <w:spacing w:line="184" w:lineRule="exact" w:before="16"/>
              <w:ind w:right="88"/>
              <w:jc w:val="right"/>
              <w:rPr>
                <w:sz w:val="16"/>
              </w:rPr>
            </w:pPr>
            <w:r>
              <w:rPr>
                <w:spacing w:val="-10"/>
                <w:sz w:val="16"/>
              </w:rPr>
              <w:t>$</w:t>
            </w:r>
            <w:r>
              <w:rPr>
                <w:sz w:val="16"/>
              </w:rPr>
              <w:tab/>
            </w:r>
            <w:r>
              <w:rPr>
                <w:spacing w:val="-2"/>
                <w:sz w:val="16"/>
              </w:rPr>
              <w:t>1,446</w:t>
            </w:r>
          </w:p>
        </w:tc>
        <w:tc>
          <w:tcPr>
            <w:tcW w:w="1260" w:type="dxa"/>
            <w:tcBorders>
              <w:top w:val="single" w:sz="8" w:space="0" w:color="000000"/>
            </w:tcBorders>
            <w:shd w:val="clear" w:color="auto" w:fill="D8D8D8"/>
          </w:tcPr>
          <w:p>
            <w:pPr>
              <w:pStyle w:val="TableParagraph"/>
              <w:tabs>
                <w:tab w:pos="812" w:val="left" w:leader="none"/>
              </w:tabs>
              <w:spacing w:line="184" w:lineRule="exact" w:before="16"/>
              <w:ind w:right="88"/>
              <w:jc w:val="right"/>
              <w:rPr>
                <w:sz w:val="16"/>
              </w:rPr>
            </w:pPr>
            <w:r>
              <w:rPr>
                <w:spacing w:val="-10"/>
                <w:sz w:val="16"/>
              </w:rPr>
              <w:t>$</w:t>
            </w:r>
            <w:r>
              <w:rPr>
                <w:sz w:val="16"/>
              </w:rPr>
              <w:tab/>
            </w:r>
            <w:r>
              <w:rPr>
                <w:spacing w:val="-5"/>
                <w:sz w:val="16"/>
              </w:rPr>
              <w:t>449</w:t>
            </w:r>
          </w:p>
        </w:tc>
        <w:tc>
          <w:tcPr>
            <w:tcW w:w="1260" w:type="dxa"/>
            <w:tcBorders>
              <w:top w:val="single" w:sz="8" w:space="0" w:color="000000"/>
            </w:tcBorders>
            <w:shd w:val="clear" w:color="auto" w:fill="D8D8D8"/>
          </w:tcPr>
          <w:p>
            <w:pPr>
              <w:pStyle w:val="TableParagraph"/>
              <w:tabs>
                <w:tab w:pos="812" w:val="left" w:leader="none"/>
              </w:tabs>
              <w:spacing w:line="184" w:lineRule="exact" w:before="16"/>
              <w:ind w:right="88"/>
              <w:jc w:val="right"/>
              <w:rPr>
                <w:sz w:val="16"/>
              </w:rPr>
            </w:pPr>
            <w:r>
              <w:rPr>
                <w:spacing w:val="-10"/>
                <w:sz w:val="16"/>
              </w:rPr>
              <w:t>$</w:t>
            </w:r>
            <w:r>
              <w:rPr>
                <w:sz w:val="16"/>
              </w:rPr>
              <w:tab/>
            </w:r>
            <w:r>
              <w:rPr>
                <w:spacing w:val="-5"/>
                <w:sz w:val="16"/>
              </w:rPr>
              <w:t>510</w:t>
            </w:r>
          </w:p>
        </w:tc>
        <w:tc>
          <w:tcPr>
            <w:tcW w:w="1595" w:type="dxa"/>
            <w:tcBorders>
              <w:top w:val="single" w:sz="8" w:space="0" w:color="000000"/>
            </w:tcBorders>
            <w:shd w:val="clear" w:color="auto" w:fill="D8D8D8"/>
          </w:tcPr>
          <w:p>
            <w:pPr>
              <w:pStyle w:val="TableParagraph"/>
              <w:tabs>
                <w:tab w:pos="812" w:val="left" w:leader="none"/>
              </w:tabs>
              <w:spacing w:line="184" w:lineRule="exact" w:before="16"/>
              <w:ind w:right="423"/>
              <w:jc w:val="right"/>
              <w:rPr>
                <w:sz w:val="16"/>
              </w:rPr>
            </w:pPr>
            <w:r>
              <w:rPr>
                <w:spacing w:val="-10"/>
                <w:sz w:val="16"/>
              </w:rPr>
              <w:t>$</w:t>
            </w:r>
            <w:r>
              <w:rPr>
                <w:sz w:val="16"/>
              </w:rPr>
              <w:tab/>
            </w:r>
            <w:r>
              <w:rPr>
                <w:spacing w:val="-5"/>
                <w:sz w:val="16"/>
              </w:rPr>
              <w:t>487</w:t>
            </w:r>
          </w:p>
        </w:tc>
        <w:tc>
          <w:tcPr>
            <w:tcW w:w="1052" w:type="dxa"/>
            <w:tcBorders>
              <w:top w:val="single" w:sz="8" w:space="0" w:color="000000"/>
            </w:tcBorders>
            <w:shd w:val="clear" w:color="auto" w:fill="D8D8D8"/>
          </w:tcPr>
          <w:p>
            <w:pPr>
              <w:pStyle w:val="TableParagraph"/>
              <w:spacing w:line="184" w:lineRule="exact" w:before="16"/>
              <w:ind w:left="539"/>
              <w:rPr>
                <w:sz w:val="16"/>
              </w:rPr>
            </w:pPr>
            <w:r>
              <w:rPr>
                <w:sz w:val="16"/>
              </w:rPr>
              <w:t>0.20</w:t>
            </w:r>
            <w:r>
              <w:rPr>
                <w:spacing w:val="9"/>
                <w:sz w:val="16"/>
              </w:rPr>
              <w:t> </w:t>
            </w:r>
            <w:r>
              <w:rPr>
                <w:spacing w:val="-10"/>
                <w:sz w:val="16"/>
              </w:rPr>
              <w:t>%</w:t>
            </w:r>
          </w:p>
        </w:tc>
      </w:tr>
      <w:tr>
        <w:trPr>
          <w:trHeight w:val="240" w:hRule="atLeast"/>
        </w:trPr>
        <w:tc>
          <w:tcPr>
            <w:tcW w:w="2880" w:type="dxa"/>
            <w:shd w:val="clear" w:color="auto" w:fill="D8D8D8"/>
          </w:tcPr>
          <w:p>
            <w:pPr>
              <w:pStyle w:val="TableParagraph"/>
              <w:spacing w:line="184" w:lineRule="exact" w:before="36"/>
              <w:ind w:left="52"/>
              <w:rPr>
                <w:sz w:val="16"/>
              </w:rPr>
            </w:pPr>
            <w:r>
              <w:rPr>
                <w:sz w:val="16"/>
              </w:rPr>
              <w:t>North</w:t>
            </w:r>
            <w:r>
              <w:rPr>
                <w:spacing w:val="-5"/>
                <w:sz w:val="16"/>
              </w:rPr>
              <w:t> </w:t>
            </w:r>
            <w:r>
              <w:rPr>
                <w:sz w:val="16"/>
              </w:rPr>
              <w:t>Macedonia</w:t>
            </w:r>
            <w:r>
              <w:rPr>
                <w:spacing w:val="-5"/>
                <w:sz w:val="16"/>
              </w:rPr>
              <w:t> </w:t>
            </w:r>
            <w:r>
              <w:rPr>
                <w:spacing w:val="-10"/>
                <w:sz w:val="16"/>
                <w:vertAlign w:val="superscript"/>
              </w:rPr>
              <w:t>b</w:t>
            </w:r>
          </w:p>
        </w:tc>
        <w:tc>
          <w:tcPr>
            <w:tcW w:w="1222" w:type="dxa"/>
            <w:shd w:val="clear" w:color="auto" w:fill="D8D8D8"/>
          </w:tcPr>
          <w:p>
            <w:pPr>
              <w:pStyle w:val="TableParagraph"/>
              <w:spacing w:line="184" w:lineRule="exact" w:before="36"/>
              <w:ind w:right="88"/>
              <w:jc w:val="right"/>
              <w:rPr>
                <w:sz w:val="16"/>
              </w:rPr>
            </w:pPr>
            <w:r>
              <w:rPr>
                <w:spacing w:val="-5"/>
                <w:sz w:val="16"/>
              </w:rPr>
              <w:t>857</w:t>
            </w:r>
          </w:p>
        </w:tc>
        <w:tc>
          <w:tcPr>
            <w:tcW w:w="1260" w:type="dxa"/>
            <w:shd w:val="clear" w:color="auto" w:fill="D8D8D8"/>
          </w:tcPr>
          <w:p>
            <w:pPr>
              <w:pStyle w:val="TableParagraph"/>
              <w:spacing w:line="184" w:lineRule="exact" w:before="36"/>
              <w:ind w:right="88"/>
              <w:jc w:val="right"/>
              <w:rPr>
                <w:sz w:val="16"/>
              </w:rPr>
            </w:pPr>
            <w:r>
              <w:rPr>
                <w:sz w:val="16"/>
              </w:rPr>
              <w:t>—</w:t>
            </w:r>
          </w:p>
        </w:tc>
        <w:tc>
          <w:tcPr>
            <w:tcW w:w="1260" w:type="dxa"/>
            <w:shd w:val="clear" w:color="auto" w:fill="D8D8D8"/>
          </w:tcPr>
          <w:p>
            <w:pPr>
              <w:pStyle w:val="TableParagraph"/>
              <w:spacing w:line="184" w:lineRule="exact" w:before="36"/>
              <w:ind w:right="88"/>
              <w:jc w:val="right"/>
              <w:rPr>
                <w:sz w:val="16"/>
              </w:rPr>
            </w:pPr>
            <w:r>
              <w:rPr>
                <w:spacing w:val="-5"/>
                <w:sz w:val="16"/>
              </w:rPr>
              <w:t>231</w:t>
            </w:r>
          </w:p>
        </w:tc>
        <w:tc>
          <w:tcPr>
            <w:tcW w:w="1595" w:type="dxa"/>
            <w:shd w:val="clear" w:color="auto" w:fill="D8D8D8"/>
          </w:tcPr>
          <w:p>
            <w:pPr>
              <w:pStyle w:val="TableParagraph"/>
              <w:spacing w:line="184" w:lineRule="exact" w:before="36"/>
              <w:ind w:right="423"/>
              <w:jc w:val="right"/>
              <w:rPr>
                <w:sz w:val="16"/>
              </w:rPr>
            </w:pPr>
            <w:r>
              <w:rPr>
                <w:spacing w:val="-5"/>
                <w:sz w:val="16"/>
              </w:rPr>
              <w:t>626</w:t>
            </w:r>
          </w:p>
        </w:tc>
        <w:tc>
          <w:tcPr>
            <w:tcW w:w="1052" w:type="dxa"/>
            <w:shd w:val="clear" w:color="auto" w:fill="D8D8D8"/>
          </w:tcPr>
          <w:p>
            <w:pPr>
              <w:pStyle w:val="TableParagraph"/>
              <w:spacing w:line="184" w:lineRule="exact" w:before="36"/>
              <w:ind w:left="539"/>
              <w:rPr>
                <w:sz w:val="16"/>
              </w:rPr>
            </w:pPr>
            <w:r>
              <w:rPr>
                <w:spacing w:val="-4"/>
                <w:sz w:val="16"/>
              </w:rPr>
              <w:t>0.26</w:t>
            </w:r>
          </w:p>
        </w:tc>
      </w:tr>
      <w:tr>
        <w:trPr>
          <w:trHeight w:val="240" w:hRule="atLeast"/>
        </w:trPr>
        <w:tc>
          <w:tcPr>
            <w:tcW w:w="2880" w:type="dxa"/>
            <w:shd w:val="clear" w:color="auto" w:fill="D8D8D8"/>
          </w:tcPr>
          <w:p>
            <w:pPr>
              <w:pStyle w:val="TableParagraph"/>
              <w:spacing w:line="184" w:lineRule="exact" w:before="36"/>
              <w:ind w:left="52"/>
              <w:rPr>
                <w:sz w:val="16"/>
              </w:rPr>
            </w:pPr>
            <w:r>
              <w:rPr>
                <w:sz w:val="16"/>
              </w:rPr>
              <w:t>Pakistan</w:t>
            </w:r>
            <w:r>
              <w:rPr>
                <w:spacing w:val="-4"/>
                <w:sz w:val="16"/>
              </w:rPr>
              <w:t> </w:t>
            </w:r>
            <w:r>
              <w:rPr>
                <w:spacing w:val="-10"/>
                <w:sz w:val="16"/>
                <w:vertAlign w:val="superscript"/>
              </w:rPr>
              <w:t>b</w:t>
            </w:r>
          </w:p>
        </w:tc>
        <w:tc>
          <w:tcPr>
            <w:tcW w:w="1222" w:type="dxa"/>
            <w:shd w:val="clear" w:color="auto" w:fill="D8D8D8"/>
          </w:tcPr>
          <w:p>
            <w:pPr>
              <w:pStyle w:val="TableParagraph"/>
              <w:spacing w:line="184" w:lineRule="exact" w:before="36"/>
              <w:ind w:right="88"/>
              <w:jc w:val="right"/>
              <w:rPr>
                <w:sz w:val="16"/>
              </w:rPr>
            </w:pPr>
            <w:r>
              <w:rPr>
                <w:spacing w:val="-2"/>
                <w:sz w:val="16"/>
              </w:rPr>
              <w:t>5,042</w:t>
            </w:r>
          </w:p>
        </w:tc>
        <w:tc>
          <w:tcPr>
            <w:tcW w:w="1260" w:type="dxa"/>
            <w:shd w:val="clear" w:color="auto" w:fill="D8D8D8"/>
          </w:tcPr>
          <w:p>
            <w:pPr>
              <w:pStyle w:val="TableParagraph"/>
              <w:spacing w:line="184" w:lineRule="exact" w:before="36"/>
              <w:ind w:right="88"/>
              <w:jc w:val="right"/>
              <w:rPr>
                <w:sz w:val="16"/>
              </w:rPr>
            </w:pPr>
            <w:r>
              <w:rPr>
                <w:sz w:val="16"/>
              </w:rPr>
              <w:t>—</w:t>
            </w:r>
          </w:p>
        </w:tc>
        <w:tc>
          <w:tcPr>
            <w:tcW w:w="1260" w:type="dxa"/>
            <w:shd w:val="clear" w:color="auto" w:fill="D8D8D8"/>
          </w:tcPr>
          <w:p>
            <w:pPr>
              <w:pStyle w:val="TableParagraph"/>
              <w:spacing w:line="184" w:lineRule="exact" w:before="36"/>
              <w:ind w:right="88"/>
              <w:jc w:val="right"/>
              <w:rPr>
                <w:sz w:val="16"/>
              </w:rPr>
            </w:pPr>
            <w:r>
              <w:rPr>
                <w:spacing w:val="-2"/>
                <w:sz w:val="16"/>
              </w:rPr>
              <w:t>2,657</w:t>
            </w:r>
          </w:p>
        </w:tc>
        <w:tc>
          <w:tcPr>
            <w:tcW w:w="1595" w:type="dxa"/>
            <w:shd w:val="clear" w:color="auto" w:fill="D8D8D8"/>
          </w:tcPr>
          <w:p>
            <w:pPr>
              <w:pStyle w:val="TableParagraph"/>
              <w:spacing w:line="184" w:lineRule="exact" w:before="36"/>
              <w:ind w:right="423"/>
              <w:jc w:val="right"/>
              <w:rPr>
                <w:sz w:val="16"/>
              </w:rPr>
            </w:pPr>
            <w:r>
              <w:rPr>
                <w:spacing w:val="-2"/>
                <w:sz w:val="16"/>
              </w:rPr>
              <w:t>2,385</w:t>
            </w:r>
          </w:p>
        </w:tc>
        <w:tc>
          <w:tcPr>
            <w:tcW w:w="1052" w:type="dxa"/>
            <w:shd w:val="clear" w:color="auto" w:fill="D8D8D8"/>
          </w:tcPr>
          <w:p>
            <w:pPr>
              <w:pStyle w:val="TableParagraph"/>
              <w:spacing w:line="184" w:lineRule="exact" w:before="36"/>
              <w:ind w:left="539"/>
              <w:rPr>
                <w:sz w:val="16"/>
              </w:rPr>
            </w:pPr>
            <w:r>
              <w:rPr>
                <w:spacing w:val="-4"/>
                <w:sz w:val="16"/>
              </w:rPr>
              <w:t>0.98</w:t>
            </w:r>
          </w:p>
        </w:tc>
      </w:tr>
      <w:tr>
        <w:trPr>
          <w:trHeight w:val="250" w:hRule="atLeast"/>
        </w:trPr>
        <w:tc>
          <w:tcPr>
            <w:tcW w:w="2880" w:type="dxa"/>
            <w:shd w:val="clear" w:color="auto" w:fill="D8D8D8"/>
          </w:tcPr>
          <w:p>
            <w:pPr>
              <w:pStyle w:val="TableParagraph"/>
              <w:spacing w:before="36"/>
              <w:ind w:left="52"/>
              <w:rPr>
                <w:sz w:val="16"/>
              </w:rPr>
            </w:pPr>
            <w:r>
              <w:rPr>
                <w:sz w:val="16"/>
              </w:rPr>
              <w:t>Panama</w:t>
            </w:r>
            <w:r>
              <w:rPr>
                <w:spacing w:val="-4"/>
                <w:sz w:val="16"/>
              </w:rPr>
              <w:t> </w:t>
            </w:r>
            <w:r>
              <w:rPr>
                <w:spacing w:val="-10"/>
                <w:sz w:val="16"/>
                <w:vertAlign w:val="superscript"/>
              </w:rPr>
              <w:t>a</w:t>
            </w:r>
          </w:p>
        </w:tc>
        <w:tc>
          <w:tcPr>
            <w:tcW w:w="1222" w:type="dxa"/>
            <w:shd w:val="clear" w:color="auto" w:fill="D8D8D8"/>
          </w:tcPr>
          <w:p>
            <w:pPr>
              <w:pStyle w:val="TableParagraph"/>
              <w:spacing w:before="36"/>
              <w:ind w:right="88"/>
              <w:jc w:val="right"/>
              <w:rPr>
                <w:sz w:val="16"/>
              </w:rPr>
            </w:pPr>
            <w:r>
              <w:rPr>
                <w:spacing w:val="-2"/>
                <w:sz w:val="16"/>
              </w:rPr>
              <w:t>1,955</w:t>
            </w:r>
          </w:p>
        </w:tc>
        <w:tc>
          <w:tcPr>
            <w:tcW w:w="1260" w:type="dxa"/>
            <w:shd w:val="clear" w:color="auto" w:fill="D8D8D8"/>
          </w:tcPr>
          <w:p>
            <w:pPr>
              <w:pStyle w:val="TableParagraph"/>
              <w:spacing w:before="36"/>
              <w:ind w:right="88"/>
              <w:jc w:val="right"/>
              <w:rPr>
                <w:sz w:val="16"/>
              </w:rPr>
            </w:pPr>
            <w:r>
              <w:rPr>
                <w:sz w:val="16"/>
              </w:rPr>
              <w:t>—</w:t>
            </w:r>
          </w:p>
        </w:tc>
        <w:tc>
          <w:tcPr>
            <w:tcW w:w="1260" w:type="dxa"/>
            <w:shd w:val="clear" w:color="auto" w:fill="D8D8D8"/>
          </w:tcPr>
          <w:p>
            <w:pPr>
              <w:pStyle w:val="TableParagraph"/>
              <w:spacing w:before="36"/>
              <w:ind w:right="88"/>
              <w:jc w:val="right"/>
              <w:rPr>
                <w:sz w:val="16"/>
              </w:rPr>
            </w:pPr>
            <w:r>
              <w:rPr>
                <w:spacing w:val="-5"/>
                <w:sz w:val="16"/>
              </w:rPr>
              <w:t>424</w:t>
            </w:r>
          </w:p>
        </w:tc>
        <w:tc>
          <w:tcPr>
            <w:tcW w:w="1595" w:type="dxa"/>
            <w:shd w:val="clear" w:color="auto" w:fill="D8D8D8"/>
          </w:tcPr>
          <w:p>
            <w:pPr>
              <w:pStyle w:val="TableParagraph"/>
              <w:spacing w:before="36"/>
              <w:ind w:right="423"/>
              <w:jc w:val="right"/>
              <w:rPr>
                <w:sz w:val="16"/>
              </w:rPr>
            </w:pPr>
            <w:r>
              <w:rPr>
                <w:spacing w:val="-2"/>
                <w:sz w:val="16"/>
              </w:rPr>
              <w:t>1,531</w:t>
            </w:r>
          </w:p>
        </w:tc>
        <w:tc>
          <w:tcPr>
            <w:tcW w:w="1052" w:type="dxa"/>
            <w:shd w:val="clear" w:color="auto" w:fill="D8D8D8"/>
          </w:tcPr>
          <w:p>
            <w:pPr>
              <w:pStyle w:val="TableParagraph"/>
              <w:spacing w:before="36"/>
              <w:ind w:left="539"/>
              <w:rPr>
                <w:sz w:val="16"/>
              </w:rPr>
            </w:pPr>
            <w:r>
              <w:rPr>
                <w:spacing w:val="-4"/>
                <w:sz w:val="16"/>
              </w:rPr>
              <w:t>0.63</w:t>
            </w:r>
          </w:p>
        </w:tc>
      </w:tr>
      <w:tr>
        <w:trPr>
          <w:trHeight w:val="239" w:hRule="atLeast"/>
        </w:trPr>
        <w:tc>
          <w:tcPr>
            <w:tcW w:w="2880" w:type="dxa"/>
            <w:shd w:val="clear" w:color="auto" w:fill="D8D8D8"/>
          </w:tcPr>
          <w:p>
            <w:pPr>
              <w:pStyle w:val="TableParagraph"/>
              <w:spacing w:before="25"/>
              <w:ind w:left="52"/>
              <w:rPr>
                <w:sz w:val="16"/>
              </w:rPr>
            </w:pPr>
            <w:r>
              <w:rPr>
                <w:sz w:val="16"/>
              </w:rPr>
              <w:t>Papua</w:t>
            </w:r>
            <w:r>
              <w:rPr>
                <w:spacing w:val="-4"/>
                <w:sz w:val="16"/>
              </w:rPr>
              <w:t> </w:t>
            </w:r>
            <w:r>
              <w:rPr>
                <w:sz w:val="16"/>
              </w:rPr>
              <w:t>New</w:t>
            </w:r>
            <w:r>
              <w:rPr>
                <w:spacing w:val="-2"/>
                <w:sz w:val="16"/>
              </w:rPr>
              <w:t> Guinea</w:t>
            </w:r>
          </w:p>
        </w:tc>
        <w:tc>
          <w:tcPr>
            <w:tcW w:w="1222" w:type="dxa"/>
            <w:shd w:val="clear" w:color="auto" w:fill="D8D8D8"/>
          </w:tcPr>
          <w:p>
            <w:pPr>
              <w:pStyle w:val="TableParagraph"/>
              <w:spacing w:before="25"/>
              <w:ind w:right="88"/>
              <w:jc w:val="right"/>
              <w:rPr>
                <w:sz w:val="16"/>
              </w:rPr>
            </w:pPr>
            <w:r>
              <w:rPr>
                <w:spacing w:val="-5"/>
                <w:sz w:val="16"/>
              </w:rPr>
              <w:t>80</w:t>
            </w:r>
          </w:p>
        </w:tc>
        <w:tc>
          <w:tcPr>
            <w:tcW w:w="1260" w:type="dxa"/>
            <w:shd w:val="clear" w:color="auto" w:fill="D8D8D8"/>
          </w:tcPr>
          <w:p>
            <w:pPr>
              <w:pStyle w:val="TableParagraph"/>
              <w:spacing w:before="25"/>
              <w:ind w:right="88"/>
              <w:jc w:val="right"/>
              <w:rPr>
                <w:sz w:val="16"/>
              </w:rPr>
            </w:pPr>
            <w:r>
              <w:rPr>
                <w:spacing w:val="-5"/>
                <w:sz w:val="16"/>
              </w:rPr>
              <w:t>50</w:t>
            </w:r>
          </w:p>
        </w:tc>
        <w:tc>
          <w:tcPr>
            <w:tcW w:w="1260" w:type="dxa"/>
            <w:shd w:val="clear" w:color="auto" w:fill="D8D8D8"/>
          </w:tcPr>
          <w:p>
            <w:pPr>
              <w:pStyle w:val="TableParagraph"/>
              <w:spacing w:before="25"/>
              <w:ind w:right="88"/>
              <w:jc w:val="right"/>
              <w:rPr>
                <w:sz w:val="16"/>
              </w:rPr>
            </w:pPr>
            <w:r>
              <w:rPr>
                <w:spacing w:val="-5"/>
                <w:sz w:val="16"/>
              </w:rPr>
              <w:t>30</w:t>
            </w:r>
          </w:p>
        </w:tc>
        <w:tc>
          <w:tcPr>
            <w:tcW w:w="1595" w:type="dxa"/>
            <w:shd w:val="clear" w:color="auto" w:fill="D8D8D8"/>
          </w:tcPr>
          <w:p>
            <w:pPr>
              <w:pStyle w:val="TableParagraph"/>
              <w:spacing w:before="25"/>
              <w:ind w:right="423"/>
              <w:jc w:val="right"/>
              <w:rPr>
                <w:sz w:val="16"/>
              </w:rPr>
            </w:pPr>
            <w:r>
              <w:rPr>
                <w:sz w:val="16"/>
              </w:rPr>
              <w:t>—</w:t>
            </w:r>
          </w:p>
        </w:tc>
        <w:tc>
          <w:tcPr>
            <w:tcW w:w="1052" w:type="dxa"/>
            <w:shd w:val="clear" w:color="auto" w:fill="D8D8D8"/>
          </w:tcPr>
          <w:p>
            <w:pPr>
              <w:pStyle w:val="TableParagraph"/>
              <w:spacing w:before="25"/>
              <w:ind w:left="690"/>
              <w:rPr>
                <w:sz w:val="16"/>
              </w:rPr>
            </w:pPr>
            <w:r>
              <w:rPr>
                <w:sz w:val="16"/>
              </w:rPr>
              <w:t>—</w:t>
            </w:r>
          </w:p>
        </w:tc>
      </w:tr>
      <w:tr>
        <w:trPr>
          <w:trHeight w:val="240" w:hRule="atLeast"/>
        </w:trPr>
        <w:tc>
          <w:tcPr>
            <w:tcW w:w="2880" w:type="dxa"/>
          </w:tcPr>
          <w:p>
            <w:pPr>
              <w:pStyle w:val="TableParagraph"/>
              <w:spacing w:before="26"/>
              <w:ind w:left="52"/>
              <w:rPr>
                <w:sz w:val="16"/>
              </w:rPr>
            </w:pPr>
            <w:r>
              <w:rPr>
                <w:spacing w:val="-2"/>
                <w:sz w:val="16"/>
              </w:rPr>
              <w:t>Paraguay</w:t>
            </w:r>
          </w:p>
        </w:tc>
        <w:tc>
          <w:tcPr>
            <w:tcW w:w="1222" w:type="dxa"/>
          </w:tcPr>
          <w:p>
            <w:pPr>
              <w:pStyle w:val="TableParagraph"/>
              <w:spacing w:before="26"/>
              <w:ind w:right="88"/>
              <w:jc w:val="right"/>
              <w:rPr>
                <w:sz w:val="16"/>
              </w:rPr>
            </w:pPr>
            <w:r>
              <w:rPr>
                <w:spacing w:val="-2"/>
                <w:sz w:val="16"/>
              </w:rPr>
              <w:t>1,522</w:t>
            </w:r>
          </w:p>
        </w:tc>
        <w:tc>
          <w:tcPr>
            <w:tcW w:w="1260" w:type="dxa"/>
          </w:tcPr>
          <w:p>
            <w:pPr>
              <w:pStyle w:val="TableParagraph"/>
              <w:spacing w:before="26"/>
              <w:ind w:right="88"/>
              <w:jc w:val="right"/>
              <w:rPr>
                <w:sz w:val="16"/>
              </w:rPr>
            </w:pPr>
            <w:r>
              <w:rPr>
                <w:spacing w:val="-5"/>
                <w:sz w:val="16"/>
              </w:rPr>
              <w:t>125</w:t>
            </w:r>
          </w:p>
        </w:tc>
        <w:tc>
          <w:tcPr>
            <w:tcW w:w="1260" w:type="dxa"/>
          </w:tcPr>
          <w:p>
            <w:pPr>
              <w:pStyle w:val="TableParagraph"/>
              <w:spacing w:before="26"/>
              <w:ind w:right="88"/>
              <w:jc w:val="right"/>
              <w:rPr>
                <w:sz w:val="16"/>
              </w:rPr>
            </w:pPr>
            <w:r>
              <w:rPr>
                <w:spacing w:val="-5"/>
                <w:sz w:val="16"/>
              </w:rPr>
              <w:t>281</w:t>
            </w:r>
          </w:p>
        </w:tc>
        <w:tc>
          <w:tcPr>
            <w:tcW w:w="1595" w:type="dxa"/>
          </w:tcPr>
          <w:p>
            <w:pPr>
              <w:pStyle w:val="TableParagraph"/>
              <w:spacing w:before="26"/>
              <w:ind w:right="423"/>
              <w:jc w:val="right"/>
              <w:rPr>
                <w:sz w:val="16"/>
              </w:rPr>
            </w:pPr>
            <w:r>
              <w:rPr>
                <w:spacing w:val="-2"/>
                <w:sz w:val="16"/>
              </w:rPr>
              <w:t>1,116</w:t>
            </w:r>
          </w:p>
        </w:tc>
        <w:tc>
          <w:tcPr>
            <w:tcW w:w="1052" w:type="dxa"/>
          </w:tcPr>
          <w:p>
            <w:pPr>
              <w:pStyle w:val="TableParagraph"/>
              <w:spacing w:before="26"/>
              <w:ind w:left="539"/>
              <w:rPr>
                <w:sz w:val="16"/>
              </w:rPr>
            </w:pPr>
            <w:r>
              <w:rPr>
                <w:spacing w:val="-4"/>
                <w:sz w:val="16"/>
              </w:rPr>
              <w:t>0.46</w:t>
            </w:r>
          </w:p>
        </w:tc>
      </w:tr>
      <w:tr>
        <w:trPr>
          <w:trHeight w:val="240" w:hRule="atLeast"/>
        </w:trPr>
        <w:tc>
          <w:tcPr>
            <w:tcW w:w="2880" w:type="dxa"/>
          </w:tcPr>
          <w:p>
            <w:pPr>
              <w:pStyle w:val="TableParagraph"/>
              <w:spacing w:before="25"/>
              <w:ind w:left="52"/>
              <w:rPr>
                <w:sz w:val="16"/>
              </w:rPr>
            </w:pPr>
            <w:r>
              <w:rPr>
                <w:spacing w:val="-4"/>
                <w:sz w:val="16"/>
              </w:rPr>
              <w:t>Peru</w:t>
            </w:r>
          </w:p>
        </w:tc>
        <w:tc>
          <w:tcPr>
            <w:tcW w:w="1222" w:type="dxa"/>
          </w:tcPr>
          <w:p>
            <w:pPr>
              <w:pStyle w:val="TableParagraph"/>
              <w:spacing w:before="25"/>
              <w:ind w:right="88"/>
              <w:jc w:val="right"/>
              <w:rPr>
                <w:sz w:val="16"/>
              </w:rPr>
            </w:pPr>
            <w:r>
              <w:rPr>
                <w:spacing w:val="-2"/>
                <w:sz w:val="16"/>
              </w:rPr>
              <w:t>6,065</w:t>
            </w:r>
          </w:p>
        </w:tc>
        <w:tc>
          <w:tcPr>
            <w:tcW w:w="1260" w:type="dxa"/>
          </w:tcPr>
          <w:p>
            <w:pPr>
              <w:pStyle w:val="TableParagraph"/>
              <w:spacing w:before="25"/>
              <w:ind w:right="88"/>
              <w:jc w:val="right"/>
              <w:rPr>
                <w:sz w:val="16"/>
              </w:rPr>
            </w:pPr>
            <w:r>
              <w:rPr>
                <w:sz w:val="16"/>
              </w:rPr>
              <w:t>—</w:t>
            </w:r>
          </w:p>
        </w:tc>
        <w:tc>
          <w:tcPr>
            <w:tcW w:w="1260" w:type="dxa"/>
          </w:tcPr>
          <w:p>
            <w:pPr>
              <w:pStyle w:val="TableParagraph"/>
              <w:spacing w:before="25"/>
              <w:ind w:right="88"/>
              <w:jc w:val="right"/>
              <w:rPr>
                <w:sz w:val="16"/>
              </w:rPr>
            </w:pPr>
            <w:r>
              <w:rPr>
                <w:spacing w:val="-5"/>
                <w:sz w:val="16"/>
              </w:rPr>
              <w:t>633</w:t>
            </w:r>
          </w:p>
        </w:tc>
        <w:tc>
          <w:tcPr>
            <w:tcW w:w="1595" w:type="dxa"/>
          </w:tcPr>
          <w:p>
            <w:pPr>
              <w:pStyle w:val="TableParagraph"/>
              <w:spacing w:before="25"/>
              <w:ind w:right="423"/>
              <w:jc w:val="right"/>
              <w:rPr>
                <w:sz w:val="16"/>
              </w:rPr>
            </w:pPr>
            <w:r>
              <w:rPr>
                <w:spacing w:val="-2"/>
                <w:sz w:val="16"/>
              </w:rPr>
              <w:t>5,432</w:t>
            </w:r>
          </w:p>
        </w:tc>
        <w:tc>
          <w:tcPr>
            <w:tcW w:w="1052" w:type="dxa"/>
          </w:tcPr>
          <w:p>
            <w:pPr>
              <w:pStyle w:val="TableParagraph"/>
              <w:spacing w:before="25"/>
              <w:ind w:left="539"/>
              <w:rPr>
                <w:sz w:val="16"/>
              </w:rPr>
            </w:pPr>
            <w:r>
              <w:rPr>
                <w:spacing w:val="-4"/>
                <w:sz w:val="16"/>
              </w:rPr>
              <w:t>2.23</w:t>
            </w:r>
          </w:p>
        </w:tc>
      </w:tr>
      <w:tr>
        <w:trPr>
          <w:trHeight w:val="240" w:hRule="atLeast"/>
        </w:trPr>
        <w:tc>
          <w:tcPr>
            <w:tcW w:w="2880" w:type="dxa"/>
          </w:tcPr>
          <w:p>
            <w:pPr>
              <w:pStyle w:val="TableParagraph"/>
              <w:spacing w:before="25"/>
              <w:ind w:left="52"/>
              <w:rPr>
                <w:sz w:val="16"/>
              </w:rPr>
            </w:pPr>
            <w:r>
              <w:rPr>
                <w:spacing w:val="-2"/>
                <w:sz w:val="16"/>
              </w:rPr>
              <w:t>Philippines</w:t>
            </w:r>
          </w:p>
        </w:tc>
        <w:tc>
          <w:tcPr>
            <w:tcW w:w="1222" w:type="dxa"/>
          </w:tcPr>
          <w:p>
            <w:pPr>
              <w:pStyle w:val="TableParagraph"/>
              <w:spacing w:before="25"/>
              <w:ind w:right="88"/>
              <w:jc w:val="right"/>
              <w:rPr>
                <w:sz w:val="16"/>
              </w:rPr>
            </w:pPr>
            <w:r>
              <w:rPr>
                <w:spacing w:val="-2"/>
                <w:sz w:val="16"/>
              </w:rPr>
              <w:t>15,179</w:t>
            </w:r>
          </w:p>
        </w:tc>
        <w:tc>
          <w:tcPr>
            <w:tcW w:w="1260" w:type="dxa"/>
          </w:tcPr>
          <w:p>
            <w:pPr>
              <w:pStyle w:val="TableParagraph"/>
              <w:spacing w:before="25"/>
              <w:ind w:right="88"/>
              <w:jc w:val="right"/>
              <w:rPr>
                <w:sz w:val="16"/>
              </w:rPr>
            </w:pPr>
            <w:r>
              <w:rPr>
                <w:spacing w:val="-5"/>
                <w:sz w:val="16"/>
              </w:rPr>
              <w:t>600</w:t>
            </w:r>
          </w:p>
        </w:tc>
        <w:tc>
          <w:tcPr>
            <w:tcW w:w="1260" w:type="dxa"/>
          </w:tcPr>
          <w:p>
            <w:pPr>
              <w:pStyle w:val="TableParagraph"/>
              <w:spacing w:before="25"/>
              <w:ind w:right="88"/>
              <w:jc w:val="right"/>
              <w:rPr>
                <w:sz w:val="16"/>
              </w:rPr>
            </w:pPr>
            <w:r>
              <w:rPr>
                <w:spacing w:val="-2"/>
                <w:sz w:val="16"/>
              </w:rPr>
              <w:t>2,941</w:t>
            </w:r>
          </w:p>
        </w:tc>
        <w:tc>
          <w:tcPr>
            <w:tcW w:w="1595" w:type="dxa"/>
          </w:tcPr>
          <w:p>
            <w:pPr>
              <w:pStyle w:val="TableParagraph"/>
              <w:spacing w:before="25"/>
              <w:ind w:right="423"/>
              <w:jc w:val="right"/>
              <w:rPr>
                <w:sz w:val="16"/>
              </w:rPr>
            </w:pPr>
            <w:r>
              <w:rPr>
                <w:spacing w:val="-2"/>
                <w:sz w:val="16"/>
              </w:rPr>
              <w:t>11,638</w:t>
            </w:r>
          </w:p>
        </w:tc>
        <w:tc>
          <w:tcPr>
            <w:tcW w:w="1052" w:type="dxa"/>
          </w:tcPr>
          <w:p>
            <w:pPr>
              <w:pStyle w:val="TableParagraph"/>
              <w:spacing w:before="25"/>
              <w:ind w:left="539"/>
              <w:rPr>
                <w:sz w:val="16"/>
              </w:rPr>
            </w:pPr>
            <w:r>
              <w:rPr>
                <w:spacing w:val="-4"/>
                <w:sz w:val="16"/>
              </w:rPr>
              <w:t>4.77</w:t>
            </w:r>
          </w:p>
        </w:tc>
      </w:tr>
      <w:tr>
        <w:trPr>
          <w:trHeight w:val="239" w:hRule="atLeast"/>
        </w:trPr>
        <w:tc>
          <w:tcPr>
            <w:tcW w:w="2880" w:type="dxa"/>
          </w:tcPr>
          <w:p>
            <w:pPr>
              <w:pStyle w:val="TableParagraph"/>
              <w:spacing w:before="25"/>
              <w:ind w:left="52"/>
              <w:rPr>
                <w:sz w:val="16"/>
              </w:rPr>
            </w:pPr>
            <w:r>
              <w:rPr>
                <w:spacing w:val="-2"/>
                <w:sz w:val="16"/>
              </w:rPr>
              <w:t>Poland</w:t>
            </w:r>
          </w:p>
        </w:tc>
        <w:tc>
          <w:tcPr>
            <w:tcW w:w="1222" w:type="dxa"/>
          </w:tcPr>
          <w:p>
            <w:pPr>
              <w:pStyle w:val="TableParagraph"/>
              <w:spacing w:before="25"/>
              <w:ind w:right="88"/>
              <w:jc w:val="right"/>
              <w:rPr>
                <w:sz w:val="16"/>
              </w:rPr>
            </w:pPr>
            <w:r>
              <w:rPr>
                <w:spacing w:val="-2"/>
                <w:sz w:val="16"/>
              </w:rPr>
              <w:t>6,352</w:t>
            </w:r>
          </w:p>
        </w:tc>
        <w:tc>
          <w:tcPr>
            <w:tcW w:w="1260" w:type="dxa"/>
          </w:tcPr>
          <w:p>
            <w:pPr>
              <w:pStyle w:val="TableParagraph"/>
              <w:spacing w:before="25"/>
              <w:ind w:right="88"/>
              <w:jc w:val="right"/>
              <w:rPr>
                <w:sz w:val="16"/>
              </w:rPr>
            </w:pPr>
            <w:r>
              <w:rPr>
                <w:spacing w:val="-5"/>
                <w:sz w:val="16"/>
              </w:rPr>
              <w:t>271</w:t>
            </w:r>
          </w:p>
        </w:tc>
        <w:tc>
          <w:tcPr>
            <w:tcW w:w="1260" w:type="dxa"/>
          </w:tcPr>
          <w:p>
            <w:pPr>
              <w:pStyle w:val="TableParagraph"/>
              <w:spacing w:before="25"/>
              <w:ind w:right="88"/>
              <w:jc w:val="right"/>
              <w:rPr>
                <w:sz w:val="16"/>
              </w:rPr>
            </w:pPr>
            <w:r>
              <w:rPr>
                <w:spacing w:val="-5"/>
                <w:sz w:val="16"/>
              </w:rPr>
              <w:t>34</w:t>
            </w:r>
          </w:p>
        </w:tc>
        <w:tc>
          <w:tcPr>
            <w:tcW w:w="1595" w:type="dxa"/>
          </w:tcPr>
          <w:p>
            <w:pPr>
              <w:pStyle w:val="TableParagraph"/>
              <w:spacing w:before="25"/>
              <w:ind w:right="423"/>
              <w:jc w:val="right"/>
              <w:rPr>
                <w:sz w:val="16"/>
              </w:rPr>
            </w:pPr>
            <w:r>
              <w:rPr>
                <w:spacing w:val="-2"/>
                <w:sz w:val="16"/>
              </w:rPr>
              <w:t>6,047</w:t>
            </w:r>
          </w:p>
        </w:tc>
        <w:tc>
          <w:tcPr>
            <w:tcW w:w="1052" w:type="dxa"/>
          </w:tcPr>
          <w:p>
            <w:pPr>
              <w:pStyle w:val="TableParagraph"/>
              <w:spacing w:before="25"/>
              <w:ind w:left="539"/>
              <w:rPr>
                <w:sz w:val="16"/>
              </w:rPr>
            </w:pPr>
            <w:r>
              <w:rPr>
                <w:spacing w:val="-4"/>
                <w:sz w:val="16"/>
              </w:rPr>
              <w:t>2.48</w:t>
            </w:r>
          </w:p>
        </w:tc>
      </w:tr>
      <w:tr>
        <w:trPr>
          <w:trHeight w:val="230" w:hRule="atLeast"/>
        </w:trPr>
        <w:tc>
          <w:tcPr>
            <w:tcW w:w="2880" w:type="dxa"/>
            <w:shd w:val="clear" w:color="auto" w:fill="D8D8D8"/>
          </w:tcPr>
          <w:p>
            <w:pPr>
              <w:pStyle w:val="TableParagraph"/>
              <w:spacing w:line="184" w:lineRule="exact" w:before="26"/>
              <w:ind w:left="52"/>
              <w:rPr>
                <w:sz w:val="16"/>
              </w:rPr>
            </w:pPr>
            <w:r>
              <w:rPr>
                <w:sz w:val="16"/>
              </w:rPr>
              <w:t>Romania</w:t>
            </w:r>
            <w:r>
              <w:rPr>
                <w:spacing w:val="-6"/>
                <w:sz w:val="16"/>
              </w:rPr>
              <w:t> </w:t>
            </w:r>
            <w:r>
              <w:rPr>
                <w:spacing w:val="-10"/>
                <w:sz w:val="16"/>
                <w:vertAlign w:val="superscript"/>
              </w:rPr>
              <w:t>b</w:t>
            </w:r>
          </w:p>
        </w:tc>
        <w:tc>
          <w:tcPr>
            <w:tcW w:w="1222" w:type="dxa"/>
            <w:shd w:val="clear" w:color="auto" w:fill="D8D8D8"/>
          </w:tcPr>
          <w:p>
            <w:pPr>
              <w:pStyle w:val="TableParagraph"/>
              <w:spacing w:line="184" w:lineRule="exact" w:before="26"/>
              <w:ind w:right="88"/>
              <w:jc w:val="right"/>
              <w:rPr>
                <w:sz w:val="16"/>
              </w:rPr>
            </w:pPr>
            <w:r>
              <w:rPr>
                <w:spacing w:val="-2"/>
                <w:sz w:val="16"/>
              </w:rPr>
              <w:t>6,891</w:t>
            </w:r>
          </w:p>
        </w:tc>
        <w:tc>
          <w:tcPr>
            <w:tcW w:w="1260" w:type="dxa"/>
            <w:shd w:val="clear" w:color="auto" w:fill="D8D8D8"/>
          </w:tcPr>
          <w:p>
            <w:pPr>
              <w:pStyle w:val="TableParagraph"/>
              <w:spacing w:line="184" w:lineRule="exact" w:before="26"/>
              <w:ind w:right="88"/>
              <w:jc w:val="right"/>
              <w:rPr>
                <w:sz w:val="16"/>
              </w:rPr>
            </w:pPr>
            <w:r>
              <w:rPr>
                <w:spacing w:val="-5"/>
                <w:sz w:val="16"/>
              </w:rPr>
              <w:t>751</w:t>
            </w:r>
          </w:p>
        </w:tc>
        <w:tc>
          <w:tcPr>
            <w:tcW w:w="1260" w:type="dxa"/>
            <w:shd w:val="clear" w:color="auto" w:fill="D8D8D8"/>
          </w:tcPr>
          <w:p>
            <w:pPr>
              <w:pStyle w:val="TableParagraph"/>
              <w:spacing w:line="184" w:lineRule="exact" w:before="26"/>
              <w:ind w:right="88"/>
              <w:jc w:val="right"/>
              <w:rPr>
                <w:sz w:val="16"/>
              </w:rPr>
            </w:pPr>
            <w:r>
              <w:rPr>
                <w:spacing w:val="-2"/>
                <w:sz w:val="16"/>
              </w:rPr>
              <w:t>1,590</w:t>
            </w:r>
          </w:p>
        </w:tc>
        <w:tc>
          <w:tcPr>
            <w:tcW w:w="1595" w:type="dxa"/>
            <w:shd w:val="clear" w:color="auto" w:fill="D8D8D8"/>
          </w:tcPr>
          <w:p>
            <w:pPr>
              <w:pStyle w:val="TableParagraph"/>
              <w:spacing w:line="184" w:lineRule="exact" w:before="26"/>
              <w:ind w:right="423"/>
              <w:jc w:val="right"/>
              <w:rPr>
                <w:sz w:val="16"/>
              </w:rPr>
            </w:pPr>
            <w:r>
              <w:rPr>
                <w:spacing w:val="-2"/>
                <w:sz w:val="16"/>
              </w:rPr>
              <w:t>4,550</w:t>
            </w:r>
          </w:p>
        </w:tc>
        <w:tc>
          <w:tcPr>
            <w:tcW w:w="1052" w:type="dxa"/>
            <w:shd w:val="clear" w:color="auto" w:fill="D8D8D8"/>
          </w:tcPr>
          <w:p>
            <w:pPr>
              <w:pStyle w:val="TableParagraph"/>
              <w:spacing w:line="184" w:lineRule="exact" w:before="26"/>
              <w:ind w:left="539"/>
              <w:rPr>
                <w:sz w:val="16"/>
              </w:rPr>
            </w:pPr>
            <w:r>
              <w:rPr>
                <w:spacing w:val="-4"/>
                <w:sz w:val="16"/>
              </w:rPr>
              <w:t>1.87</w:t>
            </w:r>
          </w:p>
        </w:tc>
      </w:tr>
      <w:tr>
        <w:trPr>
          <w:trHeight w:val="250" w:hRule="atLeast"/>
        </w:trPr>
        <w:tc>
          <w:tcPr>
            <w:tcW w:w="2880" w:type="dxa"/>
            <w:shd w:val="clear" w:color="auto" w:fill="D8D8D8"/>
          </w:tcPr>
          <w:p>
            <w:pPr>
              <w:pStyle w:val="TableParagraph"/>
              <w:spacing w:before="36"/>
              <w:ind w:left="52"/>
              <w:rPr>
                <w:sz w:val="16"/>
              </w:rPr>
            </w:pPr>
            <w:r>
              <w:rPr>
                <w:sz w:val="16"/>
              </w:rPr>
              <w:t>Serbia</w:t>
            </w:r>
            <w:r>
              <w:rPr>
                <w:spacing w:val="-4"/>
                <w:sz w:val="16"/>
              </w:rPr>
              <w:t> </w:t>
            </w:r>
            <w:r>
              <w:rPr>
                <w:spacing w:val="-10"/>
                <w:sz w:val="16"/>
                <w:vertAlign w:val="superscript"/>
              </w:rPr>
              <w:t>b</w:t>
            </w:r>
          </w:p>
        </w:tc>
        <w:tc>
          <w:tcPr>
            <w:tcW w:w="1222" w:type="dxa"/>
            <w:shd w:val="clear" w:color="auto" w:fill="D8D8D8"/>
          </w:tcPr>
          <w:p>
            <w:pPr>
              <w:pStyle w:val="TableParagraph"/>
              <w:spacing w:before="36"/>
              <w:ind w:right="88"/>
              <w:jc w:val="right"/>
              <w:rPr>
                <w:sz w:val="16"/>
              </w:rPr>
            </w:pPr>
            <w:r>
              <w:rPr>
                <w:spacing w:val="-2"/>
                <w:sz w:val="16"/>
              </w:rPr>
              <w:t>3,174</w:t>
            </w:r>
          </w:p>
        </w:tc>
        <w:tc>
          <w:tcPr>
            <w:tcW w:w="1260" w:type="dxa"/>
            <w:shd w:val="clear" w:color="auto" w:fill="D8D8D8"/>
          </w:tcPr>
          <w:p>
            <w:pPr>
              <w:pStyle w:val="TableParagraph"/>
              <w:spacing w:before="36"/>
              <w:ind w:right="88"/>
              <w:jc w:val="right"/>
              <w:rPr>
                <w:sz w:val="16"/>
              </w:rPr>
            </w:pPr>
            <w:r>
              <w:rPr>
                <w:sz w:val="16"/>
              </w:rPr>
              <w:t>—</w:t>
            </w:r>
          </w:p>
        </w:tc>
        <w:tc>
          <w:tcPr>
            <w:tcW w:w="1260" w:type="dxa"/>
            <w:shd w:val="clear" w:color="auto" w:fill="D8D8D8"/>
          </w:tcPr>
          <w:p>
            <w:pPr>
              <w:pStyle w:val="TableParagraph"/>
              <w:spacing w:before="36"/>
              <w:ind w:right="88"/>
              <w:jc w:val="right"/>
              <w:rPr>
                <w:sz w:val="16"/>
              </w:rPr>
            </w:pPr>
            <w:r>
              <w:rPr>
                <w:spacing w:val="-5"/>
                <w:sz w:val="16"/>
              </w:rPr>
              <w:t>773</w:t>
            </w:r>
          </w:p>
        </w:tc>
        <w:tc>
          <w:tcPr>
            <w:tcW w:w="1595" w:type="dxa"/>
            <w:shd w:val="clear" w:color="auto" w:fill="D8D8D8"/>
          </w:tcPr>
          <w:p>
            <w:pPr>
              <w:pStyle w:val="TableParagraph"/>
              <w:spacing w:before="36"/>
              <w:ind w:right="423"/>
              <w:jc w:val="right"/>
              <w:rPr>
                <w:sz w:val="16"/>
              </w:rPr>
            </w:pPr>
            <w:r>
              <w:rPr>
                <w:spacing w:val="-2"/>
                <w:sz w:val="16"/>
              </w:rPr>
              <w:t>2,401</w:t>
            </w:r>
          </w:p>
        </w:tc>
        <w:tc>
          <w:tcPr>
            <w:tcW w:w="1052" w:type="dxa"/>
            <w:shd w:val="clear" w:color="auto" w:fill="D8D8D8"/>
          </w:tcPr>
          <w:p>
            <w:pPr>
              <w:pStyle w:val="TableParagraph"/>
              <w:spacing w:before="36"/>
              <w:ind w:left="539"/>
              <w:rPr>
                <w:sz w:val="16"/>
              </w:rPr>
            </w:pPr>
            <w:r>
              <w:rPr>
                <w:spacing w:val="-4"/>
                <w:sz w:val="16"/>
              </w:rPr>
              <w:t>0.98</w:t>
            </w:r>
          </w:p>
        </w:tc>
      </w:tr>
      <w:tr>
        <w:trPr>
          <w:trHeight w:val="229" w:hRule="atLeast"/>
        </w:trPr>
        <w:tc>
          <w:tcPr>
            <w:tcW w:w="2880" w:type="dxa"/>
            <w:shd w:val="clear" w:color="auto" w:fill="D8D8D8"/>
          </w:tcPr>
          <w:p>
            <w:pPr>
              <w:pStyle w:val="TableParagraph"/>
              <w:spacing w:line="184" w:lineRule="exact" w:before="25"/>
              <w:ind w:left="52"/>
              <w:rPr>
                <w:sz w:val="16"/>
              </w:rPr>
            </w:pPr>
            <w:r>
              <w:rPr>
                <w:spacing w:val="-2"/>
                <w:sz w:val="16"/>
              </w:rPr>
              <w:t>Seychelles</w:t>
            </w:r>
          </w:p>
        </w:tc>
        <w:tc>
          <w:tcPr>
            <w:tcW w:w="1222" w:type="dxa"/>
            <w:shd w:val="clear" w:color="auto" w:fill="D8D8D8"/>
          </w:tcPr>
          <w:p>
            <w:pPr>
              <w:pStyle w:val="TableParagraph"/>
              <w:spacing w:line="184" w:lineRule="exact" w:before="25"/>
              <w:ind w:right="88"/>
              <w:jc w:val="right"/>
              <w:rPr>
                <w:sz w:val="16"/>
              </w:rPr>
            </w:pPr>
            <w:r>
              <w:rPr>
                <w:spacing w:val="-5"/>
                <w:sz w:val="16"/>
              </w:rPr>
              <w:t>158</w:t>
            </w:r>
          </w:p>
        </w:tc>
        <w:tc>
          <w:tcPr>
            <w:tcW w:w="1260" w:type="dxa"/>
            <w:shd w:val="clear" w:color="auto" w:fill="D8D8D8"/>
          </w:tcPr>
          <w:p>
            <w:pPr>
              <w:pStyle w:val="TableParagraph"/>
              <w:spacing w:line="184" w:lineRule="exact" w:before="25"/>
              <w:ind w:right="88"/>
              <w:jc w:val="right"/>
              <w:rPr>
                <w:sz w:val="16"/>
              </w:rPr>
            </w:pPr>
            <w:r>
              <w:rPr>
                <w:sz w:val="16"/>
              </w:rPr>
              <w:t>—</w:t>
            </w:r>
          </w:p>
        </w:tc>
        <w:tc>
          <w:tcPr>
            <w:tcW w:w="1260" w:type="dxa"/>
            <w:shd w:val="clear" w:color="auto" w:fill="D8D8D8"/>
          </w:tcPr>
          <w:p>
            <w:pPr>
              <w:pStyle w:val="TableParagraph"/>
              <w:spacing w:line="184" w:lineRule="exact" w:before="25"/>
              <w:ind w:right="88"/>
              <w:jc w:val="right"/>
              <w:rPr>
                <w:sz w:val="16"/>
              </w:rPr>
            </w:pPr>
            <w:r>
              <w:rPr>
                <w:spacing w:val="-5"/>
                <w:sz w:val="16"/>
              </w:rPr>
              <w:t>18</w:t>
            </w:r>
          </w:p>
        </w:tc>
        <w:tc>
          <w:tcPr>
            <w:tcW w:w="1595" w:type="dxa"/>
            <w:shd w:val="clear" w:color="auto" w:fill="D8D8D8"/>
          </w:tcPr>
          <w:p>
            <w:pPr>
              <w:pStyle w:val="TableParagraph"/>
              <w:spacing w:line="184" w:lineRule="exact" w:before="25"/>
              <w:ind w:right="423"/>
              <w:jc w:val="right"/>
              <w:rPr>
                <w:sz w:val="16"/>
              </w:rPr>
            </w:pPr>
            <w:r>
              <w:rPr>
                <w:spacing w:val="-5"/>
                <w:sz w:val="16"/>
              </w:rPr>
              <w:t>140</w:t>
            </w:r>
          </w:p>
        </w:tc>
        <w:tc>
          <w:tcPr>
            <w:tcW w:w="1052" w:type="dxa"/>
            <w:shd w:val="clear" w:color="auto" w:fill="D8D8D8"/>
          </w:tcPr>
          <w:p>
            <w:pPr>
              <w:pStyle w:val="TableParagraph"/>
              <w:spacing w:line="184" w:lineRule="exact" w:before="25"/>
              <w:ind w:left="539"/>
              <w:rPr>
                <w:sz w:val="16"/>
              </w:rPr>
            </w:pPr>
            <w:r>
              <w:rPr>
                <w:spacing w:val="-4"/>
                <w:sz w:val="16"/>
              </w:rPr>
              <w:t>0.06</w:t>
            </w:r>
          </w:p>
        </w:tc>
      </w:tr>
      <w:tr>
        <w:trPr>
          <w:trHeight w:val="250" w:hRule="atLeast"/>
        </w:trPr>
        <w:tc>
          <w:tcPr>
            <w:tcW w:w="2880" w:type="dxa"/>
            <w:shd w:val="clear" w:color="auto" w:fill="D8D8D8"/>
          </w:tcPr>
          <w:p>
            <w:pPr>
              <w:pStyle w:val="TableParagraph"/>
              <w:spacing w:before="36"/>
              <w:ind w:left="52"/>
              <w:rPr>
                <w:sz w:val="16"/>
              </w:rPr>
            </w:pPr>
            <w:r>
              <w:rPr>
                <w:sz w:val="16"/>
              </w:rPr>
              <w:t>South</w:t>
            </w:r>
            <w:r>
              <w:rPr>
                <w:spacing w:val="-11"/>
                <w:sz w:val="16"/>
              </w:rPr>
              <w:t> </w:t>
            </w:r>
            <w:r>
              <w:rPr>
                <w:sz w:val="16"/>
              </w:rPr>
              <w:t>Africa</w:t>
            </w:r>
            <w:r>
              <w:rPr>
                <w:spacing w:val="-2"/>
                <w:sz w:val="16"/>
              </w:rPr>
              <w:t> </w:t>
            </w:r>
            <w:r>
              <w:rPr>
                <w:spacing w:val="-10"/>
                <w:sz w:val="16"/>
                <w:vertAlign w:val="superscript"/>
              </w:rPr>
              <w:t>a</w:t>
            </w:r>
          </w:p>
        </w:tc>
        <w:tc>
          <w:tcPr>
            <w:tcW w:w="1222" w:type="dxa"/>
            <w:shd w:val="clear" w:color="auto" w:fill="D8D8D8"/>
          </w:tcPr>
          <w:p>
            <w:pPr>
              <w:pStyle w:val="TableParagraph"/>
              <w:spacing w:before="36"/>
              <w:ind w:right="88"/>
              <w:jc w:val="right"/>
              <w:rPr>
                <w:sz w:val="16"/>
              </w:rPr>
            </w:pPr>
            <w:r>
              <w:rPr>
                <w:spacing w:val="-2"/>
                <w:sz w:val="16"/>
              </w:rPr>
              <w:t>3,078</w:t>
            </w:r>
          </w:p>
        </w:tc>
        <w:tc>
          <w:tcPr>
            <w:tcW w:w="1260" w:type="dxa"/>
            <w:shd w:val="clear" w:color="auto" w:fill="D8D8D8"/>
          </w:tcPr>
          <w:p>
            <w:pPr>
              <w:pStyle w:val="TableParagraph"/>
              <w:spacing w:before="36"/>
              <w:ind w:right="88"/>
              <w:jc w:val="right"/>
              <w:rPr>
                <w:sz w:val="16"/>
              </w:rPr>
            </w:pPr>
            <w:r>
              <w:rPr>
                <w:sz w:val="16"/>
              </w:rPr>
              <w:t>—</w:t>
            </w:r>
          </w:p>
        </w:tc>
        <w:tc>
          <w:tcPr>
            <w:tcW w:w="1260" w:type="dxa"/>
            <w:shd w:val="clear" w:color="auto" w:fill="D8D8D8"/>
          </w:tcPr>
          <w:p>
            <w:pPr>
              <w:pStyle w:val="TableParagraph"/>
              <w:spacing w:before="36"/>
              <w:ind w:right="88"/>
              <w:jc w:val="right"/>
              <w:rPr>
                <w:sz w:val="16"/>
              </w:rPr>
            </w:pPr>
            <w:r>
              <w:rPr>
                <w:spacing w:val="-5"/>
                <w:sz w:val="16"/>
              </w:rPr>
              <w:t>508</w:t>
            </w:r>
          </w:p>
        </w:tc>
        <w:tc>
          <w:tcPr>
            <w:tcW w:w="1595" w:type="dxa"/>
            <w:shd w:val="clear" w:color="auto" w:fill="D8D8D8"/>
          </w:tcPr>
          <w:p>
            <w:pPr>
              <w:pStyle w:val="TableParagraph"/>
              <w:spacing w:before="36"/>
              <w:ind w:right="423"/>
              <w:jc w:val="right"/>
              <w:rPr>
                <w:sz w:val="16"/>
              </w:rPr>
            </w:pPr>
            <w:r>
              <w:rPr>
                <w:spacing w:val="-2"/>
                <w:sz w:val="16"/>
              </w:rPr>
              <w:t>2,570</w:t>
            </w:r>
          </w:p>
        </w:tc>
        <w:tc>
          <w:tcPr>
            <w:tcW w:w="1052" w:type="dxa"/>
            <w:shd w:val="clear" w:color="auto" w:fill="D8D8D8"/>
          </w:tcPr>
          <w:p>
            <w:pPr>
              <w:pStyle w:val="TableParagraph"/>
              <w:spacing w:before="36"/>
              <w:ind w:left="539"/>
              <w:rPr>
                <w:sz w:val="16"/>
              </w:rPr>
            </w:pPr>
            <w:r>
              <w:rPr>
                <w:spacing w:val="-4"/>
                <w:sz w:val="16"/>
              </w:rPr>
              <w:t>1.05</w:t>
            </w:r>
          </w:p>
        </w:tc>
      </w:tr>
      <w:tr>
        <w:trPr>
          <w:trHeight w:val="239" w:hRule="atLeast"/>
        </w:trPr>
        <w:tc>
          <w:tcPr>
            <w:tcW w:w="2880" w:type="dxa"/>
            <w:shd w:val="clear" w:color="auto" w:fill="D8D8D8"/>
          </w:tcPr>
          <w:p>
            <w:pPr>
              <w:pStyle w:val="TableParagraph"/>
              <w:spacing w:before="25"/>
              <w:ind w:left="52"/>
              <w:rPr>
                <w:sz w:val="16"/>
              </w:rPr>
            </w:pPr>
            <w:r>
              <w:rPr>
                <w:sz w:val="16"/>
              </w:rPr>
              <w:t>Sri </w:t>
            </w:r>
            <w:r>
              <w:rPr>
                <w:spacing w:val="-2"/>
                <w:sz w:val="16"/>
              </w:rPr>
              <w:t>Lanka</w:t>
            </w:r>
          </w:p>
        </w:tc>
        <w:tc>
          <w:tcPr>
            <w:tcW w:w="1222" w:type="dxa"/>
            <w:shd w:val="clear" w:color="auto" w:fill="D8D8D8"/>
          </w:tcPr>
          <w:p>
            <w:pPr>
              <w:pStyle w:val="TableParagraph"/>
              <w:spacing w:before="25"/>
              <w:ind w:right="88"/>
              <w:jc w:val="right"/>
              <w:rPr>
                <w:sz w:val="16"/>
              </w:rPr>
            </w:pPr>
            <w:r>
              <w:rPr>
                <w:spacing w:val="-2"/>
                <w:sz w:val="16"/>
              </w:rPr>
              <w:t>1,299</w:t>
            </w:r>
          </w:p>
        </w:tc>
        <w:tc>
          <w:tcPr>
            <w:tcW w:w="1260" w:type="dxa"/>
            <w:shd w:val="clear" w:color="auto" w:fill="D8D8D8"/>
          </w:tcPr>
          <w:p>
            <w:pPr>
              <w:pStyle w:val="TableParagraph"/>
              <w:spacing w:before="25"/>
              <w:ind w:right="88"/>
              <w:jc w:val="right"/>
              <w:rPr>
                <w:sz w:val="16"/>
              </w:rPr>
            </w:pPr>
            <w:r>
              <w:rPr>
                <w:sz w:val="16"/>
              </w:rPr>
              <w:t>—</w:t>
            </w:r>
          </w:p>
        </w:tc>
        <w:tc>
          <w:tcPr>
            <w:tcW w:w="1260" w:type="dxa"/>
            <w:shd w:val="clear" w:color="auto" w:fill="D8D8D8"/>
          </w:tcPr>
          <w:p>
            <w:pPr>
              <w:pStyle w:val="TableParagraph"/>
              <w:spacing w:before="25"/>
              <w:ind w:right="88"/>
              <w:jc w:val="right"/>
              <w:rPr>
                <w:sz w:val="16"/>
              </w:rPr>
            </w:pPr>
            <w:r>
              <w:rPr>
                <w:spacing w:val="-5"/>
                <w:sz w:val="16"/>
              </w:rPr>
              <w:t>362</w:t>
            </w:r>
          </w:p>
        </w:tc>
        <w:tc>
          <w:tcPr>
            <w:tcW w:w="1595" w:type="dxa"/>
            <w:shd w:val="clear" w:color="auto" w:fill="D8D8D8"/>
          </w:tcPr>
          <w:p>
            <w:pPr>
              <w:pStyle w:val="TableParagraph"/>
              <w:spacing w:before="25"/>
              <w:ind w:right="423"/>
              <w:jc w:val="right"/>
              <w:rPr>
                <w:sz w:val="16"/>
              </w:rPr>
            </w:pPr>
            <w:r>
              <w:rPr>
                <w:spacing w:val="-5"/>
                <w:sz w:val="16"/>
              </w:rPr>
              <w:t>937</w:t>
            </w:r>
          </w:p>
        </w:tc>
        <w:tc>
          <w:tcPr>
            <w:tcW w:w="1052" w:type="dxa"/>
            <w:shd w:val="clear" w:color="auto" w:fill="D8D8D8"/>
          </w:tcPr>
          <w:p>
            <w:pPr>
              <w:pStyle w:val="TableParagraph"/>
              <w:spacing w:before="25"/>
              <w:ind w:left="539"/>
              <w:rPr>
                <w:sz w:val="16"/>
              </w:rPr>
            </w:pPr>
            <w:r>
              <w:rPr>
                <w:spacing w:val="-4"/>
                <w:sz w:val="16"/>
              </w:rPr>
              <w:t>0.38</w:t>
            </w:r>
          </w:p>
        </w:tc>
      </w:tr>
      <w:tr>
        <w:trPr>
          <w:trHeight w:val="240" w:hRule="atLeast"/>
        </w:trPr>
        <w:tc>
          <w:tcPr>
            <w:tcW w:w="2880" w:type="dxa"/>
          </w:tcPr>
          <w:p>
            <w:pPr>
              <w:pStyle w:val="TableParagraph"/>
              <w:spacing w:before="26"/>
              <w:ind w:left="52"/>
              <w:rPr>
                <w:sz w:val="16"/>
              </w:rPr>
            </w:pPr>
            <w:r>
              <w:rPr>
                <w:sz w:val="16"/>
              </w:rPr>
              <w:t>St. </w:t>
            </w:r>
            <w:r>
              <w:rPr>
                <w:spacing w:val="-2"/>
                <w:sz w:val="16"/>
              </w:rPr>
              <w:t>Lucia</w:t>
            </w:r>
          </w:p>
        </w:tc>
        <w:tc>
          <w:tcPr>
            <w:tcW w:w="1222" w:type="dxa"/>
          </w:tcPr>
          <w:p>
            <w:pPr>
              <w:pStyle w:val="TableParagraph"/>
              <w:spacing w:before="26"/>
              <w:ind w:right="88"/>
              <w:jc w:val="right"/>
              <w:rPr>
                <w:sz w:val="16"/>
              </w:rPr>
            </w:pPr>
            <w:r>
              <w:rPr>
                <w:spacing w:val="-10"/>
                <w:sz w:val="16"/>
              </w:rPr>
              <w:t>3</w:t>
            </w:r>
          </w:p>
        </w:tc>
        <w:tc>
          <w:tcPr>
            <w:tcW w:w="1260" w:type="dxa"/>
          </w:tcPr>
          <w:p>
            <w:pPr>
              <w:pStyle w:val="TableParagraph"/>
              <w:spacing w:before="26"/>
              <w:ind w:right="88"/>
              <w:jc w:val="right"/>
              <w:rPr>
                <w:sz w:val="16"/>
              </w:rPr>
            </w:pPr>
            <w:r>
              <w:rPr>
                <w:sz w:val="16"/>
              </w:rPr>
              <w:t>—</w:t>
            </w:r>
          </w:p>
        </w:tc>
        <w:tc>
          <w:tcPr>
            <w:tcW w:w="1260" w:type="dxa"/>
          </w:tcPr>
          <w:p>
            <w:pPr>
              <w:pStyle w:val="TableParagraph"/>
              <w:spacing w:before="26"/>
              <w:ind w:right="88"/>
              <w:jc w:val="right"/>
              <w:rPr>
                <w:sz w:val="16"/>
              </w:rPr>
            </w:pPr>
            <w:r>
              <w:rPr>
                <w:sz w:val="16"/>
              </w:rPr>
              <w:t>—</w:t>
            </w:r>
          </w:p>
        </w:tc>
        <w:tc>
          <w:tcPr>
            <w:tcW w:w="1595" w:type="dxa"/>
          </w:tcPr>
          <w:p>
            <w:pPr>
              <w:pStyle w:val="TableParagraph"/>
              <w:spacing w:before="26"/>
              <w:ind w:right="423"/>
              <w:jc w:val="right"/>
              <w:rPr>
                <w:sz w:val="16"/>
              </w:rPr>
            </w:pPr>
            <w:r>
              <w:rPr>
                <w:spacing w:val="-10"/>
                <w:sz w:val="16"/>
              </w:rPr>
              <w:t>3</w:t>
            </w:r>
          </w:p>
        </w:tc>
        <w:tc>
          <w:tcPr>
            <w:tcW w:w="1052" w:type="dxa"/>
          </w:tcPr>
          <w:p>
            <w:pPr>
              <w:pStyle w:val="TableParagraph"/>
              <w:spacing w:before="26"/>
              <w:ind w:right="199"/>
              <w:jc w:val="right"/>
              <w:rPr>
                <w:sz w:val="16"/>
              </w:rPr>
            </w:pPr>
            <w:r>
              <w:rPr>
                <w:spacing w:val="-10"/>
                <w:sz w:val="16"/>
              </w:rPr>
              <w:t>*</w:t>
            </w:r>
          </w:p>
        </w:tc>
      </w:tr>
      <w:tr>
        <w:trPr>
          <w:trHeight w:val="240" w:hRule="atLeast"/>
        </w:trPr>
        <w:tc>
          <w:tcPr>
            <w:tcW w:w="2880" w:type="dxa"/>
          </w:tcPr>
          <w:p>
            <w:pPr>
              <w:pStyle w:val="TableParagraph"/>
              <w:spacing w:before="25"/>
              <w:ind w:left="52"/>
              <w:rPr>
                <w:sz w:val="16"/>
              </w:rPr>
            </w:pPr>
            <w:r>
              <w:rPr>
                <w:spacing w:val="-2"/>
                <w:sz w:val="16"/>
              </w:rPr>
              <w:t>Suriname</w:t>
            </w:r>
          </w:p>
        </w:tc>
        <w:tc>
          <w:tcPr>
            <w:tcW w:w="1222" w:type="dxa"/>
          </w:tcPr>
          <w:p>
            <w:pPr>
              <w:pStyle w:val="TableParagraph"/>
              <w:spacing w:before="25"/>
              <w:ind w:right="88"/>
              <w:jc w:val="right"/>
              <w:rPr>
                <w:sz w:val="16"/>
              </w:rPr>
            </w:pPr>
            <w:r>
              <w:rPr>
                <w:spacing w:val="-5"/>
                <w:sz w:val="16"/>
              </w:rPr>
              <w:t>58</w:t>
            </w:r>
          </w:p>
        </w:tc>
        <w:tc>
          <w:tcPr>
            <w:tcW w:w="1260" w:type="dxa"/>
          </w:tcPr>
          <w:p>
            <w:pPr>
              <w:pStyle w:val="TableParagraph"/>
              <w:spacing w:before="25"/>
              <w:ind w:right="88"/>
              <w:jc w:val="right"/>
              <w:rPr>
                <w:sz w:val="16"/>
              </w:rPr>
            </w:pPr>
            <w:r>
              <w:rPr>
                <w:sz w:val="16"/>
              </w:rPr>
              <w:t>—</w:t>
            </w:r>
          </w:p>
        </w:tc>
        <w:tc>
          <w:tcPr>
            <w:tcW w:w="1260" w:type="dxa"/>
          </w:tcPr>
          <w:p>
            <w:pPr>
              <w:pStyle w:val="TableParagraph"/>
              <w:spacing w:before="25"/>
              <w:ind w:right="88"/>
              <w:jc w:val="right"/>
              <w:rPr>
                <w:sz w:val="16"/>
              </w:rPr>
            </w:pPr>
            <w:r>
              <w:rPr>
                <w:spacing w:val="-5"/>
                <w:sz w:val="16"/>
              </w:rPr>
              <w:t>45</w:t>
            </w:r>
          </w:p>
        </w:tc>
        <w:tc>
          <w:tcPr>
            <w:tcW w:w="1595" w:type="dxa"/>
          </w:tcPr>
          <w:p>
            <w:pPr>
              <w:pStyle w:val="TableParagraph"/>
              <w:spacing w:before="25"/>
              <w:ind w:right="423"/>
              <w:jc w:val="right"/>
              <w:rPr>
                <w:sz w:val="16"/>
              </w:rPr>
            </w:pPr>
            <w:r>
              <w:rPr>
                <w:spacing w:val="-5"/>
                <w:sz w:val="16"/>
              </w:rPr>
              <w:t>13</w:t>
            </w:r>
          </w:p>
        </w:tc>
        <w:tc>
          <w:tcPr>
            <w:tcW w:w="1052" w:type="dxa"/>
          </w:tcPr>
          <w:p>
            <w:pPr>
              <w:pStyle w:val="TableParagraph"/>
              <w:spacing w:before="25"/>
              <w:ind w:left="539"/>
              <w:rPr>
                <w:sz w:val="16"/>
              </w:rPr>
            </w:pPr>
            <w:r>
              <w:rPr>
                <w:spacing w:val="-4"/>
                <w:sz w:val="16"/>
              </w:rPr>
              <w:t>0.01</w:t>
            </w:r>
          </w:p>
        </w:tc>
      </w:tr>
      <w:tr>
        <w:trPr>
          <w:trHeight w:val="240" w:hRule="atLeast"/>
        </w:trPr>
        <w:tc>
          <w:tcPr>
            <w:tcW w:w="2880" w:type="dxa"/>
          </w:tcPr>
          <w:p>
            <w:pPr>
              <w:pStyle w:val="TableParagraph"/>
              <w:spacing w:before="25"/>
              <w:ind w:left="52"/>
              <w:rPr>
                <w:sz w:val="16"/>
              </w:rPr>
            </w:pPr>
            <w:r>
              <w:rPr>
                <w:spacing w:val="-2"/>
                <w:sz w:val="16"/>
              </w:rPr>
              <w:t>Thailand</w:t>
            </w:r>
          </w:p>
        </w:tc>
        <w:tc>
          <w:tcPr>
            <w:tcW w:w="1222" w:type="dxa"/>
          </w:tcPr>
          <w:p>
            <w:pPr>
              <w:pStyle w:val="TableParagraph"/>
              <w:spacing w:before="25"/>
              <w:ind w:right="88"/>
              <w:jc w:val="right"/>
              <w:rPr>
                <w:sz w:val="16"/>
              </w:rPr>
            </w:pPr>
            <w:r>
              <w:rPr>
                <w:spacing w:val="-5"/>
                <w:sz w:val="16"/>
              </w:rPr>
              <w:t>625</w:t>
            </w:r>
          </w:p>
        </w:tc>
        <w:tc>
          <w:tcPr>
            <w:tcW w:w="1260" w:type="dxa"/>
          </w:tcPr>
          <w:p>
            <w:pPr>
              <w:pStyle w:val="TableParagraph"/>
              <w:spacing w:before="25"/>
              <w:ind w:right="88"/>
              <w:jc w:val="right"/>
              <w:rPr>
                <w:sz w:val="16"/>
              </w:rPr>
            </w:pPr>
            <w:r>
              <w:rPr>
                <w:sz w:val="16"/>
              </w:rPr>
              <w:t>—</w:t>
            </w:r>
          </w:p>
        </w:tc>
        <w:tc>
          <w:tcPr>
            <w:tcW w:w="1260" w:type="dxa"/>
          </w:tcPr>
          <w:p>
            <w:pPr>
              <w:pStyle w:val="TableParagraph"/>
              <w:spacing w:before="25"/>
              <w:ind w:right="88"/>
              <w:jc w:val="right"/>
              <w:rPr>
                <w:sz w:val="16"/>
              </w:rPr>
            </w:pPr>
            <w:r>
              <w:rPr>
                <w:sz w:val="16"/>
              </w:rPr>
              <w:t>—</w:t>
            </w:r>
          </w:p>
        </w:tc>
        <w:tc>
          <w:tcPr>
            <w:tcW w:w="1595" w:type="dxa"/>
          </w:tcPr>
          <w:p>
            <w:pPr>
              <w:pStyle w:val="TableParagraph"/>
              <w:spacing w:before="25"/>
              <w:ind w:right="423"/>
              <w:jc w:val="right"/>
              <w:rPr>
                <w:sz w:val="16"/>
              </w:rPr>
            </w:pPr>
            <w:r>
              <w:rPr>
                <w:spacing w:val="-5"/>
                <w:sz w:val="16"/>
              </w:rPr>
              <w:t>625</w:t>
            </w:r>
          </w:p>
        </w:tc>
        <w:tc>
          <w:tcPr>
            <w:tcW w:w="1052" w:type="dxa"/>
          </w:tcPr>
          <w:p>
            <w:pPr>
              <w:pStyle w:val="TableParagraph"/>
              <w:spacing w:before="25"/>
              <w:ind w:left="539"/>
              <w:rPr>
                <w:sz w:val="16"/>
              </w:rPr>
            </w:pPr>
            <w:r>
              <w:rPr>
                <w:spacing w:val="-4"/>
                <w:sz w:val="16"/>
              </w:rPr>
              <w:t>0.26</w:t>
            </w:r>
          </w:p>
        </w:tc>
      </w:tr>
      <w:tr>
        <w:trPr>
          <w:trHeight w:val="229" w:hRule="atLeast"/>
        </w:trPr>
        <w:tc>
          <w:tcPr>
            <w:tcW w:w="2880" w:type="dxa"/>
          </w:tcPr>
          <w:p>
            <w:pPr>
              <w:pStyle w:val="TableParagraph"/>
              <w:spacing w:line="184" w:lineRule="exact" w:before="25"/>
              <w:ind w:left="52"/>
              <w:rPr>
                <w:sz w:val="16"/>
              </w:rPr>
            </w:pPr>
            <w:r>
              <w:rPr>
                <w:spacing w:val="-2"/>
                <w:sz w:val="16"/>
              </w:rPr>
              <w:t>Timor-Leste</w:t>
            </w:r>
          </w:p>
        </w:tc>
        <w:tc>
          <w:tcPr>
            <w:tcW w:w="1222" w:type="dxa"/>
          </w:tcPr>
          <w:p>
            <w:pPr>
              <w:pStyle w:val="TableParagraph"/>
              <w:spacing w:line="184" w:lineRule="exact" w:before="25"/>
              <w:ind w:right="88"/>
              <w:jc w:val="right"/>
              <w:rPr>
                <w:sz w:val="16"/>
              </w:rPr>
            </w:pPr>
            <w:r>
              <w:rPr>
                <w:spacing w:val="-5"/>
                <w:sz w:val="16"/>
              </w:rPr>
              <w:t>14</w:t>
            </w:r>
          </w:p>
        </w:tc>
        <w:tc>
          <w:tcPr>
            <w:tcW w:w="1260" w:type="dxa"/>
          </w:tcPr>
          <w:p>
            <w:pPr>
              <w:pStyle w:val="TableParagraph"/>
              <w:spacing w:line="184" w:lineRule="exact" w:before="25"/>
              <w:ind w:right="88"/>
              <w:jc w:val="right"/>
              <w:rPr>
                <w:sz w:val="16"/>
              </w:rPr>
            </w:pPr>
            <w:r>
              <w:rPr>
                <w:sz w:val="16"/>
              </w:rPr>
              <w:t>—</w:t>
            </w:r>
          </w:p>
        </w:tc>
        <w:tc>
          <w:tcPr>
            <w:tcW w:w="1260" w:type="dxa"/>
          </w:tcPr>
          <w:p>
            <w:pPr>
              <w:pStyle w:val="TableParagraph"/>
              <w:spacing w:line="184" w:lineRule="exact" w:before="25"/>
              <w:ind w:right="88"/>
              <w:jc w:val="right"/>
              <w:rPr>
                <w:sz w:val="16"/>
              </w:rPr>
            </w:pPr>
            <w:r>
              <w:rPr>
                <w:sz w:val="16"/>
              </w:rPr>
              <w:t>—</w:t>
            </w:r>
          </w:p>
        </w:tc>
        <w:tc>
          <w:tcPr>
            <w:tcW w:w="1595" w:type="dxa"/>
          </w:tcPr>
          <w:p>
            <w:pPr>
              <w:pStyle w:val="TableParagraph"/>
              <w:spacing w:line="184" w:lineRule="exact" w:before="25"/>
              <w:ind w:right="423"/>
              <w:jc w:val="right"/>
              <w:rPr>
                <w:sz w:val="16"/>
              </w:rPr>
            </w:pPr>
            <w:r>
              <w:rPr>
                <w:spacing w:val="-5"/>
                <w:sz w:val="16"/>
              </w:rPr>
              <w:t>14</w:t>
            </w:r>
          </w:p>
        </w:tc>
        <w:tc>
          <w:tcPr>
            <w:tcW w:w="1052" w:type="dxa"/>
          </w:tcPr>
          <w:p>
            <w:pPr>
              <w:pStyle w:val="TableParagraph"/>
              <w:spacing w:line="184" w:lineRule="exact" w:before="25"/>
              <w:ind w:left="539"/>
              <w:rPr>
                <w:sz w:val="16"/>
              </w:rPr>
            </w:pPr>
            <w:r>
              <w:rPr>
                <w:spacing w:val="-4"/>
                <w:sz w:val="16"/>
              </w:rPr>
              <w:t>0.01</w:t>
            </w:r>
          </w:p>
        </w:tc>
      </w:tr>
      <w:tr>
        <w:trPr>
          <w:trHeight w:val="249" w:hRule="atLeast"/>
        </w:trPr>
        <w:tc>
          <w:tcPr>
            <w:tcW w:w="2880" w:type="dxa"/>
          </w:tcPr>
          <w:p>
            <w:pPr>
              <w:pStyle w:val="TableParagraph"/>
              <w:spacing w:before="36"/>
              <w:ind w:left="52"/>
              <w:rPr>
                <w:sz w:val="16"/>
              </w:rPr>
            </w:pPr>
            <w:r>
              <w:rPr>
                <w:spacing w:val="-2"/>
                <w:sz w:val="16"/>
              </w:rPr>
              <w:t>Trinidad and</w:t>
            </w:r>
            <w:r>
              <w:rPr>
                <w:spacing w:val="-4"/>
                <w:sz w:val="16"/>
              </w:rPr>
              <w:t> </w:t>
            </w:r>
            <w:r>
              <w:rPr>
                <w:spacing w:val="-2"/>
                <w:sz w:val="16"/>
              </w:rPr>
              <w:t>Tobago</w:t>
            </w:r>
            <w:r>
              <w:rPr>
                <w:spacing w:val="-1"/>
                <w:sz w:val="16"/>
              </w:rPr>
              <w:t> </w:t>
            </w:r>
            <w:r>
              <w:rPr>
                <w:spacing w:val="-10"/>
                <w:sz w:val="16"/>
                <w:vertAlign w:val="superscript"/>
              </w:rPr>
              <w:t>a</w:t>
            </w:r>
          </w:p>
        </w:tc>
        <w:tc>
          <w:tcPr>
            <w:tcW w:w="1222" w:type="dxa"/>
          </w:tcPr>
          <w:p>
            <w:pPr>
              <w:pStyle w:val="TableParagraph"/>
              <w:spacing w:before="36"/>
              <w:ind w:right="88"/>
              <w:jc w:val="right"/>
              <w:rPr>
                <w:sz w:val="16"/>
              </w:rPr>
            </w:pPr>
            <w:r>
              <w:rPr>
                <w:spacing w:val="-5"/>
                <w:sz w:val="16"/>
              </w:rPr>
              <w:t>20</w:t>
            </w:r>
          </w:p>
        </w:tc>
        <w:tc>
          <w:tcPr>
            <w:tcW w:w="1260" w:type="dxa"/>
          </w:tcPr>
          <w:p>
            <w:pPr>
              <w:pStyle w:val="TableParagraph"/>
              <w:spacing w:before="36"/>
              <w:ind w:right="88"/>
              <w:jc w:val="right"/>
              <w:rPr>
                <w:sz w:val="16"/>
              </w:rPr>
            </w:pPr>
            <w:r>
              <w:rPr>
                <w:sz w:val="16"/>
              </w:rPr>
              <w:t>—</w:t>
            </w:r>
          </w:p>
        </w:tc>
        <w:tc>
          <w:tcPr>
            <w:tcW w:w="1260" w:type="dxa"/>
          </w:tcPr>
          <w:p>
            <w:pPr>
              <w:pStyle w:val="TableParagraph"/>
              <w:spacing w:before="36"/>
              <w:ind w:right="88"/>
              <w:jc w:val="right"/>
              <w:rPr>
                <w:sz w:val="16"/>
              </w:rPr>
            </w:pPr>
            <w:r>
              <w:rPr>
                <w:spacing w:val="-10"/>
                <w:sz w:val="16"/>
              </w:rPr>
              <w:t>8</w:t>
            </w:r>
          </w:p>
        </w:tc>
        <w:tc>
          <w:tcPr>
            <w:tcW w:w="1595" w:type="dxa"/>
          </w:tcPr>
          <w:p>
            <w:pPr>
              <w:pStyle w:val="TableParagraph"/>
              <w:spacing w:before="36"/>
              <w:ind w:right="423"/>
              <w:jc w:val="right"/>
              <w:rPr>
                <w:sz w:val="16"/>
              </w:rPr>
            </w:pPr>
            <w:r>
              <w:rPr>
                <w:spacing w:val="-5"/>
                <w:sz w:val="16"/>
              </w:rPr>
              <w:t>12</w:t>
            </w:r>
          </w:p>
        </w:tc>
        <w:tc>
          <w:tcPr>
            <w:tcW w:w="1052" w:type="dxa"/>
          </w:tcPr>
          <w:p>
            <w:pPr>
              <w:pStyle w:val="TableParagraph"/>
              <w:spacing w:before="36"/>
              <w:ind w:right="199"/>
              <w:jc w:val="right"/>
              <w:rPr>
                <w:sz w:val="16"/>
              </w:rPr>
            </w:pPr>
            <w:r>
              <w:rPr>
                <w:spacing w:val="-10"/>
                <w:sz w:val="16"/>
              </w:rPr>
              <w:t>*</w:t>
            </w:r>
          </w:p>
        </w:tc>
      </w:tr>
      <w:tr>
        <w:trPr>
          <w:trHeight w:val="230" w:hRule="atLeast"/>
        </w:trPr>
        <w:tc>
          <w:tcPr>
            <w:tcW w:w="2880" w:type="dxa"/>
            <w:shd w:val="clear" w:color="auto" w:fill="D8D8D8"/>
          </w:tcPr>
          <w:p>
            <w:pPr>
              <w:pStyle w:val="TableParagraph"/>
              <w:spacing w:line="184" w:lineRule="exact" w:before="26"/>
              <w:ind w:left="52"/>
              <w:rPr>
                <w:sz w:val="16"/>
              </w:rPr>
            </w:pPr>
            <w:r>
              <w:rPr>
                <w:spacing w:val="-2"/>
                <w:sz w:val="16"/>
              </w:rPr>
              <w:t>Tunisia</w:t>
            </w:r>
          </w:p>
        </w:tc>
        <w:tc>
          <w:tcPr>
            <w:tcW w:w="1222" w:type="dxa"/>
            <w:shd w:val="clear" w:color="auto" w:fill="D8D8D8"/>
          </w:tcPr>
          <w:p>
            <w:pPr>
              <w:pStyle w:val="TableParagraph"/>
              <w:spacing w:line="184" w:lineRule="exact" w:before="26"/>
              <w:ind w:right="88"/>
              <w:jc w:val="right"/>
              <w:rPr>
                <w:sz w:val="16"/>
              </w:rPr>
            </w:pPr>
            <w:r>
              <w:rPr>
                <w:spacing w:val="-2"/>
                <w:sz w:val="16"/>
              </w:rPr>
              <w:t>5,456</w:t>
            </w:r>
          </w:p>
        </w:tc>
        <w:tc>
          <w:tcPr>
            <w:tcW w:w="1260" w:type="dxa"/>
            <w:shd w:val="clear" w:color="auto" w:fill="D8D8D8"/>
          </w:tcPr>
          <w:p>
            <w:pPr>
              <w:pStyle w:val="TableParagraph"/>
              <w:spacing w:line="184" w:lineRule="exact" w:before="26"/>
              <w:ind w:right="88"/>
              <w:jc w:val="right"/>
              <w:rPr>
                <w:sz w:val="16"/>
              </w:rPr>
            </w:pPr>
            <w:r>
              <w:rPr>
                <w:sz w:val="16"/>
              </w:rPr>
              <w:t>—</w:t>
            </w:r>
          </w:p>
        </w:tc>
        <w:tc>
          <w:tcPr>
            <w:tcW w:w="1260" w:type="dxa"/>
            <w:shd w:val="clear" w:color="auto" w:fill="D8D8D8"/>
          </w:tcPr>
          <w:p>
            <w:pPr>
              <w:pStyle w:val="TableParagraph"/>
              <w:spacing w:line="184" w:lineRule="exact" w:before="26"/>
              <w:ind w:right="88"/>
              <w:jc w:val="right"/>
              <w:rPr>
                <w:sz w:val="16"/>
              </w:rPr>
            </w:pPr>
            <w:r>
              <w:rPr>
                <w:spacing w:val="-2"/>
                <w:sz w:val="16"/>
              </w:rPr>
              <w:t>1,216</w:t>
            </w:r>
          </w:p>
        </w:tc>
        <w:tc>
          <w:tcPr>
            <w:tcW w:w="1595" w:type="dxa"/>
            <w:shd w:val="clear" w:color="auto" w:fill="D8D8D8"/>
          </w:tcPr>
          <w:p>
            <w:pPr>
              <w:pStyle w:val="TableParagraph"/>
              <w:spacing w:line="184" w:lineRule="exact" w:before="26"/>
              <w:ind w:right="423"/>
              <w:jc w:val="right"/>
              <w:rPr>
                <w:sz w:val="16"/>
              </w:rPr>
            </w:pPr>
            <w:r>
              <w:rPr>
                <w:spacing w:val="-2"/>
                <w:sz w:val="16"/>
              </w:rPr>
              <w:t>4,240</w:t>
            </w:r>
          </w:p>
        </w:tc>
        <w:tc>
          <w:tcPr>
            <w:tcW w:w="1052" w:type="dxa"/>
            <w:shd w:val="clear" w:color="auto" w:fill="D8D8D8"/>
          </w:tcPr>
          <w:p>
            <w:pPr>
              <w:pStyle w:val="TableParagraph"/>
              <w:spacing w:line="184" w:lineRule="exact" w:before="26"/>
              <w:ind w:left="539"/>
              <w:rPr>
                <w:sz w:val="16"/>
              </w:rPr>
            </w:pPr>
            <w:r>
              <w:rPr>
                <w:spacing w:val="-4"/>
                <w:sz w:val="16"/>
              </w:rPr>
              <w:t>1.74</w:t>
            </w:r>
          </w:p>
        </w:tc>
      </w:tr>
      <w:tr>
        <w:trPr>
          <w:trHeight w:val="250" w:hRule="atLeast"/>
        </w:trPr>
        <w:tc>
          <w:tcPr>
            <w:tcW w:w="2880" w:type="dxa"/>
            <w:shd w:val="clear" w:color="auto" w:fill="D8D8D8"/>
          </w:tcPr>
          <w:p>
            <w:pPr>
              <w:pStyle w:val="TableParagraph"/>
              <w:spacing w:before="36"/>
              <w:ind w:left="52"/>
              <w:rPr>
                <w:sz w:val="16"/>
              </w:rPr>
            </w:pPr>
            <w:r>
              <w:rPr>
                <w:sz w:val="16"/>
              </w:rPr>
              <w:t>Türkiye</w:t>
            </w:r>
            <w:r>
              <w:rPr>
                <w:spacing w:val="-4"/>
                <w:sz w:val="16"/>
              </w:rPr>
              <w:t> </w:t>
            </w:r>
            <w:r>
              <w:rPr>
                <w:spacing w:val="-10"/>
                <w:sz w:val="16"/>
                <w:vertAlign w:val="superscript"/>
              </w:rPr>
              <w:t>b</w:t>
            </w:r>
          </w:p>
        </w:tc>
        <w:tc>
          <w:tcPr>
            <w:tcW w:w="1222" w:type="dxa"/>
            <w:shd w:val="clear" w:color="auto" w:fill="D8D8D8"/>
          </w:tcPr>
          <w:p>
            <w:pPr>
              <w:pStyle w:val="TableParagraph"/>
              <w:spacing w:before="36"/>
              <w:ind w:right="88"/>
              <w:jc w:val="right"/>
              <w:rPr>
                <w:sz w:val="16"/>
              </w:rPr>
            </w:pPr>
            <w:r>
              <w:rPr>
                <w:spacing w:val="-2"/>
                <w:sz w:val="16"/>
              </w:rPr>
              <w:t>19,511</w:t>
            </w:r>
          </w:p>
        </w:tc>
        <w:tc>
          <w:tcPr>
            <w:tcW w:w="1260" w:type="dxa"/>
            <w:shd w:val="clear" w:color="auto" w:fill="D8D8D8"/>
          </w:tcPr>
          <w:p>
            <w:pPr>
              <w:pStyle w:val="TableParagraph"/>
              <w:spacing w:before="36"/>
              <w:ind w:right="88"/>
              <w:jc w:val="right"/>
              <w:rPr>
                <w:sz w:val="16"/>
              </w:rPr>
            </w:pPr>
            <w:r>
              <w:rPr>
                <w:spacing w:val="-2"/>
                <w:sz w:val="16"/>
              </w:rPr>
              <w:t>3,524</w:t>
            </w:r>
          </w:p>
        </w:tc>
        <w:tc>
          <w:tcPr>
            <w:tcW w:w="1260" w:type="dxa"/>
            <w:shd w:val="clear" w:color="auto" w:fill="D8D8D8"/>
          </w:tcPr>
          <w:p>
            <w:pPr>
              <w:pStyle w:val="TableParagraph"/>
              <w:spacing w:before="36"/>
              <w:ind w:right="88"/>
              <w:jc w:val="right"/>
              <w:rPr>
                <w:sz w:val="16"/>
              </w:rPr>
            </w:pPr>
            <w:r>
              <w:rPr>
                <w:spacing w:val="-2"/>
                <w:sz w:val="16"/>
              </w:rPr>
              <w:t>4,671</w:t>
            </w:r>
          </w:p>
        </w:tc>
        <w:tc>
          <w:tcPr>
            <w:tcW w:w="1595" w:type="dxa"/>
            <w:shd w:val="clear" w:color="auto" w:fill="D8D8D8"/>
          </w:tcPr>
          <w:p>
            <w:pPr>
              <w:pStyle w:val="TableParagraph"/>
              <w:spacing w:before="36"/>
              <w:ind w:right="423"/>
              <w:jc w:val="right"/>
              <w:rPr>
                <w:sz w:val="16"/>
              </w:rPr>
            </w:pPr>
            <w:r>
              <w:rPr>
                <w:spacing w:val="-2"/>
                <w:sz w:val="16"/>
              </w:rPr>
              <w:t>11,316</w:t>
            </w:r>
          </w:p>
        </w:tc>
        <w:tc>
          <w:tcPr>
            <w:tcW w:w="1052" w:type="dxa"/>
            <w:shd w:val="clear" w:color="auto" w:fill="D8D8D8"/>
          </w:tcPr>
          <w:p>
            <w:pPr>
              <w:pStyle w:val="TableParagraph"/>
              <w:spacing w:before="36"/>
              <w:ind w:left="539"/>
              <w:rPr>
                <w:sz w:val="16"/>
              </w:rPr>
            </w:pPr>
            <w:r>
              <w:rPr>
                <w:spacing w:val="-4"/>
                <w:sz w:val="16"/>
              </w:rPr>
              <w:t>4.64</w:t>
            </w:r>
          </w:p>
        </w:tc>
      </w:tr>
      <w:tr>
        <w:trPr>
          <w:trHeight w:val="229" w:hRule="atLeast"/>
        </w:trPr>
        <w:tc>
          <w:tcPr>
            <w:tcW w:w="2880" w:type="dxa"/>
            <w:shd w:val="clear" w:color="auto" w:fill="D8D8D8"/>
          </w:tcPr>
          <w:p>
            <w:pPr>
              <w:pStyle w:val="TableParagraph"/>
              <w:spacing w:line="184" w:lineRule="exact" w:before="25"/>
              <w:ind w:left="52"/>
              <w:rPr>
                <w:sz w:val="16"/>
              </w:rPr>
            </w:pPr>
            <w:r>
              <w:rPr>
                <w:spacing w:val="-2"/>
                <w:sz w:val="16"/>
              </w:rPr>
              <w:t>Turkmenistan</w:t>
            </w:r>
          </w:p>
        </w:tc>
        <w:tc>
          <w:tcPr>
            <w:tcW w:w="1222" w:type="dxa"/>
            <w:shd w:val="clear" w:color="auto" w:fill="D8D8D8"/>
          </w:tcPr>
          <w:p>
            <w:pPr>
              <w:pStyle w:val="TableParagraph"/>
              <w:spacing w:line="184" w:lineRule="exact" w:before="25"/>
              <w:ind w:right="88"/>
              <w:jc w:val="right"/>
              <w:rPr>
                <w:sz w:val="16"/>
              </w:rPr>
            </w:pPr>
            <w:r>
              <w:rPr>
                <w:spacing w:val="-5"/>
                <w:sz w:val="16"/>
              </w:rPr>
              <w:t>20</w:t>
            </w:r>
          </w:p>
        </w:tc>
        <w:tc>
          <w:tcPr>
            <w:tcW w:w="1260" w:type="dxa"/>
            <w:shd w:val="clear" w:color="auto" w:fill="D8D8D8"/>
          </w:tcPr>
          <w:p>
            <w:pPr>
              <w:pStyle w:val="TableParagraph"/>
              <w:spacing w:line="184" w:lineRule="exact" w:before="25"/>
              <w:ind w:right="88"/>
              <w:jc w:val="right"/>
              <w:rPr>
                <w:sz w:val="16"/>
              </w:rPr>
            </w:pPr>
            <w:r>
              <w:rPr>
                <w:sz w:val="16"/>
              </w:rPr>
              <w:t>—</w:t>
            </w:r>
          </w:p>
        </w:tc>
        <w:tc>
          <w:tcPr>
            <w:tcW w:w="1260" w:type="dxa"/>
            <w:shd w:val="clear" w:color="auto" w:fill="D8D8D8"/>
          </w:tcPr>
          <w:p>
            <w:pPr>
              <w:pStyle w:val="TableParagraph"/>
              <w:spacing w:line="184" w:lineRule="exact" w:before="25"/>
              <w:ind w:right="88"/>
              <w:jc w:val="right"/>
              <w:rPr>
                <w:sz w:val="16"/>
              </w:rPr>
            </w:pPr>
            <w:r>
              <w:rPr>
                <w:sz w:val="16"/>
              </w:rPr>
              <w:t>—</w:t>
            </w:r>
          </w:p>
        </w:tc>
        <w:tc>
          <w:tcPr>
            <w:tcW w:w="1595" w:type="dxa"/>
            <w:shd w:val="clear" w:color="auto" w:fill="D8D8D8"/>
          </w:tcPr>
          <w:p>
            <w:pPr>
              <w:pStyle w:val="TableParagraph"/>
              <w:spacing w:line="184" w:lineRule="exact" w:before="25"/>
              <w:ind w:right="423"/>
              <w:jc w:val="right"/>
              <w:rPr>
                <w:sz w:val="16"/>
              </w:rPr>
            </w:pPr>
            <w:r>
              <w:rPr>
                <w:spacing w:val="-5"/>
                <w:sz w:val="16"/>
              </w:rPr>
              <w:t>20</w:t>
            </w:r>
          </w:p>
        </w:tc>
        <w:tc>
          <w:tcPr>
            <w:tcW w:w="1052" w:type="dxa"/>
            <w:shd w:val="clear" w:color="auto" w:fill="D8D8D8"/>
          </w:tcPr>
          <w:p>
            <w:pPr>
              <w:pStyle w:val="TableParagraph"/>
              <w:spacing w:line="184" w:lineRule="exact" w:before="25"/>
              <w:ind w:left="539"/>
              <w:rPr>
                <w:sz w:val="16"/>
              </w:rPr>
            </w:pPr>
            <w:r>
              <w:rPr>
                <w:spacing w:val="-4"/>
                <w:sz w:val="16"/>
              </w:rPr>
              <w:t>0.01</w:t>
            </w:r>
          </w:p>
        </w:tc>
      </w:tr>
      <w:tr>
        <w:trPr>
          <w:trHeight w:val="250" w:hRule="atLeast"/>
        </w:trPr>
        <w:tc>
          <w:tcPr>
            <w:tcW w:w="2880" w:type="dxa"/>
            <w:shd w:val="clear" w:color="auto" w:fill="D8D8D8"/>
          </w:tcPr>
          <w:p>
            <w:pPr>
              <w:pStyle w:val="TableParagraph"/>
              <w:spacing w:before="36"/>
              <w:ind w:left="52"/>
              <w:rPr>
                <w:sz w:val="16"/>
              </w:rPr>
            </w:pPr>
            <w:r>
              <w:rPr>
                <w:sz w:val="16"/>
              </w:rPr>
              <w:t>Ukraine</w:t>
            </w:r>
            <w:r>
              <w:rPr>
                <w:spacing w:val="-5"/>
                <w:sz w:val="16"/>
              </w:rPr>
              <w:t> </w:t>
            </w:r>
            <w:r>
              <w:rPr>
                <w:spacing w:val="-10"/>
                <w:sz w:val="16"/>
                <w:vertAlign w:val="superscript"/>
              </w:rPr>
              <w:t>b</w:t>
            </w:r>
          </w:p>
        </w:tc>
        <w:tc>
          <w:tcPr>
            <w:tcW w:w="1222" w:type="dxa"/>
            <w:shd w:val="clear" w:color="auto" w:fill="D8D8D8"/>
          </w:tcPr>
          <w:p>
            <w:pPr>
              <w:pStyle w:val="TableParagraph"/>
              <w:spacing w:before="36"/>
              <w:ind w:right="88"/>
              <w:jc w:val="right"/>
              <w:rPr>
                <w:sz w:val="16"/>
              </w:rPr>
            </w:pPr>
            <w:r>
              <w:rPr>
                <w:spacing w:val="-2"/>
                <w:sz w:val="16"/>
              </w:rPr>
              <w:t>11,456</w:t>
            </w:r>
          </w:p>
        </w:tc>
        <w:tc>
          <w:tcPr>
            <w:tcW w:w="1260" w:type="dxa"/>
            <w:shd w:val="clear" w:color="auto" w:fill="D8D8D8"/>
          </w:tcPr>
          <w:p>
            <w:pPr>
              <w:pStyle w:val="TableParagraph"/>
              <w:spacing w:before="36"/>
              <w:ind w:right="88"/>
              <w:jc w:val="right"/>
              <w:rPr>
                <w:sz w:val="16"/>
              </w:rPr>
            </w:pPr>
            <w:r>
              <w:rPr>
                <w:spacing w:val="-2"/>
                <w:sz w:val="16"/>
              </w:rPr>
              <w:t>1,500</w:t>
            </w:r>
          </w:p>
        </w:tc>
        <w:tc>
          <w:tcPr>
            <w:tcW w:w="1260" w:type="dxa"/>
            <w:shd w:val="clear" w:color="auto" w:fill="D8D8D8"/>
          </w:tcPr>
          <w:p>
            <w:pPr>
              <w:pStyle w:val="TableParagraph"/>
              <w:spacing w:before="36"/>
              <w:ind w:right="88"/>
              <w:jc w:val="right"/>
              <w:rPr>
                <w:sz w:val="16"/>
              </w:rPr>
            </w:pPr>
            <w:r>
              <w:rPr>
                <w:spacing w:val="-2"/>
                <w:sz w:val="16"/>
              </w:rPr>
              <w:t>1,296</w:t>
            </w:r>
          </w:p>
        </w:tc>
        <w:tc>
          <w:tcPr>
            <w:tcW w:w="1595" w:type="dxa"/>
            <w:shd w:val="clear" w:color="auto" w:fill="D8D8D8"/>
          </w:tcPr>
          <w:p>
            <w:pPr>
              <w:pStyle w:val="TableParagraph"/>
              <w:spacing w:before="36"/>
              <w:ind w:right="423"/>
              <w:jc w:val="right"/>
              <w:rPr>
                <w:sz w:val="16"/>
              </w:rPr>
            </w:pPr>
            <w:r>
              <w:rPr>
                <w:spacing w:val="-2"/>
                <w:sz w:val="16"/>
              </w:rPr>
              <w:t>8,660</w:t>
            </w:r>
          </w:p>
        </w:tc>
        <w:tc>
          <w:tcPr>
            <w:tcW w:w="1052" w:type="dxa"/>
            <w:shd w:val="clear" w:color="auto" w:fill="D8D8D8"/>
          </w:tcPr>
          <w:p>
            <w:pPr>
              <w:pStyle w:val="TableParagraph"/>
              <w:spacing w:before="36"/>
              <w:ind w:left="539"/>
              <w:rPr>
                <w:sz w:val="16"/>
              </w:rPr>
            </w:pPr>
            <w:r>
              <w:rPr>
                <w:spacing w:val="-4"/>
                <w:sz w:val="16"/>
              </w:rPr>
              <w:t>3.55</w:t>
            </w:r>
          </w:p>
        </w:tc>
      </w:tr>
      <w:tr>
        <w:trPr>
          <w:trHeight w:val="239" w:hRule="atLeast"/>
        </w:trPr>
        <w:tc>
          <w:tcPr>
            <w:tcW w:w="2880" w:type="dxa"/>
            <w:shd w:val="clear" w:color="auto" w:fill="D8D8D8"/>
          </w:tcPr>
          <w:p>
            <w:pPr>
              <w:pStyle w:val="TableParagraph"/>
              <w:spacing w:before="25"/>
              <w:ind w:left="52"/>
              <w:rPr>
                <w:sz w:val="16"/>
              </w:rPr>
            </w:pPr>
            <w:r>
              <w:rPr>
                <w:spacing w:val="-2"/>
                <w:sz w:val="16"/>
              </w:rPr>
              <w:t>Uruguay</w:t>
            </w:r>
          </w:p>
        </w:tc>
        <w:tc>
          <w:tcPr>
            <w:tcW w:w="1222" w:type="dxa"/>
            <w:shd w:val="clear" w:color="auto" w:fill="D8D8D8"/>
          </w:tcPr>
          <w:p>
            <w:pPr>
              <w:pStyle w:val="TableParagraph"/>
              <w:spacing w:before="25"/>
              <w:ind w:right="88"/>
              <w:jc w:val="right"/>
              <w:rPr>
                <w:sz w:val="16"/>
              </w:rPr>
            </w:pPr>
            <w:r>
              <w:rPr>
                <w:spacing w:val="-2"/>
                <w:sz w:val="16"/>
              </w:rPr>
              <w:t>1,430</w:t>
            </w:r>
          </w:p>
        </w:tc>
        <w:tc>
          <w:tcPr>
            <w:tcW w:w="1260" w:type="dxa"/>
            <w:shd w:val="clear" w:color="auto" w:fill="D8D8D8"/>
          </w:tcPr>
          <w:p>
            <w:pPr>
              <w:pStyle w:val="TableParagraph"/>
              <w:spacing w:before="25"/>
              <w:ind w:right="88"/>
              <w:jc w:val="right"/>
              <w:rPr>
                <w:sz w:val="16"/>
              </w:rPr>
            </w:pPr>
            <w:r>
              <w:rPr>
                <w:sz w:val="16"/>
              </w:rPr>
              <w:t>—</w:t>
            </w:r>
          </w:p>
        </w:tc>
        <w:tc>
          <w:tcPr>
            <w:tcW w:w="1260" w:type="dxa"/>
            <w:shd w:val="clear" w:color="auto" w:fill="D8D8D8"/>
          </w:tcPr>
          <w:p>
            <w:pPr>
              <w:pStyle w:val="TableParagraph"/>
              <w:spacing w:before="25"/>
              <w:ind w:right="88"/>
              <w:jc w:val="right"/>
              <w:rPr>
                <w:sz w:val="16"/>
              </w:rPr>
            </w:pPr>
            <w:r>
              <w:rPr>
                <w:spacing w:val="-5"/>
                <w:sz w:val="16"/>
              </w:rPr>
              <w:t>64</w:t>
            </w:r>
          </w:p>
        </w:tc>
        <w:tc>
          <w:tcPr>
            <w:tcW w:w="1595" w:type="dxa"/>
            <w:shd w:val="clear" w:color="auto" w:fill="D8D8D8"/>
          </w:tcPr>
          <w:p>
            <w:pPr>
              <w:pStyle w:val="TableParagraph"/>
              <w:spacing w:before="25"/>
              <w:ind w:right="423"/>
              <w:jc w:val="right"/>
              <w:rPr>
                <w:sz w:val="16"/>
              </w:rPr>
            </w:pPr>
            <w:r>
              <w:rPr>
                <w:spacing w:val="-2"/>
                <w:sz w:val="16"/>
              </w:rPr>
              <w:t>1,366</w:t>
            </w:r>
          </w:p>
        </w:tc>
        <w:tc>
          <w:tcPr>
            <w:tcW w:w="1052" w:type="dxa"/>
            <w:shd w:val="clear" w:color="auto" w:fill="D8D8D8"/>
          </w:tcPr>
          <w:p>
            <w:pPr>
              <w:pStyle w:val="TableParagraph"/>
              <w:spacing w:before="25"/>
              <w:ind w:left="539"/>
              <w:rPr>
                <w:sz w:val="16"/>
              </w:rPr>
            </w:pPr>
            <w:r>
              <w:rPr>
                <w:spacing w:val="-4"/>
                <w:sz w:val="16"/>
              </w:rPr>
              <w:t>0.56</w:t>
            </w:r>
          </w:p>
        </w:tc>
      </w:tr>
      <w:tr>
        <w:trPr>
          <w:trHeight w:val="240" w:hRule="atLeast"/>
        </w:trPr>
        <w:tc>
          <w:tcPr>
            <w:tcW w:w="2880" w:type="dxa"/>
          </w:tcPr>
          <w:p>
            <w:pPr>
              <w:pStyle w:val="TableParagraph"/>
              <w:spacing w:before="26"/>
              <w:ind w:left="52"/>
              <w:rPr>
                <w:sz w:val="16"/>
              </w:rPr>
            </w:pPr>
            <w:r>
              <w:rPr>
                <w:spacing w:val="-2"/>
                <w:sz w:val="16"/>
              </w:rPr>
              <w:t>Uzbekistan</w:t>
            </w:r>
          </w:p>
        </w:tc>
        <w:tc>
          <w:tcPr>
            <w:tcW w:w="1222" w:type="dxa"/>
          </w:tcPr>
          <w:p>
            <w:pPr>
              <w:pStyle w:val="TableParagraph"/>
              <w:spacing w:before="26"/>
              <w:ind w:right="88"/>
              <w:jc w:val="right"/>
              <w:rPr>
                <w:sz w:val="16"/>
              </w:rPr>
            </w:pPr>
            <w:r>
              <w:rPr>
                <w:spacing w:val="-2"/>
                <w:sz w:val="16"/>
              </w:rPr>
              <w:t>3,242</w:t>
            </w:r>
          </w:p>
        </w:tc>
        <w:tc>
          <w:tcPr>
            <w:tcW w:w="1260" w:type="dxa"/>
          </w:tcPr>
          <w:p>
            <w:pPr>
              <w:pStyle w:val="TableParagraph"/>
              <w:spacing w:before="26"/>
              <w:ind w:right="88"/>
              <w:jc w:val="right"/>
              <w:rPr>
                <w:sz w:val="16"/>
              </w:rPr>
            </w:pPr>
            <w:r>
              <w:rPr>
                <w:sz w:val="16"/>
              </w:rPr>
              <w:t>—</w:t>
            </w:r>
          </w:p>
        </w:tc>
        <w:tc>
          <w:tcPr>
            <w:tcW w:w="1260" w:type="dxa"/>
          </w:tcPr>
          <w:p>
            <w:pPr>
              <w:pStyle w:val="TableParagraph"/>
              <w:spacing w:before="26"/>
              <w:ind w:right="88"/>
              <w:jc w:val="right"/>
              <w:rPr>
                <w:sz w:val="16"/>
              </w:rPr>
            </w:pPr>
            <w:r>
              <w:rPr>
                <w:spacing w:val="-5"/>
                <w:sz w:val="16"/>
              </w:rPr>
              <w:t>624</w:t>
            </w:r>
          </w:p>
        </w:tc>
        <w:tc>
          <w:tcPr>
            <w:tcW w:w="1595" w:type="dxa"/>
          </w:tcPr>
          <w:p>
            <w:pPr>
              <w:pStyle w:val="TableParagraph"/>
              <w:spacing w:before="26"/>
              <w:ind w:right="423"/>
              <w:jc w:val="right"/>
              <w:rPr>
                <w:sz w:val="16"/>
              </w:rPr>
            </w:pPr>
            <w:r>
              <w:rPr>
                <w:spacing w:val="-2"/>
                <w:sz w:val="16"/>
              </w:rPr>
              <w:t>2,618</w:t>
            </w:r>
          </w:p>
        </w:tc>
        <w:tc>
          <w:tcPr>
            <w:tcW w:w="1052" w:type="dxa"/>
          </w:tcPr>
          <w:p>
            <w:pPr>
              <w:pStyle w:val="TableParagraph"/>
              <w:spacing w:before="26"/>
              <w:ind w:left="539"/>
              <w:rPr>
                <w:sz w:val="16"/>
              </w:rPr>
            </w:pPr>
            <w:r>
              <w:rPr>
                <w:spacing w:val="-4"/>
                <w:sz w:val="16"/>
              </w:rPr>
              <w:t>1.07</w:t>
            </w:r>
          </w:p>
        </w:tc>
      </w:tr>
      <w:tr>
        <w:trPr>
          <w:trHeight w:val="240" w:hRule="atLeast"/>
        </w:trPr>
        <w:tc>
          <w:tcPr>
            <w:tcW w:w="2880" w:type="dxa"/>
          </w:tcPr>
          <w:p>
            <w:pPr>
              <w:pStyle w:val="TableParagraph"/>
              <w:spacing w:before="25"/>
              <w:ind w:left="52"/>
              <w:rPr>
                <w:sz w:val="16"/>
              </w:rPr>
            </w:pPr>
            <w:r>
              <w:rPr>
                <w:spacing w:val="-2"/>
                <w:sz w:val="16"/>
              </w:rPr>
              <w:t>Vietnam</w:t>
            </w:r>
          </w:p>
        </w:tc>
        <w:tc>
          <w:tcPr>
            <w:tcW w:w="1222" w:type="dxa"/>
          </w:tcPr>
          <w:p>
            <w:pPr>
              <w:pStyle w:val="TableParagraph"/>
              <w:spacing w:before="25"/>
              <w:ind w:right="88"/>
              <w:jc w:val="right"/>
              <w:rPr>
                <w:sz w:val="16"/>
              </w:rPr>
            </w:pPr>
            <w:r>
              <w:rPr>
                <w:spacing w:val="-2"/>
                <w:sz w:val="16"/>
              </w:rPr>
              <w:t>2,583</w:t>
            </w:r>
          </w:p>
        </w:tc>
        <w:tc>
          <w:tcPr>
            <w:tcW w:w="1260" w:type="dxa"/>
          </w:tcPr>
          <w:p>
            <w:pPr>
              <w:pStyle w:val="TableParagraph"/>
              <w:spacing w:before="25"/>
              <w:ind w:right="88"/>
              <w:jc w:val="right"/>
              <w:rPr>
                <w:sz w:val="16"/>
              </w:rPr>
            </w:pPr>
            <w:r>
              <w:rPr>
                <w:sz w:val="16"/>
              </w:rPr>
              <w:t>—</w:t>
            </w:r>
          </w:p>
        </w:tc>
        <w:tc>
          <w:tcPr>
            <w:tcW w:w="1260" w:type="dxa"/>
          </w:tcPr>
          <w:p>
            <w:pPr>
              <w:pStyle w:val="TableParagraph"/>
              <w:spacing w:before="25"/>
              <w:ind w:right="88"/>
              <w:jc w:val="right"/>
              <w:rPr>
                <w:sz w:val="16"/>
              </w:rPr>
            </w:pPr>
            <w:r>
              <w:rPr>
                <w:spacing w:val="-5"/>
                <w:sz w:val="16"/>
              </w:rPr>
              <w:t>391</w:t>
            </w:r>
          </w:p>
        </w:tc>
        <w:tc>
          <w:tcPr>
            <w:tcW w:w="1595" w:type="dxa"/>
          </w:tcPr>
          <w:p>
            <w:pPr>
              <w:pStyle w:val="TableParagraph"/>
              <w:spacing w:before="25"/>
              <w:ind w:right="423"/>
              <w:jc w:val="right"/>
              <w:rPr>
                <w:sz w:val="16"/>
              </w:rPr>
            </w:pPr>
            <w:r>
              <w:rPr>
                <w:spacing w:val="-2"/>
                <w:sz w:val="16"/>
              </w:rPr>
              <w:t>2,192</w:t>
            </w:r>
          </w:p>
        </w:tc>
        <w:tc>
          <w:tcPr>
            <w:tcW w:w="1052" w:type="dxa"/>
          </w:tcPr>
          <w:p>
            <w:pPr>
              <w:pStyle w:val="TableParagraph"/>
              <w:spacing w:before="25"/>
              <w:ind w:left="539"/>
              <w:rPr>
                <w:sz w:val="16"/>
              </w:rPr>
            </w:pPr>
            <w:r>
              <w:rPr>
                <w:spacing w:val="-4"/>
                <w:sz w:val="16"/>
              </w:rPr>
              <w:t>0.90</w:t>
            </w:r>
          </w:p>
        </w:tc>
      </w:tr>
      <w:tr>
        <w:trPr>
          <w:trHeight w:val="229" w:hRule="atLeast"/>
        </w:trPr>
        <w:tc>
          <w:tcPr>
            <w:tcW w:w="2880" w:type="dxa"/>
          </w:tcPr>
          <w:p>
            <w:pPr>
              <w:pStyle w:val="TableParagraph"/>
              <w:spacing w:line="184" w:lineRule="exact" w:before="25"/>
              <w:ind w:left="52"/>
              <w:rPr>
                <w:sz w:val="16"/>
              </w:rPr>
            </w:pPr>
            <w:r>
              <w:rPr>
                <w:spacing w:val="-2"/>
                <w:sz w:val="16"/>
              </w:rPr>
              <w:t>Zimbabwe</w:t>
            </w:r>
          </w:p>
        </w:tc>
        <w:tc>
          <w:tcPr>
            <w:tcW w:w="1222" w:type="dxa"/>
            <w:tcBorders>
              <w:bottom w:val="single" w:sz="8" w:space="0" w:color="000000"/>
            </w:tcBorders>
          </w:tcPr>
          <w:p>
            <w:pPr>
              <w:pStyle w:val="TableParagraph"/>
              <w:spacing w:line="184" w:lineRule="exact" w:before="25"/>
              <w:ind w:right="88"/>
              <w:jc w:val="right"/>
              <w:rPr>
                <w:sz w:val="16"/>
              </w:rPr>
            </w:pPr>
            <w:r>
              <w:rPr>
                <w:spacing w:val="-5"/>
                <w:sz w:val="16"/>
              </w:rPr>
              <w:t>427</w:t>
            </w:r>
          </w:p>
        </w:tc>
        <w:tc>
          <w:tcPr>
            <w:tcW w:w="1260" w:type="dxa"/>
            <w:tcBorders>
              <w:bottom w:val="single" w:sz="8" w:space="0" w:color="000000"/>
            </w:tcBorders>
          </w:tcPr>
          <w:p>
            <w:pPr>
              <w:pStyle w:val="TableParagraph"/>
              <w:spacing w:line="184" w:lineRule="exact" w:before="25"/>
              <w:ind w:right="88"/>
              <w:jc w:val="right"/>
              <w:rPr>
                <w:sz w:val="16"/>
              </w:rPr>
            </w:pPr>
            <w:r>
              <w:rPr>
                <w:sz w:val="16"/>
              </w:rPr>
              <w:t>—</w:t>
            </w:r>
          </w:p>
        </w:tc>
        <w:tc>
          <w:tcPr>
            <w:tcW w:w="1260" w:type="dxa"/>
            <w:tcBorders>
              <w:bottom w:val="single" w:sz="8" w:space="0" w:color="000000"/>
            </w:tcBorders>
          </w:tcPr>
          <w:p>
            <w:pPr>
              <w:pStyle w:val="TableParagraph"/>
              <w:spacing w:line="184" w:lineRule="exact" w:before="25"/>
              <w:ind w:right="88"/>
              <w:jc w:val="right"/>
              <w:rPr>
                <w:sz w:val="16"/>
              </w:rPr>
            </w:pPr>
            <w:r>
              <w:rPr>
                <w:sz w:val="16"/>
              </w:rPr>
              <w:t>—</w:t>
            </w:r>
          </w:p>
        </w:tc>
        <w:tc>
          <w:tcPr>
            <w:tcW w:w="1595" w:type="dxa"/>
            <w:tcBorders>
              <w:bottom w:val="single" w:sz="8" w:space="0" w:color="000000"/>
            </w:tcBorders>
          </w:tcPr>
          <w:p>
            <w:pPr>
              <w:pStyle w:val="TableParagraph"/>
              <w:spacing w:line="184" w:lineRule="exact" w:before="25"/>
              <w:ind w:right="423"/>
              <w:jc w:val="right"/>
              <w:rPr>
                <w:sz w:val="16"/>
              </w:rPr>
            </w:pPr>
            <w:r>
              <w:rPr>
                <w:spacing w:val="-5"/>
                <w:sz w:val="16"/>
              </w:rPr>
              <w:t>427</w:t>
            </w:r>
          </w:p>
        </w:tc>
        <w:tc>
          <w:tcPr>
            <w:tcW w:w="1052" w:type="dxa"/>
            <w:tcBorders>
              <w:bottom w:val="single" w:sz="8" w:space="0" w:color="000000"/>
            </w:tcBorders>
          </w:tcPr>
          <w:p>
            <w:pPr>
              <w:pStyle w:val="TableParagraph"/>
              <w:spacing w:line="184" w:lineRule="exact" w:before="25"/>
              <w:ind w:left="539"/>
              <w:rPr>
                <w:sz w:val="16"/>
              </w:rPr>
            </w:pPr>
            <w:r>
              <w:rPr>
                <w:spacing w:val="-4"/>
                <w:sz w:val="16"/>
              </w:rPr>
              <w:t>0.18</w:t>
            </w:r>
          </w:p>
        </w:tc>
      </w:tr>
      <w:tr>
        <w:trPr>
          <w:trHeight w:val="200" w:hRule="atLeast"/>
        </w:trPr>
        <w:tc>
          <w:tcPr>
            <w:tcW w:w="2880" w:type="dxa"/>
          </w:tcPr>
          <w:p>
            <w:pPr>
              <w:pStyle w:val="TableParagraph"/>
              <w:spacing w:line="164" w:lineRule="exact" w:before="16"/>
              <w:ind w:left="52"/>
              <w:rPr>
                <w:rFonts w:ascii="Arial"/>
                <w:b/>
                <w:sz w:val="16"/>
              </w:rPr>
            </w:pPr>
            <w:r>
              <w:rPr>
                <w:rFonts w:ascii="Arial"/>
                <w:b/>
                <w:sz w:val="16"/>
              </w:rPr>
              <w:t>Total-June</w:t>
            </w:r>
            <w:r>
              <w:rPr>
                <w:rFonts w:ascii="Arial"/>
                <w:b/>
                <w:spacing w:val="-6"/>
                <w:sz w:val="16"/>
              </w:rPr>
              <w:t> </w:t>
            </w:r>
            <w:r>
              <w:rPr>
                <w:rFonts w:ascii="Arial"/>
                <w:b/>
                <w:sz w:val="16"/>
              </w:rPr>
              <w:t>30,</w:t>
            </w:r>
            <w:r>
              <w:rPr>
                <w:rFonts w:ascii="Arial"/>
                <w:b/>
                <w:spacing w:val="-4"/>
                <w:sz w:val="16"/>
              </w:rPr>
              <w:t> 2023</w:t>
            </w:r>
          </w:p>
        </w:tc>
        <w:tc>
          <w:tcPr>
            <w:tcW w:w="1222" w:type="dxa"/>
            <w:tcBorders>
              <w:top w:val="single" w:sz="8" w:space="0" w:color="000000"/>
              <w:bottom w:val="double" w:sz="8" w:space="0" w:color="000000"/>
            </w:tcBorders>
          </w:tcPr>
          <w:p>
            <w:pPr>
              <w:pStyle w:val="TableParagraph"/>
              <w:tabs>
                <w:tab w:pos="501" w:val="left" w:leader="none"/>
              </w:tabs>
              <w:spacing w:line="164" w:lineRule="exact" w:before="16"/>
              <w:ind w:right="88"/>
              <w:jc w:val="right"/>
              <w:rPr>
                <w:rFonts w:ascii="Arial"/>
                <w:b/>
                <w:sz w:val="16"/>
              </w:rPr>
            </w:pPr>
            <w:r>
              <w:rPr>
                <w:rFonts w:ascii="Arial"/>
                <w:b/>
                <w:spacing w:val="-10"/>
                <w:sz w:val="16"/>
              </w:rPr>
              <w:t>$</w:t>
            </w:r>
            <w:r>
              <w:rPr>
                <w:rFonts w:ascii="Arial"/>
                <w:b/>
                <w:sz w:val="16"/>
              </w:rPr>
              <w:tab/>
            </w:r>
            <w:r>
              <w:rPr>
                <w:rFonts w:ascii="Arial"/>
                <w:b/>
                <w:spacing w:val="-2"/>
                <w:sz w:val="16"/>
              </w:rPr>
              <w:t>329,008</w:t>
            </w:r>
          </w:p>
        </w:tc>
        <w:tc>
          <w:tcPr>
            <w:tcW w:w="1260" w:type="dxa"/>
            <w:tcBorders>
              <w:top w:val="single" w:sz="8" w:space="0" w:color="000000"/>
              <w:bottom w:val="double" w:sz="8" w:space="0" w:color="000000"/>
            </w:tcBorders>
          </w:tcPr>
          <w:p>
            <w:pPr>
              <w:pStyle w:val="TableParagraph"/>
              <w:tabs>
                <w:tab w:pos="590" w:val="left" w:leader="none"/>
              </w:tabs>
              <w:spacing w:line="164" w:lineRule="exact" w:before="16"/>
              <w:ind w:right="88"/>
              <w:jc w:val="right"/>
              <w:rPr>
                <w:rFonts w:ascii="Arial"/>
                <w:b/>
                <w:sz w:val="16"/>
              </w:rPr>
            </w:pPr>
            <w:r>
              <w:rPr>
                <w:rFonts w:ascii="Arial"/>
                <w:b/>
                <w:spacing w:val="-10"/>
                <w:sz w:val="16"/>
              </w:rPr>
              <w:t>$</w:t>
            </w:r>
            <w:r>
              <w:rPr>
                <w:rFonts w:ascii="Arial"/>
                <w:b/>
                <w:sz w:val="16"/>
              </w:rPr>
              <w:tab/>
            </w:r>
            <w:r>
              <w:rPr>
                <w:rFonts w:ascii="Arial"/>
                <w:b/>
                <w:spacing w:val="-2"/>
                <w:sz w:val="16"/>
              </w:rPr>
              <w:t>25,762</w:t>
            </w:r>
          </w:p>
        </w:tc>
        <w:tc>
          <w:tcPr>
            <w:tcW w:w="1260" w:type="dxa"/>
            <w:tcBorders>
              <w:top w:val="single" w:sz="8" w:space="0" w:color="000000"/>
              <w:bottom w:val="double" w:sz="8" w:space="0" w:color="000000"/>
            </w:tcBorders>
          </w:tcPr>
          <w:p>
            <w:pPr>
              <w:pStyle w:val="TableParagraph"/>
              <w:tabs>
                <w:tab w:pos="590" w:val="left" w:leader="none"/>
              </w:tabs>
              <w:spacing w:line="164" w:lineRule="exact" w:before="16"/>
              <w:ind w:right="88"/>
              <w:jc w:val="right"/>
              <w:rPr>
                <w:rFonts w:ascii="Arial"/>
                <w:b/>
                <w:sz w:val="16"/>
              </w:rPr>
            </w:pPr>
            <w:r>
              <w:rPr>
                <w:rFonts w:ascii="Arial"/>
                <w:b/>
                <w:spacing w:val="-10"/>
                <w:sz w:val="16"/>
              </w:rPr>
              <w:t>$</w:t>
            </w:r>
            <w:r>
              <w:rPr>
                <w:rFonts w:ascii="Arial"/>
                <w:b/>
                <w:sz w:val="16"/>
              </w:rPr>
              <w:tab/>
            </w:r>
            <w:r>
              <w:rPr>
                <w:rFonts w:ascii="Arial"/>
                <w:b/>
                <w:spacing w:val="-2"/>
                <w:sz w:val="16"/>
              </w:rPr>
              <w:t>59,350</w:t>
            </w:r>
          </w:p>
        </w:tc>
        <w:tc>
          <w:tcPr>
            <w:tcW w:w="1595" w:type="dxa"/>
            <w:tcBorders>
              <w:top w:val="single" w:sz="8" w:space="0" w:color="000000"/>
              <w:bottom w:val="double" w:sz="8" w:space="0" w:color="000000"/>
            </w:tcBorders>
          </w:tcPr>
          <w:p>
            <w:pPr>
              <w:pStyle w:val="TableParagraph"/>
              <w:tabs>
                <w:tab w:pos="501" w:val="left" w:leader="none"/>
              </w:tabs>
              <w:spacing w:line="164" w:lineRule="exact" w:before="16"/>
              <w:ind w:right="423"/>
              <w:jc w:val="right"/>
              <w:rPr>
                <w:rFonts w:ascii="Arial"/>
                <w:b/>
                <w:sz w:val="16"/>
              </w:rPr>
            </w:pPr>
            <w:r>
              <w:rPr>
                <w:rFonts w:ascii="Arial"/>
                <w:b/>
                <w:spacing w:val="-10"/>
                <w:sz w:val="16"/>
              </w:rPr>
              <w:t>$</w:t>
            </w:r>
            <w:r>
              <w:rPr>
                <w:rFonts w:ascii="Arial"/>
                <w:b/>
                <w:sz w:val="16"/>
              </w:rPr>
              <w:tab/>
            </w:r>
            <w:r>
              <w:rPr>
                <w:rFonts w:ascii="Arial"/>
                <w:b/>
                <w:spacing w:val="-2"/>
                <w:sz w:val="16"/>
              </w:rPr>
              <w:t>243,896</w:t>
            </w:r>
          </w:p>
        </w:tc>
        <w:tc>
          <w:tcPr>
            <w:tcW w:w="1052" w:type="dxa"/>
            <w:tcBorders>
              <w:top w:val="single" w:sz="8" w:space="0" w:color="000000"/>
              <w:bottom w:val="double" w:sz="8" w:space="0" w:color="000000"/>
            </w:tcBorders>
          </w:tcPr>
          <w:p>
            <w:pPr>
              <w:pStyle w:val="TableParagraph"/>
              <w:spacing w:line="164" w:lineRule="exact" w:before="16"/>
              <w:ind w:left="426"/>
              <w:rPr>
                <w:rFonts w:ascii="Arial"/>
                <w:b/>
                <w:sz w:val="16"/>
              </w:rPr>
            </w:pPr>
            <w:r>
              <w:rPr>
                <w:rFonts w:ascii="Arial"/>
                <w:b/>
                <w:sz w:val="16"/>
              </w:rPr>
              <w:t>100</w:t>
            </w:r>
            <w:r>
              <w:rPr>
                <w:rFonts w:ascii="Arial"/>
                <w:b/>
                <w:spacing w:val="6"/>
                <w:sz w:val="16"/>
              </w:rPr>
              <w:t> </w:t>
            </w:r>
            <w:r>
              <w:rPr>
                <w:rFonts w:ascii="Arial"/>
                <w:b/>
                <w:spacing w:val="-10"/>
                <w:sz w:val="16"/>
              </w:rPr>
              <w:t>%</w:t>
            </w:r>
          </w:p>
        </w:tc>
      </w:tr>
    </w:tbl>
    <w:p>
      <w:pPr>
        <w:pStyle w:val="BodyText"/>
        <w:spacing w:before="7"/>
        <w:rPr>
          <w:rFonts w:ascii="Arial"/>
          <w:i/>
          <w:sz w:val="10"/>
        </w:rPr>
      </w:pPr>
      <w:r>
        <w:rPr>
          <w:rFonts w:ascii="Arial"/>
          <w:i/>
          <w:sz w:val="10"/>
        </w:rPr>
        <mc:AlternateContent>
          <mc:Choice Requires="wps">
            <w:drawing>
              <wp:anchor distT="0" distB="0" distL="0" distR="0" allowOverlap="1" layoutInCell="1" locked="0" behindDoc="1" simplePos="0" relativeHeight="487678464">
                <wp:simplePos x="0" y="0"/>
                <wp:positionH relativeFrom="page">
                  <wp:posOffset>2743200</wp:posOffset>
                </wp:positionH>
                <wp:positionV relativeFrom="paragraph">
                  <wp:posOffset>99341</wp:posOffset>
                </wp:positionV>
                <wp:extent cx="3162300" cy="1270"/>
                <wp:effectExtent l="0" t="0" r="0" b="0"/>
                <wp:wrapTopAndBottom/>
                <wp:docPr id="680" name="Graphic 680"/>
                <wp:cNvGraphicFramePr>
                  <a:graphicFrameLocks/>
                </wp:cNvGraphicFramePr>
                <a:graphic>
                  <a:graphicData uri="http://schemas.microsoft.com/office/word/2010/wordprocessingShape">
                    <wps:wsp>
                      <wps:cNvPr id="680" name="Graphic 680"/>
                      <wps:cNvSpPr/>
                      <wps:spPr>
                        <a:xfrm>
                          <a:off x="0" y="0"/>
                          <a:ext cx="3162300" cy="1270"/>
                        </a:xfrm>
                        <a:custGeom>
                          <a:avLst/>
                          <a:gdLst/>
                          <a:ahLst/>
                          <a:cxnLst/>
                          <a:rect l="l" t="t" r="r" b="b"/>
                          <a:pathLst>
                            <a:path w="3162300" h="0">
                              <a:moveTo>
                                <a:pt x="0" y="0"/>
                              </a:moveTo>
                              <a:lnTo>
                                <a:pt x="762000" y="0"/>
                              </a:lnTo>
                            </a:path>
                            <a:path w="3162300" h="0">
                              <a:moveTo>
                                <a:pt x="800100" y="0"/>
                              </a:moveTo>
                              <a:lnTo>
                                <a:pt x="1562100" y="0"/>
                              </a:lnTo>
                            </a:path>
                            <a:path w="3162300" h="0">
                              <a:moveTo>
                                <a:pt x="1600200" y="0"/>
                              </a:moveTo>
                              <a:lnTo>
                                <a:pt x="2362200" y="0"/>
                              </a:lnTo>
                            </a:path>
                            <a:path w="3162300" h="0">
                              <a:moveTo>
                                <a:pt x="2400300" y="0"/>
                              </a:moveTo>
                              <a:lnTo>
                                <a:pt x="31623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7.822158pt;width:249pt;height:.1pt;mso-position-horizontal-relative:page;mso-position-vertical-relative:paragraph;z-index:-15638016;mso-wrap-distance-left:0;mso-wrap-distance-right:0" id="docshape576" coordorigin="4320,156" coordsize="4980,0" path="m4320,156l5520,156m5580,156l6780,156m6840,156l8040,156m8100,156l9300,156e" filled="false" stroked="true" strokeweight="1pt" strokecolor="#000000">
                <v:path arrowok="t"/>
                <v:stroke dashstyle="solid"/>
                <w10:wrap type="topAndBottom"/>
              </v:shape>
            </w:pict>
          </mc:Fallback>
        </mc:AlternateContent>
      </w:r>
    </w:p>
    <w:p>
      <w:pPr>
        <w:tabs>
          <w:tab w:pos="3599" w:val="left" w:leader="none"/>
          <w:tab w:pos="4154" w:val="left" w:leader="none"/>
          <w:tab w:pos="5503" w:val="left" w:leader="none"/>
          <w:tab w:pos="6763" w:val="left" w:leader="none"/>
          <w:tab w:pos="7934" w:val="left" w:leader="none"/>
        </w:tabs>
        <w:spacing w:before="16" w:after="40"/>
        <w:ind w:left="772" w:right="0" w:firstLine="0"/>
        <w:jc w:val="left"/>
        <w:rPr>
          <w:rFonts w:ascii="Arial"/>
          <w:b/>
          <w:sz w:val="16"/>
        </w:rPr>
      </w:pPr>
      <w:r>
        <w:rPr>
          <w:rFonts w:ascii="Arial"/>
          <w:b/>
          <w:sz w:val="16"/>
        </w:rPr>
        <w:t>Total-June</w:t>
      </w:r>
      <w:r>
        <w:rPr>
          <w:rFonts w:ascii="Arial"/>
          <w:b/>
          <w:spacing w:val="-6"/>
          <w:sz w:val="16"/>
        </w:rPr>
        <w:t> </w:t>
      </w:r>
      <w:r>
        <w:rPr>
          <w:rFonts w:ascii="Arial"/>
          <w:b/>
          <w:sz w:val="16"/>
        </w:rPr>
        <w:t>30,</w:t>
      </w:r>
      <w:r>
        <w:rPr>
          <w:rFonts w:ascii="Arial"/>
          <w:b/>
          <w:spacing w:val="-4"/>
          <w:sz w:val="16"/>
        </w:rPr>
        <w:t> 2022</w:t>
      </w:r>
      <w:r>
        <w:rPr>
          <w:rFonts w:ascii="Arial"/>
          <w:b/>
          <w:sz w:val="16"/>
        </w:rPr>
        <w:tab/>
      </w:r>
      <w:r>
        <w:rPr>
          <w:rFonts w:ascii="Arial"/>
          <w:b/>
          <w:sz w:val="16"/>
          <w:u w:val="single"/>
        </w:rPr>
        <w:t> $</w:t>
        <w:tab/>
        <w:t>303,867</w:t>
      </w:r>
      <w:r>
        <w:rPr>
          <w:rFonts w:ascii="Arial"/>
          <w:b/>
          <w:spacing w:val="42"/>
          <w:sz w:val="16"/>
          <w:u w:val="single"/>
        </w:rPr>
        <w:t>  </w:t>
      </w:r>
      <w:r>
        <w:rPr>
          <w:rFonts w:ascii="Arial"/>
          <w:b/>
          <w:spacing w:val="-10"/>
          <w:sz w:val="16"/>
          <w:u w:val="single"/>
        </w:rPr>
        <w:t>$</w:t>
      </w:r>
      <w:r>
        <w:rPr>
          <w:rFonts w:ascii="Arial"/>
          <w:b/>
          <w:sz w:val="16"/>
          <w:u w:val="single"/>
        </w:rPr>
        <w:tab/>
        <w:t>17,572</w:t>
      </w:r>
      <w:r>
        <w:rPr>
          <w:rFonts w:ascii="Arial"/>
          <w:b/>
          <w:spacing w:val="43"/>
          <w:sz w:val="16"/>
          <w:u w:val="single"/>
        </w:rPr>
        <w:t>  </w:t>
      </w:r>
      <w:r>
        <w:rPr>
          <w:rFonts w:ascii="Arial"/>
          <w:b/>
          <w:spacing w:val="-10"/>
          <w:sz w:val="16"/>
          <w:u w:val="single"/>
        </w:rPr>
        <w:t>$</w:t>
      </w:r>
      <w:r>
        <w:rPr>
          <w:rFonts w:ascii="Arial"/>
          <w:b/>
          <w:sz w:val="16"/>
          <w:u w:val="single"/>
        </w:rPr>
        <w:tab/>
        <w:t>56,951</w:t>
      </w:r>
      <w:r>
        <w:rPr>
          <w:rFonts w:ascii="Arial"/>
          <w:b/>
          <w:spacing w:val="43"/>
          <w:sz w:val="16"/>
          <w:u w:val="single"/>
        </w:rPr>
        <w:t>  </w:t>
      </w:r>
      <w:r>
        <w:rPr>
          <w:rFonts w:ascii="Arial"/>
          <w:b/>
          <w:spacing w:val="-10"/>
          <w:sz w:val="16"/>
          <w:u w:val="single"/>
        </w:rPr>
        <w:t>$</w:t>
      </w:r>
      <w:r>
        <w:rPr>
          <w:rFonts w:ascii="Arial"/>
          <w:b/>
          <w:sz w:val="16"/>
          <w:u w:val="single"/>
        </w:rPr>
        <w:tab/>
      </w:r>
      <w:r>
        <w:rPr>
          <w:rFonts w:ascii="Arial"/>
          <w:b/>
          <w:spacing w:val="-2"/>
          <w:sz w:val="16"/>
          <w:u w:val="single"/>
        </w:rPr>
        <w:t>229,344</w:t>
      </w:r>
    </w:p>
    <w:p>
      <w:pPr>
        <w:spacing w:line="20" w:lineRule="exact"/>
        <w:ind w:left="3590" w:right="0" w:firstLine="0"/>
        <w:rPr>
          <w:rFonts w:ascii="Arial"/>
          <w:sz w:val="2"/>
        </w:rPr>
      </w:pPr>
      <w:r>
        <w:rPr>
          <w:rFonts w:ascii="Arial"/>
          <w:sz w:val="2"/>
        </w:rPr>
        <mc:AlternateContent>
          <mc:Choice Requires="wps">
            <w:drawing>
              <wp:inline distT="0" distB="0" distL="0" distR="0">
                <wp:extent cx="3162300" cy="12700"/>
                <wp:effectExtent l="9525" t="0" r="0" b="6350"/>
                <wp:docPr id="681" name="Group 681"/>
                <wp:cNvGraphicFramePr>
                  <a:graphicFrameLocks/>
                </wp:cNvGraphicFramePr>
                <a:graphic>
                  <a:graphicData uri="http://schemas.microsoft.com/office/word/2010/wordprocessingGroup">
                    <wpg:wgp>
                      <wpg:cNvPr id="681" name="Group 681"/>
                      <wpg:cNvGrpSpPr/>
                      <wpg:grpSpPr>
                        <a:xfrm>
                          <a:off x="0" y="0"/>
                          <a:ext cx="3162300" cy="12700"/>
                          <a:chExt cx="3162300" cy="12700"/>
                        </a:xfrm>
                      </wpg:grpSpPr>
                      <wps:wsp>
                        <wps:cNvPr id="682" name="Graphic 682"/>
                        <wps:cNvSpPr/>
                        <wps:spPr>
                          <a:xfrm>
                            <a:off x="0" y="6350"/>
                            <a:ext cx="3162300" cy="1270"/>
                          </a:xfrm>
                          <a:custGeom>
                            <a:avLst/>
                            <a:gdLst/>
                            <a:ahLst/>
                            <a:cxnLst/>
                            <a:rect l="l" t="t" r="r" b="b"/>
                            <a:pathLst>
                              <a:path w="3162300" h="0">
                                <a:moveTo>
                                  <a:pt x="0" y="0"/>
                                </a:moveTo>
                                <a:lnTo>
                                  <a:pt x="762000" y="0"/>
                                </a:lnTo>
                              </a:path>
                              <a:path w="3162300" h="0">
                                <a:moveTo>
                                  <a:pt x="800100" y="0"/>
                                </a:moveTo>
                                <a:lnTo>
                                  <a:pt x="1562100" y="0"/>
                                </a:lnTo>
                              </a:path>
                              <a:path w="3162300" h="0">
                                <a:moveTo>
                                  <a:pt x="1600200" y="0"/>
                                </a:moveTo>
                                <a:lnTo>
                                  <a:pt x="2362200" y="0"/>
                                </a:lnTo>
                              </a:path>
                              <a:path w="3162300" h="0">
                                <a:moveTo>
                                  <a:pt x="2400300" y="0"/>
                                </a:moveTo>
                                <a:lnTo>
                                  <a:pt x="31623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9pt;height:1pt;mso-position-horizontal-relative:char;mso-position-vertical-relative:line" id="docshapegroup577" coordorigin="0,0" coordsize="4980,20">
                <v:shape style="position:absolute;left:0;top:10;width:4980;height:2" id="docshape578" coordorigin="0,10" coordsize="4980,0" path="m0,10l1200,10m1260,10l2460,10m2520,10l3720,10m3780,10l4980,10e" filled="false" stroked="true" strokeweight="1pt" strokecolor="#000000">
                  <v:path arrowok="t"/>
                  <v:stroke dashstyle="solid"/>
                </v:shape>
              </v:group>
            </w:pict>
          </mc:Fallback>
        </mc:AlternateContent>
      </w:r>
      <w:r>
        <w:rPr>
          <w:rFonts w:ascii="Arial"/>
          <w:sz w:val="2"/>
        </w:rPr>
      </w:r>
    </w:p>
    <w:p>
      <w:pPr>
        <w:pStyle w:val="BodyText"/>
        <w:spacing w:before="52"/>
        <w:rPr>
          <w:rFonts w:ascii="Arial"/>
          <w:b/>
          <w:sz w:val="16"/>
        </w:rPr>
      </w:pPr>
    </w:p>
    <w:p>
      <w:pPr>
        <w:spacing w:before="0"/>
        <w:ind w:left="772" w:right="0" w:firstLine="0"/>
        <w:jc w:val="left"/>
        <w:rPr>
          <w:rFonts w:ascii="Arial"/>
          <w:b/>
          <w:sz w:val="16"/>
        </w:rPr>
      </w:pPr>
      <w:r>
        <w:rPr>
          <w:rFonts w:ascii="Arial"/>
          <w:b/>
          <w:spacing w:val="-2"/>
          <w:sz w:val="16"/>
        </w:rPr>
        <w:t>Notes</w:t>
      </w:r>
    </w:p>
    <w:p>
      <w:pPr>
        <w:pStyle w:val="ListParagraph"/>
        <w:numPr>
          <w:ilvl w:val="0"/>
          <w:numId w:val="30"/>
        </w:numPr>
        <w:tabs>
          <w:tab w:pos="948" w:val="left" w:leader="none"/>
          <w:tab w:pos="952" w:val="left" w:leader="none"/>
        </w:tabs>
        <w:spacing w:line="249" w:lineRule="auto" w:before="49" w:after="0"/>
        <w:ind w:left="952" w:right="1183" w:hanging="180"/>
        <w:jc w:val="left"/>
        <w:rPr>
          <w:rFonts w:ascii="Arial" w:hAnsi="Arial"/>
          <w:i/>
          <w:sz w:val="16"/>
        </w:rPr>
      </w:pPr>
      <w:r>
        <w:rPr>
          <w:rFonts w:ascii="Arial" w:hAnsi="Arial"/>
          <w:i/>
          <w:sz w:val="16"/>
        </w:rPr>
        <w:t>Indicates a country for which a guarantee is provided under an Exposure Exchange Agreement (EEA) with a multilateral development</w:t>
      </w:r>
      <w:r>
        <w:rPr>
          <w:rFonts w:ascii="Arial" w:hAnsi="Arial"/>
          <w:i/>
          <w:spacing w:val="-3"/>
          <w:sz w:val="16"/>
        </w:rPr>
        <w:t> </w:t>
      </w:r>
      <w:r>
        <w:rPr>
          <w:rFonts w:ascii="Arial" w:hAnsi="Arial"/>
          <w:i/>
          <w:sz w:val="16"/>
        </w:rPr>
        <w:t>organization</w:t>
      </w:r>
      <w:r>
        <w:rPr>
          <w:rFonts w:ascii="Arial" w:hAnsi="Arial"/>
          <w:i/>
          <w:spacing w:val="-4"/>
          <w:sz w:val="16"/>
        </w:rPr>
        <w:t> </w:t>
      </w:r>
      <w:r>
        <w:rPr>
          <w:rFonts w:ascii="Arial" w:hAnsi="Arial"/>
          <w:i/>
          <w:sz w:val="16"/>
        </w:rPr>
        <w:t>(see</w:t>
      </w:r>
      <w:r>
        <w:rPr>
          <w:rFonts w:ascii="Arial" w:hAnsi="Arial"/>
          <w:i/>
          <w:spacing w:val="-4"/>
          <w:sz w:val="16"/>
        </w:rPr>
        <w:t> </w:t>
      </w:r>
      <w:r>
        <w:rPr>
          <w:rFonts w:ascii="Arial" w:hAnsi="Arial"/>
          <w:i/>
          <w:sz w:val="16"/>
        </w:rPr>
        <w:t>Note</w:t>
      </w:r>
      <w:r>
        <w:rPr>
          <w:rFonts w:ascii="Arial" w:hAnsi="Arial"/>
          <w:i/>
          <w:spacing w:val="-4"/>
          <w:sz w:val="16"/>
        </w:rPr>
        <w:t> </w:t>
      </w:r>
      <w:r>
        <w:rPr>
          <w:rFonts w:ascii="Arial" w:hAnsi="Arial"/>
          <w:i/>
          <w:sz w:val="16"/>
        </w:rPr>
        <w:t>D—Loans</w:t>
      </w:r>
      <w:r>
        <w:rPr>
          <w:rFonts w:ascii="Arial" w:hAnsi="Arial"/>
          <w:i/>
          <w:spacing w:val="-3"/>
          <w:sz w:val="16"/>
        </w:rPr>
        <w:t> </w:t>
      </w:r>
      <w:r>
        <w:rPr>
          <w:rFonts w:ascii="Arial" w:hAnsi="Arial"/>
          <w:i/>
          <w:sz w:val="16"/>
        </w:rPr>
        <w:t>and</w:t>
      </w:r>
      <w:r>
        <w:rPr>
          <w:rFonts w:ascii="Arial" w:hAnsi="Arial"/>
          <w:i/>
          <w:spacing w:val="-4"/>
          <w:sz w:val="16"/>
        </w:rPr>
        <w:t> </w:t>
      </w:r>
      <w:r>
        <w:rPr>
          <w:rFonts w:ascii="Arial" w:hAnsi="Arial"/>
          <w:i/>
          <w:sz w:val="16"/>
        </w:rPr>
        <w:t>Other</w:t>
      </w:r>
      <w:r>
        <w:rPr>
          <w:rFonts w:ascii="Arial" w:hAnsi="Arial"/>
          <w:i/>
          <w:spacing w:val="-3"/>
          <w:sz w:val="16"/>
        </w:rPr>
        <w:t> </w:t>
      </w:r>
      <w:r>
        <w:rPr>
          <w:rFonts w:ascii="Arial" w:hAnsi="Arial"/>
          <w:i/>
          <w:sz w:val="16"/>
        </w:rPr>
        <w:t>Exposures).</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amount</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guarantees</w:t>
      </w:r>
      <w:r>
        <w:rPr>
          <w:rFonts w:ascii="Arial" w:hAnsi="Arial"/>
          <w:i/>
          <w:spacing w:val="-3"/>
          <w:sz w:val="16"/>
        </w:rPr>
        <w:t> </w:t>
      </w:r>
      <w:r>
        <w:rPr>
          <w:rFonts w:ascii="Arial" w:hAnsi="Arial"/>
          <w:i/>
          <w:sz w:val="16"/>
        </w:rPr>
        <w:t>is</w:t>
      </w:r>
      <w:r>
        <w:rPr>
          <w:rFonts w:ascii="Arial" w:hAnsi="Arial"/>
          <w:i/>
          <w:spacing w:val="-3"/>
          <w:sz w:val="16"/>
        </w:rPr>
        <w:t> </w:t>
      </w:r>
      <w:r>
        <w:rPr>
          <w:rFonts w:ascii="Arial" w:hAnsi="Arial"/>
          <w:i/>
          <w:sz w:val="16"/>
        </w:rPr>
        <w:t>not</w:t>
      </w:r>
      <w:r>
        <w:rPr>
          <w:rFonts w:ascii="Arial" w:hAnsi="Arial"/>
          <w:i/>
          <w:spacing w:val="-3"/>
          <w:sz w:val="16"/>
        </w:rPr>
        <w:t> </w:t>
      </w:r>
      <w:r>
        <w:rPr>
          <w:rFonts w:ascii="Arial" w:hAnsi="Arial"/>
          <w:i/>
          <w:sz w:val="16"/>
        </w:rPr>
        <w:t>included</w:t>
      </w:r>
      <w:r>
        <w:rPr>
          <w:rFonts w:ascii="Arial" w:hAnsi="Arial"/>
          <w:i/>
          <w:spacing w:val="-4"/>
          <w:sz w:val="16"/>
        </w:rPr>
        <w:t> </w:t>
      </w:r>
      <w:r>
        <w:rPr>
          <w:rFonts w:ascii="Arial" w:hAnsi="Arial"/>
          <w:i/>
          <w:sz w:val="16"/>
        </w:rPr>
        <w:t>in</w:t>
      </w:r>
      <w:r>
        <w:rPr>
          <w:rFonts w:ascii="Arial" w:hAnsi="Arial"/>
          <w:i/>
          <w:spacing w:val="-4"/>
          <w:sz w:val="16"/>
        </w:rPr>
        <w:t> </w:t>
      </w:r>
      <w:r>
        <w:rPr>
          <w:rFonts w:ascii="Arial" w:hAnsi="Arial"/>
          <w:i/>
          <w:sz w:val="16"/>
        </w:rPr>
        <w:t>the figures in the Statement above.</w:t>
      </w:r>
    </w:p>
    <w:p>
      <w:pPr>
        <w:pStyle w:val="ListParagraph"/>
        <w:numPr>
          <w:ilvl w:val="0"/>
          <w:numId w:val="30"/>
        </w:numPr>
        <w:tabs>
          <w:tab w:pos="948" w:val="left" w:leader="none"/>
          <w:tab w:pos="952" w:val="left" w:leader="none"/>
        </w:tabs>
        <w:spacing w:line="249" w:lineRule="auto" w:before="69" w:after="0"/>
        <w:ind w:left="952" w:right="943" w:hanging="180"/>
        <w:jc w:val="left"/>
        <w:rPr>
          <w:rFonts w:ascii="Arial" w:hAnsi="Arial"/>
          <w:i/>
          <w:sz w:val="16"/>
        </w:rPr>
      </w:pPr>
      <w:r>
        <w:rPr>
          <w:rFonts w:ascii="Arial" w:hAnsi="Arial"/>
          <w:i/>
          <w:sz w:val="16"/>
        </w:rPr>
        <w:t>Indicates a country for which a guarantee has been received, under an EEA with a multilateral development organization or from</w:t>
      </w:r>
      <w:r>
        <w:rPr>
          <w:rFonts w:ascii="Arial" w:hAnsi="Arial"/>
          <w:i/>
          <w:spacing w:val="-3"/>
          <w:sz w:val="16"/>
        </w:rPr>
        <w:t> </w:t>
      </w:r>
      <w:r>
        <w:rPr>
          <w:rFonts w:ascii="Arial" w:hAnsi="Arial"/>
          <w:i/>
          <w:sz w:val="16"/>
        </w:rPr>
        <w:t>another</w:t>
      </w:r>
      <w:r>
        <w:rPr>
          <w:rFonts w:ascii="Arial" w:hAnsi="Arial"/>
          <w:i/>
          <w:spacing w:val="-3"/>
          <w:sz w:val="16"/>
        </w:rPr>
        <w:t> </w:t>
      </w:r>
      <w:r>
        <w:rPr>
          <w:rFonts w:ascii="Arial" w:hAnsi="Arial"/>
          <w:i/>
          <w:sz w:val="16"/>
        </w:rPr>
        <w:t>guarantee</w:t>
      </w:r>
      <w:r>
        <w:rPr>
          <w:rFonts w:ascii="Arial" w:hAnsi="Arial"/>
          <w:i/>
          <w:spacing w:val="-3"/>
          <w:sz w:val="16"/>
        </w:rPr>
        <w:t> </w:t>
      </w:r>
      <w:r>
        <w:rPr>
          <w:rFonts w:ascii="Arial" w:hAnsi="Arial"/>
          <w:i/>
          <w:sz w:val="16"/>
        </w:rPr>
        <w:t>provider</w:t>
      </w:r>
      <w:r>
        <w:rPr>
          <w:rFonts w:ascii="Arial" w:hAnsi="Arial"/>
          <w:i/>
          <w:spacing w:val="-3"/>
          <w:sz w:val="16"/>
        </w:rPr>
        <w:t> </w:t>
      </w:r>
      <w:r>
        <w:rPr>
          <w:rFonts w:ascii="Arial" w:hAnsi="Arial"/>
          <w:i/>
          <w:sz w:val="16"/>
        </w:rPr>
        <w:t>(see</w:t>
      </w:r>
      <w:r>
        <w:rPr>
          <w:rFonts w:ascii="Arial" w:hAnsi="Arial"/>
          <w:i/>
          <w:spacing w:val="-3"/>
          <w:sz w:val="16"/>
        </w:rPr>
        <w:t> </w:t>
      </w:r>
      <w:r>
        <w:rPr>
          <w:rFonts w:ascii="Arial" w:hAnsi="Arial"/>
          <w:i/>
          <w:sz w:val="16"/>
        </w:rPr>
        <w:t>Note</w:t>
      </w:r>
      <w:r>
        <w:rPr>
          <w:rFonts w:ascii="Arial" w:hAnsi="Arial"/>
          <w:i/>
          <w:spacing w:val="-3"/>
          <w:sz w:val="16"/>
        </w:rPr>
        <w:t> </w:t>
      </w:r>
      <w:r>
        <w:rPr>
          <w:rFonts w:ascii="Arial" w:hAnsi="Arial"/>
          <w:i/>
          <w:sz w:val="16"/>
        </w:rPr>
        <w:t>D—Loans</w:t>
      </w:r>
      <w:r>
        <w:rPr>
          <w:rFonts w:ascii="Arial" w:hAnsi="Arial"/>
          <w:i/>
          <w:spacing w:val="-3"/>
          <w:sz w:val="16"/>
        </w:rPr>
        <w:t> </w:t>
      </w:r>
      <w:r>
        <w:rPr>
          <w:rFonts w:ascii="Arial" w:hAnsi="Arial"/>
          <w:i/>
          <w:sz w:val="16"/>
        </w:rPr>
        <w:t>and</w:t>
      </w:r>
      <w:r>
        <w:rPr>
          <w:rFonts w:ascii="Arial" w:hAnsi="Arial"/>
          <w:i/>
          <w:spacing w:val="-3"/>
          <w:sz w:val="16"/>
        </w:rPr>
        <w:t> </w:t>
      </w:r>
      <w:r>
        <w:rPr>
          <w:rFonts w:ascii="Arial" w:hAnsi="Arial"/>
          <w:i/>
          <w:sz w:val="16"/>
        </w:rPr>
        <w:t>Other</w:t>
      </w:r>
      <w:r>
        <w:rPr>
          <w:rFonts w:ascii="Arial" w:hAnsi="Arial"/>
          <w:i/>
          <w:spacing w:val="-3"/>
          <w:sz w:val="16"/>
        </w:rPr>
        <w:t> </w:t>
      </w:r>
      <w:r>
        <w:rPr>
          <w:rFonts w:ascii="Arial" w:hAnsi="Arial"/>
          <w:i/>
          <w:sz w:val="16"/>
        </w:rPr>
        <w:t>Exposures).</w:t>
      </w:r>
      <w:r>
        <w:rPr>
          <w:rFonts w:ascii="Arial" w:hAnsi="Arial"/>
          <w:i/>
          <w:spacing w:val="-3"/>
          <w:sz w:val="16"/>
        </w:rPr>
        <w:t> </w:t>
      </w:r>
      <w:r>
        <w:rPr>
          <w:rFonts w:ascii="Arial" w:hAnsi="Arial"/>
          <w:i/>
          <w:sz w:val="16"/>
        </w:rPr>
        <w:t>The</w:t>
      </w:r>
      <w:r>
        <w:rPr>
          <w:rFonts w:ascii="Arial" w:hAnsi="Arial"/>
          <w:i/>
          <w:spacing w:val="-3"/>
          <w:sz w:val="16"/>
        </w:rPr>
        <w:t> </w:t>
      </w:r>
      <w:r>
        <w:rPr>
          <w:rFonts w:ascii="Arial" w:hAnsi="Arial"/>
          <w:i/>
          <w:sz w:val="16"/>
        </w:rPr>
        <w:t>effect</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the</w:t>
      </w:r>
      <w:r>
        <w:rPr>
          <w:rFonts w:ascii="Arial" w:hAnsi="Arial"/>
          <w:i/>
          <w:spacing w:val="-3"/>
          <w:sz w:val="16"/>
        </w:rPr>
        <w:t> </w:t>
      </w:r>
      <w:r>
        <w:rPr>
          <w:rFonts w:ascii="Arial" w:hAnsi="Arial"/>
          <w:i/>
          <w:sz w:val="16"/>
        </w:rPr>
        <w:t>guarantee</w:t>
      </w:r>
      <w:r>
        <w:rPr>
          <w:rFonts w:ascii="Arial" w:hAnsi="Arial"/>
          <w:i/>
          <w:spacing w:val="-3"/>
          <w:sz w:val="16"/>
        </w:rPr>
        <w:t> </w:t>
      </w:r>
      <w:r>
        <w:rPr>
          <w:rFonts w:ascii="Arial" w:hAnsi="Arial"/>
          <w:i/>
          <w:sz w:val="16"/>
        </w:rPr>
        <w:t>is</w:t>
      </w:r>
      <w:r>
        <w:rPr>
          <w:rFonts w:ascii="Arial" w:hAnsi="Arial"/>
          <w:i/>
          <w:spacing w:val="-3"/>
          <w:sz w:val="16"/>
        </w:rPr>
        <w:t> </w:t>
      </w:r>
      <w:r>
        <w:rPr>
          <w:rFonts w:ascii="Arial" w:hAnsi="Arial"/>
          <w:i/>
          <w:sz w:val="16"/>
        </w:rPr>
        <w:t>not</w:t>
      </w:r>
      <w:r>
        <w:rPr>
          <w:rFonts w:ascii="Arial" w:hAnsi="Arial"/>
          <w:i/>
          <w:spacing w:val="-3"/>
          <w:sz w:val="16"/>
        </w:rPr>
        <w:t> </w:t>
      </w:r>
      <w:r>
        <w:rPr>
          <w:rFonts w:ascii="Arial" w:hAnsi="Arial"/>
          <w:i/>
          <w:sz w:val="16"/>
        </w:rPr>
        <w:t>included</w:t>
      </w:r>
      <w:r>
        <w:rPr>
          <w:rFonts w:ascii="Arial" w:hAnsi="Arial"/>
          <w:i/>
          <w:spacing w:val="-3"/>
          <w:sz w:val="16"/>
        </w:rPr>
        <w:t> </w:t>
      </w:r>
      <w:r>
        <w:rPr>
          <w:rFonts w:ascii="Arial" w:hAnsi="Arial"/>
          <w:i/>
          <w:sz w:val="16"/>
        </w:rPr>
        <w:t>in</w:t>
      </w:r>
      <w:r>
        <w:rPr>
          <w:rFonts w:ascii="Arial" w:hAnsi="Arial"/>
          <w:i/>
          <w:spacing w:val="-3"/>
          <w:sz w:val="16"/>
        </w:rPr>
        <w:t> </w:t>
      </w:r>
      <w:r>
        <w:rPr>
          <w:rFonts w:ascii="Arial" w:hAnsi="Arial"/>
          <w:i/>
          <w:sz w:val="16"/>
        </w:rPr>
        <w:t>the figures in the Statement above.</w:t>
      </w:r>
    </w:p>
    <w:p>
      <w:pPr>
        <w:pStyle w:val="ListParagraph"/>
        <w:numPr>
          <w:ilvl w:val="0"/>
          <w:numId w:val="30"/>
        </w:numPr>
        <w:tabs>
          <w:tab w:pos="940" w:val="left" w:leader="none"/>
          <w:tab w:pos="952" w:val="left" w:leader="none"/>
        </w:tabs>
        <w:spacing w:line="249" w:lineRule="auto" w:before="53" w:after="0"/>
        <w:ind w:left="952" w:right="913" w:hanging="180"/>
        <w:jc w:val="left"/>
        <w:rPr>
          <w:rFonts w:ascii="Arial" w:hAnsi="Arial"/>
          <w:i/>
          <w:sz w:val="16"/>
        </w:rPr>
      </w:pPr>
      <w:r>
        <w:rPr>
          <w:rFonts w:ascii="Arial" w:hAnsi="Arial"/>
          <w:i/>
          <w:sz w:val="16"/>
        </w:rPr>
        <w:t>Loan</w:t>
      </w:r>
      <w:r>
        <w:rPr>
          <w:rFonts w:ascii="Arial" w:hAnsi="Arial"/>
          <w:i/>
          <w:spacing w:val="-4"/>
          <w:sz w:val="16"/>
        </w:rPr>
        <w:t> </w:t>
      </w:r>
      <w:r>
        <w:rPr>
          <w:rFonts w:ascii="Arial" w:hAnsi="Arial"/>
          <w:i/>
          <w:sz w:val="16"/>
        </w:rPr>
        <w:t>agreements</w:t>
      </w:r>
      <w:r>
        <w:rPr>
          <w:rFonts w:ascii="Arial" w:hAnsi="Arial"/>
          <w:i/>
          <w:spacing w:val="-3"/>
          <w:sz w:val="16"/>
        </w:rPr>
        <w:t> </w:t>
      </w:r>
      <w:r>
        <w:rPr>
          <w:rFonts w:ascii="Arial" w:hAnsi="Arial"/>
          <w:i/>
          <w:sz w:val="16"/>
        </w:rPr>
        <w:t>totaling</w:t>
      </w:r>
      <w:r>
        <w:rPr>
          <w:rFonts w:ascii="Arial" w:hAnsi="Arial"/>
          <w:i/>
          <w:spacing w:val="-4"/>
          <w:sz w:val="16"/>
        </w:rPr>
        <w:t> </w:t>
      </w:r>
      <w:r>
        <w:rPr>
          <w:rFonts w:ascii="Arial" w:hAnsi="Arial"/>
          <w:i/>
          <w:sz w:val="16"/>
        </w:rPr>
        <w:t>$8,427</w:t>
      </w:r>
      <w:r>
        <w:rPr>
          <w:rFonts w:ascii="Arial" w:hAnsi="Arial"/>
          <w:i/>
          <w:spacing w:val="-4"/>
          <w:sz w:val="16"/>
        </w:rPr>
        <w:t> </w:t>
      </w:r>
      <w:r>
        <w:rPr>
          <w:rFonts w:ascii="Arial" w:hAnsi="Arial"/>
          <w:i/>
          <w:sz w:val="16"/>
        </w:rPr>
        <w:t>million</w:t>
      </w:r>
      <w:r>
        <w:rPr>
          <w:rFonts w:ascii="Arial" w:hAnsi="Arial"/>
          <w:i/>
          <w:spacing w:val="-4"/>
          <w:sz w:val="16"/>
        </w:rPr>
        <w:t> </w:t>
      </w:r>
      <w:r>
        <w:rPr>
          <w:rFonts w:ascii="Arial" w:hAnsi="Arial"/>
          <w:i/>
          <w:sz w:val="16"/>
        </w:rPr>
        <w:t>($5,401</w:t>
      </w:r>
      <w:r>
        <w:rPr>
          <w:rFonts w:ascii="Arial" w:hAnsi="Arial"/>
          <w:i/>
          <w:spacing w:val="-4"/>
          <w:sz w:val="16"/>
        </w:rPr>
        <w:t> </w:t>
      </w:r>
      <w:r>
        <w:rPr>
          <w:rFonts w:ascii="Arial" w:hAnsi="Arial"/>
          <w:i/>
          <w:sz w:val="16"/>
        </w:rPr>
        <w:t>million—June</w:t>
      </w:r>
      <w:r>
        <w:rPr>
          <w:rFonts w:ascii="Arial" w:hAnsi="Arial"/>
          <w:i/>
          <w:spacing w:val="-4"/>
          <w:sz w:val="16"/>
        </w:rPr>
        <w:t> </w:t>
      </w:r>
      <w:r>
        <w:rPr>
          <w:rFonts w:ascii="Arial" w:hAnsi="Arial"/>
          <w:i/>
          <w:sz w:val="16"/>
        </w:rPr>
        <w:t>30,</w:t>
      </w:r>
      <w:r>
        <w:rPr>
          <w:rFonts w:ascii="Arial" w:hAnsi="Arial"/>
          <w:i/>
          <w:spacing w:val="-3"/>
          <w:sz w:val="16"/>
        </w:rPr>
        <w:t> </w:t>
      </w:r>
      <w:r>
        <w:rPr>
          <w:rFonts w:ascii="Arial" w:hAnsi="Arial"/>
          <w:i/>
          <w:sz w:val="16"/>
        </w:rPr>
        <w:t>2022)</w:t>
      </w:r>
      <w:r>
        <w:rPr>
          <w:rFonts w:ascii="Arial" w:hAnsi="Arial"/>
          <w:i/>
          <w:spacing w:val="-3"/>
          <w:sz w:val="16"/>
        </w:rPr>
        <w:t> </w:t>
      </w:r>
      <w:r>
        <w:rPr>
          <w:rFonts w:ascii="Arial" w:hAnsi="Arial"/>
          <w:i/>
          <w:sz w:val="16"/>
        </w:rPr>
        <w:t>have</w:t>
      </w:r>
      <w:r>
        <w:rPr>
          <w:rFonts w:ascii="Arial" w:hAnsi="Arial"/>
          <w:i/>
          <w:spacing w:val="-4"/>
          <w:sz w:val="16"/>
        </w:rPr>
        <w:t> </w:t>
      </w:r>
      <w:r>
        <w:rPr>
          <w:rFonts w:ascii="Arial" w:hAnsi="Arial"/>
          <w:i/>
          <w:sz w:val="16"/>
        </w:rPr>
        <w:t>been</w:t>
      </w:r>
      <w:r>
        <w:rPr>
          <w:rFonts w:ascii="Arial" w:hAnsi="Arial"/>
          <w:i/>
          <w:spacing w:val="-4"/>
          <w:sz w:val="16"/>
        </w:rPr>
        <w:t> </w:t>
      </w:r>
      <w:r>
        <w:rPr>
          <w:rFonts w:ascii="Arial" w:hAnsi="Arial"/>
          <w:i/>
          <w:sz w:val="16"/>
        </w:rPr>
        <w:t>signed,</w:t>
      </w:r>
      <w:r>
        <w:rPr>
          <w:rFonts w:ascii="Arial" w:hAnsi="Arial"/>
          <w:i/>
          <w:spacing w:val="-3"/>
          <w:sz w:val="16"/>
        </w:rPr>
        <w:t> </w:t>
      </w:r>
      <w:r>
        <w:rPr>
          <w:rFonts w:ascii="Arial" w:hAnsi="Arial"/>
          <w:i/>
          <w:sz w:val="16"/>
        </w:rPr>
        <w:t>but</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loans</w:t>
      </w:r>
      <w:r>
        <w:rPr>
          <w:rFonts w:ascii="Arial" w:hAnsi="Arial"/>
          <w:i/>
          <w:spacing w:val="-3"/>
          <w:sz w:val="16"/>
        </w:rPr>
        <w:t> </w:t>
      </w:r>
      <w:r>
        <w:rPr>
          <w:rFonts w:ascii="Arial" w:hAnsi="Arial"/>
          <w:i/>
          <w:sz w:val="16"/>
        </w:rPr>
        <w:t>are</w:t>
      </w:r>
      <w:r>
        <w:rPr>
          <w:rFonts w:ascii="Arial" w:hAnsi="Arial"/>
          <w:i/>
          <w:spacing w:val="-4"/>
          <w:sz w:val="16"/>
        </w:rPr>
        <w:t> </w:t>
      </w:r>
      <w:r>
        <w:rPr>
          <w:rFonts w:ascii="Arial" w:hAnsi="Arial"/>
          <w:i/>
          <w:sz w:val="16"/>
        </w:rPr>
        <w:t>not</w:t>
      </w:r>
      <w:r>
        <w:rPr>
          <w:rFonts w:ascii="Arial" w:hAnsi="Arial"/>
          <w:i/>
          <w:spacing w:val="-3"/>
          <w:sz w:val="16"/>
        </w:rPr>
        <w:t> </w:t>
      </w:r>
      <w:r>
        <w:rPr>
          <w:rFonts w:ascii="Arial" w:hAnsi="Arial"/>
          <w:i/>
          <w:sz w:val="16"/>
        </w:rPr>
        <w:t>effective</w:t>
      </w:r>
      <w:r>
        <w:rPr>
          <w:rFonts w:ascii="Arial" w:hAnsi="Arial"/>
          <w:i/>
          <w:spacing w:val="-4"/>
          <w:sz w:val="16"/>
        </w:rPr>
        <w:t> </w:t>
      </w:r>
      <w:r>
        <w:rPr>
          <w:rFonts w:ascii="Arial" w:hAnsi="Arial"/>
          <w:i/>
          <w:sz w:val="16"/>
        </w:rPr>
        <w:t>and disbursements do not start until the borrowers and/or guarantors take certain actions and furnish documents.</w:t>
      </w:r>
    </w:p>
    <w:p>
      <w:pPr>
        <w:pStyle w:val="ListParagraph"/>
        <w:numPr>
          <w:ilvl w:val="0"/>
          <w:numId w:val="30"/>
        </w:numPr>
        <w:tabs>
          <w:tab w:pos="948" w:val="left" w:leader="none"/>
        </w:tabs>
        <w:spacing w:line="240" w:lineRule="auto" w:before="50" w:after="0"/>
        <w:ind w:left="948" w:right="0" w:hanging="176"/>
        <w:jc w:val="left"/>
        <w:rPr>
          <w:rFonts w:ascii="Arial"/>
          <w:i/>
          <w:sz w:val="16"/>
        </w:rPr>
      </w:pPr>
      <w:r>
        <w:rPr>
          <w:rFonts w:ascii="Arial"/>
          <w:i/>
          <w:sz w:val="16"/>
        </w:rPr>
        <w:t>May</w:t>
      </w:r>
      <w:r>
        <w:rPr>
          <w:rFonts w:ascii="Arial"/>
          <w:i/>
          <w:spacing w:val="-5"/>
          <w:sz w:val="16"/>
        </w:rPr>
        <w:t> </w:t>
      </w:r>
      <w:r>
        <w:rPr>
          <w:rFonts w:ascii="Arial"/>
          <w:i/>
          <w:sz w:val="16"/>
        </w:rPr>
        <w:t>differ</w:t>
      </w:r>
      <w:r>
        <w:rPr>
          <w:rFonts w:ascii="Arial"/>
          <w:i/>
          <w:spacing w:val="-3"/>
          <w:sz w:val="16"/>
        </w:rPr>
        <w:t> </w:t>
      </w:r>
      <w:r>
        <w:rPr>
          <w:rFonts w:ascii="Arial"/>
          <w:i/>
          <w:sz w:val="16"/>
        </w:rPr>
        <w:t>from</w:t>
      </w:r>
      <w:r>
        <w:rPr>
          <w:rFonts w:ascii="Arial"/>
          <w:i/>
          <w:spacing w:val="-2"/>
          <w:sz w:val="16"/>
        </w:rPr>
        <w:t> </w:t>
      </w:r>
      <w:r>
        <w:rPr>
          <w:rFonts w:ascii="Arial"/>
          <w:i/>
          <w:sz w:val="16"/>
        </w:rPr>
        <w:t>the</w:t>
      </w:r>
      <w:r>
        <w:rPr>
          <w:rFonts w:ascii="Arial"/>
          <w:i/>
          <w:spacing w:val="-4"/>
          <w:sz w:val="16"/>
        </w:rPr>
        <w:t> </w:t>
      </w:r>
      <w:r>
        <w:rPr>
          <w:rFonts w:ascii="Arial"/>
          <w:i/>
          <w:sz w:val="16"/>
        </w:rPr>
        <w:t>calculated</w:t>
      </w:r>
      <w:r>
        <w:rPr>
          <w:rFonts w:ascii="Arial"/>
          <w:i/>
          <w:spacing w:val="-3"/>
          <w:sz w:val="16"/>
        </w:rPr>
        <w:t> </w:t>
      </w:r>
      <w:r>
        <w:rPr>
          <w:rFonts w:ascii="Arial"/>
          <w:i/>
          <w:sz w:val="16"/>
        </w:rPr>
        <w:t>figures</w:t>
      </w:r>
      <w:r>
        <w:rPr>
          <w:rFonts w:ascii="Arial"/>
          <w:i/>
          <w:spacing w:val="-3"/>
          <w:sz w:val="16"/>
        </w:rPr>
        <w:t> </w:t>
      </w:r>
      <w:r>
        <w:rPr>
          <w:rFonts w:ascii="Arial"/>
          <w:i/>
          <w:sz w:val="16"/>
        </w:rPr>
        <w:t>or</w:t>
      </w:r>
      <w:r>
        <w:rPr>
          <w:rFonts w:ascii="Arial"/>
          <w:i/>
          <w:spacing w:val="-3"/>
          <w:sz w:val="16"/>
        </w:rPr>
        <w:t> </w:t>
      </w:r>
      <w:r>
        <w:rPr>
          <w:rFonts w:ascii="Arial"/>
          <w:i/>
          <w:sz w:val="16"/>
        </w:rPr>
        <w:t>sum</w:t>
      </w:r>
      <w:r>
        <w:rPr>
          <w:rFonts w:ascii="Arial"/>
          <w:i/>
          <w:spacing w:val="-2"/>
          <w:sz w:val="16"/>
        </w:rPr>
        <w:t> </w:t>
      </w:r>
      <w:r>
        <w:rPr>
          <w:rFonts w:ascii="Arial"/>
          <w:i/>
          <w:sz w:val="16"/>
        </w:rPr>
        <w:t>of</w:t>
      </w:r>
      <w:r>
        <w:rPr>
          <w:rFonts w:ascii="Arial"/>
          <w:i/>
          <w:spacing w:val="-3"/>
          <w:sz w:val="16"/>
        </w:rPr>
        <w:t> </w:t>
      </w:r>
      <w:r>
        <w:rPr>
          <w:rFonts w:ascii="Arial"/>
          <w:i/>
          <w:sz w:val="16"/>
        </w:rPr>
        <w:t>individual</w:t>
      </w:r>
      <w:r>
        <w:rPr>
          <w:rFonts w:ascii="Arial"/>
          <w:i/>
          <w:spacing w:val="-2"/>
          <w:sz w:val="16"/>
        </w:rPr>
        <w:t> </w:t>
      </w:r>
      <w:r>
        <w:rPr>
          <w:rFonts w:ascii="Arial"/>
          <w:i/>
          <w:sz w:val="16"/>
        </w:rPr>
        <w:t>figures</w:t>
      </w:r>
      <w:r>
        <w:rPr>
          <w:rFonts w:ascii="Arial"/>
          <w:i/>
          <w:spacing w:val="-3"/>
          <w:sz w:val="16"/>
        </w:rPr>
        <w:t> </w:t>
      </w:r>
      <w:r>
        <w:rPr>
          <w:rFonts w:ascii="Arial"/>
          <w:i/>
          <w:sz w:val="16"/>
        </w:rPr>
        <w:t>shown</w:t>
      </w:r>
      <w:r>
        <w:rPr>
          <w:rFonts w:ascii="Arial"/>
          <w:i/>
          <w:spacing w:val="-3"/>
          <w:sz w:val="16"/>
        </w:rPr>
        <w:t> </w:t>
      </w:r>
      <w:r>
        <w:rPr>
          <w:rFonts w:ascii="Arial"/>
          <w:i/>
          <w:sz w:val="16"/>
        </w:rPr>
        <w:t>due</w:t>
      </w:r>
      <w:r>
        <w:rPr>
          <w:rFonts w:ascii="Arial"/>
          <w:i/>
          <w:spacing w:val="-4"/>
          <w:sz w:val="16"/>
        </w:rPr>
        <w:t> </w:t>
      </w:r>
      <w:r>
        <w:rPr>
          <w:rFonts w:ascii="Arial"/>
          <w:i/>
          <w:sz w:val="16"/>
        </w:rPr>
        <w:t>to</w:t>
      </w:r>
      <w:r>
        <w:rPr>
          <w:rFonts w:ascii="Arial"/>
          <w:i/>
          <w:spacing w:val="-3"/>
          <w:sz w:val="16"/>
        </w:rPr>
        <w:t> </w:t>
      </w:r>
      <w:r>
        <w:rPr>
          <w:rFonts w:ascii="Arial"/>
          <w:i/>
          <w:spacing w:val="-2"/>
          <w:sz w:val="16"/>
        </w:rPr>
        <w:t>rounding.</w:t>
      </w:r>
    </w:p>
    <w:p>
      <w:pPr>
        <w:spacing w:before="56"/>
        <w:ind w:left="772" w:right="0" w:firstLine="0"/>
        <w:jc w:val="left"/>
        <w:rPr>
          <w:rFonts w:ascii="Arial"/>
          <w:i/>
          <w:sz w:val="16"/>
        </w:rPr>
      </w:pPr>
      <w:r>
        <w:rPr>
          <w:rFonts w:ascii="Arial"/>
          <w:i/>
          <w:sz w:val="16"/>
        </w:rPr>
        <w:t>*</w:t>
      </w:r>
      <w:r>
        <w:rPr>
          <w:rFonts w:ascii="Arial"/>
          <w:i/>
          <w:spacing w:val="-5"/>
          <w:sz w:val="16"/>
        </w:rPr>
        <w:t> </w:t>
      </w:r>
      <w:r>
        <w:rPr>
          <w:rFonts w:ascii="Arial"/>
          <w:i/>
          <w:sz w:val="16"/>
        </w:rPr>
        <w:t>Indicates</w:t>
      </w:r>
      <w:r>
        <w:rPr>
          <w:rFonts w:ascii="Arial"/>
          <w:i/>
          <w:spacing w:val="-3"/>
          <w:sz w:val="16"/>
        </w:rPr>
        <w:t> </w:t>
      </w:r>
      <w:r>
        <w:rPr>
          <w:rFonts w:ascii="Arial"/>
          <w:i/>
          <w:sz w:val="16"/>
        </w:rPr>
        <w:t>amount</w:t>
      </w:r>
      <w:r>
        <w:rPr>
          <w:rFonts w:ascii="Arial"/>
          <w:i/>
          <w:spacing w:val="-3"/>
          <w:sz w:val="16"/>
        </w:rPr>
        <w:t> </w:t>
      </w:r>
      <w:r>
        <w:rPr>
          <w:rFonts w:ascii="Arial"/>
          <w:i/>
          <w:sz w:val="16"/>
        </w:rPr>
        <w:t>less</w:t>
      </w:r>
      <w:r>
        <w:rPr>
          <w:rFonts w:ascii="Arial"/>
          <w:i/>
          <w:spacing w:val="-2"/>
          <w:sz w:val="16"/>
        </w:rPr>
        <w:t> </w:t>
      </w:r>
      <w:r>
        <w:rPr>
          <w:rFonts w:ascii="Arial"/>
          <w:i/>
          <w:sz w:val="16"/>
        </w:rPr>
        <w:t>than</w:t>
      </w:r>
      <w:r>
        <w:rPr>
          <w:rFonts w:ascii="Arial"/>
          <w:i/>
          <w:spacing w:val="-4"/>
          <w:sz w:val="16"/>
        </w:rPr>
        <w:t> </w:t>
      </w:r>
      <w:r>
        <w:rPr>
          <w:rFonts w:ascii="Arial"/>
          <w:i/>
          <w:sz w:val="16"/>
        </w:rPr>
        <w:t>$0.5</w:t>
      </w:r>
      <w:r>
        <w:rPr>
          <w:rFonts w:ascii="Arial"/>
          <w:i/>
          <w:spacing w:val="-4"/>
          <w:sz w:val="16"/>
        </w:rPr>
        <w:t> </w:t>
      </w:r>
      <w:r>
        <w:rPr>
          <w:rFonts w:ascii="Arial"/>
          <w:i/>
          <w:sz w:val="16"/>
        </w:rPr>
        <w:t>million</w:t>
      </w:r>
      <w:r>
        <w:rPr>
          <w:rFonts w:ascii="Arial"/>
          <w:i/>
          <w:spacing w:val="-3"/>
          <w:sz w:val="16"/>
        </w:rPr>
        <w:t> </w:t>
      </w:r>
      <w:r>
        <w:rPr>
          <w:rFonts w:ascii="Arial"/>
          <w:i/>
          <w:sz w:val="16"/>
        </w:rPr>
        <w:t>or</w:t>
      </w:r>
      <w:r>
        <w:rPr>
          <w:rFonts w:ascii="Arial"/>
          <w:i/>
          <w:spacing w:val="-3"/>
          <w:sz w:val="16"/>
        </w:rPr>
        <w:t> </w:t>
      </w:r>
      <w:r>
        <w:rPr>
          <w:rFonts w:ascii="Arial"/>
          <w:i/>
          <w:sz w:val="16"/>
        </w:rPr>
        <w:t>0.005</w:t>
      </w:r>
      <w:r>
        <w:rPr>
          <w:rFonts w:ascii="Arial"/>
          <w:i/>
          <w:spacing w:val="-3"/>
          <w:sz w:val="16"/>
        </w:rPr>
        <w:t> </w:t>
      </w:r>
      <w:r>
        <w:rPr>
          <w:rFonts w:ascii="Arial"/>
          <w:i/>
          <w:spacing w:val="-2"/>
          <w:sz w:val="16"/>
        </w:rPr>
        <w:t>percent</w:t>
      </w:r>
    </w:p>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103"/>
        <w:rPr>
          <w:rFonts w:ascii="Arial"/>
          <w:i/>
          <w:sz w:val="18"/>
        </w:rPr>
      </w:pPr>
    </w:p>
    <w:p>
      <w:pPr>
        <w:spacing w:before="0"/>
        <w:ind w:left="1552" w:right="1632"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type w:val="continuous"/>
          <w:pgSz w:w="12240" w:h="15840"/>
          <w:pgMar w:header="0" w:footer="0" w:top="1820" w:bottom="280" w:left="720" w:right="720"/>
        </w:sectPr>
      </w:pPr>
    </w:p>
    <w:p>
      <w:pPr>
        <w:pStyle w:val="BodyText"/>
        <w:spacing w:before="6"/>
        <w:rPr>
          <w:rFonts w:ascii="Arial"/>
          <w:b/>
          <w:i/>
          <w:sz w:val="4"/>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5"/>
        <w:gridCol w:w="861"/>
        <w:gridCol w:w="936"/>
        <w:gridCol w:w="478"/>
        <w:gridCol w:w="566"/>
        <w:gridCol w:w="335"/>
        <w:gridCol w:w="495"/>
        <w:gridCol w:w="152"/>
        <w:gridCol w:w="832"/>
        <w:gridCol w:w="1176"/>
        <w:gridCol w:w="1074"/>
      </w:tblGrid>
      <w:tr>
        <w:trPr>
          <w:trHeight w:val="205" w:hRule="atLeast"/>
        </w:trPr>
        <w:tc>
          <w:tcPr>
            <w:tcW w:w="4302" w:type="dxa"/>
            <w:gridSpan w:val="3"/>
            <w:tcBorders>
              <w:top w:val="single" w:sz="8" w:space="0" w:color="000000"/>
            </w:tcBorders>
          </w:tcPr>
          <w:p>
            <w:pPr>
              <w:pStyle w:val="TableParagraph"/>
              <w:rPr>
                <w:rFonts w:ascii="Times New Roman"/>
                <w:sz w:val="14"/>
              </w:rPr>
            </w:pPr>
          </w:p>
        </w:tc>
        <w:tc>
          <w:tcPr>
            <w:tcW w:w="1044" w:type="dxa"/>
            <w:gridSpan w:val="2"/>
            <w:tcBorders>
              <w:top w:val="single" w:sz="8" w:space="0" w:color="000000"/>
              <w:bottom w:val="single" w:sz="8" w:space="0" w:color="000000"/>
            </w:tcBorders>
          </w:tcPr>
          <w:p>
            <w:pPr>
              <w:pStyle w:val="TableParagraph"/>
              <w:spacing w:line="183" w:lineRule="exact" w:before="1"/>
              <w:ind w:left="48"/>
              <w:rPr>
                <w:rFonts w:ascii="Arial"/>
                <w:i/>
                <w:sz w:val="16"/>
              </w:rPr>
            </w:pPr>
            <w:bookmarkStart w:name="STATEMENT OF SUBSCRIPTIONS TO CAPITAL ST" w:id="202"/>
            <w:bookmarkEnd w:id="202"/>
            <w:r>
              <w:rPr/>
            </w:r>
            <w:bookmarkStart w:name="_bookmark124" w:id="203"/>
            <w:bookmarkEnd w:id="203"/>
            <w:r>
              <w:rPr/>
            </w:r>
            <w:r>
              <w:rPr>
                <w:rFonts w:ascii="Arial"/>
                <w:i/>
                <w:spacing w:val="-2"/>
                <w:sz w:val="16"/>
              </w:rPr>
              <w:t>Subscriptions</w:t>
            </w:r>
          </w:p>
        </w:tc>
        <w:tc>
          <w:tcPr>
            <w:tcW w:w="830" w:type="dxa"/>
            <w:gridSpan w:val="2"/>
            <w:tcBorders>
              <w:top w:val="single" w:sz="8" w:space="0" w:color="000000"/>
              <w:bottom w:val="single" w:sz="8" w:space="0" w:color="000000"/>
            </w:tcBorders>
          </w:tcPr>
          <w:p>
            <w:pPr>
              <w:pStyle w:val="TableParagraph"/>
              <w:rPr>
                <w:rFonts w:ascii="Times New Roman"/>
                <w:sz w:val="14"/>
              </w:rPr>
            </w:pPr>
          </w:p>
        </w:tc>
        <w:tc>
          <w:tcPr>
            <w:tcW w:w="984" w:type="dxa"/>
            <w:gridSpan w:val="2"/>
            <w:tcBorders>
              <w:top w:val="single" w:sz="8" w:space="0" w:color="000000"/>
              <w:bottom w:val="single" w:sz="8" w:space="0" w:color="000000"/>
            </w:tcBorders>
          </w:tcPr>
          <w:p>
            <w:pPr>
              <w:pStyle w:val="TableParagraph"/>
              <w:rPr>
                <w:rFonts w:ascii="Times New Roman"/>
                <w:sz w:val="14"/>
              </w:rPr>
            </w:pPr>
          </w:p>
        </w:tc>
        <w:tc>
          <w:tcPr>
            <w:tcW w:w="2250" w:type="dxa"/>
            <w:gridSpan w:val="2"/>
            <w:tcBorders>
              <w:top w:val="single" w:sz="8" w:space="0" w:color="000000"/>
            </w:tcBorders>
          </w:tcPr>
          <w:p>
            <w:pPr>
              <w:pStyle w:val="TableParagraph"/>
              <w:spacing w:line="183" w:lineRule="exact" w:before="1"/>
              <w:ind w:left="659"/>
              <w:rPr>
                <w:rFonts w:ascii="Arial"/>
                <w:i/>
                <w:sz w:val="16"/>
              </w:rPr>
            </w:pPr>
            <w:r>
              <w:rPr>
                <w:rFonts w:ascii="Arial"/>
                <w:i/>
                <w:sz w:val="16"/>
              </w:rPr>
              <w:t>Voting</w:t>
            </w:r>
            <w:r>
              <w:rPr>
                <w:rFonts w:ascii="Arial"/>
                <w:i/>
                <w:spacing w:val="-4"/>
                <w:sz w:val="16"/>
              </w:rPr>
              <w:t> </w:t>
            </w:r>
            <w:r>
              <w:rPr>
                <w:rFonts w:ascii="Arial"/>
                <w:i/>
                <w:spacing w:val="-2"/>
                <w:sz w:val="16"/>
              </w:rPr>
              <w:t>Power</w:t>
            </w:r>
          </w:p>
        </w:tc>
      </w:tr>
      <w:tr>
        <w:trPr>
          <w:trHeight w:val="625" w:hRule="atLeast"/>
        </w:trPr>
        <w:tc>
          <w:tcPr>
            <w:tcW w:w="2505" w:type="dxa"/>
            <w:tcBorders>
              <w:bottom w:val="single" w:sz="8" w:space="0" w:color="000000"/>
            </w:tcBorders>
          </w:tcPr>
          <w:p>
            <w:pPr>
              <w:pStyle w:val="TableParagraph"/>
              <w:rPr>
                <w:rFonts w:ascii="Arial"/>
                <w:b/>
                <w:i/>
                <w:sz w:val="16"/>
              </w:rPr>
            </w:pPr>
          </w:p>
          <w:p>
            <w:pPr>
              <w:pStyle w:val="TableParagraph"/>
              <w:spacing w:before="53"/>
              <w:rPr>
                <w:rFonts w:ascii="Arial"/>
                <w:b/>
                <w:i/>
                <w:sz w:val="16"/>
              </w:rPr>
            </w:pPr>
          </w:p>
          <w:p>
            <w:pPr>
              <w:pStyle w:val="TableParagraph"/>
              <w:spacing w:line="183" w:lineRule="exact"/>
              <w:ind w:left="52"/>
              <w:rPr>
                <w:rFonts w:ascii="Arial"/>
                <w:i/>
                <w:sz w:val="16"/>
              </w:rPr>
            </w:pPr>
            <w:r>
              <w:rPr>
                <w:rFonts w:ascii="Arial"/>
                <w:i/>
                <w:spacing w:val="-2"/>
                <w:sz w:val="16"/>
              </w:rPr>
              <w:t>Member</w:t>
            </w:r>
          </w:p>
        </w:tc>
        <w:tc>
          <w:tcPr>
            <w:tcW w:w="861" w:type="dxa"/>
            <w:tcBorders>
              <w:top w:val="single" w:sz="8" w:space="0" w:color="000000"/>
              <w:bottom w:val="single" w:sz="8" w:space="0" w:color="000000"/>
            </w:tcBorders>
          </w:tcPr>
          <w:p>
            <w:pPr>
              <w:pStyle w:val="TableParagraph"/>
              <w:spacing w:before="39"/>
              <w:rPr>
                <w:rFonts w:ascii="Arial"/>
                <w:b/>
                <w:i/>
                <w:sz w:val="16"/>
              </w:rPr>
            </w:pPr>
          </w:p>
          <w:p>
            <w:pPr>
              <w:pStyle w:val="TableParagraph"/>
              <w:spacing w:line="190" w:lineRule="atLeast"/>
              <w:ind w:left="187" w:right="52" w:hanging="133"/>
              <w:rPr>
                <w:rFonts w:ascii="Arial"/>
                <w:i/>
                <w:sz w:val="16"/>
              </w:rPr>
            </w:pPr>
            <w:r>
              <w:rPr>
                <w:rFonts w:ascii="Arial"/>
                <w:i/>
                <w:sz w:val="16"/>
              </w:rPr>
              <w:t>Number</w:t>
            </w:r>
            <w:r>
              <w:rPr>
                <w:rFonts w:ascii="Arial"/>
                <w:i/>
                <w:spacing w:val="-12"/>
                <w:sz w:val="16"/>
              </w:rPr>
              <w:t> </w:t>
            </w:r>
            <w:r>
              <w:rPr>
                <w:rFonts w:ascii="Arial"/>
                <w:i/>
                <w:sz w:val="16"/>
              </w:rPr>
              <w:t>of </w:t>
            </w:r>
            <w:r>
              <w:rPr>
                <w:rFonts w:ascii="Arial"/>
                <w:i/>
                <w:spacing w:val="-2"/>
                <w:sz w:val="16"/>
              </w:rPr>
              <w:t>shares</w:t>
            </w:r>
          </w:p>
        </w:tc>
        <w:tc>
          <w:tcPr>
            <w:tcW w:w="936" w:type="dxa"/>
            <w:tcBorders>
              <w:top w:val="single" w:sz="8" w:space="0" w:color="000000"/>
              <w:bottom w:val="single" w:sz="8" w:space="0" w:color="000000"/>
            </w:tcBorders>
          </w:tcPr>
          <w:p>
            <w:pPr>
              <w:pStyle w:val="TableParagraph"/>
              <w:spacing w:before="39"/>
              <w:rPr>
                <w:rFonts w:ascii="Arial"/>
                <w:b/>
                <w:i/>
                <w:sz w:val="16"/>
              </w:rPr>
            </w:pPr>
          </w:p>
          <w:p>
            <w:pPr>
              <w:pStyle w:val="TableParagraph"/>
              <w:spacing w:line="190" w:lineRule="atLeast"/>
              <w:ind w:left="175" w:hanging="118"/>
              <w:rPr>
                <w:rFonts w:ascii="Arial"/>
                <w:i/>
                <w:sz w:val="16"/>
              </w:rPr>
            </w:pPr>
            <w:r>
              <w:rPr>
                <w:rFonts w:ascii="Arial"/>
                <w:i/>
                <w:spacing w:val="-2"/>
                <w:sz w:val="16"/>
              </w:rPr>
              <w:t>Percentage </w:t>
            </w:r>
            <w:r>
              <w:rPr>
                <w:rFonts w:ascii="Arial"/>
                <w:i/>
                <w:sz w:val="16"/>
              </w:rPr>
              <w:t>of total </w:t>
            </w:r>
            <w:r>
              <w:rPr>
                <w:rFonts w:ascii="Arial"/>
                <w:i/>
                <w:sz w:val="16"/>
                <w:vertAlign w:val="superscript"/>
              </w:rPr>
              <w:t>b</w:t>
            </w:r>
          </w:p>
        </w:tc>
        <w:tc>
          <w:tcPr>
            <w:tcW w:w="1044" w:type="dxa"/>
            <w:gridSpan w:val="2"/>
            <w:tcBorders>
              <w:top w:val="single" w:sz="8" w:space="0" w:color="000000"/>
            </w:tcBorders>
          </w:tcPr>
          <w:p>
            <w:pPr>
              <w:pStyle w:val="TableParagraph"/>
              <w:spacing w:before="97"/>
              <w:rPr>
                <w:rFonts w:ascii="Arial"/>
                <w:b/>
                <w:i/>
                <w:sz w:val="16"/>
              </w:rPr>
            </w:pPr>
          </w:p>
          <w:p>
            <w:pPr>
              <w:pStyle w:val="TableParagraph"/>
              <w:spacing w:line="208" w:lineRule="auto"/>
              <w:ind w:left="237" w:right="85" w:firstLine="180"/>
              <w:rPr>
                <w:rFonts w:ascii="Arial"/>
                <w:i/>
                <w:sz w:val="16"/>
              </w:rPr>
            </w:pPr>
            <w:r>
              <w:rPr>
                <w:rFonts w:ascii="Arial"/>
                <w:i/>
                <w:spacing w:val="-2"/>
                <w:sz w:val="16"/>
              </w:rPr>
              <w:t>Total </w:t>
            </w:r>
            <w:r>
              <w:rPr>
                <w:rFonts w:ascii="Arial"/>
                <w:i/>
                <w:sz w:val="16"/>
              </w:rPr>
              <w:t>amounts</w:t>
            </w:r>
            <w:r>
              <w:rPr>
                <w:rFonts w:ascii="Arial"/>
                <w:i/>
                <w:spacing w:val="-12"/>
                <w:sz w:val="16"/>
              </w:rPr>
              <w:t> </w:t>
            </w:r>
            <w:r>
              <w:rPr>
                <w:rFonts w:ascii="Arial"/>
                <w:i/>
                <w:sz w:val="16"/>
                <w:vertAlign w:val="superscript"/>
              </w:rPr>
              <w:t>b</w:t>
            </w:r>
          </w:p>
        </w:tc>
        <w:tc>
          <w:tcPr>
            <w:tcW w:w="830" w:type="dxa"/>
            <w:gridSpan w:val="2"/>
            <w:tcBorders>
              <w:top w:val="single" w:sz="8" w:space="0" w:color="000000"/>
              <w:bottom w:val="single" w:sz="8" w:space="0" w:color="000000"/>
            </w:tcBorders>
          </w:tcPr>
          <w:p>
            <w:pPr>
              <w:pStyle w:val="TableParagraph"/>
              <w:spacing w:before="39"/>
              <w:rPr>
                <w:rFonts w:ascii="Arial"/>
                <w:b/>
                <w:i/>
                <w:sz w:val="16"/>
              </w:rPr>
            </w:pPr>
          </w:p>
          <w:p>
            <w:pPr>
              <w:pStyle w:val="TableParagraph"/>
              <w:spacing w:line="190" w:lineRule="atLeast"/>
              <w:ind w:left="76" w:firstLine="14"/>
              <w:rPr>
                <w:rFonts w:ascii="Arial"/>
                <w:i/>
                <w:sz w:val="16"/>
              </w:rPr>
            </w:pPr>
            <w:r>
              <w:rPr>
                <w:rFonts w:ascii="Arial"/>
                <w:i/>
                <w:spacing w:val="-2"/>
                <w:sz w:val="16"/>
              </w:rPr>
              <w:t>Amounts </w:t>
            </w:r>
            <w:r>
              <w:rPr>
                <w:rFonts w:ascii="Arial"/>
                <w:i/>
                <w:sz w:val="16"/>
              </w:rPr>
              <w:t>paid</w:t>
            </w:r>
            <w:r>
              <w:rPr>
                <w:rFonts w:ascii="Arial"/>
                <w:i/>
                <w:spacing w:val="-5"/>
                <w:sz w:val="16"/>
              </w:rPr>
              <w:t> </w:t>
            </w:r>
            <w:r>
              <w:rPr>
                <w:rFonts w:ascii="Arial"/>
                <w:i/>
                <w:sz w:val="16"/>
              </w:rPr>
              <w:t>in</w:t>
            </w:r>
            <w:r>
              <w:rPr>
                <w:rFonts w:ascii="Arial"/>
                <w:i/>
                <w:spacing w:val="-3"/>
                <w:sz w:val="16"/>
              </w:rPr>
              <w:t> </w:t>
            </w:r>
            <w:r>
              <w:rPr>
                <w:rFonts w:ascii="Arial"/>
                <w:i/>
                <w:spacing w:val="-5"/>
                <w:sz w:val="16"/>
                <w:vertAlign w:val="superscript"/>
              </w:rPr>
              <w:t>a,b</w:t>
            </w:r>
          </w:p>
        </w:tc>
        <w:tc>
          <w:tcPr>
            <w:tcW w:w="984" w:type="dxa"/>
            <w:gridSpan w:val="2"/>
            <w:tcBorders>
              <w:top w:val="single" w:sz="8" w:space="0" w:color="000000"/>
              <w:bottom w:val="single" w:sz="8" w:space="0" w:color="000000"/>
            </w:tcBorders>
          </w:tcPr>
          <w:p>
            <w:pPr>
              <w:pStyle w:val="TableParagraph"/>
              <w:spacing w:line="190" w:lineRule="atLeast" w:before="31"/>
              <w:ind w:left="149" w:right="148" w:hanging="1"/>
              <w:jc w:val="center"/>
              <w:rPr>
                <w:rFonts w:ascii="Arial"/>
                <w:i/>
                <w:sz w:val="16"/>
              </w:rPr>
            </w:pPr>
            <w:r>
              <w:rPr>
                <w:rFonts w:ascii="Arial"/>
                <w:i/>
                <w:spacing w:val="-2"/>
                <w:sz w:val="16"/>
              </w:rPr>
              <w:t>Amounts </w:t>
            </w:r>
            <w:r>
              <w:rPr>
                <w:rFonts w:ascii="Arial"/>
                <w:i/>
                <w:sz w:val="16"/>
              </w:rPr>
              <w:t>subject</w:t>
            </w:r>
            <w:r>
              <w:rPr>
                <w:rFonts w:ascii="Arial"/>
                <w:i/>
                <w:spacing w:val="-12"/>
                <w:sz w:val="16"/>
              </w:rPr>
              <w:t> </w:t>
            </w:r>
            <w:r>
              <w:rPr>
                <w:rFonts w:ascii="Arial"/>
                <w:i/>
                <w:sz w:val="16"/>
              </w:rPr>
              <w:t>to call </w:t>
            </w:r>
            <w:r>
              <w:rPr>
                <w:rFonts w:ascii="Arial"/>
                <w:i/>
                <w:sz w:val="16"/>
                <w:vertAlign w:val="superscript"/>
              </w:rPr>
              <w:t>a,</w:t>
            </w:r>
            <w:r>
              <w:rPr>
                <w:rFonts w:ascii="Arial"/>
                <w:i/>
                <w:spacing w:val="-4"/>
                <w:sz w:val="16"/>
                <w:vertAlign w:val="baseline"/>
              </w:rPr>
              <w:t> </w:t>
            </w:r>
            <w:r>
              <w:rPr>
                <w:rFonts w:ascii="Arial"/>
                <w:i/>
                <w:sz w:val="16"/>
                <w:vertAlign w:val="superscript"/>
              </w:rPr>
              <w:t>b</w:t>
            </w:r>
          </w:p>
        </w:tc>
        <w:tc>
          <w:tcPr>
            <w:tcW w:w="1176" w:type="dxa"/>
            <w:tcBorders>
              <w:top w:val="single" w:sz="8" w:space="0" w:color="000000"/>
              <w:bottom w:val="single" w:sz="8" w:space="0" w:color="000000"/>
            </w:tcBorders>
          </w:tcPr>
          <w:p>
            <w:pPr>
              <w:pStyle w:val="TableParagraph"/>
              <w:spacing w:before="39"/>
              <w:rPr>
                <w:rFonts w:ascii="Arial"/>
                <w:b/>
                <w:i/>
                <w:sz w:val="16"/>
              </w:rPr>
            </w:pPr>
          </w:p>
          <w:p>
            <w:pPr>
              <w:pStyle w:val="TableParagraph"/>
              <w:spacing w:line="190" w:lineRule="atLeast"/>
              <w:ind w:left="471" w:right="132" w:hanging="182"/>
              <w:rPr>
                <w:rFonts w:ascii="Arial"/>
                <w:i/>
                <w:sz w:val="16"/>
              </w:rPr>
            </w:pPr>
            <w:r>
              <w:rPr>
                <w:rFonts w:ascii="Arial"/>
                <w:i/>
                <w:sz w:val="16"/>
              </w:rPr>
              <w:t>Number</w:t>
            </w:r>
            <w:r>
              <w:rPr>
                <w:rFonts w:ascii="Arial"/>
                <w:i/>
                <w:spacing w:val="-12"/>
                <w:sz w:val="16"/>
              </w:rPr>
              <w:t> </w:t>
            </w:r>
            <w:r>
              <w:rPr>
                <w:rFonts w:ascii="Arial"/>
                <w:i/>
                <w:sz w:val="16"/>
              </w:rPr>
              <w:t>of </w:t>
            </w:r>
            <w:r>
              <w:rPr>
                <w:rFonts w:ascii="Arial"/>
                <w:i/>
                <w:spacing w:val="-2"/>
                <w:sz w:val="16"/>
              </w:rPr>
              <w:t>votes</w:t>
            </w:r>
          </w:p>
        </w:tc>
        <w:tc>
          <w:tcPr>
            <w:tcW w:w="1074" w:type="dxa"/>
            <w:tcBorders>
              <w:top w:val="single" w:sz="8" w:space="0" w:color="000000"/>
              <w:bottom w:val="single" w:sz="8" w:space="0" w:color="000000"/>
            </w:tcBorders>
          </w:tcPr>
          <w:p>
            <w:pPr>
              <w:pStyle w:val="TableParagraph"/>
              <w:spacing w:before="39"/>
              <w:rPr>
                <w:rFonts w:ascii="Arial"/>
                <w:b/>
                <w:i/>
                <w:sz w:val="16"/>
              </w:rPr>
            </w:pPr>
          </w:p>
          <w:p>
            <w:pPr>
              <w:pStyle w:val="TableParagraph"/>
              <w:spacing w:line="190" w:lineRule="atLeast"/>
              <w:ind w:left="170" w:right="110" w:hanging="118"/>
              <w:rPr>
                <w:rFonts w:ascii="Arial"/>
                <w:i/>
                <w:sz w:val="16"/>
              </w:rPr>
            </w:pPr>
            <w:r>
              <w:rPr>
                <w:rFonts w:ascii="Arial"/>
                <w:i/>
                <w:spacing w:val="-2"/>
                <w:sz w:val="16"/>
              </w:rPr>
              <w:t>Percentage </w:t>
            </w:r>
            <w:r>
              <w:rPr>
                <w:rFonts w:ascii="Arial"/>
                <w:i/>
                <w:sz w:val="16"/>
              </w:rPr>
              <w:t>of total </w:t>
            </w:r>
            <w:r>
              <w:rPr>
                <w:rFonts w:ascii="Arial"/>
                <w:i/>
                <w:sz w:val="16"/>
                <w:vertAlign w:val="superscript"/>
              </w:rPr>
              <w:t>b</w:t>
            </w:r>
          </w:p>
        </w:tc>
      </w:tr>
      <w:tr>
        <w:trPr>
          <w:trHeight w:val="208" w:hRule="atLeast"/>
        </w:trPr>
        <w:tc>
          <w:tcPr>
            <w:tcW w:w="2505" w:type="dxa"/>
            <w:tcBorders>
              <w:top w:val="single" w:sz="8" w:space="0" w:color="000000"/>
            </w:tcBorders>
            <w:shd w:val="clear" w:color="auto" w:fill="D8D8D8"/>
          </w:tcPr>
          <w:p>
            <w:pPr>
              <w:pStyle w:val="TableParagraph"/>
              <w:spacing w:before="1"/>
              <w:ind w:left="52"/>
              <w:rPr>
                <w:sz w:val="16"/>
              </w:rPr>
            </w:pPr>
            <w:r>
              <w:rPr>
                <w:spacing w:val="-2"/>
                <w:sz w:val="16"/>
              </w:rPr>
              <w:t>Afghanistan</w:t>
            </w:r>
          </w:p>
        </w:tc>
        <w:tc>
          <w:tcPr>
            <w:tcW w:w="861" w:type="dxa"/>
            <w:tcBorders>
              <w:top w:val="single" w:sz="8" w:space="0" w:color="000000"/>
            </w:tcBorders>
            <w:shd w:val="clear" w:color="auto" w:fill="D8D8D8"/>
          </w:tcPr>
          <w:p>
            <w:pPr>
              <w:pStyle w:val="TableParagraph"/>
              <w:spacing w:before="1"/>
              <w:ind w:right="56"/>
              <w:jc w:val="right"/>
              <w:rPr>
                <w:sz w:val="16"/>
              </w:rPr>
            </w:pPr>
            <w:r>
              <w:rPr>
                <w:spacing w:val="-5"/>
                <w:sz w:val="16"/>
              </w:rPr>
              <w:t>506</w:t>
            </w:r>
          </w:p>
        </w:tc>
        <w:tc>
          <w:tcPr>
            <w:tcW w:w="1414" w:type="dxa"/>
            <w:gridSpan w:val="2"/>
            <w:shd w:val="clear" w:color="auto" w:fill="D8D8D8"/>
          </w:tcPr>
          <w:p>
            <w:pPr>
              <w:pStyle w:val="TableParagraph"/>
              <w:spacing w:before="1"/>
              <w:ind w:left="575"/>
              <w:rPr>
                <w:sz w:val="16"/>
              </w:rPr>
            </w:pPr>
            <w:r>
              <w:rPr>
                <w:sz w:val="16"/>
              </w:rPr>
              <w:t>0.02</w:t>
            </w:r>
            <w:r>
              <w:rPr>
                <w:spacing w:val="18"/>
                <w:sz w:val="16"/>
              </w:rPr>
              <w:t> </w:t>
            </w:r>
            <w:r>
              <w:rPr>
                <w:sz w:val="16"/>
              </w:rPr>
              <w:t>%</w:t>
            </w:r>
            <w:r>
              <w:rPr>
                <w:spacing w:val="18"/>
                <w:sz w:val="16"/>
              </w:rPr>
              <w:t> </w:t>
            </w:r>
            <w:r>
              <w:rPr>
                <w:spacing w:val="-10"/>
                <w:sz w:val="16"/>
              </w:rPr>
              <w:t>$</w:t>
            </w:r>
          </w:p>
        </w:tc>
        <w:tc>
          <w:tcPr>
            <w:tcW w:w="566" w:type="dxa"/>
            <w:tcBorders>
              <w:top w:val="single" w:sz="8" w:space="0" w:color="000000"/>
            </w:tcBorders>
            <w:shd w:val="clear" w:color="auto" w:fill="D8D8D8"/>
          </w:tcPr>
          <w:p>
            <w:pPr>
              <w:pStyle w:val="TableParagraph"/>
              <w:spacing w:before="1"/>
              <w:ind w:left="165"/>
              <w:rPr>
                <w:sz w:val="16"/>
              </w:rPr>
            </w:pPr>
            <w:r>
              <w:rPr>
                <w:spacing w:val="-4"/>
                <w:sz w:val="16"/>
              </w:rPr>
              <w:t>61.0</w:t>
            </w:r>
          </w:p>
        </w:tc>
        <w:tc>
          <w:tcPr>
            <w:tcW w:w="335" w:type="dxa"/>
            <w:tcBorders>
              <w:top w:val="single" w:sz="8" w:space="0" w:color="000000"/>
            </w:tcBorders>
            <w:shd w:val="clear" w:color="auto" w:fill="D8D8D8"/>
          </w:tcPr>
          <w:p>
            <w:pPr>
              <w:pStyle w:val="TableParagraph"/>
              <w:spacing w:before="1"/>
              <w:ind w:left="31"/>
              <w:rPr>
                <w:sz w:val="16"/>
              </w:rPr>
            </w:pPr>
            <w:r>
              <w:rPr>
                <w:spacing w:val="-10"/>
                <w:sz w:val="16"/>
              </w:rPr>
              <w:t>$</w:t>
            </w:r>
          </w:p>
        </w:tc>
        <w:tc>
          <w:tcPr>
            <w:tcW w:w="495" w:type="dxa"/>
            <w:tcBorders>
              <w:top w:val="single" w:sz="8" w:space="0" w:color="000000"/>
            </w:tcBorders>
            <w:shd w:val="clear" w:color="auto" w:fill="D8D8D8"/>
          </w:tcPr>
          <w:p>
            <w:pPr>
              <w:pStyle w:val="TableParagraph"/>
              <w:spacing w:before="1"/>
              <w:ind w:left="208"/>
              <w:rPr>
                <w:sz w:val="16"/>
              </w:rPr>
            </w:pPr>
            <w:r>
              <w:rPr>
                <w:spacing w:val="-5"/>
                <w:sz w:val="16"/>
              </w:rPr>
              <w:t>5.1</w:t>
            </w:r>
          </w:p>
        </w:tc>
        <w:tc>
          <w:tcPr>
            <w:tcW w:w="152" w:type="dxa"/>
            <w:tcBorders>
              <w:top w:val="single" w:sz="8" w:space="0" w:color="000000"/>
            </w:tcBorders>
            <w:shd w:val="clear" w:color="auto" w:fill="D8D8D8"/>
          </w:tcPr>
          <w:p>
            <w:pPr>
              <w:pStyle w:val="TableParagraph"/>
              <w:spacing w:before="1"/>
              <w:ind w:left="56"/>
              <w:rPr>
                <w:sz w:val="16"/>
              </w:rPr>
            </w:pPr>
            <w:r>
              <w:rPr>
                <w:spacing w:val="-10"/>
                <w:sz w:val="16"/>
              </w:rPr>
              <w:t>$</w:t>
            </w:r>
          </w:p>
        </w:tc>
        <w:tc>
          <w:tcPr>
            <w:tcW w:w="832" w:type="dxa"/>
            <w:tcBorders>
              <w:top w:val="single" w:sz="8" w:space="0" w:color="000000"/>
            </w:tcBorders>
            <w:shd w:val="clear" w:color="auto" w:fill="D8D8D8"/>
          </w:tcPr>
          <w:p>
            <w:pPr>
              <w:pStyle w:val="TableParagraph"/>
              <w:spacing w:before="1"/>
              <w:ind w:left="447"/>
              <w:rPr>
                <w:sz w:val="16"/>
              </w:rPr>
            </w:pPr>
            <w:r>
              <w:rPr>
                <w:spacing w:val="-4"/>
                <w:sz w:val="16"/>
              </w:rPr>
              <w:t>55.9</w:t>
            </w:r>
          </w:p>
        </w:tc>
        <w:tc>
          <w:tcPr>
            <w:tcW w:w="1176" w:type="dxa"/>
            <w:tcBorders>
              <w:top w:val="single" w:sz="8" w:space="0" w:color="000000"/>
            </w:tcBorders>
            <w:shd w:val="clear" w:color="auto" w:fill="D8D8D8"/>
          </w:tcPr>
          <w:p>
            <w:pPr>
              <w:pStyle w:val="TableParagraph"/>
              <w:spacing w:before="1"/>
              <w:ind w:right="61"/>
              <w:jc w:val="right"/>
              <w:rPr>
                <w:sz w:val="16"/>
              </w:rPr>
            </w:pPr>
            <w:r>
              <w:rPr>
                <w:spacing w:val="-2"/>
                <w:sz w:val="16"/>
              </w:rPr>
              <w:t>1,325</w:t>
            </w:r>
          </w:p>
        </w:tc>
        <w:tc>
          <w:tcPr>
            <w:tcW w:w="1074" w:type="dxa"/>
            <w:tcBorders>
              <w:top w:val="single" w:sz="8" w:space="0" w:color="000000"/>
            </w:tcBorders>
            <w:shd w:val="clear" w:color="auto" w:fill="D8D8D8"/>
          </w:tcPr>
          <w:p>
            <w:pPr>
              <w:pStyle w:val="TableParagraph"/>
              <w:spacing w:before="1"/>
              <w:ind w:left="570"/>
              <w:rPr>
                <w:sz w:val="16"/>
              </w:rPr>
            </w:pPr>
            <w:r>
              <w:rPr>
                <w:sz w:val="16"/>
              </w:rPr>
              <w:t>0.05</w:t>
            </w:r>
            <w:r>
              <w:rPr>
                <w:spacing w:val="2"/>
                <w:sz w:val="16"/>
              </w:rPr>
              <w:t> </w:t>
            </w:r>
            <w:r>
              <w:rPr>
                <w:spacing w:val="-10"/>
                <w:sz w:val="16"/>
              </w:rPr>
              <w:t>%</w:t>
            </w:r>
          </w:p>
        </w:tc>
      </w:tr>
      <w:tr>
        <w:trPr>
          <w:trHeight w:val="225" w:hRule="atLeast"/>
        </w:trPr>
        <w:tc>
          <w:tcPr>
            <w:tcW w:w="2505" w:type="dxa"/>
            <w:shd w:val="clear" w:color="auto" w:fill="D8D8D8"/>
          </w:tcPr>
          <w:p>
            <w:pPr>
              <w:pStyle w:val="TableParagraph"/>
              <w:spacing w:before="18"/>
              <w:ind w:left="52"/>
              <w:rPr>
                <w:sz w:val="16"/>
              </w:rPr>
            </w:pPr>
            <w:r>
              <w:rPr>
                <w:spacing w:val="-2"/>
                <w:sz w:val="16"/>
              </w:rPr>
              <w:t>Albania</w:t>
            </w:r>
          </w:p>
        </w:tc>
        <w:tc>
          <w:tcPr>
            <w:tcW w:w="861" w:type="dxa"/>
            <w:shd w:val="clear" w:color="auto" w:fill="D8D8D8"/>
          </w:tcPr>
          <w:p>
            <w:pPr>
              <w:pStyle w:val="TableParagraph"/>
              <w:spacing w:before="18"/>
              <w:ind w:right="56"/>
              <w:jc w:val="right"/>
              <w:rPr>
                <w:sz w:val="16"/>
              </w:rPr>
            </w:pPr>
            <w:r>
              <w:rPr>
                <w:spacing w:val="-2"/>
                <w:sz w:val="16"/>
              </w:rPr>
              <w:t>1,187</w:t>
            </w:r>
          </w:p>
        </w:tc>
        <w:tc>
          <w:tcPr>
            <w:tcW w:w="936" w:type="dxa"/>
            <w:shd w:val="clear" w:color="auto" w:fill="D8D8D8"/>
          </w:tcPr>
          <w:p>
            <w:pPr>
              <w:pStyle w:val="TableParagraph"/>
              <w:spacing w:before="18"/>
              <w:ind w:right="47"/>
              <w:jc w:val="right"/>
              <w:rPr>
                <w:sz w:val="16"/>
              </w:rPr>
            </w:pPr>
            <w:r>
              <w:rPr>
                <w:spacing w:val="-4"/>
                <w:sz w:val="16"/>
              </w:rPr>
              <w:t>0.05</w:t>
            </w:r>
          </w:p>
        </w:tc>
        <w:tc>
          <w:tcPr>
            <w:tcW w:w="1044" w:type="dxa"/>
            <w:gridSpan w:val="2"/>
            <w:shd w:val="clear" w:color="auto" w:fill="D8D8D8"/>
          </w:tcPr>
          <w:p>
            <w:pPr>
              <w:pStyle w:val="TableParagraph"/>
              <w:spacing w:before="18"/>
              <w:ind w:left="555"/>
              <w:rPr>
                <w:sz w:val="16"/>
              </w:rPr>
            </w:pPr>
            <w:r>
              <w:rPr>
                <w:spacing w:val="-2"/>
                <w:sz w:val="16"/>
              </w:rPr>
              <w:t>143.2</w:t>
            </w:r>
          </w:p>
        </w:tc>
        <w:tc>
          <w:tcPr>
            <w:tcW w:w="830" w:type="dxa"/>
            <w:gridSpan w:val="2"/>
            <w:shd w:val="clear" w:color="auto" w:fill="D8D8D8"/>
          </w:tcPr>
          <w:p>
            <w:pPr>
              <w:pStyle w:val="TableParagraph"/>
              <w:spacing w:before="18"/>
              <w:ind w:left="543"/>
              <w:rPr>
                <w:sz w:val="16"/>
              </w:rPr>
            </w:pPr>
            <w:r>
              <w:rPr>
                <w:spacing w:val="-5"/>
                <w:sz w:val="16"/>
              </w:rPr>
              <w:t>5.4</w:t>
            </w:r>
          </w:p>
        </w:tc>
        <w:tc>
          <w:tcPr>
            <w:tcW w:w="984" w:type="dxa"/>
            <w:gridSpan w:val="2"/>
            <w:shd w:val="clear" w:color="auto" w:fill="D8D8D8"/>
          </w:tcPr>
          <w:p>
            <w:pPr>
              <w:pStyle w:val="TableParagraph"/>
              <w:spacing w:before="18"/>
              <w:ind w:left="511"/>
              <w:rPr>
                <w:sz w:val="16"/>
              </w:rPr>
            </w:pPr>
            <w:r>
              <w:rPr>
                <w:spacing w:val="-2"/>
                <w:sz w:val="16"/>
              </w:rPr>
              <w:t>137.8</w:t>
            </w:r>
          </w:p>
        </w:tc>
        <w:tc>
          <w:tcPr>
            <w:tcW w:w="1176" w:type="dxa"/>
            <w:shd w:val="clear" w:color="auto" w:fill="D8D8D8"/>
          </w:tcPr>
          <w:p>
            <w:pPr>
              <w:pStyle w:val="TableParagraph"/>
              <w:spacing w:before="18"/>
              <w:ind w:right="61"/>
              <w:jc w:val="right"/>
              <w:rPr>
                <w:sz w:val="16"/>
              </w:rPr>
            </w:pPr>
            <w:r>
              <w:rPr>
                <w:spacing w:val="-2"/>
                <w:sz w:val="16"/>
              </w:rPr>
              <w:t>2,006</w:t>
            </w:r>
          </w:p>
        </w:tc>
        <w:tc>
          <w:tcPr>
            <w:tcW w:w="1074" w:type="dxa"/>
            <w:shd w:val="clear" w:color="auto" w:fill="D8D8D8"/>
          </w:tcPr>
          <w:p>
            <w:pPr>
              <w:pStyle w:val="TableParagraph"/>
              <w:spacing w:before="18"/>
              <w:ind w:left="570"/>
              <w:rPr>
                <w:sz w:val="16"/>
              </w:rPr>
            </w:pPr>
            <w:r>
              <w:rPr>
                <w:spacing w:val="-4"/>
                <w:sz w:val="16"/>
              </w:rPr>
              <w:t>0.07</w:t>
            </w:r>
          </w:p>
        </w:tc>
      </w:tr>
      <w:tr>
        <w:trPr>
          <w:trHeight w:val="225" w:hRule="atLeast"/>
        </w:trPr>
        <w:tc>
          <w:tcPr>
            <w:tcW w:w="2505" w:type="dxa"/>
            <w:shd w:val="clear" w:color="auto" w:fill="D8D8D8"/>
          </w:tcPr>
          <w:p>
            <w:pPr>
              <w:pStyle w:val="TableParagraph"/>
              <w:spacing w:before="18"/>
              <w:ind w:left="52"/>
              <w:rPr>
                <w:sz w:val="16"/>
              </w:rPr>
            </w:pPr>
            <w:r>
              <w:rPr>
                <w:spacing w:val="-2"/>
                <w:sz w:val="16"/>
              </w:rPr>
              <w:t>Algeria</w:t>
            </w:r>
          </w:p>
        </w:tc>
        <w:tc>
          <w:tcPr>
            <w:tcW w:w="861" w:type="dxa"/>
            <w:shd w:val="clear" w:color="auto" w:fill="D8D8D8"/>
          </w:tcPr>
          <w:p>
            <w:pPr>
              <w:pStyle w:val="TableParagraph"/>
              <w:spacing w:before="18"/>
              <w:ind w:right="56"/>
              <w:jc w:val="right"/>
              <w:rPr>
                <w:sz w:val="16"/>
              </w:rPr>
            </w:pPr>
            <w:r>
              <w:rPr>
                <w:spacing w:val="-2"/>
                <w:sz w:val="16"/>
              </w:rPr>
              <w:t>13,689</w:t>
            </w:r>
          </w:p>
        </w:tc>
        <w:tc>
          <w:tcPr>
            <w:tcW w:w="936" w:type="dxa"/>
            <w:shd w:val="clear" w:color="auto" w:fill="D8D8D8"/>
          </w:tcPr>
          <w:p>
            <w:pPr>
              <w:pStyle w:val="TableParagraph"/>
              <w:spacing w:before="18"/>
              <w:ind w:right="47"/>
              <w:jc w:val="right"/>
              <w:rPr>
                <w:sz w:val="16"/>
              </w:rPr>
            </w:pPr>
            <w:r>
              <w:rPr>
                <w:spacing w:val="-4"/>
                <w:sz w:val="16"/>
              </w:rPr>
              <w:t>0.52</w:t>
            </w:r>
          </w:p>
        </w:tc>
        <w:tc>
          <w:tcPr>
            <w:tcW w:w="1044" w:type="dxa"/>
            <w:gridSpan w:val="2"/>
            <w:shd w:val="clear" w:color="auto" w:fill="D8D8D8"/>
          </w:tcPr>
          <w:p>
            <w:pPr>
              <w:pStyle w:val="TableParagraph"/>
              <w:spacing w:before="18"/>
              <w:ind w:left="421"/>
              <w:rPr>
                <w:sz w:val="16"/>
              </w:rPr>
            </w:pPr>
            <w:r>
              <w:rPr>
                <w:spacing w:val="-2"/>
                <w:sz w:val="16"/>
              </w:rPr>
              <w:t>1,651.4</w:t>
            </w:r>
          </w:p>
        </w:tc>
        <w:tc>
          <w:tcPr>
            <w:tcW w:w="830" w:type="dxa"/>
            <w:gridSpan w:val="2"/>
            <w:shd w:val="clear" w:color="auto" w:fill="D8D8D8"/>
          </w:tcPr>
          <w:p>
            <w:pPr>
              <w:pStyle w:val="TableParagraph"/>
              <w:spacing w:before="18"/>
              <w:ind w:left="366"/>
              <w:rPr>
                <w:sz w:val="16"/>
              </w:rPr>
            </w:pPr>
            <w:r>
              <w:rPr>
                <w:spacing w:val="-2"/>
                <w:sz w:val="16"/>
              </w:rPr>
              <w:t>118.4</w:t>
            </w:r>
          </w:p>
        </w:tc>
        <w:tc>
          <w:tcPr>
            <w:tcW w:w="984" w:type="dxa"/>
            <w:gridSpan w:val="2"/>
            <w:shd w:val="clear" w:color="auto" w:fill="D8D8D8"/>
          </w:tcPr>
          <w:p>
            <w:pPr>
              <w:pStyle w:val="TableParagraph"/>
              <w:spacing w:before="18"/>
              <w:ind w:left="377"/>
              <w:rPr>
                <w:sz w:val="16"/>
              </w:rPr>
            </w:pPr>
            <w:r>
              <w:rPr>
                <w:spacing w:val="-2"/>
                <w:sz w:val="16"/>
              </w:rPr>
              <w:t>1,533.0</w:t>
            </w:r>
          </w:p>
        </w:tc>
        <w:tc>
          <w:tcPr>
            <w:tcW w:w="1176" w:type="dxa"/>
            <w:shd w:val="clear" w:color="auto" w:fill="D8D8D8"/>
          </w:tcPr>
          <w:p>
            <w:pPr>
              <w:pStyle w:val="TableParagraph"/>
              <w:spacing w:before="18"/>
              <w:ind w:right="61"/>
              <w:jc w:val="right"/>
              <w:rPr>
                <w:sz w:val="16"/>
              </w:rPr>
            </w:pPr>
            <w:r>
              <w:rPr>
                <w:spacing w:val="-2"/>
                <w:sz w:val="16"/>
              </w:rPr>
              <w:t>14,508</w:t>
            </w:r>
          </w:p>
        </w:tc>
        <w:tc>
          <w:tcPr>
            <w:tcW w:w="1074" w:type="dxa"/>
            <w:shd w:val="clear" w:color="auto" w:fill="D8D8D8"/>
          </w:tcPr>
          <w:p>
            <w:pPr>
              <w:pStyle w:val="TableParagraph"/>
              <w:spacing w:before="18"/>
              <w:ind w:left="570"/>
              <w:rPr>
                <w:sz w:val="16"/>
              </w:rPr>
            </w:pPr>
            <w:r>
              <w:rPr>
                <w:spacing w:val="-4"/>
                <w:sz w:val="16"/>
              </w:rPr>
              <w:t>0.52</w:t>
            </w:r>
          </w:p>
        </w:tc>
      </w:tr>
      <w:tr>
        <w:trPr>
          <w:trHeight w:val="225" w:hRule="atLeast"/>
        </w:trPr>
        <w:tc>
          <w:tcPr>
            <w:tcW w:w="2505" w:type="dxa"/>
            <w:shd w:val="clear" w:color="auto" w:fill="D8D8D8"/>
          </w:tcPr>
          <w:p>
            <w:pPr>
              <w:pStyle w:val="TableParagraph"/>
              <w:spacing w:before="18"/>
              <w:ind w:left="52"/>
              <w:rPr>
                <w:sz w:val="16"/>
              </w:rPr>
            </w:pPr>
            <w:r>
              <w:rPr>
                <w:spacing w:val="-2"/>
                <w:sz w:val="16"/>
              </w:rPr>
              <w:t>Angola</w:t>
            </w:r>
          </w:p>
        </w:tc>
        <w:tc>
          <w:tcPr>
            <w:tcW w:w="861" w:type="dxa"/>
            <w:shd w:val="clear" w:color="auto" w:fill="D8D8D8"/>
          </w:tcPr>
          <w:p>
            <w:pPr>
              <w:pStyle w:val="TableParagraph"/>
              <w:spacing w:before="18"/>
              <w:ind w:right="56"/>
              <w:jc w:val="right"/>
              <w:rPr>
                <w:sz w:val="16"/>
              </w:rPr>
            </w:pPr>
            <w:r>
              <w:rPr>
                <w:spacing w:val="-2"/>
                <w:sz w:val="16"/>
              </w:rPr>
              <w:t>4,068</w:t>
            </w:r>
          </w:p>
        </w:tc>
        <w:tc>
          <w:tcPr>
            <w:tcW w:w="936" w:type="dxa"/>
            <w:shd w:val="clear" w:color="auto" w:fill="D8D8D8"/>
          </w:tcPr>
          <w:p>
            <w:pPr>
              <w:pStyle w:val="TableParagraph"/>
              <w:spacing w:before="18"/>
              <w:ind w:right="47"/>
              <w:jc w:val="right"/>
              <w:rPr>
                <w:sz w:val="16"/>
              </w:rPr>
            </w:pPr>
            <w:r>
              <w:rPr>
                <w:spacing w:val="-4"/>
                <w:sz w:val="16"/>
              </w:rPr>
              <w:t>0.15</w:t>
            </w:r>
          </w:p>
        </w:tc>
        <w:tc>
          <w:tcPr>
            <w:tcW w:w="1044" w:type="dxa"/>
            <w:gridSpan w:val="2"/>
            <w:shd w:val="clear" w:color="auto" w:fill="D8D8D8"/>
          </w:tcPr>
          <w:p>
            <w:pPr>
              <w:pStyle w:val="TableParagraph"/>
              <w:spacing w:before="18"/>
              <w:ind w:left="555"/>
              <w:rPr>
                <w:sz w:val="16"/>
              </w:rPr>
            </w:pPr>
            <w:r>
              <w:rPr>
                <w:spacing w:val="-2"/>
                <w:sz w:val="16"/>
              </w:rPr>
              <w:t>490.7</w:t>
            </w:r>
          </w:p>
        </w:tc>
        <w:tc>
          <w:tcPr>
            <w:tcW w:w="830" w:type="dxa"/>
            <w:gridSpan w:val="2"/>
            <w:shd w:val="clear" w:color="auto" w:fill="D8D8D8"/>
          </w:tcPr>
          <w:p>
            <w:pPr>
              <w:pStyle w:val="TableParagraph"/>
              <w:spacing w:before="18"/>
              <w:ind w:left="454"/>
              <w:rPr>
                <w:sz w:val="16"/>
              </w:rPr>
            </w:pPr>
            <w:r>
              <w:rPr>
                <w:spacing w:val="-4"/>
                <w:sz w:val="16"/>
              </w:rPr>
              <w:t>28.8</w:t>
            </w:r>
          </w:p>
        </w:tc>
        <w:tc>
          <w:tcPr>
            <w:tcW w:w="984" w:type="dxa"/>
            <w:gridSpan w:val="2"/>
            <w:shd w:val="clear" w:color="auto" w:fill="D8D8D8"/>
          </w:tcPr>
          <w:p>
            <w:pPr>
              <w:pStyle w:val="TableParagraph"/>
              <w:spacing w:before="18"/>
              <w:ind w:left="511"/>
              <w:rPr>
                <w:sz w:val="16"/>
              </w:rPr>
            </w:pPr>
            <w:r>
              <w:rPr>
                <w:spacing w:val="-2"/>
                <w:sz w:val="16"/>
              </w:rPr>
              <w:t>461.9</w:t>
            </w:r>
          </w:p>
        </w:tc>
        <w:tc>
          <w:tcPr>
            <w:tcW w:w="1176" w:type="dxa"/>
            <w:shd w:val="clear" w:color="auto" w:fill="D8D8D8"/>
          </w:tcPr>
          <w:p>
            <w:pPr>
              <w:pStyle w:val="TableParagraph"/>
              <w:spacing w:before="18"/>
              <w:ind w:right="61"/>
              <w:jc w:val="right"/>
              <w:rPr>
                <w:sz w:val="16"/>
              </w:rPr>
            </w:pPr>
            <w:r>
              <w:rPr>
                <w:spacing w:val="-2"/>
                <w:sz w:val="16"/>
              </w:rPr>
              <w:t>4,887</w:t>
            </w:r>
          </w:p>
        </w:tc>
        <w:tc>
          <w:tcPr>
            <w:tcW w:w="1074" w:type="dxa"/>
            <w:shd w:val="clear" w:color="auto" w:fill="D8D8D8"/>
          </w:tcPr>
          <w:p>
            <w:pPr>
              <w:pStyle w:val="TableParagraph"/>
              <w:spacing w:before="18"/>
              <w:ind w:left="570"/>
              <w:rPr>
                <w:sz w:val="16"/>
              </w:rPr>
            </w:pPr>
            <w:r>
              <w:rPr>
                <w:spacing w:val="-4"/>
                <w:sz w:val="16"/>
              </w:rPr>
              <w:t>0.18</w:t>
            </w:r>
          </w:p>
        </w:tc>
      </w:tr>
      <w:tr>
        <w:trPr>
          <w:trHeight w:val="231" w:hRule="atLeast"/>
        </w:trPr>
        <w:tc>
          <w:tcPr>
            <w:tcW w:w="2505" w:type="dxa"/>
            <w:shd w:val="clear" w:color="auto" w:fill="D8D8D8"/>
          </w:tcPr>
          <w:p>
            <w:pPr>
              <w:pStyle w:val="TableParagraph"/>
              <w:spacing w:before="18"/>
              <w:ind w:left="52"/>
              <w:rPr>
                <w:sz w:val="16"/>
              </w:rPr>
            </w:pPr>
            <w:r>
              <w:rPr>
                <w:sz w:val="16"/>
              </w:rPr>
              <w:t>Antigua</w:t>
            </w:r>
            <w:r>
              <w:rPr>
                <w:spacing w:val="-4"/>
                <w:sz w:val="16"/>
              </w:rPr>
              <w:t> </w:t>
            </w:r>
            <w:r>
              <w:rPr>
                <w:sz w:val="16"/>
              </w:rPr>
              <w:t>and</w:t>
            </w:r>
            <w:r>
              <w:rPr>
                <w:spacing w:val="-4"/>
                <w:sz w:val="16"/>
              </w:rPr>
              <w:t> </w:t>
            </w:r>
            <w:r>
              <w:rPr>
                <w:spacing w:val="-2"/>
                <w:sz w:val="16"/>
              </w:rPr>
              <w:t>Barbuda</w:t>
            </w:r>
          </w:p>
        </w:tc>
        <w:tc>
          <w:tcPr>
            <w:tcW w:w="861" w:type="dxa"/>
            <w:shd w:val="clear" w:color="auto" w:fill="D8D8D8"/>
          </w:tcPr>
          <w:p>
            <w:pPr>
              <w:pStyle w:val="TableParagraph"/>
              <w:spacing w:before="18"/>
              <w:ind w:right="56"/>
              <w:jc w:val="right"/>
              <w:rPr>
                <w:sz w:val="16"/>
              </w:rPr>
            </w:pPr>
            <w:r>
              <w:rPr>
                <w:spacing w:val="-5"/>
                <w:sz w:val="16"/>
              </w:rPr>
              <w:t>659</w:t>
            </w:r>
          </w:p>
        </w:tc>
        <w:tc>
          <w:tcPr>
            <w:tcW w:w="936" w:type="dxa"/>
            <w:shd w:val="clear" w:color="auto" w:fill="D8D8D8"/>
          </w:tcPr>
          <w:p>
            <w:pPr>
              <w:pStyle w:val="TableParagraph"/>
              <w:spacing w:before="18"/>
              <w:ind w:right="47"/>
              <w:jc w:val="right"/>
              <w:rPr>
                <w:sz w:val="16"/>
              </w:rPr>
            </w:pPr>
            <w:r>
              <w:rPr>
                <w:spacing w:val="-4"/>
                <w:sz w:val="16"/>
              </w:rPr>
              <w:t>0.03</w:t>
            </w:r>
          </w:p>
        </w:tc>
        <w:tc>
          <w:tcPr>
            <w:tcW w:w="1044" w:type="dxa"/>
            <w:gridSpan w:val="2"/>
            <w:shd w:val="clear" w:color="auto" w:fill="D8D8D8"/>
          </w:tcPr>
          <w:p>
            <w:pPr>
              <w:pStyle w:val="TableParagraph"/>
              <w:spacing w:before="18"/>
              <w:ind w:left="643"/>
              <w:rPr>
                <w:sz w:val="16"/>
              </w:rPr>
            </w:pPr>
            <w:r>
              <w:rPr>
                <w:spacing w:val="-4"/>
                <w:sz w:val="16"/>
              </w:rPr>
              <w:t>79.5</w:t>
            </w:r>
          </w:p>
        </w:tc>
        <w:tc>
          <w:tcPr>
            <w:tcW w:w="830" w:type="dxa"/>
            <w:gridSpan w:val="2"/>
            <w:shd w:val="clear" w:color="auto" w:fill="D8D8D8"/>
          </w:tcPr>
          <w:p>
            <w:pPr>
              <w:pStyle w:val="TableParagraph"/>
              <w:spacing w:before="18"/>
              <w:ind w:left="543"/>
              <w:rPr>
                <w:sz w:val="16"/>
              </w:rPr>
            </w:pPr>
            <w:r>
              <w:rPr>
                <w:spacing w:val="-5"/>
                <w:sz w:val="16"/>
              </w:rPr>
              <w:t>2.3</w:t>
            </w:r>
          </w:p>
        </w:tc>
        <w:tc>
          <w:tcPr>
            <w:tcW w:w="984" w:type="dxa"/>
            <w:gridSpan w:val="2"/>
            <w:shd w:val="clear" w:color="auto" w:fill="D8D8D8"/>
          </w:tcPr>
          <w:p>
            <w:pPr>
              <w:pStyle w:val="TableParagraph"/>
              <w:spacing w:before="18"/>
              <w:ind w:left="599"/>
              <w:rPr>
                <w:sz w:val="16"/>
              </w:rPr>
            </w:pPr>
            <w:r>
              <w:rPr>
                <w:spacing w:val="-4"/>
                <w:sz w:val="16"/>
              </w:rPr>
              <w:t>77.2</w:t>
            </w:r>
          </w:p>
        </w:tc>
        <w:tc>
          <w:tcPr>
            <w:tcW w:w="1176" w:type="dxa"/>
            <w:shd w:val="clear" w:color="auto" w:fill="D8D8D8"/>
          </w:tcPr>
          <w:p>
            <w:pPr>
              <w:pStyle w:val="TableParagraph"/>
              <w:spacing w:before="18"/>
              <w:ind w:right="61"/>
              <w:jc w:val="right"/>
              <w:rPr>
                <w:sz w:val="16"/>
              </w:rPr>
            </w:pPr>
            <w:r>
              <w:rPr>
                <w:spacing w:val="-2"/>
                <w:sz w:val="16"/>
              </w:rPr>
              <w:t>1,478</w:t>
            </w:r>
          </w:p>
        </w:tc>
        <w:tc>
          <w:tcPr>
            <w:tcW w:w="1074" w:type="dxa"/>
            <w:shd w:val="clear" w:color="auto" w:fill="D8D8D8"/>
          </w:tcPr>
          <w:p>
            <w:pPr>
              <w:pStyle w:val="TableParagraph"/>
              <w:spacing w:before="18"/>
              <w:ind w:left="570"/>
              <w:rPr>
                <w:sz w:val="16"/>
              </w:rPr>
            </w:pPr>
            <w:r>
              <w:rPr>
                <w:spacing w:val="-4"/>
                <w:sz w:val="16"/>
              </w:rPr>
              <w:t>0.05</w:t>
            </w:r>
          </w:p>
        </w:tc>
      </w:tr>
      <w:tr>
        <w:trPr>
          <w:trHeight w:val="218" w:hRule="atLeast"/>
        </w:trPr>
        <w:tc>
          <w:tcPr>
            <w:tcW w:w="2505" w:type="dxa"/>
          </w:tcPr>
          <w:p>
            <w:pPr>
              <w:pStyle w:val="TableParagraph"/>
              <w:spacing w:before="11"/>
              <w:ind w:left="52"/>
              <w:rPr>
                <w:sz w:val="16"/>
              </w:rPr>
            </w:pPr>
            <w:r>
              <w:rPr>
                <w:spacing w:val="-2"/>
                <w:sz w:val="16"/>
              </w:rPr>
              <w:t>Argentina</w:t>
            </w:r>
          </w:p>
        </w:tc>
        <w:tc>
          <w:tcPr>
            <w:tcW w:w="861" w:type="dxa"/>
          </w:tcPr>
          <w:p>
            <w:pPr>
              <w:pStyle w:val="TableParagraph"/>
              <w:spacing w:before="11"/>
              <w:ind w:right="56"/>
              <w:jc w:val="right"/>
              <w:rPr>
                <w:sz w:val="16"/>
              </w:rPr>
            </w:pPr>
            <w:r>
              <w:rPr>
                <w:spacing w:val="-2"/>
                <w:sz w:val="16"/>
              </w:rPr>
              <w:t>28,060</w:t>
            </w:r>
          </w:p>
        </w:tc>
        <w:tc>
          <w:tcPr>
            <w:tcW w:w="936" w:type="dxa"/>
          </w:tcPr>
          <w:p>
            <w:pPr>
              <w:pStyle w:val="TableParagraph"/>
              <w:spacing w:before="11"/>
              <w:ind w:right="47"/>
              <w:jc w:val="right"/>
              <w:rPr>
                <w:sz w:val="16"/>
              </w:rPr>
            </w:pPr>
            <w:r>
              <w:rPr>
                <w:spacing w:val="-4"/>
                <w:sz w:val="16"/>
              </w:rPr>
              <w:t>1.07</w:t>
            </w:r>
          </w:p>
        </w:tc>
        <w:tc>
          <w:tcPr>
            <w:tcW w:w="1044" w:type="dxa"/>
            <w:gridSpan w:val="2"/>
          </w:tcPr>
          <w:p>
            <w:pPr>
              <w:pStyle w:val="TableParagraph"/>
              <w:spacing w:before="11"/>
              <w:ind w:left="421"/>
              <w:rPr>
                <w:sz w:val="16"/>
              </w:rPr>
            </w:pPr>
            <w:r>
              <w:rPr>
                <w:spacing w:val="-2"/>
                <w:sz w:val="16"/>
              </w:rPr>
              <w:t>3,385.0</w:t>
            </w:r>
          </w:p>
        </w:tc>
        <w:tc>
          <w:tcPr>
            <w:tcW w:w="830" w:type="dxa"/>
            <w:gridSpan w:val="2"/>
          </w:tcPr>
          <w:p>
            <w:pPr>
              <w:pStyle w:val="TableParagraph"/>
              <w:spacing w:before="11"/>
              <w:ind w:left="366"/>
              <w:rPr>
                <w:sz w:val="16"/>
              </w:rPr>
            </w:pPr>
            <w:r>
              <w:rPr>
                <w:spacing w:val="-2"/>
                <w:sz w:val="16"/>
              </w:rPr>
              <w:t>220.9</w:t>
            </w:r>
          </w:p>
        </w:tc>
        <w:tc>
          <w:tcPr>
            <w:tcW w:w="984" w:type="dxa"/>
            <w:gridSpan w:val="2"/>
          </w:tcPr>
          <w:p>
            <w:pPr>
              <w:pStyle w:val="TableParagraph"/>
              <w:spacing w:before="11"/>
              <w:ind w:left="377"/>
              <w:rPr>
                <w:sz w:val="16"/>
              </w:rPr>
            </w:pPr>
            <w:r>
              <w:rPr>
                <w:spacing w:val="-2"/>
                <w:sz w:val="16"/>
              </w:rPr>
              <w:t>3,164.1</w:t>
            </w:r>
          </w:p>
        </w:tc>
        <w:tc>
          <w:tcPr>
            <w:tcW w:w="1176" w:type="dxa"/>
          </w:tcPr>
          <w:p>
            <w:pPr>
              <w:pStyle w:val="TableParagraph"/>
              <w:spacing w:before="11"/>
              <w:ind w:right="61"/>
              <w:jc w:val="right"/>
              <w:rPr>
                <w:sz w:val="16"/>
              </w:rPr>
            </w:pPr>
            <w:r>
              <w:rPr>
                <w:spacing w:val="-2"/>
                <w:sz w:val="16"/>
              </w:rPr>
              <w:t>28,879</w:t>
            </w:r>
          </w:p>
        </w:tc>
        <w:tc>
          <w:tcPr>
            <w:tcW w:w="1074" w:type="dxa"/>
          </w:tcPr>
          <w:p>
            <w:pPr>
              <w:pStyle w:val="TableParagraph"/>
              <w:spacing w:before="11"/>
              <w:ind w:left="570"/>
              <w:rPr>
                <w:sz w:val="16"/>
              </w:rPr>
            </w:pPr>
            <w:r>
              <w:rPr>
                <w:spacing w:val="-4"/>
                <w:sz w:val="16"/>
              </w:rPr>
              <w:t>1.04</w:t>
            </w:r>
          </w:p>
        </w:tc>
      </w:tr>
      <w:tr>
        <w:trPr>
          <w:trHeight w:val="214" w:hRule="atLeast"/>
        </w:trPr>
        <w:tc>
          <w:tcPr>
            <w:tcW w:w="2505" w:type="dxa"/>
          </w:tcPr>
          <w:p>
            <w:pPr>
              <w:pStyle w:val="TableParagraph"/>
              <w:spacing w:line="176" w:lineRule="exact" w:before="18"/>
              <w:ind w:left="52"/>
              <w:rPr>
                <w:sz w:val="16"/>
              </w:rPr>
            </w:pPr>
            <w:r>
              <w:rPr>
                <w:spacing w:val="-2"/>
                <w:sz w:val="16"/>
              </w:rPr>
              <w:t>Armenia</w:t>
            </w:r>
          </w:p>
        </w:tc>
        <w:tc>
          <w:tcPr>
            <w:tcW w:w="861" w:type="dxa"/>
          </w:tcPr>
          <w:p>
            <w:pPr>
              <w:pStyle w:val="TableParagraph"/>
              <w:spacing w:line="176" w:lineRule="exact" w:before="18"/>
              <w:ind w:right="56"/>
              <w:jc w:val="right"/>
              <w:rPr>
                <w:sz w:val="16"/>
              </w:rPr>
            </w:pPr>
            <w:r>
              <w:rPr>
                <w:spacing w:val="-2"/>
                <w:sz w:val="16"/>
              </w:rPr>
              <w:t>2,006</w:t>
            </w:r>
          </w:p>
        </w:tc>
        <w:tc>
          <w:tcPr>
            <w:tcW w:w="936" w:type="dxa"/>
          </w:tcPr>
          <w:p>
            <w:pPr>
              <w:pStyle w:val="TableParagraph"/>
              <w:spacing w:line="176" w:lineRule="exact" w:before="18"/>
              <w:ind w:right="47"/>
              <w:jc w:val="right"/>
              <w:rPr>
                <w:sz w:val="16"/>
              </w:rPr>
            </w:pPr>
            <w:r>
              <w:rPr>
                <w:spacing w:val="-4"/>
                <w:sz w:val="16"/>
              </w:rPr>
              <w:t>0.08</w:t>
            </w:r>
          </w:p>
        </w:tc>
        <w:tc>
          <w:tcPr>
            <w:tcW w:w="1044" w:type="dxa"/>
            <w:gridSpan w:val="2"/>
          </w:tcPr>
          <w:p>
            <w:pPr>
              <w:pStyle w:val="TableParagraph"/>
              <w:spacing w:line="176" w:lineRule="exact" w:before="18"/>
              <w:ind w:left="555"/>
              <w:rPr>
                <w:sz w:val="16"/>
              </w:rPr>
            </w:pPr>
            <w:r>
              <w:rPr>
                <w:spacing w:val="-2"/>
                <w:sz w:val="16"/>
              </w:rPr>
              <w:t>242.0</w:t>
            </w:r>
          </w:p>
        </w:tc>
        <w:tc>
          <w:tcPr>
            <w:tcW w:w="830" w:type="dxa"/>
            <w:gridSpan w:val="2"/>
          </w:tcPr>
          <w:p>
            <w:pPr>
              <w:pStyle w:val="TableParagraph"/>
              <w:spacing w:line="176" w:lineRule="exact" w:before="18"/>
              <w:ind w:left="454"/>
              <w:rPr>
                <w:sz w:val="16"/>
              </w:rPr>
            </w:pPr>
            <w:r>
              <w:rPr>
                <w:spacing w:val="-4"/>
                <w:sz w:val="16"/>
              </w:rPr>
              <w:t>13.8</w:t>
            </w:r>
          </w:p>
        </w:tc>
        <w:tc>
          <w:tcPr>
            <w:tcW w:w="984" w:type="dxa"/>
            <w:gridSpan w:val="2"/>
          </w:tcPr>
          <w:p>
            <w:pPr>
              <w:pStyle w:val="TableParagraph"/>
              <w:spacing w:line="176" w:lineRule="exact" w:before="18"/>
              <w:ind w:left="511"/>
              <w:rPr>
                <w:sz w:val="16"/>
              </w:rPr>
            </w:pPr>
            <w:r>
              <w:rPr>
                <w:spacing w:val="-2"/>
                <w:sz w:val="16"/>
              </w:rPr>
              <w:t>228.2</w:t>
            </w:r>
          </w:p>
        </w:tc>
        <w:tc>
          <w:tcPr>
            <w:tcW w:w="1176" w:type="dxa"/>
          </w:tcPr>
          <w:p>
            <w:pPr>
              <w:pStyle w:val="TableParagraph"/>
              <w:spacing w:line="176" w:lineRule="exact" w:before="18"/>
              <w:ind w:right="61"/>
              <w:jc w:val="right"/>
              <w:rPr>
                <w:sz w:val="16"/>
              </w:rPr>
            </w:pPr>
            <w:r>
              <w:rPr>
                <w:spacing w:val="-2"/>
                <w:sz w:val="16"/>
              </w:rPr>
              <w:t>2,825</w:t>
            </w:r>
          </w:p>
        </w:tc>
        <w:tc>
          <w:tcPr>
            <w:tcW w:w="1074" w:type="dxa"/>
          </w:tcPr>
          <w:p>
            <w:pPr>
              <w:pStyle w:val="TableParagraph"/>
              <w:spacing w:line="176" w:lineRule="exact" w:before="18"/>
              <w:ind w:left="570"/>
              <w:rPr>
                <w:sz w:val="16"/>
              </w:rPr>
            </w:pPr>
            <w:r>
              <w:rPr>
                <w:spacing w:val="-4"/>
                <w:sz w:val="16"/>
              </w:rPr>
              <w:t>0.10</w:t>
            </w:r>
          </w:p>
        </w:tc>
      </w:tr>
      <w:tr>
        <w:trPr>
          <w:trHeight w:val="225" w:hRule="atLeast"/>
        </w:trPr>
        <w:tc>
          <w:tcPr>
            <w:tcW w:w="2505" w:type="dxa"/>
          </w:tcPr>
          <w:p>
            <w:pPr>
              <w:pStyle w:val="TableParagraph"/>
              <w:spacing w:line="176" w:lineRule="exact" w:before="28"/>
              <w:ind w:left="52"/>
              <w:rPr>
                <w:sz w:val="16"/>
              </w:rPr>
            </w:pPr>
            <w:r>
              <w:rPr>
                <w:sz w:val="16"/>
              </w:rPr>
              <w:t>Australia</w:t>
            </w:r>
            <w:r>
              <w:rPr>
                <w:spacing w:val="-5"/>
                <w:sz w:val="16"/>
              </w:rPr>
              <w:t> </w:t>
            </w:r>
            <w:r>
              <w:rPr>
                <w:spacing w:val="-10"/>
                <w:sz w:val="16"/>
                <w:vertAlign w:val="superscript"/>
              </w:rPr>
              <w:t>c</w:t>
            </w:r>
          </w:p>
        </w:tc>
        <w:tc>
          <w:tcPr>
            <w:tcW w:w="861" w:type="dxa"/>
          </w:tcPr>
          <w:p>
            <w:pPr>
              <w:pStyle w:val="TableParagraph"/>
              <w:spacing w:line="176" w:lineRule="exact" w:before="28"/>
              <w:ind w:right="56"/>
              <w:jc w:val="right"/>
              <w:rPr>
                <w:sz w:val="16"/>
              </w:rPr>
            </w:pPr>
            <w:r>
              <w:rPr>
                <w:spacing w:val="-2"/>
                <w:sz w:val="16"/>
              </w:rPr>
              <w:t>37,561</w:t>
            </w:r>
          </w:p>
        </w:tc>
        <w:tc>
          <w:tcPr>
            <w:tcW w:w="936" w:type="dxa"/>
          </w:tcPr>
          <w:p>
            <w:pPr>
              <w:pStyle w:val="TableParagraph"/>
              <w:spacing w:line="176" w:lineRule="exact" w:before="28"/>
              <w:ind w:right="47"/>
              <w:jc w:val="right"/>
              <w:rPr>
                <w:sz w:val="16"/>
              </w:rPr>
            </w:pPr>
            <w:r>
              <w:rPr>
                <w:spacing w:val="-4"/>
                <w:sz w:val="16"/>
              </w:rPr>
              <w:t>1.43</w:t>
            </w:r>
          </w:p>
        </w:tc>
        <w:tc>
          <w:tcPr>
            <w:tcW w:w="1044" w:type="dxa"/>
            <w:gridSpan w:val="2"/>
          </w:tcPr>
          <w:p>
            <w:pPr>
              <w:pStyle w:val="TableParagraph"/>
              <w:spacing w:line="176" w:lineRule="exact" w:before="28"/>
              <w:ind w:left="421"/>
              <w:rPr>
                <w:sz w:val="16"/>
              </w:rPr>
            </w:pPr>
            <w:r>
              <w:rPr>
                <w:spacing w:val="-2"/>
                <w:sz w:val="16"/>
              </w:rPr>
              <w:t>4,531.2</w:t>
            </w:r>
          </w:p>
        </w:tc>
        <w:tc>
          <w:tcPr>
            <w:tcW w:w="830" w:type="dxa"/>
            <w:gridSpan w:val="2"/>
          </w:tcPr>
          <w:p>
            <w:pPr>
              <w:pStyle w:val="TableParagraph"/>
              <w:spacing w:line="176" w:lineRule="exact" w:before="28"/>
              <w:ind w:left="366"/>
              <w:rPr>
                <w:sz w:val="16"/>
              </w:rPr>
            </w:pPr>
            <w:r>
              <w:rPr>
                <w:spacing w:val="-2"/>
                <w:sz w:val="16"/>
              </w:rPr>
              <w:t>320.4</w:t>
            </w:r>
          </w:p>
        </w:tc>
        <w:tc>
          <w:tcPr>
            <w:tcW w:w="984" w:type="dxa"/>
            <w:gridSpan w:val="2"/>
          </w:tcPr>
          <w:p>
            <w:pPr>
              <w:pStyle w:val="TableParagraph"/>
              <w:spacing w:line="176" w:lineRule="exact" w:before="28"/>
              <w:ind w:left="377"/>
              <w:rPr>
                <w:sz w:val="16"/>
              </w:rPr>
            </w:pPr>
            <w:r>
              <w:rPr>
                <w:spacing w:val="-2"/>
                <w:sz w:val="16"/>
              </w:rPr>
              <w:t>4,210.8</w:t>
            </w:r>
          </w:p>
        </w:tc>
        <w:tc>
          <w:tcPr>
            <w:tcW w:w="1176" w:type="dxa"/>
          </w:tcPr>
          <w:p>
            <w:pPr>
              <w:pStyle w:val="TableParagraph"/>
              <w:spacing w:line="176" w:lineRule="exact" w:before="28"/>
              <w:ind w:right="61"/>
              <w:jc w:val="right"/>
              <w:rPr>
                <w:sz w:val="16"/>
              </w:rPr>
            </w:pPr>
            <w:r>
              <w:rPr>
                <w:spacing w:val="-2"/>
                <w:sz w:val="16"/>
              </w:rPr>
              <w:t>38,380</w:t>
            </w:r>
          </w:p>
        </w:tc>
        <w:tc>
          <w:tcPr>
            <w:tcW w:w="1074" w:type="dxa"/>
          </w:tcPr>
          <w:p>
            <w:pPr>
              <w:pStyle w:val="TableParagraph"/>
              <w:spacing w:line="176" w:lineRule="exact" w:before="28"/>
              <w:ind w:left="570"/>
              <w:rPr>
                <w:sz w:val="16"/>
              </w:rPr>
            </w:pPr>
            <w:r>
              <w:rPr>
                <w:spacing w:val="-4"/>
                <w:sz w:val="16"/>
              </w:rPr>
              <w:t>1.38</w:t>
            </w:r>
          </w:p>
        </w:tc>
      </w:tr>
      <w:tr>
        <w:trPr>
          <w:trHeight w:val="235" w:hRule="atLeast"/>
        </w:trPr>
        <w:tc>
          <w:tcPr>
            <w:tcW w:w="2505" w:type="dxa"/>
          </w:tcPr>
          <w:p>
            <w:pPr>
              <w:pStyle w:val="TableParagraph"/>
              <w:spacing w:before="28"/>
              <w:ind w:left="52"/>
              <w:rPr>
                <w:sz w:val="16"/>
              </w:rPr>
            </w:pPr>
            <w:r>
              <w:rPr>
                <w:sz w:val="16"/>
              </w:rPr>
              <w:t>Austria</w:t>
            </w:r>
            <w:r>
              <w:rPr>
                <w:spacing w:val="-5"/>
                <w:sz w:val="16"/>
              </w:rPr>
              <w:t> </w:t>
            </w:r>
            <w:r>
              <w:rPr>
                <w:spacing w:val="-10"/>
                <w:sz w:val="16"/>
                <w:vertAlign w:val="superscript"/>
              </w:rPr>
              <w:t>c</w:t>
            </w:r>
          </w:p>
        </w:tc>
        <w:tc>
          <w:tcPr>
            <w:tcW w:w="861" w:type="dxa"/>
          </w:tcPr>
          <w:p>
            <w:pPr>
              <w:pStyle w:val="TableParagraph"/>
              <w:spacing w:before="28"/>
              <w:ind w:right="56"/>
              <w:jc w:val="right"/>
              <w:rPr>
                <w:sz w:val="16"/>
              </w:rPr>
            </w:pPr>
            <w:r>
              <w:rPr>
                <w:spacing w:val="-2"/>
                <w:sz w:val="16"/>
              </w:rPr>
              <w:t>18,143</w:t>
            </w:r>
          </w:p>
        </w:tc>
        <w:tc>
          <w:tcPr>
            <w:tcW w:w="936" w:type="dxa"/>
          </w:tcPr>
          <w:p>
            <w:pPr>
              <w:pStyle w:val="TableParagraph"/>
              <w:spacing w:before="28"/>
              <w:ind w:right="47"/>
              <w:jc w:val="right"/>
              <w:rPr>
                <w:sz w:val="16"/>
              </w:rPr>
            </w:pPr>
            <w:r>
              <w:rPr>
                <w:spacing w:val="-4"/>
                <w:sz w:val="16"/>
              </w:rPr>
              <w:t>0.69</w:t>
            </w:r>
          </w:p>
        </w:tc>
        <w:tc>
          <w:tcPr>
            <w:tcW w:w="1044" w:type="dxa"/>
            <w:gridSpan w:val="2"/>
          </w:tcPr>
          <w:p>
            <w:pPr>
              <w:pStyle w:val="TableParagraph"/>
              <w:spacing w:before="28"/>
              <w:ind w:left="421"/>
              <w:rPr>
                <w:sz w:val="16"/>
              </w:rPr>
            </w:pPr>
            <w:r>
              <w:rPr>
                <w:spacing w:val="-2"/>
                <w:sz w:val="16"/>
              </w:rPr>
              <w:t>2,188.7</w:t>
            </w:r>
          </w:p>
        </w:tc>
        <w:tc>
          <w:tcPr>
            <w:tcW w:w="830" w:type="dxa"/>
            <w:gridSpan w:val="2"/>
          </w:tcPr>
          <w:p>
            <w:pPr>
              <w:pStyle w:val="TableParagraph"/>
              <w:spacing w:before="28"/>
              <w:ind w:left="366"/>
              <w:rPr>
                <w:sz w:val="16"/>
              </w:rPr>
            </w:pPr>
            <w:r>
              <w:rPr>
                <w:spacing w:val="-2"/>
                <w:sz w:val="16"/>
              </w:rPr>
              <w:t>157.4</w:t>
            </w:r>
          </w:p>
        </w:tc>
        <w:tc>
          <w:tcPr>
            <w:tcW w:w="984" w:type="dxa"/>
            <w:gridSpan w:val="2"/>
          </w:tcPr>
          <w:p>
            <w:pPr>
              <w:pStyle w:val="TableParagraph"/>
              <w:spacing w:before="28"/>
              <w:ind w:left="377"/>
              <w:rPr>
                <w:sz w:val="16"/>
              </w:rPr>
            </w:pPr>
            <w:r>
              <w:rPr>
                <w:spacing w:val="-2"/>
                <w:sz w:val="16"/>
              </w:rPr>
              <w:t>2,031.3</w:t>
            </w:r>
          </w:p>
        </w:tc>
        <w:tc>
          <w:tcPr>
            <w:tcW w:w="1176" w:type="dxa"/>
          </w:tcPr>
          <w:p>
            <w:pPr>
              <w:pStyle w:val="TableParagraph"/>
              <w:spacing w:before="28"/>
              <w:ind w:right="61"/>
              <w:jc w:val="right"/>
              <w:rPr>
                <w:sz w:val="16"/>
              </w:rPr>
            </w:pPr>
            <w:r>
              <w:rPr>
                <w:spacing w:val="-2"/>
                <w:sz w:val="16"/>
              </w:rPr>
              <w:t>18,962</w:t>
            </w:r>
          </w:p>
        </w:tc>
        <w:tc>
          <w:tcPr>
            <w:tcW w:w="1074" w:type="dxa"/>
          </w:tcPr>
          <w:p>
            <w:pPr>
              <w:pStyle w:val="TableParagraph"/>
              <w:spacing w:before="28"/>
              <w:ind w:left="570"/>
              <w:rPr>
                <w:sz w:val="16"/>
              </w:rPr>
            </w:pPr>
            <w:r>
              <w:rPr>
                <w:spacing w:val="-4"/>
                <w:sz w:val="16"/>
              </w:rPr>
              <w:t>0.68</w:t>
            </w:r>
          </w:p>
        </w:tc>
      </w:tr>
      <w:tr>
        <w:trPr>
          <w:trHeight w:val="231" w:hRule="atLeast"/>
        </w:trPr>
        <w:tc>
          <w:tcPr>
            <w:tcW w:w="2505" w:type="dxa"/>
          </w:tcPr>
          <w:p>
            <w:pPr>
              <w:pStyle w:val="TableParagraph"/>
              <w:spacing w:before="18"/>
              <w:ind w:left="52"/>
              <w:rPr>
                <w:sz w:val="16"/>
              </w:rPr>
            </w:pPr>
            <w:r>
              <w:rPr>
                <w:spacing w:val="-2"/>
                <w:sz w:val="16"/>
              </w:rPr>
              <w:t>Azerbaijan</w:t>
            </w:r>
          </w:p>
        </w:tc>
        <w:tc>
          <w:tcPr>
            <w:tcW w:w="861" w:type="dxa"/>
          </w:tcPr>
          <w:p>
            <w:pPr>
              <w:pStyle w:val="TableParagraph"/>
              <w:spacing w:before="18"/>
              <w:ind w:right="56"/>
              <w:jc w:val="right"/>
              <w:rPr>
                <w:sz w:val="16"/>
              </w:rPr>
            </w:pPr>
            <w:r>
              <w:rPr>
                <w:spacing w:val="-2"/>
                <w:sz w:val="16"/>
              </w:rPr>
              <w:t>2,749</w:t>
            </w:r>
          </w:p>
        </w:tc>
        <w:tc>
          <w:tcPr>
            <w:tcW w:w="936" w:type="dxa"/>
          </w:tcPr>
          <w:p>
            <w:pPr>
              <w:pStyle w:val="TableParagraph"/>
              <w:spacing w:before="18"/>
              <w:ind w:right="47"/>
              <w:jc w:val="right"/>
              <w:rPr>
                <w:sz w:val="16"/>
              </w:rPr>
            </w:pPr>
            <w:r>
              <w:rPr>
                <w:spacing w:val="-4"/>
                <w:sz w:val="16"/>
              </w:rPr>
              <w:t>0.10</w:t>
            </w:r>
          </w:p>
        </w:tc>
        <w:tc>
          <w:tcPr>
            <w:tcW w:w="1044" w:type="dxa"/>
            <w:gridSpan w:val="2"/>
          </w:tcPr>
          <w:p>
            <w:pPr>
              <w:pStyle w:val="TableParagraph"/>
              <w:spacing w:before="18"/>
              <w:ind w:left="555"/>
              <w:rPr>
                <w:sz w:val="16"/>
              </w:rPr>
            </w:pPr>
            <w:r>
              <w:rPr>
                <w:spacing w:val="-2"/>
                <w:sz w:val="16"/>
              </w:rPr>
              <w:t>331.6</w:t>
            </w:r>
          </w:p>
        </w:tc>
        <w:tc>
          <w:tcPr>
            <w:tcW w:w="830" w:type="dxa"/>
            <w:gridSpan w:val="2"/>
          </w:tcPr>
          <w:p>
            <w:pPr>
              <w:pStyle w:val="TableParagraph"/>
              <w:spacing w:before="18"/>
              <w:ind w:left="454"/>
              <w:rPr>
                <w:sz w:val="16"/>
              </w:rPr>
            </w:pPr>
            <w:r>
              <w:rPr>
                <w:spacing w:val="-4"/>
                <w:sz w:val="16"/>
              </w:rPr>
              <w:t>19.1</w:t>
            </w:r>
          </w:p>
        </w:tc>
        <w:tc>
          <w:tcPr>
            <w:tcW w:w="984" w:type="dxa"/>
            <w:gridSpan w:val="2"/>
          </w:tcPr>
          <w:p>
            <w:pPr>
              <w:pStyle w:val="TableParagraph"/>
              <w:spacing w:before="18"/>
              <w:ind w:left="511"/>
              <w:rPr>
                <w:sz w:val="16"/>
              </w:rPr>
            </w:pPr>
            <w:r>
              <w:rPr>
                <w:spacing w:val="-2"/>
                <w:sz w:val="16"/>
              </w:rPr>
              <w:t>312.5</w:t>
            </w:r>
          </w:p>
        </w:tc>
        <w:tc>
          <w:tcPr>
            <w:tcW w:w="1176" w:type="dxa"/>
          </w:tcPr>
          <w:p>
            <w:pPr>
              <w:pStyle w:val="TableParagraph"/>
              <w:spacing w:before="18"/>
              <w:ind w:right="61"/>
              <w:jc w:val="right"/>
              <w:rPr>
                <w:sz w:val="16"/>
              </w:rPr>
            </w:pPr>
            <w:r>
              <w:rPr>
                <w:spacing w:val="-2"/>
                <w:sz w:val="16"/>
              </w:rPr>
              <w:t>3,568</w:t>
            </w:r>
          </w:p>
        </w:tc>
        <w:tc>
          <w:tcPr>
            <w:tcW w:w="1074" w:type="dxa"/>
          </w:tcPr>
          <w:p>
            <w:pPr>
              <w:pStyle w:val="TableParagraph"/>
              <w:spacing w:before="18"/>
              <w:ind w:left="570"/>
              <w:rPr>
                <w:sz w:val="16"/>
              </w:rPr>
            </w:pPr>
            <w:r>
              <w:rPr>
                <w:spacing w:val="-4"/>
                <w:sz w:val="16"/>
              </w:rPr>
              <w:t>0.13</w:t>
            </w:r>
          </w:p>
        </w:tc>
      </w:tr>
      <w:tr>
        <w:trPr>
          <w:trHeight w:val="218" w:hRule="atLeast"/>
        </w:trPr>
        <w:tc>
          <w:tcPr>
            <w:tcW w:w="2505" w:type="dxa"/>
            <w:shd w:val="clear" w:color="auto" w:fill="D9D9D9"/>
          </w:tcPr>
          <w:p>
            <w:pPr>
              <w:pStyle w:val="TableParagraph"/>
              <w:spacing w:before="11"/>
              <w:ind w:left="52"/>
              <w:rPr>
                <w:sz w:val="16"/>
              </w:rPr>
            </w:pPr>
            <w:r>
              <w:rPr>
                <w:sz w:val="16"/>
              </w:rPr>
              <w:t>Bahamas,</w:t>
            </w:r>
            <w:r>
              <w:rPr>
                <w:spacing w:val="-7"/>
                <w:sz w:val="16"/>
              </w:rPr>
              <w:t> </w:t>
            </w:r>
            <w:r>
              <w:rPr>
                <w:spacing w:val="-5"/>
                <w:sz w:val="16"/>
              </w:rPr>
              <w:t>The</w:t>
            </w:r>
          </w:p>
        </w:tc>
        <w:tc>
          <w:tcPr>
            <w:tcW w:w="861" w:type="dxa"/>
            <w:shd w:val="clear" w:color="auto" w:fill="D9D9D9"/>
          </w:tcPr>
          <w:p>
            <w:pPr>
              <w:pStyle w:val="TableParagraph"/>
              <w:spacing w:before="11"/>
              <w:ind w:right="56"/>
              <w:jc w:val="right"/>
              <w:rPr>
                <w:sz w:val="16"/>
              </w:rPr>
            </w:pPr>
            <w:r>
              <w:rPr>
                <w:spacing w:val="-2"/>
                <w:sz w:val="16"/>
              </w:rPr>
              <w:t>1,452</w:t>
            </w:r>
          </w:p>
        </w:tc>
        <w:tc>
          <w:tcPr>
            <w:tcW w:w="936" w:type="dxa"/>
            <w:shd w:val="clear" w:color="auto" w:fill="D9D9D9"/>
          </w:tcPr>
          <w:p>
            <w:pPr>
              <w:pStyle w:val="TableParagraph"/>
              <w:spacing w:before="11"/>
              <w:ind w:right="47"/>
              <w:jc w:val="right"/>
              <w:rPr>
                <w:sz w:val="16"/>
              </w:rPr>
            </w:pPr>
            <w:r>
              <w:rPr>
                <w:spacing w:val="-4"/>
                <w:sz w:val="16"/>
              </w:rPr>
              <w:t>0.06</w:t>
            </w:r>
          </w:p>
        </w:tc>
        <w:tc>
          <w:tcPr>
            <w:tcW w:w="1044" w:type="dxa"/>
            <w:gridSpan w:val="2"/>
            <w:shd w:val="clear" w:color="auto" w:fill="D9D9D9"/>
          </w:tcPr>
          <w:p>
            <w:pPr>
              <w:pStyle w:val="TableParagraph"/>
              <w:spacing w:before="11"/>
              <w:ind w:left="555"/>
              <w:rPr>
                <w:sz w:val="16"/>
              </w:rPr>
            </w:pPr>
            <w:r>
              <w:rPr>
                <w:spacing w:val="-2"/>
                <w:sz w:val="16"/>
              </w:rPr>
              <w:t>175.2</w:t>
            </w:r>
          </w:p>
        </w:tc>
        <w:tc>
          <w:tcPr>
            <w:tcW w:w="830" w:type="dxa"/>
            <w:gridSpan w:val="2"/>
            <w:shd w:val="clear" w:color="auto" w:fill="D9D9D9"/>
          </w:tcPr>
          <w:p>
            <w:pPr>
              <w:pStyle w:val="TableParagraph"/>
              <w:spacing w:before="11"/>
              <w:ind w:left="543"/>
              <w:rPr>
                <w:sz w:val="16"/>
              </w:rPr>
            </w:pPr>
            <w:r>
              <w:rPr>
                <w:spacing w:val="-5"/>
                <w:sz w:val="16"/>
              </w:rPr>
              <w:t>9.0</w:t>
            </w:r>
          </w:p>
        </w:tc>
        <w:tc>
          <w:tcPr>
            <w:tcW w:w="984" w:type="dxa"/>
            <w:gridSpan w:val="2"/>
            <w:shd w:val="clear" w:color="auto" w:fill="D9D9D9"/>
          </w:tcPr>
          <w:p>
            <w:pPr>
              <w:pStyle w:val="TableParagraph"/>
              <w:spacing w:before="11"/>
              <w:ind w:left="511"/>
              <w:rPr>
                <w:sz w:val="16"/>
              </w:rPr>
            </w:pPr>
            <w:r>
              <w:rPr>
                <w:spacing w:val="-2"/>
                <w:sz w:val="16"/>
              </w:rPr>
              <w:t>166.1</w:t>
            </w:r>
          </w:p>
        </w:tc>
        <w:tc>
          <w:tcPr>
            <w:tcW w:w="1176" w:type="dxa"/>
            <w:shd w:val="clear" w:color="auto" w:fill="D9D9D9"/>
          </w:tcPr>
          <w:p>
            <w:pPr>
              <w:pStyle w:val="TableParagraph"/>
              <w:spacing w:before="11"/>
              <w:ind w:right="61"/>
              <w:jc w:val="right"/>
              <w:rPr>
                <w:sz w:val="16"/>
              </w:rPr>
            </w:pPr>
            <w:r>
              <w:rPr>
                <w:spacing w:val="-2"/>
                <w:sz w:val="16"/>
              </w:rPr>
              <w:t>2,271</w:t>
            </w:r>
          </w:p>
        </w:tc>
        <w:tc>
          <w:tcPr>
            <w:tcW w:w="1074" w:type="dxa"/>
            <w:shd w:val="clear" w:color="auto" w:fill="D9D9D9"/>
          </w:tcPr>
          <w:p>
            <w:pPr>
              <w:pStyle w:val="TableParagraph"/>
              <w:spacing w:before="11"/>
              <w:ind w:left="570"/>
              <w:rPr>
                <w:sz w:val="16"/>
              </w:rPr>
            </w:pPr>
            <w:r>
              <w:rPr>
                <w:spacing w:val="-4"/>
                <w:sz w:val="16"/>
              </w:rPr>
              <w:t>0.08</w:t>
            </w:r>
          </w:p>
        </w:tc>
      </w:tr>
      <w:tr>
        <w:trPr>
          <w:trHeight w:val="225" w:hRule="atLeast"/>
        </w:trPr>
        <w:tc>
          <w:tcPr>
            <w:tcW w:w="2505" w:type="dxa"/>
            <w:shd w:val="clear" w:color="auto" w:fill="D9D9D9"/>
          </w:tcPr>
          <w:p>
            <w:pPr>
              <w:pStyle w:val="TableParagraph"/>
              <w:spacing w:before="18"/>
              <w:ind w:left="52"/>
              <w:rPr>
                <w:sz w:val="16"/>
              </w:rPr>
            </w:pPr>
            <w:r>
              <w:rPr>
                <w:spacing w:val="-2"/>
                <w:sz w:val="16"/>
              </w:rPr>
              <w:t>Bahrain</w:t>
            </w:r>
          </w:p>
        </w:tc>
        <w:tc>
          <w:tcPr>
            <w:tcW w:w="861" w:type="dxa"/>
            <w:shd w:val="clear" w:color="auto" w:fill="D9D9D9"/>
          </w:tcPr>
          <w:p>
            <w:pPr>
              <w:pStyle w:val="TableParagraph"/>
              <w:spacing w:before="18"/>
              <w:ind w:right="56"/>
              <w:jc w:val="right"/>
              <w:rPr>
                <w:sz w:val="16"/>
              </w:rPr>
            </w:pPr>
            <w:r>
              <w:rPr>
                <w:spacing w:val="-2"/>
                <w:sz w:val="16"/>
              </w:rPr>
              <w:t>1,648</w:t>
            </w:r>
          </w:p>
        </w:tc>
        <w:tc>
          <w:tcPr>
            <w:tcW w:w="936" w:type="dxa"/>
            <w:shd w:val="clear" w:color="auto" w:fill="D9D9D9"/>
          </w:tcPr>
          <w:p>
            <w:pPr>
              <w:pStyle w:val="TableParagraph"/>
              <w:spacing w:before="18"/>
              <w:ind w:right="47"/>
              <w:jc w:val="right"/>
              <w:rPr>
                <w:sz w:val="16"/>
              </w:rPr>
            </w:pPr>
            <w:r>
              <w:rPr>
                <w:spacing w:val="-4"/>
                <w:sz w:val="16"/>
              </w:rPr>
              <w:t>0.06</w:t>
            </w:r>
          </w:p>
        </w:tc>
        <w:tc>
          <w:tcPr>
            <w:tcW w:w="1044" w:type="dxa"/>
            <w:gridSpan w:val="2"/>
            <w:shd w:val="clear" w:color="auto" w:fill="D9D9D9"/>
          </w:tcPr>
          <w:p>
            <w:pPr>
              <w:pStyle w:val="TableParagraph"/>
              <w:spacing w:before="18"/>
              <w:ind w:left="555"/>
              <w:rPr>
                <w:sz w:val="16"/>
              </w:rPr>
            </w:pPr>
            <w:r>
              <w:rPr>
                <w:spacing w:val="-2"/>
                <w:sz w:val="16"/>
              </w:rPr>
              <w:t>198.8</w:t>
            </w:r>
          </w:p>
        </w:tc>
        <w:tc>
          <w:tcPr>
            <w:tcW w:w="830" w:type="dxa"/>
            <w:gridSpan w:val="2"/>
            <w:shd w:val="clear" w:color="auto" w:fill="D9D9D9"/>
          </w:tcPr>
          <w:p>
            <w:pPr>
              <w:pStyle w:val="TableParagraph"/>
              <w:spacing w:before="18"/>
              <w:ind w:left="454"/>
              <w:rPr>
                <w:sz w:val="16"/>
              </w:rPr>
            </w:pPr>
            <w:r>
              <w:rPr>
                <w:spacing w:val="-4"/>
                <w:sz w:val="16"/>
              </w:rPr>
              <w:t>11.9</w:t>
            </w:r>
          </w:p>
        </w:tc>
        <w:tc>
          <w:tcPr>
            <w:tcW w:w="984" w:type="dxa"/>
            <w:gridSpan w:val="2"/>
            <w:shd w:val="clear" w:color="auto" w:fill="D9D9D9"/>
          </w:tcPr>
          <w:p>
            <w:pPr>
              <w:pStyle w:val="TableParagraph"/>
              <w:spacing w:before="18"/>
              <w:ind w:left="511"/>
              <w:rPr>
                <w:sz w:val="16"/>
              </w:rPr>
            </w:pPr>
            <w:r>
              <w:rPr>
                <w:spacing w:val="-2"/>
                <w:sz w:val="16"/>
              </w:rPr>
              <w:t>186.9</w:t>
            </w:r>
          </w:p>
        </w:tc>
        <w:tc>
          <w:tcPr>
            <w:tcW w:w="1176" w:type="dxa"/>
            <w:shd w:val="clear" w:color="auto" w:fill="D9D9D9"/>
          </w:tcPr>
          <w:p>
            <w:pPr>
              <w:pStyle w:val="TableParagraph"/>
              <w:spacing w:before="18"/>
              <w:ind w:right="61"/>
              <w:jc w:val="right"/>
              <w:rPr>
                <w:sz w:val="16"/>
              </w:rPr>
            </w:pPr>
            <w:r>
              <w:rPr>
                <w:spacing w:val="-2"/>
                <w:sz w:val="16"/>
              </w:rPr>
              <w:t>2,467</w:t>
            </w:r>
          </w:p>
        </w:tc>
        <w:tc>
          <w:tcPr>
            <w:tcW w:w="1074" w:type="dxa"/>
            <w:shd w:val="clear" w:color="auto" w:fill="D9D9D9"/>
          </w:tcPr>
          <w:p>
            <w:pPr>
              <w:pStyle w:val="TableParagraph"/>
              <w:spacing w:before="18"/>
              <w:ind w:left="570"/>
              <w:rPr>
                <w:sz w:val="16"/>
              </w:rPr>
            </w:pPr>
            <w:r>
              <w:rPr>
                <w:spacing w:val="-4"/>
                <w:sz w:val="16"/>
              </w:rPr>
              <w:t>0.09</w:t>
            </w:r>
          </w:p>
        </w:tc>
      </w:tr>
      <w:tr>
        <w:trPr>
          <w:trHeight w:val="225" w:hRule="atLeast"/>
        </w:trPr>
        <w:tc>
          <w:tcPr>
            <w:tcW w:w="2505" w:type="dxa"/>
            <w:shd w:val="clear" w:color="auto" w:fill="D9D9D9"/>
          </w:tcPr>
          <w:p>
            <w:pPr>
              <w:pStyle w:val="TableParagraph"/>
              <w:spacing w:before="18"/>
              <w:ind w:left="52"/>
              <w:rPr>
                <w:sz w:val="16"/>
              </w:rPr>
            </w:pPr>
            <w:r>
              <w:rPr>
                <w:spacing w:val="-2"/>
                <w:sz w:val="16"/>
              </w:rPr>
              <w:t>Bangladesh</w:t>
            </w:r>
          </w:p>
        </w:tc>
        <w:tc>
          <w:tcPr>
            <w:tcW w:w="861" w:type="dxa"/>
            <w:shd w:val="clear" w:color="auto" w:fill="D9D9D9"/>
          </w:tcPr>
          <w:p>
            <w:pPr>
              <w:pStyle w:val="TableParagraph"/>
              <w:spacing w:before="18"/>
              <w:ind w:right="56"/>
              <w:jc w:val="right"/>
              <w:rPr>
                <w:sz w:val="16"/>
              </w:rPr>
            </w:pPr>
            <w:r>
              <w:rPr>
                <w:spacing w:val="-2"/>
                <w:sz w:val="16"/>
              </w:rPr>
              <w:t>7,884</w:t>
            </w:r>
          </w:p>
        </w:tc>
        <w:tc>
          <w:tcPr>
            <w:tcW w:w="936" w:type="dxa"/>
            <w:shd w:val="clear" w:color="auto" w:fill="D9D9D9"/>
          </w:tcPr>
          <w:p>
            <w:pPr>
              <w:pStyle w:val="TableParagraph"/>
              <w:spacing w:before="18"/>
              <w:ind w:right="47"/>
              <w:jc w:val="right"/>
              <w:rPr>
                <w:sz w:val="16"/>
              </w:rPr>
            </w:pPr>
            <w:r>
              <w:rPr>
                <w:spacing w:val="-4"/>
                <w:sz w:val="16"/>
              </w:rPr>
              <w:t>0.30</w:t>
            </w:r>
          </w:p>
        </w:tc>
        <w:tc>
          <w:tcPr>
            <w:tcW w:w="1044" w:type="dxa"/>
            <w:gridSpan w:val="2"/>
            <w:shd w:val="clear" w:color="auto" w:fill="D9D9D9"/>
          </w:tcPr>
          <w:p>
            <w:pPr>
              <w:pStyle w:val="TableParagraph"/>
              <w:spacing w:before="18"/>
              <w:ind w:left="555"/>
              <w:rPr>
                <w:sz w:val="16"/>
              </w:rPr>
            </w:pPr>
            <w:r>
              <w:rPr>
                <w:spacing w:val="-2"/>
                <w:sz w:val="16"/>
              </w:rPr>
              <w:t>951.1</w:t>
            </w:r>
          </w:p>
        </w:tc>
        <w:tc>
          <w:tcPr>
            <w:tcW w:w="830" w:type="dxa"/>
            <w:gridSpan w:val="2"/>
            <w:shd w:val="clear" w:color="auto" w:fill="D9D9D9"/>
          </w:tcPr>
          <w:p>
            <w:pPr>
              <w:pStyle w:val="TableParagraph"/>
              <w:spacing w:before="18"/>
              <w:ind w:left="454"/>
              <w:rPr>
                <w:sz w:val="16"/>
              </w:rPr>
            </w:pPr>
            <w:r>
              <w:rPr>
                <w:spacing w:val="-4"/>
                <w:sz w:val="16"/>
              </w:rPr>
              <w:t>65.1</w:t>
            </w:r>
          </w:p>
        </w:tc>
        <w:tc>
          <w:tcPr>
            <w:tcW w:w="984" w:type="dxa"/>
            <w:gridSpan w:val="2"/>
            <w:shd w:val="clear" w:color="auto" w:fill="D9D9D9"/>
          </w:tcPr>
          <w:p>
            <w:pPr>
              <w:pStyle w:val="TableParagraph"/>
              <w:spacing w:before="18"/>
              <w:ind w:left="511"/>
              <w:rPr>
                <w:sz w:val="16"/>
              </w:rPr>
            </w:pPr>
            <w:r>
              <w:rPr>
                <w:spacing w:val="-2"/>
                <w:sz w:val="16"/>
              </w:rPr>
              <w:t>886.0</w:t>
            </w:r>
          </w:p>
        </w:tc>
        <w:tc>
          <w:tcPr>
            <w:tcW w:w="1176" w:type="dxa"/>
            <w:shd w:val="clear" w:color="auto" w:fill="D9D9D9"/>
          </w:tcPr>
          <w:p>
            <w:pPr>
              <w:pStyle w:val="TableParagraph"/>
              <w:spacing w:before="18"/>
              <w:ind w:right="61"/>
              <w:jc w:val="right"/>
              <w:rPr>
                <w:sz w:val="16"/>
              </w:rPr>
            </w:pPr>
            <w:r>
              <w:rPr>
                <w:spacing w:val="-2"/>
                <w:sz w:val="16"/>
              </w:rPr>
              <w:t>8,703</w:t>
            </w:r>
          </w:p>
        </w:tc>
        <w:tc>
          <w:tcPr>
            <w:tcW w:w="1074" w:type="dxa"/>
            <w:shd w:val="clear" w:color="auto" w:fill="D9D9D9"/>
          </w:tcPr>
          <w:p>
            <w:pPr>
              <w:pStyle w:val="TableParagraph"/>
              <w:spacing w:before="18"/>
              <w:ind w:left="570"/>
              <w:rPr>
                <w:sz w:val="16"/>
              </w:rPr>
            </w:pPr>
            <w:r>
              <w:rPr>
                <w:spacing w:val="-4"/>
                <w:sz w:val="16"/>
              </w:rPr>
              <w:t>0.31</w:t>
            </w:r>
          </w:p>
        </w:tc>
      </w:tr>
      <w:tr>
        <w:trPr>
          <w:trHeight w:val="225" w:hRule="atLeast"/>
        </w:trPr>
        <w:tc>
          <w:tcPr>
            <w:tcW w:w="2505" w:type="dxa"/>
            <w:shd w:val="clear" w:color="auto" w:fill="D9D9D9"/>
          </w:tcPr>
          <w:p>
            <w:pPr>
              <w:pStyle w:val="TableParagraph"/>
              <w:spacing w:before="18"/>
              <w:ind w:left="52"/>
              <w:rPr>
                <w:sz w:val="16"/>
              </w:rPr>
            </w:pPr>
            <w:r>
              <w:rPr>
                <w:spacing w:val="-2"/>
                <w:sz w:val="16"/>
              </w:rPr>
              <w:t>Barbados</w:t>
            </w:r>
          </w:p>
        </w:tc>
        <w:tc>
          <w:tcPr>
            <w:tcW w:w="861" w:type="dxa"/>
            <w:shd w:val="clear" w:color="auto" w:fill="D9D9D9"/>
          </w:tcPr>
          <w:p>
            <w:pPr>
              <w:pStyle w:val="TableParagraph"/>
              <w:spacing w:before="18"/>
              <w:ind w:right="56"/>
              <w:jc w:val="right"/>
              <w:rPr>
                <w:sz w:val="16"/>
              </w:rPr>
            </w:pPr>
            <w:r>
              <w:rPr>
                <w:spacing w:val="-5"/>
                <w:sz w:val="16"/>
              </w:rPr>
              <w:t>948</w:t>
            </w:r>
          </w:p>
        </w:tc>
        <w:tc>
          <w:tcPr>
            <w:tcW w:w="936" w:type="dxa"/>
            <w:shd w:val="clear" w:color="auto" w:fill="D9D9D9"/>
          </w:tcPr>
          <w:p>
            <w:pPr>
              <w:pStyle w:val="TableParagraph"/>
              <w:spacing w:before="18"/>
              <w:ind w:right="47"/>
              <w:jc w:val="right"/>
              <w:rPr>
                <w:sz w:val="16"/>
              </w:rPr>
            </w:pPr>
            <w:r>
              <w:rPr>
                <w:spacing w:val="-4"/>
                <w:sz w:val="16"/>
              </w:rPr>
              <w:t>0.04</w:t>
            </w:r>
          </w:p>
        </w:tc>
        <w:tc>
          <w:tcPr>
            <w:tcW w:w="1044" w:type="dxa"/>
            <w:gridSpan w:val="2"/>
            <w:shd w:val="clear" w:color="auto" w:fill="D9D9D9"/>
          </w:tcPr>
          <w:p>
            <w:pPr>
              <w:pStyle w:val="TableParagraph"/>
              <w:spacing w:before="18"/>
              <w:ind w:left="555"/>
              <w:rPr>
                <w:sz w:val="16"/>
              </w:rPr>
            </w:pPr>
            <w:r>
              <w:rPr>
                <w:spacing w:val="-2"/>
                <w:sz w:val="16"/>
              </w:rPr>
              <w:t>114.4</w:t>
            </w:r>
          </w:p>
        </w:tc>
        <w:tc>
          <w:tcPr>
            <w:tcW w:w="830" w:type="dxa"/>
            <w:gridSpan w:val="2"/>
            <w:shd w:val="clear" w:color="auto" w:fill="D9D9D9"/>
          </w:tcPr>
          <w:p>
            <w:pPr>
              <w:pStyle w:val="TableParagraph"/>
              <w:spacing w:before="18"/>
              <w:ind w:left="543"/>
              <w:rPr>
                <w:sz w:val="16"/>
              </w:rPr>
            </w:pPr>
            <w:r>
              <w:rPr>
                <w:spacing w:val="-5"/>
                <w:sz w:val="16"/>
              </w:rPr>
              <w:t>4.5</w:t>
            </w:r>
          </w:p>
        </w:tc>
        <w:tc>
          <w:tcPr>
            <w:tcW w:w="984" w:type="dxa"/>
            <w:gridSpan w:val="2"/>
            <w:shd w:val="clear" w:color="auto" w:fill="D9D9D9"/>
          </w:tcPr>
          <w:p>
            <w:pPr>
              <w:pStyle w:val="TableParagraph"/>
              <w:spacing w:before="18"/>
              <w:ind w:left="511"/>
              <w:rPr>
                <w:sz w:val="16"/>
              </w:rPr>
            </w:pPr>
            <w:r>
              <w:rPr>
                <w:spacing w:val="-2"/>
                <w:sz w:val="16"/>
              </w:rPr>
              <w:t>109.9</w:t>
            </w:r>
          </w:p>
        </w:tc>
        <w:tc>
          <w:tcPr>
            <w:tcW w:w="1176" w:type="dxa"/>
            <w:shd w:val="clear" w:color="auto" w:fill="D9D9D9"/>
          </w:tcPr>
          <w:p>
            <w:pPr>
              <w:pStyle w:val="TableParagraph"/>
              <w:spacing w:before="18"/>
              <w:ind w:right="61"/>
              <w:jc w:val="right"/>
              <w:rPr>
                <w:sz w:val="16"/>
              </w:rPr>
            </w:pPr>
            <w:r>
              <w:rPr>
                <w:spacing w:val="-2"/>
                <w:sz w:val="16"/>
              </w:rPr>
              <w:t>1,767</w:t>
            </w:r>
          </w:p>
        </w:tc>
        <w:tc>
          <w:tcPr>
            <w:tcW w:w="1074" w:type="dxa"/>
            <w:shd w:val="clear" w:color="auto" w:fill="D9D9D9"/>
          </w:tcPr>
          <w:p>
            <w:pPr>
              <w:pStyle w:val="TableParagraph"/>
              <w:spacing w:before="18"/>
              <w:ind w:left="570"/>
              <w:rPr>
                <w:sz w:val="16"/>
              </w:rPr>
            </w:pPr>
            <w:r>
              <w:rPr>
                <w:spacing w:val="-4"/>
                <w:sz w:val="16"/>
              </w:rPr>
              <w:t>0.06</w:t>
            </w:r>
          </w:p>
        </w:tc>
      </w:tr>
      <w:tr>
        <w:trPr>
          <w:trHeight w:val="226" w:hRule="atLeast"/>
        </w:trPr>
        <w:tc>
          <w:tcPr>
            <w:tcW w:w="2505" w:type="dxa"/>
            <w:shd w:val="clear" w:color="auto" w:fill="D9D9D9"/>
          </w:tcPr>
          <w:p>
            <w:pPr>
              <w:pStyle w:val="TableParagraph"/>
              <w:spacing w:before="18"/>
              <w:ind w:left="52"/>
              <w:rPr>
                <w:sz w:val="16"/>
              </w:rPr>
            </w:pPr>
            <w:r>
              <w:rPr>
                <w:spacing w:val="-2"/>
                <w:sz w:val="16"/>
              </w:rPr>
              <w:t>Belarus</w:t>
            </w:r>
          </w:p>
        </w:tc>
        <w:tc>
          <w:tcPr>
            <w:tcW w:w="861" w:type="dxa"/>
            <w:shd w:val="clear" w:color="auto" w:fill="D9D9D9"/>
          </w:tcPr>
          <w:p>
            <w:pPr>
              <w:pStyle w:val="TableParagraph"/>
              <w:spacing w:before="18"/>
              <w:ind w:right="56"/>
              <w:jc w:val="right"/>
              <w:rPr>
                <w:sz w:val="16"/>
              </w:rPr>
            </w:pPr>
            <w:r>
              <w:rPr>
                <w:spacing w:val="-2"/>
                <w:sz w:val="16"/>
              </w:rPr>
              <w:t>4,547</w:t>
            </w:r>
          </w:p>
        </w:tc>
        <w:tc>
          <w:tcPr>
            <w:tcW w:w="936" w:type="dxa"/>
            <w:shd w:val="clear" w:color="auto" w:fill="D9D9D9"/>
          </w:tcPr>
          <w:p>
            <w:pPr>
              <w:pStyle w:val="TableParagraph"/>
              <w:spacing w:before="18"/>
              <w:ind w:right="47"/>
              <w:jc w:val="right"/>
              <w:rPr>
                <w:sz w:val="16"/>
              </w:rPr>
            </w:pPr>
            <w:r>
              <w:rPr>
                <w:spacing w:val="-4"/>
                <w:sz w:val="16"/>
              </w:rPr>
              <w:t>0.17</w:t>
            </w:r>
          </w:p>
        </w:tc>
        <w:tc>
          <w:tcPr>
            <w:tcW w:w="1044" w:type="dxa"/>
            <w:gridSpan w:val="2"/>
            <w:shd w:val="clear" w:color="auto" w:fill="D9D9D9"/>
          </w:tcPr>
          <w:p>
            <w:pPr>
              <w:pStyle w:val="TableParagraph"/>
              <w:spacing w:before="18"/>
              <w:ind w:left="555"/>
              <w:rPr>
                <w:sz w:val="16"/>
              </w:rPr>
            </w:pPr>
            <w:r>
              <w:rPr>
                <w:spacing w:val="-2"/>
                <w:sz w:val="16"/>
              </w:rPr>
              <w:t>548.5</w:t>
            </w:r>
          </w:p>
        </w:tc>
        <w:tc>
          <w:tcPr>
            <w:tcW w:w="830" w:type="dxa"/>
            <w:gridSpan w:val="2"/>
            <w:shd w:val="clear" w:color="auto" w:fill="D9D9D9"/>
          </w:tcPr>
          <w:p>
            <w:pPr>
              <w:pStyle w:val="TableParagraph"/>
              <w:spacing w:before="18"/>
              <w:ind w:left="454"/>
              <w:rPr>
                <w:sz w:val="16"/>
              </w:rPr>
            </w:pPr>
            <w:r>
              <w:rPr>
                <w:spacing w:val="-4"/>
                <w:sz w:val="16"/>
              </w:rPr>
              <w:t>34.6</w:t>
            </w:r>
          </w:p>
        </w:tc>
        <w:tc>
          <w:tcPr>
            <w:tcW w:w="984" w:type="dxa"/>
            <w:gridSpan w:val="2"/>
            <w:shd w:val="clear" w:color="auto" w:fill="D9D9D9"/>
          </w:tcPr>
          <w:p>
            <w:pPr>
              <w:pStyle w:val="TableParagraph"/>
              <w:spacing w:before="18"/>
              <w:ind w:left="511"/>
              <w:rPr>
                <w:sz w:val="16"/>
              </w:rPr>
            </w:pPr>
            <w:r>
              <w:rPr>
                <w:spacing w:val="-2"/>
                <w:sz w:val="16"/>
              </w:rPr>
              <w:t>513.9</w:t>
            </w:r>
          </w:p>
        </w:tc>
        <w:tc>
          <w:tcPr>
            <w:tcW w:w="1176" w:type="dxa"/>
            <w:shd w:val="clear" w:color="auto" w:fill="D9D9D9"/>
          </w:tcPr>
          <w:p>
            <w:pPr>
              <w:pStyle w:val="TableParagraph"/>
              <w:spacing w:before="18"/>
              <w:ind w:right="61"/>
              <w:jc w:val="right"/>
              <w:rPr>
                <w:sz w:val="16"/>
              </w:rPr>
            </w:pPr>
            <w:r>
              <w:rPr>
                <w:spacing w:val="-2"/>
                <w:sz w:val="16"/>
              </w:rPr>
              <w:t>5,366</w:t>
            </w:r>
          </w:p>
        </w:tc>
        <w:tc>
          <w:tcPr>
            <w:tcW w:w="1074" w:type="dxa"/>
            <w:shd w:val="clear" w:color="auto" w:fill="D9D9D9"/>
          </w:tcPr>
          <w:p>
            <w:pPr>
              <w:pStyle w:val="TableParagraph"/>
              <w:spacing w:before="18"/>
              <w:ind w:left="570"/>
              <w:rPr>
                <w:sz w:val="16"/>
              </w:rPr>
            </w:pPr>
            <w:r>
              <w:rPr>
                <w:spacing w:val="-4"/>
                <w:sz w:val="16"/>
              </w:rPr>
              <w:t>0.19</w:t>
            </w:r>
          </w:p>
        </w:tc>
      </w:tr>
      <w:tr>
        <w:trPr>
          <w:trHeight w:val="223" w:hRule="atLeast"/>
        </w:trPr>
        <w:tc>
          <w:tcPr>
            <w:tcW w:w="2505" w:type="dxa"/>
          </w:tcPr>
          <w:p>
            <w:pPr>
              <w:pStyle w:val="TableParagraph"/>
              <w:spacing w:before="11"/>
              <w:ind w:left="52"/>
              <w:rPr>
                <w:sz w:val="16"/>
              </w:rPr>
            </w:pPr>
            <w:r>
              <w:rPr>
                <w:sz w:val="16"/>
              </w:rPr>
              <w:t>Belgium</w:t>
            </w:r>
            <w:r>
              <w:rPr>
                <w:spacing w:val="-6"/>
                <w:sz w:val="16"/>
              </w:rPr>
              <w:t> </w:t>
            </w:r>
            <w:r>
              <w:rPr>
                <w:spacing w:val="-10"/>
                <w:sz w:val="16"/>
                <w:vertAlign w:val="superscript"/>
              </w:rPr>
              <w:t>c</w:t>
            </w:r>
          </w:p>
        </w:tc>
        <w:tc>
          <w:tcPr>
            <w:tcW w:w="861" w:type="dxa"/>
          </w:tcPr>
          <w:p>
            <w:pPr>
              <w:pStyle w:val="TableParagraph"/>
              <w:spacing w:before="11"/>
              <w:ind w:right="56"/>
              <w:jc w:val="right"/>
              <w:rPr>
                <w:sz w:val="16"/>
              </w:rPr>
            </w:pPr>
            <w:r>
              <w:rPr>
                <w:spacing w:val="-2"/>
                <w:sz w:val="16"/>
              </w:rPr>
              <w:t>39,759</w:t>
            </w:r>
          </w:p>
        </w:tc>
        <w:tc>
          <w:tcPr>
            <w:tcW w:w="936" w:type="dxa"/>
          </w:tcPr>
          <w:p>
            <w:pPr>
              <w:pStyle w:val="TableParagraph"/>
              <w:spacing w:before="11"/>
              <w:ind w:right="47"/>
              <w:jc w:val="right"/>
              <w:rPr>
                <w:sz w:val="16"/>
              </w:rPr>
            </w:pPr>
            <w:r>
              <w:rPr>
                <w:spacing w:val="-4"/>
                <w:sz w:val="16"/>
              </w:rPr>
              <w:t>1.51</w:t>
            </w:r>
          </w:p>
        </w:tc>
        <w:tc>
          <w:tcPr>
            <w:tcW w:w="1044" w:type="dxa"/>
            <w:gridSpan w:val="2"/>
          </w:tcPr>
          <w:p>
            <w:pPr>
              <w:pStyle w:val="TableParagraph"/>
              <w:spacing w:before="11"/>
              <w:ind w:left="421"/>
              <w:rPr>
                <w:sz w:val="16"/>
              </w:rPr>
            </w:pPr>
            <w:r>
              <w:rPr>
                <w:spacing w:val="-2"/>
                <w:sz w:val="16"/>
              </w:rPr>
              <w:t>4,796.3</w:t>
            </w:r>
          </w:p>
        </w:tc>
        <w:tc>
          <w:tcPr>
            <w:tcW w:w="830" w:type="dxa"/>
            <w:gridSpan w:val="2"/>
          </w:tcPr>
          <w:p>
            <w:pPr>
              <w:pStyle w:val="TableParagraph"/>
              <w:spacing w:before="11"/>
              <w:ind w:left="366"/>
              <w:rPr>
                <w:sz w:val="16"/>
              </w:rPr>
            </w:pPr>
            <w:r>
              <w:rPr>
                <w:spacing w:val="-2"/>
                <w:sz w:val="16"/>
              </w:rPr>
              <w:t>318.1</w:t>
            </w:r>
          </w:p>
        </w:tc>
        <w:tc>
          <w:tcPr>
            <w:tcW w:w="984" w:type="dxa"/>
            <w:gridSpan w:val="2"/>
          </w:tcPr>
          <w:p>
            <w:pPr>
              <w:pStyle w:val="TableParagraph"/>
              <w:spacing w:before="11"/>
              <w:ind w:left="377"/>
              <w:rPr>
                <w:sz w:val="16"/>
              </w:rPr>
            </w:pPr>
            <w:r>
              <w:rPr>
                <w:spacing w:val="-2"/>
                <w:sz w:val="16"/>
              </w:rPr>
              <w:t>4,478.3</w:t>
            </w:r>
          </w:p>
        </w:tc>
        <w:tc>
          <w:tcPr>
            <w:tcW w:w="1176" w:type="dxa"/>
          </w:tcPr>
          <w:p>
            <w:pPr>
              <w:pStyle w:val="TableParagraph"/>
              <w:spacing w:before="11"/>
              <w:ind w:right="61"/>
              <w:jc w:val="right"/>
              <w:rPr>
                <w:sz w:val="16"/>
              </w:rPr>
            </w:pPr>
            <w:r>
              <w:rPr>
                <w:spacing w:val="-2"/>
                <w:sz w:val="16"/>
              </w:rPr>
              <w:t>40,578</w:t>
            </w:r>
          </w:p>
        </w:tc>
        <w:tc>
          <w:tcPr>
            <w:tcW w:w="1074" w:type="dxa"/>
          </w:tcPr>
          <w:p>
            <w:pPr>
              <w:pStyle w:val="TableParagraph"/>
              <w:spacing w:before="11"/>
              <w:ind w:left="570"/>
              <w:rPr>
                <w:sz w:val="16"/>
              </w:rPr>
            </w:pPr>
            <w:r>
              <w:rPr>
                <w:spacing w:val="-4"/>
                <w:sz w:val="16"/>
              </w:rPr>
              <w:t>1.45</w:t>
            </w:r>
          </w:p>
        </w:tc>
      </w:tr>
      <w:tr>
        <w:trPr>
          <w:trHeight w:val="225" w:hRule="atLeast"/>
        </w:trPr>
        <w:tc>
          <w:tcPr>
            <w:tcW w:w="2505" w:type="dxa"/>
          </w:tcPr>
          <w:p>
            <w:pPr>
              <w:pStyle w:val="TableParagraph"/>
              <w:spacing w:before="18"/>
              <w:ind w:left="52"/>
              <w:rPr>
                <w:sz w:val="16"/>
              </w:rPr>
            </w:pPr>
            <w:r>
              <w:rPr>
                <w:spacing w:val="-2"/>
                <w:sz w:val="16"/>
              </w:rPr>
              <w:t>Belize</w:t>
            </w:r>
          </w:p>
        </w:tc>
        <w:tc>
          <w:tcPr>
            <w:tcW w:w="861" w:type="dxa"/>
          </w:tcPr>
          <w:p>
            <w:pPr>
              <w:pStyle w:val="TableParagraph"/>
              <w:spacing w:before="18"/>
              <w:ind w:right="56"/>
              <w:jc w:val="right"/>
              <w:rPr>
                <w:sz w:val="16"/>
              </w:rPr>
            </w:pPr>
            <w:r>
              <w:rPr>
                <w:spacing w:val="-5"/>
                <w:sz w:val="16"/>
              </w:rPr>
              <w:t>586</w:t>
            </w:r>
          </w:p>
        </w:tc>
        <w:tc>
          <w:tcPr>
            <w:tcW w:w="936" w:type="dxa"/>
          </w:tcPr>
          <w:p>
            <w:pPr>
              <w:pStyle w:val="TableParagraph"/>
              <w:spacing w:before="18"/>
              <w:ind w:right="47"/>
              <w:jc w:val="right"/>
              <w:rPr>
                <w:sz w:val="16"/>
              </w:rPr>
            </w:pPr>
            <w:r>
              <w:rPr>
                <w:spacing w:val="-4"/>
                <w:sz w:val="16"/>
              </w:rPr>
              <w:t>0.02</w:t>
            </w:r>
          </w:p>
        </w:tc>
        <w:tc>
          <w:tcPr>
            <w:tcW w:w="1044" w:type="dxa"/>
            <w:gridSpan w:val="2"/>
          </w:tcPr>
          <w:p>
            <w:pPr>
              <w:pStyle w:val="TableParagraph"/>
              <w:spacing w:before="18"/>
              <w:ind w:left="643"/>
              <w:rPr>
                <w:sz w:val="16"/>
              </w:rPr>
            </w:pPr>
            <w:r>
              <w:rPr>
                <w:spacing w:val="-4"/>
                <w:sz w:val="16"/>
              </w:rPr>
              <w:t>70.7</w:t>
            </w:r>
          </w:p>
        </w:tc>
        <w:tc>
          <w:tcPr>
            <w:tcW w:w="830" w:type="dxa"/>
            <w:gridSpan w:val="2"/>
          </w:tcPr>
          <w:p>
            <w:pPr>
              <w:pStyle w:val="TableParagraph"/>
              <w:spacing w:before="18"/>
              <w:ind w:left="543"/>
              <w:rPr>
                <w:sz w:val="16"/>
              </w:rPr>
            </w:pPr>
            <w:r>
              <w:rPr>
                <w:spacing w:val="-5"/>
                <w:sz w:val="16"/>
              </w:rPr>
              <w:t>1.8</w:t>
            </w:r>
          </w:p>
        </w:tc>
        <w:tc>
          <w:tcPr>
            <w:tcW w:w="984" w:type="dxa"/>
            <w:gridSpan w:val="2"/>
          </w:tcPr>
          <w:p>
            <w:pPr>
              <w:pStyle w:val="TableParagraph"/>
              <w:spacing w:before="18"/>
              <w:ind w:left="599"/>
              <w:rPr>
                <w:sz w:val="16"/>
              </w:rPr>
            </w:pPr>
            <w:r>
              <w:rPr>
                <w:spacing w:val="-4"/>
                <w:sz w:val="16"/>
              </w:rPr>
              <w:t>68.9</w:t>
            </w:r>
          </w:p>
        </w:tc>
        <w:tc>
          <w:tcPr>
            <w:tcW w:w="1176" w:type="dxa"/>
          </w:tcPr>
          <w:p>
            <w:pPr>
              <w:pStyle w:val="TableParagraph"/>
              <w:spacing w:before="18"/>
              <w:ind w:right="61"/>
              <w:jc w:val="right"/>
              <w:rPr>
                <w:sz w:val="16"/>
              </w:rPr>
            </w:pPr>
            <w:r>
              <w:rPr>
                <w:spacing w:val="-2"/>
                <w:sz w:val="16"/>
              </w:rPr>
              <w:t>1,405</w:t>
            </w:r>
          </w:p>
        </w:tc>
        <w:tc>
          <w:tcPr>
            <w:tcW w:w="1074" w:type="dxa"/>
          </w:tcPr>
          <w:p>
            <w:pPr>
              <w:pStyle w:val="TableParagraph"/>
              <w:spacing w:before="18"/>
              <w:ind w:left="570"/>
              <w:rPr>
                <w:sz w:val="16"/>
              </w:rPr>
            </w:pPr>
            <w:r>
              <w:rPr>
                <w:spacing w:val="-4"/>
                <w:sz w:val="16"/>
              </w:rPr>
              <w:t>0.05</w:t>
            </w:r>
          </w:p>
        </w:tc>
      </w:tr>
      <w:tr>
        <w:trPr>
          <w:trHeight w:val="225" w:hRule="atLeast"/>
        </w:trPr>
        <w:tc>
          <w:tcPr>
            <w:tcW w:w="2505" w:type="dxa"/>
          </w:tcPr>
          <w:p>
            <w:pPr>
              <w:pStyle w:val="TableParagraph"/>
              <w:spacing w:before="18"/>
              <w:ind w:left="52"/>
              <w:rPr>
                <w:sz w:val="16"/>
              </w:rPr>
            </w:pPr>
            <w:r>
              <w:rPr>
                <w:spacing w:val="-2"/>
                <w:sz w:val="16"/>
              </w:rPr>
              <w:t>Benin</w:t>
            </w:r>
          </w:p>
        </w:tc>
        <w:tc>
          <w:tcPr>
            <w:tcW w:w="861" w:type="dxa"/>
          </w:tcPr>
          <w:p>
            <w:pPr>
              <w:pStyle w:val="TableParagraph"/>
              <w:spacing w:before="18"/>
              <w:ind w:right="56"/>
              <w:jc w:val="right"/>
              <w:rPr>
                <w:sz w:val="16"/>
              </w:rPr>
            </w:pPr>
            <w:r>
              <w:rPr>
                <w:spacing w:val="-2"/>
                <w:sz w:val="16"/>
              </w:rPr>
              <w:t>1,522</w:t>
            </w:r>
          </w:p>
        </w:tc>
        <w:tc>
          <w:tcPr>
            <w:tcW w:w="936" w:type="dxa"/>
          </w:tcPr>
          <w:p>
            <w:pPr>
              <w:pStyle w:val="TableParagraph"/>
              <w:spacing w:before="18"/>
              <w:ind w:right="47"/>
              <w:jc w:val="right"/>
              <w:rPr>
                <w:sz w:val="16"/>
              </w:rPr>
            </w:pPr>
            <w:r>
              <w:rPr>
                <w:spacing w:val="-4"/>
                <w:sz w:val="16"/>
              </w:rPr>
              <w:t>0.06</w:t>
            </w:r>
          </w:p>
        </w:tc>
        <w:tc>
          <w:tcPr>
            <w:tcW w:w="1044" w:type="dxa"/>
            <w:gridSpan w:val="2"/>
          </w:tcPr>
          <w:p>
            <w:pPr>
              <w:pStyle w:val="TableParagraph"/>
              <w:spacing w:before="18"/>
              <w:ind w:left="555"/>
              <w:rPr>
                <w:sz w:val="16"/>
              </w:rPr>
            </w:pPr>
            <w:r>
              <w:rPr>
                <w:spacing w:val="-2"/>
                <w:sz w:val="16"/>
              </w:rPr>
              <w:t>183.6</w:t>
            </w:r>
          </w:p>
        </w:tc>
        <w:tc>
          <w:tcPr>
            <w:tcW w:w="830" w:type="dxa"/>
            <w:gridSpan w:val="2"/>
          </w:tcPr>
          <w:p>
            <w:pPr>
              <w:pStyle w:val="TableParagraph"/>
              <w:spacing w:before="18"/>
              <w:ind w:left="543"/>
              <w:rPr>
                <w:sz w:val="16"/>
              </w:rPr>
            </w:pPr>
            <w:r>
              <w:rPr>
                <w:spacing w:val="-5"/>
                <w:sz w:val="16"/>
              </w:rPr>
              <w:t>9.7</w:t>
            </w:r>
          </w:p>
        </w:tc>
        <w:tc>
          <w:tcPr>
            <w:tcW w:w="984" w:type="dxa"/>
            <w:gridSpan w:val="2"/>
          </w:tcPr>
          <w:p>
            <w:pPr>
              <w:pStyle w:val="TableParagraph"/>
              <w:spacing w:before="18"/>
              <w:ind w:left="511"/>
              <w:rPr>
                <w:sz w:val="16"/>
              </w:rPr>
            </w:pPr>
            <w:r>
              <w:rPr>
                <w:spacing w:val="-2"/>
                <w:sz w:val="16"/>
              </w:rPr>
              <w:t>173.9</w:t>
            </w:r>
          </w:p>
        </w:tc>
        <w:tc>
          <w:tcPr>
            <w:tcW w:w="1176" w:type="dxa"/>
          </w:tcPr>
          <w:p>
            <w:pPr>
              <w:pStyle w:val="TableParagraph"/>
              <w:spacing w:before="18"/>
              <w:ind w:right="61"/>
              <w:jc w:val="right"/>
              <w:rPr>
                <w:sz w:val="16"/>
              </w:rPr>
            </w:pPr>
            <w:r>
              <w:rPr>
                <w:spacing w:val="-2"/>
                <w:sz w:val="16"/>
              </w:rPr>
              <w:t>2,341</w:t>
            </w:r>
          </w:p>
        </w:tc>
        <w:tc>
          <w:tcPr>
            <w:tcW w:w="1074" w:type="dxa"/>
          </w:tcPr>
          <w:p>
            <w:pPr>
              <w:pStyle w:val="TableParagraph"/>
              <w:spacing w:before="18"/>
              <w:ind w:left="570"/>
              <w:rPr>
                <w:sz w:val="16"/>
              </w:rPr>
            </w:pPr>
            <w:r>
              <w:rPr>
                <w:spacing w:val="-4"/>
                <w:sz w:val="16"/>
              </w:rPr>
              <w:t>0.08</w:t>
            </w:r>
          </w:p>
        </w:tc>
      </w:tr>
      <w:tr>
        <w:trPr>
          <w:trHeight w:val="225" w:hRule="atLeast"/>
        </w:trPr>
        <w:tc>
          <w:tcPr>
            <w:tcW w:w="2505" w:type="dxa"/>
          </w:tcPr>
          <w:p>
            <w:pPr>
              <w:pStyle w:val="TableParagraph"/>
              <w:spacing w:before="18"/>
              <w:ind w:left="52"/>
              <w:rPr>
                <w:sz w:val="16"/>
              </w:rPr>
            </w:pPr>
            <w:r>
              <w:rPr>
                <w:spacing w:val="-2"/>
                <w:sz w:val="16"/>
              </w:rPr>
              <w:t>Bhutan</w:t>
            </w:r>
          </w:p>
        </w:tc>
        <w:tc>
          <w:tcPr>
            <w:tcW w:w="861" w:type="dxa"/>
          </w:tcPr>
          <w:p>
            <w:pPr>
              <w:pStyle w:val="TableParagraph"/>
              <w:spacing w:before="18"/>
              <w:ind w:right="56"/>
              <w:jc w:val="right"/>
              <w:rPr>
                <w:sz w:val="16"/>
              </w:rPr>
            </w:pPr>
            <w:r>
              <w:rPr>
                <w:spacing w:val="-5"/>
                <w:sz w:val="16"/>
              </w:rPr>
              <w:t>760</w:t>
            </w:r>
          </w:p>
        </w:tc>
        <w:tc>
          <w:tcPr>
            <w:tcW w:w="936" w:type="dxa"/>
          </w:tcPr>
          <w:p>
            <w:pPr>
              <w:pStyle w:val="TableParagraph"/>
              <w:spacing w:before="18"/>
              <w:ind w:right="47"/>
              <w:jc w:val="right"/>
              <w:rPr>
                <w:sz w:val="16"/>
              </w:rPr>
            </w:pPr>
            <w:r>
              <w:rPr>
                <w:spacing w:val="-4"/>
                <w:sz w:val="16"/>
              </w:rPr>
              <w:t>0.03</w:t>
            </w:r>
          </w:p>
        </w:tc>
        <w:tc>
          <w:tcPr>
            <w:tcW w:w="1044" w:type="dxa"/>
            <w:gridSpan w:val="2"/>
          </w:tcPr>
          <w:p>
            <w:pPr>
              <w:pStyle w:val="TableParagraph"/>
              <w:spacing w:before="18"/>
              <w:ind w:left="643"/>
              <w:rPr>
                <w:sz w:val="16"/>
              </w:rPr>
            </w:pPr>
            <w:r>
              <w:rPr>
                <w:spacing w:val="-4"/>
                <w:sz w:val="16"/>
              </w:rPr>
              <w:t>91.7</w:t>
            </w:r>
          </w:p>
        </w:tc>
        <w:tc>
          <w:tcPr>
            <w:tcW w:w="830" w:type="dxa"/>
            <w:gridSpan w:val="2"/>
          </w:tcPr>
          <w:p>
            <w:pPr>
              <w:pStyle w:val="TableParagraph"/>
              <w:spacing w:before="18"/>
              <w:ind w:left="543"/>
              <w:rPr>
                <w:sz w:val="16"/>
              </w:rPr>
            </w:pPr>
            <w:r>
              <w:rPr>
                <w:spacing w:val="-5"/>
                <w:sz w:val="16"/>
              </w:rPr>
              <w:t>2.6</w:t>
            </w:r>
          </w:p>
        </w:tc>
        <w:tc>
          <w:tcPr>
            <w:tcW w:w="984" w:type="dxa"/>
            <w:gridSpan w:val="2"/>
          </w:tcPr>
          <w:p>
            <w:pPr>
              <w:pStyle w:val="TableParagraph"/>
              <w:spacing w:before="18"/>
              <w:ind w:left="599"/>
              <w:rPr>
                <w:sz w:val="16"/>
              </w:rPr>
            </w:pPr>
            <w:r>
              <w:rPr>
                <w:spacing w:val="-4"/>
                <w:sz w:val="16"/>
              </w:rPr>
              <w:t>89.1</w:t>
            </w:r>
          </w:p>
        </w:tc>
        <w:tc>
          <w:tcPr>
            <w:tcW w:w="1176" w:type="dxa"/>
          </w:tcPr>
          <w:p>
            <w:pPr>
              <w:pStyle w:val="TableParagraph"/>
              <w:spacing w:before="18"/>
              <w:ind w:right="61"/>
              <w:jc w:val="right"/>
              <w:rPr>
                <w:sz w:val="16"/>
              </w:rPr>
            </w:pPr>
            <w:r>
              <w:rPr>
                <w:spacing w:val="-2"/>
                <w:sz w:val="16"/>
              </w:rPr>
              <w:t>1,579</w:t>
            </w:r>
          </w:p>
        </w:tc>
        <w:tc>
          <w:tcPr>
            <w:tcW w:w="1074" w:type="dxa"/>
          </w:tcPr>
          <w:p>
            <w:pPr>
              <w:pStyle w:val="TableParagraph"/>
              <w:spacing w:before="18"/>
              <w:ind w:left="570"/>
              <w:rPr>
                <w:sz w:val="16"/>
              </w:rPr>
            </w:pPr>
            <w:r>
              <w:rPr>
                <w:spacing w:val="-4"/>
                <w:sz w:val="16"/>
              </w:rPr>
              <w:t>0.06</w:t>
            </w:r>
          </w:p>
        </w:tc>
      </w:tr>
      <w:tr>
        <w:trPr>
          <w:trHeight w:val="231" w:hRule="atLeast"/>
        </w:trPr>
        <w:tc>
          <w:tcPr>
            <w:tcW w:w="2505" w:type="dxa"/>
          </w:tcPr>
          <w:p>
            <w:pPr>
              <w:pStyle w:val="TableParagraph"/>
              <w:spacing w:before="18"/>
              <w:ind w:left="52"/>
              <w:rPr>
                <w:sz w:val="16"/>
              </w:rPr>
            </w:pPr>
            <w:r>
              <w:rPr>
                <w:sz w:val="16"/>
              </w:rPr>
              <w:t>Bolivia,</w:t>
            </w:r>
            <w:r>
              <w:rPr>
                <w:spacing w:val="-6"/>
                <w:sz w:val="16"/>
              </w:rPr>
              <w:t> </w:t>
            </w:r>
            <w:r>
              <w:rPr>
                <w:sz w:val="16"/>
              </w:rPr>
              <w:t>Plurinational</w:t>
            </w:r>
            <w:r>
              <w:rPr>
                <w:spacing w:val="-5"/>
                <w:sz w:val="16"/>
              </w:rPr>
              <w:t> </w:t>
            </w:r>
            <w:r>
              <w:rPr>
                <w:sz w:val="16"/>
              </w:rPr>
              <w:t>State</w:t>
            </w:r>
            <w:r>
              <w:rPr>
                <w:spacing w:val="-5"/>
                <w:sz w:val="16"/>
              </w:rPr>
              <w:t> of</w:t>
            </w:r>
          </w:p>
        </w:tc>
        <w:tc>
          <w:tcPr>
            <w:tcW w:w="861" w:type="dxa"/>
          </w:tcPr>
          <w:p>
            <w:pPr>
              <w:pStyle w:val="TableParagraph"/>
              <w:spacing w:before="18"/>
              <w:ind w:right="56"/>
              <w:jc w:val="right"/>
              <w:rPr>
                <w:sz w:val="16"/>
              </w:rPr>
            </w:pPr>
            <w:r>
              <w:rPr>
                <w:spacing w:val="-2"/>
                <w:sz w:val="16"/>
              </w:rPr>
              <w:t>2,846</w:t>
            </w:r>
          </w:p>
        </w:tc>
        <w:tc>
          <w:tcPr>
            <w:tcW w:w="936" w:type="dxa"/>
          </w:tcPr>
          <w:p>
            <w:pPr>
              <w:pStyle w:val="TableParagraph"/>
              <w:spacing w:before="18"/>
              <w:ind w:right="47"/>
              <w:jc w:val="right"/>
              <w:rPr>
                <w:sz w:val="16"/>
              </w:rPr>
            </w:pPr>
            <w:r>
              <w:rPr>
                <w:spacing w:val="-4"/>
                <w:sz w:val="16"/>
              </w:rPr>
              <w:t>0.11</w:t>
            </w:r>
          </w:p>
        </w:tc>
        <w:tc>
          <w:tcPr>
            <w:tcW w:w="1044" w:type="dxa"/>
            <w:gridSpan w:val="2"/>
          </w:tcPr>
          <w:p>
            <w:pPr>
              <w:pStyle w:val="TableParagraph"/>
              <w:spacing w:before="18"/>
              <w:ind w:left="555"/>
              <w:rPr>
                <w:sz w:val="16"/>
              </w:rPr>
            </w:pPr>
            <w:r>
              <w:rPr>
                <w:spacing w:val="-2"/>
                <w:sz w:val="16"/>
              </w:rPr>
              <w:t>343.3</w:t>
            </w:r>
          </w:p>
        </w:tc>
        <w:tc>
          <w:tcPr>
            <w:tcW w:w="830" w:type="dxa"/>
            <w:gridSpan w:val="2"/>
          </w:tcPr>
          <w:p>
            <w:pPr>
              <w:pStyle w:val="TableParagraph"/>
              <w:spacing w:before="18"/>
              <w:ind w:left="454"/>
              <w:rPr>
                <w:sz w:val="16"/>
              </w:rPr>
            </w:pPr>
            <w:r>
              <w:rPr>
                <w:spacing w:val="-4"/>
                <w:sz w:val="16"/>
              </w:rPr>
              <w:t>18.9</w:t>
            </w:r>
          </w:p>
        </w:tc>
        <w:tc>
          <w:tcPr>
            <w:tcW w:w="984" w:type="dxa"/>
            <w:gridSpan w:val="2"/>
          </w:tcPr>
          <w:p>
            <w:pPr>
              <w:pStyle w:val="TableParagraph"/>
              <w:spacing w:before="18"/>
              <w:ind w:left="511"/>
              <w:rPr>
                <w:sz w:val="16"/>
              </w:rPr>
            </w:pPr>
            <w:r>
              <w:rPr>
                <w:spacing w:val="-2"/>
                <w:sz w:val="16"/>
              </w:rPr>
              <w:t>324.4</w:t>
            </w:r>
          </w:p>
        </w:tc>
        <w:tc>
          <w:tcPr>
            <w:tcW w:w="1176" w:type="dxa"/>
          </w:tcPr>
          <w:p>
            <w:pPr>
              <w:pStyle w:val="TableParagraph"/>
              <w:spacing w:before="18"/>
              <w:ind w:right="61"/>
              <w:jc w:val="right"/>
              <w:rPr>
                <w:sz w:val="16"/>
              </w:rPr>
            </w:pPr>
            <w:r>
              <w:rPr>
                <w:spacing w:val="-2"/>
                <w:sz w:val="16"/>
              </w:rPr>
              <w:t>3,665</w:t>
            </w:r>
          </w:p>
        </w:tc>
        <w:tc>
          <w:tcPr>
            <w:tcW w:w="1074" w:type="dxa"/>
          </w:tcPr>
          <w:p>
            <w:pPr>
              <w:pStyle w:val="TableParagraph"/>
              <w:spacing w:before="18"/>
              <w:ind w:left="570"/>
              <w:rPr>
                <w:sz w:val="16"/>
              </w:rPr>
            </w:pPr>
            <w:r>
              <w:rPr>
                <w:spacing w:val="-4"/>
                <w:sz w:val="16"/>
              </w:rPr>
              <w:t>0.13</w:t>
            </w:r>
          </w:p>
        </w:tc>
      </w:tr>
      <w:tr>
        <w:trPr>
          <w:trHeight w:val="218" w:hRule="atLeast"/>
        </w:trPr>
        <w:tc>
          <w:tcPr>
            <w:tcW w:w="2505" w:type="dxa"/>
            <w:shd w:val="clear" w:color="auto" w:fill="D9D9D9"/>
          </w:tcPr>
          <w:p>
            <w:pPr>
              <w:pStyle w:val="TableParagraph"/>
              <w:spacing w:before="11"/>
              <w:ind w:left="52"/>
              <w:rPr>
                <w:sz w:val="16"/>
              </w:rPr>
            </w:pPr>
            <w:r>
              <w:rPr>
                <w:sz w:val="16"/>
              </w:rPr>
              <w:t>Bosnia</w:t>
            </w:r>
            <w:r>
              <w:rPr>
                <w:spacing w:val="-4"/>
                <w:sz w:val="16"/>
              </w:rPr>
              <w:t> </w:t>
            </w:r>
            <w:r>
              <w:rPr>
                <w:sz w:val="16"/>
              </w:rPr>
              <w:t>and</w:t>
            </w:r>
            <w:r>
              <w:rPr>
                <w:spacing w:val="-3"/>
                <w:sz w:val="16"/>
              </w:rPr>
              <w:t> </w:t>
            </w:r>
            <w:r>
              <w:rPr>
                <w:spacing w:val="-2"/>
                <w:sz w:val="16"/>
              </w:rPr>
              <w:t>Herzegovina</w:t>
            </w:r>
          </w:p>
        </w:tc>
        <w:tc>
          <w:tcPr>
            <w:tcW w:w="861" w:type="dxa"/>
            <w:shd w:val="clear" w:color="auto" w:fill="D9D9D9"/>
          </w:tcPr>
          <w:p>
            <w:pPr>
              <w:pStyle w:val="TableParagraph"/>
              <w:spacing w:before="11"/>
              <w:ind w:right="56"/>
              <w:jc w:val="right"/>
              <w:rPr>
                <w:sz w:val="16"/>
              </w:rPr>
            </w:pPr>
            <w:r>
              <w:rPr>
                <w:spacing w:val="-5"/>
                <w:sz w:val="16"/>
              </w:rPr>
              <w:t>948</w:t>
            </w:r>
          </w:p>
        </w:tc>
        <w:tc>
          <w:tcPr>
            <w:tcW w:w="936" w:type="dxa"/>
            <w:shd w:val="clear" w:color="auto" w:fill="D9D9D9"/>
          </w:tcPr>
          <w:p>
            <w:pPr>
              <w:pStyle w:val="TableParagraph"/>
              <w:spacing w:before="11"/>
              <w:ind w:right="47"/>
              <w:jc w:val="right"/>
              <w:rPr>
                <w:sz w:val="16"/>
              </w:rPr>
            </w:pPr>
            <w:r>
              <w:rPr>
                <w:spacing w:val="-4"/>
                <w:sz w:val="16"/>
              </w:rPr>
              <w:t>0.04</w:t>
            </w:r>
          </w:p>
        </w:tc>
        <w:tc>
          <w:tcPr>
            <w:tcW w:w="1044" w:type="dxa"/>
            <w:gridSpan w:val="2"/>
            <w:shd w:val="clear" w:color="auto" w:fill="D9D9D9"/>
          </w:tcPr>
          <w:p>
            <w:pPr>
              <w:pStyle w:val="TableParagraph"/>
              <w:spacing w:before="11"/>
              <w:ind w:left="555"/>
              <w:rPr>
                <w:sz w:val="16"/>
              </w:rPr>
            </w:pPr>
            <w:r>
              <w:rPr>
                <w:spacing w:val="-2"/>
                <w:sz w:val="16"/>
              </w:rPr>
              <w:t>114.4</w:t>
            </w:r>
          </w:p>
        </w:tc>
        <w:tc>
          <w:tcPr>
            <w:tcW w:w="830" w:type="dxa"/>
            <w:gridSpan w:val="2"/>
            <w:shd w:val="clear" w:color="auto" w:fill="D9D9D9"/>
          </w:tcPr>
          <w:p>
            <w:pPr>
              <w:pStyle w:val="TableParagraph"/>
              <w:spacing w:before="11"/>
              <w:ind w:left="543"/>
              <w:rPr>
                <w:sz w:val="16"/>
              </w:rPr>
            </w:pPr>
            <w:r>
              <w:rPr>
                <w:spacing w:val="-5"/>
                <w:sz w:val="16"/>
              </w:rPr>
              <w:t>9.8</w:t>
            </w:r>
          </w:p>
        </w:tc>
        <w:tc>
          <w:tcPr>
            <w:tcW w:w="984" w:type="dxa"/>
            <w:gridSpan w:val="2"/>
            <w:shd w:val="clear" w:color="auto" w:fill="D9D9D9"/>
          </w:tcPr>
          <w:p>
            <w:pPr>
              <w:pStyle w:val="TableParagraph"/>
              <w:spacing w:before="11"/>
              <w:ind w:left="511"/>
              <w:rPr>
                <w:sz w:val="16"/>
              </w:rPr>
            </w:pPr>
            <w:r>
              <w:rPr>
                <w:spacing w:val="-2"/>
                <w:sz w:val="16"/>
              </w:rPr>
              <w:t>104.6</w:t>
            </w:r>
          </w:p>
        </w:tc>
        <w:tc>
          <w:tcPr>
            <w:tcW w:w="1176" w:type="dxa"/>
            <w:shd w:val="clear" w:color="auto" w:fill="D9D9D9"/>
          </w:tcPr>
          <w:p>
            <w:pPr>
              <w:pStyle w:val="TableParagraph"/>
              <w:spacing w:before="11"/>
              <w:ind w:right="61"/>
              <w:jc w:val="right"/>
              <w:rPr>
                <w:sz w:val="16"/>
              </w:rPr>
            </w:pPr>
            <w:r>
              <w:rPr>
                <w:spacing w:val="-2"/>
                <w:sz w:val="16"/>
              </w:rPr>
              <w:t>1,767</w:t>
            </w:r>
          </w:p>
        </w:tc>
        <w:tc>
          <w:tcPr>
            <w:tcW w:w="1074" w:type="dxa"/>
            <w:shd w:val="clear" w:color="auto" w:fill="D9D9D9"/>
          </w:tcPr>
          <w:p>
            <w:pPr>
              <w:pStyle w:val="TableParagraph"/>
              <w:spacing w:before="11"/>
              <w:ind w:left="570"/>
              <w:rPr>
                <w:sz w:val="16"/>
              </w:rPr>
            </w:pPr>
            <w:r>
              <w:rPr>
                <w:spacing w:val="-4"/>
                <w:sz w:val="16"/>
              </w:rPr>
              <w:t>0.06</w:t>
            </w:r>
          </w:p>
        </w:tc>
      </w:tr>
      <w:tr>
        <w:trPr>
          <w:trHeight w:val="225" w:hRule="atLeast"/>
        </w:trPr>
        <w:tc>
          <w:tcPr>
            <w:tcW w:w="2505" w:type="dxa"/>
            <w:shd w:val="clear" w:color="auto" w:fill="D9D9D9"/>
          </w:tcPr>
          <w:p>
            <w:pPr>
              <w:pStyle w:val="TableParagraph"/>
              <w:spacing w:before="18"/>
              <w:ind w:left="52"/>
              <w:rPr>
                <w:sz w:val="16"/>
              </w:rPr>
            </w:pPr>
            <w:r>
              <w:rPr>
                <w:spacing w:val="-2"/>
                <w:sz w:val="16"/>
              </w:rPr>
              <w:t>Botswana</w:t>
            </w:r>
          </w:p>
        </w:tc>
        <w:tc>
          <w:tcPr>
            <w:tcW w:w="861" w:type="dxa"/>
            <w:shd w:val="clear" w:color="auto" w:fill="D9D9D9"/>
          </w:tcPr>
          <w:p>
            <w:pPr>
              <w:pStyle w:val="TableParagraph"/>
              <w:spacing w:before="18"/>
              <w:ind w:right="56"/>
              <w:jc w:val="right"/>
              <w:rPr>
                <w:sz w:val="16"/>
              </w:rPr>
            </w:pPr>
            <w:r>
              <w:rPr>
                <w:spacing w:val="-5"/>
                <w:sz w:val="16"/>
              </w:rPr>
              <w:t>916</w:t>
            </w:r>
          </w:p>
        </w:tc>
        <w:tc>
          <w:tcPr>
            <w:tcW w:w="936" w:type="dxa"/>
            <w:shd w:val="clear" w:color="auto" w:fill="D9D9D9"/>
          </w:tcPr>
          <w:p>
            <w:pPr>
              <w:pStyle w:val="TableParagraph"/>
              <w:spacing w:before="18"/>
              <w:ind w:right="47"/>
              <w:jc w:val="right"/>
              <w:rPr>
                <w:sz w:val="16"/>
              </w:rPr>
            </w:pPr>
            <w:r>
              <w:rPr>
                <w:spacing w:val="-4"/>
                <w:sz w:val="16"/>
              </w:rPr>
              <w:t>0.03</w:t>
            </w:r>
          </w:p>
        </w:tc>
        <w:tc>
          <w:tcPr>
            <w:tcW w:w="1044" w:type="dxa"/>
            <w:gridSpan w:val="2"/>
            <w:shd w:val="clear" w:color="auto" w:fill="D9D9D9"/>
          </w:tcPr>
          <w:p>
            <w:pPr>
              <w:pStyle w:val="TableParagraph"/>
              <w:spacing w:before="18"/>
              <w:ind w:left="555"/>
              <w:rPr>
                <w:sz w:val="16"/>
              </w:rPr>
            </w:pPr>
            <w:r>
              <w:rPr>
                <w:spacing w:val="-2"/>
                <w:sz w:val="16"/>
              </w:rPr>
              <w:t>110.5</w:t>
            </w:r>
          </w:p>
        </w:tc>
        <w:tc>
          <w:tcPr>
            <w:tcW w:w="830" w:type="dxa"/>
            <w:gridSpan w:val="2"/>
            <w:shd w:val="clear" w:color="auto" w:fill="D9D9D9"/>
          </w:tcPr>
          <w:p>
            <w:pPr>
              <w:pStyle w:val="TableParagraph"/>
              <w:spacing w:before="18"/>
              <w:ind w:left="543"/>
              <w:rPr>
                <w:sz w:val="16"/>
              </w:rPr>
            </w:pPr>
            <w:r>
              <w:rPr>
                <w:spacing w:val="-5"/>
                <w:sz w:val="16"/>
              </w:rPr>
              <w:t>5.4</w:t>
            </w:r>
          </w:p>
        </w:tc>
        <w:tc>
          <w:tcPr>
            <w:tcW w:w="984" w:type="dxa"/>
            <w:gridSpan w:val="2"/>
            <w:shd w:val="clear" w:color="auto" w:fill="D9D9D9"/>
          </w:tcPr>
          <w:p>
            <w:pPr>
              <w:pStyle w:val="TableParagraph"/>
              <w:spacing w:before="18"/>
              <w:ind w:left="511"/>
              <w:rPr>
                <w:sz w:val="16"/>
              </w:rPr>
            </w:pPr>
            <w:r>
              <w:rPr>
                <w:spacing w:val="-2"/>
                <w:sz w:val="16"/>
              </w:rPr>
              <w:t>105.1</w:t>
            </w:r>
          </w:p>
        </w:tc>
        <w:tc>
          <w:tcPr>
            <w:tcW w:w="1176" w:type="dxa"/>
            <w:shd w:val="clear" w:color="auto" w:fill="D9D9D9"/>
          </w:tcPr>
          <w:p>
            <w:pPr>
              <w:pStyle w:val="TableParagraph"/>
              <w:spacing w:before="18"/>
              <w:ind w:right="61"/>
              <w:jc w:val="right"/>
              <w:rPr>
                <w:sz w:val="16"/>
              </w:rPr>
            </w:pPr>
            <w:r>
              <w:rPr>
                <w:spacing w:val="-2"/>
                <w:sz w:val="16"/>
              </w:rPr>
              <w:t>1,735</w:t>
            </w:r>
          </w:p>
        </w:tc>
        <w:tc>
          <w:tcPr>
            <w:tcW w:w="1074" w:type="dxa"/>
            <w:shd w:val="clear" w:color="auto" w:fill="D9D9D9"/>
          </w:tcPr>
          <w:p>
            <w:pPr>
              <w:pStyle w:val="TableParagraph"/>
              <w:spacing w:before="18"/>
              <w:ind w:left="570"/>
              <w:rPr>
                <w:sz w:val="16"/>
              </w:rPr>
            </w:pPr>
            <w:r>
              <w:rPr>
                <w:spacing w:val="-4"/>
                <w:sz w:val="16"/>
              </w:rPr>
              <w:t>0.06</w:t>
            </w:r>
          </w:p>
        </w:tc>
      </w:tr>
      <w:tr>
        <w:trPr>
          <w:trHeight w:val="225" w:hRule="atLeast"/>
        </w:trPr>
        <w:tc>
          <w:tcPr>
            <w:tcW w:w="2505" w:type="dxa"/>
            <w:shd w:val="clear" w:color="auto" w:fill="D9D9D9"/>
          </w:tcPr>
          <w:p>
            <w:pPr>
              <w:pStyle w:val="TableParagraph"/>
              <w:spacing w:before="18"/>
              <w:ind w:left="52"/>
              <w:rPr>
                <w:sz w:val="16"/>
              </w:rPr>
            </w:pPr>
            <w:r>
              <w:rPr>
                <w:spacing w:val="-2"/>
                <w:sz w:val="16"/>
              </w:rPr>
              <w:t>Brazil</w:t>
            </w:r>
          </w:p>
        </w:tc>
        <w:tc>
          <w:tcPr>
            <w:tcW w:w="861" w:type="dxa"/>
            <w:shd w:val="clear" w:color="auto" w:fill="D9D9D9"/>
          </w:tcPr>
          <w:p>
            <w:pPr>
              <w:pStyle w:val="TableParagraph"/>
              <w:spacing w:before="18"/>
              <w:ind w:right="56"/>
              <w:jc w:val="right"/>
              <w:rPr>
                <w:sz w:val="16"/>
              </w:rPr>
            </w:pPr>
            <w:r>
              <w:rPr>
                <w:spacing w:val="-2"/>
                <w:sz w:val="16"/>
              </w:rPr>
              <w:t>53,509</w:t>
            </w:r>
          </w:p>
        </w:tc>
        <w:tc>
          <w:tcPr>
            <w:tcW w:w="936" w:type="dxa"/>
            <w:shd w:val="clear" w:color="auto" w:fill="D9D9D9"/>
          </w:tcPr>
          <w:p>
            <w:pPr>
              <w:pStyle w:val="TableParagraph"/>
              <w:spacing w:before="18"/>
              <w:ind w:right="47"/>
              <w:jc w:val="right"/>
              <w:rPr>
                <w:sz w:val="16"/>
              </w:rPr>
            </w:pPr>
            <w:r>
              <w:rPr>
                <w:spacing w:val="-4"/>
                <w:sz w:val="16"/>
              </w:rPr>
              <w:t>2.03</w:t>
            </w:r>
          </w:p>
        </w:tc>
        <w:tc>
          <w:tcPr>
            <w:tcW w:w="1044" w:type="dxa"/>
            <w:gridSpan w:val="2"/>
            <w:shd w:val="clear" w:color="auto" w:fill="D9D9D9"/>
          </w:tcPr>
          <w:p>
            <w:pPr>
              <w:pStyle w:val="TableParagraph"/>
              <w:spacing w:before="18"/>
              <w:ind w:left="421"/>
              <w:rPr>
                <w:sz w:val="16"/>
              </w:rPr>
            </w:pPr>
            <w:r>
              <w:rPr>
                <w:spacing w:val="-2"/>
                <w:sz w:val="16"/>
              </w:rPr>
              <w:t>6,455.1</w:t>
            </w:r>
          </w:p>
        </w:tc>
        <w:tc>
          <w:tcPr>
            <w:tcW w:w="830" w:type="dxa"/>
            <w:gridSpan w:val="2"/>
            <w:shd w:val="clear" w:color="auto" w:fill="D9D9D9"/>
          </w:tcPr>
          <w:p>
            <w:pPr>
              <w:pStyle w:val="TableParagraph"/>
              <w:spacing w:before="18"/>
              <w:ind w:left="366"/>
              <w:rPr>
                <w:sz w:val="16"/>
              </w:rPr>
            </w:pPr>
            <w:r>
              <w:rPr>
                <w:spacing w:val="-2"/>
                <w:sz w:val="16"/>
              </w:rPr>
              <w:t>386.8</w:t>
            </w:r>
          </w:p>
        </w:tc>
        <w:tc>
          <w:tcPr>
            <w:tcW w:w="984" w:type="dxa"/>
            <w:gridSpan w:val="2"/>
            <w:shd w:val="clear" w:color="auto" w:fill="D9D9D9"/>
          </w:tcPr>
          <w:p>
            <w:pPr>
              <w:pStyle w:val="TableParagraph"/>
              <w:spacing w:before="18"/>
              <w:ind w:left="377"/>
              <w:rPr>
                <w:sz w:val="16"/>
              </w:rPr>
            </w:pPr>
            <w:r>
              <w:rPr>
                <w:spacing w:val="-2"/>
                <w:sz w:val="16"/>
              </w:rPr>
              <w:t>6,068.3</w:t>
            </w:r>
          </w:p>
        </w:tc>
        <w:tc>
          <w:tcPr>
            <w:tcW w:w="1176" w:type="dxa"/>
            <w:shd w:val="clear" w:color="auto" w:fill="D9D9D9"/>
          </w:tcPr>
          <w:p>
            <w:pPr>
              <w:pStyle w:val="TableParagraph"/>
              <w:spacing w:before="18"/>
              <w:ind w:right="61"/>
              <w:jc w:val="right"/>
              <w:rPr>
                <w:sz w:val="16"/>
              </w:rPr>
            </w:pPr>
            <w:r>
              <w:rPr>
                <w:spacing w:val="-2"/>
                <w:sz w:val="16"/>
              </w:rPr>
              <w:t>54,328</w:t>
            </w:r>
          </w:p>
        </w:tc>
        <w:tc>
          <w:tcPr>
            <w:tcW w:w="1074" w:type="dxa"/>
            <w:shd w:val="clear" w:color="auto" w:fill="D9D9D9"/>
          </w:tcPr>
          <w:p>
            <w:pPr>
              <w:pStyle w:val="TableParagraph"/>
              <w:spacing w:before="18"/>
              <w:ind w:left="570"/>
              <w:rPr>
                <w:sz w:val="16"/>
              </w:rPr>
            </w:pPr>
            <w:r>
              <w:rPr>
                <w:spacing w:val="-4"/>
                <w:sz w:val="16"/>
              </w:rPr>
              <w:t>1.95</w:t>
            </w:r>
          </w:p>
        </w:tc>
      </w:tr>
      <w:tr>
        <w:trPr>
          <w:trHeight w:val="225" w:hRule="atLeast"/>
        </w:trPr>
        <w:tc>
          <w:tcPr>
            <w:tcW w:w="2505" w:type="dxa"/>
            <w:shd w:val="clear" w:color="auto" w:fill="D9D9D9"/>
          </w:tcPr>
          <w:p>
            <w:pPr>
              <w:pStyle w:val="TableParagraph"/>
              <w:spacing w:before="18"/>
              <w:ind w:left="52"/>
              <w:rPr>
                <w:sz w:val="16"/>
              </w:rPr>
            </w:pPr>
            <w:r>
              <w:rPr>
                <w:sz w:val="16"/>
              </w:rPr>
              <w:t>Brunei</w:t>
            </w:r>
            <w:r>
              <w:rPr>
                <w:spacing w:val="-3"/>
                <w:sz w:val="16"/>
              </w:rPr>
              <w:t> </w:t>
            </w:r>
            <w:r>
              <w:rPr>
                <w:spacing w:val="-2"/>
                <w:sz w:val="16"/>
              </w:rPr>
              <w:t>Darussalam</w:t>
            </w:r>
          </w:p>
        </w:tc>
        <w:tc>
          <w:tcPr>
            <w:tcW w:w="861" w:type="dxa"/>
            <w:shd w:val="clear" w:color="auto" w:fill="D9D9D9"/>
          </w:tcPr>
          <w:p>
            <w:pPr>
              <w:pStyle w:val="TableParagraph"/>
              <w:spacing w:before="18"/>
              <w:ind w:right="56"/>
              <w:jc w:val="right"/>
              <w:rPr>
                <w:sz w:val="16"/>
              </w:rPr>
            </w:pPr>
            <w:r>
              <w:rPr>
                <w:spacing w:val="-2"/>
                <w:sz w:val="16"/>
              </w:rPr>
              <w:t>2,373</w:t>
            </w:r>
          </w:p>
        </w:tc>
        <w:tc>
          <w:tcPr>
            <w:tcW w:w="936" w:type="dxa"/>
            <w:shd w:val="clear" w:color="auto" w:fill="D9D9D9"/>
          </w:tcPr>
          <w:p>
            <w:pPr>
              <w:pStyle w:val="TableParagraph"/>
              <w:spacing w:before="18"/>
              <w:ind w:right="47"/>
              <w:jc w:val="right"/>
              <w:rPr>
                <w:sz w:val="16"/>
              </w:rPr>
            </w:pPr>
            <w:r>
              <w:rPr>
                <w:spacing w:val="-4"/>
                <w:sz w:val="16"/>
              </w:rPr>
              <w:t>0.09</w:t>
            </w:r>
          </w:p>
        </w:tc>
        <w:tc>
          <w:tcPr>
            <w:tcW w:w="1044" w:type="dxa"/>
            <w:gridSpan w:val="2"/>
            <w:shd w:val="clear" w:color="auto" w:fill="D9D9D9"/>
          </w:tcPr>
          <w:p>
            <w:pPr>
              <w:pStyle w:val="TableParagraph"/>
              <w:spacing w:before="18"/>
              <w:ind w:left="555"/>
              <w:rPr>
                <w:sz w:val="16"/>
              </w:rPr>
            </w:pPr>
            <w:r>
              <w:rPr>
                <w:spacing w:val="-2"/>
                <w:sz w:val="16"/>
              </w:rPr>
              <w:t>286.3</w:t>
            </w:r>
          </w:p>
        </w:tc>
        <w:tc>
          <w:tcPr>
            <w:tcW w:w="830" w:type="dxa"/>
            <w:gridSpan w:val="2"/>
            <w:shd w:val="clear" w:color="auto" w:fill="D9D9D9"/>
          </w:tcPr>
          <w:p>
            <w:pPr>
              <w:pStyle w:val="TableParagraph"/>
              <w:spacing w:before="18"/>
              <w:ind w:left="454"/>
              <w:rPr>
                <w:sz w:val="16"/>
              </w:rPr>
            </w:pPr>
            <w:r>
              <w:rPr>
                <w:spacing w:val="-4"/>
                <w:sz w:val="16"/>
              </w:rPr>
              <w:t>15.2</w:t>
            </w:r>
          </w:p>
        </w:tc>
        <w:tc>
          <w:tcPr>
            <w:tcW w:w="984" w:type="dxa"/>
            <w:gridSpan w:val="2"/>
            <w:shd w:val="clear" w:color="auto" w:fill="D9D9D9"/>
          </w:tcPr>
          <w:p>
            <w:pPr>
              <w:pStyle w:val="TableParagraph"/>
              <w:spacing w:before="18"/>
              <w:ind w:left="511"/>
              <w:rPr>
                <w:sz w:val="16"/>
              </w:rPr>
            </w:pPr>
            <w:r>
              <w:rPr>
                <w:spacing w:val="-2"/>
                <w:sz w:val="16"/>
              </w:rPr>
              <w:t>271.1</w:t>
            </w:r>
          </w:p>
        </w:tc>
        <w:tc>
          <w:tcPr>
            <w:tcW w:w="1176" w:type="dxa"/>
            <w:shd w:val="clear" w:color="auto" w:fill="D9D9D9"/>
          </w:tcPr>
          <w:p>
            <w:pPr>
              <w:pStyle w:val="TableParagraph"/>
              <w:spacing w:before="18"/>
              <w:ind w:right="61"/>
              <w:jc w:val="right"/>
              <w:rPr>
                <w:sz w:val="16"/>
              </w:rPr>
            </w:pPr>
            <w:r>
              <w:rPr>
                <w:spacing w:val="-2"/>
                <w:sz w:val="16"/>
              </w:rPr>
              <w:t>3,192</w:t>
            </w:r>
          </w:p>
        </w:tc>
        <w:tc>
          <w:tcPr>
            <w:tcW w:w="1074" w:type="dxa"/>
            <w:shd w:val="clear" w:color="auto" w:fill="D9D9D9"/>
          </w:tcPr>
          <w:p>
            <w:pPr>
              <w:pStyle w:val="TableParagraph"/>
              <w:spacing w:before="18"/>
              <w:ind w:left="582"/>
              <w:rPr>
                <w:sz w:val="16"/>
              </w:rPr>
            </w:pPr>
            <w:r>
              <w:rPr>
                <w:spacing w:val="-4"/>
                <w:sz w:val="16"/>
              </w:rPr>
              <w:t>0.11</w:t>
            </w:r>
          </w:p>
        </w:tc>
      </w:tr>
      <w:tr>
        <w:trPr>
          <w:trHeight w:val="231" w:hRule="atLeast"/>
        </w:trPr>
        <w:tc>
          <w:tcPr>
            <w:tcW w:w="2505" w:type="dxa"/>
            <w:shd w:val="clear" w:color="auto" w:fill="D9D9D9"/>
          </w:tcPr>
          <w:p>
            <w:pPr>
              <w:pStyle w:val="TableParagraph"/>
              <w:spacing w:before="18"/>
              <w:ind w:left="52"/>
              <w:rPr>
                <w:sz w:val="16"/>
              </w:rPr>
            </w:pPr>
            <w:r>
              <w:rPr>
                <w:spacing w:val="-2"/>
                <w:sz w:val="16"/>
              </w:rPr>
              <w:t>Bulgaria</w:t>
            </w:r>
          </w:p>
        </w:tc>
        <w:tc>
          <w:tcPr>
            <w:tcW w:w="861" w:type="dxa"/>
            <w:shd w:val="clear" w:color="auto" w:fill="D9D9D9"/>
          </w:tcPr>
          <w:p>
            <w:pPr>
              <w:pStyle w:val="TableParagraph"/>
              <w:spacing w:before="18"/>
              <w:ind w:right="56"/>
              <w:jc w:val="right"/>
              <w:rPr>
                <w:sz w:val="16"/>
              </w:rPr>
            </w:pPr>
            <w:r>
              <w:rPr>
                <w:spacing w:val="-2"/>
                <w:sz w:val="16"/>
              </w:rPr>
              <w:t>7,609</w:t>
            </w:r>
          </w:p>
        </w:tc>
        <w:tc>
          <w:tcPr>
            <w:tcW w:w="936" w:type="dxa"/>
            <w:shd w:val="clear" w:color="auto" w:fill="D9D9D9"/>
          </w:tcPr>
          <w:p>
            <w:pPr>
              <w:pStyle w:val="TableParagraph"/>
              <w:spacing w:before="18"/>
              <w:ind w:right="47"/>
              <w:jc w:val="right"/>
              <w:rPr>
                <w:sz w:val="16"/>
              </w:rPr>
            </w:pPr>
            <w:r>
              <w:rPr>
                <w:spacing w:val="-4"/>
                <w:sz w:val="16"/>
              </w:rPr>
              <w:t>0.29</w:t>
            </w:r>
          </w:p>
        </w:tc>
        <w:tc>
          <w:tcPr>
            <w:tcW w:w="1044" w:type="dxa"/>
            <w:gridSpan w:val="2"/>
            <w:shd w:val="clear" w:color="auto" w:fill="D9D9D9"/>
          </w:tcPr>
          <w:p>
            <w:pPr>
              <w:pStyle w:val="TableParagraph"/>
              <w:spacing w:before="18"/>
              <w:ind w:left="555"/>
              <w:rPr>
                <w:sz w:val="16"/>
              </w:rPr>
            </w:pPr>
            <w:r>
              <w:rPr>
                <w:spacing w:val="-2"/>
                <w:sz w:val="16"/>
              </w:rPr>
              <w:t>918.0</w:t>
            </w:r>
          </w:p>
        </w:tc>
        <w:tc>
          <w:tcPr>
            <w:tcW w:w="830" w:type="dxa"/>
            <w:gridSpan w:val="2"/>
            <w:shd w:val="clear" w:color="auto" w:fill="D9D9D9"/>
          </w:tcPr>
          <w:p>
            <w:pPr>
              <w:pStyle w:val="TableParagraph"/>
              <w:spacing w:before="18"/>
              <w:ind w:left="454"/>
              <w:rPr>
                <w:sz w:val="16"/>
              </w:rPr>
            </w:pPr>
            <w:r>
              <w:rPr>
                <w:spacing w:val="-4"/>
                <w:sz w:val="16"/>
              </w:rPr>
              <w:t>64.5</w:t>
            </w:r>
          </w:p>
        </w:tc>
        <w:tc>
          <w:tcPr>
            <w:tcW w:w="984" w:type="dxa"/>
            <w:gridSpan w:val="2"/>
            <w:shd w:val="clear" w:color="auto" w:fill="D9D9D9"/>
          </w:tcPr>
          <w:p>
            <w:pPr>
              <w:pStyle w:val="TableParagraph"/>
              <w:spacing w:before="18"/>
              <w:ind w:left="511"/>
              <w:rPr>
                <w:sz w:val="16"/>
              </w:rPr>
            </w:pPr>
            <w:r>
              <w:rPr>
                <w:spacing w:val="-2"/>
                <w:sz w:val="16"/>
              </w:rPr>
              <w:t>853.4</w:t>
            </w:r>
          </w:p>
        </w:tc>
        <w:tc>
          <w:tcPr>
            <w:tcW w:w="1176" w:type="dxa"/>
            <w:shd w:val="clear" w:color="auto" w:fill="D9D9D9"/>
          </w:tcPr>
          <w:p>
            <w:pPr>
              <w:pStyle w:val="TableParagraph"/>
              <w:spacing w:before="18"/>
              <w:ind w:right="61"/>
              <w:jc w:val="right"/>
              <w:rPr>
                <w:sz w:val="16"/>
              </w:rPr>
            </w:pPr>
            <w:r>
              <w:rPr>
                <w:spacing w:val="-2"/>
                <w:sz w:val="16"/>
              </w:rPr>
              <w:t>8,428</w:t>
            </w:r>
          </w:p>
        </w:tc>
        <w:tc>
          <w:tcPr>
            <w:tcW w:w="1074" w:type="dxa"/>
            <w:shd w:val="clear" w:color="auto" w:fill="D9D9D9"/>
          </w:tcPr>
          <w:p>
            <w:pPr>
              <w:pStyle w:val="TableParagraph"/>
              <w:spacing w:before="18"/>
              <w:ind w:left="570"/>
              <w:rPr>
                <w:sz w:val="16"/>
              </w:rPr>
            </w:pPr>
            <w:r>
              <w:rPr>
                <w:spacing w:val="-4"/>
                <w:sz w:val="16"/>
              </w:rPr>
              <w:t>0.30</w:t>
            </w:r>
          </w:p>
        </w:tc>
      </w:tr>
      <w:tr>
        <w:trPr>
          <w:trHeight w:val="218" w:hRule="atLeast"/>
        </w:trPr>
        <w:tc>
          <w:tcPr>
            <w:tcW w:w="2505" w:type="dxa"/>
          </w:tcPr>
          <w:p>
            <w:pPr>
              <w:pStyle w:val="TableParagraph"/>
              <w:spacing w:before="11"/>
              <w:ind w:left="52"/>
              <w:rPr>
                <w:sz w:val="16"/>
              </w:rPr>
            </w:pPr>
            <w:r>
              <w:rPr>
                <w:sz w:val="16"/>
              </w:rPr>
              <w:t>Burkina</w:t>
            </w:r>
            <w:r>
              <w:rPr>
                <w:spacing w:val="-4"/>
                <w:sz w:val="16"/>
              </w:rPr>
              <w:t> Faso</w:t>
            </w:r>
          </w:p>
        </w:tc>
        <w:tc>
          <w:tcPr>
            <w:tcW w:w="861" w:type="dxa"/>
          </w:tcPr>
          <w:p>
            <w:pPr>
              <w:pStyle w:val="TableParagraph"/>
              <w:spacing w:before="11"/>
              <w:ind w:right="56"/>
              <w:jc w:val="right"/>
              <w:rPr>
                <w:sz w:val="16"/>
              </w:rPr>
            </w:pPr>
            <w:r>
              <w:rPr>
                <w:spacing w:val="-2"/>
                <w:sz w:val="16"/>
              </w:rPr>
              <w:t>1,519</w:t>
            </w:r>
          </w:p>
        </w:tc>
        <w:tc>
          <w:tcPr>
            <w:tcW w:w="936" w:type="dxa"/>
          </w:tcPr>
          <w:p>
            <w:pPr>
              <w:pStyle w:val="TableParagraph"/>
              <w:spacing w:before="11"/>
              <w:ind w:right="47"/>
              <w:jc w:val="right"/>
              <w:rPr>
                <w:sz w:val="16"/>
              </w:rPr>
            </w:pPr>
            <w:r>
              <w:rPr>
                <w:spacing w:val="-4"/>
                <w:sz w:val="16"/>
              </w:rPr>
              <w:t>0.06</w:t>
            </w:r>
          </w:p>
        </w:tc>
        <w:tc>
          <w:tcPr>
            <w:tcW w:w="1044" w:type="dxa"/>
            <w:gridSpan w:val="2"/>
          </w:tcPr>
          <w:p>
            <w:pPr>
              <w:pStyle w:val="TableParagraph"/>
              <w:spacing w:before="11"/>
              <w:ind w:left="555"/>
              <w:rPr>
                <w:sz w:val="16"/>
              </w:rPr>
            </w:pPr>
            <w:r>
              <w:rPr>
                <w:spacing w:val="-2"/>
                <w:sz w:val="16"/>
              </w:rPr>
              <w:t>183.2</w:t>
            </w:r>
          </w:p>
        </w:tc>
        <w:tc>
          <w:tcPr>
            <w:tcW w:w="830" w:type="dxa"/>
            <w:gridSpan w:val="2"/>
          </w:tcPr>
          <w:p>
            <w:pPr>
              <w:pStyle w:val="TableParagraph"/>
              <w:spacing w:before="11"/>
              <w:ind w:left="543"/>
              <w:rPr>
                <w:sz w:val="16"/>
              </w:rPr>
            </w:pPr>
            <w:r>
              <w:rPr>
                <w:spacing w:val="-5"/>
                <w:sz w:val="16"/>
              </w:rPr>
              <w:t>9.7</w:t>
            </w:r>
          </w:p>
        </w:tc>
        <w:tc>
          <w:tcPr>
            <w:tcW w:w="984" w:type="dxa"/>
            <w:gridSpan w:val="2"/>
          </w:tcPr>
          <w:p>
            <w:pPr>
              <w:pStyle w:val="TableParagraph"/>
              <w:spacing w:before="11"/>
              <w:ind w:left="511"/>
              <w:rPr>
                <w:sz w:val="16"/>
              </w:rPr>
            </w:pPr>
            <w:r>
              <w:rPr>
                <w:spacing w:val="-2"/>
                <w:sz w:val="16"/>
              </w:rPr>
              <w:t>173.5</w:t>
            </w:r>
          </w:p>
        </w:tc>
        <w:tc>
          <w:tcPr>
            <w:tcW w:w="1176" w:type="dxa"/>
          </w:tcPr>
          <w:p>
            <w:pPr>
              <w:pStyle w:val="TableParagraph"/>
              <w:spacing w:before="11"/>
              <w:ind w:right="61"/>
              <w:jc w:val="right"/>
              <w:rPr>
                <w:sz w:val="16"/>
              </w:rPr>
            </w:pPr>
            <w:r>
              <w:rPr>
                <w:spacing w:val="-2"/>
                <w:sz w:val="16"/>
              </w:rPr>
              <w:t>2,338</w:t>
            </w:r>
          </w:p>
        </w:tc>
        <w:tc>
          <w:tcPr>
            <w:tcW w:w="1074" w:type="dxa"/>
          </w:tcPr>
          <w:p>
            <w:pPr>
              <w:pStyle w:val="TableParagraph"/>
              <w:spacing w:before="11"/>
              <w:ind w:left="570"/>
              <w:rPr>
                <w:sz w:val="16"/>
              </w:rPr>
            </w:pPr>
            <w:r>
              <w:rPr>
                <w:spacing w:val="-4"/>
                <w:sz w:val="16"/>
              </w:rPr>
              <w:t>0.08</w:t>
            </w:r>
          </w:p>
        </w:tc>
      </w:tr>
      <w:tr>
        <w:trPr>
          <w:trHeight w:val="225" w:hRule="atLeast"/>
        </w:trPr>
        <w:tc>
          <w:tcPr>
            <w:tcW w:w="2505" w:type="dxa"/>
          </w:tcPr>
          <w:p>
            <w:pPr>
              <w:pStyle w:val="TableParagraph"/>
              <w:spacing w:before="18"/>
              <w:ind w:left="52"/>
              <w:rPr>
                <w:sz w:val="16"/>
              </w:rPr>
            </w:pPr>
            <w:r>
              <w:rPr>
                <w:spacing w:val="-2"/>
                <w:sz w:val="16"/>
              </w:rPr>
              <w:t>Burundi</w:t>
            </w:r>
          </w:p>
        </w:tc>
        <w:tc>
          <w:tcPr>
            <w:tcW w:w="861" w:type="dxa"/>
          </w:tcPr>
          <w:p>
            <w:pPr>
              <w:pStyle w:val="TableParagraph"/>
              <w:spacing w:before="18"/>
              <w:ind w:right="56"/>
              <w:jc w:val="right"/>
              <w:rPr>
                <w:sz w:val="16"/>
              </w:rPr>
            </w:pPr>
            <w:r>
              <w:rPr>
                <w:spacing w:val="-2"/>
                <w:sz w:val="16"/>
              </w:rPr>
              <w:t>1,043</w:t>
            </w:r>
          </w:p>
        </w:tc>
        <w:tc>
          <w:tcPr>
            <w:tcW w:w="936" w:type="dxa"/>
          </w:tcPr>
          <w:p>
            <w:pPr>
              <w:pStyle w:val="TableParagraph"/>
              <w:spacing w:before="18"/>
              <w:ind w:right="47"/>
              <w:jc w:val="right"/>
              <w:rPr>
                <w:sz w:val="16"/>
              </w:rPr>
            </w:pPr>
            <w:r>
              <w:rPr>
                <w:spacing w:val="-4"/>
                <w:sz w:val="16"/>
              </w:rPr>
              <w:t>0.04</w:t>
            </w:r>
          </w:p>
        </w:tc>
        <w:tc>
          <w:tcPr>
            <w:tcW w:w="1044" w:type="dxa"/>
            <w:gridSpan w:val="2"/>
          </w:tcPr>
          <w:p>
            <w:pPr>
              <w:pStyle w:val="TableParagraph"/>
              <w:spacing w:before="18"/>
              <w:ind w:left="555"/>
              <w:rPr>
                <w:sz w:val="16"/>
              </w:rPr>
            </w:pPr>
            <w:r>
              <w:rPr>
                <w:spacing w:val="-2"/>
                <w:sz w:val="16"/>
              </w:rPr>
              <w:t>125.8</w:t>
            </w:r>
          </w:p>
        </w:tc>
        <w:tc>
          <w:tcPr>
            <w:tcW w:w="830" w:type="dxa"/>
            <w:gridSpan w:val="2"/>
          </w:tcPr>
          <w:p>
            <w:pPr>
              <w:pStyle w:val="TableParagraph"/>
              <w:spacing w:before="18"/>
              <w:ind w:left="543"/>
              <w:rPr>
                <w:sz w:val="16"/>
              </w:rPr>
            </w:pPr>
            <w:r>
              <w:rPr>
                <w:spacing w:val="-5"/>
                <w:sz w:val="16"/>
              </w:rPr>
              <w:t>4.6</w:t>
            </w:r>
          </w:p>
        </w:tc>
        <w:tc>
          <w:tcPr>
            <w:tcW w:w="984" w:type="dxa"/>
            <w:gridSpan w:val="2"/>
          </w:tcPr>
          <w:p>
            <w:pPr>
              <w:pStyle w:val="TableParagraph"/>
              <w:spacing w:before="18"/>
              <w:ind w:left="511"/>
              <w:rPr>
                <w:sz w:val="16"/>
              </w:rPr>
            </w:pPr>
            <w:r>
              <w:rPr>
                <w:spacing w:val="-2"/>
                <w:sz w:val="16"/>
              </w:rPr>
              <w:t>121.3</w:t>
            </w:r>
          </w:p>
        </w:tc>
        <w:tc>
          <w:tcPr>
            <w:tcW w:w="1176" w:type="dxa"/>
          </w:tcPr>
          <w:p>
            <w:pPr>
              <w:pStyle w:val="TableParagraph"/>
              <w:spacing w:before="18"/>
              <w:ind w:right="61"/>
              <w:jc w:val="right"/>
              <w:rPr>
                <w:sz w:val="16"/>
              </w:rPr>
            </w:pPr>
            <w:r>
              <w:rPr>
                <w:spacing w:val="-2"/>
                <w:sz w:val="16"/>
              </w:rPr>
              <w:t>1,862</w:t>
            </w:r>
          </w:p>
        </w:tc>
        <w:tc>
          <w:tcPr>
            <w:tcW w:w="1074" w:type="dxa"/>
          </w:tcPr>
          <w:p>
            <w:pPr>
              <w:pStyle w:val="TableParagraph"/>
              <w:spacing w:before="18"/>
              <w:ind w:left="570"/>
              <w:rPr>
                <w:sz w:val="16"/>
              </w:rPr>
            </w:pPr>
            <w:r>
              <w:rPr>
                <w:spacing w:val="-4"/>
                <w:sz w:val="16"/>
              </w:rPr>
              <w:t>0.07</w:t>
            </w:r>
          </w:p>
        </w:tc>
      </w:tr>
      <w:tr>
        <w:trPr>
          <w:trHeight w:val="225" w:hRule="atLeast"/>
        </w:trPr>
        <w:tc>
          <w:tcPr>
            <w:tcW w:w="2505" w:type="dxa"/>
          </w:tcPr>
          <w:p>
            <w:pPr>
              <w:pStyle w:val="TableParagraph"/>
              <w:spacing w:before="18"/>
              <w:ind w:left="52"/>
              <w:rPr>
                <w:sz w:val="16"/>
              </w:rPr>
            </w:pPr>
            <w:r>
              <w:rPr>
                <w:sz w:val="16"/>
              </w:rPr>
              <w:t>Cabo</w:t>
            </w:r>
            <w:r>
              <w:rPr>
                <w:spacing w:val="-9"/>
                <w:sz w:val="16"/>
              </w:rPr>
              <w:t> </w:t>
            </w:r>
            <w:r>
              <w:rPr>
                <w:sz w:val="16"/>
              </w:rPr>
              <w:t>Verde,</w:t>
            </w:r>
            <w:r>
              <w:rPr>
                <w:spacing w:val="-7"/>
                <w:sz w:val="16"/>
              </w:rPr>
              <w:t> </w:t>
            </w:r>
            <w:r>
              <w:rPr>
                <w:sz w:val="16"/>
              </w:rPr>
              <w:t>Republic</w:t>
            </w:r>
            <w:r>
              <w:rPr>
                <w:spacing w:val="-7"/>
                <w:sz w:val="16"/>
              </w:rPr>
              <w:t> </w:t>
            </w:r>
            <w:r>
              <w:rPr>
                <w:spacing w:val="-5"/>
                <w:sz w:val="16"/>
              </w:rPr>
              <w:t>of</w:t>
            </w:r>
          </w:p>
        </w:tc>
        <w:tc>
          <w:tcPr>
            <w:tcW w:w="861" w:type="dxa"/>
          </w:tcPr>
          <w:p>
            <w:pPr>
              <w:pStyle w:val="TableParagraph"/>
              <w:spacing w:before="18"/>
              <w:ind w:right="56"/>
              <w:jc w:val="right"/>
              <w:rPr>
                <w:sz w:val="16"/>
              </w:rPr>
            </w:pPr>
            <w:r>
              <w:rPr>
                <w:spacing w:val="-5"/>
                <w:sz w:val="16"/>
              </w:rPr>
              <w:t>729</w:t>
            </w:r>
          </w:p>
        </w:tc>
        <w:tc>
          <w:tcPr>
            <w:tcW w:w="936" w:type="dxa"/>
          </w:tcPr>
          <w:p>
            <w:pPr>
              <w:pStyle w:val="TableParagraph"/>
              <w:spacing w:before="18"/>
              <w:ind w:right="47"/>
              <w:jc w:val="right"/>
              <w:rPr>
                <w:sz w:val="16"/>
              </w:rPr>
            </w:pPr>
            <w:r>
              <w:rPr>
                <w:spacing w:val="-4"/>
                <w:sz w:val="16"/>
              </w:rPr>
              <w:t>0.03</w:t>
            </w:r>
          </w:p>
        </w:tc>
        <w:tc>
          <w:tcPr>
            <w:tcW w:w="1044" w:type="dxa"/>
            <w:gridSpan w:val="2"/>
          </w:tcPr>
          <w:p>
            <w:pPr>
              <w:pStyle w:val="TableParagraph"/>
              <w:spacing w:before="18"/>
              <w:ind w:left="643"/>
              <w:rPr>
                <w:sz w:val="16"/>
              </w:rPr>
            </w:pPr>
            <w:r>
              <w:rPr>
                <w:spacing w:val="-4"/>
                <w:sz w:val="16"/>
              </w:rPr>
              <w:t>87.9</w:t>
            </w:r>
          </w:p>
        </w:tc>
        <w:tc>
          <w:tcPr>
            <w:tcW w:w="830" w:type="dxa"/>
            <w:gridSpan w:val="2"/>
          </w:tcPr>
          <w:p>
            <w:pPr>
              <w:pStyle w:val="TableParagraph"/>
              <w:spacing w:before="18"/>
              <w:ind w:left="543"/>
              <w:rPr>
                <w:sz w:val="16"/>
              </w:rPr>
            </w:pPr>
            <w:r>
              <w:rPr>
                <w:spacing w:val="-5"/>
                <w:sz w:val="16"/>
              </w:rPr>
              <w:t>2.3</w:t>
            </w:r>
          </w:p>
        </w:tc>
        <w:tc>
          <w:tcPr>
            <w:tcW w:w="984" w:type="dxa"/>
            <w:gridSpan w:val="2"/>
          </w:tcPr>
          <w:p>
            <w:pPr>
              <w:pStyle w:val="TableParagraph"/>
              <w:spacing w:before="18"/>
              <w:ind w:left="599"/>
              <w:rPr>
                <w:sz w:val="16"/>
              </w:rPr>
            </w:pPr>
            <w:r>
              <w:rPr>
                <w:spacing w:val="-4"/>
                <w:sz w:val="16"/>
              </w:rPr>
              <w:t>85.7</w:t>
            </w:r>
          </w:p>
        </w:tc>
        <w:tc>
          <w:tcPr>
            <w:tcW w:w="1176" w:type="dxa"/>
          </w:tcPr>
          <w:p>
            <w:pPr>
              <w:pStyle w:val="TableParagraph"/>
              <w:spacing w:before="18"/>
              <w:ind w:right="61"/>
              <w:jc w:val="right"/>
              <w:rPr>
                <w:sz w:val="16"/>
              </w:rPr>
            </w:pPr>
            <w:r>
              <w:rPr>
                <w:spacing w:val="-2"/>
                <w:sz w:val="16"/>
              </w:rPr>
              <w:t>1,548</w:t>
            </w:r>
          </w:p>
        </w:tc>
        <w:tc>
          <w:tcPr>
            <w:tcW w:w="1074" w:type="dxa"/>
          </w:tcPr>
          <w:p>
            <w:pPr>
              <w:pStyle w:val="TableParagraph"/>
              <w:spacing w:before="18"/>
              <w:ind w:left="570"/>
              <w:rPr>
                <w:sz w:val="16"/>
              </w:rPr>
            </w:pPr>
            <w:r>
              <w:rPr>
                <w:spacing w:val="-4"/>
                <w:sz w:val="16"/>
              </w:rPr>
              <w:t>0.06</w:t>
            </w:r>
          </w:p>
        </w:tc>
      </w:tr>
      <w:tr>
        <w:trPr>
          <w:trHeight w:val="225" w:hRule="atLeast"/>
        </w:trPr>
        <w:tc>
          <w:tcPr>
            <w:tcW w:w="2505" w:type="dxa"/>
          </w:tcPr>
          <w:p>
            <w:pPr>
              <w:pStyle w:val="TableParagraph"/>
              <w:spacing w:before="18"/>
              <w:ind w:left="52"/>
              <w:rPr>
                <w:sz w:val="16"/>
              </w:rPr>
            </w:pPr>
            <w:r>
              <w:rPr>
                <w:spacing w:val="-2"/>
                <w:sz w:val="16"/>
              </w:rPr>
              <w:t>Cambodia</w:t>
            </w:r>
          </w:p>
        </w:tc>
        <w:tc>
          <w:tcPr>
            <w:tcW w:w="861" w:type="dxa"/>
          </w:tcPr>
          <w:p>
            <w:pPr>
              <w:pStyle w:val="TableParagraph"/>
              <w:spacing w:before="18"/>
              <w:ind w:right="56"/>
              <w:jc w:val="right"/>
              <w:rPr>
                <w:sz w:val="16"/>
              </w:rPr>
            </w:pPr>
            <w:r>
              <w:rPr>
                <w:spacing w:val="-5"/>
                <w:sz w:val="16"/>
              </w:rPr>
              <w:t>619</w:t>
            </w:r>
          </w:p>
        </w:tc>
        <w:tc>
          <w:tcPr>
            <w:tcW w:w="936" w:type="dxa"/>
          </w:tcPr>
          <w:p>
            <w:pPr>
              <w:pStyle w:val="TableParagraph"/>
              <w:spacing w:before="18"/>
              <w:ind w:right="47"/>
              <w:jc w:val="right"/>
              <w:rPr>
                <w:sz w:val="16"/>
              </w:rPr>
            </w:pPr>
            <w:r>
              <w:rPr>
                <w:spacing w:val="-4"/>
                <w:sz w:val="16"/>
              </w:rPr>
              <w:t>0.02</w:t>
            </w:r>
          </w:p>
        </w:tc>
        <w:tc>
          <w:tcPr>
            <w:tcW w:w="1044" w:type="dxa"/>
            <w:gridSpan w:val="2"/>
          </w:tcPr>
          <w:p>
            <w:pPr>
              <w:pStyle w:val="TableParagraph"/>
              <w:spacing w:before="18"/>
              <w:ind w:left="643"/>
              <w:rPr>
                <w:sz w:val="16"/>
              </w:rPr>
            </w:pPr>
            <w:r>
              <w:rPr>
                <w:spacing w:val="-4"/>
                <w:sz w:val="16"/>
              </w:rPr>
              <w:t>74.7</w:t>
            </w:r>
          </w:p>
        </w:tc>
        <w:tc>
          <w:tcPr>
            <w:tcW w:w="830" w:type="dxa"/>
            <w:gridSpan w:val="2"/>
          </w:tcPr>
          <w:p>
            <w:pPr>
              <w:pStyle w:val="TableParagraph"/>
              <w:spacing w:before="18"/>
              <w:ind w:left="543"/>
              <w:rPr>
                <w:sz w:val="16"/>
              </w:rPr>
            </w:pPr>
            <w:r>
              <w:rPr>
                <w:spacing w:val="-5"/>
                <w:sz w:val="16"/>
              </w:rPr>
              <w:t>6.4</w:t>
            </w:r>
          </w:p>
        </w:tc>
        <w:tc>
          <w:tcPr>
            <w:tcW w:w="984" w:type="dxa"/>
            <w:gridSpan w:val="2"/>
          </w:tcPr>
          <w:p>
            <w:pPr>
              <w:pStyle w:val="TableParagraph"/>
              <w:spacing w:before="18"/>
              <w:ind w:left="599"/>
              <w:rPr>
                <w:sz w:val="16"/>
              </w:rPr>
            </w:pPr>
            <w:r>
              <w:rPr>
                <w:spacing w:val="-4"/>
                <w:sz w:val="16"/>
              </w:rPr>
              <w:t>68.3</w:t>
            </w:r>
          </w:p>
        </w:tc>
        <w:tc>
          <w:tcPr>
            <w:tcW w:w="1176" w:type="dxa"/>
          </w:tcPr>
          <w:p>
            <w:pPr>
              <w:pStyle w:val="TableParagraph"/>
              <w:spacing w:before="18"/>
              <w:ind w:right="61"/>
              <w:jc w:val="right"/>
              <w:rPr>
                <w:sz w:val="16"/>
              </w:rPr>
            </w:pPr>
            <w:r>
              <w:rPr>
                <w:spacing w:val="-2"/>
                <w:sz w:val="16"/>
              </w:rPr>
              <w:t>1,438</w:t>
            </w:r>
          </w:p>
        </w:tc>
        <w:tc>
          <w:tcPr>
            <w:tcW w:w="1074" w:type="dxa"/>
          </w:tcPr>
          <w:p>
            <w:pPr>
              <w:pStyle w:val="TableParagraph"/>
              <w:spacing w:before="18"/>
              <w:ind w:left="570"/>
              <w:rPr>
                <w:sz w:val="16"/>
              </w:rPr>
            </w:pPr>
            <w:r>
              <w:rPr>
                <w:spacing w:val="-4"/>
                <w:sz w:val="16"/>
              </w:rPr>
              <w:t>0.05</w:t>
            </w:r>
          </w:p>
        </w:tc>
      </w:tr>
      <w:tr>
        <w:trPr>
          <w:trHeight w:val="226" w:hRule="atLeast"/>
        </w:trPr>
        <w:tc>
          <w:tcPr>
            <w:tcW w:w="2505" w:type="dxa"/>
          </w:tcPr>
          <w:p>
            <w:pPr>
              <w:pStyle w:val="TableParagraph"/>
              <w:spacing w:before="18"/>
              <w:ind w:left="52"/>
              <w:rPr>
                <w:sz w:val="16"/>
              </w:rPr>
            </w:pPr>
            <w:r>
              <w:rPr>
                <w:spacing w:val="-2"/>
                <w:sz w:val="16"/>
              </w:rPr>
              <w:t>Cameroon</w:t>
            </w:r>
          </w:p>
        </w:tc>
        <w:tc>
          <w:tcPr>
            <w:tcW w:w="861" w:type="dxa"/>
          </w:tcPr>
          <w:p>
            <w:pPr>
              <w:pStyle w:val="TableParagraph"/>
              <w:spacing w:before="18"/>
              <w:ind w:right="56"/>
              <w:jc w:val="right"/>
              <w:rPr>
                <w:sz w:val="16"/>
              </w:rPr>
            </w:pPr>
            <w:r>
              <w:rPr>
                <w:spacing w:val="-2"/>
                <w:sz w:val="16"/>
              </w:rPr>
              <w:t>2,202</w:t>
            </w:r>
          </w:p>
        </w:tc>
        <w:tc>
          <w:tcPr>
            <w:tcW w:w="936" w:type="dxa"/>
          </w:tcPr>
          <w:p>
            <w:pPr>
              <w:pStyle w:val="TableParagraph"/>
              <w:spacing w:before="18"/>
              <w:ind w:right="47"/>
              <w:jc w:val="right"/>
              <w:rPr>
                <w:sz w:val="16"/>
              </w:rPr>
            </w:pPr>
            <w:r>
              <w:rPr>
                <w:spacing w:val="-4"/>
                <w:sz w:val="16"/>
              </w:rPr>
              <w:t>0.08</w:t>
            </w:r>
          </w:p>
        </w:tc>
        <w:tc>
          <w:tcPr>
            <w:tcW w:w="1044" w:type="dxa"/>
            <w:gridSpan w:val="2"/>
          </w:tcPr>
          <w:p>
            <w:pPr>
              <w:pStyle w:val="TableParagraph"/>
              <w:spacing w:before="18"/>
              <w:ind w:left="555"/>
              <w:rPr>
                <w:sz w:val="16"/>
              </w:rPr>
            </w:pPr>
            <w:r>
              <w:rPr>
                <w:spacing w:val="-2"/>
                <w:sz w:val="16"/>
              </w:rPr>
              <w:t>265.6</w:t>
            </w:r>
          </w:p>
        </w:tc>
        <w:tc>
          <w:tcPr>
            <w:tcW w:w="830" w:type="dxa"/>
            <w:gridSpan w:val="2"/>
          </w:tcPr>
          <w:p>
            <w:pPr>
              <w:pStyle w:val="TableParagraph"/>
              <w:spacing w:before="18"/>
              <w:ind w:left="454"/>
              <w:rPr>
                <w:sz w:val="16"/>
              </w:rPr>
            </w:pPr>
            <w:r>
              <w:rPr>
                <w:spacing w:val="-4"/>
                <w:sz w:val="16"/>
              </w:rPr>
              <w:t>12.4</w:t>
            </w:r>
          </w:p>
        </w:tc>
        <w:tc>
          <w:tcPr>
            <w:tcW w:w="984" w:type="dxa"/>
            <w:gridSpan w:val="2"/>
          </w:tcPr>
          <w:p>
            <w:pPr>
              <w:pStyle w:val="TableParagraph"/>
              <w:spacing w:before="18"/>
              <w:ind w:left="511"/>
              <w:rPr>
                <w:sz w:val="16"/>
              </w:rPr>
            </w:pPr>
            <w:r>
              <w:rPr>
                <w:spacing w:val="-2"/>
                <w:sz w:val="16"/>
              </w:rPr>
              <w:t>253.3</w:t>
            </w:r>
          </w:p>
        </w:tc>
        <w:tc>
          <w:tcPr>
            <w:tcW w:w="1176" w:type="dxa"/>
          </w:tcPr>
          <w:p>
            <w:pPr>
              <w:pStyle w:val="TableParagraph"/>
              <w:spacing w:before="18"/>
              <w:ind w:right="61"/>
              <w:jc w:val="right"/>
              <w:rPr>
                <w:sz w:val="16"/>
              </w:rPr>
            </w:pPr>
            <w:r>
              <w:rPr>
                <w:spacing w:val="-2"/>
                <w:sz w:val="16"/>
              </w:rPr>
              <w:t>3,021</w:t>
            </w:r>
          </w:p>
        </w:tc>
        <w:tc>
          <w:tcPr>
            <w:tcW w:w="1074" w:type="dxa"/>
          </w:tcPr>
          <w:p>
            <w:pPr>
              <w:pStyle w:val="TableParagraph"/>
              <w:spacing w:before="18"/>
              <w:ind w:left="582"/>
              <w:rPr>
                <w:sz w:val="16"/>
              </w:rPr>
            </w:pPr>
            <w:r>
              <w:rPr>
                <w:spacing w:val="-4"/>
                <w:sz w:val="16"/>
              </w:rPr>
              <w:t>0.11</w:t>
            </w:r>
          </w:p>
        </w:tc>
      </w:tr>
      <w:tr>
        <w:trPr>
          <w:trHeight w:val="223" w:hRule="atLeast"/>
        </w:trPr>
        <w:tc>
          <w:tcPr>
            <w:tcW w:w="2505" w:type="dxa"/>
            <w:shd w:val="clear" w:color="auto" w:fill="D9D9D9"/>
          </w:tcPr>
          <w:p>
            <w:pPr>
              <w:pStyle w:val="TableParagraph"/>
              <w:spacing w:before="11"/>
              <w:ind w:left="52"/>
              <w:rPr>
                <w:sz w:val="16"/>
              </w:rPr>
            </w:pPr>
            <w:r>
              <w:rPr>
                <w:sz w:val="16"/>
              </w:rPr>
              <w:t>Canada</w:t>
            </w:r>
            <w:r>
              <w:rPr>
                <w:spacing w:val="-6"/>
                <w:sz w:val="16"/>
              </w:rPr>
              <w:t> </w:t>
            </w:r>
            <w:r>
              <w:rPr>
                <w:spacing w:val="-10"/>
                <w:sz w:val="16"/>
                <w:vertAlign w:val="superscript"/>
              </w:rPr>
              <w:t>c</w:t>
            </w:r>
          </w:p>
        </w:tc>
        <w:tc>
          <w:tcPr>
            <w:tcW w:w="861" w:type="dxa"/>
            <w:shd w:val="clear" w:color="auto" w:fill="D9D9D9"/>
          </w:tcPr>
          <w:p>
            <w:pPr>
              <w:pStyle w:val="TableParagraph"/>
              <w:spacing w:before="11"/>
              <w:ind w:right="56"/>
              <w:jc w:val="right"/>
              <w:rPr>
                <w:sz w:val="16"/>
              </w:rPr>
            </w:pPr>
            <w:r>
              <w:rPr>
                <w:spacing w:val="-2"/>
                <w:sz w:val="16"/>
              </w:rPr>
              <w:t>70,455</w:t>
            </w:r>
          </w:p>
        </w:tc>
        <w:tc>
          <w:tcPr>
            <w:tcW w:w="936" w:type="dxa"/>
            <w:shd w:val="clear" w:color="auto" w:fill="D9D9D9"/>
          </w:tcPr>
          <w:p>
            <w:pPr>
              <w:pStyle w:val="TableParagraph"/>
              <w:spacing w:before="11"/>
              <w:ind w:right="47"/>
              <w:jc w:val="right"/>
              <w:rPr>
                <w:sz w:val="16"/>
              </w:rPr>
            </w:pPr>
            <w:r>
              <w:rPr>
                <w:spacing w:val="-4"/>
                <w:sz w:val="16"/>
              </w:rPr>
              <w:t>2.67</w:t>
            </w:r>
          </w:p>
        </w:tc>
        <w:tc>
          <w:tcPr>
            <w:tcW w:w="1044" w:type="dxa"/>
            <w:gridSpan w:val="2"/>
            <w:shd w:val="clear" w:color="auto" w:fill="D9D9D9"/>
          </w:tcPr>
          <w:p>
            <w:pPr>
              <w:pStyle w:val="TableParagraph"/>
              <w:spacing w:before="11"/>
              <w:ind w:left="421"/>
              <w:rPr>
                <w:sz w:val="16"/>
              </w:rPr>
            </w:pPr>
            <w:r>
              <w:rPr>
                <w:spacing w:val="-2"/>
                <w:sz w:val="16"/>
              </w:rPr>
              <w:t>8,499.3</w:t>
            </w:r>
          </w:p>
        </w:tc>
        <w:tc>
          <w:tcPr>
            <w:tcW w:w="830" w:type="dxa"/>
            <w:gridSpan w:val="2"/>
            <w:shd w:val="clear" w:color="auto" w:fill="D9D9D9"/>
          </w:tcPr>
          <w:p>
            <w:pPr>
              <w:pStyle w:val="TableParagraph"/>
              <w:spacing w:before="11"/>
              <w:ind w:left="366"/>
              <w:rPr>
                <w:sz w:val="16"/>
              </w:rPr>
            </w:pPr>
            <w:r>
              <w:rPr>
                <w:spacing w:val="-2"/>
                <w:sz w:val="16"/>
              </w:rPr>
              <w:t>619.5</w:t>
            </w:r>
          </w:p>
        </w:tc>
        <w:tc>
          <w:tcPr>
            <w:tcW w:w="984" w:type="dxa"/>
            <w:gridSpan w:val="2"/>
            <w:shd w:val="clear" w:color="auto" w:fill="D9D9D9"/>
          </w:tcPr>
          <w:p>
            <w:pPr>
              <w:pStyle w:val="TableParagraph"/>
              <w:spacing w:before="11"/>
              <w:ind w:left="377"/>
              <w:rPr>
                <w:sz w:val="16"/>
              </w:rPr>
            </w:pPr>
            <w:r>
              <w:rPr>
                <w:spacing w:val="-2"/>
                <w:sz w:val="16"/>
              </w:rPr>
              <w:t>7,879.8</w:t>
            </w:r>
          </w:p>
        </w:tc>
        <w:tc>
          <w:tcPr>
            <w:tcW w:w="1176" w:type="dxa"/>
            <w:shd w:val="clear" w:color="auto" w:fill="D9D9D9"/>
          </w:tcPr>
          <w:p>
            <w:pPr>
              <w:pStyle w:val="TableParagraph"/>
              <w:spacing w:before="11"/>
              <w:ind w:right="61"/>
              <w:jc w:val="right"/>
              <w:rPr>
                <w:sz w:val="16"/>
              </w:rPr>
            </w:pPr>
            <w:r>
              <w:rPr>
                <w:spacing w:val="-2"/>
                <w:sz w:val="16"/>
              </w:rPr>
              <w:t>71,274</w:t>
            </w:r>
          </w:p>
        </w:tc>
        <w:tc>
          <w:tcPr>
            <w:tcW w:w="1074" w:type="dxa"/>
            <w:shd w:val="clear" w:color="auto" w:fill="D9D9D9"/>
          </w:tcPr>
          <w:p>
            <w:pPr>
              <w:pStyle w:val="TableParagraph"/>
              <w:spacing w:before="11"/>
              <w:ind w:left="570"/>
              <w:rPr>
                <w:sz w:val="16"/>
              </w:rPr>
            </w:pPr>
            <w:r>
              <w:rPr>
                <w:spacing w:val="-4"/>
                <w:sz w:val="16"/>
              </w:rPr>
              <w:t>2.56</w:t>
            </w:r>
          </w:p>
        </w:tc>
      </w:tr>
      <w:tr>
        <w:trPr>
          <w:trHeight w:val="225" w:hRule="atLeast"/>
        </w:trPr>
        <w:tc>
          <w:tcPr>
            <w:tcW w:w="2505" w:type="dxa"/>
            <w:shd w:val="clear" w:color="auto" w:fill="D9D9D9"/>
          </w:tcPr>
          <w:p>
            <w:pPr>
              <w:pStyle w:val="TableParagraph"/>
              <w:spacing w:before="18"/>
              <w:ind w:left="52"/>
              <w:rPr>
                <w:sz w:val="16"/>
              </w:rPr>
            </w:pPr>
            <w:r>
              <w:rPr>
                <w:sz w:val="16"/>
              </w:rPr>
              <w:t>Central</w:t>
            </w:r>
            <w:r>
              <w:rPr>
                <w:spacing w:val="-12"/>
                <w:sz w:val="16"/>
              </w:rPr>
              <w:t> </w:t>
            </w:r>
            <w:r>
              <w:rPr>
                <w:sz w:val="16"/>
              </w:rPr>
              <w:t>African</w:t>
            </w:r>
            <w:r>
              <w:rPr>
                <w:spacing w:val="-4"/>
                <w:sz w:val="16"/>
              </w:rPr>
              <w:t> </w:t>
            </w:r>
            <w:r>
              <w:rPr>
                <w:spacing w:val="-2"/>
                <w:sz w:val="16"/>
              </w:rPr>
              <w:t>Republic</w:t>
            </w:r>
          </w:p>
        </w:tc>
        <w:tc>
          <w:tcPr>
            <w:tcW w:w="861" w:type="dxa"/>
            <w:shd w:val="clear" w:color="auto" w:fill="D9D9D9"/>
          </w:tcPr>
          <w:p>
            <w:pPr>
              <w:pStyle w:val="TableParagraph"/>
              <w:spacing w:before="18"/>
              <w:ind w:right="56"/>
              <w:jc w:val="right"/>
              <w:rPr>
                <w:sz w:val="16"/>
              </w:rPr>
            </w:pPr>
            <w:r>
              <w:rPr>
                <w:spacing w:val="-5"/>
                <w:sz w:val="16"/>
              </w:rPr>
              <w:t>975</w:t>
            </w:r>
          </w:p>
        </w:tc>
        <w:tc>
          <w:tcPr>
            <w:tcW w:w="936" w:type="dxa"/>
            <w:shd w:val="clear" w:color="auto" w:fill="D9D9D9"/>
          </w:tcPr>
          <w:p>
            <w:pPr>
              <w:pStyle w:val="TableParagraph"/>
              <w:spacing w:before="18"/>
              <w:ind w:right="47"/>
              <w:jc w:val="right"/>
              <w:rPr>
                <w:sz w:val="16"/>
              </w:rPr>
            </w:pPr>
            <w:r>
              <w:rPr>
                <w:spacing w:val="-4"/>
                <w:sz w:val="16"/>
              </w:rPr>
              <w:t>0.04</w:t>
            </w:r>
          </w:p>
        </w:tc>
        <w:tc>
          <w:tcPr>
            <w:tcW w:w="1044" w:type="dxa"/>
            <w:gridSpan w:val="2"/>
            <w:shd w:val="clear" w:color="auto" w:fill="D9D9D9"/>
          </w:tcPr>
          <w:p>
            <w:pPr>
              <w:pStyle w:val="TableParagraph"/>
              <w:spacing w:before="18"/>
              <w:ind w:left="555"/>
              <w:rPr>
                <w:sz w:val="16"/>
              </w:rPr>
            </w:pPr>
            <w:r>
              <w:rPr>
                <w:spacing w:val="-2"/>
                <w:sz w:val="16"/>
              </w:rPr>
              <w:t>117.6</w:t>
            </w:r>
          </w:p>
        </w:tc>
        <w:tc>
          <w:tcPr>
            <w:tcW w:w="830" w:type="dxa"/>
            <w:gridSpan w:val="2"/>
            <w:shd w:val="clear" w:color="auto" w:fill="D9D9D9"/>
          </w:tcPr>
          <w:p>
            <w:pPr>
              <w:pStyle w:val="TableParagraph"/>
              <w:spacing w:before="18"/>
              <w:ind w:left="543"/>
              <w:rPr>
                <w:sz w:val="16"/>
              </w:rPr>
            </w:pPr>
            <w:r>
              <w:rPr>
                <w:spacing w:val="-5"/>
                <w:sz w:val="16"/>
              </w:rPr>
              <w:t>3.9</w:t>
            </w:r>
          </w:p>
        </w:tc>
        <w:tc>
          <w:tcPr>
            <w:tcW w:w="984" w:type="dxa"/>
            <w:gridSpan w:val="2"/>
            <w:shd w:val="clear" w:color="auto" w:fill="D9D9D9"/>
          </w:tcPr>
          <w:p>
            <w:pPr>
              <w:pStyle w:val="TableParagraph"/>
              <w:spacing w:before="18"/>
              <w:ind w:left="511"/>
              <w:rPr>
                <w:sz w:val="16"/>
              </w:rPr>
            </w:pPr>
            <w:r>
              <w:rPr>
                <w:spacing w:val="-2"/>
                <w:sz w:val="16"/>
              </w:rPr>
              <w:t>113.8</w:t>
            </w:r>
          </w:p>
        </w:tc>
        <w:tc>
          <w:tcPr>
            <w:tcW w:w="1176" w:type="dxa"/>
            <w:shd w:val="clear" w:color="auto" w:fill="D9D9D9"/>
          </w:tcPr>
          <w:p>
            <w:pPr>
              <w:pStyle w:val="TableParagraph"/>
              <w:spacing w:before="18"/>
              <w:ind w:right="61"/>
              <w:jc w:val="right"/>
              <w:rPr>
                <w:sz w:val="16"/>
              </w:rPr>
            </w:pPr>
            <w:r>
              <w:rPr>
                <w:spacing w:val="-2"/>
                <w:sz w:val="16"/>
              </w:rPr>
              <w:t>1,794</w:t>
            </w:r>
          </w:p>
        </w:tc>
        <w:tc>
          <w:tcPr>
            <w:tcW w:w="1074" w:type="dxa"/>
            <w:shd w:val="clear" w:color="auto" w:fill="D9D9D9"/>
          </w:tcPr>
          <w:p>
            <w:pPr>
              <w:pStyle w:val="TableParagraph"/>
              <w:spacing w:before="18"/>
              <w:ind w:left="570"/>
              <w:rPr>
                <w:sz w:val="16"/>
              </w:rPr>
            </w:pPr>
            <w:r>
              <w:rPr>
                <w:spacing w:val="-4"/>
                <w:sz w:val="16"/>
              </w:rPr>
              <w:t>0.06</w:t>
            </w:r>
          </w:p>
        </w:tc>
      </w:tr>
      <w:tr>
        <w:trPr>
          <w:trHeight w:val="225" w:hRule="atLeast"/>
        </w:trPr>
        <w:tc>
          <w:tcPr>
            <w:tcW w:w="2505" w:type="dxa"/>
            <w:shd w:val="clear" w:color="auto" w:fill="D9D9D9"/>
          </w:tcPr>
          <w:p>
            <w:pPr>
              <w:pStyle w:val="TableParagraph"/>
              <w:spacing w:before="18"/>
              <w:ind w:left="52"/>
              <w:rPr>
                <w:sz w:val="16"/>
              </w:rPr>
            </w:pPr>
            <w:r>
              <w:rPr>
                <w:spacing w:val="-4"/>
                <w:sz w:val="16"/>
              </w:rPr>
              <w:t>Chad</w:t>
            </w:r>
          </w:p>
        </w:tc>
        <w:tc>
          <w:tcPr>
            <w:tcW w:w="861" w:type="dxa"/>
            <w:shd w:val="clear" w:color="auto" w:fill="D9D9D9"/>
          </w:tcPr>
          <w:p>
            <w:pPr>
              <w:pStyle w:val="TableParagraph"/>
              <w:spacing w:before="18"/>
              <w:ind w:right="56"/>
              <w:jc w:val="right"/>
              <w:rPr>
                <w:sz w:val="16"/>
              </w:rPr>
            </w:pPr>
            <w:r>
              <w:rPr>
                <w:spacing w:val="-5"/>
                <w:sz w:val="16"/>
              </w:rPr>
              <w:t>975</w:t>
            </w:r>
          </w:p>
        </w:tc>
        <w:tc>
          <w:tcPr>
            <w:tcW w:w="936" w:type="dxa"/>
            <w:shd w:val="clear" w:color="auto" w:fill="D9D9D9"/>
          </w:tcPr>
          <w:p>
            <w:pPr>
              <w:pStyle w:val="TableParagraph"/>
              <w:spacing w:before="18"/>
              <w:ind w:right="47"/>
              <w:jc w:val="right"/>
              <w:rPr>
                <w:sz w:val="16"/>
              </w:rPr>
            </w:pPr>
            <w:r>
              <w:rPr>
                <w:spacing w:val="-4"/>
                <w:sz w:val="16"/>
              </w:rPr>
              <w:t>0.04</w:t>
            </w:r>
          </w:p>
        </w:tc>
        <w:tc>
          <w:tcPr>
            <w:tcW w:w="1044" w:type="dxa"/>
            <w:gridSpan w:val="2"/>
            <w:shd w:val="clear" w:color="auto" w:fill="D9D9D9"/>
          </w:tcPr>
          <w:p>
            <w:pPr>
              <w:pStyle w:val="TableParagraph"/>
              <w:spacing w:before="18"/>
              <w:ind w:left="555"/>
              <w:rPr>
                <w:sz w:val="16"/>
              </w:rPr>
            </w:pPr>
            <w:r>
              <w:rPr>
                <w:spacing w:val="-2"/>
                <w:sz w:val="16"/>
              </w:rPr>
              <w:t>117.6</w:t>
            </w:r>
          </w:p>
        </w:tc>
        <w:tc>
          <w:tcPr>
            <w:tcW w:w="830" w:type="dxa"/>
            <w:gridSpan w:val="2"/>
            <w:shd w:val="clear" w:color="auto" w:fill="D9D9D9"/>
          </w:tcPr>
          <w:p>
            <w:pPr>
              <w:pStyle w:val="TableParagraph"/>
              <w:spacing w:before="18"/>
              <w:ind w:left="543"/>
              <w:rPr>
                <w:sz w:val="16"/>
              </w:rPr>
            </w:pPr>
            <w:r>
              <w:rPr>
                <w:spacing w:val="-5"/>
                <w:sz w:val="16"/>
              </w:rPr>
              <w:t>3.9</w:t>
            </w:r>
          </w:p>
        </w:tc>
        <w:tc>
          <w:tcPr>
            <w:tcW w:w="984" w:type="dxa"/>
            <w:gridSpan w:val="2"/>
            <w:shd w:val="clear" w:color="auto" w:fill="D9D9D9"/>
          </w:tcPr>
          <w:p>
            <w:pPr>
              <w:pStyle w:val="TableParagraph"/>
              <w:spacing w:before="18"/>
              <w:ind w:left="511"/>
              <w:rPr>
                <w:sz w:val="16"/>
              </w:rPr>
            </w:pPr>
            <w:r>
              <w:rPr>
                <w:spacing w:val="-2"/>
                <w:sz w:val="16"/>
              </w:rPr>
              <w:t>113.8</w:t>
            </w:r>
          </w:p>
        </w:tc>
        <w:tc>
          <w:tcPr>
            <w:tcW w:w="1176" w:type="dxa"/>
            <w:shd w:val="clear" w:color="auto" w:fill="D9D9D9"/>
          </w:tcPr>
          <w:p>
            <w:pPr>
              <w:pStyle w:val="TableParagraph"/>
              <w:spacing w:before="18"/>
              <w:ind w:right="61"/>
              <w:jc w:val="right"/>
              <w:rPr>
                <w:sz w:val="16"/>
              </w:rPr>
            </w:pPr>
            <w:r>
              <w:rPr>
                <w:spacing w:val="-2"/>
                <w:sz w:val="16"/>
              </w:rPr>
              <w:t>1,794</w:t>
            </w:r>
          </w:p>
        </w:tc>
        <w:tc>
          <w:tcPr>
            <w:tcW w:w="1074" w:type="dxa"/>
            <w:shd w:val="clear" w:color="auto" w:fill="D9D9D9"/>
          </w:tcPr>
          <w:p>
            <w:pPr>
              <w:pStyle w:val="TableParagraph"/>
              <w:spacing w:before="18"/>
              <w:ind w:left="570"/>
              <w:rPr>
                <w:sz w:val="16"/>
              </w:rPr>
            </w:pPr>
            <w:r>
              <w:rPr>
                <w:spacing w:val="-4"/>
                <w:sz w:val="16"/>
              </w:rPr>
              <w:t>0.06</w:t>
            </w:r>
          </w:p>
        </w:tc>
      </w:tr>
      <w:tr>
        <w:trPr>
          <w:trHeight w:val="225" w:hRule="atLeast"/>
        </w:trPr>
        <w:tc>
          <w:tcPr>
            <w:tcW w:w="2505" w:type="dxa"/>
            <w:shd w:val="clear" w:color="auto" w:fill="D9D9D9"/>
          </w:tcPr>
          <w:p>
            <w:pPr>
              <w:pStyle w:val="TableParagraph"/>
              <w:spacing w:before="18"/>
              <w:ind w:left="52"/>
              <w:rPr>
                <w:sz w:val="16"/>
              </w:rPr>
            </w:pPr>
            <w:r>
              <w:rPr>
                <w:spacing w:val="-2"/>
                <w:sz w:val="16"/>
              </w:rPr>
              <w:t>Chile</w:t>
            </w:r>
          </w:p>
        </w:tc>
        <w:tc>
          <w:tcPr>
            <w:tcW w:w="861" w:type="dxa"/>
            <w:shd w:val="clear" w:color="auto" w:fill="D9D9D9"/>
          </w:tcPr>
          <w:p>
            <w:pPr>
              <w:pStyle w:val="TableParagraph"/>
              <w:spacing w:before="18"/>
              <w:ind w:right="56"/>
              <w:jc w:val="right"/>
              <w:rPr>
                <w:sz w:val="16"/>
              </w:rPr>
            </w:pPr>
            <w:r>
              <w:rPr>
                <w:spacing w:val="-2"/>
                <w:sz w:val="16"/>
              </w:rPr>
              <w:t>11,787</w:t>
            </w:r>
          </w:p>
        </w:tc>
        <w:tc>
          <w:tcPr>
            <w:tcW w:w="936" w:type="dxa"/>
            <w:shd w:val="clear" w:color="auto" w:fill="D9D9D9"/>
          </w:tcPr>
          <w:p>
            <w:pPr>
              <w:pStyle w:val="TableParagraph"/>
              <w:spacing w:before="18"/>
              <w:ind w:right="47"/>
              <w:jc w:val="right"/>
              <w:rPr>
                <w:sz w:val="16"/>
              </w:rPr>
            </w:pPr>
            <w:r>
              <w:rPr>
                <w:spacing w:val="-4"/>
                <w:sz w:val="16"/>
              </w:rPr>
              <w:t>0.45</w:t>
            </w:r>
          </w:p>
        </w:tc>
        <w:tc>
          <w:tcPr>
            <w:tcW w:w="1044" w:type="dxa"/>
            <w:gridSpan w:val="2"/>
            <w:shd w:val="clear" w:color="auto" w:fill="D9D9D9"/>
          </w:tcPr>
          <w:p>
            <w:pPr>
              <w:pStyle w:val="TableParagraph"/>
              <w:spacing w:before="18"/>
              <w:ind w:left="421"/>
              <w:rPr>
                <w:sz w:val="16"/>
              </w:rPr>
            </w:pPr>
            <w:r>
              <w:rPr>
                <w:spacing w:val="-2"/>
                <w:sz w:val="16"/>
              </w:rPr>
              <w:t>1,421.9</w:t>
            </w:r>
          </w:p>
        </w:tc>
        <w:tc>
          <w:tcPr>
            <w:tcW w:w="830" w:type="dxa"/>
            <w:gridSpan w:val="2"/>
            <w:shd w:val="clear" w:color="auto" w:fill="D9D9D9"/>
          </w:tcPr>
          <w:p>
            <w:pPr>
              <w:pStyle w:val="TableParagraph"/>
              <w:spacing w:before="18"/>
              <w:ind w:left="366"/>
              <w:rPr>
                <w:sz w:val="16"/>
              </w:rPr>
            </w:pPr>
            <w:r>
              <w:rPr>
                <w:spacing w:val="-2"/>
                <w:sz w:val="16"/>
              </w:rPr>
              <w:t>101.3</w:t>
            </w:r>
          </w:p>
        </w:tc>
        <w:tc>
          <w:tcPr>
            <w:tcW w:w="984" w:type="dxa"/>
            <w:gridSpan w:val="2"/>
            <w:shd w:val="clear" w:color="auto" w:fill="D9D9D9"/>
          </w:tcPr>
          <w:p>
            <w:pPr>
              <w:pStyle w:val="TableParagraph"/>
              <w:spacing w:before="18"/>
              <w:ind w:left="377"/>
              <w:rPr>
                <w:sz w:val="16"/>
              </w:rPr>
            </w:pPr>
            <w:r>
              <w:rPr>
                <w:spacing w:val="-2"/>
                <w:sz w:val="16"/>
              </w:rPr>
              <w:t>1,320.7</w:t>
            </w:r>
          </w:p>
        </w:tc>
        <w:tc>
          <w:tcPr>
            <w:tcW w:w="1176" w:type="dxa"/>
            <w:shd w:val="clear" w:color="auto" w:fill="D9D9D9"/>
          </w:tcPr>
          <w:p>
            <w:pPr>
              <w:pStyle w:val="TableParagraph"/>
              <w:spacing w:before="18"/>
              <w:ind w:right="61"/>
              <w:jc w:val="right"/>
              <w:rPr>
                <w:sz w:val="16"/>
              </w:rPr>
            </w:pPr>
            <w:r>
              <w:rPr>
                <w:spacing w:val="-2"/>
                <w:sz w:val="16"/>
              </w:rPr>
              <w:t>12,606</w:t>
            </w:r>
          </w:p>
        </w:tc>
        <w:tc>
          <w:tcPr>
            <w:tcW w:w="1074" w:type="dxa"/>
            <w:shd w:val="clear" w:color="auto" w:fill="D9D9D9"/>
          </w:tcPr>
          <w:p>
            <w:pPr>
              <w:pStyle w:val="TableParagraph"/>
              <w:spacing w:before="18"/>
              <w:ind w:left="570"/>
              <w:rPr>
                <w:sz w:val="16"/>
              </w:rPr>
            </w:pPr>
            <w:r>
              <w:rPr>
                <w:spacing w:val="-4"/>
                <w:sz w:val="16"/>
              </w:rPr>
              <w:t>0.45</w:t>
            </w:r>
          </w:p>
        </w:tc>
      </w:tr>
      <w:tr>
        <w:trPr>
          <w:trHeight w:val="231" w:hRule="atLeast"/>
        </w:trPr>
        <w:tc>
          <w:tcPr>
            <w:tcW w:w="2505" w:type="dxa"/>
            <w:shd w:val="clear" w:color="auto" w:fill="D9D9D9"/>
          </w:tcPr>
          <w:p>
            <w:pPr>
              <w:pStyle w:val="TableParagraph"/>
              <w:spacing w:before="18"/>
              <w:ind w:left="52"/>
              <w:rPr>
                <w:sz w:val="16"/>
              </w:rPr>
            </w:pPr>
            <w:r>
              <w:rPr>
                <w:spacing w:val="-2"/>
                <w:sz w:val="16"/>
              </w:rPr>
              <w:t>China</w:t>
            </w:r>
          </w:p>
        </w:tc>
        <w:tc>
          <w:tcPr>
            <w:tcW w:w="861" w:type="dxa"/>
            <w:shd w:val="clear" w:color="auto" w:fill="D9D9D9"/>
          </w:tcPr>
          <w:p>
            <w:pPr>
              <w:pStyle w:val="TableParagraph"/>
              <w:spacing w:before="18"/>
              <w:ind w:right="56"/>
              <w:jc w:val="right"/>
              <w:rPr>
                <w:sz w:val="16"/>
              </w:rPr>
            </w:pPr>
            <w:r>
              <w:rPr>
                <w:spacing w:val="-2"/>
                <w:sz w:val="16"/>
              </w:rPr>
              <w:t>154,899</w:t>
            </w:r>
          </w:p>
        </w:tc>
        <w:tc>
          <w:tcPr>
            <w:tcW w:w="936" w:type="dxa"/>
            <w:shd w:val="clear" w:color="auto" w:fill="D9D9D9"/>
          </w:tcPr>
          <w:p>
            <w:pPr>
              <w:pStyle w:val="TableParagraph"/>
              <w:spacing w:before="18"/>
              <w:ind w:right="47"/>
              <w:jc w:val="right"/>
              <w:rPr>
                <w:sz w:val="16"/>
              </w:rPr>
            </w:pPr>
            <w:r>
              <w:rPr>
                <w:spacing w:val="-4"/>
                <w:sz w:val="16"/>
              </w:rPr>
              <w:t>5.88</w:t>
            </w:r>
          </w:p>
        </w:tc>
        <w:tc>
          <w:tcPr>
            <w:tcW w:w="1044" w:type="dxa"/>
            <w:gridSpan w:val="2"/>
            <w:shd w:val="clear" w:color="auto" w:fill="D9D9D9"/>
          </w:tcPr>
          <w:p>
            <w:pPr>
              <w:pStyle w:val="TableParagraph"/>
              <w:spacing w:before="18"/>
              <w:ind w:left="333"/>
              <w:rPr>
                <w:sz w:val="16"/>
              </w:rPr>
            </w:pPr>
            <w:r>
              <w:rPr>
                <w:spacing w:val="-2"/>
                <w:sz w:val="16"/>
              </w:rPr>
              <w:t>18,686.2</w:t>
            </w:r>
          </w:p>
        </w:tc>
        <w:tc>
          <w:tcPr>
            <w:tcW w:w="830" w:type="dxa"/>
            <w:gridSpan w:val="2"/>
            <w:shd w:val="clear" w:color="auto" w:fill="D9D9D9"/>
          </w:tcPr>
          <w:p>
            <w:pPr>
              <w:pStyle w:val="TableParagraph"/>
              <w:spacing w:before="18"/>
              <w:ind w:left="232"/>
              <w:rPr>
                <w:sz w:val="16"/>
              </w:rPr>
            </w:pPr>
            <w:r>
              <w:rPr>
                <w:spacing w:val="-2"/>
                <w:sz w:val="16"/>
              </w:rPr>
              <w:t>1,312.1</w:t>
            </w:r>
          </w:p>
        </w:tc>
        <w:tc>
          <w:tcPr>
            <w:tcW w:w="984" w:type="dxa"/>
            <w:gridSpan w:val="2"/>
            <w:shd w:val="clear" w:color="auto" w:fill="D9D9D9"/>
          </w:tcPr>
          <w:p>
            <w:pPr>
              <w:pStyle w:val="TableParagraph"/>
              <w:spacing w:before="18"/>
              <w:ind w:left="289"/>
              <w:rPr>
                <w:sz w:val="16"/>
              </w:rPr>
            </w:pPr>
            <w:r>
              <w:rPr>
                <w:spacing w:val="-2"/>
                <w:sz w:val="16"/>
              </w:rPr>
              <w:t>17,374.1</w:t>
            </w:r>
          </w:p>
        </w:tc>
        <w:tc>
          <w:tcPr>
            <w:tcW w:w="1176" w:type="dxa"/>
            <w:shd w:val="clear" w:color="auto" w:fill="D9D9D9"/>
          </w:tcPr>
          <w:p>
            <w:pPr>
              <w:pStyle w:val="TableParagraph"/>
              <w:spacing w:before="18"/>
              <w:ind w:right="61"/>
              <w:jc w:val="right"/>
              <w:rPr>
                <w:sz w:val="16"/>
              </w:rPr>
            </w:pPr>
            <w:r>
              <w:rPr>
                <w:spacing w:val="-2"/>
                <w:sz w:val="16"/>
              </w:rPr>
              <w:t>155,718</w:t>
            </w:r>
          </w:p>
        </w:tc>
        <w:tc>
          <w:tcPr>
            <w:tcW w:w="1074" w:type="dxa"/>
            <w:shd w:val="clear" w:color="auto" w:fill="D9D9D9"/>
          </w:tcPr>
          <w:p>
            <w:pPr>
              <w:pStyle w:val="TableParagraph"/>
              <w:spacing w:before="18"/>
              <w:ind w:left="570"/>
              <w:rPr>
                <w:sz w:val="16"/>
              </w:rPr>
            </w:pPr>
            <w:r>
              <w:rPr>
                <w:spacing w:val="-4"/>
                <w:sz w:val="16"/>
              </w:rPr>
              <w:t>5.58</w:t>
            </w:r>
          </w:p>
        </w:tc>
      </w:tr>
      <w:tr>
        <w:trPr>
          <w:trHeight w:val="218" w:hRule="atLeast"/>
        </w:trPr>
        <w:tc>
          <w:tcPr>
            <w:tcW w:w="2505" w:type="dxa"/>
          </w:tcPr>
          <w:p>
            <w:pPr>
              <w:pStyle w:val="TableParagraph"/>
              <w:spacing w:before="11"/>
              <w:ind w:left="52"/>
              <w:rPr>
                <w:sz w:val="16"/>
              </w:rPr>
            </w:pPr>
            <w:r>
              <w:rPr>
                <w:spacing w:val="-2"/>
                <w:sz w:val="16"/>
              </w:rPr>
              <w:t>Colombia</w:t>
            </w:r>
          </w:p>
        </w:tc>
        <w:tc>
          <w:tcPr>
            <w:tcW w:w="861" w:type="dxa"/>
          </w:tcPr>
          <w:p>
            <w:pPr>
              <w:pStyle w:val="TableParagraph"/>
              <w:spacing w:before="11"/>
              <w:ind w:right="56"/>
              <w:jc w:val="right"/>
              <w:rPr>
                <w:sz w:val="16"/>
              </w:rPr>
            </w:pPr>
            <w:r>
              <w:rPr>
                <w:spacing w:val="-2"/>
                <w:sz w:val="16"/>
              </w:rPr>
              <w:t>11,806</w:t>
            </w:r>
          </w:p>
        </w:tc>
        <w:tc>
          <w:tcPr>
            <w:tcW w:w="936" w:type="dxa"/>
          </w:tcPr>
          <w:p>
            <w:pPr>
              <w:pStyle w:val="TableParagraph"/>
              <w:spacing w:before="11"/>
              <w:ind w:right="47"/>
              <w:jc w:val="right"/>
              <w:rPr>
                <w:sz w:val="16"/>
              </w:rPr>
            </w:pPr>
            <w:r>
              <w:rPr>
                <w:spacing w:val="-4"/>
                <w:sz w:val="16"/>
              </w:rPr>
              <w:t>0.45</w:t>
            </w:r>
          </w:p>
        </w:tc>
        <w:tc>
          <w:tcPr>
            <w:tcW w:w="1044" w:type="dxa"/>
            <w:gridSpan w:val="2"/>
          </w:tcPr>
          <w:p>
            <w:pPr>
              <w:pStyle w:val="TableParagraph"/>
              <w:spacing w:before="11"/>
              <w:ind w:left="421"/>
              <w:rPr>
                <w:sz w:val="16"/>
              </w:rPr>
            </w:pPr>
            <w:r>
              <w:rPr>
                <w:spacing w:val="-2"/>
                <w:sz w:val="16"/>
              </w:rPr>
              <w:t>1,424.2</w:t>
            </w:r>
          </w:p>
        </w:tc>
        <w:tc>
          <w:tcPr>
            <w:tcW w:w="830" w:type="dxa"/>
            <w:gridSpan w:val="2"/>
          </w:tcPr>
          <w:p>
            <w:pPr>
              <w:pStyle w:val="TableParagraph"/>
              <w:spacing w:before="11"/>
              <w:ind w:left="366"/>
              <w:rPr>
                <w:sz w:val="16"/>
              </w:rPr>
            </w:pPr>
            <w:r>
              <w:rPr>
                <w:spacing w:val="-2"/>
                <w:sz w:val="16"/>
              </w:rPr>
              <w:t>101.2</w:t>
            </w:r>
          </w:p>
        </w:tc>
        <w:tc>
          <w:tcPr>
            <w:tcW w:w="984" w:type="dxa"/>
            <w:gridSpan w:val="2"/>
          </w:tcPr>
          <w:p>
            <w:pPr>
              <w:pStyle w:val="TableParagraph"/>
              <w:spacing w:before="11"/>
              <w:ind w:left="377"/>
              <w:rPr>
                <w:sz w:val="16"/>
              </w:rPr>
            </w:pPr>
            <w:r>
              <w:rPr>
                <w:spacing w:val="-2"/>
                <w:sz w:val="16"/>
              </w:rPr>
              <w:t>1,323.0</w:t>
            </w:r>
          </w:p>
        </w:tc>
        <w:tc>
          <w:tcPr>
            <w:tcW w:w="1176" w:type="dxa"/>
          </w:tcPr>
          <w:p>
            <w:pPr>
              <w:pStyle w:val="TableParagraph"/>
              <w:spacing w:before="11"/>
              <w:ind w:right="61"/>
              <w:jc w:val="right"/>
              <w:rPr>
                <w:sz w:val="16"/>
              </w:rPr>
            </w:pPr>
            <w:r>
              <w:rPr>
                <w:spacing w:val="-2"/>
                <w:sz w:val="16"/>
              </w:rPr>
              <w:t>12,625</w:t>
            </w:r>
          </w:p>
        </w:tc>
        <w:tc>
          <w:tcPr>
            <w:tcW w:w="1074" w:type="dxa"/>
          </w:tcPr>
          <w:p>
            <w:pPr>
              <w:pStyle w:val="TableParagraph"/>
              <w:spacing w:before="11"/>
              <w:ind w:left="570"/>
              <w:rPr>
                <w:sz w:val="16"/>
              </w:rPr>
            </w:pPr>
            <w:r>
              <w:rPr>
                <w:spacing w:val="-4"/>
                <w:sz w:val="16"/>
              </w:rPr>
              <w:t>0.45</w:t>
            </w:r>
          </w:p>
        </w:tc>
      </w:tr>
      <w:tr>
        <w:trPr>
          <w:trHeight w:val="225" w:hRule="atLeast"/>
        </w:trPr>
        <w:tc>
          <w:tcPr>
            <w:tcW w:w="2505" w:type="dxa"/>
          </w:tcPr>
          <w:p>
            <w:pPr>
              <w:pStyle w:val="TableParagraph"/>
              <w:spacing w:before="18"/>
              <w:ind w:left="52"/>
              <w:rPr>
                <w:sz w:val="16"/>
              </w:rPr>
            </w:pPr>
            <w:r>
              <w:rPr>
                <w:spacing w:val="-2"/>
                <w:sz w:val="16"/>
              </w:rPr>
              <w:t>Comoros</w:t>
            </w:r>
          </w:p>
        </w:tc>
        <w:tc>
          <w:tcPr>
            <w:tcW w:w="861" w:type="dxa"/>
          </w:tcPr>
          <w:p>
            <w:pPr>
              <w:pStyle w:val="TableParagraph"/>
              <w:spacing w:before="18"/>
              <w:ind w:right="56"/>
              <w:jc w:val="right"/>
              <w:rPr>
                <w:sz w:val="16"/>
              </w:rPr>
            </w:pPr>
            <w:r>
              <w:rPr>
                <w:spacing w:val="-5"/>
                <w:sz w:val="16"/>
              </w:rPr>
              <w:t>369</w:t>
            </w:r>
          </w:p>
        </w:tc>
        <w:tc>
          <w:tcPr>
            <w:tcW w:w="936" w:type="dxa"/>
          </w:tcPr>
          <w:p>
            <w:pPr>
              <w:pStyle w:val="TableParagraph"/>
              <w:spacing w:before="18"/>
              <w:ind w:right="47"/>
              <w:jc w:val="right"/>
              <w:rPr>
                <w:sz w:val="16"/>
              </w:rPr>
            </w:pPr>
            <w:r>
              <w:rPr>
                <w:spacing w:val="-4"/>
                <w:sz w:val="16"/>
              </w:rPr>
              <w:t>0.01</w:t>
            </w:r>
          </w:p>
        </w:tc>
        <w:tc>
          <w:tcPr>
            <w:tcW w:w="1044" w:type="dxa"/>
            <w:gridSpan w:val="2"/>
          </w:tcPr>
          <w:p>
            <w:pPr>
              <w:pStyle w:val="TableParagraph"/>
              <w:spacing w:before="18"/>
              <w:ind w:left="643"/>
              <w:rPr>
                <w:sz w:val="16"/>
              </w:rPr>
            </w:pPr>
            <w:r>
              <w:rPr>
                <w:spacing w:val="-4"/>
                <w:sz w:val="16"/>
              </w:rPr>
              <w:t>44.5</w:t>
            </w:r>
          </w:p>
        </w:tc>
        <w:tc>
          <w:tcPr>
            <w:tcW w:w="830" w:type="dxa"/>
            <w:gridSpan w:val="2"/>
          </w:tcPr>
          <w:p>
            <w:pPr>
              <w:pStyle w:val="TableParagraph"/>
              <w:spacing w:before="18"/>
              <w:ind w:left="543"/>
              <w:rPr>
                <w:sz w:val="16"/>
              </w:rPr>
            </w:pPr>
            <w:r>
              <w:rPr>
                <w:spacing w:val="-5"/>
                <w:sz w:val="16"/>
              </w:rPr>
              <w:t>1.0</w:t>
            </w:r>
          </w:p>
        </w:tc>
        <w:tc>
          <w:tcPr>
            <w:tcW w:w="984" w:type="dxa"/>
            <w:gridSpan w:val="2"/>
          </w:tcPr>
          <w:p>
            <w:pPr>
              <w:pStyle w:val="TableParagraph"/>
              <w:spacing w:before="18"/>
              <w:ind w:left="599"/>
              <w:rPr>
                <w:sz w:val="16"/>
              </w:rPr>
            </w:pPr>
            <w:r>
              <w:rPr>
                <w:spacing w:val="-4"/>
                <w:sz w:val="16"/>
              </w:rPr>
              <w:t>43.5</w:t>
            </w:r>
          </w:p>
        </w:tc>
        <w:tc>
          <w:tcPr>
            <w:tcW w:w="1176" w:type="dxa"/>
          </w:tcPr>
          <w:p>
            <w:pPr>
              <w:pStyle w:val="TableParagraph"/>
              <w:spacing w:before="18"/>
              <w:ind w:right="61"/>
              <w:jc w:val="right"/>
              <w:rPr>
                <w:sz w:val="16"/>
              </w:rPr>
            </w:pPr>
            <w:r>
              <w:rPr>
                <w:spacing w:val="-2"/>
                <w:sz w:val="16"/>
              </w:rPr>
              <w:t>1,188</w:t>
            </w:r>
          </w:p>
        </w:tc>
        <w:tc>
          <w:tcPr>
            <w:tcW w:w="1074" w:type="dxa"/>
          </w:tcPr>
          <w:p>
            <w:pPr>
              <w:pStyle w:val="TableParagraph"/>
              <w:spacing w:before="18"/>
              <w:ind w:left="570"/>
              <w:rPr>
                <w:sz w:val="16"/>
              </w:rPr>
            </w:pPr>
            <w:r>
              <w:rPr>
                <w:spacing w:val="-4"/>
                <w:sz w:val="16"/>
              </w:rPr>
              <w:t>0.04</w:t>
            </w:r>
          </w:p>
        </w:tc>
      </w:tr>
      <w:tr>
        <w:trPr>
          <w:trHeight w:val="225" w:hRule="atLeast"/>
        </w:trPr>
        <w:tc>
          <w:tcPr>
            <w:tcW w:w="2505" w:type="dxa"/>
          </w:tcPr>
          <w:p>
            <w:pPr>
              <w:pStyle w:val="TableParagraph"/>
              <w:spacing w:before="18"/>
              <w:ind w:left="52"/>
              <w:rPr>
                <w:sz w:val="16"/>
              </w:rPr>
            </w:pPr>
            <w:r>
              <w:rPr>
                <w:sz w:val="16"/>
              </w:rPr>
              <w:t>Congo,</w:t>
            </w:r>
            <w:r>
              <w:rPr>
                <w:spacing w:val="-6"/>
                <w:sz w:val="16"/>
              </w:rPr>
              <w:t> </w:t>
            </w:r>
            <w:r>
              <w:rPr>
                <w:sz w:val="16"/>
              </w:rPr>
              <w:t>Democratic</w:t>
            </w:r>
            <w:r>
              <w:rPr>
                <w:spacing w:val="-6"/>
                <w:sz w:val="16"/>
              </w:rPr>
              <w:t> </w:t>
            </w:r>
            <w:r>
              <w:rPr>
                <w:sz w:val="16"/>
              </w:rPr>
              <w:t>Republic</w:t>
            </w:r>
            <w:r>
              <w:rPr>
                <w:spacing w:val="-5"/>
                <w:sz w:val="16"/>
              </w:rPr>
              <w:t> of</w:t>
            </w:r>
          </w:p>
        </w:tc>
        <w:tc>
          <w:tcPr>
            <w:tcW w:w="861" w:type="dxa"/>
          </w:tcPr>
          <w:p>
            <w:pPr>
              <w:pStyle w:val="TableParagraph"/>
              <w:spacing w:before="18"/>
              <w:ind w:right="56"/>
              <w:jc w:val="right"/>
              <w:rPr>
                <w:sz w:val="16"/>
              </w:rPr>
            </w:pPr>
            <w:r>
              <w:rPr>
                <w:spacing w:val="-2"/>
                <w:sz w:val="16"/>
              </w:rPr>
              <w:t>3,416</w:t>
            </w:r>
          </w:p>
        </w:tc>
        <w:tc>
          <w:tcPr>
            <w:tcW w:w="936" w:type="dxa"/>
          </w:tcPr>
          <w:p>
            <w:pPr>
              <w:pStyle w:val="TableParagraph"/>
              <w:spacing w:before="18"/>
              <w:ind w:right="47"/>
              <w:jc w:val="right"/>
              <w:rPr>
                <w:sz w:val="16"/>
              </w:rPr>
            </w:pPr>
            <w:r>
              <w:rPr>
                <w:spacing w:val="-4"/>
                <w:sz w:val="16"/>
              </w:rPr>
              <w:t>0.13</w:t>
            </w:r>
          </w:p>
        </w:tc>
        <w:tc>
          <w:tcPr>
            <w:tcW w:w="1044" w:type="dxa"/>
            <w:gridSpan w:val="2"/>
          </w:tcPr>
          <w:p>
            <w:pPr>
              <w:pStyle w:val="TableParagraph"/>
              <w:spacing w:before="18"/>
              <w:ind w:left="555"/>
              <w:rPr>
                <w:sz w:val="16"/>
              </w:rPr>
            </w:pPr>
            <w:r>
              <w:rPr>
                <w:spacing w:val="-2"/>
                <w:sz w:val="16"/>
              </w:rPr>
              <w:t>412.1</w:t>
            </w:r>
          </w:p>
        </w:tc>
        <w:tc>
          <w:tcPr>
            <w:tcW w:w="830" w:type="dxa"/>
            <w:gridSpan w:val="2"/>
          </w:tcPr>
          <w:p>
            <w:pPr>
              <w:pStyle w:val="TableParagraph"/>
              <w:spacing w:before="18"/>
              <w:ind w:left="454"/>
              <w:rPr>
                <w:sz w:val="16"/>
              </w:rPr>
            </w:pPr>
            <w:r>
              <w:rPr>
                <w:spacing w:val="-4"/>
                <w:sz w:val="16"/>
              </w:rPr>
              <w:t>31.0</w:t>
            </w:r>
          </w:p>
        </w:tc>
        <w:tc>
          <w:tcPr>
            <w:tcW w:w="984" w:type="dxa"/>
            <w:gridSpan w:val="2"/>
          </w:tcPr>
          <w:p>
            <w:pPr>
              <w:pStyle w:val="TableParagraph"/>
              <w:spacing w:before="18"/>
              <w:ind w:left="511"/>
              <w:rPr>
                <w:sz w:val="16"/>
              </w:rPr>
            </w:pPr>
            <w:r>
              <w:rPr>
                <w:spacing w:val="-2"/>
                <w:sz w:val="16"/>
              </w:rPr>
              <w:t>381.1</w:t>
            </w:r>
          </w:p>
        </w:tc>
        <w:tc>
          <w:tcPr>
            <w:tcW w:w="1176" w:type="dxa"/>
          </w:tcPr>
          <w:p>
            <w:pPr>
              <w:pStyle w:val="TableParagraph"/>
              <w:spacing w:before="18"/>
              <w:ind w:right="61"/>
              <w:jc w:val="right"/>
              <w:rPr>
                <w:sz w:val="16"/>
              </w:rPr>
            </w:pPr>
            <w:r>
              <w:rPr>
                <w:spacing w:val="-2"/>
                <w:sz w:val="16"/>
              </w:rPr>
              <w:t>4,235</w:t>
            </w:r>
          </w:p>
        </w:tc>
        <w:tc>
          <w:tcPr>
            <w:tcW w:w="1074" w:type="dxa"/>
          </w:tcPr>
          <w:p>
            <w:pPr>
              <w:pStyle w:val="TableParagraph"/>
              <w:spacing w:before="18"/>
              <w:ind w:left="570"/>
              <w:rPr>
                <w:sz w:val="16"/>
              </w:rPr>
            </w:pPr>
            <w:r>
              <w:rPr>
                <w:spacing w:val="-4"/>
                <w:sz w:val="16"/>
              </w:rPr>
              <w:t>0.15</w:t>
            </w:r>
          </w:p>
        </w:tc>
      </w:tr>
      <w:tr>
        <w:trPr>
          <w:trHeight w:val="225" w:hRule="atLeast"/>
        </w:trPr>
        <w:tc>
          <w:tcPr>
            <w:tcW w:w="2505" w:type="dxa"/>
          </w:tcPr>
          <w:p>
            <w:pPr>
              <w:pStyle w:val="TableParagraph"/>
              <w:spacing w:before="18"/>
              <w:ind w:left="52"/>
              <w:rPr>
                <w:sz w:val="16"/>
              </w:rPr>
            </w:pPr>
            <w:r>
              <w:rPr>
                <w:sz w:val="16"/>
              </w:rPr>
              <w:t>Congo,</w:t>
            </w:r>
            <w:r>
              <w:rPr>
                <w:spacing w:val="-6"/>
                <w:sz w:val="16"/>
              </w:rPr>
              <w:t> </w:t>
            </w:r>
            <w:r>
              <w:rPr>
                <w:sz w:val="16"/>
              </w:rPr>
              <w:t>Republic</w:t>
            </w:r>
            <w:r>
              <w:rPr>
                <w:spacing w:val="-6"/>
                <w:sz w:val="16"/>
              </w:rPr>
              <w:t> </w:t>
            </w:r>
            <w:r>
              <w:rPr>
                <w:spacing w:val="-5"/>
                <w:sz w:val="16"/>
              </w:rPr>
              <w:t>of</w:t>
            </w:r>
          </w:p>
        </w:tc>
        <w:tc>
          <w:tcPr>
            <w:tcW w:w="861" w:type="dxa"/>
          </w:tcPr>
          <w:p>
            <w:pPr>
              <w:pStyle w:val="TableParagraph"/>
              <w:spacing w:before="18"/>
              <w:ind w:right="56"/>
              <w:jc w:val="right"/>
              <w:rPr>
                <w:sz w:val="16"/>
              </w:rPr>
            </w:pPr>
            <w:r>
              <w:rPr>
                <w:spacing w:val="-2"/>
                <w:sz w:val="16"/>
              </w:rPr>
              <w:t>1,051</w:t>
            </w:r>
          </w:p>
        </w:tc>
        <w:tc>
          <w:tcPr>
            <w:tcW w:w="936" w:type="dxa"/>
          </w:tcPr>
          <w:p>
            <w:pPr>
              <w:pStyle w:val="TableParagraph"/>
              <w:spacing w:before="18"/>
              <w:ind w:right="47"/>
              <w:jc w:val="right"/>
              <w:rPr>
                <w:sz w:val="16"/>
              </w:rPr>
            </w:pPr>
            <w:r>
              <w:rPr>
                <w:spacing w:val="-4"/>
                <w:sz w:val="16"/>
              </w:rPr>
              <w:t>0.04</w:t>
            </w:r>
          </w:p>
        </w:tc>
        <w:tc>
          <w:tcPr>
            <w:tcW w:w="1044" w:type="dxa"/>
            <w:gridSpan w:val="2"/>
          </w:tcPr>
          <w:p>
            <w:pPr>
              <w:pStyle w:val="TableParagraph"/>
              <w:spacing w:before="18"/>
              <w:ind w:left="555"/>
              <w:rPr>
                <w:sz w:val="16"/>
              </w:rPr>
            </w:pPr>
            <w:r>
              <w:rPr>
                <w:spacing w:val="-2"/>
                <w:sz w:val="16"/>
              </w:rPr>
              <w:t>126.8</w:t>
            </w:r>
          </w:p>
        </w:tc>
        <w:tc>
          <w:tcPr>
            <w:tcW w:w="830" w:type="dxa"/>
            <w:gridSpan w:val="2"/>
          </w:tcPr>
          <w:p>
            <w:pPr>
              <w:pStyle w:val="TableParagraph"/>
              <w:spacing w:before="18"/>
              <w:ind w:left="543"/>
              <w:rPr>
                <w:sz w:val="16"/>
              </w:rPr>
            </w:pPr>
            <w:r>
              <w:rPr>
                <w:spacing w:val="-5"/>
                <w:sz w:val="16"/>
              </w:rPr>
              <w:t>4.3</w:t>
            </w:r>
          </w:p>
        </w:tc>
        <w:tc>
          <w:tcPr>
            <w:tcW w:w="984" w:type="dxa"/>
            <w:gridSpan w:val="2"/>
          </w:tcPr>
          <w:p>
            <w:pPr>
              <w:pStyle w:val="TableParagraph"/>
              <w:spacing w:before="18"/>
              <w:ind w:left="511"/>
              <w:rPr>
                <w:sz w:val="16"/>
              </w:rPr>
            </w:pPr>
            <w:r>
              <w:rPr>
                <w:spacing w:val="-2"/>
                <w:sz w:val="16"/>
              </w:rPr>
              <w:t>122.4</w:t>
            </w:r>
          </w:p>
        </w:tc>
        <w:tc>
          <w:tcPr>
            <w:tcW w:w="1176" w:type="dxa"/>
          </w:tcPr>
          <w:p>
            <w:pPr>
              <w:pStyle w:val="TableParagraph"/>
              <w:spacing w:before="18"/>
              <w:ind w:right="61"/>
              <w:jc w:val="right"/>
              <w:rPr>
                <w:sz w:val="16"/>
              </w:rPr>
            </w:pPr>
            <w:r>
              <w:rPr>
                <w:spacing w:val="-2"/>
                <w:sz w:val="16"/>
              </w:rPr>
              <w:t>1,870</w:t>
            </w:r>
          </w:p>
        </w:tc>
        <w:tc>
          <w:tcPr>
            <w:tcW w:w="1074" w:type="dxa"/>
          </w:tcPr>
          <w:p>
            <w:pPr>
              <w:pStyle w:val="TableParagraph"/>
              <w:spacing w:before="18"/>
              <w:ind w:left="570"/>
              <w:rPr>
                <w:sz w:val="16"/>
              </w:rPr>
            </w:pPr>
            <w:r>
              <w:rPr>
                <w:spacing w:val="-4"/>
                <w:sz w:val="16"/>
              </w:rPr>
              <w:t>0.07</w:t>
            </w:r>
          </w:p>
        </w:tc>
      </w:tr>
      <w:tr>
        <w:trPr>
          <w:trHeight w:val="231" w:hRule="atLeast"/>
        </w:trPr>
        <w:tc>
          <w:tcPr>
            <w:tcW w:w="2505" w:type="dxa"/>
          </w:tcPr>
          <w:p>
            <w:pPr>
              <w:pStyle w:val="TableParagraph"/>
              <w:spacing w:before="18"/>
              <w:ind w:left="52"/>
              <w:rPr>
                <w:sz w:val="16"/>
              </w:rPr>
            </w:pPr>
            <w:r>
              <w:rPr>
                <w:sz w:val="16"/>
              </w:rPr>
              <w:t>Costa</w:t>
            </w:r>
            <w:r>
              <w:rPr>
                <w:spacing w:val="-3"/>
                <w:sz w:val="16"/>
              </w:rPr>
              <w:t> </w:t>
            </w:r>
            <w:r>
              <w:rPr>
                <w:spacing w:val="-4"/>
                <w:sz w:val="16"/>
              </w:rPr>
              <w:t>Rica</w:t>
            </w:r>
          </w:p>
        </w:tc>
        <w:tc>
          <w:tcPr>
            <w:tcW w:w="861" w:type="dxa"/>
          </w:tcPr>
          <w:p>
            <w:pPr>
              <w:pStyle w:val="TableParagraph"/>
              <w:spacing w:before="18"/>
              <w:ind w:right="56"/>
              <w:jc w:val="right"/>
              <w:rPr>
                <w:sz w:val="16"/>
              </w:rPr>
            </w:pPr>
            <w:r>
              <w:rPr>
                <w:spacing w:val="-2"/>
                <w:sz w:val="16"/>
              </w:rPr>
              <w:t>1,392</w:t>
            </w:r>
          </w:p>
        </w:tc>
        <w:tc>
          <w:tcPr>
            <w:tcW w:w="936" w:type="dxa"/>
          </w:tcPr>
          <w:p>
            <w:pPr>
              <w:pStyle w:val="TableParagraph"/>
              <w:spacing w:before="18"/>
              <w:ind w:right="47"/>
              <w:jc w:val="right"/>
              <w:rPr>
                <w:sz w:val="16"/>
              </w:rPr>
            </w:pPr>
            <w:r>
              <w:rPr>
                <w:spacing w:val="-4"/>
                <w:sz w:val="16"/>
              </w:rPr>
              <w:t>0.05</w:t>
            </w:r>
          </w:p>
        </w:tc>
        <w:tc>
          <w:tcPr>
            <w:tcW w:w="1044" w:type="dxa"/>
            <w:gridSpan w:val="2"/>
          </w:tcPr>
          <w:p>
            <w:pPr>
              <w:pStyle w:val="TableParagraph"/>
              <w:spacing w:before="18"/>
              <w:ind w:left="555"/>
              <w:rPr>
                <w:sz w:val="16"/>
              </w:rPr>
            </w:pPr>
            <w:r>
              <w:rPr>
                <w:spacing w:val="-2"/>
                <w:sz w:val="16"/>
              </w:rPr>
              <w:t>167.9</w:t>
            </w:r>
          </w:p>
        </w:tc>
        <w:tc>
          <w:tcPr>
            <w:tcW w:w="830" w:type="dxa"/>
            <w:gridSpan w:val="2"/>
          </w:tcPr>
          <w:p>
            <w:pPr>
              <w:pStyle w:val="TableParagraph"/>
              <w:spacing w:before="18"/>
              <w:ind w:left="454"/>
              <w:rPr>
                <w:sz w:val="16"/>
              </w:rPr>
            </w:pPr>
            <w:r>
              <w:rPr>
                <w:spacing w:val="-4"/>
                <w:sz w:val="16"/>
              </w:rPr>
              <w:t>12.3</w:t>
            </w:r>
          </w:p>
        </w:tc>
        <w:tc>
          <w:tcPr>
            <w:tcW w:w="984" w:type="dxa"/>
            <w:gridSpan w:val="2"/>
          </w:tcPr>
          <w:p>
            <w:pPr>
              <w:pStyle w:val="TableParagraph"/>
              <w:spacing w:before="18"/>
              <w:ind w:left="511"/>
              <w:rPr>
                <w:sz w:val="16"/>
              </w:rPr>
            </w:pPr>
            <w:r>
              <w:rPr>
                <w:spacing w:val="-2"/>
                <w:sz w:val="16"/>
              </w:rPr>
              <w:t>155.6</w:t>
            </w:r>
          </w:p>
        </w:tc>
        <w:tc>
          <w:tcPr>
            <w:tcW w:w="1176" w:type="dxa"/>
          </w:tcPr>
          <w:p>
            <w:pPr>
              <w:pStyle w:val="TableParagraph"/>
              <w:spacing w:before="18"/>
              <w:ind w:right="61"/>
              <w:jc w:val="right"/>
              <w:rPr>
                <w:sz w:val="16"/>
              </w:rPr>
            </w:pPr>
            <w:r>
              <w:rPr>
                <w:spacing w:val="-2"/>
                <w:sz w:val="16"/>
              </w:rPr>
              <w:t>2,211</w:t>
            </w:r>
          </w:p>
        </w:tc>
        <w:tc>
          <w:tcPr>
            <w:tcW w:w="1074" w:type="dxa"/>
          </w:tcPr>
          <w:p>
            <w:pPr>
              <w:pStyle w:val="TableParagraph"/>
              <w:spacing w:before="18"/>
              <w:ind w:left="570"/>
              <w:rPr>
                <w:sz w:val="16"/>
              </w:rPr>
            </w:pPr>
            <w:r>
              <w:rPr>
                <w:spacing w:val="-4"/>
                <w:sz w:val="16"/>
              </w:rPr>
              <w:t>0.08</w:t>
            </w:r>
          </w:p>
        </w:tc>
      </w:tr>
      <w:tr>
        <w:trPr>
          <w:trHeight w:val="218" w:hRule="atLeast"/>
        </w:trPr>
        <w:tc>
          <w:tcPr>
            <w:tcW w:w="2505" w:type="dxa"/>
            <w:shd w:val="clear" w:color="auto" w:fill="D9D9D9"/>
          </w:tcPr>
          <w:p>
            <w:pPr>
              <w:pStyle w:val="TableParagraph"/>
              <w:spacing w:before="11"/>
              <w:ind w:left="52"/>
              <w:rPr>
                <w:sz w:val="16"/>
              </w:rPr>
            </w:pPr>
            <w:r>
              <w:rPr>
                <w:sz w:val="16"/>
              </w:rPr>
              <w:t>Cote</w:t>
            </w:r>
            <w:r>
              <w:rPr>
                <w:spacing w:val="-5"/>
                <w:sz w:val="16"/>
              </w:rPr>
              <w:t> </w:t>
            </w:r>
            <w:r>
              <w:rPr>
                <w:spacing w:val="-2"/>
                <w:sz w:val="16"/>
              </w:rPr>
              <w:t>d'Ivoire</w:t>
            </w:r>
          </w:p>
        </w:tc>
        <w:tc>
          <w:tcPr>
            <w:tcW w:w="861" w:type="dxa"/>
            <w:shd w:val="clear" w:color="auto" w:fill="D9D9D9"/>
          </w:tcPr>
          <w:p>
            <w:pPr>
              <w:pStyle w:val="TableParagraph"/>
              <w:spacing w:before="11"/>
              <w:ind w:right="56"/>
              <w:jc w:val="right"/>
              <w:rPr>
                <w:sz w:val="16"/>
              </w:rPr>
            </w:pPr>
            <w:r>
              <w:rPr>
                <w:spacing w:val="-2"/>
                <w:sz w:val="16"/>
              </w:rPr>
              <w:t>4,270</w:t>
            </w:r>
          </w:p>
        </w:tc>
        <w:tc>
          <w:tcPr>
            <w:tcW w:w="936" w:type="dxa"/>
            <w:shd w:val="clear" w:color="auto" w:fill="D9D9D9"/>
          </w:tcPr>
          <w:p>
            <w:pPr>
              <w:pStyle w:val="TableParagraph"/>
              <w:spacing w:before="11"/>
              <w:ind w:right="47"/>
              <w:jc w:val="right"/>
              <w:rPr>
                <w:sz w:val="16"/>
              </w:rPr>
            </w:pPr>
            <w:r>
              <w:rPr>
                <w:spacing w:val="-4"/>
                <w:sz w:val="16"/>
              </w:rPr>
              <w:t>0.16</w:t>
            </w:r>
          </w:p>
        </w:tc>
        <w:tc>
          <w:tcPr>
            <w:tcW w:w="1044" w:type="dxa"/>
            <w:gridSpan w:val="2"/>
            <w:shd w:val="clear" w:color="auto" w:fill="D9D9D9"/>
          </w:tcPr>
          <w:p>
            <w:pPr>
              <w:pStyle w:val="TableParagraph"/>
              <w:spacing w:before="11"/>
              <w:ind w:left="555"/>
              <w:rPr>
                <w:sz w:val="16"/>
              </w:rPr>
            </w:pPr>
            <w:r>
              <w:rPr>
                <w:spacing w:val="-2"/>
                <w:sz w:val="16"/>
              </w:rPr>
              <w:t>515.1</w:t>
            </w:r>
          </w:p>
        </w:tc>
        <w:tc>
          <w:tcPr>
            <w:tcW w:w="830" w:type="dxa"/>
            <w:gridSpan w:val="2"/>
            <w:shd w:val="clear" w:color="auto" w:fill="D9D9D9"/>
          </w:tcPr>
          <w:p>
            <w:pPr>
              <w:pStyle w:val="TableParagraph"/>
              <w:spacing w:before="11"/>
              <w:ind w:left="454"/>
              <w:rPr>
                <w:sz w:val="16"/>
              </w:rPr>
            </w:pPr>
            <w:r>
              <w:rPr>
                <w:spacing w:val="-4"/>
                <w:sz w:val="16"/>
              </w:rPr>
              <w:t>33.3</w:t>
            </w:r>
          </w:p>
        </w:tc>
        <w:tc>
          <w:tcPr>
            <w:tcW w:w="984" w:type="dxa"/>
            <w:gridSpan w:val="2"/>
            <w:shd w:val="clear" w:color="auto" w:fill="D9D9D9"/>
          </w:tcPr>
          <w:p>
            <w:pPr>
              <w:pStyle w:val="TableParagraph"/>
              <w:spacing w:before="11"/>
              <w:ind w:left="511"/>
              <w:rPr>
                <w:sz w:val="16"/>
              </w:rPr>
            </w:pPr>
            <w:r>
              <w:rPr>
                <w:spacing w:val="-2"/>
                <w:sz w:val="16"/>
              </w:rPr>
              <w:t>481.9</w:t>
            </w:r>
          </w:p>
        </w:tc>
        <w:tc>
          <w:tcPr>
            <w:tcW w:w="1176" w:type="dxa"/>
            <w:shd w:val="clear" w:color="auto" w:fill="D9D9D9"/>
          </w:tcPr>
          <w:p>
            <w:pPr>
              <w:pStyle w:val="TableParagraph"/>
              <w:spacing w:before="11"/>
              <w:ind w:right="61"/>
              <w:jc w:val="right"/>
              <w:rPr>
                <w:sz w:val="16"/>
              </w:rPr>
            </w:pPr>
            <w:r>
              <w:rPr>
                <w:spacing w:val="-2"/>
                <w:sz w:val="16"/>
              </w:rPr>
              <w:t>5,089</w:t>
            </w:r>
          </w:p>
        </w:tc>
        <w:tc>
          <w:tcPr>
            <w:tcW w:w="1074" w:type="dxa"/>
            <w:shd w:val="clear" w:color="auto" w:fill="D9D9D9"/>
          </w:tcPr>
          <w:p>
            <w:pPr>
              <w:pStyle w:val="TableParagraph"/>
              <w:spacing w:before="11"/>
              <w:ind w:left="570"/>
              <w:rPr>
                <w:sz w:val="16"/>
              </w:rPr>
            </w:pPr>
            <w:r>
              <w:rPr>
                <w:spacing w:val="-4"/>
                <w:sz w:val="16"/>
              </w:rPr>
              <w:t>0.18</w:t>
            </w:r>
          </w:p>
        </w:tc>
      </w:tr>
      <w:tr>
        <w:trPr>
          <w:trHeight w:val="225" w:hRule="atLeast"/>
        </w:trPr>
        <w:tc>
          <w:tcPr>
            <w:tcW w:w="2505" w:type="dxa"/>
            <w:shd w:val="clear" w:color="auto" w:fill="D9D9D9"/>
          </w:tcPr>
          <w:p>
            <w:pPr>
              <w:pStyle w:val="TableParagraph"/>
              <w:spacing w:before="18"/>
              <w:ind w:left="52"/>
              <w:rPr>
                <w:sz w:val="16"/>
              </w:rPr>
            </w:pPr>
            <w:r>
              <w:rPr>
                <w:spacing w:val="-2"/>
                <w:sz w:val="16"/>
              </w:rPr>
              <w:t>Croatia</w:t>
            </w:r>
          </w:p>
        </w:tc>
        <w:tc>
          <w:tcPr>
            <w:tcW w:w="861" w:type="dxa"/>
            <w:shd w:val="clear" w:color="auto" w:fill="D9D9D9"/>
          </w:tcPr>
          <w:p>
            <w:pPr>
              <w:pStyle w:val="TableParagraph"/>
              <w:spacing w:before="18"/>
              <w:ind w:right="56"/>
              <w:jc w:val="right"/>
              <w:rPr>
                <w:sz w:val="16"/>
              </w:rPr>
            </w:pPr>
            <w:r>
              <w:rPr>
                <w:spacing w:val="-2"/>
                <w:sz w:val="16"/>
              </w:rPr>
              <w:t>3,281</w:t>
            </w:r>
          </w:p>
        </w:tc>
        <w:tc>
          <w:tcPr>
            <w:tcW w:w="936" w:type="dxa"/>
            <w:shd w:val="clear" w:color="auto" w:fill="D9D9D9"/>
          </w:tcPr>
          <w:p>
            <w:pPr>
              <w:pStyle w:val="TableParagraph"/>
              <w:spacing w:before="18"/>
              <w:ind w:right="47"/>
              <w:jc w:val="right"/>
              <w:rPr>
                <w:sz w:val="16"/>
              </w:rPr>
            </w:pPr>
            <w:r>
              <w:rPr>
                <w:spacing w:val="-4"/>
                <w:sz w:val="16"/>
              </w:rPr>
              <w:t>0.12</w:t>
            </w:r>
          </w:p>
        </w:tc>
        <w:tc>
          <w:tcPr>
            <w:tcW w:w="1044" w:type="dxa"/>
            <w:gridSpan w:val="2"/>
            <w:shd w:val="clear" w:color="auto" w:fill="D9D9D9"/>
          </w:tcPr>
          <w:p>
            <w:pPr>
              <w:pStyle w:val="TableParagraph"/>
              <w:spacing w:before="18"/>
              <w:ind w:left="555"/>
              <w:rPr>
                <w:sz w:val="16"/>
              </w:rPr>
            </w:pPr>
            <w:r>
              <w:rPr>
                <w:spacing w:val="-2"/>
                <w:sz w:val="16"/>
              </w:rPr>
              <w:t>395.8</w:t>
            </w:r>
          </w:p>
        </w:tc>
        <w:tc>
          <w:tcPr>
            <w:tcW w:w="830" w:type="dxa"/>
            <w:gridSpan w:val="2"/>
            <w:shd w:val="clear" w:color="auto" w:fill="D9D9D9"/>
          </w:tcPr>
          <w:p>
            <w:pPr>
              <w:pStyle w:val="TableParagraph"/>
              <w:spacing w:before="18"/>
              <w:ind w:left="454"/>
              <w:rPr>
                <w:sz w:val="16"/>
              </w:rPr>
            </w:pPr>
            <w:r>
              <w:rPr>
                <w:spacing w:val="-4"/>
                <w:sz w:val="16"/>
              </w:rPr>
              <w:t>28.2</w:t>
            </w:r>
          </w:p>
        </w:tc>
        <w:tc>
          <w:tcPr>
            <w:tcW w:w="984" w:type="dxa"/>
            <w:gridSpan w:val="2"/>
            <w:shd w:val="clear" w:color="auto" w:fill="D9D9D9"/>
          </w:tcPr>
          <w:p>
            <w:pPr>
              <w:pStyle w:val="TableParagraph"/>
              <w:spacing w:before="18"/>
              <w:ind w:left="511"/>
              <w:rPr>
                <w:sz w:val="16"/>
              </w:rPr>
            </w:pPr>
            <w:r>
              <w:rPr>
                <w:spacing w:val="-2"/>
                <w:sz w:val="16"/>
              </w:rPr>
              <w:t>367.6</w:t>
            </w:r>
          </w:p>
        </w:tc>
        <w:tc>
          <w:tcPr>
            <w:tcW w:w="1176" w:type="dxa"/>
            <w:shd w:val="clear" w:color="auto" w:fill="D9D9D9"/>
          </w:tcPr>
          <w:p>
            <w:pPr>
              <w:pStyle w:val="TableParagraph"/>
              <w:spacing w:before="18"/>
              <w:ind w:right="61"/>
              <w:jc w:val="right"/>
              <w:rPr>
                <w:sz w:val="16"/>
              </w:rPr>
            </w:pPr>
            <w:r>
              <w:rPr>
                <w:spacing w:val="-2"/>
                <w:sz w:val="16"/>
              </w:rPr>
              <w:t>4,100</w:t>
            </w:r>
          </w:p>
        </w:tc>
        <w:tc>
          <w:tcPr>
            <w:tcW w:w="1074" w:type="dxa"/>
            <w:shd w:val="clear" w:color="auto" w:fill="D9D9D9"/>
          </w:tcPr>
          <w:p>
            <w:pPr>
              <w:pStyle w:val="TableParagraph"/>
              <w:spacing w:before="18"/>
              <w:ind w:left="570"/>
              <w:rPr>
                <w:sz w:val="16"/>
              </w:rPr>
            </w:pPr>
            <w:r>
              <w:rPr>
                <w:spacing w:val="-4"/>
                <w:sz w:val="16"/>
              </w:rPr>
              <w:t>0.15</w:t>
            </w:r>
          </w:p>
        </w:tc>
      </w:tr>
      <w:tr>
        <w:trPr>
          <w:trHeight w:val="214" w:hRule="atLeast"/>
        </w:trPr>
        <w:tc>
          <w:tcPr>
            <w:tcW w:w="2505" w:type="dxa"/>
            <w:shd w:val="clear" w:color="auto" w:fill="D9D9D9"/>
          </w:tcPr>
          <w:p>
            <w:pPr>
              <w:pStyle w:val="TableParagraph"/>
              <w:spacing w:line="176" w:lineRule="exact" w:before="18"/>
              <w:ind w:left="52"/>
              <w:rPr>
                <w:sz w:val="16"/>
              </w:rPr>
            </w:pPr>
            <w:r>
              <w:rPr>
                <w:spacing w:val="-2"/>
                <w:sz w:val="16"/>
              </w:rPr>
              <w:t>Cyprus</w:t>
            </w:r>
          </w:p>
        </w:tc>
        <w:tc>
          <w:tcPr>
            <w:tcW w:w="861" w:type="dxa"/>
            <w:shd w:val="clear" w:color="auto" w:fill="D9D9D9"/>
          </w:tcPr>
          <w:p>
            <w:pPr>
              <w:pStyle w:val="TableParagraph"/>
              <w:spacing w:line="176" w:lineRule="exact" w:before="18"/>
              <w:ind w:right="56"/>
              <w:jc w:val="right"/>
              <w:rPr>
                <w:sz w:val="16"/>
              </w:rPr>
            </w:pPr>
            <w:r>
              <w:rPr>
                <w:spacing w:val="-2"/>
                <w:sz w:val="16"/>
              </w:rPr>
              <w:t>2,111</w:t>
            </w:r>
          </w:p>
        </w:tc>
        <w:tc>
          <w:tcPr>
            <w:tcW w:w="936" w:type="dxa"/>
            <w:shd w:val="clear" w:color="auto" w:fill="D9D9D9"/>
          </w:tcPr>
          <w:p>
            <w:pPr>
              <w:pStyle w:val="TableParagraph"/>
              <w:spacing w:line="176" w:lineRule="exact" w:before="18"/>
              <w:ind w:right="47"/>
              <w:jc w:val="right"/>
              <w:rPr>
                <w:sz w:val="16"/>
              </w:rPr>
            </w:pPr>
            <w:r>
              <w:rPr>
                <w:spacing w:val="-4"/>
                <w:sz w:val="16"/>
              </w:rPr>
              <w:t>0.08</w:t>
            </w:r>
          </w:p>
        </w:tc>
        <w:tc>
          <w:tcPr>
            <w:tcW w:w="1044" w:type="dxa"/>
            <w:gridSpan w:val="2"/>
            <w:shd w:val="clear" w:color="auto" w:fill="D9D9D9"/>
          </w:tcPr>
          <w:p>
            <w:pPr>
              <w:pStyle w:val="TableParagraph"/>
              <w:spacing w:line="176" w:lineRule="exact" w:before="18"/>
              <w:ind w:left="555"/>
              <w:rPr>
                <w:sz w:val="16"/>
              </w:rPr>
            </w:pPr>
            <w:r>
              <w:rPr>
                <w:spacing w:val="-2"/>
                <w:sz w:val="16"/>
              </w:rPr>
              <w:t>254.7</w:t>
            </w:r>
          </w:p>
        </w:tc>
        <w:tc>
          <w:tcPr>
            <w:tcW w:w="830" w:type="dxa"/>
            <w:gridSpan w:val="2"/>
            <w:shd w:val="clear" w:color="auto" w:fill="D9D9D9"/>
          </w:tcPr>
          <w:p>
            <w:pPr>
              <w:pStyle w:val="TableParagraph"/>
              <w:spacing w:line="176" w:lineRule="exact" w:before="18"/>
              <w:ind w:left="454"/>
              <w:rPr>
                <w:sz w:val="16"/>
              </w:rPr>
            </w:pPr>
            <w:r>
              <w:rPr>
                <w:spacing w:val="-4"/>
                <w:sz w:val="16"/>
              </w:rPr>
              <w:t>16.0</w:t>
            </w:r>
          </w:p>
        </w:tc>
        <w:tc>
          <w:tcPr>
            <w:tcW w:w="984" w:type="dxa"/>
            <w:gridSpan w:val="2"/>
            <w:shd w:val="clear" w:color="auto" w:fill="D9D9D9"/>
          </w:tcPr>
          <w:p>
            <w:pPr>
              <w:pStyle w:val="TableParagraph"/>
              <w:spacing w:line="176" w:lineRule="exact" w:before="18"/>
              <w:ind w:left="511"/>
              <w:rPr>
                <w:sz w:val="16"/>
              </w:rPr>
            </w:pPr>
            <w:r>
              <w:rPr>
                <w:spacing w:val="-2"/>
                <w:sz w:val="16"/>
              </w:rPr>
              <w:t>238.6</w:t>
            </w:r>
          </w:p>
        </w:tc>
        <w:tc>
          <w:tcPr>
            <w:tcW w:w="1176" w:type="dxa"/>
            <w:shd w:val="clear" w:color="auto" w:fill="D9D9D9"/>
          </w:tcPr>
          <w:p>
            <w:pPr>
              <w:pStyle w:val="TableParagraph"/>
              <w:spacing w:line="176" w:lineRule="exact" w:before="18"/>
              <w:ind w:right="61"/>
              <w:jc w:val="right"/>
              <w:rPr>
                <w:sz w:val="16"/>
              </w:rPr>
            </w:pPr>
            <w:r>
              <w:rPr>
                <w:spacing w:val="-2"/>
                <w:sz w:val="16"/>
              </w:rPr>
              <w:t>2,930</w:t>
            </w:r>
          </w:p>
        </w:tc>
        <w:tc>
          <w:tcPr>
            <w:tcW w:w="1074" w:type="dxa"/>
            <w:shd w:val="clear" w:color="auto" w:fill="D9D9D9"/>
          </w:tcPr>
          <w:p>
            <w:pPr>
              <w:pStyle w:val="TableParagraph"/>
              <w:spacing w:line="176" w:lineRule="exact" w:before="18"/>
              <w:ind w:left="582"/>
              <w:rPr>
                <w:sz w:val="16"/>
              </w:rPr>
            </w:pPr>
            <w:r>
              <w:rPr>
                <w:spacing w:val="-4"/>
                <w:sz w:val="16"/>
              </w:rPr>
              <w:t>0.11</w:t>
            </w:r>
          </w:p>
        </w:tc>
      </w:tr>
      <w:tr>
        <w:trPr>
          <w:trHeight w:val="225" w:hRule="atLeast"/>
        </w:trPr>
        <w:tc>
          <w:tcPr>
            <w:tcW w:w="2505" w:type="dxa"/>
            <w:shd w:val="clear" w:color="auto" w:fill="D9D9D9"/>
          </w:tcPr>
          <w:p>
            <w:pPr>
              <w:pStyle w:val="TableParagraph"/>
              <w:spacing w:line="176" w:lineRule="exact" w:before="28"/>
              <w:ind w:left="52"/>
              <w:rPr>
                <w:sz w:val="16"/>
              </w:rPr>
            </w:pPr>
            <w:r>
              <w:rPr>
                <w:sz w:val="16"/>
              </w:rPr>
              <w:t>Czechia</w:t>
            </w:r>
            <w:r>
              <w:rPr>
                <w:spacing w:val="-5"/>
                <w:sz w:val="16"/>
              </w:rPr>
              <w:t> </w:t>
            </w:r>
            <w:r>
              <w:rPr>
                <w:spacing w:val="-10"/>
                <w:sz w:val="16"/>
                <w:vertAlign w:val="superscript"/>
              </w:rPr>
              <w:t>c</w:t>
            </w:r>
          </w:p>
        </w:tc>
        <w:tc>
          <w:tcPr>
            <w:tcW w:w="861" w:type="dxa"/>
            <w:shd w:val="clear" w:color="auto" w:fill="D9D9D9"/>
          </w:tcPr>
          <w:p>
            <w:pPr>
              <w:pStyle w:val="TableParagraph"/>
              <w:spacing w:line="176" w:lineRule="exact" w:before="28"/>
              <w:ind w:right="56"/>
              <w:jc w:val="right"/>
              <w:rPr>
                <w:sz w:val="16"/>
              </w:rPr>
            </w:pPr>
            <w:r>
              <w:rPr>
                <w:spacing w:val="-2"/>
                <w:sz w:val="16"/>
              </w:rPr>
              <w:t>9,451</w:t>
            </w:r>
          </w:p>
        </w:tc>
        <w:tc>
          <w:tcPr>
            <w:tcW w:w="936" w:type="dxa"/>
            <w:shd w:val="clear" w:color="auto" w:fill="D9D9D9"/>
          </w:tcPr>
          <w:p>
            <w:pPr>
              <w:pStyle w:val="TableParagraph"/>
              <w:spacing w:line="176" w:lineRule="exact" w:before="28"/>
              <w:ind w:right="47"/>
              <w:jc w:val="right"/>
              <w:rPr>
                <w:sz w:val="16"/>
              </w:rPr>
            </w:pPr>
            <w:r>
              <w:rPr>
                <w:spacing w:val="-4"/>
                <w:sz w:val="16"/>
              </w:rPr>
              <w:t>0.36</w:t>
            </w:r>
          </w:p>
        </w:tc>
        <w:tc>
          <w:tcPr>
            <w:tcW w:w="1044" w:type="dxa"/>
            <w:gridSpan w:val="2"/>
            <w:shd w:val="clear" w:color="auto" w:fill="D9D9D9"/>
          </w:tcPr>
          <w:p>
            <w:pPr>
              <w:pStyle w:val="TableParagraph"/>
              <w:spacing w:line="176" w:lineRule="exact" w:before="28"/>
              <w:ind w:left="421"/>
              <w:rPr>
                <w:sz w:val="16"/>
              </w:rPr>
            </w:pPr>
            <w:r>
              <w:rPr>
                <w:spacing w:val="-2"/>
                <w:sz w:val="16"/>
              </w:rPr>
              <w:t>1,140.1</w:t>
            </w:r>
          </w:p>
        </w:tc>
        <w:tc>
          <w:tcPr>
            <w:tcW w:w="830" w:type="dxa"/>
            <w:gridSpan w:val="2"/>
            <w:shd w:val="clear" w:color="auto" w:fill="D9D9D9"/>
          </w:tcPr>
          <w:p>
            <w:pPr>
              <w:pStyle w:val="TableParagraph"/>
              <w:spacing w:line="176" w:lineRule="exact" w:before="28"/>
              <w:ind w:left="454"/>
              <w:rPr>
                <w:sz w:val="16"/>
              </w:rPr>
            </w:pPr>
            <w:r>
              <w:rPr>
                <w:spacing w:val="-4"/>
                <w:sz w:val="16"/>
              </w:rPr>
              <w:t>82.0</w:t>
            </w:r>
          </w:p>
        </w:tc>
        <w:tc>
          <w:tcPr>
            <w:tcW w:w="984" w:type="dxa"/>
            <w:gridSpan w:val="2"/>
            <w:shd w:val="clear" w:color="auto" w:fill="D9D9D9"/>
          </w:tcPr>
          <w:p>
            <w:pPr>
              <w:pStyle w:val="TableParagraph"/>
              <w:spacing w:line="176" w:lineRule="exact" w:before="28"/>
              <w:ind w:left="377"/>
              <w:rPr>
                <w:sz w:val="16"/>
              </w:rPr>
            </w:pPr>
            <w:r>
              <w:rPr>
                <w:spacing w:val="-2"/>
                <w:sz w:val="16"/>
              </w:rPr>
              <w:t>1,058.2</w:t>
            </w:r>
          </w:p>
        </w:tc>
        <w:tc>
          <w:tcPr>
            <w:tcW w:w="1176" w:type="dxa"/>
            <w:shd w:val="clear" w:color="auto" w:fill="D9D9D9"/>
          </w:tcPr>
          <w:p>
            <w:pPr>
              <w:pStyle w:val="TableParagraph"/>
              <w:spacing w:line="176" w:lineRule="exact" w:before="28"/>
              <w:ind w:right="61"/>
              <w:jc w:val="right"/>
              <w:rPr>
                <w:sz w:val="16"/>
              </w:rPr>
            </w:pPr>
            <w:r>
              <w:rPr>
                <w:spacing w:val="-2"/>
                <w:sz w:val="16"/>
              </w:rPr>
              <w:t>10,270</w:t>
            </w:r>
          </w:p>
        </w:tc>
        <w:tc>
          <w:tcPr>
            <w:tcW w:w="1074" w:type="dxa"/>
            <w:shd w:val="clear" w:color="auto" w:fill="D9D9D9"/>
          </w:tcPr>
          <w:p>
            <w:pPr>
              <w:pStyle w:val="TableParagraph"/>
              <w:spacing w:line="176" w:lineRule="exact" w:before="28"/>
              <w:ind w:left="570"/>
              <w:rPr>
                <w:sz w:val="16"/>
              </w:rPr>
            </w:pPr>
            <w:r>
              <w:rPr>
                <w:spacing w:val="-4"/>
                <w:sz w:val="16"/>
              </w:rPr>
              <w:t>0.37</w:t>
            </w:r>
          </w:p>
        </w:tc>
      </w:tr>
      <w:tr>
        <w:trPr>
          <w:trHeight w:val="242" w:hRule="atLeast"/>
        </w:trPr>
        <w:tc>
          <w:tcPr>
            <w:tcW w:w="2505" w:type="dxa"/>
            <w:shd w:val="clear" w:color="auto" w:fill="D9D9D9"/>
          </w:tcPr>
          <w:p>
            <w:pPr>
              <w:pStyle w:val="TableParagraph"/>
              <w:spacing w:before="28"/>
              <w:ind w:left="52"/>
              <w:rPr>
                <w:sz w:val="16"/>
              </w:rPr>
            </w:pPr>
            <w:r>
              <w:rPr>
                <w:sz w:val="16"/>
              </w:rPr>
              <w:t>Denmark</w:t>
            </w:r>
            <w:r>
              <w:rPr>
                <w:spacing w:val="-5"/>
                <w:sz w:val="16"/>
              </w:rPr>
              <w:t> </w:t>
            </w:r>
            <w:r>
              <w:rPr>
                <w:spacing w:val="-10"/>
                <w:sz w:val="16"/>
                <w:vertAlign w:val="superscript"/>
              </w:rPr>
              <w:t>c</w:t>
            </w:r>
          </w:p>
        </w:tc>
        <w:tc>
          <w:tcPr>
            <w:tcW w:w="861" w:type="dxa"/>
            <w:shd w:val="clear" w:color="auto" w:fill="D9D9D9"/>
          </w:tcPr>
          <w:p>
            <w:pPr>
              <w:pStyle w:val="TableParagraph"/>
              <w:spacing w:before="28"/>
              <w:ind w:right="56"/>
              <w:jc w:val="right"/>
              <w:rPr>
                <w:sz w:val="16"/>
              </w:rPr>
            </w:pPr>
            <w:r>
              <w:rPr>
                <w:spacing w:val="-2"/>
                <w:sz w:val="16"/>
              </w:rPr>
              <w:t>20,260</w:t>
            </w:r>
          </w:p>
        </w:tc>
        <w:tc>
          <w:tcPr>
            <w:tcW w:w="936" w:type="dxa"/>
            <w:shd w:val="clear" w:color="auto" w:fill="D9D9D9"/>
          </w:tcPr>
          <w:p>
            <w:pPr>
              <w:pStyle w:val="TableParagraph"/>
              <w:spacing w:before="28"/>
              <w:ind w:right="47"/>
              <w:jc w:val="right"/>
              <w:rPr>
                <w:sz w:val="16"/>
              </w:rPr>
            </w:pPr>
            <w:r>
              <w:rPr>
                <w:spacing w:val="-4"/>
                <w:sz w:val="16"/>
              </w:rPr>
              <w:t>0.77</w:t>
            </w:r>
          </w:p>
        </w:tc>
        <w:tc>
          <w:tcPr>
            <w:tcW w:w="1044" w:type="dxa"/>
            <w:gridSpan w:val="2"/>
            <w:shd w:val="clear" w:color="auto" w:fill="D9D9D9"/>
          </w:tcPr>
          <w:p>
            <w:pPr>
              <w:pStyle w:val="TableParagraph"/>
              <w:spacing w:before="28"/>
              <w:ind w:left="421"/>
              <w:rPr>
                <w:sz w:val="16"/>
              </w:rPr>
            </w:pPr>
            <w:r>
              <w:rPr>
                <w:spacing w:val="-2"/>
                <w:sz w:val="16"/>
              </w:rPr>
              <w:t>2,444.1</w:t>
            </w:r>
          </w:p>
        </w:tc>
        <w:tc>
          <w:tcPr>
            <w:tcW w:w="830" w:type="dxa"/>
            <w:gridSpan w:val="2"/>
            <w:shd w:val="clear" w:color="auto" w:fill="D9D9D9"/>
          </w:tcPr>
          <w:p>
            <w:pPr>
              <w:pStyle w:val="TableParagraph"/>
              <w:spacing w:before="28"/>
              <w:ind w:left="366"/>
              <w:rPr>
                <w:sz w:val="16"/>
              </w:rPr>
            </w:pPr>
            <w:r>
              <w:rPr>
                <w:spacing w:val="-2"/>
                <w:sz w:val="16"/>
              </w:rPr>
              <w:t>169.3</w:t>
            </w:r>
          </w:p>
        </w:tc>
        <w:tc>
          <w:tcPr>
            <w:tcW w:w="984" w:type="dxa"/>
            <w:gridSpan w:val="2"/>
            <w:shd w:val="clear" w:color="auto" w:fill="D9D9D9"/>
          </w:tcPr>
          <w:p>
            <w:pPr>
              <w:pStyle w:val="TableParagraph"/>
              <w:spacing w:before="28"/>
              <w:ind w:left="377"/>
              <w:rPr>
                <w:sz w:val="16"/>
              </w:rPr>
            </w:pPr>
            <w:r>
              <w:rPr>
                <w:spacing w:val="-2"/>
                <w:sz w:val="16"/>
              </w:rPr>
              <w:t>2,274.7</w:t>
            </w:r>
          </w:p>
        </w:tc>
        <w:tc>
          <w:tcPr>
            <w:tcW w:w="1176" w:type="dxa"/>
            <w:shd w:val="clear" w:color="auto" w:fill="D9D9D9"/>
          </w:tcPr>
          <w:p>
            <w:pPr>
              <w:pStyle w:val="TableParagraph"/>
              <w:spacing w:before="28"/>
              <w:ind w:right="61"/>
              <w:jc w:val="right"/>
              <w:rPr>
                <w:sz w:val="16"/>
              </w:rPr>
            </w:pPr>
            <w:r>
              <w:rPr>
                <w:spacing w:val="-2"/>
                <w:sz w:val="16"/>
              </w:rPr>
              <w:t>21,079</w:t>
            </w:r>
          </w:p>
        </w:tc>
        <w:tc>
          <w:tcPr>
            <w:tcW w:w="1074" w:type="dxa"/>
            <w:shd w:val="clear" w:color="auto" w:fill="D9D9D9"/>
          </w:tcPr>
          <w:p>
            <w:pPr>
              <w:pStyle w:val="TableParagraph"/>
              <w:spacing w:before="28"/>
              <w:ind w:left="570"/>
              <w:rPr>
                <w:sz w:val="16"/>
              </w:rPr>
            </w:pPr>
            <w:r>
              <w:rPr>
                <w:spacing w:val="-4"/>
                <w:sz w:val="16"/>
              </w:rPr>
              <w:t>0.76</w:t>
            </w:r>
          </w:p>
        </w:tc>
      </w:tr>
      <w:tr>
        <w:trPr>
          <w:trHeight w:val="218" w:hRule="atLeast"/>
        </w:trPr>
        <w:tc>
          <w:tcPr>
            <w:tcW w:w="2505" w:type="dxa"/>
          </w:tcPr>
          <w:p>
            <w:pPr>
              <w:pStyle w:val="TableParagraph"/>
              <w:spacing w:before="11"/>
              <w:ind w:left="52"/>
              <w:rPr>
                <w:sz w:val="16"/>
              </w:rPr>
            </w:pPr>
            <w:r>
              <w:rPr>
                <w:spacing w:val="-2"/>
                <w:sz w:val="16"/>
              </w:rPr>
              <w:t>Djibouti</w:t>
            </w:r>
          </w:p>
        </w:tc>
        <w:tc>
          <w:tcPr>
            <w:tcW w:w="861" w:type="dxa"/>
          </w:tcPr>
          <w:p>
            <w:pPr>
              <w:pStyle w:val="TableParagraph"/>
              <w:spacing w:before="11"/>
              <w:ind w:right="56"/>
              <w:jc w:val="right"/>
              <w:rPr>
                <w:sz w:val="16"/>
              </w:rPr>
            </w:pPr>
            <w:r>
              <w:rPr>
                <w:spacing w:val="-5"/>
                <w:sz w:val="16"/>
              </w:rPr>
              <w:t>801</w:t>
            </w:r>
          </w:p>
        </w:tc>
        <w:tc>
          <w:tcPr>
            <w:tcW w:w="936" w:type="dxa"/>
          </w:tcPr>
          <w:p>
            <w:pPr>
              <w:pStyle w:val="TableParagraph"/>
              <w:spacing w:before="11"/>
              <w:ind w:right="47"/>
              <w:jc w:val="right"/>
              <w:rPr>
                <w:sz w:val="16"/>
              </w:rPr>
            </w:pPr>
            <w:r>
              <w:rPr>
                <w:spacing w:val="-4"/>
                <w:sz w:val="16"/>
              </w:rPr>
              <w:t>0.03</w:t>
            </w:r>
          </w:p>
        </w:tc>
        <w:tc>
          <w:tcPr>
            <w:tcW w:w="1044" w:type="dxa"/>
            <w:gridSpan w:val="2"/>
          </w:tcPr>
          <w:p>
            <w:pPr>
              <w:pStyle w:val="TableParagraph"/>
              <w:spacing w:before="11"/>
              <w:ind w:left="643"/>
              <w:rPr>
                <w:sz w:val="16"/>
              </w:rPr>
            </w:pPr>
            <w:r>
              <w:rPr>
                <w:spacing w:val="-4"/>
                <w:sz w:val="16"/>
              </w:rPr>
              <w:t>96.6</w:t>
            </w:r>
          </w:p>
        </w:tc>
        <w:tc>
          <w:tcPr>
            <w:tcW w:w="830" w:type="dxa"/>
            <w:gridSpan w:val="2"/>
          </w:tcPr>
          <w:p>
            <w:pPr>
              <w:pStyle w:val="TableParagraph"/>
              <w:spacing w:before="11"/>
              <w:ind w:left="543"/>
              <w:rPr>
                <w:sz w:val="16"/>
              </w:rPr>
            </w:pPr>
            <w:r>
              <w:rPr>
                <w:spacing w:val="-5"/>
                <w:sz w:val="16"/>
              </w:rPr>
              <w:t>2.8</w:t>
            </w:r>
          </w:p>
        </w:tc>
        <w:tc>
          <w:tcPr>
            <w:tcW w:w="984" w:type="dxa"/>
            <w:gridSpan w:val="2"/>
          </w:tcPr>
          <w:p>
            <w:pPr>
              <w:pStyle w:val="TableParagraph"/>
              <w:spacing w:before="11"/>
              <w:ind w:left="599"/>
              <w:rPr>
                <w:sz w:val="16"/>
              </w:rPr>
            </w:pPr>
            <w:r>
              <w:rPr>
                <w:spacing w:val="-4"/>
                <w:sz w:val="16"/>
              </w:rPr>
              <w:t>93.8</w:t>
            </w:r>
          </w:p>
        </w:tc>
        <w:tc>
          <w:tcPr>
            <w:tcW w:w="1176" w:type="dxa"/>
          </w:tcPr>
          <w:p>
            <w:pPr>
              <w:pStyle w:val="TableParagraph"/>
              <w:spacing w:before="11"/>
              <w:ind w:right="61"/>
              <w:jc w:val="right"/>
              <w:rPr>
                <w:sz w:val="16"/>
              </w:rPr>
            </w:pPr>
            <w:r>
              <w:rPr>
                <w:spacing w:val="-2"/>
                <w:sz w:val="16"/>
              </w:rPr>
              <w:t>1,620</w:t>
            </w:r>
          </w:p>
        </w:tc>
        <w:tc>
          <w:tcPr>
            <w:tcW w:w="1074" w:type="dxa"/>
          </w:tcPr>
          <w:p>
            <w:pPr>
              <w:pStyle w:val="TableParagraph"/>
              <w:spacing w:before="11"/>
              <w:ind w:left="570"/>
              <w:rPr>
                <w:sz w:val="16"/>
              </w:rPr>
            </w:pPr>
            <w:r>
              <w:rPr>
                <w:spacing w:val="-4"/>
                <w:sz w:val="16"/>
              </w:rPr>
              <w:t>0.06</w:t>
            </w:r>
          </w:p>
        </w:tc>
      </w:tr>
      <w:tr>
        <w:trPr>
          <w:trHeight w:val="225" w:hRule="atLeast"/>
        </w:trPr>
        <w:tc>
          <w:tcPr>
            <w:tcW w:w="2505" w:type="dxa"/>
          </w:tcPr>
          <w:p>
            <w:pPr>
              <w:pStyle w:val="TableParagraph"/>
              <w:spacing w:before="18"/>
              <w:ind w:left="52"/>
              <w:rPr>
                <w:sz w:val="16"/>
              </w:rPr>
            </w:pPr>
            <w:r>
              <w:rPr>
                <w:spacing w:val="-2"/>
                <w:sz w:val="16"/>
              </w:rPr>
              <w:t>Dominica</w:t>
            </w:r>
          </w:p>
        </w:tc>
        <w:tc>
          <w:tcPr>
            <w:tcW w:w="861" w:type="dxa"/>
          </w:tcPr>
          <w:p>
            <w:pPr>
              <w:pStyle w:val="TableParagraph"/>
              <w:spacing w:before="18"/>
              <w:ind w:right="56"/>
              <w:jc w:val="right"/>
              <w:rPr>
                <w:sz w:val="16"/>
              </w:rPr>
            </w:pPr>
            <w:r>
              <w:rPr>
                <w:spacing w:val="-5"/>
                <w:sz w:val="16"/>
              </w:rPr>
              <w:t>685</w:t>
            </w:r>
          </w:p>
        </w:tc>
        <w:tc>
          <w:tcPr>
            <w:tcW w:w="936" w:type="dxa"/>
          </w:tcPr>
          <w:p>
            <w:pPr>
              <w:pStyle w:val="TableParagraph"/>
              <w:spacing w:before="18"/>
              <w:ind w:right="47"/>
              <w:jc w:val="right"/>
              <w:rPr>
                <w:sz w:val="16"/>
              </w:rPr>
            </w:pPr>
            <w:r>
              <w:rPr>
                <w:spacing w:val="-4"/>
                <w:sz w:val="16"/>
              </w:rPr>
              <w:t>0.03</w:t>
            </w:r>
          </w:p>
        </w:tc>
        <w:tc>
          <w:tcPr>
            <w:tcW w:w="1044" w:type="dxa"/>
            <w:gridSpan w:val="2"/>
          </w:tcPr>
          <w:p>
            <w:pPr>
              <w:pStyle w:val="TableParagraph"/>
              <w:spacing w:before="18"/>
              <w:ind w:left="643"/>
              <w:rPr>
                <w:sz w:val="16"/>
              </w:rPr>
            </w:pPr>
            <w:r>
              <w:rPr>
                <w:spacing w:val="-4"/>
                <w:sz w:val="16"/>
              </w:rPr>
              <w:t>82.6</w:t>
            </w:r>
          </w:p>
        </w:tc>
        <w:tc>
          <w:tcPr>
            <w:tcW w:w="830" w:type="dxa"/>
            <w:gridSpan w:val="2"/>
          </w:tcPr>
          <w:p>
            <w:pPr>
              <w:pStyle w:val="TableParagraph"/>
              <w:spacing w:before="18"/>
              <w:ind w:left="543"/>
              <w:rPr>
                <w:sz w:val="16"/>
              </w:rPr>
            </w:pPr>
            <w:r>
              <w:rPr>
                <w:spacing w:val="-5"/>
                <w:sz w:val="16"/>
              </w:rPr>
              <w:t>3.2</w:t>
            </w:r>
          </w:p>
        </w:tc>
        <w:tc>
          <w:tcPr>
            <w:tcW w:w="984" w:type="dxa"/>
            <w:gridSpan w:val="2"/>
          </w:tcPr>
          <w:p>
            <w:pPr>
              <w:pStyle w:val="TableParagraph"/>
              <w:spacing w:before="18"/>
              <w:ind w:left="599"/>
              <w:rPr>
                <w:sz w:val="16"/>
              </w:rPr>
            </w:pPr>
            <w:r>
              <w:rPr>
                <w:spacing w:val="-4"/>
                <w:sz w:val="16"/>
              </w:rPr>
              <w:t>79.4</w:t>
            </w:r>
          </w:p>
        </w:tc>
        <w:tc>
          <w:tcPr>
            <w:tcW w:w="1176" w:type="dxa"/>
          </w:tcPr>
          <w:p>
            <w:pPr>
              <w:pStyle w:val="TableParagraph"/>
              <w:spacing w:before="18"/>
              <w:ind w:right="61"/>
              <w:jc w:val="right"/>
              <w:rPr>
                <w:sz w:val="16"/>
              </w:rPr>
            </w:pPr>
            <w:r>
              <w:rPr>
                <w:spacing w:val="-2"/>
                <w:sz w:val="16"/>
              </w:rPr>
              <w:t>1,504</w:t>
            </w:r>
          </w:p>
        </w:tc>
        <w:tc>
          <w:tcPr>
            <w:tcW w:w="1074" w:type="dxa"/>
          </w:tcPr>
          <w:p>
            <w:pPr>
              <w:pStyle w:val="TableParagraph"/>
              <w:spacing w:before="18"/>
              <w:ind w:left="570"/>
              <w:rPr>
                <w:sz w:val="16"/>
              </w:rPr>
            </w:pPr>
            <w:r>
              <w:rPr>
                <w:spacing w:val="-4"/>
                <w:sz w:val="16"/>
              </w:rPr>
              <w:t>0.05</w:t>
            </w:r>
          </w:p>
        </w:tc>
      </w:tr>
      <w:tr>
        <w:trPr>
          <w:trHeight w:val="225" w:hRule="atLeast"/>
        </w:trPr>
        <w:tc>
          <w:tcPr>
            <w:tcW w:w="2505" w:type="dxa"/>
          </w:tcPr>
          <w:p>
            <w:pPr>
              <w:pStyle w:val="TableParagraph"/>
              <w:spacing w:before="18"/>
              <w:ind w:left="52"/>
              <w:rPr>
                <w:sz w:val="16"/>
              </w:rPr>
            </w:pPr>
            <w:r>
              <w:rPr>
                <w:sz w:val="16"/>
              </w:rPr>
              <w:t>Dominican</w:t>
            </w:r>
            <w:r>
              <w:rPr>
                <w:spacing w:val="-7"/>
                <w:sz w:val="16"/>
              </w:rPr>
              <w:t> </w:t>
            </w:r>
            <w:r>
              <w:rPr>
                <w:spacing w:val="-2"/>
                <w:sz w:val="16"/>
              </w:rPr>
              <w:t>Republic</w:t>
            </w:r>
          </w:p>
        </w:tc>
        <w:tc>
          <w:tcPr>
            <w:tcW w:w="861" w:type="dxa"/>
          </w:tcPr>
          <w:p>
            <w:pPr>
              <w:pStyle w:val="TableParagraph"/>
              <w:spacing w:before="18"/>
              <w:ind w:right="56"/>
              <w:jc w:val="right"/>
              <w:rPr>
                <w:sz w:val="16"/>
              </w:rPr>
            </w:pPr>
            <w:r>
              <w:rPr>
                <w:spacing w:val="-2"/>
                <w:sz w:val="16"/>
              </w:rPr>
              <w:t>2,651</w:t>
            </w:r>
          </w:p>
        </w:tc>
        <w:tc>
          <w:tcPr>
            <w:tcW w:w="936" w:type="dxa"/>
          </w:tcPr>
          <w:p>
            <w:pPr>
              <w:pStyle w:val="TableParagraph"/>
              <w:spacing w:before="18"/>
              <w:ind w:right="47"/>
              <w:jc w:val="right"/>
              <w:rPr>
                <w:sz w:val="16"/>
              </w:rPr>
            </w:pPr>
            <w:r>
              <w:rPr>
                <w:spacing w:val="-4"/>
                <w:sz w:val="16"/>
              </w:rPr>
              <w:t>0.10</w:t>
            </w:r>
          </w:p>
        </w:tc>
        <w:tc>
          <w:tcPr>
            <w:tcW w:w="1044" w:type="dxa"/>
            <w:gridSpan w:val="2"/>
          </w:tcPr>
          <w:p>
            <w:pPr>
              <w:pStyle w:val="TableParagraph"/>
              <w:spacing w:before="18"/>
              <w:ind w:left="555"/>
              <w:rPr>
                <w:sz w:val="16"/>
              </w:rPr>
            </w:pPr>
            <w:r>
              <w:rPr>
                <w:spacing w:val="-2"/>
                <w:sz w:val="16"/>
              </w:rPr>
              <w:t>319.8</w:t>
            </w:r>
          </w:p>
        </w:tc>
        <w:tc>
          <w:tcPr>
            <w:tcW w:w="830" w:type="dxa"/>
            <w:gridSpan w:val="2"/>
          </w:tcPr>
          <w:p>
            <w:pPr>
              <w:pStyle w:val="TableParagraph"/>
              <w:spacing w:before="18"/>
              <w:ind w:left="454"/>
              <w:rPr>
                <w:sz w:val="16"/>
              </w:rPr>
            </w:pPr>
            <w:r>
              <w:rPr>
                <w:spacing w:val="-4"/>
                <w:sz w:val="16"/>
              </w:rPr>
              <w:t>17.2</w:t>
            </w:r>
          </w:p>
        </w:tc>
        <w:tc>
          <w:tcPr>
            <w:tcW w:w="984" w:type="dxa"/>
            <w:gridSpan w:val="2"/>
          </w:tcPr>
          <w:p>
            <w:pPr>
              <w:pStyle w:val="TableParagraph"/>
              <w:spacing w:before="18"/>
              <w:ind w:left="511"/>
              <w:rPr>
                <w:sz w:val="16"/>
              </w:rPr>
            </w:pPr>
            <w:r>
              <w:rPr>
                <w:spacing w:val="-2"/>
                <w:sz w:val="16"/>
              </w:rPr>
              <w:t>302.6</w:t>
            </w:r>
          </w:p>
        </w:tc>
        <w:tc>
          <w:tcPr>
            <w:tcW w:w="1176" w:type="dxa"/>
          </w:tcPr>
          <w:p>
            <w:pPr>
              <w:pStyle w:val="TableParagraph"/>
              <w:spacing w:before="18"/>
              <w:ind w:right="61"/>
              <w:jc w:val="right"/>
              <w:rPr>
                <w:sz w:val="16"/>
              </w:rPr>
            </w:pPr>
            <w:r>
              <w:rPr>
                <w:spacing w:val="-2"/>
                <w:sz w:val="16"/>
              </w:rPr>
              <w:t>3,470</w:t>
            </w:r>
          </w:p>
        </w:tc>
        <w:tc>
          <w:tcPr>
            <w:tcW w:w="1074" w:type="dxa"/>
          </w:tcPr>
          <w:p>
            <w:pPr>
              <w:pStyle w:val="TableParagraph"/>
              <w:spacing w:before="18"/>
              <w:ind w:left="570"/>
              <w:rPr>
                <w:sz w:val="16"/>
              </w:rPr>
            </w:pPr>
            <w:r>
              <w:rPr>
                <w:spacing w:val="-4"/>
                <w:sz w:val="16"/>
              </w:rPr>
              <w:t>0.12</w:t>
            </w:r>
          </w:p>
        </w:tc>
      </w:tr>
      <w:tr>
        <w:trPr>
          <w:trHeight w:val="225" w:hRule="atLeast"/>
        </w:trPr>
        <w:tc>
          <w:tcPr>
            <w:tcW w:w="2505" w:type="dxa"/>
          </w:tcPr>
          <w:p>
            <w:pPr>
              <w:pStyle w:val="TableParagraph"/>
              <w:spacing w:before="18"/>
              <w:ind w:left="52"/>
              <w:rPr>
                <w:sz w:val="16"/>
              </w:rPr>
            </w:pPr>
            <w:r>
              <w:rPr>
                <w:spacing w:val="-2"/>
                <w:sz w:val="16"/>
              </w:rPr>
              <w:t>Ecuador</w:t>
            </w:r>
          </w:p>
        </w:tc>
        <w:tc>
          <w:tcPr>
            <w:tcW w:w="861" w:type="dxa"/>
          </w:tcPr>
          <w:p>
            <w:pPr>
              <w:pStyle w:val="TableParagraph"/>
              <w:spacing w:before="18"/>
              <w:ind w:right="56"/>
              <w:jc w:val="right"/>
              <w:rPr>
                <w:sz w:val="16"/>
              </w:rPr>
            </w:pPr>
            <w:r>
              <w:rPr>
                <w:spacing w:val="-2"/>
                <w:sz w:val="16"/>
              </w:rPr>
              <w:t>3,828</w:t>
            </w:r>
          </w:p>
        </w:tc>
        <w:tc>
          <w:tcPr>
            <w:tcW w:w="936" w:type="dxa"/>
          </w:tcPr>
          <w:p>
            <w:pPr>
              <w:pStyle w:val="TableParagraph"/>
              <w:spacing w:before="18"/>
              <w:ind w:right="47"/>
              <w:jc w:val="right"/>
              <w:rPr>
                <w:sz w:val="16"/>
              </w:rPr>
            </w:pPr>
            <w:r>
              <w:rPr>
                <w:spacing w:val="-4"/>
                <w:sz w:val="16"/>
              </w:rPr>
              <w:t>0.15</w:t>
            </w:r>
          </w:p>
        </w:tc>
        <w:tc>
          <w:tcPr>
            <w:tcW w:w="1044" w:type="dxa"/>
            <w:gridSpan w:val="2"/>
          </w:tcPr>
          <w:p>
            <w:pPr>
              <w:pStyle w:val="TableParagraph"/>
              <w:spacing w:before="18"/>
              <w:ind w:left="555"/>
              <w:rPr>
                <w:sz w:val="16"/>
              </w:rPr>
            </w:pPr>
            <w:r>
              <w:rPr>
                <w:spacing w:val="-2"/>
                <w:sz w:val="16"/>
              </w:rPr>
              <w:t>461.8</w:t>
            </w:r>
          </w:p>
        </w:tc>
        <w:tc>
          <w:tcPr>
            <w:tcW w:w="830" w:type="dxa"/>
            <w:gridSpan w:val="2"/>
          </w:tcPr>
          <w:p>
            <w:pPr>
              <w:pStyle w:val="TableParagraph"/>
              <w:spacing w:before="18"/>
              <w:ind w:left="454"/>
              <w:rPr>
                <w:sz w:val="16"/>
              </w:rPr>
            </w:pPr>
            <w:r>
              <w:rPr>
                <w:spacing w:val="-4"/>
                <w:sz w:val="16"/>
              </w:rPr>
              <w:t>24.1</w:t>
            </w:r>
          </w:p>
        </w:tc>
        <w:tc>
          <w:tcPr>
            <w:tcW w:w="984" w:type="dxa"/>
            <w:gridSpan w:val="2"/>
          </w:tcPr>
          <w:p>
            <w:pPr>
              <w:pStyle w:val="TableParagraph"/>
              <w:spacing w:before="18"/>
              <w:ind w:left="511"/>
              <w:rPr>
                <w:sz w:val="16"/>
              </w:rPr>
            </w:pPr>
            <w:r>
              <w:rPr>
                <w:spacing w:val="-2"/>
                <w:sz w:val="16"/>
              </w:rPr>
              <w:t>437.7</w:t>
            </w:r>
          </w:p>
        </w:tc>
        <w:tc>
          <w:tcPr>
            <w:tcW w:w="1176" w:type="dxa"/>
          </w:tcPr>
          <w:p>
            <w:pPr>
              <w:pStyle w:val="TableParagraph"/>
              <w:spacing w:before="18"/>
              <w:ind w:right="61"/>
              <w:jc w:val="right"/>
              <w:rPr>
                <w:sz w:val="16"/>
              </w:rPr>
            </w:pPr>
            <w:r>
              <w:rPr>
                <w:spacing w:val="-2"/>
                <w:sz w:val="16"/>
              </w:rPr>
              <w:t>4,647</w:t>
            </w:r>
          </w:p>
        </w:tc>
        <w:tc>
          <w:tcPr>
            <w:tcW w:w="1074" w:type="dxa"/>
          </w:tcPr>
          <w:p>
            <w:pPr>
              <w:pStyle w:val="TableParagraph"/>
              <w:spacing w:before="18"/>
              <w:ind w:left="570"/>
              <w:rPr>
                <w:sz w:val="16"/>
              </w:rPr>
            </w:pPr>
            <w:r>
              <w:rPr>
                <w:spacing w:val="-4"/>
                <w:sz w:val="16"/>
              </w:rPr>
              <w:t>0.17</w:t>
            </w:r>
          </w:p>
        </w:tc>
      </w:tr>
      <w:tr>
        <w:trPr>
          <w:trHeight w:val="221" w:hRule="atLeast"/>
        </w:trPr>
        <w:tc>
          <w:tcPr>
            <w:tcW w:w="2505" w:type="dxa"/>
            <w:tcBorders>
              <w:bottom w:val="single" w:sz="8" w:space="0" w:color="000000"/>
            </w:tcBorders>
          </w:tcPr>
          <w:p>
            <w:pPr>
              <w:pStyle w:val="TableParagraph"/>
              <w:spacing w:line="184" w:lineRule="exact" w:before="18"/>
              <w:ind w:left="52"/>
              <w:rPr>
                <w:sz w:val="16"/>
              </w:rPr>
            </w:pPr>
            <w:r>
              <w:rPr>
                <w:sz w:val="16"/>
              </w:rPr>
              <w:t>Egypt,</w:t>
            </w:r>
            <w:r>
              <w:rPr>
                <w:spacing w:val="-12"/>
                <w:sz w:val="16"/>
              </w:rPr>
              <w:t> </w:t>
            </w:r>
            <w:r>
              <w:rPr>
                <w:sz w:val="16"/>
              </w:rPr>
              <w:t>Arab</w:t>
            </w:r>
            <w:r>
              <w:rPr>
                <w:spacing w:val="-5"/>
                <w:sz w:val="16"/>
              </w:rPr>
              <w:t> </w:t>
            </w:r>
            <w:r>
              <w:rPr>
                <w:sz w:val="16"/>
              </w:rPr>
              <w:t>Republic</w:t>
            </w:r>
            <w:r>
              <w:rPr>
                <w:spacing w:val="-3"/>
                <w:sz w:val="16"/>
              </w:rPr>
              <w:t> </w:t>
            </w:r>
            <w:r>
              <w:rPr>
                <w:spacing w:val="-5"/>
                <w:sz w:val="16"/>
              </w:rPr>
              <w:t>of</w:t>
            </w:r>
          </w:p>
        </w:tc>
        <w:tc>
          <w:tcPr>
            <w:tcW w:w="861" w:type="dxa"/>
            <w:tcBorders>
              <w:bottom w:val="single" w:sz="8" w:space="0" w:color="000000"/>
            </w:tcBorders>
          </w:tcPr>
          <w:p>
            <w:pPr>
              <w:pStyle w:val="TableParagraph"/>
              <w:spacing w:line="184" w:lineRule="exact" w:before="18"/>
              <w:ind w:right="56"/>
              <w:jc w:val="right"/>
              <w:rPr>
                <w:sz w:val="16"/>
              </w:rPr>
            </w:pPr>
            <w:r>
              <w:rPr>
                <w:spacing w:val="-2"/>
                <w:sz w:val="16"/>
              </w:rPr>
              <w:t>10,682</w:t>
            </w:r>
          </w:p>
        </w:tc>
        <w:tc>
          <w:tcPr>
            <w:tcW w:w="936" w:type="dxa"/>
            <w:tcBorders>
              <w:bottom w:val="single" w:sz="8" w:space="0" w:color="000000"/>
            </w:tcBorders>
          </w:tcPr>
          <w:p>
            <w:pPr>
              <w:pStyle w:val="TableParagraph"/>
              <w:spacing w:line="184" w:lineRule="exact" w:before="18"/>
              <w:ind w:right="47"/>
              <w:jc w:val="right"/>
              <w:rPr>
                <w:sz w:val="16"/>
              </w:rPr>
            </w:pPr>
            <w:r>
              <w:rPr>
                <w:spacing w:val="-4"/>
                <w:sz w:val="16"/>
              </w:rPr>
              <w:t>0.41</w:t>
            </w:r>
          </w:p>
        </w:tc>
        <w:tc>
          <w:tcPr>
            <w:tcW w:w="1044" w:type="dxa"/>
            <w:gridSpan w:val="2"/>
            <w:tcBorders>
              <w:bottom w:val="single" w:sz="8" w:space="0" w:color="000000"/>
            </w:tcBorders>
          </w:tcPr>
          <w:p>
            <w:pPr>
              <w:pStyle w:val="TableParagraph"/>
              <w:spacing w:line="184" w:lineRule="exact" w:before="18"/>
              <w:ind w:left="421"/>
              <w:rPr>
                <w:sz w:val="16"/>
              </w:rPr>
            </w:pPr>
            <w:r>
              <w:rPr>
                <w:spacing w:val="-2"/>
                <w:sz w:val="16"/>
              </w:rPr>
              <w:t>1,288.6</w:t>
            </w:r>
          </w:p>
        </w:tc>
        <w:tc>
          <w:tcPr>
            <w:tcW w:w="830" w:type="dxa"/>
            <w:gridSpan w:val="2"/>
            <w:tcBorders>
              <w:bottom w:val="single" w:sz="8" w:space="0" w:color="000000"/>
            </w:tcBorders>
          </w:tcPr>
          <w:p>
            <w:pPr>
              <w:pStyle w:val="TableParagraph"/>
              <w:spacing w:line="184" w:lineRule="exact" w:before="18"/>
              <w:ind w:left="454"/>
              <w:rPr>
                <w:sz w:val="16"/>
              </w:rPr>
            </w:pPr>
            <w:r>
              <w:rPr>
                <w:spacing w:val="-4"/>
                <w:sz w:val="16"/>
              </w:rPr>
              <w:t>76.8</w:t>
            </w:r>
          </w:p>
        </w:tc>
        <w:tc>
          <w:tcPr>
            <w:tcW w:w="984" w:type="dxa"/>
            <w:gridSpan w:val="2"/>
            <w:tcBorders>
              <w:bottom w:val="single" w:sz="8" w:space="0" w:color="000000"/>
            </w:tcBorders>
          </w:tcPr>
          <w:p>
            <w:pPr>
              <w:pStyle w:val="TableParagraph"/>
              <w:spacing w:line="184" w:lineRule="exact" w:before="18"/>
              <w:ind w:left="377"/>
              <w:rPr>
                <w:sz w:val="16"/>
              </w:rPr>
            </w:pPr>
            <w:r>
              <w:rPr>
                <w:spacing w:val="-2"/>
                <w:sz w:val="16"/>
              </w:rPr>
              <w:t>1,211.8</w:t>
            </w:r>
          </w:p>
        </w:tc>
        <w:tc>
          <w:tcPr>
            <w:tcW w:w="1176" w:type="dxa"/>
            <w:tcBorders>
              <w:bottom w:val="single" w:sz="8" w:space="0" w:color="000000"/>
            </w:tcBorders>
          </w:tcPr>
          <w:p>
            <w:pPr>
              <w:pStyle w:val="TableParagraph"/>
              <w:spacing w:line="184" w:lineRule="exact" w:before="18"/>
              <w:ind w:right="61"/>
              <w:jc w:val="right"/>
              <w:rPr>
                <w:sz w:val="16"/>
              </w:rPr>
            </w:pPr>
            <w:r>
              <w:rPr>
                <w:spacing w:val="-2"/>
                <w:sz w:val="16"/>
              </w:rPr>
              <w:t>11,501</w:t>
            </w:r>
          </w:p>
        </w:tc>
        <w:tc>
          <w:tcPr>
            <w:tcW w:w="1074" w:type="dxa"/>
            <w:tcBorders>
              <w:bottom w:val="single" w:sz="8" w:space="0" w:color="000000"/>
            </w:tcBorders>
          </w:tcPr>
          <w:p>
            <w:pPr>
              <w:pStyle w:val="TableParagraph"/>
              <w:spacing w:line="184" w:lineRule="exact" w:before="18"/>
              <w:ind w:left="570"/>
              <w:rPr>
                <w:sz w:val="16"/>
              </w:rPr>
            </w:pPr>
            <w:r>
              <w:rPr>
                <w:spacing w:val="-4"/>
                <w:sz w:val="16"/>
              </w:rPr>
              <w:t>0.41</w:t>
            </w:r>
          </w:p>
        </w:tc>
      </w:tr>
    </w:tbl>
    <w:p>
      <w:pPr>
        <w:pStyle w:val="TableParagraph"/>
        <w:spacing w:after="0" w:line="184" w:lineRule="exact"/>
        <w:rPr>
          <w:sz w:val="16"/>
        </w:rPr>
        <w:sectPr>
          <w:headerReference w:type="even" r:id="rId121"/>
          <w:headerReference w:type="default" r:id="rId122"/>
          <w:footerReference w:type="even" r:id="rId123"/>
          <w:footerReference w:type="default" r:id="rId124"/>
          <w:pgSz w:w="12240" w:h="15840"/>
          <w:pgMar w:header="1030" w:footer="528" w:top="2260" w:bottom="1299" w:left="720" w:right="720"/>
          <w:pgNumType w:start="86"/>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5"/>
        <w:gridCol w:w="816"/>
        <w:gridCol w:w="973"/>
        <w:gridCol w:w="454"/>
        <w:gridCol w:w="572"/>
        <w:gridCol w:w="326"/>
        <w:gridCol w:w="493"/>
        <w:gridCol w:w="150"/>
        <w:gridCol w:w="830"/>
        <w:gridCol w:w="164"/>
        <w:gridCol w:w="1010"/>
        <w:gridCol w:w="1103"/>
      </w:tblGrid>
      <w:tr>
        <w:trPr>
          <w:trHeight w:val="198" w:hRule="atLeast"/>
        </w:trPr>
        <w:tc>
          <w:tcPr>
            <w:tcW w:w="4414" w:type="dxa"/>
            <w:gridSpan w:val="3"/>
          </w:tcPr>
          <w:p>
            <w:pPr>
              <w:pStyle w:val="TableParagraph"/>
              <w:rPr>
                <w:rFonts w:ascii="Times New Roman"/>
                <w:sz w:val="12"/>
              </w:rPr>
            </w:pPr>
          </w:p>
        </w:tc>
        <w:tc>
          <w:tcPr>
            <w:tcW w:w="1026" w:type="dxa"/>
            <w:gridSpan w:val="2"/>
            <w:tcBorders>
              <w:bottom w:val="single" w:sz="8" w:space="0" w:color="000000"/>
            </w:tcBorders>
          </w:tcPr>
          <w:p>
            <w:pPr>
              <w:pStyle w:val="TableParagraph"/>
              <w:spacing w:line="178" w:lineRule="exact"/>
              <w:ind w:left="41"/>
              <w:rPr>
                <w:rFonts w:ascii="Arial"/>
                <w:i/>
                <w:sz w:val="16"/>
              </w:rPr>
            </w:pPr>
            <w:r>
              <w:rPr>
                <w:rFonts w:ascii="Arial"/>
                <w:i/>
                <w:spacing w:val="-2"/>
                <w:sz w:val="16"/>
              </w:rPr>
              <w:t>Subscriptions</w:t>
            </w:r>
          </w:p>
        </w:tc>
        <w:tc>
          <w:tcPr>
            <w:tcW w:w="819" w:type="dxa"/>
            <w:gridSpan w:val="2"/>
            <w:tcBorders>
              <w:bottom w:val="single" w:sz="8" w:space="0" w:color="000000"/>
            </w:tcBorders>
          </w:tcPr>
          <w:p>
            <w:pPr>
              <w:pStyle w:val="TableParagraph"/>
              <w:rPr>
                <w:rFonts w:ascii="Times New Roman"/>
                <w:sz w:val="12"/>
              </w:rPr>
            </w:pPr>
          </w:p>
        </w:tc>
        <w:tc>
          <w:tcPr>
            <w:tcW w:w="980" w:type="dxa"/>
            <w:gridSpan w:val="2"/>
            <w:tcBorders>
              <w:bottom w:val="single" w:sz="8" w:space="0" w:color="000000"/>
            </w:tcBorders>
          </w:tcPr>
          <w:p>
            <w:pPr>
              <w:pStyle w:val="TableParagraph"/>
              <w:rPr>
                <w:rFonts w:ascii="Times New Roman"/>
                <w:sz w:val="12"/>
              </w:rPr>
            </w:pPr>
          </w:p>
        </w:tc>
        <w:tc>
          <w:tcPr>
            <w:tcW w:w="2277" w:type="dxa"/>
            <w:gridSpan w:val="3"/>
          </w:tcPr>
          <w:p>
            <w:pPr>
              <w:pStyle w:val="TableParagraph"/>
              <w:spacing w:line="178" w:lineRule="exact"/>
              <w:ind w:left="671"/>
              <w:rPr>
                <w:rFonts w:ascii="Arial"/>
                <w:i/>
                <w:sz w:val="16"/>
              </w:rPr>
            </w:pPr>
            <w:r>
              <w:rPr>
                <w:rFonts w:ascii="Arial"/>
                <w:i/>
                <w:sz w:val="16"/>
              </w:rPr>
              <w:t>Voting</w:t>
            </w:r>
            <w:r>
              <w:rPr>
                <w:rFonts w:ascii="Arial"/>
                <w:i/>
                <w:spacing w:val="-4"/>
                <w:sz w:val="16"/>
              </w:rPr>
              <w:t> </w:t>
            </w:r>
            <w:r>
              <w:rPr>
                <w:rFonts w:ascii="Arial"/>
                <w:i/>
                <w:spacing w:val="-2"/>
                <w:sz w:val="16"/>
              </w:rPr>
              <w:t>Power</w:t>
            </w:r>
          </w:p>
        </w:tc>
      </w:tr>
      <w:tr>
        <w:trPr>
          <w:trHeight w:val="192" w:hRule="atLeast"/>
        </w:trPr>
        <w:tc>
          <w:tcPr>
            <w:tcW w:w="2625" w:type="dxa"/>
          </w:tcPr>
          <w:p>
            <w:pPr>
              <w:pStyle w:val="TableParagraph"/>
              <w:rPr>
                <w:rFonts w:ascii="Times New Roman"/>
                <w:sz w:val="12"/>
              </w:rPr>
            </w:pPr>
          </w:p>
        </w:tc>
        <w:tc>
          <w:tcPr>
            <w:tcW w:w="816" w:type="dxa"/>
            <w:tcBorders>
              <w:top w:val="single" w:sz="8" w:space="0" w:color="000000"/>
            </w:tcBorders>
          </w:tcPr>
          <w:p>
            <w:pPr>
              <w:pStyle w:val="TableParagraph"/>
              <w:rPr>
                <w:rFonts w:ascii="Times New Roman"/>
                <w:sz w:val="12"/>
              </w:rPr>
            </w:pPr>
          </w:p>
        </w:tc>
        <w:tc>
          <w:tcPr>
            <w:tcW w:w="973" w:type="dxa"/>
            <w:tcBorders>
              <w:top w:val="single" w:sz="8" w:space="0" w:color="000000"/>
            </w:tcBorders>
          </w:tcPr>
          <w:p>
            <w:pPr>
              <w:pStyle w:val="TableParagraph"/>
              <w:rPr>
                <w:rFonts w:ascii="Times New Roman"/>
                <w:sz w:val="12"/>
              </w:rPr>
            </w:pPr>
          </w:p>
        </w:tc>
        <w:tc>
          <w:tcPr>
            <w:tcW w:w="1026" w:type="dxa"/>
            <w:gridSpan w:val="2"/>
            <w:tcBorders>
              <w:top w:val="single" w:sz="8" w:space="0" w:color="000000"/>
            </w:tcBorders>
          </w:tcPr>
          <w:p>
            <w:pPr>
              <w:pStyle w:val="TableParagraph"/>
              <w:rPr>
                <w:rFonts w:ascii="Times New Roman"/>
                <w:sz w:val="12"/>
              </w:rPr>
            </w:pPr>
          </w:p>
        </w:tc>
        <w:tc>
          <w:tcPr>
            <w:tcW w:w="819" w:type="dxa"/>
            <w:gridSpan w:val="2"/>
            <w:tcBorders>
              <w:top w:val="single" w:sz="8" w:space="0" w:color="000000"/>
            </w:tcBorders>
          </w:tcPr>
          <w:p>
            <w:pPr>
              <w:pStyle w:val="TableParagraph"/>
              <w:rPr>
                <w:rFonts w:ascii="Times New Roman"/>
                <w:sz w:val="12"/>
              </w:rPr>
            </w:pPr>
          </w:p>
        </w:tc>
        <w:tc>
          <w:tcPr>
            <w:tcW w:w="980" w:type="dxa"/>
            <w:gridSpan w:val="2"/>
            <w:tcBorders>
              <w:top w:val="single" w:sz="8" w:space="0" w:color="000000"/>
            </w:tcBorders>
          </w:tcPr>
          <w:p>
            <w:pPr>
              <w:pStyle w:val="TableParagraph"/>
              <w:spacing w:line="164" w:lineRule="exact" w:before="9"/>
              <w:ind w:left="183"/>
              <w:rPr>
                <w:rFonts w:ascii="Arial"/>
                <w:i/>
                <w:sz w:val="16"/>
              </w:rPr>
            </w:pPr>
            <w:r>
              <w:rPr>
                <w:rFonts w:ascii="Arial"/>
                <w:i/>
                <w:spacing w:val="-2"/>
                <w:sz w:val="16"/>
              </w:rPr>
              <w:t>Amounts</w:t>
            </w:r>
          </w:p>
        </w:tc>
        <w:tc>
          <w:tcPr>
            <w:tcW w:w="164" w:type="dxa"/>
          </w:tcPr>
          <w:p>
            <w:pPr>
              <w:pStyle w:val="TableParagraph"/>
              <w:rPr>
                <w:rFonts w:ascii="Times New Roman"/>
                <w:sz w:val="12"/>
              </w:rPr>
            </w:pPr>
          </w:p>
        </w:tc>
        <w:tc>
          <w:tcPr>
            <w:tcW w:w="1010" w:type="dxa"/>
            <w:tcBorders>
              <w:top w:val="single" w:sz="8" w:space="0" w:color="000000"/>
            </w:tcBorders>
          </w:tcPr>
          <w:p>
            <w:pPr>
              <w:pStyle w:val="TableParagraph"/>
              <w:rPr>
                <w:rFonts w:ascii="Times New Roman"/>
                <w:sz w:val="12"/>
              </w:rPr>
            </w:pPr>
          </w:p>
        </w:tc>
        <w:tc>
          <w:tcPr>
            <w:tcW w:w="1103" w:type="dxa"/>
            <w:tcBorders>
              <w:top w:val="single" w:sz="8" w:space="0" w:color="000000"/>
            </w:tcBorders>
          </w:tcPr>
          <w:p>
            <w:pPr>
              <w:pStyle w:val="TableParagraph"/>
              <w:rPr>
                <w:rFonts w:ascii="Times New Roman"/>
                <w:sz w:val="12"/>
              </w:rPr>
            </w:pPr>
          </w:p>
        </w:tc>
      </w:tr>
      <w:tr>
        <w:trPr>
          <w:trHeight w:val="192" w:hRule="atLeast"/>
        </w:trPr>
        <w:tc>
          <w:tcPr>
            <w:tcW w:w="2625" w:type="dxa"/>
          </w:tcPr>
          <w:p>
            <w:pPr>
              <w:pStyle w:val="TableParagraph"/>
              <w:rPr>
                <w:rFonts w:ascii="Times New Roman"/>
                <w:sz w:val="12"/>
              </w:rPr>
            </w:pPr>
          </w:p>
        </w:tc>
        <w:tc>
          <w:tcPr>
            <w:tcW w:w="816" w:type="dxa"/>
          </w:tcPr>
          <w:p>
            <w:pPr>
              <w:pStyle w:val="TableParagraph"/>
              <w:spacing w:line="165" w:lineRule="exact" w:before="7"/>
              <w:ind w:left="113"/>
              <w:rPr>
                <w:rFonts w:ascii="Arial"/>
                <w:i/>
                <w:sz w:val="16"/>
              </w:rPr>
            </w:pPr>
            <w:r>
              <w:rPr>
                <w:rFonts w:ascii="Arial"/>
                <w:i/>
                <w:spacing w:val="-2"/>
                <w:sz w:val="16"/>
              </w:rPr>
              <w:t>Number</w:t>
            </w:r>
          </w:p>
        </w:tc>
        <w:tc>
          <w:tcPr>
            <w:tcW w:w="973" w:type="dxa"/>
          </w:tcPr>
          <w:p>
            <w:pPr>
              <w:pStyle w:val="TableParagraph"/>
              <w:spacing w:line="165" w:lineRule="exact" w:before="7"/>
              <w:ind w:right="80"/>
              <w:jc w:val="right"/>
              <w:rPr>
                <w:rFonts w:ascii="Arial"/>
                <w:i/>
                <w:sz w:val="16"/>
              </w:rPr>
            </w:pPr>
            <w:r>
              <w:rPr>
                <w:rFonts w:ascii="Arial"/>
                <w:i/>
                <w:spacing w:val="-2"/>
                <w:sz w:val="16"/>
              </w:rPr>
              <w:t>Percentage</w:t>
            </w:r>
          </w:p>
        </w:tc>
        <w:tc>
          <w:tcPr>
            <w:tcW w:w="1026" w:type="dxa"/>
            <w:gridSpan w:val="2"/>
          </w:tcPr>
          <w:p>
            <w:pPr>
              <w:pStyle w:val="TableParagraph"/>
              <w:spacing w:line="165" w:lineRule="exact" w:before="7"/>
              <w:ind w:left="396"/>
              <w:rPr>
                <w:rFonts w:ascii="Arial"/>
                <w:i/>
                <w:sz w:val="16"/>
              </w:rPr>
            </w:pPr>
            <w:r>
              <w:rPr>
                <w:rFonts w:ascii="Arial"/>
                <w:i/>
                <w:spacing w:val="-2"/>
                <w:sz w:val="16"/>
              </w:rPr>
              <w:t>Total</w:t>
            </w:r>
          </w:p>
        </w:tc>
        <w:tc>
          <w:tcPr>
            <w:tcW w:w="819" w:type="dxa"/>
            <w:gridSpan w:val="2"/>
          </w:tcPr>
          <w:p>
            <w:pPr>
              <w:pStyle w:val="TableParagraph"/>
              <w:spacing w:line="165" w:lineRule="exact" w:before="7"/>
              <w:ind w:left="87"/>
              <w:rPr>
                <w:rFonts w:ascii="Arial"/>
                <w:i/>
                <w:sz w:val="16"/>
              </w:rPr>
            </w:pPr>
            <w:r>
              <w:rPr>
                <w:rFonts w:ascii="Arial"/>
                <w:i/>
                <w:spacing w:val="-2"/>
                <w:sz w:val="16"/>
              </w:rPr>
              <w:t>Amounts</w:t>
            </w:r>
          </w:p>
        </w:tc>
        <w:tc>
          <w:tcPr>
            <w:tcW w:w="980" w:type="dxa"/>
            <w:gridSpan w:val="2"/>
          </w:tcPr>
          <w:p>
            <w:pPr>
              <w:pStyle w:val="TableParagraph"/>
              <w:spacing w:line="164" w:lineRule="exact" w:before="8"/>
              <w:ind w:left="156"/>
              <w:rPr>
                <w:rFonts w:ascii="Arial"/>
                <w:i/>
                <w:sz w:val="16"/>
              </w:rPr>
            </w:pPr>
            <w:r>
              <w:rPr>
                <w:rFonts w:ascii="Arial"/>
                <w:i/>
                <w:sz w:val="16"/>
              </w:rPr>
              <w:t>subject</w:t>
            </w:r>
            <w:r>
              <w:rPr>
                <w:rFonts w:ascii="Arial"/>
                <w:i/>
                <w:spacing w:val="-4"/>
                <w:sz w:val="16"/>
              </w:rPr>
              <w:t> </w:t>
            </w:r>
            <w:r>
              <w:rPr>
                <w:rFonts w:ascii="Arial"/>
                <w:i/>
                <w:spacing w:val="-5"/>
                <w:sz w:val="16"/>
              </w:rPr>
              <w:t>to</w:t>
            </w:r>
          </w:p>
        </w:tc>
        <w:tc>
          <w:tcPr>
            <w:tcW w:w="1174" w:type="dxa"/>
            <w:gridSpan w:val="2"/>
          </w:tcPr>
          <w:p>
            <w:pPr>
              <w:pStyle w:val="TableParagraph"/>
              <w:spacing w:line="165" w:lineRule="exact" w:before="7"/>
              <w:ind w:left="300"/>
              <w:rPr>
                <w:rFonts w:ascii="Arial"/>
                <w:i/>
                <w:sz w:val="16"/>
              </w:rPr>
            </w:pPr>
            <w:r>
              <w:rPr>
                <w:rFonts w:ascii="Arial"/>
                <w:i/>
                <w:sz w:val="16"/>
              </w:rPr>
              <w:t>Number</w:t>
            </w:r>
            <w:r>
              <w:rPr>
                <w:rFonts w:ascii="Arial"/>
                <w:i/>
                <w:spacing w:val="-4"/>
                <w:sz w:val="16"/>
              </w:rPr>
              <w:t> </w:t>
            </w:r>
            <w:r>
              <w:rPr>
                <w:rFonts w:ascii="Arial"/>
                <w:i/>
                <w:spacing w:val="-5"/>
                <w:sz w:val="16"/>
              </w:rPr>
              <w:t>of</w:t>
            </w:r>
          </w:p>
        </w:tc>
        <w:tc>
          <w:tcPr>
            <w:tcW w:w="1103" w:type="dxa"/>
          </w:tcPr>
          <w:p>
            <w:pPr>
              <w:pStyle w:val="TableParagraph"/>
              <w:spacing w:line="165" w:lineRule="exact" w:before="7"/>
              <w:ind w:left="66"/>
              <w:rPr>
                <w:rFonts w:ascii="Arial"/>
                <w:i/>
                <w:sz w:val="16"/>
              </w:rPr>
            </w:pPr>
            <w:r>
              <w:rPr>
                <w:rFonts w:ascii="Arial"/>
                <w:i/>
                <w:spacing w:val="-2"/>
                <w:sz w:val="16"/>
              </w:rPr>
              <w:t>Percentage</w:t>
            </w:r>
          </w:p>
        </w:tc>
      </w:tr>
      <w:tr>
        <w:trPr>
          <w:trHeight w:val="210" w:hRule="atLeast"/>
        </w:trPr>
        <w:tc>
          <w:tcPr>
            <w:tcW w:w="2625" w:type="dxa"/>
            <w:tcBorders>
              <w:bottom w:val="single" w:sz="8" w:space="0" w:color="000000"/>
            </w:tcBorders>
          </w:tcPr>
          <w:p>
            <w:pPr>
              <w:pStyle w:val="TableParagraph"/>
              <w:spacing w:line="183" w:lineRule="exact" w:before="7"/>
              <w:ind w:left="52"/>
              <w:rPr>
                <w:rFonts w:ascii="Arial"/>
                <w:i/>
                <w:sz w:val="16"/>
              </w:rPr>
            </w:pPr>
            <w:r>
              <w:rPr>
                <w:rFonts w:ascii="Arial"/>
                <w:i/>
                <w:spacing w:val="-2"/>
                <w:sz w:val="16"/>
              </w:rPr>
              <w:t>Member</w:t>
            </w:r>
          </w:p>
        </w:tc>
        <w:tc>
          <w:tcPr>
            <w:tcW w:w="816" w:type="dxa"/>
            <w:tcBorders>
              <w:bottom w:val="single" w:sz="8" w:space="0" w:color="000000"/>
            </w:tcBorders>
          </w:tcPr>
          <w:p>
            <w:pPr>
              <w:pStyle w:val="TableParagraph"/>
              <w:spacing w:line="183" w:lineRule="exact" w:before="7"/>
              <w:ind w:left="68"/>
              <w:rPr>
                <w:rFonts w:ascii="Arial"/>
                <w:i/>
                <w:sz w:val="16"/>
              </w:rPr>
            </w:pPr>
            <w:r>
              <w:rPr>
                <w:rFonts w:ascii="Arial"/>
                <w:i/>
                <w:sz w:val="16"/>
              </w:rPr>
              <w:t>of</w:t>
            </w:r>
            <w:r>
              <w:rPr>
                <w:rFonts w:ascii="Arial"/>
                <w:i/>
                <w:spacing w:val="-1"/>
                <w:sz w:val="16"/>
              </w:rPr>
              <w:t> </w:t>
            </w:r>
            <w:r>
              <w:rPr>
                <w:rFonts w:ascii="Arial"/>
                <w:i/>
                <w:spacing w:val="-2"/>
                <w:sz w:val="16"/>
              </w:rPr>
              <w:t>shares</w:t>
            </w:r>
          </w:p>
        </w:tc>
        <w:tc>
          <w:tcPr>
            <w:tcW w:w="973" w:type="dxa"/>
            <w:tcBorders>
              <w:bottom w:val="single" w:sz="8" w:space="0" w:color="000000"/>
            </w:tcBorders>
          </w:tcPr>
          <w:p>
            <w:pPr>
              <w:pStyle w:val="TableParagraph"/>
              <w:spacing w:line="183" w:lineRule="exact" w:before="7"/>
              <w:ind w:left="190"/>
              <w:rPr>
                <w:rFonts w:ascii="Arial"/>
                <w:i/>
                <w:sz w:val="16"/>
              </w:rPr>
            </w:pPr>
            <w:r>
              <w:rPr>
                <w:rFonts w:ascii="Arial"/>
                <w:i/>
                <w:sz w:val="16"/>
              </w:rPr>
              <w:t>of</w:t>
            </w:r>
            <w:r>
              <w:rPr>
                <w:rFonts w:ascii="Arial"/>
                <w:i/>
                <w:spacing w:val="-2"/>
                <w:sz w:val="16"/>
              </w:rPr>
              <w:t> </w:t>
            </w:r>
            <w:r>
              <w:rPr>
                <w:rFonts w:ascii="Arial"/>
                <w:i/>
                <w:sz w:val="16"/>
              </w:rPr>
              <w:t>total</w:t>
            </w:r>
            <w:r>
              <w:rPr>
                <w:rFonts w:ascii="Arial"/>
                <w:i/>
                <w:spacing w:val="-2"/>
                <w:sz w:val="16"/>
              </w:rPr>
              <w:t> </w:t>
            </w:r>
            <w:r>
              <w:rPr>
                <w:rFonts w:ascii="Arial"/>
                <w:i/>
                <w:spacing w:val="-10"/>
                <w:sz w:val="16"/>
                <w:vertAlign w:val="superscript"/>
              </w:rPr>
              <w:t>b</w:t>
            </w:r>
          </w:p>
        </w:tc>
        <w:tc>
          <w:tcPr>
            <w:tcW w:w="1026" w:type="dxa"/>
            <w:gridSpan w:val="2"/>
            <w:tcBorders>
              <w:bottom w:val="single" w:sz="8" w:space="0" w:color="000000"/>
            </w:tcBorders>
          </w:tcPr>
          <w:p>
            <w:pPr>
              <w:pStyle w:val="TableParagraph"/>
              <w:spacing w:line="183" w:lineRule="exact" w:before="7"/>
              <w:ind w:left="216"/>
              <w:rPr>
                <w:rFonts w:ascii="Arial"/>
                <w:i/>
                <w:sz w:val="16"/>
              </w:rPr>
            </w:pPr>
            <w:r>
              <w:rPr>
                <w:rFonts w:ascii="Arial"/>
                <w:i/>
                <w:sz w:val="16"/>
              </w:rPr>
              <w:t>amounts</w:t>
            </w:r>
            <w:r>
              <w:rPr>
                <w:rFonts w:ascii="Arial"/>
                <w:i/>
                <w:spacing w:val="-5"/>
                <w:sz w:val="16"/>
              </w:rPr>
              <w:t> </w:t>
            </w:r>
            <w:r>
              <w:rPr>
                <w:rFonts w:ascii="Arial"/>
                <w:i/>
                <w:spacing w:val="-10"/>
                <w:sz w:val="16"/>
                <w:vertAlign w:val="superscript"/>
              </w:rPr>
              <w:t>b</w:t>
            </w:r>
          </w:p>
        </w:tc>
        <w:tc>
          <w:tcPr>
            <w:tcW w:w="819" w:type="dxa"/>
            <w:gridSpan w:val="2"/>
            <w:tcBorders>
              <w:bottom w:val="single" w:sz="8" w:space="0" w:color="000000"/>
            </w:tcBorders>
          </w:tcPr>
          <w:p>
            <w:pPr>
              <w:pStyle w:val="TableParagraph"/>
              <w:spacing w:line="183" w:lineRule="exact" w:before="7"/>
              <w:ind w:left="72"/>
              <w:rPr>
                <w:rFonts w:ascii="Arial"/>
                <w:i/>
                <w:sz w:val="16"/>
              </w:rPr>
            </w:pPr>
            <w:r>
              <w:rPr>
                <w:rFonts w:ascii="Arial"/>
                <w:i/>
                <w:sz w:val="16"/>
              </w:rPr>
              <w:t>paid</w:t>
            </w:r>
            <w:r>
              <w:rPr>
                <w:rFonts w:ascii="Arial"/>
                <w:i/>
                <w:spacing w:val="-5"/>
                <w:sz w:val="16"/>
              </w:rPr>
              <w:t> </w:t>
            </w:r>
            <w:r>
              <w:rPr>
                <w:rFonts w:ascii="Arial"/>
                <w:i/>
                <w:sz w:val="16"/>
              </w:rPr>
              <w:t>in</w:t>
            </w:r>
            <w:r>
              <w:rPr>
                <w:rFonts w:ascii="Arial"/>
                <w:i/>
                <w:spacing w:val="-3"/>
                <w:sz w:val="16"/>
              </w:rPr>
              <w:t> </w:t>
            </w:r>
            <w:r>
              <w:rPr>
                <w:rFonts w:ascii="Arial"/>
                <w:i/>
                <w:spacing w:val="-5"/>
                <w:sz w:val="16"/>
                <w:vertAlign w:val="superscript"/>
              </w:rPr>
              <w:t>a,b</w:t>
            </w:r>
          </w:p>
        </w:tc>
        <w:tc>
          <w:tcPr>
            <w:tcW w:w="980" w:type="dxa"/>
            <w:gridSpan w:val="2"/>
            <w:tcBorders>
              <w:bottom w:val="single" w:sz="8" w:space="0" w:color="000000"/>
            </w:tcBorders>
          </w:tcPr>
          <w:p>
            <w:pPr>
              <w:pStyle w:val="TableParagraph"/>
              <w:spacing w:line="182" w:lineRule="exact" w:before="8"/>
              <w:ind w:left="269"/>
              <w:rPr>
                <w:rFonts w:ascii="Arial"/>
                <w:i/>
                <w:sz w:val="16"/>
              </w:rPr>
            </w:pPr>
            <w:r>
              <w:rPr>
                <w:rFonts w:ascii="Arial"/>
                <w:i/>
                <w:sz w:val="16"/>
              </w:rPr>
              <w:t>call</w:t>
            </w:r>
            <w:r>
              <w:rPr>
                <w:rFonts w:ascii="Arial"/>
                <w:i/>
                <w:spacing w:val="1"/>
                <w:sz w:val="16"/>
              </w:rPr>
              <w:t> </w:t>
            </w:r>
            <w:r>
              <w:rPr>
                <w:rFonts w:ascii="Arial"/>
                <w:i/>
                <w:sz w:val="16"/>
                <w:vertAlign w:val="superscript"/>
              </w:rPr>
              <w:t>a,</w:t>
            </w:r>
            <w:r>
              <w:rPr>
                <w:rFonts w:ascii="Arial"/>
                <w:i/>
                <w:spacing w:val="-15"/>
                <w:sz w:val="16"/>
                <w:vertAlign w:val="baseline"/>
              </w:rPr>
              <w:t> </w:t>
            </w:r>
            <w:r>
              <w:rPr>
                <w:rFonts w:ascii="Arial"/>
                <w:i/>
                <w:spacing w:val="-10"/>
                <w:sz w:val="16"/>
                <w:vertAlign w:val="superscript"/>
              </w:rPr>
              <w:t>b</w:t>
            </w:r>
          </w:p>
        </w:tc>
        <w:tc>
          <w:tcPr>
            <w:tcW w:w="1174" w:type="dxa"/>
            <w:gridSpan w:val="2"/>
          </w:tcPr>
          <w:p>
            <w:pPr>
              <w:pStyle w:val="TableParagraph"/>
              <w:spacing w:line="183" w:lineRule="exact" w:before="7"/>
              <w:ind w:left="482"/>
              <w:rPr>
                <w:rFonts w:ascii="Arial"/>
                <w:i/>
                <w:sz w:val="16"/>
              </w:rPr>
            </w:pPr>
            <w:r>
              <w:rPr>
                <w:rFonts w:ascii="Arial"/>
                <w:i/>
                <w:spacing w:val="-2"/>
                <w:sz w:val="16"/>
              </w:rPr>
              <w:t>votes</w:t>
            </w:r>
          </w:p>
        </w:tc>
        <w:tc>
          <w:tcPr>
            <w:tcW w:w="1103" w:type="dxa"/>
            <w:tcBorders>
              <w:bottom w:val="single" w:sz="8" w:space="0" w:color="000000"/>
            </w:tcBorders>
          </w:tcPr>
          <w:p>
            <w:pPr>
              <w:pStyle w:val="TableParagraph"/>
              <w:spacing w:line="183" w:lineRule="exact" w:before="7"/>
              <w:ind w:left="183"/>
              <w:rPr>
                <w:rFonts w:ascii="Arial"/>
                <w:i/>
                <w:sz w:val="16"/>
              </w:rPr>
            </w:pPr>
            <w:r>
              <w:rPr>
                <w:rFonts w:ascii="Arial"/>
                <w:i/>
                <w:sz w:val="16"/>
              </w:rPr>
              <w:t>of</w:t>
            </w:r>
            <w:r>
              <w:rPr>
                <w:rFonts w:ascii="Arial"/>
                <w:i/>
                <w:spacing w:val="-2"/>
                <w:sz w:val="16"/>
              </w:rPr>
              <w:t> </w:t>
            </w:r>
            <w:r>
              <w:rPr>
                <w:rFonts w:ascii="Arial"/>
                <w:i/>
                <w:sz w:val="16"/>
              </w:rPr>
              <w:t>total</w:t>
            </w:r>
            <w:r>
              <w:rPr>
                <w:rFonts w:ascii="Arial"/>
                <w:i/>
                <w:spacing w:val="-2"/>
                <w:sz w:val="16"/>
              </w:rPr>
              <w:t> </w:t>
            </w:r>
            <w:r>
              <w:rPr>
                <w:rFonts w:ascii="Arial"/>
                <w:i/>
                <w:spacing w:val="-10"/>
                <w:sz w:val="16"/>
                <w:vertAlign w:val="superscript"/>
              </w:rPr>
              <w:t>b</w:t>
            </w:r>
          </w:p>
        </w:tc>
      </w:tr>
      <w:tr>
        <w:trPr>
          <w:trHeight w:val="216" w:hRule="atLeast"/>
        </w:trPr>
        <w:tc>
          <w:tcPr>
            <w:tcW w:w="2625" w:type="dxa"/>
            <w:tcBorders>
              <w:top w:val="single" w:sz="8" w:space="0" w:color="000000"/>
            </w:tcBorders>
            <w:shd w:val="clear" w:color="auto" w:fill="D8D8D8"/>
          </w:tcPr>
          <w:p>
            <w:pPr>
              <w:pStyle w:val="TableParagraph"/>
              <w:spacing w:before="9"/>
              <w:ind w:left="52"/>
              <w:rPr>
                <w:sz w:val="16"/>
              </w:rPr>
            </w:pPr>
            <w:r>
              <w:rPr>
                <w:sz w:val="16"/>
              </w:rPr>
              <w:t>El </w:t>
            </w:r>
            <w:r>
              <w:rPr>
                <w:spacing w:val="-2"/>
                <w:sz w:val="16"/>
              </w:rPr>
              <w:t>Salvador</w:t>
            </w:r>
          </w:p>
        </w:tc>
        <w:tc>
          <w:tcPr>
            <w:tcW w:w="816" w:type="dxa"/>
            <w:tcBorders>
              <w:top w:val="single" w:sz="8" w:space="0" w:color="000000"/>
            </w:tcBorders>
            <w:shd w:val="clear" w:color="auto" w:fill="D8D8D8"/>
          </w:tcPr>
          <w:p>
            <w:pPr>
              <w:pStyle w:val="TableParagraph"/>
              <w:spacing w:before="9"/>
              <w:ind w:right="71"/>
              <w:jc w:val="right"/>
              <w:rPr>
                <w:sz w:val="16"/>
              </w:rPr>
            </w:pPr>
            <w:r>
              <w:rPr>
                <w:spacing w:val="-5"/>
                <w:sz w:val="16"/>
              </w:rPr>
              <w:t>403</w:t>
            </w:r>
          </w:p>
        </w:tc>
        <w:tc>
          <w:tcPr>
            <w:tcW w:w="1427" w:type="dxa"/>
            <w:gridSpan w:val="2"/>
            <w:tcBorders>
              <w:top w:val="single" w:sz="8" w:space="0" w:color="000000"/>
            </w:tcBorders>
            <w:shd w:val="clear" w:color="auto" w:fill="D8D8D8"/>
          </w:tcPr>
          <w:p>
            <w:pPr>
              <w:pStyle w:val="TableParagraph"/>
              <w:spacing w:before="9"/>
              <w:ind w:left="620"/>
              <w:rPr>
                <w:sz w:val="16"/>
              </w:rPr>
            </w:pPr>
            <w:r>
              <w:rPr>
                <w:sz w:val="16"/>
              </w:rPr>
              <w:t>0.02</w:t>
            </w:r>
            <w:r>
              <w:rPr>
                <w:spacing w:val="3"/>
                <w:sz w:val="16"/>
              </w:rPr>
              <w:t> </w:t>
            </w:r>
            <w:r>
              <w:rPr>
                <w:sz w:val="16"/>
              </w:rPr>
              <w:t>%</w:t>
            </w:r>
            <w:r>
              <w:rPr>
                <w:spacing w:val="3"/>
                <w:sz w:val="16"/>
              </w:rPr>
              <w:t> </w:t>
            </w:r>
            <w:r>
              <w:rPr>
                <w:spacing w:val="-10"/>
                <w:sz w:val="16"/>
              </w:rPr>
              <w:t>$</w:t>
            </w:r>
          </w:p>
        </w:tc>
        <w:tc>
          <w:tcPr>
            <w:tcW w:w="572" w:type="dxa"/>
            <w:tcBorders>
              <w:top w:val="single" w:sz="8" w:space="0" w:color="000000"/>
            </w:tcBorders>
            <w:shd w:val="clear" w:color="auto" w:fill="D8D8D8"/>
          </w:tcPr>
          <w:p>
            <w:pPr>
              <w:pStyle w:val="TableParagraph"/>
              <w:spacing w:before="9"/>
              <w:ind w:left="167"/>
              <w:rPr>
                <w:sz w:val="16"/>
              </w:rPr>
            </w:pPr>
            <w:r>
              <w:rPr>
                <w:spacing w:val="-4"/>
                <w:sz w:val="16"/>
              </w:rPr>
              <w:t>48.6</w:t>
            </w:r>
          </w:p>
        </w:tc>
        <w:tc>
          <w:tcPr>
            <w:tcW w:w="326" w:type="dxa"/>
            <w:tcBorders>
              <w:top w:val="single" w:sz="8" w:space="0" w:color="000000"/>
            </w:tcBorders>
            <w:shd w:val="clear" w:color="auto" w:fill="D8D8D8"/>
          </w:tcPr>
          <w:p>
            <w:pPr>
              <w:pStyle w:val="TableParagraph"/>
              <w:spacing w:before="9"/>
              <w:ind w:left="27"/>
              <w:rPr>
                <w:sz w:val="16"/>
              </w:rPr>
            </w:pPr>
            <w:r>
              <w:rPr>
                <w:spacing w:val="-10"/>
                <w:sz w:val="16"/>
              </w:rPr>
              <w:t>$</w:t>
            </w:r>
          </w:p>
        </w:tc>
        <w:tc>
          <w:tcPr>
            <w:tcW w:w="493" w:type="dxa"/>
            <w:tcBorders>
              <w:top w:val="single" w:sz="8" w:space="0" w:color="000000"/>
            </w:tcBorders>
            <w:shd w:val="clear" w:color="auto" w:fill="D8D8D8"/>
          </w:tcPr>
          <w:p>
            <w:pPr>
              <w:pStyle w:val="TableParagraph"/>
              <w:spacing w:before="9"/>
              <w:ind w:left="213"/>
              <w:rPr>
                <w:sz w:val="16"/>
              </w:rPr>
            </w:pPr>
            <w:r>
              <w:rPr>
                <w:spacing w:val="-5"/>
                <w:sz w:val="16"/>
              </w:rPr>
              <w:t>3.9</w:t>
            </w:r>
          </w:p>
        </w:tc>
        <w:tc>
          <w:tcPr>
            <w:tcW w:w="150" w:type="dxa"/>
            <w:tcBorders>
              <w:top w:val="single" w:sz="8" w:space="0" w:color="000000"/>
            </w:tcBorders>
            <w:shd w:val="clear" w:color="auto" w:fill="D8D8D8"/>
          </w:tcPr>
          <w:p>
            <w:pPr>
              <w:pStyle w:val="TableParagraph"/>
              <w:spacing w:before="9"/>
              <w:ind w:left="63" w:right="-15"/>
              <w:rPr>
                <w:sz w:val="16"/>
              </w:rPr>
            </w:pPr>
            <w:r>
              <w:rPr>
                <w:spacing w:val="-10"/>
                <w:sz w:val="16"/>
              </w:rPr>
              <w:t>$</w:t>
            </w:r>
          </w:p>
        </w:tc>
        <w:tc>
          <w:tcPr>
            <w:tcW w:w="830" w:type="dxa"/>
            <w:tcBorders>
              <w:top w:val="single" w:sz="8" w:space="0" w:color="000000"/>
            </w:tcBorders>
            <w:shd w:val="clear" w:color="auto" w:fill="D8D8D8"/>
          </w:tcPr>
          <w:p>
            <w:pPr>
              <w:pStyle w:val="TableParagraph"/>
              <w:spacing w:before="9"/>
              <w:ind w:left="456"/>
              <w:rPr>
                <w:sz w:val="16"/>
              </w:rPr>
            </w:pPr>
            <w:r>
              <w:rPr>
                <w:spacing w:val="-4"/>
                <w:sz w:val="16"/>
              </w:rPr>
              <w:t>44.8</w:t>
            </w:r>
          </w:p>
        </w:tc>
        <w:tc>
          <w:tcPr>
            <w:tcW w:w="1174" w:type="dxa"/>
            <w:gridSpan w:val="2"/>
            <w:tcBorders>
              <w:top w:val="single" w:sz="8" w:space="0" w:color="000000"/>
            </w:tcBorders>
            <w:shd w:val="clear" w:color="auto" w:fill="D8D8D8"/>
          </w:tcPr>
          <w:p>
            <w:pPr>
              <w:pStyle w:val="TableParagraph"/>
              <w:spacing w:before="9"/>
              <w:ind w:left="723"/>
              <w:rPr>
                <w:sz w:val="16"/>
              </w:rPr>
            </w:pPr>
            <w:r>
              <w:rPr>
                <w:spacing w:val="-2"/>
                <w:sz w:val="16"/>
              </w:rPr>
              <w:t>1,222</w:t>
            </w:r>
          </w:p>
        </w:tc>
        <w:tc>
          <w:tcPr>
            <w:tcW w:w="1103" w:type="dxa"/>
            <w:tcBorders>
              <w:top w:val="single" w:sz="8" w:space="0" w:color="000000"/>
            </w:tcBorders>
            <w:shd w:val="clear" w:color="auto" w:fill="D8D8D8"/>
          </w:tcPr>
          <w:p>
            <w:pPr>
              <w:pStyle w:val="TableParagraph"/>
              <w:spacing w:before="9"/>
              <w:ind w:left="583"/>
              <w:rPr>
                <w:sz w:val="16"/>
              </w:rPr>
            </w:pPr>
            <w:r>
              <w:rPr>
                <w:sz w:val="16"/>
              </w:rPr>
              <w:t>0.04</w:t>
            </w:r>
            <w:r>
              <w:rPr>
                <w:spacing w:val="17"/>
                <w:sz w:val="16"/>
              </w:rPr>
              <w:t> </w:t>
            </w:r>
            <w:r>
              <w:rPr>
                <w:spacing w:val="-10"/>
                <w:sz w:val="16"/>
              </w:rPr>
              <w:t>%</w:t>
            </w:r>
          </w:p>
        </w:tc>
      </w:tr>
      <w:tr>
        <w:trPr>
          <w:trHeight w:val="225" w:hRule="atLeast"/>
        </w:trPr>
        <w:tc>
          <w:tcPr>
            <w:tcW w:w="2625" w:type="dxa"/>
            <w:shd w:val="clear" w:color="auto" w:fill="D8D8D8"/>
          </w:tcPr>
          <w:p>
            <w:pPr>
              <w:pStyle w:val="TableParagraph"/>
              <w:spacing w:before="18"/>
              <w:ind w:left="52"/>
              <w:rPr>
                <w:sz w:val="16"/>
              </w:rPr>
            </w:pPr>
            <w:r>
              <w:rPr>
                <w:sz w:val="16"/>
              </w:rPr>
              <w:t>Equatorial</w:t>
            </w:r>
            <w:r>
              <w:rPr>
                <w:spacing w:val="-6"/>
                <w:sz w:val="16"/>
              </w:rPr>
              <w:t> </w:t>
            </w:r>
            <w:r>
              <w:rPr>
                <w:spacing w:val="-2"/>
                <w:sz w:val="16"/>
              </w:rPr>
              <w:t>Guinea</w:t>
            </w:r>
          </w:p>
        </w:tc>
        <w:tc>
          <w:tcPr>
            <w:tcW w:w="816" w:type="dxa"/>
            <w:shd w:val="clear" w:color="auto" w:fill="D8D8D8"/>
          </w:tcPr>
          <w:p>
            <w:pPr>
              <w:pStyle w:val="TableParagraph"/>
              <w:spacing w:before="18"/>
              <w:ind w:right="71"/>
              <w:jc w:val="right"/>
              <w:rPr>
                <w:sz w:val="16"/>
              </w:rPr>
            </w:pPr>
            <w:r>
              <w:rPr>
                <w:spacing w:val="-5"/>
                <w:sz w:val="16"/>
              </w:rPr>
              <w:t>715</w:t>
            </w:r>
          </w:p>
        </w:tc>
        <w:tc>
          <w:tcPr>
            <w:tcW w:w="973" w:type="dxa"/>
            <w:shd w:val="clear" w:color="auto" w:fill="D8D8D8"/>
          </w:tcPr>
          <w:p>
            <w:pPr>
              <w:pStyle w:val="TableParagraph"/>
              <w:spacing w:before="18"/>
              <w:ind w:right="39"/>
              <w:jc w:val="right"/>
              <w:rPr>
                <w:sz w:val="16"/>
              </w:rPr>
            </w:pPr>
            <w:r>
              <w:rPr>
                <w:spacing w:val="-4"/>
                <w:sz w:val="16"/>
              </w:rPr>
              <w:t>0.03</w:t>
            </w:r>
          </w:p>
        </w:tc>
        <w:tc>
          <w:tcPr>
            <w:tcW w:w="1026" w:type="dxa"/>
            <w:gridSpan w:val="2"/>
            <w:shd w:val="clear" w:color="auto" w:fill="D8D8D8"/>
          </w:tcPr>
          <w:p>
            <w:pPr>
              <w:pStyle w:val="TableParagraph"/>
              <w:spacing w:before="18"/>
              <w:ind w:left="621"/>
              <w:rPr>
                <w:sz w:val="16"/>
              </w:rPr>
            </w:pPr>
            <w:r>
              <w:rPr>
                <w:spacing w:val="-4"/>
                <w:sz w:val="16"/>
              </w:rPr>
              <w:t>86.3</w:t>
            </w:r>
          </w:p>
        </w:tc>
        <w:tc>
          <w:tcPr>
            <w:tcW w:w="819" w:type="dxa"/>
            <w:gridSpan w:val="2"/>
            <w:shd w:val="clear" w:color="auto" w:fill="D8D8D8"/>
          </w:tcPr>
          <w:p>
            <w:pPr>
              <w:pStyle w:val="TableParagraph"/>
              <w:spacing w:before="18"/>
              <w:ind w:left="539"/>
              <w:rPr>
                <w:sz w:val="16"/>
              </w:rPr>
            </w:pPr>
            <w:r>
              <w:rPr>
                <w:spacing w:val="-5"/>
                <w:sz w:val="16"/>
              </w:rPr>
              <w:t>2.7</w:t>
            </w:r>
          </w:p>
        </w:tc>
        <w:tc>
          <w:tcPr>
            <w:tcW w:w="980" w:type="dxa"/>
            <w:gridSpan w:val="2"/>
            <w:shd w:val="clear" w:color="auto" w:fill="D8D8D8"/>
          </w:tcPr>
          <w:p>
            <w:pPr>
              <w:pStyle w:val="TableParagraph"/>
              <w:spacing w:before="18"/>
              <w:ind w:left="606"/>
              <w:rPr>
                <w:sz w:val="16"/>
              </w:rPr>
            </w:pPr>
            <w:r>
              <w:rPr>
                <w:spacing w:val="-4"/>
                <w:sz w:val="16"/>
              </w:rPr>
              <w:t>83.5</w:t>
            </w:r>
          </w:p>
        </w:tc>
        <w:tc>
          <w:tcPr>
            <w:tcW w:w="1174" w:type="dxa"/>
            <w:gridSpan w:val="2"/>
            <w:shd w:val="clear" w:color="auto" w:fill="D8D8D8"/>
          </w:tcPr>
          <w:p>
            <w:pPr>
              <w:pStyle w:val="TableParagraph"/>
              <w:spacing w:before="18"/>
              <w:ind w:left="723"/>
              <w:rPr>
                <w:sz w:val="16"/>
              </w:rPr>
            </w:pPr>
            <w:r>
              <w:rPr>
                <w:spacing w:val="-2"/>
                <w:sz w:val="16"/>
              </w:rPr>
              <w:t>1,534</w:t>
            </w:r>
          </w:p>
        </w:tc>
        <w:tc>
          <w:tcPr>
            <w:tcW w:w="1103" w:type="dxa"/>
            <w:shd w:val="clear" w:color="auto" w:fill="D8D8D8"/>
          </w:tcPr>
          <w:p>
            <w:pPr>
              <w:pStyle w:val="TableParagraph"/>
              <w:spacing w:before="18"/>
              <w:ind w:left="583"/>
              <w:rPr>
                <w:sz w:val="16"/>
              </w:rPr>
            </w:pPr>
            <w:r>
              <w:rPr>
                <w:spacing w:val="-4"/>
                <w:sz w:val="16"/>
              </w:rPr>
              <w:t>0.05</w:t>
            </w:r>
          </w:p>
        </w:tc>
      </w:tr>
      <w:tr>
        <w:trPr>
          <w:trHeight w:val="214" w:hRule="atLeast"/>
        </w:trPr>
        <w:tc>
          <w:tcPr>
            <w:tcW w:w="2625" w:type="dxa"/>
            <w:shd w:val="clear" w:color="auto" w:fill="D8D8D8"/>
          </w:tcPr>
          <w:p>
            <w:pPr>
              <w:pStyle w:val="TableParagraph"/>
              <w:spacing w:line="176" w:lineRule="exact" w:before="18"/>
              <w:ind w:left="52"/>
              <w:rPr>
                <w:sz w:val="16"/>
              </w:rPr>
            </w:pPr>
            <w:r>
              <w:rPr>
                <w:spacing w:val="-2"/>
                <w:sz w:val="16"/>
              </w:rPr>
              <w:t>Eritrea</w:t>
            </w:r>
          </w:p>
        </w:tc>
        <w:tc>
          <w:tcPr>
            <w:tcW w:w="816" w:type="dxa"/>
            <w:shd w:val="clear" w:color="auto" w:fill="D8D8D8"/>
          </w:tcPr>
          <w:p>
            <w:pPr>
              <w:pStyle w:val="TableParagraph"/>
              <w:spacing w:line="176" w:lineRule="exact" w:before="18"/>
              <w:ind w:right="71"/>
              <w:jc w:val="right"/>
              <w:rPr>
                <w:sz w:val="16"/>
              </w:rPr>
            </w:pPr>
            <w:r>
              <w:rPr>
                <w:spacing w:val="-5"/>
                <w:sz w:val="16"/>
              </w:rPr>
              <w:t>593</w:t>
            </w:r>
          </w:p>
        </w:tc>
        <w:tc>
          <w:tcPr>
            <w:tcW w:w="973" w:type="dxa"/>
            <w:shd w:val="clear" w:color="auto" w:fill="D8D8D8"/>
          </w:tcPr>
          <w:p>
            <w:pPr>
              <w:pStyle w:val="TableParagraph"/>
              <w:spacing w:line="176" w:lineRule="exact" w:before="18"/>
              <w:ind w:right="39"/>
              <w:jc w:val="right"/>
              <w:rPr>
                <w:sz w:val="16"/>
              </w:rPr>
            </w:pPr>
            <w:r>
              <w:rPr>
                <w:spacing w:val="-4"/>
                <w:sz w:val="16"/>
              </w:rPr>
              <w:t>0.02</w:t>
            </w:r>
          </w:p>
        </w:tc>
        <w:tc>
          <w:tcPr>
            <w:tcW w:w="1026" w:type="dxa"/>
            <w:gridSpan w:val="2"/>
            <w:shd w:val="clear" w:color="auto" w:fill="D8D8D8"/>
          </w:tcPr>
          <w:p>
            <w:pPr>
              <w:pStyle w:val="TableParagraph"/>
              <w:spacing w:line="176" w:lineRule="exact" w:before="18"/>
              <w:ind w:left="621"/>
              <w:rPr>
                <w:sz w:val="16"/>
              </w:rPr>
            </w:pPr>
            <w:r>
              <w:rPr>
                <w:spacing w:val="-4"/>
                <w:sz w:val="16"/>
              </w:rPr>
              <w:t>71.5</w:t>
            </w:r>
          </w:p>
        </w:tc>
        <w:tc>
          <w:tcPr>
            <w:tcW w:w="819" w:type="dxa"/>
            <w:gridSpan w:val="2"/>
            <w:shd w:val="clear" w:color="auto" w:fill="D8D8D8"/>
          </w:tcPr>
          <w:p>
            <w:pPr>
              <w:pStyle w:val="TableParagraph"/>
              <w:spacing w:line="176" w:lineRule="exact" w:before="18"/>
              <w:ind w:left="539"/>
              <w:rPr>
                <w:sz w:val="16"/>
              </w:rPr>
            </w:pPr>
            <w:r>
              <w:rPr>
                <w:spacing w:val="-5"/>
                <w:sz w:val="16"/>
              </w:rPr>
              <w:t>1.8</w:t>
            </w:r>
          </w:p>
        </w:tc>
        <w:tc>
          <w:tcPr>
            <w:tcW w:w="980" w:type="dxa"/>
            <w:gridSpan w:val="2"/>
            <w:shd w:val="clear" w:color="auto" w:fill="D8D8D8"/>
          </w:tcPr>
          <w:p>
            <w:pPr>
              <w:pStyle w:val="TableParagraph"/>
              <w:spacing w:line="176" w:lineRule="exact" w:before="18"/>
              <w:ind w:left="606"/>
              <w:rPr>
                <w:sz w:val="16"/>
              </w:rPr>
            </w:pPr>
            <w:r>
              <w:rPr>
                <w:spacing w:val="-4"/>
                <w:sz w:val="16"/>
              </w:rPr>
              <w:t>69.7</w:t>
            </w:r>
          </w:p>
        </w:tc>
        <w:tc>
          <w:tcPr>
            <w:tcW w:w="1174" w:type="dxa"/>
            <w:gridSpan w:val="2"/>
            <w:shd w:val="clear" w:color="auto" w:fill="D8D8D8"/>
          </w:tcPr>
          <w:p>
            <w:pPr>
              <w:pStyle w:val="TableParagraph"/>
              <w:spacing w:line="176" w:lineRule="exact" w:before="18"/>
              <w:ind w:left="723"/>
              <w:rPr>
                <w:sz w:val="16"/>
              </w:rPr>
            </w:pPr>
            <w:r>
              <w:rPr>
                <w:spacing w:val="-2"/>
                <w:sz w:val="16"/>
              </w:rPr>
              <w:t>1,412</w:t>
            </w:r>
          </w:p>
        </w:tc>
        <w:tc>
          <w:tcPr>
            <w:tcW w:w="1103" w:type="dxa"/>
            <w:shd w:val="clear" w:color="auto" w:fill="D8D8D8"/>
          </w:tcPr>
          <w:p>
            <w:pPr>
              <w:pStyle w:val="TableParagraph"/>
              <w:spacing w:line="176" w:lineRule="exact" w:before="18"/>
              <w:ind w:left="583"/>
              <w:rPr>
                <w:sz w:val="16"/>
              </w:rPr>
            </w:pPr>
            <w:r>
              <w:rPr>
                <w:spacing w:val="-4"/>
                <w:sz w:val="16"/>
              </w:rPr>
              <w:t>0.05</w:t>
            </w:r>
          </w:p>
        </w:tc>
      </w:tr>
      <w:tr>
        <w:trPr>
          <w:trHeight w:val="235" w:hRule="atLeast"/>
        </w:trPr>
        <w:tc>
          <w:tcPr>
            <w:tcW w:w="2625" w:type="dxa"/>
            <w:shd w:val="clear" w:color="auto" w:fill="D8D8D8"/>
          </w:tcPr>
          <w:p>
            <w:pPr>
              <w:pStyle w:val="TableParagraph"/>
              <w:spacing w:before="28"/>
              <w:ind w:left="52"/>
              <w:rPr>
                <w:sz w:val="16"/>
              </w:rPr>
            </w:pPr>
            <w:r>
              <w:rPr>
                <w:sz w:val="16"/>
              </w:rPr>
              <w:t>Estonia</w:t>
            </w:r>
            <w:r>
              <w:rPr>
                <w:spacing w:val="-4"/>
                <w:sz w:val="16"/>
              </w:rPr>
              <w:t> </w:t>
            </w:r>
            <w:r>
              <w:rPr>
                <w:spacing w:val="-10"/>
                <w:sz w:val="16"/>
                <w:vertAlign w:val="superscript"/>
              </w:rPr>
              <w:t>c</w:t>
            </w:r>
          </w:p>
        </w:tc>
        <w:tc>
          <w:tcPr>
            <w:tcW w:w="816" w:type="dxa"/>
            <w:shd w:val="clear" w:color="auto" w:fill="D8D8D8"/>
          </w:tcPr>
          <w:p>
            <w:pPr>
              <w:pStyle w:val="TableParagraph"/>
              <w:spacing w:before="28"/>
              <w:ind w:right="71"/>
              <w:jc w:val="right"/>
              <w:rPr>
                <w:sz w:val="16"/>
              </w:rPr>
            </w:pPr>
            <w:r>
              <w:rPr>
                <w:spacing w:val="-2"/>
                <w:sz w:val="16"/>
              </w:rPr>
              <w:t>1,322</w:t>
            </w:r>
          </w:p>
        </w:tc>
        <w:tc>
          <w:tcPr>
            <w:tcW w:w="973" w:type="dxa"/>
            <w:shd w:val="clear" w:color="auto" w:fill="D8D8D8"/>
          </w:tcPr>
          <w:p>
            <w:pPr>
              <w:pStyle w:val="TableParagraph"/>
              <w:spacing w:before="28"/>
              <w:ind w:right="39"/>
              <w:jc w:val="right"/>
              <w:rPr>
                <w:sz w:val="16"/>
              </w:rPr>
            </w:pPr>
            <w:r>
              <w:rPr>
                <w:spacing w:val="-4"/>
                <w:sz w:val="16"/>
              </w:rPr>
              <w:t>0.05</w:t>
            </w:r>
          </w:p>
        </w:tc>
        <w:tc>
          <w:tcPr>
            <w:tcW w:w="1026" w:type="dxa"/>
            <w:gridSpan w:val="2"/>
            <w:shd w:val="clear" w:color="auto" w:fill="D8D8D8"/>
          </w:tcPr>
          <w:p>
            <w:pPr>
              <w:pStyle w:val="TableParagraph"/>
              <w:spacing w:before="28"/>
              <w:ind w:left="533"/>
              <w:rPr>
                <w:sz w:val="16"/>
              </w:rPr>
            </w:pPr>
            <w:r>
              <w:rPr>
                <w:spacing w:val="-2"/>
                <w:sz w:val="16"/>
              </w:rPr>
              <w:t>159.5</w:t>
            </w:r>
          </w:p>
        </w:tc>
        <w:tc>
          <w:tcPr>
            <w:tcW w:w="819" w:type="dxa"/>
            <w:gridSpan w:val="2"/>
            <w:shd w:val="clear" w:color="auto" w:fill="D8D8D8"/>
          </w:tcPr>
          <w:p>
            <w:pPr>
              <w:pStyle w:val="TableParagraph"/>
              <w:spacing w:before="28"/>
              <w:ind w:left="539"/>
              <w:rPr>
                <w:sz w:val="16"/>
              </w:rPr>
            </w:pPr>
            <w:r>
              <w:rPr>
                <w:spacing w:val="-5"/>
                <w:sz w:val="16"/>
              </w:rPr>
              <w:t>8.6</w:t>
            </w:r>
          </w:p>
        </w:tc>
        <w:tc>
          <w:tcPr>
            <w:tcW w:w="980" w:type="dxa"/>
            <w:gridSpan w:val="2"/>
            <w:shd w:val="clear" w:color="auto" w:fill="D8D8D8"/>
          </w:tcPr>
          <w:p>
            <w:pPr>
              <w:pStyle w:val="TableParagraph"/>
              <w:spacing w:before="28"/>
              <w:ind w:left="518"/>
              <w:rPr>
                <w:sz w:val="16"/>
              </w:rPr>
            </w:pPr>
            <w:r>
              <w:rPr>
                <w:spacing w:val="-2"/>
                <w:sz w:val="16"/>
              </w:rPr>
              <w:t>150.9</w:t>
            </w:r>
          </w:p>
        </w:tc>
        <w:tc>
          <w:tcPr>
            <w:tcW w:w="1174" w:type="dxa"/>
            <w:gridSpan w:val="2"/>
            <w:shd w:val="clear" w:color="auto" w:fill="D8D8D8"/>
          </w:tcPr>
          <w:p>
            <w:pPr>
              <w:pStyle w:val="TableParagraph"/>
              <w:spacing w:before="28"/>
              <w:ind w:left="723"/>
              <w:rPr>
                <w:sz w:val="16"/>
              </w:rPr>
            </w:pPr>
            <w:r>
              <w:rPr>
                <w:spacing w:val="-2"/>
                <w:sz w:val="16"/>
              </w:rPr>
              <w:t>2,141</w:t>
            </w:r>
          </w:p>
        </w:tc>
        <w:tc>
          <w:tcPr>
            <w:tcW w:w="1103" w:type="dxa"/>
            <w:shd w:val="clear" w:color="auto" w:fill="D8D8D8"/>
          </w:tcPr>
          <w:p>
            <w:pPr>
              <w:pStyle w:val="TableParagraph"/>
              <w:spacing w:before="28"/>
              <w:ind w:left="583"/>
              <w:rPr>
                <w:sz w:val="16"/>
              </w:rPr>
            </w:pPr>
            <w:r>
              <w:rPr>
                <w:spacing w:val="-4"/>
                <w:sz w:val="16"/>
              </w:rPr>
              <w:t>0.08</w:t>
            </w:r>
          </w:p>
        </w:tc>
      </w:tr>
      <w:tr>
        <w:trPr>
          <w:trHeight w:val="223" w:hRule="atLeast"/>
        </w:trPr>
        <w:tc>
          <w:tcPr>
            <w:tcW w:w="2625" w:type="dxa"/>
            <w:shd w:val="clear" w:color="auto" w:fill="D8D8D8"/>
          </w:tcPr>
          <w:p>
            <w:pPr>
              <w:pStyle w:val="TableParagraph"/>
              <w:spacing w:before="18"/>
              <w:ind w:left="52"/>
              <w:rPr>
                <w:sz w:val="16"/>
              </w:rPr>
            </w:pPr>
            <w:r>
              <w:rPr>
                <w:spacing w:val="-2"/>
                <w:sz w:val="16"/>
              </w:rPr>
              <w:t>Eswatini</w:t>
            </w:r>
          </w:p>
        </w:tc>
        <w:tc>
          <w:tcPr>
            <w:tcW w:w="816" w:type="dxa"/>
            <w:shd w:val="clear" w:color="auto" w:fill="D8D8D8"/>
          </w:tcPr>
          <w:p>
            <w:pPr>
              <w:pStyle w:val="TableParagraph"/>
              <w:spacing w:before="18"/>
              <w:ind w:right="71"/>
              <w:jc w:val="right"/>
              <w:rPr>
                <w:sz w:val="16"/>
              </w:rPr>
            </w:pPr>
            <w:r>
              <w:rPr>
                <w:spacing w:val="-5"/>
                <w:sz w:val="16"/>
              </w:rPr>
              <w:t>590</w:t>
            </w:r>
          </w:p>
        </w:tc>
        <w:tc>
          <w:tcPr>
            <w:tcW w:w="973" w:type="dxa"/>
            <w:shd w:val="clear" w:color="auto" w:fill="D8D8D8"/>
          </w:tcPr>
          <w:p>
            <w:pPr>
              <w:pStyle w:val="TableParagraph"/>
              <w:spacing w:before="18"/>
              <w:ind w:right="39"/>
              <w:jc w:val="right"/>
              <w:rPr>
                <w:sz w:val="16"/>
              </w:rPr>
            </w:pPr>
            <w:r>
              <w:rPr>
                <w:spacing w:val="-4"/>
                <w:sz w:val="16"/>
              </w:rPr>
              <w:t>0.02</w:t>
            </w:r>
          </w:p>
        </w:tc>
        <w:tc>
          <w:tcPr>
            <w:tcW w:w="1026" w:type="dxa"/>
            <w:gridSpan w:val="2"/>
            <w:shd w:val="clear" w:color="auto" w:fill="D8D8D8"/>
          </w:tcPr>
          <w:p>
            <w:pPr>
              <w:pStyle w:val="TableParagraph"/>
              <w:spacing w:before="18"/>
              <w:ind w:left="621"/>
              <w:rPr>
                <w:sz w:val="16"/>
              </w:rPr>
            </w:pPr>
            <w:r>
              <w:rPr>
                <w:spacing w:val="-4"/>
                <w:sz w:val="16"/>
              </w:rPr>
              <w:t>71.2</w:t>
            </w:r>
          </w:p>
        </w:tc>
        <w:tc>
          <w:tcPr>
            <w:tcW w:w="819" w:type="dxa"/>
            <w:gridSpan w:val="2"/>
            <w:shd w:val="clear" w:color="auto" w:fill="D8D8D8"/>
          </w:tcPr>
          <w:p>
            <w:pPr>
              <w:pStyle w:val="TableParagraph"/>
              <w:spacing w:before="18"/>
              <w:ind w:left="539"/>
              <w:rPr>
                <w:sz w:val="16"/>
              </w:rPr>
            </w:pPr>
            <w:r>
              <w:rPr>
                <w:spacing w:val="-5"/>
                <w:sz w:val="16"/>
              </w:rPr>
              <w:t>3.2</w:t>
            </w:r>
          </w:p>
        </w:tc>
        <w:tc>
          <w:tcPr>
            <w:tcW w:w="980" w:type="dxa"/>
            <w:gridSpan w:val="2"/>
            <w:shd w:val="clear" w:color="auto" w:fill="D8D8D8"/>
          </w:tcPr>
          <w:p>
            <w:pPr>
              <w:pStyle w:val="TableParagraph"/>
              <w:spacing w:before="18"/>
              <w:ind w:left="606"/>
              <w:rPr>
                <w:sz w:val="16"/>
              </w:rPr>
            </w:pPr>
            <w:r>
              <w:rPr>
                <w:spacing w:val="-4"/>
                <w:sz w:val="16"/>
              </w:rPr>
              <w:t>68.0</w:t>
            </w:r>
          </w:p>
        </w:tc>
        <w:tc>
          <w:tcPr>
            <w:tcW w:w="1174" w:type="dxa"/>
            <w:gridSpan w:val="2"/>
            <w:shd w:val="clear" w:color="auto" w:fill="D8D8D8"/>
          </w:tcPr>
          <w:p>
            <w:pPr>
              <w:pStyle w:val="TableParagraph"/>
              <w:spacing w:before="18"/>
              <w:ind w:left="723"/>
              <w:rPr>
                <w:sz w:val="16"/>
              </w:rPr>
            </w:pPr>
            <w:r>
              <w:rPr>
                <w:spacing w:val="-2"/>
                <w:sz w:val="16"/>
              </w:rPr>
              <w:t>1,409</w:t>
            </w:r>
          </w:p>
        </w:tc>
        <w:tc>
          <w:tcPr>
            <w:tcW w:w="1103" w:type="dxa"/>
            <w:shd w:val="clear" w:color="auto" w:fill="D8D8D8"/>
          </w:tcPr>
          <w:p>
            <w:pPr>
              <w:pStyle w:val="TableParagraph"/>
              <w:spacing w:before="18"/>
              <w:ind w:left="583"/>
              <w:rPr>
                <w:sz w:val="16"/>
              </w:rPr>
            </w:pPr>
            <w:r>
              <w:rPr>
                <w:spacing w:val="-4"/>
                <w:sz w:val="16"/>
              </w:rPr>
              <w:t>0.05</w:t>
            </w:r>
          </w:p>
        </w:tc>
      </w:tr>
      <w:tr>
        <w:trPr>
          <w:trHeight w:val="226" w:hRule="atLeast"/>
        </w:trPr>
        <w:tc>
          <w:tcPr>
            <w:tcW w:w="2625" w:type="dxa"/>
          </w:tcPr>
          <w:p>
            <w:pPr>
              <w:pStyle w:val="TableParagraph"/>
              <w:spacing w:before="19"/>
              <w:ind w:left="52"/>
              <w:rPr>
                <w:sz w:val="16"/>
              </w:rPr>
            </w:pPr>
            <w:r>
              <w:rPr>
                <w:spacing w:val="-2"/>
                <w:sz w:val="16"/>
              </w:rPr>
              <w:t>Ethiopia</w:t>
            </w:r>
          </w:p>
        </w:tc>
        <w:tc>
          <w:tcPr>
            <w:tcW w:w="816" w:type="dxa"/>
          </w:tcPr>
          <w:p>
            <w:pPr>
              <w:pStyle w:val="TableParagraph"/>
              <w:spacing w:before="19"/>
              <w:ind w:right="71"/>
              <w:jc w:val="right"/>
              <w:rPr>
                <w:sz w:val="16"/>
              </w:rPr>
            </w:pPr>
            <w:r>
              <w:rPr>
                <w:spacing w:val="-2"/>
                <w:sz w:val="16"/>
              </w:rPr>
              <w:t>1,470</w:t>
            </w:r>
          </w:p>
        </w:tc>
        <w:tc>
          <w:tcPr>
            <w:tcW w:w="973" w:type="dxa"/>
          </w:tcPr>
          <w:p>
            <w:pPr>
              <w:pStyle w:val="TableParagraph"/>
              <w:spacing w:before="19"/>
              <w:ind w:right="39"/>
              <w:jc w:val="right"/>
              <w:rPr>
                <w:sz w:val="16"/>
              </w:rPr>
            </w:pPr>
            <w:r>
              <w:rPr>
                <w:spacing w:val="-4"/>
                <w:sz w:val="16"/>
              </w:rPr>
              <w:t>0.06</w:t>
            </w:r>
          </w:p>
        </w:tc>
        <w:tc>
          <w:tcPr>
            <w:tcW w:w="1026" w:type="dxa"/>
            <w:gridSpan w:val="2"/>
          </w:tcPr>
          <w:p>
            <w:pPr>
              <w:pStyle w:val="TableParagraph"/>
              <w:spacing w:before="19"/>
              <w:ind w:left="533"/>
              <w:rPr>
                <w:sz w:val="16"/>
              </w:rPr>
            </w:pPr>
            <w:r>
              <w:rPr>
                <w:spacing w:val="-2"/>
                <w:sz w:val="16"/>
              </w:rPr>
              <w:t>177.3</w:t>
            </w:r>
          </w:p>
        </w:tc>
        <w:tc>
          <w:tcPr>
            <w:tcW w:w="819" w:type="dxa"/>
            <w:gridSpan w:val="2"/>
          </w:tcPr>
          <w:p>
            <w:pPr>
              <w:pStyle w:val="TableParagraph"/>
              <w:spacing w:before="19"/>
              <w:ind w:left="539"/>
              <w:rPr>
                <w:sz w:val="16"/>
              </w:rPr>
            </w:pPr>
            <w:r>
              <w:rPr>
                <w:spacing w:val="-5"/>
                <w:sz w:val="16"/>
              </w:rPr>
              <w:t>8.3</w:t>
            </w:r>
          </w:p>
        </w:tc>
        <w:tc>
          <w:tcPr>
            <w:tcW w:w="980" w:type="dxa"/>
            <w:gridSpan w:val="2"/>
          </w:tcPr>
          <w:p>
            <w:pPr>
              <w:pStyle w:val="TableParagraph"/>
              <w:spacing w:before="19"/>
              <w:ind w:left="518"/>
              <w:rPr>
                <w:sz w:val="16"/>
              </w:rPr>
            </w:pPr>
            <w:r>
              <w:rPr>
                <w:spacing w:val="-2"/>
                <w:sz w:val="16"/>
              </w:rPr>
              <w:t>169.1</w:t>
            </w:r>
          </w:p>
        </w:tc>
        <w:tc>
          <w:tcPr>
            <w:tcW w:w="1174" w:type="dxa"/>
            <w:gridSpan w:val="2"/>
          </w:tcPr>
          <w:p>
            <w:pPr>
              <w:pStyle w:val="TableParagraph"/>
              <w:spacing w:before="19"/>
              <w:ind w:left="723"/>
              <w:rPr>
                <w:sz w:val="16"/>
              </w:rPr>
            </w:pPr>
            <w:r>
              <w:rPr>
                <w:spacing w:val="-2"/>
                <w:sz w:val="16"/>
              </w:rPr>
              <w:t>2,289</w:t>
            </w:r>
          </w:p>
        </w:tc>
        <w:tc>
          <w:tcPr>
            <w:tcW w:w="1103" w:type="dxa"/>
          </w:tcPr>
          <w:p>
            <w:pPr>
              <w:pStyle w:val="TableParagraph"/>
              <w:spacing w:before="19"/>
              <w:ind w:left="583"/>
              <w:rPr>
                <w:sz w:val="16"/>
              </w:rPr>
            </w:pPr>
            <w:r>
              <w:rPr>
                <w:spacing w:val="-4"/>
                <w:sz w:val="16"/>
              </w:rPr>
              <w:t>0.08</w:t>
            </w:r>
          </w:p>
        </w:tc>
      </w:tr>
      <w:tr>
        <w:trPr>
          <w:trHeight w:val="214" w:hRule="atLeast"/>
        </w:trPr>
        <w:tc>
          <w:tcPr>
            <w:tcW w:w="2625" w:type="dxa"/>
          </w:tcPr>
          <w:p>
            <w:pPr>
              <w:pStyle w:val="TableParagraph"/>
              <w:spacing w:line="176" w:lineRule="exact" w:before="18"/>
              <w:ind w:left="52"/>
              <w:rPr>
                <w:sz w:val="16"/>
              </w:rPr>
            </w:pPr>
            <w:r>
              <w:rPr>
                <w:spacing w:val="-4"/>
                <w:sz w:val="16"/>
              </w:rPr>
              <w:t>Fiji</w:t>
            </w:r>
          </w:p>
        </w:tc>
        <w:tc>
          <w:tcPr>
            <w:tcW w:w="816" w:type="dxa"/>
          </w:tcPr>
          <w:p>
            <w:pPr>
              <w:pStyle w:val="TableParagraph"/>
              <w:spacing w:line="176" w:lineRule="exact" w:before="18"/>
              <w:ind w:right="71"/>
              <w:jc w:val="right"/>
              <w:rPr>
                <w:sz w:val="16"/>
              </w:rPr>
            </w:pPr>
            <w:r>
              <w:rPr>
                <w:spacing w:val="-2"/>
                <w:sz w:val="16"/>
              </w:rPr>
              <w:t>1,354</w:t>
            </w:r>
          </w:p>
        </w:tc>
        <w:tc>
          <w:tcPr>
            <w:tcW w:w="973" w:type="dxa"/>
          </w:tcPr>
          <w:p>
            <w:pPr>
              <w:pStyle w:val="TableParagraph"/>
              <w:spacing w:line="176" w:lineRule="exact" w:before="18"/>
              <w:ind w:right="39"/>
              <w:jc w:val="right"/>
              <w:rPr>
                <w:sz w:val="16"/>
              </w:rPr>
            </w:pPr>
            <w:r>
              <w:rPr>
                <w:spacing w:val="-4"/>
                <w:sz w:val="16"/>
              </w:rPr>
              <w:t>0.05</w:t>
            </w:r>
          </w:p>
        </w:tc>
        <w:tc>
          <w:tcPr>
            <w:tcW w:w="1026" w:type="dxa"/>
            <w:gridSpan w:val="2"/>
          </w:tcPr>
          <w:p>
            <w:pPr>
              <w:pStyle w:val="TableParagraph"/>
              <w:spacing w:line="176" w:lineRule="exact" w:before="18"/>
              <w:ind w:left="533"/>
              <w:rPr>
                <w:sz w:val="16"/>
              </w:rPr>
            </w:pPr>
            <w:r>
              <w:rPr>
                <w:spacing w:val="-2"/>
                <w:sz w:val="16"/>
              </w:rPr>
              <w:t>163.3</w:t>
            </w:r>
          </w:p>
        </w:tc>
        <w:tc>
          <w:tcPr>
            <w:tcW w:w="819" w:type="dxa"/>
            <w:gridSpan w:val="2"/>
          </w:tcPr>
          <w:p>
            <w:pPr>
              <w:pStyle w:val="TableParagraph"/>
              <w:spacing w:line="176" w:lineRule="exact" w:before="18"/>
              <w:ind w:left="539"/>
              <w:rPr>
                <w:sz w:val="16"/>
              </w:rPr>
            </w:pPr>
            <w:r>
              <w:rPr>
                <w:spacing w:val="-5"/>
                <w:sz w:val="16"/>
              </w:rPr>
              <w:t>8.8</w:t>
            </w:r>
          </w:p>
        </w:tc>
        <w:tc>
          <w:tcPr>
            <w:tcW w:w="980" w:type="dxa"/>
            <w:gridSpan w:val="2"/>
          </w:tcPr>
          <w:p>
            <w:pPr>
              <w:pStyle w:val="TableParagraph"/>
              <w:spacing w:line="176" w:lineRule="exact" w:before="18"/>
              <w:ind w:left="518"/>
              <w:rPr>
                <w:sz w:val="16"/>
              </w:rPr>
            </w:pPr>
            <w:r>
              <w:rPr>
                <w:spacing w:val="-2"/>
                <w:sz w:val="16"/>
              </w:rPr>
              <w:t>154.6</w:t>
            </w:r>
          </w:p>
        </w:tc>
        <w:tc>
          <w:tcPr>
            <w:tcW w:w="1174" w:type="dxa"/>
            <w:gridSpan w:val="2"/>
          </w:tcPr>
          <w:p>
            <w:pPr>
              <w:pStyle w:val="TableParagraph"/>
              <w:spacing w:line="176" w:lineRule="exact" w:before="18"/>
              <w:ind w:left="723"/>
              <w:rPr>
                <w:sz w:val="16"/>
              </w:rPr>
            </w:pPr>
            <w:r>
              <w:rPr>
                <w:spacing w:val="-2"/>
                <w:sz w:val="16"/>
              </w:rPr>
              <w:t>2,173</w:t>
            </w:r>
          </w:p>
        </w:tc>
        <w:tc>
          <w:tcPr>
            <w:tcW w:w="1103" w:type="dxa"/>
          </w:tcPr>
          <w:p>
            <w:pPr>
              <w:pStyle w:val="TableParagraph"/>
              <w:spacing w:line="176" w:lineRule="exact" w:before="18"/>
              <w:ind w:left="583"/>
              <w:rPr>
                <w:sz w:val="16"/>
              </w:rPr>
            </w:pPr>
            <w:r>
              <w:rPr>
                <w:spacing w:val="-4"/>
                <w:sz w:val="16"/>
              </w:rPr>
              <w:t>0.08</w:t>
            </w:r>
          </w:p>
        </w:tc>
      </w:tr>
      <w:tr>
        <w:trPr>
          <w:trHeight w:val="225" w:hRule="atLeast"/>
        </w:trPr>
        <w:tc>
          <w:tcPr>
            <w:tcW w:w="2625" w:type="dxa"/>
          </w:tcPr>
          <w:p>
            <w:pPr>
              <w:pStyle w:val="TableParagraph"/>
              <w:spacing w:line="176" w:lineRule="exact" w:before="28"/>
              <w:ind w:left="52"/>
              <w:rPr>
                <w:sz w:val="16"/>
              </w:rPr>
            </w:pPr>
            <w:r>
              <w:rPr>
                <w:sz w:val="16"/>
              </w:rPr>
              <w:t>Finland</w:t>
            </w:r>
            <w:r>
              <w:rPr>
                <w:spacing w:val="-7"/>
                <w:sz w:val="16"/>
              </w:rPr>
              <w:t> </w:t>
            </w:r>
            <w:r>
              <w:rPr>
                <w:spacing w:val="-10"/>
                <w:sz w:val="16"/>
                <w:vertAlign w:val="superscript"/>
              </w:rPr>
              <w:t>c</w:t>
            </w:r>
          </w:p>
        </w:tc>
        <w:tc>
          <w:tcPr>
            <w:tcW w:w="816" w:type="dxa"/>
          </w:tcPr>
          <w:p>
            <w:pPr>
              <w:pStyle w:val="TableParagraph"/>
              <w:spacing w:line="176" w:lineRule="exact" w:before="28"/>
              <w:ind w:right="71"/>
              <w:jc w:val="right"/>
              <w:rPr>
                <w:sz w:val="16"/>
              </w:rPr>
            </w:pPr>
            <w:r>
              <w:rPr>
                <w:spacing w:val="-2"/>
                <w:sz w:val="16"/>
              </w:rPr>
              <w:t>13,153</w:t>
            </w:r>
          </w:p>
        </w:tc>
        <w:tc>
          <w:tcPr>
            <w:tcW w:w="973" w:type="dxa"/>
          </w:tcPr>
          <w:p>
            <w:pPr>
              <w:pStyle w:val="TableParagraph"/>
              <w:spacing w:line="176" w:lineRule="exact" w:before="28"/>
              <w:ind w:right="39"/>
              <w:jc w:val="right"/>
              <w:rPr>
                <w:sz w:val="16"/>
              </w:rPr>
            </w:pPr>
            <w:r>
              <w:rPr>
                <w:spacing w:val="-4"/>
                <w:sz w:val="16"/>
              </w:rPr>
              <w:t>0.50</w:t>
            </w:r>
          </w:p>
        </w:tc>
        <w:tc>
          <w:tcPr>
            <w:tcW w:w="1026" w:type="dxa"/>
            <w:gridSpan w:val="2"/>
          </w:tcPr>
          <w:p>
            <w:pPr>
              <w:pStyle w:val="TableParagraph"/>
              <w:spacing w:line="176" w:lineRule="exact" w:before="28"/>
              <w:ind w:left="399"/>
              <w:rPr>
                <w:sz w:val="16"/>
              </w:rPr>
            </w:pPr>
            <w:r>
              <w:rPr>
                <w:spacing w:val="-2"/>
                <w:sz w:val="16"/>
              </w:rPr>
              <w:t>1,586.7</w:t>
            </w:r>
          </w:p>
        </w:tc>
        <w:tc>
          <w:tcPr>
            <w:tcW w:w="819" w:type="dxa"/>
            <w:gridSpan w:val="2"/>
          </w:tcPr>
          <w:p>
            <w:pPr>
              <w:pStyle w:val="TableParagraph"/>
              <w:spacing w:line="176" w:lineRule="exact" w:before="28"/>
              <w:ind w:left="362"/>
              <w:rPr>
                <w:sz w:val="16"/>
              </w:rPr>
            </w:pPr>
            <w:r>
              <w:rPr>
                <w:spacing w:val="-2"/>
                <w:sz w:val="16"/>
              </w:rPr>
              <w:t>109.6</w:t>
            </w:r>
          </w:p>
        </w:tc>
        <w:tc>
          <w:tcPr>
            <w:tcW w:w="980" w:type="dxa"/>
            <w:gridSpan w:val="2"/>
          </w:tcPr>
          <w:p>
            <w:pPr>
              <w:pStyle w:val="TableParagraph"/>
              <w:spacing w:line="176" w:lineRule="exact" w:before="28"/>
              <w:ind w:left="384"/>
              <w:rPr>
                <w:sz w:val="16"/>
              </w:rPr>
            </w:pPr>
            <w:r>
              <w:rPr>
                <w:spacing w:val="-2"/>
                <w:sz w:val="16"/>
              </w:rPr>
              <w:t>1,477.2</w:t>
            </w:r>
          </w:p>
        </w:tc>
        <w:tc>
          <w:tcPr>
            <w:tcW w:w="1174" w:type="dxa"/>
            <w:gridSpan w:val="2"/>
          </w:tcPr>
          <w:p>
            <w:pPr>
              <w:pStyle w:val="TableParagraph"/>
              <w:spacing w:line="176" w:lineRule="exact" w:before="28"/>
              <w:ind w:left="635"/>
              <w:rPr>
                <w:sz w:val="16"/>
              </w:rPr>
            </w:pPr>
            <w:r>
              <w:rPr>
                <w:spacing w:val="-2"/>
                <w:sz w:val="16"/>
              </w:rPr>
              <w:t>13,972</w:t>
            </w:r>
          </w:p>
        </w:tc>
        <w:tc>
          <w:tcPr>
            <w:tcW w:w="1103" w:type="dxa"/>
          </w:tcPr>
          <w:p>
            <w:pPr>
              <w:pStyle w:val="TableParagraph"/>
              <w:spacing w:line="176" w:lineRule="exact" w:before="28"/>
              <w:ind w:left="583"/>
              <w:rPr>
                <w:sz w:val="16"/>
              </w:rPr>
            </w:pPr>
            <w:r>
              <w:rPr>
                <w:spacing w:val="-4"/>
                <w:sz w:val="16"/>
              </w:rPr>
              <w:t>0.50</w:t>
            </w:r>
          </w:p>
        </w:tc>
      </w:tr>
      <w:tr>
        <w:trPr>
          <w:trHeight w:val="235" w:hRule="atLeast"/>
        </w:trPr>
        <w:tc>
          <w:tcPr>
            <w:tcW w:w="2625" w:type="dxa"/>
          </w:tcPr>
          <w:p>
            <w:pPr>
              <w:pStyle w:val="TableParagraph"/>
              <w:spacing w:before="28"/>
              <w:ind w:left="52"/>
              <w:rPr>
                <w:sz w:val="16"/>
              </w:rPr>
            </w:pPr>
            <w:r>
              <w:rPr>
                <w:sz w:val="16"/>
              </w:rPr>
              <w:t>France</w:t>
            </w:r>
            <w:r>
              <w:rPr>
                <w:spacing w:val="-4"/>
                <w:sz w:val="16"/>
              </w:rPr>
              <w:t> </w:t>
            </w:r>
            <w:r>
              <w:rPr>
                <w:spacing w:val="-10"/>
                <w:sz w:val="16"/>
                <w:vertAlign w:val="superscript"/>
              </w:rPr>
              <w:t>c</w:t>
            </w:r>
          </w:p>
        </w:tc>
        <w:tc>
          <w:tcPr>
            <w:tcW w:w="816" w:type="dxa"/>
          </w:tcPr>
          <w:p>
            <w:pPr>
              <w:pStyle w:val="TableParagraph"/>
              <w:spacing w:before="28"/>
              <w:ind w:right="71"/>
              <w:jc w:val="right"/>
              <w:rPr>
                <w:sz w:val="16"/>
              </w:rPr>
            </w:pPr>
            <w:r>
              <w:rPr>
                <w:spacing w:val="-2"/>
                <w:sz w:val="16"/>
              </w:rPr>
              <w:t>108,611</w:t>
            </w:r>
          </w:p>
        </w:tc>
        <w:tc>
          <w:tcPr>
            <w:tcW w:w="973" w:type="dxa"/>
          </w:tcPr>
          <w:p>
            <w:pPr>
              <w:pStyle w:val="TableParagraph"/>
              <w:spacing w:before="28"/>
              <w:ind w:right="39"/>
              <w:jc w:val="right"/>
              <w:rPr>
                <w:sz w:val="16"/>
              </w:rPr>
            </w:pPr>
            <w:r>
              <w:rPr>
                <w:spacing w:val="-4"/>
                <w:sz w:val="16"/>
              </w:rPr>
              <w:t>4.12</w:t>
            </w:r>
          </w:p>
        </w:tc>
        <w:tc>
          <w:tcPr>
            <w:tcW w:w="1026" w:type="dxa"/>
            <w:gridSpan w:val="2"/>
          </w:tcPr>
          <w:p>
            <w:pPr>
              <w:pStyle w:val="TableParagraph"/>
              <w:spacing w:before="28"/>
              <w:ind w:left="311"/>
              <w:rPr>
                <w:sz w:val="16"/>
              </w:rPr>
            </w:pPr>
            <w:r>
              <w:rPr>
                <w:spacing w:val="-2"/>
                <w:sz w:val="16"/>
              </w:rPr>
              <w:t>13,102.3</w:t>
            </w:r>
          </w:p>
        </w:tc>
        <w:tc>
          <w:tcPr>
            <w:tcW w:w="819" w:type="dxa"/>
            <w:gridSpan w:val="2"/>
          </w:tcPr>
          <w:p>
            <w:pPr>
              <w:pStyle w:val="TableParagraph"/>
              <w:spacing w:before="28"/>
              <w:ind w:left="362"/>
              <w:rPr>
                <w:sz w:val="16"/>
              </w:rPr>
            </w:pPr>
            <w:r>
              <w:rPr>
                <w:spacing w:val="-2"/>
                <w:sz w:val="16"/>
              </w:rPr>
              <w:t>956.6</w:t>
            </w:r>
          </w:p>
        </w:tc>
        <w:tc>
          <w:tcPr>
            <w:tcW w:w="980" w:type="dxa"/>
            <w:gridSpan w:val="2"/>
          </w:tcPr>
          <w:p>
            <w:pPr>
              <w:pStyle w:val="TableParagraph"/>
              <w:spacing w:before="28"/>
              <w:ind w:left="296"/>
              <w:rPr>
                <w:sz w:val="16"/>
              </w:rPr>
            </w:pPr>
            <w:r>
              <w:rPr>
                <w:spacing w:val="-2"/>
                <w:sz w:val="16"/>
              </w:rPr>
              <w:t>12,145.7</w:t>
            </w:r>
          </w:p>
        </w:tc>
        <w:tc>
          <w:tcPr>
            <w:tcW w:w="1174" w:type="dxa"/>
            <w:gridSpan w:val="2"/>
          </w:tcPr>
          <w:p>
            <w:pPr>
              <w:pStyle w:val="TableParagraph"/>
              <w:spacing w:before="28"/>
              <w:ind w:left="546"/>
              <w:rPr>
                <w:sz w:val="16"/>
              </w:rPr>
            </w:pPr>
            <w:r>
              <w:rPr>
                <w:spacing w:val="-2"/>
                <w:sz w:val="16"/>
              </w:rPr>
              <w:t>109,430</w:t>
            </w:r>
          </w:p>
        </w:tc>
        <w:tc>
          <w:tcPr>
            <w:tcW w:w="1103" w:type="dxa"/>
          </w:tcPr>
          <w:p>
            <w:pPr>
              <w:pStyle w:val="TableParagraph"/>
              <w:spacing w:before="28"/>
              <w:ind w:left="583"/>
              <w:rPr>
                <w:sz w:val="16"/>
              </w:rPr>
            </w:pPr>
            <w:r>
              <w:rPr>
                <w:spacing w:val="-4"/>
                <w:sz w:val="16"/>
              </w:rPr>
              <w:t>3.92</w:t>
            </w:r>
          </w:p>
        </w:tc>
      </w:tr>
      <w:tr>
        <w:trPr>
          <w:trHeight w:val="223" w:hRule="atLeast"/>
        </w:trPr>
        <w:tc>
          <w:tcPr>
            <w:tcW w:w="2625" w:type="dxa"/>
          </w:tcPr>
          <w:p>
            <w:pPr>
              <w:pStyle w:val="TableParagraph"/>
              <w:spacing w:before="18"/>
              <w:ind w:left="52"/>
              <w:rPr>
                <w:sz w:val="16"/>
              </w:rPr>
            </w:pPr>
            <w:r>
              <w:rPr>
                <w:spacing w:val="-2"/>
                <w:sz w:val="16"/>
              </w:rPr>
              <w:t>Gabon</w:t>
            </w:r>
          </w:p>
        </w:tc>
        <w:tc>
          <w:tcPr>
            <w:tcW w:w="816" w:type="dxa"/>
          </w:tcPr>
          <w:p>
            <w:pPr>
              <w:pStyle w:val="TableParagraph"/>
              <w:spacing w:before="18"/>
              <w:ind w:right="71"/>
              <w:jc w:val="right"/>
              <w:rPr>
                <w:sz w:val="16"/>
              </w:rPr>
            </w:pPr>
            <w:r>
              <w:rPr>
                <w:spacing w:val="-5"/>
                <w:sz w:val="16"/>
              </w:rPr>
              <w:t>987</w:t>
            </w:r>
          </w:p>
        </w:tc>
        <w:tc>
          <w:tcPr>
            <w:tcW w:w="973" w:type="dxa"/>
          </w:tcPr>
          <w:p>
            <w:pPr>
              <w:pStyle w:val="TableParagraph"/>
              <w:spacing w:before="18"/>
              <w:ind w:right="39"/>
              <w:jc w:val="right"/>
              <w:rPr>
                <w:sz w:val="16"/>
              </w:rPr>
            </w:pPr>
            <w:r>
              <w:rPr>
                <w:spacing w:val="-4"/>
                <w:sz w:val="16"/>
              </w:rPr>
              <w:t>0.04</w:t>
            </w:r>
          </w:p>
        </w:tc>
        <w:tc>
          <w:tcPr>
            <w:tcW w:w="1026" w:type="dxa"/>
            <w:gridSpan w:val="2"/>
          </w:tcPr>
          <w:p>
            <w:pPr>
              <w:pStyle w:val="TableParagraph"/>
              <w:spacing w:before="18"/>
              <w:ind w:left="533"/>
              <w:rPr>
                <w:sz w:val="16"/>
              </w:rPr>
            </w:pPr>
            <w:r>
              <w:rPr>
                <w:spacing w:val="-2"/>
                <w:sz w:val="16"/>
              </w:rPr>
              <w:t>119.1</w:t>
            </w:r>
          </w:p>
        </w:tc>
        <w:tc>
          <w:tcPr>
            <w:tcW w:w="819" w:type="dxa"/>
            <w:gridSpan w:val="2"/>
          </w:tcPr>
          <w:p>
            <w:pPr>
              <w:pStyle w:val="TableParagraph"/>
              <w:spacing w:before="18"/>
              <w:ind w:left="539"/>
              <w:rPr>
                <w:sz w:val="16"/>
              </w:rPr>
            </w:pPr>
            <w:r>
              <w:rPr>
                <w:spacing w:val="-5"/>
                <w:sz w:val="16"/>
              </w:rPr>
              <w:t>5.1</w:t>
            </w:r>
          </w:p>
        </w:tc>
        <w:tc>
          <w:tcPr>
            <w:tcW w:w="980" w:type="dxa"/>
            <w:gridSpan w:val="2"/>
          </w:tcPr>
          <w:p>
            <w:pPr>
              <w:pStyle w:val="TableParagraph"/>
              <w:spacing w:before="18"/>
              <w:ind w:left="518"/>
              <w:rPr>
                <w:sz w:val="16"/>
              </w:rPr>
            </w:pPr>
            <w:r>
              <w:rPr>
                <w:spacing w:val="-2"/>
                <w:sz w:val="16"/>
              </w:rPr>
              <w:t>113.9</w:t>
            </w:r>
          </w:p>
        </w:tc>
        <w:tc>
          <w:tcPr>
            <w:tcW w:w="1174" w:type="dxa"/>
            <w:gridSpan w:val="2"/>
          </w:tcPr>
          <w:p>
            <w:pPr>
              <w:pStyle w:val="TableParagraph"/>
              <w:spacing w:before="18"/>
              <w:ind w:left="723"/>
              <w:rPr>
                <w:sz w:val="16"/>
              </w:rPr>
            </w:pPr>
            <w:r>
              <w:rPr>
                <w:spacing w:val="-2"/>
                <w:sz w:val="16"/>
              </w:rPr>
              <w:t>1,806</w:t>
            </w:r>
          </w:p>
        </w:tc>
        <w:tc>
          <w:tcPr>
            <w:tcW w:w="1103" w:type="dxa"/>
          </w:tcPr>
          <w:p>
            <w:pPr>
              <w:pStyle w:val="TableParagraph"/>
              <w:spacing w:before="18"/>
              <w:ind w:left="583"/>
              <w:rPr>
                <w:sz w:val="16"/>
              </w:rPr>
            </w:pPr>
            <w:r>
              <w:rPr>
                <w:spacing w:val="-4"/>
                <w:sz w:val="16"/>
              </w:rPr>
              <w:t>0.06</w:t>
            </w:r>
          </w:p>
        </w:tc>
      </w:tr>
      <w:tr>
        <w:trPr>
          <w:trHeight w:val="226" w:hRule="atLeast"/>
        </w:trPr>
        <w:tc>
          <w:tcPr>
            <w:tcW w:w="2625" w:type="dxa"/>
            <w:shd w:val="clear" w:color="auto" w:fill="D8D8D8"/>
          </w:tcPr>
          <w:p>
            <w:pPr>
              <w:pStyle w:val="TableParagraph"/>
              <w:spacing w:before="19"/>
              <w:ind w:left="52"/>
              <w:rPr>
                <w:sz w:val="16"/>
              </w:rPr>
            </w:pPr>
            <w:r>
              <w:rPr>
                <w:sz w:val="16"/>
              </w:rPr>
              <w:t>Gambia,</w:t>
            </w:r>
            <w:r>
              <w:rPr>
                <w:spacing w:val="-7"/>
                <w:sz w:val="16"/>
              </w:rPr>
              <w:t> </w:t>
            </w:r>
            <w:r>
              <w:rPr>
                <w:spacing w:val="-5"/>
                <w:sz w:val="16"/>
              </w:rPr>
              <w:t>The</w:t>
            </w:r>
          </w:p>
        </w:tc>
        <w:tc>
          <w:tcPr>
            <w:tcW w:w="816" w:type="dxa"/>
            <w:shd w:val="clear" w:color="auto" w:fill="D8D8D8"/>
          </w:tcPr>
          <w:p>
            <w:pPr>
              <w:pStyle w:val="TableParagraph"/>
              <w:spacing w:before="19"/>
              <w:ind w:right="71"/>
              <w:jc w:val="right"/>
              <w:rPr>
                <w:sz w:val="16"/>
              </w:rPr>
            </w:pPr>
            <w:r>
              <w:rPr>
                <w:spacing w:val="-5"/>
                <w:sz w:val="16"/>
              </w:rPr>
              <w:t>777</w:t>
            </w:r>
          </w:p>
        </w:tc>
        <w:tc>
          <w:tcPr>
            <w:tcW w:w="973" w:type="dxa"/>
            <w:shd w:val="clear" w:color="auto" w:fill="D8D8D8"/>
          </w:tcPr>
          <w:p>
            <w:pPr>
              <w:pStyle w:val="TableParagraph"/>
              <w:spacing w:before="19"/>
              <w:ind w:right="39"/>
              <w:jc w:val="right"/>
              <w:rPr>
                <w:sz w:val="16"/>
              </w:rPr>
            </w:pPr>
            <w:r>
              <w:rPr>
                <w:spacing w:val="-4"/>
                <w:sz w:val="16"/>
              </w:rPr>
              <w:t>0.03</w:t>
            </w:r>
          </w:p>
        </w:tc>
        <w:tc>
          <w:tcPr>
            <w:tcW w:w="1026" w:type="dxa"/>
            <w:gridSpan w:val="2"/>
            <w:shd w:val="clear" w:color="auto" w:fill="D8D8D8"/>
          </w:tcPr>
          <w:p>
            <w:pPr>
              <w:pStyle w:val="TableParagraph"/>
              <w:spacing w:before="19"/>
              <w:ind w:left="621"/>
              <w:rPr>
                <w:sz w:val="16"/>
              </w:rPr>
            </w:pPr>
            <w:r>
              <w:rPr>
                <w:spacing w:val="-4"/>
                <w:sz w:val="16"/>
              </w:rPr>
              <w:t>93.7</w:t>
            </w:r>
          </w:p>
        </w:tc>
        <w:tc>
          <w:tcPr>
            <w:tcW w:w="819" w:type="dxa"/>
            <w:gridSpan w:val="2"/>
            <w:shd w:val="clear" w:color="auto" w:fill="D8D8D8"/>
          </w:tcPr>
          <w:p>
            <w:pPr>
              <w:pStyle w:val="TableParagraph"/>
              <w:spacing w:before="19"/>
              <w:ind w:left="539"/>
              <w:rPr>
                <w:sz w:val="16"/>
              </w:rPr>
            </w:pPr>
            <w:r>
              <w:rPr>
                <w:spacing w:val="-5"/>
                <w:sz w:val="16"/>
              </w:rPr>
              <w:t>2.7</w:t>
            </w:r>
          </w:p>
        </w:tc>
        <w:tc>
          <w:tcPr>
            <w:tcW w:w="980" w:type="dxa"/>
            <w:gridSpan w:val="2"/>
            <w:shd w:val="clear" w:color="auto" w:fill="D8D8D8"/>
          </w:tcPr>
          <w:p>
            <w:pPr>
              <w:pStyle w:val="TableParagraph"/>
              <w:spacing w:before="19"/>
              <w:ind w:left="606"/>
              <w:rPr>
                <w:sz w:val="16"/>
              </w:rPr>
            </w:pPr>
            <w:r>
              <w:rPr>
                <w:spacing w:val="-4"/>
                <w:sz w:val="16"/>
              </w:rPr>
              <w:t>91.0</w:t>
            </w:r>
          </w:p>
        </w:tc>
        <w:tc>
          <w:tcPr>
            <w:tcW w:w="1174" w:type="dxa"/>
            <w:gridSpan w:val="2"/>
            <w:shd w:val="clear" w:color="auto" w:fill="D8D8D8"/>
          </w:tcPr>
          <w:p>
            <w:pPr>
              <w:pStyle w:val="TableParagraph"/>
              <w:spacing w:before="19"/>
              <w:ind w:left="723"/>
              <w:rPr>
                <w:sz w:val="16"/>
              </w:rPr>
            </w:pPr>
            <w:r>
              <w:rPr>
                <w:spacing w:val="-2"/>
                <w:sz w:val="16"/>
              </w:rPr>
              <w:t>1,596</w:t>
            </w:r>
          </w:p>
        </w:tc>
        <w:tc>
          <w:tcPr>
            <w:tcW w:w="1103" w:type="dxa"/>
            <w:shd w:val="clear" w:color="auto" w:fill="D8D8D8"/>
          </w:tcPr>
          <w:p>
            <w:pPr>
              <w:pStyle w:val="TableParagraph"/>
              <w:spacing w:before="19"/>
              <w:ind w:left="583"/>
              <w:rPr>
                <w:sz w:val="16"/>
              </w:rPr>
            </w:pPr>
            <w:r>
              <w:rPr>
                <w:spacing w:val="-4"/>
                <w:sz w:val="16"/>
              </w:rPr>
              <w:t>0.06</w:t>
            </w:r>
          </w:p>
        </w:tc>
      </w:tr>
      <w:tr>
        <w:trPr>
          <w:trHeight w:val="214" w:hRule="atLeast"/>
        </w:trPr>
        <w:tc>
          <w:tcPr>
            <w:tcW w:w="2625" w:type="dxa"/>
            <w:shd w:val="clear" w:color="auto" w:fill="D8D8D8"/>
          </w:tcPr>
          <w:p>
            <w:pPr>
              <w:pStyle w:val="TableParagraph"/>
              <w:spacing w:line="176" w:lineRule="exact" w:before="18"/>
              <w:ind w:left="52"/>
              <w:rPr>
                <w:sz w:val="16"/>
              </w:rPr>
            </w:pPr>
            <w:r>
              <w:rPr>
                <w:spacing w:val="-2"/>
                <w:sz w:val="16"/>
              </w:rPr>
              <w:t>Georgia</w:t>
            </w:r>
          </w:p>
        </w:tc>
        <w:tc>
          <w:tcPr>
            <w:tcW w:w="816" w:type="dxa"/>
            <w:shd w:val="clear" w:color="auto" w:fill="D8D8D8"/>
          </w:tcPr>
          <w:p>
            <w:pPr>
              <w:pStyle w:val="TableParagraph"/>
              <w:spacing w:line="176" w:lineRule="exact" w:before="18"/>
              <w:ind w:right="71"/>
              <w:jc w:val="right"/>
              <w:rPr>
                <w:sz w:val="16"/>
              </w:rPr>
            </w:pPr>
            <w:r>
              <w:rPr>
                <w:spacing w:val="-2"/>
                <w:sz w:val="16"/>
              </w:rPr>
              <w:t>2,590</w:t>
            </w:r>
          </w:p>
        </w:tc>
        <w:tc>
          <w:tcPr>
            <w:tcW w:w="973" w:type="dxa"/>
            <w:shd w:val="clear" w:color="auto" w:fill="D8D8D8"/>
          </w:tcPr>
          <w:p>
            <w:pPr>
              <w:pStyle w:val="TableParagraph"/>
              <w:spacing w:line="176" w:lineRule="exact" w:before="18"/>
              <w:ind w:right="39"/>
              <w:jc w:val="right"/>
              <w:rPr>
                <w:sz w:val="16"/>
              </w:rPr>
            </w:pPr>
            <w:r>
              <w:rPr>
                <w:spacing w:val="-4"/>
                <w:sz w:val="16"/>
              </w:rPr>
              <w:t>0.10</w:t>
            </w:r>
          </w:p>
        </w:tc>
        <w:tc>
          <w:tcPr>
            <w:tcW w:w="1026" w:type="dxa"/>
            <w:gridSpan w:val="2"/>
            <w:shd w:val="clear" w:color="auto" w:fill="D8D8D8"/>
          </w:tcPr>
          <w:p>
            <w:pPr>
              <w:pStyle w:val="TableParagraph"/>
              <w:spacing w:line="176" w:lineRule="exact" w:before="18"/>
              <w:ind w:left="533"/>
              <w:rPr>
                <w:sz w:val="16"/>
              </w:rPr>
            </w:pPr>
            <w:r>
              <w:rPr>
                <w:spacing w:val="-2"/>
                <w:sz w:val="16"/>
              </w:rPr>
              <w:t>312.4</w:t>
            </w:r>
          </w:p>
        </w:tc>
        <w:tc>
          <w:tcPr>
            <w:tcW w:w="819" w:type="dxa"/>
            <w:gridSpan w:val="2"/>
            <w:shd w:val="clear" w:color="auto" w:fill="D8D8D8"/>
          </w:tcPr>
          <w:p>
            <w:pPr>
              <w:pStyle w:val="TableParagraph"/>
              <w:spacing w:line="176" w:lineRule="exact" w:before="18"/>
              <w:ind w:left="450"/>
              <w:rPr>
                <w:sz w:val="16"/>
              </w:rPr>
            </w:pPr>
            <w:r>
              <w:rPr>
                <w:spacing w:val="-4"/>
                <w:sz w:val="16"/>
              </w:rPr>
              <w:t>18.6</w:t>
            </w:r>
          </w:p>
        </w:tc>
        <w:tc>
          <w:tcPr>
            <w:tcW w:w="980" w:type="dxa"/>
            <w:gridSpan w:val="2"/>
            <w:shd w:val="clear" w:color="auto" w:fill="D8D8D8"/>
          </w:tcPr>
          <w:p>
            <w:pPr>
              <w:pStyle w:val="TableParagraph"/>
              <w:spacing w:line="176" w:lineRule="exact" w:before="18"/>
              <w:ind w:left="518"/>
              <w:rPr>
                <w:sz w:val="16"/>
              </w:rPr>
            </w:pPr>
            <w:r>
              <w:rPr>
                <w:spacing w:val="-2"/>
                <w:sz w:val="16"/>
              </w:rPr>
              <w:t>293.8</w:t>
            </w:r>
          </w:p>
        </w:tc>
        <w:tc>
          <w:tcPr>
            <w:tcW w:w="1174" w:type="dxa"/>
            <w:gridSpan w:val="2"/>
            <w:shd w:val="clear" w:color="auto" w:fill="D8D8D8"/>
          </w:tcPr>
          <w:p>
            <w:pPr>
              <w:pStyle w:val="TableParagraph"/>
              <w:spacing w:line="176" w:lineRule="exact" w:before="18"/>
              <w:ind w:left="723"/>
              <w:rPr>
                <w:sz w:val="16"/>
              </w:rPr>
            </w:pPr>
            <w:r>
              <w:rPr>
                <w:spacing w:val="-2"/>
                <w:sz w:val="16"/>
              </w:rPr>
              <w:t>3,409</w:t>
            </w:r>
          </w:p>
        </w:tc>
        <w:tc>
          <w:tcPr>
            <w:tcW w:w="1103" w:type="dxa"/>
            <w:shd w:val="clear" w:color="auto" w:fill="D8D8D8"/>
          </w:tcPr>
          <w:p>
            <w:pPr>
              <w:pStyle w:val="TableParagraph"/>
              <w:spacing w:line="176" w:lineRule="exact" w:before="18"/>
              <w:ind w:left="583"/>
              <w:rPr>
                <w:sz w:val="16"/>
              </w:rPr>
            </w:pPr>
            <w:r>
              <w:rPr>
                <w:spacing w:val="-4"/>
                <w:sz w:val="16"/>
              </w:rPr>
              <w:t>0.12</w:t>
            </w:r>
          </w:p>
        </w:tc>
      </w:tr>
      <w:tr>
        <w:trPr>
          <w:trHeight w:val="235" w:hRule="atLeast"/>
        </w:trPr>
        <w:tc>
          <w:tcPr>
            <w:tcW w:w="2625" w:type="dxa"/>
            <w:shd w:val="clear" w:color="auto" w:fill="D8D8D8"/>
          </w:tcPr>
          <w:p>
            <w:pPr>
              <w:pStyle w:val="TableParagraph"/>
              <w:spacing w:before="28"/>
              <w:ind w:left="52"/>
              <w:rPr>
                <w:sz w:val="16"/>
              </w:rPr>
            </w:pPr>
            <w:r>
              <w:rPr>
                <w:sz w:val="16"/>
              </w:rPr>
              <w:t>Germany</w:t>
            </w:r>
            <w:r>
              <w:rPr>
                <w:spacing w:val="-4"/>
                <w:sz w:val="16"/>
              </w:rPr>
              <w:t> </w:t>
            </w:r>
            <w:r>
              <w:rPr>
                <w:spacing w:val="-10"/>
                <w:sz w:val="16"/>
                <w:vertAlign w:val="superscript"/>
              </w:rPr>
              <w:t>c</w:t>
            </w:r>
          </w:p>
        </w:tc>
        <w:tc>
          <w:tcPr>
            <w:tcW w:w="816" w:type="dxa"/>
            <w:shd w:val="clear" w:color="auto" w:fill="D8D8D8"/>
          </w:tcPr>
          <w:p>
            <w:pPr>
              <w:pStyle w:val="TableParagraph"/>
              <w:spacing w:before="28"/>
              <w:ind w:right="71"/>
              <w:jc w:val="right"/>
              <w:rPr>
                <w:sz w:val="16"/>
              </w:rPr>
            </w:pPr>
            <w:r>
              <w:rPr>
                <w:spacing w:val="-2"/>
                <w:sz w:val="16"/>
              </w:rPr>
              <w:t>118,578</w:t>
            </w:r>
          </w:p>
        </w:tc>
        <w:tc>
          <w:tcPr>
            <w:tcW w:w="973" w:type="dxa"/>
            <w:shd w:val="clear" w:color="auto" w:fill="D8D8D8"/>
          </w:tcPr>
          <w:p>
            <w:pPr>
              <w:pStyle w:val="TableParagraph"/>
              <w:spacing w:before="28"/>
              <w:ind w:right="39"/>
              <w:jc w:val="right"/>
              <w:rPr>
                <w:sz w:val="16"/>
              </w:rPr>
            </w:pPr>
            <w:r>
              <w:rPr>
                <w:spacing w:val="-4"/>
                <w:sz w:val="16"/>
              </w:rPr>
              <w:t>4.50</w:t>
            </w:r>
          </w:p>
        </w:tc>
        <w:tc>
          <w:tcPr>
            <w:tcW w:w="1026" w:type="dxa"/>
            <w:gridSpan w:val="2"/>
            <w:shd w:val="clear" w:color="auto" w:fill="D8D8D8"/>
          </w:tcPr>
          <w:p>
            <w:pPr>
              <w:pStyle w:val="TableParagraph"/>
              <w:spacing w:before="28"/>
              <w:ind w:left="311"/>
              <w:rPr>
                <w:sz w:val="16"/>
              </w:rPr>
            </w:pPr>
            <w:r>
              <w:rPr>
                <w:spacing w:val="-2"/>
                <w:sz w:val="16"/>
              </w:rPr>
              <w:t>14,304.7</w:t>
            </w:r>
          </w:p>
        </w:tc>
        <w:tc>
          <w:tcPr>
            <w:tcW w:w="819" w:type="dxa"/>
            <w:gridSpan w:val="2"/>
            <w:shd w:val="clear" w:color="auto" w:fill="D8D8D8"/>
          </w:tcPr>
          <w:p>
            <w:pPr>
              <w:pStyle w:val="TableParagraph"/>
              <w:spacing w:before="28"/>
              <w:ind w:left="228"/>
              <w:rPr>
                <w:sz w:val="16"/>
              </w:rPr>
            </w:pPr>
            <w:r>
              <w:rPr>
                <w:spacing w:val="-2"/>
                <w:sz w:val="16"/>
              </w:rPr>
              <w:t>1,043.5</w:t>
            </w:r>
          </w:p>
        </w:tc>
        <w:tc>
          <w:tcPr>
            <w:tcW w:w="980" w:type="dxa"/>
            <w:gridSpan w:val="2"/>
            <w:shd w:val="clear" w:color="auto" w:fill="D8D8D8"/>
          </w:tcPr>
          <w:p>
            <w:pPr>
              <w:pStyle w:val="TableParagraph"/>
              <w:spacing w:before="28"/>
              <w:ind w:left="296"/>
              <w:rPr>
                <w:sz w:val="16"/>
              </w:rPr>
            </w:pPr>
            <w:r>
              <w:rPr>
                <w:spacing w:val="-2"/>
                <w:sz w:val="16"/>
              </w:rPr>
              <w:t>13,261.1</w:t>
            </w:r>
          </w:p>
        </w:tc>
        <w:tc>
          <w:tcPr>
            <w:tcW w:w="1174" w:type="dxa"/>
            <w:gridSpan w:val="2"/>
            <w:shd w:val="clear" w:color="auto" w:fill="D8D8D8"/>
          </w:tcPr>
          <w:p>
            <w:pPr>
              <w:pStyle w:val="TableParagraph"/>
              <w:spacing w:before="28"/>
              <w:ind w:left="558"/>
              <w:rPr>
                <w:sz w:val="16"/>
              </w:rPr>
            </w:pPr>
            <w:r>
              <w:rPr>
                <w:spacing w:val="-2"/>
                <w:sz w:val="16"/>
              </w:rPr>
              <w:t>119,397</w:t>
            </w:r>
          </w:p>
        </w:tc>
        <w:tc>
          <w:tcPr>
            <w:tcW w:w="1103" w:type="dxa"/>
            <w:shd w:val="clear" w:color="auto" w:fill="D8D8D8"/>
          </w:tcPr>
          <w:p>
            <w:pPr>
              <w:pStyle w:val="TableParagraph"/>
              <w:spacing w:before="28"/>
              <w:ind w:left="583"/>
              <w:rPr>
                <w:sz w:val="16"/>
              </w:rPr>
            </w:pPr>
            <w:r>
              <w:rPr>
                <w:spacing w:val="-4"/>
                <w:sz w:val="16"/>
              </w:rPr>
              <w:t>4.28</w:t>
            </w:r>
          </w:p>
        </w:tc>
      </w:tr>
      <w:tr>
        <w:trPr>
          <w:trHeight w:val="214" w:hRule="atLeast"/>
        </w:trPr>
        <w:tc>
          <w:tcPr>
            <w:tcW w:w="2625" w:type="dxa"/>
            <w:shd w:val="clear" w:color="auto" w:fill="D8D8D8"/>
          </w:tcPr>
          <w:p>
            <w:pPr>
              <w:pStyle w:val="TableParagraph"/>
              <w:spacing w:line="176" w:lineRule="exact" w:before="18"/>
              <w:ind w:left="52"/>
              <w:rPr>
                <w:sz w:val="16"/>
              </w:rPr>
            </w:pPr>
            <w:r>
              <w:rPr>
                <w:spacing w:val="-2"/>
                <w:sz w:val="16"/>
              </w:rPr>
              <w:t>Ghana</w:t>
            </w:r>
          </w:p>
        </w:tc>
        <w:tc>
          <w:tcPr>
            <w:tcW w:w="816" w:type="dxa"/>
            <w:shd w:val="clear" w:color="auto" w:fill="D8D8D8"/>
          </w:tcPr>
          <w:p>
            <w:pPr>
              <w:pStyle w:val="TableParagraph"/>
              <w:spacing w:line="176" w:lineRule="exact" w:before="18"/>
              <w:ind w:right="71"/>
              <w:jc w:val="right"/>
              <w:rPr>
                <w:sz w:val="16"/>
              </w:rPr>
            </w:pPr>
            <w:r>
              <w:rPr>
                <w:spacing w:val="-2"/>
                <w:sz w:val="16"/>
              </w:rPr>
              <w:t>2,202</w:t>
            </w:r>
          </w:p>
        </w:tc>
        <w:tc>
          <w:tcPr>
            <w:tcW w:w="973" w:type="dxa"/>
            <w:shd w:val="clear" w:color="auto" w:fill="D8D8D8"/>
          </w:tcPr>
          <w:p>
            <w:pPr>
              <w:pStyle w:val="TableParagraph"/>
              <w:spacing w:line="176" w:lineRule="exact" w:before="18"/>
              <w:ind w:right="39"/>
              <w:jc w:val="right"/>
              <w:rPr>
                <w:sz w:val="16"/>
              </w:rPr>
            </w:pPr>
            <w:r>
              <w:rPr>
                <w:spacing w:val="-4"/>
                <w:sz w:val="16"/>
              </w:rPr>
              <w:t>0.08</w:t>
            </w:r>
          </w:p>
        </w:tc>
        <w:tc>
          <w:tcPr>
            <w:tcW w:w="1026" w:type="dxa"/>
            <w:gridSpan w:val="2"/>
            <w:shd w:val="clear" w:color="auto" w:fill="D8D8D8"/>
          </w:tcPr>
          <w:p>
            <w:pPr>
              <w:pStyle w:val="TableParagraph"/>
              <w:spacing w:line="176" w:lineRule="exact" w:before="18"/>
              <w:ind w:left="533"/>
              <w:rPr>
                <w:sz w:val="16"/>
              </w:rPr>
            </w:pPr>
            <w:r>
              <w:rPr>
                <w:spacing w:val="-2"/>
                <w:sz w:val="16"/>
              </w:rPr>
              <w:t>265.6</w:t>
            </w:r>
          </w:p>
        </w:tc>
        <w:tc>
          <w:tcPr>
            <w:tcW w:w="819" w:type="dxa"/>
            <w:gridSpan w:val="2"/>
            <w:shd w:val="clear" w:color="auto" w:fill="D8D8D8"/>
          </w:tcPr>
          <w:p>
            <w:pPr>
              <w:pStyle w:val="TableParagraph"/>
              <w:spacing w:line="176" w:lineRule="exact" w:before="18"/>
              <w:ind w:left="450"/>
              <w:rPr>
                <w:sz w:val="16"/>
              </w:rPr>
            </w:pPr>
            <w:r>
              <w:rPr>
                <w:spacing w:val="-4"/>
                <w:sz w:val="16"/>
              </w:rPr>
              <w:t>16.1</w:t>
            </w:r>
          </w:p>
        </w:tc>
        <w:tc>
          <w:tcPr>
            <w:tcW w:w="980" w:type="dxa"/>
            <w:gridSpan w:val="2"/>
            <w:shd w:val="clear" w:color="auto" w:fill="D8D8D8"/>
          </w:tcPr>
          <w:p>
            <w:pPr>
              <w:pStyle w:val="TableParagraph"/>
              <w:spacing w:line="176" w:lineRule="exact" w:before="18"/>
              <w:ind w:left="518"/>
              <w:rPr>
                <w:sz w:val="16"/>
              </w:rPr>
            </w:pPr>
            <w:r>
              <w:rPr>
                <w:spacing w:val="-2"/>
                <w:sz w:val="16"/>
              </w:rPr>
              <w:t>249.5</w:t>
            </w:r>
          </w:p>
        </w:tc>
        <w:tc>
          <w:tcPr>
            <w:tcW w:w="1174" w:type="dxa"/>
            <w:gridSpan w:val="2"/>
            <w:shd w:val="clear" w:color="auto" w:fill="D8D8D8"/>
          </w:tcPr>
          <w:p>
            <w:pPr>
              <w:pStyle w:val="TableParagraph"/>
              <w:spacing w:line="176" w:lineRule="exact" w:before="18"/>
              <w:ind w:left="723"/>
              <w:rPr>
                <w:sz w:val="16"/>
              </w:rPr>
            </w:pPr>
            <w:r>
              <w:rPr>
                <w:spacing w:val="-2"/>
                <w:sz w:val="16"/>
              </w:rPr>
              <w:t>3,021</w:t>
            </w:r>
          </w:p>
        </w:tc>
        <w:tc>
          <w:tcPr>
            <w:tcW w:w="1103" w:type="dxa"/>
            <w:shd w:val="clear" w:color="auto" w:fill="D8D8D8"/>
          </w:tcPr>
          <w:p>
            <w:pPr>
              <w:pStyle w:val="TableParagraph"/>
              <w:spacing w:line="176" w:lineRule="exact" w:before="18"/>
              <w:ind w:left="595"/>
              <w:rPr>
                <w:sz w:val="16"/>
              </w:rPr>
            </w:pPr>
            <w:r>
              <w:rPr>
                <w:spacing w:val="-4"/>
                <w:sz w:val="16"/>
              </w:rPr>
              <w:t>0.11</w:t>
            </w:r>
          </w:p>
        </w:tc>
      </w:tr>
      <w:tr>
        <w:trPr>
          <w:trHeight w:val="234" w:hRule="atLeast"/>
        </w:trPr>
        <w:tc>
          <w:tcPr>
            <w:tcW w:w="2625" w:type="dxa"/>
            <w:shd w:val="clear" w:color="auto" w:fill="D8D8D8"/>
          </w:tcPr>
          <w:p>
            <w:pPr>
              <w:pStyle w:val="TableParagraph"/>
              <w:spacing w:before="28"/>
              <w:ind w:left="52"/>
              <w:rPr>
                <w:sz w:val="16"/>
              </w:rPr>
            </w:pPr>
            <w:r>
              <w:rPr>
                <w:sz w:val="16"/>
              </w:rPr>
              <w:t>Greece</w:t>
            </w:r>
            <w:r>
              <w:rPr>
                <w:spacing w:val="-5"/>
                <w:sz w:val="16"/>
              </w:rPr>
              <w:t> </w:t>
            </w:r>
            <w:r>
              <w:rPr>
                <w:spacing w:val="-10"/>
                <w:sz w:val="16"/>
                <w:vertAlign w:val="superscript"/>
              </w:rPr>
              <w:t>c</w:t>
            </w:r>
          </w:p>
        </w:tc>
        <w:tc>
          <w:tcPr>
            <w:tcW w:w="816" w:type="dxa"/>
            <w:shd w:val="clear" w:color="auto" w:fill="D8D8D8"/>
          </w:tcPr>
          <w:p>
            <w:pPr>
              <w:pStyle w:val="TableParagraph"/>
              <w:spacing w:before="28"/>
              <w:ind w:right="71"/>
              <w:jc w:val="right"/>
              <w:rPr>
                <w:sz w:val="16"/>
              </w:rPr>
            </w:pPr>
            <w:r>
              <w:rPr>
                <w:spacing w:val="-2"/>
                <w:sz w:val="16"/>
              </w:rPr>
              <w:t>4,342</w:t>
            </w:r>
          </w:p>
        </w:tc>
        <w:tc>
          <w:tcPr>
            <w:tcW w:w="973" w:type="dxa"/>
            <w:shd w:val="clear" w:color="auto" w:fill="D8D8D8"/>
          </w:tcPr>
          <w:p>
            <w:pPr>
              <w:pStyle w:val="TableParagraph"/>
              <w:spacing w:before="28"/>
              <w:ind w:right="39"/>
              <w:jc w:val="right"/>
              <w:rPr>
                <w:sz w:val="16"/>
              </w:rPr>
            </w:pPr>
            <w:r>
              <w:rPr>
                <w:spacing w:val="-4"/>
                <w:sz w:val="16"/>
              </w:rPr>
              <w:t>0.16</w:t>
            </w:r>
          </w:p>
        </w:tc>
        <w:tc>
          <w:tcPr>
            <w:tcW w:w="1026" w:type="dxa"/>
            <w:gridSpan w:val="2"/>
            <w:shd w:val="clear" w:color="auto" w:fill="D8D8D8"/>
          </w:tcPr>
          <w:p>
            <w:pPr>
              <w:pStyle w:val="TableParagraph"/>
              <w:spacing w:before="28"/>
              <w:ind w:left="533"/>
              <w:rPr>
                <w:sz w:val="16"/>
              </w:rPr>
            </w:pPr>
            <w:r>
              <w:rPr>
                <w:spacing w:val="-2"/>
                <w:sz w:val="16"/>
              </w:rPr>
              <w:t>523.8</w:t>
            </w:r>
          </w:p>
        </w:tc>
        <w:tc>
          <w:tcPr>
            <w:tcW w:w="819" w:type="dxa"/>
            <w:gridSpan w:val="2"/>
            <w:shd w:val="clear" w:color="auto" w:fill="D8D8D8"/>
          </w:tcPr>
          <w:p>
            <w:pPr>
              <w:pStyle w:val="TableParagraph"/>
              <w:spacing w:before="28"/>
              <w:ind w:left="450"/>
              <w:rPr>
                <w:sz w:val="16"/>
              </w:rPr>
            </w:pPr>
            <w:r>
              <w:rPr>
                <w:spacing w:val="-4"/>
                <w:sz w:val="16"/>
              </w:rPr>
              <w:t>38.7</w:t>
            </w:r>
          </w:p>
        </w:tc>
        <w:tc>
          <w:tcPr>
            <w:tcW w:w="980" w:type="dxa"/>
            <w:gridSpan w:val="2"/>
            <w:shd w:val="clear" w:color="auto" w:fill="D8D8D8"/>
          </w:tcPr>
          <w:p>
            <w:pPr>
              <w:pStyle w:val="TableParagraph"/>
              <w:spacing w:before="28"/>
              <w:ind w:left="518"/>
              <w:rPr>
                <w:sz w:val="16"/>
              </w:rPr>
            </w:pPr>
            <w:r>
              <w:rPr>
                <w:spacing w:val="-2"/>
                <w:sz w:val="16"/>
              </w:rPr>
              <w:t>485.1</w:t>
            </w:r>
          </w:p>
        </w:tc>
        <w:tc>
          <w:tcPr>
            <w:tcW w:w="1174" w:type="dxa"/>
            <w:gridSpan w:val="2"/>
            <w:shd w:val="clear" w:color="auto" w:fill="D8D8D8"/>
          </w:tcPr>
          <w:p>
            <w:pPr>
              <w:pStyle w:val="TableParagraph"/>
              <w:spacing w:before="28"/>
              <w:ind w:left="723"/>
              <w:rPr>
                <w:sz w:val="16"/>
              </w:rPr>
            </w:pPr>
            <w:r>
              <w:rPr>
                <w:spacing w:val="-2"/>
                <w:sz w:val="16"/>
              </w:rPr>
              <w:t>5,161</w:t>
            </w:r>
          </w:p>
        </w:tc>
        <w:tc>
          <w:tcPr>
            <w:tcW w:w="1103" w:type="dxa"/>
            <w:shd w:val="clear" w:color="auto" w:fill="D8D8D8"/>
          </w:tcPr>
          <w:p>
            <w:pPr>
              <w:pStyle w:val="TableParagraph"/>
              <w:spacing w:before="28"/>
              <w:ind w:left="583"/>
              <w:rPr>
                <w:sz w:val="16"/>
              </w:rPr>
            </w:pPr>
            <w:r>
              <w:rPr>
                <w:spacing w:val="-4"/>
                <w:sz w:val="16"/>
              </w:rPr>
              <w:t>0.19</w:t>
            </w:r>
          </w:p>
        </w:tc>
      </w:tr>
      <w:tr>
        <w:trPr>
          <w:trHeight w:val="226" w:hRule="atLeast"/>
        </w:trPr>
        <w:tc>
          <w:tcPr>
            <w:tcW w:w="2625" w:type="dxa"/>
          </w:tcPr>
          <w:p>
            <w:pPr>
              <w:pStyle w:val="TableParagraph"/>
              <w:spacing w:before="19"/>
              <w:ind w:left="52"/>
              <w:rPr>
                <w:sz w:val="16"/>
              </w:rPr>
            </w:pPr>
            <w:r>
              <w:rPr>
                <w:spacing w:val="-2"/>
                <w:sz w:val="16"/>
              </w:rPr>
              <w:t>Grenada</w:t>
            </w:r>
          </w:p>
        </w:tc>
        <w:tc>
          <w:tcPr>
            <w:tcW w:w="816" w:type="dxa"/>
          </w:tcPr>
          <w:p>
            <w:pPr>
              <w:pStyle w:val="TableParagraph"/>
              <w:spacing w:before="19"/>
              <w:ind w:right="71"/>
              <w:jc w:val="right"/>
              <w:rPr>
                <w:sz w:val="16"/>
              </w:rPr>
            </w:pPr>
            <w:r>
              <w:rPr>
                <w:spacing w:val="-5"/>
                <w:sz w:val="16"/>
              </w:rPr>
              <w:t>673</w:t>
            </w:r>
          </w:p>
        </w:tc>
        <w:tc>
          <w:tcPr>
            <w:tcW w:w="973" w:type="dxa"/>
          </w:tcPr>
          <w:p>
            <w:pPr>
              <w:pStyle w:val="TableParagraph"/>
              <w:spacing w:before="19"/>
              <w:ind w:right="39"/>
              <w:jc w:val="right"/>
              <w:rPr>
                <w:sz w:val="16"/>
              </w:rPr>
            </w:pPr>
            <w:r>
              <w:rPr>
                <w:spacing w:val="-4"/>
                <w:sz w:val="16"/>
              </w:rPr>
              <w:t>0.03</w:t>
            </w:r>
          </w:p>
        </w:tc>
        <w:tc>
          <w:tcPr>
            <w:tcW w:w="1026" w:type="dxa"/>
            <w:gridSpan w:val="2"/>
          </w:tcPr>
          <w:p>
            <w:pPr>
              <w:pStyle w:val="TableParagraph"/>
              <w:spacing w:before="19"/>
              <w:ind w:left="621"/>
              <w:rPr>
                <w:sz w:val="16"/>
              </w:rPr>
            </w:pPr>
            <w:r>
              <w:rPr>
                <w:spacing w:val="-4"/>
                <w:sz w:val="16"/>
              </w:rPr>
              <w:t>81.2</w:t>
            </w:r>
          </w:p>
        </w:tc>
        <w:tc>
          <w:tcPr>
            <w:tcW w:w="819" w:type="dxa"/>
            <w:gridSpan w:val="2"/>
          </w:tcPr>
          <w:p>
            <w:pPr>
              <w:pStyle w:val="TableParagraph"/>
              <w:spacing w:before="19"/>
              <w:ind w:left="539"/>
              <w:rPr>
                <w:sz w:val="16"/>
              </w:rPr>
            </w:pPr>
            <w:r>
              <w:rPr>
                <w:spacing w:val="-5"/>
                <w:sz w:val="16"/>
              </w:rPr>
              <w:t>2.4</w:t>
            </w:r>
          </w:p>
        </w:tc>
        <w:tc>
          <w:tcPr>
            <w:tcW w:w="980" w:type="dxa"/>
            <w:gridSpan w:val="2"/>
          </w:tcPr>
          <w:p>
            <w:pPr>
              <w:pStyle w:val="TableParagraph"/>
              <w:spacing w:before="19"/>
              <w:ind w:left="606"/>
              <w:rPr>
                <w:sz w:val="16"/>
              </w:rPr>
            </w:pPr>
            <w:r>
              <w:rPr>
                <w:spacing w:val="-4"/>
                <w:sz w:val="16"/>
              </w:rPr>
              <w:t>78.8</w:t>
            </w:r>
          </w:p>
        </w:tc>
        <w:tc>
          <w:tcPr>
            <w:tcW w:w="1174" w:type="dxa"/>
            <w:gridSpan w:val="2"/>
          </w:tcPr>
          <w:p>
            <w:pPr>
              <w:pStyle w:val="TableParagraph"/>
              <w:spacing w:before="19"/>
              <w:ind w:left="723"/>
              <w:rPr>
                <w:sz w:val="16"/>
              </w:rPr>
            </w:pPr>
            <w:r>
              <w:rPr>
                <w:spacing w:val="-2"/>
                <w:sz w:val="16"/>
              </w:rPr>
              <w:t>1,492</w:t>
            </w:r>
          </w:p>
        </w:tc>
        <w:tc>
          <w:tcPr>
            <w:tcW w:w="1103" w:type="dxa"/>
          </w:tcPr>
          <w:p>
            <w:pPr>
              <w:pStyle w:val="TableParagraph"/>
              <w:spacing w:before="19"/>
              <w:ind w:left="583"/>
              <w:rPr>
                <w:sz w:val="16"/>
              </w:rPr>
            </w:pPr>
            <w:r>
              <w:rPr>
                <w:spacing w:val="-4"/>
                <w:sz w:val="16"/>
              </w:rPr>
              <w:t>0.05</w:t>
            </w:r>
          </w:p>
        </w:tc>
      </w:tr>
      <w:tr>
        <w:trPr>
          <w:trHeight w:val="225" w:hRule="atLeast"/>
        </w:trPr>
        <w:tc>
          <w:tcPr>
            <w:tcW w:w="2625" w:type="dxa"/>
          </w:tcPr>
          <w:p>
            <w:pPr>
              <w:pStyle w:val="TableParagraph"/>
              <w:spacing w:before="18"/>
              <w:ind w:left="52"/>
              <w:rPr>
                <w:sz w:val="16"/>
              </w:rPr>
            </w:pPr>
            <w:r>
              <w:rPr>
                <w:spacing w:val="-2"/>
                <w:sz w:val="16"/>
              </w:rPr>
              <w:t>Guatemala</w:t>
            </w:r>
          </w:p>
        </w:tc>
        <w:tc>
          <w:tcPr>
            <w:tcW w:w="816" w:type="dxa"/>
          </w:tcPr>
          <w:p>
            <w:pPr>
              <w:pStyle w:val="TableParagraph"/>
              <w:spacing w:before="18"/>
              <w:ind w:right="71"/>
              <w:jc w:val="right"/>
              <w:rPr>
                <w:sz w:val="16"/>
              </w:rPr>
            </w:pPr>
            <w:r>
              <w:rPr>
                <w:spacing w:val="-2"/>
                <w:sz w:val="16"/>
              </w:rPr>
              <w:t>2,001</w:t>
            </w:r>
          </w:p>
        </w:tc>
        <w:tc>
          <w:tcPr>
            <w:tcW w:w="973" w:type="dxa"/>
          </w:tcPr>
          <w:p>
            <w:pPr>
              <w:pStyle w:val="TableParagraph"/>
              <w:spacing w:before="18"/>
              <w:ind w:right="39"/>
              <w:jc w:val="right"/>
              <w:rPr>
                <w:sz w:val="16"/>
              </w:rPr>
            </w:pPr>
            <w:r>
              <w:rPr>
                <w:spacing w:val="-4"/>
                <w:sz w:val="16"/>
              </w:rPr>
              <w:t>0.08</w:t>
            </w:r>
          </w:p>
        </w:tc>
        <w:tc>
          <w:tcPr>
            <w:tcW w:w="1026" w:type="dxa"/>
            <w:gridSpan w:val="2"/>
          </w:tcPr>
          <w:p>
            <w:pPr>
              <w:pStyle w:val="TableParagraph"/>
              <w:spacing w:before="18"/>
              <w:ind w:left="533"/>
              <w:rPr>
                <w:sz w:val="16"/>
              </w:rPr>
            </w:pPr>
            <w:r>
              <w:rPr>
                <w:spacing w:val="-2"/>
                <w:sz w:val="16"/>
              </w:rPr>
              <w:t>241.4</w:t>
            </w:r>
          </w:p>
        </w:tc>
        <w:tc>
          <w:tcPr>
            <w:tcW w:w="819" w:type="dxa"/>
            <w:gridSpan w:val="2"/>
          </w:tcPr>
          <w:p>
            <w:pPr>
              <w:pStyle w:val="TableParagraph"/>
              <w:spacing w:before="18"/>
              <w:ind w:left="450"/>
              <w:rPr>
                <w:sz w:val="16"/>
              </w:rPr>
            </w:pPr>
            <w:r>
              <w:rPr>
                <w:spacing w:val="-4"/>
                <w:sz w:val="16"/>
              </w:rPr>
              <w:t>12.4</w:t>
            </w:r>
          </w:p>
        </w:tc>
        <w:tc>
          <w:tcPr>
            <w:tcW w:w="980" w:type="dxa"/>
            <w:gridSpan w:val="2"/>
          </w:tcPr>
          <w:p>
            <w:pPr>
              <w:pStyle w:val="TableParagraph"/>
              <w:spacing w:before="18"/>
              <w:ind w:left="518"/>
              <w:rPr>
                <w:sz w:val="16"/>
              </w:rPr>
            </w:pPr>
            <w:r>
              <w:rPr>
                <w:spacing w:val="-2"/>
                <w:sz w:val="16"/>
              </w:rPr>
              <w:t>229.0</w:t>
            </w:r>
          </w:p>
        </w:tc>
        <w:tc>
          <w:tcPr>
            <w:tcW w:w="1174" w:type="dxa"/>
            <w:gridSpan w:val="2"/>
          </w:tcPr>
          <w:p>
            <w:pPr>
              <w:pStyle w:val="TableParagraph"/>
              <w:spacing w:before="18"/>
              <w:ind w:left="723"/>
              <w:rPr>
                <w:sz w:val="16"/>
              </w:rPr>
            </w:pPr>
            <w:r>
              <w:rPr>
                <w:spacing w:val="-2"/>
                <w:sz w:val="16"/>
              </w:rPr>
              <w:t>2,820</w:t>
            </w:r>
          </w:p>
        </w:tc>
        <w:tc>
          <w:tcPr>
            <w:tcW w:w="1103" w:type="dxa"/>
          </w:tcPr>
          <w:p>
            <w:pPr>
              <w:pStyle w:val="TableParagraph"/>
              <w:spacing w:before="18"/>
              <w:ind w:left="583"/>
              <w:rPr>
                <w:sz w:val="16"/>
              </w:rPr>
            </w:pPr>
            <w:r>
              <w:rPr>
                <w:spacing w:val="-4"/>
                <w:sz w:val="16"/>
              </w:rPr>
              <w:t>0.10</w:t>
            </w:r>
          </w:p>
        </w:tc>
      </w:tr>
      <w:tr>
        <w:trPr>
          <w:trHeight w:val="225" w:hRule="atLeast"/>
        </w:trPr>
        <w:tc>
          <w:tcPr>
            <w:tcW w:w="2625" w:type="dxa"/>
          </w:tcPr>
          <w:p>
            <w:pPr>
              <w:pStyle w:val="TableParagraph"/>
              <w:spacing w:before="18"/>
              <w:ind w:left="52"/>
              <w:rPr>
                <w:sz w:val="16"/>
              </w:rPr>
            </w:pPr>
            <w:r>
              <w:rPr>
                <w:spacing w:val="-2"/>
                <w:sz w:val="16"/>
              </w:rPr>
              <w:t>Guinea</w:t>
            </w:r>
          </w:p>
        </w:tc>
        <w:tc>
          <w:tcPr>
            <w:tcW w:w="816" w:type="dxa"/>
          </w:tcPr>
          <w:p>
            <w:pPr>
              <w:pStyle w:val="TableParagraph"/>
              <w:spacing w:before="18"/>
              <w:ind w:right="71"/>
              <w:jc w:val="right"/>
              <w:rPr>
                <w:sz w:val="16"/>
              </w:rPr>
            </w:pPr>
            <w:r>
              <w:rPr>
                <w:spacing w:val="-2"/>
                <w:sz w:val="16"/>
              </w:rPr>
              <w:t>1,864</w:t>
            </w:r>
          </w:p>
        </w:tc>
        <w:tc>
          <w:tcPr>
            <w:tcW w:w="973" w:type="dxa"/>
          </w:tcPr>
          <w:p>
            <w:pPr>
              <w:pStyle w:val="TableParagraph"/>
              <w:spacing w:before="18"/>
              <w:ind w:right="39"/>
              <w:jc w:val="right"/>
              <w:rPr>
                <w:sz w:val="16"/>
              </w:rPr>
            </w:pPr>
            <w:r>
              <w:rPr>
                <w:spacing w:val="-4"/>
                <w:sz w:val="16"/>
              </w:rPr>
              <w:t>0.07</w:t>
            </w:r>
          </w:p>
        </w:tc>
        <w:tc>
          <w:tcPr>
            <w:tcW w:w="1026" w:type="dxa"/>
            <w:gridSpan w:val="2"/>
          </w:tcPr>
          <w:p>
            <w:pPr>
              <w:pStyle w:val="TableParagraph"/>
              <w:spacing w:before="18"/>
              <w:ind w:left="533"/>
              <w:rPr>
                <w:sz w:val="16"/>
              </w:rPr>
            </w:pPr>
            <w:r>
              <w:rPr>
                <w:spacing w:val="-2"/>
                <w:sz w:val="16"/>
              </w:rPr>
              <w:t>224.9</w:t>
            </w:r>
          </w:p>
        </w:tc>
        <w:tc>
          <w:tcPr>
            <w:tcW w:w="819" w:type="dxa"/>
            <w:gridSpan w:val="2"/>
          </w:tcPr>
          <w:p>
            <w:pPr>
              <w:pStyle w:val="TableParagraph"/>
              <w:spacing w:before="18"/>
              <w:ind w:left="539"/>
              <w:rPr>
                <w:sz w:val="16"/>
              </w:rPr>
            </w:pPr>
            <w:r>
              <w:rPr>
                <w:spacing w:val="-5"/>
                <w:sz w:val="16"/>
              </w:rPr>
              <w:t>9.9</w:t>
            </w:r>
          </w:p>
        </w:tc>
        <w:tc>
          <w:tcPr>
            <w:tcW w:w="980" w:type="dxa"/>
            <w:gridSpan w:val="2"/>
          </w:tcPr>
          <w:p>
            <w:pPr>
              <w:pStyle w:val="TableParagraph"/>
              <w:spacing w:before="18"/>
              <w:ind w:left="518"/>
              <w:rPr>
                <w:sz w:val="16"/>
              </w:rPr>
            </w:pPr>
            <w:r>
              <w:rPr>
                <w:spacing w:val="-2"/>
                <w:sz w:val="16"/>
              </w:rPr>
              <w:t>214.9</w:t>
            </w:r>
          </w:p>
        </w:tc>
        <w:tc>
          <w:tcPr>
            <w:tcW w:w="1174" w:type="dxa"/>
            <w:gridSpan w:val="2"/>
          </w:tcPr>
          <w:p>
            <w:pPr>
              <w:pStyle w:val="TableParagraph"/>
              <w:spacing w:before="18"/>
              <w:ind w:left="723"/>
              <w:rPr>
                <w:sz w:val="16"/>
              </w:rPr>
            </w:pPr>
            <w:r>
              <w:rPr>
                <w:spacing w:val="-2"/>
                <w:sz w:val="16"/>
              </w:rPr>
              <w:t>2,683</w:t>
            </w:r>
          </w:p>
        </w:tc>
        <w:tc>
          <w:tcPr>
            <w:tcW w:w="1103" w:type="dxa"/>
          </w:tcPr>
          <w:p>
            <w:pPr>
              <w:pStyle w:val="TableParagraph"/>
              <w:spacing w:before="18"/>
              <w:ind w:left="583"/>
              <w:rPr>
                <w:sz w:val="16"/>
              </w:rPr>
            </w:pPr>
            <w:r>
              <w:rPr>
                <w:spacing w:val="-4"/>
                <w:sz w:val="16"/>
              </w:rPr>
              <w:t>0.10</w:t>
            </w:r>
          </w:p>
        </w:tc>
      </w:tr>
      <w:tr>
        <w:trPr>
          <w:trHeight w:val="225" w:hRule="atLeast"/>
        </w:trPr>
        <w:tc>
          <w:tcPr>
            <w:tcW w:w="2625" w:type="dxa"/>
          </w:tcPr>
          <w:p>
            <w:pPr>
              <w:pStyle w:val="TableParagraph"/>
              <w:spacing w:before="18"/>
              <w:ind w:left="52"/>
              <w:rPr>
                <w:sz w:val="16"/>
              </w:rPr>
            </w:pPr>
            <w:r>
              <w:rPr>
                <w:spacing w:val="-2"/>
                <w:sz w:val="16"/>
              </w:rPr>
              <w:t>Guinea-Bissau</w:t>
            </w:r>
          </w:p>
        </w:tc>
        <w:tc>
          <w:tcPr>
            <w:tcW w:w="816" w:type="dxa"/>
          </w:tcPr>
          <w:p>
            <w:pPr>
              <w:pStyle w:val="TableParagraph"/>
              <w:spacing w:before="18"/>
              <w:ind w:right="71"/>
              <w:jc w:val="right"/>
              <w:rPr>
                <w:sz w:val="16"/>
              </w:rPr>
            </w:pPr>
            <w:r>
              <w:rPr>
                <w:spacing w:val="-5"/>
                <w:sz w:val="16"/>
              </w:rPr>
              <w:t>613</w:t>
            </w:r>
          </w:p>
        </w:tc>
        <w:tc>
          <w:tcPr>
            <w:tcW w:w="973" w:type="dxa"/>
          </w:tcPr>
          <w:p>
            <w:pPr>
              <w:pStyle w:val="TableParagraph"/>
              <w:spacing w:before="18"/>
              <w:ind w:right="39"/>
              <w:jc w:val="right"/>
              <w:rPr>
                <w:sz w:val="16"/>
              </w:rPr>
            </w:pPr>
            <w:r>
              <w:rPr>
                <w:spacing w:val="-4"/>
                <w:sz w:val="16"/>
              </w:rPr>
              <w:t>0.02</w:t>
            </w:r>
          </w:p>
        </w:tc>
        <w:tc>
          <w:tcPr>
            <w:tcW w:w="1026" w:type="dxa"/>
            <w:gridSpan w:val="2"/>
          </w:tcPr>
          <w:p>
            <w:pPr>
              <w:pStyle w:val="TableParagraph"/>
              <w:spacing w:before="18"/>
              <w:ind w:left="621"/>
              <w:rPr>
                <w:sz w:val="16"/>
              </w:rPr>
            </w:pPr>
            <w:r>
              <w:rPr>
                <w:spacing w:val="-4"/>
                <w:sz w:val="16"/>
              </w:rPr>
              <w:t>73.9</w:t>
            </w:r>
          </w:p>
        </w:tc>
        <w:tc>
          <w:tcPr>
            <w:tcW w:w="819" w:type="dxa"/>
            <w:gridSpan w:val="2"/>
          </w:tcPr>
          <w:p>
            <w:pPr>
              <w:pStyle w:val="TableParagraph"/>
              <w:spacing w:before="18"/>
              <w:ind w:left="539"/>
              <w:rPr>
                <w:sz w:val="16"/>
              </w:rPr>
            </w:pPr>
            <w:r>
              <w:rPr>
                <w:spacing w:val="-5"/>
                <w:sz w:val="16"/>
              </w:rPr>
              <w:t>1.4</w:t>
            </w:r>
          </w:p>
        </w:tc>
        <w:tc>
          <w:tcPr>
            <w:tcW w:w="980" w:type="dxa"/>
            <w:gridSpan w:val="2"/>
          </w:tcPr>
          <w:p>
            <w:pPr>
              <w:pStyle w:val="TableParagraph"/>
              <w:spacing w:before="18"/>
              <w:ind w:left="606"/>
              <w:rPr>
                <w:sz w:val="16"/>
              </w:rPr>
            </w:pPr>
            <w:r>
              <w:rPr>
                <w:spacing w:val="-4"/>
                <w:sz w:val="16"/>
              </w:rPr>
              <w:t>72.5</w:t>
            </w:r>
          </w:p>
        </w:tc>
        <w:tc>
          <w:tcPr>
            <w:tcW w:w="1174" w:type="dxa"/>
            <w:gridSpan w:val="2"/>
          </w:tcPr>
          <w:p>
            <w:pPr>
              <w:pStyle w:val="TableParagraph"/>
              <w:spacing w:before="18"/>
              <w:ind w:left="723"/>
              <w:rPr>
                <w:sz w:val="16"/>
              </w:rPr>
            </w:pPr>
            <w:r>
              <w:rPr>
                <w:spacing w:val="-2"/>
                <w:sz w:val="16"/>
              </w:rPr>
              <w:t>1,432</w:t>
            </w:r>
          </w:p>
        </w:tc>
        <w:tc>
          <w:tcPr>
            <w:tcW w:w="1103" w:type="dxa"/>
          </w:tcPr>
          <w:p>
            <w:pPr>
              <w:pStyle w:val="TableParagraph"/>
              <w:spacing w:before="18"/>
              <w:ind w:left="583"/>
              <w:rPr>
                <w:sz w:val="16"/>
              </w:rPr>
            </w:pPr>
            <w:r>
              <w:rPr>
                <w:spacing w:val="-4"/>
                <w:sz w:val="16"/>
              </w:rPr>
              <w:t>0.05</w:t>
            </w:r>
          </w:p>
        </w:tc>
      </w:tr>
      <w:tr>
        <w:trPr>
          <w:trHeight w:val="223" w:hRule="atLeast"/>
        </w:trPr>
        <w:tc>
          <w:tcPr>
            <w:tcW w:w="2625" w:type="dxa"/>
          </w:tcPr>
          <w:p>
            <w:pPr>
              <w:pStyle w:val="TableParagraph"/>
              <w:spacing w:before="18"/>
              <w:ind w:left="52"/>
              <w:rPr>
                <w:sz w:val="16"/>
              </w:rPr>
            </w:pPr>
            <w:r>
              <w:rPr>
                <w:spacing w:val="-2"/>
                <w:sz w:val="16"/>
              </w:rPr>
              <w:t>Guyana</w:t>
            </w:r>
          </w:p>
        </w:tc>
        <w:tc>
          <w:tcPr>
            <w:tcW w:w="816" w:type="dxa"/>
          </w:tcPr>
          <w:p>
            <w:pPr>
              <w:pStyle w:val="TableParagraph"/>
              <w:spacing w:before="18"/>
              <w:ind w:right="71"/>
              <w:jc w:val="right"/>
              <w:rPr>
                <w:sz w:val="16"/>
              </w:rPr>
            </w:pPr>
            <w:r>
              <w:rPr>
                <w:spacing w:val="-2"/>
                <w:sz w:val="16"/>
              </w:rPr>
              <w:t>1,724</w:t>
            </w:r>
          </w:p>
        </w:tc>
        <w:tc>
          <w:tcPr>
            <w:tcW w:w="973" w:type="dxa"/>
          </w:tcPr>
          <w:p>
            <w:pPr>
              <w:pStyle w:val="TableParagraph"/>
              <w:spacing w:before="18"/>
              <w:ind w:right="39"/>
              <w:jc w:val="right"/>
              <w:rPr>
                <w:sz w:val="16"/>
              </w:rPr>
            </w:pPr>
            <w:r>
              <w:rPr>
                <w:spacing w:val="-4"/>
                <w:sz w:val="16"/>
              </w:rPr>
              <w:t>0.07</w:t>
            </w:r>
          </w:p>
        </w:tc>
        <w:tc>
          <w:tcPr>
            <w:tcW w:w="1026" w:type="dxa"/>
            <w:gridSpan w:val="2"/>
          </w:tcPr>
          <w:p>
            <w:pPr>
              <w:pStyle w:val="TableParagraph"/>
              <w:spacing w:before="18"/>
              <w:ind w:left="533"/>
              <w:rPr>
                <w:sz w:val="16"/>
              </w:rPr>
            </w:pPr>
            <w:r>
              <w:rPr>
                <w:spacing w:val="-2"/>
                <w:sz w:val="16"/>
              </w:rPr>
              <w:t>208.0</w:t>
            </w:r>
          </w:p>
        </w:tc>
        <w:tc>
          <w:tcPr>
            <w:tcW w:w="819" w:type="dxa"/>
            <w:gridSpan w:val="2"/>
          </w:tcPr>
          <w:p>
            <w:pPr>
              <w:pStyle w:val="TableParagraph"/>
              <w:spacing w:before="18"/>
              <w:ind w:left="450"/>
              <w:rPr>
                <w:sz w:val="16"/>
              </w:rPr>
            </w:pPr>
            <w:r>
              <w:rPr>
                <w:spacing w:val="-4"/>
                <w:sz w:val="16"/>
              </w:rPr>
              <w:t>11.5</w:t>
            </w:r>
          </w:p>
        </w:tc>
        <w:tc>
          <w:tcPr>
            <w:tcW w:w="980" w:type="dxa"/>
            <w:gridSpan w:val="2"/>
          </w:tcPr>
          <w:p>
            <w:pPr>
              <w:pStyle w:val="TableParagraph"/>
              <w:spacing w:before="18"/>
              <w:ind w:left="518"/>
              <w:rPr>
                <w:sz w:val="16"/>
              </w:rPr>
            </w:pPr>
            <w:r>
              <w:rPr>
                <w:spacing w:val="-2"/>
                <w:sz w:val="16"/>
              </w:rPr>
              <w:t>196.5</w:t>
            </w:r>
          </w:p>
        </w:tc>
        <w:tc>
          <w:tcPr>
            <w:tcW w:w="1174" w:type="dxa"/>
            <w:gridSpan w:val="2"/>
          </w:tcPr>
          <w:p>
            <w:pPr>
              <w:pStyle w:val="TableParagraph"/>
              <w:spacing w:before="18"/>
              <w:ind w:left="723"/>
              <w:rPr>
                <w:sz w:val="16"/>
              </w:rPr>
            </w:pPr>
            <w:r>
              <w:rPr>
                <w:spacing w:val="-2"/>
                <w:sz w:val="16"/>
              </w:rPr>
              <w:t>2,543</w:t>
            </w:r>
          </w:p>
        </w:tc>
        <w:tc>
          <w:tcPr>
            <w:tcW w:w="1103" w:type="dxa"/>
          </w:tcPr>
          <w:p>
            <w:pPr>
              <w:pStyle w:val="TableParagraph"/>
              <w:spacing w:before="18"/>
              <w:ind w:left="583"/>
              <w:rPr>
                <w:sz w:val="16"/>
              </w:rPr>
            </w:pPr>
            <w:r>
              <w:rPr>
                <w:spacing w:val="-4"/>
                <w:sz w:val="16"/>
              </w:rPr>
              <w:t>0.09</w:t>
            </w:r>
          </w:p>
        </w:tc>
      </w:tr>
      <w:tr>
        <w:trPr>
          <w:trHeight w:val="226" w:hRule="atLeast"/>
        </w:trPr>
        <w:tc>
          <w:tcPr>
            <w:tcW w:w="2625" w:type="dxa"/>
            <w:shd w:val="clear" w:color="auto" w:fill="D8D8D8"/>
          </w:tcPr>
          <w:p>
            <w:pPr>
              <w:pStyle w:val="TableParagraph"/>
              <w:spacing w:before="19"/>
              <w:ind w:left="52"/>
              <w:rPr>
                <w:sz w:val="16"/>
              </w:rPr>
            </w:pPr>
            <w:r>
              <w:rPr>
                <w:spacing w:val="-2"/>
                <w:sz w:val="16"/>
              </w:rPr>
              <w:t>Haiti</w:t>
            </w:r>
          </w:p>
        </w:tc>
        <w:tc>
          <w:tcPr>
            <w:tcW w:w="816" w:type="dxa"/>
            <w:shd w:val="clear" w:color="auto" w:fill="D8D8D8"/>
          </w:tcPr>
          <w:p>
            <w:pPr>
              <w:pStyle w:val="TableParagraph"/>
              <w:spacing w:before="19"/>
              <w:ind w:right="71"/>
              <w:jc w:val="right"/>
              <w:rPr>
                <w:sz w:val="16"/>
              </w:rPr>
            </w:pPr>
            <w:r>
              <w:rPr>
                <w:spacing w:val="-2"/>
                <w:sz w:val="16"/>
              </w:rPr>
              <w:t>1,550</w:t>
            </w:r>
          </w:p>
        </w:tc>
        <w:tc>
          <w:tcPr>
            <w:tcW w:w="973" w:type="dxa"/>
            <w:shd w:val="clear" w:color="auto" w:fill="D8D8D8"/>
          </w:tcPr>
          <w:p>
            <w:pPr>
              <w:pStyle w:val="TableParagraph"/>
              <w:spacing w:before="19"/>
              <w:ind w:right="39"/>
              <w:jc w:val="right"/>
              <w:rPr>
                <w:sz w:val="16"/>
              </w:rPr>
            </w:pPr>
            <w:r>
              <w:rPr>
                <w:spacing w:val="-4"/>
                <w:sz w:val="16"/>
              </w:rPr>
              <w:t>0.06</w:t>
            </w:r>
          </w:p>
        </w:tc>
        <w:tc>
          <w:tcPr>
            <w:tcW w:w="1026" w:type="dxa"/>
            <w:gridSpan w:val="2"/>
            <w:shd w:val="clear" w:color="auto" w:fill="D8D8D8"/>
          </w:tcPr>
          <w:p>
            <w:pPr>
              <w:pStyle w:val="TableParagraph"/>
              <w:spacing w:before="19"/>
              <w:ind w:left="533"/>
              <w:rPr>
                <w:sz w:val="16"/>
              </w:rPr>
            </w:pPr>
            <w:r>
              <w:rPr>
                <w:spacing w:val="-2"/>
                <w:sz w:val="16"/>
              </w:rPr>
              <w:t>187.0</w:t>
            </w:r>
          </w:p>
        </w:tc>
        <w:tc>
          <w:tcPr>
            <w:tcW w:w="819" w:type="dxa"/>
            <w:gridSpan w:val="2"/>
            <w:shd w:val="clear" w:color="auto" w:fill="D8D8D8"/>
          </w:tcPr>
          <w:p>
            <w:pPr>
              <w:pStyle w:val="TableParagraph"/>
              <w:spacing w:before="19"/>
              <w:ind w:left="539"/>
              <w:rPr>
                <w:sz w:val="16"/>
              </w:rPr>
            </w:pPr>
            <w:r>
              <w:rPr>
                <w:spacing w:val="-5"/>
                <w:sz w:val="16"/>
              </w:rPr>
              <w:t>7.8</w:t>
            </w:r>
          </w:p>
        </w:tc>
        <w:tc>
          <w:tcPr>
            <w:tcW w:w="980" w:type="dxa"/>
            <w:gridSpan w:val="2"/>
            <w:shd w:val="clear" w:color="auto" w:fill="D8D8D8"/>
          </w:tcPr>
          <w:p>
            <w:pPr>
              <w:pStyle w:val="TableParagraph"/>
              <w:spacing w:before="19"/>
              <w:ind w:left="518"/>
              <w:rPr>
                <w:sz w:val="16"/>
              </w:rPr>
            </w:pPr>
            <w:r>
              <w:rPr>
                <w:spacing w:val="-2"/>
                <w:sz w:val="16"/>
              </w:rPr>
              <w:t>179.2</w:t>
            </w:r>
          </w:p>
        </w:tc>
        <w:tc>
          <w:tcPr>
            <w:tcW w:w="1174" w:type="dxa"/>
            <w:gridSpan w:val="2"/>
            <w:shd w:val="clear" w:color="auto" w:fill="D8D8D8"/>
          </w:tcPr>
          <w:p>
            <w:pPr>
              <w:pStyle w:val="TableParagraph"/>
              <w:spacing w:before="19"/>
              <w:ind w:left="723"/>
              <w:rPr>
                <w:sz w:val="16"/>
              </w:rPr>
            </w:pPr>
            <w:r>
              <w:rPr>
                <w:spacing w:val="-2"/>
                <w:sz w:val="16"/>
              </w:rPr>
              <w:t>2,369</w:t>
            </w:r>
          </w:p>
        </w:tc>
        <w:tc>
          <w:tcPr>
            <w:tcW w:w="1103" w:type="dxa"/>
            <w:shd w:val="clear" w:color="auto" w:fill="D8D8D8"/>
          </w:tcPr>
          <w:p>
            <w:pPr>
              <w:pStyle w:val="TableParagraph"/>
              <w:spacing w:before="19"/>
              <w:ind w:left="583"/>
              <w:rPr>
                <w:sz w:val="16"/>
              </w:rPr>
            </w:pPr>
            <w:r>
              <w:rPr>
                <w:spacing w:val="-4"/>
                <w:sz w:val="16"/>
              </w:rPr>
              <w:t>0.08</w:t>
            </w:r>
          </w:p>
        </w:tc>
      </w:tr>
      <w:tr>
        <w:trPr>
          <w:trHeight w:val="214" w:hRule="atLeast"/>
        </w:trPr>
        <w:tc>
          <w:tcPr>
            <w:tcW w:w="2625" w:type="dxa"/>
            <w:shd w:val="clear" w:color="auto" w:fill="D8D8D8"/>
          </w:tcPr>
          <w:p>
            <w:pPr>
              <w:pStyle w:val="TableParagraph"/>
              <w:spacing w:line="176" w:lineRule="exact" w:before="18"/>
              <w:ind w:left="52"/>
              <w:rPr>
                <w:sz w:val="16"/>
              </w:rPr>
            </w:pPr>
            <w:r>
              <w:rPr>
                <w:spacing w:val="-2"/>
                <w:sz w:val="16"/>
              </w:rPr>
              <w:t>Honduras</w:t>
            </w:r>
          </w:p>
        </w:tc>
        <w:tc>
          <w:tcPr>
            <w:tcW w:w="816" w:type="dxa"/>
            <w:shd w:val="clear" w:color="auto" w:fill="D8D8D8"/>
          </w:tcPr>
          <w:p>
            <w:pPr>
              <w:pStyle w:val="TableParagraph"/>
              <w:spacing w:line="176" w:lineRule="exact" w:before="18"/>
              <w:ind w:right="71"/>
              <w:jc w:val="right"/>
              <w:rPr>
                <w:sz w:val="16"/>
              </w:rPr>
            </w:pPr>
            <w:r>
              <w:rPr>
                <w:spacing w:val="-5"/>
                <w:sz w:val="16"/>
              </w:rPr>
              <w:t>641</w:t>
            </w:r>
          </w:p>
        </w:tc>
        <w:tc>
          <w:tcPr>
            <w:tcW w:w="973" w:type="dxa"/>
            <w:shd w:val="clear" w:color="auto" w:fill="D8D8D8"/>
          </w:tcPr>
          <w:p>
            <w:pPr>
              <w:pStyle w:val="TableParagraph"/>
              <w:spacing w:line="176" w:lineRule="exact" w:before="18"/>
              <w:ind w:right="39"/>
              <w:jc w:val="right"/>
              <w:rPr>
                <w:sz w:val="16"/>
              </w:rPr>
            </w:pPr>
            <w:r>
              <w:rPr>
                <w:spacing w:val="-4"/>
                <w:sz w:val="16"/>
              </w:rPr>
              <w:t>0.02</w:t>
            </w:r>
          </w:p>
        </w:tc>
        <w:tc>
          <w:tcPr>
            <w:tcW w:w="1026" w:type="dxa"/>
            <w:gridSpan w:val="2"/>
            <w:shd w:val="clear" w:color="auto" w:fill="D8D8D8"/>
          </w:tcPr>
          <w:p>
            <w:pPr>
              <w:pStyle w:val="TableParagraph"/>
              <w:spacing w:line="176" w:lineRule="exact" w:before="18"/>
              <w:ind w:left="621"/>
              <w:rPr>
                <w:sz w:val="16"/>
              </w:rPr>
            </w:pPr>
            <w:r>
              <w:rPr>
                <w:spacing w:val="-4"/>
                <w:sz w:val="16"/>
              </w:rPr>
              <w:t>77.3</w:t>
            </w:r>
          </w:p>
        </w:tc>
        <w:tc>
          <w:tcPr>
            <w:tcW w:w="819" w:type="dxa"/>
            <w:gridSpan w:val="2"/>
            <w:shd w:val="clear" w:color="auto" w:fill="D8D8D8"/>
          </w:tcPr>
          <w:p>
            <w:pPr>
              <w:pStyle w:val="TableParagraph"/>
              <w:spacing w:line="176" w:lineRule="exact" w:before="18"/>
              <w:ind w:left="539"/>
              <w:rPr>
                <w:sz w:val="16"/>
              </w:rPr>
            </w:pPr>
            <w:r>
              <w:rPr>
                <w:spacing w:val="-5"/>
                <w:sz w:val="16"/>
              </w:rPr>
              <w:t>2.3</w:t>
            </w:r>
          </w:p>
        </w:tc>
        <w:tc>
          <w:tcPr>
            <w:tcW w:w="980" w:type="dxa"/>
            <w:gridSpan w:val="2"/>
            <w:shd w:val="clear" w:color="auto" w:fill="D8D8D8"/>
          </w:tcPr>
          <w:p>
            <w:pPr>
              <w:pStyle w:val="TableParagraph"/>
              <w:spacing w:line="176" w:lineRule="exact" w:before="18"/>
              <w:ind w:left="606"/>
              <w:rPr>
                <w:sz w:val="16"/>
              </w:rPr>
            </w:pPr>
            <w:r>
              <w:rPr>
                <w:spacing w:val="-4"/>
                <w:sz w:val="16"/>
              </w:rPr>
              <w:t>75.0</w:t>
            </w:r>
          </w:p>
        </w:tc>
        <w:tc>
          <w:tcPr>
            <w:tcW w:w="1174" w:type="dxa"/>
            <w:gridSpan w:val="2"/>
            <w:shd w:val="clear" w:color="auto" w:fill="D8D8D8"/>
          </w:tcPr>
          <w:p>
            <w:pPr>
              <w:pStyle w:val="TableParagraph"/>
              <w:spacing w:line="176" w:lineRule="exact" w:before="18"/>
              <w:ind w:left="723"/>
              <w:rPr>
                <w:sz w:val="16"/>
              </w:rPr>
            </w:pPr>
            <w:r>
              <w:rPr>
                <w:spacing w:val="-2"/>
                <w:sz w:val="16"/>
              </w:rPr>
              <w:t>1,460</w:t>
            </w:r>
          </w:p>
        </w:tc>
        <w:tc>
          <w:tcPr>
            <w:tcW w:w="1103" w:type="dxa"/>
            <w:shd w:val="clear" w:color="auto" w:fill="D8D8D8"/>
          </w:tcPr>
          <w:p>
            <w:pPr>
              <w:pStyle w:val="TableParagraph"/>
              <w:spacing w:line="176" w:lineRule="exact" w:before="18"/>
              <w:ind w:left="583"/>
              <w:rPr>
                <w:sz w:val="16"/>
              </w:rPr>
            </w:pPr>
            <w:r>
              <w:rPr>
                <w:spacing w:val="-4"/>
                <w:sz w:val="16"/>
              </w:rPr>
              <w:t>0.05</w:t>
            </w:r>
          </w:p>
        </w:tc>
      </w:tr>
      <w:tr>
        <w:trPr>
          <w:trHeight w:val="225" w:hRule="atLeast"/>
        </w:trPr>
        <w:tc>
          <w:tcPr>
            <w:tcW w:w="2625" w:type="dxa"/>
            <w:shd w:val="clear" w:color="auto" w:fill="D8D8D8"/>
          </w:tcPr>
          <w:p>
            <w:pPr>
              <w:pStyle w:val="TableParagraph"/>
              <w:spacing w:line="176" w:lineRule="exact" w:before="28"/>
              <w:ind w:left="52"/>
              <w:rPr>
                <w:sz w:val="16"/>
              </w:rPr>
            </w:pPr>
            <w:r>
              <w:rPr>
                <w:sz w:val="16"/>
              </w:rPr>
              <w:t>Hungary</w:t>
            </w:r>
            <w:r>
              <w:rPr>
                <w:spacing w:val="-6"/>
                <w:sz w:val="16"/>
              </w:rPr>
              <w:t> </w:t>
            </w:r>
            <w:r>
              <w:rPr>
                <w:spacing w:val="-10"/>
                <w:sz w:val="16"/>
                <w:vertAlign w:val="superscript"/>
              </w:rPr>
              <w:t>c</w:t>
            </w:r>
          </w:p>
        </w:tc>
        <w:tc>
          <w:tcPr>
            <w:tcW w:w="816" w:type="dxa"/>
            <w:shd w:val="clear" w:color="auto" w:fill="D8D8D8"/>
          </w:tcPr>
          <w:p>
            <w:pPr>
              <w:pStyle w:val="TableParagraph"/>
              <w:spacing w:line="176" w:lineRule="exact" w:before="28"/>
              <w:ind w:right="71"/>
              <w:jc w:val="right"/>
              <w:rPr>
                <w:sz w:val="16"/>
              </w:rPr>
            </w:pPr>
            <w:r>
              <w:rPr>
                <w:spacing w:val="-2"/>
                <w:sz w:val="16"/>
              </w:rPr>
              <w:t>12,456</w:t>
            </w:r>
          </w:p>
        </w:tc>
        <w:tc>
          <w:tcPr>
            <w:tcW w:w="973" w:type="dxa"/>
            <w:shd w:val="clear" w:color="auto" w:fill="D8D8D8"/>
          </w:tcPr>
          <w:p>
            <w:pPr>
              <w:pStyle w:val="TableParagraph"/>
              <w:spacing w:line="176" w:lineRule="exact" w:before="28"/>
              <w:ind w:right="39"/>
              <w:jc w:val="right"/>
              <w:rPr>
                <w:sz w:val="16"/>
              </w:rPr>
            </w:pPr>
            <w:r>
              <w:rPr>
                <w:spacing w:val="-4"/>
                <w:sz w:val="16"/>
              </w:rPr>
              <w:t>0.47</w:t>
            </w:r>
          </w:p>
        </w:tc>
        <w:tc>
          <w:tcPr>
            <w:tcW w:w="1026" w:type="dxa"/>
            <w:gridSpan w:val="2"/>
            <w:shd w:val="clear" w:color="auto" w:fill="D8D8D8"/>
          </w:tcPr>
          <w:p>
            <w:pPr>
              <w:pStyle w:val="TableParagraph"/>
              <w:spacing w:line="176" w:lineRule="exact" w:before="28"/>
              <w:ind w:left="399"/>
              <w:rPr>
                <w:sz w:val="16"/>
              </w:rPr>
            </w:pPr>
            <w:r>
              <w:rPr>
                <w:spacing w:val="-2"/>
                <w:sz w:val="16"/>
              </w:rPr>
              <w:t>1,502.6</w:t>
            </w:r>
          </w:p>
        </w:tc>
        <w:tc>
          <w:tcPr>
            <w:tcW w:w="819" w:type="dxa"/>
            <w:gridSpan w:val="2"/>
            <w:shd w:val="clear" w:color="auto" w:fill="D8D8D8"/>
          </w:tcPr>
          <w:p>
            <w:pPr>
              <w:pStyle w:val="TableParagraph"/>
              <w:spacing w:line="176" w:lineRule="exact" w:before="28"/>
              <w:ind w:left="362"/>
              <w:rPr>
                <w:sz w:val="16"/>
              </w:rPr>
            </w:pPr>
            <w:r>
              <w:rPr>
                <w:spacing w:val="-2"/>
                <w:sz w:val="16"/>
              </w:rPr>
              <w:t>107.4</w:t>
            </w:r>
          </w:p>
        </w:tc>
        <w:tc>
          <w:tcPr>
            <w:tcW w:w="980" w:type="dxa"/>
            <w:gridSpan w:val="2"/>
            <w:shd w:val="clear" w:color="auto" w:fill="D8D8D8"/>
          </w:tcPr>
          <w:p>
            <w:pPr>
              <w:pStyle w:val="TableParagraph"/>
              <w:spacing w:line="176" w:lineRule="exact" w:before="28"/>
              <w:ind w:left="384"/>
              <w:rPr>
                <w:sz w:val="16"/>
              </w:rPr>
            </w:pPr>
            <w:r>
              <w:rPr>
                <w:spacing w:val="-2"/>
                <w:sz w:val="16"/>
              </w:rPr>
              <w:t>1,395.2</w:t>
            </w:r>
          </w:p>
        </w:tc>
        <w:tc>
          <w:tcPr>
            <w:tcW w:w="1174" w:type="dxa"/>
            <w:gridSpan w:val="2"/>
            <w:shd w:val="clear" w:color="auto" w:fill="D8D8D8"/>
          </w:tcPr>
          <w:p>
            <w:pPr>
              <w:pStyle w:val="TableParagraph"/>
              <w:spacing w:line="176" w:lineRule="exact" w:before="28"/>
              <w:ind w:left="635"/>
              <w:rPr>
                <w:sz w:val="16"/>
              </w:rPr>
            </w:pPr>
            <w:r>
              <w:rPr>
                <w:spacing w:val="-2"/>
                <w:sz w:val="16"/>
              </w:rPr>
              <w:t>13,275</w:t>
            </w:r>
          </w:p>
        </w:tc>
        <w:tc>
          <w:tcPr>
            <w:tcW w:w="1103" w:type="dxa"/>
            <w:shd w:val="clear" w:color="auto" w:fill="D8D8D8"/>
          </w:tcPr>
          <w:p>
            <w:pPr>
              <w:pStyle w:val="TableParagraph"/>
              <w:spacing w:line="176" w:lineRule="exact" w:before="28"/>
              <w:ind w:left="583"/>
              <w:rPr>
                <w:sz w:val="16"/>
              </w:rPr>
            </w:pPr>
            <w:r>
              <w:rPr>
                <w:spacing w:val="-4"/>
                <w:sz w:val="16"/>
              </w:rPr>
              <w:t>0.48</w:t>
            </w:r>
          </w:p>
        </w:tc>
      </w:tr>
      <w:tr>
        <w:trPr>
          <w:trHeight w:val="235" w:hRule="atLeast"/>
        </w:trPr>
        <w:tc>
          <w:tcPr>
            <w:tcW w:w="2625" w:type="dxa"/>
            <w:shd w:val="clear" w:color="auto" w:fill="D8D8D8"/>
          </w:tcPr>
          <w:p>
            <w:pPr>
              <w:pStyle w:val="TableParagraph"/>
              <w:spacing w:before="28"/>
              <w:ind w:left="52"/>
              <w:rPr>
                <w:sz w:val="16"/>
              </w:rPr>
            </w:pPr>
            <w:r>
              <w:rPr>
                <w:sz w:val="16"/>
              </w:rPr>
              <w:t>Iceland</w:t>
            </w:r>
            <w:r>
              <w:rPr>
                <w:spacing w:val="-5"/>
                <w:sz w:val="16"/>
              </w:rPr>
              <w:t> </w:t>
            </w:r>
            <w:r>
              <w:rPr>
                <w:spacing w:val="-10"/>
                <w:sz w:val="16"/>
                <w:vertAlign w:val="superscript"/>
              </w:rPr>
              <w:t>c</w:t>
            </w:r>
          </w:p>
        </w:tc>
        <w:tc>
          <w:tcPr>
            <w:tcW w:w="816" w:type="dxa"/>
            <w:shd w:val="clear" w:color="auto" w:fill="D8D8D8"/>
          </w:tcPr>
          <w:p>
            <w:pPr>
              <w:pStyle w:val="TableParagraph"/>
              <w:spacing w:before="28"/>
              <w:ind w:right="71"/>
              <w:jc w:val="right"/>
              <w:rPr>
                <w:sz w:val="16"/>
              </w:rPr>
            </w:pPr>
            <w:r>
              <w:rPr>
                <w:spacing w:val="-2"/>
                <w:sz w:val="16"/>
              </w:rPr>
              <w:t>1,916</w:t>
            </w:r>
          </w:p>
        </w:tc>
        <w:tc>
          <w:tcPr>
            <w:tcW w:w="973" w:type="dxa"/>
            <w:shd w:val="clear" w:color="auto" w:fill="D8D8D8"/>
          </w:tcPr>
          <w:p>
            <w:pPr>
              <w:pStyle w:val="TableParagraph"/>
              <w:spacing w:before="28"/>
              <w:ind w:right="39"/>
              <w:jc w:val="right"/>
              <w:rPr>
                <w:sz w:val="16"/>
              </w:rPr>
            </w:pPr>
            <w:r>
              <w:rPr>
                <w:spacing w:val="-4"/>
                <w:sz w:val="16"/>
              </w:rPr>
              <w:t>0.07</w:t>
            </w:r>
          </w:p>
        </w:tc>
        <w:tc>
          <w:tcPr>
            <w:tcW w:w="1026" w:type="dxa"/>
            <w:gridSpan w:val="2"/>
            <w:shd w:val="clear" w:color="auto" w:fill="D8D8D8"/>
          </w:tcPr>
          <w:p>
            <w:pPr>
              <w:pStyle w:val="TableParagraph"/>
              <w:spacing w:before="28"/>
              <w:ind w:left="533"/>
              <w:rPr>
                <w:sz w:val="16"/>
              </w:rPr>
            </w:pPr>
            <w:r>
              <w:rPr>
                <w:spacing w:val="-2"/>
                <w:sz w:val="16"/>
              </w:rPr>
              <w:t>231.1</w:t>
            </w:r>
          </w:p>
        </w:tc>
        <w:tc>
          <w:tcPr>
            <w:tcW w:w="819" w:type="dxa"/>
            <w:gridSpan w:val="2"/>
            <w:shd w:val="clear" w:color="auto" w:fill="D8D8D8"/>
          </w:tcPr>
          <w:p>
            <w:pPr>
              <w:pStyle w:val="TableParagraph"/>
              <w:spacing w:before="28"/>
              <w:ind w:left="450"/>
              <w:rPr>
                <w:sz w:val="16"/>
              </w:rPr>
            </w:pPr>
            <w:r>
              <w:rPr>
                <w:spacing w:val="-4"/>
                <w:sz w:val="16"/>
              </w:rPr>
              <w:t>13.7</w:t>
            </w:r>
          </w:p>
        </w:tc>
        <w:tc>
          <w:tcPr>
            <w:tcW w:w="980" w:type="dxa"/>
            <w:gridSpan w:val="2"/>
            <w:shd w:val="clear" w:color="auto" w:fill="D8D8D8"/>
          </w:tcPr>
          <w:p>
            <w:pPr>
              <w:pStyle w:val="TableParagraph"/>
              <w:spacing w:before="28"/>
              <w:ind w:left="518"/>
              <w:rPr>
                <w:sz w:val="16"/>
              </w:rPr>
            </w:pPr>
            <w:r>
              <w:rPr>
                <w:spacing w:val="-2"/>
                <w:sz w:val="16"/>
              </w:rPr>
              <w:t>217.5</w:t>
            </w:r>
          </w:p>
        </w:tc>
        <w:tc>
          <w:tcPr>
            <w:tcW w:w="1174" w:type="dxa"/>
            <w:gridSpan w:val="2"/>
            <w:shd w:val="clear" w:color="auto" w:fill="D8D8D8"/>
          </w:tcPr>
          <w:p>
            <w:pPr>
              <w:pStyle w:val="TableParagraph"/>
              <w:spacing w:before="28"/>
              <w:ind w:left="723"/>
              <w:rPr>
                <w:sz w:val="16"/>
              </w:rPr>
            </w:pPr>
            <w:r>
              <w:rPr>
                <w:spacing w:val="-2"/>
                <w:sz w:val="16"/>
              </w:rPr>
              <w:t>2,735</w:t>
            </w:r>
          </w:p>
        </w:tc>
        <w:tc>
          <w:tcPr>
            <w:tcW w:w="1103" w:type="dxa"/>
            <w:shd w:val="clear" w:color="auto" w:fill="D8D8D8"/>
          </w:tcPr>
          <w:p>
            <w:pPr>
              <w:pStyle w:val="TableParagraph"/>
              <w:spacing w:before="28"/>
              <w:ind w:left="583"/>
              <w:rPr>
                <w:sz w:val="16"/>
              </w:rPr>
            </w:pPr>
            <w:r>
              <w:rPr>
                <w:spacing w:val="-4"/>
                <w:sz w:val="16"/>
              </w:rPr>
              <w:t>0.10</w:t>
            </w:r>
          </w:p>
        </w:tc>
      </w:tr>
      <w:tr>
        <w:trPr>
          <w:trHeight w:val="223" w:hRule="atLeast"/>
        </w:trPr>
        <w:tc>
          <w:tcPr>
            <w:tcW w:w="2625" w:type="dxa"/>
            <w:shd w:val="clear" w:color="auto" w:fill="D8D8D8"/>
          </w:tcPr>
          <w:p>
            <w:pPr>
              <w:pStyle w:val="TableParagraph"/>
              <w:spacing w:before="18"/>
              <w:ind w:left="52"/>
              <w:rPr>
                <w:sz w:val="16"/>
              </w:rPr>
            </w:pPr>
            <w:r>
              <w:rPr>
                <w:spacing w:val="-2"/>
                <w:sz w:val="16"/>
              </w:rPr>
              <w:t>India</w:t>
            </w:r>
          </w:p>
        </w:tc>
        <w:tc>
          <w:tcPr>
            <w:tcW w:w="816" w:type="dxa"/>
            <w:shd w:val="clear" w:color="auto" w:fill="D8D8D8"/>
          </w:tcPr>
          <w:p>
            <w:pPr>
              <w:pStyle w:val="TableParagraph"/>
              <w:spacing w:before="18"/>
              <w:ind w:right="71"/>
              <w:jc w:val="right"/>
              <w:rPr>
                <w:sz w:val="16"/>
              </w:rPr>
            </w:pPr>
            <w:r>
              <w:rPr>
                <w:spacing w:val="-2"/>
                <w:sz w:val="16"/>
              </w:rPr>
              <w:t>85,175</w:t>
            </w:r>
          </w:p>
        </w:tc>
        <w:tc>
          <w:tcPr>
            <w:tcW w:w="973" w:type="dxa"/>
            <w:shd w:val="clear" w:color="auto" w:fill="D8D8D8"/>
          </w:tcPr>
          <w:p>
            <w:pPr>
              <w:pStyle w:val="TableParagraph"/>
              <w:spacing w:before="18"/>
              <w:ind w:right="39"/>
              <w:jc w:val="right"/>
              <w:rPr>
                <w:sz w:val="16"/>
              </w:rPr>
            </w:pPr>
            <w:r>
              <w:rPr>
                <w:spacing w:val="-4"/>
                <w:sz w:val="16"/>
              </w:rPr>
              <w:t>3.23</w:t>
            </w:r>
          </w:p>
        </w:tc>
        <w:tc>
          <w:tcPr>
            <w:tcW w:w="1026" w:type="dxa"/>
            <w:gridSpan w:val="2"/>
            <w:shd w:val="clear" w:color="auto" w:fill="D8D8D8"/>
          </w:tcPr>
          <w:p>
            <w:pPr>
              <w:pStyle w:val="TableParagraph"/>
              <w:spacing w:before="18"/>
              <w:ind w:left="311"/>
              <w:rPr>
                <w:sz w:val="16"/>
              </w:rPr>
            </w:pPr>
            <w:r>
              <w:rPr>
                <w:spacing w:val="-2"/>
                <w:sz w:val="16"/>
              </w:rPr>
              <w:t>10,275.1</w:t>
            </w:r>
          </w:p>
        </w:tc>
        <w:tc>
          <w:tcPr>
            <w:tcW w:w="819" w:type="dxa"/>
            <w:gridSpan w:val="2"/>
            <w:shd w:val="clear" w:color="auto" w:fill="D8D8D8"/>
          </w:tcPr>
          <w:p>
            <w:pPr>
              <w:pStyle w:val="TableParagraph"/>
              <w:spacing w:before="18"/>
              <w:ind w:left="362"/>
              <w:rPr>
                <w:sz w:val="16"/>
              </w:rPr>
            </w:pPr>
            <w:r>
              <w:rPr>
                <w:spacing w:val="-2"/>
                <w:sz w:val="16"/>
              </w:rPr>
              <w:t>738.0</w:t>
            </w:r>
          </w:p>
        </w:tc>
        <w:tc>
          <w:tcPr>
            <w:tcW w:w="980" w:type="dxa"/>
            <w:gridSpan w:val="2"/>
            <w:shd w:val="clear" w:color="auto" w:fill="D8D8D8"/>
          </w:tcPr>
          <w:p>
            <w:pPr>
              <w:pStyle w:val="TableParagraph"/>
              <w:spacing w:before="18"/>
              <w:ind w:left="384"/>
              <w:rPr>
                <w:sz w:val="16"/>
              </w:rPr>
            </w:pPr>
            <w:r>
              <w:rPr>
                <w:spacing w:val="-2"/>
                <w:sz w:val="16"/>
              </w:rPr>
              <w:t>9,537.1</w:t>
            </w:r>
          </w:p>
        </w:tc>
        <w:tc>
          <w:tcPr>
            <w:tcW w:w="1174" w:type="dxa"/>
            <w:gridSpan w:val="2"/>
            <w:shd w:val="clear" w:color="auto" w:fill="D8D8D8"/>
          </w:tcPr>
          <w:p>
            <w:pPr>
              <w:pStyle w:val="TableParagraph"/>
              <w:spacing w:before="18"/>
              <w:ind w:left="635"/>
              <w:rPr>
                <w:sz w:val="16"/>
              </w:rPr>
            </w:pPr>
            <w:r>
              <w:rPr>
                <w:spacing w:val="-2"/>
                <w:sz w:val="16"/>
              </w:rPr>
              <w:t>85,994</w:t>
            </w:r>
          </w:p>
        </w:tc>
        <w:tc>
          <w:tcPr>
            <w:tcW w:w="1103" w:type="dxa"/>
            <w:shd w:val="clear" w:color="auto" w:fill="D8D8D8"/>
          </w:tcPr>
          <w:p>
            <w:pPr>
              <w:pStyle w:val="TableParagraph"/>
              <w:spacing w:before="18"/>
              <w:ind w:left="583"/>
              <w:rPr>
                <w:sz w:val="16"/>
              </w:rPr>
            </w:pPr>
            <w:r>
              <w:rPr>
                <w:spacing w:val="-4"/>
                <w:sz w:val="16"/>
              </w:rPr>
              <w:t>3.08</w:t>
            </w:r>
          </w:p>
        </w:tc>
      </w:tr>
      <w:tr>
        <w:trPr>
          <w:trHeight w:val="226" w:hRule="atLeast"/>
        </w:trPr>
        <w:tc>
          <w:tcPr>
            <w:tcW w:w="2625" w:type="dxa"/>
          </w:tcPr>
          <w:p>
            <w:pPr>
              <w:pStyle w:val="TableParagraph"/>
              <w:spacing w:before="19"/>
              <w:ind w:left="52"/>
              <w:rPr>
                <w:sz w:val="16"/>
              </w:rPr>
            </w:pPr>
            <w:r>
              <w:rPr>
                <w:spacing w:val="-2"/>
                <w:sz w:val="16"/>
              </w:rPr>
              <w:t>Indonesia</w:t>
            </w:r>
          </w:p>
        </w:tc>
        <w:tc>
          <w:tcPr>
            <w:tcW w:w="816" w:type="dxa"/>
          </w:tcPr>
          <w:p>
            <w:pPr>
              <w:pStyle w:val="TableParagraph"/>
              <w:spacing w:before="19"/>
              <w:ind w:right="71"/>
              <w:jc w:val="right"/>
              <w:rPr>
                <w:sz w:val="16"/>
              </w:rPr>
            </w:pPr>
            <w:r>
              <w:rPr>
                <w:spacing w:val="-2"/>
                <w:sz w:val="16"/>
              </w:rPr>
              <w:t>26,530</w:t>
            </w:r>
          </w:p>
        </w:tc>
        <w:tc>
          <w:tcPr>
            <w:tcW w:w="973" w:type="dxa"/>
          </w:tcPr>
          <w:p>
            <w:pPr>
              <w:pStyle w:val="TableParagraph"/>
              <w:spacing w:before="19"/>
              <w:ind w:right="39"/>
              <w:jc w:val="right"/>
              <w:rPr>
                <w:sz w:val="16"/>
              </w:rPr>
            </w:pPr>
            <w:r>
              <w:rPr>
                <w:spacing w:val="-4"/>
                <w:sz w:val="16"/>
              </w:rPr>
              <w:t>1.01</w:t>
            </w:r>
          </w:p>
        </w:tc>
        <w:tc>
          <w:tcPr>
            <w:tcW w:w="1026" w:type="dxa"/>
            <w:gridSpan w:val="2"/>
          </w:tcPr>
          <w:p>
            <w:pPr>
              <w:pStyle w:val="TableParagraph"/>
              <w:spacing w:before="19"/>
              <w:ind w:left="399"/>
              <w:rPr>
                <w:sz w:val="16"/>
              </w:rPr>
            </w:pPr>
            <w:r>
              <w:rPr>
                <w:spacing w:val="-2"/>
                <w:sz w:val="16"/>
              </w:rPr>
              <w:t>3,200.4</w:t>
            </w:r>
          </w:p>
        </w:tc>
        <w:tc>
          <w:tcPr>
            <w:tcW w:w="819" w:type="dxa"/>
            <w:gridSpan w:val="2"/>
          </w:tcPr>
          <w:p>
            <w:pPr>
              <w:pStyle w:val="TableParagraph"/>
              <w:spacing w:before="19"/>
              <w:ind w:left="362"/>
              <w:rPr>
                <w:sz w:val="16"/>
              </w:rPr>
            </w:pPr>
            <w:r>
              <w:rPr>
                <w:spacing w:val="-2"/>
                <w:sz w:val="16"/>
              </w:rPr>
              <w:t>216.8</w:t>
            </w:r>
          </w:p>
        </w:tc>
        <w:tc>
          <w:tcPr>
            <w:tcW w:w="980" w:type="dxa"/>
            <w:gridSpan w:val="2"/>
          </w:tcPr>
          <w:p>
            <w:pPr>
              <w:pStyle w:val="TableParagraph"/>
              <w:spacing w:before="19"/>
              <w:ind w:left="384"/>
              <w:rPr>
                <w:sz w:val="16"/>
              </w:rPr>
            </w:pPr>
            <w:r>
              <w:rPr>
                <w:spacing w:val="-2"/>
                <w:sz w:val="16"/>
              </w:rPr>
              <w:t>2,983.6</w:t>
            </w:r>
          </w:p>
        </w:tc>
        <w:tc>
          <w:tcPr>
            <w:tcW w:w="1174" w:type="dxa"/>
            <w:gridSpan w:val="2"/>
          </w:tcPr>
          <w:p>
            <w:pPr>
              <w:pStyle w:val="TableParagraph"/>
              <w:spacing w:before="19"/>
              <w:ind w:left="635"/>
              <w:rPr>
                <w:sz w:val="16"/>
              </w:rPr>
            </w:pPr>
            <w:r>
              <w:rPr>
                <w:spacing w:val="-2"/>
                <w:sz w:val="16"/>
              </w:rPr>
              <w:t>27,349</w:t>
            </w:r>
          </w:p>
        </w:tc>
        <w:tc>
          <w:tcPr>
            <w:tcW w:w="1103" w:type="dxa"/>
          </w:tcPr>
          <w:p>
            <w:pPr>
              <w:pStyle w:val="TableParagraph"/>
              <w:spacing w:before="19"/>
              <w:ind w:left="583"/>
              <w:rPr>
                <w:sz w:val="16"/>
              </w:rPr>
            </w:pPr>
            <w:r>
              <w:rPr>
                <w:spacing w:val="-4"/>
                <w:sz w:val="16"/>
              </w:rPr>
              <w:t>0.98</w:t>
            </w:r>
          </w:p>
        </w:tc>
      </w:tr>
      <w:tr>
        <w:trPr>
          <w:trHeight w:val="225" w:hRule="atLeast"/>
        </w:trPr>
        <w:tc>
          <w:tcPr>
            <w:tcW w:w="2625" w:type="dxa"/>
          </w:tcPr>
          <w:p>
            <w:pPr>
              <w:pStyle w:val="TableParagraph"/>
              <w:spacing w:before="18"/>
              <w:ind w:left="52"/>
              <w:rPr>
                <w:sz w:val="16"/>
              </w:rPr>
            </w:pPr>
            <w:r>
              <w:rPr>
                <w:sz w:val="16"/>
              </w:rPr>
              <w:t>Iran,</w:t>
            </w:r>
            <w:r>
              <w:rPr>
                <w:spacing w:val="-4"/>
                <w:sz w:val="16"/>
              </w:rPr>
              <w:t> </w:t>
            </w:r>
            <w:r>
              <w:rPr>
                <w:sz w:val="16"/>
              </w:rPr>
              <w:t>Islamic</w:t>
            </w:r>
            <w:r>
              <w:rPr>
                <w:spacing w:val="-4"/>
                <w:sz w:val="16"/>
              </w:rPr>
              <w:t> </w:t>
            </w:r>
            <w:r>
              <w:rPr>
                <w:sz w:val="16"/>
              </w:rPr>
              <w:t>Republic</w:t>
            </w:r>
            <w:r>
              <w:rPr>
                <w:spacing w:val="-4"/>
                <w:sz w:val="16"/>
              </w:rPr>
              <w:t> </w:t>
            </w:r>
            <w:r>
              <w:rPr>
                <w:spacing w:val="-5"/>
                <w:sz w:val="16"/>
              </w:rPr>
              <w:t>of</w:t>
            </w:r>
          </w:p>
        </w:tc>
        <w:tc>
          <w:tcPr>
            <w:tcW w:w="816" w:type="dxa"/>
          </w:tcPr>
          <w:p>
            <w:pPr>
              <w:pStyle w:val="TableParagraph"/>
              <w:spacing w:before="18"/>
              <w:ind w:right="71"/>
              <w:jc w:val="right"/>
              <w:rPr>
                <w:sz w:val="16"/>
              </w:rPr>
            </w:pPr>
            <w:r>
              <w:rPr>
                <w:spacing w:val="-2"/>
                <w:sz w:val="16"/>
              </w:rPr>
              <w:t>34,963</w:t>
            </w:r>
          </w:p>
        </w:tc>
        <w:tc>
          <w:tcPr>
            <w:tcW w:w="973" w:type="dxa"/>
          </w:tcPr>
          <w:p>
            <w:pPr>
              <w:pStyle w:val="TableParagraph"/>
              <w:spacing w:before="18"/>
              <w:ind w:right="39"/>
              <w:jc w:val="right"/>
              <w:rPr>
                <w:sz w:val="16"/>
              </w:rPr>
            </w:pPr>
            <w:r>
              <w:rPr>
                <w:spacing w:val="-4"/>
                <w:sz w:val="16"/>
              </w:rPr>
              <w:t>1.33</w:t>
            </w:r>
          </w:p>
        </w:tc>
        <w:tc>
          <w:tcPr>
            <w:tcW w:w="1026" w:type="dxa"/>
            <w:gridSpan w:val="2"/>
          </w:tcPr>
          <w:p>
            <w:pPr>
              <w:pStyle w:val="TableParagraph"/>
              <w:spacing w:before="18"/>
              <w:ind w:left="399"/>
              <w:rPr>
                <w:sz w:val="16"/>
              </w:rPr>
            </w:pPr>
            <w:r>
              <w:rPr>
                <w:spacing w:val="-2"/>
                <w:sz w:val="16"/>
              </w:rPr>
              <w:t>4,217.8</w:t>
            </w:r>
          </w:p>
        </w:tc>
        <w:tc>
          <w:tcPr>
            <w:tcW w:w="819" w:type="dxa"/>
            <w:gridSpan w:val="2"/>
          </w:tcPr>
          <w:p>
            <w:pPr>
              <w:pStyle w:val="TableParagraph"/>
              <w:spacing w:before="18"/>
              <w:ind w:left="362"/>
              <w:rPr>
                <w:sz w:val="16"/>
              </w:rPr>
            </w:pPr>
            <w:r>
              <w:rPr>
                <w:spacing w:val="-2"/>
                <w:sz w:val="16"/>
              </w:rPr>
              <w:t>254.3</w:t>
            </w:r>
          </w:p>
        </w:tc>
        <w:tc>
          <w:tcPr>
            <w:tcW w:w="980" w:type="dxa"/>
            <w:gridSpan w:val="2"/>
          </w:tcPr>
          <w:p>
            <w:pPr>
              <w:pStyle w:val="TableParagraph"/>
              <w:spacing w:before="18"/>
              <w:ind w:left="384"/>
              <w:rPr>
                <w:sz w:val="16"/>
              </w:rPr>
            </w:pPr>
            <w:r>
              <w:rPr>
                <w:spacing w:val="-2"/>
                <w:sz w:val="16"/>
              </w:rPr>
              <w:t>3,963.4</w:t>
            </w:r>
          </w:p>
        </w:tc>
        <w:tc>
          <w:tcPr>
            <w:tcW w:w="1174" w:type="dxa"/>
            <w:gridSpan w:val="2"/>
          </w:tcPr>
          <w:p>
            <w:pPr>
              <w:pStyle w:val="TableParagraph"/>
              <w:spacing w:before="18"/>
              <w:ind w:left="635"/>
              <w:rPr>
                <w:sz w:val="16"/>
              </w:rPr>
            </w:pPr>
            <w:r>
              <w:rPr>
                <w:spacing w:val="-2"/>
                <w:sz w:val="16"/>
              </w:rPr>
              <w:t>35,782</w:t>
            </w:r>
          </w:p>
        </w:tc>
        <w:tc>
          <w:tcPr>
            <w:tcW w:w="1103" w:type="dxa"/>
          </w:tcPr>
          <w:p>
            <w:pPr>
              <w:pStyle w:val="TableParagraph"/>
              <w:spacing w:before="18"/>
              <w:ind w:left="583"/>
              <w:rPr>
                <w:sz w:val="16"/>
              </w:rPr>
            </w:pPr>
            <w:r>
              <w:rPr>
                <w:spacing w:val="-4"/>
                <w:sz w:val="16"/>
              </w:rPr>
              <w:t>1.28</w:t>
            </w:r>
          </w:p>
        </w:tc>
      </w:tr>
      <w:tr>
        <w:trPr>
          <w:trHeight w:val="214" w:hRule="atLeast"/>
        </w:trPr>
        <w:tc>
          <w:tcPr>
            <w:tcW w:w="2625" w:type="dxa"/>
          </w:tcPr>
          <w:p>
            <w:pPr>
              <w:pStyle w:val="TableParagraph"/>
              <w:spacing w:line="176" w:lineRule="exact" w:before="18"/>
              <w:ind w:left="52"/>
              <w:rPr>
                <w:sz w:val="16"/>
              </w:rPr>
            </w:pPr>
            <w:r>
              <w:rPr>
                <w:spacing w:val="-4"/>
                <w:sz w:val="16"/>
              </w:rPr>
              <w:t>Iraq</w:t>
            </w:r>
          </w:p>
        </w:tc>
        <w:tc>
          <w:tcPr>
            <w:tcW w:w="816" w:type="dxa"/>
          </w:tcPr>
          <w:p>
            <w:pPr>
              <w:pStyle w:val="TableParagraph"/>
              <w:spacing w:line="176" w:lineRule="exact" w:before="18"/>
              <w:ind w:right="71"/>
              <w:jc w:val="right"/>
              <w:rPr>
                <w:sz w:val="16"/>
              </w:rPr>
            </w:pPr>
            <w:r>
              <w:rPr>
                <w:spacing w:val="-2"/>
                <w:sz w:val="16"/>
              </w:rPr>
              <w:t>3,875</w:t>
            </w:r>
          </w:p>
        </w:tc>
        <w:tc>
          <w:tcPr>
            <w:tcW w:w="973" w:type="dxa"/>
          </w:tcPr>
          <w:p>
            <w:pPr>
              <w:pStyle w:val="TableParagraph"/>
              <w:spacing w:line="176" w:lineRule="exact" w:before="18"/>
              <w:ind w:right="39"/>
              <w:jc w:val="right"/>
              <w:rPr>
                <w:sz w:val="16"/>
              </w:rPr>
            </w:pPr>
            <w:r>
              <w:rPr>
                <w:spacing w:val="-4"/>
                <w:sz w:val="16"/>
              </w:rPr>
              <w:t>0.15</w:t>
            </w:r>
          </w:p>
        </w:tc>
        <w:tc>
          <w:tcPr>
            <w:tcW w:w="1026" w:type="dxa"/>
            <w:gridSpan w:val="2"/>
          </w:tcPr>
          <w:p>
            <w:pPr>
              <w:pStyle w:val="TableParagraph"/>
              <w:spacing w:line="176" w:lineRule="exact" w:before="18"/>
              <w:ind w:left="533"/>
              <w:rPr>
                <w:sz w:val="16"/>
              </w:rPr>
            </w:pPr>
            <w:r>
              <w:rPr>
                <w:spacing w:val="-2"/>
                <w:sz w:val="16"/>
              </w:rPr>
              <w:t>467.5</w:t>
            </w:r>
          </w:p>
        </w:tc>
        <w:tc>
          <w:tcPr>
            <w:tcW w:w="819" w:type="dxa"/>
            <w:gridSpan w:val="2"/>
          </w:tcPr>
          <w:p>
            <w:pPr>
              <w:pStyle w:val="TableParagraph"/>
              <w:spacing w:line="176" w:lineRule="exact" w:before="18"/>
              <w:ind w:left="450"/>
              <w:rPr>
                <w:sz w:val="16"/>
              </w:rPr>
            </w:pPr>
            <w:r>
              <w:rPr>
                <w:spacing w:val="-4"/>
                <w:sz w:val="16"/>
              </w:rPr>
              <w:t>33.0</w:t>
            </w:r>
          </w:p>
        </w:tc>
        <w:tc>
          <w:tcPr>
            <w:tcW w:w="980" w:type="dxa"/>
            <w:gridSpan w:val="2"/>
          </w:tcPr>
          <w:p>
            <w:pPr>
              <w:pStyle w:val="TableParagraph"/>
              <w:spacing w:line="176" w:lineRule="exact" w:before="18"/>
              <w:ind w:left="518"/>
              <w:rPr>
                <w:sz w:val="16"/>
              </w:rPr>
            </w:pPr>
            <w:r>
              <w:rPr>
                <w:spacing w:val="-2"/>
                <w:sz w:val="16"/>
              </w:rPr>
              <w:t>434.5</w:t>
            </w:r>
          </w:p>
        </w:tc>
        <w:tc>
          <w:tcPr>
            <w:tcW w:w="1174" w:type="dxa"/>
            <w:gridSpan w:val="2"/>
          </w:tcPr>
          <w:p>
            <w:pPr>
              <w:pStyle w:val="TableParagraph"/>
              <w:spacing w:line="176" w:lineRule="exact" w:before="18"/>
              <w:ind w:left="723"/>
              <w:rPr>
                <w:sz w:val="16"/>
              </w:rPr>
            </w:pPr>
            <w:r>
              <w:rPr>
                <w:spacing w:val="-2"/>
                <w:sz w:val="16"/>
              </w:rPr>
              <w:t>4,694</w:t>
            </w:r>
          </w:p>
        </w:tc>
        <w:tc>
          <w:tcPr>
            <w:tcW w:w="1103" w:type="dxa"/>
          </w:tcPr>
          <w:p>
            <w:pPr>
              <w:pStyle w:val="TableParagraph"/>
              <w:spacing w:line="176" w:lineRule="exact" w:before="18"/>
              <w:ind w:left="583"/>
              <w:rPr>
                <w:sz w:val="16"/>
              </w:rPr>
            </w:pPr>
            <w:r>
              <w:rPr>
                <w:spacing w:val="-4"/>
                <w:sz w:val="16"/>
              </w:rPr>
              <w:t>0.17</w:t>
            </w:r>
          </w:p>
        </w:tc>
      </w:tr>
      <w:tr>
        <w:trPr>
          <w:trHeight w:val="235" w:hRule="atLeast"/>
        </w:trPr>
        <w:tc>
          <w:tcPr>
            <w:tcW w:w="2625" w:type="dxa"/>
          </w:tcPr>
          <w:p>
            <w:pPr>
              <w:pStyle w:val="TableParagraph"/>
              <w:spacing w:before="28"/>
              <w:ind w:left="52"/>
              <w:rPr>
                <w:sz w:val="16"/>
              </w:rPr>
            </w:pPr>
            <w:r>
              <w:rPr>
                <w:sz w:val="16"/>
              </w:rPr>
              <w:t>Ireland</w:t>
            </w:r>
            <w:r>
              <w:rPr>
                <w:spacing w:val="-5"/>
                <w:sz w:val="16"/>
              </w:rPr>
              <w:t> </w:t>
            </w:r>
            <w:r>
              <w:rPr>
                <w:spacing w:val="-10"/>
                <w:sz w:val="16"/>
                <w:vertAlign w:val="superscript"/>
              </w:rPr>
              <w:t>c</w:t>
            </w:r>
          </w:p>
        </w:tc>
        <w:tc>
          <w:tcPr>
            <w:tcW w:w="816" w:type="dxa"/>
          </w:tcPr>
          <w:p>
            <w:pPr>
              <w:pStyle w:val="TableParagraph"/>
              <w:spacing w:before="28"/>
              <w:ind w:right="71"/>
              <w:jc w:val="right"/>
              <w:rPr>
                <w:sz w:val="16"/>
              </w:rPr>
            </w:pPr>
            <w:r>
              <w:rPr>
                <w:spacing w:val="-2"/>
                <w:sz w:val="16"/>
              </w:rPr>
              <w:t>9,088</w:t>
            </w:r>
          </w:p>
        </w:tc>
        <w:tc>
          <w:tcPr>
            <w:tcW w:w="973" w:type="dxa"/>
          </w:tcPr>
          <w:p>
            <w:pPr>
              <w:pStyle w:val="TableParagraph"/>
              <w:spacing w:before="28"/>
              <w:ind w:right="39"/>
              <w:jc w:val="right"/>
              <w:rPr>
                <w:sz w:val="16"/>
              </w:rPr>
            </w:pPr>
            <w:r>
              <w:rPr>
                <w:spacing w:val="-4"/>
                <w:sz w:val="16"/>
              </w:rPr>
              <w:t>0.34</w:t>
            </w:r>
          </w:p>
        </w:tc>
        <w:tc>
          <w:tcPr>
            <w:tcW w:w="1026" w:type="dxa"/>
            <w:gridSpan w:val="2"/>
          </w:tcPr>
          <w:p>
            <w:pPr>
              <w:pStyle w:val="TableParagraph"/>
              <w:spacing w:before="28"/>
              <w:ind w:left="399"/>
              <w:rPr>
                <w:sz w:val="16"/>
              </w:rPr>
            </w:pPr>
            <w:r>
              <w:rPr>
                <w:spacing w:val="-2"/>
                <w:sz w:val="16"/>
              </w:rPr>
              <w:t>1,096.3</w:t>
            </w:r>
          </w:p>
        </w:tc>
        <w:tc>
          <w:tcPr>
            <w:tcW w:w="819" w:type="dxa"/>
            <w:gridSpan w:val="2"/>
          </w:tcPr>
          <w:p>
            <w:pPr>
              <w:pStyle w:val="TableParagraph"/>
              <w:spacing w:before="28"/>
              <w:ind w:left="450"/>
              <w:rPr>
                <w:sz w:val="16"/>
              </w:rPr>
            </w:pPr>
            <w:r>
              <w:rPr>
                <w:spacing w:val="-4"/>
                <w:sz w:val="16"/>
              </w:rPr>
              <w:t>75.2</w:t>
            </w:r>
          </w:p>
        </w:tc>
        <w:tc>
          <w:tcPr>
            <w:tcW w:w="980" w:type="dxa"/>
            <w:gridSpan w:val="2"/>
          </w:tcPr>
          <w:p>
            <w:pPr>
              <w:pStyle w:val="TableParagraph"/>
              <w:spacing w:before="28"/>
              <w:ind w:left="384"/>
              <w:rPr>
                <w:sz w:val="16"/>
              </w:rPr>
            </w:pPr>
            <w:r>
              <w:rPr>
                <w:spacing w:val="-2"/>
                <w:sz w:val="16"/>
              </w:rPr>
              <w:t>1,021.1</w:t>
            </w:r>
          </w:p>
        </w:tc>
        <w:tc>
          <w:tcPr>
            <w:tcW w:w="1174" w:type="dxa"/>
            <w:gridSpan w:val="2"/>
          </w:tcPr>
          <w:p>
            <w:pPr>
              <w:pStyle w:val="TableParagraph"/>
              <w:spacing w:before="28"/>
              <w:ind w:left="723"/>
              <w:rPr>
                <w:sz w:val="16"/>
              </w:rPr>
            </w:pPr>
            <w:r>
              <w:rPr>
                <w:spacing w:val="-2"/>
                <w:sz w:val="16"/>
              </w:rPr>
              <w:t>9,907</w:t>
            </w:r>
          </w:p>
        </w:tc>
        <w:tc>
          <w:tcPr>
            <w:tcW w:w="1103" w:type="dxa"/>
          </w:tcPr>
          <w:p>
            <w:pPr>
              <w:pStyle w:val="TableParagraph"/>
              <w:spacing w:before="28"/>
              <w:ind w:left="583"/>
              <w:rPr>
                <w:sz w:val="16"/>
              </w:rPr>
            </w:pPr>
            <w:r>
              <w:rPr>
                <w:spacing w:val="-4"/>
                <w:sz w:val="16"/>
              </w:rPr>
              <w:t>0.36</w:t>
            </w:r>
          </w:p>
        </w:tc>
      </w:tr>
      <w:tr>
        <w:trPr>
          <w:trHeight w:val="223" w:hRule="atLeast"/>
        </w:trPr>
        <w:tc>
          <w:tcPr>
            <w:tcW w:w="2625" w:type="dxa"/>
          </w:tcPr>
          <w:p>
            <w:pPr>
              <w:pStyle w:val="TableParagraph"/>
              <w:spacing w:before="18"/>
              <w:ind w:left="52"/>
              <w:rPr>
                <w:sz w:val="16"/>
              </w:rPr>
            </w:pPr>
            <w:r>
              <w:rPr>
                <w:spacing w:val="-2"/>
                <w:sz w:val="16"/>
              </w:rPr>
              <w:t>Israel</w:t>
            </w:r>
          </w:p>
        </w:tc>
        <w:tc>
          <w:tcPr>
            <w:tcW w:w="816" w:type="dxa"/>
          </w:tcPr>
          <w:p>
            <w:pPr>
              <w:pStyle w:val="TableParagraph"/>
              <w:spacing w:before="18"/>
              <w:ind w:right="71"/>
              <w:jc w:val="right"/>
              <w:rPr>
                <w:sz w:val="16"/>
              </w:rPr>
            </w:pPr>
            <w:r>
              <w:rPr>
                <w:spacing w:val="-2"/>
                <w:sz w:val="16"/>
              </w:rPr>
              <w:t>6,702</w:t>
            </w:r>
          </w:p>
        </w:tc>
        <w:tc>
          <w:tcPr>
            <w:tcW w:w="973" w:type="dxa"/>
          </w:tcPr>
          <w:p>
            <w:pPr>
              <w:pStyle w:val="TableParagraph"/>
              <w:spacing w:before="18"/>
              <w:ind w:right="39"/>
              <w:jc w:val="right"/>
              <w:rPr>
                <w:sz w:val="16"/>
              </w:rPr>
            </w:pPr>
            <w:r>
              <w:rPr>
                <w:spacing w:val="-4"/>
                <w:sz w:val="16"/>
              </w:rPr>
              <w:t>0.25</w:t>
            </w:r>
          </w:p>
        </w:tc>
        <w:tc>
          <w:tcPr>
            <w:tcW w:w="1026" w:type="dxa"/>
            <w:gridSpan w:val="2"/>
          </w:tcPr>
          <w:p>
            <w:pPr>
              <w:pStyle w:val="TableParagraph"/>
              <w:spacing w:before="18"/>
              <w:ind w:left="533"/>
              <w:rPr>
                <w:sz w:val="16"/>
              </w:rPr>
            </w:pPr>
            <w:r>
              <w:rPr>
                <w:spacing w:val="-2"/>
                <w:sz w:val="16"/>
              </w:rPr>
              <w:t>808.5</w:t>
            </w:r>
          </w:p>
        </w:tc>
        <w:tc>
          <w:tcPr>
            <w:tcW w:w="819" w:type="dxa"/>
            <w:gridSpan w:val="2"/>
          </w:tcPr>
          <w:p>
            <w:pPr>
              <w:pStyle w:val="TableParagraph"/>
              <w:spacing w:before="18"/>
              <w:ind w:left="450"/>
              <w:rPr>
                <w:sz w:val="16"/>
              </w:rPr>
            </w:pPr>
            <w:r>
              <w:rPr>
                <w:spacing w:val="-4"/>
                <w:sz w:val="16"/>
              </w:rPr>
              <w:t>52.5</w:t>
            </w:r>
          </w:p>
        </w:tc>
        <w:tc>
          <w:tcPr>
            <w:tcW w:w="980" w:type="dxa"/>
            <w:gridSpan w:val="2"/>
          </w:tcPr>
          <w:p>
            <w:pPr>
              <w:pStyle w:val="TableParagraph"/>
              <w:spacing w:before="18"/>
              <w:ind w:left="518"/>
              <w:rPr>
                <w:sz w:val="16"/>
              </w:rPr>
            </w:pPr>
            <w:r>
              <w:rPr>
                <w:spacing w:val="-2"/>
                <w:sz w:val="16"/>
              </w:rPr>
              <w:t>756.0</w:t>
            </w:r>
          </w:p>
        </w:tc>
        <w:tc>
          <w:tcPr>
            <w:tcW w:w="1174" w:type="dxa"/>
            <w:gridSpan w:val="2"/>
          </w:tcPr>
          <w:p>
            <w:pPr>
              <w:pStyle w:val="TableParagraph"/>
              <w:spacing w:before="18"/>
              <w:ind w:left="723"/>
              <w:rPr>
                <w:sz w:val="16"/>
              </w:rPr>
            </w:pPr>
            <w:r>
              <w:rPr>
                <w:spacing w:val="-2"/>
                <w:sz w:val="16"/>
              </w:rPr>
              <w:t>7,521</w:t>
            </w:r>
          </w:p>
        </w:tc>
        <w:tc>
          <w:tcPr>
            <w:tcW w:w="1103" w:type="dxa"/>
          </w:tcPr>
          <w:p>
            <w:pPr>
              <w:pStyle w:val="TableParagraph"/>
              <w:spacing w:before="18"/>
              <w:ind w:left="583"/>
              <w:rPr>
                <w:sz w:val="16"/>
              </w:rPr>
            </w:pPr>
            <w:r>
              <w:rPr>
                <w:spacing w:val="-4"/>
                <w:sz w:val="16"/>
              </w:rPr>
              <w:t>0.27</w:t>
            </w:r>
          </w:p>
        </w:tc>
      </w:tr>
      <w:tr>
        <w:trPr>
          <w:trHeight w:val="226" w:hRule="atLeast"/>
        </w:trPr>
        <w:tc>
          <w:tcPr>
            <w:tcW w:w="2625" w:type="dxa"/>
            <w:shd w:val="clear" w:color="auto" w:fill="D8D8D8"/>
          </w:tcPr>
          <w:p>
            <w:pPr>
              <w:pStyle w:val="TableParagraph"/>
              <w:spacing w:before="19"/>
              <w:ind w:left="52"/>
              <w:rPr>
                <w:sz w:val="16"/>
              </w:rPr>
            </w:pPr>
            <w:r>
              <w:rPr>
                <w:sz w:val="16"/>
              </w:rPr>
              <w:t>Italy</w:t>
            </w:r>
            <w:r>
              <w:rPr>
                <w:spacing w:val="-3"/>
                <w:sz w:val="16"/>
              </w:rPr>
              <w:t> </w:t>
            </w:r>
            <w:r>
              <w:rPr>
                <w:spacing w:val="-10"/>
                <w:sz w:val="16"/>
                <w:vertAlign w:val="superscript"/>
              </w:rPr>
              <w:t>c</w:t>
            </w:r>
          </w:p>
        </w:tc>
        <w:tc>
          <w:tcPr>
            <w:tcW w:w="816" w:type="dxa"/>
            <w:shd w:val="clear" w:color="auto" w:fill="D8D8D8"/>
          </w:tcPr>
          <w:p>
            <w:pPr>
              <w:pStyle w:val="TableParagraph"/>
              <w:spacing w:before="19"/>
              <w:ind w:right="71"/>
              <w:jc w:val="right"/>
              <w:rPr>
                <w:sz w:val="16"/>
              </w:rPr>
            </w:pPr>
            <w:r>
              <w:rPr>
                <w:spacing w:val="-2"/>
                <w:sz w:val="16"/>
              </w:rPr>
              <w:t>68,786</w:t>
            </w:r>
          </w:p>
        </w:tc>
        <w:tc>
          <w:tcPr>
            <w:tcW w:w="973" w:type="dxa"/>
            <w:shd w:val="clear" w:color="auto" w:fill="D8D8D8"/>
          </w:tcPr>
          <w:p>
            <w:pPr>
              <w:pStyle w:val="TableParagraph"/>
              <w:spacing w:before="19"/>
              <w:ind w:right="39"/>
              <w:jc w:val="right"/>
              <w:rPr>
                <w:sz w:val="16"/>
              </w:rPr>
            </w:pPr>
            <w:r>
              <w:rPr>
                <w:spacing w:val="-4"/>
                <w:sz w:val="16"/>
              </w:rPr>
              <w:t>2.61</w:t>
            </w:r>
          </w:p>
        </w:tc>
        <w:tc>
          <w:tcPr>
            <w:tcW w:w="1026" w:type="dxa"/>
            <w:gridSpan w:val="2"/>
            <w:shd w:val="clear" w:color="auto" w:fill="D8D8D8"/>
          </w:tcPr>
          <w:p>
            <w:pPr>
              <w:pStyle w:val="TableParagraph"/>
              <w:spacing w:before="19"/>
              <w:ind w:left="399"/>
              <w:rPr>
                <w:sz w:val="16"/>
              </w:rPr>
            </w:pPr>
            <w:r>
              <w:rPr>
                <w:spacing w:val="-2"/>
                <w:sz w:val="16"/>
              </w:rPr>
              <w:t>8,298.0</w:t>
            </w:r>
          </w:p>
        </w:tc>
        <w:tc>
          <w:tcPr>
            <w:tcW w:w="819" w:type="dxa"/>
            <w:gridSpan w:val="2"/>
            <w:shd w:val="clear" w:color="auto" w:fill="D8D8D8"/>
          </w:tcPr>
          <w:p>
            <w:pPr>
              <w:pStyle w:val="TableParagraph"/>
              <w:spacing w:before="19"/>
              <w:ind w:left="362"/>
              <w:rPr>
                <w:sz w:val="16"/>
              </w:rPr>
            </w:pPr>
            <w:r>
              <w:rPr>
                <w:spacing w:val="-2"/>
                <w:sz w:val="16"/>
              </w:rPr>
              <w:t>599.8</w:t>
            </w:r>
          </w:p>
        </w:tc>
        <w:tc>
          <w:tcPr>
            <w:tcW w:w="980" w:type="dxa"/>
            <w:gridSpan w:val="2"/>
            <w:shd w:val="clear" w:color="auto" w:fill="D8D8D8"/>
          </w:tcPr>
          <w:p>
            <w:pPr>
              <w:pStyle w:val="TableParagraph"/>
              <w:spacing w:before="19"/>
              <w:ind w:left="384"/>
              <w:rPr>
                <w:sz w:val="16"/>
              </w:rPr>
            </w:pPr>
            <w:r>
              <w:rPr>
                <w:spacing w:val="-2"/>
                <w:sz w:val="16"/>
              </w:rPr>
              <w:t>7,698.2</w:t>
            </w:r>
          </w:p>
        </w:tc>
        <w:tc>
          <w:tcPr>
            <w:tcW w:w="1174" w:type="dxa"/>
            <w:gridSpan w:val="2"/>
            <w:shd w:val="clear" w:color="auto" w:fill="D8D8D8"/>
          </w:tcPr>
          <w:p>
            <w:pPr>
              <w:pStyle w:val="TableParagraph"/>
              <w:spacing w:before="19"/>
              <w:ind w:left="635"/>
              <w:rPr>
                <w:sz w:val="16"/>
              </w:rPr>
            </w:pPr>
            <w:r>
              <w:rPr>
                <w:spacing w:val="-2"/>
                <w:sz w:val="16"/>
              </w:rPr>
              <w:t>69,605</w:t>
            </w:r>
          </w:p>
        </w:tc>
        <w:tc>
          <w:tcPr>
            <w:tcW w:w="1103" w:type="dxa"/>
            <w:shd w:val="clear" w:color="auto" w:fill="D8D8D8"/>
          </w:tcPr>
          <w:p>
            <w:pPr>
              <w:pStyle w:val="TableParagraph"/>
              <w:spacing w:before="19"/>
              <w:ind w:left="583"/>
              <w:rPr>
                <w:sz w:val="16"/>
              </w:rPr>
            </w:pPr>
            <w:r>
              <w:rPr>
                <w:spacing w:val="-4"/>
                <w:sz w:val="16"/>
              </w:rPr>
              <w:t>2.50</w:t>
            </w:r>
          </w:p>
        </w:tc>
      </w:tr>
      <w:tr>
        <w:trPr>
          <w:trHeight w:val="214" w:hRule="atLeast"/>
        </w:trPr>
        <w:tc>
          <w:tcPr>
            <w:tcW w:w="2625" w:type="dxa"/>
            <w:shd w:val="clear" w:color="auto" w:fill="D8D8D8"/>
          </w:tcPr>
          <w:p>
            <w:pPr>
              <w:pStyle w:val="TableParagraph"/>
              <w:spacing w:line="176" w:lineRule="exact" w:before="18"/>
              <w:ind w:left="52"/>
              <w:rPr>
                <w:sz w:val="16"/>
              </w:rPr>
            </w:pPr>
            <w:r>
              <w:rPr>
                <w:spacing w:val="-2"/>
                <w:sz w:val="16"/>
              </w:rPr>
              <w:t>Jamaica</w:t>
            </w:r>
          </w:p>
        </w:tc>
        <w:tc>
          <w:tcPr>
            <w:tcW w:w="816" w:type="dxa"/>
            <w:shd w:val="clear" w:color="auto" w:fill="D8D8D8"/>
          </w:tcPr>
          <w:p>
            <w:pPr>
              <w:pStyle w:val="TableParagraph"/>
              <w:spacing w:line="176" w:lineRule="exact" w:before="18"/>
              <w:ind w:right="71"/>
              <w:jc w:val="right"/>
              <w:rPr>
                <w:sz w:val="16"/>
              </w:rPr>
            </w:pPr>
            <w:r>
              <w:rPr>
                <w:spacing w:val="-2"/>
                <w:sz w:val="16"/>
              </w:rPr>
              <w:t>3,645</w:t>
            </w:r>
          </w:p>
        </w:tc>
        <w:tc>
          <w:tcPr>
            <w:tcW w:w="973" w:type="dxa"/>
            <w:shd w:val="clear" w:color="auto" w:fill="D8D8D8"/>
          </w:tcPr>
          <w:p>
            <w:pPr>
              <w:pStyle w:val="TableParagraph"/>
              <w:spacing w:line="176" w:lineRule="exact" w:before="18"/>
              <w:ind w:right="39"/>
              <w:jc w:val="right"/>
              <w:rPr>
                <w:sz w:val="16"/>
              </w:rPr>
            </w:pPr>
            <w:r>
              <w:rPr>
                <w:spacing w:val="-4"/>
                <w:sz w:val="16"/>
              </w:rPr>
              <w:t>0.14</w:t>
            </w:r>
          </w:p>
        </w:tc>
        <w:tc>
          <w:tcPr>
            <w:tcW w:w="1026" w:type="dxa"/>
            <w:gridSpan w:val="2"/>
            <w:shd w:val="clear" w:color="auto" w:fill="D8D8D8"/>
          </w:tcPr>
          <w:p>
            <w:pPr>
              <w:pStyle w:val="TableParagraph"/>
              <w:spacing w:line="176" w:lineRule="exact" w:before="18"/>
              <w:ind w:left="533"/>
              <w:rPr>
                <w:sz w:val="16"/>
              </w:rPr>
            </w:pPr>
            <w:r>
              <w:rPr>
                <w:spacing w:val="-2"/>
                <w:sz w:val="16"/>
              </w:rPr>
              <w:t>439.7</w:t>
            </w:r>
          </w:p>
        </w:tc>
        <w:tc>
          <w:tcPr>
            <w:tcW w:w="819" w:type="dxa"/>
            <w:gridSpan w:val="2"/>
            <w:shd w:val="clear" w:color="auto" w:fill="D8D8D8"/>
          </w:tcPr>
          <w:p>
            <w:pPr>
              <w:pStyle w:val="TableParagraph"/>
              <w:spacing w:line="176" w:lineRule="exact" w:before="18"/>
              <w:ind w:left="450"/>
              <w:rPr>
                <w:sz w:val="16"/>
              </w:rPr>
            </w:pPr>
            <w:r>
              <w:rPr>
                <w:spacing w:val="-4"/>
                <w:sz w:val="16"/>
              </w:rPr>
              <w:t>28.7</w:t>
            </w:r>
          </w:p>
        </w:tc>
        <w:tc>
          <w:tcPr>
            <w:tcW w:w="980" w:type="dxa"/>
            <w:gridSpan w:val="2"/>
            <w:shd w:val="clear" w:color="auto" w:fill="D8D8D8"/>
          </w:tcPr>
          <w:p>
            <w:pPr>
              <w:pStyle w:val="TableParagraph"/>
              <w:spacing w:line="176" w:lineRule="exact" w:before="18"/>
              <w:ind w:left="518"/>
              <w:rPr>
                <w:sz w:val="16"/>
              </w:rPr>
            </w:pPr>
            <w:r>
              <w:rPr>
                <w:spacing w:val="-2"/>
                <w:sz w:val="16"/>
              </w:rPr>
              <w:t>411.0</w:t>
            </w:r>
          </w:p>
        </w:tc>
        <w:tc>
          <w:tcPr>
            <w:tcW w:w="1174" w:type="dxa"/>
            <w:gridSpan w:val="2"/>
            <w:shd w:val="clear" w:color="auto" w:fill="D8D8D8"/>
          </w:tcPr>
          <w:p>
            <w:pPr>
              <w:pStyle w:val="TableParagraph"/>
              <w:spacing w:line="176" w:lineRule="exact" w:before="18"/>
              <w:ind w:left="723"/>
              <w:rPr>
                <w:sz w:val="16"/>
              </w:rPr>
            </w:pPr>
            <w:r>
              <w:rPr>
                <w:spacing w:val="-2"/>
                <w:sz w:val="16"/>
              </w:rPr>
              <w:t>4,464</w:t>
            </w:r>
          </w:p>
        </w:tc>
        <w:tc>
          <w:tcPr>
            <w:tcW w:w="1103" w:type="dxa"/>
            <w:shd w:val="clear" w:color="auto" w:fill="D8D8D8"/>
          </w:tcPr>
          <w:p>
            <w:pPr>
              <w:pStyle w:val="TableParagraph"/>
              <w:spacing w:line="176" w:lineRule="exact" w:before="18"/>
              <w:ind w:left="583"/>
              <w:rPr>
                <w:sz w:val="16"/>
              </w:rPr>
            </w:pPr>
            <w:r>
              <w:rPr>
                <w:spacing w:val="-4"/>
                <w:sz w:val="16"/>
              </w:rPr>
              <w:t>0.16</w:t>
            </w:r>
          </w:p>
        </w:tc>
      </w:tr>
      <w:tr>
        <w:trPr>
          <w:trHeight w:val="235" w:hRule="atLeast"/>
        </w:trPr>
        <w:tc>
          <w:tcPr>
            <w:tcW w:w="2625" w:type="dxa"/>
            <w:shd w:val="clear" w:color="auto" w:fill="D8D8D8"/>
          </w:tcPr>
          <w:p>
            <w:pPr>
              <w:pStyle w:val="TableParagraph"/>
              <w:spacing w:before="28"/>
              <w:ind w:left="52"/>
              <w:rPr>
                <w:sz w:val="16"/>
              </w:rPr>
            </w:pPr>
            <w:r>
              <w:rPr>
                <w:sz w:val="16"/>
              </w:rPr>
              <w:t>Japan</w:t>
            </w:r>
            <w:r>
              <w:rPr>
                <w:spacing w:val="-4"/>
                <w:sz w:val="16"/>
              </w:rPr>
              <w:t> </w:t>
            </w:r>
            <w:r>
              <w:rPr>
                <w:spacing w:val="-10"/>
                <w:sz w:val="16"/>
                <w:vertAlign w:val="superscript"/>
              </w:rPr>
              <w:t>c</w:t>
            </w:r>
          </w:p>
        </w:tc>
        <w:tc>
          <w:tcPr>
            <w:tcW w:w="816" w:type="dxa"/>
            <w:shd w:val="clear" w:color="auto" w:fill="D8D8D8"/>
          </w:tcPr>
          <w:p>
            <w:pPr>
              <w:pStyle w:val="TableParagraph"/>
              <w:spacing w:before="28"/>
              <w:ind w:right="71"/>
              <w:jc w:val="right"/>
              <w:rPr>
                <w:sz w:val="16"/>
              </w:rPr>
            </w:pPr>
            <w:r>
              <w:rPr>
                <w:spacing w:val="-2"/>
                <w:sz w:val="16"/>
              </w:rPr>
              <w:t>199,885</w:t>
            </w:r>
          </w:p>
        </w:tc>
        <w:tc>
          <w:tcPr>
            <w:tcW w:w="973" w:type="dxa"/>
            <w:shd w:val="clear" w:color="auto" w:fill="D8D8D8"/>
          </w:tcPr>
          <w:p>
            <w:pPr>
              <w:pStyle w:val="TableParagraph"/>
              <w:spacing w:before="28"/>
              <w:ind w:right="39"/>
              <w:jc w:val="right"/>
              <w:rPr>
                <w:sz w:val="16"/>
              </w:rPr>
            </w:pPr>
            <w:r>
              <w:rPr>
                <w:spacing w:val="-4"/>
                <w:sz w:val="16"/>
              </w:rPr>
              <w:t>7.59</w:t>
            </w:r>
          </w:p>
        </w:tc>
        <w:tc>
          <w:tcPr>
            <w:tcW w:w="1026" w:type="dxa"/>
            <w:gridSpan w:val="2"/>
            <w:shd w:val="clear" w:color="auto" w:fill="D8D8D8"/>
          </w:tcPr>
          <w:p>
            <w:pPr>
              <w:pStyle w:val="TableParagraph"/>
              <w:spacing w:before="28"/>
              <w:ind w:left="311"/>
              <w:rPr>
                <w:sz w:val="16"/>
              </w:rPr>
            </w:pPr>
            <w:r>
              <w:rPr>
                <w:spacing w:val="-2"/>
                <w:sz w:val="16"/>
              </w:rPr>
              <w:t>24,113.1</w:t>
            </w:r>
          </w:p>
        </w:tc>
        <w:tc>
          <w:tcPr>
            <w:tcW w:w="819" w:type="dxa"/>
            <w:gridSpan w:val="2"/>
            <w:shd w:val="clear" w:color="auto" w:fill="D8D8D8"/>
          </w:tcPr>
          <w:p>
            <w:pPr>
              <w:pStyle w:val="TableParagraph"/>
              <w:spacing w:before="28"/>
              <w:ind w:left="228"/>
              <w:rPr>
                <w:sz w:val="16"/>
              </w:rPr>
            </w:pPr>
            <w:r>
              <w:rPr>
                <w:spacing w:val="-2"/>
                <w:sz w:val="16"/>
              </w:rPr>
              <w:t>1,751.9</w:t>
            </w:r>
          </w:p>
        </w:tc>
        <w:tc>
          <w:tcPr>
            <w:tcW w:w="980" w:type="dxa"/>
            <w:gridSpan w:val="2"/>
            <w:shd w:val="clear" w:color="auto" w:fill="D8D8D8"/>
          </w:tcPr>
          <w:p>
            <w:pPr>
              <w:pStyle w:val="TableParagraph"/>
              <w:spacing w:before="28"/>
              <w:ind w:left="296"/>
              <w:rPr>
                <w:sz w:val="16"/>
              </w:rPr>
            </w:pPr>
            <w:r>
              <w:rPr>
                <w:spacing w:val="-2"/>
                <w:sz w:val="16"/>
              </w:rPr>
              <w:t>22,361.2</w:t>
            </w:r>
          </w:p>
        </w:tc>
        <w:tc>
          <w:tcPr>
            <w:tcW w:w="1174" w:type="dxa"/>
            <w:gridSpan w:val="2"/>
            <w:shd w:val="clear" w:color="auto" w:fill="D8D8D8"/>
          </w:tcPr>
          <w:p>
            <w:pPr>
              <w:pStyle w:val="TableParagraph"/>
              <w:spacing w:before="28"/>
              <w:ind w:left="546"/>
              <w:rPr>
                <w:sz w:val="16"/>
              </w:rPr>
            </w:pPr>
            <w:r>
              <w:rPr>
                <w:spacing w:val="-2"/>
                <w:sz w:val="16"/>
              </w:rPr>
              <w:t>200,704</w:t>
            </w:r>
          </w:p>
        </w:tc>
        <w:tc>
          <w:tcPr>
            <w:tcW w:w="1103" w:type="dxa"/>
            <w:shd w:val="clear" w:color="auto" w:fill="D8D8D8"/>
          </w:tcPr>
          <w:p>
            <w:pPr>
              <w:pStyle w:val="TableParagraph"/>
              <w:spacing w:before="28"/>
              <w:ind w:left="583"/>
              <w:rPr>
                <w:sz w:val="16"/>
              </w:rPr>
            </w:pPr>
            <w:r>
              <w:rPr>
                <w:spacing w:val="-4"/>
                <w:sz w:val="16"/>
              </w:rPr>
              <w:t>7.19</w:t>
            </w:r>
          </w:p>
        </w:tc>
      </w:tr>
      <w:tr>
        <w:trPr>
          <w:trHeight w:val="225" w:hRule="atLeast"/>
        </w:trPr>
        <w:tc>
          <w:tcPr>
            <w:tcW w:w="2625" w:type="dxa"/>
            <w:shd w:val="clear" w:color="auto" w:fill="D8D8D8"/>
          </w:tcPr>
          <w:p>
            <w:pPr>
              <w:pStyle w:val="TableParagraph"/>
              <w:spacing w:before="18"/>
              <w:ind w:left="52"/>
              <w:rPr>
                <w:sz w:val="16"/>
              </w:rPr>
            </w:pPr>
            <w:r>
              <w:rPr>
                <w:spacing w:val="-2"/>
                <w:sz w:val="16"/>
              </w:rPr>
              <w:t>Jordan</w:t>
            </w:r>
          </w:p>
        </w:tc>
        <w:tc>
          <w:tcPr>
            <w:tcW w:w="816" w:type="dxa"/>
            <w:shd w:val="clear" w:color="auto" w:fill="D8D8D8"/>
          </w:tcPr>
          <w:p>
            <w:pPr>
              <w:pStyle w:val="TableParagraph"/>
              <w:spacing w:before="18"/>
              <w:ind w:right="71"/>
              <w:jc w:val="right"/>
              <w:rPr>
                <w:sz w:val="16"/>
              </w:rPr>
            </w:pPr>
            <w:r>
              <w:rPr>
                <w:spacing w:val="-2"/>
                <w:sz w:val="16"/>
              </w:rPr>
              <w:t>2,337</w:t>
            </w:r>
          </w:p>
        </w:tc>
        <w:tc>
          <w:tcPr>
            <w:tcW w:w="973" w:type="dxa"/>
            <w:shd w:val="clear" w:color="auto" w:fill="D8D8D8"/>
          </w:tcPr>
          <w:p>
            <w:pPr>
              <w:pStyle w:val="TableParagraph"/>
              <w:spacing w:before="18"/>
              <w:ind w:right="39"/>
              <w:jc w:val="right"/>
              <w:rPr>
                <w:sz w:val="16"/>
              </w:rPr>
            </w:pPr>
            <w:r>
              <w:rPr>
                <w:spacing w:val="-4"/>
                <w:sz w:val="16"/>
              </w:rPr>
              <w:t>0.09</w:t>
            </w:r>
          </w:p>
        </w:tc>
        <w:tc>
          <w:tcPr>
            <w:tcW w:w="1026" w:type="dxa"/>
            <w:gridSpan w:val="2"/>
            <w:shd w:val="clear" w:color="auto" w:fill="D8D8D8"/>
          </w:tcPr>
          <w:p>
            <w:pPr>
              <w:pStyle w:val="TableParagraph"/>
              <w:spacing w:before="18"/>
              <w:ind w:left="533"/>
              <w:rPr>
                <w:sz w:val="16"/>
              </w:rPr>
            </w:pPr>
            <w:r>
              <w:rPr>
                <w:spacing w:val="-2"/>
                <w:sz w:val="16"/>
              </w:rPr>
              <w:t>281.9</w:t>
            </w:r>
          </w:p>
        </w:tc>
        <w:tc>
          <w:tcPr>
            <w:tcW w:w="819" w:type="dxa"/>
            <w:gridSpan w:val="2"/>
            <w:shd w:val="clear" w:color="auto" w:fill="D8D8D8"/>
          </w:tcPr>
          <w:p>
            <w:pPr>
              <w:pStyle w:val="TableParagraph"/>
              <w:spacing w:before="18"/>
              <w:ind w:left="450"/>
              <w:rPr>
                <w:sz w:val="16"/>
              </w:rPr>
            </w:pPr>
            <w:r>
              <w:rPr>
                <w:spacing w:val="-4"/>
                <w:sz w:val="16"/>
              </w:rPr>
              <w:t>16.5</w:t>
            </w:r>
          </w:p>
        </w:tc>
        <w:tc>
          <w:tcPr>
            <w:tcW w:w="980" w:type="dxa"/>
            <w:gridSpan w:val="2"/>
            <w:shd w:val="clear" w:color="auto" w:fill="D8D8D8"/>
          </w:tcPr>
          <w:p>
            <w:pPr>
              <w:pStyle w:val="TableParagraph"/>
              <w:spacing w:before="18"/>
              <w:ind w:left="518"/>
              <w:rPr>
                <w:sz w:val="16"/>
              </w:rPr>
            </w:pPr>
            <w:r>
              <w:rPr>
                <w:spacing w:val="-2"/>
                <w:sz w:val="16"/>
              </w:rPr>
              <w:t>265.4</w:t>
            </w:r>
          </w:p>
        </w:tc>
        <w:tc>
          <w:tcPr>
            <w:tcW w:w="1174" w:type="dxa"/>
            <w:gridSpan w:val="2"/>
            <w:shd w:val="clear" w:color="auto" w:fill="D8D8D8"/>
          </w:tcPr>
          <w:p>
            <w:pPr>
              <w:pStyle w:val="TableParagraph"/>
              <w:spacing w:before="18"/>
              <w:ind w:left="723"/>
              <w:rPr>
                <w:sz w:val="16"/>
              </w:rPr>
            </w:pPr>
            <w:r>
              <w:rPr>
                <w:spacing w:val="-2"/>
                <w:sz w:val="16"/>
              </w:rPr>
              <w:t>3,156</w:t>
            </w:r>
          </w:p>
        </w:tc>
        <w:tc>
          <w:tcPr>
            <w:tcW w:w="1103" w:type="dxa"/>
            <w:shd w:val="clear" w:color="auto" w:fill="D8D8D8"/>
          </w:tcPr>
          <w:p>
            <w:pPr>
              <w:pStyle w:val="TableParagraph"/>
              <w:spacing w:before="18"/>
              <w:ind w:left="595"/>
              <w:rPr>
                <w:sz w:val="16"/>
              </w:rPr>
            </w:pPr>
            <w:r>
              <w:rPr>
                <w:spacing w:val="-4"/>
                <w:sz w:val="16"/>
              </w:rPr>
              <w:t>0.11</w:t>
            </w:r>
          </w:p>
        </w:tc>
      </w:tr>
      <w:tr>
        <w:trPr>
          <w:trHeight w:val="223" w:hRule="atLeast"/>
        </w:trPr>
        <w:tc>
          <w:tcPr>
            <w:tcW w:w="2625" w:type="dxa"/>
            <w:shd w:val="clear" w:color="auto" w:fill="D8D8D8"/>
          </w:tcPr>
          <w:p>
            <w:pPr>
              <w:pStyle w:val="TableParagraph"/>
              <w:spacing w:before="18"/>
              <w:ind w:left="52"/>
              <w:rPr>
                <w:sz w:val="16"/>
              </w:rPr>
            </w:pPr>
            <w:r>
              <w:rPr>
                <w:spacing w:val="-2"/>
                <w:sz w:val="16"/>
              </w:rPr>
              <w:t>Kazakhstan</w:t>
            </w:r>
          </w:p>
        </w:tc>
        <w:tc>
          <w:tcPr>
            <w:tcW w:w="816" w:type="dxa"/>
            <w:shd w:val="clear" w:color="auto" w:fill="D8D8D8"/>
          </w:tcPr>
          <w:p>
            <w:pPr>
              <w:pStyle w:val="TableParagraph"/>
              <w:spacing w:before="18"/>
              <w:ind w:right="71"/>
              <w:jc w:val="right"/>
              <w:rPr>
                <w:sz w:val="16"/>
              </w:rPr>
            </w:pPr>
            <w:r>
              <w:rPr>
                <w:spacing w:val="-2"/>
                <w:sz w:val="16"/>
              </w:rPr>
              <w:t>4,573</w:t>
            </w:r>
          </w:p>
        </w:tc>
        <w:tc>
          <w:tcPr>
            <w:tcW w:w="973" w:type="dxa"/>
            <w:shd w:val="clear" w:color="auto" w:fill="D8D8D8"/>
          </w:tcPr>
          <w:p>
            <w:pPr>
              <w:pStyle w:val="TableParagraph"/>
              <w:spacing w:before="18"/>
              <w:ind w:right="39"/>
              <w:jc w:val="right"/>
              <w:rPr>
                <w:sz w:val="16"/>
              </w:rPr>
            </w:pPr>
            <w:r>
              <w:rPr>
                <w:spacing w:val="-4"/>
                <w:sz w:val="16"/>
              </w:rPr>
              <w:t>0.17</w:t>
            </w:r>
          </w:p>
        </w:tc>
        <w:tc>
          <w:tcPr>
            <w:tcW w:w="1026" w:type="dxa"/>
            <w:gridSpan w:val="2"/>
            <w:shd w:val="clear" w:color="auto" w:fill="D8D8D8"/>
          </w:tcPr>
          <w:p>
            <w:pPr>
              <w:pStyle w:val="TableParagraph"/>
              <w:spacing w:before="18"/>
              <w:ind w:left="533"/>
              <w:rPr>
                <w:sz w:val="16"/>
              </w:rPr>
            </w:pPr>
            <w:r>
              <w:rPr>
                <w:spacing w:val="-2"/>
                <w:sz w:val="16"/>
              </w:rPr>
              <w:t>551.7</w:t>
            </w:r>
          </w:p>
        </w:tc>
        <w:tc>
          <w:tcPr>
            <w:tcW w:w="819" w:type="dxa"/>
            <w:gridSpan w:val="2"/>
            <w:shd w:val="clear" w:color="auto" w:fill="D8D8D8"/>
          </w:tcPr>
          <w:p>
            <w:pPr>
              <w:pStyle w:val="TableParagraph"/>
              <w:spacing w:before="18"/>
              <w:ind w:left="450"/>
              <w:rPr>
                <w:sz w:val="16"/>
              </w:rPr>
            </w:pPr>
            <w:r>
              <w:rPr>
                <w:spacing w:val="-4"/>
                <w:sz w:val="16"/>
              </w:rPr>
              <w:t>31.3</w:t>
            </w:r>
          </w:p>
        </w:tc>
        <w:tc>
          <w:tcPr>
            <w:tcW w:w="980" w:type="dxa"/>
            <w:gridSpan w:val="2"/>
            <w:shd w:val="clear" w:color="auto" w:fill="D8D8D8"/>
          </w:tcPr>
          <w:p>
            <w:pPr>
              <w:pStyle w:val="TableParagraph"/>
              <w:spacing w:before="18"/>
              <w:ind w:left="518"/>
              <w:rPr>
                <w:sz w:val="16"/>
              </w:rPr>
            </w:pPr>
            <w:r>
              <w:rPr>
                <w:spacing w:val="-2"/>
                <w:sz w:val="16"/>
              </w:rPr>
              <w:t>520.4</w:t>
            </w:r>
          </w:p>
        </w:tc>
        <w:tc>
          <w:tcPr>
            <w:tcW w:w="1174" w:type="dxa"/>
            <w:gridSpan w:val="2"/>
            <w:shd w:val="clear" w:color="auto" w:fill="D8D8D8"/>
          </w:tcPr>
          <w:p>
            <w:pPr>
              <w:pStyle w:val="TableParagraph"/>
              <w:spacing w:before="18"/>
              <w:ind w:left="723"/>
              <w:rPr>
                <w:sz w:val="16"/>
              </w:rPr>
            </w:pPr>
            <w:r>
              <w:rPr>
                <w:spacing w:val="-2"/>
                <w:sz w:val="16"/>
              </w:rPr>
              <w:t>5,392</w:t>
            </w:r>
          </w:p>
        </w:tc>
        <w:tc>
          <w:tcPr>
            <w:tcW w:w="1103" w:type="dxa"/>
            <w:shd w:val="clear" w:color="auto" w:fill="D8D8D8"/>
          </w:tcPr>
          <w:p>
            <w:pPr>
              <w:pStyle w:val="TableParagraph"/>
              <w:spacing w:before="18"/>
              <w:ind w:left="583"/>
              <w:rPr>
                <w:sz w:val="16"/>
              </w:rPr>
            </w:pPr>
            <w:r>
              <w:rPr>
                <w:spacing w:val="-4"/>
                <w:sz w:val="16"/>
              </w:rPr>
              <w:t>0.19</w:t>
            </w:r>
          </w:p>
        </w:tc>
      </w:tr>
      <w:tr>
        <w:trPr>
          <w:trHeight w:val="226" w:hRule="atLeast"/>
        </w:trPr>
        <w:tc>
          <w:tcPr>
            <w:tcW w:w="2625" w:type="dxa"/>
          </w:tcPr>
          <w:p>
            <w:pPr>
              <w:pStyle w:val="TableParagraph"/>
              <w:spacing w:before="19"/>
              <w:ind w:left="52"/>
              <w:rPr>
                <w:sz w:val="16"/>
              </w:rPr>
            </w:pPr>
            <w:r>
              <w:rPr>
                <w:spacing w:val="-2"/>
                <w:sz w:val="16"/>
              </w:rPr>
              <w:t>Kenya</w:t>
            </w:r>
          </w:p>
        </w:tc>
        <w:tc>
          <w:tcPr>
            <w:tcW w:w="816" w:type="dxa"/>
          </w:tcPr>
          <w:p>
            <w:pPr>
              <w:pStyle w:val="TableParagraph"/>
              <w:spacing w:before="19"/>
              <w:ind w:right="71"/>
              <w:jc w:val="right"/>
              <w:rPr>
                <w:sz w:val="16"/>
              </w:rPr>
            </w:pPr>
            <w:r>
              <w:rPr>
                <w:spacing w:val="-2"/>
                <w:sz w:val="16"/>
              </w:rPr>
              <w:t>3,435</w:t>
            </w:r>
          </w:p>
        </w:tc>
        <w:tc>
          <w:tcPr>
            <w:tcW w:w="973" w:type="dxa"/>
          </w:tcPr>
          <w:p>
            <w:pPr>
              <w:pStyle w:val="TableParagraph"/>
              <w:spacing w:before="19"/>
              <w:ind w:right="39"/>
              <w:jc w:val="right"/>
              <w:rPr>
                <w:sz w:val="16"/>
              </w:rPr>
            </w:pPr>
            <w:r>
              <w:rPr>
                <w:spacing w:val="-4"/>
                <w:sz w:val="16"/>
              </w:rPr>
              <w:t>0.13</w:t>
            </w:r>
          </w:p>
        </w:tc>
        <w:tc>
          <w:tcPr>
            <w:tcW w:w="1026" w:type="dxa"/>
            <w:gridSpan w:val="2"/>
          </w:tcPr>
          <w:p>
            <w:pPr>
              <w:pStyle w:val="TableParagraph"/>
              <w:spacing w:before="19"/>
              <w:ind w:left="533"/>
              <w:rPr>
                <w:sz w:val="16"/>
              </w:rPr>
            </w:pPr>
            <w:r>
              <w:rPr>
                <w:spacing w:val="-2"/>
                <w:sz w:val="16"/>
              </w:rPr>
              <w:t>414.4</w:t>
            </w:r>
          </w:p>
        </w:tc>
        <w:tc>
          <w:tcPr>
            <w:tcW w:w="819" w:type="dxa"/>
            <w:gridSpan w:val="2"/>
          </w:tcPr>
          <w:p>
            <w:pPr>
              <w:pStyle w:val="TableParagraph"/>
              <w:spacing w:before="19"/>
              <w:ind w:left="450"/>
              <w:rPr>
                <w:sz w:val="16"/>
              </w:rPr>
            </w:pPr>
            <w:r>
              <w:rPr>
                <w:spacing w:val="-4"/>
                <w:sz w:val="16"/>
              </w:rPr>
              <w:t>21.1</w:t>
            </w:r>
          </w:p>
        </w:tc>
        <w:tc>
          <w:tcPr>
            <w:tcW w:w="980" w:type="dxa"/>
            <w:gridSpan w:val="2"/>
          </w:tcPr>
          <w:p>
            <w:pPr>
              <w:pStyle w:val="TableParagraph"/>
              <w:spacing w:before="19"/>
              <w:ind w:left="518"/>
              <w:rPr>
                <w:sz w:val="16"/>
              </w:rPr>
            </w:pPr>
            <w:r>
              <w:rPr>
                <w:spacing w:val="-2"/>
                <w:sz w:val="16"/>
              </w:rPr>
              <w:t>393.2</w:t>
            </w:r>
          </w:p>
        </w:tc>
        <w:tc>
          <w:tcPr>
            <w:tcW w:w="1174" w:type="dxa"/>
            <w:gridSpan w:val="2"/>
          </w:tcPr>
          <w:p>
            <w:pPr>
              <w:pStyle w:val="TableParagraph"/>
              <w:spacing w:before="19"/>
              <w:ind w:left="723"/>
              <w:rPr>
                <w:sz w:val="16"/>
              </w:rPr>
            </w:pPr>
            <w:r>
              <w:rPr>
                <w:spacing w:val="-2"/>
                <w:sz w:val="16"/>
              </w:rPr>
              <w:t>4,254</w:t>
            </w:r>
          </w:p>
        </w:tc>
        <w:tc>
          <w:tcPr>
            <w:tcW w:w="1103" w:type="dxa"/>
          </w:tcPr>
          <w:p>
            <w:pPr>
              <w:pStyle w:val="TableParagraph"/>
              <w:spacing w:before="19"/>
              <w:ind w:left="583"/>
              <w:rPr>
                <w:sz w:val="16"/>
              </w:rPr>
            </w:pPr>
            <w:r>
              <w:rPr>
                <w:spacing w:val="-4"/>
                <w:sz w:val="16"/>
              </w:rPr>
              <w:t>0.15</w:t>
            </w:r>
          </w:p>
        </w:tc>
      </w:tr>
      <w:tr>
        <w:trPr>
          <w:trHeight w:val="214" w:hRule="atLeast"/>
        </w:trPr>
        <w:tc>
          <w:tcPr>
            <w:tcW w:w="2625" w:type="dxa"/>
          </w:tcPr>
          <w:p>
            <w:pPr>
              <w:pStyle w:val="TableParagraph"/>
              <w:spacing w:line="176" w:lineRule="exact" w:before="18"/>
              <w:ind w:left="52"/>
              <w:rPr>
                <w:sz w:val="16"/>
              </w:rPr>
            </w:pPr>
            <w:r>
              <w:rPr>
                <w:spacing w:val="-2"/>
                <w:sz w:val="16"/>
              </w:rPr>
              <w:t>Kiribati</w:t>
            </w:r>
          </w:p>
        </w:tc>
        <w:tc>
          <w:tcPr>
            <w:tcW w:w="816" w:type="dxa"/>
          </w:tcPr>
          <w:p>
            <w:pPr>
              <w:pStyle w:val="TableParagraph"/>
              <w:spacing w:line="176" w:lineRule="exact" w:before="18"/>
              <w:ind w:right="71"/>
              <w:jc w:val="right"/>
              <w:rPr>
                <w:sz w:val="16"/>
              </w:rPr>
            </w:pPr>
            <w:r>
              <w:rPr>
                <w:spacing w:val="-5"/>
                <w:sz w:val="16"/>
              </w:rPr>
              <w:t>680</w:t>
            </w:r>
          </w:p>
        </w:tc>
        <w:tc>
          <w:tcPr>
            <w:tcW w:w="973" w:type="dxa"/>
          </w:tcPr>
          <w:p>
            <w:pPr>
              <w:pStyle w:val="TableParagraph"/>
              <w:spacing w:line="176" w:lineRule="exact" w:before="18"/>
              <w:ind w:right="39"/>
              <w:jc w:val="right"/>
              <w:rPr>
                <w:sz w:val="16"/>
              </w:rPr>
            </w:pPr>
            <w:r>
              <w:rPr>
                <w:spacing w:val="-4"/>
                <w:sz w:val="16"/>
              </w:rPr>
              <w:t>0.03</w:t>
            </w:r>
          </w:p>
        </w:tc>
        <w:tc>
          <w:tcPr>
            <w:tcW w:w="1026" w:type="dxa"/>
            <w:gridSpan w:val="2"/>
          </w:tcPr>
          <w:p>
            <w:pPr>
              <w:pStyle w:val="TableParagraph"/>
              <w:spacing w:line="176" w:lineRule="exact" w:before="18"/>
              <w:ind w:left="621"/>
              <w:rPr>
                <w:sz w:val="16"/>
              </w:rPr>
            </w:pPr>
            <w:r>
              <w:rPr>
                <w:spacing w:val="-4"/>
                <w:sz w:val="16"/>
              </w:rPr>
              <w:t>82.0</w:t>
            </w:r>
          </w:p>
        </w:tc>
        <w:tc>
          <w:tcPr>
            <w:tcW w:w="819" w:type="dxa"/>
            <w:gridSpan w:val="2"/>
          </w:tcPr>
          <w:p>
            <w:pPr>
              <w:pStyle w:val="TableParagraph"/>
              <w:spacing w:line="176" w:lineRule="exact" w:before="18"/>
              <w:ind w:left="539"/>
              <w:rPr>
                <w:sz w:val="16"/>
              </w:rPr>
            </w:pPr>
            <w:r>
              <w:rPr>
                <w:spacing w:val="-5"/>
                <w:sz w:val="16"/>
              </w:rPr>
              <w:t>1.9</w:t>
            </w:r>
          </w:p>
        </w:tc>
        <w:tc>
          <w:tcPr>
            <w:tcW w:w="980" w:type="dxa"/>
            <w:gridSpan w:val="2"/>
          </w:tcPr>
          <w:p>
            <w:pPr>
              <w:pStyle w:val="TableParagraph"/>
              <w:spacing w:line="176" w:lineRule="exact" w:before="18"/>
              <w:ind w:left="606"/>
              <w:rPr>
                <w:sz w:val="16"/>
              </w:rPr>
            </w:pPr>
            <w:r>
              <w:rPr>
                <w:spacing w:val="-4"/>
                <w:sz w:val="16"/>
              </w:rPr>
              <w:t>80.1</w:t>
            </w:r>
          </w:p>
        </w:tc>
        <w:tc>
          <w:tcPr>
            <w:tcW w:w="1174" w:type="dxa"/>
            <w:gridSpan w:val="2"/>
          </w:tcPr>
          <w:p>
            <w:pPr>
              <w:pStyle w:val="TableParagraph"/>
              <w:spacing w:line="176" w:lineRule="exact" w:before="18"/>
              <w:ind w:left="723"/>
              <w:rPr>
                <w:sz w:val="16"/>
              </w:rPr>
            </w:pPr>
            <w:r>
              <w:rPr>
                <w:spacing w:val="-2"/>
                <w:sz w:val="16"/>
              </w:rPr>
              <w:t>1,499</w:t>
            </w:r>
          </w:p>
        </w:tc>
        <w:tc>
          <w:tcPr>
            <w:tcW w:w="1103" w:type="dxa"/>
          </w:tcPr>
          <w:p>
            <w:pPr>
              <w:pStyle w:val="TableParagraph"/>
              <w:spacing w:line="176" w:lineRule="exact" w:before="18"/>
              <w:ind w:left="583"/>
              <w:rPr>
                <w:sz w:val="16"/>
              </w:rPr>
            </w:pPr>
            <w:r>
              <w:rPr>
                <w:spacing w:val="-4"/>
                <w:sz w:val="16"/>
              </w:rPr>
              <w:t>0.05</w:t>
            </w:r>
          </w:p>
        </w:tc>
      </w:tr>
      <w:tr>
        <w:trPr>
          <w:trHeight w:val="235" w:hRule="atLeast"/>
        </w:trPr>
        <w:tc>
          <w:tcPr>
            <w:tcW w:w="2625" w:type="dxa"/>
          </w:tcPr>
          <w:p>
            <w:pPr>
              <w:pStyle w:val="TableParagraph"/>
              <w:spacing w:before="28"/>
              <w:ind w:left="52"/>
              <w:rPr>
                <w:sz w:val="16"/>
              </w:rPr>
            </w:pPr>
            <w:r>
              <w:rPr>
                <w:sz w:val="16"/>
              </w:rPr>
              <w:t>Korea,</w:t>
            </w:r>
            <w:r>
              <w:rPr>
                <w:spacing w:val="-4"/>
                <w:sz w:val="16"/>
              </w:rPr>
              <w:t> </w:t>
            </w:r>
            <w:r>
              <w:rPr>
                <w:sz w:val="16"/>
              </w:rPr>
              <w:t>Republic</w:t>
            </w:r>
            <w:r>
              <w:rPr>
                <w:spacing w:val="-4"/>
                <w:sz w:val="16"/>
              </w:rPr>
              <w:t> </w:t>
            </w:r>
            <w:r>
              <w:rPr>
                <w:sz w:val="16"/>
              </w:rPr>
              <w:t>of</w:t>
            </w:r>
            <w:r>
              <w:rPr>
                <w:spacing w:val="-4"/>
                <w:sz w:val="16"/>
              </w:rPr>
              <w:t> </w:t>
            </w:r>
            <w:r>
              <w:rPr>
                <w:spacing w:val="-10"/>
                <w:sz w:val="16"/>
                <w:vertAlign w:val="superscript"/>
              </w:rPr>
              <w:t>c</w:t>
            </w:r>
          </w:p>
        </w:tc>
        <w:tc>
          <w:tcPr>
            <w:tcW w:w="816" w:type="dxa"/>
          </w:tcPr>
          <w:p>
            <w:pPr>
              <w:pStyle w:val="TableParagraph"/>
              <w:spacing w:before="28"/>
              <w:ind w:right="71"/>
              <w:jc w:val="right"/>
              <w:rPr>
                <w:sz w:val="16"/>
              </w:rPr>
            </w:pPr>
            <w:r>
              <w:rPr>
                <w:spacing w:val="-2"/>
                <w:sz w:val="16"/>
              </w:rPr>
              <w:t>43,732</w:t>
            </w:r>
          </w:p>
        </w:tc>
        <w:tc>
          <w:tcPr>
            <w:tcW w:w="973" w:type="dxa"/>
          </w:tcPr>
          <w:p>
            <w:pPr>
              <w:pStyle w:val="TableParagraph"/>
              <w:spacing w:before="28"/>
              <w:ind w:right="39"/>
              <w:jc w:val="right"/>
              <w:rPr>
                <w:sz w:val="16"/>
              </w:rPr>
            </w:pPr>
            <w:r>
              <w:rPr>
                <w:spacing w:val="-4"/>
                <w:sz w:val="16"/>
              </w:rPr>
              <w:t>1.66</w:t>
            </w:r>
          </w:p>
        </w:tc>
        <w:tc>
          <w:tcPr>
            <w:tcW w:w="1026" w:type="dxa"/>
            <w:gridSpan w:val="2"/>
          </w:tcPr>
          <w:p>
            <w:pPr>
              <w:pStyle w:val="TableParagraph"/>
              <w:spacing w:before="28"/>
              <w:ind w:left="399"/>
              <w:rPr>
                <w:sz w:val="16"/>
              </w:rPr>
            </w:pPr>
            <w:r>
              <w:rPr>
                <w:spacing w:val="-2"/>
                <w:sz w:val="16"/>
              </w:rPr>
              <w:t>5,275.6</w:t>
            </w:r>
          </w:p>
        </w:tc>
        <w:tc>
          <w:tcPr>
            <w:tcW w:w="819" w:type="dxa"/>
            <w:gridSpan w:val="2"/>
          </w:tcPr>
          <w:p>
            <w:pPr>
              <w:pStyle w:val="TableParagraph"/>
              <w:spacing w:before="28"/>
              <w:ind w:left="362"/>
              <w:rPr>
                <w:sz w:val="16"/>
              </w:rPr>
            </w:pPr>
            <w:r>
              <w:rPr>
                <w:spacing w:val="-2"/>
                <w:sz w:val="16"/>
              </w:rPr>
              <w:t>365.9</w:t>
            </w:r>
          </w:p>
        </w:tc>
        <w:tc>
          <w:tcPr>
            <w:tcW w:w="980" w:type="dxa"/>
            <w:gridSpan w:val="2"/>
          </w:tcPr>
          <w:p>
            <w:pPr>
              <w:pStyle w:val="TableParagraph"/>
              <w:spacing w:before="28"/>
              <w:ind w:left="384"/>
              <w:rPr>
                <w:sz w:val="16"/>
              </w:rPr>
            </w:pPr>
            <w:r>
              <w:rPr>
                <w:spacing w:val="-2"/>
                <w:sz w:val="16"/>
              </w:rPr>
              <w:t>4,909.7</w:t>
            </w:r>
          </w:p>
        </w:tc>
        <w:tc>
          <w:tcPr>
            <w:tcW w:w="1174" w:type="dxa"/>
            <w:gridSpan w:val="2"/>
          </w:tcPr>
          <w:p>
            <w:pPr>
              <w:pStyle w:val="TableParagraph"/>
              <w:spacing w:before="28"/>
              <w:ind w:left="635"/>
              <w:rPr>
                <w:sz w:val="16"/>
              </w:rPr>
            </w:pPr>
            <w:r>
              <w:rPr>
                <w:spacing w:val="-2"/>
                <w:sz w:val="16"/>
              </w:rPr>
              <w:t>44,551</w:t>
            </w:r>
          </w:p>
        </w:tc>
        <w:tc>
          <w:tcPr>
            <w:tcW w:w="1103" w:type="dxa"/>
          </w:tcPr>
          <w:p>
            <w:pPr>
              <w:pStyle w:val="TableParagraph"/>
              <w:spacing w:before="28"/>
              <w:ind w:left="583"/>
              <w:rPr>
                <w:sz w:val="16"/>
              </w:rPr>
            </w:pPr>
            <w:r>
              <w:rPr>
                <w:spacing w:val="-4"/>
                <w:sz w:val="16"/>
              </w:rPr>
              <w:t>1.60</w:t>
            </w:r>
          </w:p>
        </w:tc>
      </w:tr>
      <w:tr>
        <w:trPr>
          <w:trHeight w:val="225" w:hRule="atLeast"/>
        </w:trPr>
        <w:tc>
          <w:tcPr>
            <w:tcW w:w="2625" w:type="dxa"/>
          </w:tcPr>
          <w:p>
            <w:pPr>
              <w:pStyle w:val="TableParagraph"/>
              <w:spacing w:before="18"/>
              <w:ind w:left="52"/>
              <w:rPr>
                <w:sz w:val="16"/>
              </w:rPr>
            </w:pPr>
            <w:r>
              <w:rPr>
                <w:sz w:val="16"/>
              </w:rPr>
              <w:t>Kosovo,</w:t>
            </w:r>
            <w:r>
              <w:rPr>
                <w:spacing w:val="-5"/>
                <w:sz w:val="16"/>
              </w:rPr>
              <w:t> </w:t>
            </w:r>
            <w:r>
              <w:rPr>
                <w:sz w:val="16"/>
              </w:rPr>
              <w:t>Republic</w:t>
            </w:r>
            <w:r>
              <w:rPr>
                <w:spacing w:val="-5"/>
                <w:sz w:val="16"/>
              </w:rPr>
              <w:t> of</w:t>
            </w:r>
          </w:p>
        </w:tc>
        <w:tc>
          <w:tcPr>
            <w:tcW w:w="816" w:type="dxa"/>
          </w:tcPr>
          <w:p>
            <w:pPr>
              <w:pStyle w:val="TableParagraph"/>
              <w:spacing w:before="18"/>
              <w:ind w:right="71"/>
              <w:jc w:val="right"/>
              <w:rPr>
                <w:sz w:val="16"/>
              </w:rPr>
            </w:pPr>
            <w:r>
              <w:rPr>
                <w:spacing w:val="-2"/>
                <w:sz w:val="16"/>
              </w:rPr>
              <w:t>1,538</w:t>
            </w:r>
          </w:p>
        </w:tc>
        <w:tc>
          <w:tcPr>
            <w:tcW w:w="973" w:type="dxa"/>
          </w:tcPr>
          <w:p>
            <w:pPr>
              <w:pStyle w:val="TableParagraph"/>
              <w:spacing w:before="18"/>
              <w:ind w:right="39"/>
              <w:jc w:val="right"/>
              <w:rPr>
                <w:sz w:val="16"/>
              </w:rPr>
            </w:pPr>
            <w:r>
              <w:rPr>
                <w:spacing w:val="-4"/>
                <w:sz w:val="16"/>
              </w:rPr>
              <w:t>0.06</w:t>
            </w:r>
          </w:p>
        </w:tc>
        <w:tc>
          <w:tcPr>
            <w:tcW w:w="1026" w:type="dxa"/>
            <w:gridSpan w:val="2"/>
          </w:tcPr>
          <w:p>
            <w:pPr>
              <w:pStyle w:val="TableParagraph"/>
              <w:spacing w:before="18"/>
              <w:ind w:left="533"/>
              <w:rPr>
                <w:sz w:val="16"/>
              </w:rPr>
            </w:pPr>
            <w:r>
              <w:rPr>
                <w:spacing w:val="-2"/>
                <w:sz w:val="16"/>
              </w:rPr>
              <w:t>185.5</w:t>
            </w:r>
          </w:p>
        </w:tc>
        <w:tc>
          <w:tcPr>
            <w:tcW w:w="819" w:type="dxa"/>
            <w:gridSpan w:val="2"/>
          </w:tcPr>
          <w:p>
            <w:pPr>
              <w:pStyle w:val="TableParagraph"/>
              <w:spacing w:before="18"/>
              <w:ind w:left="450"/>
              <w:rPr>
                <w:sz w:val="16"/>
              </w:rPr>
            </w:pPr>
            <w:r>
              <w:rPr>
                <w:spacing w:val="-4"/>
                <w:sz w:val="16"/>
              </w:rPr>
              <w:t>11.5</w:t>
            </w:r>
          </w:p>
        </w:tc>
        <w:tc>
          <w:tcPr>
            <w:tcW w:w="980" w:type="dxa"/>
            <w:gridSpan w:val="2"/>
          </w:tcPr>
          <w:p>
            <w:pPr>
              <w:pStyle w:val="TableParagraph"/>
              <w:spacing w:before="18"/>
              <w:ind w:left="518"/>
              <w:rPr>
                <w:sz w:val="16"/>
              </w:rPr>
            </w:pPr>
            <w:r>
              <w:rPr>
                <w:spacing w:val="-2"/>
                <w:sz w:val="16"/>
              </w:rPr>
              <w:t>174.1</w:t>
            </w:r>
          </w:p>
        </w:tc>
        <w:tc>
          <w:tcPr>
            <w:tcW w:w="1174" w:type="dxa"/>
            <w:gridSpan w:val="2"/>
          </w:tcPr>
          <w:p>
            <w:pPr>
              <w:pStyle w:val="TableParagraph"/>
              <w:spacing w:before="18"/>
              <w:ind w:left="723"/>
              <w:rPr>
                <w:sz w:val="16"/>
              </w:rPr>
            </w:pPr>
            <w:r>
              <w:rPr>
                <w:spacing w:val="-2"/>
                <w:sz w:val="16"/>
              </w:rPr>
              <w:t>2,357</w:t>
            </w:r>
          </w:p>
        </w:tc>
        <w:tc>
          <w:tcPr>
            <w:tcW w:w="1103" w:type="dxa"/>
          </w:tcPr>
          <w:p>
            <w:pPr>
              <w:pStyle w:val="TableParagraph"/>
              <w:spacing w:before="18"/>
              <w:ind w:left="583"/>
              <w:rPr>
                <w:sz w:val="16"/>
              </w:rPr>
            </w:pPr>
            <w:r>
              <w:rPr>
                <w:spacing w:val="-4"/>
                <w:sz w:val="16"/>
              </w:rPr>
              <w:t>0.08</w:t>
            </w:r>
          </w:p>
        </w:tc>
      </w:tr>
      <w:tr>
        <w:trPr>
          <w:trHeight w:val="223" w:hRule="atLeast"/>
        </w:trPr>
        <w:tc>
          <w:tcPr>
            <w:tcW w:w="2625" w:type="dxa"/>
          </w:tcPr>
          <w:p>
            <w:pPr>
              <w:pStyle w:val="TableParagraph"/>
              <w:spacing w:before="18"/>
              <w:ind w:left="52"/>
              <w:rPr>
                <w:sz w:val="16"/>
              </w:rPr>
            </w:pPr>
            <w:r>
              <w:rPr>
                <w:spacing w:val="-2"/>
                <w:sz w:val="16"/>
              </w:rPr>
              <w:t>Kuwait</w:t>
            </w:r>
          </w:p>
        </w:tc>
        <w:tc>
          <w:tcPr>
            <w:tcW w:w="816" w:type="dxa"/>
          </w:tcPr>
          <w:p>
            <w:pPr>
              <w:pStyle w:val="TableParagraph"/>
              <w:spacing w:before="18"/>
              <w:ind w:right="71"/>
              <w:jc w:val="right"/>
              <w:rPr>
                <w:sz w:val="16"/>
              </w:rPr>
            </w:pPr>
            <w:r>
              <w:rPr>
                <w:spacing w:val="-2"/>
                <w:sz w:val="16"/>
              </w:rPr>
              <w:t>19,432</w:t>
            </w:r>
          </w:p>
        </w:tc>
        <w:tc>
          <w:tcPr>
            <w:tcW w:w="973" w:type="dxa"/>
          </w:tcPr>
          <w:p>
            <w:pPr>
              <w:pStyle w:val="TableParagraph"/>
              <w:spacing w:before="18"/>
              <w:ind w:right="39"/>
              <w:jc w:val="right"/>
              <w:rPr>
                <w:sz w:val="16"/>
              </w:rPr>
            </w:pPr>
            <w:r>
              <w:rPr>
                <w:spacing w:val="-4"/>
                <w:sz w:val="16"/>
              </w:rPr>
              <w:t>0.74</w:t>
            </w:r>
          </w:p>
        </w:tc>
        <w:tc>
          <w:tcPr>
            <w:tcW w:w="1026" w:type="dxa"/>
            <w:gridSpan w:val="2"/>
          </w:tcPr>
          <w:p>
            <w:pPr>
              <w:pStyle w:val="TableParagraph"/>
              <w:spacing w:before="18"/>
              <w:ind w:left="399"/>
              <w:rPr>
                <w:sz w:val="16"/>
              </w:rPr>
            </w:pPr>
            <w:r>
              <w:rPr>
                <w:spacing w:val="-2"/>
                <w:sz w:val="16"/>
              </w:rPr>
              <w:t>2,344.2</w:t>
            </w:r>
          </w:p>
        </w:tc>
        <w:tc>
          <w:tcPr>
            <w:tcW w:w="819" w:type="dxa"/>
            <w:gridSpan w:val="2"/>
          </w:tcPr>
          <w:p>
            <w:pPr>
              <w:pStyle w:val="TableParagraph"/>
              <w:spacing w:before="18"/>
              <w:ind w:left="362"/>
              <w:rPr>
                <w:sz w:val="16"/>
              </w:rPr>
            </w:pPr>
            <w:r>
              <w:rPr>
                <w:spacing w:val="-2"/>
                <w:sz w:val="16"/>
              </w:rPr>
              <w:t>141.0</w:t>
            </w:r>
          </w:p>
        </w:tc>
        <w:tc>
          <w:tcPr>
            <w:tcW w:w="980" w:type="dxa"/>
            <w:gridSpan w:val="2"/>
          </w:tcPr>
          <w:p>
            <w:pPr>
              <w:pStyle w:val="TableParagraph"/>
              <w:spacing w:before="18"/>
              <w:ind w:left="384"/>
              <w:rPr>
                <w:sz w:val="16"/>
              </w:rPr>
            </w:pPr>
            <w:r>
              <w:rPr>
                <w:spacing w:val="-2"/>
                <w:sz w:val="16"/>
              </w:rPr>
              <w:t>2,203.2</w:t>
            </w:r>
          </w:p>
        </w:tc>
        <w:tc>
          <w:tcPr>
            <w:tcW w:w="1174" w:type="dxa"/>
            <w:gridSpan w:val="2"/>
          </w:tcPr>
          <w:p>
            <w:pPr>
              <w:pStyle w:val="TableParagraph"/>
              <w:spacing w:before="18"/>
              <w:ind w:left="635"/>
              <w:rPr>
                <w:sz w:val="16"/>
              </w:rPr>
            </w:pPr>
            <w:r>
              <w:rPr>
                <w:spacing w:val="-2"/>
                <w:sz w:val="16"/>
              </w:rPr>
              <w:t>20,251</w:t>
            </w:r>
          </w:p>
        </w:tc>
        <w:tc>
          <w:tcPr>
            <w:tcW w:w="1103" w:type="dxa"/>
          </w:tcPr>
          <w:p>
            <w:pPr>
              <w:pStyle w:val="TableParagraph"/>
              <w:spacing w:before="18"/>
              <w:ind w:left="583"/>
              <w:rPr>
                <w:sz w:val="16"/>
              </w:rPr>
            </w:pPr>
            <w:r>
              <w:rPr>
                <w:spacing w:val="-4"/>
                <w:sz w:val="16"/>
              </w:rPr>
              <w:t>0.73</w:t>
            </w:r>
          </w:p>
        </w:tc>
      </w:tr>
      <w:tr>
        <w:trPr>
          <w:trHeight w:val="226" w:hRule="atLeast"/>
        </w:trPr>
        <w:tc>
          <w:tcPr>
            <w:tcW w:w="2625" w:type="dxa"/>
            <w:shd w:val="clear" w:color="auto" w:fill="D8D8D8"/>
          </w:tcPr>
          <w:p>
            <w:pPr>
              <w:pStyle w:val="TableParagraph"/>
              <w:spacing w:before="19"/>
              <w:ind w:left="52"/>
              <w:rPr>
                <w:sz w:val="16"/>
              </w:rPr>
            </w:pPr>
            <w:r>
              <w:rPr>
                <w:sz w:val="16"/>
              </w:rPr>
              <w:t>Kyrgyz</w:t>
            </w:r>
            <w:r>
              <w:rPr>
                <w:spacing w:val="-1"/>
                <w:sz w:val="16"/>
              </w:rPr>
              <w:t> </w:t>
            </w:r>
            <w:r>
              <w:rPr>
                <w:spacing w:val="-2"/>
                <w:sz w:val="16"/>
              </w:rPr>
              <w:t>Republic</w:t>
            </w:r>
          </w:p>
        </w:tc>
        <w:tc>
          <w:tcPr>
            <w:tcW w:w="816" w:type="dxa"/>
            <w:shd w:val="clear" w:color="auto" w:fill="D8D8D8"/>
          </w:tcPr>
          <w:p>
            <w:pPr>
              <w:pStyle w:val="TableParagraph"/>
              <w:spacing w:before="19"/>
              <w:ind w:right="71"/>
              <w:jc w:val="right"/>
              <w:rPr>
                <w:sz w:val="16"/>
              </w:rPr>
            </w:pPr>
            <w:r>
              <w:rPr>
                <w:spacing w:val="-2"/>
                <w:sz w:val="16"/>
              </w:rPr>
              <w:t>1,107</w:t>
            </w:r>
          </w:p>
        </w:tc>
        <w:tc>
          <w:tcPr>
            <w:tcW w:w="973" w:type="dxa"/>
            <w:shd w:val="clear" w:color="auto" w:fill="D8D8D8"/>
          </w:tcPr>
          <w:p>
            <w:pPr>
              <w:pStyle w:val="TableParagraph"/>
              <w:spacing w:before="19"/>
              <w:ind w:right="39"/>
              <w:jc w:val="right"/>
              <w:rPr>
                <w:sz w:val="16"/>
              </w:rPr>
            </w:pPr>
            <w:r>
              <w:rPr>
                <w:spacing w:val="-4"/>
                <w:sz w:val="16"/>
              </w:rPr>
              <w:t>0.04</w:t>
            </w:r>
          </w:p>
        </w:tc>
        <w:tc>
          <w:tcPr>
            <w:tcW w:w="1026" w:type="dxa"/>
            <w:gridSpan w:val="2"/>
            <w:shd w:val="clear" w:color="auto" w:fill="D8D8D8"/>
          </w:tcPr>
          <w:p>
            <w:pPr>
              <w:pStyle w:val="TableParagraph"/>
              <w:spacing w:before="19"/>
              <w:ind w:left="533"/>
              <w:rPr>
                <w:sz w:val="16"/>
              </w:rPr>
            </w:pPr>
            <w:r>
              <w:rPr>
                <w:spacing w:val="-2"/>
                <w:sz w:val="16"/>
              </w:rPr>
              <w:t>133.5</w:t>
            </w:r>
          </w:p>
        </w:tc>
        <w:tc>
          <w:tcPr>
            <w:tcW w:w="819" w:type="dxa"/>
            <w:gridSpan w:val="2"/>
            <w:shd w:val="clear" w:color="auto" w:fill="D8D8D8"/>
          </w:tcPr>
          <w:p>
            <w:pPr>
              <w:pStyle w:val="TableParagraph"/>
              <w:spacing w:before="19"/>
              <w:ind w:left="539"/>
              <w:rPr>
                <w:sz w:val="16"/>
              </w:rPr>
            </w:pPr>
            <w:r>
              <w:rPr>
                <w:spacing w:val="-5"/>
                <w:sz w:val="16"/>
              </w:rPr>
              <w:t>5.7</w:t>
            </w:r>
          </w:p>
        </w:tc>
        <w:tc>
          <w:tcPr>
            <w:tcW w:w="980" w:type="dxa"/>
            <w:gridSpan w:val="2"/>
            <w:shd w:val="clear" w:color="auto" w:fill="D8D8D8"/>
          </w:tcPr>
          <w:p>
            <w:pPr>
              <w:pStyle w:val="TableParagraph"/>
              <w:spacing w:before="19"/>
              <w:ind w:left="518"/>
              <w:rPr>
                <w:sz w:val="16"/>
              </w:rPr>
            </w:pPr>
            <w:r>
              <w:rPr>
                <w:spacing w:val="-2"/>
                <w:sz w:val="16"/>
              </w:rPr>
              <w:t>127.9</w:t>
            </w:r>
          </w:p>
        </w:tc>
        <w:tc>
          <w:tcPr>
            <w:tcW w:w="1174" w:type="dxa"/>
            <w:gridSpan w:val="2"/>
            <w:shd w:val="clear" w:color="auto" w:fill="D8D8D8"/>
          </w:tcPr>
          <w:p>
            <w:pPr>
              <w:pStyle w:val="TableParagraph"/>
              <w:spacing w:before="19"/>
              <w:ind w:left="723"/>
              <w:rPr>
                <w:sz w:val="16"/>
              </w:rPr>
            </w:pPr>
            <w:r>
              <w:rPr>
                <w:spacing w:val="-2"/>
                <w:sz w:val="16"/>
              </w:rPr>
              <w:t>1,926</w:t>
            </w:r>
          </w:p>
        </w:tc>
        <w:tc>
          <w:tcPr>
            <w:tcW w:w="1103" w:type="dxa"/>
            <w:shd w:val="clear" w:color="auto" w:fill="D8D8D8"/>
          </w:tcPr>
          <w:p>
            <w:pPr>
              <w:pStyle w:val="TableParagraph"/>
              <w:spacing w:before="19"/>
              <w:ind w:left="583"/>
              <w:rPr>
                <w:sz w:val="16"/>
              </w:rPr>
            </w:pPr>
            <w:r>
              <w:rPr>
                <w:spacing w:val="-4"/>
                <w:sz w:val="16"/>
              </w:rPr>
              <w:t>0.07</w:t>
            </w:r>
          </w:p>
        </w:tc>
      </w:tr>
      <w:tr>
        <w:trPr>
          <w:trHeight w:val="225" w:hRule="atLeast"/>
        </w:trPr>
        <w:tc>
          <w:tcPr>
            <w:tcW w:w="2625" w:type="dxa"/>
            <w:shd w:val="clear" w:color="auto" w:fill="D8D8D8"/>
          </w:tcPr>
          <w:p>
            <w:pPr>
              <w:pStyle w:val="TableParagraph"/>
              <w:spacing w:before="18"/>
              <w:ind w:left="52"/>
              <w:rPr>
                <w:sz w:val="16"/>
              </w:rPr>
            </w:pPr>
            <w:r>
              <w:rPr>
                <w:sz w:val="16"/>
              </w:rPr>
              <w:t>Lao</w:t>
            </w:r>
            <w:r>
              <w:rPr>
                <w:spacing w:val="-6"/>
                <w:sz w:val="16"/>
              </w:rPr>
              <w:t> </w:t>
            </w:r>
            <w:r>
              <w:rPr>
                <w:sz w:val="16"/>
              </w:rPr>
              <w:t>People's</w:t>
            </w:r>
            <w:r>
              <w:rPr>
                <w:spacing w:val="-4"/>
                <w:sz w:val="16"/>
              </w:rPr>
              <w:t> </w:t>
            </w:r>
            <w:r>
              <w:rPr>
                <w:sz w:val="16"/>
              </w:rPr>
              <w:t>Democratic</w:t>
            </w:r>
            <w:r>
              <w:rPr>
                <w:spacing w:val="-4"/>
                <w:sz w:val="16"/>
              </w:rPr>
              <w:t> </w:t>
            </w:r>
            <w:r>
              <w:rPr>
                <w:spacing w:val="-2"/>
                <w:sz w:val="16"/>
              </w:rPr>
              <w:t>Republic</w:t>
            </w:r>
          </w:p>
        </w:tc>
        <w:tc>
          <w:tcPr>
            <w:tcW w:w="816" w:type="dxa"/>
            <w:shd w:val="clear" w:color="auto" w:fill="D8D8D8"/>
          </w:tcPr>
          <w:p>
            <w:pPr>
              <w:pStyle w:val="TableParagraph"/>
              <w:spacing w:before="18"/>
              <w:ind w:right="71"/>
              <w:jc w:val="right"/>
              <w:rPr>
                <w:sz w:val="16"/>
              </w:rPr>
            </w:pPr>
            <w:r>
              <w:rPr>
                <w:spacing w:val="-5"/>
                <w:sz w:val="16"/>
              </w:rPr>
              <w:t>355</w:t>
            </w:r>
          </w:p>
        </w:tc>
        <w:tc>
          <w:tcPr>
            <w:tcW w:w="973" w:type="dxa"/>
            <w:shd w:val="clear" w:color="auto" w:fill="D8D8D8"/>
          </w:tcPr>
          <w:p>
            <w:pPr>
              <w:pStyle w:val="TableParagraph"/>
              <w:spacing w:before="18"/>
              <w:ind w:right="39"/>
              <w:jc w:val="right"/>
              <w:rPr>
                <w:sz w:val="16"/>
              </w:rPr>
            </w:pPr>
            <w:r>
              <w:rPr>
                <w:spacing w:val="-4"/>
                <w:sz w:val="16"/>
              </w:rPr>
              <w:t>0.01</w:t>
            </w:r>
          </w:p>
        </w:tc>
        <w:tc>
          <w:tcPr>
            <w:tcW w:w="1026" w:type="dxa"/>
            <w:gridSpan w:val="2"/>
            <w:shd w:val="clear" w:color="auto" w:fill="D8D8D8"/>
          </w:tcPr>
          <w:p>
            <w:pPr>
              <w:pStyle w:val="TableParagraph"/>
              <w:spacing w:before="18"/>
              <w:ind w:left="621"/>
              <w:rPr>
                <w:sz w:val="16"/>
              </w:rPr>
            </w:pPr>
            <w:r>
              <w:rPr>
                <w:spacing w:val="-4"/>
                <w:sz w:val="16"/>
              </w:rPr>
              <w:t>42.8</w:t>
            </w:r>
          </w:p>
        </w:tc>
        <w:tc>
          <w:tcPr>
            <w:tcW w:w="819" w:type="dxa"/>
            <w:gridSpan w:val="2"/>
            <w:shd w:val="clear" w:color="auto" w:fill="D8D8D8"/>
          </w:tcPr>
          <w:p>
            <w:pPr>
              <w:pStyle w:val="TableParagraph"/>
              <w:spacing w:before="18"/>
              <w:ind w:left="539"/>
              <w:rPr>
                <w:sz w:val="16"/>
              </w:rPr>
            </w:pPr>
            <w:r>
              <w:rPr>
                <w:spacing w:val="-5"/>
                <w:sz w:val="16"/>
              </w:rPr>
              <w:t>3.3</w:t>
            </w:r>
          </w:p>
        </w:tc>
        <w:tc>
          <w:tcPr>
            <w:tcW w:w="980" w:type="dxa"/>
            <w:gridSpan w:val="2"/>
            <w:shd w:val="clear" w:color="auto" w:fill="D8D8D8"/>
          </w:tcPr>
          <w:p>
            <w:pPr>
              <w:pStyle w:val="TableParagraph"/>
              <w:spacing w:before="18"/>
              <w:ind w:left="606"/>
              <w:rPr>
                <w:sz w:val="16"/>
              </w:rPr>
            </w:pPr>
            <w:r>
              <w:rPr>
                <w:spacing w:val="-4"/>
                <w:sz w:val="16"/>
              </w:rPr>
              <w:t>39.5</w:t>
            </w:r>
          </w:p>
        </w:tc>
        <w:tc>
          <w:tcPr>
            <w:tcW w:w="1174" w:type="dxa"/>
            <w:gridSpan w:val="2"/>
            <w:shd w:val="clear" w:color="auto" w:fill="D8D8D8"/>
          </w:tcPr>
          <w:p>
            <w:pPr>
              <w:pStyle w:val="TableParagraph"/>
              <w:spacing w:before="18"/>
              <w:ind w:left="723"/>
              <w:rPr>
                <w:sz w:val="16"/>
              </w:rPr>
            </w:pPr>
            <w:r>
              <w:rPr>
                <w:spacing w:val="-2"/>
                <w:sz w:val="16"/>
              </w:rPr>
              <w:t>1,174</w:t>
            </w:r>
          </w:p>
        </w:tc>
        <w:tc>
          <w:tcPr>
            <w:tcW w:w="1103" w:type="dxa"/>
            <w:shd w:val="clear" w:color="auto" w:fill="D8D8D8"/>
          </w:tcPr>
          <w:p>
            <w:pPr>
              <w:pStyle w:val="TableParagraph"/>
              <w:spacing w:before="18"/>
              <w:ind w:left="583"/>
              <w:rPr>
                <w:sz w:val="16"/>
              </w:rPr>
            </w:pPr>
            <w:r>
              <w:rPr>
                <w:spacing w:val="-4"/>
                <w:sz w:val="16"/>
              </w:rPr>
              <w:t>0.04</w:t>
            </w:r>
          </w:p>
        </w:tc>
      </w:tr>
      <w:tr>
        <w:trPr>
          <w:trHeight w:val="225" w:hRule="atLeast"/>
        </w:trPr>
        <w:tc>
          <w:tcPr>
            <w:tcW w:w="2625" w:type="dxa"/>
            <w:shd w:val="clear" w:color="auto" w:fill="D8D8D8"/>
          </w:tcPr>
          <w:p>
            <w:pPr>
              <w:pStyle w:val="TableParagraph"/>
              <w:spacing w:before="18"/>
              <w:ind w:left="52"/>
              <w:rPr>
                <w:sz w:val="16"/>
              </w:rPr>
            </w:pPr>
            <w:r>
              <w:rPr>
                <w:spacing w:val="-2"/>
                <w:sz w:val="16"/>
              </w:rPr>
              <w:t>Latvia</w:t>
            </w:r>
          </w:p>
        </w:tc>
        <w:tc>
          <w:tcPr>
            <w:tcW w:w="816" w:type="dxa"/>
            <w:shd w:val="clear" w:color="auto" w:fill="D8D8D8"/>
          </w:tcPr>
          <w:p>
            <w:pPr>
              <w:pStyle w:val="TableParagraph"/>
              <w:spacing w:before="18"/>
              <w:ind w:right="71"/>
              <w:jc w:val="right"/>
              <w:rPr>
                <w:sz w:val="16"/>
              </w:rPr>
            </w:pPr>
            <w:r>
              <w:rPr>
                <w:spacing w:val="-2"/>
                <w:sz w:val="16"/>
              </w:rPr>
              <w:t>1,954</w:t>
            </w:r>
          </w:p>
        </w:tc>
        <w:tc>
          <w:tcPr>
            <w:tcW w:w="973" w:type="dxa"/>
            <w:shd w:val="clear" w:color="auto" w:fill="D8D8D8"/>
          </w:tcPr>
          <w:p>
            <w:pPr>
              <w:pStyle w:val="TableParagraph"/>
              <w:spacing w:before="18"/>
              <w:ind w:right="39"/>
              <w:jc w:val="right"/>
              <w:rPr>
                <w:sz w:val="16"/>
              </w:rPr>
            </w:pPr>
            <w:r>
              <w:rPr>
                <w:spacing w:val="-4"/>
                <w:sz w:val="16"/>
              </w:rPr>
              <w:t>0.07</w:t>
            </w:r>
          </w:p>
        </w:tc>
        <w:tc>
          <w:tcPr>
            <w:tcW w:w="1026" w:type="dxa"/>
            <w:gridSpan w:val="2"/>
            <w:shd w:val="clear" w:color="auto" w:fill="D8D8D8"/>
          </w:tcPr>
          <w:p>
            <w:pPr>
              <w:pStyle w:val="TableParagraph"/>
              <w:spacing w:before="18"/>
              <w:ind w:left="533"/>
              <w:rPr>
                <w:sz w:val="16"/>
              </w:rPr>
            </w:pPr>
            <w:r>
              <w:rPr>
                <w:spacing w:val="-2"/>
                <w:sz w:val="16"/>
              </w:rPr>
              <w:t>235.7</w:t>
            </w:r>
          </w:p>
        </w:tc>
        <w:tc>
          <w:tcPr>
            <w:tcW w:w="819" w:type="dxa"/>
            <w:gridSpan w:val="2"/>
            <w:shd w:val="clear" w:color="auto" w:fill="D8D8D8"/>
          </w:tcPr>
          <w:p>
            <w:pPr>
              <w:pStyle w:val="TableParagraph"/>
              <w:spacing w:before="18"/>
              <w:ind w:left="450"/>
              <w:rPr>
                <w:sz w:val="16"/>
              </w:rPr>
            </w:pPr>
            <w:r>
              <w:rPr>
                <w:spacing w:val="-4"/>
                <w:sz w:val="16"/>
              </w:rPr>
              <w:t>14.0</w:t>
            </w:r>
          </w:p>
        </w:tc>
        <w:tc>
          <w:tcPr>
            <w:tcW w:w="980" w:type="dxa"/>
            <w:gridSpan w:val="2"/>
            <w:shd w:val="clear" w:color="auto" w:fill="D8D8D8"/>
          </w:tcPr>
          <w:p>
            <w:pPr>
              <w:pStyle w:val="TableParagraph"/>
              <w:spacing w:before="18"/>
              <w:ind w:left="518"/>
              <w:rPr>
                <w:sz w:val="16"/>
              </w:rPr>
            </w:pPr>
            <w:r>
              <w:rPr>
                <w:spacing w:val="-2"/>
                <w:sz w:val="16"/>
              </w:rPr>
              <w:t>221.8</w:t>
            </w:r>
          </w:p>
        </w:tc>
        <w:tc>
          <w:tcPr>
            <w:tcW w:w="1174" w:type="dxa"/>
            <w:gridSpan w:val="2"/>
            <w:shd w:val="clear" w:color="auto" w:fill="D8D8D8"/>
          </w:tcPr>
          <w:p>
            <w:pPr>
              <w:pStyle w:val="TableParagraph"/>
              <w:spacing w:before="18"/>
              <w:ind w:left="723"/>
              <w:rPr>
                <w:sz w:val="16"/>
              </w:rPr>
            </w:pPr>
            <w:r>
              <w:rPr>
                <w:spacing w:val="-2"/>
                <w:sz w:val="16"/>
              </w:rPr>
              <w:t>2,773</w:t>
            </w:r>
          </w:p>
        </w:tc>
        <w:tc>
          <w:tcPr>
            <w:tcW w:w="1103" w:type="dxa"/>
            <w:shd w:val="clear" w:color="auto" w:fill="D8D8D8"/>
          </w:tcPr>
          <w:p>
            <w:pPr>
              <w:pStyle w:val="TableParagraph"/>
              <w:spacing w:before="18"/>
              <w:ind w:left="583"/>
              <w:rPr>
                <w:sz w:val="16"/>
              </w:rPr>
            </w:pPr>
            <w:r>
              <w:rPr>
                <w:spacing w:val="-4"/>
                <w:sz w:val="16"/>
              </w:rPr>
              <w:t>0.10</w:t>
            </w:r>
          </w:p>
        </w:tc>
      </w:tr>
      <w:tr>
        <w:trPr>
          <w:trHeight w:val="225" w:hRule="atLeast"/>
        </w:trPr>
        <w:tc>
          <w:tcPr>
            <w:tcW w:w="2625" w:type="dxa"/>
            <w:shd w:val="clear" w:color="auto" w:fill="D8D8D8"/>
          </w:tcPr>
          <w:p>
            <w:pPr>
              <w:pStyle w:val="TableParagraph"/>
              <w:spacing w:before="18"/>
              <w:ind w:left="52"/>
              <w:rPr>
                <w:sz w:val="16"/>
              </w:rPr>
            </w:pPr>
            <w:r>
              <w:rPr>
                <w:spacing w:val="-2"/>
                <w:sz w:val="16"/>
              </w:rPr>
              <w:t>Lebanon</w:t>
            </w:r>
          </w:p>
        </w:tc>
        <w:tc>
          <w:tcPr>
            <w:tcW w:w="816" w:type="dxa"/>
            <w:shd w:val="clear" w:color="auto" w:fill="D8D8D8"/>
          </w:tcPr>
          <w:p>
            <w:pPr>
              <w:pStyle w:val="TableParagraph"/>
              <w:spacing w:before="18"/>
              <w:ind w:right="71"/>
              <w:jc w:val="right"/>
              <w:rPr>
                <w:sz w:val="16"/>
              </w:rPr>
            </w:pPr>
            <w:r>
              <w:rPr>
                <w:spacing w:val="-2"/>
                <w:sz w:val="16"/>
              </w:rPr>
              <w:t>1,062</w:t>
            </w:r>
          </w:p>
        </w:tc>
        <w:tc>
          <w:tcPr>
            <w:tcW w:w="973" w:type="dxa"/>
            <w:shd w:val="clear" w:color="auto" w:fill="D8D8D8"/>
          </w:tcPr>
          <w:p>
            <w:pPr>
              <w:pStyle w:val="TableParagraph"/>
              <w:spacing w:before="18"/>
              <w:ind w:right="39"/>
              <w:jc w:val="right"/>
              <w:rPr>
                <w:sz w:val="16"/>
              </w:rPr>
            </w:pPr>
            <w:r>
              <w:rPr>
                <w:spacing w:val="-4"/>
                <w:sz w:val="16"/>
              </w:rPr>
              <w:t>0.04</w:t>
            </w:r>
          </w:p>
        </w:tc>
        <w:tc>
          <w:tcPr>
            <w:tcW w:w="1026" w:type="dxa"/>
            <w:gridSpan w:val="2"/>
            <w:shd w:val="clear" w:color="auto" w:fill="D8D8D8"/>
          </w:tcPr>
          <w:p>
            <w:pPr>
              <w:pStyle w:val="TableParagraph"/>
              <w:spacing w:before="18"/>
              <w:ind w:left="533"/>
              <w:rPr>
                <w:sz w:val="16"/>
              </w:rPr>
            </w:pPr>
            <w:r>
              <w:rPr>
                <w:spacing w:val="-2"/>
                <w:sz w:val="16"/>
              </w:rPr>
              <w:t>128.1</w:t>
            </w:r>
          </w:p>
        </w:tc>
        <w:tc>
          <w:tcPr>
            <w:tcW w:w="819" w:type="dxa"/>
            <w:gridSpan w:val="2"/>
            <w:shd w:val="clear" w:color="auto" w:fill="D8D8D8"/>
          </w:tcPr>
          <w:p>
            <w:pPr>
              <w:pStyle w:val="TableParagraph"/>
              <w:spacing w:before="18"/>
              <w:ind w:left="539"/>
              <w:rPr>
                <w:sz w:val="16"/>
              </w:rPr>
            </w:pPr>
            <w:r>
              <w:rPr>
                <w:spacing w:val="-5"/>
                <w:sz w:val="16"/>
              </w:rPr>
              <w:t>6.3</w:t>
            </w:r>
          </w:p>
        </w:tc>
        <w:tc>
          <w:tcPr>
            <w:tcW w:w="980" w:type="dxa"/>
            <w:gridSpan w:val="2"/>
            <w:shd w:val="clear" w:color="auto" w:fill="D8D8D8"/>
          </w:tcPr>
          <w:p>
            <w:pPr>
              <w:pStyle w:val="TableParagraph"/>
              <w:spacing w:before="18"/>
              <w:ind w:left="518"/>
              <w:rPr>
                <w:sz w:val="16"/>
              </w:rPr>
            </w:pPr>
            <w:r>
              <w:rPr>
                <w:spacing w:val="-2"/>
                <w:sz w:val="16"/>
              </w:rPr>
              <w:t>121.8</w:t>
            </w:r>
          </w:p>
        </w:tc>
        <w:tc>
          <w:tcPr>
            <w:tcW w:w="1174" w:type="dxa"/>
            <w:gridSpan w:val="2"/>
            <w:shd w:val="clear" w:color="auto" w:fill="D8D8D8"/>
          </w:tcPr>
          <w:p>
            <w:pPr>
              <w:pStyle w:val="TableParagraph"/>
              <w:spacing w:before="18"/>
              <w:ind w:left="723"/>
              <w:rPr>
                <w:sz w:val="16"/>
              </w:rPr>
            </w:pPr>
            <w:r>
              <w:rPr>
                <w:spacing w:val="-2"/>
                <w:sz w:val="16"/>
              </w:rPr>
              <w:t>1,881</w:t>
            </w:r>
          </w:p>
        </w:tc>
        <w:tc>
          <w:tcPr>
            <w:tcW w:w="1103" w:type="dxa"/>
            <w:shd w:val="clear" w:color="auto" w:fill="D8D8D8"/>
          </w:tcPr>
          <w:p>
            <w:pPr>
              <w:pStyle w:val="TableParagraph"/>
              <w:spacing w:before="18"/>
              <w:ind w:left="583"/>
              <w:rPr>
                <w:sz w:val="16"/>
              </w:rPr>
            </w:pPr>
            <w:r>
              <w:rPr>
                <w:spacing w:val="-4"/>
                <w:sz w:val="16"/>
              </w:rPr>
              <w:t>0.07</w:t>
            </w:r>
          </w:p>
        </w:tc>
      </w:tr>
      <w:tr>
        <w:trPr>
          <w:trHeight w:val="223" w:hRule="atLeast"/>
        </w:trPr>
        <w:tc>
          <w:tcPr>
            <w:tcW w:w="2625" w:type="dxa"/>
            <w:shd w:val="clear" w:color="auto" w:fill="D8D8D8"/>
          </w:tcPr>
          <w:p>
            <w:pPr>
              <w:pStyle w:val="TableParagraph"/>
              <w:spacing w:before="18"/>
              <w:ind w:left="52"/>
              <w:rPr>
                <w:sz w:val="16"/>
              </w:rPr>
            </w:pPr>
            <w:r>
              <w:rPr>
                <w:spacing w:val="-2"/>
                <w:sz w:val="16"/>
              </w:rPr>
              <w:t>Lesotho</w:t>
            </w:r>
          </w:p>
        </w:tc>
        <w:tc>
          <w:tcPr>
            <w:tcW w:w="816" w:type="dxa"/>
            <w:shd w:val="clear" w:color="auto" w:fill="D8D8D8"/>
          </w:tcPr>
          <w:p>
            <w:pPr>
              <w:pStyle w:val="TableParagraph"/>
              <w:spacing w:before="18"/>
              <w:ind w:right="71"/>
              <w:jc w:val="right"/>
              <w:rPr>
                <w:sz w:val="16"/>
              </w:rPr>
            </w:pPr>
            <w:r>
              <w:rPr>
                <w:spacing w:val="-2"/>
                <w:sz w:val="16"/>
              </w:rPr>
              <w:t>1,057</w:t>
            </w:r>
          </w:p>
        </w:tc>
        <w:tc>
          <w:tcPr>
            <w:tcW w:w="973" w:type="dxa"/>
            <w:shd w:val="clear" w:color="auto" w:fill="D8D8D8"/>
          </w:tcPr>
          <w:p>
            <w:pPr>
              <w:pStyle w:val="TableParagraph"/>
              <w:spacing w:before="18"/>
              <w:ind w:right="39"/>
              <w:jc w:val="right"/>
              <w:rPr>
                <w:sz w:val="16"/>
              </w:rPr>
            </w:pPr>
            <w:r>
              <w:rPr>
                <w:spacing w:val="-4"/>
                <w:sz w:val="16"/>
              </w:rPr>
              <w:t>0.04</w:t>
            </w:r>
          </w:p>
        </w:tc>
        <w:tc>
          <w:tcPr>
            <w:tcW w:w="1026" w:type="dxa"/>
            <w:gridSpan w:val="2"/>
            <w:shd w:val="clear" w:color="auto" w:fill="D8D8D8"/>
          </w:tcPr>
          <w:p>
            <w:pPr>
              <w:pStyle w:val="TableParagraph"/>
              <w:spacing w:before="18"/>
              <w:ind w:left="533"/>
              <w:rPr>
                <w:sz w:val="16"/>
              </w:rPr>
            </w:pPr>
            <w:r>
              <w:rPr>
                <w:spacing w:val="-2"/>
                <w:sz w:val="16"/>
              </w:rPr>
              <w:t>127.5</w:t>
            </w:r>
          </w:p>
        </w:tc>
        <w:tc>
          <w:tcPr>
            <w:tcW w:w="819" w:type="dxa"/>
            <w:gridSpan w:val="2"/>
            <w:shd w:val="clear" w:color="auto" w:fill="D8D8D8"/>
          </w:tcPr>
          <w:p>
            <w:pPr>
              <w:pStyle w:val="TableParagraph"/>
              <w:spacing w:before="18"/>
              <w:ind w:left="539"/>
              <w:rPr>
                <w:sz w:val="16"/>
              </w:rPr>
            </w:pPr>
            <w:r>
              <w:rPr>
                <w:spacing w:val="-5"/>
                <w:sz w:val="16"/>
              </w:rPr>
              <w:t>4.6</w:t>
            </w:r>
          </w:p>
        </w:tc>
        <w:tc>
          <w:tcPr>
            <w:tcW w:w="980" w:type="dxa"/>
            <w:gridSpan w:val="2"/>
            <w:shd w:val="clear" w:color="auto" w:fill="D8D8D8"/>
          </w:tcPr>
          <w:p>
            <w:pPr>
              <w:pStyle w:val="TableParagraph"/>
              <w:spacing w:before="18"/>
              <w:ind w:left="518"/>
              <w:rPr>
                <w:sz w:val="16"/>
              </w:rPr>
            </w:pPr>
            <w:r>
              <w:rPr>
                <w:spacing w:val="-2"/>
                <w:sz w:val="16"/>
              </w:rPr>
              <w:t>122.9</w:t>
            </w:r>
          </w:p>
        </w:tc>
        <w:tc>
          <w:tcPr>
            <w:tcW w:w="1174" w:type="dxa"/>
            <w:gridSpan w:val="2"/>
            <w:shd w:val="clear" w:color="auto" w:fill="D8D8D8"/>
          </w:tcPr>
          <w:p>
            <w:pPr>
              <w:pStyle w:val="TableParagraph"/>
              <w:spacing w:before="18"/>
              <w:ind w:left="723"/>
              <w:rPr>
                <w:sz w:val="16"/>
              </w:rPr>
            </w:pPr>
            <w:r>
              <w:rPr>
                <w:spacing w:val="-2"/>
                <w:sz w:val="16"/>
              </w:rPr>
              <w:t>1,876</w:t>
            </w:r>
          </w:p>
        </w:tc>
        <w:tc>
          <w:tcPr>
            <w:tcW w:w="1103" w:type="dxa"/>
            <w:shd w:val="clear" w:color="auto" w:fill="D8D8D8"/>
          </w:tcPr>
          <w:p>
            <w:pPr>
              <w:pStyle w:val="TableParagraph"/>
              <w:spacing w:before="18"/>
              <w:ind w:left="583"/>
              <w:rPr>
                <w:sz w:val="16"/>
              </w:rPr>
            </w:pPr>
            <w:r>
              <w:rPr>
                <w:spacing w:val="-4"/>
                <w:sz w:val="16"/>
              </w:rPr>
              <w:t>0.07</w:t>
            </w:r>
          </w:p>
        </w:tc>
      </w:tr>
      <w:tr>
        <w:trPr>
          <w:trHeight w:val="226" w:hRule="atLeast"/>
        </w:trPr>
        <w:tc>
          <w:tcPr>
            <w:tcW w:w="2625" w:type="dxa"/>
          </w:tcPr>
          <w:p>
            <w:pPr>
              <w:pStyle w:val="TableParagraph"/>
              <w:spacing w:before="19"/>
              <w:ind w:left="52"/>
              <w:rPr>
                <w:sz w:val="16"/>
              </w:rPr>
            </w:pPr>
            <w:r>
              <w:rPr>
                <w:spacing w:val="-2"/>
                <w:sz w:val="16"/>
              </w:rPr>
              <w:t>Liberia</w:t>
            </w:r>
          </w:p>
        </w:tc>
        <w:tc>
          <w:tcPr>
            <w:tcW w:w="816" w:type="dxa"/>
          </w:tcPr>
          <w:p>
            <w:pPr>
              <w:pStyle w:val="TableParagraph"/>
              <w:spacing w:before="19"/>
              <w:ind w:right="71"/>
              <w:jc w:val="right"/>
              <w:rPr>
                <w:sz w:val="16"/>
              </w:rPr>
            </w:pPr>
            <w:r>
              <w:rPr>
                <w:spacing w:val="-5"/>
                <w:sz w:val="16"/>
              </w:rPr>
              <w:t>606</w:t>
            </w:r>
          </w:p>
        </w:tc>
        <w:tc>
          <w:tcPr>
            <w:tcW w:w="973" w:type="dxa"/>
          </w:tcPr>
          <w:p>
            <w:pPr>
              <w:pStyle w:val="TableParagraph"/>
              <w:spacing w:before="19"/>
              <w:ind w:right="39"/>
              <w:jc w:val="right"/>
              <w:rPr>
                <w:sz w:val="16"/>
              </w:rPr>
            </w:pPr>
            <w:r>
              <w:rPr>
                <w:spacing w:val="-4"/>
                <w:sz w:val="16"/>
              </w:rPr>
              <w:t>0.02</w:t>
            </w:r>
          </w:p>
        </w:tc>
        <w:tc>
          <w:tcPr>
            <w:tcW w:w="1026" w:type="dxa"/>
            <w:gridSpan w:val="2"/>
          </w:tcPr>
          <w:p>
            <w:pPr>
              <w:pStyle w:val="TableParagraph"/>
              <w:spacing w:before="19"/>
              <w:ind w:left="621"/>
              <w:rPr>
                <w:sz w:val="16"/>
              </w:rPr>
            </w:pPr>
            <w:r>
              <w:rPr>
                <w:spacing w:val="-4"/>
                <w:sz w:val="16"/>
              </w:rPr>
              <w:t>73.1</w:t>
            </w:r>
          </w:p>
        </w:tc>
        <w:tc>
          <w:tcPr>
            <w:tcW w:w="819" w:type="dxa"/>
            <w:gridSpan w:val="2"/>
          </w:tcPr>
          <w:p>
            <w:pPr>
              <w:pStyle w:val="TableParagraph"/>
              <w:spacing w:before="19"/>
              <w:ind w:left="539"/>
              <w:rPr>
                <w:sz w:val="16"/>
              </w:rPr>
            </w:pPr>
            <w:r>
              <w:rPr>
                <w:spacing w:val="-5"/>
                <w:sz w:val="16"/>
              </w:rPr>
              <w:t>3.6</w:t>
            </w:r>
          </w:p>
        </w:tc>
        <w:tc>
          <w:tcPr>
            <w:tcW w:w="980" w:type="dxa"/>
            <w:gridSpan w:val="2"/>
          </w:tcPr>
          <w:p>
            <w:pPr>
              <w:pStyle w:val="TableParagraph"/>
              <w:spacing w:before="19"/>
              <w:ind w:left="606"/>
              <w:rPr>
                <w:sz w:val="16"/>
              </w:rPr>
            </w:pPr>
            <w:r>
              <w:rPr>
                <w:spacing w:val="-4"/>
                <w:sz w:val="16"/>
              </w:rPr>
              <w:t>69.5</w:t>
            </w:r>
          </w:p>
        </w:tc>
        <w:tc>
          <w:tcPr>
            <w:tcW w:w="1174" w:type="dxa"/>
            <w:gridSpan w:val="2"/>
          </w:tcPr>
          <w:p>
            <w:pPr>
              <w:pStyle w:val="TableParagraph"/>
              <w:spacing w:before="19"/>
              <w:ind w:left="723"/>
              <w:rPr>
                <w:sz w:val="16"/>
              </w:rPr>
            </w:pPr>
            <w:r>
              <w:rPr>
                <w:spacing w:val="-2"/>
                <w:sz w:val="16"/>
              </w:rPr>
              <w:t>1,425</w:t>
            </w:r>
          </w:p>
        </w:tc>
        <w:tc>
          <w:tcPr>
            <w:tcW w:w="1103" w:type="dxa"/>
          </w:tcPr>
          <w:p>
            <w:pPr>
              <w:pStyle w:val="TableParagraph"/>
              <w:spacing w:before="19"/>
              <w:ind w:left="583"/>
              <w:rPr>
                <w:sz w:val="16"/>
              </w:rPr>
            </w:pPr>
            <w:r>
              <w:rPr>
                <w:spacing w:val="-4"/>
                <w:sz w:val="16"/>
              </w:rPr>
              <w:t>0.05</w:t>
            </w:r>
          </w:p>
        </w:tc>
      </w:tr>
      <w:tr>
        <w:trPr>
          <w:trHeight w:val="214" w:hRule="atLeast"/>
        </w:trPr>
        <w:tc>
          <w:tcPr>
            <w:tcW w:w="2625" w:type="dxa"/>
          </w:tcPr>
          <w:p>
            <w:pPr>
              <w:pStyle w:val="TableParagraph"/>
              <w:spacing w:line="176" w:lineRule="exact" w:before="18"/>
              <w:ind w:left="52"/>
              <w:rPr>
                <w:sz w:val="16"/>
              </w:rPr>
            </w:pPr>
            <w:r>
              <w:rPr>
                <w:spacing w:val="-2"/>
                <w:sz w:val="16"/>
              </w:rPr>
              <w:t>Libya</w:t>
            </w:r>
          </w:p>
        </w:tc>
        <w:tc>
          <w:tcPr>
            <w:tcW w:w="816" w:type="dxa"/>
          </w:tcPr>
          <w:p>
            <w:pPr>
              <w:pStyle w:val="TableParagraph"/>
              <w:spacing w:line="176" w:lineRule="exact" w:before="18"/>
              <w:ind w:right="71"/>
              <w:jc w:val="right"/>
              <w:rPr>
                <w:sz w:val="16"/>
              </w:rPr>
            </w:pPr>
            <w:r>
              <w:rPr>
                <w:spacing w:val="-2"/>
                <w:sz w:val="16"/>
              </w:rPr>
              <w:t>9,935</w:t>
            </w:r>
          </w:p>
        </w:tc>
        <w:tc>
          <w:tcPr>
            <w:tcW w:w="973" w:type="dxa"/>
          </w:tcPr>
          <w:p>
            <w:pPr>
              <w:pStyle w:val="TableParagraph"/>
              <w:spacing w:line="176" w:lineRule="exact" w:before="18"/>
              <w:ind w:right="39"/>
              <w:jc w:val="right"/>
              <w:rPr>
                <w:sz w:val="16"/>
              </w:rPr>
            </w:pPr>
            <w:r>
              <w:rPr>
                <w:spacing w:val="-4"/>
                <w:sz w:val="16"/>
              </w:rPr>
              <w:t>0.38</w:t>
            </w:r>
          </w:p>
        </w:tc>
        <w:tc>
          <w:tcPr>
            <w:tcW w:w="1026" w:type="dxa"/>
            <w:gridSpan w:val="2"/>
          </w:tcPr>
          <w:p>
            <w:pPr>
              <w:pStyle w:val="TableParagraph"/>
              <w:spacing w:line="176" w:lineRule="exact" w:before="18"/>
              <w:ind w:left="399"/>
              <w:rPr>
                <w:sz w:val="16"/>
              </w:rPr>
            </w:pPr>
            <w:r>
              <w:rPr>
                <w:spacing w:val="-2"/>
                <w:sz w:val="16"/>
              </w:rPr>
              <w:t>1,198.5</w:t>
            </w:r>
          </w:p>
        </w:tc>
        <w:tc>
          <w:tcPr>
            <w:tcW w:w="819" w:type="dxa"/>
            <w:gridSpan w:val="2"/>
          </w:tcPr>
          <w:p>
            <w:pPr>
              <w:pStyle w:val="TableParagraph"/>
              <w:spacing w:line="176" w:lineRule="exact" w:before="18"/>
              <w:ind w:left="450"/>
              <w:rPr>
                <w:sz w:val="16"/>
              </w:rPr>
            </w:pPr>
            <w:r>
              <w:rPr>
                <w:spacing w:val="-4"/>
                <w:sz w:val="16"/>
              </w:rPr>
              <w:t>72.1</w:t>
            </w:r>
          </w:p>
        </w:tc>
        <w:tc>
          <w:tcPr>
            <w:tcW w:w="980" w:type="dxa"/>
            <w:gridSpan w:val="2"/>
          </w:tcPr>
          <w:p>
            <w:pPr>
              <w:pStyle w:val="TableParagraph"/>
              <w:spacing w:line="176" w:lineRule="exact" w:before="18"/>
              <w:ind w:left="384"/>
              <w:rPr>
                <w:sz w:val="16"/>
              </w:rPr>
            </w:pPr>
            <w:r>
              <w:rPr>
                <w:spacing w:val="-2"/>
                <w:sz w:val="16"/>
              </w:rPr>
              <w:t>1,126.4</w:t>
            </w:r>
          </w:p>
        </w:tc>
        <w:tc>
          <w:tcPr>
            <w:tcW w:w="1174" w:type="dxa"/>
            <w:gridSpan w:val="2"/>
          </w:tcPr>
          <w:p>
            <w:pPr>
              <w:pStyle w:val="TableParagraph"/>
              <w:spacing w:line="176" w:lineRule="exact" w:before="18"/>
              <w:ind w:left="635"/>
              <w:rPr>
                <w:sz w:val="16"/>
              </w:rPr>
            </w:pPr>
            <w:r>
              <w:rPr>
                <w:spacing w:val="-2"/>
                <w:sz w:val="16"/>
              </w:rPr>
              <w:t>10,754</w:t>
            </w:r>
          </w:p>
        </w:tc>
        <w:tc>
          <w:tcPr>
            <w:tcW w:w="1103" w:type="dxa"/>
          </w:tcPr>
          <w:p>
            <w:pPr>
              <w:pStyle w:val="TableParagraph"/>
              <w:spacing w:line="176" w:lineRule="exact" w:before="18"/>
              <w:ind w:left="583"/>
              <w:rPr>
                <w:sz w:val="16"/>
              </w:rPr>
            </w:pPr>
            <w:r>
              <w:rPr>
                <w:spacing w:val="-4"/>
                <w:sz w:val="16"/>
              </w:rPr>
              <w:t>0.39</w:t>
            </w:r>
          </w:p>
        </w:tc>
      </w:tr>
      <w:tr>
        <w:trPr>
          <w:trHeight w:val="225" w:hRule="atLeast"/>
        </w:trPr>
        <w:tc>
          <w:tcPr>
            <w:tcW w:w="2625" w:type="dxa"/>
          </w:tcPr>
          <w:p>
            <w:pPr>
              <w:pStyle w:val="TableParagraph"/>
              <w:spacing w:line="176" w:lineRule="exact" w:before="28"/>
              <w:ind w:left="52"/>
              <w:rPr>
                <w:sz w:val="16"/>
              </w:rPr>
            </w:pPr>
            <w:r>
              <w:rPr>
                <w:sz w:val="16"/>
              </w:rPr>
              <w:t>Lithuania</w:t>
            </w:r>
            <w:r>
              <w:rPr>
                <w:spacing w:val="-8"/>
                <w:sz w:val="16"/>
              </w:rPr>
              <w:t> </w:t>
            </w:r>
            <w:r>
              <w:rPr>
                <w:spacing w:val="-10"/>
                <w:sz w:val="16"/>
                <w:vertAlign w:val="superscript"/>
              </w:rPr>
              <w:t>c</w:t>
            </w:r>
          </w:p>
        </w:tc>
        <w:tc>
          <w:tcPr>
            <w:tcW w:w="816" w:type="dxa"/>
          </w:tcPr>
          <w:p>
            <w:pPr>
              <w:pStyle w:val="TableParagraph"/>
              <w:spacing w:line="176" w:lineRule="exact" w:before="28"/>
              <w:ind w:right="71"/>
              <w:jc w:val="right"/>
              <w:rPr>
                <w:sz w:val="16"/>
              </w:rPr>
            </w:pPr>
            <w:r>
              <w:rPr>
                <w:spacing w:val="-2"/>
                <w:sz w:val="16"/>
              </w:rPr>
              <w:t>2,258</w:t>
            </w:r>
          </w:p>
        </w:tc>
        <w:tc>
          <w:tcPr>
            <w:tcW w:w="973" w:type="dxa"/>
          </w:tcPr>
          <w:p>
            <w:pPr>
              <w:pStyle w:val="TableParagraph"/>
              <w:spacing w:line="176" w:lineRule="exact" w:before="28"/>
              <w:ind w:right="39"/>
              <w:jc w:val="right"/>
              <w:rPr>
                <w:sz w:val="16"/>
              </w:rPr>
            </w:pPr>
            <w:r>
              <w:rPr>
                <w:spacing w:val="-4"/>
                <w:sz w:val="16"/>
              </w:rPr>
              <w:t>0.09</w:t>
            </w:r>
          </w:p>
        </w:tc>
        <w:tc>
          <w:tcPr>
            <w:tcW w:w="1026" w:type="dxa"/>
            <w:gridSpan w:val="2"/>
          </w:tcPr>
          <w:p>
            <w:pPr>
              <w:pStyle w:val="TableParagraph"/>
              <w:spacing w:line="176" w:lineRule="exact" w:before="28"/>
              <w:ind w:left="533"/>
              <w:rPr>
                <w:sz w:val="16"/>
              </w:rPr>
            </w:pPr>
            <w:r>
              <w:rPr>
                <w:spacing w:val="-2"/>
                <w:sz w:val="16"/>
              </w:rPr>
              <w:t>272.4</w:t>
            </w:r>
          </w:p>
        </w:tc>
        <w:tc>
          <w:tcPr>
            <w:tcW w:w="819" w:type="dxa"/>
            <w:gridSpan w:val="2"/>
          </w:tcPr>
          <w:p>
            <w:pPr>
              <w:pStyle w:val="TableParagraph"/>
              <w:spacing w:line="176" w:lineRule="exact" w:before="28"/>
              <w:ind w:left="450"/>
              <w:rPr>
                <w:sz w:val="16"/>
              </w:rPr>
            </w:pPr>
            <w:r>
              <w:rPr>
                <w:spacing w:val="-4"/>
                <w:sz w:val="16"/>
              </w:rPr>
              <w:t>17.3</w:t>
            </w:r>
          </w:p>
        </w:tc>
        <w:tc>
          <w:tcPr>
            <w:tcW w:w="980" w:type="dxa"/>
            <w:gridSpan w:val="2"/>
          </w:tcPr>
          <w:p>
            <w:pPr>
              <w:pStyle w:val="TableParagraph"/>
              <w:spacing w:line="176" w:lineRule="exact" w:before="28"/>
              <w:ind w:left="518"/>
              <w:rPr>
                <w:sz w:val="16"/>
              </w:rPr>
            </w:pPr>
            <w:r>
              <w:rPr>
                <w:spacing w:val="-2"/>
                <w:sz w:val="16"/>
              </w:rPr>
              <w:t>255.1</w:t>
            </w:r>
          </w:p>
        </w:tc>
        <w:tc>
          <w:tcPr>
            <w:tcW w:w="1174" w:type="dxa"/>
            <w:gridSpan w:val="2"/>
          </w:tcPr>
          <w:p>
            <w:pPr>
              <w:pStyle w:val="TableParagraph"/>
              <w:spacing w:line="176" w:lineRule="exact" w:before="28"/>
              <w:ind w:left="723"/>
              <w:rPr>
                <w:sz w:val="16"/>
              </w:rPr>
            </w:pPr>
            <w:r>
              <w:rPr>
                <w:spacing w:val="-2"/>
                <w:sz w:val="16"/>
              </w:rPr>
              <w:t>3,077</w:t>
            </w:r>
          </w:p>
        </w:tc>
        <w:tc>
          <w:tcPr>
            <w:tcW w:w="1103" w:type="dxa"/>
          </w:tcPr>
          <w:p>
            <w:pPr>
              <w:pStyle w:val="TableParagraph"/>
              <w:spacing w:line="176" w:lineRule="exact" w:before="28"/>
              <w:ind w:left="595"/>
              <w:rPr>
                <w:sz w:val="16"/>
              </w:rPr>
            </w:pPr>
            <w:r>
              <w:rPr>
                <w:spacing w:val="-4"/>
                <w:sz w:val="16"/>
              </w:rPr>
              <w:t>0.11</w:t>
            </w:r>
          </w:p>
        </w:tc>
      </w:tr>
      <w:tr>
        <w:trPr>
          <w:trHeight w:val="235" w:hRule="atLeast"/>
        </w:trPr>
        <w:tc>
          <w:tcPr>
            <w:tcW w:w="2625" w:type="dxa"/>
          </w:tcPr>
          <w:p>
            <w:pPr>
              <w:pStyle w:val="TableParagraph"/>
              <w:spacing w:before="28"/>
              <w:ind w:left="52"/>
              <w:rPr>
                <w:sz w:val="16"/>
              </w:rPr>
            </w:pPr>
            <w:r>
              <w:rPr>
                <w:sz w:val="16"/>
              </w:rPr>
              <w:t>Luxembourg</w:t>
            </w:r>
            <w:r>
              <w:rPr>
                <w:spacing w:val="-7"/>
                <w:sz w:val="16"/>
              </w:rPr>
              <w:t> </w:t>
            </w:r>
            <w:r>
              <w:rPr>
                <w:spacing w:val="-10"/>
                <w:sz w:val="16"/>
                <w:vertAlign w:val="superscript"/>
              </w:rPr>
              <w:t>c</w:t>
            </w:r>
          </w:p>
        </w:tc>
        <w:tc>
          <w:tcPr>
            <w:tcW w:w="816" w:type="dxa"/>
          </w:tcPr>
          <w:p>
            <w:pPr>
              <w:pStyle w:val="TableParagraph"/>
              <w:spacing w:before="28"/>
              <w:ind w:right="71"/>
              <w:jc w:val="right"/>
              <w:rPr>
                <w:sz w:val="16"/>
              </w:rPr>
            </w:pPr>
            <w:r>
              <w:rPr>
                <w:spacing w:val="-2"/>
                <w:sz w:val="16"/>
              </w:rPr>
              <w:t>2,806</w:t>
            </w:r>
          </w:p>
        </w:tc>
        <w:tc>
          <w:tcPr>
            <w:tcW w:w="973" w:type="dxa"/>
          </w:tcPr>
          <w:p>
            <w:pPr>
              <w:pStyle w:val="TableParagraph"/>
              <w:spacing w:before="28"/>
              <w:ind w:right="39"/>
              <w:jc w:val="right"/>
              <w:rPr>
                <w:sz w:val="16"/>
              </w:rPr>
            </w:pPr>
            <w:r>
              <w:rPr>
                <w:spacing w:val="-4"/>
                <w:sz w:val="16"/>
              </w:rPr>
              <w:t>0.11</w:t>
            </w:r>
          </w:p>
        </w:tc>
        <w:tc>
          <w:tcPr>
            <w:tcW w:w="1026" w:type="dxa"/>
            <w:gridSpan w:val="2"/>
          </w:tcPr>
          <w:p>
            <w:pPr>
              <w:pStyle w:val="TableParagraph"/>
              <w:spacing w:before="28"/>
              <w:ind w:left="533"/>
              <w:rPr>
                <w:sz w:val="16"/>
              </w:rPr>
            </w:pPr>
            <w:r>
              <w:rPr>
                <w:spacing w:val="-2"/>
                <w:sz w:val="16"/>
              </w:rPr>
              <w:t>338.5</w:t>
            </w:r>
          </w:p>
        </w:tc>
        <w:tc>
          <w:tcPr>
            <w:tcW w:w="819" w:type="dxa"/>
            <w:gridSpan w:val="2"/>
          </w:tcPr>
          <w:p>
            <w:pPr>
              <w:pStyle w:val="TableParagraph"/>
              <w:spacing w:before="28"/>
              <w:ind w:left="450"/>
              <w:rPr>
                <w:sz w:val="16"/>
              </w:rPr>
            </w:pPr>
            <w:r>
              <w:rPr>
                <w:spacing w:val="-4"/>
                <w:sz w:val="16"/>
              </w:rPr>
              <w:t>22.1</w:t>
            </w:r>
          </w:p>
        </w:tc>
        <w:tc>
          <w:tcPr>
            <w:tcW w:w="980" w:type="dxa"/>
            <w:gridSpan w:val="2"/>
          </w:tcPr>
          <w:p>
            <w:pPr>
              <w:pStyle w:val="TableParagraph"/>
              <w:spacing w:before="28"/>
              <w:ind w:left="518"/>
              <w:rPr>
                <w:sz w:val="16"/>
              </w:rPr>
            </w:pPr>
            <w:r>
              <w:rPr>
                <w:spacing w:val="-2"/>
                <w:sz w:val="16"/>
              </w:rPr>
              <w:t>316.4</w:t>
            </w:r>
          </w:p>
        </w:tc>
        <w:tc>
          <w:tcPr>
            <w:tcW w:w="1174" w:type="dxa"/>
            <w:gridSpan w:val="2"/>
          </w:tcPr>
          <w:p>
            <w:pPr>
              <w:pStyle w:val="TableParagraph"/>
              <w:spacing w:before="28"/>
              <w:ind w:left="723"/>
              <w:rPr>
                <w:sz w:val="16"/>
              </w:rPr>
            </w:pPr>
            <w:r>
              <w:rPr>
                <w:spacing w:val="-2"/>
                <w:sz w:val="16"/>
              </w:rPr>
              <w:t>3,625</w:t>
            </w:r>
          </w:p>
        </w:tc>
        <w:tc>
          <w:tcPr>
            <w:tcW w:w="1103" w:type="dxa"/>
          </w:tcPr>
          <w:p>
            <w:pPr>
              <w:pStyle w:val="TableParagraph"/>
              <w:spacing w:before="28"/>
              <w:ind w:left="583"/>
              <w:rPr>
                <w:sz w:val="16"/>
              </w:rPr>
            </w:pPr>
            <w:r>
              <w:rPr>
                <w:spacing w:val="-4"/>
                <w:sz w:val="16"/>
              </w:rPr>
              <w:t>0.13</w:t>
            </w:r>
          </w:p>
        </w:tc>
      </w:tr>
      <w:tr>
        <w:trPr>
          <w:trHeight w:val="213" w:hRule="atLeast"/>
        </w:trPr>
        <w:tc>
          <w:tcPr>
            <w:tcW w:w="2625" w:type="dxa"/>
            <w:tcBorders>
              <w:bottom w:val="single" w:sz="8" w:space="0" w:color="000000"/>
            </w:tcBorders>
          </w:tcPr>
          <w:p>
            <w:pPr>
              <w:pStyle w:val="TableParagraph"/>
              <w:spacing w:line="176" w:lineRule="exact" w:before="18"/>
              <w:ind w:left="52"/>
              <w:rPr>
                <w:sz w:val="16"/>
              </w:rPr>
            </w:pPr>
            <w:r>
              <w:rPr>
                <w:spacing w:val="-2"/>
                <w:sz w:val="16"/>
              </w:rPr>
              <w:t>Madagascar</w:t>
            </w:r>
          </w:p>
        </w:tc>
        <w:tc>
          <w:tcPr>
            <w:tcW w:w="816" w:type="dxa"/>
            <w:tcBorders>
              <w:bottom w:val="single" w:sz="8" w:space="0" w:color="000000"/>
            </w:tcBorders>
          </w:tcPr>
          <w:p>
            <w:pPr>
              <w:pStyle w:val="TableParagraph"/>
              <w:spacing w:line="176" w:lineRule="exact" w:before="18"/>
              <w:ind w:right="71"/>
              <w:jc w:val="right"/>
              <w:rPr>
                <w:sz w:val="16"/>
              </w:rPr>
            </w:pPr>
            <w:r>
              <w:rPr>
                <w:spacing w:val="-2"/>
                <w:sz w:val="16"/>
              </w:rPr>
              <w:t>2,393</w:t>
            </w:r>
          </w:p>
        </w:tc>
        <w:tc>
          <w:tcPr>
            <w:tcW w:w="973" w:type="dxa"/>
            <w:tcBorders>
              <w:bottom w:val="single" w:sz="8" w:space="0" w:color="000000"/>
            </w:tcBorders>
          </w:tcPr>
          <w:p>
            <w:pPr>
              <w:pStyle w:val="TableParagraph"/>
              <w:spacing w:line="176" w:lineRule="exact" w:before="18"/>
              <w:ind w:right="39"/>
              <w:jc w:val="right"/>
              <w:rPr>
                <w:sz w:val="16"/>
              </w:rPr>
            </w:pPr>
            <w:r>
              <w:rPr>
                <w:spacing w:val="-4"/>
                <w:sz w:val="16"/>
              </w:rPr>
              <w:t>0.09</w:t>
            </w:r>
          </w:p>
        </w:tc>
        <w:tc>
          <w:tcPr>
            <w:tcW w:w="1026" w:type="dxa"/>
            <w:gridSpan w:val="2"/>
            <w:tcBorders>
              <w:bottom w:val="single" w:sz="8" w:space="0" w:color="000000"/>
            </w:tcBorders>
          </w:tcPr>
          <w:p>
            <w:pPr>
              <w:pStyle w:val="TableParagraph"/>
              <w:spacing w:line="176" w:lineRule="exact" w:before="18"/>
              <w:ind w:left="533"/>
              <w:rPr>
                <w:sz w:val="16"/>
              </w:rPr>
            </w:pPr>
            <w:r>
              <w:rPr>
                <w:spacing w:val="-2"/>
                <w:sz w:val="16"/>
              </w:rPr>
              <w:t>288.7</w:t>
            </w:r>
          </w:p>
        </w:tc>
        <w:tc>
          <w:tcPr>
            <w:tcW w:w="819" w:type="dxa"/>
            <w:gridSpan w:val="2"/>
            <w:tcBorders>
              <w:bottom w:val="single" w:sz="8" w:space="0" w:color="000000"/>
            </w:tcBorders>
          </w:tcPr>
          <w:p>
            <w:pPr>
              <w:pStyle w:val="TableParagraph"/>
              <w:spacing w:line="176" w:lineRule="exact" w:before="18"/>
              <w:ind w:left="450"/>
              <w:rPr>
                <w:sz w:val="16"/>
              </w:rPr>
            </w:pPr>
            <w:r>
              <w:rPr>
                <w:spacing w:val="-4"/>
                <w:sz w:val="16"/>
              </w:rPr>
              <w:t>16.3</w:t>
            </w:r>
          </w:p>
        </w:tc>
        <w:tc>
          <w:tcPr>
            <w:tcW w:w="980" w:type="dxa"/>
            <w:gridSpan w:val="2"/>
            <w:tcBorders>
              <w:bottom w:val="single" w:sz="8" w:space="0" w:color="000000"/>
            </w:tcBorders>
          </w:tcPr>
          <w:p>
            <w:pPr>
              <w:pStyle w:val="TableParagraph"/>
              <w:spacing w:line="176" w:lineRule="exact" w:before="18"/>
              <w:ind w:left="518"/>
              <w:rPr>
                <w:sz w:val="16"/>
              </w:rPr>
            </w:pPr>
            <w:r>
              <w:rPr>
                <w:spacing w:val="-2"/>
                <w:sz w:val="16"/>
              </w:rPr>
              <w:t>272.4</w:t>
            </w:r>
          </w:p>
        </w:tc>
        <w:tc>
          <w:tcPr>
            <w:tcW w:w="1174" w:type="dxa"/>
            <w:gridSpan w:val="2"/>
            <w:tcBorders>
              <w:bottom w:val="single" w:sz="8" w:space="0" w:color="000000"/>
            </w:tcBorders>
          </w:tcPr>
          <w:p>
            <w:pPr>
              <w:pStyle w:val="TableParagraph"/>
              <w:spacing w:line="176" w:lineRule="exact" w:before="18"/>
              <w:ind w:left="723"/>
              <w:rPr>
                <w:sz w:val="16"/>
              </w:rPr>
            </w:pPr>
            <w:r>
              <w:rPr>
                <w:spacing w:val="-2"/>
                <w:sz w:val="16"/>
              </w:rPr>
              <w:t>3,212</w:t>
            </w:r>
          </w:p>
        </w:tc>
        <w:tc>
          <w:tcPr>
            <w:tcW w:w="1103" w:type="dxa"/>
            <w:tcBorders>
              <w:bottom w:val="single" w:sz="8" w:space="0" w:color="000000"/>
            </w:tcBorders>
          </w:tcPr>
          <w:p>
            <w:pPr>
              <w:pStyle w:val="TableParagraph"/>
              <w:spacing w:line="176" w:lineRule="exact" w:before="18"/>
              <w:ind w:left="583"/>
              <w:rPr>
                <w:sz w:val="16"/>
              </w:rPr>
            </w:pPr>
            <w:r>
              <w:rPr>
                <w:spacing w:val="-4"/>
                <w:sz w:val="16"/>
              </w:rPr>
              <w:t>0.12</w:t>
            </w:r>
          </w:p>
        </w:tc>
      </w:tr>
    </w:tbl>
    <w:p>
      <w:pPr>
        <w:pStyle w:val="TableParagraph"/>
        <w:spacing w:after="0" w:line="176" w:lineRule="exact"/>
        <w:rPr>
          <w:sz w:val="16"/>
        </w:rPr>
        <w:sectPr>
          <w:type w:val="continuous"/>
          <w:pgSz w:w="12240" w:h="15840"/>
          <w:pgMar w:header="1030" w:footer="528" w:top="2360" w:bottom="720" w:left="720" w:right="720"/>
        </w:sectPr>
      </w:pPr>
    </w:p>
    <w:p>
      <w:pPr>
        <w:pStyle w:val="BodyText"/>
        <w:spacing w:before="6"/>
        <w:rPr>
          <w:rFonts w:ascii="Arial"/>
          <w:b/>
          <w:i/>
          <w:sz w:val="4"/>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0"/>
        <w:gridCol w:w="868"/>
        <w:gridCol w:w="958"/>
        <w:gridCol w:w="433"/>
        <w:gridCol w:w="610"/>
        <w:gridCol w:w="291"/>
        <w:gridCol w:w="540"/>
        <w:gridCol w:w="160"/>
        <w:gridCol w:w="855"/>
        <w:gridCol w:w="151"/>
        <w:gridCol w:w="1008"/>
        <w:gridCol w:w="1094"/>
      </w:tblGrid>
      <w:tr>
        <w:trPr>
          <w:trHeight w:val="220" w:hRule="atLeast"/>
        </w:trPr>
        <w:tc>
          <w:tcPr>
            <w:tcW w:w="2460" w:type="dxa"/>
            <w:tcBorders>
              <w:top w:val="single" w:sz="8" w:space="0" w:color="000000"/>
            </w:tcBorders>
          </w:tcPr>
          <w:p>
            <w:pPr>
              <w:pStyle w:val="TableParagraph"/>
              <w:rPr>
                <w:rFonts w:ascii="Times New Roman"/>
                <w:sz w:val="14"/>
              </w:rPr>
            </w:pPr>
          </w:p>
        </w:tc>
        <w:tc>
          <w:tcPr>
            <w:tcW w:w="868" w:type="dxa"/>
            <w:tcBorders>
              <w:top w:val="single" w:sz="8" w:space="0" w:color="000000"/>
              <w:bottom w:val="single" w:sz="8" w:space="0" w:color="000000"/>
            </w:tcBorders>
          </w:tcPr>
          <w:p>
            <w:pPr>
              <w:pStyle w:val="TableParagraph"/>
              <w:rPr>
                <w:rFonts w:ascii="Times New Roman"/>
                <w:sz w:val="14"/>
              </w:rPr>
            </w:pPr>
          </w:p>
        </w:tc>
        <w:tc>
          <w:tcPr>
            <w:tcW w:w="958" w:type="dxa"/>
            <w:tcBorders>
              <w:top w:val="single" w:sz="8" w:space="0" w:color="000000"/>
              <w:bottom w:val="single" w:sz="8" w:space="0" w:color="000000"/>
            </w:tcBorders>
          </w:tcPr>
          <w:p>
            <w:pPr>
              <w:pStyle w:val="TableParagraph"/>
              <w:rPr>
                <w:rFonts w:ascii="Times New Roman"/>
                <w:sz w:val="14"/>
              </w:rPr>
            </w:pPr>
          </w:p>
        </w:tc>
        <w:tc>
          <w:tcPr>
            <w:tcW w:w="1043" w:type="dxa"/>
            <w:gridSpan w:val="2"/>
            <w:tcBorders>
              <w:top w:val="single" w:sz="8" w:space="0" w:color="000000"/>
              <w:bottom w:val="single" w:sz="8" w:space="0" w:color="000000"/>
            </w:tcBorders>
          </w:tcPr>
          <w:p>
            <w:pPr>
              <w:pStyle w:val="TableParagraph"/>
              <w:spacing w:line="183" w:lineRule="exact" w:before="16"/>
              <w:ind w:left="49"/>
              <w:rPr>
                <w:rFonts w:ascii="Arial"/>
                <w:i/>
                <w:sz w:val="16"/>
              </w:rPr>
            </w:pPr>
            <w:r>
              <w:rPr>
                <w:rFonts w:ascii="Arial"/>
                <w:i/>
                <w:spacing w:val="-2"/>
                <w:sz w:val="16"/>
              </w:rPr>
              <w:t>Subscriptions</w:t>
            </w:r>
          </w:p>
        </w:tc>
        <w:tc>
          <w:tcPr>
            <w:tcW w:w="831" w:type="dxa"/>
            <w:gridSpan w:val="2"/>
            <w:tcBorders>
              <w:top w:val="single" w:sz="8" w:space="0" w:color="000000"/>
              <w:bottom w:val="single" w:sz="8" w:space="0" w:color="000000"/>
            </w:tcBorders>
          </w:tcPr>
          <w:p>
            <w:pPr>
              <w:pStyle w:val="TableParagraph"/>
              <w:rPr>
                <w:rFonts w:ascii="Times New Roman"/>
                <w:sz w:val="14"/>
              </w:rPr>
            </w:pPr>
          </w:p>
        </w:tc>
        <w:tc>
          <w:tcPr>
            <w:tcW w:w="1015" w:type="dxa"/>
            <w:gridSpan w:val="2"/>
            <w:tcBorders>
              <w:top w:val="single" w:sz="8" w:space="0" w:color="000000"/>
              <w:bottom w:val="single" w:sz="8" w:space="0" w:color="000000"/>
            </w:tcBorders>
          </w:tcPr>
          <w:p>
            <w:pPr>
              <w:pStyle w:val="TableParagraph"/>
              <w:rPr>
                <w:rFonts w:ascii="Times New Roman"/>
                <w:sz w:val="14"/>
              </w:rPr>
            </w:pPr>
          </w:p>
        </w:tc>
        <w:tc>
          <w:tcPr>
            <w:tcW w:w="2253" w:type="dxa"/>
            <w:gridSpan w:val="3"/>
            <w:tcBorders>
              <w:top w:val="single" w:sz="8" w:space="0" w:color="000000"/>
              <w:bottom w:val="single" w:sz="8" w:space="0" w:color="000000"/>
            </w:tcBorders>
          </w:tcPr>
          <w:p>
            <w:pPr>
              <w:pStyle w:val="TableParagraph"/>
              <w:spacing w:line="183" w:lineRule="exact" w:before="16"/>
              <w:ind w:left="637"/>
              <w:rPr>
                <w:rFonts w:ascii="Arial"/>
                <w:i/>
                <w:sz w:val="16"/>
              </w:rPr>
            </w:pPr>
            <w:r>
              <w:rPr>
                <w:rFonts w:ascii="Arial"/>
                <w:i/>
                <w:sz w:val="16"/>
              </w:rPr>
              <w:t>Voting</w:t>
            </w:r>
            <w:r>
              <w:rPr>
                <w:rFonts w:ascii="Arial"/>
                <w:i/>
                <w:spacing w:val="-4"/>
                <w:sz w:val="16"/>
              </w:rPr>
              <w:t> </w:t>
            </w:r>
            <w:r>
              <w:rPr>
                <w:rFonts w:ascii="Arial"/>
                <w:i/>
                <w:spacing w:val="-2"/>
                <w:sz w:val="16"/>
              </w:rPr>
              <w:t>Power</w:t>
            </w:r>
          </w:p>
        </w:tc>
      </w:tr>
      <w:tr>
        <w:trPr>
          <w:trHeight w:val="170" w:hRule="atLeast"/>
        </w:trPr>
        <w:tc>
          <w:tcPr>
            <w:tcW w:w="2460" w:type="dxa"/>
          </w:tcPr>
          <w:p>
            <w:pPr>
              <w:pStyle w:val="TableParagraph"/>
              <w:rPr>
                <w:rFonts w:ascii="Times New Roman"/>
                <w:sz w:val="10"/>
              </w:rPr>
            </w:pPr>
          </w:p>
        </w:tc>
        <w:tc>
          <w:tcPr>
            <w:tcW w:w="868" w:type="dxa"/>
            <w:tcBorders>
              <w:top w:val="single" w:sz="8" w:space="0" w:color="000000"/>
            </w:tcBorders>
          </w:tcPr>
          <w:p>
            <w:pPr>
              <w:pStyle w:val="TableParagraph"/>
              <w:rPr>
                <w:rFonts w:ascii="Times New Roman"/>
                <w:sz w:val="10"/>
              </w:rPr>
            </w:pPr>
          </w:p>
        </w:tc>
        <w:tc>
          <w:tcPr>
            <w:tcW w:w="958" w:type="dxa"/>
            <w:tcBorders>
              <w:top w:val="single" w:sz="8" w:space="0" w:color="000000"/>
            </w:tcBorders>
          </w:tcPr>
          <w:p>
            <w:pPr>
              <w:pStyle w:val="TableParagraph"/>
              <w:rPr>
                <w:rFonts w:ascii="Times New Roman"/>
                <w:sz w:val="10"/>
              </w:rPr>
            </w:pPr>
          </w:p>
        </w:tc>
        <w:tc>
          <w:tcPr>
            <w:tcW w:w="1043" w:type="dxa"/>
            <w:gridSpan w:val="2"/>
            <w:tcBorders>
              <w:top w:val="single" w:sz="8" w:space="0" w:color="000000"/>
            </w:tcBorders>
          </w:tcPr>
          <w:p>
            <w:pPr>
              <w:pStyle w:val="TableParagraph"/>
              <w:rPr>
                <w:rFonts w:ascii="Times New Roman"/>
                <w:sz w:val="10"/>
              </w:rPr>
            </w:pPr>
          </w:p>
        </w:tc>
        <w:tc>
          <w:tcPr>
            <w:tcW w:w="831" w:type="dxa"/>
            <w:gridSpan w:val="2"/>
            <w:tcBorders>
              <w:top w:val="single" w:sz="8" w:space="0" w:color="000000"/>
            </w:tcBorders>
          </w:tcPr>
          <w:p>
            <w:pPr>
              <w:pStyle w:val="TableParagraph"/>
              <w:rPr>
                <w:rFonts w:ascii="Times New Roman"/>
                <w:sz w:val="10"/>
              </w:rPr>
            </w:pPr>
          </w:p>
        </w:tc>
        <w:tc>
          <w:tcPr>
            <w:tcW w:w="1166" w:type="dxa"/>
            <w:gridSpan w:val="3"/>
            <w:tcBorders>
              <w:top w:val="single" w:sz="8" w:space="0" w:color="000000"/>
            </w:tcBorders>
          </w:tcPr>
          <w:p>
            <w:pPr>
              <w:pStyle w:val="TableParagraph"/>
              <w:spacing w:line="139" w:lineRule="exact" w:before="11"/>
              <w:ind w:left="192"/>
              <w:rPr>
                <w:rFonts w:ascii="Arial"/>
                <w:i/>
                <w:sz w:val="16"/>
              </w:rPr>
            </w:pPr>
            <w:r>
              <w:rPr>
                <w:rFonts w:ascii="Arial"/>
                <w:i/>
                <w:spacing w:val="-2"/>
                <w:sz w:val="16"/>
              </w:rPr>
              <w:t>Amounts</w:t>
            </w:r>
          </w:p>
        </w:tc>
        <w:tc>
          <w:tcPr>
            <w:tcW w:w="1008" w:type="dxa"/>
            <w:tcBorders>
              <w:top w:val="single" w:sz="8" w:space="0" w:color="000000"/>
            </w:tcBorders>
          </w:tcPr>
          <w:p>
            <w:pPr>
              <w:pStyle w:val="TableParagraph"/>
              <w:rPr>
                <w:rFonts w:ascii="Times New Roman"/>
                <w:sz w:val="10"/>
              </w:rPr>
            </w:pPr>
          </w:p>
        </w:tc>
        <w:tc>
          <w:tcPr>
            <w:tcW w:w="1094" w:type="dxa"/>
            <w:tcBorders>
              <w:top w:val="single" w:sz="8" w:space="0" w:color="000000"/>
            </w:tcBorders>
          </w:tcPr>
          <w:p>
            <w:pPr>
              <w:pStyle w:val="TableParagraph"/>
              <w:rPr>
                <w:rFonts w:ascii="Times New Roman"/>
                <w:sz w:val="10"/>
              </w:rPr>
            </w:pPr>
          </w:p>
        </w:tc>
      </w:tr>
      <w:tr>
        <w:trPr>
          <w:trHeight w:val="165" w:hRule="atLeast"/>
        </w:trPr>
        <w:tc>
          <w:tcPr>
            <w:tcW w:w="2460" w:type="dxa"/>
          </w:tcPr>
          <w:p>
            <w:pPr>
              <w:pStyle w:val="TableParagraph"/>
              <w:rPr>
                <w:rFonts w:ascii="Times New Roman"/>
                <w:sz w:val="10"/>
              </w:rPr>
            </w:pPr>
          </w:p>
        </w:tc>
        <w:tc>
          <w:tcPr>
            <w:tcW w:w="868" w:type="dxa"/>
          </w:tcPr>
          <w:p>
            <w:pPr>
              <w:pStyle w:val="TableParagraph"/>
              <w:spacing w:line="145" w:lineRule="exact"/>
              <w:ind w:right="65"/>
              <w:jc w:val="right"/>
              <w:rPr>
                <w:rFonts w:ascii="Arial"/>
                <w:i/>
                <w:sz w:val="16"/>
              </w:rPr>
            </w:pPr>
            <w:r>
              <w:rPr>
                <w:rFonts w:ascii="Arial"/>
                <w:i/>
                <w:sz w:val="16"/>
              </w:rPr>
              <w:t>Number</w:t>
            </w:r>
            <w:r>
              <w:rPr>
                <w:rFonts w:ascii="Arial"/>
                <w:i/>
                <w:spacing w:val="-4"/>
                <w:sz w:val="16"/>
              </w:rPr>
              <w:t> </w:t>
            </w:r>
            <w:r>
              <w:rPr>
                <w:rFonts w:ascii="Arial"/>
                <w:i/>
                <w:spacing w:val="-5"/>
                <w:sz w:val="16"/>
              </w:rPr>
              <w:t>of</w:t>
            </w:r>
          </w:p>
        </w:tc>
        <w:tc>
          <w:tcPr>
            <w:tcW w:w="958" w:type="dxa"/>
          </w:tcPr>
          <w:p>
            <w:pPr>
              <w:pStyle w:val="TableParagraph"/>
              <w:spacing w:line="145" w:lineRule="exact"/>
              <w:ind w:right="72"/>
              <w:jc w:val="right"/>
              <w:rPr>
                <w:rFonts w:ascii="Arial"/>
                <w:i/>
                <w:sz w:val="16"/>
              </w:rPr>
            </w:pPr>
            <w:r>
              <w:rPr>
                <w:rFonts w:ascii="Arial"/>
                <w:i/>
                <w:spacing w:val="-2"/>
                <w:sz w:val="16"/>
              </w:rPr>
              <w:t>Percentage</w:t>
            </w:r>
          </w:p>
        </w:tc>
        <w:tc>
          <w:tcPr>
            <w:tcW w:w="1043" w:type="dxa"/>
            <w:gridSpan w:val="2"/>
          </w:tcPr>
          <w:p>
            <w:pPr>
              <w:pStyle w:val="TableParagraph"/>
              <w:spacing w:line="144" w:lineRule="exact" w:before="1"/>
              <w:ind w:left="418"/>
              <w:rPr>
                <w:rFonts w:ascii="Arial"/>
                <w:i/>
                <w:sz w:val="16"/>
              </w:rPr>
            </w:pPr>
            <w:r>
              <w:rPr>
                <w:rFonts w:ascii="Arial"/>
                <w:i/>
                <w:spacing w:val="-2"/>
                <w:sz w:val="16"/>
              </w:rPr>
              <w:t>Total</w:t>
            </w:r>
          </w:p>
        </w:tc>
        <w:tc>
          <w:tcPr>
            <w:tcW w:w="831" w:type="dxa"/>
            <w:gridSpan w:val="2"/>
          </w:tcPr>
          <w:p>
            <w:pPr>
              <w:pStyle w:val="TableParagraph"/>
              <w:spacing w:line="144" w:lineRule="exact" w:before="1"/>
              <w:ind w:left="93"/>
              <w:rPr>
                <w:rFonts w:ascii="Arial"/>
                <w:i/>
                <w:sz w:val="16"/>
              </w:rPr>
            </w:pPr>
            <w:r>
              <w:rPr>
                <w:rFonts w:ascii="Arial"/>
                <w:i/>
                <w:spacing w:val="-2"/>
                <w:sz w:val="16"/>
              </w:rPr>
              <w:t>Amounts</w:t>
            </w:r>
          </w:p>
        </w:tc>
        <w:tc>
          <w:tcPr>
            <w:tcW w:w="1015" w:type="dxa"/>
            <w:gridSpan w:val="2"/>
          </w:tcPr>
          <w:p>
            <w:pPr>
              <w:pStyle w:val="TableParagraph"/>
              <w:spacing w:line="144" w:lineRule="exact" w:before="1"/>
              <w:ind w:left="165"/>
              <w:rPr>
                <w:rFonts w:ascii="Arial"/>
                <w:i/>
                <w:sz w:val="16"/>
              </w:rPr>
            </w:pPr>
            <w:r>
              <w:rPr>
                <w:rFonts w:ascii="Arial"/>
                <w:i/>
                <w:sz w:val="16"/>
              </w:rPr>
              <w:t>subject</w:t>
            </w:r>
            <w:r>
              <w:rPr>
                <w:rFonts w:ascii="Arial"/>
                <w:i/>
                <w:spacing w:val="-4"/>
                <w:sz w:val="16"/>
              </w:rPr>
              <w:t> </w:t>
            </w:r>
            <w:r>
              <w:rPr>
                <w:rFonts w:ascii="Arial"/>
                <w:i/>
                <w:spacing w:val="-5"/>
                <w:sz w:val="16"/>
              </w:rPr>
              <w:t>to</w:t>
            </w:r>
          </w:p>
        </w:tc>
        <w:tc>
          <w:tcPr>
            <w:tcW w:w="1159" w:type="dxa"/>
            <w:gridSpan w:val="2"/>
          </w:tcPr>
          <w:p>
            <w:pPr>
              <w:pStyle w:val="TableParagraph"/>
              <w:spacing w:line="145" w:lineRule="exact"/>
              <w:ind w:left="274"/>
              <w:rPr>
                <w:rFonts w:ascii="Arial"/>
                <w:i/>
                <w:sz w:val="16"/>
              </w:rPr>
            </w:pPr>
            <w:r>
              <w:rPr>
                <w:rFonts w:ascii="Arial"/>
                <w:i/>
                <w:sz w:val="16"/>
              </w:rPr>
              <w:t>Number</w:t>
            </w:r>
            <w:r>
              <w:rPr>
                <w:rFonts w:ascii="Arial"/>
                <w:i/>
                <w:spacing w:val="-4"/>
                <w:sz w:val="16"/>
              </w:rPr>
              <w:t> </w:t>
            </w:r>
            <w:r>
              <w:rPr>
                <w:rFonts w:ascii="Arial"/>
                <w:i/>
                <w:spacing w:val="-5"/>
                <w:sz w:val="16"/>
              </w:rPr>
              <w:t>of</w:t>
            </w:r>
          </w:p>
        </w:tc>
        <w:tc>
          <w:tcPr>
            <w:tcW w:w="1094" w:type="dxa"/>
          </w:tcPr>
          <w:p>
            <w:pPr>
              <w:pStyle w:val="TableParagraph"/>
              <w:spacing w:line="145" w:lineRule="exact"/>
              <w:ind w:left="47"/>
              <w:rPr>
                <w:rFonts w:ascii="Arial"/>
                <w:i/>
                <w:sz w:val="16"/>
              </w:rPr>
            </w:pPr>
            <w:r>
              <w:rPr>
                <w:rFonts w:ascii="Arial"/>
                <w:i/>
                <w:spacing w:val="-2"/>
                <w:sz w:val="16"/>
              </w:rPr>
              <w:t>Percentage</w:t>
            </w:r>
          </w:p>
        </w:tc>
      </w:tr>
      <w:tr>
        <w:trPr>
          <w:trHeight w:val="199" w:hRule="atLeast"/>
        </w:trPr>
        <w:tc>
          <w:tcPr>
            <w:tcW w:w="2460" w:type="dxa"/>
            <w:tcBorders>
              <w:bottom w:val="single" w:sz="8" w:space="0" w:color="000000"/>
            </w:tcBorders>
          </w:tcPr>
          <w:p>
            <w:pPr>
              <w:pStyle w:val="TableParagraph"/>
              <w:spacing w:line="180" w:lineRule="exact"/>
              <w:ind w:left="52"/>
              <w:rPr>
                <w:rFonts w:ascii="Arial"/>
                <w:i/>
                <w:sz w:val="16"/>
              </w:rPr>
            </w:pPr>
            <w:r>
              <w:rPr>
                <w:rFonts w:ascii="Arial"/>
                <w:i/>
                <w:spacing w:val="-2"/>
                <w:sz w:val="16"/>
              </w:rPr>
              <w:t>Member</w:t>
            </w:r>
          </w:p>
        </w:tc>
        <w:tc>
          <w:tcPr>
            <w:tcW w:w="868" w:type="dxa"/>
            <w:tcBorders>
              <w:bottom w:val="single" w:sz="8" w:space="0" w:color="000000"/>
            </w:tcBorders>
          </w:tcPr>
          <w:p>
            <w:pPr>
              <w:pStyle w:val="TableParagraph"/>
              <w:spacing w:line="180" w:lineRule="exact"/>
              <w:ind w:left="187"/>
              <w:rPr>
                <w:rFonts w:ascii="Arial"/>
                <w:i/>
                <w:sz w:val="16"/>
              </w:rPr>
            </w:pPr>
            <w:r>
              <w:rPr>
                <w:rFonts w:ascii="Arial"/>
                <w:i/>
                <w:spacing w:val="-2"/>
                <w:sz w:val="16"/>
              </w:rPr>
              <w:t>shares</w:t>
            </w:r>
          </w:p>
        </w:tc>
        <w:tc>
          <w:tcPr>
            <w:tcW w:w="958" w:type="dxa"/>
            <w:tcBorders>
              <w:bottom w:val="single" w:sz="8" w:space="0" w:color="000000"/>
            </w:tcBorders>
          </w:tcPr>
          <w:p>
            <w:pPr>
              <w:pStyle w:val="TableParagraph"/>
              <w:spacing w:line="180" w:lineRule="exact"/>
              <w:ind w:left="183"/>
              <w:rPr>
                <w:rFonts w:ascii="Arial"/>
                <w:i/>
                <w:sz w:val="16"/>
              </w:rPr>
            </w:pPr>
            <w:r>
              <w:rPr>
                <w:rFonts w:ascii="Arial"/>
                <w:i/>
                <w:sz w:val="16"/>
              </w:rPr>
              <w:t>of</w:t>
            </w:r>
            <w:r>
              <w:rPr>
                <w:rFonts w:ascii="Arial"/>
                <w:i/>
                <w:spacing w:val="-2"/>
                <w:sz w:val="16"/>
              </w:rPr>
              <w:t> </w:t>
            </w:r>
            <w:r>
              <w:rPr>
                <w:rFonts w:ascii="Arial"/>
                <w:i/>
                <w:sz w:val="16"/>
              </w:rPr>
              <w:t>total</w:t>
            </w:r>
            <w:r>
              <w:rPr>
                <w:rFonts w:ascii="Arial"/>
                <w:i/>
                <w:spacing w:val="-2"/>
                <w:sz w:val="16"/>
              </w:rPr>
              <w:t> </w:t>
            </w:r>
            <w:r>
              <w:rPr>
                <w:rFonts w:ascii="Arial"/>
                <w:i/>
                <w:spacing w:val="-10"/>
                <w:sz w:val="16"/>
                <w:vertAlign w:val="superscript"/>
              </w:rPr>
              <w:t>b</w:t>
            </w:r>
          </w:p>
        </w:tc>
        <w:tc>
          <w:tcPr>
            <w:tcW w:w="1043" w:type="dxa"/>
            <w:gridSpan w:val="2"/>
            <w:tcBorders>
              <w:bottom w:val="single" w:sz="8" w:space="0" w:color="000000"/>
            </w:tcBorders>
          </w:tcPr>
          <w:p>
            <w:pPr>
              <w:pStyle w:val="TableParagraph"/>
              <w:spacing w:line="180" w:lineRule="exact"/>
              <w:ind w:left="238"/>
              <w:rPr>
                <w:rFonts w:ascii="Arial"/>
                <w:i/>
                <w:sz w:val="16"/>
              </w:rPr>
            </w:pPr>
            <w:r>
              <w:rPr>
                <w:rFonts w:ascii="Arial"/>
                <w:i/>
                <w:sz w:val="16"/>
              </w:rPr>
              <w:t>amounts</w:t>
            </w:r>
            <w:r>
              <w:rPr>
                <w:rFonts w:ascii="Arial"/>
                <w:i/>
                <w:spacing w:val="-5"/>
                <w:sz w:val="16"/>
              </w:rPr>
              <w:t> </w:t>
            </w:r>
            <w:r>
              <w:rPr>
                <w:rFonts w:ascii="Arial"/>
                <w:i/>
                <w:spacing w:val="-10"/>
                <w:sz w:val="16"/>
                <w:vertAlign w:val="superscript"/>
              </w:rPr>
              <w:t>b</w:t>
            </w:r>
          </w:p>
        </w:tc>
        <w:tc>
          <w:tcPr>
            <w:tcW w:w="831" w:type="dxa"/>
            <w:gridSpan w:val="2"/>
            <w:tcBorders>
              <w:bottom w:val="single" w:sz="8" w:space="0" w:color="000000"/>
            </w:tcBorders>
          </w:tcPr>
          <w:p>
            <w:pPr>
              <w:pStyle w:val="TableParagraph"/>
              <w:spacing w:line="180" w:lineRule="exact"/>
              <w:ind w:left="78"/>
              <w:rPr>
                <w:rFonts w:ascii="Arial"/>
                <w:i/>
                <w:sz w:val="16"/>
              </w:rPr>
            </w:pPr>
            <w:r>
              <w:rPr>
                <w:rFonts w:ascii="Arial"/>
                <w:i/>
                <w:sz w:val="16"/>
              </w:rPr>
              <w:t>paid</w:t>
            </w:r>
            <w:r>
              <w:rPr>
                <w:rFonts w:ascii="Arial"/>
                <w:i/>
                <w:spacing w:val="-5"/>
                <w:sz w:val="16"/>
              </w:rPr>
              <w:t> </w:t>
            </w:r>
            <w:r>
              <w:rPr>
                <w:rFonts w:ascii="Arial"/>
                <w:i/>
                <w:sz w:val="16"/>
              </w:rPr>
              <w:t>in</w:t>
            </w:r>
            <w:r>
              <w:rPr>
                <w:rFonts w:ascii="Arial"/>
                <w:i/>
                <w:spacing w:val="-3"/>
                <w:sz w:val="16"/>
              </w:rPr>
              <w:t> </w:t>
            </w:r>
            <w:r>
              <w:rPr>
                <w:rFonts w:ascii="Arial"/>
                <w:i/>
                <w:spacing w:val="-5"/>
                <w:sz w:val="16"/>
                <w:vertAlign w:val="superscript"/>
              </w:rPr>
              <w:t>a,b</w:t>
            </w:r>
          </w:p>
        </w:tc>
        <w:tc>
          <w:tcPr>
            <w:tcW w:w="1015" w:type="dxa"/>
            <w:gridSpan w:val="2"/>
            <w:tcBorders>
              <w:bottom w:val="single" w:sz="8" w:space="0" w:color="000000"/>
            </w:tcBorders>
          </w:tcPr>
          <w:p>
            <w:pPr>
              <w:pStyle w:val="TableParagraph"/>
              <w:spacing w:line="180" w:lineRule="exact"/>
              <w:ind w:left="278"/>
              <w:rPr>
                <w:rFonts w:ascii="Arial"/>
                <w:i/>
                <w:sz w:val="16"/>
              </w:rPr>
            </w:pPr>
            <w:r>
              <w:rPr>
                <w:rFonts w:ascii="Arial"/>
                <w:i/>
                <w:sz w:val="16"/>
              </w:rPr>
              <w:t>call</w:t>
            </w:r>
            <w:r>
              <w:rPr>
                <w:rFonts w:ascii="Arial"/>
                <w:i/>
                <w:spacing w:val="1"/>
                <w:sz w:val="16"/>
              </w:rPr>
              <w:t> </w:t>
            </w:r>
            <w:r>
              <w:rPr>
                <w:rFonts w:ascii="Arial"/>
                <w:i/>
                <w:sz w:val="16"/>
                <w:vertAlign w:val="superscript"/>
              </w:rPr>
              <w:t>a,</w:t>
            </w:r>
            <w:r>
              <w:rPr>
                <w:rFonts w:ascii="Arial"/>
                <w:i/>
                <w:spacing w:val="-15"/>
                <w:sz w:val="16"/>
                <w:vertAlign w:val="baseline"/>
              </w:rPr>
              <w:t> </w:t>
            </w:r>
            <w:r>
              <w:rPr>
                <w:rFonts w:ascii="Arial"/>
                <w:i/>
                <w:spacing w:val="-10"/>
                <w:sz w:val="16"/>
                <w:vertAlign w:val="superscript"/>
              </w:rPr>
              <w:t>b</w:t>
            </w:r>
          </w:p>
        </w:tc>
        <w:tc>
          <w:tcPr>
            <w:tcW w:w="1159" w:type="dxa"/>
            <w:gridSpan w:val="2"/>
            <w:tcBorders>
              <w:bottom w:val="single" w:sz="8" w:space="0" w:color="000000"/>
            </w:tcBorders>
          </w:tcPr>
          <w:p>
            <w:pPr>
              <w:pStyle w:val="TableParagraph"/>
              <w:spacing w:line="180" w:lineRule="exact"/>
              <w:ind w:left="456"/>
              <w:rPr>
                <w:rFonts w:ascii="Arial"/>
                <w:i/>
                <w:sz w:val="16"/>
              </w:rPr>
            </w:pPr>
            <w:r>
              <w:rPr>
                <w:rFonts w:ascii="Arial"/>
                <w:i/>
                <w:spacing w:val="-2"/>
                <w:sz w:val="16"/>
              </w:rPr>
              <w:t>votes</w:t>
            </w:r>
          </w:p>
        </w:tc>
        <w:tc>
          <w:tcPr>
            <w:tcW w:w="1094" w:type="dxa"/>
            <w:tcBorders>
              <w:bottom w:val="single" w:sz="8" w:space="0" w:color="000000"/>
            </w:tcBorders>
          </w:tcPr>
          <w:p>
            <w:pPr>
              <w:pStyle w:val="TableParagraph"/>
              <w:spacing w:line="180" w:lineRule="exact"/>
              <w:ind w:left="165"/>
              <w:rPr>
                <w:rFonts w:ascii="Arial"/>
                <w:i/>
                <w:sz w:val="16"/>
              </w:rPr>
            </w:pPr>
            <w:r>
              <w:rPr>
                <w:rFonts w:ascii="Arial"/>
                <w:i/>
                <w:sz w:val="16"/>
              </w:rPr>
              <w:t>of</w:t>
            </w:r>
            <w:r>
              <w:rPr>
                <w:rFonts w:ascii="Arial"/>
                <w:i/>
                <w:spacing w:val="-2"/>
                <w:sz w:val="16"/>
              </w:rPr>
              <w:t> </w:t>
            </w:r>
            <w:r>
              <w:rPr>
                <w:rFonts w:ascii="Arial"/>
                <w:i/>
                <w:sz w:val="16"/>
              </w:rPr>
              <w:t>total</w:t>
            </w:r>
            <w:r>
              <w:rPr>
                <w:rFonts w:ascii="Arial"/>
                <w:i/>
                <w:spacing w:val="-2"/>
                <w:sz w:val="16"/>
              </w:rPr>
              <w:t> </w:t>
            </w:r>
            <w:r>
              <w:rPr>
                <w:rFonts w:ascii="Arial"/>
                <w:i/>
                <w:spacing w:val="-10"/>
                <w:sz w:val="16"/>
                <w:vertAlign w:val="superscript"/>
              </w:rPr>
              <w:t>b</w:t>
            </w:r>
          </w:p>
        </w:tc>
      </w:tr>
      <w:tr>
        <w:trPr>
          <w:trHeight w:val="212" w:hRule="atLeast"/>
        </w:trPr>
        <w:tc>
          <w:tcPr>
            <w:tcW w:w="2460" w:type="dxa"/>
            <w:tcBorders>
              <w:top w:val="single" w:sz="8" w:space="0" w:color="000000"/>
            </w:tcBorders>
            <w:shd w:val="clear" w:color="auto" w:fill="D8D8D8"/>
          </w:tcPr>
          <w:p>
            <w:pPr>
              <w:pStyle w:val="TableParagraph"/>
              <w:spacing w:before="1"/>
              <w:ind w:left="52"/>
              <w:rPr>
                <w:sz w:val="16"/>
              </w:rPr>
            </w:pPr>
            <w:r>
              <w:rPr>
                <w:spacing w:val="-2"/>
                <w:sz w:val="16"/>
              </w:rPr>
              <w:t>Malawi</w:t>
            </w:r>
          </w:p>
        </w:tc>
        <w:tc>
          <w:tcPr>
            <w:tcW w:w="868" w:type="dxa"/>
            <w:tcBorders>
              <w:top w:val="single" w:sz="8" w:space="0" w:color="000000"/>
            </w:tcBorders>
            <w:shd w:val="clear" w:color="auto" w:fill="D8D8D8"/>
          </w:tcPr>
          <w:p>
            <w:pPr>
              <w:pStyle w:val="TableParagraph"/>
              <w:spacing w:line="183" w:lineRule="exact" w:before="9"/>
              <w:ind w:right="63"/>
              <w:jc w:val="right"/>
              <w:rPr>
                <w:sz w:val="16"/>
              </w:rPr>
            </w:pPr>
            <w:r>
              <w:rPr>
                <w:spacing w:val="-2"/>
                <w:sz w:val="16"/>
              </w:rPr>
              <w:t>1,722</w:t>
            </w:r>
          </w:p>
        </w:tc>
        <w:tc>
          <w:tcPr>
            <w:tcW w:w="1391" w:type="dxa"/>
            <w:gridSpan w:val="2"/>
            <w:tcBorders>
              <w:top w:val="single" w:sz="8" w:space="0" w:color="000000"/>
            </w:tcBorders>
            <w:shd w:val="clear" w:color="auto" w:fill="D8D8D8"/>
          </w:tcPr>
          <w:p>
            <w:pPr>
              <w:pStyle w:val="TableParagraph"/>
              <w:spacing w:line="183" w:lineRule="exact" w:before="9"/>
              <w:ind w:left="598"/>
              <w:rPr>
                <w:sz w:val="16"/>
              </w:rPr>
            </w:pPr>
            <w:r>
              <w:rPr>
                <w:sz w:val="16"/>
              </w:rPr>
              <w:t>0.07</w:t>
            </w:r>
            <w:r>
              <w:rPr>
                <w:spacing w:val="18"/>
                <w:sz w:val="16"/>
              </w:rPr>
              <w:t> </w:t>
            </w:r>
            <w:r>
              <w:rPr>
                <w:sz w:val="16"/>
              </w:rPr>
              <w:t>%</w:t>
            </w:r>
            <w:r>
              <w:rPr>
                <w:spacing w:val="18"/>
                <w:sz w:val="16"/>
              </w:rPr>
              <w:t> </w:t>
            </w:r>
            <w:r>
              <w:rPr>
                <w:spacing w:val="-10"/>
                <w:sz w:val="16"/>
              </w:rPr>
              <w:t>$</w:t>
            </w:r>
          </w:p>
        </w:tc>
        <w:tc>
          <w:tcPr>
            <w:tcW w:w="610" w:type="dxa"/>
            <w:tcBorders>
              <w:top w:val="single" w:sz="8" w:space="0" w:color="000000"/>
            </w:tcBorders>
            <w:shd w:val="clear" w:color="auto" w:fill="D8D8D8"/>
          </w:tcPr>
          <w:p>
            <w:pPr>
              <w:pStyle w:val="TableParagraph"/>
              <w:spacing w:line="183" w:lineRule="exact" w:before="9"/>
              <w:ind w:left="123"/>
              <w:rPr>
                <w:sz w:val="16"/>
              </w:rPr>
            </w:pPr>
            <w:r>
              <w:rPr>
                <w:spacing w:val="-2"/>
                <w:sz w:val="16"/>
              </w:rPr>
              <w:t>207.7</w:t>
            </w:r>
          </w:p>
        </w:tc>
        <w:tc>
          <w:tcPr>
            <w:tcW w:w="291" w:type="dxa"/>
            <w:tcBorders>
              <w:top w:val="single" w:sz="8" w:space="0" w:color="000000"/>
            </w:tcBorders>
            <w:shd w:val="clear" w:color="auto" w:fill="D8D8D8"/>
          </w:tcPr>
          <w:p>
            <w:pPr>
              <w:pStyle w:val="TableParagraph"/>
              <w:spacing w:line="183" w:lineRule="exact" w:before="9"/>
              <w:ind w:left="33"/>
              <w:rPr>
                <w:sz w:val="16"/>
              </w:rPr>
            </w:pPr>
            <w:r>
              <w:rPr>
                <w:spacing w:val="-10"/>
                <w:sz w:val="16"/>
              </w:rPr>
              <w:t>$</w:t>
            </w:r>
          </w:p>
        </w:tc>
        <w:tc>
          <w:tcPr>
            <w:tcW w:w="540" w:type="dxa"/>
            <w:tcBorders>
              <w:top w:val="single" w:sz="8" w:space="0" w:color="000000"/>
            </w:tcBorders>
            <w:shd w:val="clear" w:color="auto" w:fill="D8D8D8"/>
          </w:tcPr>
          <w:p>
            <w:pPr>
              <w:pStyle w:val="TableParagraph"/>
              <w:spacing w:line="183" w:lineRule="exact" w:before="9"/>
              <w:ind w:left="165"/>
              <w:rPr>
                <w:sz w:val="16"/>
              </w:rPr>
            </w:pPr>
            <w:r>
              <w:rPr>
                <w:spacing w:val="-4"/>
                <w:sz w:val="16"/>
              </w:rPr>
              <w:t>10.2</w:t>
            </w:r>
          </w:p>
        </w:tc>
        <w:tc>
          <w:tcPr>
            <w:tcW w:w="160" w:type="dxa"/>
            <w:tcBorders>
              <w:top w:val="single" w:sz="8" w:space="0" w:color="000000"/>
            </w:tcBorders>
            <w:shd w:val="clear" w:color="auto" w:fill="D8D8D8"/>
          </w:tcPr>
          <w:p>
            <w:pPr>
              <w:pStyle w:val="TableParagraph"/>
              <w:spacing w:line="183" w:lineRule="exact" w:before="9"/>
              <w:ind w:left="57"/>
              <w:rPr>
                <w:sz w:val="16"/>
              </w:rPr>
            </w:pPr>
            <w:r>
              <w:rPr>
                <w:spacing w:val="-10"/>
                <w:sz w:val="16"/>
              </w:rPr>
              <w:t>$</w:t>
            </w:r>
          </w:p>
        </w:tc>
        <w:tc>
          <w:tcPr>
            <w:tcW w:w="855" w:type="dxa"/>
            <w:tcBorders>
              <w:top w:val="single" w:sz="8" w:space="0" w:color="000000"/>
            </w:tcBorders>
            <w:shd w:val="clear" w:color="auto" w:fill="D8D8D8"/>
          </w:tcPr>
          <w:p>
            <w:pPr>
              <w:pStyle w:val="TableParagraph"/>
              <w:spacing w:line="183" w:lineRule="exact" w:before="9"/>
              <w:ind w:left="382"/>
              <w:rPr>
                <w:sz w:val="16"/>
              </w:rPr>
            </w:pPr>
            <w:r>
              <w:rPr>
                <w:spacing w:val="-2"/>
                <w:sz w:val="16"/>
              </w:rPr>
              <w:t>197.5</w:t>
            </w:r>
          </w:p>
        </w:tc>
        <w:tc>
          <w:tcPr>
            <w:tcW w:w="1159" w:type="dxa"/>
            <w:gridSpan w:val="2"/>
            <w:tcBorders>
              <w:top w:val="single" w:sz="8" w:space="0" w:color="000000"/>
            </w:tcBorders>
            <w:shd w:val="clear" w:color="auto" w:fill="D8D8D8"/>
          </w:tcPr>
          <w:p>
            <w:pPr>
              <w:pStyle w:val="TableParagraph"/>
              <w:spacing w:line="183" w:lineRule="exact" w:before="9"/>
              <w:ind w:left="697"/>
              <w:rPr>
                <w:sz w:val="16"/>
              </w:rPr>
            </w:pPr>
            <w:r>
              <w:rPr>
                <w:spacing w:val="-2"/>
                <w:sz w:val="16"/>
              </w:rPr>
              <w:t>2,541</w:t>
            </w:r>
          </w:p>
        </w:tc>
        <w:tc>
          <w:tcPr>
            <w:tcW w:w="1094" w:type="dxa"/>
            <w:tcBorders>
              <w:top w:val="single" w:sz="8" w:space="0" w:color="000000"/>
            </w:tcBorders>
            <w:shd w:val="clear" w:color="auto" w:fill="D8D8D8"/>
          </w:tcPr>
          <w:p>
            <w:pPr>
              <w:pStyle w:val="TableParagraph"/>
              <w:spacing w:line="183" w:lineRule="exact" w:before="9"/>
              <w:ind w:left="557"/>
              <w:rPr>
                <w:sz w:val="16"/>
              </w:rPr>
            </w:pPr>
            <w:r>
              <w:rPr>
                <w:sz w:val="16"/>
              </w:rPr>
              <w:t>0.09</w:t>
            </w:r>
            <w:r>
              <w:rPr>
                <w:spacing w:val="17"/>
                <w:sz w:val="16"/>
              </w:rPr>
              <w:t> </w:t>
            </w:r>
            <w:r>
              <w:rPr>
                <w:spacing w:val="-10"/>
                <w:sz w:val="16"/>
              </w:rPr>
              <w:t>%</w:t>
            </w:r>
          </w:p>
        </w:tc>
      </w:tr>
      <w:tr>
        <w:trPr>
          <w:trHeight w:val="225" w:hRule="atLeast"/>
        </w:trPr>
        <w:tc>
          <w:tcPr>
            <w:tcW w:w="2460" w:type="dxa"/>
            <w:shd w:val="clear" w:color="auto" w:fill="D8D8D8"/>
          </w:tcPr>
          <w:p>
            <w:pPr>
              <w:pStyle w:val="TableParagraph"/>
              <w:spacing w:before="14"/>
              <w:ind w:left="52"/>
              <w:rPr>
                <w:sz w:val="16"/>
              </w:rPr>
            </w:pPr>
            <w:r>
              <w:rPr>
                <w:spacing w:val="-2"/>
                <w:sz w:val="16"/>
              </w:rPr>
              <w:t>Malaysia</w:t>
            </w:r>
          </w:p>
        </w:tc>
        <w:tc>
          <w:tcPr>
            <w:tcW w:w="868" w:type="dxa"/>
            <w:shd w:val="clear" w:color="auto" w:fill="D8D8D8"/>
          </w:tcPr>
          <w:p>
            <w:pPr>
              <w:pStyle w:val="TableParagraph"/>
              <w:spacing w:line="183" w:lineRule="exact" w:before="21"/>
              <w:ind w:right="63"/>
              <w:jc w:val="right"/>
              <w:rPr>
                <w:sz w:val="16"/>
              </w:rPr>
            </w:pPr>
            <w:r>
              <w:rPr>
                <w:spacing w:val="-2"/>
                <w:sz w:val="16"/>
              </w:rPr>
              <w:t>10,447</w:t>
            </w:r>
          </w:p>
        </w:tc>
        <w:tc>
          <w:tcPr>
            <w:tcW w:w="958" w:type="dxa"/>
            <w:shd w:val="clear" w:color="auto" w:fill="D8D8D8"/>
          </w:tcPr>
          <w:p>
            <w:pPr>
              <w:pStyle w:val="TableParagraph"/>
              <w:spacing w:line="183" w:lineRule="exact" w:before="21"/>
              <w:ind w:right="46"/>
              <w:jc w:val="right"/>
              <w:rPr>
                <w:sz w:val="16"/>
              </w:rPr>
            </w:pPr>
            <w:r>
              <w:rPr>
                <w:spacing w:val="-4"/>
                <w:sz w:val="16"/>
              </w:rPr>
              <w:t>0.40</w:t>
            </w:r>
          </w:p>
        </w:tc>
        <w:tc>
          <w:tcPr>
            <w:tcW w:w="1043" w:type="dxa"/>
            <w:gridSpan w:val="2"/>
            <w:shd w:val="clear" w:color="auto" w:fill="D8D8D8"/>
          </w:tcPr>
          <w:p>
            <w:pPr>
              <w:pStyle w:val="TableParagraph"/>
              <w:spacing w:line="183" w:lineRule="exact" w:before="21"/>
              <w:ind w:left="422"/>
              <w:rPr>
                <w:sz w:val="16"/>
              </w:rPr>
            </w:pPr>
            <w:r>
              <w:rPr>
                <w:spacing w:val="-2"/>
                <w:sz w:val="16"/>
              </w:rPr>
              <w:t>1,260.3</w:t>
            </w:r>
          </w:p>
        </w:tc>
        <w:tc>
          <w:tcPr>
            <w:tcW w:w="831" w:type="dxa"/>
            <w:gridSpan w:val="2"/>
            <w:shd w:val="clear" w:color="auto" w:fill="D8D8D8"/>
          </w:tcPr>
          <w:p>
            <w:pPr>
              <w:pStyle w:val="TableParagraph"/>
              <w:spacing w:line="183" w:lineRule="exact" w:before="21"/>
              <w:ind w:left="456"/>
              <w:rPr>
                <w:sz w:val="16"/>
              </w:rPr>
            </w:pPr>
            <w:r>
              <w:rPr>
                <w:spacing w:val="-4"/>
                <w:sz w:val="16"/>
              </w:rPr>
              <w:t>75.4</w:t>
            </w:r>
          </w:p>
        </w:tc>
        <w:tc>
          <w:tcPr>
            <w:tcW w:w="1015" w:type="dxa"/>
            <w:gridSpan w:val="2"/>
            <w:shd w:val="clear" w:color="auto" w:fill="D8D8D8"/>
          </w:tcPr>
          <w:p>
            <w:pPr>
              <w:pStyle w:val="TableParagraph"/>
              <w:spacing w:line="183" w:lineRule="exact" w:before="21"/>
              <w:ind w:left="408"/>
              <w:rPr>
                <w:sz w:val="16"/>
              </w:rPr>
            </w:pPr>
            <w:r>
              <w:rPr>
                <w:spacing w:val="-2"/>
                <w:sz w:val="16"/>
              </w:rPr>
              <w:t>1,184.8</w:t>
            </w:r>
          </w:p>
        </w:tc>
        <w:tc>
          <w:tcPr>
            <w:tcW w:w="1159" w:type="dxa"/>
            <w:gridSpan w:val="2"/>
            <w:shd w:val="clear" w:color="auto" w:fill="D8D8D8"/>
          </w:tcPr>
          <w:p>
            <w:pPr>
              <w:pStyle w:val="TableParagraph"/>
              <w:spacing w:line="183" w:lineRule="exact" w:before="21"/>
              <w:ind w:left="620"/>
              <w:rPr>
                <w:sz w:val="16"/>
              </w:rPr>
            </w:pPr>
            <w:r>
              <w:rPr>
                <w:spacing w:val="-2"/>
                <w:sz w:val="16"/>
              </w:rPr>
              <w:t>11,266</w:t>
            </w:r>
          </w:p>
        </w:tc>
        <w:tc>
          <w:tcPr>
            <w:tcW w:w="1094" w:type="dxa"/>
            <w:shd w:val="clear" w:color="auto" w:fill="D8D8D8"/>
          </w:tcPr>
          <w:p>
            <w:pPr>
              <w:pStyle w:val="TableParagraph"/>
              <w:spacing w:line="183" w:lineRule="exact" w:before="21"/>
              <w:ind w:left="557"/>
              <w:rPr>
                <w:sz w:val="16"/>
              </w:rPr>
            </w:pPr>
            <w:r>
              <w:rPr>
                <w:spacing w:val="-4"/>
                <w:sz w:val="16"/>
              </w:rPr>
              <w:t>0.40</w:t>
            </w:r>
          </w:p>
        </w:tc>
      </w:tr>
      <w:tr>
        <w:trPr>
          <w:trHeight w:val="225" w:hRule="atLeast"/>
        </w:trPr>
        <w:tc>
          <w:tcPr>
            <w:tcW w:w="2460" w:type="dxa"/>
            <w:shd w:val="clear" w:color="auto" w:fill="D8D8D8"/>
          </w:tcPr>
          <w:p>
            <w:pPr>
              <w:pStyle w:val="TableParagraph"/>
              <w:spacing w:before="14"/>
              <w:ind w:left="52"/>
              <w:rPr>
                <w:sz w:val="16"/>
              </w:rPr>
            </w:pPr>
            <w:r>
              <w:rPr>
                <w:spacing w:val="-2"/>
                <w:sz w:val="16"/>
              </w:rPr>
              <w:t>Maldives</w:t>
            </w:r>
          </w:p>
        </w:tc>
        <w:tc>
          <w:tcPr>
            <w:tcW w:w="868" w:type="dxa"/>
            <w:shd w:val="clear" w:color="auto" w:fill="D8D8D8"/>
          </w:tcPr>
          <w:p>
            <w:pPr>
              <w:pStyle w:val="TableParagraph"/>
              <w:spacing w:line="183" w:lineRule="exact" w:before="21"/>
              <w:ind w:right="63"/>
              <w:jc w:val="right"/>
              <w:rPr>
                <w:sz w:val="16"/>
              </w:rPr>
            </w:pPr>
            <w:r>
              <w:rPr>
                <w:spacing w:val="-5"/>
                <w:sz w:val="16"/>
              </w:rPr>
              <w:t>497</w:t>
            </w:r>
          </w:p>
        </w:tc>
        <w:tc>
          <w:tcPr>
            <w:tcW w:w="958" w:type="dxa"/>
            <w:shd w:val="clear" w:color="auto" w:fill="D8D8D8"/>
          </w:tcPr>
          <w:p>
            <w:pPr>
              <w:pStyle w:val="TableParagraph"/>
              <w:spacing w:line="183" w:lineRule="exact" w:before="21"/>
              <w:ind w:right="46"/>
              <w:jc w:val="right"/>
              <w:rPr>
                <w:sz w:val="16"/>
              </w:rPr>
            </w:pPr>
            <w:r>
              <w:rPr>
                <w:spacing w:val="-4"/>
                <w:sz w:val="16"/>
              </w:rPr>
              <w:t>0.02</w:t>
            </w:r>
          </w:p>
        </w:tc>
        <w:tc>
          <w:tcPr>
            <w:tcW w:w="1043" w:type="dxa"/>
            <w:gridSpan w:val="2"/>
            <w:shd w:val="clear" w:color="auto" w:fill="D8D8D8"/>
          </w:tcPr>
          <w:p>
            <w:pPr>
              <w:pStyle w:val="TableParagraph"/>
              <w:spacing w:line="183" w:lineRule="exact" w:before="21"/>
              <w:ind w:left="644"/>
              <w:rPr>
                <w:sz w:val="16"/>
              </w:rPr>
            </w:pPr>
            <w:r>
              <w:rPr>
                <w:spacing w:val="-4"/>
                <w:sz w:val="16"/>
              </w:rPr>
              <w:t>60.0</w:t>
            </w:r>
          </w:p>
        </w:tc>
        <w:tc>
          <w:tcPr>
            <w:tcW w:w="831" w:type="dxa"/>
            <w:gridSpan w:val="2"/>
            <w:shd w:val="clear" w:color="auto" w:fill="D8D8D8"/>
          </w:tcPr>
          <w:p>
            <w:pPr>
              <w:pStyle w:val="TableParagraph"/>
              <w:spacing w:line="183" w:lineRule="exact" w:before="21"/>
              <w:ind w:left="545"/>
              <w:rPr>
                <w:sz w:val="16"/>
              </w:rPr>
            </w:pPr>
            <w:r>
              <w:rPr>
                <w:spacing w:val="-5"/>
                <w:sz w:val="16"/>
              </w:rPr>
              <w:t>1.5</w:t>
            </w:r>
          </w:p>
        </w:tc>
        <w:tc>
          <w:tcPr>
            <w:tcW w:w="1015" w:type="dxa"/>
            <w:gridSpan w:val="2"/>
            <w:shd w:val="clear" w:color="auto" w:fill="D8D8D8"/>
          </w:tcPr>
          <w:p>
            <w:pPr>
              <w:pStyle w:val="TableParagraph"/>
              <w:spacing w:line="183" w:lineRule="exact" w:before="21"/>
              <w:ind w:left="630"/>
              <w:rPr>
                <w:sz w:val="16"/>
              </w:rPr>
            </w:pPr>
            <w:r>
              <w:rPr>
                <w:spacing w:val="-4"/>
                <w:sz w:val="16"/>
              </w:rPr>
              <w:t>58.5</w:t>
            </w:r>
          </w:p>
        </w:tc>
        <w:tc>
          <w:tcPr>
            <w:tcW w:w="1159" w:type="dxa"/>
            <w:gridSpan w:val="2"/>
            <w:shd w:val="clear" w:color="auto" w:fill="D8D8D8"/>
          </w:tcPr>
          <w:p>
            <w:pPr>
              <w:pStyle w:val="TableParagraph"/>
              <w:spacing w:line="183" w:lineRule="exact" w:before="21"/>
              <w:ind w:left="697"/>
              <w:rPr>
                <w:sz w:val="16"/>
              </w:rPr>
            </w:pPr>
            <w:r>
              <w:rPr>
                <w:spacing w:val="-2"/>
                <w:sz w:val="16"/>
              </w:rPr>
              <w:t>1,316</w:t>
            </w:r>
          </w:p>
        </w:tc>
        <w:tc>
          <w:tcPr>
            <w:tcW w:w="1094" w:type="dxa"/>
            <w:shd w:val="clear" w:color="auto" w:fill="D8D8D8"/>
          </w:tcPr>
          <w:p>
            <w:pPr>
              <w:pStyle w:val="TableParagraph"/>
              <w:spacing w:line="183" w:lineRule="exact" w:before="21"/>
              <w:ind w:left="557"/>
              <w:rPr>
                <w:sz w:val="16"/>
              </w:rPr>
            </w:pPr>
            <w:r>
              <w:rPr>
                <w:spacing w:val="-4"/>
                <w:sz w:val="16"/>
              </w:rPr>
              <w:t>0.05</w:t>
            </w:r>
          </w:p>
        </w:tc>
      </w:tr>
      <w:tr>
        <w:trPr>
          <w:trHeight w:val="225" w:hRule="atLeast"/>
        </w:trPr>
        <w:tc>
          <w:tcPr>
            <w:tcW w:w="2460" w:type="dxa"/>
            <w:shd w:val="clear" w:color="auto" w:fill="D8D8D8"/>
          </w:tcPr>
          <w:p>
            <w:pPr>
              <w:pStyle w:val="TableParagraph"/>
              <w:spacing w:before="14"/>
              <w:ind w:left="52"/>
              <w:rPr>
                <w:sz w:val="16"/>
              </w:rPr>
            </w:pPr>
            <w:r>
              <w:rPr>
                <w:spacing w:val="-4"/>
                <w:sz w:val="16"/>
              </w:rPr>
              <w:t>Mali</w:t>
            </w:r>
          </w:p>
        </w:tc>
        <w:tc>
          <w:tcPr>
            <w:tcW w:w="868" w:type="dxa"/>
            <w:shd w:val="clear" w:color="auto" w:fill="D8D8D8"/>
          </w:tcPr>
          <w:p>
            <w:pPr>
              <w:pStyle w:val="TableParagraph"/>
              <w:spacing w:line="183" w:lineRule="exact" w:before="21"/>
              <w:ind w:right="63"/>
              <w:jc w:val="right"/>
              <w:rPr>
                <w:sz w:val="16"/>
              </w:rPr>
            </w:pPr>
            <w:r>
              <w:rPr>
                <w:spacing w:val="-2"/>
                <w:sz w:val="16"/>
              </w:rPr>
              <w:t>2,035</w:t>
            </w:r>
          </w:p>
        </w:tc>
        <w:tc>
          <w:tcPr>
            <w:tcW w:w="958" w:type="dxa"/>
            <w:shd w:val="clear" w:color="auto" w:fill="D8D8D8"/>
          </w:tcPr>
          <w:p>
            <w:pPr>
              <w:pStyle w:val="TableParagraph"/>
              <w:spacing w:line="183" w:lineRule="exact" w:before="21"/>
              <w:ind w:right="46"/>
              <w:jc w:val="right"/>
              <w:rPr>
                <w:sz w:val="16"/>
              </w:rPr>
            </w:pPr>
            <w:r>
              <w:rPr>
                <w:spacing w:val="-4"/>
                <w:sz w:val="16"/>
              </w:rPr>
              <w:t>0.08</w:t>
            </w:r>
          </w:p>
        </w:tc>
        <w:tc>
          <w:tcPr>
            <w:tcW w:w="1043" w:type="dxa"/>
            <w:gridSpan w:val="2"/>
            <w:shd w:val="clear" w:color="auto" w:fill="D8D8D8"/>
          </w:tcPr>
          <w:p>
            <w:pPr>
              <w:pStyle w:val="TableParagraph"/>
              <w:spacing w:line="183" w:lineRule="exact" w:before="21"/>
              <w:ind w:left="556"/>
              <w:rPr>
                <w:sz w:val="16"/>
              </w:rPr>
            </w:pPr>
            <w:r>
              <w:rPr>
                <w:spacing w:val="-2"/>
                <w:sz w:val="16"/>
              </w:rPr>
              <w:t>245.5</w:t>
            </w:r>
          </w:p>
        </w:tc>
        <w:tc>
          <w:tcPr>
            <w:tcW w:w="831" w:type="dxa"/>
            <w:gridSpan w:val="2"/>
            <w:shd w:val="clear" w:color="auto" w:fill="D8D8D8"/>
          </w:tcPr>
          <w:p>
            <w:pPr>
              <w:pStyle w:val="TableParagraph"/>
              <w:spacing w:line="183" w:lineRule="exact" w:before="21"/>
              <w:ind w:left="456"/>
              <w:rPr>
                <w:sz w:val="16"/>
              </w:rPr>
            </w:pPr>
            <w:r>
              <w:rPr>
                <w:spacing w:val="-4"/>
                <w:sz w:val="16"/>
              </w:rPr>
              <w:t>14.1</w:t>
            </w:r>
          </w:p>
        </w:tc>
        <w:tc>
          <w:tcPr>
            <w:tcW w:w="1015" w:type="dxa"/>
            <w:gridSpan w:val="2"/>
            <w:shd w:val="clear" w:color="auto" w:fill="D8D8D8"/>
          </w:tcPr>
          <w:p>
            <w:pPr>
              <w:pStyle w:val="TableParagraph"/>
              <w:spacing w:line="183" w:lineRule="exact" w:before="21"/>
              <w:ind w:left="542"/>
              <w:rPr>
                <w:sz w:val="16"/>
              </w:rPr>
            </w:pPr>
            <w:r>
              <w:rPr>
                <w:spacing w:val="-2"/>
                <w:sz w:val="16"/>
              </w:rPr>
              <w:t>231.4</w:t>
            </w:r>
          </w:p>
        </w:tc>
        <w:tc>
          <w:tcPr>
            <w:tcW w:w="1159" w:type="dxa"/>
            <w:gridSpan w:val="2"/>
            <w:shd w:val="clear" w:color="auto" w:fill="D8D8D8"/>
          </w:tcPr>
          <w:p>
            <w:pPr>
              <w:pStyle w:val="TableParagraph"/>
              <w:spacing w:line="183" w:lineRule="exact" w:before="21"/>
              <w:ind w:left="697"/>
              <w:rPr>
                <w:sz w:val="16"/>
              </w:rPr>
            </w:pPr>
            <w:r>
              <w:rPr>
                <w:spacing w:val="-2"/>
                <w:sz w:val="16"/>
              </w:rPr>
              <w:t>2,854</w:t>
            </w:r>
          </w:p>
        </w:tc>
        <w:tc>
          <w:tcPr>
            <w:tcW w:w="1094" w:type="dxa"/>
            <w:shd w:val="clear" w:color="auto" w:fill="D8D8D8"/>
          </w:tcPr>
          <w:p>
            <w:pPr>
              <w:pStyle w:val="TableParagraph"/>
              <w:spacing w:line="183" w:lineRule="exact" w:before="21"/>
              <w:ind w:left="557"/>
              <w:rPr>
                <w:sz w:val="16"/>
              </w:rPr>
            </w:pPr>
            <w:r>
              <w:rPr>
                <w:spacing w:val="-4"/>
                <w:sz w:val="16"/>
              </w:rPr>
              <w:t>0.10</w:t>
            </w:r>
          </w:p>
        </w:tc>
      </w:tr>
      <w:tr>
        <w:trPr>
          <w:trHeight w:val="227" w:hRule="atLeast"/>
        </w:trPr>
        <w:tc>
          <w:tcPr>
            <w:tcW w:w="2460" w:type="dxa"/>
            <w:shd w:val="clear" w:color="auto" w:fill="D8D8D8"/>
          </w:tcPr>
          <w:p>
            <w:pPr>
              <w:pStyle w:val="TableParagraph"/>
              <w:spacing w:before="14"/>
              <w:ind w:left="52"/>
              <w:rPr>
                <w:sz w:val="16"/>
              </w:rPr>
            </w:pPr>
            <w:r>
              <w:rPr>
                <w:spacing w:val="-2"/>
                <w:sz w:val="16"/>
              </w:rPr>
              <w:t>Malta</w:t>
            </w:r>
          </w:p>
        </w:tc>
        <w:tc>
          <w:tcPr>
            <w:tcW w:w="868" w:type="dxa"/>
            <w:shd w:val="clear" w:color="auto" w:fill="D8D8D8"/>
          </w:tcPr>
          <w:p>
            <w:pPr>
              <w:pStyle w:val="TableParagraph"/>
              <w:spacing w:before="21"/>
              <w:ind w:right="63"/>
              <w:jc w:val="right"/>
              <w:rPr>
                <w:sz w:val="16"/>
              </w:rPr>
            </w:pPr>
            <w:r>
              <w:rPr>
                <w:spacing w:val="-2"/>
                <w:sz w:val="16"/>
              </w:rPr>
              <w:t>1,533</w:t>
            </w:r>
          </w:p>
        </w:tc>
        <w:tc>
          <w:tcPr>
            <w:tcW w:w="958" w:type="dxa"/>
            <w:shd w:val="clear" w:color="auto" w:fill="D8D8D8"/>
          </w:tcPr>
          <w:p>
            <w:pPr>
              <w:pStyle w:val="TableParagraph"/>
              <w:spacing w:before="21"/>
              <w:ind w:right="46"/>
              <w:jc w:val="right"/>
              <w:rPr>
                <w:sz w:val="16"/>
              </w:rPr>
            </w:pPr>
            <w:r>
              <w:rPr>
                <w:spacing w:val="-4"/>
                <w:sz w:val="16"/>
              </w:rPr>
              <w:t>0.06</w:t>
            </w:r>
          </w:p>
        </w:tc>
        <w:tc>
          <w:tcPr>
            <w:tcW w:w="1043" w:type="dxa"/>
            <w:gridSpan w:val="2"/>
            <w:shd w:val="clear" w:color="auto" w:fill="D8D8D8"/>
          </w:tcPr>
          <w:p>
            <w:pPr>
              <w:pStyle w:val="TableParagraph"/>
              <w:spacing w:before="21"/>
              <w:ind w:left="556"/>
              <w:rPr>
                <w:sz w:val="16"/>
              </w:rPr>
            </w:pPr>
            <w:r>
              <w:rPr>
                <w:spacing w:val="-2"/>
                <w:sz w:val="16"/>
              </w:rPr>
              <w:t>184.9</w:t>
            </w:r>
          </w:p>
        </w:tc>
        <w:tc>
          <w:tcPr>
            <w:tcW w:w="831" w:type="dxa"/>
            <w:gridSpan w:val="2"/>
            <w:shd w:val="clear" w:color="auto" w:fill="D8D8D8"/>
          </w:tcPr>
          <w:p>
            <w:pPr>
              <w:pStyle w:val="TableParagraph"/>
              <w:spacing w:before="21"/>
              <w:ind w:left="456"/>
              <w:rPr>
                <w:sz w:val="16"/>
              </w:rPr>
            </w:pPr>
            <w:r>
              <w:rPr>
                <w:spacing w:val="-4"/>
                <w:sz w:val="16"/>
              </w:rPr>
              <w:t>10.9</w:t>
            </w:r>
          </w:p>
        </w:tc>
        <w:tc>
          <w:tcPr>
            <w:tcW w:w="1015" w:type="dxa"/>
            <w:gridSpan w:val="2"/>
            <w:shd w:val="clear" w:color="auto" w:fill="D8D8D8"/>
          </w:tcPr>
          <w:p>
            <w:pPr>
              <w:pStyle w:val="TableParagraph"/>
              <w:spacing w:before="21"/>
              <w:ind w:left="542"/>
              <w:rPr>
                <w:sz w:val="16"/>
              </w:rPr>
            </w:pPr>
            <w:r>
              <w:rPr>
                <w:spacing w:val="-2"/>
                <w:sz w:val="16"/>
              </w:rPr>
              <w:t>174.0</w:t>
            </w:r>
          </w:p>
        </w:tc>
        <w:tc>
          <w:tcPr>
            <w:tcW w:w="1159" w:type="dxa"/>
            <w:gridSpan w:val="2"/>
            <w:shd w:val="clear" w:color="auto" w:fill="D8D8D8"/>
          </w:tcPr>
          <w:p>
            <w:pPr>
              <w:pStyle w:val="TableParagraph"/>
              <w:spacing w:before="21"/>
              <w:ind w:left="697"/>
              <w:rPr>
                <w:sz w:val="16"/>
              </w:rPr>
            </w:pPr>
            <w:r>
              <w:rPr>
                <w:spacing w:val="-2"/>
                <w:sz w:val="16"/>
              </w:rPr>
              <w:t>2,352</w:t>
            </w:r>
          </w:p>
        </w:tc>
        <w:tc>
          <w:tcPr>
            <w:tcW w:w="1094" w:type="dxa"/>
            <w:shd w:val="clear" w:color="auto" w:fill="D8D8D8"/>
          </w:tcPr>
          <w:p>
            <w:pPr>
              <w:pStyle w:val="TableParagraph"/>
              <w:spacing w:before="21"/>
              <w:ind w:left="557"/>
              <w:rPr>
                <w:sz w:val="16"/>
              </w:rPr>
            </w:pPr>
            <w:r>
              <w:rPr>
                <w:spacing w:val="-4"/>
                <w:sz w:val="16"/>
              </w:rPr>
              <w:t>0.08</w:t>
            </w:r>
          </w:p>
        </w:tc>
      </w:tr>
      <w:tr>
        <w:trPr>
          <w:trHeight w:val="222" w:hRule="atLeast"/>
        </w:trPr>
        <w:tc>
          <w:tcPr>
            <w:tcW w:w="2460" w:type="dxa"/>
          </w:tcPr>
          <w:p>
            <w:pPr>
              <w:pStyle w:val="TableParagraph"/>
              <w:spacing w:before="11"/>
              <w:ind w:left="52"/>
              <w:rPr>
                <w:sz w:val="16"/>
              </w:rPr>
            </w:pPr>
            <w:r>
              <w:rPr>
                <w:sz w:val="16"/>
              </w:rPr>
              <w:t>Marshall</w:t>
            </w:r>
            <w:r>
              <w:rPr>
                <w:spacing w:val="-4"/>
                <w:sz w:val="16"/>
              </w:rPr>
              <w:t> </w:t>
            </w:r>
            <w:r>
              <w:rPr>
                <w:spacing w:val="-2"/>
                <w:sz w:val="16"/>
              </w:rPr>
              <w:t>Islands</w:t>
            </w:r>
          </w:p>
        </w:tc>
        <w:tc>
          <w:tcPr>
            <w:tcW w:w="868" w:type="dxa"/>
          </w:tcPr>
          <w:p>
            <w:pPr>
              <w:pStyle w:val="TableParagraph"/>
              <w:spacing w:line="183" w:lineRule="exact" w:before="19"/>
              <w:ind w:right="63"/>
              <w:jc w:val="right"/>
              <w:rPr>
                <w:sz w:val="16"/>
              </w:rPr>
            </w:pPr>
            <w:r>
              <w:rPr>
                <w:spacing w:val="-5"/>
                <w:sz w:val="16"/>
              </w:rPr>
              <w:t>469</w:t>
            </w:r>
          </w:p>
        </w:tc>
        <w:tc>
          <w:tcPr>
            <w:tcW w:w="958" w:type="dxa"/>
          </w:tcPr>
          <w:p>
            <w:pPr>
              <w:pStyle w:val="TableParagraph"/>
              <w:spacing w:line="183" w:lineRule="exact" w:before="19"/>
              <w:ind w:right="46"/>
              <w:jc w:val="right"/>
              <w:rPr>
                <w:sz w:val="16"/>
              </w:rPr>
            </w:pPr>
            <w:r>
              <w:rPr>
                <w:spacing w:val="-4"/>
                <w:sz w:val="16"/>
              </w:rPr>
              <w:t>0.02</w:t>
            </w:r>
          </w:p>
        </w:tc>
        <w:tc>
          <w:tcPr>
            <w:tcW w:w="1043" w:type="dxa"/>
            <w:gridSpan w:val="2"/>
          </w:tcPr>
          <w:p>
            <w:pPr>
              <w:pStyle w:val="TableParagraph"/>
              <w:spacing w:line="183" w:lineRule="exact" w:before="19"/>
              <w:ind w:left="644"/>
              <w:rPr>
                <w:sz w:val="16"/>
              </w:rPr>
            </w:pPr>
            <w:r>
              <w:rPr>
                <w:spacing w:val="-4"/>
                <w:sz w:val="16"/>
              </w:rPr>
              <w:t>56.6</w:t>
            </w:r>
          </w:p>
        </w:tc>
        <w:tc>
          <w:tcPr>
            <w:tcW w:w="831" w:type="dxa"/>
            <w:gridSpan w:val="2"/>
          </w:tcPr>
          <w:p>
            <w:pPr>
              <w:pStyle w:val="TableParagraph"/>
              <w:spacing w:line="183" w:lineRule="exact" w:before="19"/>
              <w:ind w:left="545"/>
              <w:rPr>
                <w:sz w:val="16"/>
              </w:rPr>
            </w:pPr>
            <w:r>
              <w:rPr>
                <w:spacing w:val="-5"/>
                <w:sz w:val="16"/>
              </w:rPr>
              <w:t>0.9</w:t>
            </w:r>
          </w:p>
        </w:tc>
        <w:tc>
          <w:tcPr>
            <w:tcW w:w="1015" w:type="dxa"/>
            <w:gridSpan w:val="2"/>
          </w:tcPr>
          <w:p>
            <w:pPr>
              <w:pStyle w:val="TableParagraph"/>
              <w:spacing w:line="183" w:lineRule="exact" w:before="19"/>
              <w:ind w:left="630"/>
              <w:rPr>
                <w:sz w:val="16"/>
              </w:rPr>
            </w:pPr>
            <w:r>
              <w:rPr>
                <w:spacing w:val="-4"/>
                <w:sz w:val="16"/>
              </w:rPr>
              <w:t>55.7</w:t>
            </w:r>
          </w:p>
        </w:tc>
        <w:tc>
          <w:tcPr>
            <w:tcW w:w="1159" w:type="dxa"/>
            <w:gridSpan w:val="2"/>
          </w:tcPr>
          <w:p>
            <w:pPr>
              <w:pStyle w:val="TableParagraph"/>
              <w:spacing w:line="183" w:lineRule="exact" w:before="19"/>
              <w:ind w:left="697"/>
              <w:rPr>
                <w:sz w:val="16"/>
              </w:rPr>
            </w:pPr>
            <w:r>
              <w:rPr>
                <w:spacing w:val="-2"/>
                <w:sz w:val="16"/>
              </w:rPr>
              <w:t>1,288</w:t>
            </w:r>
          </w:p>
        </w:tc>
        <w:tc>
          <w:tcPr>
            <w:tcW w:w="1094" w:type="dxa"/>
          </w:tcPr>
          <w:p>
            <w:pPr>
              <w:pStyle w:val="TableParagraph"/>
              <w:spacing w:line="183" w:lineRule="exact" w:before="19"/>
              <w:ind w:left="557"/>
              <w:rPr>
                <w:sz w:val="16"/>
              </w:rPr>
            </w:pPr>
            <w:r>
              <w:rPr>
                <w:spacing w:val="-4"/>
                <w:sz w:val="16"/>
              </w:rPr>
              <w:t>0.05</w:t>
            </w:r>
          </w:p>
        </w:tc>
      </w:tr>
      <w:tr>
        <w:trPr>
          <w:trHeight w:val="225" w:hRule="atLeast"/>
        </w:trPr>
        <w:tc>
          <w:tcPr>
            <w:tcW w:w="2460" w:type="dxa"/>
          </w:tcPr>
          <w:p>
            <w:pPr>
              <w:pStyle w:val="TableParagraph"/>
              <w:spacing w:before="14"/>
              <w:ind w:left="52"/>
              <w:rPr>
                <w:sz w:val="16"/>
              </w:rPr>
            </w:pPr>
            <w:r>
              <w:rPr>
                <w:spacing w:val="-2"/>
                <w:sz w:val="16"/>
              </w:rPr>
              <w:t>Mauritania</w:t>
            </w:r>
          </w:p>
        </w:tc>
        <w:tc>
          <w:tcPr>
            <w:tcW w:w="868" w:type="dxa"/>
          </w:tcPr>
          <w:p>
            <w:pPr>
              <w:pStyle w:val="TableParagraph"/>
              <w:spacing w:line="183" w:lineRule="exact" w:before="21"/>
              <w:ind w:right="63"/>
              <w:jc w:val="right"/>
              <w:rPr>
                <w:sz w:val="16"/>
              </w:rPr>
            </w:pPr>
            <w:r>
              <w:rPr>
                <w:spacing w:val="-2"/>
                <w:sz w:val="16"/>
              </w:rPr>
              <w:t>1,308</w:t>
            </w:r>
          </w:p>
        </w:tc>
        <w:tc>
          <w:tcPr>
            <w:tcW w:w="958" w:type="dxa"/>
          </w:tcPr>
          <w:p>
            <w:pPr>
              <w:pStyle w:val="TableParagraph"/>
              <w:spacing w:line="183" w:lineRule="exact" w:before="21"/>
              <w:ind w:right="46"/>
              <w:jc w:val="right"/>
              <w:rPr>
                <w:sz w:val="16"/>
              </w:rPr>
            </w:pPr>
            <w:r>
              <w:rPr>
                <w:spacing w:val="-4"/>
                <w:sz w:val="16"/>
              </w:rPr>
              <w:t>0.05</w:t>
            </w:r>
          </w:p>
        </w:tc>
        <w:tc>
          <w:tcPr>
            <w:tcW w:w="1043" w:type="dxa"/>
            <w:gridSpan w:val="2"/>
          </w:tcPr>
          <w:p>
            <w:pPr>
              <w:pStyle w:val="TableParagraph"/>
              <w:spacing w:line="183" w:lineRule="exact" w:before="21"/>
              <w:ind w:left="556"/>
              <w:rPr>
                <w:sz w:val="16"/>
              </w:rPr>
            </w:pPr>
            <w:r>
              <w:rPr>
                <w:spacing w:val="-2"/>
                <w:sz w:val="16"/>
              </w:rPr>
              <w:t>157.8</w:t>
            </w:r>
          </w:p>
        </w:tc>
        <w:tc>
          <w:tcPr>
            <w:tcW w:w="831" w:type="dxa"/>
            <w:gridSpan w:val="2"/>
          </w:tcPr>
          <w:p>
            <w:pPr>
              <w:pStyle w:val="TableParagraph"/>
              <w:spacing w:line="183" w:lineRule="exact" w:before="21"/>
              <w:ind w:left="545"/>
              <w:rPr>
                <w:sz w:val="16"/>
              </w:rPr>
            </w:pPr>
            <w:r>
              <w:rPr>
                <w:spacing w:val="-5"/>
                <w:sz w:val="16"/>
              </w:rPr>
              <w:t>6.1</w:t>
            </w:r>
          </w:p>
        </w:tc>
        <w:tc>
          <w:tcPr>
            <w:tcW w:w="1015" w:type="dxa"/>
            <w:gridSpan w:val="2"/>
          </w:tcPr>
          <w:p>
            <w:pPr>
              <w:pStyle w:val="TableParagraph"/>
              <w:spacing w:line="183" w:lineRule="exact" w:before="21"/>
              <w:ind w:left="542"/>
              <w:rPr>
                <w:sz w:val="16"/>
              </w:rPr>
            </w:pPr>
            <w:r>
              <w:rPr>
                <w:spacing w:val="-2"/>
                <w:sz w:val="16"/>
              </w:rPr>
              <w:t>151.7</w:t>
            </w:r>
          </w:p>
        </w:tc>
        <w:tc>
          <w:tcPr>
            <w:tcW w:w="1159" w:type="dxa"/>
            <w:gridSpan w:val="2"/>
          </w:tcPr>
          <w:p>
            <w:pPr>
              <w:pStyle w:val="TableParagraph"/>
              <w:spacing w:line="183" w:lineRule="exact" w:before="21"/>
              <w:ind w:left="697"/>
              <w:rPr>
                <w:sz w:val="16"/>
              </w:rPr>
            </w:pPr>
            <w:r>
              <w:rPr>
                <w:spacing w:val="-2"/>
                <w:sz w:val="16"/>
              </w:rPr>
              <w:t>2,127</w:t>
            </w:r>
          </w:p>
        </w:tc>
        <w:tc>
          <w:tcPr>
            <w:tcW w:w="1094" w:type="dxa"/>
          </w:tcPr>
          <w:p>
            <w:pPr>
              <w:pStyle w:val="TableParagraph"/>
              <w:spacing w:line="183" w:lineRule="exact" w:before="21"/>
              <w:ind w:left="557"/>
              <w:rPr>
                <w:sz w:val="16"/>
              </w:rPr>
            </w:pPr>
            <w:r>
              <w:rPr>
                <w:spacing w:val="-4"/>
                <w:sz w:val="16"/>
              </w:rPr>
              <w:t>0.08</w:t>
            </w:r>
          </w:p>
        </w:tc>
      </w:tr>
      <w:tr>
        <w:trPr>
          <w:trHeight w:val="225" w:hRule="atLeast"/>
        </w:trPr>
        <w:tc>
          <w:tcPr>
            <w:tcW w:w="2460" w:type="dxa"/>
          </w:tcPr>
          <w:p>
            <w:pPr>
              <w:pStyle w:val="TableParagraph"/>
              <w:spacing w:before="14"/>
              <w:ind w:left="52"/>
              <w:rPr>
                <w:sz w:val="16"/>
              </w:rPr>
            </w:pPr>
            <w:r>
              <w:rPr>
                <w:spacing w:val="-2"/>
                <w:sz w:val="16"/>
              </w:rPr>
              <w:t>Mauritius</w:t>
            </w:r>
          </w:p>
        </w:tc>
        <w:tc>
          <w:tcPr>
            <w:tcW w:w="868" w:type="dxa"/>
          </w:tcPr>
          <w:p>
            <w:pPr>
              <w:pStyle w:val="TableParagraph"/>
              <w:spacing w:line="183" w:lineRule="exact" w:before="21"/>
              <w:ind w:right="63"/>
              <w:jc w:val="right"/>
              <w:rPr>
                <w:sz w:val="16"/>
              </w:rPr>
            </w:pPr>
            <w:r>
              <w:rPr>
                <w:spacing w:val="-2"/>
                <w:sz w:val="16"/>
              </w:rPr>
              <w:t>1,738</w:t>
            </w:r>
          </w:p>
        </w:tc>
        <w:tc>
          <w:tcPr>
            <w:tcW w:w="958" w:type="dxa"/>
          </w:tcPr>
          <w:p>
            <w:pPr>
              <w:pStyle w:val="TableParagraph"/>
              <w:spacing w:line="183" w:lineRule="exact" w:before="21"/>
              <w:ind w:right="46"/>
              <w:jc w:val="right"/>
              <w:rPr>
                <w:sz w:val="16"/>
              </w:rPr>
            </w:pPr>
            <w:r>
              <w:rPr>
                <w:spacing w:val="-4"/>
                <w:sz w:val="16"/>
              </w:rPr>
              <w:t>0.07</w:t>
            </w:r>
          </w:p>
        </w:tc>
        <w:tc>
          <w:tcPr>
            <w:tcW w:w="1043" w:type="dxa"/>
            <w:gridSpan w:val="2"/>
          </w:tcPr>
          <w:p>
            <w:pPr>
              <w:pStyle w:val="TableParagraph"/>
              <w:spacing w:line="183" w:lineRule="exact" w:before="21"/>
              <w:ind w:left="556"/>
              <w:rPr>
                <w:sz w:val="16"/>
              </w:rPr>
            </w:pPr>
            <w:r>
              <w:rPr>
                <w:spacing w:val="-2"/>
                <w:sz w:val="16"/>
              </w:rPr>
              <w:t>209.7</w:t>
            </w:r>
          </w:p>
        </w:tc>
        <w:tc>
          <w:tcPr>
            <w:tcW w:w="831" w:type="dxa"/>
            <w:gridSpan w:val="2"/>
          </w:tcPr>
          <w:p>
            <w:pPr>
              <w:pStyle w:val="TableParagraph"/>
              <w:spacing w:line="183" w:lineRule="exact" w:before="21"/>
              <w:ind w:left="456"/>
              <w:rPr>
                <w:sz w:val="16"/>
              </w:rPr>
            </w:pPr>
            <w:r>
              <w:rPr>
                <w:spacing w:val="-4"/>
                <w:sz w:val="16"/>
              </w:rPr>
              <w:t>12.3</w:t>
            </w:r>
          </w:p>
        </w:tc>
        <w:tc>
          <w:tcPr>
            <w:tcW w:w="1015" w:type="dxa"/>
            <w:gridSpan w:val="2"/>
          </w:tcPr>
          <w:p>
            <w:pPr>
              <w:pStyle w:val="TableParagraph"/>
              <w:spacing w:line="183" w:lineRule="exact" w:before="21"/>
              <w:ind w:left="542"/>
              <w:rPr>
                <w:sz w:val="16"/>
              </w:rPr>
            </w:pPr>
            <w:r>
              <w:rPr>
                <w:spacing w:val="-2"/>
                <w:sz w:val="16"/>
              </w:rPr>
              <w:t>197.4</w:t>
            </w:r>
          </w:p>
        </w:tc>
        <w:tc>
          <w:tcPr>
            <w:tcW w:w="1159" w:type="dxa"/>
            <w:gridSpan w:val="2"/>
          </w:tcPr>
          <w:p>
            <w:pPr>
              <w:pStyle w:val="TableParagraph"/>
              <w:spacing w:line="183" w:lineRule="exact" w:before="21"/>
              <w:ind w:left="697"/>
              <w:rPr>
                <w:sz w:val="16"/>
              </w:rPr>
            </w:pPr>
            <w:r>
              <w:rPr>
                <w:spacing w:val="-2"/>
                <w:sz w:val="16"/>
              </w:rPr>
              <w:t>2,557</w:t>
            </w:r>
          </w:p>
        </w:tc>
        <w:tc>
          <w:tcPr>
            <w:tcW w:w="1094" w:type="dxa"/>
          </w:tcPr>
          <w:p>
            <w:pPr>
              <w:pStyle w:val="TableParagraph"/>
              <w:spacing w:line="183" w:lineRule="exact" w:before="21"/>
              <w:ind w:left="557"/>
              <w:rPr>
                <w:sz w:val="16"/>
              </w:rPr>
            </w:pPr>
            <w:r>
              <w:rPr>
                <w:spacing w:val="-4"/>
                <w:sz w:val="16"/>
              </w:rPr>
              <w:t>0.09</w:t>
            </w:r>
          </w:p>
        </w:tc>
      </w:tr>
      <w:tr>
        <w:trPr>
          <w:trHeight w:val="225" w:hRule="atLeast"/>
        </w:trPr>
        <w:tc>
          <w:tcPr>
            <w:tcW w:w="2460" w:type="dxa"/>
          </w:tcPr>
          <w:p>
            <w:pPr>
              <w:pStyle w:val="TableParagraph"/>
              <w:spacing w:before="14"/>
              <w:ind w:left="52"/>
              <w:rPr>
                <w:sz w:val="16"/>
              </w:rPr>
            </w:pPr>
            <w:r>
              <w:rPr>
                <w:spacing w:val="-2"/>
                <w:sz w:val="16"/>
              </w:rPr>
              <w:t>Mexico</w:t>
            </w:r>
          </w:p>
        </w:tc>
        <w:tc>
          <w:tcPr>
            <w:tcW w:w="868" w:type="dxa"/>
          </w:tcPr>
          <w:p>
            <w:pPr>
              <w:pStyle w:val="TableParagraph"/>
              <w:spacing w:line="183" w:lineRule="exact" w:before="21"/>
              <w:ind w:right="63"/>
              <w:jc w:val="right"/>
              <w:rPr>
                <w:sz w:val="16"/>
              </w:rPr>
            </w:pPr>
            <w:r>
              <w:rPr>
                <w:spacing w:val="-2"/>
                <w:sz w:val="16"/>
              </w:rPr>
              <w:t>40,119</w:t>
            </w:r>
          </w:p>
        </w:tc>
        <w:tc>
          <w:tcPr>
            <w:tcW w:w="958" w:type="dxa"/>
          </w:tcPr>
          <w:p>
            <w:pPr>
              <w:pStyle w:val="TableParagraph"/>
              <w:spacing w:line="183" w:lineRule="exact" w:before="21"/>
              <w:ind w:right="46"/>
              <w:jc w:val="right"/>
              <w:rPr>
                <w:sz w:val="16"/>
              </w:rPr>
            </w:pPr>
            <w:r>
              <w:rPr>
                <w:spacing w:val="-4"/>
                <w:sz w:val="16"/>
              </w:rPr>
              <w:t>1.52</w:t>
            </w:r>
          </w:p>
        </w:tc>
        <w:tc>
          <w:tcPr>
            <w:tcW w:w="1043" w:type="dxa"/>
            <w:gridSpan w:val="2"/>
          </w:tcPr>
          <w:p>
            <w:pPr>
              <w:pStyle w:val="TableParagraph"/>
              <w:spacing w:line="183" w:lineRule="exact" w:before="21"/>
              <w:ind w:left="422"/>
              <w:rPr>
                <w:sz w:val="16"/>
              </w:rPr>
            </w:pPr>
            <w:r>
              <w:rPr>
                <w:spacing w:val="-2"/>
                <w:sz w:val="16"/>
              </w:rPr>
              <w:t>4,839.8</w:t>
            </w:r>
          </w:p>
        </w:tc>
        <w:tc>
          <w:tcPr>
            <w:tcW w:w="831" w:type="dxa"/>
            <w:gridSpan w:val="2"/>
          </w:tcPr>
          <w:p>
            <w:pPr>
              <w:pStyle w:val="TableParagraph"/>
              <w:spacing w:line="183" w:lineRule="exact" w:before="21"/>
              <w:ind w:left="368"/>
              <w:rPr>
                <w:sz w:val="16"/>
              </w:rPr>
            </w:pPr>
            <w:r>
              <w:rPr>
                <w:spacing w:val="-2"/>
                <w:sz w:val="16"/>
              </w:rPr>
              <w:t>291.1</w:t>
            </w:r>
          </w:p>
        </w:tc>
        <w:tc>
          <w:tcPr>
            <w:tcW w:w="1015" w:type="dxa"/>
            <w:gridSpan w:val="2"/>
          </w:tcPr>
          <w:p>
            <w:pPr>
              <w:pStyle w:val="TableParagraph"/>
              <w:spacing w:line="183" w:lineRule="exact" w:before="21"/>
              <w:ind w:left="408"/>
              <w:rPr>
                <w:sz w:val="16"/>
              </w:rPr>
            </w:pPr>
            <w:r>
              <w:rPr>
                <w:spacing w:val="-2"/>
                <w:sz w:val="16"/>
              </w:rPr>
              <w:t>4,548.6</w:t>
            </w:r>
          </w:p>
        </w:tc>
        <w:tc>
          <w:tcPr>
            <w:tcW w:w="1159" w:type="dxa"/>
            <w:gridSpan w:val="2"/>
          </w:tcPr>
          <w:p>
            <w:pPr>
              <w:pStyle w:val="TableParagraph"/>
              <w:spacing w:line="183" w:lineRule="exact" w:before="21"/>
              <w:ind w:left="609"/>
              <w:rPr>
                <w:sz w:val="16"/>
              </w:rPr>
            </w:pPr>
            <w:r>
              <w:rPr>
                <w:spacing w:val="-2"/>
                <w:sz w:val="16"/>
              </w:rPr>
              <w:t>40,938</w:t>
            </w:r>
          </w:p>
        </w:tc>
        <w:tc>
          <w:tcPr>
            <w:tcW w:w="1094" w:type="dxa"/>
          </w:tcPr>
          <w:p>
            <w:pPr>
              <w:pStyle w:val="TableParagraph"/>
              <w:spacing w:line="183" w:lineRule="exact" w:before="21"/>
              <w:ind w:left="557"/>
              <w:rPr>
                <w:sz w:val="16"/>
              </w:rPr>
            </w:pPr>
            <w:r>
              <w:rPr>
                <w:spacing w:val="-4"/>
                <w:sz w:val="16"/>
              </w:rPr>
              <w:t>1.47</w:t>
            </w:r>
          </w:p>
        </w:tc>
      </w:tr>
      <w:tr>
        <w:trPr>
          <w:trHeight w:val="227" w:hRule="atLeast"/>
        </w:trPr>
        <w:tc>
          <w:tcPr>
            <w:tcW w:w="2460" w:type="dxa"/>
          </w:tcPr>
          <w:p>
            <w:pPr>
              <w:pStyle w:val="TableParagraph"/>
              <w:spacing w:before="14"/>
              <w:ind w:left="52"/>
              <w:rPr>
                <w:sz w:val="16"/>
              </w:rPr>
            </w:pPr>
            <w:r>
              <w:rPr>
                <w:sz w:val="16"/>
              </w:rPr>
              <w:t>Micronesia,</w:t>
            </w:r>
            <w:r>
              <w:rPr>
                <w:spacing w:val="-5"/>
                <w:sz w:val="16"/>
              </w:rPr>
              <w:t> </w:t>
            </w:r>
            <w:r>
              <w:rPr>
                <w:sz w:val="16"/>
              </w:rPr>
              <w:t>Federated</w:t>
            </w:r>
            <w:r>
              <w:rPr>
                <w:spacing w:val="-6"/>
                <w:sz w:val="16"/>
              </w:rPr>
              <w:t> </w:t>
            </w:r>
            <w:r>
              <w:rPr>
                <w:sz w:val="16"/>
              </w:rPr>
              <w:t>States</w:t>
            </w:r>
            <w:r>
              <w:rPr>
                <w:spacing w:val="-4"/>
                <w:sz w:val="16"/>
              </w:rPr>
              <w:t> </w:t>
            </w:r>
            <w:r>
              <w:rPr>
                <w:spacing w:val="-5"/>
                <w:sz w:val="16"/>
              </w:rPr>
              <w:t>of</w:t>
            </w:r>
          </w:p>
        </w:tc>
        <w:tc>
          <w:tcPr>
            <w:tcW w:w="868" w:type="dxa"/>
          </w:tcPr>
          <w:p>
            <w:pPr>
              <w:pStyle w:val="TableParagraph"/>
              <w:spacing w:before="21"/>
              <w:ind w:right="63"/>
              <w:jc w:val="right"/>
              <w:rPr>
                <w:sz w:val="16"/>
              </w:rPr>
            </w:pPr>
            <w:r>
              <w:rPr>
                <w:spacing w:val="-5"/>
                <w:sz w:val="16"/>
              </w:rPr>
              <w:t>479</w:t>
            </w:r>
          </w:p>
        </w:tc>
        <w:tc>
          <w:tcPr>
            <w:tcW w:w="958" w:type="dxa"/>
          </w:tcPr>
          <w:p>
            <w:pPr>
              <w:pStyle w:val="TableParagraph"/>
              <w:spacing w:before="21"/>
              <w:ind w:right="46"/>
              <w:jc w:val="right"/>
              <w:rPr>
                <w:sz w:val="16"/>
              </w:rPr>
            </w:pPr>
            <w:r>
              <w:rPr>
                <w:spacing w:val="-4"/>
                <w:sz w:val="16"/>
              </w:rPr>
              <w:t>0.02</w:t>
            </w:r>
          </w:p>
        </w:tc>
        <w:tc>
          <w:tcPr>
            <w:tcW w:w="1043" w:type="dxa"/>
            <w:gridSpan w:val="2"/>
          </w:tcPr>
          <w:p>
            <w:pPr>
              <w:pStyle w:val="TableParagraph"/>
              <w:spacing w:before="21"/>
              <w:ind w:left="644"/>
              <w:rPr>
                <w:sz w:val="16"/>
              </w:rPr>
            </w:pPr>
            <w:r>
              <w:rPr>
                <w:spacing w:val="-4"/>
                <w:sz w:val="16"/>
              </w:rPr>
              <w:t>57.8</w:t>
            </w:r>
          </w:p>
        </w:tc>
        <w:tc>
          <w:tcPr>
            <w:tcW w:w="831" w:type="dxa"/>
            <w:gridSpan w:val="2"/>
          </w:tcPr>
          <w:p>
            <w:pPr>
              <w:pStyle w:val="TableParagraph"/>
              <w:spacing w:before="21"/>
              <w:ind w:left="545"/>
              <w:rPr>
                <w:sz w:val="16"/>
              </w:rPr>
            </w:pPr>
            <w:r>
              <w:rPr>
                <w:spacing w:val="-5"/>
                <w:sz w:val="16"/>
              </w:rPr>
              <w:t>1.0</w:t>
            </w:r>
          </w:p>
        </w:tc>
        <w:tc>
          <w:tcPr>
            <w:tcW w:w="1015" w:type="dxa"/>
            <w:gridSpan w:val="2"/>
          </w:tcPr>
          <w:p>
            <w:pPr>
              <w:pStyle w:val="TableParagraph"/>
              <w:spacing w:before="21"/>
              <w:ind w:left="630"/>
              <w:rPr>
                <w:sz w:val="16"/>
              </w:rPr>
            </w:pPr>
            <w:r>
              <w:rPr>
                <w:spacing w:val="-4"/>
                <w:sz w:val="16"/>
              </w:rPr>
              <w:t>56.8</w:t>
            </w:r>
          </w:p>
        </w:tc>
        <w:tc>
          <w:tcPr>
            <w:tcW w:w="1159" w:type="dxa"/>
            <w:gridSpan w:val="2"/>
          </w:tcPr>
          <w:p>
            <w:pPr>
              <w:pStyle w:val="TableParagraph"/>
              <w:spacing w:before="21"/>
              <w:ind w:left="697"/>
              <w:rPr>
                <w:sz w:val="16"/>
              </w:rPr>
            </w:pPr>
            <w:r>
              <w:rPr>
                <w:spacing w:val="-2"/>
                <w:sz w:val="16"/>
              </w:rPr>
              <w:t>1,298</w:t>
            </w:r>
          </w:p>
        </w:tc>
        <w:tc>
          <w:tcPr>
            <w:tcW w:w="1094" w:type="dxa"/>
          </w:tcPr>
          <w:p>
            <w:pPr>
              <w:pStyle w:val="TableParagraph"/>
              <w:spacing w:before="21"/>
              <w:ind w:left="557"/>
              <w:rPr>
                <w:sz w:val="16"/>
              </w:rPr>
            </w:pPr>
            <w:r>
              <w:rPr>
                <w:spacing w:val="-4"/>
                <w:sz w:val="16"/>
              </w:rPr>
              <w:t>0.05</w:t>
            </w:r>
          </w:p>
        </w:tc>
      </w:tr>
      <w:tr>
        <w:trPr>
          <w:trHeight w:val="222" w:hRule="atLeast"/>
        </w:trPr>
        <w:tc>
          <w:tcPr>
            <w:tcW w:w="2460" w:type="dxa"/>
            <w:shd w:val="clear" w:color="auto" w:fill="D8D8D8"/>
          </w:tcPr>
          <w:p>
            <w:pPr>
              <w:pStyle w:val="TableParagraph"/>
              <w:spacing w:before="11"/>
              <w:ind w:left="52"/>
              <w:rPr>
                <w:sz w:val="16"/>
              </w:rPr>
            </w:pPr>
            <w:r>
              <w:rPr>
                <w:spacing w:val="-2"/>
                <w:sz w:val="16"/>
              </w:rPr>
              <w:t>Moldova</w:t>
            </w:r>
          </w:p>
        </w:tc>
        <w:tc>
          <w:tcPr>
            <w:tcW w:w="868" w:type="dxa"/>
            <w:shd w:val="clear" w:color="auto" w:fill="D8D8D8"/>
          </w:tcPr>
          <w:p>
            <w:pPr>
              <w:pStyle w:val="TableParagraph"/>
              <w:spacing w:line="183" w:lineRule="exact" w:before="19"/>
              <w:ind w:right="63"/>
              <w:jc w:val="right"/>
              <w:rPr>
                <w:sz w:val="16"/>
              </w:rPr>
            </w:pPr>
            <w:r>
              <w:rPr>
                <w:spacing w:val="-2"/>
                <w:sz w:val="16"/>
              </w:rPr>
              <w:t>1,984</w:t>
            </w:r>
          </w:p>
        </w:tc>
        <w:tc>
          <w:tcPr>
            <w:tcW w:w="958" w:type="dxa"/>
            <w:shd w:val="clear" w:color="auto" w:fill="D8D8D8"/>
          </w:tcPr>
          <w:p>
            <w:pPr>
              <w:pStyle w:val="TableParagraph"/>
              <w:spacing w:line="183" w:lineRule="exact" w:before="19"/>
              <w:ind w:right="46"/>
              <w:jc w:val="right"/>
              <w:rPr>
                <w:sz w:val="16"/>
              </w:rPr>
            </w:pPr>
            <w:r>
              <w:rPr>
                <w:spacing w:val="-4"/>
                <w:sz w:val="16"/>
              </w:rPr>
              <w:t>0.08</w:t>
            </w:r>
          </w:p>
        </w:tc>
        <w:tc>
          <w:tcPr>
            <w:tcW w:w="1043" w:type="dxa"/>
            <w:gridSpan w:val="2"/>
            <w:shd w:val="clear" w:color="auto" w:fill="D8D8D8"/>
          </w:tcPr>
          <w:p>
            <w:pPr>
              <w:pStyle w:val="TableParagraph"/>
              <w:spacing w:line="183" w:lineRule="exact" w:before="19"/>
              <w:ind w:left="556"/>
              <w:rPr>
                <w:sz w:val="16"/>
              </w:rPr>
            </w:pPr>
            <w:r>
              <w:rPr>
                <w:spacing w:val="-2"/>
                <w:sz w:val="16"/>
              </w:rPr>
              <w:t>239.3</w:t>
            </w:r>
          </w:p>
        </w:tc>
        <w:tc>
          <w:tcPr>
            <w:tcW w:w="831" w:type="dxa"/>
            <w:gridSpan w:val="2"/>
            <w:shd w:val="clear" w:color="auto" w:fill="D8D8D8"/>
          </w:tcPr>
          <w:p>
            <w:pPr>
              <w:pStyle w:val="TableParagraph"/>
              <w:spacing w:line="183" w:lineRule="exact" w:before="19"/>
              <w:ind w:left="456"/>
              <w:rPr>
                <w:sz w:val="16"/>
              </w:rPr>
            </w:pPr>
            <w:r>
              <w:rPr>
                <w:spacing w:val="-4"/>
                <w:sz w:val="16"/>
              </w:rPr>
              <w:t>10.7</w:t>
            </w:r>
          </w:p>
        </w:tc>
        <w:tc>
          <w:tcPr>
            <w:tcW w:w="1015" w:type="dxa"/>
            <w:gridSpan w:val="2"/>
            <w:shd w:val="clear" w:color="auto" w:fill="D8D8D8"/>
          </w:tcPr>
          <w:p>
            <w:pPr>
              <w:pStyle w:val="TableParagraph"/>
              <w:spacing w:line="183" w:lineRule="exact" w:before="19"/>
              <w:ind w:left="542"/>
              <w:rPr>
                <w:sz w:val="16"/>
              </w:rPr>
            </w:pPr>
            <w:r>
              <w:rPr>
                <w:spacing w:val="-2"/>
                <w:sz w:val="16"/>
              </w:rPr>
              <w:t>228.7</w:t>
            </w:r>
          </w:p>
        </w:tc>
        <w:tc>
          <w:tcPr>
            <w:tcW w:w="1159" w:type="dxa"/>
            <w:gridSpan w:val="2"/>
            <w:shd w:val="clear" w:color="auto" w:fill="D8D8D8"/>
          </w:tcPr>
          <w:p>
            <w:pPr>
              <w:pStyle w:val="TableParagraph"/>
              <w:spacing w:line="183" w:lineRule="exact" w:before="19"/>
              <w:ind w:left="697"/>
              <w:rPr>
                <w:sz w:val="16"/>
              </w:rPr>
            </w:pPr>
            <w:r>
              <w:rPr>
                <w:spacing w:val="-2"/>
                <w:sz w:val="16"/>
              </w:rPr>
              <w:t>2,803</w:t>
            </w:r>
          </w:p>
        </w:tc>
        <w:tc>
          <w:tcPr>
            <w:tcW w:w="1094" w:type="dxa"/>
            <w:shd w:val="clear" w:color="auto" w:fill="D8D8D8"/>
          </w:tcPr>
          <w:p>
            <w:pPr>
              <w:pStyle w:val="TableParagraph"/>
              <w:spacing w:line="183" w:lineRule="exact" w:before="19"/>
              <w:ind w:left="557"/>
              <w:rPr>
                <w:sz w:val="16"/>
              </w:rPr>
            </w:pPr>
            <w:r>
              <w:rPr>
                <w:spacing w:val="-4"/>
                <w:sz w:val="16"/>
              </w:rPr>
              <w:t>0.10</w:t>
            </w:r>
          </w:p>
        </w:tc>
      </w:tr>
      <w:tr>
        <w:trPr>
          <w:trHeight w:val="225" w:hRule="atLeast"/>
        </w:trPr>
        <w:tc>
          <w:tcPr>
            <w:tcW w:w="2460" w:type="dxa"/>
            <w:shd w:val="clear" w:color="auto" w:fill="D8D8D8"/>
          </w:tcPr>
          <w:p>
            <w:pPr>
              <w:pStyle w:val="TableParagraph"/>
              <w:spacing w:before="14"/>
              <w:ind w:left="52"/>
              <w:rPr>
                <w:sz w:val="16"/>
              </w:rPr>
            </w:pPr>
            <w:r>
              <w:rPr>
                <w:spacing w:val="-2"/>
                <w:sz w:val="16"/>
              </w:rPr>
              <w:t>Mongolia</w:t>
            </w:r>
          </w:p>
        </w:tc>
        <w:tc>
          <w:tcPr>
            <w:tcW w:w="868" w:type="dxa"/>
            <w:shd w:val="clear" w:color="auto" w:fill="D8D8D8"/>
          </w:tcPr>
          <w:p>
            <w:pPr>
              <w:pStyle w:val="TableParagraph"/>
              <w:spacing w:line="183" w:lineRule="exact" w:before="21"/>
              <w:ind w:right="63"/>
              <w:jc w:val="right"/>
              <w:rPr>
                <w:sz w:val="16"/>
              </w:rPr>
            </w:pPr>
            <w:r>
              <w:rPr>
                <w:spacing w:val="-5"/>
                <w:sz w:val="16"/>
              </w:rPr>
              <w:t>829</w:t>
            </w:r>
          </w:p>
        </w:tc>
        <w:tc>
          <w:tcPr>
            <w:tcW w:w="958" w:type="dxa"/>
            <w:shd w:val="clear" w:color="auto" w:fill="D8D8D8"/>
          </w:tcPr>
          <w:p>
            <w:pPr>
              <w:pStyle w:val="TableParagraph"/>
              <w:spacing w:line="183" w:lineRule="exact" w:before="21"/>
              <w:ind w:right="46"/>
              <w:jc w:val="right"/>
              <w:rPr>
                <w:sz w:val="16"/>
              </w:rPr>
            </w:pPr>
            <w:r>
              <w:rPr>
                <w:spacing w:val="-4"/>
                <w:sz w:val="16"/>
              </w:rPr>
              <w:t>0.03</w:t>
            </w:r>
          </w:p>
        </w:tc>
        <w:tc>
          <w:tcPr>
            <w:tcW w:w="1043" w:type="dxa"/>
            <w:gridSpan w:val="2"/>
            <w:shd w:val="clear" w:color="auto" w:fill="D8D8D8"/>
          </w:tcPr>
          <w:p>
            <w:pPr>
              <w:pStyle w:val="TableParagraph"/>
              <w:spacing w:line="183" w:lineRule="exact" w:before="21"/>
              <w:ind w:left="556"/>
              <w:rPr>
                <w:sz w:val="16"/>
              </w:rPr>
            </w:pPr>
            <w:r>
              <w:rPr>
                <w:spacing w:val="-2"/>
                <w:sz w:val="16"/>
              </w:rPr>
              <w:t>100.0</w:t>
            </w:r>
          </w:p>
        </w:tc>
        <w:tc>
          <w:tcPr>
            <w:tcW w:w="831" w:type="dxa"/>
            <w:gridSpan w:val="2"/>
            <w:shd w:val="clear" w:color="auto" w:fill="D8D8D8"/>
          </w:tcPr>
          <w:p>
            <w:pPr>
              <w:pStyle w:val="TableParagraph"/>
              <w:spacing w:line="183" w:lineRule="exact" w:before="21"/>
              <w:ind w:left="545"/>
              <w:rPr>
                <w:sz w:val="16"/>
              </w:rPr>
            </w:pPr>
            <w:r>
              <w:rPr>
                <w:spacing w:val="-5"/>
                <w:sz w:val="16"/>
              </w:rPr>
              <w:t>5.6</w:t>
            </w:r>
          </w:p>
        </w:tc>
        <w:tc>
          <w:tcPr>
            <w:tcW w:w="1015" w:type="dxa"/>
            <w:gridSpan w:val="2"/>
            <w:shd w:val="clear" w:color="auto" w:fill="D8D8D8"/>
          </w:tcPr>
          <w:p>
            <w:pPr>
              <w:pStyle w:val="TableParagraph"/>
              <w:spacing w:line="183" w:lineRule="exact" w:before="21"/>
              <w:ind w:left="630"/>
              <w:rPr>
                <w:sz w:val="16"/>
              </w:rPr>
            </w:pPr>
            <w:r>
              <w:rPr>
                <w:spacing w:val="-4"/>
                <w:sz w:val="16"/>
              </w:rPr>
              <w:t>94.4</w:t>
            </w:r>
          </w:p>
        </w:tc>
        <w:tc>
          <w:tcPr>
            <w:tcW w:w="1159" w:type="dxa"/>
            <w:gridSpan w:val="2"/>
            <w:shd w:val="clear" w:color="auto" w:fill="D8D8D8"/>
          </w:tcPr>
          <w:p>
            <w:pPr>
              <w:pStyle w:val="TableParagraph"/>
              <w:spacing w:line="183" w:lineRule="exact" w:before="21"/>
              <w:ind w:left="697"/>
              <w:rPr>
                <w:sz w:val="16"/>
              </w:rPr>
            </w:pPr>
            <w:r>
              <w:rPr>
                <w:spacing w:val="-2"/>
                <w:sz w:val="16"/>
              </w:rPr>
              <w:t>1,648</w:t>
            </w:r>
          </w:p>
        </w:tc>
        <w:tc>
          <w:tcPr>
            <w:tcW w:w="1094" w:type="dxa"/>
            <w:shd w:val="clear" w:color="auto" w:fill="D8D8D8"/>
          </w:tcPr>
          <w:p>
            <w:pPr>
              <w:pStyle w:val="TableParagraph"/>
              <w:spacing w:line="183" w:lineRule="exact" w:before="21"/>
              <w:ind w:left="557"/>
              <w:rPr>
                <w:sz w:val="16"/>
              </w:rPr>
            </w:pPr>
            <w:r>
              <w:rPr>
                <w:spacing w:val="-4"/>
                <w:sz w:val="16"/>
              </w:rPr>
              <w:t>0.06</w:t>
            </w:r>
          </w:p>
        </w:tc>
      </w:tr>
      <w:tr>
        <w:trPr>
          <w:trHeight w:val="225" w:hRule="atLeast"/>
        </w:trPr>
        <w:tc>
          <w:tcPr>
            <w:tcW w:w="2460" w:type="dxa"/>
            <w:shd w:val="clear" w:color="auto" w:fill="D8D8D8"/>
          </w:tcPr>
          <w:p>
            <w:pPr>
              <w:pStyle w:val="TableParagraph"/>
              <w:spacing w:before="14"/>
              <w:ind w:left="52"/>
              <w:rPr>
                <w:sz w:val="16"/>
              </w:rPr>
            </w:pPr>
            <w:r>
              <w:rPr>
                <w:spacing w:val="-2"/>
                <w:sz w:val="16"/>
              </w:rPr>
              <w:t>Montenegro</w:t>
            </w:r>
          </w:p>
        </w:tc>
        <w:tc>
          <w:tcPr>
            <w:tcW w:w="868" w:type="dxa"/>
            <w:shd w:val="clear" w:color="auto" w:fill="D8D8D8"/>
          </w:tcPr>
          <w:p>
            <w:pPr>
              <w:pStyle w:val="TableParagraph"/>
              <w:spacing w:line="183" w:lineRule="exact" w:before="21"/>
              <w:ind w:right="63"/>
              <w:jc w:val="right"/>
              <w:rPr>
                <w:sz w:val="16"/>
              </w:rPr>
            </w:pPr>
            <w:r>
              <w:rPr>
                <w:spacing w:val="-5"/>
                <w:sz w:val="16"/>
              </w:rPr>
              <w:t>971</w:t>
            </w:r>
          </w:p>
        </w:tc>
        <w:tc>
          <w:tcPr>
            <w:tcW w:w="958" w:type="dxa"/>
            <w:shd w:val="clear" w:color="auto" w:fill="D8D8D8"/>
          </w:tcPr>
          <w:p>
            <w:pPr>
              <w:pStyle w:val="TableParagraph"/>
              <w:spacing w:line="183" w:lineRule="exact" w:before="21"/>
              <w:ind w:right="46"/>
              <w:jc w:val="right"/>
              <w:rPr>
                <w:sz w:val="16"/>
              </w:rPr>
            </w:pPr>
            <w:r>
              <w:rPr>
                <w:spacing w:val="-4"/>
                <w:sz w:val="16"/>
              </w:rPr>
              <w:t>0.04</w:t>
            </w:r>
          </w:p>
        </w:tc>
        <w:tc>
          <w:tcPr>
            <w:tcW w:w="1043" w:type="dxa"/>
            <w:gridSpan w:val="2"/>
            <w:shd w:val="clear" w:color="auto" w:fill="D8D8D8"/>
          </w:tcPr>
          <w:p>
            <w:pPr>
              <w:pStyle w:val="TableParagraph"/>
              <w:spacing w:line="183" w:lineRule="exact" w:before="21"/>
              <w:ind w:left="556"/>
              <w:rPr>
                <w:sz w:val="16"/>
              </w:rPr>
            </w:pPr>
            <w:r>
              <w:rPr>
                <w:spacing w:val="-2"/>
                <w:sz w:val="16"/>
              </w:rPr>
              <w:t>117.1</w:t>
            </w:r>
          </w:p>
        </w:tc>
        <w:tc>
          <w:tcPr>
            <w:tcW w:w="831" w:type="dxa"/>
            <w:gridSpan w:val="2"/>
            <w:shd w:val="clear" w:color="auto" w:fill="D8D8D8"/>
          </w:tcPr>
          <w:p>
            <w:pPr>
              <w:pStyle w:val="TableParagraph"/>
              <w:spacing w:line="183" w:lineRule="exact" w:before="21"/>
              <w:ind w:left="545"/>
              <w:rPr>
                <w:sz w:val="16"/>
              </w:rPr>
            </w:pPr>
            <w:r>
              <w:rPr>
                <w:spacing w:val="-5"/>
                <w:sz w:val="16"/>
              </w:rPr>
              <w:t>6.6</w:t>
            </w:r>
          </w:p>
        </w:tc>
        <w:tc>
          <w:tcPr>
            <w:tcW w:w="1015" w:type="dxa"/>
            <w:gridSpan w:val="2"/>
            <w:shd w:val="clear" w:color="auto" w:fill="D8D8D8"/>
          </w:tcPr>
          <w:p>
            <w:pPr>
              <w:pStyle w:val="TableParagraph"/>
              <w:spacing w:line="183" w:lineRule="exact" w:before="21"/>
              <w:ind w:left="542"/>
              <w:rPr>
                <w:sz w:val="16"/>
              </w:rPr>
            </w:pPr>
            <w:r>
              <w:rPr>
                <w:spacing w:val="-2"/>
                <w:sz w:val="16"/>
              </w:rPr>
              <w:t>110.5</w:t>
            </w:r>
          </w:p>
        </w:tc>
        <w:tc>
          <w:tcPr>
            <w:tcW w:w="1159" w:type="dxa"/>
            <w:gridSpan w:val="2"/>
            <w:shd w:val="clear" w:color="auto" w:fill="D8D8D8"/>
          </w:tcPr>
          <w:p>
            <w:pPr>
              <w:pStyle w:val="TableParagraph"/>
              <w:spacing w:line="183" w:lineRule="exact" w:before="21"/>
              <w:ind w:left="697"/>
              <w:rPr>
                <w:sz w:val="16"/>
              </w:rPr>
            </w:pPr>
            <w:r>
              <w:rPr>
                <w:spacing w:val="-2"/>
                <w:sz w:val="16"/>
              </w:rPr>
              <w:t>1,790</w:t>
            </w:r>
          </w:p>
        </w:tc>
        <w:tc>
          <w:tcPr>
            <w:tcW w:w="1094" w:type="dxa"/>
            <w:shd w:val="clear" w:color="auto" w:fill="D8D8D8"/>
          </w:tcPr>
          <w:p>
            <w:pPr>
              <w:pStyle w:val="TableParagraph"/>
              <w:spacing w:line="183" w:lineRule="exact" w:before="21"/>
              <w:ind w:left="557"/>
              <w:rPr>
                <w:sz w:val="16"/>
              </w:rPr>
            </w:pPr>
            <w:r>
              <w:rPr>
                <w:spacing w:val="-4"/>
                <w:sz w:val="16"/>
              </w:rPr>
              <w:t>0.06</w:t>
            </w:r>
          </w:p>
        </w:tc>
      </w:tr>
      <w:tr>
        <w:trPr>
          <w:trHeight w:val="225" w:hRule="atLeast"/>
        </w:trPr>
        <w:tc>
          <w:tcPr>
            <w:tcW w:w="2460" w:type="dxa"/>
            <w:shd w:val="clear" w:color="auto" w:fill="D8D8D8"/>
          </w:tcPr>
          <w:p>
            <w:pPr>
              <w:pStyle w:val="TableParagraph"/>
              <w:spacing w:before="14"/>
              <w:ind w:left="52"/>
              <w:rPr>
                <w:sz w:val="16"/>
              </w:rPr>
            </w:pPr>
            <w:r>
              <w:rPr>
                <w:spacing w:val="-2"/>
                <w:sz w:val="16"/>
              </w:rPr>
              <w:t>Morocco</w:t>
            </w:r>
          </w:p>
        </w:tc>
        <w:tc>
          <w:tcPr>
            <w:tcW w:w="868" w:type="dxa"/>
            <w:shd w:val="clear" w:color="auto" w:fill="D8D8D8"/>
          </w:tcPr>
          <w:p>
            <w:pPr>
              <w:pStyle w:val="TableParagraph"/>
              <w:spacing w:line="183" w:lineRule="exact" w:before="21"/>
              <w:ind w:right="63"/>
              <w:jc w:val="right"/>
              <w:rPr>
                <w:sz w:val="16"/>
              </w:rPr>
            </w:pPr>
            <w:r>
              <w:rPr>
                <w:spacing w:val="-2"/>
                <w:sz w:val="16"/>
              </w:rPr>
              <w:t>8,069</w:t>
            </w:r>
          </w:p>
        </w:tc>
        <w:tc>
          <w:tcPr>
            <w:tcW w:w="958" w:type="dxa"/>
            <w:shd w:val="clear" w:color="auto" w:fill="D8D8D8"/>
          </w:tcPr>
          <w:p>
            <w:pPr>
              <w:pStyle w:val="TableParagraph"/>
              <w:spacing w:line="183" w:lineRule="exact" w:before="21"/>
              <w:ind w:right="46"/>
              <w:jc w:val="right"/>
              <w:rPr>
                <w:sz w:val="16"/>
              </w:rPr>
            </w:pPr>
            <w:r>
              <w:rPr>
                <w:spacing w:val="-4"/>
                <w:sz w:val="16"/>
              </w:rPr>
              <w:t>0.31</w:t>
            </w:r>
          </w:p>
        </w:tc>
        <w:tc>
          <w:tcPr>
            <w:tcW w:w="1043" w:type="dxa"/>
            <w:gridSpan w:val="2"/>
            <w:shd w:val="clear" w:color="auto" w:fill="D8D8D8"/>
          </w:tcPr>
          <w:p>
            <w:pPr>
              <w:pStyle w:val="TableParagraph"/>
              <w:spacing w:line="183" w:lineRule="exact" w:before="21"/>
              <w:ind w:left="556"/>
              <w:rPr>
                <w:sz w:val="16"/>
              </w:rPr>
            </w:pPr>
            <w:r>
              <w:rPr>
                <w:spacing w:val="-2"/>
                <w:sz w:val="16"/>
              </w:rPr>
              <w:t>973.4</w:t>
            </w:r>
          </w:p>
        </w:tc>
        <w:tc>
          <w:tcPr>
            <w:tcW w:w="831" w:type="dxa"/>
            <w:gridSpan w:val="2"/>
            <w:shd w:val="clear" w:color="auto" w:fill="D8D8D8"/>
          </w:tcPr>
          <w:p>
            <w:pPr>
              <w:pStyle w:val="TableParagraph"/>
              <w:spacing w:line="183" w:lineRule="exact" w:before="21"/>
              <w:ind w:left="456"/>
              <w:rPr>
                <w:sz w:val="16"/>
              </w:rPr>
            </w:pPr>
            <w:r>
              <w:rPr>
                <w:spacing w:val="-4"/>
                <w:sz w:val="16"/>
              </w:rPr>
              <w:t>66.8</w:t>
            </w:r>
          </w:p>
        </w:tc>
        <w:tc>
          <w:tcPr>
            <w:tcW w:w="1015" w:type="dxa"/>
            <w:gridSpan w:val="2"/>
            <w:shd w:val="clear" w:color="auto" w:fill="D8D8D8"/>
          </w:tcPr>
          <w:p>
            <w:pPr>
              <w:pStyle w:val="TableParagraph"/>
              <w:spacing w:line="183" w:lineRule="exact" w:before="21"/>
              <w:ind w:left="542"/>
              <w:rPr>
                <w:sz w:val="16"/>
              </w:rPr>
            </w:pPr>
            <w:r>
              <w:rPr>
                <w:spacing w:val="-2"/>
                <w:sz w:val="16"/>
              </w:rPr>
              <w:t>906.6</w:t>
            </w:r>
          </w:p>
        </w:tc>
        <w:tc>
          <w:tcPr>
            <w:tcW w:w="1159" w:type="dxa"/>
            <w:gridSpan w:val="2"/>
            <w:shd w:val="clear" w:color="auto" w:fill="D8D8D8"/>
          </w:tcPr>
          <w:p>
            <w:pPr>
              <w:pStyle w:val="TableParagraph"/>
              <w:spacing w:line="183" w:lineRule="exact" w:before="21"/>
              <w:ind w:left="697"/>
              <w:rPr>
                <w:sz w:val="16"/>
              </w:rPr>
            </w:pPr>
            <w:r>
              <w:rPr>
                <w:spacing w:val="-2"/>
                <w:sz w:val="16"/>
              </w:rPr>
              <w:t>8,888</w:t>
            </w:r>
          </w:p>
        </w:tc>
        <w:tc>
          <w:tcPr>
            <w:tcW w:w="1094" w:type="dxa"/>
            <w:shd w:val="clear" w:color="auto" w:fill="D8D8D8"/>
          </w:tcPr>
          <w:p>
            <w:pPr>
              <w:pStyle w:val="TableParagraph"/>
              <w:spacing w:line="183" w:lineRule="exact" w:before="21"/>
              <w:ind w:left="557"/>
              <w:rPr>
                <w:sz w:val="16"/>
              </w:rPr>
            </w:pPr>
            <w:r>
              <w:rPr>
                <w:spacing w:val="-4"/>
                <w:sz w:val="16"/>
              </w:rPr>
              <w:t>0.32</w:t>
            </w:r>
          </w:p>
        </w:tc>
      </w:tr>
      <w:tr>
        <w:trPr>
          <w:trHeight w:val="227" w:hRule="atLeast"/>
        </w:trPr>
        <w:tc>
          <w:tcPr>
            <w:tcW w:w="2460" w:type="dxa"/>
            <w:shd w:val="clear" w:color="auto" w:fill="D8D8D8"/>
          </w:tcPr>
          <w:p>
            <w:pPr>
              <w:pStyle w:val="TableParagraph"/>
              <w:spacing w:before="14"/>
              <w:ind w:left="52"/>
              <w:rPr>
                <w:sz w:val="16"/>
              </w:rPr>
            </w:pPr>
            <w:r>
              <w:rPr>
                <w:spacing w:val="-2"/>
                <w:sz w:val="16"/>
              </w:rPr>
              <w:t>Mozambique</w:t>
            </w:r>
          </w:p>
        </w:tc>
        <w:tc>
          <w:tcPr>
            <w:tcW w:w="868" w:type="dxa"/>
            <w:shd w:val="clear" w:color="auto" w:fill="D8D8D8"/>
          </w:tcPr>
          <w:p>
            <w:pPr>
              <w:pStyle w:val="TableParagraph"/>
              <w:spacing w:before="21"/>
              <w:ind w:right="63"/>
              <w:jc w:val="right"/>
              <w:rPr>
                <w:sz w:val="16"/>
              </w:rPr>
            </w:pPr>
            <w:r>
              <w:rPr>
                <w:spacing w:val="-2"/>
                <w:sz w:val="16"/>
              </w:rPr>
              <w:t>1,332</w:t>
            </w:r>
          </w:p>
        </w:tc>
        <w:tc>
          <w:tcPr>
            <w:tcW w:w="958" w:type="dxa"/>
            <w:shd w:val="clear" w:color="auto" w:fill="D8D8D8"/>
          </w:tcPr>
          <w:p>
            <w:pPr>
              <w:pStyle w:val="TableParagraph"/>
              <w:spacing w:before="21"/>
              <w:ind w:right="46"/>
              <w:jc w:val="right"/>
              <w:rPr>
                <w:sz w:val="16"/>
              </w:rPr>
            </w:pPr>
            <w:r>
              <w:rPr>
                <w:spacing w:val="-4"/>
                <w:sz w:val="16"/>
              </w:rPr>
              <w:t>0.05</w:t>
            </w:r>
          </w:p>
        </w:tc>
        <w:tc>
          <w:tcPr>
            <w:tcW w:w="1043" w:type="dxa"/>
            <w:gridSpan w:val="2"/>
            <w:shd w:val="clear" w:color="auto" w:fill="D8D8D8"/>
          </w:tcPr>
          <w:p>
            <w:pPr>
              <w:pStyle w:val="TableParagraph"/>
              <w:spacing w:before="21"/>
              <w:ind w:left="556"/>
              <w:rPr>
                <w:sz w:val="16"/>
              </w:rPr>
            </w:pPr>
            <w:r>
              <w:rPr>
                <w:spacing w:val="-2"/>
                <w:sz w:val="16"/>
              </w:rPr>
              <w:t>160.7</w:t>
            </w:r>
          </w:p>
        </w:tc>
        <w:tc>
          <w:tcPr>
            <w:tcW w:w="831" w:type="dxa"/>
            <w:gridSpan w:val="2"/>
            <w:shd w:val="clear" w:color="auto" w:fill="D8D8D8"/>
          </w:tcPr>
          <w:p>
            <w:pPr>
              <w:pStyle w:val="TableParagraph"/>
              <w:spacing w:before="21"/>
              <w:ind w:left="545"/>
              <w:rPr>
                <w:sz w:val="16"/>
              </w:rPr>
            </w:pPr>
            <w:r>
              <w:rPr>
                <w:spacing w:val="-5"/>
                <w:sz w:val="16"/>
              </w:rPr>
              <w:t>6.8</w:t>
            </w:r>
          </w:p>
        </w:tc>
        <w:tc>
          <w:tcPr>
            <w:tcW w:w="1015" w:type="dxa"/>
            <w:gridSpan w:val="2"/>
            <w:shd w:val="clear" w:color="auto" w:fill="D8D8D8"/>
          </w:tcPr>
          <w:p>
            <w:pPr>
              <w:pStyle w:val="TableParagraph"/>
              <w:spacing w:before="21"/>
              <w:ind w:left="542"/>
              <w:rPr>
                <w:sz w:val="16"/>
              </w:rPr>
            </w:pPr>
            <w:r>
              <w:rPr>
                <w:spacing w:val="-2"/>
                <w:sz w:val="16"/>
              </w:rPr>
              <w:t>153.9</w:t>
            </w:r>
          </w:p>
        </w:tc>
        <w:tc>
          <w:tcPr>
            <w:tcW w:w="1159" w:type="dxa"/>
            <w:gridSpan w:val="2"/>
            <w:shd w:val="clear" w:color="auto" w:fill="D8D8D8"/>
          </w:tcPr>
          <w:p>
            <w:pPr>
              <w:pStyle w:val="TableParagraph"/>
              <w:spacing w:before="21"/>
              <w:ind w:left="697"/>
              <w:rPr>
                <w:sz w:val="16"/>
              </w:rPr>
            </w:pPr>
            <w:r>
              <w:rPr>
                <w:spacing w:val="-2"/>
                <w:sz w:val="16"/>
              </w:rPr>
              <w:t>2,151</w:t>
            </w:r>
          </w:p>
        </w:tc>
        <w:tc>
          <w:tcPr>
            <w:tcW w:w="1094" w:type="dxa"/>
            <w:shd w:val="clear" w:color="auto" w:fill="D8D8D8"/>
          </w:tcPr>
          <w:p>
            <w:pPr>
              <w:pStyle w:val="TableParagraph"/>
              <w:spacing w:before="21"/>
              <w:ind w:left="557"/>
              <w:rPr>
                <w:sz w:val="16"/>
              </w:rPr>
            </w:pPr>
            <w:r>
              <w:rPr>
                <w:spacing w:val="-4"/>
                <w:sz w:val="16"/>
              </w:rPr>
              <w:t>0.08</w:t>
            </w:r>
          </w:p>
        </w:tc>
      </w:tr>
      <w:tr>
        <w:trPr>
          <w:trHeight w:val="222" w:hRule="atLeast"/>
        </w:trPr>
        <w:tc>
          <w:tcPr>
            <w:tcW w:w="2460" w:type="dxa"/>
          </w:tcPr>
          <w:p>
            <w:pPr>
              <w:pStyle w:val="TableParagraph"/>
              <w:spacing w:before="11"/>
              <w:ind w:left="52"/>
              <w:rPr>
                <w:sz w:val="16"/>
              </w:rPr>
            </w:pPr>
            <w:r>
              <w:rPr>
                <w:spacing w:val="-2"/>
                <w:sz w:val="16"/>
              </w:rPr>
              <w:t>Myanmar</w:t>
            </w:r>
          </w:p>
        </w:tc>
        <w:tc>
          <w:tcPr>
            <w:tcW w:w="868" w:type="dxa"/>
          </w:tcPr>
          <w:p>
            <w:pPr>
              <w:pStyle w:val="TableParagraph"/>
              <w:spacing w:line="183" w:lineRule="exact" w:before="19"/>
              <w:ind w:right="63"/>
              <w:jc w:val="right"/>
              <w:rPr>
                <w:sz w:val="16"/>
              </w:rPr>
            </w:pPr>
            <w:r>
              <w:rPr>
                <w:spacing w:val="-2"/>
                <w:sz w:val="16"/>
              </w:rPr>
              <w:t>3,465</w:t>
            </w:r>
          </w:p>
        </w:tc>
        <w:tc>
          <w:tcPr>
            <w:tcW w:w="958" w:type="dxa"/>
          </w:tcPr>
          <w:p>
            <w:pPr>
              <w:pStyle w:val="TableParagraph"/>
              <w:spacing w:line="183" w:lineRule="exact" w:before="19"/>
              <w:ind w:right="46"/>
              <w:jc w:val="right"/>
              <w:rPr>
                <w:sz w:val="16"/>
              </w:rPr>
            </w:pPr>
            <w:r>
              <w:rPr>
                <w:spacing w:val="-4"/>
                <w:sz w:val="16"/>
              </w:rPr>
              <w:t>0.13</w:t>
            </w:r>
          </w:p>
        </w:tc>
        <w:tc>
          <w:tcPr>
            <w:tcW w:w="1043" w:type="dxa"/>
            <w:gridSpan w:val="2"/>
          </w:tcPr>
          <w:p>
            <w:pPr>
              <w:pStyle w:val="TableParagraph"/>
              <w:spacing w:line="183" w:lineRule="exact" w:before="19"/>
              <w:ind w:left="556"/>
              <w:rPr>
                <w:sz w:val="16"/>
              </w:rPr>
            </w:pPr>
            <w:r>
              <w:rPr>
                <w:spacing w:val="-2"/>
                <w:sz w:val="16"/>
              </w:rPr>
              <w:t>418.0</w:t>
            </w:r>
          </w:p>
        </w:tc>
        <w:tc>
          <w:tcPr>
            <w:tcW w:w="831" w:type="dxa"/>
            <w:gridSpan w:val="2"/>
          </w:tcPr>
          <w:p>
            <w:pPr>
              <w:pStyle w:val="TableParagraph"/>
              <w:spacing w:line="183" w:lineRule="exact" w:before="19"/>
              <w:ind w:left="456"/>
              <w:rPr>
                <w:sz w:val="16"/>
              </w:rPr>
            </w:pPr>
            <w:r>
              <w:rPr>
                <w:spacing w:val="-4"/>
                <w:sz w:val="16"/>
              </w:rPr>
              <w:t>21.4</w:t>
            </w:r>
          </w:p>
        </w:tc>
        <w:tc>
          <w:tcPr>
            <w:tcW w:w="1015" w:type="dxa"/>
            <w:gridSpan w:val="2"/>
          </w:tcPr>
          <w:p>
            <w:pPr>
              <w:pStyle w:val="TableParagraph"/>
              <w:spacing w:line="183" w:lineRule="exact" w:before="19"/>
              <w:ind w:left="542"/>
              <w:rPr>
                <w:sz w:val="16"/>
              </w:rPr>
            </w:pPr>
            <w:r>
              <w:rPr>
                <w:spacing w:val="-2"/>
                <w:sz w:val="16"/>
              </w:rPr>
              <w:t>396.6</w:t>
            </w:r>
          </w:p>
        </w:tc>
        <w:tc>
          <w:tcPr>
            <w:tcW w:w="1159" w:type="dxa"/>
            <w:gridSpan w:val="2"/>
          </w:tcPr>
          <w:p>
            <w:pPr>
              <w:pStyle w:val="TableParagraph"/>
              <w:spacing w:line="183" w:lineRule="exact" w:before="19"/>
              <w:ind w:left="697"/>
              <w:rPr>
                <w:sz w:val="16"/>
              </w:rPr>
            </w:pPr>
            <w:r>
              <w:rPr>
                <w:spacing w:val="-2"/>
                <w:sz w:val="16"/>
              </w:rPr>
              <w:t>4,284</w:t>
            </w:r>
          </w:p>
        </w:tc>
        <w:tc>
          <w:tcPr>
            <w:tcW w:w="1094" w:type="dxa"/>
          </w:tcPr>
          <w:p>
            <w:pPr>
              <w:pStyle w:val="TableParagraph"/>
              <w:spacing w:line="183" w:lineRule="exact" w:before="19"/>
              <w:ind w:left="557"/>
              <w:rPr>
                <w:sz w:val="16"/>
              </w:rPr>
            </w:pPr>
            <w:r>
              <w:rPr>
                <w:spacing w:val="-4"/>
                <w:sz w:val="16"/>
              </w:rPr>
              <w:t>0.15</w:t>
            </w:r>
          </w:p>
        </w:tc>
      </w:tr>
      <w:tr>
        <w:trPr>
          <w:trHeight w:val="225" w:hRule="atLeast"/>
        </w:trPr>
        <w:tc>
          <w:tcPr>
            <w:tcW w:w="2460" w:type="dxa"/>
          </w:tcPr>
          <w:p>
            <w:pPr>
              <w:pStyle w:val="TableParagraph"/>
              <w:spacing w:before="14"/>
              <w:ind w:left="52"/>
              <w:rPr>
                <w:sz w:val="16"/>
              </w:rPr>
            </w:pPr>
            <w:r>
              <w:rPr>
                <w:spacing w:val="-2"/>
                <w:sz w:val="16"/>
              </w:rPr>
              <w:t>Namibia</w:t>
            </w:r>
          </w:p>
        </w:tc>
        <w:tc>
          <w:tcPr>
            <w:tcW w:w="868" w:type="dxa"/>
          </w:tcPr>
          <w:p>
            <w:pPr>
              <w:pStyle w:val="TableParagraph"/>
              <w:spacing w:line="183" w:lineRule="exact" w:before="21"/>
              <w:ind w:right="63"/>
              <w:jc w:val="right"/>
              <w:rPr>
                <w:sz w:val="16"/>
              </w:rPr>
            </w:pPr>
            <w:r>
              <w:rPr>
                <w:spacing w:val="-2"/>
                <w:sz w:val="16"/>
              </w:rPr>
              <w:t>1,930</w:t>
            </w:r>
          </w:p>
        </w:tc>
        <w:tc>
          <w:tcPr>
            <w:tcW w:w="958" w:type="dxa"/>
          </w:tcPr>
          <w:p>
            <w:pPr>
              <w:pStyle w:val="TableParagraph"/>
              <w:spacing w:line="183" w:lineRule="exact" w:before="21"/>
              <w:ind w:right="46"/>
              <w:jc w:val="right"/>
              <w:rPr>
                <w:sz w:val="16"/>
              </w:rPr>
            </w:pPr>
            <w:r>
              <w:rPr>
                <w:spacing w:val="-4"/>
                <w:sz w:val="16"/>
              </w:rPr>
              <w:t>0.07</w:t>
            </w:r>
          </w:p>
        </w:tc>
        <w:tc>
          <w:tcPr>
            <w:tcW w:w="1043" w:type="dxa"/>
            <w:gridSpan w:val="2"/>
          </w:tcPr>
          <w:p>
            <w:pPr>
              <w:pStyle w:val="TableParagraph"/>
              <w:spacing w:line="183" w:lineRule="exact" w:before="21"/>
              <w:ind w:left="556"/>
              <w:rPr>
                <w:sz w:val="16"/>
              </w:rPr>
            </w:pPr>
            <w:r>
              <w:rPr>
                <w:spacing w:val="-2"/>
                <w:sz w:val="16"/>
              </w:rPr>
              <w:t>232.8</w:t>
            </w:r>
          </w:p>
        </w:tc>
        <w:tc>
          <w:tcPr>
            <w:tcW w:w="831" w:type="dxa"/>
            <w:gridSpan w:val="2"/>
          </w:tcPr>
          <w:p>
            <w:pPr>
              <w:pStyle w:val="TableParagraph"/>
              <w:spacing w:line="183" w:lineRule="exact" w:before="21"/>
              <w:ind w:left="456"/>
              <w:rPr>
                <w:sz w:val="16"/>
              </w:rPr>
            </w:pPr>
            <w:r>
              <w:rPr>
                <w:spacing w:val="-4"/>
                <w:sz w:val="16"/>
              </w:rPr>
              <w:t>11.7</w:t>
            </w:r>
          </w:p>
        </w:tc>
        <w:tc>
          <w:tcPr>
            <w:tcW w:w="1015" w:type="dxa"/>
            <w:gridSpan w:val="2"/>
          </w:tcPr>
          <w:p>
            <w:pPr>
              <w:pStyle w:val="TableParagraph"/>
              <w:spacing w:line="183" w:lineRule="exact" w:before="21"/>
              <w:ind w:left="542"/>
              <w:rPr>
                <w:sz w:val="16"/>
              </w:rPr>
            </w:pPr>
            <w:r>
              <w:rPr>
                <w:spacing w:val="-2"/>
                <w:sz w:val="16"/>
              </w:rPr>
              <w:t>221.1</w:t>
            </w:r>
          </w:p>
        </w:tc>
        <w:tc>
          <w:tcPr>
            <w:tcW w:w="1159" w:type="dxa"/>
            <w:gridSpan w:val="2"/>
          </w:tcPr>
          <w:p>
            <w:pPr>
              <w:pStyle w:val="TableParagraph"/>
              <w:spacing w:line="183" w:lineRule="exact" w:before="21"/>
              <w:ind w:left="697"/>
              <w:rPr>
                <w:sz w:val="16"/>
              </w:rPr>
            </w:pPr>
            <w:r>
              <w:rPr>
                <w:spacing w:val="-2"/>
                <w:sz w:val="16"/>
              </w:rPr>
              <w:t>2,749</w:t>
            </w:r>
          </w:p>
        </w:tc>
        <w:tc>
          <w:tcPr>
            <w:tcW w:w="1094" w:type="dxa"/>
          </w:tcPr>
          <w:p>
            <w:pPr>
              <w:pStyle w:val="TableParagraph"/>
              <w:spacing w:line="183" w:lineRule="exact" w:before="21"/>
              <w:ind w:left="557"/>
              <w:rPr>
                <w:sz w:val="16"/>
              </w:rPr>
            </w:pPr>
            <w:r>
              <w:rPr>
                <w:spacing w:val="-4"/>
                <w:sz w:val="16"/>
              </w:rPr>
              <w:t>0.10</w:t>
            </w:r>
          </w:p>
        </w:tc>
      </w:tr>
      <w:tr>
        <w:trPr>
          <w:trHeight w:val="225" w:hRule="atLeast"/>
        </w:trPr>
        <w:tc>
          <w:tcPr>
            <w:tcW w:w="2460" w:type="dxa"/>
          </w:tcPr>
          <w:p>
            <w:pPr>
              <w:pStyle w:val="TableParagraph"/>
              <w:spacing w:before="14"/>
              <w:ind w:left="52"/>
              <w:rPr>
                <w:sz w:val="16"/>
              </w:rPr>
            </w:pPr>
            <w:r>
              <w:rPr>
                <w:spacing w:val="-2"/>
                <w:sz w:val="16"/>
              </w:rPr>
              <w:t>Nauru</w:t>
            </w:r>
          </w:p>
        </w:tc>
        <w:tc>
          <w:tcPr>
            <w:tcW w:w="868" w:type="dxa"/>
          </w:tcPr>
          <w:p>
            <w:pPr>
              <w:pStyle w:val="TableParagraph"/>
              <w:spacing w:line="183" w:lineRule="exact" w:before="21"/>
              <w:ind w:right="63"/>
              <w:jc w:val="right"/>
              <w:rPr>
                <w:sz w:val="16"/>
              </w:rPr>
            </w:pPr>
            <w:r>
              <w:rPr>
                <w:spacing w:val="-5"/>
                <w:sz w:val="16"/>
              </w:rPr>
              <w:t>586</w:t>
            </w:r>
          </w:p>
        </w:tc>
        <w:tc>
          <w:tcPr>
            <w:tcW w:w="958" w:type="dxa"/>
          </w:tcPr>
          <w:p>
            <w:pPr>
              <w:pStyle w:val="TableParagraph"/>
              <w:spacing w:line="183" w:lineRule="exact" w:before="21"/>
              <w:ind w:right="46"/>
              <w:jc w:val="right"/>
              <w:rPr>
                <w:sz w:val="16"/>
              </w:rPr>
            </w:pPr>
            <w:r>
              <w:rPr>
                <w:spacing w:val="-4"/>
                <w:sz w:val="16"/>
              </w:rPr>
              <w:t>0.02</w:t>
            </w:r>
          </w:p>
        </w:tc>
        <w:tc>
          <w:tcPr>
            <w:tcW w:w="1043" w:type="dxa"/>
            <w:gridSpan w:val="2"/>
          </w:tcPr>
          <w:p>
            <w:pPr>
              <w:pStyle w:val="TableParagraph"/>
              <w:spacing w:line="183" w:lineRule="exact" w:before="21"/>
              <w:ind w:left="644"/>
              <w:rPr>
                <w:sz w:val="16"/>
              </w:rPr>
            </w:pPr>
            <w:r>
              <w:rPr>
                <w:spacing w:val="-4"/>
                <w:sz w:val="16"/>
              </w:rPr>
              <w:t>70.7</w:t>
            </w:r>
          </w:p>
        </w:tc>
        <w:tc>
          <w:tcPr>
            <w:tcW w:w="831" w:type="dxa"/>
            <w:gridSpan w:val="2"/>
          </w:tcPr>
          <w:p>
            <w:pPr>
              <w:pStyle w:val="TableParagraph"/>
              <w:spacing w:line="183" w:lineRule="exact" w:before="21"/>
              <w:ind w:left="545"/>
              <w:rPr>
                <w:sz w:val="16"/>
              </w:rPr>
            </w:pPr>
            <w:r>
              <w:rPr>
                <w:spacing w:val="-5"/>
                <w:sz w:val="16"/>
              </w:rPr>
              <w:t>2.4</w:t>
            </w:r>
          </w:p>
        </w:tc>
        <w:tc>
          <w:tcPr>
            <w:tcW w:w="1015" w:type="dxa"/>
            <w:gridSpan w:val="2"/>
          </w:tcPr>
          <w:p>
            <w:pPr>
              <w:pStyle w:val="TableParagraph"/>
              <w:spacing w:line="183" w:lineRule="exact" w:before="21"/>
              <w:ind w:left="630"/>
              <w:rPr>
                <w:sz w:val="16"/>
              </w:rPr>
            </w:pPr>
            <w:r>
              <w:rPr>
                <w:spacing w:val="-4"/>
                <w:sz w:val="16"/>
              </w:rPr>
              <w:t>68.3</w:t>
            </w:r>
          </w:p>
        </w:tc>
        <w:tc>
          <w:tcPr>
            <w:tcW w:w="1159" w:type="dxa"/>
            <w:gridSpan w:val="2"/>
          </w:tcPr>
          <w:p>
            <w:pPr>
              <w:pStyle w:val="TableParagraph"/>
              <w:spacing w:line="183" w:lineRule="exact" w:before="21"/>
              <w:ind w:left="697"/>
              <w:rPr>
                <w:sz w:val="16"/>
              </w:rPr>
            </w:pPr>
            <w:r>
              <w:rPr>
                <w:spacing w:val="-2"/>
                <w:sz w:val="16"/>
              </w:rPr>
              <w:t>1,405</w:t>
            </w:r>
          </w:p>
        </w:tc>
        <w:tc>
          <w:tcPr>
            <w:tcW w:w="1094" w:type="dxa"/>
          </w:tcPr>
          <w:p>
            <w:pPr>
              <w:pStyle w:val="TableParagraph"/>
              <w:spacing w:line="183" w:lineRule="exact" w:before="21"/>
              <w:ind w:left="557"/>
              <w:rPr>
                <w:sz w:val="16"/>
              </w:rPr>
            </w:pPr>
            <w:r>
              <w:rPr>
                <w:spacing w:val="-4"/>
                <w:sz w:val="16"/>
              </w:rPr>
              <w:t>0.05</w:t>
            </w:r>
          </w:p>
        </w:tc>
      </w:tr>
      <w:tr>
        <w:trPr>
          <w:trHeight w:val="205" w:hRule="atLeast"/>
        </w:trPr>
        <w:tc>
          <w:tcPr>
            <w:tcW w:w="2460" w:type="dxa"/>
          </w:tcPr>
          <w:p>
            <w:pPr>
              <w:pStyle w:val="TableParagraph"/>
              <w:spacing w:line="172" w:lineRule="exact" w:before="14"/>
              <w:ind w:left="52"/>
              <w:rPr>
                <w:sz w:val="16"/>
              </w:rPr>
            </w:pPr>
            <w:r>
              <w:rPr>
                <w:spacing w:val="-2"/>
                <w:sz w:val="16"/>
              </w:rPr>
              <w:t>Nepal</w:t>
            </w:r>
          </w:p>
        </w:tc>
        <w:tc>
          <w:tcPr>
            <w:tcW w:w="868" w:type="dxa"/>
          </w:tcPr>
          <w:p>
            <w:pPr>
              <w:pStyle w:val="TableParagraph"/>
              <w:spacing w:line="164" w:lineRule="exact" w:before="21"/>
              <w:ind w:right="63"/>
              <w:jc w:val="right"/>
              <w:rPr>
                <w:sz w:val="16"/>
              </w:rPr>
            </w:pPr>
            <w:r>
              <w:rPr>
                <w:spacing w:val="-2"/>
                <w:sz w:val="16"/>
              </w:rPr>
              <w:t>1,466</w:t>
            </w:r>
          </w:p>
        </w:tc>
        <w:tc>
          <w:tcPr>
            <w:tcW w:w="958" w:type="dxa"/>
          </w:tcPr>
          <w:p>
            <w:pPr>
              <w:pStyle w:val="TableParagraph"/>
              <w:spacing w:line="164" w:lineRule="exact" w:before="21"/>
              <w:ind w:right="46"/>
              <w:jc w:val="right"/>
              <w:rPr>
                <w:sz w:val="16"/>
              </w:rPr>
            </w:pPr>
            <w:r>
              <w:rPr>
                <w:spacing w:val="-4"/>
                <w:sz w:val="16"/>
              </w:rPr>
              <w:t>0.06</w:t>
            </w:r>
          </w:p>
        </w:tc>
        <w:tc>
          <w:tcPr>
            <w:tcW w:w="1043" w:type="dxa"/>
            <w:gridSpan w:val="2"/>
          </w:tcPr>
          <w:p>
            <w:pPr>
              <w:pStyle w:val="TableParagraph"/>
              <w:spacing w:line="164" w:lineRule="exact" w:before="21"/>
              <w:ind w:left="556"/>
              <w:rPr>
                <w:sz w:val="16"/>
              </w:rPr>
            </w:pPr>
            <w:r>
              <w:rPr>
                <w:spacing w:val="-2"/>
                <w:sz w:val="16"/>
              </w:rPr>
              <w:t>176.9</w:t>
            </w:r>
          </w:p>
        </w:tc>
        <w:tc>
          <w:tcPr>
            <w:tcW w:w="831" w:type="dxa"/>
            <w:gridSpan w:val="2"/>
          </w:tcPr>
          <w:p>
            <w:pPr>
              <w:pStyle w:val="TableParagraph"/>
              <w:spacing w:line="164" w:lineRule="exact" w:before="21"/>
              <w:ind w:left="545"/>
              <w:rPr>
                <w:sz w:val="16"/>
              </w:rPr>
            </w:pPr>
            <w:r>
              <w:rPr>
                <w:spacing w:val="-5"/>
                <w:sz w:val="16"/>
              </w:rPr>
              <w:t>7.7</w:t>
            </w:r>
          </w:p>
        </w:tc>
        <w:tc>
          <w:tcPr>
            <w:tcW w:w="1015" w:type="dxa"/>
            <w:gridSpan w:val="2"/>
          </w:tcPr>
          <w:p>
            <w:pPr>
              <w:pStyle w:val="TableParagraph"/>
              <w:spacing w:line="164" w:lineRule="exact" w:before="21"/>
              <w:ind w:left="542"/>
              <w:rPr>
                <w:sz w:val="16"/>
              </w:rPr>
            </w:pPr>
            <w:r>
              <w:rPr>
                <w:spacing w:val="-2"/>
                <w:sz w:val="16"/>
              </w:rPr>
              <w:t>169.1</w:t>
            </w:r>
          </w:p>
        </w:tc>
        <w:tc>
          <w:tcPr>
            <w:tcW w:w="1159" w:type="dxa"/>
            <w:gridSpan w:val="2"/>
          </w:tcPr>
          <w:p>
            <w:pPr>
              <w:pStyle w:val="TableParagraph"/>
              <w:spacing w:line="164" w:lineRule="exact" w:before="21"/>
              <w:ind w:left="697"/>
              <w:rPr>
                <w:sz w:val="16"/>
              </w:rPr>
            </w:pPr>
            <w:r>
              <w:rPr>
                <w:spacing w:val="-2"/>
                <w:sz w:val="16"/>
              </w:rPr>
              <w:t>2,285</w:t>
            </w:r>
          </w:p>
        </w:tc>
        <w:tc>
          <w:tcPr>
            <w:tcW w:w="1094" w:type="dxa"/>
          </w:tcPr>
          <w:p>
            <w:pPr>
              <w:pStyle w:val="TableParagraph"/>
              <w:spacing w:line="164" w:lineRule="exact" w:before="21"/>
              <w:ind w:left="557"/>
              <w:rPr>
                <w:sz w:val="16"/>
              </w:rPr>
            </w:pPr>
            <w:r>
              <w:rPr>
                <w:spacing w:val="-4"/>
                <w:sz w:val="16"/>
              </w:rPr>
              <w:t>0.08</w:t>
            </w:r>
          </w:p>
        </w:tc>
      </w:tr>
      <w:tr>
        <w:trPr>
          <w:trHeight w:val="225" w:hRule="atLeast"/>
        </w:trPr>
        <w:tc>
          <w:tcPr>
            <w:tcW w:w="2460" w:type="dxa"/>
          </w:tcPr>
          <w:p>
            <w:pPr>
              <w:pStyle w:val="TableParagraph"/>
              <w:spacing w:before="33"/>
              <w:ind w:left="52"/>
              <w:rPr>
                <w:sz w:val="16"/>
              </w:rPr>
            </w:pPr>
            <w:r>
              <w:rPr>
                <w:spacing w:val="-2"/>
                <w:sz w:val="16"/>
              </w:rPr>
              <w:t>Netherlands </w:t>
            </w:r>
            <w:r>
              <w:rPr>
                <w:spacing w:val="-10"/>
                <w:sz w:val="16"/>
                <w:vertAlign w:val="superscript"/>
              </w:rPr>
              <w:t>c</w:t>
            </w:r>
          </w:p>
        </w:tc>
        <w:tc>
          <w:tcPr>
            <w:tcW w:w="868" w:type="dxa"/>
          </w:tcPr>
          <w:p>
            <w:pPr>
              <w:pStyle w:val="TableParagraph"/>
              <w:spacing w:before="41"/>
              <w:ind w:right="63"/>
              <w:jc w:val="right"/>
              <w:rPr>
                <w:sz w:val="16"/>
              </w:rPr>
            </w:pPr>
            <w:r>
              <w:rPr>
                <w:spacing w:val="-2"/>
                <w:sz w:val="16"/>
              </w:rPr>
              <w:t>52,228</w:t>
            </w:r>
          </w:p>
        </w:tc>
        <w:tc>
          <w:tcPr>
            <w:tcW w:w="958" w:type="dxa"/>
          </w:tcPr>
          <w:p>
            <w:pPr>
              <w:pStyle w:val="TableParagraph"/>
              <w:spacing w:before="41"/>
              <w:ind w:right="46"/>
              <w:jc w:val="right"/>
              <w:rPr>
                <w:sz w:val="16"/>
              </w:rPr>
            </w:pPr>
            <w:r>
              <w:rPr>
                <w:spacing w:val="-4"/>
                <w:sz w:val="16"/>
              </w:rPr>
              <w:t>1.98</w:t>
            </w:r>
          </w:p>
        </w:tc>
        <w:tc>
          <w:tcPr>
            <w:tcW w:w="1043" w:type="dxa"/>
            <w:gridSpan w:val="2"/>
          </w:tcPr>
          <w:p>
            <w:pPr>
              <w:pStyle w:val="TableParagraph"/>
              <w:spacing w:before="41"/>
              <w:ind w:left="422"/>
              <w:rPr>
                <w:sz w:val="16"/>
              </w:rPr>
            </w:pPr>
            <w:r>
              <w:rPr>
                <w:spacing w:val="-2"/>
                <w:sz w:val="16"/>
              </w:rPr>
              <w:t>6,300.5</w:t>
            </w:r>
          </w:p>
        </w:tc>
        <w:tc>
          <w:tcPr>
            <w:tcW w:w="831" w:type="dxa"/>
            <w:gridSpan w:val="2"/>
          </w:tcPr>
          <w:p>
            <w:pPr>
              <w:pStyle w:val="TableParagraph"/>
              <w:spacing w:before="41"/>
              <w:ind w:left="368"/>
              <w:rPr>
                <w:sz w:val="16"/>
              </w:rPr>
            </w:pPr>
            <w:r>
              <w:rPr>
                <w:spacing w:val="-2"/>
                <w:sz w:val="16"/>
              </w:rPr>
              <w:t>444.5</w:t>
            </w:r>
          </w:p>
        </w:tc>
        <w:tc>
          <w:tcPr>
            <w:tcW w:w="1015" w:type="dxa"/>
            <w:gridSpan w:val="2"/>
          </w:tcPr>
          <w:p>
            <w:pPr>
              <w:pStyle w:val="TableParagraph"/>
              <w:spacing w:before="41"/>
              <w:ind w:left="408"/>
              <w:rPr>
                <w:sz w:val="16"/>
              </w:rPr>
            </w:pPr>
            <w:r>
              <w:rPr>
                <w:spacing w:val="-2"/>
                <w:sz w:val="16"/>
              </w:rPr>
              <w:t>5,856.0</w:t>
            </w:r>
          </w:p>
        </w:tc>
        <w:tc>
          <w:tcPr>
            <w:tcW w:w="1159" w:type="dxa"/>
            <w:gridSpan w:val="2"/>
          </w:tcPr>
          <w:p>
            <w:pPr>
              <w:pStyle w:val="TableParagraph"/>
              <w:spacing w:before="41"/>
              <w:ind w:left="609"/>
              <w:rPr>
                <w:sz w:val="16"/>
              </w:rPr>
            </w:pPr>
            <w:r>
              <w:rPr>
                <w:spacing w:val="-2"/>
                <w:sz w:val="16"/>
              </w:rPr>
              <w:t>53,047</w:t>
            </w:r>
          </w:p>
        </w:tc>
        <w:tc>
          <w:tcPr>
            <w:tcW w:w="1094" w:type="dxa"/>
          </w:tcPr>
          <w:p>
            <w:pPr>
              <w:pStyle w:val="TableParagraph"/>
              <w:spacing w:before="41"/>
              <w:ind w:left="557"/>
              <w:rPr>
                <w:sz w:val="16"/>
              </w:rPr>
            </w:pPr>
            <w:r>
              <w:rPr>
                <w:spacing w:val="-4"/>
                <w:sz w:val="16"/>
              </w:rPr>
              <w:t>1.90</w:t>
            </w:r>
          </w:p>
        </w:tc>
      </w:tr>
      <w:tr>
        <w:trPr>
          <w:trHeight w:val="244" w:hRule="atLeast"/>
        </w:trPr>
        <w:tc>
          <w:tcPr>
            <w:tcW w:w="2460" w:type="dxa"/>
            <w:shd w:val="clear" w:color="auto" w:fill="D8D8D8"/>
          </w:tcPr>
          <w:p>
            <w:pPr>
              <w:pStyle w:val="TableParagraph"/>
              <w:spacing w:before="11"/>
              <w:ind w:left="52"/>
              <w:rPr>
                <w:sz w:val="16"/>
              </w:rPr>
            </w:pPr>
            <w:r>
              <w:rPr>
                <w:sz w:val="16"/>
              </w:rPr>
              <w:t>New</w:t>
            </w:r>
            <w:r>
              <w:rPr>
                <w:spacing w:val="-5"/>
                <w:sz w:val="16"/>
              </w:rPr>
              <w:t> </w:t>
            </w:r>
            <w:r>
              <w:rPr>
                <w:sz w:val="16"/>
              </w:rPr>
              <w:t>Zealand</w:t>
            </w:r>
            <w:r>
              <w:rPr>
                <w:spacing w:val="-4"/>
                <w:sz w:val="16"/>
              </w:rPr>
              <w:t> </w:t>
            </w:r>
            <w:r>
              <w:rPr>
                <w:spacing w:val="-10"/>
                <w:sz w:val="16"/>
                <w:vertAlign w:val="superscript"/>
              </w:rPr>
              <w:t>c</w:t>
            </w:r>
          </w:p>
        </w:tc>
        <w:tc>
          <w:tcPr>
            <w:tcW w:w="868" w:type="dxa"/>
            <w:shd w:val="clear" w:color="auto" w:fill="D8D8D8"/>
          </w:tcPr>
          <w:p>
            <w:pPr>
              <w:pStyle w:val="TableParagraph"/>
              <w:spacing w:line="183" w:lineRule="exact" w:before="19"/>
              <w:ind w:right="63"/>
              <w:jc w:val="right"/>
              <w:rPr>
                <w:sz w:val="16"/>
              </w:rPr>
            </w:pPr>
            <w:r>
              <w:rPr>
                <w:spacing w:val="-2"/>
                <w:sz w:val="16"/>
              </w:rPr>
              <w:t>10,886</w:t>
            </w:r>
          </w:p>
        </w:tc>
        <w:tc>
          <w:tcPr>
            <w:tcW w:w="958" w:type="dxa"/>
            <w:shd w:val="clear" w:color="auto" w:fill="D8D8D8"/>
          </w:tcPr>
          <w:p>
            <w:pPr>
              <w:pStyle w:val="TableParagraph"/>
              <w:spacing w:line="183" w:lineRule="exact" w:before="19"/>
              <w:ind w:right="46"/>
              <w:jc w:val="right"/>
              <w:rPr>
                <w:sz w:val="16"/>
              </w:rPr>
            </w:pPr>
            <w:r>
              <w:rPr>
                <w:spacing w:val="-4"/>
                <w:sz w:val="16"/>
              </w:rPr>
              <w:t>0.41</w:t>
            </w:r>
          </w:p>
        </w:tc>
        <w:tc>
          <w:tcPr>
            <w:tcW w:w="1043" w:type="dxa"/>
            <w:gridSpan w:val="2"/>
            <w:shd w:val="clear" w:color="auto" w:fill="D8D8D8"/>
          </w:tcPr>
          <w:p>
            <w:pPr>
              <w:pStyle w:val="TableParagraph"/>
              <w:spacing w:line="183" w:lineRule="exact" w:before="19"/>
              <w:ind w:left="422"/>
              <w:rPr>
                <w:sz w:val="16"/>
              </w:rPr>
            </w:pPr>
            <w:r>
              <w:rPr>
                <w:spacing w:val="-2"/>
                <w:sz w:val="16"/>
              </w:rPr>
              <w:t>1,313.2</w:t>
            </w:r>
          </w:p>
        </w:tc>
        <w:tc>
          <w:tcPr>
            <w:tcW w:w="831" w:type="dxa"/>
            <w:gridSpan w:val="2"/>
            <w:shd w:val="clear" w:color="auto" w:fill="D8D8D8"/>
          </w:tcPr>
          <w:p>
            <w:pPr>
              <w:pStyle w:val="TableParagraph"/>
              <w:spacing w:line="183" w:lineRule="exact" w:before="19"/>
              <w:ind w:left="456"/>
              <w:rPr>
                <w:sz w:val="16"/>
              </w:rPr>
            </w:pPr>
            <w:r>
              <w:rPr>
                <w:spacing w:val="-4"/>
                <w:sz w:val="16"/>
              </w:rPr>
              <w:t>90.2</w:t>
            </w:r>
          </w:p>
        </w:tc>
        <w:tc>
          <w:tcPr>
            <w:tcW w:w="1015" w:type="dxa"/>
            <w:gridSpan w:val="2"/>
            <w:shd w:val="clear" w:color="auto" w:fill="D8D8D8"/>
          </w:tcPr>
          <w:p>
            <w:pPr>
              <w:pStyle w:val="TableParagraph"/>
              <w:spacing w:line="183" w:lineRule="exact" w:before="19"/>
              <w:ind w:left="408"/>
              <w:rPr>
                <w:sz w:val="16"/>
              </w:rPr>
            </w:pPr>
            <w:r>
              <w:rPr>
                <w:spacing w:val="-2"/>
                <w:sz w:val="16"/>
              </w:rPr>
              <w:t>1,223.1</w:t>
            </w:r>
          </w:p>
        </w:tc>
        <w:tc>
          <w:tcPr>
            <w:tcW w:w="1159" w:type="dxa"/>
            <w:gridSpan w:val="2"/>
            <w:shd w:val="clear" w:color="auto" w:fill="D8D8D8"/>
          </w:tcPr>
          <w:p>
            <w:pPr>
              <w:pStyle w:val="TableParagraph"/>
              <w:spacing w:line="183" w:lineRule="exact" w:before="19"/>
              <w:ind w:left="620"/>
              <w:rPr>
                <w:sz w:val="16"/>
              </w:rPr>
            </w:pPr>
            <w:r>
              <w:rPr>
                <w:spacing w:val="-2"/>
                <w:sz w:val="16"/>
              </w:rPr>
              <w:t>11,705</w:t>
            </w:r>
          </w:p>
        </w:tc>
        <w:tc>
          <w:tcPr>
            <w:tcW w:w="1094" w:type="dxa"/>
            <w:shd w:val="clear" w:color="auto" w:fill="D8D8D8"/>
          </w:tcPr>
          <w:p>
            <w:pPr>
              <w:pStyle w:val="TableParagraph"/>
              <w:spacing w:line="183" w:lineRule="exact" w:before="19"/>
              <w:ind w:left="557"/>
              <w:rPr>
                <w:sz w:val="16"/>
              </w:rPr>
            </w:pPr>
            <w:r>
              <w:rPr>
                <w:spacing w:val="-4"/>
                <w:sz w:val="16"/>
              </w:rPr>
              <w:t>0.42</w:t>
            </w:r>
          </w:p>
        </w:tc>
      </w:tr>
      <w:tr>
        <w:trPr>
          <w:trHeight w:val="225" w:hRule="atLeast"/>
        </w:trPr>
        <w:tc>
          <w:tcPr>
            <w:tcW w:w="2460" w:type="dxa"/>
            <w:shd w:val="clear" w:color="auto" w:fill="D8D8D8"/>
          </w:tcPr>
          <w:p>
            <w:pPr>
              <w:pStyle w:val="TableParagraph"/>
              <w:spacing w:before="14"/>
              <w:ind w:left="52"/>
              <w:rPr>
                <w:sz w:val="16"/>
              </w:rPr>
            </w:pPr>
            <w:r>
              <w:rPr>
                <w:spacing w:val="-2"/>
                <w:sz w:val="16"/>
              </w:rPr>
              <w:t>Nicaragua</w:t>
            </w:r>
          </w:p>
        </w:tc>
        <w:tc>
          <w:tcPr>
            <w:tcW w:w="868" w:type="dxa"/>
            <w:shd w:val="clear" w:color="auto" w:fill="D8D8D8"/>
          </w:tcPr>
          <w:p>
            <w:pPr>
              <w:pStyle w:val="TableParagraph"/>
              <w:spacing w:line="183" w:lineRule="exact" w:before="21"/>
              <w:ind w:right="63"/>
              <w:jc w:val="right"/>
              <w:rPr>
                <w:sz w:val="16"/>
              </w:rPr>
            </w:pPr>
            <w:r>
              <w:rPr>
                <w:spacing w:val="-5"/>
                <w:sz w:val="16"/>
              </w:rPr>
              <w:t>999</w:t>
            </w:r>
          </w:p>
        </w:tc>
        <w:tc>
          <w:tcPr>
            <w:tcW w:w="958" w:type="dxa"/>
            <w:shd w:val="clear" w:color="auto" w:fill="D8D8D8"/>
          </w:tcPr>
          <w:p>
            <w:pPr>
              <w:pStyle w:val="TableParagraph"/>
              <w:spacing w:line="183" w:lineRule="exact" w:before="21"/>
              <w:ind w:right="46"/>
              <w:jc w:val="right"/>
              <w:rPr>
                <w:sz w:val="16"/>
              </w:rPr>
            </w:pPr>
            <w:r>
              <w:rPr>
                <w:spacing w:val="-4"/>
                <w:sz w:val="16"/>
              </w:rPr>
              <w:t>0.04</w:t>
            </w:r>
          </w:p>
        </w:tc>
        <w:tc>
          <w:tcPr>
            <w:tcW w:w="1043" w:type="dxa"/>
            <w:gridSpan w:val="2"/>
            <w:shd w:val="clear" w:color="auto" w:fill="D8D8D8"/>
          </w:tcPr>
          <w:p>
            <w:pPr>
              <w:pStyle w:val="TableParagraph"/>
              <w:spacing w:line="183" w:lineRule="exact" w:before="21"/>
              <w:ind w:left="556"/>
              <w:rPr>
                <w:sz w:val="16"/>
              </w:rPr>
            </w:pPr>
            <w:r>
              <w:rPr>
                <w:spacing w:val="-2"/>
                <w:sz w:val="16"/>
              </w:rPr>
              <w:t>120.5</w:t>
            </w:r>
          </w:p>
        </w:tc>
        <w:tc>
          <w:tcPr>
            <w:tcW w:w="831" w:type="dxa"/>
            <w:gridSpan w:val="2"/>
            <w:shd w:val="clear" w:color="auto" w:fill="D8D8D8"/>
          </w:tcPr>
          <w:p>
            <w:pPr>
              <w:pStyle w:val="TableParagraph"/>
              <w:spacing w:line="183" w:lineRule="exact" w:before="21"/>
              <w:ind w:left="545"/>
              <w:rPr>
                <w:sz w:val="16"/>
              </w:rPr>
            </w:pPr>
            <w:r>
              <w:rPr>
                <w:spacing w:val="-5"/>
                <w:sz w:val="16"/>
              </w:rPr>
              <w:t>5.3</w:t>
            </w:r>
          </w:p>
        </w:tc>
        <w:tc>
          <w:tcPr>
            <w:tcW w:w="1015" w:type="dxa"/>
            <w:gridSpan w:val="2"/>
            <w:shd w:val="clear" w:color="auto" w:fill="D8D8D8"/>
          </w:tcPr>
          <w:p>
            <w:pPr>
              <w:pStyle w:val="TableParagraph"/>
              <w:spacing w:line="183" w:lineRule="exact" w:before="21"/>
              <w:ind w:left="542"/>
              <w:rPr>
                <w:sz w:val="16"/>
              </w:rPr>
            </w:pPr>
            <w:r>
              <w:rPr>
                <w:spacing w:val="-2"/>
                <w:sz w:val="16"/>
              </w:rPr>
              <w:t>115.2</w:t>
            </w:r>
          </w:p>
        </w:tc>
        <w:tc>
          <w:tcPr>
            <w:tcW w:w="1159" w:type="dxa"/>
            <w:gridSpan w:val="2"/>
            <w:shd w:val="clear" w:color="auto" w:fill="D8D8D8"/>
          </w:tcPr>
          <w:p>
            <w:pPr>
              <w:pStyle w:val="TableParagraph"/>
              <w:spacing w:line="183" w:lineRule="exact" w:before="21"/>
              <w:ind w:left="697"/>
              <w:rPr>
                <w:sz w:val="16"/>
              </w:rPr>
            </w:pPr>
            <w:r>
              <w:rPr>
                <w:spacing w:val="-2"/>
                <w:sz w:val="16"/>
              </w:rPr>
              <w:t>1,818</w:t>
            </w:r>
          </w:p>
        </w:tc>
        <w:tc>
          <w:tcPr>
            <w:tcW w:w="1094" w:type="dxa"/>
            <w:shd w:val="clear" w:color="auto" w:fill="D8D8D8"/>
          </w:tcPr>
          <w:p>
            <w:pPr>
              <w:pStyle w:val="TableParagraph"/>
              <w:spacing w:line="183" w:lineRule="exact" w:before="21"/>
              <w:ind w:left="557"/>
              <w:rPr>
                <w:sz w:val="16"/>
              </w:rPr>
            </w:pPr>
            <w:r>
              <w:rPr>
                <w:spacing w:val="-4"/>
                <w:sz w:val="16"/>
              </w:rPr>
              <w:t>0.07</w:t>
            </w:r>
          </w:p>
        </w:tc>
      </w:tr>
      <w:tr>
        <w:trPr>
          <w:trHeight w:val="225" w:hRule="atLeast"/>
        </w:trPr>
        <w:tc>
          <w:tcPr>
            <w:tcW w:w="2460" w:type="dxa"/>
            <w:shd w:val="clear" w:color="auto" w:fill="D8D8D8"/>
          </w:tcPr>
          <w:p>
            <w:pPr>
              <w:pStyle w:val="TableParagraph"/>
              <w:spacing w:before="14"/>
              <w:ind w:left="52"/>
              <w:rPr>
                <w:sz w:val="16"/>
              </w:rPr>
            </w:pPr>
            <w:r>
              <w:rPr>
                <w:spacing w:val="-2"/>
                <w:sz w:val="16"/>
              </w:rPr>
              <w:t>Niger</w:t>
            </w:r>
          </w:p>
        </w:tc>
        <w:tc>
          <w:tcPr>
            <w:tcW w:w="868" w:type="dxa"/>
            <w:shd w:val="clear" w:color="auto" w:fill="D8D8D8"/>
          </w:tcPr>
          <w:p>
            <w:pPr>
              <w:pStyle w:val="TableParagraph"/>
              <w:spacing w:line="183" w:lineRule="exact" w:before="21"/>
              <w:ind w:right="63"/>
              <w:jc w:val="right"/>
              <w:rPr>
                <w:sz w:val="16"/>
              </w:rPr>
            </w:pPr>
            <w:r>
              <w:rPr>
                <w:spacing w:val="-2"/>
                <w:sz w:val="16"/>
              </w:rPr>
              <w:t>1,233</w:t>
            </w:r>
          </w:p>
        </w:tc>
        <w:tc>
          <w:tcPr>
            <w:tcW w:w="958" w:type="dxa"/>
            <w:shd w:val="clear" w:color="auto" w:fill="D8D8D8"/>
          </w:tcPr>
          <w:p>
            <w:pPr>
              <w:pStyle w:val="TableParagraph"/>
              <w:spacing w:line="183" w:lineRule="exact" w:before="21"/>
              <w:ind w:right="46"/>
              <w:jc w:val="right"/>
              <w:rPr>
                <w:sz w:val="16"/>
              </w:rPr>
            </w:pPr>
            <w:r>
              <w:rPr>
                <w:spacing w:val="-4"/>
                <w:sz w:val="16"/>
              </w:rPr>
              <w:t>0.05</w:t>
            </w:r>
          </w:p>
        </w:tc>
        <w:tc>
          <w:tcPr>
            <w:tcW w:w="1043" w:type="dxa"/>
            <w:gridSpan w:val="2"/>
            <w:shd w:val="clear" w:color="auto" w:fill="D8D8D8"/>
          </w:tcPr>
          <w:p>
            <w:pPr>
              <w:pStyle w:val="TableParagraph"/>
              <w:spacing w:line="183" w:lineRule="exact" w:before="21"/>
              <w:ind w:left="556"/>
              <w:rPr>
                <w:sz w:val="16"/>
              </w:rPr>
            </w:pPr>
            <w:r>
              <w:rPr>
                <w:spacing w:val="-2"/>
                <w:sz w:val="16"/>
              </w:rPr>
              <w:t>148.7</w:t>
            </w:r>
          </w:p>
        </w:tc>
        <w:tc>
          <w:tcPr>
            <w:tcW w:w="831" w:type="dxa"/>
            <w:gridSpan w:val="2"/>
            <w:shd w:val="clear" w:color="auto" w:fill="D8D8D8"/>
          </w:tcPr>
          <w:p>
            <w:pPr>
              <w:pStyle w:val="TableParagraph"/>
              <w:spacing w:line="183" w:lineRule="exact" w:before="21"/>
              <w:ind w:left="545"/>
              <w:rPr>
                <w:sz w:val="16"/>
              </w:rPr>
            </w:pPr>
            <w:r>
              <w:rPr>
                <w:spacing w:val="-5"/>
                <w:sz w:val="16"/>
              </w:rPr>
              <w:t>5.6</w:t>
            </w:r>
          </w:p>
        </w:tc>
        <w:tc>
          <w:tcPr>
            <w:tcW w:w="1015" w:type="dxa"/>
            <w:gridSpan w:val="2"/>
            <w:shd w:val="clear" w:color="auto" w:fill="D8D8D8"/>
          </w:tcPr>
          <w:p>
            <w:pPr>
              <w:pStyle w:val="TableParagraph"/>
              <w:spacing w:line="183" w:lineRule="exact" w:before="21"/>
              <w:ind w:left="542"/>
              <w:rPr>
                <w:sz w:val="16"/>
              </w:rPr>
            </w:pPr>
            <w:r>
              <w:rPr>
                <w:spacing w:val="-2"/>
                <w:sz w:val="16"/>
              </w:rPr>
              <w:t>143.1</w:t>
            </w:r>
          </w:p>
        </w:tc>
        <w:tc>
          <w:tcPr>
            <w:tcW w:w="1159" w:type="dxa"/>
            <w:gridSpan w:val="2"/>
            <w:shd w:val="clear" w:color="auto" w:fill="D8D8D8"/>
          </w:tcPr>
          <w:p>
            <w:pPr>
              <w:pStyle w:val="TableParagraph"/>
              <w:spacing w:line="183" w:lineRule="exact" w:before="21"/>
              <w:ind w:left="697"/>
              <w:rPr>
                <w:sz w:val="16"/>
              </w:rPr>
            </w:pPr>
            <w:r>
              <w:rPr>
                <w:spacing w:val="-2"/>
                <w:sz w:val="16"/>
              </w:rPr>
              <w:t>2,052</w:t>
            </w:r>
          </w:p>
        </w:tc>
        <w:tc>
          <w:tcPr>
            <w:tcW w:w="1094" w:type="dxa"/>
            <w:shd w:val="clear" w:color="auto" w:fill="D8D8D8"/>
          </w:tcPr>
          <w:p>
            <w:pPr>
              <w:pStyle w:val="TableParagraph"/>
              <w:spacing w:line="183" w:lineRule="exact" w:before="21"/>
              <w:ind w:left="557"/>
              <w:rPr>
                <w:sz w:val="16"/>
              </w:rPr>
            </w:pPr>
            <w:r>
              <w:rPr>
                <w:spacing w:val="-4"/>
                <w:sz w:val="16"/>
              </w:rPr>
              <w:t>0.07</w:t>
            </w:r>
          </w:p>
        </w:tc>
      </w:tr>
      <w:tr>
        <w:trPr>
          <w:trHeight w:val="225" w:hRule="atLeast"/>
        </w:trPr>
        <w:tc>
          <w:tcPr>
            <w:tcW w:w="2460" w:type="dxa"/>
            <w:shd w:val="clear" w:color="auto" w:fill="D8D8D8"/>
          </w:tcPr>
          <w:p>
            <w:pPr>
              <w:pStyle w:val="TableParagraph"/>
              <w:spacing w:before="14"/>
              <w:ind w:left="52"/>
              <w:rPr>
                <w:sz w:val="16"/>
              </w:rPr>
            </w:pPr>
            <w:r>
              <w:rPr>
                <w:spacing w:val="-2"/>
                <w:sz w:val="16"/>
              </w:rPr>
              <w:t>Nigeria</w:t>
            </w:r>
          </w:p>
        </w:tc>
        <w:tc>
          <w:tcPr>
            <w:tcW w:w="868" w:type="dxa"/>
            <w:shd w:val="clear" w:color="auto" w:fill="D8D8D8"/>
          </w:tcPr>
          <w:p>
            <w:pPr>
              <w:pStyle w:val="TableParagraph"/>
              <w:spacing w:line="183" w:lineRule="exact" w:before="21"/>
              <w:ind w:right="63"/>
              <w:jc w:val="right"/>
              <w:rPr>
                <w:sz w:val="16"/>
              </w:rPr>
            </w:pPr>
            <w:r>
              <w:rPr>
                <w:spacing w:val="-2"/>
                <w:sz w:val="16"/>
              </w:rPr>
              <w:t>19,417</w:t>
            </w:r>
          </w:p>
        </w:tc>
        <w:tc>
          <w:tcPr>
            <w:tcW w:w="958" w:type="dxa"/>
            <w:shd w:val="clear" w:color="auto" w:fill="D8D8D8"/>
          </w:tcPr>
          <w:p>
            <w:pPr>
              <w:pStyle w:val="TableParagraph"/>
              <w:spacing w:line="183" w:lineRule="exact" w:before="21"/>
              <w:ind w:right="46"/>
              <w:jc w:val="right"/>
              <w:rPr>
                <w:sz w:val="16"/>
              </w:rPr>
            </w:pPr>
            <w:r>
              <w:rPr>
                <w:spacing w:val="-4"/>
                <w:sz w:val="16"/>
              </w:rPr>
              <w:t>0.74</w:t>
            </w:r>
          </w:p>
        </w:tc>
        <w:tc>
          <w:tcPr>
            <w:tcW w:w="1043" w:type="dxa"/>
            <w:gridSpan w:val="2"/>
            <w:shd w:val="clear" w:color="auto" w:fill="D8D8D8"/>
          </w:tcPr>
          <w:p>
            <w:pPr>
              <w:pStyle w:val="TableParagraph"/>
              <w:spacing w:line="183" w:lineRule="exact" w:before="21"/>
              <w:ind w:left="422"/>
              <w:rPr>
                <w:sz w:val="16"/>
              </w:rPr>
            </w:pPr>
            <w:r>
              <w:rPr>
                <w:spacing w:val="-2"/>
                <w:sz w:val="16"/>
              </w:rPr>
              <w:t>2,342.4</w:t>
            </w:r>
          </w:p>
        </w:tc>
        <w:tc>
          <w:tcPr>
            <w:tcW w:w="831" w:type="dxa"/>
            <w:gridSpan w:val="2"/>
            <w:shd w:val="clear" w:color="auto" w:fill="D8D8D8"/>
          </w:tcPr>
          <w:p>
            <w:pPr>
              <w:pStyle w:val="TableParagraph"/>
              <w:spacing w:line="183" w:lineRule="exact" w:before="21"/>
              <w:ind w:left="368"/>
              <w:rPr>
                <w:sz w:val="16"/>
              </w:rPr>
            </w:pPr>
            <w:r>
              <w:rPr>
                <w:spacing w:val="-2"/>
                <w:sz w:val="16"/>
              </w:rPr>
              <w:t>168.0</w:t>
            </w:r>
          </w:p>
        </w:tc>
        <w:tc>
          <w:tcPr>
            <w:tcW w:w="1015" w:type="dxa"/>
            <w:gridSpan w:val="2"/>
            <w:shd w:val="clear" w:color="auto" w:fill="D8D8D8"/>
          </w:tcPr>
          <w:p>
            <w:pPr>
              <w:pStyle w:val="TableParagraph"/>
              <w:spacing w:line="183" w:lineRule="exact" w:before="21"/>
              <w:ind w:left="408"/>
              <w:rPr>
                <w:sz w:val="16"/>
              </w:rPr>
            </w:pPr>
            <w:r>
              <w:rPr>
                <w:spacing w:val="-2"/>
                <w:sz w:val="16"/>
              </w:rPr>
              <w:t>2,174.3</w:t>
            </w:r>
          </w:p>
        </w:tc>
        <w:tc>
          <w:tcPr>
            <w:tcW w:w="1159" w:type="dxa"/>
            <w:gridSpan w:val="2"/>
            <w:shd w:val="clear" w:color="auto" w:fill="D8D8D8"/>
          </w:tcPr>
          <w:p>
            <w:pPr>
              <w:pStyle w:val="TableParagraph"/>
              <w:spacing w:line="183" w:lineRule="exact" w:before="21"/>
              <w:ind w:left="609"/>
              <w:rPr>
                <w:sz w:val="16"/>
              </w:rPr>
            </w:pPr>
            <w:r>
              <w:rPr>
                <w:spacing w:val="-2"/>
                <w:sz w:val="16"/>
              </w:rPr>
              <w:t>20,236</w:t>
            </w:r>
          </w:p>
        </w:tc>
        <w:tc>
          <w:tcPr>
            <w:tcW w:w="1094" w:type="dxa"/>
            <w:shd w:val="clear" w:color="auto" w:fill="D8D8D8"/>
          </w:tcPr>
          <w:p>
            <w:pPr>
              <w:pStyle w:val="TableParagraph"/>
              <w:spacing w:line="183" w:lineRule="exact" w:before="21"/>
              <w:ind w:left="557"/>
              <w:rPr>
                <w:sz w:val="16"/>
              </w:rPr>
            </w:pPr>
            <w:r>
              <w:rPr>
                <w:spacing w:val="-4"/>
                <w:sz w:val="16"/>
              </w:rPr>
              <w:t>0.73</w:t>
            </w:r>
          </w:p>
        </w:tc>
      </w:tr>
      <w:tr>
        <w:trPr>
          <w:trHeight w:val="205" w:hRule="atLeast"/>
        </w:trPr>
        <w:tc>
          <w:tcPr>
            <w:tcW w:w="2460" w:type="dxa"/>
            <w:shd w:val="clear" w:color="auto" w:fill="D8D8D8"/>
          </w:tcPr>
          <w:p>
            <w:pPr>
              <w:pStyle w:val="TableParagraph"/>
              <w:spacing w:before="14"/>
              <w:ind w:left="52"/>
              <w:rPr>
                <w:sz w:val="16"/>
              </w:rPr>
            </w:pPr>
            <w:r>
              <w:rPr>
                <w:sz w:val="16"/>
              </w:rPr>
              <w:t>North</w:t>
            </w:r>
            <w:r>
              <w:rPr>
                <w:spacing w:val="-5"/>
                <w:sz w:val="16"/>
              </w:rPr>
              <w:t> </w:t>
            </w:r>
            <w:r>
              <w:rPr>
                <w:spacing w:val="-2"/>
                <w:sz w:val="16"/>
              </w:rPr>
              <w:t>Macedonia</w:t>
            </w:r>
          </w:p>
        </w:tc>
        <w:tc>
          <w:tcPr>
            <w:tcW w:w="868" w:type="dxa"/>
            <w:shd w:val="clear" w:color="auto" w:fill="D8D8D8"/>
          </w:tcPr>
          <w:p>
            <w:pPr>
              <w:pStyle w:val="TableParagraph"/>
              <w:spacing w:before="21"/>
              <w:ind w:right="63"/>
              <w:jc w:val="right"/>
              <w:rPr>
                <w:sz w:val="16"/>
              </w:rPr>
            </w:pPr>
            <w:r>
              <w:rPr>
                <w:spacing w:val="-5"/>
                <w:sz w:val="16"/>
              </w:rPr>
              <w:t>641</w:t>
            </w:r>
          </w:p>
        </w:tc>
        <w:tc>
          <w:tcPr>
            <w:tcW w:w="958" w:type="dxa"/>
            <w:shd w:val="clear" w:color="auto" w:fill="D8D8D8"/>
          </w:tcPr>
          <w:p>
            <w:pPr>
              <w:pStyle w:val="TableParagraph"/>
              <w:spacing w:before="21"/>
              <w:ind w:right="46"/>
              <w:jc w:val="right"/>
              <w:rPr>
                <w:sz w:val="16"/>
              </w:rPr>
            </w:pPr>
            <w:r>
              <w:rPr>
                <w:spacing w:val="-4"/>
                <w:sz w:val="16"/>
              </w:rPr>
              <w:t>0.02</w:t>
            </w:r>
          </w:p>
        </w:tc>
        <w:tc>
          <w:tcPr>
            <w:tcW w:w="1043" w:type="dxa"/>
            <w:gridSpan w:val="2"/>
            <w:shd w:val="clear" w:color="auto" w:fill="D8D8D8"/>
          </w:tcPr>
          <w:p>
            <w:pPr>
              <w:pStyle w:val="TableParagraph"/>
              <w:spacing w:before="21"/>
              <w:ind w:left="644"/>
              <w:rPr>
                <w:sz w:val="16"/>
              </w:rPr>
            </w:pPr>
            <w:r>
              <w:rPr>
                <w:spacing w:val="-4"/>
                <w:sz w:val="16"/>
              </w:rPr>
              <w:t>77.3</w:t>
            </w:r>
          </w:p>
        </w:tc>
        <w:tc>
          <w:tcPr>
            <w:tcW w:w="831" w:type="dxa"/>
            <w:gridSpan w:val="2"/>
            <w:shd w:val="clear" w:color="auto" w:fill="D8D8D8"/>
          </w:tcPr>
          <w:p>
            <w:pPr>
              <w:pStyle w:val="TableParagraph"/>
              <w:spacing w:before="21"/>
              <w:ind w:left="545"/>
              <w:rPr>
                <w:sz w:val="16"/>
              </w:rPr>
            </w:pPr>
            <w:r>
              <w:rPr>
                <w:spacing w:val="-5"/>
                <w:sz w:val="16"/>
              </w:rPr>
              <w:t>5.7</w:t>
            </w:r>
          </w:p>
        </w:tc>
        <w:tc>
          <w:tcPr>
            <w:tcW w:w="1015" w:type="dxa"/>
            <w:gridSpan w:val="2"/>
            <w:shd w:val="clear" w:color="auto" w:fill="D8D8D8"/>
          </w:tcPr>
          <w:p>
            <w:pPr>
              <w:pStyle w:val="TableParagraph"/>
              <w:spacing w:before="21"/>
              <w:ind w:left="630"/>
              <w:rPr>
                <w:sz w:val="16"/>
              </w:rPr>
            </w:pPr>
            <w:r>
              <w:rPr>
                <w:spacing w:val="-4"/>
                <w:sz w:val="16"/>
              </w:rPr>
              <w:t>71.7</w:t>
            </w:r>
          </w:p>
        </w:tc>
        <w:tc>
          <w:tcPr>
            <w:tcW w:w="1159" w:type="dxa"/>
            <w:gridSpan w:val="2"/>
            <w:shd w:val="clear" w:color="auto" w:fill="D8D8D8"/>
          </w:tcPr>
          <w:p>
            <w:pPr>
              <w:pStyle w:val="TableParagraph"/>
              <w:spacing w:before="21"/>
              <w:ind w:left="697"/>
              <w:rPr>
                <w:sz w:val="16"/>
              </w:rPr>
            </w:pPr>
            <w:r>
              <w:rPr>
                <w:spacing w:val="-2"/>
                <w:sz w:val="16"/>
              </w:rPr>
              <w:t>1,460</w:t>
            </w:r>
          </w:p>
        </w:tc>
        <w:tc>
          <w:tcPr>
            <w:tcW w:w="1094" w:type="dxa"/>
            <w:shd w:val="clear" w:color="auto" w:fill="D8D8D8"/>
          </w:tcPr>
          <w:p>
            <w:pPr>
              <w:pStyle w:val="TableParagraph"/>
              <w:spacing w:before="21"/>
              <w:ind w:left="557"/>
              <w:rPr>
                <w:sz w:val="16"/>
              </w:rPr>
            </w:pPr>
            <w:r>
              <w:rPr>
                <w:spacing w:val="-4"/>
                <w:sz w:val="16"/>
              </w:rPr>
              <w:t>0.05</w:t>
            </w:r>
          </w:p>
        </w:tc>
      </w:tr>
      <w:tr>
        <w:trPr>
          <w:trHeight w:val="244" w:hRule="atLeast"/>
        </w:trPr>
        <w:tc>
          <w:tcPr>
            <w:tcW w:w="2460" w:type="dxa"/>
          </w:tcPr>
          <w:p>
            <w:pPr>
              <w:pStyle w:val="TableParagraph"/>
              <w:spacing w:before="11"/>
              <w:ind w:left="52"/>
              <w:rPr>
                <w:sz w:val="16"/>
              </w:rPr>
            </w:pPr>
            <w:r>
              <w:rPr>
                <w:sz w:val="16"/>
              </w:rPr>
              <w:t>Norway</w:t>
            </w:r>
            <w:r>
              <w:rPr>
                <w:spacing w:val="-5"/>
                <w:sz w:val="16"/>
              </w:rPr>
              <w:t> </w:t>
            </w:r>
            <w:r>
              <w:rPr>
                <w:spacing w:val="-10"/>
                <w:sz w:val="16"/>
                <w:vertAlign w:val="superscript"/>
              </w:rPr>
              <w:t>c</w:t>
            </w:r>
          </w:p>
        </w:tc>
        <w:tc>
          <w:tcPr>
            <w:tcW w:w="868" w:type="dxa"/>
          </w:tcPr>
          <w:p>
            <w:pPr>
              <w:pStyle w:val="TableParagraph"/>
              <w:spacing w:line="183" w:lineRule="exact" w:before="19"/>
              <w:ind w:right="63"/>
              <w:jc w:val="right"/>
              <w:rPr>
                <w:sz w:val="16"/>
              </w:rPr>
            </w:pPr>
            <w:r>
              <w:rPr>
                <w:spacing w:val="-2"/>
                <w:sz w:val="16"/>
              </w:rPr>
              <w:t>16,744</w:t>
            </w:r>
          </w:p>
        </w:tc>
        <w:tc>
          <w:tcPr>
            <w:tcW w:w="958" w:type="dxa"/>
          </w:tcPr>
          <w:p>
            <w:pPr>
              <w:pStyle w:val="TableParagraph"/>
              <w:spacing w:line="183" w:lineRule="exact" w:before="19"/>
              <w:ind w:right="46"/>
              <w:jc w:val="right"/>
              <w:rPr>
                <w:sz w:val="16"/>
              </w:rPr>
            </w:pPr>
            <w:r>
              <w:rPr>
                <w:spacing w:val="-4"/>
                <w:sz w:val="16"/>
              </w:rPr>
              <w:t>0.64</w:t>
            </w:r>
          </w:p>
        </w:tc>
        <w:tc>
          <w:tcPr>
            <w:tcW w:w="1043" w:type="dxa"/>
            <w:gridSpan w:val="2"/>
          </w:tcPr>
          <w:p>
            <w:pPr>
              <w:pStyle w:val="TableParagraph"/>
              <w:spacing w:line="183" w:lineRule="exact" w:before="19"/>
              <w:ind w:left="422"/>
              <w:rPr>
                <w:sz w:val="16"/>
              </w:rPr>
            </w:pPr>
            <w:r>
              <w:rPr>
                <w:spacing w:val="-2"/>
                <w:sz w:val="16"/>
              </w:rPr>
              <w:t>2,019.9</w:t>
            </w:r>
          </w:p>
        </w:tc>
        <w:tc>
          <w:tcPr>
            <w:tcW w:w="831" w:type="dxa"/>
            <w:gridSpan w:val="2"/>
          </w:tcPr>
          <w:p>
            <w:pPr>
              <w:pStyle w:val="TableParagraph"/>
              <w:spacing w:line="183" w:lineRule="exact" w:before="19"/>
              <w:ind w:left="368"/>
              <w:rPr>
                <w:sz w:val="16"/>
              </w:rPr>
            </w:pPr>
            <w:r>
              <w:rPr>
                <w:spacing w:val="-2"/>
                <w:sz w:val="16"/>
              </w:rPr>
              <w:t>145.0</w:t>
            </w:r>
          </w:p>
        </w:tc>
        <w:tc>
          <w:tcPr>
            <w:tcW w:w="1015" w:type="dxa"/>
            <w:gridSpan w:val="2"/>
          </w:tcPr>
          <w:p>
            <w:pPr>
              <w:pStyle w:val="TableParagraph"/>
              <w:spacing w:line="183" w:lineRule="exact" w:before="19"/>
              <w:ind w:left="408"/>
              <w:rPr>
                <w:sz w:val="16"/>
              </w:rPr>
            </w:pPr>
            <w:r>
              <w:rPr>
                <w:spacing w:val="-2"/>
                <w:sz w:val="16"/>
              </w:rPr>
              <w:t>1,874.9</w:t>
            </w:r>
          </w:p>
        </w:tc>
        <w:tc>
          <w:tcPr>
            <w:tcW w:w="1159" w:type="dxa"/>
            <w:gridSpan w:val="2"/>
          </w:tcPr>
          <w:p>
            <w:pPr>
              <w:pStyle w:val="TableParagraph"/>
              <w:spacing w:line="183" w:lineRule="exact" w:before="19"/>
              <w:ind w:left="609"/>
              <w:rPr>
                <w:sz w:val="16"/>
              </w:rPr>
            </w:pPr>
            <w:r>
              <w:rPr>
                <w:spacing w:val="-2"/>
                <w:sz w:val="16"/>
              </w:rPr>
              <w:t>17,563</w:t>
            </w:r>
          </w:p>
        </w:tc>
        <w:tc>
          <w:tcPr>
            <w:tcW w:w="1094" w:type="dxa"/>
          </w:tcPr>
          <w:p>
            <w:pPr>
              <w:pStyle w:val="TableParagraph"/>
              <w:spacing w:line="183" w:lineRule="exact" w:before="19"/>
              <w:ind w:left="557"/>
              <w:rPr>
                <w:sz w:val="16"/>
              </w:rPr>
            </w:pPr>
            <w:r>
              <w:rPr>
                <w:spacing w:val="-4"/>
                <w:sz w:val="16"/>
              </w:rPr>
              <w:t>0.63</w:t>
            </w:r>
          </w:p>
        </w:tc>
      </w:tr>
      <w:tr>
        <w:trPr>
          <w:trHeight w:val="225" w:hRule="atLeast"/>
        </w:trPr>
        <w:tc>
          <w:tcPr>
            <w:tcW w:w="2460" w:type="dxa"/>
          </w:tcPr>
          <w:p>
            <w:pPr>
              <w:pStyle w:val="TableParagraph"/>
              <w:spacing w:before="14"/>
              <w:ind w:left="52"/>
              <w:rPr>
                <w:sz w:val="16"/>
              </w:rPr>
            </w:pPr>
            <w:r>
              <w:rPr>
                <w:spacing w:val="-4"/>
                <w:sz w:val="16"/>
              </w:rPr>
              <w:t>Oman</w:t>
            </w:r>
          </w:p>
        </w:tc>
        <w:tc>
          <w:tcPr>
            <w:tcW w:w="868" w:type="dxa"/>
          </w:tcPr>
          <w:p>
            <w:pPr>
              <w:pStyle w:val="TableParagraph"/>
              <w:spacing w:line="183" w:lineRule="exact" w:before="21"/>
              <w:ind w:right="63"/>
              <w:jc w:val="right"/>
              <w:rPr>
                <w:sz w:val="16"/>
              </w:rPr>
            </w:pPr>
            <w:r>
              <w:rPr>
                <w:spacing w:val="-2"/>
                <w:sz w:val="16"/>
              </w:rPr>
              <w:t>1,978</w:t>
            </w:r>
          </w:p>
        </w:tc>
        <w:tc>
          <w:tcPr>
            <w:tcW w:w="958" w:type="dxa"/>
          </w:tcPr>
          <w:p>
            <w:pPr>
              <w:pStyle w:val="TableParagraph"/>
              <w:spacing w:line="183" w:lineRule="exact" w:before="21"/>
              <w:ind w:right="46"/>
              <w:jc w:val="right"/>
              <w:rPr>
                <w:sz w:val="16"/>
              </w:rPr>
            </w:pPr>
            <w:r>
              <w:rPr>
                <w:spacing w:val="-4"/>
                <w:sz w:val="16"/>
              </w:rPr>
              <w:t>0.08</w:t>
            </w:r>
          </w:p>
        </w:tc>
        <w:tc>
          <w:tcPr>
            <w:tcW w:w="1043" w:type="dxa"/>
            <w:gridSpan w:val="2"/>
          </w:tcPr>
          <w:p>
            <w:pPr>
              <w:pStyle w:val="TableParagraph"/>
              <w:spacing w:line="183" w:lineRule="exact" w:before="21"/>
              <w:ind w:left="556"/>
              <w:rPr>
                <w:sz w:val="16"/>
              </w:rPr>
            </w:pPr>
            <w:r>
              <w:rPr>
                <w:spacing w:val="-2"/>
                <w:sz w:val="16"/>
              </w:rPr>
              <w:t>238.6</w:t>
            </w:r>
          </w:p>
        </w:tc>
        <w:tc>
          <w:tcPr>
            <w:tcW w:w="831" w:type="dxa"/>
            <w:gridSpan w:val="2"/>
          </w:tcPr>
          <w:p>
            <w:pPr>
              <w:pStyle w:val="TableParagraph"/>
              <w:spacing w:line="183" w:lineRule="exact" w:before="21"/>
              <w:ind w:left="456"/>
              <w:rPr>
                <w:sz w:val="16"/>
              </w:rPr>
            </w:pPr>
            <w:r>
              <w:rPr>
                <w:spacing w:val="-4"/>
                <w:sz w:val="16"/>
              </w:rPr>
              <w:t>12.1</w:t>
            </w:r>
          </w:p>
        </w:tc>
        <w:tc>
          <w:tcPr>
            <w:tcW w:w="1015" w:type="dxa"/>
            <w:gridSpan w:val="2"/>
          </w:tcPr>
          <w:p>
            <w:pPr>
              <w:pStyle w:val="TableParagraph"/>
              <w:spacing w:line="183" w:lineRule="exact" w:before="21"/>
              <w:ind w:left="542"/>
              <w:rPr>
                <w:sz w:val="16"/>
              </w:rPr>
            </w:pPr>
            <w:r>
              <w:rPr>
                <w:spacing w:val="-2"/>
                <w:sz w:val="16"/>
              </w:rPr>
              <w:t>226.5</w:t>
            </w:r>
          </w:p>
        </w:tc>
        <w:tc>
          <w:tcPr>
            <w:tcW w:w="1159" w:type="dxa"/>
            <w:gridSpan w:val="2"/>
          </w:tcPr>
          <w:p>
            <w:pPr>
              <w:pStyle w:val="TableParagraph"/>
              <w:spacing w:line="183" w:lineRule="exact" w:before="21"/>
              <w:ind w:left="697"/>
              <w:rPr>
                <w:sz w:val="16"/>
              </w:rPr>
            </w:pPr>
            <w:r>
              <w:rPr>
                <w:spacing w:val="-2"/>
                <w:sz w:val="16"/>
              </w:rPr>
              <w:t>2,797</w:t>
            </w:r>
          </w:p>
        </w:tc>
        <w:tc>
          <w:tcPr>
            <w:tcW w:w="1094" w:type="dxa"/>
          </w:tcPr>
          <w:p>
            <w:pPr>
              <w:pStyle w:val="TableParagraph"/>
              <w:spacing w:line="183" w:lineRule="exact" w:before="21"/>
              <w:ind w:left="557"/>
              <w:rPr>
                <w:sz w:val="16"/>
              </w:rPr>
            </w:pPr>
            <w:r>
              <w:rPr>
                <w:spacing w:val="-4"/>
                <w:sz w:val="16"/>
              </w:rPr>
              <w:t>0.10</w:t>
            </w:r>
          </w:p>
        </w:tc>
      </w:tr>
      <w:tr>
        <w:trPr>
          <w:trHeight w:val="225" w:hRule="atLeast"/>
        </w:trPr>
        <w:tc>
          <w:tcPr>
            <w:tcW w:w="2460" w:type="dxa"/>
          </w:tcPr>
          <w:p>
            <w:pPr>
              <w:pStyle w:val="TableParagraph"/>
              <w:spacing w:before="14"/>
              <w:ind w:left="52"/>
              <w:rPr>
                <w:sz w:val="16"/>
              </w:rPr>
            </w:pPr>
            <w:r>
              <w:rPr>
                <w:spacing w:val="-2"/>
                <w:sz w:val="16"/>
              </w:rPr>
              <w:t>Pakistan</w:t>
            </w:r>
          </w:p>
        </w:tc>
        <w:tc>
          <w:tcPr>
            <w:tcW w:w="868" w:type="dxa"/>
          </w:tcPr>
          <w:p>
            <w:pPr>
              <w:pStyle w:val="TableParagraph"/>
              <w:spacing w:line="183" w:lineRule="exact" w:before="21"/>
              <w:ind w:right="63"/>
              <w:jc w:val="right"/>
              <w:rPr>
                <w:sz w:val="16"/>
              </w:rPr>
            </w:pPr>
            <w:r>
              <w:rPr>
                <w:spacing w:val="-2"/>
                <w:sz w:val="16"/>
              </w:rPr>
              <w:t>13,313</w:t>
            </w:r>
          </w:p>
        </w:tc>
        <w:tc>
          <w:tcPr>
            <w:tcW w:w="958" w:type="dxa"/>
          </w:tcPr>
          <w:p>
            <w:pPr>
              <w:pStyle w:val="TableParagraph"/>
              <w:spacing w:line="183" w:lineRule="exact" w:before="21"/>
              <w:ind w:right="46"/>
              <w:jc w:val="right"/>
              <w:rPr>
                <w:sz w:val="16"/>
              </w:rPr>
            </w:pPr>
            <w:r>
              <w:rPr>
                <w:spacing w:val="-4"/>
                <w:sz w:val="16"/>
              </w:rPr>
              <w:t>0.51</w:t>
            </w:r>
          </w:p>
        </w:tc>
        <w:tc>
          <w:tcPr>
            <w:tcW w:w="1043" w:type="dxa"/>
            <w:gridSpan w:val="2"/>
          </w:tcPr>
          <w:p>
            <w:pPr>
              <w:pStyle w:val="TableParagraph"/>
              <w:spacing w:line="183" w:lineRule="exact" w:before="21"/>
              <w:ind w:left="422"/>
              <w:rPr>
                <w:sz w:val="16"/>
              </w:rPr>
            </w:pPr>
            <w:r>
              <w:rPr>
                <w:spacing w:val="-2"/>
                <w:sz w:val="16"/>
              </w:rPr>
              <w:t>1,606.0</w:t>
            </w:r>
          </w:p>
        </w:tc>
        <w:tc>
          <w:tcPr>
            <w:tcW w:w="831" w:type="dxa"/>
            <w:gridSpan w:val="2"/>
          </w:tcPr>
          <w:p>
            <w:pPr>
              <w:pStyle w:val="TableParagraph"/>
              <w:spacing w:line="183" w:lineRule="exact" w:before="21"/>
              <w:ind w:left="368"/>
              <w:rPr>
                <w:sz w:val="16"/>
              </w:rPr>
            </w:pPr>
            <w:r>
              <w:rPr>
                <w:spacing w:val="-2"/>
                <w:sz w:val="16"/>
              </w:rPr>
              <w:t>109.1</w:t>
            </w:r>
          </w:p>
        </w:tc>
        <w:tc>
          <w:tcPr>
            <w:tcW w:w="1015" w:type="dxa"/>
            <w:gridSpan w:val="2"/>
          </w:tcPr>
          <w:p>
            <w:pPr>
              <w:pStyle w:val="TableParagraph"/>
              <w:spacing w:line="183" w:lineRule="exact" w:before="21"/>
              <w:ind w:left="408"/>
              <w:rPr>
                <w:sz w:val="16"/>
              </w:rPr>
            </w:pPr>
            <w:r>
              <w:rPr>
                <w:spacing w:val="-2"/>
                <w:sz w:val="16"/>
              </w:rPr>
              <w:t>1,496.9</w:t>
            </w:r>
          </w:p>
        </w:tc>
        <w:tc>
          <w:tcPr>
            <w:tcW w:w="1159" w:type="dxa"/>
            <w:gridSpan w:val="2"/>
          </w:tcPr>
          <w:p>
            <w:pPr>
              <w:pStyle w:val="TableParagraph"/>
              <w:spacing w:line="183" w:lineRule="exact" w:before="21"/>
              <w:ind w:left="609"/>
              <w:rPr>
                <w:sz w:val="16"/>
              </w:rPr>
            </w:pPr>
            <w:r>
              <w:rPr>
                <w:spacing w:val="-2"/>
                <w:sz w:val="16"/>
              </w:rPr>
              <w:t>14,132</w:t>
            </w:r>
          </w:p>
        </w:tc>
        <w:tc>
          <w:tcPr>
            <w:tcW w:w="1094" w:type="dxa"/>
          </w:tcPr>
          <w:p>
            <w:pPr>
              <w:pStyle w:val="TableParagraph"/>
              <w:spacing w:line="183" w:lineRule="exact" w:before="21"/>
              <w:ind w:left="557"/>
              <w:rPr>
                <w:sz w:val="16"/>
              </w:rPr>
            </w:pPr>
            <w:r>
              <w:rPr>
                <w:spacing w:val="-4"/>
                <w:sz w:val="16"/>
              </w:rPr>
              <w:t>0.51</w:t>
            </w:r>
          </w:p>
        </w:tc>
      </w:tr>
      <w:tr>
        <w:trPr>
          <w:trHeight w:val="225" w:hRule="atLeast"/>
        </w:trPr>
        <w:tc>
          <w:tcPr>
            <w:tcW w:w="2460" w:type="dxa"/>
          </w:tcPr>
          <w:p>
            <w:pPr>
              <w:pStyle w:val="TableParagraph"/>
              <w:spacing w:before="14"/>
              <w:ind w:left="52"/>
              <w:rPr>
                <w:sz w:val="16"/>
              </w:rPr>
            </w:pPr>
            <w:r>
              <w:rPr>
                <w:spacing w:val="-2"/>
                <w:sz w:val="16"/>
              </w:rPr>
              <w:t>Palau</w:t>
            </w:r>
          </w:p>
        </w:tc>
        <w:tc>
          <w:tcPr>
            <w:tcW w:w="868" w:type="dxa"/>
          </w:tcPr>
          <w:p>
            <w:pPr>
              <w:pStyle w:val="TableParagraph"/>
              <w:spacing w:line="183" w:lineRule="exact" w:before="21"/>
              <w:ind w:right="63"/>
              <w:jc w:val="right"/>
              <w:rPr>
                <w:sz w:val="16"/>
              </w:rPr>
            </w:pPr>
            <w:r>
              <w:rPr>
                <w:spacing w:val="-5"/>
                <w:sz w:val="16"/>
              </w:rPr>
              <w:t>16</w:t>
            </w:r>
          </w:p>
        </w:tc>
        <w:tc>
          <w:tcPr>
            <w:tcW w:w="958" w:type="dxa"/>
          </w:tcPr>
          <w:p>
            <w:pPr>
              <w:pStyle w:val="TableParagraph"/>
              <w:spacing w:line="183" w:lineRule="exact" w:before="21"/>
              <w:ind w:right="46"/>
              <w:jc w:val="right"/>
              <w:rPr>
                <w:sz w:val="16"/>
              </w:rPr>
            </w:pPr>
            <w:r>
              <w:rPr>
                <w:spacing w:val="-4"/>
                <w:sz w:val="16"/>
              </w:rPr>
              <w:t>0.00</w:t>
            </w:r>
          </w:p>
        </w:tc>
        <w:tc>
          <w:tcPr>
            <w:tcW w:w="1043" w:type="dxa"/>
            <w:gridSpan w:val="2"/>
          </w:tcPr>
          <w:p>
            <w:pPr>
              <w:pStyle w:val="TableParagraph"/>
              <w:spacing w:line="183" w:lineRule="exact" w:before="21"/>
              <w:ind w:right="84"/>
              <w:jc w:val="right"/>
              <w:rPr>
                <w:sz w:val="16"/>
              </w:rPr>
            </w:pPr>
            <w:r>
              <w:rPr>
                <w:spacing w:val="-5"/>
                <w:sz w:val="16"/>
              </w:rPr>
              <w:t>1.9</w:t>
            </w:r>
          </w:p>
        </w:tc>
        <w:tc>
          <w:tcPr>
            <w:tcW w:w="831" w:type="dxa"/>
            <w:gridSpan w:val="2"/>
          </w:tcPr>
          <w:p>
            <w:pPr>
              <w:pStyle w:val="TableParagraph"/>
              <w:spacing w:line="183" w:lineRule="exact" w:before="21"/>
              <w:ind w:left="545"/>
              <w:rPr>
                <w:sz w:val="16"/>
              </w:rPr>
            </w:pPr>
            <w:r>
              <w:rPr>
                <w:spacing w:val="-5"/>
                <w:sz w:val="16"/>
              </w:rPr>
              <w:t>0.2</w:t>
            </w:r>
          </w:p>
        </w:tc>
        <w:tc>
          <w:tcPr>
            <w:tcW w:w="1015" w:type="dxa"/>
            <w:gridSpan w:val="2"/>
          </w:tcPr>
          <w:p>
            <w:pPr>
              <w:pStyle w:val="TableParagraph"/>
              <w:spacing w:line="183" w:lineRule="exact" w:before="21"/>
              <w:ind w:right="71"/>
              <w:jc w:val="right"/>
              <w:rPr>
                <w:sz w:val="16"/>
              </w:rPr>
            </w:pPr>
            <w:r>
              <w:rPr>
                <w:spacing w:val="-5"/>
                <w:sz w:val="16"/>
              </w:rPr>
              <w:t>1.8</w:t>
            </w:r>
          </w:p>
        </w:tc>
        <w:tc>
          <w:tcPr>
            <w:tcW w:w="1159" w:type="dxa"/>
            <w:gridSpan w:val="2"/>
          </w:tcPr>
          <w:p>
            <w:pPr>
              <w:pStyle w:val="TableParagraph"/>
              <w:spacing w:line="183" w:lineRule="exact" w:before="21"/>
              <w:ind w:right="59"/>
              <w:jc w:val="right"/>
              <w:rPr>
                <w:sz w:val="16"/>
              </w:rPr>
            </w:pPr>
            <w:r>
              <w:rPr>
                <w:spacing w:val="-5"/>
                <w:sz w:val="16"/>
              </w:rPr>
              <w:t>835</w:t>
            </w:r>
          </w:p>
        </w:tc>
        <w:tc>
          <w:tcPr>
            <w:tcW w:w="1094" w:type="dxa"/>
          </w:tcPr>
          <w:p>
            <w:pPr>
              <w:pStyle w:val="TableParagraph"/>
              <w:spacing w:line="183" w:lineRule="exact" w:before="21"/>
              <w:ind w:left="557"/>
              <w:rPr>
                <w:sz w:val="16"/>
              </w:rPr>
            </w:pPr>
            <w:r>
              <w:rPr>
                <w:spacing w:val="-4"/>
                <w:sz w:val="16"/>
              </w:rPr>
              <w:t>0.03</w:t>
            </w:r>
          </w:p>
        </w:tc>
      </w:tr>
      <w:tr>
        <w:trPr>
          <w:trHeight w:val="227" w:hRule="atLeast"/>
        </w:trPr>
        <w:tc>
          <w:tcPr>
            <w:tcW w:w="2460" w:type="dxa"/>
          </w:tcPr>
          <w:p>
            <w:pPr>
              <w:pStyle w:val="TableParagraph"/>
              <w:spacing w:before="14"/>
              <w:ind w:left="52"/>
              <w:rPr>
                <w:sz w:val="16"/>
              </w:rPr>
            </w:pPr>
            <w:r>
              <w:rPr>
                <w:spacing w:val="-2"/>
                <w:sz w:val="16"/>
              </w:rPr>
              <w:t>Panama</w:t>
            </w:r>
          </w:p>
        </w:tc>
        <w:tc>
          <w:tcPr>
            <w:tcW w:w="868" w:type="dxa"/>
          </w:tcPr>
          <w:p>
            <w:pPr>
              <w:pStyle w:val="TableParagraph"/>
              <w:spacing w:before="21"/>
              <w:ind w:right="63"/>
              <w:jc w:val="right"/>
              <w:rPr>
                <w:sz w:val="16"/>
              </w:rPr>
            </w:pPr>
            <w:r>
              <w:rPr>
                <w:spacing w:val="-2"/>
                <w:sz w:val="16"/>
              </w:rPr>
              <w:t>1,138</w:t>
            </w:r>
          </w:p>
        </w:tc>
        <w:tc>
          <w:tcPr>
            <w:tcW w:w="958" w:type="dxa"/>
          </w:tcPr>
          <w:p>
            <w:pPr>
              <w:pStyle w:val="TableParagraph"/>
              <w:spacing w:before="21"/>
              <w:ind w:right="46"/>
              <w:jc w:val="right"/>
              <w:rPr>
                <w:sz w:val="16"/>
              </w:rPr>
            </w:pPr>
            <w:r>
              <w:rPr>
                <w:spacing w:val="-4"/>
                <w:sz w:val="16"/>
              </w:rPr>
              <w:t>0.04</w:t>
            </w:r>
          </w:p>
        </w:tc>
        <w:tc>
          <w:tcPr>
            <w:tcW w:w="1043" w:type="dxa"/>
            <w:gridSpan w:val="2"/>
          </w:tcPr>
          <w:p>
            <w:pPr>
              <w:pStyle w:val="TableParagraph"/>
              <w:spacing w:before="21"/>
              <w:ind w:left="556"/>
              <w:rPr>
                <w:sz w:val="16"/>
              </w:rPr>
            </w:pPr>
            <w:r>
              <w:rPr>
                <w:spacing w:val="-2"/>
                <w:sz w:val="16"/>
              </w:rPr>
              <w:t>137.3</w:t>
            </w:r>
          </w:p>
        </w:tc>
        <w:tc>
          <w:tcPr>
            <w:tcW w:w="831" w:type="dxa"/>
            <w:gridSpan w:val="2"/>
          </w:tcPr>
          <w:p>
            <w:pPr>
              <w:pStyle w:val="TableParagraph"/>
              <w:spacing w:before="21"/>
              <w:ind w:left="456"/>
              <w:rPr>
                <w:sz w:val="16"/>
              </w:rPr>
            </w:pPr>
            <w:r>
              <w:rPr>
                <w:spacing w:val="-4"/>
                <w:sz w:val="16"/>
              </w:rPr>
              <w:t>10.3</w:t>
            </w:r>
          </w:p>
        </w:tc>
        <w:tc>
          <w:tcPr>
            <w:tcW w:w="1015" w:type="dxa"/>
            <w:gridSpan w:val="2"/>
          </w:tcPr>
          <w:p>
            <w:pPr>
              <w:pStyle w:val="TableParagraph"/>
              <w:spacing w:before="21"/>
              <w:ind w:left="542"/>
              <w:rPr>
                <w:sz w:val="16"/>
              </w:rPr>
            </w:pPr>
            <w:r>
              <w:rPr>
                <w:spacing w:val="-2"/>
                <w:sz w:val="16"/>
              </w:rPr>
              <w:t>127.0</w:t>
            </w:r>
          </w:p>
        </w:tc>
        <w:tc>
          <w:tcPr>
            <w:tcW w:w="1159" w:type="dxa"/>
            <w:gridSpan w:val="2"/>
          </w:tcPr>
          <w:p>
            <w:pPr>
              <w:pStyle w:val="TableParagraph"/>
              <w:spacing w:before="21"/>
              <w:ind w:left="697"/>
              <w:rPr>
                <w:sz w:val="16"/>
              </w:rPr>
            </w:pPr>
            <w:r>
              <w:rPr>
                <w:spacing w:val="-2"/>
                <w:sz w:val="16"/>
              </w:rPr>
              <w:t>1,957</w:t>
            </w:r>
          </w:p>
        </w:tc>
        <w:tc>
          <w:tcPr>
            <w:tcW w:w="1094" w:type="dxa"/>
          </w:tcPr>
          <w:p>
            <w:pPr>
              <w:pStyle w:val="TableParagraph"/>
              <w:spacing w:before="21"/>
              <w:ind w:left="557"/>
              <w:rPr>
                <w:sz w:val="16"/>
              </w:rPr>
            </w:pPr>
            <w:r>
              <w:rPr>
                <w:spacing w:val="-4"/>
                <w:sz w:val="16"/>
              </w:rPr>
              <w:t>0.07</w:t>
            </w:r>
          </w:p>
        </w:tc>
      </w:tr>
      <w:tr>
        <w:trPr>
          <w:trHeight w:val="222" w:hRule="atLeast"/>
        </w:trPr>
        <w:tc>
          <w:tcPr>
            <w:tcW w:w="2460" w:type="dxa"/>
            <w:shd w:val="clear" w:color="auto" w:fill="D8D8D8"/>
          </w:tcPr>
          <w:p>
            <w:pPr>
              <w:pStyle w:val="TableParagraph"/>
              <w:spacing w:before="11"/>
              <w:ind w:left="52"/>
              <w:rPr>
                <w:sz w:val="16"/>
              </w:rPr>
            </w:pPr>
            <w:r>
              <w:rPr>
                <w:sz w:val="16"/>
              </w:rPr>
              <w:t>Papua</w:t>
            </w:r>
            <w:r>
              <w:rPr>
                <w:spacing w:val="-4"/>
                <w:sz w:val="16"/>
              </w:rPr>
              <w:t> </w:t>
            </w:r>
            <w:r>
              <w:rPr>
                <w:sz w:val="16"/>
              </w:rPr>
              <w:t>New</w:t>
            </w:r>
            <w:r>
              <w:rPr>
                <w:spacing w:val="-2"/>
                <w:sz w:val="16"/>
              </w:rPr>
              <w:t> Guinea</w:t>
            </w:r>
          </w:p>
        </w:tc>
        <w:tc>
          <w:tcPr>
            <w:tcW w:w="868" w:type="dxa"/>
            <w:shd w:val="clear" w:color="auto" w:fill="D8D8D8"/>
          </w:tcPr>
          <w:p>
            <w:pPr>
              <w:pStyle w:val="TableParagraph"/>
              <w:spacing w:line="183" w:lineRule="exact" w:before="19"/>
              <w:ind w:right="63"/>
              <w:jc w:val="right"/>
              <w:rPr>
                <w:sz w:val="16"/>
              </w:rPr>
            </w:pPr>
            <w:r>
              <w:rPr>
                <w:spacing w:val="-2"/>
                <w:sz w:val="16"/>
              </w:rPr>
              <w:t>2,136</w:t>
            </w:r>
          </w:p>
        </w:tc>
        <w:tc>
          <w:tcPr>
            <w:tcW w:w="958" w:type="dxa"/>
            <w:shd w:val="clear" w:color="auto" w:fill="D8D8D8"/>
          </w:tcPr>
          <w:p>
            <w:pPr>
              <w:pStyle w:val="TableParagraph"/>
              <w:spacing w:line="183" w:lineRule="exact" w:before="19"/>
              <w:ind w:right="46"/>
              <w:jc w:val="right"/>
              <w:rPr>
                <w:sz w:val="16"/>
              </w:rPr>
            </w:pPr>
            <w:r>
              <w:rPr>
                <w:spacing w:val="-4"/>
                <w:sz w:val="16"/>
              </w:rPr>
              <w:t>0.08</w:t>
            </w:r>
          </w:p>
        </w:tc>
        <w:tc>
          <w:tcPr>
            <w:tcW w:w="1043" w:type="dxa"/>
            <w:gridSpan w:val="2"/>
            <w:shd w:val="clear" w:color="auto" w:fill="D8D8D8"/>
          </w:tcPr>
          <w:p>
            <w:pPr>
              <w:pStyle w:val="TableParagraph"/>
              <w:spacing w:line="183" w:lineRule="exact" w:before="19"/>
              <w:ind w:left="556"/>
              <w:rPr>
                <w:sz w:val="16"/>
              </w:rPr>
            </w:pPr>
            <w:r>
              <w:rPr>
                <w:spacing w:val="-2"/>
                <w:sz w:val="16"/>
              </w:rPr>
              <w:t>257.7</w:t>
            </w:r>
          </w:p>
        </w:tc>
        <w:tc>
          <w:tcPr>
            <w:tcW w:w="831" w:type="dxa"/>
            <w:gridSpan w:val="2"/>
            <w:shd w:val="clear" w:color="auto" w:fill="D8D8D8"/>
          </w:tcPr>
          <w:p>
            <w:pPr>
              <w:pStyle w:val="TableParagraph"/>
              <w:spacing w:line="183" w:lineRule="exact" w:before="19"/>
              <w:ind w:left="456"/>
              <w:rPr>
                <w:sz w:val="16"/>
              </w:rPr>
            </w:pPr>
            <w:r>
              <w:rPr>
                <w:spacing w:val="-4"/>
                <w:sz w:val="16"/>
              </w:rPr>
              <w:t>14.0</w:t>
            </w:r>
          </w:p>
        </w:tc>
        <w:tc>
          <w:tcPr>
            <w:tcW w:w="1015" w:type="dxa"/>
            <w:gridSpan w:val="2"/>
            <w:shd w:val="clear" w:color="auto" w:fill="D8D8D8"/>
          </w:tcPr>
          <w:p>
            <w:pPr>
              <w:pStyle w:val="TableParagraph"/>
              <w:spacing w:line="183" w:lineRule="exact" w:before="19"/>
              <w:ind w:left="542"/>
              <w:rPr>
                <w:sz w:val="16"/>
              </w:rPr>
            </w:pPr>
            <w:r>
              <w:rPr>
                <w:spacing w:val="-2"/>
                <w:sz w:val="16"/>
              </w:rPr>
              <w:t>243.6</w:t>
            </w:r>
          </w:p>
        </w:tc>
        <w:tc>
          <w:tcPr>
            <w:tcW w:w="1159" w:type="dxa"/>
            <w:gridSpan w:val="2"/>
            <w:shd w:val="clear" w:color="auto" w:fill="D8D8D8"/>
          </w:tcPr>
          <w:p>
            <w:pPr>
              <w:pStyle w:val="TableParagraph"/>
              <w:spacing w:line="183" w:lineRule="exact" w:before="19"/>
              <w:ind w:left="697"/>
              <w:rPr>
                <w:sz w:val="16"/>
              </w:rPr>
            </w:pPr>
            <w:r>
              <w:rPr>
                <w:spacing w:val="-2"/>
                <w:sz w:val="16"/>
              </w:rPr>
              <w:t>2,955</w:t>
            </w:r>
          </w:p>
        </w:tc>
        <w:tc>
          <w:tcPr>
            <w:tcW w:w="1094" w:type="dxa"/>
            <w:shd w:val="clear" w:color="auto" w:fill="D8D8D8"/>
          </w:tcPr>
          <w:p>
            <w:pPr>
              <w:pStyle w:val="TableParagraph"/>
              <w:spacing w:line="183" w:lineRule="exact" w:before="19"/>
              <w:ind w:left="569"/>
              <w:rPr>
                <w:sz w:val="16"/>
              </w:rPr>
            </w:pPr>
            <w:r>
              <w:rPr>
                <w:spacing w:val="-4"/>
                <w:sz w:val="16"/>
              </w:rPr>
              <w:t>0.11</w:t>
            </w:r>
          </w:p>
        </w:tc>
      </w:tr>
      <w:tr>
        <w:trPr>
          <w:trHeight w:val="225" w:hRule="atLeast"/>
        </w:trPr>
        <w:tc>
          <w:tcPr>
            <w:tcW w:w="2460" w:type="dxa"/>
            <w:shd w:val="clear" w:color="auto" w:fill="D8D8D8"/>
          </w:tcPr>
          <w:p>
            <w:pPr>
              <w:pStyle w:val="TableParagraph"/>
              <w:spacing w:before="14"/>
              <w:ind w:left="52"/>
              <w:rPr>
                <w:sz w:val="16"/>
              </w:rPr>
            </w:pPr>
            <w:r>
              <w:rPr>
                <w:spacing w:val="-2"/>
                <w:sz w:val="16"/>
              </w:rPr>
              <w:t>Paraguay</w:t>
            </w:r>
          </w:p>
        </w:tc>
        <w:tc>
          <w:tcPr>
            <w:tcW w:w="868" w:type="dxa"/>
            <w:shd w:val="clear" w:color="auto" w:fill="D8D8D8"/>
          </w:tcPr>
          <w:p>
            <w:pPr>
              <w:pStyle w:val="TableParagraph"/>
              <w:spacing w:line="183" w:lineRule="exact" w:before="21"/>
              <w:ind w:right="63"/>
              <w:jc w:val="right"/>
              <w:rPr>
                <w:sz w:val="16"/>
              </w:rPr>
            </w:pPr>
            <w:r>
              <w:rPr>
                <w:spacing w:val="-2"/>
                <w:sz w:val="16"/>
              </w:rPr>
              <w:t>1,766</w:t>
            </w:r>
          </w:p>
        </w:tc>
        <w:tc>
          <w:tcPr>
            <w:tcW w:w="958" w:type="dxa"/>
            <w:shd w:val="clear" w:color="auto" w:fill="D8D8D8"/>
          </w:tcPr>
          <w:p>
            <w:pPr>
              <w:pStyle w:val="TableParagraph"/>
              <w:spacing w:line="183" w:lineRule="exact" w:before="21"/>
              <w:ind w:right="46"/>
              <w:jc w:val="right"/>
              <w:rPr>
                <w:sz w:val="16"/>
              </w:rPr>
            </w:pPr>
            <w:r>
              <w:rPr>
                <w:spacing w:val="-4"/>
                <w:sz w:val="16"/>
              </w:rPr>
              <w:t>0.07</w:t>
            </w:r>
          </w:p>
        </w:tc>
        <w:tc>
          <w:tcPr>
            <w:tcW w:w="1043" w:type="dxa"/>
            <w:gridSpan w:val="2"/>
            <w:shd w:val="clear" w:color="auto" w:fill="D8D8D8"/>
          </w:tcPr>
          <w:p>
            <w:pPr>
              <w:pStyle w:val="TableParagraph"/>
              <w:spacing w:line="183" w:lineRule="exact" w:before="21"/>
              <w:ind w:left="556"/>
              <w:rPr>
                <w:sz w:val="16"/>
              </w:rPr>
            </w:pPr>
            <w:r>
              <w:rPr>
                <w:spacing w:val="-2"/>
                <w:sz w:val="16"/>
              </w:rPr>
              <w:t>213.0</w:t>
            </w:r>
          </w:p>
        </w:tc>
        <w:tc>
          <w:tcPr>
            <w:tcW w:w="831" w:type="dxa"/>
            <w:gridSpan w:val="2"/>
            <w:shd w:val="clear" w:color="auto" w:fill="D8D8D8"/>
          </w:tcPr>
          <w:p>
            <w:pPr>
              <w:pStyle w:val="TableParagraph"/>
              <w:spacing w:line="183" w:lineRule="exact" w:before="21"/>
              <w:ind w:left="545"/>
              <w:rPr>
                <w:sz w:val="16"/>
              </w:rPr>
            </w:pPr>
            <w:r>
              <w:rPr>
                <w:spacing w:val="-5"/>
                <w:sz w:val="16"/>
              </w:rPr>
              <w:t>9.3</w:t>
            </w:r>
          </w:p>
        </w:tc>
        <w:tc>
          <w:tcPr>
            <w:tcW w:w="1015" w:type="dxa"/>
            <w:gridSpan w:val="2"/>
            <w:shd w:val="clear" w:color="auto" w:fill="D8D8D8"/>
          </w:tcPr>
          <w:p>
            <w:pPr>
              <w:pStyle w:val="TableParagraph"/>
              <w:spacing w:line="183" w:lineRule="exact" w:before="21"/>
              <w:ind w:left="542"/>
              <w:rPr>
                <w:sz w:val="16"/>
              </w:rPr>
            </w:pPr>
            <w:r>
              <w:rPr>
                <w:spacing w:val="-2"/>
                <w:sz w:val="16"/>
              </w:rPr>
              <w:t>203.7</w:t>
            </w:r>
          </w:p>
        </w:tc>
        <w:tc>
          <w:tcPr>
            <w:tcW w:w="1159" w:type="dxa"/>
            <w:gridSpan w:val="2"/>
            <w:shd w:val="clear" w:color="auto" w:fill="D8D8D8"/>
          </w:tcPr>
          <w:p>
            <w:pPr>
              <w:pStyle w:val="TableParagraph"/>
              <w:spacing w:line="183" w:lineRule="exact" w:before="21"/>
              <w:ind w:left="697"/>
              <w:rPr>
                <w:sz w:val="16"/>
              </w:rPr>
            </w:pPr>
            <w:r>
              <w:rPr>
                <w:spacing w:val="-2"/>
                <w:sz w:val="16"/>
              </w:rPr>
              <w:t>2,585</w:t>
            </w:r>
          </w:p>
        </w:tc>
        <w:tc>
          <w:tcPr>
            <w:tcW w:w="1094" w:type="dxa"/>
            <w:shd w:val="clear" w:color="auto" w:fill="D8D8D8"/>
          </w:tcPr>
          <w:p>
            <w:pPr>
              <w:pStyle w:val="TableParagraph"/>
              <w:spacing w:line="183" w:lineRule="exact" w:before="21"/>
              <w:ind w:left="557"/>
              <w:rPr>
                <w:sz w:val="16"/>
              </w:rPr>
            </w:pPr>
            <w:r>
              <w:rPr>
                <w:spacing w:val="-4"/>
                <w:sz w:val="16"/>
              </w:rPr>
              <w:t>0.09</w:t>
            </w:r>
          </w:p>
        </w:tc>
      </w:tr>
      <w:tr>
        <w:trPr>
          <w:trHeight w:val="225" w:hRule="atLeast"/>
        </w:trPr>
        <w:tc>
          <w:tcPr>
            <w:tcW w:w="2460" w:type="dxa"/>
            <w:shd w:val="clear" w:color="auto" w:fill="D8D8D8"/>
          </w:tcPr>
          <w:p>
            <w:pPr>
              <w:pStyle w:val="TableParagraph"/>
              <w:spacing w:before="14"/>
              <w:ind w:left="52"/>
              <w:rPr>
                <w:sz w:val="16"/>
              </w:rPr>
            </w:pPr>
            <w:r>
              <w:rPr>
                <w:spacing w:val="-4"/>
                <w:sz w:val="16"/>
              </w:rPr>
              <w:t>Peru</w:t>
            </w:r>
          </w:p>
        </w:tc>
        <w:tc>
          <w:tcPr>
            <w:tcW w:w="868" w:type="dxa"/>
            <w:shd w:val="clear" w:color="auto" w:fill="D8D8D8"/>
          </w:tcPr>
          <w:p>
            <w:pPr>
              <w:pStyle w:val="TableParagraph"/>
              <w:spacing w:line="183" w:lineRule="exact" w:before="21"/>
              <w:ind w:right="63"/>
              <w:jc w:val="right"/>
              <w:rPr>
                <w:sz w:val="16"/>
              </w:rPr>
            </w:pPr>
            <w:r>
              <w:rPr>
                <w:spacing w:val="-2"/>
                <w:sz w:val="16"/>
              </w:rPr>
              <w:t>9,092</w:t>
            </w:r>
          </w:p>
        </w:tc>
        <w:tc>
          <w:tcPr>
            <w:tcW w:w="958" w:type="dxa"/>
            <w:shd w:val="clear" w:color="auto" w:fill="D8D8D8"/>
          </w:tcPr>
          <w:p>
            <w:pPr>
              <w:pStyle w:val="TableParagraph"/>
              <w:spacing w:line="183" w:lineRule="exact" w:before="21"/>
              <w:ind w:right="46"/>
              <w:jc w:val="right"/>
              <w:rPr>
                <w:sz w:val="16"/>
              </w:rPr>
            </w:pPr>
            <w:r>
              <w:rPr>
                <w:spacing w:val="-4"/>
                <w:sz w:val="16"/>
              </w:rPr>
              <w:t>0.35</w:t>
            </w:r>
          </w:p>
        </w:tc>
        <w:tc>
          <w:tcPr>
            <w:tcW w:w="1043" w:type="dxa"/>
            <w:gridSpan w:val="2"/>
            <w:shd w:val="clear" w:color="auto" w:fill="D8D8D8"/>
          </w:tcPr>
          <w:p>
            <w:pPr>
              <w:pStyle w:val="TableParagraph"/>
              <w:spacing w:line="183" w:lineRule="exact" w:before="21"/>
              <w:ind w:left="422"/>
              <w:rPr>
                <w:sz w:val="16"/>
              </w:rPr>
            </w:pPr>
            <w:r>
              <w:rPr>
                <w:spacing w:val="-2"/>
                <w:sz w:val="16"/>
              </w:rPr>
              <w:t>1,096.8</w:t>
            </w:r>
          </w:p>
        </w:tc>
        <w:tc>
          <w:tcPr>
            <w:tcW w:w="831" w:type="dxa"/>
            <w:gridSpan w:val="2"/>
            <w:shd w:val="clear" w:color="auto" w:fill="D8D8D8"/>
          </w:tcPr>
          <w:p>
            <w:pPr>
              <w:pStyle w:val="TableParagraph"/>
              <w:spacing w:line="183" w:lineRule="exact" w:before="21"/>
              <w:ind w:left="456"/>
              <w:rPr>
                <w:sz w:val="16"/>
              </w:rPr>
            </w:pPr>
            <w:r>
              <w:rPr>
                <w:spacing w:val="-4"/>
                <w:sz w:val="16"/>
              </w:rPr>
              <w:t>77.5</w:t>
            </w:r>
          </w:p>
        </w:tc>
        <w:tc>
          <w:tcPr>
            <w:tcW w:w="1015" w:type="dxa"/>
            <w:gridSpan w:val="2"/>
            <w:shd w:val="clear" w:color="auto" w:fill="D8D8D8"/>
          </w:tcPr>
          <w:p>
            <w:pPr>
              <w:pStyle w:val="TableParagraph"/>
              <w:spacing w:line="183" w:lineRule="exact" w:before="21"/>
              <w:ind w:left="408"/>
              <w:rPr>
                <w:sz w:val="16"/>
              </w:rPr>
            </w:pPr>
            <w:r>
              <w:rPr>
                <w:spacing w:val="-2"/>
                <w:sz w:val="16"/>
              </w:rPr>
              <w:t>1,019.3</w:t>
            </w:r>
          </w:p>
        </w:tc>
        <w:tc>
          <w:tcPr>
            <w:tcW w:w="1159" w:type="dxa"/>
            <w:gridSpan w:val="2"/>
            <w:shd w:val="clear" w:color="auto" w:fill="D8D8D8"/>
          </w:tcPr>
          <w:p>
            <w:pPr>
              <w:pStyle w:val="TableParagraph"/>
              <w:spacing w:line="183" w:lineRule="exact" w:before="21"/>
              <w:ind w:left="709"/>
              <w:rPr>
                <w:sz w:val="16"/>
              </w:rPr>
            </w:pPr>
            <w:r>
              <w:rPr>
                <w:spacing w:val="-2"/>
                <w:sz w:val="16"/>
              </w:rPr>
              <w:t>9,911</w:t>
            </w:r>
          </w:p>
        </w:tc>
        <w:tc>
          <w:tcPr>
            <w:tcW w:w="1094" w:type="dxa"/>
            <w:shd w:val="clear" w:color="auto" w:fill="D8D8D8"/>
          </w:tcPr>
          <w:p>
            <w:pPr>
              <w:pStyle w:val="TableParagraph"/>
              <w:spacing w:line="183" w:lineRule="exact" w:before="21"/>
              <w:ind w:left="557"/>
              <w:rPr>
                <w:sz w:val="16"/>
              </w:rPr>
            </w:pPr>
            <w:r>
              <w:rPr>
                <w:spacing w:val="-4"/>
                <w:sz w:val="16"/>
              </w:rPr>
              <w:t>0.36</w:t>
            </w:r>
          </w:p>
        </w:tc>
      </w:tr>
      <w:tr>
        <w:trPr>
          <w:trHeight w:val="205" w:hRule="atLeast"/>
        </w:trPr>
        <w:tc>
          <w:tcPr>
            <w:tcW w:w="2460" w:type="dxa"/>
            <w:shd w:val="clear" w:color="auto" w:fill="D8D8D8"/>
          </w:tcPr>
          <w:p>
            <w:pPr>
              <w:pStyle w:val="TableParagraph"/>
              <w:spacing w:line="172" w:lineRule="exact" w:before="14"/>
              <w:ind w:left="52"/>
              <w:rPr>
                <w:sz w:val="16"/>
              </w:rPr>
            </w:pPr>
            <w:r>
              <w:rPr>
                <w:spacing w:val="-2"/>
                <w:sz w:val="16"/>
              </w:rPr>
              <w:t>Philippines</w:t>
            </w:r>
          </w:p>
        </w:tc>
        <w:tc>
          <w:tcPr>
            <w:tcW w:w="868" w:type="dxa"/>
            <w:shd w:val="clear" w:color="auto" w:fill="D8D8D8"/>
          </w:tcPr>
          <w:p>
            <w:pPr>
              <w:pStyle w:val="TableParagraph"/>
              <w:spacing w:line="164" w:lineRule="exact" w:before="21"/>
              <w:ind w:right="63"/>
              <w:jc w:val="right"/>
              <w:rPr>
                <w:sz w:val="16"/>
              </w:rPr>
            </w:pPr>
            <w:r>
              <w:rPr>
                <w:spacing w:val="-2"/>
                <w:sz w:val="16"/>
              </w:rPr>
              <w:t>11,887</w:t>
            </w:r>
          </w:p>
        </w:tc>
        <w:tc>
          <w:tcPr>
            <w:tcW w:w="958" w:type="dxa"/>
            <w:shd w:val="clear" w:color="auto" w:fill="D8D8D8"/>
          </w:tcPr>
          <w:p>
            <w:pPr>
              <w:pStyle w:val="TableParagraph"/>
              <w:spacing w:line="164" w:lineRule="exact" w:before="21"/>
              <w:ind w:right="46"/>
              <w:jc w:val="right"/>
              <w:rPr>
                <w:sz w:val="16"/>
              </w:rPr>
            </w:pPr>
            <w:r>
              <w:rPr>
                <w:spacing w:val="-4"/>
                <w:sz w:val="16"/>
              </w:rPr>
              <w:t>0.45</w:t>
            </w:r>
          </w:p>
        </w:tc>
        <w:tc>
          <w:tcPr>
            <w:tcW w:w="1043" w:type="dxa"/>
            <w:gridSpan w:val="2"/>
            <w:shd w:val="clear" w:color="auto" w:fill="D8D8D8"/>
          </w:tcPr>
          <w:p>
            <w:pPr>
              <w:pStyle w:val="TableParagraph"/>
              <w:spacing w:line="164" w:lineRule="exact" w:before="21"/>
              <w:ind w:left="422"/>
              <w:rPr>
                <w:sz w:val="16"/>
              </w:rPr>
            </w:pPr>
            <w:r>
              <w:rPr>
                <w:spacing w:val="-2"/>
                <w:sz w:val="16"/>
              </w:rPr>
              <w:t>1,434.0</w:t>
            </w:r>
          </w:p>
        </w:tc>
        <w:tc>
          <w:tcPr>
            <w:tcW w:w="831" w:type="dxa"/>
            <w:gridSpan w:val="2"/>
            <w:shd w:val="clear" w:color="auto" w:fill="D8D8D8"/>
          </w:tcPr>
          <w:p>
            <w:pPr>
              <w:pStyle w:val="TableParagraph"/>
              <w:spacing w:line="164" w:lineRule="exact" w:before="21"/>
              <w:ind w:left="368"/>
              <w:rPr>
                <w:sz w:val="16"/>
              </w:rPr>
            </w:pPr>
            <w:r>
              <w:rPr>
                <w:spacing w:val="-2"/>
                <w:sz w:val="16"/>
              </w:rPr>
              <w:t>102.1</w:t>
            </w:r>
          </w:p>
        </w:tc>
        <w:tc>
          <w:tcPr>
            <w:tcW w:w="1015" w:type="dxa"/>
            <w:gridSpan w:val="2"/>
            <w:shd w:val="clear" w:color="auto" w:fill="D8D8D8"/>
          </w:tcPr>
          <w:p>
            <w:pPr>
              <w:pStyle w:val="TableParagraph"/>
              <w:spacing w:line="164" w:lineRule="exact" w:before="21"/>
              <w:ind w:left="408"/>
              <w:rPr>
                <w:sz w:val="16"/>
              </w:rPr>
            </w:pPr>
            <w:r>
              <w:rPr>
                <w:spacing w:val="-2"/>
                <w:sz w:val="16"/>
              </w:rPr>
              <w:t>1,331.9</w:t>
            </w:r>
          </w:p>
        </w:tc>
        <w:tc>
          <w:tcPr>
            <w:tcW w:w="1159" w:type="dxa"/>
            <w:gridSpan w:val="2"/>
            <w:shd w:val="clear" w:color="auto" w:fill="D8D8D8"/>
          </w:tcPr>
          <w:p>
            <w:pPr>
              <w:pStyle w:val="TableParagraph"/>
              <w:spacing w:line="164" w:lineRule="exact" w:before="21"/>
              <w:ind w:left="609"/>
              <w:rPr>
                <w:sz w:val="16"/>
              </w:rPr>
            </w:pPr>
            <w:r>
              <w:rPr>
                <w:spacing w:val="-2"/>
                <w:sz w:val="16"/>
              </w:rPr>
              <w:t>12,706</w:t>
            </w:r>
          </w:p>
        </w:tc>
        <w:tc>
          <w:tcPr>
            <w:tcW w:w="1094" w:type="dxa"/>
            <w:shd w:val="clear" w:color="auto" w:fill="D8D8D8"/>
          </w:tcPr>
          <w:p>
            <w:pPr>
              <w:pStyle w:val="TableParagraph"/>
              <w:spacing w:line="164" w:lineRule="exact" w:before="21"/>
              <w:ind w:left="557"/>
              <w:rPr>
                <w:sz w:val="16"/>
              </w:rPr>
            </w:pPr>
            <w:r>
              <w:rPr>
                <w:spacing w:val="-4"/>
                <w:sz w:val="16"/>
              </w:rPr>
              <w:t>0.46</w:t>
            </w:r>
          </w:p>
        </w:tc>
      </w:tr>
      <w:tr>
        <w:trPr>
          <w:trHeight w:val="225" w:hRule="atLeast"/>
        </w:trPr>
        <w:tc>
          <w:tcPr>
            <w:tcW w:w="2460" w:type="dxa"/>
            <w:shd w:val="clear" w:color="auto" w:fill="D8D8D8"/>
          </w:tcPr>
          <w:p>
            <w:pPr>
              <w:pStyle w:val="TableParagraph"/>
              <w:spacing w:before="33"/>
              <w:ind w:left="52"/>
              <w:rPr>
                <w:sz w:val="16"/>
              </w:rPr>
            </w:pPr>
            <w:r>
              <w:rPr>
                <w:sz w:val="16"/>
              </w:rPr>
              <w:t>Poland</w:t>
            </w:r>
            <w:r>
              <w:rPr>
                <w:spacing w:val="-5"/>
                <w:sz w:val="16"/>
              </w:rPr>
              <w:t> </w:t>
            </w:r>
            <w:r>
              <w:rPr>
                <w:spacing w:val="-10"/>
                <w:sz w:val="16"/>
                <w:vertAlign w:val="superscript"/>
              </w:rPr>
              <w:t>c</w:t>
            </w:r>
          </w:p>
        </w:tc>
        <w:tc>
          <w:tcPr>
            <w:tcW w:w="868" w:type="dxa"/>
            <w:shd w:val="clear" w:color="auto" w:fill="D8D8D8"/>
          </w:tcPr>
          <w:p>
            <w:pPr>
              <w:pStyle w:val="TableParagraph"/>
              <w:spacing w:before="41"/>
              <w:ind w:right="63"/>
              <w:jc w:val="right"/>
              <w:rPr>
                <w:sz w:val="16"/>
              </w:rPr>
            </w:pPr>
            <w:r>
              <w:rPr>
                <w:spacing w:val="-2"/>
                <w:sz w:val="16"/>
              </w:rPr>
              <w:t>20,474</w:t>
            </w:r>
          </w:p>
        </w:tc>
        <w:tc>
          <w:tcPr>
            <w:tcW w:w="958" w:type="dxa"/>
            <w:shd w:val="clear" w:color="auto" w:fill="D8D8D8"/>
          </w:tcPr>
          <w:p>
            <w:pPr>
              <w:pStyle w:val="TableParagraph"/>
              <w:spacing w:before="41"/>
              <w:ind w:right="46"/>
              <w:jc w:val="right"/>
              <w:rPr>
                <w:sz w:val="16"/>
              </w:rPr>
            </w:pPr>
            <w:r>
              <w:rPr>
                <w:spacing w:val="-4"/>
                <w:sz w:val="16"/>
              </w:rPr>
              <w:t>0.78</w:t>
            </w:r>
          </w:p>
        </w:tc>
        <w:tc>
          <w:tcPr>
            <w:tcW w:w="1043" w:type="dxa"/>
            <w:gridSpan w:val="2"/>
            <w:shd w:val="clear" w:color="auto" w:fill="D8D8D8"/>
          </w:tcPr>
          <w:p>
            <w:pPr>
              <w:pStyle w:val="TableParagraph"/>
              <w:spacing w:before="41"/>
              <w:ind w:left="422"/>
              <w:rPr>
                <w:sz w:val="16"/>
              </w:rPr>
            </w:pPr>
            <w:r>
              <w:rPr>
                <w:spacing w:val="-2"/>
                <w:sz w:val="16"/>
              </w:rPr>
              <w:t>2,469.9</w:t>
            </w:r>
          </w:p>
        </w:tc>
        <w:tc>
          <w:tcPr>
            <w:tcW w:w="831" w:type="dxa"/>
            <w:gridSpan w:val="2"/>
            <w:shd w:val="clear" w:color="auto" w:fill="D8D8D8"/>
          </w:tcPr>
          <w:p>
            <w:pPr>
              <w:pStyle w:val="TableParagraph"/>
              <w:spacing w:before="41"/>
              <w:ind w:left="368"/>
              <w:rPr>
                <w:sz w:val="16"/>
              </w:rPr>
            </w:pPr>
            <w:r>
              <w:rPr>
                <w:spacing w:val="-2"/>
                <w:sz w:val="16"/>
              </w:rPr>
              <w:t>177.1</w:t>
            </w:r>
          </w:p>
        </w:tc>
        <w:tc>
          <w:tcPr>
            <w:tcW w:w="1015" w:type="dxa"/>
            <w:gridSpan w:val="2"/>
            <w:shd w:val="clear" w:color="auto" w:fill="D8D8D8"/>
          </w:tcPr>
          <w:p>
            <w:pPr>
              <w:pStyle w:val="TableParagraph"/>
              <w:spacing w:before="41"/>
              <w:ind w:left="408"/>
              <w:rPr>
                <w:sz w:val="16"/>
              </w:rPr>
            </w:pPr>
            <w:r>
              <w:rPr>
                <w:spacing w:val="-2"/>
                <w:sz w:val="16"/>
              </w:rPr>
              <w:t>2,292.8</w:t>
            </w:r>
          </w:p>
        </w:tc>
        <w:tc>
          <w:tcPr>
            <w:tcW w:w="1159" w:type="dxa"/>
            <w:gridSpan w:val="2"/>
            <w:shd w:val="clear" w:color="auto" w:fill="D8D8D8"/>
          </w:tcPr>
          <w:p>
            <w:pPr>
              <w:pStyle w:val="TableParagraph"/>
              <w:spacing w:before="41"/>
              <w:ind w:left="609"/>
              <w:rPr>
                <w:sz w:val="16"/>
              </w:rPr>
            </w:pPr>
            <w:r>
              <w:rPr>
                <w:spacing w:val="-2"/>
                <w:sz w:val="16"/>
              </w:rPr>
              <w:t>21,293</w:t>
            </w:r>
          </w:p>
        </w:tc>
        <w:tc>
          <w:tcPr>
            <w:tcW w:w="1094" w:type="dxa"/>
            <w:shd w:val="clear" w:color="auto" w:fill="D8D8D8"/>
          </w:tcPr>
          <w:p>
            <w:pPr>
              <w:pStyle w:val="TableParagraph"/>
              <w:spacing w:before="41"/>
              <w:ind w:left="557"/>
              <w:rPr>
                <w:sz w:val="16"/>
              </w:rPr>
            </w:pPr>
            <w:r>
              <w:rPr>
                <w:spacing w:val="-4"/>
                <w:sz w:val="16"/>
              </w:rPr>
              <w:t>0.76</w:t>
            </w:r>
          </w:p>
        </w:tc>
      </w:tr>
      <w:tr>
        <w:trPr>
          <w:trHeight w:val="244" w:hRule="atLeast"/>
        </w:trPr>
        <w:tc>
          <w:tcPr>
            <w:tcW w:w="2460" w:type="dxa"/>
          </w:tcPr>
          <w:p>
            <w:pPr>
              <w:pStyle w:val="TableParagraph"/>
              <w:spacing w:before="11"/>
              <w:ind w:left="52"/>
              <w:rPr>
                <w:sz w:val="16"/>
              </w:rPr>
            </w:pPr>
            <w:r>
              <w:rPr>
                <w:sz w:val="16"/>
              </w:rPr>
              <w:t>Portugal</w:t>
            </w:r>
            <w:r>
              <w:rPr>
                <w:spacing w:val="-5"/>
                <w:sz w:val="16"/>
              </w:rPr>
              <w:t> </w:t>
            </w:r>
            <w:r>
              <w:rPr>
                <w:spacing w:val="-10"/>
                <w:sz w:val="16"/>
                <w:vertAlign w:val="superscript"/>
              </w:rPr>
              <w:t>c</w:t>
            </w:r>
          </w:p>
        </w:tc>
        <w:tc>
          <w:tcPr>
            <w:tcW w:w="868" w:type="dxa"/>
          </w:tcPr>
          <w:p>
            <w:pPr>
              <w:pStyle w:val="TableParagraph"/>
              <w:spacing w:line="183" w:lineRule="exact" w:before="19"/>
              <w:ind w:right="63"/>
              <w:jc w:val="right"/>
              <w:rPr>
                <w:sz w:val="16"/>
              </w:rPr>
            </w:pPr>
            <w:r>
              <w:rPr>
                <w:spacing w:val="-2"/>
                <w:sz w:val="16"/>
              </w:rPr>
              <w:t>7,511</w:t>
            </w:r>
          </w:p>
        </w:tc>
        <w:tc>
          <w:tcPr>
            <w:tcW w:w="958" w:type="dxa"/>
          </w:tcPr>
          <w:p>
            <w:pPr>
              <w:pStyle w:val="TableParagraph"/>
              <w:spacing w:line="183" w:lineRule="exact" w:before="19"/>
              <w:ind w:right="46"/>
              <w:jc w:val="right"/>
              <w:rPr>
                <w:sz w:val="16"/>
              </w:rPr>
            </w:pPr>
            <w:r>
              <w:rPr>
                <w:spacing w:val="-4"/>
                <w:sz w:val="16"/>
              </w:rPr>
              <w:t>0.29</w:t>
            </w:r>
          </w:p>
        </w:tc>
        <w:tc>
          <w:tcPr>
            <w:tcW w:w="1043" w:type="dxa"/>
            <w:gridSpan w:val="2"/>
          </w:tcPr>
          <w:p>
            <w:pPr>
              <w:pStyle w:val="TableParagraph"/>
              <w:spacing w:line="183" w:lineRule="exact" w:before="19"/>
              <w:ind w:left="556"/>
              <w:rPr>
                <w:sz w:val="16"/>
              </w:rPr>
            </w:pPr>
            <w:r>
              <w:rPr>
                <w:spacing w:val="-2"/>
                <w:sz w:val="16"/>
              </w:rPr>
              <w:t>906.1</w:t>
            </w:r>
          </w:p>
        </w:tc>
        <w:tc>
          <w:tcPr>
            <w:tcW w:w="831" w:type="dxa"/>
            <w:gridSpan w:val="2"/>
          </w:tcPr>
          <w:p>
            <w:pPr>
              <w:pStyle w:val="TableParagraph"/>
              <w:spacing w:line="183" w:lineRule="exact" w:before="19"/>
              <w:ind w:left="456"/>
              <w:rPr>
                <w:sz w:val="16"/>
              </w:rPr>
            </w:pPr>
            <w:r>
              <w:rPr>
                <w:spacing w:val="-4"/>
                <w:sz w:val="16"/>
              </w:rPr>
              <w:t>53.3</w:t>
            </w:r>
          </w:p>
        </w:tc>
        <w:tc>
          <w:tcPr>
            <w:tcW w:w="1015" w:type="dxa"/>
            <w:gridSpan w:val="2"/>
          </w:tcPr>
          <w:p>
            <w:pPr>
              <w:pStyle w:val="TableParagraph"/>
              <w:spacing w:line="183" w:lineRule="exact" w:before="19"/>
              <w:ind w:left="542"/>
              <w:rPr>
                <w:sz w:val="16"/>
              </w:rPr>
            </w:pPr>
            <w:r>
              <w:rPr>
                <w:spacing w:val="-2"/>
                <w:sz w:val="16"/>
              </w:rPr>
              <w:t>852.7</w:t>
            </w:r>
          </w:p>
        </w:tc>
        <w:tc>
          <w:tcPr>
            <w:tcW w:w="1159" w:type="dxa"/>
            <w:gridSpan w:val="2"/>
          </w:tcPr>
          <w:p>
            <w:pPr>
              <w:pStyle w:val="TableParagraph"/>
              <w:spacing w:line="183" w:lineRule="exact" w:before="19"/>
              <w:ind w:left="697"/>
              <w:rPr>
                <w:sz w:val="16"/>
              </w:rPr>
            </w:pPr>
            <w:r>
              <w:rPr>
                <w:spacing w:val="-2"/>
                <w:sz w:val="16"/>
              </w:rPr>
              <w:t>8,330</w:t>
            </w:r>
          </w:p>
        </w:tc>
        <w:tc>
          <w:tcPr>
            <w:tcW w:w="1094" w:type="dxa"/>
          </w:tcPr>
          <w:p>
            <w:pPr>
              <w:pStyle w:val="TableParagraph"/>
              <w:spacing w:line="183" w:lineRule="exact" w:before="19"/>
              <w:ind w:left="557"/>
              <w:rPr>
                <w:sz w:val="16"/>
              </w:rPr>
            </w:pPr>
            <w:r>
              <w:rPr>
                <w:spacing w:val="-4"/>
                <w:sz w:val="16"/>
              </w:rPr>
              <w:t>0.30</w:t>
            </w:r>
          </w:p>
        </w:tc>
      </w:tr>
      <w:tr>
        <w:trPr>
          <w:trHeight w:val="225" w:hRule="atLeast"/>
        </w:trPr>
        <w:tc>
          <w:tcPr>
            <w:tcW w:w="2460" w:type="dxa"/>
          </w:tcPr>
          <w:p>
            <w:pPr>
              <w:pStyle w:val="TableParagraph"/>
              <w:spacing w:before="14"/>
              <w:ind w:left="52"/>
              <w:rPr>
                <w:sz w:val="16"/>
              </w:rPr>
            </w:pPr>
            <w:r>
              <w:rPr>
                <w:spacing w:val="-2"/>
                <w:sz w:val="16"/>
              </w:rPr>
              <w:t>Qatar</w:t>
            </w:r>
          </w:p>
        </w:tc>
        <w:tc>
          <w:tcPr>
            <w:tcW w:w="868" w:type="dxa"/>
          </w:tcPr>
          <w:p>
            <w:pPr>
              <w:pStyle w:val="TableParagraph"/>
              <w:spacing w:line="183" w:lineRule="exact" w:before="21"/>
              <w:ind w:right="63"/>
              <w:jc w:val="right"/>
              <w:rPr>
                <w:sz w:val="16"/>
              </w:rPr>
            </w:pPr>
            <w:r>
              <w:rPr>
                <w:spacing w:val="-2"/>
                <w:sz w:val="16"/>
              </w:rPr>
              <w:t>1,389</w:t>
            </w:r>
          </w:p>
        </w:tc>
        <w:tc>
          <w:tcPr>
            <w:tcW w:w="958" w:type="dxa"/>
          </w:tcPr>
          <w:p>
            <w:pPr>
              <w:pStyle w:val="TableParagraph"/>
              <w:spacing w:line="183" w:lineRule="exact" w:before="21"/>
              <w:ind w:right="46"/>
              <w:jc w:val="right"/>
              <w:rPr>
                <w:sz w:val="16"/>
              </w:rPr>
            </w:pPr>
            <w:r>
              <w:rPr>
                <w:spacing w:val="-4"/>
                <w:sz w:val="16"/>
              </w:rPr>
              <w:t>0.05</w:t>
            </w:r>
          </w:p>
        </w:tc>
        <w:tc>
          <w:tcPr>
            <w:tcW w:w="1043" w:type="dxa"/>
            <w:gridSpan w:val="2"/>
          </w:tcPr>
          <w:p>
            <w:pPr>
              <w:pStyle w:val="TableParagraph"/>
              <w:spacing w:line="183" w:lineRule="exact" w:before="21"/>
              <w:ind w:left="556"/>
              <w:rPr>
                <w:sz w:val="16"/>
              </w:rPr>
            </w:pPr>
            <w:r>
              <w:rPr>
                <w:spacing w:val="-2"/>
                <w:sz w:val="16"/>
              </w:rPr>
              <w:t>167.6</w:t>
            </w:r>
          </w:p>
        </w:tc>
        <w:tc>
          <w:tcPr>
            <w:tcW w:w="831" w:type="dxa"/>
            <w:gridSpan w:val="2"/>
          </w:tcPr>
          <w:p>
            <w:pPr>
              <w:pStyle w:val="TableParagraph"/>
              <w:spacing w:line="183" w:lineRule="exact" w:before="21"/>
              <w:ind w:left="456"/>
              <w:rPr>
                <w:sz w:val="16"/>
              </w:rPr>
            </w:pPr>
            <w:r>
              <w:rPr>
                <w:spacing w:val="-4"/>
                <w:sz w:val="16"/>
              </w:rPr>
              <w:t>11.1</w:t>
            </w:r>
          </w:p>
        </w:tc>
        <w:tc>
          <w:tcPr>
            <w:tcW w:w="1015" w:type="dxa"/>
            <w:gridSpan w:val="2"/>
          </w:tcPr>
          <w:p>
            <w:pPr>
              <w:pStyle w:val="TableParagraph"/>
              <w:spacing w:line="183" w:lineRule="exact" w:before="21"/>
              <w:ind w:left="542"/>
              <w:rPr>
                <w:sz w:val="16"/>
              </w:rPr>
            </w:pPr>
            <w:r>
              <w:rPr>
                <w:spacing w:val="-2"/>
                <w:sz w:val="16"/>
              </w:rPr>
              <w:t>156.5</w:t>
            </w:r>
          </w:p>
        </w:tc>
        <w:tc>
          <w:tcPr>
            <w:tcW w:w="1159" w:type="dxa"/>
            <w:gridSpan w:val="2"/>
          </w:tcPr>
          <w:p>
            <w:pPr>
              <w:pStyle w:val="TableParagraph"/>
              <w:spacing w:line="183" w:lineRule="exact" w:before="21"/>
              <w:ind w:left="697"/>
              <w:rPr>
                <w:sz w:val="16"/>
              </w:rPr>
            </w:pPr>
            <w:r>
              <w:rPr>
                <w:spacing w:val="-2"/>
                <w:sz w:val="16"/>
              </w:rPr>
              <w:t>2,208</w:t>
            </w:r>
          </w:p>
        </w:tc>
        <w:tc>
          <w:tcPr>
            <w:tcW w:w="1094" w:type="dxa"/>
          </w:tcPr>
          <w:p>
            <w:pPr>
              <w:pStyle w:val="TableParagraph"/>
              <w:spacing w:line="183" w:lineRule="exact" w:before="21"/>
              <w:ind w:left="557"/>
              <w:rPr>
                <w:sz w:val="16"/>
              </w:rPr>
            </w:pPr>
            <w:r>
              <w:rPr>
                <w:spacing w:val="-4"/>
                <w:sz w:val="16"/>
              </w:rPr>
              <w:t>0.08</w:t>
            </w:r>
          </w:p>
        </w:tc>
      </w:tr>
      <w:tr>
        <w:trPr>
          <w:trHeight w:val="225" w:hRule="atLeast"/>
        </w:trPr>
        <w:tc>
          <w:tcPr>
            <w:tcW w:w="2460" w:type="dxa"/>
          </w:tcPr>
          <w:p>
            <w:pPr>
              <w:pStyle w:val="TableParagraph"/>
              <w:spacing w:before="14"/>
              <w:ind w:left="52"/>
              <w:rPr>
                <w:sz w:val="16"/>
              </w:rPr>
            </w:pPr>
            <w:r>
              <w:rPr>
                <w:spacing w:val="-2"/>
                <w:sz w:val="16"/>
              </w:rPr>
              <w:t>Romania</w:t>
            </w:r>
          </w:p>
        </w:tc>
        <w:tc>
          <w:tcPr>
            <w:tcW w:w="868" w:type="dxa"/>
          </w:tcPr>
          <w:p>
            <w:pPr>
              <w:pStyle w:val="TableParagraph"/>
              <w:spacing w:line="183" w:lineRule="exact" w:before="21"/>
              <w:ind w:right="63"/>
              <w:jc w:val="right"/>
              <w:rPr>
                <w:sz w:val="16"/>
              </w:rPr>
            </w:pPr>
            <w:r>
              <w:rPr>
                <w:spacing w:val="-2"/>
                <w:sz w:val="16"/>
              </w:rPr>
              <w:t>7,873</w:t>
            </w:r>
          </w:p>
        </w:tc>
        <w:tc>
          <w:tcPr>
            <w:tcW w:w="958" w:type="dxa"/>
          </w:tcPr>
          <w:p>
            <w:pPr>
              <w:pStyle w:val="TableParagraph"/>
              <w:spacing w:line="183" w:lineRule="exact" w:before="21"/>
              <w:ind w:right="46"/>
              <w:jc w:val="right"/>
              <w:rPr>
                <w:sz w:val="16"/>
              </w:rPr>
            </w:pPr>
            <w:r>
              <w:rPr>
                <w:spacing w:val="-4"/>
                <w:sz w:val="16"/>
              </w:rPr>
              <w:t>0.30</w:t>
            </w:r>
          </w:p>
        </w:tc>
        <w:tc>
          <w:tcPr>
            <w:tcW w:w="1043" w:type="dxa"/>
            <w:gridSpan w:val="2"/>
          </w:tcPr>
          <w:p>
            <w:pPr>
              <w:pStyle w:val="TableParagraph"/>
              <w:spacing w:line="183" w:lineRule="exact" w:before="21"/>
              <w:ind w:left="556"/>
              <w:rPr>
                <w:sz w:val="16"/>
              </w:rPr>
            </w:pPr>
            <w:r>
              <w:rPr>
                <w:spacing w:val="-2"/>
                <w:sz w:val="16"/>
              </w:rPr>
              <w:t>949.8</w:t>
            </w:r>
          </w:p>
        </w:tc>
        <w:tc>
          <w:tcPr>
            <w:tcW w:w="831" w:type="dxa"/>
            <w:gridSpan w:val="2"/>
          </w:tcPr>
          <w:p>
            <w:pPr>
              <w:pStyle w:val="TableParagraph"/>
              <w:spacing w:line="183" w:lineRule="exact" w:before="21"/>
              <w:ind w:left="456"/>
              <w:rPr>
                <w:sz w:val="16"/>
              </w:rPr>
            </w:pPr>
            <w:r>
              <w:rPr>
                <w:spacing w:val="-4"/>
                <w:sz w:val="16"/>
              </w:rPr>
              <w:t>67.1</w:t>
            </w:r>
          </w:p>
        </w:tc>
        <w:tc>
          <w:tcPr>
            <w:tcW w:w="1015" w:type="dxa"/>
            <w:gridSpan w:val="2"/>
          </w:tcPr>
          <w:p>
            <w:pPr>
              <w:pStyle w:val="TableParagraph"/>
              <w:spacing w:line="183" w:lineRule="exact" w:before="21"/>
              <w:ind w:left="542"/>
              <w:rPr>
                <w:sz w:val="16"/>
              </w:rPr>
            </w:pPr>
            <w:r>
              <w:rPr>
                <w:spacing w:val="-2"/>
                <w:sz w:val="16"/>
              </w:rPr>
              <w:t>882.7</w:t>
            </w:r>
          </w:p>
        </w:tc>
        <w:tc>
          <w:tcPr>
            <w:tcW w:w="1159" w:type="dxa"/>
            <w:gridSpan w:val="2"/>
          </w:tcPr>
          <w:p>
            <w:pPr>
              <w:pStyle w:val="TableParagraph"/>
              <w:spacing w:line="183" w:lineRule="exact" w:before="21"/>
              <w:ind w:left="697"/>
              <w:rPr>
                <w:sz w:val="16"/>
              </w:rPr>
            </w:pPr>
            <w:r>
              <w:rPr>
                <w:spacing w:val="-2"/>
                <w:sz w:val="16"/>
              </w:rPr>
              <w:t>8,692</w:t>
            </w:r>
          </w:p>
        </w:tc>
        <w:tc>
          <w:tcPr>
            <w:tcW w:w="1094" w:type="dxa"/>
          </w:tcPr>
          <w:p>
            <w:pPr>
              <w:pStyle w:val="TableParagraph"/>
              <w:spacing w:line="183" w:lineRule="exact" w:before="21"/>
              <w:ind w:left="557"/>
              <w:rPr>
                <w:sz w:val="16"/>
              </w:rPr>
            </w:pPr>
            <w:r>
              <w:rPr>
                <w:spacing w:val="-4"/>
                <w:sz w:val="16"/>
              </w:rPr>
              <w:t>0.31</w:t>
            </w:r>
          </w:p>
        </w:tc>
      </w:tr>
      <w:tr>
        <w:trPr>
          <w:trHeight w:val="225" w:hRule="atLeast"/>
        </w:trPr>
        <w:tc>
          <w:tcPr>
            <w:tcW w:w="2460" w:type="dxa"/>
          </w:tcPr>
          <w:p>
            <w:pPr>
              <w:pStyle w:val="TableParagraph"/>
              <w:spacing w:before="14"/>
              <w:ind w:left="52"/>
              <w:rPr>
                <w:sz w:val="16"/>
              </w:rPr>
            </w:pPr>
            <w:r>
              <w:rPr>
                <w:sz w:val="16"/>
              </w:rPr>
              <w:t>Russian</w:t>
            </w:r>
            <w:r>
              <w:rPr>
                <w:spacing w:val="-5"/>
                <w:sz w:val="16"/>
              </w:rPr>
              <w:t> </w:t>
            </w:r>
            <w:r>
              <w:rPr>
                <w:spacing w:val="-2"/>
                <w:sz w:val="16"/>
              </w:rPr>
              <w:t>Federation</w:t>
            </w:r>
          </w:p>
        </w:tc>
        <w:tc>
          <w:tcPr>
            <w:tcW w:w="868" w:type="dxa"/>
          </w:tcPr>
          <w:p>
            <w:pPr>
              <w:pStyle w:val="TableParagraph"/>
              <w:spacing w:line="183" w:lineRule="exact" w:before="21"/>
              <w:ind w:right="63"/>
              <w:jc w:val="right"/>
              <w:rPr>
                <w:sz w:val="16"/>
              </w:rPr>
            </w:pPr>
            <w:r>
              <w:rPr>
                <w:spacing w:val="-2"/>
                <w:sz w:val="16"/>
              </w:rPr>
              <w:t>79,121</w:t>
            </w:r>
          </w:p>
        </w:tc>
        <w:tc>
          <w:tcPr>
            <w:tcW w:w="958" w:type="dxa"/>
          </w:tcPr>
          <w:p>
            <w:pPr>
              <w:pStyle w:val="TableParagraph"/>
              <w:spacing w:line="183" w:lineRule="exact" w:before="21"/>
              <w:ind w:right="46"/>
              <w:jc w:val="right"/>
              <w:rPr>
                <w:sz w:val="16"/>
              </w:rPr>
            </w:pPr>
            <w:r>
              <w:rPr>
                <w:spacing w:val="-4"/>
                <w:sz w:val="16"/>
              </w:rPr>
              <w:t>3.00</w:t>
            </w:r>
          </w:p>
        </w:tc>
        <w:tc>
          <w:tcPr>
            <w:tcW w:w="1043" w:type="dxa"/>
            <w:gridSpan w:val="2"/>
          </w:tcPr>
          <w:p>
            <w:pPr>
              <w:pStyle w:val="TableParagraph"/>
              <w:spacing w:line="183" w:lineRule="exact" w:before="21"/>
              <w:ind w:left="422"/>
              <w:rPr>
                <w:sz w:val="16"/>
              </w:rPr>
            </w:pPr>
            <w:r>
              <w:rPr>
                <w:spacing w:val="-2"/>
                <w:sz w:val="16"/>
              </w:rPr>
              <w:t>9,544.8</w:t>
            </w:r>
          </w:p>
        </w:tc>
        <w:tc>
          <w:tcPr>
            <w:tcW w:w="831" w:type="dxa"/>
            <w:gridSpan w:val="2"/>
          </w:tcPr>
          <w:p>
            <w:pPr>
              <w:pStyle w:val="TableParagraph"/>
              <w:spacing w:line="183" w:lineRule="exact" w:before="21"/>
              <w:ind w:left="368"/>
              <w:rPr>
                <w:sz w:val="16"/>
              </w:rPr>
            </w:pPr>
            <w:r>
              <w:rPr>
                <w:spacing w:val="-2"/>
                <w:sz w:val="16"/>
              </w:rPr>
              <w:t>685.8</w:t>
            </w:r>
          </w:p>
        </w:tc>
        <w:tc>
          <w:tcPr>
            <w:tcW w:w="1015" w:type="dxa"/>
            <w:gridSpan w:val="2"/>
          </w:tcPr>
          <w:p>
            <w:pPr>
              <w:pStyle w:val="TableParagraph"/>
              <w:spacing w:line="183" w:lineRule="exact" w:before="21"/>
              <w:ind w:left="408"/>
              <w:rPr>
                <w:sz w:val="16"/>
              </w:rPr>
            </w:pPr>
            <w:r>
              <w:rPr>
                <w:spacing w:val="-2"/>
                <w:sz w:val="16"/>
              </w:rPr>
              <w:t>8,859.0</w:t>
            </w:r>
          </w:p>
        </w:tc>
        <w:tc>
          <w:tcPr>
            <w:tcW w:w="1159" w:type="dxa"/>
            <w:gridSpan w:val="2"/>
          </w:tcPr>
          <w:p>
            <w:pPr>
              <w:pStyle w:val="TableParagraph"/>
              <w:spacing w:line="183" w:lineRule="exact" w:before="21"/>
              <w:ind w:left="609"/>
              <w:rPr>
                <w:sz w:val="16"/>
              </w:rPr>
            </w:pPr>
            <w:r>
              <w:rPr>
                <w:spacing w:val="-2"/>
                <w:sz w:val="16"/>
              </w:rPr>
              <w:t>79,940</w:t>
            </w:r>
          </w:p>
        </w:tc>
        <w:tc>
          <w:tcPr>
            <w:tcW w:w="1094" w:type="dxa"/>
          </w:tcPr>
          <w:p>
            <w:pPr>
              <w:pStyle w:val="TableParagraph"/>
              <w:spacing w:line="183" w:lineRule="exact" w:before="21"/>
              <w:ind w:left="557"/>
              <w:rPr>
                <w:sz w:val="16"/>
              </w:rPr>
            </w:pPr>
            <w:r>
              <w:rPr>
                <w:spacing w:val="-4"/>
                <w:sz w:val="16"/>
              </w:rPr>
              <w:t>2.87</w:t>
            </w:r>
          </w:p>
        </w:tc>
      </w:tr>
      <w:tr>
        <w:trPr>
          <w:trHeight w:val="227" w:hRule="atLeast"/>
        </w:trPr>
        <w:tc>
          <w:tcPr>
            <w:tcW w:w="2460" w:type="dxa"/>
          </w:tcPr>
          <w:p>
            <w:pPr>
              <w:pStyle w:val="TableParagraph"/>
              <w:spacing w:before="14"/>
              <w:ind w:left="52"/>
              <w:rPr>
                <w:sz w:val="16"/>
              </w:rPr>
            </w:pPr>
            <w:r>
              <w:rPr>
                <w:spacing w:val="-2"/>
                <w:sz w:val="16"/>
              </w:rPr>
              <w:t>Rwanda</w:t>
            </w:r>
          </w:p>
        </w:tc>
        <w:tc>
          <w:tcPr>
            <w:tcW w:w="868" w:type="dxa"/>
          </w:tcPr>
          <w:p>
            <w:pPr>
              <w:pStyle w:val="TableParagraph"/>
              <w:spacing w:before="21"/>
              <w:ind w:right="63"/>
              <w:jc w:val="right"/>
              <w:rPr>
                <w:sz w:val="16"/>
              </w:rPr>
            </w:pPr>
            <w:r>
              <w:rPr>
                <w:spacing w:val="-2"/>
                <w:sz w:val="16"/>
              </w:rPr>
              <w:t>1,502</w:t>
            </w:r>
          </w:p>
        </w:tc>
        <w:tc>
          <w:tcPr>
            <w:tcW w:w="958" w:type="dxa"/>
          </w:tcPr>
          <w:p>
            <w:pPr>
              <w:pStyle w:val="TableParagraph"/>
              <w:spacing w:before="21"/>
              <w:ind w:right="46"/>
              <w:jc w:val="right"/>
              <w:rPr>
                <w:sz w:val="16"/>
              </w:rPr>
            </w:pPr>
            <w:r>
              <w:rPr>
                <w:spacing w:val="-4"/>
                <w:sz w:val="16"/>
              </w:rPr>
              <w:t>0.06</w:t>
            </w:r>
          </w:p>
        </w:tc>
        <w:tc>
          <w:tcPr>
            <w:tcW w:w="1043" w:type="dxa"/>
            <w:gridSpan w:val="2"/>
          </w:tcPr>
          <w:p>
            <w:pPr>
              <w:pStyle w:val="TableParagraph"/>
              <w:spacing w:before="21"/>
              <w:ind w:left="556"/>
              <w:rPr>
                <w:sz w:val="16"/>
              </w:rPr>
            </w:pPr>
            <w:r>
              <w:rPr>
                <w:spacing w:val="-2"/>
                <w:sz w:val="16"/>
              </w:rPr>
              <w:t>181.2</w:t>
            </w:r>
          </w:p>
        </w:tc>
        <w:tc>
          <w:tcPr>
            <w:tcW w:w="831" w:type="dxa"/>
            <w:gridSpan w:val="2"/>
          </w:tcPr>
          <w:p>
            <w:pPr>
              <w:pStyle w:val="TableParagraph"/>
              <w:spacing w:before="21"/>
              <w:ind w:left="545"/>
              <w:rPr>
                <w:sz w:val="16"/>
              </w:rPr>
            </w:pPr>
            <w:r>
              <w:rPr>
                <w:spacing w:val="-5"/>
                <w:sz w:val="16"/>
              </w:rPr>
              <w:t>7.5</w:t>
            </w:r>
          </w:p>
        </w:tc>
        <w:tc>
          <w:tcPr>
            <w:tcW w:w="1015" w:type="dxa"/>
            <w:gridSpan w:val="2"/>
          </w:tcPr>
          <w:p>
            <w:pPr>
              <w:pStyle w:val="TableParagraph"/>
              <w:spacing w:before="21"/>
              <w:ind w:left="542"/>
              <w:rPr>
                <w:sz w:val="16"/>
              </w:rPr>
            </w:pPr>
            <w:r>
              <w:rPr>
                <w:spacing w:val="-2"/>
                <w:sz w:val="16"/>
              </w:rPr>
              <w:t>173.7</w:t>
            </w:r>
          </w:p>
        </w:tc>
        <w:tc>
          <w:tcPr>
            <w:tcW w:w="1159" w:type="dxa"/>
            <w:gridSpan w:val="2"/>
          </w:tcPr>
          <w:p>
            <w:pPr>
              <w:pStyle w:val="TableParagraph"/>
              <w:spacing w:before="21"/>
              <w:ind w:left="697"/>
              <w:rPr>
                <w:sz w:val="16"/>
              </w:rPr>
            </w:pPr>
            <w:r>
              <w:rPr>
                <w:spacing w:val="-2"/>
                <w:sz w:val="16"/>
              </w:rPr>
              <w:t>2,321</w:t>
            </w:r>
          </w:p>
        </w:tc>
        <w:tc>
          <w:tcPr>
            <w:tcW w:w="1094" w:type="dxa"/>
          </w:tcPr>
          <w:p>
            <w:pPr>
              <w:pStyle w:val="TableParagraph"/>
              <w:spacing w:before="21"/>
              <w:ind w:left="557"/>
              <w:rPr>
                <w:sz w:val="16"/>
              </w:rPr>
            </w:pPr>
            <w:r>
              <w:rPr>
                <w:spacing w:val="-4"/>
                <w:sz w:val="16"/>
              </w:rPr>
              <w:t>0.08</w:t>
            </w:r>
          </w:p>
        </w:tc>
      </w:tr>
      <w:tr>
        <w:trPr>
          <w:trHeight w:val="222" w:hRule="atLeast"/>
        </w:trPr>
        <w:tc>
          <w:tcPr>
            <w:tcW w:w="2460" w:type="dxa"/>
            <w:shd w:val="clear" w:color="auto" w:fill="D8D8D8"/>
          </w:tcPr>
          <w:p>
            <w:pPr>
              <w:pStyle w:val="TableParagraph"/>
              <w:spacing w:before="11"/>
              <w:ind w:left="52"/>
              <w:rPr>
                <w:sz w:val="16"/>
              </w:rPr>
            </w:pPr>
            <w:r>
              <w:rPr>
                <w:sz w:val="16"/>
              </w:rPr>
              <w:t>St.</w:t>
            </w:r>
            <w:r>
              <w:rPr>
                <w:spacing w:val="-1"/>
                <w:sz w:val="16"/>
              </w:rPr>
              <w:t> </w:t>
            </w:r>
            <w:r>
              <w:rPr>
                <w:sz w:val="16"/>
              </w:rPr>
              <w:t>Kitts</w:t>
            </w:r>
            <w:r>
              <w:rPr>
                <w:spacing w:val="-2"/>
                <w:sz w:val="16"/>
              </w:rPr>
              <w:t> </w:t>
            </w:r>
            <w:r>
              <w:rPr>
                <w:sz w:val="16"/>
              </w:rPr>
              <w:t>and</w:t>
            </w:r>
            <w:r>
              <w:rPr>
                <w:spacing w:val="-1"/>
                <w:sz w:val="16"/>
              </w:rPr>
              <w:t> </w:t>
            </w:r>
            <w:r>
              <w:rPr>
                <w:spacing w:val="-2"/>
                <w:sz w:val="16"/>
              </w:rPr>
              <w:t>Nevis</w:t>
            </w:r>
          </w:p>
        </w:tc>
        <w:tc>
          <w:tcPr>
            <w:tcW w:w="868" w:type="dxa"/>
            <w:shd w:val="clear" w:color="auto" w:fill="D8D8D8"/>
          </w:tcPr>
          <w:p>
            <w:pPr>
              <w:pStyle w:val="TableParagraph"/>
              <w:spacing w:line="183" w:lineRule="exact" w:before="19"/>
              <w:ind w:right="63"/>
              <w:jc w:val="right"/>
              <w:rPr>
                <w:sz w:val="16"/>
              </w:rPr>
            </w:pPr>
            <w:r>
              <w:rPr>
                <w:spacing w:val="-5"/>
                <w:sz w:val="16"/>
              </w:rPr>
              <w:t>275</w:t>
            </w:r>
          </w:p>
        </w:tc>
        <w:tc>
          <w:tcPr>
            <w:tcW w:w="958" w:type="dxa"/>
            <w:shd w:val="clear" w:color="auto" w:fill="D8D8D8"/>
          </w:tcPr>
          <w:p>
            <w:pPr>
              <w:pStyle w:val="TableParagraph"/>
              <w:spacing w:line="183" w:lineRule="exact" w:before="19"/>
              <w:ind w:right="46"/>
              <w:jc w:val="right"/>
              <w:rPr>
                <w:sz w:val="16"/>
              </w:rPr>
            </w:pPr>
            <w:r>
              <w:rPr>
                <w:spacing w:val="-4"/>
                <w:sz w:val="16"/>
              </w:rPr>
              <w:t>0.01</w:t>
            </w:r>
          </w:p>
        </w:tc>
        <w:tc>
          <w:tcPr>
            <w:tcW w:w="1043" w:type="dxa"/>
            <w:gridSpan w:val="2"/>
            <w:shd w:val="clear" w:color="auto" w:fill="D8D8D8"/>
          </w:tcPr>
          <w:p>
            <w:pPr>
              <w:pStyle w:val="TableParagraph"/>
              <w:spacing w:line="183" w:lineRule="exact" w:before="19"/>
              <w:ind w:left="644"/>
              <w:rPr>
                <w:sz w:val="16"/>
              </w:rPr>
            </w:pPr>
            <w:r>
              <w:rPr>
                <w:spacing w:val="-4"/>
                <w:sz w:val="16"/>
              </w:rPr>
              <w:t>33.2</w:t>
            </w:r>
          </w:p>
        </w:tc>
        <w:tc>
          <w:tcPr>
            <w:tcW w:w="831" w:type="dxa"/>
            <w:gridSpan w:val="2"/>
            <w:shd w:val="clear" w:color="auto" w:fill="D8D8D8"/>
          </w:tcPr>
          <w:p>
            <w:pPr>
              <w:pStyle w:val="TableParagraph"/>
              <w:spacing w:line="183" w:lineRule="exact" w:before="19"/>
              <w:ind w:left="545"/>
              <w:rPr>
                <w:sz w:val="16"/>
              </w:rPr>
            </w:pPr>
            <w:r>
              <w:rPr>
                <w:spacing w:val="-5"/>
                <w:sz w:val="16"/>
              </w:rPr>
              <w:t>0.3</w:t>
            </w:r>
          </w:p>
        </w:tc>
        <w:tc>
          <w:tcPr>
            <w:tcW w:w="1015" w:type="dxa"/>
            <w:gridSpan w:val="2"/>
            <w:shd w:val="clear" w:color="auto" w:fill="D8D8D8"/>
          </w:tcPr>
          <w:p>
            <w:pPr>
              <w:pStyle w:val="TableParagraph"/>
              <w:spacing w:line="183" w:lineRule="exact" w:before="19"/>
              <w:ind w:left="630"/>
              <w:rPr>
                <w:sz w:val="16"/>
              </w:rPr>
            </w:pPr>
            <w:r>
              <w:rPr>
                <w:spacing w:val="-4"/>
                <w:sz w:val="16"/>
              </w:rPr>
              <w:t>32.9</w:t>
            </w:r>
          </w:p>
        </w:tc>
        <w:tc>
          <w:tcPr>
            <w:tcW w:w="1159" w:type="dxa"/>
            <w:gridSpan w:val="2"/>
            <w:shd w:val="clear" w:color="auto" w:fill="D8D8D8"/>
          </w:tcPr>
          <w:p>
            <w:pPr>
              <w:pStyle w:val="TableParagraph"/>
              <w:spacing w:line="183" w:lineRule="exact" w:before="19"/>
              <w:ind w:left="697"/>
              <w:rPr>
                <w:sz w:val="16"/>
              </w:rPr>
            </w:pPr>
            <w:r>
              <w:rPr>
                <w:spacing w:val="-2"/>
                <w:sz w:val="16"/>
              </w:rPr>
              <w:t>1,094</w:t>
            </w:r>
          </w:p>
        </w:tc>
        <w:tc>
          <w:tcPr>
            <w:tcW w:w="1094" w:type="dxa"/>
            <w:shd w:val="clear" w:color="auto" w:fill="D8D8D8"/>
          </w:tcPr>
          <w:p>
            <w:pPr>
              <w:pStyle w:val="TableParagraph"/>
              <w:spacing w:line="183" w:lineRule="exact" w:before="19"/>
              <w:ind w:left="557"/>
              <w:rPr>
                <w:sz w:val="16"/>
              </w:rPr>
            </w:pPr>
            <w:r>
              <w:rPr>
                <w:spacing w:val="-4"/>
                <w:sz w:val="16"/>
              </w:rPr>
              <w:t>0.04</w:t>
            </w:r>
          </w:p>
        </w:tc>
      </w:tr>
      <w:tr>
        <w:trPr>
          <w:trHeight w:val="225" w:hRule="atLeast"/>
        </w:trPr>
        <w:tc>
          <w:tcPr>
            <w:tcW w:w="2460" w:type="dxa"/>
            <w:shd w:val="clear" w:color="auto" w:fill="D8D8D8"/>
          </w:tcPr>
          <w:p>
            <w:pPr>
              <w:pStyle w:val="TableParagraph"/>
              <w:spacing w:before="14"/>
              <w:ind w:left="52"/>
              <w:rPr>
                <w:sz w:val="16"/>
              </w:rPr>
            </w:pPr>
            <w:r>
              <w:rPr>
                <w:sz w:val="16"/>
              </w:rPr>
              <w:t>St. </w:t>
            </w:r>
            <w:r>
              <w:rPr>
                <w:spacing w:val="-2"/>
                <w:sz w:val="16"/>
              </w:rPr>
              <w:t>Lucia</w:t>
            </w:r>
          </w:p>
        </w:tc>
        <w:tc>
          <w:tcPr>
            <w:tcW w:w="868" w:type="dxa"/>
            <w:shd w:val="clear" w:color="auto" w:fill="D8D8D8"/>
          </w:tcPr>
          <w:p>
            <w:pPr>
              <w:pStyle w:val="TableParagraph"/>
              <w:spacing w:line="183" w:lineRule="exact" w:before="21"/>
              <w:ind w:right="63"/>
              <w:jc w:val="right"/>
              <w:rPr>
                <w:sz w:val="16"/>
              </w:rPr>
            </w:pPr>
            <w:r>
              <w:rPr>
                <w:spacing w:val="-5"/>
                <w:sz w:val="16"/>
              </w:rPr>
              <w:t>699</w:t>
            </w:r>
          </w:p>
        </w:tc>
        <w:tc>
          <w:tcPr>
            <w:tcW w:w="958" w:type="dxa"/>
            <w:shd w:val="clear" w:color="auto" w:fill="D8D8D8"/>
          </w:tcPr>
          <w:p>
            <w:pPr>
              <w:pStyle w:val="TableParagraph"/>
              <w:spacing w:line="183" w:lineRule="exact" w:before="21"/>
              <w:ind w:right="46"/>
              <w:jc w:val="right"/>
              <w:rPr>
                <w:sz w:val="16"/>
              </w:rPr>
            </w:pPr>
            <w:r>
              <w:rPr>
                <w:spacing w:val="-4"/>
                <w:sz w:val="16"/>
              </w:rPr>
              <w:t>0.03</w:t>
            </w:r>
          </w:p>
        </w:tc>
        <w:tc>
          <w:tcPr>
            <w:tcW w:w="1043" w:type="dxa"/>
            <w:gridSpan w:val="2"/>
            <w:shd w:val="clear" w:color="auto" w:fill="D8D8D8"/>
          </w:tcPr>
          <w:p>
            <w:pPr>
              <w:pStyle w:val="TableParagraph"/>
              <w:spacing w:line="183" w:lineRule="exact" w:before="21"/>
              <w:ind w:left="644"/>
              <w:rPr>
                <w:sz w:val="16"/>
              </w:rPr>
            </w:pPr>
            <w:r>
              <w:rPr>
                <w:spacing w:val="-4"/>
                <w:sz w:val="16"/>
              </w:rPr>
              <w:t>84.3</w:t>
            </w:r>
          </w:p>
        </w:tc>
        <w:tc>
          <w:tcPr>
            <w:tcW w:w="831" w:type="dxa"/>
            <w:gridSpan w:val="2"/>
            <w:shd w:val="clear" w:color="auto" w:fill="D8D8D8"/>
          </w:tcPr>
          <w:p>
            <w:pPr>
              <w:pStyle w:val="TableParagraph"/>
              <w:spacing w:line="183" w:lineRule="exact" w:before="21"/>
              <w:ind w:left="545"/>
              <w:rPr>
                <w:sz w:val="16"/>
              </w:rPr>
            </w:pPr>
            <w:r>
              <w:rPr>
                <w:spacing w:val="-5"/>
                <w:sz w:val="16"/>
              </w:rPr>
              <w:t>2.6</w:t>
            </w:r>
          </w:p>
        </w:tc>
        <w:tc>
          <w:tcPr>
            <w:tcW w:w="1015" w:type="dxa"/>
            <w:gridSpan w:val="2"/>
            <w:shd w:val="clear" w:color="auto" w:fill="D8D8D8"/>
          </w:tcPr>
          <w:p>
            <w:pPr>
              <w:pStyle w:val="TableParagraph"/>
              <w:spacing w:line="183" w:lineRule="exact" w:before="21"/>
              <w:ind w:left="630"/>
              <w:rPr>
                <w:sz w:val="16"/>
              </w:rPr>
            </w:pPr>
            <w:r>
              <w:rPr>
                <w:spacing w:val="-4"/>
                <w:sz w:val="16"/>
              </w:rPr>
              <w:t>81.7</w:t>
            </w:r>
          </w:p>
        </w:tc>
        <w:tc>
          <w:tcPr>
            <w:tcW w:w="1159" w:type="dxa"/>
            <w:gridSpan w:val="2"/>
            <w:shd w:val="clear" w:color="auto" w:fill="D8D8D8"/>
          </w:tcPr>
          <w:p>
            <w:pPr>
              <w:pStyle w:val="TableParagraph"/>
              <w:spacing w:line="183" w:lineRule="exact" w:before="21"/>
              <w:ind w:left="697"/>
              <w:rPr>
                <w:sz w:val="16"/>
              </w:rPr>
            </w:pPr>
            <w:r>
              <w:rPr>
                <w:spacing w:val="-2"/>
                <w:sz w:val="16"/>
              </w:rPr>
              <w:t>1,518</w:t>
            </w:r>
          </w:p>
        </w:tc>
        <w:tc>
          <w:tcPr>
            <w:tcW w:w="1094" w:type="dxa"/>
            <w:shd w:val="clear" w:color="auto" w:fill="D8D8D8"/>
          </w:tcPr>
          <w:p>
            <w:pPr>
              <w:pStyle w:val="TableParagraph"/>
              <w:spacing w:line="183" w:lineRule="exact" w:before="21"/>
              <w:ind w:left="557"/>
              <w:rPr>
                <w:sz w:val="16"/>
              </w:rPr>
            </w:pPr>
            <w:r>
              <w:rPr>
                <w:spacing w:val="-4"/>
                <w:sz w:val="16"/>
              </w:rPr>
              <w:t>0.05</w:t>
            </w:r>
          </w:p>
        </w:tc>
      </w:tr>
      <w:tr>
        <w:trPr>
          <w:trHeight w:val="225" w:hRule="atLeast"/>
        </w:trPr>
        <w:tc>
          <w:tcPr>
            <w:tcW w:w="2460" w:type="dxa"/>
            <w:shd w:val="clear" w:color="auto" w:fill="D8D8D8"/>
          </w:tcPr>
          <w:p>
            <w:pPr>
              <w:pStyle w:val="TableParagraph"/>
              <w:spacing w:before="14"/>
              <w:ind w:left="52"/>
              <w:rPr>
                <w:sz w:val="16"/>
              </w:rPr>
            </w:pPr>
            <w:r>
              <w:rPr>
                <w:sz w:val="16"/>
              </w:rPr>
              <w:t>St.</w:t>
            </w:r>
            <w:r>
              <w:rPr>
                <w:spacing w:val="-3"/>
                <w:sz w:val="16"/>
              </w:rPr>
              <w:t> </w:t>
            </w:r>
            <w:r>
              <w:rPr>
                <w:sz w:val="16"/>
              </w:rPr>
              <w:t>Vincent</w:t>
            </w:r>
            <w:r>
              <w:rPr>
                <w:spacing w:val="-3"/>
                <w:sz w:val="16"/>
              </w:rPr>
              <w:t> </w:t>
            </w:r>
            <w:r>
              <w:rPr>
                <w:sz w:val="16"/>
              </w:rPr>
              <w:t>and</w:t>
            </w:r>
            <w:r>
              <w:rPr>
                <w:spacing w:val="-3"/>
                <w:sz w:val="16"/>
              </w:rPr>
              <w:t> </w:t>
            </w:r>
            <w:r>
              <w:rPr>
                <w:sz w:val="16"/>
              </w:rPr>
              <w:t>the</w:t>
            </w:r>
            <w:r>
              <w:rPr>
                <w:spacing w:val="-3"/>
                <w:sz w:val="16"/>
              </w:rPr>
              <w:t> </w:t>
            </w:r>
            <w:r>
              <w:rPr>
                <w:spacing w:val="-2"/>
                <w:sz w:val="16"/>
              </w:rPr>
              <w:t>Grenadines</w:t>
            </w:r>
          </w:p>
        </w:tc>
        <w:tc>
          <w:tcPr>
            <w:tcW w:w="868" w:type="dxa"/>
            <w:shd w:val="clear" w:color="auto" w:fill="D8D8D8"/>
          </w:tcPr>
          <w:p>
            <w:pPr>
              <w:pStyle w:val="TableParagraph"/>
              <w:spacing w:line="183" w:lineRule="exact" w:before="21"/>
              <w:ind w:right="63"/>
              <w:jc w:val="right"/>
              <w:rPr>
                <w:sz w:val="16"/>
              </w:rPr>
            </w:pPr>
            <w:r>
              <w:rPr>
                <w:spacing w:val="-5"/>
                <w:sz w:val="16"/>
              </w:rPr>
              <w:t>387</w:t>
            </w:r>
          </w:p>
        </w:tc>
        <w:tc>
          <w:tcPr>
            <w:tcW w:w="958" w:type="dxa"/>
            <w:shd w:val="clear" w:color="auto" w:fill="D8D8D8"/>
          </w:tcPr>
          <w:p>
            <w:pPr>
              <w:pStyle w:val="TableParagraph"/>
              <w:spacing w:line="183" w:lineRule="exact" w:before="21"/>
              <w:ind w:right="46"/>
              <w:jc w:val="right"/>
              <w:rPr>
                <w:sz w:val="16"/>
              </w:rPr>
            </w:pPr>
            <w:r>
              <w:rPr>
                <w:spacing w:val="-4"/>
                <w:sz w:val="16"/>
              </w:rPr>
              <w:t>0.01</w:t>
            </w:r>
          </w:p>
        </w:tc>
        <w:tc>
          <w:tcPr>
            <w:tcW w:w="1043" w:type="dxa"/>
            <w:gridSpan w:val="2"/>
            <w:shd w:val="clear" w:color="auto" w:fill="D8D8D8"/>
          </w:tcPr>
          <w:p>
            <w:pPr>
              <w:pStyle w:val="TableParagraph"/>
              <w:spacing w:line="183" w:lineRule="exact" w:before="21"/>
              <w:ind w:left="644"/>
              <w:rPr>
                <w:sz w:val="16"/>
              </w:rPr>
            </w:pPr>
            <w:r>
              <w:rPr>
                <w:spacing w:val="-4"/>
                <w:sz w:val="16"/>
              </w:rPr>
              <w:t>46.7</w:t>
            </w:r>
          </w:p>
        </w:tc>
        <w:tc>
          <w:tcPr>
            <w:tcW w:w="831" w:type="dxa"/>
            <w:gridSpan w:val="2"/>
            <w:shd w:val="clear" w:color="auto" w:fill="D8D8D8"/>
          </w:tcPr>
          <w:p>
            <w:pPr>
              <w:pStyle w:val="TableParagraph"/>
              <w:spacing w:line="183" w:lineRule="exact" w:before="21"/>
              <w:ind w:left="545"/>
              <w:rPr>
                <w:sz w:val="16"/>
              </w:rPr>
            </w:pPr>
            <w:r>
              <w:rPr>
                <w:spacing w:val="-5"/>
                <w:sz w:val="16"/>
              </w:rPr>
              <w:t>1.6</w:t>
            </w:r>
          </w:p>
        </w:tc>
        <w:tc>
          <w:tcPr>
            <w:tcW w:w="1015" w:type="dxa"/>
            <w:gridSpan w:val="2"/>
            <w:shd w:val="clear" w:color="auto" w:fill="D8D8D8"/>
          </w:tcPr>
          <w:p>
            <w:pPr>
              <w:pStyle w:val="TableParagraph"/>
              <w:spacing w:line="183" w:lineRule="exact" w:before="21"/>
              <w:ind w:left="630"/>
              <w:rPr>
                <w:sz w:val="16"/>
              </w:rPr>
            </w:pPr>
            <w:r>
              <w:rPr>
                <w:spacing w:val="-4"/>
                <w:sz w:val="16"/>
              </w:rPr>
              <w:t>45.1</w:t>
            </w:r>
          </w:p>
        </w:tc>
        <w:tc>
          <w:tcPr>
            <w:tcW w:w="1159" w:type="dxa"/>
            <w:gridSpan w:val="2"/>
            <w:shd w:val="clear" w:color="auto" w:fill="D8D8D8"/>
          </w:tcPr>
          <w:p>
            <w:pPr>
              <w:pStyle w:val="TableParagraph"/>
              <w:spacing w:line="183" w:lineRule="exact" w:before="21"/>
              <w:ind w:left="697"/>
              <w:rPr>
                <w:sz w:val="16"/>
              </w:rPr>
            </w:pPr>
            <w:r>
              <w:rPr>
                <w:spacing w:val="-2"/>
                <w:sz w:val="16"/>
              </w:rPr>
              <w:t>1,206</w:t>
            </w:r>
          </w:p>
        </w:tc>
        <w:tc>
          <w:tcPr>
            <w:tcW w:w="1094" w:type="dxa"/>
            <w:shd w:val="clear" w:color="auto" w:fill="D8D8D8"/>
          </w:tcPr>
          <w:p>
            <w:pPr>
              <w:pStyle w:val="TableParagraph"/>
              <w:spacing w:line="183" w:lineRule="exact" w:before="21"/>
              <w:ind w:left="557"/>
              <w:rPr>
                <w:sz w:val="16"/>
              </w:rPr>
            </w:pPr>
            <w:r>
              <w:rPr>
                <w:spacing w:val="-4"/>
                <w:sz w:val="16"/>
              </w:rPr>
              <w:t>0.04</w:t>
            </w:r>
          </w:p>
        </w:tc>
      </w:tr>
      <w:tr>
        <w:trPr>
          <w:trHeight w:val="225" w:hRule="atLeast"/>
        </w:trPr>
        <w:tc>
          <w:tcPr>
            <w:tcW w:w="2460" w:type="dxa"/>
            <w:shd w:val="clear" w:color="auto" w:fill="D8D8D8"/>
          </w:tcPr>
          <w:p>
            <w:pPr>
              <w:pStyle w:val="TableParagraph"/>
              <w:spacing w:before="14"/>
              <w:ind w:left="52"/>
              <w:rPr>
                <w:sz w:val="16"/>
              </w:rPr>
            </w:pPr>
            <w:r>
              <w:rPr>
                <w:spacing w:val="-2"/>
                <w:sz w:val="16"/>
              </w:rPr>
              <w:t>Samoa</w:t>
            </w:r>
          </w:p>
        </w:tc>
        <w:tc>
          <w:tcPr>
            <w:tcW w:w="868" w:type="dxa"/>
            <w:shd w:val="clear" w:color="auto" w:fill="D8D8D8"/>
          </w:tcPr>
          <w:p>
            <w:pPr>
              <w:pStyle w:val="TableParagraph"/>
              <w:spacing w:line="183" w:lineRule="exact" w:before="21"/>
              <w:ind w:right="63"/>
              <w:jc w:val="right"/>
              <w:rPr>
                <w:sz w:val="16"/>
              </w:rPr>
            </w:pPr>
            <w:r>
              <w:rPr>
                <w:spacing w:val="-5"/>
                <w:sz w:val="16"/>
              </w:rPr>
              <w:t>947</w:t>
            </w:r>
          </w:p>
        </w:tc>
        <w:tc>
          <w:tcPr>
            <w:tcW w:w="958" w:type="dxa"/>
            <w:shd w:val="clear" w:color="auto" w:fill="D8D8D8"/>
          </w:tcPr>
          <w:p>
            <w:pPr>
              <w:pStyle w:val="TableParagraph"/>
              <w:spacing w:line="183" w:lineRule="exact" w:before="21"/>
              <w:ind w:right="46"/>
              <w:jc w:val="right"/>
              <w:rPr>
                <w:sz w:val="16"/>
              </w:rPr>
            </w:pPr>
            <w:r>
              <w:rPr>
                <w:spacing w:val="-4"/>
                <w:sz w:val="16"/>
              </w:rPr>
              <w:t>0.04</w:t>
            </w:r>
          </w:p>
        </w:tc>
        <w:tc>
          <w:tcPr>
            <w:tcW w:w="1043" w:type="dxa"/>
            <w:gridSpan w:val="2"/>
            <w:shd w:val="clear" w:color="auto" w:fill="D8D8D8"/>
          </w:tcPr>
          <w:p>
            <w:pPr>
              <w:pStyle w:val="TableParagraph"/>
              <w:spacing w:line="183" w:lineRule="exact" w:before="21"/>
              <w:ind w:left="556"/>
              <w:rPr>
                <w:sz w:val="16"/>
              </w:rPr>
            </w:pPr>
            <w:r>
              <w:rPr>
                <w:spacing w:val="-2"/>
                <w:sz w:val="16"/>
              </w:rPr>
              <w:t>114.2</w:t>
            </w:r>
          </w:p>
        </w:tc>
        <w:tc>
          <w:tcPr>
            <w:tcW w:w="831" w:type="dxa"/>
            <w:gridSpan w:val="2"/>
            <w:shd w:val="clear" w:color="auto" w:fill="D8D8D8"/>
          </w:tcPr>
          <w:p>
            <w:pPr>
              <w:pStyle w:val="TableParagraph"/>
              <w:spacing w:line="183" w:lineRule="exact" w:before="21"/>
              <w:ind w:left="545"/>
              <w:rPr>
                <w:sz w:val="16"/>
              </w:rPr>
            </w:pPr>
            <w:r>
              <w:rPr>
                <w:spacing w:val="-5"/>
                <w:sz w:val="16"/>
              </w:rPr>
              <w:t>5.1</w:t>
            </w:r>
          </w:p>
        </w:tc>
        <w:tc>
          <w:tcPr>
            <w:tcW w:w="1015" w:type="dxa"/>
            <w:gridSpan w:val="2"/>
            <w:shd w:val="clear" w:color="auto" w:fill="D8D8D8"/>
          </w:tcPr>
          <w:p>
            <w:pPr>
              <w:pStyle w:val="TableParagraph"/>
              <w:spacing w:line="183" w:lineRule="exact" w:before="21"/>
              <w:ind w:left="542"/>
              <w:rPr>
                <w:sz w:val="16"/>
              </w:rPr>
            </w:pPr>
            <w:r>
              <w:rPr>
                <w:spacing w:val="-2"/>
                <w:sz w:val="16"/>
              </w:rPr>
              <w:t>109.2</w:t>
            </w:r>
          </w:p>
        </w:tc>
        <w:tc>
          <w:tcPr>
            <w:tcW w:w="1159" w:type="dxa"/>
            <w:gridSpan w:val="2"/>
            <w:shd w:val="clear" w:color="auto" w:fill="D8D8D8"/>
          </w:tcPr>
          <w:p>
            <w:pPr>
              <w:pStyle w:val="TableParagraph"/>
              <w:spacing w:line="183" w:lineRule="exact" w:before="21"/>
              <w:ind w:left="697"/>
              <w:rPr>
                <w:sz w:val="16"/>
              </w:rPr>
            </w:pPr>
            <w:r>
              <w:rPr>
                <w:spacing w:val="-2"/>
                <w:sz w:val="16"/>
              </w:rPr>
              <w:t>1,766</w:t>
            </w:r>
          </w:p>
        </w:tc>
        <w:tc>
          <w:tcPr>
            <w:tcW w:w="1094" w:type="dxa"/>
            <w:shd w:val="clear" w:color="auto" w:fill="D8D8D8"/>
          </w:tcPr>
          <w:p>
            <w:pPr>
              <w:pStyle w:val="TableParagraph"/>
              <w:spacing w:line="183" w:lineRule="exact" w:before="21"/>
              <w:ind w:left="557"/>
              <w:rPr>
                <w:sz w:val="16"/>
              </w:rPr>
            </w:pPr>
            <w:r>
              <w:rPr>
                <w:spacing w:val="-4"/>
                <w:sz w:val="16"/>
              </w:rPr>
              <w:t>0.06</w:t>
            </w:r>
          </w:p>
        </w:tc>
      </w:tr>
      <w:tr>
        <w:trPr>
          <w:trHeight w:val="227" w:hRule="atLeast"/>
        </w:trPr>
        <w:tc>
          <w:tcPr>
            <w:tcW w:w="2460" w:type="dxa"/>
            <w:shd w:val="clear" w:color="auto" w:fill="D8D8D8"/>
          </w:tcPr>
          <w:p>
            <w:pPr>
              <w:pStyle w:val="TableParagraph"/>
              <w:spacing w:before="14"/>
              <w:ind w:left="52"/>
              <w:rPr>
                <w:sz w:val="16"/>
              </w:rPr>
            </w:pPr>
            <w:r>
              <w:rPr>
                <w:sz w:val="16"/>
              </w:rPr>
              <w:t>San</w:t>
            </w:r>
            <w:r>
              <w:rPr>
                <w:spacing w:val="-2"/>
                <w:sz w:val="16"/>
              </w:rPr>
              <w:t> Marino</w:t>
            </w:r>
          </w:p>
        </w:tc>
        <w:tc>
          <w:tcPr>
            <w:tcW w:w="868" w:type="dxa"/>
            <w:shd w:val="clear" w:color="auto" w:fill="D8D8D8"/>
          </w:tcPr>
          <w:p>
            <w:pPr>
              <w:pStyle w:val="TableParagraph"/>
              <w:spacing w:before="21"/>
              <w:ind w:right="63"/>
              <w:jc w:val="right"/>
              <w:rPr>
                <w:sz w:val="16"/>
              </w:rPr>
            </w:pPr>
            <w:r>
              <w:rPr>
                <w:spacing w:val="-5"/>
                <w:sz w:val="16"/>
              </w:rPr>
              <w:t>595</w:t>
            </w:r>
          </w:p>
        </w:tc>
        <w:tc>
          <w:tcPr>
            <w:tcW w:w="958" w:type="dxa"/>
            <w:shd w:val="clear" w:color="auto" w:fill="D8D8D8"/>
          </w:tcPr>
          <w:p>
            <w:pPr>
              <w:pStyle w:val="TableParagraph"/>
              <w:spacing w:before="21"/>
              <w:ind w:right="46"/>
              <w:jc w:val="right"/>
              <w:rPr>
                <w:sz w:val="16"/>
              </w:rPr>
            </w:pPr>
            <w:r>
              <w:rPr>
                <w:spacing w:val="-4"/>
                <w:sz w:val="16"/>
              </w:rPr>
              <w:t>0.02</w:t>
            </w:r>
          </w:p>
        </w:tc>
        <w:tc>
          <w:tcPr>
            <w:tcW w:w="1043" w:type="dxa"/>
            <w:gridSpan w:val="2"/>
            <w:shd w:val="clear" w:color="auto" w:fill="D8D8D8"/>
          </w:tcPr>
          <w:p>
            <w:pPr>
              <w:pStyle w:val="TableParagraph"/>
              <w:spacing w:before="21"/>
              <w:ind w:left="644"/>
              <w:rPr>
                <w:sz w:val="16"/>
              </w:rPr>
            </w:pPr>
            <w:r>
              <w:rPr>
                <w:spacing w:val="-4"/>
                <w:sz w:val="16"/>
              </w:rPr>
              <w:t>71.8</w:t>
            </w:r>
          </w:p>
        </w:tc>
        <w:tc>
          <w:tcPr>
            <w:tcW w:w="831" w:type="dxa"/>
            <w:gridSpan w:val="2"/>
            <w:shd w:val="clear" w:color="auto" w:fill="D8D8D8"/>
          </w:tcPr>
          <w:p>
            <w:pPr>
              <w:pStyle w:val="TableParagraph"/>
              <w:spacing w:before="21"/>
              <w:ind w:left="545"/>
              <w:rPr>
                <w:sz w:val="16"/>
              </w:rPr>
            </w:pPr>
            <w:r>
              <w:rPr>
                <w:spacing w:val="-5"/>
                <w:sz w:val="16"/>
              </w:rPr>
              <w:t>2.5</w:t>
            </w:r>
          </w:p>
        </w:tc>
        <w:tc>
          <w:tcPr>
            <w:tcW w:w="1015" w:type="dxa"/>
            <w:gridSpan w:val="2"/>
            <w:shd w:val="clear" w:color="auto" w:fill="D8D8D8"/>
          </w:tcPr>
          <w:p>
            <w:pPr>
              <w:pStyle w:val="TableParagraph"/>
              <w:spacing w:before="21"/>
              <w:ind w:left="630"/>
              <w:rPr>
                <w:sz w:val="16"/>
              </w:rPr>
            </w:pPr>
            <w:r>
              <w:rPr>
                <w:spacing w:val="-4"/>
                <w:sz w:val="16"/>
              </w:rPr>
              <w:t>69.3</w:t>
            </w:r>
          </w:p>
        </w:tc>
        <w:tc>
          <w:tcPr>
            <w:tcW w:w="1159" w:type="dxa"/>
            <w:gridSpan w:val="2"/>
            <w:shd w:val="clear" w:color="auto" w:fill="D8D8D8"/>
          </w:tcPr>
          <w:p>
            <w:pPr>
              <w:pStyle w:val="TableParagraph"/>
              <w:spacing w:before="21"/>
              <w:ind w:left="697"/>
              <w:rPr>
                <w:sz w:val="16"/>
              </w:rPr>
            </w:pPr>
            <w:r>
              <w:rPr>
                <w:spacing w:val="-2"/>
                <w:sz w:val="16"/>
              </w:rPr>
              <w:t>1,414</w:t>
            </w:r>
          </w:p>
        </w:tc>
        <w:tc>
          <w:tcPr>
            <w:tcW w:w="1094" w:type="dxa"/>
            <w:shd w:val="clear" w:color="auto" w:fill="D8D8D8"/>
          </w:tcPr>
          <w:p>
            <w:pPr>
              <w:pStyle w:val="TableParagraph"/>
              <w:spacing w:before="21"/>
              <w:ind w:left="557"/>
              <w:rPr>
                <w:sz w:val="16"/>
              </w:rPr>
            </w:pPr>
            <w:r>
              <w:rPr>
                <w:spacing w:val="-4"/>
                <w:sz w:val="16"/>
              </w:rPr>
              <w:t>0.05</w:t>
            </w:r>
          </w:p>
        </w:tc>
      </w:tr>
      <w:tr>
        <w:trPr>
          <w:trHeight w:val="222" w:hRule="atLeast"/>
        </w:trPr>
        <w:tc>
          <w:tcPr>
            <w:tcW w:w="2460" w:type="dxa"/>
          </w:tcPr>
          <w:p>
            <w:pPr>
              <w:pStyle w:val="TableParagraph"/>
              <w:spacing w:before="11"/>
              <w:ind w:left="52"/>
              <w:rPr>
                <w:sz w:val="16"/>
              </w:rPr>
            </w:pPr>
            <w:r>
              <w:rPr>
                <w:sz w:val="16"/>
              </w:rPr>
              <w:t>Sao</w:t>
            </w:r>
            <w:r>
              <w:rPr>
                <w:spacing w:val="-11"/>
                <w:sz w:val="16"/>
              </w:rPr>
              <w:t> </w:t>
            </w:r>
            <w:r>
              <w:rPr>
                <w:sz w:val="16"/>
              </w:rPr>
              <w:t>Tome</w:t>
            </w:r>
            <w:r>
              <w:rPr>
                <w:spacing w:val="-9"/>
                <w:sz w:val="16"/>
              </w:rPr>
              <w:t> </w:t>
            </w:r>
            <w:r>
              <w:rPr>
                <w:sz w:val="16"/>
              </w:rPr>
              <w:t>and</w:t>
            </w:r>
            <w:r>
              <w:rPr>
                <w:spacing w:val="-8"/>
                <w:sz w:val="16"/>
              </w:rPr>
              <w:t> </w:t>
            </w:r>
            <w:r>
              <w:rPr>
                <w:spacing w:val="-2"/>
                <w:sz w:val="16"/>
              </w:rPr>
              <w:t>Principe</w:t>
            </w:r>
          </w:p>
        </w:tc>
        <w:tc>
          <w:tcPr>
            <w:tcW w:w="868" w:type="dxa"/>
          </w:tcPr>
          <w:p>
            <w:pPr>
              <w:pStyle w:val="TableParagraph"/>
              <w:spacing w:line="183" w:lineRule="exact" w:before="19"/>
              <w:ind w:right="63"/>
              <w:jc w:val="right"/>
              <w:rPr>
                <w:sz w:val="16"/>
              </w:rPr>
            </w:pPr>
            <w:r>
              <w:rPr>
                <w:spacing w:val="-5"/>
                <w:sz w:val="16"/>
              </w:rPr>
              <w:t>705</w:t>
            </w:r>
          </w:p>
        </w:tc>
        <w:tc>
          <w:tcPr>
            <w:tcW w:w="958" w:type="dxa"/>
          </w:tcPr>
          <w:p>
            <w:pPr>
              <w:pStyle w:val="TableParagraph"/>
              <w:spacing w:line="183" w:lineRule="exact" w:before="19"/>
              <w:ind w:right="46"/>
              <w:jc w:val="right"/>
              <w:rPr>
                <w:sz w:val="16"/>
              </w:rPr>
            </w:pPr>
            <w:r>
              <w:rPr>
                <w:spacing w:val="-4"/>
                <w:sz w:val="16"/>
              </w:rPr>
              <w:t>0.03</w:t>
            </w:r>
          </w:p>
        </w:tc>
        <w:tc>
          <w:tcPr>
            <w:tcW w:w="1043" w:type="dxa"/>
            <w:gridSpan w:val="2"/>
          </w:tcPr>
          <w:p>
            <w:pPr>
              <w:pStyle w:val="TableParagraph"/>
              <w:spacing w:line="183" w:lineRule="exact" w:before="19"/>
              <w:ind w:left="644"/>
              <w:rPr>
                <w:sz w:val="16"/>
              </w:rPr>
            </w:pPr>
            <w:r>
              <w:rPr>
                <w:spacing w:val="-4"/>
                <w:sz w:val="16"/>
              </w:rPr>
              <w:t>85.0</w:t>
            </w:r>
          </w:p>
        </w:tc>
        <w:tc>
          <w:tcPr>
            <w:tcW w:w="831" w:type="dxa"/>
            <w:gridSpan w:val="2"/>
          </w:tcPr>
          <w:p>
            <w:pPr>
              <w:pStyle w:val="TableParagraph"/>
              <w:spacing w:line="183" w:lineRule="exact" w:before="19"/>
              <w:ind w:left="545"/>
              <w:rPr>
                <w:sz w:val="16"/>
              </w:rPr>
            </w:pPr>
            <w:r>
              <w:rPr>
                <w:spacing w:val="-5"/>
                <w:sz w:val="16"/>
              </w:rPr>
              <w:t>2.2</w:t>
            </w:r>
          </w:p>
        </w:tc>
        <w:tc>
          <w:tcPr>
            <w:tcW w:w="1015" w:type="dxa"/>
            <w:gridSpan w:val="2"/>
          </w:tcPr>
          <w:p>
            <w:pPr>
              <w:pStyle w:val="TableParagraph"/>
              <w:spacing w:line="183" w:lineRule="exact" w:before="19"/>
              <w:ind w:left="630"/>
              <w:rPr>
                <w:sz w:val="16"/>
              </w:rPr>
            </w:pPr>
            <w:r>
              <w:rPr>
                <w:spacing w:val="-4"/>
                <w:sz w:val="16"/>
              </w:rPr>
              <w:t>82.9</w:t>
            </w:r>
          </w:p>
        </w:tc>
        <w:tc>
          <w:tcPr>
            <w:tcW w:w="1159" w:type="dxa"/>
            <w:gridSpan w:val="2"/>
          </w:tcPr>
          <w:p>
            <w:pPr>
              <w:pStyle w:val="TableParagraph"/>
              <w:spacing w:line="183" w:lineRule="exact" w:before="19"/>
              <w:ind w:left="697"/>
              <w:rPr>
                <w:sz w:val="16"/>
              </w:rPr>
            </w:pPr>
            <w:r>
              <w:rPr>
                <w:spacing w:val="-2"/>
                <w:sz w:val="16"/>
              </w:rPr>
              <w:t>1,524</w:t>
            </w:r>
          </w:p>
        </w:tc>
        <w:tc>
          <w:tcPr>
            <w:tcW w:w="1094" w:type="dxa"/>
          </w:tcPr>
          <w:p>
            <w:pPr>
              <w:pStyle w:val="TableParagraph"/>
              <w:spacing w:line="183" w:lineRule="exact" w:before="19"/>
              <w:ind w:left="557"/>
              <w:rPr>
                <w:sz w:val="16"/>
              </w:rPr>
            </w:pPr>
            <w:r>
              <w:rPr>
                <w:spacing w:val="-4"/>
                <w:sz w:val="16"/>
              </w:rPr>
              <w:t>0.05</w:t>
            </w:r>
          </w:p>
        </w:tc>
      </w:tr>
      <w:tr>
        <w:trPr>
          <w:trHeight w:val="225" w:hRule="atLeast"/>
        </w:trPr>
        <w:tc>
          <w:tcPr>
            <w:tcW w:w="2460" w:type="dxa"/>
          </w:tcPr>
          <w:p>
            <w:pPr>
              <w:pStyle w:val="TableParagraph"/>
              <w:spacing w:before="14"/>
              <w:ind w:left="52"/>
              <w:rPr>
                <w:sz w:val="16"/>
              </w:rPr>
            </w:pPr>
            <w:r>
              <w:rPr>
                <w:spacing w:val="-2"/>
                <w:sz w:val="16"/>
              </w:rPr>
              <w:t>Saudi Arabia</w:t>
            </w:r>
          </w:p>
        </w:tc>
        <w:tc>
          <w:tcPr>
            <w:tcW w:w="868" w:type="dxa"/>
          </w:tcPr>
          <w:p>
            <w:pPr>
              <w:pStyle w:val="TableParagraph"/>
              <w:spacing w:line="183" w:lineRule="exact" w:before="21"/>
              <w:ind w:right="63"/>
              <w:jc w:val="right"/>
              <w:rPr>
                <w:sz w:val="16"/>
              </w:rPr>
            </w:pPr>
            <w:r>
              <w:rPr>
                <w:spacing w:val="-2"/>
                <w:sz w:val="16"/>
              </w:rPr>
              <w:t>69,991</w:t>
            </w:r>
          </w:p>
        </w:tc>
        <w:tc>
          <w:tcPr>
            <w:tcW w:w="958" w:type="dxa"/>
          </w:tcPr>
          <w:p>
            <w:pPr>
              <w:pStyle w:val="TableParagraph"/>
              <w:spacing w:line="183" w:lineRule="exact" w:before="21"/>
              <w:ind w:right="46"/>
              <w:jc w:val="right"/>
              <w:rPr>
                <w:sz w:val="16"/>
              </w:rPr>
            </w:pPr>
            <w:r>
              <w:rPr>
                <w:spacing w:val="-4"/>
                <w:sz w:val="16"/>
              </w:rPr>
              <w:t>2.66</w:t>
            </w:r>
          </w:p>
        </w:tc>
        <w:tc>
          <w:tcPr>
            <w:tcW w:w="1043" w:type="dxa"/>
            <w:gridSpan w:val="2"/>
          </w:tcPr>
          <w:p>
            <w:pPr>
              <w:pStyle w:val="TableParagraph"/>
              <w:spacing w:line="183" w:lineRule="exact" w:before="21"/>
              <w:ind w:left="422"/>
              <w:rPr>
                <w:sz w:val="16"/>
              </w:rPr>
            </w:pPr>
            <w:r>
              <w:rPr>
                <w:spacing w:val="-2"/>
                <w:sz w:val="16"/>
              </w:rPr>
              <w:t>8,443.4</w:t>
            </w:r>
          </w:p>
        </w:tc>
        <w:tc>
          <w:tcPr>
            <w:tcW w:w="831" w:type="dxa"/>
            <w:gridSpan w:val="2"/>
          </w:tcPr>
          <w:p>
            <w:pPr>
              <w:pStyle w:val="TableParagraph"/>
              <w:spacing w:line="183" w:lineRule="exact" w:before="21"/>
              <w:ind w:left="368"/>
              <w:rPr>
                <w:sz w:val="16"/>
              </w:rPr>
            </w:pPr>
            <w:r>
              <w:rPr>
                <w:spacing w:val="-2"/>
                <w:sz w:val="16"/>
              </w:rPr>
              <w:t>545.8</w:t>
            </w:r>
          </w:p>
        </w:tc>
        <w:tc>
          <w:tcPr>
            <w:tcW w:w="1015" w:type="dxa"/>
            <w:gridSpan w:val="2"/>
          </w:tcPr>
          <w:p>
            <w:pPr>
              <w:pStyle w:val="TableParagraph"/>
              <w:spacing w:line="183" w:lineRule="exact" w:before="21"/>
              <w:ind w:left="408"/>
              <w:rPr>
                <w:sz w:val="16"/>
              </w:rPr>
            </w:pPr>
            <w:r>
              <w:rPr>
                <w:spacing w:val="-2"/>
                <w:sz w:val="16"/>
              </w:rPr>
              <w:t>7,897.6</w:t>
            </w:r>
          </w:p>
        </w:tc>
        <w:tc>
          <w:tcPr>
            <w:tcW w:w="1159" w:type="dxa"/>
            <w:gridSpan w:val="2"/>
          </w:tcPr>
          <w:p>
            <w:pPr>
              <w:pStyle w:val="TableParagraph"/>
              <w:spacing w:line="183" w:lineRule="exact" w:before="21"/>
              <w:ind w:left="609"/>
              <w:rPr>
                <w:sz w:val="16"/>
              </w:rPr>
            </w:pPr>
            <w:r>
              <w:rPr>
                <w:spacing w:val="-2"/>
                <w:sz w:val="16"/>
              </w:rPr>
              <w:t>70,810</w:t>
            </w:r>
          </w:p>
        </w:tc>
        <w:tc>
          <w:tcPr>
            <w:tcW w:w="1094" w:type="dxa"/>
          </w:tcPr>
          <w:p>
            <w:pPr>
              <w:pStyle w:val="TableParagraph"/>
              <w:spacing w:line="183" w:lineRule="exact" w:before="21"/>
              <w:ind w:left="557"/>
              <w:rPr>
                <w:sz w:val="16"/>
              </w:rPr>
            </w:pPr>
            <w:r>
              <w:rPr>
                <w:spacing w:val="-4"/>
                <w:sz w:val="16"/>
              </w:rPr>
              <w:t>2.54</w:t>
            </w:r>
          </w:p>
        </w:tc>
      </w:tr>
      <w:tr>
        <w:trPr>
          <w:trHeight w:val="225" w:hRule="atLeast"/>
        </w:trPr>
        <w:tc>
          <w:tcPr>
            <w:tcW w:w="2460" w:type="dxa"/>
          </w:tcPr>
          <w:p>
            <w:pPr>
              <w:pStyle w:val="TableParagraph"/>
              <w:spacing w:before="14"/>
              <w:ind w:left="52"/>
              <w:rPr>
                <w:sz w:val="16"/>
              </w:rPr>
            </w:pPr>
            <w:r>
              <w:rPr>
                <w:spacing w:val="-2"/>
                <w:sz w:val="16"/>
              </w:rPr>
              <w:t>Senegal</w:t>
            </w:r>
          </w:p>
        </w:tc>
        <w:tc>
          <w:tcPr>
            <w:tcW w:w="868" w:type="dxa"/>
          </w:tcPr>
          <w:p>
            <w:pPr>
              <w:pStyle w:val="TableParagraph"/>
              <w:spacing w:line="183" w:lineRule="exact" w:before="21"/>
              <w:ind w:right="63"/>
              <w:jc w:val="right"/>
              <w:rPr>
                <w:sz w:val="16"/>
              </w:rPr>
            </w:pPr>
            <w:r>
              <w:rPr>
                <w:spacing w:val="-2"/>
                <w:sz w:val="16"/>
              </w:rPr>
              <w:t>2,942</w:t>
            </w:r>
          </w:p>
        </w:tc>
        <w:tc>
          <w:tcPr>
            <w:tcW w:w="958" w:type="dxa"/>
          </w:tcPr>
          <w:p>
            <w:pPr>
              <w:pStyle w:val="TableParagraph"/>
              <w:spacing w:line="183" w:lineRule="exact" w:before="21"/>
              <w:ind w:right="46"/>
              <w:jc w:val="right"/>
              <w:rPr>
                <w:sz w:val="16"/>
              </w:rPr>
            </w:pPr>
            <w:r>
              <w:rPr>
                <w:spacing w:val="-4"/>
                <w:sz w:val="16"/>
              </w:rPr>
              <w:t>0.11</w:t>
            </w:r>
          </w:p>
        </w:tc>
        <w:tc>
          <w:tcPr>
            <w:tcW w:w="1043" w:type="dxa"/>
            <w:gridSpan w:val="2"/>
          </w:tcPr>
          <w:p>
            <w:pPr>
              <w:pStyle w:val="TableParagraph"/>
              <w:spacing w:line="183" w:lineRule="exact" w:before="21"/>
              <w:ind w:left="556"/>
              <w:rPr>
                <w:sz w:val="16"/>
              </w:rPr>
            </w:pPr>
            <w:r>
              <w:rPr>
                <w:spacing w:val="-2"/>
                <w:sz w:val="16"/>
              </w:rPr>
              <w:t>354.9</w:t>
            </w:r>
          </w:p>
        </w:tc>
        <w:tc>
          <w:tcPr>
            <w:tcW w:w="831" w:type="dxa"/>
            <w:gridSpan w:val="2"/>
          </w:tcPr>
          <w:p>
            <w:pPr>
              <w:pStyle w:val="TableParagraph"/>
              <w:spacing w:line="183" w:lineRule="exact" w:before="21"/>
              <w:ind w:left="456"/>
              <w:rPr>
                <w:sz w:val="16"/>
              </w:rPr>
            </w:pPr>
            <w:r>
              <w:rPr>
                <w:spacing w:val="-4"/>
                <w:sz w:val="16"/>
              </w:rPr>
              <w:t>17.5</w:t>
            </w:r>
          </w:p>
        </w:tc>
        <w:tc>
          <w:tcPr>
            <w:tcW w:w="1015" w:type="dxa"/>
            <w:gridSpan w:val="2"/>
          </w:tcPr>
          <w:p>
            <w:pPr>
              <w:pStyle w:val="TableParagraph"/>
              <w:spacing w:line="183" w:lineRule="exact" w:before="21"/>
              <w:ind w:left="542"/>
              <w:rPr>
                <w:sz w:val="16"/>
              </w:rPr>
            </w:pPr>
            <w:r>
              <w:rPr>
                <w:spacing w:val="-2"/>
                <w:sz w:val="16"/>
              </w:rPr>
              <w:t>337.4</w:t>
            </w:r>
          </w:p>
        </w:tc>
        <w:tc>
          <w:tcPr>
            <w:tcW w:w="1159" w:type="dxa"/>
            <w:gridSpan w:val="2"/>
          </w:tcPr>
          <w:p>
            <w:pPr>
              <w:pStyle w:val="TableParagraph"/>
              <w:spacing w:line="183" w:lineRule="exact" w:before="21"/>
              <w:ind w:left="697"/>
              <w:rPr>
                <w:sz w:val="16"/>
              </w:rPr>
            </w:pPr>
            <w:r>
              <w:rPr>
                <w:spacing w:val="-2"/>
                <w:sz w:val="16"/>
              </w:rPr>
              <w:t>3,761</w:t>
            </w:r>
          </w:p>
        </w:tc>
        <w:tc>
          <w:tcPr>
            <w:tcW w:w="1094" w:type="dxa"/>
          </w:tcPr>
          <w:p>
            <w:pPr>
              <w:pStyle w:val="TableParagraph"/>
              <w:spacing w:line="183" w:lineRule="exact" w:before="21"/>
              <w:ind w:left="557"/>
              <w:rPr>
                <w:sz w:val="16"/>
              </w:rPr>
            </w:pPr>
            <w:r>
              <w:rPr>
                <w:spacing w:val="-4"/>
                <w:sz w:val="16"/>
              </w:rPr>
              <w:t>0.13</w:t>
            </w:r>
          </w:p>
        </w:tc>
      </w:tr>
      <w:tr>
        <w:trPr>
          <w:trHeight w:val="225" w:hRule="atLeast"/>
        </w:trPr>
        <w:tc>
          <w:tcPr>
            <w:tcW w:w="2460" w:type="dxa"/>
          </w:tcPr>
          <w:p>
            <w:pPr>
              <w:pStyle w:val="TableParagraph"/>
              <w:spacing w:before="14"/>
              <w:ind w:left="52"/>
              <w:rPr>
                <w:sz w:val="16"/>
              </w:rPr>
            </w:pPr>
            <w:r>
              <w:rPr>
                <w:spacing w:val="-2"/>
                <w:sz w:val="16"/>
              </w:rPr>
              <w:t>Serbia</w:t>
            </w:r>
          </w:p>
        </w:tc>
        <w:tc>
          <w:tcPr>
            <w:tcW w:w="868" w:type="dxa"/>
          </w:tcPr>
          <w:p>
            <w:pPr>
              <w:pStyle w:val="TableParagraph"/>
              <w:spacing w:line="183" w:lineRule="exact" w:before="21"/>
              <w:ind w:right="63"/>
              <w:jc w:val="right"/>
              <w:rPr>
                <w:sz w:val="16"/>
              </w:rPr>
            </w:pPr>
            <w:r>
              <w:rPr>
                <w:spacing w:val="-2"/>
                <w:sz w:val="16"/>
              </w:rPr>
              <w:t>3,974</w:t>
            </w:r>
          </w:p>
        </w:tc>
        <w:tc>
          <w:tcPr>
            <w:tcW w:w="958" w:type="dxa"/>
          </w:tcPr>
          <w:p>
            <w:pPr>
              <w:pStyle w:val="TableParagraph"/>
              <w:spacing w:line="183" w:lineRule="exact" w:before="21"/>
              <w:ind w:right="46"/>
              <w:jc w:val="right"/>
              <w:rPr>
                <w:sz w:val="16"/>
              </w:rPr>
            </w:pPr>
            <w:r>
              <w:rPr>
                <w:spacing w:val="-4"/>
                <w:sz w:val="16"/>
              </w:rPr>
              <w:t>0.15</w:t>
            </w:r>
          </w:p>
        </w:tc>
        <w:tc>
          <w:tcPr>
            <w:tcW w:w="1043" w:type="dxa"/>
            <w:gridSpan w:val="2"/>
          </w:tcPr>
          <w:p>
            <w:pPr>
              <w:pStyle w:val="TableParagraph"/>
              <w:spacing w:line="183" w:lineRule="exact" w:before="21"/>
              <w:ind w:left="556"/>
              <w:rPr>
                <w:sz w:val="16"/>
              </w:rPr>
            </w:pPr>
            <w:r>
              <w:rPr>
                <w:spacing w:val="-2"/>
                <w:sz w:val="16"/>
              </w:rPr>
              <w:t>479.4</w:t>
            </w:r>
          </w:p>
        </w:tc>
        <w:tc>
          <w:tcPr>
            <w:tcW w:w="831" w:type="dxa"/>
            <w:gridSpan w:val="2"/>
          </w:tcPr>
          <w:p>
            <w:pPr>
              <w:pStyle w:val="TableParagraph"/>
              <w:spacing w:line="183" w:lineRule="exact" w:before="21"/>
              <w:ind w:left="456"/>
              <w:rPr>
                <w:sz w:val="16"/>
              </w:rPr>
            </w:pPr>
            <w:r>
              <w:rPr>
                <w:spacing w:val="-4"/>
                <w:sz w:val="16"/>
              </w:rPr>
              <w:t>33.7</w:t>
            </w:r>
          </w:p>
        </w:tc>
        <w:tc>
          <w:tcPr>
            <w:tcW w:w="1015" w:type="dxa"/>
            <w:gridSpan w:val="2"/>
          </w:tcPr>
          <w:p>
            <w:pPr>
              <w:pStyle w:val="TableParagraph"/>
              <w:spacing w:line="183" w:lineRule="exact" w:before="21"/>
              <w:ind w:left="542"/>
              <w:rPr>
                <w:sz w:val="16"/>
              </w:rPr>
            </w:pPr>
            <w:r>
              <w:rPr>
                <w:spacing w:val="-2"/>
                <w:sz w:val="16"/>
              </w:rPr>
              <w:t>445.7</w:t>
            </w:r>
          </w:p>
        </w:tc>
        <w:tc>
          <w:tcPr>
            <w:tcW w:w="1159" w:type="dxa"/>
            <w:gridSpan w:val="2"/>
          </w:tcPr>
          <w:p>
            <w:pPr>
              <w:pStyle w:val="TableParagraph"/>
              <w:spacing w:line="183" w:lineRule="exact" w:before="21"/>
              <w:ind w:left="697"/>
              <w:rPr>
                <w:sz w:val="16"/>
              </w:rPr>
            </w:pPr>
            <w:r>
              <w:rPr>
                <w:spacing w:val="-2"/>
                <w:sz w:val="16"/>
              </w:rPr>
              <w:t>4,793</w:t>
            </w:r>
          </w:p>
        </w:tc>
        <w:tc>
          <w:tcPr>
            <w:tcW w:w="1094" w:type="dxa"/>
          </w:tcPr>
          <w:p>
            <w:pPr>
              <w:pStyle w:val="TableParagraph"/>
              <w:spacing w:line="183" w:lineRule="exact" w:before="21"/>
              <w:ind w:left="557"/>
              <w:rPr>
                <w:sz w:val="16"/>
              </w:rPr>
            </w:pPr>
            <w:r>
              <w:rPr>
                <w:spacing w:val="-4"/>
                <w:sz w:val="16"/>
              </w:rPr>
              <w:t>0.17</w:t>
            </w:r>
          </w:p>
        </w:tc>
      </w:tr>
      <w:tr>
        <w:trPr>
          <w:trHeight w:val="217" w:hRule="atLeast"/>
        </w:trPr>
        <w:tc>
          <w:tcPr>
            <w:tcW w:w="2460" w:type="dxa"/>
            <w:tcBorders>
              <w:bottom w:val="single" w:sz="8" w:space="0" w:color="000000"/>
            </w:tcBorders>
          </w:tcPr>
          <w:p>
            <w:pPr>
              <w:pStyle w:val="TableParagraph"/>
              <w:spacing w:line="184" w:lineRule="exact" w:before="14"/>
              <w:ind w:left="52"/>
              <w:rPr>
                <w:sz w:val="16"/>
              </w:rPr>
            </w:pPr>
            <w:r>
              <w:rPr>
                <w:spacing w:val="-2"/>
                <w:sz w:val="16"/>
              </w:rPr>
              <w:t>Seychelles</w:t>
            </w:r>
          </w:p>
        </w:tc>
        <w:tc>
          <w:tcPr>
            <w:tcW w:w="868" w:type="dxa"/>
            <w:tcBorders>
              <w:bottom w:val="single" w:sz="8" w:space="0" w:color="000000"/>
            </w:tcBorders>
          </w:tcPr>
          <w:p>
            <w:pPr>
              <w:pStyle w:val="TableParagraph"/>
              <w:spacing w:line="176" w:lineRule="exact" w:before="21"/>
              <w:ind w:right="63"/>
              <w:jc w:val="right"/>
              <w:rPr>
                <w:sz w:val="16"/>
              </w:rPr>
            </w:pPr>
            <w:r>
              <w:rPr>
                <w:spacing w:val="-5"/>
                <w:sz w:val="16"/>
              </w:rPr>
              <w:t>263</w:t>
            </w:r>
          </w:p>
        </w:tc>
        <w:tc>
          <w:tcPr>
            <w:tcW w:w="958" w:type="dxa"/>
            <w:tcBorders>
              <w:bottom w:val="single" w:sz="8" w:space="0" w:color="000000"/>
            </w:tcBorders>
          </w:tcPr>
          <w:p>
            <w:pPr>
              <w:pStyle w:val="TableParagraph"/>
              <w:spacing w:line="176" w:lineRule="exact" w:before="21"/>
              <w:ind w:right="46"/>
              <w:jc w:val="right"/>
              <w:rPr>
                <w:sz w:val="16"/>
              </w:rPr>
            </w:pPr>
            <w:r>
              <w:rPr>
                <w:spacing w:val="-4"/>
                <w:sz w:val="16"/>
              </w:rPr>
              <w:t>0.01</w:t>
            </w:r>
          </w:p>
        </w:tc>
        <w:tc>
          <w:tcPr>
            <w:tcW w:w="1043" w:type="dxa"/>
            <w:gridSpan w:val="2"/>
            <w:tcBorders>
              <w:bottom w:val="single" w:sz="8" w:space="0" w:color="000000"/>
            </w:tcBorders>
          </w:tcPr>
          <w:p>
            <w:pPr>
              <w:pStyle w:val="TableParagraph"/>
              <w:spacing w:line="176" w:lineRule="exact" w:before="21"/>
              <w:ind w:left="644"/>
              <w:rPr>
                <w:sz w:val="16"/>
              </w:rPr>
            </w:pPr>
            <w:r>
              <w:rPr>
                <w:spacing w:val="-4"/>
                <w:sz w:val="16"/>
              </w:rPr>
              <w:t>31.7</w:t>
            </w:r>
          </w:p>
        </w:tc>
        <w:tc>
          <w:tcPr>
            <w:tcW w:w="831" w:type="dxa"/>
            <w:gridSpan w:val="2"/>
            <w:tcBorders>
              <w:bottom w:val="single" w:sz="8" w:space="0" w:color="000000"/>
            </w:tcBorders>
          </w:tcPr>
          <w:p>
            <w:pPr>
              <w:pStyle w:val="TableParagraph"/>
              <w:spacing w:line="176" w:lineRule="exact" w:before="21"/>
              <w:ind w:left="545"/>
              <w:rPr>
                <w:sz w:val="16"/>
              </w:rPr>
            </w:pPr>
            <w:r>
              <w:rPr>
                <w:spacing w:val="-5"/>
                <w:sz w:val="16"/>
              </w:rPr>
              <w:t>0.2</w:t>
            </w:r>
          </w:p>
        </w:tc>
        <w:tc>
          <w:tcPr>
            <w:tcW w:w="1015" w:type="dxa"/>
            <w:gridSpan w:val="2"/>
            <w:tcBorders>
              <w:bottom w:val="single" w:sz="8" w:space="0" w:color="000000"/>
            </w:tcBorders>
          </w:tcPr>
          <w:p>
            <w:pPr>
              <w:pStyle w:val="TableParagraph"/>
              <w:spacing w:line="176" w:lineRule="exact" w:before="21"/>
              <w:ind w:left="630"/>
              <w:rPr>
                <w:sz w:val="16"/>
              </w:rPr>
            </w:pPr>
            <w:r>
              <w:rPr>
                <w:spacing w:val="-4"/>
                <w:sz w:val="16"/>
              </w:rPr>
              <w:t>31.6</w:t>
            </w:r>
          </w:p>
        </w:tc>
        <w:tc>
          <w:tcPr>
            <w:tcW w:w="1159" w:type="dxa"/>
            <w:gridSpan w:val="2"/>
            <w:tcBorders>
              <w:bottom w:val="single" w:sz="8" w:space="0" w:color="000000"/>
            </w:tcBorders>
          </w:tcPr>
          <w:p>
            <w:pPr>
              <w:pStyle w:val="TableParagraph"/>
              <w:spacing w:line="176" w:lineRule="exact" w:before="21"/>
              <w:ind w:left="697"/>
              <w:rPr>
                <w:sz w:val="16"/>
              </w:rPr>
            </w:pPr>
            <w:r>
              <w:rPr>
                <w:spacing w:val="-2"/>
                <w:sz w:val="16"/>
              </w:rPr>
              <w:t>1,082</w:t>
            </w:r>
          </w:p>
        </w:tc>
        <w:tc>
          <w:tcPr>
            <w:tcW w:w="1094" w:type="dxa"/>
            <w:tcBorders>
              <w:bottom w:val="single" w:sz="8" w:space="0" w:color="000000"/>
            </w:tcBorders>
          </w:tcPr>
          <w:p>
            <w:pPr>
              <w:pStyle w:val="TableParagraph"/>
              <w:spacing w:line="176" w:lineRule="exact" w:before="21"/>
              <w:ind w:left="557"/>
              <w:rPr>
                <w:sz w:val="16"/>
              </w:rPr>
            </w:pPr>
            <w:r>
              <w:rPr>
                <w:spacing w:val="-4"/>
                <w:sz w:val="16"/>
              </w:rPr>
              <w:t>0.04</w:t>
            </w:r>
          </w:p>
        </w:tc>
      </w:tr>
    </w:tbl>
    <w:p>
      <w:pPr>
        <w:pStyle w:val="TableParagraph"/>
        <w:spacing w:after="0" w:line="176" w:lineRule="exact"/>
        <w:rPr>
          <w:sz w:val="16"/>
        </w:rPr>
        <w:sectPr>
          <w:headerReference w:type="even" r:id="rId125"/>
          <w:headerReference w:type="default" r:id="rId126"/>
          <w:footerReference w:type="even" r:id="rId127"/>
          <w:footerReference w:type="default" r:id="rId128"/>
          <w:pgSz w:w="12240" w:h="15840"/>
          <w:pgMar w:header="1030" w:footer="528" w:top="2280" w:bottom="720" w:left="720" w:right="720"/>
          <w:pgNumType w:start="88"/>
        </w:sectPr>
      </w:pPr>
    </w:p>
    <w:p>
      <w:pPr>
        <w:tabs>
          <w:tab w:pos="8622" w:val="left" w:leader="none"/>
        </w:tabs>
        <w:spacing w:before="9"/>
        <w:ind w:left="509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680512">
                <wp:simplePos x="0" y="0"/>
                <wp:positionH relativeFrom="page">
                  <wp:posOffset>2428875</wp:posOffset>
                </wp:positionH>
                <wp:positionV relativeFrom="paragraph">
                  <wp:posOffset>144135</wp:posOffset>
                </wp:positionV>
                <wp:extent cx="4543425" cy="1270"/>
                <wp:effectExtent l="0" t="0" r="0" b="0"/>
                <wp:wrapTopAndBottom/>
                <wp:docPr id="697" name="Graphic 697"/>
                <wp:cNvGraphicFramePr>
                  <a:graphicFrameLocks/>
                </wp:cNvGraphicFramePr>
                <a:graphic>
                  <a:graphicData uri="http://schemas.microsoft.com/office/word/2010/wordprocessingShape">
                    <wps:wsp>
                      <wps:cNvPr id="697" name="Graphic 697"/>
                      <wps:cNvSpPr/>
                      <wps:spPr>
                        <a:xfrm>
                          <a:off x="0" y="0"/>
                          <a:ext cx="4543425" cy="1270"/>
                        </a:xfrm>
                        <a:custGeom>
                          <a:avLst/>
                          <a:gdLst/>
                          <a:ahLst/>
                          <a:cxnLst/>
                          <a:rect l="l" t="t" r="r" b="b"/>
                          <a:pathLst>
                            <a:path w="4543425" h="0">
                              <a:moveTo>
                                <a:pt x="0" y="0"/>
                              </a:moveTo>
                              <a:lnTo>
                                <a:pt x="3133725" y="0"/>
                              </a:lnTo>
                            </a:path>
                            <a:path w="4543425" h="0">
                              <a:moveTo>
                                <a:pt x="3171825" y="0"/>
                              </a:moveTo>
                              <a:lnTo>
                                <a:pt x="4543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1.25pt;margin-top:11.349218pt;width:357.75pt;height:.1pt;mso-position-horizontal-relative:page;mso-position-vertical-relative:paragraph;z-index:-15635968;mso-wrap-distance-left:0;mso-wrap-distance-right:0" id="docshape591" coordorigin="3825,227" coordsize="7155,0" path="m3825,227l8760,227m8820,227l10980,227e" filled="false" stroked="true" strokeweight="1pt" strokecolor="#000000">
                <v:path arrowok="t"/>
                <v:stroke dashstyle="solid"/>
                <w10:wrap type="topAndBottom"/>
              </v:shape>
            </w:pict>
          </mc:Fallback>
        </mc:AlternateContent>
      </w:r>
      <w:r>
        <w:rPr>
          <w:rFonts w:ascii="Arial"/>
          <w:i/>
          <w:spacing w:val="-2"/>
          <w:sz w:val="16"/>
        </w:rPr>
        <w:t>Subscriptions</w:t>
      </w:r>
      <w:r>
        <w:rPr>
          <w:rFonts w:ascii="Arial"/>
          <w:i/>
          <w:sz w:val="16"/>
        </w:rPr>
        <w:tab/>
        <w:t>Voting</w:t>
      </w:r>
      <w:r>
        <w:rPr>
          <w:rFonts w:ascii="Arial"/>
          <w:i/>
          <w:spacing w:val="-6"/>
          <w:sz w:val="16"/>
        </w:rPr>
        <w:t> </w:t>
      </w:r>
      <w:r>
        <w:rPr>
          <w:rFonts w:ascii="Arial"/>
          <w:i/>
          <w:spacing w:val="-2"/>
          <w:sz w:val="16"/>
        </w:rPr>
        <w:t>Power</w:t>
      </w:r>
    </w:p>
    <w:p>
      <w:pPr>
        <w:spacing w:line="133" w:lineRule="exact" w:before="14"/>
        <w:ind w:left="7154" w:right="0" w:firstLine="0"/>
        <w:jc w:val="left"/>
        <w:rPr>
          <w:rFonts w:ascii="Arial"/>
          <w:i/>
          <w:sz w:val="16"/>
        </w:rPr>
      </w:pPr>
      <w:r>
        <w:rPr>
          <w:rFonts w:ascii="Arial"/>
          <w:i/>
          <w:spacing w:val="-2"/>
          <w:sz w:val="16"/>
        </w:rPr>
        <w:t>Amounts</w:t>
      </w:r>
    </w:p>
    <w:p>
      <w:pPr>
        <w:spacing w:after="0" w:line="133" w:lineRule="exact"/>
        <w:jc w:val="left"/>
        <w:rPr>
          <w:rFonts w:ascii="Arial"/>
          <w:i/>
          <w:sz w:val="16"/>
        </w:rPr>
        <w:sectPr>
          <w:pgSz w:w="12240" w:h="15840"/>
          <w:pgMar w:header="1030" w:footer="528" w:top="2360" w:bottom="720" w:left="720" w:right="720"/>
        </w:sectPr>
      </w:pPr>
    </w:p>
    <w:p>
      <w:pPr>
        <w:pStyle w:val="BodyText"/>
        <w:spacing w:before="3"/>
        <w:rPr>
          <w:rFonts w:ascii="Arial"/>
          <w:i/>
          <w:sz w:val="16"/>
        </w:rPr>
      </w:pPr>
    </w:p>
    <w:p>
      <w:pPr>
        <w:spacing w:before="0"/>
        <w:ind w:left="772" w:right="0" w:firstLine="0"/>
        <w:jc w:val="left"/>
        <w:rPr>
          <w:rFonts w:ascii="Arial"/>
          <w:i/>
          <w:sz w:val="16"/>
        </w:rPr>
      </w:pPr>
      <w:r>
        <w:rPr>
          <w:rFonts w:ascii="Arial"/>
          <w:i/>
          <w:spacing w:val="-2"/>
          <w:sz w:val="16"/>
        </w:rPr>
        <w:t>Member</w:t>
      </w:r>
    </w:p>
    <w:p>
      <w:pPr>
        <w:spacing w:line="249" w:lineRule="auto" w:before="0"/>
        <w:ind w:left="772" w:right="0" w:firstLine="44"/>
        <w:jc w:val="left"/>
        <w:rPr>
          <w:rFonts w:ascii="Arial"/>
          <w:i/>
          <w:sz w:val="16"/>
        </w:rPr>
      </w:pPr>
      <w:r>
        <w:rPr/>
        <w:br w:type="column"/>
      </w:r>
      <w:r>
        <w:rPr>
          <w:rFonts w:ascii="Arial"/>
          <w:i/>
          <w:spacing w:val="-2"/>
          <w:sz w:val="16"/>
        </w:rPr>
        <w:t>Number </w:t>
      </w:r>
      <w:r>
        <w:rPr>
          <w:rFonts w:ascii="Arial"/>
          <w:i/>
          <w:sz w:val="16"/>
        </w:rPr>
        <w:t>of</w:t>
      </w:r>
      <w:r>
        <w:rPr>
          <w:rFonts w:ascii="Arial"/>
          <w:i/>
          <w:spacing w:val="-1"/>
          <w:sz w:val="16"/>
        </w:rPr>
        <w:t> </w:t>
      </w:r>
      <w:r>
        <w:rPr>
          <w:rFonts w:ascii="Arial"/>
          <w:i/>
          <w:spacing w:val="-2"/>
          <w:sz w:val="16"/>
        </w:rPr>
        <w:t>shares</w:t>
      </w:r>
    </w:p>
    <w:p>
      <w:pPr>
        <w:spacing w:line="249" w:lineRule="auto" w:before="0"/>
        <w:ind w:left="285" w:right="0" w:hanging="118"/>
        <w:jc w:val="left"/>
        <w:rPr>
          <w:rFonts w:ascii="Arial"/>
          <w:i/>
          <w:sz w:val="16"/>
        </w:rPr>
      </w:pPr>
      <w:r>
        <w:rPr/>
        <w:br w:type="column"/>
      </w:r>
      <w:r>
        <w:rPr>
          <w:rFonts w:ascii="Arial"/>
          <w:i/>
          <w:spacing w:val="-2"/>
          <w:sz w:val="16"/>
        </w:rPr>
        <w:t>Percentage </w:t>
      </w:r>
      <w:r>
        <w:rPr>
          <w:rFonts w:ascii="Arial"/>
          <w:i/>
          <w:sz w:val="16"/>
        </w:rPr>
        <w:t>of total </w:t>
      </w:r>
      <w:r>
        <w:rPr>
          <w:rFonts w:ascii="Arial"/>
          <w:i/>
          <w:sz w:val="16"/>
          <w:vertAlign w:val="superscript"/>
        </w:rPr>
        <w:t>b</w:t>
      </w:r>
    </w:p>
    <w:p>
      <w:pPr>
        <w:spacing w:line="208" w:lineRule="auto" w:before="47"/>
        <w:ind w:left="228" w:right="0" w:firstLine="180"/>
        <w:jc w:val="left"/>
        <w:rPr>
          <w:rFonts w:ascii="Arial"/>
          <w:i/>
          <w:sz w:val="16"/>
        </w:rPr>
      </w:pPr>
      <w:r>
        <w:rPr/>
        <w:br w:type="column"/>
      </w:r>
      <w:r>
        <w:rPr>
          <w:rFonts w:ascii="Arial"/>
          <w:i/>
          <w:spacing w:val="-2"/>
          <w:sz w:val="16"/>
        </w:rPr>
        <w:t>Total </w:t>
      </w:r>
      <w:r>
        <w:rPr>
          <w:rFonts w:ascii="Arial"/>
          <w:i/>
          <w:sz w:val="16"/>
        </w:rPr>
        <w:t>amounts</w:t>
      </w:r>
      <w:r>
        <w:rPr>
          <w:rFonts w:ascii="Arial"/>
          <w:i/>
          <w:spacing w:val="-12"/>
          <w:sz w:val="16"/>
        </w:rPr>
        <w:t> </w:t>
      </w:r>
      <w:r>
        <w:rPr>
          <w:rFonts w:ascii="Arial"/>
          <w:i/>
          <w:sz w:val="16"/>
          <w:vertAlign w:val="superscript"/>
        </w:rPr>
        <w:t>b</w:t>
      </w:r>
    </w:p>
    <w:p>
      <w:pPr>
        <w:spacing w:line="208" w:lineRule="auto" w:before="47"/>
        <w:ind w:left="187" w:right="0" w:firstLine="14"/>
        <w:jc w:val="left"/>
        <w:rPr>
          <w:rFonts w:ascii="Arial"/>
          <w:i/>
          <w:sz w:val="16"/>
        </w:rPr>
      </w:pPr>
      <w:r>
        <w:rPr/>
        <w:br w:type="column"/>
      </w:r>
      <w:r>
        <w:rPr>
          <w:rFonts w:ascii="Arial"/>
          <w:i/>
          <w:spacing w:val="-2"/>
          <w:sz w:val="16"/>
        </w:rPr>
        <w:t>Amounts </w:t>
      </w:r>
      <w:r>
        <w:rPr>
          <w:rFonts w:ascii="Arial"/>
          <w:i/>
          <w:sz w:val="16"/>
        </w:rPr>
        <w:t>paid</w:t>
      </w:r>
      <w:r>
        <w:rPr>
          <w:rFonts w:ascii="Arial"/>
          <w:i/>
          <w:spacing w:val="-5"/>
          <w:sz w:val="16"/>
        </w:rPr>
        <w:t> </w:t>
      </w:r>
      <w:r>
        <w:rPr>
          <w:rFonts w:ascii="Arial"/>
          <w:i/>
          <w:sz w:val="16"/>
        </w:rPr>
        <w:t>in</w:t>
      </w:r>
      <w:r>
        <w:rPr>
          <w:rFonts w:ascii="Arial"/>
          <w:i/>
          <w:spacing w:val="-3"/>
          <w:sz w:val="16"/>
        </w:rPr>
        <w:t> </w:t>
      </w:r>
      <w:r>
        <w:rPr>
          <w:rFonts w:ascii="Arial"/>
          <w:i/>
          <w:spacing w:val="-5"/>
          <w:sz w:val="16"/>
          <w:vertAlign w:val="superscript"/>
        </w:rPr>
        <w:t>a,b</w:t>
      </w:r>
    </w:p>
    <w:p>
      <w:pPr>
        <w:spacing w:line="164" w:lineRule="exact" w:before="27"/>
        <w:ind w:left="203" w:right="0" w:firstLine="0"/>
        <w:jc w:val="center"/>
        <w:rPr>
          <w:rFonts w:ascii="Arial"/>
          <w:i/>
          <w:sz w:val="16"/>
        </w:rPr>
      </w:pPr>
      <w:r>
        <w:rPr/>
        <w:br w:type="column"/>
      </w:r>
      <w:r>
        <w:rPr>
          <w:rFonts w:ascii="Arial"/>
          <w:i/>
          <w:sz w:val="16"/>
        </w:rPr>
        <w:t>subject</w:t>
      </w:r>
      <w:r>
        <w:rPr>
          <w:rFonts w:ascii="Arial"/>
          <w:i/>
          <w:spacing w:val="-5"/>
          <w:sz w:val="16"/>
        </w:rPr>
        <w:t> </w:t>
      </w:r>
      <w:r>
        <w:rPr>
          <w:rFonts w:ascii="Arial"/>
          <w:i/>
          <w:sz w:val="16"/>
        </w:rPr>
        <w:t>to</w:t>
      </w:r>
      <w:r>
        <w:rPr>
          <w:rFonts w:ascii="Arial"/>
          <w:i/>
          <w:spacing w:val="-2"/>
          <w:sz w:val="16"/>
        </w:rPr>
        <w:t> </w:t>
      </w:r>
      <w:r>
        <w:rPr>
          <w:rFonts w:ascii="Arial"/>
          <w:i/>
          <w:spacing w:val="-4"/>
          <w:sz w:val="16"/>
        </w:rPr>
        <w:t>call</w:t>
      </w:r>
    </w:p>
    <w:p>
      <w:pPr>
        <w:spacing w:line="95" w:lineRule="exact" w:before="0"/>
        <w:ind w:left="203" w:right="0" w:firstLine="0"/>
        <w:jc w:val="center"/>
        <w:rPr>
          <w:rFonts w:ascii="Arial"/>
          <w:i/>
          <w:sz w:val="10"/>
        </w:rPr>
      </w:pPr>
      <w:r>
        <w:rPr>
          <w:rFonts w:ascii="Arial"/>
          <w:i/>
          <w:w w:val="105"/>
          <w:sz w:val="10"/>
        </w:rPr>
        <w:t>a,</w:t>
      </w:r>
      <w:r>
        <w:rPr>
          <w:rFonts w:ascii="Arial"/>
          <w:i/>
          <w:spacing w:val="-3"/>
          <w:w w:val="105"/>
          <w:sz w:val="10"/>
        </w:rPr>
        <w:t> </w:t>
      </w:r>
      <w:r>
        <w:rPr>
          <w:rFonts w:ascii="Arial"/>
          <w:i/>
          <w:spacing w:val="-10"/>
          <w:w w:val="105"/>
          <w:sz w:val="10"/>
        </w:rPr>
        <w:t>b</w:t>
      </w:r>
    </w:p>
    <w:p>
      <w:pPr>
        <w:spacing w:line="249" w:lineRule="auto" w:before="0"/>
        <w:ind w:left="416" w:right="-7" w:hanging="182"/>
        <w:jc w:val="left"/>
        <w:rPr>
          <w:rFonts w:ascii="Arial"/>
          <w:i/>
          <w:sz w:val="16"/>
        </w:rPr>
      </w:pPr>
      <w:r>
        <w:rPr/>
        <w:br w:type="column"/>
      </w:r>
      <w:r>
        <w:rPr>
          <w:rFonts w:ascii="Arial"/>
          <w:i/>
          <w:sz w:val="16"/>
        </w:rPr>
        <w:t>Number</w:t>
      </w:r>
      <w:r>
        <w:rPr>
          <w:rFonts w:ascii="Arial"/>
          <w:i/>
          <w:spacing w:val="-12"/>
          <w:sz w:val="16"/>
        </w:rPr>
        <w:t> </w:t>
      </w:r>
      <w:r>
        <w:rPr>
          <w:rFonts w:ascii="Arial"/>
          <w:i/>
          <w:sz w:val="16"/>
        </w:rPr>
        <w:t>of </w:t>
      </w:r>
      <w:r>
        <w:rPr>
          <w:rFonts w:ascii="Arial"/>
          <w:i/>
          <w:spacing w:val="-2"/>
          <w:sz w:val="16"/>
        </w:rPr>
        <w:t>votes</w:t>
      </w:r>
    </w:p>
    <w:p>
      <w:pPr>
        <w:spacing w:line="249" w:lineRule="auto" w:before="0"/>
        <w:ind w:left="323" w:right="759" w:hanging="118"/>
        <w:jc w:val="left"/>
        <w:rPr>
          <w:rFonts w:ascii="Arial"/>
          <w:i/>
          <w:sz w:val="16"/>
        </w:rPr>
      </w:pPr>
      <w:r>
        <w:rPr/>
        <w:br w:type="column"/>
      </w:r>
      <w:r>
        <w:rPr>
          <w:rFonts w:ascii="Arial"/>
          <w:i/>
          <w:spacing w:val="-2"/>
          <w:sz w:val="16"/>
        </w:rPr>
        <w:t>Percentage </w:t>
      </w:r>
      <w:r>
        <w:rPr>
          <w:rFonts w:ascii="Arial"/>
          <w:i/>
          <w:sz w:val="16"/>
        </w:rPr>
        <w:t>of total </w:t>
      </w:r>
      <w:r>
        <w:rPr>
          <w:rFonts w:ascii="Arial"/>
          <w:i/>
          <w:sz w:val="16"/>
          <w:vertAlign w:val="superscript"/>
        </w:rPr>
        <w:t>b</w:t>
      </w:r>
    </w:p>
    <w:p>
      <w:pPr>
        <w:spacing w:after="0" w:line="249" w:lineRule="auto"/>
        <w:jc w:val="left"/>
        <w:rPr>
          <w:rFonts w:ascii="Arial"/>
          <w:i/>
          <w:sz w:val="16"/>
        </w:rPr>
        <w:sectPr>
          <w:type w:val="continuous"/>
          <w:pgSz w:w="12240" w:h="15840"/>
          <w:pgMar w:header="1030" w:footer="528" w:top="1820" w:bottom="280" w:left="720" w:right="720"/>
          <w:cols w:num="8" w:equalWidth="0">
            <w:col w:w="1399" w:space="1017"/>
            <w:col w:w="1431" w:space="40"/>
            <w:col w:w="986" w:space="39"/>
            <w:col w:w="944" w:space="39"/>
            <w:col w:w="848" w:space="40"/>
            <w:col w:w="1173" w:space="39"/>
            <w:col w:w="982" w:space="39"/>
            <w:col w:w="1784"/>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9"/>
        <w:gridCol w:w="1371"/>
        <w:gridCol w:w="1043"/>
        <w:gridCol w:w="724"/>
        <w:gridCol w:w="915"/>
        <w:gridCol w:w="1361"/>
        <w:gridCol w:w="1124"/>
        <w:gridCol w:w="912"/>
      </w:tblGrid>
      <w:tr>
        <w:trPr>
          <w:trHeight w:val="223" w:hRule="atLeast"/>
        </w:trPr>
        <w:tc>
          <w:tcPr>
            <w:tcW w:w="2089" w:type="dxa"/>
            <w:tcBorders>
              <w:top w:val="single" w:sz="8" w:space="0" w:color="000000"/>
            </w:tcBorders>
            <w:shd w:val="clear" w:color="auto" w:fill="D8D8D8"/>
          </w:tcPr>
          <w:p>
            <w:pPr>
              <w:pStyle w:val="TableParagraph"/>
              <w:spacing w:before="9"/>
              <w:ind w:left="52"/>
              <w:rPr>
                <w:sz w:val="16"/>
              </w:rPr>
            </w:pPr>
            <w:r>
              <w:rPr>
                <w:sz w:val="16"/>
              </w:rPr>
              <w:t>Sierra</w:t>
            </w:r>
            <w:r>
              <w:rPr>
                <w:spacing w:val="-5"/>
                <w:sz w:val="16"/>
              </w:rPr>
              <w:t> </w:t>
            </w:r>
            <w:r>
              <w:rPr>
                <w:spacing w:val="-2"/>
                <w:sz w:val="16"/>
              </w:rPr>
              <w:t>Leone</w:t>
            </w:r>
          </w:p>
        </w:tc>
        <w:tc>
          <w:tcPr>
            <w:tcW w:w="1371" w:type="dxa"/>
            <w:tcBorders>
              <w:top w:val="single" w:sz="8" w:space="0" w:color="000000"/>
            </w:tcBorders>
            <w:shd w:val="clear" w:color="auto" w:fill="D8D8D8"/>
          </w:tcPr>
          <w:p>
            <w:pPr>
              <w:pStyle w:val="TableParagraph"/>
              <w:spacing w:before="9"/>
              <w:ind w:right="300"/>
              <w:jc w:val="right"/>
              <w:rPr>
                <w:sz w:val="16"/>
              </w:rPr>
            </w:pPr>
            <w:r>
              <w:rPr>
                <w:spacing w:val="-2"/>
                <w:sz w:val="16"/>
              </w:rPr>
              <w:t>1,043</w:t>
            </w:r>
          </w:p>
        </w:tc>
        <w:tc>
          <w:tcPr>
            <w:tcW w:w="1043" w:type="dxa"/>
            <w:tcBorders>
              <w:top w:val="single" w:sz="8" w:space="0" w:color="000000"/>
            </w:tcBorders>
            <w:shd w:val="clear" w:color="auto" w:fill="D8D8D8"/>
          </w:tcPr>
          <w:p>
            <w:pPr>
              <w:pStyle w:val="TableParagraph"/>
              <w:spacing w:before="9"/>
              <w:ind w:left="391"/>
              <w:rPr>
                <w:sz w:val="16"/>
              </w:rPr>
            </w:pPr>
            <w:r>
              <w:rPr>
                <w:sz w:val="16"/>
              </w:rPr>
              <w:t>0.04</w:t>
            </w:r>
            <w:r>
              <w:rPr>
                <w:spacing w:val="3"/>
                <w:sz w:val="16"/>
              </w:rPr>
              <w:t> </w:t>
            </w:r>
            <w:r>
              <w:rPr>
                <w:sz w:val="16"/>
              </w:rPr>
              <w:t>%</w:t>
            </w:r>
            <w:r>
              <w:rPr>
                <w:spacing w:val="3"/>
                <w:sz w:val="16"/>
              </w:rPr>
              <w:t> </w:t>
            </w:r>
            <w:r>
              <w:rPr>
                <w:spacing w:val="-10"/>
                <w:sz w:val="16"/>
              </w:rPr>
              <w:t>$</w:t>
            </w:r>
          </w:p>
        </w:tc>
        <w:tc>
          <w:tcPr>
            <w:tcW w:w="724" w:type="dxa"/>
            <w:tcBorders>
              <w:top w:val="single" w:sz="8" w:space="0" w:color="000000"/>
            </w:tcBorders>
            <w:shd w:val="clear" w:color="auto" w:fill="D9D9D9"/>
          </w:tcPr>
          <w:p>
            <w:pPr>
              <w:pStyle w:val="TableParagraph"/>
              <w:spacing w:before="9"/>
              <w:ind w:right="87"/>
              <w:jc w:val="right"/>
              <w:rPr>
                <w:sz w:val="16"/>
              </w:rPr>
            </w:pPr>
            <w:r>
              <w:rPr>
                <w:spacing w:val="-2"/>
                <w:sz w:val="16"/>
              </w:rPr>
              <w:t>125.8</w:t>
            </w:r>
          </w:p>
        </w:tc>
        <w:tc>
          <w:tcPr>
            <w:tcW w:w="915" w:type="dxa"/>
            <w:tcBorders>
              <w:top w:val="single" w:sz="8" w:space="0" w:color="000000"/>
            </w:tcBorders>
            <w:shd w:val="clear" w:color="auto" w:fill="D9D9D9"/>
          </w:tcPr>
          <w:p>
            <w:pPr>
              <w:pStyle w:val="TableParagraph"/>
              <w:tabs>
                <w:tab w:pos="423" w:val="left" w:leader="none"/>
              </w:tabs>
              <w:spacing w:before="9"/>
              <w:ind w:right="87"/>
              <w:jc w:val="right"/>
              <w:rPr>
                <w:sz w:val="16"/>
              </w:rPr>
            </w:pPr>
            <w:r>
              <w:rPr>
                <w:spacing w:val="-10"/>
                <w:sz w:val="16"/>
              </w:rPr>
              <w:t>$</w:t>
            </w:r>
            <w:r>
              <w:rPr>
                <w:sz w:val="16"/>
              </w:rPr>
              <w:tab/>
            </w:r>
            <w:r>
              <w:rPr>
                <w:spacing w:val="-4"/>
                <w:sz w:val="16"/>
              </w:rPr>
              <w:t>4.60</w:t>
            </w:r>
          </w:p>
        </w:tc>
        <w:tc>
          <w:tcPr>
            <w:tcW w:w="1361" w:type="dxa"/>
            <w:tcBorders>
              <w:top w:val="single" w:sz="8" w:space="0" w:color="000000"/>
            </w:tcBorders>
            <w:shd w:val="clear" w:color="auto" w:fill="D9D9D9"/>
          </w:tcPr>
          <w:p>
            <w:pPr>
              <w:pStyle w:val="TableParagraph"/>
              <w:tabs>
                <w:tab w:pos="619" w:val="left" w:leader="none"/>
              </w:tabs>
              <w:spacing w:before="9"/>
              <w:ind w:right="249"/>
              <w:jc w:val="right"/>
              <w:rPr>
                <w:sz w:val="16"/>
              </w:rPr>
            </w:pPr>
            <w:r>
              <w:rPr>
                <w:spacing w:val="-10"/>
                <w:sz w:val="16"/>
              </w:rPr>
              <w:t>$</w:t>
            </w:r>
            <w:r>
              <w:rPr>
                <w:sz w:val="16"/>
              </w:rPr>
              <w:tab/>
            </w:r>
            <w:r>
              <w:rPr>
                <w:spacing w:val="-2"/>
                <w:sz w:val="16"/>
              </w:rPr>
              <w:t>121.2</w:t>
            </w:r>
          </w:p>
        </w:tc>
        <w:tc>
          <w:tcPr>
            <w:tcW w:w="1124" w:type="dxa"/>
            <w:tcBorders>
              <w:top w:val="single" w:sz="8" w:space="0" w:color="000000"/>
            </w:tcBorders>
            <w:shd w:val="clear" w:color="auto" w:fill="D8D8D8"/>
          </w:tcPr>
          <w:p>
            <w:pPr>
              <w:pStyle w:val="TableParagraph"/>
              <w:spacing w:before="9"/>
              <w:ind w:left="175" w:right="40"/>
              <w:jc w:val="center"/>
              <w:rPr>
                <w:sz w:val="16"/>
              </w:rPr>
            </w:pPr>
            <w:r>
              <w:rPr>
                <w:spacing w:val="-2"/>
                <w:sz w:val="16"/>
              </w:rPr>
              <w:t>1,862</w:t>
            </w:r>
          </w:p>
        </w:tc>
        <w:tc>
          <w:tcPr>
            <w:tcW w:w="912" w:type="dxa"/>
            <w:tcBorders>
              <w:top w:val="single" w:sz="8" w:space="0" w:color="000000"/>
            </w:tcBorders>
            <w:shd w:val="clear" w:color="auto" w:fill="D8D8D8"/>
          </w:tcPr>
          <w:p>
            <w:pPr>
              <w:pStyle w:val="TableParagraph"/>
              <w:spacing w:before="9"/>
              <w:ind w:left="384"/>
              <w:rPr>
                <w:sz w:val="16"/>
              </w:rPr>
            </w:pPr>
            <w:r>
              <w:rPr>
                <w:sz w:val="16"/>
              </w:rPr>
              <w:t>0.07</w:t>
            </w:r>
            <w:r>
              <w:rPr>
                <w:spacing w:val="17"/>
                <w:sz w:val="16"/>
              </w:rPr>
              <w:t> </w:t>
            </w:r>
            <w:r>
              <w:rPr>
                <w:spacing w:val="-10"/>
                <w:sz w:val="16"/>
              </w:rPr>
              <w:t>%</w:t>
            </w:r>
          </w:p>
        </w:tc>
      </w:tr>
      <w:tr>
        <w:trPr>
          <w:trHeight w:val="229" w:hRule="atLeast"/>
        </w:trPr>
        <w:tc>
          <w:tcPr>
            <w:tcW w:w="2089" w:type="dxa"/>
            <w:shd w:val="clear" w:color="auto" w:fill="D8D8D8"/>
          </w:tcPr>
          <w:p>
            <w:pPr>
              <w:pStyle w:val="TableParagraph"/>
              <w:spacing w:line="184" w:lineRule="exact" w:before="25"/>
              <w:ind w:left="52"/>
              <w:rPr>
                <w:sz w:val="16"/>
              </w:rPr>
            </w:pPr>
            <w:r>
              <w:rPr>
                <w:spacing w:val="-2"/>
                <w:sz w:val="16"/>
              </w:rPr>
              <w:t>Singapore</w:t>
            </w:r>
          </w:p>
        </w:tc>
        <w:tc>
          <w:tcPr>
            <w:tcW w:w="1371" w:type="dxa"/>
            <w:shd w:val="clear" w:color="auto" w:fill="D8D8D8"/>
          </w:tcPr>
          <w:p>
            <w:pPr>
              <w:pStyle w:val="TableParagraph"/>
              <w:spacing w:line="184" w:lineRule="exact" w:before="25"/>
              <w:ind w:right="300"/>
              <w:jc w:val="right"/>
              <w:rPr>
                <w:sz w:val="16"/>
              </w:rPr>
            </w:pPr>
            <w:r>
              <w:rPr>
                <w:spacing w:val="-2"/>
                <w:sz w:val="16"/>
              </w:rPr>
              <w:t>7,109</w:t>
            </w:r>
          </w:p>
        </w:tc>
        <w:tc>
          <w:tcPr>
            <w:tcW w:w="1043" w:type="dxa"/>
            <w:shd w:val="clear" w:color="auto" w:fill="D8D8D8"/>
          </w:tcPr>
          <w:p>
            <w:pPr>
              <w:pStyle w:val="TableParagraph"/>
              <w:spacing w:line="184" w:lineRule="exact" w:before="25"/>
              <w:ind w:left="391"/>
              <w:rPr>
                <w:sz w:val="16"/>
              </w:rPr>
            </w:pPr>
            <w:r>
              <w:rPr>
                <w:spacing w:val="-4"/>
                <w:sz w:val="16"/>
              </w:rPr>
              <w:t>0.27</w:t>
            </w:r>
          </w:p>
        </w:tc>
        <w:tc>
          <w:tcPr>
            <w:tcW w:w="724" w:type="dxa"/>
            <w:shd w:val="clear" w:color="auto" w:fill="D8D8D8"/>
          </w:tcPr>
          <w:p>
            <w:pPr>
              <w:pStyle w:val="TableParagraph"/>
              <w:spacing w:line="184" w:lineRule="exact" w:before="25"/>
              <w:ind w:right="87"/>
              <w:jc w:val="right"/>
              <w:rPr>
                <w:sz w:val="16"/>
              </w:rPr>
            </w:pPr>
            <w:r>
              <w:rPr>
                <w:spacing w:val="-2"/>
                <w:sz w:val="16"/>
              </w:rPr>
              <w:t>857.6</w:t>
            </w:r>
          </w:p>
        </w:tc>
        <w:tc>
          <w:tcPr>
            <w:tcW w:w="915" w:type="dxa"/>
            <w:shd w:val="clear" w:color="auto" w:fill="D8D8D8"/>
          </w:tcPr>
          <w:p>
            <w:pPr>
              <w:pStyle w:val="TableParagraph"/>
              <w:spacing w:line="184" w:lineRule="exact" w:before="25"/>
              <w:ind w:right="87"/>
              <w:jc w:val="right"/>
              <w:rPr>
                <w:sz w:val="16"/>
              </w:rPr>
            </w:pPr>
            <w:r>
              <w:rPr>
                <w:spacing w:val="-2"/>
                <w:sz w:val="16"/>
              </w:rPr>
              <w:t>63.00</w:t>
            </w:r>
          </w:p>
        </w:tc>
        <w:tc>
          <w:tcPr>
            <w:tcW w:w="1361" w:type="dxa"/>
            <w:shd w:val="clear" w:color="auto" w:fill="D8D8D8"/>
          </w:tcPr>
          <w:p>
            <w:pPr>
              <w:pStyle w:val="TableParagraph"/>
              <w:spacing w:line="184" w:lineRule="exact" w:before="25"/>
              <w:ind w:right="249"/>
              <w:jc w:val="right"/>
              <w:rPr>
                <w:sz w:val="16"/>
              </w:rPr>
            </w:pPr>
            <w:r>
              <w:rPr>
                <w:spacing w:val="-2"/>
                <w:sz w:val="16"/>
              </w:rPr>
              <w:t>794.6</w:t>
            </w:r>
          </w:p>
        </w:tc>
        <w:tc>
          <w:tcPr>
            <w:tcW w:w="1124" w:type="dxa"/>
            <w:shd w:val="clear" w:color="auto" w:fill="D8D8D8"/>
          </w:tcPr>
          <w:p>
            <w:pPr>
              <w:pStyle w:val="TableParagraph"/>
              <w:spacing w:line="184" w:lineRule="exact" w:before="25"/>
              <w:ind w:left="175" w:right="40"/>
              <w:jc w:val="center"/>
              <w:rPr>
                <w:sz w:val="16"/>
              </w:rPr>
            </w:pPr>
            <w:r>
              <w:rPr>
                <w:spacing w:val="-2"/>
                <w:sz w:val="16"/>
              </w:rPr>
              <w:t>7,928</w:t>
            </w:r>
          </w:p>
        </w:tc>
        <w:tc>
          <w:tcPr>
            <w:tcW w:w="912" w:type="dxa"/>
            <w:shd w:val="clear" w:color="auto" w:fill="D8D8D8"/>
          </w:tcPr>
          <w:p>
            <w:pPr>
              <w:pStyle w:val="TableParagraph"/>
              <w:spacing w:line="184" w:lineRule="exact" w:before="25"/>
              <w:ind w:left="384"/>
              <w:rPr>
                <w:sz w:val="16"/>
              </w:rPr>
            </w:pPr>
            <w:r>
              <w:rPr>
                <w:spacing w:val="-4"/>
                <w:sz w:val="16"/>
              </w:rPr>
              <w:t>0.28</w:t>
            </w:r>
          </w:p>
        </w:tc>
      </w:tr>
      <w:tr>
        <w:trPr>
          <w:trHeight w:val="240" w:hRule="atLeast"/>
        </w:trPr>
        <w:tc>
          <w:tcPr>
            <w:tcW w:w="2089" w:type="dxa"/>
            <w:shd w:val="clear" w:color="auto" w:fill="D8D8D8"/>
          </w:tcPr>
          <w:p>
            <w:pPr>
              <w:pStyle w:val="TableParagraph"/>
              <w:spacing w:line="184" w:lineRule="exact" w:before="36"/>
              <w:ind w:left="52"/>
              <w:rPr>
                <w:sz w:val="16"/>
              </w:rPr>
            </w:pPr>
            <w:r>
              <w:rPr>
                <w:sz w:val="16"/>
              </w:rPr>
              <w:t>Slovak</w:t>
            </w:r>
            <w:r>
              <w:rPr>
                <w:spacing w:val="-6"/>
                <w:sz w:val="16"/>
              </w:rPr>
              <w:t> </w:t>
            </w:r>
            <w:r>
              <w:rPr>
                <w:sz w:val="16"/>
              </w:rPr>
              <w:t>Republic</w:t>
            </w:r>
            <w:r>
              <w:rPr>
                <w:spacing w:val="-5"/>
                <w:sz w:val="16"/>
              </w:rPr>
              <w:t> </w:t>
            </w:r>
            <w:r>
              <w:rPr>
                <w:spacing w:val="-10"/>
                <w:sz w:val="16"/>
                <w:vertAlign w:val="superscript"/>
              </w:rPr>
              <w:t>c</w:t>
            </w:r>
          </w:p>
        </w:tc>
        <w:tc>
          <w:tcPr>
            <w:tcW w:w="1371" w:type="dxa"/>
            <w:shd w:val="clear" w:color="auto" w:fill="D8D8D8"/>
          </w:tcPr>
          <w:p>
            <w:pPr>
              <w:pStyle w:val="TableParagraph"/>
              <w:spacing w:line="184" w:lineRule="exact" w:before="36"/>
              <w:ind w:right="300"/>
              <w:jc w:val="right"/>
              <w:rPr>
                <w:sz w:val="16"/>
              </w:rPr>
            </w:pPr>
            <w:r>
              <w:rPr>
                <w:spacing w:val="-2"/>
                <w:sz w:val="16"/>
              </w:rPr>
              <w:t>4,785</w:t>
            </w:r>
          </w:p>
        </w:tc>
        <w:tc>
          <w:tcPr>
            <w:tcW w:w="1043" w:type="dxa"/>
            <w:shd w:val="clear" w:color="auto" w:fill="D8D8D8"/>
          </w:tcPr>
          <w:p>
            <w:pPr>
              <w:pStyle w:val="TableParagraph"/>
              <w:spacing w:line="184" w:lineRule="exact" w:before="36"/>
              <w:ind w:left="391"/>
              <w:rPr>
                <w:sz w:val="16"/>
              </w:rPr>
            </w:pPr>
            <w:r>
              <w:rPr>
                <w:spacing w:val="-4"/>
                <w:sz w:val="16"/>
              </w:rPr>
              <w:t>0.18</w:t>
            </w:r>
          </w:p>
        </w:tc>
        <w:tc>
          <w:tcPr>
            <w:tcW w:w="724" w:type="dxa"/>
            <w:shd w:val="clear" w:color="auto" w:fill="D8D8D8"/>
          </w:tcPr>
          <w:p>
            <w:pPr>
              <w:pStyle w:val="TableParagraph"/>
              <w:spacing w:line="184" w:lineRule="exact" w:before="36"/>
              <w:ind w:right="87"/>
              <w:jc w:val="right"/>
              <w:rPr>
                <w:sz w:val="16"/>
              </w:rPr>
            </w:pPr>
            <w:r>
              <w:rPr>
                <w:spacing w:val="-2"/>
                <w:sz w:val="16"/>
              </w:rPr>
              <w:t>577.2</w:t>
            </w:r>
          </w:p>
        </w:tc>
        <w:tc>
          <w:tcPr>
            <w:tcW w:w="915" w:type="dxa"/>
            <w:shd w:val="clear" w:color="auto" w:fill="D8D8D8"/>
          </w:tcPr>
          <w:p>
            <w:pPr>
              <w:pStyle w:val="TableParagraph"/>
              <w:spacing w:line="184" w:lineRule="exact" w:before="36"/>
              <w:ind w:right="87"/>
              <w:jc w:val="right"/>
              <w:rPr>
                <w:sz w:val="16"/>
              </w:rPr>
            </w:pPr>
            <w:r>
              <w:rPr>
                <w:spacing w:val="-2"/>
                <w:sz w:val="16"/>
              </w:rPr>
              <w:t>41.00</w:t>
            </w:r>
          </w:p>
        </w:tc>
        <w:tc>
          <w:tcPr>
            <w:tcW w:w="1361" w:type="dxa"/>
            <w:shd w:val="clear" w:color="auto" w:fill="D8D8D8"/>
          </w:tcPr>
          <w:p>
            <w:pPr>
              <w:pStyle w:val="TableParagraph"/>
              <w:spacing w:line="184" w:lineRule="exact" w:before="36"/>
              <w:ind w:right="249"/>
              <w:jc w:val="right"/>
              <w:rPr>
                <w:sz w:val="16"/>
              </w:rPr>
            </w:pPr>
            <w:r>
              <w:rPr>
                <w:spacing w:val="-2"/>
                <w:sz w:val="16"/>
              </w:rPr>
              <w:t>536.2</w:t>
            </w:r>
          </w:p>
        </w:tc>
        <w:tc>
          <w:tcPr>
            <w:tcW w:w="1124" w:type="dxa"/>
            <w:shd w:val="clear" w:color="auto" w:fill="D8D8D8"/>
          </w:tcPr>
          <w:p>
            <w:pPr>
              <w:pStyle w:val="TableParagraph"/>
              <w:spacing w:line="184" w:lineRule="exact" w:before="36"/>
              <w:ind w:left="175" w:right="40"/>
              <w:jc w:val="center"/>
              <w:rPr>
                <w:sz w:val="16"/>
              </w:rPr>
            </w:pPr>
            <w:r>
              <w:rPr>
                <w:spacing w:val="-2"/>
                <w:sz w:val="16"/>
              </w:rPr>
              <w:t>5,604</w:t>
            </w:r>
          </w:p>
        </w:tc>
        <w:tc>
          <w:tcPr>
            <w:tcW w:w="912" w:type="dxa"/>
            <w:shd w:val="clear" w:color="auto" w:fill="D8D8D8"/>
          </w:tcPr>
          <w:p>
            <w:pPr>
              <w:pStyle w:val="TableParagraph"/>
              <w:spacing w:line="184" w:lineRule="exact" w:before="36"/>
              <w:ind w:left="384"/>
              <w:rPr>
                <w:sz w:val="16"/>
              </w:rPr>
            </w:pPr>
            <w:r>
              <w:rPr>
                <w:spacing w:val="-4"/>
                <w:sz w:val="16"/>
              </w:rPr>
              <w:t>0.20</w:t>
            </w:r>
          </w:p>
        </w:tc>
      </w:tr>
      <w:tr>
        <w:trPr>
          <w:trHeight w:val="243" w:hRule="atLeast"/>
        </w:trPr>
        <w:tc>
          <w:tcPr>
            <w:tcW w:w="2089" w:type="dxa"/>
            <w:shd w:val="clear" w:color="auto" w:fill="D8D8D8"/>
          </w:tcPr>
          <w:p>
            <w:pPr>
              <w:pStyle w:val="TableParagraph"/>
              <w:spacing w:before="36"/>
              <w:ind w:left="52"/>
              <w:rPr>
                <w:sz w:val="16"/>
              </w:rPr>
            </w:pPr>
            <w:r>
              <w:rPr>
                <w:sz w:val="16"/>
              </w:rPr>
              <w:t>Slovenia</w:t>
            </w:r>
            <w:r>
              <w:rPr>
                <w:spacing w:val="-6"/>
                <w:sz w:val="16"/>
              </w:rPr>
              <w:t> </w:t>
            </w:r>
            <w:r>
              <w:rPr>
                <w:spacing w:val="-10"/>
                <w:sz w:val="16"/>
                <w:vertAlign w:val="superscript"/>
              </w:rPr>
              <w:t>c</w:t>
            </w:r>
          </w:p>
        </w:tc>
        <w:tc>
          <w:tcPr>
            <w:tcW w:w="1371" w:type="dxa"/>
            <w:shd w:val="clear" w:color="auto" w:fill="D8D8D8"/>
          </w:tcPr>
          <w:p>
            <w:pPr>
              <w:pStyle w:val="TableParagraph"/>
              <w:spacing w:before="36"/>
              <w:ind w:right="300"/>
              <w:jc w:val="right"/>
              <w:rPr>
                <w:sz w:val="16"/>
              </w:rPr>
            </w:pPr>
            <w:r>
              <w:rPr>
                <w:spacing w:val="-2"/>
                <w:sz w:val="16"/>
              </w:rPr>
              <w:t>2,037</w:t>
            </w:r>
          </w:p>
        </w:tc>
        <w:tc>
          <w:tcPr>
            <w:tcW w:w="1043" w:type="dxa"/>
            <w:shd w:val="clear" w:color="auto" w:fill="D8D8D8"/>
          </w:tcPr>
          <w:p>
            <w:pPr>
              <w:pStyle w:val="TableParagraph"/>
              <w:spacing w:before="36"/>
              <w:ind w:left="391"/>
              <w:rPr>
                <w:sz w:val="16"/>
              </w:rPr>
            </w:pPr>
            <w:r>
              <w:rPr>
                <w:spacing w:val="-4"/>
                <w:sz w:val="16"/>
              </w:rPr>
              <w:t>0.08</w:t>
            </w:r>
          </w:p>
        </w:tc>
        <w:tc>
          <w:tcPr>
            <w:tcW w:w="724" w:type="dxa"/>
            <w:shd w:val="clear" w:color="auto" w:fill="D8D8D8"/>
          </w:tcPr>
          <w:p>
            <w:pPr>
              <w:pStyle w:val="TableParagraph"/>
              <w:spacing w:before="36"/>
              <w:ind w:right="87"/>
              <w:jc w:val="right"/>
              <w:rPr>
                <w:sz w:val="16"/>
              </w:rPr>
            </w:pPr>
            <w:r>
              <w:rPr>
                <w:spacing w:val="-2"/>
                <w:sz w:val="16"/>
              </w:rPr>
              <w:t>245.7</w:t>
            </w:r>
          </w:p>
        </w:tc>
        <w:tc>
          <w:tcPr>
            <w:tcW w:w="915" w:type="dxa"/>
            <w:shd w:val="clear" w:color="auto" w:fill="D8D8D8"/>
          </w:tcPr>
          <w:p>
            <w:pPr>
              <w:pStyle w:val="TableParagraph"/>
              <w:spacing w:before="36"/>
              <w:ind w:right="87"/>
              <w:jc w:val="right"/>
              <w:rPr>
                <w:sz w:val="16"/>
              </w:rPr>
            </w:pPr>
            <w:r>
              <w:rPr>
                <w:spacing w:val="-2"/>
                <w:sz w:val="16"/>
              </w:rPr>
              <w:t>18.00</w:t>
            </w:r>
          </w:p>
        </w:tc>
        <w:tc>
          <w:tcPr>
            <w:tcW w:w="1361" w:type="dxa"/>
            <w:shd w:val="clear" w:color="auto" w:fill="D8D8D8"/>
          </w:tcPr>
          <w:p>
            <w:pPr>
              <w:pStyle w:val="TableParagraph"/>
              <w:spacing w:before="36"/>
              <w:ind w:right="249"/>
              <w:jc w:val="right"/>
              <w:rPr>
                <w:sz w:val="16"/>
              </w:rPr>
            </w:pPr>
            <w:r>
              <w:rPr>
                <w:spacing w:val="-2"/>
                <w:sz w:val="16"/>
              </w:rPr>
              <w:t>227.8</w:t>
            </w:r>
          </w:p>
        </w:tc>
        <w:tc>
          <w:tcPr>
            <w:tcW w:w="1124" w:type="dxa"/>
            <w:shd w:val="clear" w:color="auto" w:fill="D8D8D8"/>
          </w:tcPr>
          <w:p>
            <w:pPr>
              <w:pStyle w:val="TableParagraph"/>
              <w:spacing w:before="36"/>
              <w:ind w:left="175" w:right="40"/>
              <w:jc w:val="center"/>
              <w:rPr>
                <w:sz w:val="16"/>
              </w:rPr>
            </w:pPr>
            <w:r>
              <w:rPr>
                <w:spacing w:val="-2"/>
                <w:sz w:val="16"/>
              </w:rPr>
              <w:t>2,856</w:t>
            </w:r>
          </w:p>
        </w:tc>
        <w:tc>
          <w:tcPr>
            <w:tcW w:w="912" w:type="dxa"/>
            <w:shd w:val="clear" w:color="auto" w:fill="D8D8D8"/>
          </w:tcPr>
          <w:p>
            <w:pPr>
              <w:pStyle w:val="TableParagraph"/>
              <w:spacing w:before="36"/>
              <w:ind w:left="384"/>
              <w:rPr>
                <w:sz w:val="16"/>
              </w:rPr>
            </w:pPr>
            <w:r>
              <w:rPr>
                <w:spacing w:val="-4"/>
                <w:sz w:val="16"/>
              </w:rPr>
              <w:t>0.10</w:t>
            </w:r>
          </w:p>
        </w:tc>
      </w:tr>
      <w:tr>
        <w:trPr>
          <w:trHeight w:val="201" w:hRule="atLeast"/>
        </w:trPr>
        <w:tc>
          <w:tcPr>
            <w:tcW w:w="2089" w:type="dxa"/>
            <w:shd w:val="clear" w:color="auto" w:fill="D8D8D8"/>
          </w:tcPr>
          <w:p>
            <w:pPr>
              <w:pStyle w:val="TableParagraph"/>
              <w:spacing w:line="156" w:lineRule="exact" w:before="18"/>
              <w:ind w:left="52"/>
              <w:rPr>
                <w:sz w:val="16"/>
              </w:rPr>
            </w:pPr>
            <w:r>
              <w:rPr>
                <w:sz w:val="16"/>
              </w:rPr>
              <w:t>Solomon</w:t>
            </w:r>
            <w:r>
              <w:rPr>
                <w:spacing w:val="-5"/>
                <w:sz w:val="16"/>
              </w:rPr>
              <w:t> </w:t>
            </w:r>
            <w:r>
              <w:rPr>
                <w:spacing w:val="-2"/>
                <w:sz w:val="16"/>
              </w:rPr>
              <w:t>Islands</w:t>
            </w:r>
          </w:p>
        </w:tc>
        <w:tc>
          <w:tcPr>
            <w:tcW w:w="1371" w:type="dxa"/>
            <w:shd w:val="clear" w:color="auto" w:fill="D8D8D8"/>
          </w:tcPr>
          <w:p>
            <w:pPr>
              <w:pStyle w:val="TableParagraph"/>
              <w:spacing w:line="156" w:lineRule="exact" w:before="18"/>
              <w:ind w:right="300"/>
              <w:jc w:val="right"/>
              <w:rPr>
                <w:sz w:val="16"/>
              </w:rPr>
            </w:pPr>
            <w:r>
              <w:rPr>
                <w:spacing w:val="-5"/>
                <w:sz w:val="16"/>
              </w:rPr>
              <w:t>729</w:t>
            </w:r>
          </w:p>
        </w:tc>
        <w:tc>
          <w:tcPr>
            <w:tcW w:w="1043" w:type="dxa"/>
            <w:shd w:val="clear" w:color="auto" w:fill="D8D8D8"/>
          </w:tcPr>
          <w:p>
            <w:pPr>
              <w:pStyle w:val="TableParagraph"/>
              <w:spacing w:line="156" w:lineRule="exact" w:before="18"/>
              <w:ind w:left="391"/>
              <w:rPr>
                <w:sz w:val="16"/>
              </w:rPr>
            </w:pPr>
            <w:r>
              <w:rPr>
                <w:spacing w:val="-4"/>
                <w:sz w:val="16"/>
              </w:rPr>
              <w:t>0.03</w:t>
            </w:r>
          </w:p>
        </w:tc>
        <w:tc>
          <w:tcPr>
            <w:tcW w:w="724" w:type="dxa"/>
            <w:shd w:val="clear" w:color="auto" w:fill="D8D8D8"/>
          </w:tcPr>
          <w:p>
            <w:pPr>
              <w:pStyle w:val="TableParagraph"/>
              <w:spacing w:line="156" w:lineRule="exact" w:before="18"/>
              <w:ind w:right="87"/>
              <w:jc w:val="right"/>
              <w:rPr>
                <w:sz w:val="16"/>
              </w:rPr>
            </w:pPr>
            <w:r>
              <w:rPr>
                <w:spacing w:val="-4"/>
                <w:sz w:val="16"/>
              </w:rPr>
              <w:t>87.9</w:t>
            </w:r>
          </w:p>
        </w:tc>
        <w:tc>
          <w:tcPr>
            <w:tcW w:w="915" w:type="dxa"/>
            <w:shd w:val="clear" w:color="auto" w:fill="D8D8D8"/>
          </w:tcPr>
          <w:p>
            <w:pPr>
              <w:pStyle w:val="TableParagraph"/>
              <w:spacing w:line="156" w:lineRule="exact" w:before="18"/>
              <w:ind w:right="87"/>
              <w:jc w:val="right"/>
              <w:rPr>
                <w:sz w:val="16"/>
              </w:rPr>
            </w:pPr>
            <w:r>
              <w:rPr>
                <w:spacing w:val="-4"/>
                <w:sz w:val="16"/>
              </w:rPr>
              <w:t>2.30</w:t>
            </w:r>
          </w:p>
        </w:tc>
        <w:tc>
          <w:tcPr>
            <w:tcW w:w="1361" w:type="dxa"/>
            <w:shd w:val="clear" w:color="auto" w:fill="D8D8D8"/>
          </w:tcPr>
          <w:p>
            <w:pPr>
              <w:pStyle w:val="TableParagraph"/>
              <w:spacing w:line="156" w:lineRule="exact" w:before="18"/>
              <w:ind w:right="249"/>
              <w:jc w:val="right"/>
              <w:rPr>
                <w:sz w:val="16"/>
              </w:rPr>
            </w:pPr>
            <w:r>
              <w:rPr>
                <w:spacing w:val="-4"/>
                <w:sz w:val="16"/>
              </w:rPr>
              <w:t>85.6</w:t>
            </w:r>
          </w:p>
        </w:tc>
        <w:tc>
          <w:tcPr>
            <w:tcW w:w="1124" w:type="dxa"/>
            <w:shd w:val="clear" w:color="auto" w:fill="D8D8D8"/>
          </w:tcPr>
          <w:p>
            <w:pPr>
              <w:pStyle w:val="TableParagraph"/>
              <w:spacing w:line="156" w:lineRule="exact" w:before="18"/>
              <w:ind w:left="175" w:right="40"/>
              <w:jc w:val="center"/>
              <w:rPr>
                <w:sz w:val="16"/>
              </w:rPr>
            </w:pPr>
            <w:r>
              <w:rPr>
                <w:spacing w:val="-2"/>
                <w:sz w:val="16"/>
              </w:rPr>
              <w:t>1,548</w:t>
            </w:r>
          </w:p>
        </w:tc>
        <w:tc>
          <w:tcPr>
            <w:tcW w:w="912" w:type="dxa"/>
            <w:shd w:val="clear" w:color="auto" w:fill="D8D8D8"/>
          </w:tcPr>
          <w:p>
            <w:pPr>
              <w:pStyle w:val="TableParagraph"/>
              <w:spacing w:line="156" w:lineRule="exact" w:before="18"/>
              <w:ind w:left="384"/>
              <w:rPr>
                <w:sz w:val="16"/>
              </w:rPr>
            </w:pPr>
            <w:r>
              <w:rPr>
                <w:spacing w:val="-4"/>
                <w:sz w:val="16"/>
              </w:rPr>
              <w:t>0.06</w:t>
            </w:r>
          </w:p>
        </w:tc>
      </w:tr>
      <w:tr>
        <w:trPr>
          <w:trHeight w:val="225" w:hRule="atLeast"/>
        </w:trPr>
        <w:tc>
          <w:tcPr>
            <w:tcW w:w="2089" w:type="dxa"/>
          </w:tcPr>
          <w:p>
            <w:pPr>
              <w:pStyle w:val="TableParagraph"/>
              <w:spacing w:before="19"/>
              <w:ind w:left="52"/>
              <w:rPr>
                <w:sz w:val="16"/>
              </w:rPr>
            </w:pPr>
            <w:r>
              <w:rPr>
                <w:spacing w:val="-2"/>
                <w:sz w:val="16"/>
              </w:rPr>
              <w:t>Somalia</w:t>
            </w:r>
          </w:p>
        </w:tc>
        <w:tc>
          <w:tcPr>
            <w:tcW w:w="1371" w:type="dxa"/>
          </w:tcPr>
          <w:p>
            <w:pPr>
              <w:pStyle w:val="TableParagraph"/>
              <w:spacing w:before="19"/>
              <w:ind w:right="300"/>
              <w:jc w:val="right"/>
              <w:rPr>
                <w:sz w:val="16"/>
              </w:rPr>
            </w:pPr>
            <w:r>
              <w:rPr>
                <w:spacing w:val="-5"/>
                <w:sz w:val="16"/>
              </w:rPr>
              <w:t>632</w:t>
            </w:r>
          </w:p>
        </w:tc>
        <w:tc>
          <w:tcPr>
            <w:tcW w:w="1043" w:type="dxa"/>
          </w:tcPr>
          <w:p>
            <w:pPr>
              <w:pStyle w:val="TableParagraph"/>
              <w:spacing w:before="19"/>
              <w:ind w:left="391"/>
              <w:rPr>
                <w:sz w:val="16"/>
              </w:rPr>
            </w:pPr>
            <w:r>
              <w:rPr>
                <w:spacing w:val="-4"/>
                <w:sz w:val="16"/>
              </w:rPr>
              <w:t>0.02</w:t>
            </w:r>
          </w:p>
        </w:tc>
        <w:tc>
          <w:tcPr>
            <w:tcW w:w="724" w:type="dxa"/>
          </w:tcPr>
          <w:p>
            <w:pPr>
              <w:pStyle w:val="TableParagraph"/>
              <w:spacing w:before="19"/>
              <w:ind w:right="87"/>
              <w:jc w:val="right"/>
              <w:rPr>
                <w:sz w:val="16"/>
              </w:rPr>
            </w:pPr>
            <w:r>
              <w:rPr>
                <w:spacing w:val="-4"/>
                <w:sz w:val="16"/>
              </w:rPr>
              <w:t>76.2</w:t>
            </w:r>
          </w:p>
        </w:tc>
        <w:tc>
          <w:tcPr>
            <w:tcW w:w="915" w:type="dxa"/>
          </w:tcPr>
          <w:p>
            <w:pPr>
              <w:pStyle w:val="TableParagraph"/>
              <w:spacing w:before="19"/>
              <w:ind w:right="87"/>
              <w:jc w:val="right"/>
              <w:rPr>
                <w:sz w:val="16"/>
              </w:rPr>
            </w:pPr>
            <w:r>
              <w:rPr>
                <w:spacing w:val="-4"/>
                <w:sz w:val="16"/>
              </w:rPr>
              <w:t>3.30</w:t>
            </w:r>
          </w:p>
        </w:tc>
        <w:tc>
          <w:tcPr>
            <w:tcW w:w="1361" w:type="dxa"/>
          </w:tcPr>
          <w:p>
            <w:pPr>
              <w:pStyle w:val="TableParagraph"/>
              <w:spacing w:before="19"/>
              <w:ind w:right="249"/>
              <w:jc w:val="right"/>
              <w:rPr>
                <w:sz w:val="16"/>
              </w:rPr>
            </w:pPr>
            <w:r>
              <w:rPr>
                <w:spacing w:val="-4"/>
                <w:sz w:val="16"/>
              </w:rPr>
              <w:t>72.9</w:t>
            </w:r>
          </w:p>
        </w:tc>
        <w:tc>
          <w:tcPr>
            <w:tcW w:w="1124" w:type="dxa"/>
          </w:tcPr>
          <w:p>
            <w:pPr>
              <w:pStyle w:val="TableParagraph"/>
              <w:spacing w:before="19"/>
              <w:ind w:left="175" w:right="40"/>
              <w:jc w:val="center"/>
              <w:rPr>
                <w:sz w:val="16"/>
              </w:rPr>
            </w:pPr>
            <w:r>
              <w:rPr>
                <w:spacing w:val="-2"/>
                <w:sz w:val="16"/>
              </w:rPr>
              <w:t>1,451</w:t>
            </w:r>
          </w:p>
        </w:tc>
        <w:tc>
          <w:tcPr>
            <w:tcW w:w="912" w:type="dxa"/>
          </w:tcPr>
          <w:p>
            <w:pPr>
              <w:pStyle w:val="TableParagraph"/>
              <w:spacing w:before="19"/>
              <w:ind w:left="384"/>
              <w:rPr>
                <w:sz w:val="16"/>
              </w:rPr>
            </w:pPr>
            <w:r>
              <w:rPr>
                <w:spacing w:val="-4"/>
                <w:sz w:val="16"/>
              </w:rPr>
              <w:t>0.05</w:t>
            </w:r>
          </w:p>
        </w:tc>
      </w:tr>
      <w:tr>
        <w:trPr>
          <w:trHeight w:val="217" w:hRule="atLeast"/>
        </w:trPr>
        <w:tc>
          <w:tcPr>
            <w:tcW w:w="2089" w:type="dxa"/>
          </w:tcPr>
          <w:p>
            <w:pPr>
              <w:pStyle w:val="TableParagraph"/>
              <w:spacing w:line="172" w:lineRule="exact" w:before="25"/>
              <w:ind w:left="52"/>
              <w:rPr>
                <w:sz w:val="16"/>
              </w:rPr>
            </w:pPr>
            <w:r>
              <w:rPr>
                <w:sz w:val="16"/>
              </w:rPr>
              <w:t>South</w:t>
            </w:r>
            <w:r>
              <w:rPr>
                <w:spacing w:val="-11"/>
                <w:sz w:val="16"/>
              </w:rPr>
              <w:t> </w:t>
            </w:r>
            <w:r>
              <w:rPr>
                <w:spacing w:val="-2"/>
                <w:sz w:val="16"/>
              </w:rPr>
              <w:t>Africa</w:t>
            </w:r>
          </w:p>
        </w:tc>
        <w:tc>
          <w:tcPr>
            <w:tcW w:w="1371" w:type="dxa"/>
          </w:tcPr>
          <w:p>
            <w:pPr>
              <w:pStyle w:val="TableParagraph"/>
              <w:spacing w:line="172" w:lineRule="exact" w:before="25"/>
              <w:ind w:right="300"/>
              <w:jc w:val="right"/>
              <w:rPr>
                <w:sz w:val="16"/>
              </w:rPr>
            </w:pPr>
            <w:r>
              <w:rPr>
                <w:spacing w:val="-2"/>
                <w:sz w:val="16"/>
              </w:rPr>
              <w:t>20,679</w:t>
            </w:r>
          </w:p>
        </w:tc>
        <w:tc>
          <w:tcPr>
            <w:tcW w:w="1043" w:type="dxa"/>
          </w:tcPr>
          <w:p>
            <w:pPr>
              <w:pStyle w:val="TableParagraph"/>
              <w:spacing w:line="172" w:lineRule="exact" w:before="25"/>
              <w:ind w:left="391"/>
              <w:rPr>
                <w:sz w:val="16"/>
              </w:rPr>
            </w:pPr>
            <w:r>
              <w:rPr>
                <w:spacing w:val="-4"/>
                <w:sz w:val="16"/>
              </w:rPr>
              <w:t>0.78</w:t>
            </w:r>
          </w:p>
        </w:tc>
        <w:tc>
          <w:tcPr>
            <w:tcW w:w="724" w:type="dxa"/>
          </w:tcPr>
          <w:p>
            <w:pPr>
              <w:pStyle w:val="TableParagraph"/>
              <w:spacing w:line="172" w:lineRule="exact" w:before="25"/>
              <w:ind w:right="87"/>
              <w:jc w:val="right"/>
              <w:rPr>
                <w:sz w:val="16"/>
              </w:rPr>
            </w:pPr>
            <w:r>
              <w:rPr>
                <w:spacing w:val="-2"/>
                <w:sz w:val="16"/>
              </w:rPr>
              <w:t>2,494.6</w:t>
            </w:r>
          </w:p>
        </w:tc>
        <w:tc>
          <w:tcPr>
            <w:tcW w:w="915" w:type="dxa"/>
          </w:tcPr>
          <w:p>
            <w:pPr>
              <w:pStyle w:val="TableParagraph"/>
              <w:spacing w:line="172" w:lineRule="exact" w:before="25"/>
              <w:ind w:right="87"/>
              <w:jc w:val="right"/>
              <w:rPr>
                <w:sz w:val="16"/>
              </w:rPr>
            </w:pPr>
            <w:r>
              <w:rPr>
                <w:spacing w:val="-2"/>
                <w:sz w:val="16"/>
              </w:rPr>
              <w:t>177.30</w:t>
            </w:r>
          </w:p>
        </w:tc>
        <w:tc>
          <w:tcPr>
            <w:tcW w:w="1361" w:type="dxa"/>
          </w:tcPr>
          <w:p>
            <w:pPr>
              <w:pStyle w:val="TableParagraph"/>
              <w:spacing w:line="172" w:lineRule="exact" w:before="25"/>
              <w:ind w:right="248"/>
              <w:jc w:val="right"/>
              <w:rPr>
                <w:sz w:val="16"/>
              </w:rPr>
            </w:pPr>
            <w:r>
              <w:rPr>
                <w:spacing w:val="-2"/>
                <w:sz w:val="16"/>
              </w:rPr>
              <w:t>2,317.4</w:t>
            </w:r>
          </w:p>
        </w:tc>
        <w:tc>
          <w:tcPr>
            <w:tcW w:w="1124" w:type="dxa"/>
          </w:tcPr>
          <w:p>
            <w:pPr>
              <w:pStyle w:val="TableParagraph"/>
              <w:spacing w:line="172" w:lineRule="exact" w:before="25"/>
              <w:ind w:left="147" w:right="101"/>
              <w:jc w:val="center"/>
              <w:rPr>
                <w:sz w:val="16"/>
              </w:rPr>
            </w:pPr>
            <w:r>
              <w:rPr>
                <w:spacing w:val="-2"/>
                <w:sz w:val="16"/>
              </w:rPr>
              <w:t>21,498</w:t>
            </w:r>
          </w:p>
        </w:tc>
        <w:tc>
          <w:tcPr>
            <w:tcW w:w="912" w:type="dxa"/>
          </w:tcPr>
          <w:p>
            <w:pPr>
              <w:pStyle w:val="TableParagraph"/>
              <w:spacing w:line="172" w:lineRule="exact" w:before="25"/>
              <w:ind w:left="384"/>
              <w:rPr>
                <w:sz w:val="16"/>
              </w:rPr>
            </w:pPr>
            <w:r>
              <w:rPr>
                <w:spacing w:val="-4"/>
                <w:sz w:val="16"/>
              </w:rPr>
              <w:t>0.77</w:t>
            </w:r>
          </w:p>
        </w:tc>
      </w:tr>
      <w:tr>
        <w:trPr>
          <w:trHeight w:val="184" w:hRule="atLeast"/>
        </w:trPr>
        <w:tc>
          <w:tcPr>
            <w:tcW w:w="2089" w:type="dxa"/>
          </w:tcPr>
          <w:p>
            <w:pPr>
              <w:pStyle w:val="TableParagraph"/>
              <w:spacing w:line="161" w:lineRule="exact" w:before="3"/>
              <w:ind w:left="52"/>
              <w:rPr>
                <w:sz w:val="16"/>
              </w:rPr>
            </w:pPr>
            <w:r>
              <w:rPr>
                <w:sz w:val="16"/>
              </w:rPr>
              <w:t>South</w:t>
            </w:r>
            <w:r>
              <w:rPr>
                <w:spacing w:val="-5"/>
                <w:sz w:val="16"/>
              </w:rPr>
              <w:t> </w:t>
            </w:r>
            <w:r>
              <w:rPr>
                <w:spacing w:val="-2"/>
                <w:sz w:val="16"/>
              </w:rPr>
              <w:t>Sudan</w:t>
            </w:r>
          </w:p>
        </w:tc>
        <w:tc>
          <w:tcPr>
            <w:tcW w:w="1371" w:type="dxa"/>
          </w:tcPr>
          <w:p>
            <w:pPr>
              <w:pStyle w:val="TableParagraph"/>
              <w:spacing w:line="161" w:lineRule="exact" w:before="3"/>
              <w:ind w:right="300"/>
              <w:jc w:val="right"/>
              <w:rPr>
                <w:sz w:val="16"/>
              </w:rPr>
            </w:pPr>
            <w:r>
              <w:rPr>
                <w:spacing w:val="-2"/>
                <w:sz w:val="16"/>
              </w:rPr>
              <w:t>1,437</w:t>
            </w:r>
          </w:p>
        </w:tc>
        <w:tc>
          <w:tcPr>
            <w:tcW w:w="1043" w:type="dxa"/>
          </w:tcPr>
          <w:p>
            <w:pPr>
              <w:pStyle w:val="TableParagraph"/>
              <w:spacing w:line="161" w:lineRule="exact" w:before="3"/>
              <w:ind w:left="391"/>
              <w:rPr>
                <w:sz w:val="16"/>
              </w:rPr>
            </w:pPr>
            <w:r>
              <w:rPr>
                <w:spacing w:val="-4"/>
                <w:sz w:val="16"/>
              </w:rPr>
              <w:t>0.05</w:t>
            </w:r>
          </w:p>
        </w:tc>
        <w:tc>
          <w:tcPr>
            <w:tcW w:w="724" w:type="dxa"/>
          </w:tcPr>
          <w:p>
            <w:pPr>
              <w:pStyle w:val="TableParagraph"/>
              <w:spacing w:line="161" w:lineRule="exact" w:before="3"/>
              <w:ind w:right="87"/>
              <w:jc w:val="right"/>
              <w:rPr>
                <w:sz w:val="16"/>
              </w:rPr>
            </w:pPr>
            <w:r>
              <w:rPr>
                <w:spacing w:val="-2"/>
                <w:sz w:val="16"/>
              </w:rPr>
              <w:t>173.4</w:t>
            </w:r>
          </w:p>
        </w:tc>
        <w:tc>
          <w:tcPr>
            <w:tcW w:w="915" w:type="dxa"/>
          </w:tcPr>
          <w:p>
            <w:pPr>
              <w:pStyle w:val="TableParagraph"/>
              <w:spacing w:line="161" w:lineRule="exact" w:before="3"/>
              <w:ind w:right="87"/>
              <w:jc w:val="right"/>
              <w:rPr>
                <w:sz w:val="16"/>
              </w:rPr>
            </w:pPr>
            <w:r>
              <w:rPr>
                <w:spacing w:val="-4"/>
                <w:sz w:val="16"/>
              </w:rPr>
              <w:t>8.60</w:t>
            </w:r>
          </w:p>
        </w:tc>
        <w:tc>
          <w:tcPr>
            <w:tcW w:w="1361" w:type="dxa"/>
          </w:tcPr>
          <w:p>
            <w:pPr>
              <w:pStyle w:val="TableParagraph"/>
              <w:spacing w:line="161" w:lineRule="exact" w:before="3"/>
              <w:ind w:right="249"/>
              <w:jc w:val="right"/>
              <w:rPr>
                <w:sz w:val="16"/>
              </w:rPr>
            </w:pPr>
            <w:r>
              <w:rPr>
                <w:spacing w:val="-2"/>
                <w:sz w:val="16"/>
              </w:rPr>
              <w:t>164.8</w:t>
            </w:r>
          </w:p>
        </w:tc>
        <w:tc>
          <w:tcPr>
            <w:tcW w:w="1124" w:type="dxa"/>
          </w:tcPr>
          <w:p>
            <w:pPr>
              <w:pStyle w:val="TableParagraph"/>
              <w:spacing w:line="161" w:lineRule="exact" w:before="3"/>
              <w:ind w:left="175" w:right="40"/>
              <w:jc w:val="center"/>
              <w:rPr>
                <w:sz w:val="16"/>
              </w:rPr>
            </w:pPr>
            <w:r>
              <w:rPr>
                <w:spacing w:val="-2"/>
                <w:sz w:val="16"/>
              </w:rPr>
              <w:t>2,256</w:t>
            </w:r>
          </w:p>
        </w:tc>
        <w:tc>
          <w:tcPr>
            <w:tcW w:w="912" w:type="dxa"/>
          </w:tcPr>
          <w:p>
            <w:pPr>
              <w:pStyle w:val="TableParagraph"/>
              <w:spacing w:line="161" w:lineRule="exact" w:before="3"/>
              <w:ind w:left="384"/>
              <w:rPr>
                <w:sz w:val="16"/>
              </w:rPr>
            </w:pPr>
            <w:r>
              <w:rPr>
                <w:spacing w:val="-4"/>
                <w:sz w:val="16"/>
              </w:rPr>
              <w:t>0.08</w:t>
            </w:r>
          </w:p>
        </w:tc>
      </w:tr>
      <w:tr>
        <w:trPr>
          <w:trHeight w:val="220" w:hRule="atLeast"/>
        </w:trPr>
        <w:tc>
          <w:tcPr>
            <w:tcW w:w="2089" w:type="dxa"/>
          </w:tcPr>
          <w:p>
            <w:pPr>
              <w:pStyle w:val="TableParagraph"/>
              <w:spacing w:before="13"/>
              <w:ind w:left="52"/>
              <w:rPr>
                <w:sz w:val="16"/>
              </w:rPr>
            </w:pPr>
            <w:r>
              <w:rPr>
                <w:sz w:val="16"/>
              </w:rPr>
              <w:t>Spain</w:t>
            </w:r>
            <w:r>
              <w:rPr>
                <w:spacing w:val="-4"/>
                <w:sz w:val="16"/>
              </w:rPr>
              <w:t> </w:t>
            </w:r>
            <w:r>
              <w:rPr>
                <w:spacing w:val="-10"/>
                <w:sz w:val="16"/>
                <w:vertAlign w:val="superscript"/>
              </w:rPr>
              <w:t>c</w:t>
            </w:r>
          </w:p>
        </w:tc>
        <w:tc>
          <w:tcPr>
            <w:tcW w:w="1371" w:type="dxa"/>
          </w:tcPr>
          <w:p>
            <w:pPr>
              <w:pStyle w:val="TableParagraph"/>
              <w:spacing w:before="13"/>
              <w:ind w:right="300"/>
              <w:jc w:val="right"/>
              <w:rPr>
                <w:sz w:val="16"/>
              </w:rPr>
            </w:pPr>
            <w:r>
              <w:rPr>
                <w:spacing w:val="-2"/>
                <w:sz w:val="16"/>
              </w:rPr>
              <w:t>52,895</w:t>
            </w:r>
          </w:p>
        </w:tc>
        <w:tc>
          <w:tcPr>
            <w:tcW w:w="1043" w:type="dxa"/>
          </w:tcPr>
          <w:p>
            <w:pPr>
              <w:pStyle w:val="TableParagraph"/>
              <w:spacing w:before="13"/>
              <w:ind w:left="391"/>
              <w:rPr>
                <w:sz w:val="16"/>
              </w:rPr>
            </w:pPr>
            <w:r>
              <w:rPr>
                <w:spacing w:val="-4"/>
                <w:sz w:val="16"/>
              </w:rPr>
              <w:t>2.01</w:t>
            </w:r>
          </w:p>
        </w:tc>
        <w:tc>
          <w:tcPr>
            <w:tcW w:w="724" w:type="dxa"/>
          </w:tcPr>
          <w:p>
            <w:pPr>
              <w:pStyle w:val="TableParagraph"/>
              <w:spacing w:before="13"/>
              <w:ind w:right="87"/>
              <w:jc w:val="right"/>
              <w:rPr>
                <w:sz w:val="16"/>
              </w:rPr>
            </w:pPr>
            <w:r>
              <w:rPr>
                <w:spacing w:val="-2"/>
                <w:sz w:val="16"/>
              </w:rPr>
              <w:t>6,381.0</w:t>
            </w:r>
          </w:p>
        </w:tc>
        <w:tc>
          <w:tcPr>
            <w:tcW w:w="915" w:type="dxa"/>
          </w:tcPr>
          <w:p>
            <w:pPr>
              <w:pStyle w:val="TableParagraph"/>
              <w:spacing w:before="13"/>
              <w:ind w:right="87"/>
              <w:jc w:val="right"/>
              <w:rPr>
                <w:sz w:val="16"/>
              </w:rPr>
            </w:pPr>
            <w:r>
              <w:rPr>
                <w:spacing w:val="-2"/>
                <w:sz w:val="16"/>
              </w:rPr>
              <w:t>461.20</w:t>
            </w:r>
          </w:p>
        </w:tc>
        <w:tc>
          <w:tcPr>
            <w:tcW w:w="1361" w:type="dxa"/>
          </w:tcPr>
          <w:p>
            <w:pPr>
              <w:pStyle w:val="TableParagraph"/>
              <w:spacing w:before="13"/>
              <w:ind w:right="248"/>
              <w:jc w:val="right"/>
              <w:rPr>
                <w:sz w:val="16"/>
              </w:rPr>
            </w:pPr>
            <w:r>
              <w:rPr>
                <w:spacing w:val="-2"/>
                <w:sz w:val="16"/>
              </w:rPr>
              <w:t>5,919.8</w:t>
            </w:r>
          </w:p>
        </w:tc>
        <w:tc>
          <w:tcPr>
            <w:tcW w:w="1124" w:type="dxa"/>
          </w:tcPr>
          <w:p>
            <w:pPr>
              <w:pStyle w:val="TableParagraph"/>
              <w:spacing w:before="13"/>
              <w:ind w:left="147" w:right="101"/>
              <w:jc w:val="center"/>
              <w:rPr>
                <w:sz w:val="16"/>
              </w:rPr>
            </w:pPr>
            <w:r>
              <w:rPr>
                <w:spacing w:val="-2"/>
                <w:sz w:val="16"/>
              </w:rPr>
              <w:t>53,714</w:t>
            </w:r>
          </w:p>
        </w:tc>
        <w:tc>
          <w:tcPr>
            <w:tcW w:w="912" w:type="dxa"/>
          </w:tcPr>
          <w:p>
            <w:pPr>
              <w:pStyle w:val="TableParagraph"/>
              <w:spacing w:before="13"/>
              <w:ind w:left="384"/>
              <w:rPr>
                <w:sz w:val="16"/>
              </w:rPr>
            </w:pPr>
            <w:r>
              <w:rPr>
                <w:spacing w:val="-4"/>
                <w:sz w:val="16"/>
              </w:rPr>
              <w:t>1.93</w:t>
            </w:r>
          </w:p>
        </w:tc>
      </w:tr>
      <w:tr>
        <w:trPr>
          <w:trHeight w:val="201" w:hRule="atLeast"/>
        </w:trPr>
        <w:tc>
          <w:tcPr>
            <w:tcW w:w="2089" w:type="dxa"/>
          </w:tcPr>
          <w:p>
            <w:pPr>
              <w:pStyle w:val="TableParagraph"/>
              <w:spacing w:line="156" w:lineRule="exact" w:before="18"/>
              <w:ind w:left="52"/>
              <w:rPr>
                <w:sz w:val="16"/>
              </w:rPr>
            </w:pPr>
            <w:r>
              <w:rPr>
                <w:sz w:val="16"/>
              </w:rPr>
              <w:t>Sri </w:t>
            </w:r>
            <w:r>
              <w:rPr>
                <w:spacing w:val="-2"/>
                <w:sz w:val="16"/>
              </w:rPr>
              <w:t>Lanka</w:t>
            </w:r>
          </w:p>
        </w:tc>
        <w:tc>
          <w:tcPr>
            <w:tcW w:w="1371" w:type="dxa"/>
          </w:tcPr>
          <w:p>
            <w:pPr>
              <w:pStyle w:val="TableParagraph"/>
              <w:spacing w:line="156" w:lineRule="exact" w:before="18"/>
              <w:ind w:right="300"/>
              <w:jc w:val="right"/>
              <w:rPr>
                <w:sz w:val="16"/>
              </w:rPr>
            </w:pPr>
            <w:r>
              <w:rPr>
                <w:spacing w:val="-2"/>
                <w:sz w:val="16"/>
              </w:rPr>
              <w:t>5,999</w:t>
            </w:r>
          </w:p>
        </w:tc>
        <w:tc>
          <w:tcPr>
            <w:tcW w:w="1043" w:type="dxa"/>
          </w:tcPr>
          <w:p>
            <w:pPr>
              <w:pStyle w:val="TableParagraph"/>
              <w:spacing w:line="156" w:lineRule="exact" w:before="18"/>
              <w:ind w:left="391"/>
              <w:rPr>
                <w:sz w:val="16"/>
              </w:rPr>
            </w:pPr>
            <w:r>
              <w:rPr>
                <w:spacing w:val="-4"/>
                <w:sz w:val="16"/>
              </w:rPr>
              <w:t>0.23</w:t>
            </w:r>
          </w:p>
        </w:tc>
        <w:tc>
          <w:tcPr>
            <w:tcW w:w="724" w:type="dxa"/>
          </w:tcPr>
          <w:p>
            <w:pPr>
              <w:pStyle w:val="TableParagraph"/>
              <w:spacing w:line="156" w:lineRule="exact" w:before="18"/>
              <w:ind w:right="87"/>
              <w:jc w:val="right"/>
              <w:rPr>
                <w:sz w:val="16"/>
              </w:rPr>
            </w:pPr>
            <w:r>
              <w:rPr>
                <w:spacing w:val="-2"/>
                <w:sz w:val="16"/>
              </w:rPr>
              <w:t>723.7</w:t>
            </w:r>
          </w:p>
        </w:tc>
        <w:tc>
          <w:tcPr>
            <w:tcW w:w="915" w:type="dxa"/>
          </w:tcPr>
          <w:p>
            <w:pPr>
              <w:pStyle w:val="TableParagraph"/>
              <w:spacing w:line="156" w:lineRule="exact" w:before="18"/>
              <w:ind w:right="87"/>
              <w:jc w:val="right"/>
              <w:rPr>
                <w:sz w:val="16"/>
              </w:rPr>
            </w:pPr>
            <w:r>
              <w:rPr>
                <w:spacing w:val="-2"/>
                <w:sz w:val="16"/>
              </w:rPr>
              <w:t>46.70</w:t>
            </w:r>
          </w:p>
        </w:tc>
        <w:tc>
          <w:tcPr>
            <w:tcW w:w="1361" w:type="dxa"/>
          </w:tcPr>
          <w:p>
            <w:pPr>
              <w:pStyle w:val="TableParagraph"/>
              <w:spacing w:line="156" w:lineRule="exact" w:before="18"/>
              <w:ind w:right="249"/>
              <w:jc w:val="right"/>
              <w:rPr>
                <w:sz w:val="16"/>
              </w:rPr>
            </w:pPr>
            <w:r>
              <w:rPr>
                <w:spacing w:val="-2"/>
                <w:sz w:val="16"/>
              </w:rPr>
              <w:t>677.0</w:t>
            </w:r>
          </w:p>
        </w:tc>
        <w:tc>
          <w:tcPr>
            <w:tcW w:w="1124" w:type="dxa"/>
          </w:tcPr>
          <w:p>
            <w:pPr>
              <w:pStyle w:val="TableParagraph"/>
              <w:spacing w:line="156" w:lineRule="exact" w:before="18"/>
              <w:ind w:left="175" w:right="40"/>
              <w:jc w:val="center"/>
              <w:rPr>
                <w:sz w:val="16"/>
              </w:rPr>
            </w:pPr>
            <w:r>
              <w:rPr>
                <w:spacing w:val="-2"/>
                <w:sz w:val="16"/>
              </w:rPr>
              <w:t>6,818</w:t>
            </w:r>
          </w:p>
        </w:tc>
        <w:tc>
          <w:tcPr>
            <w:tcW w:w="912" w:type="dxa"/>
          </w:tcPr>
          <w:p>
            <w:pPr>
              <w:pStyle w:val="TableParagraph"/>
              <w:spacing w:line="156" w:lineRule="exact" w:before="18"/>
              <w:ind w:left="384"/>
              <w:rPr>
                <w:sz w:val="16"/>
              </w:rPr>
            </w:pPr>
            <w:r>
              <w:rPr>
                <w:spacing w:val="-4"/>
                <w:sz w:val="16"/>
              </w:rPr>
              <w:t>0.24</w:t>
            </w:r>
          </w:p>
        </w:tc>
      </w:tr>
      <w:tr>
        <w:trPr>
          <w:trHeight w:val="203" w:hRule="atLeast"/>
        </w:trPr>
        <w:tc>
          <w:tcPr>
            <w:tcW w:w="2089" w:type="dxa"/>
            <w:shd w:val="clear" w:color="auto" w:fill="D8D8D8"/>
          </w:tcPr>
          <w:p>
            <w:pPr>
              <w:pStyle w:val="TableParagraph"/>
              <w:spacing w:line="172" w:lineRule="exact" w:before="19"/>
              <w:ind w:left="52"/>
              <w:rPr>
                <w:sz w:val="16"/>
              </w:rPr>
            </w:pPr>
            <w:r>
              <w:rPr>
                <w:spacing w:val="-2"/>
                <w:sz w:val="16"/>
              </w:rPr>
              <w:t>Sudan</w:t>
            </w:r>
          </w:p>
        </w:tc>
        <w:tc>
          <w:tcPr>
            <w:tcW w:w="1371" w:type="dxa"/>
            <w:shd w:val="clear" w:color="auto" w:fill="D8D8D8"/>
          </w:tcPr>
          <w:p>
            <w:pPr>
              <w:pStyle w:val="TableParagraph"/>
              <w:spacing w:line="172" w:lineRule="exact" w:before="19"/>
              <w:ind w:right="300"/>
              <w:jc w:val="right"/>
              <w:rPr>
                <w:sz w:val="16"/>
              </w:rPr>
            </w:pPr>
            <w:r>
              <w:rPr>
                <w:spacing w:val="-2"/>
                <w:sz w:val="16"/>
              </w:rPr>
              <w:t>1,989</w:t>
            </w:r>
          </w:p>
        </w:tc>
        <w:tc>
          <w:tcPr>
            <w:tcW w:w="1043" w:type="dxa"/>
            <w:shd w:val="clear" w:color="auto" w:fill="D8D8D8"/>
          </w:tcPr>
          <w:p>
            <w:pPr>
              <w:pStyle w:val="TableParagraph"/>
              <w:spacing w:line="172" w:lineRule="exact" w:before="19"/>
              <w:ind w:left="391"/>
              <w:rPr>
                <w:sz w:val="16"/>
              </w:rPr>
            </w:pPr>
            <w:r>
              <w:rPr>
                <w:spacing w:val="-4"/>
                <w:sz w:val="16"/>
              </w:rPr>
              <w:t>0.08</w:t>
            </w:r>
          </w:p>
        </w:tc>
        <w:tc>
          <w:tcPr>
            <w:tcW w:w="724" w:type="dxa"/>
            <w:shd w:val="clear" w:color="auto" w:fill="D8D8D8"/>
          </w:tcPr>
          <w:p>
            <w:pPr>
              <w:pStyle w:val="TableParagraph"/>
              <w:spacing w:line="172" w:lineRule="exact" w:before="19"/>
              <w:ind w:right="87"/>
              <w:jc w:val="right"/>
              <w:rPr>
                <w:sz w:val="16"/>
              </w:rPr>
            </w:pPr>
            <w:r>
              <w:rPr>
                <w:spacing w:val="-2"/>
                <w:sz w:val="16"/>
              </w:rPr>
              <w:t>239.9</w:t>
            </w:r>
          </w:p>
        </w:tc>
        <w:tc>
          <w:tcPr>
            <w:tcW w:w="915" w:type="dxa"/>
            <w:shd w:val="clear" w:color="auto" w:fill="D8D8D8"/>
          </w:tcPr>
          <w:p>
            <w:pPr>
              <w:pStyle w:val="TableParagraph"/>
              <w:spacing w:line="172" w:lineRule="exact" w:before="19"/>
              <w:ind w:right="87"/>
              <w:jc w:val="right"/>
              <w:rPr>
                <w:sz w:val="16"/>
              </w:rPr>
            </w:pPr>
            <w:r>
              <w:rPr>
                <w:spacing w:val="-2"/>
                <w:sz w:val="16"/>
              </w:rPr>
              <w:t>15.50</w:t>
            </w:r>
          </w:p>
        </w:tc>
        <w:tc>
          <w:tcPr>
            <w:tcW w:w="1361" w:type="dxa"/>
            <w:shd w:val="clear" w:color="auto" w:fill="D8D8D8"/>
          </w:tcPr>
          <w:p>
            <w:pPr>
              <w:pStyle w:val="TableParagraph"/>
              <w:spacing w:line="172" w:lineRule="exact" w:before="19"/>
              <w:ind w:right="249"/>
              <w:jc w:val="right"/>
              <w:rPr>
                <w:sz w:val="16"/>
              </w:rPr>
            </w:pPr>
            <w:r>
              <w:rPr>
                <w:spacing w:val="-2"/>
                <w:sz w:val="16"/>
              </w:rPr>
              <w:t>224.5</w:t>
            </w:r>
          </w:p>
        </w:tc>
        <w:tc>
          <w:tcPr>
            <w:tcW w:w="1124" w:type="dxa"/>
            <w:shd w:val="clear" w:color="auto" w:fill="D8D8D8"/>
          </w:tcPr>
          <w:p>
            <w:pPr>
              <w:pStyle w:val="TableParagraph"/>
              <w:spacing w:line="172" w:lineRule="exact" w:before="19"/>
              <w:ind w:left="175" w:right="40"/>
              <w:jc w:val="center"/>
              <w:rPr>
                <w:sz w:val="16"/>
              </w:rPr>
            </w:pPr>
            <w:r>
              <w:rPr>
                <w:spacing w:val="-2"/>
                <w:sz w:val="16"/>
              </w:rPr>
              <w:t>2,808</w:t>
            </w:r>
          </w:p>
        </w:tc>
        <w:tc>
          <w:tcPr>
            <w:tcW w:w="912" w:type="dxa"/>
            <w:shd w:val="clear" w:color="auto" w:fill="D8D8D8"/>
          </w:tcPr>
          <w:p>
            <w:pPr>
              <w:pStyle w:val="TableParagraph"/>
              <w:spacing w:line="172" w:lineRule="exact" w:before="19"/>
              <w:ind w:left="384"/>
              <w:rPr>
                <w:sz w:val="16"/>
              </w:rPr>
            </w:pPr>
            <w:r>
              <w:rPr>
                <w:spacing w:val="-4"/>
                <w:sz w:val="16"/>
              </w:rPr>
              <w:t>0.10</w:t>
            </w:r>
          </w:p>
        </w:tc>
      </w:tr>
      <w:tr>
        <w:trPr>
          <w:trHeight w:val="184" w:hRule="atLeast"/>
        </w:trPr>
        <w:tc>
          <w:tcPr>
            <w:tcW w:w="2089" w:type="dxa"/>
            <w:shd w:val="clear" w:color="auto" w:fill="D8D8D8"/>
          </w:tcPr>
          <w:p>
            <w:pPr>
              <w:pStyle w:val="TableParagraph"/>
              <w:spacing w:line="161" w:lineRule="exact" w:before="3"/>
              <w:ind w:left="52"/>
              <w:rPr>
                <w:sz w:val="16"/>
              </w:rPr>
            </w:pPr>
            <w:r>
              <w:rPr>
                <w:spacing w:val="-2"/>
                <w:sz w:val="16"/>
              </w:rPr>
              <w:t>Suriname</w:t>
            </w:r>
          </w:p>
        </w:tc>
        <w:tc>
          <w:tcPr>
            <w:tcW w:w="1371" w:type="dxa"/>
            <w:shd w:val="clear" w:color="auto" w:fill="D8D8D8"/>
          </w:tcPr>
          <w:p>
            <w:pPr>
              <w:pStyle w:val="TableParagraph"/>
              <w:spacing w:line="161" w:lineRule="exact" w:before="3"/>
              <w:ind w:right="300"/>
              <w:jc w:val="right"/>
              <w:rPr>
                <w:sz w:val="16"/>
              </w:rPr>
            </w:pPr>
            <w:r>
              <w:rPr>
                <w:spacing w:val="-5"/>
                <w:sz w:val="16"/>
              </w:rPr>
              <w:t>412</w:t>
            </w:r>
          </w:p>
        </w:tc>
        <w:tc>
          <w:tcPr>
            <w:tcW w:w="1043" w:type="dxa"/>
            <w:shd w:val="clear" w:color="auto" w:fill="D8D8D8"/>
          </w:tcPr>
          <w:p>
            <w:pPr>
              <w:pStyle w:val="TableParagraph"/>
              <w:spacing w:line="161" w:lineRule="exact" w:before="3"/>
              <w:ind w:left="391"/>
              <w:rPr>
                <w:sz w:val="16"/>
              </w:rPr>
            </w:pPr>
            <w:r>
              <w:rPr>
                <w:spacing w:val="-4"/>
                <w:sz w:val="16"/>
              </w:rPr>
              <w:t>0.02</w:t>
            </w:r>
          </w:p>
        </w:tc>
        <w:tc>
          <w:tcPr>
            <w:tcW w:w="724" w:type="dxa"/>
            <w:shd w:val="clear" w:color="auto" w:fill="D8D8D8"/>
          </w:tcPr>
          <w:p>
            <w:pPr>
              <w:pStyle w:val="TableParagraph"/>
              <w:spacing w:line="161" w:lineRule="exact" w:before="3"/>
              <w:ind w:right="87"/>
              <w:jc w:val="right"/>
              <w:rPr>
                <w:sz w:val="16"/>
              </w:rPr>
            </w:pPr>
            <w:r>
              <w:rPr>
                <w:spacing w:val="-4"/>
                <w:sz w:val="16"/>
              </w:rPr>
              <w:t>49.7</w:t>
            </w:r>
          </w:p>
        </w:tc>
        <w:tc>
          <w:tcPr>
            <w:tcW w:w="915" w:type="dxa"/>
            <w:shd w:val="clear" w:color="auto" w:fill="D8D8D8"/>
          </w:tcPr>
          <w:p>
            <w:pPr>
              <w:pStyle w:val="TableParagraph"/>
              <w:spacing w:line="161" w:lineRule="exact" w:before="3"/>
              <w:ind w:right="87"/>
              <w:jc w:val="right"/>
              <w:rPr>
                <w:sz w:val="16"/>
              </w:rPr>
            </w:pPr>
            <w:r>
              <w:rPr>
                <w:spacing w:val="-4"/>
                <w:sz w:val="16"/>
              </w:rPr>
              <w:t>2.00</w:t>
            </w:r>
          </w:p>
        </w:tc>
        <w:tc>
          <w:tcPr>
            <w:tcW w:w="1361" w:type="dxa"/>
            <w:shd w:val="clear" w:color="auto" w:fill="D8D8D8"/>
          </w:tcPr>
          <w:p>
            <w:pPr>
              <w:pStyle w:val="TableParagraph"/>
              <w:spacing w:line="161" w:lineRule="exact" w:before="3"/>
              <w:ind w:right="249"/>
              <w:jc w:val="right"/>
              <w:rPr>
                <w:sz w:val="16"/>
              </w:rPr>
            </w:pPr>
            <w:r>
              <w:rPr>
                <w:spacing w:val="-4"/>
                <w:sz w:val="16"/>
              </w:rPr>
              <w:t>47.7</w:t>
            </w:r>
          </w:p>
        </w:tc>
        <w:tc>
          <w:tcPr>
            <w:tcW w:w="1124" w:type="dxa"/>
            <w:shd w:val="clear" w:color="auto" w:fill="D8D8D8"/>
          </w:tcPr>
          <w:p>
            <w:pPr>
              <w:pStyle w:val="TableParagraph"/>
              <w:spacing w:line="161" w:lineRule="exact" w:before="3"/>
              <w:ind w:left="175" w:right="40"/>
              <w:jc w:val="center"/>
              <w:rPr>
                <w:sz w:val="16"/>
              </w:rPr>
            </w:pPr>
            <w:r>
              <w:rPr>
                <w:spacing w:val="-2"/>
                <w:sz w:val="16"/>
              </w:rPr>
              <w:t>1,231</w:t>
            </w:r>
          </w:p>
        </w:tc>
        <w:tc>
          <w:tcPr>
            <w:tcW w:w="912" w:type="dxa"/>
            <w:shd w:val="clear" w:color="auto" w:fill="D8D8D8"/>
          </w:tcPr>
          <w:p>
            <w:pPr>
              <w:pStyle w:val="TableParagraph"/>
              <w:spacing w:line="161" w:lineRule="exact" w:before="3"/>
              <w:ind w:left="384"/>
              <w:rPr>
                <w:sz w:val="16"/>
              </w:rPr>
            </w:pPr>
            <w:r>
              <w:rPr>
                <w:spacing w:val="-4"/>
                <w:sz w:val="16"/>
              </w:rPr>
              <w:t>0.04</w:t>
            </w:r>
          </w:p>
        </w:tc>
      </w:tr>
      <w:tr>
        <w:trPr>
          <w:trHeight w:val="210" w:hRule="atLeast"/>
        </w:trPr>
        <w:tc>
          <w:tcPr>
            <w:tcW w:w="2089" w:type="dxa"/>
            <w:shd w:val="clear" w:color="auto" w:fill="DADADA"/>
          </w:tcPr>
          <w:p>
            <w:pPr>
              <w:pStyle w:val="TableParagraph"/>
              <w:spacing w:line="176" w:lineRule="exact" w:before="13"/>
              <w:ind w:left="52"/>
              <w:rPr>
                <w:sz w:val="16"/>
              </w:rPr>
            </w:pPr>
            <w:r>
              <w:rPr>
                <w:sz w:val="16"/>
              </w:rPr>
              <w:t>Sweden</w:t>
            </w:r>
            <w:r>
              <w:rPr>
                <w:spacing w:val="-5"/>
                <w:sz w:val="16"/>
              </w:rPr>
              <w:t> </w:t>
            </w:r>
            <w:r>
              <w:rPr>
                <w:spacing w:val="-10"/>
                <w:sz w:val="16"/>
                <w:vertAlign w:val="superscript"/>
              </w:rPr>
              <w:t>c</w:t>
            </w:r>
          </w:p>
        </w:tc>
        <w:tc>
          <w:tcPr>
            <w:tcW w:w="1371" w:type="dxa"/>
            <w:shd w:val="clear" w:color="auto" w:fill="DADADA"/>
          </w:tcPr>
          <w:p>
            <w:pPr>
              <w:pStyle w:val="TableParagraph"/>
              <w:spacing w:line="176" w:lineRule="exact" w:before="13"/>
              <w:ind w:right="300"/>
              <w:jc w:val="right"/>
              <w:rPr>
                <w:sz w:val="16"/>
              </w:rPr>
            </w:pPr>
            <w:r>
              <w:rPr>
                <w:spacing w:val="-2"/>
                <w:sz w:val="16"/>
              </w:rPr>
              <w:t>24,089</w:t>
            </w:r>
          </w:p>
        </w:tc>
        <w:tc>
          <w:tcPr>
            <w:tcW w:w="1043" w:type="dxa"/>
            <w:shd w:val="clear" w:color="auto" w:fill="DADADA"/>
          </w:tcPr>
          <w:p>
            <w:pPr>
              <w:pStyle w:val="TableParagraph"/>
              <w:spacing w:line="176" w:lineRule="exact" w:before="13"/>
              <w:ind w:left="391"/>
              <w:rPr>
                <w:sz w:val="16"/>
              </w:rPr>
            </w:pPr>
            <w:r>
              <w:rPr>
                <w:spacing w:val="-4"/>
                <w:sz w:val="16"/>
              </w:rPr>
              <w:t>0.91</w:t>
            </w:r>
          </w:p>
        </w:tc>
        <w:tc>
          <w:tcPr>
            <w:tcW w:w="724" w:type="dxa"/>
            <w:shd w:val="clear" w:color="auto" w:fill="DADADA"/>
          </w:tcPr>
          <w:p>
            <w:pPr>
              <w:pStyle w:val="TableParagraph"/>
              <w:spacing w:line="176" w:lineRule="exact" w:before="13"/>
              <w:ind w:right="87"/>
              <w:jc w:val="right"/>
              <w:rPr>
                <w:sz w:val="16"/>
              </w:rPr>
            </w:pPr>
            <w:r>
              <w:rPr>
                <w:spacing w:val="-2"/>
                <w:sz w:val="16"/>
              </w:rPr>
              <w:t>2,906.0</w:t>
            </w:r>
          </w:p>
        </w:tc>
        <w:tc>
          <w:tcPr>
            <w:tcW w:w="915" w:type="dxa"/>
            <w:shd w:val="clear" w:color="auto" w:fill="DADADA"/>
          </w:tcPr>
          <w:p>
            <w:pPr>
              <w:pStyle w:val="TableParagraph"/>
              <w:spacing w:line="176" w:lineRule="exact" w:before="13"/>
              <w:ind w:right="87"/>
              <w:jc w:val="right"/>
              <w:rPr>
                <w:sz w:val="16"/>
              </w:rPr>
            </w:pPr>
            <w:r>
              <w:rPr>
                <w:spacing w:val="-2"/>
                <w:sz w:val="16"/>
              </w:rPr>
              <w:t>204.40</w:t>
            </w:r>
          </w:p>
        </w:tc>
        <w:tc>
          <w:tcPr>
            <w:tcW w:w="1361" w:type="dxa"/>
            <w:shd w:val="clear" w:color="auto" w:fill="DADADA"/>
          </w:tcPr>
          <w:p>
            <w:pPr>
              <w:pStyle w:val="TableParagraph"/>
              <w:spacing w:line="176" w:lineRule="exact" w:before="13"/>
              <w:ind w:right="248"/>
              <w:jc w:val="right"/>
              <w:rPr>
                <w:sz w:val="16"/>
              </w:rPr>
            </w:pPr>
            <w:r>
              <w:rPr>
                <w:spacing w:val="-2"/>
                <w:sz w:val="16"/>
              </w:rPr>
              <w:t>2,701.6</w:t>
            </w:r>
          </w:p>
        </w:tc>
        <w:tc>
          <w:tcPr>
            <w:tcW w:w="1124" w:type="dxa"/>
            <w:shd w:val="clear" w:color="auto" w:fill="DADADA"/>
          </w:tcPr>
          <w:p>
            <w:pPr>
              <w:pStyle w:val="TableParagraph"/>
              <w:spacing w:line="176" w:lineRule="exact" w:before="13"/>
              <w:ind w:left="147" w:right="101"/>
              <w:jc w:val="center"/>
              <w:rPr>
                <w:sz w:val="16"/>
              </w:rPr>
            </w:pPr>
            <w:r>
              <w:rPr>
                <w:spacing w:val="-2"/>
                <w:sz w:val="16"/>
              </w:rPr>
              <w:t>24,908</w:t>
            </w:r>
          </w:p>
        </w:tc>
        <w:tc>
          <w:tcPr>
            <w:tcW w:w="912" w:type="dxa"/>
            <w:shd w:val="clear" w:color="auto" w:fill="DADADA"/>
          </w:tcPr>
          <w:p>
            <w:pPr>
              <w:pStyle w:val="TableParagraph"/>
              <w:spacing w:line="176" w:lineRule="exact" w:before="13"/>
              <w:ind w:left="384"/>
              <w:rPr>
                <w:sz w:val="16"/>
              </w:rPr>
            </w:pPr>
            <w:r>
              <w:rPr>
                <w:spacing w:val="-4"/>
                <w:sz w:val="16"/>
              </w:rPr>
              <w:t>0.89</w:t>
            </w:r>
          </w:p>
        </w:tc>
      </w:tr>
      <w:tr>
        <w:trPr>
          <w:trHeight w:val="235" w:hRule="atLeast"/>
        </w:trPr>
        <w:tc>
          <w:tcPr>
            <w:tcW w:w="2089" w:type="dxa"/>
            <w:shd w:val="clear" w:color="auto" w:fill="DADADA"/>
          </w:tcPr>
          <w:p>
            <w:pPr>
              <w:pStyle w:val="TableParagraph"/>
              <w:spacing w:before="28"/>
              <w:ind w:left="52"/>
              <w:rPr>
                <w:sz w:val="16"/>
              </w:rPr>
            </w:pPr>
            <w:r>
              <w:rPr>
                <w:sz w:val="16"/>
              </w:rPr>
              <w:t>Switzerland</w:t>
            </w:r>
            <w:r>
              <w:rPr>
                <w:spacing w:val="-7"/>
                <w:sz w:val="16"/>
              </w:rPr>
              <w:t> </w:t>
            </w:r>
            <w:r>
              <w:rPr>
                <w:spacing w:val="-10"/>
                <w:sz w:val="16"/>
                <w:vertAlign w:val="superscript"/>
              </w:rPr>
              <w:t>c</w:t>
            </w:r>
          </w:p>
        </w:tc>
        <w:tc>
          <w:tcPr>
            <w:tcW w:w="1371" w:type="dxa"/>
            <w:shd w:val="clear" w:color="auto" w:fill="DADADA"/>
          </w:tcPr>
          <w:p>
            <w:pPr>
              <w:pStyle w:val="TableParagraph"/>
              <w:spacing w:before="28"/>
              <w:ind w:right="300"/>
              <w:jc w:val="right"/>
              <w:rPr>
                <w:sz w:val="16"/>
              </w:rPr>
            </w:pPr>
            <w:r>
              <w:rPr>
                <w:spacing w:val="-2"/>
                <w:sz w:val="16"/>
              </w:rPr>
              <w:t>40,889</w:t>
            </w:r>
          </w:p>
        </w:tc>
        <w:tc>
          <w:tcPr>
            <w:tcW w:w="1043" w:type="dxa"/>
            <w:shd w:val="clear" w:color="auto" w:fill="DADADA"/>
          </w:tcPr>
          <w:p>
            <w:pPr>
              <w:pStyle w:val="TableParagraph"/>
              <w:spacing w:before="28"/>
              <w:ind w:left="391"/>
              <w:rPr>
                <w:sz w:val="16"/>
              </w:rPr>
            </w:pPr>
            <w:r>
              <w:rPr>
                <w:spacing w:val="-4"/>
                <w:sz w:val="16"/>
              </w:rPr>
              <w:t>1.55</w:t>
            </w:r>
          </w:p>
        </w:tc>
        <w:tc>
          <w:tcPr>
            <w:tcW w:w="724" w:type="dxa"/>
            <w:shd w:val="clear" w:color="auto" w:fill="DADADA"/>
          </w:tcPr>
          <w:p>
            <w:pPr>
              <w:pStyle w:val="TableParagraph"/>
              <w:spacing w:before="28"/>
              <w:ind w:right="87"/>
              <w:jc w:val="right"/>
              <w:rPr>
                <w:sz w:val="16"/>
              </w:rPr>
            </w:pPr>
            <w:r>
              <w:rPr>
                <w:spacing w:val="-2"/>
                <w:sz w:val="16"/>
              </w:rPr>
              <w:t>4,932.6</w:t>
            </w:r>
          </w:p>
        </w:tc>
        <w:tc>
          <w:tcPr>
            <w:tcW w:w="915" w:type="dxa"/>
            <w:shd w:val="clear" w:color="auto" w:fill="DADADA"/>
          </w:tcPr>
          <w:p>
            <w:pPr>
              <w:pStyle w:val="TableParagraph"/>
              <w:spacing w:before="28"/>
              <w:ind w:right="87"/>
              <w:jc w:val="right"/>
              <w:rPr>
                <w:sz w:val="16"/>
              </w:rPr>
            </w:pPr>
            <w:r>
              <w:rPr>
                <w:spacing w:val="-2"/>
                <w:sz w:val="16"/>
              </w:rPr>
              <w:t>357.90</w:t>
            </w:r>
          </w:p>
        </w:tc>
        <w:tc>
          <w:tcPr>
            <w:tcW w:w="1361" w:type="dxa"/>
            <w:shd w:val="clear" w:color="auto" w:fill="DADADA"/>
          </w:tcPr>
          <w:p>
            <w:pPr>
              <w:pStyle w:val="TableParagraph"/>
              <w:spacing w:before="28"/>
              <w:ind w:right="248"/>
              <w:jc w:val="right"/>
              <w:rPr>
                <w:sz w:val="16"/>
              </w:rPr>
            </w:pPr>
            <w:r>
              <w:rPr>
                <w:spacing w:val="-2"/>
                <w:sz w:val="16"/>
              </w:rPr>
              <w:t>4,574.7</w:t>
            </w:r>
          </w:p>
        </w:tc>
        <w:tc>
          <w:tcPr>
            <w:tcW w:w="1124" w:type="dxa"/>
            <w:shd w:val="clear" w:color="auto" w:fill="DADADA"/>
          </w:tcPr>
          <w:p>
            <w:pPr>
              <w:pStyle w:val="TableParagraph"/>
              <w:spacing w:before="28"/>
              <w:ind w:left="147" w:right="101"/>
              <w:jc w:val="center"/>
              <w:rPr>
                <w:sz w:val="16"/>
              </w:rPr>
            </w:pPr>
            <w:r>
              <w:rPr>
                <w:spacing w:val="-2"/>
                <w:sz w:val="16"/>
              </w:rPr>
              <w:t>41,708</w:t>
            </w:r>
          </w:p>
        </w:tc>
        <w:tc>
          <w:tcPr>
            <w:tcW w:w="912" w:type="dxa"/>
            <w:shd w:val="clear" w:color="auto" w:fill="DADADA"/>
          </w:tcPr>
          <w:p>
            <w:pPr>
              <w:pStyle w:val="TableParagraph"/>
              <w:spacing w:before="28"/>
              <w:ind w:left="384"/>
              <w:rPr>
                <w:sz w:val="16"/>
              </w:rPr>
            </w:pPr>
            <w:r>
              <w:rPr>
                <w:spacing w:val="-4"/>
                <w:sz w:val="16"/>
              </w:rPr>
              <w:t>1.50</w:t>
            </w:r>
          </w:p>
        </w:tc>
      </w:tr>
      <w:tr>
        <w:trPr>
          <w:trHeight w:val="238" w:hRule="atLeast"/>
        </w:trPr>
        <w:tc>
          <w:tcPr>
            <w:tcW w:w="2089" w:type="dxa"/>
            <w:shd w:val="clear" w:color="auto" w:fill="D8D8D8"/>
          </w:tcPr>
          <w:p>
            <w:pPr>
              <w:pStyle w:val="TableParagraph"/>
              <w:spacing w:before="18"/>
              <w:ind w:left="52"/>
              <w:rPr>
                <w:sz w:val="16"/>
              </w:rPr>
            </w:pPr>
            <w:r>
              <w:rPr>
                <w:sz w:val="16"/>
              </w:rPr>
              <w:t>Syrian</w:t>
            </w:r>
            <w:r>
              <w:rPr>
                <w:spacing w:val="-11"/>
                <w:sz w:val="16"/>
              </w:rPr>
              <w:t> </w:t>
            </w:r>
            <w:r>
              <w:rPr>
                <w:sz w:val="16"/>
              </w:rPr>
              <w:t>Arab</w:t>
            </w:r>
            <w:r>
              <w:rPr>
                <w:spacing w:val="-2"/>
                <w:sz w:val="16"/>
              </w:rPr>
              <w:t> Republic</w:t>
            </w:r>
          </w:p>
        </w:tc>
        <w:tc>
          <w:tcPr>
            <w:tcW w:w="1371" w:type="dxa"/>
            <w:shd w:val="clear" w:color="auto" w:fill="D8D8D8"/>
          </w:tcPr>
          <w:p>
            <w:pPr>
              <w:pStyle w:val="TableParagraph"/>
              <w:spacing w:before="18"/>
              <w:ind w:right="300"/>
              <w:jc w:val="right"/>
              <w:rPr>
                <w:sz w:val="16"/>
              </w:rPr>
            </w:pPr>
            <w:r>
              <w:rPr>
                <w:spacing w:val="-2"/>
                <w:sz w:val="16"/>
              </w:rPr>
              <w:t>2,452</w:t>
            </w:r>
          </w:p>
        </w:tc>
        <w:tc>
          <w:tcPr>
            <w:tcW w:w="1043" w:type="dxa"/>
            <w:shd w:val="clear" w:color="auto" w:fill="D8D8D8"/>
          </w:tcPr>
          <w:p>
            <w:pPr>
              <w:pStyle w:val="TableParagraph"/>
              <w:spacing w:before="18"/>
              <w:ind w:left="391"/>
              <w:rPr>
                <w:sz w:val="16"/>
              </w:rPr>
            </w:pPr>
            <w:r>
              <w:rPr>
                <w:spacing w:val="-4"/>
                <w:sz w:val="16"/>
              </w:rPr>
              <w:t>0.09</w:t>
            </w:r>
          </w:p>
        </w:tc>
        <w:tc>
          <w:tcPr>
            <w:tcW w:w="724" w:type="dxa"/>
            <w:shd w:val="clear" w:color="auto" w:fill="D8D8D8"/>
          </w:tcPr>
          <w:p>
            <w:pPr>
              <w:pStyle w:val="TableParagraph"/>
              <w:spacing w:before="18"/>
              <w:ind w:right="87"/>
              <w:jc w:val="right"/>
              <w:rPr>
                <w:sz w:val="16"/>
              </w:rPr>
            </w:pPr>
            <w:r>
              <w:rPr>
                <w:spacing w:val="-2"/>
                <w:sz w:val="16"/>
              </w:rPr>
              <w:t>295.8</w:t>
            </w:r>
          </w:p>
        </w:tc>
        <w:tc>
          <w:tcPr>
            <w:tcW w:w="915" w:type="dxa"/>
            <w:shd w:val="clear" w:color="auto" w:fill="D8D8D8"/>
          </w:tcPr>
          <w:p>
            <w:pPr>
              <w:pStyle w:val="TableParagraph"/>
              <w:spacing w:before="18"/>
              <w:ind w:right="87"/>
              <w:jc w:val="right"/>
              <w:rPr>
                <w:sz w:val="16"/>
              </w:rPr>
            </w:pPr>
            <w:r>
              <w:rPr>
                <w:spacing w:val="-2"/>
                <w:sz w:val="16"/>
              </w:rPr>
              <w:t>14.00</w:t>
            </w:r>
          </w:p>
        </w:tc>
        <w:tc>
          <w:tcPr>
            <w:tcW w:w="1361" w:type="dxa"/>
            <w:shd w:val="clear" w:color="auto" w:fill="D8D8D8"/>
          </w:tcPr>
          <w:p>
            <w:pPr>
              <w:pStyle w:val="TableParagraph"/>
              <w:spacing w:before="18"/>
              <w:ind w:right="249"/>
              <w:jc w:val="right"/>
              <w:rPr>
                <w:sz w:val="16"/>
              </w:rPr>
            </w:pPr>
            <w:r>
              <w:rPr>
                <w:spacing w:val="-2"/>
                <w:sz w:val="16"/>
              </w:rPr>
              <w:t>281.8</w:t>
            </w:r>
          </w:p>
        </w:tc>
        <w:tc>
          <w:tcPr>
            <w:tcW w:w="1124" w:type="dxa"/>
            <w:shd w:val="clear" w:color="auto" w:fill="D8D8D8"/>
          </w:tcPr>
          <w:p>
            <w:pPr>
              <w:pStyle w:val="TableParagraph"/>
              <w:spacing w:before="18"/>
              <w:ind w:left="175" w:right="40"/>
              <w:jc w:val="center"/>
              <w:rPr>
                <w:sz w:val="16"/>
              </w:rPr>
            </w:pPr>
            <w:r>
              <w:rPr>
                <w:spacing w:val="-2"/>
                <w:sz w:val="16"/>
              </w:rPr>
              <w:t>3,271</w:t>
            </w:r>
          </w:p>
        </w:tc>
        <w:tc>
          <w:tcPr>
            <w:tcW w:w="912" w:type="dxa"/>
            <w:shd w:val="clear" w:color="auto" w:fill="D8D8D8"/>
          </w:tcPr>
          <w:p>
            <w:pPr>
              <w:pStyle w:val="TableParagraph"/>
              <w:spacing w:before="18"/>
              <w:ind w:left="384"/>
              <w:rPr>
                <w:sz w:val="16"/>
              </w:rPr>
            </w:pPr>
            <w:r>
              <w:rPr>
                <w:spacing w:val="-4"/>
                <w:sz w:val="16"/>
              </w:rPr>
              <w:t>0.12</w:t>
            </w:r>
          </w:p>
        </w:tc>
      </w:tr>
      <w:tr>
        <w:trPr>
          <w:trHeight w:val="233" w:hRule="atLeast"/>
        </w:trPr>
        <w:tc>
          <w:tcPr>
            <w:tcW w:w="2089" w:type="dxa"/>
          </w:tcPr>
          <w:p>
            <w:pPr>
              <w:pStyle w:val="TableParagraph"/>
              <w:spacing w:before="19"/>
              <w:ind w:left="52"/>
              <w:rPr>
                <w:sz w:val="16"/>
              </w:rPr>
            </w:pPr>
            <w:r>
              <w:rPr>
                <w:spacing w:val="-2"/>
                <w:sz w:val="16"/>
              </w:rPr>
              <w:t>Tajikistan</w:t>
            </w:r>
          </w:p>
        </w:tc>
        <w:tc>
          <w:tcPr>
            <w:tcW w:w="1371" w:type="dxa"/>
          </w:tcPr>
          <w:p>
            <w:pPr>
              <w:pStyle w:val="TableParagraph"/>
              <w:spacing w:before="19"/>
              <w:ind w:right="300"/>
              <w:jc w:val="right"/>
              <w:rPr>
                <w:sz w:val="16"/>
              </w:rPr>
            </w:pPr>
            <w:r>
              <w:rPr>
                <w:spacing w:val="-2"/>
                <w:sz w:val="16"/>
              </w:rPr>
              <w:t>1,204</w:t>
            </w:r>
          </w:p>
        </w:tc>
        <w:tc>
          <w:tcPr>
            <w:tcW w:w="1043" w:type="dxa"/>
          </w:tcPr>
          <w:p>
            <w:pPr>
              <w:pStyle w:val="TableParagraph"/>
              <w:spacing w:before="19"/>
              <w:ind w:left="391"/>
              <w:rPr>
                <w:sz w:val="16"/>
              </w:rPr>
            </w:pPr>
            <w:r>
              <w:rPr>
                <w:spacing w:val="-4"/>
                <w:sz w:val="16"/>
              </w:rPr>
              <w:t>0.05</w:t>
            </w:r>
          </w:p>
        </w:tc>
        <w:tc>
          <w:tcPr>
            <w:tcW w:w="724" w:type="dxa"/>
          </w:tcPr>
          <w:p>
            <w:pPr>
              <w:pStyle w:val="TableParagraph"/>
              <w:spacing w:before="19"/>
              <w:ind w:right="87"/>
              <w:jc w:val="right"/>
              <w:rPr>
                <w:sz w:val="16"/>
              </w:rPr>
            </w:pPr>
            <w:r>
              <w:rPr>
                <w:spacing w:val="-2"/>
                <w:sz w:val="16"/>
              </w:rPr>
              <w:t>145.2</w:t>
            </w:r>
          </w:p>
        </w:tc>
        <w:tc>
          <w:tcPr>
            <w:tcW w:w="915" w:type="dxa"/>
          </w:tcPr>
          <w:p>
            <w:pPr>
              <w:pStyle w:val="TableParagraph"/>
              <w:spacing w:before="19"/>
              <w:ind w:right="87"/>
              <w:jc w:val="right"/>
              <w:rPr>
                <w:sz w:val="16"/>
              </w:rPr>
            </w:pPr>
            <w:r>
              <w:rPr>
                <w:spacing w:val="-4"/>
                <w:sz w:val="16"/>
              </w:rPr>
              <w:t>5.30</w:t>
            </w:r>
          </w:p>
        </w:tc>
        <w:tc>
          <w:tcPr>
            <w:tcW w:w="1361" w:type="dxa"/>
          </w:tcPr>
          <w:p>
            <w:pPr>
              <w:pStyle w:val="TableParagraph"/>
              <w:spacing w:before="19"/>
              <w:ind w:right="249"/>
              <w:jc w:val="right"/>
              <w:rPr>
                <w:sz w:val="16"/>
              </w:rPr>
            </w:pPr>
            <w:r>
              <w:rPr>
                <w:spacing w:val="-2"/>
                <w:sz w:val="16"/>
              </w:rPr>
              <w:t>139.9</w:t>
            </w:r>
          </w:p>
        </w:tc>
        <w:tc>
          <w:tcPr>
            <w:tcW w:w="1124" w:type="dxa"/>
          </w:tcPr>
          <w:p>
            <w:pPr>
              <w:pStyle w:val="TableParagraph"/>
              <w:spacing w:before="19"/>
              <w:ind w:left="175" w:right="40"/>
              <w:jc w:val="center"/>
              <w:rPr>
                <w:sz w:val="16"/>
              </w:rPr>
            </w:pPr>
            <w:r>
              <w:rPr>
                <w:spacing w:val="-2"/>
                <w:sz w:val="16"/>
              </w:rPr>
              <w:t>2,023</w:t>
            </w:r>
          </w:p>
        </w:tc>
        <w:tc>
          <w:tcPr>
            <w:tcW w:w="912" w:type="dxa"/>
          </w:tcPr>
          <w:p>
            <w:pPr>
              <w:pStyle w:val="TableParagraph"/>
              <w:spacing w:before="19"/>
              <w:ind w:left="384"/>
              <w:rPr>
                <w:sz w:val="16"/>
              </w:rPr>
            </w:pPr>
            <w:r>
              <w:rPr>
                <w:spacing w:val="-4"/>
                <w:sz w:val="16"/>
              </w:rPr>
              <w:t>0.07</w:t>
            </w:r>
          </w:p>
        </w:tc>
      </w:tr>
      <w:tr>
        <w:trPr>
          <w:trHeight w:val="217" w:hRule="atLeast"/>
        </w:trPr>
        <w:tc>
          <w:tcPr>
            <w:tcW w:w="2089" w:type="dxa"/>
          </w:tcPr>
          <w:p>
            <w:pPr>
              <w:pStyle w:val="TableParagraph"/>
              <w:spacing w:line="172" w:lineRule="exact" w:before="25"/>
              <w:ind w:left="52"/>
              <w:rPr>
                <w:sz w:val="16"/>
              </w:rPr>
            </w:pPr>
            <w:r>
              <w:rPr>
                <w:spacing w:val="-2"/>
                <w:sz w:val="16"/>
              </w:rPr>
              <w:t>Tanzania</w:t>
            </w:r>
          </w:p>
        </w:tc>
        <w:tc>
          <w:tcPr>
            <w:tcW w:w="1371" w:type="dxa"/>
          </w:tcPr>
          <w:p>
            <w:pPr>
              <w:pStyle w:val="TableParagraph"/>
              <w:spacing w:line="172" w:lineRule="exact" w:before="25"/>
              <w:ind w:right="300"/>
              <w:jc w:val="right"/>
              <w:rPr>
                <w:sz w:val="16"/>
              </w:rPr>
            </w:pPr>
            <w:r>
              <w:rPr>
                <w:spacing w:val="-2"/>
                <w:sz w:val="16"/>
              </w:rPr>
              <w:t>1,295</w:t>
            </w:r>
          </w:p>
        </w:tc>
        <w:tc>
          <w:tcPr>
            <w:tcW w:w="1043" w:type="dxa"/>
          </w:tcPr>
          <w:p>
            <w:pPr>
              <w:pStyle w:val="TableParagraph"/>
              <w:spacing w:line="172" w:lineRule="exact" w:before="25"/>
              <w:ind w:left="391"/>
              <w:rPr>
                <w:sz w:val="16"/>
              </w:rPr>
            </w:pPr>
            <w:r>
              <w:rPr>
                <w:spacing w:val="-4"/>
                <w:sz w:val="16"/>
              </w:rPr>
              <w:t>0.05</w:t>
            </w:r>
          </w:p>
        </w:tc>
        <w:tc>
          <w:tcPr>
            <w:tcW w:w="724" w:type="dxa"/>
          </w:tcPr>
          <w:p>
            <w:pPr>
              <w:pStyle w:val="TableParagraph"/>
              <w:spacing w:line="172" w:lineRule="exact" w:before="25"/>
              <w:ind w:right="87"/>
              <w:jc w:val="right"/>
              <w:rPr>
                <w:sz w:val="16"/>
              </w:rPr>
            </w:pPr>
            <w:r>
              <w:rPr>
                <w:spacing w:val="-2"/>
                <w:sz w:val="16"/>
              </w:rPr>
              <w:t>156.2</w:t>
            </w:r>
          </w:p>
        </w:tc>
        <w:tc>
          <w:tcPr>
            <w:tcW w:w="915" w:type="dxa"/>
          </w:tcPr>
          <w:p>
            <w:pPr>
              <w:pStyle w:val="TableParagraph"/>
              <w:spacing w:line="172" w:lineRule="exact" w:before="25"/>
              <w:ind w:right="87"/>
              <w:jc w:val="right"/>
              <w:rPr>
                <w:sz w:val="16"/>
              </w:rPr>
            </w:pPr>
            <w:r>
              <w:rPr>
                <w:spacing w:val="-2"/>
                <w:sz w:val="16"/>
              </w:rPr>
              <w:t>10.00</w:t>
            </w:r>
          </w:p>
        </w:tc>
        <w:tc>
          <w:tcPr>
            <w:tcW w:w="1361" w:type="dxa"/>
          </w:tcPr>
          <w:p>
            <w:pPr>
              <w:pStyle w:val="TableParagraph"/>
              <w:spacing w:line="172" w:lineRule="exact" w:before="25"/>
              <w:ind w:right="249"/>
              <w:jc w:val="right"/>
              <w:rPr>
                <w:sz w:val="16"/>
              </w:rPr>
            </w:pPr>
            <w:r>
              <w:rPr>
                <w:spacing w:val="-2"/>
                <w:sz w:val="16"/>
              </w:rPr>
              <w:t>146.2</w:t>
            </w:r>
          </w:p>
        </w:tc>
        <w:tc>
          <w:tcPr>
            <w:tcW w:w="1124" w:type="dxa"/>
          </w:tcPr>
          <w:p>
            <w:pPr>
              <w:pStyle w:val="TableParagraph"/>
              <w:spacing w:line="172" w:lineRule="exact" w:before="25"/>
              <w:ind w:left="187" w:right="40"/>
              <w:jc w:val="center"/>
              <w:rPr>
                <w:sz w:val="16"/>
              </w:rPr>
            </w:pPr>
            <w:r>
              <w:rPr>
                <w:spacing w:val="-2"/>
                <w:sz w:val="16"/>
              </w:rPr>
              <w:t>2,114</w:t>
            </w:r>
          </w:p>
        </w:tc>
        <w:tc>
          <w:tcPr>
            <w:tcW w:w="912" w:type="dxa"/>
          </w:tcPr>
          <w:p>
            <w:pPr>
              <w:pStyle w:val="TableParagraph"/>
              <w:spacing w:line="172" w:lineRule="exact" w:before="25"/>
              <w:ind w:left="384"/>
              <w:rPr>
                <w:sz w:val="16"/>
              </w:rPr>
            </w:pPr>
            <w:r>
              <w:rPr>
                <w:spacing w:val="-4"/>
                <w:sz w:val="16"/>
              </w:rPr>
              <w:t>0.08</w:t>
            </w:r>
          </w:p>
        </w:tc>
      </w:tr>
      <w:tr>
        <w:trPr>
          <w:trHeight w:val="195" w:hRule="atLeast"/>
        </w:trPr>
        <w:tc>
          <w:tcPr>
            <w:tcW w:w="2089" w:type="dxa"/>
          </w:tcPr>
          <w:p>
            <w:pPr>
              <w:pStyle w:val="TableParagraph"/>
              <w:spacing w:line="172" w:lineRule="exact" w:before="3"/>
              <w:ind w:left="52"/>
              <w:rPr>
                <w:sz w:val="16"/>
              </w:rPr>
            </w:pPr>
            <w:r>
              <w:rPr>
                <w:spacing w:val="-2"/>
                <w:sz w:val="16"/>
              </w:rPr>
              <w:t>Thailand</w:t>
            </w:r>
          </w:p>
        </w:tc>
        <w:tc>
          <w:tcPr>
            <w:tcW w:w="1371" w:type="dxa"/>
          </w:tcPr>
          <w:p>
            <w:pPr>
              <w:pStyle w:val="TableParagraph"/>
              <w:spacing w:line="172" w:lineRule="exact" w:before="3"/>
              <w:ind w:right="300"/>
              <w:jc w:val="right"/>
              <w:rPr>
                <w:sz w:val="16"/>
              </w:rPr>
            </w:pPr>
            <w:r>
              <w:rPr>
                <w:spacing w:val="-2"/>
                <w:sz w:val="16"/>
              </w:rPr>
              <w:t>12,960</w:t>
            </w:r>
          </w:p>
        </w:tc>
        <w:tc>
          <w:tcPr>
            <w:tcW w:w="1043" w:type="dxa"/>
          </w:tcPr>
          <w:p>
            <w:pPr>
              <w:pStyle w:val="TableParagraph"/>
              <w:spacing w:line="172" w:lineRule="exact" w:before="3"/>
              <w:ind w:left="391"/>
              <w:rPr>
                <w:sz w:val="16"/>
              </w:rPr>
            </w:pPr>
            <w:r>
              <w:rPr>
                <w:spacing w:val="-4"/>
                <w:sz w:val="16"/>
              </w:rPr>
              <w:t>0.49</w:t>
            </w:r>
          </w:p>
        </w:tc>
        <w:tc>
          <w:tcPr>
            <w:tcW w:w="724" w:type="dxa"/>
          </w:tcPr>
          <w:p>
            <w:pPr>
              <w:pStyle w:val="TableParagraph"/>
              <w:spacing w:line="172" w:lineRule="exact" w:before="3"/>
              <w:ind w:right="87"/>
              <w:jc w:val="right"/>
              <w:rPr>
                <w:sz w:val="16"/>
              </w:rPr>
            </w:pPr>
            <w:r>
              <w:rPr>
                <w:spacing w:val="-2"/>
                <w:sz w:val="16"/>
              </w:rPr>
              <w:t>1,563.4</w:t>
            </w:r>
          </w:p>
        </w:tc>
        <w:tc>
          <w:tcPr>
            <w:tcW w:w="915" w:type="dxa"/>
          </w:tcPr>
          <w:p>
            <w:pPr>
              <w:pStyle w:val="TableParagraph"/>
              <w:spacing w:line="172" w:lineRule="exact" w:before="3"/>
              <w:ind w:right="87"/>
              <w:jc w:val="right"/>
              <w:rPr>
                <w:sz w:val="16"/>
              </w:rPr>
            </w:pPr>
            <w:r>
              <w:rPr>
                <w:spacing w:val="-2"/>
                <w:sz w:val="16"/>
              </w:rPr>
              <w:t>106.60</w:t>
            </w:r>
          </w:p>
        </w:tc>
        <w:tc>
          <w:tcPr>
            <w:tcW w:w="1361" w:type="dxa"/>
          </w:tcPr>
          <w:p>
            <w:pPr>
              <w:pStyle w:val="TableParagraph"/>
              <w:spacing w:line="172" w:lineRule="exact" w:before="3"/>
              <w:ind w:right="248"/>
              <w:jc w:val="right"/>
              <w:rPr>
                <w:sz w:val="16"/>
              </w:rPr>
            </w:pPr>
            <w:r>
              <w:rPr>
                <w:spacing w:val="-2"/>
                <w:sz w:val="16"/>
              </w:rPr>
              <w:t>1,456.9</w:t>
            </w:r>
          </w:p>
        </w:tc>
        <w:tc>
          <w:tcPr>
            <w:tcW w:w="1124" w:type="dxa"/>
          </w:tcPr>
          <w:p>
            <w:pPr>
              <w:pStyle w:val="TableParagraph"/>
              <w:spacing w:line="172" w:lineRule="exact" w:before="3"/>
              <w:ind w:left="147" w:right="101"/>
              <w:jc w:val="center"/>
              <w:rPr>
                <w:sz w:val="16"/>
              </w:rPr>
            </w:pPr>
            <w:r>
              <w:rPr>
                <w:spacing w:val="-2"/>
                <w:sz w:val="16"/>
              </w:rPr>
              <w:t>13,779</w:t>
            </w:r>
          </w:p>
        </w:tc>
        <w:tc>
          <w:tcPr>
            <w:tcW w:w="912" w:type="dxa"/>
          </w:tcPr>
          <w:p>
            <w:pPr>
              <w:pStyle w:val="TableParagraph"/>
              <w:spacing w:line="172" w:lineRule="exact" w:before="3"/>
              <w:ind w:left="384"/>
              <w:rPr>
                <w:sz w:val="16"/>
              </w:rPr>
            </w:pPr>
            <w:r>
              <w:rPr>
                <w:spacing w:val="-4"/>
                <w:sz w:val="16"/>
              </w:rPr>
              <w:t>0.49</w:t>
            </w:r>
          </w:p>
        </w:tc>
      </w:tr>
      <w:tr>
        <w:trPr>
          <w:trHeight w:val="195" w:hRule="atLeast"/>
        </w:trPr>
        <w:tc>
          <w:tcPr>
            <w:tcW w:w="2089" w:type="dxa"/>
          </w:tcPr>
          <w:p>
            <w:pPr>
              <w:pStyle w:val="TableParagraph"/>
              <w:spacing w:line="172" w:lineRule="exact" w:before="3"/>
              <w:ind w:left="52"/>
              <w:rPr>
                <w:sz w:val="16"/>
              </w:rPr>
            </w:pPr>
            <w:r>
              <w:rPr>
                <w:spacing w:val="-2"/>
                <w:sz w:val="16"/>
              </w:rPr>
              <w:t>Timor-Leste</w:t>
            </w:r>
          </w:p>
        </w:tc>
        <w:tc>
          <w:tcPr>
            <w:tcW w:w="1371" w:type="dxa"/>
          </w:tcPr>
          <w:p>
            <w:pPr>
              <w:pStyle w:val="TableParagraph"/>
              <w:spacing w:line="172" w:lineRule="exact" w:before="3"/>
              <w:ind w:right="300"/>
              <w:jc w:val="right"/>
              <w:rPr>
                <w:sz w:val="16"/>
              </w:rPr>
            </w:pPr>
            <w:r>
              <w:rPr>
                <w:spacing w:val="-5"/>
                <w:sz w:val="16"/>
              </w:rPr>
              <w:t>753</w:t>
            </w:r>
          </w:p>
        </w:tc>
        <w:tc>
          <w:tcPr>
            <w:tcW w:w="1043" w:type="dxa"/>
          </w:tcPr>
          <w:p>
            <w:pPr>
              <w:pStyle w:val="TableParagraph"/>
              <w:spacing w:line="172" w:lineRule="exact" w:before="3"/>
              <w:ind w:left="391"/>
              <w:rPr>
                <w:sz w:val="16"/>
              </w:rPr>
            </w:pPr>
            <w:r>
              <w:rPr>
                <w:spacing w:val="-4"/>
                <w:sz w:val="16"/>
              </w:rPr>
              <w:t>0.03</w:t>
            </w:r>
          </w:p>
        </w:tc>
        <w:tc>
          <w:tcPr>
            <w:tcW w:w="724" w:type="dxa"/>
          </w:tcPr>
          <w:p>
            <w:pPr>
              <w:pStyle w:val="TableParagraph"/>
              <w:spacing w:line="172" w:lineRule="exact" w:before="3"/>
              <w:ind w:right="87"/>
              <w:jc w:val="right"/>
              <w:rPr>
                <w:sz w:val="16"/>
              </w:rPr>
            </w:pPr>
            <w:r>
              <w:rPr>
                <w:spacing w:val="-4"/>
                <w:sz w:val="16"/>
              </w:rPr>
              <w:t>90.8</w:t>
            </w:r>
          </w:p>
        </w:tc>
        <w:tc>
          <w:tcPr>
            <w:tcW w:w="915" w:type="dxa"/>
          </w:tcPr>
          <w:p>
            <w:pPr>
              <w:pStyle w:val="TableParagraph"/>
              <w:spacing w:line="172" w:lineRule="exact" w:before="3"/>
              <w:ind w:right="87"/>
              <w:jc w:val="right"/>
              <w:rPr>
                <w:sz w:val="16"/>
              </w:rPr>
            </w:pPr>
            <w:r>
              <w:rPr>
                <w:spacing w:val="-4"/>
                <w:sz w:val="16"/>
              </w:rPr>
              <w:t>3.10</w:t>
            </w:r>
          </w:p>
        </w:tc>
        <w:tc>
          <w:tcPr>
            <w:tcW w:w="1361" w:type="dxa"/>
          </w:tcPr>
          <w:p>
            <w:pPr>
              <w:pStyle w:val="TableParagraph"/>
              <w:spacing w:line="172" w:lineRule="exact" w:before="3"/>
              <w:ind w:right="249"/>
              <w:jc w:val="right"/>
              <w:rPr>
                <w:sz w:val="16"/>
              </w:rPr>
            </w:pPr>
            <w:r>
              <w:rPr>
                <w:spacing w:val="-4"/>
                <w:sz w:val="16"/>
              </w:rPr>
              <w:t>87.8</w:t>
            </w:r>
          </w:p>
        </w:tc>
        <w:tc>
          <w:tcPr>
            <w:tcW w:w="1124" w:type="dxa"/>
          </w:tcPr>
          <w:p>
            <w:pPr>
              <w:pStyle w:val="TableParagraph"/>
              <w:spacing w:line="172" w:lineRule="exact" w:before="3"/>
              <w:ind w:left="175" w:right="40"/>
              <w:jc w:val="center"/>
              <w:rPr>
                <w:sz w:val="16"/>
              </w:rPr>
            </w:pPr>
            <w:r>
              <w:rPr>
                <w:spacing w:val="-2"/>
                <w:sz w:val="16"/>
              </w:rPr>
              <w:t>1,572</w:t>
            </w:r>
          </w:p>
        </w:tc>
        <w:tc>
          <w:tcPr>
            <w:tcW w:w="912" w:type="dxa"/>
          </w:tcPr>
          <w:p>
            <w:pPr>
              <w:pStyle w:val="TableParagraph"/>
              <w:spacing w:line="172" w:lineRule="exact" w:before="3"/>
              <w:ind w:left="384"/>
              <w:rPr>
                <w:sz w:val="16"/>
              </w:rPr>
            </w:pPr>
            <w:r>
              <w:rPr>
                <w:spacing w:val="-4"/>
                <w:sz w:val="16"/>
              </w:rPr>
              <w:t>0.06</w:t>
            </w:r>
          </w:p>
        </w:tc>
      </w:tr>
      <w:tr>
        <w:trPr>
          <w:trHeight w:val="223" w:hRule="atLeast"/>
        </w:trPr>
        <w:tc>
          <w:tcPr>
            <w:tcW w:w="2089" w:type="dxa"/>
          </w:tcPr>
          <w:p>
            <w:pPr>
              <w:pStyle w:val="TableParagraph"/>
              <w:spacing w:before="3"/>
              <w:ind w:left="52"/>
              <w:rPr>
                <w:sz w:val="16"/>
              </w:rPr>
            </w:pPr>
            <w:r>
              <w:rPr>
                <w:spacing w:val="-4"/>
                <w:sz w:val="16"/>
              </w:rPr>
              <w:t>Togo</w:t>
            </w:r>
          </w:p>
        </w:tc>
        <w:tc>
          <w:tcPr>
            <w:tcW w:w="1371" w:type="dxa"/>
          </w:tcPr>
          <w:p>
            <w:pPr>
              <w:pStyle w:val="TableParagraph"/>
              <w:spacing w:before="3"/>
              <w:ind w:right="300"/>
              <w:jc w:val="right"/>
              <w:rPr>
                <w:sz w:val="16"/>
              </w:rPr>
            </w:pPr>
            <w:r>
              <w:rPr>
                <w:spacing w:val="-2"/>
                <w:sz w:val="16"/>
              </w:rPr>
              <w:t>1,598</w:t>
            </w:r>
          </w:p>
        </w:tc>
        <w:tc>
          <w:tcPr>
            <w:tcW w:w="1043" w:type="dxa"/>
          </w:tcPr>
          <w:p>
            <w:pPr>
              <w:pStyle w:val="TableParagraph"/>
              <w:spacing w:before="3"/>
              <w:ind w:left="391"/>
              <w:rPr>
                <w:sz w:val="16"/>
              </w:rPr>
            </w:pPr>
            <w:r>
              <w:rPr>
                <w:spacing w:val="-4"/>
                <w:sz w:val="16"/>
              </w:rPr>
              <w:t>0.06</w:t>
            </w:r>
          </w:p>
        </w:tc>
        <w:tc>
          <w:tcPr>
            <w:tcW w:w="724" w:type="dxa"/>
          </w:tcPr>
          <w:p>
            <w:pPr>
              <w:pStyle w:val="TableParagraph"/>
              <w:spacing w:before="3"/>
              <w:ind w:right="87"/>
              <w:jc w:val="right"/>
              <w:rPr>
                <w:sz w:val="16"/>
              </w:rPr>
            </w:pPr>
            <w:r>
              <w:rPr>
                <w:spacing w:val="-2"/>
                <w:sz w:val="16"/>
              </w:rPr>
              <w:t>192.8</w:t>
            </w:r>
          </w:p>
        </w:tc>
        <w:tc>
          <w:tcPr>
            <w:tcW w:w="915" w:type="dxa"/>
          </w:tcPr>
          <w:p>
            <w:pPr>
              <w:pStyle w:val="TableParagraph"/>
              <w:spacing w:before="3"/>
              <w:ind w:right="87"/>
              <w:jc w:val="right"/>
              <w:rPr>
                <w:sz w:val="16"/>
              </w:rPr>
            </w:pPr>
            <w:r>
              <w:rPr>
                <w:spacing w:val="-4"/>
                <w:sz w:val="16"/>
              </w:rPr>
              <w:t>8.10</w:t>
            </w:r>
          </w:p>
        </w:tc>
        <w:tc>
          <w:tcPr>
            <w:tcW w:w="1361" w:type="dxa"/>
          </w:tcPr>
          <w:p>
            <w:pPr>
              <w:pStyle w:val="TableParagraph"/>
              <w:spacing w:before="3"/>
              <w:ind w:right="249"/>
              <w:jc w:val="right"/>
              <w:rPr>
                <w:sz w:val="16"/>
              </w:rPr>
            </w:pPr>
            <w:r>
              <w:rPr>
                <w:spacing w:val="-2"/>
                <w:sz w:val="16"/>
              </w:rPr>
              <w:t>184.7</w:t>
            </w:r>
          </w:p>
        </w:tc>
        <w:tc>
          <w:tcPr>
            <w:tcW w:w="1124" w:type="dxa"/>
          </w:tcPr>
          <w:p>
            <w:pPr>
              <w:pStyle w:val="TableParagraph"/>
              <w:spacing w:before="3"/>
              <w:ind w:left="175" w:right="40"/>
              <w:jc w:val="center"/>
              <w:rPr>
                <w:sz w:val="16"/>
              </w:rPr>
            </w:pPr>
            <w:r>
              <w:rPr>
                <w:spacing w:val="-2"/>
                <w:sz w:val="16"/>
              </w:rPr>
              <w:t>2,417</w:t>
            </w:r>
          </w:p>
        </w:tc>
        <w:tc>
          <w:tcPr>
            <w:tcW w:w="912" w:type="dxa"/>
          </w:tcPr>
          <w:p>
            <w:pPr>
              <w:pStyle w:val="TableParagraph"/>
              <w:spacing w:before="3"/>
              <w:ind w:left="384"/>
              <w:rPr>
                <w:sz w:val="16"/>
              </w:rPr>
            </w:pPr>
            <w:r>
              <w:rPr>
                <w:spacing w:val="-4"/>
                <w:sz w:val="16"/>
              </w:rPr>
              <w:t>0.09</w:t>
            </w:r>
          </w:p>
        </w:tc>
      </w:tr>
      <w:tr>
        <w:trPr>
          <w:trHeight w:val="233" w:hRule="atLeast"/>
        </w:trPr>
        <w:tc>
          <w:tcPr>
            <w:tcW w:w="2089" w:type="dxa"/>
            <w:shd w:val="clear" w:color="auto" w:fill="D8D8D8"/>
          </w:tcPr>
          <w:p>
            <w:pPr>
              <w:pStyle w:val="TableParagraph"/>
              <w:spacing w:before="19"/>
              <w:ind w:left="52"/>
              <w:rPr>
                <w:sz w:val="16"/>
              </w:rPr>
            </w:pPr>
            <w:r>
              <w:rPr>
                <w:spacing w:val="-2"/>
                <w:sz w:val="16"/>
              </w:rPr>
              <w:t>Tonga</w:t>
            </w:r>
          </w:p>
        </w:tc>
        <w:tc>
          <w:tcPr>
            <w:tcW w:w="1371" w:type="dxa"/>
            <w:shd w:val="clear" w:color="auto" w:fill="D8D8D8"/>
          </w:tcPr>
          <w:p>
            <w:pPr>
              <w:pStyle w:val="TableParagraph"/>
              <w:spacing w:before="19"/>
              <w:ind w:right="300"/>
              <w:jc w:val="right"/>
              <w:rPr>
                <w:sz w:val="16"/>
              </w:rPr>
            </w:pPr>
            <w:r>
              <w:rPr>
                <w:spacing w:val="-5"/>
                <w:sz w:val="16"/>
              </w:rPr>
              <w:t>796</w:t>
            </w:r>
          </w:p>
        </w:tc>
        <w:tc>
          <w:tcPr>
            <w:tcW w:w="1043" w:type="dxa"/>
            <w:shd w:val="clear" w:color="auto" w:fill="D8D8D8"/>
          </w:tcPr>
          <w:p>
            <w:pPr>
              <w:pStyle w:val="TableParagraph"/>
              <w:spacing w:before="19"/>
              <w:ind w:left="391"/>
              <w:rPr>
                <w:sz w:val="16"/>
              </w:rPr>
            </w:pPr>
            <w:r>
              <w:rPr>
                <w:spacing w:val="-4"/>
                <w:sz w:val="16"/>
              </w:rPr>
              <w:t>0.03</w:t>
            </w:r>
          </w:p>
        </w:tc>
        <w:tc>
          <w:tcPr>
            <w:tcW w:w="724" w:type="dxa"/>
            <w:shd w:val="clear" w:color="auto" w:fill="D8D8D8"/>
          </w:tcPr>
          <w:p>
            <w:pPr>
              <w:pStyle w:val="TableParagraph"/>
              <w:spacing w:before="19"/>
              <w:ind w:right="87"/>
              <w:jc w:val="right"/>
              <w:rPr>
                <w:sz w:val="16"/>
              </w:rPr>
            </w:pPr>
            <w:r>
              <w:rPr>
                <w:spacing w:val="-4"/>
                <w:sz w:val="16"/>
              </w:rPr>
              <w:t>96.0</w:t>
            </w:r>
          </w:p>
        </w:tc>
        <w:tc>
          <w:tcPr>
            <w:tcW w:w="915" w:type="dxa"/>
            <w:shd w:val="clear" w:color="auto" w:fill="D8D8D8"/>
          </w:tcPr>
          <w:p>
            <w:pPr>
              <w:pStyle w:val="TableParagraph"/>
              <w:spacing w:before="19"/>
              <w:ind w:right="87"/>
              <w:jc w:val="right"/>
              <w:rPr>
                <w:sz w:val="16"/>
              </w:rPr>
            </w:pPr>
            <w:r>
              <w:rPr>
                <w:spacing w:val="-4"/>
                <w:sz w:val="16"/>
              </w:rPr>
              <w:t>3.50</w:t>
            </w:r>
          </w:p>
        </w:tc>
        <w:tc>
          <w:tcPr>
            <w:tcW w:w="1361" w:type="dxa"/>
            <w:shd w:val="clear" w:color="auto" w:fill="D8D8D8"/>
          </w:tcPr>
          <w:p>
            <w:pPr>
              <w:pStyle w:val="TableParagraph"/>
              <w:spacing w:before="19"/>
              <w:ind w:right="249"/>
              <w:jc w:val="right"/>
              <w:rPr>
                <w:sz w:val="16"/>
              </w:rPr>
            </w:pPr>
            <w:r>
              <w:rPr>
                <w:spacing w:val="-4"/>
                <w:sz w:val="16"/>
              </w:rPr>
              <w:t>92.5</w:t>
            </w:r>
          </w:p>
        </w:tc>
        <w:tc>
          <w:tcPr>
            <w:tcW w:w="1124" w:type="dxa"/>
            <w:shd w:val="clear" w:color="auto" w:fill="D8D8D8"/>
          </w:tcPr>
          <w:p>
            <w:pPr>
              <w:pStyle w:val="TableParagraph"/>
              <w:spacing w:before="19"/>
              <w:ind w:left="175" w:right="40"/>
              <w:jc w:val="center"/>
              <w:rPr>
                <w:sz w:val="16"/>
              </w:rPr>
            </w:pPr>
            <w:r>
              <w:rPr>
                <w:spacing w:val="-2"/>
                <w:sz w:val="16"/>
              </w:rPr>
              <w:t>1,615</w:t>
            </w:r>
          </w:p>
        </w:tc>
        <w:tc>
          <w:tcPr>
            <w:tcW w:w="912" w:type="dxa"/>
            <w:shd w:val="clear" w:color="auto" w:fill="D8D8D8"/>
          </w:tcPr>
          <w:p>
            <w:pPr>
              <w:pStyle w:val="TableParagraph"/>
              <w:spacing w:before="19"/>
              <w:ind w:left="384"/>
              <w:rPr>
                <w:sz w:val="16"/>
              </w:rPr>
            </w:pPr>
            <w:r>
              <w:rPr>
                <w:spacing w:val="-4"/>
                <w:sz w:val="16"/>
              </w:rPr>
              <w:t>0.06</w:t>
            </w:r>
          </w:p>
        </w:tc>
      </w:tr>
      <w:tr>
        <w:trPr>
          <w:trHeight w:val="240" w:hRule="atLeast"/>
        </w:trPr>
        <w:tc>
          <w:tcPr>
            <w:tcW w:w="2089" w:type="dxa"/>
            <w:shd w:val="clear" w:color="auto" w:fill="D8D8D8"/>
          </w:tcPr>
          <w:p>
            <w:pPr>
              <w:pStyle w:val="TableParagraph"/>
              <w:spacing w:before="25"/>
              <w:ind w:left="52"/>
              <w:rPr>
                <w:sz w:val="16"/>
              </w:rPr>
            </w:pPr>
            <w:r>
              <w:rPr>
                <w:sz w:val="16"/>
              </w:rPr>
              <w:t>Trinidad</w:t>
            </w:r>
            <w:r>
              <w:rPr>
                <w:spacing w:val="-8"/>
                <w:sz w:val="16"/>
              </w:rPr>
              <w:t> </w:t>
            </w:r>
            <w:r>
              <w:rPr>
                <w:sz w:val="16"/>
              </w:rPr>
              <w:t>and</w:t>
            </w:r>
            <w:r>
              <w:rPr>
                <w:spacing w:val="-10"/>
                <w:sz w:val="16"/>
              </w:rPr>
              <w:t> </w:t>
            </w:r>
            <w:r>
              <w:rPr>
                <w:spacing w:val="-2"/>
                <w:sz w:val="16"/>
              </w:rPr>
              <w:t>Tobago</w:t>
            </w:r>
          </w:p>
        </w:tc>
        <w:tc>
          <w:tcPr>
            <w:tcW w:w="1371" w:type="dxa"/>
            <w:shd w:val="clear" w:color="auto" w:fill="D8D8D8"/>
          </w:tcPr>
          <w:p>
            <w:pPr>
              <w:pStyle w:val="TableParagraph"/>
              <w:spacing w:before="25"/>
              <w:ind w:right="300"/>
              <w:jc w:val="right"/>
              <w:rPr>
                <w:sz w:val="16"/>
              </w:rPr>
            </w:pPr>
            <w:r>
              <w:rPr>
                <w:spacing w:val="-2"/>
                <w:sz w:val="16"/>
              </w:rPr>
              <w:t>3,376</w:t>
            </w:r>
          </w:p>
        </w:tc>
        <w:tc>
          <w:tcPr>
            <w:tcW w:w="1043" w:type="dxa"/>
            <w:shd w:val="clear" w:color="auto" w:fill="D8D8D8"/>
          </w:tcPr>
          <w:p>
            <w:pPr>
              <w:pStyle w:val="TableParagraph"/>
              <w:spacing w:before="25"/>
              <w:ind w:left="391"/>
              <w:rPr>
                <w:sz w:val="16"/>
              </w:rPr>
            </w:pPr>
            <w:r>
              <w:rPr>
                <w:spacing w:val="-4"/>
                <w:sz w:val="16"/>
              </w:rPr>
              <w:t>0.13</w:t>
            </w:r>
          </w:p>
        </w:tc>
        <w:tc>
          <w:tcPr>
            <w:tcW w:w="724" w:type="dxa"/>
            <w:shd w:val="clear" w:color="auto" w:fill="D8D8D8"/>
          </w:tcPr>
          <w:p>
            <w:pPr>
              <w:pStyle w:val="TableParagraph"/>
              <w:spacing w:before="25"/>
              <w:ind w:right="87"/>
              <w:jc w:val="right"/>
              <w:rPr>
                <w:sz w:val="16"/>
              </w:rPr>
            </w:pPr>
            <w:r>
              <w:rPr>
                <w:spacing w:val="-2"/>
                <w:sz w:val="16"/>
              </w:rPr>
              <w:t>407.3</w:t>
            </w:r>
          </w:p>
        </w:tc>
        <w:tc>
          <w:tcPr>
            <w:tcW w:w="915" w:type="dxa"/>
            <w:shd w:val="clear" w:color="auto" w:fill="D8D8D8"/>
          </w:tcPr>
          <w:p>
            <w:pPr>
              <w:pStyle w:val="TableParagraph"/>
              <w:spacing w:before="25"/>
              <w:ind w:right="87"/>
              <w:jc w:val="right"/>
              <w:rPr>
                <w:sz w:val="16"/>
              </w:rPr>
            </w:pPr>
            <w:r>
              <w:rPr>
                <w:spacing w:val="-2"/>
                <w:sz w:val="16"/>
              </w:rPr>
              <w:t>22.80</w:t>
            </w:r>
          </w:p>
        </w:tc>
        <w:tc>
          <w:tcPr>
            <w:tcW w:w="1361" w:type="dxa"/>
            <w:shd w:val="clear" w:color="auto" w:fill="D8D8D8"/>
          </w:tcPr>
          <w:p>
            <w:pPr>
              <w:pStyle w:val="TableParagraph"/>
              <w:spacing w:before="25"/>
              <w:ind w:right="249"/>
              <w:jc w:val="right"/>
              <w:rPr>
                <w:sz w:val="16"/>
              </w:rPr>
            </w:pPr>
            <w:r>
              <w:rPr>
                <w:spacing w:val="-2"/>
                <w:sz w:val="16"/>
              </w:rPr>
              <w:t>384.5</w:t>
            </w:r>
          </w:p>
        </w:tc>
        <w:tc>
          <w:tcPr>
            <w:tcW w:w="1124" w:type="dxa"/>
            <w:shd w:val="clear" w:color="auto" w:fill="D8D8D8"/>
          </w:tcPr>
          <w:p>
            <w:pPr>
              <w:pStyle w:val="TableParagraph"/>
              <w:spacing w:before="25"/>
              <w:ind w:left="175" w:right="40"/>
              <w:jc w:val="center"/>
              <w:rPr>
                <w:sz w:val="16"/>
              </w:rPr>
            </w:pPr>
            <w:r>
              <w:rPr>
                <w:spacing w:val="-2"/>
                <w:sz w:val="16"/>
              </w:rPr>
              <w:t>4,195</w:t>
            </w:r>
          </w:p>
        </w:tc>
        <w:tc>
          <w:tcPr>
            <w:tcW w:w="912" w:type="dxa"/>
            <w:shd w:val="clear" w:color="auto" w:fill="D8D8D8"/>
          </w:tcPr>
          <w:p>
            <w:pPr>
              <w:pStyle w:val="TableParagraph"/>
              <w:spacing w:before="25"/>
              <w:ind w:left="384"/>
              <w:rPr>
                <w:sz w:val="16"/>
              </w:rPr>
            </w:pPr>
            <w:r>
              <w:rPr>
                <w:spacing w:val="-4"/>
                <w:sz w:val="16"/>
              </w:rPr>
              <w:t>0.15</w:t>
            </w:r>
          </w:p>
        </w:tc>
      </w:tr>
      <w:tr>
        <w:trPr>
          <w:trHeight w:val="217" w:hRule="atLeast"/>
        </w:trPr>
        <w:tc>
          <w:tcPr>
            <w:tcW w:w="2089" w:type="dxa"/>
            <w:shd w:val="clear" w:color="auto" w:fill="DADADA"/>
          </w:tcPr>
          <w:p>
            <w:pPr>
              <w:pStyle w:val="TableParagraph"/>
              <w:spacing w:line="172" w:lineRule="exact" w:before="25"/>
              <w:ind w:left="52"/>
              <w:rPr>
                <w:sz w:val="16"/>
              </w:rPr>
            </w:pPr>
            <w:r>
              <w:rPr>
                <w:spacing w:val="-2"/>
                <w:sz w:val="16"/>
              </w:rPr>
              <w:t>Tunisia</w:t>
            </w:r>
          </w:p>
        </w:tc>
        <w:tc>
          <w:tcPr>
            <w:tcW w:w="1371" w:type="dxa"/>
            <w:shd w:val="clear" w:color="auto" w:fill="DADADA"/>
          </w:tcPr>
          <w:p>
            <w:pPr>
              <w:pStyle w:val="TableParagraph"/>
              <w:spacing w:line="172" w:lineRule="exact" w:before="25"/>
              <w:ind w:right="300"/>
              <w:jc w:val="right"/>
              <w:rPr>
                <w:sz w:val="16"/>
              </w:rPr>
            </w:pPr>
            <w:r>
              <w:rPr>
                <w:spacing w:val="-2"/>
                <w:sz w:val="16"/>
              </w:rPr>
              <w:t>1,993</w:t>
            </w:r>
          </w:p>
        </w:tc>
        <w:tc>
          <w:tcPr>
            <w:tcW w:w="1043" w:type="dxa"/>
            <w:shd w:val="clear" w:color="auto" w:fill="DADADA"/>
          </w:tcPr>
          <w:p>
            <w:pPr>
              <w:pStyle w:val="TableParagraph"/>
              <w:spacing w:line="172" w:lineRule="exact" w:before="25"/>
              <w:ind w:left="391"/>
              <w:rPr>
                <w:sz w:val="16"/>
              </w:rPr>
            </w:pPr>
            <w:r>
              <w:rPr>
                <w:spacing w:val="-4"/>
                <w:sz w:val="16"/>
              </w:rPr>
              <w:t>0.08</w:t>
            </w:r>
          </w:p>
        </w:tc>
        <w:tc>
          <w:tcPr>
            <w:tcW w:w="724" w:type="dxa"/>
            <w:shd w:val="clear" w:color="auto" w:fill="DADADA"/>
          </w:tcPr>
          <w:p>
            <w:pPr>
              <w:pStyle w:val="TableParagraph"/>
              <w:spacing w:line="172" w:lineRule="exact" w:before="25"/>
              <w:ind w:right="87"/>
              <w:jc w:val="right"/>
              <w:rPr>
                <w:sz w:val="16"/>
              </w:rPr>
            </w:pPr>
            <w:r>
              <w:rPr>
                <w:spacing w:val="-2"/>
                <w:sz w:val="16"/>
              </w:rPr>
              <w:t>240.4</w:t>
            </w:r>
          </w:p>
        </w:tc>
        <w:tc>
          <w:tcPr>
            <w:tcW w:w="915" w:type="dxa"/>
            <w:shd w:val="clear" w:color="auto" w:fill="DADADA"/>
          </w:tcPr>
          <w:p>
            <w:pPr>
              <w:pStyle w:val="TableParagraph"/>
              <w:spacing w:line="172" w:lineRule="exact" w:before="25"/>
              <w:ind w:right="87"/>
              <w:jc w:val="right"/>
              <w:rPr>
                <w:sz w:val="16"/>
              </w:rPr>
            </w:pPr>
            <w:r>
              <w:rPr>
                <w:spacing w:val="-2"/>
                <w:sz w:val="16"/>
              </w:rPr>
              <w:t>17.20</w:t>
            </w:r>
          </w:p>
        </w:tc>
        <w:tc>
          <w:tcPr>
            <w:tcW w:w="1361" w:type="dxa"/>
            <w:shd w:val="clear" w:color="auto" w:fill="DADADA"/>
          </w:tcPr>
          <w:p>
            <w:pPr>
              <w:pStyle w:val="TableParagraph"/>
              <w:spacing w:line="172" w:lineRule="exact" w:before="25"/>
              <w:ind w:right="249"/>
              <w:jc w:val="right"/>
              <w:rPr>
                <w:sz w:val="16"/>
              </w:rPr>
            </w:pPr>
            <w:r>
              <w:rPr>
                <w:spacing w:val="-2"/>
                <w:sz w:val="16"/>
              </w:rPr>
              <w:t>223.2</w:t>
            </w:r>
          </w:p>
        </w:tc>
        <w:tc>
          <w:tcPr>
            <w:tcW w:w="1124" w:type="dxa"/>
            <w:shd w:val="clear" w:color="auto" w:fill="DADADA"/>
          </w:tcPr>
          <w:p>
            <w:pPr>
              <w:pStyle w:val="TableParagraph"/>
              <w:spacing w:line="172" w:lineRule="exact" w:before="25"/>
              <w:ind w:left="175" w:right="40"/>
              <w:jc w:val="center"/>
              <w:rPr>
                <w:sz w:val="16"/>
              </w:rPr>
            </w:pPr>
            <w:r>
              <w:rPr>
                <w:spacing w:val="-2"/>
                <w:sz w:val="16"/>
              </w:rPr>
              <w:t>2,812</w:t>
            </w:r>
          </w:p>
        </w:tc>
        <w:tc>
          <w:tcPr>
            <w:tcW w:w="912" w:type="dxa"/>
            <w:shd w:val="clear" w:color="auto" w:fill="DADADA"/>
          </w:tcPr>
          <w:p>
            <w:pPr>
              <w:pStyle w:val="TableParagraph"/>
              <w:spacing w:line="172" w:lineRule="exact" w:before="25"/>
              <w:ind w:left="384"/>
              <w:rPr>
                <w:sz w:val="16"/>
              </w:rPr>
            </w:pPr>
            <w:r>
              <w:rPr>
                <w:spacing w:val="-4"/>
                <w:sz w:val="16"/>
              </w:rPr>
              <w:t>0.10</w:t>
            </w:r>
          </w:p>
        </w:tc>
      </w:tr>
      <w:tr>
        <w:trPr>
          <w:trHeight w:val="217" w:hRule="atLeast"/>
        </w:trPr>
        <w:tc>
          <w:tcPr>
            <w:tcW w:w="2089" w:type="dxa"/>
            <w:shd w:val="clear" w:color="auto" w:fill="DADADA"/>
          </w:tcPr>
          <w:p>
            <w:pPr>
              <w:pStyle w:val="TableParagraph"/>
              <w:spacing w:before="3"/>
              <w:ind w:left="52"/>
              <w:rPr>
                <w:sz w:val="16"/>
              </w:rPr>
            </w:pPr>
            <w:r>
              <w:rPr>
                <w:spacing w:val="-2"/>
                <w:sz w:val="16"/>
              </w:rPr>
              <w:t>Türkiye</w:t>
            </w:r>
          </w:p>
        </w:tc>
        <w:tc>
          <w:tcPr>
            <w:tcW w:w="1371" w:type="dxa"/>
            <w:shd w:val="clear" w:color="auto" w:fill="DADADA"/>
          </w:tcPr>
          <w:p>
            <w:pPr>
              <w:pStyle w:val="TableParagraph"/>
              <w:spacing w:before="3"/>
              <w:ind w:right="300"/>
              <w:jc w:val="right"/>
              <w:rPr>
                <w:sz w:val="16"/>
              </w:rPr>
            </w:pPr>
            <w:r>
              <w:rPr>
                <w:spacing w:val="-2"/>
                <w:sz w:val="16"/>
              </w:rPr>
              <w:t>29,839</w:t>
            </w:r>
          </w:p>
        </w:tc>
        <w:tc>
          <w:tcPr>
            <w:tcW w:w="1043" w:type="dxa"/>
            <w:shd w:val="clear" w:color="auto" w:fill="DADADA"/>
          </w:tcPr>
          <w:p>
            <w:pPr>
              <w:pStyle w:val="TableParagraph"/>
              <w:spacing w:before="3"/>
              <w:ind w:left="391"/>
              <w:rPr>
                <w:sz w:val="16"/>
              </w:rPr>
            </w:pPr>
            <w:r>
              <w:rPr>
                <w:spacing w:val="-4"/>
                <w:sz w:val="16"/>
              </w:rPr>
              <w:t>1.13</w:t>
            </w:r>
          </w:p>
        </w:tc>
        <w:tc>
          <w:tcPr>
            <w:tcW w:w="724" w:type="dxa"/>
            <w:shd w:val="clear" w:color="auto" w:fill="DADADA"/>
          </w:tcPr>
          <w:p>
            <w:pPr>
              <w:pStyle w:val="TableParagraph"/>
              <w:spacing w:before="3"/>
              <w:ind w:right="87"/>
              <w:jc w:val="right"/>
              <w:rPr>
                <w:sz w:val="16"/>
              </w:rPr>
            </w:pPr>
            <w:r>
              <w:rPr>
                <w:spacing w:val="-2"/>
                <w:sz w:val="16"/>
              </w:rPr>
              <w:t>3,599.6</w:t>
            </w:r>
          </w:p>
        </w:tc>
        <w:tc>
          <w:tcPr>
            <w:tcW w:w="915" w:type="dxa"/>
            <w:shd w:val="clear" w:color="auto" w:fill="DADADA"/>
          </w:tcPr>
          <w:p>
            <w:pPr>
              <w:pStyle w:val="TableParagraph"/>
              <w:spacing w:before="3"/>
              <w:ind w:right="87"/>
              <w:jc w:val="right"/>
              <w:rPr>
                <w:sz w:val="16"/>
              </w:rPr>
            </w:pPr>
            <w:r>
              <w:rPr>
                <w:spacing w:val="-2"/>
                <w:sz w:val="16"/>
              </w:rPr>
              <w:t>244.50</w:t>
            </w:r>
          </w:p>
        </w:tc>
        <w:tc>
          <w:tcPr>
            <w:tcW w:w="1361" w:type="dxa"/>
            <w:shd w:val="clear" w:color="auto" w:fill="DADADA"/>
          </w:tcPr>
          <w:p>
            <w:pPr>
              <w:pStyle w:val="TableParagraph"/>
              <w:spacing w:before="3"/>
              <w:ind w:right="248"/>
              <w:jc w:val="right"/>
              <w:rPr>
                <w:sz w:val="16"/>
              </w:rPr>
            </w:pPr>
            <w:r>
              <w:rPr>
                <w:spacing w:val="-2"/>
                <w:sz w:val="16"/>
              </w:rPr>
              <w:t>3,355.1</w:t>
            </w:r>
          </w:p>
        </w:tc>
        <w:tc>
          <w:tcPr>
            <w:tcW w:w="1124" w:type="dxa"/>
            <w:shd w:val="clear" w:color="auto" w:fill="DADADA"/>
          </w:tcPr>
          <w:p>
            <w:pPr>
              <w:pStyle w:val="TableParagraph"/>
              <w:spacing w:before="3"/>
              <w:ind w:left="147" w:right="101"/>
              <w:jc w:val="center"/>
              <w:rPr>
                <w:sz w:val="16"/>
              </w:rPr>
            </w:pPr>
            <w:r>
              <w:rPr>
                <w:spacing w:val="-2"/>
                <w:sz w:val="16"/>
              </w:rPr>
              <w:t>30,658</w:t>
            </w:r>
          </w:p>
        </w:tc>
        <w:tc>
          <w:tcPr>
            <w:tcW w:w="912" w:type="dxa"/>
            <w:shd w:val="clear" w:color="auto" w:fill="DADADA"/>
          </w:tcPr>
          <w:p>
            <w:pPr>
              <w:pStyle w:val="TableParagraph"/>
              <w:spacing w:before="3"/>
              <w:ind w:left="384"/>
              <w:rPr>
                <w:sz w:val="16"/>
              </w:rPr>
            </w:pPr>
            <w:r>
              <w:rPr>
                <w:spacing w:val="-4"/>
                <w:sz w:val="16"/>
              </w:rPr>
              <w:t>1.10</w:t>
            </w:r>
          </w:p>
        </w:tc>
      </w:tr>
      <w:tr>
        <w:trPr>
          <w:trHeight w:val="209" w:hRule="atLeast"/>
        </w:trPr>
        <w:tc>
          <w:tcPr>
            <w:tcW w:w="2089" w:type="dxa"/>
            <w:shd w:val="clear" w:color="auto" w:fill="D8D8D8"/>
          </w:tcPr>
          <w:p>
            <w:pPr>
              <w:pStyle w:val="TableParagraph"/>
              <w:spacing w:line="156" w:lineRule="exact" w:before="25"/>
              <w:ind w:left="52"/>
              <w:rPr>
                <w:sz w:val="16"/>
              </w:rPr>
            </w:pPr>
            <w:r>
              <w:rPr>
                <w:spacing w:val="-2"/>
                <w:sz w:val="16"/>
              </w:rPr>
              <w:t>Turkmenistan</w:t>
            </w:r>
          </w:p>
        </w:tc>
        <w:tc>
          <w:tcPr>
            <w:tcW w:w="1371" w:type="dxa"/>
            <w:shd w:val="clear" w:color="auto" w:fill="D8D8D8"/>
          </w:tcPr>
          <w:p>
            <w:pPr>
              <w:pStyle w:val="TableParagraph"/>
              <w:spacing w:line="156" w:lineRule="exact" w:before="25"/>
              <w:ind w:right="300"/>
              <w:jc w:val="right"/>
              <w:rPr>
                <w:sz w:val="16"/>
              </w:rPr>
            </w:pPr>
            <w:r>
              <w:rPr>
                <w:spacing w:val="-5"/>
                <w:sz w:val="16"/>
              </w:rPr>
              <w:t>627</w:t>
            </w:r>
          </w:p>
        </w:tc>
        <w:tc>
          <w:tcPr>
            <w:tcW w:w="1043" w:type="dxa"/>
            <w:shd w:val="clear" w:color="auto" w:fill="D8D8D8"/>
          </w:tcPr>
          <w:p>
            <w:pPr>
              <w:pStyle w:val="TableParagraph"/>
              <w:spacing w:line="156" w:lineRule="exact" w:before="25"/>
              <w:ind w:left="391"/>
              <w:rPr>
                <w:sz w:val="16"/>
              </w:rPr>
            </w:pPr>
            <w:r>
              <w:rPr>
                <w:spacing w:val="-4"/>
                <w:sz w:val="16"/>
              </w:rPr>
              <w:t>0.02</w:t>
            </w:r>
          </w:p>
        </w:tc>
        <w:tc>
          <w:tcPr>
            <w:tcW w:w="724" w:type="dxa"/>
            <w:shd w:val="clear" w:color="auto" w:fill="D8D8D8"/>
          </w:tcPr>
          <w:p>
            <w:pPr>
              <w:pStyle w:val="TableParagraph"/>
              <w:spacing w:line="156" w:lineRule="exact" w:before="25"/>
              <w:ind w:right="87"/>
              <w:jc w:val="right"/>
              <w:rPr>
                <w:sz w:val="16"/>
              </w:rPr>
            </w:pPr>
            <w:r>
              <w:rPr>
                <w:spacing w:val="-4"/>
                <w:sz w:val="16"/>
              </w:rPr>
              <w:t>75.6</w:t>
            </w:r>
          </w:p>
        </w:tc>
        <w:tc>
          <w:tcPr>
            <w:tcW w:w="915" w:type="dxa"/>
            <w:shd w:val="clear" w:color="auto" w:fill="D8D8D8"/>
          </w:tcPr>
          <w:p>
            <w:pPr>
              <w:pStyle w:val="TableParagraph"/>
              <w:spacing w:line="156" w:lineRule="exact" w:before="25"/>
              <w:ind w:right="87"/>
              <w:jc w:val="right"/>
              <w:rPr>
                <w:sz w:val="16"/>
              </w:rPr>
            </w:pPr>
            <w:r>
              <w:rPr>
                <w:spacing w:val="-4"/>
                <w:sz w:val="16"/>
              </w:rPr>
              <w:t>3.60</w:t>
            </w:r>
          </w:p>
        </w:tc>
        <w:tc>
          <w:tcPr>
            <w:tcW w:w="1361" w:type="dxa"/>
            <w:shd w:val="clear" w:color="auto" w:fill="D8D8D8"/>
          </w:tcPr>
          <w:p>
            <w:pPr>
              <w:pStyle w:val="TableParagraph"/>
              <w:spacing w:line="156" w:lineRule="exact" w:before="25"/>
              <w:ind w:right="249"/>
              <w:jc w:val="right"/>
              <w:rPr>
                <w:sz w:val="16"/>
              </w:rPr>
            </w:pPr>
            <w:r>
              <w:rPr>
                <w:spacing w:val="-4"/>
                <w:sz w:val="16"/>
              </w:rPr>
              <w:t>72.0</w:t>
            </w:r>
          </w:p>
        </w:tc>
        <w:tc>
          <w:tcPr>
            <w:tcW w:w="1124" w:type="dxa"/>
            <w:shd w:val="clear" w:color="auto" w:fill="D8D8D8"/>
          </w:tcPr>
          <w:p>
            <w:pPr>
              <w:pStyle w:val="TableParagraph"/>
              <w:spacing w:line="156" w:lineRule="exact" w:before="25"/>
              <w:ind w:left="175" w:right="40"/>
              <w:jc w:val="center"/>
              <w:rPr>
                <w:sz w:val="16"/>
              </w:rPr>
            </w:pPr>
            <w:r>
              <w:rPr>
                <w:spacing w:val="-2"/>
                <w:sz w:val="16"/>
              </w:rPr>
              <w:t>1,446</w:t>
            </w:r>
          </w:p>
        </w:tc>
        <w:tc>
          <w:tcPr>
            <w:tcW w:w="912" w:type="dxa"/>
            <w:shd w:val="clear" w:color="auto" w:fill="D8D8D8"/>
          </w:tcPr>
          <w:p>
            <w:pPr>
              <w:pStyle w:val="TableParagraph"/>
              <w:spacing w:line="156" w:lineRule="exact" w:before="25"/>
              <w:ind w:left="384"/>
              <w:rPr>
                <w:sz w:val="16"/>
              </w:rPr>
            </w:pPr>
            <w:r>
              <w:rPr>
                <w:spacing w:val="-4"/>
                <w:sz w:val="16"/>
              </w:rPr>
              <w:t>0.05</w:t>
            </w:r>
          </w:p>
        </w:tc>
      </w:tr>
      <w:tr>
        <w:trPr>
          <w:trHeight w:val="203" w:hRule="atLeast"/>
        </w:trPr>
        <w:tc>
          <w:tcPr>
            <w:tcW w:w="2089" w:type="dxa"/>
          </w:tcPr>
          <w:p>
            <w:pPr>
              <w:pStyle w:val="TableParagraph"/>
              <w:spacing w:line="172" w:lineRule="exact" w:before="19"/>
              <w:ind w:left="52"/>
              <w:rPr>
                <w:sz w:val="16"/>
              </w:rPr>
            </w:pPr>
            <w:r>
              <w:rPr>
                <w:spacing w:val="-2"/>
                <w:sz w:val="16"/>
              </w:rPr>
              <w:t>Tuvalu</w:t>
            </w:r>
          </w:p>
        </w:tc>
        <w:tc>
          <w:tcPr>
            <w:tcW w:w="1371" w:type="dxa"/>
          </w:tcPr>
          <w:p>
            <w:pPr>
              <w:pStyle w:val="TableParagraph"/>
              <w:spacing w:line="172" w:lineRule="exact" w:before="19"/>
              <w:ind w:right="300"/>
              <w:jc w:val="right"/>
              <w:rPr>
                <w:sz w:val="16"/>
              </w:rPr>
            </w:pPr>
            <w:r>
              <w:rPr>
                <w:spacing w:val="-5"/>
                <w:sz w:val="16"/>
              </w:rPr>
              <w:t>461</w:t>
            </w:r>
          </w:p>
        </w:tc>
        <w:tc>
          <w:tcPr>
            <w:tcW w:w="1043" w:type="dxa"/>
          </w:tcPr>
          <w:p>
            <w:pPr>
              <w:pStyle w:val="TableParagraph"/>
              <w:spacing w:line="172" w:lineRule="exact" w:before="19"/>
              <w:ind w:left="391"/>
              <w:rPr>
                <w:sz w:val="16"/>
              </w:rPr>
            </w:pPr>
            <w:r>
              <w:rPr>
                <w:spacing w:val="-4"/>
                <w:sz w:val="16"/>
              </w:rPr>
              <w:t>0.02</w:t>
            </w:r>
          </w:p>
        </w:tc>
        <w:tc>
          <w:tcPr>
            <w:tcW w:w="724" w:type="dxa"/>
          </w:tcPr>
          <w:p>
            <w:pPr>
              <w:pStyle w:val="TableParagraph"/>
              <w:spacing w:line="172" w:lineRule="exact" w:before="19"/>
              <w:ind w:right="87"/>
              <w:jc w:val="right"/>
              <w:rPr>
                <w:sz w:val="16"/>
              </w:rPr>
            </w:pPr>
            <w:r>
              <w:rPr>
                <w:spacing w:val="-4"/>
                <w:sz w:val="16"/>
              </w:rPr>
              <w:t>55.6</w:t>
            </w:r>
          </w:p>
        </w:tc>
        <w:tc>
          <w:tcPr>
            <w:tcW w:w="915" w:type="dxa"/>
          </w:tcPr>
          <w:p>
            <w:pPr>
              <w:pStyle w:val="TableParagraph"/>
              <w:spacing w:line="172" w:lineRule="exact" w:before="19"/>
              <w:ind w:right="87"/>
              <w:jc w:val="right"/>
              <w:rPr>
                <w:sz w:val="16"/>
              </w:rPr>
            </w:pPr>
            <w:r>
              <w:rPr>
                <w:spacing w:val="-4"/>
                <w:sz w:val="16"/>
              </w:rPr>
              <w:t>1.50</w:t>
            </w:r>
          </w:p>
        </w:tc>
        <w:tc>
          <w:tcPr>
            <w:tcW w:w="1361" w:type="dxa"/>
          </w:tcPr>
          <w:p>
            <w:pPr>
              <w:pStyle w:val="TableParagraph"/>
              <w:spacing w:line="172" w:lineRule="exact" w:before="19"/>
              <w:ind w:right="249"/>
              <w:jc w:val="right"/>
              <w:rPr>
                <w:sz w:val="16"/>
              </w:rPr>
            </w:pPr>
            <w:r>
              <w:rPr>
                <w:spacing w:val="-4"/>
                <w:sz w:val="16"/>
              </w:rPr>
              <w:t>54.1</w:t>
            </w:r>
          </w:p>
        </w:tc>
        <w:tc>
          <w:tcPr>
            <w:tcW w:w="1124" w:type="dxa"/>
          </w:tcPr>
          <w:p>
            <w:pPr>
              <w:pStyle w:val="TableParagraph"/>
              <w:spacing w:line="172" w:lineRule="exact" w:before="19"/>
              <w:ind w:left="175" w:right="40"/>
              <w:jc w:val="center"/>
              <w:rPr>
                <w:sz w:val="16"/>
              </w:rPr>
            </w:pPr>
            <w:r>
              <w:rPr>
                <w:spacing w:val="-2"/>
                <w:sz w:val="16"/>
              </w:rPr>
              <w:t>1,280</w:t>
            </w:r>
          </w:p>
        </w:tc>
        <w:tc>
          <w:tcPr>
            <w:tcW w:w="912" w:type="dxa"/>
          </w:tcPr>
          <w:p>
            <w:pPr>
              <w:pStyle w:val="TableParagraph"/>
              <w:spacing w:line="172" w:lineRule="exact" w:before="19"/>
              <w:ind w:left="384"/>
              <w:rPr>
                <w:sz w:val="16"/>
              </w:rPr>
            </w:pPr>
            <w:r>
              <w:rPr>
                <w:spacing w:val="-4"/>
                <w:sz w:val="16"/>
              </w:rPr>
              <w:t>0.05</w:t>
            </w:r>
          </w:p>
        </w:tc>
      </w:tr>
      <w:tr>
        <w:trPr>
          <w:trHeight w:val="217" w:hRule="atLeast"/>
        </w:trPr>
        <w:tc>
          <w:tcPr>
            <w:tcW w:w="2089" w:type="dxa"/>
          </w:tcPr>
          <w:p>
            <w:pPr>
              <w:pStyle w:val="TableParagraph"/>
              <w:spacing w:before="3"/>
              <w:ind w:left="52"/>
              <w:rPr>
                <w:sz w:val="16"/>
              </w:rPr>
            </w:pPr>
            <w:r>
              <w:rPr>
                <w:spacing w:val="-2"/>
                <w:sz w:val="16"/>
              </w:rPr>
              <w:t>Uganda</w:t>
            </w:r>
          </w:p>
        </w:tc>
        <w:tc>
          <w:tcPr>
            <w:tcW w:w="1371" w:type="dxa"/>
          </w:tcPr>
          <w:p>
            <w:pPr>
              <w:pStyle w:val="TableParagraph"/>
              <w:spacing w:before="3"/>
              <w:ind w:right="300"/>
              <w:jc w:val="right"/>
              <w:rPr>
                <w:sz w:val="16"/>
              </w:rPr>
            </w:pPr>
            <w:r>
              <w:rPr>
                <w:spacing w:val="-2"/>
                <w:sz w:val="16"/>
              </w:rPr>
              <w:t>1,086</w:t>
            </w:r>
          </w:p>
        </w:tc>
        <w:tc>
          <w:tcPr>
            <w:tcW w:w="1043" w:type="dxa"/>
          </w:tcPr>
          <w:p>
            <w:pPr>
              <w:pStyle w:val="TableParagraph"/>
              <w:spacing w:before="3"/>
              <w:ind w:left="391"/>
              <w:rPr>
                <w:sz w:val="16"/>
              </w:rPr>
            </w:pPr>
            <w:r>
              <w:rPr>
                <w:spacing w:val="-4"/>
                <w:sz w:val="16"/>
              </w:rPr>
              <w:t>0.04</w:t>
            </w:r>
          </w:p>
        </w:tc>
        <w:tc>
          <w:tcPr>
            <w:tcW w:w="724" w:type="dxa"/>
          </w:tcPr>
          <w:p>
            <w:pPr>
              <w:pStyle w:val="TableParagraph"/>
              <w:spacing w:before="3"/>
              <w:ind w:right="87"/>
              <w:jc w:val="right"/>
              <w:rPr>
                <w:sz w:val="16"/>
              </w:rPr>
            </w:pPr>
            <w:r>
              <w:rPr>
                <w:spacing w:val="-2"/>
                <w:sz w:val="16"/>
              </w:rPr>
              <w:t>131.0</w:t>
            </w:r>
          </w:p>
        </w:tc>
        <w:tc>
          <w:tcPr>
            <w:tcW w:w="915" w:type="dxa"/>
          </w:tcPr>
          <w:p>
            <w:pPr>
              <w:pStyle w:val="TableParagraph"/>
              <w:spacing w:before="3"/>
              <w:ind w:right="87"/>
              <w:jc w:val="right"/>
              <w:rPr>
                <w:sz w:val="16"/>
              </w:rPr>
            </w:pPr>
            <w:r>
              <w:rPr>
                <w:spacing w:val="-4"/>
                <w:sz w:val="16"/>
              </w:rPr>
              <w:t>9.00</w:t>
            </w:r>
          </w:p>
        </w:tc>
        <w:tc>
          <w:tcPr>
            <w:tcW w:w="1361" w:type="dxa"/>
          </w:tcPr>
          <w:p>
            <w:pPr>
              <w:pStyle w:val="TableParagraph"/>
              <w:spacing w:before="3"/>
              <w:ind w:right="249"/>
              <w:jc w:val="right"/>
              <w:rPr>
                <w:sz w:val="16"/>
              </w:rPr>
            </w:pPr>
            <w:r>
              <w:rPr>
                <w:spacing w:val="-2"/>
                <w:sz w:val="16"/>
              </w:rPr>
              <w:t>122.0</w:t>
            </w:r>
          </w:p>
        </w:tc>
        <w:tc>
          <w:tcPr>
            <w:tcW w:w="1124" w:type="dxa"/>
          </w:tcPr>
          <w:p>
            <w:pPr>
              <w:pStyle w:val="TableParagraph"/>
              <w:spacing w:before="3"/>
              <w:ind w:left="175" w:right="40"/>
              <w:jc w:val="center"/>
              <w:rPr>
                <w:sz w:val="16"/>
              </w:rPr>
            </w:pPr>
            <w:r>
              <w:rPr>
                <w:spacing w:val="-2"/>
                <w:sz w:val="16"/>
              </w:rPr>
              <w:t>1,905</w:t>
            </w:r>
          </w:p>
        </w:tc>
        <w:tc>
          <w:tcPr>
            <w:tcW w:w="912" w:type="dxa"/>
          </w:tcPr>
          <w:p>
            <w:pPr>
              <w:pStyle w:val="TableParagraph"/>
              <w:spacing w:before="3"/>
              <w:ind w:left="384"/>
              <w:rPr>
                <w:sz w:val="16"/>
              </w:rPr>
            </w:pPr>
            <w:r>
              <w:rPr>
                <w:spacing w:val="-4"/>
                <w:sz w:val="16"/>
              </w:rPr>
              <w:t>0.07</w:t>
            </w:r>
          </w:p>
        </w:tc>
      </w:tr>
      <w:tr>
        <w:trPr>
          <w:trHeight w:val="217" w:hRule="atLeast"/>
        </w:trPr>
        <w:tc>
          <w:tcPr>
            <w:tcW w:w="2089" w:type="dxa"/>
          </w:tcPr>
          <w:p>
            <w:pPr>
              <w:pStyle w:val="TableParagraph"/>
              <w:spacing w:line="172" w:lineRule="exact" w:before="25"/>
              <w:ind w:left="52"/>
              <w:rPr>
                <w:sz w:val="16"/>
              </w:rPr>
            </w:pPr>
            <w:r>
              <w:rPr>
                <w:spacing w:val="-2"/>
                <w:sz w:val="16"/>
              </w:rPr>
              <w:t>Ukraine</w:t>
            </w:r>
          </w:p>
        </w:tc>
        <w:tc>
          <w:tcPr>
            <w:tcW w:w="1371" w:type="dxa"/>
          </w:tcPr>
          <w:p>
            <w:pPr>
              <w:pStyle w:val="TableParagraph"/>
              <w:spacing w:line="172" w:lineRule="exact" w:before="25"/>
              <w:ind w:right="300"/>
              <w:jc w:val="right"/>
              <w:rPr>
                <w:sz w:val="16"/>
              </w:rPr>
            </w:pPr>
            <w:r>
              <w:rPr>
                <w:spacing w:val="-2"/>
                <w:sz w:val="16"/>
              </w:rPr>
              <w:t>14,361</w:t>
            </w:r>
          </w:p>
        </w:tc>
        <w:tc>
          <w:tcPr>
            <w:tcW w:w="1043" w:type="dxa"/>
          </w:tcPr>
          <w:p>
            <w:pPr>
              <w:pStyle w:val="TableParagraph"/>
              <w:spacing w:line="172" w:lineRule="exact" w:before="25"/>
              <w:ind w:left="391"/>
              <w:rPr>
                <w:sz w:val="16"/>
              </w:rPr>
            </w:pPr>
            <w:r>
              <w:rPr>
                <w:spacing w:val="-4"/>
                <w:sz w:val="16"/>
              </w:rPr>
              <w:t>0.55</w:t>
            </w:r>
          </w:p>
        </w:tc>
        <w:tc>
          <w:tcPr>
            <w:tcW w:w="724" w:type="dxa"/>
          </w:tcPr>
          <w:p>
            <w:pPr>
              <w:pStyle w:val="TableParagraph"/>
              <w:spacing w:line="172" w:lineRule="exact" w:before="25"/>
              <w:ind w:right="87"/>
              <w:jc w:val="right"/>
              <w:rPr>
                <w:sz w:val="16"/>
              </w:rPr>
            </w:pPr>
            <w:r>
              <w:rPr>
                <w:spacing w:val="-2"/>
                <w:sz w:val="16"/>
              </w:rPr>
              <w:t>1,732.4</w:t>
            </w:r>
          </w:p>
        </w:tc>
        <w:tc>
          <w:tcPr>
            <w:tcW w:w="915" w:type="dxa"/>
          </w:tcPr>
          <w:p>
            <w:pPr>
              <w:pStyle w:val="TableParagraph"/>
              <w:spacing w:line="172" w:lineRule="exact" w:before="25"/>
              <w:ind w:right="87"/>
              <w:jc w:val="right"/>
              <w:rPr>
                <w:sz w:val="16"/>
              </w:rPr>
            </w:pPr>
            <w:r>
              <w:rPr>
                <w:spacing w:val="-2"/>
                <w:sz w:val="16"/>
              </w:rPr>
              <w:t>108.50</w:t>
            </w:r>
          </w:p>
        </w:tc>
        <w:tc>
          <w:tcPr>
            <w:tcW w:w="1361" w:type="dxa"/>
          </w:tcPr>
          <w:p>
            <w:pPr>
              <w:pStyle w:val="TableParagraph"/>
              <w:spacing w:line="172" w:lineRule="exact" w:before="25"/>
              <w:ind w:right="248"/>
              <w:jc w:val="right"/>
              <w:rPr>
                <w:sz w:val="16"/>
              </w:rPr>
            </w:pPr>
            <w:r>
              <w:rPr>
                <w:spacing w:val="-2"/>
                <w:sz w:val="16"/>
              </w:rPr>
              <w:t>1,623.9</w:t>
            </w:r>
          </w:p>
        </w:tc>
        <w:tc>
          <w:tcPr>
            <w:tcW w:w="1124" w:type="dxa"/>
          </w:tcPr>
          <w:p>
            <w:pPr>
              <w:pStyle w:val="TableParagraph"/>
              <w:spacing w:line="172" w:lineRule="exact" w:before="25"/>
              <w:ind w:left="147" w:right="101"/>
              <w:jc w:val="center"/>
              <w:rPr>
                <w:sz w:val="16"/>
              </w:rPr>
            </w:pPr>
            <w:r>
              <w:rPr>
                <w:spacing w:val="-2"/>
                <w:sz w:val="16"/>
              </w:rPr>
              <w:t>15,180</w:t>
            </w:r>
          </w:p>
        </w:tc>
        <w:tc>
          <w:tcPr>
            <w:tcW w:w="912" w:type="dxa"/>
          </w:tcPr>
          <w:p>
            <w:pPr>
              <w:pStyle w:val="TableParagraph"/>
              <w:spacing w:line="172" w:lineRule="exact" w:before="25"/>
              <w:ind w:left="384"/>
              <w:rPr>
                <w:sz w:val="16"/>
              </w:rPr>
            </w:pPr>
            <w:r>
              <w:rPr>
                <w:spacing w:val="-4"/>
                <w:sz w:val="16"/>
              </w:rPr>
              <w:t>0.54</w:t>
            </w:r>
          </w:p>
        </w:tc>
      </w:tr>
      <w:tr>
        <w:trPr>
          <w:trHeight w:val="206" w:hRule="atLeast"/>
        </w:trPr>
        <w:tc>
          <w:tcPr>
            <w:tcW w:w="2089" w:type="dxa"/>
          </w:tcPr>
          <w:p>
            <w:pPr>
              <w:pStyle w:val="TableParagraph"/>
              <w:spacing w:line="184" w:lineRule="exact" w:before="3"/>
              <w:ind w:left="52"/>
              <w:rPr>
                <w:sz w:val="16"/>
              </w:rPr>
            </w:pPr>
            <w:r>
              <w:rPr>
                <w:sz w:val="16"/>
              </w:rPr>
              <w:t>United</w:t>
            </w:r>
            <w:r>
              <w:rPr>
                <w:spacing w:val="-12"/>
                <w:sz w:val="16"/>
              </w:rPr>
              <w:t> </w:t>
            </w:r>
            <w:r>
              <w:rPr>
                <w:sz w:val="16"/>
              </w:rPr>
              <w:t>Arab</w:t>
            </w:r>
            <w:r>
              <w:rPr>
                <w:spacing w:val="-3"/>
                <w:sz w:val="16"/>
              </w:rPr>
              <w:t> </w:t>
            </w:r>
            <w:r>
              <w:rPr>
                <w:spacing w:val="-2"/>
                <w:sz w:val="16"/>
              </w:rPr>
              <w:t>Emirates</w:t>
            </w:r>
          </w:p>
        </w:tc>
        <w:tc>
          <w:tcPr>
            <w:tcW w:w="1371" w:type="dxa"/>
          </w:tcPr>
          <w:p>
            <w:pPr>
              <w:pStyle w:val="TableParagraph"/>
              <w:spacing w:line="184" w:lineRule="exact" w:before="3"/>
              <w:ind w:right="300"/>
              <w:jc w:val="right"/>
              <w:rPr>
                <w:sz w:val="16"/>
              </w:rPr>
            </w:pPr>
            <w:r>
              <w:rPr>
                <w:spacing w:val="-2"/>
                <w:sz w:val="16"/>
              </w:rPr>
              <w:t>6,702</w:t>
            </w:r>
          </w:p>
        </w:tc>
        <w:tc>
          <w:tcPr>
            <w:tcW w:w="1043" w:type="dxa"/>
          </w:tcPr>
          <w:p>
            <w:pPr>
              <w:pStyle w:val="TableParagraph"/>
              <w:spacing w:line="184" w:lineRule="exact" w:before="3"/>
              <w:ind w:left="391"/>
              <w:rPr>
                <w:sz w:val="16"/>
              </w:rPr>
            </w:pPr>
            <w:r>
              <w:rPr>
                <w:spacing w:val="-4"/>
                <w:sz w:val="16"/>
              </w:rPr>
              <w:t>0.25</w:t>
            </w:r>
          </w:p>
        </w:tc>
        <w:tc>
          <w:tcPr>
            <w:tcW w:w="724" w:type="dxa"/>
          </w:tcPr>
          <w:p>
            <w:pPr>
              <w:pStyle w:val="TableParagraph"/>
              <w:spacing w:line="184" w:lineRule="exact" w:before="3"/>
              <w:ind w:right="87"/>
              <w:jc w:val="right"/>
              <w:rPr>
                <w:sz w:val="16"/>
              </w:rPr>
            </w:pPr>
            <w:r>
              <w:rPr>
                <w:spacing w:val="-2"/>
                <w:sz w:val="16"/>
              </w:rPr>
              <w:t>808.5</w:t>
            </w:r>
          </w:p>
        </w:tc>
        <w:tc>
          <w:tcPr>
            <w:tcW w:w="915" w:type="dxa"/>
          </w:tcPr>
          <w:p>
            <w:pPr>
              <w:pStyle w:val="TableParagraph"/>
              <w:spacing w:line="184" w:lineRule="exact" w:before="3"/>
              <w:ind w:right="87"/>
              <w:jc w:val="right"/>
              <w:rPr>
                <w:sz w:val="16"/>
              </w:rPr>
            </w:pPr>
            <w:r>
              <w:rPr>
                <w:spacing w:val="-2"/>
                <w:sz w:val="16"/>
              </w:rPr>
              <w:t>61.80</w:t>
            </w:r>
          </w:p>
        </w:tc>
        <w:tc>
          <w:tcPr>
            <w:tcW w:w="1361" w:type="dxa"/>
          </w:tcPr>
          <w:p>
            <w:pPr>
              <w:pStyle w:val="TableParagraph"/>
              <w:spacing w:line="184" w:lineRule="exact" w:before="3"/>
              <w:ind w:right="249"/>
              <w:jc w:val="right"/>
              <w:rPr>
                <w:sz w:val="16"/>
              </w:rPr>
            </w:pPr>
            <w:r>
              <w:rPr>
                <w:spacing w:val="-2"/>
                <w:sz w:val="16"/>
              </w:rPr>
              <w:t>746.7</w:t>
            </w:r>
          </w:p>
        </w:tc>
        <w:tc>
          <w:tcPr>
            <w:tcW w:w="1124" w:type="dxa"/>
          </w:tcPr>
          <w:p>
            <w:pPr>
              <w:pStyle w:val="TableParagraph"/>
              <w:spacing w:line="184" w:lineRule="exact" w:before="3"/>
              <w:ind w:left="175" w:right="40"/>
              <w:jc w:val="center"/>
              <w:rPr>
                <w:sz w:val="16"/>
              </w:rPr>
            </w:pPr>
            <w:r>
              <w:rPr>
                <w:spacing w:val="-2"/>
                <w:sz w:val="16"/>
              </w:rPr>
              <w:t>7,521</w:t>
            </w:r>
          </w:p>
        </w:tc>
        <w:tc>
          <w:tcPr>
            <w:tcW w:w="912" w:type="dxa"/>
          </w:tcPr>
          <w:p>
            <w:pPr>
              <w:pStyle w:val="TableParagraph"/>
              <w:spacing w:line="184" w:lineRule="exact" w:before="3"/>
              <w:ind w:left="384"/>
              <w:rPr>
                <w:sz w:val="16"/>
              </w:rPr>
            </w:pPr>
            <w:r>
              <w:rPr>
                <w:spacing w:val="-4"/>
                <w:sz w:val="16"/>
              </w:rPr>
              <w:t>0.27</w:t>
            </w:r>
          </w:p>
        </w:tc>
      </w:tr>
      <w:tr>
        <w:trPr>
          <w:trHeight w:val="242" w:hRule="atLeast"/>
        </w:trPr>
        <w:tc>
          <w:tcPr>
            <w:tcW w:w="2089" w:type="dxa"/>
          </w:tcPr>
          <w:p>
            <w:pPr>
              <w:pStyle w:val="TableParagraph"/>
              <w:spacing w:before="36"/>
              <w:ind w:left="52"/>
              <w:rPr>
                <w:sz w:val="16"/>
              </w:rPr>
            </w:pPr>
            <w:r>
              <w:rPr>
                <w:sz w:val="16"/>
              </w:rPr>
              <w:t>United</w:t>
            </w:r>
            <w:r>
              <w:rPr>
                <w:spacing w:val="-6"/>
                <w:sz w:val="16"/>
              </w:rPr>
              <w:t> </w:t>
            </w:r>
            <w:r>
              <w:rPr>
                <w:sz w:val="16"/>
              </w:rPr>
              <w:t>Kingdom</w:t>
            </w:r>
            <w:r>
              <w:rPr>
                <w:spacing w:val="-5"/>
                <w:sz w:val="16"/>
              </w:rPr>
              <w:t> </w:t>
            </w:r>
            <w:r>
              <w:rPr>
                <w:spacing w:val="-10"/>
                <w:sz w:val="16"/>
                <w:vertAlign w:val="superscript"/>
              </w:rPr>
              <w:t>c</w:t>
            </w:r>
          </w:p>
        </w:tc>
        <w:tc>
          <w:tcPr>
            <w:tcW w:w="1371" w:type="dxa"/>
          </w:tcPr>
          <w:p>
            <w:pPr>
              <w:pStyle w:val="TableParagraph"/>
              <w:spacing w:before="36"/>
              <w:ind w:right="300"/>
              <w:jc w:val="right"/>
              <w:rPr>
                <w:sz w:val="16"/>
              </w:rPr>
            </w:pPr>
            <w:r>
              <w:rPr>
                <w:spacing w:val="-2"/>
                <w:sz w:val="16"/>
              </w:rPr>
              <w:t>108,611</w:t>
            </w:r>
          </w:p>
        </w:tc>
        <w:tc>
          <w:tcPr>
            <w:tcW w:w="1043" w:type="dxa"/>
          </w:tcPr>
          <w:p>
            <w:pPr>
              <w:pStyle w:val="TableParagraph"/>
              <w:spacing w:before="36"/>
              <w:ind w:left="391"/>
              <w:rPr>
                <w:sz w:val="16"/>
              </w:rPr>
            </w:pPr>
            <w:r>
              <w:rPr>
                <w:spacing w:val="-4"/>
                <w:sz w:val="16"/>
              </w:rPr>
              <w:t>4.12</w:t>
            </w:r>
          </w:p>
        </w:tc>
        <w:tc>
          <w:tcPr>
            <w:tcW w:w="724" w:type="dxa"/>
          </w:tcPr>
          <w:p>
            <w:pPr>
              <w:pStyle w:val="TableParagraph"/>
              <w:spacing w:before="36"/>
              <w:ind w:right="87"/>
              <w:jc w:val="right"/>
              <w:rPr>
                <w:sz w:val="16"/>
              </w:rPr>
            </w:pPr>
            <w:r>
              <w:rPr>
                <w:spacing w:val="-2"/>
                <w:sz w:val="16"/>
              </w:rPr>
              <w:t>13,102.3</w:t>
            </w:r>
          </w:p>
        </w:tc>
        <w:tc>
          <w:tcPr>
            <w:tcW w:w="915" w:type="dxa"/>
          </w:tcPr>
          <w:p>
            <w:pPr>
              <w:pStyle w:val="TableParagraph"/>
              <w:spacing w:before="36"/>
              <w:ind w:right="87"/>
              <w:jc w:val="right"/>
              <w:rPr>
                <w:sz w:val="16"/>
              </w:rPr>
            </w:pPr>
            <w:r>
              <w:rPr>
                <w:spacing w:val="-2"/>
                <w:sz w:val="16"/>
              </w:rPr>
              <w:t>975.70</w:t>
            </w:r>
          </w:p>
        </w:tc>
        <w:tc>
          <w:tcPr>
            <w:tcW w:w="1361" w:type="dxa"/>
          </w:tcPr>
          <w:p>
            <w:pPr>
              <w:pStyle w:val="TableParagraph"/>
              <w:spacing w:before="36"/>
              <w:ind w:right="248"/>
              <w:jc w:val="right"/>
              <w:rPr>
                <w:sz w:val="16"/>
              </w:rPr>
            </w:pPr>
            <w:r>
              <w:rPr>
                <w:spacing w:val="-2"/>
                <w:sz w:val="16"/>
              </w:rPr>
              <w:t>12,126.6</w:t>
            </w:r>
          </w:p>
        </w:tc>
        <w:tc>
          <w:tcPr>
            <w:tcW w:w="1124" w:type="dxa"/>
          </w:tcPr>
          <w:p>
            <w:pPr>
              <w:pStyle w:val="TableParagraph"/>
              <w:spacing w:before="36"/>
              <w:ind w:left="147" w:right="187"/>
              <w:jc w:val="center"/>
              <w:rPr>
                <w:sz w:val="16"/>
              </w:rPr>
            </w:pPr>
            <w:r>
              <w:rPr>
                <w:spacing w:val="-2"/>
                <w:sz w:val="16"/>
              </w:rPr>
              <w:t>109,430</w:t>
            </w:r>
          </w:p>
        </w:tc>
        <w:tc>
          <w:tcPr>
            <w:tcW w:w="912" w:type="dxa"/>
          </w:tcPr>
          <w:p>
            <w:pPr>
              <w:pStyle w:val="TableParagraph"/>
              <w:spacing w:before="36"/>
              <w:ind w:left="384"/>
              <w:rPr>
                <w:sz w:val="16"/>
              </w:rPr>
            </w:pPr>
            <w:r>
              <w:rPr>
                <w:spacing w:val="-4"/>
                <w:sz w:val="16"/>
              </w:rPr>
              <w:t>3.92</w:t>
            </w:r>
          </w:p>
        </w:tc>
      </w:tr>
      <w:tr>
        <w:trPr>
          <w:trHeight w:val="226" w:hRule="atLeast"/>
        </w:trPr>
        <w:tc>
          <w:tcPr>
            <w:tcW w:w="2089" w:type="dxa"/>
            <w:shd w:val="clear" w:color="auto" w:fill="D8D8D8"/>
          </w:tcPr>
          <w:p>
            <w:pPr>
              <w:pStyle w:val="TableParagraph"/>
              <w:spacing w:before="19"/>
              <w:ind w:left="52"/>
              <w:rPr>
                <w:sz w:val="16"/>
              </w:rPr>
            </w:pPr>
            <w:r>
              <w:rPr>
                <w:sz w:val="16"/>
              </w:rPr>
              <w:t>United</w:t>
            </w:r>
            <w:r>
              <w:rPr>
                <w:spacing w:val="-4"/>
                <w:sz w:val="16"/>
              </w:rPr>
              <w:t> </w:t>
            </w:r>
            <w:r>
              <w:rPr>
                <w:sz w:val="16"/>
              </w:rPr>
              <w:t>States</w:t>
            </w:r>
            <w:r>
              <w:rPr>
                <w:spacing w:val="-4"/>
                <w:sz w:val="16"/>
              </w:rPr>
              <w:t> </w:t>
            </w:r>
            <w:r>
              <w:rPr>
                <w:spacing w:val="-10"/>
                <w:sz w:val="16"/>
                <w:vertAlign w:val="superscript"/>
              </w:rPr>
              <w:t>c</w:t>
            </w:r>
          </w:p>
        </w:tc>
        <w:tc>
          <w:tcPr>
            <w:tcW w:w="1371" w:type="dxa"/>
            <w:shd w:val="clear" w:color="auto" w:fill="D8D8D8"/>
          </w:tcPr>
          <w:p>
            <w:pPr>
              <w:pStyle w:val="TableParagraph"/>
              <w:spacing w:before="19"/>
              <w:ind w:right="300"/>
              <w:jc w:val="right"/>
              <w:rPr>
                <w:sz w:val="16"/>
              </w:rPr>
            </w:pPr>
            <w:r>
              <w:rPr>
                <w:spacing w:val="-2"/>
                <w:sz w:val="16"/>
              </w:rPr>
              <w:t>438,475</w:t>
            </w:r>
          </w:p>
        </w:tc>
        <w:tc>
          <w:tcPr>
            <w:tcW w:w="1043" w:type="dxa"/>
            <w:shd w:val="clear" w:color="auto" w:fill="D8D8D8"/>
          </w:tcPr>
          <w:p>
            <w:pPr>
              <w:pStyle w:val="TableParagraph"/>
              <w:spacing w:before="19"/>
              <w:ind w:left="302"/>
              <w:rPr>
                <w:sz w:val="16"/>
              </w:rPr>
            </w:pPr>
            <w:r>
              <w:rPr>
                <w:spacing w:val="-2"/>
                <w:sz w:val="16"/>
              </w:rPr>
              <w:t>16.64</w:t>
            </w:r>
          </w:p>
        </w:tc>
        <w:tc>
          <w:tcPr>
            <w:tcW w:w="724" w:type="dxa"/>
            <w:shd w:val="clear" w:color="auto" w:fill="D8D8D8"/>
          </w:tcPr>
          <w:p>
            <w:pPr>
              <w:pStyle w:val="TableParagraph"/>
              <w:spacing w:before="19"/>
              <w:ind w:right="87"/>
              <w:jc w:val="right"/>
              <w:rPr>
                <w:sz w:val="16"/>
              </w:rPr>
            </w:pPr>
            <w:r>
              <w:rPr>
                <w:spacing w:val="-2"/>
                <w:sz w:val="16"/>
              </w:rPr>
              <w:t>52,895.4</w:t>
            </w:r>
          </w:p>
        </w:tc>
        <w:tc>
          <w:tcPr>
            <w:tcW w:w="915" w:type="dxa"/>
            <w:shd w:val="clear" w:color="auto" w:fill="D8D8D8"/>
          </w:tcPr>
          <w:p>
            <w:pPr>
              <w:pStyle w:val="TableParagraph"/>
              <w:spacing w:before="19"/>
              <w:ind w:right="87"/>
              <w:jc w:val="right"/>
              <w:rPr>
                <w:sz w:val="16"/>
              </w:rPr>
            </w:pPr>
            <w:r>
              <w:rPr>
                <w:spacing w:val="-2"/>
                <w:sz w:val="16"/>
              </w:rPr>
              <w:t>3,689.50</w:t>
            </w:r>
          </w:p>
        </w:tc>
        <w:tc>
          <w:tcPr>
            <w:tcW w:w="1361" w:type="dxa"/>
            <w:shd w:val="clear" w:color="auto" w:fill="D8D8D8"/>
          </w:tcPr>
          <w:p>
            <w:pPr>
              <w:pStyle w:val="TableParagraph"/>
              <w:spacing w:before="19"/>
              <w:ind w:right="248"/>
              <w:jc w:val="right"/>
              <w:rPr>
                <w:sz w:val="16"/>
              </w:rPr>
            </w:pPr>
            <w:r>
              <w:rPr>
                <w:spacing w:val="-2"/>
                <w:sz w:val="16"/>
              </w:rPr>
              <w:t>49,205.9</w:t>
            </w:r>
          </w:p>
        </w:tc>
        <w:tc>
          <w:tcPr>
            <w:tcW w:w="1124" w:type="dxa"/>
            <w:shd w:val="clear" w:color="auto" w:fill="D8D8D8"/>
          </w:tcPr>
          <w:p>
            <w:pPr>
              <w:pStyle w:val="TableParagraph"/>
              <w:spacing w:before="19"/>
              <w:ind w:left="147" w:right="187"/>
              <w:jc w:val="center"/>
              <w:rPr>
                <w:sz w:val="16"/>
              </w:rPr>
            </w:pPr>
            <w:r>
              <w:rPr>
                <w:spacing w:val="-2"/>
                <w:sz w:val="16"/>
              </w:rPr>
              <w:t>439,294</w:t>
            </w:r>
          </w:p>
        </w:tc>
        <w:tc>
          <w:tcPr>
            <w:tcW w:w="912" w:type="dxa"/>
            <w:shd w:val="clear" w:color="auto" w:fill="D8D8D8"/>
          </w:tcPr>
          <w:p>
            <w:pPr>
              <w:pStyle w:val="TableParagraph"/>
              <w:spacing w:before="19"/>
              <w:ind w:left="295"/>
              <w:rPr>
                <w:sz w:val="16"/>
              </w:rPr>
            </w:pPr>
            <w:r>
              <w:rPr>
                <w:spacing w:val="-2"/>
                <w:sz w:val="16"/>
              </w:rPr>
              <w:t>15.75</w:t>
            </w:r>
          </w:p>
        </w:tc>
      </w:tr>
      <w:tr>
        <w:trPr>
          <w:trHeight w:val="232" w:hRule="atLeast"/>
        </w:trPr>
        <w:tc>
          <w:tcPr>
            <w:tcW w:w="2089" w:type="dxa"/>
            <w:shd w:val="clear" w:color="auto" w:fill="D8D8D8"/>
          </w:tcPr>
          <w:p>
            <w:pPr>
              <w:pStyle w:val="TableParagraph"/>
              <w:spacing w:before="18"/>
              <w:ind w:left="52"/>
              <w:rPr>
                <w:sz w:val="16"/>
              </w:rPr>
            </w:pPr>
            <w:r>
              <w:rPr>
                <w:spacing w:val="-2"/>
                <w:sz w:val="16"/>
              </w:rPr>
              <w:t>Uruguay</w:t>
            </w:r>
          </w:p>
        </w:tc>
        <w:tc>
          <w:tcPr>
            <w:tcW w:w="1371" w:type="dxa"/>
            <w:shd w:val="clear" w:color="auto" w:fill="D8D8D8"/>
          </w:tcPr>
          <w:p>
            <w:pPr>
              <w:pStyle w:val="TableParagraph"/>
              <w:spacing w:before="18"/>
              <w:ind w:right="300"/>
              <w:jc w:val="right"/>
              <w:rPr>
                <w:sz w:val="16"/>
              </w:rPr>
            </w:pPr>
            <w:r>
              <w:rPr>
                <w:spacing w:val="-2"/>
                <w:sz w:val="16"/>
              </w:rPr>
              <w:t>3,563</w:t>
            </w:r>
          </w:p>
        </w:tc>
        <w:tc>
          <w:tcPr>
            <w:tcW w:w="1043" w:type="dxa"/>
            <w:shd w:val="clear" w:color="auto" w:fill="D8D8D8"/>
          </w:tcPr>
          <w:p>
            <w:pPr>
              <w:pStyle w:val="TableParagraph"/>
              <w:spacing w:before="18"/>
              <w:ind w:left="391"/>
              <w:rPr>
                <w:sz w:val="16"/>
              </w:rPr>
            </w:pPr>
            <w:r>
              <w:rPr>
                <w:spacing w:val="-4"/>
                <w:sz w:val="16"/>
              </w:rPr>
              <w:t>0.14</w:t>
            </w:r>
          </w:p>
        </w:tc>
        <w:tc>
          <w:tcPr>
            <w:tcW w:w="724" w:type="dxa"/>
            <w:shd w:val="clear" w:color="auto" w:fill="D8D8D8"/>
          </w:tcPr>
          <w:p>
            <w:pPr>
              <w:pStyle w:val="TableParagraph"/>
              <w:spacing w:before="18"/>
              <w:ind w:right="87"/>
              <w:jc w:val="right"/>
              <w:rPr>
                <w:sz w:val="16"/>
              </w:rPr>
            </w:pPr>
            <w:r>
              <w:rPr>
                <w:spacing w:val="-2"/>
                <w:sz w:val="16"/>
              </w:rPr>
              <w:t>429.8</w:t>
            </w:r>
          </w:p>
        </w:tc>
        <w:tc>
          <w:tcPr>
            <w:tcW w:w="915" w:type="dxa"/>
            <w:shd w:val="clear" w:color="auto" w:fill="D8D8D8"/>
          </w:tcPr>
          <w:p>
            <w:pPr>
              <w:pStyle w:val="TableParagraph"/>
              <w:spacing w:before="18"/>
              <w:ind w:right="87"/>
              <w:jc w:val="right"/>
              <w:rPr>
                <w:sz w:val="16"/>
              </w:rPr>
            </w:pPr>
            <w:r>
              <w:rPr>
                <w:spacing w:val="-2"/>
                <w:sz w:val="16"/>
              </w:rPr>
              <w:t>24.00</w:t>
            </w:r>
          </w:p>
        </w:tc>
        <w:tc>
          <w:tcPr>
            <w:tcW w:w="1361" w:type="dxa"/>
            <w:shd w:val="clear" w:color="auto" w:fill="D8D8D8"/>
          </w:tcPr>
          <w:p>
            <w:pPr>
              <w:pStyle w:val="TableParagraph"/>
              <w:spacing w:before="18"/>
              <w:ind w:right="249"/>
              <w:jc w:val="right"/>
              <w:rPr>
                <w:sz w:val="16"/>
              </w:rPr>
            </w:pPr>
            <w:r>
              <w:rPr>
                <w:spacing w:val="-2"/>
                <w:sz w:val="16"/>
              </w:rPr>
              <w:t>405.8</w:t>
            </w:r>
          </w:p>
        </w:tc>
        <w:tc>
          <w:tcPr>
            <w:tcW w:w="1124" w:type="dxa"/>
            <w:shd w:val="clear" w:color="auto" w:fill="D8D8D8"/>
          </w:tcPr>
          <w:p>
            <w:pPr>
              <w:pStyle w:val="TableParagraph"/>
              <w:spacing w:before="18"/>
              <w:ind w:left="175" w:right="40"/>
              <w:jc w:val="center"/>
              <w:rPr>
                <w:sz w:val="16"/>
              </w:rPr>
            </w:pPr>
            <w:r>
              <w:rPr>
                <w:spacing w:val="-2"/>
                <w:sz w:val="16"/>
              </w:rPr>
              <w:t>4,382</w:t>
            </w:r>
          </w:p>
        </w:tc>
        <w:tc>
          <w:tcPr>
            <w:tcW w:w="912" w:type="dxa"/>
            <w:shd w:val="clear" w:color="auto" w:fill="D8D8D8"/>
          </w:tcPr>
          <w:p>
            <w:pPr>
              <w:pStyle w:val="TableParagraph"/>
              <w:spacing w:before="18"/>
              <w:ind w:left="384"/>
              <w:rPr>
                <w:sz w:val="16"/>
              </w:rPr>
            </w:pPr>
            <w:r>
              <w:rPr>
                <w:spacing w:val="-4"/>
                <w:sz w:val="16"/>
              </w:rPr>
              <w:t>0.16</w:t>
            </w:r>
          </w:p>
        </w:tc>
      </w:tr>
      <w:tr>
        <w:trPr>
          <w:trHeight w:val="232" w:hRule="atLeast"/>
        </w:trPr>
        <w:tc>
          <w:tcPr>
            <w:tcW w:w="2089" w:type="dxa"/>
            <w:shd w:val="clear" w:color="auto" w:fill="DADADA"/>
          </w:tcPr>
          <w:p>
            <w:pPr>
              <w:pStyle w:val="TableParagraph"/>
              <w:spacing w:before="25"/>
              <w:ind w:left="52"/>
              <w:rPr>
                <w:sz w:val="16"/>
              </w:rPr>
            </w:pPr>
            <w:r>
              <w:rPr>
                <w:spacing w:val="-2"/>
                <w:sz w:val="16"/>
              </w:rPr>
              <w:t>Uzbekistan</w:t>
            </w:r>
          </w:p>
        </w:tc>
        <w:tc>
          <w:tcPr>
            <w:tcW w:w="1371" w:type="dxa"/>
            <w:shd w:val="clear" w:color="auto" w:fill="DADADA"/>
          </w:tcPr>
          <w:p>
            <w:pPr>
              <w:pStyle w:val="TableParagraph"/>
              <w:spacing w:before="25"/>
              <w:ind w:right="300"/>
              <w:jc w:val="right"/>
              <w:rPr>
                <w:sz w:val="16"/>
              </w:rPr>
            </w:pPr>
            <w:r>
              <w:rPr>
                <w:spacing w:val="-2"/>
                <w:sz w:val="16"/>
              </w:rPr>
              <w:t>4,238</w:t>
            </w:r>
          </w:p>
        </w:tc>
        <w:tc>
          <w:tcPr>
            <w:tcW w:w="1043" w:type="dxa"/>
            <w:shd w:val="clear" w:color="auto" w:fill="DADADA"/>
          </w:tcPr>
          <w:p>
            <w:pPr>
              <w:pStyle w:val="TableParagraph"/>
              <w:spacing w:before="25"/>
              <w:ind w:left="391"/>
              <w:rPr>
                <w:sz w:val="16"/>
              </w:rPr>
            </w:pPr>
            <w:r>
              <w:rPr>
                <w:spacing w:val="-4"/>
                <w:sz w:val="16"/>
              </w:rPr>
              <w:t>0.16</w:t>
            </w:r>
          </w:p>
        </w:tc>
        <w:tc>
          <w:tcPr>
            <w:tcW w:w="724" w:type="dxa"/>
            <w:shd w:val="clear" w:color="auto" w:fill="DADADA"/>
          </w:tcPr>
          <w:p>
            <w:pPr>
              <w:pStyle w:val="TableParagraph"/>
              <w:spacing w:before="25"/>
              <w:ind w:right="87"/>
              <w:jc w:val="right"/>
              <w:rPr>
                <w:sz w:val="16"/>
              </w:rPr>
            </w:pPr>
            <w:r>
              <w:rPr>
                <w:spacing w:val="-2"/>
                <w:sz w:val="16"/>
              </w:rPr>
              <w:t>511.3</w:t>
            </w:r>
          </w:p>
        </w:tc>
        <w:tc>
          <w:tcPr>
            <w:tcW w:w="915" w:type="dxa"/>
            <w:shd w:val="clear" w:color="auto" w:fill="DADADA"/>
          </w:tcPr>
          <w:p>
            <w:pPr>
              <w:pStyle w:val="TableParagraph"/>
              <w:spacing w:before="25"/>
              <w:ind w:right="87"/>
              <w:jc w:val="right"/>
              <w:rPr>
                <w:sz w:val="16"/>
              </w:rPr>
            </w:pPr>
            <w:r>
              <w:rPr>
                <w:spacing w:val="-2"/>
                <w:sz w:val="16"/>
              </w:rPr>
              <w:t>32.90</w:t>
            </w:r>
          </w:p>
        </w:tc>
        <w:tc>
          <w:tcPr>
            <w:tcW w:w="1361" w:type="dxa"/>
            <w:shd w:val="clear" w:color="auto" w:fill="DADADA"/>
          </w:tcPr>
          <w:p>
            <w:pPr>
              <w:pStyle w:val="TableParagraph"/>
              <w:spacing w:before="25"/>
              <w:ind w:right="249"/>
              <w:jc w:val="right"/>
              <w:rPr>
                <w:sz w:val="16"/>
              </w:rPr>
            </w:pPr>
            <w:r>
              <w:rPr>
                <w:spacing w:val="-2"/>
                <w:sz w:val="16"/>
              </w:rPr>
              <w:t>478.4</w:t>
            </w:r>
          </w:p>
        </w:tc>
        <w:tc>
          <w:tcPr>
            <w:tcW w:w="1124" w:type="dxa"/>
            <w:shd w:val="clear" w:color="auto" w:fill="DADADA"/>
          </w:tcPr>
          <w:p>
            <w:pPr>
              <w:pStyle w:val="TableParagraph"/>
              <w:spacing w:before="25"/>
              <w:ind w:left="175" w:right="40"/>
              <w:jc w:val="center"/>
              <w:rPr>
                <w:sz w:val="16"/>
              </w:rPr>
            </w:pPr>
            <w:r>
              <w:rPr>
                <w:spacing w:val="-2"/>
                <w:sz w:val="16"/>
              </w:rPr>
              <w:t>5,057</w:t>
            </w:r>
          </w:p>
        </w:tc>
        <w:tc>
          <w:tcPr>
            <w:tcW w:w="912" w:type="dxa"/>
            <w:shd w:val="clear" w:color="auto" w:fill="DADADA"/>
          </w:tcPr>
          <w:p>
            <w:pPr>
              <w:pStyle w:val="TableParagraph"/>
              <w:spacing w:before="25"/>
              <w:ind w:left="384"/>
              <w:rPr>
                <w:sz w:val="16"/>
              </w:rPr>
            </w:pPr>
            <w:r>
              <w:rPr>
                <w:spacing w:val="-4"/>
                <w:sz w:val="16"/>
              </w:rPr>
              <w:t>0.18</w:t>
            </w:r>
          </w:p>
        </w:tc>
      </w:tr>
      <w:tr>
        <w:trPr>
          <w:trHeight w:val="232" w:hRule="atLeast"/>
        </w:trPr>
        <w:tc>
          <w:tcPr>
            <w:tcW w:w="2089" w:type="dxa"/>
            <w:shd w:val="clear" w:color="auto" w:fill="DADADA"/>
          </w:tcPr>
          <w:p>
            <w:pPr>
              <w:pStyle w:val="TableParagraph"/>
              <w:spacing w:before="18"/>
              <w:ind w:left="52"/>
              <w:rPr>
                <w:sz w:val="16"/>
              </w:rPr>
            </w:pPr>
            <w:r>
              <w:rPr>
                <w:spacing w:val="-2"/>
                <w:sz w:val="16"/>
              </w:rPr>
              <w:t>Vanuatu</w:t>
            </w:r>
          </w:p>
        </w:tc>
        <w:tc>
          <w:tcPr>
            <w:tcW w:w="1371" w:type="dxa"/>
            <w:shd w:val="clear" w:color="auto" w:fill="DADADA"/>
          </w:tcPr>
          <w:p>
            <w:pPr>
              <w:pStyle w:val="TableParagraph"/>
              <w:spacing w:before="18"/>
              <w:ind w:right="300"/>
              <w:jc w:val="right"/>
              <w:rPr>
                <w:sz w:val="16"/>
              </w:rPr>
            </w:pPr>
            <w:r>
              <w:rPr>
                <w:spacing w:val="-5"/>
                <w:sz w:val="16"/>
              </w:rPr>
              <w:t>765</w:t>
            </w:r>
          </w:p>
        </w:tc>
        <w:tc>
          <w:tcPr>
            <w:tcW w:w="1043" w:type="dxa"/>
            <w:shd w:val="clear" w:color="auto" w:fill="DADADA"/>
          </w:tcPr>
          <w:p>
            <w:pPr>
              <w:pStyle w:val="TableParagraph"/>
              <w:spacing w:before="18"/>
              <w:ind w:left="391"/>
              <w:rPr>
                <w:sz w:val="16"/>
              </w:rPr>
            </w:pPr>
            <w:r>
              <w:rPr>
                <w:spacing w:val="-4"/>
                <w:sz w:val="16"/>
              </w:rPr>
              <w:t>0.03</w:t>
            </w:r>
          </w:p>
        </w:tc>
        <w:tc>
          <w:tcPr>
            <w:tcW w:w="724" w:type="dxa"/>
            <w:shd w:val="clear" w:color="auto" w:fill="DADADA"/>
          </w:tcPr>
          <w:p>
            <w:pPr>
              <w:pStyle w:val="TableParagraph"/>
              <w:spacing w:before="18"/>
              <w:ind w:right="87"/>
              <w:jc w:val="right"/>
              <w:rPr>
                <w:sz w:val="16"/>
              </w:rPr>
            </w:pPr>
            <w:r>
              <w:rPr>
                <w:spacing w:val="-4"/>
                <w:sz w:val="16"/>
              </w:rPr>
              <w:t>92.3</w:t>
            </w:r>
          </w:p>
        </w:tc>
        <w:tc>
          <w:tcPr>
            <w:tcW w:w="915" w:type="dxa"/>
            <w:shd w:val="clear" w:color="auto" w:fill="DADADA"/>
          </w:tcPr>
          <w:p>
            <w:pPr>
              <w:pStyle w:val="TableParagraph"/>
              <w:spacing w:before="18"/>
              <w:ind w:right="87"/>
              <w:jc w:val="right"/>
              <w:rPr>
                <w:sz w:val="16"/>
              </w:rPr>
            </w:pPr>
            <w:r>
              <w:rPr>
                <w:spacing w:val="-4"/>
                <w:sz w:val="16"/>
              </w:rPr>
              <w:t>3.10</w:t>
            </w:r>
          </w:p>
        </w:tc>
        <w:tc>
          <w:tcPr>
            <w:tcW w:w="1361" w:type="dxa"/>
            <w:shd w:val="clear" w:color="auto" w:fill="DADADA"/>
          </w:tcPr>
          <w:p>
            <w:pPr>
              <w:pStyle w:val="TableParagraph"/>
              <w:spacing w:before="18"/>
              <w:ind w:right="249"/>
              <w:jc w:val="right"/>
              <w:rPr>
                <w:sz w:val="16"/>
              </w:rPr>
            </w:pPr>
            <w:r>
              <w:rPr>
                <w:spacing w:val="-4"/>
                <w:sz w:val="16"/>
              </w:rPr>
              <w:t>89.2</w:t>
            </w:r>
          </w:p>
        </w:tc>
        <w:tc>
          <w:tcPr>
            <w:tcW w:w="1124" w:type="dxa"/>
            <w:shd w:val="clear" w:color="auto" w:fill="DADADA"/>
          </w:tcPr>
          <w:p>
            <w:pPr>
              <w:pStyle w:val="TableParagraph"/>
              <w:spacing w:before="18"/>
              <w:ind w:left="175" w:right="40"/>
              <w:jc w:val="center"/>
              <w:rPr>
                <w:sz w:val="16"/>
              </w:rPr>
            </w:pPr>
            <w:r>
              <w:rPr>
                <w:spacing w:val="-2"/>
                <w:sz w:val="16"/>
              </w:rPr>
              <w:t>1,584</w:t>
            </w:r>
          </w:p>
        </w:tc>
        <w:tc>
          <w:tcPr>
            <w:tcW w:w="912" w:type="dxa"/>
            <w:shd w:val="clear" w:color="auto" w:fill="DADADA"/>
          </w:tcPr>
          <w:p>
            <w:pPr>
              <w:pStyle w:val="TableParagraph"/>
              <w:spacing w:before="18"/>
              <w:ind w:left="384"/>
              <w:rPr>
                <w:sz w:val="16"/>
              </w:rPr>
            </w:pPr>
            <w:r>
              <w:rPr>
                <w:spacing w:val="-4"/>
                <w:sz w:val="16"/>
              </w:rPr>
              <w:t>0.06</w:t>
            </w:r>
          </w:p>
        </w:tc>
      </w:tr>
      <w:tr>
        <w:trPr>
          <w:trHeight w:val="215" w:hRule="atLeast"/>
        </w:trPr>
        <w:tc>
          <w:tcPr>
            <w:tcW w:w="2089" w:type="dxa"/>
            <w:shd w:val="clear" w:color="auto" w:fill="D8D8D8"/>
          </w:tcPr>
          <w:p>
            <w:pPr>
              <w:pStyle w:val="TableParagraph"/>
              <w:spacing w:line="171" w:lineRule="exact" w:before="25"/>
              <w:ind w:left="52"/>
              <w:rPr>
                <w:sz w:val="16"/>
              </w:rPr>
            </w:pPr>
            <w:r>
              <w:rPr>
                <w:spacing w:val="-2"/>
                <w:sz w:val="16"/>
              </w:rPr>
              <w:t>Venezuela,</w:t>
            </w:r>
            <w:r>
              <w:rPr>
                <w:spacing w:val="4"/>
                <w:sz w:val="16"/>
              </w:rPr>
              <w:t> </w:t>
            </w:r>
            <w:r>
              <w:rPr>
                <w:spacing w:val="-2"/>
                <w:sz w:val="16"/>
              </w:rPr>
              <w:t>Republica</w:t>
            </w:r>
          </w:p>
        </w:tc>
        <w:tc>
          <w:tcPr>
            <w:tcW w:w="1371" w:type="dxa"/>
            <w:shd w:val="clear" w:color="auto" w:fill="D8D8D8"/>
          </w:tcPr>
          <w:p>
            <w:pPr>
              <w:pStyle w:val="TableParagraph"/>
              <w:spacing w:line="171" w:lineRule="exact" w:before="25"/>
              <w:ind w:right="300"/>
              <w:jc w:val="right"/>
              <w:rPr>
                <w:sz w:val="16"/>
              </w:rPr>
            </w:pPr>
            <w:r>
              <w:rPr>
                <w:spacing w:val="-2"/>
                <w:sz w:val="16"/>
              </w:rPr>
              <w:t>20,361</w:t>
            </w:r>
          </w:p>
        </w:tc>
        <w:tc>
          <w:tcPr>
            <w:tcW w:w="1043" w:type="dxa"/>
            <w:shd w:val="clear" w:color="auto" w:fill="D8D8D8"/>
          </w:tcPr>
          <w:p>
            <w:pPr>
              <w:pStyle w:val="TableParagraph"/>
              <w:spacing w:line="171" w:lineRule="exact" w:before="25"/>
              <w:ind w:left="391"/>
              <w:rPr>
                <w:sz w:val="16"/>
              </w:rPr>
            </w:pPr>
            <w:r>
              <w:rPr>
                <w:spacing w:val="-4"/>
                <w:sz w:val="16"/>
              </w:rPr>
              <w:t>0.77</w:t>
            </w:r>
          </w:p>
        </w:tc>
        <w:tc>
          <w:tcPr>
            <w:tcW w:w="724" w:type="dxa"/>
            <w:shd w:val="clear" w:color="auto" w:fill="D8D8D8"/>
          </w:tcPr>
          <w:p>
            <w:pPr>
              <w:pStyle w:val="TableParagraph"/>
              <w:spacing w:line="171" w:lineRule="exact" w:before="25"/>
              <w:ind w:right="87"/>
              <w:jc w:val="right"/>
              <w:rPr>
                <w:sz w:val="16"/>
              </w:rPr>
            </w:pPr>
            <w:r>
              <w:rPr>
                <w:spacing w:val="-2"/>
                <w:sz w:val="16"/>
              </w:rPr>
              <w:t>2,456.2</w:t>
            </w:r>
          </w:p>
        </w:tc>
        <w:tc>
          <w:tcPr>
            <w:tcW w:w="915" w:type="dxa"/>
            <w:shd w:val="clear" w:color="auto" w:fill="D8D8D8"/>
          </w:tcPr>
          <w:p>
            <w:pPr>
              <w:pStyle w:val="TableParagraph"/>
              <w:spacing w:line="171" w:lineRule="exact" w:before="25"/>
              <w:ind w:right="87"/>
              <w:jc w:val="right"/>
              <w:rPr>
                <w:sz w:val="16"/>
              </w:rPr>
            </w:pPr>
            <w:r>
              <w:rPr>
                <w:spacing w:val="-2"/>
                <w:sz w:val="16"/>
              </w:rPr>
              <w:t>150.80</w:t>
            </w:r>
          </w:p>
        </w:tc>
        <w:tc>
          <w:tcPr>
            <w:tcW w:w="1361" w:type="dxa"/>
            <w:shd w:val="clear" w:color="auto" w:fill="D8D8D8"/>
          </w:tcPr>
          <w:p>
            <w:pPr>
              <w:pStyle w:val="TableParagraph"/>
              <w:spacing w:line="171" w:lineRule="exact" w:before="25"/>
              <w:ind w:right="248"/>
              <w:jc w:val="right"/>
              <w:rPr>
                <w:sz w:val="16"/>
              </w:rPr>
            </w:pPr>
            <w:r>
              <w:rPr>
                <w:spacing w:val="-2"/>
                <w:sz w:val="16"/>
              </w:rPr>
              <w:t>2,305.5</w:t>
            </w:r>
          </w:p>
        </w:tc>
        <w:tc>
          <w:tcPr>
            <w:tcW w:w="1124" w:type="dxa"/>
            <w:shd w:val="clear" w:color="auto" w:fill="D8D8D8"/>
          </w:tcPr>
          <w:p>
            <w:pPr>
              <w:pStyle w:val="TableParagraph"/>
              <w:spacing w:line="171" w:lineRule="exact" w:before="25"/>
              <w:ind w:left="147" w:right="101"/>
              <w:jc w:val="center"/>
              <w:rPr>
                <w:sz w:val="16"/>
              </w:rPr>
            </w:pPr>
            <w:r>
              <w:rPr>
                <w:spacing w:val="-2"/>
                <w:sz w:val="16"/>
              </w:rPr>
              <w:t>21,180</w:t>
            </w:r>
          </w:p>
        </w:tc>
        <w:tc>
          <w:tcPr>
            <w:tcW w:w="912" w:type="dxa"/>
            <w:shd w:val="clear" w:color="auto" w:fill="D8D8D8"/>
          </w:tcPr>
          <w:p>
            <w:pPr>
              <w:pStyle w:val="TableParagraph"/>
              <w:spacing w:line="171" w:lineRule="exact" w:before="25"/>
              <w:ind w:left="384"/>
              <w:rPr>
                <w:sz w:val="16"/>
              </w:rPr>
            </w:pPr>
            <w:r>
              <w:rPr>
                <w:spacing w:val="-4"/>
                <w:sz w:val="16"/>
              </w:rPr>
              <w:t>0.76</w:t>
            </w:r>
          </w:p>
        </w:tc>
      </w:tr>
      <w:tr>
        <w:trPr>
          <w:trHeight w:val="225" w:hRule="atLeast"/>
        </w:trPr>
        <w:tc>
          <w:tcPr>
            <w:tcW w:w="2089" w:type="dxa"/>
            <w:shd w:val="clear" w:color="auto" w:fill="D8D8D8"/>
          </w:tcPr>
          <w:p>
            <w:pPr>
              <w:pStyle w:val="TableParagraph"/>
              <w:spacing w:before="1"/>
              <w:ind w:left="52"/>
              <w:rPr>
                <w:sz w:val="16"/>
              </w:rPr>
            </w:pPr>
            <w:r>
              <w:rPr>
                <w:sz w:val="16"/>
              </w:rPr>
              <w:t>Bolivariana</w:t>
            </w:r>
            <w:r>
              <w:rPr>
                <w:spacing w:val="-8"/>
                <w:sz w:val="16"/>
              </w:rPr>
              <w:t> </w:t>
            </w:r>
            <w:r>
              <w:rPr>
                <w:spacing w:val="-5"/>
                <w:sz w:val="16"/>
              </w:rPr>
              <w:t>de</w:t>
            </w:r>
          </w:p>
        </w:tc>
        <w:tc>
          <w:tcPr>
            <w:tcW w:w="1371" w:type="dxa"/>
            <w:shd w:val="clear" w:color="auto" w:fill="D8D8D8"/>
          </w:tcPr>
          <w:p>
            <w:pPr>
              <w:pStyle w:val="TableParagraph"/>
              <w:rPr>
                <w:rFonts w:ascii="Times New Roman"/>
                <w:sz w:val="16"/>
              </w:rPr>
            </w:pPr>
          </w:p>
        </w:tc>
        <w:tc>
          <w:tcPr>
            <w:tcW w:w="1043" w:type="dxa"/>
            <w:shd w:val="clear" w:color="auto" w:fill="D8D8D8"/>
          </w:tcPr>
          <w:p>
            <w:pPr>
              <w:pStyle w:val="TableParagraph"/>
              <w:rPr>
                <w:rFonts w:ascii="Times New Roman"/>
                <w:sz w:val="16"/>
              </w:rPr>
            </w:pPr>
          </w:p>
        </w:tc>
        <w:tc>
          <w:tcPr>
            <w:tcW w:w="724" w:type="dxa"/>
            <w:shd w:val="clear" w:color="auto" w:fill="D8D8D8"/>
          </w:tcPr>
          <w:p>
            <w:pPr>
              <w:pStyle w:val="TableParagraph"/>
              <w:rPr>
                <w:rFonts w:ascii="Times New Roman"/>
                <w:sz w:val="16"/>
              </w:rPr>
            </w:pPr>
          </w:p>
        </w:tc>
        <w:tc>
          <w:tcPr>
            <w:tcW w:w="915" w:type="dxa"/>
            <w:shd w:val="clear" w:color="auto" w:fill="D8D8D8"/>
          </w:tcPr>
          <w:p>
            <w:pPr>
              <w:pStyle w:val="TableParagraph"/>
              <w:rPr>
                <w:rFonts w:ascii="Times New Roman"/>
                <w:sz w:val="16"/>
              </w:rPr>
            </w:pPr>
          </w:p>
        </w:tc>
        <w:tc>
          <w:tcPr>
            <w:tcW w:w="1361" w:type="dxa"/>
            <w:shd w:val="clear" w:color="auto" w:fill="D8D8D8"/>
          </w:tcPr>
          <w:p>
            <w:pPr>
              <w:pStyle w:val="TableParagraph"/>
              <w:rPr>
                <w:rFonts w:ascii="Times New Roman"/>
                <w:sz w:val="16"/>
              </w:rPr>
            </w:pPr>
          </w:p>
        </w:tc>
        <w:tc>
          <w:tcPr>
            <w:tcW w:w="1124" w:type="dxa"/>
            <w:shd w:val="clear" w:color="auto" w:fill="D8D8D8"/>
          </w:tcPr>
          <w:p>
            <w:pPr>
              <w:pStyle w:val="TableParagraph"/>
              <w:rPr>
                <w:rFonts w:ascii="Times New Roman"/>
                <w:sz w:val="16"/>
              </w:rPr>
            </w:pPr>
          </w:p>
        </w:tc>
        <w:tc>
          <w:tcPr>
            <w:tcW w:w="912" w:type="dxa"/>
            <w:shd w:val="clear" w:color="auto" w:fill="D8D8D8"/>
          </w:tcPr>
          <w:p>
            <w:pPr>
              <w:pStyle w:val="TableParagraph"/>
              <w:rPr>
                <w:rFonts w:ascii="Times New Roman"/>
                <w:sz w:val="16"/>
              </w:rPr>
            </w:pPr>
          </w:p>
        </w:tc>
      </w:tr>
      <w:tr>
        <w:trPr>
          <w:trHeight w:val="211" w:hRule="atLeast"/>
        </w:trPr>
        <w:tc>
          <w:tcPr>
            <w:tcW w:w="2089" w:type="dxa"/>
          </w:tcPr>
          <w:p>
            <w:pPr>
              <w:pStyle w:val="TableParagraph"/>
              <w:spacing w:line="172" w:lineRule="exact" w:before="19"/>
              <w:ind w:left="52"/>
              <w:rPr>
                <w:sz w:val="16"/>
              </w:rPr>
            </w:pPr>
            <w:r>
              <w:rPr>
                <w:spacing w:val="-2"/>
                <w:sz w:val="16"/>
              </w:rPr>
              <w:t>Vietnam</w:t>
            </w:r>
          </w:p>
        </w:tc>
        <w:tc>
          <w:tcPr>
            <w:tcW w:w="1371" w:type="dxa"/>
          </w:tcPr>
          <w:p>
            <w:pPr>
              <w:pStyle w:val="TableParagraph"/>
              <w:spacing w:line="172" w:lineRule="exact" w:before="19"/>
              <w:ind w:right="300"/>
              <w:jc w:val="right"/>
              <w:rPr>
                <w:sz w:val="16"/>
              </w:rPr>
            </w:pPr>
            <w:r>
              <w:rPr>
                <w:spacing w:val="-2"/>
                <w:sz w:val="16"/>
              </w:rPr>
              <w:t>4,931</w:t>
            </w:r>
          </w:p>
        </w:tc>
        <w:tc>
          <w:tcPr>
            <w:tcW w:w="1043" w:type="dxa"/>
          </w:tcPr>
          <w:p>
            <w:pPr>
              <w:pStyle w:val="TableParagraph"/>
              <w:spacing w:line="172" w:lineRule="exact" w:before="19"/>
              <w:ind w:left="391"/>
              <w:rPr>
                <w:sz w:val="16"/>
              </w:rPr>
            </w:pPr>
            <w:r>
              <w:rPr>
                <w:spacing w:val="-4"/>
                <w:sz w:val="16"/>
              </w:rPr>
              <w:t>0.19</w:t>
            </w:r>
          </w:p>
        </w:tc>
        <w:tc>
          <w:tcPr>
            <w:tcW w:w="724" w:type="dxa"/>
          </w:tcPr>
          <w:p>
            <w:pPr>
              <w:pStyle w:val="TableParagraph"/>
              <w:spacing w:line="172" w:lineRule="exact" w:before="19"/>
              <w:ind w:right="87"/>
              <w:jc w:val="right"/>
              <w:rPr>
                <w:sz w:val="16"/>
              </w:rPr>
            </w:pPr>
            <w:r>
              <w:rPr>
                <w:spacing w:val="-2"/>
                <w:sz w:val="16"/>
              </w:rPr>
              <w:t>594.9</w:t>
            </w:r>
          </w:p>
        </w:tc>
        <w:tc>
          <w:tcPr>
            <w:tcW w:w="915" w:type="dxa"/>
          </w:tcPr>
          <w:p>
            <w:pPr>
              <w:pStyle w:val="TableParagraph"/>
              <w:spacing w:line="172" w:lineRule="exact" w:before="19"/>
              <w:ind w:right="87"/>
              <w:jc w:val="right"/>
              <w:rPr>
                <w:sz w:val="16"/>
              </w:rPr>
            </w:pPr>
            <w:r>
              <w:rPr>
                <w:spacing w:val="-2"/>
                <w:sz w:val="16"/>
              </w:rPr>
              <w:t>41.70</w:t>
            </w:r>
          </w:p>
        </w:tc>
        <w:tc>
          <w:tcPr>
            <w:tcW w:w="1361" w:type="dxa"/>
          </w:tcPr>
          <w:p>
            <w:pPr>
              <w:pStyle w:val="TableParagraph"/>
              <w:spacing w:line="172" w:lineRule="exact" w:before="19"/>
              <w:ind w:right="249"/>
              <w:jc w:val="right"/>
              <w:rPr>
                <w:sz w:val="16"/>
              </w:rPr>
            </w:pPr>
            <w:r>
              <w:rPr>
                <w:spacing w:val="-2"/>
                <w:sz w:val="16"/>
              </w:rPr>
              <w:t>553.1</w:t>
            </w:r>
          </w:p>
        </w:tc>
        <w:tc>
          <w:tcPr>
            <w:tcW w:w="1124" w:type="dxa"/>
          </w:tcPr>
          <w:p>
            <w:pPr>
              <w:pStyle w:val="TableParagraph"/>
              <w:spacing w:line="172" w:lineRule="exact" w:before="19"/>
              <w:ind w:left="175" w:right="40"/>
              <w:jc w:val="center"/>
              <w:rPr>
                <w:sz w:val="16"/>
              </w:rPr>
            </w:pPr>
            <w:r>
              <w:rPr>
                <w:spacing w:val="-2"/>
                <w:sz w:val="16"/>
              </w:rPr>
              <w:t>5,750</w:t>
            </w:r>
          </w:p>
        </w:tc>
        <w:tc>
          <w:tcPr>
            <w:tcW w:w="912" w:type="dxa"/>
          </w:tcPr>
          <w:p>
            <w:pPr>
              <w:pStyle w:val="TableParagraph"/>
              <w:spacing w:line="172" w:lineRule="exact" w:before="19"/>
              <w:ind w:left="384"/>
              <w:rPr>
                <w:sz w:val="16"/>
              </w:rPr>
            </w:pPr>
            <w:r>
              <w:rPr>
                <w:spacing w:val="-4"/>
                <w:sz w:val="16"/>
              </w:rPr>
              <w:t>0.21</w:t>
            </w:r>
          </w:p>
        </w:tc>
      </w:tr>
      <w:tr>
        <w:trPr>
          <w:trHeight w:val="217" w:hRule="atLeast"/>
        </w:trPr>
        <w:tc>
          <w:tcPr>
            <w:tcW w:w="2089" w:type="dxa"/>
          </w:tcPr>
          <w:p>
            <w:pPr>
              <w:pStyle w:val="TableParagraph"/>
              <w:spacing w:before="3"/>
              <w:ind w:left="52"/>
              <w:rPr>
                <w:sz w:val="16"/>
              </w:rPr>
            </w:pPr>
            <w:r>
              <w:rPr>
                <w:spacing w:val="-2"/>
                <w:sz w:val="16"/>
              </w:rPr>
              <w:t>Yemen,</w:t>
            </w:r>
            <w:r>
              <w:rPr>
                <w:spacing w:val="1"/>
                <w:sz w:val="16"/>
              </w:rPr>
              <w:t> </w:t>
            </w:r>
            <w:r>
              <w:rPr>
                <w:spacing w:val="-2"/>
                <w:sz w:val="16"/>
              </w:rPr>
              <w:t>Republic</w:t>
            </w:r>
            <w:r>
              <w:rPr>
                <w:spacing w:val="2"/>
                <w:sz w:val="16"/>
              </w:rPr>
              <w:t> </w:t>
            </w:r>
            <w:r>
              <w:rPr>
                <w:spacing w:val="-5"/>
                <w:sz w:val="16"/>
              </w:rPr>
              <w:t>of</w:t>
            </w:r>
          </w:p>
        </w:tc>
        <w:tc>
          <w:tcPr>
            <w:tcW w:w="1371" w:type="dxa"/>
          </w:tcPr>
          <w:p>
            <w:pPr>
              <w:pStyle w:val="TableParagraph"/>
              <w:spacing w:before="3"/>
              <w:ind w:right="300"/>
              <w:jc w:val="right"/>
              <w:rPr>
                <w:sz w:val="16"/>
              </w:rPr>
            </w:pPr>
            <w:r>
              <w:rPr>
                <w:spacing w:val="-2"/>
                <w:sz w:val="16"/>
              </w:rPr>
              <w:t>2,212</w:t>
            </w:r>
          </w:p>
        </w:tc>
        <w:tc>
          <w:tcPr>
            <w:tcW w:w="1043" w:type="dxa"/>
          </w:tcPr>
          <w:p>
            <w:pPr>
              <w:pStyle w:val="TableParagraph"/>
              <w:spacing w:before="3"/>
              <w:ind w:left="391"/>
              <w:rPr>
                <w:sz w:val="16"/>
              </w:rPr>
            </w:pPr>
            <w:r>
              <w:rPr>
                <w:spacing w:val="-4"/>
                <w:sz w:val="16"/>
              </w:rPr>
              <w:t>0.08</w:t>
            </w:r>
          </w:p>
        </w:tc>
        <w:tc>
          <w:tcPr>
            <w:tcW w:w="724" w:type="dxa"/>
          </w:tcPr>
          <w:p>
            <w:pPr>
              <w:pStyle w:val="TableParagraph"/>
              <w:spacing w:before="3"/>
              <w:ind w:right="87"/>
              <w:jc w:val="right"/>
              <w:rPr>
                <w:sz w:val="16"/>
              </w:rPr>
            </w:pPr>
            <w:r>
              <w:rPr>
                <w:spacing w:val="-2"/>
                <w:sz w:val="16"/>
              </w:rPr>
              <w:t>266.8</w:t>
            </w:r>
          </w:p>
        </w:tc>
        <w:tc>
          <w:tcPr>
            <w:tcW w:w="915" w:type="dxa"/>
          </w:tcPr>
          <w:p>
            <w:pPr>
              <w:pStyle w:val="TableParagraph"/>
              <w:spacing w:before="3"/>
              <w:ind w:right="87"/>
              <w:jc w:val="right"/>
              <w:rPr>
                <w:sz w:val="16"/>
              </w:rPr>
            </w:pPr>
            <w:r>
              <w:rPr>
                <w:spacing w:val="-2"/>
                <w:sz w:val="16"/>
              </w:rPr>
              <w:t>14.00</w:t>
            </w:r>
          </w:p>
        </w:tc>
        <w:tc>
          <w:tcPr>
            <w:tcW w:w="1361" w:type="dxa"/>
          </w:tcPr>
          <w:p>
            <w:pPr>
              <w:pStyle w:val="TableParagraph"/>
              <w:spacing w:before="3"/>
              <w:ind w:right="249"/>
              <w:jc w:val="right"/>
              <w:rPr>
                <w:sz w:val="16"/>
              </w:rPr>
            </w:pPr>
            <w:r>
              <w:rPr>
                <w:spacing w:val="-2"/>
                <w:sz w:val="16"/>
              </w:rPr>
              <w:t>252.8</w:t>
            </w:r>
          </w:p>
        </w:tc>
        <w:tc>
          <w:tcPr>
            <w:tcW w:w="1124" w:type="dxa"/>
          </w:tcPr>
          <w:p>
            <w:pPr>
              <w:pStyle w:val="TableParagraph"/>
              <w:spacing w:before="3"/>
              <w:ind w:left="175" w:right="40"/>
              <w:jc w:val="center"/>
              <w:rPr>
                <w:sz w:val="16"/>
              </w:rPr>
            </w:pPr>
            <w:r>
              <w:rPr>
                <w:spacing w:val="-2"/>
                <w:sz w:val="16"/>
              </w:rPr>
              <w:t>3,031</w:t>
            </w:r>
          </w:p>
        </w:tc>
        <w:tc>
          <w:tcPr>
            <w:tcW w:w="912" w:type="dxa"/>
          </w:tcPr>
          <w:p>
            <w:pPr>
              <w:pStyle w:val="TableParagraph"/>
              <w:spacing w:before="3"/>
              <w:ind w:left="396"/>
              <w:rPr>
                <w:sz w:val="16"/>
              </w:rPr>
            </w:pPr>
            <w:r>
              <w:rPr>
                <w:spacing w:val="-4"/>
                <w:sz w:val="16"/>
              </w:rPr>
              <w:t>0.11</w:t>
            </w:r>
          </w:p>
        </w:tc>
      </w:tr>
      <w:tr>
        <w:trPr>
          <w:trHeight w:val="209" w:hRule="atLeast"/>
        </w:trPr>
        <w:tc>
          <w:tcPr>
            <w:tcW w:w="2089" w:type="dxa"/>
          </w:tcPr>
          <w:p>
            <w:pPr>
              <w:pStyle w:val="TableParagraph"/>
              <w:spacing w:line="164" w:lineRule="exact" w:before="25"/>
              <w:ind w:left="52"/>
              <w:rPr>
                <w:sz w:val="16"/>
              </w:rPr>
            </w:pPr>
            <w:r>
              <w:rPr>
                <w:spacing w:val="-2"/>
                <w:sz w:val="16"/>
              </w:rPr>
              <w:t>Zambia</w:t>
            </w:r>
          </w:p>
        </w:tc>
        <w:tc>
          <w:tcPr>
            <w:tcW w:w="1371" w:type="dxa"/>
          </w:tcPr>
          <w:p>
            <w:pPr>
              <w:pStyle w:val="TableParagraph"/>
              <w:spacing w:line="164" w:lineRule="exact" w:before="25"/>
              <w:ind w:right="300"/>
              <w:jc w:val="right"/>
              <w:rPr>
                <w:sz w:val="16"/>
              </w:rPr>
            </w:pPr>
            <w:r>
              <w:rPr>
                <w:spacing w:val="-2"/>
                <w:sz w:val="16"/>
              </w:rPr>
              <w:t>4,443</w:t>
            </w:r>
          </w:p>
        </w:tc>
        <w:tc>
          <w:tcPr>
            <w:tcW w:w="1043" w:type="dxa"/>
          </w:tcPr>
          <w:p>
            <w:pPr>
              <w:pStyle w:val="TableParagraph"/>
              <w:spacing w:line="164" w:lineRule="exact" w:before="25"/>
              <w:ind w:left="391"/>
              <w:rPr>
                <w:sz w:val="16"/>
              </w:rPr>
            </w:pPr>
            <w:r>
              <w:rPr>
                <w:spacing w:val="-4"/>
                <w:sz w:val="16"/>
              </w:rPr>
              <w:t>0.17</w:t>
            </w:r>
          </w:p>
        </w:tc>
        <w:tc>
          <w:tcPr>
            <w:tcW w:w="724" w:type="dxa"/>
          </w:tcPr>
          <w:p>
            <w:pPr>
              <w:pStyle w:val="TableParagraph"/>
              <w:spacing w:line="164" w:lineRule="exact" w:before="25"/>
              <w:ind w:right="87"/>
              <w:jc w:val="right"/>
              <w:rPr>
                <w:sz w:val="16"/>
              </w:rPr>
            </w:pPr>
            <w:r>
              <w:rPr>
                <w:spacing w:val="-2"/>
                <w:sz w:val="16"/>
              </w:rPr>
              <w:t>536.0</w:t>
            </w:r>
          </w:p>
        </w:tc>
        <w:tc>
          <w:tcPr>
            <w:tcW w:w="915" w:type="dxa"/>
          </w:tcPr>
          <w:p>
            <w:pPr>
              <w:pStyle w:val="TableParagraph"/>
              <w:spacing w:line="164" w:lineRule="exact" w:before="25"/>
              <w:ind w:right="87"/>
              <w:jc w:val="right"/>
              <w:rPr>
                <w:sz w:val="16"/>
              </w:rPr>
            </w:pPr>
            <w:r>
              <w:rPr>
                <w:spacing w:val="-2"/>
                <w:sz w:val="16"/>
              </w:rPr>
              <w:t>34.40</w:t>
            </w:r>
          </w:p>
        </w:tc>
        <w:tc>
          <w:tcPr>
            <w:tcW w:w="1361" w:type="dxa"/>
          </w:tcPr>
          <w:p>
            <w:pPr>
              <w:pStyle w:val="TableParagraph"/>
              <w:spacing w:line="164" w:lineRule="exact" w:before="25"/>
              <w:ind w:right="249"/>
              <w:jc w:val="right"/>
              <w:rPr>
                <w:sz w:val="16"/>
              </w:rPr>
            </w:pPr>
            <w:r>
              <w:rPr>
                <w:spacing w:val="-2"/>
                <w:sz w:val="16"/>
              </w:rPr>
              <w:t>501.5</w:t>
            </w:r>
          </w:p>
        </w:tc>
        <w:tc>
          <w:tcPr>
            <w:tcW w:w="1124" w:type="dxa"/>
          </w:tcPr>
          <w:p>
            <w:pPr>
              <w:pStyle w:val="TableParagraph"/>
              <w:spacing w:line="164" w:lineRule="exact" w:before="25"/>
              <w:ind w:left="175" w:right="40"/>
              <w:jc w:val="center"/>
              <w:rPr>
                <w:sz w:val="16"/>
              </w:rPr>
            </w:pPr>
            <w:r>
              <w:rPr>
                <w:spacing w:val="-2"/>
                <w:sz w:val="16"/>
              </w:rPr>
              <w:t>5,262</w:t>
            </w:r>
          </w:p>
        </w:tc>
        <w:tc>
          <w:tcPr>
            <w:tcW w:w="912" w:type="dxa"/>
          </w:tcPr>
          <w:p>
            <w:pPr>
              <w:pStyle w:val="TableParagraph"/>
              <w:spacing w:line="164" w:lineRule="exact" w:before="25"/>
              <w:ind w:left="384"/>
              <w:rPr>
                <w:sz w:val="16"/>
              </w:rPr>
            </w:pPr>
            <w:r>
              <w:rPr>
                <w:spacing w:val="-4"/>
                <w:sz w:val="16"/>
              </w:rPr>
              <w:t>0.19</w:t>
            </w:r>
          </w:p>
        </w:tc>
      </w:tr>
    </w:tbl>
    <w:p>
      <w:pPr>
        <w:pStyle w:val="BodyText"/>
        <w:spacing w:before="6"/>
        <w:rPr>
          <w:rFonts w:ascii="Arial"/>
          <w:i/>
          <w:sz w:val="3"/>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830"/>
        <w:gridCol w:w="135"/>
        <w:gridCol w:w="5025"/>
      </w:tblGrid>
      <w:tr>
        <w:trPr>
          <w:trHeight w:val="220" w:hRule="atLeast"/>
        </w:trPr>
        <w:tc>
          <w:tcPr>
            <w:tcW w:w="2382" w:type="dxa"/>
          </w:tcPr>
          <w:p>
            <w:pPr>
              <w:pStyle w:val="TableParagraph"/>
              <w:spacing w:line="179" w:lineRule="exact"/>
              <w:ind w:left="50"/>
              <w:rPr>
                <w:sz w:val="16"/>
              </w:rPr>
            </w:pPr>
            <w:r>
              <w:rPr>
                <w:spacing w:val="-2"/>
                <w:sz w:val="16"/>
              </w:rPr>
              <w:t>Zimbabwe</w:t>
            </w:r>
          </w:p>
        </w:tc>
        <w:tc>
          <w:tcPr>
            <w:tcW w:w="1830" w:type="dxa"/>
          </w:tcPr>
          <w:p>
            <w:pPr>
              <w:pStyle w:val="TableParagraph"/>
              <w:tabs>
                <w:tab w:pos="373" w:val="left" w:leader="none"/>
                <w:tab w:pos="1466" w:val="left" w:leader="none"/>
              </w:tabs>
              <w:spacing w:line="179" w:lineRule="exact"/>
              <w:rPr>
                <w:sz w:val="16"/>
              </w:rPr>
            </w:pPr>
            <w:r>
              <w:rPr>
                <w:rFonts w:ascii="Times New Roman"/>
                <w:sz w:val="16"/>
                <w:u w:val="single"/>
              </w:rPr>
              <w:tab/>
            </w:r>
            <w:r>
              <w:rPr>
                <w:spacing w:val="-2"/>
                <w:sz w:val="16"/>
                <w:u w:val="single"/>
              </w:rPr>
              <w:t>3,575</w:t>
            </w:r>
            <w:r>
              <w:rPr>
                <w:sz w:val="16"/>
                <w:u w:val="single"/>
              </w:rPr>
              <w:tab/>
            </w:r>
            <w:r>
              <w:rPr>
                <w:spacing w:val="-4"/>
                <w:sz w:val="16"/>
                <w:u w:val="single"/>
              </w:rPr>
              <w:t>0.14</w:t>
            </w:r>
          </w:p>
        </w:tc>
        <w:tc>
          <w:tcPr>
            <w:tcW w:w="135" w:type="dxa"/>
          </w:tcPr>
          <w:p>
            <w:pPr>
              <w:pStyle w:val="TableParagraph"/>
              <w:rPr>
                <w:rFonts w:ascii="Times New Roman"/>
                <w:sz w:val="14"/>
              </w:rPr>
            </w:pPr>
          </w:p>
        </w:tc>
        <w:tc>
          <w:tcPr>
            <w:tcW w:w="5025" w:type="dxa"/>
          </w:tcPr>
          <w:p>
            <w:pPr>
              <w:pStyle w:val="TableParagraph"/>
              <w:tabs>
                <w:tab w:pos="387" w:val="left" w:leader="none"/>
                <w:tab w:pos="1302" w:val="left" w:leader="none"/>
                <w:tab w:pos="2502" w:val="left" w:leader="none"/>
                <w:tab w:pos="3583" w:val="left" w:leader="none"/>
                <w:tab w:pos="4661" w:val="left" w:leader="none"/>
              </w:tabs>
              <w:spacing w:line="179" w:lineRule="exact"/>
              <w:rPr>
                <w:sz w:val="16"/>
              </w:rPr>
            </w:pPr>
            <w:r>
              <w:rPr>
                <w:rFonts w:ascii="Times New Roman"/>
                <w:sz w:val="16"/>
                <w:u w:val="single"/>
              </w:rPr>
              <w:tab/>
            </w:r>
            <w:r>
              <w:rPr>
                <w:spacing w:val="-4"/>
                <w:sz w:val="16"/>
                <w:u w:val="single"/>
              </w:rPr>
              <w:t>431.3</w:t>
            </w:r>
            <w:r>
              <w:rPr>
                <w:sz w:val="16"/>
                <w:u w:val="single"/>
              </w:rPr>
              <w:tab/>
            </w:r>
            <w:r>
              <w:rPr>
                <w:spacing w:val="-4"/>
                <w:sz w:val="16"/>
                <w:u w:val="single"/>
              </w:rPr>
              <w:t>22.40</w:t>
            </w:r>
            <w:r>
              <w:rPr>
                <w:sz w:val="16"/>
                <w:u w:val="single"/>
              </w:rPr>
              <w:tab/>
            </w:r>
            <w:r>
              <w:rPr>
                <w:spacing w:val="-2"/>
                <w:sz w:val="16"/>
                <w:u w:val="single"/>
              </w:rPr>
              <w:t>408.9</w:t>
            </w:r>
            <w:r>
              <w:rPr>
                <w:sz w:val="16"/>
                <w:u w:val="single"/>
              </w:rPr>
              <w:tab/>
            </w:r>
            <w:r>
              <w:rPr>
                <w:spacing w:val="-4"/>
                <w:sz w:val="16"/>
                <w:u w:val="single"/>
              </w:rPr>
              <w:t>4,394</w:t>
            </w:r>
            <w:r>
              <w:rPr>
                <w:sz w:val="16"/>
                <w:u w:val="single"/>
              </w:rPr>
              <w:tab/>
            </w:r>
            <w:r>
              <w:rPr>
                <w:spacing w:val="-4"/>
                <w:sz w:val="16"/>
                <w:u w:val="single"/>
              </w:rPr>
              <w:t>0.16</w:t>
            </w:r>
          </w:p>
        </w:tc>
      </w:tr>
      <w:tr>
        <w:trPr>
          <w:trHeight w:val="259" w:hRule="atLeast"/>
        </w:trPr>
        <w:tc>
          <w:tcPr>
            <w:tcW w:w="2382" w:type="dxa"/>
          </w:tcPr>
          <w:p>
            <w:pPr>
              <w:pStyle w:val="TableParagraph"/>
              <w:spacing w:before="36"/>
              <w:ind w:left="50"/>
              <w:rPr>
                <w:rFonts w:ascii="Arial"/>
                <w:b/>
                <w:sz w:val="16"/>
              </w:rPr>
            </w:pPr>
            <w:r>
              <w:rPr>
                <w:rFonts w:ascii="Arial"/>
                <w:b/>
                <w:sz w:val="16"/>
              </w:rPr>
              <w:t>Total</w:t>
            </w:r>
            <w:r>
              <w:rPr>
                <w:rFonts w:ascii="Arial"/>
                <w:b/>
                <w:spacing w:val="-3"/>
                <w:sz w:val="16"/>
              </w:rPr>
              <w:t> </w:t>
            </w:r>
            <w:r>
              <w:rPr>
                <w:rFonts w:ascii="Arial"/>
                <w:b/>
                <w:sz w:val="16"/>
              </w:rPr>
              <w:t>-</w:t>
            </w:r>
            <w:r>
              <w:rPr>
                <w:rFonts w:ascii="Arial"/>
                <w:b/>
                <w:spacing w:val="-2"/>
                <w:sz w:val="16"/>
              </w:rPr>
              <w:t> </w:t>
            </w:r>
            <w:r>
              <w:rPr>
                <w:rFonts w:ascii="Arial"/>
                <w:b/>
                <w:sz w:val="16"/>
              </w:rPr>
              <w:t>June</w:t>
            </w:r>
            <w:r>
              <w:rPr>
                <w:rFonts w:ascii="Arial"/>
                <w:b/>
                <w:spacing w:val="-3"/>
                <w:sz w:val="16"/>
              </w:rPr>
              <w:t> </w:t>
            </w:r>
            <w:r>
              <w:rPr>
                <w:rFonts w:ascii="Arial"/>
                <w:b/>
                <w:sz w:val="16"/>
              </w:rPr>
              <w:t>30,</w:t>
            </w:r>
            <w:r>
              <w:rPr>
                <w:rFonts w:ascii="Arial"/>
                <w:b/>
                <w:spacing w:val="-2"/>
                <w:sz w:val="16"/>
              </w:rPr>
              <w:t> </w:t>
            </w:r>
            <w:r>
              <w:rPr>
                <w:rFonts w:ascii="Arial"/>
                <w:b/>
                <w:spacing w:val="-4"/>
                <w:sz w:val="16"/>
              </w:rPr>
              <w:t>2023</w:t>
            </w:r>
          </w:p>
        </w:tc>
        <w:tc>
          <w:tcPr>
            <w:tcW w:w="1830" w:type="dxa"/>
            <w:tcBorders>
              <w:bottom w:val="single" w:sz="8" w:space="0" w:color="000000"/>
            </w:tcBorders>
          </w:tcPr>
          <w:p>
            <w:pPr>
              <w:pStyle w:val="TableParagraph"/>
              <w:tabs>
                <w:tab w:pos="1353" w:val="left" w:leader="none"/>
              </w:tabs>
              <w:spacing w:before="36"/>
              <w:rPr>
                <w:rFonts w:ascii="Arial"/>
                <w:b/>
                <w:sz w:val="16"/>
              </w:rPr>
            </w:pPr>
            <w:r>
              <w:rPr>
                <w:rFonts w:ascii="Arial"/>
                <w:b/>
                <w:spacing w:val="35"/>
                <w:sz w:val="16"/>
                <w:u w:val="single"/>
              </w:rPr>
              <w:t> </w:t>
            </w:r>
            <w:r>
              <w:rPr>
                <w:rFonts w:ascii="Arial"/>
                <w:b/>
                <w:spacing w:val="-2"/>
                <w:sz w:val="16"/>
                <w:u w:val="single"/>
              </w:rPr>
              <w:t>2,634,728</w:t>
            </w:r>
            <w:r>
              <w:rPr>
                <w:rFonts w:ascii="Arial"/>
                <w:b/>
                <w:sz w:val="16"/>
                <w:u w:val="single"/>
              </w:rPr>
              <w:tab/>
              <w:t>100</w:t>
            </w:r>
            <w:r>
              <w:rPr>
                <w:rFonts w:ascii="Arial"/>
                <w:b/>
                <w:spacing w:val="6"/>
                <w:sz w:val="16"/>
                <w:u w:val="single"/>
              </w:rPr>
              <w:t> </w:t>
            </w:r>
            <w:r>
              <w:rPr>
                <w:rFonts w:ascii="Arial"/>
                <w:b/>
                <w:spacing w:val="-10"/>
                <w:sz w:val="16"/>
                <w:u w:val="single"/>
              </w:rPr>
              <w:t>%</w:t>
            </w:r>
          </w:p>
        </w:tc>
        <w:tc>
          <w:tcPr>
            <w:tcW w:w="135" w:type="dxa"/>
          </w:tcPr>
          <w:p>
            <w:pPr>
              <w:pStyle w:val="TableParagraph"/>
              <w:rPr>
                <w:rFonts w:ascii="Times New Roman"/>
                <w:sz w:val="16"/>
              </w:rPr>
            </w:pPr>
          </w:p>
        </w:tc>
        <w:tc>
          <w:tcPr>
            <w:tcW w:w="5025" w:type="dxa"/>
            <w:tcBorders>
              <w:bottom w:val="single" w:sz="8" w:space="0" w:color="000000"/>
            </w:tcBorders>
          </w:tcPr>
          <w:p>
            <w:pPr>
              <w:pStyle w:val="TableParagraph"/>
              <w:tabs>
                <w:tab w:pos="1117" w:val="left" w:leader="none"/>
                <w:tab w:pos="2130" w:val="left" w:leader="none"/>
                <w:tab w:pos="3256" w:val="left" w:leader="none"/>
                <w:tab w:pos="4548" w:val="left" w:leader="none"/>
              </w:tabs>
              <w:spacing w:before="36"/>
              <w:rPr>
                <w:rFonts w:ascii="Arial"/>
                <w:b/>
                <w:sz w:val="16"/>
              </w:rPr>
            </w:pPr>
            <w:r>
              <w:rPr>
                <w:rFonts w:ascii="Arial"/>
                <w:b/>
                <w:spacing w:val="36"/>
                <w:sz w:val="16"/>
                <w:u w:val="single"/>
              </w:rPr>
              <w:t>  </w:t>
            </w:r>
            <w:r>
              <w:rPr>
                <w:rFonts w:ascii="Arial"/>
                <w:b/>
                <w:spacing w:val="-2"/>
                <w:sz w:val="16"/>
                <w:u w:val="single"/>
              </w:rPr>
              <w:t>317,840</w:t>
            </w:r>
            <w:r>
              <w:rPr>
                <w:rFonts w:ascii="Arial"/>
                <w:b/>
                <w:sz w:val="16"/>
                <w:u w:val="single"/>
              </w:rPr>
              <w:tab/>
            </w:r>
            <w:r>
              <w:rPr>
                <w:rFonts w:ascii="Arial"/>
                <w:b/>
                <w:spacing w:val="-2"/>
                <w:sz w:val="16"/>
                <w:u w:val="single"/>
              </w:rPr>
              <w:t>21,819</w:t>
            </w:r>
            <w:r>
              <w:rPr>
                <w:rFonts w:ascii="Arial"/>
                <w:b/>
                <w:sz w:val="16"/>
                <w:u w:val="single"/>
              </w:rPr>
              <w:tab/>
            </w:r>
            <w:r>
              <w:rPr>
                <w:rFonts w:ascii="Arial"/>
                <w:b/>
                <w:spacing w:val="-2"/>
                <w:sz w:val="16"/>
                <w:u w:val="single"/>
              </w:rPr>
              <w:t>296,021</w:t>
            </w:r>
            <w:r>
              <w:rPr>
                <w:rFonts w:ascii="Arial"/>
                <w:b/>
                <w:sz w:val="16"/>
                <w:u w:val="single"/>
              </w:rPr>
              <w:tab/>
            </w:r>
            <w:r>
              <w:rPr>
                <w:rFonts w:ascii="Arial"/>
                <w:b/>
                <w:spacing w:val="-2"/>
                <w:sz w:val="16"/>
                <w:u w:val="single"/>
              </w:rPr>
              <w:t>2,789,519</w:t>
            </w:r>
            <w:r>
              <w:rPr>
                <w:rFonts w:ascii="Arial"/>
                <w:b/>
                <w:sz w:val="16"/>
                <w:u w:val="single"/>
              </w:rPr>
              <w:tab/>
              <w:t>100</w:t>
            </w:r>
            <w:r>
              <w:rPr>
                <w:rFonts w:ascii="Arial"/>
                <w:b/>
                <w:spacing w:val="6"/>
                <w:sz w:val="16"/>
                <w:u w:val="single"/>
              </w:rPr>
              <w:t> </w:t>
            </w:r>
            <w:r>
              <w:rPr>
                <w:rFonts w:ascii="Arial"/>
                <w:b/>
                <w:spacing w:val="-10"/>
                <w:sz w:val="16"/>
                <w:u w:val="single"/>
              </w:rPr>
              <w:t>%</w:t>
            </w:r>
          </w:p>
        </w:tc>
      </w:tr>
      <w:tr>
        <w:trPr>
          <w:trHeight w:val="165" w:hRule="atLeast"/>
        </w:trPr>
        <w:tc>
          <w:tcPr>
            <w:tcW w:w="2382" w:type="dxa"/>
          </w:tcPr>
          <w:p>
            <w:pPr>
              <w:pStyle w:val="TableParagraph"/>
              <w:rPr>
                <w:rFonts w:ascii="Times New Roman"/>
                <w:sz w:val="10"/>
              </w:rPr>
            </w:pPr>
          </w:p>
        </w:tc>
        <w:tc>
          <w:tcPr>
            <w:tcW w:w="1830" w:type="dxa"/>
            <w:tcBorders>
              <w:top w:val="single" w:sz="8" w:space="0" w:color="000000"/>
            </w:tcBorders>
          </w:tcPr>
          <w:p>
            <w:pPr>
              <w:pStyle w:val="TableParagraph"/>
              <w:spacing w:before="4"/>
              <w:rPr>
                <w:rFonts w:ascii="Arial"/>
                <w:i/>
                <w:sz w:val="14"/>
              </w:rPr>
            </w:pPr>
          </w:p>
          <w:p>
            <w:pPr>
              <w:pStyle w:val="TableParagraph"/>
              <w:spacing w:line="20" w:lineRule="exact"/>
              <w:rPr>
                <w:rFonts w:ascii="Arial"/>
                <w:sz w:val="2"/>
              </w:rPr>
            </w:pPr>
            <w:r>
              <w:rPr>
                <w:rFonts w:ascii="Arial"/>
                <w:sz w:val="2"/>
              </w:rPr>
              <mc:AlternateContent>
                <mc:Choice Requires="wps">
                  <w:drawing>
                    <wp:inline distT="0" distB="0" distL="0" distR="0">
                      <wp:extent cx="523875" cy="12700"/>
                      <wp:effectExtent l="9525" t="0" r="0" b="6350"/>
                      <wp:docPr id="698" name="Group 698"/>
                      <wp:cNvGraphicFramePr>
                        <a:graphicFrameLocks/>
                      </wp:cNvGraphicFramePr>
                      <a:graphic>
                        <a:graphicData uri="http://schemas.microsoft.com/office/word/2010/wordprocessingGroup">
                          <wpg:wgp>
                            <wpg:cNvPr id="698" name="Group 698"/>
                            <wpg:cNvGrpSpPr/>
                            <wpg:grpSpPr>
                              <a:xfrm>
                                <a:off x="0" y="0"/>
                                <a:ext cx="523875" cy="12700"/>
                                <a:chExt cx="523875" cy="12700"/>
                              </a:xfrm>
                            </wpg:grpSpPr>
                            <wps:wsp>
                              <wps:cNvPr id="699" name="Graphic 699"/>
                              <wps:cNvSpPr/>
                              <wps:spPr>
                                <a:xfrm>
                                  <a:off x="0" y="6350"/>
                                  <a:ext cx="523875" cy="1270"/>
                                </a:xfrm>
                                <a:custGeom>
                                  <a:avLst/>
                                  <a:gdLst/>
                                  <a:ahLst/>
                                  <a:cxnLst/>
                                  <a:rect l="l" t="t" r="r" b="b"/>
                                  <a:pathLst>
                                    <a:path w="523875" h="0">
                                      <a:moveTo>
                                        <a:pt x="0" y="0"/>
                                      </a:moveTo>
                                      <a:lnTo>
                                        <a:pt x="5238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25pt;height:1pt;mso-position-horizontal-relative:char;mso-position-vertical-relative:line" id="docshapegroup592" coordorigin="0,0" coordsize="825,20">
                      <v:line style="position:absolute" from="0,10" to="825,10" stroked="true" strokeweight="1pt" strokecolor="#000000">
                        <v:stroke dashstyle="solid"/>
                      </v:line>
                    </v:group>
                  </w:pict>
                </mc:Fallback>
              </mc:AlternateContent>
            </w:r>
            <w:r>
              <w:rPr>
                <w:rFonts w:ascii="Arial"/>
                <w:sz w:val="2"/>
              </w:rPr>
            </w:r>
          </w:p>
        </w:tc>
        <w:tc>
          <w:tcPr>
            <w:tcW w:w="135" w:type="dxa"/>
          </w:tcPr>
          <w:p>
            <w:pPr>
              <w:pStyle w:val="TableParagraph"/>
              <w:rPr>
                <w:rFonts w:ascii="Times New Roman"/>
                <w:sz w:val="10"/>
              </w:rPr>
            </w:pPr>
          </w:p>
        </w:tc>
        <w:tc>
          <w:tcPr>
            <w:tcW w:w="5025" w:type="dxa"/>
            <w:tcBorders>
              <w:top w:val="single" w:sz="8" w:space="0" w:color="000000"/>
            </w:tcBorders>
          </w:tcPr>
          <w:p>
            <w:pPr>
              <w:pStyle w:val="TableParagraph"/>
              <w:spacing w:before="5"/>
              <w:rPr>
                <w:rFonts w:ascii="Arial"/>
                <w:i/>
                <w:sz w:val="13"/>
              </w:rPr>
            </w:pPr>
          </w:p>
          <w:p>
            <w:pPr>
              <w:pStyle w:val="TableParagraph"/>
              <w:spacing w:line="20" w:lineRule="exact"/>
              <w:ind w:left="-10"/>
              <w:rPr>
                <w:rFonts w:ascii="Arial"/>
                <w:sz w:val="2"/>
              </w:rPr>
            </w:pPr>
            <w:r>
              <w:rPr>
                <w:rFonts w:ascii="Arial"/>
                <w:sz w:val="2"/>
              </w:rPr>
              <mc:AlternateContent>
                <mc:Choice Requires="wps">
                  <w:drawing>
                    <wp:inline distT="0" distB="0" distL="0" distR="0">
                      <wp:extent cx="2562225" cy="12700"/>
                      <wp:effectExtent l="9525" t="0" r="0" b="6350"/>
                      <wp:docPr id="700" name="Group 700"/>
                      <wp:cNvGraphicFramePr>
                        <a:graphicFrameLocks/>
                      </wp:cNvGraphicFramePr>
                      <a:graphic>
                        <a:graphicData uri="http://schemas.microsoft.com/office/word/2010/wordprocessingGroup">
                          <wpg:wgp>
                            <wpg:cNvPr id="700" name="Group 700"/>
                            <wpg:cNvGrpSpPr/>
                            <wpg:grpSpPr>
                              <a:xfrm>
                                <a:off x="0" y="0"/>
                                <a:ext cx="2562225" cy="12700"/>
                                <a:chExt cx="2562225" cy="12700"/>
                              </a:xfrm>
                            </wpg:grpSpPr>
                            <wps:wsp>
                              <wps:cNvPr id="701" name="Graphic 701"/>
                              <wps:cNvSpPr/>
                              <wps:spPr>
                                <a:xfrm>
                                  <a:off x="0" y="6350"/>
                                  <a:ext cx="2562225" cy="1270"/>
                                </a:xfrm>
                                <a:custGeom>
                                  <a:avLst/>
                                  <a:gdLst/>
                                  <a:ahLst/>
                                  <a:cxnLst/>
                                  <a:rect l="l" t="t" r="r" b="b"/>
                                  <a:pathLst>
                                    <a:path w="2562225" h="0">
                                      <a:moveTo>
                                        <a:pt x="0" y="0"/>
                                      </a:moveTo>
                                      <a:lnTo>
                                        <a:pt x="542925" y="0"/>
                                      </a:lnTo>
                                    </a:path>
                                    <a:path w="2562225" h="0">
                                      <a:moveTo>
                                        <a:pt x="581025" y="0"/>
                                      </a:moveTo>
                                      <a:lnTo>
                                        <a:pt x="1123950" y="0"/>
                                      </a:lnTo>
                                    </a:path>
                                    <a:path w="2562225" h="0">
                                      <a:moveTo>
                                        <a:pt x="1162050" y="0"/>
                                      </a:moveTo>
                                      <a:lnTo>
                                        <a:pt x="1885950" y="0"/>
                                      </a:lnTo>
                                    </a:path>
                                    <a:path w="2562225" h="0">
                                      <a:moveTo>
                                        <a:pt x="1924050" y="0"/>
                                      </a:moveTo>
                                      <a:lnTo>
                                        <a:pt x="25622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1.75pt;height:1pt;mso-position-horizontal-relative:char;mso-position-vertical-relative:line" id="docshapegroup593" coordorigin="0,0" coordsize="4035,20">
                      <v:shape style="position:absolute;left:0;top:10;width:4035;height:2" id="docshape594" coordorigin="0,10" coordsize="4035,0" path="m0,10l855,10m915,10l1770,10m1830,10l2970,10m3030,10l4035,10e" filled="false" stroked="true" strokeweight="1pt" strokecolor="#000000">
                        <v:path arrowok="t"/>
                        <v:stroke dashstyle="solid"/>
                      </v:shape>
                    </v:group>
                  </w:pict>
                </mc:Fallback>
              </mc:AlternateContent>
            </w:r>
            <w:r>
              <w:rPr>
                <w:rFonts w:ascii="Arial"/>
                <w:sz w:val="2"/>
              </w:rPr>
            </w:r>
          </w:p>
        </w:tc>
      </w:tr>
      <w:tr>
        <w:trPr>
          <w:trHeight w:val="240" w:hRule="atLeast"/>
        </w:trPr>
        <w:tc>
          <w:tcPr>
            <w:tcW w:w="2382" w:type="dxa"/>
          </w:tcPr>
          <w:p>
            <w:pPr>
              <w:pStyle w:val="TableParagraph"/>
              <w:spacing w:before="6"/>
              <w:ind w:left="50"/>
              <w:rPr>
                <w:rFonts w:ascii="Arial"/>
                <w:b/>
                <w:sz w:val="16"/>
              </w:rPr>
            </w:pPr>
            <w:r>
              <w:rPr>
                <w:rFonts w:ascii="Arial"/>
                <w:b/>
                <w:sz w:val="16"/>
              </w:rPr>
              <w:t>Total</w:t>
            </w:r>
            <w:r>
              <w:rPr>
                <w:rFonts w:ascii="Arial"/>
                <w:b/>
                <w:spacing w:val="-3"/>
                <w:sz w:val="16"/>
              </w:rPr>
              <w:t> </w:t>
            </w:r>
            <w:r>
              <w:rPr>
                <w:rFonts w:ascii="Arial"/>
                <w:b/>
                <w:sz w:val="16"/>
              </w:rPr>
              <w:t>-</w:t>
            </w:r>
            <w:r>
              <w:rPr>
                <w:rFonts w:ascii="Arial"/>
                <w:b/>
                <w:spacing w:val="-2"/>
                <w:sz w:val="16"/>
              </w:rPr>
              <w:t> </w:t>
            </w:r>
            <w:r>
              <w:rPr>
                <w:rFonts w:ascii="Arial"/>
                <w:b/>
                <w:sz w:val="16"/>
              </w:rPr>
              <w:t>June</w:t>
            </w:r>
            <w:r>
              <w:rPr>
                <w:rFonts w:ascii="Arial"/>
                <w:b/>
                <w:spacing w:val="-3"/>
                <w:sz w:val="16"/>
              </w:rPr>
              <w:t> </w:t>
            </w:r>
            <w:r>
              <w:rPr>
                <w:rFonts w:ascii="Arial"/>
                <w:b/>
                <w:sz w:val="16"/>
              </w:rPr>
              <w:t>30,</w:t>
            </w:r>
            <w:r>
              <w:rPr>
                <w:rFonts w:ascii="Arial"/>
                <w:b/>
                <w:spacing w:val="-2"/>
                <w:sz w:val="16"/>
              </w:rPr>
              <w:t> </w:t>
            </w:r>
            <w:r>
              <w:rPr>
                <w:rFonts w:ascii="Arial"/>
                <w:b/>
                <w:spacing w:val="-4"/>
                <w:sz w:val="16"/>
              </w:rPr>
              <w:t>2022</w:t>
            </w:r>
          </w:p>
        </w:tc>
        <w:tc>
          <w:tcPr>
            <w:tcW w:w="1830" w:type="dxa"/>
          </w:tcPr>
          <w:p>
            <w:pPr>
              <w:pStyle w:val="TableParagraph"/>
              <w:spacing w:before="6"/>
              <w:rPr>
                <w:rFonts w:ascii="Arial"/>
                <w:b/>
                <w:sz w:val="16"/>
              </w:rPr>
            </w:pPr>
            <w:r>
              <w:rPr>
                <w:rFonts w:ascii="Arial"/>
                <w:b/>
                <w:spacing w:val="16"/>
                <w:sz w:val="16"/>
                <w:u w:val="single"/>
              </w:rPr>
              <w:t> </w:t>
            </w:r>
            <w:r>
              <w:rPr>
                <w:rFonts w:ascii="Arial"/>
                <w:b/>
                <w:spacing w:val="-2"/>
                <w:sz w:val="16"/>
                <w:u w:val="single"/>
              </w:rPr>
              <w:t>2,545,984</w:t>
            </w:r>
          </w:p>
        </w:tc>
        <w:tc>
          <w:tcPr>
            <w:tcW w:w="135" w:type="dxa"/>
          </w:tcPr>
          <w:p>
            <w:pPr>
              <w:pStyle w:val="TableParagraph"/>
              <w:rPr>
                <w:rFonts w:ascii="Times New Roman"/>
                <w:sz w:val="16"/>
              </w:rPr>
            </w:pPr>
          </w:p>
        </w:tc>
        <w:tc>
          <w:tcPr>
            <w:tcW w:w="5025" w:type="dxa"/>
          </w:tcPr>
          <w:p>
            <w:pPr>
              <w:pStyle w:val="TableParagraph"/>
              <w:tabs>
                <w:tab w:pos="1117" w:val="left" w:leader="none"/>
                <w:tab w:pos="2130" w:val="left" w:leader="none"/>
                <w:tab w:pos="3272" w:val="left" w:leader="none"/>
              </w:tabs>
              <w:spacing w:before="6"/>
              <w:rPr>
                <w:rFonts w:ascii="Arial"/>
                <w:b/>
                <w:sz w:val="16"/>
              </w:rPr>
            </w:pPr>
            <w:r>
              <w:rPr>
                <w:rFonts w:ascii="Arial"/>
                <w:b/>
                <w:spacing w:val="36"/>
                <w:sz w:val="16"/>
                <w:u w:val="single"/>
              </w:rPr>
              <w:t>  </w:t>
            </w:r>
            <w:r>
              <w:rPr>
                <w:rFonts w:ascii="Arial"/>
                <w:b/>
                <w:spacing w:val="-2"/>
                <w:sz w:val="16"/>
                <w:u w:val="single"/>
              </w:rPr>
              <w:t>307,135</w:t>
            </w:r>
            <w:r>
              <w:rPr>
                <w:rFonts w:ascii="Arial"/>
                <w:b/>
                <w:sz w:val="16"/>
                <w:u w:val="single"/>
              </w:rPr>
              <w:tab/>
            </w:r>
            <w:r>
              <w:rPr>
                <w:rFonts w:ascii="Arial"/>
                <w:b/>
                <w:spacing w:val="-2"/>
                <w:sz w:val="16"/>
                <w:u w:val="single"/>
              </w:rPr>
              <w:t>20,499</w:t>
            </w:r>
            <w:r>
              <w:rPr>
                <w:rFonts w:ascii="Arial"/>
                <w:b/>
                <w:sz w:val="16"/>
                <w:u w:val="single"/>
              </w:rPr>
              <w:tab/>
            </w:r>
            <w:r>
              <w:rPr>
                <w:rFonts w:ascii="Arial"/>
                <w:b/>
                <w:spacing w:val="-2"/>
                <w:sz w:val="16"/>
                <w:u w:val="single"/>
              </w:rPr>
              <w:t>286,636</w:t>
            </w:r>
            <w:r>
              <w:rPr>
                <w:rFonts w:ascii="Arial"/>
                <w:b/>
                <w:sz w:val="16"/>
                <w:u w:val="single"/>
              </w:rPr>
              <w:tab/>
            </w:r>
            <w:r>
              <w:rPr>
                <w:rFonts w:ascii="Arial"/>
                <w:b/>
                <w:spacing w:val="-2"/>
                <w:sz w:val="16"/>
                <w:u w:val="single"/>
              </w:rPr>
              <w:t>2,695,672</w:t>
            </w:r>
          </w:p>
        </w:tc>
      </w:tr>
    </w:tbl>
    <w:p>
      <w:pPr>
        <w:pStyle w:val="BodyText"/>
        <w:spacing w:before="42"/>
        <w:rPr>
          <w:rFonts w:ascii="Arial"/>
          <w:i/>
          <w:sz w:val="16"/>
        </w:rPr>
      </w:pPr>
    </w:p>
    <w:p>
      <w:pPr>
        <w:spacing w:before="0"/>
        <w:ind w:left="772" w:right="0" w:firstLine="0"/>
        <w:jc w:val="left"/>
        <w:rPr>
          <w:rFonts w:ascii="Arial"/>
          <w:b/>
          <w:i/>
          <w:sz w:val="16"/>
        </w:rPr>
      </w:pPr>
      <w:r>
        <w:rPr>
          <w:rFonts w:ascii="Arial"/>
          <w:b/>
          <w:i/>
          <w:sz w:val="16"/>
        </w:rPr>
        <mc:AlternateContent>
          <mc:Choice Requires="wps">
            <w:drawing>
              <wp:anchor distT="0" distB="0" distL="0" distR="0" allowOverlap="1" layoutInCell="1" locked="0" behindDoc="0" simplePos="0" relativeHeight="15822848">
                <wp:simplePos x="0" y="0"/>
                <wp:positionH relativeFrom="page">
                  <wp:posOffset>2428875</wp:posOffset>
                </wp:positionH>
                <wp:positionV relativeFrom="paragraph">
                  <wp:posOffset>-141851</wp:posOffset>
                </wp:positionV>
                <wp:extent cx="523875" cy="127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523875" cy="1270"/>
                        </a:xfrm>
                        <a:custGeom>
                          <a:avLst/>
                          <a:gdLst/>
                          <a:ahLst/>
                          <a:cxnLst/>
                          <a:rect l="l" t="t" r="r" b="b"/>
                          <a:pathLst>
                            <a:path w="523875" h="0">
                              <a:moveTo>
                                <a:pt x="0" y="0"/>
                              </a:moveTo>
                              <a:lnTo>
                                <a:pt x="5238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2848" from="191.25pt,-11.169409pt" to="232.5pt,-11.169409pt" stroked="true" strokeweight="1pt" strokecolor="#000000">
                <v:stroke dashstyle="solid"/>
                <w10:wrap type="none"/>
              </v:line>
            </w:pict>
          </mc:Fallback>
        </mc:AlternateContent>
      </w:r>
      <w:r>
        <w:rPr>
          <w:rFonts w:ascii="Arial"/>
          <w:b/>
          <w:i/>
          <w:sz w:val="16"/>
        </w:rPr>
        <mc:AlternateContent>
          <mc:Choice Requires="wps">
            <w:drawing>
              <wp:anchor distT="0" distB="0" distL="0" distR="0" allowOverlap="1" layoutInCell="1" locked="0" behindDoc="0" simplePos="0" relativeHeight="15823360">
                <wp:simplePos x="0" y="0"/>
                <wp:positionH relativeFrom="page">
                  <wp:posOffset>3676650</wp:posOffset>
                </wp:positionH>
                <wp:positionV relativeFrom="paragraph">
                  <wp:posOffset>-141851</wp:posOffset>
                </wp:positionV>
                <wp:extent cx="2562225" cy="1270"/>
                <wp:effectExtent l="0" t="0" r="0" b="0"/>
                <wp:wrapNone/>
                <wp:docPr id="703" name="Graphic 703"/>
                <wp:cNvGraphicFramePr>
                  <a:graphicFrameLocks/>
                </wp:cNvGraphicFramePr>
                <a:graphic>
                  <a:graphicData uri="http://schemas.microsoft.com/office/word/2010/wordprocessingShape">
                    <wps:wsp>
                      <wps:cNvPr id="703" name="Graphic 703"/>
                      <wps:cNvSpPr/>
                      <wps:spPr>
                        <a:xfrm>
                          <a:off x="0" y="0"/>
                          <a:ext cx="2562225" cy="1270"/>
                        </a:xfrm>
                        <a:custGeom>
                          <a:avLst/>
                          <a:gdLst/>
                          <a:ahLst/>
                          <a:cxnLst/>
                          <a:rect l="l" t="t" r="r" b="b"/>
                          <a:pathLst>
                            <a:path w="2562225" h="0">
                              <a:moveTo>
                                <a:pt x="0" y="0"/>
                              </a:moveTo>
                              <a:lnTo>
                                <a:pt x="542925" y="0"/>
                              </a:lnTo>
                            </a:path>
                            <a:path w="2562225" h="0">
                              <a:moveTo>
                                <a:pt x="581025" y="0"/>
                              </a:moveTo>
                              <a:lnTo>
                                <a:pt x="1123950" y="0"/>
                              </a:lnTo>
                            </a:path>
                            <a:path w="2562225" h="0">
                              <a:moveTo>
                                <a:pt x="1162050" y="0"/>
                              </a:moveTo>
                              <a:lnTo>
                                <a:pt x="1885950" y="0"/>
                              </a:lnTo>
                            </a:path>
                            <a:path w="2562225" h="0">
                              <a:moveTo>
                                <a:pt x="1924050" y="0"/>
                              </a:moveTo>
                              <a:lnTo>
                                <a:pt x="25622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9.5pt;margin-top:-11.169409pt;width:201.75pt;height:.1pt;mso-position-horizontal-relative:page;mso-position-vertical-relative:paragraph;z-index:15823360" id="docshape595" coordorigin="5790,-223" coordsize="4035,0" path="m5790,-223l6645,-223m6705,-223l7560,-223m7620,-223l8760,-223m8820,-223l9825,-223e" filled="false" stroked="true" strokeweight="1pt" strokecolor="#000000">
                <v:path arrowok="t"/>
                <v:stroke dashstyle="solid"/>
                <w10:wrap type="none"/>
              </v:shape>
            </w:pict>
          </mc:Fallback>
        </mc:AlternateContent>
      </w:r>
      <w:r>
        <w:rPr>
          <w:rFonts w:ascii="Arial"/>
          <w:b/>
          <w:i/>
          <w:spacing w:val="-2"/>
          <w:sz w:val="16"/>
        </w:rPr>
        <w:t>Notes</w:t>
      </w:r>
    </w:p>
    <w:p>
      <w:pPr>
        <w:pStyle w:val="ListParagraph"/>
        <w:numPr>
          <w:ilvl w:val="0"/>
          <w:numId w:val="31"/>
        </w:numPr>
        <w:tabs>
          <w:tab w:pos="948" w:val="left" w:leader="none"/>
        </w:tabs>
        <w:spacing w:line="240" w:lineRule="auto" w:before="41" w:after="0"/>
        <w:ind w:left="948" w:right="0" w:hanging="176"/>
        <w:jc w:val="left"/>
        <w:rPr>
          <w:rFonts w:ascii="Arial" w:hAnsi="Arial"/>
          <w:i/>
          <w:sz w:val="16"/>
        </w:rPr>
      </w:pPr>
      <w:r>
        <w:rPr>
          <w:rFonts w:ascii="Arial" w:hAnsi="Arial"/>
          <w:i/>
          <w:sz w:val="16"/>
        </w:rPr>
        <w:t>See</w:t>
      </w:r>
      <w:r>
        <w:rPr>
          <w:rFonts w:ascii="Arial" w:hAnsi="Arial"/>
          <w:i/>
          <w:spacing w:val="-7"/>
          <w:sz w:val="16"/>
        </w:rPr>
        <w:t> </w:t>
      </w:r>
      <w:r>
        <w:rPr>
          <w:rFonts w:ascii="Arial" w:hAnsi="Arial"/>
          <w:i/>
          <w:sz w:val="16"/>
        </w:rPr>
        <w:t>Notes</w:t>
      </w:r>
      <w:r>
        <w:rPr>
          <w:rFonts w:ascii="Arial" w:hAnsi="Arial"/>
          <w:i/>
          <w:spacing w:val="-3"/>
          <w:sz w:val="16"/>
        </w:rPr>
        <w:t> </w:t>
      </w:r>
      <w:r>
        <w:rPr>
          <w:rFonts w:ascii="Arial" w:hAnsi="Arial"/>
          <w:i/>
          <w:sz w:val="16"/>
        </w:rPr>
        <w:t>to</w:t>
      </w:r>
      <w:r>
        <w:rPr>
          <w:rFonts w:ascii="Arial" w:hAnsi="Arial"/>
          <w:i/>
          <w:spacing w:val="-4"/>
          <w:sz w:val="16"/>
        </w:rPr>
        <w:t> </w:t>
      </w:r>
      <w:r>
        <w:rPr>
          <w:rFonts w:ascii="Arial" w:hAnsi="Arial"/>
          <w:i/>
          <w:sz w:val="16"/>
        </w:rPr>
        <w:t>Financial</w:t>
      </w:r>
      <w:r>
        <w:rPr>
          <w:rFonts w:ascii="Arial" w:hAnsi="Arial"/>
          <w:i/>
          <w:spacing w:val="-3"/>
          <w:sz w:val="16"/>
        </w:rPr>
        <w:t> </w:t>
      </w:r>
      <w:r>
        <w:rPr>
          <w:rFonts w:ascii="Arial" w:hAnsi="Arial"/>
          <w:i/>
          <w:sz w:val="16"/>
        </w:rPr>
        <w:t>Statements,</w:t>
      </w:r>
      <w:r>
        <w:rPr>
          <w:rFonts w:ascii="Arial" w:hAnsi="Arial"/>
          <w:i/>
          <w:spacing w:val="-3"/>
          <w:sz w:val="16"/>
        </w:rPr>
        <w:t> </w:t>
      </w:r>
      <w:r>
        <w:rPr>
          <w:rFonts w:ascii="Arial" w:hAnsi="Arial"/>
          <w:i/>
          <w:sz w:val="16"/>
        </w:rPr>
        <w:t>Note</w:t>
      </w:r>
      <w:r>
        <w:rPr>
          <w:rFonts w:ascii="Arial" w:hAnsi="Arial"/>
          <w:i/>
          <w:spacing w:val="-4"/>
          <w:sz w:val="16"/>
        </w:rPr>
        <w:t> </w:t>
      </w:r>
      <w:r>
        <w:rPr>
          <w:rFonts w:ascii="Arial" w:hAnsi="Arial"/>
          <w:i/>
          <w:sz w:val="16"/>
        </w:rPr>
        <w:t>B—Capital</w:t>
      </w:r>
      <w:r>
        <w:rPr>
          <w:rFonts w:ascii="Arial" w:hAnsi="Arial"/>
          <w:i/>
          <w:spacing w:val="-3"/>
          <w:sz w:val="16"/>
        </w:rPr>
        <w:t> </w:t>
      </w:r>
      <w:r>
        <w:rPr>
          <w:rFonts w:ascii="Arial" w:hAnsi="Arial"/>
          <w:i/>
          <w:sz w:val="16"/>
        </w:rPr>
        <w:t>Stock,</w:t>
      </w:r>
      <w:r>
        <w:rPr>
          <w:rFonts w:ascii="Arial" w:hAnsi="Arial"/>
          <w:i/>
          <w:spacing w:val="-3"/>
          <w:sz w:val="16"/>
        </w:rPr>
        <w:t> </w:t>
      </w:r>
      <w:r>
        <w:rPr>
          <w:rFonts w:ascii="Arial" w:hAnsi="Arial"/>
          <w:i/>
          <w:sz w:val="16"/>
        </w:rPr>
        <w:t>Maintenance</w:t>
      </w:r>
      <w:r>
        <w:rPr>
          <w:rFonts w:ascii="Arial" w:hAnsi="Arial"/>
          <w:i/>
          <w:spacing w:val="-4"/>
          <w:sz w:val="16"/>
        </w:rPr>
        <w:t> </w:t>
      </w:r>
      <w:r>
        <w:rPr>
          <w:rFonts w:ascii="Arial" w:hAnsi="Arial"/>
          <w:i/>
          <w:sz w:val="16"/>
        </w:rPr>
        <w:t>of</w:t>
      </w:r>
      <w:r>
        <w:rPr>
          <w:rFonts w:ascii="Arial" w:hAnsi="Arial"/>
          <w:i/>
          <w:spacing w:val="-3"/>
          <w:sz w:val="16"/>
        </w:rPr>
        <w:t> </w:t>
      </w:r>
      <w:r>
        <w:rPr>
          <w:rFonts w:ascii="Arial" w:hAnsi="Arial"/>
          <w:i/>
          <w:sz w:val="16"/>
        </w:rPr>
        <w:t>Value,</w:t>
      </w:r>
      <w:r>
        <w:rPr>
          <w:rFonts w:ascii="Arial" w:hAnsi="Arial"/>
          <w:i/>
          <w:spacing w:val="-3"/>
          <w:sz w:val="16"/>
        </w:rPr>
        <w:t> </w:t>
      </w:r>
      <w:r>
        <w:rPr>
          <w:rFonts w:ascii="Arial" w:hAnsi="Arial"/>
          <w:i/>
          <w:sz w:val="16"/>
        </w:rPr>
        <w:t>and</w:t>
      </w:r>
      <w:r>
        <w:rPr>
          <w:rFonts w:ascii="Arial" w:hAnsi="Arial"/>
          <w:i/>
          <w:spacing w:val="-4"/>
          <w:sz w:val="16"/>
        </w:rPr>
        <w:t> </w:t>
      </w:r>
      <w:r>
        <w:rPr>
          <w:rFonts w:ascii="Arial" w:hAnsi="Arial"/>
          <w:i/>
          <w:spacing w:val="-2"/>
          <w:sz w:val="16"/>
        </w:rPr>
        <w:t>Membership.</w:t>
      </w:r>
    </w:p>
    <w:p>
      <w:pPr>
        <w:pStyle w:val="ListParagraph"/>
        <w:numPr>
          <w:ilvl w:val="0"/>
          <w:numId w:val="31"/>
        </w:numPr>
        <w:tabs>
          <w:tab w:pos="948" w:val="left" w:leader="none"/>
        </w:tabs>
        <w:spacing w:line="240" w:lineRule="auto" w:before="41" w:after="0"/>
        <w:ind w:left="948" w:right="0" w:hanging="176"/>
        <w:jc w:val="left"/>
        <w:rPr>
          <w:rFonts w:ascii="Arial"/>
          <w:i/>
          <w:sz w:val="16"/>
        </w:rPr>
      </w:pPr>
      <w:r>
        <w:rPr>
          <w:rFonts w:ascii="Arial"/>
          <w:i/>
          <w:sz w:val="16"/>
        </w:rPr>
        <w:t>May</w:t>
      </w:r>
      <w:r>
        <w:rPr>
          <w:rFonts w:ascii="Arial"/>
          <w:i/>
          <w:spacing w:val="-5"/>
          <w:sz w:val="16"/>
        </w:rPr>
        <w:t> </w:t>
      </w:r>
      <w:r>
        <w:rPr>
          <w:rFonts w:ascii="Arial"/>
          <w:i/>
          <w:sz w:val="16"/>
        </w:rPr>
        <w:t>differ</w:t>
      </w:r>
      <w:r>
        <w:rPr>
          <w:rFonts w:ascii="Arial"/>
          <w:i/>
          <w:spacing w:val="-3"/>
          <w:sz w:val="16"/>
        </w:rPr>
        <w:t> </w:t>
      </w:r>
      <w:r>
        <w:rPr>
          <w:rFonts w:ascii="Arial"/>
          <w:i/>
          <w:sz w:val="16"/>
        </w:rPr>
        <w:t>from</w:t>
      </w:r>
      <w:r>
        <w:rPr>
          <w:rFonts w:ascii="Arial"/>
          <w:i/>
          <w:spacing w:val="-2"/>
          <w:sz w:val="16"/>
        </w:rPr>
        <w:t> </w:t>
      </w:r>
      <w:r>
        <w:rPr>
          <w:rFonts w:ascii="Arial"/>
          <w:i/>
          <w:sz w:val="16"/>
        </w:rPr>
        <w:t>the</w:t>
      </w:r>
      <w:r>
        <w:rPr>
          <w:rFonts w:ascii="Arial"/>
          <w:i/>
          <w:spacing w:val="-4"/>
          <w:sz w:val="16"/>
        </w:rPr>
        <w:t> </w:t>
      </w:r>
      <w:r>
        <w:rPr>
          <w:rFonts w:ascii="Arial"/>
          <w:i/>
          <w:sz w:val="16"/>
        </w:rPr>
        <w:t>calculated</w:t>
      </w:r>
      <w:r>
        <w:rPr>
          <w:rFonts w:ascii="Arial"/>
          <w:i/>
          <w:spacing w:val="-3"/>
          <w:sz w:val="16"/>
        </w:rPr>
        <w:t> </w:t>
      </w:r>
      <w:r>
        <w:rPr>
          <w:rFonts w:ascii="Arial"/>
          <w:i/>
          <w:sz w:val="16"/>
        </w:rPr>
        <w:t>figures</w:t>
      </w:r>
      <w:r>
        <w:rPr>
          <w:rFonts w:ascii="Arial"/>
          <w:i/>
          <w:spacing w:val="-3"/>
          <w:sz w:val="16"/>
        </w:rPr>
        <w:t> </w:t>
      </w:r>
      <w:r>
        <w:rPr>
          <w:rFonts w:ascii="Arial"/>
          <w:i/>
          <w:sz w:val="16"/>
        </w:rPr>
        <w:t>or</w:t>
      </w:r>
      <w:r>
        <w:rPr>
          <w:rFonts w:ascii="Arial"/>
          <w:i/>
          <w:spacing w:val="-3"/>
          <w:sz w:val="16"/>
        </w:rPr>
        <w:t> </w:t>
      </w:r>
      <w:r>
        <w:rPr>
          <w:rFonts w:ascii="Arial"/>
          <w:i/>
          <w:sz w:val="16"/>
        </w:rPr>
        <w:t>sum</w:t>
      </w:r>
      <w:r>
        <w:rPr>
          <w:rFonts w:ascii="Arial"/>
          <w:i/>
          <w:spacing w:val="-2"/>
          <w:sz w:val="16"/>
        </w:rPr>
        <w:t> </w:t>
      </w:r>
      <w:r>
        <w:rPr>
          <w:rFonts w:ascii="Arial"/>
          <w:i/>
          <w:sz w:val="16"/>
        </w:rPr>
        <w:t>of</w:t>
      </w:r>
      <w:r>
        <w:rPr>
          <w:rFonts w:ascii="Arial"/>
          <w:i/>
          <w:spacing w:val="-3"/>
          <w:sz w:val="16"/>
        </w:rPr>
        <w:t> </w:t>
      </w:r>
      <w:r>
        <w:rPr>
          <w:rFonts w:ascii="Arial"/>
          <w:i/>
          <w:sz w:val="16"/>
        </w:rPr>
        <w:t>individual</w:t>
      </w:r>
      <w:r>
        <w:rPr>
          <w:rFonts w:ascii="Arial"/>
          <w:i/>
          <w:spacing w:val="-2"/>
          <w:sz w:val="16"/>
        </w:rPr>
        <w:t> </w:t>
      </w:r>
      <w:r>
        <w:rPr>
          <w:rFonts w:ascii="Arial"/>
          <w:i/>
          <w:sz w:val="16"/>
        </w:rPr>
        <w:t>figures</w:t>
      </w:r>
      <w:r>
        <w:rPr>
          <w:rFonts w:ascii="Arial"/>
          <w:i/>
          <w:spacing w:val="-3"/>
          <w:sz w:val="16"/>
        </w:rPr>
        <w:t> </w:t>
      </w:r>
      <w:r>
        <w:rPr>
          <w:rFonts w:ascii="Arial"/>
          <w:i/>
          <w:sz w:val="16"/>
        </w:rPr>
        <w:t>shown</w:t>
      </w:r>
      <w:r>
        <w:rPr>
          <w:rFonts w:ascii="Arial"/>
          <w:i/>
          <w:spacing w:val="-3"/>
          <w:sz w:val="16"/>
        </w:rPr>
        <w:t> </w:t>
      </w:r>
      <w:r>
        <w:rPr>
          <w:rFonts w:ascii="Arial"/>
          <w:i/>
          <w:sz w:val="16"/>
        </w:rPr>
        <w:t>due</w:t>
      </w:r>
      <w:r>
        <w:rPr>
          <w:rFonts w:ascii="Arial"/>
          <w:i/>
          <w:spacing w:val="-4"/>
          <w:sz w:val="16"/>
        </w:rPr>
        <w:t> </w:t>
      </w:r>
      <w:r>
        <w:rPr>
          <w:rFonts w:ascii="Arial"/>
          <w:i/>
          <w:sz w:val="16"/>
        </w:rPr>
        <w:t>to</w:t>
      </w:r>
      <w:r>
        <w:rPr>
          <w:rFonts w:ascii="Arial"/>
          <w:i/>
          <w:spacing w:val="-3"/>
          <w:sz w:val="16"/>
        </w:rPr>
        <w:t> </w:t>
      </w:r>
      <w:r>
        <w:rPr>
          <w:rFonts w:ascii="Arial"/>
          <w:i/>
          <w:spacing w:val="-2"/>
          <w:sz w:val="16"/>
        </w:rPr>
        <w:t>rounding.</w:t>
      </w:r>
    </w:p>
    <w:p>
      <w:pPr>
        <w:pStyle w:val="ListParagraph"/>
        <w:numPr>
          <w:ilvl w:val="0"/>
          <w:numId w:val="31"/>
        </w:numPr>
        <w:tabs>
          <w:tab w:pos="940" w:val="left" w:leader="none"/>
        </w:tabs>
        <w:spacing w:line="240" w:lineRule="auto" w:before="41" w:after="0"/>
        <w:ind w:left="940" w:right="0" w:hanging="168"/>
        <w:jc w:val="left"/>
        <w:rPr>
          <w:rFonts w:ascii="Arial"/>
          <w:i/>
          <w:sz w:val="16"/>
        </w:rPr>
      </w:pPr>
      <w:r>
        <w:rPr>
          <w:rFonts w:ascii="Arial"/>
          <w:i/>
          <w:sz w:val="16"/>
        </w:rPr>
        <w:t>A</w:t>
      </w:r>
      <w:r>
        <w:rPr>
          <w:rFonts w:ascii="Arial"/>
          <w:i/>
          <w:spacing w:val="-6"/>
          <w:sz w:val="16"/>
        </w:rPr>
        <w:t> </w:t>
      </w:r>
      <w:r>
        <w:rPr>
          <w:rFonts w:ascii="Arial"/>
          <w:i/>
          <w:sz w:val="16"/>
        </w:rPr>
        <w:t>member</w:t>
      </w:r>
      <w:r>
        <w:rPr>
          <w:rFonts w:ascii="Arial"/>
          <w:i/>
          <w:spacing w:val="-3"/>
          <w:sz w:val="16"/>
        </w:rPr>
        <w:t> </w:t>
      </w:r>
      <w:r>
        <w:rPr>
          <w:rFonts w:ascii="Arial"/>
          <w:i/>
          <w:sz w:val="16"/>
        </w:rPr>
        <w:t>of</w:t>
      </w:r>
      <w:r>
        <w:rPr>
          <w:rFonts w:ascii="Arial"/>
          <w:i/>
          <w:spacing w:val="-4"/>
          <w:sz w:val="16"/>
        </w:rPr>
        <w:t> </w:t>
      </w:r>
      <w:r>
        <w:rPr>
          <w:rFonts w:ascii="Arial"/>
          <w:i/>
          <w:sz w:val="16"/>
        </w:rPr>
        <w:t>the</w:t>
      </w:r>
      <w:r>
        <w:rPr>
          <w:rFonts w:ascii="Arial"/>
          <w:i/>
          <w:spacing w:val="-4"/>
          <w:sz w:val="16"/>
        </w:rPr>
        <w:t> </w:t>
      </w:r>
      <w:r>
        <w:rPr>
          <w:rFonts w:ascii="Arial"/>
          <w:i/>
          <w:sz w:val="16"/>
        </w:rPr>
        <w:t>Development</w:t>
      </w:r>
      <w:r>
        <w:rPr>
          <w:rFonts w:ascii="Arial"/>
          <w:i/>
          <w:spacing w:val="-4"/>
          <w:sz w:val="16"/>
        </w:rPr>
        <w:t> </w:t>
      </w:r>
      <w:r>
        <w:rPr>
          <w:rFonts w:ascii="Arial"/>
          <w:i/>
          <w:sz w:val="16"/>
        </w:rPr>
        <w:t>Assistance</w:t>
      </w:r>
      <w:r>
        <w:rPr>
          <w:rFonts w:ascii="Arial"/>
          <w:i/>
          <w:spacing w:val="-4"/>
          <w:sz w:val="16"/>
        </w:rPr>
        <w:t> </w:t>
      </w:r>
      <w:r>
        <w:rPr>
          <w:rFonts w:ascii="Arial"/>
          <w:i/>
          <w:sz w:val="16"/>
        </w:rPr>
        <w:t>Committee</w:t>
      </w:r>
      <w:r>
        <w:rPr>
          <w:rFonts w:ascii="Arial"/>
          <w:i/>
          <w:spacing w:val="-5"/>
          <w:sz w:val="16"/>
        </w:rPr>
        <w:t> </w:t>
      </w:r>
      <w:r>
        <w:rPr>
          <w:rFonts w:ascii="Arial"/>
          <w:i/>
          <w:sz w:val="16"/>
        </w:rPr>
        <w:t>of</w:t>
      </w:r>
      <w:r>
        <w:rPr>
          <w:rFonts w:ascii="Arial"/>
          <w:i/>
          <w:spacing w:val="-3"/>
          <w:sz w:val="16"/>
        </w:rPr>
        <w:t> </w:t>
      </w:r>
      <w:r>
        <w:rPr>
          <w:rFonts w:ascii="Arial"/>
          <w:i/>
          <w:sz w:val="16"/>
        </w:rPr>
        <w:t>the</w:t>
      </w:r>
      <w:r>
        <w:rPr>
          <w:rFonts w:ascii="Arial"/>
          <w:i/>
          <w:spacing w:val="-5"/>
          <w:sz w:val="16"/>
        </w:rPr>
        <w:t> </w:t>
      </w:r>
      <w:r>
        <w:rPr>
          <w:rFonts w:ascii="Arial"/>
          <w:i/>
          <w:sz w:val="16"/>
        </w:rPr>
        <w:t>Organization</w:t>
      </w:r>
      <w:r>
        <w:rPr>
          <w:rFonts w:ascii="Arial"/>
          <w:i/>
          <w:spacing w:val="-4"/>
          <w:sz w:val="16"/>
        </w:rPr>
        <w:t> </w:t>
      </w:r>
      <w:r>
        <w:rPr>
          <w:rFonts w:ascii="Arial"/>
          <w:i/>
          <w:sz w:val="16"/>
        </w:rPr>
        <w:t>for</w:t>
      </w:r>
      <w:r>
        <w:rPr>
          <w:rFonts w:ascii="Arial"/>
          <w:i/>
          <w:spacing w:val="-4"/>
          <w:sz w:val="16"/>
        </w:rPr>
        <w:t> </w:t>
      </w:r>
      <w:r>
        <w:rPr>
          <w:rFonts w:ascii="Arial"/>
          <w:i/>
          <w:sz w:val="16"/>
        </w:rPr>
        <w:t>Economic</w:t>
      </w:r>
      <w:r>
        <w:rPr>
          <w:rFonts w:ascii="Arial"/>
          <w:i/>
          <w:spacing w:val="-3"/>
          <w:sz w:val="16"/>
        </w:rPr>
        <w:t> </w:t>
      </w:r>
      <w:r>
        <w:rPr>
          <w:rFonts w:ascii="Arial"/>
          <w:i/>
          <w:sz w:val="16"/>
        </w:rPr>
        <w:t>Cooperation</w:t>
      </w:r>
      <w:r>
        <w:rPr>
          <w:rFonts w:ascii="Arial"/>
          <w:i/>
          <w:spacing w:val="-5"/>
          <w:sz w:val="16"/>
        </w:rPr>
        <w:t> </w:t>
      </w:r>
      <w:r>
        <w:rPr>
          <w:rFonts w:ascii="Arial"/>
          <w:i/>
          <w:sz w:val="16"/>
        </w:rPr>
        <w:t>and</w:t>
      </w:r>
      <w:r>
        <w:rPr>
          <w:rFonts w:ascii="Arial"/>
          <w:i/>
          <w:spacing w:val="-4"/>
          <w:sz w:val="16"/>
        </w:rPr>
        <w:t> </w:t>
      </w:r>
      <w:r>
        <w:rPr>
          <w:rFonts w:ascii="Arial"/>
          <w:i/>
          <w:sz w:val="16"/>
        </w:rPr>
        <w:t>Development</w:t>
      </w:r>
      <w:r>
        <w:rPr>
          <w:rFonts w:ascii="Arial"/>
          <w:i/>
          <w:spacing w:val="-3"/>
          <w:sz w:val="16"/>
        </w:rPr>
        <w:t> </w:t>
      </w:r>
      <w:r>
        <w:rPr>
          <w:rFonts w:ascii="Arial"/>
          <w:i/>
          <w:spacing w:val="-2"/>
          <w:sz w:val="16"/>
        </w:rPr>
        <w:t>(OECD).</w:t>
      </w:r>
    </w:p>
    <w:p>
      <w:pPr>
        <w:spacing w:before="56"/>
        <w:ind w:left="772" w:right="0" w:firstLine="0"/>
        <w:jc w:val="left"/>
        <w:rPr>
          <w:rFonts w:ascii="Arial"/>
          <w:i/>
          <w:sz w:val="16"/>
        </w:rPr>
      </w:pPr>
      <w:r>
        <w:rPr>
          <w:rFonts w:ascii="Arial"/>
          <w:i/>
          <w:sz w:val="16"/>
        </w:rPr>
        <w:t>*</w:t>
      </w:r>
      <w:r>
        <w:rPr>
          <w:rFonts w:ascii="Arial"/>
          <w:i/>
          <w:spacing w:val="-5"/>
          <w:sz w:val="16"/>
        </w:rPr>
        <w:t> </w:t>
      </w:r>
      <w:r>
        <w:rPr>
          <w:rFonts w:ascii="Arial"/>
          <w:i/>
          <w:sz w:val="16"/>
        </w:rPr>
        <w:t>Indicates</w:t>
      </w:r>
      <w:r>
        <w:rPr>
          <w:rFonts w:ascii="Arial"/>
          <w:i/>
          <w:spacing w:val="-3"/>
          <w:sz w:val="16"/>
        </w:rPr>
        <w:t> </w:t>
      </w:r>
      <w:r>
        <w:rPr>
          <w:rFonts w:ascii="Arial"/>
          <w:i/>
          <w:sz w:val="16"/>
        </w:rPr>
        <w:t>amount</w:t>
      </w:r>
      <w:r>
        <w:rPr>
          <w:rFonts w:ascii="Arial"/>
          <w:i/>
          <w:spacing w:val="-3"/>
          <w:sz w:val="16"/>
        </w:rPr>
        <w:t> </w:t>
      </w:r>
      <w:r>
        <w:rPr>
          <w:rFonts w:ascii="Arial"/>
          <w:i/>
          <w:sz w:val="16"/>
        </w:rPr>
        <w:t>less</w:t>
      </w:r>
      <w:r>
        <w:rPr>
          <w:rFonts w:ascii="Arial"/>
          <w:i/>
          <w:spacing w:val="-2"/>
          <w:sz w:val="16"/>
        </w:rPr>
        <w:t> </w:t>
      </w:r>
      <w:r>
        <w:rPr>
          <w:rFonts w:ascii="Arial"/>
          <w:i/>
          <w:sz w:val="16"/>
        </w:rPr>
        <w:t>than</w:t>
      </w:r>
      <w:r>
        <w:rPr>
          <w:rFonts w:ascii="Arial"/>
          <w:i/>
          <w:spacing w:val="-4"/>
          <w:sz w:val="16"/>
        </w:rPr>
        <w:t> </w:t>
      </w:r>
      <w:r>
        <w:rPr>
          <w:rFonts w:ascii="Arial"/>
          <w:i/>
          <w:sz w:val="16"/>
        </w:rPr>
        <w:t>$0.5</w:t>
      </w:r>
      <w:r>
        <w:rPr>
          <w:rFonts w:ascii="Arial"/>
          <w:i/>
          <w:spacing w:val="-4"/>
          <w:sz w:val="16"/>
        </w:rPr>
        <w:t> </w:t>
      </w:r>
      <w:r>
        <w:rPr>
          <w:rFonts w:ascii="Arial"/>
          <w:i/>
          <w:sz w:val="16"/>
        </w:rPr>
        <w:t>million</w:t>
      </w:r>
      <w:r>
        <w:rPr>
          <w:rFonts w:ascii="Arial"/>
          <w:i/>
          <w:spacing w:val="-3"/>
          <w:sz w:val="16"/>
        </w:rPr>
        <w:t> </w:t>
      </w:r>
      <w:r>
        <w:rPr>
          <w:rFonts w:ascii="Arial"/>
          <w:i/>
          <w:sz w:val="16"/>
        </w:rPr>
        <w:t>or</w:t>
      </w:r>
      <w:r>
        <w:rPr>
          <w:rFonts w:ascii="Arial"/>
          <w:i/>
          <w:spacing w:val="-3"/>
          <w:sz w:val="16"/>
        </w:rPr>
        <w:t> </w:t>
      </w:r>
      <w:r>
        <w:rPr>
          <w:rFonts w:ascii="Arial"/>
          <w:i/>
          <w:sz w:val="16"/>
        </w:rPr>
        <w:t>0.005</w:t>
      </w:r>
      <w:r>
        <w:rPr>
          <w:rFonts w:ascii="Arial"/>
          <w:i/>
          <w:spacing w:val="-3"/>
          <w:sz w:val="16"/>
        </w:rPr>
        <w:t> </w:t>
      </w:r>
      <w:r>
        <w:rPr>
          <w:rFonts w:ascii="Arial"/>
          <w:i/>
          <w:spacing w:val="-2"/>
          <w:sz w:val="16"/>
        </w:rPr>
        <w:t>percent</w:t>
      </w:r>
    </w:p>
    <w:p>
      <w:pPr>
        <w:pStyle w:val="BodyText"/>
        <w:spacing w:before="132"/>
        <w:rPr>
          <w:rFonts w:ascii="Arial"/>
          <w:i/>
          <w:sz w:val="18"/>
        </w:rPr>
      </w:pPr>
    </w:p>
    <w:p>
      <w:pPr>
        <w:spacing w:before="1"/>
        <w:ind w:left="187" w:right="0" w:firstLine="0"/>
        <w:jc w:val="center"/>
        <w:rPr>
          <w:rFonts w:ascii="Arial"/>
          <w:b/>
          <w:i/>
          <w:sz w:val="18"/>
        </w:rPr>
      </w:pPr>
      <w:r>
        <w:rPr>
          <w:rFonts w:ascii="Arial"/>
          <w:b/>
          <w:i/>
          <w:sz w:val="18"/>
        </w:rPr>
        <w:t>The</w:t>
      </w:r>
      <w:r>
        <w:rPr>
          <w:rFonts w:ascii="Arial"/>
          <w:b/>
          <w:i/>
          <w:spacing w:val="-4"/>
          <w:sz w:val="18"/>
        </w:rPr>
        <w:t> </w:t>
      </w:r>
      <w:r>
        <w:rPr>
          <w:rFonts w:ascii="Arial"/>
          <w:b/>
          <w:i/>
          <w:sz w:val="18"/>
        </w:rPr>
        <w:t>Notes</w:t>
      </w:r>
      <w:r>
        <w:rPr>
          <w:rFonts w:ascii="Arial"/>
          <w:b/>
          <w:i/>
          <w:spacing w:val="-2"/>
          <w:sz w:val="18"/>
        </w:rPr>
        <w:t> </w:t>
      </w:r>
      <w:r>
        <w:rPr>
          <w:rFonts w:ascii="Arial"/>
          <w:b/>
          <w:i/>
          <w:sz w:val="18"/>
        </w:rPr>
        <w:t>to</w:t>
      </w:r>
      <w:r>
        <w:rPr>
          <w:rFonts w:ascii="Arial"/>
          <w:b/>
          <w:i/>
          <w:spacing w:val="-2"/>
          <w:sz w:val="18"/>
        </w:rPr>
        <w:t> </w:t>
      </w:r>
      <w:r>
        <w:rPr>
          <w:rFonts w:ascii="Arial"/>
          <w:b/>
          <w:i/>
          <w:sz w:val="18"/>
        </w:rPr>
        <w:t>Financial</w:t>
      </w:r>
      <w:r>
        <w:rPr>
          <w:rFonts w:ascii="Arial"/>
          <w:b/>
          <w:i/>
          <w:spacing w:val="-1"/>
          <w:sz w:val="18"/>
        </w:rPr>
        <w:t> </w:t>
      </w:r>
      <w:r>
        <w:rPr>
          <w:rFonts w:ascii="Arial"/>
          <w:b/>
          <w:i/>
          <w:sz w:val="18"/>
        </w:rPr>
        <w:t>Statements</w:t>
      </w:r>
      <w:r>
        <w:rPr>
          <w:rFonts w:ascii="Arial"/>
          <w:b/>
          <w:i/>
          <w:spacing w:val="-2"/>
          <w:sz w:val="18"/>
        </w:rPr>
        <w:t> </w:t>
      </w:r>
      <w:r>
        <w:rPr>
          <w:rFonts w:ascii="Arial"/>
          <w:b/>
          <w:i/>
          <w:sz w:val="18"/>
        </w:rPr>
        <w:t>are</w:t>
      </w:r>
      <w:r>
        <w:rPr>
          <w:rFonts w:ascii="Arial"/>
          <w:b/>
          <w:i/>
          <w:spacing w:val="-2"/>
          <w:sz w:val="18"/>
        </w:rPr>
        <w:t> </w:t>
      </w:r>
      <w:r>
        <w:rPr>
          <w:rFonts w:ascii="Arial"/>
          <w:b/>
          <w:i/>
          <w:sz w:val="18"/>
        </w:rPr>
        <w:t>an</w:t>
      </w:r>
      <w:r>
        <w:rPr>
          <w:rFonts w:ascii="Arial"/>
          <w:b/>
          <w:i/>
          <w:spacing w:val="-2"/>
          <w:sz w:val="18"/>
        </w:rPr>
        <w:t> </w:t>
      </w:r>
      <w:r>
        <w:rPr>
          <w:rFonts w:ascii="Arial"/>
          <w:b/>
          <w:i/>
          <w:sz w:val="18"/>
        </w:rPr>
        <w:t>integral</w:t>
      </w:r>
      <w:r>
        <w:rPr>
          <w:rFonts w:ascii="Arial"/>
          <w:b/>
          <w:i/>
          <w:spacing w:val="-1"/>
          <w:sz w:val="18"/>
        </w:rPr>
        <w:t> </w:t>
      </w:r>
      <w:r>
        <w:rPr>
          <w:rFonts w:ascii="Arial"/>
          <w:b/>
          <w:i/>
          <w:sz w:val="18"/>
        </w:rPr>
        <w:t>part</w:t>
      </w:r>
      <w:r>
        <w:rPr>
          <w:rFonts w:ascii="Arial"/>
          <w:b/>
          <w:i/>
          <w:spacing w:val="-2"/>
          <w:sz w:val="18"/>
        </w:rPr>
        <w:t> </w:t>
      </w:r>
      <w:r>
        <w:rPr>
          <w:rFonts w:ascii="Arial"/>
          <w:b/>
          <w:i/>
          <w:sz w:val="18"/>
        </w:rPr>
        <w:t>of</w:t>
      </w:r>
      <w:r>
        <w:rPr>
          <w:rFonts w:ascii="Arial"/>
          <w:b/>
          <w:i/>
          <w:spacing w:val="-2"/>
          <w:sz w:val="18"/>
        </w:rPr>
        <w:t> </w:t>
      </w:r>
      <w:r>
        <w:rPr>
          <w:rFonts w:ascii="Arial"/>
          <w:b/>
          <w:i/>
          <w:sz w:val="18"/>
        </w:rPr>
        <w:t>these</w:t>
      </w:r>
      <w:r>
        <w:rPr>
          <w:rFonts w:ascii="Arial"/>
          <w:b/>
          <w:i/>
          <w:spacing w:val="-1"/>
          <w:sz w:val="18"/>
        </w:rPr>
        <w:t> </w:t>
      </w:r>
      <w:r>
        <w:rPr>
          <w:rFonts w:ascii="Arial"/>
          <w:b/>
          <w:i/>
          <w:spacing w:val="-2"/>
          <w:sz w:val="18"/>
        </w:rPr>
        <w:t>Statements.</w:t>
      </w:r>
    </w:p>
    <w:p>
      <w:pPr>
        <w:spacing w:after="0"/>
        <w:jc w:val="center"/>
        <w:rPr>
          <w:rFonts w:ascii="Arial"/>
          <w:b/>
          <w:i/>
          <w:sz w:val="18"/>
        </w:rPr>
        <w:sectPr>
          <w:type w:val="continuous"/>
          <w:pgSz w:w="12240" w:h="15840"/>
          <w:pgMar w:header="1030" w:footer="528" w:top="1820" w:bottom="280" w:left="720" w:right="720"/>
        </w:sectPr>
      </w:pPr>
    </w:p>
    <w:p>
      <w:pPr>
        <w:spacing w:before="61"/>
        <w:ind w:left="720" w:right="0" w:firstLine="0"/>
        <w:jc w:val="left"/>
        <w:rPr>
          <w:rFonts w:ascii="Arial MT"/>
          <w:sz w:val="28"/>
        </w:rPr>
      </w:pPr>
      <w:bookmarkStart w:name="NOTES TO THE FINANCIAL STATEMENTS " w:id="204"/>
      <w:bookmarkEnd w:id="204"/>
      <w:r>
        <w:rPr/>
      </w:r>
      <w:bookmarkStart w:name="_bookmark125" w:id="205"/>
      <w:bookmarkEnd w:id="205"/>
      <w:r>
        <w:rPr/>
      </w:r>
      <w:r>
        <w:rPr>
          <w:rFonts w:ascii="Arial MT"/>
          <w:sz w:val="28"/>
        </w:rPr>
        <w:t>NOTES</w:t>
      </w:r>
      <w:r>
        <w:rPr>
          <w:rFonts w:ascii="Arial MT"/>
          <w:spacing w:val="-9"/>
          <w:sz w:val="28"/>
        </w:rPr>
        <w:t> </w:t>
      </w:r>
      <w:r>
        <w:rPr>
          <w:rFonts w:ascii="Arial MT"/>
          <w:sz w:val="28"/>
        </w:rPr>
        <w:t>TO</w:t>
      </w:r>
      <w:r>
        <w:rPr>
          <w:rFonts w:ascii="Arial MT"/>
          <w:spacing w:val="-3"/>
          <w:sz w:val="28"/>
        </w:rPr>
        <w:t> </w:t>
      </w:r>
      <w:r>
        <w:rPr>
          <w:rFonts w:ascii="Arial MT"/>
          <w:sz w:val="28"/>
        </w:rPr>
        <w:t>FINANCIAL</w:t>
      </w:r>
      <w:r>
        <w:rPr>
          <w:rFonts w:ascii="Arial MT"/>
          <w:spacing w:val="-13"/>
          <w:sz w:val="28"/>
        </w:rPr>
        <w:t> </w:t>
      </w:r>
      <w:r>
        <w:rPr>
          <w:rFonts w:ascii="Arial MT"/>
          <w:spacing w:val="-2"/>
          <w:sz w:val="28"/>
        </w:rPr>
        <w:t>STATEMENTS</w:t>
      </w:r>
    </w:p>
    <w:p>
      <w:pPr>
        <w:pStyle w:val="Heading3"/>
        <w:spacing w:before="146"/>
        <w:jc w:val="left"/>
      </w:pPr>
      <w:r>
        <w:rPr/>
        <w:t>PURPOSE</w:t>
      </w:r>
      <w:r>
        <w:rPr>
          <w:spacing w:val="-4"/>
        </w:rPr>
        <w:t> </w:t>
      </w:r>
      <w:r>
        <w:rPr/>
        <w:t>AND</w:t>
      </w:r>
      <w:r>
        <w:rPr>
          <w:spacing w:val="-3"/>
        </w:rPr>
        <w:t> </w:t>
      </w:r>
      <w:r>
        <w:rPr/>
        <w:t>AFFILIATED</w:t>
      </w:r>
      <w:r>
        <w:rPr>
          <w:spacing w:val="-3"/>
        </w:rPr>
        <w:t> </w:t>
      </w:r>
      <w:r>
        <w:rPr>
          <w:spacing w:val="-2"/>
        </w:rPr>
        <w:t>ORGANIZATIONS</w:t>
      </w:r>
    </w:p>
    <w:p>
      <w:pPr>
        <w:pStyle w:val="BodyText"/>
        <w:spacing w:line="249" w:lineRule="auto" w:before="130"/>
        <w:ind w:left="720" w:right="719"/>
        <w:jc w:val="both"/>
      </w:pPr>
      <w:r>
        <w:rPr/>
        <w:t>The International Bank for Reconstruction and Development (IBRD) is an international organization which commenced operations in 1946. The principal purpose of IBRD is to promote sustainable economic development</w:t>
      </w:r>
      <w:r>
        <w:rPr>
          <w:spacing w:val="40"/>
        </w:rPr>
        <w:t> </w:t>
      </w:r>
      <w:r>
        <w:rPr/>
        <w:t>and reduce poverty in its member countries, primarily by providing loans, guarantees and related technical</w:t>
      </w:r>
      <w:r>
        <w:rPr>
          <w:spacing w:val="40"/>
        </w:rPr>
        <w:t> </w:t>
      </w:r>
      <w:r>
        <w:rPr/>
        <w:t>assistance for specific projects and for programs of economic reform in developing member countries. The activities of IBRD are complemented by those of three affiliated organizations, the International Development Association (IDA), the International Finance Corporation (IFC), and the Multilateral Investment Guarantee Agency (MIGA). Each of these organizations is legally and financially independent from IBRD, with separate assets and liabilities, and IBRD is not liable for their respective obligations. Transactions with these affiliated organizations are disclosed in the notes that follow.</w:t>
      </w:r>
    </w:p>
    <w:p>
      <w:pPr>
        <w:pStyle w:val="BodyText"/>
        <w:spacing w:line="249" w:lineRule="auto" w:before="127"/>
        <w:ind w:left="720" w:right="719"/>
        <w:jc w:val="both"/>
      </w:pPr>
      <w:r>
        <w:rPr/>
        <w:t>IBRD is immune from taxation pursuant to Article VII, Section 9, </w:t>
      </w:r>
      <w:r>
        <w:rPr>
          <w:i/>
        </w:rPr>
        <w:t>Immunities from Taxation</w:t>
      </w:r>
      <w:r>
        <w:rPr/>
        <w:t>, of IBRD’s Articles of </w:t>
      </w:r>
      <w:r>
        <w:rPr>
          <w:spacing w:val="-2"/>
        </w:rPr>
        <w:t>Agreement.</w:t>
      </w:r>
    </w:p>
    <w:p>
      <w:pPr>
        <w:pStyle w:val="Heading3"/>
        <w:spacing w:before="183"/>
      </w:pPr>
      <w:bookmarkStart w:name="NOTE A—SUMMARY OF SIGNIFICANT ACCOUNTING" w:id="206"/>
      <w:bookmarkEnd w:id="206"/>
      <w:r>
        <w:rPr>
          <w:b w:val="0"/>
        </w:rPr>
      </w:r>
      <w:r>
        <w:rPr/>
        <w:t>NOTE</w:t>
      </w:r>
      <w:r>
        <w:rPr>
          <w:spacing w:val="-6"/>
        </w:rPr>
        <w:t> </w:t>
      </w:r>
      <w:r>
        <w:rPr/>
        <w:t>A—SUMMARY</w:t>
      </w:r>
      <w:r>
        <w:rPr>
          <w:spacing w:val="-3"/>
        </w:rPr>
        <w:t> </w:t>
      </w:r>
      <w:r>
        <w:rPr/>
        <w:t>OF</w:t>
      </w:r>
      <w:r>
        <w:rPr>
          <w:spacing w:val="-5"/>
        </w:rPr>
        <w:t> </w:t>
      </w:r>
      <w:r>
        <w:rPr/>
        <w:t>SIGNIFICANT</w:t>
      </w:r>
      <w:r>
        <w:rPr>
          <w:spacing w:val="-4"/>
        </w:rPr>
        <w:t> </w:t>
      </w:r>
      <w:r>
        <w:rPr/>
        <w:t>ACCOUNTING</w:t>
      </w:r>
      <w:r>
        <w:rPr>
          <w:spacing w:val="-4"/>
        </w:rPr>
        <w:t> </w:t>
      </w:r>
      <w:r>
        <w:rPr/>
        <w:t>AND</w:t>
      </w:r>
      <w:r>
        <w:rPr>
          <w:spacing w:val="-3"/>
        </w:rPr>
        <w:t> </w:t>
      </w:r>
      <w:r>
        <w:rPr/>
        <w:t>RELATED</w:t>
      </w:r>
      <w:r>
        <w:rPr>
          <w:spacing w:val="-3"/>
        </w:rPr>
        <w:t> </w:t>
      </w:r>
      <w:r>
        <w:rPr>
          <w:spacing w:val="-2"/>
        </w:rPr>
        <w:t>POLICIES</w:t>
      </w:r>
    </w:p>
    <w:p>
      <w:pPr>
        <w:pStyle w:val="BodyText"/>
        <w:spacing w:line="249" w:lineRule="auto" w:before="130"/>
        <w:ind w:left="720" w:right="720"/>
        <w:jc w:val="both"/>
      </w:pPr>
      <w:r>
        <w:rPr/>
        <w:t>IBRD’s financial statements are prepared in conformity with accounting principles generally accepted in the United States of America (U.S. GAAP).</w:t>
      </w:r>
    </w:p>
    <w:p>
      <w:pPr>
        <w:pStyle w:val="BodyText"/>
        <w:spacing w:line="249" w:lineRule="auto" w:before="61"/>
        <w:ind w:left="720" w:right="719"/>
        <w:jc w:val="both"/>
      </w:pPr>
      <w:r>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periods. Due to the inherent uncertainty involved in making these estimates, actual results could differ</w:t>
      </w:r>
      <w:r>
        <w:rPr>
          <w:spacing w:val="40"/>
        </w:rPr>
        <w:t> </w:t>
      </w:r>
      <w:r>
        <w:rPr/>
        <w:t>from these estimates. Significant judgment has been used in the valuation of certain financial instruments, the determination of the adequacy of the accumulated provisions for losses on loans and other exposures, the determination of the net periodic cost from pension and other postretirement benefits plans, and the present value of projected benefit obligations.</w:t>
      </w:r>
    </w:p>
    <w:p>
      <w:pPr>
        <w:pStyle w:val="BodyText"/>
        <w:spacing w:line="249" w:lineRule="auto" w:before="67"/>
        <w:ind w:left="720" w:right="718"/>
        <w:jc w:val="both"/>
      </w:pPr>
      <w:r>
        <w:rPr/>
        <w:t>Certain reclassifications of the prior year’s information have been made to conform with the current year’s </w:t>
      </w:r>
      <w:r>
        <w:rPr>
          <w:spacing w:val="-2"/>
        </w:rPr>
        <w:t>presentation.</w:t>
      </w:r>
    </w:p>
    <w:p>
      <w:pPr>
        <w:pStyle w:val="BodyText"/>
        <w:spacing w:line="249" w:lineRule="auto" w:before="62"/>
        <w:ind w:left="720" w:right="720"/>
        <w:jc w:val="both"/>
      </w:pPr>
      <w:r>
        <w:rPr>
          <w:b/>
          <w:i/>
        </w:rPr>
        <w:t>Translation of Currencies: </w:t>
      </w:r>
      <w:r>
        <w:rPr/>
        <w:t>IBRD’s financial statements are expressed in terms of U.S. dollars for the purpose of reporting</w:t>
      </w:r>
      <w:r>
        <w:rPr>
          <w:spacing w:val="-3"/>
        </w:rPr>
        <w:t> </w:t>
      </w:r>
      <w:r>
        <w:rPr/>
        <w:t>IBRD’s</w:t>
      </w:r>
      <w:r>
        <w:rPr>
          <w:spacing w:val="-3"/>
        </w:rPr>
        <w:t> </w:t>
      </w:r>
      <w:r>
        <w:rPr/>
        <w:t>financial</w:t>
      </w:r>
      <w:r>
        <w:rPr>
          <w:spacing w:val="-3"/>
        </w:rPr>
        <w:t> </w:t>
      </w:r>
      <w:r>
        <w:rPr/>
        <w:t>position</w:t>
      </w:r>
      <w:r>
        <w:rPr>
          <w:spacing w:val="-3"/>
        </w:rPr>
        <w:t> </w:t>
      </w:r>
      <w:r>
        <w:rPr/>
        <w:t>and</w:t>
      </w:r>
      <w:r>
        <w:rPr>
          <w:spacing w:val="-3"/>
        </w:rPr>
        <w:t> </w:t>
      </w:r>
      <w:r>
        <w:rPr/>
        <w:t>the</w:t>
      </w:r>
      <w:r>
        <w:rPr>
          <w:spacing w:val="-3"/>
        </w:rPr>
        <w:t> </w:t>
      </w:r>
      <w:r>
        <w:rPr/>
        <w:t>results</w:t>
      </w:r>
      <w:r>
        <w:rPr>
          <w:spacing w:val="-3"/>
        </w:rPr>
        <w:t> </w:t>
      </w:r>
      <w:r>
        <w:rPr/>
        <w:t>of</w:t>
      </w:r>
      <w:r>
        <w:rPr>
          <w:spacing w:val="-3"/>
        </w:rPr>
        <w:t> </w:t>
      </w:r>
      <w:r>
        <w:rPr/>
        <w:t>its</w:t>
      </w:r>
      <w:r>
        <w:rPr>
          <w:spacing w:val="-3"/>
        </w:rPr>
        <w:t> </w:t>
      </w:r>
      <w:r>
        <w:rPr/>
        <w:t>operations.</w:t>
      </w:r>
      <w:r>
        <w:rPr>
          <w:spacing w:val="-3"/>
        </w:rPr>
        <w:t> </w:t>
      </w:r>
      <w:r>
        <w:rPr/>
        <w:t>IBRD’s</w:t>
      </w:r>
      <w:r>
        <w:rPr>
          <w:spacing w:val="-3"/>
        </w:rPr>
        <w:t> </w:t>
      </w:r>
      <w:r>
        <w:rPr/>
        <w:t>functional</w:t>
      </w:r>
      <w:r>
        <w:rPr>
          <w:spacing w:val="-3"/>
        </w:rPr>
        <w:t> </w:t>
      </w:r>
      <w:r>
        <w:rPr/>
        <w:t>currencies</w:t>
      </w:r>
      <w:r>
        <w:rPr>
          <w:spacing w:val="-3"/>
        </w:rPr>
        <w:t> </w:t>
      </w:r>
      <w:r>
        <w:rPr/>
        <w:t>are</w:t>
      </w:r>
      <w:r>
        <w:rPr>
          <w:spacing w:val="-3"/>
        </w:rPr>
        <w:t> </w:t>
      </w:r>
      <w:r>
        <w:rPr/>
        <w:t>the</w:t>
      </w:r>
      <w:r>
        <w:rPr>
          <w:spacing w:val="-3"/>
        </w:rPr>
        <w:t> </w:t>
      </w:r>
      <w:r>
        <w:rPr/>
        <w:t>U.S.</w:t>
      </w:r>
      <w:r>
        <w:rPr>
          <w:spacing w:val="-3"/>
        </w:rPr>
        <w:t> </w:t>
      </w:r>
      <w:r>
        <w:rPr/>
        <w:t>dollar and euro.</w:t>
      </w:r>
    </w:p>
    <w:p>
      <w:pPr>
        <w:pStyle w:val="BodyText"/>
        <w:spacing w:line="249" w:lineRule="auto" w:before="122"/>
        <w:ind w:left="720" w:right="720"/>
        <w:jc w:val="both"/>
      </w:pPr>
      <w:r>
        <w:rPr/>
        <w:t>Assets</w:t>
      </w:r>
      <w:r>
        <w:rPr>
          <w:spacing w:val="-2"/>
        </w:rPr>
        <w:t> </w:t>
      </w:r>
      <w:r>
        <w:rPr/>
        <w:t>and</w:t>
      </w:r>
      <w:r>
        <w:rPr>
          <w:spacing w:val="-2"/>
        </w:rPr>
        <w:t> </w:t>
      </w:r>
      <w:r>
        <w:rPr/>
        <w:t>liabilities</w:t>
      </w:r>
      <w:r>
        <w:rPr>
          <w:spacing w:val="-2"/>
        </w:rPr>
        <w:t> </w:t>
      </w:r>
      <w:r>
        <w:rPr/>
        <w:t>are</w:t>
      </w:r>
      <w:r>
        <w:rPr>
          <w:spacing w:val="-2"/>
        </w:rPr>
        <w:t> </w:t>
      </w:r>
      <w:r>
        <w:rPr/>
        <w:t>translated</w:t>
      </w:r>
      <w:r>
        <w:rPr>
          <w:spacing w:val="-2"/>
        </w:rPr>
        <w:t> </w:t>
      </w:r>
      <w:r>
        <w:rPr/>
        <w:t>at</w:t>
      </w:r>
      <w:r>
        <w:rPr>
          <w:spacing w:val="-2"/>
        </w:rPr>
        <w:t> </w:t>
      </w:r>
      <w:r>
        <w:rPr/>
        <w:t>market</w:t>
      </w:r>
      <w:r>
        <w:rPr>
          <w:spacing w:val="-2"/>
        </w:rPr>
        <w:t> </w:t>
      </w:r>
      <w:r>
        <w:rPr/>
        <w:t>exchange</w:t>
      </w:r>
      <w:r>
        <w:rPr>
          <w:spacing w:val="-2"/>
        </w:rPr>
        <w:t> </w:t>
      </w:r>
      <w:r>
        <w:rPr/>
        <w:t>rates</w:t>
      </w:r>
      <w:r>
        <w:rPr>
          <w:spacing w:val="-2"/>
        </w:rPr>
        <w:t> </w:t>
      </w:r>
      <w:r>
        <w:rPr/>
        <w:t>in</w:t>
      </w:r>
      <w:r>
        <w:rPr>
          <w:spacing w:val="-2"/>
        </w:rPr>
        <w:t> </w:t>
      </w:r>
      <w:r>
        <w:rPr/>
        <w:t>effect</w:t>
      </w:r>
      <w:r>
        <w:rPr>
          <w:spacing w:val="-2"/>
        </w:rPr>
        <w:t> </w:t>
      </w:r>
      <w:r>
        <w:rPr/>
        <w:t>at</w:t>
      </w:r>
      <w:r>
        <w:rPr>
          <w:spacing w:val="-2"/>
        </w:rPr>
        <w:t> </w:t>
      </w:r>
      <w:r>
        <w:rPr/>
        <w:t>the</w:t>
      </w:r>
      <w:r>
        <w:rPr>
          <w:spacing w:val="-2"/>
        </w:rPr>
        <w:t> </w:t>
      </w:r>
      <w:r>
        <w:rPr/>
        <w:t>end</w:t>
      </w:r>
      <w:r>
        <w:rPr>
          <w:spacing w:val="-2"/>
        </w:rPr>
        <w:t> </w:t>
      </w:r>
      <w:r>
        <w:rPr/>
        <w:t>of</w:t>
      </w:r>
      <w:r>
        <w:rPr>
          <w:spacing w:val="-2"/>
        </w:rPr>
        <w:t> </w:t>
      </w:r>
      <w:r>
        <w:rPr/>
        <w:t>the</w:t>
      </w:r>
      <w:r>
        <w:rPr>
          <w:spacing w:val="-2"/>
        </w:rPr>
        <w:t> </w:t>
      </w:r>
      <w:r>
        <w:rPr/>
        <w:t>reporting</w:t>
      </w:r>
      <w:r>
        <w:rPr>
          <w:spacing w:val="-2"/>
        </w:rPr>
        <w:t> </w:t>
      </w:r>
      <w:r>
        <w:rPr/>
        <w:t>period.</w:t>
      </w:r>
      <w:r>
        <w:rPr>
          <w:spacing w:val="-2"/>
        </w:rPr>
        <w:t> </w:t>
      </w:r>
      <w:r>
        <w:rPr/>
        <w:t>Revenue</w:t>
      </w:r>
      <w:r>
        <w:rPr>
          <w:spacing w:val="-2"/>
        </w:rPr>
        <w:t> </w:t>
      </w:r>
      <w:r>
        <w:rPr/>
        <w:t>and expenses are translated at either the market exchange rates in effect on the dates on which they are recognized or at an average of the market exchange rates in effect during the month of the transaction. Translation adjustments relating to non-functional currencies are reflected in the Statements of Income, while translation adjustments for assets and liabilities denominated in euro are reflected in the Statements of Comprehensive Income.</w:t>
      </w:r>
    </w:p>
    <w:p>
      <w:pPr>
        <w:pStyle w:val="BodyText"/>
        <w:spacing w:line="249" w:lineRule="auto" w:before="124"/>
        <w:ind w:left="720" w:right="719"/>
        <w:jc w:val="both"/>
      </w:pPr>
      <w:r>
        <w:rPr>
          <w:b/>
          <w:i/>
        </w:rPr>
        <w:t>Valuation of Capital Stock: </w:t>
      </w:r>
      <w:r>
        <w:rPr/>
        <w:t>In the Articles of Agreement, the capital stock of IBRD is expressed in terms of “U.S. dollars of the weight and fineness in effect on July 1, 1944” (“1944 dollars”). Following the abolition of gold as a common denominator of the monetary system and the repeal of the provision of the U.S. law defining the par value of the U.S. dollar in terms of gold, the pre-existing basis for translating 1944 dollars into current dollars or into any other currency was eliminated. The Executive Directors of IBRD have decided, until such time as the relevant provisions of the Articles of Agreement are amended, that the words “U.S. dollars of the weight and fineness in effect on July 1, 1944” in Article II, Section 2(a) of the Articles of Agreement of IBRD are interpreted to mean the Special Drawing Right (SDR) introduced by the International Monetary Fund, as valued in terms of U.S. dollars immediately</w:t>
      </w:r>
      <w:r>
        <w:rPr>
          <w:spacing w:val="22"/>
        </w:rPr>
        <w:t> </w:t>
      </w:r>
      <w:r>
        <w:rPr/>
        <w:t>before</w:t>
      </w:r>
      <w:r>
        <w:rPr>
          <w:spacing w:val="21"/>
        </w:rPr>
        <w:t> </w:t>
      </w:r>
      <w:r>
        <w:rPr/>
        <w:t>the</w:t>
      </w:r>
      <w:r>
        <w:rPr>
          <w:spacing w:val="21"/>
        </w:rPr>
        <w:t> </w:t>
      </w:r>
      <w:r>
        <w:rPr/>
        <w:t>introduction</w:t>
      </w:r>
      <w:r>
        <w:rPr>
          <w:spacing w:val="22"/>
        </w:rPr>
        <w:t> </w:t>
      </w:r>
      <w:r>
        <w:rPr/>
        <w:t>of</w:t>
      </w:r>
      <w:r>
        <w:rPr>
          <w:spacing w:val="22"/>
        </w:rPr>
        <w:t> </w:t>
      </w:r>
      <w:r>
        <w:rPr/>
        <w:t>the</w:t>
      </w:r>
      <w:r>
        <w:rPr>
          <w:spacing w:val="21"/>
        </w:rPr>
        <w:t> </w:t>
      </w:r>
      <w:r>
        <w:rPr/>
        <w:t>basket</w:t>
      </w:r>
      <w:r>
        <w:rPr>
          <w:spacing w:val="21"/>
        </w:rPr>
        <w:t> </w:t>
      </w:r>
      <w:r>
        <w:rPr/>
        <w:t>method</w:t>
      </w:r>
      <w:r>
        <w:rPr>
          <w:spacing w:val="22"/>
        </w:rPr>
        <w:t> </w:t>
      </w:r>
      <w:r>
        <w:rPr/>
        <w:t>of</w:t>
      </w:r>
      <w:r>
        <w:rPr>
          <w:spacing w:val="22"/>
        </w:rPr>
        <w:t> </w:t>
      </w:r>
      <w:r>
        <w:rPr/>
        <w:t>valuing</w:t>
      </w:r>
      <w:r>
        <w:rPr>
          <w:spacing w:val="22"/>
        </w:rPr>
        <w:t> </w:t>
      </w:r>
      <w:r>
        <w:rPr/>
        <w:t>the</w:t>
      </w:r>
      <w:r>
        <w:rPr>
          <w:spacing w:val="21"/>
        </w:rPr>
        <w:t> </w:t>
      </w:r>
      <w:r>
        <w:rPr/>
        <w:t>SDR</w:t>
      </w:r>
      <w:r>
        <w:rPr>
          <w:spacing w:val="21"/>
        </w:rPr>
        <w:t> </w:t>
      </w:r>
      <w:r>
        <w:rPr/>
        <w:t>on</w:t>
      </w:r>
      <w:r>
        <w:rPr>
          <w:spacing w:val="22"/>
        </w:rPr>
        <w:t> </w:t>
      </w:r>
      <w:r>
        <w:rPr/>
        <w:t>July</w:t>
      </w:r>
      <w:r>
        <w:rPr>
          <w:spacing w:val="22"/>
        </w:rPr>
        <w:t> </w:t>
      </w:r>
      <w:r>
        <w:rPr/>
        <w:t>1,</w:t>
      </w:r>
      <w:r>
        <w:rPr>
          <w:spacing w:val="22"/>
        </w:rPr>
        <w:t> </w:t>
      </w:r>
      <w:r>
        <w:rPr/>
        <w:t>1974,</w:t>
      </w:r>
      <w:r>
        <w:rPr>
          <w:spacing w:val="22"/>
        </w:rPr>
        <w:t> </w:t>
      </w:r>
      <w:r>
        <w:rPr/>
        <w:t>such</w:t>
      </w:r>
      <w:r>
        <w:rPr>
          <w:spacing w:val="22"/>
        </w:rPr>
        <w:t> </w:t>
      </w:r>
      <w:r>
        <w:rPr/>
        <w:t>value</w:t>
      </w:r>
      <w:r>
        <w:rPr>
          <w:spacing w:val="21"/>
        </w:rPr>
        <w:t> </w:t>
      </w:r>
      <w:r>
        <w:rPr/>
        <w:t>being</w:t>
      </w:r>
    </w:p>
    <w:p>
      <w:pPr>
        <w:pStyle w:val="BodyText"/>
        <w:spacing w:before="7"/>
        <w:ind w:left="720"/>
        <w:jc w:val="both"/>
      </w:pPr>
      <w:r>
        <w:rPr/>
        <w:t>$1.20635</w:t>
      </w:r>
      <w:r>
        <w:rPr>
          <w:spacing w:val="-1"/>
        </w:rPr>
        <w:t> </w:t>
      </w:r>
      <w:r>
        <w:rPr/>
        <w:t>for</w:t>
      </w:r>
      <w:r>
        <w:rPr>
          <w:spacing w:val="-1"/>
        </w:rPr>
        <w:t> </w:t>
      </w:r>
      <w:r>
        <w:rPr/>
        <w:t>one</w:t>
      </w:r>
      <w:r>
        <w:rPr>
          <w:spacing w:val="-1"/>
        </w:rPr>
        <w:t> </w:t>
      </w:r>
      <w:r>
        <w:rPr/>
        <w:t>SDR</w:t>
      </w:r>
      <w:r>
        <w:rPr>
          <w:spacing w:val="-2"/>
        </w:rPr>
        <w:t> </w:t>
      </w:r>
      <w:r>
        <w:rPr/>
        <w:t>(“1974 </w:t>
      </w:r>
      <w:r>
        <w:rPr>
          <w:spacing w:val="-2"/>
        </w:rPr>
        <w:t>SDR”).</w:t>
      </w:r>
    </w:p>
    <w:p>
      <w:pPr>
        <w:pStyle w:val="BodyText"/>
        <w:spacing w:line="249" w:lineRule="auto" w:before="130"/>
        <w:ind w:left="720" w:right="718"/>
        <w:jc w:val="both"/>
      </w:pPr>
      <w:r>
        <w:rPr>
          <w:b/>
          <w:i/>
        </w:rPr>
        <w:t>Maintenance of Value: </w:t>
      </w:r>
      <w:r>
        <w:rPr/>
        <w:t>Article II, Section 9 of the Articles of Agreement provides for maintenance of value</w:t>
      </w:r>
      <w:r>
        <w:rPr>
          <w:spacing w:val="40"/>
        </w:rPr>
        <w:t> </w:t>
      </w:r>
      <w:r>
        <w:rPr/>
        <w:t>(MOV), at the time of subscription, of national currencies paid-in, which are subject to certain restrictions. MOV is determined by measuring the foreign exchange value of a member’s national currency against the standard of value of IBRD’s capital based on the 1974 SDR. MOV receivable are amounts due from members on account of movements in exchange rates from the date of initial subscription, resulting in the reduction in the value of their paid-in capital denominated in national currencies. Members are required to make payments to IBRD if their currencies depreciate significantly relative to the standard of value. These amounts may be settled either in cash or a</w:t>
      </w:r>
    </w:p>
    <w:p>
      <w:pPr>
        <w:pStyle w:val="BodyText"/>
        <w:spacing w:after="0" w:line="249" w:lineRule="auto"/>
        <w:jc w:val="both"/>
        <w:sectPr>
          <w:headerReference w:type="even" r:id="rId129"/>
          <w:footerReference w:type="even" r:id="rId130"/>
          <w:footerReference w:type="default" r:id="rId131"/>
          <w:pgSz w:w="12240" w:h="15840"/>
          <w:pgMar w:header="0" w:footer="528" w:top="960" w:bottom="720" w:left="720" w:right="720"/>
          <w:pgNumType w:start="90"/>
        </w:sectPr>
      </w:pPr>
    </w:p>
    <w:p>
      <w:pPr>
        <w:pStyle w:val="BodyText"/>
        <w:spacing w:line="249" w:lineRule="auto" w:before="72"/>
        <w:ind w:left="720" w:right="718"/>
        <w:jc w:val="both"/>
      </w:pPr>
      <w:r>
        <w:rPr/>
        <w:t>nonnegotiable, noninterest-bearing note, which is due on demand. Certain notes are due on demand only after IBRD's callable subscribed capital has been entirely called pursuant to Article IV, Section 2 (a) of the Articles of Agreement. Furthermore, the Executive Directors have adopted a policy of reimbursing members whose national currencies appreciate significantly in terms of the standard of value.</w:t>
      </w:r>
    </w:p>
    <w:p>
      <w:pPr>
        <w:pStyle w:val="BodyText"/>
        <w:spacing w:line="249" w:lineRule="auto" w:before="123"/>
        <w:ind w:left="720" w:right="717"/>
        <w:jc w:val="both"/>
      </w:pPr>
      <w:r>
        <w:rPr/>
        <w:t>MOV is deferred when the restriction of national currencies paid-in is lifted and these currencies are being used in IBRD’s operations and/or are being invested, swapped, or loaned to members by IBRD or through IFC. Once these restricted currencies are no longer being used in operations, the related MOV is no longer deferred, but rather, becomes due on the same terms as other MOV obligations.</w:t>
      </w:r>
    </w:p>
    <w:p>
      <w:pPr>
        <w:pStyle w:val="BodyText"/>
        <w:spacing w:line="249" w:lineRule="auto" w:before="123"/>
        <w:ind w:left="720" w:right="718"/>
        <w:jc w:val="both"/>
      </w:pPr>
      <w:r>
        <w:rPr/>
        <w:t>All MOV receivable balances are shown as components of Equity, under Receivable amounts to maintain value of currency holdings. All MOV payable balances are included in Other liabilities-Accounts payable and miscellaneous liabilities on the Balance Sheets. The net receivable or payable MOV amounts relating to national currencies used in IBRD's lending and investing operations are also included as a component of Equity under Deferred amounts to maintain value of currency holdings.</w:t>
      </w:r>
    </w:p>
    <w:p>
      <w:pPr>
        <w:pStyle w:val="BodyText"/>
        <w:spacing w:line="249" w:lineRule="auto" w:before="124"/>
        <w:ind w:left="720" w:right="717"/>
        <w:jc w:val="both"/>
      </w:pPr>
      <w:r>
        <w:rPr>
          <w:b/>
          <w:i/>
        </w:rPr>
        <w:t>Withdrawal of Membership: </w:t>
      </w:r>
      <w:r>
        <w:rPr/>
        <w:t>Under IBRD’s Articles of Agreement, in the event a member withdraws from IBRD, the withdrawing member is entitled to receive the value of its shares payable to the extent the member does not have any outstanding obligations to IBRD. IBRD’s Articles of Agreement also state that the former member has continuing obligations to IBRD after withdrawal. Specifically, the former member remains fully liable for its entire capital subscription, including both the previously paid-in portion and the callable portion, so long as any part of the loans or guarantees contracted before it ceased to be a member are outstanding.</w:t>
      </w:r>
    </w:p>
    <w:p>
      <w:pPr>
        <w:pStyle w:val="BodyText"/>
        <w:spacing w:line="249" w:lineRule="auto" w:before="125"/>
        <w:ind w:left="720" w:right="718"/>
        <w:jc w:val="both"/>
      </w:pPr>
      <w:r>
        <w:rPr>
          <w:b/>
          <w:i/>
        </w:rPr>
        <w:t>Transfers Approved by the Board of Governors: </w:t>
      </w:r>
      <w:r>
        <w:rPr/>
        <w:t>In accordance with IBRD’s Articles of Agreement, as interpreted by the Executive Directors, the Board of Governors may exercise its reserved power to approve transfers to other entities for development purposes. When unconditional, these transfers, which are included in the Board of Governors-approved and other transfers line in the Statements of Income, are reported as expenses upon approval. If conditional, these transfers are expensed when the conditions specified for the use by the beneficiaries have been met. The transfers are funded from the preceding fiscal year’s Net Income, Surplus, Restricted Retained Earnings or Other Reserves.</w:t>
      </w:r>
    </w:p>
    <w:p>
      <w:pPr>
        <w:pStyle w:val="BodyText"/>
        <w:spacing w:line="249" w:lineRule="auto" w:before="126"/>
        <w:ind w:left="720" w:right="718"/>
        <w:jc w:val="both"/>
      </w:pPr>
      <w:r>
        <w:rPr>
          <w:b/>
          <w:i/>
        </w:rPr>
        <w:t>Retained Earnings: </w:t>
      </w:r>
      <w:r>
        <w:rPr/>
        <w:t>Retained Earnings consist of allocated amounts (Special Reserve, General Reserve, Pension Reserve, Surplus, Cumulative Fair Value Adjustments, Restricted Retained Earnings, Other Reserves) and Unallocated Net Income (Loss).</w:t>
      </w:r>
    </w:p>
    <w:p>
      <w:pPr>
        <w:pStyle w:val="BodyText"/>
        <w:spacing w:line="249" w:lineRule="auto" w:before="122"/>
        <w:ind w:left="720" w:right="719"/>
        <w:jc w:val="both"/>
      </w:pPr>
      <w:r>
        <w:rPr/>
        <w:t>The Special Reserve consists of loan commissions set aside pursuant to Article IV, Section 6 of the Articles of Agreement,</w:t>
      </w:r>
      <w:r>
        <w:rPr>
          <w:spacing w:val="-3"/>
        </w:rPr>
        <w:t> </w:t>
      </w:r>
      <w:r>
        <w:rPr/>
        <w:t>which</w:t>
      </w:r>
      <w:r>
        <w:rPr>
          <w:spacing w:val="-3"/>
        </w:rPr>
        <w:t> </w:t>
      </w:r>
      <w:r>
        <w:rPr/>
        <w:t>are</w:t>
      </w:r>
      <w:r>
        <w:rPr>
          <w:spacing w:val="-3"/>
        </w:rPr>
        <w:t> </w:t>
      </w:r>
      <w:r>
        <w:rPr/>
        <w:t>to</w:t>
      </w:r>
      <w:r>
        <w:rPr>
          <w:spacing w:val="-3"/>
        </w:rPr>
        <w:t> </w:t>
      </w:r>
      <w:r>
        <w:rPr/>
        <w:t>be</w:t>
      </w:r>
      <w:r>
        <w:rPr>
          <w:spacing w:val="-3"/>
        </w:rPr>
        <w:t> </w:t>
      </w:r>
      <w:r>
        <w:rPr/>
        <w:t>held</w:t>
      </w:r>
      <w:r>
        <w:rPr>
          <w:spacing w:val="-3"/>
        </w:rPr>
        <w:t> </w:t>
      </w:r>
      <w:r>
        <w:rPr/>
        <w:t>in</w:t>
      </w:r>
      <w:r>
        <w:rPr>
          <w:spacing w:val="-3"/>
        </w:rPr>
        <w:t> </w:t>
      </w:r>
      <w:r>
        <w:rPr/>
        <w:t>liquid</w:t>
      </w:r>
      <w:r>
        <w:rPr>
          <w:spacing w:val="-3"/>
        </w:rPr>
        <w:t> </w:t>
      </w:r>
      <w:r>
        <w:rPr/>
        <w:t>assets.</w:t>
      </w:r>
      <w:r>
        <w:rPr>
          <w:spacing w:val="-3"/>
        </w:rPr>
        <w:t> </w:t>
      </w:r>
      <w:r>
        <w:rPr/>
        <w:t>These</w:t>
      </w:r>
      <w:r>
        <w:rPr>
          <w:spacing w:val="-3"/>
        </w:rPr>
        <w:t> </w:t>
      </w:r>
      <w:r>
        <w:rPr/>
        <w:t>assets</w:t>
      </w:r>
      <w:r>
        <w:rPr>
          <w:spacing w:val="-3"/>
        </w:rPr>
        <w:t> </w:t>
      </w:r>
      <w:r>
        <w:rPr/>
        <w:t>may</w:t>
      </w:r>
      <w:r>
        <w:rPr>
          <w:spacing w:val="-3"/>
        </w:rPr>
        <w:t> </w:t>
      </w:r>
      <w:r>
        <w:rPr/>
        <w:t>be</w:t>
      </w:r>
      <w:r>
        <w:rPr>
          <w:spacing w:val="-3"/>
        </w:rPr>
        <w:t> </w:t>
      </w:r>
      <w:r>
        <w:rPr/>
        <w:t>used</w:t>
      </w:r>
      <w:r>
        <w:rPr>
          <w:spacing w:val="-3"/>
        </w:rPr>
        <w:t> </w:t>
      </w:r>
      <w:r>
        <w:rPr/>
        <w:t>only</w:t>
      </w:r>
      <w:r>
        <w:rPr>
          <w:spacing w:val="-3"/>
        </w:rPr>
        <w:t> </w:t>
      </w:r>
      <w:r>
        <w:rPr/>
        <w:t>for</w:t>
      </w:r>
      <w:r>
        <w:rPr>
          <w:spacing w:val="-3"/>
        </w:rPr>
        <w:t> </w:t>
      </w:r>
      <w:r>
        <w:rPr/>
        <w:t>the</w:t>
      </w:r>
      <w:r>
        <w:rPr>
          <w:spacing w:val="-3"/>
        </w:rPr>
        <w:t> </w:t>
      </w:r>
      <w:r>
        <w:rPr/>
        <w:t>purpose</w:t>
      </w:r>
      <w:r>
        <w:rPr>
          <w:spacing w:val="-3"/>
        </w:rPr>
        <w:t> </w:t>
      </w:r>
      <w:r>
        <w:rPr/>
        <w:t>of</w:t>
      </w:r>
      <w:r>
        <w:rPr>
          <w:spacing w:val="-3"/>
        </w:rPr>
        <w:t> </w:t>
      </w:r>
      <w:r>
        <w:rPr/>
        <w:t>meeting</w:t>
      </w:r>
      <w:r>
        <w:rPr>
          <w:spacing w:val="-3"/>
        </w:rPr>
        <w:t> </w:t>
      </w:r>
      <w:r>
        <w:rPr/>
        <w:t>liabilities of IBRD on its borrowings and guarantees in the event of default on loans made, participated in, or guaranteed by IBRD. The Special Reserve assets are included under Investments-Trading, and comprise obligations of the United States Government, its agencies, and other official entities. The allocation of such commissions to the Special Reserve was discontinued in 1964 with respect to subsequent loans and no further additions are being made to it.</w:t>
      </w:r>
    </w:p>
    <w:p>
      <w:pPr>
        <w:pStyle w:val="BodyText"/>
        <w:spacing w:line="249" w:lineRule="auto" w:before="125"/>
        <w:ind w:left="720" w:right="721"/>
        <w:jc w:val="both"/>
      </w:pPr>
      <w:r>
        <w:rPr/>
        <w:t>The General Reserve consists of earnings from prior fiscal years which, in the judgment of the Executive Directors, should be retained in IBRD’s operations.</w:t>
      </w:r>
    </w:p>
    <w:p>
      <w:pPr>
        <w:pStyle w:val="BodyText"/>
        <w:spacing w:line="249" w:lineRule="auto" w:before="122"/>
        <w:ind w:left="720" w:right="718"/>
        <w:jc w:val="both"/>
      </w:pPr>
      <w:r>
        <w:rPr/>
        <w:t>The Pension Reserve consists of the difference between the cumulative actual funding of the Staff Retirement Plan and Trust (SRP) and other postretirement benefits plans, and the cumulative accounting income or expense for these plans, from prior fiscal years. This reserve is reduced when pension accounting expenses exceed the actual funding of these plans. In addition, the Pension Reserve also includes investment revenue earned on the Post-Employment Benefits Plan (PEBP) portfolio as well as Post Retirement Contribution Reserve Fund (PCRF), which is used to stabilize IBRD’s contributions to the pension plan.</w:t>
      </w:r>
    </w:p>
    <w:p>
      <w:pPr>
        <w:pStyle w:val="BodyText"/>
        <w:spacing w:line="249" w:lineRule="auto" w:before="125"/>
        <w:ind w:left="720" w:right="721"/>
        <w:jc w:val="both"/>
      </w:pPr>
      <w:r>
        <w:rPr/>
        <w:t>Surplus consists of earnings from prior fiscal years which are retained by IBRD until a further decision is made on their disposition.</w:t>
      </w:r>
    </w:p>
    <w:p>
      <w:pPr>
        <w:pStyle w:val="BodyText"/>
        <w:spacing w:line="249" w:lineRule="auto" w:before="121"/>
        <w:ind w:left="720" w:right="719"/>
        <w:jc w:val="both"/>
      </w:pPr>
      <w:r>
        <w:rPr/>
        <w:t>Cumulative Fair Value Adjustments consist of the unrealized mark-to-market gains or losses on non-trading portfolios and certain positions in the trading portfolio.</w:t>
      </w:r>
    </w:p>
    <w:p>
      <w:pPr>
        <w:pStyle w:val="BodyText"/>
        <w:spacing w:line="232" w:lineRule="auto" w:before="128"/>
        <w:ind w:left="720" w:right="719"/>
        <w:jc w:val="both"/>
      </w:pPr>
      <w:r>
        <w:rPr/>
        <w:t>Restricted Retained Earnings consists of contributions or revenue from prior years which are contractually restricted as to their purpose.</w:t>
      </w:r>
    </w:p>
    <w:p>
      <w:pPr>
        <w:pStyle w:val="BodyText"/>
        <w:spacing w:after="0" w:line="232" w:lineRule="auto"/>
        <w:jc w:val="both"/>
        <w:sectPr>
          <w:headerReference w:type="default" r:id="rId132"/>
          <w:pgSz w:w="12240" w:h="15840"/>
          <w:pgMar w:header="0" w:footer="0" w:top="960" w:bottom="720" w:left="720" w:right="720"/>
        </w:sectPr>
      </w:pPr>
    </w:p>
    <w:p>
      <w:pPr>
        <w:pStyle w:val="BodyText"/>
        <w:spacing w:line="249" w:lineRule="auto" w:before="72"/>
        <w:ind w:left="720" w:right="719"/>
        <w:jc w:val="both"/>
      </w:pPr>
      <w:r>
        <w:rPr/>
        <w:t>Unallocated Net Income (Loss) consists of the current fiscal year’s net income (loss) adjusted for Board of Governors-approved and other transfers made during the year.</w:t>
      </w:r>
    </w:p>
    <w:p>
      <w:pPr>
        <w:pStyle w:val="BodyText"/>
        <w:spacing w:line="249" w:lineRule="auto" w:before="121"/>
        <w:ind w:left="720" w:right="719"/>
        <w:jc w:val="both"/>
      </w:pPr>
      <w:r>
        <w:rPr/>
        <w:t>Other</w:t>
      </w:r>
      <w:r>
        <w:rPr>
          <w:spacing w:val="-4"/>
        </w:rPr>
        <w:t> </w:t>
      </w:r>
      <w:r>
        <w:rPr/>
        <w:t>Reserves</w:t>
      </w:r>
      <w:r>
        <w:rPr>
          <w:spacing w:val="-4"/>
        </w:rPr>
        <w:t> </w:t>
      </w:r>
      <w:r>
        <w:rPr/>
        <w:t>consist</w:t>
      </w:r>
      <w:r>
        <w:rPr>
          <w:spacing w:val="-4"/>
        </w:rPr>
        <w:t> </w:t>
      </w:r>
      <w:r>
        <w:rPr/>
        <w:t>of</w:t>
      </w:r>
      <w:r>
        <w:rPr>
          <w:spacing w:val="-4"/>
        </w:rPr>
        <w:t> </w:t>
      </w:r>
      <w:r>
        <w:rPr/>
        <w:t>allocations</w:t>
      </w:r>
      <w:r>
        <w:rPr>
          <w:spacing w:val="-4"/>
        </w:rPr>
        <w:t> </w:t>
      </w:r>
      <w:r>
        <w:rPr/>
        <w:t>from</w:t>
      </w:r>
      <w:r>
        <w:rPr>
          <w:spacing w:val="-4"/>
        </w:rPr>
        <w:t> </w:t>
      </w:r>
      <w:r>
        <w:rPr/>
        <w:t>Surplus,</w:t>
      </w:r>
      <w:r>
        <w:rPr>
          <w:spacing w:val="-4"/>
        </w:rPr>
        <w:t> </w:t>
      </w:r>
      <w:r>
        <w:rPr/>
        <w:t>non-functional</w:t>
      </w:r>
      <w:r>
        <w:rPr>
          <w:spacing w:val="-4"/>
        </w:rPr>
        <w:t> </w:t>
      </w:r>
      <w:r>
        <w:rPr/>
        <w:t>currency</w:t>
      </w:r>
      <w:r>
        <w:rPr>
          <w:spacing w:val="-4"/>
        </w:rPr>
        <w:t> </w:t>
      </w:r>
      <w:r>
        <w:rPr/>
        <w:t>translation</w:t>
      </w:r>
      <w:r>
        <w:rPr>
          <w:spacing w:val="-4"/>
        </w:rPr>
        <w:t> </w:t>
      </w:r>
      <w:r>
        <w:rPr/>
        <w:t>adjustment</w:t>
      </w:r>
      <w:r>
        <w:rPr>
          <w:spacing w:val="-4"/>
        </w:rPr>
        <w:t> </w:t>
      </w:r>
      <w:r>
        <w:rPr/>
        <w:t>gains/losses</w:t>
      </w:r>
      <w:r>
        <w:rPr>
          <w:spacing w:val="-4"/>
        </w:rPr>
        <w:t> </w:t>
      </w:r>
      <w:r>
        <w:rPr/>
        <w:t>from prior fiscal years, and revenue from prior years which is set aside for a dedicated purpose. Allocations from Surplus are retained by IBRD until the conditions specified for the use by their beneficiaries have been met.</w:t>
      </w:r>
    </w:p>
    <w:p>
      <w:pPr>
        <w:pStyle w:val="BodyText"/>
        <w:spacing w:before="123"/>
        <w:ind w:left="720" w:right="718"/>
        <w:jc w:val="both"/>
      </w:pPr>
      <w:r>
        <w:rPr>
          <w:b/>
          <w:i/>
        </w:rPr>
        <w:t>Loans and Other Exposures</w:t>
      </w:r>
      <w:r>
        <w:rPr>
          <w:i/>
        </w:rPr>
        <w:t>: </w:t>
      </w:r>
      <w:r>
        <w:rPr/>
        <w:t>All IBRD loans are made to or guaranteed by countries that are members of IBRD, except for loans made to IFC. The majority of IBRD’s loans have repayment obligations based on specific currencies.</w:t>
      </w:r>
      <w:r>
        <w:rPr>
          <w:spacing w:val="-4"/>
        </w:rPr>
        <w:t> </w:t>
      </w:r>
      <w:r>
        <w:rPr/>
        <w:t>IBRD</w:t>
      </w:r>
      <w:r>
        <w:rPr>
          <w:spacing w:val="-4"/>
        </w:rPr>
        <w:t> </w:t>
      </w:r>
      <w:r>
        <w:rPr/>
        <w:t>also</w:t>
      </w:r>
      <w:r>
        <w:rPr>
          <w:spacing w:val="-4"/>
        </w:rPr>
        <w:t> </w:t>
      </w:r>
      <w:r>
        <w:rPr/>
        <w:t>holds</w:t>
      </w:r>
      <w:r>
        <w:rPr>
          <w:spacing w:val="-4"/>
        </w:rPr>
        <w:t> </w:t>
      </w:r>
      <w:r>
        <w:rPr/>
        <w:t>multicurrency</w:t>
      </w:r>
      <w:r>
        <w:rPr>
          <w:spacing w:val="-4"/>
        </w:rPr>
        <w:t> </w:t>
      </w:r>
      <w:r>
        <w:rPr/>
        <w:t>loans</w:t>
      </w:r>
      <w:r>
        <w:rPr>
          <w:spacing w:val="-4"/>
        </w:rPr>
        <w:t> </w:t>
      </w:r>
      <w:r>
        <w:rPr/>
        <w:t>which</w:t>
      </w:r>
      <w:r>
        <w:rPr>
          <w:spacing w:val="-4"/>
        </w:rPr>
        <w:t> </w:t>
      </w:r>
      <w:r>
        <w:rPr/>
        <w:t>have</w:t>
      </w:r>
      <w:r>
        <w:rPr>
          <w:spacing w:val="-4"/>
        </w:rPr>
        <w:t> </w:t>
      </w:r>
      <w:r>
        <w:rPr/>
        <w:t>repayment</w:t>
      </w:r>
      <w:r>
        <w:rPr>
          <w:spacing w:val="-4"/>
        </w:rPr>
        <w:t> </w:t>
      </w:r>
      <w:r>
        <w:rPr/>
        <w:t>obligations</w:t>
      </w:r>
      <w:r>
        <w:rPr>
          <w:spacing w:val="-4"/>
        </w:rPr>
        <w:t> </w:t>
      </w:r>
      <w:r>
        <w:rPr/>
        <w:t>in</w:t>
      </w:r>
      <w:r>
        <w:rPr>
          <w:spacing w:val="-4"/>
        </w:rPr>
        <w:t> </w:t>
      </w:r>
      <w:r>
        <w:rPr/>
        <w:t>various</w:t>
      </w:r>
      <w:r>
        <w:rPr>
          <w:spacing w:val="-4"/>
        </w:rPr>
        <w:t> </w:t>
      </w:r>
      <w:r>
        <w:rPr/>
        <w:t>currencies</w:t>
      </w:r>
      <w:r>
        <w:rPr>
          <w:spacing w:val="-4"/>
        </w:rPr>
        <w:t> </w:t>
      </w:r>
      <w:r>
        <w:rPr/>
        <w:t>determined on the basis of a currency pooling system. Other exposures comprise signed commitments (including deferred drawdown options that are effective, and irrevocable commitments), and guarantees.</w:t>
      </w:r>
    </w:p>
    <w:p>
      <w:pPr>
        <w:pStyle w:val="BodyText"/>
        <w:spacing w:line="232" w:lineRule="auto" w:before="140"/>
        <w:ind w:left="720" w:right="717"/>
        <w:jc w:val="both"/>
      </w:pPr>
      <w:r>
        <w:rPr/>
        <w:t>Loans are reported on the balance sheets at amortized cost. Commitment charges on the undisbursed balance of</w:t>
      </w:r>
      <w:r>
        <w:rPr>
          <w:spacing w:val="40"/>
        </w:rPr>
        <w:t> </w:t>
      </w:r>
      <w:r>
        <w:rPr/>
        <w:t>loans are recognized in revenue as earned. Any loan origination fees incorporated in the terms of a loan are deferred and recognized over the life of the loan as an adjustment of the yield. The unamortized balance of loan origination fees is included as a reduction of the Loans outstanding on the Balance Sheets, and the amortization of loan origination fees are included in Interest revenue from Loans, net in the Statements of Income. Accrued interest is presented in the Balance Sheets line item Other receivables - Accrued income on loans and guarantee fees</w:t>
      </w:r>
      <w:r>
        <w:rPr>
          <w:spacing w:val="40"/>
        </w:rPr>
        <w:t> </w:t>
      </w:r>
      <w:r>
        <w:rPr>
          <w:spacing w:val="-2"/>
        </w:rPr>
        <w:t>receivable.</w:t>
      </w:r>
    </w:p>
    <w:p>
      <w:pPr>
        <w:pStyle w:val="BodyText"/>
        <w:spacing w:line="232" w:lineRule="auto" w:before="127"/>
        <w:ind w:left="720" w:right="718"/>
        <w:jc w:val="both"/>
      </w:pPr>
      <w:r>
        <w:rPr/>
        <w:t>It is IBRD’s practice not to reschedule interest or principal payments on its loans or participate in debt rescheduling agreements with respect to its loans. Should modifications be made to the terms of existing loans, IBRD would perform an evaluation to determine the required accounting treatment, including whether the modification would result in the affected loans being accounted for as a trouble debt restructuring, as a new loan, or as a continuation of the existing loan.</w:t>
      </w:r>
    </w:p>
    <w:p>
      <w:pPr>
        <w:pStyle w:val="BodyText"/>
        <w:spacing w:line="232" w:lineRule="auto" w:before="124"/>
        <w:ind w:left="720" w:right="720"/>
        <w:jc w:val="both"/>
      </w:pPr>
      <w:r>
        <w:rPr/>
        <w:t>It is IBRD’s policy to place all loans and other exposures (collectively “exposures”) made to or guaranteed by a member</w:t>
      </w:r>
      <w:r>
        <w:rPr>
          <w:spacing w:val="-1"/>
        </w:rPr>
        <w:t> </w:t>
      </w:r>
      <w:r>
        <w:rPr/>
        <w:t>of</w:t>
      </w:r>
      <w:r>
        <w:rPr>
          <w:spacing w:val="-1"/>
        </w:rPr>
        <w:t> </w:t>
      </w:r>
      <w:r>
        <w:rPr/>
        <w:t>IBRD</w:t>
      </w:r>
      <w:r>
        <w:rPr>
          <w:spacing w:val="-2"/>
        </w:rPr>
        <w:t> </w:t>
      </w:r>
      <w:r>
        <w:rPr/>
        <w:t>into</w:t>
      </w:r>
      <w:r>
        <w:rPr>
          <w:spacing w:val="-1"/>
        </w:rPr>
        <w:t> </w:t>
      </w:r>
      <w:r>
        <w:rPr/>
        <w:t>nonaccrual</w:t>
      </w:r>
      <w:r>
        <w:rPr>
          <w:spacing w:val="-2"/>
        </w:rPr>
        <w:t> </w:t>
      </w:r>
      <w:r>
        <w:rPr/>
        <w:t>status</w:t>
      </w:r>
      <w:r>
        <w:rPr>
          <w:spacing w:val="-2"/>
        </w:rPr>
        <w:t> </w:t>
      </w:r>
      <w:r>
        <w:rPr/>
        <w:t>if</w:t>
      </w:r>
      <w:r>
        <w:rPr>
          <w:spacing w:val="-1"/>
        </w:rPr>
        <w:t> </w:t>
      </w:r>
      <w:r>
        <w:rPr/>
        <w:t>principal,</w:t>
      </w:r>
      <w:r>
        <w:rPr>
          <w:spacing w:val="-1"/>
        </w:rPr>
        <w:t> </w:t>
      </w:r>
      <w:r>
        <w:rPr/>
        <w:t>interest,</w:t>
      </w:r>
      <w:r>
        <w:rPr>
          <w:spacing w:val="-1"/>
        </w:rPr>
        <w:t> </w:t>
      </w:r>
      <w:r>
        <w:rPr/>
        <w:t>or</w:t>
      </w:r>
      <w:r>
        <w:rPr>
          <w:spacing w:val="-1"/>
        </w:rPr>
        <w:t> </w:t>
      </w:r>
      <w:r>
        <w:rPr/>
        <w:t>other</w:t>
      </w:r>
      <w:r>
        <w:rPr>
          <w:spacing w:val="-1"/>
        </w:rPr>
        <w:t> </w:t>
      </w:r>
      <w:r>
        <w:rPr/>
        <w:t>charges</w:t>
      </w:r>
      <w:r>
        <w:rPr>
          <w:spacing w:val="-2"/>
        </w:rPr>
        <w:t> </w:t>
      </w:r>
      <w:r>
        <w:rPr/>
        <w:t>with</w:t>
      </w:r>
      <w:r>
        <w:rPr>
          <w:spacing w:val="-1"/>
        </w:rPr>
        <w:t> </w:t>
      </w:r>
      <w:r>
        <w:rPr/>
        <w:t>respect</w:t>
      </w:r>
      <w:r>
        <w:rPr>
          <w:spacing w:val="-2"/>
        </w:rPr>
        <w:t> </w:t>
      </w:r>
      <w:r>
        <w:rPr/>
        <w:t>to</w:t>
      </w:r>
      <w:r>
        <w:rPr>
          <w:spacing w:val="-1"/>
        </w:rPr>
        <w:t> </w:t>
      </w:r>
      <w:r>
        <w:rPr/>
        <w:t>any</w:t>
      </w:r>
      <w:r>
        <w:rPr>
          <w:spacing w:val="-1"/>
        </w:rPr>
        <w:t> </w:t>
      </w:r>
      <w:r>
        <w:rPr/>
        <w:t>such</w:t>
      </w:r>
      <w:r>
        <w:rPr>
          <w:spacing w:val="-1"/>
        </w:rPr>
        <w:t> </w:t>
      </w:r>
      <w:r>
        <w:rPr/>
        <w:t>exposures</w:t>
      </w:r>
      <w:r>
        <w:rPr>
          <w:spacing w:val="-2"/>
        </w:rPr>
        <w:t> </w:t>
      </w:r>
      <w:r>
        <w:rPr/>
        <w:t>are overdue by more than six months, unless IBRD’s management determines that the overdue amount will be collected in the immediate future. In addition, if loans and other exposures made by IDA to a member country are placed in nonaccrual status, all loans and other exposures made to, or guaranteed by, that member country will also be placed in nonaccrual status by IBRD. On the date a member’s exposures are placed into nonaccrual status, unpaid interest and other charges accrued on exposures to the member are deducted from the revenue of the current period.</w:t>
      </w:r>
    </w:p>
    <w:p>
      <w:pPr>
        <w:pStyle w:val="BodyText"/>
        <w:spacing w:line="259" w:lineRule="auto" w:before="121"/>
        <w:ind w:left="720" w:right="720"/>
        <w:jc w:val="both"/>
      </w:pPr>
      <w:r>
        <w:rPr/>
        <w:t>Interest and other charges on nonaccruing exposures are included in revenue only to the extent that payments have been received by IBRD. A decision on the restoration of accrual status is made upon arrears clearance.</w:t>
      </w:r>
      <w:r>
        <w:rPr>
          <w:spacing w:val="40"/>
        </w:rPr>
        <w:t> </w:t>
      </w:r>
      <w:r>
        <w:rPr/>
        <w:t>If collectability risk is considered to be particularly high at the time of arrears clearance, the member’s exposures may not automatically emerge from nonaccrual status until a suitable period of payment performance has passed.</w:t>
      </w:r>
    </w:p>
    <w:p>
      <w:pPr>
        <w:pStyle w:val="BodyText"/>
        <w:spacing w:line="249" w:lineRule="auto" w:before="112"/>
        <w:ind w:left="720" w:right="718"/>
        <w:jc w:val="both"/>
      </w:pPr>
      <w:r>
        <w:rPr>
          <w:b/>
          <w:i/>
        </w:rPr>
        <w:t>Loan Commitments: </w:t>
      </w:r>
      <w:r>
        <w:rPr/>
        <w:t>Undisbursed loans relate to operations approved by the Executive Directors, for which disbursements are yet to be made. IBRD records a provision for expected losses on undisbursed loan commitments including</w:t>
      </w:r>
      <w:r>
        <w:rPr>
          <w:spacing w:val="-2"/>
        </w:rPr>
        <w:t> </w:t>
      </w:r>
      <w:r>
        <w:rPr/>
        <w:t>Deferred</w:t>
      </w:r>
      <w:r>
        <w:rPr>
          <w:spacing w:val="-2"/>
        </w:rPr>
        <w:t> </w:t>
      </w:r>
      <w:r>
        <w:rPr/>
        <w:t>Drawdown</w:t>
      </w:r>
      <w:r>
        <w:rPr>
          <w:spacing w:val="-2"/>
        </w:rPr>
        <w:t> </w:t>
      </w:r>
      <w:r>
        <w:rPr/>
        <w:t>Options</w:t>
      </w:r>
      <w:r>
        <w:rPr>
          <w:spacing w:val="-2"/>
        </w:rPr>
        <w:t> </w:t>
      </w:r>
      <w:r>
        <w:rPr/>
        <w:t>(DDOs),</w:t>
      </w:r>
      <w:r>
        <w:rPr>
          <w:spacing w:val="-2"/>
        </w:rPr>
        <w:t> </w:t>
      </w:r>
      <w:r>
        <w:rPr/>
        <w:t>when</w:t>
      </w:r>
      <w:r>
        <w:rPr>
          <w:spacing w:val="-2"/>
        </w:rPr>
        <w:t> </w:t>
      </w:r>
      <w:r>
        <w:rPr/>
        <w:t>signed</w:t>
      </w:r>
      <w:r>
        <w:rPr>
          <w:spacing w:val="-2"/>
        </w:rPr>
        <w:t> </w:t>
      </w:r>
      <w:r>
        <w:rPr/>
        <w:t>by</w:t>
      </w:r>
      <w:r>
        <w:rPr>
          <w:spacing w:val="-2"/>
        </w:rPr>
        <w:t> </w:t>
      </w:r>
      <w:r>
        <w:rPr/>
        <w:t>both</w:t>
      </w:r>
      <w:r>
        <w:rPr>
          <w:spacing w:val="-2"/>
        </w:rPr>
        <w:t> </w:t>
      </w:r>
      <w:r>
        <w:rPr/>
        <w:t>parties.</w:t>
      </w:r>
      <w:r>
        <w:rPr>
          <w:spacing w:val="-2"/>
        </w:rPr>
        <w:t> </w:t>
      </w:r>
      <w:r>
        <w:rPr/>
        <w:t>The</w:t>
      </w:r>
      <w:r>
        <w:rPr>
          <w:spacing w:val="-2"/>
        </w:rPr>
        <w:t> </w:t>
      </w:r>
      <w:r>
        <w:rPr/>
        <w:t>signature</w:t>
      </w:r>
      <w:r>
        <w:rPr>
          <w:spacing w:val="-2"/>
        </w:rPr>
        <w:t> </w:t>
      </w:r>
      <w:r>
        <w:rPr/>
        <w:t>of</w:t>
      </w:r>
      <w:r>
        <w:rPr>
          <w:spacing w:val="-2"/>
        </w:rPr>
        <w:t> </w:t>
      </w:r>
      <w:r>
        <w:rPr/>
        <w:t>the</w:t>
      </w:r>
      <w:r>
        <w:rPr>
          <w:spacing w:val="-2"/>
        </w:rPr>
        <w:t> </w:t>
      </w:r>
      <w:r>
        <w:rPr/>
        <w:t>loan</w:t>
      </w:r>
      <w:r>
        <w:rPr>
          <w:spacing w:val="-2"/>
        </w:rPr>
        <w:t> </w:t>
      </w:r>
      <w:r>
        <w:rPr/>
        <w:t>agreement</w:t>
      </w:r>
      <w:r>
        <w:rPr>
          <w:spacing w:val="-2"/>
        </w:rPr>
        <w:t> </w:t>
      </w:r>
      <w:r>
        <w:rPr/>
        <w:t>is a binding event that prevents IBRD from unconditionally withdrawing from the agreement.</w:t>
      </w:r>
    </w:p>
    <w:p>
      <w:pPr>
        <w:pStyle w:val="BodyText"/>
        <w:spacing w:line="249" w:lineRule="auto" w:before="123"/>
        <w:ind w:left="720" w:right="719"/>
        <w:jc w:val="both"/>
      </w:pPr>
      <w:r>
        <w:rPr>
          <w:b/>
          <w:i/>
        </w:rPr>
        <w:t>Guarantees provided: </w:t>
      </w:r>
      <w:r>
        <w:rPr/>
        <w:t>Financial guarantees are commitments issued by IBRD to guarantee payment by a member country (the debtor) to a third party in the event that a member government (or a government-owned entity) fails to perform its contractual obligations to a third party.</w:t>
      </w:r>
    </w:p>
    <w:p>
      <w:pPr>
        <w:pStyle w:val="BodyText"/>
        <w:spacing w:line="249" w:lineRule="auto" w:before="123"/>
        <w:ind w:left="720" w:right="719"/>
        <w:jc w:val="both"/>
      </w:pPr>
      <w:r>
        <w:rPr/>
        <w:t>Guarantees provided are regarded as outstanding when the underlying financial obligation of the debtor is incurred, and called when a guaranteed party demands payment under the guarantee. IBRD would be required to perform under its guarantees if the payments guaranteed were not made by the debtor and the guaranteed party called the guarantee by demanding payment from IBRD in accordance with the terms of the guarantee. In the event that a guarantee of a member country is called, IBRD has the contractual right to require payment from the member </w:t>
      </w:r>
      <w:r>
        <w:rPr>
          <w:spacing w:val="-2"/>
        </w:rPr>
        <w:t>country.</w:t>
      </w:r>
    </w:p>
    <w:p>
      <w:pPr>
        <w:pStyle w:val="BodyText"/>
        <w:spacing w:line="249" w:lineRule="auto" w:before="125"/>
        <w:ind w:left="720" w:right="719"/>
        <w:jc w:val="both"/>
      </w:pPr>
      <w:r>
        <w:rPr/>
        <w:t>IBRD records the fair value of the obligation to stand ready in Other Liabilities - Accounts payable and miscellaneous liabilities, and a corresponding fees receivable asset in the Other Receivables - Accrued income on loans and guarantee fees receivable line on IBRD’s Balance Sheets. Upfront guarantee fees received are deferred</w:t>
      </w:r>
      <w:r>
        <w:rPr>
          <w:spacing w:val="40"/>
        </w:rPr>
        <w:t> </w:t>
      </w:r>
      <w:r>
        <w:rPr/>
        <w:t>and amortized over the life of the guarantee.</w:t>
      </w:r>
    </w:p>
    <w:p>
      <w:pPr>
        <w:spacing w:line="249" w:lineRule="auto" w:before="123"/>
        <w:ind w:left="720" w:right="718" w:firstLine="0"/>
        <w:jc w:val="both"/>
        <w:rPr>
          <w:sz w:val="20"/>
        </w:rPr>
      </w:pPr>
      <w:r>
        <w:rPr>
          <w:b/>
          <w:i/>
          <w:sz w:val="20"/>
        </w:rPr>
        <w:t>Accumulated Provision for Losses on Loans and Other Exposures: </w:t>
      </w:r>
      <w:r>
        <w:rPr>
          <w:sz w:val="20"/>
        </w:rPr>
        <w:t>Management determines the appropriate level of accumulated provisions</w:t>
      </w:r>
      <w:r>
        <w:rPr>
          <w:spacing w:val="-1"/>
          <w:sz w:val="20"/>
        </w:rPr>
        <w:t> </w:t>
      </w:r>
      <w:r>
        <w:rPr>
          <w:sz w:val="20"/>
        </w:rPr>
        <w:t>for losses</w:t>
      </w:r>
      <w:r>
        <w:rPr>
          <w:spacing w:val="-1"/>
          <w:sz w:val="20"/>
        </w:rPr>
        <w:t> </w:t>
      </w:r>
      <w:r>
        <w:rPr>
          <w:sz w:val="20"/>
        </w:rPr>
        <w:t>on exposures, which reflects</w:t>
      </w:r>
      <w:r>
        <w:rPr>
          <w:spacing w:val="-1"/>
          <w:sz w:val="20"/>
        </w:rPr>
        <w:t> </w:t>
      </w:r>
      <w:r>
        <w:rPr>
          <w:sz w:val="20"/>
        </w:rPr>
        <w:t>the</w:t>
      </w:r>
      <w:r>
        <w:rPr>
          <w:spacing w:val="-1"/>
          <w:sz w:val="20"/>
        </w:rPr>
        <w:t> </w:t>
      </w:r>
      <w:r>
        <w:rPr>
          <w:sz w:val="20"/>
        </w:rPr>
        <w:t>expected losses</w:t>
      </w:r>
      <w:r>
        <w:rPr>
          <w:spacing w:val="-1"/>
          <w:sz w:val="20"/>
        </w:rPr>
        <w:t> </w:t>
      </w:r>
      <w:r>
        <w:rPr>
          <w:sz w:val="20"/>
        </w:rPr>
        <w:t>inherent</w:t>
      </w:r>
      <w:r>
        <w:rPr>
          <w:spacing w:val="-1"/>
          <w:sz w:val="20"/>
        </w:rPr>
        <w:t> </w:t>
      </w:r>
      <w:r>
        <w:rPr>
          <w:sz w:val="20"/>
        </w:rPr>
        <w:t>in IBRD’s</w:t>
      </w:r>
      <w:r>
        <w:rPr>
          <w:spacing w:val="-1"/>
          <w:sz w:val="20"/>
        </w:rPr>
        <w:t> </w:t>
      </w:r>
      <w:r>
        <w:rPr>
          <w:sz w:val="20"/>
        </w:rPr>
        <w:t>exposures.</w:t>
      </w:r>
    </w:p>
    <w:p>
      <w:pPr>
        <w:spacing w:after="0" w:line="249" w:lineRule="auto"/>
        <w:jc w:val="both"/>
        <w:rPr>
          <w:sz w:val="20"/>
        </w:rPr>
        <w:sectPr>
          <w:headerReference w:type="even" r:id="rId133"/>
          <w:footerReference w:type="even" r:id="rId134"/>
          <w:footerReference w:type="default" r:id="rId135"/>
          <w:pgSz w:w="12240" w:h="15840"/>
          <w:pgMar w:header="0" w:footer="528" w:top="960" w:bottom="720" w:left="720" w:right="720"/>
          <w:pgNumType w:start="92"/>
        </w:sectPr>
      </w:pPr>
    </w:p>
    <w:p>
      <w:pPr>
        <w:spacing w:before="62"/>
        <w:ind w:left="720" w:right="0" w:firstLine="0"/>
        <w:jc w:val="left"/>
        <w:rPr>
          <w:i/>
          <w:sz w:val="20"/>
        </w:rPr>
      </w:pPr>
      <w:r>
        <w:rPr>
          <w:i/>
          <w:spacing w:val="-2"/>
          <w:sz w:val="20"/>
        </w:rPr>
        <w:t>Loans</w:t>
      </w:r>
    </w:p>
    <w:p>
      <w:pPr>
        <w:pStyle w:val="BodyText"/>
        <w:spacing w:line="232" w:lineRule="auto" w:before="149"/>
        <w:ind w:left="720" w:right="720"/>
        <w:jc w:val="both"/>
      </w:pPr>
      <w:r>
        <w:rPr/>
        <w:t>Loan</w:t>
      </w:r>
      <w:r>
        <w:rPr>
          <w:spacing w:val="-3"/>
        </w:rPr>
        <w:t> </w:t>
      </w:r>
      <w:r>
        <w:rPr/>
        <w:t>exposures</w:t>
      </w:r>
      <w:r>
        <w:rPr>
          <w:spacing w:val="-3"/>
        </w:rPr>
        <w:t> </w:t>
      </w:r>
      <w:r>
        <w:rPr/>
        <w:t>are</w:t>
      </w:r>
      <w:r>
        <w:rPr>
          <w:spacing w:val="-3"/>
        </w:rPr>
        <w:t> </w:t>
      </w:r>
      <w:r>
        <w:rPr/>
        <w:t>disaggregated</w:t>
      </w:r>
      <w:r>
        <w:rPr>
          <w:spacing w:val="-3"/>
        </w:rPr>
        <w:t> </w:t>
      </w:r>
      <w:r>
        <w:rPr/>
        <w:t>into</w:t>
      </w:r>
      <w:r>
        <w:rPr>
          <w:spacing w:val="-3"/>
        </w:rPr>
        <w:t> </w:t>
      </w:r>
      <w:r>
        <w:rPr/>
        <w:t>two</w:t>
      </w:r>
      <w:r>
        <w:rPr>
          <w:spacing w:val="-3"/>
        </w:rPr>
        <w:t> </w:t>
      </w:r>
      <w:r>
        <w:rPr/>
        <w:t>groups:</w:t>
      </w:r>
      <w:r>
        <w:rPr>
          <w:spacing w:val="-3"/>
        </w:rPr>
        <w:t> </w:t>
      </w:r>
      <w:r>
        <w:rPr/>
        <w:t>exposures</w:t>
      </w:r>
      <w:r>
        <w:rPr>
          <w:spacing w:val="-3"/>
        </w:rPr>
        <w:t> </w:t>
      </w:r>
      <w:r>
        <w:rPr/>
        <w:t>in</w:t>
      </w:r>
      <w:r>
        <w:rPr>
          <w:spacing w:val="-3"/>
        </w:rPr>
        <w:t> </w:t>
      </w:r>
      <w:r>
        <w:rPr/>
        <w:t>accrual</w:t>
      </w:r>
      <w:r>
        <w:rPr>
          <w:spacing w:val="-3"/>
        </w:rPr>
        <w:t> </w:t>
      </w:r>
      <w:r>
        <w:rPr/>
        <w:t>status</w:t>
      </w:r>
      <w:r>
        <w:rPr>
          <w:spacing w:val="-3"/>
        </w:rPr>
        <w:t> </w:t>
      </w:r>
      <w:r>
        <w:rPr/>
        <w:t>and</w:t>
      </w:r>
      <w:r>
        <w:rPr>
          <w:spacing w:val="-3"/>
        </w:rPr>
        <w:t> </w:t>
      </w:r>
      <w:r>
        <w:rPr/>
        <w:t>exposures</w:t>
      </w:r>
      <w:r>
        <w:rPr>
          <w:spacing w:val="-3"/>
        </w:rPr>
        <w:t> </w:t>
      </w:r>
      <w:r>
        <w:rPr/>
        <w:t>in</w:t>
      </w:r>
      <w:r>
        <w:rPr>
          <w:spacing w:val="-3"/>
        </w:rPr>
        <w:t> </w:t>
      </w:r>
      <w:r>
        <w:rPr/>
        <w:t>nonaccrual</w:t>
      </w:r>
      <w:r>
        <w:rPr>
          <w:spacing w:val="-3"/>
        </w:rPr>
        <w:t> </w:t>
      </w:r>
      <w:r>
        <w:rPr/>
        <w:t>status.</w:t>
      </w:r>
      <w:r>
        <w:rPr>
          <w:spacing w:val="-3"/>
        </w:rPr>
        <w:t> </w:t>
      </w:r>
      <w:r>
        <w:rPr/>
        <w:t>In each group, a credit risk rating is assigned to exposures for each borrower.</w:t>
      </w:r>
    </w:p>
    <w:p>
      <w:pPr>
        <w:pStyle w:val="BodyText"/>
        <w:spacing w:line="232" w:lineRule="auto" w:before="226"/>
        <w:ind w:left="720" w:right="718"/>
        <w:jc w:val="both"/>
      </w:pPr>
      <w:r>
        <w:rPr/>
        <w:t>The total exposure for provisioning is the current exposure and the estimated future exposure, taking into account expected disbursements and repayments over the life of the instruments. The expected credit losses related to loans and other exposures are calculated over the life of the instruments based on the annual estimated exposures, the expected default frequency (probability of default to IBRD) and the estimated loss given default. The provision for expected losses is the sum of the expected annual losses over the life of the instruments.</w:t>
      </w:r>
    </w:p>
    <w:p>
      <w:pPr>
        <w:pStyle w:val="BodyText"/>
        <w:spacing w:line="232" w:lineRule="auto" w:before="229"/>
        <w:ind w:left="720" w:right="719"/>
        <w:jc w:val="both"/>
      </w:pPr>
      <w:r>
        <w:rPr/>
        <w:t>For countries in accrual status, these exposures are grouped in pools of borrowers with a similar risk rating. The determination</w:t>
      </w:r>
      <w:r>
        <w:rPr>
          <w:spacing w:val="-2"/>
        </w:rPr>
        <w:t> </w:t>
      </w:r>
      <w:r>
        <w:rPr/>
        <w:t>of</w:t>
      </w:r>
      <w:r>
        <w:rPr>
          <w:spacing w:val="-2"/>
        </w:rPr>
        <w:t> </w:t>
      </w:r>
      <w:r>
        <w:rPr/>
        <w:t>a</w:t>
      </w:r>
      <w:r>
        <w:rPr>
          <w:spacing w:val="-2"/>
        </w:rPr>
        <w:t> </w:t>
      </w:r>
      <w:r>
        <w:rPr/>
        <w:t>borrower’s</w:t>
      </w:r>
      <w:r>
        <w:rPr>
          <w:spacing w:val="-2"/>
        </w:rPr>
        <w:t> </w:t>
      </w:r>
      <w:r>
        <w:rPr/>
        <w:t>rating</w:t>
      </w:r>
      <w:r>
        <w:rPr>
          <w:spacing w:val="-2"/>
        </w:rPr>
        <w:t> </w:t>
      </w:r>
      <w:r>
        <w:rPr/>
        <w:t>is</w:t>
      </w:r>
      <w:r>
        <w:rPr>
          <w:spacing w:val="-2"/>
        </w:rPr>
        <w:t> </w:t>
      </w:r>
      <w:r>
        <w:rPr/>
        <w:t>based</w:t>
      </w:r>
      <w:r>
        <w:rPr>
          <w:spacing w:val="-2"/>
        </w:rPr>
        <w:t> </w:t>
      </w:r>
      <w:r>
        <w:rPr/>
        <w:t>on</w:t>
      </w:r>
      <w:r>
        <w:rPr>
          <w:spacing w:val="-2"/>
        </w:rPr>
        <w:t> </w:t>
      </w:r>
      <w:r>
        <w:rPr/>
        <w:t>various</w:t>
      </w:r>
      <w:r>
        <w:rPr>
          <w:spacing w:val="-2"/>
        </w:rPr>
        <w:t> </w:t>
      </w:r>
      <w:r>
        <w:rPr/>
        <w:t>factors</w:t>
      </w:r>
      <w:r>
        <w:rPr>
          <w:spacing w:val="-2"/>
        </w:rPr>
        <w:t> </w:t>
      </w:r>
      <w:r>
        <w:rPr/>
        <w:t>(see</w:t>
      </w:r>
      <w:r>
        <w:rPr>
          <w:spacing w:val="-2"/>
        </w:rPr>
        <w:t> </w:t>
      </w:r>
      <w:r>
        <w:rPr/>
        <w:t>Note</w:t>
      </w:r>
      <w:r>
        <w:rPr>
          <w:spacing w:val="-2"/>
        </w:rPr>
        <w:t> </w:t>
      </w:r>
      <w:r>
        <w:rPr/>
        <w:t>D—Loans</w:t>
      </w:r>
      <w:r>
        <w:rPr>
          <w:spacing w:val="-2"/>
        </w:rPr>
        <w:t> </w:t>
      </w:r>
      <w:r>
        <w:rPr/>
        <w:t>and</w:t>
      </w:r>
      <w:r>
        <w:rPr>
          <w:spacing w:val="-2"/>
        </w:rPr>
        <w:t> </w:t>
      </w:r>
      <w:r>
        <w:rPr/>
        <w:t>other</w:t>
      </w:r>
      <w:r>
        <w:rPr>
          <w:spacing w:val="-2"/>
        </w:rPr>
        <w:t> </w:t>
      </w:r>
      <w:r>
        <w:rPr/>
        <w:t>exposures).</w:t>
      </w:r>
      <w:r>
        <w:rPr>
          <w:spacing w:val="-2"/>
        </w:rPr>
        <w:t> </w:t>
      </w:r>
      <w:r>
        <w:rPr/>
        <w:t>Each</w:t>
      </w:r>
      <w:r>
        <w:rPr>
          <w:spacing w:val="-2"/>
        </w:rPr>
        <w:t> </w:t>
      </w:r>
      <w:r>
        <w:rPr/>
        <w:t>risk rating is mapped to an expected default frequency using IBRD's credit migration matrix, based on historical observations of credit ratings at the beginning and at the end of each year.</w:t>
      </w:r>
    </w:p>
    <w:p>
      <w:pPr>
        <w:pStyle w:val="BodyText"/>
        <w:spacing w:line="232" w:lineRule="auto" w:before="227"/>
        <w:ind w:left="720" w:right="719"/>
        <w:jc w:val="both"/>
      </w:pPr>
      <w:r>
        <w:rPr/>
        <w:t>Expected losses on loan exposures comprise estimates of potential losses arising from the economic loss due to delays in receiving payments. The estimated loss given default is determined at each balance sheet date,</w:t>
      </w:r>
      <w:r>
        <w:rPr>
          <w:spacing w:val="40"/>
        </w:rPr>
        <w:t> </w:t>
      </w:r>
      <w:r>
        <w:rPr/>
        <w:t>based on IBRD’s historical experience, as well as parameters adjusted for current conditions during the reasonable and supportable forecast period of IBRD. The loss given default is based on the borrower’s eligibility, namely: IBRD, Blend (IBRD and IDA) and IDA, with the highest loss given default associated with IDA eligibility. The main factors used to determine the loss given default are the estimated length of delays in receiving loan payments, and</w:t>
      </w:r>
      <w:r>
        <w:rPr>
          <w:spacing w:val="40"/>
        </w:rPr>
        <w:t> </w:t>
      </w:r>
      <w:r>
        <w:rPr/>
        <w:t>the effective interest rate of the exposure. As the majority of IBRD’s loans carry a variable interest rate, the loss severity is impacted by the changes in forward looking market interest rates.</w:t>
      </w:r>
    </w:p>
    <w:p>
      <w:pPr>
        <w:pStyle w:val="BodyText"/>
        <w:spacing w:before="1"/>
      </w:pPr>
    </w:p>
    <w:p>
      <w:pPr>
        <w:pStyle w:val="BodyText"/>
        <w:spacing w:line="232" w:lineRule="auto" w:before="1"/>
        <w:ind w:left="720" w:right="718"/>
        <w:jc w:val="both"/>
      </w:pPr>
      <w:r>
        <w:rPr/>
        <w:t>For the calculation of expected credit losses, IBRD applies a three-year reasonable and supportable forecast period, representing the most reliable and available economic data during this period. IBRD also applies a ten-year straight-line reversion to the mean to reflect the historical pattern of rating migration to the mean of its loan portfolio.</w:t>
      </w:r>
    </w:p>
    <w:p>
      <w:pPr>
        <w:pStyle w:val="BodyText"/>
        <w:spacing w:before="41"/>
      </w:pPr>
    </w:p>
    <w:p>
      <w:pPr>
        <w:pStyle w:val="BodyText"/>
        <w:spacing w:line="232" w:lineRule="auto"/>
        <w:ind w:left="720" w:right="718"/>
        <w:jc w:val="both"/>
      </w:pPr>
      <w:r>
        <w:rPr/>
        <w:t>This methodology is also applied to countries with exposures in nonaccrual status, although the expected default frequency is equal to a hundred percent. At times, to reflect certain distinguishing circumstances of a particular nonaccrual situation, different input assumptions may be used for a specific country.</w:t>
      </w:r>
    </w:p>
    <w:p>
      <w:pPr>
        <w:pStyle w:val="BodyText"/>
        <w:spacing w:line="244" w:lineRule="auto" w:before="221"/>
        <w:ind w:left="720" w:right="717"/>
        <w:jc w:val="both"/>
      </w:pPr>
      <w:r>
        <w:rPr/>
        <w:t>All exposures for countries in nonaccrual status are individually assessed. Exposure for certain countries in accrual status may be individually assessed on the basis that they do not share common risk characteristics with an existing pool of exposures. It is IBRD’s practice not to write off loans. All contractual obligations associated with exposures in nonaccrual status have eventually been cleared, and borrowers have emerged from nonaccrual status. To date, no loans have been written off.</w:t>
      </w:r>
    </w:p>
    <w:p>
      <w:pPr>
        <w:pStyle w:val="BodyText"/>
        <w:spacing w:line="232" w:lineRule="auto" w:before="222"/>
        <w:ind w:left="720" w:right="718"/>
        <w:jc w:val="both"/>
      </w:pPr>
      <w:r>
        <w:rPr/>
        <w:t>Management reassesses the adequacy of the accumulated provision on a quarterly basis and adjustments to the accumulated provision are recorded as a charge to or release of provision in the Statements of Income. In addition, reasonableness of the inputs used is reassessed at least annually.</w:t>
      </w:r>
    </w:p>
    <w:p>
      <w:pPr>
        <w:pStyle w:val="BodyText"/>
        <w:spacing w:line="232" w:lineRule="auto" w:before="227"/>
        <w:ind w:left="720" w:right="720"/>
        <w:jc w:val="both"/>
      </w:pPr>
      <w:r>
        <w:rPr/>
        <w:t>When IBRD receives a third-party guarantee in the form of a credit enhancement that is embedded in the loan agreement with the borrower, it considers the benefit of the credit enhancement in the loan loss provisioning credit risk assessment.</w:t>
      </w:r>
    </w:p>
    <w:p>
      <w:pPr>
        <w:spacing w:before="221"/>
        <w:ind w:left="720" w:right="0" w:firstLine="0"/>
        <w:jc w:val="left"/>
        <w:rPr>
          <w:i/>
          <w:sz w:val="20"/>
        </w:rPr>
      </w:pPr>
      <w:r>
        <w:rPr>
          <w:i/>
          <w:sz w:val="20"/>
        </w:rPr>
        <w:t>Loan</w:t>
      </w:r>
      <w:r>
        <w:rPr>
          <w:i/>
          <w:spacing w:val="-1"/>
          <w:sz w:val="20"/>
        </w:rPr>
        <w:t> </w:t>
      </w:r>
      <w:r>
        <w:rPr>
          <w:i/>
          <w:spacing w:val="-2"/>
          <w:sz w:val="20"/>
        </w:rPr>
        <w:t>Commitments</w:t>
      </w:r>
    </w:p>
    <w:p>
      <w:pPr>
        <w:pStyle w:val="BodyText"/>
        <w:spacing w:line="249" w:lineRule="auto" w:before="130"/>
        <w:ind w:left="720" w:right="718"/>
        <w:jc w:val="both"/>
      </w:pPr>
      <w:r>
        <w:rPr/>
        <w:t>IBRD records the expected credit losses on loan commitments based on</w:t>
      </w:r>
      <w:r>
        <w:rPr>
          <w:spacing w:val="40"/>
        </w:rPr>
        <w:t> </w:t>
      </w:r>
      <w:r>
        <w:rPr/>
        <w:t>the projected disbursements of signed loan commitments (adjusted by cancellations based on historical experience), the expected probability of default and estimated loss given default. The provision is included in Other liabilities - Accounts payable and miscellaneous liabilities on the Balance Sheets.</w:t>
      </w:r>
    </w:p>
    <w:p>
      <w:pPr>
        <w:spacing w:before="123"/>
        <w:ind w:left="720" w:right="0" w:firstLine="0"/>
        <w:jc w:val="left"/>
        <w:rPr>
          <w:i/>
          <w:sz w:val="20"/>
        </w:rPr>
      </w:pPr>
      <w:r>
        <w:rPr>
          <w:i/>
          <w:sz w:val="20"/>
        </w:rPr>
        <w:t>Guarantees</w:t>
      </w:r>
      <w:r>
        <w:rPr>
          <w:i/>
          <w:spacing w:val="-6"/>
          <w:sz w:val="20"/>
        </w:rPr>
        <w:t> </w:t>
      </w:r>
      <w:r>
        <w:rPr>
          <w:i/>
          <w:spacing w:val="-2"/>
          <w:sz w:val="20"/>
        </w:rPr>
        <w:t>provided</w:t>
      </w:r>
    </w:p>
    <w:p>
      <w:pPr>
        <w:pStyle w:val="BodyText"/>
        <w:spacing w:line="249" w:lineRule="auto" w:before="130"/>
        <w:ind w:left="720" w:right="720"/>
        <w:jc w:val="both"/>
      </w:pPr>
      <w:r>
        <w:rPr/>
        <w:t>IBRD records a contingent liability for the expected losses related to guarantees provided over the projected life of the instruments, which is determined based on the estimated exposure at default, multiplied by the corresponding loss given default and expected default probability for the projected life of the guarantee. This provision, as well as the unamortized balance of the deferred guarantee fees, and the unamortized balance of the obligation to stand-ready, are included in Other Liabilities - Accounts payable and miscellaneous liabilities on the Balance Sheets.</w:t>
      </w:r>
    </w:p>
    <w:p>
      <w:pPr>
        <w:pStyle w:val="BodyText"/>
        <w:spacing w:after="0" w:line="249" w:lineRule="auto"/>
        <w:jc w:val="both"/>
        <w:sectPr>
          <w:headerReference w:type="default" r:id="rId136"/>
          <w:pgSz w:w="12240" w:h="15840"/>
          <w:pgMar w:header="0" w:footer="0" w:top="980" w:bottom="720" w:left="720" w:right="720"/>
        </w:sectPr>
      </w:pPr>
    </w:p>
    <w:p>
      <w:pPr>
        <w:spacing w:before="72"/>
        <w:ind w:left="720" w:right="0" w:firstLine="0"/>
        <w:jc w:val="both"/>
        <w:rPr>
          <w:i/>
          <w:sz w:val="20"/>
        </w:rPr>
      </w:pPr>
      <w:r>
        <w:rPr>
          <w:i/>
          <w:sz w:val="20"/>
        </w:rPr>
        <w:t>Exposure</w:t>
      </w:r>
      <w:r>
        <w:rPr>
          <w:i/>
          <w:spacing w:val="-8"/>
          <w:sz w:val="20"/>
        </w:rPr>
        <w:t> </w:t>
      </w:r>
      <w:r>
        <w:rPr>
          <w:i/>
          <w:sz w:val="20"/>
        </w:rPr>
        <w:t>Exchange</w:t>
      </w:r>
      <w:r>
        <w:rPr>
          <w:i/>
          <w:spacing w:val="-6"/>
          <w:sz w:val="20"/>
        </w:rPr>
        <w:t> </w:t>
      </w:r>
      <w:r>
        <w:rPr>
          <w:i/>
          <w:sz w:val="20"/>
        </w:rPr>
        <w:t>Agreements</w:t>
      </w:r>
      <w:r>
        <w:rPr>
          <w:i/>
          <w:spacing w:val="-5"/>
          <w:sz w:val="20"/>
        </w:rPr>
        <w:t> </w:t>
      </w:r>
      <w:r>
        <w:rPr>
          <w:i/>
          <w:spacing w:val="-2"/>
          <w:sz w:val="20"/>
        </w:rPr>
        <w:t>(EEAs)</w:t>
      </w:r>
    </w:p>
    <w:p>
      <w:pPr>
        <w:pStyle w:val="BodyText"/>
        <w:spacing w:line="249" w:lineRule="auto" w:before="130"/>
        <w:ind w:left="720" w:right="720"/>
        <w:jc w:val="both"/>
      </w:pPr>
      <w:r>
        <w:rPr/>
        <w:t>IBRD executes EEAs with various organizations. While these agreements are not legally considered guarantees, in IBRD’s financial statements they are recognized as financial guarantees as they meet the accounting criteria for financial guarantees. Under an EEA, each party exchanges credit risk exposure of a portfolio supported by underlying loans to borrowers, by providing and receiving guarantees from each other, for the amounts specified. The guarantee provided and the guarantee received are two separate transactions; namely (a) the provision of a financial</w:t>
      </w:r>
      <w:r>
        <w:rPr>
          <w:spacing w:val="-2"/>
        </w:rPr>
        <w:t> </w:t>
      </w:r>
      <w:r>
        <w:rPr/>
        <w:t>guarantee,</w:t>
      </w:r>
      <w:r>
        <w:rPr>
          <w:spacing w:val="-2"/>
        </w:rPr>
        <w:t> </w:t>
      </w:r>
      <w:r>
        <w:rPr/>
        <w:t>and</w:t>
      </w:r>
      <w:r>
        <w:rPr>
          <w:spacing w:val="-2"/>
        </w:rPr>
        <w:t> </w:t>
      </w:r>
      <w:r>
        <w:rPr/>
        <w:t>(b)</w:t>
      </w:r>
      <w:r>
        <w:rPr>
          <w:spacing w:val="-2"/>
        </w:rPr>
        <w:t> </w:t>
      </w:r>
      <w:r>
        <w:rPr/>
        <w:t>the</w:t>
      </w:r>
      <w:r>
        <w:rPr>
          <w:spacing w:val="-2"/>
        </w:rPr>
        <w:t> </w:t>
      </w:r>
      <w:r>
        <w:rPr/>
        <w:t>receipt</w:t>
      </w:r>
      <w:r>
        <w:rPr>
          <w:spacing w:val="-2"/>
        </w:rPr>
        <w:t> </w:t>
      </w:r>
      <w:r>
        <w:rPr/>
        <w:t>of</w:t>
      </w:r>
      <w:r>
        <w:rPr>
          <w:spacing w:val="-2"/>
        </w:rPr>
        <w:t> </w:t>
      </w:r>
      <w:r>
        <w:rPr/>
        <w:t>an</w:t>
      </w:r>
      <w:r>
        <w:rPr>
          <w:spacing w:val="-2"/>
        </w:rPr>
        <w:t> </w:t>
      </w:r>
      <w:r>
        <w:rPr/>
        <w:t>asset.</w:t>
      </w:r>
      <w:r>
        <w:rPr>
          <w:spacing w:val="-2"/>
        </w:rPr>
        <w:t> </w:t>
      </w:r>
      <w:r>
        <w:rPr/>
        <w:t>There</w:t>
      </w:r>
      <w:r>
        <w:rPr>
          <w:spacing w:val="-2"/>
        </w:rPr>
        <w:t> </w:t>
      </w:r>
      <w:r>
        <w:rPr/>
        <w:t>is</w:t>
      </w:r>
      <w:r>
        <w:rPr>
          <w:spacing w:val="-2"/>
        </w:rPr>
        <w:t> </w:t>
      </w:r>
      <w:r>
        <w:rPr/>
        <w:t>generally</w:t>
      </w:r>
      <w:r>
        <w:rPr>
          <w:spacing w:val="-2"/>
        </w:rPr>
        <w:t> </w:t>
      </w:r>
      <w:r>
        <w:rPr/>
        <w:t>no</w:t>
      </w:r>
      <w:r>
        <w:rPr>
          <w:spacing w:val="-2"/>
        </w:rPr>
        <w:t> </w:t>
      </w:r>
      <w:r>
        <w:rPr/>
        <w:t>exchange</w:t>
      </w:r>
      <w:r>
        <w:rPr>
          <w:spacing w:val="-2"/>
        </w:rPr>
        <w:t> </w:t>
      </w:r>
      <w:r>
        <w:rPr/>
        <w:t>of</w:t>
      </w:r>
      <w:r>
        <w:rPr>
          <w:spacing w:val="-2"/>
        </w:rPr>
        <w:t> </w:t>
      </w:r>
      <w:r>
        <w:rPr/>
        <w:t>cash</w:t>
      </w:r>
      <w:r>
        <w:rPr>
          <w:spacing w:val="-2"/>
        </w:rPr>
        <w:t> </w:t>
      </w:r>
      <w:r>
        <w:rPr/>
        <w:t>between</w:t>
      </w:r>
      <w:r>
        <w:rPr>
          <w:spacing w:val="-2"/>
        </w:rPr>
        <w:t> </w:t>
      </w:r>
      <w:r>
        <w:rPr/>
        <w:t>the</w:t>
      </w:r>
      <w:r>
        <w:rPr>
          <w:spacing w:val="-2"/>
        </w:rPr>
        <w:t> </w:t>
      </w:r>
      <w:r>
        <w:rPr/>
        <w:t>organizations for these transactions.</w:t>
      </w:r>
    </w:p>
    <w:p>
      <w:pPr>
        <w:pStyle w:val="BodyText"/>
        <w:spacing w:line="249" w:lineRule="auto" w:before="125"/>
        <w:ind w:left="720" w:right="719"/>
        <w:jc w:val="both"/>
      </w:pPr>
      <w:r>
        <w:rPr/>
        <w:t>For a guarantee provided under an EEA, IBRD records a liability equivalent to the fair value of the obligation to stand ready. This liability is included in Other liabilities - Accounts payable and miscellaneous liabilities on the Balance Sheets and is amortized over the life of the EEA. IBRD also records a liability, and corresponding expense, in recognition of the risk coverage provided (provision). The value of this liability reflects the credit quality of the underlying loans in the portfolio and changes over the life of the EEA as the credit quality of these loans changes.</w:t>
      </w:r>
    </w:p>
    <w:p>
      <w:pPr>
        <w:pStyle w:val="BodyText"/>
        <w:spacing w:line="249" w:lineRule="auto" w:before="124"/>
        <w:ind w:left="720" w:right="718"/>
        <w:jc w:val="both"/>
      </w:pPr>
      <w:r>
        <w:rPr/>
        <w:t>For a guarantee received under an EEA, IBRD records an asset equivalent to the fair value of the right to be indemnified. This asset is included in Other assets – Miscellaneous on the Balance Sheets and is amortized over the life of the EEA. IBRD also records an asset, and corresponding income, in recognition of the risk coverage received (recoverable asset). The value of this asset reflects the credit quality of the underlying loans in the portfolio and changes over the life of the EEA contract as the credit quality of these loans changes.</w:t>
      </w:r>
    </w:p>
    <w:p>
      <w:pPr>
        <w:pStyle w:val="BodyText"/>
        <w:spacing w:line="249" w:lineRule="auto" w:before="125"/>
        <w:ind w:left="720" w:right="719"/>
        <w:jc w:val="both"/>
      </w:pPr>
      <w:r>
        <w:rPr>
          <w:b/>
          <w:i/>
        </w:rPr>
        <w:t>Segment Reporting: </w:t>
      </w:r>
      <w:r>
        <w:rPr/>
        <w:t>Based on an evaluation of IBRD’s operations, Management has determined that IBRD has one reportable</w:t>
      </w:r>
      <w:r>
        <w:rPr>
          <w:spacing w:val="-2"/>
        </w:rPr>
        <w:t> </w:t>
      </w:r>
      <w:r>
        <w:rPr/>
        <w:t>segment</w:t>
      </w:r>
      <w:r>
        <w:rPr>
          <w:spacing w:val="-2"/>
        </w:rPr>
        <w:t> </w:t>
      </w:r>
      <w:r>
        <w:rPr/>
        <w:t>since</w:t>
      </w:r>
      <w:r>
        <w:rPr>
          <w:spacing w:val="-2"/>
        </w:rPr>
        <w:t> </w:t>
      </w:r>
      <w:r>
        <w:rPr/>
        <w:t>financial</w:t>
      </w:r>
      <w:r>
        <w:rPr>
          <w:spacing w:val="-2"/>
        </w:rPr>
        <w:t> </w:t>
      </w:r>
      <w:r>
        <w:rPr/>
        <w:t>results</w:t>
      </w:r>
      <w:r>
        <w:rPr>
          <w:spacing w:val="-2"/>
        </w:rPr>
        <w:t> </w:t>
      </w:r>
      <w:r>
        <w:rPr/>
        <w:t>are</w:t>
      </w:r>
      <w:r>
        <w:rPr>
          <w:spacing w:val="-2"/>
        </w:rPr>
        <w:t> </w:t>
      </w:r>
      <w:r>
        <w:rPr/>
        <w:t>reviewed</w:t>
      </w:r>
      <w:r>
        <w:rPr>
          <w:spacing w:val="-1"/>
        </w:rPr>
        <w:t> </w:t>
      </w:r>
      <w:r>
        <w:rPr/>
        <w:t>and</w:t>
      </w:r>
      <w:r>
        <w:rPr>
          <w:spacing w:val="-1"/>
        </w:rPr>
        <w:t> </w:t>
      </w:r>
      <w:r>
        <w:rPr/>
        <w:t>resource</w:t>
      </w:r>
      <w:r>
        <w:rPr>
          <w:spacing w:val="-2"/>
        </w:rPr>
        <w:t> </w:t>
      </w:r>
      <w:r>
        <w:rPr/>
        <w:t>allocation</w:t>
      </w:r>
      <w:r>
        <w:rPr>
          <w:spacing w:val="-1"/>
        </w:rPr>
        <w:t> </w:t>
      </w:r>
      <w:r>
        <w:rPr/>
        <w:t>decisions</w:t>
      </w:r>
      <w:r>
        <w:rPr>
          <w:spacing w:val="-2"/>
        </w:rPr>
        <w:t> </w:t>
      </w:r>
      <w:r>
        <w:rPr/>
        <w:t>are</w:t>
      </w:r>
      <w:r>
        <w:rPr>
          <w:spacing w:val="-2"/>
        </w:rPr>
        <w:t> </w:t>
      </w:r>
      <w:r>
        <w:rPr/>
        <w:t>made</w:t>
      </w:r>
      <w:r>
        <w:rPr>
          <w:spacing w:val="-2"/>
        </w:rPr>
        <w:t> </w:t>
      </w:r>
      <w:r>
        <w:rPr/>
        <w:t>at</w:t>
      </w:r>
      <w:r>
        <w:rPr>
          <w:spacing w:val="-2"/>
        </w:rPr>
        <w:t> </w:t>
      </w:r>
      <w:r>
        <w:rPr/>
        <w:t>the</w:t>
      </w:r>
      <w:r>
        <w:rPr>
          <w:spacing w:val="-2"/>
        </w:rPr>
        <w:t> </w:t>
      </w:r>
      <w:r>
        <w:rPr/>
        <w:t>entity</w:t>
      </w:r>
      <w:r>
        <w:rPr>
          <w:spacing w:val="-1"/>
        </w:rPr>
        <w:t> </w:t>
      </w:r>
      <w:r>
        <w:rPr/>
        <w:t>level.</w:t>
      </w:r>
    </w:p>
    <w:p>
      <w:pPr>
        <w:pStyle w:val="BodyText"/>
        <w:spacing w:line="249" w:lineRule="auto" w:before="121"/>
        <w:ind w:left="720" w:right="718"/>
        <w:jc w:val="both"/>
      </w:pPr>
      <w:r>
        <w:rPr>
          <w:b/>
          <w:i/>
        </w:rPr>
        <w:t>Statements of Cash Flows: </w:t>
      </w:r>
      <w:r>
        <w:rPr/>
        <w:t>For the purpose of IBRD's Statements of Cash Flows, cash is defined as the amount of Unrestricted cash and Restricted cash under the Due from banks line on the Balance Sheets.</w:t>
      </w:r>
    </w:p>
    <w:p>
      <w:pPr>
        <w:pStyle w:val="BodyText"/>
        <w:spacing w:line="249" w:lineRule="auto" w:before="122"/>
        <w:ind w:left="720" w:right="719"/>
        <w:jc w:val="both"/>
      </w:pPr>
      <w:r>
        <w:rPr>
          <w:b/>
          <w:i/>
        </w:rPr>
        <w:t>Restricted Cash: </w:t>
      </w:r>
      <w:r>
        <w:rPr/>
        <w:t>This includes amounts which have been received from members as part of their capital subscriptions, as well as from donors and other sources, which are restricted for specified purposes. For capital subscriptions, a portion of these subscriptions have been paid to IBRD in the national currencies of the members. These amounts are usable by IBRD in its lending and investing operations, only with the consent of the respective members, and for administrative expenses incurred in national currencies.</w:t>
      </w:r>
    </w:p>
    <w:p>
      <w:pPr>
        <w:pStyle w:val="BodyText"/>
        <w:spacing w:line="249" w:lineRule="auto" w:before="124"/>
        <w:ind w:left="720" w:right="719"/>
        <w:jc w:val="both"/>
      </w:pPr>
      <w:r>
        <w:rPr>
          <w:b/>
          <w:i/>
        </w:rPr>
        <w:t>Investments</w:t>
      </w:r>
      <w:r>
        <w:rPr>
          <w:i/>
        </w:rPr>
        <w:t>: </w:t>
      </w:r>
      <w:r>
        <w:rPr/>
        <w:t>Investment securities are classified based on Management’s intention on the date of purchase, their nature, and IBRD’s policies governing the level and use of such investments. As of June 30, 2023, all of the</w:t>
      </w:r>
      <w:r>
        <w:rPr>
          <w:spacing w:val="40"/>
        </w:rPr>
        <w:t> </w:t>
      </w:r>
      <w:r>
        <w:rPr/>
        <w:t>financial instruments in IBRD’s investment portfolio were classified as trading. These securities are carried and reported at fair value, or at face value or net asset value (NAV), which approximate fair value.</w:t>
      </w:r>
    </w:p>
    <w:p>
      <w:pPr>
        <w:pStyle w:val="BodyText"/>
        <w:spacing w:before="123"/>
        <w:ind w:left="720" w:right="718"/>
        <w:jc w:val="both"/>
      </w:pPr>
      <w:r>
        <w:rPr/>
        <w:t>Where available, quoted market prices are used to determine the fair value of trading securities. These include most government</w:t>
      </w:r>
      <w:r>
        <w:rPr>
          <w:spacing w:val="-4"/>
        </w:rPr>
        <w:t> </w:t>
      </w:r>
      <w:r>
        <w:rPr/>
        <w:t>and</w:t>
      </w:r>
      <w:r>
        <w:rPr>
          <w:spacing w:val="-4"/>
        </w:rPr>
        <w:t> </w:t>
      </w:r>
      <w:r>
        <w:rPr/>
        <w:t>agency</w:t>
      </w:r>
      <w:r>
        <w:rPr>
          <w:spacing w:val="-4"/>
        </w:rPr>
        <w:t> </w:t>
      </w:r>
      <w:r>
        <w:rPr/>
        <w:t>securities,</w:t>
      </w:r>
      <w:r>
        <w:rPr>
          <w:spacing w:val="-4"/>
        </w:rPr>
        <w:t> </w:t>
      </w:r>
      <w:r>
        <w:rPr/>
        <w:t>exchange-traded</w:t>
      </w:r>
      <w:r>
        <w:rPr>
          <w:spacing w:val="-4"/>
        </w:rPr>
        <w:t> </w:t>
      </w:r>
      <w:r>
        <w:rPr/>
        <w:t>equity</w:t>
      </w:r>
      <w:r>
        <w:rPr>
          <w:spacing w:val="-4"/>
        </w:rPr>
        <w:t> </w:t>
      </w:r>
      <w:r>
        <w:rPr/>
        <w:t>securities,</w:t>
      </w:r>
      <w:r>
        <w:rPr>
          <w:spacing w:val="-4"/>
        </w:rPr>
        <w:t> </w:t>
      </w:r>
      <w:r>
        <w:rPr/>
        <w:t>Asset-backed</w:t>
      </w:r>
      <w:r>
        <w:rPr>
          <w:spacing w:val="-4"/>
        </w:rPr>
        <w:t> </w:t>
      </w:r>
      <w:r>
        <w:rPr/>
        <w:t>Securities</w:t>
      </w:r>
      <w:r>
        <w:rPr>
          <w:spacing w:val="-4"/>
        </w:rPr>
        <w:t> </w:t>
      </w:r>
      <w:r>
        <w:rPr/>
        <w:t>(ABS),</w:t>
      </w:r>
      <w:r>
        <w:rPr>
          <w:spacing w:val="-4"/>
        </w:rPr>
        <w:t> </w:t>
      </w:r>
      <w:r>
        <w:rPr/>
        <w:t>and</w:t>
      </w:r>
      <w:r>
        <w:rPr>
          <w:spacing w:val="-4"/>
        </w:rPr>
        <w:t> </w:t>
      </w:r>
      <w:r>
        <w:rPr/>
        <w:t>Mortgage-backed Securities (MBS). For instruments for which market quotations are not available, fair values are determined using model-based valuation techniques, whether internally-generated or vendor-supplied, that include the discounted cash flow method using observable market inputs such as yield curves, credit spreads, and conditional prepayment rates. Where applicable, unobservable inputs such as conditional prepayment rates, probability of</w:t>
      </w:r>
      <w:r>
        <w:rPr>
          <w:spacing w:val="40"/>
        </w:rPr>
        <w:t> </w:t>
      </w:r>
      <w:r>
        <w:rPr/>
        <w:t>default and loss severity are used. Unless quoted prices are available, time deposits are reported at face value which approximates fair value, as they are short term in nature. Purchases and sales of securities are recorded on a trade-date</w:t>
      </w:r>
      <w:r>
        <w:rPr>
          <w:spacing w:val="-3"/>
        </w:rPr>
        <w:t> </w:t>
      </w:r>
      <w:r>
        <w:rPr/>
        <w:t>basis.</w:t>
      </w:r>
      <w:r>
        <w:rPr>
          <w:spacing w:val="40"/>
        </w:rPr>
        <w:t> </w:t>
      </w:r>
      <w:r>
        <w:rPr/>
        <w:t>Time</w:t>
      </w:r>
      <w:r>
        <w:rPr>
          <w:spacing w:val="-3"/>
        </w:rPr>
        <w:t> </w:t>
      </w:r>
      <w:r>
        <w:rPr/>
        <w:t>deposits</w:t>
      </w:r>
      <w:r>
        <w:rPr>
          <w:spacing w:val="-3"/>
        </w:rPr>
        <w:t> </w:t>
      </w:r>
      <w:r>
        <w:rPr/>
        <w:t>and</w:t>
      </w:r>
      <w:r>
        <w:rPr>
          <w:spacing w:val="-3"/>
        </w:rPr>
        <w:t> </w:t>
      </w:r>
      <w:r>
        <w:rPr/>
        <w:t>money</w:t>
      </w:r>
      <w:r>
        <w:rPr>
          <w:spacing w:val="-3"/>
        </w:rPr>
        <w:t> </w:t>
      </w:r>
      <w:r>
        <w:rPr/>
        <w:t>market</w:t>
      </w:r>
      <w:r>
        <w:rPr>
          <w:spacing w:val="-3"/>
        </w:rPr>
        <w:t> </w:t>
      </w:r>
      <w:r>
        <w:rPr/>
        <w:t>deposits</w:t>
      </w:r>
      <w:r>
        <w:rPr>
          <w:spacing w:val="-3"/>
        </w:rPr>
        <w:t> </w:t>
      </w:r>
      <w:r>
        <w:rPr/>
        <w:t>are</w:t>
      </w:r>
      <w:r>
        <w:rPr>
          <w:spacing w:val="-3"/>
        </w:rPr>
        <w:t> </w:t>
      </w:r>
      <w:r>
        <w:rPr/>
        <w:t>recorded</w:t>
      </w:r>
      <w:r>
        <w:rPr>
          <w:spacing w:val="-3"/>
        </w:rPr>
        <w:t> </w:t>
      </w:r>
      <w:r>
        <w:rPr/>
        <w:t>at</w:t>
      </w:r>
      <w:r>
        <w:rPr>
          <w:spacing w:val="-3"/>
        </w:rPr>
        <w:t> </w:t>
      </w:r>
      <w:r>
        <w:rPr/>
        <w:t>settlement.</w:t>
      </w:r>
      <w:r>
        <w:rPr>
          <w:spacing w:val="-3"/>
        </w:rPr>
        <w:t> </w:t>
      </w:r>
      <w:r>
        <w:rPr/>
        <w:t>The</w:t>
      </w:r>
      <w:r>
        <w:rPr>
          <w:spacing w:val="-3"/>
        </w:rPr>
        <w:t> </w:t>
      </w:r>
      <w:r>
        <w:rPr/>
        <w:t>first-in</w:t>
      </w:r>
      <w:r>
        <w:rPr>
          <w:spacing w:val="-3"/>
        </w:rPr>
        <w:t> </w:t>
      </w:r>
      <w:r>
        <w:rPr/>
        <w:t>first-out</w:t>
      </w:r>
      <w:r>
        <w:rPr>
          <w:spacing w:val="-3"/>
        </w:rPr>
        <w:t> </w:t>
      </w:r>
      <w:r>
        <w:rPr/>
        <w:t>method</w:t>
      </w:r>
      <w:r>
        <w:rPr>
          <w:spacing w:val="-3"/>
        </w:rPr>
        <w:t> </w:t>
      </w:r>
      <w:r>
        <w:rPr/>
        <w:t>is</w:t>
      </w:r>
      <w:r>
        <w:rPr>
          <w:spacing w:val="-3"/>
        </w:rPr>
        <w:t> </w:t>
      </w:r>
      <w:r>
        <w:rPr/>
        <w:t>used to determine the cost of securities sold in computing the realized gains and losses on these instruments. Derivative instruments used in liquidity management are not designated as hedging instruments for accounting purposes.</w:t>
      </w:r>
    </w:p>
    <w:p>
      <w:pPr>
        <w:pStyle w:val="BodyText"/>
        <w:spacing w:line="249" w:lineRule="auto" w:before="120"/>
        <w:ind w:left="720" w:right="721"/>
        <w:jc w:val="both"/>
      </w:pPr>
      <w:r>
        <w:rPr/>
        <w:t>Interest revenue is included in the Investments-Trading, net line in the Statements of Income. Unrealized gains and losses for investment securities and related financial instruments held in the trading portfolio are included in the Unrealized mark-to-market gains (losses) on Investments-Trading portfolio, net line in the Statements of Income. Realized gains and losses on trading securities are recognized in the Statements of Income when securities are sold.</w:t>
      </w:r>
    </w:p>
    <w:p>
      <w:pPr>
        <w:pStyle w:val="BodyText"/>
        <w:spacing w:line="249" w:lineRule="auto" w:before="124"/>
        <w:ind w:left="720" w:right="719"/>
        <w:jc w:val="both"/>
      </w:pPr>
      <w:r>
        <w:rPr/>
        <w:t>IBRD may require collateral in the form of approved liquid securities from individual counterparties or cash, under legal</w:t>
      </w:r>
      <w:r>
        <w:rPr>
          <w:spacing w:val="-3"/>
        </w:rPr>
        <w:t> </w:t>
      </w:r>
      <w:r>
        <w:rPr/>
        <w:t>agreements</w:t>
      </w:r>
      <w:r>
        <w:rPr>
          <w:spacing w:val="-3"/>
        </w:rPr>
        <w:t> </w:t>
      </w:r>
      <w:r>
        <w:rPr/>
        <w:t>that</w:t>
      </w:r>
      <w:r>
        <w:rPr>
          <w:spacing w:val="-3"/>
        </w:rPr>
        <w:t> </w:t>
      </w:r>
      <w:r>
        <w:rPr/>
        <w:t>provide</w:t>
      </w:r>
      <w:r>
        <w:rPr>
          <w:spacing w:val="-3"/>
        </w:rPr>
        <w:t> </w:t>
      </w:r>
      <w:r>
        <w:rPr/>
        <w:t>for</w:t>
      </w:r>
      <w:r>
        <w:rPr>
          <w:spacing w:val="-3"/>
        </w:rPr>
        <w:t> </w:t>
      </w:r>
      <w:r>
        <w:rPr/>
        <w:t>collateralization,</w:t>
      </w:r>
      <w:r>
        <w:rPr>
          <w:spacing w:val="-3"/>
        </w:rPr>
        <w:t> </w:t>
      </w:r>
      <w:r>
        <w:rPr/>
        <w:t>in</w:t>
      </w:r>
      <w:r>
        <w:rPr>
          <w:spacing w:val="-3"/>
        </w:rPr>
        <w:t> </w:t>
      </w:r>
      <w:r>
        <w:rPr/>
        <w:t>order</w:t>
      </w:r>
      <w:r>
        <w:rPr>
          <w:spacing w:val="-3"/>
        </w:rPr>
        <w:t> </w:t>
      </w:r>
      <w:r>
        <w:rPr/>
        <w:t>to</w:t>
      </w:r>
      <w:r>
        <w:rPr>
          <w:spacing w:val="-3"/>
        </w:rPr>
        <w:t> </w:t>
      </w:r>
      <w:r>
        <w:rPr/>
        <w:t>mitigate</w:t>
      </w:r>
      <w:r>
        <w:rPr>
          <w:spacing w:val="-3"/>
        </w:rPr>
        <w:t> </w:t>
      </w:r>
      <w:r>
        <w:rPr/>
        <w:t>its</w:t>
      </w:r>
      <w:r>
        <w:rPr>
          <w:spacing w:val="-3"/>
        </w:rPr>
        <w:t> </w:t>
      </w:r>
      <w:r>
        <w:rPr/>
        <w:t>credit</w:t>
      </w:r>
      <w:r>
        <w:rPr>
          <w:spacing w:val="-3"/>
        </w:rPr>
        <w:t> </w:t>
      </w:r>
      <w:r>
        <w:rPr/>
        <w:t>exposure</w:t>
      </w:r>
      <w:r>
        <w:rPr>
          <w:spacing w:val="-3"/>
        </w:rPr>
        <w:t> </w:t>
      </w:r>
      <w:r>
        <w:rPr/>
        <w:t>to</w:t>
      </w:r>
      <w:r>
        <w:rPr>
          <w:spacing w:val="-3"/>
        </w:rPr>
        <w:t> </w:t>
      </w:r>
      <w:r>
        <w:rPr/>
        <w:t>these</w:t>
      </w:r>
      <w:r>
        <w:rPr>
          <w:spacing w:val="-3"/>
        </w:rPr>
        <w:t> </w:t>
      </w:r>
      <w:r>
        <w:rPr/>
        <w:t>counterparties.</w:t>
      </w:r>
      <w:r>
        <w:rPr>
          <w:spacing w:val="-3"/>
        </w:rPr>
        <w:t> </w:t>
      </w:r>
      <w:r>
        <w:rPr/>
        <w:t>For collateral received in the form of cash from counterparties, IBRD invests the amounts received and records the investment and a corresponding obligation to return the cash. Collateral received in the form of liquid securities is only recorded on IBRD's Balance Sheets to the extent that it has been transferred under securities lending</w:t>
      </w:r>
      <w:r>
        <w:rPr>
          <w:spacing w:val="40"/>
        </w:rPr>
        <w:t> </w:t>
      </w:r>
      <w:r>
        <w:rPr/>
        <w:t>agreements in return for cash.</w:t>
      </w:r>
    </w:p>
    <w:p>
      <w:pPr>
        <w:pStyle w:val="BodyText"/>
        <w:spacing w:after="0" w:line="249" w:lineRule="auto"/>
        <w:jc w:val="both"/>
        <w:sectPr>
          <w:headerReference w:type="even" r:id="rId137"/>
          <w:footerReference w:type="even" r:id="rId138"/>
          <w:footerReference w:type="default" r:id="rId139"/>
          <w:pgSz w:w="12240" w:h="15840"/>
          <w:pgMar w:header="0" w:footer="528" w:top="960" w:bottom="720" w:left="720" w:right="720"/>
          <w:pgNumType w:start="94"/>
        </w:sectPr>
      </w:pPr>
    </w:p>
    <w:p>
      <w:pPr>
        <w:pStyle w:val="BodyText"/>
        <w:spacing w:line="249" w:lineRule="auto" w:before="68"/>
        <w:ind w:left="720" w:right="719"/>
        <w:jc w:val="both"/>
      </w:pPr>
      <w:r>
        <w:rPr>
          <w:b/>
          <w:i/>
        </w:rPr>
        <w:t>Securities Purchased Under Resale Agreements, Securities Lent Under Securities Lending Agreements and Securities Sold Under Repurchase Agreements and Payable for Cash Collateral Received: </w:t>
      </w:r>
      <w:r>
        <w:rPr/>
        <w:t>Securities purchased under resale agreements, securities lent under securities lending agreements, securities sold under repurchase agreements</w:t>
      </w:r>
      <w:r>
        <w:rPr>
          <w:spacing w:val="-2"/>
        </w:rPr>
        <w:t> </w:t>
      </w:r>
      <w:r>
        <w:rPr/>
        <w:t>and</w:t>
      </w:r>
      <w:r>
        <w:rPr>
          <w:spacing w:val="-2"/>
        </w:rPr>
        <w:t> </w:t>
      </w:r>
      <w:r>
        <w:rPr/>
        <w:t>payable</w:t>
      </w:r>
      <w:r>
        <w:rPr>
          <w:spacing w:val="-2"/>
        </w:rPr>
        <w:t> </w:t>
      </w:r>
      <w:r>
        <w:rPr/>
        <w:t>for</w:t>
      </w:r>
      <w:r>
        <w:rPr>
          <w:spacing w:val="-2"/>
        </w:rPr>
        <w:t> </w:t>
      </w:r>
      <w:r>
        <w:rPr/>
        <w:t>cash</w:t>
      </w:r>
      <w:r>
        <w:rPr>
          <w:spacing w:val="-2"/>
        </w:rPr>
        <w:t> </w:t>
      </w:r>
      <w:r>
        <w:rPr/>
        <w:t>collateral</w:t>
      </w:r>
      <w:r>
        <w:rPr>
          <w:spacing w:val="-2"/>
        </w:rPr>
        <w:t> </w:t>
      </w:r>
      <w:r>
        <w:rPr/>
        <w:t>received</w:t>
      </w:r>
      <w:r>
        <w:rPr>
          <w:spacing w:val="-2"/>
        </w:rPr>
        <w:t> </w:t>
      </w:r>
      <w:r>
        <w:rPr/>
        <w:t>are</w:t>
      </w:r>
      <w:r>
        <w:rPr>
          <w:spacing w:val="-2"/>
        </w:rPr>
        <w:t> </w:t>
      </w:r>
      <w:r>
        <w:rPr/>
        <w:t>reported</w:t>
      </w:r>
      <w:r>
        <w:rPr>
          <w:spacing w:val="-2"/>
        </w:rPr>
        <w:t> </w:t>
      </w:r>
      <w:r>
        <w:rPr/>
        <w:t>at</w:t>
      </w:r>
      <w:r>
        <w:rPr>
          <w:spacing w:val="-2"/>
        </w:rPr>
        <w:t> </w:t>
      </w:r>
      <w:r>
        <w:rPr/>
        <w:t>face</w:t>
      </w:r>
      <w:r>
        <w:rPr>
          <w:spacing w:val="-2"/>
        </w:rPr>
        <w:t> </w:t>
      </w:r>
      <w:r>
        <w:rPr/>
        <w:t>value</w:t>
      </w:r>
      <w:r>
        <w:rPr>
          <w:spacing w:val="-2"/>
        </w:rPr>
        <w:t> </w:t>
      </w:r>
      <w:r>
        <w:rPr/>
        <w:t>which</w:t>
      </w:r>
      <w:r>
        <w:rPr>
          <w:spacing w:val="-2"/>
        </w:rPr>
        <w:t> </w:t>
      </w:r>
      <w:r>
        <w:rPr/>
        <w:t>approximates</w:t>
      </w:r>
      <w:r>
        <w:rPr>
          <w:spacing w:val="-2"/>
        </w:rPr>
        <w:t> </w:t>
      </w:r>
      <w:r>
        <w:rPr/>
        <w:t>fair</w:t>
      </w:r>
      <w:r>
        <w:rPr>
          <w:spacing w:val="-2"/>
        </w:rPr>
        <w:t> </w:t>
      </w:r>
      <w:r>
        <w:rPr/>
        <w:t>value,</w:t>
      </w:r>
      <w:r>
        <w:rPr>
          <w:spacing w:val="-2"/>
        </w:rPr>
        <w:t> </w:t>
      </w:r>
      <w:r>
        <w:rPr/>
        <w:t>as</w:t>
      </w:r>
      <w:r>
        <w:rPr>
          <w:spacing w:val="-2"/>
        </w:rPr>
        <w:t> </w:t>
      </w:r>
      <w:r>
        <w:rPr/>
        <w:t>they are short term in nature. IBRD receives securities purchased under resale agreements, monitors the fair value of the securities and, if necessary, closes out transactions and enters into new repriced transactions. The securities transferred to counterparties under repurchase and security lending arrangements and the securities transferred to IBRD under resale agreements have not met the accounting criteria for treatment as a sale. Therefore, securities transferred under repurchase agreements and security lending arrangements are retained as assets on the Balance Sheets,</w:t>
      </w:r>
      <w:r>
        <w:rPr>
          <w:spacing w:val="-1"/>
        </w:rPr>
        <w:t> </w:t>
      </w:r>
      <w:r>
        <w:rPr/>
        <w:t>and</w:t>
      </w:r>
      <w:r>
        <w:rPr>
          <w:spacing w:val="-1"/>
        </w:rPr>
        <w:t> </w:t>
      </w:r>
      <w:r>
        <w:rPr/>
        <w:t>securities</w:t>
      </w:r>
      <w:r>
        <w:rPr>
          <w:spacing w:val="-1"/>
        </w:rPr>
        <w:t> </w:t>
      </w:r>
      <w:r>
        <w:rPr/>
        <w:t>received</w:t>
      </w:r>
      <w:r>
        <w:rPr>
          <w:spacing w:val="-1"/>
        </w:rPr>
        <w:t> </w:t>
      </w:r>
      <w:r>
        <w:rPr/>
        <w:t>under</w:t>
      </w:r>
      <w:r>
        <w:rPr>
          <w:spacing w:val="-1"/>
        </w:rPr>
        <w:t> </w:t>
      </w:r>
      <w:r>
        <w:rPr/>
        <w:t>resale</w:t>
      </w:r>
      <w:r>
        <w:rPr>
          <w:spacing w:val="-1"/>
        </w:rPr>
        <w:t> </w:t>
      </w:r>
      <w:r>
        <w:rPr/>
        <w:t>agreements</w:t>
      </w:r>
      <w:r>
        <w:rPr>
          <w:spacing w:val="-1"/>
        </w:rPr>
        <w:t> </w:t>
      </w:r>
      <w:r>
        <w:rPr/>
        <w:t>are</w:t>
      </w:r>
      <w:r>
        <w:rPr>
          <w:spacing w:val="-1"/>
        </w:rPr>
        <w:t> </w:t>
      </w:r>
      <w:r>
        <w:rPr/>
        <w:t>not</w:t>
      </w:r>
      <w:r>
        <w:rPr>
          <w:spacing w:val="-1"/>
        </w:rPr>
        <w:t> </w:t>
      </w:r>
      <w:r>
        <w:rPr/>
        <w:t>recorded</w:t>
      </w:r>
      <w:r>
        <w:rPr>
          <w:spacing w:val="-1"/>
        </w:rPr>
        <w:t> </w:t>
      </w:r>
      <w:r>
        <w:rPr/>
        <w:t>on</w:t>
      </w:r>
      <w:r>
        <w:rPr>
          <w:spacing w:val="-1"/>
        </w:rPr>
        <w:t> </w:t>
      </w:r>
      <w:r>
        <w:rPr/>
        <w:t>the</w:t>
      </w:r>
      <w:r>
        <w:rPr>
          <w:spacing w:val="-1"/>
        </w:rPr>
        <w:t> </w:t>
      </w:r>
      <w:r>
        <w:rPr/>
        <w:t>Balance</w:t>
      </w:r>
      <w:r>
        <w:rPr>
          <w:spacing w:val="-1"/>
        </w:rPr>
        <w:t> </w:t>
      </w:r>
      <w:r>
        <w:rPr/>
        <w:t>Sheets.</w:t>
      </w:r>
      <w:r>
        <w:rPr>
          <w:spacing w:val="-1"/>
        </w:rPr>
        <w:t> </w:t>
      </w:r>
      <w:r>
        <w:rPr/>
        <w:t>Securities</w:t>
      </w:r>
      <w:r>
        <w:rPr>
          <w:spacing w:val="-1"/>
        </w:rPr>
        <w:t> </w:t>
      </w:r>
      <w:r>
        <w:rPr/>
        <w:t>lent</w:t>
      </w:r>
      <w:r>
        <w:rPr>
          <w:spacing w:val="-1"/>
        </w:rPr>
        <w:t> </w:t>
      </w:r>
      <w:r>
        <w:rPr/>
        <w:t>under securities lending agreements and sold under securities repurchase agreements as well as securities purchased under resale agreements are presented on a gross basis which is consistent with the manner in which these instruments are settled. The interest earned from securities purchased under resale agreements is included in Investments–Trading, net in the Statements of Income. The interest expense pertaining to the securities sold under repurchase agreements and security lending arrangements, is included in the Borrowing expenses, net line in the Statements of Income.</w:t>
      </w:r>
    </w:p>
    <w:p>
      <w:pPr>
        <w:pStyle w:val="BodyText"/>
        <w:spacing w:line="249" w:lineRule="auto" w:before="136"/>
        <w:ind w:left="720" w:right="719"/>
        <w:jc w:val="both"/>
      </w:pPr>
      <w:r>
        <w:rPr>
          <w:b/>
          <w:i/>
        </w:rPr>
        <w:t>Nonnegotiable, Noninterest-bearing Demand Obligations on Account of Subscribed Capital: </w:t>
      </w:r>
      <w:r>
        <w:rPr/>
        <w:t>All demand obligations are held in bank accounts which bear IBRD’s name and are carried and reported at face value as a reduction to equity. Payments on some of these instruments are due to IBRD upon demand. Others are due to IBRD on</w:t>
      </w:r>
      <w:r>
        <w:rPr>
          <w:spacing w:val="-1"/>
        </w:rPr>
        <w:t> </w:t>
      </w:r>
      <w:r>
        <w:rPr/>
        <w:t>demand,</w:t>
      </w:r>
      <w:r>
        <w:rPr>
          <w:spacing w:val="-1"/>
        </w:rPr>
        <w:t> </w:t>
      </w:r>
      <w:r>
        <w:rPr/>
        <w:t>but</w:t>
      </w:r>
      <w:r>
        <w:rPr>
          <w:spacing w:val="-1"/>
        </w:rPr>
        <w:t> </w:t>
      </w:r>
      <w:r>
        <w:rPr/>
        <w:t>only</w:t>
      </w:r>
      <w:r>
        <w:rPr>
          <w:spacing w:val="-1"/>
        </w:rPr>
        <w:t> </w:t>
      </w:r>
      <w:r>
        <w:rPr/>
        <w:t>after</w:t>
      </w:r>
      <w:r>
        <w:rPr>
          <w:spacing w:val="-1"/>
        </w:rPr>
        <w:t> </w:t>
      </w:r>
      <w:r>
        <w:rPr/>
        <w:t>IBRD’s</w:t>
      </w:r>
      <w:r>
        <w:rPr>
          <w:spacing w:val="-1"/>
        </w:rPr>
        <w:t> </w:t>
      </w:r>
      <w:r>
        <w:rPr/>
        <w:t>callable</w:t>
      </w:r>
      <w:r>
        <w:rPr>
          <w:spacing w:val="-1"/>
        </w:rPr>
        <w:t> </w:t>
      </w:r>
      <w:r>
        <w:rPr/>
        <w:t>subscribed</w:t>
      </w:r>
      <w:r>
        <w:rPr>
          <w:spacing w:val="-1"/>
        </w:rPr>
        <w:t> </w:t>
      </w:r>
      <w:r>
        <w:rPr/>
        <w:t>capital</w:t>
      </w:r>
      <w:r>
        <w:rPr>
          <w:spacing w:val="-1"/>
        </w:rPr>
        <w:t> </w:t>
      </w:r>
      <w:r>
        <w:rPr/>
        <w:t>has</w:t>
      </w:r>
      <w:r>
        <w:rPr>
          <w:spacing w:val="-1"/>
        </w:rPr>
        <w:t> </w:t>
      </w:r>
      <w:r>
        <w:rPr/>
        <w:t>been</w:t>
      </w:r>
      <w:r>
        <w:rPr>
          <w:spacing w:val="-1"/>
        </w:rPr>
        <w:t> </w:t>
      </w:r>
      <w:r>
        <w:rPr/>
        <w:t>entirely</w:t>
      </w:r>
      <w:r>
        <w:rPr>
          <w:spacing w:val="-1"/>
        </w:rPr>
        <w:t> </w:t>
      </w:r>
      <w:r>
        <w:rPr/>
        <w:t>called</w:t>
      </w:r>
      <w:r>
        <w:rPr>
          <w:spacing w:val="-1"/>
        </w:rPr>
        <w:t> </w:t>
      </w:r>
      <w:r>
        <w:rPr/>
        <w:t>pursuant</w:t>
      </w:r>
      <w:r>
        <w:rPr>
          <w:spacing w:val="-1"/>
        </w:rPr>
        <w:t> </w:t>
      </w:r>
      <w:r>
        <w:rPr/>
        <w:t>to</w:t>
      </w:r>
      <w:r>
        <w:rPr>
          <w:spacing w:val="-1"/>
        </w:rPr>
        <w:t> </w:t>
      </w:r>
      <w:r>
        <w:rPr/>
        <w:t>Article</w:t>
      </w:r>
      <w:r>
        <w:rPr>
          <w:spacing w:val="-1"/>
        </w:rPr>
        <w:t> </w:t>
      </w:r>
      <w:r>
        <w:rPr/>
        <w:t>IV,</w:t>
      </w:r>
      <w:r>
        <w:rPr>
          <w:spacing w:val="-1"/>
        </w:rPr>
        <w:t> </w:t>
      </w:r>
      <w:r>
        <w:rPr/>
        <w:t>Section 2 (a) of the Articles of Agreement.</w:t>
      </w:r>
    </w:p>
    <w:p>
      <w:pPr>
        <w:pStyle w:val="BodyText"/>
        <w:spacing w:line="249" w:lineRule="auto" w:before="124"/>
        <w:ind w:left="720" w:right="718"/>
        <w:jc w:val="both"/>
      </w:pPr>
      <w:r>
        <w:rPr>
          <w:b/>
          <w:i/>
        </w:rPr>
        <w:t>Premises and Equipment: </w:t>
      </w:r>
      <w:r>
        <w:rPr/>
        <w:t>Premises and equipment, including leasehold improvements, and information technology assets are carried at cost less accumulated depreciation and amortization. IBRD computes depreciation and amortization</w:t>
      </w:r>
      <w:r>
        <w:rPr>
          <w:spacing w:val="-2"/>
        </w:rPr>
        <w:t> </w:t>
      </w:r>
      <w:r>
        <w:rPr/>
        <w:t>using</w:t>
      </w:r>
      <w:r>
        <w:rPr>
          <w:spacing w:val="-2"/>
        </w:rPr>
        <w:t> </w:t>
      </w:r>
      <w:r>
        <w:rPr/>
        <w:t>the</w:t>
      </w:r>
      <w:r>
        <w:rPr>
          <w:spacing w:val="-2"/>
        </w:rPr>
        <w:t> </w:t>
      </w:r>
      <w:r>
        <w:rPr/>
        <w:t>straight-line</w:t>
      </w:r>
      <w:r>
        <w:rPr>
          <w:spacing w:val="-2"/>
        </w:rPr>
        <w:t> </w:t>
      </w:r>
      <w:r>
        <w:rPr/>
        <w:t>method</w:t>
      </w:r>
      <w:r>
        <w:rPr>
          <w:spacing w:val="-2"/>
        </w:rPr>
        <w:t> </w:t>
      </w:r>
      <w:r>
        <w:rPr/>
        <w:t>over</w:t>
      </w:r>
      <w:r>
        <w:rPr>
          <w:spacing w:val="-2"/>
        </w:rPr>
        <w:t> </w:t>
      </w:r>
      <w:r>
        <w:rPr/>
        <w:t>the</w:t>
      </w:r>
      <w:r>
        <w:rPr>
          <w:spacing w:val="-2"/>
        </w:rPr>
        <w:t> </w:t>
      </w:r>
      <w:r>
        <w:rPr/>
        <w:t>estimated</w:t>
      </w:r>
      <w:r>
        <w:rPr>
          <w:spacing w:val="-2"/>
        </w:rPr>
        <w:t> </w:t>
      </w:r>
      <w:r>
        <w:rPr/>
        <w:t>useful</w:t>
      </w:r>
      <w:r>
        <w:rPr>
          <w:spacing w:val="-2"/>
        </w:rPr>
        <w:t> </w:t>
      </w:r>
      <w:r>
        <w:rPr/>
        <w:t>lives</w:t>
      </w:r>
      <w:r>
        <w:rPr>
          <w:spacing w:val="-2"/>
        </w:rPr>
        <w:t> </w:t>
      </w:r>
      <w:r>
        <w:rPr/>
        <w:t>of</w:t>
      </w:r>
      <w:r>
        <w:rPr>
          <w:spacing w:val="-2"/>
        </w:rPr>
        <w:t> </w:t>
      </w:r>
      <w:r>
        <w:rPr/>
        <w:t>the</w:t>
      </w:r>
      <w:r>
        <w:rPr>
          <w:spacing w:val="-2"/>
        </w:rPr>
        <w:t> </w:t>
      </w:r>
      <w:r>
        <w:rPr/>
        <w:t>owned</w:t>
      </w:r>
      <w:r>
        <w:rPr>
          <w:spacing w:val="-2"/>
        </w:rPr>
        <w:t> </w:t>
      </w:r>
      <w:r>
        <w:rPr/>
        <w:t>assets,</w:t>
      </w:r>
      <w:r>
        <w:rPr>
          <w:spacing w:val="-2"/>
        </w:rPr>
        <w:t> </w:t>
      </w:r>
      <w:r>
        <w:rPr/>
        <w:t>which</w:t>
      </w:r>
      <w:r>
        <w:rPr>
          <w:spacing w:val="-2"/>
        </w:rPr>
        <w:t> </w:t>
      </w:r>
      <w:r>
        <w:rPr/>
        <w:t>range</w:t>
      </w:r>
      <w:r>
        <w:rPr>
          <w:spacing w:val="-2"/>
        </w:rPr>
        <w:t> </w:t>
      </w:r>
      <w:r>
        <w:rPr/>
        <w:t>between three and fifty years. For leasehold improvements, depreciation is computed over the lesser of the remaining term of the leased facility or the estimated economic life of the improvement.</w:t>
      </w:r>
    </w:p>
    <w:p>
      <w:pPr>
        <w:pStyle w:val="BodyText"/>
        <w:spacing w:line="249" w:lineRule="auto" w:before="124"/>
        <w:ind w:left="720" w:right="721"/>
        <w:jc w:val="both"/>
      </w:pPr>
      <w:r>
        <w:rPr/>
        <w:t>Maintenance and repairs are charged to expense as incurred, while major improvements are capitalized and amortized over the estimated useful life.</w:t>
      </w:r>
    </w:p>
    <w:p>
      <w:pPr>
        <w:pStyle w:val="BodyText"/>
        <w:spacing w:line="249" w:lineRule="auto" w:before="122"/>
        <w:ind w:left="720" w:right="719"/>
        <w:jc w:val="both"/>
      </w:pPr>
      <w:r>
        <w:rPr>
          <w:b/>
          <w:i/>
        </w:rPr>
        <w:t>Lessee Arrangements: </w:t>
      </w:r>
      <w:r>
        <w:rPr/>
        <w:t>IBRD’s lessee arrangements are mostly real estate operating leases. Under these arrangements, IBRD records right-of-use assets and lease liabilities at lease commencement. Right-of-use assets are reported</w:t>
      </w:r>
      <w:r>
        <w:rPr>
          <w:spacing w:val="-2"/>
        </w:rPr>
        <w:t> </w:t>
      </w:r>
      <w:r>
        <w:rPr/>
        <w:t>in</w:t>
      </w:r>
      <w:r>
        <w:rPr>
          <w:spacing w:val="-2"/>
        </w:rPr>
        <w:t> </w:t>
      </w:r>
      <w:r>
        <w:rPr/>
        <w:t>Other</w:t>
      </w:r>
      <w:r>
        <w:rPr>
          <w:spacing w:val="-2"/>
        </w:rPr>
        <w:t> </w:t>
      </w:r>
      <w:r>
        <w:rPr/>
        <w:t>assets</w:t>
      </w:r>
      <w:r>
        <w:rPr>
          <w:spacing w:val="-2"/>
        </w:rPr>
        <w:t> </w:t>
      </w:r>
      <w:r>
        <w:rPr/>
        <w:t>-</w:t>
      </w:r>
      <w:r>
        <w:rPr>
          <w:spacing w:val="-2"/>
        </w:rPr>
        <w:t> </w:t>
      </w:r>
      <w:r>
        <w:rPr/>
        <w:t>Premises</w:t>
      </w:r>
      <w:r>
        <w:rPr>
          <w:spacing w:val="-2"/>
        </w:rPr>
        <w:t> </w:t>
      </w:r>
      <w:r>
        <w:rPr/>
        <w:t>and</w:t>
      </w:r>
      <w:r>
        <w:rPr>
          <w:spacing w:val="-2"/>
        </w:rPr>
        <w:t> </w:t>
      </w:r>
      <w:r>
        <w:rPr/>
        <w:t>equipment,</w:t>
      </w:r>
      <w:r>
        <w:rPr>
          <w:spacing w:val="-2"/>
        </w:rPr>
        <w:t> </w:t>
      </w:r>
      <w:r>
        <w:rPr/>
        <w:t>net</w:t>
      </w:r>
      <w:r>
        <w:rPr>
          <w:spacing w:val="-2"/>
        </w:rPr>
        <w:t> </w:t>
      </w:r>
      <w:r>
        <w:rPr/>
        <w:t>and</w:t>
      </w:r>
      <w:r>
        <w:rPr>
          <w:spacing w:val="-2"/>
        </w:rPr>
        <w:t> </w:t>
      </w:r>
      <w:r>
        <w:rPr/>
        <w:t>the</w:t>
      </w:r>
      <w:r>
        <w:rPr>
          <w:spacing w:val="-2"/>
        </w:rPr>
        <w:t> </w:t>
      </w:r>
      <w:r>
        <w:rPr/>
        <w:t>related</w:t>
      </w:r>
      <w:r>
        <w:rPr>
          <w:spacing w:val="-2"/>
        </w:rPr>
        <w:t> </w:t>
      </w:r>
      <w:r>
        <w:rPr/>
        <w:t>lease</w:t>
      </w:r>
      <w:r>
        <w:rPr>
          <w:spacing w:val="-2"/>
        </w:rPr>
        <w:t> </w:t>
      </w:r>
      <w:r>
        <w:rPr/>
        <w:t>liabilities</w:t>
      </w:r>
      <w:r>
        <w:rPr>
          <w:spacing w:val="-2"/>
        </w:rPr>
        <w:t> </w:t>
      </w:r>
      <w:r>
        <w:rPr/>
        <w:t>are</w:t>
      </w:r>
      <w:r>
        <w:rPr>
          <w:spacing w:val="-2"/>
        </w:rPr>
        <w:t> </w:t>
      </w:r>
      <w:r>
        <w:rPr/>
        <w:t>reported</w:t>
      </w:r>
      <w:r>
        <w:rPr>
          <w:spacing w:val="-2"/>
        </w:rPr>
        <w:t> </w:t>
      </w:r>
      <w:r>
        <w:rPr/>
        <w:t>in</w:t>
      </w:r>
      <w:r>
        <w:rPr>
          <w:spacing w:val="-2"/>
        </w:rPr>
        <w:t> </w:t>
      </w:r>
      <w:r>
        <w:rPr/>
        <w:t>Other</w:t>
      </w:r>
      <w:r>
        <w:rPr>
          <w:spacing w:val="-2"/>
        </w:rPr>
        <w:t> </w:t>
      </w:r>
      <w:r>
        <w:rPr/>
        <w:t>liabilities</w:t>
      </w:r>
    </w:p>
    <w:p>
      <w:pPr>
        <w:pStyle w:val="BodyText"/>
        <w:spacing w:line="249" w:lineRule="auto" w:before="2"/>
        <w:ind w:left="720" w:right="717"/>
        <w:jc w:val="both"/>
      </w:pPr>
      <w:r>
        <w:rPr/>
        <w:t>- Accounts payable and miscellaneous liabilities. IBRD has elected to account for the lease and non-lease components together as a single lease component. At lease commencement, lease liabilities are recognized based on the present value of the remaining lease payments and discounted using IBRD’s incremental borrowing rate. All leases are recorded on the Balance Sheets except short-term leases with an initial term of 12 months or less. Lease expense, including that for short-term leases, is recognized on a straight-line basis over the lease term and is</w:t>
      </w:r>
      <w:r>
        <w:rPr>
          <w:spacing w:val="40"/>
        </w:rPr>
        <w:t> </w:t>
      </w:r>
      <w:r>
        <w:rPr/>
        <w:t>recorded in Administrative expenses in the Statements of Income.</w:t>
      </w:r>
    </w:p>
    <w:p>
      <w:pPr>
        <w:pStyle w:val="BodyText"/>
        <w:spacing w:line="249" w:lineRule="auto" w:before="125"/>
        <w:ind w:left="720" w:right="717"/>
        <w:jc w:val="both"/>
      </w:pPr>
      <w:r>
        <w:rPr>
          <w:b/>
          <w:i/>
        </w:rPr>
        <w:t>Borrowings: </w:t>
      </w:r>
      <w:r>
        <w:rPr/>
        <w:t>To ensure funds are available for lending and liquidity purposes, IBRD borrows in the international capital markets, offering its securities (discount notes, vanilla and structured bonds) to private and governmental buyers. IBRD issues debt instruments of varying maturities denominated in various currencies with both fixed and variable interest rates.</w:t>
      </w:r>
    </w:p>
    <w:p>
      <w:pPr>
        <w:pStyle w:val="BodyText"/>
        <w:spacing w:line="249" w:lineRule="auto" w:before="123"/>
        <w:ind w:left="720" w:right="718"/>
        <w:jc w:val="both"/>
      </w:pPr>
      <w:r>
        <w:rPr/>
        <w:t>IBRD has elected the fair value option for all borrowings. All changes in fair value are recognized in the related Unrealized mark-to-market gains and losses on non-trading portfolios, net, line in the Statements of Income, except for changes in the fair value related to IBRD’s own credit risk, which are reported in Other Comprehensive Income (OCI) as a Debit Valuation Adjustment (DVA). The DVA on fair value option elected liabilities is measured by revaluing each borrowing instrument to determine the changes in fair value of that instrument arising from changes in IBRD’s funding spread relative to the applicable reference rate.</w:t>
      </w:r>
    </w:p>
    <w:p>
      <w:pPr>
        <w:pStyle w:val="BodyText"/>
        <w:spacing w:line="249" w:lineRule="auto" w:before="125"/>
        <w:ind w:left="720" w:right="719"/>
        <w:jc w:val="both"/>
      </w:pPr>
      <w:r>
        <w:rPr/>
        <w:t>Structured bonds issued by IBRD have coupon or repayment terms linked to the level or the performance of interest rates, foreign exchange rates, equity indices, catastrophic events or commodities.</w:t>
      </w:r>
    </w:p>
    <w:p>
      <w:pPr>
        <w:pStyle w:val="BodyText"/>
        <w:spacing w:line="249" w:lineRule="auto" w:before="122"/>
        <w:ind w:left="720" w:right="717"/>
        <w:jc w:val="both"/>
      </w:pPr>
      <w:r>
        <w:rPr/>
        <w:t>For</w:t>
      </w:r>
      <w:r>
        <w:rPr>
          <w:spacing w:val="-1"/>
        </w:rPr>
        <w:t> </w:t>
      </w:r>
      <w:r>
        <w:rPr/>
        <w:t>the</w:t>
      </w:r>
      <w:r>
        <w:rPr>
          <w:spacing w:val="-1"/>
        </w:rPr>
        <w:t> </w:t>
      </w:r>
      <w:r>
        <w:rPr/>
        <w:t>purpose</w:t>
      </w:r>
      <w:r>
        <w:rPr>
          <w:spacing w:val="-1"/>
        </w:rPr>
        <w:t> </w:t>
      </w:r>
      <w:r>
        <w:rPr/>
        <w:t>of</w:t>
      </w:r>
      <w:r>
        <w:rPr>
          <w:spacing w:val="-1"/>
        </w:rPr>
        <w:t> </w:t>
      </w:r>
      <w:r>
        <w:rPr/>
        <w:t>the</w:t>
      </w:r>
      <w:r>
        <w:rPr>
          <w:spacing w:val="-1"/>
        </w:rPr>
        <w:t> </w:t>
      </w:r>
      <w:r>
        <w:rPr/>
        <w:t>Statements</w:t>
      </w:r>
      <w:r>
        <w:rPr>
          <w:spacing w:val="-1"/>
        </w:rPr>
        <w:t> </w:t>
      </w:r>
      <w:r>
        <w:rPr/>
        <w:t>of</w:t>
      </w:r>
      <w:r>
        <w:rPr>
          <w:spacing w:val="-1"/>
        </w:rPr>
        <w:t> </w:t>
      </w:r>
      <w:r>
        <w:rPr/>
        <w:t>Cash</w:t>
      </w:r>
      <w:r>
        <w:rPr>
          <w:spacing w:val="-1"/>
        </w:rPr>
        <w:t> </w:t>
      </w:r>
      <w:r>
        <w:rPr/>
        <w:t>Flows,</w:t>
      </w:r>
      <w:r>
        <w:rPr>
          <w:spacing w:val="-1"/>
        </w:rPr>
        <w:t> </w:t>
      </w:r>
      <w:r>
        <w:rPr/>
        <w:t>short-term</w:t>
      </w:r>
      <w:r>
        <w:rPr>
          <w:spacing w:val="-1"/>
        </w:rPr>
        <w:t> </w:t>
      </w:r>
      <w:r>
        <w:rPr/>
        <w:t>borrowings,</w:t>
      </w:r>
      <w:r>
        <w:rPr>
          <w:spacing w:val="-1"/>
        </w:rPr>
        <w:t> </w:t>
      </w:r>
      <w:r>
        <w:rPr/>
        <w:t>if</w:t>
      </w:r>
      <w:r>
        <w:rPr>
          <w:spacing w:val="-1"/>
        </w:rPr>
        <w:t> </w:t>
      </w:r>
      <w:r>
        <w:rPr/>
        <w:t>any,</w:t>
      </w:r>
      <w:r>
        <w:rPr>
          <w:spacing w:val="-1"/>
        </w:rPr>
        <w:t> </w:t>
      </w:r>
      <w:r>
        <w:rPr/>
        <w:t>with</w:t>
      </w:r>
      <w:r>
        <w:rPr>
          <w:spacing w:val="-1"/>
        </w:rPr>
        <w:t> </w:t>
      </w:r>
      <w:r>
        <w:rPr/>
        <w:t>original</w:t>
      </w:r>
      <w:r>
        <w:rPr>
          <w:spacing w:val="-1"/>
        </w:rPr>
        <w:t> </w:t>
      </w:r>
      <w:r>
        <w:rPr/>
        <w:t>maturities</w:t>
      </w:r>
      <w:r>
        <w:rPr>
          <w:spacing w:val="-1"/>
        </w:rPr>
        <w:t> </w:t>
      </w:r>
      <w:r>
        <w:rPr/>
        <w:t>less</w:t>
      </w:r>
      <w:r>
        <w:rPr>
          <w:spacing w:val="-1"/>
        </w:rPr>
        <w:t> </w:t>
      </w:r>
      <w:r>
        <w:rPr/>
        <w:t>than</w:t>
      </w:r>
      <w:r>
        <w:rPr>
          <w:spacing w:val="-1"/>
        </w:rPr>
        <w:t> </w:t>
      </w:r>
      <w:r>
        <w:rPr/>
        <w:t>90 days,</w:t>
      </w:r>
      <w:r>
        <w:rPr>
          <w:spacing w:val="-2"/>
        </w:rPr>
        <w:t> </w:t>
      </w:r>
      <w:r>
        <w:rPr/>
        <w:t>are</w:t>
      </w:r>
      <w:r>
        <w:rPr>
          <w:spacing w:val="-3"/>
        </w:rPr>
        <w:t> </w:t>
      </w:r>
      <w:r>
        <w:rPr/>
        <w:t>presented</w:t>
      </w:r>
      <w:r>
        <w:rPr>
          <w:spacing w:val="-2"/>
        </w:rPr>
        <w:t> </w:t>
      </w:r>
      <w:r>
        <w:rPr/>
        <w:t>net</w:t>
      </w:r>
      <w:r>
        <w:rPr>
          <w:spacing w:val="-3"/>
        </w:rPr>
        <w:t> </w:t>
      </w:r>
      <w:r>
        <w:rPr/>
        <w:t>of</w:t>
      </w:r>
      <w:r>
        <w:rPr>
          <w:spacing w:val="-2"/>
        </w:rPr>
        <w:t> </w:t>
      </w:r>
      <w:r>
        <w:rPr/>
        <w:t>new</w:t>
      </w:r>
      <w:r>
        <w:rPr>
          <w:spacing w:val="-3"/>
        </w:rPr>
        <w:t> </w:t>
      </w:r>
      <w:r>
        <w:rPr/>
        <w:t>issuances</w:t>
      </w:r>
      <w:r>
        <w:rPr>
          <w:spacing w:val="-3"/>
        </w:rPr>
        <w:t> </w:t>
      </w:r>
      <w:r>
        <w:rPr/>
        <w:t>and</w:t>
      </w:r>
      <w:r>
        <w:rPr>
          <w:spacing w:val="-2"/>
        </w:rPr>
        <w:t> </w:t>
      </w:r>
      <w:r>
        <w:rPr/>
        <w:t>retirements.</w:t>
      </w:r>
      <w:r>
        <w:rPr>
          <w:spacing w:val="-2"/>
        </w:rPr>
        <w:t> </w:t>
      </w:r>
      <w:r>
        <w:rPr/>
        <w:t>By</w:t>
      </w:r>
      <w:r>
        <w:rPr>
          <w:spacing w:val="-2"/>
        </w:rPr>
        <w:t> </w:t>
      </w:r>
      <w:r>
        <w:rPr/>
        <w:t>contrast,</w:t>
      </w:r>
      <w:r>
        <w:rPr>
          <w:spacing w:val="-2"/>
        </w:rPr>
        <w:t> </w:t>
      </w:r>
      <w:r>
        <w:rPr/>
        <w:t>short-term</w:t>
      </w:r>
      <w:r>
        <w:rPr>
          <w:spacing w:val="-3"/>
        </w:rPr>
        <w:t> </w:t>
      </w:r>
      <w:r>
        <w:rPr/>
        <w:t>borrowings</w:t>
      </w:r>
      <w:r>
        <w:rPr>
          <w:spacing w:val="-3"/>
        </w:rPr>
        <w:t> </w:t>
      </w:r>
      <w:r>
        <w:rPr/>
        <w:t>with</w:t>
      </w:r>
      <w:r>
        <w:rPr>
          <w:spacing w:val="-2"/>
        </w:rPr>
        <w:t> </w:t>
      </w:r>
      <w:r>
        <w:rPr/>
        <w:t>original</w:t>
      </w:r>
      <w:r>
        <w:rPr>
          <w:spacing w:val="-3"/>
        </w:rPr>
        <w:t> </w:t>
      </w:r>
      <w:r>
        <w:rPr/>
        <w:t>maturities greater than 90 days and up to one year are presented on a gross basis.</w:t>
      </w:r>
    </w:p>
    <w:p>
      <w:pPr>
        <w:pStyle w:val="BodyText"/>
        <w:spacing w:after="0" w:line="249" w:lineRule="auto"/>
        <w:jc w:val="both"/>
        <w:sectPr>
          <w:headerReference w:type="default" r:id="rId140"/>
          <w:pgSz w:w="12240" w:h="15840"/>
          <w:pgMar w:header="0" w:footer="0" w:top="960" w:bottom="720" w:left="720" w:right="720"/>
        </w:sectPr>
      </w:pPr>
    </w:p>
    <w:p>
      <w:pPr>
        <w:pStyle w:val="BodyText"/>
        <w:spacing w:line="249" w:lineRule="auto" w:before="72"/>
        <w:ind w:left="720" w:right="718"/>
        <w:jc w:val="both"/>
      </w:pPr>
      <w:r>
        <w:rPr/>
        <w:t>Interest expense relating to all debt instruments in IBRD’s borrowing portfolio is measured on an effective yield basis and is reported as part of Borrowing expenses, net in the Statements of Income.</w:t>
      </w:r>
    </w:p>
    <w:p>
      <w:pPr>
        <w:pStyle w:val="BodyText"/>
        <w:spacing w:line="249" w:lineRule="auto" w:before="121"/>
        <w:ind w:left="720" w:right="719"/>
        <w:jc w:val="both"/>
      </w:pPr>
      <w:r>
        <w:rPr/>
        <w:t>Amortization of discounts and premiums is recorded using the effective interest method and is included in the Borrowing expenses, net line in the Statements of Income.</w:t>
      </w:r>
    </w:p>
    <w:p>
      <w:pPr>
        <w:pStyle w:val="BodyText"/>
        <w:spacing w:line="249" w:lineRule="auto" w:before="122"/>
        <w:ind w:left="720" w:right="718"/>
        <w:jc w:val="both"/>
      </w:pPr>
      <w:r>
        <w:rPr>
          <w:b/>
          <w:i/>
        </w:rPr>
        <w:t>Accounting for Derivatives: </w:t>
      </w:r>
      <w:r>
        <w:rPr/>
        <w:t>IBRD has elected not to designate any hedging relationships for accounting purposes. Rather, all derivative instruments are reported at fair value on the Balance Sheets, with changes in fair values accounted for through the Statements of Income.</w:t>
      </w:r>
    </w:p>
    <w:p>
      <w:pPr>
        <w:pStyle w:val="BodyText"/>
        <w:spacing w:line="249" w:lineRule="auto" w:before="122"/>
        <w:ind w:left="720" w:right="720"/>
        <w:jc w:val="both"/>
      </w:pPr>
      <w:r>
        <w:rPr/>
        <w:t>The presentation of derivative instruments on IBRD’s Balance Sheets reflects the netting of derivative asset and liability positions and the related cash collateral received from the counterparty, when a legally enforceable master netting agreement exists, and the other conditions are met. In addition, in the Notes to the financial statements,</w:t>
      </w:r>
      <w:r>
        <w:rPr>
          <w:spacing w:val="40"/>
        </w:rPr>
        <w:t> </w:t>
      </w:r>
      <w:r>
        <w:rPr/>
        <w:t>unless stated differently, derivatives are presented on a net basis by instrument.</w:t>
      </w:r>
    </w:p>
    <w:p>
      <w:pPr>
        <w:pStyle w:val="BodyText"/>
        <w:spacing w:line="249" w:lineRule="auto" w:before="124"/>
        <w:ind w:left="720" w:right="719"/>
        <w:jc w:val="both"/>
      </w:pPr>
      <w:r>
        <w:rPr/>
        <w:t>A master netting agreement is an industry standard agreement with a counterparty that permits multiple transactions governed</w:t>
      </w:r>
      <w:r>
        <w:rPr>
          <w:spacing w:val="-2"/>
        </w:rPr>
        <w:t> </w:t>
      </w:r>
      <w:r>
        <w:rPr/>
        <w:t>by</w:t>
      </w:r>
      <w:r>
        <w:rPr>
          <w:spacing w:val="-2"/>
        </w:rPr>
        <w:t> </w:t>
      </w:r>
      <w:r>
        <w:rPr/>
        <w:t>that</w:t>
      </w:r>
      <w:r>
        <w:rPr>
          <w:spacing w:val="-2"/>
        </w:rPr>
        <w:t> </w:t>
      </w:r>
      <w:r>
        <w:rPr/>
        <w:t>agreement</w:t>
      </w:r>
      <w:r>
        <w:rPr>
          <w:spacing w:val="-2"/>
        </w:rPr>
        <w:t> </w:t>
      </w:r>
      <w:r>
        <w:rPr/>
        <w:t>to</w:t>
      </w:r>
      <w:r>
        <w:rPr>
          <w:spacing w:val="-2"/>
        </w:rPr>
        <w:t> </w:t>
      </w:r>
      <w:r>
        <w:rPr/>
        <w:t>be</w:t>
      </w:r>
      <w:r>
        <w:rPr>
          <w:spacing w:val="-2"/>
        </w:rPr>
        <w:t> </w:t>
      </w:r>
      <w:r>
        <w:rPr/>
        <w:t>terminated</w:t>
      </w:r>
      <w:r>
        <w:rPr>
          <w:spacing w:val="-2"/>
        </w:rPr>
        <w:t> </w:t>
      </w:r>
      <w:r>
        <w:rPr/>
        <w:t>or</w:t>
      </w:r>
      <w:r>
        <w:rPr>
          <w:spacing w:val="-2"/>
        </w:rPr>
        <w:t> </w:t>
      </w:r>
      <w:r>
        <w:rPr/>
        <w:t>accelerated</w:t>
      </w:r>
      <w:r>
        <w:rPr>
          <w:spacing w:val="-2"/>
        </w:rPr>
        <w:t> </w:t>
      </w:r>
      <w:r>
        <w:rPr/>
        <w:t>and</w:t>
      </w:r>
      <w:r>
        <w:rPr>
          <w:spacing w:val="-2"/>
        </w:rPr>
        <w:t> </w:t>
      </w:r>
      <w:r>
        <w:rPr/>
        <w:t>settled</w:t>
      </w:r>
      <w:r>
        <w:rPr>
          <w:spacing w:val="-2"/>
        </w:rPr>
        <w:t> </w:t>
      </w:r>
      <w:r>
        <w:rPr/>
        <w:t>through</w:t>
      </w:r>
      <w:r>
        <w:rPr>
          <w:spacing w:val="-2"/>
        </w:rPr>
        <w:t> </w:t>
      </w:r>
      <w:r>
        <w:rPr/>
        <w:t>a</w:t>
      </w:r>
      <w:r>
        <w:rPr>
          <w:spacing w:val="-2"/>
        </w:rPr>
        <w:t> </w:t>
      </w:r>
      <w:r>
        <w:rPr/>
        <w:t>single</w:t>
      </w:r>
      <w:r>
        <w:rPr>
          <w:spacing w:val="-2"/>
        </w:rPr>
        <w:t> </w:t>
      </w:r>
      <w:r>
        <w:rPr/>
        <w:t>payment</w:t>
      </w:r>
      <w:r>
        <w:rPr>
          <w:spacing w:val="-2"/>
        </w:rPr>
        <w:t> </w:t>
      </w:r>
      <w:r>
        <w:rPr/>
        <w:t>in</w:t>
      </w:r>
      <w:r>
        <w:rPr>
          <w:spacing w:val="-2"/>
        </w:rPr>
        <w:t> </w:t>
      </w:r>
      <w:r>
        <w:rPr/>
        <w:t>a</w:t>
      </w:r>
      <w:r>
        <w:rPr>
          <w:spacing w:val="-2"/>
        </w:rPr>
        <w:t> </w:t>
      </w:r>
      <w:r>
        <w:rPr/>
        <w:t>single</w:t>
      </w:r>
      <w:r>
        <w:rPr>
          <w:spacing w:val="-2"/>
        </w:rPr>
        <w:t> </w:t>
      </w:r>
      <w:r>
        <w:rPr/>
        <w:t>currency in the event of a default (e.g., bankruptcy, failure to make a required payment or transfer security or deliver</w:t>
      </w:r>
      <w:r>
        <w:rPr>
          <w:spacing w:val="40"/>
        </w:rPr>
        <w:t> </w:t>
      </w:r>
      <w:r>
        <w:rPr/>
        <w:t>collateral when due). Obligations under master netting agreements are often secured by collateral posted under an industry standard credit support annex to the master netting agreement. Upon default by the counterparty, the collateral agreement grants an entity the right to set-off any amounts payable by the counterparty against any posted </w:t>
      </w:r>
      <w:r>
        <w:rPr>
          <w:spacing w:val="-2"/>
        </w:rPr>
        <w:t>collateral.</w:t>
      </w:r>
    </w:p>
    <w:p>
      <w:pPr>
        <w:pStyle w:val="BodyText"/>
        <w:spacing w:line="249" w:lineRule="auto" w:before="125"/>
        <w:ind w:left="720" w:right="718"/>
        <w:jc w:val="both"/>
      </w:pPr>
      <w:r>
        <w:rPr/>
        <w:t>IBRD uses derivative instruments in its investment trading portfolio to manage interest rate and currency risks. These derivatives are carried and reported at fair value. Interest revenue/expenses are reflected as part of Interest revenue, while unrealized mark-to-market gains and losses on these derivatives are reflected as part of the</w:t>
      </w:r>
      <w:r>
        <w:rPr>
          <w:spacing w:val="40"/>
        </w:rPr>
        <w:t> </w:t>
      </w:r>
      <w:r>
        <w:rPr/>
        <w:t>Unrealized mark-to-market gains (losses) in Investments-Trading, net line in the Statements of Income.</w:t>
      </w:r>
    </w:p>
    <w:p>
      <w:pPr>
        <w:pStyle w:val="BodyText"/>
        <w:spacing w:line="249" w:lineRule="auto" w:before="124"/>
        <w:ind w:left="720" w:right="719"/>
        <w:jc w:val="both"/>
      </w:pPr>
      <w:r>
        <w:rPr/>
        <w:t>IBRD also uses derivatives in its loan, borrowing and asset/liability management activities. It also offers derivative intermediation services to clients. In the loan and borrowing portfolios, derivatives are used to modify the interest rate and/or currency characteristics of these portfolios. The interest component of these derivatives is recognized as an adjustment to the related loan revenue and borrowing costs over the life of the derivative contracts and is</w:t>
      </w:r>
      <w:r>
        <w:rPr>
          <w:spacing w:val="40"/>
        </w:rPr>
        <w:t> </w:t>
      </w:r>
      <w:r>
        <w:rPr/>
        <w:t>included in the related Interest revenue/expenses lines in the Statements of Income. Changes in fair values of these derivatives are recorded in the Statements of Income as Unrealized mark-to-market gains and losses in non-trading portfolios, net.</w:t>
      </w:r>
    </w:p>
    <w:p>
      <w:pPr>
        <w:pStyle w:val="BodyText"/>
        <w:spacing w:line="249" w:lineRule="auto" w:before="125"/>
        <w:ind w:left="720" w:right="719"/>
        <w:jc w:val="both"/>
      </w:pPr>
      <w:r>
        <w:rPr/>
        <w:t>For the purpose of the Statements of Cash Flows, IBRD has elected to report the cash flows associated with the derivative instruments that are used to economically hedge its loans, investments and borrowings, in a manner consistent with the presentation of the related loan, investment and borrowing cash flows.</w:t>
      </w:r>
    </w:p>
    <w:p>
      <w:pPr>
        <w:pStyle w:val="BodyText"/>
        <w:spacing w:line="249" w:lineRule="auto" w:before="123"/>
        <w:ind w:left="720" w:right="717"/>
        <w:jc w:val="both"/>
      </w:pPr>
      <w:r>
        <w:rPr/>
        <w:t>Derivative contracts include currency forward contracts, to-be-announced (TBA) securities, swaptions, exchange traded options and futures contracts, currency swaps and interest rate swaps. Currency swaps and interest rate swaps are either plain vanilla or structured. Currency forward contracts and plain vanilla currency and interest rate swaps are valued using the discounted cash flow methods using observable market inputs such as yield curves, foreign exchange rates, basis spreads and funding spreads. For structured currency and interest rate swaps, which primarily consist of callable swaps linked to interest rates, foreign exchange rates, and equity indices, valuation models and inputs similar to the ones applicable to structured bond valuations are used. Where applicable, the models also incorporate significant unobservable inputs such as correlations and long-dated interest rate volatilities.</w:t>
      </w:r>
    </w:p>
    <w:p>
      <w:pPr>
        <w:pStyle w:val="BodyText"/>
        <w:spacing w:line="249" w:lineRule="auto" w:before="126"/>
        <w:ind w:left="720" w:right="718"/>
        <w:jc w:val="both"/>
      </w:pPr>
      <w:r>
        <w:rPr/>
        <w:t>Most outstanding derivative positions are transacted over-the-counter and therefore valued using internally developed valuation models. For commercial and non-commercial counterparties where IBRD has a net receivable position, IBRD calculates a Credit Valuation Adjustment (CVA) to reflect credit risk. For net derivative positions with commercial and non-commercial counterparties where IBRD is in a net payable position, IBRD calculates a DVA to reflect its own credit risk. The CVA is calculated using future projected exposures of the derivative contracts, net of collateral received under credit support agreements, and the probability of counterparty default based on the Credit Default Swaps (CDS) spread and, where applicable, proxy CDS spreads. The DVA calculation</w:t>
      </w:r>
      <w:r>
        <w:rPr>
          <w:spacing w:val="40"/>
        </w:rPr>
        <w:t> </w:t>
      </w:r>
      <w:r>
        <w:rPr/>
        <w:t>is generally consistent with the CVA methodology and incorporates IBRD’s own credit spread as observed through the CDS market.</w:t>
      </w:r>
    </w:p>
    <w:p>
      <w:pPr>
        <w:pStyle w:val="BodyText"/>
        <w:spacing w:line="254" w:lineRule="auto" w:before="119"/>
        <w:ind w:left="720" w:right="718"/>
        <w:jc w:val="both"/>
      </w:pPr>
      <w:r>
        <w:rPr>
          <w:b/>
          <w:i/>
          <w:sz w:val="22"/>
        </w:rPr>
        <w:t>Valuation of Financial Instruments: </w:t>
      </w:r>
      <w:r>
        <w:rPr/>
        <w:t>IBRD has an established and documented process for determining fair values. Fair value is based upon quoted market prices for the same or similar securities, where available. Financial instruments</w:t>
      </w:r>
      <w:r>
        <w:rPr>
          <w:spacing w:val="30"/>
        </w:rPr>
        <w:t> </w:t>
      </w:r>
      <w:r>
        <w:rPr/>
        <w:t>for</w:t>
      </w:r>
      <w:r>
        <w:rPr>
          <w:spacing w:val="30"/>
        </w:rPr>
        <w:t> </w:t>
      </w:r>
      <w:r>
        <w:rPr/>
        <w:t>which</w:t>
      </w:r>
      <w:r>
        <w:rPr>
          <w:spacing w:val="30"/>
        </w:rPr>
        <w:t> </w:t>
      </w:r>
      <w:r>
        <w:rPr/>
        <w:t>quoted</w:t>
      </w:r>
      <w:r>
        <w:rPr>
          <w:spacing w:val="30"/>
        </w:rPr>
        <w:t> </w:t>
      </w:r>
      <w:r>
        <w:rPr/>
        <w:t>market</w:t>
      </w:r>
      <w:r>
        <w:rPr>
          <w:spacing w:val="30"/>
        </w:rPr>
        <w:t> </w:t>
      </w:r>
      <w:r>
        <w:rPr/>
        <w:t>prices</w:t>
      </w:r>
      <w:r>
        <w:rPr>
          <w:spacing w:val="30"/>
        </w:rPr>
        <w:t> </w:t>
      </w:r>
      <w:r>
        <w:rPr/>
        <w:t>are</w:t>
      </w:r>
      <w:r>
        <w:rPr>
          <w:spacing w:val="30"/>
        </w:rPr>
        <w:t> </w:t>
      </w:r>
      <w:r>
        <w:rPr/>
        <w:t>not</w:t>
      </w:r>
      <w:r>
        <w:rPr>
          <w:spacing w:val="30"/>
        </w:rPr>
        <w:t> </w:t>
      </w:r>
      <w:r>
        <w:rPr/>
        <w:t>readily</w:t>
      </w:r>
      <w:r>
        <w:rPr>
          <w:spacing w:val="30"/>
        </w:rPr>
        <w:t> </w:t>
      </w:r>
      <w:r>
        <w:rPr/>
        <w:t>available</w:t>
      </w:r>
      <w:r>
        <w:rPr>
          <w:spacing w:val="30"/>
        </w:rPr>
        <w:t> </w:t>
      </w:r>
      <w:r>
        <w:rPr/>
        <w:t>are</w:t>
      </w:r>
      <w:r>
        <w:rPr>
          <w:spacing w:val="30"/>
        </w:rPr>
        <w:t> </w:t>
      </w:r>
      <w:r>
        <w:rPr/>
        <w:t>valued</w:t>
      </w:r>
      <w:r>
        <w:rPr>
          <w:spacing w:val="30"/>
        </w:rPr>
        <w:t> </w:t>
      </w:r>
      <w:r>
        <w:rPr/>
        <w:t>based</w:t>
      </w:r>
      <w:r>
        <w:rPr>
          <w:spacing w:val="30"/>
        </w:rPr>
        <w:t> </w:t>
      </w:r>
      <w:r>
        <w:rPr/>
        <w:t>on</w:t>
      </w:r>
      <w:r>
        <w:rPr>
          <w:spacing w:val="30"/>
        </w:rPr>
        <w:t> </w:t>
      </w:r>
      <w:r>
        <w:rPr/>
        <w:t>discounted</w:t>
      </w:r>
      <w:r>
        <w:rPr>
          <w:spacing w:val="30"/>
        </w:rPr>
        <w:t> </w:t>
      </w:r>
      <w:r>
        <w:rPr/>
        <w:t>cash</w:t>
      </w:r>
      <w:r>
        <w:rPr>
          <w:spacing w:val="30"/>
        </w:rPr>
        <w:t> </w:t>
      </w:r>
      <w:r>
        <w:rPr/>
        <w:t>flow</w:t>
      </w:r>
    </w:p>
    <w:p>
      <w:pPr>
        <w:pStyle w:val="BodyText"/>
        <w:spacing w:after="0" w:line="254" w:lineRule="auto"/>
        <w:jc w:val="both"/>
        <w:sectPr>
          <w:headerReference w:type="even" r:id="rId141"/>
          <w:footerReference w:type="even" r:id="rId142"/>
          <w:footerReference w:type="default" r:id="rId143"/>
          <w:pgSz w:w="12240" w:h="15840"/>
          <w:pgMar w:header="0" w:footer="528" w:top="960" w:bottom="720" w:left="720" w:right="720"/>
          <w:pgNumType w:start="96"/>
        </w:sectPr>
      </w:pPr>
    </w:p>
    <w:p>
      <w:pPr>
        <w:pStyle w:val="BodyText"/>
        <w:spacing w:line="249" w:lineRule="auto" w:before="72"/>
        <w:ind w:left="720" w:right="719"/>
        <w:jc w:val="both"/>
      </w:pPr>
      <w:r>
        <w:rPr/>
        <w:t>models and other established valuation models. These models primarily use market-based or independently-sourced market parameters such as yield curves, interest rates, volatilities, foreign exchange rates and credit curves, and may incorporate unobservable inputs, some of which may be significant. Selection of these inputs may involve some judgment. In instances where management relies on instrument valuations supplied by external pricing vendors,</w:t>
      </w:r>
      <w:r>
        <w:rPr>
          <w:spacing w:val="40"/>
        </w:rPr>
        <w:t> </w:t>
      </w:r>
      <w:r>
        <w:rPr/>
        <w:t>there are procedures in place to validate the appropriateness of the models used as well as inputs applied in determining those values. The fair value of certain instruments is calculated using NAV as a practical expedient. To ensure that the valuations are appropriate where internally-developed models are used, IBRD has various controls in place, which include both internal and periodic external verification and review.</w:t>
      </w:r>
    </w:p>
    <w:p>
      <w:pPr>
        <w:pStyle w:val="BodyText"/>
        <w:spacing w:line="249" w:lineRule="auto" w:before="126"/>
        <w:ind w:left="720" w:right="718"/>
        <w:jc w:val="both"/>
      </w:pPr>
      <w:r>
        <w:rPr>
          <w:b/>
          <w:i/>
        </w:rPr>
        <w:t>Fair Value Hierarchy: </w:t>
      </w:r>
      <w:r>
        <w:rPr/>
        <w:t>Financial instruments are categorized based on the priority of the inputs to the valuation technique.</w:t>
      </w:r>
      <w:r>
        <w:rPr>
          <w:spacing w:val="-2"/>
        </w:rPr>
        <w:t> </w:t>
      </w:r>
      <w:r>
        <w:rPr/>
        <w:t>The</w:t>
      </w:r>
      <w:r>
        <w:rPr>
          <w:spacing w:val="-2"/>
        </w:rPr>
        <w:t> </w:t>
      </w:r>
      <w:r>
        <w:rPr/>
        <w:t>fair</w:t>
      </w:r>
      <w:r>
        <w:rPr>
          <w:spacing w:val="-2"/>
        </w:rPr>
        <w:t> </w:t>
      </w:r>
      <w:r>
        <w:rPr/>
        <w:t>value</w:t>
      </w:r>
      <w:r>
        <w:rPr>
          <w:spacing w:val="-2"/>
        </w:rPr>
        <w:t> </w:t>
      </w:r>
      <w:r>
        <w:rPr/>
        <w:t>hierarchy</w:t>
      </w:r>
      <w:r>
        <w:rPr>
          <w:spacing w:val="-2"/>
        </w:rPr>
        <w:t> </w:t>
      </w:r>
      <w:r>
        <w:rPr/>
        <w:t>gives</w:t>
      </w:r>
      <w:r>
        <w:rPr>
          <w:spacing w:val="-2"/>
        </w:rPr>
        <w:t> </w:t>
      </w:r>
      <w:r>
        <w:rPr/>
        <w:t>the</w:t>
      </w:r>
      <w:r>
        <w:rPr>
          <w:spacing w:val="-2"/>
        </w:rPr>
        <w:t> </w:t>
      </w:r>
      <w:r>
        <w:rPr/>
        <w:t>highest</w:t>
      </w:r>
      <w:r>
        <w:rPr>
          <w:spacing w:val="-2"/>
        </w:rPr>
        <w:t> </w:t>
      </w:r>
      <w:r>
        <w:rPr/>
        <w:t>priority</w:t>
      </w:r>
      <w:r>
        <w:rPr>
          <w:spacing w:val="-2"/>
        </w:rPr>
        <w:t> </w:t>
      </w:r>
      <w:r>
        <w:rPr/>
        <w:t>to</w:t>
      </w:r>
      <w:r>
        <w:rPr>
          <w:spacing w:val="-2"/>
        </w:rPr>
        <w:t> </w:t>
      </w:r>
      <w:r>
        <w:rPr/>
        <w:t>quoted</w:t>
      </w:r>
      <w:r>
        <w:rPr>
          <w:spacing w:val="-2"/>
        </w:rPr>
        <w:t> </w:t>
      </w:r>
      <w:r>
        <w:rPr/>
        <w:t>prices</w:t>
      </w:r>
      <w:r>
        <w:rPr>
          <w:spacing w:val="-2"/>
        </w:rPr>
        <w:t> </w:t>
      </w:r>
      <w:r>
        <w:rPr/>
        <w:t>in</w:t>
      </w:r>
      <w:r>
        <w:rPr>
          <w:spacing w:val="-2"/>
        </w:rPr>
        <w:t> </w:t>
      </w:r>
      <w:r>
        <w:rPr/>
        <w:t>active</w:t>
      </w:r>
      <w:r>
        <w:rPr>
          <w:spacing w:val="-2"/>
        </w:rPr>
        <w:t> </w:t>
      </w:r>
      <w:r>
        <w:rPr/>
        <w:t>markets</w:t>
      </w:r>
      <w:r>
        <w:rPr>
          <w:spacing w:val="-2"/>
        </w:rPr>
        <w:t> </w:t>
      </w:r>
      <w:r>
        <w:rPr/>
        <w:t>for</w:t>
      </w:r>
      <w:r>
        <w:rPr>
          <w:spacing w:val="-2"/>
        </w:rPr>
        <w:t> </w:t>
      </w:r>
      <w:r>
        <w:rPr/>
        <w:t>identical</w:t>
      </w:r>
      <w:r>
        <w:rPr>
          <w:spacing w:val="-2"/>
        </w:rPr>
        <w:t> </w:t>
      </w:r>
      <w:r>
        <w:rPr/>
        <w:t>assets</w:t>
      </w:r>
      <w:r>
        <w:rPr>
          <w:spacing w:val="-2"/>
        </w:rPr>
        <w:t> </w:t>
      </w:r>
      <w:r>
        <w:rPr/>
        <w:t>or liabilities (Level 1), the next highest priority to observable market-based inputs or inputs that are corroborated by market data (Level 2) and the lowest priority to unobservable inputs that are not corroborated by market data (Level </w:t>
      </w:r>
      <w:r>
        <w:rPr>
          <w:spacing w:val="-4"/>
        </w:rPr>
        <w:t>3).</w:t>
      </w:r>
    </w:p>
    <w:p>
      <w:pPr>
        <w:pStyle w:val="BodyText"/>
        <w:spacing w:line="249" w:lineRule="auto" w:before="124"/>
        <w:ind w:left="720" w:right="721"/>
        <w:jc w:val="both"/>
      </w:pPr>
      <w:r>
        <w:rPr/>
        <w:t>Financial assets and liabilities recorded at fair value on the Balance Sheets are categorized based on the inputs to the valuation techniques as follows:</w:t>
      </w:r>
    </w:p>
    <w:p>
      <w:pPr>
        <w:pStyle w:val="BodyText"/>
        <w:spacing w:line="249" w:lineRule="auto" w:before="122"/>
        <w:ind w:left="1440" w:right="719" w:hanging="720"/>
        <w:jc w:val="both"/>
      </w:pPr>
      <w:r>
        <w:rPr>
          <w:i/>
        </w:rPr>
        <w:t>Level 1</w:t>
      </w:r>
      <w:r>
        <w:rPr/>
        <w:t>: Financial assets and liabilities whose values are based on unadjusted quoted prices for identical assets or liabilities in active markets.</w:t>
      </w:r>
    </w:p>
    <w:p>
      <w:pPr>
        <w:pStyle w:val="BodyText"/>
        <w:spacing w:line="249" w:lineRule="auto" w:before="122"/>
        <w:ind w:left="1440" w:right="720" w:hanging="720"/>
        <w:jc w:val="both"/>
      </w:pPr>
      <w:r>
        <w:rPr>
          <w:i/>
        </w:rPr>
        <w:t>Level 2</w:t>
      </w:r>
      <w:r>
        <w:rPr/>
        <w:t>: Financial assets and liabilities whose values are based on quoted prices for similar assets or liabilities in active markets; quoted prices for identical or similar assets or liabilities in markets that are not active; or pricing models for which all significant inputs are observable, either directly or indirectly for substantially the full term of the asset or liability.</w:t>
      </w:r>
    </w:p>
    <w:p>
      <w:pPr>
        <w:pStyle w:val="BodyText"/>
        <w:spacing w:line="249" w:lineRule="auto" w:before="123"/>
        <w:ind w:left="1440" w:right="720" w:hanging="720"/>
        <w:jc w:val="both"/>
      </w:pPr>
      <w:r>
        <w:rPr>
          <w:i/>
        </w:rPr>
        <w:t>Level 3</w:t>
      </w:r>
      <w:r>
        <w:rPr/>
        <w:t>:</w:t>
      </w:r>
      <w:r>
        <w:rPr>
          <w:spacing w:val="28"/>
        </w:rPr>
        <w:t> </w:t>
      </w:r>
      <w:r>
        <w:rPr/>
        <w:t>Financial assets and liabilities whose values are based on prices or valuation techniques that require inputs that are both unobservable and significant to the overall fair value measurement.</w:t>
      </w:r>
    </w:p>
    <w:p>
      <w:pPr>
        <w:pStyle w:val="BodyText"/>
        <w:spacing w:line="249" w:lineRule="auto" w:before="121"/>
        <w:ind w:left="720" w:right="718"/>
        <w:jc w:val="both"/>
      </w:pPr>
      <w:r>
        <w:rPr/>
        <w:t>IBRD’s policy is to recognize transfers in and transfers out of levels as of the end of the reporting period in which they occur.</w:t>
      </w:r>
    </w:p>
    <w:p>
      <w:pPr>
        <w:pStyle w:val="BodyText"/>
        <w:spacing w:before="122"/>
        <w:ind w:left="720"/>
        <w:jc w:val="both"/>
      </w:pPr>
      <w:r>
        <w:rPr/>
        <w:t>Investments</w:t>
      </w:r>
      <w:r>
        <w:rPr>
          <w:spacing w:val="-6"/>
        </w:rPr>
        <w:t> </w:t>
      </w:r>
      <w:r>
        <w:rPr/>
        <w:t>measured</w:t>
      </w:r>
      <w:r>
        <w:rPr>
          <w:spacing w:val="-3"/>
        </w:rPr>
        <w:t> </w:t>
      </w:r>
      <w:r>
        <w:rPr/>
        <w:t>at</w:t>
      </w:r>
      <w:r>
        <w:rPr>
          <w:spacing w:val="-3"/>
        </w:rPr>
        <w:t> </w:t>
      </w:r>
      <w:r>
        <w:rPr/>
        <w:t>NAV</w:t>
      </w:r>
      <w:r>
        <w:rPr>
          <w:spacing w:val="-4"/>
        </w:rPr>
        <w:t> </w:t>
      </w:r>
      <w:r>
        <w:rPr/>
        <w:t>(or</w:t>
      </w:r>
      <w:r>
        <w:rPr>
          <w:spacing w:val="-3"/>
        </w:rPr>
        <w:t> </w:t>
      </w:r>
      <w:r>
        <w:rPr/>
        <w:t>its</w:t>
      </w:r>
      <w:r>
        <w:rPr>
          <w:spacing w:val="-3"/>
        </w:rPr>
        <w:t> </w:t>
      </w:r>
      <w:r>
        <w:rPr/>
        <w:t>equivalent)</w:t>
      </w:r>
      <w:r>
        <w:rPr>
          <w:spacing w:val="-3"/>
        </w:rPr>
        <w:t> </w:t>
      </w:r>
      <w:r>
        <w:rPr/>
        <w:t>are</w:t>
      </w:r>
      <w:r>
        <w:rPr>
          <w:spacing w:val="-4"/>
        </w:rPr>
        <w:t> </w:t>
      </w:r>
      <w:r>
        <w:rPr/>
        <w:t>not</w:t>
      </w:r>
      <w:r>
        <w:rPr>
          <w:spacing w:val="-3"/>
        </w:rPr>
        <w:t> </w:t>
      </w:r>
      <w:r>
        <w:rPr/>
        <w:t>classified</w:t>
      </w:r>
      <w:r>
        <w:rPr>
          <w:spacing w:val="-3"/>
        </w:rPr>
        <w:t> </w:t>
      </w:r>
      <w:r>
        <w:rPr/>
        <w:t>in</w:t>
      </w:r>
      <w:r>
        <w:rPr>
          <w:spacing w:val="-3"/>
        </w:rPr>
        <w:t> </w:t>
      </w:r>
      <w:r>
        <w:rPr/>
        <w:t>the</w:t>
      </w:r>
      <w:r>
        <w:rPr>
          <w:spacing w:val="-3"/>
        </w:rPr>
        <w:t> </w:t>
      </w:r>
      <w:r>
        <w:rPr/>
        <w:t>fair</w:t>
      </w:r>
      <w:r>
        <w:rPr>
          <w:spacing w:val="-3"/>
        </w:rPr>
        <w:t> </w:t>
      </w:r>
      <w:r>
        <w:rPr/>
        <w:t>value</w:t>
      </w:r>
      <w:r>
        <w:rPr>
          <w:spacing w:val="-3"/>
        </w:rPr>
        <w:t> </w:t>
      </w:r>
      <w:r>
        <w:rPr>
          <w:spacing w:val="-2"/>
        </w:rPr>
        <w:t>hierarchy.</w:t>
      </w:r>
    </w:p>
    <w:p>
      <w:pPr>
        <w:pStyle w:val="BodyText"/>
        <w:spacing w:line="276" w:lineRule="auto" w:before="158"/>
        <w:ind w:left="720" w:right="719"/>
        <w:jc w:val="both"/>
      </w:pPr>
      <w:r>
        <w:rPr>
          <w:b/>
          <w:i/>
        </w:rPr>
        <w:t>Accounting for Grant Expenses: </w:t>
      </w:r>
      <w:r>
        <w:rPr/>
        <w:t>IBRD recognizes an expense for unconditional grants, such as Contributions to Special Programs and most Board of Governors-approved and other transfers, upon approval. IBRD recognizes an expense for conditional grants when the conditions specified for use by the beneficiaries have been met.</w:t>
      </w:r>
    </w:p>
    <w:p>
      <w:pPr>
        <w:pStyle w:val="BodyText"/>
        <w:spacing w:line="249" w:lineRule="auto" w:before="115"/>
        <w:ind w:left="720" w:right="718"/>
        <w:jc w:val="both"/>
      </w:pPr>
      <w:r>
        <w:rPr>
          <w:b/>
          <w:i/>
        </w:rPr>
        <w:t>Trust Funds</w:t>
      </w:r>
      <w:r>
        <w:rPr>
          <w:b/>
        </w:rPr>
        <w:t>: </w:t>
      </w:r>
      <w:r>
        <w:rPr/>
        <w:t>To the extent that IBRD acts as an agent for, or controls IBRD-executed trust funds, assets held on behalf of specified beneficiaries are recorded on IBRD’s Balance Sheet, along with corresponding liabilities. Amounts disbursed from these trust funds are recorded as expenses with corresponding amounts recognized as revenues. For Recipient-executed trust funds, since IBRD acts as a trustee, no assets or liabilities relating to these activities</w:t>
      </w:r>
      <w:r>
        <w:rPr>
          <w:spacing w:val="-1"/>
        </w:rPr>
        <w:t> </w:t>
      </w:r>
      <w:r>
        <w:rPr/>
        <w:t>are</w:t>
      </w:r>
      <w:r>
        <w:rPr>
          <w:spacing w:val="-1"/>
        </w:rPr>
        <w:t> </w:t>
      </w:r>
      <w:r>
        <w:rPr/>
        <w:t>recorded on the</w:t>
      </w:r>
      <w:r>
        <w:rPr>
          <w:spacing w:val="-1"/>
        </w:rPr>
        <w:t> </w:t>
      </w:r>
      <w:r>
        <w:rPr/>
        <w:t>Balance</w:t>
      </w:r>
      <w:r>
        <w:rPr>
          <w:spacing w:val="-1"/>
        </w:rPr>
        <w:t> </w:t>
      </w:r>
      <w:r>
        <w:rPr/>
        <w:t>Sheets. In some</w:t>
      </w:r>
      <w:r>
        <w:rPr>
          <w:spacing w:val="-1"/>
        </w:rPr>
        <w:t> </w:t>
      </w:r>
      <w:r>
        <w:rPr/>
        <w:t>trust</w:t>
      </w:r>
      <w:r>
        <w:rPr>
          <w:spacing w:val="-1"/>
        </w:rPr>
        <w:t> </w:t>
      </w:r>
      <w:r>
        <w:rPr/>
        <w:t>funds, execution is</w:t>
      </w:r>
      <w:r>
        <w:rPr>
          <w:spacing w:val="-1"/>
        </w:rPr>
        <w:t> </w:t>
      </w:r>
      <w:r>
        <w:rPr/>
        <w:t>split</w:t>
      </w:r>
      <w:r>
        <w:rPr>
          <w:spacing w:val="-1"/>
        </w:rPr>
        <w:t> </w:t>
      </w:r>
      <w:r>
        <w:rPr/>
        <w:t>between Recipient-executed and IBRD-executed portions. Decisions on assignment of funding resources between the two types of execution may be made</w:t>
      </w:r>
      <w:r>
        <w:rPr>
          <w:spacing w:val="-1"/>
        </w:rPr>
        <w:t> </w:t>
      </w:r>
      <w:r>
        <w:rPr/>
        <w:t>on an ongoing basis, therefore, the</w:t>
      </w:r>
      <w:r>
        <w:rPr>
          <w:spacing w:val="-1"/>
        </w:rPr>
        <w:t> </w:t>
      </w:r>
      <w:r>
        <w:rPr/>
        <w:t>execution of a</w:t>
      </w:r>
      <w:r>
        <w:rPr>
          <w:spacing w:val="-1"/>
        </w:rPr>
        <w:t> </w:t>
      </w:r>
      <w:r>
        <w:rPr/>
        <w:t>portion of these</w:t>
      </w:r>
      <w:r>
        <w:rPr>
          <w:spacing w:val="-1"/>
        </w:rPr>
        <w:t> </w:t>
      </w:r>
      <w:r>
        <w:rPr/>
        <w:t>available</w:t>
      </w:r>
      <w:r>
        <w:rPr>
          <w:spacing w:val="-1"/>
        </w:rPr>
        <w:t> </w:t>
      </w:r>
      <w:r>
        <w:rPr/>
        <w:t>resources</w:t>
      </w:r>
      <w:r>
        <w:rPr>
          <w:spacing w:val="-1"/>
        </w:rPr>
        <w:t> </w:t>
      </w:r>
      <w:r>
        <w:rPr/>
        <w:t>may not</w:t>
      </w:r>
      <w:r>
        <w:rPr>
          <w:spacing w:val="-1"/>
        </w:rPr>
        <w:t> </w:t>
      </w:r>
      <w:r>
        <w:rPr/>
        <w:t>yet</w:t>
      </w:r>
      <w:r>
        <w:rPr>
          <w:spacing w:val="-1"/>
        </w:rPr>
        <w:t> </w:t>
      </w:r>
      <w:r>
        <w:rPr/>
        <w:t>be</w:t>
      </w:r>
      <w:r>
        <w:rPr>
          <w:spacing w:val="-1"/>
        </w:rPr>
        <w:t> </w:t>
      </w:r>
      <w:r>
        <w:rPr/>
        <w:t>assigned.</w:t>
      </w:r>
    </w:p>
    <w:p>
      <w:pPr>
        <w:pStyle w:val="BodyText"/>
        <w:spacing w:line="249" w:lineRule="auto" w:before="125"/>
        <w:ind w:left="720" w:right="718"/>
        <w:jc w:val="both"/>
      </w:pPr>
      <w:r>
        <w:rPr/>
        <w:t>IBRD also acts as a financial intermediary to provide specific administrative or financial services with a limited fiduciary or operational</w:t>
      </w:r>
      <w:r>
        <w:rPr>
          <w:spacing w:val="-1"/>
        </w:rPr>
        <w:t> </w:t>
      </w:r>
      <w:r>
        <w:rPr/>
        <w:t>role. These</w:t>
      </w:r>
      <w:r>
        <w:rPr>
          <w:spacing w:val="-1"/>
        </w:rPr>
        <w:t> </w:t>
      </w:r>
      <w:r>
        <w:rPr/>
        <w:t>arrangements, referred to as</w:t>
      </w:r>
      <w:r>
        <w:rPr>
          <w:spacing w:val="-1"/>
        </w:rPr>
        <w:t> </w:t>
      </w:r>
      <w:r>
        <w:rPr/>
        <w:t>Financial</w:t>
      </w:r>
      <w:r>
        <w:rPr>
          <w:spacing w:val="-1"/>
        </w:rPr>
        <w:t> </w:t>
      </w:r>
      <w:r>
        <w:rPr/>
        <w:t>Intermediary Funds, include, for example, administration of debt service trust funds, financial intermediation and other more specialized limited fund management roles. For these arrangements, funds are held and disbursed in accordance with instructions from</w:t>
      </w:r>
      <w:r>
        <w:rPr>
          <w:spacing w:val="40"/>
        </w:rPr>
        <w:t> </w:t>
      </w:r>
      <w:r>
        <w:rPr/>
        <w:t>donors or, in some cases, an external governance structure or a body operating on behalf of donors. For Financial Intermediary Funds, since IBRD acts as a trustee, no assets or liabilities relating to these activities are recorded on the Balance Sheets.</w:t>
      </w:r>
    </w:p>
    <w:p>
      <w:pPr>
        <w:pStyle w:val="Heading5"/>
        <w:spacing w:before="118"/>
      </w:pPr>
      <w:r>
        <w:rPr/>
        <w:t>Accounting</w:t>
      </w:r>
      <w:r>
        <w:rPr>
          <w:spacing w:val="-2"/>
        </w:rPr>
        <w:t> </w:t>
      </w:r>
      <w:r>
        <w:rPr/>
        <w:t>and</w:t>
      </w:r>
      <w:r>
        <w:rPr>
          <w:spacing w:val="-2"/>
        </w:rPr>
        <w:t> </w:t>
      </w:r>
      <w:r>
        <w:rPr/>
        <w:t>Reporting</w:t>
      </w:r>
      <w:r>
        <w:rPr>
          <w:spacing w:val="-2"/>
        </w:rPr>
        <w:t> Developments</w:t>
      </w:r>
    </w:p>
    <w:p>
      <w:pPr>
        <w:pStyle w:val="Heading8"/>
        <w:spacing w:before="136"/>
        <w:jc w:val="both"/>
      </w:pPr>
      <w:r>
        <w:rPr/>
        <w:t>Evaluated</w:t>
      </w:r>
      <w:r>
        <w:rPr>
          <w:spacing w:val="-7"/>
        </w:rPr>
        <w:t> </w:t>
      </w:r>
      <w:r>
        <w:rPr/>
        <w:t>Accounting</w:t>
      </w:r>
      <w:r>
        <w:rPr>
          <w:spacing w:val="-5"/>
        </w:rPr>
        <w:t> </w:t>
      </w:r>
      <w:r>
        <w:rPr>
          <w:spacing w:val="-2"/>
        </w:rPr>
        <w:t>Standards:</w:t>
      </w:r>
    </w:p>
    <w:p>
      <w:pPr>
        <w:spacing w:line="249" w:lineRule="auto" w:before="13"/>
        <w:ind w:left="720" w:right="719" w:firstLine="0"/>
        <w:jc w:val="both"/>
        <w:rPr>
          <w:sz w:val="20"/>
        </w:rPr>
      </w:pPr>
      <w:r>
        <w:rPr>
          <w:sz w:val="20"/>
        </w:rPr>
        <w:t>In December 2022, the Financial Accounting Standards Board (FASB) issued Accounting Standard Update (ASU) 2022-06 - </w:t>
      </w:r>
      <w:r>
        <w:rPr>
          <w:i/>
          <w:sz w:val="20"/>
        </w:rPr>
        <w:t>Reference Rate Reform (Topic 848): Deferral of the Sunset Date of Topic 848</w:t>
      </w:r>
      <w:r>
        <w:rPr>
          <w:sz w:val="20"/>
        </w:rPr>
        <w:t>. The ASU extended the timeline for temporary relief to certain contract modification guidance provided by ASU 2020-04 - </w:t>
      </w:r>
      <w:r>
        <w:rPr>
          <w:i/>
          <w:sz w:val="20"/>
        </w:rPr>
        <w:t>Reference Rate Reform</w:t>
      </w:r>
      <w:r>
        <w:rPr>
          <w:i/>
          <w:spacing w:val="16"/>
          <w:sz w:val="20"/>
        </w:rPr>
        <w:t> </w:t>
      </w:r>
      <w:r>
        <w:rPr>
          <w:i/>
          <w:sz w:val="20"/>
        </w:rPr>
        <w:t>(Topic</w:t>
      </w:r>
      <w:r>
        <w:rPr>
          <w:i/>
          <w:spacing w:val="16"/>
          <w:sz w:val="20"/>
        </w:rPr>
        <w:t> </w:t>
      </w:r>
      <w:r>
        <w:rPr>
          <w:i/>
          <w:sz w:val="20"/>
        </w:rPr>
        <w:t>848):</w:t>
      </w:r>
      <w:r>
        <w:rPr>
          <w:i/>
          <w:spacing w:val="15"/>
          <w:sz w:val="20"/>
        </w:rPr>
        <w:t> </w:t>
      </w:r>
      <w:r>
        <w:rPr>
          <w:i/>
          <w:sz w:val="20"/>
        </w:rPr>
        <w:t>Facilitation</w:t>
      </w:r>
      <w:r>
        <w:rPr>
          <w:i/>
          <w:spacing w:val="16"/>
          <w:sz w:val="20"/>
        </w:rPr>
        <w:t> </w:t>
      </w:r>
      <w:r>
        <w:rPr>
          <w:i/>
          <w:sz w:val="20"/>
        </w:rPr>
        <w:t>of</w:t>
      </w:r>
      <w:r>
        <w:rPr>
          <w:i/>
          <w:spacing w:val="16"/>
          <w:sz w:val="20"/>
        </w:rPr>
        <w:t> </w:t>
      </w:r>
      <w:r>
        <w:rPr>
          <w:i/>
          <w:sz w:val="20"/>
        </w:rPr>
        <w:t>the</w:t>
      </w:r>
      <w:r>
        <w:rPr>
          <w:i/>
          <w:spacing w:val="15"/>
          <w:sz w:val="20"/>
        </w:rPr>
        <w:t> </w:t>
      </w:r>
      <w:r>
        <w:rPr>
          <w:i/>
          <w:sz w:val="20"/>
        </w:rPr>
        <w:t>Effects</w:t>
      </w:r>
      <w:r>
        <w:rPr>
          <w:i/>
          <w:spacing w:val="16"/>
          <w:sz w:val="20"/>
        </w:rPr>
        <w:t> </w:t>
      </w:r>
      <w:r>
        <w:rPr>
          <w:i/>
          <w:sz w:val="20"/>
        </w:rPr>
        <w:t>of</w:t>
      </w:r>
      <w:r>
        <w:rPr>
          <w:i/>
          <w:spacing w:val="16"/>
          <w:sz w:val="20"/>
        </w:rPr>
        <w:t> </w:t>
      </w:r>
      <w:r>
        <w:rPr>
          <w:i/>
          <w:sz w:val="20"/>
        </w:rPr>
        <w:t>Reference</w:t>
      </w:r>
      <w:r>
        <w:rPr>
          <w:i/>
          <w:spacing w:val="15"/>
          <w:sz w:val="20"/>
        </w:rPr>
        <w:t> </w:t>
      </w:r>
      <w:r>
        <w:rPr>
          <w:i/>
          <w:sz w:val="20"/>
        </w:rPr>
        <w:t>Rate</w:t>
      </w:r>
      <w:r>
        <w:rPr>
          <w:i/>
          <w:spacing w:val="16"/>
          <w:sz w:val="20"/>
        </w:rPr>
        <w:t> </w:t>
      </w:r>
      <w:r>
        <w:rPr>
          <w:i/>
          <w:sz w:val="20"/>
        </w:rPr>
        <w:t>Reform</w:t>
      </w:r>
      <w:r>
        <w:rPr>
          <w:i/>
          <w:spacing w:val="16"/>
          <w:sz w:val="20"/>
        </w:rPr>
        <w:t> </w:t>
      </w:r>
      <w:r>
        <w:rPr>
          <w:i/>
          <w:sz w:val="20"/>
        </w:rPr>
        <w:t>on</w:t>
      </w:r>
      <w:r>
        <w:rPr>
          <w:i/>
          <w:spacing w:val="15"/>
          <w:sz w:val="20"/>
        </w:rPr>
        <w:t> </w:t>
      </w:r>
      <w:r>
        <w:rPr>
          <w:i/>
          <w:sz w:val="20"/>
        </w:rPr>
        <w:t>Financial</w:t>
      </w:r>
      <w:r>
        <w:rPr>
          <w:i/>
          <w:spacing w:val="16"/>
          <w:sz w:val="20"/>
        </w:rPr>
        <w:t> </w:t>
      </w:r>
      <w:r>
        <w:rPr>
          <w:i/>
          <w:sz w:val="20"/>
        </w:rPr>
        <w:t>Reporting</w:t>
      </w:r>
      <w:r>
        <w:rPr>
          <w:i/>
          <w:spacing w:val="16"/>
          <w:sz w:val="20"/>
        </w:rPr>
        <w:t> </w:t>
      </w:r>
      <w:r>
        <w:rPr>
          <w:sz w:val="20"/>
        </w:rPr>
        <w:t>from</w:t>
      </w:r>
      <w:r>
        <w:rPr>
          <w:spacing w:val="15"/>
          <w:sz w:val="20"/>
        </w:rPr>
        <w:t> </w:t>
      </w:r>
      <w:r>
        <w:rPr>
          <w:sz w:val="20"/>
        </w:rPr>
        <w:t>December</w:t>
      </w:r>
    </w:p>
    <w:p>
      <w:pPr>
        <w:spacing w:after="0" w:line="249" w:lineRule="auto"/>
        <w:jc w:val="both"/>
        <w:rPr>
          <w:sz w:val="20"/>
        </w:rPr>
        <w:sectPr>
          <w:headerReference w:type="default" r:id="rId144"/>
          <w:pgSz w:w="12240" w:h="15840"/>
          <w:pgMar w:header="0" w:footer="0" w:top="960" w:bottom="720" w:left="720" w:right="720"/>
        </w:sectPr>
      </w:pPr>
    </w:p>
    <w:p>
      <w:pPr>
        <w:pStyle w:val="BodyText"/>
        <w:spacing w:line="249" w:lineRule="auto" w:before="72"/>
        <w:ind w:left="720" w:right="721"/>
        <w:jc w:val="both"/>
      </w:pPr>
      <w:r>
        <w:rPr/>
        <w:t>31,</w:t>
      </w:r>
      <w:r>
        <w:rPr>
          <w:spacing w:val="-2"/>
        </w:rPr>
        <w:t> </w:t>
      </w:r>
      <w:r>
        <w:rPr/>
        <w:t>2022</w:t>
      </w:r>
      <w:r>
        <w:rPr>
          <w:spacing w:val="-2"/>
        </w:rPr>
        <w:t> </w:t>
      </w:r>
      <w:r>
        <w:rPr/>
        <w:t>to</w:t>
      </w:r>
      <w:r>
        <w:rPr>
          <w:spacing w:val="-2"/>
        </w:rPr>
        <w:t> </w:t>
      </w:r>
      <w:r>
        <w:rPr/>
        <w:t>December</w:t>
      </w:r>
      <w:r>
        <w:rPr>
          <w:spacing w:val="-2"/>
        </w:rPr>
        <w:t> </w:t>
      </w:r>
      <w:r>
        <w:rPr/>
        <w:t>31,</w:t>
      </w:r>
      <w:r>
        <w:rPr>
          <w:spacing w:val="-2"/>
        </w:rPr>
        <w:t> </w:t>
      </w:r>
      <w:r>
        <w:rPr/>
        <w:t>2024.</w:t>
      </w:r>
      <w:r>
        <w:rPr>
          <w:spacing w:val="-2"/>
        </w:rPr>
        <w:t> </w:t>
      </w:r>
      <w:r>
        <w:rPr/>
        <w:t>ASU</w:t>
      </w:r>
      <w:r>
        <w:rPr>
          <w:spacing w:val="-2"/>
        </w:rPr>
        <w:t> </w:t>
      </w:r>
      <w:r>
        <w:rPr/>
        <w:t>2022-06</w:t>
      </w:r>
      <w:r>
        <w:rPr>
          <w:spacing w:val="-2"/>
        </w:rPr>
        <w:t> </w:t>
      </w:r>
      <w:r>
        <w:rPr/>
        <w:t>was</w:t>
      </w:r>
      <w:r>
        <w:rPr>
          <w:spacing w:val="-2"/>
        </w:rPr>
        <w:t> </w:t>
      </w:r>
      <w:r>
        <w:rPr/>
        <w:t>effective</w:t>
      </w:r>
      <w:r>
        <w:rPr>
          <w:spacing w:val="-2"/>
        </w:rPr>
        <w:t> </w:t>
      </w:r>
      <w:r>
        <w:rPr/>
        <w:t>upon</w:t>
      </w:r>
      <w:r>
        <w:rPr>
          <w:spacing w:val="-2"/>
        </w:rPr>
        <w:t> </w:t>
      </w:r>
      <w:r>
        <w:rPr/>
        <w:t>issuance,</w:t>
      </w:r>
      <w:r>
        <w:rPr>
          <w:spacing w:val="-2"/>
        </w:rPr>
        <w:t> </w:t>
      </w:r>
      <w:r>
        <w:rPr/>
        <w:t>and</w:t>
      </w:r>
      <w:r>
        <w:rPr>
          <w:spacing w:val="-2"/>
        </w:rPr>
        <w:t> </w:t>
      </w:r>
      <w:r>
        <w:rPr/>
        <w:t>the</w:t>
      </w:r>
      <w:r>
        <w:rPr>
          <w:spacing w:val="-2"/>
        </w:rPr>
        <w:t> </w:t>
      </w:r>
      <w:r>
        <w:rPr/>
        <w:t>adoption</w:t>
      </w:r>
      <w:r>
        <w:rPr>
          <w:spacing w:val="-2"/>
        </w:rPr>
        <w:t> </w:t>
      </w:r>
      <w:r>
        <w:rPr/>
        <w:t>did</w:t>
      </w:r>
      <w:r>
        <w:rPr>
          <w:spacing w:val="-2"/>
        </w:rPr>
        <w:t> </w:t>
      </w:r>
      <w:r>
        <w:rPr/>
        <w:t>not</w:t>
      </w:r>
      <w:r>
        <w:rPr>
          <w:spacing w:val="-2"/>
        </w:rPr>
        <w:t> </w:t>
      </w:r>
      <w:r>
        <w:rPr/>
        <w:t>have</w:t>
      </w:r>
      <w:r>
        <w:rPr>
          <w:spacing w:val="-2"/>
        </w:rPr>
        <w:t> </w:t>
      </w:r>
      <w:r>
        <w:rPr/>
        <w:t>a</w:t>
      </w:r>
      <w:r>
        <w:rPr>
          <w:spacing w:val="-2"/>
        </w:rPr>
        <w:t> </w:t>
      </w:r>
      <w:r>
        <w:rPr/>
        <w:t>material impact on IBRD’s financial statements.</w:t>
      </w:r>
    </w:p>
    <w:p>
      <w:pPr>
        <w:pStyle w:val="BodyText"/>
        <w:spacing w:line="232" w:lineRule="auto" w:before="127"/>
        <w:ind w:left="720" w:right="719"/>
        <w:jc w:val="both"/>
      </w:pPr>
      <w:r>
        <w:rPr/>
        <w:t>In June 2022, FASB issued Accounting Standard Update (ASU) 2022-03, </w:t>
      </w:r>
      <w:r>
        <w:rPr>
          <w:i/>
        </w:rPr>
        <w:t>Fair Value Measurement (Topic 820)</w:t>
      </w:r>
      <w:r>
        <w:rPr>
          <w:i/>
          <w:spacing w:val="80"/>
        </w:rPr>
        <w:t> </w:t>
      </w:r>
      <w:r>
        <w:rPr>
          <w:i/>
        </w:rPr>
        <w:t>Fair Value Measurement of Equity Securities Subject to Contractual Sale Restrictions</w:t>
      </w:r>
      <w:r>
        <w:rPr/>
        <w:t>, which clarifies that a contractual restriction on the sale of an equity security is not considered part of the unit of account of the equity security and should not be factored in when measuring fair value. The ASU also clarifies that an entity cannot, as a separate unit of account, recognize and measure a contractual sale restriction. The ASU requires certain disclosures for equity securities subject to contractual sale restrictions. For IBRD, the ASU will be effective from the quarter ending September 30, 2024 (fiscal year 2025 for IBRD),</w:t>
      </w:r>
      <w:r>
        <w:rPr>
          <w:spacing w:val="40"/>
        </w:rPr>
        <w:t> </w:t>
      </w:r>
      <w:r>
        <w:rPr/>
        <w:t>and the adoption of this ASU is not expected to have a material impact on IBRD's financial statements.</w:t>
      </w:r>
    </w:p>
    <w:p>
      <w:pPr>
        <w:pStyle w:val="BodyText"/>
        <w:spacing w:line="232" w:lineRule="auto" w:before="127"/>
        <w:ind w:left="720" w:right="720"/>
        <w:jc w:val="both"/>
      </w:pPr>
      <w:r>
        <w:rPr/>
        <w:t>In March 2022, the FASB issued ASU 2022-02, </w:t>
      </w:r>
      <w:r>
        <w:rPr>
          <w:i/>
        </w:rPr>
        <w:t>Troubled Debt Restructurings and Vintage Disclosures</w:t>
      </w:r>
      <w:r>
        <w:rPr/>
        <w:t>, which eliminates</w:t>
      </w:r>
      <w:r>
        <w:rPr>
          <w:spacing w:val="-2"/>
        </w:rPr>
        <w:t> </w:t>
      </w:r>
      <w:r>
        <w:rPr/>
        <w:t>the</w:t>
      </w:r>
      <w:r>
        <w:rPr>
          <w:spacing w:val="-2"/>
        </w:rPr>
        <w:t> </w:t>
      </w:r>
      <w:r>
        <w:rPr/>
        <w:t>accounting</w:t>
      </w:r>
      <w:r>
        <w:rPr>
          <w:spacing w:val="-1"/>
        </w:rPr>
        <w:t> </w:t>
      </w:r>
      <w:r>
        <w:rPr/>
        <w:t>guidance</w:t>
      </w:r>
      <w:r>
        <w:rPr>
          <w:spacing w:val="-2"/>
        </w:rPr>
        <w:t> </w:t>
      </w:r>
      <w:r>
        <w:rPr/>
        <w:t>on</w:t>
      </w:r>
      <w:r>
        <w:rPr>
          <w:spacing w:val="-1"/>
        </w:rPr>
        <w:t> </w:t>
      </w:r>
      <w:r>
        <w:rPr/>
        <w:t>troubled</w:t>
      </w:r>
      <w:r>
        <w:rPr>
          <w:spacing w:val="-1"/>
        </w:rPr>
        <w:t> </w:t>
      </w:r>
      <w:r>
        <w:rPr/>
        <w:t>debt</w:t>
      </w:r>
      <w:r>
        <w:rPr>
          <w:spacing w:val="-2"/>
        </w:rPr>
        <w:t> </w:t>
      </w:r>
      <w:r>
        <w:rPr/>
        <w:t>restructurings</w:t>
      </w:r>
      <w:r>
        <w:rPr>
          <w:spacing w:val="-2"/>
        </w:rPr>
        <w:t> </w:t>
      </w:r>
      <w:r>
        <w:rPr/>
        <w:t>(TDRs)</w:t>
      </w:r>
      <w:r>
        <w:rPr>
          <w:spacing w:val="-1"/>
        </w:rPr>
        <w:t> </w:t>
      </w:r>
      <w:r>
        <w:rPr/>
        <w:t>for</w:t>
      </w:r>
      <w:r>
        <w:rPr>
          <w:spacing w:val="-1"/>
        </w:rPr>
        <w:t> </w:t>
      </w:r>
      <w:r>
        <w:rPr/>
        <w:t>creditors</w:t>
      </w:r>
      <w:r>
        <w:rPr>
          <w:spacing w:val="-2"/>
        </w:rPr>
        <w:t> </w:t>
      </w:r>
      <w:r>
        <w:rPr/>
        <w:t>and</w:t>
      </w:r>
      <w:r>
        <w:rPr>
          <w:spacing w:val="-1"/>
        </w:rPr>
        <w:t> </w:t>
      </w:r>
      <w:r>
        <w:rPr/>
        <w:t>amends</w:t>
      </w:r>
      <w:r>
        <w:rPr>
          <w:spacing w:val="-2"/>
        </w:rPr>
        <w:t> </w:t>
      </w:r>
      <w:r>
        <w:rPr/>
        <w:t>the</w:t>
      </w:r>
      <w:r>
        <w:rPr>
          <w:spacing w:val="-2"/>
        </w:rPr>
        <w:t> </w:t>
      </w:r>
      <w:r>
        <w:rPr/>
        <w:t>guidance</w:t>
      </w:r>
      <w:r>
        <w:rPr>
          <w:spacing w:val="-2"/>
        </w:rPr>
        <w:t> </w:t>
      </w:r>
      <w:r>
        <w:rPr/>
        <w:t>on “vintage disclosures” to require disclosure of current-period gross write-offs by year of origination. This ASU</w:t>
      </w:r>
      <w:r>
        <w:rPr>
          <w:spacing w:val="40"/>
        </w:rPr>
        <w:t> </w:t>
      </w:r>
      <w:r>
        <w:rPr/>
        <w:t>will be</w:t>
      </w:r>
      <w:r>
        <w:rPr>
          <w:spacing w:val="-2"/>
        </w:rPr>
        <w:t> </w:t>
      </w:r>
      <w:r>
        <w:rPr/>
        <w:t>effective</w:t>
      </w:r>
      <w:r>
        <w:rPr>
          <w:spacing w:val="-2"/>
        </w:rPr>
        <w:t> </w:t>
      </w:r>
      <w:r>
        <w:rPr/>
        <w:t>from</w:t>
      </w:r>
      <w:r>
        <w:rPr>
          <w:spacing w:val="-2"/>
        </w:rPr>
        <w:t> </w:t>
      </w:r>
      <w:r>
        <w:rPr/>
        <w:t>the</w:t>
      </w:r>
      <w:r>
        <w:rPr>
          <w:spacing w:val="-2"/>
        </w:rPr>
        <w:t> </w:t>
      </w:r>
      <w:r>
        <w:rPr/>
        <w:t>quarter</w:t>
      </w:r>
      <w:r>
        <w:rPr>
          <w:spacing w:val="-2"/>
        </w:rPr>
        <w:t> </w:t>
      </w:r>
      <w:r>
        <w:rPr/>
        <w:t>ending</w:t>
      </w:r>
      <w:r>
        <w:rPr>
          <w:spacing w:val="-2"/>
        </w:rPr>
        <w:t> </w:t>
      </w:r>
      <w:r>
        <w:rPr/>
        <w:t>September</w:t>
      </w:r>
      <w:r>
        <w:rPr>
          <w:spacing w:val="-2"/>
        </w:rPr>
        <w:t> </w:t>
      </w:r>
      <w:r>
        <w:rPr/>
        <w:t>30,</w:t>
      </w:r>
      <w:r>
        <w:rPr>
          <w:spacing w:val="-2"/>
        </w:rPr>
        <w:t> </w:t>
      </w:r>
      <w:r>
        <w:rPr/>
        <w:t>2023</w:t>
      </w:r>
      <w:r>
        <w:rPr>
          <w:spacing w:val="-2"/>
        </w:rPr>
        <w:t> </w:t>
      </w:r>
      <w:r>
        <w:rPr/>
        <w:t>(fiscal</w:t>
      </w:r>
      <w:r>
        <w:rPr>
          <w:spacing w:val="-2"/>
        </w:rPr>
        <w:t> </w:t>
      </w:r>
      <w:r>
        <w:rPr/>
        <w:t>year</w:t>
      </w:r>
      <w:r>
        <w:rPr>
          <w:spacing w:val="-2"/>
        </w:rPr>
        <w:t> </w:t>
      </w:r>
      <w:r>
        <w:rPr/>
        <w:t>2024</w:t>
      </w:r>
      <w:r>
        <w:rPr>
          <w:spacing w:val="-2"/>
        </w:rPr>
        <w:t> </w:t>
      </w:r>
      <w:r>
        <w:rPr/>
        <w:t>for</w:t>
      </w:r>
      <w:r>
        <w:rPr>
          <w:spacing w:val="-2"/>
        </w:rPr>
        <w:t> </w:t>
      </w:r>
      <w:r>
        <w:rPr/>
        <w:t>IBRD),</w:t>
      </w:r>
      <w:r>
        <w:rPr>
          <w:spacing w:val="40"/>
        </w:rPr>
        <w:t> </w:t>
      </w:r>
      <w:r>
        <w:rPr/>
        <w:t>and</w:t>
      </w:r>
      <w:r>
        <w:rPr>
          <w:spacing w:val="-2"/>
        </w:rPr>
        <w:t> </w:t>
      </w:r>
      <w:r>
        <w:rPr/>
        <w:t>the</w:t>
      </w:r>
      <w:r>
        <w:rPr>
          <w:spacing w:val="-2"/>
        </w:rPr>
        <w:t> </w:t>
      </w:r>
      <w:r>
        <w:rPr/>
        <w:t>adoption</w:t>
      </w:r>
      <w:r>
        <w:rPr>
          <w:spacing w:val="40"/>
        </w:rPr>
        <w:t> </w:t>
      </w:r>
      <w:r>
        <w:rPr/>
        <w:t>of</w:t>
      </w:r>
      <w:r>
        <w:rPr>
          <w:spacing w:val="-2"/>
        </w:rPr>
        <w:t> </w:t>
      </w:r>
      <w:r>
        <w:rPr/>
        <w:t>this</w:t>
      </w:r>
      <w:r>
        <w:rPr>
          <w:spacing w:val="-2"/>
        </w:rPr>
        <w:t> </w:t>
      </w:r>
      <w:r>
        <w:rPr/>
        <w:t>ASU is not expected to have a material impact on IBRD's financial statements.</w:t>
      </w:r>
    </w:p>
    <w:p>
      <w:pPr>
        <w:pStyle w:val="BodyText"/>
        <w:spacing w:line="232" w:lineRule="auto" w:before="125"/>
        <w:ind w:left="720" w:right="718"/>
        <w:jc w:val="both"/>
      </w:pPr>
      <w:r>
        <w:rPr/>
        <w:t>In November 2021, the FASB issued ASU 2021-10, </w:t>
      </w:r>
      <w:r>
        <w:rPr>
          <w:i/>
        </w:rPr>
        <w:t>Disclosure by Business Entities about Government Assistance</w:t>
      </w:r>
      <w:r>
        <w:rPr/>
        <w:t>, which requires entities to make certain annual disclosures about government assistance transactions. This ASU is effective</w:t>
      </w:r>
      <w:r>
        <w:rPr>
          <w:spacing w:val="-2"/>
        </w:rPr>
        <w:t> </w:t>
      </w:r>
      <w:r>
        <w:rPr/>
        <w:t>for</w:t>
      </w:r>
      <w:r>
        <w:rPr>
          <w:spacing w:val="-2"/>
        </w:rPr>
        <w:t> </w:t>
      </w:r>
      <w:r>
        <w:rPr/>
        <w:t>the</w:t>
      </w:r>
      <w:r>
        <w:rPr>
          <w:spacing w:val="-2"/>
        </w:rPr>
        <w:t> </w:t>
      </w:r>
      <w:r>
        <w:rPr/>
        <w:t>annual</w:t>
      </w:r>
      <w:r>
        <w:rPr>
          <w:spacing w:val="-2"/>
        </w:rPr>
        <w:t> </w:t>
      </w:r>
      <w:r>
        <w:rPr/>
        <w:t>period</w:t>
      </w:r>
      <w:r>
        <w:rPr>
          <w:spacing w:val="-2"/>
        </w:rPr>
        <w:t> </w:t>
      </w:r>
      <w:r>
        <w:rPr/>
        <w:t>ending</w:t>
      </w:r>
      <w:r>
        <w:rPr>
          <w:spacing w:val="-2"/>
        </w:rPr>
        <w:t> </w:t>
      </w:r>
      <w:r>
        <w:rPr/>
        <w:t>June</w:t>
      </w:r>
      <w:r>
        <w:rPr>
          <w:spacing w:val="-2"/>
        </w:rPr>
        <w:t> </w:t>
      </w:r>
      <w:r>
        <w:rPr/>
        <w:t>30,</w:t>
      </w:r>
      <w:r>
        <w:rPr>
          <w:spacing w:val="-2"/>
        </w:rPr>
        <w:t> </w:t>
      </w:r>
      <w:r>
        <w:rPr/>
        <w:t>2023</w:t>
      </w:r>
      <w:r>
        <w:rPr>
          <w:spacing w:val="-2"/>
        </w:rPr>
        <w:t> </w:t>
      </w:r>
      <w:r>
        <w:rPr/>
        <w:t>(annual</w:t>
      </w:r>
      <w:r>
        <w:rPr>
          <w:spacing w:val="-2"/>
        </w:rPr>
        <w:t> </w:t>
      </w:r>
      <w:r>
        <w:rPr/>
        <w:t>statements</w:t>
      </w:r>
      <w:r>
        <w:rPr>
          <w:spacing w:val="-2"/>
        </w:rPr>
        <w:t> </w:t>
      </w:r>
      <w:r>
        <w:rPr/>
        <w:t>of</w:t>
      </w:r>
      <w:r>
        <w:rPr>
          <w:spacing w:val="-2"/>
        </w:rPr>
        <w:t> </w:t>
      </w:r>
      <w:r>
        <w:rPr/>
        <w:t>fiscal</w:t>
      </w:r>
      <w:r>
        <w:rPr>
          <w:spacing w:val="-2"/>
        </w:rPr>
        <w:t> </w:t>
      </w:r>
      <w:r>
        <w:rPr/>
        <w:t>year</w:t>
      </w:r>
      <w:r>
        <w:rPr>
          <w:spacing w:val="-2"/>
        </w:rPr>
        <w:t> </w:t>
      </w:r>
      <w:r>
        <w:rPr/>
        <w:t>2023).</w:t>
      </w:r>
      <w:r>
        <w:rPr>
          <w:spacing w:val="-2"/>
        </w:rPr>
        <w:t> </w:t>
      </w:r>
      <w:r>
        <w:rPr/>
        <w:t>IBRD</w:t>
      </w:r>
      <w:r>
        <w:rPr>
          <w:spacing w:val="-2"/>
        </w:rPr>
        <w:t> </w:t>
      </w:r>
      <w:r>
        <w:rPr/>
        <w:t>has</w:t>
      </w:r>
      <w:r>
        <w:rPr>
          <w:spacing w:val="-2"/>
        </w:rPr>
        <w:t> </w:t>
      </w:r>
      <w:r>
        <w:rPr/>
        <w:t>evaluated</w:t>
      </w:r>
      <w:r>
        <w:rPr>
          <w:spacing w:val="-2"/>
        </w:rPr>
        <w:t> </w:t>
      </w:r>
      <w:r>
        <w:rPr/>
        <w:t>the ASU and determined that no additional disclosures are required on its financial statements.</w:t>
      </w:r>
    </w:p>
    <w:p>
      <w:pPr>
        <w:pStyle w:val="BodyText"/>
        <w:spacing w:before="173"/>
      </w:pPr>
    </w:p>
    <w:p>
      <w:pPr>
        <w:pStyle w:val="Heading3"/>
        <w:spacing w:before="1"/>
      </w:pPr>
      <w:bookmarkStart w:name="NOTE B—CAPITAL STOCK, MAINTENANCE OF VAL" w:id="207"/>
      <w:bookmarkEnd w:id="207"/>
      <w:r>
        <w:rPr>
          <w:b w:val="0"/>
        </w:rPr>
      </w:r>
      <w:r>
        <w:rPr/>
        <w:t>NOTE</w:t>
      </w:r>
      <w:r>
        <w:rPr>
          <w:spacing w:val="-6"/>
        </w:rPr>
        <w:t> </w:t>
      </w:r>
      <w:r>
        <w:rPr/>
        <w:t>B—CAPITAL</w:t>
      </w:r>
      <w:r>
        <w:rPr>
          <w:spacing w:val="-4"/>
        </w:rPr>
        <w:t> </w:t>
      </w:r>
      <w:r>
        <w:rPr/>
        <w:t>STOCK,</w:t>
      </w:r>
      <w:r>
        <w:rPr>
          <w:spacing w:val="-3"/>
        </w:rPr>
        <w:t> </w:t>
      </w:r>
      <w:r>
        <w:rPr/>
        <w:t>MAINTENANCE</w:t>
      </w:r>
      <w:r>
        <w:rPr>
          <w:spacing w:val="-3"/>
        </w:rPr>
        <w:t> </w:t>
      </w:r>
      <w:r>
        <w:rPr/>
        <w:t>OF</w:t>
      </w:r>
      <w:r>
        <w:rPr>
          <w:spacing w:val="-4"/>
        </w:rPr>
        <w:t> </w:t>
      </w:r>
      <w:r>
        <w:rPr/>
        <w:t>VALUE,</w:t>
      </w:r>
      <w:r>
        <w:rPr>
          <w:spacing w:val="-3"/>
        </w:rPr>
        <w:t> </w:t>
      </w:r>
      <w:r>
        <w:rPr/>
        <w:t>AND</w:t>
      </w:r>
      <w:r>
        <w:rPr>
          <w:spacing w:val="-3"/>
        </w:rPr>
        <w:t> </w:t>
      </w:r>
      <w:r>
        <w:rPr>
          <w:spacing w:val="-2"/>
        </w:rPr>
        <w:t>MEMBERSHIP</w:t>
      </w:r>
    </w:p>
    <w:p>
      <w:pPr>
        <w:pStyle w:val="BodyText"/>
        <w:spacing w:before="129"/>
        <w:ind w:left="720"/>
      </w:pPr>
      <w:r>
        <w:rPr/>
        <w:t>The</w:t>
      </w:r>
      <w:r>
        <w:rPr>
          <w:spacing w:val="-6"/>
        </w:rPr>
        <w:t> </w:t>
      </w:r>
      <w:r>
        <w:rPr/>
        <w:t>following</w:t>
      </w:r>
      <w:r>
        <w:rPr>
          <w:spacing w:val="-2"/>
        </w:rPr>
        <w:t> </w:t>
      </w:r>
      <w:r>
        <w:rPr/>
        <w:t>table</w:t>
      </w:r>
      <w:r>
        <w:rPr>
          <w:spacing w:val="-4"/>
        </w:rPr>
        <w:t> </w:t>
      </w:r>
      <w:r>
        <w:rPr/>
        <w:t>provides</w:t>
      </w:r>
      <w:r>
        <w:rPr>
          <w:spacing w:val="-3"/>
        </w:rPr>
        <w:t> </w:t>
      </w:r>
      <w:r>
        <w:rPr/>
        <w:t>a</w:t>
      </w:r>
      <w:r>
        <w:rPr>
          <w:spacing w:val="-4"/>
        </w:rPr>
        <w:t> </w:t>
      </w:r>
      <w:r>
        <w:rPr/>
        <w:t>summary</w:t>
      </w:r>
      <w:r>
        <w:rPr>
          <w:spacing w:val="-2"/>
        </w:rPr>
        <w:t> </w:t>
      </w:r>
      <w:r>
        <w:rPr/>
        <w:t>of</w:t>
      </w:r>
      <w:r>
        <w:rPr>
          <w:spacing w:val="-2"/>
        </w:rPr>
        <w:t> </w:t>
      </w:r>
      <w:r>
        <w:rPr/>
        <w:t>the</w:t>
      </w:r>
      <w:r>
        <w:rPr>
          <w:spacing w:val="-4"/>
        </w:rPr>
        <w:t> </w:t>
      </w:r>
      <w:r>
        <w:rPr/>
        <w:t>changes</w:t>
      </w:r>
      <w:r>
        <w:rPr>
          <w:spacing w:val="-3"/>
        </w:rPr>
        <w:t> </w:t>
      </w:r>
      <w:r>
        <w:rPr/>
        <w:t>in</w:t>
      </w:r>
      <w:r>
        <w:rPr>
          <w:spacing w:val="-3"/>
        </w:rPr>
        <w:t> </w:t>
      </w:r>
      <w:r>
        <w:rPr/>
        <w:t>IBRD's</w:t>
      </w:r>
      <w:r>
        <w:rPr>
          <w:spacing w:val="-3"/>
        </w:rPr>
        <w:t> </w:t>
      </w:r>
      <w:r>
        <w:rPr/>
        <w:t>authorized</w:t>
      </w:r>
      <w:r>
        <w:rPr>
          <w:spacing w:val="-3"/>
        </w:rPr>
        <w:t> </w:t>
      </w:r>
      <w:r>
        <w:rPr/>
        <w:t>and</w:t>
      </w:r>
      <w:r>
        <w:rPr>
          <w:spacing w:val="-2"/>
        </w:rPr>
        <w:t> </w:t>
      </w:r>
      <w:r>
        <w:rPr/>
        <w:t>subscribed</w:t>
      </w:r>
      <w:r>
        <w:rPr>
          <w:spacing w:val="-2"/>
        </w:rPr>
        <w:t> shares:</w:t>
      </w:r>
    </w:p>
    <w:p>
      <w:pPr>
        <w:pStyle w:val="Heading8"/>
        <w:spacing w:before="127"/>
      </w:pPr>
      <w:r>
        <w:rPr/>
        <w:t>Table</w:t>
      </w:r>
      <w:r>
        <w:rPr>
          <w:spacing w:val="-4"/>
        </w:rPr>
        <w:t> </w:t>
      </w:r>
      <w:r>
        <w:rPr/>
        <w:t>B1:</w:t>
      </w:r>
      <w:r>
        <w:rPr>
          <w:spacing w:val="-3"/>
        </w:rPr>
        <w:t> </w:t>
      </w:r>
      <w:r>
        <w:rPr/>
        <w:t>IBRD’s</w:t>
      </w:r>
      <w:r>
        <w:rPr>
          <w:spacing w:val="-3"/>
        </w:rPr>
        <w:t> </w:t>
      </w:r>
      <w:r>
        <w:rPr>
          <w:spacing w:val="-2"/>
        </w:rPr>
        <w:t>shares</w:t>
      </w:r>
    </w:p>
    <w:p>
      <w:pPr>
        <w:pStyle w:val="BodyText"/>
        <w:spacing w:before="3"/>
        <w:rPr>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5"/>
        <w:gridCol w:w="1800"/>
        <w:gridCol w:w="195"/>
        <w:gridCol w:w="1800"/>
      </w:tblGrid>
      <w:tr>
        <w:trPr>
          <w:trHeight w:val="220" w:hRule="atLeast"/>
        </w:trPr>
        <w:tc>
          <w:tcPr>
            <w:tcW w:w="5565" w:type="dxa"/>
            <w:tcBorders>
              <w:top w:val="single" w:sz="8" w:space="0" w:color="000000"/>
            </w:tcBorders>
          </w:tcPr>
          <w:p>
            <w:pPr>
              <w:pStyle w:val="TableParagraph"/>
              <w:rPr>
                <w:rFonts w:ascii="Times New Roman"/>
                <w:sz w:val="14"/>
              </w:rPr>
            </w:pPr>
          </w:p>
        </w:tc>
        <w:tc>
          <w:tcPr>
            <w:tcW w:w="1800" w:type="dxa"/>
            <w:tcBorders>
              <w:top w:val="single" w:sz="8" w:space="0" w:color="000000"/>
              <w:bottom w:val="single" w:sz="8" w:space="0" w:color="000000"/>
            </w:tcBorders>
          </w:tcPr>
          <w:p>
            <w:pPr>
              <w:pStyle w:val="TableParagraph"/>
              <w:spacing w:line="183" w:lineRule="exact" w:before="16"/>
              <w:ind w:left="256"/>
              <w:rPr>
                <w:rFonts w:ascii="Arial"/>
                <w:i/>
                <w:sz w:val="16"/>
              </w:rPr>
            </w:pPr>
            <w:r>
              <w:rPr>
                <w:rFonts w:ascii="Arial"/>
                <w:i/>
                <w:sz w:val="16"/>
              </w:rPr>
              <w:t>Authorized</w:t>
            </w:r>
            <w:r>
              <w:rPr>
                <w:rFonts w:ascii="Arial"/>
                <w:i/>
                <w:spacing w:val="-6"/>
                <w:sz w:val="16"/>
              </w:rPr>
              <w:t> </w:t>
            </w:r>
            <w:r>
              <w:rPr>
                <w:rFonts w:ascii="Arial"/>
                <w:i/>
                <w:spacing w:val="-2"/>
                <w:sz w:val="16"/>
              </w:rPr>
              <w:t>shares</w:t>
            </w:r>
          </w:p>
        </w:tc>
        <w:tc>
          <w:tcPr>
            <w:tcW w:w="195" w:type="dxa"/>
            <w:tcBorders>
              <w:top w:val="single" w:sz="8" w:space="0" w:color="000000"/>
            </w:tcBorders>
          </w:tcPr>
          <w:p>
            <w:pPr>
              <w:pStyle w:val="TableParagraph"/>
              <w:rPr>
                <w:rFonts w:ascii="Times New Roman"/>
                <w:sz w:val="14"/>
              </w:rPr>
            </w:pPr>
          </w:p>
        </w:tc>
        <w:tc>
          <w:tcPr>
            <w:tcW w:w="1800" w:type="dxa"/>
            <w:tcBorders>
              <w:top w:val="single" w:sz="8" w:space="0" w:color="000000"/>
              <w:bottom w:val="single" w:sz="8" w:space="0" w:color="000000"/>
            </w:tcBorders>
          </w:tcPr>
          <w:p>
            <w:pPr>
              <w:pStyle w:val="TableParagraph"/>
              <w:spacing w:line="183" w:lineRule="exact" w:before="16"/>
              <w:ind w:left="238"/>
              <w:rPr>
                <w:rFonts w:ascii="Arial"/>
                <w:i/>
                <w:sz w:val="16"/>
              </w:rPr>
            </w:pPr>
            <w:r>
              <w:rPr>
                <w:rFonts w:ascii="Arial"/>
                <w:i/>
                <w:sz w:val="16"/>
              </w:rPr>
              <w:t>Subscribed</w:t>
            </w:r>
            <w:r>
              <w:rPr>
                <w:rFonts w:ascii="Arial"/>
                <w:i/>
                <w:spacing w:val="-6"/>
                <w:sz w:val="16"/>
              </w:rPr>
              <w:t> </w:t>
            </w:r>
            <w:r>
              <w:rPr>
                <w:rFonts w:ascii="Arial"/>
                <w:i/>
                <w:spacing w:val="-2"/>
                <w:sz w:val="16"/>
              </w:rPr>
              <w:t>shares</w:t>
            </w:r>
          </w:p>
        </w:tc>
      </w:tr>
      <w:tr>
        <w:trPr>
          <w:trHeight w:val="230" w:hRule="atLeast"/>
        </w:trPr>
        <w:tc>
          <w:tcPr>
            <w:tcW w:w="5565" w:type="dxa"/>
          </w:tcPr>
          <w:p>
            <w:pPr>
              <w:pStyle w:val="TableParagraph"/>
              <w:spacing w:before="16"/>
              <w:ind w:left="52"/>
              <w:rPr>
                <w:sz w:val="16"/>
              </w:rPr>
            </w:pPr>
            <w:r>
              <w:rPr>
                <w:sz w:val="16"/>
              </w:rPr>
              <w:t>As</w:t>
            </w:r>
            <w:r>
              <w:rPr>
                <w:spacing w:val="-2"/>
                <w:sz w:val="16"/>
              </w:rPr>
              <w:t> </w:t>
            </w:r>
            <w:r>
              <w:rPr>
                <w:sz w:val="16"/>
              </w:rPr>
              <w:t>of</w:t>
            </w:r>
            <w:r>
              <w:rPr>
                <w:spacing w:val="-2"/>
                <w:sz w:val="16"/>
              </w:rPr>
              <w:t> </w:t>
            </w:r>
            <w:r>
              <w:rPr>
                <w:sz w:val="16"/>
              </w:rPr>
              <w:t>June</w:t>
            </w:r>
            <w:r>
              <w:rPr>
                <w:spacing w:val="-2"/>
                <w:sz w:val="16"/>
              </w:rPr>
              <w:t> </w:t>
            </w:r>
            <w:r>
              <w:rPr>
                <w:sz w:val="16"/>
              </w:rPr>
              <w:t>30,</w:t>
            </w:r>
            <w:r>
              <w:rPr>
                <w:spacing w:val="-1"/>
                <w:sz w:val="16"/>
              </w:rPr>
              <w:t> </w:t>
            </w:r>
            <w:r>
              <w:rPr>
                <w:spacing w:val="-4"/>
                <w:sz w:val="16"/>
              </w:rPr>
              <w:t>2021</w:t>
            </w:r>
          </w:p>
        </w:tc>
        <w:tc>
          <w:tcPr>
            <w:tcW w:w="1800" w:type="dxa"/>
            <w:tcBorders>
              <w:top w:val="single" w:sz="8" w:space="0" w:color="000000"/>
            </w:tcBorders>
          </w:tcPr>
          <w:p>
            <w:pPr>
              <w:pStyle w:val="TableParagraph"/>
              <w:spacing w:before="16"/>
              <w:ind w:right="65"/>
              <w:jc w:val="right"/>
              <w:rPr>
                <w:sz w:val="16"/>
              </w:rPr>
            </w:pPr>
            <w:r>
              <w:rPr>
                <w:spacing w:val="-2"/>
                <w:sz w:val="16"/>
              </w:rPr>
              <w:t>2,783,873</w:t>
            </w:r>
          </w:p>
        </w:tc>
        <w:tc>
          <w:tcPr>
            <w:tcW w:w="195" w:type="dxa"/>
          </w:tcPr>
          <w:p>
            <w:pPr>
              <w:pStyle w:val="TableParagraph"/>
              <w:rPr>
                <w:rFonts w:ascii="Times New Roman"/>
                <w:sz w:val="16"/>
              </w:rPr>
            </w:pPr>
          </w:p>
        </w:tc>
        <w:tc>
          <w:tcPr>
            <w:tcW w:w="1800" w:type="dxa"/>
            <w:tcBorders>
              <w:top w:val="single" w:sz="8" w:space="0" w:color="000000"/>
            </w:tcBorders>
          </w:tcPr>
          <w:p>
            <w:pPr>
              <w:pStyle w:val="TableParagraph"/>
              <w:spacing w:before="16"/>
              <w:ind w:right="65"/>
              <w:jc w:val="right"/>
              <w:rPr>
                <w:sz w:val="16"/>
              </w:rPr>
            </w:pPr>
            <w:r>
              <w:rPr>
                <w:spacing w:val="-2"/>
                <w:sz w:val="16"/>
              </w:rPr>
              <w:t>2,469,065</w:t>
            </w:r>
          </w:p>
        </w:tc>
      </w:tr>
      <w:tr>
        <w:trPr>
          <w:trHeight w:val="229" w:hRule="atLeast"/>
        </w:trPr>
        <w:tc>
          <w:tcPr>
            <w:tcW w:w="5565" w:type="dxa"/>
          </w:tcPr>
          <w:p>
            <w:pPr>
              <w:pStyle w:val="TableParagraph"/>
              <w:spacing w:line="184" w:lineRule="exact" w:before="25"/>
              <w:ind w:left="232"/>
              <w:rPr>
                <w:sz w:val="16"/>
              </w:rPr>
            </w:pPr>
            <w:r>
              <w:rPr>
                <w:sz w:val="16"/>
              </w:rPr>
              <w:t>General</w:t>
            </w:r>
            <w:r>
              <w:rPr>
                <w:spacing w:val="-6"/>
                <w:sz w:val="16"/>
              </w:rPr>
              <w:t> </w:t>
            </w:r>
            <w:r>
              <w:rPr>
                <w:sz w:val="16"/>
              </w:rPr>
              <w:t>Capital</w:t>
            </w:r>
            <w:r>
              <w:rPr>
                <w:spacing w:val="-5"/>
                <w:sz w:val="16"/>
              </w:rPr>
              <w:t> </w:t>
            </w:r>
            <w:r>
              <w:rPr>
                <w:sz w:val="16"/>
              </w:rPr>
              <w:t>Increase/Selective</w:t>
            </w:r>
            <w:r>
              <w:rPr>
                <w:spacing w:val="-6"/>
                <w:sz w:val="16"/>
              </w:rPr>
              <w:t> </w:t>
            </w:r>
            <w:r>
              <w:rPr>
                <w:sz w:val="16"/>
              </w:rPr>
              <w:t>Capital</w:t>
            </w:r>
            <w:r>
              <w:rPr>
                <w:spacing w:val="-5"/>
                <w:sz w:val="16"/>
              </w:rPr>
              <w:t> </w:t>
            </w:r>
            <w:r>
              <w:rPr>
                <w:sz w:val="16"/>
              </w:rPr>
              <w:t>Increase</w:t>
            </w:r>
            <w:r>
              <w:rPr>
                <w:spacing w:val="-5"/>
                <w:sz w:val="16"/>
              </w:rPr>
              <w:t> </w:t>
            </w:r>
            <w:r>
              <w:rPr>
                <w:spacing w:val="-2"/>
                <w:sz w:val="16"/>
              </w:rPr>
              <w:t>(GCI/SCI)</w:t>
            </w:r>
          </w:p>
        </w:tc>
        <w:tc>
          <w:tcPr>
            <w:tcW w:w="1800" w:type="dxa"/>
            <w:tcBorders>
              <w:bottom w:val="single" w:sz="8" w:space="0" w:color="000000"/>
            </w:tcBorders>
          </w:tcPr>
          <w:p>
            <w:pPr>
              <w:pStyle w:val="TableParagraph"/>
              <w:spacing w:line="184" w:lineRule="exact" w:before="25"/>
              <w:ind w:right="66"/>
              <w:jc w:val="right"/>
              <w:rPr>
                <w:sz w:val="16"/>
              </w:rPr>
            </w:pPr>
            <w:r>
              <w:rPr>
                <w:sz w:val="16"/>
              </w:rPr>
              <w:t>—</w:t>
            </w:r>
          </w:p>
        </w:tc>
        <w:tc>
          <w:tcPr>
            <w:tcW w:w="195" w:type="dxa"/>
          </w:tcPr>
          <w:p>
            <w:pPr>
              <w:pStyle w:val="TableParagraph"/>
              <w:rPr>
                <w:rFonts w:ascii="Times New Roman"/>
                <w:sz w:val="16"/>
              </w:rPr>
            </w:pPr>
          </w:p>
        </w:tc>
        <w:tc>
          <w:tcPr>
            <w:tcW w:w="1800" w:type="dxa"/>
            <w:tcBorders>
              <w:bottom w:val="single" w:sz="8" w:space="0" w:color="000000"/>
            </w:tcBorders>
          </w:tcPr>
          <w:p>
            <w:pPr>
              <w:pStyle w:val="TableParagraph"/>
              <w:spacing w:line="184" w:lineRule="exact" w:before="25"/>
              <w:ind w:right="66"/>
              <w:jc w:val="right"/>
              <w:rPr>
                <w:sz w:val="16"/>
              </w:rPr>
            </w:pPr>
            <w:r>
              <w:rPr>
                <w:spacing w:val="-2"/>
                <w:sz w:val="16"/>
              </w:rPr>
              <w:t>76,919</w:t>
            </w:r>
          </w:p>
        </w:tc>
      </w:tr>
      <w:tr>
        <w:trPr>
          <w:trHeight w:val="230" w:hRule="atLeast"/>
        </w:trPr>
        <w:tc>
          <w:tcPr>
            <w:tcW w:w="5565" w:type="dxa"/>
          </w:tcPr>
          <w:p>
            <w:pPr>
              <w:pStyle w:val="TableParagraph"/>
              <w:spacing w:before="16"/>
              <w:ind w:left="52"/>
              <w:rPr>
                <w:sz w:val="16"/>
              </w:rPr>
            </w:pPr>
            <w:r>
              <w:rPr>
                <w:sz w:val="16"/>
              </w:rPr>
              <w:t>As</w:t>
            </w:r>
            <w:r>
              <w:rPr>
                <w:spacing w:val="-2"/>
                <w:sz w:val="16"/>
              </w:rPr>
              <w:t> </w:t>
            </w:r>
            <w:r>
              <w:rPr>
                <w:sz w:val="16"/>
              </w:rPr>
              <w:t>of</w:t>
            </w:r>
            <w:r>
              <w:rPr>
                <w:spacing w:val="-2"/>
                <w:sz w:val="16"/>
              </w:rPr>
              <w:t> </w:t>
            </w:r>
            <w:r>
              <w:rPr>
                <w:sz w:val="16"/>
              </w:rPr>
              <w:t>June</w:t>
            </w:r>
            <w:r>
              <w:rPr>
                <w:spacing w:val="-2"/>
                <w:sz w:val="16"/>
              </w:rPr>
              <w:t> </w:t>
            </w:r>
            <w:r>
              <w:rPr>
                <w:sz w:val="16"/>
              </w:rPr>
              <w:t>30,</w:t>
            </w:r>
            <w:r>
              <w:rPr>
                <w:spacing w:val="-1"/>
                <w:sz w:val="16"/>
              </w:rPr>
              <w:t> </w:t>
            </w:r>
            <w:r>
              <w:rPr>
                <w:spacing w:val="-4"/>
                <w:sz w:val="16"/>
              </w:rPr>
              <w:t>2022</w:t>
            </w:r>
          </w:p>
        </w:tc>
        <w:tc>
          <w:tcPr>
            <w:tcW w:w="1800" w:type="dxa"/>
            <w:tcBorders>
              <w:top w:val="single" w:sz="8" w:space="0" w:color="000000"/>
            </w:tcBorders>
          </w:tcPr>
          <w:p>
            <w:pPr>
              <w:pStyle w:val="TableParagraph"/>
              <w:spacing w:before="16"/>
              <w:ind w:right="65"/>
              <w:jc w:val="right"/>
              <w:rPr>
                <w:sz w:val="16"/>
              </w:rPr>
            </w:pPr>
            <w:r>
              <w:rPr>
                <w:spacing w:val="-2"/>
                <w:sz w:val="16"/>
              </w:rPr>
              <w:t>2,783,873</w:t>
            </w:r>
          </w:p>
        </w:tc>
        <w:tc>
          <w:tcPr>
            <w:tcW w:w="195" w:type="dxa"/>
          </w:tcPr>
          <w:p>
            <w:pPr>
              <w:pStyle w:val="TableParagraph"/>
              <w:rPr>
                <w:rFonts w:ascii="Times New Roman"/>
                <w:sz w:val="16"/>
              </w:rPr>
            </w:pPr>
          </w:p>
        </w:tc>
        <w:tc>
          <w:tcPr>
            <w:tcW w:w="1800" w:type="dxa"/>
            <w:tcBorders>
              <w:top w:val="single" w:sz="8" w:space="0" w:color="000000"/>
            </w:tcBorders>
          </w:tcPr>
          <w:p>
            <w:pPr>
              <w:pStyle w:val="TableParagraph"/>
              <w:spacing w:before="16"/>
              <w:ind w:right="65"/>
              <w:jc w:val="right"/>
              <w:rPr>
                <w:sz w:val="16"/>
              </w:rPr>
            </w:pPr>
            <w:r>
              <w:rPr>
                <w:spacing w:val="-2"/>
                <w:sz w:val="16"/>
              </w:rPr>
              <w:t>2,545,984</w:t>
            </w:r>
          </w:p>
        </w:tc>
      </w:tr>
      <w:tr>
        <w:trPr>
          <w:trHeight w:val="229" w:hRule="atLeast"/>
        </w:trPr>
        <w:tc>
          <w:tcPr>
            <w:tcW w:w="5565" w:type="dxa"/>
          </w:tcPr>
          <w:p>
            <w:pPr>
              <w:pStyle w:val="TableParagraph"/>
              <w:spacing w:line="184" w:lineRule="exact" w:before="25"/>
              <w:ind w:left="232"/>
              <w:rPr>
                <w:sz w:val="16"/>
              </w:rPr>
            </w:pPr>
            <w:r>
              <w:rPr>
                <w:spacing w:val="-2"/>
                <w:sz w:val="16"/>
              </w:rPr>
              <w:t>GCI/SCI</w:t>
            </w:r>
          </w:p>
        </w:tc>
        <w:tc>
          <w:tcPr>
            <w:tcW w:w="1800" w:type="dxa"/>
            <w:tcBorders>
              <w:bottom w:val="single" w:sz="8" w:space="0" w:color="000000"/>
            </w:tcBorders>
          </w:tcPr>
          <w:p>
            <w:pPr>
              <w:pStyle w:val="TableParagraph"/>
              <w:spacing w:line="184" w:lineRule="exact" w:before="25"/>
              <w:ind w:right="66"/>
              <w:jc w:val="right"/>
              <w:rPr>
                <w:sz w:val="16"/>
              </w:rPr>
            </w:pPr>
            <w:r>
              <w:rPr>
                <w:sz w:val="16"/>
              </w:rPr>
              <w:t>—</w:t>
            </w:r>
          </w:p>
        </w:tc>
        <w:tc>
          <w:tcPr>
            <w:tcW w:w="195" w:type="dxa"/>
          </w:tcPr>
          <w:p>
            <w:pPr>
              <w:pStyle w:val="TableParagraph"/>
              <w:rPr>
                <w:rFonts w:ascii="Times New Roman"/>
                <w:sz w:val="16"/>
              </w:rPr>
            </w:pPr>
          </w:p>
        </w:tc>
        <w:tc>
          <w:tcPr>
            <w:tcW w:w="1800" w:type="dxa"/>
            <w:tcBorders>
              <w:bottom w:val="single" w:sz="8" w:space="0" w:color="000000"/>
            </w:tcBorders>
          </w:tcPr>
          <w:p>
            <w:pPr>
              <w:pStyle w:val="TableParagraph"/>
              <w:spacing w:line="184" w:lineRule="exact" w:before="25"/>
              <w:ind w:right="66"/>
              <w:jc w:val="right"/>
              <w:rPr>
                <w:sz w:val="16"/>
              </w:rPr>
            </w:pPr>
            <w:r>
              <w:rPr>
                <w:spacing w:val="-2"/>
                <w:sz w:val="16"/>
              </w:rPr>
              <w:t>88,744</w:t>
            </w:r>
          </w:p>
        </w:tc>
      </w:tr>
      <w:tr>
        <w:trPr>
          <w:trHeight w:val="240" w:hRule="atLeast"/>
        </w:trPr>
        <w:tc>
          <w:tcPr>
            <w:tcW w:w="5565" w:type="dxa"/>
          </w:tcPr>
          <w:p>
            <w:pPr>
              <w:pStyle w:val="TableParagraph"/>
              <w:spacing w:before="16"/>
              <w:ind w:left="52"/>
              <w:rPr>
                <w:rFonts w:ascii="Arial"/>
                <w:b/>
                <w:sz w:val="16"/>
              </w:rPr>
            </w:pPr>
            <w:r>
              <w:rPr>
                <w:rFonts w:ascii="Arial"/>
                <w:b/>
                <w:sz w:val="16"/>
              </w:rPr>
              <w:t>As</w:t>
            </w:r>
            <w:r>
              <w:rPr>
                <w:rFonts w:ascii="Arial"/>
                <w:b/>
                <w:spacing w:val="-3"/>
                <w:sz w:val="16"/>
              </w:rPr>
              <w:t> </w:t>
            </w:r>
            <w:r>
              <w:rPr>
                <w:rFonts w:ascii="Arial"/>
                <w:b/>
                <w:sz w:val="16"/>
              </w:rPr>
              <w:t>of</w:t>
            </w:r>
            <w:r>
              <w:rPr>
                <w:rFonts w:ascii="Arial"/>
                <w:b/>
                <w:spacing w:val="-3"/>
                <w:sz w:val="16"/>
              </w:rPr>
              <w:t> </w:t>
            </w:r>
            <w:r>
              <w:rPr>
                <w:rFonts w:ascii="Arial"/>
                <w:b/>
                <w:sz w:val="16"/>
              </w:rPr>
              <w:t>June</w:t>
            </w:r>
            <w:r>
              <w:rPr>
                <w:rFonts w:ascii="Arial"/>
                <w:b/>
                <w:spacing w:val="-3"/>
                <w:sz w:val="16"/>
              </w:rPr>
              <w:t> </w:t>
            </w:r>
            <w:r>
              <w:rPr>
                <w:rFonts w:ascii="Arial"/>
                <w:b/>
                <w:sz w:val="16"/>
              </w:rPr>
              <w:t>30,</w:t>
            </w:r>
            <w:r>
              <w:rPr>
                <w:rFonts w:ascii="Arial"/>
                <w:b/>
                <w:spacing w:val="-1"/>
                <w:sz w:val="16"/>
              </w:rPr>
              <w:t> </w:t>
            </w:r>
            <w:r>
              <w:rPr>
                <w:rFonts w:ascii="Arial"/>
                <w:b/>
                <w:spacing w:val="-4"/>
                <w:sz w:val="16"/>
              </w:rPr>
              <w:t>2023</w:t>
            </w:r>
          </w:p>
        </w:tc>
        <w:tc>
          <w:tcPr>
            <w:tcW w:w="1800" w:type="dxa"/>
            <w:tcBorders>
              <w:top w:val="single" w:sz="8" w:space="0" w:color="000000"/>
              <w:bottom w:val="single" w:sz="8" w:space="0" w:color="000000"/>
            </w:tcBorders>
          </w:tcPr>
          <w:p>
            <w:pPr>
              <w:pStyle w:val="TableParagraph"/>
              <w:tabs>
                <w:tab w:pos="1021" w:val="left" w:leader="none"/>
              </w:tabs>
              <w:spacing w:before="16"/>
              <w:ind w:right="65"/>
              <w:jc w:val="right"/>
              <w:rPr>
                <w:rFonts w:ascii="Arial"/>
                <w:b/>
                <w:sz w:val="16"/>
              </w:rPr>
            </w:pPr>
            <w:r>
              <w:rPr>
                <w:rFonts w:ascii="Times New Roman"/>
                <w:sz w:val="16"/>
                <w:u w:val="single"/>
              </w:rPr>
              <w:tab/>
            </w:r>
            <w:r>
              <w:rPr>
                <w:rFonts w:ascii="Arial"/>
                <w:b/>
                <w:spacing w:val="-2"/>
                <w:sz w:val="16"/>
                <w:u w:val="single"/>
              </w:rPr>
              <w:t>2,783,873</w:t>
            </w:r>
          </w:p>
        </w:tc>
        <w:tc>
          <w:tcPr>
            <w:tcW w:w="195" w:type="dxa"/>
          </w:tcPr>
          <w:p>
            <w:pPr>
              <w:pStyle w:val="TableParagraph"/>
              <w:rPr>
                <w:rFonts w:ascii="Times New Roman"/>
                <w:sz w:val="16"/>
              </w:rPr>
            </w:pPr>
          </w:p>
        </w:tc>
        <w:tc>
          <w:tcPr>
            <w:tcW w:w="1800" w:type="dxa"/>
            <w:tcBorders>
              <w:top w:val="single" w:sz="8" w:space="0" w:color="000000"/>
              <w:bottom w:val="single" w:sz="8" w:space="0" w:color="000000"/>
            </w:tcBorders>
          </w:tcPr>
          <w:p>
            <w:pPr>
              <w:pStyle w:val="TableParagraph"/>
              <w:tabs>
                <w:tab w:pos="1021" w:val="left" w:leader="none"/>
              </w:tabs>
              <w:spacing w:before="16"/>
              <w:ind w:right="65"/>
              <w:jc w:val="right"/>
              <w:rPr>
                <w:rFonts w:ascii="Arial"/>
                <w:b/>
                <w:sz w:val="16"/>
              </w:rPr>
            </w:pPr>
            <w:r>
              <w:rPr>
                <w:rFonts w:ascii="Times New Roman"/>
                <w:sz w:val="16"/>
                <w:u w:val="single"/>
              </w:rPr>
              <w:tab/>
            </w:r>
            <w:r>
              <w:rPr>
                <w:rFonts w:ascii="Arial"/>
                <w:b/>
                <w:spacing w:val="-2"/>
                <w:sz w:val="16"/>
                <w:u w:val="single"/>
              </w:rPr>
              <w:t>2,634,728</w:t>
            </w:r>
          </w:p>
        </w:tc>
      </w:tr>
      <w:tr>
        <w:trPr>
          <w:trHeight w:val="200" w:hRule="atLeast"/>
        </w:trPr>
        <w:tc>
          <w:tcPr>
            <w:tcW w:w="5565" w:type="dxa"/>
            <w:tcBorders>
              <w:bottom w:val="single" w:sz="8" w:space="0" w:color="000000"/>
            </w:tcBorders>
          </w:tcPr>
          <w:p>
            <w:pPr>
              <w:pStyle w:val="TableParagraph"/>
              <w:rPr>
                <w:rFonts w:ascii="Times New Roman"/>
                <w:sz w:val="12"/>
              </w:rPr>
            </w:pPr>
          </w:p>
        </w:tc>
        <w:tc>
          <w:tcPr>
            <w:tcW w:w="1800" w:type="dxa"/>
            <w:tcBorders>
              <w:top w:val="single" w:sz="8" w:space="0" w:color="000000"/>
              <w:bottom w:val="single" w:sz="8" w:space="0" w:color="000000"/>
            </w:tcBorders>
          </w:tcPr>
          <w:p>
            <w:pPr>
              <w:pStyle w:val="TableParagraph"/>
              <w:rPr>
                <w:rFonts w:ascii="Times New Roman"/>
                <w:sz w:val="12"/>
              </w:rPr>
            </w:pPr>
          </w:p>
        </w:tc>
        <w:tc>
          <w:tcPr>
            <w:tcW w:w="195" w:type="dxa"/>
            <w:tcBorders>
              <w:bottom w:val="single" w:sz="8" w:space="0" w:color="000000"/>
            </w:tcBorders>
          </w:tcPr>
          <w:p>
            <w:pPr>
              <w:pStyle w:val="TableParagraph"/>
              <w:rPr>
                <w:rFonts w:ascii="Times New Roman"/>
                <w:sz w:val="12"/>
              </w:rPr>
            </w:pPr>
          </w:p>
        </w:tc>
        <w:tc>
          <w:tcPr>
            <w:tcW w:w="1800" w:type="dxa"/>
            <w:tcBorders>
              <w:top w:val="single" w:sz="8" w:space="0" w:color="000000"/>
              <w:bottom w:val="single" w:sz="8" w:space="0" w:color="000000"/>
            </w:tcBorders>
          </w:tcPr>
          <w:p>
            <w:pPr>
              <w:pStyle w:val="TableParagraph"/>
              <w:rPr>
                <w:rFonts w:ascii="Times New Roman"/>
                <w:sz w:val="12"/>
              </w:rPr>
            </w:pPr>
          </w:p>
        </w:tc>
      </w:tr>
    </w:tbl>
    <w:p>
      <w:pPr>
        <w:pStyle w:val="BodyText"/>
        <w:spacing w:line="249" w:lineRule="auto" w:before="154"/>
        <w:ind w:left="720" w:right="718"/>
        <w:jc w:val="both"/>
      </w:pPr>
      <w:r>
        <w:rPr/>
        <w:t>The following table provides a summary of the changes in subscribed capital, uncalled portion of subscriptions, and paid-in capital:</w:t>
      </w:r>
    </w:p>
    <w:p>
      <w:pPr>
        <w:pStyle w:val="Heading8"/>
        <w:spacing w:before="119"/>
      </w:pPr>
      <w:r>
        <w:rPr/>
        <w:t>Table</w:t>
      </w:r>
      <w:r>
        <w:rPr>
          <w:spacing w:val="-4"/>
        </w:rPr>
        <w:t> </w:t>
      </w:r>
      <w:r>
        <w:rPr/>
        <w:t>B2:</w:t>
      </w:r>
      <w:r>
        <w:rPr>
          <w:spacing w:val="-3"/>
        </w:rPr>
        <w:t> </w:t>
      </w:r>
      <w:r>
        <w:rPr/>
        <w:t>IBRD’s</w:t>
      </w:r>
      <w:r>
        <w:rPr>
          <w:spacing w:val="-3"/>
        </w:rPr>
        <w:t> </w:t>
      </w:r>
      <w:r>
        <w:rPr>
          <w:spacing w:val="-2"/>
        </w:rPr>
        <w:t>capital</w:t>
      </w:r>
    </w:p>
    <w:p>
      <w:pPr>
        <w:spacing w:before="88" w:after="30"/>
        <w:ind w:left="720"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0"/>
        <w:gridCol w:w="239"/>
        <w:gridCol w:w="1740"/>
        <w:gridCol w:w="194"/>
        <w:gridCol w:w="276"/>
        <w:gridCol w:w="1701"/>
        <w:gridCol w:w="193"/>
        <w:gridCol w:w="313"/>
        <w:gridCol w:w="1663"/>
      </w:tblGrid>
      <w:tr>
        <w:trPr>
          <w:trHeight w:val="415" w:hRule="atLeast"/>
        </w:trPr>
        <w:tc>
          <w:tcPr>
            <w:tcW w:w="3239" w:type="dxa"/>
            <w:gridSpan w:val="2"/>
            <w:tcBorders>
              <w:top w:val="single" w:sz="8" w:space="0" w:color="000000"/>
            </w:tcBorders>
          </w:tcPr>
          <w:p>
            <w:pPr>
              <w:pStyle w:val="TableParagraph"/>
              <w:rPr>
                <w:rFonts w:ascii="Times New Roman"/>
                <w:sz w:val="18"/>
              </w:rPr>
            </w:pPr>
          </w:p>
        </w:tc>
        <w:tc>
          <w:tcPr>
            <w:tcW w:w="1740"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98"/>
              <w:rPr>
                <w:rFonts w:ascii="Arial"/>
                <w:i/>
                <w:sz w:val="16"/>
              </w:rPr>
            </w:pPr>
            <w:r>
              <w:rPr>
                <w:rFonts w:ascii="Arial"/>
                <w:i/>
                <w:sz w:val="16"/>
              </w:rPr>
              <w:t>Subscribed</w:t>
            </w:r>
            <w:r>
              <w:rPr>
                <w:rFonts w:ascii="Arial"/>
                <w:i/>
                <w:spacing w:val="-6"/>
                <w:sz w:val="16"/>
              </w:rPr>
              <w:t> </w:t>
            </w:r>
            <w:r>
              <w:rPr>
                <w:rFonts w:ascii="Arial"/>
                <w:i/>
                <w:spacing w:val="-2"/>
                <w:sz w:val="16"/>
              </w:rPr>
              <w:t>capital</w:t>
            </w:r>
          </w:p>
        </w:tc>
        <w:tc>
          <w:tcPr>
            <w:tcW w:w="194" w:type="dxa"/>
            <w:tcBorders>
              <w:top w:val="single" w:sz="8" w:space="0" w:color="000000"/>
            </w:tcBorders>
          </w:tcPr>
          <w:p>
            <w:pPr>
              <w:pStyle w:val="TableParagraph"/>
              <w:rPr>
                <w:rFonts w:ascii="Times New Roman"/>
                <w:sz w:val="18"/>
              </w:rPr>
            </w:pPr>
          </w:p>
        </w:tc>
        <w:tc>
          <w:tcPr>
            <w:tcW w:w="276" w:type="dxa"/>
            <w:tcBorders>
              <w:top w:val="single" w:sz="8" w:space="0" w:color="000000"/>
              <w:bottom w:val="single" w:sz="8" w:space="0" w:color="000000"/>
            </w:tcBorders>
          </w:tcPr>
          <w:p>
            <w:pPr>
              <w:pStyle w:val="TableParagraph"/>
              <w:rPr>
                <w:rFonts w:ascii="Times New Roman"/>
                <w:sz w:val="18"/>
              </w:rPr>
            </w:pPr>
          </w:p>
        </w:tc>
        <w:tc>
          <w:tcPr>
            <w:tcW w:w="1701" w:type="dxa"/>
            <w:tcBorders>
              <w:top w:val="single" w:sz="8" w:space="0" w:color="000000"/>
              <w:bottom w:val="single" w:sz="8" w:space="0" w:color="000000"/>
            </w:tcBorders>
          </w:tcPr>
          <w:p>
            <w:pPr>
              <w:pStyle w:val="TableParagraph"/>
              <w:spacing w:line="190" w:lineRule="atLeast" w:before="13"/>
              <w:ind w:left="161" w:right="397" w:hanging="22"/>
              <w:rPr>
                <w:rFonts w:ascii="Arial"/>
                <w:i/>
                <w:sz w:val="16"/>
              </w:rPr>
            </w:pPr>
            <w:r>
              <w:rPr>
                <w:rFonts w:ascii="Arial"/>
                <w:i/>
                <w:sz w:val="16"/>
              </w:rPr>
              <w:t>Uncalled</w:t>
            </w:r>
            <w:r>
              <w:rPr>
                <w:rFonts w:ascii="Arial"/>
                <w:i/>
                <w:spacing w:val="-12"/>
                <w:sz w:val="16"/>
              </w:rPr>
              <w:t> </w:t>
            </w:r>
            <w:r>
              <w:rPr>
                <w:rFonts w:ascii="Arial"/>
                <w:i/>
                <w:sz w:val="16"/>
              </w:rPr>
              <w:t>portion of</w:t>
            </w:r>
            <w:r>
              <w:rPr>
                <w:rFonts w:ascii="Arial"/>
                <w:i/>
                <w:spacing w:val="-1"/>
                <w:sz w:val="16"/>
              </w:rPr>
              <w:t> </w:t>
            </w:r>
            <w:r>
              <w:rPr>
                <w:rFonts w:ascii="Arial"/>
                <w:i/>
                <w:spacing w:val="-2"/>
                <w:sz w:val="16"/>
              </w:rPr>
              <w:t>subscriptions</w:t>
            </w:r>
          </w:p>
        </w:tc>
        <w:tc>
          <w:tcPr>
            <w:tcW w:w="193" w:type="dxa"/>
            <w:tcBorders>
              <w:top w:val="single" w:sz="8" w:space="0" w:color="000000"/>
            </w:tcBorders>
          </w:tcPr>
          <w:p>
            <w:pPr>
              <w:pStyle w:val="TableParagraph"/>
              <w:rPr>
                <w:rFonts w:ascii="Times New Roman"/>
                <w:sz w:val="18"/>
              </w:rPr>
            </w:pPr>
          </w:p>
        </w:tc>
        <w:tc>
          <w:tcPr>
            <w:tcW w:w="313" w:type="dxa"/>
            <w:tcBorders>
              <w:top w:val="single" w:sz="8" w:space="0" w:color="000000"/>
              <w:bottom w:val="single" w:sz="8" w:space="0" w:color="000000"/>
            </w:tcBorders>
          </w:tcPr>
          <w:p>
            <w:pPr>
              <w:pStyle w:val="TableParagraph"/>
              <w:rPr>
                <w:rFonts w:ascii="Times New Roman"/>
                <w:sz w:val="18"/>
              </w:rPr>
            </w:pPr>
          </w:p>
        </w:tc>
        <w:tc>
          <w:tcPr>
            <w:tcW w:w="1663"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182"/>
              <w:rPr>
                <w:rFonts w:ascii="Arial"/>
                <w:i/>
                <w:sz w:val="16"/>
              </w:rPr>
            </w:pPr>
            <w:r>
              <w:rPr>
                <w:rFonts w:ascii="Arial"/>
                <w:i/>
                <w:sz w:val="16"/>
              </w:rPr>
              <w:t>Paid-in</w:t>
            </w:r>
            <w:r>
              <w:rPr>
                <w:rFonts w:ascii="Arial"/>
                <w:i/>
                <w:spacing w:val="-5"/>
                <w:sz w:val="16"/>
              </w:rPr>
              <w:t> </w:t>
            </w:r>
            <w:r>
              <w:rPr>
                <w:rFonts w:ascii="Arial"/>
                <w:i/>
                <w:spacing w:val="-2"/>
                <w:sz w:val="16"/>
              </w:rPr>
              <w:t>capital</w:t>
            </w:r>
          </w:p>
        </w:tc>
      </w:tr>
      <w:tr>
        <w:trPr>
          <w:trHeight w:val="230" w:hRule="atLeast"/>
        </w:trPr>
        <w:tc>
          <w:tcPr>
            <w:tcW w:w="3000" w:type="dxa"/>
          </w:tcPr>
          <w:p>
            <w:pPr>
              <w:pStyle w:val="TableParagraph"/>
              <w:spacing w:before="16"/>
              <w:ind w:left="52"/>
              <w:rPr>
                <w:sz w:val="16"/>
              </w:rPr>
            </w:pPr>
            <w:r>
              <w:rPr>
                <w:sz w:val="16"/>
              </w:rPr>
              <w:t>As</w:t>
            </w:r>
            <w:r>
              <w:rPr>
                <w:spacing w:val="-2"/>
                <w:sz w:val="16"/>
              </w:rPr>
              <w:t> </w:t>
            </w:r>
            <w:r>
              <w:rPr>
                <w:sz w:val="16"/>
              </w:rPr>
              <w:t>of</w:t>
            </w:r>
            <w:r>
              <w:rPr>
                <w:spacing w:val="-2"/>
                <w:sz w:val="16"/>
              </w:rPr>
              <w:t> </w:t>
            </w:r>
            <w:r>
              <w:rPr>
                <w:sz w:val="16"/>
              </w:rPr>
              <w:t>June</w:t>
            </w:r>
            <w:r>
              <w:rPr>
                <w:spacing w:val="-2"/>
                <w:sz w:val="16"/>
              </w:rPr>
              <w:t> </w:t>
            </w:r>
            <w:r>
              <w:rPr>
                <w:sz w:val="16"/>
              </w:rPr>
              <w:t>30,</w:t>
            </w:r>
            <w:r>
              <w:rPr>
                <w:spacing w:val="-1"/>
                <w:sz w:val="16"/>
              </w:rPr>
              <w:t> </w:t>
            </w:r>
            <w:r>
              <w:rPr>
                <w:spacing w:val="-4"/>
                <w:sz w:val="16"/>
              </w:rPr>
              <w:t>2021</w:t>
            </w:r>
          </w:p>
        </w:tc>
        <w:tc>
          <w:tcPr>
            <w:tcW w:w="239" w:type="dxa"/>
            <w:tcBorders>
              <w:top w:val="single" w:sz="8" w:space="0" w:color="000000"/>
            </w:tcBorders>
          </w:tcPr>
          <w:p>
            <w:pPr>
              <w:pStyle w:val="TableParagraph"/>
              <w:spacing w:before="16"/>
              <w:ind w:left="52"/>
              <w:rPr>
                <w:sz w:val="16"/>
              </w:rPr>
            </w:pPr>
            <w:r>
              <w:rPr>
                <w:spacing w:val="-10"/>
                <w:sz w:val="16"/>
              </w:rPr>
              <w:t>$</w:t>
            </w:r>
          </w:p>
        </w:tc>
        <w:tc>
          <w:tcPr>
            <w:tcW w:w="1740" w:type="dxa"/>
            <w:tcBorders>
              <w:top w:val="single" w:sz="8" w:space="0" w:color="000000"/>
            </w:tcBorders>
          </w:tcPr>
          <w:p>
            <w:pPr>
              <w:pStyle w:val="TableParagraph"/>
              <w:spacing w:before="16"/>
              <w:ind w:right="65"/>
              <w:jc w:val="right"/>
              <w:rPr>
                <w:sz w:val="16"/>
              </w:rPr>
            </w:pPr>
            <w:r>
              <w:rPr>
                <w:spacing w:val="-2"/>
                <w:sz w:val="16"/>
              </w:rPr>
              <w:t>297,856</w:t>
            </w:r>
          </w:p>
        </w:tc>
        <w:tc>
          <w:tcPr>
            <w:tcW w:w="194" w:type="dxa"/>
          </w:tcPr>
          <w:p>
            <w:pPr>
              <w:pStyle w:val="TableParagraph"/>
              <w:rPr>
                <w:rFonts w:ascii="Times New Roman"/>
                <w:sz w:val="16"/>
              </w:rPr>
            </w:pPr>
          </w:p>
        </w:tc>
        <w:tc>
          <w:tcPr>
            <w:tcW w:w="276" w:type="dxa"/>
            <w:tcBorders>
              <w:top w:val="single" w:sz="8" w:space="0" w:color="000000"/>
            </w:tcBorders>
          </w:tcPr>
          <w:p>
            <w:pPr>
              <w:pStyle w:val="TableParagraph"/>
              <w:spacing w:before="16"/>
              <w:ind w:left="54"/>
              <w:rPr>
                <w:sz w:val="16"/>
              </w:rPr>
            </w:pPr>
            <w:r>
              <w:rPr>
                <w:spacing w:val="-10"/>
                <w:sz w:val="16"/>
              </w:rPr>
              <w:t>$</w:t>
            </w:r>
          </w:p>
        </w:tc>
        <w:tc>
          <w:tcPr>
            <w:tcW w:w="1701" w:type="dxa"/>
            <w:tcBorders>
              <w:top w:val="single" w:sz="8" w:space="0" w:color="000000"/>
            </w:tcBorders>
          </w:tcPr>
          <w:p>
            <w:pPr>
              <w:pStyle w:val="TableParagraph"/>
              <w:spacing w:before="16"/>
              <w:ind w:right="7"/>
              <w:jc w:val="right"/>
              <w:rPr>
                <w:sz w:val="16"/>
              </w:rPr>
            </w:pPr>
            <w:r>
              <w:rPr>
                <w:spacing w:val="-2"/>
                <w:sz w:val="16"/>
              </w:rPr>
              <w:t>(278,612)</w:t>
            </w:r>
          </w:p>
        </w:tc>
        <w:tc>
          <w:tcPr>
            <w:tcW w:w="193" w:type="dxa"/>
          </w:tcPr>
          <w:p>
            <w:pPr>
              <w:pStyle w:val="TableParagraph"/>
              <w:rPr>
                <w:rFonts w:ascii="Times New Roman"/>
                <w:sz w:val="16"/>
              </w:rPr>
            </w:pPr>
          </w:p>
        </w:tc>
        <w:tc>
          <w:tcPr>
            <w:tcW w:w="313" w:type="dxa"/>
            <w:tcBorders>
              <w:top w:val="single" w:sz="8" w:space="0" w:color="000000"/>
            </w:tcBorders>
          </w:tcPr>
          <w:p>
            <w:pPr>
              <w:pStyle w:val="TableParagraph"/>
              <w:spacing w:before="16"/>
              <w:ind w:left="59"/>
              <w:rPr>
                <w:sz w:val="16"/>
              </w:rPr>
            </w:pPr>
            <w:r>
              <w:rPr>
                <w:spacing w:val="-10"/>
                <w:sz w:val="16"/>
              </w:rPr>
              <w:t>$</w:t>
            </w:r>
          </w:p>
        </w:tc>
        <w:tc>
          <w:tcPr>
            <w:tcW w:w="1663" w:type="dxa"/>
            <w:tcBorders>
              <w:top w:val="single" w:sz="8" w:space="0" w:color="000000"/>
            </w:tcBorders>
          </w:tcPr>
          <w:p>
            <w:pPr>
              <w:pStyle w:val="TableParagraph"/>
              <w:spacing w:before="16"/>
              <w:ind w:right="55"/>
              <w:jc w:val="right"/>
              <w:rPr>
                <w:sz w:val="16"/>
              </w:rPr>
            </w:pPr>
            <w:r>
              <w:rPr>
                <w:spacing w:val="-2"/>
                <w:sz w:val="16"/>
              </w:rPr>
              <w:t>19,244</w:t>
            </w:r>
          </w:p>
        </w:tc>
      </w:tr>
      <w:tr>
        <w:trPr>
          <w:trHeight w:val="229" w:hRule="atLeast"/>
        </w:trPr>
        <w:tc>
          <w:tcPr>
            <w:tcW w:w="3000" w:type="dxa"/>
          </w:tcPr>
          <w:p>
            <w:pPr>
              <w:pStyle w:val="TableParagraph"/>
              <w:spacing w:line="184" w:lineRule="exact" w:before="25"/>
              <w:ind w:left="232"/>
              <w:rPr>
                <w:sz w:val="16"/>
              </w:rPr>
            </w:pPr>
            <w:r>
              <w:rPr>
                <w:spacing w:val="-2"/>
                <w:sz w:val="16"/>
              </w:rPr>
              <w:t>GCI/SCI</w:t>
            </w:r>
          </w:p>
        </w:tc>
        <w:tc>
          <w:tcPr>
            <w:tcW w:w="239" w:type="dxa"/>
            <w:tcBorders>
              <w:bottom w:val="single" w:sz="8" w:space="0" w:color="000000"/>
            </w:tcBorders>
          </w:tcPr>
          <w:p>
            <w:pPr>
              <w:pStyle w:val="TableParagraph"/>
              <w:rPr>
                <w:rFonts w:ascii="Times New Roman"/>
                <w:sz w:val="16"/>
              </w:rPr>
            </w:pPr>
          </w:p>
        </w:tc>
        <w:tc>
          <w:tcPr>
            <w:tcW w:w="1740" w:type="dxa"/>
            <w:tcBorders>
              <w:bottom w:val="single" w:sz="8" w:space="0" w:color="000000"/>
            </w:tcBorders>
          </w:tcPr>
          <w:p>
            <w:pPr>
              <w:pStyle w:val="TableParagraph"/>
              <w:spacing w:line="184" w:lineRule="exact" w:before="25"/>
              <w:ind w:right="65"/>
              <w:jc w:val="right"/>
              <w:rPr>
                <w:sz w:val="16"/>
              </w:rPr>
            </w:pPr>
            <w:r>
              <w:rPr>
                <w:spacing w:val="-2"/>
                <w:sz w:val="16"/>
              </w:rPr>
              <w:t>9,279</w:t>
            </w:r>
          </w:p>
        </w:tc>
        <w:tc>
          <w:tcPr>
            <w:tcW w:w="194" w:type="dxa"/>
          </w:tcPr>
          <w:p>
            <w:pPr>
              <w:pStyle w:val="TableParagraph"/>
              <w:rPr>
                <w:rFonts w:ascii="Times New Roman"/>
                <w:sz w:val="16"/>
              </w:rPr>
            </w:pPr>
          </w:p>
        </w:tc>
        <w:tc>
          <w:tcPr>
            <w:tcW w:w="276" w:type="dxa"/>
            <w:tcBorders>
              <w:bottom w:val="single" w:sz="8" w:space="0" w:color="000000"/>
            </w:tcBorders>
          </w:tcPr>
          <w:p>
            <w:pPr>
              <w:pStyle w:val="TableParagraph"/>
              <w:rPr>
                <w:rFonts w:ascii="Times New Roman"/>
                <w:sz w:val="16"/>
              </w:rPr>
            </w:pPr>
          </w:p>
        </w:tc>
        <w:tc>
          <w:tcPr>
            <w:tcW w:w="1701" w:type="dxa"/>
            <w:tcBorders>
              <w:bottom w:val="single" w:sz="8" w:space="0" w:color="000000"/>
            </w:tcBorders>
          </w:tcPr>
          <w:p>
            <w:pPr>
              <w:pStyle w:val="TableParagraph"/>
              <w:spacing w:line="184" w:lineRule="exact" w:before="25"/>
              <w:ind w:right="7"/>
              <w:jc w:val="right"/>
              <w:rPr>
                <w:sz w:val="16"/>
              </w:rPr>
            </w:pPr>
            <w:r>
              <w:rPr>
                <w:spacing w:val="-2"/>
                <w:sz w:val="16"/>
              </w:rPr>
              <w:t>(8,024)</w:t>
            </w:r>
          </w:p>
        </w:tc>
        <w:tc>
          <w:tcPr>
            <w:tcW w:w="193" w:type="dxa"/>
          </w:tcPr>
          <w:p>
            <w:pPr>
              <w:pStyle w:val="TableParagraph"/>
              <w:rPr>
                <w:rFonts w:ascii="Times New Roman"/>
                <w:sz w:val="16"/>
              </w:rPr>
            </w:pPr>
          </w:p>
        </w:tc>
        <w:tc>
          <w:tcPr>
            <w:tcW w:w="313" w:type="dxa"/>
            <w:tcBorders>
              <w:bottom w:val="single" w:sz="8" w:space="0" w:color="000000"/>
            </w:tcBorders>
          </w:tcPr>
          <w:p>
            <w:pPr>
              <w:pStyle w:val="TableParagraph"/>
              <w:rPr>
                <w:rFonts w:ascii="Times New Roman"/>
                <w:sz w:val="16"/>
              </w:rPr>
            </w:pPr>
          </w:p>
        </w:tc>
        <w:tc>
          <w:tcPr>
            <w:tcW w:w="1663" w:type="dxa"/>
            <w:tcBorders>
              <w:bottom w:val="single" w:sz="8" w:space="0" w:color="000000"/>
            </w:tcBorders>
          </w:tcPr>
          <w:p>
            <w:pPr>
              <w:pStyle w:val="TableParagraph"/>
              <w:spacing w:line="184" w:lineRule="exact" w:before="25"/>
              <w:ind w:right="55"/>
              <w:jc w:val="right"/>
              <w:rPr>
                <w:sz w:val="16"/>
              </w:rPr>
            </w:pPr>
            <w:r>
              <w:rPr>
                <w:spacing w:val="-2"/>
                <w:sz w:val="16"/>
              </w:rPr>
              <w:t>1,255</w:t>
            </w:r>
          </w:p>
        </w:tc>
      </w:tr>
      <w:tr>
        <w:trPr>
          <w:trHeight w:val="230" w:hRule="atLeast"/>
        </w:trPr>
        <w:tc>
          <w:tcPr>
            <w:tcW w:w="3000" w:type="dxa"/>
          </w:tcPr>
          <w:p>
            <w:pPr>
              <w:pStyle w:val="TableParagraph"/>
              <w:spacing w:before="16"/>
              <w:ind w:left="52"/>
              <w:rPr>
                <w:sz w:val="16"/>
              </w:rPr>
            </w:pPr>
            <w:r>
              <w:rPr>
                <w:sz w:val="16"/>
              </w:rPr>
              <w:t>As</w:t>
            </w:r>
            <w:r>
              <w:rPr>
                <w:spacing w:val="-2"/>
                <w:sz w:val="16"/>
              </w:rPr>
              <w:t> </w:t>
            </w:r>
            <w:r>
              <w:rPr>
                <w:sz w:val="16"/>
              </w:rPr>
              <w:t>of</w:t>
            </w:r>
            <w:r>
              <w:rPr>
                <w:spacing w:val="-2"/>
                <w:sz w:val="16"/>
              </w:rPr>
              <w:t> </w:t>
            </w:r>
            <w:r>
              <w:rPr>
                <w:sz w:val="16"/>
              </w:rPr>
              <w:t>June</w:t>
            </w:r>
            <w:r>
              <w:rPr>
                <w:spacing w:val="-2"/>
                <w:sz w:val="16"/>
              </w:rPr>
              <w:t> </w:t>
            </w:r>
            <w:r>
              <w:rPr>
                <w:sz w:val="16"/>
              </w:rPr>
              <w:t>30,</w:t>
            </w:r>
            <w:r>
              <w:rPr>
                <w:spacing w:val="-1"/>
                <w:sz w:val="16"/>
              </w:rPr>
              <w:t> </w:t>
            </w:r>
            <w:r>
              <w:rPr>
                <w:spacing w:val="-4"/>
                <w:sz w:val="16"/>
              </w:rPr>
              <w:t>2022</w:t>
            </w:r>
          </w:p>
        </w:tc>
        <w:tc>
          <w:tcPr>
            <w:tcW w:w="239" w:type="dxa"/>
            <w:tcBorders>
              <w:top w:val="single" w:sz="8" w:space="0" w:color="000000"/>
            </w:tcBorders>
          </w:tcPr>
          <w:p>
            <w:pPr>
              <w:pStyle w:val="TableParagraph"/>
              <w:rPr>
                <w:rFonts w:ascii="Times New Roman"/>
                <w:sz w:val="16"/>
              </w:rPr>
            </w:pPr>
          </w:p>
        </w:tc>
        <w:tc>
          <w:tcPr>
            <w:tcW w:w="1740" w:type="dxa"/>
            <w:tcBorders>
              <w:top w:val="single" w:sz="8" w:space="0" w:color="000000"/>
            </w:tcBorders>
          </w:tcPr>
          <w:p>
            <w:pPr>
              <w:pStyle w:val="TableParagraph"/>
              <w:spacing w:before="16"/>
              <w:ind w:right="65"/>
              <w:jc w:val="right"/>
              <w:rPr>
                <w:sz w:val="16"/>
              </w:rPr>
            </w:pPr>
            <w:r>
              <w:rPr>
                <w:spacing w:val="-2"/>
                <w:sz w:val="16"/>
              </w:rPr>
              <w:t>307,135</w:t>
            </w:r>
          </w:p>
        </w:tc>
        <w:tc>
          <w:tcPr>
            <w:tcW w:w="194" w:type="dxa"/>
          </w:tcPr>
          <w:p>
            <w:pPr>
              <w:pStyle w:val="TableParagraph"/>
              <w:rPr>
                <w:rFonts w:ascii="Times New Roman"/>
                <w:sz w:val="16"/>
              </w:rPr>
            </w:pPr>
          </w:p>
        </w:tc>
        <w:tc>
          <w:tcPr>
            <w:tcW w:w="276" w:type="dxa"/>
            <w:tcBorders>
              <w:top w:val="single" w:sz="8" w:space="0" w:color="000000"/>
            </w:tcBorders>
          </w:tcPr>
          <w:p>
            <w:pPr>
              <w:pStyle w:val="TableParagraph"/>
              <w:rPr>
                <w:rFonts w:ascii="Times New Roman"/>
                <w:sz w:val="16"/>
              </w:rPr>
            </w:pPr>
          </w:p>
        </w:tc>
        <w:tc>
          <w:tcPr>
            <w:tcW w:w="1701" w:type="dxa"/>
            <w:tcBorders>
              <w:top w:val="single" w:sz="8" w:space="0" w:color="000000"/>
            </w:tcBorders>
          </w:tcPr>
          <w:p>
            <w:pPr>
              <w:pStyle w:val="TableParagraph"/>
              <w:spacing w:before="16"/>
              <w:ind w:right="7"/>
              <w:jc w:val="right"/>
              <w:rPr>
                <w:sz w:val="16"/>
              </w:rPr>
            </w:pPr>
            <w:r>
              <w:rPr>
                <w:spacing w:val="-2"/>
                <w:sz w:val="16"/>
              </w:rPr>
              <w:t>(286,636)</w:t>
            </w:r>
          </w:p>
        </w:tc>
        <w:tc>
          <w:tcPr>
            <w:tcW w:w="193" w:type="dxa"/>
          </w:tcPr>
          <w:p>
            <w:pPr>
              <w:pStyle w:val="TableParagraph"/>
              <w:rPr>
                <w:rFonts w:ascii="Times New Roman"/>
                <w:sz w:val="16"/>
              </w:rPr>
            </w:pPr>
          </w:p>
        </w:tc>
        <w:tc>
          <w:tcPr>
            <w:tcW w:w="313" w:type="dxa"/>
            <w:tcBorders>
              <w:top w:val="single" w:sz="8" w:space="0" w:color="000000"/>
            </w:tcBorders>
          </w:tcPr>
          <w:p>
            <w:pPr>
              <w:pStyle w:val="TableParagraph"/>
              <w:rPr>
                <w:rFonts w:ascii="Times New Roman"/>
                <w:sz w:val="16"/>
              </w:rPr>
            </w:pPr>
          </w:p>
        </w:tc>
        <w:tc>
          <w:tcPr>
            <w:tcW w:w="1663" w:type="dxa"/>
            <w:tcBorders>
              <w:top w:val="single" w:sz="8" w:space="0" w:color="000000"/>
            </w:tcBorders>
          </w:tcPr>
          <w:p>
            <w:pPr>
              <w:pStyle w:val="TableParagraph"/>
              <w:spacing w:before="16"/>
              <w:ind w:right="55"/>
              <w:jc w:val="right"/>
              <w:rPr>
                <w:sz w:val="16"/>
              </w:rPr>
            </w:pPr>
            <w:r>
              <w:rPr>
                <w:spacing w:val="-2"/>
                <w:sz w:val="16"/>
              </w:rPr>
              <w:t>20,499</w:t>
            </w:r>
          </w:p>
        </w:tc>
      </w:tr>
      <w:tr>
        <w:trPr>
          <w:trHeight w:val="229" w:hRule="atLeast"/>
        </w:trPr>
        <w:tc>
          <w:tcPr>
            <w:tcW w:w="3000" w:type="dxa"/>
          </w:tcPr>
          <w:p>
            <w:pPr>
              <w:pStyle w:val="TableParagraph"/>
              <w:spacing w:line="184" w:lineRule="exact" w:before="25"/>
              <w:ind w:left="232"/>
              <w:rPr>
                <w:sz w:val="16"/>
              </w:rPr>
            </w:pPr>
            <w:r>
              <w:rPr>
                <w:spacing w:val="-2"/>
                <w:sz w:val="16"/>
              </w:rPr>
              <w:t>GCI/SCI</w:t>
            </w:r>
          </w:p>
        </w:tc>
        <w:tc>
          <w:tcPr>
            <w:tcW w:w="239" w:type="dxa"/>
            <w:tcBorders>
              <w:bottom w:val="single" w:sz="8" w:space="0" w:color="000000"/>
            </w:tcBorders>
          </w:tcPr>
          <w:p>
            <w:pPr>
              <w:pStyle w:val="TableParagraph"/>
              <w:rPr>
                <w:rFonts w:ascii="Times New Roman"/>
                <w:sz w:val="16"/>
              </w:rPr>
            </w:pPr>
          </w:p>
        </w:tc>
        <w:tc>
          <w:tcPr>
            <w:tcW w:w="1740" w:type="dxa"/>
            <w:tcBorders>
              <w:bottom w:val="single" w:sz="8" w:space="0" w:color="000000"/>
            </w:tcBorders>
          </w:tcPr>
          <w:p>
            <w:pPr>
              <w:pStyle w:val="TableParagraph"/>
              <w:spacing w:line="184" w:lineRule="exact" w:before="25"/>
              <w:ind w:right="65"/>
              <w:jc w:val="right"/>
              <w:rPr>
                <w:sz w:val="16"/>
              </w:rPr>
            </w:pPr>
            <w:r>
              <w:rPr>
                <w:spacing w:val="-2"/>
                <w:sz w:val="16"/>
              </w:rPr>
              <w:t>10,705</w:t>
            </w:r>
          </w:p>
        </w:tc>
        <w:tc>
          <w:tcPr>
            <w:tcW w:w="194" w:type="dxa"/>
          </w:tcPr>
          <w:p>
            <w:pPr>
              <w:pStyle w:val="TableParagraph"/>
              <w:rPr>
                <w:rFonts w:ascii="Times New Roman"/>
                <w:sz w:val="16"/>
              </w:rPr>
            </w:pPr>
          </w:p>
        </w:tc>
        <w:tc>
          <w:tcPr>
            <w:tcW w:w="276" w:type="dxa"/>
            <w:tcBorders>
              <w:bottom w:val="single" w:sz="8" w:space="0" w:color="000000"/>
            </w:tcBorders>
          </w:tcPr>
          <w:p>
            <w:pPr>
              <w:pStyle w:val="TableParagraph"/>
              <w:rPr>
                <w:rFonts w:ascii="Times New Roman"/>
                <w:sz w:val="16"/>
              </w:rPr>
            </w:pPr>
          </w:p>
        </w:tc>
        <w:tc>
          <w:tcPr>
            <w:tcW w:w="1701" w:type="dxa"/>
            <w:tcBorders>
              <w:bottom w:val="single" w:sz="8" w:space="0" w:color="000000"/>
            </w:tcBorders>
          </w:tcPr>
          <w:p>
            <w:pPr>
              <w:pStyle w:val="TableParagraph"/>
              <w:spacing w:line="184" w:lineRule="exact" w:before="25"/>
              <w:ind w:right="7"/>
              <w:jc w:val="right"/>
              <w:rPr>
                <w:sz w:val="16"/>
              </w:rPr>
            </w:pPr>
            <w:r>
              <w:rPr>
                <w:spacing w:val="-2"/>
                <w:sz w:val="16"/>
              </w:rPr>
              <w:t>(9,385)</w:t>
            </w:r>
          </w:p>
        </w:tc>
        <w:tc>
          <w:tcPr>
            <w:tcW w:w="193" w:type="dxa"/>
          </w:tcPr>
          <w:p>
            <w:pPr>
              <w:pStyle w:val="TableParagraph"/>
              <w:rPr>
                <w:rFonts w:ascii="Times New Roman"/>
                <w:sz w:val="16"/>
              </w:rPr>
            </w:pPr>
          </w:p>
        </w:tc>
        <w:tc>
          <w:tcPr>
            <w:tcW w:w="313" w:type="dxa"/>
            <w:tcBorders>
              <w:bottom w:val="single" w:sz="8" w:space="0" w:color="000000"/>
            </w:tcBorders>
          </w:tcPr>
          <w:p>
            <w:pPr>
              <w:pStyle w:val="TableParagraph"/>
              <w:rPr>
                <w:rFonts w:ascii="Times New Roman"/>
                <w:sz w:val="16"/>
              </w:rPr>
            </w:pPr>
          </w:p>
        </w:tc>
        <w:tc>
          <w:tcPr>
            <w:tcW w:w="1663" w:type="dxa"/>
            <w:tcBorders>
              <w:bottom w:val="single" w:sz="8" w:space="0" w:color="000000"/>
            </w:tcBorders>
          </w:tcPr>
          <w:p>
            <w:pPr>
              <w:pStyle w:val="TableParagraph"/>
              <w:spacing w:line="184" w:lineRule="exact" w:before="25"/>
              <w:ind w:right="55"/>
              <w:jc w:val="right"/>
              <w:rPr>
                <w:sz w:val="16"/>
              </w:rPr>
            </w:pPr>
            <w:r>
              <w:rPr>
                <w:spacing w:val="-2"/>
                <w:sz w:val="16"/>
              </w:rPr>
              <w:t>1,320</w:t>
            </w:r>
          </w:p>
        </w:tc>
      </w:tr>
      <w:tr>
        <w:trPr>
          <w:trHeight w:val="460" w:hRule="atLeast"/>
        </w:trPr>
        <w:tc>
          <w:tcPr>
            <w:tcW w:w="3000" w:type="dxa"/>
            <w:tcBorders>
              <w:bottom w:val="single" w:sz="8" w:space="0" w:color="000000"/>
            </w:tcBorders>
          </w:tcPr>
          <w:p>
            <w:pPr>
              <w:pStyle w:val="TableParagraph"/>
              <w:spacing w:before="6"/>
              <w:ind w:left="52"/>
              <w:rPr>
                <w:rFonts w:ascii="Arial"/>
                <w:b/>
                <w:sz w:val="16"/>
              </w:rPr>
            </w:pPr>
            <w:r>
              <w:rPr>
                <w:rFonts w:ascii="Arial"/>
                <w:b/>
                <w:sz w:val="16"/>
              </w:rPr>
              <w:t>As</w:t>
            </w:r>
            <w:r>
              <w:rPr>
                <w:rFonts w:ascii="Arial"/>
                <w:b/>
                <w:spacing w:val="-3"/>
                <w:sz w:val="16"/>
              </w:rPr>
              <w:t> </w:t>
            </w:r>
            <w:r>
              <w:rPr>
                <w:rFonts w:ascii="Arial"/>
                <w:b/>
                <w:sz w:val="16"/>
              </w:rPr>
              <w:t>of</w:t>
            </w:r>
            <w:r>
              <w:rPr>
                <w:rFonts w:ascii="Arial"/>
                <w:b/>
                <w:spacing w:val="-3"/>
                <w:sz w:val="16"/>
              </w:rPr>
              <w:t> </w:t>
            </w:r>
            <w:r>
              <w:rPr>
                <w:rFonts w:ascii="Arial"/>
                <w:b/>
                <w:sz w:val="16"/>
              </w:rPr>
              <w:t>June</w:t>
            </w:r>
            <w:r>
              <w:rPr>
                <w:rFonts w:ascii="Arial"/>
                <w:b/>
                <w:spacing w:val="-3"/>
                <w:sz w:val="16"/>
              </w:rPr>
              <w:t> </w:t>
            </w:r>
            <w:r>
              <w:rPr>
                <w:rFonts w:ascii="Arial"/>
                <w:b/>
                <w:sz w:val="16"/>
              </w:rPr>
              <w:t>30,</w:t>
            </w:r>
            <w:r>
              <w:rPr>
                <w:rFonts w:ascii="Arial"/>
                <w:b/>
                <w:spacing w:val="-1"/>
                <w:sz w:val="16"/>
              </w:rPr>
              <w:t> </w:t>
            </w:r>
            <w:r>
              <w:rPr>
                <w:rFonts w:ascii="Arial"/>
                <w:b/>
                <w:spacing w:val="-4"/>
                <w:sz w:val="16"/>
              </w:rPr>
              <w:t>2023</w:t>
            </w:r>
          </w:p>
        </w:tc>
        <w:tc>
          <w:tcPr>
            <w:tcW w:w="1979" w:type="dxa"/>
            <w:gridSpan w:val="2"/>
            <w:tcBorders>
              <w:bottom w:val="single" w:sz="8" w:space="0" w:color="000000"/>
            </w:tcBorders>
          </w:tcPr>
          <w:p>
            <w:pPr>
              <w:pStyle w:val="TableParagraph"/>
              <w:tabs>
                <w:tab w:pos="1334" w:val="left" w:leader="none"/>
              </w:tabs>
              <w:spacing w:before="6"/>
              <w:rPr>
                <w:rFonts w:ascii="Arial"/>
                <w:b/>
                <w:sz w:val="16"/>
              </w:rPr>
            </w:pPr>
            <w:r>
              <w:rPr>
                <w:rFonts w:ascii="Arial"/>
                <w:b/>
                <w:sz w:val="16"/>
              </w:rPr>
              <mc:AlternateContent>
                <mc:Choice Requires="wps">
                  <w:drawing>
                    <wp:anchor distT="0" distB="0" distL="0" distR="0" allowOverlap="1" layoutInCell="1" locked="0" behindDoc="1" simplePos="0" relativeHeight="470611968">
                      <wp:simplePos x="0" y="0"/>
                      <wp:positionH relativeFrom="column">
                        <wp:posOffset>0</wp:posOffset>
                      </wp:positionH>
                      <wp:positionV relativeFrom="paragraph">
                        <wp:posOffset>145845</wp:posOffset>
                      </wp:positionV>
                      <wp:extent cx="1257300" cy="1270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1257300" cy="12700"/>
                                <a:chExt cx="1257300" cy="12700"/>
                              </a:xfrm>
                            </wpg:grpSpPr>
                            <wps:wsp>
                              <wps:cNvPr id="725" name="Graphic 725"/>
                              <wps:cNvSpPr/>
                              <wps:spPr>
                                <a:xfrm>
                                  <a:off x="0" y="6350"/>
                                  <a:ext cx="1257300" cy="1270"/>
                                </a:xfrm>
                                <a:custGeom>
                                  <a:avLst/>
                                  <a:gdLst/>
                                  <a:ahLst/>
                                  <a:cxnLst/>
                                  <a:rect l="l" t="t" r="r" b="b"/>
                                  <a:pathLst>
                                    <a:path w="1257300" h="0">
                                      <a:moveTo>
                                        <a:pt x="0" y="0"/>
                                      </a:moveTo>
                                      <a:lnTo>
                                        <a:pt x="12573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1.483901pt;width:99pt;height:1pt;mso-position-horizontal-relative:column;mso-position-vertical-relative:paragraph;z-index:-32704512" id="docshapegroup616" coordorigin="0,230" coordsize="1980,20">
                      <v:line style="position:absolute" from="0,240" to="1980,240" stroked="true" strokeweight="1pt" strokecolor="#000000">
                        <v:stroke dashstyle="solid"/>
                      </v:line>
                      <w10:wrap type="none"/>
                    </v:group>
                  </w:pict>
                </mc:Fallback>
              </mc:AlternateContent>
            </w:r>
            <w:r>
              <w:rPr>
                <w:rFonts w:ascii="Arial"/>
                <w:b/>
                <w:spacing w:val="12"/>
                <w:sz w:val="16"/>
                <w:u w:val="single"/>
              </w:rPr>
              <w:t> </w:t>
            </w:r>
            <w:r>
              <w:rPr>
                <w:rFonts w:ascii="Arial"/>
                <w:b/>
                <w:spacing w:val="-10"/>
                <w:sz w:val="16"/>
                <w:u w:val="single"/>
              </w:rPr>
              <w:t>$</w:t>
            </w:r>
            <w:r>
              <w:rPr>
                <w:rFonts w:ascii="Arial"/>
                <w:b/>
                <w:sz w:val="16"/>
                <w:u w:val="single"/>
              </w:rPr>
              <w:tab/>
            </w:r>
            <w:r>
              <w:rPr>
                <w:rFonts w:ascii="Arial"/>
                <w:b/>
                <w:spacing w:val="-2"/>
                <w:sz w:val="16"/>
                <w:u w:val="single"/>
              </w:rPr>
              <w:t>317,840</w:t>
            </w:r>
          </w:p>
        </w:tc>
        <w:tc>
          <w:tcPr>
            <w:tcW w:w="2171" w:type="dxa"/>
            <w:gridSpan w:val="3"/>
            <w:tcBorders>
              <w:bottom w:val="single" w:sz="8" w:space="0" w:color="000000"/>
            </w:tcBorders>
          </w:tcPr>
          <w:p>
            <w:pPr>
              <w:pStyle w:val="TableParagraph"/>
              <w:tabs>
                <w:tab w:pos="1477" w:val="left" w:leader="none"/>
              </w:tabs>
              <w:spacing w:before="6"/>
              <w:ind w:left="196"/>
              <w:rPr>
                <w:rFonts w:ascii="Arial"/>
                <w:b/>
                <w:sz w:val="16"/>
              </w:rPr>
            </w:pPr>
            <w:r>
              <w:rPr>
                <w:rFonts w:ascii="Arial"/>
                <w:b/>
                <w:sz w:val="16"/>
              </w:rPr>
              <mc:AlternateContent>
                <mc:Choice Requires="wps">
                  <w:drawing>
                    <wp:anchor distT="0" distB="0" distL="0" distR="0" allowOverlap="1" layoutInCell="1" locked="0" behindDoc="1" simplePos="0" relativeHeight="470612480">
                      <wp:simplePos x="0" y="0"/>
                      <wp:positionH relativeFrom="column">
                        <wp:posOffset>123825</wp:posOffset>
                      </wp:positionH>
                      <wp:positionV relativeFrom="paragraph">
                        <wp:posOffset>145845</wp:posOffset>
                      </wp:positionV>
                      <wp:extent cx="1257300" cy="12700"/>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1257300" cy="12700"/>
                                <a:chExt cx="1257300" cy="12700"/>
                              </a:xfrm>
                            </wpg:grpSpPr>
                            <wps:wsp>
                              <wps:cNvPr id="727" name="Graphic 727"/>
                              <wps:cNvSpPr/>
                              <wps:spPr>
                                <a:xfrm>
                                  <a:off x="0" y="6350"/>
                                  <a:ext cx="1257300" cy="1270"/>
                                </a:xfrm>
                                <a:custGeom>
                                  <a:avLst/>
                                  <a:gdLst/>
                                  <a:ahLst/>
                                  <a:cxnLst/>
                                  <a:rect l="l" t="t" r="r" b="b"/>
                                  <a:pathLst>
                                    <a:path w="1257300" h="0">
                                      <a:moveTo>
                                        <a:pt x="0" y="0"/>
                                      </a:moveTo>
                                      <a:lnTo>
                                        <a:pt x="12573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5pt;margin-top:11.483901pt;width:99pt;height:1pt;mso-position-horizontal-relative:column;mso-position-vertical-relative:paragraph;z-index:-32704000" id="docshapegroup617" coordorigin="195,230" coordsize="1980,20">
                      <v:line style="position:absolute" from="195,240" to="2175,240" stroked="true" strokeweight="1pt" strokecolor="#000000">
                        <v:stroke dashstyle="solid"/>
                      </v:line>
                      <w10:wrap type="none"/>
                    </v:group>
                  </w:pict>
                </mc:Fallback>
              </mc:AlternateContent>
            </w:r>
            <w:r>
              <w:rPr>
                <w:rFonts w:ascii="Arial"/>
                <w:b/>
                <w:spacing w:val="12"/>
                <w:sz w:val="16"/>
                <w:u w:val="single"/>
              </w:rPr>
              <w:t> </w:t>
            </w:r>
            <w:r>
              <w:rPr>
                <w:rFonts w:ascii="Arial"/>
                <w:b/>
                <w:spacing w:val="-10"/>
                <w:sz w:val="16"/>
                <w:u w:val="single"/>
              </w:rPr>
              <w:t>$</w:t>
            </w:r>
            <w:r>
              <w:rPr>
                <w:rFonts w:ascii="Arial"/>
                <w:b/>
                <w:sz w:val="16"/>
                <w:u w:val="single"/>
              </w:rPr>
              <w:tab/>
            </w:r>
            <w:r>
              <w:rPr>
                <w:rFonts w:ascii="Arial"/>
                <w:b/>
                <w:spacing w:val="-2"/>
                <w:sz w:val="16"/>
                <w:u w:val="single"/>
              </w:rPr>
              <w:t>(296,021)</w:t>
            </w:r>
          </w:p>
        </w:tc>
        <w:tc>
          <w:tcPr>
            <w:tcW w:w="2169" w:type="dxa"/>
            <w:gridSpan w:val="3"/>
            <w:tcBorders>
              <w:bottom w:val="single" w:sz="8" w:space="0" w:color="000000"/>
            </w:tcBorders>
          </w:tcPr>
          <w:p>
            <w:pPr>
              <w:pStyle w:val="TableParagraph"/>
              <w:tabs>
                <w:tab w:pos="1623" w:val="left" w:leader="none"/>
              </w:tabs>
              <w:spacing w:before="6"/>
              <w:ind w:left="200"/>
              <w:rPr>
                <w:rFonts w:ascii="Arial"/>
                <w:b/>
                <w:sz w:val="16"/>
              </w:rPr>
            </w:pPr>
            <w:r>
              <w:rPr>
                <w:rFonts w:ascii="Arial"/>
                <w:b/>
                <w:sz w:val="16"/>
              </w:rPr>
              <mc:AlternateContent>
                <mc:Choice Requires="wps">
                  <w:drawing>
                    <wp:anchor distT="0" distB="0" distL="0" distR="0" allowOverlap="1" layoutInCell="1" locked="0" behindDoc="1" simplePos="0" relativeHeight="470612992">
                      <wp:simplePos x="0" y="0"/>
                      <wp:positionH relativeFrom="column">
                        <wp:posOffset>123825</wp:posOffset>
                      </wp:positionH>
                      <wp:positionV relativeFrom="paragraph">
                        <wp:posOffset>145845</wp:posOffset>
                      </wp:positionV>
                      <wp:extent cx="1257300" cy="12700"/>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1257300" cy="12700"/>
                                <a:chExt cx="1257300" cy="12700"/>
                              </a:xfrm>
                            </wpg:grpSpPr>
                            <wps:wsp>
                              <wps:cNvPr id="729" name="Graphic 729"/>
                              <wps:cNvSpPr/>
                              <wps:spPr>
                                <a:xfrm>
                                  <a:off x="0" y="6350"/>
                                  <a:ext cx="1257300" cy="1270"/>
                                </a:xfrm>
                                <a:custGeom>
                                  <a:avLst/>
                                  <a:gdLst/>
                                  <a:ahLst/>
                                  <a:cxnLst/>
                                  <a:rect l="l" t="t" r="r" b="b"/>
                                  <a:pathLst>
                                    <a:path w="1257300" h="0">
                                      <a:moveTo>
                                        <a:pt x="0" y="0"/>
                                      </a:moveTo>
                                      <a:lnTo>
                                        <a:pt x="12573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5pt;margin-top:11.483901pt;width:99pt;height:1pt;mso-position-horizontal-relative:column;mso-position-vertical-relative:paragraph;z-index:-32703488" id="docshapegroup618" coordorigin="195,230" coordsize="1980,20">
                      <v:line style="position:absolute" from="195,240" to="2175,240" stroked="true" strokeweight="1pt" strokecolor="#000000">
                        <v:stroke dashstyle="solid"/>
                      </v:line>
                      <w10:wrap type="none"/>
                    </v:group>
                  </w:pict>
                </mc:Fallback>
              </mc:AlternateContent>
            </w:r>
            <w:r>
              <w:rPr>
                <w:rFonts w:ascii="Arial"/>
                <w:b/>
                <w:spacing w:val="12"/>
                <w:sz w:val="16"/>
                <w:u w:val="single"/>
              </w:rPr>
              <w:t> </w:t>
            </w:r>
            <w:r>
              <w:rPr>
                <w:rFonts w:ascii="Arial"/>
                <w:b/>
                <w:spacing w:val="-10"/>
                <w:sz w:val="16"/>
                <w:u w:val="single"/>
              </w:rPr>
              <w:t>$</w:t>
            </w:r>
            <w:r>
              <w:rPr>
                <w:rFonts w:ascii="Arial"/>
                <w:b/>
                <w:sz w:val="16"/>
                <w:u w:val="single"/>
              </w:rPr>
              <w:tab/>
            </w:r>
            <w:r>
              <w:rPr>
                <w:rFonts w:ascii="Arial"/>
                <w:b/>
                <w:spacing w:val="-2"/>
                <w:sz w:val="16"/>
                <w:u w:val="single"/>
              </w:rPr>
              <w:t>21,819</w:t>
            </w:r>
          </w:p>
        </w:tc>
      </w:tr>
    </w:tbl>
    <w:p>
      <w:pPr>
        <w:pStyle w:val="BodyText"/>
        <w:spacing w:line="249" w:lineRule="auto" w:before="154"/>
        <w:ind w:left="720" w:right="719"/>
        <w:jc w:val="both"/>
      </w:pPr>
      <w:r>
        <w:rPr/>
        <w:t>The uncalled portion of subscriptions is subject to call only when required to meet the obligations incurred by IBRD as a result of borrowings or guaranteeing loans.</w:t>
      </w:r>
    </w:p>
    <w:p>
      <w:pPr>
        <w:pStyle w:val="BodyText"/>
        <w:spacing w:line="249" w:lineRule="auto" w:before="121"/>
        <w:ind w:left="720" w:right="718"/>
        <w:jc w:val="both"/>
      </w:pPr>
      <w:r>
        <w:rPr/>
        <w:t>On October 1, 2018, IBRD’s Board of Governors approved two resolutions that increased IBRD’s authorized</w:t>
      </w:r>
      <w:r>
        <w:rPr>
          <w:spacing w:val="40"/>
        </w:rPr>
        <w:t> </w:t>
      </w:r>
      <w:r>
        <w:rPr/>
        <w:t>capital. The total increase in authorized capital was $57.5 billion, of which, $27.8 billion and $29.7 billion relate to the GCI and SCI, respectively. Under the terms of the 2018 GCI and SCI, paid-in capital is expected to increase by up to $7.5 billion. On May 23, 2023, the Board approved the extension of the subscription period for GCI and SCI from</w:t>
      </w:r>
      <w:r>
        <w:rPr>
          <w:spacing w:val="-2"/>
        </w:rPr>
        <w:t> </w:t>
      </w:r>
      <w:r>
        <w:rPr/>
        <w:t>October</w:t>
      </w:r>
      <w:r>
        <w:rPr>
          <w:spacing w:val="-2"/>
        </w:rPr>
        <w:t> </w:t>
      </w:r>
      <w:r>
        <w:rPr/>
        <w:t>1,</w:t>
      </w:r>
      <w:r>
        <w:rPr>
          <w:spacing w:val="-2"/>
        </w:rPr>
        <w:t> </w:t>
      </w:r>
      <w:r>
        <w:rPr/>
        <w:t>2023</w:t>
      </w:r>
      <w:r>
        <w:rPr>
          <w:spacing w:val="-2"/>
        </w:rPr>
        <w:t> </w:t>
      </w:r>
      <w:r>
        <w:rPr/>
        <w:t>to</w:t>
      </w:r>
      <w:r>
        <w:rPr>
          <w:spacing w:val="-2"/>
        </w:rPr>
        <w:t> </w:t>
      </w:r>
      <w:r>
        <w:rPr/>
        <w:t>October</w:t>
      </w:r>
      <w:r>
        <w:rPr>
          <w:spacing w:val="-2"/>
        </w:rPr>
        <w:t> </w:t>
      </w:r>
      <w:r>
        <w:rPr/>
        <w:t>1,</w:t>
      </w:r>
      <w:r>
        <w:rPr>
          <w:spacing w:val="-2"/>
        </w:rPr>
        <w:t> </w:t>
      </w:r>
      <w:r>
        <w:rPr/>
        <w:t>2025.</w:t>
      </w:r>
      <w:r>
        <w:rPr>
          <w:spacing w:val="-2"/>
        </w:rPr>
        <w:t> </w:t>
      </w:r>
      <w:r>
        <w:rPr/>
        <w:t>As</w:t>
      </w:r>
      <w:r>
        <w:rPr>
          <w:spacing w:val="-2"/>
        </w:rPr>
        <w:t> </w:t>
      </w:r>
      <w:r>
        <w:rPr/>
        <w:t>of</w:t>
      </w:r>
      <w:r>
        <w:rPr>
          <w:spacing w:val="-2"/>
        </w:rPr>
        <w:t> </w:t>
      </w:r>
      <w:r>
        <w:rPr/>
        <w:t>June</w:t>
      </w:r>
      <w:r>
        <w:rPr>
          <w:spacing w:val="-2"/>
        </w:rPr>
        <w:t> </w:t>
      </w:r>
      <w:r>
        <w:rPr/>
        <w:t>30,</w:t>
      </w:r>
      <w:r>
        <w:rPr>
          <w:spacing w:val="-2"/>
        </w:rPr>
        <w:t> </w:t>
      </w:r>
      <w:r>
        <w:rPr/>
        <w:t>2023,</w:t>
      </w:r>
      <w:r>
        <w:rPr>
          <w:spacing w:val="-2"/>
        </w:rPr>
        <w:t> </w:t>
      </w:r>
      <w:r>
        <w:rPr/>
        <w:t>the</w:t>
      </w:r>
      <w:r>
        <w:rPr>
          <w:spacing w:val="-2"/>
        </w:rPr>
        <w:t> </w:t>
      </w:r>
      <w:r>
        <w:rPr/>
        <w:t>cumulative</w:t>
      </w:r>
      <w:r>
        <w:rPr>
          <w:spacing w:val="-2"/>
        </w:rPr>
        <w:t> </w:t>
      </w:r>
      <w:r>
        <w:rPr/>
        <w:t>subscription</w:t>
      </w:r>
      <w:r>
        <w:rPr>
          <w:spacing w:val="-2"/>
        </w:rPr>
        <w:t> </w:t>
      </w:r>
      <w:r>
        <w:rPr/>
        <w:t>payments</w:t>
      </w:r>
      <w:r>
        <w:rPr>
          <w:spacing w:val="-2"/>
        </w:rPr>
        <w:t> </w:t>
      </w:r>
      <w:r>
        <w:rPr/>
        <w:t>received</w:t>
      </w:r>
      <w:r>
        <w:rPr>
          <w:spacing w:val="-2"/>
        </w:rPr>
        <w:t> </w:t>
      </w:r>
      <w:r>
        <w:rPr/>
        <w:t>under the 2018 capital increases was $5.4 billion.</w:t>
      </w:r>
    </w:p>
    <w:p>
      <w:pPr>
        <w:pStyle w:val="BodyText"/>
        <w:spacing w:after="0" w:line="249" w:lineRule="auto"/>
        <w:jc w:val="both"/>
        <w:sectPr>
          <w:headerReference w:type="even" r:id="rId145"/>
          <w:footerReference w:type="even" r:id="rId146"/>
          <w:footerReference w:type="default" r:id="rId147"/>
          <w:pgSz w:w="12240" w:h="15840"/>
          <w:pgMar w:header="0" w:footer="528" w:top="960" w:bottom="720" w:left="720" w:right="720"/>
          <w:pgNumType w:start="98"/>
        </w:sectPr>
      </w:pPr>
    </w:p>
    <w:p>
      <w:pPr>
        <w:pStyle w:val="Heading5"/>
        <w:jc w:val="left"/>
      </w:pPr>
      <w:r>
        <w:rPr/>
        <w:t>Amounts</w:t>
      </w:r>
      <w:r>
        <w:rPr>
          <w:spacing w:val="-5"/>
        </w:rPr>
        <w:t> </w:t>
      </w:r>
      <w:r>
        <w:rPr/>
        <w:t>to</w:t>
      </w:r>
      <w:r>
        <w:rPr>
          <w:spacing w:val="-1"/>
        </w:rPr>
        <w:t> </w:t>
      </w:r>
      <w:r>
        <w:rPr/>
        <w:t>Maintain</w:t>
      </w:r>
      <w:r>
        <w:rPr>
          <w:spacing w:val="-3"/>
        </w:rPr>
        <w:t> </w:t>
      </w:r>
      <w:r>
        <w:rPr/>
        <w:t>the</w:t>
      </w:r>
      <w:r>
        <w:rPr>
          <w:spacing w:val="-1"/>
        </w:rPr>
        <w:t> </w:t>
      </w:r>
      <w:r>
        <w:rPr/>
        <w:t>Value</w:t>
      </w:r>
      <w:r>
        <w:rPr>
          <w:spacing w:val="-2"/>
        </w:rPr>
        <w:t> </w:t>
      </w:r>
      <w:r>
        <w:rPr/>
        <w:t>of</w:t>
      </w:r>
      <w:r>
        <w:rPr>
          <w:spacing w:val="-1"/>
        </w:rPr>
        <w:t> </w:t>
      </w:r>
      <w:r>
        <w:rPr/>
        <w:t>Currency</w:t>
      </w:r>
      <w:r>
        <w:rPr>
          <w:spacing w:val="-1"/>
        </w:rPr>
        <w:t> </w:t>
      </w:r>
      <w:r>
        <w:rPr>
          <w:spacing w:val="-2"/>
        </w:rPr>
        <w:t>Holdings</w:t>
      </w:r>
    </w:p>
    <w:p>
      <w:pPr>
        <w:pStyle w:val="BodyText"/>
        <w:spacing w:line="264" w:lineRule="auto" w:before="150"/>
        <w:ind w:left="720" w:right="881"/>
      </w:pPr>
      <w:r>
        <w:rPr/>
        <w:t>The following table summarizes the amounts to Maintain the Value of Currency (MOV), classified as components</w:t>
      </w:r>
      <w:r>
        <w:rPr>
          <w:spacing w:val="40"/>
        </w:rPr>
        <w:t> </w:t>
      </w:r>
      <w:r>
        <w:rPr/>
        <w:t>of equity:</w:t>
      </w:r>
    </w:p>
    <w:p>
      <w:pPr>
        <w:pStyle w:val="Heading8"/>
        <w:spacing w:before="104"/>
      </w:pPr>
      <w:r>
        <w:rPr/>
        <w:t>Table</w:t>
      </w:r>
      <w:r>
        <w:rPr>
          <w:spacing w:val="-3"/>
        </w:rPr>
        <w:t> </w:t>
      </w:r>
      <w:r>
        <w:rPr/>
        <w:t>B3:</w:t>
      </w:r>
      <w:r>
        <w:rPr>
          <w:spacing w:val="-3"/>
        </w:rPr>
        <w:t> </w:t>
      </w:r>
      <w:r>
        <w:rPr/>
        <w:t>MOV</w:t>
      </w:r>
      <w:r>
        <w:rPr>
          <w:spacing w:val="-2"/>
        </w:rPr>
        <w:t> balances</w:t>
      </w:r>
    </w:p>
    <w:p>
      <w:pPr>
        <w:spacing w:before="49" w:after="29"/>
        <w:ind w:left="828"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5"/>
        <w:gridCol w:w="1612"/>
        <w:gridCol w:w="458"/>
        <w:gridCol w:w="195"/>
        <w:gridCol w:w="1612"/>
        <w:gridCol w:w="458"/>
      </w:tblGrid>
      <w:tr>
        <w:trPr>
          <w:trHeight w:val="220" w:hRule="atLeast"/>
        </w:trPr>
        <w:tc>
          <w:tcPr>
            <w:tcW w:w="5025" w:type="dxa"/>
            <w:tcBorders>
              <w:top w:val="single" w:sz="8" w:space="0" w:color="000000"/>
            </w:tcBorders>
          </w:tcPr>
          <w:p>
            <w:pPr>
              <w:pStyle w:val="TableParagraph"/>
              <w:rPr>
                <w:rFonts w:ascii="Times New Roman"/>
                <w:sz w:val="14"/>
              </w:rPr>
            </w:pPr>
          </w:p>
        </w:tc>
        <w:tc>
          <w:tcPr>
            <w:tcW w:w="1612" w:type="dxa"/>
            <w:tcBorders>
              <w:top w:val="single" w:sz="8" w:space="0" w:color="000000"/>
              <w:bottom w:val="single" w:sz="8" w:space="0" w:color="000000"/>
            </w:tcBorders>
          </w:tcPr>
          <w:p>
            <w:pPr>
              <w:pStyle w:val="TableParagraph"/>
              <w:spacing w:line="183" w:lineRule="exact" w:before="16"/>
              <w:ind w:left="528"/>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458" w:type="dxa"/>
            <w:tcBorders>
              <w:top w:val="single" w:sz="8" w:space="0" w:color="000000"/>
              <w:bottom w:val="single" w:sz="8" w:space="0" w:color="000000"/>
            </w:tcBorders>
          </w:tcPr>
          <w:p>
            <w:pPr>
              <w:pStyle w:val="TableParagraph"/>
              <w:rPr>
                <w:rFonts w:ascii="Times New Roman"/>
                <w:sz w:val="14"/>
              </w:rPr>
            </w:pPr>
          </w:p>
        </w:tc>
        <w:tc>
          <w:tcPr>
            <w:tcW w:w="195" w:type="dxa"/>
            <w:tcBorders>
              <w:top w:val="single" w:sz="8" w:space="0" w:color="000000"/>
            </w:tcBorders>
          </w:tcPr>
          <w:p>
            <w:pPr>
              <w:pStyle w:val="TableParagraph"/>
              <w:rPr>
                <w:rFonts w:ascii="Times New Roman"/>
                <w:sz w:val="14"/>
              </w:rPr>
            </w:pPr>
          </w:p>
        </w:tc>
        <w:tc>
          <w:tcPr>
            <w:tcW w:w="1612" w:type="dxa"/>
            <w:tcBorders>
              <w:top w:val="single" w:sz="8" w:space="0" w:color="000000"/>
              <w:bottom w:val="single" w:sz="8" w:space="0" w:color="000000"/>
            </w:tcBorders>
          </w:tcPr>
          <w:p>
            <w:pPr>
              <w:pStyle w:val="TableParagraph"/>
              <w:spacing w:line="183" w:lineRule="exact" w:before="16"/>
              <w:ind w:left="528"/>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458" w:type="dxa"/>
            <w:tcBorders>
              <w:top w:val="single" w:sz="8" w:space="0" w:color="000000"/>
              <w:bottom w:val="single" w:sz="8" w:space="0" w:color="000000"/>
            </w:tcBorders>
          </w:tcPr>
          <w:p>
            <w:pPr>
              <w:pStyle w:val="TableParagraph"/>
              <w:rPr>
                <w:rFonts w:ascii="Times New Roman"/>
                <w:sz w:val="14"/>
              </w:rPr>
            </w:pPr>
          </w:p>
        </w:tc>
      </w:tr>
      <w:tr>
        <w:trPr>
          <w:trHeight w:val="460" w:hRule="atLeast"/>
        </w:trPr>
        <w:tc>
          <w:tcPr>
            <w:tcW w:w="5025" w:type="dxa"/>
          </w:tcPr>
          <w:p>
            <w:pPr>
              <w:pStyle w:val="TableParagraph"/>
              <w:spacing w:before="72"/>
              <w:rPr>
                <w:rFonts w:ascii="Arial"/>
                <w:i/>
                <w:sz w:val="16"/>
              </w:rPr>
            </w:pPr>
          </w:p>
          <w:p>
            <w:pPr>
              <w:pStyle w:val="TableParagraph"/>
              <w:spacing w:line="184" w:lineRule="exact"/>
              <w:ind w:left="108"/>
              <w:rPr>
                <w:sz w:val="16"/>
              </w:rPr>
            </w:pPr>
            <w:r>
              <w:rPr>
                <w:sz w:val="16"/>
              </w:rPr>
              <w:t>MOV </w:t>
            </w:r>
            <w:r>
              <w:rPr>
                <w:spacing w:val="-2"/>
                <w:sz w:val="16"/>
              </w:rPr>
              <w:t>receivable</w:t>
            </w:r>
          </w:p>
        </w:tc>
        <w:tc>
          <w:tcPr>
            <w:tcW w:w="1612"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52"/>
              <w:rPr>
                <w:sz w:val="16"/>
              </w:rPr>
            </w:pPr>
            <w:r>
              <w:rPr>
                <w:spacing w:val="-10"/>
                <w:sz w:val="16"/>
              </w:rPr>
              <w:t>$</w:t>
            </w:r>
          </w:p>
        </w:tc>
        <w:tc>
          <w:tcPr>
            <w:tcW w:w="458"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55"/>
              <w:jc w:val="center"/>
              <w:rPr>
                <w:sz w:val="16"/>
              </w:rPr>
            </w:pPr>
            <w:r>
              <w:rPr>
                <w:spacing w:val="-2"/>
                <w:sz w:val="16"/>
              </w:rPr>
              <w:t>(345)</w:t>
            </w:r>
          </w:p>
        </w:tc>
        <w:tc>
          <w:tcPr>
            <w:tcW w:w="195" w:type="dxa"/>
          </w:tcPr>
          <w:p>
            <w:pPr>
              <w:pStyle w:val="TableParagraph"/>
              <w:rPr>
                <w:rFonts w:ascii="Times New Roman"/>
                <w:sz w:val="18"/>
              </w:rPr>
            </w:pPr>
          </w:p>
        </w:tc>
        <w:tc>
          <w:tcPr>
            <w:tcW w:w="1612"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52"/>
              <w:rPr>
                <w:sz w:val="16"/>
              </w:rPr>
            </w:pPr>
            <w:r>
              <w:rPr>
                <w:spacing w:val="-10"/>
                <w:sz w:val="16"/>
              </w:rPr>
              <w:t>$</w:t>
            </w:r>
          </w:p>
        </w:tc>
        <w:tc>
          <w:tcPr>
            <w:tcW w:w="458"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55"/>
              <w:jc w:val="center"/>
              <w:rPr>
                <w:sz w:val="16"/>
              </w:rPr>
            </w:pPr>
            <w:r>
              <w:rPr>
                <w:spacing w:val="-2"/>
                <w:sz w:val="16"/>
              </w:rPr>
              <w:t>(354)</w:t>
            </w:r>
          </w:p>
        </w:tc>
      </w:tr>
      <w:tr>
        <w:trPr>
          <w:trHeight w:val="485" w:hRule="atLeast"/>
        </w:trPr>
        <w:tc>
          <w:tcPr>
            <w:tcW w:w="5025" w:type="dxa"/>
          </w:tcPr>
          <w:p>
            <w:pPr>
              <w:pStyle w:val="TableParagraph"/>
              <w:spacing w:before="87"/>
              <w:rPr>
                <w:rFonts w:ascii="Arial"/>
                <w:i/>
                <w:sz w:val="16"/>
              </w:rPr>
            </w:pPr>
          </w:p>
          <w:p>
            <w:pPr>
              <w:pStyle w:val="TableParagraph"/>
              <w:ind w:left="108"/>
              <w:rPr>
                <w:sz w:val="16"/>
              </w:rPr>
            </w:pPr>
            <w:r>
              <w:rPr>
                <w:sz w:val="16"/>
              </w:rPr>
              <w:t>Net</w:t>
            </w:r>
            <w:r>
              <w:rPr>
                <w:spacing w:val="-3"/>
                <w:sz w:val="16"/>
              </w:rPr>
              <w:t> </w:t>
            </w:r>
            <w:r>
              <w:rPr>
                <w:sz w:val="16"/>
              </w:rPr>
              <w:t>Deferred</w:t>
            </w:r>
            <w:r>
              <w:rPr>
                <w:spacing w:val="-2"/>
                <w:sz w:val="16"/>
              </w:rPr>
              <w:t> </w:t>
            </w:r>
            <w:r>
              <w:rPr>
                <w:sz w:val="16"/>
              </w:rPr>
              <w:t>MOV</w:t>
            </w:r>
            <w:r>
              <w:rPr>
                <w:spacing w:val="-2"/>
                <w:sz w:val="16"/>
              </w:rPr>
              <w:t> (receivable)/payable</w:t>
            </w:r>
          </w:p>
        </w:tc>
        <w:tc>
          <w:tcPr>
            <w:tcW w:w="1612" w:type="dxa"/>
            <w:tcBorders>
              <w:top w:val="single" w:sz="8" w:space="0" w:color="000000"/>
            </w:tcBorders>
          </w:tcPr>
          <w:p>
            <w:pPr>
              <w:pStyle w:val="TableParagraph"/>
              <w:rPr>
                <w:rFonts w:ascii="Times New Roman"/>
                <w:sz w:val="18"/>
              </w:rPr>
            </w:pPr>
          </w:p>
        </w:tc>
        <w:tc>
          <w:tcPr>
            <w:tcW w:w="458" w:type="dxa"/>
            <w:tcBorders>
              <w:top w:val="single" w:sz="8" w:space="0" w:color="000000"/>
            </w:tcBorders>
          </w:tcPr>
          <w:p>
            <w:pPr>
              <w:pStyle w:val="TableParagraph"/>
              <w:spacing w:before="87"/>
              <w:rPr>
                <w:rFonts w:ascii="Arial"/>
                <w:i/>
                <w:sz w:val="16"/>
              </w:rPr>
            </w:pPr>
          </w:p>
          <w:p>
            <w:pPr>
              <w:pStyle w:val="TableParagraph"/>
              <w:ind w:left="55"/>
              <w:jc w:val="center"/>
              <w:rPr>
                <w:sz w:val="16"/>
              </w:rPr>
            </w:pPr>
            <w:r>
              <w:rPr>
                <w:spacing w:val="-2"/>
                <w:sz w:val="16"/>
              </w:rPr>
              <w:t>(306)</w:t>
            </w:r>
          </w:p>
        </w:tc>
        <w:tc>
          <w:tcPr>
            <w:tcW w:w="195" w:type="dxa"/>
          </w:tcPr>
          <w:p>
            <w:pPr>
              <w:pStyle w:val="TableParagraph"/>
              <w:rPr>
                <w:rFonts w:ascii="Times New Roman"/>
                <w:sz w:val="18"/>
              </w:rPr>
            </w:pPr>
          </w:p>
        </w:tc>
        <w:tc>
          <w:tcPr>
            <w:tcW w:w="1612" w:type="dxa"/>
            <w:tcBorders>
              <w:top w:val="single" w:sz="8" w:space="0" w:color="000000"/>
            </w:tcBorders>
          </w:tcPr>
          <w:p>
            <w:pPr>
              <w:pStyle w:val="TableParagraph"/>
              <w:rPr>
                <w:rFonts w:ascii="Times New Roman"/>
                <w:sz w:val="18"/>
              </w:rPr>
            </w:pPr>
          </w:p>
        </w:tc>
        <w:tc>
          <w:tcPr>
            <w:tcW w:w="458" w:type="dxa"/>
            <w:tcBorders>
              <w:top w:val="single" w:sz="8" w:space="0" w:color="000000"/>
            </w:tcBorders>
          </w:tcPr>
          <w:p>
            <w:pPr>
              <w:pStyle w:val="TableParagraph"/>
              <w:spacing w:before="87"/>
              <w:rPr>
                <w:rFonts w:ascii="Arial"/>
                <w:i/>
                <w:sz w:val="16"/>
              </w:rPr>
            </w:pPr>
          </w:p>
          <w:p>
            <w:pPr>
              <w:pStyle w:val="TableParagraph"/>
              <w:ind w:left="55"/>
              <w:jc w:val="center"/>
              <w:rPr>
                <w:sz w:val="16"/>
              </w:rPr>
            </w:pPr>
            <w:r>
              <w:rPr>
                <w:spacing w:val="-2"/>
                <w:sz w:val="16"/>
              </w:rPr>
              <w:t>(294)</w:t>
            </w:r>
          </w:p>
        </w:tc>
      </w:tr>
      <w:tr>
        <w:trPr>
          <w:trHeight w:val="229" w:hRule="atLeast"/>
        </w:trPr>
        <w:tc>
          <w:tcPr>
            <w:tcW w:w="5025" w:type="dxa"/>
          </w:tcPr>
          <w:p>
            <w:pPr>
              <w:pStyle w:val="TableParagraph"/>
              <w:spacing w:line="184" w:lineRule="exact" w:before="25"/>
              <w:ind w:left="108"/>
              <w:rPr>
                <w:sz w:val="16"/>
              </w:rPr>
            </w:pPr>
            <w:r>
              <w:rPr>
                <w:sz w:val="16"/>
              </w:rPr>
              <w:t>Deferred</w:t>
            </w:r>
            <w:r>
              <w:rPr>
                <w:spacing w:val="-5"/>
                <w:sz w:val="16"/>
              </w:rPr>
              <w:t> </w:t>
            </w:r>
            <w:r>
              <w:rPr>
                <w:sz w:val="16"/>
              </w:rPr>
              <w:t>demand</w:t>
            </w:r>
            <w:r>
              <w:rPr>
                <w:spacing w:val="-5"/>
                <w:sz w:val="16"/>
              </w:rPr>
              <w:t> </w:t>
            </w:r>
            <w:r>
              <w:rPr>
                <w:spacing w:val="-2"/>
                <w:sz w:val="16"/>
              </w:rPr>
              <w:t>obligations</w:t>
            </w:r>
          </w:p>
        </w:tc>
        <w:tc>
          <w:tcPr>
            <w:tcW w:w="1612" w:type="dxa"/>
            <w:tcBorders>
              <w:bottom w:val="single" w:sz="8" w:space="0" w:color="000000"/>
            </w:tcBorders>
          </w:tcPr>
          <w:p>
            <w:pPr>
              <w:pStyle w:val="TableParagraph"/>
              <w:rPr>
                <w:rFonts w:ascii="Times New Roman"/>
                <w:sz w:val="16"/>
              </w:rPr>
            </w:pPr>
          </w:p>
        </w:tc>
        <w:tc>
          <w:tcPr>
            <w:tcW w:w="458" w:type="dxa"/>
            <w:tcBorders>
              <w:bottom w:val="single" w:sz="8" w:space="0" w:color="000000"/>
            </w:tcBorders>
          </w:tcPr>
          <w:p>
            <w:pPr>
              <w:pStyle w:val="TableParagraph"/>
              <w:spacing w:line="184" w:lineRule="exact" w:before="25"/>
              <w:ind w:left="55"/>
              <w:jc w:val="center"/>
              <w:rPr>
                <w:sz w:val="16"/>
              </w:rPr>
            </w:pPr>
            <w:r>
              <w:rPr>
                <w:spacing w:val="-2"/>
                <w:sz w:val="16"/>
              </w:rPr>
              <w:t>(130)</w:t>
            </w:r>
          </w:p>
        </w:tc>
        <w:tc>
          <w:tcPr>
            <w:tcW w:w="195" w:type="dxa"/>
          </w:tcPr>
          <w:p>
            <w:pPr>
              <w:pStyle w:val="TableParagraph"/>
              <w:rPr>
                <w:rFonts w:ascii="Times New Roman"/>
                <w:sz w:val="16"/>
              </w:rPr>
            </w:pPr>
          </w:p>
        </w:tc>
        <w:tc>
          <w:tcPr>
            <w:tcW w:w="1612" w:type="dxa"/>
            <w:tcBorders>
              <w:bottom w:val="single" w:sz="8" w:space="0" w:color="000000"/>
            </w:tcBorders>
          </w:tcPr>
          <w:p>
            <w:pPr>
              <w:pStyle w:val="TableParagraph"/>
              <w:rPr>
                <w:rFonts w:ascii="Times New Roman"/>
                <w:sz w:val="16"/>
              </w:rPr>
            </w:pPr>
          </w:p>
        </w:tc>
        <w:tc>
          <w:tcPr>
            <w:tcW w:w="458" w:type="dxa"/>
            <w:tcBorders>
              <w:bottom w:val="single" w:sz="8" w:space="0" w:color="000000"/>
            </w:tcBorders>
          </w:tcPr>
          <w:p>
            <w:pPr>
              <w:pStyle w:val="TableParagraph"/>
              <w:spacing w:line="184" w:lineRule="exact" w:before="25"/>
              <w:ind w:left="55"/>
              <w:jc w:val="center"/>
              <w:rPr>
                <w:sz w:val="16"/>
              </w:rPr>
            </w:pPr>
            <w:r>
              <w:rPr>
                <w:spacing w:val="-2"/>
                <w:sz w:val="16"/>
              </w:rPr>
              <w:t>(130)</w:t>
            </w:r>
          </w:p>
        </w:tc>
      </w:tr>
    </w:tbl>
    <w:p>
      <w:pPr>
        <w:tabs>
          <w:tab w:pos="5744" w:val="left" w:leader="none"/>
          <w:tab w:pos="7427" w:val="left" w:leader="none"/>
          <w:tab w:pos="8009" w:val="left" w:leader="none"/>
          <w:tab w:pos="9692" w:val="left" w:leader="none"/>
        </w:tabs>
        <w:spacing w:before="7"/>
        <w:ind w:left="828"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684608">
                <wp:simplePos x="0" y="0"/>
                <wp:positionH relativeFrom="page">
                  <wp:posOffset>4105275</wp:posOffset>
                </wp:positionH>
                <wp:positionV relativeFrom="paragraph">
                  <wp:posOffset>153035</wp:posOffset>
                </wp:positionV>
                <wp:extent cx="1314450"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1314450" cy="1270"/>
                        </a:xfrm>
                        <a:custGeom>
                          <a:avLst/>
                          <a:gdLst/>
                          <a:ahLst/>
                          <a:cxnLst/>
                          <a:rect l="l" t="t" r="r" b="b"/>
                          <a:pathLst>
                            <a:path w="1314450" h="0">
                              <a:moveTo>
                                <a:pt x="0" y="0"/>
                              </a:moveTo>
                              <a:lnTo>
                                <a:pt x="1314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25pt;margin-top:12.05pt;width:103.5pt;height:.1pt;mso-position-horizontal-relative:page;mso-position-vertical-relative:paragraph;z-index:-15631872;mso-wrap-distance-left:0;mso-wrap-distance-right:0" id="docshape619" coordorigin="6465,241" coordsize="2070,0" path="m6465,241l8535,241e" filled="false" stroked="true" strokeweight="1pt" strokecolor="#000000">
                <v:path arrowok="t"/>
                <v:stroke dashstyle="solid"/>
                <w10:wrap type="topAndBottom"/>
              </v:shape>
            </w:pict>
          </mc:Fallback>
        </mc:AlternateContent>
      </w:r>
      <w:r>
        <w:rPr>
          <w:rFonts w:ascii="Arial MT"/>
          <w:sz w:val="16"/>
        </w:rPr>
        <mc:AlternateContent>
          <mc:Choice Requires="wps">
            <w:drawing>
              <wp:anchor distT="0" distB="0" distL="0" distR="0" allowOverlap="1" layoutInCell="1" locked="0" behindDoc="1" simplePos="0" relativeHeight="487685120">
                <wp:simplePos x="0" y="0"/>
                <wp:positionH relativeFrom="page">
                  <wp:posOffset>5543550</wp:posOffset>
                </wp:positionH>
                <wp:positionV relativeFrom="paragraph">
                  <wp:posOffset>153035</wp:posOffset>
                </wp:positionV>
                <wp:extent cx="1314450"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1314450" cy="1270"/>
                        </a:xfrm>
                        <a:custGeom>
                          <a:avLst/>
                          <a:gdLst/>
                          <a:ahLst/>
                          <a:cxnLst/>
                          <a:rect l="l" t="t" r="r" b="b"/>
                          <a:pathLst>
                            <a:path w="1314450" h="0">
                              <a:moveTo>
                                <a:pt x="0" y="0"/>
                              </a:moveTo>
                              <a:lnTo>
                                <a:pt x="1314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pt;margin-top:12.05pt;width:103.5pt;height:.1pt;mso-position-horizontal-relative:page;mso-position-vertical-relative:paragraph;z-index:-15631360;mso-wrap-distance-left:0;mso-wrap-distance-right:0" id="docshape620" coordorigin="8730,241" coordsize="2070,0" path="m8730,241l10800,241e" filled="false" stroked="true" strokeweight="1pt" strokecolor="#000000">
                <v:path arrowok="t"/>
                <v:stroke dashstyle="solid"/>
                <w10:wrap type="topAndBottom"/>
              </v:shape>
            </w:pict>
          </mc:Fallback>
        </mc:AlternateContent>
      </w:r>
      <w:r>
        <w:rPr>
          <w:rFonts w:ascii="Arial MT"/>
          <w:sz w:val="16"/>
        </w:rPr>
        <mc:AlternateContent>
          <mc:Choice Requires="wps">
            <w:drawing>
              <wp:anchor distT="0" distB="0" distL="0" distR="0" allowOverlap="1" layoutInCell="1" locked="0" behindDoc="1" simplePos="0" relativeHeight="487685632">
                <wp:simplePos x="0" y="0"/>
                <wp:positionH relativeFrom="page">
                  <wp:posOffset>914400</wp:posOffset>
                </wp:positionH>
                <wp:positionV relativeFrom="paragraph">
                  <wp:posOffset>292734</wp:posOffset>
                </wp:positionV>
                <wp:extent cx="5943600" cy="1270"/>
                <wp:effectExtent l="0" t="0" r="0" b="0"/>
                <wp:wrapTopAndBottom/>
                <wp:docPr id="732" name="Graphic 732"/>
                <wp:cNvGraphicFramePr>
                  <a:graphicFrameLocks/>
                </wp:cNvGraphicFramePr>
                <a:graphic>
                  <a:graphicData uri="http://schemas.microsoft.com/office/word/2010/wordprocessingShape">
                    <wps:wsp>
                      <wps:cNvPr id="732" name="Graphic 73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049999pt;width:468pt;height:.1pt;mso-position-horizontal-relative:page;mso-position-vertical-relative:paragraph;z-index:-15630848;mso-wrap-distance-left:0;mso-wrap-distance-right:0" id="docshape621" coordorigin="1440,461" coordsize="9360,0" path="m1440,461l10800,461e" filled="false" stroked="true" strokeweight="1pt" strokecolor="#000000">
                <v:path arrowok="t"/>
                <v:stroke dashstyle="solid"/>
                <w10:wrap type="topAndBottom"/>
              </v:shape>
            </w:pict>
          </mc:Fallback>
        </mc:AlternateContent>
      </w:r>
      <w:r>
        <w:rPr>
          <w:rFonts w:ascii="Arial MT"/>
          <w:sz w:val="16"/>
        </w:rPr>
        <w:t>Deferred</w:t>
      </w:r>
      <w:r>
        <w:rPr>
          <w:rFonts w:ascii="Arial MT"/>
          <w:spacing w:val="-3"/>
          <w:sz w:val="16"/>
        </w:rPr>
        <w:t> </w:t>
      </w:r>
      <w:r>
        <w:rPr>
          <w:rFonts w:ascii="Arial MT"/>
          <w:sz w:val="16"/>
        </w:rPr>
        <w:t>MOV</w:t>
      </w:r>
      <w:r>
        <w:rPr>
          <w:rFonts w:ascii="Arial MT"/>
          <w:spacing w:val="-2"/>
          <w:sz w:val="16"/>
        </w:rPr>
        <w:t> (receivable)/payable</w:t>
      </w:r>
      <w:r>
        <w:rPr>
          <w:rFonts w:ascii="Arial MT"/>
          <w:sz w:val="16"/>
        </w:rPr>
        <w:tab/>
      </w:r>
      <w:r>
        <w:rPr>
          <w:rFonts w:ascii="Arial MT"/>
          <w:sz w:val="16"/>
          <w:u w:val="single"/>
        </w:rPr>
        <w:t> $</w:t>
        <w:tab/>
      </w:r>
      <w:r>
        <w:rPr>
          <w:rFonts w:ascii="Arial MT"/>
          <w:spacing w:val="-2"/>
          <w:sz w:val="16"/>
          <w:u w:val="single"/>
        </w:rPr>
        <w:t>(436)</w:t>
      </w:r>
      <w:r>
        <w:rPr>
          <w:rFonts w:ascii="Arial MT"/>
          <w:sz w:val="16"/>
        </w:rPr>
        <w:tab/>
      </w:r>
      <w:r>
        <w:rPr>
          <w:rFonts w:ascii="Arial MT"/>
          <w:sz w:val="16"/>
          <w:u w:val="single"/>
        </w:rPr>
        <w:t> $</w:t>
        <w:tab/>
      </w:r>
      <w:r>
        <w:rPr>
          <w:rFonts w:ascii="Arial MT"/>
          <w:spacing w:val="-2"/>
          <w:sz w:val="16"/>
          <w:u w:val="single"/>
        </w:rPr>
        <w:t>(424)</w:t>
      </w:r>
    </w:p>
    <w:p>
      <w:pPr>
        <w:pStyle w:val="BodyText"/>
        <w:spacing w:before="2"/>
        <w:rPr>
          <w:rFonts w:ascii="Arial MT"/>
          <w:sz w:val="16"/>
        </w:rPr>
      </w:pPr>
    </w:p>
    <w:p>
      <w:pPr>
        <w:pStyle w:val="Heading3"/>
        <w:spacing w:before="223"/>
      </w:pPr>
      <w:bookmarkStart w:name="NOTE C—INVESTMENTS" w:id="208"/>
      <w:bookmarkEnd w:id="208"/>
      <w:r>
        <w:rPr>
          <w:b w:val="0"/>
        </w:rPr>
      </w:r>
      <w:r>
        <w:rPr/>
        <w:t>NOTE</w:t>
      </w:r>
      <w:r>
        <w:rPr>
          <w:spacing w:val="-3"/>
        </w:rPr>
        <w:t> </w:t>
      </w:r>
      <w:r>
        <w:rPr/>
        <w:t>C—</w:t>
      </w:r>
      <w:r>
        <w:rPr>
          <w:spacing w:val="-2"/>
        </w:rPr>
        <w:t>INVESTMENTS</w:t>
      </w:r>
    </w:p>
    <w:p>
      <w:pPr>
        <w:pStyle w:val="BodyText"/>
        <w:spacing w:line="249" w:lineRule="auto" w:before="130"/>
        <w:ind w:left="720" w:right="718"/>
        <w:jc w:val="both"/>
      </w:pPr>
      <w:r>
        <w:rPr/>
        <w:t>IBRD’s investments include the liquid asset portfolio, and holdings relating the Post Employment Benefit Plan (PEBP), the Post Retirement Contribution Reserve Fund (PCRF), and the Local Currency Market Development (LCMD) investments. LCMD investments are sovereign bonds denominated in the local currencies of less</w:t>
      </w:r>
      <w:r>
        <w:rPr>
          <w:spacing w:val="40"/>
        </w:rPr>
        <w:t> </w:t>
      </w:r>
      <w:r>
        <w:rPr/>
        <w:t>developed markets, and funded by borrowings in the same currency with matching volume, payment and maturity </w:t>
      </w:r>
      <w:r>
        <w:rPr>
          <w:spacing w:val="-2"/>
        </w:rPr>
        <w:t>characteristics.</w:t>
      </w:r>
    </w:p>
    <w:p>
      <w:pPr>
        <w:pStyle w:val="BodyText"/>
        <w:spacing w:line="249" w:lineRule="auto" w:before="124"/>
        <w:ind w:left="720" w:right="718"/>
        <w:jc w:val="both"/>
      </w:pPr>
      <w:r>
        <w:rPr/>
        <w:t>Investments held by IBRD are designated as trading and reported at fair value, or at face value, which approximates fair value. As of June 30, 2023, Investments were primarily comprised of government and agency obligations, and time deposits (49% and 47%, respectively), with all the instruments classified as Level 1 or Level 2 within the fair value hierarchy. As of June 30, 2023, the largest holdings of investments from a single counterparty was the Monetary Authority of Singapore (8%).</w:t>
      </w:r>
    </w:p>
    <w:p>
      <w:pPr>
        <w:pStyle w:val="BodyText"/>
        <w:spacing w:before="124"/>
        <w:ind w:left="720"/>
        <w:jc w:val="both"/>
      </w:pPr>
      <w:r>
        <w:rPr/>
        <w:t>A</w:t>
      </w:r>
      <w:r>
        <w:rPr>
          <w:spacing w:val="-4"/>
        </w:rPr>
        <w:t> </w:t>
      </w:r>
      <w:r>
        <w:rPr/>
        <w:t>summary</w:t>
      </w:r>
      <w:r>
        <w:rPr>
          <w:spacing w:val="-3"/>
        </w:rPr>
        <w:t> </w:t>
      </w:r>
      <w:r>
        <w:rPr/>
        <w:t>of</w:t>
      </w:r>
      <w:r>
        <w:rPr>
          <w:spacing w:val="-3"/>
        </w:rPr>
        <w:t> </w:t>
      </w:r>
      <w:r>
        <w:rPr/>
        <w:t>IBRD’s</w:t>
      </w:r>
      <w:r>
        <w:rPr>
          <w:spacing w:val="-3"/>
        </w:rPr>
        <w:t> </w:t>
      </w:r>
      <w:r>
        <w:rPr/>
        <w:t>Investments-Trading</w:t>
      </w:r>
      <w:r>
        <w:rPr>
          <w:spacing w:val="-3"/>
        </w:rPr>
        <w:t> </w:t>
      </w:r>
      <w:r>
        <w:rPr/>
        <w:t>is</w:t>
      </w:r>
      <w:r>
        <w:rPr>
          <w:spacing w:val="-4"/>
        </w:rPr>
        <w:t> </w:t>
      </w:r>
      <w:r>
        <w:rPr/>
        <w:t>as</w:t>
      </w:r>
      <w:r>
        <w:rPr>
          <w:spacing w:val="-3"/>
        </w:rPr>
        <w:t> </w:t>
      </w:r>
      <w:r>
        <w:rPr>
          <w:spacing w:val="-2"/>
        </w:rPr>
        <w:t>follows:</w:t>
      </w:r>
    </w:p>
    <w:p>
      <w:pPr>
        <w:pStyle w:val="Heading8"/>
        <w:spacing w:before="87"/>
        <w:jc w:val="both"/>
      </w:pPr>
      <w:r>
        <w:rPr/>
        <w:t>Table</w:t>
      </w:r>
      <w:r>
        <w:rPr>
          <w:spacing w:val="-4"/>
        </w:rPr>
        <w:t> </w:t>
      </w:r>
      <w:r>
        <w:rPr/>
        <w:t>C1:</w:t>
      </w:r>
      <w:r>
        <w:rPr>
          <w:spacing w:val="-3"/>
        </w:rPr>
        <w:t> </w:t>
      </w:r>
      <w:r>
        <w:rPr/>
        <w:t>Investments</w:t>
      </w:r>
      <w:r>
        <w:rPr>
          <w:spacing w:val="-4"/>
        </w:rPr>
        <w:t> </w:t>
      </w:r>
      <w:r>
        <w:rPr/>
        <w:t>–</w:t>
      </w:r>
      <w:r>
        <w:rPr>
          <w:spacing w:val="-3"/>
        </w:rPr>
        <w:t> </w:t>
      </w:r>
      <w:r>
        <w:rPr/>
        <w:t>Trading</w:t>
      </w:r>
      <w:r>
        <w:rPr>
          <w:spacing w:val="-3"/>
        </w:rPr>
        <w:t> </w:t>
      </w:r>
      <w:r>
        <w:rPr>
          <w:spacing w:val="-2"/>
        </w:rPr>
        <w:t>composition</w:t>
      </w:r>
    </w:p>
    <w:p>
      <w:pPr>
        <w:spacing w:before="72" w:after="29"/>
        <w:ind w:left="720"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5"/>
        <w:gridCol w:w="1944"/>
        <w:gridCol w:w="682"/>
        <w:gridCol w:w="196"/>
        <w:gridCol w:w="1945"/>
        <w:gridCol w:w="683"/>
      </w:tblGrid>
      <w:tr>
        <w:trPr>
          <w:trHeight w:val="220" w:hRule="atLeast"/>
        </w:trPr>
        <w:tc>
          <w:tcPr>
            <w:tcW w:w="3915" w:type="dxa"/>
            <w:tcBorders>
              <w:top w:val="single" w:sz="8" w:space="0" w:color="000000"/>
            </w:tcBorders>
          </w:tcPr>
          <w:p>
            <w:pPr>
              <w:pStyle w:val="TableParagraph"/>
              <w:rPr>
                <w:rFonts w:ascii="Times New Roman"/>
                <w:sz w:val="14"/>
              </w:rPr>
            </w:pPr>
          </w:p>
        </w:tc>
        <w:tc>
          <w:tcPr>
            <w:tcW w:w="1944" w:type="dxa"/>
            <w:tcBorders>
              <w:top w:val="single" w:sz="8" w:space="0" w:color="000000"/>
              <w:bottom w:val="single" w:sz="8" w:space="0" w:color="000000"/>
            </w:tcBorders>
          </w:tcPr>
          <w:p>
            <w:pPr>
              <w:pStyle w:val="TableParagraph"/>
              <w:spacing w:line="183" w:lineRule="exact" w:before="16"/>
              <w:ind w:left="806"/>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682" w:type="dxa"/>
            <w:tcBorders>
              <w:top w:val="single" w:sz="8" w:space="0" w:color="000000"/>
              <w:bottom w:val="single" w:sz="8" w:space="0" w:color="000000"/>
            </w:tcBorders>
          </w:tcPr>
          <w:p>
            <w:pPr>
              <w:pStyle w:val="TableParagraph"/>
              <w:rPr>
                <w:rFonts w:ascii="Times New Roman"/>
                <w:sz w:val="14"/>
              </w:rPr>
            </w:pPr>
          </w:p>
        </w:tc>
        <w:tc>
          <w:tcPr>
            <w:tcW w:w="196" w:type="dxa"/>
            <w:tcBorders>
              <w:top w:val="single" w:sz="8" w:space="0" w:color="000000"/>
            </w:tcBorders>
          </w:tcPr>
          <w:p>
            <w:pPr>
              <w:pStyle w:val="TableParagraph"/>
              <w:rPr>
                <w:rFonts w:ascii="Times New Roman"/>
                <w:sz w:val="14"/>
              </w:rPr>
            </w:pPr>
          </w:p>
        </w:tc>
        <w:tc>
          <w:tcPr>
            <w:tcW w:w="1945" w:type="dxa"/>
            <w:tcBorders>
              <w:top w:val="single" w:sz="8" w:space="0" w:color="000000"/>
              <w:bottom w:val="single" w:sz="8" w:space="0" w:color="000000"/>
            </w:tcBorders>
          </w:tcPr>
          <w:p>
            <w:pPr>
              <w:pStyle w:val="TableParagraph"/>
              <w:spacing w:line="183" w:lineRule="exact" w:before="16"/>
              <w:ind w:left="804"/>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683" w:type="dxa"/>
            <w:tcBorders>
              <w:top w:val="single" w:sz="8" w:space="0" w:color="000000"/>
              <w:bottom w:val="single" w:sz="8" w:space="0" w:color="000000"/>
            </w:tcBorders>
          </w:tcPr>
          <w:p>
            <w:pPr>
              <w:pStyle w:val="TableParagraph"/>
              <w:rPr>
                <w:rFonts w:ascii="Times New Roman"/>
                <w:sz w:val="14"/>
              </w:rPr>
            </w:pPr>
          </w:p>
        </w:tc>
      </w:tr>
      <w:tr>
        <w:trPr>
          <w:trHeight w:val="230" w:hRule="atLeast"/>
        </w:trPr>
        <w:tc>
          <w:tcPr>
            <w:tcW w:w="3915" w:type="dxa"/>
          </w:tcPr>
          <w:p>
            <w:pPr>
              <w:pStyle w:val="TableParagraph"/>
              <w:spacing w:before="16"/>
              <w:ind w:left="52"/>
              <w:rPr>
                <w:sz w:val="16"/>
              </w:rPr>
            </w:pPr>
            <w:r>
              <w:rPr>
                <w:sz w:val="16"/>
              </w:rPr>
              <w:t>Government</w:t>
            </w:r>
            <w:r>
              <w:rPr>
                <w:spacing w:val="-4"/>
                <w:sz w:val="16"/>
              </w:rPr>
              <w:t> </w:t>
            </w:r>
            <w:r>
              <w:rPr>
                <w:sz w:val="16"/>
              </w:rPr>
              <w:t>and</w:t>
            </w:r>
            <w:r>
              <w:rPr>
                <w:spacing w:val="-5"/>
                <w:sz w:val="16"/>
              </w:rPr>
              <w:t> </w:t>
            </w:r>
            <w:r>
              <w:rPr>
                <w:sz w:val="16"/>
              </w:rPr>
              <w:t>agency</w:t>
            </w:r>
            <w:r>
              <w:rPr>
                <w:spacing w:val="-3"/>
                <w:sz w:val="16"/>
              </w:rPr>
              <w:t> </w:t>
            </w:r>
            <w:r>
              <w:rPr>
                <w:spacing w:val="-2"/>
                <w:sz w:val="16"/>
              </w:rPr>
              <w:t>obligations</w:t>
            </w:r>
          </w:p>
        </w:tc>
        <w:tc>
          <w:tcPr>
            <w:tcW w:w="1944" w:type="dxa"/>
            <w:tcBorders>
              <w:top w:val="single" w:sz="8" w:space="0" w:color="000000"/>
            </w:tcBorders>
          </w:tcPr>
          <w:p>
            <w:pPr>
              <w:pStyle w:val="TableParagraph"/>
              <w:spacing w:before="16"/>
              <w:ind w:left="52"/>
              <w:rPr>
                <w:sz w:val="16"/>
              </w:rPr>
            </w:pPr>
            <w:r>
              <w:rPr>
                <w:spacing w:val="-10"/>
                <w:sz w:val="16"/>
              </w:rPr>
              <w:t>$</w:t>
            </w:r>
          </w:p>
        </w:tc>
        <w:tc>
          <w:tcPr>
            <w:tcW w:w="682" w:type="dxa"/>
            <w:tcBorders>
              <w:top w:val="single" w:sz="8" w:space="0" w:color="000000"/>
            </w:tcBorders>
          </w:tcPr>
          <w:p>
            <w:pPr>
              <w:pStyle w:val="TableParagraph"/>
              <w:spacing w:before="16"/>
              <w:ind w:right="67"/>
              <w:jc w:val="right"/>
              <w:rPr>
                <w:sz w:val="16"/>
              </w:rPr>
            </w:pPr>
            <w:r>
              <w:rPr>
                <w:spacing w:val="-2"/>
                <w:sz w:val="16"/>
              </w:rPr>
              <w:t>39,046</w:t>
            </w:r>
          </w:p>
        </w:tc>
        <w:tc>
          <w:tcPr>
            <w:tcW w:w="196" w:type="dxa"/>
          </w:tcPr>
          <w:p>
            <w:pPr>
              <w:pStyle w:val="TableParagraph"/>
              <w:rPr>
                <w:rFonts w:ascii="Times New Roman"/>
                <w:sz w:val="16"/>
              </w:rPr>
            </w:pPr>
          </w:p>
        </w:tc>
        <w:tc>
          <w:tcPr>
            <w:tcW w:w="1945" w:type="dxa"/>
            <w:tcBorders>
              <w:top w:val="single" w:sz="8" w:space="0" w:color="000000"/>
            </w:tcBorders>
          </w:tcPr>
          <w:p>
            <w:pPr>
              <w:pStyle w:val="TableParagraph"/>
              <w:spacing w:before="16"/>
              <w:ind w:left="50"/>
              <w:rPr>
                <w:sz w:val="16"/>
              </w:rPr>
            </w:pPr>
            <w:r>
              <w:rPr>
                <w:spacing w:val="-10"/>
                <w:sz w:val="16"/>
              </w:rPr>
              <w:t>$</w:t>
            </w:r>
          </w:p>
        </w:tc>
        <w:tc>
          <w:tcPr>
            <w:tcW w:w="683" w:type="dxa"/>
            <w:tcBorders>
              <w:top w:val="single" w:sz="8" w:space="0" w:color="000000"/>
            </w:tcBorders>
          </w:tcPr>
          <w:p>
            <w:pPr>
              <w:pStyle w:val="TableParagraph"/>
              <w:spacing w:before="16"/>
              <w:ind w:right="71"/>
              <w:jc w:val="right"/>
              <w:rPr>
                <w:sz w:val="16"/>
              </w:rPr>
            </w:pPr>
            <w:r>
              <w:rPr>
                <w:spacing w:val="-2"/>
                <w:sz w:val="16"/>
              </w:rPr>
              <w:t>38,727</w:t>
            </w:r>
          </w:p>
        </w:tc>
      </w:tr>
      <w:tr>
        <w:trPr>
          <w:trHeight w:val="240" w:hRule="atLeast"/>
        </w:trPr>
        <w:tc>
          <w:tcPr>
            <w:tcW w:w="3915" w:type="dxa"/>
          </w:tcPr>
          <w:p>
            <w:pPr>
              <w:pStyle w:val="TableParagraph"/>
              <w:spacing w:before="25"/>
              <w:ind w:left="52"/>
              <w:rPr>
                <w:sz w:val="16"/>
              </w:rPr>
            </w:pPr>
            <w:r>
              <w:rPr>
                <w:sz w:val="16"/>
              </w:rPr>
              <w:t>Time</w:t>
            </w:r>
            <w:r>
              <w:rPr>
                <w:spacing w:val="-8"/>
                <w:sz w:val="16"/>
              </w:rPr>
              <w:t> </w:t>
            </w:r>
            <w:r>
              <w:rPr>
                <w:spacing w:val="-2"/>
                <w:sz w:val="16"/>
              </w:rPr>
              <w:t>deposits</w:t>
            </w:r>
          </w:p>
        </w:tc>
        <w:tc>
          <w:tcPr>
            <w:tcW w:w="1944" w:type="dxa"/>
          </w:tcPr>
          <w:p>
            <w:pPr>
              <w:pStyle w:val="TableParagraph"/>
              <w:rPr>
                <w:rFonts w:ascii="Times New Roman"/>
                <w:sz w:val="16"/>
              </w:rPr>
            </w:pPr>
          </w:p>
        </w:tc>
        <w:tc>
          <w:tcPr>
            <w:tcW w:w="682" w:type="dxa"/>
          </w:tcPr>
          <w:p>
            <w:pPr>
              <w:pStyle w:val="TableParagraph"/>
              <w:spacing w:before="25"/>
              <w:ind w:right="67"/>
              <w:jc w:val="right"/>
              <w:rPr>
                <w:sz w:val="16"/>
              </w:rPr>
            </w:pPr>
            <w:r>
              <w:rPr>
                <w:spacing w:val="-2"/>
                <w:sz w:val="16"/>
              </w:rPr>
              <w:t>36,809</w:t>
            </w:r>
          </w:p>
        </w:tc>
        <w:tc>
          <w:tcPr>
            <w:tcW w:w="196" w:type="dxa"/>
          </w:tcPr>
          <w:p>
            <w:pPr>
              <w:pStyle w:val="TableParagraph"/>
              <w:rPr>
                <w:rFonts w:ascii="Times New Roman"/>
                <w:sz w:val="16"/>
              </w:rPr>
            </w:pPr>
          </w:p>
        </w:tc>
        <w:tc>
          <w:tcPr>
            <w:tcW w:w="1945" w:type="dxa"/>
          </w:tcPr>
          <w:p>
            <w:pPr>
              <w:pStyle w:val="TableParagraph"/>
              <w:rPr>
                <w:rFonts w:ascii="Times New Roman"/>
                <w:sz w:val="16"/>
              </w:rPr>
            </w:pPr>
          </w:p>
        </w:tc>
        <w:tc>
          <w:tcPr>
            <w:tcW w:w="683" w:type="dxa"/>
          </w:tcPr>
          <w:p>
            <w:pPr>
              <w:pStyle w:val="TableParagraph"/>
              <w:spacing w:before="25"/>
              <w:ind w:right="71"/>
              <w:jc w:val="right"/>
              <w:rPr>
                <w:sz w:val="16"/>
              </w:rPr>
            </w:pPr>
            <w:r>
              <w:rPr>
                <w:spacing w:val="-2"/>
                <w:sz w:val="16"/>
              </w:rPr>
              <w:t>39,454</w:t>
            </w:r>
          </w:p>
        </w:tc>
      </w:tr>
      <w:tr>
        <w:trPr>
          <w:trHeight w:val="229" w:hRule="atLeast"/>
        </w:trPr>
        <w:tc>
          <w:tcPr>
            <w:tcW w:w="3915" w:type="dxa"/>
          </w:tcPr>
          <w:p>
            <w:pPr>
              <w:pStyle w:val="TableParagraph"/>
              <w:spacing w:line="184" w:lineRule="exact" w:before="25"/>
              <w:ind w:left="52"/>
              <w:rPr>
                <w:sz w:val="16"/>
              </w:rPr>
            </w:pPr>
            <w:r>
              <w:rPr>
                <w:sz w:val="16"/>
              </w:rPr>
              <w:t>Asset-backed</w:t>
            </w:r>
            <w:r>
              <w:rPr>
                <w:spacing w:val="-6"/>
                <w:sz w:val="16"/>
              </w:rPr>
              <w:t> </w:t>
            </w:r>
            <w:r>
              <w:rPr>
                <w:sz w:val="16"/>
              </w:rPr>
              <w:t>Securities</w:t>
            </w:r>
            <w:r>
              <w:rPr>
                <w:spacing w:val="-4"/>
                <w:sz w:val="16"/>
              </w:rPr>
              <w:t> </w:t>
            </w:r>
            <w:r>
              <w:rPr>
                <w:spacing w:val="-2"/>
                <w:sz w:val="16"/>
              </w:rPr>
              <w:t>(ABS)</w:t>
            </w:r>
          </w:p>
        </w:tc>
        <w:tc>
          <w:tcPr>
            <w:tcW w:w="1944" w:type="dxa"/>
          </w:tcPr>
          <w:p>
            <w:pPr>
              <w:pStyle w:val="TableParagraph"/>
              <w:rPr>
                <w:rFonts w:ascii="Times New Roman"/>
                <w:sz w:val="16"/>
              </w:rPr>
            </w:pPr>
          </w:p>
        </w:tc>
        <w:tc>
          <w:tcPr>
            <w:tcW w:w="682" w:type="dxa"/>
          </w:tcPr>
          <w:p>
            <w:pPr>
              <w:pStyle w:val="TableParagraph"/>
              <w:spacing w:line="184" w:lineRule="exact" w:before="25"/>
              <w:ind w:right="67"/>
              <w:jc w:val="right"/>
              <w:rPr>
                <w:sz w:val="16"/>
              </w:rPr>
            </w:pPr>
            <w:r>
              <w:rPr>
                <w:spacing w:val="-2"/>
                <w:sz w:val="16"/>
              </w:rPr>
              <w:t>1,087</w:t>
            </w:r>
          </w:p>
        </w:tc>
        <w:tc>
          <w:tcPr>
            <w:tcW w:w="196" w:type="dxa"/>
          </w:tcPr>
          <w:p>
            <w:pPr>
              <w:pStyle w:val="TableParagraph"/>
              <w:rPr>
                <w:rFonts w:ascii="Times New Roman"/>
                <w:sz w:val="16"/>
              </w:rPr>
            </w:pPr>
          </w:p>
        </w:tc>
        <w:tc>
          <w:tcPr>
            <w:tcW w:w="1945" w:type="dxa"/>
          </w:tcPr>
          <w:p>
            <w:pPr>
              <w:pStyle w:val="TableParagraph"/>
              <w:rPr>
                <w:rFonts w:ascii="Times New Roman"/>
                <w:sz w:val="16"/>
              </w:rPr>
            </w:pPr>
          </w:p>
        </w:tc>
        <w:tc>
          <w:tcPr>
            <w:tcW w:w="683" w:type="dxa"/>
          </w:tcPr>
          <w:p>
            <w:pPr>
              <w:pStyle w:val="TableParagraph"/>
              <w:spacing w:line="184" w:lineRule="exact" w:before="25"/>
              <w:ind w:right="71"/>
              <w:jc w:val="right"/>
              <w:rPr>
                <w:sz w:val="16"/>
              </w:rPr>
            </w:pPr>
            <w:r>
              <w:rPr>
                <w:spacing w:val="-2"/>
                <w:sz w:val="16"/>
              </w:rPr>
              <w:t>1,603</w:t>
            </w:r>
          </w:p>
        </w:tc>
      </w:tr>
      <w:tr>
        <w:trPr>
          <w:trHeight w:val="240" w:hRule="atLeast"/>
        </w:trPr>
        <w:tc>
          <w:tcPr>
            <w:tcW w:w="3915" w:type="dxa"/>
          </w:tcPr>
          <w:p>
            <w:pPr>
              <w:pStyle w:val="TableParagraph"/>
              <w:spacing w:line="184" w:lineRule="exact" w:before="36"/>
              <w:ind w:left="52"/>
              <w:rPr>
                <w:sz w:val="16"/>
              </w:rPr>
            </w:pPr>
            <w:r>
              <w:rPr>
                <w:sz w:val="16"/>
              </w:rPr>
              <w:t>Other</w:t>
            </w:r>
            <w:r>
              <w:rPr>
                <w:spacing w:val="-4"/>
                <w:sz w:val="16"/>
              </w:rPr>
              <w:t> </w:t>
            </w:r>
            <w:r>
              <w:rPr>
                <w:sz w:val="16"/>
              </w:rPr>
              <w:t>fund</w:t>
            </w:r>
            <w:r>
              <w:rPr>
                <w:spacing w:val="-4"/>
                <w:sz w:val="16"/>
              </w:rPr>
              <w:t> </w:t>
            </w:r>
            <w:r>
              <w:rPr>
                <w:sz w:val="16"/>
              </w:rPr>
              <w:t>investments</w:t>
            </w:r>
            <w:r>
              <w:rPr>
                <w:spacing w:val="-3"/>
                <w:sz w:val="16"/>
              </w:rPr>
              <w:t> </w:t>
            </w:r>
            <w:r>
              <w:rPr>
                <w:spacing w:val="-10"/>
                <w:sz w:val="16"/>
                <w:vertAlign w:val="superscript"/>
              </w:rPr>
              <w:t>a</w:t>
            </w:r>
          </w:p>
        </w:tc>
        <w:tc>
          <w:tcPr>
            <w:tcW w:w="1944" w:type="dxa"/>
          </w:tcPr>
          <w:p>
            <w:pPr>
              <w:pStyle w:val="TableParagraph"/>
              <w:rPr>
                <w:rFonts w:ascii="Times New Roman"/>
                <w:sz w:val="16"/>
              </w:rPr>
            </w:pPr>
          </w:p>
        </w:tc>
        <w:tc>
          <w:tcPr>
            <w:tcW w:w="682" w:type="dxa"/>
          </w:tcPr>
          <w:p>
            <w:pPr>
              <w:pStyle w:val="TableParagraph"/>
              <w:spacing w:line="184" w:lineRule="exact" w:before="36"/>
              <w:ind w:right="67"/>
              <w:jc w:val="right"/>
              <w:rPr>
                <w:sz w:val="16"/>
              </w:rPr>
            </w:pPr>
            <w:r>
              <w:rPr>
                <w:spacing w:val="-2"/>
                <w:sz w:val="16"/>
              </w:rPr>
              <w:t>1,982</w:t>
            </w:r>
          </w:p>
        </w:tc>
        <w:tc>
          <w:tcPr>
            <w:tcW w:w="196" w:type="dxa"/>
          </w:tcPr>
          <w:p>
            <w:pPr>
              <w:pStyle w:val="TableParagraph"/>
              <w:rPr>
                <w:rFonts w:ascii="Times New Roman"/>
                <w:sz w:val="16"/>
              </w:rPr>
            </w:pPr>
          </w:p>
        </w:tc>
        <w:tc>
          <w:tcPr>
            <w:tcW w:w="1945" w:type="dxa"/>
          </w:tcPr>
          <w:p>
            <w:pPr>
              <w:pStyle w:val="TableParagraph"/>
              <w:rPr>
                <w:rFonts w:ascii="Times New Roman"/>
                <w:sz w:val="16"/>
              </w:rPr>
            </w:pPr>
          </w:p>
        </w:tc>
        <w:tc>
          <w:tcPr>
            <w:tcW w:w="683" w:type="dxa"/>
          </w:tcPr>
          <w:p>
            <w:pPr>
              <w:pStyle w:val="TableParagraph"/>
              <w:spacing w:line="184" w:lineRule="exact" w:before="36"/>
              <w:ind w:right="71"/>
              <w:jc w:val="right"/>
              <w:rPr>
                <w:sz w:val="16"/>
              </w:rPr>
            </w:pPr>
            <w:r>
              <w:rPr>
                <w:spacing w:val="-2"/>
                <w:sz w:val="16"/>
              </w:rPr>
              <w:t>1,704</w:t>
            </w:r>
          </w:p>
        </w:tc>
      </w:tr>
      <w:tr>
        <w:trPr>
          <w:trHeight w:val="239" w:hRule="atLeast"/>
        </w:trPr>
        <w:tc>
          <w:tcPr>
            <w:tcW w:w="3915" w:type="dxa"/>
          </w:tcPr>
          <w:p>
            <w:pPr>
              <w:pStyle w:val="TableParagraph"/>
              <w:spacing w:line="184" w:lineRule="exact" w:before="36"/>
              <w:ind w:left="52"/>
              <w:rPr>
                <w:sz w:val="16"/>
              </w:rPr>
            </w:pPr>
            <w:r>
              <w:rPr>
                <w:sz w:val="16"/>
              </w:rPr>
              <w:t>Equity</w:t>
            </w:r>
            <w:r>
              <w:rPr>
                <w:spacing w:val="-5"/>
                <w:sz w:val="16"/>
              </w:rPr>
              <w:t> </w:t>
            </w:r>
            <w:r>
              <w:rPr>
                <w:sz w:val="16"/>
              </w:rPr>
              <w:t>securities</w:t>
            </w:r>
            <w:r>
              <w:rPr>
                <w:spacing w:val="-4"/>
                <w:sz w:val="16"/>
              </w:rPr>
              <w:t> </w:t>
            </w:r>
            <w:r>
              <w:rPr>
                <w:spacing w:val="-10"/>
                <w:sz w:val="16"/>
                <w:vertAlign w:val="superscript"/>
              </w:rPr>
              <w:t>a</w:t>
            </w:r>
          </w:p>
        </w:tc>
        <w:tc>
          <w:tcPr>
            <w:tcW w:w="1944" w:type="dxa"/>
            <w:tcBorders>
              <w:bottom w:val="single" w:sz="8" w:space="0" w:color="000000"/>
            </w:tcBorders>
          </w:tcPr>
          <w:p>
            <w:pPr>
              <w:pStyle w:val="TableParagraph"/>
              <w:rPr>
                <w:rFonts w:ascii="Times New Roman"/>
                <w:sz w:val="16"/>
              </w:rPr>
            </w:pPr>
          </w:p>
        </w:tc>
        <w:tc>
          <w:tcPr>
            <w:tcW w:w="682" w:type="dxa"/>
            <w:tcBorders>
              <w:bottom w:val="single" w:sz="8" w:space="0" w:color="000000"/>
            </w:tcBorders>
          </w:tcPr>
          <w:p>
            <w:pPr>
              <w:pStyle w:val="TableParagraph"/>
              <w:spacing w:line="184" w:lineRule="exact" w:before="36"/>
              <w:ind w:right="67"/>
              <w:jc w:val="right"/>
              <w:rPr>
                <w:sz w:val="16"/>
              </w:rPr>
            </w:pPr>
            <w:r>
              <w:rPr>
                <w:spacing w:val="-5"/>
                <w:sz w:val="16"/>
              </w:rPr>
              <w:t>275</w:t>
            </w:r>
          </w:p>
        </w:tc>
        <w:tc>
          <w:tcPr>
            <w:tcW w:w="196" w:type="dxa"/>
          </w:tcPr>
          <w:p>
            <w:pPr>
              <w:pStyle w:val="TableParagraph"/>
              <w:rPr>
                <w:rFonts w:ascii="Times New Roman"/>
                <w:sz w:val="16"/>
              </w:rPr>
            </w:pPr>
          </w:p>
        </w:tc>
        <w:tc>
          <w:tcPr>
            <w:tcW w:w="1945" w:type="dxa"/>
            <w:tcBorders>
              <w:bottom w:val="single" w:sz="8" w:space="0" w:color="000000"/>
            </w:tcBorders>
          </w:tcPr>
          <w:p>
            <w:pPr>
              <w:pStyle w:val="TableParagraph"/>
              <w:rPr>
                <w:rFonts w:ascii="Times New Roman"/>
                <w:sz w:val="16"/>
              </w:rPr>
            </w:pPr>
          </w:p>
        </w:tc>
        <w:tc>
          <w:tcPr>
            <w:tcW w:w="683" w:type="dxa"/>
            <w:tcBorders>
              <w:bottom w:val="single" w:sz="8" w:space="0" w:color="000000"/>
            </w:tcBorders>
          </w:tcPr>
          <w:p>
            <w:pPr>
              <w:pStyle w:val="TableParagraph"/>
              <w:spacing w:line="184" w:lineRule="exact" w:before="36"/>
              <w:ind w:right="71"/>
              <w:jc w:val="right"/>
              <w:rPr>
                <w:sz w:val="16"/>
              </w:rPr>
            </w:pPr>
            <w:r>
              <w:rPr>
                <w:spacing w:val="-5"/>
                <w:sz w:val="16"/>
              </w:rPr>
              <w:t>295</w:t>
            </w:r>
          </w:p>
        </w:tc>
      </w:tr>
      <w:tr>
        <w:trPr>
          <w:trHeight w:val="200" w:hRule="atLeast"/>
        </w:trPr>
        <w:tc>
          <w:tcPr>
            <w:tcW w:w="3915" w:type="dxa"/>
          </w:tcPr>
          <w:p>
            <w:pPr>
              <w:pStyle w:val="TableParagraph"/>
              <w:spacing w:line="164" w:lineRule="exact" w:before="16"/>
              <w:ind w:left="52"/>
              <w:rPr>
                <w:sz w:val="16"/>
              </w:rPr>
            </w:pPr>
            <w:r>
              <w:rPr>
                <w:spacing w:val="-2"/>
                <w:sz w:val="16"/>
              </w:rPr>
              <w:t>Total</w:t>
            </w:r>
          </w:p>
        </w:tc>
        <w:tc>
          <w:tcPr>
            <w:tcW w:w="1944" w:type="dxa"/>
            <w:tcBorders>
              <w:top w:val="single" w:sz="8" w:space="0" w:color="000000"/>
              <w:bottom w:val="double" w:sz="8" w:space="0" w:color="000000"/>
            </w:tcBorders>
          </w:tcPr>
          <w:p>
            <w:pPr>
              <w:pStyle w:val="TableParagraph"/>
              <w:spacing w:line="164" w:lineRule="exact" w:before="16"/>
              <w:ind w:left="52"/>
              <w:rPr>
                <w:sz w:val="16"/>
              </w:rPr>
            </w:pPr>
            <w:r>
              <w:rPr>
                <w:spacing w:val="-10"/>
                <w:sz w:val="16"/>
              </w:rPr>
              <w:t>$</w:t>
            </w:r>
          </w:p>
        </w:tc>
        <w:tc>
          <w:tcPr>
            <w:tcW w:w="682" w:type="dxa"/>
            <w:tcBorders>
              <w:top w:val="single" w:sz="8" w:space="0" w:color="000000"/>
              <w:bottom w:val="double" w:sz="8" w:space="0" w:color="000000"/>
            </w:tcBorders>
          </w:tcPr>
          <w:p>
            <w:pPr>
              <w:pStyle w:val="TableParagraph"/>
              <w:spacing w:line="164" w:lineRule="exact" w:before="16"/>
              <w:ind w:right="67"/>
              <w:jc w:val="right"/>
              <w:rPr>
                <w:sz w:val="16"/>
              </w:rPr>
            </w:pPr>
            <w:r>
              <w:rPr>
                <w:spacing w:val="-2"/>
                <w:sz w:val="16"/>
              </w:rPr>
              <w:t>79,199</w:t>
            </w:r>
          </w:p>
        </w:tc>
        <w:tc>
          <w:tcPr>
            <w:tcW w:w="196" w:type="dxa"/>
          </w:tcPr>
          <w:p>
            <w:pPr>
              <w:pStyle w:val="TableParagraph"/>
              <w:rPr>
                <w:rFonts w:ascii="Times New Roman"/>
                <w:sz w:val="12"/>
              </w:rPr>
            </w:pPr>
          </w:p>
        </w:tc>
        <w:tc>
          <w:tcPr>
            <w:tcW w:w="1945" w:type="dxa"/>
            <w:tcBorders>
              <w:top w:val="single" w:sz="8" w:space="0" w:color="000000"/>
              <w:bottom w:val="double" w:sz="8" w:space="0" w:color="000000"/>
            </w:tcBorders>
          </w:tcPr>
          <w:p>
            <w:pPr>
              <w:pStyle w:val="TableParagraph"/>
              <w:spacing w:line="164" w:lineRule="exact" w:before="16"/>
              <w:ind w:left="50"/>
              <w:rPr>
                <w:sz w:val="16"/>
              </w:rPr>
            </w:pPr>
            <w:r>
              <w:rPr>
                <w:spacing w:val="-10"/>
                <w:sz w:val="16"/>
              </w:rPr>
              <w:t>$</w:t>
            </w:r>
          </w:p>
        </w:tc>
        <w:tc>
          <w:tcPr>
            <w:tcW w:w="683" w:type="dxa"/>
            <w:tcBorders>
              <w:top w:val="single" w:sz="8" w:space="0" w:color="000000"/>
              <w:bottom w:val="double" w:sz="8" w:space="0" w:color="000000"/>
            </w:tcBorders>
          </w:tcPr>
          <w:p>
            <w:pPr>
              <w:pStyle w:val="TableParagraph"/>
              <w:spacing w:line="164" w:lineRule="exact" w:before="16"/>
              <w:ind w:right="71"/>
              <w:jc w:val="right"/>
              <w:rPr>
                <w:sz w:val="16"/>
              </w:rPr>
            </w:pPr>
            <w:r>
              <w:rPr>
                <w:spacing w:val="-2"/>
                <w:sz w:val="16"/>
              </w:rPr>
              <w:t>81,783</w:t>
            </w:r>
          </w:p>
        </w:tc>
      </w:tr>
      <w:tr>
        <w:trPr>
          <w:trHeight w:val="140" w:hRule="atLeast"/>
        </w:trPr>
        <w:tc>
          <w:tcPr>
            <w:tcW w:w="3915" w:type="dxa"/>
            <w:tcBorders>
              <w:bottom w:val="single" w:sz="8" w:space="0" w:color="000000"/>
            </w:tcBorders>
          </w:tcPr>
          <w:p>
            <w:pPr>
              <w:pStyle w:val="TableParagraph"/>
              <w:rPr>
                <w:rFonts w:ascii="Times New Roman"/>
                <w:sz w:val="8"/>
              </w:rPr>
            </w:pPr>
          </w:p>
        </w:tc>
        <w:tc>
          <w:tcPr>
            <w:tcW w:w="1944" w:type="dxa"/>
            <w:tcBorders>
              <w:top w:val="double" w:sz="8" w:space="0" w:color="000000"/>
              <w:bottom w:val="single" w:sz="8" w:space="0" w:color="000000"/>
            </w:tcBorders>
          </w:tcPr>
          <w:p>
            <w:pPr>
              <w:pStyle w:val="TableParagraph"/>
              <w:rPr>
                <w:rFonts w:ascii="Times New Roman"/>
                <w:sz w:val="8"/>
              </w:rPr>
            </w:pPr>
          </w:p>
        </w:tc>
        <w:tc>
          <w:tcPr>
            <w:tcW w:w="682" w:type="dxa"/>
            <w:tcBorders>
              <w:top w:val="double" w:sz="8" w:space="0" w:color="000000"/>
              <w:bottom w:val="single" w:sz="8" w:space="0" w:color="000000"/>
            </w:tcBorders>
          </w:tcPr>
          <w:p>
            <w:pPr>
              <w:pStyle w:val="TableParagraph"/>
              <w:rPr>
                <w:rFonts w:ascii="Times New Roman"/>
                <w:sz w:val="8"/>
              </w:rPr>
            </w:pPr>
          </w:p>
        </w:tc>
        <w:tc>
          <w:tcPr>
            <w:tcW w:w="196" w:type="dxa"/>
            <w:tcBorders>
              <w:bottom w:val="single" w:sz="8" w:space="0" w:color="000000"/>
            </w:tcBorders>
          </w:tcPr>
          <w:p>
            <w:pPr>
              <w:pStyle w:val="TableParagraph"/>
              <w:rPr>
                <w:rFonts w:ascii="Times New Roman"/>
                <w:sz w:val="8"/>
              </w:rPr>
            </w:pPr>
          </w:p>
        </w:tc>
        <w:tc>
          <w:tcPr>
            <w:tcW w:w="1945" w:type="dxa"/>
            <w:tcBorders>
              <w:top w:val="double" w:sz="8" w:space="0" w:color="000000"/>
              <w:bottom w:val="single" w:sz="8" w:space="0" w:color="000000"/>
            </w:tcBorders>
          </w:tcPr>
          <w:p>
            <w:pPr>
              <w:pStyle w:val="TableParagraph"/>
              <w:rPr>
                <w:rFonts w:ascii="Times New Roman"/>
                <w:sz w:val="8"/>
              </w:rPr>
            </w:pPr>
          </w:p>
        </w:tc>
        <w:tc>
          <w:tcPr>
            <w:tcW w:w="683" w:type="dxa"/>
            <w:tcBorders>
              <w:top w:val="double" w:sz="8" w:space="0" w:color="000000"/>
              <w:bottom w:val="single" w:sz="8" w:space="0" w:color="000000"/>
            </w:tcBorders>
          </w:tcPr>
          <w:p>
            <w:pPr>
              <w:pStyle w:val="TableParagraph"/>
              <w:rPr>
                <w:rFonts w:ascii="Times New Roman"/>
                <w:sz w:val="8"/>
              </w:rPr>
            </w:pPr>
          </w:p>
        </w:tc>
      </w:tr>
    </w:tbl>
    <w:p>
      <w:pPr>
        <w:pStyle w:val="ListParagraph"/>
        <w:numPr>
          <w:ilvl w:val="0"/>
          <w:numId w:val="32"/>
        </w:numPr>
        <w:tabs>
          <w:tab w:pos="948" w:val="left" w:leader="none"/>
          <w:tab w:pos="952" w:val="left" w:leader="none"/>
        </w:tabs>
        <w:spacing w:line="208" w:lineRule="auto" w:before="20" w:after="0"/>
        <w:ind w:left="952" w:right="1522" w:hanging="180"/>
        <w:jc w:val="left"/>
        <w:rPr>
          <w:rFonts w:ascii="Arial"/>
          <w:i/>
          <w:sz w:val="16"/>
        </w:rPr>
      </w:pPr>
      <w:r>
        <w:rPr>
          <w:rFonts w:ascii="Arial"/>
          <w:i/>
          <w:sz w:val="16"/>
        </w:rPr>
        <w:t>Related</w:t>
      </w:r>
      <w:r>
        <w:rPr>
          <w:rFonts w:ascii="Arial"/>
          <w:i/>
          <w:spacing w:val="-4"/>
          <w:sz w:val="16"/>
        </w:rPr>
        <w:t> </w:t>
      </w:r>
      <w:r>
        <w:rPr>
          <w:rFonts w:ascii="Arial"/>
          <w:i/>
          <w:sz w:val="16"/>
        </w:rPr>
        <w:t>to</w:t>
      </w:r>
      <w:r>
        <w:rPr>
          <w:rFonts w:ascii="Arial"/>
          <w:i/>
          <w:spacing w:val="-4"/>
          <w:sz w:val="16"/>
        </w:rPr>
        <w:t> </w:t>
      </w:r>
      <w:r>
        <w:rPr>
          <w:rFonts w:ascii="Arial"/>
          <w:i/>
          <w:sz w:val="16"/>
        </w:rPr>
        <w:t>PEBP</w:t>
      </w:r>
      <w:r>
        <w:rPr>
          <w:rFonts w:ascii="Arial"/>
          <w:i/>
          <w:spacing w:val="-3"/>
          <w:sz w:val="16"/>
        </w:rPr>
        <w:t> </w:t>
      </w:r>
      <w:r>
        <w:rPr>
          <w:rFonts w:ascii="Arial"/>
          <w:i/>
          <w:sz w:val="16"/>
        </w:rPr>
        <w:t>holdings.</w:t>
      </w:r>
      <w:r>
        <w:rPr>
          <w:rFonts w:ascii="Arial"/>
          <w:i/>
          <w:spacing w:val="-3"/>
          <w:sz w:val="16"/>
        </w:rPr>
        <w:t> </w:t>
      </w:r>
      <w:r>
        <w:rPr>
          <w:rFonts w:ascii="Arial"/>
          <w:i/>
          <w:sz w:val="16"/>
        </w:rPr>
        <w:t>Other</w:t>
      </w:r>
      <w:r>
        <w:rPr>
          <w:rFonts w:ascii="Arial"/>
          <w:i/>
          <w:spacing w:val="-3"/>
          <w:sz w:val="16"/>
        </w:rPr>
        <w:t> </w:t>
      </w:r>
      <w:r>
        <w:rPr>
          <w:rFonts w:ascii="Arial"/>
          <w:i/>
          <w:sz w:val="16"/>
        </w:rPr>
        <w:t>fund</w:t>
      </w:r>
      <w:r>
        <w:rPr>
          <w:rFonts w:ascii="Arial"/>
          <w:i/>
          <w:spacing w:val="-4"/>
          <w:sz w:val="16"/>
        </w:rPr>
        <w:t> </w:t>
      </w:r>
      <w:r>
        <w:rPr>
          <w:rFonts w:ascii="Arial"/>
          <w:i/>
          <w:sz w:val="16"/>
        </w:rPr>
        <w:t>investments</w:t>
      </w:r>
      <w:r>
        <w:rPr>
          <w:rFonts w:ascii="Arial"/>
          <w:i/>
          <w:spacing w:val="-3"/>
          <w:sz w:val="16"/>
        </w:rPr>
        <w:t> </w:t>
      </w:r>
      <w:r>
        <w:rPr>
          <w:rFonts w:ascii="Arial"/>
          <w:i/>
          <w:sz w:val="16"/>
        </w:rPr>
        <w:t>are</w:t>
      </w:r>
      <w:r>
        <w:rPr>
          <w:rFonts w:ascii="Arial"/>
          <w:i/>
          <w:spacing w:val="-4"/>
          <w:sz w:val="16"/>
        </w:rPr>
        <w:t> </w:t>
      </w:r>
      <w:r>
        <w:rPr>
          <w:rFonts w:ascii="Arial"/>
          <w:i/>
          <w:sz w:val="16"/>
        </w:rPr>
        <w:t>comprised</w:t>
      </w:r>
      <w:r>
        <w:rPr>
          <w:rFonts w:ascii="Arial"/>
          <w:i/>
          <w:spacing w:val="-4"/>
          <w:sz w:val="16"/>
        </w:rPr>
        <w:t> </w:t>
      </w:r>
      <w:r>
        <w:rPr>
          <w:rFonts w:ascii="Arial"/>
          <w:i/>
          <w:sz w:val="16"/>
        </w:rPr>
        <w:t>of</w:t>
      </w:r>
      <w:r>
        <w:rPr>
          <w:rFonts w:ascii="Arial"/>
          <w:i/>
          <w:spacing w:val="-3"/>
          <w:sz w:val="16"/>
        </w:rPr>
        <w:t> </w:t>
      </w:r>
      <w:r>
        <w:rPr>
          <w:rFonts w:ascii="Arial"/>
          <w:i/>
          <w:sz w:val="16"/>
        </w:rPr>
        <w:t>investments</w:t>
      </w:r>
      <w:r>
        <w:rPr>
          <w:rFonts w:ascii="Arial"/>
          <w:i/>
          <w:spacing w:val="-3"/>
          <w:sz w:val="16"/>
        </w:rPr>
        <w:t> </w:t>
      </w:r>
      <w:r>
        <w:rPr>
          <w:rFonts w:ascii="Arial"/>
          <w:i/>
          <w:sz w:val="16"/>
        </w:rPr>
        <w:t>in</w:t>
      </w:r>
      <w:r>
        <w:rPr>
          <w:rFonts w:ascii="Arial"/>
          <w:i/>
          <w:spacing w:val="-4"/>
          <w:sz w:val="16"/>
        </w:rPr>
        <w:t> </w:t>
      </w:r>
      <w:r>
        <w:rPr>
          <w:rFonts w:ascii="Arial"/>
          <w:i/>
          <w:sz w:val="16"/>
        </w:rPr>
        <w:t>hedge</w:t>
      </w:r>
      <w:r>
        <w:rPr>
          <w:rFonts w:ascii="Arial"/>
          <w:i/>
          <w:spacing w:val="-4"/>
          <w:sz w:val="16"/>
        </w:rPr>
        <w:t> </w:t>
      </w:r>
      <w:r>
        <w:rPr>
          <w:rFonts w:ascii="Arial"/>
          <w:i/>
          <w:sz w:val="16"/>
        </w:rPr>
        <w:t>funds,</w:t>
      </w:r>
      <w:r>
        <w:rPr>
          <w:rFonts w:ascii="Arial"/>
          <w:i/>
          <w:spacing w:val="-3"/>
          <w:sz w:val="16"/>
        </w:rPr>
        <w:t> </w:t>
      </w:r>
      <w:r>
        <w:rPr>
          <w:rFonts w:ascii="Arial"/>
          <w:i/>
          <w:sz w:val="16"/>
        </w:rPr>
        <w:t>private</w:t>
      </w:r>
      <w:r>
        <w:rPr>
          <w:rFonts w:ascii="Arial"/>
          <w:i/>
          <w:spacing w:val="-4"/>
          <w:sz w:val="16"/>
        </w:rPr>
        <w:t> </w:t>
      </w:r>
      <w:r>
        <w:rPr>
          <w:rFonts w:ascii="Arial"/>
          <w:i/>
          <w:sz w:val="16"/>
        </w:rPr>
        <w:t>equity</w:t>
      </w:r>
      <w:r>
        <w:rPr>
          <w:rFonts w:ascii="Arial"/>
          <w:i/>
          <w:spacing w:val="-3"/>
          <w:sz w:val="16"/>
        </w:rPr>
        <w:t> </w:t>
      </w:r>
      <w:r>
        <w:rPr>
          <w:rFonts w:ascii="Arial"/>
          <w:i/>
          <w:sz w:val="16"/>
        </w:rPr>
        <w:t>funds, commingled funds, credit strategy funds and real estate funds, at net asset value (NAV).</w:t>
      </w:r>
    </w:p>
    <w:p>
      <w:pPr>
        <w:pStyle w:val="ListParagraph"/>
        <w:spacing w:after="0" w:line="208" w:lineRule="auto"/>
        <w:jc w:val="left"/>
        <w:rPr>
          <w:rFonts w:ascii="Arial"/>
          <w:i/>
          <w:sz w:val="16"/>
        </w:rPr>
        <w:sectPr>
          <w:headerReference w:type="default" r:id="rId148"/>
          <w:pgSz w:w="12240" w:h="15840"/>
          <w:pgMar w:header="0" w:footer="0" w:top="960" w:bottom="720" w:left="720" w:right="720"/>
        </w:sectPr>
      </w:pPr>
    </w:p>
    <w:p>
      <w:pPr>
        <w:pStyle w:val="BodyText"/>
        <w:spacing w:line="208" w:lineRule="auto" w:before="96"/>
        <w:ind w:left="720" w:right="719"/>
      </w:pPr>
      <w:r>
        <w:rPr/>
        <w:t>IBRD</w:t>
      </w:r>
      <w:r>
        <w:rPr>
          <w:spacing w:val="37"/>
        </w:rPr>
        <w:t> </w:t>
      </w:r>
      <w:r>
        <w:rPr/>
        <w:t>manages</w:t>
      </w:r>
      <w:r>
        <w:rPr>
          <w:spacing w:val="37"/>
        </w:rPr>
        <w:t> </w:t>
      </w:r>
      <w:r>
        <w:rPr/>
        <w:t>its</w:t>
      </w:r>
      <w:r>
        <w:rPr>
          <w:spacing w:val="37"/>
        </w:rPr>
        <w:t> </w:t>
      </w:r>
      <w:r>
        <w:rPr/>
        <w:t>investments</w:t>
      </w:r>
      <w:r>
        <w:rPr>
          <w:spacing w:val="37"/>
        </w:rPr>
        <w:t> </w:t>
      </w:r>
      <w:r>
        <w:rPr/>
        <w:t>on</w:t>
      </w:r>
      <w:r>
        <w:rPr>
          <w:spacing w:val="37"/>
        </w:rPr>
        <w:t> </w:t>
      </w:r>
      <w:r>
        <w:rPr/>
        <w:t>a</w:t>
      </w:r>
      <w:r>
        <w:rPr>
          <w:spacing w:val="37"/>
        </w:rPr>
        <w:t> </w:t>
      </w:r>
      <w:r>
        <w:rPr/>
        <w:t>net</w:t>
      </w:r>
      <w:r>
        <w:rPr>
          <w:spacing w:val="37"/>
        </w:rPr>
        <w:t> </w:t>
      </w:r>
      <w:r>
        <w:rPr/>
        <w:t>portfolio</w:t>
      </w:r>
      <w:r>
        <w:rPr>
          <w:spacing w:val="37"/>
        </w:rPr>
        <w:t> </w:t>
      </w:r>
      <w:r>
        <w:rPr/>
        <w:t>basis.</w:t>
      </w:r>
      <w:r>
        <w:rPr>
          <w:spacing w:val="37"/>
        </w:rPr>
        <w:t> </w:t>
      </w:r>
      <w:r>
        <w:rPr/>
        <w:t>The</w:t>
      </w:r>
      <w:r>
        <w:rPr>
          <w:spacing w:val="37"/>
        </w:rPr>
        <w:t> </w:t>
      </w:r>
      <w:r>
        <w:rPr/>
        <w:t>following</w:t>
      </w:r>
      <w:r>
        <w:rPr>
          <w:spacing w:val="37"/>
        </w:rPr>
        <w:t> </w:t>
      </w:r>
      <w:r>
        <w:rPr/>
        <w:t>table</w:t>
      </w:r>
      <w:r>
        <w:rPr>
          <w:spacing w:val="37"/>
        </w:rPr>
        <w:t> </w:t>
      </w:r>
      <w:r>
        <w:rPr/>
        <w:t>summarizes</w:t>
      </w:r>
      <w:r>
        <w:rPr>
          <w:spacing w:val="37"/>
        </w:rPr>
        <w:t> </w:t>
      </w:r>
      <w:r>
        <w:rPr/>
        <w:t>IBRD’s</w:t>
      </w:r>
      <w:r>
        <w:rPr>
          <w:spacing w:val="37"/>
        </w:rPr>
        <w:t> </w:t>
      </w:r>
      <w:r>
        <w:rPr/>
        <w:t>net</w:t>
      </w:r>
      <w:r>
        <w:rPr>
          <w:spacing w:val="37"/>
        </w:rPr>
        <w:t> </w:t>
      </w:r>
      <w:r>
        <w:rPr/>
        <w:t>portfolio </w:t>
      </w:r>
      <w:r>
        <w:rPr>
          <w:spacing w:val="-2"/>
        </w:rPr>
        <w:t>position:</w:t>
      </w:r>
    </w:p>
    <w:p>
      <w:pPr>
        <w:pStyle w:val="Heading8"/>
        <w:spacing w:before="92"/>
      </w:pPr>
      <w:r>
        <w:rPr/>
        <w:t>Table</w:t>
      </w:r>
      <w:r>
        <w:rPr>
          <w:spacing w:val="-5"/>
        </w:rPr>
        <w:t> </w:t>
      </w:r>
      <w:r>
        <w:rPr/>
        <w:t>C2:</w:t>
      </w:r>
      <w:r>
        <w:rPr>
          <w:spacing w:val="-3"/>
        </w:rPr>
        <w:t> </w:t>
      </w:r>
      <w:r>
        <w:rPr/>
        <w:t>Net</w:t>
      </w:r>
      <w:r>
        <w:rPr>
          <w:spacing w:val="-3"/>
        </w:rPr>
        <w:t> </w:t>
      </w:r>
      <w:r>
        <w:rPr/>
        <w:t>investment</w:t>
      </w:r>
      <w:r>
        <w:rPr>
          <w:spacing w:val="-3"/>
        </w:rPr>
        <w:t> </w:t>
      </w:r>
      <w:r>
        <w:rPr/>
        <w:t>portfolio</w:t>
      </w:r>
      <w:r>
        <w:rPr>
          <w:spacing w:val="-3"/>
        </w:rPr>
        <w:t> </w:t>
      </w:r>
      <w:r>
        <w:rPr>
          <w:spacing w:val="-2"/>
        </w:rPr>
        <w:t>position</w:t>
      </w:r>
    </w:p>
    <w:p>
      <w:pPr>
        <w:spacing w:before="48"/>
        <w:ind w:left="720"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686144">
                <wp:simplePos x="0" y="0"/>
                <wp:positionH relativeFrom="page">
                  <wp:posOffset>914400</wp:posOffset>
                </wp:positionH>
                <wp:positionV relativeFrom="paragraph">
                  <wp:posOffset>166276</wp:posOffset>
                </wp:positionV>
                <wp:extent cx="5943600" cy="1270"/>
                <wp:effectExtent l="0" t="0" r="0" b="0"/>
                <wp:wrapTopAndBottom/>
                <wp:docPr id="737" name="Graphic 737"/>
                <wp:cNvGraphicFramePr>
                  <a:graphicFrameLocks/>
                </wp:cNvGraphicFramePr>
                <a:graphic>
                  <a:graphicData uri="http://schemas.microsoft.com/office/word/2010/wordprocessingShape">
                    <wps:wsp>
                      <wps:cNvPr id="737" name="Graphic 73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092676pt;width:468pt;height:.1pt;mso-position-horizontal-relative:page;mso-position-vertical-relative:paragraph;z-index:-15630336;mso-wrap-distance-left:0;mso-wrap-distance-right:0" id="docshape626" coordorigin="1440,262" coordsize="9360,0" path="m1440,262l10800,26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8673" w:val="left" w:leader="none"/>
        </w:tabs>
        <w:spacing w:before="16" w:after="30"/>
        <w:ind w:left="6678"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3"/>
          <w:sz w:val="16"/>
        </w:rPr>
        <w:t> </w:t>
      </w:r>
      <w:r>
        <w:rPr>
          <w:rFonts w:ascii="Arial"/>
          <w:i/>
          <w:sz w:val="16"/>
        </w:rPr>
        <w:t>30,</w:t>
      </w:r>
      <w:r>
        <w:rPr>
          <w:rFonts w:ascii="Arial"/>
          <w:i/>
          <w:spacing w:val="-2"/>
          <w:sz w:val="16"/>
        </w:rPr>
        <w:t> </w:t>
      </w:r>
      <w:r>
        <w:rPr>
          <w:rFonts w:ascii="Arial"/>
          <w:i/>
          <w:spacing w:val="-4"/>
          <w:sz w:val="16"/>
        </w:rPr>
        <w:t>2022</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5"/>
        <w:gridCol w:w="692"/>
        <w:gridCol w:w="1107"/>
        <w:gridCol w:w="194"/>
        <w:gridCol w:w="691"/>
        <w:gridCol w:w="1106"/>
      </w:tblGrid>
      <w:tr>
        <w:trPr>
          <w:trHeight w:val="230" w:hRule="atLeast"/>
        </w:trPr>
        <w:tc>
          <w:tcPr>
            <w:tcW w:w="5565" w:type="dxa"/>
          </w:tcPr>
          <w:p>
            <w:pPr>
              <w:pStyle w:val="TableParagraph"/>
              <w:spacing w:before="16"/>
              <w:ind w:left="52"/>
              <w:rPr>
                <w:rFonts w:ascii="Arial"/>
                <w:b/>
                <w:sz w:val="16"/>
              </w:rPr>
            </w:pPr>
            <w:r>
              <w:rPr>
                <w:rFonts w:ascii="Arial"/>
                <w:b/>
                <w:spacing w:val="-2"/>
                <w:sz w:val="16"/>
              </w:rPr>
              <w:t>Investments-Trading</w:t>
            </w:r>
          </w:p>
        </w:tc>
        <w:tc>
          <w:tcPr>
            <w:tcW w:w="692" w:type="dxa"/>
            <w:tcBorders>
              <w:top w:val="single" w:sz="8" w:space="0" w:color="000000"/>
            </w:tcBorders>
          </w:tcPr>
          <w:p>
            <w:pPr>
              <w:pStyle w:val="TableParagraph"/>
              <w:spacing w:before="16"/>
              <w:ind w:left="52"/>
              <w:rPr>
                <w:sz w:val="16"/>
              </w:rPr>
            </w:pPr>
            <w:r>
              <w:rPr>
                <w:spacing w:val="-10"/>
                <w:sz w:val="16"/>
              </w:rPr>
              <w:t>$</w:t>
            </w:r>
          </w:p>
        </w:tc>
        <w:tc>
          <w:tcPr>
            <w:tcW w:w="1107" w:type="dxa"/>
            <w:tcBorders>
              <w:top w:val="single" w:sz="8" w:space="0" w:color="000000"/>
            </w:tcBorders>
          </w:tcPr>
          <w:p>
            <w:pPr>
              <w:pStyle w:val="TableParagraph"/>
              <w:spacing w:before="16"/>
              <w:ind w:right="65"/>
              <w:jc w:val="right"/>
              <w:rPr>
                <w:sz w:val="16"/>
              </w:rPr>
            </w:pPr>
            <w:r>
              <w:rPr>
                <w:spacing w:val="-2"/>
                <w:sz w:val="16"/>
              </w:rPr>
              <w:t>79,199</w:t>
            </w:r>
          </w:p>
        </w:tc>
        <w:tc>
          <w:tcPr>
            <w:tcW w:w="194" w:type="dxa"/>
          </w:tcPr>
          <w:p>
            <w:pPr>
              <w:pStyle w:val="TableParagraph"/>
              <w:rPr>
                <w:rFonts w:ascii="Times New Roman"/>
                <w:sz w:val="16"/>
              </w:rPr>
            </w:pPr>
          </w:p>
        </w:tc>
        <w:tc>
          <w:tcPr>
            <w:tcW w:w="691" w:type="dxa"/>
            <w:tcBorders>
              <w:top w:val="single" w:sz="8" w:space="0" w:color="000000"/>
            </w:tcBorders>
          </w:tcPr>
          <w:p>
            <w:pPr>
              <w:pStyle w:val="TableParagraph"/>
              <w:spacing w:before="16"/>
              <w:ind w:left="54"/>
              <w:rPr>
                <w:sz w:val="16"/>
              </w:rPr>
            </w:pPr>
            <w:r>
              <w:rPr>
                <w:spacing w:val="-10"/>
                <w:sz w:val="16"/>
              </w:rPr>
              <w:t>$</w:t>
            </w:r>
          </w:p>
        </w:tc>
        <w:tc>
          <w:tcPr>
            <w:tcW w:w="1106" w:type="dxa"/>
            <w:tcBorders>
              <w:top w:val="single" w:sz="8" w:space="0" w:color="000000"/>
            </w:tcBorders>
          </w:tcPr>
          <w:p>
            <w:pPr>
              <w:pStyle w:val="TableParagraph"/>
              <w:spacing w:before="16"/>
              <w:ind w:right="61"/>
              <w:jc w:val="right"/>
              <w:rPr>
                <w:sz w:val="16"/>
              </w:rPr>
            </w:pPr>
            <w:r>
              <w:rPr>
                <w:spacing w:val="-2"/>
                <w:sz w:val="16"/>
              </w:rPr>
              <w:t>81,783</w:t>
            </w:r>
          </w:p>
        </w:tc>
      </w:tr>
      <w:tr>
        <w:trPr>
          <w:trHeight w:val="250" w:hRule="atLeast"/>
        </w:trPr>
        <w:tc>
          <w:tcPr>
            <w:tcW w:w="5565" w:type="dxa"/>
          </w:tcPr>
          <w:p>
            <w:pPr>
              <w:pStyle w:val="TableParagraph"/>
              <w:spacing w:before="25"/>
              <w:ind w:left="52"/>
              <w:rPr>
                <w:rFonts w:ascii="Arial"/>
                <w:b/>
                <w:sz w:val="16"/>
              </w:rPr>
            </w:pPr>
            <w:r>
              <w:rPr>
                <w:rFonts w:ascii="Arial"/>
                <w:b/>
                <w:sz w:val="16"/>
              </w:rPr>
              <w:t>Securities</w:t>
            </w:r>
            <w:r>
              <w:rPr>
                <w:rFonts w:ascii="Arial"/>
                <w:b/>
                <w:spacing w:val="-7"/>
                <w:sz w:val="16"/>
              </w:rPr>
              <w:t> </w:t>
            </w:r>
            <w:r>
              <w:rPr>
                <w:rFonts w:ascii="Arial"/>
                <w:b/>
                <w:sz w:val="16"/>
              </w:rPr>
              <w:t>purchased</w:t>
            </w:r>
            <w:r>
              <w:rPr>
                <w:rFonts w:ascii="Arial"/>
                <w:b/>
                <w:spacing w:val="-6"/>
                <w:sz w:val="16"/>
              </w:rPr>
              <w:t> </w:t>
            </w:r>
            <w:r>
              <w:rPr>
                <w:rFonts w:ascii="Arial"/>
                <w:b/>
                <w:sz w:val="16"/>
              </w:rPr>
              <w:t>under</w:t>
            </w:r>
            <w:r>
              <w:rPr>
                <w:rFonts w:ascii="Arial"/>
                <w:b/>
                <w:spacing w:val="-5"/>
                <w:sz w:val="16"/>
              </w:rPr>
              <w:t> </w:t>
            </w:r>
            <w:r>
              <w:rPr>
                <w:rFonts w:ascii="Arial"/>
                <w:b/>
                <w:sz w:val="16"/>
              </w:rPr>
              <w:t>resale</w:t>
            </w:r>
            <w:r>
              <w:rPr>
                <w:rFonts w:ascii="Arial"/>
                <w:b/>
                <w:spacing w:val="-6"/>
                <w:sz w:val="16"/>
              </w:rPr>
              <w:t> </w:t>
            </w:r>
            <w:r>
              <w:rPr>
                <w:rFonts w:ascii="Arial"/>
                <w:b/>
                <w:spacing w:val="-2"/>
                <w:sz w:val="16"/>
              </w:rPr>
              <w:t>agreements</w:t>
            </w:r>
          </w:p>
        </w:tc>
        <w:tc>
          <w:tcPr>
            <w:tcW w:w="692" w:type="dxa"/>
          </w:tcPr>
          <w:p>
            <w:pPr>
              <w:pStyle w:val="TableParagraph"/>
              <w:rPr>
                <w:rFonts w:ascii="Times New Roman"/>
                <w:sz w:val="16"/>
              </w:rPr>
            </w:pPr>
          </w:p>
        </w:tc>
        <w:tc>
          <w:tcPr>
            <w:tcW w:w="1107" w:type="dxa"/>
          </w:tcPr>
          <w:p>
            <w:pPr>
              <w:pStyle w:val="TableParagraph"/>
              <w:spacing w:before="25"/>
              <w:ind w:right="65"/>
              <w:jc w:val="right"/>
              <w:rPr>
                <w:sz w:val="16"/>
              </w:rPr>
            </w:pPr>
            <w:r>
              <w:rPr>
                <w:spacing w:val="-5"/>
                <w:sz w:val="16"/>
              </w:rPr>
              <w:t>78</w:t>
            </w: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spacing w:before="25"/>
              <w:ind w:right="61"/>
              <w:jc w:val="right"/>
              <w:rPr>
                <w:sz w:val="16"/>
              </w:rPr>
            </w:pPr>
            <w:r>
              <w:rPr>
                <w:spacing w:val="-5"/>
                <w:sz w:val="16"/>
              </w:rPr>
              <w:t>37</w:t>
            </w:r>
          </w:p>
        </w:tc>
      </w:tr>
      <w:tr>
        <w:trPr>
          <w:trHeight w:val="226" w:hRule="atLeast"/>
        </w:trPr>
        <w:tc>
          <w:tcPr>
            <w:tcW w:w="5565" w:type="dxa"/>
          </w:tcPr>
          <w:p>
            <w:pPr>
              <w:pStyle w:val="TableParagraph"/>
              <w:spacing w:line="171" w:lineRule="exact" w:before="36"/>
              <w:ind w:left="52"/>
              <w:rPr>
                <w:rFonts w:ascii="Arial"/>
                <w:b/>
                <w:sz w:val="16"/>
              </w:rPr>
            </w:pPr>
            <w:r>
              <w:rPr>
                <w:rFonts w:ascii="Arial"/>
                <w:b/>
                <w:sz w:val="16"/>
              </w:rPr>
              <w:t>Securities</w:t>
            </w:r>
            <w:r>
              <w:rPr>
                <w:rFonts w:ascii="Arial"/>
                <w:b/>
                <w:spacing w:val="-7"/>
                <w:sz w:val="16"/>
              </w:rPr>
              <w:t> </w:t>
            </w:r>
            <w:r>
              <w:rPr>
                <w:rFonts w:ascii="Arial"/>
                <w:b/>
                <w:sz w:val="16"/>
              </w:rPr>
              <w:t>sold</w:t>
            </w:r>
            <w:r>
              <w:rPr>
                <w:rFonts w:ascii="Arial"/>
                <w:b/>
                <w:spacing w:val="-6"/>
                <w:sz w:val="16"/>
              </w:rPr>
              <w:t> </w:t>
            </w:r>
            <w:r>
              <w:rPr>
                <w:rFonts w:ascii="Arial"/>
                <w:b/>
                <w:sz w:val="16"/>
              </w:rPr>
              <w:t>under</w:t>
            </w:r>
            <w:r>
              <w:rPr>
                <w:rFonts w:ascii="Arial"/>
                <w:b/>
                <w:spacing w:val="-5"/>
                <w:sz w:val="16"/>
              </w:rPr>
              <w:t> </w:t>
            </w:r>
            <w:r>
              <w:rPr>
                <w:rFonts w:ascii="Arial"/>
                <w:b/>
                <w:sz w:val="16"/>
              </w:rPr>
              <w:t>repurchase</w:t>
            </w:r>
            <w:r>
              <w:rPr>
                <w:rFonts w:ascii="Arial"/>
                <w:b/>
                <w:spacing w:val="-7"/>
                <w:sz w:val="16"/>
              </w:rPr>
              <w:t> </w:t>
            </w:r>
            <w:r>
              <w:rPr>
                <w:rFonts w:ascii="Arial"/>
                <w:b/>
                <w:sz w:val="16"/>
              </w:rPr>
              <w:t>agreements,</w:t>
            </w:r>
            <w:r>
              <w:rPr>
                <w:rFonts w:ascii="Arial"/>
                <w:b/>
                <w:spacing w:val="-5"/>
                <w:sz w:val="16"/>
              </w:rPr>
              <w:t> </w:t>
            </w:r>
            <w:r>
              <w:rPr>
                <w:rFonts w:ascii="Arial"/>
                <w:b/>
                <w:sz w:val="16"/>
              </w:rPr>
              <w:t>securities</w:t>
            </w:r>
            <w:r>
              <w:rPr>
                <w:rFonts w:ascii="Arial"/>
                <w:b/>
                <w:spacing w:val="-6"/>
                <w:sz w:val="16"/>
              </w:rPr>
              <w:t> </w:t>
            </w:r>
            <w:r>
              <w:rPr>
                <w:rFonts w:ascii="Arial"/>
                <w:b/>
                <w:sz w:val="16"/>
              </w:rPr>
              <w:t>lent</w:t>
            </w:r>
            <w:r>
              <w:rPr>
                <w:rFonts w:ascii="Arial"/>
                <w:b/>
                <w:spacing w:val="-5"/>
                <w:sz w:val="16"/>
              </w:rPr>
              <w:t> </w:t>
            </w:r>
            <w:r>
              <w:rPr>
                <w:rFonts w:ascii="Arial"/>
                <w:b/>
                <w:spacing w:val="-2"/>
                <w:sz w:val="16"/>
              </w:rPr>
              <w:t>under</w:t>
            </w:r>
          </w:p>
        </w:tc>
        <w:tc>
          <w:tcPr>
            <w:tcW w:w="692" w:type="dxa"/>
          </w:tcPr>
          <w:p>
            <w:pPr>
              <w:pStyle w:val="TableParagraph"/>
              <w:rPr>
                <w:rFonts w:ascii="Times New Roman"/>
                <w:sz w:val="16"/>
              </w:rPr>
            </w:pPr>
          </w:p>
        </w:tc>
        <w:tc>
          <w:tcPr>
            <w:tcW w:w="1107" w:type="dxa"/>
          </w:tcPr>
          <w:p>
            <w:pPr>
              <w:pStyle w:val="TableParagraph"/>
              <w:rPr>
                <w:rFonts w:ascii="Times New Roman"/>
                <w:sz w:val="16"/>
              </w:rPr>
            </w:pP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rPr>
                <w:rFonts w:ascii="Times New Roman"/>
                <w:sz w:val="16"/>
              </w:rPr>
            </w:pPr>
          </w:p>
        </w:tc>
      </w:tr>
      <w:tr>
        <w:trPr>
          <w:trHeight w:val="408" w:hRule="atLeast"/>
        </w:trPr>
        <w:tc>
          <w:tcPr>
            <w:tcW w:w="5565" w:type="dxa"/>
          </w:tcPr>
          <w:p>
            <w:pPr>
              <w:pStyle w:val="TableParagraph"/>
              <w:spacing w:line="249" w:lineRule="auto" w:before="1"/>
              <w:ind w:left="232" w:right="20"/>
              <w:rPr>
                <w:rFonts w:ascii="Arial"/>
                <w:b/>
                <w:sz w:val="16"/>
              </w:rPr>
            </w:pPr>
            <w:r>
              <w:rPr>
                <w:rFonts w:ascii="Arial"/>
                <w:b/>
                <w:sz w:val="16"/>
              </w:rPr>
              <w:t>securities</w:t>
            </w:r>
            <w:r>
              <w:rPr>
                <w:rFonts w:ascii="Arial"/>
                <w:b/>
                <w:spacing w:val="-7"/>
                <w:sz w:val="16"/>
              </w:rPr>
              <w:t> </w:t>
            </w:r>
            <w:r>
              <w:rPr>
                <w:rFonts w:ascii="Arial"/>
                <w:b/>
                <w:sz w:val="16"/>
              </w:rPr>
              <w:t>lending</w:t>
            </w:r>
            <w:r>
              <w:rPr>
                <w:rFonts w:ascii="Arial"/>
                <w:b/>
                <w:spacing w:val="-7"/>
                <w:sz w:val="16"/>
              </w:rPr>
              <w:t> </w:t>
            </w:r>
            <w:r>
              <w:rPr>
                <w:rFonts w:ascii="Arial"/>
                <w:b/>
                <w:sz w:val="16"/>
              </w:rPr>
              <w:t>agreements,</w:t>
            </w:r>
            <w:r>
              <w:rPr>
                <w:rFonts w:ascii="Arial"/>
                <w:b/>
                <w:spacing w:val="-6"/>
                <w:sz w:val="16"/>
              </w:rPr>
              <w:t> </w:t>
            </w:r>
            <w:r>
              <w:rPr>
                <w:rFonts w:ascii="Arial"/>
                <w:b/>
                <w:sz w:val="16"/>
              </w:rPr>
              <w:t>and</w:t>
            </w:r>
            <w:r>
              <w:rPr>
                <w:rFonts w:ascii="Arial"/>
                <w:b/>
                <w:spacing w:val="-7"/>
                <w:sz w:val="16"/>
              </w:rPr>
              <w:t> </w:t>
            </w:r>
            <w:r>
              <w:rPr>
                <w:rFonts w:ascii="Arial"/>
                <w:b/>
                <w:sz w:val="16"/>
              </w:rPr>
              <w:t>payable</w:t>
            </w:r>
            <w:r>
              <w:rPr>
                <w:rFonts w:ascii="Arial"/>
                <w:b/>
                <w:spacing w:val="-7"/>
                <w:sz w:val="16"/>
              </w:rPr>
              <w:t> </w:t>
            </w:r>
            <w:r>
              <w:rPr>
                <w:rFonts w:ascii="Arial"/>
                <w:b/>
                <w:sz w:val="16"/>
              </w:rPr>
              <w:t>for</w:t>
            </w:r>
            <w:r>
              <w:rPr>
                <w:rFonts w:ascii="Arial"/>
                <w:b/>
                <w:spacing w:val="-6"/>
                <w:sz w:val="16"/>
              </w:rPr>
              <w:t> </w:t>
            </w:r>
            <w:r>
              <w:rPr>
                <w:rFonts w:ascii="Arial"/>
                <w:b/>
                <w:sz w:val="16"/>
              </w:rPr>
              <w:t>cash</w:t>
            </w:r>
            <w:r>
              <w:rPr>
                <w:rFonts w:ascii="Arial"/>
                <w:b/>
                <w:spacing w:val="-7"/>
                <w:sz w:val="16"/>
              </w:rPr>
              <w:t> </w:t>
            </w:r>
            <w:r>
              <w:rPr>
                <w:rFonts w:ascii="Arial"/>
                <w:b/>
                <w:sz w:val="16"/>
              </w:rPr>
              <w:t>collateral received </w:t>
            </w:r>
            <w:r>
              <w:rPr>
                <w:rFonts w:ascii="Arial"/>
                <w:b/>
                <w:sz w:val="16"/>
                <w:vertAlign w:val="superscript"/>
              </w:rPr>
              <w:t>a</w:t>
            </w:r>
          </w:p>
        </w:tc>
        <w:tc>
          <w:tcPr>
            <w:tcW w:w="692" w:type="dxa"/>
          </w:tcPr>
          <w:p>
            <w:pPr>
              <w:pStyle w:val="TableParagraph"/>
              <w:rPr>
                <w:rFonts w:ascii="Times New Roman"/>
                <w:sz w:val="16"/>
              </w:rPr>
            </w:pPr>
          </w:p>
        </w:tc>
        <w:tc>
          <w:tcPr>
            <w:tcW w:w="1107" w:type="dxa"/>
          </w:tcPr>
          <w:p>
            <w:pPr>
              <w:pStyle w:val="TableParagraph"/>
              <w:spacing w:before="9"/>
              <w:rPr>
                <w:rFonts w:ascii="Arial"/>
                <w:i/>
                <w:sz w:val="16"/>
              </w:rPr>
            </w:pPr>
          </w:p>
          <w:p>
            <w:pPr>
              <w:pStyle w:val="TableParagraph"/>
              <w:ind w:right="11"/>
              <w:jc w:val="right"/>
              <w:rPr>
                <w:sz w:val="16"/>
              </w:rPr>
            </w:pPr>
            <w:r>
              <w:rPr>
                <w:spacing w:val="-2"/>
                <w:sz w:val="16"/>
              </w:rPr>
              <w:t>(149)</w:t>
            </w: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spacing w:before="9"/>
              <w:rPr>
                <w:rFonts w:ascii="Arial"/>
                <w:i/>
                <w:sz w:val="16"/>
              </w:rPr>
            </w:pPr>
          </w:p>
          <w:p>
            <w:pPr>
              <w:pStyle w:val="TableParagraph"/>
              <w:ind w:right="7"/>
              <w:jc w:val="right"/>
              <w:rPr>
                <w:sz w:val="16"/>
              </w:rPr>
            </w:pPr>
            <w:r>
              <w:rPr>
                <w:spacing w:val="-2"/>
                <w:sz w:val="16"/>
              </w:rPr>
              <w:t>(201)</w:t>
            </w:r>
          </w:p>
        </w:tc>
      </w:tr>
      <w:tr>
        <w:trPr>
          <w:trHeight w:val="209" w:hRule="atLeast"/>
        </w:trPr>
        <w:tc>
          <w:tcPr>
            <w:tcW w:w="5565" w:type="dxa"/>
          </w:tcPr>
          <w:p>
            <w:pPr>
              <w:pStyle w:val="TableParagraph"/>
              <w:spacing w:line="164" w:lineRule="exact" w:before="25"/>
              <w:ind w:left="52"/>
              <w:rPr>
                <w:rFonts w:ascii="Arial"/>
                <w:b/>
                <w:sz w:val="16"/>
              </w:rPr>
            </w:pPr>
            <w:r>
              <w:rPr>
                <w:rFonts w:ascii="Arial"/>
                <w:b/>
                <w:sz w:val="16"/>
              </w:rPr>
              <w:t>Derivative</w:t>
            </w:r>
            <w:r>
              <w:rPr>
                <w:rFonts w:ascii="Arial"/>
                <w:b/>
                <w:spacing w:val="-7"/>
                <w:sz w:val="16"/>
              </w:rPr>
              <w:t> </w:t>
            </w:r>
            <w:r>
              <w:rPr>
                <w:rFonts w:ascii="Arial"/>
                <w:b/>
                <w:spacing w:val="-2"/>
                <w:sz w:val="16"/>
              </w:rPr>
              <w:t>assets</w:t>
            </w:r>
          </w:p>
        </w:tc>
        <w:tc>
          <w:tcPr>
            <w:tcW w:w="692" w:type="dxa"/>
          </w:tcPr>
          <w:p>
            <w:pPr>
              <w:pStyle w:val="TableParagraph"/>
              <w:rPr>
                <w:rFonts w:ascii="Times New Roman"/>
                <w:sz w:val="14"/>
              </w:rPr>
            </w:pPr>
          </w:p>
        </w:tc>
        <w:tc>
          <w:tcPr>
            <w:tcW w:w="1107" w:type="dxa"/>
          </w:tcPr>
          <w:p>
            <w:pPr>
              <w:pStyle w:val="TableParagraph"/>
              <w:rPr>
                <w:rFonts w:ascii="Times New Roman"/>
                <w:sz w:val="14"/>
              </w:rPr>
            </w:pPr>
          </w:p>
        </w:tc>
        <w:tc>
          <w:tcPr>
            <w:tcW w:w="194" w:type="dxa"/>
          </w:tcPr>
          <w:p>
            <w:pPr>
              <w:pStyle w:val="TableParagraph"/>
              <w:rPr>
                <w:rFonts w:ascii="Times New Roman"/>
                <w:sz w:val="14"/>
              </w:rPr>
            </w:pPr>
          </w:p>
        </w:tc>
        <w:tc>
          <w:tcPr>
            <w:tcW w:w="691" w:type="dxa"/>
          </w:tcPr>
          <w:p>
            <w:pPr>
              <w:pStyle w:val="TableParagraph"/>
              <w:rPr>
                <w:rFonts w:ascii="Times New Roman"/>
                <w:sz w:val="14"/>
              </w:rPr>
            </w:pPr>
          </w:p>
        </w:tc>
        <w:tc>
          <w:tcPr>
            <w:tcW w:w="1106" w:type="dxa"/>
          </w:tcPr>
          <w:p>
            <w:pPr>
              <w:pStyle w:val="TableParagraph"/>
              <w:rPr>
                <w:rFonts w:ascii="Times New Roman"/>
                <w:sz w:val="14"/>
              </w:rPr>
            </w:pPr>
          </w:p>
        </w:tc>
      </w:tr>
      <w:tr>
        <w:trPr>
          <w:trHeight w:val="270" w:hRule="atLeast"/>
        </w:trPr>
        <w:tc>
          <w:tcPr>
            <w:tcW w:w="5565" w:type="dxa"/>
          </w:tcPr>
          <w:p>
            <w:pPr>
              <w:pStyle w:val="TableParagraph"/>
              <w:spacing w:before="56"/>
              <w:ind w:left="412"/>
              <w:rPr>
                <w:sz w:val="16"/>
              </w:rPr>
            </w:pPr>
            <w:r>
              <w:rPr>
                <w:sz w:val="16"/>
              </w:rPr>
              <w:t>Currency</w:t>
            </w:r>
            <w:r>
              <w:rPr>
                <w:spacing w:val="-4"/>
                <w:sz w:val="16"/>
              </w:rPr>
              <w:t> </w:t>
            </w:r>
            <w:r>
              <w:rPr>
                <w:sz w:val="16"/>
              </w:rPr>
              <w:t>swaps</w:t>
            </w:r>
            <w:r>
              <w:rPr>
                <w:spacing w:val="-3"/>
                <w:sz w:val="16"/>
              </w:rPr>
              <w:t> </w:t>
            </w:r>
            <w:r>
              <w:rPr>
                <w:sz w:val="16"/>
              </w:rPr>
              <w:t>and</w:t>
            </w:r>
            <w:r>
              <w:rPr>
                <w:spacing w:val="-4"/>
                <w:sz w:val="16"/>
              </w:rPr>
              <w:t> </w:t>
            </w:r>
            <w:r>
              <w:rPr>
                <w:sz w:val="16"/>
              </w:rPr>
              <w:t>forward</w:t>
            </w:r>
            <w:r>
              <w:rPr>
                <w:spacing w:val="-3"/>
                <w:sz w:val="16"/>
              </w:rPr>
              <w:t> </w:t>
            </w:r>
            <w:r>
              <w:rPr>
                <w:spacing w:val="-2"/>
                <w:sz w:val="16"/>
              </w:rPr>
              <w:t>contracts</w:t>
            </w:r>
          </w:p>
        </w:tc>
        <w:tc>
          <w:tcPr>
            <w:tcW w:w="1799" w:type="dxa"/>
            <w:gridSpan w:val="2"/>
          </w:tcPr>
          <w:p>
            <w:pPr>
              <w:pStyle w:val="TableParagraph"/>
              <w:spacing w:before="56"/>
              <w:ind w:right="65"/>
              <w:jc w:val="right"/>
              <w:rPr>
                <w:sz w:val="16"/>
              </w:rPr>
            </w:pPr>
            <w:r>
              <w:rPr>
                <w:spacing w:val="-5"/>
                <w:sz w:val="16"/>
              </w:rPr>
              <w:t>926</w:t>
            </w:r>
          </w:p>
        </w:tc>
        <w:tc>
          <w:tcPr>
            <w:tcW w:w="194" w:type="dxa"/>
          </w:tcPr>
          <w:p>
            <w:pPr>
              <w:pStyle w:val="TableParagraph"/>
              <w:rPr>
                <w:rFonts w:ascii="Times New Roman"/>
                <w:sz w:val="16"/>
              </w:rPr>
            </w:pPr>
          </w:p>
        </w:tc>
        <w:tc>
          <w:tcPr>
            <w:tcW w:w="1797" w:type="dxa"/>
            <w:gridSpan w:val="2"/>
          </w:tcPr>
          <w:p>
            <w:pPr>
              <w:pStyle w:val="TableParagraph"/>
              <w:spacing w:before="56"/>
              <w:ind w:right="61"/>
              <w:jc w:val="right"/>
              <w:rPr>
                <w:sz w:val="16"/>
              </w:rPr>
            </w:pPr>
            <w:r>
              <w:rPr>
                <w:spacing w:val="-5"/>
                <w:sz w:val="16"/>
              </w:rPr>
              <w:t>941</w:t>
            </w:r>
          </w:p>
        </w:tc>
      </w:tr>
      <w:tr>
        <w:trPr>
          <w:trHeight w:val="240" w:hRule="atLeast"/>
        </w:trPr>
        <w:tc>
          <w:tcPr>
            <w:tcW w:w="5565" w:type="dxa"/>
          </w:tcPr>
          <w:p>
            <w:pPr>
              <w:pStyle w:val="TableParagraph"/>
              <w:spacing w:before="25"/>
              <w:ind w:left="457"/>
              <w:rPr>
                <w:sz w:val="16"/>
              </w:rPr>
            </w:pPr>
            <w:r>
              <w:rPr>
                <w:sz w:val="16"/>
              </w:rPr>
              <w:t>Interest</w:t>
            </w:r>
            <w:r>
              <w:rPr>
                <w:spacing w:val="-3"/>
                <w:sz w:val="16"/>
              </w:rPr>
              <w:t> </w:t>
            </w:r>
            <w:r>
              <w:rPr>
                <w:sz w:val="16"/>
              </w:rPr>
              <w:t>rate</w:t>
            </w:r>
            <w:r>
              <w:rPr>
                <w:spacing w:val="-2"/>
                <w:sz w:val="16"/>
              </w:rPr>
              <w:t> swaps</w:t>
            </w:r>
          </w:p>
        </w:tc>
        <w:tc>
          <w:tcPr>
            <w:tcW w:w="1799" w:type="dxa"/>
            <w:gridSpan w:val="2"/>
          </w:tcPr>
          <w:p>
            <w:pPr>
              <w:pStyle w:val="TableParagraph"/>
              <w:spacing w:before="25"/>
              <w:ind w:right="65"/>
              <w:jc w:val="right"/>
              <w:rPr>
                <w:sz w:val="16"/>
              </w:rPr>
            </w:pPr>
            <w:r>
              <w:rPr>
                <w:spacing w:val="-5"/>
                <w:sz w:val="16"/>
              </w:rPr>
              <w:t>18</w:t>
            </w:r>
          </w:p>
        </w:tc>
        <w:tc>
          <w:tcPr>
            <w:tcW w:w="194" w:type="dxa"/>
          </w:tcPr>
          <w:p>
            <w:pPr>
              <w:pStyle w:val="TableParagraph"/>
              <w:rPr>
                <w:rFonts w:ascii="Times New Roman"/>
                <w:sz w:val="16"/>
              </w:rPr>
            </w:pPr>
          </w:p>
        </w:tc>
        <w:tc>
          <w:tcPr>
            <w:tcW w:w="1797" w:type="dxa"/>
            <w:gridSpan w:val="2"/>
          </w:tcPr>
          <w:p>
            <w:pPr>
              <w:pStyle w:val="TableParagraph"/>
              <w:spacing w:before="25"/>
              <w:ind w:right="61"/>
              <w:jc w:val="right"/>
              <w:rPr>
                <w:sz w:val="16"/>
              </w:rPr>
            </w:pPr>
            <w:r>
              <w:rPr>
                <w:spacing w:val="-5"/>
                <w:sz w:val="16"/>
              </w:rPr>
              <w:t>19</w:t>
            </w:r>
          </w:p>
        </w:tc>
      </w:tr>
      <w:tr>
        <w:trPr>
          <w:trHeight w:val="229" w:hRule="atLeast"/>
        </w:trPr>
        <w:tc>
          <w:tcPr>
            <w:tcW w:w="5565" w:type="dxa"/>
          </w:tcPr>
          <w:p>
            <w:pPr>
              <w:pStyle w:val="TableParagraph"/>
              <w:spacing w:line="184" w:lineRule="exact" w:before="25"/>
              <w:ind w:left="457"/>
              <w:rPr>
                <w:sz w:val="16"/>
              </w:rPr>
            </w:pPr>
            <w:r>
              <w:rPr>
                <w:spacing w:val="-2"/>
                <w:sz w:val="16"/>
              </w:rPr>
              <w:t>Other</w:t>
            </w:r>
          </w:p>
        </w:tc>
        <w:tc>
          <w:tcPr>
            <w:tcW w:w="1799" w:type="dxa"/>
            <w:gridSpan w:val="2"/>
            <w:tcBorders>
              <w:bottom w:val="single" w:sz="8" w:space="0" w:color="000000"/>
            </w:tcBorders>
          </w:tcPr>
          <w:p>
            <w:pPr>
              <w:pStyle w:val="TableParagraph"/>
              <w:spacing w:line="184" w:lineRule="exact" w:before="25"/>
              <w:ind w:right="65"/>
              <w:jc w:val="right"/>
              <w:rPr>
                <w:sz w:val="16"/>
              </w:rPr>
            </w:pPr>
            <w:r>
              <w:rPr>
                <w:sz w:val="16"/>
              </w:rPr>
              <w:t>—</w:t>
            </w:r>
          </w:p>
        </w:tc>
        <w:tc>
          <w:tcPr>
            <w:tcW w:w="194" w:type="dxa"/>
          </w:tcPr>
          <w:p>
            <w:pPr>
              <w:pStyle w:val="TableParagraph"/>
              <w:rPr>
                <w:rFonts w:ascii="Times New Roman"/>
                <w:sz w:val="16"/>
              </w:rPr>
            </w:pPr>
          </w:p>
        </w:tc>
        <w:tc>
          <w:tcPr>
            <w:tcW w:w="1797" w:type="dxa"/>
            <w:gridSpan w:val="2"/>
            <w:tcBorders>
              <w:bottom w:val="single" w:sz="8" w:space="0" w:color="000000"/>
            </w:tcBorders>
          </w:tcPr>
          <w:p>
            <w:pPr>
              <w:pStyle w:val="TableParagraph"/>
              <w:spacing w:line="184" w:lineRule="exact" w:before="25"/>
              <w:ind w:right="61"/>
              <w:jc w:val="right"/>
              <w:rPr>
                <w:sz w:val="16"/>
              </w:rPr>
            </w:pPr>
            <w:r>
              <w:rPr>
                <w:spacing w:val="-10"/>
                <w:sz w:val="16"/>
              </w:rPr>
              <w:t>2</w:t>
            </w:r>
          </w:p>
        </w:tc>
      </w:tr>
      <w:tr>
        <w:trPr>
          <w:trHeight w:val="220" w:hRule="atLeast"/>
        </w:trPr>
        <w:tc>
          <w:tcPr>
            <w:tcW w:w="5565" w:type="dxa"/>
          </w:tcPr>
          <w:p>
            <w:pPr>
              <w:pStyle w:val="TableParagraph"/>
              <w:spacing w:line="184" w:lineRule="exact" w:before="16"/>
              <w:ind w:left="292"/>
              <w:rPr>
                <w:sz w:val="16"/>
              </w:rPr>
            </w:pPr>
            <w:r>
              <w:rPr>
                <w:spacing w:val="-2"/>
                <w:sz w:val="16"/>
              </w:rPr>
              <w:t>Total</w:t>
            </w:r>
          </w:p>
        </w:tc>
        <w:tc>
          <w:tcPr>
            <w:tcW w:w="1799" w:type="dxa"/>
            <w:gridSpan w:val="2"/>
            <w:tcBorders>
              <w:top w:val="single" w:sz="8" w:space="0" w:color="000000"/>
              <w:bottom w:val="single" w:sz="8" w:space="0" w:color="000000"/>
            </w:tcBorders>
          </w:tcPr>
          <w:p>
            <w:pPr>
              <w:pStyle w:val="TableParagraph"/>
              <w:spacing w:line="184" w:lineRule="exact" w:before="16"/>
              <w:ind w:right="65"/>
              <w:jc w:val="right"/>
              <w:rPr>
                <w:sz w:val="16"/>
              </w:rPr>
            </w:pPr>
            <w:r>
              <w:rPr>
                <w:spacing w:val="-5"/>
                <w:sz w:val="16"/>
              </w:rPr>
              <w:t>944</w:t>
            </w:r>
          </w:p>
        </w:tc>
        <w:tc>
          <w:tcPr>
            <w:tcW w:w="194" w:type="dxa"/>
          </w:tcPr>
          <w:p>
            <w:pPr>
              <w:pStyle w:val="TableParagraph"/>
              <w:rPr>
                <w:rFonts w:ascii="Times New Roman"/>
                <w:sz w:val="14"/>
              </w:rPr>
            </w:pPr>
          </w:p>
        </w:tc>
        <w:tc>
          <w:tcPr>
            <w:tcW w:w="1797" w:type="dxa"/>
            <w:gridSpan w:val="2"/>
            <w:tcBorders>
              <w:top w:val="single" w:sz="8" w:space="0" w:color="000000"/>
              <w:bottom w:val="single" w:sz="8" w:space="0" w:color="000000"/>
            </w:tcBorders>
          </w:tcPr>
          <w:p>
            <w:pPr>
              <w:pStyle w:val="TableParagraph"/>
              <w:spacing w:line="184" w:lineRule="exact" w:before="16"/>
              <w:ind w:right="61"/>
              <w:jc w:val="right"/>
              <w:rPr>
                <w:sz w:val="16"/>
              </w:rPr>
            </w:pPr>
            <w:r>
              <w:rPr>
                <w:spacing w:val="-5"/>
                <w:sz w:val="16"/>
              </w:rPr>
              <w:t>962</w:t>
            </w:r>
          </w:p>
        </w:tc>
      </w:tr>
      <w:tr>
        <w:trPr>
          <w:trHeight w:val="200" w:hRule="atLeast"/>
        </w:trPr>
        <w:tc>
          <w:tcPr>
            <w:tcW w:w="5565" w:type="dxa"/>
          </w:tcPr>
          <w:p>
            <w:pPr>
              <w:pStyle w:val="TableParagraph"/>
              <w:spacing w:line="164" w:lineRule="exact" w:before="16"/>
              <w:ind w:left="52"/>
              <w:rPr>
                <w:rFonts w:ascii="Arial"/>
                <w:b/>
                <w:sz w:val="16"/>
              </w:rPr>
            </w:pPr>
            <w:r>
              <w:rPr>
                <w:rFonts w:ascii="Arial"/>
                <w:b/>
                <w:sz w:val="16"/>
              </w:rPr>
              <w:t>Derivative</w:t>
            </w:r>
            <w:r>
              <w:rPr>
                <w:rFonts w:ascii="Arial"/>
                <w:b/>
                <w:spacing w:val="-7"/>
                <w:sz w:val="16"/>
              </w:rPr>
              <w:t> </w:t>
            </w:r>
            <w:r>
              <w:rPr>
                <w:rFonts w:ascii="Arial"/>
                <w:b/>
                <w:spacing w:val="-2"/>
                <w:sz w:val="16"/>
              </w:rPr>
              <w:t>liabilities</w:t>
            </w:r>
          </w:p>
        </w:tc>
        <w:tc>
          <w:tcPr>
            <w:tcW w:w="692" w:type="dxa"/>
            <w:tcBorders>
              <w:top w:val="single" w:sz="8" w:space="0" w:color="000000"/>
            </w:tcBorders>
          </w:tcPr>
          <w:p>
            <w:pPr>
              <w:pStyle w:val="TableParagraph"/>
              <w:rPr>
                <w:rFonts w:ascii="Times New Roman"/>
                <w:sz w:val="12"/>
              </w:rPr>
            </w:pPr>
          </w:p>
        </w:tc>
        <w:tc>
          <w:tcPr>
            <w:tcW w:w="1107" w:type="dxa"/>
            <w:tcBorders>
              <w:top w:val="single" w:sz="8" w:space="0" w:color="000000"/>
            </w:tcBorders>
          </w:tcPr>
          <w:p>
            <w:pPr>
              <w:pStyle w:val="TableParagraph"/>
              <w:rPr>
                <w:rFonts w:ascii="Times New Roman"/>
                <w:sz w:val="12"/>
              </w:rPr>
            </w:pPr>
          </w:p>
        </w:tc>
        <w:tc>
          <w:tcPr>
            <w:tcW w:w="194" w:type="dxa"/>
          </w:tcPr>
          <w:p>
            <w:pPr>
              <w:pStyle w:val="TableParagraph"/>
              <w:rPr>
                <w:rFonts w:ascii="Times New Roman"/>
                <w:sz w:val="12"/>
              </w:rPr>
            </w:pPr>
          </w:p>
        </w:tc>
        <w:tc>
          <w:tcPr>
            <w:tcW w:w="691" w:type="dxa"/>
            <w:tcBorders>
              <w:top w:val="single" w:sz="8" w:space="0" w:color="000000"/>
            </w:tcBorders>
          </w:tcPr>
          <w:p>
            <w:pPr>
              <w:pStyle w:val="TableParagraph"/>
              <w:rPr>
                <w:rFonts w:ascii="Times New Roman"/>
                <w:sz w:val="12"/>
              </w:rPr>
            </w:pPr>
          </w:p>
        </w:tc>
        <w:tc>
          <w:tcPr>
            <w:tcW w:w="1106" w:type="dxa"/>
            <w:tcBorders>
              <w:top w:val="single" w:sz="8" w:space="0" w:color="000000"/>
            </w:tcBorders>
          </w:tcPr>
          <w:p>
            <w:pPr>
              <w:pStyle w:val="TableParagraph"/>
              <w:rPr>
                <w:rFonts w:ascii="Times New Roman"/>
                <w:sz w:val="12"/>
              </w:rPr>
            </w:pPr>
          </w:p>
        </w:tc>
      </w:tr>
      <w:tr>
        <w:trPr>
          <w:trHeight w:val="270" w:hRule="atLeast"/>
        </w:trPr>
        <w:tc>
          <w:tcPr>
            <w:tcW w:w="5565" w:type="dxa"/>
          </w:tcPr>
          <w:p>
            <w:pPr>
              <w:pStyle w:val="TableParagraph"/>
              <w:spacing w:before="56"/>
              <w:ind w:left="457"/>
              <w:rPr>
                <w:sz w:val="16"/>
              </w:rPr>
            </w:pPr>
            <w:r>
              <w:rPr>
                <w:sz w:val="16"/>
              </w:rPr>
              <w:t>Currency</w:t>
            </w:r>
            <w:r>
              <w:rPr>
                <w:spacing w:val="-4"/>
                <w:sz w:val="16"/>
              </w:rPr>
              <w:t> </w:t>
            </w:r>
            <w:r>
              <w:rPr>
                <w:sz w:val="16"/>
              </w:rPr>
              <w:t>swaps</w:t>
            </w:r>
            <w:r>
              <w:rPr>
                <w:spacing w:val="-3"/>
                <w:sz w:val="16"/>
              </w:rPr>
              <w:t> </w:t>
            </w:r>
            <w:r>
              <w:rPr>
                <w:sz w:val="16"/>
              </w:rPr>
              <w:t>and</w:t>
            </w:r>
            <w:r>
              <w:rPr>
                <w:spacing w:val="-4"/>
                <w:sz w:val="16"/>
              </w:rPr>
              <w:t> </w:t>
            </w:r>
            <w:r>
              <w:rPr>
                <w:sz w:val="16"/>
              </w:rPr>
              <w:t>forward</w:t>
            </w:r>
            <w:r>
              <w:rPr>
                <w:spacing w:val="-3"/>
                <w:sz w:val="16"/>
              </w:rPr>
              <w:t> </w:t>
            </w:r>
            <w:r>
              <w:rPr>
                <w:spacing w:val="-2"/>
                <w:sz w:val="16"/>
              </w:rPr>
              <w:t>contracts</w:t>
            </w:r>
          </w:p>
        </w:tc>
        <w:tc>
          <w:tcPr>
            <w:tcW w:w="692" w:type="dxa"/>
          </w:tcPr>
          <w:p>
            <w:pPr>
              <w:pStyle w:val="TableParagraph"/>
              <w:rPr>
                <w:rFonts w:ascii="Times New Roman"/>
                <w:sz w:val="16"/>
              </w:rPr>
            </w:pPr>
          </w:p>
        </w:tc>
        <w:tc>
          <w:tcPr>
            <w:tcW w:w="1107" w:type="dxa"/>
          </w:tcPr>
          <w:p>
            <w:pPr>
              <w:pStyle w:val="TableParagraph"/>
              <w:spacing w:before="56"/>
              <w:ind w:right="11"/>
              <w:jc w:val="right"/>
              <w:rPr>
                <w:sz w:val="16"/>
              </w:rPr>
            </w:pPr>
            <w:r>
              <w:rPr>
                <w:spacing w:val="-4"/>
                <w:sz w:val="16"/>
              </w:rPr>
              <w:t>(33)</w:t>
            </w: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spacing w:before="56"/>
              <w:ind w:right="7"/>
              <w:jc w:val="right"/>
              <w:rPr>
                <w:sz w:val="16"/>
              </w:rPr>
            </w:pPr>
            <w:r>
              <w:rPr>
                <w:spacing w:val="-4"/>
                <w:sz w:val="16"/>
              </w:rPr>
              <w:t>(55)</w:t>
            </w:r>
          </w:p>
        </w:tc>
      </w:tr>
      <w:tr>
        <w:trPr>
          <w:trHeight w:val="240" w:hRule="atLeast"/>
        </w:trPr>
        <w:tc>
          <w:tcPr>
            <w:tcW w:w="5565" w:type="dxa"/>
          </w:tcPr>
          <w:p>
            <w:pPr>
              <w:pStyle w:val="TableParagraph"/>
              <w:spacing w:before="25"/>
              <w:ind w:left="457"/>
              <w:rPr>
                <w:sz w:val="16"/>
              </w:rPr>
            </w:pPr>
            <w:r>
              <w:rPr>
                <w:sz w:val="16"/>
              </w:rPr>
              <w:t>Interest</w:t>
            </w:r>
            <w:r>
              <w:rPr>
                <w:spacing w:val="-3"/>
                <w:sz w:val="16"/>
              </w:rPr>
              <w:t> </w:t>
            </w:r>
            <w:r>
              <w:rPr>
                <w:sz w:val="16"/>
              </w:rPr>
              <w:t>rate</w:t>
            </w:r>
            <w:r>
              <w:rPr>
                <w:spacing w:val="-2"/>
                <w:sz w:val="16"/>
              </w:rPr>
              <w:t> swaps</w:t>
            </w:r>
          </w:p>
        </w:tc>
        <w:tc>
          <w:tcPr>
            <w:tcW w:w="692" w:type="dxa"/>
          </w:tcPr>
          <w:p>
            <w:pPr>
              <w:pStyle w:val="TableParagraph"/>
              <w:rPr>
                <w:rFonts w:ascii="Times New Roman"/>
                <w:sz w:val="16"/>
              </w:rPr>
            </w:pPr>
          </w:p>
        </w:tc>
        <w:tc>
          <w:tcPr>
            <w:tcW w:w="1107" w:type="dxa"/>
          </w:tcPr>
          <w:p>
            <w:pPr>
              <w:pStyle w:val="TableParagraph"/>
              <w:spacing w:before="25"/>
              <w:ind w:right="11"/>
              <w:jc w:val="right"/>
              <w:rPr>
                <w:sz w:val="16"/>
              </w:rPr>
            </w:pPr>
            <w:r>
              <w:rPr>
                <w:spacing w:val="-2"/>
                <w:sz w:val="16"/>
              </w:rPr>
              <w:t>(300)</w:t>
            </w: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spacing w:before="25"/>
              <w:ind w:right="7"/>
              <w:jc w:val="right"/>
              <w:rPr>
                <w:sz w:val="16"/>
              </w:rPr>
            </w:pPr>
            <w:r>
              <w:rPr>
                <w:spacing w:val="-2"/>
                <w:sz w:val="16"/>
              </w:rPr>
              <w:t>(523)</w:t>
            </w:r>
          </w:p>
        </w:tc>
      </w:tr>
      <w:tr>
        <w:trPr>
          <w:trHeight w:val="229" w:hRule="atLeast"/>
        </w:trPr>
        <w:tc>
          <w:tcPr>
            <w:tcW w:w="5565" w:type="dxa"/>
          </w:tcPr>
          <w:p>
            <w:pPr>
              <w:pStyle w:val="TableParagraph"/>
              <w:spacing w:line="184" w:lineRule="exact" w:before="25"/>
              <w:ind w:left="457"/>
              <w:rPr>
                <w:sz w:val="16"/>
              </w:rPr>
            </w:pPr>
            <w:r>
              <w:rPr>
                <w:spacing w:val="-2"/>
                <w:sz w:val="16"/>
              </w:rPr>
              <w:t>Other</w:t>
            </w:r>
          </w:p>
        </w:tc>
        <w:tc>
          <w:tcPr>
            <w:tcW w:w="692" w:type="dxa"/>
            <w:tcBorders>
              <w:bottom w:val="single" w:sz="8" w:space="0" w:color="000000"/>
            </w:tcBorders>
          </w:tcPr>
          <w:p>
            <w:pPr>
              <w:pStyle w:val="TableParagraph"/>
              <w:rPr>
                <w:rFonts w:ascii="Times New Roman"/>
                <w:sz w:val="16"/>
              </w:rPr>
            </w:pPr>
          </w:p>
        </w:tc>
        <w:tc>
          <w:tcPr>
            <w:tcW w:w="1107" w:type="dxa"/>
            <w:tcBorders>
              <w:bottom w:val="single" w:sz="8" w:space="0" w:color="000000"/>
            </w:tcBorders>
          </w:tcPr>
          <w:p>
            <w:pPr>
              <w:pStyle w:val="TableParagraph"/>
              <w:spacing w:line="184" w:lineRule="exact" w:before="25"/>
              <w:ind w:right="11"/>
              <w:jc w:val="right"/>
              <w:rPr>
                <w:sz w:val="16"/>
              </w:rPr>
            </w:pPr>
            <w:r>
              <w:rPr>
                <w:spacing w:val="-5"/>
                <w:sz w:val="16"/>
              </w:rPr>
              <w:t>(6)</w:t>
            </w:r>
          </w:p>
        </w:tc>
        <w:tc>
          <w:tcPr>
            <w:tcW w:w="194" w:type="dxa"/>
          </w:tcPr>
          <w:p>
            <w:pPr>
              <w:pStyle w:val="TableParagraph"/>
              <w:rPr>
                <w:rFonts w:ascii="Times New Roman"/>
                <w:sz w:val="16"/>
              </w:rPr>
            </w:pPr>
          </w:p>
        </w:tc>
        <w:tc>
          <w:tcPr>
            <w:tcW w:w="691" w:type="dxa"/>
            <w:tcBorders>
              <w:bottom w:val="single" w:sz="8" w:space="0" w:color="000000"/>
            </w:tcBorders>
          </w:tcPr>
          <w:p>
            <w:pPr>
              <w:pStyle w:val="TableParagraph"/>
              <w:rPr>
                <w:rFonts w:ascii="Times New Roman"/>
                <w:sz w:val="16"/>
              </w:rPr>
            </w:pPr>
          </w:p>
        </w:tc>
        <w:tc>
          <w:tcPr>
            <w:tcW w:w="1106" w:type="dxa"/>
            <w:tcBorders>
              <w:bottom w:val="single" w:sz="8" w:space="0" w:color="000000"/>
            </w:tcBorders>
          </w:tcPr>
          <w:p>
            <w:pPr>
              <w:pStyle w:val="TableParagraph"/>
              <w:spacing w:line="184" w:lineRule="exact" w:before="25"/>
              <w:ind w:right="61"/>
              <w:jc w:val="right"/>
              <w:rPr>
                <w:sz w:val="16"/>
              </w:rPr>
            </w:pPr>
            <w:r>
              <w:rPr>
                <w:sz w:val="16"/>
              </w:rPr>
              <w:t>—</w:t>
            </w:r>
          </w:p>
        </w:tc>
      </w:tr>
      <w:tr>
        <w:trPr>
          <w:trHeight w:val="220" w:hRule="atLeast"/>
        </w:trPr>
        <w:tc>
          <w:tcPr>
            <w:tcW w:w="5565" w:type="dxa"/>
          </w:tcPr>
          <w:p>
            <w:pPr>
              <w:pStyle w:val="TableParagraph"/>
              <w:spacing w:line="184" w:lineRule="exact" w:before="16"/>
              <w:ind w:left="232"/>
              <w:rPr>
                <w:sz w:val="16"/>
              </w:rPr>
            </w:pPr>
            <w:r>
              <w:rPr>
                <w:spacing w:val="-2"/>
                <w:sz w:val="16"/>
              </w:rPr>
              <w:t>Total</w:t>
            </w:r>
          </w:p>
        </w:tc>
        <w:tc>
          <w:tcPr>
            <w:tcW w:w="692" w:type="dxa"/>
            <w:tcBorders>
              <w:top w:val="single" w:sz="8" w:space="0" w:color="000000"/>
              <w:bottom w:val="single" w:sz="8" w:space="0" w:color="000000"/>
            </w:tcBorders>
          </w:tcPr>
          <w:p>
            <w:pPr>
              <w:pStyle w:val="TableParagraph"/>
              <w:rPr>
                <w:rFonts w:ascii="Times New Roman"/>
                <w:sz w:val="14"/>
              </w:rPr>
            </w:pPr>
          </w:p>
        </w:tc>
        <w:tc>
          <w:tcPr>
            <w:tcW w:w="1107" w:type="dxa"/>
            <w:tcBorders>
              <w:top w:val="single" w:sz="8" w:space="0" w:color="000000"/>
              <w:bottom w:val="single" w:sz="8" w:space="0" w:color="000000"/>
            </w:tcBorders>
          </w:tcPr>
          <w:p>
            <w:pPr>
              <w:pStyle w:val="TableParagraph"/>
              <w:spacing w:line="184" w:lineRule="exact" w:before="16"/>
              <w:ind w:right="11"/>
              <w:jc w:val="right"/>
              <w:rPr>
                <w:sz w:val="16"/>
              </w:rPr>
            </w:pPr>
            <w:r>
              <w:rPr>
                <w:spacing w:val="-2"/>
                <w:sz w:val="16"/>
              </w:rPr>
              <w:t>(339)</w:t>
            </w:r>
          </w:p>
        </w:tc>
        <w:tc>
          <w:tcPr>
            <w:tcW w:w="194" w:type="dxa"/>
          </w:tcPr>
          <w:p>
            <w:pPr>
              <w:pStyle w:val="TableParagraph"/>
              <w:rPr>
                <w:rFonts w:ascii="Times New Roman"/>
                <w:sz w:val="14"/>
              </w:rPr>
            </w:pPr>
          </w:p>
        </w:tc>
        <w:tc>
          <w:tcPr>
            <w:tcW w:w="691" w:type="dxa"/>
            <w:tcBorders>
              <w:top w:val="single" w:sz="8" w:space="0" w:color="000000"/>
              <w:bottom w:val="single" w:sz="8" w:space="0" w:color="000000"/>
            </w:tcBorders>
          </w:tcPr>
          <w:p>
            <w:pPr>
              <w:pStyle w:val="TableParagraph"/>
              <w:rPr>
                <w:rFonts w:ascii="Times New Roman"/>
                <w:sz w:val="14"/>
              </w:rPr>
            </w:pPr>
          </w:p>
        </w:tc>
        <w:tc>
          <w:tcPr>
            <w:tcW w:w="1106" w:type="dxa"/>
            <w:tcBorders>
              <w:top w:val="single" w:sz="8" w:space="0" w:color="000000"/>
              <w:bottom w:val="single" w:sz="8" w:space="0" w:color="000000"/>
            </w:tcBorders>
          </w:tcPr>
          <w:p>
            <w:pPr>
              <w:pStyle w:val="TableParagraph"/>
              <w:spacing w:line="184" w:lineRule="exact" w:before="16"/>
              <w:ind w:right="7"/>
              <w:jc w:val="right"/>
              <w:rPr>
                <w:sz w:val="16"/>
              </w:rPr>
            </w:pPr>
            <w:r>
              <w:rPr>
                <w:spacing w:val="-2"/>
                <w:sz w:val="16"/>
              </w:rPr>
              <w:t>(578)</w:t>
            </w:r>
          </w:p>
        </w:tc>
      </w:tr>
      <w:tr>
        <w:trPr>
          <w:trHeight w:val="230" w:hRule="atLeast"/>
        </w:trPr>
        <w:tc>
          <w:tcPr>
            <w:tcW w:w="5565" w:type="dxa"/>
          </w:tcPr>
          <w:p>
            <w:pPr>
              <w:pStyle w:val="TableParagraph"/>
              <w:spacing w:before="16"/>
              <w:ind w:left="52"/>
              <w:rPr>
                <w:rFonts w:ascii="Arial"/>
                <w:b/>
                <w:sz w:val="16"/>
              </w:rPr>
            </w:pPr>
            <w:r>
              <w:rPr>
                <w:rFonts w:ascii="Arial"/>
                <w:b/>
                <w:sz w:val="16"/>
              </w:rPr>
              <w:t>Cash</w:t>
            </w:r>
            <w:r>
              <w:rPr>
                <w:rFonts w:ascii="Arial"/>
                <w:b/>
                <w:spacing w:val="-5"/>
                <w:sz w:val="16"/>
              </w:rPr>
              <w:t> </w:t>
            </w:r>
            <w:r>
              <w:rPr>
                <w:rFonts w:ascii="Arial"/>
                <w:b/>
                <w:sz w:val="16"/>
              </w:rPr>
              <w:t>held</w:t>
            </w:r>
            <w:r>
              <w:rPr>
                <w:rFonts w:ascii="Arial"/>
                <w:b/>
                <w:spacing w:val="-4"/>
                <w:sz w:val="16"/>
              </w:rPr>
              <w:t> </w:t>
            </w:r>
            <w:r>
              <w:rPr>
                <w:rFonts w:ascii="Arial"/>
                <w:b/>
                <w:sz w:val="16"/>
              </w:rPr>
              <w:t>in</w:t>
            </w:r>
            <w:r>
              <w:rPr>
                <w:rFonts w:ascii="Arial"/>
                <w:b/>
                <w:spacing w:val="-4"/>
                <w:sz w:val="16"/>
              </w:rPr>
              <w:t> </w:t>
            </w:r>
            <w:r>
              <w:rPr>
                <w:rFonts w:ascii="Arial"/>
                <w:b/>
                <w:sz w:val="16"/>
              </w:rPr>
              <w:t>investment</w:t>
            </w:r>
            <w:r>
              <w:rPr>
                <w:rFonts w:ascii="Arial"/>
                <w:b/>
                <w:spacing w:val="-3"/>
                <w:sz w:val="16"/>
              </w:rPr>
              <w:t> </w:t>
            </w:r>
            <w:r>
              <w:rPr>
                <w:rFonts w:ascii="Arial"/>
                <w:b/>
                <w:sz w:val="16"/>
              </w:rPr>
              <w:t>portfolio</w:t>
            </w:r>
            <w:r>
              <w:rPr>
                <w:rFonts w:ascii="Arial"/>
                <w:b/>
                <w:spacing w:val="-5"/>
                <w:sz w:val="16"/>
              </w:rPr>
              <w:t> </w:t>
            </w:r>
            <w:r>
              <w:rPr>
                <w:rFonts w:ascii="Arial"/>
                <w:b/>
                <w:spacing w:val="-10"/>
                <w:sz w:val="16"/>
                <w:vertAlign w:val="superscript"/>
              </w:rPr>
              <w:t>b</w:t>
            </w:r>
          </w:p>
        </w:tc>
        <w:tc>
          <w:tcPr>
            <w:tcW w:w="692" w:type="dxa"/>
            <w:tcBorders>
              <w:top w:val="single" w:sz="8" w:space="0" w:color="000000"/>
            </w:tcBorders>
          </w:tcPr>
          <w:p>
            <w:pPr>
              <w:pStyle w:val="TableParagraph"/>
              <w:rPr>
                <w:rFonts w:ascii="Times New Roman"/>
                <w:sz w:val="16"/>
              </w:rPr>
            </w:pPr>
          </w:p>
        </w:tc>
        <w:tc>
          <w:tcPr>
            <w:tcW w:w="1107" w:type="dxa"/>
            <w:tcBorders>
              <w:top w:val="single" w:sz="8" w:space="0" w:color="000000"/>
            </w:tcBorders>
          </w:tcPr>
          <w:p>
            <w:pPr>
              <w:pStyle w:val="TableParagraph"/>
              <w:spacing w:before="16"/>
              <w:ind w:right="65"/>
              <w:jc w:val="right"/>
              <w:rPr>
                <w:sz w:val="16"/>
              </w:rPr>
            </w:pPr>
            <w:r>
              <w:rPr>
                <w:spacing w:val="-5"/>
                <w:sz w:val="16"/>
              </w:rPr>
              <w:t>385</w:t>
            </w:r>
          </w:p>
        </w:tc>
        <w:tc>
          <w:tcPr>
            <w:tcW w:w="194" w:type="dxa"/>
          </w:tcPr>
          <w:p>
            <w:pPr>
              <w:pStyle w:val="TableParagraph"/>
              <w:rPr>
                <w:rFonts w:ascii="Times New Roman"/>
                <w:sz w:val="16"/>
              </w:rPr>
            </w:pPr>
          </w:p>
        </w:tc>
        <w:tc>
          <w:tcPr>
            <w:tcW w:w="691" w:type="dxa"/>
            <w:tcBorders>
              <w:top w:val="single" w:sz="8" w:space="0" w:color="000000"/>
            </w:tcBorders>
          </w:tcPr>
          <w:p>
            <w:pPr>
              <w:pStyle w:val="TableParagraph"/>
              <w:rPr>
                <w:rFonts w:ascii="Times New Roman"/>
                <w:sz w:val="16"/>
              </w:rPr>
            </w:pPr>
          </w:p>
        </w:tc>
        <w:tc>
          <w:tcPr>
            <w:tcW w:w="1106" w:type="dxa"/>
            <w:tcBorders>
              <w:top w:val="single" w:sz="8" w:space="0" w:color="000000"/>
            </w:tcBorders>
          </w:tcPr>
          <w:p>
            <w:pPr>
              <w:pStyle w:val="TableParagraph"/>
              <w:spacing w:before="16"/>
              <w:ind w:right="61"/>
              <w:jc w:val="right"/>
              <w:rPr>
                <w:sz w:val="16"/>
              </w:rPr>
            </w:pPr>
            <w:r>
              <w:rPr>
                <w:spacing w:val="-5"/>
                <w:sz w:val="16"/>
              </w:rPr>
              <w:t>262</w:t>
            </w:r>
          </w:p>
        </w:tc>
      </w:tr>
      <w:tr>
        <w:trPr>
          <w:trHeight w:val="229" w:hRule="atLeast"/>
        </w:trPr>
        <w:tc>
          <w:tcPr>
            <w:tcW w:w="5565" w:type="dxa"/>
          </w:tcPr>
          <w:p>
            <w:pPr>
              <w:pStyle w:val="TableParagraph"/>
              <w:spacing w:line="184" w:lineRule="exact" w:before="25"/>
              <w:ind w:left="52"/>
              <w:rPr>
                <w:rFonts w:ascii="Arial"/>
                <w:b/>
                <w:sz w:val="16"/>
              </w:rPr>
            </w:pPr>
            <w:r>
              <w:rPr>
                <w:rFonts w:ascii="Arial"/>
                <w:b/>
                <w:sz w:val="16"/>
              </w:rPr>
              <w:t>Receivable</w:t>
            </w:r>
            <w:r>
              <w:rPr>
                <w:rFonts w:ascii="Arial"/>
                <w:b/>
                <w:spacing w:val="-9"/>
                <w:sz w:val="16"/>
              </w:rPr>
              <w:t> </w:t>
            </w:r>
            <w:r>
              <w:rPr>
                <w:rFonts w:ascii="Arial"/>
                <w:b/>
                <w:sz w:val="16"/>
              </w:rPr>
              <w:t>from</w:t>
            </w:r>
            <w:r>
              <w:rPr>
                <w:rFonts w:ascii="Arial"/>
                <w:b/>
                <w:spacing w:val="-5"/>
                <w:sz w:val="16"/>
              </w:rPr>
              <w:t> </w:t>
            </w:r>
            <w:r>
              <w:rPr>
                <w:rFonts w:ascii="Arial"/>
                <w:b/>
                <w:sz w:val="16"/>
              </w:rPr>
              <w:t>investment</w:t>
            </w:r>
            <w:r>
              <w:rPr>
                <w:rFonts w:ascii="Arial"/>
                <w:b/>
                <w:spacing w:val="-6"/>
                <w:sz w:val="16"/>
              </w:rPr>
              <w:t> </w:t>
            </w:r>
            <w:r>
              <w:rPr>
                <w:rFonts w:ascii="Arial"/>
                <w:b/>
                <w:sz w:val="16"/>
              </w:rPr>
              <w:t>securities</w:t>
            </w:r>
            <w:r>
              <w:rPr>
                <w:rFonts w:ascii="Arial"/>
                <w:b/>
                <w:spacing w:val="-6"/>
                <w:sz w:val="16"/>
              </w:rPr>
              <w:t> </w:t>
            </w:r>
            <w:r>
              <w:rPr>
                <w:rFonts w:ascii="Arial"/>
                <w:b/>
                <w:spacing w:val="-2"/>
                <w:sz w:val="16"/>
              </w:rPr>
              <w:t>traded</w:t>
            </w:r>
          </w:p>
        </w:tc>
        <w:tc>
          <w:tcPr>
            <w:tcW w:w="692" w:type="dxa"/>
          </w:tcPr>
          <w:p>
            <w:pPr>
              <w:pStyle w:val="TableParagraph"/>
              <w:rPr>
                <w:rFonts w:ascii="Times New Roman"/>
                <w:sz w:val="16"/>
              </w:rPr>
            </w:pPr>
          </w:p>
        </w:tc>
        <w:tc>
          <w:tcPr>
            <w:tcW w:w="1107" w:type="dxa"/>
          </w:tcPr>
          <w:p>
            <w:pPr>
              <w:pStyle w:val="TableParagraph"/>
              <w:spacing w:line="184" w:lineRule="exact" w:before="25"/>
              <w:ind w:right="65"/>
              <w:jc w:val="right"/>
              <w:rPr>
                <w:sz w:val="16"/>
              </w:rPr>
            </w:pPr>
            <w:r>
              <w:rPr>
                <w:spacing w:val="-5"/>
                <w:sz w:val="16"/>
              </w:rPr>
              <w:t>102</w:t>
            </w:r>
          </w:p>
        </w:tc>
        <w:tc>
          <w:tcPr>
            <w:tcW w:w="194" w:type="dxa"/>
          </w:tcPr>
          <w:p>
            <w:pPr>
              <w:pStyle w:val="TableParagraph"/>
              <w:rPr>
                <w:rFonts w:ascii="Times New Roman"/>
                <w:sz w:val="16"/>
              </w:rPr>
            </w:pPr>
          </w:p>
        </w:tc>
        <w:tc>
          <w:tcPr>
            <w:tcW w:w="691" w:type="dxa"/>
          </w:tcPr>
          <w:p>
            <w:pPr>
              <w:pStyle w:val="TableParagraph"/>
              <w:rPr>
                <w:rFonts w:ascii="Times New Roman"/>
                <w:sz w:val="16"/>
              </w:rPr>
            </w:pPr>
          </w:p>
        </w:tc>
        <w:tc>
          <w:tcPr>
            <w:tcW w:w="1106" w:type="dxa"/>
          </w:tcPr>
          <w:p>
            <w:pPr>
              <w:pStyle w:val="TableParagraph"/>
              <w:spacing w:line="184" w:lineRule="exact" w:before="25"/>
              <w:ind w:right="61"/>
              <w:jc w:val="right"/>
              <w:rPr>
                <w:sz w:val="16"/>
              </w:rPr>
            </w:pPr>
            <w:r>
              <w:rPr>
                <w:spacing w:val="-5"/>
                <w:sz w:val="16"/>
              </w:rPr>
              <w:t>103</w:t>
            </w:r>
          </w:p>
        </w:tc>
      </w:tr>
      <w:tr>
        <w:trPr>
          <w:trHeight w:val="239" w:hRule="atLeast"/>
        </w:trPr>
        <w:tc>
          <w:tcPr>
            <w:tcW w:w="5565" w:type="dxa"/>
          </w:tcPr>
          <w:p>
            <w:pPr>
              <w:pStyle w:val="TableParagraph"/>
              <w:spacing w:line="184" w:lineRule="exact" w:before="36"/>
              <w:ind w:left="52"/>
              <w:rPr>
                <w:rFonts w:ascii="Arial"/>
                <w:b/>
                <w:sz w:val="16"/>
              </w:rPr>
            </w:pPr>
            <w:r>
              <w:rPr>
                <w:rFonts w:ascii="Arial"/>
                <w:b/>
                <w:sz w:val="16"/>
              </w:rPr>
              <w:t>Payable</w:t>
            </w:r>
            <w:r>
              <w:rPr>
                <w:rFonts w:ascii="Arial"/>
                <w:b/>
                <w:spacing w:val="-7"/>
                <w:sz w:val="16"/>
              </w:rPr>
              <w:t> </w:t>
            </w:r>
            <w:r>
              <w:rPr>
                <w:rFonts w:ascii="Arial"/>
                <w:b/>
                <w:sz w:val="16"/>
              </w:rPr>
              <w:t>for</w:t>
            </w:r>
            <w:r>
              <w:rPr>
                <w:rFonts w:ascii="Arial"/>
                <w:b/>
                <w:spacing w:val="-5"/>
                <w:sz w:val="16"/>
              </w:rPr>
              <w:t> </w:t>
            </w:r>
            <w:r>
              <w:rPr>
                <w:rFonts w:ascii="Arial"/>
                <w:b/>
                <w:sz w:val="16"/>
              </w:rPr>
              <w:t>investment</w:t>
            </w:r>
            <w:r>
              <w:rPr>
                <w:rFonts w:ascii="Arial"/>
                <w:b/>
                <w:spacing w:val="-5"/>
                <w:sz w:val="16"/>
              </w:rPr>
              <w:t> </w:t>
            </w:r>
            <w:r>
              <w:rPr>
                <w:rFonts w:ascii="Arial"/>
                <w:b/>
                <w:sz w:val="16"/>
              </w:rPr>
              <w:t>securities</w:t>
            </w:r>
            <w:r>
              <w:rPr>
                <w:rFonts w:ascii="Arial"/>
                <w:b/>
                <w:spacing w:val="-6"/>
                <w:sz w:val="16"/>
              </w:rPr>
              <w:t> </w:t>
            </w:r>
            <w:r>
              <w:rPr>
                <w:rFonts w:ascii="Arial"/>
                <w:b/>
                <w:sz w:val="16"/>
              </w:rPr>
              <w:t>purchased</w:t>
            </w:r>
            <w:r>
              <w:rPr>
                <w:rFonts w:ascii="Arial"/>
                <w:b/>
                <w:spacing w:val="-7"/>
                <w:sz w:val="16"/>
              </w:rPr>
              <w:t> </w:t>
            </w:r>
            <w:r>
              <w:rPr>
                <w:rFonts w:ascii="Arial"/>
                <w:b/>
                <w:spacing w:val="-10"/>
                <w:sz w:val="16"/>
                <w:vertAlign w:val="superscript"/>
              </w:rPr>
              <w:t>c</w:t>
            </w:r>
          </w:p>
        </w:tc>
        <w:tc>
          <w:tcPr>
            <w:tcW w:w="692" w:type="dxa"/>
            <w:tcBorders>
              <w:bottom w:val="single" w:sz="8" w:space="0" w:color="000000"/>
            </w:tcBorders>
          </w:tcPr>
          <w:p>
            <w:pPr>
              <w:pStyle w:val="TableParagraph"/>
              <w:rPr>
                <w:rFonts w:ascii="Times New Roman"/>
                <w:sz w:val="16"/>
              </w:rPr>
            </w:pPr>
          </w:p>
        </w:tc>
        <w:tc>
          <w:tcPr>
            <w:tcW w:w="1107" w:type="dxa"/>
            <w:tcBorders>
              <w:bottom w:val="single" w:sz="8" w:space="0" w:color="000000"/>
            </w:tcBorders>
          </w:tcPr>
          <w:p>
            <w:pPr>
              <w:pStyle w:val="TableParagraph"/>
              <w:spacing w:line="184" w:lineRule="exact" w:before="36"/>
              <w:ind w:right="11"/>
              <w:jc w:val="right"/>
              <w:rPr>
                <w:sz w:val="16"/>
              </w:rPr>
            </w:pPr>
            <w:r>
              <w:rPr>
                <w:spacing w:val="-2"/>
                <w:sz w:val="16"/>
              </w:rPr>
              <w:t>(1,025)</w:t>
            </w:r>
          </w:p>
        </w:tc>
        <w:tc>
          <w:tcPr>
            <w:tcW w:w="194" w:type="dxa"/>
          </w:tcPr>
          <w:p>
            <w:pPr>
              <w:pStyle w:val="TableParagraph"/>
              <w:rPr>
                <w:rFonts w:ascii="Times New Roman"/>
                <w:sz w:val="16"/>
              </w:rPr>
            </w:pPr>
          </w:p>
        </w:tc>
        <w:tc>
          <w:tcPr>
            <w:tcW w:w="691" w:type="dxa"/>
            <w:tcBorders>
              <w:bottom w:val="single" w:sz="8" w:space="0" w:color="000000"/>
            </w:tcBorders>
          </w:tcPr>
          <w:p>
            <w:pPr>
              <w:pStyle w:val="TableParagraph"/>
              <w:rPr>
                <w:rFonts w:ascii="Times New Roman"/>
                <w:sz w:val="16"/>
              </w:rPr>
            </w:pPr>
          </w:p>
        </w:tc>
        <w:tc>
          <w:tcPr>
            <w:tcW w:w="1106" w:type="dxa"/>
            <w:tcBorders>
              <w:bottom w:val="single" w:sz="8" w:space="0" w:color="000000"/>
            </w:tcBorders>
          </w:tcPr>
          <w:p>
            <w:pPr>
              <w:pStyle w:val="TableParagraph"/>
              <w:spacing w:line="184" w:lineRule="exact" w:before="36"/>
              <w:ind w:right="7"/>
              <w:jc w:val="right"/>
              <w:rPr>
                <w:sz w:val="16"/>
              </w:rPr>
            </w:pPr>
            <w:r>
              <w:rPr>
                <w:spacing w:val="-2"/>
                <w:sz w:val="16"/>
              </w:rPr>
              <w:t>(311)</w:t>
            </w:r>
          </w:p>
        </w:tc>
      </w:tr>
      <w:tr>
        <w:trPr>
          <w:trHeight w:val="200" w:hRule="atLeast"/>
        </w:trPr>
        <w:tc>
          <w:tcPr>
            <w:tcW w:w="5565" w:type="dxa"/>
          </w:tcPr>
          <w:p>
            <w:pPr>
              <w:pStyle w:val="TableParagraph"/>
              <w:spacing w:line="164" w:lineRule="exact" w:before="16"/>
              <w:ind w:left="52"/>
              <w:rPr>
                <w:rFonts w:ascii="Arial"/>
                <w:b/>
                <w:sz w:val="16"/>
              </w:rPr>
            </w:pPr>
            <w:r>
              <w:rPr>
                <w:rFonts w:ascii="Arial"/>
                <w:b/>
                <w:sz w:val="16"/>
              </w:rPr>
              <w:t>Net</w:t>
            </w:r>
            <w:r>
              <w:rPr>
                <w:rFonts w:ascii="Arial"/>
                <w:b/>
                <w:spacing w:val="-5"/>
                <w:sz w:val="16"/>
              </w:rPr>
              <w:t> </w:t>
            </w:r>
            <w:r>
              <w:rPr>
                <w:rFonts w:ascii="Arial"/>
                <w:b/>
                <w:sz w:val="16"/>
              </w:rPr>
              <w:t>investment</w:t>
            </w:r>
            <w:r>
              <w:rPr>
                <w:rFonts w:ascii="Arial"/>
                <w:b/>
                <w:spacing w:val="-4"/>
                <w:sz w:val="16"/>
              </w:rPr>
              <w:t> </w:t>
            </w:r>
            <w:r>
              <w:rPr>
                <w:rFonts w:ascii="Arial"/>
                <w:b/>
                <w:spacing w:val="-2"/>
                <w:sz w:val="16"/>
              </w:rPr>
              <w:t>portfolio</w:t>
            </w:r>
          </w:p>
        </w:tc>
        <w:tc>
          <w:tcPr>
            <w:tcW w:w="692" w:type="dxa"/>
            <w:tcBorders>
              <w:top w:val="single" w:sz="8" w:space="0" w:color="000000"/>
              <w:bottom w:val="double" w:sz="8" w:space="0" w:color="000000"/>
            </w:tcBorders>
          </w:tcPr>
          <w:p>
            <w:pPr>
              <w:pStyle w:val="TableParagraph"/>
              <w:spacing w:line="164" w:lineRule="exact" w:before="16"/>
              <w:ind w:left="52"/>
              <w:rPr>
                <w:sz w:val="16"/>
              </w:rPr>
            </w:pPr>
            <w:r>
              <w:rPr>
                <w:spacing w:val="-10"/>
                <w:sz w:val="16"/>
              </w:rPr>
              <w:t>$</w:t>
            </w:r>
          </w:p>
        </w:tc>
        <w:tc>
          <w:tcPr>
            <w:tcW w:w="1107" w:type="dxa"/>
            <w:tcBorders>
              <w:top w:val="single" w:sz="8" w:space="0" w:color="000000"/>
              <w:bottom w:val="double" w:sz="8" w:space="0" w:color="000000"/>
            </w:tcBorders>
          </w:tcPr>
          <w:p>
            <w:pPr>
              <w:pStyle w:val="TableParagraph"/>
              <w:spacing w:line="164" w:lineRule="exact" w:before="16"/>
              <w:ind w:right="65"/>
              <w:jc w:val="right"/>
              <w:rPr>
                <w:sz w:val="16"/>
              </w:rPr>
            </w:pPr>
            <w:r>
              <w:rPr>
                <w:spacing w:val="-2"/>
                <w:sz w:val="16"/>
              </w:rPr>
              <w:t>79,195</w:t>
            </w:r>
          </w:p>
        </w:tc>
        <w:tc>
          <w:tcPr>
            <w:tcW w:w="194" w:type="dxa"/>
          </w:tcPr>
          <w:p>
            <w:pPr>
              <w:pStyle w:val="TableParagraph"/>
              <w:rPr>
                <w:rFonts w:ascii="Times New Roman"/>
                <w:sz w:val="12"/>
              </w:rPr>
            </w:pPr>
          </w:p>
        </w:tc>
        <w:tc>
          <w:tcPr>
            <w:tcW w:w="691" w:type="dxa"/>
            <w:tcBorders>
              <w:top w:val="single" w:sz="8" w:space="0" w:color="000000"/>
              <w:bottom w:val="double" w:sz="8" w:space="0" w:color="000000"/>
            </w:tcBorders>
          </w:tcPr>
          <w:p>
            <w:pPr>
              <w:pStyle w:val="TableParagraph"/>
              <w:spacing w:line="164" w:lineRule="exact" w:before="16"/>
              <w:ind w:left="54"/>
              <w:rPr>
                <w:sz w:val="16"/>
              </w:rPr>
            </w:pPr>
            <w:r>
              <w:rPr>
                <w:spacing w:val="-10"/>
                <w:sz w:val="16"/>
              </w:rPr>
              <w:t>$</w:t>
            </w:r>
          </w:p>
        </w:tc>
        <w:tc>
          <w:tcPr>
            <w:tcW w:w="1106" w:type="dxa"/>
            <w:tcBorders>
              <w:top w:val="single" w:sz="8" w:space="0" w:color="000000"/>
              <w:bottom w:val="double" w:sz="8" w:space="0" w:color="000000"/>
            </w:tcBorders>
          </w:tcPr>
          <w:p>
            <w:pPr>
              <w:pStyle w:val="TableParagraph"/>
              <w:spacing w:line="164" w:lineRule="exact" w:before="16"/>
              <w:ind w:right="61"/>
              <w:jc w:val="right"/>
              <w:rPr>
                <w:sz w:val="16"/>
              </w:rPr>
            </w:pPr>
            <w:r>
              <w:rPr>
                <w:spacing w:val="-2"/>
                <w:sz w:val="16"/>
              </w:rPr>
              <w:t>82,057</w:t>
            </w:r>
          </w:p>
        </w:tc>
      </w:tr>
      <w:tr>
        <w:trPr>
          <w:trHeight w:val="200" w:hRule="atLeast"/>
        </w:trPr>
        <w:tc>
          <w:tcPr>
            <w:tcW w:w="5565" w:type="dxa"/>
            <w:tcBorders>
              <w:bottom w:val="single" w:sz="8" w:space="0" w:color="000000"/>
            </w:tcBorders>
          </w:tcPr>
          <w:p>
            <w:pPr>
              <w:pStyle w:val="TableParagraph"/>
              <w:rPr>
                <w:rFonts w:ascii="Times New Roman"/>
                <w:sz w:val="12"/>
              </w:rPr>
            </w:pPr>
          </w:p>
        </w:tc>
        <w:tc>
          <w:tcPr>
            <w:tcW w:w="692" w:type="dxa"/>
            <w:tcBorders>
              <w:top w:val="double" w:sz="8" w:space="0" w:color="000000"/>
              <w:bottom w:val="single" w:sz="8" w:space="0" w:color="000000"/>
            </w:tcBorders>
          </w:tcPr>
          <w:p>
            <w:pPr>
              <w:pStyle w:val="TableParagraph"/>
              <w:rPr>
                <w:rFonts w:ascii="Times New Roman"/>
                <w:sz w:val="12"/>
              </w:rPr>
            </w:pPr>
          </w:p>
        </w:tc>
        <w:tc>
          <w:tcPr>
            <w:tcW w:w="1107" w:type="dxa"/>
            <w:tcBorders>
              <w:top w:val="double" w:sz="8" w:space="0" w:color="000000"/>
              <w:bottom w:val="single" w:sz="8" w:space="0" w:color="000000"/>
            </w:tcBorders>
          </w:tcPr>
          <w:p>
            <w:pPr>
              <w:pStyle w:val="TableParagraph"/>
              <w:rPr>
                <w:rFonts w:ascii="Times New Roman"/>
                <w:sz w:val="12"/>
              </w:rPr>
            </w:pPr>
          </w:p>
        </w:tc>
        <w:tc>
          <w:tcPr>
            <w:tcW w:w="194" w:type="dxa"/>
            <w:tcBorders>
              <w:bottom w:val="single" w:sz="8" w:space="0" w:color="000000"/>
            </w:tcBorders>
          </w:tcPr>
          <w:p>
            <w:pPr>
              <w:pStyle w:val="TableParagraph"/>
              <w:rPr>
                <w:rFonts w:ascii="Times New Roman"/>
                <w:sz w:val="12"/>
              </w:rPr>
            </w:pPr>
          </w:p>
        </w:tc>
        <w:tc>
          <w:tcPr>
            <w:tcW w:w="691" w:type="dxa"/>
            <w:tcBorders>
              <w:top w:val="double" w:sz="8" w:space="0" w:color="000000"/>
              <w:bottom w:val="single" w:sz="8" w:space="0" w:color="000000"/>
            </w:tcBorders>
          </w:tcPr>
          <w:p>
            <w:pPr>
              <w:pStyle w:val="TableParagraph"/>
              <w:rPr>
                <w:rFonts w:ascii="Times New Roman"/>
                <w:sz w:val="12"/>
              </w:rPr>
            </w:pPr>
          </w:p>
        </w:tc>
        <w:tc>
          <w:tcPr>
            <w:tcW w:w="1106" w:type="dxa"/>
            <w:tcBorders>
              <w:top w:val="double" w:sz="8" w:space="0" w:color="000000"/>
              <w:bottom w:val="single" w:sz="8" w:space="0" w:color="000000"/>
            </w:tcBorders>
          </w:tcPr>
          <w:p>
            <w:pPr>
              <w:pStyle w:val="TableParagraph"/>
              <w:rPr>
                <w:rFonts w:ascii="Times New Roman"/>
                <w:sz w:val="12"/>
              </w:rPr>
            </w:pPr>
          </w:p>
        </w:tc>
      </w:tr>
    </w:tbl>
    <w:p>
      <w:pPr>
        <w:pStyle w:val="ListParagraph"/>
        <w:numPr>
          <w:ilvl w:val="0"/>
          <w:numId w:val="33"/>
        </w:numPr>
        <w:tabs>
          <w:tab w:pos="948" w:val="left" w:leader="none"/>
          <w:tab w:pos="952" w:val="left" w:leader="none"/>
        </w:tabs>
        <w:spacing w:line="208" w:lineRule="auto" w:before="37" w:after="0"/>
        <w:ind w:left="952" w:right="1253" w:hanging="180"/>
        <w:jc w:val="left"/>
        <w:rPr>
          <w:rFonts w:ascii="Arial" w:hAnsi="Arial"/>
          <w:i/>
          <w:sz w:val="16"/>
        </w:rPr>
      </w:pPr>
      <w:r>
        <w:rPr>
          <w:rFonts w:ascii="Arial" w:hAnsi="Arial"/>
          <w:i/>
          <w:sz w:val="16"/>
        </w:rPr>
        <w:t>Includes</w:t>
      </w:r>
      <w:r>
        <w:rPr>
          <w:rFonts w:ascii="Arial" w:hAnsi="Arial"/>
          <w:i/>
          <w:spacing w:val="-4"/>
          <w:sz w:val="16"/>
        </w:rPr>
        <w:t> </w:t>
      </w:r>
      <w:r>
        <w:rPr>
          <w:rFonts w:ascii="Arial" w:hAnsi="Arial"/>
          <w:i/>
          <w:sz w:val="16"/>
        </w:rPr>
        <w:t>$140</w:t>
      </w:r>
      <w:r>
        <w:rPr>
          <w:rFonts w:ascii="Arial" w:hAnsi="Arial"/>
          <w:i/>
          <w:spacing w:val="-4"/>
          <w:sz w:val="16"/>
        </w:rPr>
        <w:t> </w:t>
      </w:r>
      <w:r>
        <w:rPr>
          <w:rFonts w:ascii="Arial" w:hAnsi="Arial"/>
          <w:i/>
          <w:sz w:val="16"/>
        </w:rPr>
        <w:t>million</w:t>
      </w:r>
      <w:r>
        <w:rPr>
          <w:rFonts w:ascii="Arial" w:hAnsi="Arial"/>
          <w:i/>
          <w:spacing w:val="-4"/>
          <w:sz w:val="16"/>
        </w:rPr>
        <w:t> </w:t>
      </w:r>
      <w:r>
        <w:rPr>
          <w:rFonts w:ascii="Arial" w:hAnsi="Arial"/>
          <w:i/>
          <w:sz w:val="16"/>
        </w:rPr>
        <w:t>of</w:t>
      </w:r>
      <w:r>
        <w:rPr>
          <w:rFonts w:ascii="Arial" w:hAnsi="Arial"/>
          <w:i/>
          <w:spacing w:val="-4"/>
          <w:sz w:val="16"/>
        </w:rPr>
        <w:t> </w:t>
      </w:r>
      <w:r>
        <w:rPr>
          <w:rFonts w:ascii="Arial" w:hAnsi="Arial"/>
          <w:i/>
          <w:sz w:val="16"/>
        </w:rPr>
        <w:t>cash</w:t>
      </w:r>
      <w:r>
        <w:rPr>
          <w:rFonts w:ascii="Arial" w:hAnsi="Arial"/>
          <w:i/>
          <w:spacing w:val="-4"/>
          <w:sz w:val="16"/>
        </w:rPr>
        <w:t> </w:t>
      </w:r>
      <w:r>
        <w:rPr>
          <w:rFonts w:ascii="Arial" w:hAnsi="Arial"/>
          <w:i/>
          <w:sz w:val="16"/>
        </w:rPr>
        <w:t>collateral</w:t>
      </w:r>
      <w:r>
        <w:rPr>
          <w:rFonts w:ascii="Arial" w:hAnsi="Arial"/>
          <w:i/>
          <w:spacing w:val="-4"/>
          <w:sz w:val="16"/>
        </w:rPr>
        <w:t> </w:t>
      </w:r>
      <w:r>
        <w:rPr>
          <w:rFonts w:ascii="Arial" w:hAnsi="Arial"/>
          <w:i/>
          <w:sz w:val="16"/>
        </w:rPr>
        <w:t>received</w:t>
      </w:r>
      <w:r>
        <w:rPr>
          <w:rFonts w:ascii="Arial" w:hAnsi="Arial"/>
          <w:i/>
          <w:spacing w:val="-4"/>
          <w:sz w:val="16"/>
        </w:rPr>
        <w:t> </w:t>
      </w:r>
      <w:r>
        <w:rPr>
          <w:rFonts w:ascii="Arial" w:hAnsi="Arial"/>
          <w:i/>
          <w:sz w:val="16"/>
        </w:rPr>
        <w:t>from</w:t>
      </w:r>
      <w:r>
        <w:rPr>
          <w:rFonts w:ascii="Arial" w:hAnsi="Arial"/>
          <w:i/>
          <w:spacing w:val="-4"/>
          <w:sz w:val="16"/>
        </w:rPr>
        <w:t> </w:t>
      </w:r>
      <w:r>
        <w:rPr>
          <w:rFonts w:ascii="Arial" w:hAnsi="Arial"/>
          <w:i/>
          <w:sz w:val="16"/>
        </w:rPr>
        <w:t>counterparties</w:t>
      </w:r>
      <w:r>
        <w:rPr>
          <w:rFonts w:ascii="Arial" w:hAnsi="Arial"/>
          <w:i/>
          <w:spacing w:val="-4"/>
          <w:sz w:val="16"/>
        </w:rPr>
        <w:t> </w:t>
      </w:r>
      <w:r>
        <w:rPr>
          <w:rFonts w:ascii="Arial" w:hAnsi="Arial"/>
          <w:i/>
          <w:sz w:val="16"/>
        </w:rPr>
        <w:t>under</w:t>
      </w:r>
      <w:r>
        <w:rPr>
          <w:rFonts w:ascii="Arial" w:hAnsi="Arial"/>
          <w:i/>
          <w:spacing w:val="-4"/>
          <w:sz w:val="16"/>
        </w:rPr>
        <w:t> </w:t>
      </w:r>
      <w:r>
        <w:rPr>
          <w:rFonts w:ascii="Arial" w:hAnsi="Arial"/>
          <w:i/>
          <w:sz w:val="16"/>
        </w:rPr>
        <w:t>derivative</w:t>
      </w:r>
      <w:r>
        <w:rPr>
          <w:rFonts w:ascii="Arial" w:hAnsi="Arial"/>
          <w:i/>
          <w:spacing w:val="-4"/>
          <w:sz w:val="16"/>
        </w:rPr>
        <w:t> </w:t>
      </w:r>
      <w:r>
        <w:rPr>
          <w:rFonts w:ascii="Arial" w:hAnsi="Arial"/>
          <w:i/>
          <w:sz w:val="16"/>
        </w:rPr>
        <w:t>agreements</w:t>
      </w:r>
      <w:r>
        <w:rPr>
          <w:rFonts w:ascii="Arial" w:hAnsi="Arial"/>
          <w:i/>
          <w:spacing w:val="-4"/>
          <w:sz w:val="16"/>
        </w:rPr>
        <w:t> </w:t>
      </w:r>
      <w:r>
        <w:rPr>
          <w:rFonts w:ascii="Arial" w:hAnsi="Arial"/>
          <w:i/>
          <w:sz w:val="16"/>
        </w:rPr>
        <w:t>($164</w:t>
      </w:r>
      <w:r>
        <w:rPr>
          <w:rFonts w:ascii="Arial" w:hAnsi="Arial"/>
          <w:i/>
          <w:spacing w:val="-4"/>
          <w:sz w:val="16"/>
        </w:rPr>
        <w:t> </w:t>
      </w:r>
      <w:r>
        <w:rPr>
          <w:rFonts w:ascii="Arial" w:hAnsi="Arial"/>
          <w:i/>
          <w:sz w:val="16"/>
        </w:rPr>
        <w:t>million—June</w:t>
      </w:r>
      <w:r>
        <w:rPr>
          <w:rFonts w:ascii="Arial" w:hAnsi="Arial"/>
          <w:i/>
          <w:spacing w:val="-4"/>
          <w:sz w:val="16"/>
        </w:rPr>
        <w:t> </w:t>
      </w:r>
      <w:r>
        <w:rPr>
          <w:rFonts w:ascii="Arial" w:hAnsi="Arial"/>
          <w:i/>
          <w:sz w:val="16"/>
        </w:rPr>
        <w:t>30, </w:t>
      </w:r>
      <w:r>
        <w:rPr>
          <w:rFonts w:ascii="Arial" w:hAnsi="Arial"/>
          <w:i/>
          <w:spacing w:val="-2"/>
          <w:sz w:val="16"/>
        </w:rPr>
        <w:t>2022).</w:t>
      </w:r>
    </w:p>
    <w:p>
      <w:pPr>
        <w:pStyle w:val="ListParagraph"/>
        <w:numPr>
          <w:ilvl w:val="0"/>
          <w:numId w:val="33"/>
        </w:numPr>
        <w:tabs>
          <w:tab w:pos="948" w:val="left" w:leader="none"/>
        </w:tabs>
        <w:spacing w:line="240" w:lineRule="auto" w:before="60" w:after="0"/>
        <w:ind w:left="948" w:right="0" w:hanging="176"/>
        <w:jc w:val="left"/>
        <w:rPr>
          <w:rFonts w:ascii="Arial"/>
          <w:i/>
          <w:sz w:val="16"/>
        </w:rPr>
      </w:pPr>
      <w:r>
        <w:rPr>
          <w:rFonts w:ascii="Arial"/>
          <w:i/>
          <w:sz w:val="16"/>
        </w:rPr>
        <w:t>This</w:t>
      </w:r>
      <w:r>
        <w:rPr>
          <w:rFonts w:ascii="Arial"/>
          <w:i/>
          <w:spacing w:val="-5"/>
          <w:sz w:val="16"/>
        </w:rPr>
        <w:t> </w:t>
      </w:r>
      <w:r>
        <w:rPr>
          <w:rFonts w:ascii="Arial"/>
          <w:i/>
          <w:sz w:val="16"/>
        </w:rPr>
        <w:t>amount</w:t>
      </w:r>
      <w:r>
        <w:rPr>
          <w:rFonts w:ascii="Arial"/>
          <w:i/>
          <w:spacing w:val="-3"/>
          <w:sz w:val="16"/>
        </w:rPr>
        <w:t> </w:t>
      </w:r>
      <w:r>
        <w:rPr>
          <w:rFonts w:ascii="Arial"/>
          <w:i/>
          <w:sz w:val="16"/>
        </w:rPr>
        <w:t>is</w:t>
      </w:r>
      <w:r>
        <w:rPr>
          <w:rFonts w:ascii="Arial"/>
          <w:i/>
          <w:spacing w:val="-3"/>
          <w:sz w:val="16"/>
        </w:rPr>
        <w:t> </w:t>
      </w:r>
      <w:r>
        <w:rPr>
          <w:rFonts w:ascii="Arial"/>
          <w:i/>
          <w:sz w:val="16"/>
        </w:rPr>
        <w:t>included</w:t>
      </w:r>
      <w:r>
        <w:rPr>
          <w:rFonts w:ascii="Arial"/>
          <w:i/>
          <w:spacing w:val="-3"/>
          <w:sz w:val="16"/>
        </w:rPr>
        <w:t> </w:t>
      </w:r>
      <w:r>
        <w:rPr>
          <w:rFonts w:ascii="Arial"/>
          <w:i/>
          <w:sz w:val="16"/>
        </w:rPr>
        <w:t>in</w:t>
      </w:r>
      <w:r>
        <w:rPr>
          <w:rFonts w:ascii="Arial"/>
          <w:i/>
          <w:spacing w:val="-4"/>
          <w:sz w:val="16"/>
        </w:rPr>
        <w:t> </w:t>
      </w:r>
      <w:r>
        <w:rPr>
          <w:rFonts w:ascii="Arial"/>
          <w:i/>
          <w:sz w:val="16"/>
        </w:rPr>
        <w:t>Unrestricted</w:t>
      </w:r>
      <w:r>
        <w:rPr>
          <w:rFonts w:ascii="Arial"/>
          <w:i/>
          <w:spacing w:val="-3"/>
          <w:sz w:val="16"/>
        </w:rPr>
        <w:t> </w:t>
      </w:r>
      <w:r>
        <w:rPr>
          <w:rFonts w:ascii="Arial"/>
          <w:i/>
          <w:sz w:val="16"/>
        </w:rPr>
        <w:t>cash</w:t>
      </w:r>
      <w:r>
        <w:rPr>
          <w:rFonts w:ascii="Arial"/>
          <w:i/>
          <w:spacing w:val="-4"/>
          <w:sz w:val="16"/>
        </w:rPr>
        <w:t> </w:t>
      </w:r>
      <w:r>
        <w:rPr>
          <w:rFonts w:ascii="Arial"/>
          <w:i/>
          <w:sz w:val="16"/>
        </w:rPr>
        <w:t>under</w:t>
      </w:r>
      <w:r>
        <w:rPr>
          <w:rFonts w:ascii="Arial"/>
          <w:i/>
          <w:spacing w:val="-3"/>
          <w:sz w:val="16"/>
        </w:rPr>
        <w:t> </w:t>
      </w:r>
      <w:r>
        <w:rPr>
          <w:rFonts w:ascii="Arial"/>
          <w:i/>
          <w:sz w:val="16"/>
        </w:rPr>
        <w:t>Due</w:t>
      </w:r>
      <w:r>
        <w:rPr>
          <w:rFonts w:ascii="Arial"/>
          <w:i/>
          <w:spacing w:val="-3"/>
          <w:sz w:val="16"/>
        </w:rPr>
        <w:t> </w:t>
      </w:r>
      <w:r>
        <w:rPr>
          <w:rFonts w:ascii="Arial"/>
          <w:i/>
          <w:sz w:val="16"/>
        </w:rPr>
        <w:t>from</w:t>
      </w:r>
      <w:r>
        <w:rPr>
          <w:rFonts w:ascii="Arial"/>
          <w:i/>
          <w:spacing w:val="-3"/>
          <w:sz w:val="16"/>
        </w:rPr>
        <w:t> </w:t>
      </w:r>
      <w:r>
        <w:rPr>
          <w:rFonts w:ascii="Arial"/>
          <w:i/>
          <w:sz w:val="16"/>
        </w:rPr>
        <w:t>banks</w:t>
      </w:r>
      <w:r>
        <w:rPr>
          <w:rFonts w:ascii="Arial"/>
          <w:i/>
          <w:spacing w:val="-3"/>
          <w:sz w:val="16"/>
        </w:rPr>
        <w:t> </w:t>
      </w:r>
      <w:r>
        <w:rPr>
          <w:rFonts w:ascii="Arial"/>
          <w:i/>
          <w:sz w:val="16"/>
        </w:rPr>
        <w:t>on</w:t>
      </w:r>
      <w:r>
        <w:rPr>
          <w:rFonts w:ascii="Arial"/>
          <w:i/>
          <w:spacing w:val="-3"/>
          <w:sz w:val="16"/>
        </w:rPr>
        <w:t> </w:t>
      </w:r>
      <w:r>
        <w:rPr>
          <w:rFonts w:ascii="Arial"/>
          <w:i/>
          <w:sz w:val="16"/>
        </w:rPr>
        <w:t>the</w:t>
      </w:r>
      <w:r>
        <w:rPr>
          <w:rFonts w:ascii="Arial"/>
          <w:i/>
          <w:spacing w:val="-4"/>
          <w:sz w:val="16"/>
        </w:rPr>
        <w:t> </w:t>
      </w:r>
      <w:r>
        <w:rPr>
          <w:rFonts w:ascii="Arial"/>
          <w:i/>
          <w:sz w:val="16"/>
        </w:rPr>
        <w:t>Balance</w:t>
      </w:r>
      <w:r>
        <w:rPr>
          <w:rFonts w:ascii="Arial"/>
          <w:i/>
          <w:spacing w:val="-3"/>
          <w:sz w:val="16"/>
        </w:rPr>
        <w:t> </w:t>
      </w:r>
      <w:r>
        <w:rPr>
          <w:rFonts w:ascii="Arial"/>
          <w:i/>
          <w:spacing w:val="-2"/>
          <w:sz w:val="16"/>
        </w:rPr>
        <w:t>Sheets.</w:t>
      </w:r>
    </w:p>
    <w:p>
      <w:pPr>
        <w:pStyle w:val="ListParagraph"/>
        <w:numPr>
          <w:ilvl w:val="0"/>
          <w:numId w:val="33"/>
        </w:numPr>
        <w:tabs>
          <w:tab w:pos="940" w:val="left" w:leader="none"/>
          <w:tab w:pos="952" w:val="left" w:leader="none"/>
        </w:tabs>
        <w:spacing w:line="249" w:lineRule="auto" w:before="77" w:after="0"/>
        <w:ind w:left="952" w:right="921" w:hanging="180"/>
        <w:jc w:val="left"/>
        <w:rPr>
          <w:rFonts w:ascii="Arial" w:hAnsi="Arial"/>
          <w:i/>
          <w:sz w:val="16"/>
        </w:rPr>
      </w:pPr>
      <w:r>
        <w:rPr>
          <w:rFonts w:ascii="Arial" w:hAnsi="Arial"/>
          <w:i/>
          <w:sz w:val="16"/>
        </w:rPr>
        <w:t>This amount includes $385 million of liabilities related to IFC PCRF payable, which is included in Other liabilities – Accounts payable</w:t>
      </w:r>
      <w:r>
        <w:rPr>
          <w:rFonts w:ascii="Arial" w:hAnsi="Arial"/>
          <w:i/>
          <w:spacing w:val="-4"/>
          <w:sz w:val="16"/>
        </w:rPr>
        <w:t> </w:t>
      </w:r>
      <w:r>
        <w:rPr>
          <w:rFonts w:ascii="Arial" w:hAnsi="Arial"/>
          <w:i/>
          <w:sz w:val="16"/>
        </w:rPr>
        <w:t>and</w:t>
      </w:r>
      <w:r>
        <w:rPr>
          <w:rFonts w:ascii="Arial" w:hAnsi="Arial"/>
          <w:i/>
          <w:spacing w:val="-4"/>
          <w:sz w:val="16"/>
        </w:rPr>
        <w:t> </w:t>
      </w:r>
      <w:r>
        <w:rPr>
          <w:rFonts w:ascii="Arial" w:hAnsi="Arial"/>
          <w:i/>
          <w:sz w:val="16"/>
        </w:rPr>
        <w:t>miscellaneous</w:t>
      </w:r>
      <w:r>
        <w:rPr>
          <w:rFonts w:ascii="Arial" w:hAnsi="Arial"/>
          <w:i/>
          <w:spacing w:val="-3"/>
          <w:sz w:val="16"/>
        </w:rPr>
        <w:t> </w:t>
      </w:r>
      <w:r>
        <w:rPr>
          <w:rFonts w:ascii="Arial" w:hAnsi="Arial"/>
          <w:i/>
          <w:sz w:val="16"/>
        </w:rPr>
        <w:t>liabilities</w:t>
      </w:r>
      <w:r>
        <w:rPr>
          <w:rFonts w:ascii="Arial" w:hAnsi="Arial"/>
          <w:i/>
          <w:spacing w:val="-3"/>
          <w:sz w:val="16"/>
        </w:rPr>
        <w:t> </w:t>
      </w:r>
      <w:r>
        <w:rPr>
          <w:rFonts w:ascii="Arial" w:hAnsi="Arial"/>
          <w:i/>
          <w:sz w:val="16"/>
        </w:rPr>
        <w:t>on</w:t>
      </w:r>
      <w:r>
        <w:rPr>
          <w:rFonts w:ascii="Arial" w:hAnsi="Arial"/>
          <w:i/>
          <w:spacing w:val="-4"/>
          <w:sz w:val="16"/>
        </w:rPr>
        <w:t> </w:t>
      </w:r>
      <w:r>
        <w:rPr>
          <w:rFonts w:ascii="Arial" w:hAnsi="Arial"/>
          <w:i/>
          <w:sz w:val="16"/>
        </w:rPr>
        <w:t>the</w:t>
      </w:r>
      <w:r>
        <w:rPr>
          <w:rFonts w:ascii="Arial" w:hAnsi="Arial"/>
          <w:i/>
          <w:spacing w:val="-4"/>
          <w:sz w:val="16"/>
        </w:rPr>
        <w:t> </w:t>
      </w:r>
      <w:r>
        <w:rPr>
          <w:rFonts w:ascii="Arial" w:hAnsi="Arial"/>
          <w:i/>
          <w:sz w:val="16"/>
        </w:rPr>
        <w:t>Balance</w:t>
      </w:r>
      <w:r>
        <w:rPr>
          <w:rFonts w:ascii="Arial" w:hAnsi="Arial"/>
          <w:i/>
          <w:spacing w:val="-4"/>
          <w:sz w:val="16"/>
        </w:rPr>
        <w:t> </w:t>
      </w:r>
      <w:r>
        <w:rPr>
          <w:rFonts w:ascii="Arial" w:hAnsi="Arial"/>
          <w:i/>
          <w:sz w:val="16"/>
        </w:rPr>
        <w:t>Sheets</w:t>
      </w:r>
      <w:r>
        <w:rPr>
          <w:rFonts w:ascii="Arial" w:hAnsi="Arial"/>
          <w:i/>
          <w:spacing w:val="-3"/>
          <w:sz w:val="16"/>
        </w:rPr>
        <w:t> </w:t>
      </w:r>
      <w:r>
        <w:rPr>
          <w:rFonts w:ascii="Arial" w:hAnsi="Arial"/>
          <w:i/>
          <w:sz w:val="16"/>
        </w:rPr>
        <w:t>($260</w:t>
      </w:r>
      <w:r>
        <w:rPr>
          <w:rFonts w:ascii="Arial" w:hAnsi="Arial"/>
          <w:i/>
          <w:spacing w:val="-4"/>
          <w:sz w:val="16"/>
        </w:rPr>
        <w:t> </w:t>
      </w:r>
      <w:r>
        <w:rPr>
          <w:rFonts w:ascii="Arial" w:hAnsi="Arial"/>
          <w:i/>
          <w:sz w:val="16"/>
        </w:rPr>
        <w:t>million—June</w:t>
      </w:r>
      <w:r>
        <w:rPr>
          <w:rFonts w:ascii="Arial" w:hAnsi="Arial"/>
          <w:i/>
          <w:spacing w:val="-4"/>
          <w:sz w:val="16"/>
        </w:rPr>
        <w:t> </w:t>
      </w:r>
      <w:r>
        <w:rPr>
          <w:rFonts w:ascii="Arial" w:hAnsi="Arial"/>
          <w:i/>
          <w:sz w:val="16"/>
        </w:rPr>
        <w:t>30,</w:t>
      </w:r>
      <w:r>
        <w:rPr>
          <w:rFonts w:ascii="Arial" w:hAnsi="Arial"/>
          <w:i/>
          <w:spacing w:val="-3"/>
          <w:sz w:val="16"/>
        </w:rPr>
        <w:t> </w:t>
      </w:r>
      <w:r>
        <w:rPr>
          <w:rFonts w:ascii="Arial" w:hAnsi="Arial"/>
          <w:i/>
          <w:sz w:val="16"/>
        </w:rPr>
        <w:t>2022),</w:t>
      </w:r>
      <w:r>
        <w:rPr>
          <w:rFonts w:ascii="Arial" w:hAnsi="Arial"/>
          <w:i/>
          <w:spacing w:val="-3"/>
          <w:sz w:val="16"/>
        </w:rPr>
        <w:t> </w:t>
      </w:r>
      <w:r>
        <w:rPr>
          <w:rFonts w:ascii="Arial" w:hAnsi="Arial"/>
          <w:i/>
          <w:sz w:val="16"/>
        </w:rPr>
        <w:t>and</w:t>
      </w:r>
      <w:r>
        <w:rPr>
          <w:rFonts w:ascii="Arial" w:hAnsi="Arial"/>
          <w:i/>
          <w:spacing w:val="-4"/>
          <w:sz w:val="16"/>
        </w:rPr>
        <w:t> </w:t>
      </w:r>
      <w:r>
        <w:rPr>
          <w:rFonts w:ascii="Arial" w:hAnsi="Arial"/>
          <w:i/>
          <w:sz w:val="16"/>
        </w:rPr>
        <w:t>$59</w:t>
      </w:r>
      <w:r>
        <w:rPr>
          <w:rFonts w:ascii="Arial" w:hAnsi="Arial"/>
          <w:i/>
          <w:spacing w:val="-4"/>
          <w:sz w:val="16"/>
        </w:rPr>
        <w:t> </w:t>
      </w:r>
      <w:r>
        <w:rPr>
          <w:rFonts w:ascii="Arial" w:hAnsi="Arial"/>
          <w:i/>
          <w:sz w:val="16"/>
        </w:rPr>
        <w:t>million</w:t>
      </w:r>
      <w:r>
        <w:rPr>
          <w:rFonts w:ascii="Arial" w:hAnsi="Arial"/>
          <w:i/>
          <w:spacing w:val="-4"/>
          <w:sz w:val="16"/>
        </w:rPr>
        <w:t> </w:t>
      </w:r>
      <w:r>
        <w:rPr>
          <w:rFonts w:ascii="Arial" w:hAnsi="Arial"/>
          <w:i/>
          <w:sz w:val="16"/>
        </w:rPr>
        <w:t>of</w:t>
      </w:r>
      <w:r>
        <w:rPr>
          <w:rFonts w:ascii="Arial" w:hAnsi="Arial"/>
          <w:i/>
          <w:spacing w:val="-3"/>
          <w:sz w:val="16"/>
        </w:rPr>
        <w:t> </w:t>
      </w:r>
      <w:r>
        <w:rPr>
          <w:rFonts w:ascii="Arial" w:hAnsi="Arial"/>
          <w:i/>
          <w:sz w:val="16"/>
        </w:rPr>
        <w:t>liabilities</w:t>
      </w:r>
      <w:r>
        <w:rPr>
          <w:rFonts w:ascii="Arial" w:hAnsi="Arial"/>
          <w:i/>
          <w:spacing w:val="-3"/>
          <w:sz w:val="16"/>
        </w:rPr>
        <w:t> </w:t>
      </w:r>
      <w:r>
        <w:rPr>
          <w:rFonts w:ascii="Arial" w:hAnsi="Arial"/>
          <w:i/>
          <w:sz w:val="16"/>
        </w:rPr>
        <w:t>related to short sales (Nil —June 30, 2022).</w:t>
      </w:r>
    </w:p>
    <w:p>
      <w:pPr>
        <w:pStyle w:val="BodyText"/>
        <w:spacing w:before="11"/>
        <w:rPr>
          <w:rFonts w:ascii="Arial"/>
          <w:i/>
          <w:sz w:val="16"/>
        </w:rPr>
      </w:pPr>
    </w:p>
    <w:p>
      <w:pPr>
        <w:pStyle w:val="BodyText"/>
        <w:ind w:left="720"/>
      </w:pPr>
      <w:r>
        <w:rPr/>
        <w:t>The</w:t>
      </w:r>
      <w:r>
        <w:rPr>
          <w:spacing w:val="-6"/>
        </w:rPr>
        <w:t> </w:t>
      </w:r>
      <w:r>
        <w:rPr/>
        <w:t>composition</w:t>
      </w:r>
      <w:r>
        <w:rPr>
          <w:spacing w:val="-3"/>
        </w:rPr>
        <w:t> </w:t>
      </w:r>
      <w:r>
        <w:rPr/>
        <w:t>of</w:t>
      </w:r>
      <w:r>
        <w:rPr>
          <w:spacing w:val="-2"/>
        </w:rPr>
        <w:t> </w:t>
      </w:r>
      <w:r>
        <w:rPr/>
        <w:t>IBRD’s</w:t>
      </w:r>
      <w:r>
        <w:rPr>
          <w:spacing w:val="-4"/>
        </w:rPr>
        <w:t> </w:t>
      </w:r>
      <w:r>
        <w:rPr/>
        <w:t>net</w:t>
      </w:r>
      <w:r>
        <w:rPr>
          <w:spacing w:val="-3"/>
        </w:rPr>
        <w:t> </w:t>
      </w:r>
      <w:r>
        <w:rPr/>
        <w:t>investment</w:t>
      </w:r>
      <w:r>
        <w:rPr>
          <w:spacing w:val="-4"/>
        </w:rPr>
        <w:t> </w:t>
      </w:r>
      <w:r>
        <w:rPr/>
        <w:t>portfolio</w:t>
      </w:r>
      <w:r>
        <w:rPr>
          <w:spacing w:val="-2"/>
        </w:rPr>
        <w:t> </w:t>
      </w:r>
      <w:r>
        <w:rPr/>
        <w:t>was</w:t>
      </w:r>
      <w:r>
        <w:rPr>
          <w:spacing w:val="-4"/>
        </w:rPr>
        <w:t> </w:t>
      </w:r>
      <w:r>
        <w:rPr/>
        <w:t>as</w:t>
      </w:r>
      <w:r>
        <w:rPr>
          <w:spacing w:val="-3"/>
        </w:rPr>
        <w:t> </w:t>
      </w:r>
      <w:r>
        <w:rPr>
          <w:spacing w:val="-2"/>
        </w:rPr>
        <w:t>follows:</w:t>
      </w:r>
    </w:p>
    <w:p>
      <w:pPr>
        <w:pStyle w:val="Heading8"/>
        <w:spacing w:before="127"/>
      </w:pPr>
      <w:r>
        <w:rPr/>
        <w:t>Table</w:t>
      </w:r>
      <w:r>
        <w:rPr>
          <w:spacing w:val="-5"/>
        </w:rPr>
        <w:t> </w:t>
      </w:r>
      <w:r>
        <w:rPr/>
        <w:t>C3:</w:t>
      </w:r>
      <w:r>
        <w:rPr>
          <w:spacing w:val="-3"/>
        </w:rPr>
        <w:t> </w:t>
      </w:r>
      <w:r>
        <w:rPr/>
        <w:t>Net</w:t>
      </w:r>
      <w:r>
        <w:rPr>
          <w:spacing w:val="-3"/>
        </w:rPr>
        <w:t> </w:t>
      </w:r>
      <w:r>
        <w:rPr/>
        <w:t>investment</w:t>
      </w:r>
      <w:r>
        <w:rPr>
          <w:spacing w:val="-3"/>
        </w:rPr>
        <w:t> </w:t>
      </w:r>
      <w:r>
        <w:rPr/>
        <w:t>portfolio</w:t>
      </w:r>
      <w:r>
        <w:rPr>
          <w:spacing w:val="-3"/>
        </w:rPr>
        <w:t> </w:t>
      </w:r>
      <w:r>
        <w:rPr>
          <w:spacing w:val="-2"/>
        </w:rPr>
        <w:t>composition</w:t>
      </w:r>
    </w:p>
    <w:p>
      <w:pPr>
        <w:spacing w:before="48" w:after="30"/>
        <w:ind w:left="720"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5"/>
        <w:gridCol w:w="485"/>
        <w:gridCol w:w="1405"/>
        <w:gridCol w:w="779"/>
        <w:gridCol w:w="195"/>
        <w:gridCol w:w="485"/>
        <w:gridCol w:w="1405"/>
        <w:gridCol w:w="779"/>
      </w:tblGrid>
      <w:tr>
        <w:trPr>
          <w:trHeight w:val="220" w:hRule="atLeast"/>
        </w:trPr>
        <w:tc>
          <w:tcPr>
            <w:tcW w:w="4310" w:type="dxa"/>
            <w:gridSpan w:val="2"/>
            <w:tcBorders>
              <w:top w:val="single" w:sz="8" w:space="0" w:color="000000"/>
            </w:tcBorders>
          </w:tcPr>
          <w:p>
            <w:pPr>
              <w:pStyle w:val="TableParagraph"/>
              <w:rPr>
                <w:rFonts w:ascii="Times New Roman"/>
                <w:sz w:val="14"/>
              </w:rPr>
            </w:pPr>
          </w:p>
        </w:tc>
        <w:tc>
          <w:tcPr>
            <w:tcW w:w="1405" w:type="dxa"/>
            <w:tcBorders>
              <w:top w:val="single" w:sz="8" w:space="0" w:color="000000"/>
              <w:bottom w:val="single" w:sz="8" w:space="0" w:color="000000"/>
            </w:tcBorders>
          </w:tcPr>
          <w:p>
            <w:pPr>
              <w:pStyle w:val="TableParagraph"/>
              <w:spacing w:line="183" w:lineRule="exact" w:before="16"/>
              <w:ind w:left="34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779" w:type="dxa"/>
            <w:tcBorders>
              <w:top w:val="single" w:sz="8" w:space="0" w:color="000000"/>
              <w:bottom w:val="single" w:sz="8" w:space="0" w:color="000000"/>
            </w:tcBorders>
          </w:tcPr>
          <w:p>
            <w:pPr>
              <w:pStyle w:val="TableParagraph"/>
              <w:rPr>
                <w:rFonts w:ascii="Times New Roman"/>
                <w:sz w:val="14"/>
              </w:rPr>
            </w:pPr>
          </w:p>
        </w:tc>
        <w:tc>
          <w:tcPr>
            <w:tcW w:w="195" w:type="dxa"/>
            <w:tcBorders>
              <w:top w:val="single" w:sz="8" w:space="0" w:color="000000"/>
            </w:tcBorders>
          </w:tcPr>
          <w:p>
            <w:pPr>
              <w:pStyle w:val="TableParagraph"/>
              <w:rPr>
                <w:rFonts w:ascii="Times New Roman"/>
                <w:sz w:val="14"/>
              </w:rPr>
            </w:pPr>
          </w:p>
        </w:tc>
        <w:tc>
          <w:tcPr>
            <w:tcW w:w="485" w:type="dxa"/>
            <w:tcBorders>
              <w:top w:val="single" w:sz="8" w:space="0" w:color="000000"/>
              <w:bottom w:val="single" w:sz="8" w:space="0" w:color="000000"/>
            </w:tcBorders>
          </w:tcPr>
          <w:p>
            <w:pPr>
              <w:pStyle w:val="TableParagraph"/>
              <w:rPr>
                <w:rFonts w:ascii="Times New Roman"/>
                <w:sz w:val="14"/>
              </w:rPr>
            </w:pPr>
          </w:p>
        </w:tc>
        <w:tc>
          <w:tcPr>
            <w:tcW w:w="1405" w:type="dxa"/>
            <w:tcBorders>
              <w:top w:val="single" w:sz="8" w:space="0" w:color="000000"/>
              <w:bottom w:val="single" w:sz="8" w:space="0" w:color="000000"/>
            </w:tcBorders>
          </w:tcPr>
          <w:p>
            <w:pPr>
              <w:pStyle w:val="TableParagraph"/>
              <w:spacing w:line="183" w:lineRule="exact" w:before="16"/>
              <w:ind w:left="344"/>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779" w:type="dxa"/>
            <w:tcBorders>
              <w:top w:val="single" w:sz="8" w:space="0" w:color="000000"/>
              <w:bottom w:val="single" w:sz="8" w:space="0" w:color="000000"/>
            </w:tcBorders>
          </w:tcPr>
          <w:p>
            <w:pPr>
              <w:pStyle w:val="TableParagraph"/>
              <w:rPr>
                <w:rFonts w:ascii="Times New Roman"/>
                <w:sz w:val="14"/>
              </w:rPr>
            </w:pPr>
          </w:p>
        </w:tc>
      </w:tr>
      <w:tr>
        <w:trPr>
          <w:trHeight w:val="470" w:hRule="atLeast"/>
        </w:trPr>
        <w:tc>
          <w:tcPr>
            <w:tcW w:w="3825" w:type="dxa"/>
          </w:tcPr>
          <w:p>
            <w:pPr>
              <w:pStyle w:val="TableParagraph"/>
              <w:spacing w:before="16"/>
              <w:ind w:right="2091"/>
              <w:jc w:val="right"/>
              <w:rPr>
                <w:sz w:val="16"/>
              </w:rPr>
            </w:pPr>
            <w:r>
              <w:rPr>
                <w:sz w:val="16"/>
              </w:rPr>
              <w:t>Net</w:t>
            </w:r>
            <w:r>
              <w:rPr>
                <w:spacing w:val="-4"/>
                <w:sz w:val="16"/>
              </w:rPr>
              <w:t> </w:t>
            </w:r>
            <w:r>
              <w:rPr>
                <w:sz w:val="16"/>
              </w:rPr>
              <w:t>investment</w:t>
            </w:r>
            <w:r>
              <w:rPr>
                <w:spacing w:val="-3"/>
                <w:sz w:val="16"/>
              </w:rPr>
              <w:t> </w:t>
            </w:r>
            <w:r>
              <w:rPr>
                <w:spacing w:val="-2"/>
                <w:sz w:val="16"/>
              </w:rPr>
              <w:t>portfolio</w:t>
            </w:r>
          </w:p>
          <w:p>
            <w:pPr>
              <w:pStyle w:val="TableParagraph"/>
              <w:spacing w:before="56"/>
              <w:ind w:right="2124"/>
              <w:jc w:val="right"/>
              <w:rPr>
                <w:sz w:val="16"/>
              </w:rPr>
            </w:pPr>
            <w:r>
              <w:rPr>
                <w:sz w:val="16"/>
              </w:rPr>
              <w:t>Liquid</w:t>
            </w:r>
            <w:r>
              <w:rPr>
                <w:spacing w:val="-5"/>
                <w:sz w:val="16"/>
              </w:rPr>
              <w:t> </w:t>
            </w:r>
            <w:r>
              <w:rPr>
                <w:sz w:val="16"/>
              </w:rPr>
              <w:t>asset</w:t>
            </w:r>
            <w:r>
              <w:rPr>
                <w:spacing w:val="-3"/>
                <w:sz w:val="16"/>
              </w:rPr>
              <w:t> </w:t>
            </w:r>
            <w:r>
              <w:rPr>
                <w:spacing w:val="-2"/>
                <w:sz w:val="16"/>
              </w:rPr>
              <w:t>portfolio</w:t>
            </w:r>
          </w:p>
        </w:tc>
        <w:tc>
          <w:tcPr>
            <w:tcW w:w="485" w:type="dxa"/>
            <w:tcBorders>
              <w:top w:val="single" w:sz="8" w:space="0" w:color="000000"/>
            </w:tcBorders>
          </w:tcPr>
          <w:p>
            <w:pPr>
              <w:pStyle w:val="TableParagraph"/>
              <w:spacing w:before="72"/>
              <w:rPr>
                <w:rFonts w:ascii="Arial"/>
                <w:i/>
                <w:sz w:val="16"/>
              </w:rPr>
            </w:pPr>
          </w:p>
          <w:p>
            <w:pPr>
              <w:pStyle w:val="TableParagraph"/>
              <w:ind w:left="52"/>
              <w:rPr>
                <w:sz w:val="16"/>
              </w:rPr>
            </w:pPr>
            <w:r>
              <w:rPr>
                <w:spacing w:val="-10"/>
                <w:sz w:val="16"/>
              </w:rPr>
              <w:t>$</w:t>
            </w:r>
          </w:p>
        </w:tc>
        <w:tc>
          <w:tcPr>
            <w:tcW w:w="1405" w:type="dxa"/>
            <w:tcBorders>
              <w:top w:val="single" w:sz="8" w:space="0" w:color="000000"/>
            </w:tcBorders>
          </w:tcPr>
          <w:p>
            <w:pPr>
              <w:pStyle w:val="TableParagraph"/>
              <w:rPr>
                <w:rFonts w:ascii="Times New Roman"/>
                <w:sz w:val="16"/>
              </w:rPr>
            </w:pPr>
          </w:p>
        </w:tc>
        <w:tc>
          <w:tcPr>
            <w:tcW w:w="779" w:type="dxa"/>
            <w:tcBorders>
              <w:top w:val="single" w:sz="8" w:space="0" w:color="000000"/>
            </w:tcBorders>
          </w:tcPr>
          <w:p>
            <w:pPr>
              <w:pStyle w:val="TableParagraph"/>
              <w:spacing w:before="72"/>
              <w:rPr>
                <w:rFonts w:ascii="Arial"/>
                <w:i/>
                <w:sz w:val="16"/>
              </w:rPr>
            </w:pPr>
          </w:p>
          <w:p>
            <w:pPr>
              <w:pStyle w:val="TableParagraph"/>
              <w:ind w:right="238"/>
              <w:jc w:val="right"/>
              <w:rPr>
                <w:sz w:val="16"/>
              </w:rPr>
            </w:pPr>
            <w:r>
              <w:rPr>
                <w:spacing w:val="-2"/>
                <w:sz w:val="16"/>
              </w:rPr>
              <w:t>75,413</w:t>
            </w:r>
          </w:p>
        </w:tc>
        <w:tc>
          <w:tcPr>
            <w:tcW w:w="195" w:type="dxa"/>
          </w:tcPr>
          <w:p>
            <w:pPr>
              <w:pStyle w:val="TableParagraph"/>
              <w:rPr>
                <w:rFonts w:ascii="Times New Roman"/>
                <w:sz w:val="16"/>
              </w:rPr>
            </w:pPr>
          </w:p>
        </w:tc>
        <w:tc>
          <w:tcPr>
            <w:tcW w:w="485" w:type="dxa"/>
            <w:tcBorders>
              <w:top w:val="single" w:sz="8" w:space="0" w:color="000000"/>
            </w:tcBorders>
          </w:tcPr>
          <w:p>
            <w:pPr>
              <w:pStyle w:val="TableParagraph"/>
              <w:spacing w:before="72"/>
              <w:rPr>
                <w:rFonts w:ascii="Arial"/>
                <w:i/>
                <w:sz w:val="16"/>
              </w:rPr>
            </w:pPr>
          </w:p>
          <w:p>
            <w:pPr>
              <w:pStyle w:val="TableParagraph"/>
              <w:ind w:left="53"/>
              <w:rPr>
                <w:sz w:val="16"/>
              </w:rPr>
            </w:pPr>
            <w:r>
              <w:rPr>
                <w:spacing w:val="-10"/>
                <w:sz w:val="16"/>
              </w:rPr>
              <w:t>$</w:t>
            </w:r>
          </w:p>
        </w:tc>
        <w:tc>
          <w:tcPr>
            <w:tcW w:w="1405" w:type="dxa"/>
            <w:tcBorders>
              <w:top w:val="single" w:sz="8" w:space="0" w:color="000000"/>
            </w:tcBorders>
          </w:tcPr>
          <w:p>
            <w:pPr>
              <w:pStyle w:val="TableParagraph"/>
              <w:rPr>
                <w:rFonts w:ascii="Times New Roman"/>
                <w:sz w:val="16"/>
              </w:rPr>
            </w:pPr>
          </w:p>
        </w:tc>
        <w:tc>
          <w:tcPr>
            <w:tcW w:w="779" w:type="dxa"/>
            <w:tcBorders>
              <w:top w:val="single" w:sz="8" w:space="0" w:color="000000"/>
            </w:tcBorders>
          </w:tcPr>
          <w:p>
            <w:pPr>
              <w:pStyle w:val="TableParagraph"/>
              <w:spacing w:before="72"/>
              <w:rPr>
                <w:rFonts w:ascii="Arial"/>
                <w:i/>
                <w:sz w:val="16"/>
              </w:rPr>
            </w:pPr>
          </w:p>
          <w:p>
            <w:pPr>
              <w:pStyle w:val="TableParagraph"/>
              <w:ind w:right="237"/>
              <w:jc w:val="right"/>
              <w:rPr>
                <w:sz w:val="16"/>
              </w:rPr>
            </w:pPr>
            <w:r>
              <w:rPr>
                <w:spacing w:val="-2"/>
                <w:sz w:val="16"/>
              </w:rPr>
              <w:t>78,796</w:t>
            </w:r>
          </w:p>
        </w:tc>
      </w:tr>
      <w:tr>
        <w:trPr>
          <w:trHeight w:val="247" w:hRule="atLeast"/>
        </w:trPr>
        <w:tc>
          <w:tcPr>
            <w:tcW w:w="3825" w:type="dxa"/>
          </w:tcPr>
          <w:p>
            <w:pPr>
              <w:pStyle w:val="TableParagraph"/>
              <w:spacing w:before="25"/>
              <w:ind w:left="232"/>
              <w:rPr>
                <w:sz w:val="16"/>
              </w:rPr>
            </w:pPr>
            <w:r>
              <w:rPr>
                <w:sz w:val="16"/>
              </w:rPr>
              <w:t>PEBP</w:t>
            </w:r>
            <w:r>
              <w:rPr>
                <w:spacing w:val="-3"/>
                <w:sz w:val="16"/>
              </w:rPr>
              <w:t> </w:t>
            </w:r>
            <w:r>
              <w:rPr>
                <w:spacing w:val="-2"/>
                <w:sz w:val="16"/>
              </w:rPr>
              <w:t>holdings</w:t>
            </w:r>
          </w:p>
        </w:tc>
        <w:tc>
          <w:tcPr>
            <w:tcW w:w="485" w:type="dxa"/>
          </w:tcPr>
          <w:p>
            <w:pPr>
              <w:pStyle w:val="TableParagraph"/>
              <w:rPr>
                <w:rFonts w:ascii="Times New Roman"/>
                <w:sz w:val="16"/>
              </w:rPr>
            </w:pPr>
          </w:p>
        </w:tc>
        <w:tc>
          <w:tcPr>
            <w:tcW w:w="1405" w:type="dxa"/>
          </w:tcPr>
          <w:p>
            <w:pPr>
              <w:pStyle w:val="TableParagraph"/>
              <w:rPr>
                <w:rFonts w:ascii="Times New Roman"/>
                <w:sz w:val="16"/>
              </w:rPr>
            </w:pPr>
          </w:p>
        </w:tc>
        <w:tc>
          <w:tcPr>
            <w:tcW w:w="779" w:type="dxa"/>
          </w:tcPr>
          <w:p>
            <w:pPr>
              <w:pStyle w:val="TableParagraph"/>
              <w:spacing w:before="25"/>
              <w:ind w:right="238"/>
              <w:jc w:val="right"/>
              <w:rPr>
                <w:sz w:val="16"/>
              </w:rPr>
            </w:pPr>
            <w:r>
              <w:rPr>
                <w:spacing w:val="-2"/>
                <w:sz w:val="16"/>
              </w:rPr>
              <w:t>2,684</w:t>
            </w:r>
          </w:p>
        </w:tc>
        <w:tc>
          <w:tcPr>
            <w:tcW w:w="195" w:type="dxa"/>
          </w:tcPr>
          <w:p>
            <w:pPr>
              <w:pStyle w:val="TableParagraph"/>
              <w:rPr>
                <w:rFonts w:ascii="Times New Roman"/>
                <w:sz w:val="16"/>
              </w:rPr>
            </w:pPr>
          </w:p>
        </w:tc>
        <w:tc>
          <w:tcPr>
            <w:tcW w:w="485" w:type="dxa"/>
          </w:tcPr>
          <w:p>
            <w:pPr>
              <w:pStyle w:val="TableParagraph"/>
              <w:rPr>
                <w:rFonts w:ascii="Times New Roman"/>
                <w:sz w:val="16"/>
              </w:rPr>
            </w:pPr>
          </w:p>
        </w:tc>
        <w:tc>
          <w:tcPr>
            <w:tcW w:w="1405" w:type="dxa"/>
          </w:tcPr>
          <w:p>
            <w:pPr>
              <w:pStyle w:val="TableParagraph"/>
              <w:rPr>
                <w:rFonts w:ascii="Times New Roman"/>
                <w:sz w:val="16"/>
              </w:rPr>
            </w:pPr>
          </w:p>
        </w:tc>
        <w:tc>
          <w:tcPr>
            <w:tcW w:w="779" w:type="dxa"/>
          </w:tcPr>
          <w:p>
            <w:pPr>
              <w:pStyle w:val="TableParagraph"/>
              <w:spacing w:before="25"/>
              <w:ind w:right="237"/>
              <w:jc w:val="right"/>
              <w:rPr>
                <w:sz w:val="16"/>
              </w:rPr>
            </w:pPr>
            <w:r>
              <w:rPr>
                <w:spacing w:val="-2"/>
                <w:sz w:val="16"/>
              </w:rPr>
              <w:t>2,456</w:t>
            </w:r>
          </w:p>
        </w:tc>
      </w:tr>
      <w:tr>
        <w:trPr>
          <w:trHeight w:val="247" w:hRule="atLeast"/>
        </w:trPr>
        <w:tc>
          <w:tcPr>
            <w:tcW w:w="3825" w:type="dxa"/>
          </w:tcPr>
          <w:p>
            <w:pPr>
              <w:pStyle w:val="TableParagraph"/>
              <w:spacing w:before="33"/>
              <w:ind w:left="232"/>
              <w:rPr>
                <w:sz w:val="16"/>
              </w:rPr>
            </w:pPr>
            <w:r>
              <w:rPr>
                <w:sz w:val="16"/>
              </w:rPr>
              <w:t>PCRF</w:t>
            </w:r>
            <w:r>
              <w:rPr>
                <w:spacing w:val="-3"/>
                <w:sz w:val="16"/>
              </w:rPr>
              <w:t> </w:t>
            </w:r>
            <w:r>
              <w:rPr>
                <w:spacing w:val="-2"/>
                <w:sz w:val="16"/>
              </w:rPr>
              <w:t>holdings</w:t>
            </w:r>
          </w:p>
        </w:tc>
        <w:tc>
          <w:tcPr>
            <w:tcW w:w="485" w:type="dxa"/>
          </w:tcPr>
          <w:p>
            <w:pPr>
              <w:pStyle w:val="TableParagraph"/>
              <w:rPr>
                <w:rFonts w:ascii="Times New Roman"/>
                <w:sz w:val="16"/>
              </w:rPr>
            </w:pPr>
          </w:p>
        </w:tc>
        <w:tc>
          <w:tcPr>
            <w:tcW w:w="1405" w:type="dxa"/>
          </w:tcPr>
          <w:p>
            <w:pPr>
              <w:pStyle w:val="TableParagraph"/>
              <w:rPr>
                <w:rFonts w:ascii="Times New Roman"/>
                <w:sz w:val="16"/>
              </w:rPr>
            </w:pPr>
          </w:p>
        </w:tc>
        <w:tc>
          <w:tcPr>
            <w:tcW w:w="779" w:type="dxa"/>
          </w:tcPr>
          <w:p>
            <w:pPr>
              <w:pStyle w:val="TableParagraph"/>
              <w:spacing w:before="33"/>
              <w:ind w:right="238"/>
              <w:jc w:val="right"/>
              <w:rPr>
                <w:sz w:val="16"/>
              </w:rPr>
            </w:pPr>
            <w:r>
              <w:rPr>
                <w:spacing w:val="-2"/>
                <w:sz w:val="16"/>
              </w:rPr>
              <w:t>1,098</w:t>
            </w:r>
          </w:p>
        </w:tc>
        <w:tc>
          <w:tcPr>
            <w:tcW w:w="195" w:type="dxa"/>
          </w:tcPr>
          <w:p>
            <w:pPr>
              <w:pStyle w:val="TableParagraph"/>
              <w:rPr>
                <w:rFonts w:ascii="Times New Roman"/>
                <w:sz w:val="16"/>
              </w:rPr>
            </w:pPr>
          </w:p>
        </w:tc>
        <w:tc>
          <w:tcPr>
            <w:tcW w:w="485" w:type="dxa"/>
          </w:tcPr>
          <w:p>
            <w:pPr>
              <w:pStyle w:val="TableParagraph"/>
              <w:rPr>
                <w:rFonts w:ascii="Times New Roman"/>
                <w:sz w:val="16"/>
              </w:rPr>
            </w:pPr>
          </w:p>
        </w:tc>
        <w:tc>
          <w:tcPr>
            <w:tcW w:w="1405" w:type="dxa"/>
          </w:tcPr>
          <w:p>
            <w:pPr>
              <w:pStyle w:val="TableParagraph"/>
              <w:rPr>
                <w:rFonts w:ascii="Times New Roman"/>
                <w:sz w:val="16"/>
              </w:rPr>
            </w:pPr>
          </w:p>
        </w:tc>
        <w:tc>
          <w:tcPr>
            <w:tcW w:w="779" w:type="dxa"/>
          </w:tcPr>
          <w:p>
            <w:pPr>
              <w:pStyle w:val="TableParagraph"/>
              <w:spacing w:before="33"/>
              <w:ind w:right="237"/>
              <w:jc w:val="right"/>
              <w:rPr>
                <w:sz w:val="16"/>
              </w:rPr>
            </w:pPr>
            <w:r>
              <w:rPr>
                <w:spacing w:val="-5"/>
                <w:sz w:val="16"/>
              </w:rPr>
              <w:t>766</w:t>
            </w:r>
          </w:p>
        </w:tc>
      </w:tr>
      <w:tr>
        <w:trPr>
          <w:trHeight w:val="229" w:hRule="atLeast"/>
        </w:trPr>
        <w:tc>
          <w:tcPr>
            <w:tcW w:w="3825" w:type="dxa"/>
          </w:tcPr>
          <w:p>
            <w:pPr>
              <w:pStyle w:val="TableParagraph"/>
              <w:spacing w:line="184" w:lineRule="exact" w:before="25"/>
              <w:ind w:left="232"/>
              <w:rPr>
                <w:sz w:val="16"/>
              </w:rPr>
            </w:pPr>
            <w:r>
              <w:rPr>
                <w:sz w:val="16"/>
              </w:rPr>
              <w:t>LCMD</w:t>
            </w:r>
            <w:r>
              <w:rPr>
                <w:spacing w:val="-4"/>
                <w:sz w:val="16"/>
              </w:rPr>
              <w:t> </w:t>
            </w:r>
            <w:r>
              <w:rPr>
                <w:spacing w:val="-2"/>
                <w:sz w:val="16"/>
              </w:rPr>
              <w:t>investments</w:t>
            </w:r>
          </w:p>
        </w:tc>
        <w:tc>
          <w:tcPr>
            <w:tcW w:w="485" w:type="dxa"/>
            <w:tcBorders>
              <w:bottom w:val="single" w:sz="8" w:space="0" w:color="000000"/>
            </w:tcBorders>
          </w:tcPr>
          <w:p>
            <w:pPr>
              <w:pStyle w:val="TableParagraph"/>
              <w:rPr>
                <w:rFonts w:ascii="Times New Roman"/>
                <w:sz w:val="16"/>
              </w:rPr>
            </w:pPr>
          </w:p>
        </w:tc>
        <w:tc>
          <w:tcPr>
            <w:tcW w:w="1405" w:type="dxa"/>
            <w:tcBorders>
              <w:bottom w:val="single" w:sz="8" w:space="0" w:color="000000"/>
            </w:tcBorders>
          </w:tcPr>
          <w:p>
            <w:pPr>
              <w:pStyle w:val="TableParagraph"/>
              <w:rPr>
                <w:rFonts w:ascii="Times New Roman"/>
                <w:sz w:val="16"/>
              </w:rPr>
            </w:pPr>
          </w:p>
        </w:tc>
        <w:tc>
          <w:tcPr>
            <w:tcW w:w="779" w:type="dxa"/>
            <w:tcBorders>
              <w:bottom w:val="single" w:sz="8" w:space="0" w:color="000000"/>
            </w:tcBorders>
          </w:tcPr>
          <w:p>
            <w:pPr>
              <w:pStyle w:val="TableParagraph"/>
              <w:spacing w:line="184" w:lineRule="exact" w:before="25"/>
              <w:ind w:right="239"/>
              <w:jc w:val="right"/>
              <w:rPr>
                <w:sz w:val="16"/>
              </w:rPr>
            </w:pPr>
            <w:r>
              <w:rPr>
                <w:sz w:val="16"/>
              </w:rPr>
              <w:t>—</w:t>
            </w:r>
          </w:p>
        </w:tc>
        <w:tc>
          <w:tcPr>
            <w:tcW w:w="195" w:type="dxa"/>
          </w:tcPr>
          <w:p>
            <w:pPr>
              <w:pStyle w:val="TableParagraph"/>
              <w:rPr>
                <w:rFonts w:ascii="Times New Roman"/>
                <w:sz w:val="16"/>
              </w:rPr>
            </w:pPr>
          </w:p>
        </w:tc>
        <w:tc>
          <w:tcPr>
            <w:tcW w:w="485" w:type="dxa"/>
            <w:tcBorders>
              <w:bottom w:val="single" w:sz="8" w:space="0" w:color="000000"/>
            </w:tcBorders>
          </w:tcPr>
          <w:p>
            <w:pPr>
              <w:pStyle w:val="TableParagraph"/>
              <w:rPr>
                <w:rFonts w:ascii="Times New Roman"/>
                <w:sz w:val="16"/>
              </w:rPr>
            </w:pPr>
          </w:p>
        </w:tc>
        <w:tc>
          <w:tcPr>
            <w:tcW w:w="1405" w:type="dxa"/>
            <w:tcBorders>
              <w:bottom w:val="single" w:sz="8" w:space="0" w:color="000000"/>
            </w:tcBorders>
          </w:tcPr>
          <w:p>
            <w:pPr>
              <w:pStyle w:val="TableParagraph"/>
              <w:rPr>
                <w:rFonts w:ascii="Times New Roman"/>
                <w:sz w:val="16"/>
              </w:rPr>
            </w:pPr>
          </w:p>
        </w:tc>
        <w:tc>
          <w:tcPr>
            <w:tcW w:w="779" w:type="dxa"/>
            <w:tcBorders>
              <w:bottom w:val="single" w:sz="8" w:space="0" w:color="000000"/>
            </w:tcBorders>
          </w:tcPr>
          <w:p>
            <w:pPr>
              <w:pStyle w:val="TableParagraph"/>
              <w:spacing w:line="184" w:lineRule="exact" w:before="25"/>
              <w:ind w:right="237"/>
              <w:jc w:val="right"/>
              <w:rPr>
                <w:sz w:val="16"/>
              </w:rPr>
            </w:pPr>
            <w:r>
              <w:rPr>
                <w:spacing w:val="-5"/>
                <w:sz w:val="16"/>
              </w:rPr>
              <w:t>39</w:t>
            </w:r>
          </w:p>
        </w:tc>
      </w:tr>
      <w:tr>
        <w:trPr>
          <w:trHeight w:val="200" w:hRule="atLeast"/>
        </w:trPr>
        <w:tc>
          <w:tcPr>
            <w:tcW w:w="3825" w:type="dxa"/>
          </w:tcPr>
          <w:p>
            <w:pPr>
              <w:pStyle w:val="TableParagraph"/>
              <w:spacing w:line="164" w:lineRule="exact" w:before="16"/>
              <w:ind w:left="52"/>
              <w:rPr>
                <w:sz w:val="16"/>
              </w:rPr>
            </w:pPr>
            <w:r>
              <w:rPr>
                <w:spacing w:val="-2"/>
                <w:sz w:val="16"/>
              </w:rPr>
              <w:t>Total</w:t>
            </w:r>
          </w:p>
        </w:tc>
        <w:tc>
          <w:tcPr>
            <w:tcW w:w="485" w:type="dxa"/>
            <w:tcBorders>
              <w:top w:val="single" w:sz="8" w:space="0" w:color="000000"/>
              <w:bottom w:val="double" w:sz="8" w:space="0" w:color="000000"/>
            </w:tcBorders>
          </w:tcPr>
          <w:p>
            <w:pPr>
              <w:pStyle w:val="TableParagraph"/>
              <w:spacing w:line="164" w:lineRule="exact" w:before="16"/>
              <w:ind w:left="52"/>
              <w:rPr>
                <w:sz w:val="16"/>
              </w:rPr>
            </w:pPr>
            <w:r>
              <w:rPr>
                <w:spacing w:val="-10"/>
                <w:sz w:val="16"/>
              </w:rPr>
              <w:t>$</w:t>
            </w:r>
          </w:p>
        </w:tc>
        <w:tc>
          <w:tcPr>
            <w:tcW w:w="1405" w:type="dxa"/>
            <w:tcBorders>
              <w:top w:val="single" w:sz="8" w:space="0" w:color="000000"/>
              <w:bottom w:val="double" w:sz="8" w:space="0" w:color="000000"/>
            </w:tcBorders>
          </w:tcPr>
          <w:p>
            <w:pPr>
              <w:pStyle w:val="TableParagraph"/>
              <w:rPr>
                <w:rFonts w:ascii="Times New Roman"/>
                <w:sz w:val="12"/>
              </w:rPr>
            </w:pPr>
          </w:p>
        </w:tc>
        <w:tc>
          <w:tcPr>
            <w:tcW w:w="779" w:type="dxa"/>
            <w:tcBorders>
              <w:top w:val="single" w:sz="8" w:space="0" w:color="000000"/>
              <w:bottom w:val="double" w:sz="8" w:space="0" w:color="000000"/>
            </w:tcBorders>
          </w:tcPr>
          <w:p>
            <w:pPr>
              <w:pStyle w:val="TableParagraph"/>
              <w:spacing w:line="164" w:lineRule="exact" w:before="16"/>
              <w:ind w:right="238"/>
              <w:jc w:val="right"/>
              <w:rPr>
                <w:sz w:val="16"/>
              </w:rPr>
            </w:pPr>
            <w:r>
              <w:rPr>
                <w:spacing w:val="-2"/>
                <w:sz w:val="16"/>
              </w:rPr>
              <w:t>79,195</w:t>
            </w:r>
          </w:p>
        </w:tc>
        <w:tc>
          <w:tcPr>
            <w:tcW w:w="195" w:type="dxa"/>
          </w:tcPr>
          <w:p>
            <w:pPr>
              <w:pStyle w:val="TableParagraph"/>
              <w:rPr>
                <w:rFonts w:ascii="Times New Roman"/>
                <w:sz w:val="12"/>
              </w:rPr>
            </w:pPr>
          </w:p>
        </w:tc>
        <w:tc>
          <w:tcPr>
            <w:tcW w:w="485" w:type="dxa"/>
            <w:tcBorders>
              <w:top w:val="single" w:sz="8" w:space="0" w:color="000000"/>
              <w:bottom w:val="double" w:sz="8" w:space="0" w:color="000000"/>
            </w:tcBorders>
          </w:tcPr>
          <w:p>
            <w:pPr>
              <w:pStyle w:val="TableParagraph"/>
              <w:spacing w:line="164" w:lineRule="exact" w:before="16"/>
              <w:ind w:left="53"/>
              <w:rPr>
                <w:sz w:val="16"/>
              </w:rPr>
            </w:pPr>
            <w:r>
              <w:rPr>
                <w:spacing w:val="-10"/>
                <w:sz w:val="16"/>
              </w:rPr>
              <w:t>$</w:t>
            </w:r>
          </w:p>
        </w:tc>
        <w:tc>
          <w:tcPr>
            <w:tcW w:w="1405" w:type="dxa"/>
            <w:tcBorders>
              <w:top w:val="single" w:sz="8" w:space="0" w:color="000000"/>
              <w:bottom w:val="double" w:sz="8" w:space="0" w:color="000000"/>
            </w:tcBorders>
          </w:tcPr>
          <w:p>
            <w:pPr>
              <w:pStyle w:val="TableParagraph"/>
              <w:rPr>
                <w:rFonts w:ascii="Times New Roman"/>
                <w:sz w:val="12"/>
              </w:rPr>
            </w:pPr>
          </w:p>
        </w:tc>
        <w:tc>
          <w:tcPr>
            <w:tcW w:w="779" w:type="dxa"/>
            <w:tcBorders>
              <w:top w:val="single" w:sz="8" w:space="0" w:color="000000"/>
              <w:bottom w:val="double" w:sz="8" w:space="0" w:color="000000"/>
            </w:tcBorders>
          </w:tcPr>
          <w:p>
            <w:pPr>
              <w:pStyle w:val="TableParagraph"/>
              <w:spacing w:line="164" w:lineRule="exact" w:before="16"/>
              <w:ind w:right="237"/>
              <w:jc w:val="right"/>
              <w:rPr>
                <w:sz w:val="16"/>
              </w:rPr>
            </w:pPr>
            <w:r>
              <w:rPr>
                <w:spacing w:val="-2"/>
                <w:sz w:val="16"/>
              </w:rPr>
              <w:t>82,057</w:t>
            </w:r>
          </w:p>
        </w:tc>
      </w:tr>
      <w:tr>
        <w:trPr>
          <w:trHeight w:val="200" w:hRule="atLeast"/>
        </w:trPr>
        <w:tc>
          <w:tcPr>
            <w:tcW w:w="3825" w:type="dxa"/>
            <w:tcBorders>
              <w:bottom w:val="single" w:sz="8" w:space="0" w:color="000000"/>
            </w:tcBorders>
          </w:tcPr>
          <w:p>
            <w:pPr>
              <w:pStyle w:val="TableParagraph"/>
              <w:rPr>
                <w:rFonts w:ascii="Times New Roman"/>
                <w:sz w:val="12"/>
              </w:rPr>
            </w:pPr>
          </w:p>
        </w:tc>
        <w:tc>
          <w:tcPr>
            <w:tcW w:w="485" w:type="dxa"/>
            <w:tcBorders>
              <w:top w:val="double" w:sz="8" w:space="0" w:color="000000"/>
              <w:bottom w:val="single" w:sz="8" w:space="0" w:color="000000"/>
            </w:tcBorders>
          </w:tcPr>
          <w:p>
            <w:pPr>
              <w:pStyle w:val="TableParagraph"/>
              <w:rPr>
                <w:rFonts w:ascii="Times New Roman"/>
                <w:sz w:val="12"/>
              </w:rPr>
            </w:pPr>
          </w:p>
        </w:tc>
        <w:tc>
          <w:tcPr>
            <w:tcW w:w="1405" w:type="dxa"/>
            <w:tcBorders>
              <w:top w:val="double" w:sz="8" w:space="0" w:color="000000"/>
              <w:bottom w:val="single" w:sz="8" w:space="0" w:color="000000"/>
            </w:tcBorders>
          </w:tcPr>
          <w:p>
            <w:pPr>
              <w:pStyle w:val="TableParagraph"/>
              <w:rPr>
                <w:rFonts w:ascii="Times New Roman"/>
                <w:sz w:val="12"/>
              </w:rPr>
            </w:pPr>
          </w:p>
        </w:tc>
        <w:tc>
          <w:tcPr>
            <w:tcW w:w="779" w:type="dxa"/>
            <w:tcBorders>
              <w:top w:val="double" w:sz="8" w:space="0" w:color="000000"/>
              <w:bottom w:val="single" w:sz="8" w:space="0" w:color="000000"/>
            </w:tcBorders>
          </w:tcPr>
          <w:p>
            <w:pPr>
              <w:pStyle w:val="TableParagraph"/>
              <w:rPr>
                <w:rFonts w:ascii="Times New Roman"/>
                <w:sz w:val="12"/>
              </w:rPr>
            </w:pPr>
          </w:p>
        </w:tc>
        <w:tc>
          <w:tcPr>
            <w:tcW w:w="195" w:type="dxa"/>
            <w:tcBorders>
              <w:bottom w:val="single" w:sz="8" w:space="0" w:color="000000"/>
            </w:tcBorders>
          </w:tcPr>
          <w:p>
            <w:pPr>
              <w:pStyle w:val="TableParagraph"/>
              <w:rPr>
                <w:rFonts w:ascii="Times New Roman"/>
                <w:sz w:val="12"/>
              </w:rPr>
            </w:pPr>
          </w:p>
        </w:tc>
        <w:tc>
          <w:tcPr>
            <w:tcW w:w="485" w:type="dxa"/>
            <w:tcBorders>
              <w:top w:val="double" w:sz="8" w:space="0" w:color="000000"/>
              <w:bottom w:val="single" w:sz="8" w:space="0" w:color="000000"/>
            </w:tcBorders>
          </w:tcPr>
          <w:p>
            <w:pPr>
              <w:pStyle w:val="TableParagraph"/>
              <w:rPr>
                <w:rFonts w:ascii="Times New Roman"/>
                <w:sz w:val="12"/>
              </w:rPr>
            </w:pPr>
          </w:p>
        </w:tc>
        <w:tc>
          <w:tcPr>
            <w:tcW w:w="1405" w:type="dxa"/>
            <w:tcBorders>
              <w:top w:val="double" w:sz="8" w:space="0" w:color="000000"/>
              <w:bottom w:val="single" w:sz="8" w:space="0" w:color="000000"/>
            </w:tcBorders>
          </w:tcPr>
          <w:p>
            <w:pPr>
              <w:pStyle w:val="TableParagraph"/>
              <w:rPr>
                <w:rFonts w:ascii="Times New Roman"/>
                <w:sz w:val="12"/>
              </w:rPr>
            </w:pPr>
          </w:p>
        </w:tc>
        <w:tc>
          <w:tcPr>
            <w:tcW w:w="779" w:type="dxa"/>
            <w:tcBorders>
              <w:top w:val="double" w:sz="8" w:space="0" w:color="000000"/>
              <w:bottom w:val="single" w:sz="8" w:space="0" w:color="000000"/>
            </w:tcBorders>
          </w:tcPr>
          <w:p>
            <w:pPr>
              <w:pStyle w:val="TableParagraph"/>
              <w:rPr>
                <w:rFonts w:ascii="Times New Roman"/>
                <w:sz w:val="12"/>
              </w:rPr>
            </w:pPr>
          </w:p>
        </w:tc>
      </w:tr>
    </w:tbl>
    <w:p>
      <w:pPr>
        <w:pStyle w:val="BodyText"/>
        <w:spacing w:line="232" w:lineRule="auto" w:before="159"/>
        <w:ind w:left="720" w:right="719"/>
        <w:jc w:val="both"/>
      </w:pPr>
      <w:r>
        <w:rPr/>
        <w:t>IBRD uses derivative instruments to manage the associated currency and interest rate risk in the portfolio. For</w:t>
      </w:r>
      <w:r>
        <w:rPr>
          <w:spacing w:val="40"/>
        </w:rPr>
        <w:t> </w:t>
      </w:r>
      <w:r>
        <w:rPr/>
        <w:t>details regarding these instruments, see Note F—Derivative Instruments. After considering the effects of these derivatives, IBRD’s investment portfolio is predominantly denominated in U.S. dollars.</w:t>
      </w:r>
    </w:p>
    <w:p>
      <w:pPr>
        <w:pStyle w:val="Heading4"/>
        <w:spacing w:before="213"/>
        <w:jc w:val="left"/>
      </w:pPr>
      <w:r>
        <w:rPr/>
        <w:t>Commercial</w:t>
      </w:r>
      <w:r>
        <w:rPr>
          <w:spacing w:val="-4"/>
        </w:rPr>
        <w:t> </w:t>
      </w:r>
      <w:r>
        <w:rPr/>
        <w:t>Credit</w:t>
      </w:r>
      <w:r>
        <w:rPr>
          <w:spacing w:val="-1"/>
        </w:rPr>
        <w:t> </w:t>
      </w:r>
      <w:r>
        <w:rPr>
          <w:spacing w:val="-4"/>
        </w:rPr>
        <w:t>Risk</w:t>
      </w:r>
    </w:p>
    <w:p>
      <w:pPr>
        <w:pStyle w:val="BodyText"/>
        <w:spacing w:line="249" w:lineRule="auto" w:before="139"/>
        <w:ind w:left="720" w:right="718"/>
        <w:jc w:val="both"/>
      </w:pPr>
      <w:r>
        <w:rPr/>
        <w:t>For the purpose of risk management, IBRD is party to a variety of financial transactions, certain of which involve elements of credit risk. Credit risk exposure represents the maximum potential loss due to possible non-performance by obligors and counterparties under the terms of the contracts. For all securities, IBRD limits trading to a list of authorized dealers and counterparties. In addition, IBRD may require collateral in connection with resale and swap agreements. The collateral serves to mitigate IBRD’s exposure to credit risk.</w:t>
      </w:r>
    </w:p>
    <w:p>
      <w:pPr>
        <w:pStyle w:val="BodyText"/>
        <w:spacing w:line="249" w:lineRule="auto" w:before="124"/>
        <w:ind w:left="720" w:right="719"/>
        <w:jc w:val="both"/>
      </w:pPr>
      <w:r>
        <w:rPr>
          <w:b/>
          <w:i/>
        </w:rPr>
        <w:t>Swap Agreements: </w:t>
      </w:r>
      <w:r>
        <w:rPr/>
        <w:t>Credit risk is mitigated through the application of eligibility criteria and volume limits for transactions with individual counterparties and through the use of mark-to-market collateral arrangements for swap</w:t>
      </w:r>
    </w:p>
    <w:p>
      <w:pPr>
        <w:pStyle w:val="BodyText"/>
        <w:spacing w:after="0" w:line="249" w:lineRule="auto"/>
        <w:jc w:val="both"/>
        <w:sectPr>
          <w:headerReference w:type="even" r:id="rId149"/>
          <w:footerReference w:type="even" r:id="rId150"/>
          <w:footerReference w:type="default" r:id="rId151"/>
          <w:pgSz w:w="12240" w:h="15840"/>
          <w:pgMar w:header="0" w:footer="528" w:top="960" w:bottom="720" w:left="720" w:right="720"/>
          <w:pgNumType w:start="100"/>
        </w:sectPr>
      </w:pPr>
    </w:p>
    <w:p>
      <w:pPr>
        <w:pStyle w:val="BodyText"/>
        <w:spacing w:line="249" w:lineRule="auto" w:before="72"/>
        <w:ind w:left="720" w:right="719"/>
        <w:jc w:val="both"/>
      </w:pPr>
      <w:r>
        <w:rPr/>
        <w:t>transactions. IBRD may require collateral in the form of cash or other approved liquid securities from individual counterparties in order to mitigate its credit exposure.</w:t>
      </w:r>
    </w:p>
    <w:p>
      <w:pPr>
        <w:pStyle w:val="BodyText"/>
        <w:spacing w:line="249" w:lineRule="auto" w:before="121"/>
        <w:ind w:left="720" w:right="717"/>
        <w:jc w:val="both"/>
      </w:pPr>
      <w:r>
        <w:rPr/>
        <w:t>IBRD has entered into master derivative agreements, which contain legally enforceable close-out netting provisions. These agreements may further reduce the gross credit risk exposure related to the swaps. Credit risk with financial assets subject to a master derivatives arrangement is further reduced under these agreements to the extent that payments and receipts with the counterparty are netted at settlement. The reduction in exposure as a result of these netting provisions can vary due to the impact of changes in market conditions on existing and new transactions. The extent of the reduction in exposure may, therefore, change substantially within a short period of time following the balance sheet date. For more information on netting and offsetting provisions see Note F—Derivative Instruments.</w:t>
      </w:r>
    </w:p>
    <w:p>
      <w:pPr>
        <w:pStyle w:val="BodyText"/>
        <w:spacing w:before="126"/>
        <w:ind w:left="720"/>
        <w:jc w:val="both"/>
      </w:pPr>
      <w:r>
        <w:rPr/>
        <w:t>The</w:t>
      </w:r>
      <w:r>
        <w:rPr>
          <w:spacing w:val="-6"/>
        </w:rPr>
        <w:t> </w:t>
      </w:r>
      <w:r>
        <w:rPr/>
        <w:t>following</w:t>
      </w:r>
      <w:r>
        <w:rPr>
          <w:spacing w:val="-2"/>
        </w:rPr>
        <w:t> </w:t>
      </w:r>
      <w:r>
        <w:rPr/>
        <w:t>is</w:t>
      </w:r>
      <w:r>
        <w:rPr>
          <w:spacing w:val="-4"/>
        </w:rPr>
        <w:t> </w:t>
      </w:r>
      <w:r>
        <w:rPr/>
        <w:t>a</w:t>
      </w:r>
      <w:r>
        <w:rPr>
          <w:spacing w:val="-3"/>
        </w:rPr>
        <w:t> </w:t>
      </w:r>
      <w:r>
        <w:rPr/>
        <w:t>summary</w:t>
      </w:r>
      <w:r>
        <w:rPr>
          <w:spacing w:val="-3"/>
        </w:rPr>
        <w:t> </w:t>
      </w:r>
      <w:r>
        <w:rPr/>
        <w:t>of</w:t>
      </w:r>
      <w:r>
        <w:rPr>
          <w:spacing w:val="-2"/>
        </w:rPr>
        <w:t> </w:t>
      </w:r>
      <w:r>
        <w:rPr/>
        <w:t>the</w:t>
      </w:r>
      <w:r>
        <w:rPr>
          <w:spacing w:val="-3"/>
        </w:rPr>
        <w:t> </w:t>
      </w:r>
      <w:r>
        <w:rPr/>
        <w:t>collateral</w:t>
      </w:r>
      <w:r>
        <w:rPr>
          <w:spacing w:val="-4"/>
        </w:rPr>
        <w:t> </w:t>
      </w:r>
      <w:r>
        <w:rPr/>
        <w:t>received</w:t>
      </w:r>
      <w:r>
        <w:rPr>
          <w:spacing w:val="-2"/>
        </w:rPr>
        <w:t> </w:t>
      </w:r>
      <w:r>
        <w:rPr/>
        <w:t>by</w:t>
      </w:r>
      <w:r>
        <w:rPr>
          <w:spacing w:val="-3"/>
        </w:rPr>
        <w:t> </w:t>
      </w:r>
      <w:r>
        <w:rPr/>
        <w:t>IBRD</w:t>
      </w:r>
      <w:r>
        <w:rPr>
          <w:spacing w:val="-3"/>
        </w:rPr>
        <w:t> </w:t>
      </w:r>
      <w:r>
        <w:rPr/>
        <w:t>related</w:t>
      </w:r>
      <w:r>
        <w:rPr>
          <w:spacing w:val="-3"/>
        </w:rPr>
        <w:t> </w:t>
      </w:r>
      <w:r>
        <w:rPr/>
        <w:t>to</w:t>
      </w:r>
      <w:r>
        <w:rPr>
          <w:spacing w:val="-2"/>
        </w:rPr>
        <w:t> </w:t>
      </w:r>
      <w:r>
        <w:rPr/>
        <w:t>swap</w:t>
      </w:r>
      <w:r>
        <w:rPr>
          <w:spacing w:val="-2"/>
        </w:rPr>
        <w:t> transactions:</w:t>
      </w:r>
    </w:p>
    <w:p>
      <w:pPr>
        <w:pStyle w:val="Heading8"/>
        <w:spacing w:before="127"/>
        <w:jc w:val="both"/>
      </w:pPr>
      <w:r>
        <w:rPr/>
        <w:t>Table</w:t>
      </w:r>
      <w:r>
        <w:rPr>
          <w:spacing w:val="-4"/>
        </w:rPr>
        <w:t> </w:t>
      </w:r>
      <w:r>
        <w:rPr/>
        <w:t>C4:</w:t>
      </w:r>
      <w:r>
        <w:rPr>
          <w:spacing w:val="-4"/>
        </w:rPr>
        <w:t> </w:t>
      </w:r>
      <w:r>
        <w:rPr/>
        <w:t>Collateral</w:t>
      </w:r>
      <w:r>
        <w:rPr>
          <w:spacing w:val="-3"/>
        </w:rPr>
        <w:t> </w:t>
      </w:r>
      <w:r>
        <w:rPr>
          <w:spacing w:val="-2"/>
        </w:rPr>
        <w:t>received</w:t>
      </w:r>
    </w:p>
    <w:p>
      <w:pPr>
        <w:spacing w:before="88" w:after="29"/>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5"/>
        <w:gridCol w:w="268"/>
        <w:gridCol w:w="1169"/>
        <w:gridCol w:w="365"/>
        <w:gridCol w:w="196"/>
        <w:gridCol w:w="269"/>
        <w:gridCol w:w="1170"/>
        <w:gridCol w:w="366"/>
      </w:tblGrid>
      <w:tr>
        <w:trPr>
          <w:trHeight w:val="220" w:hRule="atLeast"/>
        </w:trPr>
        <w:tc>
          <w:tcPr>
            <w:tcW w:w="5833" w:type="dxa"/>
            <w:gridSpan w:val="2"/>
            <w:tcBorders>
              <w:top w:val="single" w:sz="8" w:space="0" w:color="000000"/>
            </w:tcBorders>
          </w:tcPr>
          <w:p>
            <w:pPr>
              <w:pStyle w:val="TableParagraph"/>
              <w:rPr>
                <w:rFonts w:ascii="Times New Roman"/>
                <w:sz w:val="14"/>
              </w:rPr>
            </w:pPr>
          </w:p>
        </w:tc>
        <w:tc>
          <w:tcPr>
            <w:tcW w:w="1169" w:type="dxa"/>
            <w:tcBorders>
              <w:top w:val="single" w:sz="8" w:space="0" w:color="000000"/>
              <w:bottom w:val="single" w:sz="8" w:space="0" w:color="000000"/>
            </w:tcBorders>
          </w:tcPr>
          <w:p>
            <w:pPr>
              <w:pStyle w:val="TableParagraph"/>
              <w:spacing w:line="183" w:lineRule="exact" w:before="16"/>
              <w:ind w:left="125"/>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365" w:type="dxa"/>
            <w:tcBorders>
              <w:top w:val="single" w:sz="8" w:space="0" w:color="000000"/>
              <w:bottom w:val="single" w:sz="8" w:space="0" w:color="000000"/>
            </w:tcBorders>
          </w:tcPr>
          <w:p>
            <w:pPr>
              <w:pStyle w:val="TableParagraph"/>
              <w:rPr>
                <w:rFonts w:ascii="Times New Roman"/>
                <w:sz w:val="14"/>
              </w:rPr>
            </w:pPr>
          </w:p>
        </w:tc>
        <w:tc>
          <w:tcPr>
            <w:tcW w:w="196" w:type="dxa"/>
            <w:tcBorders>
              <w:top w:val="single" w:sz="8" w:space="0" w:color="000000"/>
            </w:tcBorders>
          </w:tcPr>
          <w:p>
            <w:pPr>
              <w:pStyle w:val="TableParagraph"/>
              <w:rPr>
                <w:rFonts w:ascii="Times New Roman"/>
                <w:sz w:val="14"/>
              </w:rPr>
            </w:pPr>
          </w:p>
        </w:tc>
        <w:tc>
          <w:tcPr>
            <w:tcW w:w="269" w:type="dxa"/>
            <w:tcBorders>
              <w:top w:val="single" w:sz="8" w:space="0" w:color="000000"/>
              <w:bottom w:val="single" w:sz="8" w:space="0" w:color="000000"/>
            </w:tcBorders>
          </w:tcPr>
          <w:p>
            <w:pPr>
              <w:pStyle w:val="TableParagraph"/>
              <w:rPr>
                <w:rFonts w:ascii="Times New Roman"/>
                <w:sz w:val="14"/>
              </w:rPr>
            </w:pPr>
          </w:p>
        </w:tc>
        <w:tc>
          <w:tcPr>
            <w:tcW w:w="1170" w:type="dxa"/>
            <w:tcBorders>
              <w:top w:val="single" w:sz="8" w:space="0" w:color="000000"/>
              <w:bottom w:val="single" w:sz="8" w:space="0" w:color="000000"/>
            </w:tcBorders>
          </w:tcPr>
          <w:p>
            <w:pPr>
              <w:pStyle w:val="TableParagraph"/>
              <w:spacing w:line="183" w:lineRule="exact" w:before="16"/>
              <w:ind w:left="121"/>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366" w:type="dxa"/>
            <w:tcBorders>
              <w:top w:val="single" w:sz="8" w:space="0" w:color="000000"/>
              <w:bottom w:val="single" w:sz="8" w:space="0" w:color="000000"/>
            </w:tcBorders>
          </w:tcPr>
          <w:p>
            <w:pPr>
              <w:pStyle w:val="TableParagraph"/>
              <w:rPr>
                <w:rFonts w:ascii="Times New Roman"/>
                <w:sz w:val="14"/>
              </w:rPr>
            </w:pPr>
          </w:p>
        </w:tc>
      </w:tr>
      <w:tr>
        <w:trPr>
          <w:trHeight w:val="470" w:hRule="atLeast"/>
        </w:trPr>
        <w:tc>
          <w:tcPr>
            <w:tcW w:w="5565" w:type="dxa"/>
          </w:tcPr>
          <w:p>
            <w:pPr>
              <w:pStyle w:val="TableParagraph"/>
              <w:spacing w:before="16"/>
              <w:ind w:left="52"/>
              <w:rPr>
                <w:sz w:val="16"/>
              </w:rPr>
            </w:pPr>
            <w:r>
              <w:rPr>
                <w:sz w:val="16"/>
              </w:rPr>
              <w:t>Collateral</w:t>
            </w:r>
            <w:r>
              <w:rPr>
                <w:spacing w:val="-7"/>
                <w:sz w:val="16"/>
              </w:rPr>
              <w:t> </w:t>
            </w:r>
            <w:r>
              <w:rPr>
                <w:spacing w:val="-2"/>
                <w:sz w:val="16"/>
              </w:rPr>
              <w:t>received</w:t>
            </w:r>
          </w:p>
          <w:p>
            <w:pPr>
              <w:pStyle w:val="TableParagraph"/>
              <w:spacing w:before="56"/>
              <w:ind w:left="212"/>
              <w:rPr>
                <w:sz w:val="16"/>
              </w:rPr>
            </w:pPr>
            <w:r>
              <w:rPr>
                <w:spacing w:val="-4"/>
                <w:sz w:val="16"/>
              </w:rPr>
              <w:t>Cash</w:t>
            </w:r>
          </w:p>
        </w:tc>
        <w:tc>
          <w:tcPr>
            <w:tcW w:w="268" w:type="dxa"/>
            <w:tcBorders>
              <w:top w:val="single" w:sz="8" w:space="0" w:color="000000"/>
            </w:tcBorders>
          </w:tcPr>
          <w:p>
            <w:pPr>
              <w:pStyle w:val="TableParagraph"/>
              <w:spacing w:before="72"/>
              <w:rPr>
                <w:rFonts w:ascii="Arial"/>
                <w:i/>
                <w:sz w:val="16"/>
              </w:rPr>
            </w:pPr>
          </w:p>
          <w:p>
            <w:pPr>
              <w:pStyle w:val="TableParagraph"/>
              <w:ind w:left="52"/>
              <w:rPr>
                <w:sz w:val="16"/>
              </w:rPr>
            </w:pPr>
            <w:r>
              <w:rPr>
                <w:spacing w:val="-10"/>
                <w:sz w:val="16"/>
              </w:rPr>
              <w:t>$</w:t>
            </w:r>
          </w:p>
        </w:tc>
        <w:tc>
          <w:tcPr>
            <w:tcW w:w="1169" w:type="dxa"/>
            <w:tcBorders>
              <w:top w:val="single" w:sz="8" w:space="0" w:color="000000"/>
            </w:tcBorders>
          </w:tcPr>
          <w:p>
            <w:pPr>
              <w:pStyle w:val="TableParagraph"/>
              <w:rPr>
                <w:rFonts w:ascii="Times New Roman"/>
                <w:sz w:val="18"/>
              </w:rPr>
            </w:pPr>
          </w:p>
        </w:tc>
        <w:tc>
          <w:tcPr>
            <w:tcW w:w="365" w:type="dxa"/>
            <w:tcBorders>
              <w:top w:val="single" w:sz="8" w:space="0" w:color="000000"/>
            </w:tcBorders>
          </w:tcPr>
          <w:p>
            <w:pPr>
              <w:pStyle w:val="TableParagraph"/>
              <w:spacing w:before="72"/>
              <w:rPr>
                <w:rFonts w:ascii="Arial"/>
                <w:i/>
                <w:sz w:val="16"/>
              </w:rPr>
            </w:pPr>
          </w:p>
          <w:p>
            <w:pPr>
              <w:pStyle w:val="TableParagraph"/>
              <w:ind w:right="39"/>
              <w:jc w:val="center"/>
              <w:rPr>
                <w:sz w:val="16"/>
              </w:rPr>
            </w:pPr>
            <w:r>
              <w:rPr>
                <w:spacing w:val="-5"/>
                <w:sz w:val="16"/>
              </w:rPr>
              <w:t>140</w:t>
            </w:r>
          </w:p>
        </w:tc>
        <w:tc>
          <w:tcPr>
            <w:tcW w:w="196" w:type="dxa"/>
          </w:tcPr>
          <w:p>
            <w:pPr>
              <w:pStyle w:val="TableParagraph"/>
              <w:rPr>
                <w:rFonts w:ascii="Times New Roman"/>
                <w:sz w:val="18"/>
              </w:rPr>
            </w:pPr>
          </w:p>
        </w:tc>
        <w:tc>
          <w:tcPr>
            <w:tcW w:w="269" w:type="dxa"/>
            <w:tcBorders>
              <w:top w:val="single" w:sz="8" w:space="0" w:color="000000"/>
            </w:tcBorders>
          </w:tcPr>
          <w:p>
            <w:pPr>
              <w:pStyle w:val="TableParagraph"/>
              <w:spacing w:before="72"/>
              <w:rPr>
                <w:rFonts w:ascii="Arial"/>
                <w:i/>
                <w:sz w:val="16"/>
              </w:rPr>
            </w:pPr>
          </w:p>
          <w:p>
            <w:pPr>
              <w:pStyle w:val="TableParagraph"/>
              <w:ind w:left="49"/>
              <w:rPr>
                <w:sz w:val="16"/>
              </w:rPr>
            </w:pPr>
            <w:r>
              <w:rPr>
                <w:spacing w:val="-10"/>
                <w:sz w:val="16"/>
              </w:rPr>
              <w:t>$</w:t>
            </w:r>
          </w:p>
        </w:tc>
        <w:tc>
          <w:tcPr>
            <w:tcW w:w="1170" w:type="dxa"/>
            <w:tcBorders>
              <w:top w:val="single" w:sz="8" w:space="0" w:color="000000"/>
            </w:tcBorders>
          </w:tcPr>
          <w:p>
            <w:pPr>
              <w:pStyle w:val="TableParagraph"/>
              <w:rPr>
                <w:rFonts w:ascii="Times New Roman"/>
                <w:sz w:val="18"/>
              </w:rPr>
            </w:pPr>
          </w:p>
        </w:tc>
        <w:tc>
          <w:tcPr>
            <w:tcW w:w="366" w:type="dxa"/>
            <w:tcBorders>
              <w:top w:val="single" w:sz="8" w:space="0" w:color="000000"/>
            </w:tcBorders>
          </w:tcPr>
          <w:p>
            <w:pPr>
              <w:pStyle w:val="TableParagraph"/>
              <w:spacing w:before="72"/>
              <w:rPr>
                <w:rFonts w:ascii="Arial"/>
                <w:i/>
                <w:sz w:val="16"/>
              </w:rPr>
            </w:pPr>
          </w:p>
          <w:p>
            <w:pPr>
              <w:pStyle w:val="TableParagraph"/>
              <w:ind w:right="50"/>
              <w:jc w:val="center"/>
              <w:rPr>
                <w:sz w:val="16"/>
              </w:rPr>
            </w:pPr>
            <w:r>
              <w:rPr>
                <w:spacing w:val="-5"/>
                <w:sz w:val="16"/>
              </w:rPr>
              <w:t>164</w:t>
            </w:r>
          </w:p>
        </w:tc>
      </w:tr>
      <w:tr>
        <w:trPr>
          <w:trHeight w:val="229" w:hRule="atLeast"/>
        </w:trPr>
        <w:tc>
          <w:tcPr>
            <w:tcW w:w="5565" w:type="dxa"/>
          </w:tcPr>
          <w:p>
            <w:pPr>
              <w:pStyle w:val="TableParagraph"/>
              <w:spacing w:line="184" w:lineRule="exact" w:before="25"/>
              <w:ind w:left="212"/>
              <w:rPr>
                <w:sz w:val="16"/>
              </w:rPr>
            </w:pPr>
            <w:r>
              <w:rPr>
                <w:spacing w:val="-2"/>
                <w:sz w:val="16"/>
              </w:rPr>
              <w:t>Securities</w:t>
            </w:r>
          </w:p>
        </w:tc>
        <w:tc>
          <w:tcPr>
            <w:tcW w:w="268" w:type="dxa"/>
            <w:tcBorders>
              <w:bottom w:val="single" w:sz="8" w:space="0" w:color="000000"/>
            </w:tcBorders>
          </w:tcPr>
          <w:p>
            <w:pPr>
              <w:pStyle w:val="TableParagraph"/>
              <w:rPr>
                <w:rFonts w:ascii="Times New Roman"/>
                <w:sz w:val="16"/>
              </w:rPr>
            </w:pPr>
          </w:p>
        </w:tc>
        <w:tc>
          <w:tcPr>
            <w:tcW w:w="1169" w:type="dxa"/>
            <w:tcBorders>
              <w:bottom w:val="single" w:sz="8" w:space="0" w:color="000000"/>
            </w:tcBorders>
          </w:tcPr>
          <w:p>
            <w:pPr>
              <w:pStyle w:val="TableParagraph"/>
              <w:rPr>
                <w:rFonts w:ascii="Times New Roman"/>
                <w:sz w:val="16"/>
              </w:rPr>
            </w:pPr>
          </w:p>
        </w:tc>
        <w:tc>
          <w:tcPr>
            <w:tcW w:w="365" w:type="dxa"/>
            <w:tcBorders>
              <w:bottom w:val="single" w:sz="8" w:space="0" w:color="000000"/>
            </w:tcBorders>
          </w:tcPr>
          <w:p>
            <w:pPr>
              <w:pStyle w:val="TableParagraph"/>
              <w:spacing w:line="184" w:lineRule="exact" w:before="25"/>
              <w:ind w:right="39"/>
              <w:jc w:val="center"/>
              <w:rPr>
                <w:sz w:val="16"/>
              </w:rPr>
            </w:pPr>
            <w:r>
              <w:rPr>
                <w:spacing w:val="-5"/>
                <w:sz w:val="16"/>
              </w:rPr>
              <w:t>161</w:t>
            </w:r>
          </w:p>
        </w:tc>
        <w:tc>
          <w:tcPr>
            <w:tcW w:w="196" w:type="dxa"/>
          </w:tcPr>
          <w:p>
            <w:pPr>
              <w:pStyle w:val="TableParagraph"/>
              <w:rPr>
                <w:rFonts w:ascii="Times New Roman"/>
                <w:sz w:val="16"/>
              </w:rPr>
            </w:pPr>
          </w:p>
        </w:tc>
        <w:tc>
          <w:tcPr>
            <w:tcW w:w="269" w:type="dxa"/>
            <w:tcBorders>
              <w:bottom w:val="single" w:sz="8" w:space="0" w:color="000000"/>
            </w:tcBorders>
          </w:tcPr>
          <w:p>
            <w:pPr>
              <w:pStyle w:val="TableParagraph"/>
              <w:rPr>
                <w:rFonts w:ascii="Times New Roman"/>
                <w:sz w:val="16"/>
              </w:rPr>
            </w:pPr>
          </w:p>
        </w:tc>
        <w:tc>
          <w:tcPr>
            <w:tcW w:w="1170" w:type="dxa"/>
            <w:tcBorders>
              <w:bottom w:val="single" w:sz="8" w:space="0" w:color="000000"/>
            </w:tcBorders>
          </w:tcPr>
          <w:p>
            <w:pPr>
              <w:pStyle w:val="TableParagraph"/>
              <w:rPr>
                <w:rFonts w:ascii="Times New Roman"/>
                <w:sz w:val="16"/>
              </w:rPr>
            </w:pPr>
          </w:p>
        </w:tc>
        <w:tc>
          <w:tcPr>
            <w:tcW w:w="366" w:type="dxa"/>
            <w:tcBorders>
              <w:bottom w:val="single" w:sz="8" w:space="0" w:color="000000"/>
            </w:tcBorders>
          </w:tcPr>
          <w:p>
            <w:pPr>
              <w:pStyle w:val="TableParagraph"/>
              <w:spacing w:line="184" w:lineRule="exact" w:before="25"/>
              <w:ind w:right="50"/>
              <w:jc w:val="center"/>
              <w:rPr>
                <w:sz w:val="16"/>
              </w:rPr>
            </w:pPr>
            <w:r>
              <w:rPr>
                <w:spacing w:val="-5"/>
                <w:sz w:val="16"/>
              </w:rPr>
              <w:t>427</w:t>
            </w:r>
          </w:p>
        </w:tc>
      </w:tr>
      <w:tr>
        <w:trPr>
          <w:trHeight w:val="220" w:hRule="atLeast"/>
        </w:trPr>
        <w:tc>
          <w:tcPr>
            <w:tcW w:w="5565" w:type="dxa"/>
          </w:tcPr>
          <w:p>
            <w:pPr>
              <w:pStyle w:val="TableParagraph"/>
              <w:spacing w:line="184" w:lineRule="exact" w:before="16"/>
              <w:ind w:left="52"/>
              <w:rPr>
                <w:sz w:val="16"/>
              </w:rPr>
            </w:pPr>
            <w:r>
              <w:rPr>
                <w:spacing w:val="-2"/>
                <w:sz w:val="16"/>
              </w:rPr>
              <w:t>Total</w:t>
            </w:r>
            <w:r>
              <w:rPr>
                <w:spacing w:val="2"/>
                <w:sz w:val="16"/>
              </w:rPr>
              <w:t> </w:t>
            </w:r>
            <w:r>
              <w:rPr>
                <w:spacing w:val="-2"/>
                <w:sz w:val="16"/>
              </w:rPr>
              <w:t>collateral</w:t>
            </w:r>
            <w:r>
              <w:rPr>
                <w:spacing w:val="2"/>
                <w:sz w:val="16"/>
              </w:rPr>
              <w:t> </w:t>
            </w:r>
            <w:r>
              <w:rPr>
                <w:spacing w:val="-2"/>
                <w:sz w:val="16"/>
              </w:rPr>
              <w:t>received</w:t>
            </w:r>
          </w:p>
        </w:tc>
        <w:tc>
          <w:tcPr>
            <w:tcW w:w="268" w:type="dxa"/>
            <w:tcBorders>
              <w:top w:val="single" w:sz="8" w:space="0" w:color="000000"/>
              <w:bottom w:val="single" w:sz="8" w:space="0" w:color="000000"/>
            </w:tcBorders>
          </w:tcPr>
          <w:p>
            <w:pPr>
              <w:pStyle w:val="TableParagraph"/>
              <w:spacing w:line="184" w:lineRule="exact" w:before="16"/>
              <w:ind w:left="52"/>
              <w:rPr>
                <w:sz w:val="16"/>
              </w:rPr>
            </w:pPr>
            <w:r>
              <w:rPr>
                <w:spacing w:val="-10"/>
                <w:sz w:val="16"/>
              </w:rPr>
              <w:t>$</w:t>
            </w:r>
          </w:p>
        </w:tc>
        <w:tc>
          <w:tcPr>
            <w:tcW w:w="1169" w:type="dxa"/>
            <w:tcBorders>
              <w:top w:val="single" w:sz="8" w:space="0" w:color="000000"/>
              <w:bottom w:val="single" w:sz="8" w:space="0" w:color="000000"/>
            </w:tcBorders>
          </w:tcPr>
          <w:p>
            <w:pPr>
              <w:pStyle w:val="TableParagraph"/>
              <w:rPr>
                <w:rFonts w:ascii="Times New Roman"/>
                <w:sz w:val="14"/>
              </w:rPr>
            </w:pPr>
          </w:p>
        </w:tc>
        <w:tc>
          <w:tcPr>
            <w:tcW w:w="365" w:type="dxa"/>
            <w:tcBorders>
              <w:top w:val="single" w:sz="8" w:space="0" w:color="000000"/>
              <w:bottom w:val="single" w:sz="8" w:space="0" w:color="000000"/>
            </w:tcBorders>
          </w:tcPr>
          <w:p>
            <w:pPr>
              <w:pStyle w:val="TableParagraph"/>
              <w:spacing w:line="184" w:lineRule="exact" w:before="16"/>
              <w:ind w:right="39"/>
              <w:jc w:val="center"/>
              <w:rPr>
                <w:sz w:val="16"/>
              </w:rPr>
            </w:pPr>
            <w:r>
              <w:rPr>
                <w:spacing w:val="-5"/>
                <w:sz w:val="16"/>
              </w:rPr>
              <w:t>301</w:t>
            </w:r>
          </w:p>
        </w:tc>
        <w:tc>
          <w:tcPr>
            <w:tcW w:w="196" w:type="dxa"/>
          </w:tcPr>
          <w:p>
            <w:pPr>
              <w:pStyle w:val="TableParagraph"/>
              <w:rPr>
                <w:rFonts w:ascii="Times New Roman"/>
                <w:sz w:val="14"/>
              </w:rPr>
            </w:pPr>
          </w:p>
        </w:tc>
        <w:tc>
          <w:tcPr>
            <w:tcW w:w="269" w:type="dxa"/>
            <w:tcBorders>
              <w:top w:val="single" w:sz="8" w:space="0" w:color="000000"/>
              <w:bottom w:val="single" w:sz="8" w:space="0" w:color="000000"/>
            </w:tcBorders>
          </w:tcPr>
          <w:p>
            <w:pPr>
              <w:pStyle w:val="TableParagraph"/>
              <w:spacing w:line="184" w:lineRule="exact" w:before="16"/>
              <w:ind w:left="49"/>
              <w:rPr>
                <w:sz w:val="16"/>
              </w:rPr>
            </w:pPr>
            <w:r>
              <w:rPr>
                <w:spacing w:val="-10"/>
                <w:sz w:val="16"/>
              </w:rPr>
              <w:t>$</w:t>
            </w:r>
          </w:p>
        </w:tc>
        <w:tc>
          <w:tcPr>
            <w:tcW w:w="1170" w:type="dxa"/>
            <w:tcBorders>
              <w:top w:val="single" w:sz="8" w:space="0" w:color="000000"/>
              <w:bottom w:val="single" w:sz="8" w:space="0" w:color="000000"/>
            </w:tcBorders>
          </w:tcPr>
          <w:p>
            <w:pPr>
              <w:pStyle w:val="TableParagraph"/>
              <w:rPr>
                <w:rFonts w:ascii="Times New Roman"/>
                <w:sz w:val="14"/>
              </w:rPr>
            </w:pPr>
          </w:p>
        </w:tc>
        <w:tc>
          <w:tcPr>
            <w:tcW w:w="366" w:type="dxa"/>
            <w:tcBorders>
              <w:top w:val="single" w:sz="8" w:space="0" w:color="000000"/>
              <w:bottom w:val="single" w:sz="8" w:space="0" w:color="000000"/>
            </w:tcBorders>
          </w:tcPr>
          <w:p>
            <w:pPr>
              <w:pStyle w:val="TableParagraph"/>
              <w:spacing w:line="184" w:lineRule="exact" w:before="16"/>
              <w:ind w:right="50"/>
              <w:jc w:val="center"/>
              <w:rPr>
                <w:sz w:val="16"/>
              </w:rPr>
            </w:pPr>
            <w:r>
              <w:rPr>
                <w:spacing w:val="-5"/>
                <w:sz w:val="16"/>
              </w:rPr>
              <w:t>591</w:t>
            </w:r>
          </w:p>
        </w:tc>
      </w:tr>
      <w:tr>
        <w:trPr>
          <w:trHeight w:val="680" w:hRule="atLeast"/>
        </w:trPr>
        <w:tc>
          <w:tcPr>
            <w:tcW w:w="5565" w:type="dxa"/>
          </w:tcPr>
          <w:p>
            <w:pPr>
              <w:pStyle w:val="TableParagraph"/>
              <w:spacing w:line="312" w:lineRule="auto" w:before="16"/>
              <w:ind w:left="52" w:right="2480"/>
              <w:rPr>
                <w:sz w:val="16"/>
              </w:rPr>
            </w:pPr>
            <w:r>
              <w:rPr>
                <w:sz w:val="16"/>
              </w:rPr>
              <w:t>Collateral</w:t>
            </w:r>
            <w:r>
              <w:rPr>
                <w:spacing w:val="-10"/>
                <w:sz w:val="16"/>
              </w:rPr>
              <w:t> </w:t>
            </w:r>
            <w:r>
              <w:rPr>
                <w:sz w:val="16"/>
              </w:rPr>
              <w:t>permitted</w:t>
            </w:r>
            <w:r>
              <w:rPr>
                <w:spacing w:val="-11"/>
                <w:sz w:val="16"/>
              </w:rPr>
              <w:t> </w:t>
            </w:r>
            <w:r>
              <w:rPr>
                <w:sz w:val="16"/>
              </w:rPr>
              <w:t>to</w:t>
            </w:r>
            <w:r>
              <w:rPr>
                <w:spacing w:val="-11"/>
                <w:sz w:val="16"/>
              </w:rPr>
              <w:t> </w:t>
            </w:r>
            <w:r>
              <w:rPr>
                <w:sz w:val="16"/>
              </w:rPr>
              <w:t>be</w:t>
            </w:r>
            <w:r>
              <w:rPr>
                <w:spacing w:val="-11"/>
                <w:sz w:val="16"/>
              </w:rPr>
              <w:t> </w:t>
            </w:r>
            <w:r>
              <w:rPr>
                <w:sz w:val="16"/>
              </w:rPr>
              <w:t>repledged Amount of collateral repledged</w:t>
            </w:r>
          </w:p>
          <w:p>
            <w:pPr>
              <w:pStyle w:val="TableParagraph"/>
              <w:spacing w:line="164" w:lineRule="exact" w:before="2"/>
              <w:ind w:left="52"/>
              <w:rPr>
                <w:sz w:val="16"/>
              </w:rPr>
            </w:pPr>
            <w:r>
              <w:rPr>
                <w:sz w:val="16"/>
              </w:rPr>
              <w:t>Amount</w:t>
            </w:r>
            <w:r>
              <w:rPr>
                <w:spacing w:val="-3"/>
                <w:sz w:val="16"/>
              </w:rPr>
              <w:t> </w:t>
            </w:r>
            <w:r>
              <w:rPr>
                <w:sz w:val="16"/>
              </w:rPr>
              <w:t>of</w:t>
            </w:r>
            <w:r>
              <w:rPr>
                <w:spacing w:val="-3"/>
                <w:sz w:val="16"/>
              </w:rPr>
              <w:t> </w:t>
            </w:r>
            <w:r>
              <w:rPr>
                <w:sz w:val="16"/>
              </w:rPr>
              <w:t>cash</w:t>
            </w:r>
            <w:r>
              <w:rPr>
                <w:spacing w:val="-4"/>
                <w:sz w:val="16"/>
              </w:rPr>
              <w:t> </w:t>
            </w:r>
            <w:r>
              <w:rPr>
                <w:sz w:val="16"/>
              </w:rPr>
              <w:t>collateral</w:t>
            </w:r>
            <w:r>
              <w:rPr>
                <w:spacing w:val="-2"/>
                <w:sz w:val="16"/>
              </w:rPr>
              <w:t> invested</w:t>
            </w:r>
          </w:p>
        </w:tc>
        <w:tc>
          <w:tcPr>
            <w:tcW w:w="268" w:type="dxa"/>
            <w:tcBorders>
              <w:top w:val="single" w:sz="8" w:space="0" w:color="000000"/>
            </w:tcBorders>
          </w:tcPr>
          <w:p>
            <w:pPr>
              <w:pStyle w:val="TableParagraph"/>
              <w:spacing w:before="16"/>
              <w:ind w:left="52"/>
              <w:rPr>
                <w:sz w:val="16"/>
              </w:rPr>
            </w:pPr>
            <w:r>
              <w:rPr>
                <w:spacing w:val="-10"/>
                <w:sz w:val="16"/>
              </w:rPr>
              <w:t>$</w:t>
            </w:r>
          </w:p>
        </w:tc>
        <w:tc>
          <w:tcPr>
            <w:tcW w:w="1169" w:type="dxa"/>
            <w:tcBorders>
              <w:top w:val="single" w:sz="8" w:space="0" w:color="000000"/>
            </w:tcBorders>
          </w:tcPr>
          <w:p>
            <w:pPr>
              <w:pStyle w:val="TableParagraph"/>
              <w:rPr>
                <w:rFonts w:ascii="Times New Roman"/>
                <w:sz w:val="18"/>
              </w:rPr>
            </w:pPr>
          </w:p>
        </w:tc>
        <w:tc>
          <w:tcPr>
            <w:tcW w:w="365" w:type="dxa"/>
            <w:tcBorders>
              <w:top w:val="single" w:sz="8" w:space="0" w:color="000000"/>
            </w:tcBorders>
          </w:tcPr>
          <w:p>
            <w:pPr>
              <w:pStyle w:val="TableParagraph"/>
              <w:spacing w:before="16"/>
              <w:ind w:right="68"/>
              <w:jc w:val="right"/>
              <w:rPr>
                <w:sz w:val="16"/>
              </w:rPr>
            </w:pPr>
            <w:r>
              <w:rPr>
                <w:spacing w:val="-5"/>
                <w:sz w:val="16"/>
              </w:rPr>
              <w:t>301</w:t>
            </w:r>
          </w:p>
          <w:p>
            <w:pPr>
              <w:pStyle w:val="TableParagraph"/>
              <w:spacing w:line="240" w:lineRule="atLeast"/>
              <w:ind w:left="28" w:right="68" w:firstLine="106"/>
              <w:jc w:val="right"/>
              <w:rPr>
                <w:sz w:val="16"/>
              </w:rPr>
            </w:pPr>
            <w:r>
              <w:rPr>
                <w:sz w:val="16"/>
              </w:rPr>
              <w:t>— </w:t>
            </w:r>
            <w:r>
              <w:rPr>
                <w:spacing w:val="-5"/>
                <w:sz w:val="16"/>
              </w:rPr>
              <w:t>134</w:t>
            </w:r>
          </w:p>
        </w:tc>
        <w:tc>
          <w:tcPr>
            <w:tcW w:w="196" w:type="dxa"/>
          </w:tcPr>
          <w:p>
            <w:pPr>
              <w:pStyle w:val="TableParagraph"/>
              <w:rPr>
                <w:rFonts w:ascii="Times New Roman"/>
                <w:sz w:val="18"/>
              </w:rPr>
            </w:pPr>
          </w:p>
        </w:tc>
        <w:tc>
          <w:tcPr>
            <w:tcW w:w="269" w:type="dxa"/>
            <w:tcBorders>
              <w:top w:val="single" w:sz="8" w:space="0" w:color="000000"/>
            </w:tcBorders>
          </w:tcPr>
          <w:p>
            <w:pPr>
              <w:pStyle w:val="TableParagraph"/>
              <w:spacing w:before="16"/>
              <w:ind w:left="49"/>
              <w:rPr>
                <w:sz w:val="16"/>
              </w:rPr>
            </w:pPr>
            <w:r>
              <w:rPr>
                <w:spacing w:val="-10"/>
                <w:sz w:val="16"/>
              </w:rPr>
              <w:t>$</w:t>
            </w:r>
          </w:p>
        </w:tc>
        <w:tc>
          <w:tcPr>
            <w:tcW w:w="1170" w:type="dxa"/>
            <w:tcBorders>
              <w:top w:val="single" w:sz="8" w:space="0" w:color="000000"/>
            </w:tcBorders>
          </w:tcPr>
          <w:p>
            <w:pPr>
              <w:pStyle w:val="TableParagraph"/>
              <w:rPr>
                <w:rFonts w:ascii="Times New Roman"/>
                <w:sz w:val="18"/>
              </w:rPr>
            </w:pPr>
          </w:p>
        </w:tc>
        <w:tc>
          <w:tcPr>
            <w:tcW w:w="366" w:type="dxa"/>
            <w:tcBorders>
              <w:top w:val="single" w:sz="8" w:space="0" w:color="000000"/>
            </w:tcBorders>
          </w:tcPr>
          <w:p>
            <w:pPr>
              <w:pStyle w:val="TableParagraph"/>
              <w:spacing w:before="16"/>
              <w:ind w:right="74"/>
              <w:jc w:val="right"/>
              <w:rPr>
                <w:sz w:val="16"/>
              </w:rPr>
            </w:pPr>
            <w:r>
              <w:rPr>
                <w:spacing w:val="-5"/>
                <w:sz w:val="16"/>
              </w:rPr>
              <w:t>591</w:t>
            </w:r>
          </w:p>
          <w:p>
            <w:pPr>
              <w:pStyle w:val="TableParagraph"/>
              <w:spacing w:line="240" w:lineRule="atLeast"/>
              <w:ind w:left="23" w:right="74" w:firstLine="106"/>
              <w:jc w:val="right"/>
              <w:rPr>
                <w:sz w:val="16"/>
              </w:rPr>
            </w:pPr>
            <w:r>
              <w:rPr>
                <w:sz w:val="16"/>
              </w:rPr>
              <w:t>— </w:t>
            </w:r>
            <w:r>
              <w:rPr>
                <w:spacing w:val="-5"/>
                <w:sz w:val="16"/>
              </w:rPr>
              <w:t>143</w:t>
            </w:r>
          </w:p>
        </w:tc>
      </w:tr>
    </w:tbl>
    <w:p>
      <w:pPr>
        <w:pStyle w:val="BodyText"/>
        <w:spacing w:before="7"/>
        <w:rPr>
          <w:rFonts w:ascii="Arial"/>
          <w:i/>
        </w:rPr>
      </w:pPr>
      <w:r>
        <w:rPr>
          <w:rFonts w:ascii="Arial"/>
          <w:i/>
        </w:rPr>
        <mc:AlternateContent>
          <mc:Choice Requires="wps">
            <w:drawing>
              <wp:anchor distT="0" distB="0" distL="0" distR="0" allowOverlap="1" layoutInCell="1" locked="0" behindDoc="1" simplePos="0" relativeHeight="487686656">
                <wp:simplePos x="0" y="0"/>
                <wp:positionH relativeFrom="page">
                  <wp:posOffset>914400</wp:posOffset>
                </wp:positionH>
                <wp:positionV relativeFrom="paragraph">
                  <wp:posOffset>165735</wp:posOffset>
                </wp:positionV>
                <wp:extent cx="5943600"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05pt;width:468pt;height:.1pt;mso-position-horizontal-relative:page;mso-position-vertical-relative:paragraph;z-index:-15629824;mso-wrap-distance-left:0;mso-wrap-distance-right:0" id="docshape627" coordorigin="1440,261" coordsize="9360,0" path="m1440,261l10800,261e" filled="false" stroked="true" strokeweight="1pt" strokecolor="#000000">
                <v:path arrowok="t"/>
                <v:stroke dashstyle="solid"/>
                <w10:wrap type="topAndBottom"/>
              </v:shape>
            </w:pict>
          </mc:Fallback>
        </mc:AlternateContent>
      </w:r>
    </w:p>
    <w:p>
      <w:pPr>
        <w:pStyle w:val="BodyText"/>
        <w:spacing w:line="249" w:lineRule="auto" w:before="162"/>
        <w:ind w:left="720" w:right="719"/>
        <w:jc w:val="both"/>
      </w:pPr>
      <w:r>
        <w:rPr>
          <w:b/>
          <w:i/>
        </w:rPr>
        <w:t>Securities Lending: </w:t>
      </w:r>
      <w:r>
        <w:rPr/>
        <w:t>IBRD may engage in securities lending and repurchases, against adequate collateral, as well as secured borrowing and reverse repurchases (resales) of government and agency obligations, corporate securities, ABS and MBS. These transactions, if any, are conducted under legally enforceable master netting arrangements, which allow IBRD to reduce its gross credit exposure related to these transactions. For balance sheet presentation purposes, IBRD presents its securities lending and repurchases, as well as resales, on a gross basis. As of June 30, 2023, and June 30, 2022, there were no amounts which could potentially be offset as a result of legally enforceable master netting arrangements.</w:t>
      </w:r>
    </w:p>
    <w:p>
      <w:pPr>
        <w:pStyle w:val="BodyText"/>
        <w:spacing w:line="249" w:lineRule="auto" w:before="125"/>
        <w:ind w:left="720" w:right="718"/>
        <w:jc w:val="both"/>
      </w:pPr>
      <w:r>
        <w:rPr/>
        <w:t>Securities lending and repurchase agreements expose IBRD to several risks, including counterparty risk, reinvestment risk, and risk of a collateral gap (increase or decrease in the fair value of collateral pledged). IBRD has procedures in place to ensure that trading activity and balances under these agreements are below predefined counterparty and maturity limits, and to actively manage net counterparty exposure, after collateral, using daily market values. Whenever the collateral pledged by IBRD related to its borrowings under repurchase agreements and securities lending agreements declines in value, the transaction is re-priced as appropriate by returning cash or pledging additional collateral.</w:t>
      </w:r>
    </w:p>
    <w:p>
      <w:pPr>
        <w:pStyle w:val="BodyText"/>
        <w:spacing w:line="249" w:lineRule="auto" w:before="126"/>
        <w:ind w:left="720" w:right="719"/>
        <w:jc w:val="both"/>
      </w:pPr>
      <w:r>
        <w:rPr/>
        <w:t>Transfers of securities by IBRD to counterparties are not accounted for as sales as the accounting criteria for the treatment as a sale have not been met. Counterparties are permitted to repledge these securities until the repurchase </w:t>
      </w:r>
      <w:r>
        <w:rPr>
          <w:spacing w:val="-2"/>
        </w:rPr>
        <w:t>date.</w:t>
      </w:r>
    </w:p>
    <w:p>
      <w:pPr>
        <w:pStyle w:val="BodyText"/>
        <w:spacing w:line="249" w:lineRule="auto" w:before="123"/>
        <w:ind w:left="720" w:right="718"/>
        <w:jc w:val="both"/>
      </w:pPr>
      <w:r>
        <w:rPr/>
        <w:t>As of June 30, 2023, liabilities relating to securities transferred under repurchase or securities lending agreements amounted to $9 million ($37 million — June 30, 2022) and there were no unsettled trades relating to repurchase or securities lending agreements. There were no replacement trades entered into in anticipation of maturing trades of a similar amount (Nil— June 30, 2022). As of June 30, 2023 and June 30, 2022, the remaining contractual maturity of these agreements were overnight and continuous. The securities transferred were mainly comprised of government and agency obligations and equity securities.</w:t>
      </w:r>
    </w:p>
    <w:p>
      <w:pPr>
        <w:pStyle w:val="BodyText"/>
        <w:spacing w:line="232" w:lineRule="auto" w:before="130"/>
        <w:ind w:left="720" w:right="718"/>
        <w:jc w:val="both"/>
      </w:pPr>
      <w:r>
        <w:rPr/>
        <w:t>In the case of resale agreements, IBRD receives collateral in the form of liquid securities and is permitted to</w:t>
      </w:r>
      <w:r>
        <w:rPr>
          <w:spacing w:val="40"/>
        </w:rPr>
        <w:t> </w:t>
      </w:r>
      <w:r>
        <w:rPr/>
        <w:t>repledge these securities. While these transactions are legally considered to be true purchases and sales, the</w:t>
      </w:r>
      <w:r>
        <w:rPr>
          <w:spacing w:val="40"/>
        </w:rPr>
        <w:t> </w:t>
      </w:r>
      <w:r>
        <w:rPr/>
        <w:t>securities received are not recorded on IBRD’s Balance Sheets as the accounting criteria for treatment as a sale have not been met. As of June 30, 2023 and June 30, 2022, there were no unsettled trades pertaining to securities purchased under resale agreements. For resale agreements, IBRD received securities with a fair value of $78 million ($38 million — June 30, 2022). As of June 30, 2023, and June 30, 2022, none of these securities had been</w:t>
      </w:r>
      <w:r>
        <w:rPr>
          <w:spacing w:val="40"/>
        </w:rPr>
        <w:t> </w:t>
      </w:r>
      <w:r>
        <w:rPr/>
        <w:t>transferred under repurchase or security lending agreements.</w:t>
      </w:r>
    </w:p>
    <w:p>
      <w:pPr>
        <w:pStyle w:val="BodyText"/>
        <w:spacing w:after="0" w:line="232" w:lineRule="auto"/>
        <w:jc w:val="both"/>
        <w:sectPr>
          <w:headerReference w:type="default" r:id="rId152"/>
          <w:pgSz w:w="12240" w:h="15840"/>
          <w:pgMar w:header="0" w:footer="0" w:top="960" w:bottom="720" w:left="720" w:right="720"/>
        </w:sectPr>
      </w:pPr>
    </w:p>
    <w:p>
      <w:pPr>
        <w:pStyle w:val="Heading3"/>
        <w:spacing w:before="73"/>
      </w:pPr>
      <w:r>
        <w:rPr/>
        <mc:AlternateContent>
          <mc:Choice Requires="wps">
            <w:drawing>
              <wp:anchor distT="0" distB="0" distL="0" distR="0" allowOverlap="1" layoutInCell="1" locked="0" behindDoc="0" simplePos="0" relativeHeight="15827968">
                <wp:simplePos x="0" y="0"/>
                <wp:positionH relativeFrom="page">
                  <wp:posOffset>876300</wp:posOffset>
                </wp:positionH>
                <wp:positionV relativeFrom="page">
                  <wp:posOffset>7225665</wp:posOffset>
                </wp:positionV>
                <wp:extent cx="6019800" cy="46926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6019800" cy="469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45"/>
                              <w:gridCol w:w="615"/>
                            </w:tblGrid>
                            <w:tr>
                              <w:trPr>
                                <w:trHeight w:val="170" w:hRule="atLeast"/>
                              </w:trPr>
                              <w:tc>
                                <w:tcPr>
                                  <w:tcW w:w="8745" w:type="dxa"/>
                                </w:tcPr>
                                <w:p>
                                  <w:pPr>
                                    <w:pStyle w:val="TableParagraph"/>
                                    <w:spacing w:before="2"/>
                                    <w:ind w:left="52"/>
                                    <w:rPr>
                                      <w:rFonts w:ascii="Arial"/>
                                      <w:b/>
                                      <w:sz w:val="12"/>
                                    </w:rPr>
                                  </w:pPr>
                                  <w:r>
                                    <w:rPr>
                                      <w:rFonts w:ascii="Arial"/>
                                      <w:b/>
                                      <w:sz w:val="12"/>
                                    </w:rPr>
                                    <w:t>Loans</w:t>
                                  </w:r>
                                  <w:r>
                                    <w:rPr>
                                      <w:rFonts w:ascii="Arial"/>
                                      <w:b/>
                                      <w:spacing w:val="-5"/>
                                      <w:sz w:val="12"/>
                                    </w:rPr>
                                    <w:t> </w:t>
                                  </w:r>
                                  <w:r>
                                    <w:rPr>
                                      <w:rFonts w:ascii="Arial"/>
                                      <w:b/>
                                      <w:spacing w:val="-2"/>
                                      <w:sz w:val="12"/>
                                    </w:rPr>
                                    <w:t>Outstanding</w:t>
                                  </w:r>
                                </w:p>
                              </w:tc>
                              <w:tc>
                                <w:tcPr>
                                  <w:tcW w:w="615" w:type="dxa"/>
                                  <w:tcBorders>
                                    <w:top w:val="single" w:sz="8" w:space="0" w:color="000000"/>
                                  </w:tcBorders>
                                </w:tcPr>
                                <w:p>
                                  <w:pPr>
                                    <w:pStyle w:val="TableParagraph"/>
                                    <w:spacing w:line="133" w:lineRule="exact" w:before="17"/>
                                    <w:ind w:right="52"/>
                                    <w:jc w:val="right"/>
                                    <w:rPr>
                                      <w:sz w:val="12"/>
                                    </w:rPr>
                                  </w:pPr>
                                  <w:r>
                                    <w:rPr>
                                      <w:sz w:val="12"/>
                                    </w:rPr>
                                    <w:t>$</w:t>
                                  </w:r>
                                  <w:r>
                                    <w:rPr>
                                      <w:spacing w:val="-26"/>
                                      <w:sz w:val="12"/>
                                    </w:rPr>
                                    <w:t> </w:t>
                                  </w:r>
                                  <w:r>
                                    <w:rPr>
                                      <w:spacing w:val="-2"/>
                                      <w:sz w:val="12"/>
                                    </w:rPr>
                                    <w:t>243,896</w:t>
                                  </w:r>
                                </w:p>
                              </w:tc>
                            </w:tr>
                            <w:tr>
                              <w:trPr>
                                <w:trHeight w:val="169" w:hRule="atLeast"/>
                              </w:trPr>
                              <w:tc>
                                <w:tcPr>
                                  <w:tcW w:w="8745" w:type="dxa"/>
                                </w:tcPr>
                                <w:p>
                                  <w:pPr>
                                    <w:pStyle w:val="TableParagraph"/>
                                    <w:spacing w:line="138" w:lineRule="exact" w:before="11"/>
                                    <w:ind w:left="52"/>
                                    <w:rPr>
                                      <w:sz w:val="12"/>
                                    </w:rPr>
                                  </w:pPr>
                                  <w:r>
                                    <w:rPr>
                                      <w:sz w:val="12"/>
                                    </w:rPr>
                                    <w:t>Less</w:t>
                                  </w:r>
                                  <w:r>
                                    <w:rPr>
                                      <w:spacing w:val="-5"/>
                                      <w:sz w:val="12"/>
                                    </w:rPr>
                                    <w:t> </w:t>
                                  </w:r>
                                  <w:r>
                                    <w:rPr>
                                      <w:sz w:val="12"/>
                                    </w:rPr>
                                    <w:t>accumulated</w:t>
                                  </w:r>
                                  <w:r>
                                    <w:rPr>
                                      <w:spacing w:val="-5"/>
                                      <w:sz w:val="12"/>
                                    </w:rPr>
                                    <w:t> </w:t>
                                  </w:r>
                                  <w:r>
                                    <w:rPr>
                                      <w:sz w:val="12"/>
                                    </w:rPr>
                                    <w:t>provision</w:t>
                                  </w:r>
                                  <w:r>
                                    <w:rPr>
                                      <w:spacing w:val="-5"/>
                                      <w:sz w:val="12"/>
                                    </w:rPr>
                                    <w:t> </w:t>
                                  </w:r>
                                  <w:r>
                                    <w:rPr>
                                      <w:sz w:val="12"/>
                                    </w:rPr>
                                    <w:t>for</w:t>
                                  </w:r>
                                  <w:r>
                                    <w:rPr>
                                      <w:spacing w:val="-5"/>
                                      <w:sz w:val="12"/>
                                    </w:rPr>
                                    <w:t> </w:t>
                                  </w:r>
                                  <w:r>
                                    <w:rPr>
                                      <w:sz w:val="12"/>
                                    </w:rPr>
                                    <w:t>loan</w:t>
                                  </w:r>
                                  <w:r>
                                    <w:rPr>
                                      <w:spacing w:val="-5"/>
                                      <w:sz w:val="12"/>
                                    </w:rPr>
                                    <w:t> </w:t>
                                  </w:r>
                                  <w:r>
                                    <w:rPr>
                                      <w:sz w:val="12"/>
                                    </w:rPr>
                                    <w:t>losses</w:t>
                                  </w:r>
                                  <w:r>
                                    <w:rPr>
                                      <w:spacing w:val="-5"/>
                                      <w:sz w:val="12"/>
                                    </w:rPr>
                                    <w:t> </w:t>
                                  </w:r>
                                  <w:r>
                                    <w:rPr>
                                      <w:sz w:val="12"/>
                                    </w:rPr>
                                    <w:t>and</w:t>
                                  </w:r>
                                  <w:r>
                                    <w:rPr>
                                      <w:spacing w:val="-5"/>
                                      <w:sz w:val="12"/>
                                    </w:rPr>
                                    <w:t> </w:t>
                                  </w:r>
                                  <w:r>
                                    <w:rPr>
                                      <w:sz w:val="12"/>
                                    </w:rPr>
                                    <w:t>deferred</w:t>
                                  </w:r>
                                  <w:r>
                                    <w:rPr>
                                      <w:spacing w:val="-5"/>
                                      <w:sz w:val="12"/>
                                    </w:rPr>
                                    <w:t> </w:t>
                                  </w:r>
                                  <w:r>
                                    <w:rPr>
                                      <w:sz w:val="12"/>
                                    </w:rPr>
                                    <w:t>loan</w:t>
                                  </w:r>
                                  <w:r>
                                    <w:rPr>
                                      <w:spacing w:val="-5"/>
                                      <w:sz w:val="12"/>
                                    </w:rPr>
                                    <w:t> </w:t>
                                  </w:r>
                                  <w:r>
                                    <w:rPr>
                                      <w:spacing w:val="-2"/>
                                      <w:sz w:val="12"/>
                                    </w:rPr>
                                    <w:t>income</w:t>
                                  </w:r>
                                </w:p>
                              </w:tc>
                              <w:tc>
                                <w:tcPr>
                                  <w:tcW w:w="615" w:type="dxa"/>
                                  <w:tcBorders>
                                    <w:bottom w:val="single" w:sz="8" w:space="0" w:color="000000"/>
                                  </w:tcBorders>
                                </w:tcPr>
                                <w:p>
                                  <w:pPr>
                                    <w:pStyle w:val="TableParagraph"/>
                                    <w:spacing w:line="123" w:lineRule="exact" w:before="26"/>
                                    <w:ind w:right="52"/>
                                    <w:jc w:val="right"/>
                                    <w:rPr>
                                      <w:sz w:val="12"/>
                                    </w:rPr>
                                  </w:pPr>
                                  <w:r>
                                    <w:rPr>
                                      <w:spacing w:val="-2"/>
                                      <w:sz w:val="12"/>
                                    </w:rPr>
                                    <w:t>2,855</w:t>
                                  </w:r>
                                </w:p>
                              </w:tc>
                            </w:tr>
                            <w:tr>
                              <w:trPr>
                                <w:trHeight w:val="340" w:hRule="atLeast"/>
                              </w:trPr>
                              <w:tc>
                                <w:tcPr>
                                  <w:tcW w:w="8745" w:type="dxa"/>
                                  <w:tcBorders>
                                    <w:bottom w:val="single" w:sz="8" w:space="0" w:color="000000"/>
                                  </w:tcBorders>
                                </w:tcPr>
                                <w:p>
                                  <w:pPr>
                                    <w:pStyle w:val="TableParagraph"/>
                                    <w:spacing w:before="2"/>
                                    <w:ind w:left="52"/>
                                    <w:rPr>
                                      <w:rFonts w:ascii="Arial"/>
                                      <w:b/>
                                      <w:sz w:val="12"/>
                                    </w:rPr>
                                  </w:pPr>
                                  <w:r>
                                    <w:rPr>
                                      <w:rFonts w:ascii="Arial"/>
                                      <w:b/>
                                      <w:sz w:val="12"/>
                                    </w:rPr>
                                    <w:t>Net</w:t>
                                  </w:r>
                                  <w:r>
                                    <w:rPr>
                                      <w:rFonts w:ascii="Arial"/>
                                      <w:b/>
                                      <w:spacing w:val="-6"/>
                                      <w:sz w:val="12"/>
                                    </w:rPr>
                                    <w:t> </w:t>
                                  </w:r>
                                  <w:r>
                                    <w:rPr>
                                      <w:rFonts w:ascii="Arial"/>
                                      <w:b/>
                                      <w:sz w:val="12"/>
                                    </w:rPr>
                                    <w:t>loans</w:t>
                                  </w:r>
                                  <w:r>
                                    <w:rPr>
                                      <w:rFonts w:ascii="Arial"/>
                                      <w:b/>
                                      <w:spacing w:val="-4"/>
                                      <w:sz w:val="12"/>
                                    </w:rPr>
                                    <w:t> </w:t>
                                  </w:r>
                                  <w:r>
                                    <w:rPr>
                                      <w:rFonts w:ascii="Arial"/>
                                      <w:b/>
                                      <w:spacing w:val="-2"/>
                                      <w:sz w:val="12"/>
                                    </w:rPr>
                                    <w:t>outstanding</w:t>
                                  </w:r>
                                </w:p>
                              </w:tc>
                              <w:tc>
                                <w:tcPr>
                                  <w:tcW w:w="615" w:type="dxa"/>
                                  <w:tcBorders>
                                    <w:top w:val="single" w:sz="8" w:space="0" w:color="000000"/>
                                    <w:bottom w:val="single" w:sz="8" w:space="0" w:color="000000"/>
                                  </w:tcBorders>
                                </w:tcPr>
                                <w:p>
                                  <w:pPr>
                                    <w:pStyle w:val="TableParagraph"/>
                                    <w:spacing w:before="17"/>
                                    <w:ind w:right="52"/>
                                    <w:jc w:val="right"/>
                                    <w:rPr>
                                      <w:sz w:val="12"/>
                                    </w:rPr>
                                  </w:pPr>
                                  <w:r>
                                    <w:rPr>
                                      <w:spacing w:val="22"/>
                                      <w:sz w:val="12"/>
                                      <w:u w:val="double"/>
                                    </w:rPr>
                                    <w:t> </w:t>
                                  </w:r>
                                  <w:r>
                                    <w:rPr>
                                      <w:sz w:val="12"/>
                                      <w:u w:val="double"/>
                                    </w:rPr>
                                    <w:t>$</w:t>
                                  </w:r>
                                  <w:r>
                                    <w:rPr>
                                      <w:spacing w:val="-26"/>
                                      <w:sz w:val="12"/>
                                    </w:rPr>
                                    <w:t> </w:t>
                                  </w:r>
                                  <w:r>
                                    <w:rPr>
                                      <w:spacing w:val="-2"/>
                                      <w:sz w:val="12"/>
                                      <w:u w:val="double"/>
                                    </w:rPr>
                                    <w:t>241,041</w:t>
                                  </w:r>
                                </w:p>
                              </w:tc>
                            </w:tr>
                          </w:tbl>
                          <w:p>
                            <w:pPr>
                              <w:pStyle w:val="BodyText"/>
                            </w:pPr>
                          </w:p>
                        </w:txbxContent>
                      </wps:txbx>
                      <wps:bodyPr wrap="square" lIns="0" tIns="0" rIns="0" bIns="0" rtlCol="0">
                        <a:noAutofit/>
                      </wps:bodyPr>
                    </wps:wsp>
                  </a:graphicData>
                </a:graphic>
              </wp:anchor>
            </w:drawing>
          </mc:Choice>
          <mc:Fallback>
            <w:pict>
              <v:shape style="position:absolute;margin-left:69pt;margin-top:568.950012pt;width:474pt;height:36.950pt;mso-position-horizontal-relative:page;mso-position-vertical-relative:page;z-index:15827968" type="#_x0000_t202" id="docshape6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45"/>
                        <w:gridCol w:w="615"/>
                      </w:tblGrid>
                      <w:tr>
                        <w:trPr>
                          <w:trHeight w:val="170" w:hRule="atLeast"/>
                        </w:trPr>
                        <w:tc>
                          <w:tcPr>
                            <w:tcW w:w="8745" w:type="dxa"/>
                          </w:tcPr>
                          <w:p>
                            <w:pPr>
                              <w:pStyle w:val="TableParagraph"/>
                              <w:spacing w:before="2"/>
                              <w:ind w:left="52"/>
                              <w:rPr>
                                <w:rFonts w:ascii="Arial"/>
                                <w:b/>
                                <w:sz w:val="12"/>
                              </w:rPr>
                            </w:pPr>
                            <w:r>
                              <w:rPr>
                                <w:rFonts w:ascii="Arial"/>
                                <w:b/>
                                <w:sz w:val="12"/>
                              </w:rPr>
                              <w:t>Loans</w:t>
                            </w:r>
                            <w:r>
                              <w:rPr>
                                <w:rFonts w:ascii="Arial"/>
                                <w:b/>
                                <w:spacing w:val="-5"/>
                                <w:sz w:val="12"/>
                              </w:rPr>
                              <w:t> </w:t>
                            </w:r>
                            <w:r>
                              <w:rPr>
                                <w:rFonts w:ascii="Arial"/>
                                <w:b/>
                                <w:spacing w:val="-2"/>
                                <w:sz w:val="12"/>
                              </w:rPr>
                              <w:t>Outstanding</w:t>
                            </w:r>
                          </w:p>
                        </w:tc>
                        <w:tc>
                          <w:tcPr>
                            <w:tcW w:w="615" w:type="dxa"/>
                            <w:tcBorders>
                              <w:top w:val="single" w:sz="8" w:space="0" w:color="000000"/>
                            </w:tcBorders>
                          </w:tcPr>
                          <w:p>
                            <w:pPr>
                              <w:pStyle w:val="TableParagraph"/>
                              <w:spacing w:line="133" w:lineRule="exact" w:before="17"/>
                              <w:ind w:right="52"/>
                              <w:jc w:val="right"/>
                              <w:rPr>
                                <w:sz w:val="12"/>
                              </w:rPr>
                            </w:pPr>
                            <w:r>
                              <w:rPr>
                                <w:sz w:val="12"/>
                              </w:rPr>
                              <w:t>$</w:t>
                            </w:r>
                            <w:r>
                              <w:rPr>
                                <w:spacing w:val="-26"/>
                                <w:sz w:val="12"/>
                              </w:rPr>
                              <w:t> </w:t>
                            </w:r>
                            <w:r>
                              <w:rPr>
                                <w:spacing w:val="-2"/>
                                <w:sz w:val="12"/>
                              </w:rPr>
                              <w:t>243,896</w:t>
                            </w:r>
                          </w:p>
                        </w:tc>
                      </w:tr>
                      <w:tr>
                        <w:trPr>
                          <w:trHeight w:val="169" w:hRule="atLeast"/>
                        </w:trPr>
                        <w:tc>
                          <w:tcPr>
                            <w:tcW w:w="8745" w:type="dxa"/>
                          </w:tcPr>
                          <w:p>
                            <w:pPr>
                              <w:pStyle w:val="TableParagraph"/>
                              <w:spacing w:line="138" w:lineRule="exact" w:before="11"/>
                              <w:ind w:left="52"/>
                              <w:rPr>
                                <w:sz w:val="12"/>
                              </w:rPr>
                            </w:pPr>
                            <w:r>
                              <w:rPr>
                                <w:sz w:val="12"/>
                              </w:rPr>
                              <w:t>Less</w:t>
                            </w:r>
                            <w:r>
                              <w:rPr>
                                <w:spacing w:val="-5"/>
                                <w:sz w:val="12"/>
                              </w:rPr>
                              <w:t> </w:t>
                            </w:r>
                            <w:r>
                              <w:rPr>
                                <w:sz w:val="12"/>
                              </w:rPr>
                              <w:t>accumulated</w:t>
                            </w:r>
                            <w:r>
                              <w:rPr>
                                <w:spacing w:val="-5"/>
                                <w:sz w:val="12"/>
                              </w:rPr>
                              <w:t> </w:t>
                            </w:r>
                            <w:r>
                              <w:rPr>
                                <w:sz w:val="12"/>
                              </w:rPr>
                              <w:t>provision</w:t>
                            </w:r>
                            <w:r>
                              <w:rPr>
                                <w:spacing w:val="-5"/>
                                <w:sz w:val="12"/>
                              </w:rPr>
                              <w:t> </w:t>
                            </w:r>
                            <w:r>
                              <w:rPr>
                                <w:sz w:val="12"/>
                              </w:rPr>
                              <w:t>for</w:t>
                            </w:r>
                            <w:r>
                              <w:rPr>
                                <w:spacing w:val="-5"/>
                                <w:sz w:val="12"/>
                              </w:rPr>
                              <w:t> </w:t>
                            </w:r>
                            <w:r>
                              <w:rPr>
                                <w:sz w:val="12"/>
                              </w:rPr>
                              <w:t>loan</w:t>
                            </w:r>
                            <w:r>
                              <w:rPr>
                                <w:spacing w:val="-5"/>
                                <w:sz w:val="12"/>
                              </w:rPr>
                              <w:t> </w:t>
                            </w:r>
                            <w:r>
                              <w:rPr>
                                <w:sz w:val="12"/>
                              </w:rPr>
                              <w:t>losses</w:t>
                            </w:r>
                            <w:r>
                              <w:rPr>
                                <w:spacing w:val="-5"/>
                                <w:sz w:val="12"/>
                              </w:rPr>
                              <w:t> </w:t>
                            </w:r>
                            <w:r>
                              <w:rPr>
                                <w:sz w:val="12"/>
                              </w:rPr>
                              <w:t>and</w:t>
                            </w:r>
                            <w:r>
                              <w:rPr>
                                <w:spacing w:val="-5"/>
                                <w:sz w:val="12"/>
                              </w:rPr>
                              <w:t> </w:t>
                            </w:r>
                            <w:r>
                              <w:rPr>
                                <w:sz w:val="12"/>
                              </w:rPr>
                              <w:t>deferred</w:t>
                            </w:r>
                            <w:r>
                              <w:rPr>
                                <w:spacing w:val="-5"/>
                                <w:sz w:val="12"/>
                              </w:rPr>
                              <w:t> </w:t>
                            </w:r>
                            <w:r>
                              <w:rPr>
                                <w:sz w:val="12"/>
                              </w:rPr>
                              <w:t>loan</w:t>
                            </w:r>
                            <w:r>
                              <w:rPr>
                                <w:spacing w:val="-5"/>
                                <w:sz w:val="12"/>
                              </w:rPr>
                              <w:t> </w:t>
                            </w:r>
                            <w:r>
                              <w:rPr>
                                <w:spacing w:val="-2"/>
                                <w:sz w:val="12"/>
                              </w:rPr>
                              <w:t>income</w:t>
                            </w:r>
                          </w:p>
                        </w:tc>
                        <w:tc>
                          <w:tcPr>
                            <w:tcW w:w="615" w:type="dxa"/>
                            <w:tcBorders>
                              <w:bottom w:val="single" w:sz="8" w:space="0" w:color="000000"/>
                            </w:tcBorders>
                          </w:tcPr>
                          <w:p>
                            <w:pPr>
                              <w:pStyle w:val="TableParagraph"/>
                              <w:spacing w:line="123" w:lineRule="exact" w:before="26"/>
                              <w:ind w:right="52"/>
                              <w:jc w:val="right"/>
                              <w:rPr>
                                <w:sz w:val="12"/>
                              </w:rPr>
                            </w:pPr>
                            <w:r>
                              <w:rPr>
                                <w:spacing w:val="-2"/>
                                <w:sz w:val="12"/>
                              </w:rPr>
                              <w:t>2,855</w:t>
                            </w:r>
                          </w:p>
                        </w:tc>
                      </w:tr>
                      <w:tr>
                        <w:trPr>
                          <w:trHeight w:val="340" w:hRule="atLeast"/>
                        </w:trPr>
                        <w:tc>
                          <w:tcPr>
                            <w:tcW w:w="8745" w:type="dxa"/>
                            <w:tcBorders>
                              <w:bottom w:val="single" w:sz="8" w:space="0" w:color="000000"/>
                            </w:tcBorders>
                          </w:tcPr>
                          <w:p>
                            <w:pPr>
                              <w:pStyle w:val="TableParagraph"/>
                              <w:spacing w:before="2"/>
                              <w:ind w:left="52"/>
                              <w:rPr>
                                <w:rFonts w:ascii="Arial"/>
                                <w:b/>
                                <w:sz w:val="12"/>
                              </w:rPr>
                            </w:pPr>
                            <w:r>
                              <w:rPr>
                                <w:rFonts w:ascii="Arial"/>
                                <w:b/>
                                <w:sz w:val="12"/>
                              </w:rPr>
                              <w:t>Net</w:t>
                            </w:r>
                            <w:r>
                              <w:rPr>
                                <w:rFonts w:ascii="Arial"/>
                                <w:b/>
                                <w:spacing w:val="-6"/>
                                <w:sz w:val="12"/>
                              </w:rPr>
                              <w:t> </w:t>
                            </w:r>
                            <w:r>
                              <w:rPr>
                                <w:rFonts w:ascii="Arial"/>
                                <w:b/>
                                <w:sz w:val="12"/>
                              </w:rPr>
                              <w:t>loans</w:t>
                            </w:r>
                            <w:r>
                              <w:rPr>
                                <w:rFonts w:ascii="Arial"/>
                                <w:b/>
                                <w:spacing w:val="-4"/>
                                <w:sz w:val="12"/>
                              </w:rPr>
                              <w:t> </w:t>
                            </w:r>
                            <w:r>
                              <w:rPr>
                                <w:rFonts w:ascii="Arial"/>
                                <w:b/>
                                <w:spacing w:val="-2"/>
                                <w:sz w:val="12"/>
                              </w:rPr>
                              <w:t>outstanding</w:t>
                            </w:r>
                          </w:p>
                        </w:tc>
                        <w:tc>
                          <w:tcPr>
                            <w:tcW w:w="615" w:type="dxa"/>
                            <w:tcBorders>
                              <w:top w:val="single" w:sz="8" w:space="0" w:color="000000"/>
                              <w:bottom w:val="single" w:sz="8" w:space="0" w:color="000000"/>
                            </w:tcBorders>
                          </w:tcPr>
                          <w:p>
                            <w:pPr>
                              <w:pStyle w:val="TableParagraph"/>
                              <w:spacing w:before="17"/>
                              <w:ind w:right="52"/>
                              <w:jc w:val="right"/>
                              <w:rPr>
                                <w:sz w:val="12"/>
                              </w:rPr>
                            </w:pPr>
                            <w:r>
                              <w:rPr>
                                <w:spacing w:val="22"/>
                                <w:sz w:val="12"/>
                                <w:u w:val="double"/>
                              </w:rPr>
                              <w:t> </w:t>
                            </w:r>
                            <w:r>
                              <w:rPr>
                                <w:sz w:val="12"/>
                                <w:u w:val="double"/>
                              </w:rPr>
                              <w:t>$</w:t>
                            </w:r>
                            <w:r>
                              <w:rPr>
                                <w:spacing w:val="-26"/>
                                <w:sz w:val="12"/>
                              </w:rPr>
                              <w:t> </w:t>
                            </w:r>
                            <w:r>
                              <w:rPr>
                                <w:spacing w:val="-2"/>
                                <w:sz w:val="12"/>
                                <w:u w:val="double"/>
                              </w:rPr>
                              <w:t>241,041</w:t>
                            </w:r>
                          </w:p>
                        </w:tc>
                      </w:tr>
                    </w:tbl>
                    <w:p>
                      <w:pPr>
                        <w:pStyle w:val="BodyText"/>
                      </w:pPr>
                    </w:p>
                  </w:txbxContent>
                </v:textbox>
                <w10:wrap type="none"/>
              </v:shape>
            </w:pict>
          </mc:Fallback>
        </mc:AlternateContent>
      </w:r>
      <w:bookmarkStart w:name="NOTE D—LOANS AND OTHER EXPOSURES" w:id="209"/>
      <w:bookmarkEnd w:id="209"/>
      <w:r>
        <w:rPr>
          <w:b w:val="0"/>
        </w:rPr>
      </w:r>
      <w:r>
        <w:rPr/>
        <w:t>NOTE</w:t>
      </w:r>
      <w:r>
        <w:rPr>
          <w:spacing w:val="-3"/>
        </w:rPr>
        <w:t> </w:t>
      </w:r>
      <w:r>
        <w:rPr/>
        <w:t>D—LOANS</w:t>
      </w:r>
      <w:r>
        <w:rPr>
          <w:spacing w:val="-2"/>
        </w:rPr>
        <w:t> </w:t>
      </w:r>
      <w:r>
        <w:rPr/>
        <w:t>AND</w:t>
      </w:r>
      <w:r>
        <w:rPr>
          <w:spacing w:val="-3"/>
        </w:rPr>
        <w:t> </w:t>
      </w:r>
      <w:r>
        <w:rPr/>
        <w:t>OTHER</w:t>
      </w:r>
      <w:r>
        <w:rPr>
          <w:spacing w:val="-2"/>
        </w:rPr>
        <w:t> EXPOSURES</w:t>
      </w:r>
    </w:p>
    <w:p>
      <w:pPr>
        <w:pStyle w:val="BodyText"/>
        <w:spacing w:line="249" w:lineRule="auto" w:before="130"/>
        <w:ind w:left="720" w:right="719"/>
        <w:jc w:val="both"/>
      </w:pPr>
      <w:r>
        <w:rPr/>
        <w:t>IBRD’s loans and other exposures (collectively “exposures”) are generally made to, or guaranteed by, member countries of IBRD. In addition, IBRD may also make loans to the International Finance Corporation (IFC), an affiliated organization, without any guarantee. As of June 30, 2023, all IBRD’s loans were reported at amortized </w:t>
      </w:r>
      <w:r>
        <w:rPr>
          <w:spacing w:val="-2"/>
        </w:rPr>
        <w:t>cost.</w:t>
      </w:r>
    </w:p>
    <w:p>
      <w:pPr>
        <w:pStyle w:val="BodyText"/>
        <w:spacing w:line="249" w:lineRule="auto" w:before="123"/>
        <w:ind w:left="720" w:right="718"/>
        <w:jc w:val="both"/>
      </w:pPr>
      <w:r>
        <w:rPr/>
        <w:t>IBRD’s loan portfolio includes loans with multicurrency terms, variable spread terms and fixed spread terms. As of June 30, 2023, only loans with variable spread terms (including special development policy loans), were available for new commitments. Effective April 1, 2021, IBRD suspended the offering of loans on fixed spread terms.</w:t>
      </w:r>
    </w:p>
    <w:p>
      <w:pPr>
        <w:pStyle w:val="BodyText"/>
        <w:spacing w:line="249" w:lineRule="auto" w:before="122"/>
        <w:ind w:left="720" w:right="719"/>
        <w:jc w:val="both"/>
      </w:pPr>
      <w:r>
        <w:rPr/>
        <w:t>As of June 30, 2023, 86% of IBRD’s loans carried variable interest rates. IBRD uses derivative instruments to manage the currency risk as well as repricing risk between its loans and borrowings. After the effects of these derivatives, the entire loan portfolio carried variable interest rates, with a weighted average interest rate of 5.63% as of June 30, 2023 (1.92%—June 30, 2022). For details regarding derivatives used in the loan portfolio see Note F—Derivative Instruments.</w:t>
      </w:r>
    </w:p>
    <w:p>
      <w:pPr>
        <w:pStyle w:val="BodyText"/>
        <w:spacing w:before="124"/>
        <w:ind w:left="720"/>
        <w:jc w:val="both"/>
      </w:pPr>
      <w:r>
        <w:rPr/>
        <w:t>The</w:t>
      </w:r>
      <w:r>
        <w:rPr>
          <w:spacing w:val="-6"/>
        </w:rPr>
        <w:t> </w:t>
      </w:r>
      <w:r>
        <w:rPr/>
        <w:t>majority</w:t>
      </w:r>
      <w:r>
        <w:rPr>
          <w:spacing w:val="-2"/>
        </w:rPr>
        <w:t> </w:t>
      </w:r>
      <w:r>
        <w:rPr/>
        <w:t>of</w:t>
      </w:r>
      <w:r>
        <w:rPr>
          <w:spacing w:val="-2"/>
        </w:rPr>
        <w:t> </w:t>
      </w:r>
      <w:r>
        <w:rPr/>
        <w:t>IBRD’s</w:t>
      </w:r>
      <w:r>
        <w:rPr>
          <w:spacing w:val="-3"/>
        </w:rPr>
        <w:t> </w:t>
      </w:r>
      <w:r>
        <w:rPr/>
        <w:t>loans</w:t>
      </w:r>
      <w:r>
        <w:rPr>
          <w:spacing w:val="-4"/>
        </w:rPr>
        <w:t> </w:t>
      </w:r>
      <w:r>
        <w:rPr/>
        <w:t>outstanding</w:t>
      </w:r>
      <w:r>
        <w:rPr>
          <w:spacing w:val="-2"/>
        </w:rPr>
        <w:t> </w:t>
      </w:r>
      <w:r>
        <w:rPr/>
        <w:t>are</w:t>
      </w:r>
      <w:r>
        <w:rPr>
          <w:spacing w:val="-3"/>
        </w:rPr>
        <w:t> </w:t>
      </w:r>
      <w:r>
        <w:rPr/>
        <w:t>denominated</w:t>
      </w:r>
      <w:r>
        <w:rPr>
          <w:spacing w:val="-2"/>
        </w:rPr>
        <w:t> </w:t>
      </w:r>
      <w:r>
        <w:rPr/>
        <w:t>in</w:t>
      </w:r>
      <w:r>
        <w:rPr>
          <w:spacing w:val="-2"/>
        </w:rPr>
        <w:t> </w:t>
      </w:r>
      <w:r>
        <w:rPr/>
        <w:t>U.S.</w:t>
      </w:r>
      <w:r>
        <w:rPr>
          <w:spacing w:val="-3"/>
        </w:rPr>
        <w:t> </w:t>
      </w:r>
      <w:r>
        <w:rPr/>
        <w:t>dollars</w:t>
      </w:r>
      <w:r>
        <w:rPr>
          <w:spacing w:val="-3"/>
        </w:rPr>
        <w:t> </w:t>
      </w:r>
      <w:r>
        <w:rPr/>
        <w:t>(80%)</w:t>
      </w:r>
      <w:r>
        <w:rPr>
          <w:spacing w:val="-2"/>
        </w:rPr>
        <w:t> </w:t>
      </w:r>
      <w:r>
        <w:rPr/>
        <w:t>and</w:t>
      </w:r>
      <w:r>
        <w:rPr>
          <w:spacing w:val="-2"/>
        </w:rPr>
        <w:t> </w:t>
      </w:r>
      <w:r>
        <w:rPr/>
        <w:t>euro</w:t>
      </w:r>
      <w:r>
        <w:rPr>
          <w:spacing w:val="-2"/>
        </w:rPr>
        <w:t> (18%).</w:t>
      </w:r>
    </w:p>
    <w:p>
      <w:pPr>
        <w:pStyle w:val="BodyText"/>
        <w:spacing w:line="249" w:lineRule="auto" w:before="130"/>
        <w:ind w:left="720" w:right="721"/>
        <w:jc w:val="both"/>
      </w:pPr>
      <w:r>
        <w:rPr/>
        <w:t>IBRD excludes the interest receivable balance from the amortized cost basis and from the related disclosures. As of June 30, 2023, accrued interest receivable on loans of $3,138 million is included in Other Receivables – Accrued income on loans and guarantee fees receivable in the Balance Sheets ($1,029 million—June 30, 2022).</w:t>
      </w:r>
    </w:p>
    <w:p>
      <w:pPr>
        <w:pStyle w:val="BodyText"/>
        <w:spacing w:line="249" w:lineRule="auto" w:before="123"/>
        <w:ind w:left="720" w:right="718"/>
        <w:jc w:val="both"/>
      </w:pPr>
      <w:r>
        <w:rPr/>
        <w:t>As of June 30, 2023, 0.6% of IBRD’s loans were in nonaccrual status and related to two borrowers (see Table D6: Loans in nonaccrual status). The total accumulated provision for losses on loans in accrual and nonaccrual loans accounted for 1.0% of the total loan portfolio. Based on IBRD’s internal credit quality indicators, the majority of loans outstanding are in the medium-risk or high-risk classes.</w:t>
      </w:r>
    </w:p>
    <w:p>
      <w:pPr>
        <w:pStyle w:val="BodyText"/>
        <w:spacing w:line="249" w:lineRule="auto" w:before="123"/>
        <w:ind w:left="720" w:right="719"/>
        <w:jc w:val="both"/>
      </w:pPr>
      <w:r>
        <w:rPr/>
        <w:t>A summary of IBRD’s loans outstanding by currency and by interest rate characteristics (fixed or variable) is as </w:t>
      </w:r>
      <w:r>
        <w:rPr>
          <w:spacing w:val="-2"/>
        </w:rPr>
        <w:t>follows:</w:t>
      </w:r>
    </w:p>
    <w:p>
      <w:pPr>
        <w:pStyle w:val="Heading8"/>
        <w:spacing w:before="119"/>
        <w:jc w:val="both"/>
      </w:pPr>
      <w:r>
        <w:rPr/>
        <w:t>Table</w:t>
      </w:r>
      <w:r>
        <w:rPr>
          <w:spacing w:val="-7"/>
        </w:rPr>
        <w:t> </w:t>
      </w:r>
      <w:r>
        <w:rPr/>
        <w:t>D1:</w:t>
      </w:r>
      <w:r>
        <w:rPr>
          <w:spacing w:val="-3"/>
        </w:rPr>
        <w:t> </w:t>
      </w:r>
      <w:r>
        <w:rPr/>
        <w:t>Loans</w:t>
      </w:r>
      <w:r>
        <w:rPr>
          <w:spacing w:val="-5"/>
        </w:rPr>
        <w:t> </w:t>
      </w:r>
      <w:r>
        <w:rPr/>
        <w:t>outstanding</w:t>
      </w:r>
      <w:r>
        <w:rPr>
          <w:spacing w:val="-3"/>
        </w:rPr>
        <w:t> </w:t>
      </w:r>
      <w:r>
        <w:rPr/>
        <w:t>currency</w:t>
      </w:r>
      <w:r>
        <w:rPr>
          <w:spacing w:val="-3"/>
        </w:rPr>
        <w:t> </w:t>
      </w:r>
      <w:r>
        <w:rPr/>
        <w:t>and</w:t>
      </w:r>
      <w:r>
        <w:rPr>
          <w:spacing w:val="-5"/>
        </w:rPr>
        <w:t> </w:t>
      </w:r>
      <w:r>
        <w:rPr/>
        <w:t>interest</w:t>
      </w:r>
      <w:r>
        <w:rPr>
          <w:spacing w:val="-3"/>
        </w:rPr>
        <w:t> </w:t>
      </w:r>
      <w:r>
        <w:rPr/>
        <w:t>rate</w:t>
      </w:r>
      <w:r>
        <w:rPr>
          <w:spacing w:val="-4"/>
        </w:rPr>
        <w:t> </w:t>
      </w:r>
      <w:r>
        <w:rPr>
          <w:spacing w:val="-2"/>
        </w:rPr>
        <w:t>structure</w:t>
      </w:r>
    </w:p>
    <w:p>
      <w:pPr>
        <w:spacing w:before="74" w:after="29"/>
        <w:ind w:left="720" w:right="0" w:firstLine="0"/>
        <w:jc w:val="both"/>
        <w:rPr>
          <w:rFonts w:ascii="Arial"/>
          <w:i/>
          <w:sz w:val="12"/>
        </w:rPr>
      </w:pPr>
      <w:r>
        <w:rPr>
          <w:rFonts w:ascii="Arial"/>
          <w:i/>
          <w:sz w:val="12"/>
        </w:rPr>
        <w:t>In</w:t>
      </w:r>
      <w:r>
        <w:rPr>
          <w:rFonts w:ascii="Arial"/>
          <w:i/>
          <w:spacing w:val="-5"/>
          <w:sz w:val="12"/>
        </w:rPr>
        <w:t> </w:t>
      </w:r>
      <w:r>
        <w:rPr>
          <w:rFonts w:ascii="Arial"/>
          <w:i/>
          <w:sz w:val="12"/>
        </w:rPr>
        <w:t>millions</w:t>
      </w:r>
      <w:r>
        <w:rPr>
          <w:rFonts w:ascii="Arial"/>
          <w:i/>
          <w:spacing w:val="-4"/>
          <w:sz w:val="12"/>
        </w:rPr>
        <w:t> </w:t>
      </w:r>
      <w:r>
        <w:rPr>
          <w:rFonts w:ascii="Arial"/>
          <w:i/>
          <w:sz w:val="12"/>
        </w:rPr>
        <w:t>of</w:t>
      </w:r>
      <w:r>
        <w:rPr>
          <w:rFonts w:ascii="Arial"/>
          <w:i/>
          <w:spacing w:val="-5"/>
          <w:sz w:val="12"/>
        </w:rPr>
        <w:t> </w:t>
      </w:r>
      <w:r>
        <w:rPr>
          <w:rFonts w:ascii="Arial"/>
          <w:i/>
          <w:sz w:val="12"/>
        </w:rPr>
        <w:t>U.S.</w:t>
      </w:r>
      <w:r>
        <w:rPr>
          <w:rFonts w:ascii="Arial"/>
          <w:i/>
          <w:spacing w:val="-4"/>
          <w:sz w:val="12"/>
        </w:rPr>
        <w:t> </w:t>
      </w:r>
      <w:r>
        <w:rPr>
          <w:rFonts w:ascii="Arial"/>
          <w:i/>
          <w:sz w:val="12"/>
        </w:rPr>
        <w:t>dollars,</w:t>
      </w:r>
      <w:r>
        <w:rPr>
          <w:rFonts w:ascii="Arial"/>
          <w:i/>
          <w:spacing w:val="-5"/>
          <w:sz w:val="12"/>
        </w:rPr>
        <w:t> </w:t>
      </w:r>
      <w:r>
        <w:rPr>
          <w:rFonts w:ascii="Arial"/>
          <w:i/>
          <w:sz w:val="12"/>
        </w:rPr>
        <w:t>except</w:t>
      </w:r>
      <w:r>
        <w:rPr>
          <w:rFonts w:ascii="Arial"/>
          <w:i/>
          <w:spacing w:val="-4"/>
          <w:sz w:val="12"/>
        </w:rPr>
        <w:t> </w:t>
      </w:r>
      <w:r>
        <w:rPr>
          <w:rFonts w:ascii="Arial"/>
          <w:i/>
          <w:sz w:val="12"/>
        </w:rPr>
        <w:t>as</w:t>
      </w:r>
      <w:r>
        <w:rPr>
          <w:rFonts w:ascii="Arial"/>
          <w:i/>
          <w:spacing w:val="-5"/>
          <w:sz w:val="12"/>
        </w:rPr>
        <w:t> </w:t>
      </w:r>
      <w:r>
        <w:rPr>
          <w:rFonts w:ascii="Arial"/>
          <w:i/>
          <w:sz w:val="12"/>
        </w:rPr>
        <w:t>otherwise</w:t>
      </w:r>
      <w:r>
        <w:rPr>
          <w:rFonts w:ascii="Arial"/>
          <w:i/>
          <w:spacing w:val="-4"/>
          <w:sz w:val="12"/>
        </w:rPr>
        <w:t> </w:t>
      </w:r>
      <w:r>
        <w:rPr>
          <w:rFonts w:ascii="Arial"/>
          <w:i/>
          <w:spacing w:val="-2"/>
          <w:sz w:val="12"/>
        </w:rPr>
        <w:t>noted</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5"/>
        <w:gridCol w:w="280"/>
        <w:gridCol w:w="281"/>
        <w:gridCol w:w="753"/>
        <w:gridCol w:w="318"/>
        <w:gridCol w:w="358"/>
        <w:gridCol w:w="261"/>
        <w:gridCol w:w="414"/>
        <w:gridCol w:w="317"/>
        <w:gridCol w:w="364"/>
        <w:gridCol w:w="668"/>
        <w:gridCol w:w="484"/>
        <w:gridCol w:w="189"/>
        <w:gridCol w:w="227"/>
        <w:gridCol w:w="447"/>
        <w:gridCol w:w="168"/>
        <w:gridCol w:w="513"/>
        <w:gridCol w:w="646"/>
        <w:gridCol w:w="675"/>
      </w:tblGrid>
      <w:tr>
        <w:trPr>
          <w:trHeight w:val="160" w:hRule="atLeast"/>
        </w:trPr>
        <w:tc>
          <w:tcPr>
            <w:tcW w:w="1995" w:type="dxa"/>
            <w:tcBorders>
              <w:top w:val="single" w:sz="8" w:space="0" w:color="000000"/>
            </w:tcBorders>
          </w:tcPr>
          <w:p>
            <w:pPr>
              <w:pStyle w:val="TableParagraph"/>
              <w:rPr>
                <w:rFonts w:ascii="Times New Roman"/>
                <w:sz w:val="10"/>
              </w:rPr>
            </w:pPr>
          </w:p>
        </w:tc>
        <w:tc>
          <w:tcPr>
            <w:tcW w:w="561" w:type="dxa"/>
            <w:gridSpan w:val="2"/>
            <w:tcBorders>
              <w:top w:val="single" w:sz="8" w:space="0" w:color="000000"/>
              <w:bottom w:val="single" w:sz="8" w:space="0" w:color="000000"/>
            </w:tcBorders>
          </w:tcPr>
          <w:p>
            <w:pPr>
              <w:pStyle w:val="TableParagraph"/>
              <w:rPr>
                <w:rFonts w:ascii="Times New Roman"/>
                <w:sz w:val="10"/>
              </w:rPr>
            </w:pPr>
          </w:p>
        </w:tc>
        <w:tc>
          <w:tcPr>
            <w:tcW w:w="753" w:type="dxa"/>
            <w:tcBorders>
              <w:top w:val="single" w:sz="8" w:space="0" w:color="000000"/>
              <w:bottom w:val="single" w:sz="8" w:space="0" w:color="000000"/>
            </w:tcBorders>
          </w:tcPr>
          <w:p>
            <w:pPr>
              <w:pStyle w:val="TableParagraph"/>
              <w:rPr>
                <w:rFonts w:ascii="Times New Roman"/>
                <w:sz w:val="10"/>
              </w:rPr>
            </w:pPr>
          </w:p>
        </w:tc>
        <w:tc>
          <w:tcPr>
            <w:tcW w:w="1351" w:type="dxa"/>
            <w:gridSpan w:val="4"/>
            <w:tcBorders>
              <w:top w:val="single" w:sz="8" w:space="0" w:color="000000"/>
              <w:bottom w:val="single" w:sz="8" w:space="0" w:color="000000"/>
            </w:tcBorders>
          </w:tcPr>
          <w:p>
            <w:pPr>
              <w:pStyle w:val="TableParagraph"/>
              <w:rPr>
                <w:rFonts w:ascii="Times New Roman"/>
                <w:sz w:val="10"/>
              </w:rPr>
            </w:pPr>
          </w:p>
        </w:tc>
        <w:tc>
          <w:tcPr>
            <w:tcW w:w="1349" w:type="dxa"/>
            <w:gridSpan w:val="3"/>
            <w:tcBorders>
              <w:top w:val="single" w:sz="8" w:space="0" w:color="000000"/>
              <w:bottom w:val="single" w:sz="8" w:space="0" w:color="000000"/>
            </w:tcBorders>
          </w:tcPr>
          <w:p>
            <w:pPr>
              <w:pStyle w:val="TableParagraph"/>
              <w:spacing w:line="137" w:lineRule="exact" w:before="2"/>
              <w:ind w:left="637"/>
              <w:rPr>
                <w:rFonts w:ascii="Arial"/>
                <w:i/>
                <w:sz w:val="12"/>
              </w:rPr>
            </w:pPr>
            <w:r>
              <w:rPr>
                <w:rFonts w:ascii="Arial"/>
                <w:i/>
                <w:sz w:val="12"/>
              </w:rPr>
              <w:t>June</w:t>
            </w:r>
            <w:r>
              <w:rPr>
                <w:rFonts w:ascii="Arial"/>
                <w:i/>
                <w:spacing w:val="-3"/>
                <w:sz w:val="12"/>
              </w:rPr>
              <w:t> </w:t>
            </w:r>
            <w:r>
              <w:rPr>
                <w:rFonts w:ascii="Arial"/>
                <w:i/>
                <w:sz w:val="12"/>
              </w:rPr>
              <w:t>30,</w:t>
            </w:r>
            <w:r>
              <w:rPr>
                <w:rFonts w:ascii="Arial"/>
                <w:i/>
                <w:spacing w:val="-3"/>
                <w:sz w:val="12"/>
              </w:rPr>
              <w:t> </w:t>
            </w:r>
            <w:r>
              <w:rPr>
                <w:rFonts w:ascii="Arial"/>
                <w:i/>
                <w:spacing w:val="-5"/>
                <w:sz w:val="12"/>
              </w:rPr>
              <w:t>202</w:t>
            </w:r>
          </w:p>
        </w:tc>
        <w:tc>
          <w:tcPr>
            <w:tcW w:w="484" w:type="dxa"/>
            <w:tcBorders>
              <w:top w:val="single" w:sz="8" w:space="0" w:color="000000"/>
              <w:bottom w:val="single" w:sz="8" w:space="0" w:color="000000"/>
            </w:tcBorders>
          </w:tcPr>
          <w:p>
            <w:pPr>
              <w:pStyle w:val="TableParagraph"/>
              <w:spacing w:line="137" w:lineRule="exact" w:before="2"/>
              <w:ind w:left="-19"/>
              <w:rPr>
                <w:rFonts w:ascii="Arial"/>
                <w:i/>
                <w:sz w:val="12"/>
              </w:rPr>
            </w:pPr>
            <w:r>
              <w:rPr>
                <w:rFonts w:ascii="Arial"/>
                <w:i/>
                <w:spacing w:val="-10"/>
                <w:sz w:val="12"/>
              </w:rPr>
              <w:t>3</w:t>
            </w:r>
          </w:p>
        </w:tc>
        <w:tc>
          <w:tcPr>
            <w:tcW w:w="2865" w:type="dxa"/>
            <w:gridSpan w:val="7"/>
            <w:tcBorders>
              <w:top w:val="single" w:sz="8" w:space="0" w:color="000000"/>
              <w:bottom w:val="single" w:sz="8" w:space="0" w:color="000000"/>
            </w:tcBorders>
          </w:tcPr>
          <w:p>
            <w:pPr>
              <w:pStyle w:val="TableParagraph"/>
              <w:rPr>
                <w:rFonts w:ascii="Times New Roman"/>
                <w:sz w:val="10"/>
              </w:rPr>
            </w:pPr>
          </w:p>
        </w:tc>
      </w:tr>
      <w:tr>
        <w:trPr>
          <w:trHeight w:val="160" w:hRule="atLeast"/>
        </w:trPr>
        <w:tc>
          <w:tcPr>
            <w:tcW w:w="1995" w:type="dxa"/>
          </w:tcPr>
          <w:p>
            <w:pPr>
              <w:pStyle w:val="TableParagraph"/>
              <w:rPr>
                <w:rFonts w:ascii="Times New Roman"/>
                <w:sz w:val="10"/>
              </w:rPr>
            </w:pPr>
          </w:p>
        </w:tc>
        <w:tc>
          <w:tcPr>
            <w:tcW w:w="1314" w:type="dxa"/>
            <w:gridSpan w:val="3"/>
            <w:tcBorders>
              <w:top w:val="single" w:sz="8" w:space="0" w:color="000000"/>
              <w:bottom w:val="single" w:sz="8" w:space="0" w:color="000000"/>
            </w:tcBorders>
          </w:tcPr>
          <w:p>
            <w:pPr>
              <w:pStyle w:val="TableParagraph"/>
              <w:spacing w:line="137" w:lineRule="exact" w:before="2"/>
              <w:ind w:right="21"/>
              <w:jc w:val="center"/>
              <w:rPr>
                <w:rFonts w:ascii="Arial"/>
                <w:i/>
                <w:sz w:val="12"/>
              </w:rPr>
            </w:pPr>
            <w:r>
              <w:rPr>
                <w:rFonts w:ascii="Arial"/>
                <w:i/>
                <w:spacing w:val="-4"/>
                <w:sz w:val="12"/>
              </w:rPr>
              <w:t>Euro</w:t>
            </w:r>
          </w:p>
        </w:tc>
        <w:tc>
          <w:tcPr>
            <w:tcW w:w="1351" w:type="dxa"/>
            <w:gridSpan w:val="4"/>
            <w:tcBorders>
              <w:top w:val="single" w:sz="8" w:space="0" w:color="000000"/>
              <w:bottom w:val="single" w:sz="8" w:space="0" w:color="000000"/>
            </w:tcBorders>
          </w:tcPr>
          <w:p>
            <w:pPr>
              <w:pStyle w:val="TableParagraph"/>
              <w:spacing w:line="137" w:lineRule="exact" w:before="2"/>
              <w:ind w:left="298"/>
              <w:rPr>
                <w:rFonts w:ascii="Arial"/>
                <w:i/>
                <w:sz w:val="12"/>
              </w:rPr>
            </w:pPr>
            <w:r>
              <w:rPr>
                <w:rFonts w:ascii="Arial"/>
                <w:i/>
                <w:sz w:val="12"/>
              </w:rPr>
              <w:t>Japanese</w:t>
            </w:r>
            <w:r>
              <w:rPr>
                <w:rFonts w:ascii="Arial"/>
                <w:i/>
                <w:spacing w:val="-6"/>
                <w:sz w:val="12"/>
              </w:rPr>
              <w:t> </w:t>
            </w:r>
            <w:r>
              <w:rPr>
                <w:rFonts w:ascii="Arial"/>
                <w:i/>
                <w:spacing w:val="-5"/>
                <w:sz w:val="12"/>
              </w:rPr>
              <w:t>Yen</w:t>
            </w:r>
          </w:p>
        </w:tc>
        <w:tc>
          <w:tcPr>
            <w:tcW w:w="1349" w:type="dxa"/>
            <w:gridSpan w:val="3"/>
            <w:tcBorders>
              <w:top w:val="single" w:sz="8" w:space="0" w:color="000000"/>
              <w:bottom w:val="single" w:sz="8" w:space="0" w:color="000000"/>
            </w:tcBorders>
          </w:tcPr>
          <w:p>
            <w:pPr>
              <w:pStyle w:val="TableParagraph"/>
              <w:spacing w:line="137" w:lineRule="exact" w:before="2"/>
              <w:ind w:left="370"/>
              <w:rPr>
                <w:rFonts w:ascii="Arial"/>
                <w:i/>
                <w:sz w:val="12"/>
              </w:rPr>
            </w:pPr>
            <w:r>
              <w:rPr>
                <w:rFonts w:ascii="Arial"/>
                <w:i/>
                <w:sz w:val="12"/>
              </w:rPr>
              <w:t>U.S.</w:t>
            </w:r>
            <w:r>
              <w:rPr>
                <w:rFonts w:ascii="Arial"/>
                <w:i/>
                <w:spacing w:val="-5"/>
                <w:sz w:val="12"/>
              </w:rPr>
              <w:t> </w:t>
            </w:r>
            <w:r>
              <w:rPr>
                <w:rFonts w:ascii="Arial"/>
                <w:i/>
                <w:spacing w:val="-2"/>
                <w:sz w:val="12"/>
              </w:rPr>
              <w:t>dollars</w:t>
            </w:r>
          </w:p>
        </w:tc>
        <w:tc>
          <w:tcPr>
            <w:tcW w:w="484" w:type="dxa"/>
            <w:tcBorders>
              <w:top w:val="single" w:sz="8" w:space="0" w:color="000000"/>
              <w:bottom w:val="single" w:sz="8" w:space="0" w:color="000000"/>
            </w:tcBorders>
          </w:tcPr>
          <w:p>
            <w:pPr>
              <w:pStyle w:val="TableParagraph"/>
              <w:rPr>
                <w:rFonts w:ascii="Times New Roman"/>
                <w:sz w:val="10"/>
              </w:rPr>
            </w:pPr>
          </w:p>
        </w:tc>
        <w:tc>
          <w:tcPr>
            <w:tcW w:w="1031" w:type="dxa"/>
            <w:gridSpan w:val="4"/>
            <w:tcBorders>
              <w:top w:val="single" w:sz="8" w:space="0" w:color="000000"/>
              <w:bottom w:val="single" w:sz="8" w:space="0" w:color="000000"/>
            </w:tcBorders>
          </w:tcPr>
          <w:p>
            <w:pPr>
              <w:pStyle w:val="TableParagraph"/>
              <w:spacing w:line="137" w:lineRule="exact" w:before="2"/>
              <w:ind w:left="17"/>
              <w:rPr>
                <w:rFonts w:ascii="Arial"/>
                <w:i/>
                <w:sz w:val="12"/>
              </w:rPr>
            </w:pPr>
            <w:r>
              <w:rPr>
                <w:rFonts w:ascii="Arial"/>
                <w:i/>
                <w:spacing w:val="-2"/>
                <w:sz w:val="12"/>
              </w:rPr>
              <w:t>Others</w:t>
            </w:r>
          </w:p>
        </w:tc>
        <w:tc>
          <w:tcPr>
            <w:tcW w:w="1159" w:type="dxa"/>
            <w:gridSpan w:val="2"/>
            <w:tcBorders>
              <w:top w:val="single" w:sz="8" w:space="0" w:color="000000"/>
              <w:bottom w:val="single" w:sz="8" w:space="0" w:color="000000"/>
            </w:tcBorders>
          </w:tcPr>
          <w:p>
            <w:pPr>
              <w:pStyle w:val="TableParagraph"/>
              <w:spacing w:line="137" w:lineRule="exact" w:before="2"/>
              <w:ind w:left="13"/>
              <w:rPr>
                <w:rFonts w:ascii="Arial"/>
                <w:i/>
                <w:sz w:val="12"/>
              </w:rPr>
            </w:pPr>
            <w:r>
              <w:rPr>
                <w:rFonts w:ascii="Arial"/>
                <w:i/>
                <w:sz w:val="12"/>
              </w:rPr>
              <w:t>Loans</w:t>
            </w:r>
            <w:r>
              <w:rPr>
                <w:rFonts w:ascii="Arial"/>
                <w:i/>
                <w:spacing w:val="-5"/>
                <w:sz w:val="12"/>
              </w:rPr>
              <w:t> </w:t>
            </w:r>
            <w:r>
              <w:rPr>
                <w:rFonts w:ascii="Arial"/>
                <w:i/>
                <w:spacing w:val="-2"/>
                <w:sz w:val="12"/>
              </w:rPr>
              <w:t>Outstanding</w:t>
            </w:r>
          </w:p>
        </w:tc>
        <w:tc>
          <w:tcPr>
            <w:tcW w:w="675" w:type="dxa"/>
            <w:tcBorders>
              <w:top w:val="single" w:sz="8" w:space="0" w:color="000000"/>
            </w:tcBorders>
          </w:tcPr>
          <w:p>
            <w:pPr>
              <w:pStyle w:val="TableParagraph"/>
              <w:rPr>
                <w:rFonts w:ascii="Times New Roman"/>
                <w:sz w:val="10"/>
              </w:rPr>
            </w:pPr>
          </w:p>
        </w:tc>
      </w:tr>
      <w:tr>
        <w:trPr>
          <w:trHeight w:val="160" w:hRule="atLeast"/>
        </w:trPr>
        <w:tc>
          <w:tcPr>
            <w:tcW w:w="1995" w:type="dxa"/>
          </w:tcPr>
          <w:p>
            <w:pPr>
              <w:pStyle w:val="TableParagraph"/>
              <w:rPr>
                <w:rFonts w:ascii="Times New Roman"/>
                <w:sz w:val="10"/>
              </w:rPr>
            </w:pPr>
          </w:p>
        </w:tc>
        <w:tc>
          <w:tcPr>
            <w:tcW w:w="561" w:type="dxa"/>
            <w:gridSpan w:val="2"/>
            <w:tcBorders>
              <w:top w:val="single" w:sz="8" w:space="0" w:color="000000"/>
              <w:bottom w:val="single" w:sz="8" w:space="0" w:color="000000"/>
            </w:tcBorders>
          </w:tcPr>
          <w:p>
            <w:pPr>
              <w:pStyle w:val="TableParagraph"/>
              <w:spacing w:line="137" w:lineRule="exact" w:before="2"/>
              <w:ind w:left="161"/>
              <w:rPr>
                <w:rFonts w:ascii="Arial"/>
                <w:i/>
                <w:sz w:val="12"/>
              </w:rPr>
            </w:pPr>
            <w:r>
              <w:rPr>
                <w:rFonts w:ascii="Arial"/>
                <w:i/>
                <w:spacing w:val="-2"/>
                <w:sz w:val="12"/>
              </w:rPr>
              <w:t>Fixed</w:t>
            </w:r>
          </w:p>
        </w:tc>
        <w:tc>
          <w:tcPr>
            <w:tcW w:w="753" w:type="dxa"/>
            <w:tcBorders>
              <w:top w:val="single" w:sz="8" w:space="0" w:color="000000"/>
            </w:tcBorders>
          </w:tcPr>
          <w:p>
            <w:pPr>
              <w:pStyle w:val="TableParagraph"/>
              <w:spacing w:line="137" w:lineRule="exact" w:before="2"/>
              <w:ind w:right="109"/>
              <w:jc w:val="right"/>
              <w:rPr>
                <w:rFonts w:ascii="Arial"/>
                <w:i/>
                <w:sz w:val="12"/>
              </w:rPr>
            </w:pPr>
            <w:r>
              <w:rPr>
                <w:rFonts w:ascii="Arial"/>
                <w:i/>
                <w:spacing w:val="-2"/>
                <w:sz w:val="12"/>
              </w:rPr>
              <w:t>Variable</w:t>
            </w:r>
          </w:p>
        </w:tc>
        <w:tc>
          <w:tcPr>
            <w:tcW w:w="1351" w:type="dxa"/>
            <w:gridSpan w:val="4"/>
            <w:tcBorders>
              <w:top w:val="single" w:sz="8" w:space="0" w:color="000000"/>
              <w:bottom w:val="single" w:sz="8" w:space="0" w:color="000000"/>
            </w:tcBorders>
          </w:tcPr>
          <w:p>
            <w:pPr>
              <w:pStyle w:val="TableParagraph"/>
              <w:tabs>
                <w:tab w:pos="798" w:val="left" w:leader="none"/>
              </w:tabs>
              <w:spacing w:line="137" w:lineRule="exact" w:before="2"/>
              <w:ind w:left="196"/>
              <w:rPr>
                <w:rFonts w:ascii="Arial"/>
                <w:i/>
                <w:sz w:val="12"/>
              </w:rPr>
            </w:pPr>
            <w:r>
              <w:rPr>
                <w:rFonts w:ascii="Arial"/>
                <w:i/>
                <w:spacing w:val="-2"/>
                <w:sz w:val="12"/>
              </w:rPr>
              <w:t>Fixed</w:t>
            </w:r>
            <w:r>
              <w:rPr>
                <w:rFonts w:ascii="Arial"/>
                <w:i/>
                <w:sz w:val="12"/>
              </w:rPr>
              <w:tab/>
            </w:r>
            <w:r>
              <w:rPr>
                <w:rFonts w:ascii="Arial"/>
                <w:i/>
                <w:spacing w:val="-2"/>
                <w:sz w:val="12"/>
              </w:rPr>
              <w:t>Variable</w:t>
            </w:r>
          </w:p>
        </w:tc>
        <w:tc>
          <w:tcPr>
            <w:tcW w:w="1349" w:type="dxa"/>
            <w:gridSpan w:val="3"/>
            <w:tcBorders>
              <w:top w:val="single" w:sz="8" w:space="0" w:color="000000"/>
              <w:bottom w:val="single" w:sz="8" w:space="0" w:color="000000"/>
            </w:tcBorders>
          </w:tcPr>
          <w:p>
            <w:pPr>
              <w:pStyle w:val="TableParagraph"/>
              <w:tabs>
                <w:tab w:pos="797" w:val="left" w:leader="none"/>
              </w:tabs>
              <w:spacing w:line="137" w:lineRule="exact" w:before="2"/>
              <w:ind w:left="195"/>
              <w:rPr>
                <w:rFonts w:ascii="Arial"/>
                <w:i/>
                <w:sz w:val="12"/>
              </w:rPr>
            </w:pPr>
            <w:r>
              <w:rPr>
                <w:rFonts w:ascii="Arial"/>
                <w:i/>
                <w:spacing w:val="-2"/>
                <w:sz w:val="12"/>
              </w:rPr>
              <w:t>Fixed</w:t>
            </w:r>
            <w:r>
              <w:rPr>
                <w:rFonts w:ascii="Arial"/>
                <w:i/>
                <w:sz w:val="12"/>
              </w:rPr>
              <w:tab/>
            </w:r>
            <w:r>
              <w:rPr>
                <w:rFonts w:ascii="Arial"/>
                <w:i/>
                <w:spacing w:val="-2"/>
                <w:sz w:val="12"/>
              </w:rPr>
              <w:t>Variable</w:t>
            </w:r>
          </w:p>
        </w:tc>
        <w:tc>
          <w:tcPr>
            <w:tcW w:w="484" w:type="dxa"/>
            <w:tcBorders>
              <w:top w:val="single" w:sz="8" w:space="0" w:color="000000"/>
              <w:bottom w:val="single" w:sz="8" w:space="0" w:color="000000"/>
            </w:tcBorders>
          </w:tcPr>
          <w:p>
            <w:pPr>
              <w:pStyle w:val="TableParagraph"/>
              <w:spacing w:line="137" w:lineRule="exact" w:before="2"/>
              <w:ind w:left="196" w:right="-15"/>
              <w:rPr>
                <w:rFonts w:ascii="Arial"/>
                <w:i/>
                <w:sz w:val="12"/>
              </w:rPr>
            </w:pPr>
            <w:r>
              <w:rPr>
                <w:rFonts w:ascii="Arial"/>
                <w:i/>
                <w:spacing w:val="-2"/>
                <w:sz w:val="12"/>
              </w:rPr>
              <w:t>Fixed</w:t>
            </w:r>
          </w:p>
        </w:tc>
        <w:tc>
          <w:tcPr>
            <w:tcW w:w="1031" w:type="dxa"/>
            <w:gridSpan w:val="4"/>
            <w:tcBorders>
              <w:top w:val="single" w:sz="8" w:space="0" w:color="000000"/>
              <w:bottom w:val="single" w:sz="8" w:space="0" w:color="000000"/>
            </w:tcBorders>
          </w:tcPr>
          <w:p>
            <w:pPr>
              <w:pStyle w:val="TableParagraph"/>
              <w:spacing w:line="137" w:lineRule="exact" w:before="2"/>
              <w:ind w:left="314"/>
              <w:rPr>
                <w:rFonts w:ascii="Arial"/>
                <w:i/>
                <w:sz w:val="12"/>
              </w:rPr>
            </w:pPr>
            <w:r>
              <w:rPr>
                <w:rFonts w:ascii="Arial"/>
                <w:i/>
                <w:spacing w:val="-2"/>
                <w:sz w:val="12"/>
              </w:rPr>
              <w:t>Variable</w:t>
            </w:r>
          </w:p>
        </w:tc>
        <w:tc>
          <w:tcPr>
            <w:tcW w:w="1159" w:type="dxa"/>
            <w:gridSpan w:val="2"/>
            <w:tcBorders>
              <w:top w:val="single" w:sz="8" w:space="0" w:color="000000"/>
              <w:bottom w:val="single" w:sz="8" w:space="0" w:color="000000"/>
            </w:tcBorders>
          </w:tcPr>
          <w:p>
            <w:pPr>
              <w:pStyle w:val="TableParagraph"/>
              <w:tabs>
                <w:tab w:pos="633" w:val="left" w:leader="none"/>
              </w:tabs>
              <w:spacing w:line="137" w:lineRule="exact" w:before="2"/>
              <w:ind w:left="31"/>
              <w:rPr>
                <w:rFonts w:ascii="Arial"/>
                <w:i/>
                <w:sz w:val="12"/>
              </w:rPr>
            </w:pPr>
            <w:r>
              <w:rPr>
                <w:rFonts w:ascii="Arial"/>
                <w:i/>
                <w:spacing w:val="-2"/>
                <w:sz w:val="12"/>
              </w:rPr>
              <w:t>Fixed</w:t>
            </w:r>
            <w:r>
              <w:rPr>
                <w:rFonts w:ascii="Arial"/>
                <w:i/>
                <w:sz w:val="12"/>
              </w:rPr>
              <w:tab/>
            </w:r>
            <w:r>
              <w:rPr>
                <w:rFonts w:ascii="Arial"/>
                <w:i/>
                <w:spacing w:val="-2"/>
                <w:sz w:val="12"/>
              </w:rPr>
              <w:t>Variable</w:t>
            </w:r>
          </w:p>
        </w:tc>
        <w:tc>
          <w:tcPr>
            <w:tcW w:w="675" w:type="dxa"/>
            <w:tcBorders>
              <w:bottom w:val="single" w:sz="8" w:space="0" w:color="000000"/>
            </w:tcBorders>
          </w:tcPr>
          <w:p>
            <w:pPr>
              <w:pStyle w:val="TableParagraph"/>
              <w:spacing w:line="137" w:lineRule="exact" w:before="2"/>
              <w:ind w:left="236"/>
              <w:rPr>
                <w:rFonts w:ascii="Arial"/>
                <w:i/>
                <w:sz w:val="12"/>
              </w:rPr>
            </w:pPr>
            <w:r>
              <w:rPr>
                <w:rFonts w:ascii="Arial"/>
                <w:i/>
                <w:spacing w:val="-2"/>
                <w:sz w:val="12"/>
              </w:rPr>
              <w:t>Total</w:t>
            </w:r>
          </w:p>
        </w:tc>
      </w:tr>
      <w:tr>
        <w:trPr>
          <w:trHeight w:val="342" w:hRule="atLeast"/>
        </w:trPr>
        <w:tc>
          <w:tcPr>
            <w:tcW w:w="1995" w:type="dxa"/>
          </w:tcPr>
          <w:p>
            <w:pPr>
              <w:pStyle w:val="TableParagraph"/>
              <w:spacing w:before="44"/>
              <w:rPr>
                <w:rFonts w:ascii="Arial"/>
                <w:i/>
                <w:sz w:val="12"/>
              </w:rPr>
            </w:pPr>
          </w:p>
          <w:p>
            <w:pPr>
              <w:pStyle w:val="TableParagraph"/>
              <w:ind w:left="52"/>
              <w:rPr>
                <w:sz w:val="12"/>
              </w:rPr>
            </w:pPr>
            <w:r>
              <w:rPr>
                <w:spacing w:val="-2"/>
                <w:sz w:val="12"/>
              </w:rPr>
              <w:t>Multicurrency</w:t>
            </w:r>
            <w:r>
              <w:rPr>
                <w:spacing w:val="12"/>
                <w:sz w:val="12"/>
              </w:rPr>
              <w:t> </w:t>
            </w:r>
            <w:r>
              <w:rPr>
                <w:spacing w:val="-2"/>
                <w:sz w:val="12"/>
              </w:rPr>
              <w:t>terms</w:t>
            </w:r>
            <w:r>
              <w:rPr>
                <w:spacing w:val="-4"/>
                <w:sz w:val="12"/>
              </w:rPr>
              <w:t> </w:t>
            </w:r>
            <w:r>
              <w:rPr>
                <w:spacing w:val="-10"/>
                <w:sz w:val="12"/>
                <w:vertAlign w:val="superscript"/>
              </w:rPr>
              <w:t>a</w:t>
            </w:r>
          </w:p>
        </w:tc>
        <w:tc>
          <w:tcPr>
            <w:tcW w:w="561" w:type="dxa"/>
            <w:gridSpan w:val="2"/>
          </w:tcPr>
          <w:p>
            <w:pPr>
              <w:pStyle w:val="TableParagraph"/>
              <w:spacing w:before="59"/>
              <w:rPr>
                <w:rFonts w:ascii="Arial"/>
                <w:i/>
                <w:sz w:val="12"/>
              </w:rPr>
            </w:pPr>
          </w:p>
          <w:p>
            <w:pPr>
              <w:pStyle w:val="TableParagraph"/>
              <w:tabs>
                <w:tab w:pos="493" w:val="left" w:leader="none"/>
              </w:tabs>
              <w:spacing w:line="125" w:lineRule="exact"/>
              <w:ind w:left="52"/>
              <w:rPr>
                <w:sz w:val="12"/>
              </w:rPr>
            </w:pPr>
            <w:r>
              <w:rPr>
                <w:spacing w:val="-10"/>
                <w:sz w:val="12"/>
              </w:rPr>
              <w:t>$</w:t>
            </w:r>
            <w:r>
              <w:rPr>
                <w:sz w:val="12"/>
              </w:rPr>
              <w:tab/>
            </w:r>
            <w:r>
              <w:rPr>
                <w:spacing w:val="-10"/>
                <w:sz w:val="12"/>
              </w:rPr>
              <w:t>8</w:t>
            </w:r>
          </w:p>
        </w:tc>
        <w:tc>
          <w:tcPr>
            <w:tcW w:w="753" w:type="dxa"/>
          </w:tcPr>
          <w:p>
            <w:pPr>
              <w:pStyle w:val="TableParagraph"/>
              <w:spacing w:before="59"/>
              <w:rPr>
                <w:rFonts w:ascii="Arial"/>
                <w:i/>
                <w:sz w:val="12"/>
              </w:rPr>
            </w:pPr>
          </w:p>
          <w:p>
            <w:pPr>
              <w:pStyle w:val="TableParagraph"/>
              <w:tabs>
                <w:tab w:pos="440" w:val="left" w:leader="none"/>
              </w:tabs>
              <w:spacing w:line="125" w:lineRule="exact"/>
              <w:ind w:right="76"/>
              <w:jc w:val="right"/>
              <w:rPr>
                <w:sz w:val="12"/>
              </w:rPr>
            </w:pPr>
            <w:r>
              <w:rPr>
                <w:spacing w:val="-10"/>
                <w:sz w:val="12"/>
              </w:rPr>
              <w:t>$</w:t>
            </w:r>
            <w:r>
              <w:rPr>
                <w:sz w:val="12"/>
              </w:rPr>
              <w:tab/>
            </w:r>
            <w:r>
              <w:rPr>
                <w:spacing w:val="-10"/>
                <w:sz w:val="12"/>
              </w:rPr>
              <w:t>7</w:t>
            </w:r>
          </w:p>
        </w:tc>
        <w:tc>
          <w:tcPr>
            <w:tcW w:w="676" w:type="dxa"/>
            <w:gridSpan w:val="2"/>
          </w:tcPr>
          <w:p>
            <w:pPr>
              <w:pStyle w:val="TableParagraph"/>
              <w:spacing w:before="59"/>
              <w:rPr>
                <w:rFonts w:ascii="Arial"/>
                <w:i/>
                <w:sz w:val="12"/>
              </w:rPr>
            </w:pPr>
          </w:p>
          <w:p>
            <w:pPr>
              <w:pStyle w:val="TableParagraph"/>
              <w:tabs>
                <w:tab w:pos="462" w:val="left" w:leader="none"/>
              </w:tabs>
              <w:spacing w:line="125" w:lineRule="exact"/>
              <w:ind w:left="88"/>
              <w:rPr>
                <w:sz w:val="12"/>
              </w:rPr>
            </w:pPr>
            <w:r>
              <w:rPr>
                <w:spacing w:val="-10"/>
                <w:sz w:val="12"/>
              </w:rPr>
              <w:t>$</w:t>
            </w:r>
            <w:r>
              <w:rPr>
                <w:sz w:val="12"/>
              </w:rPr>
              <w:tab/>
            </w:r>
            <w:r>
              <w:rPr>
                <w:spacing w:val="-5"/>
                <w:sz w:val="12"/>
              </w:rPr>
              <w:t>10</w:t>
            </w:r>
          </w:p>
        </w:tc>
        <w:tc>
          <w:tcPr>
            <w:tcW w:w="675" w:type="dxa"/>
            <w:gridSpan w:val="2"/>
          </w:tcPr>
          <w:p>
            <w:pPr>
              <w:pStyle w:val="TableParagraph"/>
              <w:spacing w:before="59"/>
              <w:rPr>
                <w:rFonts w:ascii="Arial"/>
                <w:i/>
                <w:sz w:val="12"/>
              </w:rPr>
            </w:pPr>
          </w:p>
          <w:p>
            <w:pPr>
              <w:pStyle w:val="TableParagraph"/>
              <w:tabs>
                <w:tab w:pos="528" w:val="left" w:leader="none"/>
              </w:tabs>
              <w:spacing w:line="125" w:lineRule="exact"/>
              <w:ind w:left="87"/>
              <w:rPr>
                <w:sz w:val="12"/>
              </w:rPr>
            </w:pPr>
            <w:r>
              <w:rPr>
                <w:spacing w:val="-10"/>
                <w:sz w:val="12"/>
              </w:rPr>
              <w:t>$</w:t>
            </w:r>
            <w:r>
              <w:rPr>
                <w:sz w:val="12"/>
              </w:rPr>
              <w:tab/>
            </w:r>
            <w:r>
              <w:rPr>
                <w:spacing w:val="-10"/>
                <w:sz w:val="12"/>
              </w:rPr>
              <w:t>3</w:t>
            </w:r>
          </w:p>
        </w:tc>
        <w:tc>
          <w:tcPr>
            <w:tcW w:w="681" w:type="dxa"/>
            <w:gridSpan w:val="2"/>
          </w:tcPr>
          <w:p>
            <w:pPr>
              <w:pStyle w:val="TableParagraph"/>
              <w:spacing w:before="59"/>
              <w:rPr>
                <w:rFonts w:ascii="Arial"/>
                <w:i/>
                <w:sz w:val="12"/>
              </w:rPr>
            </w:pPr>
          </w:p>
          <w:p>
            <w:pPr>
              <w:pStyle w:val="TableParagraph"/>
              <w:tabs>
                <w:tab w:pos="461" w:val="left" w:leader="none"/>
              </w:tabs>
              <w:spacing w:line="125" w:lineRule="exact"/>
              <w:ind w:left="87"/>
              <w:rPr>
                <w:sz w:val="12"/>
              </w:rPr>
            </w:pPr>
            <w:r>
              <w:rPr>
                <w:spacing w:val="-10"/>
                <w:sz w:val="12"/>
              </w:rPr>
              <w:t>$</w:t>
            </w:r>
            <w:r>
              <w:rPr>
                <w:sz w:val="12"/>
              </w:rPr>
              <w:tab/>
            </w:r>
            <w:r>
              <w:rPr>
                <w:spacing w:val="-5"/>
                <w:sz w:val="12"/>
              </w:rPr>
              <w:t>26</w:t>
            </w:r>
          </w:p>
        </w:tc>
        <w:tc>
          <w:tcPr>
            <w:tcW w:w="668" w:type="dxa"/>
          </w:tcPr>
          <w:p>
            <w:pPr>
              <w:pStyle w:val="TableParagraph"/>
              <w:spacing w:before="59"/>
              <w:rPr>
                <w:rFonts w:ascii="Arial"/>
                <w:i/>
                <w:sz w:val="12"/>
              </w:rPr>
            </w:pPr>
          </w:p>
          <w:p>
            <w:pPr>
              <w:pStyle w:val="TableParagraph"/>
              <w:tabs>
                <w:tab w:pos="307" w:val="left" w:leader="none"/>
              </w:tabs>
              <w:spacing w:line="125" w:lineRule="exact"/>
              <w:ind w:right="76"/>
              <w:jc w:val="right"/>
              <w:rPr>
                <w:sz w:val="12"/>
              </w:rPr>
            </w:pPr>
            <w:r>
              <w:rPr>
                <w:spacing w:val="-10"/>
                <w:sz w:val="12"/>
              </w:rPr>
              <w:t>$</w:t>
            </w:r>
            <w:r>
              <w:rPr>
                <w:sz w:val="12"/>
              </w:rPr>
              <w:tab/>
            </w:r>
            <w:r>
              <w:rPr>
                <w:spacing w:val="-5"/>
                <w:sz w:val="12"/>
              </w:rPr>
              <w:t>403</w:t>
            </w:r>
          </w:p>
        </w:tc>
        <w:tc>
          <w:tcPr>
            <w:tcW w:w="1515" w:type="dxa"/>
            <w:gridSpan w:val="5"/>
          </w:tcPr>
          <w:p>
            <w:pPr>
              <w:pStyle w:val="TableParagraph"/>
              <w:spacing w:before="59"/>
              <w:rPr>
                <w:rFonts w:ascii="Arial"/>
                <w:i/>
                <w:sz w:val="12"/>
              </w:rPr>
            </w:pPr>
          </w:p>
          <w:p>
            <w:pPr>
              <w:pStyle w:val="TableParagraph"/>
              <w:tabs>
                <w:tab w:pos="475" w:val="left" w:leader="none"/>
                <w:tab w:pos="1150" w:val="left" w:leader="none"/>
              </w:tabs>
              <w:spacing w:line="125" w:lineRule="exact"/>
              <w:ind w:left="88"/>
              <w:rPr>
                <w:sz w:val="12"/>
              </w:rPr>
            </w:pPr>
            <w:r>
              <w:rPr>
                <w:spacing w:val="-10"/>
                <w:sz w:val="12"/>
              </w:rPr>
              <w:t>$</w:t>
            </w:r>
            <w:r>
              <w:rPr>
                <w:sz w:val="12"/>
              </w:rPr>
              <w:tab/>
              <w:t>—</w:t>
            </w:r>
            <w:r>
              <w:rPr>
                <w:spacing w:val="50"/>
                <w:sz w:val="12"/>
              </w:rPr>
              <w:t>  </w:t>
            </w:r>
            <w:r>
              <w:rPr>
                <w:spacing w:val="-10"/>
                <w:sz w:val="12"/>
              </w:rPr>
              <w:t>$</w:t>
            </w:r>
            <w:r>
              <w:rPr>
                <w:sz w:val="12"/>
              </w:rPr>
              <w:tab/>
              <w:t>—</w:t>
            </w:r>
            <w:r>
              <w:rPr>
                <w:spacing w:val="50"/>
                <w:sz w:val="12"/>
              </w:rPr>
              <w:t>  </w:t>
            </w:r>
            <w:r>
              <w:rPr>
                <w:spacing w:val="-10"/>
                <w:sz w:val="12"/>
              </w:rPr>
              <w:t>$</w:t>
            </w:r>
          </w:p>
        </w:tc>
        <w:tc>
          <w:tcPr>
            <w:tcW w:w="513" w:type="dxa"/>
          </w:tcPr>
          <w:p>
            <w:pPr>
              <w:pStyle w:val="TableParagraph"/>
              <w:spacing w:before="59"/>
              <w:rPr>
                <w:rFonts w:ascii="Arial"/>
                <w:i/>
                <w:sz w:val="12"/>
              </w:rPr>
            </w:pPr>
          </w:p>
          <w:p>
            <w:pPr>
              <w:pStyle w:val="TableParagraph"/>
              <w:spacing w:line="125" w:lineRule="exact"/>
              <w:ind w:right="79"/>
              <w:jc w:val="right"/>
              <w:rPr>
                <w:sz w:val="12"/>
              </w:rPr>
            </w:pPr>
            <w:r>
              <w:rPr>
                <w:spacing w:val="-5"/>
                <w:sz w:val="12"/>
              </w:rPr>
              <w:t>44</w:t>
            </w:r>
          </w:p>
        </w:tc>
        <w:tc>
          <w:tcPr>
            <w:tcW w:w="646" w:type="dxa"/>
          </w:tcPr>
          <w:p>
            <w:pPr>
              <w:pStyle w:val="TableParagraph"/>
              <w:spacing w:before="59"/>
              <w:rPr>
                <w:rFonts w:ascii="Arial"/>
                <w:i/>
                <w:sz w:val="12"/>
              </w:rPr>
            </w:pPr>
          </w:p>
          <w:p>
            <w:pPr>
              <w:pStyle w:val="TableParagraph"/>
              <w:tabs>
                <w:tab w:pos="307" w:val="left" w:leader="none"/>
              </w:tabs>
              <w:spacing w:line="125" w:lineRule="exact"/>
              <w:ind w:right="50"/>
              <w:jc w:val="right"/>
              <w:rPr>
                <w:sz w:val="12"/>
              </w:rPr>
            </w:pPr>
            <w:r>
              <w:rPr>
                <w:spacing w:val="-10"/>
                <w:sz w:val="12"/>
              </w:rPr>
              <w:t>$</w:t>
            </w:r>
            <w:r>
              <w:rPr>
                <w:sz w:val="12"/>
              </w:rPr>
              <w:tab/>
            </w:r>
            <w:r>
              <w:rPr>
                <w:spacing w:val="-5"/>
                <w:sz w:val="12"/>
              </w:rPr>
              <w:t>413</w:t>
            </w:r>
          </w:p>
        </w:tc>
        <w:tc>
          <w:tcPr>
            <w:tcW w:w="675" w:type="dxa"/>
          </w:tcPr>
          <w:p>
            <w:pPr>
              <w:pStyle w:val="TableParagraph"/>
              <w:spacing w:before="59"/>
              <w:rPr>
                <w:rFonts w:ascii="Arial"/>
                <w:i/>
                <w:sz w:val="12"/>
              </w:rPr>
            </w:pPr>
          </w:p>
          <w:p>
            <w:pPr>
              <w:pStyle w:val="TableParagraph"/>
              <w:tabs>
                <w:tab w:pos="307" w:val="left" w:leader="none"/>
              </w:tabs>
              <w:spacing w:line="125" w:lineRule="exact"/>
              <w:ind w:right="50"/>
              <w:jc w:val="right"/>
              <w:rPr>
                <w:sz w:val="12"/>
              </w:rPr>
            </w:pPr>
            <w:r>
              <w:rPr>
                <w:spacing w:val="-10"/>
                <w:sz w:val="12"/>
              </w:rPr>
              <w:t>$</w:t>
            </w:r>
            <w:r>
              <w:rPr>
                <w:sz w:val="12"/>
              </w:rPr>
              <w:tab/>
            </w:r>
            <w:r>
              <w:rPr>
                <w:spacing w:val="-5"/>
                <w:sz w:val="12"/>
              </w:rPr>
              <w:t>457</w:t>
            </w:r>
          </w:p>
        </w:tc>
      </w:tr>
      <w:tr>
        <w:trPr>
          <w:trHeight w:val="188" w:hRule="atLeast"/>
        </w:trPr>
        <w:tc>
          <w:tcPr>
            <w:tcW w:w="1995" w:type="dxa"/>
          </w:tcPr>
          <w:p>
            <w:pPr>
              <w:pStyle w:val="TableParagraph"/>
              <w:spacing w:before="19"/>
              <w:ind w:right="255"/>
              <w:jc w:val="right"/>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561" w:type="dxa"/>
            <w:gridSpan w:val="2"/>
          </w:tcPr>
          <w:p>
            <w:pPr>
              <w:pStyle w:val="TableParagraph"/>
              <w:spacing w:line="133" w:lineRule="exact" w:before="34"/>
              <w:ind w:left="327"/>
              <w:rPr>
                <w:sz w:val="12"/>
              </w:rPr>
            </w:pPr>
            <w:r>
              <w:rPr>
                <w:spacing w:val="-4"/>
                <w:sz w:val="12"/>
              </w:rPr>
              <w:t>2.78</w:t>
            </w:r>
          </w:p>
        </w:tc>
        <w:tc>
          <w:tcPr>
            <w:tcW w:w="753" w:type="dxa"/>
          </w:tcPr>
          <w:p>
            <w:pPr>
              <w:pStyle w:val="TableParagraph"/>
              <w:spacing w:line="133" w:lineRule="exact" w:before="34"/>
              <w:ind w:right="76"/>
              <w:jc w:val="right"/>
              <w:rPr>
                <w:sz w:val="12"/>
              </w:rPr>
            </w:pPr>
            <w:r>
              <w:rPr>
                <w:spacing w:val="-4"/>
                <w:sz w:val="12"/>
              </w:rPr>
              <w:t>6.61</w:t>
            </w:r>
          </w:p>
        </w:tc>
        <w:tc>
          <w:tcPr>
            <w:tcW w:w="676" w:type="dxa"/>
            <w:gridSpan w:val="2"/>
          </w:tcPr>
          <w:p>
            <w:pPr>
              <w:pStyle w:val="TableParagraph"/>
              <w:spacing w:line="133" w:lineRule="exact" w:before="34"/>
              <w:ind w:left="363"/>
              <w:rPr>
                <w:sz w:val="12"/>
              </w:rPr>
            </w:pPr>
            <w:r>
              <w:rPr>
                <w:spacing w:val="-4"/>
                <w:sz w:val="12"/>
              </w:rPr>
              <w:t>2.78</w:t>
            </w:r>
          </w:p>
        </w:tc>
        <w:tc>
          <w:tcPr>
            <w:tcW w:w="675" w:type="dxa"/>
            <w:gridSpan w:val="2"/>
          </w:tcPr>
          <w:p>
            <w:pPr>
              <w:pStyle w:val="TableParagraph"/>
              <w:spacing w:line="133" w:lineRule="exact" w:before="34"/>
              <w:ind w:left="362"/>
              <w:rPr>
                <w:sz w:val="12"/>
              </w:rPr>
            </w:pPr>
            <w:r>
              <w:rPr>
                <w:spacing w:val="-4"/>
                <w:sz w:val="12"/>
              </w:rPr>
              <w:t>6.61</w:t>
            </w:r>
          </w:p>
        </w:tc>
        <w:tc>
          <w:tcPr>
            <w:tcW w:w="681" w:type="dxa"/>
            <w:gridSpan w:val="2"/>
          </w:tcPr>
          <w:p>
            <w:pPr>
              <w:pStyle w:val="TableParagraph"/>
              <w:spacing w:line="133" w:lineRule="exact" w:before="34"/>
              <w:ind w:left="362"/>
              <w:rPr>
                <w:sz w:val="12"/>
              </w:rPr>
            </w:pPr>
            <w:r>
              <w:rPr>
                <w:spacing w:val="-4"/>
                <w:sz w:val="12"/>
              </w:rPr>
              <w:t>7.30</w:t>
            </w:r>
          </w:p>
        </w:tc>
        <w:tc>
          <w:tcPr>
            <w:tcW w:w="668" w:type="dxa"/>
          </w:tcPr>
          <w:p>
            <w:pPr>
              <w:pStyle w:val="TableParagraph"/>
              <w:spacing w:line="133" w:lineRule="exact" w:before="34"/>
              <w:ind w:right="76"/>
              <w:jc w:val="right"/>
              <w:rPr>
                <w:sz w:val="12"/>
              </w:rPr>
            </w:pPr>
            <w:r>
              <w:rPr>
                <w:spacing w:val="-4"/>
                <w:sz w:val="12"/>
              </w:rPr>
              <w:t>6.43</w:t>
            </w:r>
          </w:p>
        </w:tc>
        <w:tc>
          <w:tcPr>
            <w:tcW w:w="1515" w:type="dxa"/>
            <w:gridSpan w:val="5"/>
          </w:tcPr>
          <w:p>
            <w:pPr>
              <w:pStyle w:val="TableParagraph"/>
              <w:tabs>
                <w:tab w:pos="1150" w:val="left" w:leader="none"/>
              </w:tabs>
              <w:spacing w:line="133" w:lineRule="exact" w:before="34"/>
              <w:ind w:left="476"/>
              <w:rPr>
                <w:sz w:val="12"/>
              </w:rPr>
            </w:pPr>
            <w:r>
              <w:rPr>
                <w:sz w:val="12"/>
              </w:rPr>
              <w:t>—</w:t>
              <w:tab/>
              <w:t>—</w:t>
            </w:r>
          </w:p>
        </w:tc>
        <w:tc>
          <w:tcPr>
            <w:tcW w:w="513" w:type="dxa"/>
          </w:tcPr>
          <w:p>
            <w:pPr>
              <w:pStyle w:val="TableParagraph"/>
              <w:spacing w:line="133" w:lineRule="exact" w:before="34"/>
              <w:ind w:right="79"/>
              <w:jc w:val="right"/>
              <w:rPr>
                <w:sz w:val="12"/>
              </w:rPr>
            </w:pPr>
            <w:r>
              <w:rPr>
                <w:spacing w:val="-4"/>
                <w:sz w:val="12"/>
              </w:rPr>
              <w:t>5.46</w:t>
            </w:r>
          </w:p>
        </w:tc>
        <w:tc>
          <w:tcPr>
            <w:tcW w:w="646" w:type="dxa"/>
          </w:tcPr>
          <w:p>
            <w:pPr>
              <w:pStyle w:val="TableParagraph"/>
              <w:spacing w:line="133" w:lineRule="exact" w:before="34"/>
              <w:ind w:right="50"/>
              <w:jc w:val="right"/>
              <w:rPr>
                <w:sz w:val="12"/>
              </w:rPr>
            </w:pPr>
            <w:r>
              <w:rPr>
                <w:spacing w:val="-4"/>
                <w:sz w:val="12"/>
              </w:rPr>
              <w:t>6.43</w:t>
            </w:r>
          </w:p>
        </w:tc>
        <w:tc>
          <w:tcPr>
            <w:tcW w:w="675" w:type="dxa"/>
          </w:tcPr>
          <w:p>
            <w:pPr>
              <w:pStyle w:val="TableParagraph"/>
              <w:spacing w:line="133" w:lineRule="exact" w:before="34"/>
              <w:ind w:right="50"/>
              <w:jc w:val="right"/>
              <w:rPr>
                <w:sz w:val="12"/>
              </w:rPr>
            </w:pPr>
            <w:r>
              <w:rPr>
                <w:spacing w:val="-4"/>
                <w:sz w:val="12"/>
              </w:rPr>
              <w:t>6.34</w:t>
            </w:r>
          </w:p>
        </w:tc>
      </w:tr>
      <w:tr>
        <w:trPr>
          <w:trHeight w:val="164" w:hRule="atLeast"/>
        </w:trPr>
        <w:tc>
          <w:tcPr>
            <w:tcW w:w="1995" w:type="dxa"/>
          </w:tcPr>
          <w:p>
            <w:pPr>
              <w:pStyle w:val="TableParagraph"/>
              <w:spacing w:line="133" w:lineRule="exact" w:before="11"/>
              <w:ind w:left="232"/>
              <w:rPr>
                <w:sz w:val="12"/>
              </w:rPr>
            </w:pPr>
            <w:r>
              <w:rPr>
                <w:sz w:val="12"/>
              </w:rPr>
              <w:t>Average</w:t>
            </w:r>
            <w:r>
              <w:rPr>
                <w:spacing w:val="-8"/>
                <w:sz w:val="12"/>
              </w:rPr>
              <w:t> </w:t>
            </w:r>
            <w:r>
              <w:rPr>
                <w:sz w:val="12"/>
              </w:rPr>
              <w:t>Maturity</w:t>
            </w:r>
            <w:r>
              <w:rPr>
                <w:spacing w:val="-8"/>
                <w:sz w:val="12"/>
              </w:rPr>
              <w:t> </w:t>
            </w:r>
            <w:r>
              <w:rPr>
                <w:spacing w:val="-2"/>
                <w:sz w:val="12"/>
              </w:rPr>
              <w:t>(years)</w:t>
            </w:r>
          </w:p>
        </w:tc>
        <w:tc>
          <w:tcPr>
            <w:tcW w:w="561" w:type="dxa"/>
            <w:gridSpan w:val="2"/>
          </w:tcPr>
          <w:p>
            <w:pPr>
              <w:pStyle w:val="TableParagraph"/>
              <w:spacing w:line="118" w:lineRule="exact" w:before="26"/>
              <w:ind w:left="327"/>
              <w:rPr>
                <w:sz w:val="12"/>
              </w:rPr>
            </w:pPr>
            <w:r>
              <w:rPr>
                <w:spacing w:val="-4"/>
                <w:sz w:val="12"/>
              </w:rPr>
              <w:t>1.62</w:t>
            </w:r>
          </w:p>
        </w:tc>
        <w:tc>
          <w:tcPr>
            <w:tcW w:w="753" w:type="dxa"/>
          </w:tcPr>
          <w:p>
            <w:pPr>
              <w:pStyle w:val="TableParagraph"/>
              <w:spacing w:line="118" w:lineRule="exact" w:before="26"/>
              <w:ind w:right="76"/>
              <w:jc w:val="right"/>
              <w:rPr>
                <w:sz w:val="12"/>
              </w:rPr>
            </w:pPr>
            <w:r>
              <w:rPr>
                <w:sz w:val="12"/>
              </w:rPr>
              <w:t>—</w:t>
            </w:r>
          </w:p>
        </w:tc>
        <w:tc>
          <w:tcPr>
            <w:tcW w:w="676" w:type="dxa"/>
            <w:gridSpan w:val="2"/>
          </w:tcPr>
          <w:p>
            <w:pPr>
              <w:pStyle w:val="TableParagraph"/>
              <w:spacing w:line="118" w:lineRule="exact" w:before="26"/>
              <w:ind w:left="363"/>
              <w:rPr>
                <w:sz w:val="12"/>
              </w:rPr>
            </w:pPr>
            <w:r>
              <w:rPr>
                <w:spacing w:val="-4"/>
                <w:sz w:val="12"/>
              </w:rPr>
              <w:t>1.62</w:t>
            </w:r>
          </w:p>
        </w:tc>
        <w:tc>
          <w:tcPr>
            <w:tcW w:w="675" w:type="dxa"/>
            <w:gridSpan w:val="2"/>
          </w:tcPr>
          <w:p>
            <w:pPr>
              <w:pStyle w:val="TableParagraph"/>
              <w:spacing w:line="118" w:lineRule="exact" w:before="26"/>
              <w:ind w:right="77"/>
              <w:jc w:val="right"/>
              <w:rPr>
                <w:sz w:val="12"/>
              </w:rPr>
            </w:pPr>
            <w:r>
              <w:rPr>
                <w:sz w:val="12"/>
              </w:rPr>
              <w:t>—</w:t>
            </w:r>
          </w:p>
        </w:tc>
        <w:tc>
          <w:tcPr>
            <w:tcW w:w="681" w:type="dxa"/>
            <w:gridSpan w:val="2"/>
          </w:tcPr>
          <w:p>
            <w:pPr>
              <w:pStyle w:val="TableParagraph"/>
              <w:spacing w:line="118" w:lineRule="exact" w:before="26"/>
              <w:ind w:left="362"/>
              <w:rPr>
                <w:sz w:val="12"/>
              </w:rPr>
            </w:pPr>
            <w:r>
              <w:rPr>
                <w:spacing w:val="-4"/>
                <w:sz w:val="12"/>
              </w:rPr>
              <w:t>0.77</w:t>
            </w:r>
          </w:p>
        </w:tc>
        <w:tc>
          <w:tcPr>
            <w:tcW w:w="668" w:type="dxa"/>
          </w:tcPr>
          <w:p>
            <w:pPr>
              <w:pStyle w:val="TableParagraph"/>
              <w:spacing w:line="118" w:lineRule="exact" w:before="26"/>
              <w:ind w:right="76"/>
              <w:jc w:val="right"/>
              <w:rPr>
                <w:sz w:val="12"/>
              </w:rPr>
            </w:pPr>
            <w:r>
              <w:rPr>
                <w:sz w:val="12"/>
              </w:rPr>
              <w:t>—</w:t>
            </w:r>
          </w:p>
        </w:tc>
        <w:tc>
          <w:tcPr>
            <w:tcW w:w="1515" w:type="dxa"/>
            <w:gridSpan w:val="5"/>
          </w:tcPr>
          <w:p>
            <w:pPr>
              <w:pStyle w:val="TableParagraph"/>
              <w:tabs>
                <w:tab w:pos="1150" w:val="left" w:leader="none"/>
              </w:tabs>
              <w:spacing w:line="118" w:lineRule="exact" w:before="26"/>
              <w:ind w:left="476"/>
              <w:rPr>
                <w:sz w:val="12"/>
              </w:rPr>
            </w:pPr>
            <w:r>
              <w:rPr>
                <w:sz w:val="12"/>
              </w:rPr>
              <w:t>—</w:t>
              <w:tab/>
              <w:t>—</w:t>
            </w:r>
          </w:p>
        </w:tc>
        <w:tc>
          <w:tcPr>
            <w:tcW w:w="513" w:type="dxa"/>
          </w:tcPr>
          <w:p>
            <w:pPr>
              <w:pStyle w:val="TableParagraph"/>
              <w:spacing w:line="118" w:lineRule="exact" w:before="26"/>
              <w:ind w:right="79"/>
              <w:jc w:val="right"/>
              <w:rPr>
                <w:sz w:val="12"/>
              </w:rPr>
            </w:pPr>
            <w:r>
              <w:rPr>
                <w:spacing w:val="-4"/>
                <w:sz w:val="12"/>
              </w:rPr>
              <w:t>1.11</w:t>
            </w:r>
          </w:p>
        </w:tc>
        <w:tc>
          <w:tcPr>
            <w:tcW w:w="646" w:type="dxa"/>
          </w:tcPr>
          <w:p>
            <w:pPr>
              <w:pStyle w:val="TableParagraph"/>
              <w:spacing w:line="118" w:lineRule="exact" w:before="26"/>
              <w:ind w:right="50"/>
              <w:jc w:val="right"/>
              <w:rPr>
                <w:sz w:val="12"/>
              </w:rPr>
            </w:pPr>
            <w:r>
              <w:rPr>
                <w:sz w:val="12"/>
              </w:rPr>
              <w:t>—</w:t>
            </w:r>
          </w:p>
        </w:tc>
        <w:tc>
          <w:tcPr>
            <w:tcW w:w="675" w:type="dxa"/>
          </w:tcPr>
          <w:p>
            <w:pPr>
              <w:pStyle w:val="TableParagraph"/>
              <w:spacing w:line="118" w:lineRule="exact" w:before="26"/>
              <w:ind w:right="50"/>
              <w:jc w:val="right"/>
              <w:rPr>
                <w:sz w:val="12"/>
              </w:rPr>
            </w:pPr>
            <w:r>
              <w:rPr>
                <w:spacing w:val="-4"/>
                <w:sz w:val="12"/>
              </w:rPr>
              <w:t>0.11</w:t>
            </w:r>
          </w:p>
        </w:tc>
      </w:tr>
      <w:tr>
        <w:trPr>
          <w:trHeight w:val="360" w:hRule="atLeast"/>
        </w:trPr>
        <w:tc>
          <w:tcPr>
            <w:tcW w:w="1995" w:type="dxa"/>
          </w:tcPr>
          <w:p>
            <w:pPr>
              <w:pStyle w:val="TableParagraph"/>
              <w:spacing w:before="69"/>
              <w:rPr>
                <w:rFonts w:ascii="Arial"/>
                <w:i/>
                <w:sz w:val="12"/>
              </w:rPr>
            </w:pPr>
          </w:p>
          <w:p>
            <w:pPr>
              <w:pStyle w:val="TableParagraph"/>
              <w:spacing w:line="133" w:lineRule="exact"/>
              <w:ind w:left="52"/>
              <w:rPr>
                <w:sz w:val="12"/>
              </w:rPr>
            </w:pPr>
            <w:r>
              <w:rPr>
                <w:spacing w:val="-2"/>
                <w:sz w:val="12"/>
              </w:rPr>
              <w:t>Variable-spread</w:t>
            </w:r>
            <w:r>
              <w:rPr>
                <w:spacing w:val="8"/>
                <w:sz w:val="12"/>
              </w:rPr>
              <w:t> </w:t>
            </w:r>
            <w:r>
              <w:rPr>
                <w:spacing w:val="-2"/>
                <w:sz w:val="12"/>
              </w:rPr>
              <w:t>terms</w:t>
            </w:r>
          </w:p>
        </w:tc>
        <w:tc>
          <w:tcPr>
            <w:tcW w:w="280" w:type="dxa"/>
          </w:tcPr>
          <w:p>
            <w:pPr>
              <w:pStyle w:val="TableParagraph"/>
              <w:spacing w:before="84"/>
              <w:rPr>
                <w:rFonts w:ascii="Arial"/>
                <w:i/>
                <w:sz w:val="12"/>
              </w:rPr>
            </w:pPr>
          </w:p>
          <w:p>
            <w:pPr>
              <w:pStyle w:val="TableParagraph"/>
              <w:spacing w:line="118" w:lineRule="exact"/>
              <w:ind w:left="52"/>
              <w:rPr>
                <w:sz w:val="12"/>
              </w:rPr>
            </w:pPr>
            <w:r>
              <w:rPr>
                <w:spacing w:val="-10"/>
                <w:sz w:val="12"/>
              </w:rPr>
              <w:t>$</w:t>
            </w:r>
          </w:p>
        </w:tc>
        <w:tc>
          <w:tcPr>
            <w:tcW w:w="281" w:type="dxa"/>
          </w:tcPr>
          <w:p>
            <w:pPr>
              <w:pStyle w:val="TableParagraph"/>
              <w:spacing w:before="84"/>
              <w:rPr>
                <w:rFonts w:ascii="Arial"/>
                <w:i/>
                <w:sz w:val="12"/>
              </w:rPr>
            </w:pPr>
          </w:p>
          <w:p>
            <w:pPr>
              <w:pStyle w:val="TableParagraph"/>
              <w:spacing w:line="118" w:lineRule="exact"/>
              <w:ind w:left="160"/>
              <w:rPr>
                <w:sz w:val="12"/>
              </w:rPr>
            </w:pPr>
            <w:r>
              <w:rPr>
                <w:sz w:val="12"/>
              </w:rPr>
              <w:t>—</w:t>
            </w:r>
          </w:p>
        </w:tc>
        <w:tc>
          <w:tcPr>
            <w:tcW w:w="753" w:type="dxa"/>
          </w:tcPr>
          <w:p>
            <w:pPr>
              <w:pStyle w:val="TableParagraph"/>
              <w:spacing w:before="84"/>
              <w:rPr>
                <w:rFonts w:ascii="Arial"/>
                <w:i/>
                <w:sz w:val="12"/>
              </w:rPr>
            </w:pPr>
          </w:p>
          <w:p>
            <w:pPr>
              <w:pStyle w:val="TableParagraph"/>
              <w:spacing w:line="118" w:lineRule="exact"/>
              <w:ind w:right="76"/>
              <w:jc w:val="right"/>
              <w:rPr>
                <w:sz w:val="12"/>
              </w:rPr>
            </w:pPr>
            <w:r>
              <w:rPr>
                <w:sz w:val="12"/>
              </w:rPr>
              <w:t>$</w:t>
            </w:r>
            <w:r>
              <w:rPr>
                <w:spacing w:val="40"/>
                <w:sz w:val="12"/>
              </w:rPr>
              <w:t> </w:t>
            </w:r>
            <w:r>
              <w:rPr>
                <w:spacing w:val="-2"/>
                <w:sz w:val="12"/>
              </w:rPr>
              <w:t>24,930</w:t>
            </w:r>
          </w:p>
        </w:tc>
        <w:tc>
          <w:tcPr>
            <w:tcW w:w="318" w:type="dxa"/>
          </w:tcPr>
          <w:p>
            <w:pPr>
              <w:pStyle w:val="TableParagraph"/>
              <w:spacing w:before="84"/>
              <w:rPr>
                <w:rFonts w:ascii="Arial"/>
                <w:i/>
                <w:sz w:val="12"/>
              </w:rPr>
            </w:pPr>
          </w:p>
          <w:p>
            <w:pPr>
              <w:pStyle w:val="TableParagraph"/>
              <w:spacing w:line="118" w:lineRule="exact"/>
              <w:ind w:left="88"/>
              <w:rPr>
                <w:sz w:val="12"/>
              </w:rPr>
            </w:pPr>
            <w:r>
              <w:rPr>
                <w:spacing w:val="-10"/>
                <w:sz w:val="12"/>
              </w:rPr>
              <w:t>$</w:t>
            </w:r>
          </w:p>
        </w:tc>
        <w:tc>
          <w:tcPr>
            <w:tcW w:w="358" w:type="dxa"/>
          </w:tcPr>
          <w:p>
            <w:pPr>
              <w:pStyle w:val="TableParagraph"/>
              <w:spacing w:before="84"/>
              <w:rPr>
                <w:rFonts w:ascii="Arial"/>
                <w:i/>
                <w:sz w:val="12"/>
              </w:rPr>
            </w:pPr>
          </w:p>
          <w:p>
            <w:pPr>
              <w:pStyle w:val="TableParagraph"/>
              <w:spacing w:line="118" w:lineRule="exact"/>
              <w:ind w:left="158"/>
              <w:rPr>
                <w:sz w:val="12"/>
              </w:rPr>
            </w:pPr>
            <w:r>
              <w:rPr>
                <w:sz w:val="12"/>
              </w:rPr>
              <w:t>—</w:t>
            </w:r>
          </w:p>
        </w:tc>
        <w:tc>
          <w:tcPr>
            <w:tcW w:w="261" w:type="dxa"/>
          </w:tcPr>
          <w:p>
            <w:pPr>
              <w:pStyle w:val="TableParagraph"/>
              <w:spacing w:before="84"/>
              <w:rPr>
                <w:rFonts w:ascii="Arial"/>
                <w:i/>
                <w:sz w:val="12"/>
              </w:rPr>
            </w:pPr>
          </w:p>
          <w:p>
            <w:pPr>
              <w:pStyle w:val="TableParagraph"/>
              <w:spacing w:line="118" w:lineRule="exact"/>
              <w:ind w:right="17"/>
              <w:jc w:val="center"/>
              <w:rPr>
                <w:sz w:val="12"/>
              </w:rPr>
            </w:pPr>
            <w:r>
              <w:rPr>
                <w:spacing w:val="-10"/>
                <w:sz w:val="12"/>
              </w:rPr>
              <w:t>$</w:t>
            </w:r>
          </w:p>
        </w:tc>
        <w:tc>
          <w:tcPr>
            <w:tcW w:w="414" w:type="dxa"/>
          </w:tcPr>
          <w:p>
            <w:pPr>
              <w:pStyle w:val="TableParagraph"/>
              <w:spacing w:before="84"/>
              <w:rPr>
                <w:rFonts w:ascii="Arial"/>
                <w:i/>
                <w:sz w:val="12"/>
              </w:rPr>
            </w:pPr>
          </w:p>
          <w:p>
            <w:pPr>
              <w:pStyle w:val="TableParagraph"/>
              <w:spacing w:line="118" w:lineRule="exact"/>
              <w:ind w:left="134"/>
              <w:rPr>
                <w:sz w:val="12"/>
              </w:rPr>
            </w:pPr>
            <w:r>
              <w:rPr>
                <w:spacing w:val="-5"/>
                <w:sz w:val="12"/>
              </w:rPr>
              <w:t>233</w:t>
            </w:r>
          </w:p>
        </w:tc>
        <w:tc>
          <w:tcPr>
            <w:tcW w:w="317" w:type="dxa"/>
          </w:tcPr>
          <w:p>
            <w:pPr>
              <w:pStyle w:val="TableParagraph"/>
              <w:spacing w:before="84"/>
              <w:rPr>
                <w:rFonts w:ascii="Arial"/>
                <w:i/>
                <w:sz w:val="12"/>
              </w:rPr>
            </w:pPr>
          </w:p>
          <w:p>
            <w:pPr>
              <w:pStyle w:val="TableParagraph"/>
              <w:spacing w:line="118" w:lineRule="exact"/>
              <w:ind w:left="87"/>
              <w:rPr>
                <w:sz w:val="12"/>
              </w:rPr>
            </w:pPr>
            <w:r>
              <w:rPr>
                <w:spacing w:val="-10"/>
                <w:sz w:val="12"/>
              </w:rPr>
              <w:t>$</w:t>
            </w:r>
          </w:p>
        </w:tc>
        <w:tc>
          <w:tcPr>
            <w:tcW w:w="364" w:type="dxa"/>
          </w:tcPr>
          <w:p>
            <w:pPr>
              <w:pStyle w:val="TableParagraph"/>
              <w:spacing w:before="84"/>
              <w:rPr>
                <w:rFonts w:ascii="Arial"/>
                <w:i/>
                <w:sz w:val="12"/>
              </w:rPr>
            </w:pPr>
          </w:p>
          <w:p>
            <w:pPr>
              <w:pStyle w:val="TableParagraph"/>
              <w:spacing w:line="118" w:lineRule="exact"/>
              <w:ind w:left="158"/>
              <w:rPr>
                <w:sz w:val="12"/>
              </w:rPr>
            </w:pPr>
            <w:r>
              <w:rPr>
                <w:sz w:val="12"/>
              </w:rPr>
              <w:t>—</w:t>
            </w:r>
          </w:p>
        </w:tc>
        <w:tc>
          <w:tcPr>
            <w:tcW w:w="668" w:type="dxa"/>
          </w:tcPr>
          <w:p>
            <w:pPr>
              <w:pStyle w:val="TableParagraph"/>
              <w:spacing w:before="84"/>
              <w:rPr>
                <w:rFonts w:ascii="Arial"/>
                <w:i/>
                <w:sz w:val="12"/>
              </w:rPr>
            </w:pPr>
          </w:p>
          <w:p>
            <w:pPr>
              <w:pStyle w:val="TableParagraph"/>
              <w:spacing w:line="118" w:lineRule="exact"/>
              <w:ind w:right="76"/>
              <w:jc w:val="right"/>
              <w:rPr>
                <w:sz w:val="12"/>
              </w:rPr>
            </w:pPr>
            <w:r>
              <w:rPr>
                <w:sz w:val="12"/>
              </w:rPr>
              <w:t>$</w:t>
            </w:r>
            <w:r>
              <w:rPr>
                <w:spacing w:val="-26"/>
                <w:sz w:val="12"/>
              </w:rPr>
              <w:t> </w:t>
            </w:r>
            <w:r>
              <w:rPr>
                <w:spacing w:val="-2"/>
                <w:sz w:val="12"/>
              </w:rPr>
              <w:t>150,309</w:t>
            </w:r>
          </w:p>
        </w:tc>
        <w:tc>
          <w:tcPr>
            <w:tcW w:w="484" w:type="dxa"/>
          </w:tcPr>
          <w:p>
            <w:pPr>
              <w:pStyle w:val="TableParagraph"/>
              <w:spacing w:before="84"/>
              <w:rPr>
                <w:rFonts w:ascii="Arial"/>
                <w:i/>
                <w:sz w:val="12"/>
              </w:rPr>
            </w:pPr>
          </w:p>
          <w:p>
            <w:pPr>
              <w:pStyle w:val="TableParagraph"/>
              <w:spacing w:line="118" w:lineRule="exact"/>
              <w:ind w:left="88"/>
              <w:rPr>
                <w:sz w:val="12"/>
              </w:rPr>
            </w:pPr>
            <w:r>
              <w:rPr>
                <w:spacing w:val="-10"/>
                <w:sz w:val="12"/>
              </w:rPr>
              <w:t>$</w:t>
            </w:r>
          </w:p>
        </w:tc>
        <w:tc>
          <w:tcPr>
            <w:tcW w:w="189" w:type="dxa"/>
          </w:tcPr>
          <w:p>
            <w:pPr>
              <w:pStyle w:val="TableParagraph"/>
              <w:spacing w:before="84"/>
              <w:rPr>
                <w:rFonts w:ascii="Arial"/>
                <w:i/>
                <w:sz w:val="12"/>
              </w:rPr>
            </w:pPr>
          </w:p>
          <w:p>
            <w:pPr>
              <w:pStyle w:val="TableParagraph"/>
              <w:spacing w:line="118" w:lineRule="exact"/>
              <w:ind w:left="-8"/>
              <w:rPr>
                <w:sz w:val="12"/>
              </w:rPr>
            </w:pPr>
            <w:r>
              <w:rPr>
                <w:sz w:val="12"/>
              </w:rPr>
              <w:t>—</w:t>
            </w:r>
          </w:p>
        </w:tc>
        <w:tc>
          <w:tcPr>
            <w:tcW w:w="227" w:type="dxa"/>
          </w:tcPr>
          <w:p>
            <w:pPr>
              <w:pStyle w:val="TableParagraph"/>
              <w:spacing w:before="84"/>
              <w:rPr>
                <w:rFonts w:ascii="Arial"/>
                <w:i/>
                <w:sz w:val="12"/>
              </w:rPr>
            </w:pPr>
          </w:p>
          <w:p>
            <w:pPr>
              <w:pStyle w:val="TableParagraph"/>
              <w:spacing w:line="118" w:lineRule="exact"/>
              <w:ind w:left="90"/>
              <w:rPr>
                <w:sz w:val="12"/>
              </w:rPr>
            </w:pPr>
            <w:r>
              <w:rPr>
                <w:spacing w:val="-10"/>
                <w:sz w:val="12"/>
              </w:rPr>
              <w:t>$</w:t>
            </w:r>
          </w:p>
        </w:tc>
        <w:tc>
          <w:tcPr>
            <w:tcW w:w="447" w:type="dxa"/>
          </w:tcPr>
          <w:p>
            <w:pPr>
              <w:pStyle w:val="TableParagraph"/>
              <w:spacing w:before="84"/>
              <w:rPr>
                <w:rFonts w:ascii="Arial"/>
                <w:i/>
                <w:sz w:val="12"/>
              </w:rPr>
            </w:pPr>
          </w:p>
          <w:p>
            <w:pPr>
              <w:pStyle w:val="TableParagraph"/>
              <w:spacing w:line="118" w:lineRule="exact"/>
              <w:ind w:left="71"/>
              <w:rPr>
                <w:sz w:val="12"/>
              </w:rPr>
            </w:pPr>
            <w:r>
              <w:rPr>
                <w:spacing w:val="-2"/>
                <w:sz w:val="12"/>
              </w:rPr>
              <w:t>2,671</w:t>
            </w:r>
          </w:p>
        </w:tc>
        <w:tc>
          <w:tcPr>
            <w:tcW w:w="168" w:type="dxa"/>
          </w:tcPr>
          <w:p>
            <w:pPr>
              <w:pStyle w:val="TableParagraph"/>
              <w:spacing w:before="84"/>
              <w:rPr>
                <w:rFonts w:ascii="Arial"/>
                <w:i/>
                <w:sz w:val="12"/>
              </w:rPr>
            </w:pPr>
          </w:p>
          <w:p>
            <w:pPr>
              <w:pStyle w:val="TableParagraph"/>
              <w:spacing w:line="118" w:lineRule="exact"/>
              <w:ind w:left="91"/>
              <w:rPr>
                <w:sz w:val="12"/>
              </w:rPr>
            </w:pPr>
            <w:r>
              <w:rPr>
                <w:spacing w:val="-10"/>
                <w:sz w:val="12"/>
              </w:rPr>
              <w:t>$</w:t>
            </w:r>
          </w:p>
        </w:tc>
        <w:tc>
          <w:tcPr>
            <w:tcW w:w="513" w:type="dxa"/>
          </w:tcPr>
          <w:p>
            <w:pPr>
              <w:pStyle w:val="TableParagraph"/>
              <w:spacing w:before="84"/>
              <w:rPr>
                <w:rFonts w:ascii="Arial"/>
                <w:i/>
                <w:sz w:val="12"/>
              </w:rPr>
            </w:pPr>
          </w:p>
          <w:p>
            <w:pPr>
              <w:pStyle w:val="TableParagraph"/>
              <w:spacing w:line="118" w:lineRule="exact"/>
              <w:ind w:right="79"/>
              <w:jc w:val="right"/>
              <w:rPr>
                <w:sz w:val="12"/>
              </w:rPr>
            </w:pPr>
            <w:r>
              <w:rPr>
                <w:sz w:val="12"/>
              </w:rPr>
              <w:t>—</w:t>
            </w:r>
          </w:p>
        </w:tc>
        <w:tc>
          <w:tcPr>
            <w:tcW w:w="646" w:type="dxa"/>
          </w:tcPr>
          <w:p>
            <w:pPr>
              <w:pStyle w:val="TableParagraph"/>
              <w:spacing w:before="84"/>
              <w:rPr>
                <w:rFonts w:ascii="Arial"/>
                <w:i/>
                <w:sz w:val="12"/>
              </w:rPr>
            </w:pPr>
          </w:p>
          <w:p>
            <w:pPr>
              <w:pStyle w:val="TableParagraph"/>
              <w:spacing w:line="118" w:lineRule="exact"/>
              <w:ind w:right="50"/>
              <w:jc w:val="right"/>
              <w:rPr>
                <w:sz w:val="12"/>
              </w:rPr>
            </w:pPr>
            <w:r>
              <w:rPr>
                <w:sz w:val="12"/>
              </w:rPr>
              <w:t>$</w:t>
            </w:r>
            <w:r>
              <w:rPr>
                <w:spacing w:val="-26"/>
                <w:sz w:val="12"/>
              </w:rPr>
              <w:t> </w:t>
            </w:r>
            <w:r>
              <w:rPr>
                <w:spacing w:val="-2"/>
                <w:sz w:val="12"/>
              </w:rPr>
              <w:t>178,143</w:t>
            </w:r>
          </w:p>
        </w:tc>
        <w:tc>
          <w:tcPr>
            <w:tcW w:w="675" w:type="dxa"/>
          </w:tcPr>
          <w:p>
            <w:pPr>
              <w:pStyle w:val="TableParagraph"/>
              <w:spacing w:before="84"/>
              <w:rPr>
                <w:rFonts w:ascii="Arial"/>
                <w:i/>
                <w:sz w:val="12"/>
              </w:rPr>
            </w:pPr>
          </w:p>
          <w:p>
            <w:pPr>
              <w:pStyle w:val="TableParagraph"/>
              <w:spacing w:line="118" w:lineRule="exact"/>
              <w:ind w:right="50"/>
              <w:jc w:val="right"/>
              <w:rPr>
                <w:sz w:val="12"/>
              </w:rPr>
            </w:pPr>
            <w:r>
              <w:rPr>
                <w:sz w:val="12"/>
              </w:rPr>
              <w:t>$</w:t>
            </w:r>
            <w:r>
              <w:rPr>
                <w:spacing w:val="-26"/>
                <w:sz w:val="12"/>
              </w:rPr>
              <w:t> </w:t>
            </w:r>
            <w:r>
              <w:rPr>
                <w:spacing w:val="-2"/>
                <w:sz w:val="12"/>
              </w:rPr>
              <w:t>178,143</w:t>
            </w:r>
          </w:p>
        </w:tc>
      </w:tr>
      <w:tr>
        <w:trPr>
          <w:trHeight w:val="195" w:hRule="atLeast"/>
        </w:trPr>
        <w:tc>
          <w:tcPr>
            <w:tcW w:w="1995" w:type="dxa"/>
          </w:tcPr>
          <w:p>
            <w:pPr>
              <w:pStyle w:val="TableParagraph"/>
              <w:spacing w:before="12"/>
              <w:ind w:right="266"/>
              <w:jc w:val="right"/>
              <w:rPr>
                <w:sz w:val="12"/>
              </w:rPr>
            </w:pPr>
            <w:r>
              <w:rPr>
                <w:sz w:val="12"/>
              </w:rPr>
              <w:t>Weighted</w:t>
            </w:r>
            <w:r>
              <w:rPr>
                <w:spacing w:val="-9"/>
                <w:sz w:val="12"/>
              </w:rPr>
              <w:t> </w:t>
            </w:r>
            <w:r>
              <w:rPr>
                <w:sz w:val="12"/>
              </w:rPr>
              <w:t>average</w:t>
            </w:r>
            <w:r>
              <w:rPr>
                <w:spacing w:val="-7"/>
                <w:sz w:val="12"/>
              </w:rPr>
              <w:t> </w:t>
            </w:r>
            <w:r>
              <w:rPr>
                <w:sz w:val="12"/>
              </w:rPr>
              <w:t>rate</w:t>
            </w:r>
            <w:r>
              <w:rPr>
                <w:spacing w:val="-6"/>
                <w:sz w:val="12"/>
              </w:rPr>
              <w:t> </w:t>
            </w:r>
            <w:r>
              <w:rPr>
                <w:sz w:val="12"/>
              </w:rPr>
              <w:t>(%)</w:t>
            </w:r>
            <w:r>
              <w:rPr>
                <w:spacing w:val="-13"/>
                <w:sz w:val="12"/>
              </w:rPr>
              <w:t> </w:t>
            </w:r>
            <w:r>
              <w:rPr>
                <w:spacing w:val="-10"/>
                <w:sz w:val="12"/>
                <w:vertAlign w:val="superscript"/>
              </w:rPr>
              <w:t>b</w:t>
            </w:r>
          </w:p>
        </w:tc>
        <w:tc>
          <w:tcPr>
            <w:tcW w:w="561" w:type="dxa"/>
            <w:gridSpan w:val="2"/>
          </w:tcPr>
          <w:p>
            <w:pPr>
              <w:pStyle w:val="TableParagraph"/>
              <w:spacing w:line="133" w:lineRule="exact" w:before="27"/>
              <w:jc w:val="right"/>
              <w:rPr>
                <w:sz w:val="12"/>
              </w:rPr>
            </w:pPr>
            <w:r>
              <w:rPr>
                <w:sz w:val="12"/>
              </w:rPr>
              <w:t>—</w:t>
            </w:r>
          </w:p>
        </w:tc>
        <w:tc>
          <w:tcPr>
            <w:tcW w:w="753" w:type="dxa"/>
          </w:tcPr>
          <w:p>
            <w:pPr>
              <w:pStyle w:val="TableParagraph"/>
              <w:spacing w:line="133" w:lineRule="exact" w:before="27"/>
              <w:ind w:right="76"/>
              <w:jc w:val="right"/>
              <w:rPr>
                <w:sz w:val="12"/>
              </w:rPr>
            </w:pPr>
            <w:r>
              <w:rPr>
                <w:spacing w:val="-4"/>
                <w:sz w:val="12"/>
              </w:rPr>
              <w:t>3.94</w:t>
            </w:r>
          </w:p>
        </w:tc>
        <w:tc>
          <w:tcPr>
            <w:tcW w:w="676" w:type="dxa"/>
            <w:gridSpan w:val="2"/>
          </w:tcPr>
          <w:p>
            <w:pPr>
              <w:pStyle w:val="TableParagraph"/>
              <w:spacing w:line="133" w:lineRule="exact" w:before="27"/>
              <w:ind w:right="77"/>
              <w:jc w:val="right"/>
              <w:rPr>
                <w:sz w:val="12"/>
              </w:rPr>
            </w:pPr>
            <w:r>
              <w:rPr>
                <w:sz w:val="12"/>
              </w:rPr>
              <w:t>—</w:t>
            </w:r>
          </w:p>
        </w:tc>
        <w:tc>
          <w:tcPr>
            <w:tcW w:w="675" w:type="dxa"/>
            <w:gridSpan w:val="2"/>
          </w:tcPr>
          <w:p>
            <w:pPr>
              <w:pStyle w:val="TableParagraph"/>
              <w:spacing w:line="133" w:lineRule="exact" w:before="27"/>
              <w:ind w:left="362"/>
              <w:rPr>
                <w:sz w:val="12"/>
              </w:rPr>
            </w:pPr>
            <w:r>
              <w:rPr>
                <w:spacing w:val="-4"/>
                <w:sz w:val="12"/>
              </w:rPr>
              <w:t>0.55</w:t>
            </w:r>
          </w:p>
        </w:tc>
        <w:tc>
          <w:tcPr>
            <w:tcW w:w="681" w:type="dxa"/>
            <w:gridSpan w:val="2"/>
          </w:tcPr>
          <w:p>
            <w:pPr>
              <w:pStyle w:val="TableParagraph"/>
              <w:spacing w:line="133" w:lineRule="exact" w:before="27"/>
              <w:ind w:right="83"/>
              <w:jc w:val="right"/>
              <w:rPr>
                <w:sz w:val="12"/>
              </w:rPr>
            </w:pPr>
            <w:r>
              <w:rPr>
                <w:sz w:val="12"/>
              </w:rPr>
              <w:t>—</w:t>
            </w:r>
          </w:p>
        </w:tc>
        <w:tc>
          <w:tcPr>
            <w:tcW w:w="668" w:type="dxa"/>
          </w:tcPr>
          <w:p>
            <w:pPr>
              <w:pStyle w:val="TableParagraph"/>
              <w:spacing w:line="133" w:lineRule="exact" w:before="27"/>
              <w:ind w:right="76"/>
              <w:jc w:val="right"/>
              <w:rPr>
                <w:sz w:val="12"/>
              </w:rPr>
            </w:pPr>
            <w:r>
              <w:rPr>
                <w:spacing w:val="-4"/>
                <w:sz w:val="12"/>
              </w:rPr>
              <w:t>5.77</w:t>
            </w:r>
          </w:p>
        </w:tc>
        <w:tc>
          <w:tcPr>
            <w:tcW w:w="673" w:type="dxa"/>
            <w:gridSpan w:val="2"/>
          </w:tcPr>
          <w:p>
            <w:pPr>
              <w:pStyle w:val="TableParagraph"/>
              <w:spacing w:line="133" w:lineRule="exact" w:before="27"/>
              <w:ind w:right="74"/>
              <w:jc w:val="right"/>
              <w:rPr>
                <w:sz w:val="12"/>
              </w:rPr>
            </w:pPr>
            <w:r>
              <w:rPr>
                <w:sz w:val="12"/>
              </w:rPr>
              <w:t>—</w:t>
            </w:r>
          </w:p>
        </w:tc>
        <w:tc>
          <w:tcPr>
            <w:tcW w:w="674" w:type="dxa"/>
            <w:gridSpan w:val="2"/>
          </w:tcPr>
          <w:p>
            <w:pPr>
              <w:pStyle w:val="TableParagraph"/>
              <w:spacing w:line="133" w:lineRule="exact" w:before="27"/>
              <w:ind w:left="298"/>
              <w:rPr>
                <w:sz w:val="12"/>
              </w:rPr>
            </w:pPr>
            <w:r>
              <w:rPr>
                <w:spacing w:val="-2"/>
                <w:sz w:val="12"/>
              </w:rPr>
              <w:t>10.16</w:t>
            </w:r>
          </w:p>
        </w:tc>
        <w:tc>
          <w:tcPr>
            <w:tcW w:w="681" w:type="dxa"/>
            <w:gridSpan w:val="2"/>
          </w:tcPr>
          <w:p>
            <w:pPr>
              <w:pStyle w:val="TableParagraph"/>
              <w:spacing w:line="133" w:lineRule="exact" w:before="27"/>
              <w:ind w:right="79"/>
              <w:jc w:val="right"/>
              <w:rPr>
                <w:sz w:val="12"/>
              </w:rPr>
            </w:pPr>
            <w:r>
              <w:rPr>
                <w:sz w:val="12"/>
              </w:rPr>
              <w:t>—</w:t>
            </w:r>
          </w:p>
        </w:tc>
        <w:tc>
          <w:tcPr>
            <w:tcW w:w="646" w:type="dxa"/>
          </w:tcPr>
          <w:p>
            <w:pPr>
              <w:pStyle w:val="TableParagraph"/>
              <w:spacing w:line="133" w:lineRule="exact" w:before="27"/>
              <w:ind w:right="50"/>
              <w:jc w:val="right"/>
              <w:rPr>
                <w:sz w:val="12"/>
              </w:rPr>
            </w:pPr>
            <w:r>
              <w:rPr>
                <w:spacing w:val="-4"/>
                <w:sz w:val="12"/>
              </w:rPr>
              <w:t>5.58</w:t>
            </w:r>
          </w:p>
        </w:tc>
        <w:tc>
          <w:tcPr>
            <w:tcW w:w="675" w:type="dxa"/>
          </w:tcPr>
          <w:p>
            <w:pPr>
              <w:pStyle w:val="TableParagraph"/>
              <w:spacing w:line="133" w:lineRule="exact" w:before="27"/>
              <w:ind w:right="50"/>
              <w:jc w:val="right"/>
              <w:rPr>
                <w:sz w:val="12"/>
              </w:rPr>
            </w:pPr>
            <w:r>
              <w:rPr>
                <w:spacing w:val="-4"/>
                <w:sz w:val="12"/>
              </w:rPr>
              <w:t>5.58</w:t>
            </w:r>
          </w:p>
        </w:tc>
      </w:tr>
      <w:tr>
        <w:trPr>
          <w:trHeight w:val="164" w:hRule="atLeast"/>
        </w:trPr>
        <w:tc>
          <w:tcPr>
            <w:tcW w:w="1995" w:type="dxa"/>
          </w:tcPr>
          <w:p>
            <w:pPr>
              <w:pStyle w:val="TableParagraph"/>
              <w:spacing w:line="133" w:lineRule="exact" w:before="11"/>
              <w:ind w:left="232"/>
              <w:rPr>
                <w:sz w:val="12"/>
              </w:rPr>
            </w:pPr>
            <w:r>
              <w:rPr>
                <w:sz w:val="12"/>
              </w:rPr>
              <w:t>Average</w:t>
            </w:r>
            <w:r>
              <w:rPr>
                <w:spacing w:val="-8"/>
                <w:sz w:val="12"/>
              </w:rPr>
              <w:t> </w:t>
            </w:r>
            <w:r>
              <w:rPr>
                <w:sz w:val="12"/>
              </w:rPr>
              <w:t>Maturity</w:t>
            </w:r>
            <w:r>
              <w:rPr>
                <w:spacing w:val="-8"/>
                <w:sz w:val="12"/>
              </w:rPr>
              <w:t> </w:t>
            </w:r>
            <w:r>
              <w:rPr>
                <w:spacing w:val="-2"/>
                <w:sz w:val="12"/>
              </w:rPr>
              <w:t>(years)</w:t>
            </w:r>
          </w:p>
        </w:tc>
        <w:tc>
          <w:tcPr>
            <w:tcW w:w="561" w:type="dxa"/>
            <w:gridSpan w:val="2"/>
          </w:tcPr>
          <w:p>
            <w:pPr>
              <w:pStyle w:val="TableParagraph"/>
              <w:spacing w:line="118" w:lineRule="exact" w:before="26"/>
              <w:jc w:val="right"/>
              <w:rPr>
                <w:sz w:val="12"/>
              </w:rPr>
            </w:pPr>
            <w:r>
              <w:rPr>
                <w:sz w:val="12"/>
              </w:rPr>
              <w:t>—</w:t>
            </w:r>
          </w:p>
        </w:tc>
        <w:tc>
          <w:tcPr>
            <w:tcW w:w="753" w:type="dxa"/>
          </w:tcPr>
          <w:p>
            <w:pPr>
              <w:pStyle w:val="TableParagraph"/>
              <w:spacing w:line="118" w:lineRule="exact" w:before="26"/>
              <w:ind w:right="76"/>
              <w:jc w:val="right"/>
              <w:rPr>
                <w:sz w:val="12"/>
              </w:rPr>
            </w:pPr>
            <w:r>
              <w:rPr>
                <w:spacing w:val="-4"/>
                <w:sz w:val="12"/>
              </w:rPr>
              <w:t>7.95</w:t>
            </w:r>
          </w:p>
        </w:tc>
        <w:tc>
          <w:tcPr>
            <w:tcW w:w="676" w:type="dxa"/>
            <w:gridSpan w:val="2"/>
          </w:tcPr>
          <w:p>
            <w:pPr>
              <w:pStyle w:val="TableParagraph"/>
              <w:spacing w:line="118" w:lineRule="exact" w:before="26"/>
              <w:ind w:right="77"/>
              <w:jc w:val="right"/>
              <w:rPr>
                <w:sz w:val="12"/>
              </w:rPr>
            </w:pPr>
            <w:r>
              <w:rPr>
                <w:sz w:val="12"/>
              </w:rPr>
              <w:t>—</w:t>
            </w:r>
          </w:p>
        </w:tc>
        <w:tc>
          <w:tcPr>
            <w:tcW w:w="675" w:type="dxa"/>
            <w:gridSpan w:val="2"/>
          </w:tcPr>
          <w:p>
            <w:pPr>
              <w:pStyle w:val="TableParagraph"/>
              <w:spacing w:line="118" w:lineRule="exact" w:before="26"/>
              <w:ind w:left="362"/>
              <w:rPr>
                <w:sz w:val="12"/>
              </w:rPr>
            </w:pPr>
            <w:r>
              <w:rPr>
                <w:spacing w:val="-4"/>
                <w:sz w:val="12"/>
              </w:rPr>
              <w:t>6.21</w:t>
            </w:r>
          </w:p>
        </w:tc>
        <w:tc>
          <w:tcPr>
            <w:tcW w:w="681" w:type="dxa"/>
            <w:gridSpan w:val="2"/>
          </w:tcPr>
          <w:p>
            <w:pPr>
              <w:pStyle w:val="TableParagraph"/>
              <w:spacing w:line="118" w:lineRule="exact" w:before="26"/>
              <w:ind w:right="83"/>
              <w:jc w:val="right"/>
              <w:rPr>
                <w:sz w:val="12"/>
              </w:rPr>
            </w:pPr>
            <w:r>
              <w:rPr>
                <w:sz w:val="12"/>
              </w:rPr>
              <w:t>—</w:t>
            </w:r>
          </w:p>
        </w:tc>
        <w:tc>
          <w:tcPr>
            <w:tcW w:w="668" w:type="dxa"/>
          </w:tcPr>
          <w:p>
            <w:pPr>
              <w:pStyle w:val="TableParagraph"/>
              <w:spacing w:line="118" w:lineRule="exact" w:before="26"/>
              <w:ind w:right="76"/>
              <w:jc w:val="right"/>
              <w:rPr>
                <w:sz w:val="12"/>
              </w:rPr>
            </w:pPr>
            <w:r>
              <w:rPr>
                <w:spacing w:val="-4"/>
                <w:sz w:val="12"/>
              </w:rPr>
              <w:t>8.42</w:t>
            </w:r>
          </w:p>
        </w:tc>
        <w:tc>
          <w:tcPr>
            <w:tcW w:w="673" w:type="dxa"/>
            <w:gridSpan w:val="2"/>
          </w:tcPr>
          <w:p>
            <w:pPr>
              <w:pStyle w:val="TableParagraph"/>
              <w:spacing w:line="118" w:lineRule="exact" w:before="26"/>
              <w:ind w:right="74"/>
              <w:jc w:val="right"/>
              <w:rPr>
                <w:sz w:val="12"/>
              </w:rPr>
            </w:pPr>
            <w:r>
              <w:rPr>
                <w:sz w:val="12"/>
              </w:rPr>
              <w:t>—</w:t>
            </w:r>
          </w:p>
        </w:tc>
        <w:tc>
          <w:tcPr>
            <w:tcW w:w="674" w:type="dxa"/>
            <w:gridSpan w:val="2"/>
          </w:tcPr>
          <w:p>
            <w:pPr>
              <w:pStyle w:val="TableParagraph"/>
              <w:spacing w:line="118" w:lineRule="exact" w:before="26"/>
              <w:ind w:left="365"/>
              <w:rPr>
                <w:sz w:val="12"/>
              </w:rPr>
            </w:pPr>
            <w:r>
              <w:rPr>
                <w:spacing w:val="-4"/>
                <w:sz w:val="12"/>
              </w:rPr>
              <w:t>6.87</w:t>
            </w:r>
          </w:p>
        </w:tc>
        <w:tc>
          <w:tcPr>
            <w:tcW w:w="681" w:type="dxa"/>
            <w:gridSpan w:val="2"/>
          </w:tcPr>
          <w:p>
            <w:pPr>
              <w:pStyle w:val="TableParagraph"/>
              <w:spacing w:line="118" w:lineRule="exact" w:before="26"/>
              <w:ind w:right="79"/>
              <w:jc w:val="right"/>
              <w:rPr>
                <w:sz w:val="12"/>
              </w:rPr>
            </w:pPr>
            <w:r>
              <w:rPr>
                <w:sz w:val="12"/>
              </w:rPr>
              <w:t>—</w:t>
            </w:r>
          </w:p>
        </w:tc>
        <w:tc>
          <w:tcPr>
            <w:tcW w:w="646" w:type="dxa"/>
          </w:tcPr>
          <w:p>
            <w:pPr>
              <w:pStyle w:val="TableParagraph"/>
              <w:spacing w:line="118" w:lineRule="exact" w:before="26"/>
              <w:ind w:right="50"/>
              <w:jc w:val="right"/>
              <w:rPr>
                <w:sz w:val="12"/>
              </w:rPr>
            </w:pPr>
            <w:r>
              <w:rPr>
                <w:spacing w:val="-4"/>
                <w:sz w:val="12"/>
              </w:rPr>
              <w:t>8.33</w:t>
            </w:r>
          </w:p>
        </w:tc>
        <w:tc>
          <w:tcPr>
            <w:tcW w:w="675" w:type="dxa"/>
          </w:tcPr>
          <w:p>
            <w:pPr>
              <w:pStyle w:val="TableParagraph"/>
              <w:spacing w:line="118" w:lineRule="exact" w:before="26"/>
              <w:ind w:right="50"/>
              <w:jc w:val="right"/>
              <w:rPr>
                <w:sz w:val="12"/>
              </w:rPr>
            </w:pPr>
            <w:r>
              <w:rPr>
                <w:spacing w:val="-4"/>
                <w:sz w:val="12"/>
              </w:rPr>
              <w:t>8.33</w:t>
            </w:r>
          </w:p>
        </w:tc>
      </w:tr>
    </w:tbl>
    <w:p>
      <w:pPr>
        <w:pStyle w:val="BodyText"/>
        <w:spacing w:before="108"/>
        <w:rPr>
          <w:rFonts w:ascii="Arial"/>
          <w:i/>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92"/>
        <w:gridCol w:w="644"/>
        <w:gridCol w:w="675"/>
        <w:gridCol w:w="675"/>
        <w:gridCol w:w="675"/>
        <w:gridCol w:w="675"/>
        <w:gridCol w:w="675"/>
        <w:gridCol w:w="675"/>
        <w:gridCol w:w="675"/>
        <w:gridCol w:w="675"/>
        <w:gridCol w:w="675"/>
        <w:gridCol w:w="646"/>
      </w:tblGrid>
      <w:tr>
        <w:trPr>
          <w:trHeight w:val="156" w:hRule="atLeast"/>
        </w:trPr>
        <w:tc>
          <w:tcPr>
            <w:tcW w:w="1992" w:type="dxa"/>
          </w:tcPr>
          <w:p>
            <w:pPr>
              <w:pStyle w:val="TableParagraph"/>
              <w:spacing w:line="134" w:lineRule="exact"/>
              <w:ind w:left="50"/>
              <w:rPr>
                <w:sz w:val="12"/>
              </w:rPr>
            </w:pPr>
            <w:r>
              <w:rPr>
                <w:spacing w:val="-2"/>
                <w:sz w:val="12"/>
              </w:rPr>
              <w:t>Fixed-spread</w:t>
            </w:r>
            <w:r>
              <w:rPr>
                <w:spacing w:val="14"/>
                <w:sz w:val="12"/>
              </w:rPr>
              <w:t> </w:t>
            </w:r>
            <w:r>
              <w:rPr>
                <w:spacing w:val="-2"/>
                <w:sz w:val="12"/>
              </w:rPr>
              <w:t>terms</w:t>
            </w:r>
          </w:p>
        </w:tc>
        <w:tc>
          <w:tcPr>
            <w:tcW w:w="644" w:type="dxa"/>
          </w:tcPr>
          <w:p>
            <w:pPr>
              <w:pStyle w:val="TableParagraph"/>
              <w:spacing w:line="125" w:lineRule="exact" w:before="11"/>
              <w:ind w:right="81"/>
              <w:jc w:val="right"/>
              <w:rPr>
                <w:sz w:val="12"/>
              </w:rPr>
            </w:pPr>
            <w:r>
              <w:rPr>
                <w:sz w:val="12"/>
              </w:rPr>
              <w:t>$</w:t>
            </w:r>
            <w:r>
              <w:rPr>
                <w:spacing w:val="40"/>
                <w:sz w:val="12"/>
              </w:rPr>
              <w:t> </w:t>
            </w:r>
            <w:r>
              <w:rPr>
                <w:spacing w:val="-2"/>
                <w:sz w:val="12"/>
              </w:rPr>
              <w:t>12,717</w:t>
            </w:r>
          </w:p>
        </w:tc>
        <w:tc>
          <w:tcPr>
            <w:tcW w:w="675" w:type="dxa"/>
          </w:tcPr>
          <w:p>
            <w:pPr>
              <w:pStyle w:val="TableParagraph"/>
              <w:spacing w:line="125" w:lineRule="exact" w:before="11"/>
              <w:ind w:right="81"/>
              <w:jc w:val="right"/>
              <w:rPr>
                <w:sz w:val="12"/>
              </w:rPr>
            </w:pPr>
            <w:r>
              <w:rPr>
                <w:sz w:val="12"/>
              </w:rPr>
              <w:t>$</w:t>
            </w:r>
            <w:r>
              <w:rPr>
                <w:spacing w:val="36"/>
                <w:sz w:val="12"/>
              </w:rPr>
              <w:t>  </w:t>
            </w:r>
            <w:r>
              <w:rPr>
                <w:spacing w:val="-2"/>
                <w:sz w:val="12"/>
              </w:rPr>
              <w:t>7,242</w:t>
            </w:r>
          </w:p>
        </w:tc>
        <w:tc>
          <w:tcPr>
            <w:tcW w:w="675" w:type="dxa"/>
          </w:tcPr>
          <w:p>
            <w:pPr>
              <w:pStyle w:val="TableParagraph"/>
              <w:tabs>
                <w:tab w:pos="432" w:val="left" w:leader="none"/>
              </w:tabs>
              <w:spacing w:line="125" w:lineRule="exact" w:before="11"/>
              <w:ind w:right="110"/>
              <w:jc w:val="right"/>
              <w:rPr>
                <w:sz w:val="12"/>
              </w:rPr>
            </w:pPr>
            <w:r>
              <w:rPr>
                <w:spacing w:val="-10"/>
                <w:sz w:val="12"/>
              </w:rPr>
              <w:t>$</w:t>
            </w:r>
            <w:r>
              <w:rPr>
                <w:sz w:val="12"/>
              </w:rPr>
              <w:tab/>
            </w:r>
            <w:r>
              <w:rPr>
                <w:spacing w:val="-10"/>
                <w:sz w:val="12"/>
              </w:rPr>
              <w:t>*</w:t>
            </w:r>
          </w:p>
        </w:tc>
        <w:tc>
          <w:tcPr>
            <w:tcW w:w="675" w:type="dxa"/>
          </w:tcPr>
          <w:p>
            <w:pPr>
              <w:pStyle w:val="TableParagraph"/>
              <w:tabs>
                <w:tab w:pos="307" w:val="left" w:leader="none"/>
              </w:tabs>
              <w:spacing w:line="125" w:lineRule="exact" w:before="11"/>
              <w:ind w:right="81"/>
              <w:jc w:val="right"/>
              <w:rPr>
                <w:sz w:val="12"/>
              </w:rPr>
            </w:pPr>
            <w:r>
              <w:rPr>
                <w:spacing w:val="-10"/>
                <w:sz w:val="12"/>
              </w:rPr>
              <w:t>$</w:t>
            </w:r>
            <w:r>
              <w:rPr>
                <w:sz w:val="12"/>
              </w:rPr>
              <w:tab/>
            </w:r>
            <w:r>
              <w:rPr>
                <w:spacing w:val="-5"/>
                <w:sz w:val="12"/>
              </w:rPr>
              <w:t>807</w:t>
            </w:r>
          </w:p>
        </w:tc>
        <w:tc>
          <w:tcPr>
            <w:tcW w:w="675" w:type="dxa"/>
          </w:tcPr>
          <w:p>
            <w:pPr>
              <w:pStyle w:val="TableParagraph"/>
              <w:spacing w:line="125" w:lineRule="exact" w:before="11"/>
              <w:ind w:right="81"/>
              <w:jc w:val="right"/>
              <w:rPr>
                <w:sz w:val="12"/>
              </w:rPr>
            </w:pPr>
            <w:r>
              <w:rPr>
                <w:sz w:val="12"/>
              </w:rPr>
              <w:t>$</w:t>
            </w:r>
            <w:r>
              <w:rPr>
                <w:spacing w:val="40"/>
                <w:sz w:val="12"/>
              </w:rPr>
              <w:t> </w:t>
            </w:r>
            <w:r>
              <w:rPr>
                <w:spacing w:val="-2"/>
                <w:sz w:val="12"/>
              </w:rPr>
              <w:t>19,560</w:t>
            </w:r>
          </w:p>
        </w:tc>
        <w:tc>
          <w:tcPr>
            <w:tcW w:w="675" w:type="dxa"/>
          </w:tcPr>
          <w:p>
            <w:pPr>
              <w:pStyle w:val="TableParagraph"/>
              <w:spacing w:line="125" w:lineRule="exact" w:before="11"/>
              <w:ind w:right="81"/>
              <w:jc w:val="right"/>
              <w:rPr>
                <w:sz w:val="12"/>
              </w:rPr>
            </w:pPr>
            <w:r>
              <w:rPr>
                <w:sz w:val="12"/>
              </w:rPr>
              <w:t>$</w:t>
            </w:r>
            <w:r>
              <w:rPr>
                <w:spacing w:val="40"/>
                <w:sz w:val="12"/>
              </w:rPr>
              <w:t> </w:t>
            </w:r>
            <w:r>
              <w:rPr>
                <w:spacing w:val="-2"/>
                <w:sz w:val="12"/>
              </w:rPr>
              <w:t>24,198</w:t>
            </w:r>
          </w:p>
        </w:tc>
        <w:tc>
          <w:tcPr>
            <w:tcW w:w="675" w:type="dxa"/>
          </w:tcPr>
          <w:p>
            <w:pPr>
              <w:pStyle w:val="TableParagraph"/>
              <w:tabs>
                <w:tab w:pos="307" w:val="left" w:leader="none"/>
              </w:tabs>
              <w:spacing w:line="125" w:lineRule="exact" w:before="11"/>
              <w:ind w:right="81"/>
              <w:jc w:val="right"/>
              <w:rPr>
                <w:sz w:val="12"/>
              </w:rPr>
            </w:pPr>
            <w:r>
              <w:rPr>
                <w:spacing w:val="-10"/>
                <w:sz w:val="12"/>
              </w:rPr>
              <w:t>$</w:t>
            </w:r>
            <w:r>
              <w:rPr>
                <w:sz w:val="12"/>
              </w:rPr>
              <w:tab/>
            </w:r>
            <w:r>
              <w:rPr>
                <w:spacing w:val="-5"/>
                <w:sz w:val="12"/>
              </w:rPr>
              <w:t>357</w:t>
            </w:r>
          </w:p>
        </w:tc>
        <w:tc>
          <w:tcPr>
            <w:tcW w:w="675" w:type="dxa"/>
          </w:tcPr>
          <w:p>
            <w:pPr>
              <w:pStyle w:val="TableParagraph"/>
              <w:tabs>
                <w:tab w:pos="307" w:val="left" w:leader="none"/>
              </w:tabs>
              <w:spacing w:line="125" w:lineRule="exact" w:before="11"/>
              <w:ind w:right="81"/>
              <w:jc w:val="right"/>
              <w:rPr>
                <w:sz w:val="12"/>
              </w:rPr>
            </w:pPr>
            <w:r>
              <w:rPr>
                <w:spacing w:val="-10"/>
                <w:sz w:val="12"/>
              </w:rPr>
              <w:t>$</w:t>
            </w:r>
            <w:r>
              <w:rPr>
                <w:sz w:val="12"/>
              </w:rPr>
              <w:tab/>
            </w:r>
            <w:r>
              <w:rPr>
                <w:spacing w:val="-5"/>
                <w:sz w:val="12"/>
              </w:rPr>
              <w:t>415</w:t>
            </w:r>
          </w:p>
        </w:tc>
        <w:tc>
          <w:tcPr>
            <w:tcW w:w="675" w:type="dxa"/>
          </w:tcPr>
          <w:p>
            <w:pPr>
              <w:pStyle w:val="TableParagraph"/>
              <w:spacing w:line="125" w:lineRule="exact" w:before="11"/>
              <w:ind w:right="81"/>
              <w:jc w:val="right"/>
              <w:rPr>
                <w:sz w:val="12"/>
              </w:rPr>
            </w:pPr>
            <w:r>
              <w:rPr>
                <w:sz w:val="12"/>
              </w:rPr>
              <w:t>$</w:t>
            </w:r>
            <w:r>
              <w:rPr>
                <w:spacing w:val="40"/>
                <w:sz w:val="12"/>
              </w:rPr>
              <w:t> </w:t>
            </w:r>
            <w:r>
              <w:rPr>
                <w:spacing w:val="-2"/>
                <w:sz w:val="12"/>
              </w:rPr>
              <w:t>32,634</w:t>
            </w:r>
          </w:p>
        </w:tc>
        <w:tc>
          <w:tcPr>
            <w:tcW w:w="675" w:type="dxa"/>
          </w:tcPr>
          <w:p>
            <w:pPr>
              <w:pStyle w:val="TableParagraph"/>
              <w:spacing w:line="125" w:lineRule="exact" w:before="11"/>
              <w:ind w:right="81"/>
              <w:jc w:val="right"/>
              <w:rPr>
                <w:sz w:val="12"/>
              </w:rPr>
            </w:pPr>
            <w:r>
              <w:rPr>
                <w:sz w:val="12"/>
              </w:rPr>
              <w:t>$</w:t>
            </w:r>
            <w:r>
              <w:rPr>
                <w:spacing w:val="40"/>
                <w:sz w:val="12"/>
              </w:rPr>
              <w:t> </w:t>
            </w:r>
            <w:r>
              <w:rPr>
                <w:spacing w:val="-2"/>
                <w:sz w:val="12"/>
              </w:rPr>
              <w:t>32,662</w:t>
            </w:r>
          </w:p>
        </w:tc>
        <w:tc>
          <w:tcPr>
            <w:tcW w:w="646" w:type="dxa"/>
          </w:tcPr>
          <w:p>
            <w:pPr>
              <w:pStyle w:val="TableParagraph"/>
              <w:spacing w:line="125" w:lineRule="exact" w:before="11"/>
              <w:ind w:right="52"/>
              <w:jc w:val="right"/>
              <w:rPr>
                <w:sz w:val="12"/>
              </w:rPr>
            </w:pPr>
            <w:r>
              <w:rPr>
                <w:sz w:val="12"/>
              </w:rPr>
              <w:t>$</w:t>
            </w:r>
            <w:r>
              <w:rPr>
                <w:spacing w:val="40"/>
                <w:sz w:val="12"/>
              </w:rPr>
              <w:t> </w:t>
            </w:r>
            <w:r>
              <w:rPr>
                <w:spacing w:val="-2"/>
                <w:sz w:val="12"/>
              </w:rPr>
              <w:t>65,296</w:t>
            </w:r>
          </w:p>
        </w:tc>
      </w:tr>
      <w:tr>
        <w:trPr>
          <w:trHeight w:val="188" w:hRule="atLeast"/>
        </w:trPr>
        <w:tc>
          <w:tcPr>
            <w:tcW w:w="1992" w:type="dxa"/>
          </w:tcPr>
          <w:p>
            <w:pPr>
              <w:pStyle w:val="TableParagraph"/>
              <w:spacing w:before="19"/>
              <w:ind w:right="254"/>
              <w:jc w:val="right"/>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644" w:type="dxa"/>
          </w:tcPr>
          <w:p>
            <w:pPr>
              <w:pStyle w:val="TableParagraph"/>
              <w:spacing w:line="133" w:lineRule="exact" w:before="34"/>
              <w:ind w:right="81"/>
              <w:jc w:val="right"/>
              <w:rPr>
                <w:sz w:val="12"/>
              </w:rPr>
            </w:pPr>
            <w:r>
              <w:rPr>
                <w:spacing w:val="-4"/>
                <w:sz w:val="12"/>
              </w:rPr>
              <w:t>2.04</w:t>
            </w:r>
          </w:p>
        </w:tc>
        <w:tc>
          <w:tcPr>
            <w:tcW w:w="675" w:type="dxa"/>
          </w:tcPr>
          <w:p>
            <w:pPr>
              <w:pStyle w:val="TableParagraph"/>
              <w:spacing w:line="133" w:lineRule="exact" w:before="34"/>
              <w:ind w:right="81"/>
              <w:jc w:val="right"/>
              <w:rPr>
                <w:sz w:val="12"/>
              </w:rPr>
            </w:pPr>
            <w:r>
              <w:rPr>
                <w:spacing w:val="-4"/>
                <w:sz w:val="12"/>
              </w:rPr>
              <w:t>4.26</w:t>
            </w:r>
          </w:p>
        </w:tc>
        <w:tc>
          <w:tcPr>
            <w:tcW w:w="675" w:type="dxa"/>
          </w:tcPr>
          <w:p>
            <w:pPr>
              <w:pStyle w:val="TableParagraph"/>
              <w:spacing w:line="133" w:lineRule="exact" w:before="34"/>
              <w:ind w:right="81"/>
              <w:jc w:val="right"/>
              <w:rPr>
                <w:sz w:val="12"/>
              </w:rPr>
            </w:pPr>
            <w:r>
              <w:rPr>
                <w:spacing w:val="-4"/>
                <w:sz w:val="12"/>
              </w:rPr>
              <w:t>2.30</w:t>
            </w:r>
          </w:p>
        </w:tc>
        <w:tc>
          <w:tcPr>
            <w:tcW w:w="675" w:type="dxa"/>
          </w:tcPr>
          <w:p>
            <w:pPr>
              <w:pStyle w:val="TableParagraph"/>
              <w:spacing w:line="133" w:lineRule="exact" w:before="34"/>
              <w:ind w:right="81"/>
              <w:jc w:val="right"/>
              <w:rPr>
                <w:sz w:val="12"/>
              </w:rPr>
            </w:pPr>
            <w:r>
              <w:rPr>
                <w:spacing w:val="-4"/>
                <w:sz w:val="12"/>
              </w:rPr>
              <w:t>0.50</w:t>
            </w:r>
          </w:p>
        </w:tc>
        <w:tc>
          <w:tcPr>
            <w:tcW w:w="675" w:type="dxa"/>
          </w:tcPr>
          <w:p>
            <w:pPr>
              <w:pStyle w:val="TableParagraph"/>
              <w:spacing w:line="133" w:lineRule="exact" w:before="34"/>
              <w:ind w:right="81"/>
              <w:jc w:val="right"/>
              <w:rPr>
                <w:sz w:val="12"/>
              </w:rPr>
            </w:pPr>
            <w:r>
              <w:rPr>
                <w:spacing w:val="-4"/>
                <w:sz w:val="12"/>
              </w:rPr>
              <w:t>3.32</w:t>
            </w:r>
          </w:p>
        </w:tc>
        <w:tc>
          <w:tcPr>
            <w:tcW w:w="675" w:type="dxa"/>
          </w:tcPr>
          <w:p>
            <w:pPr>
              <w:pStyle w:val="TableParagraph"/>
              <w:spacing w:line="133" w:lineRule="exact" w:before="34"/>
              <w:ind w:right="81"/>
              <w:jc w:val="right"/>
              <w:rPr>
                <w:sz w:val="12"/>
              </w:rPr>
            </w:pPr>
            <w:r>
              <w:rPr>
                <w:spacing w:val="-4"/>
                <w:sz w:val="12"/>
              </w:rPr>
              <w:t>6.35</w:t>
            </w:r>
          </w:p>
        </w:tc>
        <w:tc>
          <w:tcPr>
            <w:tcW w:w="675" w:type="dxa"/>
          </w:tcPr>
          <w:p>
            <w:pPr>
              <w:pStyle w:val="TableParagraph"/>
              <w:spacing w:line="133" w:lineRule="exact" w:before="34"/>
              <w:ind w:right="81"/>
              <w:jc w:val="right"/>
              <w:rPr>
                <w:sz w:val="12"/>
              </w:rPr>
            </w:pPr>
            <w:r>
              <w:rPr>
                <w:spacing w:val="-4"/>
                <w:sz w:val="12"/>
              </w:rPr>
              <w:t>8.13</w:t>
            </w:r>
          </w:p>
        </w:tc>
        <w:tc>
          <w:tcPr>
            <w:tcW w:w="675" w:type="dxa"/>
          </w:tcPr>
          <w:p>
            <w:pPr>
              <w:pStyle w:val="TableParagraph"/>
              <w:spacing w:line="133" w:lineRule="exact" w:before="34"/>
              <w:ind w:right="81"/>
              <w:jc w:val="right"/>
              <w:rPr>
                <w:sz w:val="12"/>
              </w:rPr>
            </w:pPr>
            <w:r>
              <w:rPr>
                <w:spacing w:val="-2"/>
                <w:sz w:val="12"/>
              </w:rPr>
              <w:t>10.76</w:t>
            </w:r>
          </w:p>
        </w:tc>
        <w:tc>
          <w:tcPr>
            <w:tcW w:w="675" w:type="dxa"/>
          </w:tcPr>
          <w:p>
            <w:pPr>
              <w:pStyle w:val="TableParagraph"/>
              <w:spacing w:line="133" w:lineRule="exact" w:before="34"/>
              <w:ind w:right="81"/>
              <w:jc w:val="right"/>
              <w:rPr>
                <w:sz w:val="12"/>
              </w:rPr>
            </w:pPr>
            <w:r>
              <w:rPr>
                <w:spacing w:val="-4"/>
                <w:sz w:val="12"/>
              </w:rPr>
              <w:t>2.87</w:t>
            </w:r>
          </w:p>
        </w:tc>
        <w:tc>
          <w:tcPr>
            <w:tcW w:w="675" w:type="dxa"/>
          </w:tcPr>
          <w:p>
            <w:pPr>
              <w:pStyle w:val="TableParagraph"/>
              <w:spacing w:line="133" w:lineRule="exact" w:before="34"/>
              <w:ind w:right="81"/>
              <w:jc w:val="right"/>
              <w:rPr>
                <w:sz w:val="12"/>
              </w:rPr>
            </w:pPr>
            <w:r>
              <w:rPr>
                <w:spacing w:val="-4"/>
                <w:sz w:val="12"/>
              </w:rPr>
              <w:t>5.80</w:t>
            </w:r>
          </w:p>
        </w:tc>
        <w:tc>
          <w:tcPr>
            <w:tcW w:w="646" w:type="dxa"/>
          </w:tcPr>
          <w:p>
            <w:pPr>
              <w:pStyle w:val="TableParagraph"/>
              <w:spacing w:line="133" w:lineRule="exact" w:before="34"/>
              <w:ind w:right="52"/>
              <w:jc w:val="right"/>
              <w:rPr>
                <w:sz w:val="12"/>
              </w:rPr>
            </w:pPr>
            <w:r>
              <w:rPr>
                <w:spacing w:val="-4"/>
                <w:sz w:val="12"/>
              </w:rPr>
              <w:t>4.34</w:t>
            </w:r>
          </w:p>
        </w:tc>
      </w:tr>
      <w:tr>
        <w:trPr>
          <w:trHeight w:val="169" w:hRule="atLeast"/>
        </w:trPr>
        <w:tc>
          <w:tcPr>
            <w:tcW w:w="1992" w:type="dxa"/>
          </w:tcPr>
          <w:p>
            <w:pPr>
              <w:pStyle w:val="TableParagraph"/>
              <w:spacing w:line="138" w:lineRule="exact" w:before="11"/>
              <w:ind w:left="230"/>
              <w:rPr>
                <w:sz w:val="12"/>
              </w:rPr>
            </w:pPr>
            <w:r>
              <w:rPr>
                <w:sz w:val="12"/>
              </w:rPr>
              <w:t>Average</w:t>
            </w:r>
            <w:r>
              <w:rPr>
                <w:spacing w:val="-8"/>
                <w:sz w:val="12"/>
              </w:rPr>
              <w:t> </w:t>
            </w:r>
            <w:r>
              <w:rPr>
                <w:sz w:val="12"/>
              </w:rPr>
              <w:t>maturity</w:t>
            </w:r>
            <w:r>
              <w:rPr>
                <w:spacing w:val="-8"/>
                <w:sz w:val="12"/>
              </w:rPr>
              <w:t> </w:t>
            </w:r>
            <w:r>
              <w:rPr>
                <w:spacing w:val="-2"/>
                <w:sz w:val="12"/>
              </w:rPr>
              <w:t>(years)</w:t>
            </w:r>
          </w:p>
        </w:tc>
        <w:tc>
          <w:tcPr>
            <w:tcW w:w="644" w:type="dxa"/>
            <w:tcBorders>
              <w:bottom w:val="single" w:sz="8" w:space="0" w:color="000000"/>
            </w:tcBorders>
          </w:tcPr>
          <w:p>
            <w:pPr>
              <w:pStyle w:val="TableParagraph"/>
              <w:spacing w:line="123" w:lineRule="exact" w:before="26"/>
              <w:ind w:right="81"/>
              <w:jc w:val="right"/>
              <w:rPr>
                <w:sz w:val="12"/>
              </w:rPr>
            </w:pPr>
            <w:r>
              <w:rPr>
                <w:spacing w:val="-2"/>
                <w:sz w:val="12"/>
              </w:rPr>
              <w:t>10.19</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7.40</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0.08</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5.08</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8.06</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9.42</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8.23</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7.67</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8.89</w:t>
            </w:r>
          </w:p>
        </w:tc>
        <w:tc>
          <w:tcPr>
            <w:tcW w:w="675" w:type="dxa"/>
            <w:tcBorders>
              <w:bottom w:val="single" w:sz="8" w:space="0" w:color="000000"/>
            </w:tcBorders>
          </w:tcPr>
          <w:p>
            <w:pPr>
              <w:pStyle w:val="TableParagraph"/>
              <w:spacing w:line="123" w:lineRule="exact" w:before="26"/>
              <w:ind w:right="81"/>
              <w:jc w:val="right"/>
              <w:rPr>
                <w:sz w:val="12"/>
              </w:rPr>
            </w:pPr>
            <w:r>
              <w:rPr>
                <w:spacing w:val="-4"/>
                <w:sz w:val="12"/>
              </w:rPr>
              <w:t>8.85</w:t>
            </w:r>
          </w:p>
        </w:tc>
        <w:tc>
          <w:tcPr>
            <w:tcW w:w="646" w:type="dxa"/>
            <w:tcBorders>
              <w:bottom w:val="single" w:sz="8" w:space="0" w:color="000000"/>
            </w:tcBorders>
          </w:tcPr>
          <w:p>
            <w:pPr>
              <w:pStyle w:val="TableParagraph"/>
              <w:spacing w:line="123" w:lineRule="exact" w:before="26"/>
              <w:ind w:right="52"/>
              <w:jc w:val="right"/>
              <w:rPr>
                <w:sz w:val="12"/>
              </w:rPr>
            </w:pPr>
            <w:r>
              <w:rPr>
                <w:spacing w:val="-4"/>
                <w:sz w:val="12"/>
              </w:rPr>
              <w:t>8.87</w:t>
            </w:r>
          </w:p>
        </w:tc>
      </w:tr>
      <w:tr>
        <w:trPr>
          <w:trHeight w:val="162" w:hRule="atLeast"/>
        </w:trPr>
        <w:tc>
          <w:tcPr>
            <w:tcW w:w="1992" w:type="dxa"/>
          </w:tcPr>
          <w:p>
            <w:pPr>
              <w:pStyle w:val="TableParagraph"/>
              <w:spacing w:before="2"/>
              <w:ind w:left="50"/>
              <w:rPr>
                <w:rFonts w:ascii="Arial"/>
                <w:b/>
                <w:sz w:val="12"/>
              </w:rPr>
            </w:pPr>
            <w:r>
              <w:rPr>
                <w:rFonts w:ascii="Arial"/>
                <w:b/>
                <w:sz w:val="12"/>
              </w:rPr>
              <w:t>Loans</w:t>
            </w:r>
            <w:r>
              <w:rPr>
                <w:rFonts w:ascii="Arial"/>
                <w:b/>
                <w:spacing w:val="-5"/>
                <w:sz w:val="12"/>
              </w:rPr>
              <w:t> </w:t>
            </w:r>
            <w:r>
              <w:rPr>
                <w:rFonts w:ascii="Arial"/>
                <w:b/>
                <w:spacing w:val="-2"/>
                <w:sz w:val="12"/>
              </w:rPr>
              <w:t>Outstanding</w:t>
            </w:r>
          </w:p>
        </w:tc>
        <w:tc>
          <w:tcPr>
            <w:tcW w:w="644" w:type="dxa"/>
            <w:tcBorders>
              <w:top w:val="single" w:sz="8" w:space="0" w:color="000000"/>
            </w:tcBorders>
          </w:tcPr>
          <w:p>
            <w:pPr>
              <w:pStyle w:val="TableParagraph"/>
              <w:spacing w:line="125" w:lineRule="exact" w:before="17"/>
              <w:ind w:right="81"/>
              <w:jc w:val="right"/>
              <w:rPr>
                <w:sz w:val="12"/>
              </w:rPr>
            </w:pPr>
            <w:r>
              <w:rPr>
                <w:sz w:val="12"/>
              </w:rPr>
              <w:t>$</w:t>
            </w:r>
            <w:r>
              <w:rPr>
                <w:spacing w:val="40"/>
                <w:sz w:val="12"/>
              </w:rPr>
              <w:t> </w:t>
            </w:r>
            <w:r>
              <w:rPr>
                <w:spacing w:val="-2"/>
                <w:sz w:val="12"/>
              </w:rPr>
              <w:t>12,725</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40"/>
                <w:sz w:val="12"/>
              </w:rPr>
              <w:t> </w:t>
            </w:r>
            <w:r>
              <w:rPr>
                <w:spacing w:val="-2"/>
                <w:sz w:val="12"/>
              </w:rPr>
              <w:t>32,179</w:t>
            </w:r>
          </w:p>
        </w:tc>
        <w:tc>
          <w:tcPr>
            <w:tcW w:w="675" w:type="dxa"/>
            <w:tcBorders>
              <w:top w:val="single" w:sz="8" w:space="0" w:color="000000"/>
            </w:tcBorders>
          </w:tcPr>
          <w:p>
            <w:pPr>
              <w:pStyle w:val="TableParagraph"/>
              <w:tabs>
                <w:tab w:pos="374" w:val="left" w:leader="none"/>
              </w:tabs>
              <w:spacing w:line="125" w:lineRule="exact" w:before="17"/>
              <w:ind w:right="81"/>
              <w:jc w:val="right"/>
              <w:rPr>
                <w:sz w:val="12"/>
              </w:rPr>
            </w:pPr>
            <w:r>
              <w:rPr>
                <w:spacing w:val="-10"/>
                <w:sz w:val="12"/>
              </w:rPr>
              <w:t>$</w:t>
            </w:r>
            <w:r>
              <w:rPr>
                <w:sz w:val="12"/>
              </w:rPr>
              <w:tab/>
            </w:r>
            <w:r>
              <w:rPr>
                <w:spacing w:val="-5"/>
                <w:sz w:val="12"/>
              </w:rPr>
              <w:t>10</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36"/>
                <w:sz w:val="12"/>
              </w:rPr>
              <w:t>  </w:t>
            </w:r>
            <w:r>
              <w:rPr>
                <w:spacing w:val="-2"/>
                <w:sz w:val="12"/>
              </w:rPr>
              <w:t>1,043</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40"/>
                <w:sz w:val="12"/>
              </w:rPr>
              <w:t> </w:t>
            </w:r>
            <w:r>
              <w:rPr>
                <w:spacing w:val="-2"/>
                <w:sz w:val="12"/>
              </w:rPr>
              <w:t>19,586</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26"/>
                <w:sz w:val="12"/>
              </w:rPr>
              <w:t> </w:t>
            </w:r>
            <w:r>
              <w:rPr>
                <w:spacing w:val="-2"/>
                <w:sz w:val="12"/>
              </w:rPr>
              <w:t>174,910</w:t>
            </w:r>
          </w:p>
        </w:tc>
        <w:tc>
          <w:tcPr>
            <w:tcW w:w="675" w:type="dxa"/>
            <w:tcBorders>
              <w:top w:val="single" w:sz="8" w:space="0" w:color="000000"/>
            </w:tcBorders>
          </w:tcPr>
          <w:p>
            <w:pPr>
              <w:pStyle w:val="TableParagraph"/>
              <w:tabs>
                <w:tab w:pos="307" w:val="left" w:leader="none"/>
              </w:tabs>
              <w:spacing w:line="125" w:lineRule="exact" w:before="17"/>
              <w:ind w:right="81"/>
              <w:jc w:val="right"/>
              <w:rPr>
                <w:sz w:val="12"/>
              </w:rPr>
            </w:pPr>
            <w:r>
              <w:rPr>
                <w:spacing w:val="-10"/>
                <w:sz w:val="12"/>
              </w:rPr>
              <w:t>$</w:t>
            </w:r>
            <w:r>
              <w:rPr>
                <w:sz w:val="12"/>
              </w:rPr>
              <w:tab/>
            </w:r>
            <w:r>
              <w:rPr>
                <w:spacing w:val="-5"/>
                <w:sz w:val="12"/>
              </w:rPr>
              <w:t>357</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36"/>
                <w:sz w:val="12"/>
              </w:rPr>
              <w:t>  </w:t>
            </w:r>
            <w:r>
              <w:rPr>
                <w:spacing w:val="-2"/>
                <w:sz w:val="12"/>
              </w:rPr>
              <w:t>3,086</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40"/>
                <w:sz w:val="12"/>
              </w:rPr>
              <w:t> </w:t>
            </w:r>
            <w:r>
              <w:rPr>
                <w:spacing w:val="-2"/>
                <w:sz w:val="12"/>
              </w:rPr>
              <w:t>32,678</w:t>
            </w:r>
          </w:p>
        </w:tc>
        <w:tc>
          <w:tcPr>
            <w:tcW w:w="675" w:type="dxa"/>
            <w:tcBorders>
              <w:top w:val="single" w:sz="8" w:space="0" w:color="000000"/>
            </w:tcBorders>
          </w:tcPr>
          <w:p>
            <w:pPr>
              <w:pStyle w:val="TableParagraph"/>
              <w:spacing w:line="125" w:lineRule="exact" w:before="17"/>
              <w:ind w:right="81"/>
              <w:jc w:val="right"/>
              <w:rPr>
                <w:sz w:val="12"/>
              </w:rPr>
            </w:pPr>
            <w:r>
              <w:rPr>
                <w:sz w:val="12"/>
              </w:rPr>
              <w:t>$</w:t>
            </w:r>
            <w:r>
              <w:rPr>
                <w:spacing w:val="-26"/>
                <w:sz w:val="12"/>
              </w:rPr>
              <w:t> </w:t>
            </w:r>
            <w:r>
              <w:rPr>
                <w:spacing w:val="-2"/>
                <w:sz w:val="12"/>
              </w:rPr>
              <w:t>211,218</w:t>
            </w:r>
          </w:p>
        </w:tc>
        <w:tc>
          <w:tcPr>
            <w:tcW w:w="646" w:type="dxa"/>
            <w:tcBorders>
              <w:top w:val="single" w:sz="8" w:space="0" w:color="000000"/>
            </w:tcBorders>
          </w:tcPr>
          <w:p>
            <w:pPr>
              <w:pStyle w:val="TableParagraph"/>
              <w:spacing w:line="125" w:lineRule="exact" w:before="17"/>
              <w:ind w:right="52"/>
              <w:jc w:val="right"/>
              <w:rPr>
                <w:sz w:val="12"/>
              </w:rPr>
            </w:pPr>
            <w:r>
              <w:rPr>
                <w:sz w:val="12"/>
              </w:rPr>
              <w:t>$</w:t>
            </w:r>
            <w:r>
              <w:rPr>
                <w:spacing w:val="-26"/>
                <w:sz w:val="12"/>
              </w:rPr>
              <w:t> </w:t>
            </w:r>
            <w:r>
              <w:rPr>
                <w:spacing w:val="-2"/>
                <w:sz w:val="12"/>
              </w:rPr>
              <w:t>243,896</w:t>
            </w:r>
          </w:p>
        </w:tc>
      </w:tr>
      <w:tr>
        <w:trPr>
          <w:trHeight w:val="188" w:hRule="atLeast"/>
        </w:trPr>
        <w:tc>
          <w:tcPr>
            <w:tcW w:w="1992" w:type="dxa"/>
          </w:tcPr>
          <w:p>
            <w:pPr>
              <w:pStyle w:val="TableParagraph"/>
              <w:spacing w:before="19"/>
              <w:ind w:right="254"/>
              <w:jc w:val="right"/>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644" w:type="dxa"/>
          </w:tcPr>
          <w:p>
            <w:pPr>
              <w:pStyle w:val="TableParagraph"/>
              <w:spacing w:line="133" w:lineRule="exact" w:before="34"/>
              <w:ind w:right="81"/>
              <w:jc w:val="right"/>
              <w:rPr>
                <w:sz w:val="12"/>
              </w:rPr>
            </w:pPr>
            <w:r>
              <w:rPr>
                <w:spacing w:val="-4"/>
                <w:sz w:val="12"/>
              </w:rPr>
              <w:t>2.04</w:t>
            </w:r>
          </w:p>
        </w:tc>
        <w:tc>
          <w:tcPr>
            <w:tcW w:w="675" w:type="dxa"/>
          </w:tcPr>
          <w:p>
            <w:pPr>
              <w:pStyle w:val="TableParagraph"/>
              <w:spacing w:line="133" w:lineRule="exact" w:before="34"/>
              <w:ind w:right="81"/>
              <w:jc w:val="right"/>
              <w:rPr>
                <w:sz w:val="12"/>
              </w:rPr>
            </w:pPr>
            <w:r>
              <w:rPr>
                <w:spacing w:val="-4"/>
                <w:sz w:val="12"/>
              </w:rPr>
              <w:t>4.01</w:t>
            </w:r>
          </w:p>
        </w:tc>
        <w:tc>
          <w:tcPr>
            <w:tcW w:w="675" w:type="dxa"/>
          </w:tcPr>
          <w:p>
            <w:pPr>
              <w:pStyle w:val="TableParagraph"/>
              <w:spacing w:line="133" w:lineRule="exact" w:before="34"/>
              <w:ind w:right="81"/>
              <w:jc w:val="right"/>
              <w:rPr>
                <w:sz w:val="12"/>
              </w:rPr>
            </w:pPr>
            <w:r>
              <w:rPr>
                <w:spacing w:val="-4"/>
                <w:sz w:val="12"/>
              </w:rPr>
              <w:t>2.76</w:t>
            </w:r>
          </w:p>
        </w:tc>
        <w:tc>
          <w:tcPr>
            <w:tcW w:w="675" w:type="dxa"/>
          </w:tcPr>
          <w:p>
            <w:pPr>
              <w:pStyle w:val="TableParagraph"/>
              <w:spacing w:line="133" w:lineRule="exact" w:before="34"/>
              <w:ind w:right="81"/>
              <w:jc w:val="right"/>
              <w:rPr>
                <w:sz w:val="12"/>
              </w:rPr>
            </w:pPr>
            <w:r>
              <w:rPr>
                <w:spacing w:val="-4"/>
                <w:sz w:val="12"/>
              </w:rPr>
              <w:t>0.53</w:t>
            </w:r>
          </w:p>
        </w:tc>
        <w:tc>
          <w:tcPr>
            <w:tcW w:w="675" w:type="dxa"/>
          </w:tcPr>
          <w:p>
            <w:pPr>
              <w:pStyle w:val="TableParagraph"/>
              <w:spacing w:line="133" w:lineRule="exact" w:before="34"/>
              <w:ind w:right="81"/>
              <w:jc w:val="right"/>
              <w:rPr>
                <w:sz w:val="12"/>
              </w:rPr>
            </w:pPr>
            <w:r>
              <w:rPr>
                <w:spacing w:val="-4"/>
                <w:sz w:val="12"/>
              </w:rPr>
              <w:t>3.33</w:t>
            </w:r>
          </w:p>
        </w:tc>
        <w:tc>
          <w:tcPr>
            <w:tcW w:w="675" w:type="dxa"/>
          </w:tcPr>
          <w:p>
            <w:pPr>
              <w:pStyle w:val="TableParagraph"/>
              <w:spacing w:line="133" w:lineRule="exact" w:before="34"/>
              <w:ind w:right="81"/>
              <w:jc w:val="right"/>
              <w:rPr>
                <w:sz w:val="12"/>
              </w:rPr>
            </w:pPr>
            <w:r>
              <w:rPr>
                <w:spacing w:val="-4"/>
                <w:sz w:val="12"/>
              </w:rPr>
              <w:t>5.85</w:t>
            </w:r>
          </w:p>
        </w:tc>
        <w:tc>
          <w:tcPr>
            <w:tcW w:w="675" w:type="dxa"/>
          </w:tcPr>
          <w:p>
            <w:pPr>
              <w:pStyle w:val="TableParagraph"/>
              <w:spacing w:line="133" w:lineRule="exact" w:before="34"/>
              <w:ind w:right="81"/>
              <w:jc w:val="right"/>
              <w:rPr>
                <w:sz w:val="12"/>
              </w:rPr>
            </w:pPr>
            <w:r>
              <w:rPr>
                <w:spacing w:val="-4"/>
                <w:sz w:val="12"/>
              </w:rPr>
              <w:t>8.13</w:t>
            </w:r>
          </w:p>
        </w:tc>
        <w:tc>
          <w:tcPr>
            <w:tcW w:w="675" w:type="dxa"/>
          </w:tcPr>
          <w:p>
            <w:pPr>
              <w:pStyle w:val="TableParagraph"/>
              <w:spacing w:line="133" w:lineRule="exact" w:before="34"/>
              <w:ind w:right="81"/>
              <w:jc w:val="right"/>
              <w:rPr>
                <w:sz w:val="12"/>
              </w:rPr>
            </w:pPr>
            <w:r>
              <w:rPr>
                <w:spacing w:val="-2"/>
                <w:sz w:val="12"/>
              </w:rPr>
              <w:t>10.24</w:t>
            </w:r>
          </w:p>
        </w:tc>
        <w:tc>
          <w:tcPr>
            <w:tcW w:w="675" w:type="dxa"/>
          </w:tcPr>
          <w:p>
            <w:pPr>
              <w:pStyle w:val="TableParagraph"/>
              <w:spacing w:line="133" w:lineRule="exact" w:before="34"/>
              <w:ind w:right="81"/>
              <w:jc w:val="right"/>
              <w:rPr>
                <w:sz w:val="12"/>
              </w:rPr>
            </w:pPr>
            <w:r>
              <w:rPr>
                <w:spacing w:val="-4"/>
                <w:sz w:val="12"/>
              </w:rPr>
              <w:t>2.88</w:t>
            </w:r>
          </w:p>
        </w:tc>
        <w:tc>
          <w:tcPr>
            <w:tcW w:w="675" w:type="dxa"/>
          </w:tcPr>
          <w:p>
            <w:pPr>
              <w:pStyle w:val="TableParagraph"/>
              <w:spacing w:line="133" w:lineRule="exact" w:before="34"/>
              <w:ind w:right="81"/>
              <w:jc w:val="right"/>
              <w:rPr>
                <w:sz w:val="12"/>
              </w:rPr>
            </w:pPr>
            <w:r>
              <w:rPr>
                <w:spacing w:val="-4"/>
                <w:sz w:val="12"/>
              </w:rPr>
              <w:t>5.61</w:t>
            </w:r>
          </w:p>
        </w:tc>
        <w:tc>
          <w:tcPr>
            <w:tcW w:w="646" w:type="dxa"/>
          </w:tcPr>
          <w:p>
            <w:pPr>
              <w:pStyle w:val="TableParagraph"/>
              <w:spacing w:line="133" w:lineRule="exact" w:before="34"/>
              <w:ind w:right="52"/>
              <w:jc w:val="right"/>
              <w:rPr>
                <w:sz w:val="12"/>
              </w:rPr>
            </w:pPr>
            <w:r>
              <w:rPr>
                <w:spacing w:val="-4"/>
                <w:sz w:val="12"/>
              </w:rPr>
              <w:t>5.25</w:t>
            </w:r>
          </w:p>
        </w:tc>
      </w:tr>
      <w:tr>
        <w:trPr>
          <w:trHeight w:val="189" w:hRule="atLeast"/>
        </w:trPr>
        <w:tc>
          <w:tcPr>
            <w:tcW w:w="1992" w:type="dxa"/>
          </w:tcPr>
          <w:p>
            <w:pPr>
              <w:pStyle w:val="TableParagraph"/>
              <w:spacing w:before="11"/>
              <w:ind w:left="230"/>
              <w:rPr>
                <w:sz w:val="12"/>
              </w:rPr>
            </w:pPr>
            <w:r>
              <w:rPr>
                <w:sz w:val="12"/>
              </w:rPr>
              <w:t>Average</w:t>
            </w:r>
            <w:r>
              <w:rPr>
                <w:spacing w:val="-8"/>
                <w:sz w:val="12"/>
              </w:rPr>
              <w:t> </w:t>
            </w:r>
            <w:r>
              <w:rPr>
                <w:sz w:val="12"/>
              </w:rPr>
              <w:t>Maturity</w:t>
            </w:r>
            <w:r>
              <w:rPr>
                <w:spacing w:val="-8"/>
                <w:sz w:val="12"/>
              </w:rPr>
              <w:t> </w:t>
            </w:r>
            <w:r>
              <w:rPr>
                <w:spacing w:val="-2"/>
                <w:sz w:val="12"/>
              </w:rPr>
              <w:t>(years)</w:t>
            </w:r>
          </w:p>
        </w:tc>
        <w:tc>
          <w:tcPr>
            <w:tcW w:w="644" w:type="dxa"/>
          </w:tcPr>
          <w:p>
            <w:pPr>
              <w:pStyle w:val="TableParagraph"/>
              <w:spacing w:before="26"/>
              <w:ind w:right="81"/>
              <w:jc w:val="right"/>
              <w:rPr>
                <w:sz w:val="12"/>
              </w:rPr>
            </w:pPr>
            <w:r>
              <w:rPr>
                <w:spacing w:val="-2"/>
                <w:sz w:val="12"/>
              </w:rPr>
              <w:t>10.19</w:t>
            </w:r>
          </w:p>
        </w:tc>
        <w:tc>
          <w:tcPr>
            <w:tcW w:w="675" w:type="dxa"/>
          </w:tcPr>
          <w:p>
            <w:pPr>
              <w:pStyle w:val="TableParagraph"/>
              <w:spacing w:before="26"/>
              <w:ind w:right="81"/>
              <w:jc w:val="right"/>
              <w:rPr>
                <w:sz w:val="12"/>
              </w:rPr>
            </w:pPr>
            <w:r>
              <w:rPr>
                <w:spacing w:val="-4"/>
                <w:sz w:val="12"/>
              </w:rPr>
              <w:t>7.82</w:t>
            </w:r>
          </w:p>
        </w:tc>
        <w:tc>
          <w:tcPr>
            <w:tcW w:w="675" w:type="dxa"/>
          </w:tcPr>
          <w:p>
            <w:pPr>
              <w:pStyle w:val="TableParagraph"/>
              <w:spacing w:before="26"/>
              <w:ind w:right="81"/>
              <w:jc w:val="right"/>
              <w:rPr>
                <w:sz w:val="12"/>
              </w:rPr>
            </w:pPr>
            <w:r>
              <w:rPr>
                <w:spacing w:val="-4"/>
                <w:sz w:val="12"/>
              </w:rPr>
              <w:t>1.57</w:t>
            </w:r>
          </w:p>
        </w:tc>
        <w:tc>
          <w:tcPr>
            <w:tcW w:w="675" w:type="dxa"/>
          </w:tcPr>
          <w:p>
            <w:pPr>
              <w:pStyle w:val="TableParagraph"/>
              <w:spacing w:before="26"/>
              <w:ind w:right="81"/>
              <w:jc w:val="right"/>
              <w:rPr>
                <w:sz w:val="12"/>
              </w:rPr>
            </w:pPr>
            <w:r>
              <w:rPr>
                <w:spacing w:val="-4"/>
                <w:sz w:val="12"/>
              </w:rPr>
              <w:t>5.32</w:t>
            </w:r>
          </w:p>
        </w:tc>
        <w:tc>
          <w:tcPr>
            <w:tcW w:w="675" w:type="dxa"/>
          </w:tcPr>
          <w:p>
            <w:pPr>
              <w:pStyle w:val="TableParagraph"/>
              <w:spacing w:before="26"/>
              <w:ind w:right="81"/>
              <w:jc w:val="right"/>
              <w:rPr>
                <w:sz w:val="12"/>
              </w:rPr>
            </w:pPr>
            <w:r>
              <w:rPr>
                <w:spacing w:val="-4"/>
                <w:sz w:val="12"/>
              </w:rPr>
              <w:t>8.05</w:t>
            </w:r>
          </w:p>
        </w:tc>
        <w:tc>
          <w:tcPr>
            <w:tcW w:w="675" w:type="dxa"/>
          </w:tcPr>
          <w:p>
            <w:pPr>
              <w:pStyle w:val="TableParagraph"/>
              <w:spacing w:before="26"/>
              <w:ind w:right="81"/>
              <w:jc w:val="right"/>
              <w:rPr>
                <w:sz w:val="12"/>
              </w:rPr>
            </w:pPr>
            <w:r>
              <w:rPr>
                <w:spacing w:val="-4"/>
                <w:sz w:val="12"/>
              </w:rPr>
              <w:t>8.54</w:t>
            </w:r>
          </w:p>
        </w:tc>
        <w:tc>
          <w:tcPr>
            <w:tcW w:w="675" w:type="dxa"/>
          </w:tcPr>
          <w:p>
            <w:pPr>
              <w:pStyle w:val="TableParagraph"/>
              <w:spacing w:before="26"/>
              <w:ind w:right="81"/>
              <w:jc w:val="right"/>
              <w:rPr>
                <w:sz w:val="12"/>
              </w:rPr>
            </w:pPr>
            <w:r>
              <w:rPr>
                <w:spacing w:val="-4"/>
                <w:sz w:val="12"/>
              </w:rPr>
              <w:t>8.23</w:t>
            </w:r>
          </w:p>
        </w:tc>
        <w:tc>
          <w:tcPr>
            <w:tcW w:w="675" w:type="dxa"/>
          </w:tcPr>
          <w:p>
            <w:pPr>
              <w:pStyle w:val="TableParagraph"/>
              <w:spacing w:before="26"/>
              <w:ind w:right="81"/>
              <w:jc w:val="right"/>
              <w:rPr>
                <w:sz w:val="12"/>
              </w:rPr>
            </w:pPr>
            <w:r>
              <w:rPr>
                <w:spacing w:val="-4"/>
                <w:sz w:val="12"/>
              </w:rPr>
              <w:t>6.98</w:t>
            </w:r>
          </w:p>
        </w:tc>
        <w:tc>
          <w:tcPr>
            <w:tcW w:w="675" w:type="dxa"/>
          </w:tcPr>
          <w:p>
            <w:pPr>
              <w:pStyle w:val="TableParagraph"/>
              <w:spacing w:before="26"/>
              <w:ind w:right="81"/>
              <w:jc w:val="right"/>
              <w:rPr>
                <w:sz w:val="12"/>
              </w:rPr>
            </w:pPr>
            <w:r>
              <w:rPr>
                <w:spacing w:val="-4"/>
                <w:sz w:val="12"/>
              </w:rPr>
              <w:t>8.88</w:t>
            </w:r>
          </w:p>
        </w:tc>
        <w:tc>
          <w:tcPr>
            <w:tcW w:w="675" w:type="dxa"/>
          </w:tcPr>
          <w:p>
            <w:pPr>
              <w:pStyle w:val="TableParagraph"/>
              <w:spacing w:before="26"/>
              <w:ind w:right="81"/>
              <w:jc w:val="right"/>
              <w:rPr>
                <w:sz w:val="12"/>
              </w:rPr>
            </w:pPr>
            <w:r>
              <w:rPr>
                <w:spacing w:val="-4"/>
                <w:sz w:val="12"/>
              </w:rPr>
              <w:t>8.39</w:t>
            </w:r>
          </w:p>
        </w:tc>
        <w:tc>
          <w:tcPr>
            <w:tcW w:w="646" w:type="dxa"/>
          </w:tcPr>
          <w:p>
            <w:pPr>
              <w:pStyle w:val="TableParagraph"/>
              <w:spacing w:before="26"/>
              <w:ind w:right="52"/>
              <w:jc w:val="right"/>
              <w:rPr>
                <w:sz w:val="12"/>
              </w:rPr>
            </w:pPr>
            <w:r>
              <w:rPr>
                <w:spacing w:val="-4"/>
                <w:sz w:val="12"/>
              </w:rPr>
              <w:t>8.46</w:t>
            </w:r>
          </w:p>
        </w:tc>
      </w:tr>
    </w:tbl>
    <w:p>
      <w:pPr>
        <w:pStyle w:val="TableParagraph"/>
        <w:spacing w:after="0"/>
        <w:jc w:val="right"/>
        <w:rPr>
          <w:sz w:val="12"/>
        </w:rPr>
        <w:sectPr>
          <w:headerReference w:type="even" r:id="rId153"/>
          <w:footerReference w:type="even" r:id="rId154"/>
          <w:footerReference w:type="default" r:id="rId155"/>
          <w:pgSz w:w="12240" w:h="15840"/>
          <w:pgMar w:header="0" w:footer="528" w:top="960" w:bottom="720" w:left="720" w:right="720"/>
          <w:pgNumType w:start="102"/>
        </w:sectPr>
      </w:pPr>
    </w:p>
    <w:p>
      <w:pPr>
        <w:pStyle w:val="Heading8"/>
        <w:spacing w:before="68"/>
      </w:pPr>
      <w:r>
        <w:rPr/>
        <w:t>Table</w:t>
      </w:r>
      <w:r>
        <w:rPr>
          <w:spacing w:val="-4"/>
        </w:rPr>
        <w:t> D1.1</w:t>
      </w:r>
    </w:p>
    <w:p>
      <w:pPr>
        <w:spacing w:before="74"/>
        <w:ind w:left="720" w:right="0" w:firstLine="0"/>
        <w:jc w:val="left"/>
        <w:rPr>
          <w:rFonts w:ascii="Arial"/>
          <w:i/>
          <w:sz w:val="12"/>
        </w:rPr>
      </w:pPr>
      <w:r>
        <w:rPr>
          <w:rFonts w:ascii="Arial"/>
          <w:i/>
          <w:sz w:val="12"/>
        </w:rPr>
        <mc:AlternateContent>
          <mc:Choice Requires="wps">
            <w:drawing>
              <wp:anchor distT="0" distB="0" distL="0" distR="0" allowOverlap="1" layoutInCell="1" locked="0" behindDoc="1" simplePos="0" relativeHeight="487687680">
                <wp:simplePos x="0" y="0"/>
                <wp:positionH relativeFrom="page">
                  <wp:posOffset>914400</wp:posOffset>
                </wp:positionH>
                <wp:positionV relativeFrom="paragraph">
                  <wp:posOffset>153682</wp:posOffset>
                </wp:positionV>
                <wp:extent cx="5943600" cy="1270"/>
                <wp:effectExtent l="0" t="0" r="0" b="0"/>
                <wp:wrapTopAndBottom/>
                <wp:docPr id="744" name="Graphic 744"/>
                <wp:cNvGraphicFramePr>
                  <a:graphicFrameLocks/>
                </wp:cNvGraphicFramePr>
                <a:graphic>
                  <a:graphicData uri="http://schemas.microsoft.com/office/word/2010/wordprocessingShape">
                    <wps:wsp>
                      <wps:cNvPr id="744" name="Graphic 74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100977pt;width:468pt;height:.1pt;mso-position-horizontal-relative:page;mso-position-vertical-relative:paragraph;z-index:-15628800;mso-wrap-distance-left:0;mso-wrap-distance-right:0" id="docshape633" coordorigin="1440,242" coordsize="9360,0" path="m1440,242l10800,242e" filled="false" stroked="true" strokeweight="1pt" strokecolor="#000000">
                <v:path arrowok="t"/>
                <v:stroke dashstyle="solid"/>
                <w10:wrap type="topAndBottom"/>
              </v:shape>
            </w:pict>
          </mc:Fallback>
        </mc:AlternateContent>
      </w:r>
      <w:r>
        <w:rPr>
          <w:rFonts w:ascii="Arial"/>
          <w:i/>
          <w:sz w:val="12"/>
        </w:rPr>
        <w:t>In</w:t>
      </w:r>
      <w:r>
        <w:rPr>
          <w:rFonts w:ascii="Arial"/>
          <w:i/>
          <w:spacing w:val="-5"/>
          <w:sz w:val="12"/>
        </w:rPr>
        <w:t> </w:t>
      </w:r>
      <w:r>
        <w:rPr>
          <w:rFonts w:ascii="Arial"/>
          <w:i/>
          <w:sz w:val="12"/>
        </w:rPr>
        <w:t>millions</w:t>
      </w:r>
      <w:r>
        <w:rPr>
          <w:rFonts w:ascii="Arial"/>
          <w:i/>
          <w:spacing w:val="-4"/>
          <w:sz w:val="12"/>
        </w:rPr>
        <w:t> </w:t>
      </w:r>
      <w:r>
        <w:rPr>
          <w:rFonts w:ascii="Arial"/>
          <w:i/>
          <w:sz w:val="12"/>
        </w:rPr>
        <w:t>of</w:t>
      </w:r>
      <w:r>
        <w:rPr>
          <w:rFonts w:ascii="Arial"/>
          <w:i/>
          <w:spacing w:val="-5"/>
          <w:sz w:val="12"/>
        </w:rPr>
        <w:t> </w:t>
      </w:r>
      <w:r>
        <w:rPr>
          <w:rFonts w:ascii="Arial"/>
          <w:i/>
          <w:sz w:val="12"/>
        </w:rPr>
        <w:t>U.S.</w:t>
      </w:r>
      <w:r>
        <w:rPr>
          <w:rFonts w:ascii="Arial"/>
          <w:i/>
          <w:spacing w:val="-4"/>
          <w:sz w:val="12"/>
        </w:rPr>
        <w:t> </w:t>
      </w:r>
      <w:r>
        <w:rPr>
          <w:rFonts w:ascii="Arial"/>
          <w:i/>
          <w:sz w:val="12"/>
        </w:rPr>
        <w:t>dollars,</w:t>
      </w:r>
      <w:r>
        <w:rPr>
          <w:rFonts w:ascii="Arial"/>
          <w:i/>
          <w:spacing w:val="-5"/>
          <w:sz w:val="12"/>
        </w:rPr>
        <w:t> </w:t>
      </w:r>
      <w:r>
        <w:rPr>
          <w:rFonts w:ascii="Arial"/>
          <w:i/>
          <w:sz w:val="12"/>
        </w:rPr>
        <w:t>except</w:t>
      </w:r>
      <w:r>
        <w:rPr>
          <w:rFonts w:ascii="Arial"/>
          <w:i/>
          <w:spacing w:val="-4"/>
          <w:sz w:val="12"/>
        </w:rPr>
        <w:t> </w:t>
      </w:r>
      <w:r>
        <w:rPr>
          <w:rFonts w:ascii="Arial"/>
          <w:i/>
          <w:sz w:val="12"/>
        </w:rPr>
        <w:t>as</w:t>
      </w:r>
      <w:r>
        <w:rPr>
          <w:rFonts w:ascii="Arial"/>
          <w:i/>
          <w:spacing w:val="-5"/>
          <w:sz w:val="12"/>
        </w:rPr>
        <w:t> </w:t>
      </w:r>
      <w:r>
        <w:rPr>
          <w:rFonts w:ascii="Arial"/>
          <w:i/>
          <w:sz w:val="12"/>
        </w:rPr>
        <w:t>otherwise</w:t>
      </w:r>
      <w:r>
        <w:rPr>
          <w:rFonts w:ascii="Arial"/>
          <w:i/>
          <w:spacing w:val="-4"/>
          <w:sz w:val="12"/>
        </w:rPr>
        <w:t> </w:t>
      </w:r>
      <w:r>
        <w:rPr>
          <w:rFonts w:ascii="Arial"/>
          <w:i/>
          <w:spacing w:val="-2"/>
          <w:sz w:val="12"/>
        </w:rPr>
        <w:t>noted</w:t>
      </w:r>
    </w:p>
    <w:p>
      <w:pPr>
        <w:spacing w:before="2" w:after="30"/>
        <w:ind w:left="1965" w:right="0"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2022</w:t>
      </w:r>
    </w:p>
    <w:p>
      <w:pPr>
        <w:spacing w:line="20" w:lineRule="exact"/>
        <w:ind w:left="2685" w:right="0" w:firstLine="0"/>
        <w:rPr>
          <w:rFonts w:ascii="Arial"/>
          <w:sz w:val="2"/>
        </w:rPr>
      </w:pPr>
      <w:r>
        <w:rPr>
          <w:rFonts w:ascii="Arial"/>
          <w:sz w:val="2"/>
        </w:rPr>
        <mc:AlternateContent>
          <mc:Choice Requires="wps">
            <w:drawing>
              <wp:inline distT="0" distB="0" distL="0" distR="0">
                <wp:extent cx="4695825" cy="12700"/>
                <wp:effectExtent l="9525" t="0" r="0" b="6350"/>
                <wp:docPr id="745" name="Group 745"/>
                <wp:cNvGraphicFramePr>
                  <a:graphicFrameLocks/>
                </wp:cNvGraphicFramePr>
                <a:graphic>
                  <a:graphicData uri="http://schemas.microsoft.com/office/word/2010/wordprocessingGroup">
                    <wpg:wgp>
                      <wpg:cNvPr id="745" name="Group 745"/>
                      <wpg:cNvGrpSpPr/>
                      <wpg:grpSpPr>
                        <a:xfrm>
                          <a:off x="0" y="0"/>
                          <a:ext cx="4695825" cy="12700"/>
                          <a:chExt cx="4695825" cy="12700"/>
                        </a:xfrm>
                      </wpg:grpSpPr>
                      <wps:wsp>
                        <wps:cNvPr id="746" name="Graphic 746"/>
                        <wps:cNvSpPr/>
                        <wps:spPr>
                          <a:xfrm>
                            <a:off x="0" y="6350"/>
                            <a:ext cx="4695825" cy="1270"/>
                          </a:xfrm>
                          <a:custGeom>
                            <a:avLst/>
                            <a:gdLst/>
                            <a:ahLst/>
                            <a:cxnLst/>
                            <a:rect l="l" t="t" r="r" b="b"/>
                            <a:pathLst>
                              <a:path w="4695825" h="0">
                                <a:moveTo>
                                  <a:pt x="0" y="0"/>
                                </a:moveTo>
                                <a:lnTo>
                                  <a:pt x="46958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9.75pt;height:1pt;mso-position-horizontal-relative:char;mso-position-vertical-relative:line" id="docshapegroup634" coordorigin="0,0" coordsize="7395,20">
                <v:line style="position:absolute" from="0,10" to="7395,10" stroked="true" strokeweight="1pt" strokecolor="#000000">
                  <v:stroke dashstyle="solid"/>
                </v:line>
              </v:group>
            </w:pict>
          </mc:Fallback>
        </mc:AlternateContent>
      </w:r>
      <w:r>
        <w:rPr>
          <w:rFonts w:ascii="Arial"/>
          <w:sz w:val="2"/>
        </w:rPr>
      </w:r>
    </w:p>
    <w:p>
      <w:pPr>
        <w:tabs>
          <w:tab w:pos="4296" w:val="left" w:leader="none"/>
          <w:tab w:pos="5735" w:val="left" w:leader="none"/>
          <w:tab w:pos="7230" w:val="left" w:leader="none"/>
          <w:tab w:pos="8257" w:val="left" w:leader="none"/>
        </w:tabs>
        <w:spacing w:before="0" w:after="22"/>
        <w:ind w:left="3203" w:right="0" w:firstLine="0"/>
        <w:jc w:val="left"/>
        <w:rPr>
          <w:rFonts w:ascii="Arial"/>
          <w:i/>
          <w:sz w:val="12"/>
        </w:rPr>
      </w:pPr>
      <w:r>
        <w:rPr>
          <w:rFonts w:ascii="Arial"/>
          <w:i/>
          <w:spacing w:val="-4"/>
          <w:sz w:val="12"/>
        </w:rPr>
        <w:t>Euro</w:t>
      </w:r>
      <w:r>
        <w:rPr>
          <w:rFonts w:ascii="Arial"/>
          <w:i/>
          <w:sz w:val="12"/>
        </w:rPr>
        <w:tab/>
        <w:t>Japanese</w:t>
      </w:r>
      <w:r>
        <w:rPr>
          <w:rFonts w:ascii="Arial"/>
          <w:i/>
          <w:spacing w:val="-6"/>
          <w:sz w:val="12"/>
        </w:rPr>
        <w:t> </w:t>
      </w:r>
      <w:r>
        <w:rPr>
          <w:rFonts w:ascii="Arial"/>
          <w:i/>
          <w:spacing w:val="-5"/>
          <w:sz w:val="12"/>
        </w:rPr>
        <w:t>Yen</w:t>
      </w:r>
      <w:r>
        <w:rPr>
          <w:rFonts w:ascii="Arial"/>
          <w:i/>
          <w:sz w:val="12"/>
        </w:rPr>
        <w:tab/>
        <w:t>U.S.</w:t>
      </w:r>
      <w:r>
        <w:rPr>
          <w:rFonts w:ascii="Arial"/>
          <w:i/>
          <w:spacing w:val="-3"/>
          <w:sz w:val="12"/>
        </w:rPr>
        <w:t> </w:t>
      </w:r>
      <w:r>
        <w:rPr>
          <w:rFonts w:ascii="Arial"/>
          <w:i/>
          <w:spacing w:val="-2"/>
          <w:sz w:val="12"/>
        </w:rPr>
        <w:t>dollars</w:t>
      </w:r>
      <w:r>
        <w:rPr>
          <w:rFonts w:ascii="Arial"/>
          <w:i/>
          <w:sz w:val="12"/>
        </w:rPr>
        <w:tab/>
      </w:r>
      <w:r>
        <w:rPr>
          <w:rFonts w:ascii="Arial"/>
          <w:i/>
          <w:spacing w:val="-2"/>
          <w:sz w:val="12"/>
        </w:rPr>
        <w:t>Others</w:t>
      </w:r>
      <w:r>
        <w:rPr>
          <w:rFonts w:ascii="Arial"/>
          <w:i/>
          <w:sz w:val="12"/>
        </w:rPr>
        <w:tab/>
        <w:t>Loans</w:t>
      </w:r>
      <w:r>
        <w:rPr>
          <w:rFonts w:ascii="Arial"/>
          <w:i/>
          <w:spacing w:val="-7"/>
          <w:sz w:val="12"/>
        </w:rPr>
        <w:t> </w:t>
      </w:r>
      <w:r>
        <w:rPr>
          <w:rFonts w:ascii="Arial"/>
          <w:i/>
          <w:spacing w:val="-2"/>
          <w:sz w:val="12"/>
        </w:rPr>
        <w:t>Outstanding</w:t>
      </w: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223"/>
        <w:gridCol w:w="420"/>
        <w:gridCol w:w="645"/>
        <w:gridCol w:w="59"/>
        <w:gridCol w:w="279"/>
        <w:gridCol w:w="357"/>
        <w:gridCol w:w="260"/>
        <w:gridCol w:w="391"/>
        <w:gridCol w:w="59"/>
        <w:gridCol w:w="279"/>
        <w:gridCol w:w="379"/>
        <w:gridCol w:w="661"/>
        <w:gridCol w:w="60"/>
        <w:gridCol w:w="280"/>
        <w:gridCol w:w="358"/>
        <w:gridCol w:w="228"/>
        <w:gridCol w:w="425"/>
        <w:gridCol w:w="60"/>
        <w:gridCol w:w="223"/>
        <w:gridCol w:w="420"/>
        <w:gridCol w:w="645"/>
        <w:gridCol w:w="651"/>
      </w:tblGrid>
      <w:tr>
        <w:trPr>
          <w:trHeight w:val="180" w:hRule="atLeast"/>
        </w:trPr>
        <w:tc>
          <w:tcPr>
            <w:tcW w:w="2586" w:type="dxa"/>
            <w:gridSpan w:val="3"/>
            <w:tcBorders>
              <w:top w:val="single" w:sz="8" w:space="0" w:color="000000"/>
            </w:tcBorders>
          </w:tcPr>
          <w:p>
            <w:pPr>
              <w:pStyle w:val="TableParagraph"/>
              <w:spacing w:before="2"/>
              <w:ind w:right="186"/>
              <w:jc w:val="right"/>
              <w:rPr>
                <w:rFonts w:ascii="Arial"/>
                <w:i/>
                <w:sz w:val="12"/>
              </w:rPr>
            </w:pPr>
            <w:r>
              <w:rPr>
                <w:rFonts w:ascii="Arial"/>
                <w:i/>
                <w:spacing w:val="-2"/>
                <w:sz w:val="12"/>
              </w:rPr>
              <w:t>Fixed</w:t>
            </w:r>
          </w:p>
        </w:tc>
        <w:tc>
          <w:tcPr>
            <w:tcW w:w="645" w:type="dxa"/>
            <w:tcBorders>
              <w:top w:val="single" w:sz="8" w:space="0" w:color="000000"/>
            </w:tcBorders>
          </w:tcPr>
          <w:p>
            <w:pPr>
              <w:pStyle w:val="TableParagraph"/>
              <w:spacing w:before="2"/>
              <w:ind w:right="83"/>
              <w:jc w:val="right"/>
              <w:rPr>
                <w:rFonts w:ascii="Arial"/>
                <w:i/>
                <w:sz w:val="12"/>
              </w:rPr>
            </w:pPr>
            <w:r>
              <w:rPr>
                <w:rFonts w:ascii="Arial"/>
                <w:i/>
                <w:spacing w:val="-2"/>
                <w:sz w:val="12"/>
              </w:rPr>
              <w:t>Variable</w:t>
            </w:r>
          </w:p>
        </w:tc>
        <w:tc>
          <w:tcPr>
            <w:tcW w:w="59" w:type="dxa"/>
          </w:tcPr>
          <w:p>
            <w:pPr>
              <w:pStyle w:val="TableParagraph"/>
              <w:rPr>
                <w:rFonts w:ascii="Times New Roman"/>
                <w:sz w:val="12"/>
              </w:rPr>
            </w:pPr>
          </w:p>
        </w:tc>
        <w:tc>
          <w:tcPr>
            <w:tcW w:w="636" w:type="dxa"/>
            <w:gridSpan w:val="2"/>
            <w:tcBorders>
              <w:top w:val="single" w:sz="8" w:space="0" w:color="000000"/>
            </w:tcBorders>
          </w:tcPr>
          <w:p>
            <w:pPr>
              <w:pStyle w:val="TableParagraph"/>
              <w:spacing w:before="2"/>
              <w:ind w:left="164"/>
              <w:rPr>
                <w:rFonts w:ascii="Arial"/>
                <w:i/>
                <w:sz w:val="12"/>
              </w:rPr>
            </w:pPr>
            <w:r>
              <w:rPr>
                <w:rFonts w:ascii="Arial"/>
                <w:i/>
                <w:spacing w:val="-2"/>
                <w:sz w:val="12"/>
              </w:rPr>
              <w:t>Fixed</w:t>
            </w:r>
          </w:p>
        </w:tc>
        <w:tc>
          <w:tcPr>
            <w:tcW w:w="651" w:type="dxa"/>
            <w:gridSpan w:val="2"/>
            <w:tcBorders>
              <w:top w:val="single" w:sz="8" w:space="0" w:color="000000"/>
            </w:tcBorders>
          </w:tcPr>
          <w:p>
            <w:pPr>
              <w:pStyle w:val="TableParagraph"/>
              <w:spacing w:before="2"/>
              <w:ind w:left="130"/>
              <w:rPr>
                <w:rFonts w:ascii="Arial"/>
                <w:i/>
                <w:sz w:val="12"/>
              </w:rPr>
            </w:pPr>
            <w:r>
              <w:rPr>
                <w:rFonts w:ascii="Arial"/>
                <w:i/>
                <w:spacing w:val="-2"/>
                <w:sz w:val="12"/>
              </w:rPr>
              <w:t>Variable</w:t>
            </w:r>
          </w:p>
        </w:tc>
        <w:tc>
          <w:tcPr>
            <w:tcW w:w="59" w:type="dxa"/>
          </w:tcPr>
          <w:p>
            <w:pPr>
              <w:pStyle w:val="TableParagraph"/>
              <w:rPr>
                <w:rFonts w:ascii="Times New Roman"/>
                <w:sz w:val="12"/>
              </w:rPr>
            </w:pPr>
          </w:p>
        </w:tc>
        <w:tc>
          <w:tcPr>
            <w:tcW w:w="658" w:type="dxa"/>
            <w:gridSpan w:val="2"/>
            <w:tcBorders>
              <w:top w:val="single" w:sz="8" w:space="0" w:color="000000"/>
            </w:tcBorders>
          </w:tcPr>
          <w:p>
            <w:pPr>
              <w:pStyle w:val="TableParagraph"/>
              <w:spacing w:before="2"/>
              <w:ind w:left="168"/>
              <w:rPr>
                <w:rFonts w:ascii="Arial"/>
                <w:i/>
                <w:sz w:val="12"/>
              </w:rPr>
            </w:pPr>
            <w:r>
              <w:rPr>
                <w:rFonts w:ascii="Arial"/>
                <w:i/>
                <w:spacing w:val="-2"/>
                <w:sz w:val="12"/>
              </w:rPr>
              <w:t>Fixed</w:t>
            </w:r>
          </w:p>
        </w:tc>
        <w:tc>
          <w:tcPr>
            <w:tcW w:w="661" w:type="dxa"/>
            <w:tcBorders>
              <w:top w:val="single" w:sz="8" w:space="0" w:color="000000"/>
            </w:tcBorders>
          </w:tcPr>
          <w:p>
            <w:pPr>
              <w:pStyle w:val="TableParagraph"/>
              <w:spacing w:before="2"/>
              <w:ind w:right="77"/>
              <w:jc w:val="right"/>
              <w:rPr>
                <w:rFonts w:ascii="Arial"/>
                <w:i/>
                <w:sz w:val="12"/>
              </w:rPr>
            </w:pPr>
            <w:r>
              <w:rPr>
                <w:rFonts w:ascii="Arial"/>
                <w:i/>
                <w:sz w:val="12"/>
              </w:rPr>
              <mc:AlternateContent>
                <mc:Choice Requires="wps">
                  <w:drawing>
                    <wp:anchor distT="0" distB="0" distL="0" distR="0" allowOverlap="1" layoutInCell="1" locked="0" behindDoc="1" simplePos="0" relativeHeight="470621696">
                      <wp:simplePos x="0" y="0"/>
                      <wp:positionH relativeFrom="column">
                        <wp:posOffset>29229</wp:posOffset>
                      </wp:positionH>
                      <wp:positionV relativeFrom="paragraph">
                        <wp:posOffset>101192</wp:posOffset>
                      </wp:positionV>
                      <wp:extent cx="2533650" cy="12700"/>
                      <wp:effectExtent l="0" t="0" r="0" b="0"/>
                      <wp:wrapNone/>
                      <wp:docPr id="747" name="Group 747"/>
                      <wp:cNvGraphicFramePr>
                        <a:graphicFrameLocks/>
                      </wp:cNvGraphicFramePr>
                      <a:graphic>
                        <a:graphicData uri="http://schemas.microsoft.com/office/word/2010/wordprocessingGroup">
                          <wpg:wgp>
                            <wpg:cNvPr id="747" name="Group 747"/>
                            <wpg:cNvGrpSpPr/>
                            <wpg:grpSpPr>
                              <a:xfrm>
                                <a:off x="0" y="0"/>
                                <a:ext cx="2533650" cy="12700"/>
                                <a:chExt cx="2533650" cy="12700"/>
                              </a:xfrm>
                            </wpg:grpSpPr>
                            <wps:wsp>
                              <wps:cNvPr id="748" name="Graphic 748"/>
                              <wps:cNvSpPr/>
                              <wps:spPr>
                                <a:xfrm>
                                  <a:off x="0" y="6350"/>
                                  <a:ext cx="2533650" cy="1270"/>
                                </a:xfrm>
                                <a:custGeom>
                                  <a:avLst/>
                                  <a:gdLst/>
                                  <a:ahLst/>
                                  <a:cxnLst/>
                                  <a:rect l="l" t="t" r="r" b="b"/>
                                  <a:pathLst>
                                    <a:path w="2533650" h="0">
                                      <a:moveTo>
                                        <a:pt x="0" y="0"/>
                                      </a:moveTo>
                                      <a:lnTo>
                                        <a:pt x="390525" y="0"/>
                                      </a:lnTo>
                                    </a:path>
                                    <a:path w="2533650" h="0">
                                      <a:moveTo>
                                        <a:pt x="428625" y="0"/>
                                      </a:moveTo>
                                      <a:lnTo>
                                        <a:pt x="819150" y="0"/>
                                      </a:lnTo>
                                    </a:path>
                                    <a:path w="2533650" h="0">
                                      <a:moveTo>
                                        <a:pt x="857250" y="0"/>
                                      </a:moveTo>
                                      <a:lnTo>
                                        <a:pt x="1247775" y="0"/>
                                      </a:lnTo>
                                    </a:path>
                                    <a:path w="2533650" h="0">
                                      <a:moveTo>
                                        <a:pt x="1285875" y="0"/>
                                      </a:moveTo>
                                      <a:lnTo>
                                        <a:pt x="1676400" y="0"/>
                                      </a:lnTo>
                                    </a:path>
                                    <a:path w="2533650" h="0">
                                      <a:moveTo>
                                        <a:pt x="1714500" y="0"/>
                                      </a:moveTo>
                                      <a:lnTo>
                                        <a:pt x="2105025" y="0"/>
                                      </a:lnTo>
                                    </a:path>
                                    <a:path w="2533650" h="0">
                                      <a:moveTo>
                                        <a:pt x="2143125" y="0"/>
                                      </a:moveTo>
                                      <a:lnTo>
                                        <a:pt x="2533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1543pt;margin-top:7.96792pt;width:199.5pt;height:1pt;mso-position-horizontal-relative:column;mso-position-vertical-relative:paragraph;z-index:-32694784" id="docshapegroup635" coordorigin="46,159" coordsize="3990,20">
                      <v:shape style="position:absolute;left:46;top:169;width:3990;height:2" id="docshape636" coordorigin="46,169" coordsize="3990,0" path="m46,169l661,169m721,169l1336,169m1396,169l2011,169m2071,169l2686,169m2746,169l3361,169m3421,169l4036,169e" filled="false" stroked="true" strokeweight="1pt" strokecolor="#000000">
                        <v:path arrowok="t"/>
                        <v:stroke dashstyle="solid"/>
                      </v:shape>
                      <w10:wrap type="none"/>
                    </v:group>
                  </w:pict>
                </mc:Fallback>
              </mc:AlternateContent>
            </w:r>
            <w:r>
              <w:rPr>
                <w:rFonts w:ascii="Arial"/>
                <w:i/>
                <w:spacing w:val="-2"/>
                <w:sz w:val="12"/>
              </w:rPr>
              <w:t>Variable</w:t>
            </w:r>
          </w:p>
        </w:tc>
        <w:tc>
          <w:tcPr>
            <w:tcW w:w="60" w:type="dxa"/>
          </w:tcPr>
          <w:p>
            <w:pPr>
              <w:pStyle w:val="TableParagraph"/>
              <w:rPr>
                <w:rFonts w:ascii="Times New Roman"/>
                <w:sz w:val="12"/>
              </w:rPr>
            </w:pPr>
          </w:p>
        </w:tc>
        <w:tc>
          <w:tcPr>
            <w:tcW w:w="638" w:type="dxa"/>
            <w:gridSpan w:val="2"/>
            <w:tcBorders>
              <w:top w:val="single" w:sz="8" w:space="0" w:color="000000"/>
            </w:tcBorders>
          </w:tcPr>
          <w:p>
            <w:pPr>
              <w:pStyle w:val="TableParagraph"/>
              <w:spacing w:before="2"/>
              <w:ind w:left="169"/>
              <w:rPr>
                <w:rFonts w:ascii="Arial"/>
                <w:i/>
                <w:sz w:val="12"/>
              </w:rPr>
            </w:pPr>
            <w:r>
              <w:rPr>
                <w:rFonts w:ascii="Arial"/>
                <w:i/>
                <w:spacing w:val="-2"/>
                <w:sz w:val="12"/>
              </w:rPr>
              <w:t>Fixed</w:t>
            </w:r>
          </w:p>
        </w:tc>
        <w:tc>
          <w:tcPr>
            <w:tcW w:w="653" w:type="dxa"/>
            <w:gridSpan w:val="2"/>
            <w:tcBorders>
              <w:top w:val="single" w:sz="8" w:space="0" w:color="000000"/>
            </w:tcBorders>
          </w:tcPr>
          <w:p>
            <w:pPr>
              <w:pStyle w:val="TableParagraph"/>
              <w:spacing w:before="2"/>
              <w:ind w:left="133"/>
              <w:rPr>
                <w:rFonts w:ascii="Arial"/>
                <w:i/>
                <w:sz w:val="12"/>
              </w:rPr>
            </w:pPr>
            <w:r>
              <w:rPr>
                <w:rFonts w:ascii="Arial"/>
                <w:i/>
                <w:spacing w:val="-2"/>
                <w:sz w:val="12"/>
              </w:rPr>
              <w:t>Variable</w:t>
            </w:r>
          </w:p>
        </w:tc>
        <w:tc>
          <w:tcPr>
            <w:tcW w:w="60" w:type="dxa"/>
          </w:tcPr>
          <w:p>
            <w:pPr>
              <w:pStyle w:val="TableParagraph"/>
              <w:rPr>
                <w:rFonts w:ascii="Times New Roman"/>
                <w:sz w:val="12"/>
              </w:rPr>
            </w:pPr>
          </w:p>
        </w:tc>
        <w:tc>
          <w:tcPr>
            <w:tcW w:w="643" w:type="dxa"/>
            <w:gridSpan w:val="2"/>
            <w:tcBorders>
              <w:top w:val="single" w:sz="8" w:space="0" w:color="000000"/>
            </w:tcBorders>
          </w:tcPr>
          <w:p>
            <w:pPr>
              <w:pStyle w:val="TableParagraph"/>
              <w:spacing w:before="2"/>
              <w:ind w:left="168"/>
              <w:rPr>
                <w:rFonts w:ascii="Arial"/>
                <w:i/>
                <w:sz w:val="12"/>
              </w:rPr>
            </w:pPr>
            <w:r>
              <w:rPr>
                <w:rFonts w:ascii="Arial"/>
                <w:i/>
                <w:spacing w:val="-2"/>
                <w:sz w:val="12"/>
              </w:rPr>
              <w:t>Fixed</w:t>
            </w:r>
          </w:p>
        </w:tc>
        <w:tc>
          <w:tcPr>
            <w:tcW w:w="645" w:type="dxa"/>
            <w:tcBorders>
              <w:top w:val="single" w:sz="8" w:space="0" w:color="000000"/>
            </w:tcBorders>
          </w:tcPr>
          <w:p>
            <w:pPr>
              <w:pStyle w:val="TableParagraph"/>
              <w:spacing w:before="2"/>
              <w:ind w:right="76"/>
              <w:jc w:val="right"/>
              <w:rPr>
                <w:rFonts w:ascii="Arial"/>
                <w:i/>
                <w:sz w:val="12"/>
              </w:rPr>
            </w:pPr>
            <w:r>
              <w:rPr>
                <w:rFonts w:ascii="Arial"/>
                <w:i/>
                <w:spacing w:val="-2"/>
                <w:sz w:val="12"/>
              </w:rPr>
              <w:t>Variable</w:t>
            </w:r>
          </w:p>
        </w:tc>
        <w:tc>
          <w:tcPr>
            <w:tcW w:w="651" w:type="dxa"/>
          </w:tcPr>
          <w:p>
            <w:pPr>
              <w:pStyle w:val="TableParagraph"/>
              <w:spacing w:before="2"/>
              <w:ind w:left="243"/>
              <w:rPr>
                <w:rFonts w:ascii="Arial"/>
                <w:i/>
                <w:sz w:val="12"/>
              </w:rPr>
            </w:pPr>
            <w:r>
              <w:rPr>
                <w:rFonts w:ascii="Arial"/>
                <w:i/>
                <w:spacing w:val="-2"/>
                <w:sz w:val="12"/>
              </w:rPr>
              <w:t>Total</w:t>
            </w:r>
          </w:p>
        </w:tc>
      </w:tr>
      <w:tr>
        <w:trPr>
          <w:trHeight w:val="335" w:hRule="atLeast"/>
        </w:trPr>
        <w:tc>
          <w:tcPr>
            <w:tcW w:w="1943" w:type="dxa"/>
          </w:tcPr>
          <w:p>
            <w:pPr>
              <w:pStyle w:val="TableParagraph"/>
              <w:spacing w:before="44"/>
              <w:rPr>
                <w:rFonts w:ascii="Arial"/>
                <w:i/>
                <w:sz w:val="12"/>
              </w:rPr>
            </w:pPr>
          </w:p>
          <w:p>
            <w:pPr>
              <w:pStyle w:val="TableParagraph"/>
              <w:spacing w:line="133" w:lineRule="exact"/>
              <w:ind w:left="31"/>
              <w:rPr>
                <w:sz w:val="12"/>
              </w:rPr>
            </w:pPr>
            <w:r>
              <w:rPr>
                <w:sz w:val="12"/>
              </w:rPr>
              <w:t>Multicurrency</w:t>
            </w:r>
            <w:r>
              <w:rPr>
                <w:spacing w:val="-8"/>
                <w:sz w:val="12"/>
              </w:rPr>
              <w:t> </w:t>
            </w:r>
            <w:r>
              <w:rPr>
                <w:sz w:val="12"/>
              </w:rPr>
              <w:t>terms</w:t>
            </w:r>
            <w:r>
              <w:rPr>
                <w:spacing w:val="-8"/>
                <w:sz w:val="12"/>
              </w:rPr>
              <w:t> </w:t>
            </w:r>
            <w:r>
              <w:rPr>
                <w:spacing w:val="-10"/>
                <w:sz w:val="12"/>
                <w:vertAlign w:val="superscript"/>
              </w:rPr>
              <w:t>a</w:t>
            </w:r>
          </w:p>
        </w:tc>
        <w:tc>
          <w:tcPr>
            <w:tcW w:w="643" w:type="dxa"/>
            <w:gridSpan w:val="2"/>
          </w:tcPr>
          <w:p>
            <w:pPr>
              <w:pStyle w:val="TableParagraph"/>
              <w:spacing w:before="59"/>
              <w:rPr>
                <w:rFonts w:ascii="Arial"/>
                <w:i/>
                <w:sz w:val="12"/>
              </w:rPr>
            </w:pPr>
          </w:p>
          <w:p>
            <w:pPr>
              <w:pStyle w:val="TableParagraph"/>
              <w:tabs>
                <w:tab w:pos="427" w:val="left" w:leader="none"/>
              </w:tabs>
              <w:spacing w:line="118" w:lineRule="exact"/>
              <w:ind w:left="53"/>
              <w:rPr>
                <w:sz w:val="12"/>
              </w:rPr>
            </w:pPr>
            <w:r>
              <w:rPr>
                <w:sz w:val="12"/>
              </w:rPr>
              <mc:AlternateContent>
                <mc:Choice Requires="wps">
                  <w:drawing>
                    <wp:anchor distT="0" distB="0" distL="0" distR="0" allowOverlap="1" layoutInCell="1" locked="0" behindDoc="1" simplePos="0" relativeHeight="470621184">
                      <wp:simplePos x="0" y="0"/>
                      <wp:positionH relativeFrom="column">
                        <wp:posOffset>0</wp:posOffset>
                      </wp:positionH>
                      <wp:positionV relativeFrom="paragraph">
                        <wp:posOffset>-137948</wp:posOffset>
                      </wp:positionV>
                      <wp:extent cx="2105025" cy="1270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2105025" cy="12700"/>
                                <a:chExt cx="2105025" cy="12700"/>
                              </a:xfrm>
                            </wpg:grpSpPr>
                            <wps:wsp>
                              <wps:cNvPr id="750" name="Graphic 750"/>
                              <wps:cNvSpPr/>
                              <wps:spPr>
                                <a:xfrm>
                                  <a:off x="0" y="6350"/>
                                  <a:ext cx="2105025" cy="1270"/>
                                </a:xfrm>
                                <a:custGeom>
                                  <a:avLst/>
                                  <a:gdLst/>
                                  <a:ahLst/>
                                  <a:cxnLst/>
                                  <a:rect l="l" t="t" r="r" b="b"/>
                                  <a:pathLst>
                                    <a:path w="2105025" h="0">
                                      <a:moveTo>
                                        <a:pt x="0" y="0"/>
                                      </a:moveTo>
                                      <a:lnTo>
                                        <a:pt x="390525" y="0"/>
                                      </a:lnTo>
                                    </a:path>
                                    <a:path w="2105025" h="0">
                                      <a:moveTo>
                                        <a:pt x="428625" y="0"/>
                                      </a:moveTo>
                                      <a:lnTo>
                                        <a:pt x="819150" y="0"/>
                                      </a:lnTo>
                                    </a:path>
                                    <a:path w="2105025" h="0">
                                      <a:moveTo>
                                        <a:pt x="857250" y="0"/>
                                      </a:moveTo>
                                      <a:lnTo>
                                        <a:pt x="1247775" y="0"/>
                                      </a:lnTo>
                                    </a:path>
                                    <a:path w="2105025" h="0">
                                      <a:moveTo>
                                        <a:pt x="1285875" y="0"/>
                                      </a:moveTo>
                                      <a:lnTo>
                                        <a:pt x="1676400" y="0"/>
                                      </a:lnTo>
                                    </a:path>
                                    <a:path w="2105025" h="0">
                                      <a:moveTo>
                                        <a:pt x="1714500" y="0"/>
                                      </a:moveTo>
                                      <a:lnTo>
                                        <a:pt x="210502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0.862061pt;width:165.75pt;height:1pt;mso-position-horizontal-relative:column;mso-position-vertical-relative:paragraph;z-index:-32695296" id="docshapegroup637" coordorigin="0,-217" coordsize="3315,20">
                      <v:shape style="position:absolute;left:0;top:-208;width:3315;height:2" id="docshape638" coordorigin="0,-207" coordsize="3315,0" path="m0,-207l615,-207m675,-207l1290,-207m1350,-207l1965,-207m2025,-207l2640,-207m2700,-207l3315,-207e" filled="false" stroked="true" strokeweight="1pt" strokecolor="#000000">
                        <v:path arrowok="t"/>
                        <v:stroke dashstyle="solid"/>
                      </v:shape>
                      <w10:wrap type="none"/>
                    </v:group>
                  </w:pict>
                </mc:Fallback>
              </mc:AlternateContent>
            </w:r>
            <w:r>
              <w:rPr>
                <w:spacing w:val="-10"/>
                <w:sz w:val="12"/>
              </w:rPr>
              <w:t>$</w:t>
            </w:r>
            <w:r>
              <w:rPr>
                <w:sz w:val="12"/>
              </w:rPr>
              <w:tab/>
            </w:r>
            <w:r>
              <w:rPr>
                <w:spacing w:val="-5"/>
                <w:sz w:val="12"/>
              </w:rPr>
              <w:t>13</w:t>
            </w:r>
          </w:p>
        </w:tc>
        <w:tc>
          <w:tcPr>
            <w:tcW w:w="645" w:type="dxa"/>
          </w:tcPr>
          <w:p>
            <w:pPr>
              <w:pStyle w:val="TableParagraph"/>
              <w:spacing w:before="59"/>
              <w:rPr>
                <w:rFonts w:ascii="Arial"/>
                <w:i/>
                <w:sz w:val="12"/>
              </w:rPr>
            </w:pPr>
          </w:p>
          <w:p>
            <w:pPr>
              <w:pStyle w:val="TableParagraph"/>
              <w:tabs>
                <w:tab w:pos="440" w:val="left" w:leader="none"/>
              </w:tabs>
              <w:spacing w:line="118" w:lineRule="exact"/>
              <w:ind w:right="50"/>
              <w:jc w:val="right"/>
              <w:rPr>
                <w:sz w:val="12"/>
              </w:rPr>
            </w:pPr>
            <w:r>
              <w:rPr>
                <w:spacing w:val="-10"/>
                <w:sz w:val="12"/>
              </w:rPr>
              <w:t>$</w:t>
            </w:r>
            <w:r>
              <w:rPr>
                <w:sz w:val="12"/>
              </w:rPr>
              <w:tab/>
            </w:r>
            <w:r>
              <w:rPr>
                <w:spacing w:val="-10"/>
                <w:sz w:val="12"/>
              </w:rPr>
              <w:t>7</w:t>
            </w:r>
          </w:p>
        </w:tc>
        <w:tc>
          <w:tcPr>
            <w:tcW w:w="695" w:type="dxa"/>
            <w:gridSpan w:val="3"/>
          </w:tcPr>
          <w:p>
            <w:pPr>
              <w:pStyle w:val="TableParagraph"/>
              <w:spacing w:before="59"/>
              <w:rPr>
                <w:rFonts w:ascii="Arial"/>
                <w:i/>
                <w:sz w:val="12"/>
              </w:rPr>
            </w:pPr>
          </w:p>
          <w:p>
            <w:pPr>
              <w:pStyle w:val="TableParagraph"/>
              <w:tabs>
                <w:tab w:pos="489" w:val="left" w:leader="none"/>
              </w:tabs>
              <w:spacing w:line="118" w:lineRule="exact"/>
              <w:ind w:left="115"/>
              <w:rPr>
                <w:sz w:val="12"/>
              </w:rPr>
            </w:pPr>
            <w:r>
              <w:rPr>
                <w:spacing w:val="-10"/>
                <w:sz w:val="12"/>
              </w:rPr>
              <w:t>$</w:t>
            </w:r>
            <w:r>
              <w:rPr>
                <w:sz w:val="12"/>
              </w:rPr>
              <w:tab/>
            </w:r>
            <w:r>
              <w:rPr>
                <w:spacing w:val="-5"/>
                <w:sz w:val="12"/>
              </w:rPr>
              <w:t>11</w:t>
            </w:r>
          </w:p>
        </w:tc>
        <w:tc>
          <w:tcPr>
            <w:tcW w:w="651" w:type="dxa"/>
            <w:gridSpan w:val="2"/>
          </w:tcPr>
          <w:p>
            <w:pPr>
              <w:pStyle w:val="TableParagraph"/>
              <w:spacing w:before="59"/>
              <w:rPr>
                <w:rFonts w:ascii="Arial"/>
                <w:i/>
                <w:sz w:val="12"/>
              </w:rPr>
            </w:pPr>
          </w:p>
          <w:p>
            <w:pPr>
              <w:pStyle w:val="TableParagraph"/>
              <w:tabs>
                <w:tab w:pos="535" w:val="left" w:leader="none"/>
              </w:tabs>
              <w:spacing w:line="118" w:lineRule="exact"/>
              <w:ind w:left="95"/>
              <w:rPr>
                <w:sz w:val="12"/>
              </w:rPr>
            </w:pPr>
            <w:r>
              <w:rPr>
                <w:spacing w:val="-10"/>
                <w:sz w:val="12"/>
              </w:rPr>
              <w:t>$</w:t>
            </w:r>
            <w:r>
              <w:rPr>
                <w:sz w:val="12"/>
              </w:rPr>
              <w:tab/>
            </w:r>
            <w:r>
              <w:rPr>
                <w:spacing w:val="-10"/>
                <w:sz w:val="12"/>
              </w:rPr>
              <w:t>4</w:t>
            </w:r>
          </w:p>
        </w:tc>
        <w:tc>
          <w:tcPr>
            <w:tcW w:w="717" w:type="dxa"/>
            <w:gridSpan w:val="3"/>
          </w:tcPr>
          <w:p>
            <w:pPr>
              <w:pStyle w:val="TableParagraph"/>
              <w:spacing w:before="59"/>
              <w:rPr>
                <w:rFonts w:ascii="Arial"/>
                <w:i/>
                <w:sz w:val="12"/>
              </w:rPr>
            </w:pPr>
          </w:p>
          <w:p>
            <w:pPr>
              <w:pStyle w:val="TableParagraph"/>
              <w:tabs>
                <w:tab w:pos="493" w:val="left" w:leader="none"/>
              </w:tabs>
              <w:spacing w:line="118" w:lineRule="exact"/>
              <w:ind w:left="119"/>
              <w:rPr>
                <w:sz w:val="12"/>
              </w:rPr>
            </w:pPr>
            <w:r>
              <w:rPr>
                <w:spacing w:val="-10"/>
                <w:sz w:val="12"/>
              </w:rPr>
              <w:t>$</w:t>
            </w:r>
            <w:r>
              <w:rPr>
                <w:sz w:val="12"/>
              </w:rPr>
              <w:tab/>
            </w:r>
            <w:r>
              <w:rPr>
                <w:spacing w:val="-5"/>
                <w:sz w:val="12"/>
              </w:rPr>
              <w:t>32</w:t>
            </w:r>
          </w:p>
        </w:tc>
        <w:tc>
          <w:tcPr>
            <w:tcW w:w="661" w:type="dxa"/>
          </w:tcPr>
          <w:p>
            <w:pPr>
              <w:pStyle w:val="TableParagraph"/>
              <w:spacing w:before="59"/>
              <w:rPr>
                <w:rFonts w:ascii="Arial"/>
                <w:i/>
                <w:sz w:val="12"/>
              </w:rPr>
            </w:pPr>
          </w:p>
          <w:p>
            <w:pPr>
              <w:pStyle w:val="TableParagraph"/>
              <w:tabs>
                <w:tab w:pos="307" w:val="left" w:leader="none"/>
              </w:tabs>
              <w:spacing w:line="118" w:lineRule="exact"/>
              <w:ind w:right="44"/>
              <w:jc w:val="right"/>
              <w:rPr>
                <w:sz w:val="12"/>
              </w:rPr>
            </w:pPr>
            <w:r>
              <w:rPr>
                <w:spacing w:val="-10"/>
                <w:sz w:val="12"/>
              </w:rPr>
              <w:t>$</w:t>
            </w:r>
            <w:r>
              <w:rPr>
                <w:sz w:val="12"/>
              </w:rPr>
              <w:tab/>
            </w:r>
            <w:r>
              <w:rPr>
                <w:spacing w:val="-5"/>
                <w:sz w:val="12"/>
              </w:rPr>
              <w:t>402</w:t>
            </w:r>
          </w:p>
        </w:tc>
        <w:tc>
          <w:tcPr>
            <w:tcW w:w="698" w:type="dxa"/>
            <w:gridSpan w:val="3"/>
          </w:tcPr>
          <w:p>
            <w:pPr>
              <w:pStyle w:val="TableParagraph"/>
              <w:spacing w:before="59"/>
              <w:rPr>
                <w:rFonts w:ascii="Arial"/>
                <w:i/>
                <w:sz w:val="12"/>
              </w:rPr>
            </w:pPr>
          </w:p>
          <w:p>
            <w:pPr>
              <w:pStyle w:val="TableParagraph"/>
              <w:tabs>
                <w:tab w:pos="508" w:val="left" w:leader="none"/>
              </w:tabs>
              <w:spacing w:line="118" w:lineRule="exact"/>
              <w:ind w:left="121"/>
              <w:rPr>
                <w:sz w:val="12"/>
              </w:rPr>
            </w:pPr>
            <w:r>
              <w:rPr>
                <w:spacing w:val="-10"/>
                <w:sz w:val="12"/>
              </w:rPr>
              <w:t>$</w:t>
            </w:r>
            <w:r>
              <w:rPr>
                <w:sz w:val="12"/>
              </w:rPr>
              <w:tab/>
              <w:t>—</w:t>
            </w:r>
          </w:p>
        </w:tc>
        <w:tc>
          <w:tcPr>
            <w:tcW w:w="653" w:type="dxa"/>
            <w:gridSpan w:val="2"/>
          </w:tcPr>
          <w:p>
            <w:pPr>
              <w:pStyle w:val="TableParagraph"/>
              <w:spacing w:before="59"/>
              <w:rPr>
                <w:rFonts w:ascii="Arial"/>
                <w:i/>
                <w:sz w:val="12"/>
              </w:rPr>
            </w:pPr>
          </w:p>
          <w:p>
            <w:pPr>
              <w:pStyle w:val="TableParagraph"/>
              <w:tabs>
                <w:tab w:pos="485" w:val="left" w:leader="none"/>
              </w:tabs>
              <w:spacing w:line="118" w:lineRule="exact"/>
              <w:ind w:left="98"/>
              <w:rPr>
                <w:sz w:val="12"/>
              </w:rPr>
            </w:pPr>
            <w:r>
              <w:rPr>
                <w:spacing w:val="-10"/>
                <w:sz w:val="12"/>
              </w:rPr>
              <w:t>$</w:t>
            </w:r>
            <w:r>
              <w:rPr>
                <w:sz w:val="12"/>
              </w:rPr>
              <w:tab/>
              <w:t>—</w:t>
            </w:r>
          </w:p>
        </w:tc>
        <w:tc>
          <w:tcPr>
            <w:tcW w:w="703" w:type="dxa"/>
            <w:gridSpan w:val="3"/>
          </w:tcPr>
          <w:p>
            <w:pPr>
              <w:pStyle w:val="TableParagraph"/>
              <w:spacing w:before="59"/>
              <w:rPr>
                <w:rFonts w:ascii="Arial"/>
                <w:i/>
                <w:sz w:val="12"/>
              </w:rPr>
            </w:pPr>
          </w:p>
          <w:p>
            <w:pPr>
              <w:pStyle w:val="TableParagraph"/>
              <w:tabs>
                <w:tab w:pos="494" w:val="left" w:leader="none"/>
              </w:tabs>
              <w:spacing w:line="118" w:lineRule="exact"/>
              <w:ind w:left="120"/>
              <w:rPr>
                <w:sz w:val="12"/>
              </w:rPr>
            </w:pPr>
            <w:r>
              <w:rPr>
                <w:spacing w:val="-10"/>
                <w:sz w:val="12"/>
              </w:rPr>
              <w:t>$</w:t>
            </w:r>
            <w:r>
              <w:rPr>
                <w:sz w:val="12"/>
              </w:rPr>
              <w:tab/>
            </w:r>
            <w:r>
              <w:rPr>
                <w:spacing w:val="-5"/>
                <w:sz w:val="12"/>
              </w:rPr>
              <w:t>56</w:t>
            </w:r>
          </w:p>
        </w:tc>
        <w:tc>
          <w:tcPr>
            <w:tcW w:w="645" w:type="dxa"/>
          </w:tcPr>
          <w:p>
            <w:pPr>
              <w:pStyle w:val="TableParagraph"/>
              <w:spacing w:before="59"/>
              <w:rPr>
                <w:rFonts w:ascii="Arial"/>
                <w:i/>
                <w:sz w:val="12"/>
              </w:rPr>
            </w:pPr>
          </w:p>
          <w:p>
            <w:pPr>
              <w:pStyle w:val="TableParagraph"/>
              <w:tabs>
                <w:tab w:pos="307" w:val="left" w:leader="none"/>
              </w:tabs>
              <w:spacing w:line="118" w:lineRule="exact"/>
              <w:ind w:right="43"/>
              <w:jc w:val="right"/>
              <w:rPr>
                <w:sz w:val="12"/>
              </w:rPr>
            </w:pPr>
            <w:r>
              <w:rPr>
                <w:spacing w:val="-10"/>
                <w:sz w:val="12"/>
              </w:rPr>
              <w:t>$</w:t>
            </w:r>
            <w:r>
              <w:rPr>
                <w:sz w:val="12"/>
              </w:rPr>
              <w:tab/>
            </w:r>
            <w:r>
              <w:rPr>
                <w:spacing w:val="-5"/>
                <w:sz w:val="12"/>
              </w:rPr>
              <w:t>413</w:t>
            </w:r>
          </w:p>
        </w:tc>
        <w:tc>
          <w:tcPr>
            <w:tcW w:w="651" w:type="dxa"/>
          </w:tcPr>
          <w:p>
            <w:pPr>
              <w:pStyle w:val="TableParagraph"/>
              <w:spacing w:before="59"/>
              <w:rPr>
                <w:rFonts w:ascii="Arial"/>
                <w:i/>
                <w:sz w:val="12"/>
              </w:rPr>
            </w:pPr>
          </w:p>
          <w:p>
            <w:pPr>
              <w:pStyle w:val="TableParagraph"/>
              <w:tabs>
                <w:tab w:pos="307" w:val="left" w:leader="none"/>
              </w:tabs>
              <w:spacing w:line="118" w:lineRule="exact"/>
              <w:ind w:right="19"/>
              <w:jc w:val="right"/>
              <w:rPr>
                <w:sz w:val="12"/>
              </w:rPr>
            </w:pPr>
            <w:r>
              <w:rPr>
                <w:spacing w:val="-10"/>
                <w:sz w:val="12"/>
              </w:rPr>
              <w:t>$</w:t>
            </w:r>
            <w:r>
              <w:rPr>
                <w:sz w:val="12"/>
              </w:rPr>
              <w:tab/>
            </w:r>
            <w:r>
              <w:rPr>
                <w:spacing w:val="-5"/>
                <w:sz w:val="12"/>
              </w:rPr>
              <w:t>469</w:t>
            </w:r>
          </w:p>
        </w:tc>
      </w:tr>
      <w:tr>
        <w:trPr>
          <w:trHeight w:val="195" w:hRule="atLeast"/>
        </w:trPr>
        <w:tc>
          <w:tcPr>
            <w:tcW w:w="1943" w:type="dxa"/>
          </w:tcPr>
          <w:p>
            <w:pPr>
              <w:pStyle w:val="TableParagraph"/>
              <w:spacing w:before="12"/>
              <w:ind w:right="224"/>
              <w:jc w:val="right"/>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643" w:type="dxa"/>
            <w:gridSpan w:val="2"/>
          </w:tcPr>
          <w:p>
            <w:pPr>
              <w:pStyle w:val="TableParagraph"/>
              <w:spacing w:line="133" w:lineRule="exact" w:before="27"/>
              <w:ind w:left="327"/>
              <w:rPr>
                <w:sz w:val="12"/>
              </w:rPr>
            </w:pPr>
            <w:r>
              <w:rPr>
                <w:spacing w:val="-4"/>
                <w:sz w:val="12"/>
              </w:rPr>
              <w:t>2.78</w:t>
            </w:r>
          </w:p>
        </w:tc>
        <w:tc>
          <w:tcPr>
            <w:tcW w:w="645" w:type="dxa"/>
          </w:tcPr>
          <w:p>
            <w:pPr>
              <w:pStyle w:val="TableParagraph"/>
              <w:spacing w:line="133" w:lineRule="exact" w:before="27"/>
              <w:ind w:right="50"/>
              <w:jc w:val="right"/>
              <w:rPr>
                <w:sz w:val="12"/>
              </w:rPr>
            </w:pPr>
            <w:r>
              <w:rPr>
                <w:spacing w:val="-4"/>
                <w:sz w:val="12"/>
              </w:rPr>
              <w:t>6.25</w:t>
            </w:r>
          </w:p>
        </w:tc>
        <w:tc>
          <w:tcPr>
            <w:tcW w:w="695" w:type="dxa"/>
            <w:gridSpan w:val="3"/>
          </w:tcPr>
          <w:p>
            <w:pPr>
              <w:pStyle w:val="TableParagraph"/>
              <w:spacing w:line="133" w:lineRule="exact" w:before="27"/>
              <w:ind w:left="389"/>
              <w:rPr>
                <w:sz w:val="12"/>
              </w:rPr>
            </w:pPr>
            <w:r>
              <w:rPr>
                <w:spacing w:val="-4"/>
                <w:sz w:val="12"/>
              </w:rPr>
              <w:t>2.78</w:t>
            </w:r>
          </w:p>
        </w:tc>
        <w:tc>
          <w:tcPr>
            <w:tcW w:w="651" w:type="dxa"/>
            <w:gridSpan w:val="2"/>
          </w:tcPr>
          <w:p>
            <w:pPr>
              <w:pStyle w:val="TableParagraph"/>
              <w:spacing w:line="133" w:lineRule="exact" w:before="27"/>
              <w:ind w:left="369"/>
              <w:rPr>
                <w:sz w:val="12"/>
              </w:rPr>
            </w:pPr>
            <w:r>
              <w:rPr>
                <w:spacing w:val="-4"/>
                <w:sz w:val="12"/>
              </w:rPr>
              <w:t>6.25</w:t>
            </w:r>
          </w:p>
        </w:tc>
        <w:tc>
          <w:tcPr>
            <w:tcW w:w="717" w:type="dxa"/>
            <w:gridSpan w:val="3"/>
          </w:tcPr>
          <w:p>
            <w:pPr>
              <w:pStyle w:val="TableParagraph"/>
              <w:spacing w:line="133" w:lineRule="exact" w:before="27"/>
              <w:ind w:left="393"/>
              <w:rPr>
                <w:sz w:val="12"/>
              </w:rPr>
            </w:pPr>
            <w:r>
              <w:rPr>
                <w:spacing w:val="-4"/>
                <w:sz w:val="12"/>
              </w:rPr>
              <w:t>6.77</w:t>
            </w:r>
          </w:p>
        </w:tc>
        <w:tc>
          <w:tcPr>
            <w:tcW w:w="661" w:type="dxa"/>
          </w:tcPr>
          <w:p>
            <w:pPr>
              <w:pStyle w:val="TableParagraph"/>
              <w:spacing w:line="133" w:lineRule="exact" w:before="27"/>
              <w:ind w:right="44"/>
              <w:jc w:val="right"/>
              <w:rPr>
                <w:sz w:val="12"/>
              </w:rPr>
            </w:pPr>
            <w:r>
              <w:rPr>
                <w:spacing w:val="-4"/>
                <w:sz w:val="12"/>
              </w:rPr>
              <w:t>5.97</w:t>
            </w:r>
          </w:p>
        </w:tc>
        <w:tc>
          <w:tcPr>
            <w:tcW w:w="1351" w:type="dxa"/>
            <w:gridSpan w:val="5"/>
          </w:tcPr>
          <w:p>
            <w:pPr>
              <w:pStyle w:val="TableParagraph"/>
              <w:tabs>
                <w:tab w:pos="1183" w:val="left" w:leader="none"/>
              </w:tabs>
              <w:spacing w:line="133" w:lineRule="exact" w:before="27"/>
              <w:ind w:left="508"/>
              <w:rPr>
                <w:sz w:val="12"/>
              </w:rPr>
            </w:pPr>
            <w:r>
              <w:rPr>
                <w:sz w:val="12"/>
              </w:rPr>
              <w:t>—</w:t>
              <w:tab/>
              <w:t>—</w:t>
            </w:r>
          </w:p>
        </w:tc>
        <w:tc>
          <w:tcPr>
            <w:tcW w:w="703" w:type="dxa"/>
            <w:gridSpan w:val="3"/>
          </w:tcPr>
          <w:p>
            <w:pPr>
              <w:pStyle w:val="TableParagraph"/>
              <w:spacing w:line="133" w:lineRule="exact" w:before="27"/>
              <w:ind w:left="394"/>
              <w:rPr>
                <w:sz w:val="12"/>
              </w:rPr>
            </w:pPr>
            <w:r>
              <w:rPr>
                <w:spacing w:val="-4"/>
                <w:sz w:val="12"/>
              </w:rPr>
              <w:t>5.10</w:t>
            </w:r>
          </w:p>
        </w:tc>
        <w:tc>
          <w:tcPr>
            <w:tcW w:w="645" w:type="dxa"/>
          </w:tcPr>
          <w:p>
            <w:pPr>
              <w:pStyle w:val="TableParagraph"/>
              <w:spacing w:line="133" w:lineRule="exact" w:before="27"/>
              <w:ind w:right="43"/>
              <w:jc w:val="right"/>
              <w:rPr>
                <w:sz w:val="12"/>
              </w:rPr>
            </w:pPr>
            <w:r>
              <w:rPr>
                <w:spacing w:val="-4"/>
                <w:sz w:val="12"/>
              </w:rPr>
              <w:t>5.98</w:t>
            </w:r>
          </w:p>
        </w:tc>
        <w:tc>
          <w:tcPr>
            <w:tcW w:w="651" w:type="dxa"/>
          </w:tcPr>
          <w:p>
            <w:pPr>
              <w:pStyle w:val="TableParagraph"/>
              <w:spacing w:line="133" w:lineRule="exact" w:before="27"/>
              <w:ind w:right="19"/>
              <w:jc w:val="right"/>
              <w:rPr>
                <w:sz w:val="12"/>
              </w:rPr>
            </w:pPr>
            <w:r>
              <w:rPr>
                <w:spacing w:val="-4"/>
                <w:sz w:val="12"/>
              </w:rPr>
              <w:t>5.88</w:t>
            </w:r>
          </w:p>
        </w:tc>
      </w:tr>
      <w:tr>
        <w:trPr>
          <w:trHeight w:val="164" w:hRule="atLeast"/>
        </w:trPr>
        <w:tc>
          <w:tcPr>
            <w:tcW w:w="1943" w:type="dxa"/>
          </w:tcPr>
          <w:p>
            <w:pPr>
              <w:pStyle w:val="TableParagraph"/>
              <w:spacing w:line="133" w:lineRule="exact" w:before="11"/>
              <w:ind w:left="211"/>
              <w:rPr>
                <w:sz w:val="12"/>
              </w:rPr>
            </w:pPr>
            <w:r>
              <w:rPr>
                <w:sz w:val="12"/>
              </w:rPr>
              <w:t>Average</w:t>
            </w:r>
            <w:r>
              <w:rPr>
                <w:spacing w:val="-8"/>
                <w:sz w:val="12"/>
              </w:rPr>
              <w:t> </w:t>
            </w:r>
            <w:r>
              <w:rPr>
                <w:sz w:val="12"/>
              </w:rPr>
              <w:t>Maturity</w:t>
            </w:r>
            <w:r>
              <w:rPr>
                <w:spacing w:val="-8"/>
                <w:sz w:val="12"/>
              </w:rPr>
              <w:t> </w:t>
            </w:r>
            <w:r>
              <w:rPr>
                <w:spacing w:val="-2"/>
                <w:sz w:val="12"/>
              </w:rPr>
              <w:t>(years)</w:t>
            </w:r>
          </w:p>
        </w:tc>
        <w:tc>
          <w:tcPr>
            <w:tcW w:w="643" w:type="dxa"/>
            <w:gridSpan w:val="2"/>
          </w:tcPr>
          <w:p>
            <w:pPr>
              <w:pStyle w:val="TableParagraph"/>
              <w:spacing w:line="118" w:lineRule="exact" w:before="26"/>
              <w:ind w:left="327"/>
              <w:rPr>
                <w:sz w:val="12"/>
              </w:rPr>
            </w:pPr>
            <w:r>
              <w:rPr>
                <w:spacing w:val="-4"/>
                <w:sz w:val="12"/>
              </w:rPr>
              <w:t>2.12</w:t>
            </w:r>
          </w:p>
        </w:tc>
        <w:tc>
          <w:tcPr>
            <w:tcW w:w="645" w:type="dxa"/>
          </w:tcPr>
          <w:p>
            <w:pPr>
              <w:pStyle w:val="TableParagraph"/>
              <w:spacing w:line="118" w:lineRule="exact" w:before="26"/>
              <w:ind w:right="50"/>
              <w:jc w:val="right"/>
              <w:rPr>
                <w:sz w:val="12"/>
              </w:rPr>
            </w:pPr>
            <w:r>
              <w:rPr>
                <w:sz w:val="12"/>
              </w:rPr>
              <w:t>—</w:t>
            </w:r>
          </w:p>
        </w:tc>
        <w:tc>
          <w:tcPr>
            <w:tcW w:w="695" w:type="dxa"/>
            <w:gridSpan w:val="3"/>
          </w:tcPr>
          <w:p>
            <w:pPr>
              <w:pStyle w:val="TableParagraph"/>
              <w:spacing w:line="118" w:lineRule="exact" w:before="26"/>
              <w:ind w:left="389"/>
              <w:rPr>
                <w:sz w:val="12"/>
              </w:rPr>
            </w:pPr>
            <w:r>
              <w:rPr>
                <w:spacing w:val="-4"/>
                <w:sz w:val="12"/>
              </w:rPr>
              <w:t>2.08</w:t>
            </w:r>
          </w:p>
        </w:tc>
        <w:tc>
          <w:tcPr>
            <w:tcW w:w="651" w:type="dxa"/>
            <w:gridSpan w:val="2"/>
          </w:tcPr>
          <w:p>
            <w:pPr>
              <w:pStyle w:val="TableParagraph"/>
              <w:spacing w:line="118" w:lineRule="exact" w:before="26"/>
              <w:ind w:right="46"/>
              <w:jc w:val="right"/>
              <w:rPr>
                <w:sz w:val="12"/>
              </w:rPr>
            </w:pPr>
            <w:r>
              <w:rPr>
                <w:sz w:val="12"/>
              </w:rPr>
              <w:t>—</w:t>
            </w:r>
          </w:p>
        </w:tc>
        <w:tc>
          <w:tcPr>
            <w:tcW w:w="717" w:type="dxa"/>
            <w:gridSpan w:val="3"/>
          </w:tcPr>
          <w:p>
            <w:pPr>
              <w:pStyle w:val="TableParagraph"/>
              <w:spacing w:line="118" w:lineRule="exact" w:before="26"/>
              <w:ind w:left="393"/>
              <w:rPr>
                <w:sz w:val="12"/>
              </w:rPr>
            </w:pPr>
            <w:r>
              <w:rPr>
                <w:spacing w:val="-4"/>
                <w:sz w:val="12"/>
              </w:rPr>
              <w:t>1.14</w:t>
            </w:r>
          </w:p>
        </w:tc>
        <w:tc>
          <w:tcPr>
            <w:tcW w:w="661" w:type="dxa"/>
          </w:tcPr>
          <w:p>
            <w:pPr>
              <w:pStyle w:val="TableParagraph"/>
              <w:spacing w:line="118" w:lineRule="exact" w:before="26"/>
              <w:ind w:right="44"/>
              <w:jc w:val="right"/>
              <w:rPr>
                <w:sz w:val="12"/>
              </w:rPr>
            </w:pPr>
            <w:r>
              <w:rPr>
                <w:sz w:val="12"/>
              </w:rPr>
              <w:t>—</w:t>
            </w:r>
          </w:p>
        </w:tc>
        <w:tc>
          <w:tcPr>
            <w:tcW w:w="1351" w:type="dxa"/>
            <w:gridSpan w:val="5"/>
          </w:tcPr>
          <w:p>
            <w:pPr>
              <w:pStyle w:val="TableParagraph"/>
              <w:tabs>
                <w:tab w:pos="1183" w:val="left" w:leader="none"/>
              </w:tabs>
              <w:spacing w:line="118" w:lineRule="exact" w:before="26"/>
              <w:ind w:left="508"/>
              <w:rPr>
                <w:sz w:val="12"/>
              </w:rPr>
            </w:pPr>
            <w:r>
              <w:rPr>
                <w:sz w:val="12"/>
              </w:rPr>
              <w:t>—</w:t>
              <w:tab/>
              <w:t>—</w:t>
            </w:r>
          </w:p>
        </w:tc>
        <w:tc>
          <w:tcPr>
            <w:tcW w:w="703" w:type="dxa"/>
            <w:gridSpan w:val="3"/>
          </w:tcPr>
          <w:p>
            <w:pPr>
              <w:pStyle w:val="TableParagraph"/>
              <w:spacing w:line="118" w:lineRule="exact" w:before="26"/>
              <w:ind w:left="394"/>
              <w:rPr>
                <w:sz w:val="12"/>
              </w:rPr>
            </w:pPr>
            <w:r>
              <w:rPr>
                <w:spacing w:val="-4"/>
                <w:sz w:val="12"/>
              </w:rPr>
              <w:t>1.54</w:t>
            </w:r>
          </w:p>
        </w:tc>
        <w:tc>
          <w:tcPr>
            <w:tcW w:w="645" w:type="dxa"/>
          </w:tcPr>
          <w:p>
            <w:pPr>
              <w:pStyle w:val="TableParagraph"/>
              <w:spacing w:line="118" w:lineRule="exact" w:before="26"/>
              <w:ind w:right="43"/>
              <w:jc w:val="right"/>
              <w:rPr>
                <w:sz w:val="12"/>
              </w:rPr>
            </w:pPr>
            <w:r>
              <w:rPr>
                <w:sz w:val="12"/>
              </w:rPr>
              <w:t>—</w:t>
            </w:r>
          </w:p>
        </w:tc>
        <w:tc>
          <w:tcPr>
            <w:tcW w:w="651" w:type="dxa"/>
          </w:tcPr>
          <w:p>
            <w:pPr>
              <w:pStyle w:val="TableParagraph"/>
              <w:spacing w:line="118" w:lineRule="exact" w:before="26"/>
              <w:ind w:right="19"/>
              <w:jc w:val="right"/>
              <w:rPr>
                <w:sz w:val="12"/>
              </w:rPr>
            </w:pPr>
            <w:r>
              <w:rPr>
                <w:spacing w:val="-4"/>
                <w:sz w:val="12"/>
              </w:rPr>
              <w:t>0.18</w:t>
            </w:r>
          </w:p>
        </w:tc>
      </w:tr>
      <w:tr>
        <w:trPr>
          <w:trHeight w:val="360" w:hRule="atLeast"/>
        </w:trPr>
        <w:tc>
          <w:tcPr>
            <w:tcW w:w="1943" w:type="dxa"/>
          </w:tcPr>
          <w:p>
            <w:pPr>
              <w:pStyle w:val="TableParagraph"/>
              <w:spacing w:before="69"/>
              <w:rPr>
                <w:rFonts w:ascii="Arial"/>
                <w:i/>
                <w:sz w:val="12"/>
              </w:rPr>
            </w:pPr>
          </w:p>
          <w:p>
            <w:pPr>
              <w:pStyle w:val="TableParagraph"/>
              <w:spacing w:line="133" w:lineRule="exact"/>
              <w:ind w:left="31"/>
              <w:rPr>
                <w:sz w:val="12"/>
              </w:rPr>
            </w:pPr>
            <w:r>
              <w:rPr>
                <w:spacing w:val="-2"/>
                <w:sz w:val="12"/>
              </w:rPr>
              <w:t>Variable-spread</w:t>
            </w:r>
            <w:r>
              <w:rPr>
                <w:spacing w:val="8"/>
                <w:sz w:val="12"/>
              </w:rPr>
              <w:t> </w:t>
            </w:r>
            <w:r>
              <w:rPr>
                <w:spacing w:val="-2"/>
                <w:sz w:val="12"/>
              </w:rPr>
              <w:t>terms</w:t>
            </w:r>
          </w:p>
        </w:tc>
        <w:tc>
          <w:tcPr>
            <w:tcW w:w="223" w:type="dxa"/>
          </w:tcPr>
          <w:p>
            <w:pPr>
              <w:pStyle w:val="TableParagraph"/>
              <w:spacing w:before="84"/>
              <w:rPr>
                <w:rFonts w:ascii="Arial"/>
                <w:i/>
                <w:sz w:val="12"/>
              </w:rPr>
            </w:pPr>
          </w:p>
          <w:p>
            <w:pPr>
              <w:pStyle w:val="TableParagraph"/>
              <w:spacing w:line="118" w:lineRule="exact"/>
              <w:ind w:left="53"/>
              <w:rPr>
                <w:sz w:val="12"/>
              </w:rPr>
            </w:pPr>
            <w:r>
              <w:rPr>
                <w:spacing w:val="-10"/>
                <w:sz w:val="12"/>
              </w:rPr>
              <w:t>$</w:t>
            </w:r>
          </w:p>
        </w:tc>
        <w:tc>
          <w:tcPr>
            <w:tcW w:w="420" w:type="dxa"/>
          </w:tcPr>
          <w:p>
            <w:pPr>
              <w:pStyle w:val="TableParagraph"/>
              <w:spacing w:before="84"/>
              <w:rPr>
                <w:rFonts w:ascii="Arial"/>
                <w:i/>
                <w:sz w:val="12"/>
              </w:rPr>
            </w:pPr>
          </w:p>
          <w:p>
            <w:pPr>
              <w:pStyle w:val="TableParagraph"/>
              <w:spacing w:line="118" w:lineRule="exact"/>
              <w:ind w:left="270"/>
              <w:rPr>
                <w:sz w:val="12"/>
              </w:rPr>
            </w:pPr>
            <w:r>
              <w:rPr>
                <w:spacing w:val="-10"/>
                <w:sz w:val="12"/>
              </w:rPr>
              <w:t>3</w:t>
            </w:r>
          </w:p>
        </w:tc>
        <w:tc>
          <w:tcPr>
            <w:tcW w:w="645" w:type="dxa"/>
          </w:tcPr>
          <w:p>
            <w:pPr>
              <w:pStyle w:val="TableParagraph"/>
              <w:spacing w:before="84"/>
              <w:rPr>
                <w:rFonts w:ascii="Arial"/>
                <w:i/>
                <w:sz w:val="12"/>
              </w:rPr>
            </w:pPr>
          </w:p>
          <w:p>
            <w:pPr>
              <w:pStyle w:val="TableParagraph"/>
              <w:spacing w:line="118" w:lineRule="exact"/>
              <w:ind w:right="50"/>
              <w:jc w:val="right"/>
              <w:rPr>
                <w:sz w:val="12"/>
              </w:rPr>
            </w:pPr>
            <w:r>
              <w:rPr>
                <w:sz w:val="12"/>
              </w:rPr>
              <w:t>$</w:t>
            </w:r>
            <w:r>
              <w:rPr>
                <w:spacing w:val="40"/>
                <w:sz w:val="12"/>
              </w:rPr>
              <w:t> </w:t>
            </w:r>
            <w:r>
              <w:rPr>
                <w:spacing w:val="-2"/>
                <w:sz w:val="12"/>
              </w:rPr>
              <w:t>20,175</w:t>
            </w:r>
          </w:p>
        </w:tc>
        <w:tc>
          <w:tcPr>
            <w:tcW w:w="338" w:type="dxa"/>
            <w:gridSpan w:val="2"/>
          </w:tcPr>
          <w:p>
            <w:pPr>
              <w:pStyle w:val="TableParagraph"/>
              <w:spacing w:before="84"/>
              <w:rPr>
                <w:rFonts w:ascii="Arial"/>
                <w:i/>
                <w:sz w:val="12"/>
              </w:rPr>
            </w:pPr>
          </w:p>
          <w:p>
            <w:pPr>
              <w:pStyle w:val="TableParagraph"/>
              <w:spacing w:line="118" w:lineRule="exact"/>
              <w:ind w:right="39"/>
              <w:jc w:val="center"/>
              <w:rPr>
                <w:sz w:val="12"/>
              </w:rPr>
            </w:pPr>
            <w:r>
              <w:rPr>
                <w:spacing w:val="-10"/>
                <w:sz w:val="12"/>
              </w:rPr>
              <w:t>$</w:t>
            </w:r>
          </w:p>
        </w:tc>
        <w:tc>
          <w:tcPr>
            <w:tcW w:w="357" w:type="dxa"/>
          </w:tcPr>
          <w:p>
            <w:pPr>
              <w:pStyle w:val="TableParagraph"/>
              <w:spacing w:before="84"/>
              <w:rPr>
                <w:rFonts w:ascii="Arial"/>
                <w:i/>
                <w:sz w:val="12"/>
              </w:rPr>
            </w:pPr>
          </w:p>
          <w:p>
            <w:pPr>
              <w:pStyle w:val="TableParagraph"/>
              <w:spacing w:line="118" w:lineRule="exact"/>
              <w:ind w:left="164"/>
              <w:rPr>
                <w:sz w:val="12"/>
              </w:rPr>
            </w:pPr>
            <w:r>
              <w:rPr>
                <w:sz w:val="12"/>
              </w:rPr>
              <w:t>—</w:t>
            </w:r>
          </w:p>
        </w:tc>
        <w:tc>
          <w:tcPr>
            <w:tcW w:w="260" w:type="dxa"/>
          </w:tcPr>
          <w:p>
            <w:pPr>
              <w:pStyle w:val="TableParagraph"/>
              <w:spacing w:before="84"/>
              <w:rPr>
                <w:rFonts w:ascii="Arial"/>
                <w:i/>
                <w:sz w:val="12"/>
              </w:rPr>
            </w:pPr>
          </w:p>
          <w:p>
            <w:pPr>
              <w:pStyle w:val="TableParagraph"/>
              <w:spacing w:line="118" w:lineRule="exact"/>
              <w:ind w:right="1"/>
              <w:jc w:val="center"/>
              <w:rPr>
                <w:sz w:val="12"/>
              </w:rPr>
            </w:pPr>
            <w:r>
              <w:rPr>
                <w:spacing w:val="-10"/>
                <w:sz w:val="12"/>
              </w:rPr>
              <w:t>$</w:t>
            </w:r>
          </w:p>
        </w:tc>
        <w:tc>
          <w:tcPr>
            <w:tcW w:w="391" w:type="dxa"/>
          </w:tcPr>
          <w:p>
            <w:pPr>
              <w:pStyle w:val="TableParagraph"/>
              <w:spacing w:before="84"/>
              <w:rPr>
                <w:rFonts w:ascii="Arial"/>
                <w:i/>
                <w:sz w:val="12"/>
              </w:rPr>
            </w:pPr>
          </w:p>
          <w:p>
            <w:pPr>
              <w:pStyle w:val="TableParagraph"/>
              <w:spacing w:line="118" w:lineRule="exact"/>
              <w:ind w:left="142"/>
              <w:rPr>
                <w:sz w:val="12"/>
              </w:rPr>
            </w:pPr>
            <w:r>
              <w:rPr>
                <w:spacing w:val="-5"/>
                <w:sz w:val="12"/>
              </w:rPr>
              <w:t>252</w:t>
            </w:r>
          </w:p>
        </w:tc>
        <w:tc>
          <w:tcPr>
            <w:tcW w:w="338" w:type="dxa"/>
            <w:gridSpan w:val="2"/>
          </w:tcPr>
          <w:p>
            <w:pPr>
              <w:pStyle w:val="TableParagraph"/>
              <w:spacing w:before="84"/>
              <w:rPr>
                <w:rFonts w:ascii="Arial"/>
                <w:i/>
                <w:sz w:val="12"/>
              </w:rPr>
            </w:pPr>
          </w:p>
          <w:p>
            <w:pPr>
              <w:pStyle w:val="TableParagraph"/>
              <w:spacing w:line="118" w:lineRule="exact"/>
              <w:ind w:left="8" w:right="39"/>
              <w:jc w:val="center"/>
              <w:rPr>
                <w:sz w:val="12"/>
              </w:rPr>
            </w:pPr>
            <w:r>
              <w:rPr>
                <w:spacing w:val="-10"/>
                <w:sz w:val="12"/>
              </w:rPr>
              <w:t>$</w:t>
            </w:r>
          </w:p>
        </w:tc>
        <w:tc>
          <w:tcPr>
            <w:tcW w:w="379" w:type="dxa"/>
          </w:tcPr>
          <w:p>
            <w:pPr>
              <w:pStyle w:val="TableParagraph"/>
              <w:spacing w:before="84"/>
              <w:rPr>
                <w:rFonts w:ascii="Arial"/>
                <w:i/>
                <w:sz w:val="12"/>
              </w:rPr>
            </w:pPr>
          </w:p>
          <w:p>
            <w:pPr>
              <w:pStyle w:val="TableParagraph"/>
              <w:spacing w:line="118" w:lineRule="exact"/>
              <w:ind w:left="168"/>
              <w:rPr>
                <w:sz w:val="12"/>
              </w:rPr>
            </w:pPr>
            <w:r>
              <w:rPr>
                <w:sz w:val="12"/>
              </w:rPr>
              <w:t>—</w:t>
            </w:r>
          </w:p>
        </w:tc>
        <w:tc>
          <w:tcPr>
            <w:tcW w:w="661" w:type="dxa"/>
          </w:tcPr>
          <w:p>
            <w:pPr>
              <w:pStyle w:val="TableParagraph"/>
              <w:spacing w:before="84"/>
              <w:rPr>
                <w:rFonts w:ascii="Arial"/>
                <w:i/>
                <w:sz w:val="12"/>
              </w:rPr>
            </w:pPr>
          </w:p>
          <w:p>
            <w:pPr>
              <w:pStyle w:val="TableParagraph"/>
              <w:spacing w:line="118" w:lineRule="exact"/>
              <w:ind w:right="44"/>
              <w:jc w:val="right"/>
              <w:rPr>
                <w:sz w:val="12"/>
              </w:rPr>
            </w:pPr>
            <w:r>
              <w:rPr>
                <w:sz w:val="12"/>
              </w:rPr>
              <w:t>$</w:t>
            </w:r>
            <w:r>
              <w:rPr>
                <w:spacing w:val="-26"/>
                <w:sz w:val="12"/>
              </w:rPr>
              <w:t> </w:t>
            </w:r>
            <w:r>
              <w:rPr>
                <w:spacing w:val="-2"/>
                <w:sz w:val="12"/>
              </w:rPr>
              <w:t>139,402</w:t>
            </w:r>
          </w:p>
        </w:tc>
        <w:tc>
          <w:tcPr>
            <w:tcW w:w="340" w:type="dxa"/>
            <w:gridSpan w:val="2"/>
          </w:tcPr>
          <w:p>
            <w:pPr>
              <w:pStyle w:val="TableParagraph"/>
              <w:spacing w:before="84"/>
              <w:rPr>
                <w:rFonts w:ascii="Arial"/>
                <w:i/>
                <w:sz w:val="12"/>
              </w:rPr>
            </w:pPr>
          </w:p>
          <w:p>
            <w:pPr>
              <w:pStyle w:val="TableParagraph"/>
              <w:spacing w:line="118" w:lineRule="exact"/>
              <w:ind w:right="29"/>
              <w:jc w:val="center"/>
              <w:rPr>
                <w:sz w:val="12"/>
              </w:rPr>
            </w:pPr>
            <w:r>
              <w:rPr>
                <w:spacing w:val="-10"/>
                <w:sz w:val="12"/>
              </w:rPr>
              <w:t>$</w:t>
            </w:r>
          </w:p>
        </w:tc>
        <w:tc>
          <w:tcPr>
            <w:tcW w:w="358" w:type="dxa"/>
          </w:tcPr>
          <w:p>
            <w:pPr>
              <w:pStyle w:val="TableParagraph"/>
              <w:spacing w:before="84"/>
              <w:rPr>
                <w:rFonts w:ascii="Arial"/>
                <w:i/>
                <w:sz w:val="12"/>
              </w:rPr>
            </w:pPr>
          </w:p>
          <w:p>
            <w:pPr>
              <w:pStyle w:val="TableParagraph"/>
              <w:spacing w:line="118" w:lineRule="exact"/>
              <w:ind w:left="168"/>
              <w:rPr>
                <w:sz w:val="12"/>
              </w:rPr>
            </w:pPr>
            <w:r>
              <w:rPr>
                <w:sz w:val="12"/>
              </w:rPr>
              <w:t>—</w:t>
            </w:r>
          </w:p>
        </w:tc>
        <w:tc>
          <w:tcPr>
            <w:tcW w:w="228" w:type="dxa"/>
          </w:tcPr>
          <w:p>
            <w:pPr>
              <w:pStyle w:val="TableParagraph"/>
              <w:spacing w:before="84"/>
              <w:rPr>
                <w:rFonts w:ascii="Arial"/>
                <w:i/>
                <w:sz w:val="12"/>
              </w:rPr>
            </w:pPr>
          </w:p>
          <w:p>
            <w:pPr>
              <w:pStyle w:val="TableParagraph"/>
              <w:spacing w:line="118" w:lineRule="exact"/>
              <w:ind w:left="98"/>
              <w:rPr>
                <w:sz w:val="12"/>
              </w:rPr>
            </w:pPr>
            <w:r>
              <w:rPr>
                <w:spacing w:val="-10"/>
                <w:sz w:val="12"/>
              </w:rPr>
              <w:t>$</w:t>
            </w:r>
          </w:p>
        </w:tc>
        <w:tc>
          <w:tcPr>
            <w:tcW w:w="425" w:type="dxa"/>
          </w:tcPr>
          <w:p>
            <w:pPr>
              <w:pStyle w:val="TableParagraph"/>
              <w:spacing w:before="84"/>
              <w:rPr>
                <w:rFonts w:ascii="Arial"/>
                <w:i/>
                <w:sz w:val="12"/>
              </w:rPr>
            </w:pPr>
          </w:p>
          <w:p>
            <w:pPr>
              <w:pStyle w:val="TableParagraph"/>
              <w:spacing w:line="118" w:lineRule="exact"/>
              <w:ind w:left="78"/>
              <w:rPr>
                <w:sz w:val="12"/>
              </w:rPr>
            </w:pPr>
            <w:r>
              <w:rPr>
                <w:spacing w:val="-2"/>
                <w:sz w:val="12"/>
              </w:rPr>
              <w:t>3,027</w:t>
            </w:r>
          </w:p>
        </w:tc>
        <w:tc>
          <w:tcPr>
            <w:tcW w:w="283" w:type="dxa"/>
            <w:gridSpan w:val="2"/>
          </w:tcPr>
          <w:p>
            <w:pPr>
              <w:pStyle w:val="TableParagraph"/>
              <w:spacing w:before="84"/>
              <w:rPr>
                <w:rFonts w:ascii="Arial"/>
                <w:i/>
                <w:sz w:val="12"/>
              </w:rPr>
            </w:pPr>
          </w:p>
          <w:p>
            <w:pPr>
              <w:pStyle w:val="TableParagraph"/>
              <w:spacing w:line="118" w:lineRule="exact"/>
              <w:ind w:left="23"/>
              <w:jc w:val="center"/>
              <w:rPr>
                <w:sz w:val="12"/>
              </w:rPr>
            </w:pPr>
            <w:r>
              <w:rPr>
                <w:spacing w:val="-10"/>
                <w:sz w:val="12"/>
              </w:rPr>
              <w:t>$</w:t>
            </w:r>
          </w:p>
        </w:tc>
        <w:tc>
          <w:tcPr>
            <w:tcW w:w="420" w:type="dxa"/>
          </w:tcPr>
          <w:p>
            <w:pPr>
              <w:pStyle w:val="TableParagraph"/>
              <w:spacing w:before="84"/>
              <w:rPr>
                <w:rFonts w:ascii="Arial"/>
                <w:i/>
                <w:sz w:val="12"/>
              </w:rPr>
            </w:pPr>
          </w:p>
          <w:p>
            <w:pPr>
              <w:pStyle w:val="TableParagraph"/>
              <w:spacing w:line="118" w:lineRule="exact"/>
              <w:ind w:left="277"/>
              <w:rPr>
                <w:sz w:val="12"/>
              </w:rPr>
            </w:pPr>
            <w:r>
              <w:rPr>
                <w:spacing w:val="-10"/>
                <w:sz w:val="12"/>
              </w:rPr>
              <w:t>3</w:t>
            </w:r>
          </w:p>
        </w:tc>
        <w:tc>
          <w:tcPr>
            <w:tcW w:w="645" w:type="dxa"/>
          </w:tcPr>
          <w:p>
            <w:pPr>
              <w:pStyle w:val="TableParagraph"/>
              <w:spacing w:before="84"/>
              <w:rPr>
                <w:rFonts w:ascii="Arial"/>
                <w:i/>
                <w:sz w:val="12"/>
              </w:rPr>
            </w:pPr>
          </w:p>
          <w:p>
            <w:pPr>
              <w:pStyle w:val="TableParagraph"/>
              <w:spacing w:line="118" w:lineRule="exact"/>
              <w:ind w:right="43"/>
              <w:jc w:val="right"/>
              <w:rPr>
                <w:sz w:val="12"/>
              </w:rPr>
            </w:pPr>
            <w:r>
              <w:rPr>
                <w:sz w:val="12"/>
              </w:rPr>
              <w:t>$</w:t>
            </w:r>
            <w:r>
              <w:rPr>
                <w:spacing w:val="-26"/>
                <w:sz w:val="12"/>
              </w:rPr>
              <w:t> </w:t>
            </w:r>
            <w:r>
              <w:rPr>
                <w:spacing w:val="-2"/>
                <w:sz w:val="12"/>
              </w:rPr>
              <w:t>162,856</w:t>
            </w:r>
          </w:p>
        </w:tc>
        <w:tc>
          <w:tcPr>
            <w:tcW w:w="651" w:type="dxa"/>
          </w:tcPr>
          <w:p>
            <w:pPr>
              <w:pStyle w:val="TableParagraph"/>
              <w:spacing w:before="84"/>
              <w:rPr>
                <w:rFonts w:ascii="Arial"/>
                <w:i/>
                <w:sz w:val="12"/>
              </w:rPr>
            </w:pPr>
          </w:p>
          <w:p>
            <w:pPr>
              <w:pStyle w:val="TableParagraph"/>
              <w:spacing w:line="118" w:lineRule="exact"/>
              <w:ind w:right="19"/>
              <w:jc w:val="right"/>
              <w:rPr>
                <w:sz w:val="12"/>
              </w:rPr>
            </w:pPr>
            <w:r>
              <w:rPr>
                <w:sz w:val="12"/>
              </w:rPr>
              <w:t>$</w:t>
            </w:r>
            <w:r>
              <w:rPr>
                <w:spacing w:val="-26"/>
                <w:sz w:val="12"/>
              </w:rPr>
              <w:t> </w:t>
            </w:r>
            <w:r>
              <w:rPr>
                <w:spacing w:val="-2"/>
                <w:sz w:val="12"/>
              </w:rPr>
              <w:t>162,859</w:t>
            </w:r>
          </w:p>
        </w:tc>
      </w:tr>
      <w:tr>
        <w:trPr>
          <w:trHeight w:val="195" w:hRule="atLeast"/>
        </w:trPr>
        <w:tc>
          <w:tcPr>
            <w:tcW w:w="1943" w:type="dxa"/>
          </w:tcPr>
          <w:p>
            <w:pPr>
              <w:pStyle w:val="TableParagraph"/>
              <w:spacing w:before="12"/>
              <w:ind w:right="224"/>
              <w:jc w:val="right"/>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643" w:type="dxa"/>
            <w:gridSpan w:val="2"/>
          </w:tcPr>
          <w:p>
            <w:pPr>
              <w:pStyle w:val="TableParagraph"/>
              <w:spacing w:line="133" w:lineRule="exact" w:before="27"/>
              <w:ind w:left="327"/>
              <w:rPr>
                <w:sz w:val="12"/>
              </w:rPr>
            </w:pPr>
            <w:r>
              <w:rPr>
                <w:spacing w:val="-4"/>
                <w:sz w:val="12"/>
              </w:rPr>
              <w:t>0.51</w:t>
            </w:r>
          </w:p>
        </w:tc>
        <w:tc>
          <w:tcPr>
            <w:tcW w:w="645" w:type="dxa"/>
          </w:tcPr>
          <w:p>
            <w:pPr>
              <w:pStyle w:val="TableParagraph"/>
              <w:spacing w:line="133" w:lineRule="exact" w:before="27"/>
              <w:ind w:right="50"/>
              <w:jc w:val="right"/>
              <w:rPr>
                <w:sz w:val="12"/>
              </w:rPr>
            </w:pPr>
            <w:r>
              <w:rPr>
                <w:spacing w:val="-4"/>
                <w:sz w:val="12"/>
              </w:rPr>
              <w:t>0.41</w:t>
            </w:r>
          </w:p>
        </w:tc>
        <w:tc>
          <w:tcPr>
            <w:tcW w:w="695" w:type="dxa"/>
            <w:gridSpan w:val="3"/>
          </w:tcPr>
          <w:p>
            <w:pPr>
              <w:pStyle w:val="TableParagraph"/>
              <w:spacing w:line="133" w:lineRule="exact" w:before="27"/>
              <w:ind w:right="70"/>
              <w:jc w:val="right"/>
              <w:rPr>
                <w:sz w:val="12"/>
              </w:rPr>
            </w:pPr>
            <w:r>
              <w:rPr>
                <w:sz w:val="12"/>
              </w:rPr>
              <w:t>—</w:t>
            </w:r>
          </w:p>
        </w:tc>
        <w:tc>
          <w:tcPr>
            <w:tcW w:w="651" w:type="dxa"/>
            <w:gridSpan w:val="2"/>
          </w:tcPr>
          <w:p>
            <w:pPr>
              <w:pStyle w:val="TableParagraph"/>
              <w:spacing w:line="133" w:lineRule="exact" w:before="27"/>
              <w:ind w:left="369"/>
              <w:rPr>
                <w:sz w:val="12"/>
              </w:rPr>
            </w:pPr>
            <w:r>
              <w:rPr>
                <w:spacing w:val="-4"/>
                <w:sz w:val="12"/>
              </w:rPr>
              <w:t>0.75</w:t>
            </w:r>
          </w:p>
        </w:tc>
        <w:tc>
          <w:tcPr>
            <w:tcW w:w="717" w:type="dxa"/>
            <w:gridSpan w:val="3"/>
          </w:tcPr>
          <w:p>
            <w:pPr>
              <w:pStyle w:val="TableParagraph"/>
              <w:spacing w:line="133" w:lineRule="exact" w:before="27"/>
              <w:ind w:right="88"/>
              <w:jc w:val="right"/>
              <w:rPr>
                <w:sz w:val="12"/>
              </w:rPr>
            </w:pPr>
            <w:r>
              <w:rPr>
                <w:sz w:val="12"/>
              </w:rPr>
              <w:t>—</w:t>
            </w:r>
          </w:p>
        </w:tc>
        <w:tc>
          <w:tcPr>
            <w:tcW w:w="661" w:type="dxa"/>
          </w:tcPr>
          <w:p>
            <w:pPr>
              <w:pStyle w:val="TableParagraph"/>
              <w:spacing w:line="133" w:lineRule="exact" w:before="27"/>
              <w:ind w:right="44"/>
              <w:jc w:val="right"/>
              <w:rPr>
                <w:sz w:val="12"/>
              </w:rPr>
            </w:pPr>
            <w:r>
              <w:rPr>
                <w:spacing w:val="-4"/>
                <w:sz w:val="12"/>
              </w:rPr>
              <w:t>2.25</w:t>
            </w:r>
          </w:p>
        </w:tc>
        <w:tc>
          <w:tcPr>
            <w:tcW w:w="698" w:type="dxa"/>
            <w:gridSpan w:val="3"/>
          </w:tcPr>
          <w:p>
            <w:pPr>
              <w:pStyle w:val="TableParagraph"/>
              <w:spacing w:line="133" w:lineRule="exact" w:before="27"/>
              <w:ind w:right="67"/>
              <w:jc w:val="right"/>
              <w:rPr>
                <w:sz w:val="12"/>
              </w:rPr>
            </w:pPr>
            <w:r>
              <w:rPr>
                <w:sz w:val="12"/>
              </w:rPr>
              <w:t>—</w:t>
            </w:r>
          </w:p>
        </w:tc>
        <w:tc>
          <w:tcPr>
            <w:tcW w:w="653" w:type="dxa"/>
            <w:gridSpan w:val="2"/>
          </w:tcPr>
          <w:p>
            <w:pPr>
              <w:pStyle w:val="TableParagraph"/>
              <w:spacing w:line="133" w:lineRule="exact" w:before="27"/>
              <w:ind w:left="372"/>
              <w:rPr>
                <w:sz w:val="12"/>
              </w:rPr>
            </w:pPr>
            <w:r>
              <w:rPr>
                <w:spacing w:val="-4"/>
                <w:sz w:val="12"/>
              </w:rPr>
              <w:t>8.98</w:t>
            </w:r>
          </w:p>
        </w:tc>
        <w:tc>
          <w:tcPr>
            <w:tcW w:w="703" w:type="dxa"/>
            <w:gridSpan w:val="3"/>
          </w:tcPr>
          <w:p>
            <w:pPr>
              <w:pStyle w:val="TableParagraph"/>
              <w:spacing w:line="133" w:lineRule="exact" w:before="27"/>
              <w:ind w:left="394"/>
              <w:rPr>
                <w:sz w:val="12"/>
              </w:rPr>
            </w:pPr>
            <w:r>
              <w:rPr>
                <w:spacing w:val="-4"/>
                <w:sz w:val="12"/>
              </w:rPr>
              <w:t>0.51</w:t>
            </w:r>
          </w:p>
        </w:tc>
        <w:tc>
          <w:tcPr>
            <w:tcW w:w="645" w:type="dxa"/>
          </w:tcPr>
          <w:p>
            <w:pPr>
              <w:pStyle w:val="TableParagraph"/>
              <w:spacing w:line="133" w:lineRule="exact" w:before="27"/>
              <w:ind w:right="43"/>
              <w:jc w:val="right"/>
              <w:rPr>
                <w:sz w:val="12"/>
              </w:rPr>
            </w:pPr>
            <w:r>
              <w:rPr>
                <w:spacing w:val="-4"/>
                <w:sz w:val="12"/>
              </w:rPr>
              <w:t>2.14</w:t>
            </w:r>
          </w:p>
        </w:tc>
        <w:tc>
          <w:tcPr>
            <w:tcW w:w="651" w:type="dxa"/>
          </w:tcPr>
          <w:p>
            <w:pPr>
              <w:pStyle w:val="TableParagraph"/>
              <w:spacing w:line="133" w:lineRule="exact" w:before="27"/>
              <w:ind w:right="19"/>
              <w:jc w:val="right"/>
              <w:rPr>
                <w:sz w:val="12"/>
              </w:rPr>
            </w:pPr>
            <w:r>
              <w:rPr>
                <w:spacing w:val="-4"/>
                <w:sz w:val="12"/>
              </w:rPr>
              <w:t>2.14</w:t>
            </w:r>
          </w:p>
        </w:tc>
      </w:tr>
      <w:tr>
        <w:trPr>
          <w:trHeight w:val="164" w:hRule="atLeast"/>
        </w:trPr>
        <w:tc>
          <w:tcPr>
            <w:tcW w:w="1943" w:type="dxa"/>
          </w:tcPr>
          <w:p>
            <w:pPr>
              <w:pStyle w:val="TableParagraph"/>
              <w:spacing w:line="133" w:lineRule="exact" w:before="11"/>
              <w:ind w:left="211"/>
              <w:rPr>
                <w:sz w:val="12"/>
              </w:rPr>
            </w:pPr>
            <w:r>
              <w:rPr>
                <w:sz w:val="12"/>
              </w:rPr>
              <w:t>Average</w:t>
            </w:r>
            <w:r>
              <w:rPr>
                <w:spacing w:val="-8"/>
                <w:sz w:val="12"/>
              </w:rPr>
              <w:t> </w:t>
            </w:r>
            <w:r>
              <w:rPr>
                <w:sz w:val="12"/>
              </w:rPr>
              <w:t>Maturity</w:t>
            </w:r>
            <w:r>
              <w:rPr>
                <w:spacing w:val="-8"/>
                <w:sz w:val="12"/>
              </w:rPr>
              <w:t> </w:t>
            </w:r>
            <w:r>
              <w:rPr>
                <w:spacing w:val="-2"/>
                <w:sz w:val="12"/>
              </w:rPr>
              <w:t>(years)</w:t>
            </w:r>
          </w:p>
        </w:tc>
        <w:tc>
          <w:tcPr>
            <w:tcW w:w="643" w:type="dxa"/>
            <w:gridSpan w:val="2"/>
          </w:tcPr>
          <w:p>
            <w:pPr>
              <w:pStyle w:val="TableParagraph"/>
              <w:spacing w:line="118" w:lineRule="exact" w:before="26"/>
              <w:ind w:left="327"/>
              <w:rPr>
                <w:sz w:val="12"/>
              </w:rPr>
            </w:pPr>
            <w:r>
              <w:rPr>
                <w:spacing w:val="-4"/>
                <w:sz w:val="12"/>
              </w:rPr>
              <w:t>0.62</w:t>
            </w:r>
          </w:p>
        </w:tc>
        <w:tc>
          <w:tcPr>
            <w:tcW w:w="645" w:type="dxa"/>
          </w:tcPr>
          <w:p>
            <w:pPr>
              <w:pStyle w:val="TableParagraph"/>
              <w:spacing w:line="118" w:lineRule="exact" w:before="26"/>
              <w:ind w:right="50"/>
              <w:jc w:val="right"/>
              <w:rPr>
                <w:sz w:val="12"/>
              </w:rPr>
            </w:pPr>
            <w:r>
              <w:rPr>
                <w:spacing w:val="-4"/>
                <w:sz w:val="12"/>
              </w:rPr>
              <w:t>8.31</w:t>
            </w:r>
          </w:p>
        </w:tc>
        <w:tc>
          <w:tcPr>
            <w:tcW w:w="695" w:type="dxa"/>
            <w:gridSpan w:val="3"/>
          </w:tcPr>
          <w:p>
            <w:pPr>
              <w:pStyle w:val="TableParagraph"/>
              <w:spacing w:line="118" w:lineRule="exact" w:before="26"/>
              <w:ind w:right="70"/>
              <w:jc w:val="right"/>
              <w:rPr>
                <w:sz w:val="12"/>
              </w:rPr>
            </w:pPr>
            <w:r>
              <w:rPr>
                <w:sz w:val="12"/>
              </w:rPr>
              <w:t>—</w:t>
            </w:r>
          </w:p>
        </w:tc>
        <w:tc>
          <w:tcPr>
            <w:tcW w:w="651" w:type="dxa"/>
            <w:gridSpan w:val="2"/>
          </w:tcPr>
          <w:p>
            <w:pPr>
              <w:pStyle w:val="TableParagraph"/>
              <w:spacing w:line="118" w:lineRule="exact" w:before="26"/>
              <w:ind w:left="369"/>
              <w:rPr>
                <w:sz w:val="12"/>
              </w:rPr>
            </w:pPr>
            <w:r>
              <w:rPr>
                <w:spacing w:val="-4"/>
                <w:sz w:val="12"/>
              </w:rPr>
              <w:t>7.10</w:t>
            </w:r>
          </w:p>
        </w:tc>
        <w:tc>
          <w:tcPr>
            <w:tcW w:w="717" w:type="dxa"/>
            <w:gridSpan w:val="3"/>
          </w:tcPr>
          <w:p>
            <w:pPr>
              <w:pStyle w:val="TableParagraph"/>
              <w:spacing w:line="118" w:lineRule="exact" w:before="26"/>
              <w:ind w:right="88"/>
              <w:jc w:val="right"/>
              <w:rPr>
                <w:sz w:val="12"/>
              </w:rPr>
            </w:pPr>
            <w:r>
              <w:rPr>
                <w:sz w:val="12"/>
              </w:rPr>
              <w:t>—</w:t>
            </w:r>
          </w:p>
        </w:tc>
        <w:tc>
          <w:tcPr>
            <w:tcW w:w="661" w:type="dxa"/>
          </w:tcPr>
          <w:p>
            <w:pPr>
              <w:pStyle w:val="TableParagraph"/>
              <w:spacing w:line="118" w:lineRule="exact" w:before="26"/>
              <w:ind w:right="44"/>
              <w:jc w:val="right"/>
              <w:rPr>
                <w:sz w:val="12"/>
              </w:rPr>
            </w:pPr>
            <w:r>
              <w:rPr>
                <w:spacing w:val="-4"/>
                <w:sz w:val="12"/>
              </w:rPr>
              <w:t>8.63</w:t>
            </w:r>
          </w:p>
        </w:tc>
        <w:tc>
          <w:tcPr>
            <w:tcW w:w="698" w:type="dxa"/>
            <w:gridSpan w:val="3"/>
          </w:tcPr>
          <w:p>
            <w:pPr>
              <w:pStyle w:val="TableParagraph"/>
              <w:spacing w:line="118" w:lineRule="exact" w:before="26"/>
              <w:ind w:right="67"/>
              <w:jc w:val="right"/>
              <w:rPr>
                <w:sz w:val="12"/>
              </w:rPr>
            </w:pPr>
            <w:r>
              <w:rPr>
                <w:sz w:val="12"/>
              </w:rPr>
              <w:t>—</w:t>
            </w:r>
          </w:p>
        </w:tc>
        <w:tc>
          <w:tcPr>
            <w:tcW w:w="653" w:type="dxa"/>
            <w:gridSpan w:val="2"/>
          </w:tcPr>
          <w:p>
            <w:pPr>
              <w:pStyle w:val="TableParagraph"/>
              <w:spacing w:line="118" w:lineRule="exact" w:before="26"/>
              <w:ind w:left="372"/>
              <w:rPr>
                <w:sz w:val="12"/>
              </w:rPr>
            </w:pPr>
            <w:r>
              <w:rPr>
                <w:spacing w:val="-4"/>
                <w:sz w:val="12"/>
              </w:rPr>
              <w:t>7.58</w:t>
            </w:r>
          </w:p>
        </w:tc>
        <w:tc>
          <w:tcPr>
            <w:tcW w:w="703" w:type="dxa"/>
            <w:gridSpan w:val="3"/>
          </w:tcPr>
          <w:p>
            <w:pPr>
              <w:pStyle w:val="TableParagraph"/>
              <w:spacing w:line="118" w:lineRule="exact" w:before="26"/>
              <w:ind w:left="394"/>
              <w:rPr>
                <w:sz w:val="12"/>
              </w:rPr>
            </w:pPr>
            <w:r>
              <w:rPr>
                <w:spacing w:val="-4"/>
                <w:sz w:val="12"/>
              </w:rPr>
              <w:t>0.62</w:t>
            </w:r>
          </w:p>
        </w:tc>
        <w:tc>
          <w:tcPr>
            <w:tcW w:w="645" w:type="dxa"/>
          </w:tcPr>
          <w:p>
            <w:pPr>
              <w:pStyle w:val="TableParagraph"/>
              <w:spacing w:line="118" w:lineRule="exact" w:before="26"/>
              <w:ind w:right="43"/>
              <w:jc w:val="right"/>
              <w:rPr>
                <w:sz w:val="12"/>
              </w:rPr>
            </w:pPr>
            <w:r>
              <w:rPr>
                <w:spacing w:val="-4"/>
                <w:sz w:val="12"/>
              </w:rPr>
              <w:t>8.57</w:t>
            </w:r>
          </w:p>
        </w:tc>
        <w:tc>
          <w:tcPr>
            <w:tcW w:w="651" w:type="dxa"/>
          </w:tcPr>
          <w:p>
            <w:pPr>
              <w:pStyle w:val="TableParagraph"/>
              <w:spacing w:line="118" w:lineRule="exact" w:before="26"/>
              <w:ind w:right="19"/>
              <w:jc w:val="right"/>
              <w:rPr>
                <w:sz w:val="12"/>
              </w:rPr>
            </w:pPr>
            <w:r>
              <w:rPr>
                <w:spacing w:val="-4"/>
                <w:sz w:val="12"/>
              </w:rPr>
              <w:t>8.57</w:t>
            </w:r>
          </w:p>
        </w:tc>
      </w:tr>
    </w:tbl>
    <w:p>
      <w:pPr>
        <w:pStyle w:val="BodyText"/>
        <w:spacing w:before="61"/>
        <w:rPr>
          <w:rFonts w:ascii="Arial"/>
          <w:i/>
          <w:sz w:val="12"/>
        </w:rPr>
      </w:pPr>
    </w:p>
    <w:p>
      <w:pPr>
        <w:spacing w:before="0"/>
        <w:ind w:left="7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8720">
                <wp:simplePos x="0" y="0"/>
                <wp:positionH relativeFrom="page">
                  <wp:posOffset>2124075</wp:posOffset>
                </wp:positionH>
                <wp:positionV relativeFrom="paragraph">
                  <wp:posOffset>12178</wp:posOffset>
                </wp:positionV>
                <wp:extent cx="4772025" cy="427355"/>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4772025" cy="4273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5"/>
                              <w:gridCol w:w="60"/>
                              <w:gridCol w:w="615"/>
                              <w:gridCol w:w="60"/>
                              <w:gridCol w:w="615"/>
                              <w:gridCol w:w="60"/>
                              <w:gridCol w:w="615"/>
                              <w:gridCol w:w="60"/>
                              <w:gridCol w:w="615"/>
                              <w:gridCol w:w="90"/>
                              <w:gridCol w:w="615"/>
                              <w:gridCol w:w="60"/>
                              <w:gridCol w:w="615"/>
                              <w:gridCol w:w="60"/>
                              <w:gridCol w:w="615"/>
                              <w:gridCol w:w="60"/>
                              <w:gridCol w:w="615"/>
                              <w:gridCol w:w="60"/>
                              <w:gridCol w:w="615"/>
                              <w:gridCol w:w="60"/>
                              <w:gridCol w:w="615"/>
                            </w:tblGrid>
                            <w:tr>
                              <w:trPr>
                                <w:trHeight w:val="157" w:hRule="atLeast"/>
                              </w:trPr>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12,045</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36"/>
                                      <w:sz w:val="12"/>
                                    </w:rPr>
                                    <w:t>  </w:t>
                                  </w:r>
                                  <w:r>
                                    <w:rPr>
                                      <w:spacing w:val="-2"/>
                                      <w:sz w:val="12"/>
                                    </w:rPr>
                                    <w:t>7,804</w:t>
                                  </w:r>
                                </w:p>
                              </w:tc>
                              <w:tc>
                                <w:tcPr>
                                  <w:tcW w:w="60" w:type="dxa"/>
                                </w:tcPr>
                                <w:p>
                                  <w:pPr>
                                    <w:pStyle w:val="TableParagraph"/>
                                    <w:rPr>
                                      <w:rFonts w:ascii="Times New Roman"/>
                                      <w:sz w:val="10"/>
                                    </w:rPr>
                                  </w:pPr>
                                </w:p>
                              </w:tc>
                              <w:tc>
                                <w:tcPr>
                                  <w:tcW w:w="615" w:type="dxa"/>
                                </w:tcPr>
                                <w:p>
                                  <w:pPr>
                                    <w:pStyle w:val="TableParagraph"/>
                                    <w:tabs>
                                      <w:tab w:pos="440" w:val="left" w:leader="none"/>
                                    </w:tabs>
                                    <w:spacing w:line="134" w:lineRule="exact"/>
                                    <w:ind w:right="52"/>
                                    <w:jc w:val="right"/>
                                    <w:rPr>
                                      <w:sz w:val="12"/>
                                    </w:rPr>
                                  </w:pPr>
                                  <w:r>
                                    <w:rPr>
                                      <w:spacing w:val="-10"/>
                                      <w:sz w:val="12"/>
                                    </w:rPr>
                                    <w:t>$</w:t>
                                  </w:r>
                                  <w:r>
                                    <w:rPr>
                                      <w:sz w:val="12"/>
                                    </w:rPr>
                                    <w:tab/>
                                  </w:r>
                                  <w:r>
                                    <w:rPr>
                                      <w:spacing w:val="-10"/>
                                      <w:sz w:val="12"/>
                                    </w:rPr>
                                    <w:t>1</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874</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20,637</w:t>
                                  </w:r>
                                </w:p>
                              </w:tc>
                              <w:tc>
                                <w:tcPr>
                                  <w:tcW w:w="9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23,922</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355</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378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33,038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32,978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66,016</w:t>
                                  </w:r>
                                </w:p>
                              </w:tc>
                            </w:tr>
                            <w:tr>
                              <w:trPr>
                                <w:trHeight w:val="180" w:hRule="atLeast"/>
                              </w:trPr>
                              <w:tc>
                                <w:tcPr>
                                  <w:tcW w:w="615" w:type="dxa"/>
                                </w:tcPr>
                                <w:p>
                                  <w:pPr>
                                    <w:pStyle w:val="TableParagraph"/>
                                    <w:spacing w:before="19"/>
                                    <w:ind w:right="52"/>
                                    <w:jc w:val="right"/>
                                    <w:rPr>
                                      <w:sz w:val="12"/>
                                    </w:rPr>
                                  </w:pPr>
                                  <w:r>
                                    <w:rPr>
                                      <w:spacing w:val="-4"/>
                                      <w:sz w:val="12"/>
                                    </w:rPr>
                                    <w:t>2.00</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0.53</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2.30</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0.52</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3.35</w:t>
                                  </w:r>
                                </w:p>
                              </w:tc>
                              <w:tc>
                                <w:tcPr>
                                  <w:tcW w:w="9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2.49</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8.06</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6.49</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2.91</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2.02</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2.47</w:t>
                                  </w:r>
                                </w:p>
                              </w:tc>
                            </w:tr>
                            <w:tr>
                              <w:trPr>
                                <w:trHeight w:val="161" w:hRule="atLeast"/>
                              </w:trPr>
                              <w:tc>
                                <w:tcPr>
                                  <w:tcW w:w="615" w:type="dxa"/>
                                  <w:tcBorders>
                                    <w:bottom w:val="single" w:sz="8" w:space="0" w:color="000000"/>
                                  </w:tcBorders>
                                </w:tcPr>
                                <w:p>
                                  <w:pPr>
                                    <w:pStyle w:val="TableParagraph"/>
                                    <w:spacing w:line="123" w:lineRule="exact" w:before="19"/>
                                    <w:ind w:right="52"/>
                                    <w:jc w:val="right"/>
                                    <w:rPr>
                                      <w:sz w:val="12"/>
                                    </w:rPr>
                                  </w:pPr>
                                  <w:r>
                                    <w:rPr>
                                      <w:spacing w:val="-2"/>
                                      <w:sz w:val="12"/>
                                    </w:rPr>
                                    <w:t>10.88</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7.07</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0.58</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5.96</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8.60</w:t>
                                  </w:r>
                                </w:p>
                              </w:tc>
                              <w:tc>
                                <w:tcPr>
                                  <w:tcW w:w="9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9.91</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8.91</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8.09</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9.43</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9.12</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9.27</w:t>
                                  </w:r>
                                </w:p>
                              </w:tc>
                            </w:tr>
                            <w:tr>
                              <w:trPr>
                                <w:trHeight w:val="155" w:hRule="atLeast"/>
                              </w:trPr>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12,061</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27,986</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tabs>
                                      <w:tab w:pos="374" w:val="left" w:leader="none"/>
                                    </w:tabs>
                                    <w:spacing w:line="118" w:lineRule="exact" w:before="17"/>
                                    <w:ind w:right="52"/>
                                    <w:jc w:val="right"/>
                                    <w:rPr>
                                      <w:sz w:val="12"/>
                                    </w:rPr>
                                  </w:pPr>
                                  <w:r>
                                    <w:rPr>
                                      <w:spacing w:val="-10"/>
                                      <w:sz w:val="12"/>
                                    </w:rPr>
                                    <w:t>$</w:t>
                                  </w:r>
                                  <w:r>
                                    <w:rPr>
                                      <w:sz w:val="12"/>
                                    </w:rPr>
                                    <w:tab/>
                                  </w:r>
                                  <w:r>
                                    <w:rPr>
                                      <w:spacing w:val="-5"/>
                                      <w:sz w:val="12"/>
                                    </w:rPr>
                                    <w:t>12</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36"/>
                                      <w:sz w:val="12"/>
                                    </w:rPr>
                                    <w:t>  </w:t>
                                  </w:r>
                                  <w:r>
                                    <w:rPr>
                                      <w:spacing w:val="-2"/>
                                      <w:sz w:val="12"/>
                                    </w:rPr>
                                    <w:t>1,130</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20,669</w:t>
                                  </w:r>
                                </w:p>
                              </w:tc>
                              <w:tc>
                                <w:tcPr>
                                  <w:tcW w:w="9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163,726</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tabs>
                                      <w:tab w:pos="307" w:val="left" w:leader="none"/>
                                    </w:tabs>
                                    <w:spacing w:line="118" w:lineRule="exact" w:before="17"/>
                                    <w:ind w:right="52"/>
                                    <w:jc w:val="right"/>
                                    <w:rPr>
                                      <w:sz w:val="12"/>
                                    </w:rPr>
                                  </w:pPr>
                                  <w:r>
                                    <w:rPr>
                                      <w:spacing w:val="-10"/>
                                      <w:sz w:val="12"/>
                                    </w:rPr>
                                    <w:t>$</w:t>
                                  </w:r>
                                  <w:r>
                                    <w:rPr>
                                      <w:sz w:val="12"/>
                                    </w:rPr>
                                    <w:tab/>
                                  </w:r>
                                  <w:r>
                                    <w:rPr>
                                      <w:spacing w:val="-5"/>
                                      <w:sz w:val="12"/>
                                    </w:rPr>
                                    <w:t>355</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36"/>
                                      <w:sz w:val="12"/>
                                    </w:rPr>
                                    <w:t>  </w:t>
                                  </w:r>
                                  <w:r>
                                    <w:rPr>
                                      <w:spacing w:val="-2"/>
                                      <w:sz w:val="12"/>
                                    </w:rPr>
                                    <w:t>3,405</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33,097</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196,247</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229,344</w:t>
                                  </w:r>
                                </w:p>
                              </w:tc>
                            </w:tr>
                          </w:tbl>
                          <w:p>
                            <w:pPr>
                              <w:pStyle w:val="BodyText"/>
                            </w:pPr>
                          </w:p>
                        </w:txbxContent>
                      </wps:txbx>
                      <wps:bodyPr wrap="square" lIns="0" tIns="0" rIns="0" bIns="0" rtlCol="0">
                        <a:noAutofit/>
                      </wps:bodyPr>
                    </wps:wsp>
                  </a:graphicData>
                </a:graphic>
              </wp:anchor>
            </w:drawing>
          </mc:Choice>
          <mc:Fallback>
            <w:pict>
              <v:shape style="position:absolute;margin-left:167.25pt;margin-top:.958935pt;width:375.75pt;height:33.65pt;mso-position-horizontal-relative:page;mso-position-vertical-relative:paragraph;z-index:15838720" type="#_x0000_t202" id="docshape6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5"/>
                        <w:gridCol w:w="60"/>
                        <w:gridCol w:w="615"/>
                        <w:gridCol w:w="60"/>
                        <w:gridCol w:w="615"/>
                        <w:gridCol w:w="60"/>
                        <w:gridCol w:w="615"/>
                        <w:gridCol w:w="60"/>
                        <w:gridCol w:w="615"/>
                        <w:gridCol w:w="90"/>
                        <w:gridCol w:w="615"/>
                        <w:gridCol w:w="60"/>
                        <w:gridCol w:w="615"/>
                        <w:gridCol w:w="60"/>
                        <w:gridCol w:w="615"/>
                        <w:gridCol w:w="60"/>
                        <w:gridCol w:w="615"/>
                        <w:gridCol w:w="60"/>
                        <w:gridCol w:w="615"/>
                        <w:gridCol w:w="60"/>
                        <w:gridCol w:w="615"/>
                      </w:tblGrid>
                      <w:tr>
                        <w:trPr>
                          <w:trHeight w:val="157" w:hRule="atLeast"/>
                        </w:trPr>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12,045</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36"/>
                                <w:sz w:val="12"/>
                              </w:rPr>
                              <w:t>  </w:t>
                            </w:r>
                            <w:r>
                              <w:rPr>
                                <w:spacing w:val="-2"/>
                                <w:sz w:val="12"/>
                              </w:rPr>
                              <w:t>7,804</w:t>
                            </w:r>
                          </w:p>
                        </w:tc>
                        <w:tc>
                          <w:tcPr>
                            <w:tcW w:w="60" w:type="dxa"/>
                          </w:tcPr>
                          <w:p>
                            <w:pPr>
                              <w:pStyle w:val="TableParagraph"/>
                              <w:rPr>
                                <w:rFonts w:ascii="Times New Roman"/>
                                <w:sz w:val="10"/>
                              </w:rPr>
                            </w:pPr>
                          </w:p>
                        </w:tc>
                        <w:tc>
                          <w:tcPr>
                            <w:tcW w:w="615" w:type="dxa"/>
                          </w:tcPr>
                          <w:p>
                            <w:pPr>
                              <w:pStyle w:val="TableParagraph"/>
                              <w:tabs>
                                <w:tab w:pos="440" w:val="left" w:leader="none"/>
                              </w:tabs>
                              <w:spacing w:line="134" w:lineRule="exact"/>
                              <w:ind w:right="52"/>
                              <w:jc w:val="right"/>
                              <w:rPr>
                                <w:sz w:val="12"/>
                              </w:rPr>
                            </w:pPr>
                            <w:r>
                              <w:rPr>
                                <w:spacing w:val="-10"/>
                                <w:sz w:val="12"/>
                              </w:rPr>
                              <w:t>$</w:t>
                            </w:r>
                            <w:r>
                              <w:rPr>
                                <w:sz w:val="12"/>
                              </w:rPr>
                              <w:tab/>
                            </w:r>
                            <w:r>
                              <w:rPr>
                                <w:spacing w:val="-10"/>
                                <w:sz w:val="12"/>
                              </w:rPr>
                              <w:t>1</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874</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20,637</w:t>
                            </w:r>
                          </w:p>
                        </w:tc>
                        <w:tc>
                          <w:tcPr>
                            <w:tcW w:w="9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23,922</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355</w:t>
                            </w:r>
                          </w:p>
                        </w:tc>
                        <w:tc>
                          <w:tcPr>
                            <w:tcW w:w="60" w:type="dxa"/>
                          </w:tcPr>
                          <w:p>
                            <w:pPr>
                              <w:pStyle w:val="TableParagraph"/>
                              <w:rPr>
                                <w:rFonts w:ascii="Times New Roman"/>
                                <w:sz w:val="10"/>
                              </w:rPr>
                            </w:pPr>
                          </w:p>
                        </w:tc>
                        <w:tc>
                          <w:tcPr>
                            <w:tcW w:w="615" w:type="dxa"/>
                          </w:tcPr>
                          <w:p>
                            <w:pPr>
                              <w:pStyle w:val="TableParagraph"/>
                              <w:tabs>
                                <w:tab w:pos="307" w:val="left" w:leader="none"/>
                              </w:tabs>
                              <w:spacing w:line="134" w:lineRule="exact"/>
                              <w:ind w:right="52"/>
                              <w:jc w:val="right"/>
                              <w:rPr>
                                <w:sz w:val="12"/>
                              </w:rPr>
                            </w:pPr>
                            <w:r>
                              <w:rPr>
                                <w:spacing w:val="-10"/>
                                <w:sz w:val="12"/>
                              </w:rPr>
                              <w:t>$</w:t>
                            </w:r>
                            <w:r>
                              <w:rPr>
                                <w:sz w:val="12"/>
                              </w:rPr>
                              <w:tab/>
                            </w:r>
                            <w:r>
                              <w:rPr>
                                <w:spacing w:val="-5"/>
                                <w:sz w:val="12"/>
                              </w:rPr>
                              <w:t>378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33,038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32,978</w:t>
                            </w:r>
                          </w:p>
                        </w:tc>
                        <w:tc>
                          <w:tcPr>
                            <w:tcW w:w="60" w:type="dxa"/>
                          </w:tcPr>
                          <w:p>
                            <w:pPr>
                              <w:pStyle w:val="TableParagraph"/>
                              <w:rPr>
                                <w:rFonts w:ascii="Times New Roman"/>
                                <w:sz w:val="10"/>
                              </w:rPr>
                            </w:pPr>
                          </w:p>
                        </w:tc>
                        <w:tc>
                          <w:tcPr>
                            <w:tcW w:w="615" w:type="dxa"/>
                          </w:tcPr>
                          <w:p>
                            <w:pPr>
                              <w:pStyle w:val="TableParagraph"/>
                              <w:spacing w:line="134" w:lineRule="exact"/>
                              <w:ind w:right="52"/>
                              <w:jc w:val="right"/>
                              <w:rPr>
                                <w:sz w:val="12"/>
                              </w:rPr>
                            </w:pPr>
                            <w:r>
                              <w:rPr>
                                <w:sz w:val="12"/>
                              </w:rPr>
                              <w:t>$</w:t>
                            </w:r>
                            <w:r>
                              <w:rPr>
                                <w:spacing w:val="40"/>
                                <w:sz w:val="12"/>
                              </w:rPr>
                              <w:t> </w:t>
                            </w:r>
                            <w:r>
                              <w:rPr>
                                <w:spacing w:val="-2"/>
                                <w:sz w:val="12"/>
                              </w:rPr>
                              <w:t>66,016</w:t>
                            </w:r>
                          </w:p>
                        </w:tc>
                      </w:tr>
                      <w:tr>
                        <w:trPr>
                          <w:trHeight w:val="180" w:hRule="atLeast"/>
                        </w:trPr>
                        <w:tc>
                          <w:tcPr>
                            <w:tcW w:w="615" w:type="dxa"/>
                          </w:tcPr>
                          <w:p>
                            <w:pPr>
                              <w:pStyle w:val="TableParagraph"/>
                              <w:spacing w:before="19"/>
                              <w:ind w:right="52"/>
                              <w:jc w:val="right"/>
                              <w:rPr>
                                <w:sz w:val="12"/>
                              </w:rPr>
                            </w:pPr>
                            <w:r>
                              <w:rPr>
                                <w:spacing w:val="-4"/>
                                <w:sz w:val="12"/>
                              </w:rPr>
                              <w:t>2.00</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0.53</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2.30</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0.52</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3.35</w:t>
                            </w:r>
                          </w:p>
                        </w:tc>
                        <w:tc>
                          <w:tcPr>
                            <w:tcW w:w="9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2.49</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8.06</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6.49</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2.91</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2.02</w:t>
                            </w:r>
                          </w:p>
                        </w:tc>
                        <w:tc>
                          <w:tcPr>
                            <w:tcW w:w="60" w:type="dxa"/>
                          </w:tcPr>
                          <w:p>
                            <w:pPr>
                              <w:pStyle w:val="TableParagraph"/>
                              <w:rPr>
                                <w:rFonts w:ascii="Times New Roman"/>
                                <w:sz w:val="12"/>
                              </w:rPr>
                            </w:pPr>
                          </w:p>
                        </w:tc>
                        <w:tc>
                          <w:tcPr>
                            <w:tcW w:w="615" w:type="dxa"/>
                          </w:tcPr>
                          <w:p>
                            <w:pPr>
                              <w:pStyle w:val="TableParagraph"/>
                              <w:spacing w:before="19"/>
                              <w:ind w:right="52"/>
                              <w:jc w:val="right"/>
                              <w:rPr>
                                <w:sz w:val="12"/>
                              </w:rPr>
                            </w:pPr>
                            <w:r>
                              <w:rPr>
                                <w:spacing w:val="-4"/>
                                <w:sz w:val="12"/>
                              </w:rPr>
                              <w:t>2.47</w:t>
                            </w:r>
                          </w:p>
                        </w:tc>
                      </w:tr>
                      <w:tr>
                        <w:trPr>
                          <w:trHeight w:val="161" w:hRule="atLeast"/>
                        </w:trPr>
                        <w:tc>
                          <w:tcPr>
                            <w:tcW w:w="615" w:type="dxa"/>
                            <w:tcBorders>
                              <w:bottom w:val="single" w:sz="8" w:space="0" w:color="000000"/>
                            </w:tcBorders>
                          </w:tcPr>
                          <w:p>
                            <w:pPr>
                              <w:pStyle w:val="TableParagraph"/>
                              <w:spacing w:line="123" w:lineRule="exact" w:before="19"/>
                              <w:ind w:right="52"/>
                              <w:jc w:val="right"/>
                              <w:rPr>
                                <w:sz w:val="12"/>
                              </w:rPr>
                            </w:pPr>
                            <w:r>
                              <w:rPr>
                                <w:spacing w:val="-2"/>
                                <w:sz w:val="12"/>
                              </w:rPr>
                              <w:t>10.88</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7.07</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0.58</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5.96</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8.60</w:t>
                            </w:r>
                          </w:p>
                        </w:tc>
                        <w:tc>
                          <w:tcPr>
                            <w:tcW w:w="9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9.91</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8.91</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8.09</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9.43</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9.12</w:t>
                            </w:r>
                          </w:p>
                        </w:tc>
                        <w:tc>
                          <w:tcPr>
                            <w:tcW w:w="60" w:type="dxa"/>
                          </w:tcPr>
                          <w:p>
                            <w:pPr>
                              <w:pStyle w:val="TableParagraph"/>
                              <w:rPr>
                                <w:rFonts w:ascii="Times New Roman"/>
                                <w:sz w:val="10"/>
                              </w:rPr>
                            </w:pPr>
                          </w:p>
                        </w:tc>
                        <w:tc>
                          <w:tcPr>
                            <w:tcW w:w="615" w:type="dxa"/>
                            <w:tcBorders>
                              <w:bottom w:val="single" w:sz="8" w:space="0" w:color="000000"/>
                            </w:tcBorders>
                          </w:tcPr>
                          <w:p>
                            <w:pPr>
                              <w:pStyle w:val="TableParagraph"/>
                              <w:spacing w:line="123" w:lineRule="exact" w:before="19"/>
                              <w:ind w:right="52"/>
                              <w:jc w:val="right"/>
                              <w:rPr>
                                <w:sz w:val="12"/>
                              </w:rPr>
                            </w:pPr>
                            <w:r>
                              <w:rPr>
                                <w:spacing w:val="-4"/>
                                <w:sz w:val="12"/>
                              </w:rPr>
                              <w:t>9.27</w:t>
                            </w:r>
                          </w:p>
                        </w:tc>
                      </w:tr>
                      <w:tr>
                        <w:trPr>
                          <w:trHeight w:val="155" w:hRule="atLeast"/>
                        </w:trPr>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12,061</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27,986</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tabs>
                                <w:tab w:pos="374" w:val="left" w:leader="none"/>
                              </w:tabs>
                              <w:spacing w:line="118" w:lineRule="exact" w:before="17"/>
                              <w:ind w:right="52"/>
                              <w:jc w:val="right"/>
                              <w:rPr>
                                <w:sz w:val="12"/>
                              </w:rPr>
                            </w:pPr>
                            <w:r>
                              <w:rPr>
                                <w:spacing w:val="-10"/>
                                <w:sz w:val="12"/>
                              </w:rPr>
                              <w:t>$</w:t>
                            </w:r>
                            <w:r>
                              <w:rPr>
                                <w:sz w:val="12"/>
                              </w:rPr>
                              <w:tab/>
                            </w:r>
                            <w:r>
                              <w:rPr>
                                <w:spacing w:val="-5"/>
                                <w:sz w:val="12"/>
                              </w:rPr>
                              <w:t>12</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36"/>
                                <w:sz w:val="12"/>
                              </w:rPr>
                              <w:t>  </w:t>
                            </w:r>
                            <w:r>
                              <w:rPr>
                                <w:spacing w:val="-2"/>
                                <w:sz w:val="12"/>
                              </w:rPr>
                              <w:t>1,130</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20,669</w:t>
                            </w:r>
                          </w:p>
                        </w:tc>
                        <w:tc>
                          <w:tcPr>
                            <w:tcW w:w="9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163,726</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tabs>
                                <w:tab w:pos="307" w:val="left" w:leader="none"/>
                              </w:tabs>
                              <w:spacing w:line="118" w:lineRule="exact" w:before="17"/>
                              <w:ind w:right="52"/>
                              <w:jc w:val="right"/>
                              <w:rPr>
                                <w:sz w:val="12"/>
                              </w:rPr>
                            </w:pPr>
                            <w:r>
                              <w:rPr>
                                <w:spacing w:val="-10"/>
                                <w:sz w:val="12"/>
                              </w:rPr>
                              <w:t>$</w:t>
                            </w:r>
                            <w:r>
                              <w:rPr>
                                <w:sz w:val="12"/>
                              </w:rPr>
                              <w:tab/>
                            </w:r>
                            <w:r>
                              <w:rPr>
                                <w:spacing w:val="-5"/>
                                <w:sz w:val="12"/>
                              </w:rPr>
                              <w:t>355</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36"/>
                                <w:sz w:val="12"/>
                              </w:rPr>
                              <w:t>  </w:t>
                            </w:r>
                            <w:r>
                              <w:rPr>
                                <w:spacing w:val="-2"/>
                                <w:sz w:val="12"/>
                              </w:rPr>
                              <w:t>3,405</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40"/>
                                <w:sz w:val="12"/>
                              </w:rPr>
                              <w:t> </w:t>
                            </w:r>
                            <w:r>
                              <w:rPr>
                                <w:spacing w:val="-2"/>
                                <w:sz w:val="12"/>
                              </w:rPr>
                              <w:t>33,097</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196,247</w:t>
                            </w:r>
                          </w:p>
                        </w:tc>
                        <w:tc>
                          <w:tcPr>
                            <w:tcW w:w="60" w:type="dxa"/>
                          </w:tcPr>
                          <w:p>
                            <w:pPr>
                              <w:pStyle w:val="TableParagraph"/>
                              <w:rPr>
                                <w:rFonts w:ascii="Times New Roman"/>
                                <w:sz w:val="10"/>
                              </w:rPr>
                            </w:pPr>
                          </w:p>
                        </w:tc>
                        <w:tc>
                          <w:tcPr>
                            <w:tcW w:w="615" w:type="dxa"/>
                            <w:tcBorders>
                              <w:top w:val="single" w:sz="8" w:space="0" w:color="000000"/>
                            </w:tcBorders>
                          </w:tcPr>
                          <w:p>
                            <w:pPr>
                              <w:pStyle w:val="TableParagraph"/>
                              <w:spacing w:line="118" w:lineRule="exact" w:before="17"/>
                              <w:ind w:right="52"/>
                              <w:jc w:val="right"/>
                              <w:rPr>
                                <w:sz w:val="12"/>
                              </w:rPr>
                            </w:pPr>
                            <w:r>
                              <w:rPr>
                                <w:sz w:val="12"/>
                              </w:rPr>
                              <w:t>$</w:t>
                            </w:r>
                            <w:r>
                              <w:rPr>
                                <w:spacing w:val="-26"/>
                                <w:sz w:val="12"/>
                              </w:rPr>
                              <w:t> </w:t>
                            </w:r>
                            <w:r>
                              <w:rPr>
                                <w:spacing w:val="-2"/>
                                <w:sz w:val="12"/>
                              </w:rPr>
                              <w:t>229,344</w:t>
                            </w:r>
                          </w:p>
                        </w:tc>
                      </w:tr>
                    </w:tbl>
                    <w:p>
                      <w:pPr>
                        <w:pStyle w:val="BodyText"/>
                      </w:pPr>
                    </w:p>
                  </w:txbxContent>
                </v:textbox>
                <w10:wrap type="none"/>
              </v:shape>
            </w:pict>
          </mc:Fallback>
        </mc:AlternateContent>
      </w:r>
      <w:r>
        <w:rPr>
          <w:rFonts w:ascii="Arial MT"/>
          <w:spacing w:val="-2"/>
          <w:sz w:val="12"/>
        </w:rPr>
        <w:t>Fixed-spread</w:t>
      </w:r>
      <w:r>
        <w:rPr>
          <w:rFonts w:ascii="Arial MT"/>
          <w:spacing w:val="14"/>
          <w:sz w:val="12"/>
        </w:rPr>
        <w:t> </w:t>
      </w:r>
      <w:r>
        <w:rPr>
          <w:rFonts w:ascii="Arial MT"/>
          <w:spacing w:val="-2"/>
          <w:sz w:val="12"/>
        </w:rPr>
        <w:t>terms</w:t>
      </w:r>
    </w:p>
    <w:p>
      <w:pPr>
        <w:spacing w:before="42"/>
        <w:ind w:left="952" w:right="0" w:firstLine="0"/>
        <w:jc w:val="left"/>
        <w:rPr>
          <w:rFonts w:ascii="Arial MT"/>
          <w:sz w:val="12"/>
        </w:rPr>
      </w:pPr>
      <w:r>
        <w:rPr>
          <w:rFonts w:ascii="Arial MT"/>
          <w:sz w:val="12"/>
        </w:rPr>
        <w:t>Weighted</w:t>
      </w:r>
      <w:r>
        <w:rPr>
          <w:rFonts w:ascii="Arial MT"/>
          <w:spacing w:val="-6"/>
          <w:sz w:val="12"/>
        </w:rPr>
        <w:t> </w:t>
      </w:r>
      <w:r>
        <w:rPr>
          <w:rFonts w:ascii="Arial MT"/>
          <w:sz w:val="12"/>
        </w:rPr>
        <w:t>average</w:t>
      </w:r>
      <w:r>
        <w:rPr>
          <w:rFonts w:ascii="Arial MT"/>
          <w:spacing w:val="-6"/>
          <w:sz w:val="12"/>
        </w:rPr>
        <w:t> </w:t>
      </w:r>
      <w:r>
        <w:rPr>
          <w:rFonts w:ascii="Arial MT"/>
          <w:sz w:val="12"/>
        </w:rPr>
        <w:t>rate</w:t>
      </w:r>
      <w:r>
        <w:rPr>
          <w:rFonts w:ascii="Arial MT"/>
          <w:spacing w:val="-6"/>
          <w:sz w:val="12"/>
        </w:rPr>
        <w:t> </w:t>
      </w:r>
      <w:r>
        <w:rPr>
          <w:rFonts w:ascii="Arial MT"/>
          <w:sz w:val="12"/>
        </w:rPr>
        <w:t>(%)</w:t>
      </w:r>
      <w:r>
        <w:rPr>
          <w:rFonts w:ascii="Arial MT"/>
          <w:spacing w:val="-5"/>
          <w:sz w:val="12"/>
        </w:rPr>
        <w:t> </w:t>
      </w:r>
      <w:r>
        <w:rPr>
          <w:rFonts w:ascii="Arial MT"/>
          <w:spacing w:val="-10"/>
          <w:sz w:val="12"/>
          <w:vertAlign w:val="superscript"/>
        </w:rPr>
        <w:t>b</w:t>
      </w:r>
    </w:p>
    <w:p>
      <w:pPr>
        <w:spacing w:before="42"/>
        <w:ind w:left="952" w:right="0" w:firstLine="0"/>
        <w:jc w:val="left"/>
        <w:rPr>
          <w:rFonts w:ascii="Arial MT"/>
          <w:sz w:val="12"/>
        </w:rPr>
      </w:pPr>
      <w:r>
        <w:rPr>
          <w:rFonts w:ascii="Arial MT"/>
          <w:sz w:val="12"/>
        </w:rPr>
        <w:t>Average</w:t>
      </w:r>
      <w:r>
        <w:rPr>
          <w:rFonts w:ascii="Arial MT"/>
          <w:spacing w:val="-8"/>
          <w:sz w:val="12"/>
        </w:rPr>
        <w:t> </w:t>
      </w:r>
      <w:r>
        <w:rPr>
          <w:rFonts w:ascii="Arial MT"/>
          <w:sz w:val="12"/>
        </w:rPr>
        <w:t>maturity</w:t>
      </w:r>
      <w:r>
        <w:rPr>
          <w:rFonts w:ascii="Arial MT"/>
          <w:spacing w:val="-8"/>
          <w:sz w:val="12"/>
        </w:rPr>
        <w:t> </w:t>
      </w:r>
      <w:r>
        <w:rPr>
          <w:rFonts w:ascii="Arial MT"/>
          <w:spacing w:val="-2"/>
          <w:sz w:val="12"/>
        </w:rPr>
        <w:t>(years)</w:t>
      </w:r>
    </w:p>
    <w:p>
      <w:pPr>
        <w:spacing w:before="42" w:after="30"/>
        <w:ind w:left="772" w:right="0" w:firstLine="0"/>
        <w:jc w:val="left"/>
        <w:rPr>
          <w:rFonts w:ascii="Arial"/>
          <w:b/>
          <w:sz w:val="12"/>
        </w:rPr>
      </w:pPr>
      <w:r>
        <w:rPr>
          <w:rFonts w:ascii="Arial"/>
          <w:b/>
          <w:sz w:val="12"/>
        </w:rPr>
        <w:t>Loans</w:t>
      </w:r>
      <w:r>
        <w:rPr>
          <w:rFonts w:ascii="Arial"/>
          <w:b/>
          <w:spacing w:val="-5"/>
          <w:sz w:val="12"/>
        </w:rPr>
        <w:t> </w:t>
      </w:r>
      <w:r>
        <w:rPr>
          <w:rFonts w:ascii="Arial"/>
          <w:b/>
          <w:spacing w:val="-2"/>
          <w:sz w:val="12"/>
        </w:rPr>
        <w:t>Outstanding</w:t>
      </w:r>
    </w:p>
    <w:tbl>
      <w:tblPr>
        <w:tblW w:w="0" w:type="auto"/>
        <w:jc w:val="left"/>
        <w:tblInd w:w="9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0"/>
        <w:gridCol w:w="764"/>
        <w:gridCol w:w="675"/>
        <w:gridCol w:w="675"/>
        <w:gridCol w:w="675"/>
        <w:gridCol w:w="690"/>
        <w:gridCol w:w="690"/>
        <w:gridCol w:w="675"/>
        <w:gridCol w:w="675"/>
        <w:gridCol w:w="675"/>
        <w:gridCol w:w="675"/>
        <w:gridCol w:w="513"/>
      </w:tblGrid>
      <w:tr>
        <w:trPr>
          <w:trHeight w:val="180" w:hRule="atLeast"/>
        </w:trPr>
        <w:tc>
          <w:tcPr>
            <w:tcW w:w="1780" w:type="dxa"/>
          </w:tcPr>
          <w:p>
            <w:pPr>
              <w:pStyle w:val="TableParagraph"/>
              <w:spacing w:before="12"/>
              <w:ind w:left="31"/>
              <w:rPr>
                <w:sz w:val="12"/>
              </w:rPr>
            </w:pPr>
            <w:r>
              <w:rPr>
                <w:sz w:val="12"/>
              </w:rPr>
              <w:t>Weighted</w:t>
            </w:r>
            <w:r>
              <w:rPr>
                <w:spacing w:val="-6"/>
                <w:sz w:val="12"/>
              </w:rPr>
              <w:t> </w:t>
            </w:r>
            <w:r>
              <w:rPr>
                <w:sz w:val="12"/>
              </w:rPr>
              <w:t>average</w:t>
            </w:r>
            <w:r>
              <w:rPr>
                <w:spacing w:val="-6"/>
                <w:sz w:val="12"/>
              </w:rPr>
              <w:t> </w:t>
            </w:r>
            <w:r>
              <w:rPr>
                <w:sz w:val="12"/>
              </w:rPr>
              <w:t>rate</w:t>
            </w:r>
            <w:r>
              <w:rPr>
                <w:spacing w:val="-6"/>
                <w:sz w:val="12"/>
              </w:rPr>
              <w:t> </w:t>
            </w:r>
            <w:r>
              <w:rPr>
                <w:sz w:val="12"/>
              </w:rPr>
              <w:t>(%)</w:t>
            </w:r>
            <w:r>
              <w:rPr>
                <w:spacing w:val="-5"/>
                <w:sz w:val="12"/>
              </w:rPr>
              <w:t> </w:t>
            </w:r>
            <w:r>
              <w:rPr>
                <w:spacing w:val="-10"/>
                <w:sz w:val="12"/>
                <w:vertAlign w:val="superscript"/>
              </w:rPr>
              <w:t>b</w:t>
            </w:r>
          </w:p>
        </w:tc>
        <w:tc>
          <w:tcPr>
            <w:tcW w:w="764" w:type="dxa"/>
          </w:tcPr>
          <w:p>
            <w:pPr>
              <w:pStyle w:val="TableParagraph"/>
              <w:spacing w:line="133" w:lineRule="exact" w:before="27"/>
              <w:ind w:left="90"/>
              <w:jc w:val="center"/>
              <w:rPr>
                <w:sz w:val="12"/>
              </w:rPr>
            </w:pPr>
            <w:r>
              <w:rPr>
                <w:spacing w:val="-4"/>
                <w:sz w:val="12"/>
              </w:rPr>
              <w:t>2.00</w:t>
            </w:r>
          </w:p>
        </w:tc>
        <w:tc>
          <w:tcPr>
            <w:tcW w:w="675" w:type="dxa"/>
          </w:tcPr>
          <w:p>
            <w:pPr>
              <w:pStyle w:val="TableParagraph"/>
              <w:spacing w:line="133" w:lineRule="exact" w:before="27"/>
              <w:ind w:left="1"/>
              <w:jc w:val="center"/>
              <w:rPr>
                <w:sz w:val="12"/>
              </w:rPr>
            </w:pPr>
            <w:r>
              <w:rPr>
                <w:spacing w:val="-4"/>
                <w:sz w:val="12"/>
              </w:rPr>
              <w:t>0.45</w:t>
            </w:r>
          </w:p>
        </w:tc>
        <w:tc>
          <w:tcPr>
            <w:tcW w:w="675" w:type="dxa"/>
          </w:tcPr>
          <w:p>
            <w:pPr>
              <w:pStyle w:val="TableParagraph"/>
              <w:spacing w:line="133" w:lineRule="exact" w:before="27"/>
              <w:ind w:left="1"/>
              <w:jc w:val="center"/>
              <w:rPr>
                <w:sz w:val="12"/>
              </w:rPr>
            </w:pPr>
            <w:r>
              <w:rPr>
                <w:spacing w:val="-4"/>
                <w:sz w:val="12"/>
              </w:rPr>
              <w:t>2.74</w:t>
            </w:r>
          </w:p>
        </w:tc>
        <w:tc>
          <w:tcPr>
            <w:tcW w:w="675" w:type="dxa"/>
          </w:tcPr>
          <w:p>
            <w:pPr>
              <w:pStyle w:val="TableParagraph"/>
              <w:spacing w:line="133" w:lineRule="exact" w:before="27"/>
              <w:ind w:left="1"/>
              <w:jc w:val="center"/>
              <w:rPr>
                <w:sz w:val="12"/>
              </w:rPr>
            </w:pPr>
            <w:r>
              <w:rPr>
                <w:spacing w:val="-4"/>
                <w:sz w:val="12"/>
              </w:rPr>
              <w:t>0.59</w:t>
            </w:r>
          </w:p>
        </w:tc>
        <w:tc>
          <w:tcPr>
            <w:tcW w:w="690" w:type="dxa"/>
          </w:tcPr>
          <w:p>
            <w:pPr>
              <w:pStyle w:val="TableParagraph"/>
              <w:spacing w:line="133" w:lineRule="exact" w:before="27"/>
              <w:ind w:left="16" w:right="27"/>
              <w:jc w:val="center"/>
              <w:rPr>
                <w:sz w:val="12"/>
              </w:rPr>
            </w:pPr>
            <w:r>
              <w:rPr>
                <w:spacing w:val="-4"/>
                <w:sz w:val="12"/>
              </w:rPr>
              <w:t>3.36</w:t>
            </w:r>
          </w:p>
        </w:tc>
        <w:tc>
          <w:tcPr>
            <w:tcW w:w="690" w:type="dxa"/>
          </w:tcPr>
          <w:p>
            <w:pPr>
              <w:pStyle w:val="TableParagraph"/>
              <w:spacing w:line="133" w:lineRule="exact" w:before="27"/>
              <w:ind w:left="27" w:right="11"/>
              <w:jc w:val="center"/>
              <w:rPr>
                <w:sz w:val="12"/>
              </w:rPr>
            </w:pPr>
            <w:r>
              <w:rPr>
                <w:spacing w:val="-4"/>
                <w:sz w:val="12"/>
              </w:rPr>
              <w:t>2.29</w:t>
            </w:r>
          </w:p>
        </w:tc>
        <w:tc>
          <w:tcPr>
            <w:tcW w:w="675" w:type="dxa"/>
          </w:tcPr>
          <w:p>
            <w:pPr>
              <w:pStyle w:val="TableParagraph"/>
              <w:spacing w:line="133" w:lineRule="exact" w:before="27"/>
              <w:ind w:left="1"/>
              <w:jc w:val="center"/>
              <w:rPr>
                <w:sz w:val="12"/>
              </w:rPr>
            </w:pPr>
            <w:r>
              <w:rPr>
                <w:spacing w:val="-4"/>
                <w:sz w:val="12"/>
              </w:rPr>
              <w:t>8.06</w:t>
            </w:r>
          </w:p>
        </w:tc>
        <w:tc>
          <w:tcPr>
            <w:tcW w:w="675" w:type="dxa"/>
          </w:tcPr>
          <w:p>
            <w:pPr>
              <w:pStyle w:val="TableParagraph"/>
              <w:spacing w:line="133" w:lineRule="exact" w:before="27"/>
              <w:ind w:left="1"/>
              <w:jc w:val="center"/>
              <w:rPr>
                <w:sz w:val="12"/>
              </w:rPr>
            </w:pPr>
            <w:r>
              <w:rPr>
                <w:spacing w:val="-4"/>
                <w:sz w:val="12"/>
              </w:rPr>
              <w:t>8.70</w:t>
            </w:r>
          </w:p>
        </w:tc>
        <w:tc>
          <w:tcPr>
            <w:tcW w:w="675" w:type="dxa"/>
          </w:tcPr>
          <w:p>
            <w:pPr>
              <w:pStyle w:val="TableParagraph"/>
              <w:spacing w:line="133" w:lineRule="exact" w:before="27"/>
              <w:ind w:left="1"/>
              <w:jc w:val="center"/>
              <w:rPr>
                <w:sz w:val="12"/>
              </w:rPr>
            </w:pPr>
            <w:r>
              <w:rPr>
                <w:spacing w:val="-4"/>
                <w:sz w:val="12"/>
              </w:rPr>
              <w:t>2.91</w:t>
            </w:r>
          </w:p>
        </w:tc>
        <w:tc>
          <w:tcPr>
            <w:tcW w:w="675" w:type="dxa"/>
          </w:tcPr>
          <w:p>
            <w:pPr>
              <w:pStyle w:val="TableParagraph"/>
              <w:spacing w:line="133" w:lineRule="exact" w:before="27"/>
              <w:ind w:left="1"/>
              <w:jc w:val="center"/>
              <w:rPr>
                <w:sz w:val="12"/>
              </w:rPr>
            </w:pPr>
            <w:r>
              <w:rPr>
                <w:spacing w:val="-4"/>
                <w:sz w:val="12"/>
              </w:rPr>
              <w:t>2.13</w:t>
            </w:r>
          </w:p>
        </w:tc>
        <w:tc>
          <w:tcPr>
            <w:tcW w:w="513" w:type="dxa"/>
          </w:tcPr>
          <w:p>
            <w:pPr>
              <w:pStyle w:val="TableParagraph"/>
              <w:spacing w:line="133" w:lineRule="exact" w:before="27"/>
              <w:ind w:left="163"/>
              <w:jc w:val="center"/>
              <w:rPr>
                <w:sz w:val="12"/>
              </w:rPr>
            </w:pPr>
            <w:r>
              <w:rPr>
                <w:spacing w:val="-4"/>
                <w:sz w:val="12"/>
              </w:rPr>
              <w:t>2.24</w:t>
            </w:r>
          </w:p>
        </w:tc>
      </w:tr>
      <w:tr>
        <w:trPr>
          <w:trHeight w:val="189" w:hRule="atLeast"/>
        </w:trPr>
        <w:tc>
          <w:tcPr>
            <w:tcW w:w="1780" w:type="dxa"/>
          </w:tcPr>
          <w:p>
            <w:pPr>
              <w:pStyle w:val="TableParagraph"/>
              <w:spacing w:before="11"/>
              <w:ind w:left="31"/>
              <w:rPr>
                <w:sz w:val="12"/>
              </w:rPr>
            </w:pPr>
            <w:r>
              <w:rPr>
                <w:sz w:val="12"/>
              </w:rPr>
              <w:t>Average</w:t>
            </w:r>
            <w:r>
              <w:rPr>
                <w:spacing w:val="-8"/>
                <w:sz w:val="12"/>
              </w:rPr>
              <w:t> </w:t>
            </w:r>
            <w:r>
              <w:rPr>
                <w:sz w:val="12"/>
              </w:rPr>
              <w:t>Maturity</w:t>
            </w:r>
            <w:r>
              <w:rPr>
                <w:spacing w:val="-8"/>
                <w:sz w:val="12"/>
              </w:rPr>
              <w:t> </w:t>
            </w:r>
            <w:r>
              <w:rPr>
                <w:spacing w:val="-2"/>
                <w:sz w:val="12"/>
              </w:rPr>
              <w:t>(years)</w:t>
            </w:r>
          </w:p>
        </w:tc>
        <w:tc>
          <w:tcPr>
            <w:tcW w:w="764" w:type="dxa"/>
          </w:tcPr>
          <w:p>
            <w:pPr>
              <w:pStyle w:val="TableParagraph"/>
              <w:spacing w:before="26"/>
              <w:ind w:left="90" w:right="67"/>
              <w:jc w:val="center"/>
              <w:rPr>
                <w:sz w:val="12"/>
              </w:rPr>
            </w:pPr>
            <w:r>
              <w:rPr>
                <w:spacing w:val="-2"/>
                <w:sz w:val="12"/>
              </w:rPr>
              <w:t>10.87</w:t>
            </w:r>
          </w:p>
        </w:tc>
        <w:tc>
          <w:tcPr>
            <w:tcW w:w="675" w:type="dxa"/>
          </w:tcPr>
          <w:p>
            <w:pPr>
              <w:pStyle w:val="TableParagraph"/>
              <w:spacing w:before="26"/>
              <w:ind w:left="1"/>
              <w:jc w:val="center"/>
              <w:rPr>
                <w:sz w:val="12"/>
              </w:rPr>
            </w:pPr>
            <w:r>
              <w:rPr>
                <w:spacing w:val="-4"/>
                <w:sz w:val="12"/>
              </w:rPr>
              <w:t>7.96</w:t>
            </w:r>
          </w:p>
        </w:tc>
        <w:tc>
          <w:tcPr>
            <w:tcW w:w="675" w:type="dxa"/>
          </w:tcPr>
          <w:p>
            <w:pPr>
              <w:pStyle w:val="TableParagraph"/>
              <w:spacing w:before="26"/>
              <w:ind w:left="1"/>
              <w:jc w:val="center"/>
              <w:rPr>
                <w:sz w:val="12"/>
              </w:rPr>
            </w:pPr>
            <w:r>
              <w:rPr>
                <w:spacing w:val="-4"/>
                <w:sz w:val="12"/>
              </w:rPr>
              <w:t>1.94</w:t>
            </w:r>
          </w:p>
        </w:tc>
        <w:tc>
          <w:tcPr>
            <w:tcW w:w="675" w:type="dxa"/>
          </w:tcPr>
          <w:p>
            <w:pPr>
              <w:pStyle w:val="TableParagraph"/>
              <w:spacing w:before="26"/>
              <w:ind w:left="1"/>
              <w:jc w:val="center"/>
              <w:rPr>
                <w:sz w:val="12"/>
              </w:rPr>
            </w:pPr>
            <w:r>
              <w:rPr>
                <w:spacing w:val="-4"/>
                <w:sz w:val="12"/>
              </w:rPr>
              <w:t>6.19</w:t>
            </w:r>
          </w:p>
        </w:tc>
        <w:tc>
          <w:tcPr>
            <w:tcW w:w="690" w:type="dxa"/>
          </w:tcPr>
          <w:p>
            <w:pPr>
              <w:pStyle w:val="TableParagraph"/>
              <w:spacing w:before="26"/>
              <w:ind w:left="16" w:right="27"/>
              <w:jc w:val="center"/>
              <w:rPr>
                <w:sz w:val="12"/>
              </w:rPr>
            </w:pPr>
            <w:r>
              <w:rPr>
                <w:spacing w:val="-4"/>
                <w:sz w:val="12"/>
              </w:rPr>
              <w:t>8.58</w:t>
            </w:r>
          </w:p>
        </w:tc>
        <w:tc>
          <w:tcPr>
            <w:tcW w:w="690" w:type="dxa"/>
          </w:tcPr>
          <w:p>
            <w:pPr>
              <w:pStyle w:val="TableParagraph"/>
              <w:spacing w:before="26"/>
              <w:ind w:left="27" w:right="11"/>
              <w:jc w:val="center"/>
              <w:rPr>
                <w:sz w:val="12"/>
              </w:rPr>
            </w:pPr>
            <w:r>
              <w:rPr>
                <w:spacing w:val="-4"/>
                <w:sz w:val="12"/>
              </w:rPr>
              <w:t>8.80</w:t>
            </w:r>
          </w:p>
        </w:tc>
        <w:tc>
          <w:tcPr>
            <w:tcW w:w="675" w:type="dxa"/>
          </w:tcPr>
          <w:p>
            <w:pPr>
              <w:pStyle w:val="TableParagraph"/>
              <w:spacing w:before="26"/>
              <w:ind w:left="1"/>
              <w:jc w:val="center"/>
              <w:rPr>
                <w:sz w:val="12"/>
              </w:rPr>
            </w:pPr>
            <w:r>
              <w:rPr>
                <w:spacing w:val="-4"/>
                <w:sz w:val="12"/>
              </w:rPr>
              <w:t>8.91</w:t>
            </w:r>
          </w:p>
        </w:tc>
        <w:tc>
          <w:tcPr>
            <w:tcW w:w="675" w:type="dxa"/>
          </w:tcPr>
          <w:p>
            <w:pPr>
              <w:pStyle w:val="TableParagraph"/>
              <w:spacing w:before="26"/>
              <w:ind w:left="1"/>
              <w:jc w:val="center"/>
              <w:rPr>
                <w:sz w:val="12"/>
              </w:rPr>
            </w:pPr>
            <w:r>
              <w:rPr>
                <w:spacing w:val="-4"/>
                <w:sz w:val="12"/>
              </w:rPr>
              <w:t>7.64</w:t>
            </w:r>
          </w:p>
        </w:tc>
        <w:tc>
          <w:tcPr>
            <w:tcW w:w="675" w:type="dxa"/>
          </w:tcPr>
          <w:p>
            <w:pPr>
              <w:pStyle w:val="TableParagraph"/>
              <w:spacing w:before="26"/>
              <w:ind w:left="1"/>
              <w:jc w:val="center"/>
              <w:rPr>
                <w:sz w:val="12"/>
              </w:rPr>
            </w:pPr>
            <w:r>
              <w:rPr>
                <w:spacing w:val="-4"/>
                <w:sz w:val="12"/>
              </w:rPr>
              <w:t>9.42</w:t>
            </w:r>
          </w:p>
        </w:tc>
        <w:tc>
          <w:tcPr>
            <w:tcW w:w="675" w:type="dxa"/>
          </w:tcPr>
          <w:p>
            <w:pPr>
              <w:pStyle w:val="TableParagraph"/>
              <w:spacing w:before="26"/>
              <w:ind w:left="1"/>
              <w:jc w:val="center"/>
              <w:rPr>
                <w:sz w:val="12"/>
              </w:rPr>
            </w:pPr>
            <w:r>
              <w:rPr>
                <w:spacing w:val="-4"/>
                <w:sz w:val="12"/>
              </w:rPr>
              <w:t>8.64</w:t>
            </w:r>
          </w:p>
        </w:tc>
        <w:tc>
          <w:tcPr>
            <w:tcW w:w="513" w:type="dxa"/>
          </w:tcPr>
          <w:p>
            <w:pPr>
              <w:pStyle w:val="TableParagraph"/>
              <w:spacing w:before="26"/>
              <w:ind w:left="163"/>
              <w:jc w:val="center"/>
              <w:rPr>
                <w:sz w:val="12"/>
              </w:rPr>
            </w:pPr>
            <w:r>
              <w:rPr>
                <w:sz w:val="12"/>
              </w:rPr>
              <mc:AlternateContent>
                <mc:Choice Requires="wps">
                  <w:drawing>
                    <wp:anchor distT="0" distB="0" distL="0" distR="0" allowOverlap="1" layoutInCell="1" locked="0" behindDoc="0" simplePos="0" relativeHeight="15834112">
                      <wp:simplePos x="0" y="0"/>
                      <wp:positionH relativeFrom="column">
                        <wp:posOffset>-67468</wp:posOffset>
                      </wp:positionH>
                      <wp:positionV relativeFrom="paragraph">
                        <wp:posOffset>107161</wp:posOffset>
                      </wp:positionV>
                      <wp:extent cx="390525" cy="1270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390525" cy="12700"/>
                                <a:chExt cx="390525" cy="12700"/>
                              </a:xfrm>
                            </wpg:grpSpPr>
                            <wps:wsp>
                              <wps:cNvPr id="753" name="Graphic 753"/>
                              <wps:cNvSpPr/>
                              <wps:spPr>
                                <a:xfrm>
                                  <a:off x="0" y="6350"/>
                                  <a:ext cx="390525" cy="1270"/>
                                </a:xfrm>
                                <a:custGeom>
                                  <a:avLst/>
                                  <a:gdLst/>
                                  <a:ahLst/>
                                  <a:cxnLst/>
                                  <a:rect l="l" t="t" r="r" b="b"/>
                                  <a:pathLst>
                                    <a:path w="390525" h="0">
                                      <a:moveTo>
                                        <a:pt x="0" y="0"/>
                                      </a:moveTo>
                                      <a:lnTo>
                                        <a:pt x="39052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2458pt;margin-top:8.437940pt;width:30.75pt;height:1pt;mso-position-horizontal-relative:column;mso-position-vertical-relative:paragraph;z-index:15834112" id="docshapegroup640" coordorigin="-106,169" coordsize="615,20">
                      <v:line style="position:absolute" from="-106,179" to="509,179" stroked="true" strokeweight="1pt" strokecolor="#000000">
                        <v:stroke dashstyle="solid"/>
                      </v:line>
                      <w10:wrap type="none"/>
                    </v:group>
                  </w:pict>
                </mc:Fallback>
              </mc:AlternateContent>
            </w:r>
            <w:r>
              <w:rPr>
                <w:spacing w:val="-4"/>
                <w:sz w:val="12"/>
              </w:rPr>
              <w:t>8.75</w:t>
            </w:r>
          </w:p>
        </w:tc>
      </w:tr>
    </w:tbl>
    <w:p>
      <w:pPr>
        <w:tabs>
          <w:tab w:pos="9517" w:val="left" w:leader="none"/>
        </w:tabs>
        <w:spacing w:before="8"/>
        <w:ind w:left="772" w:right="0" w:firstLine="0"/>
        <w:jc w:val="left"/>
        <w:rPr>
          <w:rFonts w:ascii="Arial MT"/>
          <w:sz w:val="12"/>
        </w:rPr>
      </w:pPr>
      <w:r>
        <w:rPr>
          <w:rFonts w:ascii="Arial"/>
          <w:b/>
          <w:position w:val="1"/>
          <w:sz w:val="12"/>
        </w:rPr>
        <w:t>Loans</w:t>
      </w:r>
      <w:r>
        <w:rPr>
          <w:rFonts w:ascii="Arial"/>
          <w:b/>
          <w:spacing w:val="-5"/>
          <w:position w:val="1"/>
          <w:sz w:val="12"/>
        </w:rPr>
        <w:t> </w:t>
      </w:r>
      <w:r>
        <w:rPr>
          <w:rFonts w:ascii="Arial"/>
          <w:b/>
          <w:spacing w:val="-2"/>
          <w:position w:val="1"/>
          <w:sz w:val="12"/>
        </w:rPr>
        <w:t>Outstanding</w:t>
      </w:r>
      <w:r>
        <w:rPr>
          <w:rFonts w:ascii="Arial"/>
          <w:b/>
          <w:position w:val="1"/>
          <w:sz w:val="12"/>
        </w:rPr>
        <w:tab/>
      </w:r>
      <w:r>
        <w:rPr>
          <w:rFonts w:ascii="Arial MT"/>
          <w:sz w:val="12"/>
        </w:rPr>
        <w:t>$</w:t>
      </w:r>
      <w:r>
        <w:rPr>
          <w:rFonts w:ascii="Arial MT"/>
          <w:spacing w:val="-26"/>
          <w:sz w:val="12"/>
        </w:rPr>
        <w:t> </w:t>
      </w:r>
      <w:r>
        <w:rPr>
          <w:rFonts w:ascii="Arial MT"/>
          <w:spacing w:val="-2"/>
          <w:sz w:val="12"/>
        </w:rPr>
        <w:t>229,344</w:t>
      </w:r>
    </w:p>
    <w:p>
      <w:pPr>
        <w:tabs>
          <w:tab w:pos="9725" w:val="left" w:leader="none"/>
        </w:tabs>
        <w:spacing w:before="32"/>
        <w:ind w:left="772"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7688704">
                <wp:simplePos x="0" y="0"/>
                <wp:positionH relativeFrom="page">
                  <wp:posOffset>6467475</wp:posOffset>
                </wp:positionH>
                <wp:positionV relativeFrom="paragraph">
                  <wp:posOffset>123913</wp:posOffset>
                </wp:positionV>
                <wp:extent cx="390525" cy="127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390525" cy="1270"/>
                        </a:xfrm>
                        <a:custGeom>
                          <a:avLst/>
                          <a:gdLst/>
                          <a:ahLst/>
                          <a:cxnLst/>
                          <a:rect l="l" t="t" r="r" b="b"/>
                          <a:pathLst>
                            <a:path w="390525" h="0">
                              <a:moveTo>
                                <a:pt x="0" y="0"/>
                              </a:moveTo>
                              <a:lnTo>
                                <a:pt x="3905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09.25pt;margin-top:9.756983pt;width:30.75pt;height:.1pt;mso-position-horizontal-relative:page;mso-position-vertical-relative:paragraph;z-index:-15627776;mso-wrap-distance-left:0;mso-wrap-distance-right:0" id="docshape641" coordorigin="10185,195" coordsize="615,0" path="m10185,195l10800,195e" filled="false" stroked="true" strokeweight="1pt" strokecolor="#000000">
                <v:path arrowok="t"/>
                <v:stroke dashstyle="solid"/>
                <w10:wrap type="topAndBottom"/>
              </v:shape>
            </w:pict>
          </mc:Fallback>
        </mc:AlternateContent>
      </w:r>
      <w:r>
        <w:rPr>
          <w:rFonts w:ascii="Arial MT"/>
          <w:position w:val="1"/>
          <w:sz w:val="12"/>
        </w:rPr>
        <w:t>Less</w:t>
      </w:r>
      <w:r>
        <w:rPr>
          <w:rFonts w:ascii="Arial MT"/>
          <w:spacing w:val="-5"/>
          <w:position w:val="1"/>
          <w:sz w:val="12"/>
        </w:rPr>
        <w:t> </w:t>
      </w:r>
      <w:r>
        <w:rPr>
          <w:rFonts w:ascii="Arial MT"/>
          <w:position w:val="1"/>
          <w:sz w:val="12"/>
        </w:rPr>
        <w:t>accumulated</w:t>
      </w:r>
      <w:r>
        <w:rPr>
          <w:rFonts w:ascii="Arial MT"/>
          <w:spacing w:val="-5"/>
          <w:position w:val="1"/>
          <w:sz w:val="12"/>
        </w:rPr>
        <w:t> </w:t>
      </w:r>
      <w:r>
        <w:rPr>
          <w:rFonts w:ascii="Arial MT"/>
          <w:position w:val="1"/>
          <w:sz w:val="12"/>
        </w:rPr>
        <w:t>provision</w:t>
      </w:r>
      <w:r>
        <w:rPr>
          <w:rFonts w:ascii="Arial MT"/>
          <w:spacing w:val="-5"/>
          <w:position w:val="1"/>
          <w:sz w:val="12"/>
        </w:rPr>
        <w:t> </w:t>
      </w:r>
      <w:r>
        <w:rPr>
          <w:rFonts w:ascii="Arial MT"/>
          <w:position w:val="1"/>
          <w:sz w:val="12"/>
        </w:rPr>
        <w:t>for</w:t>
      </w:r>
      <w:r>
        <w:rPr>
          <w:rFonts w:ascii="Arial MT"/>
          <w:spacing w:val="-5"/>
          <w:position w:val="1"/>
          <w:sz w:val="12"/>
        </w:rPr>
        <w:t> </w:t>
      </w:r>
      <w:r>
        <w:rPr>
          <w:rFonts w:ascii="Arial MT"/>
          <w:position w:val="1"/>
          <w:sz w:val="12"/>
        </w:rPr>
        <w:t>loan</w:t>
      </w:r>
      <w:r>
        <w:rPr>
          <w:rFonts w:ascii="Arial MT"/>
          <w:spacing w:val="-5"/>
          <w:position w:val="1"/>
          <w:sz w:val="12"/>
        </w:rPr>
        <w:t> </w:t>
      </w:r>
      <w:r>
        <w:rPr>
          <w:rFonts w:ascii="Arial MT"/>
          <w:position w:val="1"/>
          <w:sz w:val="12"/>
        </w:rPr>
        <w:t>losses</w:t>
      </w:r>
      <w:r>
        <w:rPr>
          <w:rFonts w:ascii="Arial MT"/>
          <w:spacing w:val="-5"/>
          <w:position w:val="1"/>
          <w:sz w:val="12"/>
        </w:rPr>
        <w:t> </w:t>
      </w:r>
      <w:r>
        <w:rPr>
          <w:rFonts w:ascii="Arial MT"/>
          <w:position w:val="1"/>
          <w:sz w:val="12"/>
        </w:rPr>
        <w:t>and</w:t>
      </w:r>
      <w:r>
        <w:rPr>
          <w:rFonts w:ascii="Arial MT"/>
          <w:spacing w:val="-5"/>
          <w:position w:val="1"/>
          <w:sz w:val="12"/>
        </w:rPr>
        <w:t> </w:t>
      </w:r>
      <w:r>
        <w:rPr>
          <w:rFonts w:ascii="Arial MT"/>
          <w:position w:val="1"/>
          <w:sz w:val="12"/>
        </w:rPr>
        <w:t>deferred</w:t>
      </w:r>
      <w:r>
        <w:rPr>
          <w:rFonts w:ascii="Arial MT"/>
          <w:spacing w:val="-5"/>
          <w:position w:val="1"/>
          <w:sz w:val="12"/>
        </w:rPr>
        <w:t> </w:t>
      </w:r>
      <w:r>
        <w:rPr>
          <w:rFonts w:ascii="Arial MT"/>
          <w:position w:val="1"/>
          <w:sz w:val="12"/>
        </w:rPr>
        <w:t>loan</w:t>
      </w:r>
      <w:r>
        <w:rPr>
          <w:rFonts w:ascii="Arial MT"/>
          <w:spacing w:val="-5"/>
          <w:position w:val="1"/>
          <w:sz w:val="12"/>
        </w:rPr>
        <w:t> </w:t>
      </w:r>
      <w:r>
        <w:rPr>
          <w:rFonts w:ascii="Arial MT"/>
          <w:spacing w:val="-2"/>
          <w:position w:val="1"/>
          <w:sz w:val="12"/>
        </w:rPr>
        <w:t>income</w:t>
      </w:r>
      <w:r>
        <w:rPr>
          <w:rFonts w:ascii="Arial MT"/>
          <w:position w:val="1"/>
          <w:sz w:val="12"/>
        </w:rPr>
        <w:tab/>
      </w:r>
      <w:r>
        <w:rPr>
          <w:rFonts w:ascii="Arial MT"/>
          <w:spacing w:val="-2"/>
          <w:sz w:val="12"/>
        </w:rPr>
        <w:t>2,252</w:t>
      </w:r>
    </w:p>
    <w:p>
      <w:pPr>
        <w:tabs>
          <w:tab w:pos="9517" w:val="left" w:leader="none"/>
        </w:tabs>
        <w:spacing w:before="47"/>
        <w:ind w:left="772" w:right="0" w:firstLine="0"/>
        <w:jc w:val="left"/>
        <w:rPr>
          <w:rFonts w:ascii="Arial MT"/>
          <w:sz w:val="12"/>
        </w:rPr>
      </w:pPr>
      <w:r>
        <w:rPr>
          <w:rFonts w:ascii="Arial"/>
          <w:b/>
          <w:sz w:val="12"/>
        </w:rPr>
        <w:t>Net</w:t>
      </w:r>
      <w:r>
        <w:rPr>
          <w:rFonts w:ascii="Arial"/>
          <w:b/>
          <w:spacing w:val="-6"/>
          <w:sz w:val="12"/>
        </w:rPr>
        <w:t> </w:t>
      </w:r>
      <w:r>
        <w:rPr>
          <w:rFonts w:ascii="Arial"/>
          <w:b/>
          <w:sz w:val="12"/>
        </w:rPr>
        <w:t>loans</w:t>
      </w:r>
      <w:r>
        <w:rPr>
          <w:rFonts w:ascii="Arial"/>
          <w:b/>
          <w:spacing w:val="-4"/>
          <w:sz w:val="12"/>
        </w:rPr>
        <w:t> </w:t>
      </w:r>
      <w:r>
        <w:rPr>
          <w:rFonts w:ascii="Arial"/>
          <w:b/>
          <w:spacing w:val="-2"/>
          <w:sz w:val="12"/>
        </w:rPr>
        <w:t>outstanding</w:t>
      </w:r>
      <w:r>
        <w:rPr>
          <w:rFonts w:ascii="Arial"/>
          <w:b/>
          <w:sz w:val="12"/>
        </w:rPr>
        <w:tab/>
      </w:r>
      <w:r>
        <w:rPr>
          <w:rFonts w:ascii="Arial MT"/>
          <w:sz w:val="12"/>
        </w:rPr>
        <w:t>$</w:t>
      </w:r>
      <w:r>
        <w:rPr>
          <w:rFonts w:ascii="Arial MT"/>
          <w:spacing w:val="-26"/>
          <w:sz w:val="12"/>
        </w:rPr>
        <w:t> </w:t>
      </w:r>
      <w:r>
        <w:rPr>
          <w:rFonts w:ascii="Arial MT"/>
          <w:spacing w:val="-2"/>
          <w:sz w:val="12"/>
        </w:rPr>
        <w:t>227,092</w:t>
      </w:r>
    </w:p>
    <w:p>
      <w:pPr>
        <w:spacing w:line="60" w:lineRule="exact"/>
        <w:ind w:left="9455" w:right="0" w:firstLine="0"/>
        <w:rPr>
          <w:rFonts w:ascii="Arial MT"/>
          <w:position w:val="0"/>
          <w:sz w:val="6"/>
        </w:rPr>
      </w:pPr>
      <w:r>
        <w:rPr>
          <w:rFonts w:ascii="Arial MT"/>
          <w:position w:val="0"/>
          <w:sz w:val="6"/>
        </w:rPr>
        <mc:AlternateContent>
          <mc:Choice Requires="wps">
            <w:drawing>
              <wp:inline distT="0" distB="0" distL="0" distR="0">
                <wp:extent cx="390525" cy="38100"/>
                <wp:effectExtent l="9525" t="0" r="0" b="0"/>
                <wp:docPr id="755" name="Group 755"/>
                <wp:cNvGraphicFramePr>
                  <a:graphicFrameLocks/>
                </wp:cNvGraphicFramePr>
                <a:graphic>
                  <a:graphicData uri="http://schemas.microsoft.com/office/word/2010/wordprocessingGroup">
                    <wpg:wgp>
                      <wpg:cNvPr id="755" name="Group 755"/>
                      <wpg:cNvGrpSpPr/>
                      <wpg:grpSpPr>
                        <a:xfrm>
                          <a:off x="0" y="0"/>
                          <a:ext cx="390525" cy="38100"/>
                          <a:chExt cx="390525" cy="38100"/>
                        </a:xfrm>
                      </wpg:grpSpPr>
                      <wps:wsp>
                        <wps:cNvPr id="756" name="Graphic 756"/>
                        <wps:cNvSpPr/>
                        <wps:spPr>
                          <a:xfrm>
                            <a:off x="0" y="6350"/>
                            <a:ext cx="390525" cy="25400"/>
                          </a:xfrm>
                          <a:custGeom>
                            <a:avLst/>
                            <a:gdLst/>
                            <a:ahLst/>
                            <a:cxnLst/>
                            <a:rect l="l" t="t" r="r" b="b"/>
                            <a:pathLst>
                              <a:path w="390525" h="25400">
                                <a:moveTo>
                                  <a:pt x="0" y="0"/>
                                </a:moveTo>
                                <a:lnTo>
                                  <a:pt x="390525" y="0"/>
                                </a:lnTo>
                              </a:path>
                              <a:path w="390525" h="25400">
                                <a:moveTo>
                                  <a:pt x="0" y="25400"/>
                                </a:moveTo>
                                <a:lnTo>
                                  <a:pt x="390525" y="2540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75pt;height:3pt;mso-position-horizontal-relative:char;mso-position-vertical-relative:line" id="docshapegroup642" coordorigin="0,0" coordsize="615,60">
                <v:shape style="position:absolute;left:0;top:10;width:615;height:40" id="docshape643" coordorigin="0,10" coordsize="615,40" path="m0,10l615,10m0,50l615,50e" filled="false" stroked="true" strokeweight="1pt" strokecolor="#000000">
                  <v:path arrowok="t"/>
                  <v:stroke dashstyle="solid"/>
                </v:shape>
              </v:group>
            </w:pict>
          </mc:Fallback>
        </mc:AlternateContent>
      </w:r>
      <w:r>
        <w:rPr>
          <w:rFonts w:ascii="Arial MT"/>
          <w:position w:val="0"/>
          <w:sz w:val="6"/>
        </w:rPr>
      </w:r>
    </w:p>
    <w:p>
      <w:pPr>
        <w:pStyle w:val="BodyText"/>
        <w:rPr>
          <w:rFonts w:ascii="Arial MT"/>
          <w:sz w:val="13"/>
        </w:rPr>
      </w:pPr>
    </w:p>
    <w:p>
      <w:pPr>
        <w:spacing w:line="20" w:lineRule="exact"/>
        <w:ind w:left="720" w:right="0" w:firstLine="0"/>
        <w:rPr>
          <w:rFonts w:ascii="Arial MT"/>
          <w:sz w:val="2"/>
        </w:rPr>
      </w:pPr>
      <w:r>
        <w:rPr>
          <w:rFonts w:ascii="Arial MT"/>
          <w:sz w:val="2"/>
        </w:rPr>
        <mc:AlternateContent>
          <mc:Choice Requires="wps">
            <w:drawing>
              <wp:inline distT="0" distB="0" distL="0" distR="0">
                <wp:extent cx="5943600" cy="12700"/>
                <wp:effectExtent l="9525" t="0" r="0" b="6350"/>
                <wp:docPr id="757" name="Group 757"/>
                <wp:cNvGraphicFramePr>
                  <a:graphicFrameLocks/>
                </wp:cNvGraphicFramePr>
                <a:graphic>
                  <a:graphicData uri="http://schemas.microsoft.com/office/word/2010/wordprocessingGroup">
                    <wpg:wgp>
                      <wpg:cNvPr id="757" name="Group 757"/>
                      <wpg:cNvGrpSpPr/>
                      <wpg:grpSpPr>
                        <a:xfrm>
                          <a:off x="0" y="0"/>
                          <a:ext cx="5943600" cy="12700"/>
                          <a:chExt cx="5943600" cy="12700"/>
                        </a:xfrm>
                      </wpg:grpSpPr>
                      <wps:wsp>
                        <wps:cNvPr id="758" name="Graphic 758"/>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644" coordorigin="0,0" coordsize="9360,20">
                <v:line style="position:absolute" from="0,10" to="9360,10" stroked="true" strokeweight="1pt" strokecolor="#000000">
                  <v:stroke dashstyle="solid"/>
                </v:line>
              </v:group>
            </w:pict>
          </mc:Fallback>
        </mc:AlternateContent>
      </w:r>
      <w:r>
        <w:rPr>
          <w:rFonts w:ascii="Arial MT"/>
          <w:sz w:val="2"/>
        </w:rPr>
      </w:r>
    </w:p>
    <w:p>
      <w:pPr>
        <w:spacing w:after="0" w:line="20" w:lineRule="exact"/>
        <w:rPr>
          <w:rFonts w:ascii="Arial MT"/>
          <w:sz w:val="2"/>
        </w:rPr>
        <w:sectPr>
          <w:headerReference w:type="default" r:id="rId156"/>
          <w:pgSz w:w="12240" w:h="15840"/>
          <w:pgMar w:header="0" w:footer="0" w:top="960" w:bottom="720" w:left="720" w:right="720"/>
        </w:sectPr>
      </w:pPr>
    </w:p>
    <w:p>
      <w:pPr>
        <w:pStyle w:val="ListParagraph"/>
        <w:numPr>
          <w:ilvl w:val="0"/>
          <w:numId w:val="34"/>
        </w:numPr>
        <w:tabs>
          <w:tab w:pos="903" w:val="left" w:leader="none"/>
        </w:tabs>
        <w:spacing w:line="131" w:lineRule="exact" w:before="0" w:after="0"/>
        <w:ind w:left="903" w:right="0" w:hanging="131"/>
        <w:jc w:val="left"/>
        <w:rPr>
          <w:rFonts w:ascii="Arial"/>
          <w:i/>
          <w:sz w:val="12"/>
        </w:rPr>
      </w:pPr>
      <w:r>
        <w:rPr>
          <w:rFonts w:ascii="Arial"/>
          <w:i/>
          <w:sz w:val="12"/>
        </w:rPr>
        <w:t>Variable</w:t>
      </w:r>
      <w:r>
        <w:rPr>
          <w:rFonts w:ascii="Arial"/>
          <w:i/>
          <w:spacing w:val="-7"/>
          <w:sz w:val="12"/>
        </w:rPr>
        <w:t> </w:t>
      </w:r>
      <w:r>
        <w:rPr>
          <w:rFonts w:ascii="Arial"/>
          <w:i/>
          <w:sz w:val="12"/>
        </w:rPr>
        <w:t>rates</w:t>
      </w:r>
      <w:r>
        <w:rPr>
          <w:rFonts w:ascii="Arial"/>
          <w:i/>
          <w:spacing w:val="-5"/>
          <w:sz w:val="12"/>
        </w:rPr>
        <w:t> </w:t>
      </w:r>
      <w:r>
        <w:rPr>
          <w:rFonts w:ascii="Arial"/>
          <w:i/>
          <w:sz w:val="12"/>
        </w:rPr>
        <w:t>for</w:t>
      </w:r>
      <w:r>
        <w:rPr>
          <w:rFonts w:ascii="Arial"/>
          <w:i/>
          <w:spacing w:val="-5"/>
          <w:sz w:val="12"/>
        </w:rPr>
        <w:t> </w:t>
      </w:r>
      <w:r>
        <w:rPr>
          <w:rFonts w:ascii="Arial"/>
          <w:i/>
          <w:sz w:val="12"/>
        </w:rPr>
        <w:t>multicurrency</w:t>
      </w:r>
      <w:r>
        <w:rPr>
          <w:rFonts w:ascii="Arial"/>
          <w:i/>
          <w:spacing w:val="-5"/>
          <w:sz w:val="12"/>
        </w:rPr>
        <w:t> </w:t>
      </w:r>
      <w:r>
        <w:rPr>
          <w:rFonts w:ascii="Arial"/>
          <w:i/>
          <w:sz w:val="12"/>
        </w:rPr>
        <w:t>loans</w:t>
      </w:r>
      <w:r>
        <w:rPr>
          <w:rFonts w:ascii="Arial"/>
          <w:i/>
          <w:spacing w:val="-5"/>
          <w:sz w:val="12"/>
        </w:rPr>
        <w:t> </w:t>
      </w:r>
      <w:r>
        <w:rPr>
          <w:rFonts w:ascii="Arial"/>
          <w:i/>
          <w:sz w:val="12"/>
        </w:rPr>
        <w:t>are</w:t>
      </w:r>
      <w:r>
        <w:rPr>
          <w:rFonts w:ascii="Arial"/>
          <w:i/>
          <w:spacing w:val="-5"/>
          <w:sz w:val="12"/>
        </w:rPr>
        <w:t> </w:t>
      </w:r>
      <w:r>
        <w:rPr>
          <w:rFonts w:ascii="Arial"/>
          <w:i/>
          <w:sz w:val="12"/>
        </w:rPr>
        <w:t>based</w:t>
      </w:r>
      <w:r>
        <w:rPr>
          <w:rFonts w:ascii="Arial"/>
          <w:i/>
          <w:spacing w:val="-5"/>
          <w:sz w:val="12"/>
        </w:rPr>
        <w:t> </w:t>
      </w:r>
      <w:r>
        <w:rPr>
          <w:rFonts w:ascii="Arial"/>
          <w:i/>
          <w:sz w:val="12"/>
        </w:rPr>
        <w:t>on</w:t>
      </w:r>
      <w:r>
        <w:rPr>
          <w:rFonts w:ascii="Arial"/>
          <w:i/>
          <w:spacing w:val="-5"/>
          <w:sz w:val="12"/>
        </w:rPr>
        <w:t> </w:t>
      </w:r>
      <w:r>
        <w:rPr>
          <w:rFonts w:ascii="Arial"/>
          <w:i/>
          <w:sz w:val="12"/>
        </w:rPr>
        <w:t>the</w:t>
      </w:r>
      <w:r>
        <w:rPr>
          <w:rFonts w:ascii="Arial"/>
          <w:i/>
          <w:spacing w:val="-5"/>
          <w:sz w:val="12"/>
        </w:rPr>
        <w:t> </w:t>
      </w:r>
      <w:r>
        <w:rPr>
          <w:rFonts w:ascii="Arial"/>
          <w:i/>
          <w:sz w:val="12"/>
        </w:rPr>
        <w:t>weighted</w:t>
      </w:r>
      <w:r>
        <w:rPr>
          <w:rFonts w:ascii="Arial"/>
          <w:i/>
          <w:spacing w:val="-5"/>
          <w:sz w:val="12"/>
        </w:rPr>
        <w:t> </w:t>
      </w:r>
      <w:r>
        <w:rPr>
          <w:rFonts w:ascii="Arial"/>
          <w:i/>
          <w:sz w:val="12"/>
        </w:rPr>
        <w:t>average</w:t>
      </w:r>
      <w:r>
        <w:rPr>
          <w:rFonts w:ascii="Arial"/>
          <w:i/>
          <w:spacing w:val="-5"/>
          <w:sz w:val="12"/>
        </w:rPr>
        <w:t> </w:t>
      </w:r>
      <w:r>
        <w:rPr>
          <w:rFonts w:ascii="Arial"/>
          <w:i/>
          <w:sz w:val="12"/>
        </w:rPr>
        <w:t>cost</w:t>
      </w:r>
      <w:r>
        <w:rPr>
          <w:rFonts w:ascii="Arial"/>
          <w:i/>
          <w:spacing w:val="-5"/>
          <w:sz w:val="12"/>
        </w:rPr>
        <w:t> </w:t>
      </w:r>
      <w:r>
        <w:rPr>
          <w:rFonts w:ascii="Arial"/>
          <w:i/>
          <w:sz w:val="12"/>
        </w:rPr>
        <w:t>of</w:t>
      </w:r>
      <w:r>
        <w:rPr>
          <w:rFonts w:ascii="Arial"/>
          <w:i/>
          <w:spacing w:val="-5"/>
          <w:sz w:val="12"/>
        </w:rPr>
        <w:t> </w:t>
      </w:r>
      <w:r>
        <w:rPr>
          <w:rFonts w:ascii="Arial"/>
          <w:i/>
          <w:sz w:val="12"/>
        </w:rPr>
        <w:t>allocated</w:t>
      </w:r>
      <w:r>
        <w:rPr>
          <w:rFonts w:ascii="Arial"/>
          <w:i/>
          <w:spacing w:val="-4"/>
          <w:sz w:val="12"/>
        </w:rPr>
        <w:t> </w:t>
      </w:r>
      <w:r>
        <w:rPr>
          <w:rFonts w:ascii="Arial"/>
          <w:i/>
          <w:spacing w:val="-2"/>
          <w:sz w:val="12"/>
        </w:rPr>
        <w:t>debt.</w:t>
      </w:r>
    </w:p>
    <w:p>
      <w:pPr>
        <w:pStyle w:val="ListParagraph"/>
        <w:numPr>
          <w:ilvl w:val="0"/>
          <w:numId w:val="34"/>
        </w:numPr>
        <w:tabs>
          <w:tab w:pos="903" w:val="left" w:leader="none"/>
        </w:tabs>
        <w:spacing w:line="240" w:lineRule="auto" w:before="42" w:after="0"/>
        <w:ind w:left="903" w:right="0" w:hanging="131"/>
        <w:jc w:val="left"/>
        <w:rPr>
          <w:rFonts w:ascii="Arial"/>
          <w:i/>
          <w:sz w:val="12"/>
        </w:rPr>
      </w:pPr>
      <w:r>
        <w:rPr>
          <w:rFonts w:ascii="Arial"/>
          <w:i/>
          <w:sz w:val="12"/>
        </w:rPr>
        <w:t>Excludes</w:t>
      </w:r>
      <w:r>
        <w:rPr>
          <w:rFonts w:ascii="Arial"/>
          <w:i/>
          <w:spacing w:val="-4"/>
          <w:sz w:val="12"/>
        </w:rPr>
        <w:t> </w:t>
      </w:r>
      <w:r>
        <w:rPr>
          <w:rFonts w:ascii="Arial"/>
          <w:i/>
          <w:sz w:val="12"/>
        </w:rPr>
        <w:t>effects</w:t>
      </w:r>
      <w:r>
        <w:rPr>
          <w:rFonts w:ascii="Arial"/>
          <w:i/>
          <w:spacing w:val="-4"/>
          <w:sz w:val="12"/>
        </w:rPr>
        <w:t> </w:t>
      </w:r>
      <w:r>
        <w:rPr>
          <w:rFonts w:ascii="Arial"/>
          <w:i/>
          <w:sz w:val="12"/>
        </w:rPr>
        <w:t>of</w:t>
      </w:r>
      <w:r>
        <w:rPr>
          <w:rFonts w:ascii="Arial"/>
          <w:i/>
          <w:spacing w:val="-4"/>
          <w:sz w:val="12"/>
        </w:rPr>
        <w:t> </w:t>
      </w:r>
      <w:r>
        <w:rPr>
          <w:rFonts w:ascii="Arial"/>
          <w:i/>
          <w:sz w:val="12"/>
        </w:rPr>
        <w:t>any</w:t>
      </w:r>
      <w:r>
        <w:rPr>
          <w:rFonts w:ascii="Arial"/>
          <w:i/>
          <w:spacing w:val="-4"/>
          <w:sz w:val="12"/>
        </w:rPr>
        <w:t> </w:t>
      </w:r>
      <w:r>
        <w:rPr>
          <w:rFonts w:ascii="Arial"/>
          <w:i/>
          <w:sz w:val="12"/>
        </w:rPr>
        <w:t>waivers</w:t>
      </w:r>
      <w:r>
        <w:rPr>
          <w:rFonts w:ascii="Arial"/>
          <w:i/>
          <w:spacing w:val="-4"/>
          <w:sz w:val="12"/>
        </w:rPr>
        <w:t> </w:t>
      </w:r>
      <w:r>
        <w:rPr>
          <w:rFonts w:ascii="Arial"/>
          <w:i/>
          <w:sz w:val="12"/>
        </w:rPr>
        <w:t>of</w:t>
      </w:r>
      <w:r>
        <w:rPr>
          <w:rFonts w:ascii="Arial"/>
          <w:i/>
          <w:spacing w:val="-4"/>
          <w:sz w:val="12"/>
        </w:rPr>
        <w:t> </w:t>
      </w:r>
      <w:r>
        <w:rPr>
          <w:rFonts w:ascii="Arial"/>
          <w:i/>
          <w:sz w:val="12"/>
        </w:rPr>
        <w:t>loan</w:t>
      </w:r>
      <w:r>
        <w:rPr>
          <w:rFonts w:ascii="Arial"/>
          <w:i/>
          <w:spacing w:val="-4"/>
          <w:sz w:val="12"/>
        </w:rPr>
        <w:t> </w:t>
      </w:r>
      <w:r>
        <w:rPr>
          <w:rFonts w:ascii="Arial"/>
          <w:i/>
          <w:spacing w:val="-2"/>
          <w:sz w:val="12"/>
        </w:rPr>
        <w:t>interest.</w:t>
      </w:r>
    </w:p>
    <w:p>
      <w:pPr>
        <w:spacing w:before="57"/>
        <w:ind w:left="772" w:right="0" w:firstLine="0"/>
        <w:jc w:val="left"/>
        <w:rPr>
          <w:rFonts w:ascii="Arial"/>
          <w:i/>
          <w:sz w:val="12"/>
        </w:rPr>
      </w:pPr>
      <w:r>
        <w:rPr>
          <w:rFonts w:ascii="Arial"/>
          <w:i/>
          <w:sz w:val="12"/>
        </w:rPr>
        <w:t>*</w:t>
      </w:r>
      <w:r>
        <w:rPr>
          <w:rFonts w:ascii="Arial"/>
          <w:i/>
          <w:spacing w:val="-5"/>
          <w:sz w:val="12"/>
        </w:rPr>
        <w:t> </w:t>
      </w:r>
      <w:r>
        <w:rPr>
          <w:rFonts w:ascii="Arial"/>
          <w:i/>
          <w:sz w:val="12"/>
        </w:rPr>
        <w:t>Indicates</w:t>
      </w:r>
      <w:r>
        <w:rPr>
          <w:rFonts w:ascii="Arial"/>
          <w:i/>
          <w:spacing w:val="-4"/>
          <w:sz w:val="12"/>
        </w:rPr>
        <w:t> </w:t>
      </w:r>
      <w:r>
        <w:rPr>
          <w:rFonts w:ascii="Arial"/>
          <w:i/>
          <w:sz w:val="12"/>
        </w:rPr>
        <w:t>amount</w:t>
      </w:r>
      <w:r>
        <w:rPr>
          <w:rFonts w:ascii="Arial"/>
          <w:i/>
          <w:spacing w:val="-4"/>
          <w:sz w:val="12"/>
        </w:rPr>
        <w:t> </w:t>
      </w:r>
      <w:r>
        <w:rPr>
          <w:rFonts w:ascii="Arial"/>
          <w:i/>
          <w:sz w:val="12"/>
        </w:rPr>
        <w:t>less</w:t>
      </w:r>
      <w:r>
        <w:rPr>
          <w:rFonts w:ascii="Arial"/>
          <w:i/>
          <w:spacing w:val="-5"/>
          <w:sz w:val="12"/>
        </w:rPr>
        <w:t> </w:t>
      </w:r>
      <w:r>
        <w:rPr>
          <w:rFonts w:ascii="Arial"/>
          <w:i/>
          <w:sz w:val="12"/>
        </w:rPr>
        <w:t>than</w:t>
      </w:r>
      <w:r>
        <w:rPr>
          <w:rFonts w:ascii="Arial"/>
          <w:i/>
          <w:spacing w:val="-4"/>
          <w:sz w:val="12"/>
        </w:rPr>
        <w:t> </w:t>
      </w:r>
      <w:r>
        <w:rPr>
          <w:rFonts w:ascii="Arial"/>
          <w:i/>
          <w:sz w:val="12"/>
        </w:rPr>
        <w:t>$0.5</w:t>
      </w:r>
      <w:r>
        <w:rPr>
          <w:rFonts w:ascii="Arial"/>
          <w:i/>
          <w:spacing w:val="-4"/>
          <w:sz w:val="12"/>
        </w:rPr>
        <w:t> </w:t>
      </w:r>
      <w:r>
        <w:rPr>
          <w:rFonts w:ascii="Arial"/>
          <w:i/>
          <w:spacing w:val="-2"/>
          <w:sz w:val="12"/>
        </w:rPr>
        <w:t>million.</w:t>
      </w:r>
    </w:p>
    <w:p>
      <w:pPr>
        <w:pStyle w:val="BodyText"/>
        <w:spacing w:before="63"/>
        <w:rPr>
          <w:rFonts w:ascii="Arial"/>
          <w:i/>
          <w:sz w:val="12"/>
        </w:rPr>
      </w:pPr>
    </w:p>
    <w:p>
      <w:pPr>
        <w:pStyle w:val="BodyText"/>
        <w:ind w:left="720"/>
      </w:pPr>
      <w:r>
        <w:rPr/>
        <w:t>The</w:t>
      </w:r>
      <w:r>
        <w:rPr>
          <w:spacing w:val="-4"/>
        </w:rPr>
        <w:t> </w:t>
      </w:r>
      <w:r>
        <w:rPr/>
        <w:t>maturity</w:t>
      </w:r>
      <w:r>
        <w:rPr>
          <w:spacing w:val="-2"/>
        </w:rPr>
        <w:t> </w:t>
      </w:r>
      <w:r>
        <w:rPr/>
        <w:t>structure</w:t>
      </w:r>
      <w:r>
        <w:rPr>
          <w:spacing w:val="-3"/>
        </w:rPr>
        <w:t> </w:t>
      </w:r>
      <w:r>
        <w:rPr/>
        <w:t>of</w:t>
      </w:r>
      <w:r>
        <w:rPr>
          <w:spacing w:val="-2"/>
        </w:rPr>
        <w:t> </w:t>
      </w:r>
      <w:r>
        <w:rPr/>
        <w:t>IBRD’s</w:t>
      </w:r>
      <w:r>
        <w:rPr>
          <w:spacing w:val="-3"/>
        </w:rPr>
        <w:t> </w:t>
      </w:r>
      <w:r>
        <w:rPr/>
        <w:t>loans</w:t>
      </w:r>
      <w:r>
        <w:rPr>
          <w:spacing w:val="-3"/>
        </w:rPr>
        <w:t> </w:t>
      </w:r>
      <w:r>
        <w:rPr/>
        <w:t>is</w:t>
      </w:r>
      <w:r>
        <w:rPr>
          <w:spacing w:val="-3"/>
        </w:rPr>
        <w:t> </w:t>
      </w:r>
      <w:r>
        <w:rPr/>
        <w:t>as</w:t>
      </w:r>
      <w:r>
        <w:rPr>
          <w:spacing w:val="-3"/>
        </w:rPr>
        <w:t> </w:t>
      </w:r>
      <w:r>
        <w:rPr>
          <w:spacing w:val="-2"/>
        </w:rPr>
        <w:t>follows:</w:t>
      </w:r>
    </w:p>
    <w:p>
      <w:pPr>
        <w:pStyle w:val="Heading8"/>
        <w:spacing w:before="127"/>
      </w:pPr>
      <w:r>
        <w:rPr/>
        <w:t>Table</w:t>
      </w:r>
      <w:r>
        <w:rPr>
          <w:spacing w:val="-4"/>
        </w:rPr>
        <w:t> </w:t>
      </w:r>
      <w:r>
        <w:rPr/>
        <w:t>D2:</w:t>
      </w:r>
      <w:r>
        <w:rPr>
          <w:spacing w:val="-2"/>
        </w:rPr>
        <w:t> </w:t>
      </w:r>
      <w:r>
        <w:rPr/>
        <w:t>Loans</w:t>
      </w:r>
      <w:r>
        <w:rPr>
          <w:spacing w:val="-3"/>
        </w:rPr>
        <w:t> </w:t>
      </w:r>
      <w:r>
        <w:rPr/>
        <w:t>maturity</w:t>
      </w:r>
      <w:r>
        <w:rPr>
          <w:spacing w:val="-2"/>
        </w:rPr>
        <w:t> structure</w:t>
      </w:r>
    </w:p>
    <w:p>
      <w:pPr>
        <w:spacing w:before="34"/>
        <w:ind w:left="720" w:right="0" w:firstLine="0"/>
        <w:jc w:val="left"/>
        <w:rPr>
          <w:rFonts w:ascii="Arial"/>
          <w:i/>
          <w:sz w:val="12"/>
        </w:rPr>
      </w:pPr>
      <w:r>
        <w:rPr>
          <w:rFonts w:ascii="Arial"/>
          <w:i/>
          <w:sz w:val="12"/>
        </w:rPr>
        <mc:AlternateContent>
          <mc:Choice Requires="wps">
            <w:drawing>
              <wp:anchor distT="0" distB="0" distL="0" distR="0" allowOverlap="1" layoutInCell="1" locked="0" behindDoc="0" simplePos="0" relativeHeight="15834624">
                <wp:simplePos x="0" y="0"/>
                <wp:positionH relativeFrom="page">
                  <wp:posOffset>914400</wp:posOffset>
                </wp:positionH>
                <wp:positionV relativeFrom="paragraph">
                  <wp:posOffset>127917</wp:posOffset>
                </wp:positionV>
                <wp:extent cx="5848350" cy="1270"/>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5848350" cy="1270"/>
                        </a:xfrm>
                        <a:custGeom>
                          <a:avLst/>
                          <a:gdLst/>
                          <a:ahLst/>
                          <a:cxnLst/>
                          <a:rect l="l" t="t" r="r" b="b"/>
                          <a:pathLst>
                            <a:path w="5848350" h="0">
                              <a:moveTo>
                                <a:pt x="0" y="0"/>
                              </a:moveTo>
                              <a:lnTo>
                                <a:pt x="5848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72pt,10.072217pt" to="532.5pt,10.072217pt" stroked="true" strokeweight="1pt" strokecolor="#000000">
                <v:stroke dashstyle="solid"/>
                <w10:wrap type="none"/>
              </v:line>
            </w:pict>
          </mc:Fallback>
        </mc:AlternateContent>
      </w:r>
      <w:r>
        <w:rPr>
          <w:rFonts w:ascii="Arial"/>
          <w:i/>
          <w:sz w:val="12"/>
        </w:rPr>
        <w:t>In</w:t>
      </w:r>
      <w:r>
        <w:rPr>
          <w:rFonts w:ascii="Arial"/>
          <w:i/>
          <w:spacing w:val="-4"/>
          <w:sz w:val="12"/>
        </w:rPr>
        <w:t> </w:t>
      </w:r>
      <w:r>
        <w:rPr>
          <w:rFonts w:ascii="Arial"/>
          <w:i/>
          <w:sz w:val="12"/>
        </w:rPr>
        <w:t>millions</w:t>
      </w:r>
      <w:r>
        <w:rPr>
          <w:rFonts w:ascii="Arial"/>
          <w:i/>
          <w:spacing w:val="-4"/>
          <w:sz w:val="12"/>
        </w:rPr>
        <w:t> </w:t>
      </w:r>
      <w:r>
        <w:rPr>
          <w:rFonts w:ascii="Arial"/>
          <w:i/>
          <w:sz w:val="12"/>
        </w:rPr>
        <w:t>of</w:t>
      </w:r>
      <w:r>
        <w:rPr>
          <w:rFonts w:ascii="Arial"/>
          <w:i/>
          <w:spacing w:val="-4"/>
          <w:sz w:val="12"/>
        </w:rPr>
        <w:t> </w:t>
      </w:r>
      <w:r>
        <w:rPr>
          <w:rFonts w:ascii="Arial"/>
          <w:i/>
          <w:sz w:val="12"/>
        </w:rPr>
        <w:t>U.S.</w:t>
      </w:r>
      <w:r>
        <w:rPr>
          <w:rFonts w:ascii="Arial"/>
          <w:i/>
          <w:spacing w:val="-3"/>
          <w:sz w:val="12"/>
        </w:rPr>
        <w:t> </w:t>
      </w:r>
      <w:r>
        <w:rPr>
          <w:rFonts w:ascii="Arial"/>
          <w:i/>
          <w:spacing w:val="-2"/>
          <w:sz w:val="12"/>
        </w:rPr>
        <w:t>dollars</w:t>
      </w:r>
    </w:p>
    <w:p>
      <w:pPr>
        <w:pStyle w:val="BodyText"/>
        <w:rPr>
          <w:rFonts w:ascii="Arial"/>
          <w:i/>
          <w:sz w:val="12"/>
        </w:rPr>
      </w:pPr>
      <w:r>
        <w:rPr/>
        <w:br w:type="column"/>
      </w:r>
      <w:r>
        <w:rPr>
          <w:rFonts w:ascii="Arial"/>
          <w:i/>
          <w:sz w:val="12"/>
        </w:rPr>
      </w: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rPr>
          <w:rFonts w:ascii="Arial"/>
          <w:i/>
          <w:sz w:val="12"/>
        </w:rPr>
      </w:pPr>
    </w:p>
    <w:p>
      <w:pPr>
        <w:pStyle w:val="BodyText"/>
        <w:spacing w:before="127"/>
        <w:rPr>
          <w:rFonts w:ascii="Arial"/>
          <w:i/>
          <w:sz w:val="12"/>
        </w:rPr>
      </w:pPr>
    </w:p>
    <w:p>
      <w:pPr>
        <w:spacing w:before="0"/>
        <w:ind w:left="0" w:right="0" w:firstLine="0"/>
        <w:jc w:val="left"/>
        <w:rPr>
          <w:rFonts w:ascii="Arial"/>
          <w:i/>
          <w:sz w:val="12"/>
        </w:rPr>
      </w:pPr>
      <w:r>
        <w:rPr>
          <w:rFonts w:ascii="Arial"/>
          <w:i/>
          <w:sz w:val="12"/>
        </w:rPr>
        <mc:AlternateContent>
          <mc:Choice Requires="wps">
            <w:drawing>
              <wp:anchor distT="0" distB="0" distL="0" distR="0" allowOverlap="1" layoutInCell="1" locked="0" behindDoc="0" simplePos="0" relativeHeight="15835136">
                <wp:simplePos x="0" y="0"/>
                <wp:positionH relativeFrom="page">
                  <wp:posOffset>2276475</wp:posOffset>
                </wp:positionH>
                <wp:positionV relativeFrom="paragraph">
                  <wp:posOffset>106754</wp:posOffset>
                </wp:positionV>
                <wp:extent cx="4486275" cy="1270"/>
                <wp:effectExtent l="0" t="0" r="0" b="0"/>
                <wp:wrapNone/>
                <wp:docPr id="760" name="Graphic 760"/>
                <wp:cNvGraphicFramePr>
                  <a:graphicFrameLocks/>
                </wp:cNvGraphicFramePr>
                <a:graphic>
                  <a:graphicData uri="http://schemas.microsoft.com/office/word/2010/wordprocessingShape">
                    <wps:wsp>
                      <wps:cNvPr id="760" name="Graphic 760"/>
                      <wps:cNvSpPr/>
                      <wps:spPr>
                        <a:xfrm>
                          <a:off x="0" y="0"/>
                          <a:ext cx="4486275" cy="1270"/>
                        </a:xfrm>
                        <a:custGeom>
                          <a:avLst/>
                          <a:gdLst/>
                          <a:ahLst/>
                          <a:cxnLst/>
                          <a:rect l="l" t="t" r="r" b="b"/>
                          <a:pathLst>
                            <a:path w="4486275" h="0">
                              <a:moveTo>
                                <a:pt x="0" y="0"/>
                              </a:moveTo>
                              <a:lnTo>
                                <a:pt x="44862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136" from="179.25pt,8.405859pt" to="532.5pt,8.405859pt" stroked="true" strokeweight="1pt" strokecolor="#000000">
                <v:stroke dashstyle="solid"/>
                <w10:wrap type="none"/>
              </v:line>
            </w:pict>
          </mc:Fallback>
        </mc:AlternateContent>
      </w: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2023</w:t>
      </w:r>
    </w:p>
    <w:p>
      <w:pPr>
        <w:spacing w:after="0"/>
        <w:jc w:val="left"/>
        <w:rPr>
          <w:rFonts w:ascii="Arial"/>
          <w:i/>
          <w:sz w:val="12"/>
        </w:rPr>
        <w:sectPr>
          <w:type w:val="continuous"/>
          <w:pgSz w:w="12240" w:h="15840"/>
          <w:pgMar w:header="0" w:footer="0" w:top="1820" w:bottom="280" w:left="720" w:right="720"/>
          <w:cols w:num="2" w:equalWidth="0">
            <w:col w:w="5993" w:space="25"/>
            <w:col w:w="4782"/>
          </w:cols>
        </w:sectPr>
      </w:pPr>
    </w:p>
    <w:p>
      <w:pPr>
        <w:pStyle w:val="BodyText"/>
        <w:spacing w:before="69"/>
        <w:rPr>
          <w:rFonts w:ascii="Arial"/>
          <w:i/>
          <w:sz w:val="12"/>
        </w:rPr>
      </w:pPr>
    </w:p>
    <w:p>
      <w:pPr>
        <w:spacing w:before="0"/>
        <w:ind w:left="720" w:right="0" w:firstLine="0"/>
        <w:jc w:val="left"/>
        <w:rPr>
          <w:rFonts w:ascii="Arial"/>
          <w:i/>
          <w:sz w:val="12"/>
        </w:rPr>
      </w:pPr>
      <w:r>
        <w:rPr>
          <w:rFonts w:ascii="Arial"/>
          <w:i/>
          <w:sz w:val="12"/>
        </w:rPr>
        <mc:AlternateContent>
          <mc:Choice Requires="wps">
            <w:drawing>
              <wp:anchor distT="0" distB="0" distL="0" distR="0" allowOverlap="1" layoutInCell="1" locked="0" behindDoc="0" simplePos="0" relativeHeight="15835648">
                <wp:simplePos x="0" y="0"/>
                <wp:positionH relativeFrom="page">
                  <wp:posOffset>914400</wp:posOffset>
                </wp:positionH>
                <wp:positionV relativeFrom="paragraph">
                  <wp:posOffset>106769</wp:posOffset>
                </wp:positionV>
                <wp:extent cx="5848350" cy="127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5848350" cy="1270"/>
                        </a:xfrm>
                        <a:custGeom>
                          <a:avLst/>
                          <a:gdLst/>
                          <a:ahLst/>
                          <a:cxnLst/>
                          <a:rect l="l" t="t" r="r" b="b"/>
                          <a:pathLst>
                            <a:path w="5848350" h="0">
                              <a:moveTo>
                                <a:pt x="0" y="0"/>
                              </a:moveTo>
                              <a:lnTo>
                                <a:pt x="1323975" y="0"/>
                              </a:lnTo>
                            </a:path>
                            <a:path w="5848350" h="0">
                              <a:moveTo>
                                <a:pt x="1362075" y="0"/>
                              </a:moveTo>
                              <a:lnTo>
                                <a:pt x="2247900" y="0"/>
                              </a:lnTo>
                            </a:path>
                            <a:path w="5848350" h="0">
                              <a:moveTo>
                                <a:pt x="2286000" y="0"/>
                              </a:moveTo>
                              <a:lnTo>
                                <a:pt x="3171825" y="0"/>
                              </a:lnTo>
                            </a:path>
                            <a:path w="5848350" h="0">
                              <a:moveTo>
                                <a:pt x="3209925" y="0"/>
                              </a:moveTo>
                              <a:lnTo>
                                <a:pt x="4114800" y="0"/>
                              </a:lnTo>
                            </a:path>
                            <a:path w="5848350" h="0">
                              <a:moveTo>
                                <a:pt x="4152900" y="0"/>
                              </a:moveTo>
                              <a:lnTo>
                                <a:pt x="4981575" y="0"/>
                              </a:lnTo>
                            </a:path>
                            <a:path w="5848350" h="0">
                              <a:moveTo>
                                <a:pt x="5019675" y="0"/>
                              </a:moveTo>
                              <a:lnTo>
                                <a:pt x="5848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407031pt;width:460.5pt;height:.1pt;mso-position-horizontal-relative:page;mso-position-vertical-relative:paragraph;z-index:15835648" id="docshape645" coordorigin="1440,168" coordsize="9210,0" path="m1440,168l3525,168m3585,168l4980,168m5040,168l6435,168m6495,168l7920,168m7980,168l9285,168m9345,168l10650,168e" filled="false" stroked="true" strokeweight="1pt" strokecolor="#000000">
                <v:path arrowok="t"/>
                <v:stroke dashstyle="solid"/>
                <w10:wrap type="none"/>
              </v:shape>
            </w:pict>
          </mc:Fallback>
        </mc:AlternateContent>
      </w:r>
      <w:r>
        <w:rPr>
          <w:rFonts w:ascii="Arial"/>
          <w:i/>
          <w:spacing w:val="-2"/>
          <w:sz w:val="12"/>
        </w:rPr>
        <w:t>Terms/Rate</w:t>
      </w:r>
      <w:r>
        <w:rPr>
          <w:rFonts w:ascii="Arial"/>
          <w:i/>
          <w:spacing w:val="9"/>
          <w:sz w:val="12"/>
        </w:rPr>
        <w:t> </w:t>
      </w:r>
      <w:r>
        <w:rPr>
          <w:rFonts w:ascii="Arial"/>
          <w:i/>
          <w:spacing w:val="-4"/>
          <w:sz w:val="12"/>
        </w:rPr>
        <w:t>Type</w:t>
      </w:r>
    </w:p>
    <w:p>
      <w:pPr>
        <w:spacing w:before="42"/>
        <w:ind w:left="772" w:right="0" w:firstLine="0"/>
        <w:jc w:val="left"/>
        <w:rPr>
          <w:rFonts w:ascii="Arial MT"/>
          <w:sz w:val="12"/>
        </w:rPr>
      </w:pPr>
      <w:r>
        <w:rPr>
          <w:rFonts w:ascii="Arial MT"/>
          <w:spacing w:val="-2"/>
          <w:sz w:val="12"/>
        </w:rPr>
        <w:t>Multicurrency</w:t>
      </w:r>
      <w:r>
        <w:rPr>
          <w:rFonts w:ascii="Arial MT"/>
          <w:spacing w:val="15"/>
          <w:sz w:val="12"/>
        </w:rPr>
        <w:t> </w:t>
      </w:r>
      <w:r>
        <w:rPr>
          <w:rFonts w:ascii="Arial MT"/>
          <w:spacing w:val="-2"/>
          <w:sz w:val="12"/>
        </w:rPr>
        <w:t>terms</w:t>
      </w:r>
    </w:p>
    <w:p>
      <w:pPr>
        <w:spacing w:before="63"/>
        <w:ind w:left="720" w:right="0" w:firstLine="0"/>
        <w:jc w:val="center"/>
        <w:rPr>
          <w:rFonts w:ascii="Arial"/>
          <w:i/>
          <w:sz w:val="12"/>
        </w:rPr>
      </w:pPr>
      <w:r>
        <w:rPr/>
        <w:br w:type="column"/>
      </w: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2023</w:t>
      </w:r>
      <w:r>
        <w:rPr>
          <w:rFonts w:ascii="Arial"/>
          <w:i/>
          <w:spacing w:val="-3"/>
          <w:sz w:val="12"/>
        </w:rPr>
        <w:t> </w:t>
      </w:r>
      <w:r>
        <w:rPr>
          <w:rFonts w:ascii="Arial"/>
          <w:i/>
          <w:spacing w:val="-2"/>
          <w:sz w:val="12"/>
        </w:rPr>
        <w:t>through</w:t>
      </w:r>
    </w:p>
    <w:p>
      <w:pPr>
        <w:spacing w:before="6"/>
        <w:ind w:left="719" w:right="0"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2024</w:t>
      </w:r>
    </w:p>
    <w:p>
      <w:pPr>
        <w:spacing w:before="63"/>
        <w:ind w:left="329" w:right="0" w:firstLine="0"/>
        <w:jc w:val="center"/>
        <w:rPr>
          <w:rFonts w:ascii="Arial"/>
          <w:i/>
          <w:sz w:val="12"/>
        </w:rPr>
      </w:pPr>
      <w:r>
        <w:rPr/>
        <w:br w:type="column"/>
      </w: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2024</w:t>
      </w:r>
      <w:r>
        <w:rPr>
          <w:rFonts w:ascii="Arial"/>
          <w:i/>
          <w:spacing w:val="-3"/>
          <w:sz w:val="12"/>
        </w:rPr>
        <w:t> </w:t>
      </w:r>
      <w:r>
        <w:rPr>
          <w:rFonts w:ascii="Arial"/>
          <w:i/>
          <w:spacing w:val="-2"/>
          <w:sz w:val="12"/>
        </w:rPr>
        <w:t>through</w:t>
      </w:r>
    </w:p>
    <w:p>
      <w:pPr>
        <w:spacing w:before="6"/>
        <w:ind w:left="329" w:right="0"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2028</w:t>
      </w:r>
    </w:p>
    <w:p>
      <w:pPr>
        <w:spacing w:before="63"/>
        <w:ind w:left="344" w:right="0" w:firstLine="0"/>
        <w:jc w:val="left"/>
        <w:rPr>
          <w:rFonts w:ascii="Arial"/>
          <w:i/>
          <w:sz w:val="12"/>
        </w:rPr>
      </w:pPr>
      <w:r>
        <w:rPr/>
        <w:br w:type="column"/>
      </w: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2028</w:t>
      </w:r>
      <w:r>
        <w:rPr>
          <w:rFonts w:ascii="Arial"/>
          <w:i/>
          <w:spacing w:val="-3"/>
          <w:sz w:val="12"/>
        </w:rPr>
        <w:t> </w:t>
      </w:r>
      <w:r>
        <w:rPr>
          <w:rFonts w:ascii="Arial"/>
          <w:i/>
          <w:spacing w:val="-2"/>
          <w:sz w:val="12"/>
        </w:rPr>
        <w:t>through</w:t>
      </w:r>
    </w:p>
    <w:p>
      <w:pPr>
        <w:tabs>
          <w:tab w:pos="2035" w:val="left" w:leader="none"/>
          <w:tab w:pos="3543" w:val="left" w:leader="none"/>
        </w:tabs>
        <w:spacing w:before="6"/>
        <w:ind w:left="507" w:right="0" w:firstLine="0"/>
        <w:jc w:val="left"/>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2038</w:t>
      </w:r>
      <w:r>
        <w:rPr>
          <w:rFonts w:ascii="Arial"/>
          <w:i/>
          <w:sz w:val="12"/>
        </w:rPr>
        <w:tab/>
      </w:r>
      <w:r>
        <w:rPr>
          <w:rFonts w:ascii="Arial"/>
          <w:i/>
          <w:spacing w:val="-2"/>
          <w:sz w:val="12"/>
        </w:rPr>
        <w:t>Thereafter</w:t>
      </w:r>
      <w:r>
        <w:rPr>
          <w:rFonts w:ascii="Arial"/>
          <w:i/>
          <w:sz w:val="12"/>
        </w:rPr>
        <w:tab/>
      </w:r>
      <w:r>
        <w:rPr>
          <w:rFonts w:ascii="Arial"/>
          <w:i/>
          <w:spacing w:val="-2"/>
          <w:sz w:val="12"/>
        </w:rPr>
        <w:t>Total</w:t>
      </w:r>
    </w:p>
    <w:p>
      <w:pPr>
        <w:spacing w:after="0"/>
        <w:jc w:val="left"/>
        <w:rPr>
          <w:rFonts w:ascii="Arial"/>
          <w:i/>
          <w:sz w:val="12"/>
        </w:rPr>
        <w:sectPr>
          <w:type w:val="continuous"/>
          <w:pgSz w:w="12240" w:h="15840"/>
          <w:pgMar w:header="0" w:footer="0" w:top="1820" w:bottom="280" w:left="720" w:right="720"/>
          <w:cols w:num="4" w:equalWidth="0">
            <w:col w:w="1858" w:space="442"/>
            <w:col w:w="1806" w:space="40"/>
            <w:col w:w="1416" w:space="39"/>
            <w:col w:w="5199"/>
          </w:cols>
        </w:sectPr>
      </w:pPr>
    </w:p>
    <w:p>
      <w:pPr>
        <w:pStyle w:val="BodyText"/>
        <w:rPr>
          <w:rFonts w:ascii="Arial"/>
          <w:i/>
          <w:sz w:val="4"/>
        </w:rPr>
      </w:pPr>
    </w:p>
    <w:tbl>
      <w:tblPr>
        <w:tblW w:w="0" w:type="auto"/>
        <w:jc w:val="left"/>
        <w:tblInd w:w="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1351"/>
        <w:gridCol w:w="788"/>
        <w:gridCol w:w="701"/>
        <w:gridCol w:w="754"/>
        <w:gridCol w:w="722"/>
        <w:gridCol w:w="1425"/>
        <w:gridCol w:w="1325"/>
        <w:gridCol w:w="696"/>
      </w:tblGrid>
      <w:tr>
        <w:trPr>
          <w:trHeight w:val="164" w:hRule="atLeast"/>
        </w:trPr>
        <w:tc>
          <w:tcPr>
            <w:tcW w:w="1371" w:type="dxa"/>
          </w:tcPr>
          <w:p>
            <w:pPr>
              <w:pStyle w:val="TableParagraph"/>
              <w:spacing w:line="134" w:lineRule="exact"/>
              <w:ind w:left="180"/>
              <w:rPr>
                <w:sz w:val="12"/>
              </w:rPr>
            </w:pPr>
            <w:r>
              <w:rPr>
                <w:spacing w:val="-2"/>
                <w:sz w:val="12"/>
              </w:rPr>
              <w:t>Fixed</w:t>
            </w:r>
          </w:p>
        </w:tc>
        <w:tc>
          <w:tcPr>
            <w:tcW w:w="1351" w:type="dxa"/>
          </w:tcPr>
          <w:p>
            <w:pPr>
              <w:pStyle w:val="TableParagraph"/>
              <w:spacing w:line="133" w:lineRule="exact" w:before="11"/>
              <w:ind w:left="263"/>
              <w:jc w:val="center"/>
              <w:rPr>
                <w:sz w:val="12"/>
              </w:rPr>
            </w:pPr>
            <w:r>
              <w:rPr>
                <w:spacing w:val="-10"/>
                <w:sz w:val="12"/>
              </w:rPr>
              <w:t>$</w:t>
            </w:r>
          </w:p>
        </w:tc>
        <w:tc>
          <w:tcPr>
            <w:tcW w:w="788" w:type="dxa"/>
          </w:tcPr>
          <w:p>
            <w:pPr>
              <w:pStyle w:val="TableParagraph"/>
              <w:spacing w:line="133" w:lineRule="exact" w:before="11"/>
              <w:ind w:right="75"/>
              <w:jc w:val="right"/>
              <w:rPr>
                <w:sz w:val="12"/>
              </w:rPr>
            </w:pPr>
            <w:r>
              <w:rPr>
                <w:spacing w:val="-5"/>
                <w:sz w:val="12"/>
              </w:rPr>
              <w:t>24</w:t>
            </w:r>
          </w:p>
        </w:tc>
        <w:tc>
          <w:tcPr>
            <w:tcW w:w="701" w:type="dxa"/>
          </w:tcPr>
          <w:p>
            <w:pPr>
              <w:pStyle w:val="TableParagraph"/>
              <w:spacing w:line="133" w:lineRule="exact" w:before="11"/>
              <w:ind w:left="89"/>
              <w:rPr>
                <w:sz w:val="12"/>
              </w:rPr>
            </w:pPr>
            <w:r>
              <w:rPr>
                <w:spacing w:val="-10"/>
                <w:sz w:val="12"/>
              </w:rPr>
              <w:t>$</w:t>
            </w:r>
          </w:p>
        </w:tc>
        <w:tc>
          <w:tcPr>
            <w:tcW w:w="754" w:type="dxa"/>
          </w:tcPr>
          <w:p>
            <w:pPr>
              <w:pStyle w:val="TableParagraph"/>
              <w:spacing w:line="133" w:lineRule="exact" w:before="11"/>
              <w:ind w:right="75"/>
              <w:jc w:val="right"/>
              <w:rPr>
                <w:sz w:val="12"/>
              </w:rPr>
            </w:pPr>
            <w:r>
              <w:rPr>
                <w:spacing w:val="-5"/>
                <w:sz w:val="12"/>
              </w:rPr>
              <w:t>20</w:t>
            </w:r>
          </w:p>
        </w:tc>
        <w:tc>
          <w:tcPr>
            <w:tcW w:w="722" w:type="dxa"/>
          </w:tcPr>
          <w:p>
            <w:pPr>
              <w:pStyle w:val="TableParagraph"/>
              <w:spacing w:line="133" w:lineRule="exact" w:before="11"/>
              <w:ind w:left="90"/>
              <w:rPr>
                <w:sz w:val="12"/>
              </w:rPr>
            </w:pPr>
            <w:r>
              <w:rPr>
                <w:spacing w:val="-10"/>
                <w:sz w:val="12"/>
              </w:rPr>
              <w:t>$</w:t>
            </w:r>
          </w:p>
        </w:tc>
        <w:tc>
          <w:tcPr>
            <w:tcW w:w="1425" w:type="dxa"/>
          </w:tcPr>
          <w:p>
            <w:pPr>
              <w:pStyle w:val="TableParagraph"/>
              <w:spacing w:line="133" w:lineRule="exact" w:before="11"/>
              <w:ind w:left="565"/>
              <w:rPr>
                <w:sz w:val="12"/>
              </w:rPr>
            </w:pPr>
            <w:r>
              <w:rPr>
                <w:sz w:val="12"/>
              </w:rPr>
              <w:t>—</w:t>
            </w:r>
            <w:r>
              <w:rPr>
                <w:spacing w:val="50"/>
                <w:sz w:val="12"/>
              </w:rPr>
              <w:t>  </w:t>
            </w:r>
            <w:r>
              <w:rPr>
                <w:spacing w:val="-10"/>
                <w:sz w:val="12"/>
              </w:rPr>
              <w:t>$</w:t>
            </w:r>
          </w:p>
        </w:tc>
        <w:tc>
          <w:tcPr>
            <w:tcW w:w="1325" w:type="dxa"/>
          </w:tcPr>
          <w:p>
            <w:pPr>
              <w:pStyle w:val="TableParagraph"/>
              <w:spacing w:line="133" w:lineRule="exact" w:before="11"/>
              <w:ind w:left="505"/>
              <w:rPr>
                <w:sz w:val="12"/>
              </w:rPr>
            </w:pPr>
            <w:r>
              <w:rPr>
                <w:sz w:val="12"/>
              </w:rPr>
              <w:t>—</w:t>
            </w:r>
            <w:r>
              <w:rPr>
                <w:spacing w:val="50"/>
                <w:sz w:val="12"/>
              </w:rPr>
              <w:t>  </w:t>
            </w:r>
            <w:r>
              <w:rPr>
                <w:spacing w:val="-10"/>
                <w:sz w:val="12"/>
              </w:rPr>
              <w:t>$</w:t>
            </w:r>
          </w:p>
        </w:tc>
        <w:tc>
          <w:tcPr>
            <w:tcW w:w="696" w:type="dxa"/>
          </w:tcPr>
          <w:p>
            <w:pPr>
              <w:pStyle w:val="TableParagraph"/>
              <w:spacing w:line="133" w:lineRule="exact" w:before="11"/>
              <w:ind w:right="28"/>
              <w:jc w:val="right"/>
              <w:rPr>
                <w:sz w:val="12"/>
              </w:rPr>
            </w:pPr>
            <w:r>
              <w:rPr>
                <w:spacing w:val="-5"/>
                <w:sz w:val="12"/>
              </w:rPr>
              <w:t>44</w:t>
            </w:r>
          </w:p>
        </w:tc>
      </w:tr>
      <w:tr>
        <w:trPr>
          <w:trHeight w:val="164" w:hRule="atLeast"/>
        </w:trPr>
        <w:tc>
          <w:tcPr>
            <w:tcW w:w="1371" w:type="dxa"/>
          </w:tcPr>
          <w:p>
            <w:pPr>
              <w:pStyle w:val="TableParagraph"/>
              <w:spacing w:line="133" w:lineRule="exact" w:before="11"/>
              <w:ind w:left="180"/>
              <w:rPr>
                <w:sz w:val="12"/>
              </w:rPr>
            </w:pPr>
            <w:r>
              <w:rPr>
                <w:spacing w:val="-2"/>
                <w:sz w:val="12"/>
              </w:rPr>
              <w:t>Variable</w:t>
            </w:r>
          </w:p>
        </w:tc>
        <w:tc>
          <w:tcPr>
            <w:tcW w:w="1351" w:type="dxa"/>
          </w:tcPr>
          <w:p>
            <w:pPr>
              <w:pStyle w:val="TableParagraph"/>
              <w:rPr>
                <w:rFonts w:ascii="Times New Roman"/>
                <w:sz w:val="10"/>
              </w:rPr>
            </w:pPr>
          </w:p>
        </w:tc>
        <w:tc>
          <w:tcPr>
            <w:tcW w:w="788" w:type="dxa"/>
          </w:tcPr>
          <w:p>
            <w:pPr>
              <w:pStyle w:val="TableParagraph"/>
              <w:spacing w:line="118" w:lineRule="exact" w:before="26"/>
              <w:ind w:right="75"/>
              <w:jc w:val="right"/>
              <w:rPr>
                <w:sz w:val="12"/>
              </w:rPr>
            </w:pPr>
            <w:r>
              <w:rPr>
                <w:spacing w:val="-5"/>
                <w:sz w:val="12"/>
              </w:rPr>
              <w:t>413</w:t>
            </w:r>
          </w:p>
        </w:tc>
        <w:tc>
          <w:tcPr>
            <w:tcW w:w="701" w:type="dxa"/>
          </w:tcPr>
          <w:p>
            <w:pPr>
              <w:pStyle w:val="TableParagraph"/>
              <w:rPr>
                <w:rFonts w:ascii="Times New Roman"/>
                <w:sz w:val="10"/>
              </w:rPr>
            </w:pPr>
          </w:p>
        </w:tc>
        <w:tc>
          <w:tcPr>
            <w:tcW w:w="754" w:type="dxa"/>
          </w:tcPr>
          <w:p>
            <w:pPr>
              <w:pStyle w:val="TableParagraph"/>
              <w:spacing w:line="118" w:lineRule="exact" w:before="26"/>
              <w:ind w:right="75"/>
              <w:jc w:val="right"/>
              <w:rPr>
                <w:sz w:val="12"/>
              </w:rPr>
            </w:pPr>
            <w:r>
              <w:rPr>
                <w:sz w:val="12"/>
              </w:rPr>
              <w:t>—</w:t>
            </w:r>
          </w:p>
        </w:tc>
        <w:tc>
          <w:tcPr>
            <w:tcW w:w="722" w:type="dxa"/>
          </w:tcPr>
          <w:p>
            <w:pPr>
              <w:pStyle w:val="TableParagraph"/>
              <w:rPr>
                <w:rFonts w:ascii="Times New Roman"/>
                <w:sz w:val="10"/>
              </w:rPr>
            </w:pPr>
          </w:p>
        </w:tc>
        <w:tc>
          <w:tcPr>
            <w:tcW w:w="1425" w:type="dxa"/>
          </w:tcPr>
          <w:p>
            <w:pPr>
              <w:pStyle w:val="TableParagraph"/>
              <w:spacing w:line="118" w:lineRule="exact" w:before="26"/>
              <w:ind w:left="565"/>
              <w:rPr>
                <w:sz w:val="12"/>
              </w:rPr>
            </w:pPr>
            <w:r>
              <w:rPr>
                <w:sz w:val="12"/>
              </w:rPr>
              <w:t>—</w:t>
            </w:r>
          </w:p>
        </w:tc>
        <w:tc>
          <w:tcPr>
            <w:tcW w:w="1325" w:type="dxa"/>
          </w:tcPr>
          <w:p>
            <w:pPr>
              <w:pStyle w:val="TableParagraph"/>
              <w:spacing w:line="118" w:lineRule="exact" w:before="26"/>
              <w:ind w:left="505"/>
              <w:rPr>
                <w:sz w:val="12"/>
              </w:rPr>
            </w:pPr>
            <w:r>
              <w:rPr>
                <w:sz w:val="12"/>
              </w:rPr>
              <w:t>—</w:t>
            </w:r>
          </w:p>
        </w:tc>
        <w:tc>
          <w:tcPr>
            <w:tcW w:w="696" w:type="dxa"/>
          </w:tcPr>
          <w:p>
            <w:pPr>
              <w:pStyle w:val="TableParagraph"/>
              <w:spacing w:line="118" w:lineRule="exact" w:before="26"/>
              <w:ind w:right="28"/>
              <w:jc w:val="right"/>
              <w:rPr>
                <w:sz w:val="12"/>
              </w:rPr>
            </w:pPr>
            <w:r>
              <w:rPr>
                <w:spacing w:val="-5"/>
                <w:sz w:val="12"/>
              </w:rPr>
              <w:t>413</w:t>
            </w:r>
          </w:p>
        </w:tc>
      </w:tr>
      <w:tr>
        <w:trPr>
          <w:trHeight w:val="165" w:hRule="atLeast"/>
        </w:trPr>
        <w:tc>
          <w:tcPr>
            <w:tcW w:w="1371" w:type="dxa"/>
          </w:tcPr>
          <w:p>
            <w:pPr>
              <w:pStyle w:val="TableParagraph"/>
              <w:spacing w:line="118" w:lineRule="exact" w:before="27"/>
              <w:rPr>
                <w:sz w:val="12"/>
              </w:rPr>
            </w:pPr>
            <w:r>
              <w:rPr>
                <w:spacing w:val="-2"/>
                <w:sz w:val="12"/>
              </w:rPr>
              <w:t>Variable-spread</w:t>
            </w:r>
            <w:r>
              <w:rPr>
                <w:spacing w:val="8"/>
                <w:sz w:val="12"/>
              </w:rPr>
              <w:t> </w:t>
            </w:r>
            <w:r>
              <w:rPr>
                <w:spacing w:val="-2"/>
                <w:sz w:val="12"/>
              </w:rPr>
              <w:t>terms</w:t>
            </w:r>
          </w:p>
        </w:tc>
        <w:tc>
          <w:tcPr>
            <w:tcW w:w="1351" w:type="dxa"/>
          </w:tcPr>
          <w:p>
            <w:pPr>
              <w:pStyle w:val="TableParagraph"/>
              <w:rPr>
                <w:rFonts w:ascii="Times New Roman"/>
                <w:sz w:val="10"/>
              </w:rPr>
            </w:pPr>
          </w:p>
        </w:tc>
        <w:tc>
          <w:tcPr>
            <w:tcW w:w="788" w:type="dxa"/>
          </w:tcPr>
          <w:p>
            <w:pPr>
              <w:pStyle w:val="TableParagraph"/>
              <w:rPr>
                <w:rFonts w:ascii="Times New Roman"/>
                <w:sz w:val="10"/>
              </w:rPr>
            </w:pPr>
          </w:p>
        </w:tc>
        <w:tc>
          <w:tcPr>
            <w:tcW w:w="701" w:type="dxa"/>
          </w:tcPr>
          <w:p>
            <w:pPr>
              <w:pStyle w:val="TableParagraph"/>
              <w:rPr>
                <w:rFonts w:ascii="Times New Roman"/>
                <w:sz w:val="10"/>
              </w:rPr>
            </w:pPr>
          </w:p>
        </w:tc>
        <w:tc>
          <w:tcPr>
            <w:tcW w:w="754" w:type="dxa"/>
          </w:tcPr>
          <w:p>
            <w:pPr>
              <w:pStyle w:val="TableParagraph"/>
              <w:rPr>
                <w:rFonts w:ascii="Times New Roman"/>
                <w:sz w:val="10"/>
              </w:rPr>
            </w:pPr>
          </w:p>
        </w:tc>
        <w:tc>
          <w:tcPr>
            <w:tcW w:w="722" w:type="dxa"/>
          </w:tcPr>
          <w:p>
            <w:pPr>
              <w:pStyle w:val="TableParagraph"/>
              <w:rPr>
                <w:rFonts w:ascii="Times New Roman"/>
                <w:sz w:val="10"/>
              </w:rPr>
            </w:pPr>
          </w:p>
        </w:tc>
        <w:tc>
          <w:tcPr>
            <w:tcW w:w="1425" w:type="dxa"/>
          </w:tcPr>
          <w:p>
            <w:pPr>
              <w:pStyle w:val="TableParagraph"/>
              <w:rPr>
                <w:rFonts w:ascii="Times New Roman"/>
                <w:sz w:val="10"/>
              </w:rPr>
            </w:pPr>
          </w:p>
        </w:tc>
        <w:tc>
          <w:tcPr>
            <w:tcW w:w="1325" w:type="dxa"/>
          </w:tcPr>
          <w:p>
            <w:pPr>
              <w:pStyle w:val="TableParagraph"/>
              <w:rPr>
                <w:rFonts w:ascii="Times New Roman"/>
                <w:sz w:val="10"/>
              </w:rPr>
            </w:pPr>
          </w:p>
        </w:tc>
        <w:tc>
          <w:tcPr>
            <w:tcW w:w="696" w:type="dxa"/>
          </w:tcPr>
          <w:p>
            <w:pPr>
              <w:pStyle w:val="TableParagraph"/>
              <w:rPr>
                <w:rFonts w:ascii="Times New Roman"/>
                <w:sz w:val="10"/>
              </w:rPr>
            </w:pPr>
          </w:p>
        </w:tc>
      </w:tr>
    </w:tbl>
    <w:p>
      <w:pPr>
        <w:pStyle w:val="BodyText"/>
        <w:spacing w:before="1"/>
        <w:rPr>
          <w:rFonts w:ascii="Arial"/>
          <w:i/>
          <w:sz w:val="4"/>
        </w:rPr>
      </w:pP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3"/>
        <w:gridCol w:w="1395"/>
        <w:gridCol w:w="60"/>
        <w:gridCol w:w="1395"/>
        <w:gridCol w:w="60"/>
        <w:gridCol w:w="1425"/>
        <w:gridCol w:w="60"/>
        <w:gridCol w:w="1305"/>
        <w:gridCol w:w="60"/>
        <w:gridCol w:w="1305"/>
      </w:tblGrid>
      <w:tr>
        <w:trPr>
          <w:trHeight w:val="164" w:hRule="atLeast"/>
        </w:trPr>
        <w:tc>
          <w:tcPr>
            <w:tcW w:w="2123" w:type="dxa"/>
          </w:tcPr>
          <w:p>
            <w:pPr>
              <w:pStyle w:val="TableParagraph"/>
              <w:spacing w:line="134" w:lineRule="exact"/>
              <w:ind w:left="211"/>
              <w:rPr>
                <w:sz w:val="12"/>
              </w:rPr>
            </w:pPr>
            <w:r>
              <w:rPr>
                <w:spacing w:val="-2"/>
                <w:sz w:val="12"/>
              </w:rPr>
              <w:t>Fixed</w:t>
            </w:r>
          </w:p>
        </w:tc>
        <w:tc>
          <w:tcPr>
            <w:tcW w:w="1395" w:type="dxa"/>
          </w:tcPr>
          <w:p>
            <w:pPr>
              <w:pStyle w:val="TableParagraph"/>
              <w:spacing w:line="133" w:lineRule="exact" w:before="11"/>
              <w:ind w:right="52"/>
              <w:jc w:val="right"/>
              <w:rPr>
                <w:sz w:val="12"/>
              </w:rPr>
            </w:pPr>
            <w:r>
              <w:rPr>
                <w:sz w:val="12"/>
              </w:rPr>
              <w:t>—</w:t>
            </w:r>
          </w:p>
        </w:tc>
        <w:tc>
          <w:tcPr>
            <w:tcW w:w="1455" w:type="dxa"/>
            <w:gridSpan w:val="2"/>
          </w:tcPr>
          <w:p>
            <w:pPr>
              <w:pStyle w:val="TableParagraph"/>
              <w:spacing w:line="133" w:lineRule="exact" w:before="11"/>
              <w:ind w:right="52"/>
              <w:jc w:val="right"/>
              <w:rPr>
                <w:sz w:val="12"/>
              </w:rPr>
            </w:pPr>
            <w:r>
              <w:rPr>
                <w:sz w:val="12"/>
              </w:rPr>
              <w:t>—</w:t>
            </w:r>
          </w:p>
        </w:tc>
        <w:tc>
          <w:tcPr>
            <w:tcW w:w="1485" w:type="dxa"/>
            <w:gridSpan w:val="2"/>
          </w:tcPr>
          <w:p>
            <w:pPr>
              <w:pStyle w:val="TableParagraph"/>
              <w:spacing w:line="133" w:lineRule="exact" w:before="11"/>
              <w:ind w:right="52"/>
              <w:jc w:val="right"/>
              <w:rPr>
                <w:sz w:val="12"/>
              </w:rPr>
            </w:pPr>
            <w:r>
              <w:rPr>
                <w:sz w:val="12"/>
              </w:rPr>
              <w:t>—</w:t>
            </w:r>
          </w:p>
        </w:tc>
        <w:tc>
          <w:tcPr>
            <w:tcW w:w="1365" w:type="dxa"/>
            <w:gridSpan w:val="2"/>
          </w:tcPr>
          <w:p>
            <w:pPr>
              <w:pStyle w:val="TableParagraph"/>
              <w:spacing w:line="133" w:lineRule="exact" w:before="11"/>
              <w:ind w:right="52"/>
              <w:jc w:val="right"/>
              <w:rPr>
                <w:sz w:val="12"/>
              </w:rPr>
            </w:pPr>
            <w:r>
              <w:rPr>
                <w:sz w:val="12"/>
              </w:rPr>
              <w:t>—</w:t>
            </w:r>
          </w:p>
        </w:tc>
        <w:tc>
          <w:tcPr>
            <w:tcW w:w="1365" w:type="dxa"/>
            <w:gridSpan w:val="2"/>
          </w:tcPr>
          <w:p>
            <w:pPr>
              <w:pStyle w:val="TableParagraph"/>
              <w:spacing w:line="133" w:lineRule="exact" w:before="11"/>
              <w:ind w:right="52"/>
              <w:jc w:val="right"/>
              <w:rPr>
                <w:sz w:val="12"/>
              </w:rPr>
            </w:pPr>
            <w:r>
              <w:rPr>
                <w:sz w:val="12"/>
              </w:rPr>
              <w:t>—</w:t>
            </w:r>
          </w:p>
        </w:tc>
      </w:tr>
      <w:tr>
        <w:trPr>
          <w:trHeight w:val="180" w:hRule="atLeast"/>
        </w:trPr>
        <w:tc>
          <w:tcPr>
            <w:tcW w:w="2123" w:type="dxa"/>
          </w:tcPr>
          <w:p>
            <w:pPr>
              <w:pStyle w:val="TableParagraph"/>
              <w:spacing w:before="11"/>
              <w:ind w:left="211"/>
              <w:rPr>
                <w:sz w:val="12"/>
              </w:rPr>
            </w:pPr>
            <w:r>
              <w:rPr>
                <w:spacing w:val="-2"/>
                <w:sz w:val="12"/>
              </w:rPr>
              <w:t>Variable</w:t>
            </w:r>
          </w:p>
        </w:tc>
        <w:tc>
          <w:tcPr>
            <w:tcW w:w="1395" w:type="dxa"/>
          </w:tcPr>
          <w:p>
            <w:pPr>
              <w:pStyle w:val="TableParagraph"/>
              <w:spacing w:line="133" w:lineRule="exact" w:before="26"/>
              <w:ind w:right="52"/>
              <w:jc w:val="right"/>
              <w:rPr>
                <w:sz w:val="12"/>
              </w:rPr>
            </w:pPr>
            <w:r>
              <w:rPr>
                <w:spacing w:val="-2"/>
                <w:sz w:val="12"/>
              </w:rPr>
              <w:t>9,261</w:t>
            </w:r>
          </w:p>
        </w:tc>
        <w:tc>
          <w:tcPr>
            <w:tcW w:w="1455" w:type="dxa"/>
            <w:gridSpan w:val="2"/>
          </w:tcPr>
          <w:p>
            <w:pPr>
              <w:pStyle w:val="TableParagraph"/>
              <w:spacing w:line="133" w:lineRule="exact" w:before="26"/>
              <w:ind w:right="52"/>
              <w:jc w:val="right"/>
              <w:rPr>
                <w:sz w:val="12"/>
              </w:rPr>
            </w:pPr>
            <w:r>
              <w:rPr>
                <w:spacing w:val="-2"/>
                <w:sz w:val="12"/>
              </w:rPr>
              <w:t>51,025</w:t>
            </w:r>
          </w:p>
        </w:tc>
        <w:tc>
          <w:tcPr>
            <w:tcW w:w="1485" w:type="dxa"/>
            <w:gridSpan w:val="2"/>
          </w:tcPr>
          <w:p>
            <w:pPr>
              <w:pStyle w:val="TableParagraph"/>
              <w:spacing w:line="133" w:lineRule="exact" w:before="26"/>
              <w:ind w:right="52"/>
              <w:jc w:val="right"/>
              <w:rPr>
                <w:sz w:val="12"/>
              </w:rPr>
            </w:pPr>
            <w:r>
              <w:rPr>
                <w:spacing w:val="-2"/>
                <w:sz w:val="12"/>
              </w:rPr>
              <w:t>95,141</w:t>
            </w:r>
          </w:p>
        </w:tc>
        <w:tc>
          <w:tcPr>
            <w:tcW w:w="1365" w:type="dxa"/>
            <w:gridSpan w:val="2"/>
          </w:tcPr>
          <w:p>
            <w:pPr>
              <w:pStyle w:val="TableParagraph"/>
              <w:spacing w:line="133" w:lineRule="exact" w:before="26"/>
              <w:ind w:right="52"/>
              <w:jc w:val="right"/>
              <w:rPr>
                <w:sz w:val="12"/>
              </w:rPr>
            </w:pPr>
            <w:r>
              <w:rPr>
                <w:spacing w:val="-2"/>
                <w:sz w:val="12"/>
              </w:rPr>
              <w:t>22,716</w:t>
            </w:r>
          </w:p>
        </w:tc>
        <w:tc>
          <w:tcPr>
            <w:tcW w:w="1365" w:type="dxa"/>
            <w:gridSpan w:val="2"/>
          </w:tcPr>
          <w:p>
            <w:pPr>
              <w:pStyle w:val="TableParagraph"/>
              <w:spacing w:line="133" w:lineRule="exact" w:before="26"/>
              <w:ind w:left="877"/>
              <w:rPr>
                <w:sz w:val="12"/>
              </w:rPr>
            </w:pPr>
            <w:r>
              <w:rPr>
                <w:spacing w:val="-2"/>
                <w:sz w:val="12"/>
              </w:rPr>
              <w:t>178,143</w:t>
            </w:r>
          </w:p>
        </w:tc>
      </w:tr>
      <w:tr>
        <w:trPr>
          <w:trHeight w:val="172" w:hRule="atLeast"/>
        </w:trPr>
        <w:tc>
          <w:tcPr>
            <w:tcW w:w="9188" w:type="dxa"/>
            <w:gridSpan w:val="10"/>
          </w:tcPr>
          <w:p>
            <w:pPr>
              <w:pStyle w:val="TableParagraph"/>
              <w:spacing w:before="11"/>
              <w:ind w:left="31"/>
              <w:rPr>
                <w:sz w:val="12"/>
              </w:rPr>
            </w:pPr>
            <w:r>
              <w:rPr>
                <w:spacing w:val="-2"/>
                <w:sz w:val="12"/>
              </w:rPr>
              <w:t>Fixed-spread</w:t>
            </w:r>
            <w:r>
              <w:rPr>
                <w:spacing w:val="14"/>
                <w:sz w:val="12"/>
              </w:rPr>
              <w:t> </w:t>
            </w:r>
            <w:r>
              <w:rPr>
                <w:spacing w:val="-2"/>
                <w:sz w:val="12"/>
              </w:rPr>
              <w:t>terms</w:t>
            </w:r>
          </w:p>
        </w:tc>
      </w:tr>
      <w:tr>
        <w:trPr>
          <w:trHeight w:val="187" w:hRule="atLeast"/>
        </w:trPr>
        <w:tc>
          <w:tcPr>
            <w:tcW w:w="2123" w:type="dxa"/>
          </w:tcPr>
          <w:p>
            <w:pPr>
              <w:pStyle w:val="TableParagraph"/>
              <w:spacing w:before="19"/>
              <w:ind w:left="211"/>
              <w:rPr>
                <w:sz w:val="12"/>
              </w:rPr>
            </w:pPr>
            <w:r>
              <w:rPr>
                <w:spacing w:val="-2"/>
                <w:sz w:val="12"/>
              </w:rPr>
              <w:t>Fixed</w:t>
            </w:r>
          </w:p>
        </w:tc>
        <w:tc>
          <w:tcPr>
            <w:tcW w:w="1395" w:type="dxa"/>
          </w:tcPr>
          <w:p>
            <w:pPr>
              <w:pStyle w:val="TableParagraph"/>
              <w:spacing w:line="133" w:lineRule="exact" w:before="34"/>
              <w:ind w:right="52"/>
              <w:jc w:val="right"/>
              <w:rPr>
                <w:sz w:val="12"/>
              </w:rPr>
            </w:pPr>
            <w:r>
              <w:rPr>
                <w:spacing w:val="-2"/>
                <w:sz w:val="12"/>
              </w:rPr>
              <w:t>1,920</w:t>
            </w:r>
          </w:p>
        </w:tc>
        <w:tc>
          <w:tcPr>
            <w:tcW w:w="1455" w:type="dxa"/>
            <w:gridSpan w:val="2"/>
          </w:tcPr>
          <w:p>
            <w:pPr>
              <w:pStyle w:val="TableParagraph"/>
              <w:spacing w:line="133" w:lineRule="exact" w:before="34"/>
              <w:ind w:right="52"/>
              <w:jc w:val="right"/>
              <w:rPr>
                <w:sz w:val="12"/>
              </w:rPr>
            </w:pPr>
            <w:r>
              <w:rPr>
                <w:spacing w:val="-2"/>
                <w:sz w:val="12"/>
              </w:rPr>
              <w:t>6,901</w:t>
            </w:r>
          </w:p>
        </w:tc>
        <w:tc>
          <w:tcPr>
            <w:tcW w:w="1485" w:type="dxa"/>
            <w:gridSpan w:val="2"/>
          </w:tcPr>
          <w:p>
            <w:pPr>
              <w:pStyle w:val="TableParagraph"/>
              <w:spacing w:line="133" w:lineRule="exact" w:before="34"/>
              <w:ind w:right="52"/>
              <w:jc w:val="right"/>
              <w:rPr>
                <w:sz w:val="12"/>
              </w:rPr>
            </w:pPr>
            <w:r>
              <w:rPr>
                <w:spacing w:val="-2"/>
                <w:sz w:val="12"/>
              </w:rPr>
              <w:t>19,016</w:t>
            </w:r>
          </w:p>
        </w:tc>
        <w:tc>
          <w:tcPr>
            <w:tcW w:w="1365" w:type="dxa"/>
            <w:gridSpan w:val="2"/>
          </w:tcPr>
          <w:p>
            <w:pPr>
              <w:pStyle w:val="TableParagraph"/>
              <w:spacing w:line="133" w:lineRule="exact" w:before="34"/>
              <w:ind w:right="52"/>
              <w:jc w:val="right"/>
              <w:rPr>
                <w:sz w:val="12"/>
              </w:rPr>
            </w:pPr>
            <w:r>
              <w:rPr>
                <w:spacing w:val="-2"/>
                <w:sz w:val="12"/>
              </w:rPr>
              <w:t>4,797</w:t>
            </w:r>
          </w:p>
        </w:tc>
        <w:tc>
          <w:tcPr>
            <w:tcW w:w="1365" w:type="dxa"/>
            <w:gridSpan w:val="2"/>
          </w:tcPr>
          <w:p>
            <w:pPr>
              <w:pStyle w:val="TableParagraph"/>
              <w:spacing w:line="133" w:lineRule="exact" w:before="34"/>
              <w:ind w:right="52"/>
              <w:jc w:val="right"/>
              <w:rPr>
                <w:sz w:val="12"/>
              </w:rPr>
            </w:pPr>
            <w:r>
              <w:rPr>
                <w:spacing w:val="-2"/>
                <w:sz w:val="12"/>
              </w:rPr>
              <w:t>32,634</w:t>
            </w:r>
          </w:p>
        </w:tc>
      </w:tr>
      <w:tr>
        <w:trPr>
          <w:trHeight w:val="169" w:hRule="atLeast"/>
        </w:trPr>
        <w:tc>
          <w:tcPr>
            <w:tcW w:w="2123" w:type="dxa"/>
          </w:tcPr>
          <w:p>
            <w:pPr>
              <w:pStyle w:val="TableParagraph"/>
              <w:spacing w:line="138" w:lineRule="exact" w:before="11"/>
              <w:ind w:left="211"/>
              <w:rPr>
                <w:sz w:val="12"/>
              </w:rPr>
            </w:pPr>
            <w:r>
              <w:rPr>
                <w:spacing w:val="-2"/>
                <w:sz w:val="12"/>
              </w:rPr>
              <w:t>Variable</w:t>
            </w:r>
          </w:p>
        </w:tc>
        <w:tc>
          <w:tcPr>
            <w:tcW w:w="1395" w:type="dxa"/>
            <w:tcBorders>
              <w:bottom w:val="single" w:sz="8" w:space="0" w:color="000000"/>
            </w:tcBorders>
          </w:tcPr>
          <w:p>
            <w:pPr>
              <w:pStyle w:val="TableParagraph"/>
              <w:spacing w:line="123" w:lineRule="exact" w:before="26"/>
              <w:ind w:right="52"/>
              <w:jc w:val="right"/>
              <w:rPr>
                <w:sz w:val="12"/>
              </w:rPr>
            </w:pPr>
            <w:r>
              <w:rPr>
                <w:spacing w:val="-2"/>
                <w:sz w:val="12"/>
              </w:rPr>
              <w:t>2,040</w:t>
            </w:r>
          </w:p>
        </w:tc>
        <w:tc>
          <w:tcPr>
            <w:tcW w:w="1455" w:type="dxa"/>
            <w:gridSpan w:val="2"/>
          </w:tcPr>
          <w:p>
            <w:pPr>
              <w:pStyle w:val="TableParagraph"/>
              <w:spacing w:line="123" w:lineRule="exact" w:before="26"/>
              <w:ind w:right="52"/>
              <w:jc w:val="right"/>
              <w:rPr>
                <w:sz w:val="12"/>
              </w:rPr>
            </w:pPr>
            <w:r>
              <w:rPr>
                <w:spacing w:val="-2"/>
                <w:sz w:val="12"/>
              </w:rPr>
              <w:t>8,722</w:t>
            </w:r>
          </w:p>
        </w:tc>
        <w:tc>
          <w:tcPr>
            <w:tcW w:w="1485" w:type="dxa"/>
            <w:gridSpan w:val="2"/>
          </w:tcPr>
          <w:p>
            <w:pPr>
              <w:pStyle w:val="TableParagraph"/>
              <w:spacing w:line="123" w:lineRule="exact" w:before="26"/>
              <w:ind w:right="52"/>
              <w:jc w:val="right"/>
              <w:rPr>
                <w:sz w:val="12"/>
              </w:rPr>
            </w:pPr>
            <w:r>
              <w:rPr>
                <w:spacing w:val="-2"/>
                <w:sz w:val="12"/>
              </w:rPr>
              <w:t>16,717</w:t>
            </w:r>
          </w:p>
        </w:tc>
        <w:tc>
          <w:tcPr>
            <w:tcW w:w="1365" w:type="dxa"/>
            <w:gridSpan w:val="2"/>
          </w:tcPr>
          <w:p>
            <w:pPr>
              <w:pStyle w:val="TableParagraph"/>
              <w:spacing w:line="123" w:lineRule="exact" w:before="26"/>
              <w:ind w:right="52"/>
              <w:jc w:val="right"/>
              <w:rPr>
                <w:sz w:val="12"/>
              </w:rPr>
            </w:pPr>
            <w:r>
              <w:rPr>
                <w:spacing w:val="-2"/>
                <w:sz w:val="12"/>
              </w:rPr>
              <w:t>5,183</w:t>
            </w:r>
          </w:p>
        </w:tc>
        <w:tc>
          <w:tcPr>
            <w:tcW w:w="1365" w:type="dxa"/>
            <w:gridSpan w:val="2"/>
          </w:tcPr>
          <w:p>
            <w:pPr>
              <w:pStyle w:val="TableParagraph"/>
              <w:spacing w:line="123" w:lineRule="exact" w:before="26"/>
              <w:ind w:right="52"/>
              <w:jc w:val="right"/>
              <w:rPr>
                <w:sz w:val="12"/>
              </w:rPr>
            </w:pPr>
            <w:r>
              <w:rPr>
                <w:spacing w:val="-2"/>
                <w:sz w:val="12"/>
              </w:rPr>
              <w:t>32,662</w:t>
            </w:r>
          </w:p>
        </w:tc>
      </w:tr>
      <w:tr>
        <w:trPr>
          <w:trHeight w:val="163" w:hRule="atLeast"/>
        </w:trPr>
        <w:tc>
          <w:tcPr>
            <w:tcW w:w="9188" w:type="dxa"/>
            <w:gridSpan w:val="10"/>
          </w:tcPr>
          <w:p>
            <w:pPr>
              <w:pStyle w:val="TableParagraph"/>
              <w:spacing w:line="20" w:lineRule="exact"/>
              <w:ind w:left="3568" w:right="-72"/>
              <w:rPr>
                <w:rFonts w:ascii="Arial"/>
                <w:sz w:val="2"/>
              </w:rPr>
            </w:pPr>
            <w:r>
              <w:rPr>
                <w:rFonts w:ascii="Arial"/>
                <w:sz w:val="2"/>
              </w:rPr>
              <mc:AlternateContent>
                <mc:Choice Requires="wps">
                  <w:drawing>
                    <wp:inline distT="0" distB="0" distL="0" distR="0">
                      <wp:extent cx="3562350" cy="12700"/>
                      <wp:effectExtent l="9525" t="0" r="0" b="6350"/>
                      <wp:docPr id="762" name="Group 762"/>
                      <wp:cNvGraphicFramePr>
                        <a:graphicFrameLocks/>
                      </wp:cNvGraphicFramePr>
                      <a:graphic>
                        <a:graphicData uri="http://schemas.microsoft.com/office/word/2010/wordprocessingGroup">
                          <wpg:wgp>
                            <wpg:cNvPr id="762" name="Group 762"/>
                            <wpg:cNvGrpSpPr/>
                            <wpg:grpSpPr>
                              <a:xfrm>
                                <a:off x="0" y="0"/>
                                <a:ext cx="3562350" cy="12700"/>
                                <a:chExt cx="3562350" cy="12700"/>
                              </a:xfrm>
                            </wpg:grpSpPr>
                            <wps:wsp>
                              <wps:cNvPr id="763" name="Graphic 763"/>
                              <wps:cNvSpPr/>
                              <wps:spPr>
                                <a:xfrm>
                                  <a:off x="0" y="6350"/>
                                  <a:ext cx="3562350" cy="1270"/>
                                </a:xfrm>
                                <a:custGeom>
                                  <a:avLst/>
                                  <a:gdLst/>
                                  <a:ahLst/>
                                  <a:cxnLst/>
                                  <a:rect l="l" t="t" r="r" b="b"/>
                                  <a:pathLst>
                                    <a:path w="3562350" h="0">
                                      <a:moveTo>
                                        <a:pt x="0" y="0"/>
                                      </a:moveTo>
                                      <a:lnTo>
                                        <a:pt x="885825" y="0"/>
                                      </a:lnTo>
                                    </a:path>
                                    <a:path w="3562350" h="0">
                                      <a:moveTo>
                                        <a:pt x="923925" y="0"/>
                                      </a:moveTo>
                                      <a:lnTo>
                                        <a:pt x="1828800" y="0"/>
                                      </a:lnTo>
                                    </a:path>
                                    <a:path w="3562350" h="0">
                                      <a:moveTo>
                                        <a:pt x="1866900" y="0"/>
                                      </a:moveTo>
                                      <a:lnTo>
                                        <a:pt x="2695575" y="0"/>
                                      </a:lnTo>
                                    </a:path>
                                    <a:path w="3562350" h="0">
                                      <a:moveTo>
                                        <a:pt x="2733675" y="0"/>
                                      </a:moveTo>
                                      <a:lnTo>
                                        <a:pt x="35623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0.5pt;height:1pt;mso-position-horizontal-relative:char;mso-position-vertical-relative:line" id="docshapegroup646" coordorigin="0,0" coordsize="5610,20">
                      <v:shape style="position:absolute;left:0;top:10;width:5610;height:2" id="docshape647" coordorigin="0,10" coordsize="5610,0" path="m0,10l1395,10m1455,10l2880,10m2940,10l4245,10m4305,10l5610,10e" filled="false" stroked="true" strokeweight="1pt" strokecolor="#000000">
                        <v:path arrowok="t"/>
                        <v:stroke dashstyle="solid"/>
                      </v:shape>
                    </v:group>
                  </w:pict>
                </mc:Fallback>
              </mc:AlternateContent>
            </w:r>
            <w:r>
              <w:rPr>
                <w:rFonts w:ascii="Arial"/>
                <w:sz w:val="2"/>
              </w:rPr>
            </w:r>
          </w:p>
          <w:p>
            <w:pPr>
              <w:pStyle w:val="TableParagraph"/>
              <w:ind w:left="31"/>
              <w:rPr>
                <w:sz w:val="12"/>
              </w:rPr>
            </w:pPr>
            <w:r>
              <w:rPr>
                <w:sz w:val="12"/>
              </w:rPr>
              <w:t>All</w:t>
            </w:r>
            <w:r>
              <w:rPr>
                <w:spacing w:val="-2"/>
                <w:sz w:val="12"/>
              </w:rPr>
              <w:t> Loans</w:t>
            </w:r>
          </w:p>
        </w:tc>
      </w:tr>
      <w:tr>
        <w:trPr>
          <w:trHeight w:val="187" w:hRule="atLeast"/>
        </w:trPr>
        <w:tc>
          <w:tcPr>
            <w:tcW w:w="2123" w:type="dxa"/>
          </w:tcPr>
          <w:p>
            <w:pPr>
              <w:pStyle w:val="TableParagraph"/>
              <w:spacing w:before="19"/>
              <w:ind w:left="211"/>
              <w:rPr>
                <w:sz w:val="12"/>
              </w:rPr>
            </w:pPr>
            <w:r>
              <w:rPr>
                <w:spacing w:val="-2"/>
                <w:sz w:val="12"/>
              </w:rPr>
              <w:t>Fixed</w:t>
            </w:r>
          </w:p>
        </w:tc>
        <w:tc>
          <w:tcPr>
            <w:tcW w:w="1395" w:type="dxa"/>
          </w:tcPr>
          <w:p>
            <w:pPr>
              <w:pStyle w:val="TableParagraph"/>
              <w:spacing w:line="133" w:lineRule="exact" w:before="34"/>
              <w:ind w:right="52"/>
              <w:jc w:val="right"/>
              <w:rPr>
                <w:sz w:val="12"/>
              </w:rPr>
            </w:pPr>
            <w:r>
              <w:rPr>
                <w:spacing w:val="-2"/>
                <w:sz w:val="12"/>
              </w:rPr>
              <w:t>1,944</w:t>
            </w:r>
          </w:p>
        </w:tc>
        <w:tc>
          <w:tcPr>
            <w:tcW w:w="60" w:type="dxa"/>
          </w:tcPr>
          <w:p>
            <w:pPr>
              <w:pStyle w:val="TableParagraph"/>
              <w:rPr>
                <w:rFonts w:ascii="Times New Roman"/>
                <w:sz w:val="12"/>
              </w:rPr>
            </w:pPr>
          </w:p>
        </w:tc>
        <w:tc>
          <w:tcPr>
            <w:tcW w:w="1395" w:type="dxa"/>
          </w:tcPr>
          <w:p>
            <w:pPr>
              <w:pStyle w:val="TableParagraph"/>
              <w:spacing w:line="133" w:lineRule="exact" w:before="34"/>
              <w:ind w:right="52"/>
              <w:jc w:val="right"/>
              <w:rPr>
                <w:sz w:val="12"/>
              </w:rPr>
            </w:pPr>
            <w:r>
              <w:rPr>
                <w:spacing w:val="-2"/>
                <w:sz w:val="12"/>
              </w:rPr>
              <w:t>6,921</w:t>
            </w:r>
          </w:p>
        </w:tc>
        <w:tc>
          <w:tcPr>
            <w:tcW w:w="60" w:type="dxa"/>
          </w:tcPr>
          <w:p>
            <w:pPr>
              <w:pStyle w:val="TableParagraph"/>
              <w:rPr>
                <w:rFonts w:ascii="Times New Roman"/>
                <w:sz w:val="12"/>
              </w:rPr>
            </w:pPr>
          </w:p>
        </w:tc>
        <w:tc>
          <w:tcPr>
            <w:tcW w:w="1425" w:type="dxa"/>
          </w:tcPr>
          <w:p>
            <w:pPr>
              <w:pStyle w:val="TableParagraph"/>
              <w:spacing w:line="133" w:lineRule="exact" w:before="34"/>
              <w:ind w:right="52"/>
              <w:jc w:val="right"/>
              <w:rPr>
                <w:sz w:val="12"/>
              </w:rPr>
            </w:pPr>
            <w:r>
              <w:rPr>
                <w:spacing w:val="-2"/>
                <w:sz w:val="12"/>
              </w:rPr>
              <w:t>19,016</w:t>
            </w:r>
          </w:p>
        </w:tc>
        <w:tc>
          <w:tcPr>
            <w:tcW w:w="60" w:type="dxa"/>
          </w:tcPr>
          <w:p>
            <w:pPr>
              <w:pStyle w:val="TableParagraph"/>
              <w:rPr>
                <w:rFonts w:ascii="Times New Roman"/>
                <w:sz w:val="12"/>
              </w:rPr>
            </w:pPr>
          </w:p>
        </w:tc>
        <w:tc>
          <w:tcPr>
            <w:tcW w:w="1305" w:type="dxa"/>
          </w:tcPr>
          <w:p>
            <w:pPr>
              <w:pStyle w:val="TableParagraph"/>
              <w:spacing w:line="133" w:lineRule="exact" w:before="34"/>
              <w:ind w:right="52"/>
              <w:jc w:val="right"/>
              <w:rPr>
                <w:sz w:val="12"/>
              </w:rPr>
            </w:pPr>
            <w:r>
              <w:rPr>
                <w:spacing w:val="-2"/>
                <w:sz w:val="12"/>
              </w:rPr>
              <w:t>4,797</w:t>
            </w:r>
          </w:p>
        </w:tc>
        <w:tc>
          <w:tcPr>
            <w:tcW w:w="60" w:type="dxa"/>
          </w:tcPr>
          <w:p>
            <w:pPr>
              <w:pStyle w:val="TableParagraph"/>
              <w:rPr>
                <w:rFonts w:ascii="Times New Roman"/>
                <w:sz w:val="12"/>
              </w:rPr>
            </w:pPr>
          </w:p>
        </w:tc>
        <w:tc>
          <w:tcPr>
            <w:tcW w:w="1305" w:type="dxa"/>
          </w:tcPr>
          <w:p>
            <w:pPr>
              <w:pStyle w:val="TableParagraph"/>
              <w:spacing w:line="133" w:lineRule="exact" w:before="34"/>
              <w:ind w:right="52"/>
              <w:jc w:val="right"/>
              <w:rPr>
                <w:sz w:val="12"/>
              </w:rPr>
            </w:pPr>
            <w:r>
              <w:rPr>
                <w:spacing w:val="-2"/>
                <w:sz w:val="12"/>
              </w:rPr>
              <w:t>32,678</w:t>
            </w:r>
          </w:p>
        </w:tc>
      </w:tr>
      <w:tr>
        <w:trPr>
          <w:trHeight w:val="179" w:hRule="atLeast"/>
        </w:trPr>
        <w:tc>
          <w:tcPr>
            <w:tcW w:w="2123" w:type="dxa"/>
          </w:tcPr>
          <w:p>
            <w:pPr>
              <w:pStyle w:val="TableParagraph"/>
              <w:spacing w:before="11"/>
              <w:ind w:left="211"/>
              <w:rPr>
                <w:sz w:val="12"/>
              </w:rPr>
            </w:pPr>
            <w:r>
              <w:rPr>
                <w:spacing w:val="-2"/>
                <w:sz w:val="12"/>
              </w:rPr>
              <w:t>Variable</w:t>
            </w:r>
          </w:p>
        </w:tc>
        <w:tc>
          <w:tcPr>
            <w:tcW w:w="1395" w:type="dxa"/>
          </w:tcPr>
          <w:p>
            <w:pPr>
              <w:pStyle w:val="TableParagraph"/>
              <w:spacing w:line="133" w:lineRule="exact" w:before="26"/>
              <w:ind w:right="52"/>
              <w:jc w:val="right"/>
              <w:rPr>
                <w:sz w:val="12"/>
              </w:rPr>
            </w:pPr>
            <w:r>
              <w:rPr>
                <w:spacing w:val="-2"/>
                <w:sz w:val="12"/>
              </w:rPr>
              <w:t>11,714</w:t>
            </w:r>
          </w:p>
        </w:tc>
        <w:tc>
          <w:tcPr>
            <w:tcW w:w="60" w:type="dxa"/>
          </w:tcPr>
          <w:p>
            <w:pPr>
              <w:pStyle w:val="TableParagraph"/>
              <w:rPr>
                <w:rFonts w:ascii="Times New Roman"/>
                <w:sz w:val="12"/>
              </w:rPr>
            </w:pPr>
          </w:p>
        </w:tc>
        <w:tc>
          <w:tcPr>
            <w:tcW w:w="1395" w:type="dxa"/>
          </w:tcPr>
          <w:p>
            <w:pPr>
              <w:pStyle w:val="TableParagraph"/>
              <w:spacing w:line="133" w:lineRule="exact" w:before="26"/>
              <w:ind w:right="52"/>
              <w:jc w:val="right"/>
              <w:rPr>
                <w:sz w:val="12"/>
              </w:rPr>
            </w:pPr>
            <w:r>
              <w:rPr>
                <w:spacing w:val="-2"/>
                <w:sz w:val="12"/>
              </w:rPr>
              <w:t>59,747</w:t>
            </w:r>
          </w:p>
        </w:tc>
        <w:tc>
          <w:tcPr>
            <w:tcW w:w="60" w:type="dxa"/>
          </w:tcPr>
          <w:p>
            <w:pPr>
              <w:pStyle w:val="TableParagraph"/>
              <w:rPr>
                <w:rFonts w:ascii="Times New Roman"/>
                <w:sz w:val="12"/>
              </w:rPr>
            </w:pPr>
          </w:p>
        </w:tc>
        <w:tc>
          <w:tcPr>
            <w:tcW w:w="1425" w:type="dxa"/>
          </w:tcPr>
          <w:p>
            <w:pPr>
              <w:pStyle w:val="TableParagraph"/>
              <w:spacing w:line="133" w:lineRule="exact" w:before="26"/>
              <w:ind w:right="52"/>
              <w:jc w:val="right"/>
              <w:rPr>
                <w:sz w:val="12"/>
              </w:rPr>
            </w:pPr>
            <w:r>
              <w:rPr>
                <w:spacing w:val="-2"/>
                <w:sz w:val="12"/>
              </w:rPr>
              <w:t>111,858</w:t>
            </w:r>
          </w:p>
        </w:tc>
        <w:tc>
          <w:tcPr>
            <w:tcW w:w="60" w:type="dxa"/>
          </w:tcPr>
          <w:p>
            <w:pPr>
              <w:pStyle w:val="TableParagraph"/>
              <w:rPr>
                <w:rFonts w:ascii="Times New Roman"/>
                <w:sz w:val="12"/>
              </w:rPr>
            </w:pPr>
          </w:p>
        </w:tc>
        <w:tc>
          <w:tcPr>
            <w:tcW w:w="1305" w:type="dxa"/>
          </w:tcPr>
          <w:p>
            <w:pPr>
              <w:pStyle w:val="TableParagraph"/>
              <w:spacing w:line="133" w:lineRule="exact" w:before="26"/>
              <w:ind w:right="52"/>
              <w:jc w:val="right"/>
              <w:rPr>
                <w:sz w:val="12"/>
              </w:rPr>
            </w:pPr>
            <w:r>
              <w:rPr>
                <w:spacing w:val="-2"/>
                <w:sz w:val="12"/>
              </w:rPr>
              <w:t>27,899</w:t>
            </w:r>
          </w:p>
        </w:tc>
        <w:tc>
          <w:tcPr>
            <w:tcW w:w="60" w:type="dxa"/>
          </w:tcPr>
          <w:p>
            <w:pPr>
              <w:pStyle w:val="TableParagraph"/>
              <w:rPr>
                <w:rFonts w:ascii="Times New Roman"/>
                <w:sz w:val="12"/>
              </w:rPr>
            </w:pPr>
          </w:p>
        </w:tc>
        <w:tc>
          <w:tcPr>
            <w:tcW w:w="1305" w:type="dxa"/>
          </w:tcPr>
          <w:p>
            <w:pPr>
              <w:pStyle w:val="TableParagraph"/>
              <w:spacing w:line="133" w:lineRule="exact" w:before="26"/>
              <w:ind w:right="52"/>
              <w:jc w:val="right"/>
              <w:rPr>
                <w:sz w:val="12"/>
              </w:rPr>
            </w:pPr>
            <w:r>
              <w:rPr>
                <w:spacing w:val="-2"/>
                <w:sz w:val="12"/>
              </w:rPr>
              <w:t>211,218</w:t>
            </w:r>
          </w:p>
        </w:tc>
      </w:tr>
      <w:tr>
        <w:trPr>
          <w:trHeight w:val="200" w:hRule="atLeast"/>
        </w:trPr>
        <w:tc>
          <w:tcPr>
            <w:tcW w:w="2123" w:type="dxa"/>
          </w:tcPr>
          <w:p>
            <w:pPr>
              <w:pStyle w:val="TableParagraph"/>
              <w:spacing w:before="12"/>
              <w:ind w:left="31"/>
              <w:rPr>
                <w:sz w:val="12"/>
              </w:rPr>
            </w:pPr>
            <w:r>
              <w:rPr>
                <w:spacing w:val="-2"/>
                <w:sz w:val="12"/>
              </w:rPr>
              <w:t>Total loans</w:t>
            </w:r>
            <w:r>
              <w:rPr>
                <w:spacing w:val="-1"/>
                <w:sz w:val="12"/>
              </w:rPr>
              <w:t> </w:t>
            </w:r>
            <w:r>
              <w:rPr>
                <w:spacing w:val="-2"/>
                <w:sz w:val="12"/>
              </w:rPr>
              <w:t>outstanding</w:t>
            </w:r>
          </w:p>
        </w:tc>
        <w:tc>
          <w:tcPr>
            <w:tcW w:w="1395" w:type="dxa"/>
          </w:tcPr>
          <w:p>
            <w:pPr>
              <w:pStyle w:val="TableParagraph"/>
              <w:tabs>
                <w:tab w:pos="973" w:val="left" w:leader="none"/>
              </w:tabs>
              <w:spacing w:before="27"/>
              <w:ind w:right="52"/>
              <w:jc w:val="right"/>
              <w:rPr>
                <w:sz w:val="12"/>
              </w:rPr>
            </w:pPr>
            <w:r>
              <w:rPr>
                <w:sz w:val="12"/>
              </w:rPr>
              <mc:AlternateContent>
                <mc:Choice Requires="wps">
                  <w:drawing>
                    <wp:anchor distT="0" distB="0" distL="0" distR="0" allowOverlap="1" layoutInCell="1" locked="0" behindDoc="1" simplePos="0" relativeHeight="470624256">
                      <wp:simplePos x="0" y="0"/>
                      <wp:positionH relativeFrom="column">
                        <wp:posOffset>0</wp:posOffset>
                      </wp:positionH>
                      <wp:positionV relativeFrom="paragraph">
                        <wp:posOffset>-6503</wp:posOffset>
                      </wp:positionV>
                      <wp:extent cx="4486275" cy="12700"/>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4486275" cy="12700"/>
                                <a:chExt cx="4486275" cy="12700"/>
                              </a:xfrm>
                            </wpg:grpSpPr>
                            <wps:wsp>
                              <wps:cNvPr id="765" name="Graphic 765"/>
                              <wps:cNvSpPr/>
                              <wps:spPr>
                                <a:xfrm>
                                  <a:off x="0" y="6350"/>
                                  <a:ext cx="4486275" cy="1270"/>
                                </a:xfrm>
                                <a:custGeom>
                                  <a:avLst/>
                                  <a:gdLst/>
                                  <a:ahLst/>
                                  <a:cxnLst/>
                                  <a:rect l="l" t="t" r="r" b="b"/>
                                  <a:pathLst>
                                    <a:path w="4486275" h="0">
                                      <a:moveTo>
                                        <a:pt x="0" y="0"/>
                                      </a:moveTo>
                                      <a:lnTo>
                                        <a:pt x="885825" y="0"/>
                                      </a:lnTo>
                                    </a:path>
                                    <a:path w="4486275" h="0">
                                      <a:moveTo>
                                        <a:pt x="923925" y="0"/>
                                      </a:moveTo>
                                      <a:lnTo>
                                        <a:pt x="1809750" y="0"/>
                                      </a:lnTo>
                                    </a:path>
                                    <a:path w="4486275" h="0">
                                      <a:moveTo>
                                        <a:pt x="1847850" y="0"/>
                                      </a:moveTo>
                                      <a:lnTo>
                                        <a:pt x="2752725" y="0"/>
                                      </a:lnTo>
                                    </a:path>
                                    <a:path w="4486275" h="0">
                                      <a:moveTo>
                                        <a:pt x="2790825" y="0"/>
                                      </a:moveTo>
                                      <a:lnTo>
                                        <a:pt x="3619500" y="0"/>
                                      </a:lnTo>
                                    </a:path>
                                    <a:path w="4486275" h="0">
                                      <a:moveTo>
                                        <a:pt x="3657600" y="0"/>
                                      </a:moveTo>
                                      <a:lnTo>
                                        <a:pt x="4486275"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12061pt;width:353.25pt;height:1pt;mso-position-horizontal-relative:column;mso-position-vertical-relative:paragraph;z-index:-32692224" id="docshapegroup648" coordorigin="0,-10" coordsize="7065,20">
                      <v:shape style="position:absolute;left:0;top:-1;width:7065;height:2" id="docshape649" coordorigin="0,0" coordsize="7065,0" path="m0,0l1395,0m1455,0l2850,0m2910,0l4335,0m4395,0l5700,0m5760,0l7065,0e" filled="false" stroked="true" strokeweight="1pt" strokecolor="#000000">
                        <v:path arrowok="t"/>
                        <v:stroke dashstyle="solid"/>
                      </v:shape>
                      <w10:wrap type="none"/>
                    </v:group>
                  </w:pict>
                </mc:Fallback>
              </mc:AlternateContent>
            </w:r>
            <w:r>
              <w:rPr>
                <w:spacing w:val="22"/>
                <w:sz w:val="12"/>
                <w:u w:val="single"/>
              </w:rPr>
              <w:t> </w:t>
            </w:r>
            <w:r>
              <w:rPr>
                <w:spacing w:val="-10"/>
                <w:sz w:val="12"/>
                <w:u w:val="single"/>
              </w:rPr>
              <w:t>$</w:t>
            </w:r>
            <w:r>
              <w:rPr>
                <w:sz w:val="12"/>
                <w:u w:val="single"/>
              </w:rPr>
              <w:tab/>
            </w:r>
            <w:r>
              <w:rPr>
                <w:spacing w:val="-2"/>
                <w:sz w:val="12"/>
                <w:u w:val="single"/>
              </w:rPr>
              <w:t>13,658</w:t>
            </w:r>
          </w:p>
        </w:tc>
        <w:tc>
          <w:tcPr>
            <w:tcW w:w="60" w:type="dxa"/>
          </w:tcPr>
          <w:p>
            <w:pPr>
              <w:pStyle w:val="TableParagraph"/>
              <w:rPr>
                <w:rFonts w:ascii="Times New Roman"/>
                <w:sz w:val="12"/>
              </w:rPr>
            </w:pPr>
          </w:p>
        </w:tc>
        <w:tc>
          <w:tcPr>
            <w:tcW w:w="1395" w:type="dxa"/>
          </w:tcPr>
          <w:p>
            <w:pPr>
              <w:pStyle w:val="TableParagraph"/>
              <w:tabs>
                <w:tab w:pos="973" w:val="left" w:leader="none"/>
              </w:tabs>
              <w:spacing w:before="27"/>
              <w:ind w:right="52"/>
              <w:jc w:val="right"/>
              <w:rPr>
                <w:sz w:val="12"/>
              </w:rPr>
            </w:pPr>
            <w:r>
              <w:rPr>
                <w:spacing w:val="22"/>
                <w:sz w:val="12"/>
                <w:u w:val="single"/>
              </w:rPr>
              <w:t> </w:t>
            </w:r>
            <w:r>
              <w:rPr>
                <w:spacing w:val="-10"/>
                <w:sz w:val="12"/>
                <w:u w:val="single"/>
              </w:rPr>
              <w:t>$</w:t>
            </w:r>
            <w:r>
              <w:rPr>
                <w:sz w:val="12"/>
                <w:u w:val="single"/>
              </w:rPr>
              <w:tab/>
            </w:r>
            <w:r>
              <w:rPr>
                <w:spacing w:val="-2"/>
                <w:sz w:val="12"/>
                <w:u w:val="single"/>
              </w:rPr>
              <w:t>66,668</w:t>
            </w:r>
          </w:p>
        </w:tc>
        <w:tc>
          <w:tcPr>
            <w:tcW w:w="60" w:type="dxa"/>
          </w:tcPr>
          <w:p>
            <w:pPr>
              <w:pStyle w:val="TableParagraph"/>
              <w:rPr>
                <w:rFonts w:ascii="Times New Roman"/>
                <w:sz w:val="12"/>
              </w:rPr>
            </w:pPr>
          </w:p>
        </w:tc>
        <w:tc>
          <w:tcPr>
            <w:tcW w:w="1425" w:type="dxa"/>
          </w:tcPr>
          <w:p>
            <w:pPr>
              <w:pStyle w:val="TableParagraph"/>
              <w:tabs>
                <w:tab w:pos="937" w:val="left" w:leader="none"/>
              </w:tabs>
              <w:spacing w:before="27"/>
              <w:ind w:right="52"/>
              <w:jc w:val="right"/>
              <w:rPr>
                <w:sz w:val="12"/>
              </w:rPr>
            </w:pPr>
            <w:r>
              <w:rPr>
                <w:spacing w:val="22"/>
                <w:sz w:val="12"/>
                <w:u w:val="single"/>
              </w:rPr>
              <w:t> </w:t>
            </w:r>
            <w:r>
              <w:rPr>
                <w:spacing w:val="-10"/>
                <w:sz w:val="12"/>
                <w:u w:val="single"/>
              </w:rPr>
              <w:t>$</w:t>
            </w:r>
            <w:r>
              <w:rPr>
                <w:sz w:val="12"/>
                <w:u w:val="single"/>
              </w:rPr>
              <w:tab/>
            </w:r>
            <w:r>
              <w:rPr>
                <w:spacing w:val="-2"/>
                <w:sz w:val="12"/>
                <w:u w:val="single"/>
              </w:rPr>
              <w:t>130,874</w:t>
            </w:r>
          </w:p>
        </w:tc>
        <w:tc>
          <w:tcPr>
            <w:tcW w:w="60" w:type="dxa"/>
          </w:tcPr>
          <w:p>
            <w:pPr>
              <w:pStyle w:val="TableParagraph"/>
              <w:rPr>
                <w:rFonts w:ascii="Times New Roman"/>
                <w:sz w:val="12"/>
              </w:rPr>
            </w:pPr>
          </w:p>
        </w:tc>
        <w:tc>
          <w:tcPr>
            <w:tcW w:w="1305" w:type="dxa"/>
          </w:tcPr>
          <w:p>
            <w:pPr>
              <w:pStyle w:val="TableParagraph"/>
              <w:tabs>
                <w:tab w:pos="883" w:val="left" w:leader="none"/>
              </w:tabs>
              <w:spacing w:before="27"/>
              <w:ind w:right="52"/>
              <w:jc w:val="right"/>
              <w:rPr>
                <w:sz w:val="12"/>
              </w:rPr>
            </w:pPr>
            <w:r>
              <w:rPr>
                <w:spacing w:val="22"/>
                <w:sz w:val="12"/>
                <w:u w:val="single"/>
              </w:rPr>
              <w:t> </w:t>
            </w:r>
            <w:r>
              <w:rPr>
                <w:spacing w:val="-10"/>
                <w:sz w:val="12"/>
                <w:u w:val="single"/>
              </w:rPr>
              <w:t>$</w:t>
            </w:r>
            <w:r>
              <w:rPr>
                <w:sz w:val="12"/>
                <w:u w:val="single"/>
              </w:rPr>
              <w:tab/>
            </w:r>
            <w:r>
              <w:rPr>
                <w:spacing w:val="-2"/>
                <w:sz w:val="12"/>
                <w:u w:val="single"/>
              </w:rPr>
              <w:t>32,696</w:t>
            </w:r>
          </w:p>
        </w:tc>
        <w:tc>
          <w:tcPr>
            <w:tcW w:w="60" w:type="dxa"/>
          </w:tcPr>
          <w:p>
            <w:pPr>
              <w:pStyle w:val="TableParagraph"/>
              <w:rPr>
                <w:rFonts w:ascii="Times New Roman"/>
                <w:sz w:val="12"/>
              </w:rPr>
            </w:pPr>
          </w:p>
        </w:tc>
        <w:tc>
          <w:tcPr>
            <w:tcW w:w="1305" w:type="dxa"/>
          </w:tcPr>
          <w:p>
            <w:pPr>
              <w:pStyle w:val="TableParagraph"/>
              <w:tabs>
                <w:tab w:pos="817" w:val="left" w:leader="none"/>
              </w:tabs>
              <w:spacing w:before="27"/>
              <w:ind w:right="52"/>
              <w:jc w:val="right"/>
              <w:rPr>
                <w:sz w:val="12"/>
              </w:rPr>
            </w:pPr>
            <w:r>
              <w:rPr>
                <w:spacing w:val="22"/>
                <w:sz w:val="12"/>
                <w:u w:val="single"/>
              </w:rPr>
              <w:t> </w:t>
            </w:r>
            <w:r>
              <w:rPr>
                <w:spacing w:val="-10"/>
                <w:sz w:val="12"/>
                <w:u w:val="single"/>
              </w:rPr>
              <w:t>$</w:t>
            </w:r>
            <w:r>
              <w:rPr>
                <w:sz w:val="12"/>
                <w:u w:val="single"/>
              </w:rPr>
              <w:tab/>
            </w:r>
            <w:r>
              <w:rPr>
                <w:spacing w:val="-2"/>
                <w:sz w:val="12"/>
                <w:u w:val="single"/>
              </w:rPr>
              <w:t>243,896</w:t>
            </w:r>
          </w:p>
        </w:tc>
      </w:tr>
    </w:tbl>
    <w:p>
      <w:pPr>
        <w:pStyle w:val="BodyText"/>
        <w:spacing w:before="1"/>
        <w:rPr>
          <w:rFonts w:ascii="Arial"/>
          <w:i/>
          <w:sz w:val="12"/>
        </w:rPr>
      </w:pPr>
      <w:r>
        <w:rPr>
          <w:rFonts w:ascii="Arial"/>
          <w:i/>
          <w:sz w:val="12"/>
        </w:rPr>
        <mc:AlternateContent>
          <mc:Choice Requires="wps">
            <w:drawing>
              <wp:anchor distT="0" distB="0" distL="0" distR="0" allowOverlap="1" layoutInCell="1" locked="0" behindDoc="1" simplePos="0" relativeHeight="487690752">
                <wp:simplePos x="0" y="0"/>
                <wp:positionH relativeFrom="page">
                  <wp:posOffset>914400</wp:posOffset>
                </wp:positionH>
                <wp:positionV relativeFrom="paragraph">
                  <wp:posOffset>103614</wp:posOffset>
                </wp:positionV>
                <wp:extent cx="584835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5848350" cy="1270"/>
                        </a:xfrm>
                        <a:custGeom>
                          <a:avLst/>
                          <a:gdLst/>
                          <a:ahLst/>
                          <a:cxnLst/>
                          <a:rect l="l" t="t" r="r" b="b"/>
                          <a:pathLst>
                            <a:path w="5848350" h="0">
                              <a:moveTo>
                                <a:pt x="0" y="0"/>
                              </a:moveTo>
                              <a:lnTo>
                                <a:pt x="5848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158594pt;width:460.5pt;height:.1pt;mso-position-horizontal-relative:page;mso-position-vertical-relative:paragraph;z-index:-15625728;mso-wrap-distance-left:0;mso-wrap-distance-right:0" id="docshape650" coordorigin="1440,163" coordsize="9210,0" path="m1440,163l10650,163e" filled="false" stroked="true" strokeweight="1pt" strokecolor="#000000">
                <v:path arrowok="t"/>
                <v:stroke dashstyle="solid"/>
                <w10:wrap type="topAndBottom"/>
              </v:shape>
            </w:pict>
          </mc:Fallback>
        </mc:AlternateContent>
      </w:r>
    </w:p>
    <w:p>
      <w:pPr>
        <w:pStyle w:val="BodyText"/>
        <w:spacing w:before="1"/>
        <w:rPr>
          <w:rFonts w:ascii="Arial"/>
          <w:i/>
          <w:sz w:val="6"/>
        </w:rPr>
      </w:pPr>
    </w:p>
    <w:p>
      <w:pPr>
        <w:pStyle w:val="BodyText"/>
        <w:spacing w:after="0"/>
        <w:rPr>
          <w:rFonts w:ascii="Arial"/>
          <w:i/>
          <w:sz w:val="6"/>
        </w:rPr>
        <w:sectPr>
          <w:type w:val="continuous"/>
          <w:pgSz w:w="12240" w:h="15840"/>
          <w:pgMar w:header="0" w:footer="0" w:top="1820" w:bottom="280" w:left="720" w:right="720"/>
        </w:sectPr>
      </w:pPr>
    </w:p>
    <w:p>
      <w:pPr>
        <w:pStyle w:val="Heading8"/>
        <w:spacing w:before="88"/>
      </w:pPr>
      <w:r>
        <w:rPr/>
        <mc:AlternateContent>
          <mc:Choice Requires="wps">
            <w:drawing>
              <wp:anchor distT="0" distB="0" distL="0" distR="0" allowOverlap="1" layoutInCell="1" locked="0" behindDoc="0" simplePos="0" relativeHeight="15836672">
                <wp:simplePos x="0" y="0"/>
                <wp:positionH relativeFrom="page">
                  <wp:posOffset>2276475</wp:posOffset>
                </wp:positionH>
                <wp:positionV relativeFrom="paragraph">
                  <wp:posOffset>-152396</wp:posOffset>
                </wp:positionV>
                <wp:extent cx="4486275" cy="1270"/>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4486275" cy="1270"/>
                        </a:xfrm>
                        <a:custGeom>
                          <a:avLst/>
                          <a:gdLst/>
                          <a:ahLst/>
                          <a:cxnLst/>
                          <a:rect l="l" t="t" r="r" b="b"/>
                          <a:pathLst>
                            <a:path w="4486275" h="0">
                              <a:moveTo>
                                <a:pt x="0" y="0"/>
                              </a:moveTo>
                              <a:lnTo>
                                <a:pt x="885825" y="0"/>
                              </a:lnTo>
                            </a:path>
                            <a:path w="4486275" h="0">
                              <a:moveTo>
                                <a:pt x="923925" y="0"/>
                              </a:moveTo>
                              <a:lnTo>
                                <a:pt x="1809750" y="0"/>
                              </a:lnTo>
                            </a:path>
                            <a:path w="4486275" h="0">
                              <a:moveTo>
                                <a:pt x="1847850" y="0"/>
                              </a:moveTo>
                              <a:lnTo>
                                <a:pt x="2752725" y="0"/>
                              </a:lnTo>
                            </a:path>
                            <a:path w="4486275" h="0">
                              <a:moveTo>
                                <a:pt x="2790825" y="0"/>
                              </a:moveTo>
                              <a:lnTo>
                                <a:pt x="3619500" y="0"/>
                              </a:lnTo>
                            </a:path>
                            <a:path w="4486275" h="0">
                              <a:moveTo>
                                <a:pt x="3657600" y="0"/>
                              </a:moveTo>
                              <a:lnTo>
                                <a:pt x="44862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9.25pt;margin-top:-11.999707pt;width:353.25pt;height:.1pt;mso-position-horizontal-relative:page;mso-position-vertical-relative:paragraph;z-index:15836672" id="docshape651" coordorigin="3585,-240" coordsize="7065,0" path="m3585,-240l4980,-240m5040,-240l6435,-240m6495,-240l7920,-240m7980,-240l9285,-240m9345,-240l10650,-240e" filled="false" stroked="true" strokeweight="1pt" strokecolor="#000000">
                <v:path arrowok="t"/>
                <v:stroke dashstyle="solid"/>
                <w10:wrap type="none"/>
              </v:shape>
            </w:pict>
          </mc:Fallback>
        </mc:AlternateContent>
      </w:r>
      <w:r>
        <w:rPr/>
        <w:t>Table</w:t>
      </w:r>
      <w:r>
        <w:rPr>
          <w:spacing w:val="-4"/>
        </w:rPr>
        <w:t> D2.1</w:t>
      </w:r>
    </w:p>
    <w:p>
      <w:pPr>
        <w:spacing w:before="74"/>
        <w:ind w:left="720" w:right="0" w:firstLine="0"/>
        <w:jc w:val="left"/>
        <w:rPr>
          <w:rFonts w:ascii="Arial"/>
          <w:i/>
          <w:sz w:val="12"/>
        </w:rPr>
      </w:pPr>
      <w:r>
        <w:rPr>
          <w:rFonts w:ascii="Arial"/>
          <w:i/>
          <w:sz w:val="12"/>
        </w:rPr>
        <mc:AlternateContent>
          <mc:Choice Requires="wps">
            <w:drawing>
              <wp:anchor distT="0" distB="0" distL="0" distR="0" allowOverlap="1" layoutInCell="1" locked="0" behindDoc="0" simplePos="0" relativeHeight="15837184">
                <wp:simplePos x="0" y="0"/>
                <wp:positionH relativeFrom="page">
                  <wp:posOffset>914400</wp:posOffset>
                </wp:positionH>
                <wp:positionV relativeFrom="paragraph">
                  <wp:posOffset>153686</wp:posOffset>
                </wp:positionV>
                <wp:extent cx="5943600" cy="127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184" from="72pt,12.10127pt" to="540pt,12.10127pt" stroked="true" strokeweight="1pt" strokecolor="#000000">
                <v:stroke dashstyle="solid"/>
                <w10:wrap type="none"/>
              </v:line>
            </w:pict>
          </mc:Fallback>
        </mc:AlternateContent>
      </w:r>
      <w:r>
        <w:rPr>
          <w:rFonts w:ascii="Arial"/>
          <w:i/>
          <w:sz w:val="12"/>
        </w:rPr>
        <w:t>In</w:t>
      </w:r>
      <w:r>
        <w:rPr>
          <w:rFonts w:ascii="Arial"/>
          <w:i/>
          <w:spacing w:val="-4"/>
          <w:sz w:val="12"/>
        </w:rPr>
        <w:t> </w:t>
      </w:r>
      <w:r>
        <w:rPr>
          <w:rFonts w:ascii="Arial"/>
          <w:i/>
          <w:sz w:val="12"/>
        </w:rPr>
        <w:t>millions</w:t>
      </w:r>
      <w:r>
        <w:rPr>
          <w:rFonts w:ascii="Arial"/>
          <w:i/>
          <w:spacing w:val="-4"/>
          <w:sz w:val="12"/>
        </w:rPr>
        <w:t> </w:t>
      </w:r>
      <w:r>
        <w:rPr>
          <w:rFonts w:ascii="Arial"/>
          <w:i/>
          <w:sz w:val="12"/>
        </w:rPr>
        <w:t>of</w:t>
      </w:r>
      <w:r>
        <w:rPr>
          <w:rFonts w:ascii="Arial"/>
          <w:i/>
          <w:spacing w:val="-4"/>
          <w:sz w:val="12"/>
        </w:rPr>
        <w:t> </w:t>
      </w:r>
      <w:r>
        <w:rPr>
          <w:rFonts w:ascii="Arial"/>
          <w:i/>
          <w:sz w:val="12"/>
        </w:rPr>
        <w:t>U.S.</w:t>
      </w:r>
      <w:r>
        <w:rPr>
          <w:rFonts w:ascii="Arial"/>
          <w:i/>
          <w:spacing w:val="-3"/>
          <w:sz w:val="12"/>
        </w:rPr>
        <w:t> </w:t>
      </w:r>
      <w:r>
        <w:rPr>
          <w:rFonts w:ascii="Arial"/>
          <w:i/>
          <w:spacing w:val="-2"/>
          <w:sz w:val="12"/>
        </w:rPr>
        <w:t>dollars</w:t>
      </w:r>
    </w:p>
    <w:p>
      <w:pPr>
        <w:pStyle w:val="BodyText"/>
        <w:rPr>
          <w:rFonts w:ascii="Arial"/>
          <w:i/>
          <w:sz w:val="12"/>
        </w:rPr>
      </w:pPr>
    </w:p>
    <w:p>
      <w:pPr>
        <w:pStyle w:val="BodyText"/>
        <w:spacing w:before="111"/>
        <w:rPr>
          <w:rFonts w:ascii="Arial"/>
          <w:i/>
          <w:sz w:val="12"/>
        </w:rPr>
      </w:pPr>
    </w:p>
    <w:p>
      <w:pPr>
        <w:spacing w:before="0"/>
        <w:ind w:left="720" w:right="0" w:firstLine="0"/>
        <w:jc w:val="left"/>
        <w:rPr>
          <w:rFonts w:ascii="Arial"/>
          <w:i/>
          <w:sz w:val="12"/>
        </w:rPr>
      </w:pPr>
      <w:r>
        <w:rPr>
          <w:rFonts w:ascii="Arial"/>
          <w:i/>
          <w:sz w:val="12"/>
        </w:rPr>
        <mc:AlternateContent>
          <mc:Choice Requires="wps">
            <w:drawing>
              <wp:anchor distT="0" distB="0" distL="0" distR="0" allowOverlap="1" layoutInCell="1" locked="0" behindDoc="0" simplePos="0" relativeHeight="15838208">
                <wp:simplePos x="0" y="0"/>
                <wp:positionH relativeFrom="page">
                  <wp:posOffset>914400</wp:posOffset>
                </wp:positionH>
                <wp:positionV relativeFrom="paragraph">
                  <wp:posOffset>106718</wp:posOffset>
                </wp:positionV>
                <wp:extent cx="5943600" cy="1270"/>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5943600" cy="1270"/>
                        </a:xfrm>
                        <a:custGeom>
                          <a:avLst/>
                          <a:gdLst/>
                          <a:ahLst/>
                          <a:cxnLst/>
                          <a:rect l="l" t="t" r="r" b="b"/>
                          <a:pathLst>
                            <a:path w="5943600" h="0">
                              <a:moveTo>
                                <a:pt x="0" y="0"/>
                              </a:moveTo>
                              <a:lnTo>
                                <a:pt x="1323975" y="0"/>
                              </a:lnTo>
                            </a:path>
                            <a:path w="5943600" h="0">
                              <a:moveTo>
                                <a:pt x="1362075" y="0"/>
                              </a:moveTo>
                              <a:lnTo>
                                <a:pt x="2247900" y="0"/>
                              </a:lnTo>
                            </a:path>
                            <a:path w="5943600" h="0">
                              <a:moveTo>
                                <a:pt x="2286000" y="0"/>
                              </a:moveTo>
                              <a:lnTo>
                                <a:pt x="3171825" y="0"/>
                              </a:lnTo>
                            </a:path>
                            <a:path w="5943600" h="0">
                              <a:moveTo>
                                <a:pt x="3209925" y="0"/>
                              </a:moveTo>
                              <a:lnTo>
                                <a:pt x="4095750" y="0"/>
                              </a:lnTo>
                            </a:path>
                            <a:path w="5943600" h="0">
                              <a:moveTo>
                                <a:pt x="4133850" y="0"/>
                              </a:moveTo>
                              <a:lnTo>
                                <a:pt x="5019675" y="0"/>
                              </a:lnTo>
                            </a:path>
                            <a:path w="5943600" h="0">
                              <a:moveTo>
                                <a:pt x="5057775"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403028pt;width:468pt;height:.1pt;mso-position-horizontal-relative:page;mso-position-vertical-relative:paragraph;z-index:15838208" id="docshape652" coordorigin="1440,168" coordsize="9360,0" path="m1440,168l3525,168m3585,168l4980,168m5040,168l6435,168m6495,168l7890,168m7950,168l9345,168m9405,168l10800,168e" filled="false" stroked="true" strokeweight="1pt" strokecolor="#000000">
                <v:path arrowok="t"/>
                <v:stroke dashstyle="solid"/>
                <w10:wrap type="none"/>
              </v:shape>
            </w:pict>
          </mc:Fallback>
        </mc:AlternateContent>
      </w:r>
      <w:r>
        <w:rPr>
          <w:rFonts w:ascii="Arial"/>
          <w:i/>
          <w:spacing w:val="-2"/>
          <w:sz w:val="12"/>
        </w:rPr>
        <w:t>Terms/Rate</w:t>
      </w:r>
      <w:r>
        <w:rPr>
          <w:rFonts w:ascii="Arial"/>
          <w:i/>
          <w:spacing w:val="9"/>
          <w:sz w:val="12"/>
        </w:rPr>
        <w:t> </w:t>
      </w:r>
      <w:r>
        <w:rPr>
          <w:rFonts w:ascii="Arial"/>
          <w:i/>
          <w:spacing w:val="-4"/>
          <w:sz w:val="12"/>
        </w:rPr>
        <w:t>Type</w:t>
      </w:r>
    </w:p>
    <w:p>
      <w:pPr>
        <w:spacing w:before="42"/>
        <w:ind w:left="772" w:right="0" w:firstLine="0"/>
        <w:jc w:val="left"/>
        <w:rPr>
          <w:rFonts w:ascii="Arial MT"/>
          <w:sz w:val="12"/>
        </w:rPr>
      </w:pPr>
      <w:r>
        <w:rPr>
          <w:rFonts w:ascii="Arial MT"/>
          <w:spacing w:val="-2"/>
          <w:sz w:val="12"/>
        </w:rPr>
        <w:t>Multicurrency</w:t>
      </w:r>
      <w:r>
        <w:rPr>
          <w:rFonts w:ascii="Arial MT"/>
          <w:spacing w:val="15"/>
          <w:sz w:val="12"/>
        </w:rPr>
        <w:t> </w:t>
      </w:r>
      <w:r>
        <w:rPr>
          <w:rFonts w:ascii="Arial MT"/>
          <w:spacing w:val="-2"/>
          <w:sz w:val="12"/>
        </w:rPr>
        <w:t>terms</w:t>
      </w:r>
    </w:p>
    <w:p>
      <w:pPr>
        <w:pStyle w:val="BodyText"/>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83"/>
        <w:rPr>
          <w:rFonts w:ascii="Arial MT"/>
          <w:sz w:val="12"/>
        </w:rPr>
      </w:pPr>
    </w:p>
    <w:p>
      <w:pPr>
        <w:spacing w:before="0"/>
        <w:ind w:left="720" w:right="0" w:firstLine="0"/>
        <w:jc w:val="center"/>
        <w:rPr>
          <w:rFonts w:ascii="Arial"/>
          <w:i/>
          <w:sz w:val="12"/>
        </w:rPr>
      </w:pP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2022</w:t>
      </w:r>
      <w:r>
        <w:rPr>
          <w:rFonts w:ascii="Arial"/>
          <w:i/>
          <w:spacing w:val="-3"/>
          <w:sz w:val="12"/>
        </w:rPr>
        <w:t> </w:t>
      </w:r>
      <w:r>
        <w:rPr>
          <w:rFonts w:ascii="Arial"/>
          <w:i/>
          <w:spacing w:val="-2"/>
          <w:sz w:val="12"/>
        </w:rPr>
        <w:t>through</w:t>
      </w:r>
    </w:p>
    <w:p>
      <w:pPr>
        <w:spacing w:before="6"/>
        <w:ind w:left="719" w:right="0"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2023</w:t>
      </w:r>
    </w:p>
    <w:p>
      <w:pPr>
        <w:pStyle w:val="BodyText"/>
        <w:rPr>
          <w:rFonts w:ascii="Arial"/>
          <w:i/>
          <w:sz w:val="12"/>
        </w:rPr>
      </w:pPr>
      <w:r>
        <w:rPr/>
        <w:br w:type="column"/>
      </w:r>
      <w:r>
        <w:rPr>
          <w:rFonts w:ascii="Arial"/>
          <w:i/>
          <w:sz w:val="12"/>
        </w:rPr>
      </w:r>
    </w:p>
    <w:p>
      <w:pPr>
        <w:pStyle w:val="BodyText"/>
        <w:rPr>
          <w:rFonts w:ascii="Arial"/>
          <w:i/>
          <w:sz w:val="12"/>
        </w:rPr>
      </w:pPr>
    </w:p>
    <w:p>
      <w:pPr>
        <w:pStyle w:val="BodyText"/>
        <w:rPr>
          <w:rFonts w:ascii="Arial"/>
          <w:i/>
          <w:sz w:val="12"/>
        </w:rPr>
      </w:pPr>
    </w:p>
    <w:p>
      <w:pPr>
        <w:pStyle w:val="BodyText"/>
        <w:rPr>
          <w:rFonts w:ascii="Arial"/>
          <w:i/>
          <w:sz w:val="12"/>
        </w:rPr>
      </w:pPr>
    </w:p>
    <w:p>
      <w:pPr>
        <w:pStyle w:val="BodyText"/>
        <w:spacing w:before="83"/>
        <w:rPr>
          <w:rFonts w:ascii="Arial"/>
          <w:i/>
          <w:sz w:val="12"/>
        </w:rPr>
      </w:pPr>
    </w:p>
    <w:p>
      <w:pPr>
        <w:spacing w:before="0"/>
        <w:ind w:left="329" w:right="0" w:firstLine="0"/>
        <w:jc w:val="center"/>
        <w:rPr>
          <w:rFonts w:ascii="Arial"/>
          <w:i/>
          <w:sz w:val="12"/>
        </w:rPr>
      </w:pP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2023</w:t>
      </w:r>
      <w:r>
        <w:rPr>
          <w:rFonts w:ascii="Arial"/>
          <w:i/>
          <w:spacing w:val="-3"/>
          <w:sz w:val="12"/>
        </w:rPr>
        <w:t> </w:t>
      </w:r>
      <w:r>
        <w:rPr>
          <w:rFonts w:ascii="Arial"/>
          <w:i/>
          <w:spacing w:val="-2"/>
          <w:sz w:val="12"/>
        </w:rPr>
        <w:t>through</w:t>
      </w:r>
    </w:p>
    <w:p>
      <w:pPr>
        <w:spacing w:before="6"/>
        <w:ind w:left="329" w:right="0"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2027</w:t>
      </w:r>
    </w:p>
    <w:p>
      <w:pPr>
        <w:pStyle w:val="BodyText"/>
        <w:rPr>
          <w:rFonts w:ascii="Arial"/>
          <w:i/>
          <w:sz w:val="12"/>
        </w:rPr>
      </w:pPr>
      <w:r>
        <w:rPr/>
        <w:br w:type="column"/>
      </w:r>
      <w:r>
        <w:rPr>
          <w:rFonts w:ascii="Arial"/>
          <w:i/>
          <w:sz w:val="12"/>
        </w:rPr>
      </w:r>
    </w:p>
    <w:p>
      <w:pPr>
        <w:pStyle w:val="BodyText"/>
        <w:rPr>
          <w:rFonts w:ascii="Arial"/>
          <w:i/>
          <w:sz w:val="12"/>
        </w:rPr>
      </w:pPr>
    </w:p>
    <w:p>
      <w:pPr>
        <w:pStyle w:val="BodyText"/>
        <w:rPr>
          <w:rFonts w:ascii="Arial"/>
          <w:i/>
          <w:sz w:val="12"/>
        </w:rPr>
      </w:pPr>
    </w:p>
    <w:p>
      <w:pPr>
        <w:pStyle w:val="BodyText"/>
        <w:spacing w:before="20"/>
        <w:rPr>
          <w:rFonts w:ascii="Arial"/>
          <w:i/>
          <w:sz w:val="12"/>
        </w:rPr>
      </w:pPr>
    </w:p>
    <w:p>
      <w:pPr>
        <w:spacing w:before="0"/>
        <w:ind w:left="0" w:right="3453"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2022</w:t>
      </w:r>
    </w:p>
    <w:p>
      <w:pPr>
        <w:spacing w:before="63"/>
        <w:ind w:left="0" w:right="3453" w:firstLine="0"/>
        <w:jc w:val="center"/>
        <w:rPr>
          <w:rFonts w:ascii="Arial"/>
          <w:i/>
          <w:sz w:val="12"/>
        </w:rPr>
      </w:pPr>
      <w:r>
        <w:rPr>
          <w:rFonts w:ascii="Arial"/>
          <w:i/>
          <w:sz w:val="12"/>
        </w:rPr>
        <mc:AlternateContent>
          <mc:Choice Requires="wps">
            <w:drawing>
              <wp:anchor distT="0" distB="0" distL="0" distR="0" allowOverlap="1" layoutInCell="1" locked="0" behindDoc="0" simplePos="0" relativeHeight="15837696">
                <wp:simplePos x="0" y="0"/>
                <wp:positionH relativeFrom="page">
                  <wp:posOffset>2276475</wp:posOffset>
                </wp:positionH>
                <wp:positionV relativeFrom="paragraph">
                  <wp:posOffset>19090</wp:posOffset>
                </wp:positionV>
                <wp:extent cx="4581525" cy="127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4581525" cy="1270"/>
                        </a:xfrm>
                        <a:custGeom>
                          <a:avLst/>
                          <a:gdLst/>
                          <a:ahLst/>
                          <a:cxnLst/>
                          <a:rect l="l" t="t" r="r" b="b"/>
                          <a:pathLst>
                            <a:path w="4581525" h="0">
                              <a:moveTo>
                                <a:pt x="0" y="0"/>
                              </a:moveTo>
                              <a:lnTo>
                                <a:pt x="45815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7696" from="179.25pt,1.503223pt" to="540pt,1.503223pt" stroked="true" strokeweight="1pt" strokecolor="#000000">
                <v:stroke dashstyle="solid"/>
                <w10:wrap type="none"/>
              </v:line>
            </w:pict>
          </mc:Fallback>
        </mc:AlternateContent>
      </w:r>
      <w:r>
        <w:rPr>
          <w:rFonts w:ascii="Arial"/>
          <w:i/>
          <w:sz w:val="12"/>
        </w:rPr>
        <w:t>July</w:t>
      </w:r>
      <w:r>
        <w:rPr>
          <w:rFonts w:ascii="Arial"/>
          <w:i/>
          <w:spacing w:val="-3"/>
          <w:sz w:val="12"/>
        </w:rPr>
        <w:t> </w:t>
      </w:r>
      <w:r>
        <w:rPr>
          <w:rFonts w:ascii="Arial"/>
          <w:i/>
          <w:sz w:val="12"/>
        </w:rPr>
        <w:t>1,</w:t>
      </w:r>
      <w:r>
        <w:rPr>
          <w:rFonts w:ascii="Arial"/>
          <w:i/>
          <w:spacing w:val="-3"/>
          <w:sz w:val="12"/>
        </w:rPr>
        <w:t> </w:t>
      </w:r>
      <w:r>
        <w:rPr>
          <w:rFonts w:ascii="Arial"/>
          <w:i/>
          <w:sz w:val="12"/>
        </w:rPr>
        <w:t>2027</w:t>
      </w:r>
      <w:r>
        <w:rPr>
          <w:rFonts w:ascii="Arial"/>
          <w:i/>
          <w:spacing w:val="-3"/>
          <w:sz w:val="12"/>
        </w:rPr>
        <w:t> </w:t>
      </w:r>
      <w:r>
        <w:rPr>
          <w:rFonts w:ascii="Arial"/>
          <w:i/>
          <w:spacing w:val="-2"/>
          <w:sz w:val="12"/>
        </w:rPr>
        <w:t>through</w:t>
      </w:r>
    </w:p>
    <w:p>
      <w:pPr>
        <w:tabs>
          <w:tab w:pos="1558" w:val="left" w:leader="none"/>
          <w:tab w:pos="3156" w:val="left" w:leader="none"/>
        </w:tabs>
        <w:spacing w:before="6"/>
        <w:ind w:left="0" w:right="789" w:firstLine="0"/>
        <w:jc w:val="center"/>
        <w:rPr>
          <w:rFonts w:ascii="Arial"/>
          <w:i/>
          <w:sz w:val="12"/>
        </w:rPr>
      </w:pPr>
      <w:r>
        <w:rPr>
          <w:rFonts w:ascii="Arial"/>
          <w:i/>
          <w:sz w:val="12"/>
        </w:rPr>
        <w:t>June</w:t>
      </w:r>
      <w:r>
        <w:rPr>
          <w:rFonts w:ascii="Arial"/>
          <w:i/>
          <w:spacing w:val="-5"/>
          <w:sz w:val="12"/>
        </w:rPr>
        <w:t> </w:t>
      </w:r>
      <w:r>
        <w:rPr>
          <w:rFonts w:ascii="Arial"/>
          <w:i/>
          <w:sz w:val="12"/>
        </w:rPr>
        <w:t>30,</w:t>
      </w:r>
      <w:r>
        <w:rPr>
          <w:rFonts w:ascii="Arial"/>
          <w:i/>
          <w:spacing w:val="-3"/>
          <w:sz w:val="12"/>
        </w:rPr>
        <w:t> </w:t>
      </w:r>
      <w:r>
        <w:rPr>
          <w:rFonts w:ascii="Arial"/>
          <w:i/>
          <w:spacing w:val="-4"/>
          <w:sz w:val="12"/>
        </w:rPr>
        <w:t>2037</w:t>
      </w:r>
      <w:r>
        <w:rPr>
          <w:rFonts w:ascii="Arial"/>
          <w:i/>
          <w:sz w:val="12"/>
        </w:rPr>
        <w:tab/>
      </w:r>
      <w:r>
        <w:rPr>
          <w:rFonts w:ascii="Arial"/>
          <w:i/>
          <w:spacing w:val="-2"/>
          <w:sz w:val="12"/>
        </w:rPr>
        <w:t>Thereafter</w:t>
      </w:r>
      <w:r>
        <w:rPr>
          <w:rFonts w:ascii="Arial"/>
          <w:i/>
          <w:sz w:val="12"/>
        </w:rPr>
        <w:tab/>
      </w:r>
      <w:r>
        <w:rPr>
          <w:rFonts w:ascii="Arial"/>
          <w:i/>
          <w:spacing w:val="-2"/>
          <w:sz w:val="12"/>
        </w:rPr>
        <w:t>Total</w:t>
      </w:r>
    </w:p>
    <w:p>
      <w:pPr>
        <w:spacing w:after="0"/>
        <w:jc w:val="center"/>
        <w:rPr>
          <w:rFonts w:ascii="Arial"/>
          <w:i/>
          <w:sz w:val="12"/>
        </w:rPr>
        <w:sectPr>
          <w:type w:val="continuous"/>
          <w:pgSz w:w="12240" w:h="15840"/>
          <w:pgMar w:header="0" w:footer="0" w:top="1820" w:bottom="280" w:left="720" w:right="720"/>
          <w:cols w:num="4" w:equalWidth="0">
            <w:col w:w="2079" w:space="221"/>
            <w:col w:w="1806" w:space="40"/>
            <w:col w:w="1416" w:space="39"/>
            <w:col w:w="5199"/>
          </w:cols>
        </w:sectPr>
      </w:pPr>
    </w:p>
    <w:p>
      <w:pPr>
        <w:pStyle w:val="BodyText"/>
        <w:rPr>
          <w:rFonts w:ascii="Arial"/>
          <w:i/>
          <w:sz w:val="4"/>
        </w:rPr>
      </w:pPr>
    </w:p>
    <w:tbl>
      <w:tblPr>
        <w:tblW w:w="0" w:type="auto"/>
        <w:jc w:val="left"/>
        <w:tblInd w:w="7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3"/>
        <w:gridCol w:w="546"/>
        <w:gridCol w:w="848"/>
        <w:gridCol w:w="60"/>
        <w:gridCol w:w="547"/>
        <w:gridCol w:w="849"/>
        <w:gridCol w:w="61"/>
        <w:gridCol w:w="671"/>
        <w:gridCol w:w="726"/>
        <w:gridCol w:w="61"/>
        <w:gridCol w:w="671"/>
        <w:gridCol w:w="726"/>
        <w:gridCol w:w="61"/>
        <w:gridCol w:w="631"/>
        <w:gridCol w:w="766"/>
      </w:tblGrid>
      <w:tr>
        <w:trPr>
          <w:trHeight w:val="164" w:hRule="atLeast"/>
        </w:trPr>
        <w:tc>
          <w:tcPr>
            <w:tcW w:w="2123" w:type="dxa"/>
          </w:tcPr>
          <w:p>
            <w:pPr>
              <w:pStyle w:val="TableParagraph"/>
              <w:spacing w:line="134" w:lineRule="exact"/>
              <w:ind w:left="211"/>
              <w:rPr>
                <w:sz w:val="12"/>
              </w:rPr>
            </w:pPr>
            <w:r>
              <w:rPr>
                <w:spacing w:val="-2"/>
                <w:sz w:val="12"/>
              </w:rPr>
              <w:t>Fixed</w:t>
            </w:r>
          </w:p>
        </w:tc>
        <w:tc>
          <w:tcPr>
            <w:tcW w:w="546" w:type="dxa"/>
          </w:tcPr>
          <w:p>
            <w:pPr>
              <w:pStyle w:val="TableParagraph"/>
              <w:spacing w:line="133" w:lineRule="exact" w:before="11"/>
              <w:ind w:left="53"/>
              <w:rPr>
                <w:sz w:val="12"/>
              </w:rPr>
            </w:pPr>
            <w:r>
              <w:rPr>
                <w:spacing w:val="-10"/>
                <w:sz w:val="12"/>
              </w:rPr>
              <w:t>$</w:t>
            </w:r>
          </w:p>
        </w:tc>
        <w:tc>
          <w:tcPr>
            <w:tcW w:w="848" w:type="dxa"/>
          </w:tcPr>
          <w:p>
            <w:pPr>
              <w:pStyle w:val="TableParagraph"/>
              <w:spacing w:line="133" w:lineRule="exact" w:before="11"/>
              <w:ind w:right="51"/>
              <w:jc w:val="right"/>
              <w:rPr>
                <w:sz w:val="12"/>
              </w:rPr>
            </w:pPr>
            <w:r>
              <w:rPr>
                <w:spacing w:val="-5"/>
                <w:sz w:val="12"/>
              </w:rPr>
              <w:t>26</w:t>
            </w:r>
          </w:p>
        </w:tc>
        <w:tc>
          <w:tcPr>
            <w:tcW w:w="607" w:type="dxa"/>
            <w:gridSpan w:val="2"/>
          </w:tcPr>
          <w:p>
            <w:pPr>
              <w:pStyle w:val="TableParagraph"/>
              <w:spacing w:line="133" w:lineRule="exact" w:before="11"/>
              <w:ind w:left="114"/>
              <w:rPr>
                <w:sz w:val="12"/>
              </w:rPr>
            </w:pPr>
            <w:r>
              <w:rPr>
                <w:spacing w:val="-10"/>
                <w:sz w:val="12"/>
              </w:rPr>
              <w:t>$</w:t>
            </w:r>
          </w:p>
        </w:tc>
        <w:tc>
          <w:tcPr>
            <w:tcW w:w="849" w:type="dxa"/>
          </w:tcPr>
          <w:p>
            <w:pPr>
              <w:pStyle w:val="TableParagraph"/>
              <w:spacing w:line="133" w:lineRule="exact" w:before="11"/>
              <w:ind w:right="52"/>
              <w:jc w:val="right"/>
              <w:rPr>
                <w:sz w:val="12"/>
              </w:rPr>
            </w:pPr>
            <w:r>
              <w:rPr>
                <w:spacing w:val="-5"/>
                <w:sz w:val="12"/>
              </w:rPr>
              <w:t>30</w:t>
            </w:r>
          </w:p>
        </w:tc>
        <w:tc>
          <w:tcPr>
            <w:tcW w:w="732" w:type="dxa"/>
            <w:gridSpan w:val="2"/>
          </w:tcPr>
          <w:p>
            <w:pPr>
              <w:pStyle w:val="TableParagraph"/>
              <w:spacing w:line="133" w:lineRule="exact" w:before="11"/>
              <w:ind w:left="113"/>
              <w:rPr>
                <w:sz w:val="12"/>
              </w:rPr>
            </w:pPr>
            <w:r>
              <w:rPr>
                <w:spacing w:val="-10"/>
                <w:sz w:val="12"/>
              </w:rPr>
              <w:t>$</w:t>
            </w:r>
          </w:p>
        </w:tc>
        <w:tc>
          <w:tcPr>
            <w:tcW w:w="1458" w:type="dxa"/>
            <w:gridSpan w:val="3"/>
          </w:tcPr>
          <w:p>
            <w:pPr>
              <w:pStyle w:val="TableParagraph"/>
              <w:spacing w:line="133" w:lineRule="exact" w:before="11"/>
              <w:ind w:right="4"/>
              <w:jc w:val="center"/>
              <w:rPr>
                <w:sz w:val="12"/>
              </w:rPr>
            </w:pPr>
            <w:r>
              <w:rPr>
                <w:sz w:val="12"/>
              </w:rPr>
              <w:t>—</w:t>
            </w:r>
            <w:r>
              <w:rPr>
                <w:spacing w:val="50"/>
                <w:sz w:val="12"/>
              </w:rPr>
              <w:t>  </w:t>
            </w:r>
            <w:r>
              <w:rPr>
                <w:spacing w:val="-10"/>
                <w:sz w:val="12"/>
              </w:rPr>
              <w:t>$</w:t>
            </w:r>
          </w:p>
        </w:tc>
        <w:tc>
          <w:tcPr>
            <w:tcW w:w="1418" w:type="dxa"/>
            <w:gridSpan w:val="3"/>
          </w:tcPr>
          <w:p>
            <w:pPr>
              <w:pStyle w:val="TableParagraph"/>
              <w:spacing w:line="133" w:lineRule="exact" w:before="11"/>
              <w:ind w:left="27"/>
              <w:jc w:val="center"/>
              <w:rPr>
                <w:sz w:val="12"/>
              </w:rPr>
            </w:pPr>
            <w:r>
              <w:rPr>
                <w:sz w:val="12"/>
              </w:rPr>
              <w:t>—</w:t>
            </w:r>
            <w:r>
              <w:rPr>
                <w:spacing w:val="50"/>
                <w:sz w:val="12"/>
              </w:rPr>
              <w:t>  </w:t>
            </w:r>
            <w:r>
              <w:rPr>
                <w:spacing w:val="-10"/>
                <w:sz w:val="12"/>
              </w:rPr>
              <w:t>$</w:t>
            </w:r>
          </w:p>
        </w:tc>
        <w:tc>
          <w:tcPr>
            <w:tcW w:w="766" w:type="dxa"/>
          </w:tcPr>
          <w:p>
            <w:pPr>
              <w:pStyle w:val="TableParagraph"/>
              <w:spacing w:line="133" w:lineRule="exact" w:before="11"/>
              <w:ind w:right="61"/>
              <w:jc w:val="right"/>
              <w:rPr>
                <w:sz w:val="12"/>
              </w:rPr>
            </w:pPr>
            <w:r>
              <w:rPr>
                <w:spacing w:val="-5"/>
                <w:sz w:val="12"/>
              </w:rPr>
              <w:t>56</w:t>
            </w:r>
          </w:p>
        </w:tc>
      </w:tr>
      <w:tr>
        <w:trPr>
          <w:trHeight w:val="329" w:hRule="atLeast"/>
        </w:trPr>
        <w:tc>
          <w:tcPr>
            <w:tcW w:w="2123" w:type="dxa"/>
          </w:tcPr>
          <w:p>
            <w:pPr>
              <w:pStyle w:val="TableParagraph"/>
              <w:spacing w:before="11"/>
              <w:ind w:left="211"/>
              <w:rPr>
                <w:sz w:val="12"/>
              </w:rPr>
            </w:pPr>
            <w:r>
              <w:rPr>
                <w:spacing w:val="-2"/>
                <w:sz w:val="12"/>
              </w:rPr>
              <w:t>Variable</w:t>
            </w:r>
          </w:p>
          <w:p>
            <w:pPr>
              <w:pStyle w:val="TableParagraph"/>
              <w:spacing w:line="118" w:lineRule="exact" w:before="42"/>
              <w:ind w:left="31"/>
              <w:rPr>
                <w:sz w:val="12"/>
              </w:rPr>
            </w:pPr>
            <w:r>
              <w:rPr>
                <w:spacing w:val="-2"/>
                <w:sz w:val="12"/>
              </w:rPr>
              <w:t>Variable-spread</w:t>
            </w:r>
            <w:r>
              <w:rPr>
                <w:spacing w:val="8"/>
                <w:sz w:val="12"/>
              </w:rPr>
              <w:t> </w:t>
            </w:r>
            <w:r>
              <w:rPr>
                <w:spacing w:val="-2"/>
                <w:sz w:val="12"/>
              </w:rPr>
              <w:t>terms</w:t>
            </w:r>
          </w:p>
        </w:tc>
        <w:tc>
          <w:tcPr>
            <w:tcW w:w="546" w:type="dxa"/>
          </w:tcPr>
          <w:p>
            <w:pPr>
              <w:pStyle w:val="TableParagraph"/>
              <w:rPr>
                <w:rFonts w:ascii="Times New Roman"/>
                <w:sz w:val="12"/>
              </w:rPr>
            </w:pPr>
          </w:p>
        </w:tc>
        <w:tc>
          <w:tcPr>
            <w:tcW w:w="848" w:type="dxa"/>
          </w:tcPr>
          <w:p>
            <w:pPr>
              <w:pStyle w:val="TableParagraph"/>
              <w:spacing w:before="26"/>
              <w:ind w:right="51"/>
              <w:jc w:val="right"/>
              <w:rPr>
                <w:sz w:val="12"/>
              </w:rPr>
            </w:pPr>
            <w:r>
              <w:rPr>
                <w:spacing w:val="-5"/>
                <w:sz w:val="12"/>
              </w:rPr>
              <w:t>413</w:t>
            </w:r>
          </w:p>
        </w:tc>
        <w:tc>
          <w:tcPr>
            <w:tcW w:w="607" w:type="dxa"/>
            <w:gridSpan w:val="2"/>
          </w:tcPr>
          <w:p>
            <w:pPr>
              <w:pStyle w:val="TableParagraph"/>
              <w:rPr>
                <w:rFonts w:ascii="Times New Roman"/>
                <w:sz w:val="12"/>
              </w:rPr>
            </w:pPr>
          </w:p>
        </w:tc>
        <w:tc>
          <w:tcPr>
            <w:tcW w:w="849" w:type="dxa"/>
          </w:tcPr>
          <w:p>
            <w:pPr>
              <w:pStyle w:val="TableParagraph"/>
              <w:spacing w:before="26"/>
              <w:ind w:right="52"/>
              <w:jc w:val="right"/>
              <w:rPr>
                <w:sz w:val="12"/>
              </w:rPr>
            </w:pPr>
            <w:r>
              <w:rPr>
                <w:sz w:val="12"/>
              </w:rPr>
              <w:t>—</w:t>
            </w:r>
          </w:p>
        </w:tc>
        <w:tc>
          <w:tcPr>
            <w:tcW w:w="732" w:type="dxa"/>
            <w:gridSpan w:val="2"/>
          </w:tcPr>
          <w:p>
            <w:pPr>
              <w:pStyle w:val="TableParagraph"/>
              <w:rPr>
                <w:rFonts w:ascii="Times New Roman"/>
                <w:sz w:val="12"/>
              </w:rPr>
            </w:pPr>
          </w:p>
        </w:tc>
        <w:tc>
          <w:tcPr>
            <w:tcW w:w="1458" w:type="dxa"/>
            <w:gridSpan w:val="3"/>
          </w:tcPr>
          <w:p>
            <w:pPr>
              <w:pStyle w:val="TableParagraph"/>
              <w:spacing w:before="26"/>
              <w:ind w:right="238"/>
              <w:jc w:val="center"/>
              <w:rPr>
                <w:sz w:val="12"/>
              </w:rPr>
            </w:pPr>
            <w:r>
              <w:rPr>
                <w:sz w:val="12"/>
              </w:rPr>
              <w:t>—</w:t>
            </w:r>
          </w:p>
        </w:tc>
        <w:tc>
          <w:tcPr>
            <w:tcW w:w="1418" w:type="dxa"/>
            <w:gridSpan w:val="3"/>
          </w:tcPr>
          <w:p>
            <w:pPr>
              <w:pStyle w:val="TableParagraph"/>
              <w:spacing w:before="26"/>
              <w:ind w:right="204"/>
              <w:jc w:val="center"/>
              <w:rPr>
                <w:sz w:val="12"/>
              </w:rPr>
            </w:pPr>
            <w:r>
              <w:rPr>
                <w:sz w:val="12"/>
              </w:rPr>
              <w:t>—</w:t>
            </w:r>
          </w:p>
        </w:tc>
        <w:tc>
          <w:tcPr>
            <w:tcW w:w="766" w:type="dxa"/>
          </w:tcPr>
          <w:p>
            <w:pPr>
              <w:pStyle w:val="TableParagraph"/>
              <w:spacing w:before="26"/>
              <w:ind w:right="61"/>
              <w:jc w:val="right"/>
              <w:rPr>
                <w:sz w:val="12"/>
              </w:rPr>
            </w:pPr>
            <w:r>
              <w:rPr>
                <w:spacing w:val="-5"/>
                <w:sz w:val="12"/>
              </w:rPr>
              <w:t>413</w:t>
            </w:r>
          </w:p>
        </w:tc>
      </w:tr>
      <w:tr>
        <w:trPr>
          <w:trHeight w:val="210" w:hRule="atLeast"/>
        </w:trPr>
        <w:tc>
          <w:tcPr>
            <w:tcW w:w="2123" w:type="dxa"/>
          </w:tcPr>
          <w:p>
            <w:pPr>
              <w:pStyle w:val="TableParagraph"/>
              <w:spacing w:before="42"/>
              <w:ind w:left="211"/>
              <w:rPr>
                <w:sz w:val="12"/>
              </w:rPr>
            </w:pPr>
            <w:r>
              <w:rPr>
                <w:spacing w:val="-2"/>
                <w:sz w:val="12"/>
              </w:rPr>
              <w:t>Fixed</w:t>
            </w:r>
          </w:p>
        </w:tc>
        <w:tc>
          <w:tcPr>
            <w:tcW w:w="1394" w:type="dxa"/>
            <w:gridSpan w:val="2"/>
          </w:tcPr>
          <w:p>
            <w:pPr>
              <w:pStyle w:val="TableParagraph"/>
              <w:spacing w:line="133" w:lineRule="exact" w:before="57"/>
              <w:ind w:right="51"/>
              <w:jc w:val="right"/>
              <w:rPr>
                <w:sz w:val="12"/>
              </w:rPr>
            </w:pPr>
            <w:r>
              <w:rPr>
                <w:spacing w:val="-10"/>
                <w:sz w:val="12"/>
              </w:rPr>
              <w:t>3</w:t>
            </w:r>
          </w:p>
        </w:tc>
        <w:tc>
          <w:tcPr>
            <w:tcW w:w="1456" w:type="dxa"/>
            <w:gridSpan w:val="3"/>
          </w:tcPr>
          <w:p>
            <w:pPr>
              <w:pStyle w:val="TableParagraph"/>
              <w:spacing w:line="133" w:lineRule="exact" w:before="57"/>
              <w:ind w:right="52"/>
              <w:jc w:val="right"/>
              <w:rPr>
                <w:sz w:val="12"/>
              </w:rPr>
            </w:pPr>
            <w:r>
              <w:rPr>
                <w:sz w:val="12"/>
              </w:rPr>
              <w:t>—</w:t>
            </w:r>
          </w:p>
        </w:tc>
        <w:tc>
          <w:tcPr>
            <w:tcW w:w="1458" w:type="dxa"/>
            <w:gridSpan w:val="3"/>
          </w:tcPr>
          <w:p>
            <w:pPr>
              <w:pStyle w:val="TableParagraph"/>
              <w:spacing w:line="133" w:lineRule="exact" w:before="57"/>
              <w:ind w:right="55"/>
              <w:jc w:val="right"/>
              <w:rPr>
                <w:sz w:val="12"/>
              </w:rPr>
            </w:pPr>
            <w:r>
              <w:rPr>
                <w:sz w:val="12"/>
              </w:rPr>
              <w:t>—</w:t>
            </w:r>
          </w:p>
        </w:tc>
        <w:tc>
          <w:tcPr>
            <w:tcW w:w="1458" w:type="dxa"/>
            <w:gridSpan w:val="3"/>
          </w:tcPr>
          <w:p>
            <w:pPr>
              <w:pStyle w:val="TableParagraph"/>
              <w:spacing w:line="133" w:lineRule="exact" w:before="57"/>
              <w:ind w:right="58"/>
              <w:jc w:val="right"/>
              <w:rPr>
                <w:sz w:val="12"/>
              </w:rPr>
            </w:pPr>
            <w:r>
              <w:rPr>
                <w:sz w:val="12"/>
              </w:rPr>
              <w:t>—</w:t>
            </w:r>
          </w:p>
        </w:tc>
        <w:tc>
          <w:tcPr>
            <w:tcW w:w="1458" w:type="dxa"/>
            <w:gridSpan w:val="3"/>
          </w:tcPr>
          <w:p>
            <w:pPr>
              <w:pStyle w:val="TableParagraph"/>
              <w:spacing w:line="133" w:lineRule="exact" w:before="57"/>
              <w:ind w:right="61"/>
              <w:jc w:val="right"/>
              <w:rPr>
                <w:sz w:val="12"/>
              </w:rPr>
            </w:pPr>
            <w:r>
              <w:rPr>
                <w:spacing w:val="-10"/>
                <w:sz w:val="12"/>
              </w:rPr>
              <w:t>3</w:t>
            </w:r>
          </w:p>
        </w:tc>
      </w:tr>
      <w:tr>
        <w:trPr>
          <w:trHeight w:val="180" w:hRule="atLeast"/>
        </w:trPr>
        <w:tc>
          <w:tcPr>
            <w:tcW w:w="2123" w:type="dxa"/>
          </w:tcPr>
          <w:p>
            <w:pPr>
              <w:pStyle w:val="TableParagraph"/>
              <w:spacing w:before="11"/>
              <w:ind w:left="211"/>
              <w:rPr>
                <w:sz w:val="12"/>
              </w:rPr>
            </w:pPr>
            <w:r>
              <w:rPr>
                <w:spacing w:val="-2"/>
                <w:sz w:val="12"/>
              </w:rPr>
              <w:t>Variable</w:t>
            </w:r>
          </w:p>
        </w:tc>
        <w:tc>
          <w:tcPr>
            <w:tcW w:w="1394" w:type="dxa"/>
            <w:gridSpan w:val="2"/>
          </w:tcPr>
          <w:p>
            <w:pPr>
              <w:pStyle w:val="TableParagraph"/>
              <w:spacing w:line="133" w:lineRule="exact" w:before="26"/>
              <w:ind w:right="51"/>
              <w:jc w:val="right"/>
              <w:rPr>
                <w:sz w:val="12"/>
              </w:rPr>
            </w:pPr>
            <w:r>
              <w:rPr>
                <w:spacing w:val="-2"/>
                <w:sz w:val="12"/>
              </w:rPr>
              <w:t>8,509</w:t>
            </w:r>
          </w:p>
        </w:tc>
        <w:tc>
          <w:tcPr>
            <w:tcW w:w="1456" w:type="dxa"/>
            <w:gridSpan w:val="3"/>
          </w:tcPr>
          <w:p>
            <w:pPr>
              <w:pStyle w:val="TableParagraph"/>
              <w:spacing w:line="133" w:lineRule="exact" w:before="26"/>
              <w:ind w:right="52"/>
              <w:jc w:val="right"/>
              <w:rPr>
                <w:sz w:val="12"/>
              </w:rPr>
            </w:pPr>
            <w:r>
              <w:rPr>
                <w:spacing w:val="-2"/>
                <w:sz w:val="12"/>
              </w:rPr>
              <w:t>41,986</w:t>
            </w:r>
          </w:p>
        </w:tc>
        <w:tc>
          <w:tcPr>
            <w:tcW w:w="1458" w:type="dxa"/>
            <w:gridSpan w:val="3"/>
          </w:tcPr>
          <w:p>
            <w:pPr>
              <w:pStyle w:val="TableParagraph"/>
              <w:spacing w:line="133" w:lineRule="exact" w:before="26"/>
              <w:ind w:right="55"/>
              <w:jc w:val="right"/>
              <w:rPr>
                <w:sz w:val="12"/>
              </w:rPr>
            </w:pPr>
            <w:r>
              <w:rPr>
                <w:spacing w:val="-2"/>
                <w:sz w:val="12"/>
              </w:rPr>
              <w:t>89,618</w:t>
            </w:r>
          </w:p>
        </w:tc>
        <w:tc>
          <w:tcPr>
            <w:tcW w:w="1458" w:type="dxa"/>
            <w:gridSpan w:val="3"/>
          </w:tcPr>
          <w:p>
            <w:pPr>
              <w:pStyle w:val="TableParagraph"/>
              <w:spacing w:line="133" w:lineRule="exact" w:before="26"/>
              <w:ind w:right="58"/>
              <w:jc w:val="right"/>
              <w:rPr>
                <w:sz w:val="12"/>
              </w:rPr>
            </w:pPr>
            <w:r>
              <w:rPr>
                <w:spacing w:val="-2"/>
                <w:sz w:val="12"/>
              </w:rPr>
              <w:t>22,743</w:t>
            </w:r>
          </w:p>
        </w:tc>
        <w:tc>
          <w:tcPr>
            <w:tcW w:w="1458" w:type="dxa"/>
            <w:gridSpan w:val="3"/>
          </w:tcPr>
          <w:p>
            <w:pPr>
              <w:pStyle w:val="TableParagraph"/>
              <w:spacing w:line="133" w:lineRule="exact" w:before="26"/>
              <w:ind w:left="961"/>
              <w:rPr>
                <w:sz w:val="12"/>
              </w:rPr>
            </w:pPr>
            <w:r>
              <w:rPr>
                <w:spacing w:val="-2"/>
                <w:sz w:val="12"/>
              </w:rPr>
              <w:t>162,856</w:t>
            </w:r>
          </w:p>
        </w:tc>
      </w:tr>
      <w:tr>
        <w:trPr>
          <w:trHeight w:val="172" w:hRule="atLeast"/>
        </w:trPr>
        <w:tc>
          <w:tcPr>
            <w:tcW w:w="9347" w:type="dxa"/>
            <w:gridSpan w:val="15"/>
          </w:tcPr>
          <w:p>
            <w:pPr>
              <w:pStyle w:val="TableParagraph"/>
              <w:spacing w:before="11"/>
              <w:ind w:left="31"/>
              <w:rPr>
                <w:sz w:val="12"/>
              </w:rPr>
            </w:pPr>
            <w:r>
              <w:rPr>
                <w:spacing w:val="-2"/>
                <w:sz w:val="12"/>
              </w:rPr>
              <w:t>Fixed-spread</w:t>
            </w:r>
            <w:r>
              <w:rPr>
                <w:spacing w:val="14"/>
                <w:sz w:val="12"/>
              </w:rPr>
              <w:t> </w:t>
            </w:r>
            <w:r>
              <w:rPr>
                <w:spacing w:val="-2"/>
                <w:sz w:val="12"/>
              </w:rPr>
              <w:t>terms</w:t>
            </w:r>
          </w:p>
        </w:tc>
      </w:tr>
      <w:tr>
        <w:trPr>
          <w:trHeight w:val="187" w:hRule="atLeast"/>
        </w:trPr>
        <w:tc>
          <w:tcPr>
            <w:tcW w:w="2123" w:type="dxa"/>
          </w:tcPr>
          <w:p>
            <w:pPr>
              <w:pStyle w:val="TableParagraph"/>
              <w:spacing w:before="19"/>
              <w:ind w:left="211"/>
              <w:rPr>
                <w:sz w:val="12"/>
              </w:rPr>
            </w:pPr>
            <w:r>
              <w:rPr>
                <w:spacing w:val="-2"/>
                <w:sz w:val="12"/>
              </w:rPr>
              <w:t>Fixed</w:t>
            </w:r>
          </w:p>
        </w:tc>
        <w:tc>
          <w:tcPr>
            <w:tcW w:w="1394" w:type="dxa"/>
            <w:gridSpan w:val="2"/>
          </w:tcPr>
          <w:p>
            <w:pPr>
              <w:pStyle w:val="TableParagraph"/>
              <w:spacing w:line="133" w:lineRule="exact" w:before="34"/>
              <w:ind w:right="51"/>
              <w:jc w:val="right"/>
              <w:rPr>
                <w:sz w:val="12"/>
              </w:rPr>
            </w:pPr>
            <w:r>
              <w:rPr>
                <w:spacing w:val="-2"/>
                <w:sz w:val="12"/>
              </w:rPr>
              <w:t>1,445</w:t>
            </w:r>
          </w:p>
        </w:tc>
        <w:tc>
          <w:tcPr>
            <w:tcW w:w="1456" w:type="dxa"/>
            <w:gridSpan w:val="3"/>
          </w:tcPr>
          <w:p>
            <w:pPr>
              <w:pStyle w:val="TableParagraph"/>
              <w:spacing w:line="133" w:lineRule="exact" w:before="34"/>
              <w:ind w:right="52"/>
              <w:jc w:val="right"/>
              <w:rPr>
                <w:sz w:val="12"/>
              </w:rPr>
            </w:pPr>
            <w:r>
              <w:rPr>
                <w:spacing w:val="-2"/>
                <w:sz w:val="12"/>
              </w:rPr>
              <w:t>7,265</w:t>
            </w:r>
          </w:p>
        </w:tc>
        <w:tc>
          <w:tcPr>
            <w:tcW w:w="1458" w:type="dxa"/>
            <w:gridSpan w:val="3"/>
          </w:tcPr>
          <w:p>
            <w:pPr>
              <w:pStyle w:val="TableParagraph"/>
              <w:spacing w:line="133" w:lineRule="exact" w:before="34"/>
              <w:ind w:right="55"/>
              <w:jc w:val="right"/>
              <w:rPr>
                <w:sz w:val="12"/>
              </w:rPr>
            </w:pPr>
            <w:r>
              <w:rPr>
                <w:spacing w:val="-2"/>
                <w:sz w:val="12"/>
              </w:rPr>
              <w:t>18,995</w:t>
            </w:r>
          </w:p>
        </w:tc>
        <w:tc>
          <w:tcPr>
            <w:tcW w:w="1458" w:type="dxa"/>
            <w:gridSpan w:val="3"/>
          </w:tcPr>
          <w:p>
            <w:pPr>
              <w:pStyle w:val="TableParagraph"/>
              <w:spacing w:line="133" w:lineRule="exact" w:before="34"/>
              <w:ind w:right="58"/>
              <w:jc w:val="right"/>
              <w:rPr>
                <w:sz w:val="12"/>
              </w:rPr>
            </w:pPr>
            <w:r>
              <w:rPr>
                <w:spacing w:val="-2"/>
                <w:sz w:val="12"/>
              </w:rPr>
              <w:t>5,333</w:t>
            </w:r>
          </w:p>
        </w:tc>
        <w:tc>
          <w:tcPr>
            <w:tcW w:w="1458" w:type="dxa"/>
            <w:gridSpan w:val="3"/>
          </w:tcPr>
          <w:p>
            <w:pPr>
              <w:pStyle w:val="TableParagraph"/>
              <w:spacing w:line="133" w:lineRule="exact" w:before="34"/>
              <w:ind w:right="61"/>
              <w:jc w:val="right"/>
              <w:rPr>
                <w:sz w:val="12"/>
              </w:rPr>
            </w:pPr>
            <w:r>
              <w:rPr>
                <w:spacing w:val="-2"/>
                <w:sz w:val="12"/>
              </w:rPr>
              <w:t>33,038</w:t>
            </w:r>
          </w:p>
        </w:tc>
      </w:tr>
      <w:tr>
        <w:trPr>
          <w:trHeight w:val="169" w:hRule="atLeast"/>
        </w:trPr>
        <w:tc>
          <w:tcPr>
            <w:tcW w:w="2123" w:type="dxa"/>
          </w:tcPr>
          <w:p>
            <w:pPr>
              <w:pStyle w:val="TableParagraph"/>
              <w:spacing w:line="138" w:lineRule="exact" w:before="11"/>
              <w:ind w:left="211"/>
              <w:rPr>
                <w:sz w:val="12"/>
              </w:rPr>
            </w:pPr>
            <w:r>
              <w:rPr>
                <w:spacing w:val="-2"/>
                <w:sz w:val="12"/>
              </w:rPr>
              <w:t>Variable</w:t>
            </w:r>
          </w:p>
        </w:tc>
        <w:tc>
          <w:tcPr>
            <w:tcW w:w="1394" w:type="dxa"/>
            <w:gridSpan w:val="2"/>
            <w:tcBorders>
              <w:bottom w:val="single" w:sz="8" w:space="0" w:color="000000"/>
            </w:tcBorders>
          </w:tcPr>
          <w:p>
            <w:pPr>
              <w:pStyle w:val="TableParagraph"/>
              <w:spacing w:line="123" w:lineRule="exact" w:before="26"/>
              <w:ind w:right="51"/>
              <w:jc w:val="right"/>
              <w:rPr>
                <w:sz w:val="12"/>
              </w:rPr>
            </w:pPr>
            <w:r>
              <w:rPr>
                <w:spacing w:val="-2"/>
                <w:sz w:val="12"/>
              </w:rPr>
              <w:t>2,458</w:t>
            </w:r>
          </w:p>
        </w:tc>
        <w:tc>
          <w:tcPr>
            <w:tcW w:w="1456" w:type="dxa"/>
            <w:gridSpan w:val="3"/>
          </w:tcPr>
          <w:p>
            <w:pPr>
              <w:pStyle w:val="TableParagraph"/>
              <w:spacing w:line="123" w:lineRule="exact" w:before="26"/>
              <w:ind w:right="52"/>
              <w:jc w:val="right"/>
              <w:rPr>
                <w:sz w:val="12"/>
              </w:rPr>
            </w:pPr>
            <w:r>
              <w:rPr>
                <w:spacing w:val="-2"/>
                <w:sz w:val="12"/>
              </w:rPr>
              <w:t>8,116</w:t>
            </w:r>
          </w:p>
        </w:tc>
        <w:tc>
          <w:tcPr>
            <w:tcW w:w="1458" w:type="dxa"/>
            <w:gridSpan w:val="3"/>
          </w:tcPr>
          <w:p>
            <w:pPr>
              <w:pStyle w:val="TableParagraph"/>
              <w:spacing w:line="123" w:lineRule="exact" w:before="26"/>
              <w:ind w:right="55"/>
              <w:jc w:val="right"/>
              <w:rPr>
                <w:sz w:val="12"/>
              </w:rPr>
            </w:pPr>
            <w:r>
              <w:rPr>
                <w:spacing w:val="-2"/>
                <w:sz w:val="12"/>
              </w:rPr>
              <w:t>16,201</w:t>
            </w:r>
          </w:p>
        </w:tc>
        <w:tc>
          <w:tcPr>
            <w:tcW w:w="1458" w:type="dxa"/>
            <w:gridSpan w:val="3"/>
          </w:tcPr>
          <w:p>
            <w:pPr>
              <w:pStyle w:val="TableParagraph"/>
              <w:spacing w:line="123" w:lineRule="exact" w:before="26"/>
              <w:ind w:right="58"/>
              <w:jc w:val="right"/>
              <w:rPr>
                <w:sz w:val="12"/>
              </w:rPr>
            </w:pPr>
            <w:r>
              <w:rPr>
                <w:spacing w:val="-2"/>
                <w:sz w:val="12"/>
              </w:rPr>
              <w:t>6,203</w:t>
            </w:r>
          </w:p>
        </w:tc>
        <w:tc>
          <w:tcPr>
            <w:tcW w:w="1458" w:type="dxa"/>
            <w:gridSpan w:val="3"/>
          </w:tcPr>
          <w:p>
            <w:pPr>
              <w:pStyle w:val="TableParagraph"/>
              <w:spacing w:line="123" w:lineRule="exact" w:before="26"/>
              <w:ind w:right="61"/>
              <w:jc w:val="right"/>
              <w:rPr>
                <w:sz w:val="12"/>
              </w:rPr>
            </w:pPr>
            <w:r>
              <w:rPr>
                <w:spacing w:val="-2"/>
                <w:sz w:val="12"/>
              </w:rPr>
              <w:t>32,978</w:t>
            </w:r>
          </w:p>
        </w:tc>
      </w:tr>
      <w:tr>
        <w:trPr>
          <w:trHeight w:val="163" w:hRule="atLeast"/>
        </w:trPr>
        <w:tc>
          <w:tcPr>
            <w:tcW w:w="9347" w:type="dxa"/>
            <w:gridSpan w:val="15"/>
          </w:tcPr>
          <w:p>
            <w:pPr>
              <w:pStyle w:val="TableParagraph"/>
              <w:spacing w:line="20" w:lineRule="exact"/>
              <w:ind w:left="3568" w:right="-58"/>
              <w:rPr>
                <w:rFonts w:ascii="Arial"/>
                <w:sz w:val="2"/>
              </w:rPr>
            </w:pPr>
            <w:r>
              <w:rPr>
                <w:rFonts w:ascii="Arial"/>
                <w:sz w:val="2"/>
              </w:rPr>
              <mc:AlternateContent>
                <mc:Choice Requires="wps">
                  <w:drawing>
                    <wp:inline distT="0" distB="0" distL="0" distR="0">
                      <wp:extent cx="3657600" cy="12700"/>
                      <wp:effectExtent l="9525" t="0" r="0" b="6350"/>
                      <wp:docPr id="771" name="Group 771"/>
                      <wp:cNvGraphicFramePr>
                        <a:graphicFrameLocks/>
                      </wp:cNvGraphicFramePr>
                      <a:graphic>
                        <a:graphicData uri="http://schemas.microsoft.com/office/word/2010/wordprocessingGroup">
                          <wpg:wgp>
                            <wpg:cNvPr id="771" name="Group 771"/>
                            <wpg:cNvGrpSpPr/>
                            <wpg:grpSpPr>
                              <a:xfrm>
                                <a:off x="0" y="0"/>
                                <a:ext cx="3657600" cy="12700"/>
                                <a:chExt cx="3657600" cy="12700"/>
                              </a:xfrm>
                            </wpg:grpSpPr>
                            <wps:wsp>
                              <wps:cNvPr id="772" name="Graphic 772"/>
                              <wps:cNvSpPr/>
                              <wps:spPr>
                                <a:xfrm>
                                  <a:off x="0" y="6350"/>
                                  <a:ext cx="3657600" cy="1270"/>
                                </a:xfrm>
                                <a:custGeom>
                                  <a:avLst/>
                                  <a:gdLst/>
                                  <a:ahLst/>
                                  <a:cxnLst/>
                                  <a:rect l="l" t="t" r="r" b="b"/>
                                  <a:pathLst>
                                    <a:path w="3657600" h="0">
                                      <a:moveTo>
                                        <a:pt x="0" y="0"/>
                                      </a:moveTo>
                                      <a:lnTo>
                                        <a:pt x="885825" y="0"/>
                                      </a:lnTo>
                                    </a:path>
                                    <a:path w="3657600" h="0">
                                      <a:moveTo>
                                        <a:pt x="923925" y="0"/>
                                      </a:moveTo>
                                      <a:lnTo>
                                        <a:pt x="1809750" y="0"/>
                                      </a:lnTo>
                                    </a:path>
                                    <a:path w="3657600" h="0">
                                      <a:moveTo>
                                        <a:pt x="1847850" y="0"/>
                                      </a:moveTo>
                                      <a:lnTo>
                                        <a:pt x="2733675" y="0"/>
                                      </a:lnTo>
                                    </a:path>
                                    <a:path w="3657600" h="0">
                                      <a:moveTo>
                                        <a:pt x="2771775" y="0"/>
                                      </a:moveTo>
                                      <a:lnTo>
                                        <a:pt x="3657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8pt;height:1pt;mso-position-horizontal-relative:char;mso-position-vertical-relative:line" id="docshapegroup653" coordorigin="0,0" coordsize="5760,20">
                      <v:shape style="position:absolute;left:0;top:10;width:5760;height:2" id="docshape654" coordorigin="0,10" coordsize="5760,0" path="m0,10l1395,10m1455,10l2850,10m2910,10l4305,10m4365,10l5760,10e" filled="false" stroked="true" strokeweight="1pt" strokecolor="#000000">
                        <v:path arrowok="t"/>
                        <v:stroke dashstyle="solid"/>
                      </v:shape>
                    </v:group>
                  </w:pict>
                </mc:Fallback>
              </mc:AlternateContent>
            </w:r>
            <w:r>
              <w:rPr>
                <w:rFonts w:ascii="Arial"/>
                <w:sz w:val="2"/>
              </w:rPr>
            </w:r>
          </w:p>
          <w:p>
            <w:pPr>
              <w:pStyle w:val="TableParagraph"/>
              <w:ind w:left="31"/>
              <w:rPr>
                <w:sz w:val="12"/>
              </w:rPr>
            </w:pPr>
            <w:r>
              <w:rPr>
                <w:sz w:val="12"/>
              </w:rPr>
              <w:t>All</w:t>
            </w:r>
            <w:r>
              <w:rPr>
                <w:spacing w:val="-2"/>
                <w:sz w:val="12"/>
              </w:rPr>
              <w:t> Loans</w:t>
            </w:r>
          </w:p>
        </w:tc>
      </w:tr>
      <w:tr>
        <w:trPr>
          <w:trHeight w:val="187" w:hRule="atLeast"/>
        </w:trPr>
        <w:tc>
          <w:tcPr>
            <w:tcW w:w="2123" w:type="dxa"/>
          </w:tcPr>
          <w:p>
            <w:pPr>
              <w:pStyle w:val="TableParagraph"/>
              <w:spacing w:before="19"/>
              <w:ind w:left="211"/>
              <w:rPr>
                <w:sz w:val="12"/>
              </w:rPr>
            </w:pPr>
            <w:r>
              <w:rPr>
                <w:spacing w:val="-2"/>
                <w:sz w:val="12"/>
              </w:rPr>
              <w:t>Fixed</w:t>
            </w:r>
          </w:p>
        </w:tc>
        <w:tc>
          <w:tcPr>
            <w:tcW w:w="546" w:type="dxa"/>
          </w:tcPr>
          <w:p>
            <w:pPr>
              <w:pStyle w:val="TableParagraph"/>
              <w:rPr>
                <w:rFonts w:ascii="Times New Roman"/>
                <w:sz w:val="12"/>
              </w:rPr>
            </w:pPr>
          </w:p>
        </w:tc>
        <w:tc>
          <w:tcPr>
            <w:tcW w:w="848" w:type="dxa"/>
          </w:tcPr>
          <w:p>
            <w:pPr>
              <w:pStyle w:val="TableParagraph"/>
              <w:spacing w:line="133" w:lineRule="exact" w:before="34"/>
              <w:ind w:right="51"/>
              <w:jc w:val="right"/>
              <w:rPr>
                <w:sz w:val="12"/>
              </w:rPr>
            </w:pPr>
            <w:r>
              <w:rPr>
                <w:spacing w:val="-2"/>
                <w:sz w:val="12"/>
              </w:rPr>
              <w:t>1,474</w:t>
            </w:r>
          </w:p>
        </w:tc>
        <w:tc>
          <w:tcPr>
            <w:tcW w:w="60" w:type="dxa"/>
          </w:tcPr>
          <w:p>
            <w:pPr>
              <w:pStyle w:val="TableParagraph"/>
              <w:rPr>
                <w:rFonts w:ascii="Times New Roman"/>
                <w:sz w:val="12"/>
              </w:rPr>
            </w:pPr>
          </w:p>
        </w:tc>
        <w:tc>
          <w:tcPr>
            <w:tcW w:w="547" w:type="dxa"/>
          </w:tcPr>
          <w:p>
            <w:pPr>
              <w:pStyle w:val="TableParagraph"/>
              <w:rPr>
                <w:rFonts w:ascii="Times New Roman"/>
                <w:sz w:val="12"/>
              </w:rPr>
            </w:pPr>
          </w:p>
        </w:tc>
        <w:tc>
          <w:tcPr>
            <w:tcW w:w="849" w:type="dxa"/>
          </w:tcPr>
          <w:p>
            <w:pPr>
              <w:pStyle w:val="TableParagraph"/>
              <w:spacing w:line="133" w:lineRule="exact" w:before="34"/>
              <w:ind w:right="52"/>
              <w:jc w:val="right"/>
              <w:rPr>
                <w:sz w:val="12"/>
              </w:rPr>
            </w:pPr>
            <w:r>
              <w:rPr>
                <w:spacing w:val="-2"/>
                <w:sz w:val="12"/>
              </w:rPr>
              <w:t>7,295</w:t>
            </w:r>
          </w:p>
        </w:tc>
        <w:tc>
          <w:tcPr>
            <w:tcW w:w="61" w:type="dxa"/>
          </w:tcPr>
          <w:p>
            <w:pPr>
              <w:pStyle w:val="TableParagraph"/>
              <w:rPr>
                <w:rFonts w:ascii="Times New Roman"/>
                <w:sz w:val="12"/>
              </w:rPr>
            </w:pPr>
          </w:p>
        </w:tc>
        <w:tc>
          <w:tcPr>
            <w:tcW w:w="1397" w:type="dxa"/>
            <w:gridSpan w:val="2"/>
          </w:tcPr>
          <w:p>
            <w:pPr>
              <w:pStyle w:val="TableParagraph"/>
              <w:spacing w:line="133" w:lineRule="exact" w:before="34"/>
              <w:ind w:right="55"/>
              <w:jc w:val="right"/>
              <w:rPr>
                <w:sz w:val="12"/>
              </w:rPr>
            </w:pPr>
            <w:r>
              <w:rPr>
                <w:spacing w:val="-2"/>
                <w:sz w:val="12"/>
              </w:rPr>
              <w:t>18,995</w:t>
            </w:r>
          </w:p>
        </w:tc>
        <w:tc>
          <w:tcPr>
            <w:tcW w:w="61" w:type="dxa"/>
          </w:tcPr>
          <w:p>
            <w:pPr>
              <w:pStyle w:val="TableParagraph"/>
              <w:rPr>
                <w:rFonts w:ascii="Times New Roman"/>
                <w:sz w:val="12"/>
              </w:rPr>
            </w:pPr>
          </w:p>
        </w:tc>
        <w:tc>
          <w:tcPr>
            <w:tcW w:w="1397" w:type="dxa"/>
            <w:gridSpan w:val="2"/>
          </w:tcPr>
          <w:p>
            <w:pPr>
              <w:pStyle w:val="TableParagraph"/>
              <w:spacing w:line="133" w:lineRule="exact" w:before="34"/>
              <w:ind w:right="58"/>
              <w:jc w:val="right"/>
              <w:rPr>
                <w:sz w:val="12"/>
              </w:rPr>
            </w:pPr>
            <w:r>
              <w:rPr>
                <w:spacing w:val="-2"/>
                <w:sz w:val="12"/>
              </w:rPr>
              <w:t>5,333</w:t>
            </w:r>
          </w:p>
        </w:tc>
        <w:tc>
          <w:tcPr>
            <w:tcW w:w="61" w:type="dxa"/>
          </w:tcPr>
          <w:p>
            <w:pPr>
              <w:pStyle w:val="TableParagraph"/>
              <w:rPr>
                <w:rFonts w:ascii="Times New Roman"/>
                <w:sz w:val="12"/>
              </w:rPr>
            </w:pPr>
          </w:p>
        </w:tc>
        <w:tc>
          <w:tcPr>
            <w:tcW w:w="1397" w:type="dxa"/>
            <w:gridSpan w:val="2"/>
          </w:tcPr>
          <w:p>
            <w:pPr>
              <w:pStyle w:val="TableParagraph"/>
              <w:spacing w:line="133" w:lineRule="exact" w:before="34"/>
              <w:ind w:right="61"/>
              <w:jc w:val="right"/>
              <w:rPr>
                <w:sz w:val="12"/>
              </w:rPr>
            </w:pPr>
            <w:r>
              <w:rPr>
                <w:spacing w:val="-2"/>
                <w:sz w:val="12"/>
              </w:rPr>
              <w:t>33,097</w:t>
            </w:r>
          </w:p>
        </w:tc>
      </w:tr>
      <w:tr>
        <w:trPr>
          <w:trHeight w:val="169" w:hRule="atLeast"/>
        </w:trPr>
        <w:tc>
          <w:tcPr>
            <w:tcW w:w="2123" w:type="dxa"/>
          </w:tcPr>
          <w:p>
            <w:pPr>
              <w:pStyle w:val="TableParagraph"/>
              <w:spacing w:line="138" w:lineRule="exact" w:before="11"/>
              <w:ind w:left="211"/>
              <w:rPr>
                <w:sz w:val="12"/>
              </w:rPr>
            </w:pPr>
            <w:r>
              <w:rPr>
                <w:spacing w:val="-2"/>
                <w:sz w:val="12"/>
              </w:rPr>
              <w:t>Variable</w:t>
            </w:r>
          </w:p>
        </w:tc>
        <w:tc>
          <w:tcPr>
            <w:tcW w:w="546" w:type="dxa"/>
            <w:tcBorders>
              <w:bottom w:val="single" w:sz="8" w:space="0" w:color="000000"/>
            </w:tcBorders>
          </w:tcPr>
          <w:p>
            <w:pPr>
              <w:pStyle w:val="TableParagraph"/>
              <w:rPr>
                <w:rFonts w:ascii="Times New Roman"/>
                <w:sz w:val="10"/>
              </w:rPr>
            </w:pPr>
          </w:p>
        </w:tc>
        <w:tc>
          <w:tcPr>
            <w:tcW w:w="848" w:type="dxa"/>
            <w:tcBorders>
              <w:bottom w:val="single" w:sz="8" w:space="0" w:color="000000"/>
            </w:tcBorders>
          </w:tcPr>
          <w:p>
            <w:pPr>
              <w:pStyle w:val="TableParagraph"/>
              <w:spacing w:line="123" w:lineRule="exact" w:before="26"/>
              <w:ind w:right="51"/>
              <w:jc w:val="right"/>
              <w:rPr>
                <w:sz w:val="12"/>
              </w:rPr>
            </w:pPr>
            <w:r>
              <w:rPr>
                <w:spacing w:val="-2"/>
                <w:sz w:val="12"/>
              </w:rPr>
              <w:t>11,380</w:t>
            </w:r>
          </w:p>
        </w:tc>
        <w:tc>
          <w:tcPr>
            <w:tcW w:w="60" w:type="dxa"/>
          </w:tcPr>
          <w:p>
            <w:pPr>
              <w:pStyle w:val="TableParagraph"/>
              <w:rPr>
                <w:rFonts w:ascii="Times New Roman"/>
                <w:sz w:val="10"/>
              </w:rPr>
            </w:pPr>
          </w:p>
        </w:tc>
        <w:tc>
          <w:tcPr>
            <w:tcW w:w="547" w:type="dxa"/>
            <w:tcBorders>
              <w:bottom w:val="single" w:sz="8" w:space="0" w:color="000000"/>
            </w:tcBorders>
          </w:tcPr>
          <w:p>
            <w:pPr>
              <w:pStyle w:val="TableParagraph"/>
              <w:rPr>
                <w:rFonts w:ascii="Times New Roman"/>
                <w:sz w:val="10"/>
              </w:rPr>
            </w:pPr>
          </w:p>
        </w:tc>
        <w:tc>
          <w:tcPr>
            <w:tcW w:w="849" w:type="dxa"/>
            <w:tcBorders>
              <w:bottom w:val="single" w:sz="8" w:space="0" w:color="000000"/>
            </w:tcBorders>
          </w:tcPr>
          <w:p>
            <w:pPr>
              <w:pStyle w:val="TableParagraph"/>
              <w:spacing w:line="123" w:lineRule="exact" w:before="26"/>
              <w:ind w:right="52"/>
              <w:jc w:val="right"/>
              <w:rPr>
                <w:sz w:val="12"/>
              </w:rPr>
            </w:pPr>
            <w:r>
              <w:rPr>
                <w:spacing w:val="-2"/>
                <w:sz w:val="12"/>
              </w:rPr>
              <w:t>50,102</w:t>
            </w:r>
          </w:p>
        </w:tc>
        <w:tc>
          <w:tcPr>
            <w:tcW w:w="61" w:type="dxa"/>
          </w:tcPr>
          <w:p>
            <w:pPr>
              <w:pStyle w:val="TableParagraph"/>
              <w:rPr>
                <w:rFonts w:ascii="Times New Roman"/>
                <w:sz w:val="10"/>
              </w:rPr>
            </w:pPr>
          </w:p>
        </w:tc>
        <w:tc>
          <w:tcPr>
            <w:tcW w:w="1397" w:type="dxa"/>
            <w:gridSpan w:val="2"/>
            <w:tcBorders>
              <w:bottom w:val="single" w:sz="8" w:space="0" w:color="000000"/>
            </w:tcBorders>
          </w:tcPr>
          <w:p>
            <w:pPr>
              <w:pStyle w:val="TableParagraph"/>
              <w:spacing w:line="123" w:lineRule="exact" w:before="26"/>
              <w:ind w:left="906"/>
              <w:rPr>
                <w:sz w:val="12"/>
              </w:rPr>
            </w:pPr>
            <w:r>
              <w:rPr>
                <w:spacing w:val="-2"/>
                <w:sz w:val="12"/>
              </w:rPr>
              <w:t>105,819</w:t>
            </w:r>
          </w:p>
        </w:tc>
        <w:tc>
          <w:tcPr>
            <w:tcW w:w="61" w:type="dxa"/>
          </w:tcPr>
          <w:p>
            <w:pPr>
              <w:pStyle w:val="TableParagraph"/>
              <w:rPr>
                <w:rFonts w:ascii="Times New Roman"/>
                <w:sz w:val="10"/>
              </w:rPr>
            </w:pPr>
          </w:p>
        </w:tc>
        <w:tc>
          <w:tcPr>
            <w:tcW w:w="1397" w:type="dxa"/>
            <w:gridSpan w:val="2"/>
            <w:tcBorders>
              <w:bottom w:val="single" w:sz="8" w:space="0" w:color="000000"/>
            </w:tcBorders>
          </w:tcPr>
          <w:p>
            <w:pPr>
              <w:pStyle w:val="TableParagraph"/>
              <w:spacing w:line="123" w:lineRule="exact" w:before="26"/>
              <w:ind w:right="58"/>
              <w:jc w:val="right"/>
              <w:rPr>
                <w:sz w:val="12"/>
              </w:rPr>
            </w:pPr>
            <w:r>
              <w:rPr>
                <w:spacing w:val="-2"/>
                <w:sz w:val="12"/>
              </w:rPr>
              <w:t>28,946</w:t>
            </w:r>
          </w:p>
        </w:tc>
        <w:tc>
          <w:tcPr>
            <w:tcW w:w="61" w:type="dxa"/>
          </w:tcPr>
          <w:p>
            <w:pPr>
              <w:pStyle w:val="TableParagraph"/>
              <w:rPr>
                <w:rFonts w:ascii="Times New Roman"/>
                <w:sz w:val="10"/>
              </w:rPr>
            </w:pPr>
          </w:p>
        </w:tc>
        <w:tc>
          <w:tcPr>
            <w:tcW w:w="1397" w:type="dxa"/>
            <w:gridSpan w:val="2"/>
            <w:tcBorders>
              <w:bottom w:val="single" w:sz="8" w:space="0" w:color="000000"/>
            </w:tcBorders>
          </w:tcPr>
          <w:p>
            <w:pPr>
              <w:pStyle w:val="TableParagraph"/>
              <w:spacing w:line="123" w:lineRule="exact" w:before="26"/>
              <w:ind w:left="900"/>
              <w:rPr>
                <w:sz w:val="12"/>
              </w:rPr>
            </w:pPr>
            <w:r>
              <w:rPr>
                <w:spacing w:val="-2"/>
                <w:sz w:val="12"/>
              </w:rPr>
              <w:t>196,247</w:t>
            </w:r>
          </w:p>
        </w:tc>
      </w:tr>
      <w:tr>
        <w:trPr>
          <w:trHeight w:val="140" w:hRule="atLeast"/>
        </w:trPr>
        <w:tc>
          <w:tcPr>
            <w:tcW w:w="2123" w:type="dxa"/>
          </w:tcPr>
          <w:p>
            <w:pPr>
              <w:pStyle w:val="TableParagraph"/>
              <w:spacing w:line="118" w:lineRule="exact" w:before="2"/>
              <w:ind w:left="31"/>
              <w:rPr>
                <w:sz w:val="12"/>
              </w:rPr>
            </w:pPr>
            <w:r>
              <w:rPr>
                <w:spacing w:val="-2"/>
                <w:sz w:val="12"/>
              </w:rPr>
              <w:t>Total loans</w:t>
            </w:r>
            <w:r>
              <w:rPr>
                <w:spacing w:val="-1"/>
                <w:sz w:val="12"/>
              </w:rPr>
              <w:t> </w:t>
            </w:r>
            <w:r>
              <w:rPr>
                <w:spacing w:val="-2"/>
                <w:sz w:val="12"/>
              </w:rPr>
              <w:t>outstanding</w:t>
            </w:r>
          </w:p>
        </w:tc>
        <w:tc>
          <w:tcPr>
            <w:tcW w:w="546" w:type="dxa"/>
            <w:tcBorders>
              <w:top w:val="single" w:sz="8" w:space="0" w:color="000000"/>
              <w:bottom w:val="single" w:sz="8" w:space="0" w:color="000000"/>
            </w:tcBorders>
          </w:tcPr>
          <w:p>
            <w:pPr>
              <w:pStyle w:val="TableParagraph"/>
              <w:spacing w:line="103" w:lineRule="exact" w:before="17"/>
              <w:ind w:left="53"/>
              <w:rPr>
                <w:sz w:val="12"/>
              </w:rPr>
            </w:pPr>
            <w:r>
              <w:rPr>
                <w:spacing w:val="-10"/>
                <w:sz w:val="12"/>
              </w:rPr>
              <w:t>$</w:t>
            </w:r>
          </w:p>
        </w:tc>
        <w:tc>
          <w:tcPr>
            <w:tcW w:w="848" w:type="dxa"/>
            <w:tcBorders>
              <w:top w:val="single" w:sz="8" w:space="0" w:color="000000"/>
              <w:bottom w:val="single" w:sz="8" w:space="0" w:color="000000"/>
            </w:tcBorders>
          </w:tcPr>
          <w:p>
            <w:pPr>
              <w:pStyle w:val="TableParagraph"/>
              <w:spacing w:line="103" w:lineRule="exact" w:before="17"/>
              <w:ind w:right="51"/>
              <w:jc w:val="right"/>
              <w:rPr>
                <w:sz w:val="12"/>
              </w:rPr>
            </w:pPr>
            <w:r>
              <w:rPr>
                <w:spacing w:val="-2"/>
                <w:sz w:val="12"/>
              </w:rPr>
              <w:t>12,854</w:t>
            </w:r>
          </w:p>
        </w:tc>
        <w:tc>
          <w:tcPr>
            <w:tcW w:w="60" w:type="dxa"/>
          </w:tcPr>
          <w:p>
            <w:pPr>
              <w:pStyle w:val="TableParagraph"/>
              <w:rPr>
                <w:rFonts w:ascii="Times New Roman"/>
                <w:sz w:val="8"/>
              </w:rPr>
            </w:pPr>
          </w:p>
        </w:tc>
        <w:tc>
          <w:tcPr>
            <w:tcW w:w="547" w:type="dxa"/>
            <w:tcBorders>
              <w:top w:val="single" w:sz="8" w:space="0" w:color="000000"/>
              <w:bottom w:val="single" w:sz="8" w:space="0" w:color="000000"/>
            </w:tcBorders>
          </w:tcPr>
          <w:p>
            <w:pPr>
              <w:pStyle w:val="TableParagraph"/>
              <w:spacing w:line="103" w:lineRule="exact" w:before="17"/>
              <w:ind w:left="54"/>
              <w:rPr>
                <w:sz w:val="12"/>
              </w:rPr>
            </w:pPr>
            <w:r>
              <w:rPr>
                <w:spacing w:val="-10"/>
                <w:sz w:val="12"/>
              </w:rPr>
              <w:t>$</w:t>
            </w:r>
          </w:p>
        </w:tc>
        <w:tc>
          <w:tcPr>
            <w:tcW w:w="849" w:type="dxa"/>
            <w:tcBorders>
              <w:top w:val="single" w:sz="8" w:space="0" w:color="000000"/>
              <w:bottom w:val="single" w:sz="8" w:space="0" w:color="000000"/>
            </w:tcBorders>
          </w:tcPr>
          <w:p>
            <w:pPr>
              <w:pStyle w:val="TableParagraph"/>
              <w:spacing w:line="103" w:lineRule="exact" w:before="17"/>
              <w:ind w:right="52"/>
              <w:jc w:val="right"/>
              <w:rPr>
                <w:sz w:val="12"/>
              </w:rPr>
            </w:pPr>
            <w:r>
              <w:rPr>
                <w:spacing w:val="-2"/>
                <w:sz w:val="12"/>
              </w:rPr>
              <w:t>57,397</w:t>
            </w:r>
          </w:p>
        </w:tc>
        <w:tc>
          <w:tcPr>
            <w:tcW w:w="61" w:type="dxa"/>
          </w:tcPr>
          <w:p>
            <w:pPr>
              <w:pStyle w:val="TableParagraph"/>
              <w:rPr>
                <w:rFonts w:ascii="Times New Roman"/>
                <w:sz w:val="8"/>
              </w:rPr>
            </w:pPr>
          </w:p>
        </w:tc>
        <w:tc>
          <w:tcPr>
            <w:tcW w:w="1397" w:type="dxa"/>
            <w:gridSpan w:val="2"/>
            <w:tcBorders>
              <w:top w:val="single" w:sz="8" w:space="0" w:color="000000"/>
            </w:tcBorders>
          </w:tcPr>
          <w:p>
            <w:pPr>
              <w:pStyle w:val="TableParagraph"/>
              <w:tabs>
                <w:tab w:pos="906" w:val="left" w:leader="none"/>
              </w:tabs>
              <w:spacing w:line="103" w:lineRule="exact" w:before="17"/>
              <w:ind w:left="-1"/>
              <w:rPr>
                <w:sz w:val="12"/>
              </w:rPr>
            </w:pPr>
            <w:r>
              <w:rPr>
                <w:spacing w:val="22"/>
                <w:sz w:val="12"/>
                <w:u w:val="single"/>
              </w:rPr>
              <w:t> </w:t>
            </w:r>
            <w:r>
              <w:rPr>
                <w:spacing w:val="-10"/>
                <w:sz w:val="12"/>
                <w:u w:val="single"/>
              </w:rPr>
              <w:t>$</w:t>
            </w:r>
            <w:r>
              <w:rPr>
                <w:sz w:val="12"/>
                <w:u w:val="single"/>
              </w:rPr>
              <w:tab/>
            </w:r>
            <w:r>
              <w:rPr>
                <w:spacing w:val="-2"/>
                <w:sz w:val="12"/>
                <w:u w:val="single"/>
              </w:rPr>
              <w:t>124,814</w:t>
            </w:r>
          </w:p>
        </w:tc>
        <w:tc>
          <w:tcPr>
            <w:tcW w:w="61" w:type="dxa"/>
          </w:tcPr>
          <w:p>
            <w:pPr>
              <w:pStyle w:val="TableParagraph"/>
              <w:rPr>
                <w:rFonts w:ascii="Times New Roman"/>
                <w:sz w:val="8"/>
              </w:rPr>
            </w:pPr>
          </w:p>
        </w:tc>
        <w:tc>
          <w:tcPr>
            <w:tcW w:w="1397" w:type="dxa"/>
            <w:gridSpan w:val="2"/>
            <w:tcBorders>
              <w:top w:val="single" w:sz="8" w:space="0" w:color="000000"/>
            </w:tcBorders>
          </w:tcPr>
          <w:p>
            <w:pPr>
              <w:pStyle w:val="TableParagraph"/>
              <w:tabs>
                <w:tab w:pos="970" w:val="left" w:leader="none"/>
              </w:tabs>
              <w:spacing w:line="103" w:lineRule="exact" w:before="17"/>
              <w:ind w:left="-4"/>
              <w:rPr>
                <w:sz w:val="12"/>
              </w:rPr>
            </w:pPr>
            <w:r>
              <w:rPr>
                <w:spacing w:val="22"/>
                <w:sz w:val="12"/>
                <w:u w:val="single"/>
              </w:rPr>
              <w:t> </w:t>
            </w:r>
            <w:r>
              <w:rPr>
                <w:spacing w:val="-10"/>
                <w:sz w:val="12"/>
                <w:u w:val="single"/>
              </w:rPr>
              <w:t>$</w:t>
            </w:r>
            <w:r>
              <w:rPr>
                <w:sz w:val="12"/>
                <w:u w:val="single"/>
              </w:rPr>
              <w:tab/>
            </w:r>
            <w:r>
              <w:rPr>
                <w:spacing w:val="-2"/>
                <w:sz w:val="12"/>
                <w:u w:val="single"/>
              </w:rPr>
              <w:t>34,279</w:t>
            </w:r>
          </w:p>
        </w:tc>
        <w:tc>
          <w:tcPr>
            <w:tcW w:w="61" w:type="dxa"/>
          </w:tcPr>
          <w:p>
            <w:pPr>
              <w:pStyle w:val="TableParagraph"/>
              <w:rPr>
                <w:rFonts w:ascii="Times New Roman"/>
                <w:sz w:val="8"/>
              </w:rPr>
            </w:pPr>
          </w:p>
        </w:tc>
        <w:tc>
          <w:tcPr>
            <w:tcW w:w="1397" w:type="dxa"/>
            <w:gridSpan w:val="2"/>
            <w:tcBorders>
              <w:top w:val="single" w:sz="8" w:space="0" w:color="000000"/>
            </w:tcBorders>
          </w:tcPr>
          <w:p>
            <w:pPr>
              <w:pStyle w:val="TableParagraph"/>
              <w:tabs>
                <w:tab w:pos="900" w:val="left" w:leader="none"/>
              </w:tabs>
              <w:spacing w:line="103" w:lineRule="exact" w:before="17"/>
              <w:ind w:left="-7"/>
              <w:rPr>
                <w:sz w:val="12"/>
              </w:rPr>
            </w:pPr>
            <w:r>
              <w:rPr>
                <w:spacing w:val="22"/>
                <w:sz w:val="12"/>
                <w:u w:val="single"/>
              </w:rPr>
              <w:t> </w:t>
            </w:r>
            <w:r>
              <w:rPr>
                <w:spacing w:val="-10"/>
                <w:sz w:val="12"/>
                <w:u w:val="single"/>
              </w:rPr>
              <w:t>$</w:t>
            </w:r>
            <w:r>
              <w:rPr>
                <w:sz w:val="12"/>
                <w:u w:val="single"/>
              </w:rPr>
              <w:tab/>
            </w:r>
            <w:r>
              <w:rPr>
                <w:spacing w:val="-2"/>
                <w:sz w:val="12"/>
                <w:u w:val="single"/>
              </w:rPr>
              <w:t>229,344</w:t>
            </w:r>
          </w:p>
        </w:tc>
      </w:tr>
      <w:tr>
        <w:trPr>
          <w:trHeight w:val="20" w:hRule="exact"/>
        </w:trPr>
        <w:tc>
          <w:tcPr>
            <w:tcW w:w="2123" w:type="dxa"/>
          </w:tcPr>
          <w:p>
            <w:pPr>
              <w:pStyle w:val="TableParagraph"/>
              <w:rPr>
                <w:rFonts w:ascii="Times New Roman"/>
                <w:sz w:val="2"/>
              </w:rPr>
            </w:pPr>
          </w:p>
        </w:tc>
        <w:tc>
          <w:tcPr>
            <w:tcW w:w="546" w:type="dxa"/>
            <w:tcBorders>
              <w:top w:val="single" w:sz="8" w:space="0" w:color="000000"/>
              <w:bottom w:val="single" w:sz="8" w:space="0" w:color="000000"/>
            </w:tcBorders>
          </w:tcPr>
          <w:p>
            <w:pPr>
              <w:pStyle w:val="TableParagraph"/>
              <w:rPr>
                <w:rFonts w:ascii="Times New Roman"/>
                <w:sz w:val="2"/>
              </w:rPr>
            </w:pPr>
          </w:p>
        </w:tc>
        <w:tc>
          <w:tcPr>
            <w:tcW w:w="848" w:type="dxa"/>
            <w:tcBorders>
              <w:top w:val="single" w:sz="8" w:space="0" w:color="000000"/>
              <w:bottom w:val="single" w:sz="8" w:space="0" w:color="000000"/>
            </w:tcBorders>
          </w:tcPr>
          <w:p>
            <w:pPr>
              <w:pStyle w:val="TableParagraph"/>
              <w:rPr>
                <w:rFonts w:ascii="Times New Roman"/>
                <w:sz w:val="2"/>
              </w:rPr>
            </w:pPr>
          </w:p>
        </w:tc>
        <w:tc>
          <w:tcPr>
            <w:tcW w:w="60" w:type="dxa"/>
          </w:tcPr>
          <w:p>
            <w:pPr>
              <w:pStyle w:val="TableParagraph"/>
              <w:rPr>
                <w:rFonts w:ascii="Times New Roman"/>
                <w:sz w:val="2"/>
              </w:rPr>
            </w:pPr>
          </w:p>
        </w:tc>
        <w:tc>
          <w:tcPr>
            <w:tcW w:w="547" w:type="dxa"/>
            <w:tcBorders>
              <w:top w:val="single" w:sz="8" w:space="0" w:color="000000"/>
              <w:bottom w:val="single" w:sz="8" w:space="0" w:color="000000"/>
            </w:tcBorders>
          </w:tcPr>
          <w:p>
            <w:pPr>
              <w:pStyle w:val="TableParagraph"/>
              <w:rPr>
                <w:rFonts w:ascii="Times New Roman"/>
                <w:sz w:val="2"/>
              </w:rPr>
            </w:pPr>
          </w:p>
        </w:tc>
        <w:tc>
          <w:tcPr>
            <w:tcW w:w="849" w:type="dxa"/>
            <w:tcBorders>
              <w:top w:val="single" w:sz="8" w:space="0" w:color="000000"/>
              <w:bottom w:val="single" w:sz="8" w:space="0" w:color="000000"/>
            </w:tcBorders>
          </w:tcPr>
          <w:p>
            <w:pPr>
              <w:pStyle w:val="TableParagraph"/>
              <w:rPr>
                <w:rFonts w:ascii="Times New Roman"/>
                <w:sz w:val="2"/>
              </w:rPr>
            </w:pPr>
          </w:p>
        </w:tc>
        <w:tc>
          <w:tcPr>
            <w:tcW w:w="61" w:type="dxa"/>
          </w:tcPr>
          <w:p>
            <w:pPr>
              <w:pStyle w:val="TableParagraph"/>
              <w:rPr>
                <w:rFonts w:ascii="Times New Roman"/>
                <w:sz w:val="2"/>
              </w:rPr>
            </w:pPr>
          </w:p>
        </w:tc>
        <w:tc>
          <w:tcPr>
            <w:tcW w:w="1397" w:type="dxa"/>
            <w:gridSpan w:val="2"/>
            <w:tcBorders>
              <w:bottom w:val="single" w:sz="8" w:space="0" w:color="000000"/>
            </w:tcBorders>
          </w:tcPr>
          <w:p>
            <w:pPr>
              <w:pStyle w:val="TableParagraph"/>
              <w:rPr>
                <w:rFonts w:ascii="Times New Roman"/>
                <w:sz w:val="2"/>
              </w:rPr>
            </w:pPr>
          </w:p>
        </w:tc>
        <w:tc>
          <w:tcPr>
            <w:tcW w:w="61" w:type="dxa"/>
          </w:tcPr>
          <w:p>
            <w:pPr>
              <w:pStyle w:val="TableParagraph"/>
              <w:rPr>
                <w:rFonts w:ascii="Times New Roman"/>
                <w:sz w:val="2"/>
              </w:rPr>
            </w:pPr>
          </w:p>
        </w:tc>
        <w:tc>
          <w:tcPr>
            <w:tcW w:w="1397" w:type="dxa"/>
            <w:gridSpan w:val="2"/>
            <w:tcBorders>
              <w:bottom w:val="single" w:sz="8" w:space="0" w:color="000000"/>
            </w:tcBorders>
          </w:tcPr>
          <w:p>
            <w:pPr>
              <w:pStyle w:val="TableParagraph"/>
              <w:rPr>
                <w:rFonts w:ascii="Times New Roman"/>
                <w:sz w:val="2"/>
              </w:rPr>
            </w:pPr>
          </w:p>
        </w:tc>
        <w:tc>
          <w:tcPr>
            <w:tcW w:w="61" w:type="dxa"/>
          </w:tcPr>
          <w:p>
            <w:pPr>
              <w:pStyle w:val="TableParagraph"/>
              <w:rPr>
                <w:rFonts w:ascii="Times New Roman"/>
                <w:sz w:val="2"/>
              </w:rPr>
            </w:pPr>
          </w:p>
        </w:tc>
        <w:tc>
          <w:tcPr>
            <w:tcW w:w="1397" w:type="dxa"/>
            <w:gridSpan w:val="2"/>
            <w:tcBorders>
              <w:bottom w:val="single" w:sz="8" w:space="0" w:color="000000"/>
            </w:tcBorders>
          </w:tcPr>
          <w:p>
            <w:pPr>
              <w:pStyle w:val="TableParagraph"/>
              <w:rPr>
                <w:rFonts w:ascii="Times New Roman"/>
                <w:sz w:val="2"/>
              </w:rPr>
            </w:pPr>
          </w:p>
        </w:tc>
      </w:tr>
    </w:tbl>
    <w:p>
      <w:pPr>
        <w:pStyle w:val="BodyText"/>
        <w:spacing w:before="3"/>
        <w:rPr>
          <w:rFonts w:ascii="Arial"/>
          <w:i/>
          <w:sz w:val="11"/>
        </w:rPr>
      </w:pPr>
      <w:r>
        <w:rPr>
          <w:rFonts w:ascii="Arial"/>
          <w:i/>
          <w:sz w:val="11"/>
        </w:rPr>
        <mc:AlternateContent>
          <mc:Choice Requires="wps">
            <w:drawing>
              <wp:anchor distT="0" distB="0" distL="0" distR="0" allowOverlap="1" layoutInCell="1" locked="0" behindDoc="1" simplePos="0" relativeHeight="487691776">
                <wp:simplePos x="0" y="0"/>
                <wp:positionH relativeFrom="page">
                  <wp:posOffset>914400</wp:posOffset>
                </wp:positionH>
                <wp:positionV relativeFrom="paragraph">
                  <wp:posOffset>97465</wp:posOffset>
                </wp:positionV>
                <wp:extent cx="5943600" cy="127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674463pt;width:468pt;height:.1pt;mso-position-horizontal-relative:page;mso-position-vertical-relative:paragraph;z-index:-15624704;mso-wrap-distance-left:0;mso-wrap-distance-right:0" id="docshape655" coordorigin="1440,153" coordsize="9360,0" path="m1440,153l10800,153e" filled="false" stroked="true" strokeweight="1pt" strokecolor="#000000">
                <v:path arrowok="t"/>
                <v:stroke dashstyle="solid"/>
                <w10:wrap type="topAndBottom"/>
              </v:shape>
            </w:pict>
          </mc:Fallback>
        </mc:AlternateContent>
      </w:r>
    </w:p>
    <w:p>
      <w:pPr>
        <w:pStyle w:val="BodyText"/>
        <w:spacing w:after="0"/>
        <w:rPr>
          <w:rFonts w:ascii="Arial"/>
          <w:i/>
          <w:sz w:val="11"/>
        </w:rPr>
        <w:sectPr>
          <w:type w:val="continuous"/>
          <w:pgSz w:w="12240" w:h="15840"/>
          <w:pgMar w:header="0" w:footer="0" w:top="1820" w:bottom="280" w:left="720" w:right="720"/>
        </w:sectPr>
      </w:pPr>
    </w:p>
    <w:p>
      <w:pPr>
        <w:pStyle w:val="BodyText"/>
        <w:spacing w:line="249" w:lineRule="auto" w:before="79"/>
        <w:ind w:left="720" w:right="718"/>
        <w:jc w:val="both"/>
      </w:pPr>
      <w:r>
        <w:rPr/>
        <w:t>Based on an evaluation of IBRD’s exposures, management has determined that IBRD has one portfolio segment – Sovereign Exposures. IBRD’s loans constitute the majority of the Sovereign Exposures portfolio segment.</w:t>
      </w:r>
    </w:p>
    <w:p>
      <w:pPr>
        <w:pStyle w:val="BodyText"/>
        <w:spacing w:line="249" w:lineRule="auto" w:before="122"/>
        <w:ind w:left="720" w:right="718"/>
        <w:jc w:val="both"/>
      </w:pPr>
      <w:r>
        <w:rPr/>
        <w:t>IBRD’s country risk ratings are an assessment of its borrowers’ ability and willingness to repay IBRD on time and</w:t>
      </w:r>
      <w:r>
        <w:rPr>
          <w:spacing w:val="40"/>
        </w:rPr>
        <w:t> </w:t>
      </w:r>
      <w:r>
        <w:rPr/>
        <w:t>in full. These ratings are internal credit quality indicators. Individual country risk ratings are derived on the basis of both quantitative and qualitative analysis. The components considered in the analysis can be grouped broadly into eight categories: political risk, external debt and liquidity, fiscal policy and public debt burden, balance of payments risks, economic structure and growth prospects, monetary and exchange rate policy, financial sector risks, and corporate sector debt and vulnerabilities. The analysis also takes into account Environmental, Social, and Governance (ESG) factors. For the purpose of analyzing the risk characteristics of IBRD’s exposures, these exposures are grouped into three classes in accordance with assigned borrower risk ratings, which relate to the likelihood of loss: Low, Medium and High-risk classes, as well as exposures in nonaccrual status.</w:t>
      </w:r>
    </w:p>
    <w:p>
      <w:pPr>
        <w:pStyle w:val="BodyText"/>
        <w:spacing w:line="249" w:lineRule="auto" w:before="127"/>
        <w:ind w:left="720" w:right="718"/>
        <w:jc w:val="both"/>
      </w:pPr>
      <w:r>
        <w:rPr/>
        <w:t>IBRD’s borrowers’ country risk ratings are key determinants in the provision for losses. Country risk ratings are grouped in pools of borrowers with similar credit ratings for the purpose of the calculation of the expected credit losses. Exposure for certain countries in accrual status may be individually assessed on the basis that they do not share common risk characteristics with an existing pool of exposures. All exposures for countries in nonaccrual status are individually assessed. Country risk ratings are determined in review meetings that take place several times a</w:t>
      </w:r>
      <w:r>
        <w:rPr>
          <w:spacing w:val="-1"/>
        </w:rPr>
        <w:t> </w:t>
      </w:r>
      <w:r>
        <w:rPr/>
        <w:t>year.</w:t>
      </w:r>
      <w:r>
        <w:rPr>
          <w:spacing w:val="-1"/>
        </w:rPr>
        <w:t> </w:t>
      </w:r>
      <w:r>
        <w:rPr/>
        <w:t>All</w:t>
      </w:r>
      <w:r>
        <w:rPr>
          <w:spacing w:val="-1"/>
        </w:rPr>
        <w:t> </w:t>
      </w:r>
      <w:r>
        <w:rPr/>
        <w:t>countries</w:t>
      </w:r>
      <w:r>
        <w:rPr>
          <w:spacing w:val="-1"/>
        </w:rPr>
        <w:t> </w:t>
      </w:r>
      <w:r>
        <w:rPr/>
        <w:t>are</w:t>
      </w:r>
      <w:r>
        <w:rPr>
          <w:spacing w:val="-1"/>
        </w:rPr>
        <w:t> </w:t>
      </w:r>
      <w:r>
        <w:rPr/>
        <w:t>reviewed</w:t>
      </w:r>
      <w:r>
        <w:rPr>
          <w:spacing w:val="-1"/>
        </w:rPr>
        <w:t> </w:t>
      </w:r>
      <w:r>
        <w:rPr/>
        <w:t>at</w:t>
      </w:r>
      <w:r>
        <w:rPr>
          <w:spacing w:val="-1"/>
        </w:rPr>
        <w:t> </w:t>
      </w:r>
      <w:r>
        <w:rPr/>
        <w:t>least</w:t>
      </w:r>
      <w:r>
        <w:rPr>
          <w:spacing w:val="-1"/>
        </w:rPr>
        <w:t> </w:t>
      </w:r>
      <w:r>
        <w:rPr/>
        <w:t>once</w:t>
      </w:r>
      <w:r>
        <w:rPr>
          <w:spacing w:val="-1"/>
        </w:rPr>
        <w:t> </w:t>
      </w:r>
      <w:r>
        <w:rPr/>
        <w:t>a</w:t>
      </w:r>
      <w:r>
        <w:rPr>
          <w:spacing w:val="-1"/>
        </w:rPr>
        <w:t> </w:t>
      </w:r>
      <w:r>
        <w:rPr/>
        <w:t>year,</w:t>
      </w:r>
      <w:r>
        <w:rPr>
          <w:spacing w:val="-1"/>
        </w:rPr>
        <w:t> </w:t>
      </w:r>
      <w:r>
        <w:rPr/>
        <w:t>or</w:t>
      </w:r>
      <w:r>
        <w:rPr>
          <w:spacing w:val="-1"/>
        </w:rPr>
        <w:t> </w:t>
      </w:r>
      <w:r>
        <w:rPr/>
        <w:t>more</w:t>
      </w:r>
      <w:r>
        <w:rPr>
          <w:spacing w:val="-1"/>
        </w:rPr>
        <w:t> </w:t>
      </w:r>
      <w:r>
        <w:rPr/>
        <w:t>frequently,</w:t>
      </w:r>
      <w:r>
        <w:rPr>
          <w:spacing w:val="-1"/>
        </w:rPr>
        <w:t> </w:t>
      </w:r>
      <w:r>
        <w:rPr/>
        <w:t>if</w:t>
      </w:r>
      <w:r>
        <w:rPr>
          <w:spacing w:val="-1"/>
        </w:rPr>
        <w:t> </w:t>
      </w:r>
      <w:r>
        <w:rPr/>
        <w:t>circumstances</w:t>
      </w:r>
      <w:r>
        <w:rPr>
          <w:spacing w:val="-1"/>
        </w:rPr>
        <w:t> </w:t>
      </w:r>
      <w:r>
        <w:rPr/>
        <w:t>warrant,</w:t>
      </w:r>
      <w:r>
        <w:rPr>
          <w:spacing w:val="-1"/>
        </w:rPr>
        <w:t> </w:t>
      </w:r>
      <w:r>
        <w:rPr/>
        <w:t>to</w:t>
      </w:r>
      <w:r>
        <w:rPr>
          <w:spacing w:val="-1"/>
        </w:rPr>
        <w:t> </w:t>
      </w:r>
      <w:r>
        <w:rPr/>
        <w:t>determine</w:t>
      </w:r>
      <w:r>
        <w:rPr>
          <w:spacing w:val="-1"/>
        </w:rPr>
        <w:t> </w:t>
      </w:r>
      <w:r>
        <w:rPr/>
        <w:t>the appropriate ratings.</w:t>
      </w:r>
    </w:p>
    <w:p>
      <w:pPr>
        <w:pStyle w:val="BodyText"/>
        <w:spacing w:line="249" w:lineRule="auto" w:before="126"/>
        <w:ind w:left="720" w:right="717"/>
        <w:jc w:val="both"/>
      </w:pPr>
      <w:r>
        <w:rPr/>
        <w:t>An assessment was also performed to determine whether a qualitative adjustment of the loan loss provision was needed as of June 30, 2023, including consideration of global and macroeconomic events. Management concluded that a qualitative adjustment beyond the regular application of IBRD’s loan loss provision framework was not </w:t>
      </w:r>
      <w:r>
        <w:rPr>
          <w:spacing w:val="-2"/>
        </w:rPr>
        <w:t>warranted.</w:t>
      </w:r>
    </w:p>
    <w:p>
      <w:pPr>
        <w:pStyle w:val="BodyText"/>
        <w:spacing w:before="123"/>
        <w:ind w:left="720"/>
        <w:jc w:val="both"/>
      </w:pPr>
      <w:r>
        <w:rPr/>
        <w:t>The</w:t>
      </w:r>
      <w:r>
        <w:rPr>
          <w:spacing w:val="-6"/>
        </w:rPr>
        <w:t> </w:t>
      </w:r>
      <w:r>
        <w:rPr/>
        <w:t>following</w:t>
      </w:r>
      <w:r>
        <w:rPr>
          <w:spacing w:val="-2"/>
        </w:rPr>
        <w:t> </w:t>
      </w:r>
      <w:r>
        <w:rPr/>
        <w:t>tables</w:t>
      </w:r>
      <w:r>
        <w:rPr>
          <w:spacing w:val="-3"/>
        </w:rPr>
        <w:t> </w:t>
      </w:r>
      <w:r>
        <w:rPr/>
        <w:t>provides</w:t>
      </w:r>
      <w:r>
        <w:rPr>
          <w:spacing w:val="-3"/>
        </w:rPr>
        <w:t> </w:t>
      </w:r>
      <w:r>
        <w:rPr/>
        <w:t>an</w:t>
      </w:r>
      <w:r>
        <w:rPr>
          <w:spacing w:val="-2"/>
        </w:rPr>
        <w:t> </w:t>
      </w:r>
      <w:r>
        <w:rPr/>
        <w:t>aging</w:t>
      </w:r>
      <w:r>
        <w:rPr>
          <w:spacing w:val="-3"/>
        </w:rPr>
        <w:t> </w:t>
      </w:r>
      <w:r>
        <w:rPr/>
        <w:t>analysis</w:t>
      </w:r>
      <w:r>
        <w:rPr>
          <w:spacing w:val="-3"/>
        </w:rPr>
        <w:t> </w:t>
      </w:r>
      <w:r>
        <w:rPr/>
        <w:t>of</w:t>
      </w:r>
      <w:r>
        <w:rPr>
          <w:spacing w:val="-2"/>
        </w:rPr>
        <w:t> </w:t>
      </w:r>
      <w:r>
        <w:rPr/>
        <w:t>the</w:t>
      </w:r>
      <w:r>
        <w:rPr>
          <w:spacing w:val="-3"/>
        </w:rPr>
        <w:t> </w:t>
      </w:r>
      <w:r>
        <w:rPr/>
        <w:t>loan</w:t>
      </w:r>
      <w:r>
        <w:rPr>
          <w:spacing w:val="-2"/>
        </w:rPr>
        <w:t> portfolio:</w:t>
      </w:r>
    </w:p>
    <w:p>
      <w:pPr>
        <w:pStyle w:val="Heading8"/>
        <w:spacing w:before="101"/>
        <w:jc w:val="both"/>
      </w:pPr>
      <w:r>
        <w:rPr/>
        <w:t>Table</w:t>
      </w:r>
      <w:r>
        <w:rPr>
          <w:spacing w:val="-4"/>
        </w:rPr>
        <w:t> </w:t>
      </w:r>
      <w:r>
        <w:rPr/>
        <w:t>D3:</w:t>
      </w:r>
      <w:r>
        <w:rPr>
          <w:spacing w:val="-2"/>
        </w:rPr>
        <w:t> </w:t>
      </w:r>
      <w:r>
        <w:rPr/>
        <w:t>Loan</w:t>
      </w:r>
      <w:r>
        <w:rPr>
          <w:spacing w:val="-3"/>
        </w:rPr>
        <w:t> </w:t>
      </w:r>
      <w:r>
        <w:rPr/>
        <w:t>portfolio</w:t>
      </w:r>
      <w:r>
        <w:rPr>
          <w:spacing w:val="-2"/>
        </w:rPr>
        <w:t> </w:t>
      </w:r>
      <w:r>
        <w:rPr/>
        <w:t>aging</w:t>
      </w:r>
      <w:r>
        <w:rPr>
          <w:spacing w:val="-2"/>
        </w:rPr>
        <w:t> structure</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840256">
                <wp:simplePos x="0" y="0"/>
                <wp:positionH relativeFrom="page">
                  <wp:posOffset>914400</wp:posOffset>
                </wp:positionH>
                <wp:positionV relativeFrom="paragraph">
                  <wp:posOffset>191578</wp:posOffset>
                </wp:positionV>
                <wp:extent cx="5943600" cy="127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0256" from="72pt,15.084892pt" to="540pt,15.084892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both"/>
        <w:rPr>
          <w:rFonts w:ascii="Arial"/>
          <w:i/>
          <w:sz w:val="16"/>
        </w:rPr>
        <w:sectPr>
          <w:headerReference w:type="even" r:id="rId157"/>
          <w:footerReference w:type="even" r:id="rId158"/>
          <w:footerReference w:type="default" r:id="rId159"/>
          <w:pgSz w:w="12240" w:h="15840"/>
          <w:pgMar w:header="1033" w:footer="528" w:top="1260" w:bottom="720" w:left="720" w:right="720"/>
          <w:pgNumType w:start="104"/>
        </w:sectPr>
      </w:pPr>
    </w:p>
    <w:p>
      <w:pPr>
        <w:spacing w:before="56"/>
        <w:ind w:left="0" w:right="278" w:firstLine="0"/>
        <w:jc w:val="right"/>
        <w:rPr>
          <w:rFonts w:ascii="Arial"/>
          <w:i/>
          <w:sz w:val="16"/>
        </w:rPr>
      </w:pPr>
      <w:r>
        <w:rPr>
          <w:rFonts w:ascii="Arial"/>
          <w:i/>
          <w:sz w:val="16"/>
        </w:rPr>
        <mc:AlternateContent>
          <mc:Choice Requires="wps">
            <w:drawing>
              <wp:anchor distT="0" distB="0" distL="0" distR="0" allowOverlap="1" layoutInCell="1" locked="0" behindDoc="0" simplePos="0" relativeHeight="15840768">
                <wp:simplePos x="0" y="0"/>
                <wp:positionH relativeFrom="page">
                  <wp:posOffset>2314575</wp:posOffset>
                </wp:positionH>
                <wp:positionV relativeFrom="paragraph">
                  <wp:posOffset>171268</wp:posOffset>
                </wp:positionV>
                <wp:extent cx="4543425" cy="127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4543425" cy="1270"/>
                        </a:xfrm>
                        <a:custGeom>
                          <a:avLst/>
                          <a:gdLst/>
                          <a:ahLst/>
                          <a:cxnLst/>
                          <a:rect l="l" t="t" r="r" b="b"/>
                          <a:pathLst>
                            <a:path w="4543425" h="0">
                              <a:moveTo>
                                <a:pt x="0" y="0"/>
                              </a:moveTo>
                              <a:lnTo>
                                <a:pt x="4543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0768" from="182.25pt,13.485674pt" to="540pt,13.485674pt" stroked="true" strokeweight="1pt" strokecolor="#000000">
                <v:stroke dashstyle="solid"/>
                <w10:wrap type="none"/>
              </v:line>
            </w:pict>
          </mc:Fallback>
        </mc:AlternateContent>
      </w: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p>
      <w:pPr>
        <w:pStyle w:val="BodyText"/>
        <w:spacing w:before="67"/>
        <w:rPr>
          <w:rFonts w:ascii="Arial"/>
          <w:i/>
          <w:sz w:val="16"/>
        </w:rPr>
      </w:pPr>
    </w:p>
    <w:p>
      <w:pPr>
        <w:tabs>
          <w:tab w:pos="3042" w:val="left" w:leader="none"/>
          <w:tab w:pos="4055" w:val="left" w:leader="none"/>
          <w:tab w:pos="4955" w:val="left" w:leader="none"/>
          <w:tab w:pos="5811" w:val="left" w:leader="none"/>
          <w:tab w:pos="6631" w:val="left" w:leader="none"/>
        </w:tabs>
        <w:spacing w:before="0"/>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41280">
                <wp:simplePos x="0" y="0"/>
                <wp:positionH relativeFrom="page">
                  <wp:posOffset>2895600</wp:posOffset>
                </wp:positionH>
                <wp:positionV relativeFrom="paragraph">
                  <wp:posOffset>135727</wp:posOffset>
                </wp:positionV>
                <wp:extent cx="3962400" cy="127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3962400" cy="1270"/>
                        </a:xfrm>
                        <a:custGeom>
                          <a:avLst/>
                          <a:gdLst/>
                          <a:ahLst/>
                          <a:cxnLst/>
                          <a:rect l="l" t="t" r="r" b="b"/>
                          <a:pathLst>
                            <a:path w="3962400" h="0">
                              <a:moveTo>
                                <a:pt x="0" y="0"/>
                              </a:moveTo>
                              <a:lnTo>
                                <a:pt x="533400" y="0"/>
                              </a:lnTo>
                            </a:path>
                            <a:path w="3962400" h="0">
                              <a:moveTo>
                                <a:pt x="571500" y="0"/>
                              </a:moveTo>
                              <a:lnTo>
                                <a:pt x="1104900" y="0"/>
                              </a:lnTo>
                            </a:path>
                            <a:path w="3962400" h="0">
                              <a:moveTo>
                                <a:pt x="1143000" y="0"/>
                              </a:moveTo>
                              <a:lnTo>
                                <a:pt x="1676400" y="0"/>
                              </a:lnTo>
                            </a:path>
                            <a:path w="3962400" h="0">
                              <a:moveTo>
                                <a:pt x="1714500" y="0"/>
                              </a:moveTo>
                              <a:lnTo>
                                <a:pt x="2247900" y="0"/>
                              </a:lnTo>
                            </a:path>
                            <a:path w="3962400" h="0">
                              <a:moveTo>
                                <a:pt x="2286000" y="0"/>
                              </a:moveTo>
                              <a:lnTo>
                                <a:pt x="2819400" y="0"/>
                              </a:lnTo>
                            </a:path>
                            <a:path w="3962400" h="0">
                              <a:moveTo>
                                <a:pt x="2857500" y="0"/>
                              </a:moveTo>
                              <a:lnTo>
                                <a:pt x="3390900" y="0"/>
                              </a:lnTo>
                            </a:path>
                            <a:path w="3962400" h="0">
                              <a:moveTo>
                                <a:pt x="3429000" y="0"/>
                              </a:moveTo>
                              <a:lnTo>
                                <a:pt x="3962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8pt;margin-top:10.687236pt;width:312pt;height:.1pt;mso-position-horizontal-relative:page;mso-position-vertical-relative:paragraph;z-index:15841280" id="docshape661" coordorigin="4560,214" coordsize="6240,0" path="m4560,214l5400,214m5460,214l6300,214m6360,214l7200,214m7260,214l8100,214m8160,214l9000,214m9060,214l9900,214m9960,214l10800,214e" filled="false" stroked="true" strokeweight="1pt" strokecolor="#000000">
                <v:path arrowok="t"/>
                <v:stroke dashstyle="solid"/>
                <w10:wrap type="none"/>
              </v:shape>
            </w:pict>
          </mc:Fallback>
        </mc:AlternateContent>
      </w:r>
      <w:r>
        <w:rPr>
          <w:rFonts w:ascii="Arial"/>
          <w:i/>
          <w:sz w:val="16"/>
        </w:rPr>
        <w:t>Days</w:t>
      </w:r>
      <w:r>
        <w:rPr>
          <w:rFonts w:ascii="Arial"/>
          <w:i/>
          <w:spacing w:val="-2"/>
          <w:sz w:val="16"/>
        </w:rPr>
        <w:t> </w:t>
      </w:r>
      <w:r>
        <w:rPr>
          <w:rFonts w:ascii="Arial"/>
          <w:i/>
          <w:sz w:val="16"/>
        </w:rPr>
        <w:t>past</w:t>
      </w:r>
      <w:r>
        <w:rPr>
          <w:rFonts w:ascii="Arial"/>
          <w:i/>
          <w:spacing w:val="-2"/>
          <w:sz w:val="16"/>
        </w:rPr>
        <w:t> </w:t>
      </w:r>
      <w:r>
        <w:rPr>
          <w:rFonts w:ascii="Arial"/>
          <w:i/>
          <w:spacing w:val="-5"/>
          <w:sz w:val="16"/>
        </w:rPr>
        <w:t>due</w:t>
      </w:r>
      <w:r>
        <w:rPr>
          <w:rFonts w:ascii="Arial"/>
          <w:i/>
          <w:sz w:val="16"/>
        </w:rPr>
        <w:tab/>
        <w:t>Up</w:t>
      </w:r>
      <w:r>
        <w:rPr>
          <w:rFonts w:ascii="Arial"/>
          <w:i/>
          <w:spacing w:val="-4"/>
          <w:sz w:val="16"/>
        </w:rPr>
        <w:t> </w:t>
      </w:r>
      <w:r>
        <w:rPr>
          <w:rFonts w:ascii="Arial"/>
          <w:i/>
          <w:sz w:val="16"/>
        </w:rPr>
        <w:t>to</w:t>
      </w:r>
      <w:r>
        <w:rPr>
          <w:rFonts w:ascii="Arial"/>
          <w:i/>
          <w:spacing w:val="-1"/>
          <w:sz w:val="16"/>
        </w:rPr>
        <w:t> </w:t>
      </w:r>
      <w:r>
        <w:rPr>
          <w:rFonts w:ascii="Arial"/>
          <w:i/>
          <w:spacing w:val="-5"/>
          <w:sz w:val="16"/>
        </w:rPr>
        <w:t>45</w:t>
      </w:r>
      <w:r>
        <w:rPr>
          <w:rFonts w:ascii="Arial"/>
          <w:i/>
          <w:sz w:val="16"/>
        </w:rPr>
        <w:tab/>
      </w:r>
      <w:r>
        <w:rPr>
          <w:rFonts w:ascii="Arial"/>
          <w:i/>
          <w:spacing w:val="-2"/>
          <w:sz w:val="16"/>
        </w:rPr>
        <w:t>46-</w:t>
      </w:r>
      <w:r>
        <w:rPr>
          <w:rFonts w:ascii="Arial"/>
          <w:i/>
          <w:spacing w:val="-5"/>
          <w:sz w:val="16"/>
        </w:rPr>
        <w:t>60</w:t>
      </w:r>
      <w:r>
        <w:rPr>
          <w:rFonts w:ascii="Arial"/>
          <w:i/>
          <w:sz w:val="16"/>
        </w:rPr>
        <w:tab/>
      </w:r>
      <w:r>
        <w:rPr>
          <w:rFonts w:ascii="Arial"/>
          <w:i/>
          <w:spacing w:val="-2"/>
          <w:sz w:val="16"/>
        </w:rPr>
        <w:t>61-</w:t>
      </w:r>
      <w:r>
        <w:rPr>
          <w:rFonts w:ascii="Arial"/>
          <w:i/>
          <w:spacing w:val="-5"/>
          <w:sz w:val="16"/>
        </w:rPr>
        <w:t>90</w:t>
      </w:r>
      <w:r>
        <w:rPr>
          <w:rFonts w:ascii="Arial"/>
          <w:i/>
          <w:sz w:val="16"/>
        </w:rPr>
        <w:tab/>
      </w:r>
      <w:r>
        <w:rPr>
          <w:rFonts w:ascii="Arial"/>
          <w:i/>
          <w:spacing w:val="-2"/>
          <w:sz w:val="16"/>
        </w:rPr>
        <w:t>91-</w:t>
      </w:r>
      <w:r>
        <w:rPr>
          <w:rFonts w:ascii="Arial"/>
          <w:i/>
          <w:spacing w:val="-5"/>
          <w:sz w:val="16"/>
        </w:rPr>
        <w:t>180</w:t>
      </w:r>
      <w:r>
        <w:rPr>
          <w:rFonts w:ascii="Arial"/>
          <w:i/>
          <w:sz w:val="16"/>
        </w:rPr>
        <w:tab/>
        <w:t>Over</w:t>
      </w:r>
      <w:r>
        <w:rPr>
          <w:rFonts w:ascii="Arial"/>
          <w:i/>
          <w:spacing w:val="-3"/>
          <w:sz w:val="16"/>
        </w:rPr>
        <w:t> </w:t>
      </w:r>
      <w:r>
        <w:rPr>
          <w:rFonts w:ascii="Arial"/>
          <w:i/>
          <w:spacing w:val="-5"/>
          <w:sz w:val="16"/>
        </w:rPr>
        <w:t>180</w:t>
      </w:r>
    </w:p>
    <w:p>
      <w:pPr>
        <w:spacing w:line="20" w:lineRule="exact"/>
        <w:ind w:left="710" w:right="0" w:firstLine="0"/>
        <w:rPr>
          <w:rFonts w:ascii="Arial"/>
          <w:sz w:val="2"/>
        </w:rPr>
      </w:pPr>
      <w:r>
        <w:rPr>
          <w:rFonts w:ascii="Arial"/>
          <w:sz w:val="2"/>
        </w:rPr>
        <mc:AlternateContent>
          <mc:Choice Requires="wps">
            <w:drawing>
              <wp:inline distT="0" distB="0" distL="0" distR="0">
                <wp:extent cx="1933575" cy="12700"/>
                <wp:effectExtent l="9525" t="0" r="0" b="6350"/>
                <wp:docPr id="782" name="Group 782"/>
                <wp:cNvGraphicFramePr>
                  <a:graphicFrameLocks/>
                </wp:cNvGraphicFramePr>
                <a:graphic>
                  <a:graphicData uri="http://schemas.microsoft.com/office/word/2010/wordprocessingGroup">
                    <wpg:wgp>
                      <wpg:cNvPr id="782" name="Group 782"/>
                      <wpg:cNvGrpSpPr/>
                      <wpg:grpSpPr>
                        <a:xfrm>
                          <a:off x="0" y="0"/>
                          <a:ext cx="1933575" cy="12700"/>
                          <a:chExt cx="1933575" cy="12700"/>
                        </a:xfrm>
                      </wpg:grpSpPr>
                      <wps:wsp>
                        <wps:cNvPr id="783" name="Graphic 783"/>
                        <wps:cNvSpPr/>
                        <wps:spPr>
                          <a:xfrm>
                            <a:off x="0" y="6350"/>
                            <a:ext cx="1933575" cy="1270"/>
                          </a:xfrm>
                          <a:custGeom>
                            <a:avLst/>
                            <a:gdLst/>
                            <a:ahLst/>
                            <a:cxnLst/>
                            <a:rect l="l" t="t" r="r" b="b"/>
                            <a:pathLst>
                              <a:path w="1933575" h="0">
                                <a:moveTo>
                                  <a:pt x="0" y="0"/>
                                </a:moveTo>
                                <a:lnTo>
                                  <a:pt x="1362075" y="0"/>
                                </a:lnTo>
                              </a:path>
                              <a:path w="1933575" h="0">
                                <a:moveTo>
                                  <a:pt x="1400175" y="0"/>
                                </a:moveTo>
                                <a:lnTo>
                                  <a:pt x="19335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2.25pt;height:1pt;mso-position-horizontal-relative:char;mso-position-vertical-relative:line" id="docshapegroup662" coordorigin="0,0" coordsize="3045,20">
                <v:shape style="position:absolute;left:0;top:10;width:3045;height:2" id="docshape663" coordorigin="0,10" coordsize="3045,0" path="m0,10l2145,10m2205,10l3045,10e" filled="false" stroked="true" strokeweight="1pt" strokecolor="#000000">
                  <v:path arrowok="t"/>
                  <v:stroke dashstyle="solid"/>
                </v:shape>
              </v:group>
            </w:pict>
          </mc:Fallback>
        </mc:AlternateContent>
      </w:r>
      <w:r>
        <w:rPr>
          <w:rFonts w:ascii="Arial"/>
          <w:sz w:val="2"/>
        </w:rPr>
      </w:r>
    </w:p>
    <w:p>
      <w:pPr>
        <w:spacing w:before="36"/>
        <w:ind w:left="772" w:right="0" w:firstLine="0"/>
        <w:jc w:val="left"/>
        <w:rPr>
          <w:rFonts w:ascii="Arial MT"/>
          <w:sz w:val="16"/>
        </w:rPr>
      </w:pPr>
      <w:r>
        <w:rPr>
          <w:rFonts w:ascii="Arial MT"/>
          <w:sz w:val="16"/>
        </w:rPr>
        <w:t>Risk</w:t>
      </w:r>
      <w:r>
        <w:rPr>
          <w:rFonts w:ascii="Arial MT"/>
          <w:spacing w:val="-2"/>
          <w:sz w:val="16"/>
        </w:rPr>
        <w:t> Class</w:t>
      </w:r>
    </w:p>
    <w:p>
      <w:pPr>
        <w:pStyle w:val="BodyText"/>
        <w:spacing w:before="115"/>
        <w:rPr>
          <w:rFonts w:ascii="Arial MT"/>
          <w:sz w:val="16"/>
        </w:rPr>
      </w:pPr>
      <w:r>
        <w:rPr/>
        <w:br w:type="column"/>
      </w:r>
      <w:r>
        <w:rPr>
          <w:rFonts w:ascii="Arial MT"/>
          <w:sz w:val="16"/>
        </w:rPr>
      </w:r>
    </w:p>
    <w:p>
      <w:pPr>
        <w:spacing w:before="0"/>
        <w:ind w:left="171" w:right="0" w:firstLine="0"/>
        <w:jc w:val="left"/>
        <w:rPr>
          <w:rFonts w:ascii="Arial"/>
          <w:i/>
          <w:sz w:val="16"/>
        </w:rPr>
      </w:pPr>
      <w:r>
        <w:rPr>
          <w:rFonts w:ascii="Arial"/>
          <w:i/>
          <w:sz w:val="16"/>
        </w:rPr>
        <w:t>Total</w:t>
      </w:r>
      <w:r>
        <w:rPr>
          <w:rFonts w:ascii="Arial"/>
          <w:i/>
          <w:spacing w:val="-3"/>
          <w:sz w:val="16"/>
        </w:rPr>
        <w:t> </w:t>
      </w:r>
      <w:r>
        <w:rPr>
          <w:rFonts w:ascii="Arial"/>
          <w:i/>
          <w:spacing w:val="-4"/>
          <w:sz w:val="16"/>
        </w:rPr>
        <w:t>Past</w:t>
      </w:r>
    </w:p>
    <w:p>
      <w:pPr>
        <w:tabs>
          <w:tab w:pos="1164" w:val="left" w:leader="none"/>
          <w:tab w:pos="2153" w:val="left" w:leader="none"/>
        </w:tabs>
        <w:spacing w:before="8"/>
        <w:ind w:left="384" w:right="0" w:firstLine="0"/>
        <w:jc w:val="left"/>
        <w:rPr>
          <w:rFonts w:ascii="Arial"/>
          <w:i/>
          <w:sz w:val="16"/>
        </w:rPr>
      </w:pPr>
      <w:r>
        <w:rPr>
          <w:rFonts w:ascii="Arial"/>
          <w:i/>
          <w:spacing w:val="-5"/>
          <w:sz w:val="16"/>
        </w:rPr>
        <w:t>Due</w:t>
      </w:r>
      <w:r>
        <w:rPr>
          <w:rFonts w:ascii="Arial"/>
          <w:i/>
          <w:sz w:val="16"/>
        </w:rPr>
        <w:tab/>
      </w:r>
      <w:r>
        <w:rPr>
          <w:rFonts w:ascii="Arial"/>
          <w:i/>
          <w:spacing w:val="-2"/>
          <w:sz w:val="16"/>
        </w:rPr>
        <w:t>Current</w:t>
      </w:r>
      <w:r>
        <w:rPr>
          <w:rFonts w:ascii="Arial"/>
          <w:i/>
          <w:sz w:val="16"/>
        </w:rPr>
        <w:tab/>
      </w:r>
      <w:r>
        <w:rPr>
          <w:rFonts w:ascii="Arial"/>
          <w:i/>
          <w:spacing w:val="-4"/>
          <w:sz w:val="16"/>
        </w:rPr>
        <w:t>Total</w:t>
      </w:r>
    </w:p>
    <w:p>
      <w:pPr>
        <w:spacing w:after="0"/>
        <w:jc w:val="left"/>
        <w:rPr>
          <w:rFonts w:ascii="Arial"/>
          <w:i/>
          <w:sz w:val="16"/>
        </w:rPr>
        <w:sectPr>
          <w:type w:val="continuous"/>
          <w:pgSz w:w="12240" w:h="15840"/>
          <w:pgMar w:header="1033" w:footer="528" w:top="1820" w:bottom="280" w:left="720" w:right="720"/>
          <w:cols w:num="2" w:equalWidth="0">
            <w:col w:w="7290" w:space="40"/>
            <w:col w:w="3470"/>
          </w:cols>
        </w:sectPr>
      </w:pPr>
    </w:p>
    <w:p>
      <w:pPr>
        <w:pStyle w:val="BodyText"/>
        <w:spacing w:before="3"/>
        <w:rPr>
          <w:rFonts w:ascii="Arial"/>
          <w:i/>
          <w:sz w:val="5"/>
        </w:rPr>
      </w:pPr>
    </w:p>
    <w:tbl>
      <w:tblPr>
        <w:tblW w:w="0" w:type="auto"/>
        <w:jc w:val="left"/>
        <w:tblInd w:w="29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862"/>
        <w:gridCol w:w="900"/>
        <w:gridCol w:w="900"/>
        <w:gridCol w:w="900"/>
        <w:gridCol w:w="904"/>
        <w:gridCol w:w="896"/>
        <w:gridCol w:w="878"/>
      </w:tblGrid>
      <w:tr>
        <w:trPr>
          <w:trHeight w:val="209" w:hRule="atLeast"/>
        </w:trPr>
        <w:tc>
          <w:tcPr>
            <w:tcW w:w="3120" w:type="dxa"/>
          </w:tcPr>
          <w:p>
            <w:pPr>
              <w:pStyle w:val="TableParagraph"/>
              <w:tabs>
                <w:tab w:pos="611" w:val="left" w:leader="none"/>
              </w:tabs>
              <w:spacing w:line="179" w:lineRule="exact"/>
              <w:ind w:left="-1973" w:right="2346"/>
              <w:jc w:val="right"/>
              <w:rPr>
                <w:sz w:val="16"/>
              </w:rPr>
            </w:pPr>
            <w:r>
              <w:rPr>
                <w:sz w:val="16"/>
              </w:rPr>
              <w:t>Low</w:t>
            </w:r>
            <w:r>
              <w:rPr>
                <w:spacing w:val="77"/>
                <w:w w:val="150"/>
                <w:sz w:val="16"/>
              </w:rPr>
              <w:t>            </w:t>
            </w:r>
            <w:r>
              <w:rPr>
                <w:spacing w:val="-10"/>
                <w:sz w:val="16"/>
              </w:rPr>
              <w:t>$</w:t>
            </w:r>
            <w:r>
              <w:rPr>
                <w:sz w:val="16"/>
              </w:rPr>
              <w:tab/>
            </w:r>
            <w:r>
              <w:rPr>
                <w:sz w:val="16"/>
              </w:rPr>
              <w:t>—</w:t>
            </w:r>
          </w:p>
        </w:tc>
        <w:tc>
          <w:tcPr>
            <w:tcW w:w="862" w:type="dxa"/>
          </w:tcPr>
          <w:p>
            <w:pPr>
              <w:pStyle w:val="TableParagraph"/>
              <w:tabs>
                <w:tab w:pos="-1594" w:val="left" w:leader="none"/>
              </w:tabs>
              <w:spacing w:line="179" w:lineRule="exact"/>
              <w:ind w:left="-2153" w:right="2293"/>
              <w:jc w:val="right"/>
              <w:rPr>
                <w:sz w:val="16"/>
              </w:rPr>
            </w:pPr>
            <w:r>
              <w:rPr>
                <w:spacing w:val="-10"/>
                <w:sz w:val="16"/>
              </w:rPr>
              <w:t>$</w:t>
            </w:r>
            <w:r>
              <w:rPr>
                <w:sz w:val="16"/>
              </w:rPr>
              <w:tab/>
            </w:r>
            <w:r>
              <w:rPr>
                <w:sz w:val="16"/>
              </w:rPr>
              <w:t>—</w:t>
            </w:r>
          </w:p>
        </w:tc>
        <w:tc>
          <w:tcPr>
            <w:tcW w:w="900" w:type="dxa"/>
          </w:tcPr>
          <w:p>
            <w:pPr>
              <w:pStyle w:val="TableParagraph"/>
              <w:tabs>
                <w:tab w:pos="-1556" w:val="left" w:leader="none"/>
              </w:tabs>
              <w:spacing w:line="179" w:lineRule="exact"/>
              <w:ind w:left="-2115" w:right="2293"/>
              <w:jc w:val="right"/>
              <w:rPr>
                <w:sz w:val="16"/>
              </w:rPr>
            </w:pPr>
            <w:r>
              <w:rPr>
                <w:spacing w:val="-10"/>
                <w:sz w:val="16"/>
              </w:rPr>
              <w:t>$</w:t>
            </w:r>
            <w:r>
              <w:rPr>
                <w:sz w:val="16"/>
              </w:rPr>
              <w:tab/>
            </w:r>
            <w:r>
              <w:rPr>
                <w:sz w:val="16"/>
              </w:rPr>
              <w:t>—</w:t>
            </w:r>
          </w:p>
        </w:tc>
        <w:tc>
          <w:tcPr>
            <w:tcW w:w="900" w:type="dxa"/>
          </w:tcPr>
          <w:p>
            <w:pPr>
              <w:pStyle w:val="TableParagraph"/>
              <w:tabs>
                <w:tab w:pos="-1556" w:val="left" w:leader="none"/>
              </w:tabs>
              <w:spacing w:line="179" w:lineRule="exact"/>
              <w:ind w:left="-2115" w:right="2293"/>
              <w:jc w:val="right"/>
              <w:rPr>
                <w:sz w:val="16"/>
              </w:rPr>
            </w:pPr>
            <w:r>
              <w:rPr>
                <w:spacing w:val="-10"/>
                <w:sz w:val="16"/>
              </w:rPr>
              <w:t>$</w:t>
            </w:r>
            <w:r>
              <w:rPr>
                <w:sz w:val="16"/>
              </w:rPr>
              <w:tab/>
            </w:r>
            <w:r>
              <w:rPr>
                <w:sz w:val="16"/>
              </w:rPr>
              <w:t>—</w:t>
            </w:r>
          </w:p>
        </w:tc>
        <w:tc>
          <w:tcPr>
            <w:tcW w:w="900" w:type="dxa"/>
          </w:tcPr>
          <w:p>
            <w:pPr>
              <w:pStyle w:val="TableParagraph"/>
              <w:tabs>
                <w:tab w:pos="-1556" w:val="left" w:leader="none"/>
              </w:tabs>
              <w:spacing w:line="179" w:lineRule="exact"/>
              <w:ind w:left="-2115" w:right="2293"/>
              <w:jc w:val="right"/>
              <w:rPr>
                <w:sz w:val="16"/>
              </w:rPr>
            </w:pPr>
            <w:r>
              <w:rPr>
                <w:spacing w:val="-10"/>
                <w:sz w:val="16"/>
              </w:rPr>
              <w:t>$</w:t>
            </w:r>
            <w:r>
              <w:rPr>
                <w:sz w:val="16"/>
              </w:rPr>
              <w:tab/>
            </w:r>
            <w:r>
              <w:rPr>
                <w:sz w:val="16"/>
              </w:rPr>
              <w:t>—</w:t>
            </w:r>
          </w:p>
        </w:tc>
        <w:tc>
          <w:tcPr>
            <w:tcW w:w="904" w:type="dxa"/>
          </w:tcPr>
          <w:p>
            <w:pPr>
              <w:pStyle w:val="TableParagraph"/>
              <w:tabs>
                <w:tab w:pos="-1556" w:val="left" w:leader="none"/>
              </w:tabs>
              <w:spacing w:line="179" w:lineRule="exact"/>
              <w:ind w:left="-2115" w:right="2297"/>
              <w:jc w:val="right"/>
              <w:rPr>
                <w:sz w:val="16"/>
              </w:rPr>
            </w:pPr>
            <w:r>
              <w:rPr>
                <w:spacing w:val="-10"/>
                <w:sz w:val="16"/>
              </w:rPr>
              <w:t>$</w:t>
            </w:r>
            <w:r>
              <w:rPr>
                <w:sz w:val="16"/>
              </w:rPr>
              <w:tab/>
            </w:r>
            <w:r>
              <w:rPr>
                <w:sz w:val="16"/>
              </w:rPr>
              <w:t>—</w:t>
            </w:r>
          </w:p>
        </w:tc>
        <w:tc>
          <w:tcPr>
            <w:tcW w:w="896" w:type="dxa"/>
          </w:tcPr>
          <w:p>
            <w:pPr>
              <w:pStyle w:val="TableParagraph"/>
              <w:tabs>
                <w:tab w:pos="-1799" w:val="left" w:leader="none"/>
              </w:tabs>
              <w:spacing w:line="179" w:lineRule="exact"/>
              <w:ind w:left="-2119" w:right="2293"/>
              <w:jc w:val="right"/>
              <w:rPr>
                <w:sz w:val="16"/>
              </w:rPr>
            </w:pPr>
            <w:r>
              <w:rPr>
                <w:spacing w:val="-10"/>
                <w:sz w:val="16"/>
              </w:rPr>
              <w:t>$</w:t>
            </w:r>
            <w:r>
              <w:rPr>
                <w:sz w:val="16"/>
              </w:rPr>
              <w:tab/>
            </w:r>
            <w:r>
              <w:rPr>
                <w:spacing w:val="-2"/>
                <w:sz w:val="16"/>
              </w:rPr>
              <w:t>7,341</w:t>
            </w:r>
          </w:p>
        </w:tc>
        <w:tc>
          <w:tcPr>
            <w:tcW w:w="878" w:type="dxa"/>
          </w:tcPr>
          <w:p>
            <w:pPr>
              <w:pStyle w:val="TableParagraph"/>
              <w:tabs>
                <w:tab w:pos="-1795" w:val="left" w:leader="none"/>
              </w:tabs>
              <w:spacing w:line="179" w:lineRule="exact"/>
              <w:ind w:left="-2115" w:right="2271"/>
              <w:jc w:val="right"/>
              <w:rPr>
                <w:sz w:val="16"/>
              </w:rPr>
            </w:pPr>
            <w:r>
              <w:rPr>
                <w:spacing w:val="-10"/>
                <w:sz w:val="16"/>
              </w:rPr>
              <w:t>$</w:t>
            </w:r>
            <w:r>
              <w:rPr>
                <w:sz w:val="16"/>
              </w:rPr>
              <w:tab/>
            </w:r>
            <w:r>
              <w:rPr>
                <w:spacing w:val="-2"/>
                <w:sz w:val="16"/>
              </w:rPr>
              <w:t>7,341</w:t>
            </w:r>
          </w:p>
        </w:tc>
      </w:tr>
      <w:tr>
        <w:trPr>
          <w:trHeight w:val="240" w:hRule="atLeast"/>
        </w:trPr>
        <w:tc>
          <w:tcPr>
            <w:tcW w:w="3120" w:type="dxa"/>
          </w:tcPr>
          <w:p>
            <w:pPr>
              <w:pStyle w:val="TableParagraph"/>
              <w:spacing w:before="25"/>
              <w:ind w:left="-1973" w:right="2346"/>
              <w:jc w:val="right"/>
              <w:rPr>
                <w:sz w:val="16"/>
              </w:rPr>
            </w:pPr>
            <w:r>
              <w:rPr>
                <w:sz w:val="16"/>
              </w:rPr>
              <w:t>Medium</w:t>
            </w:r>
            <w:r>
              <w:rPr>
                <w:spacing w:val="76"/>
                <w:w w:val="150"/>
                <w:sz w:val="16"/>
              </w:rPr>
              <w:t>              </w:t>
            </w:r>
            <w:r>
              <w:rPr>
                <w:spacing w:val="-10"/>
                <w:sz w:val="16"/>
              </w:rPr>
              <w:t>—</w:t>
            </w:r>
          </w:p>
        </w:tc>
        <w:tc>
          <w:tcPr>
            <w:tcW w:w="862" w:type="dxa"/>
          </w:tcPr>
          <w:p>
            <w:pPr>
              <w:pStyle w:val="TableParagraph"/>
              <w:spacing w:before="25"/>
              <w:ind w:left="-1594" w:right="2293"/>
              <w:jc w:val="right"/>
              <w:rPr>
                <w:sz w:val="16"/>
              </w:rPr>
            </w:pPr>
            <w:r>
              <w:rPr>
                <w:sz w:val="16"/>
              </w:rPr>
              <w:t>—</w:t>
            </w:r>
          </w:p>
        </w:tc>
        <w:tc>
          <w:tcPr>
            <w:tcW w:w="900" w:type="dxa"/>
          </w:tcPr>
          <w:p>
            <w:pPr>
              <w:pStyle w:val="TableParagraph"/>
              <w:spacing w:before="25"/>
              <w:ind w:left="-1556" w:right="2293"/>
              <w:jc w:val="right"/>
              <w:rPr>
                <w:sz w:val="16"/>
              </w:rPr>
            </w:pPr>
            <w:r>
              <w:rPr>
                <w:sz w:val="16"/>
              </w:rPr>
              <w:t>—</w:t>
            </w:r>
          </w:p>
        </w:tc>
        <w:tc>
          <w:tcPr>
            <w:tcW w:w="900" w:type="dxa"/>
          </w:tcPr>
          <w:p>
            <w:pPr>
              <w:pStyle w:val="TableParagraph"/>
              <w:spacing w:before="25"/>
              <w:ind w:left="-1556" w:right="2293"/>
              <w:jc w:val="right"/>
              <w:rPr>
                <w:sz w:val="16"/>
              </w:rPr>
            </w:pPr>
            <w:r>
              <w:rPr>
                <w:sz w:val="16"/>
              </w:rPr>
              <w:t>—</w:t>
            </w:r>
          </w:p>
        </w:tc>
        <w:tc>
          <w:tcPr>
            <w:tcW w:w="900" w:type="dxa"/>
          </w:tcPr>
          <w:p>
            <w:pPr>
              <w:pStyle w:val="TableParagraph"/>
              <w:spacing w:before="25"/>
              <w:ind w:left="-1556" w:right="2293"/>
              <w:jc w:val="right"/>
              <w:rPr>
                <w:sz w:val="16"/>
              </w:rPr>
            </w:pPr>
            <w:r>
              <w:rPr>
                <w:sz w:val="16"/>
              </w:rPr>
              <w:t>—</w:t>
            </w:r>
          </w:p>
        </w:tc>
        <w:tc>
          <w:tcPr>
            <w:tcW w:w="904" w:type="dxa"/>
          </w:tcPr>
          <w:p>
            <w:pPr>
              <w:pStyle w:val="TableParagraph"/>
              <w:spacing w:before="25"/>
              <w:ind w:left="-1556" w:right="2297"/>
              <w:jc w:val="right"/>
              <w:rPr>
                <w:sz w:val="16"/>
              </w:rPr>
            </w:pPr>
            <w:r>
              <w:rPr>
                <w:sz w:val="16"/>
              </w:rPr>
              <w:t>—</w:t>
            </w:r>
          </w:p>
        </w:tc>
        <w:tc>
          <w:tcPr>
            <w:tcW w:w="896" w:type="dxa"/>
          </w:tcPr>
          <w:p>
            <w:pPr>
              <w:pStyle w:val="TableParagraph"/>
              <w:spacing w:before="25"/>
              <w:ind w:left="-2119" w:right="2293"/>
              <w:jc w:val="right"/>
              <w:rPr>
                <w:sz w:val="16"/>
              </w:rPr>
            </w:pPr>
            <w:r>
              <w:rPr>
                <w:spacing w:val="-2"/>
                <w:sz w:val="16"/>
              </w:rPr>
              <w:t>117,886</w:t>
            </w:r>
          </w:p>
        </w:tc>
        <w:tc>
          <w:tcPr>
            <w:tcW w:w="878" w:type="dxa"/>
          </w:tcPr>
          <w:p>
            <w:pPr>
              <w:pStyle w:val="TableParagraph"/>
              <w:spacing w:before="25"/>
              <w:ind w:left="-2115" w:right="2271"/>
              <w:jc w:val="right"/>
              <w:rPr>
                <w:sz w:val="16"/>
              </w:rPr>
            </w:pPr>
            <w:r>
              <w:rPr>
                <w:spacing w:val="-2"/>
                <w:sz w:val="16"/>
              </w:rPr>
              <w:t>117,886</w:t>
            </w:r>
          </w:p>
        </w:tc>
      </w:tr>
      <w:tr>
        <w:trPr>
          <w:trHeight w:val="229" w:hRule="atLeast"/>
        </w:trPr>
        <w:tc>
          <w:tcPr>
            <w:tcW w:w="3120" w:type="dxa"/>
            <w:tcBorders>
              <w:bottom w:val="single" w:sz="8" w:space="0" w:color="000000"/>
            </w:tcBorders>
          </w:tcPr>
          <w:p>
            <w:pPr>
              <w:pStyle w:val="TableParagraph"/>
              <w:tabs>
                <w:tab w:pos="771" w:val="right" w:leader="none"/>
              </w:tabs>
              <w:spacing w:line="184" w:lineRule="exact" w:before="25"/>
              <w:ind w:left="-1973" w:right="2346"/>
              <w:jc w:val="right"/>
              <w:rPr>
                <w:sz w:val="16"/>
              </w:rPr>
            </w:pPr>
            <w:r>
              <w:rPr>
                <w:spacing w:val="-4"/>
                <w:sz w:val="16"/>
              </w:rPr>
              <w:t>High</w:t>
            </w:r>
            <w:r>
              <w:rPr>
                <w:rFonts w:ascii="Times New Roman"/>
                <w:sz w:val="16"/>
              </w:rPr>
              <w:tab/>
            </w:r>
            <w:r>
              <w:rPr>
                <w:spacing w:val="-10"/>
                <w:sz w:val="16"/>
              </w:rPr>
              <w:t>2</w:t>
            </w:r>
          </w:p>
        </w:tc>
        <w:tc>
          <w:tcPr>
            <w:tcW w:w="862" w:type="dxa"/>
            <w:tcBorders>
              <w:bottom w:val="single" w:sz="8" w:space="0" w:color="000000"/>
            </w:tcBorders>
          </w:tcPr>
          <w:p>
            <w:pPr>
              <w:pStyle w:val="TableParagraph"/>
              <w:spacing w:line="184" w:lineRule="exact" w:before="25"/>
              <w:ind w:left="-1594" w:right="2293"/>
              <w:jc w:val="right"/>
              <w:rPr>
                <w:sz w:val="16"/>
              </w:rPr>
            </w:pPr>
            <w:r>
              <w:rPr>
                <w:sz w:val="16"/>
              </w:rPr>
              <w:t>—</w:t>
            </w:r>
          </w:p>
        </w:tc>
        <w:tc>
          <w:tcPr>
            <w:tcW w:w="900" w:type="dxa"/>
            <w:tcBorders>
              <w:bottom w:val="single" w:sz="8" w:space="0" w:color="000000"/>
            </w:tcBorders>
          </w:tcPr>
          <w:p>
            <w:pPr>
              <w:pStyle w:val="TableParagraph"/>
              <w:spacing w:line="184" w:lineRule="exact" w:before="25"/>
              <w:ind w:left="-1556" w:right="2293"/>
              <w:jc w:val="right"/>
              <w:rPr>
                <w:sz w:val="16"/>
              </w:rPr>
            </w:pPr>
            <w:r>
              <w:rPr>
                <w:sz w:val="16"/>
              </w:rPr>
              <w:t>—</w:t>
            </w:r>
          </w:p>
        </w:tc>
        <w:tc>
          <w:tcPr>
            <w:tcW w:w="900" w:type="dxa"/>
            <w:tcBorders>
              <w:bottom w:val="single" w:sz="8" w:space="0" w:color="000000"/>
            </w:tcBorders>
          </w:tcPr>
          <w:p>
            <w:pPr>
              <w:pStyle w:val="TableParagraph"/>
              <w:spacing w:line="184" w:lineRule="exact" w:before="25"/>
              <w:ind w:left="-1556" w:right="2293"/>
              <w:jc w:val="right"/>
              <w:rPr>
                <w:sz w:val="16"/>
              </w:rPr>
            </w:pPr>
            <w:r>
              <w:rPr>
                <w:sz w:val="16"/>
              </w:rPr>
              <w:t>—</w:t>
            </w:r>
          </w:p>
        </w:tc>
        <w:tc>
          <w:tcPr>
            <w:tcW w:w="900" w:type="dxa"/>
            <w:tcBorders>
              <w:bottom w:val="single" w:sz="8" w:space="0" w:color="000000"/>
            </w:tcBorders>
          </w:tcPr>
          <w:p>
            <w:pPr>
              <w:pStyle w:val="TableParagraph"/>
              <w:spacing w:line="184" w:lineRule="exact" w:before="25"/>
              <w:ind w:left="-1556" w:right="2293"/>
              <w:jc w:val="right"/>
              <w:rPr>
                <w:sz w:val="16"/>
              </w:rPr>
            </w:pPr>
            <w:r>
              <w:rPr>
                <w:sz w:val="16"/>
              </w:rPr>
              <w:t>—</w:t>
            </w:r>
          </w:p>
        </w:tc>
        <w:tc>
          <w:tcPr>
            <w:tcW w:w="904" w:type="dxa"/>
            <w:tcBorders>
              <w:bottom w:val="single" w:sz="8" w:space="0" w:color="000000"/>
            </w:tcBorders>
          </w:tcPr>
          <w:p>
            <w:pPr>
              <w:pStyle w:val="TableParagraph"/>
              <w:spacing w:line="184" w:lineRule="exact" w:before="25"/>
              <w:ind w:left="-2115" w:right="2297"/>
              <w:jc w:val="right"/>
              <w:rPr>
                <w:sz w:val="16"/>
              </w:rPr>
            </w:pPr>
            <w:r>
              <w:rPr>
                <w:spacing w:val="-10"/>
                <w:sz w:val="16"/>
              </w:rPr>
              <w:t>2</w:t>
            </w:r>
          </w:p>
        </w:tc>
        <w:tc>
          <w:tcPr>
            <w:tcW w:w="896" w:type="dxa"/>
            <w:tcBorders>
              <w:bottom w:val="single" w:sz="8" w:space="0" w:color="000000"/>
            </w:tcBorders>
          </w:tcPr>
          <w:p>
            <w:pPr>
              <w:pStyle w:val="TableParagraph"/>
              <w:spacing w:line="184" w:lineRule="exact" w:before="25"/>
              <w:ind w:left="-2119" w:right="2293"/>
              <w:jc w:val="right"/>
              <w:rPr>
                <w:sz w:val="16"/>
              </w:rPr>
            </w:pPr>
            <w:r>
              <w:rPr>
                <w:spacing w:val="-2"/>
                <w:sz w:val="16"/>
              </w:rPr>
              <w:t>117,242</w:t>
            </w:r>
          </w:p>
        </w:tc>
        <w:tc>
          <w:tcPr>
            <w:tcW w:w="878" w:type="dxa"/>
            <w:tcBorders>
              <w:bottom w:val="single" w:sz="8" w:space="0" w:color="000000"/>
            </w:tcBorders>
          </w:tcPr>
          <w:p>
            <w:pPr>
              <w:pStyle w:val="TableParagraph"/>
              <w:spacing w:line="184" w:lineRule="exact" w:before="25"/>
              <w:ind w:left="-2115" w:right="2271"/>
              <w:jc w:val="right"/>
              <w:rPr>
                <w:sz w:val="16"/>
              </w:rPr>
            </w:pPr>
            <w:r>
              <w:rPr>
                <w:spacing w:val="-2"/>
                <w:sz w:val="16"/>
              </w:rPr>
              <w:t>117,244</w:t>
            </w:r>
          </w:p>
        </w:tc>
      </w:tr>
      <w:tr>
        <w:trPr>
          <w:trHeight w:val="230" w:hRule="atLeast"/>
        </w:trPr>
        <w:tc>
          <w:tcPr>
            <w:tcW w:w="3120" w:type="dxa"/>
            <w:tcBorders>
              <w:top w:val="single" w:sz="8" w:space="0" w:color="000000"/>
            </w:tcBorders>
          </w:tcPr>
          <w:p>
            <w:pPr>
              <w:pStyle w:val="TableParagraph"/>
              <w:tabs>
                <w:tab w:pos="771" w:val="right" w:leader="none"/>
              </w:tabs>
              <w:spacing w:before="16"/>
              <w:ind w:left="-2153" w:right="2346"/>
              <w:jc w:val="right"/>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r>
              <w:rPr>
                <w:rFonts w:ascii="Times New Roman"/>
                <w:sz w:val="16"/>
              </w:rPr>
              <w:tab/>
            </w:r>
            <w:r>
              <w:rPr>
                <w:spacing w:val="-10"/>
                <w:sz w:val="16"/>
              </w:rPr>
              <w:t>2</w:t>
            </w:r>
          </w:p>
        </w:tc>
        <w:tc>
          <w:tcPr>
            <w:tcW w:w="862" w:type="dxa"/>
            <w:tcBorders>
              <w:top w:val="single" w:sz="8" w:space="0" w:color="000000"/>
            </w:tcBorders>
          </w:tcPr>
          <w:p>
            <w:pPr>
              <w:pStyle w:val="TableParagraph"/>
              <w:spacing w:before="16"/>
              <w:ind w:left="-1594" w:right="2293"/>
              <w:jc w:val="right"/>
              <w:rPr>
                <w:sz w:val="16"/>
              </w:rPr>
            </w:pPr>
            <w:r>
              <w:rPr>
                <w:sz w:val="16"/>
              </w:rPr>
              <w:t>—</w:t>
            </w:r>
          </w:p>
        </w:tc>
        <w:tc>
          <w:tcPr>
            <w:tcW w:w="900" w:type="dxa"/>
            <w:tcBorders>
              <w:top w:val="single" w:sz="8" w:space="0" w:color="000000"/>
            </w:tcBorders>
          </w:tcPr>
          <w:p>
            <w:pPr>
              <w:pStyle w:val="TableParagraph"/>
              <w:spacing w:before="16"/>
              <w:ind w:left="-1556" w:right="2293"/>
              <w:jc w:val="right"/>
              <w:rPr>
                <w:sz w:val="16"/>
              </w:rPr>
            </w:pPr>
            <w:r>
              <w:rPr>
                <w:sz w:val="16"/>
              </w:rPr>
              <w:t>—</w:t>
            </w:r>
          </w:p>
        </w:tc>
        <w:tc>
          <w:tcPr>
            <w:tcW w:w="900" w:type="dxa"/>
            <w:tcBorders>
              <w:top w:val="single" w:sz="8" w:space="0" w:color="000000"/>
            </w:tcBorders>
          </w:tcPr>
          <w:p>
            <w:pPr>
              <w:pStyle w:val="TableParagraph"/>
              <w:spacing w:before="16"/>
              <w:ind w:left="-1556" w:right="2293"/>
              <w:jc w:val="right"/>
              <w:rPr>
                <w:sz w:val="16"/>
              </w:rPr>
            </w:pPr>
            <w:r>
              <w:rPr>
                <w:sz w:val="16"/>
              </w:rPr>
              <w:t>—</w:t>
            </w:r>
          </w:p>
        </w:tc>
        <w:tc>
          <w:tcPr>
            <w:tcW w:w="900" w:type="dxa"/>
            <w:tcBorders>
              <w:top w:val="single" w:sz="8" w:space="0" w:color="000000"/>
            </w:tcBorders>
          </w:tcPr>
          <w:p>
            <w:pPr>
              <w:pStyle w:val="TableParagraph"/>
              <w:spacing w:before="16"/>
              <w:ind w:left="-1556" w:right="2293"/>
              <w:jc w:val="right"/>
              <w:rPr>
                <w:sz w:val="16"/>
              </w:rPr>
            </w:pPr>
            <w:r>
              <w:rPr>
                <w:sz w:val="16"/>
              </w:rPr>
              <w:t>—</w:t>
            </w:r>
          </w:p>
        </w:tc>
        <w:tc>
          <w:tcPr>
            <w:tcW w:w="904" w:type="dxa"/>
            <w:tcBorders>
              <w:top w:val="single" w:sz="8" w:space="0" w:color="000000"/>
            </w:tcBorders>
          </w:tcPr>
          <w:p>
            <w:pPr>
              <w:pStyle w:val="TableParagraph"/>
              <w:spacing w:before="16"/>
              <w:ind w:left="-2115" w:right="2297"/>
              <w:jc w:val="right"/>
              <w:rPr>
                <w:sz w:val="16"/>
              </w:rPr>
            </w:pPr>
            <w:r>
              <w:rPr>
                <w:spacing w:val="-10"/>
                <w:sz w:val="16"/>
              </w:rPr>
              <w:t>2</w:t>
            </w:r>
          </w:p>
        </w:tc>
        <w:tc>
          <w:tcPr>
            <w:tcW w:w="896" w:type="dxa"/>
            <w:tcBorders>
              <w:top w:val="single" w:sz="8" w:space="0" w:color="000000"/>
            </w:tcBorders>
          </w:tcPr>
          <w:p>
            <w:pPr>
              <w:pStyle w:val="TableParagraph"/>
              <w:spacing w:before="16"/>
              <w:ind w:left="-2119" w:right="2293"/>
              <w:jc w:val="right"/>
              <w:rPr>
                <w:sz w:val="16"/>
              </w:rPr>
            </w:pPr>
            <w:r>
              <w:rPr>
                <w:spacing w:val="-2"/>
                <w:sz w:val="16"/>
              </w:rPr>
              <w:t>242,469</w:t>
            </w:r>
          </w:p>
        </w:tc>
        <w:tc>
          <w:tcPr>
            <w:tcW w:w="878" w:type="dxa"/>
            <w:tcBorders>
              <w:top w:val="single" w:sz="8" w:space="0" w:color="000000"/>
            </w:tcBorders>
          </w:tcPr>
          <w:p>
            <w:pPr>
              <w:pStyle w:val="TableParagraph"/>
              <w:spacing w:before="16"/>
              <w:ind w:left="-2115" w:right="2271"/>
              <w:jc w:val="right"/>
              <w:rPr>
                <w:sz w:val="16"/>
              </w:rPr>
            </w:pPr>
            <w:r>
              <w:rPr>
                <w:spacing w:val="-2"/>
                <w:sz w:val="16"/>
              </w:rPr>
              <w:t>242,471</w:t>
            </w:r>
          </w:p>
        </w:tc>
      </w:tr>
      <w:tr>
        <w:trPr>
          <w:trHeight w:val="229" w:hRule="atLeast"/>
        </w:trPr>
        <w:tc>
          <w:tcPr>
            <w:tcW w:w="3120" w:type="dxa"/>
            <w:tcBorders>
              <w:bottom w:val="single" w:sz="8" w:space="0" w:color="000000"/>
            </w:tcBorders>
          </w:tcPr>
          <w:p>
            <w:pPr>
              <w:pStyle w:val="TableParagraph"/>
              <w:spacing w:line="184" w:lineRule="exact" w:before="25"/>
              <w:ind w:left="-2153" w:right="2346"/>
              <w:jc w:val="right"/>
              <w:rPr>
                <w:sz w:val="16"/>
              </w:rPr>
            </w:pPr>
            <w:r>
              <w:rPr>
                <w:sz w:val="16"/>
              </w:rPr>
              <w:t>Loans</w:t>
            </w:r>
            <w:r>
              <w:rPr>
                <w:spacing w:val="-1"/>
                <w:sz w:val="16"/>
              </w:rPr>
              <w:t> </w:t>
            </w:r>
            <w:r>
              <w:rPr>
                <w:sz w:val="16"/>
              </w:rPr>
              <w:t>in</w:t>
            </w:r>
            <w:r>
              <w:rPr>
                <w:spacing w:val="-2"/>
                <w:sz w:val="16"/>
              </w:rPr>
              <w:t> </w:t>
            </w:r>
            <w:r>
              <w:rPr>
                <w:sz w:val="16"/>
              </w:rPr>
              <w:t>nonaccrual status</w:t>
            </w:r>
            <w:r>
              <w:rPr>
                <w:spacing w:val="75"/>
                <w:w w:val="150"/>
                <w:sz w:val="16"/>
              </w:rPr>
              <w:t>      </w:t>
            </w:r>
            <w:r>
              <w:rPr>
                <w:spacing w:val="-10"/>
                <w:sz w:val="16"/>
              </w:rPr>
              <w:t>—</w:t>
            </w:r>
          </w:p>
        </w:tc>
        <w:tc>
          <w:tcPr>
            <w:tcW w:w="862" w:type="dxa"/>
            <w:tcBorders>
              <w:bottom w:val="single" w:sz="8" w:space="0" w:color="000000"/>
            </w:tcBorders>
          </w:tcPr>
          <w:p>
            <w:pPr>
              <w:pStyle w:val="TableParagraph"/>
              <w:spacing w:line="184" w:lineRule="exact" w:before="25"/>
              <w:ind w:left="-2153" w:right="2293"/>
              <w:jc w:val="right"/>
              <w:rPr>
                <w:sz w:val="16"/>
              </w:rPr>
            </w:pPr>
            <w:r>
              <w:rPr>
                <w:sz w:val="16"/>
              </w:rPr>
              <mc:AlternateContent>
                <mc:Choice Requires="wps">
                  <w:drawing>
                    <wp:anchor distT="0" distB="0" distL="0" distR="0" allowOverlap="1" layoutInCell="1" locked="0" behindDoc="1" simplePos="0" relativeHeight="470630400">
                      <wp:simplePos x="0" y="0"/>
                      <wp:positionH relativeFrom="column">
                        <wp:posOffset>0</wp:posOffset>
                      </wp:positionH>
                      <wp:positionV relativeFrom="paragraph">
                        <wp:posOffset>284910</wp:posOffset>
                      </wp:positionV>
                      <wp:extent cx="3962400" cy="12700"/>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3962400" cy="12700"/>
                                <a:chExt cx="3962400" cy="12700"/>
                              </a:xfrm>
                            </wpg:grpSpPr>
                            <wps:wsp>
                              <wps:cNvPr id="785" name="Graphic 785"/>
                              <wps:cNvSpPr/>
                              <wps:spPr>
                                <a:xfrm>
                                  <a:off x="0" y="6350"/>
                                  <a:ext cx="3962400" cy="1270"/>
                                </a:xfrm>
                                <a:custGeom>
                                  <a:avLst/>
                                  <a:gdLst/>
                                  <a:ahLst/>
                                  <a:cxnLst/>
                                  <a:rect l="l" t="t" r="r" b="b"/>
                                  <a:pathLst>
                                    <a:path w="3962400" h="0">
                                      <a:moveTo>
                                        <a:pt x="0" y="0"/>
                                      </a:moveTo>
                                      <a:lnTo>
                                        <a:pt x="533400" y="0"/>
                                      </a:lnTo>
                                    </a:path>
                                    <a:path w="3962400" h="0">
                                      <a:moveTo>
                                        <a:pt x="571500" y="0"/>
                                      </a:moveTo>
                                      <a:lnTo>
                                        <a:pt x="1104900" y="0"/>
                                      </a:lnTo>
                                    </a:path>
                                    <a:path w="3962400" h="0">
                                      <a:moveTo>
                                        <a:pt x="1143000" y="0"/>
                                      </a:moveTo>
                                      <a:lnTo>
                                        <a:pt x="1676400" y="0"/>
                                      </a:lnTo>
                                    </a:path>
                                    <a:path w="3962400" h="0">
                                      <a:moveTo>
                                        <a:pt x="1714500" y="0"/>
                                      </a:moveTo>
                                      <a:lnTo>
                                        <a:pt x="2247900" y="0"/>
                                      </a:lnTo>
                                    </a:path>
                                    <a:path w="3962400" h="0">
                                      <a:moveTo>
                                        <a:pt x="2286000" y="0"/>
                                      </a:moveTo>
                                      <a:lnTo>
                                        <a:pt x="2819400" y="0"/>
                                      </a:lnTo>
                                    </a:path>
                                    <a:path w="3962400" h="0">
                                      <a:moveTo>
                                        <a:pt x="2857500" y="0"/>
                                      </a:moveTo>
                                      <a:lnTo>
                                        <a:pt x="3390900" y="0"/>
                                      </a:lnTo>
                                    </a:path>
                                    <a:path w="3962400" h="0">
                                      <a:moveTo>
                                        <a:pt x="3429000" y="0"/>
                                      </a:moveTo>
                                      <a:lnTo>
                                        <a:pt x="3962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2.433926pt;width:312pt;height:1pt;mso-position-horizontal-relative:column;mso-position-vertical-relative:paragraph;z-index:-32686080" id="docshapegroup664" coordorigin="0,449" coordsize="6240,20">
                      <v:shape style="position:absolute;left:0;top:458;width:6240;height:2" id="docshape665" coordorigin="0,459" coordsize="6240,0" path="m0,459l840,459m900,459l1740,459m1800,459l2640,459m2700,459l3540,459m3600,459l4440,459m4500,459l5340,459m5400,459l6240,459e" filled="false" stroked="true" strokeweight="1pt" strokecolor="#000000">
                        <v:path arrowok="t"/>
                        <v:stroke dashstyle="solid"/>
                      </v:shape>
                      <w10:wrap type="none"/>
                    </v:group>
                  </w:pict>
                </mc:Fallback>
              </mc:AlternateContent>
            </w:r>
            <w:r>
              <w:rPr>
                <w:spacing w:val="-10"/>
                <w:sz w:val="16"/>
              </w:rPr>
              <w:t>1</w:t>
            </w:r>
          </w:p>
        </w:tc>
        <w:tc>
          <w:tcPr>
            <w:tcW w:w="900" w:type="dxa"/>
            <w:tcBorders>
              <w:bottom w:val="single" w:sz="8" w:space="0" w:color="000000"/>
            </w:tcBorders>
          </w:tcPr>
          <w:p>
            <w:pPr>
              <w:pStyle w:val="TableParagraph"/>
              <w:spacing w:line="184" w:lineRule="exact" w:before="25"/>
              <w:ind w:left="-2115" w:right="2293"/>
              <w:jc w:val="right"/>
              <w:rPr>
                <w:sz w:val="16"/>
              </w:rPr>
            </w:pPr>
            <w:r>
              <w:rPr>
                <w:spacing w:val="-5"/>
                <w:sz w:val="16"/>
              </w:rPr>
              <w:t>40</w:t>
            </w:r>
          </w:p>
        </w:tc>
        <w:tc>
          <w:tcPr>
            <w:tcW w:w="900" w:type="dxa"/>
            <w:tcBorders>
              <w:bottom w:val="single" w:sz="8" w:space="0" w:color="000000"/>
            </w:tcBorders>
          </w:tcPr>
          <w:p>
            <w:pPr>
              <w:pStyle w:val="TableParagraph"/>
              <w:spacing w:line="184" w:lineRule="exact" w:before="25"/>
              <w:ind w:left="-2115" w:right="2293"/>
              <w:jc w:val="right"/>
              <w:rPr>
                <w:sz w:val="16"/>
              </w:rPr>
            </w:pPr>
            <w:r>
              <w:rPr>
                <w:spacing w:val="-5"/>
                <w:sz w:val="16"/>
              </w:rPr>
              <w:t>26</w:t>
            </w:r>
          </w:p>
        </w:tc>
        <w:tc>
          <w:tcPr>
            <w:tcW w:w="900" w:type="dxa"/>
            <w:tcBorders>
              <w:bottom w:val="single" w:sz="8" w:space="0" w:color="000000"/>
            </w:tcBorders>
          </w:tcPr>
          <w:p>
            <w:pPr>
              <w:pStyle w:val="TableParagraph"/>
              <w:spacing w:line="184" w:lineRule="exact" w:before="25"/>
              <w:ind w:left="-2115" w:right="2293"/>
              <w:jc w:val="right"/>
              <w:rPr>
                <w:sz w:val="16"/>
              </w:rPr>
            </w:pPr>
            <w:r>
              <w:rPr>
                <w:spacing w:val="-5"/>
                <w:sz w:val="16"/>
              </w:rPr>
              <w:t>532</w:t>
            </w:r>
          </w:p>
        </w:tc>
        <w:tc>
          <w:tcPr>
            <w:tcW w:w="904" w:type="dxa"/>
            <w:tcBorders>
              <w:bottom w:val="single" w:sz="8" w:space="0" w:color="000000"/>
            </w:tcBorders>
          </w:tcPr>
          <w:p>
            <w:pPr>
              <w:pStyle w:val="TableParagraph"/>
              <w:spacing w:line="184" w:lineRule="exact" w:before="25"/>
              <w:ind w:left="-2115" w:right="2297"/>
              <w:jc w:val="right"/>
              <w:rPr>
                <w:sz w:val="16"/>
              </w:rPr>
            </w:pPr>
            <w:r>
              <w:rPr>
                <w:spacing w:val="-5"/>
                <w:sz w:val="16"/>
              </w:rPr>
              <w:t>599</w:t>
            </w:r>
          </w:p>
        </w:tc>
        <w:tc>
          <w:tcPr>
            <w:tcW w:w="896" w:type="dxa"/>
            <w:tcBorders>
              <w:bottom w:val="single" w:sz="8" w:space="0" w:color="000000"/>
            </w:tcBorders>
          </w:tcPr>
          <w:p>
            <w:pPr>
              <w:pStyle w:val="TableParagraph"/>
              <w:spacing w:line="184" w:lineRule="exact" w:before="25"/>
              <w:ind w:left="-2119" w:right="2293"/>
              <w:jc w:val="right"/>
              <w:rPr>
                <w:sz w:val="16"/>
              </w:rPr>
            </w:pPr>
            <w:r>
              <w:rPr>
                <w:spacing w:val="-5"/>
                <w:sz w:val="16"/>
              </w:rPr>
              <w:t>826</w:t>
            </w:r>
          </w:p>
        </w:tc>
        <w:tc>
          <w:tcPr>
            <w:tcW w:w="878" w:type="dxa"/>
            <w:tcBorders>
              <w:bottom w:val="single" w:sz="8" w:space="0" w:color="000000"/>
            </w:tcBorders>
          </w:tcPr>
          <w:p>
            <w:pPr>
              <w:pStyle w:val="TableParagraph"/>
              <w:spacing w:line="184" w:lineRule="exact" w:before="25"/>
              <w:ind w:left="-2115" w:right="2271"/>
              <w:jc w:val="right"/>
              <w:rPr>
                <w:sz w:val="16"/>
              </w:rPr>
            </w:pPr>
            <w:r>
              <w:rPr>
                <w:spacing w:val="-2"/>
                <w:sz w:val="16"/>
              </w:rPr>
              <w:t>1,425</w:t>
            </w:r>
          </w:p>
        </w:tc>
      </w:tr>
      <w:tr>
        <w:trPr>
          <w:trHeight w:val="240" w:hRule="atLeast"/>
        </w:trPr>
        <w:tc>
          <w:tcPr>
            <w:tcW w:w="3982" w:type="dxa"/>
            <w:gridSpan w:val="2"/>
            <w:tcBorders>
              <w:bottom w:val="single" w:sz="8" w:space="0" w:color="000000"/>
            </w:tcBorders>
          </w:tcPr>
          <w:p>
            <w:pPr>
              <w:pStyle w:val="TableParagraph"/>
              <w:tabs>
                <w:tab w:pos="682" w:val="left" w:leader="none"/>
                <w:tab w:pos="1686" w:val="right" w:leader="none"/>
              </w:tabs>
              <w:spacing w:before="16"/>
              <w:ind w:left="-2153"/>
              <w:rPr>
                <w:sz w:val="16"/>
              </w:rPr>
            </w:pPr>
            <w:r>
              <w:rPr>
                <w:sz w:val="16"/>
              </w:rPr>
              <mc:AlternateContent>
                <mc:Choice Requires="wps">
                  <w:drawing>
                    <wp:anchor distT="0" distB="0" distL="0" distR="0" allowOverlap="1" layoutInCell="1" locked="0" behindDoc="0" simplePos="0" relativeHeight="15841792">
                      <wp:simplePos x="0" y="0"/>
                      <wp:positionH relativeFrom="column">
                        <wp:posOffset>1400175</wp:posOffset>
                      </wp:positionH>
                      <wp:positionV relativeFrom="paragraph">
                        <wp:posOffset>152196</wp:posOffset>
                      </wp:positionV>
                      <wp:extent cx="533400" cy="1270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533400" cy="12700"/>
                                <a:chExt cx="533400" cy="12700"/>
                              </a:xfrm>
                            </wpg:grpSpPr>
                            <wps:wsp>
                              <wps:cNvPr id="787" name="Graphic 787"/>
                              <wps:cNvSpPr/>
                              <wps:spPr>
                                <a:xfrm>
                                  <a:off x="0" y="6350"/>
                                  <a:ext cx="533400" cy="1270"/>
                                </a:xfrm>
                                <a:custGeom>
                                  <a:avLst/>
                                  <a:gdLst/>
                                  <a:ahLst/>
                                  <a:cxnLst/>
                                  <a:rect l="l" t="t" r="r" b="b"/>
                                  <a:pathLst>
                                    <a:path w="533400" h="0">
                                      <a:moveTo>
                                        <a:pt x="0" y="0"/>
                                      </a:moveTo>
                                      <a:lnTo>
                                        <a:pt x="533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25pt;margin-top:11.983955pt;width:42pt;height:1pt;mso-position-horizontal-relative:column;mso-position-vertical-relative:paragraph;z-index:15841792" id="docshapegroup666" coordorigin="2205,240" coordsize="840,20">
                      <v:line style="position:absolute" from="2205,250" to="3045,250" stroked="true" strokeweight="1pt" strokecolor="#000000">
                        <v:stroke dashstyle="solid"/>
                      </v:line>
                      <w10:wrap type="none"/>
                    </v:group>
                  </w:pict>
                </mc:Fallback>
              </mc:AlternateContent>
            </w:r>
            <w:r>
              <w:rPr>
                <w:sz w:val="16"/>
              </w:rPr>
              <w:t>Total</w:t>
            </w:r>
            <w:r>
              <w:rPr>
                <w:spacing w:val="1750"/>
                <w:sz w:val="16"/>
              </w:rPr>
              <w:t> </w:t>
            </w:r>
            <w:r>
              <w:rPr>
                <w:spacing w:val="12"/>
                <w:sz w:val="16"/>
                <w:u w:val="single"/>
              </w:rPr>
              <w:t> </w:t>
            </w:r>
            <w:r>
              <w:rPr>
                <w:spacing w:val="-10"/>
                <w:sz w:val="16"/>
                <w:u w:val="single"/>
              </w:rPr>
              <w:t>$</w:t>
            </w:r>
            <w:r>
              <w:rPr>
                <w:sz w:val="16"/>
                <w:u w:val="single"/>
              </w:rPr>
              <w:tab/>
              <w:t>2</w:t>
            </w:r>
            <w:r>
              <w:rPr>
                <w:spacing w:val="52"/>
                <w:sz w:val="16"/>
              </w:rPr>
              <w:t>  </w:t>
            </w:r>
            <w:r>
              <w:rPr>
                <w:spacing w:val="-10"/>
                <w:sz w:val="16"/>
              </w:rPr>
              <w:t>$</w:t>
            </w:r>
            <w:r>
              <w:rPr>
                <w:rFonts w:ascii="Times New Roman"/>
                <w:sz w:val="16"/>
              </w:rPr>
              <w:tab/>
            </w:r>
            <w:r>
              <w:rPr>
                <w:spacing w:val="-10"/>
                <w:sz w:val="16"/>
              </w:rPr>
              <w:t>1</w:t>
            </w:r>
          </w:p>
        </w:tc>
        <w:tc>
          <w:tcPr>
            <w:tcW w:w="900" w:type="dxa"/>
            <w:tcBorders>
              <w:bottom w:val="single" w:sz="8" w:space="0" w:color="000000"/>
            </w:tcBorders>
          </w:tcPr>
          <w:p>
            <w:pPr>
              <w:pStyle w:val="TableParagraph"/>
              <w:tabs>
                <w:tab w:pos="-1573" w:val="left" w:leader="none"/>
              </w:tabs>
              <w:spacing w:before="16"/>
              <w:ind w:left="-2115" w:right="2293"/>
              <w:jc w:val="right"/>
              <w:rPr>
                <w:sz w:val="16"/>
              </w:rPr>
            </w:pPr>
            <w:r>
              <w:rPr>
                <w:spacing w:val="-10"/>
                <w:sz w:val="16"/>
              </w:rPr>
              <w:t>$</w:t>
            </w:r>
            <w:r>
              <w:rPr>
                <w:sz w:val="16"/>
              </w:rPr>
              <w:tab/>
            </w:r>
            <w:r>
              <w:rPr>
                <w:spacing w:val="-5"/>
                <w:sz w:val="16"/>
              </w:rPr>
              <w:t>40</w:t>
            </w:r>
          </w:p>
        </w:tc>
        <w:tc>
          <w:tcPr>
            <w:tcW w:w="900" w:type="dxa"/>
            <w:tcBorders>
              <w:bottom w:val="single" w:sz="8" w:space="0" w:color="000000"/>
            </w:tcBorders>
          </w:tcPr>
          <w:p>
            <w:pPr>
              <w:pStyle w:val="TableParagraph"/>
              <w:tabs>
                <w:tab w:pos="-1573" w:val="left" w:leader="none"/>
              </w:tabs>
              <w:spacing w:before="16"/>
              <w:ind w:left="-2115" w:right="2293"/>
              <w:jc w:val="right"/>
              <w:rPr>
                <w:sz w:val="16"/>
              </w:rPr>
            </w:pPr>
            <w:r>
              <w:rPr>
                <w:spacing w:val="-10"/>
                <w:sz w:val="16"/>
              </w:rPr>
              <w:t>$</w:t>
            </w:r>
            <w:r>
              <w:rPr>
                <w:sz w:val="16"/>
              </w:rPr>
              <w:tab/>
            </w:r>
            <w:r>
              <w:rPr>
                <w:spacing w:val="-5"/>
                <w:sz w:val="16"/>
              </w:rPr>
              <w:t>26</w:t>
            </w:r>
          </w:p>
        </w:tc>
        <w:tc>
          <w:tcPr>
            <w:tcW w:w="900" w:type="dxa"/>
            <w:tcBorders>
              <w:bottom w:val="single" w:sz="8" w:space="0" w:color="000000"/>
            </w:tcBorders>
          </w:tcPr>
          <w:p>
            <w:pPr>
              <w:pStyle w:val="TableParagraph"/>
              <w:tabs>
                <w:tab w:pos="-1662" w:val="left" w:leader="none"/>
              </w:tabs>
              <w:spacing w:before="16"/>
              <w:ind w:left="-2115" w:right="2293"/>
              <w:jc w:val="right"/>
              <w:rPr>
                <w:sz w:val="16"/>
              </w:rPr>
            </w:pPr>
            <w:r>
              <w:rPr>
                <w:spacing w:val="-10"/>
                <w:sz w:val="16"/>
              </w:rPr>
              <w:t>$</w:t>
            </w:r>
            <w:r>
              <w:rPr>
                <w:sz w:val="16"/>
              </w:rPr>
              <w:tab/>
            </w:r>
            <w:r>
              <w:rPr>
                <w:spacing w:val="-5"/>
                <w:sz w:val="16"/>
              </w:rPr>
              <w:t>532</w:t>
            </w:r>
          </w:p>
        </w:tc>
        <w:tc>
          <w:tcPr>
            <w:tcW w:w="904" w:type="dxa"/>
            <w:tcBorders>
              <w:bottom w:val="single" w:sz="8" w:space="0" w:color="000000"/>
            </w:tcBorders>
          </w:tcPr>
          <w:p>
            <w:pPr>
              <w:pStyle w:val="TableParagraph"/>
              <w:tabs>
                <w:tab w:pos="-1662" w:val="left" w:leader="none"/>
              </w:tabs>
              <w:spacing w:before="16"/>
              <w:ind w:left="-2115" w:right="2297"/>
              <w:jc w:val="right"/>
              <w:rPr>
                <w:sz w:val="16"/>
              </w:rPr>
            </w:pPr>
            <w:r>
              <w:rPr>
                <w:spacing w:val="-10"/>
                <w:sz w:val="16"/>
              </w:rPr>
              <w:t>$</w:t>
            </w:r>
            <w:r>
              <w:rPr>
                <w:sz w:val="16"/>
              </w:rPr>
              <w:tab/>
            </w:r>
            <w:r>
              <w:rPr>
                <w:spacing w:val="-5"/>
                <w:sz w:val="16"/>
              </w:rPr>
              <w:t>601</w:t>
            </w:r>
          </w:p>
        </w:tc>
        <w:tc>
          <w:tcPr>
            <w:tcW w:w="896" w:type="dxa"/>
            <w:tcBorders>
              <w:bottom w:val="single" w:sz="8" w:space="0" w:color="000000"/>
            </w:tcBorders>
          </w:tcPr>
          <w:p>
            <w:pPr>
              <w:pStyle w:val="TableParagraph"/>
              <w:spacing w:before="16"/>
              <w:ind w:left="-2119" w:right="2293"/>
              <w:jc w:val="right"/>
              <w:rPr>
                <w:sz w:val="16"/>
              </w:rPr>
            </w:pPr>
            <w:r>
              <w:rPr>
                <w:sz w:val="16"/>
              </w:rPr>
              <w:t>$</w:t>
            </w:r>
            <w:r>
              <w:rPr>
                <w:spacing w:val="8"/>
                <w:sz w:val="16"/>
              </w:rPr>
              <w:t> </w:t>
            </w:r>
            <w:r>
              <w:rPr>
                <w:spacing w:val="-2"/>
                <w:sz w:val="16"/>
              </w:rPr>
              <w:t>243,295</w:t>
            </w:r>
          </w:p>
        </w:tc>
        <w:tc>
          <w:tcPr>
            <w:tcW w:w="878" w:type="dxa"/>
            <w:tcBorders>
              <w:bottom w:val="single" w:sz="8" w:space="0" w:color="000000"/>
            </w:tcBorders>
          </w:tcPr>
          <w:p>
            <w:pPr>
              <w:pStyle w:val="TableParagraph"/>
              <w:spacing w:before="16"/>
              <w:ind w:left="-2115" w:right="2271"/>
              <w:jc w:val="right"/>
              <w:rPr>
                <w:sz w:val="16"/>
              </w:rPr>
            </w:pPr>
            <w:r>
              <w:rPr>
                <w:sz w:val="16"/>
              </w:rPr>
              <w:t>$</w:t>
            </w:r>
            <w:r>
              <w:rPr>
                <w:spacing w:val="8"/>
                <w:sz w:val="16"/>
              </w:rPr>
              <w:t> </w:t>
            </w:r>
            <w:r>
              <w:rPr>
                <w:spacing w:val="-2"/>
                <w:sz w:val="16"/>
              </w:rPr>
              <w:t>243,896</w:t>
            </w:r>
          </w:p>
        </w:tc>
      </w:tr>
    </w:tbl>
    <w:p>
      <w:pPr>
        <w:pStyle w:val="BodyText"/>
        <w:spacing w:before="1"/>
        <w:rPr>
          <w:rFonts w:ascii="Arial"/>
          <w:i/>
          <w:sz w:val="17"/>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5"/>
        <w:gridCol w:w="1777"/>
        <w:gridCol w:w="900"/>
        <w:gridCol w:w="1800"/>
        <w:gridCol w:w="904"/>
        <w:gridCol w:w="896"/>
        <w:gridCol w:w="878"/>
      </w:tblGrid>
      <w:tr>
        <w:trPr>
          <w:trHeight w:val="680" w:hRule="atLeast"/>
        </w:trPr>
        <w:tc>
          <w:tcPr>
            <w:tcW w:w="2205" w:type="dxa"/>
            <w:tcBorders>
              <w:top w:val="single" w:sz="8" w:space="0" w:color="000000"/>
              <w:bottom w:val="single" w:sz="8" w:space="0" w:color="000000"/>
            </w:tcBorders>
          </w:tcPr>
          <w:p>
            <w:pPr>
              <w:pStyle w:val="TableParagraph"/>
              <w:spacing w:before="158"/>
              <w:rPr>
                <w:rFonts w:ascii="Times New Roman"/>
                <w:b/>
                <w:sz w:val="20"/>
              </w:rPr>
            </w:pPr>
            <w:r>
              <w:rPr>
                <w:rFonts w:ascii="Times New Roman"/>
                <w:b/>
                <w:sz w:val="20"/>
              </w:rPr>
              <w:t>Table</w:t>
            </w:r>
            <w:r>
              <w:rPr>
                <w:rFonts w:ascii="Times New Roman"/>
                <w:b/>
                <w:spacing w:val="-4"/>
                <w:sz w:val="20"/>
              </w:rPr>
              <w:t> D3.1</w:t>
            </w:r>
          </w:p>
          <w:p>
            <w:pPr>
              <w:pStyle w:val="TableParagraph"/>
              <w:spacing w:line="183" w:lineRule="exact" w:before="88"/>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7155" w:type="dxa"/>
            <w:gridSpan w:val="6"/>
            <w:tcBorders>
              <w:top w:val="single" w:sz="8" w:space="0" w:color="000000"/>
              <w:bottom w:val="single" w:sz="8" w:space="0" w:color="000000"/>
            </w:tcBorders>
          </w:tcPr>
          <w:p>
            <w:pPr>
              <w:pStyle w:val="TableParagraph"/>
              <w:rPr>
                <w:rFonts w:ascii="Times New Roman"/>
                <w:sz w:val="18"/>
              </w:rPr>
            </w:pPr>
          </w:p>
        </w:tc>
      </w:tr>
      <w:tr>
        <w:trPr>
          <w:trHeight w:val="220" w:hRule="atLeast"/>
        </w:trPr>
        <w:tc>
          <w:tcPr>
            <w:tcW w:w="2205" w:type="dxa"/>
            <w:tcBorders>
              <w:top w:val="single" w:sz="8" w:space="0" w:color="000000"/>
            </w:tcBorders>
          </w:tcPr>
          <w:p>
            <w:pPr>
              <w:pStyle w:val="TableParagraph"/>
              <w:rPr>
                <w:rFonts w:ascii="Times New Roman"/>
                <w:sz w:val="14"/>
              </w:rPr>
            </w:pPr>
          </w:p>
        </w:tc>
        <w:tc>
          <w:tcPr>
            <w:tcW w:w="1777" w:type="dxa"/>
            <w:tcBorders>
              <w:top w:val="single" w:sz="8" w:space="0" w:color="000000"/>
              <w:bottom w:val="single" w:sz="8" w:space="0" w:color="000000"/>
            </w:tcBorders>
          </w:tcPr>
          <w:p>
            <w:pPr>
              <w:pStyle w:val="TableParagraph"/>
              <w:rPr>
                <w:rFonts w:ascii="Times New Roman"/>
                <w:sz w:val="14"/>
              </w:rPr>
            </w:pPr>
          </w:p>
        </w:tc>
        <w:tc>
          <w:tcPr>
            <w:tcW w:w="900" w:type="dxa"/>
            <w:tcBorders>
              <w:top w:val="single" w:sz="8" w:space="0" w:color="000000"/>
              <w:bottom w:val="single" w:sz="8" w:space="0" w:color="000000"/>
            </w:tcBorders>
          </w:tcPr>
          <w:p>
            <w:pPr>
              <w:pStyle w:val="TableParagraph"/>
              <w:rPr>
                <w:rFonts w:ascii="Times New Roman"/>
                <w:sz w:val="14"/>
              </w:rPr>
            </w:pPr>
          </w:p>
        </w:tc>
        <w:tc>
          <w:tcPr>
            <w:tcW w:w="1800" w:type="dxa"/>
            <w:tcBorders>
              <w:top w:val="single" w:sz="8" w:space="0" w:color="000000"/>
              <w:bottom w:val="single" w:sz="8" w:space="0" w:color="000000"/>
            </w:tcBorders>
          </w:tcPr>
          <w:p>
            <w:pPr>
              <w:pStyle w:val="TableParagraph"/>
              <w:spacing w:line="183" w:lineRule="exact" w:before="16"/>
              <w:ind w:left="401"/>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904" w:type="dxa"/>
            <w:tcBorders>
              <w:top w:val="single" w:sz="8" w:space="0" w:color="000000"/>
              <w:bottom w:val="single" w:sz="8" w:space="0" w:color="000000"/>
            </w:tcBorders>
          </w:tcPr>
          <w:p>
            <w:pPr>
              <w:pStyle w:val="TableParagraph"/>
              <w:rPr>
                <w:rFonts w:ascii="Times New Roman"/>
                <w:sz w:val="14"/>
              </w:rPr>
            </w:pPr>
          </w:p>
        </w:tc>
        <w:tc>
          <w:tcPr>
            <w:tcW w:w="896" w:type="dxa"/>
            <w:tcBorders>
              <w:top w:val="single" w:sz="8" w:space="0" w:color="000000"/>
              <w:bottom w:val="single" w:sz="8" w:space="0" w:color="000000"/>
            </w:tcBorders>
          </w:tcPr>
          <w:p>
            <w:pPr>
              <w:pStyle w:val="TableParagraph"/>
              <w:rPr>
                <w:rFonts w:ascii="Times New Roman"/>
                <w:sz w:val="14"/>
              </w:rPr>
            </w:pPr>
          </w:p>
        </w:tc>
        <w:tc>
          <w:tcPr>
            <w:tcW w:w="878" w:type="dxa"/>
            <w:tcBorders>
              <w:top w:val="single" w:sz="8" w:space="0" w:color="000000"/>
              <w:bottom w:val="single" w:sz="8" w:space="0" w:color="000000"/>
            </w:tcBorders>
          </w:tcPr>
          <w:p>
            <w:pPr>
              <w:pStyle w:val="TableParagraph"/>
              <w:rPr>
                <w:rFonts w:ascii="Times New Roman"/>
                <w:sz w:val="14"/>
              </w:rPr>
            </w:pPr>
          </w:p>
        </w:tc>
      </w:tr>
      <w:tr>
        <w:trPr>
          <w:trHeight w:val="415" w:hRule="atLeast"/>
        </w:trPr>
        <w:tc>
          <w:tcPr>
            <w:tcW w:w="2205" w:type="dxa"/>
            <w:tcBorders>
              <w:bottom w:val="single" w:sz="8" w:space="0" w:color="000000"/>
            </w:tcBorders>
          </w:tcPr>
          <w:p>
            <w:pPr>
              <w:pStyle w:val="TableParagraph"/>
              <w:spacing w:before="27"/>
              <w:rPr>
                <w:rFonts w:ascii="Arial"/>
                <w:i/>
                <w:sz w:val="16"/>
              </w:rPr>
            </w:pPr>
          </w:p>
          <w:p>
            <w:pPr>
              <w:pStyle w:val="TableParagraph"/>
              <w:spacing w:line="183" w:lineRule="exact"/>
              <w:rPr>
                <w:rFonts w:ascii="Arial"/>
                <w:i/>
                <w:sz w:val="16"/>
              </w:rPr>
            </w:pPr>
            <w:r>
              <w:rPr>
                <w:rFonts w:ascii="Arial"/>
                <w:i/>
                <w:sz w:val="16"/>
              </w:rPr>
              <w:t>Days</w:t>
            </w:r>
            <w:r>
              <w:rPr>
                <w:rFonts w:ascii="Arial"/>
                <w:i/>
                <w:spacing w:val="-2"/>
                <w:sz w:val="16"/>
              </w:rPr>
              <w:t> </w:t>
            </w:r>
            <w:r>
              <w:rPr>
                <w:rFonts w:ascii="Arial"/>
                <w:i/>
                <w:sz w:val="16"/>
              </w:rPr>
              <w:t>past</w:t>
            </w:r>
            <w:r>
              <w:rPr>
                <w:rFonts w:ascii="Arial"/>
                <w:i/>
                <w:spacing w:val="-2"/>
                <w:sz w:val="16"/>
              </w:rPr>
              <w:t> </w:t>
            </w:r>
            <w:r>
              <w:rPr>
                <w:rFonts w:ascii="Arial"/>
                <w:i/>
                <w:spacing w:val="-5"/>
                <w:sz w:val="16"/>
              </w:rPr>
              <w:t>due</w:t>
            </w:r>
          </w:p>
        </w:tc>
        <w:tc>
          <w:tcPr>
            <w:tcW w:w="1777" w:type="dxa"/>
            <w:tcBorders>
              <w:top w:val="single" w:sz="8" w:space="0" w:color="000000"/>
              <w:bottom w:val="single" w:sz="8" w:space="0" w:color="000000"/>
            </w:tcBorders>
          </w:tcPr>
          <w:p>
            <w:pPr>
              <w:pStyle w:val="TableParagraph"/>
              <w:tabs>
                <w:tab w:pos="1539" w:val="right" w:leader="none"/>
              </w:tabs>
              <w:spacing w:line="183" w:lineRule="exact" w:before="211"/>
              <w:ind w:left="132"/>
              <w:rPr>
                <w:rFonts w:ascii="Arial"/>
                <w:i/>
                <w:sz w:val="16"/>
              </w:rPr>
            </w:pPr>
            <w:r>
              <w:rPr>
                <w:rFonts w:ascii="Arial"/>
                <w:i/>
                <w:sz w:val="16"/>
              </w:rPr>
              <w:t>Up</w:t>
            </w:r>
            <w:r>
              <w:rPr>
                <w:rFonts w:ascii="Arial"/>
                <w:i/>
                <w:spacing w:val="-2"/>
                <w:sz w:val="16"/>
              </w:rPr>
              <w:t> </w:t>
            </w:r>
            <w:r>
              <w:rPr>
                <w:rFonts w:ascii="Arial"/>
                <w:i/>
                <w:sz w:val="16"/>
              </w:rPr>
              <w:t>to</w:t>
            </w:r>
            <w:r>
              <w:rPr>
                <w:rFonts w:ascii="Arial"/>
                <w:i/>
                <w:spacing w:val="-1"/>
                <w:sz w:val="16"/>
              </w:rPr>
              <w:t> </w:t>
            </w:r>
            <w:r>
              <w:rPr>
                <w:rFonts w:ascii="Arial"/>
                <w:i/>
                <w:spacing w:val="-5"/>
                <w:sz w:val="16"/>
              </w:rPr>
              <w:t>45</w:t>
            </w:r>
            <w:r>
              <w:rPr>
                <w:rFonts w:ascii="Times New Roman"/>
                <w:sz w:val="16"/>
              </w:rPr>
              <w:tab/>
            </w:r>
            <w:r>
              <w:rPr>
                <w:rFonts w:ascii="Arial"/>
                <w:i/>
                <w:spacing w:val="-5"/>
                <w:sz w:val="16"/>
              </w:rPr>
              <w:t>46-</w:t>
            </w:r>
            <w:r>
              <w:rPr>
                <w:rFonts w:ascii="Arial"/>
                <w:i/>
                <w:spacing w:val="-2"/>
                <w:sz w:val="16"/>
              </w:rPr>
              <w:t>60</w:t>
            </w:r>
          </w:p>
        </w:tc>
        <w:tc>
          <w:tcPr>
            <w:tcW w:w="900"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253"/>
              <w:rPr>
                <w:rFonts w:ascii="Arial"/>
                <w:i/>
                <w:sz w:val="16"/>
              </w:rPr>
            </w:pPr>
            <w:r>
              <w:rPr>
                <w:rFonts w:ascii="Arial"/>
                <w:i/>
                <w:spacing w:val="-2"/>
                <w:sz w:val="16"/>
              </w:rPr>
              <w:t>61-</w:t>
            </w:r>
            <w:r>
              <w:rPr>
                <w:rFonts w:ascii="Arial"/>
                <w:i/>
                <w:spacing w:val="-7"/>
                <w:sz w:val="16"/>
              </w:rPr>
              <w:t>90</w:t>
            </w:r>
          </w:p>
        </w:tc>
        <w:tc>
          <w:tcPr>
            <w:tcW w:w="1800" w:type="dxa"/>
            <w:tcBorders>
              <w:top w:val="single" w:sz="8" w:space="0" w:color="000000"/>
              <w:bottom w:val="single" w:sz="8" w:space="0" w:color="000000"/>
            </w:tcBorders>
          </w:tcPr>
          <w:p>
            <w:pPr>
              <w:pStyle w:val="TableParagraph"/>
              <w:spacing w:before="27"/>
              <w:rPr>
                <w:rFonts w:ascii="Arial"/>
                <w:i/>
                <w:sz w:val="16"/>
              </w:rPr>
            </w:pPr>
          </w:p>
          <w:p>
            <w:pPr>
              <w:pStyle w:val="TableParagraph"/>
              <w:tabs>
                <w:tab w:pos="1029" w:val="left" w:leader="none"/>
              </w:tabs>
              <w:spacing w:line="183" w:lineRule="exact"/>
              <w:ind w:left="209"/>
              <w:rPr>
                <w:rFonts w:ascii="Arial"/>
                <w:i/>
                <w:sz w:val="16"/>
              </w:rPr>
            </w:pPr>
            <w:r>
              <w:rPr>
                <w:rFonts w:ascii="Arial"/>
                <w:i/>
                <w:spacing w:val="-2"/>
                <w:sz w:val="16"/>
              </w:rPr>
              <w:t>91-</w:t>
            </w:r>
            <w:r>
              <w:rPr>
                <w:rFonts w:ascii="Arial"/>
                <w:i/>
                <w:spacing w:val="-5"/>
                <w:sz w:val="16"/>
              </w:rPr>
              <w:t>180</w:t>
            </w:r>
            <w:r>
              <w:rPr>
                <w:rFonts w:ascii="Arial"/>
                <w:i/>
                <w:sz w:val="16"/>
              </w:rPr>
              <w:tab/>
              <w:t>Over</w:t>
            </w:r>
            <w:r>
              <w:rPr>
                <w:rFonts w:ascii="Arial"/>
                <w:i/>
                <w:spacing w:val="-1"/>
                <w:sz w:val="16"/>
              </w:rPr>
              <w:t> </w:t>
            </w:r>
            <w:r>
              <w:rPr>
                <w:rFonts w:ascii="Arial"/>
                <w:i/>
                <w:spacing w:val="-5"/>
                <w:sz w:val="16"/>
              </w:rPr>
              <w:t>180</w:t>
            </w:r>
          </w:p>
        </w:tc>
        <w:tc>
          <w:tcPr>
            <w:tcW w:w="904" w:type="dxa"/>
            <w:tcBorders>
              <w:top w:val="single" w:sz="8" w:space="0" w:color="000000"/>
              <w:bottom w:val="single" w:sz="8" w:space="0" w:color="000000"/>
            </w:tcBorders>
          </w:tcPr>
          <w:p>
            <w:pPr>
              <w:pStyle w:val="TableParagraph"/>
              <w:spacing w:line="190" w:lineRule="atLeast" w:before="13"/>
              <w:ind w:left="311" w:right="77" w:hanging="213"/>
              <w:rPr>
                <w:rFonts w:ascii="Arial"/>
                <w:i/>
                <w:sz w:val="16"/>
              </w:rPr>
            </w:pPr>
            <w:r>
              <w:rPr>
                <w:rFonts w:ascii="Arial"/>
                <w:i/>
                <w:sz w:val="16"/>
              </w:rPr>
              <w:t>Total</w:t>
            </w:r>
            <w:r>
              <w:rPr>
                <w:rFonts w:ascii="Arial"/>
                <w:i/>
                <w:spacing w:val="-12"/>
                <w:sz w:val="16"/>
              </w:rPr>
              <w:t> </w:t>
            </w:r>
            <w:r>
              <w:rPr>
                <w:rFonts w:ascii="Arial"/>
                <w:i/>
                <w:sz w:val="16"/>
              </w:rPr>
              <w:t>Past </w:t>
            </w:r>
            <w:r>
              <w:rPr>
                <w:rFonts w:ascii="Arial"/>
                <w:i/>
                <w:spacing w:val="-4"/>
                <w:sz w:val="16"/>
              </w:rPr>
              <w:t>Due</w:t>
            </w:r>
          </w:p>
        </w:tc>
        <w:tc>
          <w:tcPr>
            <w:tcW w:w="896"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187"/>
              <w:rPr>
                <w:rFonts w:ascii="Arial"/>
                <w:i/>
                <w:sz w:val="16"/>
              </w:rPr>
            </w:pPr>
            <w:r>
              <w:rPr>
                <w:rFonts w:ascii="Arial"/>
                <w:i/>
                <w:spacing w:val="-2"/>
                <w:sz w:val="16"/>
              </w:rPr>
              <w:t>Current</w:t>
            </w:r>
          </w:p>
        </w:tc>
        <w:tc>
          <w:tcPr>
            <w:tcW w:w="878"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280"/>
              <w:rPr>
                <w:rFonts w:ascii="Arial"/>
                <w:i/>
                <w:sz w:val="16"/>
              </w:rPr>
            </w:pPr>
            <w:r>
              <w:rPr>
                <w:rFonts w:ascii="Arial"/>
                <w:i/>
                <w:spacing w:val="-2"/>
                <w:sz w:val="16"/>
              </w:rPr>
              <w:t>Total</w:t>
            </w:r>
          </w:p>
        </w:tc>
      </w:tr>
      <w:tr>
        <w:trPr>
          <w:trHeight w:val="223" w:hRule="atLeast"/>
        </w:trPr>
        <w:tc>
          <w:tcPr>
            <w:tcW w:w="2205" w:type="dxa"/>
            <w:tcBorders>
              <w:top w:val="single" w:sz="8" w:space="0" w:color="000000"/>
            </w:tcBorders>
          </w:tcPr>
          <w:p>
            <w:pPr>
              <w:pStyle w:val="TableParagraph"/>
              <w:spacing w:before="9"/>
              <w:ind w:left="52"/>
              <w:rPr>
                <w:sz w:val="16"/>
              </w:rPr>
            </w:pPr>
            <w:r>
              <w:rPr>
                <w:sz w:val="16"/>
              </w:rPr>
              <w:t>Risk</w:t>
            </w:r>
            <w:r>
              <w:rPr>
                <w:spacing w:val="-2"/>
                <w:sz w:val="16"/>
              </w:rPr>
              <w:t> Class</w:t>
            </w:r>
          </w:p>
        </w:tc>
        <w:tc>
          <w:tcPr>
            <w:tcW w:w="1777" w:type="dxa"/>
            <w:tcBorders>
              <w:top w:val="single" w:sz="8" w:space="0" w:color="000000"/>
            </w:tcBorders>
          </w:tcPr>
          <w:p>
            <w:pPr>
              <w:pStyle w:val="TableParagraph"/>
              <w:rPr>
                <w:rFonts w:ascii="Times New Roman"/>
                <w:sz w:val="14"/>
              </w:rPr>
            </w:pPr>
          </w:p>
        </w:tc>
        <w:tc>
          <w:tcPr>
            <w:tcW w:w="900" w:type="dxa"/>
            <w:tcBorders>
              <w:top w:val="single" w:sz="8" w:space="0" w:color="000000"/>
            </w:tcBorders>
          </w:tcPr>
          <w:p>
            <w:pPr>
              <w:pStyle w:val="TableParagraph"/>
              <w:rPr>
                <w:rFonts w:ascii="Times New Roman"/>
                <w:sz w:val="14"/>
              </w:rPr>
            </w:pPr>
          </w:p>
        </w:tc>
        <w:tc>
          <w:tcPr>
            <w:tcW w:w="1800" w:type="dxa"/>
            <w:tcBorders>
              <w:top w:val="single" w:sz="8" w:space="0" w:color="000000"/>
            </w:tcBorders>
          </w:tcPr>
          <w:p>
            <w:pPr>
              <w:pStyle w:val="TableParagraph"/>
              <w:rPr>
                <w:rFonts w:ascii="Times New Roman"/>
                <w:sz w:val="14"/>
              </w:rPr>
            </w:pPr>
          </w:p>
        </w:tc>
        <w:tc>
          <w:tcPr>
            <w:tcW w:w="904" w:type="dxa"/>
            <w:tcBorders>
              <w:top w:val="single" w:sz="8" w:space="0" w:color="000000"/>
            </w:tcBorders>
          </w:tcPr>
          <w:p>
            <w:pPr>
              <w:pStyle w:val="TableParagraph"/>
              <w:rPr>
                <w:rFonts w:ascii="Times New Roman"/>
                <w:sz w:val="14"/>
              </w:rPr>
            </w:pPr>
          </w:p>
        </w:tc>
        <w:tc>
          <w:tcPr>
            <w:tcW w:w="896" w:type="dxa"/>
            <w:tcBorders>
              <w:top w:val="single" w:sz="8" w:space="0" w:color="000000"/>
            </w:tcBorders>
          </w:tcPr>
          <w:p>
            <w:pPr>
              <w:pStyle w:val="TableParagraph"/>
              <w:rPr>
                <w:rFonts w:ascii="Times New Roman"/>
                <w:sz w:val="14"/>
              </w:rPr>
            </w:pPr>
          </w:p>
        </w:tc>
        <w:tc>
          <w:tcPr>
            <w:tcW w:w="878" w:type="dxa"/>
            <w:tcBorders>
              <w:top w:val="single" w:sz="8" w:space="0" w:color="000000"/>
            </w:tcBorders>
          </w:tcPr>
          <w:p>
            <w:pPr>
              <w:pStyle w:val="TableParagraph"/>
              <w:rPr>
                <w:rFonts w:ascii="Times New Roman"/>
                <w:sz w:val="14"/>
              </w:rPr>
            </w:pPr>
          </w:p>
        </w:tc>
      </w:tr>
      <w:tr>
        <w:trPr>
          <w:trHeight w:val="243" w:hRule="atLeast"/>
        </w:trPr>
        <w:tc>
          <w:tcPr>
            <w:tcW w:w="2205" w:type="dxa"/>
          </w:tcPr>
          <w:p>
            <w:pPr>
              <w:pStyle w:val="TableParagraph"/>
              <w:spacing w:before="25"/>
              <w:ind w:left="232"/>
              <w:rPr>
                <w:sz w:val="16"/>
              </w:rPr>
            </w:pPr>
            <w:r>
              <w:rPr>
                <w:spacing w:val="-5"/>
                <w:sz w:val="16"/>
              </w:rPr>
              <w:t>Low</w:t>
            </w:r>
          </w:p>
        </w:tc>
        <w:tc>
          <w:tcPr>
            <w:tcW w:w="1777" w:type="dxa"/>
          </w:tcPr>
          <w:p>
            <w:pPr>
              <w:pStyle w:val="TableParagraph"/>
              <w:tabs>
                <w:tab w:pos="626" w:val="left" w:leader="none"/>
                <w:tab w:pos="1526" w:val="left" w:leader="none"/>
              </w:tabs>
              <w:spacing w:before="32"/>
              <w:ind w:left="67"/>
              <w:rPr>
                <w:sz w:val="16"/>
              </w:rPr>
            </w:pPr>
            <w:r>
              <w:rPr>
                <w:spacing w:val="-10"/>
                <w:sz w:val="16"/>
              </w:rPr>
              <w:t>$</w:t>
            </w:r>
            <w:r>
              <w:rPr>
                <w:sz w:val="16"/>
              </w:rPr>
              <w:tab/>
              <w:t>—</w:t>
            </w:r>
            <w:r>
              <w:rPr>
                <w:spacing w:val="45"/>
                <w:sz w:val="16"/>
              </w:rPr>
              <w:t>  </w:t>
            </w:r>
            <w:r>
              <w:rPr>
                <w:spacing w:val="-10"/>
                <w:sz w:val="16"/>
              </w:rPr>
              <w:t>$</w:t>
            </w:r>
            <w:r>
              <w:rPr>
                <w:sz w:val="16"/>
              </w:rPr>
              <w:tab/>
              <w:t>—</w:t>
            </w:r>
          </w:p>
        </w:tc>
        <w:tc>
          <w:tcPr>
            <w:tcW w:w="900" w:type="dxa"/>
          </w:tcPr>
          <w:p>
            <w:pPr>
              <w:pStyle w:val="TableParagraph"/>
              <w:tabs>
                <w:tab w:pos="559" w:val="left" w:leader="none"/>
              </w:tabs>
              <w:spacing w:before="32"/>
              <w:ind w:right="88"/>
              <w:jc w:val="right"/>
              <w:rPr>
                <w:sz w:val="16"/>
              </w:rPr>
            </w:pPr>
            <w:r>
              <w:rPr>
                <w:spacing w:val="-10"/>
                <w:sz w:val="16"/>
              </w:rPr>
              <w:t>$</w:t>
            </w:r>
            <w:r>
              <w:rPr>
                <w:sz w:val="16"/>
              </w:rPr>
              <w:tab/>
              <w:t>—</w:t>
            </w:r>
          </w:p>
        </w:tc>
        <w:tc>
          <w:tcPr>
            <w:tcW w:w="1800" w:type="dxa"/>
          </w:tcPr>
          <w:p>
            <w:pPr>
              <w:pStyle w:val="TableParagraph"/>
              <w:tabs>
                <w:tab w:pos="649" w:val="left" w:leader="none"/>
                <w:tab w:pos="1549" w:val="left" w:leader="none"/>
              </w:tabs>
              <w:spacing w:before="32"/>
              <w:ind w:left="90"/>
              <w:rPr>
                <w:sz w:val="16"/>
              </w:rPr>
            </w:pPr>
            <w:r>
              <w:rPr>
                <w:spacing w:val="-10"/>
                <w:sz w:val="16"/>
              </w:rPr>
              <w:t>$</w:t>
            </w:r>
            <w:r>
              <w:rPr>
                <w:sz w:val="16"/>
              </w:rPr>
              <w:tab/>
              <w:t>—</w:t>
            </w:r>
            <w:r>
              <w:rPr>
                <w:spacing w:val="45"/>
                <w:sz w:val="16"/>
              </w:rPr>
              <w:t>  </w:t>
            </w:r>
            <w:r>
              <w:rPr>
                <w:spacing w:val="-10"/>
                <w:sz w:val="16"/>
              </w:rPr>
              <w:t>$</w:t>
            </w:r>
            <w:r>
              <w:rPr>
                <w:sz w:val="16"/>
              </w:rPr>
              <w:tab/>
              <w:t>—</w:t>
            </w:r>
          </w:p>
        </w:tc>
        <w:tc>
          <w:tcPr>
            <w:tcW w:w="904" w:type="dxa"/>
          </w:tcPr>
          <w:p>
            <w:pPr>
              <w:pStyle w:val="TableParagraph"/>
              <w:tabs>
                <w:tab w:pos="559" w:val="left" w:leader="none"/>
              </w:tabs>
              <w:spacing w:before="32"/>
              <w:ind w:right="92"/>
              <w:jc w:val="right"/>
              <w:rPr>
                <w:sz w:val="16"/>
              </w:rPr>
            </w:pPr>
            <w:r>
              <w:rPr>
                <w:spacing w:val="-10"/>
                <w:sz w:val="16"/>
              </w:rPr>
              <w:t>$</w:t>
            </w:r>
            <w:r>
              <w:rPr>
                <w:sz w:val="16"/>
              </w:rPr>
              <w:tab/>
              <w:t>—</w:t>
            </w:r>
          </w:p>
        </w:tc>
        <w:tc>
          <w:tcPr>
            <w:tcW w:w="896" w:type="dxa"/>
          </w:tcPr>
          <w:p>
            <w:pPr>
              <w:pStyle w:val="TableParagraph"/>
              <w:spacing w:before="32"/>
              <w:ind w:left="-2119" w:right="88"/>
              <w:jc w:val="right"/>
              <w:rPr>
                <w:sz w:val="16"/>
              </w:rPr>
            </w:pPr>
            <w:r>
              <w:rPr>
                <w:sz w:val="16"/>
              </w:rPr>
              <w:t>$</w:t>
            </w:r>
            <w:r>
              <w:rPr>
                <w:spacing w:val="73"/>
                <w:w w:val="150"/>
                <w:sz w:val="16"/>
              </w:rPr>
              <w:t> </w:t>
            </w:r>
            <w:r>
              <w:rPr>
                <w:spacing w:val="-2"/>
                <w:sz w:val="16"/>
              </w:rPr>
              <w:t>23,428</w:t>
            </w:r>
          </w:p>
        </w:tc>
        <w:tc>
          <w:tcPr>
            <w:tcW w:w="878" w:type="dxa"/>
          </w:tcPr>
          <w:p>
            <w:pPr>
              <w:pStyle w:val="TableParagraph"/>
              <w:spacing w:before="32"/>
              <w:ind w:right="66"/>
              <w:jc w:val="right"/>
              <w:rPr>
                <w:sz w:val="16"/>
              </w:rPr>
            </w:pPr>
            <w:r>
              <w:rPr>
                <w:sz w:val="16"/>
              </w:rPr>
              <w:t>$</w:t>
            </w:r>
            <w:r>
              <w:rPr>
                <w:spacing w:val="73"/>
                <w:w w:val="150"/>
                <w:sz w:val="16"/>
              </w:rPr>
              <w:t> </w:t>
            </w:r>
            <w:r>
              <w:rPr>
                <w:spacing w:val="-2"/>
                <w:sz w:val="16"/>
              </w:rPr>
              <w:t>23,428</w:t>
            </w:r>
          </w:p>
        </w:tc>
      </w:tr>
      <w:tr>
        <w:trPr>
          <w:trHeight w:val="240" w:hRule="atLeast"/>
        </w:trPr>
        <w:tc>
          <w:tcPr>
            <w:tcW w:w="2205" w:type="dxa"/>
          </w:tcPr>
          <w:p>
            <w:pPr>
              <w:pStyle w:val="TableParagraph"/>
              <w:spacing w:before="21"/>
              <w:ind w:left="232"/>
              <w:rPr>
                <w:sz w:val="16"/>
              </w:rPr>
            </w:pPr>
            <w:r>
              <w:rPr>
                <w:spacing w:val="-2"/>
                <w:sz w:val="16"/>
              </w:rPr>
              <w:t>Medium</w:t>
            </w:r>
          </w:p>
        </w:tc>
        <w:tc>
          <w:tcPr>
            <w:tcW w:w="1777" w:type="dxa"/>
          </w:tcPr>
          <w:p>
            <w:pPr>
              <w:pStyle w:val="TableParagraph"/>
              <w:tabs>
                <w:tab w:pos="1526" w:val="left" w:leader="none"/>
              </w:tabs>
              <w:spacing w:before="29"/>
              <w:ind w:left="626"/>
              <w:rPr>
                <w:sz w:val="16"/>
              </w:rPr>
            </w:pPr>
            <w:r>
              <w:rPr>
                <w:sz w:val="16"/>
              </w:rPr>
              <w:t>—</w:t>
              <w:tab/>
              <w:t>—</w:t>
            </w:r>
          </w:p>
        </w:tc>
        <w:tc>
          <w:tcPr>
            <w:tcW w:w="900" w:type="dxa"/>
          </w:tcPr>
          <w:p>
            <w:pPr>
              <w:pStyle w:val="TableParagraph"/>
              <w:spacing w:before="29"/>
              <w:ind w:right="88"/>
              <w:jc w:val="right"/>
              <w:rPr>
                <w:sz w:val="16"/>
              </w:rPr>
            </w:pPr>
            <w:r>
              <w:rPr>
                <w:sz w:val="16"/>
              </w:rPr>
              <w:t>—</w:t>
            </w:r>
          </w:p>
        </w:tc>
        <w:tc>
          <w:tcPr>
            <w:tcW w:w="1800" w:type="dxa"/>
          </w:tcPr>
          <w:p>
            <w:pPr>
              <w:pStyle w:val="TableParagraph"/>
              <w:tabs>
                <w:tab w:pos="1549" w:val="left" w:leader="none"/>
              </w:tabs>
              <w:spacing w:before="29"/>
              <w:ind w:left="649"/>
              <w:rPr>
                <w:sz w:val="16"/>
              </w:rPr>
            </w:pPr>
            <w:r>
              <w:rPr>
                <w:sz w:val="16"/>
              </w:rPr>
              <w:t>—</w:t>
              <w:tab/>
              <w:t>—</w:t>
            </w:r>
          </w:p>
        </w:tc>
        <w:tc>
          <w:tcPr>
            <w:tcW w:w="904" w:type="dxa"/>
          </w:tcPr>
          <w:p>
            <w:pPr>
              <w:pStyle w:val="TableParagraph"/>
              <w:spacing w:before="29"/>
              <w:ind w:right="92"/>
              <w:jc w:val="right"/>
              <w:rPr>
                <w:sz w:val="16"/>
              </w:rPr>
            </w:pPr>
            <w:r>
              <w:rPr>
                <w:sz w:val="16"/>
              </w:rPr>
              <w:t>—</w:t>
            </w:r>
          </w:p>
        </w:tc>
        <w:tc>
          <w:tcPr>
            <w:tcW w:w="896" w:type="dxa"/>
          </w:tcPr>
          <w:p>
            <w:pPr>
              <w:pStyle w:val="TableParagraph"/>
              <w:spacing w:before="29"/>
              <w:ind w:left="-2119" w:right="88"/>
              <w:jc w:val="right"/>
              <w:rPr>
                <w:sz w:val="16"/>
              </w:rPr>
            </w:pPr>
            <w:r>
              <w:rPr>
                <w:spacing w:val="-2"/>
                <w:sz w:val="16"/>
              </w:rPr>
              <w:t>96,533</w:t>
            </w:r>
          </w:p>
        </w:tc>
        <w:tc>
          <w:tcPr>
            <w:tcW w:w="878" w:type="dxa"/>
          </w:tcPr>
          <w:p>
            <w:pPr>
              <w:pStyle w:val="TableParagraph"/>
              <w:spacing w:before="29"/>
              <w:ind w:right="66"/>
              <w:jc w:val="right"/>
              <w:rPr>
                <w:sz w:val="16"/>
              </w:rPr>
            </w:pPr>
            <w:r>
              <w:rPr>
                <w:spacing w:val="-2"/>
                <w:sz w:val="16"/>
              </w:rPr>
              <w:t>96,533</w:t>
            </w:r>
          </w:p>
        </w:tc>
      </w:tr>
      <w:tr>
        <w:trPr>
          <w:trHeight w:val="232" w:hRule="atLeast"/>
        </w:trPr>
        <w:tc>
          <w:tcPr>
            <w:tcW w:w="2205" w:type="dxa"/>
          </w:tcPr>
          <w:p>
            <w:pPr>
              <w:pStyle w:val="TableParagraph"/>
              <w:spacing w:before="21"/>
              <w:ind w:left="232"/>
              <w:rPr>
                <w:sz w:val="16"/>
              </w:rPr>
            </w:pPr>
            <w:r>
              <w:rPr>
                <w:spacing w:val="-4"/>
                <w:sz w:val="16"/>
              </w:rPr>
              <w:t>High</w:t>
            </w:r>
          </w:p>
        </w:tc>
        <w:tc>
          <w:tcPr>
            <w:tcW w:w="1777" w:type="dxa"/>
            <w:tcBorders>
              <w:bottom w:val="single" w:sz="8" w:space="0" w:color="000000"/>
            </w:tcBorders>
          </w:tcPr>
          <w:p>
            <w:pPr>
              <w:pStyle w:val="TableParagraph"/>
              <w:tabs>
                <w:tab w:pos="1597" w:val="left" w:leader="none"/>
              </w:tabs>
              <w:spacing w:line="184" w:lineRule="exact" w:before="29"/>
              <w:ind w:left="626"/>
              <w:rPr>
                <w:sz w:val="16"/>
              </w:rPr>
            </w:pPr>
            <w:r>
              <w:rPr>
                <w:sz w:val="16"/>
              </w:rPr>
              <w:t>—</w:t>
              <w:tab/>
            </w:r>
            <w:r>
              <w:rPr>
                <w:spacing w:val="-10"/>
                <w:sz w:val="16"/>
              </w:rPr>
              <w:t>1</w:t>
            </w:r>
          </w:p>
        </w:tc>
        <w:tc>
          <w:tcPr>
            <w:tcW w:w="900" w:type="dxa"/>
            <w:tcBorders>
              <w:bottom w:val="single" w:sz="8" w:space="0" w:color="000000"/>
            </w:tcBorders>
          </w:tcPr>
          <w:p>
            <w:pPr>
              <w:pStyle w:val="TableParagraph"/>
              <w:spacing w:line="184" w:lineRule="exact" w:before="29"/>
              <w:ind w:left="-2115" w:right="88"/>
              <w:jc w:val="right"/>
              <w:rPr>
                <w:sz w:val="16"/>
              </w:rPr>
            </w:pPr>
            <w:r>
              <w:rPr>
                <w:spacing w:val="-5"/>
                <w:sz w:val="16"/>
              </w:rPr>
              <w:t>38</w:t>
            </w:r>
          </w:p>
        </w:tc>
        <w:tc>
          <w:tcPr>
            <w:tcW w:w="1800" w:type="dxa"/>
            <w:tcBorders>
              <w:bottom w:val="single" w:sz="8" w:space="0" w:color="000000"/>
            </w:tcBorders>
          </w:tcPr>
          <w:p>
            <w:pPr>
              <w:pStyle w:val="TableParagraph"/>
              <w:tabs>
                <w:tab w:pos="1549" w:val="left" w:leader="none"/>
              </w:tabs>
              <w:spacing w:line="184" w:lineRule="exact" w:before="29"/>
              <w:ind w:left="649"/>
              <w:rPr>
                <w:sz w:val="16"/>
              </w:rPr>
            </w:pPr>
            <w:r>
              <w:rPr>
                <w:sz w:val="16"/>
              </w:rPr>
              <w:t>—</w:t>
              <w:tab/>
              <w:t>—</w:t>
            </w:r>
          </w:p>
        </w:tc>
        <w:tc>
          <w:tcPr>
            <w:tcW w:w="904" w:type="dxa"/>
            <w:tcBorders>
              <w:bottom w:val="single" w:sz="8" w:space="0" w:color="000000"/>
            </w:tcBorders>
          </w:tcPr>
          <w:p>
            <w:pPr>
              <w:pStyle w:val="TableParagraph"/>
              <w:spacing w:line="184" w:lineRule="exact" w:before="29"/>
              <w:ind w:left="-2115" w:right="92"/>
              <w:jc w:val="right"/>
              <w:rPr>
                <w:sz w:val="16"/>
              </w:rPr>
            </w:pPr>
            <w:r>
              <w:rPr>
                <w:spacing w:val="-5"/>
                <w:sz w:val="16"/>
              </w:rPr>
              <w:t>39</w:t>
            </w:r>
          </w:p>
        </w:tc>
        <w:tc>
          <w:tcPr>
            <w:tcW w:w="896" w:type="dxa"/>
            <w:tcBorders>
              <w:bottom w:val="single" w:sz="8" w:space="0" w:color="000000"/>
            </w:tcBorders>
          </w:tcPr>
          <w:p>
            <w:pPr>
              <w:pStyle w:val="TableParagraph"/>
              <w:spacing w:line="184" w:lineRule="exact" w:before="29"/>
              <w:ind w:left="-2119" w:right="88"/>
              <w:jc w:val="right"/>
              <w:rPr>
                <w:sz w:val="16"/>
              </w:rPr>
            </w:pPr>
            <w:r>
              <w:rPr>
                <w:spacing w:val="-2"/>
                <w:sz w:val="16"/>
              </w:rPr>
              <w:t>108,916</w:t>
            </w:r>
          </w:p>
        </w:tc>
        <w:tc>
          <w:tcPr>
            <w:tcW w:w="878" w:type="dxa"/>
            <w:tcBorders>
              <w:bottom w:val="single" w:sz="8" w:space="0" w:color="000000"/>
            </w:tcBorders>
          </w:tcPr>
          <w:p>
            <w:pPr>
              <w:pStyle w:val="TableParagraph"/>
              <w:spacing w:line="184" w:lineRule="exact" w:before="29"/>
              <w:ind w:right="66"/>
              <w:jc w:val="right"/>
              <w:rPr>
                <w:sz w:val="16"/>
              </w:rPr>
            </w:pPr>
            <w:r>
              <w:rPr>
                <w:spacing w:val="-2"/>
                <w:sz w:val="16"/>
              </w:rPr>
              <w:t>108,955</w:t>
            </w:r>
          </w:p>
        </w:tc>
      </w:tr>
      <w:tr>
        <w:trPr>
          <w:trHeight w:val="227" w:hRule="atLeast"/>
        </w:trPr>
        <w:tc>
          <w:tcPr>
            <w:tcW w:w="2205" w:type="dxa"/>
          </w:tcPr>
          <w:p>
            <w:pPr>
              <w:pStyle w:val="TableParagraph"/>
              <w:spacing w:before="9"/>
              <w:ind w:left="52"/>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p>
        </w:tc>
        <w:tc>
          <w:tcPr>
            <w:tcW w:w="1777" w:type="dxa"/>
            <w:tcBorders>
              <w:top w:val="single" w:sz="8" w:space="0" w:color="000000"/>
            </w:tcBorders>
          </w:tcPr>
          <w:p>
            <w:pPr>
              <w:pStyle w:val="TableParagraph"/>
              <w:tabs>
                <w:tab w:pos="1597" w:val="left" w:leader="none"/>
              </w:tabs>
              <w:spacing w:before="16"/>
              <w:ind w:left="626"/>
              <w:rPr>
                <w:sz w:val="16"/>
              </w:rPr>
            </w:pPr>
            <w:r>
              <w:rPr>
                <w:sz w:val="16"/>
              </w:rPr>
              <w:t>—</w:t>
              <w:tab/>
            </w:r>
            <w:r>
              <w:rPr>
                <w:spacing w:val="-10"/>
                <w:sz w:val="16"/>
              </w:rPr>
              <w:t>1</w:t>
            </w:r>
          </w:p>
        </w:tc>
        <w:tc>
          <w:tcPr>
            <w:tcW w:w="900" w:type="dxa"/>
            <w:tcBorders>
              <w:top w:val="single" w:sz="8" w:space="0" w:color="000000"/>
            </w:tcBorders>
          </w:tcPr>
          <w:p>
            <w:pPr>
              <w:pStyle w:val="TableParagraph"/>
              <w:spacing w:before="16"/>
              <w:ind w:left="-2115" w:right="88"/>
              <w:jc w:val="right"/>
              <w:rPr>
                <w:sz w:val="16"/>
              </w:rPr>
            </w:pPr>
            <w:r>
              <w:rPr>
                <w:spacing w:val="-5"/>
                <w:sz w:val="16"/>
              </w:rPr>
              <w:t>38</w:t>
            </w:r>
          </w:p>
        </w:tc>
        <w:tc>
          <w:tcPr>
            <w:tcW w:w="1800" w:type="dxa"/>
            <w:tcBorders>
              <w:top w:val="single" w:sz="8" w:space="0" w:color="000000"/>
            </w:tcBorders>
          </w:tcPr>
          <w:p>
            <w:pPr>
              <w:pStyle w:val="TableParagraph"/>
              <w:tabs>
                <w:tab w:pos="1549" w:val="left" w:leader="none"/>
              </w:tabs>
              <w:spacing w:before="16"/>
              <w:ind w:left="649"/>
              <w:rPr>
                <w:sz w:val="16"/>
              </w:rPr>
            </w:pPr>
            <w:r>
              <w:rPr>
                <w:sz w:val="16"/>
              </w:rPr>
              <w:t>—</w:t>
              <w:tab/>
              <w:t>—</w:t>
            </w:r>
          </w:p>
        </w:tc>
        <w:tc>
          <w:tcPr>
            <w:tcW w:w="904" w:type="dxa"/>
            <w:tcBorders>
              <w:top w:val="single" w:sz="8" w:space="0" w:color="000000"/>
            </w:tcBorders>
          </w:tcPr>
          <w:p>
            <w:pPr>
              <w:pStyle w:val="TableParagraph"/>
              <w:spacing w:before="16"/>
              <w:ind w:left="-2115" w:right="92"/>
              <w:jc w:val="right"/>
              <w:rPr>
                <w:sz w:val="16"/>
              </w:rPr>
            </w:pPr>
            <w:r>
              <w:rPr>
                <w:spacing w:val="-5"/>
                <w:sz w:val="16"/>
              </w:rPr>
              <w:t>39</w:t>
            </w:r>
          </w:p>
        </w:tc>
        <w:tc>
          <w:tcPr>
            <w:tcW w:w="896" w:type="dxa"/>
            <w:tcBorders>
              <w:top w:val="single" w:sz="8" w:space="0" w:color="000000"/>
            </w:tcBorders>
          </w:tcPr>
          <w:p>
            <w:pPr>
              <w:pStyle w:val="TableParagraph"/>
              <w:spacing w:before="16"/>
              <w:ind w:left="-2119" w:right="88"/>
              <w:jc w:val="right"/>
              <w:rPr>
                <w:sz w:val="16"/>
              </w:rPr>
            </w:pPr>
            <w:r>
              <w:rPr>
                <w:spacing w:val="-2"/>
                <w:sz w:val="16"/>
              </w:rPr>
              <w:t>228,877</w:t>
            </w:r>
          </w:p>
        </w:tc>
        <w:tc>
          <w:tcPr>
            <w:tcW w:w="878" w:type="dxa"/>
            <w:tcBorders>
              <w:top w:val="single" w:sz="8" w:space="0" w:color="000000"/>
            </w:tcBorders>
          </w:tcPr>
          <w:p>
            <w:pPr>
              <w:pStyle w:val="TableParagraph"/>
              <w:spacing w:before="16"/>
              <w:ind w:right="66"/>
              <w:jc w:val="right"/>
              <w:rPr>
                <w:sz w:val="16"/>
              </w:rPr>
            </w:pPr>
            <w:r>
              <w:rPr>
                <w:spacing w:val="-2"/>
                <w:sz w:val="16"/>
              </w:rPr>
              <w:t>228,916</w:t>
            </w:r>
          </w:p>
        </w:tc>
      </w:tr>
      <w:tr>
        <w:trPr>
          <w:trHeight w:val="232" w:hRule="atLeast"/>
        </w:trPr>
        <w:tc>
          <w:tcPr>
            <w:tcW w:w="2205" w:type="dxa"/>
          </w:tcPr>
          <w:p>
            <w:pPr>
              <w:pStyle w:val="TableParagraph"/>
              <w:spacing w:before="21"/>
              <w:ind w:left="52"/>
              <w:rPr>
                <w:sz w:val="16"/>
              </w:rPr>
            </w:pPr>
            <w:r>
              <w:rPr>
                <w:sz w:val="16"/>
              </w:rPr>
              <w:t>Loans</w:t>
            </w:r>
            <w:r>
              <w:rPr>
                <w:spacing w:val="-4"/>
                <w:sz w:val="16"/>
              </w:rPr>
              <w:t> </w:t>
            </w:r>
            <w:r>
              <w:rPr>
                <w:sz w:val="16"/>
              </w:rPr>
              <w:t>in</w:t>
            </w:r>
            <w:r>
              <w:rPr>
                <w:spacing w:val="-5"/>
                <w:sz w:val="16"/>
              </w:rPr>
              <w:t> </w:t>
            </w:r>
            <w:r>
              <w:rPr>
                <w:sz w:val="16"/>
              </w:rPr>
              <w:t>nonaccrual</w:t>
            </w:r>
            <w:r>
              <w:rPr>
                <w:spacing w:val="-3"/>
                <w:sz w:val="16"/>
              </w:rPr>
              <w:t> </w:t>
            </w:r>
            <w:r>
              <w:rPr>
                <w:spacing w:val="-2"/>
                <w:sz w:val="16"/>
              </w:rPr>
              <w:t>status</w:t>
            </w:r>
          </w:p>
        </w:tc>
        <w:tc>
          <w:tcPr>
            <w:tcW w:w="1777" w:type="dxa"/>
            <w:tcBorders>
              <w:bottom w:val="single" w:sz="8" w:space="0" w:color="000000"/>
            </w:tcBorders>
          </w:tcPr>
          <w:p>
            <w:pPr>
              <w:pStyle w:val="TableParagraph"/>
              <w:tabs>
                <w:tab w:pos="1526" w:val="left" w:leader="none"/>
              </w:tabs>
              <w:spacing w:line="184" w:lineRule="exact" w:before="29"/>
              <w:ind w:left="626"/>
              <w:rPr>
                <w:sz w:val="16"/>
              </w:rPr>
            </w:pPr>
            <w:r>
              <w:rPr>
                <w:sz w:val="16"/>
              </w:rPr>
              <w:t>—</w:t>
              <w:tab/>
              <w:t>—</w:t>
            </w:r>
          </w:p>
        </w:tc>
        <w:tc>
          <w:tcPr>
            <w:tcW w:w="900" w:type="dxa"/>
            <w:tcBorders>
              <w:bottom w:val="single" w:sz="8" w:space="0" w:color="000000"/>
            </w:tcBorders>
          </w:tcPr>
          <w:p>
            <w:pPr>
              <w:pStyle w:val="TableParagraph"/>
              <w:spacing w:line="184" w:lineRule="exact" w:before="29"/>
              <w:ind w:right="88"/>
              <w:jc w:val="right"/>
              <w:rPr>
                <w:sz w:val="16"/>
              </w:rPr>
            </w:pPr>
            <w:r>
              <w:rPr>
                <w:sz w:val="16"/>
              </w:rPr>
              <w:t>—</w:t>
            </w:r>
          </w:p>
        </w:tc>
        <w:tc>
          <w:tcPr>
            <w:tcW w:w="1800" w:type="dxa"/>
            <w:tcBorders>
              <w:bottom w:val="single" w:sz="8" w:space="0" w:color="000000"/>
            </w:tcBorders>
          </w:tcPr>
          <w:p>
            <w:pPr>
              <w:pStyle w:val="TableParagraph"/>
              <w:tabs>
                <w:tab w:pos="1443" w:val="left" w:leader="none"/>
              </w:tabs>
              <w:spacing w:line="184" w:lineRule="exact" w:before="29"/>
              <w:ind w:left="649"/>
              <w:rPr>
                <w:sz w:val="16"/>
              </w:rPr>
            </w:pPr>
            <w:r>
              <w:rPr>
                <w:sz w:val="16"/>
              </w:rPr>
              <w:t>—</w:t>
              <w:tab/>
            </w:r>
            <w:r>
              <w:rPr>
                <w:spacing w:val="-5"/>
                <w:sz w:val="16"/>
              </w:rPr>
              <w:t>428</w:t>
            </w:r>
          </w:p>
        </w:tc>
        <w:tc>
          <w:tcPr>
            <w:tcW w:w="904" w:type="dxa"/>
            <w:tcBorders>
              <w:bottom w:val="single" w:sz="8" w:space="0" w:color="000000"/>
            </w:tcBorders>
          </w:tcPr>
          <w:p>
            <w:pPr>
              <w:pStyle w:val="TableParagraph"/>
              <w:spacing w:line="184" w:lineRule="exact" w:before="29"/>
              <w:ind w:left="-2115" w:right="92"/>
              <w:jc w:val="right"/>
              <w:rPr>
                <w:sz w:val="16"/>
              </w:rPr>
            </w:pPr>
            <w:r>
              <w:rPr>
                <w:spacing w:val="-5"/>
                <w:sz w:val="16"/>
              </w:rPr>
              <w:t>428</w:t>
            </w:r>
          </w:p>
        </w:tc>
        <w:tc>
          <w:tcPr>
            <w:tcW w:w="896" w:type="dxa"/>
            <w:tcBorders>
              <w:bottom w:val="single" w:sz="8" w:space="0" w:color="000000"/>
            </w:tcBorders>
          </w:tcPr>
          <w:p>
            <w:pPr>
              <w:pStyle w:val="TableParagraph"/>
              <w:spacing w:line="184" w:lineRule="exact" w:before="29"/>
              <w:ind w:right="88"/>
              <w:jc w:val="right"/>
              <w:rPr>
                <w:sz w:val="16"/>
              </w:rPr>
            </w:pPr>
            <w:r>
              <w:rPr>
                <w:sz w:val="16"/>
              </w:rPr>
              <w:t>—</w:t>
            </w:r>
          </w:p>
        </w:tc>
        <w:tc>
          <w:tcPr>
            <w:tcW w:w="878" w:type="dxa"/>
            <w:tcBorders>
              <w:bottom w:val="single" w:sz="8" w:space="0" w:color="000000"/>
            </w:tcBorders>
          </w:tcPr>
          <w:p>
            <w:pPr>
              <w:pStyle w:val="TableParagraph"/>
              <w:spacing w:line="184" w:lineRule="exact" w:before="29"/>
              <w:ind w:right="66"/>
              <w:jc w:val="right"/>
              <w:rPr>
                <w:sz w:val="16"/>
              </w:rPr>
            </w:pPr>
            <w:r>
              <w:rPr>
                <w:spacing w:val="-5"/>
                <w:sz w:val="16"/>
              </w:rPr>
              <w:t>428</w:t>
            </w:r>
          </w:p>
        </w:tc>
      </w:tr>
      <w:tr>
        <w:trPr>
          <w:trHeight w:val="200" w:hRule="atLeast"/>
        </w:trPr>
        <w:tc>
          <w:tcPr>
            <w:tcW w:w="2205" w:type="dxa"/>
          </w:tcPr>
          <w:p>
            <w:pPr>
              <w:pStyle w:val="TableParagraph"/>
              <w:spacing w:line="171" w:lineRule="exact" w:before="9"/>
              <w:ind w:left="52"/>
              <w:rPr>
                <w:sz w:val="16"/>
              </w:rPr>
            </w:pPr>
            <w:r>
              <w:rPr>
                <w:spacing w:val="-2"/>
                <w:sz w:val="16"/>
              </w:rPr>
              <w:t>Total</w:t>
            </w:r>
          </w:p>
        </w:tc>
        <w:tc>
          <w:tcPr>
            <w:tcW w:w="1777" w:type="dxa"/>
            <w:tcBorders>
              <w:top w:val="single" w:sz="8" w:space="0" w:color="000000"/>
              <w:bottom w:val="double" w:sz="8" w:space="0" w:color="000000"/>
            </w:tcBorders>
          </w:tcPr>
          <w:p>
            <w:pPr>
              <w:pStyle w:val="TableParagraph"/>
              <w:tabs>
                <w:tab w:pos="626" w:val="left" w:leader="none"/>
                <w:tab w:pos="1597" w:val="left" w:leader="none"/>
              </w:tabs>
              <w:spacing w:line="164" w:lineRule="exact" w:before="16"/>
              <w:ind w:left="67"/>
              <w:rPr>
                <w:sz w:val="16"/>
              </w:rPr>
            </w:pPr>
            <w:r>
              <w:rPr>
                <w:spacing w:val="-10"/>
                <w:sz w:val="16"/>
              </w:rPr>
              <w:t>$</w:t>
            </w:r>
            <w:r>
              <w:rPr>
                <w:sz w:val="16"/>
              </w:rPr>
              <w:tab/>
              <w:t>—</w:t>
            </w:r>
            <w:r>
              <w:rPr>
                <w:spacing w:val="45"/>
                <w:sz w:val="16"/>
              </w:rPr>
              <w:t>  </w:t>
            </w:r>
            <w:r>
              <w:rPr>
                <w:spacing w:val="-10"/>
                <w:sz w:val="16"/>
              </w:rPr>
              <w:t>$</w:t>
            </w:r>
            <w:r>
              <w:rPr>
                <w:sz w:val="16"/>
              </w:rPr>
              <w:tab/>
            </w:r>
            <w:r>
              <w:rPr>
                <w:spacing w:val="-10"/>
                <w:sz w:val="16"/>
              </w:rPr>
              <w:t>1</w:t>
            </w:r>
          </w:p>
        </w:tc>
        <w:tc>
          <w:tcPr>
            <w:tcW w:w="900" w:type="dxa"/>
            <w:tcBorders>
              <w:top w:val="single" w:sz="8" w:space="0" w:color="000000"/>
              <w:bottom w:val="double" w:sz="8" w:space="0" w:color="000000"/>
            </w:tcBorders>
          </w:tcPr>
          <w:p>
            <w:pPr>
              <w:pStyle w:val="TableParagraph"/>
              <w:tabs>
                <w:tab w:pos="541" w:val="left" w:leader="none"/>
              </w:tabs>
              <w:spacing w:line="164" w:lineRule="exact" w:before="16"/>
              <w:ind w:right="88"/>
              <w:jc w:val="right"/>
              <w:rPr>
                <w:sz w:val="16"/>
              </w:rPr>
            </w:pPr>
            <w:r>
              <w:rPr>
                <w:spacing w:val="-10"/>
                <w:sz w:val="16"/>
              </w:rPr>
              <w:t>$</w:t>
            </w:r>
            <w:r>
              <w:rPr>
                <w:sz w:val="16"/>
              </w:rPr>
              <w:tab/>
            </w:r>
            <w:r>
              <w:rPr>
                <w:spacing w:val="-5"/>
                <w:sz w:val="16"/>
              </w:rPr>
              <w:t>38</w:t>
            </w:r>
          </w:p>
        </w:tc>
        <w:tc>
          <w:tcPr>
            <w:tcW w:w="1800" w:type="dxa"/>
            <w:tcBorders>
              <w:top w:val="single" w:sz="8" w:space="0" w:color="000000"/>
              <w:bottom w:val="double" w:sz="8" w:space="0" w:color="000000"/>
            </w:tcBorders>
          </w:tcPr>
          <w:p>
            <w:pPr>
              <w:pStyle w:val="TableParagraph"/>
              <w:tabs>
                <w:tab w:pos="649" w:val="left" w:leader="none"/>
                <w:tab w:pos="1443" w:val="left" w:leader="none"/>
              </w:tabs>
              <w:spacing w:line="164" w:lineRule="exact" w:before="16"/>
              <w:ind w:left="90"/>
              <w:rPr>
                <w:sz w:val="16"/>
              </w:rPr>
            </w:pPr>
            <w:r>
              <w:rPr>
                <w:spacing w:val="-10"/>
                <w:sz w:val="16"/>
              </w:rPr>
              <w:t>$</w:t>
            </w:r>
            <w:r>
              <w:rPr>
                <w:sz w:val="16"/>
              </w:rPr>
              <w:tab/>
              <w:t>—</w:t>
            </w:r>
            <w:r>
              <w:rPr>
                <w:spacing w:val="45"/>
                <w:sz w:val="16"/>
              </w:rPr>
              <w:t>  </w:t>
            </w:r>
            <w:r>
              <w:rPr>
                <w:spacing w:val="-10"/>
                <w:sz w:val="16"/>
              </w:rPr>
              <w:t>$</w:t>
            </w:r>
            <w:r>
              <w:rPr>
                <w:sz w:val="16"/>
              </w:rPr>
              <w:tab/>
            </w:r>
            <w:r>
              <w:rPr>
                <w:spacing w:val="-5"/>
                <w:sz w:val="16"/>
              </w:rPr>
              <w:t>428</w:t>
            </w:r>
          </w:p>
        </w:tc>
        <w:tc>
          <w:tcPr>
            <w:tcW w:w="904" w:type="dxa"/>
            <w:tcBorders>
              <w:top w:val="single" w:sz="8" w:space="0" w:color="000000"/>
              <w:bottom w:val="double" w:sz="8" w:space="0" w:color="000000"/>
            </w:tcBorders>
          </w:tcPr>
          <w:p>
            <w:pPr>
              <w:pStyle w:val="TableParagraph"/>
              <w:tabs>
                <w:tab w:pos="452" w:val="left" w:leader="none"/>
              </w:tabs>
              <w:spacing w:line="164" w:lineRule="exact" w:before="16"/>
              <w:ind w:right="92"/>
              <w:jc w:val="right"/>
              <w:rPr>
                <w:sz w:val="16"/>
              </w:rPr>
            </w:pPr>
            <w:r>
              <w:rPr>
                <w:spacing w:val="-10"/>
                <w:sz w:val="16"/>
              </w:rPr>
              <w:t>$</w:t>
            </w:r>
            <w:r>
              <w:rPr>
                <w:sz w:val="16"/>
              </w:rPr>
              <w:tab/>
            </w:r>
            <w:r>
              <w:rPr>
                <w:spacing w:val="-5"/>
                <w:sz w:val="16"/>
              </w:rPr>
              <w:t>467</w:t>
            </w:r>
          </w:p>
        </w:tc>
        <w:tc>
          <w:tcPr>
            <w:tcW w:w="896" w:type="dxa"/>
            <w:tcBorders>
              <w:top w:val="single" w:sz="8" w:space="0" w:color="000000"/>
              <w:bottom w:val="double" w:sz="8" w:space="0" w:color="000000"/>
            </w:tcBorders>
          </w:tcPr>
          <w:p>
            <w:pPr>
              <w:pStyle w:val="TableParagraph"/>
              <w:spacing w:line="164" w:lineRule="exact" w:before="16"/>
              <w:ind w:left="-2119" w:right="88"/>
              <w:jc w:val="right"/>
              <w:rPr>
                <w:sz w:val="16"/>
              </w:rPr>
            </w:pPr>
            <w:r>
              <w:rPr>
                <w:sz w:val="16"/>
              </w:rPr>
              <w:t>$</w:t>
            </w:r>
            <w:r>
              <w:rPr>
                <w:spacing w:val="8"/>
                <w:sz w:val="16"/>
              </w:rPr>
              <w:t> </w:t>
            </w:r>
            <w:r>
              <w:rPr>
                <w:spacing w:val="-2"/>
                <w:sz w:val="16"/>
              </w:rPr>
              <w:t>228,877</w:t>
            </w:r>
          </w:p>
        </w:tc>
        <w:tc>
          <w:tcPr>
            <w:tcW w:w="878" w:type="dxa"/>
            <w:tcBorders>
              <w:top w:val="single" w:sz="8" w:space="0" w:color="000000"/>
              <w:bottom w:val="double" w:sz="8" w:space="0" w:color="000000"/>
            </w:tcBorders>
          </w:tcPr>
          <w:p>
            <w:pPr>
              <w:pStyle w:val="TableParagraph"/>
              <w:spacing w:line="164" w:lineRule="exact" w:before="16"/>
              <w:ind w:right="66"/>
              <w:jc w:val="right"/>
              <w:rPr>
                <w:sz w:val="16"/>
              </w:rPr>
            </w:pPr>
            <w:r>
              <w:rPr>
                <w:sz w:val="16"/>
              </w:rPr>
              <w:t>$</w:t>
            </w:r>
            <w:r>
              <w:rPr>
                <w:spacing w:val="8"/>
                <w:sz w:val="16"/>
              </w:rPr>
              <w:t> </w:t>
            </w:r>
            <w:r>
              <w:rPr>
                <w:spacing w:val="-2"/>
                <w:sz w:val="16"/>
              </w:rPr>
              <w:t>229,344</w:t>
            </w:r>
          </w:p>
        </w:tc>
      </w:tr>
    </w:tbl>
    <w:p>
      <w:pPr>
        <w:pStyle w:val="BodyText"/>
        <w:spacing w:before="6"/>
        <w:rPr>
          <w:rFonts w:ascii="Arial"/>
          <w:i/>
          <w:sz w:val="15"/>
        </w:rPr>
      </w:pPr>
      <w:r>
        <w:rPr>
          <w:rFonts w:ascii="Arial"/>
          <w:i/>
          <w:sz w:val="15"/>
        </w:rPr>
        <mc:AlternateContent>
          <mc:Choice Requires="wps">
            <w:drawing>
              <wp:anchor distT="0" distB="0" distL="0" distR="0" allowOverlap="1" layoutInCell="1" locked="0" behindDoc="1" simplePos="0" relativeHeight="487698944">
                <wp:simplePos x="0" y="0"/>
                <wp:positionH relativeFrom="page">
                  <wp:posOffset>914400</wp:posOffset>
                </wp:positionH>
                <wp:positionV relativeFrom="paragraph">
                  <wp:posOffset>128578</wp:posOffset>
                </wp:positionV>
                <wp:extent cx="5943600" cy="127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124268pt;width:468pt;height:.1pt;mso-position-horizontal-relative:page;mso-position-vertical-relative:paragraph;z-index:-15617536;mso-wrap-distance-left:0;mso-wrap-distance-right:0" id="docshape667" coordorigin="1440,202" coordsize="9360,0" path="m1440,202l10800,202e" filled="false" stroked="true" strokeweight="1pt" strokecolor="#000000">
                <v:path arrowok="t"/>
                <v:stroke dashstyle="solid"/>
                <w10:wrap type="topAndBottom"/>
              </v:shape>
            </w:pict>
          </mc:Fallback>
        </mc:AlternateContent>
      </w:r>
    </w:p>
    <w:p>
      <w:pPr>
        <w:pStyle w:val="BodyText"/>
        <w:spacing w:after="0"/>
        <w:rPr>
          <w:rFonts w:ascii="Arial"/>
          <w:i/>
          <w:sz w:val="15"/>
        </w:rPr>
        <w:sectPr>
          <w:type w:val="continuous"/>
          <w:pgSz w:w="12240" w:h="15840"/>
          <w:pgMar w:header="1033" w:footer="528" w:top="1820" w:bottom="280" w:left="720" w:right="720"/>
        </w:sectPr>
      </w:pPr>
    </w:p>
    <w:p>
      <w:pPr>
        <w:pStyle w:val="BodyText"/>
        <w:spacing w:line="249" w:lineRule="auto" w:before="72"/>
        <w:ind w:left="720" w:right="718"/>
        <w:jc w:val="both"/>
      </w:pPr>
      <w:r>
        <w:rPr/>
        <w:t>IBRD considers the signature date of a loan agreement as the best indicator of the decision point in the origination process, rather than the disbursement date. The table below discloses the outstanding balances of IBRD’s loan portfolio as of June 30, 2023 and June 30, 2022, classified by the year the loan agreement was signed.</w:t>
      </w:r>
    </w:p>
    <w:p>
      <w:pPr>
        <w:pStyle w:val="Heading8"/>
        <w:spacing w:before="119"/>
        <w:jc w:val="both"/>
      </w:pPr>
      <w:r>
        <w:rPr/>
        <w:t>Table</w:t>
      </w:r>
      <w:r>
        <w:rPr>
          <w:spacing w:val="-4"/>
        </w:rPr>
        <w:t> </w:t>
      </w:r>
      <w:r>
        <w:rPr/>
        <w:t>D4:</w:t>
      </w:r>
      <w:r>
        <w:rPr>
          <w:spacing w:val="-2"/>
        </w:rPr>
        <w:t> </w:t>
      </w:r>
      <w:r>
        <w:rPr/>
        <w:t>Loan</w:t>
      </w:r>
      <w:r>
        <w:rPr>
          <w:spacing w:val="-3"/>
        </w:rPr>
        <w:t> </w:t>
      </w:r>
      <w:r>
        <w:rPr/>
        <w:t>portfolio</w:t>
      </w:r>
      <w:r>
        <w:rPr>
          <w:spacing w:val="-2"/>
        </w:rPr>
        <w:t> </w:t>
      </w:r>
      <w:r>
        <w:rPr/>
        <w:t>vintage</w:t>
      </w:r>
      <w:r>
        <w:rPr>
          <w:spacing w:val="-3"/>
        </w:rPr>
        <w:t> </w:t>
      </w:r>
      <w:r>
        <w:rPr>
          <w:spacing w:val="-2"/>
        </w:rPr>
        <w:t>disclosure</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843840">
                <wp:simplePos x="0" y="0"/>
                <wp:positionH relativeFrom="page">
                  <wp:posOffset>914400</wp:posOffset>
                </wp:positionH>
                <wp:positionV relativeFrom="paragraph">
                  <wp:posOffset>191440</wp:posOffset>
                </wp:positionV>
                <wp:extent cx="5943600" cy="1270"/>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840" from="72pt,15.074023pt" to="540pt,15.074023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both"/>
        <w:rPr>
          <w:rFonts w:ascii="Arial"/>
          <w:i/>
          <w:sz w:val="16"/>
        </w:rPr>
        <w:sectPr>
          <w:headerReference w:type="default" r:id="rId160"/>
          <w:pgSz w:w="12240" w:h="15840"/>
          <w:pgMar w:header="0" w:footer="0" w:top="960" w:bottom="720" w:left="720" w:right="720"/>
        </w:sectPr>
      </w:pPr>
    </w:p>
    <w:p>
      <w:pPr>
        <w:pStyle w:val="BodyText"/>
        <w:rPr>
          <w:rFonts w:ascii="Arial"/>
          <w:i/>
          <w:sz w:val="16"/>
        </w:rPr>
      </w:pPr>
    </w:p>
    <w:p>
      <w:pPr>
        <w:pStyle w:val="BodyText"/>
        <w:rPr>
          <w:rFonts w:ascii="Arial"/>
          <w:i/>
          <w:sz w:val="16"/>
        </w:rPr>
      </w:pPr>
    </w:p>
    <w:p>
      <w:pPr>
        <w:pStyle w:val="BodyText"/>
        <w:spacing w:before="74"/>
        <w:rPr>
          <w:rFonts w:ascii="Arial"/>
          <w:i/>
          <w:sz w:val="16"/>
        </w:rPr>
      </w:pPr>
    </w:p>
    <w:p>
      <w:pPr>
        <w:spacing w:before="0"/>
        <w:ind w:left="0" w:right="0" w:firstLine="0"/>
        <w:jc w:val="right"/>
        <w:rPr>
          <w:rFonts w:ascii="Arial"/>
          <w:i/>
          <w:sz w:val="16"/>
        </w:rPr>
      </w:pPr>
      <w:r>
        <w:rPr>
          <w:rFonts w:ascii="Arial"/>
          <w:i/>
          <w:sz w:val="16"/>
        </w:rPr>
        <w:t>Fiscal</w:t>
      </w:r>
      <w:r>
        <w:rPr>
          <w:rFonts w:ascii="Arial"/>
          <w:i/>
          <w:spacing w:val="-2"/>
          <w:sz w:val="16"/>
        </w:rPr>
        <w:t> </w:t>
      </w:r>
      <w:r>
        <w:rPr>
          <w:rFonts w:ascii="Arial"/>
          <w:i/>
          <w:sz w:val="16"/>
        </w:rPr>
        <w:t>Year</w:t>
      </w:r>
      <w:r>
        <w:rPr>
          <w:rFonts w:ascii="Arial"/>
          <w:i/>
          <w:spacing w:val="-2"/>
          <w:sz w:val="16"/>
        </w:rPr>
        <w:t> </w:t>
      </w:r>
      <w:r>
        <w:rPr>
          <w:rFonts w:ascii="Arial"/>
          <w:i/>
          <w:sz w:val="16"/>
        </w:rPr>
        <w:t>of</w:t>
      </w:r>
      <w:r>
        <w:rPr>
          <w:rFonts w:ascii="Arial"/>
          <w:i/>
          <w:spacing w:val="-2"/>
          <w:sz w:val="16"/>
        </w:rPr>
        <w:t> Origination</w:t>
      </w:r>
    </w:p>
    <w:p>
      <w:pPr>
        <w:spacing w:before="56"/>
        <w:ind w:left="0" w:right="0" w:firstLine="0"/>
        <w:jc w:val="left"/>
        <w:rPr>
          <w:rFonts w:ascii="Arial"/>
          <w:i/>
          <w:sz w:val="16"/>
        </w:rPr>
      </w:pPr>
      <w:r>
        <w:rPr/>
        <w:br w:type="column"/>
      </w: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p>
      <w:pPr>
        <w:pStyle w:val="BodyText"/>
        <w:spacing w:before="109"/>
        <w:rPr>
          <w:rFonts w:ascii="Arial"/>
          <w:i/>
          <w:sz w:val="16"/>
        </w:rPr>
      </w:pPr>
      <w:r>
        <w:rPr/>
        <w:br w:type="column"/>
      </w:r>
      <w:r>
        <w:rPr>
          <w:rFonts w:ascii="Arial"/>
          <w:i/>
          <w:sz w:val="16"/>
        </w:rPr>
      </w:r>
    </w:p>
    <w:p>
      <w:pPr>
        <w:spacing w:line="249" w:lineRule="auto" w:before="0"/>
        <w:ind w:left="520" w:right="15" w:firstLine="0"/>
        <w:jc w:val="center"/>
        <w:rPr>
          <w:rFonts w:ascii="Arial"/>
          <w:i/>
          <w:sz w:val="16"/>
        </w:rPr>
      </w:pPr>
      <w:r>
        <w:rPr>
          <w:rFonts w:ascii="Arial"/>
          <w:i/>
          <w:sz w:val="16"/>
        </w:rPr>
        <mc:AlternateContent>
          <mc:Choice Requires="wps">
            <w:drawing>
              <wp:anchor distT="0" distB="0" distL="0" distR="0" allowOverlap="1" layoutInCell="1" locked="0" behindDoc="0" simplePos="0" relativeHeight="15844352">
                <wp:simplePos x="0" y="0"/>
                <wp:positionH relativeFrom="page">
                  <wp:posOffset>2057400</wp:posOffset>
                </wp:positionH>
                <wp:positionV relativeFrom="paragraph">
                  <wp:posOffset>-14915</wp:posOffset>
                </wp:positionV>
                <wp:extent cx="4800600" cy="1270"/>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4800600" cy="1270"/>
                        </a:xfrm>
                        <a:custGeom>
                          <a:avLst/>
                          <a:gdLst/>
                          <a:ahLst/>
                          <a:cxnLst/>
                          <a:rect l="l" t="t" r="r" b="b"/>
                          <a:pathLst>
                            <a:path w="4800600" h="0">
                              <a:moveTo>
                                <a:pt x="0" y="0"/>
                              </a:moveTo>
                              <a:lnTo>
                                <a:pt x="4800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352" from="162pt,-1.174414pt" to="540pt,-1.174414pt" stroked="true" strokeweight="1pt" strokecolor="#000000">
                <v:stroke dashstyle="solid"/>
                <w10:wrap type="none"/>
              </v:line>
            </w:pict>
          </mc:Fallback>
        </mc:AlternateContent>
      </w:r>
      <w:r>
        <w:rPr>
          <w:rFonts w:ascii="Arial"/>
          <w:i/>
          <w:spacing w:val="-4"/>
          <w:sz w:val="16"/>
        </w:rPr>
        <w:t>CAT DDOs</w:t>
      </w:r>
    </w:p>
    <w:p>
      <w:pPr>
        <w:spacing w:before="1"/>
        <w:ind w:left="503" w:right="0" w:firstLine="0"/>
        <w:jc w:val="center"/>
        <w:rPr>
          <w:rFonts w:ascii="Arial"/>
          <w:i/>
          <w:sz w:val="16"/>
        </w:rPr>
      </w:pPr>
      <w:r>
        <w:rPr>
          <w:rFonts w:ascii="Arial"/>
          <w:i/>
          <w:spacing w:val="-2"/>
          <w:sz w:val="16"/>
        </w:rPr>
        <w:t>Disbursed</w:t>
      </w:r>
    </w:p>
    <w:p>
      <w:pPr>
        <w:pStyle w:val="BodyText"/>
        <w:spacing w:before="109"/>
        <w:rPr>
          <w:rFonts w:ascii="Arial"/>
          <w:i/>
          <w:sz w:val="16"/>
        </w:rPr>
      </w:pPr>
      <w:r>
        <w:rPr/>
        <w:br w:type="column"/>
      </w:r>
      <w:r>
        <w:rPr>
          <w:rFonts w:ascii="Arial"/>
          <w:i/>
          <w:sz w:val="16"/>
        </w:rPr>
      </w:r>
    </w:p>
    <w:p>
      <w:pPr>
        <w:spacing w:line="249" w:lineRule="auto" w:before="0"/>
        <w:ind w:left="164" w:right="24" w:firstLine="0"/>
        <w:jc w:val="center"/>
        <w:rPr>
          <w:rFonts w:ascii="Arial"/>
          <w:i/>
          <w:sz w:val="16"/>
        </w:rPr>
      </w:pPr>
      <w:r>
        <w:rPr>
          <w:rFonts w:ascii="Arial"/>
          <w:i/>
          <w:spacing w:val="-4"/>
          <w:sz w:val="16"/>
        </w:rPr>
        <w:t>CAT DDOs</w:t>
      </w:r>
    </w:p>
    <w:p>
      <w:pPr>
        <w:spacing w:before="1"/>
        <w:ind w:left="138" w:right="0" w:firstLine="0"/>
        <w:jc w:val="center"/>
        <w:rPr>
          <w:rFonts w:ascii="Arial"/>
          <w:i/>
          <w:sz w:val="16"/>
        </w:rPr>
      </w:pPr>
      <w:r>
        <w:rPr>
          <w:rFonts w:ascii="Arial"/>
          <w:i/>
          <w:spacing w:val="-2"/>
          <w:sz w:val="16"/>
        </w:rPr>
        <w:t>Converted</w:t>
      </w:r>
    </w:p>
    <w:p>
      <w:pPr>
        <w:pStyle w:val="BodyText"/>
        <w:spacing w:before="109"/>
        <w:rPr>
          <w:rFonts w:ascii="Arial"/>
          <w:i/>
          <w:sz w:val="16"/>
        </w:rPr>
      </w:pPr>
      <w:r>
        <w:rPr/>
        <w:br w:type="column"/>
      </w:r>
      <w:r>
        <w:rPr>
          <w:rFonts w:ascii="Arial"/>
          <w:i/>
          <w:sz w:val="16"/>
        </w:rPr>
      </w:r>
    </w:p>
    <w:p>
      <w:pPr>
        <w:spacing w:line="249" w:lineRule="auto" w:before="0"/>
        <w:ind w:left="153" w:right="792" w:hanging="1"/>
        <w:jc w:val="center"/>
        <w:rPr>
          <w:rFonts w:ascii="Arial"/>
          <w:i/>
          <w:sz w:val="16"/>
        </w:rPr>
      </w:pPr>
      <w:r>
        <w:rPr>
          <w:rFonts w:ascii="Arial"/>
          <w:i/>
          <w:spacing w:val="-2"/>
          <w:sz w:val="16"/>
        </w:rPr>
        <w:t>Loans outstanding </w:t>
      </w:r>
      <w:r>
        <w:rPr>
          <w:rFonts w:ascii="Arial"/>
          <w:i/>
          <w:sz w:val="16"/>
        </w:rPr>
        <w:t>as of</w:t>
      </w:r>
    </w:p>
    <w:p>
      <w:pPr>
        <w:spacing w:after="0" w:line="249" w:lineRule="auto"/>
        <w:jc w:val="center"/>
        <w:rPr>
          <w:rFonts w:ascii="Arial"/>
          <w:i/>
          <w:sz w:val="16"/>
        </w:rPr>
        <w:sectPr>
          <w:type w:val="continuous"/>
          <w:pgSz w:w="12240" w:h="15840"/>
          <w:pgMar w:header="0" w:footer="0" w:top="1820" w:bottom="280" w:left="720" w:right="720"/>
          <w:cols w:num="5" w:equalWidth="0">
            <w:col w:w="5774" w:space="20"/>
            <w:col w:w="1013" w:space="39"/>
            <w:col w:w="1224" w:space="40"/>
            <w:col w:w="877" w:space="40"/>
            <w:col w:w="1773"/>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0"/>
        <w:gridCol w:w="757"/>
        <w:gridCol w:w="795"/>
        <w:gridCol w:w="795"/>
        <w:gridCol w:w="795"/>
        <w:gridCol w:w="795"/>
        <w:gridCol w:w="773"/>
        <w:gridCol w:w="923"/>
        <w:gridCol w:w="916"/>
        <w:gridCol w:w="1014"/>
      </w:tblGrid>
      <w:tr>
        <w:trPr>
          <w:trHeight w:val="415" w:hRule="atLeast"/>
        </w:trPr>
        <w:tc>
          <w:tcPr>
            <w:tcW w:w="1800" w:type="dxa"/>
            <w:tcBorders>
              <w:bottom w:val="single" w:sz="8" w:space="0" w:color="000000"/>
            </w:tcBorders>
          </w:tcPr>
          <w:p>
            <w:pPr>
              <w:pStyle w:val="TableParagraph"/>
              <w:rPr>
                <w:rFonts w:ascii="Times New Roman"/>
                <w:sz w:val="16"/>
              </w:rPr>
            </w:pPr>
          </w:p>
        </w:tc>
        <w:tc>
          <w:tcPr>
            <w:tcW w:w="757" w:type="dxa"/>
            <w:tcBorders>
              <w:top w:val="single" w:sz="8" w:space="0" w:color="000000"/>
              <w:bottom w:val="single" w:sz="8" w:space="0" w:color="000000"/>
            </w:tcBorders>
          </w:tcPr>
          <w:p>
            <w:pPr>
              <w:pStyle w:val="TableParagraph"/>
              <w:rPr>
                <w:rFonts w:ascii="Arial"/>
                <w:i/>
                <w:sz w:val="16"/>
              </w:rPr>
            </w:pPr>
          </w:p>
          <w:p>
            <w:pPr>
              <w:pStyle w:val="TableParagraph"/>
              <w:ind w:left="189"/>
              <w:rPr>
                <w:rFonts w:ascii="Arial"/>
                <w:i/>
                <w:sz w:val="16"/>
              </w:rPr>
            </w:pPr>
            <w:r>
              <w:rPr>
                <w:rFonts w:ascii="Arial"/>
                <w:i/>
                <w:spacing w:val="-4"/>
                <w:sz w:val="16"/>
              </w:rPr>
              <w:t>2023</w:t>
            </w:r>
          </w:p>
        </w:tc>
        <w:tc>
          <w:tcPr>
            <w:tcW w:w="795" w:type="dxa"/>
            <w:tcBorders>
              <w:top w:val="single" w:sz="8" w:space="0" w:color="000000"/>
              <w:bottom w:val="single" w:sz="8" w:space="0" w:color="000000"/>
            </w:tcBorders>
          </w:tcPr>
          <w:p>
            <w:pPr>
              <w:pStyle w:val="TableParagraph"/>
              <w:rPr>
                <w:rFonts w:ascii="Arial"/>
                <w:i/>
                <w:sz w:val="16"/>
              </w:rPr>
            </w:pPr>
          </w:p>
          <w:p>
            <w:pPr>
              <w:pStyle w:val="TableParagraph"/>
              <w:ind w:left="227"/>
              <w:rPr>
                <w:rFonts w:ascii="Arial"/>
                <w:i/>
                <w:sz w:val="16"/>
              </w:rPr>
            </w:pPr>
            <w:r>
              <w:rPr>
                <w:rFonts w:ascii="Arial"/>
                <w:i/>
                <w:spacing w:val="-4"/>
                <w:sz w:val="16"/>
              </w:rPr>
              <w:t>2022</w:t>
            </w:r>
          </w:p>
        </w:tc>
        <w:tc>
          <w:tcPr>
            <w:tcW w:w="795" w:type="dxa"/>
            <w:tcBorders>
              <w:top w:val="single" w:sz="8" w:space="0" w:color="000000"/>
              <w:bottom w:val="single" w:sz="8" w:space="0" w:color="000000"/>
            </w:tcBorders>
          </w:tcPr>
          <w:p>
            <w:pPr>
              <w:pStyle w:val="TableParagraph"/>
              <w:rPr>
                <w:rFonts w:ascii="Arial"/>
                <w:i/>
                <w:sz w:val="16"/>
              </w:rPr>
            </w:pPr>
          </w:p>
          <w:p>
            <w:pPr>
              <w:pStyle w:val="TableParagraph"/>
              <w:ind w:left="227"/>
              <w:rPr>
                <w:rFonts w:ascii="Arial"/>
                <w:i/>
                <w:sz w:val="16"/>
              </w:rPr>
            </w:pPr>
            <w:r>
              <w:rPr>
                <w:rFonts w:ascii="Arial"/>
                <w:i/>
                <w:spacing w:val="-4"/>
                <w:sz w:val="16"/>
              </w:rPr>
              <w:t>2021</w:t>
            </w:r>
          </w:p>
        </w:tc>
        <w:tc>
          <w:tcPr>
            <w:tcW w:w="795" w:type="dxa"/>
            <w:tcBorders>
              <w:top w:val="single" w:sz="8" w:space="0" w:color="000000"/>
              <w:bottom w:val="single" w:sz="8" w:space="0" w:color="000000"/>
            </w:tcBorders>
          </w:tcPr>
          <w:p>
            <w:pPr>
              <w:pStyle w:val="TableParagraph"/>
              <w:rPr>
                <w:rFonts w:ascii="Arial"/>
                <w:i/>
                <w:sz w:val="16"/>
              </w:rPr>
            </w:pPr>
          </w:p>
          <w:p>
            <w:pPr>
              <w:pStyle w:val="TableParagraph"/>
              <w:ind w:left="227"/>
              <w:rPr>
                <w:rFonts w:ascii="Arial"/>
                <w:i/>
                <w:sz w:val="16"/>
              </w:rPr>
            </w:pPr>
            <w:r>
              <w:rPr>
                <w:rFonts w:ascii="Arial"/>
                <w:i/>
                <w:spacing w:val="-4"/>
                <w:sz w:val="16"/>
              </w:rPr>
              <w:t>2020</w:t>
            </w:r>
          </w:p>
        </w:tc>
        <w:tc>
          <w:tcPr>
            <w:tcW w:w="795" w:type="dxa"/>
            <w:tcBorders>
              <w:top w:val="single" w:sz="8" w:space="0" w:color="000000"/>
              <w:bottom w:val="single" w:sz="8" w:space="0" w:color="000000"/>
            </w:tcBorders>
          </w:tcPr>
          <w:p>
            <w:pPr>
              <w:pStyle w:val="TableParagraph"/>
              <w:rPr>
                <w:rFonts w:ascii="Arial"/>
                <w:i/>
                <w:sz w:val="16"/>
              </w:rPr>
            </w:pPr>
          </w:p>
          <w:p>
            <w:pPr>
              <w:pStyle w:val="TableParagraph"/>
              <w:ind w:left="227"/>
              <w:rPr>
                <w:rFonts w:ascii="Arial"/>
                <w:i/>
                <w:sz w:val="16"/>
              </w:rPr>
            </w:pPr>
            <w:r>
              <w:rPr>
                <w:rFonts w:ascii="Arial"/>
                <w:i/>
                <w:spacing w:val="-4"/>
                <w:sz w:val="16"/>
              </w:rPr>
              <w:t>2019</w:t>
            </w:r>
          </w:p>
        </w:tc>
        <w:tc>
          <w:tcPr>
            <w:tcW w:w="773" w:type="dxa"/>
            <w:tcBorders>
              <w:top w:val="single" w:sz="8" w:space="0" w:color="000000"/>
              <w:bottom w:val="single" w:sz="8" w:space="0" w:color="000000"/>
            </w:tcBorders>
          </w:tcPr>
          <w:p>
            <w:pPr>
              <w:pStyle w:val="TableParagraph"/>
              <w:spacing w:line="249" w:lineRule="auto"/>
              <w:ind w:left="196" w:right="149" w:firstLine="40"/>
              <w:rPr>
                <w:rFonts w:ascii="Arial"/>
                <w:i/>
                <w:sz w:val="16"/>
              </w:rPr>
            </w:pPr>
            <w:r>
              <w:rPr>
                <w:rFonts w:ascii="Arial"/>
                <w:i/>
                <w:spacing w:val="-2"/>
                <w:sz w:val="16"/>
              </w:rPr>
              <w:t>Prior Years</w:t>
            </w:r>
          </w:p>
        </w:tc>
        <w:tc>
          <w:tcPr>
            <w:tcW w:w="923" w:type="dxa"/>
            <w:tcBorders>
              <w:bottom w:val="single" w:sz="8" w:space="0" w:color="000000"/>
            </w:tcBorders>
          </w:tcPr>
          <w:p>
            <w:pPr>
              <w:pStyle w:val="TableParagraph"/>
              <w:spacing w:line="249" w:lineRule="auto"/>
              <w:ind w:left="129" w:firstLine="217"/>
              <w:rPr>
                <w:rFonts w:ascii="Arial"/>
                <w:i/>
                <w:sz w:val="16"/>
              </w:rPr>
            </w:pPr>
            <w:r>
              <w:rPr>
                <w:rFonts w:ascii="Arial"/>
                <w:i/>
                <w:spacing w:val="-4"/>
                <w:sz w:val="16"/>
              </w:rPr>
              <w:t>and </w:t>
            </w:r>
            <w:r>
              <w:rPr>
                <w:rFonts w:ascii="Arial"/>
                <w:i/>
                <w:spacing w:val="-2"/>
                <w:sz w:val="16"/>
              </w:rPr>
              <w:t>Revolving</w:t>
            </w:r>
          </w:p>
        </w:tc>
        <w:tc>
          <w:tcPr>
            <w:tcW w:w="916" w:type="dxa"/>
            <w:tcBorders>
              <w:bottom w:val="single" w:sz="8" w:space="0" w:color="000000"/>
            </w:tcBorders>
          </w:tcPr>
          <w:p>
            <w:pPr>
              <w:pStyle w:val="TableParagraph"/>
              <w:spacing w:line="249" w:lineRule="auto"/>
              <w:ind w:left="246" w:right="168" w:hanging="58"/>
              <w:rPr>
                <w:rFonts w:ascii="Arial"/>
                <w:i/>
                <w:sz w:val="16"/>
              </w:rPr>
            </w:pPr>
            <w:r>
              <w:rPr>
                <w:rFonts w:ascii="Arial"/>
                <w:i/>
                <w:sz w:val="16"/>
              </w:rPr>
              <w:t>to</w:t>
            </w:r>
            <w:r>
              <w:rPr>
                <w:rFonts w:ascii="Arial"/>
                <w:i/>
                <w:spacing w:val="-12"/>
                <w:sz w:val="16"/>
              </w:rPr>
              <w:t> </w:t>
            </w:r>
            <w:r>
              <w:rPr>
                <w:rFonts w:ascii="Arial"/>
                <w:i/>
                <w:sz w:val="16"/>
              </w:rPr>
              <w:t>Term </w:t>
            </w:r>
            <w:r>
              <w:rPr>
                <w:rFonts w:ascii="Arial"/>
                <w:i/>
                <w:spacing w:val="-2"/>
                <w:sz w:val="16"/>
              </w:rPr>
              <w:t>Loans</w:t>
            </w:r>
          </w:p>
        </w:tc>
        <w:tc>
          <w:tcPr>
            <w:tcW w:w="1014" w:type="dxa"/>
            <w:tcBorders>
              <w:bottom w:val="single" w:sz="8" w:space="0" w:color="000000"/>
            </w:tcBorders>
          </w:tcPr>
          <w:p>
            <w:pPr>
              <w:pStyle w:val="TableParagraph"/>
              <w:spacing w:line="176" w:lineRule="exact"/>
              <w:ind w:left="32"/>
              <w:jc w:val="center"/>
              <w:rPr>
                <w:rFonts w:ascii="Arial"/>
                <w:i/>
                <w:sz w:val="16"/>
              </w:rPr>
            </w:pPr>
            <w:r>
              <w:rPr>
                <w:rFonts w:ascii="Arial"/>
                <w:i/>
                <w:sz w:val="16"/>
              </w:rPr>
              <w:t>June</w:t>
            </w:r>
            <w:r>
              <w:rPr>
                <w:rFonts w:ascii="Arial"/>
                <w:i/>
                <w:spacing w:val="-5"/>
                <w:sz w:val="16"/>
              </w:rPr>
              <w:t> 30,</w:t>
            </w:r>
          </w:p>
          <w:p>
            <w:pPr>
              <w:pStyle w:val="TableParagraph"/>
              <w:spacing w:before="8"/>
              <w:ind w:left="32"/>
              <w:jc w:val="center"/>
              <w:rPr>
                <w:rFonts w:ascii="Arial"/>
                <w:i/>
                <w:sz w:val="16"/>
              </w:rPr>
            </w:pPr>
            <w:r>
              <w:rPr>
                <w:rFonts w:ascii="Arial"/>
                <w:i/>
                <w:spacing w:val="-4"/>
                <w:sz w:val="16"/>
              </w:rPr>
              <w:t>2023</w:t>
            </w:r>
          </w:p>
        </w:tc>
      </w:tr>
      <w:tr>
        <w:trPr>
          <w:trHeight w:val="470" w:hRule="atLeast"/>
        </w:trPr>
        <w:tc>
          <w:tcPr>
            <w:tcW w:w="1800" w:type="dxa"/>
            <w:tcBorders>
              <w:top w:val="single" w:sz="8" w:space="0" w:color="000000"/>
            </w:tcBorders>
          </w:tcPr>
          <w:p>
            <w:pPr>
              <w:pStyle w:val="TableParagraph"/>
              <w:spacing w:line="173" w:lineRule="exact"/>
              <w:ind w:left="52"/>
              <w:rPr>
                <w:sz w:val="16"/>
              </w:rPr>
            </w:pPr>
            <w:r>
              <w:rPr>
                <w:spacing w:val="-4"/>
                <w:sz w:val="16"/>
              </w:rPr>
              <w:t>Risk</w:t>
            </w:r>
          </w:p>
          <w:p>
            <w:pPr>
              <w:pStyle w:val="TableParagraph"/>
              <w:spacing w:before="56"/>
              <w:ind w:left="232"/>
              <w:rPr>
                <w:sz w:val="16"/>
              </w:rPr>
            </w:pPr>
            <w:r>
              <w:rPr>
                <w:spacing w:val="-5"/>
                <w:sz w:val="16"/>
              </w:rPr>
              <w:t>Low</w:t>
            </w:r>
          </w:p>
        </w:tc>
        <w:tc>
          <w:tcPr>
            <w:tcW w:w="757" w:type="dxa"/>
            <w:tcBorders>
              <w:top w:val="single" w:sz="8" w:space="0" w:color="000000"/>
            </w:tcBorders>
          </w:tcPr>
          <w:p>
            <w:pPr>
              <w:pStyle w:val="TableParagraph"/>
              <w:spacing w:before="44"/>
              <w:rPr>
                <w:rFonts w:ascii="Arial"/>
                <w:i/>
                <w:sz w:val="16"/>
              </w:rPr>
            </w:pPr>
          </w:p>
          <w:p>
            <w:pPr>
              <w:pStyle w:val="TableParagraph"/>
              <w:tabs>
                <w:tab w:pos="453" w:val="left" w:leader="none"/>
              </w:tabs>
              <w:spacing w:before="1"/>
              <w:ind w:right="88"/>
              <w:jc w:val="right"/>
              <w:rPr>
                <w:sz w:val="16"/>
              </w:rPr>
            </w:pPr>
            <w:r>
              <w:rPr>
                <w:spacing w:val="-10"/>
                <w:sz w:val="16"/>
              </w:rPr>
              <w:t>$</w:t>
            </w:r>
            <w:r>
              <w:rPr>
                <w:sz w:val="16"/>
              </w:rPr>
              <w:tab/>
              <w:t>—</w:t>
            </w:r>
          </w:p>
        </w:tc>
        <w:tc>
          <w:tcPr>
            <w:tcW w:w="795" w:type="dxa"/>
            <w:tcBorders>
              <w:top w:val="single" w:sz="8" w:space="0" w:color="000000"/>
            </w:tcBorders>
          </w:tcPr>
          <w:p>
            <w:pPr>
              <w:pStyle w:val="TableParagraph"/>
              <w:spacing w:before="44"/>
              <w:rPr>
                <w:rFonts w:ascii="Arial"/>
                <w:i/>
                <w:sz w:val="16"/>
              </w:rPr>
            </w:pPr>
          </w:p>
          <w:p>
            <w:pPr>
              <w:pStyle w:val="TableParagraph"/>
              <w:tabs>
                <w:tab w:pos="347" w:val="left" w:leader="none"/>
              </w:tabs>
              <w:spacing w:before="1"/>
              <w:ind w:right="88"/>
              <w:jc w:val="right"/>
              <w:rPr>
                <w:sz w:val="16"/>
              </w:rPr>
            </w:pPr>
            <w:r>
              <w:rPr>
                <w:spacing w:val="-10"/>
                <w:sz w:val="16"/>
              </w:rPr>
              <w:t>$</w:t>
            </w:r>
            <w:r>
              <w:rPr>
                <w:sz w:val="16"/>
              </w:rPr>
              <w:tab/>
            </w:r>
            <w:r>
              <w:rPr>
                <w:spacing w:val="-5"/>
                <w:sz w:val="16"/>
              </w:rPr>
              <w:t>250</w:t>
            </w:r>
          </w:p>
        </w:tc>
        <w:tc>
          <w:tcPr>
            <w:tcW w:w="795" w:type="dxa"/>
            <w:tcBorders>
              <w:top w:val="single" w:sz="8" w:space="0" w:color="000000"/>
            </w:tcBorders>
          </w:tcPr>
          <w:p>
            <w:pPr>
              <w:pStyle w:val="TableParagraph"/>
              <w:spacing w:before="44"/>
              <w:rPr>
                <w:rFonts w:ascii="Arial"/>
                <w:i/>
                <w:sz w:val="16"/>
              </w:rPr>
            </w:pPr>
          </w:p>
          <w:p>
            <w:pPr>
              <w:pStyle w:val="TableParagraph"/>
              <w:tabs>
                <w:tab w:pos="453" w:val="left" w:leader="none"/>
              </w:tabs>
              <w:spacing w:before="1"/>
              <w:ind w:right="88"/>
              <w:jc w:val="right"/>
              <w:rPr>
                <w:sz w:val="16"/>
              </w:rPr>
            </w:pPr>
            <w:r>
              <w:rPr>
                <w:spacing w:val="-10"/>
                <w:sz w:val="16"/>
              </w:rPr>
              <w:t>$</w:t>
            </w:r>
            <w:r>
              <w:rPr>
                <w:sz w:val="16"/>
              </w:rPr>
              <w:tab/>
              <w:t>—</w:t>
            </w:r>
          </w:p>
        </w:tc>
        <w:tc>
          <w:tcPr>
            <w:tcW w:w="795" w:type="dxa"/>
            <w:tcBorders>
              <w:top w:val="single" w:sz="8" w:space="0" w:color="000000"/>
            </w:tcBorders>
          </w:tcPr>
          <w:p>
            <w:pPr>
              <w:pStyle w:val="TableParagraph"/>
              <w:spacing w:before="44"/>
              <w:rPr>
                <w:rFonts w:ascii="Arial"/>
                <w:i/>
                <w:sz w:val="16"/>
              </w:rPr>
            </w:pPr>
          </w:p>
          <w:p>
            <w:pPr>
              <w:pStyle w:val="TableParagraph"/>
              <w:tabs>
                <w:tab w:pos="453" w:val="left" w:leader="none"/>
              </w:tabs>
              <w:spacing w:before="1"/>
              <w:ind w:right="88"/>
              <w:jc w:val="right"/>
              <w:rPr>
                <w:sz w:val="16"/>
              </w:rPr>
            </w:pPr>
            <w:r>
              <w:rPr>
                <w:spacing w:val="-10"/>
                <w:sz w:val="16"/>
              </w:rPr>
              <w:t>$</w:t>
            </w:r>
            <w:r>
              <w:rPr>
                <w:sz w:val="16"/>
              </w:rPr>
              <w:tab/>
              <w:t>—</w:t>
            </w:r>
          </w:p>
        </w:tc>
        <w:tc>
          <w:tcPr>
            <w:tcW w:w="795" w:type="dxa"/>
            <w:tcBorders>
              <w:top w:val="single" w:sz="8" w:space="0" w:color="000000"/>
            </w:tcBorders>
          </w:tcPr>
          <w:p>
            <w:pPr>
              <w:pStyle w:val="TableParagraph"/>
              <w:spacing w:before="44"/>
              <w:rPr>
                <w:rFonts w:ascii="Arial"/>
                <w:i/>
                <w:sz w:val="16"/>
              </w:rPr>
            </w:pPr>
          </w:p>
          <w:p>
            <w:pPr>
              <w:pStyle w:val="TableParagraph"/>
              <w:tabs>
                <w:tab w:pos="453" w:val="left" w:leader="none"/>
              </w:tabs>
              <w:spacing w:before="1"/>
              <w:ind w:right="88"/>
              <w:jc w:val="right"/>
              <w:rPr>
                <w:sz w:val="16"/>
              </w:rPr>
            </w:pPr>
            <w:r>
              <w:rPr>
                <w:spacing w:val="-10"/>
                <w:sz w:val="16"/>
              </w:rPr>
              <w:t>$</w:t>
            </w:r>
            <w:r>
              <w:rPr>
                <w:sz w:val="16"/>
              </w:rPr>
              <w:tab/>
              <w:t>—</w:t>
            </w:r>
          </w:p>
        </w:tc>
        <w:tc>
          <w:tcPr>
            <w:tcW w:w="773" w:type="dxa"/>
            <w:tcBorders>
              <w:top w:val="single" w:sz="8" w:space="0" w:color="000000"/>
            </w:tcBorders>
          </w:tcPr>
          <w:p>
            <w:pPr>
              <w:pStyle w:val="TableParagraph"/>
              <w:spacing w:before="44"/>
              <w:rPr>
                <w:rFonts w:ascii="Arial"/>
                <w:i/>
                <w:sz w:val="16"/>
              </w:rPr>
            </w:pPr>
          </w:p>
          <w:p>
            <w:pPr>
              <w:pStyle w:val="TableParagraph"/>
              <w:spacing w:before="1"/>
              <w:ind w:left="59" w:right="37"/>
              <w:jc w:val="center"/>
              <w:rPr>
                <w:sz w:val="16"/>
              </w:rPr>
            </w:pPr>
            <w:r>
              <w:rPr>
                <w:sz w:val="16"/>
              </w:rPr>
              <w:t>$</w:t>
            </w:r>
            <w:r>
              <w:rPr>
                <w:spacing w:val="80"/>
                <w:sz w:val="16"/>
              </w:rPr>
              <w:t> </w:t>
            </w:r>
            <w:r>
              <w:rPr>
                <w:spacing w:val="-4"/>
                <w:sz w:val="16"/>
              </w:rPr>
              <w:t>7,091</w:t>
            </w:r>
          </w:p>
        </w:tc>
        <w:tc>
          <w:tcPr>
            <w:tcW w:w="923" w:type="dxa"/>
            <w:tcBorders>
              <w:top w:val="single" w:sz="8" w:space="0" w:color="000000"/>
            </w:tcBorders>
          </w:tcPr>
          <w:p>
            <w:pPr>
              <w:pStyle w:val="TableParagraph"/>
              <w:spacing w:before="44"/>
              <w:rPr>
                <w:rFonts w:ascii="Arial"/>
                <w:i/>
                <w:sz w:val="16"/>
              </w:rPr>
            </w:pPr>
          </w:p>
          <w:p>
            <w:pPr>
              <w:pStyle w:val="TableParagraph"/>
              <w:tabs>
                <w:tab w:pos="559" w:val="left" w:leader="none"/>
              </w:tabs>
              <w:spacing w:before="1"/>
              <w:ind w:right="89"/>
              <w:jc w:val="right"/>
              <w:rPr>
                <w:sz w:val="16"/>
              </w:rPr>
            </w:pPr>
            <w:r>
              <w:rPr>
                <w:spacing w:val="-10"/>
                <w:sz w:val="16"/>
              </w:rPr>
              <w:t>$</w:t>
            </w:r>
            <w:r>
              <w:rPr>
                <w:sz w:val="16"/>
              </w:rPr>
              <w:tab/>
              <w:t>—</w:t>
            </w:r>
          </w:p>
        </w:tc>
        <w:tc>
          <w:tcPr>
            <w:tcW w:w="916" w:type="dxa"/>
            <w:tcBorders>
              <w:top w:val="single" w:sz="8" w:space="0" w:color="000000"/>
            </w:tcBorders>
          </w:tcPr>
          <w:p>
            <w:pPr>
              <w:pStyle w:val="TableParagraph"/>
              <w:spacing w:before="44"/>
              <w:rPr>
                <w:rFonts w:ascii="Arial"/>
                <w:i/>
                <w:sz w:val="16"/>
              </w:rPr>
            </w:pPr>
          </w:p>
          <w:p>
            <w:pPr>
              <w:pStyle w:val="TableParagraph"/>
              <w:tabs>
                <w:tab w:pos="573" w:val="left" w:leader="none"/>
              </w:tabs>
              <w:spacing w:before="1"/>
              <w:ind w:right="90"/>
              <w:jc w:val="right"/>
              <w:rPr>
                <w:sz w:val="16"/>
              </w:rPr>
            </w:pPr>
            <w:r>
              <w:rPr>
                <w:spacing w:val="-10"/>
                <w:sz w:val="16"/>
              </w:rPr>
              <w:t>$</w:t>
            </w:r>
            <w:r>
              <w:rPr>
                <w:sz w:val="16"/>
              </w:rPr>
              <w:tab/>
              <w:t>—</w:t>
            </w:r>
          </w:p>
        </w:tc>
        <w:tc>
          <w:tcPr>
            <w:tcW w:w="1014" w:type="dxa"/>
            <w:tcBorders>
              <w:top w:val="single" w:sz="8" w:space="0" w:color="000000"/>
            </w:tcBorders>
          </w:tcPr>
          <w:p>
            <w:pPr>
              <w:pStyle w:val="TableParagraph"/>
              <w:spacing w:before="44"/>
              <w:rPr>
                <w:rFonts w:ascii="Arial"/>
                <w:i/>
                <w:sz w:val="16"/>
              </w:rPr>
            </w:pPr>
          </w:p>
          <w:p>
            <w:pPr>
              <w:pStyle w:val="TableParagraph"/>
              <w:tabs>
                <w:tab w:pos="454" w:val="left" w:leader="none"/>
              </w:tabs>
              <w:spacing w:before="1"/>
              <w:ind w:right="68"/>
              <w:jc w:val="right"/>
              <w:rPr>
                <w:sz w:val="16"/>
              </w:rPr>
            </w:pPr>
            <w:r>
              <w:rPr>
                <w:spacing w:val="-10"/>
                <w:sz w:val="16"/>
              </w:rPr>
              <w:t>$</w:t>
            </w:r>
            <w:r>
              <w:rPr>
                <w:sz w:val="16"/>
              </w:rPr>
              <w:tab/>
            </w:r>
            <w:r>
              <w:rPr>
                <w:spacing w:val="-2"/>
                <w:sz w:val="16"/>
              </w:rPr>
              <w:t>7,341</w:t>
            </w:r>
          </w:p>
        </w:tc>
      </w:tr>
      <w:tr>
        <w:trPr>
          <w:trHeight w:val="240" w:hRule="atLeast"/>
        </w:trPr>
        <w:tc>
          <w:tcPr>
            <w:tcW w:w="1800" w:type="dxa"/>
          </w:tcPr>
          <w:p>
            <w:pPr>
              <w:pStyle w:val="TableParagraph"/>
              <w:spacing w:line="182" w:lineRule="exact"/>
              <w:ind w:left="232"/>
              <w:rPr>
                <w:sz w:val="16"/>
              </w:rPr>
            </w:pPr>
            <w:r>
              <w:rPr>
                <w:spacing w:val="-2"/>
                <w:sz w:val="16"/>
              </w:rPr>
              <w:t>Medium</w:t>
            </w:r>
          </w:p>
        </w:tc>
        <w:tc>
          <w:tcPr>
            <w:tcW w:w="757" w:type="dxa"/>
          </w:tcPr>
          <w:p>
            <w:pPr>
              <w:pStyle w:val="TableParagraph"/>
              <w:spacing w:line="182" w:lineRule="exact"/>
              <w:ind w:right="87"/>
              <w:jc w:val="right"/>
              <w:rPr>
                <w:sz w:val="16"/>
              </w:rPr>
            </w:pPr>
            <w:r>
              <w:rPr>
                <w:spacing w:val="-2"/>
                <w:sz w:val="16"/>
              </w:rPr>
              <w:t>7,012</w:t>
            </w:r>
          </w:p>
        </w:tc>
        <w:tc>
          <w:tcPr>
            <w:tcW w:w="795" w:type="dxa"/>
          </w:tcPr>
          <w:p>
            <w:pPr>
              <w:pStyle w:val="TableParagraph"/>
              <w:spacing w:line="182" w:lineRule="exact"/>
              <w:ind w:right="87"/>
              <w:jc w:val="right"/>
              <w:rPr>
                <w:sz w:val="16"/>
              </w:rPr>
            </w:pPr>
            <w:r>
              <w:rPr>
                <w:spacing w:val="-2"/>
                <w:sz w:val="16"/>
              </w:rPr>
              <w:t>6,082</w:t>
            </w:r>
          </w:p>
        </w:tc>
        <w:tc>
          <w:tcPr>
            <w:tcW w:w="795" w:type="dxa"/>
          </w:tcPr>
          <w:p>
            <w:pPr>
              <w:pStyle w:val="TableParagraph"/>
              <w:spacing w:line="182" w:lineRule="exact"/>
              <w:ind w:right="87"/>
              <w:jc w:val="right"/>
              <w:rPr>
                <w:sz w:val="16"/>
              </w:rPr>
            </w:pPr>
            <w:r>
              <w:rPr>
                <w:spacing w:val="-2"/>
                <w:sz w:val="16"/>
              </w:rPr>
              <w:t>9,419</w:t>
            </w:r>
          </w:p>
        </w:tc>
        <w:tc>
          <w:tcPr>
            <w:tcW w:w="795" w:type="dxa"/>
          </w:tcPr>
          <w:p>
            <w:pPr>
              <w:pStyle w:val="TableParagraph"/>
              <w:spacing w:line="182" w:lineRule="exact"/>
              <w:ind w:right="87"/>
              <w:jc w:val="right"/>
              <w:rPr>
                <w:sz w:val="16"/>
              </w:rPr>
            </w:pPr>
            <w:r>
              <w:rPr>
                <w:spacing w:val="-2"/>
                <w:sz w:val="16"/>
              </w:rPr>
              <w:t>7,516</w:t>
            </w:r>
          </w:p>
        </w:tc>
        <w:tc>
          <w:tcPr>
            <w:tcW w:w="795" w:type="dxa"/>
          </w:tcPr>
          <w:p>
            <w:pPr>
              <w:pStyle w:val="TableParagraph"/>
              <w:spacing w:line="182" w:lineRule="exact"/>
              <w:ind w:right="87"/>
              <w:jc w:val="right"/>
              <w:rPr>
                <w:sz w:val="16"/>
              </w:rPr>
            </w:pPr>
            <w:r>
              <w:rPr>
                <w:spacing w:val="-2"/>
                <w:sz w:val="16"/>
              </w:rPr>
              <w:t>5,499</w:t>
            </w:r>
          </w:p>
        </w:tc>
        <w:tc>
          <w:tcPr>
            <w:tcW w:w="773" w:type="dxa"/>
          </w:tcPr>
          <w:p>
            <w:pPr>
              <w:pStyle w:val="TableParagraph"/>
              <w:spacing w:line="182" w:lineRule="exact"/>
              <w:ind w:left="148"/>
              <w:jc w:val="center"/>
              <w:rPr>
                <w:sz w:val="16"/>
              </w:rPr>
            </w:pPr>
            <w:r>
              <w:rPr>
                <w:spacing w:val="-2"/>
                <w:sz w:val="16"/>
              </w:rPr>
              <w:t>79,676</w:t>
            </w:r>
          </w:p>
        </w:tc>
        <w:tc>
          <w:tcPr>
            <w:tcW w:w="923" w:type="dxa"/>
          </w:tcPr>
          <w:p>
            <w:pPr>
              <w:pStyle w:val="TableParagraph"/>
              <w:spacing w:line="182" w:lineRule="exact"/>
              <w:ind w:right="89"/>
              <w:jc w:val="right"/>
              <w:rPr>
                <w:sz w:val="16"/>
              </w:rPr>
            </w:pPr>
            <w:r>
              <w:rPr>
                <w:spacing w:val="-5"/>
                <w:sz w:val="16"/>
              </w:rPr>
              <w:t>800</w:t>
            </w:r>
          </w:p>
        </w:tc>
        <w:tc>
          <w:tcPr>
            <w:tcW w:w="916" w:type="dxa"/>
          </w:tcPr>
          <w:p>
            <w:pPr>
              <w:pStyle w:val="TableParagraph"/>
              <w:spacing w:line="182" w:lineRule="exact"/>
              <w:ind w:right="89"/>
              <w:jc w:val="right"/>
              <w:rPr>
                <w:sz w:val="16"/>
              </w:rPr>
            </w:pPr>
            <w:r>
              <w:rPr>
                <w:spacing w:val="-2"/>
                <w:sz w:val="16"/>
              </w:rPr>
              <w:t>1,882</w:t>
            </w:r>
          </w:p>
        </w:tc>
        <w:tc>
          <w:tcPr>
            <w:tcW w:w="1014" w:type="dxa"/>
          </w:tcPr>
          <w:p>
            <w:pPr>
              <w:pStyle w:val="TableParagraph"/>
              <w:spacing w:line="182" w:lineRule="exact"/>
              <w:ind w:right="68"/>
              <w:jc w:val="right"/>
              <w:rPr>
                <w:sz w:val="16"/>
              </w:rPr>
            </w:pPr>
            <w:r>
              <w:rPr>
                <w:spacing w:val="-2"/>
                <w:sz w:val="16"/>
              </w:rPr>
              <w:t>117,886</w:t>
            </w:r>
          </w:p>
        </w:tc>
      </w:tr>
      <w:tr>
        <w:trPr>
          <w:trHeight w:val="229" w:hRule="atLeast"/>
        </w:trPr>
        <w:tc>
          <w:tcPr>
            <w:tcW w:w="1800" w:type="dxa"/>
          </w:tcPr>
          <w:p>
            <w:pPr>
              <w:pStyle w:val="TableParagraph"/>
              <w:spacing w:line="182" w:lineRule="exact"/>
              <w:ind w:left="232"/>
              <w:rPr>
                <w:sz w:val="16"/>
              </w:rPr>
            </w:pPr>
            <w:r>
              <w:rPr>
                <w:spacing w:val="-4"/>
                <w:sz w:val="16"/>
              </w:rPr>
              <w:t>High</w:t>
            </w:r>
          </w:p>
        </w:tc>
        <w:tc>
          <w:tcPr>
            <w:tcW w:w="757" w:type="dxa"/>
            <w:tcBorders>
              <w:bottom w:val="single" w:sz="8" w:space="0" w:color="000000"/>
            </w:tcBorders>
          </w:tcPr>
          <w:p>
            <w:pPr>
              <w:pStyle w:val="TableParagraph"/>
              <w:spacing w:line="182" w:lineRule="exact"/>
              <w:ind w:right="87"/>
              <w:jc w:val="right"/>
              <w:rPr>
                <w:sz w:val="16"/>
              </w:rPr>
            </w:pPr>
            <w:r>
              <w:rPr>
                <w:spacing w:val="-2"/>
                <w:sz w:val="16"/>
              </w:rPr>
              <w:t>4,977</w:t>
            </w:r>
          </w:p>
        </w:tc>
        <w:tc>
          <w:tcPr>
            <w:tcW w:w="795" w:type="dxa"/>
            <w:tcBorders>
              <w:bottom w:val="single" w:sz="8" w:space="0" w:color="000000"/>
            </w:tcBorders>
          </w:tcPr>
          <w:p>
            <w:pPr>
              <w:pStyle w:val="TableParagraph"/>
              <w:spacing w:line="182" w:lineRule="exact"/>
              <w:ind w:right="87"/>
              <w:jc w:val="right"/>
              <w:rPr>
                <w:sz w:val="16"/>
              </w:rPr>
            </w:pPr>
            <w:r>
              <w:rPr>
                <w:spacing w:val="-2"/>
                <w:sz w:val="16"/>
              </w:rPr>
              <w:t>10,660</w:t>
            </w:r>
          </w:p>
        </w:tc>
        <w:tc>
          <w:tcPr>
            <w:tcW w:w="795" w:type="dxa"/>
            <w:tcBorders>
              <w:bottom w:val="single" w:sz="8" w:space="0" w:color="000000"/>
            </w:tcBorders>
          </w:tcPr>
          <w:p>
            <w:pPr>
              <w:pStyle w:val="TableParagraph"/>
              <w:spacing w:line="182" w:lineRule="exact"/>
              <w:ind w:right="87"/>
              <w:jc w:val="right"/>
              <w:rPr>
                <w:sz w:val="16"/>
              </w:rPr>
            </w:pPr>
            <w:r>
              <w:rPr>
                <w:spacing w:val="-2"/>
                <w:sz w:val="16"/>
              </w:rPr>
              <w:t>9,128</w:t>
            </w:r>
          </w:p>
        </w:tc>
        <w:tc>
          <w:tcPr>
            <w:tcW w:w="795" w:type="dxa"/>
            <w:tcBorders>
              <w:bottom w:val="single" w:sz="8" w:space="0" w:color="000000"/>
            </w:tcBorders>
          </w:tcPr>
          <w:p>
            <w:pPr>
              <w:pStyle w:val="TableParagraph"/>
              <w:spacing w:line="182" w:lineRule="exact"/>
              <w:ind w:right="87"/>
              <w:jc w:val="right"/>
              <w:rPr>
                <w:sz w:val="16"/>
              </w:rPr>
            </w:pPr>
            <w:r>
              <w:rPr>
                <w:spacing w:val="-2"/>
                <w:sz w:val="16"/>
              </w:rPr>
              <w:t>7,674</w:t>
            </w:r>
          </w:p>
        </w:tc>
        <w:tc>
          <w:tcPr>
            <w:tcW w:w="795" w:type="dxa"/>
            <w:tcBorders>
              <w:bottom w:val="single" w:sz="8" w:space="0" w:color="000000"/>
            </w:tcBorders>
          </w:tcPr>
          <w:p>
            <w:pPr>
              <w:pStyle w:val="TableParagraph"/>
              <w:spacing w:line="182" w:lineRule="exact"/>
              <w:ind w:right="87"/>
              <w:jc w:val="right"/>
              <w:rPr>
                <w:sz w:val="16"/>
              </w:rPr>
            </w:pPr>
            <w:r>
              <w:rPr>
                <w:spacing w:val="-2"/>
                <w:sz w:val="16"/>
              </w:rPr>
              <w:t>7,476</w:t>
            </w:r>
          </w:p>
        </w:tc>
        <w:tc>
          <w:tcPr>
            <w:tcW w:w="773" w:type="dxa"/>
            <w:tcBorders>
              <w:bottom w:val="single" w:sz="8" w:space="0" w:color="000000"/>
            </w:tcBorders>
          </w:tcPr>
          <w:p>
            <w:pPr>
              <w:pStyle w:val="TableParagraph"/>
              <w:spacing w:line="182" w:lineRule="exact"/>
              <w:ind w:left="148"/>
              <w:jc w:val="center"/>
              <w:rPr>
                <w:sz w:val="16"/>
              </w:rPr>
            </w:pPr>
            <w:r>
              <w:rPr>
                <w:spacing w:val="-2"/>
                <w:sz w:val="16"/>
              </w:rPr>
              <w:t>76,405</w:t>
            </w:r>
          </w:p>
        </w:tc>
        <w:tc>
          <w:tcPr>
            <w:tcW w:w="923" w:type="dxa"/>
            <w:tcBorders>
              <w:bottom w:val="single" w:sz="8" w:space="0" w:color="000000"/>
            </w:tcBorders>
          </w:tcPr>
          <w:p>
            <w:pPr>
              <w:pStyle w:val="TableParagraph"/>
              <w:spacing w:line="182" w:lineRule="exact"/>
              <w:ind w:right="89"/>
              <w:jc w:val="right"/>
              <w:rPr>
                <w:sz w:val="16"/>
              </w:rPr>
            </w:pPr>
            <w:r>
              <w:rPr>
                <w:sz w:val="16"/>
              </w:rPr>
              <w:t>—</w:t>
            </w:r>
          </w:p>
        </w:tc>
        <w:tc>
          <w:tcPr>
            <w:tcW w:w="916" w:type="dxa"/>
            <w:tcBorders>
              <w:bottom w:val="single" w:sz="8" w:space="0" w:color="000000"/>
            </w:tcBorders>
          </w:tcPr>
          <w:p>
            <w:pPr>
              <w:pStyle w:val="TableParagraph"/>
              <w:spacing w:line="182" w:lineRule="exact"/>
              <w:ind w:right="90"/>
              <w:jc w:val="right"/>
              <w:rPr>
                <w:sz w:val="16"/>
              </w:rPr>
            </w:pPr>
            <w:r>
              <w:rPr>
                <w:spacing w:val="-5"/>
                <w:sz w:val="16"/>
              </w:rPr>
              <w:t>924</w:t>
            </w:r>
          </w:p>
        </w:tc>
        <w:tc>
          <w:tcPr>
            <w:tcW w:w="1014" w:type="dxa"/>
            <w:tcBorders>
              <w:bottom w:val="single" w:sz="8" w:space="0" w:color="000000"/>
            </w:tcBorders>
          </w:tcPr>
          <w:p>
            <w:pPr>
              <w:pStyle w:val="TableParagraph"/>
              <w:spacing w:line="182" w:lineRule="exact"/>
              <w:ind w:right="68"/>
              <w:jc w:val="right"/>
              <w:rPr>
                <w:sz w:val="16"/>
              </w:rPr>
            </w:pPr>
            <w:r>
              <w:rPr>
                <w:spacing w:val="-2"/>
                <w:sz w:val="16"/>
              </w:rPr>
              <w:t>117,244</w:t>
            </w:r>
          </w:p>
        </w:tc>
      </w:tr>
      <w:tr>
        <w:trPr>
          <w:trHeight w:val="233" w:hRule="atLeast"/>
        </w:trPr>
        <w:tc>
          <w:tcPr>
            <w:tcW w:w="1800" w:type="dxa"/>
          </w:tcPr>
          <w:p>
            <w:pPr>
              <w:pStyle w:val="TableParagraph"/>
              <w:spacing w:line="173" w:lineRule="exact"/>
              <w:ind w:left="52"/>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p>
        </w:tc>
        <w:tc>
          <w:tcPr>
            <w:tcW w:w="757" w:type="dxa"/>
            <w:tcBorders>
              <w:top w:val="single" w:sz="8" w:space="0" w:color="000000"/>
            </w:tcBorders>
          </w:tcPr>
          <w:p>
            <w:pPr>
              <w:pStyle w:val="TableParagraph"/>
              <w:spacing w:line="173" w:lineRule="exact"/>
              <w:ind w:right="87"/>
              <w:jc w:val="right"/>
              <w:rPr>
                <w:sz w:val="16"/>
              </w:rPr>
            </w:pPr>
            <w:r>
              <w:rPr>
                <w:spacing w:val="-2"/>
                <w:sz w:val="16"/>
              </w:rPr>
              <w:t>11,989</w:t>
            </w:r>
          </w:p>
        </w:tc>
        <w:tc>
          <w:tcPr>
            <w:tcW w:w="795" w:type="dxa"/>
            <w:tcBorders>
              <w:top w:val="single" w:sz="8" w:space="0" w:color="000000"/>
            </w:tcBorders>
          </w:tcPr>
          <w:p>
            <w:pPr>
              <w:pStyle w:val="TableParagraph"/>
              <w:spacing w:line="173" w:lineRule="exact"/>
              <w:ind w:right="87"/>
              <w:jc w:val="right"/>
              <w:rPr>
                <w:sz w:val="16"/>
              </w:rPr>
            </w:pPr>
            <w:r>
              <w:rPr>
                <w:spacing w:val="-2"/>
                <w:sz w:val="16"/>
              </w:rPr>
              <w:t>16,992</w:t>
            </w:r>
          </w:p>
        </w:tc>
        <w:tc>
          <w:tcPr>
            <w:tcW w:w="795" w:type="dxa"/>
            <w:tcBorders>
              <w:top w:val="single" w:sz="8" w:space="0" w:color="000000"/>
            </w:tcBorders>
          </w:tcPr>
          <w:p>
            <w:pPr>
              <w:pStyle w:val="TableParagraph"/>
              <w:spacing w:line="173" w:lineRule="exact"/>
              <w:ind w:right="87"/>
              <w:jc w:val="right"/>
              <w:rPr>
                <w:sz w:val="16"/>
              </w:rPr>
            </w:pPr>
            <w:r>
              <w:rPr>
                <w:spacing w:val="-2"/>
                <w:sz w:val="16"/>
              </w:rPr>
              <w:t>18,547</w:t>
            </w:r>
          </w:p>
        </w:tc>
        <w:tc>
          <w:tcPr>
            <w:tcW w:w="795" w:type="dxa"/>
            <w:tcBorders>
              <w:top w:val="single" w:sz="8" w:space="0" w:color="000000"/>
            </w:tcBorders>
          </w:tcPr>
          <w:p>
            <w:pPr>
              <w:pStyle w:val="TableParagraph"/>
              <w:spacing w:line="173" w:lineRule="exact"/>
              <w:ind w:right="87"/>
              <w:jc w:val="right"/>
              <w:rPr>
                <w:sz w:val="16"/>
              </w:rPr>
            </w:pPr>
            <w:r>
              <w:rPr>
                <w:spacing w:val="-2"/>
                <w:sz w:val="16"/>
              </w:rPr>
              <w:t>15,190</w:t>
            </w:r>
          </w:p>
        </w:tc>
        <w:tc>
          <w:tcPr>
            <w:tcW w:w="795" w:type="dxa"/>
            <w:tcBorders>
              <w:top w:val="single" w:sz="8" w:space="0" w:color="000000"/>
            </w:tcBorders>
          </w:tcPr>
          <w:p>
            <w:pPr>
              <w:pStyle w:val="TableParagraph"/>
              <w:spacing w:line="173" w:lineRule="exact"/>
              <w:ind w:right="87"/>
              <w:jc w:val="right"/>
              <w:rPr>
                <w:sz w:val="16"/>
              </w:rPr>
            </w:pPr>
            <w:r>
              <w:rPr>
                <w:spacing w:val="-2"/>
                <w:sz w:val="16"/>
              </w:rPr>
              <w:t>12,975</w:t>
            </w:r>
          </w:p>
        </w:tc>
        <w:tc>
          <w:tcPr>
            <w:tcW w:w="773" w:type="dxa"/>
            <w:tcBorders>
              <w:top w:val="single" w:sz="8" w:space="0" w:color="000000"/>
            </w:tcBorders>
          </w:tcPr>
          <w:p>
            <w:pPr>
              <w:pStyle w:val="TableParagraph"/>
              <w:spacing w:line="173" w:lineRule="exact"/>
              <w:ind w:left="59"/>
              <w:jc w:val="center"/>
              <w:rPr>
                <w:sz w:val="16"/>
              </w:rPr>
            </w:pPr>
            <w:r>
              <w:rPr>
                <w:spacing w:val="-2"/>
                <w:sz w:val="16"/>
              </w:rPr>
              <w:t>163,172</w:t>
            </w:r>
          </w:p>
        </w:tc>
        <w:tc>
          <w:tcPr>
            <w:tcW w:w="923" w:type="dxa"/>
            <w:tcBorders>
              <w:top w:val="single" w:sz="8" w:space="0" w:color="000000"/>
            </w:tcBorders>
          </w:tcPr>
          <w:p>
            <w:pPr>
              <w:pStyle w:val="TableParagraph"/>
              <w:spacing w:line="173" w:lineRule="exact"/>
              <w:ind w:right="89"/>
              <w:jc w:val="right"/>
              <w:rPr>
                <w:sz w:val="16"/>
              </w:rPr>
            </w:pPr>
            <w:r>
              <w:rPr>
                <w:spacing w:val="-5"/>
                <w:sz w:val="16"/>
              </w:rPr>
              <w:t>800</w:t>
            </w:r>
          </w:p>
        </w:tc>
        <w:tc>
          <w:tcPr>
            <w:tcW w:w="916" w:type="dxa"/>
            <w:tcBorders>
              <w:top w:val="single" w:sz="8" w:space="0" w:color="000000"/>
            </w:tcBorders>
          </w:tcPr>
          <w:p>
            <w:pPr>
              <w:pStyle w:val="TableParagraph"/>
              <w:spacing w:line="173" w:lineRule="exact"/>
              <w:ind w:right="89"/>
              <w:jc w:val="right"/>
              <w:rPr>
                <w:sz w:val="16"/>
              </w:rPr>
            </w:pPr>
            <w:r>
              <w:rPr>
                <w:spacing w:val="-2"/>
                <w:sz w:val="16"/>
              </w:rPr>
              <w:t>2,806</w:t>
            </w:r>
          </w:p>
        </w:tc>
        <w:tc>
          <w:tcPr>
            <w:tcW w:w="1014" w:type="dxa"/>
            <w:tcBorders>
              <w:top w:val="single" w:sz="8" w:space="0" w:color="000000"/>
            </w:tcBorders>
          </w:tcPr>
          <w:p>
            <w:pPr>
              <w:pStyle w:val="TableParagraph"/>
              <w:spacing w:line="173" w:lineRule="exact"/>
              <w:ind w:right="68"/>
              <w:jc w:val="right"/>
              <w:rPr>
                <w:sz w:val="16"/>
              </w:rPr>
            </w:pPr>
            <w:r>
              <w:rPr>
                <w:spacing w:val="-2"/>
                <w:sz w:val="16"/>
              </w:rPr>
              <w:t>242,471</w:t>
            </w:r>
          </w:p>
        </w:tc>
      </w:tr>
      <w:tr>
        <w:trPr>
          <w:trHeight w:val="211" w:hRule="atLeast"/>
        </w:trPr>
        <w:tc>
          <w:tcPr>
            <w:tcW w:w="1800" w:type="dxa"/>
          </w:tcPr>
          <w:p>
            <w:pPr>
              <w:pStyle w:val="TableParagraph"/>
              <w:ind w:left="52"/>
              <w:rPr>
                <w:sz w:val="16"/>
              </w:rPr>
            </w:pPr>
            <w:r>
              <w:rPr>
                <w:sz w:val="16"/>
              </w:rPr>
              <w:t>Loans</w:t>
            </w:r>
            <w:r>
              <w:rPr>
                <w:spacing w:val="-3"/>
                <w:sz w:val="16"/>
              </w:rPr>
              <w:t> </w:t>
            </w:r>
            <w:r>
              <w:rPr>
                <w:sz w:val="16"/>
              </w:rPr>
              <w:t>in</w:t>
            </w:r>
            <w:r>
              <w:rPr>
                <w:spacing w:val="-3"/>
                <w:sz w:val="16"/>
              </w:rPr>
              <w:t> </w:t>
            </w:r>
            <w:r>
              <w:rPr>
                <w:spacing w:val="-2"/>
                <w:sz w:val="16"/>
              </w:rPr>
              <w:t>nonaccrual</w:t>
            </w:r>
          </w:p>
        </w:tc>
        <w:tc>
          <w:tcPr>
            <w:tcW w:w="757" w:type="dxa"/>
          </w:tcPr>
          <w:p>
            <w:pPr>
              <w:pStyle w:val="TableParagraph"/>
              <w:rPr>
                <w:rFonts w:ascii="Times New Roman"/>
                <w:sz w:val="14"/>
              </w:rPr>
            </w:pPr>
          </w:p>
        </w:tc>
        <w:tc>
          <w:tcPr>
            <w:tcW w:w="795" w:type="dxa"/>
          </w:tcPr>
          <w:p>
            <w:pPr>
              <w:pStyle w:val="TableParagraph"/>
              <w:rPr>
                <w:rFonts w:ascii="Times New Roman"/>
                <w:sz w:val="14"/>
              </w:rPr>
            </w:pPr>
          </w:p>
        </w:tc>
        <w:tc>
          <w:tcPr>
            <w:tcW w:w="795" w:type="dxa"/>
          </w:tcPr>
          <w:p>
            <w:pPr>
              <w:pStyle w:val="TableParagraph"/>
              <w:rPr>
                <w:rFonts w:ascii="Times New Roman"/>
                <w:sz w:val="14"/>
              </w:rPr>
            </w:pPr>
          </w:p>
        </w:tc>
        <w:tc>
          <w:tcPr>
            <w:tcW w:w="795" w:type="dxa"/>
          </w:tcPr>
          <w:p>
            <w:pPr>
              <w:pStyle w:val="TableParagraph"/>
              <w:rPr>
                <w:rFonts w:ascii="Times New Roman"/>
                <w:sz w:val="14"/>
              </w:rPr>
            </w:pPr>
          </w:p>
        </w:tc>
        <w:tc>
          <w:tcPr>
            <w:tcW w:w="795" w:type="dxa"/>
          </w:tcPr>
          <w:p>
            <w:pPr>
              <w:pStyle w:val="TableParagraph"/>
              <w:rPr>
                <w:rFonts w:ascii="Times New Roman"/>
                <w:sz w:val="14"/>
              </w:rPr>
            </w:pPr>
          </w:p>
        </w:tc>
        <w:tc>
          <w:tcPr>
            <w:tcW w:w="773" w:type="dxa"/>
          </w:tcPr>
          <w:p>
            <w:pPr>
              <w:pStyle w:val="TableParagraph"/>
              <w:rPr>
                <w:rFonts w:ascii="Times New Roman"/>
                <w:sz w:val="14"/>
              </w:rPr>
            </w:pPr>
          </w:p>
        </w:tc>
        <w:tc>
          <w:tcPr>
            <w:tcW w:w="923" w:type="dxa"/>
          </w:tcPr>
          <w:p>
            <w:pPr>
              <w:pStyle w:val="TableParagraph"/>
              <w:rPr>
                <w:rFonts w:ascii="Times New Roman"/>
                <w:sz w:val="14"/>
              </w:rPr>
            </w:pPr>
          </w:p>
        </w:tc>
        <w:tc>
          <w:tcPr>
            <w:tcW w:w="916" w:type="dxa"/>
          </w:tcPr>
          <w:p>
            <w:pPr>
              <w:pStyle w:val="TableParagraph"/>
              <w:rPr>
                <w:rFonts w:ascii="Times New Roman"/>
                <w:sz w:val="14"/>
              </w:rPr>
            </w:pPr>
          </w:p>
        </w:tc>
        <w:tc>
          <w:tcPr>
            <w:tcW w:w="1014" w:type="dxa"/>
          </w:tcPr>
          <w:p>
            <w:pPr>
              <w:pStyle w:val="TableParagraph"/>
              <w:rPr>
                <w:rFonts w:ascii="Times New Roman"/>
                <w:sz w:val="14"/>
              </w:rPr>
            </w:pPr>
          </w:p>
        </w:tc>
      </w:tr>
    </w:tbl>
    <w:p>
      <w:pPr>
        <w:pStyle w:val="BodyText"/>
        <w:rPr>
          <w:rFonts w:ascii="Arial"/>
          <w:i/>
        </w:rPr>
      </w:pPr>
    </w:p>
    <w:p>
      <w:pPr>
        <w:pStyle w:val="BodyText"/>
        <w:spacing w:before="150"/>
        <w:rPr>
          <w:rFonts w:ascii="Arial"/>
          <w:i/>
        </w:rPr>
      </w:pPr>
      <w:r>
        <w:rPr>
          <w:rFonts w:ascii="Arial"/>
          <w:i/>
        </w:rPr>
        <mc:AlternateContent>
          <mc:Choice Requires="wps">
            <w:drawing>
              <wp:anchor distT="0" distB="0" distL="0" distR="0" allowOverlap="1" layoutInCell="1" locked="0" behindDoc="1" simplePos="0" relativeHeight="487702016">
                <wp:simplePos x="0" y="0"/>
                <wp:positionH relativeFrom="page">
                  <wp:posOffset>914400</wp:posOffset>
                </wp:positionH>
                <wp:positionV relativeFrom="paragraph">
                  <wp:posOffset>256857</wp:posOffset>
                </wp:positionV>
                <wp:extent cx="5943600" cy="127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225pt;width:468pt;height:.1pt;mso-position-horizontal-relative:page;mso-position-vertical-relative:paragraph;z-index:-15614464;mso-wrap-distance-left:0;mso-wrap-distance-right:0" id="docshape668" coordorigin="1440,405" coordsize="9360,0" path="m1440,405l10800,405e" filled="false" stroked="true" strokeweight="1pt" strokecolor="#000000">
                <v:path arrowok="t"/>
                <v:stroke dashstyle="solid"/>
                <w10:wrap type="topAndBottom"/>
              </v:shape>
            </w:pict>
          </mc:Fallback>
        </mc:AlternateContent>
      </w:r>
    </w:p>
    <w:p>
      <w:pPr>
        <w:pStyle w:val="BodyText"/>
        <w:spacing w:before="1"/>
        <w:rPr>
          <w:rFonts w:ascii="Arial"/>
          <w:i/>
          <w:sz w:val="6"/>
        </w:rPr>
      </w:pPr>
    </w:p>
    <w:p>
      <w:pPr>
        <w:pStyle w:val="BodyText"/>
        <w:spacing w:after="0"/>
        <w:rPr>
          <w:rFonts w:ascii="Arial"/>
          <w:i/>
          <w:sz w:val="6"/>
        </w:rPr>
        <w:sectPr>
          <w:type w:val="continuous"/>
          <w:pgSz w:w="12240" w:h="15840"/>
          <w:pgMar w:header="0" w:footer="0" w:top="1820" w:bottom="280" w:left="720" w:right="720"/>
        </w:sectPr>
      </w:pPr>
    </w:p>
    <w:p>
      <w:pPr>
        <w:pStyle w:val="Heading8"/>
        <w:spacing w:before="88"/>
      </w:pPr>
      <w:r>
        <w:rPr/>
        <mc:AlternateContent>
          <mc:Choice Requires="wps">
            <w:drawing>
              <wp:anchor distT="0" distB="0" distL="0" distR="0" allowOverlap="1" layoutInCell="1" locked="0" behindDoc="0" simplePos="0" relativeHeight="15845888">
                <wp:simplePos x="0" y="0"/>
                <wp:positionH relativeFrom="page">
                  <wp:posOffset>877950</wp:posOffset>
                </wp:positionH>
                <wp:positionV relativeFrom="paragraph">
                  <wp:posOffset>-487957</wp:posOffset>
                </wp:positionV>
                <wp:extent cx="6018530" cy="30353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6018530" cy="3035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7"/>
                              <w:gridCol w:w="7560"/>
                            </w:tblGrid>
                            <w:tr>
                              <w:trPr>
                                <w:trHeight w:val="198" w:hRule="atLeast"/>
                              </w:trPr>
                              <w:tc>
                                <w:tcPr>
                                  <w:tcW w:w="1797" w:type="dxa"/>
                                </w:tcPr>
                                <w:p>
                                  <w:pPr>
                                    <w:pStyle w:val="TableParagraph"/>
                                    <w:spacing w:line="178" w:lineRule="exact"/>
                                    <w:ind w:left="230"/>
                                    <w:rPr>
                                      <w:sz w:val="16"/>
                                    </w:rPr>
                                  </w:pPr>
                                  <w:r>
                                    <w:rPr>
                                      <w:spacing w:val="-2"/>
                                      <w:sz w:val="16"/>
                                    </w:rPr>
                                    <w:t>status</w:t>
                                  </w:r>
                                </w:p>
                              </w:tc>
                              <w:tc>
                                <w:tcPr>
                                  <w:tcW w:w="7560" w:type="dxa"/>
                                  <w:tcBorders>
                                    <w:bottom w:val="single" w:sz="8" w:space="0" w:color="000000"/>
                                  </w:tcBorders>
                                </w:tcPr>
                                <w:p>
                                  <w:pPr>
                                    <w:pStyle w:val="TableParagraph"/>
                                    <w:tabs>
                                      <w:tab w:pos="794" w:val="left" w:leader="none"/>
                                      <w:tab w:pos="1589" w:val="left" w:leader="none"/>
                                      <w:tab w:pos="2278" w:val="left" w:leader="none"/>
                                      <w:tab w:pos="3162" w:val="left" w:leader="none"/>
                                      <w:tab w:pos="3735" w:val="left" w:leader="none"/>
                                      <w:tab w:pos="4875" w:val="left" w:leader="none"/>
                                      <w:tab w:pos="5789" w:val="left" w:leader="none"/>
                                      <w:tab w:pos="6585" w:val="left" w:leader="none"/>
                                    </w:tabs>
                                    <w:spacing w:line="178" w:lineRule="exact"/>
                                    <w:ind w:right="65"/>
                                    <w:jc w:val="right"/>
                                    <w:rPr>
                                      <w:sz w:val="16"/>
                                    </w:rPr>
                                  </w:pPr>
                                  <w:r>
                                    <w:rPr>
                                      <w:sz w:val="16"/>
                                    </w:rPr>
                                    <w:t>—</w:t>
                                    <w:tab/>
                                    <w:t>—</w:t>
                                    <w:tab/>
                                    <w:t>—</w:t>
                                    <w:tab/>
                                  </w:r>
                                  <w:r>
                                    <w:rPr>
                                      <w:spacing w:val="-5"/>
                                      <w:sz w:val="16"/>
                                    </w:rPr>
                                    <w:t>127</w:t>
                                  </w:r>
                                  <w:r>
                                    <w:rPr>
                                      <w:sz w:val="16"/>
                                    </w:rPr>
                                    <w:tab/>
                                  </w:r>
                                  <w:r>
                                    <w:rPr>
                                      <w:spacing w:val="-5"/>
                                      <w:sz w:val="16"/>
                                    </w:rPr>
                                    <w:t>28</w:t>
                                  </w:r>
                                  <w:r>
                                    <w:rPr>
                                      <w:sz w:val="16"/>
                                    </w:rPr>
                                    <w:tab/>
                                  </w:r>
                                  <w:r>
                                    <w:rPr>
                                      <w:spacing w:val="-4"/>
                                      <w:sz w:val="16"/>
                                    </w:rPr>
                                    <w:t>1,270</w:t>
                                  </w:r>
                                  <w:r>
                                    <w:rPr>
                                      <w:sz w:val="16"/>
                                    </w:rPr>
                                    <w:tab/>
                                    <w:t>—</w:t>
                                    <w:tab/>
                                    <w:t>—</w:t>
                                    <w:tab/>
                                  </w:r>
                                  <w:r>
                                    <w:rPr>
                                      <w:spacing w:val="-2"/>
                                      <w:sz w:val="16"/>
                                    </w:rPr>
                                    <w:t>1,425</w:t>
                                  </w:r>
                                </w:p>
                              </w:tc>
                            </w:tr>
                            <w:tr>
                              <w:trPr>
                                <w:trHeight w:val="240" w:hRule="atLeast"/>
                              </w:trPr>
                              <w:tc>
                                <w:tcPr>
                                  <w:tcW w:w="1797" w:type="dxa"/>
                                </w:tcPr>
                                <w:p>
                                  <w:pPr>
                                    <w:pStyle w:val="TableParagraph"/>
                                    <w:spacing w:before="16"/>
                                    <w:ind w:left="50"/>
                                    <w:rPr>
                                      <w:sz w:val="16"/>
                                    </w:rPr>
                                  </w:pPr>
                                  <w:r>
                                    <w:rPr>
                                      <w:spacing w:val="-2"/>
                                      <w:sz w:val="16"/>
                                    </w:rPr>
                                    <w:t>Total</w:t>
                                  </w:r>
                                </w:p>
                              </w:tc>
                              <w:tc>
                                <w:tcPr>
                                  <w:tcW w:w="7560" w:type="dxa"/>
                                  <w:tcBorders>
                                    <w:top w:val="single" w:sz="8" w:space="0" w:color="000000"/>
                                    <w:bottom w:val="single" w:sz="8" w:space="0" w:color="000000"/>
                                  </w:tcBorders>
                                </w:tcPr>
                                <w:p>
                                  <w:pPr>
                                    <w:pStyle w:val="TableParagraph"/>
                                    <w:tabs>
                                      <w:tab w:pos="5275" w:val="left" w:leader="none"/>
                                      <w:tab w:pos="6057" w:val="left" w:leader="none"/>
                                    </w:tabs>
                                    <w:spacing w:before="16"/>
                                    <w:ind w:right="65"/>
                                    <w:jc w:val="right"/>
                                    <w:rPr>
                                      <w:sz w:val="16"/>
                                    </w:rPr>
                                  </w:pPr>
                                  <w:r>
                                    <w:rPr>
                                      <w:spacing w:val="10"/>
                                      <w:sz w:val="16"/>
                                      <w:u w:val="single"/>
                                    </w:rPr>
                                    <w:t> </w:t>
                                  </w:r>
                                  <w:r>
                                    <w:rPr>
                                      <w:sz w:val="16"/>
                                      <w:u w:val="single"/>
                                    </w:rPr>
                                    <w:t>$</w:t>
                                  </w:r>
                                  <w:r>
                                    <w:rPr>
                                      <w:spacing w:val="-8"/>
                                      <w:sz w:val="16"/>
                                      <w:u w:val="single"/>
                                    </w:rPr>
                                    <w:t> </w:t>
                                  </w:r>
                                  <w:r>
                                    <w:rPr>
                                      <w:sz w:val="16"/>
                                      <w:u w:val="single"/>
                                    </w:rPr>
                                    <w:t>11,989</w:t>
                                  </w:r>
                                  <w:r>
                                    <w:rPr>
                                      <w:spacing w:val="43"/>
                                      <w:sz w:val="16"/>
                                      <w:u w:val="single"/>
                                    </w:rPr>
                                    <w:t>  </w:t>
                                  </w:r>
                                  <w:r>
                                    <w:rPr>
                                      <w:sz w:val="16"/>
                                      <w:u w:val="single"/>
                                    </w:rPr>
                                    <w:t>$</w:t>
                                  </w:r>
                                  <w:r>
                                    <w:rPr>
                                      <w:spacing w:val="-8"/>
                                      <w:sz w:val="16"/>
                                      <w:u w:val="single"/>
                                    </w:rPr>
                                    <w:t> </w:t>
                                  </w:r>
                                  <w:r>
                                    <w:rPr>
                                      <w:sz w:val="16"/>
                                      <w:u w:val="single"/>
                                    </w:rPr>
                                    <w:t>16,992</w:t>
                                  </w:r>
                                  <w:r>
                                    <w:rPr>
                                      <w:spacing w:val="43"/>
                                      <w:sz w:val="16"/>
                                      <w:u w:val="single"/>
                                    </w:rPr>
                                    <w:t>  </w:t>
                                  </w:r>
                                  <w:r>
                                    <w:rPr>
                                      <w:sz w:val="16"/>
                                      <w:u w:val="single"/>
                                    </w:rPr>
                                    <w:t>$</w:t>
                                  </w:r>
                                  <w:r>
                                    <w:rPr>
                                      <w:spacing w:val="-8"/>
                                      <w:sz w:val="16"/>
                                      <w:u w:val="single"/>
                                    </w:rPr>
                                    <w:t> </w:t>
                                  </w:r>
                                  <w:r>
                                    <w:rPr>
                                      <w:sz w:val="16"/>
                                      <w:u w:val="single"/>
                                    </w:rPr>
                                    <w:t>18,547</w:t>
                                  </w:r>
                                  <w:r>
                                    <w:rPr>
                                      <w:spacing w:val="43"/>
                                      <w:sz w:val="16"/>
                                      <w:u w:val="single"/>
                                    </w:rPr>
                                    <w:t>  </w:t>
                                  </w:r>
                                  <w:r>
                                    <w:rPr>
                                      <w:sz w:val="16"/>
                                      <w:u w:val="single"/>
                                    </w:rPr>
                                    <w:t>$</w:t>
                                  </w:r>
                                  <w:r>
                                    <w:rPr>
                                      <w:spacing w:val="-8"/>
                                      <w:sz w:val="16"/>
                                      <w:u w:val="single"/>
                                    </w:rPr>
                                    <w:t> </w:t>
                                  </w:r>
                                  <w:r>
                                    <w:rPr>
                                      <w:sz w:val="16"/>
                                      <w:u w:val="single"/>
                                    </w:rPr>
                                    <w:t>15,317</w:t>
                                  </w:r>
                                  <w:r>
                                    <w:rPr>
                                      <w:spacing w:val="43"/>
                                      <w:sz w:val="16"/>
                                      <w:u w:val="single"/>
                                    </w:rPr>
                                    <w:t>  </w:t>
                                  </w:r>
                                  <w:r>
                                    <w:rPr>
                                      <w:sz w:val="16"/>
                                      <w:u w:val="single"/>
                                    </w:rPr>
                                    <w:t>$</w:t>
                                  </w:r>
                                  <w:r>
                                    <w:rPr>
                                      <w:spacing w:val="-8"/>
                                      <w:sz w:val="16"/>
                                      <w:u w:val="single"/>
                                    </w:rPr>
                                    <w:t> </w:t>
                                  </w:r>
                                  <w:r>
                                    <w:rPr>
                                      <w:sz w:val="16"/>
                                      <w:u w:val="single"/>
                                    </w:rPr>
                                    <w:t>13,003</w:t>
                                  </w:r>
                                  <w:r>
                                    <w:rPr>
                                      <w:spacing w:val="43"/>
                                      <w:sz w:val="16"/>
                                      <w:u w:val="single"/>
                                    </w:rPr>
                                    <w:t>  </w:t>
                                  </w:r>
                                  <w:r>
                                    <w:rPr>
                                      <w:sz w:val="16"/>
                                      <w:u w:val="single"/>
                                    </w:rPr>
                                    <w:t>$164,442</w:t>
                                  </w:r>
                                  <w:r>
                                    <w:rPr>
                                      <w:spacing w:val="59"/>
                                      <w:w w:val="150"/>
                                      <w:sz w:val="16"/>
                                      <w:u w:val="single"/>
                                    </w:rPr>
                                    <w:t> </w:t>
                                  </w:r>
                                  <w:r>
                                    <w:rPr>
                                      <w:spacing w:val="-10"/>
                                      <w:sz w:val="16"/>
                                      <w:u w:val="single"/>
                                    </w:rPr>
                                    <w:t>$</w:t>
                                  </w:r>
                                  <w:r>
                                    <w:rPr>
                                      <w:sz w:val="16"/>
                                      <w:u w:val="single"/>
                                    </w:rPr>
                                    <w:tab/>
                                    <w:t>800</w:t>
                                  </w:r>
                                  <w:r>
                                    <w:rPr>
                                      <w:spacing w:val="44"/>
                                      <w:sz w:val="16"/>
                                      <w:u w:val="single"/>
                                    </w:rPr>
                                    <w:t>  </w:t>
                                  </w:r>
                                  <w:r>
                                    <w:rPr>
                                      <w:spacing w:val="-10"/>
                                      <w:sz w:val="16"/>
                                      <w:u w:val="single"/>
                                    </w:rPr>
                                    <w:t>$</w:t>
                                  </w:r>
                                  <w:r>
                                    <w:rPr>
                                      <w:sz w:val="16"/>
                                      <w:u w:val="single"/>
                                    </w:rPr>
                                    <w:tab/>
                                    <w:t>2,806</w:t>
                                  </w:r>
                                  <w:r>
                                    <w:rPr>
                                      <w:spacing w:val="44"/>
                                      <w:sz w:val="16"/>
                                      <w:u w:val="single"/>
                                    </w:rPr>
                                    <w:t>  </w:t>
                                  </w:r>
                                  <w:r>
                                    <w:rPr>
                                      <w:sz w:val="16"/>
                                      <w:u w:val="single"/>
                                    </w:rPr>
                                    <w:t>$</w:t>
                                  </w:r>
                                  <w:r>
                                    <w:rPr>
                                      <w:spacing w:val="49"/>
                                      <w:sz w:val="16"/>
                                      <w:u w:val="single"/>
                                    </w:rPr>
                                    <w:t>  </w:t>
                                  </w:r>
                                  <w:r>
                                    <w:rPr>
                                      <w:spacing w:val="-2"/>
                                      <w:sz w:val="16"/>
                                      <w:u w:val="single"/>
                                    </w:rPr>
                                    <w:t>243,896</w:t>
                                  </w:r>
                                </w:p>
                              </w:tc>
                            </w:tr>
                          </w:tbl>
                          <w:p>
                            <w:pPr>
                              <w:pStyle w:val="BodyText"/>
                            </w:pPr>
                          </w:p>
                        </w:txbxContent>
                      </wps:txbx>
                      <wps:bodyPr wrap="square" lIns="0" tIns="0" rIns="0" bIns="0" rtlCol="0">
                        <a:noAutofit/>
                      </wps:bodyPr>
                    </wps:wsp>
                  </a:graphicData>
                </a:graphic>
              </wp:anchor>
            </w:drawing>
          </mc:Choice>
          <mc:Fallback>
            <w:pict>
              <v:shape style="position:absolute;margin-left:69.129997pt;margin-top:-38.421883pt;width:473.9pt;height:23.9pt;mso-position-horizontal-relative:page;mso-position-vertical-relative:paragraph;z-index:15845888" type="#_x0000_t202" id="docshape66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7"/>
                        <w:gridCol w:w="7560"/>
                      </w:tblGrid>
                      <w:tr>
                        <w:trPr>
                          <w:trHeight w:val="198" w:hRule="atLeast"/>
                        </w:trPr>
                        <w:tc>
                          <w:tcPr>
                            <w:tcW w:w="1797" w:type="dxa"/>
                          </w:tcPr>
                          <w:p>
                            <w:pPr>
                              <w:pStyle w:val="TableParagraph"/>
                              <w:spacing w:line="178" w:lineRule="exact"/>
                              <w:ind w:left="230"/>
                              <w:rPr>
                                <w:sz w:val="16"/>
                              </w:rPr>
                            </w:pPr>
                            <w:r>
                              <w:rPr>
                                <w:spacing w:val="-2"/>
                                <w:sz w:val="16"/>
                              </w:rPr>
                              <w:t>status</w:t>
                            </w:r>
                          </w:p>
                        </w:tc>
                        <w:tc>
                          <w:tcPr>
                            <w:tcW w:w="7560" w:type="dxa"/>
                            <w:tcBorders>
                              <w:bottom w:val="single" w:sz="8" w:space="0" w:color="000000"/>
                            </w:tcBorders>
                          </w:tcPr>
                          <w:p>
                            <w:pPr>
                              <w:pStyle w:val="TableParagraph"/>
                              <w:tabs>
                                <w:tab w:pos="794" w:val="left" w:leader="none"/>
                                <w:tab w:pos="1589" w:val="left" w:leader="none"/>
                                <w:tab w:pos="2278" w:val="left" w:leader="none"/>
                                <w:tab w:pos="3162" w:val="left" w:leader="none"/>
                                <w:tab w:pos="3735" w:val="left" w:leader="none"/>
                                <w:tab w:pos="4875" w:val="left" w:leader="none"/>
                                <w:tab w:pos="5789" w:val="left" w:leader="none"/>
                                <w:tab w:pos="6585" w:val="left" w:leader="none"/>
                              </w:tabs>
                              <w:spacing w:line="178" w:lineRule="exact"/>
                              <w:ind w:right="65"/>
                              <w:jc w:val="right"/>
                              <w:rPr>
                                <w:sz w:val="16"/>
                              </w:rPr>
                            </w:pPr>
                            <w:r>
                              <w:rPr>
                                <w:sz w:val="16"/>
                              </w:rPr>
                              <w:t>—</w:t>
                              <w:tab/>
                              <w:t>—</w:t>
                              <w:tab/>
                              <w:t>—</w:t>
                              <w:tab/>
                            </w:r>
                            <w:r>
                              <w:rPr>
                                <w:spacing w:val="-5"/>
                                <w:sz w:val="16"/>
                              </w:rPr>
                              <w:t>127</w:t>
                            </w:r>
                            <w:r>
                              <w:rPr>
                                <w:sz w:val="16"/>
                              </w:rPr>
                              <w:tab/>
                            </w:r>
                            <w:r>
                              <w:rPr>
                                <w:spacing w:val="-5"/>
                                <w:sz w:val="16"/>
                              </w:rPr>
                              <w:t>28</w:t>
                            </w:r>
                            <w:r>
                              <w:rPr>
                                <w:sz w:val="16"/>
                              </w:rPr>
                              <w:tab/>
                            </w:r>
                            <w:r>
                              <w:rPr>
                                <w:spacing w:val="-4"/>
                                <w:sz w:val="16"/>
                              </w:rPr>
                              <w:t>1,270</w:t>
                            </w:r>
                            <w:r>
                              <w:rPr>
                                <w:sz w:val="16"/>
                              </w:rPr>
                              <w:tab/>
                              <w:t>—</w:t>
                              <w:tab/>
                              <w:t>—</w:t>
                              <w:tab/>
                            </w:r>
                            <w:r>
                              <w:rPr>
                                <w:spacing w:val="-2"/>
                                <w:sz w:val="16"/>
                              </w:rPr>
                              <w:t>1,425</w:t>
                            </w:r>
                          </w:p>
                        </w:tc>
                      </w:tr>
                      <w:tr>
                        <w:trPr>
                          <w:trHeight w:val="240" w:hRule="atLeast"/>
                        </w:trPr>
                        <w:tc>
                          <w:tcPr>
                            <w:tcW w:w="1797" w:type="dxa"/>
                          </w:tcPr>
                          <w:p>
                            <w:pPr>
                              <w:pStyle w:val="TableParagraph"/>
                              <w:spacing w:before="16"/>
                              <w:ind w:left="50"/>
                              <w:rPr>
                                <w:sz w:val="16"/>
                              </w:rPr>
                            </w:pPr>
                            <w:r>
                              <w:rPr>
                                <w:spacing w:val="-2"/>
                                <w:sz w:val="16"/>
                              </w:rPr>
                              <w:t>Total</w:t>
                            </w:r>
                          </w:p>
                        </w:tc>
                        <w:tc>
                          <w:tcPr>
                            <w:tcW w:w="7560" w:type="dxa"/>
                            <w:tcBorders>
                              <w:top w:val="single" w:sz="8" w:space="0" w:color="000000"/>
                              <w:bottom w:val="single" w:sz="8" w:space="0" w:color="000000"/>
                            </w:tcBorders>
                          </w:tcPr>
                          <w:p>
                            <w:pPr>
                              <w:pStyle w:val="TableParagraph"/>
                              <w:tabs>
                                <w:tab w:pos="5275" w:val="left" w:leader="none"/>
                                <w:tab w:pos="6057" w:val="left" w:leader="none"/>
                              </w:tabs>
                              <w:spacing w:before="16"/>
                              <w:ind w:right="65"/>
                              <w:jc w:val="right"/>
                              <w:rPr>
                                <w:sz w:val="16"/>
                              </w:rPr>
                            </w:pPr>
                            <w:r>
                              <w:rPr>
                                <w:spacing w:val="10"/>
                                <w:sz w:val="16"/>
                                <w:u w:val="single"/>
                              </w:rPr>
                              <w:t> </w:t>
                            </w:r>
                            <w:r>
                              <w:rPr>
                                <w:sz w:val="16"/>
                                <w:u w:val="single"/>
                              </w:rPr>
                              <w:t>$</w:t>
                            </w:r>
                            <w:r>
                              <w:rPr>
                                <w:spacing w:val="-8"/>
                                <w:sz w:val="16"/>
                                <w:u w:val="single"/>
                              </w:rPr>
                              <w:t> </w:t>
                            </w:r>
                            <w:r>
                              <w:rPr>
                                <w:sz w:val="16"/>
                                <w:u w:val="single"/>
                              </w:rPr>
                              <w:t>11,989</w:t>
                            </w:r>
                            <w:r>
                              <w:rPr>
                                <w:spacing w:val="43"/>
                                <w:sz w:val="16"/>
                                <w:u w:val="single"/>
                              </w:rPr>
                              <w:t>  </w:t>
                            </w:r>
                            <w:r>
                              <w:rPr>
                                <w:sz w:val="16"/>
                                <w:u w:val="single"/>
                              </w:rPr>
                              <w:t>$</w:t>
                            </w:r>
                            <w:r>
                              <w:rPr>
                                <w:spacing w:val="-8"/>
                                <w:sz w:val="16"/>
                                <w:u w:val="single"/>
                              </w:rPr>
                              <w:t> </w:t>
                            </w:r>
                            <w:r>
                              <w:rPr>
                                <w:sz w:val="16"/>
                                <w:u w:val="single"/>
                              </w:rPr>
                              <w:t>16,992</w:t>
                            </w:r>
                            <w:r>
                              <w:rPr>
                                <w:spacing w:val="43"/>
                                <w:sz w:val="16"/>
                                <w:u w:val="single"/>
                              </w:rPr>
                              <w:t>  </w:t>
                            </w:r>
                            <w:r>
                              <w:rPr>
                                <w:sz w:val="16"/>
                                <w:u w:val="single"/>
                              </w:rPr>
                              <w:t>$</w:t>
                            </w:r>
                            <w:r>
                              <w:rPr>
                                <w:spacing w:val="-8"/>
                                <w:sz w:val="16"/>
                                <w:u w:val="single"/>
                              </w:rPr>
                              <w:t> </w:t>
                            </w:r>
                            <w:r>
                              <w:rPr>
                                <w:sz w:val="16"/>
                                <w:u w:val="single"/>
                              </w:rPr>
                              <w:t>18,547</w:t>
                            </w:r>
                            <w:r>
                              <w:rPr>
                                <w:spacing w:val="43"/>
                                <w:sz w:val="16"/>
                                <w:u w:val="single"/>
                              </w:rPr>
                              <w:t>  </w:t>
                            </w:r>
                            <w:r>
                              <w:rPr>
                                <w:sz w:val="16"/>
                                <w:u w:val="single"/>
                              </w:rPr>
                              <w:t>$</w:t>
                            </w:r>
                            <w:r>
                              <w:rPr>
                                <w:spacing w:val="-8"/>
                                <w:sz w:val="16"/>
                                <w:u w:val="single"/>
                              </w:rPr>
                              <w:t> </w:t>
                            </w:r>
                            <w:r>
                              <w:rPr>
                                <w:sz w:val="16"/>
                                <w:u w:val="single"/>
                              </w:rPr>
                              <w:t>15,317</w:t>
                            </w:r>
                            <w:r>
                              <w:rPr>
                                <w:spacing w:val="43"/>
                                <w:sz w:val="16"/>
                                <w:u w:val="single"/>
                              </w:rPr>
                              <w:t>  </w:t>
                            </w:r>
                            <w:r>
                              <w:rPr>
                                <w:sz w:val="16"/>
                                <w:u w:val="single"/>
                              </w:rPr>
                              <w:t>$</w:t>
                            </w:r>
                            <w:r>
                              <w:rPr>
                                <w:spacing w:val="-8"/>
                                <w:sz w:val="16"/>
                                <w:u w:val="single"/>
                              </w:rPr>
                              <w:t> </w:t>
                            </w:r>
                            <w:r>
                              <w:rPr>
                                <w:sz w:val="16"/>
                                <w:u w:val="single"/>
                              </w:rPr>
                              <w:t>13,003</w:t>
                            </w:r>
                            <w:r>
                              <w:rPr>
                                <w:spacing w:val="43"/>
                                <w:sz w:val="16"/>
                                <w:u w:val="single"/>
                              </w:rPr>
                              <w:t>  </w:t>
                            </w:r>
                            <w:r>
                              <w:rPr>
                                <w:sz w:val="16"/>
                                <w:u w:val="single"/>
                              </w:rPr>
                              <w:t>$164,442</w:t>
                            </w:r>
                            <w:r>
                              <w:rPr>
                                <w:spacing w:val="59"/>
                                <w:w w:val="150"/>
                                <w:sz w:val="16"/>
                                <w:u w:val="single"/>
                              </w:rPr>
                              <w:t> </w:t>
                            </w:r>
                            <w:r>
                              <w:rPr>
                                <w:spacing w:val="-10"/>
                                <w:sz w:val="16"/>
                                <w:u w:val="single"/>
                              </w:rPr>
                              <w:t>$</w:t>
                            </w:r>
                            <w:r>
                              <w:rPr>
                                <w:sz w:val="16"/>
                                <w:u w:val="single"/>
                              </w:rPr>
                              <w:tab/>
                              <w:t>800</w:t>
                            </w:r>
                            <w:r>
                              <w:rPr>
                                <w:spacing w:val="44"/>
                                <w:sz w:val="16"/>
                                <w:u w:val="single"/>
                              </w:rPr>
                              <w:t>  </w:t>
                            </w:r>
                            <w:r>
                              <w:rPr>
                                <w:spacing w:val="-10"/>
                                <w:sz w:val="16"/>
                                <w:u w:val="single"/>
                              </w:rPr>
                              <w:t>$</w:t>
                            </w:r>
                            <w:r>
                              <w:rPr>
                                <w:sz w:val="16"/>
                                <w:u w:val="single"/>
                              </w:rPr>
                              <w:tab/>
                              <w:t>2,806</w:t>
                            </w:r>
                            <w:r>
                              <w:rPr>
                                <w:spacing w:val="44"/>
                                <w:sz w:val="16"/>
                                <w:u w:val="single"/>
                              </w:rPr>
                              <w:t>  </w:t>
                            </w:r>
                            <w:r>
                              <w:rPr>
                                <w:sz w:val="16"/>
                                <w:u w:val="single"/>
                              </w:rPr>
                              <w:t>$</w:t>
                            </w:r>
                            <w:r>
                              <w:rPr>
                                <w:spacing w:val="49"/>
                                <w:sz w:val="16"/>
                                <w:u w:val="single"/>
                              </w:rPr>
                              <w:t>  </w:t>
                            </w:r>
                            <w:r>
                              <w:rPr>
                                <w:spacing w:val="-2"/>
                                <w:sz w:val="16"/>
                                <w:u w:val="single"/>
                              </w:rPr>
                              <w:t>243,896</w:t>
                            </w:r>
                          </w:p>
                        </w:tc>
                      </w:tr>
                    </w:tbl>
                    <w:p>
                      <w:pPr>
                        <w:pStyle w:val="BodyText"/>
                      </w:pPr>
                    </w:p>
                  </w:txbxContent>
                </v:textbox>
                <w10:wrap type="none"/>
              </v:shape>
            </w:pict>
          </mc:Fallback>
        </mc:AlternateContent>
      </w:r>
      <w:r>
        <w:rPr/>
        <w:t>Table</w:t>
      </w:r>
      <w:r>
        <w:rPr>
          <w:spacing w:val="-4"/>
        </w:rPr>
        <w:t> D4.1</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44864">
                <wp:simplePos x="0" y="0"/>
                <wp:positionH relativeFrom="page">
                  <wp:posOffset>914400</wp:posOffset>
                </wp:positionH>
                <wp:positionV relativeFrom="paragraph">
                  <wp:posOffset>191786</wp:posOffset>
                </wp:positionV>
                <wp:extent cx="5943600" cy="127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4864" from="72pt,15.10127pt" to="540pt,15.10127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rPr>
          <w:rFonts w:ascii="Arial"/>
          <w:i/>
          <w:sz w:val="16"/>
        </w:rPr>
      </w:pPr>
      <w:r>
        <w:rPr/>
        <w:br w:type="column"/>
      </w:r>
      <w:r>
        <w:rPr>
          <w:rFonts w:ascii="Arial"/>
          <w:i/>
          <w:sz w:val="16"/>
        </w:rPr>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112"/>
        <w:rPr>
          <w:rFonts w:ascii="Arial"/>
          <w:i/>
          <w:sz w:val="16"/>
        </w:rPr>
      </w:pPr>
    </w:p>
    <w:p>
      <w:pPr>
        <w:spacing w:before="1"/>
        <w:ind w:left="720" w:right="0" w:firstLine="0"/>
        <w:jc w:val="left"/>
        <w:rPr>
          <w:rFonts w:ascii="Arial"/>
          <w:i/>
          <w:sz w:val="16"/>
        </w:rPr>
      </w:pPr>
      <w:r>
        <w:rPr>
          <w:rFonts w:ascii="Arial"/>
          <w:i/>
          <w:sz w:val="16"/>
        </w:rPr>
        <w:t>Fiscal</w:t>
      </w:r>
      <w:r>
        <w:rPr>
          <w:rFonts w:ascii="Arial"/>
          <w:i/>
          <w:spacing w:val="-2"/>
          <w:sz w:val="16"/>
        </w:rPr>
        <w:t> </w:t>
      </w:r>
      <w:r>
        <w:rPr>
          <w:rFonts w:ascii="Arial"/>
          <w:i/>
          <w:sz w:val="16"/>
        </w:rPr>
        <w:t>Year</w:t>
      </w:r>
      <w:r>
        <w:rPr>
          <w:rFonts w:ascii="Arial"/>
          <w:i/>
          <w:spacing w:val="-2"/>
          <w:sz w:val="16"/>
        </w:rPr>
        <w:t> </w:t>
      </w:r>
      <w:r>
        <w:rPr>
          <w:rFonts w:ascii="Arial"/>
          <w:i/>
          <w:sz w:val="16"/>
        </w:rPr>
        <w:t>of</w:t>
      </w:r>
      <w:r>
        <w:rPr>
          <w:rFonts w:ascii="Arial"/>
          <w:i/>
          <w:spacing w:val="-2"/>
          <w:sz w:val="16"/>
        </w:rPr>
        <w:t> Origination</w:t>
      </w:r>
    </w:p>
    <w:p>
      <w:pPr>
        <w:pStyle w:val="BodyText"/>
        <w:rPr>
          <w:rFonts w:ascii="Arial"/>
          <w:i/>
          <w:sz w:val="16"/>
        </w:rPr>
      </w:pPr>
      <w:r>
        <w:rPr/>
        <w:br w:type="column"/>
      </w:r>
      <w:r>
        <w:rPr>
          <w:rFonts w:ascii="Arial"/>
          <w:i/>
          <w:sz w:val="16"/>
        </w:rPr>
      </w:r>
    </w:p>
    <w:p>
      <w:pPr>
        <w:pStyle w:val="BodyText"/>
        <w:rPr>
          <w:rFonts w:ascii="Arial"/>
          <w:i/>
          <w:sz w:val="16"/>
        </w:rPr>
      </w:pPr>
    </w:p>
    <w:p>
      <w:pPr>
        <w:pStyle w:val="BodyText"/>
        <w:spacing w:before="94"/>
        <w:rPr>
          <w:rFonts w:ascii="Arial"/>
          <w:i/>
          <w:sz w:val="16"/>
        </w:rPr>
      </w:pPr>
    </w:p>
    <w:p>
      <w:pPr>
        <w:spacing w:before="0"/>
        <w:ind w:left="0"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45376">
                <wp:simplePos x="0" y="0"/>
                <wp:positionH relativeFrom="page">
                  <wp:posOffset>2057400</wp:posOffset>
                </wp:positionH>
                <wp:positionV relativeFrom="paragraph">
                  <wp:posOffset>135923</wp:posOffset>
                </wp:positionV>
                <wp:extent cx="4800600" cy="1270"/>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4800600" cy="1270"/>
                        </a:xfrm>
                        <a:custGeom>
                          <a:avLst/>
                          <a:gdLst/>
                          <a:ahLst/>
                          <a:cxnLst/>
                          <a:rect l="l" t="t" r="r" b="b"/>
                          <a:pathLst>
                            <a:path w="4800600" h="0">
                              <a:moveTo>
                                <a:pt x="0" y="0"/>
                              </a:moveTo>
                              <a:lnTo>
                                <a:pt x="4800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162pt,10.702637pt" to="540pt,10.702637pt" stroked="true" strokeweight="1pt" strokecolor="#000000">
                <v:stroke dashstyle="solid"/>
                <w10:wrap type="none"/>
              </v:line>
            </w:pict>
          </mc:Fallback>
        </mc:AlternateContent>
      </w: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p>
      <w:pPr>
        <w:pStyle w:val="BodyText"/>
        <w:rPr>
          <w:rFonts w:ascii="Arial"/>
          <w:i/>
          <w:sz w:val="16"/>
        </w:rPr>
      </w:pPr>
      <w:r>
        <w:rPr/>
        <w:br w:type="column"/>
      </w:r>
      <w:r>
        <w:rPr>
          <w:rFonts w:ascii="Arial"/>
          <w:i/>
          <w:sz w:val="16"/>
        </w:rPr>
      </w:r>
    </w:p>
    <w:p>
      <w:pPr>
        <w:pStyle w:val="BodyText"/>
        <w:rPr>
          <w:rFonts w:ascii="Arial"/>
          <w:i/>
          <w:sz w:val="16"/>
        </w:rPr>
      </w:pPr>
    </w:p>
    <w:p>
      <w:pPr>
        <w:pStyle w:val="BodyText"/>
        <w:rPr>
          <w:rFonts w:ascii="Arial"/>
          <w:i/>
          <w:sz w:val="16"/>
        </w:rPr>
      </w:pPr>
    </w:p>
    <w:p>
      <w:pPr>
        <w:pStyle w:val="BodyText"/>
        <w:spacing w:before="147"/>
        <w:rPr>
          <w:rFonts w:ascii="Arial"/>
          <w:i/>
          <w:sz w:val="16"/>
        </w:rPr>
      </w:pPr>
    </w:p>
    <w:p>
      <w:pPr>
        <w:spacing w:line="249" w:lineRule="auto" w:before="0"/>
        <w:ind w:left="520" w:right="15" w:firstLine="0"/>
        <w:jc w:val="center"/>
        <w:rPr>
          <w:rFonts w:ascii="Arial"/>
          <w:i/>
          <w:sz w:val="16"/>
        </w:rPr>
      </w:pPr>
      <w:r>
        <w:rPr>
          <w:rFonts w:ascii="Arial"/>
          <w:i/>
          <w:spacing w:val="-4"/>
          <w:sz w:val="16"/>
        </w:rPr>
        <w:t>CAT DDOs</w:t>
      </w:r>
    </w:p>
    <w:p>
      <w:pPr>
        <w:spacing w:before="2"/>
        <w:ind w:left="503" w:right="0" w:firstLine="0"/>
        <w:jc w:val="center"/>
        <w:rPr>
          <w:rFonts w:ascii="Arial"/>
          <w:i/>
          <w:sz w:val="16"/>
        </w:rPr>
      </w:pPr>
      <w:r>
        <w:rPr>
          <w:rFonts w:ascii="Arial"/>
          <w:i/>
          <w:spacing w:val="-2"/>
          <w:sz w:val="16"/>
        </w:rPr>
        <w:t>Disbursed</w:t>
      </w:r>
    </w:p>
    <w:p>
      <w:pPr>
        <w:pStyle w:val="BodyText"/>
        <w:rPr>
          <w:rFonts w:ascii="Arial"/>
          <w:i/>
          <w:sz w:val="16"/>
        </w:rPr>
      </w:pPr>
      <w:r>
        <w:rPr/>
        <w:br w:type="column"/>
      </w:r>
      <w:r>
        <w:rPr>
          <w:rFonts w:ascii="Arial"/>
          <w:i/>
          <w:sz w:val="16"/>
        </w:rPr>
      </w:r>
    </w:p>
    <w:p>
      <w:pPr>
        <w:pStyle w:val="BodyText"/>
        <w:rPr>
          <w:rFonts w:ascii="Arial"/>
          <w:i/>
          <w:sz w:val="16"/>
        </w:rPr>
      </w:pPr>
    </w:p>
    <w:p>
      <w:pPr>
        <w:pStyle w:val="BodyText"/>
        <w:rPr>
          <w:rFonts w:ascii="Arial"/>
          <w:i/>
          <w:sz w:val="16"/>
        </w:rPr>
      </w:pPr>
    </w:p>
    <w:p>
      <w:pPr>
        <w:pStyle w:val="BodyText"/>
        <w:spacing w:before="147"/>
        <w:rPr>
          <w:rFonts w:ascii="Arial"/>
          <w:i/>
          <w:sz w:val="16"/>
        </w:rPr>
      </w:pPr>
    </w:p>
    <w:p>
      <w:pPr>
        <w:spacing w:line="249" w:lineRule="auto" w:before="0"/>
        <w:ind w:left="179" w:right="24" w:firstLine="0"/>
        <w:jc w:val="center"/>
        <w:rPr>
          <w:rFonts w:ascii="Arial"/>
          <w:i/>
          <w:sz w:val="16"/>
        </w:rPr>
      </w:pPr>
      <w:r>
        <w:rPr>
          <w:rFonts w:ascii="Arial"/>
          <w:i/>
          <w:spacing w:val="-4"/>
          <w:sz w:val="16"/>
        </w:rPr>
        <w:t>CAT DDOs</w:t>
      </w:r>
    </w:p>
    <w:p>
      <w:pPr>
        <w:spacing w:before="2"/>
        <w:ind w:left="153" w:right="0" w:firstLine="0"/>
        <w:jc w:val="center"/>
        <w:rPr>
          <w:rFonts w:ascii="Arial"/>
          <w:i/>
          <w:sz w:val="16"/>
        </w:rPr>
      </w:pPr>
      <w:r>
        <w:rPr>
          <w:rFonts w:ascii="Arial"/>
          <w:i/>
          <w:spacing w:val="-2"/>
          <w:sz w:val="16"/>
        </w:rPr>
        <w:t>Converted</w:t>
      </w:r>
    </w:p>
    <w:p>
      <w:pPr>
        <w:pStyle w:val="BodyText"/>
        <w:rPr>
          <w:rFonts w:ascii="Arial"/>
          <w:i/>
          <w:sz w:val="16"/>
        </w:rPr>
      </w:pPr>
      <w:r>
        <w:rPr/>
        <w:br w:type="column"/>
      </w:r>
      <w:r>
        <w:rPr>
          <w:rFonts w:ascii="Arial"/>
          <w:i/>
          <w:sz w:val="16"/>
        </w:rPr>
      </w:r>
    </w:p>
    <w:p>
      <w:pPr>
        <w:pStyle w:val="BodyText"/>
        <w:rPr>
          <w:rFonts w:ascii="Arial"/>
          <w:i/>
          <w:sz w:val="16"/>
        </w:rPr>
      </w:pPr>
    </w:p>
    <w:p>
      <w:pPr>
        <w:pStyle w:val="BodyText"/>
        <w:rPr>
          <w:rFonts w:ascii="Arial"/>
          <w:i/>
          <w:sz w:val="16"/>
        </w:rPr>
      </w:pPr>
    </w:p>
    <w:p>
      <w:pPr>
        <w:pStyle w:val="BodyText"/>
        <w:spacing w:before="147"/>
        <w:rPr>
          <w:rFonts w:ascii="Arial"/>
          <w:i/>
          <w:sz w:val="16"/>
        </w:rPr>
      </w:pPr>
    </w:p>
    <w:p>
      <w:pPr>
        <w:spacing w:line="249" w:lineRule="auto" w:before="0"/>
        <w:ind w:left="153" w:right="777" w:hanging="1"/>
        <w:jc w:val="center"/>
        <w:rPr>
          <w:rFonts w:ascii="Arial"/>
          <w:i/>
          <w:sz w:val="16"/>
        </w:rPr>
      </w:pPr>
      <w:r>
        <w:rPr>
          <w:rFonts w:ascii="Arial"/>
          <w:i/>
          <w:spacing w:val="-2"/>
          <w:sz w:val="16"/>
        </w:rPr>
        <w:t>Loans outstanding </w:t>
      </w:r>
      <w:r>
        <w:rPr>
          <w:rFonts w:ascii="Arial"/>
          <w:i/>
          <w:sz w:val="16"/>
        </w:rPr>
        <w:t>as of</w:t>
      </w:r>
    </w:p>
    <w:p>
      <w:pPr>
        <w:spacing w:after="0" w:line="249" w:lineRule="auto"/>
        <w:jc w:val="center"/>
        <w:rPr>
          <w:rFonts w:ascii="Arial"/>
          <w:i/>
          <w:sz w:val="16"/>
        </w:rPr>
        <w:sectPr>
          <w:type w:val="continuous"/>
          <w:pgSz w:w="12240" w:h="15840"/>
          <w:pgMar w:header="0" w:footer="0" w:top="1820" w:bottom="280" w:left="720" w:right="720"/>
          <w:cols w:num="6" w:equalWidth="0">
            <w:col w:w="2572" w:space="686"/>
            <w:col w:w="2515" w:space="21"/>
            <w:col w:w="1013" w:space="39"/>
            <w:col w:w="1224" w:space="40"/>
            <w:col w:w="892" w:space="40"/>
            <w:col w:w="1758"/>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0"/>
        <w:gridCol w:w="3937"/>
        <w:gridCol w:w="772"/>
        <w:gridCol w:w="922"/>
        <w:gridCol w:w="945"/>
        <w:gridCol w:w="983"/>
      </w:tblGrid>
      <w:tr>
        <w:trPr>
          <w:trHeight w:val="200" w:hRule="atLeast"/>
        </w:trPr>
        <w:tc>
          <w:tcPr>
            <w:tcW w:w="1800" w:type="dxa"/>
            <w:vMerge w:val="restart"/>
            <w:tcBorders>
              <w:bottom w:val="single" w:sz="8" w:space="0" w:color="000000"/>
            </w:tcBorders>
          </w:tcPr>
          <w:p>
            <w:pPr>
              <w:pStyle w:val="TableParagraph"/>
              <w:rPr>
                <w:rFonts w:ascii="Times New Roman"/>
                <w:sz w:val="16"/>
              </w:rPr>
            </w:pPr>
          </w:p>
        </w:tc>
        <w:tc>
          <w:tcPr>
            <w:tcW w:w="3937" w:type="dxa"/>
            <w:tcBorders>
              <w:top w:val="single" w:sz="8" w:space="0" w:color="000000"/>
            </w:tcBorders>
          </w:tcPr>
          <w:p>
            <w:pPr>
              <w:pStyle w:val="TableParagraph"/>
              <w:rPr>
                <w:rFonts w:ascii="Times New Roman"/>
                <w:sz w:val="12"/>
              </w:rPr>
            </w:pPr>
          </w:p>
        </w:tc>
        <w:tc>
          <w:tcPr>
            <w:tcW w:w="772" w:type="dxa"/>
            <w:tcBorders>
              <w:top w:val="single" w:sz="8" w:space="0" w:color="000000"/>
            </w:tcBorders>
          </w:tcPr>
          <w:p>
            <w:pPr>
              <w:pStyle w:val="TableParagraph"/>
              <w:spacing w:line="177" w:lineRule="exact"/>
              <w:ind w:left="236"/>
              <w:rPr>
                <w:rFonts w:ascii="Arial"/>
                <w:i/>
                <w:sz w:val="16"/>
              </w:rPr>
            </w:pPr>
            <w:r>
              <w:rPr>
                <w:rFonts w:ascii="Arial"/>
                <w:i/>
                <w:spacing w:val="-2"/>
                <w:sz w:val="16"/>
              </w:rPr>
              <w:t>Prior</w:t>
            </w:r>
          </w:p>
        </w:tc>
        <w:tc>
          <w:tcPr>
            <w:tcW w:w="922" w:type="dxa"/>
          </w:tcPr>
          <w:p>
            <w:pPr>
              <w:pStyle w:val="TableParagraph"/>
              <w:spacing w:line="177" w:lineRule="exact"/>
              <w:ind w:left="40"/>
              <w:jc w:val="center"/>
              <w:rPr>
                <w:rFonts w:ascii="Arial"/>
                <w:i/>
                <w:sz w:val="16"/>
              </w:rPr>
            </w:pPr>
            <w:r>
              <w:rPr>
                <w:rFonts w:ascii="Arial"/>
                <w:i/>
                <w:spacing w:val="-5"/>
                <w:sz w:val="16"/>
              </w:rPr>
              <w:t>and</w:t>
            </w:r>
          </w:p>
        </w:tc>
        <w:tc>
          <w:tcPr>
            <w:tcW w:w="945" w:type="dxa"/>
          </w:tcPr>
          <w:p>
            <w:pPr>
              <w:pStyle w:val="TableParagraph"/>
              <w:spacing w:line="177" w:lineRule="exact"/>
              <w:ind w:left="206"/>
              <w:rPr>
                <w:rFonts w:ascii="Arial"/>
                <w:i/>
                <w:sz w:val="16"/>
              </w:rPr>
            </w:pPr>
            <w:r>
              <w:rPr>
                <w:rFonts w:ascii="Arial"/>
                <w:i/>
                <w:sz w:val="16"/>
              </w:rPr>
              <w:t>to</w:t>
            </w:r>
            <w:r>
              <w:rPr>
                <w:rFonts w:ascii="Arial"/>
                <w:i/>
                <w:spacing w:val="-1"/>
                <w:sz w:val="16"/>
              </w:rPr>
              <w:t> </w:t>
            </w:r>
            <w:r>
              <w:rPr>
                <w:rFonts w:ascii="Arial"/>
                <w:i/>
                <w:spacing w:val="-4"/>
                <w:sz w:val="16"/>
              </w:rPr>
              <w:t>Term</w:t>
            </w:r>
          </w:p>
        </w:tc>
        <w:tc>
          <w:tcPr>
            <w:tcW w:w="983" w:type="dxa"/>
          </w:tcPr>
          <w:p>
            <w:pPr>
              <w:pStyle w:val="TableParagraph"/>
              <w:spacing w:line="177" w:lineRule="exact"/>
              <w:ind w:left="204"/>
              <w:rPr>
                <w:rFonts w:ascii="Arial"/>
                <w:i/>
                <w:sz w:val="16"/>
              </w:rPr>
            </w:pPr>
            <w:r>
              <w:rPr>
                <w:rFonts w:ascii="Arial"/>
                <w:i/>
                <w:sz w:val="16"/>
              </w:rPr>
              <w:t>June</w:t>
            </w:r>
            <w:r>
              <w:rPr>
                <w:rFonts w:ascii="Arial"/>
                <w:i/>
                <w:spacing w:val="-5"/>
                <w:sz w:val="16"/>
              </w:rPr>
              <w:t> 30,</w:t>
            </w:r>
          </w:p>
        </w:tc>
      </w:tr>
      <w:tr>
        <w:trPr>
          <w:trHeight w:val="194" w:hRule="atLeast"/>
        </w:trPr>
        <w:tc>
          <w:tcPr>
            <w:tcW w:w="1800" w:type="dxa"/>
            <w:vMerge/>
            <w:tcBorders>
              <w:top w:val="nil"/>
              <w:bottom w:val="single" w:sz="8" w:space="0" w:color="000000"/>
            </w:tcBorders>
          </w:tcPr>
          <w:p>
            <w:pPr>
              <w:rPr>
                <w:sz w:val="2"/>
                <w:szCs w:val="2"/>
              </w:rPr>
            </w:pPr>
          </w:p>
        </w:tc>
        <w:tc>
          <w:tcPr>
            <w:tcW w:w="3937" w:type="dxa"/>
            <w:tcBorders>
              <w:bottom w:val="single" w:sz="8" w:space="0" w:color="000000"/>
            </w:tcBorders>
          </w:tcPr>
          <w:p>
            <w:pPr>
              <w:pStyle w:val="TableParagraph"/>
              <w:tabs>
                <w:tab w:pos="984" w:val="left" w:leader="none"/>
                <w:tab w:pos="1779" w:val="left" w:leader="none"/>
                <w:tab w:pos="2574" w:val="left" w:leader="none"/>
                <w:tab w:pos="3369" w:val="left" w:leader="none"/>
              </w:tabs>
              <w:spacing w:line="148" w:lineRule="exact"/>
              <w:ind w:left="189"/>
              <w:rPr>
                <w:rFonts w:ascii="Arial"/>
                <w:i/>
                <w:sz w:val="16"/>
              </w:rPr>
            </w:pPr>
            <w:r>
              <w:rPr>
                <w:rFonts w:ascii="Arial"/>
                <w:i/>
                <w:spacing w:val="-4"/>
                <w:sz w:val="16"/>
              </w:rPr>
              <w:t>2022</w:t>
            </w:r>
            <w:r>
              <w:rPr>
                <w:rFonts w:ascii="Arial"/>
                <w:i/>
                <w:sz w:val="16"/>
              </w:rPr>
              <w:tab/>
            </w:r>
            <w:r>
              <w:rPr>
                <w:rFonts w:ascii="Arial"/>
                <w:i/>
                <w:spacing w:val="-4"/>
                <w:sz w:val="16"/>
              </w:rPr>
              <w:t>2021</w:t>
            </w:r>
            <w:r>
              <w:rPr>
                <w:rFonts w:ascii="Arial"/>
                <w:i/>
                <w:sz w:val="16"/>
              </w:rPr>
              <w:tab/>
            </w:r>
            <w:r>
              <w:rPr>
                <w:rFonts w:ascii="Arial"/>
                <w:i/>
                <w:spacing w:val="-4"/>
                <w:sz w:val="16"/>
              </w:rPr>
              <w:t>2020</w:t>
            </w:r>
            <w:r>
              <w:rPr>
                <w:rFonts w:ascii="Arial"/>
                <w:i/>
                <w:sz w:val="16"/>
              </w:rPr>
              <w:tab/>
            </w:r>
            <w:r>
              <w:rPr>
                <w:rFonts w:ascii="Arial"/>
                <w:i/>
                <w:spacing w:val="-4"/>
                <w:sz w:val="16"/>
              </w:rPr>
              <w:t>2019</w:t>
            </w:r>
            <w:r>
              <w:rPr>
                <w:rFonts w:ascii="Arial"/>
                <w:i/>
                <w:sz w:val="16"/>
              </w:rPr>
              <w:tab/>
            </w:r>
            <w:r>
              <w:rPr>
                <w:rFonts w:ascii="Arial"/>
                <w:i/>
                <w:spacing w:val="-4"/>
                <w:sz w:val="16"/>
              </w:rPr>
              <w:t>2018</w:t>
            </w:r>
          </w:p>
        </w:tc>
        <w:tc>
          <w:tcPr>
            <w:tcW w:w="772" w:type="dxa"/>
            <w:tcBorders>
              <w:bottom w:val="single" w:sz="8" w:space="0" w:color="000000"/>
            </w:tcBorders>
          </w:tcPr>
          <w:p>
            <w:pPr>
              <w:pStyle w:val="TableParagraph"/>
              <w:spacing w:line="148" w:lineRule="exact"/>
              <w:ind w:left="196"/>
              <w:rPr>
                <w:rFonts w:ascii="Arial"/>
                <w:i/>
                <w:sz w:val="16"/>
              </w:rPr>
            </w:pPr>
            <w:r>
              <w:rPr>
                <w:rFonts w:ascii="Arial"/>
                <w:i/>
                <w:spacing w:val="-2"/>
                <w:sz w:val="16"/>
              </w:rPr>
              <w:t>Years</w:t>
            </w:r>
          </w:p>
        </w:tc>
        <w:tc>
          <w:tcPr>
            <w:tcW w:w="922" w:type="dxa"/>
            <w:tcBorders>
              <w:bottom w:val="single" w:sz="8" w:space="0" w:color="000000"/>
            </w:tcBorders>
          </w:tcPr>
          <w:p>
            <w:pPr>
              <w:pStyle w:val="TableParagraph"/>
              <w:spacing w:line="148" w:lineRule="exact"/>
              <w:ind w:right="87"/>
              <w:jc w:val="right"/>
              <w:rPr>
                <w:rFonts w:ascii="Arial"/>
                <w:i/>
                <w:sz w:val="16"/>
              </w:rPr>
            </w:pPr>
            <w:r>
              <w:rPr>
                <w:rFonts w:ascii="Arial"/>
                <w:i/>
                <w:spacing w:val="-2"/>
                <w:sz w:val="16"/>
              </w:rPr>
              <w:t>Revolving</w:t>
            </w:r>
          </w:p>
        </w:tc>
        <w:tc>
          <w:tcPr>
            <w:tcW w:w="945" w:type="dxa"/>
            <w:tcBorders>
              <w:bottom w:val="single" w:sz="8" w:space="0" w:color="000000"/>
            </w:tcBorders>
          </w:tcPr>
          <w:p>
            <w:pPr>
              <w:pStyle w:val="TableParagraph"/>
              <w:spacing w:line="148" w:lineRule="exact"/>
              <w:ind w:left="263"/>
              <w:rPr>
                <w:rFonts w:ascii="Arial"/>
                <w:i/>
                <w:sz w:val="16"/>
              </w:rPr>
            </w:pPr>
            <w:r>
              <w:rPr>
                <w:rFonts w:ascii="Arial"/>
                <w:i/>
                <w:spacing w:val="-2"/>
                <w:sz w:val="16"/>
              </w:rPr>
              <w:t>Loans</w:t>
            </w:r>
          </w:p>
        </w:tc>
        <w:tc>
          <w:tcPr>
            <w:tcW w:w="983" w:type="dxa"/>
            <w:tcBorders>
              <w:bottom w:val="single" w:sz="8" w:space="0" w:color="000000"/>
            </w:tcBorders>
          </w:tcPr>
          <w:p>
            <w:pPr>
              <w:pStyle w:val="TableParagraph"/>
              <w:spacing w:line="148" w:lineRule="exact"/>
              <w:ind w:left="333"/>
              <w:rPr>
                <w:rFonts w:ascii="Arial"/>
                <w:i/>
                <w:sz w:val="16"/>
              </w:rPr>
            </w:pPr>
            <w:r>
              <w:rPr>
                <w:rFonts w:ascii="Arial"/>
                <w:i/>
                <w:spacing w:val="-4"/>
                <w:sz w:val="16"/>
              </w:rPr>
              <w:t>2022</w:t>
            </w:r>
          </w:p>
        </w:tc>
      </w:tr>
      <w:tr>
        <w:trPr>
          <w:trHeight w:val="470" w:hRule="atLeast"/>
        </w:trPr>
        <w:tc>
          <w:tcPr>
            <w:tcW w:w="1800" w:type="dxa"/>
            <w:tcBorders>
              <w:top w:val="single" w:sz="8" w:space="0" w:color="000000"/>
            </w:tcBorders>
          </w:tcPr>
          <w:p>
            <w:pPr>
              <w:pStyle w:val="TableParagraph"/>
              <w:spacing w:line="173" w:lineRule="exact"/>
              <w:ind w:left="52"/>
              <w:rPr>
                <w:sz w:val="16"/>
              </w:rPr>
            </w:pPr>
            <w:r>
              <w:rPr>
                <w:spacing w:val="-4"/>
                <w:sz w:val="16"/>
              </w:rPr>
              <w:t>Risk</w:t>
            </w:r>
          </w:p>
          <w:p>
            <w:pPr>
              <w:pStyle w:val="TableParagraph"/>
              <w:spacing w:before="56"/>
              <w:ind w:left="232"/>
              <w:rPr>
                <w:sz w:val="16"/>
              </w:rPr>
            </w:pPr>
            <w:r>
              <w:rPr>
                <w:spacing w:val="-5"/>
                <w:sz w:val="16"/>
              </w:rPr>
              <w:t>Low</w:t>
            </w:r>
          </w:p>
        </w:tc>
        <w:tc>
          <w:tcPr>
            <w:tcW w:w="3937" w:type="dxa"/>
            <w:tcBorders>
              <w:top w:val="single" w:sz="8" w:space="0" w:color="000000"/>
            </w:tcBorders>
          </w:tcPr>
          <w:p>
            <w:pPr>
              <w:pStyle w:val="TableParagraph"/>
              <w:spacing w:before="45"/>
              <w:rPr>
                <w:rFonts w:ascii="Arial"/>
                <w:i/>
                <w:sz w:val="16"/>
              </w:rPr>
            </w:pPr>
          </w:p>
          <w:p>
            <w:pPr>
              <w:pStyle w:val="TableParagraph"/>
              <w:tabs>
                <w:tab w:pos="347" w:val="left" w:leader="none"/>
                <w:tab w:pos="1142" w:val="left" w:leader="none"/>
                <w:tab w:pos="1937" w:val="left" w:leader="none"/>
                <w:tab w:pos="3527" w:val="left" w:leader="none"/>
              </w:tabs>
              <w:ind w:right="88"/>
              <w:jc w:val="right"/>
              <w:rPr>
                <w:sz w:val="16"/>
              </w:rPr>
            </w:pPr>
            <w:r>
              <w:rPr>
                <w:spacing w:val="-10"/>
                <w:sz w:val="16"/>
              </w:rPr>
              <w:t>$</w:t>
            </w:r>
            <w:r>
              <w:rPr>
                <w:sz w:val="16"/>
              </w:rPr>
              <w:tab/>
              <w:t>250</w:t>
            </w:r>
            <w:r>
              <w:rPr>
                <w:spacing w:val="44"/>
                <w:sz w:val="16"/>
              </w:rPr>
              <w:t>  </w:t>
            </w:r>
            <w:r>
              <w:rPr>
                <w:spacing w:val="-10"/>
                <w:sz w:val="16"/>
              </w:rPr>
              <w:t>$</w:t>
            </w:r>
            <w:r>
              <w:rPr>
                <w:sz w:val="16"/>
              </w:rPr>
              <w:tab/>
              <w:t>100</w:t>
            </w:r>
            <w:r>
              <w:rPr>
                <w:spacing w:val="44"/>
                <w:sz w:val="16"/>
              </w:rPr>
              <w:t>  </w:t>
            </w:r>
            <w:r>
              <w:rPr>
                <w:spacing w:val="-10"/>
                <w:sz w:val="16"/>
              </w:rPr>
              <w:t>$</w:t>
            </w:r>
            <w:r>
              <w:rPr>
                <w:sz w:val="16"/>
              </w:rPr>
              <w:tab/>
              <w:t>196</w:t>
            </w:r>
            <w:r>
              <w:rPr>
                <w:spacing w:val="44"/>
                <w:sz w:val="16"/>
              </w:rPr>
              <w:t>  </w:t>
            </w:r>
            <w:r>
              <w:rPr>
                <w:sz w:val="16"/>
              </w:rPr>
              <w:t>$</w:t>
            </w:r>
            <w:r>
              <w:rPr>
                <w:spacing w:val="79"/>
                <w:sz w:val="16"/>
              </w:rPr>
              <w:t> </w:t>
            </w:r>
            <w:r>
              <w:rPr>
                <w:sz w:val="16"/>
              </w:rPr>
              <w:t>1,060</w:t>
            </w:r>
            <w:r>
              <w:rPr>
                <w:spacing w:val="44"/>
                <w:sz w:val="16"/>
              </w:rPr>
              <w:t>  </w:t>
            </w:r>
            <w:r>
              <w:rPr>
                <w:spacing w:val="-10"/>
                <w:sz w:val="16"/>
              </w:rPr>
              <w:t>$</w:t>
            </w:r>
            <w:r>
              <w:rPr>
                <w:sz w:val="16"/>
              </w:rPr>
              <w:tab/>
            </w:r>
            <w:r>
              <w:rPr>
                <w:spacing w:val="-5"/>
                <w:sz w:val="16"/>
              </w:rPr>
              <w:t>346</w:t>
            </w:r>
          </w:p>
        </w:tc>
        <w:tc>
          <w:tcPr>
            <w:tcW w:w="772" w:type="dxa"/>
            <w:tcBorders>
              <w:top w:val="single" w:sz="8" w:space="0" w:color="000000"/>
            </w:tcBorders>
          </w:tcPr>
          <w:p>
            <w:pPr>
              <w:pStyle w:val="TableParagraph"/>
              <w:spacing w:before="45"/>
              <w:rPr>
                <w:rFonts w:ascii="Arial"/>
                <w:i/>
                <w:sz w:val="16"/>
              </w:rPr>
            </w:pPr>
          </w:p>
          <w:p>
            <w:pPr>
              <w:pStyle w:val="TableParagraph"/>
              <w:ind w:right="64"/>
              <w:jc w:val="right"/>
              <w:rPr>
                <w:sz w:val="16"/>
              </w:rPr>
            </w:pPr>
            <w:r>
              <w:rPr>
                <w:sz w:val="16"/>
              </w:rPr>
              <w:t>$</w:t>
            </w:r>
            <w:r>
              <w:rPr>
                <w:spacing w:val="-8"/>
                <w:sz w:val="16"/>
              </w:rPr>
              <w:t> </w:t>
            </w:r>
            <w:r>
              <w:rPr>
                <w:spacing w:val="-2"/>
                <w:sz w:val="16"/>
              </w:rPr>
              <w:t>21,476</w:t>
            </w:r>
          </w:p>
        </w:tc>
        <w:tc>
          <w:tcPr>
            <w:tcW w:w="922" w:type="dxa"/>
            <w:tcBorders>
              <w:top w:val="single" w:sz="8" w:space="0" w:color="000000"/>
            </w:tcBorders>
          </w:tcPr>
          <w:p>
            <w:pPr>
              <w:pStyle w:val="TableParagraph"/>
              <w:spacing w:before="45"/>
              <w:rPr>
                <w:rFonts w:ascii="Arial"/>
                <w:i/>
                <w:sz w:val="16"/>
              </w:rPr>
            </w:pPr>
          </w:p>
          <w:p>
            <w:pPr>
              <w:pStyle w:val="TableParagraph"/>
              <w:tabs>
                <w:tab w:pos="559" w:val="left" w:leader="none"/>
              </w:tabs>
              <w:ind w:right="87"/>
              <w:jc w:val="right"/>
              <w:rPr>
                <w:sz w:val="16"/>
              </w:rPr>
            </w:pPr>
            <w:r>
              <w:rPr>
                <w:spacing w:val="-10"/>
                <w:sz w:val="16"/>
              </w:rPr>
              <w:t>$</w:t>
            </w:r>
            <w:r>
              <w:rPr>
                <w:sz w:val="16"/>
              </w:rPr>
              <w:tab/>
              <w:t>—</w:t>
            </w:r>
          </w:p>
        </w:tc>
        <w:tc>
          <w:tcPr>
            <w:tcW w:w="945" w:type="dxa"/>
            <w:tcBorders>
              <w:top w:val="single" w:sz="8" w:space="0" w:color="000000"/>
            </w:tcBorders>
          </w:tcPr>
          <w:p>
            <w:pPr>
              <w:pStyle w:val="TableParagraph"/>
              <w:spacing w:before="45"/>
              <w:rPr>
                <w:rFonts w:ascii="Arial"/>
                <w:i/>
                <w:sz w:val="16"/>
              </w:rPr>
            </w:pPr>
          </w:p>
          <w:p>
            <w:pPr>
              <w:pStyle w:val="TableParagraph"/>
              <w:tabs>
                <w:tab w:pos="604" w:val="left" w:leader="none"/>
              </w:tabs>
              <w:ind w:right="87"/>
              <w:jc w:val="right"/>
              <w:rPr>
                <w:sz w:val="16"/>
              </w:rPr>
            </w:pPr>
            <w:r>
              <w:rPr>
                <w:spacing w:val="-10"/>
                <w:sz w:val="16"/>
              </w:rPr>
              <w:t>$</w:t>
            </w:r>
            <w:r>
              <w:rPr>
                <w:sz w:val="16"/>
              </w:rPr>
              <w:tab/>
              <w:t>—</w:t>
            </w:r>
          </w:p>
        </w:tc>
        <w:tc>
          <w:tcPr>
            <w:tcW w:w="983" w:type="dxa"/>
            <w:tcBorders>
              <w:top w:val="single" w:sz="8" w:space="0" w:color="000000"/>
            </w:tcBorders>
          </w:tcPr>
          <w:p>
            <w:pPr>
              <w:pStyle w:val="TableParagraph"/>
              <w:spacing w:before="45"/>
              <w:rPr>
                <w:rFonts w:ascii="Arial"/>
                <w:i/>
                <w:sz w:val="16"/>
              </w:rPr>
            </w:pPr>
          </w:p>
          <w:p>
            <w:pPr>
              <w:pStyle w:val="TableParagraph"/>
              <w:tabs>
                <w:tab w:pos="335" w:val="left" w:leader="none"/>
              </w:tabs>
              <w:ind w:right="65"/>
              <w:jc w:val="right"/>
              <w:rPr>
                <w:sz w:val="16"/>
              </w:rPr>
            </w:pPr>
            <w:r>
              <w:rPr>
                <w:spacing w:val="-10"/>
                <w:sz w:val="16"/>
              </w:rPr>
              <w:t>$</w:t>
            </w:r>
            <w:r>
              <w:rPr>
                <w:sz w:val="16"/>
              </w:rPr>
              <w:tab/>
            </w:r>
            <w:r>
              <w:rPr>
                <w:spacing w:val="-2"/>
                <w:sz w:val="16"/>
              </w:rPr>
              <w:t>23,428</w:t>
            </w:r>
          </w:p>
        </w:tc>
      </w:tr>
      <w:tr>
        <w:trPr>
          <w:trHeight w:val="240" w:hRule="atLeast"/>
        </w:trPr>
        <w:tc>
          <w:tcPr>
            <w:tcW w:w="1800" w:type="dxa"/>
          </w:tcPr>
          <w:p>
            <w:pPr>
              <w:pStyle w:val="TableParagraph"/>
              <w:spacing w:line="182" w:lineRule="exact"/>
              <w:ind w:left="232"/>
              <w:rPr>
                <w:sz w:val="16"/>
              </w:rPr>
            </w:pPr>
            <w:r>
              <w:rPr>
                <w:spacing w:val="-2"/>
                <w:sz w:val="16"/>
              </w:rPr>
              <w:t>Medium</w:t>
            </w:r>
          </w:p>
        </w:tc>
        <w:tc>
          <w:tcPr>
            <w:tcW w:w="3937" w:type="dxa"/>
          </w:tcPr>
          <w:p>
            <w:pPr>
              <w:pStyle w:val="TableParagraph"/>
              <w:tabs>
                <w:tab w:pos="794" w:val="left" w:leader="none"/>
                <w:tab w:pos="1589" w:val="left" w:leader="none"/>
                <w:tab w:pos="2384" w:val="left" w:leader="none"/>
                <w:tab w:pos="3179" w:val="left" w:leader="none"/>
              </w:tabs>
              <w:spacing w:line="182" w:lineRule="exact"/>
              <w:ind w:right="87"/>
              <w:jc w:val="right"/>
              <w:rPr>
                <w:sz w:val="16"/>
              </w:rPr>
            </w:pPr>
            <w:r>
              <w:rPr>
                <w:spacing w:val="-2"/>
                <w:sz w:val="16"/>
              </w:rPr>
              <w:t>5,595</w:t>
            </w:r>
            <w:r>
              <w:rPr>
                <w:sz w:val="16"/>
              </w:rPr>
              <w:tab/>
            </w:r>
            <w:r>
              <w:rPr>
                <w:spacing w:val="-2"/>
                <w:sz w:val="16"/>
              </w:rPr>
              <w:t>8,298</w:t>
            </w:r>
            <w:r>
              <w:rPr>
                <w:sz w:val="16"/>
              </w:rPr>
              <w:tab/>
            </w:r>
            <w:r>
              <w:rPr>
                <w:spacing w:val="-4"/>
                <w:sz w:val="16"/>
              </w:rPr>
              <w:t>6,678</w:t>
            </w:r>
            <w:r>
              <w:rPr>
                <w:sz w:val="16"/>
              </w:rPr>
              <w:tab/>
            </w:r>
            <w:r>
              <w:rPr>
                <w:spacing w:val="-4"/>
                <w:sz w:val="16"/>
              </w:rPr>
              <w:t>3,577</w:t>
            </w:r>
            <w:r>
              <w:rPr>
                <w:sz w:val="16"/>
              </w:rPr>
              <w:tab/>
            </w:r>
            <w:r>
              <w:rPr>
                <w:spacing w:val="-4"/>
                <w:sz w:val="16"/>
              </w:rPr>
              <w:t>4,487</w:t>
            </w:r>
          </w:p>
        </w:tc>
        <w:tc>
          <w:tcPr>
            <w:tcW w:w="772" w:type="dxa"/>
          </w:tcPr>
          <w:p>
            <w:pPr>
              <w:pStyle w:val="TableParagraph"/>
              <w:spacing w:line="182" w:lineRule="exact"/>
              <w:ind w:right="64"/>
              <w:jc w:val="right"/>
              <w:rPr>
                <w:sz w:val="16"/>
              </w:rPr>
            </w:pPr>
            <w:r>
              <w:rPr>
                <w:spacing w:val="-2"/>
                <w:sz w:val="16"/>
              </w:rPr>
              <w:t>65,788</w:t>
            </w:r>
          </w:p>
        </w:tc>
        <w:tc>
          <w:tcPr>
            <w:tcW w:w="922" w:type="dxa"/>
          </w:tcPr>
          <w:p>
            <w:pPr>
              <w:pStyle w:val="TableParagraph"/>
              <w:spacing w:line="182" w:lineRule="exact"/>
              <w:ind w:right="87"/>
              <w:jc w:val="right"/>
              <w:rPr>
                <w:sz w:val="16"/>
              </w:rPr>
            </w:pPr>
            <w:r>
              <w:rPr>
                <w:spacing w:val="-5"/>
                <w:sz w:val="16"/>
              </w:rPr>
              <w:t>203</w:t>
            </w:r>
          </w:p>
        </w:tc>
        <w:tc>
          <w:tcPr>
            <w:tcW w:w="945" w:type="dxa"/>
          </w:tcPr>
          <w:p>
            <w:pPr>
              <w:pStyle w:val="TableParagraph"/>
              <w:spacing w:line="182" w:lineRule="exact"/>
              <w:ind w:right="87"/>
              <w:jc w:val="right"/>
              <w:rPr>
                <w:sz w:val="16"/>
              </w:rPr>
            </w:pPr>
            <w:r>
              <w:rPr>
                <w:spacing w:val="-2"/>
                <w:sz w:val="16"/>
              </w:rPr>
              <w:t>1,907</w:t>
            </w:r>
          </w:p>
        </w:tc>
        <w:tc>
          <w:tcPr>
            <w:tcW w:w="983" w:type="dxa"/>
          </w:tcPr>
          <w:p>
            <w:pPr>
              <w:pStyle w:val="TableParagraph"/>
              <w:spacing w:line="182" w:lineRule="exact"/>
              <w:ind w:right="65"/>
              <w:jc w:val="right"/>
              <w:rPr>
                <w:sz w:val="16"/>
              </w:rPr>
            </w:pPr>
            <w:r>
              <w:rPr>
                <w:spacing w:val="-2"/>
                <w:sz w:val="16"/>
              </w:rPr>
              <w:t>96,533</w:t>
            </w:r>
          </w:p>
        </w:tc>
      </w:tr>
      <w:tr>
        <w:trPr>
          <w:trHeight w:val="229" w:hRule="atLeast"/>
        </w:trPr>
        <w:tc>
          <w:tcPr>
            <w:tcW w:w="1800" w:type="dxa"/>
          </w:tcPr>
          <w:p>
            <w:pPr>
              <w:pStyle w:val="TableParagraph"/>
              <w:spacing w:line="182" w:lineRule="exact"/>
              <w:ind w:left="232"/>
              <w:rPr>
                <w:sz w:val="16"/>
              </w:rPr>
            </w:pPr>
            <w:r>
              <w:rPr>
                <w:spacing w:val="-4"/>
                <w:sz w:val="16"/>
              </w:rPr>
              <w:t>High</w:t>
            </w:r>
          </w:p>
        </w:tc>
        <w:tc>
          <w:tcPr>
            <w:tcW w:w="3937" w:type="dxa"/>
            <w:tcBorders>
              <w:bottom w:val="single" w:sz="8" w:space="0" w:color="000000"/>
            </w:tcBorders>
          </w:tcPr>
          <w:p>
            <w:pPr>
              <w:pStyle w:val="TableParagraph"/>
              <w:tabs>
                <w:tab w:pos="794" w:val="left" w:leader="none"/>
                <w:tab w:pos="1589" w:val="left" w:leader="none"/>
                <w:tab w:pos="2384" w:val="left" w:leader="none"/>
                <w:tab w:pos="3179" w:val="left" w:leader="none"/>
              </w:tabs>
              <w:spacing w:line="182" w:lineRule="exact"/>
              <w:ind w:right="87"/>
              <w:jc w:val="right"/>
              <w:rPr>
                <w:sz w:val="16"/>
              </w:rPr>
            </w:pPr>
            <w:r>
              <w:rPr>
                <w:spacing w:val="-2"/>
                <w:sz w:val="16"/>
              </w:rPr>
              <w:t>6,416</w:t>
            </w:r>
            <w:r>
              <w:rPr>
                <w:sz w:val="16"/>
              </w:rPr>
              <w:tab/>
            </w:r>
            <w:r>
              <w:rPr>
                <w:spacing w:val="-2"/>
                <w:sz w:val="16"/>
              </w:rPr>
              <w:t>7,878</w:t>
            </w:r>
            <w:r>
              <w:rPr>
                <w:sz w:val="16"/>
              </w:rPr>
              <w:tab/>
            </w:r>
            <w:r>
              <w:rPr>
                <w:spacing w:val="-4"/>
                <w:sz w:val="16"/>
              </w:rPr>
              <w:t>6,588</w:t>
            </w:r>
            <w:r>
              <w:rPr>
                <w:sz w:val="16"/>
              </w:rPr>
              <w:tab/>
            </w:r>
            <w:r>
              <w:rPr>
                <w:spacing w:val="-4"/>
                <w:sz w:val="16"/>
              </w:rPr>
              <w:t>7,075</w:t>
            </w:r>
            <w:r>
              <w:rPr>
                <w:sz w:val="16"/>
              </w:rPr>
              <w:tab/>
            </w:r>
            <w:r>
              <w:rPr>
                <w:spacing w:val="-4"/>
                <w:sz w:val="16"/>
              </w:rPr>
              <w:t>6,663</w:t>
            </w:r>
          </w:p>
        </w:tc>
        <w:tc>
          <w:tcPr>
            <w:tcW w:w="772" w:type="dxa"/>
            <w:tcBorders>
              <w:bottom w:val="single" w:sz="8" w:space="0" w:color="000000"/>
            </w:tcBorders>
          </w:tcPr>
          <w:p>
            <w:pPr>
              <w:pStyle w:val="TableParagraph"/>
              <w:spacing w:line="182" w:lineRule="exact"/>
              <w:ind w:right="64"/>
              <w:jc w:val="right"/>
              <w:rPr>
                <w:sz w:val="16"/>
              </w:rPr>
            </w:pPr>
            <w:r>
              <w:rPr>
                <w:spacing w:val="-2"/>
                <w:sz w:val="16"/>
              </w:rPr>
              <w:t>73,410</w:t>
            </w:r>
          </w:p>
        </w:tc>
        <w:tc>
          <w:tcPr>
            <w:tcW w:w="922" w:type="dxa"/>
            <w:tcBorders>
              <w:bottom w:val="single" w:sz="8" w:space="0" w:color="000000"/>
            </w:tcBorders>
          </w:tcPr>
          <w:p>
            <w:pPr>
              <w:pStyle w:val="TableParagraph"/>
              <w:spacing w:line="182" w:lineRule="exact"/>
              <w:ind w:right="87"/>
              <w:jc w:val="right"/>
              <w:rPr>
                <w:sz w:val="16"/>
              </w:rPr>
            </w:pPr>
            <w:r>
              <w:rPr>
                <w:spacing w:val="-5"/>
                <w:sz w:val="16"/>
              </w:rPr>
              <w:t>462</w:t>
            </w:r>
          </w:p>
        </w:tc>
        <w:tc>
          <w:tcPr>
            <w:tcW w:w="945" w:type="dxa"/>
            <w:tcBorders>
              <w:bottom w:val="single" w:sz="8" w:space="0" w:color="000000"/>
            </w:tcBorders>
          </w:tcPr>
          <w:p>
            <w:pPr>
              <w:pStyle w:val="TableParagraph"/>
              <w:spacing w:line="182" w:lineRule="exact"/>
              <w:ind w:right="87"/>
              <w:jc w:val="right"/>
              <w:rPr>
                <w:sz w:val="16"/>
              </w:rPr>
            </w:pPr>
            <w:r>
              <w:rPr>
                <w:spacing w:val="-5"/>
                <w:sz w:val="16"/>
              </w:rPr>
              <w:t>463</w:t>
            </w:r>
          </w:p>
        </w:tc>
        <w:tc>
          <w:tcPr>
            <w:tcW w:w="983" w:type="dxa"/>
            <w:tcBorders>
              <w:bottom w:val="single" w:sz="8" w:space="0" w:color="000000"/>
            </w:tcBorders>
          </w:tcPr>
          <w:p>
            <w:pPr>
              <w:pStyle w:val="TableParagraph"/>
              <w:spacing w:line="182" w:lineRule="exact"/>
              <w:ind w:right="65"/>
              <w:jc w:val="right"/>
              <w:rPr>
                <w:sz w:val="16"/>
              </w:rPr>
            </w:pPr>
            <w:r>
              <w:rPr>
                <w:spacing w:val="-2"/>
                <w:sz w:val="16"/>
              </w:rPr>
              <w:t>108,955</w:t>
            </w:r>
          </w:p>
        </w:tc>
      </w:tr>
      <w:tr>
        <w:trPr>
          <w:trHeight w:val="313" w:hRule="atLeast"/>
        </w:trPr>
        <w:tc>
          <w:tcPr>
            <w:tcW w:w="5737" w:type="dxa"/>
            <w:gridSpan w:val="2"/>
          </w:tcPr>
          <w:p>
            <w:pPr>
              <w:pStyle w:val="TableParagraph"/>
              <w:tabs>
                <w:tab w:pos="1978" w:val="left" w:leader="none"/>
                <w:tab w:pos="2773" w:val="left" w:leader="none"/>
                <w:tab w:pos="3568" w:val="left" w:leader="none"/>
                <w:tab w:pos="4363" w:val="left" w:leader="none"/>
                <w:tab w:pos="5158" w:val="left" w:leader="none"/>
              </w:tabs>
              <w:spacing w:line="173" w:lineRule="exact"/>
              <w:ind w:left="52"/>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r>
              <w:rPr>
                <w:sz w:val="16"/>
              </w:rPr>
              <w:tab/>
            </w:r>
            <w:r>
              <w:rPr>
                <w:spacing w:val="-2"/>
                <w:sz w:val="16"/>
              </w:rPr>
              <w:t>12,261</w:t>
            </w:r>
            <w:r>
              <w:rPr>
                <w:sz w:val="16"/>
              </w:rPr>
              <w:tab/>
            </w:r>
            <w:r>
              <w:rPr>
                <w:spacing w:val="-2"/>
                <w:sz w:val="16"/>
              </w:rPr>
              <w:t>16,276</w:t>
            </w:r>
            <w:r>
              <w:rPr>
                <w:sz w:val="16"/>
              </w:rPr>
              <w:tab/>
            </w:r>
            <w:r>
              <w:rPr>
                <w:spacing w:val="-2"/>
                <w:sz w:val="16"/>
              </w:rPr>
              <w:t>13,462</w:t>
            </w:r>
            <w:r>
              <w:rPr>
                <w:sz w:val="16"/>
              </w:rPr>
              <w:tab/>
            </w:r>
            <w:r>
              <w:rPr>
                <w:spacing w:val="-2"/>
                <w:sz w:val="16"/>
              </w:rPr>
              <w:t>11,712</w:t>
            </w:r>
            <w:r>
              <w:rPr>
                <w:sz w:val="16"/>
              </w:rPr>
              <w:tab/>
            </w:r>
            <w:r>
              <w:rPr>
                <w:spacing w:val="-2"/>
                <w:sz w:val="16"/>
              </w:rPr>
              <w:t>11,496</w:t>
            </w:r>
          </w:p>
        </w:tc>
        <w:tc>
          <w:tcPr>
            <w:tcW w:w="772" w:type="dxa"/>
          </w:tcPr>
          <w:p>
            <w:pPr>
              <w:pStyle w:val="TableParagraph"/>
              <w:spacing w:line="173" w:lineRule="exact"/>
              <w:ind w:right="64"/>
              <w:jc w:val="right"/>
              <w:rPr>
                <w:sz w:val="16"/>
              </w:rPr>
            </w:pPr>
            <w:r>
              <w:rPr>
                <w:spacing w:val="-2"/>
                <w:sz w:val="16"/>
              </w:rPr>
              <w:t>160,674</w:t>
            </w:r>
          </w:p>
        </w:tc>
        <w:tc>
          <w:tcPr>
            <w:tcW w:w="922" w:type="dxa"/>
          </w:tcPr>
          <w:p>
            <w:pPr>
              <w:pStyle w:val="TableParagraph"/>
              <w:spacing w:line="173" w:lineRule="exact"/>
              <w:ind w:right="87"/>
              <w:jc w:val="right"/>
              <w:rPr>
                <w:sz w:val="16"/>
              </w:rPr>
            </w:pPr>
            <w:r>
              <w:rPr>
                <w:spacing w:val="-5"/>
                <w:sz w:val="16"/>
              </w:rPr>
              <w:t>665</w:t>
            </w:r>
          </w:p>
        </w:tc>
        <w:tc>
          <w:tcPr>
            <w:tcW w:w="945" w:type="dxa"/>
          </w:tcPr>
          <w:p>
            <w:pPr>
              <w:pStyle w:val="TableParagraph"/>
              <w:spacing w:line="173" w:lineRule="exact"/>
              <w:ind w:right="87"/>
              <w:jc w:val="right"/>
              <w:rPr>
                <w:sz w:val="16"/>
              </w:rPr>
            </w:pPr>
            <w:r>
              <w:rPr>
                <w:spacing w:val="-2"/>
                <w:sz w:val="16"/>
              </w:rPr>
              <w:t>2,370</w:t>
            </w:r>
          </w:p>
        </w:tc>
        <w:tc>
          <w:tcPr>
            <w:tcW w:w="983" w:type="dxa"/>
          </w:tcPr>
          <w:p>
            <w:pPr>
              <w:pStyle w:val="TableParagraph"/>
              <w:spacing w:line="173" w:lineRule="exact"/>
              <w:ind w:right="65"/>
              <w:jc w:val="right"/>
              <w:rPr>
                <w:sz w:val="16"/>
              </w:rPr>
            </w:pPr>
            <w:r>
              <w:rPr>
                <w:spacing w:val="-2"/>
                <w:sz w:val="16"/>
              </w:rPr>
              <w:t>228,916</w:t>
            </w:r>
          </w:p>
        </w:tc>
      </w:tr>
      <w:tr>
        <w:trPr>
          <w:trHeight w:val="311" w:hRule="atLeast"/>
        </w:trPr>
        <w:tc>
          <w:tcPr>
            <w:tcW w:w="5737" w:type="dxa"/>
            <w:gridSpan w:val="2"/>
          </w:tcPr>
          <w:p>
            <w:pPr>
              <w:pStyle w:val="TableParagraph"/>
              <w:spacing w:line="93" w:lineRule="exact"/>
              <w:ind w:left="52"/>
              <w:rPr>
                <w:sz w:val="16"/>
              </w:rPr>
            </w:pPr>
            <w:r>
              <w:rPr>
                <w:sz w:val="16"/>
              </w:rPr>
              <w:t>Loans</w:t>
            </w:r>
            <w:r>
              <w:rPr>
                <w:spacing w:val="-3"/>
                <w:sz w:val="16"/>
              </w:rPr>
              <w:t> </w:t>
            </w:r>
            <w:r>
              <w:rPr>
                <w:sz w:val="16"/>
              </w:rPr>
              <w:t>in</w:t>
            </w:r>
            <w:r>
              <w:rPr>
                <w:spacing w:val="-3"/>
                <w:sz w:val="16"/>
              </w:rPr>
              <w:t> </w:t>
            </w:r>
            <w:r>
              <w:rPr>
                <w:spacing w:val="-2"/>
                <w:sz w:val="16"/>
              </w:rPr>
              <w:t>nonaccrual</w:t>
            </w:r>
          </w:p>
          <w:p>
            <w:pPr>
              <w:pStyle w:val="TableParagraph"/>
              <w:tabs>
                <w:tab w:pos="2306" w:val="left" w:leader="none"/>
                <w:tab w:pos="3101" w:val="left" w:leader="none"/>
                <w:tab w:pos="3896" w:val="left" w:leader="none"/>
                <w:tab w:pos="4691" w:val="left" w:leader="none"/>
                <w:tab w:pos="5486" w:val="left" w:leader="none"/>
              </w:tabs>
              <w:spacing w:line="172" w:lineRule="exact"/>
              <w:ind w:left="232"/>
              <w:rPr>
                <w:sz w:val="16"/>
              </w:rPr>
            </w:pPr>
            <w:r>
              <w:rPr>
                <w:spacing w:val="-2"/>
                <w:sz w:val="16"/>
              </w:rPr>
              <w:t>status</w:t>
            </w:r>
            <w:r>
              <w:rPr>
                <w:sz w:val="16"/>
              </w:rPr>
              <w:tab/>
              <w:t>—</w:t>
              <w:tab/>
              <w:t>—</w:t>
              <w:tab/>
              <w:t>—</w:t>
              <w:tab/>
              <w:t>—</w:t>
              <w:tab/>
              <w:t>—</w:t>
            </w:r>
          </w:p>
        </w:tc>
        <w:tc>
          <w:tcPr>
            <w:tcW w:w="772" w:type="dxa"/>
            <w:tcBorders>
              <w:bottom w:val="single" w:sz="8" w:space="0" w:color="000000"/>
            </w:tcBorders>
          </w:tcPr>
          <w:p>
            <w:pPr>
              <w:pStyle w:val="TableParagraph"/>
              <w:spacing w:before="81"/>
              <w:ind w:right="65"/>
              <w:jc w:val="right"/>
              <w:rPr>
                <w:sz w:val="16"/>
              </w:rPr>
            </w:pPr>
            <w:r>
              <w:rPr>
                <w:spacing w:val="-5"/>
                <w:sz w:val="16"/>
              </w:rPr>
              <w:t>428</w:t>
            </w:r>
          </w:p>
        </w:tc>
        <w:tc>
          <w:tcPr>
            <w:tcW w:w="922" w:type="dxa"/>
            <w:tcBorders>
              <w:bottom w:val="single" w:sz="8" w:space="0" w:color="000000"/>
            </w:tcBorders>
          </w:tcPr>
          <w:p>
            <w:pPr>
              <w:pStyle w:val="TableParagraph"/>
              <w:spacing w:before="81"/>
              <w:ind w:right="87"/>
              <w:jc w:val="right"/>
              <w:rPr>
                <w:sz w:val="16"/>
              </w:rPr>
            </w:pPr>
            <w:r>
              <w:rPr>
                <w:sz w:val="16"/>
              </w:rPr>
              <w:t>—</w:t>
            </w:r>
          </w:p>
        </w:tc>
        <w:tc>
          <w:tcPr>
            <w:tcW w:w="945" w:type="dxa"/>
            <w:tcBorders>
              <w:bottom w:val="single" w:sz="8" w:space="0" w:color="000000"/>
            </w:tcBorders>
          </w:tcPr>
          <w:p>
            <w:pPr>
              <w:pStyle w:val="TableParagraph"/>
              <w:spacing w:before="81"/>
              <w:ind w:right="87"/>
              <w:jc w:val="right"/>
              <w:rPr>
                <w:sz w:val="16"/>
              </w:rPr>
            </w:pPr>
            <w:r>
              <w:rPr>
                <w:sz w:val="16"/>
              </w:rPr>
              <w:t>—</w:t>
            </w:r>
          </w:p>
        </w:tc>
        <w:tc>
          <w:tcPr>
            <w:tcW w:w="983" w:type="dxa"/>
            <w:tcBorders>
              <w:bottom w:val="single" w:sz="8" w:space="0" w:color="000000"/>
            </w:tcBorders>
          </w:tcPr>
          <w:p>
            <w:pPr>
              <w:pStyle w:val="TableParagraph"/>
              <w:spacing w:before="81"/>
              <w:ind w:right="65"/>
              <w:jc w:val="right"/>
              <w:rPr>
                <w:sz w:val="16"/>
              </w:rPr>
            </w:pPr>
            <w:r>
              <w:rPr>
                <w:spacing w:val="-5"/>
                <w:sz w:val="16"/>
              </w:rPr>
              <w:t>428</w:t>
            </w:r>
          </w:p>
        </w:tc>
      </w:tr>
      <w:tr>
        <w:trPr>
          <w:trHeight w:val="200" w:hRule="atLeast"/>
        </w:trPr>
        <w:tc>
          <w:tcPr>
            <w:tcW w:w="5737" w:type="dxa"/>
            <w:gridSpan w:val="2"/>
          </w:tcPr>
          <w:p>
            <w:pPr>
              <w:pStyle w:val="TableParagraph"/>
              <w:tabs>
                <w:tab w:pos="1852" w:val="left" w:leader="none"/>
              </w:tabs>
              <w:spacing w:line="173" w:lineRule="exact"/>
              <w:ind w:left="52"/>
              <w:rPr>
                <w:sz w:val="16"/>
              </w:rPr>
            </w:pPr>
            <w:r>
              <w:rPr>
                <w:spacing w:val="-2"/>
                <w:sz w:val="16"/>
              </w:rPr>
              <w:t>Total</w:t>
            </w:r>
            <w:r>
              <w:rPr>
                <w:sz w:val="16"/>
              </w:rPr>
              <w:tab/>
              <w:t>$</w:t>
            </w:r>
            <w:r>
              <w:rPr>
                <w:spacing w:val="-9"/>
                <w:sz w:val="16"/>
              </w:rPr>
              <w:t> </w:t>
            </w:r>
            <w:r>
              <w:rPr>
                <w:sz w:val="16"/>
              </w:rPr>
              <w:t>12,261</w:t>
            </w:r>
            <w:r>
              <w:rPr>
                <w:spacing w:val="43"/>
                <w:sz w:val="16"/>
              </w:rPr>
              <w:t>  </w:t>
            </w:r>
            <w:r>
              <w:rPr>
                <w:sz w:val="16"/>
              </w:rPr>
              <w:t>$</w:t>
            </w:r>
            <w:r>
              <w:rPr>
                <w:spacing w:val="-7"/>
                <w:sz w:val="16"/>
              </w:rPr>
              <w:t> </w:t>
            </w:r>
            <w:r>
              <w:rPr>
                <w:sz w:val="16"/>
              </w:rPr>
              <w:t>16,276</w:t>
            </w:r>
            <w:r>
              <w:rPr>
                <w:spacing w:val="43"/>
                <w:sz w:val="16"/>
              </w:rPr>
              <w:t>  </w:t>
            </w:r>
            <w:r>
              <w:rPr>
                <w:sz w:val="16"/>
              </w:rPr>
              <w:t>$</w:t>
            </w:r>
            <w:r>
              <w:rPr>
                <w:spacing w:val="-8"/>
                <w:sz w:val="16"/>
              </w:rPr>
              <w:t> </w:t>
            </w:r>
            <w:r>
              <w:rPr>
                <w:sz w:val="16"/>
              </w:rPr>
              <w:t>13,462</w:t>
            </w:r>
            <w:r>
              <w:rPr>
                <w:spacing w:val="44"/>
                <w:sz w:val="16"/>
              </w:rPr>
              <w:t>  </w:t>
            </w:r>
            <w:r>
              <w:rPr>
                <w:sz w:val="16"/>
              </w:rPr>
              <w:t>$</w:t>
            </w:r>
            <w:r>
              <w:rPr>
                <w:spacing w:val="-9"/>
                <w:sz w:val="16"/>
              </w:rPr>
              <w:t> </w:t>
            </w:r>
            <w:r>
              <w:rPr>
                <w:sz w:val="16"/>
              </w:rPr>
              <w:t>11,712</w:t>
            </w:r>
            <w:r>
              <w:rPr>
                <w:spacing w:val="43"/>
                <w:sz w:val="16"/>
              </w:rPr>
              <w:t>  </w:t>
            </w:r>
            <w:r>
              <w:rPr>
                <w:sz w:val="16"/>
              </w:rPr>
              <w:t>$</w:t>
            </w:r>
            <w:r>
              <w:rPr>
                <w:spacing w:val="-7"/>
                <w:sz w:val="16"/>
              </w:rPr>
              <w:t> </w:t>
            </w:r>
            <w:r>
              <w:rPr>
                <w:spacing w:val="-2"/>
                <w:sz w:val="16"/>
              </w:rPr>
              <w:t>11,496</w:t>
            </w:r>
          </w:p>
        </w:tc>
        <w:tc>
          <w:tcPr>
            <w:tcW w:w="772" w:type="dxa"/>
            <w:tcBorders>
              <w:top w:val="single" w:sz="8" w:space="0" w:color="000000"/>
              <w:bottom w:val="double" w:sz="8" w:space="0" w:color="000000"/>
            </w:tcBorders>
          </w:tcPr>
          <w:p>
            <w:pPr>
              <w:pStyle w:val="TableParagraph"/>
              <w:spacing w:line="173" w:lineRule="exact"/>
              <w:ind w:right="13"/>
              <w:jc w:val="right"/>
              <w:rPr>
                <w:sz w:val="16"/>
              </w:rPr>
            </w:pPr>
            <w:r>
              <w:rPr>
                <w:spacing w:val="-2"/>
                <w:sz w:val="16"/>
              </w:rPr>
              <w:t>$161,102</w:t>
            </w:r>
          </w:p>
        </w:tc>
        <w:tc>
          <w:tcPr>
            <w:tcW w:w="922" w:type="dxa"/>
            <w:tcBorders>
              <w:top w:val="single" w:sz="8" w:space="0" w:color="000000"/>
              <w:bottom w:val="double" w:sz="8" w:space="0" w:color="000000"/>
            </w:tcBorders>
          </w:tcPr>
          <w:p>
            <w:pPr>
              <w:pStyle w:val="TableParagraph"/>
              <w:tabs>
                <w:tab w:pos="452" w:val="left" w:leader="none"/>
              </w:tabs>
              <w:spacing w:line="173" w:lineRule="exact"/>
              <w:ind w:right="87"/>
              <w:jc w:val="right"/>
              <w:rPr>
                <w:sz w:val="16"/>
              </w:rPr>
            </w:pPr>
            <w:r>
              <w:rPr>
                <w:spacing w:val="-10"/>
                <w:sz w:val="16"/>
              </w:rPr>
              <w:t>$</w:t>
            </w:r>
            <w:r>
              <w:rPr>
                <w:sz w:val="16"/>
              </w:rPr>
              <w:tab/>
            </w:r>
            <w:r>
              <w:rPr>
                <w:spacing w:val="-5"/>
                <w:sz w:val="16"/>
              </w:rPr>
              <w:t>665</w:t>
            </w:r>
          </w:p>
        </w:tc>
        <w:tc>
          <w:tcPr>
            <w:tcW w:w="945" w:type="dxa"/>
            <w:tcBorders>
              <w:top w:val="single" w:sz="8" w:space="0" w:color="000000"/>
              <w:bottom w:val="double" w:sz="8" w:space="0" w:color="000000"/>
            </w:tcBorders>
          </w:tcPr>
          <w:p>
            <w:pPr>
              <w:pStyle w:val="TableParagraph"/>
              <w:tabs>
                <w:tab w:pos="364" w:val="left" w:leader="none"/>
              </w:tabs>
              <w:spacing w:line="173" w:lineRule="exact"/>
              <w:ind w:right="87"/>
              <w:jc w:val="right"/>
              <w:rPr>
                <w:sz w:val="16"/>
              </w:rPr>
            </w:pPr>
            <w:r>
              <w:rPr>
                <w:spacing w:val="-10"/>
                <w:sz w:val="16"/>
              </w:rPr>
              <w:t>$</w:t>
            </w:r>
            <w:r>
              <w:rPr>
                <w:sz w:val="16"/>
              </w:rPr>
              <w:tab/>
            </w:r>
            <w:r>
              <w:rPr>
                <w:spacing w:val="-2"/>
                <w:sz w:val="16"/>
              </w:rPr>
              <w:t>2,370</w:t>
            </w:r>
          </w:p>
        </w:tc>
        <w:tc>
          <w:tcPr>
            <w:tcW w:w="983" w:type="dxa"/>
            <w:tcBorders>
              <w:top w:val="single" w:sz="8" w:space="0" w:color="000000"/>
              <w:bottom w:val="double" w:sz="8" w:space="0" w:color="000000"/>
            </w:tcBorders>
          </w:tcPr>
          <w:p>
            <w:pPr>
              <w:pStyle w:val="TableParagraph"/>
              <w:spacing w:line="173" w:lineRule="exact"/>
              <w:ind w:right="65"/>
              <w:jc w:val="right"/>
              <w:rPr>
                <w:sz w:val="16"/>
              </w:rPr>
            </w:pPr>
            <w:r>
              <w:rPr>
                <w:sz w:val="16"/>
              </w:rPr>
              <w:t>$</w:t>
            </w:r>
            <w:r>
              <w:rPr>
                <w:spacing w:val="34"/>
                <w:sz w:val="16"/>
              </w:rPr>
              <w:t>  </w:t>
            </w:r>
            <w:r>
              <w:rPr>
                <w:spacing w:val="-2"/>
                <w:sz w:val="16"/>
              </w:rPr>
              <w:t>229,344</w:t>
            </w:r>
          </w:p>
        </w:tc>
      </w:tr>
    </w:tbl>
    <w:p>
      <w:pPr>
        <w:pStyle w:val="BodyText"/>
        <w:spacing w:before="2"/>
        <w:rPr>
          <w:rFonts w:ascii="Arial"/>
          <w:i/>
          <w:sz w:val="13"/>
        </w:rPr>
      </w:pPr>
      <w:r>
        <w:rPr>
          <w:rFonts w:ascii="Arial"/>
          <w:i/>
          <w:sz w:val="13"/>
        </w:rPr>
        <mc:AlternateContent>
          <mc:Choice Requires="wps">
            <w:drawing>
              <wp:anchor distT="0" distB="0" distL="0" distR="0" allowOverlap="1" layoutInCell="1" locked="0" behindDoc="1" simplePos="0" relativeHeight="487702528">
                <wp:simplePos x="0" y="0"/>
                <wp:positionH relativeFrom="page">
                  <wp:posOffset>914400</wp:posOffset>
                </wp:positionH>
                <wp:positionV relativeFrom="paragraph">
                  <wp:posOffset>111783</wp:posOffset>
                </wp:positionV>
                <wp:extent cx="5943600" cy="1270"/>
                <wp:effectExtent l="0" t="0" r="0" b="0"/>
                <wp:wrapTopAndBottom/>
                <wp:docPr id="795" name="Graphic 795"/>
                <wp:cNvGraphicFramePr>
                  <a:graphicFrameLocks/>
                </wp:cNvGraphicFramePr>
                <a:graphic>
                  <a:graphicData uri="http://schemas.microsoft.com/office/word/2010/wordprocessingShape">
                    <wps:wsp>
                      <wps:cNvPr id="795" name="Graphic 79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801855pt;width:468pt;height:.1pt;mso-position-horizontal-relative:page;mso-position-vertical-relative:paragraph;z-index:-15613952;mso-wrap-distance-left:0;mso-wrap-distance-right:0" id="docshape670" coordorigin="1440,176" coordsize="9360,0" path="m1440,176l10800,176e" filled="false" stroked="true" strokeweight="1pt" strokecolor="#000000">
                <v:path arrowok="t"/>
                <v:stroke dashstyle="solid"/>
                <w10:wrap type="topAndBottom"/>
              </v:shape>
            </w:pict>
          </mc:Fallback>
        </mc:AlternateContent>
      </w:r>
    </w:p>
    <w:p>
      <w:pPr>
        <w:pStyle w:val="BodyText"/>
        <w:spacing w:line="249" w:lineRule="auto" w:before="162"/>
        <w:ind w:left="720" w:right="719"/>
      </w:pPr>
      <w:r>
        <w:rPr/>
        <w:t>The amount of Catastrophe Deferred Drawdown Option (CAT DDOs) converted to term loans during the fiscal year ended June 30, 2023, is $473 million ($671 million—June 30, 2022).</w:t>
      </w:r>
    </w:p>
    <w:p>
      <w:pPr>
        <w:pStyle w:val="BodyText"/>
        <w:spacing w:after="0" w:line="249" w:lineRule="auto"/>
        <w:sectPr>
          <w:type w:val="continuous"/>
          <w:pgSz w:w="12240" w:h="15840"/>
          <w:pgMar w:header="0" w:footer="0" w:top="1820" w:bottom="280" w:left="720" w:right="720"/>
        </w:sectPr>
      </w:pPr>
    </w:p>
    <w:p>
      <w:pPr>
        <w:pStyle w:val="BodyText"/>
        <w:spacing w:line="249" w:lineRule="auto" w:before="139"/>
        <w:ind w:left="720" w:right="719"/>
      </w:pPr>
      <w:r>
        <w:rPr/>
        <w:t>Management</w:t>
      </w:r>
      <w:r>
        <w:rPr>
          <w:spacing w:val="36"/>
        </w:rPr>
        <w:t> </w:t>
      </w:r>
      <w:r>
        <w:rPr/>
        <w:t>determines</w:t>
      </w:r>
      <w:r>
        <w:rPr>
          <w:spacing w:val="36"/>
        </w:rPr>
        <w:t> </w:t>
      </w:r>
      <w:r>
        <w:rPr/>
        <w:t>the</w:t>
      </w:r>
      <w:r>
        <w:rPr>
          <w:spacing w:val="36"/>
        </w:rPr>
        <w:t> </w:t>
      </w:r>
      <w:r>
        <w:rPr/>
        <w:t>appropriate</w:t>
      </w:r>
      <w:r>
        <w:rPr>
          <w:spacing w:val="36"/>
        </w:rPr>
        <w:t> </w:t>
      </w:r>
      <w:r>
        <w:rPr/>
        <w:t>level</w:t>
      </w:r>
      <w:r>
        <w:rPr>
          <w:spacing w:val="36"/>
        </w:rPr>
        <w:t> </w:t>
      </w:r>
      <w:r>
        <w:rPr/>
        <w:t>of</w:t>
      </w:r>
      <w:r>
        <w:rPr>
          <w:spacing w:val="36"/>
        </w:rPr>
        <w:t> </w:t>
      </w:r>
      <w:r>
        <w:rPr/>
        <w:t>accumulated</w:t>
      </w:r>
      <w:r>
        <w:rPr>
          <w:spacing w:val="36"/>
        </w:rPr>
        <w:t> </w:t>
      </w:r>
      <w:r>
        <w:rPr/>
        <w:t>provision</w:t>
      </w:r>
      <w:r>
        <w:rPr>
          <w:spacing w:val="36"/>
        </w:rPr>
        <w:t> </w:t>
      </w:r>
      <w:r>
        <w:rPr/>
        <w:t>for</w:t>
      </w:r>
      <w:r>
        <w:rPr>
          <w:spacing w:val="36"/>
        </w:rPr>
        <w:t> </w:t>
      </w:r>
      <w:r>
        <w:rPr/>
        <w:t>losses,</w:t>
      </w:r>
      <w:r>
        <w:rPr>
          <w:spacing w:val="36"/>
        </w:rPr>
        <w:t> </w:t>
      </w:r>
      <w:r>
        <w:rPr/>
        <w:t>which</w:t>
      </w:r>
      <w:r>
        <w:rPr>
          <w:spacing w:val="36"/>
        </w:rPr>
        <w:t> </w:t>
      </w:r>
      <w:r>
        <w:rPr/>
        <w:t>reflects</w:t>
      </w:r>
      <w:r>
        <w:rPr>
          <w:spacing w:val="36"/>
        </w:rPr>
        <w:t> </w:t>
      </w:r>
      <w:r>
        <w:rPr/>
        <w:t>the</w:t>
      </w:r>
      <w:r>
        <w:rPr>
          <w:spacing w:val="36"/>
        </w:rPr>
        <w:t> </w:t>
      </w:r>
      <w:r>
        <w:rPr/>
        <w:t>expected losses inherent in IBRD’s exposures.</w:t>
      </w:r>
    </w:p>
    <w:p>
      <w:pPr>
        <w:pStyle w:val="BodyText"/>
        <w:spacing w:before="122"/>
        <w:ind w:left="720"/>
      </w:pPr>
      <w:r>
        <w:rPr/>
        <w:t>Changes</w:t>
      </w:r>
      <w:r>
        <w:rPr>
          <w:spacing w:val="-6"/>
        </w:rPr>
        <w:t> </w:t>
      </w:r>
      <w:r>
        <w:rPr/>
        <w:t>to</w:t>
      </w:r>
      <w:r>
        <w:rPr>
          <w:spacing w:val="-3"/>
        </w:rPr>
        <w:t> </w:t>
      </w:r>
      <w:r>
        <w:rPr/>
        <w:t>the</w:t>
      </w:r>
      <w:r>
        <w:rPr>
          <w:spacing w:val="-3"/>
        </w:rPr>
        <w:t> </w:t>
      </w:r>
      <w:r>
        <w:rPr/>
        <w:t>accumulated</w:t>
      </w:r>
      <w:r>
        <w:rPr>
          <w:spacing w:val="-3"/>
        </w:rPr>
        <w:t> </w:t>
      </w:r>
      <w:r>
        <w:rPr/>
        <w:t>provision</w:t>
      </w:r>
      <w:r>
        <w:rPr>
          <w:spacing w:val="-2"/>
        </w:rPr>
        <w:t> </w:t>
      </w:r>
      <w:r>
        <w:rPr/>
        <w:t>for</w:t>
      </w:r>
      <w:r>
        <w:rPr>
          <w:spacing w:val="-3"/>
        </w:rPr>
        <w:t> </w:t>
      </w:r>
      <w:r>
        <w:rPr/>
        <w:t>losses</w:t>
      </w:r>
      <w:r>
        <w:rPr>
          <w:spacing w:val="-3"/>
        </w:rPr>
        <w:t> </w:t>
      </w:r>
      <w:r>
        <w:rPr/>
        <w:t>on</w:t>
      </w:r>
      <w:r>
        <w:rPr>
          <w:spacing w:val="-3"/>
        </w:rPr>
        <w:t> </w:t>
      </w:r>
      <w:r>
        <w:rPr/>
        <w:t>loans</w:t>
      </w:r>
      <w:r>
        <w:rPr>
          <w:spacing w:val="-4"/>
        </w:rPr>
        <w:t> </w:t>
      </w:r>
      <w:r>
        <w:rPr/>
        <w:t>and</w:t>
      </w:r>
      <w:r>
        <w:rPr>
          <w:spacing w:val="-2"/>
        </w:rPr>
        <w:t> </w:t>
      </w:r>
      <w:r>
        <w:rPr/>
        <w:t>other</w:t>
      </w:r>
      <w:r>
        <w:rPr>
          <w:spacing w:val="-3"/>
        </w:rPr>
        <w:t> </w:t>
      </w:r>
      <w:r>
        <w:rPr/>
        <w:t>exposures</w:t>
      </w:r>
      <w:r>
        <w:rPr>
          <w:spacing w:val="-3"/>
        </w:rPr>
        <w:t> </w:t>
      </w:r>
      <w:r>
        <w:rPr/>
        <w:t>are</w:t>
      </w:r>
      <w:r>
        <w:rPr>
          <w:spacing w:val="-4"/>
        </w:rPr>
        <w:t> </w:t>
      </w:r>
      <w:r>
        <w:rPr/>
        <w:t>summarized</w:t>
      </w:r>
      <w:r>
        <w:rPr>
          <w:spacing w:val="-2"/>
        </w:rPr>
        <w:t> below:</w:t>
      </w:r>
    </w:p>
    <w:p>
      <w:pPr>
        <w:pStyle w:val="Heading8"/>
        <w:spacing w:before="127"/>
      </w:pPr>
      <w:r>
        <w:rPr/>
        <w:t>Table</w:t>
      </w:r>
      <w:r>
        <w:rPr>
          <w:spacing w:val="-5"/>
        </w:rPr>
        <w:t> </w:t>
      </w:r>
      <w:r>
        <w:rPr/>
        <w:t>D5:</w:t>
      </w:r>
      <w:r>
        <w:rPr>
          <w:spacing w:val="-4"/>
        </w:rPr>
        <w:t> </w:t>
      </w:r>
      <w:r>
        <w:rPr/>
        <w:t>Accumulated</w:t>
      </w:r>
      <w:r>
        <w:rPr>
          <w:spacing w:val="-4"/>
        </w:rPr>
        <w:t> </w:t>
      </w:r>
      <w:r>
        <w:rPr>
          <w:spacing w:val="-2"/>
        </w:rPr>
        <w:t>provision</w:t>
      </w:r>
    </w:p>
    <w:p>
      <w:pPr>
        <w:spacing w:before="73"/>
        <w:ind w:left="720"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05600">
                <wp:simplePos x="0" y="0"/>
                <wp:positionH relativeFrom="page">
                  <wp:posOffset>914400</wp:posOffset>
                </wp:positionH>
                <wp:positionV relativeFrom="paragraph">
                  <wp:posOffset>181795</wp:posOffset>
                </wp:positionV>
                <wp:extent cx="5934075" cy="1270"/>
                <wp:effectExtent l="0" t="0" r="0" b="0"/>
                <wp:wrapTopAndBottom/>
                <wp:docPr id="801" name="Graphic 801"/>
                <wp:cNvGraphicFramePr>
                  <a:graphicFrameLocks/>
                </wp:cNvGraphicFramePr>
                <a:graphic>
                  <a:graphicData uri="http://schemas.microsoft.com/office/word/2010/wordprocessingShape">
                    <wps:wsp>
                      <wps:cNvPr id="801" name="Graphic 801"/>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3146pt;width:467.25pt;height:.1pt;mso-position-horizontal-relative:page;mso-position-vertical-relative:paragraph;z-index:-15610880;mso-wrap-distance-left:0;mso-wrap-distance-right:0" id="docshape676" coordorigin="1440,286" coordsize="9345,0" path="m1440,286l10785,286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1" w:after="30"/>
        <w:ind w:left="6498"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p>
      <w:pPr>
        <w:spacing w:line="20" w:lineRule="exact"/>
        <w:ind w:left="3945" w:right="0" w:firstLine="0"/>
        <w:rPr>
          <w:rFonts w:ascii="Arial"/>
          <w:sz w:val="2"/>
        </w:rPr>
      </w:pPr>
      <w:r>
        <w:rPr>
          <w:rFonts w:ascii="Arial"/>
          <w:sz w:val="2"/>
        </w:rPr>
        <mc:AlternateContent>
          <mc:Choice Requires="wps">
            <w:drawing>
              <wp:inline distT="0" distB="0" distL="0" distR="0">
                <wp:extent cx="3886200" cy="12700"/>
                <wp:effectExtent l="9525" t="0" r="0" b="6350"/>
                <wp:docPr id="802" name="Group 802"/>
                <wp:cNvGraphicFramePr>
                  <a:graphicFrameLocks/>
                </wp:cNvGraphicFramePr>
                <a:graphic>
                  <a:graphicData uri="http://schemas.microsoft.com/office/word/2010/wordprocessingGroup">
                    <wpg:wgp>
                      <wpg:cNvPr id="802" name="Group 802"/>
                      <wpg:cNvGrpSpPr/>
                      <wpg:grpSpPr>
                        <a:xfrm>
                          <a:off x="0" y="0"/>
                          <a:ext cx="3886200" cy="12700"/>
                          <a:chExt cx="3886200" cy="12700"/>
                        </a:xfrm>
                      </wpg:grpSpPr>
                      <wps:wsp>
                        <wps:cNvPr id="803" name="Graphic 803"/>
                        <wps:cNvSpPr/>
                        <wps:spPr>
                          <a:xfrm>
                            <a:off x="0" y="6350"/>
                            <a:ext cx="3886200" cy="1270"/>
                          </a:xfrm>
                          <a:custGeom>
                            <a:avLst/>
                            <a:gdLst/>
                            <a:ahLst/>
                            <a:cxnLst/>
                            <a:rect l="l" t="t" r="r" b="b"/>
                            <a:pathLst>
                              <a:path w="3886200" h="0">
                                <a:moveTo>
                                  <a:pt x="0" y="0"/>
                                </a:moveTo>
                                <a:lnTo>
                                  <a:pt x="3886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6pt;height:1pt;mso-position-horizontal-relative:char;mso-position-vertical-relative:line" id="docshapegroup677" coordorigin="0,0" coordsize="6120,20">
                <v:line style="position:absolute" from="0,10" to="6120,10" stroked="true" strokeweight="1pt" strokecolor="#000000">
                  <v:stroke dashstyle="solid"/>
                </v:line>
              </v:group>
            </w:pict>
          </mc:Fallback>
        </mc:AlternateContent>
      </w:r>
      <w:r>
        <w:rPr>
          <w:rFonts w:ascii="Arial"/>
          <w:sz w:val="2"/>
        </w:rPr>
      </w:r>
    </w:p>
    <w:p>
      <w:pPr>
        <w:tabs>
          <w:tab w:pos="5564" w:val="left" w:leader="none"/>
          <w:tab w:pos="7518" w:val="left" w:leader="none"/>
          <w:tab w:pos="9122" w:val="left" w:leader="none"/>
        </w:tabs>
        <w:spacing w:before="141" w:after="30"/>
        <w:ind w:left="4057" w:right="0" w:firstLine="0"/>
        <w:jc w:val="left"/>
        <w:rPr>
          <w:rFonts w:ascii="Arial"/>
          <w:i/>
          <w:sz w:val="16"/>
        </w:rPr>
      </w:pPr>
      <w:r>
        <w:rPr>
          <w:rFonts w:ascii="Arial"/>
          <w:i/>
          <w:sz w:val="16"/>
        </w:rPr>
        <w:t>Loans</w:t>
      </w:r>
      <w:r>
        <w:rPr>
          <w:rFonts w:ascii="Arial"/>
          <w:i/>
          <w:spacing w:val="-4"/>
          <w:sz w:val="16"/>
        </w:rPr>
        <w:t> </w:t>
      </w:r>
      <w:r>
        <w:rPr>
          <w:rFonts w:ascii="Arial"/>
          <w:i/>
          <w:spacing w:val="-2"/>
          <w:sz w:val="16"/>
        </w:rPr>
        <w:t>outstanding</w:t>
      </w:r>
      <w:r>
        <w:rPr>
          <w:rFonts w:ascii="Arial"/>
          <w:i/>
          <w:sz w:val="16"/>
        </w:rPr>
        <w:tab/>
        <w:t>Loan</w:t>
      </w:r>
      <w:r>
        <w:rPr>
          <w:rFonts w:ascii="Arial"/>
          <w:i/>
          <w:spacing w:val="-4"/>
          <w:sz w:val="16"/>
        </w:rPr>
        <w:t> </w:t>
      </w:r>
      <w:r>
        <w:rPr>
          <w:rFonts w:ascii="Arial"/>
          <w:i/>
          <w:spacing w:val="-2"/>
          <w:sz w:val="16"/>
        </w:rPr>
        <w:t>commitments</w:t>
      </w:r>
      <w:r>
        <w:rPr>
          <w:rFonts w:ascii="Arial"/>
          <w:i/>
          <w:sz w:val="16"/>
        </w:rPr>
        <w:tab/>
        <w:t>Other</w:t>
      </w:r>
      <w:r>
        <w:rPr>
          <w:rFonts w:ascii="Arial"/>
          <w:i/>
          <w:spacing w:val="-5"/>
          <w:sz w:val="16"/>
        </w:rPr>
        <w:t> </w:t>
      </w:r>
      <w:r>
        <w:rPr>
          <w:rFonts w:ascii="Arial"/>
          <w:i/>
          <w:spacing w:val="-10"/>
          <w:sz w:val="16"/>
          <w:vertAlign w:val="superscript"/>
        </w:rPr>
        <w:t>a</w:t>
      </w:r>
      <w:r>
        <w:rPr>
          <w:rFonts w:ascii="Arial"/>
          <w:i/>
          <w:sz w:val="16"/>
          <w:vertAlign w:val="baseline"/>
        </w:rPr>
        <w:tab/>
      </w:r>
      <w:r>
        <w:rPr>
          <w:rFonts w:ascii="Arial"/>
          <w:i/>
          <w:spacing w:val="-2"/>
          <w:sz w:val="16"/>
          <w:vertAlign w:val="baseline"/>
        </w:rPr>
        <w:t>Total</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2"/>
        <w:gridCol w:w="601"/>
        <w:gridCol w:w="920"/>
        <w:gridCol w:w="676"/>
        <w:gridCol w:w="854"/>
        <w:gridCol w:w="721"/>
        <w:gridCol w:w="810"/>
        <w:gridCol w:w="610"/>
        <w:gridCol w:w="928"/>
      </w:tblGrid>
      <w:tr>
        <w:trPr>
          <w:trHeight w:val="358" w:hRule="atLeast"/>
        </w:trPr>
        <w:tc>
          <w:tcPr>
            <w:tcW w:w="3222" w:type="dxa"/>
          </w:tcPr>
          <w:p>
            <w:pPr>
              <w:pStyle w:val="TableParagraph"/>
              <w:spacing w:line="143" w:lineRule="exact"/>
              <w:ind w:left="50"/>
              <w:rPr>
                <w:rFonts w:ascii="Arial"/>
                <w:b/>
                <w:sz w:val="16"/>
              </w:rPr>
            </w:pPr>
            <w:r>
              <w:rPr>
                <w:rFonts w:ascii="Arial"/>
                <w:b/>
                <w:sz w:val="16"/>
              </w:rPr>
              <w:t>Accumulated</w:t>
            </w:r>
            <w:r>
              <w:rPr>
                <w:rFonts w:ascii="Arial"/>
                <w:b/>
                <w:spacing w:val="-7"/>
                <w:sz w:val="16"/>
              </w:rPr>
              <w:t> </w:t>
            </w:r>
            <w:r>
              <w:rPr>
                <w:rFonts w:ascii="Arial"/>
                <w:b/>
                <w:sz w:val="16"/>
              </w:rPr>
              <w:t>provision,</w:t>
            </w:r>
            <w:r>
              <w:rPr>
                <w:rFonts w:ascii="Arial"/>
                <w:b/>
                <w:spacing w:val="-5"/>
                <w:sz w:val="16"/>
              </w:rPr>
              <w:t> </w:t>
            </w:r>
            <w:r>
              <w:rPr>
                <w:rFonts w:ascii="Arial"/>
                <w:b/>
                <w:sz w:val="16"/>
              </w:rPr>
              <w:t>beginning</w:t>
            </w:r>
            <w:r>
              <w:rPr>
                <w:rFonts w:ascii="Arial"/>
                <w:b/>
                <w:spacing w:val="-7"/>
                <w:sz w:val="16"/>
              </w:rPr>
              <w:t> </w:t>
            </w:r>
            <w:r>
              <w:rPr>
                <w:rFonts w:ascii="Arial"/>
                <w:b/>
                <w:sz w:val="16"/>
              </w:rPr>
              <w:t>of</w:t>
            </w:r>
            <w:r>
              <w:rPr>
                <w:rFonts w:ascii="Arial"/>
                <w:b/>
                <w:spacing w:val="-5"/>
                <w:sz w:val="16"/>
              </w:rPr>
              <w:t> the</w:t>
            </w:r>
          </w:p>
          <w:p>
            <w:pPr>
              <w:pStyle w:val="TableParagraph"/>
              <w:spacing w:before="8"/>
              <w:ind w:left="230"/>
              <w:rPr>
                <w:rFonts w:ascii="Arial"/>
                <w:b/>
                <w:sz w:val="16"/>
              </w:rPr>
            </w:pPr>
            <w:r>
              <w:rPr>
                <w:rFonts w:ascii="Arial"/>
                <w:b/>
                <w:sz w:val="16"/>
              </w:rPr>
              <w:t>fiscal</w:t>
            </w:r>
            <w:r>
              <w:rPr>
                <w:rFonts w:ascii="Arial"/>
                <w:b/>
                <w:spacing w:val="-3"/>
                <w:sz w:val="16"/>
              </w:rPr>
              <w:t> </w:t>
            </w:r>
            <w:r>
              <w:rPr>
                <w:rFonts w:ascii="Arial"/>
                <w:b/>
                <w:spacing w:val="-4"/>
                <w:sz w:val="16"/>
              </w:rPr>
              <w:t>year</w:t>
            </w:r>
          </w:p>
        </w:tc>
        <w:tc>
          <w:tcPr>
            <w:tcW w:w="601" w:type="dxa"/>
            <w:tcBorders>
              <w:top w:val="single" w:sz="8" w:space="0" w:color="000000"/>
            </w:tcBorders>
          </w:tcPr>
          <w:p>
            <w:pPr>
              <w:pStyle w:val="TableParagraph"/>
              <w:spacing w:before="151"/>
              <w:ind w:left="53"/>
              <w:rPr>
                <w:sz w:val="16"/>
              </w:rPr>
            </w:pPr>
            <w:r>
              <w:rPr>
                <w:spacing w:val="-10"/>
                <w:sz w:val="16"/>
              </w:rPr>
              <w:t>$</w:t>
            </w:r>
          </w:p>
        </w:tc>
        <w:tc>
          <w:tcPr>
            <w:tcW w:w="920" w:type="dxa"/>
            <w:tcBorders>
              <w:top w:val="single" w:sz="8" w:space="0" w:color="000000"/>
            </w:tcBorders>
          </w:tcPr>
          <w:p>
            <w:pPr>
              <w:pStyle w:val="TableParagraph"/>
              <w:spacing w:before="151"/>
              <w:ind w:right="56"/>
              <w:jc w:val="right"/>
              <w:rPr>
                <w:sz w:val="16"/>
              </w:rPr>
            </w:pPr>
            <w:r>
              <w:rPr>
                <w:spacing w:val="-2"/>
                <w:sz w:val="16"/>
              </w:rPr>
              <w:t>1,742</w:t>
            </w:r>
          </w:p>
        </w:tc>
        <w:tc>
          <w:tcPr>
            <w:tcW w:w="676" w:type="dxa"/>
            <w:tcBorders>
              <w:top w:val="single" w:sz="8" w:space="0" w:color="000000"/>
            </w:tcBorders>
          </w:tcPr>
          <w:p>
            <w:pPr>
              <w:pStyle w:val="TableParagraph"/>
              <w:spacing w:before="151"/>
              <w:ind w:left="62"/>
              <w:rPr>
                <w:sz w:val="16"/>
              </w:rPr>
            </w:pPr>
            <w:r>
              <w:rPr>
                <w:spacing w:val="-10"/>
                <w:sz w:val="16"/>
              </w:rPr>
              <w:t>$</w:t>
            </w:r>
          </w:p>
        </w:tc>
        <w:tc>
          <w:tcPr>
            <w:tcW w:w="854" w:type="dxa"/>
            <w:tcBorders>
              <w:top w:val="single" w:sz="8" w:space="0" w:color="000000"/>
            </w:tcBorders>
          </w:tcPr>
          <w:p>
            <w:pPr>
              <w:pStyle w:val="TableParagraph"/>
              <w:spacing w:before="151"/>
              <w:ind w:right="56"/>
              <w:jc w:val="right"/>
              <w:rPr>
                <w:sz w:val="16"/>
              </w:rPr>
            </w:pPr>
            <w:r>
              <w:rPr>
                <w:spacing w:val="-5"/>
                <w:sz w:val="16"/>
              </w:rPr>
              <w:t>359</w:t>
            </w:r>
          </w:p>
        </w:tc>
        <w:tc>
          <w:tcPr>
            <w:tcW w:w="721" w:type="dxa"/>
            <w:tcBorders>
              <w:top w:val="single" w:sz="8" w:space="0" w:color="000000"/>
            </w:tcBorders>
          </w:tcPr>
          <w:p>
            <w:pPr>
              <w:pStyle w:val="TableParagraph"/>
              <w:spacing w:before="151"/>
              <w:ind w:left="62"/>
              <w:rPr>
                <w:sz w:val="16"/>
              </w:rPr>
            </w:pPr>
            <w:r>
              <w:rPr>
                <w:spacing w:val="-10"/>
                <w:sz w:val="16"/>
              </w:rPr>
              <w:t>$</w:t>
            </w:r>
          </w:p>
        </w:tc>
        <w:tc>
          <w:tcPr>
            <w:tcW w:w="810" w:type="dxa"/>
            <w:tcBorders>
              <w:top w:val="single" w:sz="8" w:space="0" w:color="000000"/>
            </w:tcBorders>
          </w:tcPr>
          <w:p>
            <w:pPr>
              <w:pStyle w:val="TableParagraph"/>
              <w:spacing w:before="151"/>
              <w:ind w:right="57"/>
              <w:jc w:val="right"/>
              <w:rPr>
                <w:sz w:val="16"/>
              </w:rPr>
            </w:pPr>
            <w:r>
              <w:rPr>
                <w:spacing w:val="-5"/>
                <w:sz w:val="16"/>
              </w:rPr>
              <w:t>64</w:t>
            </w:r>
          </w:p>
        </w:tc>
        <w:tc>
          <w:tcPr>
            <w:tcW w:w="610" w:type="dxa"/>
            <w:tcBorders>
              <w:top w:val="single" w:sz="8" w:space="0" w:color="000000"/>
            </w:tcBorders>
          </w:tcPr>
          <w:p>
            <w:pPr>
              <w:pStyle w:val="TableParagraph"/>
              <w:spacing w:before="151"/>
              <w:ind w:left="61"/>
              <w:rPr>
                <w:sz w:val="16"/>
              </w:rPr>
            </w:pPr>
            <w:r>
              <w:rPr>
                <w:spacing w:val="-10"/>
                <w:sz w:val="16"/>
              </w:rPr>
              <w:t>$</w:t>
            </w:r>
          </w:p>
        </w:tc>
        <w:tc>
          <w:tcPr>
            <w:tcW w:w="928" w:type="dxa"/>
            <w:tcBorders>
              <w:top w:val="single" w:sz="8" w:space="0" w:color="000000"/>
            </w:tcBorders>
          </w:tcPr>
          <w:p>
            <w:pPr>
              <w:pStyle w:val="TableParagraph"/>
              <w:spacing w:before="151"/>
              <w:ind w:right="65"/>
              <w:jc w:val="right"/>
              <w:rPr>
                <w:sz w:val="16"/>
              </w:rPr>
            </w:pPr>
            <w:r>
              <w:rPr>
                <w:spacing w:val="-2"/>
                <w:sz w:val="16"/>
              </w:rPr>
              <w:t>2,165</w:t>
            </w:r>
          </w:p>
        </w:tc>
      </w:tr>
      <w:tr>
        <w:trPr>
          <w:trHeight w:val="228" w:hRule="atLeast"/>
        </w:trPr>
        <w:tc>
          <w:tcPr>
            <w:tcW w:w="3222" w:type="dxa"/>
          </w:tcPr>
          <w:p>
            <w:pPr>
              <w:pStyle w:val="TableParagraph"/>
              <w:spacing w:before="18"/>
              <w:ind w:left="50"/>
              <w:rPr>
                <w:sz w:val="16"/>
              </w:rPr>
            </w:pPr>
            <w:r>
              <w:rPr>
                <w:sz w:val="16"/>
              </w:rPr>
              <w:t>Provision</w:t>
            </w:r>
            <w:r>
              <w:rPr>
                <w:spacing w:val="-4"/>
                <w:sz w:val="16"/>
              </w:rPr>
              <w:t> </w:t>
            </w:r>
            <w:r>
              <w:rPr>
                <w:sz w:val="16"/>
              </w:rPr>
              <w:t>-</w:t>
            </w:r>
            <w:r>
              <w:rPr>
                <w:spacing w:val="-2"/>
                <w:sz w:val="16"/>
              </w:rPr>
              <w:t> </w:t>
            </w:r>
            <w:r>
              <w:rPr>
                <w:sz w:val="16"/>
              </w:rPr>
              <w:t>charge</w:t>
            </w:r>
            <w:r>
              <w:rPr>
                <w:spacing w:val="-3"/>
                <w:sz w:val="16"/>
              </w:rPr>
              <w:t> </w:t>
            </w:r>
            <w:r>
              <w:rPr>
                <w:spacing w:val="-2"/>
                <w:sz w:val="16"/>
              </w:rPr>
              <w:t>(release)</w:t>
            </w:r>
          </w:p>
        </w:tc>
        <w:tc>
          <w:tcPr>
            <w:tcW w:w="601" w:type="dxa"/>
          </w:tcPr>
          <w:p>
            <w:pPr>
              <w:pStyle w:val="TableParagraph"/>
              <w:rPr>
                <w:rFonts w:ascii="Times New Roman"/>
                <w:sz w:val="16"/>
              </w:rPr>
            </w:pPr>
          </w:p>
        </w:tc>
        <w:tc>
          <w:tcPr>
            <w:tcW w:w="920" w:type="dxa"/>
          </w:tcPr>
          <w:p>
            <w:pPr>
              <w:pStyle w:val="TableParagraph"/>
              <w:spacing w:line="183" w:lineRule="exact" w:before="25"/>
              <w:ind w:right="56"/>
              <w:jc w:val="right"/>
              <w:rPr>
                <w:sz w:val="16"/>
              </w:rPr>
            </w:pPr>
            <w:r>
              <w:rPr>
                <w:spacing w:val="-5"/>
                <w:sz w:val="16"/>
              </w:rPr>
              <w:t>573</w:t>
            </w:r>
          </w:p>
        </w:tc>
        <w:tc>
          <w:tcPr>
            <w:tcW w:w="676" w:type="dxa"/>
          </w:tcPr>
          <w:p>
            <w:pPr>
              <w:pStyle w:val="TableParagraph"/>
              <w:rPr>
                <w:rFonts w:ascii="Times New Roman"/>
                <w:sz w:val="16"/>
              </w:rPr>
            </w:pPr>
          </w:p>
        </w:tc>
        <w:tc>
          <w:tcPr>
            <w:tcW w:w="854" w:type="dxa"/>
          </w:tcPr>
          <w:p>
            <w:pPr>
              <w:pStyle w:val="TableParagraph"/>
              <w:spacing w:line="183" w:lineRule="exact" w:before="25"/>
              <w:ind w:right="56"/>
              <w:jc w:val="right"/>
              <w:rPr>
                <w:sz w:val="16"/>
              </w:rPr>
            </w:pPr>
            <w:r>
              <w:rPr>
                <w:spacing w:val="-5"/>
                <w:sz w:val="16"/>
              </w:rPr>
              <w:t>88</w:t>
            </w:r>
          </w:p>
        </w:tc>
        <w:tc>
          <w:tcPr>
            <w:tcW w:w="721" w:type="dxa"/>
          </w:tcPr>
          <w:p>
            <w:pPr>
              <w:pStyle w:val="TableParagraph"/>
              <w:rPr>
                <w:rFonts w:ascii="Times New Roman"/>
                <w:sz w:val="16"/>
              </w:rPr>
            </w:pPr>
          </w:p>
        </w:tc>
        <w:tc>
          <w:tcPr>
            <w:tcW w:w="810" w:type="dxa"/>
          </w:tcPr>
          <w:p>
            <w:pPr>
              <w:pStyle w:val="TableParagraph"/>
              <w:spacing w:line="183" w:lineRule="exact" w:before="25"/>
              <w:ind w:right="57"/>
              <w:jc w:val="right"/>
              <w:rPr>
                <w:sz w:val="16"/>
              </w:rPr>
            </w:pPr>
            <w:r>
              <w:rPr>
                <w:spacing w:val="-5"/>
                <w:sz w:val="16"/>
              </w:rPr>
              <w:t>24</w:t>
            </w:r>
          </w:p>
        </w:tc>
        <w:tc>
          <w:tcPr>
            <w:tcW w:w="610" w:type="dxa"/>
          </w:tcPr>
          <w:p>
            <w:pPr>
              <w:pStyle w:val="TableParagraph"/>
              <w:rPr>
                <w:rFonts w:ascii="Times New Roman"/>
                <w:sz w:val="16"/>
              </w:rPr>
            </w:pPr>
          </w:p>
        </w:tc>
        <w:tc>
          <w:tcPr>
            <w:tcW w:w="928" w:type="dxa"/>
          </w:tcPr>
          <w:p>
            <w:pPr>
              <w:pStyle w:val="TableParagraph"/>
              <w:spacing w:line="183" w:lineRule="exact" w:before="25"/>
              <w:ind w:right="65"/>
              <w:jc w:val="right"/>
              <w:rPr>
                <w:sz w:val="16"/>
              </w:rPr>
            </w:pPr>
            <w:r>
              <w:rPr>
                <w:spacing w:val="-5"/>
                <w:sz w:val="16"/>
              </w:rPr>
              <w:t>685</w:t>
            </w:r>
          </w:p>
        </w:tc>
      </w:tr>
      <w:tr>
        <w:trPr>
          <w:trHeight w:val="195" w:hRule="atLeast"/>
        </w:trPr>
        <w:tc>
          <w:tcPr>
            <w:tcW w:w="3222" w:type="dxa"/>
          </w:tcPr>
          <w:p>
            <w:pPr>
              <w:pStyle w:val="TableParagraph"/>
              <w:spacing w:line="162" w:lineRule="exact" w:before="14"/>
              <w:ind w:left="50"/>
              <w:rPr>
                <w:sz w:val="16"/>
              </w:rPr>
            </w:pPr>
            <w:r>
              <w:rPr>
                <w:spacing w:val="-2"/>
                <w:sz w:val="16"/>
              </w:rPr>
              <w:t>Translation</w:t>
            </w:r>
            <w:r>
              <w:rPr>
                <w:spacing w:val="9"/>
                <w:sz w:val="16"/>
              </w:rPr>
              <w:t> </w:t>
            </w:r>
            <w:r>
              <w:rPr>
                <w:spacing w:val="-2"/>
                <w:sz w:val="16"/>
              </w:rPr>
              <w:t>adjustment</w:t>
            </w:r>
          </w:p>
        </w:tc>
        <w:tc>
          <w:tcPr>
            <w:tcW w:w="601" w:type="dxa"/>
            <w:tcBorders>
              <w:bottom w:val="single" w:sz="8" w:space="0" w:color="000000"/>
            </w:tcBorders>
          </w:tcPr>
          <w:p>
            <w:pPr>
              <w:pStyle w:val="TableParagraph"/>
              <w:rPr>
                <w:rFonts w:ascii="Times New Roman"/>
                <w:sz w:val="14"/>
              </w:rPr>
            </w:pPr>
          </w:p>
        </w:tc>
        <w:tc>
          <w:tcPr>
            <w:tcW w:w="920" w:type="dxa"/>
            <w:tcBorders>
              <w:bottom w:val="single" w:sz="8" w:space="0" w:color="000000"/>
            </w:tcBorders>
          </w:tcPr>
          <w:p>
            <w:pPr>
              <w:pStyle w:val="TableParagraph"/>
              <w:spacing w:line="176" w:lineRule="exact" w:before="21"/>
              <w:ind w:right="56"/>
              <w:jc w:val="right"/>
              <w:rPr>
                <w:sz w:val="16"/>
              </w:rPr>
            </w:pPr>
            <w:r>
              <w:rPr>
                <w:spacing w:val="-5"/>
                <w:sz w:val="16"/>
              </w:rPr>
              <w:t>21</w:t>
            </w:r>
          </w:p>
        </w:tc>
        <w:tc>
          <w:tcPr>
            <w:tcW w:w="676" w:type="dxa"/>
            <w:tcBorders>
              <w:bottom w:val="single" w:sz="8" w:space="0" w:color="000000"/>
            </w:tcBorders>
          </w:tcPr>
          <w:p>
            <w:pPr>
              <w:pStyle w:val="TableParagraph"/>
              <w:rPr>
                <w:rFonts w:ascii="Times New Roman"/>
                <w:sz w:val="14"/>
              </w:rPr>
            </w:pPr>
          </w:p>
        </w:tc>
        <w:tc>
          <w:tcPr>
            <w:tcW w:w="854" w:type="dxa"/>
            <w:tcBorders>
              <w:bottom w:val="single" w:sz="8" w:space="0" w:color="000000"/>
            </w:tcBorders>
          </w:tcPr>
          <w:p>
            <w:pPr>
              <w:pStyle w:val="TableParagraph"/>
              <w:spacing w:line="176" w:lineRule="exact" w:before="21"/>
              <w:ind w:right="56"/>
              <w:jc w:val="right"/>
              <w:rPr>
                <w:sz w:val="16"/>
              </w:rPr>
            </w:pPr>
            <w:r>
              <w:rPr>
                <w:spacing w:val="-10"/>
                <w:sz w:val="16"/>
              </w:rPr>
              <w:t>5</w:t>
            </w:r>
          </w:p>
        </w:tc>
        <w:tc>
          <w:tcPr>
            <w:tcW w:w="721" w:type="dxa"/>
            <w:tcBorders>
              <w:bottom w:val="single" w:sz="8" w:space="0" w:color="000000"/>
            </w:tcBorders>
          </w:tcPr>
          <w:p>
            <w:pPr>
              <w:pStyle w:val="TableParagraph"/>
              <w:rPr>
                <w:rFonts w:ascii="Times New Roman"/>
                <w:sz w:val="14"/>
              </w:rPr>
            </w:pPr>
          </w:p>
        </w:tc>
        <w:tc>
          <w:tcPr>
            <w:tcW w:w="810" w:type="dxa"/>
            <w:tcBorders>
              <w:bottom w:val="single" w:sz="8" w:space="0" w:color="000000"/>
            </w:tcBorders>
          </w:tcPr>
          <w:p>
            <w:pPr>
              <w:pStyle w:val="TableParagraph"/>
              <w:spacing w:line="176" w:lineRule="exact" w:before="21"/>
              <w:ind w:right="57"/>
              <w:jc w:val="right"/>
              <w:rPr>
                <w:sz w:val="16"/>
              </w:rPr>
            </w:pPr>
            <w:r>
              <w:rPr>
                <w:spacing w:val="-10"/>
                <w:sz w:val="16"/>
              </w:rPr>
              <w:t>2</w:t>
            </w:r>
          </w:p>
        </w:tc>
        <w:tc>
          <w:tcPr>
            <w:tcW w:w="610" w:type="dxa"/>
            <w:tcBorders>
              <w:bottom w:val="single" w:sz="8" w:space="0" w:color="000000"/>
            </w:tcBorders>
          </w:tcPr>
          <w:p>
            <w:pPr>
              <w:pStyle w:val="TableParagraph"/>
              <w:rPr>
                <w:rFonts w:ascii="Times New Roman"/>
                <w:sz w:val="14"/>
              </w:rPr>
            </w:pPr>
          </w:p>
        </w:tc>
        <w:tc>
          <w:tcPr>
            <w:tcW w:w="928" w:type="dxa"/>
            <w:tcBorders>
              <w:bottom w:val="single" w:sz="8" w:space="0" w:color="000000"/>
            </w:tcBorders>
          </w:tcPr>
          <w:p>
            <w:pPr>
              <w:pStyle w:val="TableParagraph"/>
              <w:spacing w:line="176" w:lineRule="exact" w:before="21"/>
              <w:ind w:right="65"/>
              <w:jc w:val="right"/>
              <w:rPr>
                <w:sz w:val="16"/>
              </w:rPr>
            </w:pPr>
            <w:r>
              <w:rPr>
                <w:spacing w:val="-5"/>
                <w:sz w:val="16"/>
              </w:rPr>
              <w:t>28</w:t>
            </w:r>
          </w:p>
        </w:tc>
      </w:tr>
      <w:tr>
        <w:trPr>
          <w:trHeight w:val="357" w:hRule="atLeast"/>
        </w:trPr>
        <w:tc>
          <w:tcPr>
            <w:tcW w:w="3222" w:type="dxa"/>
          </w:tcPr>
          <w:p>
            <w:pPr>
              <w:pStyle w:val="TableParagraph"/>
              <w:spacing w:line="165" w:lineRule="exact"/>
              <w:ind w:left="50"/>
              <w:rPr>
                <w:rFonts w:ascii="Arial"/>
                <w:b/>
                <w:sz w:val="16"/>
              </w:rPr>
            </w:pPr>
            <w:r>
              <w:rPr>
                <w:rFonts w:ascii="Arial"/>
                <w:b/>
                <w:sz w:val="16"/>
              </w:rPr>
              <w:t>Accumulated</w:t>
            </w:r>
            <w:r>
              <w:rPr>
                <w:rFonts w:ascii="Arial"/>
                <w:b/>
                <w:spacing w:val="-5"/>
                <w:sz w:val="16"/>
              </w:rPr>
              <w:t> </w:t>
            </w:r>
            <w:r>
              <w:rPr>
                <w:rFonts w:ascii="Arial"/>
                <w:b/>
                <w:sz w:val="16"/>
              </w:rPr>
              <w:t>provision,</w:t>
            </w:r>
            <w:r>
              <w:rPr>
                <w:rFonts w:ascii="Arial"/>
                <w:b/>
                <w:spacing w:val="-4"/>
                <w:sz w:val="16"/>
              </w:rPr>
              <w:t> </w:t>
            </w:r>
            <w:r>
              <w:rPr>
                <w:rFonts w:ascii="Arial"/>
                <w:b/>
                <w:sz w:val="16"/>
              </w:rPr>
              <w:t>end</w:t>
            </w:r>
            <w:r>
              <w:rPr>
                <w:rFonts w:ascii="Arial"/>
                <w:b/>
                <w:spacing w:val="-5"/>
                <w:sz w:val="16"/>
              </w:rPr>
              <w:t> </w:t>
            </w:r>
            <w:r>
              <w:rPr>
                <w:rFonts w:ascii="Arial"/>
                <w:b/>
                <w:sz w:val="16"/>
              </w:rPr>
              <w:t>of</w:t>
            </w:r>
            <w:r>
              <w:rPr>
                <w:rFonts w:ascii="Arial"/>
                <w:b/>
                <w:spacing w:val="-4"/>
                <w:sz w:val="16"/>
              </w:rPr>
              <w:t> </w:t>
            </w:r>
            <w:r>
              <w:rPr>
                <w:rFonts w:ascii="Arial"/>
                <w:b/>
                <w:sz w:val="16"/>
              </w:rPr>
              <w:t>the</w:t>
            </w:r>
            <w:r>
              <w:rPr>
                <w:rFonts w:ascii="Arial"/>
                <w:b/>
                <w:spacing w:val="-4"/>
                <w:sz w:val="16"/>
              </w:rPr>
              <w:t> </w:t>
            </w:r>
            <w:r>
              <w:rPr>
                <w:rFonts w:ascii="Arial"/>
                <w:b/>
                <w:spacing w:val="-2"/>
                <w:sz w:val="16"/>
              </w:rPr>
              <w:t>fiscal</w:t>
            </w:r>
          </w:p>
          <w:p>
            <w:pPr>
              <w:pStyle w:val="TableParagraph"/>
              <w:spacing w:line="164" w:lineRule="exact" w:before="8"/>
              <w:ind w:left="230"/>
              <w:rPr>
                <w:rFonts w:ascii="Arial"/>
                <w:b/>
                <w:sz w:val="16"/>
              </w:rPr>
            </w:pPr>
            <w:r>
              <w:rPr>
                <w:rFonts w:ascii="Arial"/>
                <w:b/>
                <w:spacing w:val="-4"/>
                <w:sz w:val="16"/>
              </w:rPr>
              <w:t>year</w:t>
            </w:r>
          </w:p>
        </w:tc>
        <w:tc>
          <w:tcPr>
            <w:tcW w:w="601" w:type="dxa"/>
            <w:tcBorders>
              <w:top w:val="single" w:sz="8" w:space="0" w:color="000000"/>
              <w:bottom w:val="double" w:sz="8" w:space="0" w:color="000000"/>
            </w:tcBorders>
          </w:tcPr>
          <w:p>
            <w:pPr>
              <w:pStyle w:val="TableParagraph"/>
              <w:spacing w:line="164" w:lineRule="exact" w:before="151"/>
              <w:ind w:left="53"/>
              <w:rPr>
                <w:sz w:val="16"/>
              </w:rPr>
            </w:pPr>
            <w:r>
              <w:rPr>
                <w:spacing w:val="-10"/>
                <w:sz w:val="16"/>
              </w:rPr>
              <w:t>$</w:t>
            </w:r>
          </w:p>
        </w:tc>
        <w:tc>
          <w:tcPr>
            <w:tcW w:w="920" w:type="dxa"/>
            <w:tcBorders>
              <w:top w:val="single" w:sz="8" w:space="0" w:color="000000"/>
              <w:bottom w:val="double" w:sz="8" w:space="0" w:color="000000"/>
            </w:tcBorders>
          </w:tcPr>
          <w:p>
            <w:pPr>
              <w:pStyle w:val="TableParagraph"/>
              <w:spacing w:line="164" w:lineRule="exact" w:before="151"/>
              <w:ind w:right="56"/>
              <w:jc w:val="right"/>
              <w:rPr>
                <w:sz w:val="16"/>
              </w:rPr>
            </w:pPr>
            <w:r>
              <w:rPr>
                <w:spacing w:val="-2"/>
                <w:sz w:val="16"/>
              </w:rPr>
              <w:t>2,336</w:t>
            </w:r>
          </w:p>
        </w:tc>
        <w:tc>
          <w:tcPr>
            <w:tcW w:w="676" w:type="dxa"/>
            <w:tcBorders>
              <w:top w:val="single" w:sz="8" w:space="0" w:color="000000"/>
              <w:bottom w:val="double" w:sz="8" w:space="0" w:color="000000"/>
            </w:tcBorders>
          </w:tcPr>
          <w:p>
            <w:pPr>
              <w:pStyle w:val="TableParagraph"/>
              <w:spacing w:line="164" w:lineRule="exact" w:before="151"/>
              <w:ind w:left="62"/>
              <w:rPr>
                <w:sz w:val="16"/>
              </w:rPr>
            </w:pPr>
            <w:r>
              <w:rPr>
                <w:spacing w:val="-10"/>
                <w:sz w:val="16"/>
              </w:rPr>
              <w:t>$</w:t>
            </w:r>
          </w:p>
        </w:tc>
        <w:tc>
          <w:tcPr>
            <w:tcW w:w="854" w:type="dxa"/>
            <w:tcBorders>
              <w:top w:val="single" w:sz="8" w:space="0" w:color="000000"/>
              <w:bottom w:val="double" w:sz="8" w:space="0" w:color="000000"/>
            </w:tcBorders>
          </w:tcPr>
          <w:p>
            <w:pPr>
              <w:pStyle w:val="TableParagraph"/>
              <w:spacing w:line="164" w:lineRule="exact" w:before="151"/>
              <w:ind w:right="56"/>
              <w:jc w:val="right"/>
              <w:rPr>
                <w:sz w:val="16"/>
              </w:rPr>
            </w:pPr>
            <w:r>
              <w:rPr>
                <w:spacing w:val="-5"/>
                <w:sz w:val="16"/>
              </w:rPr>
              <w:t>452</w:t>
            </w:r>
          </w:p>
        </w:tc>
        <w:tc>
          <w:tcPr>
            <w:tcW w:w="721" w:type="dxa"/>
            <w:tcBorders>
              <w:top w:val="single" w:sz="8" w:space="0" w:color="000000"/>
              <w:bottom w:val="double" w:sz="8" w:space="0" w:color="000000"/>
            </w:tcBorders>
          </w:tcPr>
          <w:p>
            <w:pPr>
              <w:pStyle w:val="TableParagraph"/>
              <w:spacing w:line="164" w:lineRule="exact" w:before="151"/>
              <w:ind w:left="62"/>
              <w:rPr>
                <w:sz w:val="16"/>
              </w:rPr>
            </w:pPr>
            <w:r>
              <w:rPr>
                <w:spacing w:val="-10"/>
                <w:sz w:val="16"/>
              </w:rPr>
              <w:t>$</w:t>
            </w:r>
          </w:p>
        </w:tc>
        <w:tc>
          <w:tcPr>
            <w:tcW w:w="810" w:type="dxa"/>
            <w:tcBorders>
              <w:top w:val="single" w:sz="8" w:space="0" w:color="000000"/>
              <w:bottom w:val="double" w:sz="8" w:space="0" w:color="000000"/>
            </w:tcBorders>
          </w:tcPr>
          <w:p>
            <w:pPr>
              <w:pStyle w:val="TableParagraph"/>
              <w:spacing w:line="164" w:lineRule="exact" w:before="151"/>
              <w:ind w:right="57"/>
              <w:jc w:val="right"/>
              <w:rPr>
                <w:sz w:val="16"/>
              </w:rPr>
            </w:pPr>
            <w:r>
              <w:rPr>
                <w:spacing w:val="-5"/>
                <w:sz w:val="16"/>
              </w:rPr>
              <w:t>90</w:t>
            </w:r>
          </w:p>
        </w:tc>
        <w:tc>
          <w:tcPr>
            <w:tcW w:w="610" w:type="dxa"/>
            <w:tcBorders>
              <w:top w:val="single" w:sz="8" w:space="0" w:color="000000"/>
              <w:bottom w:val="double" w:sz="8" w:space="0" w:color="000000"/>
            </w:tcBorders>
          </w:tcPr>
          <w:p>
            <w:pPr>
              <w:pStyle w:val="TableParagraph"/>
              <w:spacing w:line="164" w:lineRule="exact" w:before="151"/>
              <w:ind w:left="61"/>
              <w:rPr>
                <w:sz w:val="16"/>
              </w:rPr>
            </w:pPr>
            <w:r>
              <w:rPr>
                <w:spacing w:val="-10"/>
                <w:sz w:val="16"/>
              </w:rPr>
              <w:t>$</w:t>
            </w:r>
          </w:p>
        </w:tc>
        <w:tc>
          <w:tcPr>
            <w:tcW w:w="928" w:type="dxa"/>
            <w:tcBorders>
              <w:top w:val="single" w:sz="8" w:space="0" w:color="000000"/>
              <w:bottom w:val="double" w:sz="8" w:space="0" w:color="000000"/>
            </w:tcBorders>
          </w:tcPr>
          <w:p>
            <w:pPr>
              <w:pStyle w:val="TableParagraph"/>
              <w:spacing w:line="164" w:lineRule="exact" w:before="151"/>
              <w:ind w:right="65"/>
              <w:jc w:val="right"/>
              <w:rPr>
                <w:sz w:val="16"/>
              </w:rPr>
            </w:pPr>
            <w:r>
              <w:rPr>
                <w:spacing w:val="-2"/>
                <w:sz w:val="16"/>
              </w:rPr>
              <w:t>2,878</w:t>
            </w:r>
          </w:p>
        </w:tc>
      </w:tr>
      <w:tr>
        <w:trPr>
          <w:trHeight w:val="338" w:hRule="atLeast"/>
        </w:trPr>
        <w:tc>
          <w:tcPr>
            <w:tcW w:w="3222" w:type="dxa"/>
          </w:tcPr>
          <w:p>
            <w:pPr>
              <w:pStyle w:val="TableParagraph"/>
              <w:spacing w:line="208" w:lineRule="auto"/>
              <w:ind w:left="230" w:hanging="180"/>
              <w:rPr>
                <w:rFonts w:ascii="Arial"/>
                <w:b/>
                <w:sz w:val="16"/>
              </w:rPr>
            </w:pPr>
            <w:r>
              <w:rPr>
                <w:rFonts w:ascii="Arial"/>
                <w:b/>
                <w:sz w:val="16"/>
              </w:rPr>
              <w:t>Composed</w:t>
            </w:r>
            <w:r>
              <w:rPr>
                <w:rFonts w:ascii="Arial"/>
                <w:b/>
                <w:spacing w:val="-11"/>
                <w:sz w:val="16"/>
              </w:rPr>
              <w:t> </w:t>
            </w:r>
            <w:r>
              <w:rPr>
                <w:rFonts w:ascii="Arial"/>
                <w:b/>
                <w:sz w:val="16"/>
              </w:rPr>
              <w:t>of</w:t>
            </w:r>
            <w:r>
              <w:rPr>
                <w:rFonts w:ascii="Arial"/>
                <w:b/>
                <w:spacing w:val="-10"/>
                <w:sz w:val="16"/>
              </w:rPr>
              <w:t> </w:t>
            </w:r>
            <w:r>
              <w:rPr>
                <w:rFonts w:ascii="Arial"/>
                <w:b/>
                <w:sz w:val="16"/>
              </w:rPr>
              <w:t>accumulated</w:t>
            </w:r>
            <w:r>
              <w:rPr>
                <w:rFonts w:ascii="Arial"/>
                <w:b/>
                <w:spacing w:val="-11"/>
                <w:sz w:val="16"/>
              </w:rPr>
              <w:t> </w:t>
            </w:r>
            <w:r>
              <w:rPr>
                <w:rFonts w:ascii="Arial"/>
                <w:b/>
                <w:sz w:val="16"/>
              </w:rPr>
              <w:t>provision</w:t>
            </w:r>
            <w:r>
              <w:rPr>
                <w:rFonts w:ascii="Arial"/>
                <w:b/>
                <w:spacing w:val="-11"/>
                <w:sz w:val="16"/>
              </w:rPr>
              <w:t> </w:t>
            </w:r>
            <w:r>
              <w:rPr>
                <w:rFonts w:ascii="Arial"/>
                <w:b/>
                <w:sz w:val="16"/>
              </w:rPr>
              <w:t>for losses on:</w:t>
            </w:r>
          </w:p>
        </w:tc>
        <w:tc>
          <w:tcPr>
            <w:tcW w:w="601" w:type="dxa"/>
          </w:tcPr>
          <w:p>
            <w:pPr>
              <w:pStyle w:val="TableParagraph"/>
              <w:rPr>
                <w:rFonts w:ascii="Times New Roman"/>
                <w:sz w:val="16"/>
              </w:rPr>
            </w:pPr>
          </w:p>
        </w:tc>
        <w:tc>
          <w:tcPr>
            <w:tcW w:w="5519" w:type="dxa"/>
            <w:gridSpan w:val="7"/>
          </w:tcPr>
          <w:p>
            <w:pPr>
              <w:pStyle w:val="TableParagraph"/>
              <w:rPr>
                <w:rFonts w:ascii="Times New Roman"/>
                <w:sz w:val="16"/>
              </w:rPr>
            </w:pPr>
          </w:p>
        </w:tc>
      </w:tr>
      <w:tr>
        <w:trPr>
          <w:trHeight w:val="228" w:hRule="atLeast"/>
        </w:trPr>
        <w:tc>
          <w:tcPr>
            <w:tcW w:w="3222" w:type="dxa"/>
          </w:tcPr>
          <w:p>
            <w:pPr>
              <w:pStyle w:val="TableParagraph"/>
              <w:spacing w:before="18"/>
              <w:ind w:left="290"/>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p>
        </w:tc>
        <w:tc>
          <w:tcPr>
            <w:tcW w:w="601" w:type="dxa"/>
          </w:tcPr>
          <w:p>
            <w:pPr>
              <w:pStyle w:val="TableParagraph"/>
              <w:spacing w:line="183" w:lineRule="exact" w:before="25"/>
              <w:ind w:left="53"/>
              <w:rPr>
                <w:sz w:val="16"/>
              </w:rPr>
            </w:pPr>
            <w:r>
              <w:rPr>
                <w:sz w:val="16"/>
              </w:rPr>
              <mc:AlternateContent>
                <mc:Choice Requires="wps">
                  <w:drawing>
                    <wp:anchor distT="0" distB="0" distL="0" distR="0" allowOverlap="1" layoutInCell="1" locked="0" behindDoc="0" simplePos="0" relativeHeight="15852544">
                      <wp:simplePos x="0" y="0"/>
                      <wp:positionH relativeFrom="column">
                        <wp:posOffset>0</wp:posOffset>
                      </wp:positionH>
                      <wp:positionV relativeFrom="paragraph">
                        <wp:posOffset>283259</wp:posOffset>
                      </wp:positionV>
                      <wp:extent cx="971550" cy="12700"/>
                      <wp:effectExtent l="0" t="0" r="0" b="0"/>
                      <wp:wrapNone/>
                      <wp:docPr id="804" name="Group 804"/>
                      <wp:cNvGraphicFramePr>
                        <a:graphicFrameLocks/>
                      </wp:cNvGraphicFramePr>
                      <a:graphic>
                        <a:graphicData uri="http://schemas.microsoft.com/office/word/2010/wordprocessingGroup">
                          <wpg:wgp>
                            <wpg:cNvPr id="804" name="Group 804"/>
                            <wpg:cNvGrpSpPr/>
                            <wpg:grpSpPr>
                              <a:xfrm>
                                <a:off x="0" y="0"/>
                                <a:ext cx="971550" cy="12700"/>
                                <a:chExt cx="971550" cy="12700"/>
                              </a:xfrm>
                            </wpg:grpSpPr>
                            <wps:wsp>
                              <wps:cNvPr id="805" name="Graphic 805"/>
                              <wps:cNvSpPr/>
                              <wps:spPr>
                                <a:xfrm>
                                  <a:off x="0" y="6350"/>
                                  <a:ext cx="971550" cy="1270"/>
                                </a:xfrm>
                                <a:custGeom>
                                  <a:avLst/>
                                  <a:gdLst/>
                                  <a:ahLst/>
                                  <a:cxnLst/>
                                  <a:rect l="l" t="t" r="r" b="b"/>
                                  <a:pathLst>
                                    <a:path w="971550" h="0">
                                      <a:moveTo>
                                        <a:pt x="0" y="0"/>
                                      </a:moveTo>
                                      <a:lnTo>
                                        <a:pt x="97155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22.303892pt;width:76.5pt;height:1pt;mso-position-horizontal-relative:column;mso-position-vertical-relative:paragraph;z-index:15852544" id="docshapegroup678" coordorigin="0,446" coordsize="1530,20">
                      <v:line style="position:absolute" from="0,456" to="1530,456" stroked="true" strokeweight="1pt" strokecolor="#000000">
                        <v:stroke dashstyle="solid"/>
                      </v:line>
                      <w10:wrap type="none"/>
                    </v:group>
                  </w:pict>
                </mc:Fallback>
              </mc:AlternateContent>
            </w:r>
            <w:r>
              <w:rPr>
                <w:spacing w:val="-10"/>
                <w:sz w:val="16"/>
              </w:rPr>
              <w:t>$</w:t>
            </w:r>
          </w:p>
        </w:tc>
        <w:tc>
          <w:tcPr>
            <w:tcW w:w="5519" w:type="dxa"/>
            <w:gridSpan w:val="7"/>
          </w:tcPr>
          <w:p>
            <w:pPr>
              <w:pStyle w:val="TableParagraph"/>
              <w:spacing w:line="183" w:lineRule="exact" w:before="25"/>
              <w:ind w:left="461"/>
              <w:rPr>
                <w:sz w:val="16"/>
              </w:rPr>
            </w:pPr>
            <w:r>
              <w:rPr>
                <w:spacing w:val="-2"/>
                <w:sz w:val="16"/>
              </w:rPr>
              <w:t>2,014</w:t>
            </w:r>
          </w:p>
        </w:tc>
      </w:tr>
      <w:tr>
        <w:trPr>
          <w:trHeight w:val="237" w:hRule="atLeast"/>
        </w:trPr>
        <w:tc>
          <w:tcPr>
            <w:tcW w:w="3222" w:type="dxa"/>
          </w:tcPr>
          <w:p>
            <w:pPr>
              <w:pStyle w:val="TableParagraph"/>
              <w:spacing w:before="14"/>
              <w:ind w:left="290"/>
              <w:rPr>
                <w:sz w:val="16"/>
              </w:rPr>
            </w:pPr>
            <w:r>
              <w:rPr>
                <w:sz w:val="16"/>
              </w:rPr>
              <w:t>Loans</w:t>
            </w:r>
            <w:r>
              <w:rPr>
                <w:spacing w:val="-4"/>
                <w:sz w:val="16"/>
              </w:rPr>
              <w:t> </w:t>
            </w:r>
            <w:r>
              <w:rPr>
                <w:sz w:val="16"/>
              </w:rPr>
              <w:t>in</w:t>
            </w:r>
            <w:r>
              <w:rPr>
                <w:spacing w:val="-5"/>
                <w:sz w:val="16"/>
              </w:rPr>
              <w:t> </w:t>
            </w:r>
            <w:r>
              <w:rPr>
                <w:sz w:val="16"/>
              </w:rPr>
              <w:t>nonaccrual</w:t>
            </w:r>
            <w:r>
              <w:rPr>
                <w:spacing w:val="-3"/>
                <w:sz w:val="16"/>
              </w:rPr>
              <w:t> </w:t>
            </w:r>
            <w:r>
              <w:rPr>
                <w:spacing w:val="-2"/>
                <w:sz w:val="16"/>
              </w:rPr>
              <w:t>status</w:t>
            </w:r>
          </w:p>
        </w:tc>
        <w:tc>
          <w:tcPr>
            <w:tcW w:w="601" w:type="dxa"/>
          </w:tcPr>
          <w:p>
            <w:pPr>
              <w:pStyle w:val="TableParagraph"/>
              <w:rPr>
                <w:rFonts w:ascii="Times New Roman"/>
                <w:sz w:val="16"/>
              </w:rPr>
            </w:pPr>
          </w:p>
        </w:tc>
        <w:tc>
          <w:tcPr>
            <w:tcW w:w="5519" w:type="dxa"/>
            <w:gridSpan w:val="7"/>
          </w:tcPr>
          <w:p>
            <w:pPr>
              <w:pStyle w:val="TableParagraph"/>
              <w:spacing w:before="21"/>
              <w:ind w:left="594"/>
              <w:rPr>
                <w:sz w:val="16"/>
              </w:rPr>
            </w:pPr>
            <w:r>
              <w:rPr>
                <w:spacing w:val="-5"/>
                <w:sz w:val="16"/>
              </w:rPr>
              <w:t>322</w:t>
            </w:r>
          </w:p>
        </w:tc>
      </w:tr>
    </w:tbl>
    <w:p>
      <w:pPr>
        <w:tabs>
          <w:tab w:pos="3944" w:val="left" w:leader="none"/>
          <w:tab w:pos="5007" w:val="left" w:leader="none"/>
        </w:tabs>
        <w:spacing w:before="0"/>
        <w:ind w:left="772" w:right="0" w:firstLine="0"/>
        <w:jc w:val="left"/>
        <w:rPr>
          <w:rFonts w:ascii="Arial MT"/>
          <w:sz w:val="16"/>
        </w:rPr>
      </w:pPr>
      <w:r>
        <w:rPr>
          <w:rFonts w:ascii="Arial MT"/>
          <w:spacing w:val="-2"/>
          <w:position w:val="1"/>
          <w:sz w:val="16"/>
        </w:rPr>
        <w:t>Total</w:t>
      </w:r>
      <w:r>
        <w:rPr>
          <w:rFonts w:ascii="Arial MT"/>
          <w:position w:val="1"/>
          <w:sz w:val="16"/>
        </w:rPr>
        <w:tab/>
      </w:r>
      <w:r>
        <w:rPr>
          <w:rFonts w:ascii="Arial MT"/>
          <w:sz w:val="16"/>
          <w:u w:val="double"/>
        </w:rPr>
        <w:t> $</w:t>
        <w:tab/>
      </w:r>
      <w:r>
        <w:rPr>
          <w:rFonts w:ascii="Arial MT"/>
          <w:spacing w:val="-4"/>
          <w:sz w:val="16"/>
          <w:u w:val="double"/>
        </w:rPr>
        <w:t>2,336</w:t>
      </w:r>
    </w:p>
    <w:p>
      <w:pPr>
        <w:spacing w:before="26"/>
        <w:ind w:left="772" w:right="0" w:firstLine="0"/>
        <w:jc w:val="left"/>
        <w:rPr>
          <w:rFonts w:ascii="Arial MT"/>
          <w:sz w:val="16"/>
        </w:rPr>
      </w:pPr>
      <w:r>
        <w:rPr>
          <w:rFonts w:ascii="Arial MT"/>
          <w:sz w:val="16"/>
        </w:rPr>
        <w:t>Loans,</w:t>
      </w:r>
      <w:r>
        <w:rPr>
          <w:rFonts w:ascii="Arial MT"/>
          <w:spacing w:val="-3"/>
          <w:sz w:val="16"/>
        </w:rPr>
        <w:t> </w:t>
      </w:r>
      <w:r>
        <w:rPr>
          <w:rFonts w:ascii="Arial MT"/>
          <w:sz w:val="16"/>
        </w:rPr>
        <w:t>end</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3"/>
          <w:sz w:val="16"/>
        </w:rPr>
        <w:t> </w:t>
      </w:r>
      <w:r>
        <w:rPr>
          <w:rFonts w:ascii="Arial MT"/>
          <w:sz w:val="16"/>
        </w:rPr>
        <w:t>fiscal</w:t>
      </w:r>
      <w:r>
        <w:rPr>
          <w:rFonts w:ascii="Arial MT"/>
          <w:spacing w:val="-2"/>
          <w:sz w:val="16"/>
        </w:rPr>
        <w:t> year:</w:t>
      </w:r>
    </w:p>
    <w:p>
      <w:pPr>
        <w:tabs>
          <w:tab w:pos="3944" w:val="left" w:leader="none"/>
          <w:tab w:pos="3997" w:val="left" w:leader="none"/>
          <w:tab w:pos="4767" w:val="left" w:leader="none"/>
          <w:tab w:pos="4829" w:val="left" w:leader="none"/>
        </w:tabs>
        <w:spacing w:line="280" w:lineRule="auto" w:before="39"/>
        <w:ind w:left="772" w:right="5390" w:firstLine="240"/>
        <w:jc w:val="right"/>
        <w:rPr>
          <w:rFonts w:ascii="Arial MT"/>
          <w:sz w:val="16"/>
        </w:rPr>
      </w:pPr>
      <w:r>
        <w:rPr>
          <w:rFonts w:ascii="Arial MT"/>
          <w:sz w:val="16"/>
        </w:rPr>
        <mc:AlternateContent>
          <mc:Choice Requires="wps">
            <w:drawing>
              <wp:anchor distT="0" distB="0" distL="0" distR="0" allowOverlap="1" layoutInCell="1" locked="0" behindDoc="0" simplePos="0" relativeHeight="15853056">
                <wp:simplePos x="0" y="0"/>
                <wp:positionH relativeFrom="page">
                  <wp:posOffset>2962275</wp:posOffset>
                </wp:positionH>
                <wp:positionV relativeFrom="paragraph">
                  <wp:posOffset>304819</wp:posOffset>
                </wp:positionV>
                <wp:extent cx="971550" cy="1270"/>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971550" cy="1270"/>
                        </a:xfrm>
                        <a:custGeom>
                          <a:avLst/>
                          <a:gdLst/>
                          <a:ahLst/>
                          <a:cxnLst/>
                          <a:rect l="l" t="t" r="r" b="b"/>
                          <a:pathLst>
                            <a:path w="971550" h="0">
                              <a:moveTo>
                                <a:pt x="0" y="0"/>
                              </a:moveTo>
                              <a:lnTo>
                                <a:pt x="971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056" from="233.25pt,24.001562pt" to="309.75pt,24.001562pt" stroked="true" strokeweight="1pt" strokecolor="#000000">
                <v:stroke dashstyle="solid"/>
                <w10:wrap type="none"/>
              </v:line>
            </w:pict>
          </mc:Fallback>
        </mc:AlternateContent>
      </w:r>
      <w:r>
        <w:rPr>
          <w:rFonts w:ascii="Arial MT"/>
          <w:position w:val="1"/>
          <w:sz w:val="16"/>
        </w:rPr>
        <w:t>Loans in accrual status</w:t>
        <w:tab/>
        <w:tab/>
      </w:r>
      <w:r>
        <w:rPr>
          <w:rFonts w:ascii="Arial MT"/>
          <w:spacing w:val="-10"/>
          <w:sz w:val="16"/>
        </w:rPr>
        <w:t>$</w:t>
      </w:r>
      <w:r>
        <w:rPr>
          <w:rFonts w:ascii="Arial MT"/>
          <w:sz w:val="16"/>
        </w:rPr>
        <w:tab/>
        <w:tab/>
      </w:r>
      <w:r>
        <w:rPr>
          <w:rFonts w:ascii="Arial MT"/>
          <w:spacing w:val="-2"/>
          <w:sz w:val="16"/>
        </w:rPr>
        <w:t>242,471 </w:t>
      </w:r>
      <w:r>
        <w:rPr>
          <w:rFonts w:ascii="Arial MT"/>
          <w:position w:val="1"/>
          <w:sz w:val="16"/>
        </w:rPr>
        <w:t>Loans in nonaccrual status</w:t>
        <w:tab/>
        <w:tab/>
        <w:tab/>
      </w:r>
      <w:r>
        <w:rPr>
          <w:rFonts w:ascii="Arial MT"/>
          <w:spacing w:val="-4"/>
          <w:sz w:val="16"/>
        </w:rPr>
        <w:t>1,425 </w:t>
      </w:r>
      <w:r>
        <w:rPr>
          <w:rFonts w:ascii="Arial MT"/>
          <w:spacing w:val="-2"/>
          <w:position w:val="1"/>
          <w:sz w:val="16"/>
        </w:rPr>
        <w:t>Total</w:t>
      </w:r>
      <w:r>
        <w:rPr>
          <w:rFonts w:ascii="Arial MT"/>
          <w:position w:val="1"/>
          <w:sz w:val="16"/>
        </w:rPr>
        <w:tab/>
      </w:r>
      <w:r>
        <w:rPr>
          <w:rFonts w:ascii="Arial MT"/>
          <w:sz w:val="16"/>
          <w:u w:val="double"/>
        </w:rPr>
        <w:t> $</w:t>
        <w:tab/>
        <w:tab/>
      </w:r>
      <w:r>
        <w:rPr>
          <w:rFonts w:ascii="Arial MT"/>
          <w:spacing w:val="-2"/>
          <w:sz w:val="16"/>
          <w:u w:val="double"/>
        </w:rPr>
        <w:t>243,896</w:t>
      </w:r>
    </w:p>
    <w:p>
      <w:pPr>
        <w:pStyle w:val="BodyText"/>
        <w:spacing w:before="7"/>
        <w:rPr>
          <w:rFonts w:ascii="Arial MT"/>
          <w:sz w:val="16"/>
        </w:rPr>
      </w:pPr>
      <w:r>
        <w:rPr>
          <w:rFonts w:ascii="Arial MT"/>
          <w:sz w:val="16"/>
        </w:rPr>
        <mc:AlternateContent>
          <mc:Choice Requires="wps">
            <w:drawing>
              <wp:anchor distT="0" distB="0" distL="0" distR="0" allowOverlap="1" layoutInCell="1" locked="0" behindDoc="1" simplePos="0" relativeHeight="487706624">
                <wp:simplePos x="0" y="0"/>
                <wp:positionH relativeFrom="page">
                  <wp:posOffset>914400</wp:posOffset>
                </wp:positionH>
                <wp:positionV relativeFrom="paragraph">
                  <wp:posOffset>136681</wp:posOffset>
                </wp:positionV>
                <wp:extent cx="5934075" cy="1270"/>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762304pt;width:467.25pt;height:.1pt;mso-position-horizontal-relative:page;mso-position-vertical-relative:paragraph;z-index:-15609856;mso-wrap-distance-left:0;mso-wrap-distance-right:0" id="docshape679" coordorigin="1440,215" coordsize="9345,0" path="m1440,215l10785,215e" filled="false" stroked="true" strokeweight="1pt" strokecolor="#000000">
                <v:path arrowok="t"/>
                <v:stroke dashstyle="solid"/>
                <w10:wrap type="topAndBottom"/>
              </v:shape>
            </w:pict>
          </mc:Fallback>
        </mc:AlternateContent>
      </w:r>
    </w:p>
    <w:p>
      <w:pPr>
        <w:pStyle w:val="BodyText"/>
        <w:spacing w:before="1"/>
        <w:rPr>
          <w:rFonts w:ascii="Arial MT"/>
          <w:sz w:val="6"/>
        </w:rPr>
      </w:pPr>
    </w:p>
    <w:p>
      <w:pPr>
        <w:pStyle w:val="BodyText"/>
        <w:spacing w:after="0"/>
        <w:rPr>
          <w:rFonts w:ascii="Arial MT"/>
          <w:sz w:val="6"/>
        </w:rPr>
        <w:sectPr>
          <w:headerReference w:type="even" r:id="rId161"/>
          <w:footerReference w:type="even" r:id="rId162"/>
          <w:footerReference w:type="default" r:id="rId163"/>
          <w:pgSz w:w="12240" w:h="15840"/>
          <w:pgMar w:header="1033" w:footer="528" w:top="1260" w:bottom="720" w:left="720" w:right="720"/>
          <w:pgNumType w:start="106"/>
        </w:sectPr>
      </w:pPr>
    </w:p>
    <w:p>
      <w:pPr>
        <w:pStyle w:val="Heading8"/>
        <w:spacing w:before="88"/>
      </w:pPr>
      <w:r>
        <w:rPr/>
        <w:t>Table</w:t>
      </w:r>
      <w:r>
        <w:rPr>
          <w:spacing w:val="-4"/>
        </w:rPr>
        <w:t> D5.1</w:t>
      </w:r>
    </w:p>
    <w:p>
      <w:pPr>
        <w:spacing w:before="73"/>
        <w:ind w:left="720"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53568">
                <wp:simplePos x="0" y="0"/>
                <wp:positionH relativeFrom="page">
                  <wp:posOffset>914400</wp:posOffset>
                </wp:positionH>
                <wp:positionV relativeFrom="paragraph">
                  <wp:posOffset>182261</wp:posOffset>
                </wp:positionV>
                <wp:extent cx="5934075" cy="1270"/>
                <wp:effectExtent l="0" t="0" r="0" b="0"/>
                <wp:wrapNone/>
                <wp:docPr id="808" name="Graphic 808"/>
                <wp:cNvGraphicFramePr>
                  <a:graphicFrameLocks/>
                </wp:cNvGraphicFramePr>
                <a:graphic>
                  <a:graphicData uri="http://schemas.microsoft.com/office/word/2010/wordprocessingShape">
                    <wps:wsp>
                      <wps:cNvPr id="808" name="Graphic 808"/>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568" from="72pt,14.35127pt" to="539.25pt,14.35127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rPr>
          <w:rFonts w:ascii="Arial"/>
          <w:i/>
          <w:sz w:val="16"/>
        </w:rPr>
      </w:pPr>
    </w:p>
    <w:p>
      <w:pPr>
        <w:pStyle w:val="BodyText"/>
        <w:rPr>
          <w:rFonts w:ascii="Arial"/>
          <w:i/>
          <w:sz w:val="16"/>
        </w:rPr>
      </w:pPr>
    </w:p>
    <w:p>
      <w:pPr>
        <w:pStyle w:val="BodyText"/>
        <w:spacing w:before="107"/>
        <w:rPr>
          <w:rFonts w:ascii="Arial"/>
          <w:i/>
          <w:sz w:val="16"/>
        </w:rPr>
      </w:pPr>
    </w:p>
    <w:p>
      <w:pPr>
        <w:spacing w:before="0"/>
        <w:ind w:left="772" w:right="0" w:firstLine="0"/>
        <w:jc w:val="left"/>
        <w:rPr>
          <w:rFonts w:ascii="Arial"/>
          <w:b/>
          <w:sz w:val="16"/>
        </w:rPr>
      </w:pPr>
      <w:r>
        <w:rPr>
          <w:rFonts w:ascii="Arial"/>
          <w:b/>
          <w:sz w:val="16"/>
        </w:rPr>
        <w:t>Adjusted</w:t>
      </w:r>
      <w:r>
        <w:rPr>
          <w:rFonts w:ascii="Arial"/>
          <w:b/>
          <w:spacing w:val="-8"/>
          <w:sz w:val="16"/>
        </w:rPr>
        <w:t> </w:t>
      </w:r>
      <w:r>
        <w:rPr>
          <w:rFonts w:ascii="Arial"/>
          <w:b/>
          <w:sz w:val="16"/>
        </w:rPr>
        <w:t>accumulated</w:t>
      </w:r>
      <w:r>
        <w:rPr>
          <w:rFonts w:ascii="Arial"/>
          <w:b/>
          <w:spacing w:val="-7"/>
          <w:sz w:val="16"/>
        </w:rPr>
        <w:t> </w:t>
      </w:r>
      <w:r>
        <w:rPr>
          <w:rFonts w:ascii="Arial"/>
          <w:b/>
          <w:spacing w:val="-2"/>
          <w:sz w:val="16"/>
        </w:rPr>
        <w:t>provision,</w:t>
      </w:r>
    </w:p>
    <w:p>
      <w:pPr>
        <w:pStyle w:val="BodyText"/>
        <w:rPr>
          <w:rFonts w:ascii="Arial"/>
          <w:b/>
          <w:sz w:val="16"/>
        </w:rPr>
      </w:pPr>
      <w:r>
        <w:rPr/>
        <w:br w:type="column"/>
      </w:r>
      <w:r>
        <w:rPr>
          <w:rFonts w:ascii="Arial"/>
          <w:b/>
          <w:sz w:val="16"/>
        </w:rPr>
      </w:r>
    </w:p>
    <w:p>
      <w:pPr>
        <w:pStyle w:val="BodyText"/>
        <w:rPr>
          <w:rFonts w:ascii="Arial"/>
          <w:b/>
          <w:sz w:val="16"/>
        </w:rPr>
      </w:pPr>
    </w:p>
    <w:p>
      <w:pPr>
        <w:pStyle w:val="BodyText"/>
        <w:spacing w:before="64"/>
        <w:rPr>
          <w:rFonts w:ascii="Arial"/>
          <w:b/>
          <w:sz w:val="16"/>
        </w:rPr>
      </w:pPr>
    </w:p>
    <w:p>
      <w:pPr>
        <w:spacing w:before="0"/>
        <w:ind w:left="0" w:right="124" w:firstLine="0"/>
        <w:jc w:val="center"/>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p>
      <w:pPr>
        <w:pStyle w:val="BodyText"/>
        <w:spacing w:before="7"/>
        <w:rPr>
          <w:rFonts w:ascii="Arial"/>
          <w:i/>
          <w:sz w:val="2"/>
        </w:rPr>
      </w:pPr>
    </w:p>
    <w:p>
      <w:pPr>
        <w:spacing w:line="20" w:lineRule="exact"/>
        <w:ind w:left="607" w:right="0" w:firstLine="0"/>
        <w:rPr>
          <w:rFonts w:ascii="Arial"/>
          <w:sz w:val="2"/>
        </w:rPr>
      </w:pPr>
      <w:r>
        <w:rPr>
          <w:rFonts w:ascii="Arial"/>
          <w:sz w:val="2"/>
        </w:rPr>
        <mc:AlternateContent>
          <mc:Choice Requires="wps">
            <w:drawing>
              <wp:inline distT="0" distB="0" distL="0" distR="0">
                <wp:extent cx="3886200" cy="12700"/>
                <wp:effectExtent l="9525" t="0" r="0" b="6350"/>
                <wp:docPr id="809" name="Group 809"/>
                <wp:cNvGraphicFramePr>
                  <a:graphicFrameLocks/>
                </wp:cNvGraphicFramePr>
                <a:graphic>
                  <a:graphicData uri="http://schemas.microsoft.com/office/word/2010/wordprocessingGroup">
                    <wpg:wgp>
                      <wpg:cNvPr id="809" name="Group 809"/>
                      <wpg:cNvGrpSpPr/>
                      <wpg:grpSpPr>
                        <a:xfrm>
                          <a:off x="0" y="0"/>
                          <a:ext cx="3886200" cy="12700"/>
                          <a:chExt cx="3886200" cy="12700"/>
                        </a:xfrm>
                      </wpg:grpSpPr>
                      <wps:wsp>
                        <wps:cNvPr id="810" name="Graphic 810"/>
                        <wps:cNvSpPr/>
                        <wps:spPr>
                          <a:xfrm>
                            <a:off x="0" y="6350"/>
                            <a:ext cx="3886200" cy="1270"/>
                          </a:xfrm>
                          <a:custGeom>
                            <a:avLst/>
                            <a:gdLst/>
                            <a:ahLst/>
                            <a:cxnLst/>
                            <a:rect l="l" t="t" r="r" b="b"/>
                            <a:pathLst>
                              <a:path w="3886200" h="0">
                                <a:moveTo>
                                  <a:pt x="0" y="0"/>
                                </a:moveTo>
                                <a:lnTo>
                                  <a:pt x="3886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6pt;height:1pt;mso-position-horizontal-relative:char;mso-position-vertical-relative:line" id="docshapegroup680" coordorigin="0,0" coordsize="6120,20">
                <v:line style="position:absolute" from="0,10" to="6120,10" stroked="true" strokeweight="1pt" strokecolor="#000000">
                  <v:stroke dashstyle="solid"/>
                </v:line>
              </v:group>
            </w:pict>
          </mc:Fallback>
        </mc:AlternateContent>
      </w:r>
      <w:r>
        <w:rPr>
          <w:rFonts w:ascii="Arial"/>
          <w:sz w:val="2"/>
        </w:rPr>
      </w:r>
    </w:p>
    <w:p>
      <w:pPr>
        <w:tabs>
          <w:tab w:pos="2227" w:val="left" w:leader="none"/>
          <w:tab w:pos="4181" w:val="left" w:leader="none"/>
          <w:tab w:pos="5785" w:val="left" w:leader="none"/>
        </w:tabs>
        <w:spacing w:before="141"/>
        <w:ind w:left="720" w:right="0" w:firstLine="0"/>
        <w:jc w:val="left"/>
        <w:rPr>
          <w:rFonts w:ascii="Arial"/>
          <w:i/>
          <w:sz w:val="16"/>
        </w:rPr>
      </w:pPr>
      <w:r>
        <w:rPr>
          <w:rFonts w:ascii="Arial"/>
          <w:i/>
          <w:sz w:val="16"/>
        </w:rPr>
        <w:t>Loans</w:t>
      </w:r>
      <w:r>
        <w:rPr>
          <w:rFonts w:ascii="Arial"/>
          <w:i/>
          <w:spacing w:val="-4"/>
          <w:sz w:val="16"/>
        </w:rPr>
        <w:t> </w:t>
      </w:r>
      <w:r>
        <w:rPr>
          <w:rFonts w:ascii="Arial"/>
          <w:i/>
          <w:spacing w:val="-2"/>
          <w:sz w:val="16"/>
        </w:rPr>
        <w:t>outstanding</w:t>
      </w:r>
      <w:r>
        <w:rPr>
          <w:rFonts w:ascii="Arial"/>
          <w:i/>
          <w:sz w:val="16"/>
        </w:rPr>
        <w:tab/>
        <w:t>Loan</w:t>
      </w:r>
      <w:r>
        <w:rPr>
          <w:rFonts w:ascii="Arial"/>
          <w:i/>
          <w:spacing w:val="-4"/>
          <w:sz w:val="16"/>
        </w:rPr>
        <w:t> </w:t>
      </w:r>
      <w:r>
        <w:rPr>
          <w:rFonts w:ascii="Arial"/>
          <w:i/>
          <w:spacing w:val="-2"/>
          <w:sz w:val="16"/>
        </w:rPr>
        <w:t>commitments</w:t>
      </w:r>
      <w:r>
        <w:rPr>
          <w:rFonts w:ascii="Arial"/>
          <w:i/>
          <w:sz w:val="16"/>
        </w:rPr>
        <w:tab/>
        <w:t>Other</w:t>
      </w:r>
      <w:r>
        <w:rPr>
          <w:rFonts w:ascii="Arial"/>
          <w:i/>
          <w:spacing w:val="-5"/>
          <w:sz w:val="16"/>
        </w:rPr>
        <w:t> </w:t>
      </w:r>
      <w:r>
        <w:rPr>
          <w:rFonts w:ascii="Arial"/>
          <w:i/>
          <w:spacing w:val="-10"/>
          <w:sz w:val="16"/>
          <w:vertAlign w:val="superscript"/>
        </w:rPr>
        <w:t>a</w:t>
      </w:r>
      <w:r>
        <w:rPr>
          <w:rFonts w:ascii="Arial"/>
          <w:i/>
          <w:sz w:val="16"/>
          <w:vertAlign w:val="baseline"/>
        </w:rPr>
        <w:tab/>
      </w:r>
      <w:r>
        <w:rPr>
          <w:rFonts w:ascii="Arial"/>
          <w:i/>
          <w:spacing w:val="-2"/>
          <w:sz w:val="16"/>
          <w:vertAlign w:val="baseline"/>
        </w:rPr>
        <w:t>Total</w:t>
      </w:r>
    </w:p>
    <w:p>
      <w:pPr>
        <w:pStyle w:val="BodyText"/>
        <w:spacing w:before="7"/>
        <w:rPr>
          <w:rFonts w:ascii="Arial"/>
          <w:i/>
          <w:sz w:val="2"/>
        </w:rPr>
      </w:pPr>
    </w:p>
    <w:p>
      <w:pPr>
        <w:spacing w:line="20" w:lineRule="exact"/>
        <w:ind w:left="607" w:right="0" w:firstLine="0"/>
        <w:rPr>
          <w:rFonts w:ascii="Arial"/>
          <w:sz w:val="2"/>
        </w:rPr>
      </w:pPr>
      <w:r>
        <w:rPr>
          <w:rFonts w:ascii="Arial"/>
          <w:sz w:val="2"/>
        </w:rPr>
        <mc:AlternateContent>
          <mc:Choice Requires="wps">
            <w:drawing>
              <wp:inline distT="0" distB="0" distL="0" distR="0">
                <wp:extent cx="3886200" cy="12700"/>
                <wp:effectExtent l="9525" t="0" r="0" b="6350"/>
                <wp:docPr id="811" name="Group 811"/>
                <wp:cNvGraphicFramePr>
                  <a:graphicFrameLocks/>
                </wp:cNvGraphicFramePr>
                <a:graphic>
                  <a:graphicData uri="http://schemas.microsoft.com/office/word/2010/wordprocessingGroup">
                    <wpg:wgp>
                      <wpg:cNvPr id="811" name="Group 811"/>
                      <wpg:cNvGrpSpPr/>
                      <wpg:grpSpPr>
                        <a:xfrm>
                          <a:off x="0" y="0"/>
                          <a:ext cx="3886200" cy="12700"/>
                          <a:chExt cx="3886200" cy="12700"/>
                        </a:xfrm>
                      </wpg:grpSpPr>
                      <wps:wsp>
                        <wps:cNvPr id="812" name="Graphic 812"/>
                        <wps:cNvSpPr/>
                        <wps:spPr>
                          <a:xfrm>
                            <a:off x="0" y="6350"/>
                            <a:ext cx="3886200" cy="1270"/>
                          </a:xfrm>
                          <a:custGeom>
                            <a:avLst/>
                            <a:gdLst/>
                            <a:ahLst/>
                            <a:cxnLst/>
                            <a:rect l="l" t="t" r="r" b="b"/>
                            <a:pathLst>
                              <a:path w="3886200" h="0">
                                <a:moveTo>
                                  <a:pt x="0" y="0"/>
                                </a:moveTo>
                                <a:lnTo>
                                  <a:pt x="3886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6pt;height:1pt;mso-position-horizontal-relative:char;mso-position-vertical-relative:line" id="docshapegroup681" coordorigin="0,0" coordsize="6120,20">
                <v:line style="position:absolute" from="0,10" to="6120,10" stroked="true" strokeweight="1pt" strokecolor="#000000">
                  <v:stroke dashstyle="solid"/>
                </v:line>
              </v:group>
            </w:pict>
          </mc:Fallback>
        </mc:AlternateContent>
      </w:r>
      <w:r>
        <w:rPr>
          <w:rFonts w:ascii="Arial"/>
          <w:sz w:val="2"/>
        </w:rPr>
      </w:r>
    </w:p>
    <w:p>
      <w:pPr>
        <w:spacing w:after="0" w:line="20" w:lineRule="exact"/>
        <w:rPr>
          <w:rFonts w:ascii="Arial"/>
          <w:sz w:val="2"/>
        </w:rPr>
        <w:sectPr>
          <w:type w:val="continuous"/>
          <w:pgSz w:w="12240" w:h="15840"/>
          <w:pgMar w:header="1033" w:footer="528" w:top="1820" w:bottom="280" w:left="720" w:right="720"/>
          <w:cols w:num="2" w:equalWidth="0">
            <w:col w:w="3286" w:space="51"/>
            <w:col w:w="7463"/>
          </w:cols>
        </w:sect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22"/>
        <w:gridCol w:w="601"/>
        <w:gridCol w:w="927"/>
        <w:gridCol w:w="667"/>
        <w:gridCol w:w="1573"/>
        <w:gridCol w:w="835"/>
        <w:gridCol w:w="582"/>
        <w:gridCol w:w="927"/>
      </w:tblGrid>
      <w:tr>
        <w:trPr>
          <w:trHeight w:val="205" w:hRule="atLeast"/>
        </w:trPr>
        <w:tc>
          <w:tcPr>
            <w:tcW w:w="3823" w:type="dxa"/>
            <w:gridSpan w:val="2"/>
          </w:tcPr>
          <w:p>
            <w:pPr>
              <w:pStyle w:val="TableParagraph"/>
              <w:tabs>
                <w:tab w:pos="3274" w:val="left" w:leader="none"/>
              </w:tabs>
              <w:spacing w:line="179" w:lineRule="exact"/>
              <w:ind w:left="230"/>
              <w:rPr>
                <w:sz w:val="16"/>
              </w:rPr>
            </w:pPr>
            <w:r>
              <w:rPr>
                <w:rFonts w:ascii="Arial"/>
                <w:b/>
                <w:sz w:val="16"/>
              </w:rPr>
              <w:t>beginning</w:t>
            </w:r>
            <w:r>
              <w:rPr>
                <w:rFonts w:ascii="Arial"/>
                <w:b/>
                <w:spacing w:val="-4"/>
                <w:sz w:val="16"/>
              </w:rPr>
              <w:t> </w:t>
            </w:r>
            <w:r>
              <w:rPr>
                <w:rFonts w:ascii="Arial"/>
                <w:b/>
                <w:sz w:val="16"/>
              </w:rPr>
              <w:t>of</w:t>
            </w:r>
            <w:r>
              <w:rPr>
                <w:rFonts w:ascii="Arial"/>
                <w:b/>
                <w:spacing w:val="-3"/>
                <w:sz w:val="16"/>
              </w:rPr>
              <w:t> </w:t>
            </w:r>
            <w:r>
              <w:rPr>
                <w:rFonts w:ascii="Arial"/>
                <w:b/>
                <w:sz w:val="16"/>
              </w:rPr>
              <w:t>the</w:t>
            </w:r>
            <w:r>
              <w:rPr>
                <w:rFonts w:ascii="Arial"/>
                <w:b/>
                <w:spacing w:val="-4"/>
                <w:sz w:val="16"/>
              </w:rPr>
              <w:t> </w:t>
            </w:r>
            <w:r>
              <w:rPr>
                <w:rFonts w:ascii="Arial"/>
                <w:b/>
                <w:sz w:val="16"/>
              </w:rPr>
              <w:t>fiscal</w:t>
            </w:r>
            <w:r>
              <w:rPr>
                <w:rFonts w:ascii="Arial"/>
                <w:b/>
                <w:spacing w:val="-2"/>
                <w:sz w:val="16"/>
              </w:rPr>
              <w:t> </w:t>
            </w:r>
            <w:r>
              <w:rPr>
                <w:rFonts w:ascii="Arial"/>
                <w:b/>
                <w:spacing w:val="-4"/>
                <w:sz w:val="16"/>
              </w:rPr>
              <w:t>year</w:t>
            </w:r>
            <w:r>
              <w:rPr>
                <w:rFonts w:ascii="Arial"/>
                <w:b/>
                <w:sz w:val="16"/>
              </w:rPr>
              <w:tab/>
            </w:r>
            <w:r>
              <w:rPr>
                <w:spacing w:val="-10"/>
                <w:sz w:val="16"/>
              </w:rPr>
              <w:t>$</w:t>
            </w:r>
          </w:p>
        </w:tc>
        <w:tc>
          <w:tcPr>
            <w:tcW w:w="927" w:type="dxa"/>
          </w:tcPr>
          <w:p>
            <w:pPr>
              <w:pStyle w:val="TableParagraph"/>
              <w:spacing w:line="179" w:lineRule="exact"/>
              <w:ind w:right="63"/>
              <w:jc w:val="right"/>
              <w:rPr>
                <w:sz w:val="16"/>
              </w:rPr>
            </w:pPr>
            <w:r>
              <w:rPr>
                <w:spacing w:val="-2"/>
                <w:sz w:val="16"/>
              </w:rPr>
              <w:t>1,270</w:t>
            </w:r>
          </w:p>
        </w:tc>
        <w:tc>
          <w:tcPr>
            <w:tcW w:w="667" w:type="dxa"/>
          </w:tcPr>
          <w:p>
            <w:pPr>
              <w:pStyle w:val="TableParagraph"/>
              <w:spacing w:line="179" w:lineRule="exact"/>
              <w:ind w:left="55"/>
              <w:rPr>
                <w:sz w:val="16"/>
              </w:rPr>
            </w:pPr>
            <w:r>
              <w:rPr>
                <w:spacing w:val="-10"/>
                <w:sz w:val="16"/>
              </w:rPr>
              <w:t>$</w:t>
            </w:r>
          </w:p>
        </w:tc>
        <w:tc>
          <w:tcPr>
            <w:tcW w:w="1573" w:type="dxa"/>
          </w:tcPr>
          <w:p>
            <w:pPr>
              <w:pStyle w:val="TableParagraph"/>
              <w:spacing w:line="179" w:lineRule="exact"/>
              <w:ind w:left="530"/>
              <w:rPr>
                <w:sz w:val="16"/>
              </w:rPr>
            </w:pPr>
            <w:r>
              <w:rPr>
                <w:sz w:val="16"/>
              </w:rPr>
              <w:t>326</w:t>
            </w:r>
            <w:r>
              <w:rPr>
                <w:spacing w:val="73"/>
                <w:sz w:val="16"/>
              </w:rPr>
              <w:t> </w:t>
            </w:r>
            <w:r>
              <w:rPr>
                <w:spacing w:val="-10"/>
                <w:sz w:val="16"/>
              </w:rPr>
              <w:t>$</w:t>
            </w:r>
          </w:p>
        </w:tc>
        <w:tc>
          <w:tcPr>
            <w:tcW w:w="835" w:type="dxa"/>
          </w:tcPr>
          <w:p>
            <w:pPr>
              <w:pStyle w:val="TableParagraph"/>
              <w:spacing w:line="179" w:lineRule="exact"/>
              <w:ind w:right="78"/>
              <w:jc w:val="right"/>
              <w:rPr>
                <w:sz w:val="16"/>
              </w:rPr>
            </w:pPr>
            <w:r>
              <w:rPr>
                <w:spacing w:val="-5"/>
                <w:sz w:val="16"/>
              </w:rPr>
              <w:t>51</w:t>
            </w:r>
          </w:p>
        </w:tc>
        <w:tc>
          <w:tcPr>
            <w:tcW w:w="582" w:type="dxa"/>
          </w:tcPr>
          <w:p>
            <w:pPr>
              <w:pStyle w:val="TableParagraph"/>
              <w:spacing w:line="179" w:lineRule="exact"/>
              <w:ind w:left="40"/>
              <w:rPr>
                <w:sz w:val="16"/>
              </w:rPr>
            </w:pPr>
            <w:r>
              <w:rPr>
                <w:spacing w:val="-10"/>
                <w:sz w:val="16"/>
              </w:rPr>
              <w:t>$</w:t>
            </w:r>
          </w:p>
        </w:tc>
        <w:tc>
          <w:tcPr>
            <w:tcW w:w="927" w:type="dxa"/>
          </w:tcPr>
          <w:p>
            <w:pPr>
              <w:pStyle w:val="TableParagraph"/>
              <w:spacing w:line="179" w:lineRule="exact"/>
              <w:ind w:right="57"/>
              <w:jc w:val="right"/>
              <w:rPr>
                <w:sz w:val="16"/>
              </w:rPr>
            </w:pPr>
            <w:r>
              <w:rPr>
                <w:spacing w:val="-2"/>
                <w:sz w:val="16"/>
              </w:rPr>
              <w:t>1,647</w:t>
            </w:r>
          </w:p>
        </w:tc>
      </w:tr>
      <w:tr>
        <w:trPr>
          <w:trHeight w:val="228" w:hRule="atLeast"/>
        </w:trPr>
        <w:tc>
          <w:tcPr>
            <w:tcW w:w="3823" w:type="dxa"/>
            <w:gridSpan w:val="2"/>
          </w:tcPr>
          <w:p>
            <w:pPr>
              <w:pStyle w:val="TableParagraph"/>
              <w:spacing w:before="14"/>
              <w:ind w:left="50"/>
              <w:rPr>
                <w:sz w:val="16"/>
              </w:rPr>
            </w:pPr>
            <w:r>
              <w:rPr>
                <w:sz w:val="16"/>
              </w:rPr>
              <w:t>Provision</w:t>
            </w:r>
            <w:r>
              <w:rPr>
                <w:spacing w:val="-4"/>
                <w:sz w:val="16"/>
              </w:rPr>
              <w:t> </w:t>
            </w:r>
            <w:r>
              <w:rPr>
                <w:sz w:val="16"/>
              </w:rPr>
              <w:t>-</w:t>
            </w:r>
            <w:r>
              <w:rPr>
                <w:spacing w:val="-2"/>
                <w:sz w:val="16"/>
              </w:rPr>
              <w:t> </w:t>
            </w:r>
            <w:r>
              <w:rPr>
                <w:sz w:val="16"/>
              </w:rPr>
              <w:t>charge</w:t>
            </w:r>
            <w:r>
              <w:rPr>
                <w:spacing w:val="-3"/>
                <w:sz w:val="16"/>
              </w:rPr>
              <w:t> </w:t>
            </w:r>
            <w:r>
              <w:rPr>
                <w:spacing w:val="-2"/>
                <w:sz w:val="16"/>
              </w:rPr>
              <w:t>(release)</w:t>
            </w:r>
          </w:p>
        </w:tc>
        <w:tc>
          <w:tcPr>
            <w:tcW w:w="927" w:type="dxa"/>
          </w:tcPr>
          <w:p>
            <w:pPr>
              <w:pStyle w:val="TableParagraph"/>
              <w:spacing w:before="21"/>
              <w:ind w:right="63"/>
              <w:jc w:val="right"/>
              <w:rPr>
                <w:sz w:val="16"/>
              </w:rPr>
            </w:pPr>
            <w:r>
              <w:rPr>
                <w:spacing w:val="-5"/>
                <w:sz w:val="16"/>
              </w:rPr>
              <w:t>509</w:t>
            </w:r>
          </w:p>
        </w:tc>
        <w:tc>
          <w:tcPr>
            <w:tcW w:w="667" w:type="dxa"/>
          </w:tcPr>
          <w:p>
            <w:pPr>
              <w:pStyle w:val="TableParagraph"/>
              <w:rPr>
                <w:rFonts w:ascii="Times New Roman"/>
                <w:sz w:val="16"/>
              </w:rPr>
            </w:pPr>
          </w:p>
        </w:tc>
        <w:tc>
          <w:tcPr>
            <w:tcW w:w="1573" w:type="dxa"/>
          </w:tcPr>
          <w:p>
            <w:pPr>
              <w:pStyle w:val="TableParagraph"/>
              <w:spacing w:before="21"/>
              <w:ind w:right="154"/>
              <w:jc w:val="center"/>
              <w:rPr>
                <w:sz w:val="16"/>
              </w:rPr>
            </w:pPr>
            <w:r>
              <w:rPr>
                <w:spacing w:val="-5"/>
                <w:sz w:val="16"/>
              </w:rPr>
              <w:t>44</w:t>
            </w:r>
          </w:p>
        </w:tc>
        <w:tc>
          <w:tcPr>
            <w:tcW w:w="835" w:type="dxa"/>
          </w:tcPr>
          <w:p>
            <w:pPr>
              <w:pStyle w:val="TableParagraph"/>
              <w:spacing w:before="21"/>
              <w:ind w:right="78"/>
              <w:jc w:val="right"/>
              <w:rPr>
                <w:sz w:val="16"/>
              </w:rPr>
            </w:pPr>
            <w:r>
              <w:rPr>
                <w:spacing w:val="-5"/>
                <w:sz w:val="16"/>
              </w:rPr>
              <w:t>17</w:t>
            </w:r>
          </w:p>
        </w:tc>
        <w:tc>
          <w:tcPr>
            <w:tcW w:w="582" w:type="dxa"/>
          </w:tcPr>
          <w:p>
            <w:pPr>
              <w:pStyle w:val="TableParagraph"/>
              <w:rPr>
                <w:rFonts w:ascii="Times New Roman"/>
                <w:sz w:val="16"/>
              </w:rPr>
            </w:pPr>
          </w:p>
        </w:tc>
        <w:tc>
          <w:tcPr>
            <w:tcW w:w="927" w:type="dxa"/>
          </w:tcPr>
          <w:p>
            <w:pPr>
              <w:pStyle w:val="TableParagraph"/>
              <w:spacing w:before="21"/>
              <w:ind w:right="57"/>
              <w:jc w:val="right"/>
              <w:rPr>
                <w:sz w:val="16"/>
              </w:rPr>
            </w:pPr>
            <w:r>
              <w:rPr>
                <w:spacing w:val="-5"/>
                <w:sz w:val="16"/>
              </w:rPr>
              <w:t>570</w:t>
            </w:r>
          </w:p>
        </w:tc>
      </w:tr>
      <w:tr>
        <w:trPr>
          <w:trHeight w:val="213" w:hRule="atLeast"/>
        </w:trPr>
        <w:tc>
          <w:tcPr>
            <w:tcW w:w="3823" w:type="dxa"/>
            <w:gridSpan w:val="2"/>
          </w:tcPr>
          <w:p>
            <w:pPr>
              <w:pStyle w:val="TableParagraph"/>
              <w:spacing w:line="184" w:lineRule="exact" w:before="10"/>
              <w:ind w:left="50"/>
              <w:rPr>
                <w:sz w:val="16"/>
              </w:rPr>
            </w:pPr>
            <w:r>
              <w:rPr>
                <w:spacing w:val="-2"/>
                <w:sz w:val="16"/>
              </w:rPr>
              <w:t>Translation</w:t>
            </w:r>
            <w:r>
              <w:rPr>
                <w:spacing w:val="9"/>
                <w:sz w:val="16"/>
              </w:rPr>
              <w:t> </w:t>
            </w:r>
            <w:r>
              <w:rPr>
                <w:spacing w:val="-2"/>
                <w:sz w:val="16"/>
              </w:rPr>
              <w:t>adjustment</w:t>
            </w:r>
          </w:p>
        </w:tc>
        <w:tc>
          <w:tcPr>
            <w:tcW w:w="927" w:type="dxa"/>
            <w:tcBorders>
              <w:bottom w:val="single" w:sz="8" w:space="0" w:color="000000"/>
            </w:tcBorders>
          </w:tcPr>
          <w:p>
            <w:pPr>
              <w:pStyle w:val="TableParagraph"/>
              <w:spacing w:line="176" w:lineRule="exact" w:before="18"/>
              <w:ind w:right="10"/>
              <w:jc w:val="right"/>
              <w:rPr>
                <w:sz w:val="16"/>
              </w:rPr>
            </w:pPr>
            <w:r>
              <w:rPr>
                <w:spacing w:val="-4"/>
                <w:sz w:val="16"/>
              </w:rPr>
              <w:t>(37)</w:t>
            </w:r>
          </w:p>
        </w:tc>
        <w:tc>
          <w:tcPr>
            <w:tcW w:w="667" w:type="dxa"/>
            <w:tcBorders>
              <w:bottom w:val="single" w:sz="8" w:space="0" w:color="000000"/>
            </w:tcBorders>
          </w:tcPr>
          <w:p>
            <w:pPr>
              <w:pStyle w:val="TableParagraph"/>
              <w:rPr>
                <w:rFonts w:ascii="Times New Roman"/>
                <w:sz w:val="14"/>
              </w:rPr>
            </w:pPr>
          </w:p>
        </w:tc>
        <w:tc>
          <w:tcPr>
            <w:tcW w:w="1573" w:type="dxa"/>
            <w:tcBorders>
              <w:bottom w:val="single" w:sz="8" w:space="0" w:color="000000"/>
            </w:tcBorders>
          </w:tcPr>
          <w:p>
            <w:pPr>
              <w:pStyle w:val="TableParagraph"/>
              <w:spacing w:line="176" w:lineRule="exact" w:before="18"/>
              <w:ind w:right="154"/>
              <w:jc w:val="center"/>
              <w:rPr>
                <w:sz w:val="16"/>
              </w:rPr>
            </w:pPr>
            <w:r>
              <w:rPr>
                <w:spacing w:val="-4"/>
                <w:sz w:val="16"/>
              </w:rPr>
              <w:t>(11)</w:t>
            </w:r>
          </w:p>
        </w:tc>
        <w:tc>
          <w:tcPr>
            <w:tcW w:w="835" w:type="dxa"/>
            <w:tcBorders>
              <w:bottom w:val="single" w:sz="8" w:space="0" w:color="000000"/>
            </w:tcBorders>
          </w:tcPr>
          <w:p>
            <w:pPr>
              <w:pStyle w:val="TableParagraph"/>
              <w:spacing w:line="176" w:lineRule="exact" w:before="18"/>
              <w:ind w:right="25"/>
              <w:jc w:val="right"/>
              <w:rPr>
                <w:sz w:val="16"/>
              </w:rPr>
            </w:pPr>
            <w:r>
              <w:rPr>
                <w:spacing w:val="-5"/>
                <w:sz w:val="16"/>
              </w:rPr>
              <w:t>(4)</w:t>
            </w:r>
          </w:p>
        </w:tc>
        <w:tc>
          <w:tcPr>
            <w:tcW w:w="582" w:type="dxa"/>
            <w:tcBorders>
              <w:bottom w:val="single" w:sz="8" w:space="0" w:color="000000"/>
            </w:tcBorders>
          </w:tcPr>
          <w:p>
            <w:pPr>
              <w:pStyle w:val="TableParagraph"/>
              <w:rPr>
                <w:rFonts w:ascii="Times New Roman"/>
                <w:sz w:val="14"/>
              </w:rPr>
            </w:pPr>
          </w:p>
        </w:tc>
        <w:tc>
          <w:tcPr>
            <w:tcW w:w="927" w:type="dxa"/>
            <w:tcBorders>
              <w:bottom w:val="single" w:sz="8" w:space="0" w:color="000000"/>
            </w:tcBorders>
          </w:tcPr>
          <w:p>
            <w:pPr>
              <w:pStyle w:val="TableParagraph"/>
              <w:spacing w:line="176" w:lineRule="exact" w:before="18"/>
              <w:ind w:right="4"/>
              <w:jc w:val="right"/>
              <w:rPr>
                <w:sz w:val="16"/>
              </w:rPr>
            </w:pPr>
            <w:r>
              <w:rPr>
                <w:spacing w:val="-4"/>
                <w:sz w:val="16"/>
              </w:rPr>
              <w:t>(52)</w:t>
            </w:r>
          </w:p>
        </w:tc>
      </w:tr>
      <w:tr>
        <w:trPr>
          <w:trHeight w:val="335" w:hRule="atLeast"/>
        </w:trPr>
        <w:tc>
          <w:tcPr>
            <w:tcW w:w="3823" w:type="dxa"/>
            <w:gridSpan w:val="2"/>
          </w:tcPr>
          <w:p>
            <w:pPr>
              <w:pStyle w:val="TableParagraph"/>
              <w:spacing w:line="133" w:lineRule="exact"/>
              <w:ind w:left="50"/>
              <w:rPr>
                <w:rFonts w:ascii="Arial"/>
                <w:b/>
                <w:sz w:val="16"/>
              </w:rPr>
            </w:pPr>
            <w:r>
              <w:rPr>
                <w:rFonts w:ascii="Arial"/>
                <w:b/>
                <w:sz w:val="16"/>
              </w:rPr>
              <w:t>Accumulated</w:t>
            </w:r>
            <w:r>
              <w:rPr>
                <w:rFonts w:ascii="Arial"/>
                <w:b/>
                <w:spacing w:val="-5"/>
                <w:sz w:val="16"/>
              </w:rPr>
              <w:t> </w:t>
            </w:r>
            <w:r>
              <w:rPr>
                <w:rFonts w:ascii="Arial"/>
                <w:b/>
                <w:sz w:val="16"/>
              </w:rPr>
              <w:t>provision,</w:t>
            </w:r>
            <w:r>
              <w:rPr>
                <w:rFonts w:ascii="Arial"/>
                <w:b/>
                <w:spacing w:val="-4"/>
                <w:sz w:val="16"/>
              </w:rPr>
              <w:t> </w:t>
            </w:r>
            <w:r>
              <w:rPr>
                <w:rFonts w:ascii="Arial"/>
                <w:b/>
                <w:sz w:val="16"/>
              </w:rPr>
              <w:t>end</w:t>
            </w:r>
            <w:r>
              <w:rPr>
                <w:rFonts w:ascii="Arial"/>
                <w:b/>
                <w:spacing w:val="-5"/>
                <w:sz w:val="16"/>
              </w:rPr>
              <w:t> </w:t>
            </w:r>
            <w:r>
              <w:rPr>
                <w:rFonts w:ascii="Arial"/>
                <w:b/>
                <w:sz w:val="16"/>
              </w:rPr>
              <w:t>of</w:t>
            </w:r>
            <w:r>
              <w:rPr>
                <w:rFonts w:ascii="Arial"/>
                <w:b/>
                <w:spacing w:val="-4"/>
                <w:sz w:val="16"/>
              </w:rPr>
              <w:t> </w:t>
            </w:r>
            <w:r>
              <w:rPr>
                <w:rFonts w:ascii="Arial"/>
                <w:b/>
                <w:sz w:val="16"/>
              </w:rPr>
              <w:t>the</w:t>
            </w:r>
            <w:r>
              <w:rPr>
                <w:rFonts w:ascii="Arial"/>
                <w:b/>
                <w:spacing w:val="-4"/>
                <w:sz w:val="16"/>
              </w:rPr>
              <w:t> </w:t>
            </w:r>
            <w:r>
              <w:rPr>
                <w:rFonts w:ascii="Arial"/>
                <w:b/>
                <w:spacing w:val="-2"/>
                <w:sz w:val="16"/>
              </w:rPr>
              <w:t>fiscal</w:t>
            </w:r>
          </w:p>
          <w:p>
            <w:pPr>
              <w:pStyle w:val="TableParagraph"/>
              <w:tabs>
                <w:tab w:pos="3274" w:val="left" w:leader="none"/>
              </w:tabs>
              <w:spacing w:line="164" w:lineRule="exact" w:before="8"/>
              <w:ind w:left="230"/>
              <w:rPr>
                <w:sz w:val="16"/>
              </w:rPr>
            </w:pPr>
            <w:r>
              <w:rPr>
                <w:rFonts w:ascii="Arial"/>
                <w:b/>
                <w:spacing w:val="-4"/>
                <w:sz w:val="16"/>
              </w:rPr>
              <w:t>year</w:t>
            </w:r>
            <w:r>
              <w:rPr>
                <w:rFonts w:ascii="Arial"/>
                <w:b/>
                <w:sz w:val="16"/>
              </w:rPr>
              <w:tab/>
            </w:r>
            <w:r>
              <w:rPr>
                <w:spacing w:val="-10"/>
                <w:sz w:val="16"/>
              </w:rPr>
              <w:t>$</w:t>
            </w:r>
          </w:p>
        </w:tc>
        <w:tc>
          <w:tcPr>
            <w:tcW w:w="1594" w:type="dxa"/>
            <w:gridSpan w:val="2"/>
            <w:tcBorders>
              <w:bottom w:val="double" w:sz="8" w:space="0" w:color="000000"/>
            </w:tcBorders>
          </w:tcPr>
          <w:p>
            <w:pPr>
              <w:pStyle w:val="TableParagraph"/>
              <w:spacing w:line="164" w:lineRule="exact" w:before="141"/>
              <w:ind w:left="461"/>
              <w:rPr>
                <w:sz w:val="16"/>
              </w:rPr>
            </w:pPr>
            <w:r>
              <w:rPr>
                <w:sz w:val="16"/>
              </w:rPr>
              <w:t>1,742</w:t>
            </w:r>
            <w:r>
              <w:rPr>
                <w:spacing w:val="72"/>
                <w:sz w:val="16"/>
              </w:rPr>
              <w:t> </w:t>
            </w:r>
            <w:r>
              <w:rPr>
                <w:spacing w:val="-10"/>
                <w:sz w:val="16"/>
              </w:rPr>
              <w:t>$</w:t>
            </w:r>
          </w:p>
        </w:tc>
        <w:tc>
          <w:tcPr>
            <w:tcW w:w="1573" w:type="dxa"/>
            <w:tcBorders>
              <w:bottom w:val="double" w:sz="8" w:space="0" w:color="000000"/>
            </w:tcBorders>
          </w:tcPr>
          <w:p>
            <w:pPr>
              <w:pStyle w:val="TableParagraph"/>
              <w:spacing w:line="164" w:lineRule="exact" w:before="141"/>
              <w:ind w:left="530"/>
              <w:rPr>
                <w:sz w:val="16"/>
              </w:rPr>
            </w:pPr>
            <w:r>
              <w:rPr>
                <w:sz w:val="16"/>
              </w:rPr>
              <w:t>359</w:t>
            </w:r>
            <w:r>
              <w:rPr>
                <w:spacing w:val="73"/>
                <w:sz w:val="16"/>
              </w:rPr>
              <w:t> </w:t>
            </w:r>
            <w:r>
              <w:rPr>
                <w:spacing w:val="-10"/>
                <w:sz w:val="16"/>
              </w:rPr>
              <w:t>$</w:t>
            </w:r>
          </w:p>
        </w:tc>
        <w:tc>
          <w:tcPr>
            <w:tcW w:w="1417" w:type="dxa"/>
            <w:gridSpan w:val="2"/>
            <w:tcBorders>
              <w:bottom w:val="double" w:sz="8" w:space="0" w:color="000000"/>
            </w:tcBorders>
          </w:tcPr>
          <w:p>
            <w:pPr>
              <w:pStyle w:val="TableParagraph"/>
              <w:spacing w:line="164" w:lineRule="exact" w:before="141"/>
              <w:ind w:left="576"/>
              <w:rPr>
                <w:sz w:val="16"/>
              </w:rPr>
            </w:pPr>
            <w:r>
              <w:rPr>
                <w:sz w:val="16"/>
              </w:rPr>
              <w:t>64</w:t>
            </w:r>
            <w:r>
              <w:rPr>
                <w:spacing w:val="74"/>
                <w:sz w:val="16"/>
              </w:rPr>
              <w:t> </w:t>
            </w:r>
            <w:r>
              <w:rPr>
                <w:spacing w:val="-12"/>
                <w:sz w:val="16"/>
              </w:rPr>
              <w:t>$</w:t>
            </w:r>
          </w:p>
        </w:tc>
        <w:tc>
          <w:tcPr>
            <w:tcW w:w="927" w:type="dxa"/>
            <w:tcBorders>
              <w:bottom w:val="double" w:sz="8" w:space="0" w:color="000000"/>
            </w:tcBorders>
          </w:tcPr>
          <w:p>
            <w:pPr>
              <w:pStyle w:val="TableParagraph"/>
              <w:spacing w:line="164" w:lineRule="exact" w:before="141"/>
              <w:ind w:right="57"/>
              <w:jc w:val="right"/>
              <w:rPr>
                <w:sz w:val="16"/>
              </w:rPr>
            </w:pPr>
            <w:r>
              <w:rPr>
                <w:spacing w:val="-2"/>
                <w:sz w:val="16"/>
              </w:rPr>
              <w:t>2,165</w:t>
            </w:r>
          </w:p>
        </w:tc>
      </w:tr>
      <w:tr>
        <w:trPr>
          <w:trHeight w:val="338" w:hRule="atLeast"/>
        </w:trPr>
        <w:tc>
          <w:tcPr>
            <w:tcW w:w="3222" w:type="dxa"/>
          </w:tcPr>
          <w:p>
            <w:pPr>
              <w:pStyle w:val="TableParagraph"/>
              <w:spacing w:line="208" w:lineRule="auto"/>
              <w:ind w:left="230" w:hanging="180"/>
              <w:rPr>
                <w:rFonts w:ascii="Arial"/>
                <w:b/>
                <w:sz w:val="16"/>
              </w:rPr>
            </w:pPr>
            <w:r>
              <w:rPr>
                <w:rFonts w:ascii="Arial"/>
                <w:b/>
                <w:sz w:val="16"/>
              </w:rPr>
              <w:t>Composed</w:t>
            </w:r>
            <w:r>
              <w:rPr>
                <w:rFonts w:ascii="Arial"/>
                <w:b/>
                <w:spacing w:val="-11"/>
                <w:sz w:val="16"/>
              </w:rPr>
              <w:t> </w:t>
            </w:r>
            <w:r>
              <w:rPr>
                <w:rFonts w:ascii="Arial"/>
                <w:b/>
                <w:sz w:val="16"/>
              </w:rPr>
              <w:t>of</w:t>
            </w:r>
            <w:r>
              <w:rPr>
                <w:rFonts w:ascii="Arial"/>
                <w:b/>
                <w:spacing w:val="-10"/>
                <w:sz w:val="16"/>
              </w:rPr>
              <w:t> </w:t>
            </w:r>
            <w:r>
              <w:rPr>
                <w:rFonts w:ascii="Arial"/>
                <w:b/>
                <w:sz w:val="16"/>
              </w:rPr>
              <w:t>accumulated</w:t>
            </w:r>
            <w:r>
              <w:rPr>
                <w:rFonts w:ascii="Arial"/>
                <w:b/>
                <w:spacing w:val="-11"/>
                <w:sz w:val="16"/>
              </w:rPr>
              <w:t> </w:t>
            </w:r>
            <w:r>
              <w:rPr>
                <w:rFonts w:ascii="Arial"/>
                <w:b/>
                <w:sz w:val="16"/>
              </w:rPr>
              <w:t>provision</w:t>
            </w:r>
            <w:r>
              <w:rPr>
                <w:rFonts w:ascii="Arial"/>
                <w:b/>
                <w:spacing w:val="-11"/>
                <w:sz w:val="16"/>
              </w:rPr>
              <w:t> </w:t>
            </w:r>
            <w:r>
              <w:rPr>
                <w:rFonts w:ascii="Arial"/>
                <w:b/>
                <w:sz w:val="16"/>
              </w:rPr>
              <w:t>for losses on:</w:t>
            </w:r>
          </w:p>
        </w:tc>
        <w:tc>
          <w:tcPr>
            <w:tcW w:w="601" w:type="dxa"/>
          </w:tcPr>
          <w:p>
            <w:pPr>
              <w:pStyle w:val="TableParagraph"/>
              <w:rPr>
                <w:rFonts w:ascii="Times New Roman"/>
                <w:sz w:val="16"/>
              </w:rPr>
            </w:pPr>
          </w:p>
        </w:tc>
        <w:tc>
          <w:tcPr>
            <w:tcW w:w="5511" w:type="dxa"/>
            <w:gridSpan w:val="6"/>
          </w:tcPr>
          <w:p>
            <w:pPr>
              <w:pStyle w:val="TableParagraph"/>
              <w:rPr>
                <w:rFonts w:ascii="Times New Roman"/>
                <w:sz w:val="16"/>
              </w:rPr>
            </w:pPr>
          </w:p>
        </w:tc>
      </w:tr>
      <w:tr>
        <w:trPr>
          <w:trHeight w:val="228" w:hRule="atLeast"/>
        </w:trPr>
        <w:tc>
          <w:tcPr>
            <w:tcW w:w="3222" w:type="dxa"/>
          </w:tcPr>
          <w:p>
            <w:pPr>
              <w:pStyle w:val="TableParagraph"/>
              <w:spacing w:before="18"/>
              <w:ind w:left="290"/>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p>
        </w:tc>
        <w:tc>
          <w:tcPr>
            <w:tcW w:w="601" w:type="dxa"/>
          </w:tcPr>
          <w:p>
            <w:pPr>
              <w:pStyle w:val="TableParagraph"/>
              <w:spacing w:line="183" w:lineRule="exact" w:before="25"/>
              <w:ind w:left="53"/>
              <w:rPr>
                <w:sz w:val="16"/>
              </w:rPr>
            </w:pPr>
            <w:r>
              <w:rPr>
                <w:spacing w:val="-10"/>
                <w:sz w:val="16"/>
              </w:rPr>
              <w:t>$</w:t>
            </w:r>
          </w:p>
        </w:tc>
        <w:tc>
          <w:tcPr>
            <w:tcW w:w="5511" w:type="dxa"/>
            <w:gridSpan w:val="6"/>
          </w:tcPr>
          <w:p>
            <w:pPr>
              <w:pStyle w:val="TableParagraph"/>
              <w:spacing w:line="183" w:lineRule="exact" w:before="25"/>
              <w:ind w:left="461"/>
              <w:rPr>
                <w:sz w:val="16"/>
              </w:rPr>
            </w:pPr>
            <w:r>
              <w:rPr>
                <w:spacing w:val="-2"/>
                <w:sz w:val="16"/>
              </w:rPr>
              <w:t>1,528</w:t>
            </w:r>
          </w:p>
        </w:tc>
      </w:tr>
      <w:tr>
        <w:trPr>
          <w:trHeight w:val="227" w:hRule="atLeast"/>
        </w:trPr>
        <w:tc>
          <w:tcPr>
            <w:tcW w:w="3222" w:type="dxa"/>
          </w:tcPr>
          <w:p>
            <w:pPr>
              <w:pStyle w:val="TableParagraph"/>
              <w:spacing w:before="14"/>
              <w:ind w:right="1028"/>
              <w:jc w:val="right"/>
              <w:rPr>
                <w:sz w:val="16"/>
              </w:rPr>
            </w:pPr>
            <w:r>
              <w:rPr>
                <w:sz w:val="16"/>
              </w:rPr>
              <w:t>Loans</w:t>
            </w:r>
            <w:r>
              <w:rPr>
                <w:spacing w:val="-4"/>
                <w:sz w:val="16"/>
              </w:rPr>
              <w:t> </w:t>
            </w:r>
            <w:r>
              <w:rPr>
                <w:sz w:val="16"/>
              </w:rPr>
              <w:t>in</w:t>
            </w:r>
            <w:r>
              <w:rPr>
                <w:spacing w:val="-5"/>
                <w:sz w:val="16"/>
              </w:rPr>
              <w:t> </w:t>
            </w:r>
            <w:r>
              <w:rPr>
                <w:sz w:val="16"/>
              </w:rPr>
              <w:t>nonaccrual</w:t>
            </w:r>
            <w:r>
              <w:rPr>
                <w:spacing w:val="-3"/>
                <w:sz w:val="16"/>
              </w:rPr>
              <w:t> </w:t>
            </w:r>
            <w:r>
              <w:rPr>
                <w:spacing w:val="-2"/>
                <w:sz w:val="16"/>
              </w:rPr>
              <w:t>status</w:t>
            </w:r>
          </w:p>
        </w:tc>
        <w:tc>
          <w:tcPr>
            <w:tcW w:w="601" w:type="dxa"/>
          </w:tcPr>
          <w:p>
            <w:pPr>
              <w:pStyle w:val="TableParagraph"/>
              <w:rPr>
                <w:rFonts w:ascii="Times New Roman"/>
                <w:sz w:val="16"/>
              </w:rPr>
            </w:pPr>
          </w:p>
        </w:tc>
        <w:tc>
          <w:tcPr>
            <w:tcW w:w="5511" w:type="dxa"/>
            <w:gridSpan w:val="6"/>
          </w:tcPr>
          <w:p>
            <w:pPr>
              <w:pStyle w:val="TableParagraph"/>
              <w:spacing w:before="21"/>
              <w:ind w:left="594"/>
              <w:rPr>
                <w:sz w:val="16"/>
              </w:rPr>
            </w:pPr>
            <w:r>
              <w:rPr>
                <w:spacing w:val="-5"/>
                <w:sz w:val="16"/>
              </w:rPr>
              <w:t>214</w:t>
            </w:r>
          </w:p>
        </w:tc>
      </w:tr>
      <w:tr>
        <w:trPr>
          <w:trHeight w:val="423" w:hRule="atLeast"/>
        </w:trPr>
        <w:tc>
          <w:tcPr>
            <w:tcW w:w="3222" w:type="dxa"/>
          </w:tcPr>
          <w:p>
            <w:pPr>
              <w:pStyle w:val="TableParagraph"/>
              <w:spacing w:before="1"/>
              <w:ind w:left="50"/>
              <w:rPr>
                <w:sz w:val="16"/>
              </w:rPr>
            </w:pPr>
            <w:r>
              <w:rPr>
                <w:spacing w:val="-2"/>
                <w:sz w:val="16"/>
              </w:rPr>
              <w:t>Total</w:t>
            </w:r>
          </w:p>
          <w:p>
            <w:pPr>
              <w:pStyle w:val="TableParagraph"/>
              <w:spacing w:before="41"/>
              <w:ind w:left="50"/>
              <w:rPr>
                <w:sz w:val="16"/>
              </w:rPr>
            </w:pPr>
            <w:r>
              <w:rPr>
                <w:sz w:val="16"/>
              </w:rPr>
              <w:t>Loans,</w:t>
            </w:r>
            <w:r>
              <w:rPr>
                <w:spacing w:val="-3"/>
                <w:sz w:val="16"/>
              </w:rPr>
              <w:t> </w:t>
            </w:r>
            <w:r>
              <w:rPr>
                <w:sz w:val="16"/>
              </w:rPr>
              <w:t>end</w:t>
            </w:r>
            <w:r>
              <w:rPr>
                <w:spacing w:val="-2"/>
                <w:sz w:val="16"/>
              </w:rPr>
              <w:t> </w:t>
            </w:r>
            <w:r>
              <w:rPr>
                <w:sz w:val="16"/>
              </w:rPr>
              <w:t>of</w:t>
            </w:r>
            <w:r>
              <w:rPr>
                <w:spacing w:val="-2"/>
                <w:sz w:val="16"/>
              </w:rPr>
              <w:t> </w:t>
            </w:r>
            <w:r>
              <w:rPr>
                <w:sz w:val="16"/>
              </w:rPr>
              <w:t>the</w:t>
            </w:r>
            <w:r>
              <w:rPr>
                <w:spacing w:val="-3"/>
                <w:sz w:val="16"/>
              </w:rPr>
              <w:t> </w:t>
            </w:r>
            <w:r>
              <w:rPr>
                <w:sz w:val="16"/>
              </w:rPr>
              <w:t>fiscal</w:t>
            </w:r>
            <w:r>
              <w:rPr>
                <w:spacing w:val="-2"/>
                <w:sz w:val="16"/>
              </w:rPr>
              <w:t> year:</w:t>
            </w:r>
          </w:p>
        </w:tc>
        <w:tc>
          <w:tcPr>
            <w:tcW w:w="1528" w:type="dxa"/>
            <w:gridSpan w:val="2"/>
            <w:tcBorders>
              <w:top w:val="single" w:sz="8" w:space="0" w:color="000000"/>
            </w:tcBorders>
          </w:tcPr>
          <w:p>
            <w:pPr>
              <w:pStyle w:val="TableParagraph"/>
              <w:tabs>
                <w:tab w:pos="1062" w:val="left" w:leader="none"/>
              </w:tabs>
              <w:spacing w:before="9"/>
              <w:rPr>
                <w:sz w:val="16"/>
              </w:rPr>
            </w:pPr>
            <w:r>
              <w:rPr>
                <w:spacing w:val="12"/>
                <w:sz w:val="16"/>
                <w:u w:val="double"/>
              </w:rPr>
              <w:t> </w:t>
            </w:r>
            <w:r>
              <w:rPr>
                <w:spacing w:val="-10"/>
                <w:sz w:val="16"/>
                <w:u w:val="double"/>
              </w:rPr>
              <w:t>$</w:t>
            </w:r>
            <w:r>
              <w:rPr>
                <w:sz w:val="16"/>
                <w:u w:val="double"/>
              </w:rPr>
              <w:tab/>
            </w:r>
            <w:r>
              <w:rPr>
                <w:spacing w:val="-4"/>
                <w:sz w:val="16"/>
                <w:u w:val="double"/>
              </w:rPr>
              <w:t>1,742</w:t>
            </w:r>
          </w:p>
        </w:tc>
        <w:tc>
          <w:tcPr>
            <w:tcW w:w="4584" w:type="dxa"/>
            <w:gridSpan w:val="5"/>
          </w:tcPr>
          <w:p>
            <w:pPr>
              <w:pStyle w:val="TableParagraph"/>
              <w:rPr>
                <w:rFonts w:ascii="Times New Roman"/>
                <w:sz w:val="16"/>
              </w:rPr>
            </w:pPr>
          </w:p>
        </w:tc>
      </w:tr>
      <w:tr>
        <w:trPr>
          <w:trHeight w:val="228" w:hRule="atLeast"/>
        </w:trPr>
        <w:tc>
          <w:tcPr>
            <w:tcW w:w="3222" w:type="dxa"/>
          </w:tcPr>
          <w:p>
            <w:pPr>
              <w:pStyle w:val="TableParagraph"/>
              <w:spacing w:before="18"/>
              <w:ind w:left="290"/>
              <w:rPr>
                <w:sz w:val="16"/>
              </w:rPr>
            </w:pPr>
            <w:r>
              <w:rPr>
                <w:sz w:val="16"/>
              </w:rPr>
              <w:t>Loans</w:t>
            </w:r>
            <w:r>
              <w:rPr>
                <w:spacing w:val="-3"/>
                <w:sz w:val="16"/>
              </w:rPr>
              <w:t> </w:t>
            </w:r>
            <w:r>
              <w:rPr>
                <w:sz w:val="16"/>
              </w:rPr>
              <w:t>in</w:t>
            </w:r>
            <w:r>
              <w:rPr>
                <w:spacing w:val="-4"/>
                <w:sz w:val="16"/>
              </w:rPr>
              <w:t> </w:t>
            </w:r>
            <w:r>
              <w:rPr>
                <w:sz w:val="16"/>
              </w:rPr>
              <w:t>accrual</w:t>
            </w:r>
            <w:r>
              <w:rPr>
                <w:spacing w:val="-2"/>
                <w:sz w:val="16"/>
              </w:rPr>
              <w:t> status</w:t>
            </w:r>
          </w:p>
        </w:tc>
        <w:tc>
          <w:tcPr>
            <w:tcW w:w="1528" w:type="dxa"/>
            <w:gridSpan w:val="2"/>
          </w:tcPr>
          <w:p>
            <w:pPr>
              <w:pStyle w:val="TableParagraph"/>
              <w:tabs>
                <w:tab w:pos="884" w:val="left" w:leader="none"/>
              </w:tabs>
              <w:spacing w:line="183" w:lineRule="exact" w:before="25"/>
              <w:ind w:left="53"/>
              <w:rPr>
                <w:sz w:val="16"/>
              </w:rPr>
            </w:pPr>
            <w:r>
              <w:rPr>
                <w:spacing w:val="-10"/>
                <w:sz w:val="16"/>
              </w:rPr>
              <w:t>$</w:t>
            </w:r>
            <w:r>
              <w:rPr>
                <w:sz w:val="16"/>
              </w:rPr>
              <w:tab/>
            </w:r>
            <w:r>
              <w:rPr>
                <w:spacing w:val="-2"/>
                <w:sz w:val="16"/>
              </w:rPr>
              <w:t>228,916</w:t>
            </w:r>
          </w:p>
        </w:tc>
        <w:tc>
          <w:tcPr>
            <w:tcW w:w="4584" w:type="dxa"/>
            <w:gridSpan w:val="5"/>
          </w:tcPr>
          <w:p>
            <w:pPr>
              <w:pStyle w:val="TableParagraph"/>
              <w:rPr>
                <w:rFonts w:ascii="Times New Roman"/>
                <w:sz w:val="16"/>
              </w:rPr>
            </w:pPr>
          </w:p>
        </w:tc>
      </w:tr>
      <w:tr>
        <w:trPr>
          <w:trHeight w:val="217" w:hRule="atLeast"/>
        </w:trPr>
        <w:tc>
          <w:tcPr>
            <w:tcW w:w="3222" w:type="dxa"/>
          </w:tcPr>
          <w:p>
            <w:pPr>
              <w:pStyle w:val="TableParagraph"/>
              <w:spacing w:line="184" w:lineRule="exact" w:before="14"/>
              <w:ind w:right="1028"/>
              <w:jc w:val="right"/>
              <w:rPr>
                <w:sz w:val="16"/>
              </w:rPr>
            </w:pPr>
            <w:r>
              <w:rPr>
                <w:sz w:val="16"/>
              </w:rPr>
              <w:t>Loans</w:t>
            </w:r>
            <w:r>
              <w:rPr>
                <w:spacing w:val="-4"/>
                <w:sz w:val="16"/>
              </w:rPr>
              <w:t> </w:t>
            </w:r>
            <w:r>
              <w:rPr>
                <w:sz w:val="16"/>
              </w:rPr>
              <w:t>in</w:t>
            </w:r>
            <w:r>
              <w:rPr>
                <w:spacing w:val="-5"/>
                <w:sz w:val="16"/>
              </w:rPr>
              <w:t> </w:t>
            </w:r>
            <w:r>
              <w:rPr>
                <w:sz w:val="16"/>
              </w:rPr>
              <w:t>nonaccrual</w:t>
            </w:r>
            <w:r>
              <w:rPr>
                <w:spacing w:val="-3"/>
                <w:sz w:val="16"/>
              </w:rPr>
              <w:t> </w:t>
            </w:r>
            <w:r>
              <w:rPr>
                <w:spacing w:val="-2"/>
                <w:sz w:val="16"/>
              </w:rPr>
              <w:t>status</w:t>
            </w:r>
          </w:p>
        </w:tc>
        <w:tc>
          <w:tcPr>
            <w:tcW w:w="1528" w:type="dxa"/>
            <w:gridSpan w:val="2"/>
            <w:tcBorders>
              <w:bottom w:val="single" w:sz="8" w:space="0" w:color="000000"/>
            </w:tcBorders>
          </w:tcPr>
          <w:p>
            <w:pPr>
              <w:pStyle w:val="TableParagraph"/>
              <w:spacing w:line="176" w:lineRule="exact" w:before="21"/>
              <w:ind w:right="63"/>
              <w:jc w:val="right"/>
              <w:rPr>
                <w:sz w:val="16"/>
              </w:rPr>
            </w:pPr>
            <w:r>
              <w:rPr>
                <w:spacing w:val="-5"/>
                <w:sz w:val="16"/>
              </w:rPr>
              <w:t>428</w:t>
            </w:r>
          </w:p>
        </w:tc>
        <w:tc>
          <w:tcPr>
            <w:tcW w:w="4584" w:type="dxa"/>
            <w:gridSpan w:val="5"/>
          </w:tcPr>
          <w:p>
            <w:pPr>
              <w:pStyle w:val="TableParagraph"/>
              <w:rPr>
                <w:rFonts w:ascii="Times New Roman"/>
                <w:sz w:val="14"/>
              </w:rPr>
            </w:pPr>
          </w:p>
        </w:tc>
      </w:tr>
      <w:tr>
        <w:trPr>
          <w:trHeight w:val="192" w:hRule="atLeast"/>
        </w:trPr>
        <w:tc>
          <w:tcPr>
            <w:tcW w:w="3222" w:type="dxa"/>
          </w:tcPr>
          <w:p>
            <w:pPr>
              <w:pStyle w:val="TableParagraph"/>
              <w:spacing w:line="172" w:lineRule="exact" w:before="1"/>
              <w:ind w:left="50"/>
              <w:rPr>
                <w:sz w:val="16"/>
              </w:rPr>
            </w:pPr>
            <w:r>
              <w:rPr>
                <w:spacing w:val="-2"/>
                <w:sz w:val="16"/>
              </w:rPr>
              <w:t>Total</w:t>
            </w:r>
          </w:p>
        </w:tc>
        <w:tc>
          <w:tcPr>
            <w:tcW w:w="1528" w:type="dxa"/>
            <w:gridSpan w:val="2"/>
            <w:tcBorders>
              <w:top w:val="single" w:sz="8" w:space="0" w:color="000000"/>
            </w:tcBorders>
          </w:tcPr>
          <w:p>
            <w:pPr>
              <w:pStyle w:val="TableParagraph"/>
              <w:tabs>
                <w:tab w:pos="884" w:val="left" w:leader="none"/>
              </w:tabs>
              <w:spacing w:line="164" w:lineRule="exact" w:before="9"/>
              <w:ind w:left="53"/>
              <w:rPr>
                <w:sz w:val="16"/>
              </w:rPr>
            </w:pPr>
            <w:r>
              <w:rPr>
                <w:spacing w:val="-10"/>
                <w:sz w:val="16"/>
              </w:rPr>
              <w:t>$</w:t>
            </w:r>
            <w:r>
              <w:rPr>
                <w:sz w:val="16"/>
              </w:rPr>
              <w:tab/>
            </w:r>
            <w:r>
              <w:rPr>
                <w:spacing w:val="-2"/>
                <w:sz w:val="16"/>
              </w:rPr>
              <w:t>229,344</w:t>
            </w:r>
          </w:p>
        </w:tc>
        <w:tc>
          <w:tcPr>
            <w:tcW w:w="4584" w:type="dxa"/>
            <w:gridSpan w:val="5"/>
          </w:tcPr>
          <w:p>
            <w:pPr>
              <w:pStyle w:val="TableParagraph"/>
              <w:rPr>
                <w:rFonts w:ascii="Times New Roman"/>
                <w:sz w:val="12"/>
              </w:rPr>
            </w:pPr>
          </w:p>
        </w:tc>
      </w:tr>
    </w:tbl>
    <w:p>
      <w:pPr>
        <w:pStyle w:val="BodyText"/>
        <w:spacing w:before="14"/>
        <w:rPr>
          <w:rFonts w:ascii="Arial"/>
          <w:i/>
        </w:rPr>
      </w:pPr>
      <w:r>
        <w:rPr>
          <w:rFonts w:ascii="Arial"/>
          <w:i/>
        </w:rPr>
        <mc:AlternateContent>
          <mc:Choice Requires="wps">
            <w:drawing>
              <wp:anchor distT="0" distB="0" distL="0" distR="0" allowOverlap="1" layoutInCell="1" locked="0" behindDoc="1" simplePos="0" relativeHeight="487708160">
                <wp:simplePos x="0" y="0"/>
                <wp:positionH relativeFrom="page">
                  <wp:posOffset>914400</wp:posOffset>
                </wp:positionH>
                <wp:positionV relativeFrom="paragraph">
                  <wp:posOffset>170245</wp:posOffset>
                </wp:positionV>
                <wp:extent cx="5934075" cy="1270"/>
                <wp:effectExtent l="0" t="0" r="0" b="0"/>
                <wp:wrapTopAndBottom/>
                <wp:docPr id="813" name="Graphic 813"/>
                <wp:cNvGraphicFramePr>
                  <a:graphicFrameLocks/>
                </wp:cNvGraphicFramePr>
                <a:graphic>
                  <a:graphicData uri="http://schemas.microsoft.com/office/word/2010/wordprocessingShape">
                    <wps:wsp>
                      <wps:cNvPr id="813" name="Graphic 813"/>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405176pt;width:467.25pt;height:.1pt;mso-position-horizontal-relative:page;mso-position-vertical-relative:paragraph;z-index:-15608320;mso-wrap-distance-left:0;mso-wrap-distance-right:0" id="docshape682" coordorigin="1440,268" coordsize="9345,0" path="m1440,268l10785,268e" filled="false" stroked="true" strokeweight="1pt" strokecolor="#000000">
                <v:path arrowok="t"/>
                <v:stroke dashstyle="solid"/>
                <w10:wrap type="topAndBottom"/>
              </v:shape>
            </w:pict>
          </mc:Fallback>
        </mc:AlternateContent>
      </w:r>
    </w:p>
    <w:p>
      <w:pPr>
        <w:spacing w:line="283" w:lineRule="auto" w:before="84"/>
        <w:ind w:left="1042" w:right="719" w:hanging="226"/>
        <w:jc w:val="left"/>
        <w:rPr>
          <w:rFonts w:ascii="Arial"/>
          <w:i/>
          <w:sz w:val="16"/>
        </w:rPr>
      </w:pPr>
      <w:r>
        <w:rPr>
          <w:rFonts w:ascii="Arial"/>
          <w:i/>
          <w:sz w:val="16"/>
        </w:rPr>
        <w:t>a.</w:t>
      </w:r>
      <w:r>
        <w:rPr>
          <w:rFonts w:ascii="Arial"/>
          <w:i/>
          <w:spacing w:val="80"/>
          <w:sz w:val="16"/>
        </w:rPr>
        <w:t> </w:t>
      </w:r>
      <w:r>
        <w:rPr>
          <w:rFonts w:ascii="Arial"/>
          <w:i/>
          <w:sz w:val="16"/>
        </w:rPr>
        <w:t>Primarily</w:t>
      </w:r>
      <w:r>
        <w:rPr>
          <w:rFonts w:ascii="Arial"/>
          <w:i/>
          <w:spacing w:val="-2"/>
          <w:sz w:val="16"/>
        </w:rPr>
        <w:t> </w:t>
      </w:r>
      <w:r>
        <w:rPr>
          <w:rFonts w:ascii="Arial"/>
          <w:i/>
          <w:sz w:val="16"/>
        </w:rPr>
        <w:t>relates</w:t>
      </w:r>
      <w:r>
        <w:rPr>
          <w:rFonts w:ascii="Arial"/>
          <w:i/>
          <w:spacing w:val="-2"/>
          <w:sz w:val="16"/>
        </w:rPr>
        <w:t> </w:t>
      </w:r>
      <w:r>
        <w:rPr>
          <w:rFonts w:ascii="Arial"/>
          <w:i/>
          <w:sz w:val="16"/>
        </w:rPr>
        <w:t>to</w:t>
      </w:r>
      <w:r>
        <w:rPr>
          <w:rFonts w:ascii="Arial"/>
          <w:i/>
          <w:spacing w:val="-3"/>
          <w:sz w:val="16"/>
        </w:rPr>
        <w:t> </w:t>
      </w:r>
      <w:r>
        <w:rPr>
          <w:rFonts w:ascii="Arial"/>
          <w:i/>
          <w:sz w:val="16"/>
        </w:rPr>
        <w:t>guarantees</w:t>
      </w:r>
      <w:r>
        <w:rPr>
          <w:rFonts w:ascii="Arial"/>
          <w:i/>
          <w:spacing w:val="-2"/>
          <w:sz w:val="16"/>
        </w:rPr>
        <w:t> </w:t>
      </w:r>
      <w:r>
        <w:rPr>
          <w:rFonts w:ascii="Arial"/>
          <w:i/>
          <w:sz w:val="16"/>
        </w:rPr>
        <w:t>and</w:t>
      </w:r>
      <w:r>
        <w:rPr>
          <w:rFonts w:ascii="Arial"/>
          <w:i/>
          <w:spacing w:val="-3"/>
          <w:sz w:val="16"/>
        </w:rPr>
        <w:t> </w:t>
      </w:r>
      <w:r>
        <w:rPr>
          <w:rFonts w:ascii="Arial"/>
          <w:i/>
          <w:sz w:val="16"/>
        </w:rPr>
        <w:t>does</w:t>
      </w:r>
      <w:r>
        <w:rPr>
          <w:rFonts w:ascii="Arial"/>
          <w:i/>
          <w:spacing w:val="-2"/>
          <w:sz w:val="16"/>
        </w:rPr>
        <w:t> </w:t>
      </w:r>
      <w:r>
        <w:rPr>
          <w:rFonts w:ascii="Arial"/>
          <w:i/>
          <w:sz w:val="16"/>
        </w:rPr>
        <w:t>not</w:t>
      </w:r>
      <w:r>
        <w:rPr>
          <w:rFonts w:ascii="Arial"/>
          <w:i/>
          <w:spacing w:val="-2"/>
          <w:sz w:val="16"/>
        </w:rPr>
        <w:t> </w:t>
      </w:r>
      <w:r>
        <w:rPr>
          <w:rFonts w:ascii="Arial"/>
          <w:i/>
          <w:sz w:val="16"/>
        </w:rPr>
        <w:t>include</w:t>
      </w:r>
      <w:r>
        <w:rPr>
          <w:rFonts w:ascii="Arial"/>
          <w:i/>
          <w:spacing w:val="-3"/>
          <w:sz w:val="16"/>
        </w:rPr>
        <w:t> </w:t>
      </w:r>
      <w:r>
        <w:rPr>
          <w:rFonts w:ascii="Arial"/>
          <w:i/>
          <w:sz w:val="16"/>
        </w:rPr>
        <w:t>recoverable</w:t>
      </w:r>
      <w:r>
        <w:rPr>
          <w:rFonts w:ascii="Arial"/>
          <w:i/>
          <w:spacing w:val="-3"/>
          <w:sz w:val="16"/>
        </w:rPr>
        <w:t> </w:t>
      </w:r>
      <w:r>
        <w:rPr>
          <w:rFonts w:ascii="Arial"/>
          <w:i/>
          <w:sz w:val="16"/>
        </w:rPr>
        <w:t>asset</w:t>
      </w:r>
      <w:r>
        <w:rPr>
          <w:rFonts w:ascii="Arial"/>
          <w:i/>
          <w:spacing w:val="-2"/>
          <w:sz w:val="16"/>
        </w:rPr>
        <w:t> </w:t>
      </w:r>
      <w:r>
        <w:rPr>
          <w:rFonts w:ascii="Arial"/>
          <w:i/>
          <w:sz w:val="16"/>
        </w:rPr>
        <w:t>relating</w:t>
      </w:r>
      <w:r>
        <w:rPr>
          <w:rFonts w:ascii="Arial"/>
          <w:i/>
          <w:spacing w:val="-3"/>
          <w:sz w:val="16"/>
        </w:rPr>
        <w:t> </w:t>
      </w:r>
      <w:r>
        <w:rPr>
          <w:rFonts w:ascii="Arial"/>
          <w:i/>
          <w:sz w:val="16"/>
        </w:rPr>
        <w:t>to</w:t>
      </w:r>
      <w:r>
        <w:rPr>
          <w:rFonts w:ascii="Arial"/>
          <w:i/>
          <w:spacing w:val="-3"/>
          <w:sz w:val="16"/>
        </w:rPr>
        <w:t> </w:t>
      </w:r>
      <w:r>
        <w:rPr>
          <w:rFonts w:ascii="Arial"/>
          <w:i/>
          <w:sz w:val="16"/>
        </w:rPr>
        <w:t>Guarantee</w:t>
      </w:r>
      <w:r>
        <w:rPr>
          <w:rFonts w:ascii="Arial"/>
          <w:i/>
          <w:spacing w:val="-3"/>
          <w:sz w:val="16"/>
        </w:rPr>
        <w:t> </w:t>
      </w:r>
      <w:r>
        <w:rPr>
          <w:rFonts w:ascii="Arial"/>
          <w:i/>
          <w:sz w:val="16"/>
        </w:rPr>
        <w:t>received</w:t>
      </w:r>
      <w:r>
        <w:rPr>
          <w:rFonts w:ascii="Arial"/>
          <w:i/>
          <w:spacing w:val="-3"/>
          <w:sz w:val="16"/>
        </w:rPr>
        <w:t> </w:t>
      </w:r>
      <w:r>
        <w:rPr>
          <w:rFonts w:ascii="Arial"/>
          <w:i/>
          <w:sz w:val="16"/>
        </w:rPr>
        <w:t>under</w:t>
      </w:r>
      <w:r>
        <w:rPr>
          <w:rFonts w:ascii="Arial"/>
          <w:i/>
          <w:spacing w:val="-2"/>
          <w:sz w:val="16"/>
        </w:rPr>
        <w:t> </w:t>
      </w:r>
      <w:r>
        <w:rPr>
          <w:rFonts w:ascii="Arial"/>
          <w:i/>
          <w:sz w:val="16"/>
        </w:rPr>
        <w:t>the</w:t>
      </w:r>
      <w:r>
        <w:rPr>
          <w:rFonts w:ascii="Arial"/>
          <w:i/>
          <w:spacing w:val="-3"/>
          <w:sz w:val="16"/>
        </w:rPr>
        <w:t> </w:t>
      </w:r>
      <w:r>
        <w:rPr>
          <w:rFonts w:ascii="Arial"/>
          <w:i/>
          <w:sz w:val="16"/>
        </w:rPr>
        <w:t>Exposure Exchange Agreements (for more details see the Guarantees section).</w:t>
      </w:r>
    </w:p>
    <w:p>
      <w:pPr>
        <w:pStyle w:val="BodyText"/>
        <w:rPr>
          <w:rFonts w:ascii="Arial"/>
          <w:i/>
        </w:rPr>
      </w:pPr>
    </w:p>
    <w:p>
      <w:pPr>
        <w:pStyle w:val="BodyText"/>
        <w:spacing w:before="116" w:after="1"/>
        <w:rPr>
          <w:rFonts w:ascii="Arial"/>
          <w:i/>
        </w:rPr>
      </w:pPr>
    </w:p>
    <w:p>
      <w:pPr>
        <w:spacing w:line="20" w:lineRule="exact"/>
        <w:ind w:left="720" w:right="0" w:firstLine="0"/>
        <w:rPr>
          <w:rFonts w:ascii="Arial"/>
          <w:sz w:val="2"/>
        </w:rPr>
      </w:pPr>
      <w:r>
        <w:rPr>
          <w:rFonts w:ascii="Arial"/>
          <w:sz w:val="2"/>
        </w:rPr>
        <mc:AlternateContent>
          <mc:Choice Requires="wps">
            <w:drawing>
              <wp:inline distT="0" distB="0" distL="0" distR="0">
                <wp:extent cx="5943600" cy="12700"/>
                <wp:effectExtent l="9525" t="0" r="0" b="6350"/>
                <wp:docPr id="814" name="Group 814"/>
                <wp:cNvGraphicFramePr>
                  <a:graphicFrameLocks/>
                </wp:cNvGraphicFramePr>
                <a:graphic>
                  <a:graphicData uri="http://schemas.microsoft.com/office/word/2010/wordprocessingGroup">
                    <wpg:wgp>
                      <wpg:cNvPr id="814" name="Group 814"/>
                      <wpg:cNvGrpSpPr/>
                      <wpg:grpSpPr>
                        <a:xfrm>
                          <a:off x="0" y="0"/>
                          <a:ext cx="5943600" cy="12700"/>
                          <a:chExt cx="5943600" cy="12700"/>
                        </a:xfrm>
                      </wpg:grpSpPr>
                      <wps:wsp>
                        <wps:cNvPr id="815" name="Graphic 815"/>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683" coordorigin="0,0" coordsize="9360,20">
                <v:line style="position:absolute" from="0,10" to="9360,10" stroked="true" strokeweight="1pt" strokecolor="#000000">
                  <v:stroke dashstyle="solid"/>
                </v:line>
              </v:group>
            </w:pict>
          </mc:Fallback>
        </mc:AlternateContent>
      </w:r>
      <w:r>
        <w:rPr>
          <w:rFonts w:ascii="Arial"/>
          <w:sz w:val="2"/>
        </w:rPr>
      </w:r>
    </w:p>
    <w:p>
      <w:pPr>
        <w:spacing w:after="0" w:line="20" w:lineRule="exact"/>
        <w:rPr>
          <w:rFonts w:ascii="Arial"/>
          <w:sz w:val="2"/>
        </w:rPr>
        <w:sectPr>
          <w:type w:val="continuous"/>
          <w:pgSz w:w="12240" w:h="15840"/>
          <w:pgMar w:header="1033" w:footer="528" w:top="1820" w:bottom="280" w:left="720" w:right="720"/>
        </w:sectPr>
      </w:pPr>
    </w:p>
    <w:p>
      <w:pPr>
        <w:pStyle w:val="BodyText"/>
        <w:rPr>
          <w:rFonts w:ascii="Arial"/>
          <w:i/>
          <w:sz w:val="16"/>
        </w:rPr>
      </w:pPr>
    </w:p>
    <w:p>
      <w:pPr>
        <w:pStyle w:val="BodyText"/>
        <w:spacing w:before="80"/>
        <w:rPr>
          <w:rFonts w:ascii="Arial"/>
          <w:i/>
          <w:sz w:val="16"/>
        </w:rPr>
      </w:pPr>
    </w:p>
    <w:p>
      <w:pPr>
        <w:spacing w:before="1"/>
        <w:ind w:left="772" w:right="0" w:firstLine="0"/>
        <w:jc w:val="left"/>
        <w:rPr>
          <w:rFonts w:ascii="Arial"/>
          <w:b/>
          <w:sz w:val="16"/>
        </w:rPr>
      </w:pPr>
      <w:r>
        <w:rPr>
          <w:rFonts w:ascii="Arial"/>
          <w:b/>
          <w:sz w:val="16"/>
        </w:rPr>
        <w:t>Accumulated</w:t>
      </w:r>
      <w:r>
        <w:rPr>
          <w:rFonts w:ascii="Arial"/>
          <w:b/>
          <w:spacing w:val="-6"/>
          <w:sz w:val="16"/>
        </w:rPr>
        <w:t> </w:t>
      </w:r>
      <w:r>
        <w:rPr>
          <w:rFonts w:ascii="Arial"/>
          <w:b/>
          <w:sz w:val="16"/>
        </w:rPr>
        <w:t>Provision</w:t>
      </w:r>
      <w:r>
        <w:rPr>
          <w:rFonts w:ascii="Arial"/>
          <w:b/>
          <w:spacing w:val="-6"/>
          <w:sz w:val="16"/>
        </w:rPr>
        <w:t> </w:t>
      </w:r>
      <w:r>
        <w:rPr>
          <w:rFonts w:ascii="Arial"/>
          <w:b/>
          <w:sz w:val="16"/>
        </w:rPr>
        <w:t>for</w:t>
      </w:r>
      <w:r>
        <w:rPr>
          <w:rFonts w:ascii="Arial"/>
          <w:b/>
          <w:spacing w:val="-5"/>
          <w:sz w:val="16"/>
        </w:rPr>
        <w:t> </w:t>
      </w:r>
      <w:r>
        <w:rPr>
          <w:rFonts w:ascii="Arial"/>
          <w:b/>
          <w:sz w:val="16"/>
        </w:rPr>
        <w:t>Losses</w:t>
      </w:r>
      <w:r>
        <w:rPr>
          <w:rFonts w:ascii="Arial"/>
          <w:b/>
          <w:spacing w:val="-5"/>
          <w:sz w:val="16"/>
        </w:rPr>
        <w:t> on:</w:t>
      </w:r>
    </w:p>
    <w:p>
      <w:pPr>
        <w:spacing w:line="183" w:lineRule="exact" w:before="0"/>
        <w:ind w:left="2163" w:right="0" w:firstLine="0"/>
        <w:jc w:val="left"/>
        <w:rPr>
          <w:rFonts w:ascii="Arial"/>
          <w:b/>
          <w:i/>
          <w:sz w:val="16"/>
        </w:rPr>
      </w:pPr>
      <w:r>
        <w:rPr/>
        <w:br w:type="column"/>
      </w:r>
      <w:r>
        <w:rPr>
          <w:rFonts w:ascii="Arial"/>
          <w:b/>
          <w:i/>
          <w:sz w:val="16"/>
        </w:rPr>
        <w:t>Reported</w:t>
      </w:r>
      <w:r>
        <w:rPr>
          <w:rFonts w:ascii="Arial"/>
          <w:b/>
          <w:i/>
          <w:spacing w:val="-5"/>
          <w:sz w:val="16"/>
        </w:rPr>
        <w:t> </w:t>
      </w:r>
      <w:r>
        <w:rPr>
          <w:rFonts w:ascii="Arial"/>
          <w:b/>
          <w:i/>
          <w:sz w:val="16"/>
        </w:rPr>
        <w:t>as</w:t>
      </w:r>
      <w:r>
        <w:rPr>
          <w:rFonts w:ascii="Arial"/>
          <w:b/>
          <w:i/>
          <w:spacing w:val="-4"/>
          <w:sz w:val="16"/>
        </w:rPr>
        <w:t> </w:t>
      </w:r>
      <w:r>
        <w:rPr>
          <w:rFonts w:ascii="Arial"/>
          <w:b/>
          <w:i/>
          <w:spacing w:val="-2"/>
          <w:sz w:val="16"/>
        </w:rPr>
        <w:t>follows</w:t>
      </w:r>
    </w:p>
    <w:p>
      <w:pPr>
        <w:spacing w:line="20" w:lineRule="exact"/>
        <w:ind w:left="-130" w:right="0" w:firstLine="0"/>
        <w:rPr>
          <w:rFonts w:ascii="Arial"/>
          <w:sz w:val="2"/>
        </w:rPr>
      </w:pPr>
      <w:r>
        <w:rPr>
          <w:rFonts w:ascii="Arial"/>
          <w:sz w:val="2"/>
        </w:rPr>
        <mc:AlternateContent>
          <mc:Choice Requires="wps">
            <w:drawing>
              <wp:inline distT="0" distB="0" distL="0" distR="0">
                <wp:extent cx="3876675" cy="12700"/>
                <wp:effectExtent l="9525" t="0" r="0" b="6350"/>
                <wp:docPr id="816" name="Group 816"/>
                <wp:cNvGraphicFramePr>
                  <a:graphicFrameLocks/>
                </wp:cNvGraphicFramePr>
                <a:graphic>
                  <a:graphicData uri="http://schemas.microsoft.com/office/word/2010/wordprocessingGroup">
                    <wpg:wgp>
                      <wpg:cNvPr id="816" name="Group 816"/>
                      <wpg:cNvGrpSpPr/>
                      <wpg:grpSpPr>
                        <a:xfrm>
                          <a:off x="0" y="0"/>
                          <a:ext cx="3876675" cy="12700"/>
                          <a:chExt cx="3876675" cy="12700"/>
                        </a:xfrm>
                      </wpg:grpSpPr>
                      <wps:wsp>
                        <wps:cNvPr id="817" name="Graphic 817"/>
                        <wps:cNvSpPr/>
                        <wps:spPr>
                          <a:xfrm>
                            <a:off x="0" y="6350"/>
                            <a:ext cx="3876675" cy="1270"/>
                          </a:xfrm>
                          <a:custGeom>
                            <a:avLst/>
                            <a:gdLst/>
                            <a:ahLst/>
                            <a:cxnLst/>
                            <a:rect l="l" t="t" r="r" b="b"/>
                            <a:pathLst>
                              <a:path w="3876675" h="0">
                                <a:moveTo>
                                  <a:pt x="0" y="0"/>
                                </a:moveTo>
                                <a:lnTo>
                                  <a:pt x="38766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5.25pt;height:1pt;mso-position-horizontal-relative:char;mso-position-vertical-relative:line" id="docshapegroup684" coordorigin="0,0" coordsize="6105,20">
                <v:line style="position:absolute" from="0,10" to="6105,10" stroked="true" strokeweight="1pt" strokecolor="#000000">
                  <v:stroke dashstyle="solid"/>
                </v:line>
              </v:group>
            </w:pict>
          </mc:Fallback>
        </mc:AlternateContent>
      </w:r>
      <w:r>
        <w:rPr>
          <w:rFonts w:ascii="Arial"/>
          <w:sz w:val="2"/>
        </w:rPr>
      </w:r>
    </w:p>
    <w:p>
      <w:pPr>
        <w:tabs>
          <w:tab w:pos="3660" w:val="left" w:leader="none"/>
        </w:tabs>
        <w:spacing w:before="21"/>
        <w:ind w:left="772" w:right="0" w:firstLine="0"/>
        <w:jc w:val="left"/>
        <w:rPr>
          <w:rFonts w:ascii="Arial"/>
          <w:b/>
          <w:i/>
          <w:sz w:val="16"/>
        </w:rPr>
      </w:pPr>
      <w:r>
        <w:rPr>
          <w:rFonts w:ascii="Arial"/>
          <w:b/>
          <w:i/>
          <w:sz w:val="16"/>
        </w:rPr>
        <w:t>Balance</w:t>
      </w:r>
      <w:r>
        <w:rPr>
          <w:rFonts w:ascii="Arial"/>
          <w:b/>
          <w:i/>
          <w:spacing w:val="-6"/>
          <w:sz w:val="16"/>
        </w:rPr>
        <w:t> </w:t>
      </w:r>
      <w:r>
        <w:rPr>
          <w:rFonts w:ascii="Arial"/>
          <w:b/>
          <w:i/>
          <w:spacing w:val="-2"/>
          <w:sz w:val="16"/>
        </w:rPr>
        <w:t>Sheets</w:t>
      </w:r>
      <w:r>
        <w:rPr>
          <w:rFonts w:ascii="Arial"/>
          <w:b/>
          <w:i/>
          <w:sz w:val="16"/>
        </w:rPr>
        <w:tab/>
        <w:t>Statements</w:t>
      </w:r>
      <w:r>
        <w:rPr>
          <w:rFonts w:ascii="Arial"/>
          <w:b/>
          <w:i/>
          <w:spacing w:val="-6"/>
          <w:sz w:val="16"/>
        </w:rPr>
        <w:t> </w:t>
      </w:r>
      <w:r>
        <w:rPr>
          <w:rFonts w:ascii="Arial"/>
          <w:b/>
          <w:i/>
          <w:sz w:val="16"/>
        </w:rPr>
        <w:t>of</w:t>
      </w:r>
      <w:r>
        <w:rPr>
          <w:rFonts w:ascii="Arial"/>
          <w:b/>
          <w:i/>
          <w:spacing w:val="-3"/>
          <w:sz w:val="16"/>
        </w:rPr>
        <w:t> </w:t>
      </w:r>
      <w:r>
        <w:rPr>
          <w:rFonts w:ascii="Arial"/>
          <w:b/>
          <w:i/>
          <w:spacing w:val="-2"/>
          <w:sz w:val="16"/>
        </w:rPr>
        <w:t>Income</w:t>
      </w:r>
    </w:p>
    <w:p>
      <w:pPr>
        <w:spacing w:line="20" w:lineRule="exact"/>
        <w:ind w:left="-130" w:right="0" w:firstLine="0"/>
        <w:jc w:val="left"/>
        <w:rPr>
          <w:rFonts w:ascii="Arial"/>
          <w:sz w:val="2"/>
        </w:rPr>
      </w:pPr>
      <w:r>
        <w:rPr>
          <w:rFonts w:ascii="Arial"/>
          <w:sz w:val="2"/>
        </w:rPr>
        <mc:AlternateContent>
          <mc:Choice Requires="wps">
            <w:drawing>
              <wp:inline distT="0" distB="0" distL="0" distR="0">
                <wp:extent cx="1895475" cy="12700"/>
                <wp:effectExtent l="9525" t="0" r="0" b="6350"/>
                <wp:docPr id="818" name="Group 818"/>
                <wp:cNvGraphicFramePr>
                  <a:graphicFrameLocks/>
                </wp:cNvGraphicFramePr>
                <a:graphic>
                  <a:graphicData uri="http://schemas.microsoft.com/office/word/2010/wordprocessingGroup">
                    <wpg:wgp>
                      <wpg:cNvPr id="818" name="Group 818"/>
                      <wpg:cNvGrpSpPr/>
                      <wpg:grpSpPr>
                        <a:xfrm>
                          <a:off x="0" y="0"/>
                          <a:ext cx="1895475" cy="12700"/>
                          <a:chExt cx="1895475" cy="12700"/>
                        </a:xfrm>
                      </wpg:grpSpPr>
                      <wps:wsp>
                        <wps:cNvPr id="819" name="Graphic 819"/>
                        <wps:cNvSpPr/>
                        <wps:spPr>
                          <a:xfrm>
                            <a:off x="0" y="6350"/>
                            <a:ext cx="1895475" cy="1270"/>
                          </a:xfrm>
                          <a:custGeom>
                            <a:avLst/>
                            <a:gdLst/>
                            <a:ahLst/>
                            <a:cxnLst/>
                            <a:rect l="l" t="t" r="r" b="b"/>
                            <a:pathLst>
                              <a:path w="1895475" h="0">
                                <a:moveTo>
                                  <a:pt x="0" y="0"/>
                                </a:moveTo>
                                <a:lnTo>
                                  <a:pt x="18954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9.25pt;height:1pt;mso-position-horizontal-relative:char;mso-position-vertical-relative:line" id="docshapegroup685" coordorigin="0,0" coordsize="2985,20">
                <v:line style="position:absolute" from="0,10" to="2985,10" stroked="true" strokeweight="1pt" strokecolor="#000000">
                  <v:stroke dashstyle="solid"/>
                </v:line>
              </v:group>
            </w:pict>
          </mc:Fallback>
        </mc:AlternateContent>
      </w:r>
      <w:r>
        <w:rPr>
          <w:rFonts w:ascii="Arial"/>
          <w:sz w:val="2"/>
        </w:rPr>
      </w:r>
      <w:r>
        <w:rPr>
          <w:spacing w:val="135"/>
          <w:sz w:val="2"/>
        </w:rPr>
        <w:t> </w:t>
      </w:r>
      <w:r>
        <w:rPr>
          <w:rFonts w:ascii="Arial"/>
          <w:spacing w:val="135"/>
          <w:sz w:val="2"/>
        </w:rPr>
        <mc:AlternateContent>
          <mc:Choice Requires="wps">
            <w:drawing>
              <wp:inline distT="0" distB="0" distL="0" distR="0">
                <wp:extent cx="1885950" cy="12700"/>
                <wp:effectExtent l="9525" t="0" r="0" b="6350"/>
                <wp:docPr id="820" name="Group 820"/>
                <wp:cNvGraphicFramePr>
                  <a:graphicFrameLocks/>
                </wp:cNvGraphicFramePr>
                <a:graphic>
                  <a:graphicData uri="http://schemas.microsoft.com/office/word/2010/wordprocessingGroup">
                    <wpg:wgp>
                      <wpg:cNvPr id="820" name="Group 820"/>
                      <wpg:cNvGrpSpPr/>
                      <wpg:grpSpPr>
                        <a:xfrm>
                          <a:off x="0" y="0"/>
                          <a:ext cx="1885950" cy="12700"/>
                          <a:chExt cx="1885950" cy="12700"/>
                        </a:xfrm>
                      </wpg:grpSpPr>
                      <wps:wsp>
                        <wps:cNvPr id="821" name="Graphic 821"/>
                        <wps:cNvSpPr/>
                        <wps:spPr>
                          <a:xfrm>
                            <a:off x="0" y="6350"/>
                            <a:ext cx="1885950" cy="1270"/>
                          </a:xfrm>
                          <a:custGeom>
                            <a:avLst/>
                            <a:gdLst/>
                            <a:ahLst/>
                            <a:cxnLst/>
                            <a:rect l="l" t="t" r="r" b="b"/>
                            <a:pathLst>
                              <a:path w="1885950" h="0">
                                <a:moveTo>
                                  <a:pt x="0" y="0"/>
                                </a:moveTo>
                                <a:lnTo>
                                  <a:pt x="18859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8.5pt;height:1pt;mso-position-horizontal-relative:char;mso-position-vertical-relative:line" id="docshapegroup686" coordorigin="0,0" coordsize="2970,20">
                <v:line style="position:absolute" from="0,10" to="2970,10" stroked="true" strokeweight="1pt" strokecolor="#000000">
                  <v:stroke dashstyle="solid"/>
                </v:line>
              </v:group>
            </w:pict>
          </mc:Fallback>
        </mc:AlternateContent>
      </w:r>
      <w:r>
        <w:rPr>
          <w:rFonts w:ascii="Arial"/>
          <w:spacing w:val="135"/>
          <w:sz w:val="2"/>
        </w:rPr>
      </w:r>
    </w:p>
    <w:p>
      <w:pPr>
        <w:pStyle w:val="BodyText"/>
        <w:spacing w:before="19"/>
        <w:rPr>
          <w:rFonts w:ascii="Arial"/>
          <w:b/>
          <w:i/>
          <w:sz w:val="7"/>
        </w:rPr>
      </w:pPr>
    </w:p>
    <w:p>
      <w:pPr>
        <w:pStyle w:val="BodyText"/>
        <w:spacing w:after="0"/>
        <w:rPr>
          <w:rFonts w:ascii="Arial"/>
          <w:b/>
          <w:i/>
          <w:sz w:val="7"/>
        </w:rPr>
        <w:sectPr>
          <w:type w:val="continuous"/>
          <w:pgSz w:w="12240" w:h="15840"/>
          <w:pgMar w:header="1033" w:footer="528" w:top="1820" w:bottom="280" w:left="720" w:right="720"/>
          <w:cols w:num="2" w:equalWidth="0">
            <w:col w:w="3735" w:space="370"/>
            <w:col w:w="6695"/>
          </w:cols>
        </w:sectPr>
      </w:pPr>
    </w:p>
    <w:p>
      <w:pPr>
        <w:pStyle w:val="BodyText"/>
        <w:spacing w:before="59"/>
        <w:rPr>
          <w:rFonts w:ascii="Arial"/>
          <w:b/>
          <w:i/>
          <w:sz w:val="16"/>
        </w:rPr>
      </w:pPr>
    </w:p>
    <w:p>
      <w:pPr>
        <w:spacing w:before="0"/>
        <w:ind w:left="772" w:right="0" w:firstLine="0"/>
        <w:jc w:val="left"/>
        <w:rPr>
          <w:rFonts w:ascii="Arial MT"/>
          <w:sz w:val="16"/>
        </w:rPr>
      </w:pPr>
      <w:r>
        <w:rPr>
          <w:rFonts w:ascii="Arial MT"/>
          <w:sz w:val="16"/>
        </w:rPr>
        <w:t>Loans</w:t>
      </w:r>
      <w:r>
        <w:rPr>
          <w:rFonts w:ascii="Arial MT"/>
          <w:spacing w:val="-4"/>
          <w:sz w:val="16"/>
        </w:rPr>
        <w:t> </w:t>
      </w:r>
      <w:r>
        <w:rPr>
          <w:rFonts w:ascii="Arial MT"/>
          <w:spacing w:val="-2"/>
          <w:sz w:val="16"/>
        </w:rPr>
        <w:t>outstanding</w:t>
      </w:r>
    </w:p>
    <w:p>
      <w:pPr>
        <w:spacing w:line="249" w:lineRule="auto" w:before="51"/>
        <w:ind w:left="906" w:right="38" w:hanging="134"/>
        <w:jc w:val="left"/>
        <w:rPr>
          <w:rFonts w:ascii="Arial MT"/>
          <w:sz w:val="16"/>
        </w:rPr>
      </w:pPr>
      <w:r>
        <w:rPr/>
        <w:br w:type="column"/>
      </w:r>
      <w:r>
        <w:rPr>
          <w:rFonts w:ascii="Arial MT"/>
          <w:sz w:val="16"/>
        </w:rPr>
        <w:t>Accumulated</w:t>
      </w:r>
      <w:r>
        <w:rPr>
          <w:rFonts w:ascii="Arial MT"/>
          <w:spacing w:val="-12"/>
          <w:sz w:val="16"/>
        </w:rPr>
        <w:t> </w:t>
      </w:r>
      <w:r>
        <w:rPr>
          <w:rFonts w:ascii="Arial MT"/>
          <w:sz w:val="16"/>
        </w:rPr>
        <w:t>provision</w:t>
      </w:r>
      <w:r>
        <w:rPr>
          <w:rFonts w:ascii="Arial MT"/>
          <w:spacing w:val="-11"/>
          <w:sz w:val="16"/>
        </w:rPr>
        <w:t> </w:t>
      </w:r>
      <w:r>
        <w:rPr>
          <w:rFonts w:ascii="Arial MT"/>
          <w:sz w:val="16"/>
        </w:rPr>
        <w:t>for</w:t>
      </w:r>
      <w:r>
        <w:rPr>
          <w:rFonts w:ascii="Arial MT"/>
          <w:spacing w:val="-11"/>
          <w:sz w:val="16"/>
        </w:rPr>
        <w:t> </w:t>
      </w:r>
      <w:r>
        <w:rPr>
          <w:rFonts w:ascii="Arial MT"/>
          <w:sz w:val="16"/>
        </w:rPr>
        <w:t>loan </w:t>
      </w:r>
      <w:r>
        <w:rPr>
          <w:rFonts w:ascii="Arial MT"/>
          <w:spacing w:val="-2"/>
          <w:sz w:val="16"/>
        </w:rPr>
        <w:t>losses</w:t>
      </w:r>
    </w:p>
    <w:p>
      <w:pPr>
        <w:spacing w:line="249" w:lineRule="auto" w:before="51"/>
        <w:ind w:left="952" w:right="881" w:hanging="180"/>
        <w:jc w:val="left"/>
        <w:rPr>
          <w:rFonts w:ascii="Arial MT"/>
          <w:sz w:val="16"/>
        </w:rPr>
      </w:pPr>
      <w:r>
        <w:rPr/>
        <w:br w:type="column"/>
      </w:r>
      <w:r>
        <w:rPr>
          <w:rFonts w:ascii="Arial MT"/>
          <w:sz w:val="16"/>
        </w:rPr>
        <w:t>Provision</w:t>
      </w:r>
      <w:r>
        <w:rPr>
          <w:rFonts w:ascii="Arial MT"/>
          <w:spacing w:val="-8"/>
          <w:sz w:val="16"/>
        </w:rPr>
        <w:t> </w:t>
      </w:r>
      <w:r>
        <w:rPr>
          <w:rFonts w:ascii="Arial MT"/>
          <w:sz w:val="16"/>
        </w:rPr>
        <w:t>for</w:t>
      </w:r>
      <w:r>
        <w:rPr>
          <w:rFonts w:ascii="Arial MT"/>
          <w:spacing w:val="-7"/>
          <w:sz w:val="16"/>
        </w:rPr>
        <w:t> </w:t>
      </w:r>
      <w:r>
        <w:rPr>
          <w:rFonts w:ascii="Arial MT"/>
          <w:sz w:val="16"/>
        </w:rPr>
        <w:t>losses</w:t>
      </w:r>
      <w:r>
        <w:rPr>
          <w:rFonts w:ascii="Arial MT"/>
          <w:spacing w:val="-7"/>
          <w:sz w:val="16"/>
        </w:rPr>
        <w:t> </w:t>
      </w:r>
      <w:r>
        <w:rPr>
          <w:rFonts w:ascii="Arial MT"/>
          <w:sz w:val="16"/>
        </w:rPr>
        <w:t>on</w:t>
      </w:r>
      <w:r>
        <w:rPr>
          <w:rFonts w:ascii="Arial MT"/>
          <w:spacing w:val="-8"/>
          <w:sz w:val="16"/>
        </w:rPr>
        <w:t> </w:t>
      </w:r>
      <w:r>
        <w:rPr>
          <w:rFonts w:ascii="Arial MT"/>
          <w:sz w:val="16"/>
        </w:rPr>
        <w:t>loans</w:t>
      </w:r>
      <w:r>
        <w:rPr>
          <w:rFonts w:ascii="Arial MT"/>
          <w:spacing w:val="-7"/>
          <w:sz w:val="16"/>
        </w:rPr>
        <w:t> </w:t>
      </w:r>
      <w:r>
        <w:rPr>
          <w:rFonts w:ascii="Arial MT"/>
          <w:sz w:val="16"/>
        </w:rPr>
        <w:t>and</w:t>
      </w:r>
      <w:r>
        <w:rPr>
          <w:rFonts w:ascii="Arial MT"/>
          <w:spacing w:val="-8"/>
          <w:sz w:val="16"/>
        </w:rPr>
        <w:t> </w:t>
      </w:r>
      <w:r>
        <w:rPr>
          <w:rFonts w:ascii="Arial MT"/>
          <w:sz w:val="16"/>
        </w:rPr>
        <w:t>other </w:t>
      </w:r>
      <w:r>
        <w:rPr>
          <w:rFonts w:ascii="Arial MT"/>
          <w:spacing w:val="-2"/>
          <w:sz w:val="16"/>
        </w:rPr>
        <w:t>exposures</w:t>
      </w:r>
    </w:p>
    <w:p>
      <w:pPr>
        <w:spacing w:after="0" w:line="249" w:lineRule="auto"/>
        <w:jc w:val="left"/>
        <w:rPr>
          <w:rFonts w:ascii="Arial MT"/>
          <w:sz w:val="16"/>
        </w:rPr>
        <w:sectPr>
          <w:type w:val="continuous"/>
          <w:pgSz w:w="12240" w:h="15840"/>
          <w:pgMar w:header="1033" w:footer="528" w:top="1820" w:bottom="280" w:left="720" w:right="720"/>
          <w:cols w:num="3" w:equalWidth="0">
            <w:col w:w="2119" w:space="1136"/>
            <w:col w:w="2999" w:space="136"/>
            <w:col w:w="4410"/>
          </w:cols>
        </w:sectPr>
      </w:pPr>
    </w:p>
    <w:p>
      <w:pPr>
        <w:spacing w:line="20" w:lineRule="exact"/>
        <w:ind w:left="720" w:right="0" w:firstLine="0"/>
        <w:rPr>
          <w:rFonts w:ascii="Arial MT"/>
          <w:sz w:val="2"/>
        </w:rPr>
      </w:pPr>
      <w:r>
        <w:rPr>
          <w:rFonts w:ascii="Arial MT"/>
          <w:sz w:val="2"/>
        </w:rPr>
        <mc:AlternateContent>
          <mc:Choice Requires="wps">
            <w:drawing>
              <wp:inline distT="0" distB="0" distL="0" distR="0">
                <wp:extent cx="5943600" cy="12700"/>
                <wp:effectExtent l="9525" t="0" r="0" b="6350"/>
                <wp:docPr id="822" name="Group 822"/>
                <wp:cNvGraphicFramePr>
                  <a:graphicFrameLocks/>
                </wp:cNvGraphicFramePr>
                <a:graphic>
                  <a:graphicData uri="http://schemas.microsoft.com/office/word/2010/wordprocessingGroup">
                    <wpg:wgp>
                      <wpg:cNvPr id="822" name="Group 822"/>
                      <wpg:cNvGrpSpPr/>
                      <wpg:grpSpPr>
                        <a:xfrm>
                          <a:off x="0" y="0"/>
                          <a:ext cx="5943600" cy="12700"/>
                          <a:chExt cx="5943600" cy="12700"/>
                        </a:xfrm>
                      </wpg:grpSpPr>
                      <wps:wsp>
                        <wps:cNvPr id="823" name="Graphic 823"/>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687" coordorigin="0,0" coordsize="9360,20">
                <v:line style="position:absolute" from="0,10" to="9360,10" stroked="true" strokeweight="1pt" strokecolor="#000000">
                  <v:stroke dashstyle="solid"/>
                </v:line>
              </v:group>
            </w:pict>
          </mc:Fallback>
        </mc:AlternateContent>
      </w:r>
      <w:r>
        <w:rPr>
          <w:rFonts w:ascii="Arial MT"/>
          <w:sz w:val="2"/>
        </w:rPr>
      </w:r>
    </w:p>
    <w:p>
      <w:pPr>
        <w:tabs>
          <w:tab w:pos="4027" w:val="left" w:leader="none"/>
          <w:tab w:pos="7162" w:val="left" w:leader="none"/>
        </w:tabs>
        <w:spacing w:line="249" w:lineRule="auto" w:before="22"/>
        <w:ind w:left="7342" w:right="881" w:hanging="6570"/>
        <w:jc w:val="left"/>
        <w:rPr>
          <w:rFonts w:ascii="Arial MT"/>
          <w:sz w:val="16"/>
        </w:rPr>
      </w:pPr>
      <w:r>
        <w:rPr>
          <w:rFonts w:ascii="Arial MT"/>
          <w:sz w:val="16"/>
        </w:rPr>
        <mc:AlternateContent>
          <mc:Choice Requires="wps">
            <w:drawing>
              <wp:anchor distT="0" distB="0" distL="0" distR="0" allowOverlap="1" layoutInCell="1" locked="0" behindDoc="1" simplePos="0" relativeHeight="487711232">
                <wp:simplePos x="0" y="0"/>
                <wp:positionH relativeFrom="page">
                  <wp:posOffset>914400</wp:posOffset>
                </wp:positionH>
                <wp:positionV relativeFrom="paragraph">
                  <wp:posOffset>275183</wp:posOffset>
                </wp:positionV>
                <wp:extent cx="5943600" cy="1270"/>
                <wp:effectExtent l="0" t="0" r="0" b="0"/>
                <wp:wrapTopAndBottom/>
                <wp:docPr id="824" name="Graphic 824"/>
                <wp:cNvGraphicFramePr>
                  <a:graphicFrameLocks/>
                </wp:cNvGraphicFramePr>
                <a:graphic>
                  <a:graphicData uri="http://schemas.microsoft.com/office/word/2010/wordprocessingShape">
                    <wps:wsp>
                      <wps:cNvPr id="824" name="Graphic 82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667969pt;width:468pt;height:.1pt;mso-position-horizontal-relative:page;mso-position-vertical-relative:paragraph;z-index:-15605248;mso-wrap-distance-left:0;mso-wrap-distance-right:0" id="docshape688" coordorigin="1440,433" coordsize="9360,0" path="m1440,433l10800,433e" filled="false" stroked="true" strokeweight="1pt" strokecolor="#000000">
                <v:path arrowok="t"/>
                <v:stroke dashstyle="solid"/>
                <w10:wrap type="topAndBottom"/>
              </v:shape>
            </w:pict>
          </mc:Fallback>
        </mc:AlternateContent>
      </w:r>
      <w:r>
        <w:rPr>
          <w:rFonts w:ascii="Arial MT"/>
          <w:position w:val="1"/>
          <w:sz w:val="16"/>
        </w:rPr>
        <w:t>Loan commitments and other exposures</w:t>
        <w:tab/>
        <w:t>Other liabilities</w:t>
        <w:tab/>
      </w:r>
      <w:r>
        <w:rPr>
          <w:rFonts w:ascii="Arial MT"/>
          <w:sz w:val="16"/>
        </w:rPr>
        <w:t>Provision</w:t>
      </w:r>
      <w:r>
        <w:rPr>
          <w:rFonts w:ascii="Arial MT"/>
          <w:spacing w:val="-8"/>
          <w:sz w:val="16"/>
        </w:rPr>
        <w:t> </w:t>
      </w:r>
      <w:r>
        <w:rPr>
          <w:rFonts w:ascii="Arial MT"/>
          <w:sz w:val="16"/>
        </w:rPr>
        <w:t>for</w:t>
      </w:r>
      <w:r>
        <w:rPr>
          <w:rFonts w:ascii="Arial MT"/>
          <w:spacing w:val="-7"/>
          <w:sz w:val="16"/>
        </w:rPr>
        <w:t> </w:t>
      </w:r>
      <w:r>
        <w:rPr>
          <w:rFonts w:ascii="Arial MT"/>
          <w:sz w:val="16"/>
        </w:rPr>
        <w:t>losses</w:t>
      </w:r>
      <w:r>
        <w:rPr>
          <w:rFonts w:ascii="Arial MT"/>
          <w:spacing w:val="-7"/>
          <w:sz w:val="16"/>
        </w:rPr>
        <w:t> </w:t>
      </w:r>
      <w:r>
        <w:rPr>
          <w:rFonts w:ascii="Arial MT"/>
          <w:sz w:val="16"/>
        </w:rPr>
        <w:t>on</w:t>
      </w:r>
      <w:r>
        <w:rPr>
          <w:rFonts w:ascii="Arial MT"/>
          <w:spacing w:val="-8"/>
          <w:sz w:val="16"/>
        </w:rPr>
        <w:t> </w:t>
      </w:r>
      <w:r>
        <w:rPr>
          <w:rFonts w:ascii="Arial MT"/>
          <w:sz w:val="16"/>
        </w:rPr>
        <w:t>loans</w:t>
      </w:r>
      <w:r>
        <w:rPr>
          <w:rFonts w:ascii="Arial MT"/>
          <w:spacing w:val="-7"/>
          <w:sz w:val="16"/>
        </w:rPr>
        <w:t> </w:t>
      </w:r>
      <w:r>
        <w:rPr>
          <w:rFonts w:ascii="Arial MT"/>
          <w:sz w:val="16"/>
        </w:rPr>
        <w:t>and</w:t>
      </w:r>
      <w:r>
        <w:rPr>
          <w:rFonts w:ascii="Arial MT"/>
          <w:spacing w:val="-8"/>
          <w:sz w:val="16"/>
        </w:rPr>
        <w:t> </w:t>
      </w:r>
      <w:r>
        <w:rPr>
          <w:rFonts w:ascii="Arial MT"/>
          <w:sz w:val="16"/>
        </w:rPr>
        <w:t>other </w:t>
      </w:r>
      <w:r>
        <w:rPr>
          <w:rFonts w:ascii="Arial MT"/>
          <w:spacing w:val="-2"/>
          <w:sz w:val="16"/>
        </w:rPr>
        <w:t>exposures</w:t>
      </w:r>
    </w:p>
    <w:p>
      <w:pPr>
        <w:spacing w:after="0" w:line="249" w:lineRule="auto"/>
        <w:jc w:val="left"/>
        <w:rPr>
          <w:rFonts w:ascii="Arial MT"/>
          <w:sz w:val="16"/>
        </w:rPr>
        <w:sectPr>
          <w:type w:val="continuous"/>
          <w:pgSz w:w="12240" w:h="15840"/>
          <w:pgMar w:header="1033" w:footer="528" w:top="1820" w:bottom="280" w:left="720" w:right="720"/>
        </w:sectPr>
      </w:pPr>
    </w:p>
    <w:p>
      <w:pPr>
        <w:pStyle w:val="Heading5"/>
        <w:jc w:val="left"/>
      </w:pPr>
      <w:r>
        <w:rPr/>
        <w:t>Overdue</w:t>
      </w:r>
      <w:r>
        <w:rPr>
          <w:spacing w:val="-3"/>
        </w:rPr>
        <w:t> </w:t>
      </w:r>
      <w:r>
        <w:rPr>
          <w:spacing w:val="-2"/>
        </w:rPr>
        <w:t>Amounts</w:t>
      </w:r>
    </w:p>
    <w:p>
      <w:pPr>
        <w:pStyle w:val="BodyText"/>
        <w:spacing w:line="249" w:lineRule="auto" w:before="140"/>
        <w:ind w:left="720" w:right="719"/>
      </w:pPr>
      <w:r>
        <w:rPr/>
        <w:t>IBRD</w:t>
      </w:r>
      <w:r>
        <w:rPr>
          <w:spacing w:val="24"/>
        </w:rPr>
        <w:t> </w:t>
      </w:r>
      <w:r>
        <w:rPr/>
        <w:t>considers</w:t>
      </w:r>
      <w:r>
        <w:rPr>
          <w:spacing w:val="24"/>
        </w:rPr>
        <w:t> </w:t>
      </w:r>
      <w:r>
        <w:rPr/>
        <w:t>loans</w:t>
      </w:r>
      <w:r>
        <w:rPr>
          <w:spacing w:val="24"/>
        </w:rPr>
        <w:t> </w:t>
      </w:r>
      <w:r>
        <w:rPr/>
        <w:t>to</w:t>
      </w:r>
      <w:r>
        <w:rPr>
          <w:spacing w:val="25"/>
        </w:rPr>
        <w:t> </w:t>
      </w:r>
      <w:r>
        <w:rPr/>
        <w:t>be</w:t>
      </w:r>
      <w:r>
        <w:rPr>
          <w:spacing w:val="24"/>
        </w:rPr>
        <w:t> </w:t>
      </w:r>
      <w:r>
        <w:rPr/>
        <w:t>past</w:t>
      </w:r>
      <w:r>
        <w:rPr>
          <w:spacing w:val="24"/>
        </w:rPr>
        <w:t> </w:t>
      </w:r>
      <w:r>
        <w:rPr/>
        <w:t>due</w:t>
      </w:r>
      <w:r>
        <w:rPr>
          <w:spacing w:val="24"/>
        </w:rPr>
        <w:t> </w:t>
      </w:r>
      <w:r>
        <w:rPr/>
        <w:t>when</w:t>
      </w:r>
      <w:r>
        <w:rPr>
          <w:spacing w:val="25"/>
        </w:rPr>
        <w:t> </w:t>
      </w:r>
      <w:r>
        <w:rPr/>
        <w:t>a</w:t>
      </w:r>
      <w:r>
        <w:rPr>
          <w:spacing w:val="24"/>
        </w:rPr>
        <w:t> </w:t>
      </w:r>
      <w:r>
        <w:rPr/>
        <w:t>borrower</w:t>
      </w:r>
      <w:r>
        <w:rPr>
          <w:spacing w:val="25"/>
        </w:rPr>
        <w:t> </w:t>
      </w:r>
      <w:r>
        <w:rPr/>
        <w:t>fails</w:t>
      </w:r>
      <w:r>
        <w:rPr>
          <w:spacing w:val="24"/>
        </w:rPr>
        <w:t> </w:t>
      </w:r>
      <w:r>
        <w:rPr/>
        <w:t>to</w:t>
      </w:r>
      <w:r>
        <w:rPr>
          <w:spacing w:val="25"/>
        </w:rPr>
        <w:t> </w:t>
      </w:r>
      <w:r>
        <w:rPr/>
        <w:t>make</w:t>
      </w:r>
      <w:r>
        <w:rPr>
          <w:spacing w:val="24"/>
        </w:rPr>
        <w:t> </w:t>
      </w:r>
      <w:r>
        <w:rPr/>
        <w:t>payment</w:t>
      </w:r>
      <w:r>
        <w:rPr>
          <w:spacing w:val="24"/>
        </w:rPr>
        <w:t> </w:t>
      </w:r>
      <w:r>
        <w:rPr/>
        <w:t>on</w:t>
      </w:r>
      <w:r>
        <w:rPr>
          <w:spacing w:val="25"/>
        </w:rPr>
        <w:t> </w:t>
      </w:r>
      <w:r>
        <w:rPr/>
        <w:t>any</w:t>
      </w:r>
      <w:r>
        <w:rPr>
          <w:spacing w:val="25"/>
        </w:rPr>
        <w:t> </w:t>
      </w:r>
      <w:r>
        <w:rPr/>
        <w:t>principal,</w:t>
      </w:r>
      <w:r>
        <w:rPr>
          <w:spacing w:val="25"/>
        </w:rPr>
        <w:t> </w:t>
      </w:r>
      <w:r>
        <w:rPr/>
        <w:t>interest</w:t>
      </w:r>
      <w:r>
        <w:rPr>
          <w:spacing w:val="24"/>
        </w:rPr>
        <w:t> </w:t>
      </w:r>
      <w:r>
        <w:rPr/>
        <w:t>or</w:t>
      </w:r>
      <w:r>
        <w:rPr>
          <w:spacing w:val="25"/>
        </w:rPr>
        <w:t> </w:t>
      </w:r>
      <w:r>
        <w:rPr/>
        <w:t>other charges due to IBRD on the dates provided in the contractual loan agreement.</w:t>
      </w:r>
    </w:p>
    <w:p>
      <w:pPr>
        <w:pStyle w:val="BodyText"/>
        <w:spacing w:line="249" w:lineRule="auto" w:before="121"/>
        <w:ind w:left="720" w:right="719"/>
      </w:pPr>
      <w:r>
        <w:rPr/>
        <w:t>As</w:t>
      </w:r>
      <w:r>
        <w:rPr>
          <w:spacing w:val="19"/>
        </w:rPr>
        <w:t> </w:t>
      </w:r>
      <w:r>
        <w:rPr/>
        <w:t>of</w:t>
      </w:r>
      <w:r>
        <w:rPr>
          <w:spacing w:val="19"/>
        </w:rPr>
        <w:t> </w:t>
      </w:r>
      <w:r>
        <w:rPr/>
        <w:t>June</w:t>
      </w:r>
      <w:r>
        <w:rPr>
          <w:spacing w:val="19"/>
        </w:rPr>
        <w:t> </w:t>
      </w:r>
      <w:r>
        <w:rPr/>
        <w:t>30,</w:t>
      </w:r>
      <w:r>
        <w:rPr>
          <w:spacing w:val="19"/>
        </w:rPr>
        <w:t> </w:t>
      </w:r>
      <w:r>
        <w:rPr/>
        <w:t>2023,</w:t>
      </w:r>
      <w:r>
        <w:rPr>
          <w:spacing w:val="19"/>
        </w:rPr>
        <w:t> </w:t>
      </w:r>
      <w:r>
        <w:rPr/>
        <w:t>there</w:t>
      </w:r>
      <w:r>
        <w:rPr>
          <w:spacing w:val="19"/>
        </w:rPr>
        <w:t> </w:t>
      </w:r>
      <w:r>
        <w:rPr/>
        <w:t>were</w:t>
      </w:r>
      <w:r>
        <w:rPr>
          <w:spacing w:val="19"/>
        </w:rPr>
        <w:t> </w:t>
      </w:r>
      <w:r>
        <w:rPr/>
        <w:t>no</w:t>
      </w:r>
      <w:r>
        <w:rPr>
          <w:spacing w:val="19"/>
        </w:rPr>
        <w:t> </w:t>
      </w:r>
      <w:r>
        <w:rPr/>
        <w:t>principal</w:t>
      </w:r>
      <w:r>
        <w:rPr>
          <w:spacing w:val="19"/>
        </w:rPr>
        <w:t> </w:t>
      </w:r>
      <w:r>
        <w:rPr/>
        <w:t>or</w:t>
      </w:r>
      <w:r>
        <w:rPr>
          <w:spacing w:val="19"/>
        </w:rPr>
        <w:t> </w:t>
      </w:r>
      <w:r>
        <w:rPr/>
        <w:t>interest</w:t>
      </w:r>
      <w:r>
        <w:rPr>
          <w:spacing w:val="19"/>
        </w:rPr>
        <w:t> </w:t>
      </w:r>
      <w:r>
        <w:rPr/>
        <w:t>amounts</w:t>
      </w:r>
      <w:r>
        <w:rPr>
          <w:spacing w:val="19"/>
        </w:rPr>
        <w:t> </w:t>
      </w:r>
      <w:r>
        <w:rPr/>
        <w:t>on</w:t>
      </w:r>
      <w:r>
        <w:rPr>
          <w:spacing w:val="19"/>
        </w:rPr>
        <w:t> </w:t>
      </w:r>
      <w:r>
        <w:rPr/>
        <w:t>loans</w:t>
      </w:r>
      <w:r>
        <w:rPr>
          <w:spacing w:val="19"/>
        </w:rPr>
        <w:t> </w:t>
      </w:r>
      <w:r>
        <w:rPr/>
        <w:t>in</w:t>
      </w:r>
      <w:r>
        <w:rPr>
          <w:spacing w:val="19"/>
        </w:rPr>
        <w:t> </w:t>
      </w:r>
      <w:r>
        <w:rPr/>
        <w:t>accrual</w:t>
      </w:r>
      <w:r>
        <w:rPr>
          <w:spacing w:val="19"/>
        </w:rPr>
        <w:t> </w:t>
      </w:r>
      <w:r>
        <w:rPr/>
        <w:t>status</w:t>
      </w:r>
      <w:r>
        <w:rPr>
          <w:spacing w:val="19"/>
        </w:rPr>
        <w:t> </w:t>
      </w:r>
      <w:r>
        <w:rPr/>
        <w:t>that</w:t>
      </w:r>
      <w:r>
        <w:rPr>
          <w:spacing w:val="19"/>
        </w:rPr>
        <w:t> </w:t>
      </w:r>
      <w:r>
        <w:rPr/>
        <w:t>were</w:t>
      </w:r>
      <w:r>
        <w:rPr>
          <w:spacing w:val="19"/>
        </w:rPr>
        <w:t> </w:t>
      </w:r>
      <w:r>
        <w:rPr/>
        <w:t>overdue</w:t>
      </w:r>
      <w:r>
        <w:rPr>
          <w:spacing w:val="19"/>
        </w:rPr>
        <w:t> </w:t>
      </w:r>
      <w:r>
        <w:rPr/>
        <w:t>by more than three months.</w:t>
      </w:r>
    </w:p>
    <w:p>
      <w:pPr>
        <w:pStyle w:val="BodyText"/>
        <w:spacing w:line="249" w:lineRule="auto" w:before="122"/>
        <w:ind w:left="720" w:right="719"/>
      </w:pPr>
      <w:r>
        <w:rPr/>
        <w:t>The following table provides a summary of selected financial information related to loans in nonaccrual status as of and for the stated fiscal years:</w:t>
      </w:r>
    </w:p>
    <w:p>
      <w:pPr>
        <w:pStyle w:val="Heading8"/>
      </w:pPr>
      <w:r>
        <w:rPr/>
        <w:t>Table</w:t>
      </w:r>
      <w:r>
        <w:rPr>
          <w:spacing w:val="-4"/>
        </w:rPr>
        <w:t> </w:t>
      </w:r>
      <w:r>
        <w:rPr/>
        <w:t>D6:</w:t>
      </w:r>
      <w:r>
        <w:rPr>
          <w:spacing w:val="-3"/>
        </w:rPr>
        <w:t> </w:t>
      </w:r>
      <w:r>
        <w:rPr/>
        <w:t>Loans</w:t>
      </w:r>
      <w:r>
        <w:rPr>
          <w:spacing w:val="-3"/>
        </w:rPr>
        <w:t> </w:t>
      </w:r>
      <w:r>
        <w:rPr/>
        <w:t>in</w:t>
      </w:r>
      <w:r>
        <w:rPr>
          <w:spacing w:val="-4"/>
        </w:rPr>
        <w:t> </w:t>
      </w:r>
      <w:r>
        <w:rPr/>
        <w:t>nonaccrual</w:t>
      </w:r>
      <w:r>
        <w:rPr>
          <w:spacing w:val="-3"/>
        </w:rPr>
        <w:t> </w:t>
      </w:r>
      <w:r>
        <w:rPr>
          <w:spacing w:val="-2"/>
        </w:rPr>
        <w:t>status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54592">
                <wp:simplePos x="0" y="0"/>
                <wp:positionH relativeFrom="page">
                  <wp:posOffset>914400</wp:posOffset>
                </wp:positionH>
                <wp:positionV relativeFrom="paragraph">
                  <wp:posOffset>191746</wp:posOffset>
                </wp:positionV>
                <wp:extent cx="5943600" cy="1270"/>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592" from="72pt,15.098154pt" to="540pt,15.098154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left"/>
        <w:rPr>
          <w:rFonts w:ascii="Arial"/>
          <w:i/>
          <w:sz w:val="16"/>
        </w:rPr>
        <w:sectPr>
          <w:headerReference w:type="default" r:id="rId164"/>
          <w:pgSz w:w="12240" w:h="15840"/>
          <w:pgMar w:header="0" w:footer="0" w:top="960" w:bottom="720" w:left="720" w:right="720"/>
        </w:sectPr>
      </w:pPr>
    </w:p>
    <w:p>
      <w:pPr>
        <w:spacing w:before="118"/>
        <w:ind w:left="0" w:right="0" w:firstLine="0"/>
        <w:jc w:val="right"/>
        <w:rPr>
          <w:rFonts w:ascii="Arial"/>
          <w:i/>
          <w:sz w:val="16"/>
        </w:rPr>
      </w:pPr>
      <w:r>
        <w:rPr>
          <w:rFonts w:ascii="Arial"/>
          <w:i/>
          <w:spacing w:val="-2"/>
          <w:sz w:val="16"/>
        </w:rPr>
        <w:t>Accumulated</w:t>
      </w:r>
    </w:p>
    <w:p>
      <w:pPr>
        <w:spacing w:before="92"/>
        <w:ind w:left="520" w:right="0" w:firstLine="0"/>
        <w:jc w:val="left"/>
        <w:rPr>
          <w:rFonts w:ascii="Arial"/>
          <w:i/>
          <w:sz w:val="16"/>
        </w:rPr>
      </w:pPr>
      <w:r>
        <w:rPr/>
        <w:br w:type="column"/>
      </w:r>
      <w:r>
        <w:rPr>
          <w:rFonts w:ascii="Arial"/>
          <w:i/>
          <w:spacing w:val="-2"/>
          <w:sz w:val="16"/>
        </w:rPr>
        <w:t>Average</w:t>
      </w:r>
    </w:p>
    <w:p>
      <w:pPr>
        <w:spacing w:before="49"/>
        <w:ind w:left="1007" w:right="0" w:firstLine="0"/>
        <w:jc w:val="left"/>
        <w:rPr>
          <w:rFonts w:ascii="Arial"/>
          <w:i/>
          <w:sz w:val="16"/>
        </w:rPr>
      </w:pPr>
      <w:r>
        <w:rPr/>
        <w:br w:type="column"/>
      </w:r>
      <w:r>
        <w:rPr>
          <w:rFonts w:ascii="Arial"/>
          <w:i/>
          <w:sz w:val="16"/>
        </w:rPr>
        <w:t>Overdue</w:t>
      </w:r>
      <w:r>
        <w:rPr>
          <w:rFonts w:ascii="Arial"/>
          <w:i/>
          <w:spacing w:val="-4"/>
          <w:sz w:val="16"/>
        </w:rPr>
        <w:t> </w:t>
      </w:r>
      <w:r>
        <w:rPr>
          <w:rFonts w:ascii="Arial"/>
          <w:i/>
          <w:spacing w:val="-2"/>
          <w:sz w:val="16"/>
        </w:rPr>
        <w:t>amounts</w:t>
      </w:r>
    </w:p>
    <w:p>
      <w:pPr>
        <w:spacing w:after="0"/>
        <w:jc w:val="left"/>
        <w:rPr>
          <w:rFonts w:ascii="Arial"/>
          <w:i/>
          <w:sz w:val="16"/>
        </w:rPr>
        <w:sectPr>
          <w:type w:val="continuous"/>
          <w:pgSz w:w="12240" w:h="15840"/>
          <w:pgMar w:header="0" w:footer="0" w:top="1820" w:bottom="280" w:left="720" w:right="720"/>
          <w:cols w:num="3" w:equalWidth="0">
            <w:col w:w="5953" w:space="40"/>
            <w:col w:w="1116" w:space="39"/>
            <w:col w:w="3652"/>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7"/>
        <w:gridCol w:w="1653"/>
        <w:gridCol w:w="1351"/>
        <w:gridCol w:w="1320"/>
        <w:gridCol w:w="1289"/>
        <w:gridCol w:w="1350"/>
        <w:gridCol w:w="1229"/>
      </w:tblGrid>
      <w:tr>
        <w:trPr>
          <w:trHeight w:val="400" w:hRule="atLeast"/>
        </w:trPr>
        <w:tc>
          <w:tcPr>
            <w:tcW w:w="1167" w:type="dxa"/>
            <w:tcBorders>
              <w:bottom w:val="single" w:sz="8" w:space="0" w:color="000000"/>
            </w:tcBorders>
          </w:tcPr>
          <w:p>
            <w:pPr>
              <w:pStyle w:val="TableParagraph"/>
              <w:spacing w:before="164"/>
              <w:ind w:left="365"/>
              <w:rPr>
                <w:rFonts w:ascii="Arial"/>
                <w:i/>
                <w:sz w:val="16"/>
              </w:rPr>
            </w:pPr>
            <w:r>
              <w:rPr>
                <w:rFonts w:ascii="Arial"/>
                <w:i/>
                <w:spacing w:val="-2"/>
                <w:sz w:val="16"/>
              </w:rPr>
              <w:t>Borrower</w:t>
            </w:r>
          </w:p>
        </w:tc>
        <w:tc>
          <w:tcPr>
            <w:tcW w:w="1653" w:type="dxa"/>
            <w:tcBorders>
              <w:bottom w:val="single" w:sz="8" w:space="0" w:color="000000"/>
            </w:tcBorders>
          </w:tcPr>
          <w:p>
            <w:pPr>
              <w:pStyle w:val="TableParagraph"/>
              <w:spacing w:before="164"/>
              <w:ind w:left="290"/>
              <w:rPr>
                <w:rFonts w:ascii="Arial"/>
                <w:i/>
                <w:sz w:val="16"/>
              </w:rPr>
            </w:pPr>
            <w:r>
              <w:rPr>
                <w:rFonts w:ascii="Arial"/>
                <w:i/>
                <w:sz w:val="16"/>
              </w:rPr>
              <w:t>Nonaccrual</w:t>
            </w:r>
            <w:r>
              <w:rPr>
                <w:rFonts w:ascii="Arial"/>
                <w:i/>
                <w:spacing w:val="-6"/>
                <w:sz w:val="16"/>
              </w:rPr>
              <w:t> </w:t>
            </w:r>
            <w:r>
              <w:rPr>
                <w:rFonts w:ascii="Arial"/>
                <w:i/>
                <w:spacing w:val="-2"/>
                <w:sz w:val="16"/>
              </w:rPr>
              <w:t>since</w:t>
            </w:r>
          </w:p>
        </w:tc>
        <w:tc>
          <w:tcPr>
            <w:tcW w:w="1351" w:type="dxa"/>
            <w:tcBorders>
              <w:bottom w:val="single" w:sz="8" w:space="0" w:color="000000"/>
            </w:tcBorders>
          </w:tcPr>
          <w:p>
            <w:pPr>
              <w:pStyle w:val="TableParagraph"/>
              <w:spacing w:line="157" w:lineRule="exact"/>
              <w:ind w:left="283"/>
              <w:rPr>
                <w:rFonts w:ascii="Arial"/>
                <w:i/>
                <w:sz w:val="16"/>
              </w:rPr>
            </w:pPr>
            <w:r>
              <w:rPr>
                <w:rFonts w:ascii="Arial"/>
                <w:i/>
                <w:spacing w:val="-2"/>
                <w:sz w:val="16"/>
              </w:rPr>
              <w:t>Recorded</w:t>
            </w:r>
          </w:p>
          <w:p>
            <w:pPr>
              <w:pStyle w:val="TableParagraph"/>
              <w:spacing w:before="8"/>
              <w:ind w:left="243"/>
              <w:rPr>
                <w:rFonts w:ascii="Arial"/>
                <w:i/>
                <w:sz w:val="16"/>
              </w:rPr>
            </w:pPr>
            <w:r>
              <w:rPr>
                <w:rFonts w:ascii="Arial"/>
                <w:i/>
                <w:spacing w:val="-2"/>
                <w:sz w:val="16"/>
              </w:rPr>
              <w:t>investment</w:t>
            </w:r>
          </w:p>
        </w:tc>
        <w:tc>
          <w:tcPr>
            <w:tcW w:w="1320" w:type="dxa"/>
            <w:tcBorders>
              <w:bottom w:val="single" w:sz="8" w:space="0" w:color="000000"/>
            </w:tcBorders>
          </w:tcPr>
          <w:p>
            <w:pPr>
              <w:pStyle w:val="TableParagraph"/>
              <w:spacing w:line="167" w:lineRule="exact"/>
              <w:ind w:left="154"/>
              <w:rPr>
                <w:rFonts w:ascii="Arial"/>
                <w:i/>
                <w:sz w:val="16"/>
              </w:rPr>
            </w:pPr>
            <w:r>
              <w:rPr>
                <w:rFonts w:ascii="Arial"/>
                <w:i/>
                <w:sz w:val="16"/>
              </w:rPr>
              <w:t>Provision</w:t>
            </w:r>
            <w:r>
              <w:rPr>
                <w:rFonts w:ascii="Arial"/>
                <w:i/>
                <w:spacing w:val="-5"/>
                <w:sz w:val="16"/>
              </w:rPr>
              <w:t> for</w:t>
            </w:r>
          </w:p>
          <w:p>
            <w:pPr>
              <w:pStyle w:val="TableParagraph"/>
              <w:spacing w:line="182" w:lineRule="exact"/>
              <w:ind w:left="199"/>
              <w:rPr>
                <w:rFonts w:ascii="Arial"/>
                <w:i/>
                <w:sz w:val="16"/>
              </w:rPr>
            </w:pPr>
            <w:r>
              <w:rPr>
                <w:rFonts w:ascii="Arial"/>
                <w:i/>
                <w:sz w:val="16"/>
              </w:rPr>
              <w:t>loan</w:t>
            </w:r>
            <w:r>
              <w:rPr>
                <w:rFonts w:ascii="Arial"/>
                <w:i/>
                <w:spacing w:val="-4"/>
                <w:sz w:val="16"/>
              </w:rPr>
              <w:t> </w:t>
            </w:r>
            <w:r>
              <w:rPr>
                <w:rFonts w:ascii="Arial"/>
                <w:i/>
                <w:spacing w:val="-2"/>
                <w:sz w:val="16"/>
              </w:rPr>
              <w:t>losses</w:t>
            </w:r>
          </w:p>
        </w:tc>
        <w:tc>
          <w:tcPr>
            <w:tcW w:w="1289" w:type="dxa"/>
            <w:tcBorders>
              <w:bottom w:val="single" w:sz="8" w:space="0" w:color="000000"/>
            </w:tcBorders>
          </w:tcPr>
          <w:p>
            <w:pPr>
              <w:pStyle w:val="TableParagraph"/>
              <w:spacing w:line="157" w:lineRule="exact"/>
              <w:ind w:left="283"/>
              <w:rPr>
                <w:rFonts w:ascii="Arial"/>
                <w:i/>
                <w:sz w:val="16"/>
              </w:rPr>
            </w:pPr>
            <w:r>
              <w:rPr>
                <w:rFonts w:ascii="Arial"/>
                <w:i/>
                <w:spacing w:val="-2"/>
                <w:sz w:val="16"/>
              </w:rPr>
              <w:t>recorded</w:t>
            </w:r>
          </w:p>
          <w:p>
            <w:pPr>
              <w:pStyle w:val="TableParagraph"/>
              <w:spacing w:before="8"/>
              <w:ind w:left="212"/>
              <w:rPr>
                <w:rFonts w:ascii="Arial"/>
                <w:i/>
                <w:sz w:val="16"/>
              </w:rPr>
            </w:pPr>
            <w:r>
              <w:rPr>
                <w:rFonts w:ascii="Arial"/>
                <w:i/>
                <w:spacing w:val="-2"/>
                <w:sz w:val="16"/>
              </w:rPr>
              <w:t>investment</w:t>
            </w:r>
          </w:p>
        </w:tc>
        <w:tc>
          <w:tcPr>
            <w:tcW w:w="1350" w:type="dxa"/>
            <w:tcBorders>
              <w:top w:val="single" w:sz="8" w:space="0" w:color="000000"/>
              <w:bottom w:val="single" w:sz="8" w:space="0" w:color="000000"/>
            </w:tcBorders>
          </w:tcPr>
          <w:p>
            <w:pPr>
              <w:pStyle w:val="TableParagraph"/>
              <w:spacing w:before="164"/>
              <w:ind w:left="323"/>
              <w:rPr>
                <w:rFonts w:ascii="Arial"/>
                <w:i/>
                <w:sz w:val="16"/>
              </w:rPr>
            </w:pPr>
            <w:r>
              <w:rPr>
                <w:rFonts w:ascii="Arial"/>
                <w:i/>
                <w:spacing w:val="-2"/>
                <w:sz w:val="16"/>
              </w:rPr>
              <w:t>Principal</w:t>
            </w:r>
          </w:p>
        </w:tc>
        <w:tc>
          <w:tcPr>
            <w:tcW w:w="1229" w:type="dxa"/>
            <w:tcBorders>
              <w:top w:val="single" w:sz="8" w:space="0" w:color="000000"/>
              <w:bottom w:val="single" w:sz="8" w:space="0" w:color="000000"/>
            </w:tcBorders>
          </w:tcPr>
          <w:p>
            <w:pPr>
              <w:pStyle w:val="TableParagraph"/>
              <w:spacing w:line="167" w:lineRule="exact"/>
              <w:ind w:left="1" w:right="27"/>
              <w:jc w:val="center"/>
              <w:rPr>
                <w:rFonts w:ascii="Arial"/>
                <w:i/>
                <w:sz w:val="16"/>
              </w:rPr>
            </w:pPr>
            <w:r>
              <w:rPr>
                <w:rFonts w:ascii="Arial"/>
                <w:i/>
                <w:sz w:val="16"/>
              </w:rPr>
              <w:t>Interest</w:t>
            </w:r>
            <w:r>
              <w:rPr>
                <w:rFonts w:ascii="Arial"/>
                <w:i/>
                <w:spacing w:val="-5"/>
                <w:sz w:val="16"/>
              </w:rPr>
              <w:t> and</w:t>
            </w:r>
          </w:p>
          <w:p>
            <w:pPr>
              <w:pStyle w:val="TableParagraph"/>
              <w:spacing w:line="182" w:lineRule="exact"/>
              <w:ind w:right="27"/>
              <w:jc w:val="center"/>
              <w:rPr>
                <w:rFonts w:ascii="Arial"/>
                <w:i/>
                <w:sz w:val="16"/>
              </w:rPr>
            </w:pPr>
            <w:r>
              <w:rPr>
                <w:rFonts w:ascii="Arial"/>
                <w:i/>
                <w:spacing w:val="-2"/>
                <w:sz w:val="16"/>
              </w:rPr>
              <w:t>Charges</w:t>
            </w:r>
          </w:p>
        </w:tc>
      </w:tr>
      <w:tr>
        <w:trPr>
          <w:trHeight w:val="223" w:hRule="atLeast"/>
        </w:trPr>
        <w:tc>
          <w:tcPr>
            <w:tcW w:w="1167" w:type="dxa"/>
            <w:tcBorders>
              <w:top w:val="single" w:sz="8" w:space="0" w:color="000000"/>
            </w:tcBorders>
          </w:tcPr>
          <w:p>
            <w:pPr>
              <w:pStyle w:val="TableParagraph"/>
              <w:spacing w:line="161" w:lineRule="exact"/>
              <w:ind w:left="52"/>
              <w:rPr>
                <w:sz w:val="16"/>
              </w:rPr>
            </w:pPr>
            <w:r>
              <w:rPr>
                <w:spacing w:val="-2"/>
                <w:sz w:val="16"/>
              </w:rPr>
              <w:t>Belarus</w:t>
            </w:r>
          </w:p>
        </w:tc>
        <w:tc>
          <w:tcPr>
            <w:tcW w:w="1653" w:type="dxa"/>
            <w:tcBorders>
              <w:top w:val="single" w:sz="8" w:space="0" w:color="000000"/>
            </w:tcBorders>
          </w:tcPr>
          <w:p>
            <w:pPr>
              <w:pStyle w:val="TableParagraph"/>
              <w:spacing w:line="161" w:lineRule="exact"/>
              <w:ind w:left="265"/>
              <w:rPr>
                <w:sz w:val="16"/>
              </w:rPr>
            </w:pPr>
            <w:r>
              <w:rPr>
                <w:sz w:val="16"/>
              </w:rPr>
              <w:t>October</w:t>
            </w:r>
            <w:r>
              <w:rPr>
                <w:spacing w:val="-3"/>
                <w:sz w:val="16"/>
              </w:rPr>
              <w:t> </w:t>
            </w:r>
            <w:r>
              <w:rPr>
                <w:spacing w:val="-4"/>
                <w:sz w:val="16"/>
              </w:rPr>
              <w:t>2022</w:t>
            </w:r>
          </w:p>
        </w:tc>
        <w:tc>
          <w:tcPr>
            <w:tcW w:w="1351" w:type="dxa"/>
            <w:tcBorders>
              <w:top w:val="single" w:sz="8" w:space="0" w:color="000000"/>
            </w:tcBorders>
          </w:tcPr>
          <w:p>
            <w:pPr>
              <w:pStyle w:val="TableParagraph"/>
              <w:tabs>
                <w:tab w:pos="751" w:val="left" w:leader="none"/>
              </w:tabs>
              <w:spacing w:line="161" w:lineRule="exact"/>
              <w:ind w:right="157"/>
              <w:jc w:val="right"/>
              <w:rPr>
                <w:sz w:val="16"/>
              </w:rPr>
            </w:pPr>
            <w:r>
              <w:rPr>
                <w:spacing w:val="-10"/>
                <w:sz w:val="16"/>
              </w:rPr>
              <w:t>$</w:t>
            </w:r>
            <w:r>
              <w:rPr>
                <w:sz w:val="16"/>
              </w:rPr>
              <w:tab/>
            </w:r>
            <w:r>
              <w:rPr>
                <w:spacing w:val="-5"/>
                <w:sz w:val="16"/>
              </w:rPr>
              <w:t>998</w:t>
            </w:r>
          </w:p>
        </w:tc>
        <w:tc>
          <w:tcPr>
            <w:tcW w:w="1320" w:type="dxa"/>
            <w:tcBorders>
              <w:top w:val="single" w:sz="8" w:space="0" w:color="000000"/>
            </w:tcBorders>
          </w:tcPr>
          <w:p>
            <w:pPr>
              <w:pStyle w:val="TableParagraph"/>
              <w:tabs>
                <w:tab w:pos="751" w:val="left" w:leader="none"/>
              </w:tabs>
              <w:spacing w:line="161" w:lineRule="exact"/>
              <w:ind w:right="157"/>
              <w:jc w:val="right"/>
              <w:rPr>
                <w:sz w:val="16"/>
              </w:rPr>
            </w:pPr>
            <w:r>
              <w:rPr>
                <w:spacing w:val="-10"/>
                <w:sz w:val="16"/>
              </w:rPr>
              <w:t>$</w:t>
            </w:r>
            <w:r>
              <w:rPr>
                <w:sz w:val="16"/>
              </w:rPr>
              <w:tab/>
            </w:r>
            <w:r>
              <w:rPr>
                <w:spacing w:val="-5"/>
                <w:sz w:val="16"/>
              </w:rPr>
              <w:t>109</w:t>
            </w:r>
          </w:p>
        </w:tc>
        <w:tc>
          <w:tcPr>
            <w:tcW w:w="1289" w:type="dxa"/>
            <w:tcBorders>
              <w:top w:val="single" w:sz="8" w:space="0" w:color="000000"/>
            </w:tcBorders>
          </w:tcPr>
          <w:p>
            <w:pPr>
              <w:pStyle w:val="TableParagraph"/>
              <w:tabs>
                <w:tab w:pos="751" w:val="left" w:leader="none"/>
              </w:tabs>
              <w:spacing w:line="161" w:lineRule="exact"/>
              <w:ind w:right="126"/>
              <w:jc w:val="right"/>
              <w:rPr>
                <w:sz w:val="16"/>
              </w:rPr>
            </w:pPr>
            <w:r>
              <w:rPr>
                <w:spacing w:val="-10"/>
                <w:sz w:val="16"/>
              </w:rPr>
              <w:t>$</w:t>
            </w:r>
            <w:r>
              <w:rPr>
                <w:sz w:val="16"/>
              </w:rPr>
              <w:tab/>
            </w:r>
            <w:r>
              <w:rPr>
                <w:spacing w:val="-5"/>
                <w:sz w:val="16"/>
              </w:rPr>
              <w:t>992</w:t>
            </w:r>
          </w:p>
        </w:tc>
        <w:tc>
          <w:tcPr>
            <w:tcW w:w="1350" w:type="dxa"/>
            <w:tcBorders>
              <w:top w:val="single" w:sz="8" w:space="0" w:color="000000"/>
            </w:tcBorders>
          </w:tcPr>
          <w:p>
            <w:pPr>
              <w:pStyle w:val="TableParagraph"/>
              <w:tabs>
                <w:tab w:pos="751" w:val="left" w:leader="none"/>
              </w:tabs>
              <w:spacing w:line="161" w:lineRule="exact"/>
              <w:ind w:right="156"/>
              <w:jc w:val="right"/>
              <w:rPr>
                <w:sz w:val="16"/>
              </w:rPr>
            </w:pPr>
            <w:r>
              <w:rPr>
                <w:spacing w:val="-10"/>
                <w:sz w:val="16"/>
              </w:rPr>
              <w:t>$</w:t>
            </w:r>
            <w:r>
              <w:rPr>
                <w:sz w:val="16"/>
              </w:rPr>
              <w:tab/>
            </w:r>
            <w:r>
              <w:rPr>
                <w:spacing w:val="-5"/>
                <w:sz w:val="16"/>
              </w:rPr>
              <w:t>171</w:t>
            </w:r>
          </w:p>
        </w:tc>
        <w:tc>
          <w:tcPr>
            <w:tcW w:w="1229" w:type="dxa"/>
            <w:tcBorders>
              <w:top w:val="single" w:sz="8" w:space="0" w:color="000000"/>
            </w:tcBorders>
          </w:tcPr>
          <w:p>
            <w:pPr>
              <w:pStyle w:val="TableParagraph"/>
              <w:tabs>
                <w:tab w:pos="840" w:val="left" w:leader="none"/>
              </w:tabs>
              <w:spacing w:line="161" w:lineRule="exact"/>
              <w:ind w:right="65"/>
              <w:jc w:val="right"/>
              <w:rPr>
                <w:sz w:val="16"/>
              </w:rPr>
            </w:pPr>
            <w:r>
              <w:rPr>
                <w:spacing w:val="-10"/>
                <w:sz w:val="16"/>
              </w:rPr>
              <w:t>$</w:t>
            </w:r>
            <w:r>
              <w:rPr>
                <w:sz w:val="16"/>
              </w:rPr>
              <w:tab/>
            </w:r>
            <w:r>
              <w:rPr>
                <w:spacing w:val="-5"/>
                <w:sz w:val="16"/>
              </w:rPr>
              <w:t>30</w:t>
            </w:r>
          </w:p>
        </w:tc>
      </w:tr>
      <w:tr>
        <w:trPr>
          <w:trHeight w:val="236" w:hRule="atLeast"/>
        </w:trPr>
        <w:tc>
          <w:tcPr>
            <w:tcW w:w="1167" w:type="dxa"/>
          </w:tcPr>
          <w:p>
            <w:pPr>
              <w:pStyle w:val="TableParagraph"/>
              <w:spacing w:line="177" w:lineRule="exact"/>
              <w:ind w:left="52"/>
              <w:rPr>
                <w:sz w:val="16"/>
              </w:rPr>
            </w:pPr>
            <w:r>
              <w:rPr>
                <w:spacing w:val="-2"/>
                <w:sz w:val="16"/>
              </w:rPr>
              <w:t>Zimbabwe</w:t>
            </w:r>
          </w:p>
        </w:tc>
        <w:tc>
          <w:tcPr>
            <w:tcW w:w="1653" w:type="dxa"/>
          </w:tcPr>
          <w:p>
            <w:pPr>
              <w:pStyle w:val="TableParagraph"/>
              <w:spacing w:line="177" w:lineRule="exact"/>
              <w:ind w:left="265"/>
              <w:rPr>
                <w:sz w:val="16"/>
              </w:rPr>
            </w:pPr>
            <w:r>
              <w:rPr>
                <w:sz w:val="16"/>
              </w:rPr>
              <w:t>October</w:t>
            </w:r>
            <w:r>
              <w:rPr>
                <w:spacing w:val="-3"/>
                <w:sz w:val="16"/>
              </w:rPr>
              <w:t> </w:t>
            </w:r>
            <w:r>
              <w:rPr>
                <w:spacing w:val="-4"/>
                <w:sz w:val="16"/>
              </w:rPr>
              <w:t>2000</w:t>
            </w:r>
          </w:p>
        </w:tc>
        <w:tc>
          <w:tcPr>
            <w:tcW w:w="1351" w:type="dxa"/>
            <w:tcBorders>
              <w:bottom w:val="single" w:sz="8" w:space="0" w:color="000000"/>
            </w:tcBorders>
          </w:tcPr>
          <w:p>
            <w:pPr>
              <w:pStyle w:val="TableParagraph"/>
              <w:spacing w:line="177" w:lineRule="exact"/>
              <w:ind w:right="157"/>
              <w:jc w:val="right"/>
              <w:rPr>
                <w:sz w:val="16"/>
              </w:rPr>
            </w:pPr>
            <w:r>
              <w:rPr>
                <w:spacing w:val="-5"/>
                <w:sz w:val="16"/>
              </w:rPr>
              <w:t>427</w:t>
            </w:r>
          </w:p>
        </w:tc>
        <w:tc>
          <w:tcPr>
            <w:tcW w:w="1320" w:type="dxa"/>
            <w:tcBorders>
              <w:bottom w:val="single" w:sz="8" w:space="0" w:color="000000"/>
            </w:tcBorders>
          </w:tcPr>
          <w:p>
            <w:pPr>
              <w:pStyle w:val="TableParagraph"/>
              <w:spacing w:line="177" w:lineRule="exact"/>
              <w:ind w:right="157"/>
              <w:jc w:val="right"/>
              <w:rPr>
                <w:sz w:val="16"/>
              </w:rPr>
            </w:pPr>
            <w:r>
              <w:rPr>
                <w:spacing w:val="-5"/>
                <w:sz w:val="16"/>
              </w:rPr>
              <w:t>213</w:t>
            </w:r>
          </w:p>
        </w:tc>
        <w:tc>
          <w:tcPr>
            <w:tcW w:w="1289" w:type="dxa"/>
            <w:tcBorders>
              <w:bottom w:val="single" w:sz="8" w:space="0" w:color="000000"/>
            </w:tcBorders>
          </w:tcPr>
          <w:p>
            <w:pPr>
              <w:pStyle w:val="TableParagraph"/>
              <w:spacing w:line="177" w:lineRule="exact"/>
              <w:ind w:right="126"/>
              <w:jc w:val="right"/>
              <w:rPr>
                <w:sz w:val="16"/>
              </w:rPr>
            </w:pPr>
            <w:r>
              <w:rPr>
                <w:spacing w:val="-5"/>
                <w:sz w:val="16"/>
              </w:rPr>
              <w:t>427</w:t>
            </w:r>
          </w:p>
        </w:tc>
        <w:tc>
          <w:tcPr>
            <w:tcW w:w="1350" w:type="dxa"/>
            <w:tcBorders>
              <w:bottom w:val="single" w:sz="8" w:space="0" w:color="000000"/>
            </w:tcBorders>
          </w:tcPr>
          <w:p>
            <w:pPr>
              <w:pStyle w:val="TableParagraph"/>
              <w:spacing w:line="177" w:lineRule="exact"/>
              <w:ind w:right="156"/>
              <w:jc w:val="right"/>
              <w:rPr>
                <w:sz w:val="16"/>
              </w:rPr>
            </w:pPr>
            <w:r>
              <w:rPr>
                <w:spacing w:val="-5"/>
                <w:sz w:val="16"/>
              </w:rPr>
              <w:t>427</w:t>
            </w:r>
          </w:p>
        </w:tc>
        <w:tc>
          <w:tcPr>
            <w:tcW w:w="1229" w:type="dxa"/>
            <w:tcBorders>
              <w:bottom w:val="single" w:sz="8" w:space="0" w:color="000000"/>
            </w:tcBorders>
          </w:tcPr>
          <w:p>
            <w:pPr>
              <w:pStyle w:val="TableParagraph"/>
              <w:spacing w:line="177" w:lineRule="exact"/>
              <w:ind w:right="65"/>
              <w:jc w:val="right"/>
              <w:rPr>
                <w:sz w:val="16"/>
              </w:rPr>
            </w:pPr>
            <w:r>
              <w:rPr>
                <w:spacing w:val="-5"/>
                <w:sz w:val="16"/>
              </w:rPr>
              <w:t>660</w:t>
            </w:r>
          </w:p>
        </w:tc>
      </w:tr>
      <w:tr>
        <w:trPr>
          <w:trHeight w:val="200" w:hRule="atLeast"/>
        </w:trPr>
        <w:tc>
          <w:tcPr>
            <w:tcW w:w="1167" w:type="dxa"/>
          </w:tcPr>
          <w:p>
            <w:pPr>
              <w:pStyle w:val="TableParagraph"/>
              <w:spacing w:line="161" w:lineRule="exact"/>
              <w:ind w:left="52"/>
              <w:rPr>
                <w:sz w:val="16"/>
              </w:rPr>
            </w:pPr>
            <w:r>
              <w:rPr>
                <w:sz w:val="16"/>
              </w:rPr>
              <w:t>Total</w:t>
            </w:r>
            <w:r>
              <w:rPr>
                <w:spacing w:val="-8"/>
                <w:sz w:val="16"/>
              </w:rPr>
              <w:t> </w:t>
            </w:r>
            <w:r>
              <w:rPr>
                <w:sz w:val="16"/>
              </w:rPr>
              <w:t>-</w:t>
            </w:r>
            <w:r>
              <w:rPr>
                <w:spacing w:val="-8"/>
                <w:sz w:val="16"/>
              </w:rPr>
              <w:t> </w:t>
            </w:r>
            <w:r>
              <w:rPr>
                <w:sz w:val="16"/>
              </w:rPr>
              <w:t>June</w:t>
            </w:r>
            <w:r>
              <w:rPr>
                <w:spacing w:val="-8"/>
                <w:sz w:val="16"/>
              </w:rPr>
              <w:t> </w:t>
            </w:r>
            <w:r>
              <w:rPr>
                <w:spacing w:val="-5"/>
                <w:sz w:val="16"/>
              </w:rPr>
              <w:t>30,</w:t>
            </w:r>
          </w:p>
        </w:tc>
        <w:tc>
          <w:tcPr>
            <w:tcW w:w="1653" w:type="dxa"/>
          </w:tcPr>
          <w:p>
            <w:pPr>
              <w:pStyle w:val="TableParagraph"/>
              <w:spacing w:line="161" w:lineRule="exact"/>
              <w:ind w:left="22"/>
              <w:rPr>
                <w:sz w:val="16"/>
              </w:rPr>
            </w:pPr>
            <w:r>
              <w:rPr>
                <w:spacing w:val="-4"/>
                <w:sz w:val="16"/>
              </w:rPr>
              <w:t>2023</w:t>
            </w:r>
          </w:p>
        </w:tc>
        <w:tc>
          <w:tcPr>
            <w:tcW w:w="1351" w:type="dxa"/>
            <w:tcBorders>
              <w:top w:val="single" w:sz="8" w:space="0" w:color="000000"/>
              <w:bottom w:val="double" w:sz="8" w:space="0" w:color="000000"/>
            </w:tcBorders>
          </w:tcPr>
          <w:p>
            <w:pPr>
              <w:pStyle w:val="TableParagraph"/>
              <w:tabs>
                <w:tab w:pos="618" w:val="left" w:leader="none"/>
              </w:tabs>
              <w:spacing w:line="161" w:lineRule="exact"/>
              <w:ind w:right="157"/>
              <w:jc w:val="right"/>
              <w:rPr>
                <w:sz w:val="16"/>
              </w:rPr>
            </w:pPr>
            <w:r>
              <w:rPr>
                <w:spacing w:val="-10"/>
                <w:sz w:val="16"/>
              </w:rPr>
              <w:t>$</w:t>
            </w:r>
            <w:r>
              <w:rPr>
                <w:sz w:val="16"/>
              </w:rPr>
              <w:tab/>
            </w:r>
            <w:r>
              <w:rPr>
                <w:spacing w:val="-2"/>
                <w:sz w:val="16"/>
              </w:rPr>
              <w:t>1,425</w:t>
            </w:r>
          </w:p>
        </w:tc>
        <w:tc>
          <w:tcPr>
            <w:tcW w:w="1320" w:type="dxa"/>
            <w:tcBorders>
              <w:top w:val="single" w:sz="8" w:space="0" w:color="000000"/>
              <w:bottom w:val="double" w:sz="8" w:space="0" w:color="000000"/>
            </w:tcBorders>
          </w:tcPr>
          <w:p>
            <w:pPr>
              <w:pStyle w:val="TableParagraph"/>
              <w:tabs>
                <w:tab w:pos="751" w:val="left" w:leader="none"/>
              </w:tabs>
              <w:spacing w:line="161" w:lineRule="exact"/>
              <w:ind w:right="157"/>
              <w:jc w:val="right"/>
              <w:rPr>
                <w:sz w:val="16"/>
              </w:rPr>
            </w:pPr>
            <w:r>
              <w:rPr>
                <w:spacing w:val="-10"/>
                <w:sz w:val="16"/>
              </w:rPr>
              <w:t>$</w:t>
            </w:r>
            <w:r>
              <w:rPr>
                <w:sz w:val="16"/>
              </w:rPr>
              <w:tab/>
            </w:r>
            <w:r>
              <w:rPr>
                <w:spacing w:val="-5"/>
                <w:sz w:val="16"/>
              </w:rPr>
              <w:t>322</w:t>
            </w:r>
          </w:p>
        </w:tc>
        <w:tc>
          <w:tcPr>
            <w:tcW w:w="1289" w:type="dxa"/>
            <w:tcBorders>
              <w:top w:val="single" w:sz="8" w:space="0" w:color="000000"/>
              <w:bottom w:val="double" w:sz="8" w:space="0" w:color="000000"/>
            </w:tcBorders>
          </w:tcPr>
          <w:p>
            <w:pPr>
              <w:pStyle w:val="TableParagraph"/>
              <w:tabs>
                <w:tab w:pos="618" w:val="left" w:leader="none"/>
              </w:tabs>
              <w:spacing w:line="161" w:lineRule="exact"/>
              <w:ind w:right="126"/>
              <w:jc w:val="right"/>
              <w:rPr>
                <w:sz w:val="16"/>
              </w:rPr>
            </w:pPr>
            <w:r>
              <w:rPr>
                <w:spacing w:val="-10"/>
                <w:sz w:val="16"/>
              </w:rPr>
              <w:t>$</w:t>
            </w:r>
            <w:r>
              <w:rPr>
                <w:sz w:val="16"/>
              </w:rPr>
              <w:tab/>
            </w:r>
            <w:r>
              <w:rPr>
                <w:spacing w:val="-2"/>
                <w:sz w:val="16"/>
              </w:rPr>
              <w:t>1,419</w:t>
            </w:r>
          </w:p>
        </w:tc>
        <w:tc>
          <w:tcPr>
            <w:tcW w:w="1350" w:type="dxa"/>
            <w:tcBorders>
              <w:top w:val="single" w:sz="8" w:space="0" w:color="000000"/>
              <w:bottom w:val="double" w:sz="8" w:space="0" w:color="000000"/>
            </w:tcBorders>
          </w:tcPr>
          <w:p>
            <w:pPr>
              <w:pStyle w:val="TableParagraph"/>
              <w:tabs>
                <w:tab w:pos="751" w:val="left" w:leader="none"/>
              </w:tabs>
              <w:spacing w:line="161" w:lineRule="exact"/>
              <w:ind w:right="156"/>
              <w:jc w:val="right"/>
              <w:rPr>
                <w:sz w:val="16"/>
              </w:rPr>
            </w:pPr>
            <w:r>
              <w:rPr>
                <w:spacing w:val="-10"/>
                <w:sz w:val="16"/>
              </w:rPr>
              <w:t>$</w:t>
            </w:r>
            <w:r>
              <w:rPr>
                <w:sz w:val="16"/>
              </w:rPr>
              <w:tab/>
            </w:r>
            <w:r>
              <w:rPr>
                <w:spacing w:val="-5"/>
                <w:sz w:val="16"/>
              </w:rPr>
              <w:t>598</w:t>
            </w:r>
          </w:p>
        </w:tc>
        <w:tc>
          <w:tcPr>
            <w:tcW w:w="1229" w:type="dxa"/>
            <w:tcBorders>
              <w:top w:val="single" w:sz="8" w:space="0" w:color="000000"/>
              <w:bottom w:val="double" w:sz="8" w:space="0" w:color="000000"/>
            </w:tcBorders>
          </w:tcPr>
          <w:p>
            <w:pPr>
              <w:pStyle w:val="TableParagraph"/>
              <w:tabs>
                <w:tab w:pos="751" w:val="left" w:leader="none"/>
              </w:tabs>
              <w:spacing w:line="161" w:lineRule="exact"/>
              <w:ind w:right="65"/>
              <w:jc w:val="right"/>
              <w:rPr>
                <w:sz w:val="16"/>
              </w:rPr>
            </w:pPr>
            <w:r>
              <w:rPr>
                <w:spacing w:val="-10"/>
                <w:sz w:val="16"/>
              </w:rPr>
              <w:t>$</w:t>
            </w:r>
            <w:r>
              <w:rPr>
                <w:sz w:val="16"/>
              </w:rPr>
              <w:tab/>
            </w:r>
            <w:r>
              <w:rPr>
                <w:spacing w:val="-5"/>
                <w:sz w:val="16"/>
              </w:rPr>
              <w:t>690</w:t>
            </w:r>
          </w:p>
        </w:tc>
      </w:tr>
      <w:tr>
        <w:trPr>
          <w:trHeight w:val="180" w:hRule="atLeast"/>
        </w:trPr>
        <w:tc>
          <w:tcPr>
            <w:tcW w:w="1167" w:type="dxa"/>
          </w:tcPr>
          <w:p>
            <w:pPr>
              <w:pStyle w:val="TableParagraph"/>
              <w:spacing w:line="141" w:lineRule="exact"/>
              <w:ind w:left="52"/>
              <w:rPr>
                <w:sz w:val="16"/>
              </w:rPr>
            </w:pPr>
            <w:r>
              <w:rPr>
                <w:sz w:val="16"/>
              </w:rPr>
              <w:t>Total</w:t>
            </w:r>
            <w:r>
              <w:rPr>
                <w:spacing w:val="-8"/>
                <w:sz w:val="16"/>
              </w:rPr>
              <w:t> </w:t>
            </w:r>
            <w:r>
              <w:rPr>
                <w:sz w:val="16"/>
              </w:rPr>
              <w:t>-</w:t>
            </w:r>
            <w:r>
              <w:rPr>
                <w:spacing w:val="-8"/>
                <w:sz w:val="16"/>
              </w:rPr>
              <w:t> </w:t>
            </w:r>
            <w:r>
              <w:rPr>
                <w:sz w:val="16"/>
              </w:rPr>
              <w:t>June</w:t>
            </w:r>
            <w:r>
              <w:rPr>
                <w:spacing w:val="-8"/>
                <w:sz w:val="16"/>
              </w:rPr>
              <w:t> </w:t>
            </w:r>
            <w:r>
              <w:rPr>
                <w:spacing w:val="-5"/>
                <w:sz w:val="16"/>
              </w:rPr>
              <w:t>30,</w:t>
            </w:r>
          </w:p>
        </w:tc>
        <w:tc>
          <w:tcPr>
            <w:tcW w:w="1653" w:type="dxa"/>
          </w:tcPr>
          <w:p>
            <w:pPr>
              <w:pStyle w:val="TableParagraph"/>
              <w:spacing w:line="141" w:lineRule="exact"/>
              <w:ind w:left="22"/>
              <w:rPr>
                <w:sz w:val="16"/>
              </w:rPr>
            </w:pPr>
            <w:r>
              <w:rPr>
                <w:spacing w:val="-4"/>
                <w:sz w:val="16"/>
              </w:rPr>
              <w:t>2022</w:t>
            </w:r>
          </w:p>
        </w:tc>
        <w:tc>
          <w:tcPr>
            <w:tcW w:w="1351" w:type="dxa"/>
            <w:tcBorders>
              <w:top w:val="double" w:sz="8" w:space="0" w:color="000000"/>
              <w:bottom w:val="double" w:sz="8" w:space="0" w:color="000000"/>
            </w:tcBorders>
          </w:tcPr>
          <w:p>
            <w:pPr>
              <w:pStyle w:val="TableParagraph"/>
              <w:tabs>
                <w:tab w:pos="767" w:val="left" w:leader="none"/>
              </w:tabs>
              <w:spacing w:line="141" w:lineRule="exact"/>
              <w:ind w:right="141"/>
              <w:jc w:val="right"/>
              <w:rPr>
                <w:sz w:val="16"/>
              </w:rPr>
            </w:pPr>
            <w:r>
              <w:rPr>
                <w:spacing w:val="-10"/>
                <w:sz w:val="16"/>
              </w:rPr>
              <w:t>$</w:t>
            </w:r>
            <w:r>
              <w:rPr>
                <w:sz w:val="16"/>
              </w:rPr>
              <w:tab/>
            </w:r>
            <w:r>
              <w:rPr>
                <w:spacing w:val="-5"/>
                <w:sz w:val="16"/>
              </w:rPr>
              <w:t>428</w:t>
            </w:r>
          </w:p>
        </w:tc>
        <w:tc>
          <w:tcPr>
            <w:tcW w:w="1320" w:type="dxa"/>
            <w:tcBorders>
              <w:top w:val="double" w:sz="8" w:space="0" w:color="000000"/>
              <w:bottom w:val="double" w:sz="8" w:space="0" w:color="000000"/>
            </w:tcBorders>
          </w:tcPr>
          <w:p>
            <w:pPr>
              <w:pStyle w:val="TableParagraph"/>
              <w:tabs>
                <w:tab w:pos="767" w:val="left" w:leader="none"/>
              </w:tabs>
              <w:spacing w:line="141" w:lineRule="exact"/>
              <w:ind w:right="141"/>
              <w:jc w:val="right"/>
              <w:rPr>
                <w:sz w:val="16"/>
              </w:rPr>
            </w:pPr>
            <w:r>
              <w:rPr>
                <w:spacing w:val="-10"/>
                <w:sz w:val="16"/>
              </w:rPr>
              <w:t>$</w:t>
            </w:r>
            <w:r>
              <w:rPr>
                <w:sz w:val="16"/>
              </w:rPr>
              <w:tab/>
            </w:r>
            <w:r>
              <w:rPr>
                <w:spacing w:val="-5"/>
                <w:sz w:val="16"/>
              </w:rPr>
              <w:t>214</w:t>
            </w:r>
          </w:p>
        </w:tc>
        <w:tc>
          <w:tcPr>
            <w:tcW w:w="1289" w:type="dxa"/>
            <w:tcBorders>
              <w:top w:val="double" w:sz="8" w:space="0" w:color="000000"/>
              <w:bottom w:val="double" w:sz="8" w:space="0" w:color="000000"/>
            </w:tcBorders>
          </w:tcPr>
          <w:p>
            <w:pPr>
              <w:pStyle w:val="TableParagraph"/>
              <w:tabs>
                <w:tab w:pos="767" w:val="left" w:leader="none"/>
              </w:tabs>
              <w:spacing w:line="141" w:lineRule="exact"/>
              <w:ind w:right="110"/>
              <w:jc w:val="right"/>
              <w:rPr>
                <w:sz w:val="16"/>
              </w:rPr>
            </w:pPr>
            <w:r>
              <w:rPr>
                <w:spacing w:val="-10"/>
                <w:sz w:val="16"/>
              </w:rPr>
              <w:t>$</w:t>
            </w:r>
            <w:r>
              <w:rPr>
                <w:sz w:val="16"/>
              </w:rPr>
              <w:tab/>
            </w:r>
            <w:r>
              <w:rPr>
                <w:spacing w:val="-5"/>
                <w:sz w:val="16"/>
              </w:rPr>
              <w:t>430</w:t>
            </w:r>
          </w:p>
        </w:tc>
        <w:tc>
          <w:tcPr>
            <w:tcW w:w="1350" w:type="dxa"/>
            <w:tcBorders>
              <w:top w:val="double" w:sz="8" w:space="0" w:color="000000"/>
              <w:bottom w:val="double" w:sz="8" w:space="0" w:color="000000"/>
            </w:tcBorders>
          </w:tcPr>
          <w:p>
            <w:pPr>
              <w:pStyle w:val="TableParagraph"/>
              <w:tabs>
                <w:tab w:pos="767" w:val="left" w:leader="none"/>
              </w:tabs>
              <w:spacing w:line="141" w:lineRule="exact"/>
              <w:ind w:right="140"/>
              <w:jc w:val="right"/>
              <w:rPr>
                <w:sz w:val="16"/>
              </w:rPr>
            </w:pPr>
            <w:r>
              <w:rPr>
                <w:spacing w:val="-10"/>
                <w:sz w:val="16"/>
              </w:rPr>
              <w:t>$</w:t>
            </w:r>
            <w:r>
              <w:rPr>
                <w:sz w:val="16"/>
              </w:rPr>
              <w:tab/>
            </w:r>
            <w:r>
              <w:rPr>
                <w:spacing w:val="-5"/>
                <w:sz w:val="16"/>
              </w:rPr>
              <w:t>428</w:t>
            </w:r>
          </w:p>
        </w:tc>
        <w:tc>
          <w:tcPr>
            <w:tcW w:w="1229" w:type="dxa"/>
            <w:tcBorders>
              <w:top w:val="double" w:sz="8" w:space="0" w:color="000000"/>
              <w:bottom w:val="double" w:sz="8" w:space="0" w:color="000000"/>
            </w:tcBorders>
          </w:tcPr>
          <w:p>
            <w:pPr>
              <w:pStyle w:val="TableParagraph"/>
              <w:tabs>
                <w:tab w:pos="767" w:val="left" w:leader="none"/>
              </w:tabs>
              <w:spacing w:line="141" w:lineRule="exact"/>
              <w:ind w:right="49"/>
              <w:jc w:val="right"/>
              <w:rPr>
                <w:sz w:val="16"/>
              </w:rPr>
            </w:pPr>
            <w:r>
              <w:rPr>
                <w:spacing w:val="-10"/>
                <w:sz w:val="16"/>
              </w:rPr>
              <w:t>$</w:t>
            </w:r>
            <w:r>
              <w:rPr>
                <w:sz w:val="16"/>
              </w:rPr>
              <w:tab/>
            </w:r>
            <w:r>
              <w:rPr>
                <w:spacing w:val="-5"/>
                <w:sz w:val="16"/>
              </w:rPr>
              <w:t>633</w:t>
            </w:r>
          </w:p>
        </w:tc>
      </w:tr>
    </w:tbl>
    <w:p>
      <w:pPr>
        <w:pStyle w:val="BodyText"/>
        <w:spacing w:before="7"/>
        <w:rPr>
          <w:rFonts w:ascii="Arial"/>
          <w:i/>
          <w:sz w:val="12"/>
        </w:rPr>
      </w:pPr>
      <w:r>
        <w:rPr>
          <w:rFonts w:ascii="Arial"/>
          <w:i/>
          <w:sz w:val="12"/>
        </w:rPr>
        <mc:AlternateContent>
          <mc:Choice Requires="wps">
            <w:drawing>
              <wp:anchor distT="0" distB="0" distL="0" distR="0" allowOverlap="1" layoutInCell="1" locked="0" behindDoc="1" simplePos="0" relativeHeight="487713280">
                <wp:simplePos x="0" y="0"/>
                <wp:positionH relativeFrom="page">
                  <wp:posOffset>914400</wp:posOffset>
                </wp:positionH>
                <wp:positionV relativeFrom="paragraph">
                  <wp:posOffset>107311</wp:posOffset>
                </wp:positionV>
                <wp:extent cx="5943600" cy="1270"/>
                <wp:effectExtent l="0" t="0" r="0" b="0"/>
                <wp:wrapTopAndBottom/>
                <wp:docPr id="826" name="Graphic 826"/>
                <wp:cNvGraphicFramePr>
                  <a:graphicFrameLocks/>
                </wp:cNvGraphicFramePr>
                <a:graphic>
                  <a:graphicData uri="http://schemas.microsoft.com/office/word/2010/wordprocessingShape">
                    <wps:wsp>
                      <wps:cNvPr id="826" name="Graphic 82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449717pt;width:468pt;height:.1pt;mso-position-horizontal-relative:page;mso-position-vertical-relative:paragraph;z-index:-15603200;mso-wrap-distance-left:0;mso-wrap-distance-right:0" id="docshape689" coordorigin="1440,169" coordsize="9360,0" path="m1440,169l10800,169e" filled="false" stroked="true" strokeweight="1pt" strokecolor="#000000">
                <v:path arrowok="t"/>
                <v:stroke dashstyle="solid"/>
                <w10:wrap type="topAndBottom"/>
              </v:shape>
            </w:pict>
          </mc:Fallback>
        </mc:AlternateContent>
      </w:r>
    </w:p>
    <w:p>
      <w:pPr>
        <w:pStyle w:val="BodyText"/>
        <w:spacing w:line="249" w:lineRule="auto" w:before="162"/>
        <w:ind w:left="720" w:right="718"/>
        <w:jc w:val="both"/>
      </w:pPr>
      <w:r>
        <w:rPr/>
        <w:t>Effective</w:t>
      </w:r>
      <w:r>
        <w:rPr>
          <w:spacing w:val="-3"/>
        </w:rPr>
        <w:t> </w:t>
      </w:r>
      <w:r>
        <w:rPr/>
        <w:t>October</w:t>
      </w:r>
      <w:r>
        <w:rPr>
          <w:spacing w:val="-3"/>
        </w:rPr>
        <w:t> </w:t>
      </w:r>
      <w:r>
        <w:rPr/>
        <w:t>17,</w:t>
      </w:r>
      <w:r>
        <w:rPr>
          <w:spacing w:val="-3"/>
        </w:rPr>
        <w:t> </w:t>
      </w:r>
      <w:r>
        <w:rPr/>
        <w:t>2022,</w:t>
      </w:r>
      <w:r>
        <w:rPr>
          <w:spacing w:val="-3"/>
        </w:rPr>
        <w:t> </w:t>
      </w:r>
      <w:r>
        <w:rPr/>
        <w:t>all</w:t>
      </w:r>
      <w:r>
        <w:rPr>
          <w:spacing w:val="-3"/>
        </w:rPr>
        <w:t> </w:t>
      </w:r>
      <w:r>
        <w:rPr/>
        <w:t>loans</w:t>
      </w:r>
      <w:r>
        <w:rPr>
          <w:spacing w:val="-3"/>
        </w:rPr>
        <w:t> </w:t>
      </w:r>
      <w:r>
        <w:rPr/>
        <w:t>made</w:t>
      </w:r>
      <w:r>
        <w:rPr>
          <w:spacing w:val="-3"/>
        </w:rPr>
        <w:t> </w:t>
      </w:r>
      <w:r>
        <w:rPr/>
        <w:t>to</w:t>
      </w:r>
      <w:r>
        <w:rPr>
          <w:spacing w:val="-3"/>
        </w:rPr>
        <w:t> </w:t>
      </w:r>
      <w:r>
        <w:rPr/>
        <w:t>or</w:t>
      </w:r>
      <w:r>
        <w:rPr>
          <w:spacing w:val="-3"/>
        </w:rPr>
        <w:t> </w:t>
      </w:r>
      <w:r>
        <w:rPr/>
        <w:t>guaranteed</w:t>
      </w:r>
      <w:r>
        <w:rPr>
          <w:spacing w:val="-3"/>
        </w:rPr>
        <w:t> </w:t>
      </w:r>
      <w:r>
        <w:rPr/>
        <w:t>by</w:t>
      </w:r>
      <w:r>
        <w:rPr>
          <w:spacing w:val="-3"/>
        </w:rPr>
        <w:t> </w:t>
      </w:r>
      <w:r>
        <w:rPr/>
        <w:t>Belarus</w:t>
      </w:r>
      <w:r>
        <w:rPr>
          <w:spacing w:val="-3"/>
        </w:rPr>
        <w:t> </w:t>
      </w:r>
      <w:r>
        <w:rPr/>
        <w:t>were</w:t>
      </w:r>
      <w:r>
        <w:rPr>
          <w:spacing w:val="-3"/>
        </w:rPr>
        <w:t> </w:t>
      </w:r>
      <w:r>
        <w:rPr/>
        <w:t>placed</w:t>
      </w:r>
      <w:r>
        <w:rPr>
          <w:spacing w:val="-3"/>
        </w:rPr>
        <w:t> </w:t>
      </w:r>
      <w:r>
        <w:rPr/>
        <w:t>in</w:t>
      </w:r>
      <w:r>
        <w:rPr>
          <w:spacing w:val="-3"/>
        </w:rPr>
        <w:t> </w:t>
      </w:r>
      <w:r>
        <w:rPr/>
        <w:t>nonaccrual</w:t>
      </w:r>
      <w:r>
        <w:rPr>
          <w:spacing w:val="-3"/>
        </w:rPr>
        <w:t> </w:t>
      </w:r>
      <w:r>
        <w:rPr/>
        <w:t>status.</w:t>
      </w:r>
      <w:r>
        <w:rPr>
          <w:spacing w:val="-3"/>
        </w:rPr>
        <w:t> </w:t>
      </w:r>
      <w:r>
        <w:rPr/>
        <w:t>No</w:t>
      </w:r>
      <w:r>
        <w:rPr>
          <w:spacing w:val="-3"/>
        </w:rPr>
        <w:t> </w:t>
      </w:r>
      <w:r>
        <w:rPr/>
        <w:t>loans</w:t>
      </w:r>
      <w:r>
        <w:rPr>
          <w:spacing w:val="-3"/>
        </w:rPr>
        <w:t> </w:t>
      </w:r>
      <w:r>
        <w:rPr/>
        <w:t>to any borrowing country were restored to accrual status during the fiscal years ended June 30, 2023 and June 30,</w:t>
      </w:r>
      <w:r>
        <w:rPr>
          <w:spacing w:val="40"/>
        </w:rPr>
        <w:t> </w:t>
      </w:r>
      <w:r>
        <w:rPr>
          <w:spacing w:val="-2"/>
        </w:rPr>
        <w:t>2022.</w:t>
      </w:r>
    </w:p>
    <w:p>
      <w:pPr>
        <w:pStyle w:val="BodyText"/>
        <w:spacing w:line="249" w:lineRule="auto" w:before="122"/>
        <w:ind w:left="720" w:right="719"/>
        <w:jc w:val="both"/>
      </w:pPr>
      <w:r>
        <w:rPr/>
        <w:t>During the fiscal year ended June 30, 2023, interest and other revenue not recognized as a result of loans being in nonaccrual status was $69 million ($27 million—June 30, 2022 and $27 million—June 30, 2021).</w:t>
      </w:r>
    </w:p>
    <w:p>
      <w:pPr>
        <w:pStyle w:val="BodyText"/>
        <w:spacing w:before="122"/>
        <w:ind w:left="720" w:right="719"/>
      </w:pPr>
      <w:r>
        <w:rPr/>
        <w:t>In addition, during the fiscal year ended June 30, 2023, $2 million of interest revenue was recognized on loans in nonaccrual</w:t>
      </w:r>
      <w:r>
        <w:rPr>
          <w:spacing w:val="-4"/>
        </w:rPr>
        <w:t> </w:t>
      </w:r>
      <w:r>
        <w:rPr/>
        <w:t>status</w:t>
      </w:r>
      <w:r>
        <w:rPr>
          <w:spacing w:val="-4"/>
        </w:rPr>
        <w:t> </w:t>
      </w:r>
      <w:r>
        <w:rPr/>
        <w:t>upon</w:t>
      </w:r>
      <w:r>
        <w:rPr>
          <w:spacing w:val="-3"/>
        </w:rPr>
        <w:t> </w:t>
      </w:r>
      <w:r>
        <w:rPr/>
        <w:t>receipt</w:t>
      </w:r>
      <w:r>
        <w:rPr>
          <w:spacing w:val="-4"/>
        </w:rPr>
        <w:t> </w:t>
      </w:r>
      <w:r>
        <w:rPr/>
        <w:t>of</w:t>
      </w:r>
      <w:r>
        <w:rPr>
          <w:spacing w:val="-3"/>
        </w:rPr>
        <w:t> </w:t>
      </w:r>
      <w:r>
        <w:rPr/>
        <w:t>payment</w:t>
      </w:r>
      <w:r>
        <w:rPr>
          <w:spacing w:val="-4"/>
        </w:rPr>
        <w:t> </w:t>
      </w:r>
      <w:r>
        <w:rPr/>
        <w:t>(less</w:t>
      </w:r>
      <w:r>
        <w:rPr>
          <w:spacing w:val="-4"/>
        </w:rPr>
        <w:t> </w:t>
      </w:r>
      <w:r>
        <w:rPr/>
        <w:t>than</w:t>
      </w:r>
      <w:r>
        <w:rPr>
          <w:spacing w:val="-3"/>
        </w:rPr>
        <w:t> </w:t>
      </w:r>
      <w:r>
        <w:rPr/>
        <w:t>$1</w:t>
      </w:r>
      <w:r>
        <w:rPr>
          <w:spacing w:val="-3"/>
        </w:rPr>
        <w:t> </w:t>
      </w:r>
      <w:r>
        <w:rPr/>
        <w:t>million—June</w:t>
      </w:r>
      <w:r>
        <w:rPr>
          <w:spacing w:val="-4"/>
        </w:rPr>
        <w:t> </w:t>
      </w:r>
      <w:r>
        <w:rPr/>
        <w:t>30,</w:t>
      </w:r>
      <w:r>
        <w:rPr>
          <w:spacing w:val="-3"/>
        </w:rPr>
        <w:t> </w:t>
      </w:r>
      <w:r>
        <w:rPr/>
        <w:t>2022</w:t>
      </w:r>
      <w:r>
        <w:rPr>
          <w:spacing w:val="-3"/>
        </w:rPr>
        <w:t> </w:t>
      </w:r>
      <w:r>
        <w:rPr/>
        <w:t>and</w:t>
      </w:r>
      <w:r>
        <w:rPr>
          <w:spacing w:val="-3"/>
        </w:rPr>
        <w:t> </w:t>
      </w:r>
      <w:r>
        <w:rPr/>
        <w:t>less</w:t>
      </w:r>
      <w:r>
        <w:rPr>
          <w:spacing w:val="-4"/>
        </w:rPr>
        <w:t> </w:t>
      </w:r>
      <w:r>
        <w:rPr/>
        <w:t>than</w:t>
      </w:r>
      <w:r>
        <w:rPr>
          <w:spacing w:val="-3"/>
        </w:rPr>
        <w:t> </w:t>
      </w:r>
      <w:r>
        <w:rPr/>
        <w:t>$1</w:t>
      </w:r>
      <w:r>
        <w:rPr>
          <w:spacing w:val="-3"/>
        </w:rPr>
        <w:t> </w:t>
      </w:r>
      <w:r>
        <w:rPr/>
        <w:t>million—June</w:t>
      </w:r>
      <w:r>
        <w:rPr>
          <w:spacing w:val="-4"/>
        </w:rPr>
        <w:t> </w:t>
      </w:r>
      <w:r>
        <w:rPr/>
        <w:t>30, </w:t>
      </w:r>
      <w:r>
        <w:rPr>
          <w:spacing w:val="-2"/>
        </w:rPr>
        <w:t>2021).</w:t>
      </w:r>
    </w:p>
    <w:p>
      <w:pPr>
        <w:pStyle w:val="BodyText"/>
        <w:spacing w:before="121"/>
      </w:pPr>
    </w:p>
    <w:p>
      <w:pPr>
        <w:pStyle w:val="Heading4"/>
        <w:jc w:val="left"/>
      </w:pPr>
      <w:r>
        <w:rPr>
          <w:spacing w:val="-2"/>
        </w:rPr>
        <w:t>Guarantees</w:t>
      </w:r>
    </w:p>
    <w:p>
      <w:pPr>
        <w:pStyle w:val="Heading5"/>
        <w:spacing w:before="131"/>
        <w:jc w:val="left"/>
      </w:pPr>
      <w:r>
        <w:rPr/>
        <w:t>Guarantees</w:t>
      </w:r>
      <w:r>
        <w:rPr>
          <w:spacing w:val="-7"/>
        </w:rPr>
        <w:t> </w:t>
      </w:r>
      <w:r>
        <w:rPr>
          <w:spacing w:val="-2"/>
        </w:rPr>
        <w:t>provided</w:t>
      </w:r>
    </w:p>
    <w:p>
      <w:pPr>
        <w:pStyle w:val="BodyText"/>
        <w:spacing w:line="249" w:lineRule="auto" w:before="140"/>
        <w:ind w:left="720" w:right="717"/>
        <w:jc w:val="both"/>
      </w:pPr>
      <w:r>
        <w:rPr/>
        <w:t>Guarantees of $6,542 million were outstanding as of June 30, 2023 ($6,379 million—June 30, 2022). This amount represents the maximum potential amount of undiscounted future payments that IBRD could be required to make under these guarantees, and is not included in the Balance Sheets. These guarantees have original maturities ranging between 10 and 21 years, and expire in decreasing amounts through 2042.</w:t>
      </w:r>
    </w:p>
    <w:p>
      <w:pPr>
        <w:pStyle w:val="BodyText"/>
        <w:spacing w:line="249" w:lineRule="auto" w:before="123"/>
        <w:ind w:left="720" w:right="718"/>
        <w:jc w:val="both"/>
      </w:pPr>
      <w:r>
        <w:rPr/>
        <w:t>As of June 30, 2023, liabilities related to IBRD's obligations under guarantees included the obligation to stand ready of $303 million ($298 million—June 30, 2022), and the accumulated provision for guarantee losses of $76 million ($59 million—June 30, 2022). These are included in Other liabilities - Accounts payable and miscellaneous liabilities on the Balance Sheets.</w:t>
      </w:r>
    </w:p>
    <w:p>
      <w:pPr>
        <w:pStyle w:val="BodyText"/>
        <w:spacing w:before="123"/>
        <w:ind w:left="720"/>
      </w:pPr>
      <w:r>
        <w:rPr/>
        <w:t>During</w:t>
      </w:r>
      <w:r>
        <w:rPr>
          <w:spacing w:val="-2"/>
        </w:rPr>
        <w:t> </w:t>
      </w:r>
      <w:r>
        <w:rPr/>
        <w:t>the</w:t>
      </w:r>
      <w:r>
        <w:rPr>
          <w:spacing w:val="-2"/>
        </w:rPr>
        <w:t> </w:t>
      </w:r>
      <w:r>
        <w:rPr/>
        <w:t>fiscal</w:t>
      </w:r>
      <w:r>
        <w:rPr>
          <w:spacing w:val="-3"/>
        </w:rPr>
        <w:t> </w:t>
      </w:r>
      <w:r>
        <w:rPr/>
        <w:t>years</w:t>
      </w:r>
      <w:r>
        <w:rPr>
          <w:spacing w:val="-2"/>
        </w:rPr>
        <w:t> </w:t>
      </w:r>
      <w:r>
        <w:rPr/>
        <w:t>ended</w:t>
      </w:r>
      <w:r>
        <w:rPr>
          <w:spacing w:val="-1"/>
        </w:rPr>
        <w:t> </w:t>
      </w:r>
      <w:r>
        <w:rPr/>
        <w:t>June</w:t>
      </w:r>
      <w:r>
        <w:rPr>
          <w:spacing w:val="-3"/>
        </w:rPr>
        <w:t> </w:t>
      </w:r>
      <w:r>
        <w:rPr/>
        <w:t>30,</w:t>
      </w:r>
      <w:r>
        <w:rPr>
          <w:spacing w:val="-1"/>
        </w:rPr>
        <w:t> </w:t>
      </w:r>
      <w:r>
        <w:rPr/>
        <w:t>2023</w:t>
      </w:r>
      <w:r>
        <w:rPr>
          <w:spacing w:val="-2"/>
        </w:rPr>
        <w:t> </w:t>
      </w:r>
      <w:r>
        <w:rPr/>
        <w:t>and</w:t>
      </w:r>
      <w:r>
        <w:rPr>
          <w:spacing w:val="-1"/>
        </w:rPr>
        <w:t> </w:t>
      </w:r>
      <w:r>
        <w:rPr/>
        <w:t>June</w:t>
      </w:r>
      <w:r>
        <w:rPr>
          <w:spacing w:val="-2"/>
        </w:rPr>
        <w:t> </w:t>
      </w:r>
      <w:r>
        <w:rPr/>
        <w:t>30,</w:t>
      </w:r>
      <w:r>
        <w:rPr>
          <w:spacing w:val="-2"/>
        </w:rPr>
        <w:t> </w:t>
      </w:r>
      <w:r>
        <w:rPr/>
        <w:t>2022,</w:t>
      </w:r>
      <w:r>
        <w:rPr>
          <w:spacing w:val="-1"/>
        </w:rPr>
        <w:t> </w:t>
      </w:r>
      <w:r>
        <w:rPr/>
        <w:t>no</w:t>
      </w:r>
      <w:r>
        <w:rPr>
          <w:spacing w:val="-2"/>
        </w:rPr>
        <w:t> </w:t>
      </w:r>
      <w:r>
        <w:rPr/>
        <w:t>guarantees</w:t>
      </w:r>
      <w:r>
        <w:rPr>
          <w:spacing w:val="-2"/>
        </w:rPr>
        <w:t> </w:t>
      </w:r>
      <w:r>
        <w:rPr/>
        <w:t>provided</w:t>
      </w:r>
      <w:r>
        <w:rPr>
          <w:spacing w:val="-1"/>
        </w:rPr>
        <w:t> </w:t>
      </w:r>
      <w:r>
        <w:rPr/>
        <w:t>by</w:t>
      </w:r>
      <w:r>
        <w:rPr>
          <w:spacing w:val="-2"/>
        </w:rPr>
        <w:t> </w:t>
      </w:r>
      <w:r>
        <w:rPr/>
        <w:t>IBRD</w:t>
      </w:r>
      <w:r>
        <w:rPr>
          <w:spacing w:val="-2"/>
        </w:rPr>
        <w:t> </w:t>
      </w:r>
      <w:r>
        <w:rPr/>
        <w:t>were</w:t>
      </w:r>
      <w:r>
        <w:rPr>
          <w:spacing w:val="-2"/>
        </w:rPr>
        <w:t> called.</w:t>
      </w:r>
    </w:p>
    <w:p>
      <w:pPr>
        <w:pStyle w:val="BodyText"/>
        <w:spacing w:after="0"/>
        <w:sectPr>
          <w:type w:val="continuous"/>
          <w:pgSz w:w="12240" w:h="15840"/>
          <w:pgMar w:header="0" w:footer="0" w:top="1820" w:bottom="280" w:left="720" w:right="720"/>
        </w:sectPr>
      </w:pPr>
    </w:p>
    <w:p>
      <w:pPr>
        <w:pStyle w:val="BodyText"/>
        <w:spacing w:line="249" w:lineRule="auto" w:before="72"/>
        <w:ind w:left="720" w:right="718"/>
        <w:jc w:val="both"/>
      </w:pPr>
      <w:r>
        <w:rPr/>
        <w:t>IBRD participates in EEAs which are recognized as financial guarantees in the financial statements. Information on the location and amounts associated with the EEAs executed with Multilateral Investment Guarantee Agency (MIGA), African Development Bank and Inter-American Development Bank included on the Balance Sheets and in the Statements of Income is presented in the following table:</w:t>
      </w:r>
    </w:p>
    <w:p>
      <w:pPr>
        <w:pStyle w:val="Heading8"/>
        <w:spacing w:before="120"/>
        <w:jc w:val="both"/>
      </w:pPr>
      <w:r>
        <w:rPr/>
        <w:t>Table</w:t>
      </w:r>
      <w:r>
        <w:rPr>
          <w:spacing w:val="-4"/>
        </w:rPr>
        <w:t> </w:t>
      </w:r>
      <w:r>
        <w:rPr/>
        <w:t>D7:</w:t>
      </w:r>
      <w:r>
        <w:rPr>
          <w:spacing w:val="-3"/>
        </w:rPr>
        <w:t> </w:t>
      </w:r>
      <w:r>
        <w:rPr/>
        <w:t>Amounts</w:t>
      </w:r>
      <w:r>
        <w:rPr>
          <w:spacing w:val="-4"/>
        </w:rPr>
        <w:t> </w:t>
      </w:r>
      <w:r>
        <w:rPr/>
        <w:t>associated</w:t>
      </w:r>
      <w:r>
        <w:rPr>
          <w:spacing w:val="-4"/>
        </w:rPr>
        <w:t> </w:t>
      </w:r>
      <w:r>
        <w:rPr/>
        <w:t>with</w:t>
      </w:r>
      <w:r>
        <w:rPr>
          <w:spacing w:val="-3"/>
        </w:rPr>
        <w:t> </w:t>
      </w:r>
      <w:r>
        <w:rPr>
          <w:spacing w:val="-5"/>
        </w:rPr>
        <w:t>EEA</w:t>
      </w:r>
    </w:p>
    <w:p>
      <w:pPr>
        <w:pStyle w:val="BodyText"/>
        <w:spacing w:before="6"/>
        <w:rPr>
          <w:b/>
          <w:sz w:val="18"/>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3"/>
        <w:gridCol w:w="811"/>
        <w:gridCol w:w="1120"/>
        <w:gridCol w:w="1101"/>
        <w:gridCol w:w="975"/>
        <w:gridCol w:w="1119"/>
        <w:gridCol w:w="2251"/>
      </w:tblGrid>
      <w:tr>
        <w:trPr>
          <w:trHeight w:val="198" w:hRule="atLeast"/>
        </w:trPr>
        <w:tc>
          <w:tcPr>
            <w:tcW w:w="1983" w:type="dxa"/>
            <w:tcBorders>
              <w:bottom w:val="single" w:sz="8" w:space="0" w:color="000000"/>
            </w:tcBorders>
          </w:tcPr>
          <w:p>
            <w:pPr>
              <w:pStyle w:val="TableParagraph"/>
              <w:spacing w:line="178" w:lineRule="exac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7377" w:type="dxa"/>
            <w:gridSpan w:val="6"/>
            <w:tcBorders>
              <w:bottom w:val="single" w:sz="8" w:space="0" w:color="000000"/>
            </w:tcBorders>
          </w:tcPr>
          <w:p>
            <w:pPr>
              <w:pStyle w:val="TableParagraph"/>
              <w:rPr>
                <w:rFonts w:ascii="Times New Roman"/>
                <w:sz w:val="12"/>
              </w:rPr>
            </w:pPr>
          </w:p>
        </w:tc>
      </w:tr>
      <w:tr>
        <w:trPr>
          <w:trHeight w:val="220" w:hRule="atLeast"/>
        </w:trPr>
        <w:tc>
          <w:tcPr>
            <w:tcW w:w="1983" w:type="dxa"/>
            <w:tcBorders>
              <w:top w:val="single" w:sz="8" w:space="0" w:color="000000"/>
            </w:tcBorders>
          </w:tcPr>
          <w:p>
            <w:pPr>
              <w:pStyle w:val="TableParagraph"/>
              <w:rPr>
                <w:rFonts w:ascii="Times New Roman"/>
                <w:sz w:val="14"/>
              </w:rPr>
            </w:pPr>
          </w:p>
        </w:tc>
        <w:tc>
          <w:tcPr>
            <w:tcW w:w="811" w:type="dxa"/>
            <w:tcBorders>
              <w:top w:val="single" w:sz="8" w:space="0" w:color="000000"/>
              <w:bottom w:val="single" w:sz="8" w:space="0" w:color="000000"/>
            </w:tcBorders>
          </w:tcPr>
          <w:p>
            <w:pPr>
              <w:pStyle w:val="TableParagraph"/>
              <w:rPr>
                <w:rFonts w:ascii="Times New Roman"/>
                <w:sz w:val="14"/>
              </w:rPr>
            </w:pPr>
          </w:p>
        </w:tc>
        <w:tc>
          <w:tcPr>
            <w:tcW w:w="1120" w:type="dxa"/>
            <w:tcBorders>
              <w:top w:val="single" w:sz="8" w:space="0" w:color="000000"/>
              <w:bottom w:val="single" w:sz="8" w:space="0" w:color="000000"/>
            </w:tcBorders>
          </w:tcPr>
          <w:p>
            <w:pPr>
              <w:pStyle w:val="TableParagraph"/>
              <w:spacing w:line="183" w:lineRule="exact" w:before="16"/>
              <w:ind w:left="97"/>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1101" w:type="dxa"/>
            <w:tcBorders>
              <w:top w:val="single" w:sz="8" w:space="0" w:color="000000"/>
              <w:bottom w:val="single" w:sz="8" w:space="0" w:color="000000"/>
            </w:tcBorders>
          </w:tcPr>
          <w:p>
            <w:pPr>
              <w:pStyle w:val="TableParagraph"/>
              <w:rPr>
                <w:rFonts w:ascii="Times New Roman"/>
                <w:sz w:val="14"/>
              </w:rPr>
            </w:pPr>
          </w:p>
        </w:tc>
        <w:tc>
          <w:tcPr>
            <w:tcW w:w="975" w:type="dxa"/>
            <w:tcBorders>
              <w:top w:val="single" w:sz="8" w:space="0" w:color="000000"/>
              <w:bottom w:val="single" w:sz="8" w:space="0" w:color="000000"/>
            </w:tcBorders>
          </w:tcPr>
          <w:p>
            <w:pPr>
              <w:pStyle w:val="TableParagraph"/>
              <w:rPr>
                <w:rFonts w:ascii="Times New Roman"/>
                <w:sz w:val="14"/>
              </w:rPr>
            </w:pPr>
          </w:p>
        </w:tc>
        <w:tc>
          <w:tcPr>
            <w:tcW w:w="1119" w:type="dxa"/>
            <w:tcBorders>
              <w:top w:val="single" w:sz="8" w:space="0" w:color="000000"/>
              <w:bottom w:val="single" w:sz="8" w:space="0" w:color="000000"/>
            </w:tcBorders>
          </w:tcPr>
          <w:p>
            <w:pPr>
              <w:pStyle w:val="TableParagraph"/>
              <w:spacing w:line="183" w:lineRule="exact" w:before="16"/>
              <w:ind w:left="96"/>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2251" w:type="dxa"/>
            <w:tcBorders>
              <w:top w:val="single" w:sz="8" w:space="0" w:color="000000"/>
              <w:bottom w:val="single" w:sz="8" w:space="0" w:color="000000"/>
            </w:tcBorders>
          </w:tcPr>
          <w:p>
            <w:pPr>
              <w:pStyle w:val="TableParagraph"/>
              <w:rPr>
                <w:rFonts w:ascii="Times New Roman"/>
                <w:sz w:val="14"/>
              </w:rPr>
            </w:pPr>
          </w:p>
        </w:tc>
      </w:tr>
      <w:tr>
        <w:trPr>
          <w:trHeight w:val="600" w:hRule="atLeast"/>
        </w:trPr>
        <w:tc>
          <w:tcPr>
            <w:tcW w:w="1983" w:type="dxa"/>
          </w:tcPr>
          <w:p>
            <w:pPr>
              <w:pStyle w:val="TableParagraph"/>
              <w:rPr>
                <w:rFonts w:ascii="Times New Roman"/>
                <w:sz w:val="18"/>
              </w:rPr>
            </w:pPr>
          </w:p>
        </w:tc>
        <w:tc>
          <w:tcPr>
            <w:tcW w:w="811" w:type="dxa"/>
            <w:tcBorders>
              <w:top w:val="single" w:sz="8" w:space="0" w:color="000000"/>
            </w:tcBorders>
          </w:tcPr>
          <w:p>
            <w:pPr>
              <w:pStyle w:val="TableParagraph"/>
              <w:rPr>
                <w:rFonts w:ascii="Times New Roman"/>
                <w:b/>
                <w:sz w:val="16"/>
              </w:rPr>
            </w:pPr>
          </w:p>
          <w:p>
            <w:pPr>
              <w:pStyle w:val="TableParagraph"/>
              <w:spacing w:before="41"/>
              <w:rPr>
                <w:rFonts w:ascii="Times New Roman"/>
                <w:b/>
                <w:sz w:val="16"/>
              </w:rPr>
            </w:pPr>
          </w:p>
          <w:p>
            <w:pPr>
              <w:pStyle w:val="TableParagraph"/>
              <w:spacing w:line="171" w:lineRule="exact"/>
              <w:ind w:left="11"/>
              <w:rPr>
                <w:rFonts w:ascii="Arial"/>
                <w:i/>
                <w:sz w:val="16"/>
              </w:rPr>
            </w:pPr>
            <w:r>
              <w:rPr>
                <w:rFonts w:ascii="Arial"/>
                <w:i/>
                <w:spacing w:val="-2"/>
                <w:sz w:val="16"/>
              </w:rPr>
              <w:t>Notional</w:t>
            </w:r>
          </w:p>
        </w:tc>
        <w:tc>
          <w:tcPr>
            <w:tcW w:w="1120" w:type="dxa"/>
            <w:tcBorders>
              <w:top w:val="single" w:sz="8" w:space="0" w:color="000000"/>
            </w:tcBorders>
          </w:tcPr>
          <w:p>
            <w:pPr>
              <w:pStyle w:val="TableParagraph"/>
              <w:spacing w:line="190" w:lineRule="atLeast" w:before="10"/>
              <w:ind w:left="145" w:right="235" w:hanging="1"/>
              <w:jc w:val="center"/>
              <w:rPr>
                <w:rFonts w:ascii="Arial"/>
                <w:i/>
                <w:sz w:val="16"/>
              </w:rPr>
            </w:pPr>
            <w:r>
              <w:rPr>
                <w:rFonts w:ascii="Arial"/>
                <w:i/>
                <w:spacing w:val="-2"/>
                <w:sz w:val="16"/>
              </w:rPr>
              <w:t>(Stand ready obligation)</w:t>
            </w:r>
          </w:p>
        </w:tc>
        <w:tc>
          <w:tcPr>
            <w:tcW w:w="1101" w:type="dxa"/>
            <w:tcBorders>
              <w:top w:val="single" w:sz="8" w:space="0" w:color="000000"/>
            </w:tcBorders>
          </w:tcPr>
          <w:p>
            <w:pPr>
              <w:pStyle w:val="TableParagraph"/>
              <w:spacing w:line="190" w:lineRule="atLeast" w:before="10"/>
              <w:ind w:right="91"/>
              <w:jc w:val="center"/>
              <w:rPr>
                <w:rFonts w:ascii="Arial"/>
                <w:i/>
                <w:sz w:val="16"/>
              </w:rPr>
            </w:pPr>
            <w:r>
              <w:rPr>
                <w:rFonts w:ascii="Arial"/>
                <w:i/>
                <w:spacing w:val="-2"/>
                <w:sz w:val="16"/>
              </w:rPr>
              <w:t>(Accumulated provision) Recoverable</w:t>
            </w:r>
          </w:p>
        </w:tc>
        <w:tc>
          <w:tcPr>
            <w:tcW w:w="975" w:type="dxa"/>
            <w:tcBorders>
              <w:top w:val="single" w:sz="8" w:space="0" w:color="000000"/>
            </w:tcBorders>
          </w:tcPr>
          <w:p>
            <w:pPr>
              <w:pStyle w:val="TableParagraph"/>
              <w:rPr>
                <w:rFonts w:ascii="Times New Roman"/>
                <w:b/>
                <w:sz w:val="16"/>
              </w:rPr>
            </w:pPr>
          </w:p>
          <w:p>
            <w:pPr>
              <w:pStyle w:val="TableParagraph"/>
              <w:spacing w:before="41"/>
              <w:rPr>
                <w:rFonts w:ascii="Times New Roman"/>
                <w:b/>
                <w:sz w:val="16"/>
              </w:rPr>
            </w:pPr>
          </w:p>
          <w:p>
            <w:pPr>
              <w:pStyle w:val="TableParagraph"/>
              <w:spacing w:line="171" w:lineRule="exact"/>
              <w:ind w:left="174"/>
              <w:rPr>
                <w:rFonts w:ascii="Arial"/>
                <w:i/>
                <w:sz w:val="16"/>
              </w:rPr>
            </w:pPr>
            <w:r>
              <w:rPr>
                <w:rFonts w:ascii="Arial"/>
                <w:i/>
                <w:spacing w:val="-2"/>
                <w:sz w:val="16"/>
              </w:rPr>
              <w:t>Notional</w:t>
            </w:r>
          </w:p>
        </w:tc>
        <w:tc>
          <w:tcPr>
            <w:tcW w:w="1119" w:type="dxa"/>
            <w:tcBorders>
              <w:top w:val="single" w:sz="8" w:space="0" w:color="000000"/>
            </w:tcBorders>
          </w:tcPr>
          <w:p>
            <w:pPr>
              <w:pStyle w:val="TableParagraph"/>
              <w:spacing w:line="190" w:lineRule="atLeast" w:before="10"/>
              <w:ind w:left="144" w:right="235" w:hanging="1"/>
              <w:jc w:val="center"/>
              <w:rPr>
                <w:rFonts w:ascii="Arial"/>
                <w:i/>
                <w:sz w:val="16"/>
              </w:rPr>
            </w:pPr>
            <w:r>
              <w:rPr>
                <w:rFonts w:ascii="Arial"/>
                <w:i/>
                <w:spacing w:val="-2"/>
                <w:sz w:val="16"/>
              </w:rPr>
              <w:t>(Stand ready obligation)</w:t>
            </w:r>
          </w:p>
        </w:tc>
        <w:tc>
          <w:tcPr>
            <w:tcW w:w="2251" w:type="dxa"/>
            <w:tcBorders>
              <w:top w:val="single" w:sz="8" w:space="0" w:color="000000"/>
            </w:tcBorders>
          </w:tcPr>
          <w:p>
            <w:pPr>
              <w:pStyle w:val="TableParagraph"/>
              <w:spacing w:line="249" w:lineRule="auto" w:before="25"/>
              <w:ind w:left="157" w:right="1256" w:hanging="143"/>
              <w:rPr>
                <w:rFonts w:ascii="Arial"/>
                <w:i/>
                <w:sz w:val="16"/>
              </w:rPr>
            </w:pPr>
            <w:r>
              <w:rPr>
                <w:rFonts w:ascii="Arial"/>
                <w:i/>
                <w:spacing w:val="-2"/>
                <w:sz w:val="16"/>
              </w:rPr>
              <w:t>(Accumulated provision)</w:t>
            </w:r>
          </w:p>
          <w:p>
            <w:pPr>
              <w:pStyle w:val="TableParagraph"/>
              <w:tabs>
                <w:tab w:pos="1267" w:val="left" w:leader="none"/>
              </w:tabs>
              <w:spacing w:line="171" w:lineRule="exact" w:before="2"/>
              <w:ind w:left="55"/>
              <w:rPr>
                <w:rFonts w:ascii="Arial"/>
                <w:i/>
                <w:sz w:val="16"/>
              </w:rPr>
            </w:pPr>
            <w:r>
              <w:rPr>
                <w:rFonts w:ascii="Arial"/>
                <w:i/>
                <w:spacing w:val="-2"/>
                <w:sz w:val="16"/>
              </w:rPr>
              <w:t>Recoverable</w:t>
            </w:r>
            <w:r>
              <w:rPr>
                <w:rFonts w:ascii="Arial"/>
                <w:i/>
                <w:sz w:val="16"/>
              </w:rPr>
              <w:tab/>
              <w:t>Location</w:t>
            </w:r>
            <w:r>
              <w:rPr>
                <w:rFonts w:ascii="Arial"/>
                <w:i/>
                <w:spacing w:val="-6"/>
                <w:sz w:val="16"/>
              </w:rPr>
              <w:t> </w:t>
            </w:r>
            <w:r>
              <w:rPr>
                <w:rFonts w:ascii="Arial"/>
                <w:i/>
                <w:spacing w:val="-5"/>
                <w:sz w:val="16"/>
              </w:rPr>
              <w:t>on</w:t>
            </w:r>
          </w:p>
        </w:tc>
      </w:tr>
      <w:tr>
        <w:trPr>
          <w:trHeight w:val="204" w:hRule="atLeast"/>
        </w:trPr>
        <w:tc>
          <w:tcPr>
            <w:tcW w:w="1983" w:type="dxa"/>
          </w:tcPr>
          <w:p>
            <w:pPr>
              <w:pStyle w:val="TableParagraph"/>
              <w:rPr>
                <w:rFonts w:ascii="Times New Roman"/>
                <w:sz w:val="14"/>
              </w:rPr>
            </w:pPr>
          </w:p>
        </w:tc>
        <w:tc>
          <w:tcPr>
            <w:tcW w:w="811" w:type="dxa"/>
            <w:tcBorders>
              <w:bottom w:val="single" w:sz="8" w:space="0" w:color="000000"/>
            </w:tcBorders>
          </w:tcPr>
          <w:p>
            <w:pPr>
              <w:pStyle w:val="TableParagraph"/>
              <w:spacing w:line="183" w:lineRule="exact" w:before="1"/>
              <w:ind w:left="38"/>
              <w:rPr>
                <w:rFonts w:ascii="Arial"/>
                <w:i/>
                <w:sz w:val="16"/>
              </w:rPr>
            </w:pPr>
            <w:r>
              <w:rPr>
                <w:rFonts w:ascii="Arial"/>
                <w:i/>
                <w:spacing w:val="-2"/>
                <w:sz w:val="16"/>
              </w:rPr>
              <w:t>amount</w:t>
            </w:r>
          </w:p>
        </w:tc>
        <w:tc>
          <w:tcPr>
            <w:tcW w:w="1120" w:type="dxa"/>
            <w:tcBorders>
              <w:bottom w:val="single" w:sz="8" w:space="0" w:color="000000"/>
            </w:tcBorders>
          </w:tcPr>
          <w:p>
            <w:pPr>
              <w:pStyle w:val="TableParagraph"/>
              <w:spacing w:line="183" w:lineRule="exact" w:before="1"/>
              <w:ind w:left="313"/>
              <w:rPr>
                <w:rFonts w:ascii="Arial"/>
                <w:i/>
                <w:sz w:val="16"/>
              </w:rPr>
            </w:pPr>
            <w:r>
              <w:rPr>
                <w:rFonts w:ascii="Arial"/>
                <w:i/>
                <w:spacing w:val="-2"/>
                <w:sz w:val="16"/>
              </w:rPr>
              <w:t>Asset</w:t>
            </w:r>
          </w:p>
        </w:tc>
        <w:tc>
          <w:tcPr>
            <w:tcW w:w="1101" w:type="dxa"/>
            <w:tcBorders>
              <w:bottom w:val="single" w:sz="8" w:space="0" w:color="000000"/>
            </w:tcBorders>
          </w:tcPr>
          <w:p>
            <w:pPr>
              <w:pStyle w:val="TableParagraph"/>
              <w:spacing w:line="183" w:lineRule="exact" w:before="1"/>
              <w:ind w:left="312"/>
              <w:rPr>
                <w:rFonts w:ascii="Arial"/>
                <w:i/>
                <w:sz w:val="16"/>
              </w:rPr>
            </w:pPr>
            <w:r>
              <w:rPr>
                <w:rFonts w:ascii="Arial"/>
                <w:i/>
                <w:spacing w:val="-2"/>
                <w:sz w:val="16"/>
              </w:rPr>
              <w:t>asset</w:t>
            </w:r>
          </w:p>
        </w:tc>
        <w:tc>
          <w:tcPr>
            <w:tcW w:w="975" w:type="dxa"/>
            <w:tcBorders>
              <w:bottom w:val="single" w:sz="8" w:space="0" w:color="000000"/>
            </w:tcBorders>
          </w:tcPr>
          <w:p>
            <w:pPr>
              <w:pStyle w:val="TableParagraph"/>
              <w:spacing w:line="183" w:lineRule="exact" w:before="1"/>
              <w:ind w:left="200"/>
              <w:rPr>
                <w:rFonts w:ascii="Arial"/>
                <w:i/>
                <w:sz w:val="16"/>
              </w:rPr>
            </w:pPr>
            <w:r>
              <w:rPr>
                <w:rFonts w:ascii="Arial"/>
                <w:i/>
                <w:spacing w:val="-2"/>
                <w:sz w:val="16"/>
              </w:rPr>
              <w:t>amount</w:t>
            </w:r>
          </w:p>
        </w:tc>
        <w:tc>
          <w:tcPr>
            <w:tcW w:w="1119" w:type="dxa"/>
            <w:tcBorders>
              <w:bottom w:val="single" w:sz="8" w:space="0" w:color="000000"/>
            </w:tcBorders>
          </w:tcPr>
          <w:p>
            <w:pPr>
              <w:pStyle w:val="TableParagraph"/>
              <w:spacing w:line="183" w:lineRule="exact" w:before="1"/>
              <w:ind w:left="312"/>
              <w:rPr>
                <w:rFonts w:ascii="Arial"/>
                <w:i/>
                <w:sz w:val="16"/>
              </w:rPr>
            </w:pPr>
            <w:r>
              <w:rPr>
                <w:rFonts w:ascii="Arial"/>
                <w:i/>
                <w:spacing w:val="-2"/>
                <w:sz w:val="16"/>
              </w:rPr>
              <w:t>Asset</w:t>
            </w:r>
          </w:p>
        </w:tc>
        <w:tc>
          <w:tcPr>
            <w:tcW w:w="2251" w:type="dxa"/>
            <w:tcBorders>
              <w:bottom w:val="single" w:sz="8" w:space="0" w:color="000000"/>
            </w:tcBorders>
          </w:tcPr>
          <w:p>
            <w:pPr>
              <w:pStyle w:val="TableParagraph"/>
              <w:tabs>
                <w:tab w:pos="849" w:val="left" w:leader="none"/>
              </w:tabs>
              <w:spacing w:line="183" w:lineRule="exact" w:before="1"/>
              <w:ind w:right="47"/>
              <w:jc w:val="right"/>
              <w:rPr>
                <w:rFonts w:ascii="Arial"/>
                <w:i/>
                <w:sz w:val="16"/>
              </w:rPr>
            </w:pPr>
            <w:r>
              <w:rPr>
                <w:rFonts w:ascii="Arial"/>
                <w:i/>
                <w:spacing w:val="-2"/>
                <w:sz w:val="16"/>
              </w:rPr>
              <w:t>asset</w:t>
            </w:r>
            <w:r>
              <w:rPr>
                <w:rFonts w:ascii="Arial"/>
                <w:i/>
                <w:sz w:val="16"/>
              </w:rPr>
              <w:tab/>
              <w:t>Balance</w:t>
            </w:r>
            <w:r>
              <w:rPr>
                <w:rFonts w:ascii="Arial"/>
                <w:i/>
                <w:spacing w:val="-5"/>
                <w:sz w:val="16"/>
              </w:rPr>
              <w:t> </w:t>
            </w:r>
            <w:r>
              <w:rPr>
                <w:rFonts w:ascii="Arial"/>
                <w:i/>
                <w:spacing w:val="-4"/>
                <w:sz w:val="16"/>
              </w:rPr>
              <w:t>Sheet</w:t>
            </w:r>
          </w:p>
        </w:tc>
      </w:tr>
      <w:tr>
        <w:trPr>
          <w:trHeight w:val="220" w:hRule="atLeast"/>
        </w:trPr>
        <w:tc>
          <w:tcPr>
            <w:tcW w:w="1983" w:type="dxa"/>
          </w:tcPr>
          <w:p>
            <w:pPr>
              <w:pStyle w:val="TableParagraph"/>
              <w:spacing w:line="184" w:lineRule="exact" w:before="16"/>
              <w:ind w:left="52"/>
              <w:rPr>
                <w:sz w:val="16"/>
              </w:rPr>
            </w:pPr>
            <w:r>
              <w:rPr>
                <w:sz w:val="16"/>
              </w:rPr>
              <w:t>Guarantees</w:t>
            </w:r>
            <w:r>
              <w:rPr>
                <w:spacing w:val="-1"/>
                <w:sz w:val="16"/>
              </w:rPr>
              <w:t> </w:t>
            </w:r>
            <w:r>
              <w:rPr>
                <w:sz w:val="16"/>
              </w:rPr>
              <w:t>provided</w:t>
            </w:r>
            <w:r>
              <w:rPr>
                <w:spacing w:val="-1"/>
                <w:sz w:val="16"/>
              </w:rPr>
              <w:t> </w:t>
            </w:r>
            <w:r>
              <w:rPr>
                <w:sz w:val="16"/>
                <w:vertAlign w:val="superscript"/>
              </w:rPr>
              <w:t>a,c</w:t>
            </w:r>
            <w:r>
              <w:rPr>
                <w:spacing w:val="32"/>
                <w:sz w:val="16"/>
                <w:vertAlign w:val="baseline"/>
              </w:rPr>
              <w:t>  </w:t>
            </w:r>
            <w:r>
              <w:rPr>
                <w:spacing w:val="-10"/>
                <w:sz w:val="16"/>
                <w:vertAlign w:val="baseline"/>
              </w:rPr>
              <w:t>$</w:t>
            </w:r>
          </w:p>
        </w:tc>
        <w:tc>
          <w:tcPr>
            <w:tcW w:w="811" w:type="dxa"/>
            <w:tcBorders>
              <w:top w:val="single" w:sz="8" w:space="0" w:color="000000"/>
            </w:tcBorders>
          </w:tcPr>
          <w:p>
            <w:pPr>
              <w:pStyle w:val="TableParagraph"/>
              <w:spacing w:line="184" w:lineRule="exact" w:before="16"/>
              <w:ind w:left="294"/>
              <w:rPr>
                <w:sz w:val="16"/>
              </w:rPr>
            </w:pPr>
            <w:r>
              <w:rPr>
                <w:spacing w:val="-2"/>
                <w:sz w:val="16"/>
              </w:rPr>
              <w:t>3,619</w:t>
            </w:r>
          </w:p>
        </w:tc>
        <w:tc>
          <w:tcPr>
            <w:tcW w:w="1120" w:type="dxa"/>
            <w:tcBorders>
              <w:top w:val="single" w:sz="8" w:space="0" w:color="000000"/>
            </w:tcBorders>
          </w:tcPr>
          <w:p>
            <w:pPr>
              <w:pStyle w:val="TableParagraph"/>
              <w:tabs>
                <w:tab w:pos="627" w:val="left" w:leader="none"/>
              </w:tabs>
              <w:spacing w:line="184" w:lineRule="exact" w:before="16"/>
              <w:ind w:left="63"/>
              <w:rPr>
                <w:sz w:val="16"/>
              </w:rPr>
            </w:pPr>
            <w:r>
              <w:rPr>
                <w:spacing w:val="-10"/>
                <w:sz w:val="16"/>
              </w:rPr>
              <w:t>$</w:t>
            </w:r>
            <w:r>
              <w:rPr>
                <w:sz w:val="16"/>
              </w:rPr>
              <w:tab/>
            </w:r>
            <w:r>
              <w:rPr>
                <w:spacing w:val="-2"/>
                <w:sz w:val="16"/>
              </w:rPr>
              <w:t>(149)</w:t>
            </w:r>
          </w:p>
        </w:tc>
        <w:tc>
          <w:tcPr>
            <w:tcW w:w="1101" w:type="dxa"/>
            <w:tcBorders>
              <w:top w:val="single" w:sz="8" w:space="0" w:color="000000"/>
            </w:tcBorders>
          </w:tcPr>
          <w:p>
            <w:pPr>
              <w:pStyle w:val="TableParagraph"/>
              <w:tabs>
                <w:tab w:pos="743" w:val="left" w:leader="none"/>
              </w:tabs>
              <w:spacing w:line="184" w:lineRule="exact" w:before="16"/>
              <w:ind w:right="62"/>
              <w:jc w:val="right"/>
              <w:rPr>
                <w:sz w:val="16"/>
              </w:rPr>
            </w:pPr>
            <w:r>
              <w:rPr>
                <w:spacing w:val="-10"/>
                <w:sz w:val="16"/>
              </w:rPr>
              <w:t>$</w:t>
            </w:r>
            <w:r>
              <w:rPr>
                <w:sz w:val="16"/>
              </w:rPr>
              <w:tab/>
            </w:r>
            <w:r>
              <w:rPr>
                <w:spacing w:val="-4"/>
                <w:sz w:val="16"/>
              </w:rPr>
              <w:t>(29)</w:t>
            </w:r>
          </w:p>
        </w:tc>
        <w:tc>
          <w:tcPr>
            <w:tcW w:w="975" w:type="dxa"/>
            <w:tcBorders>
              <w:top w:val="single" w:sz="8" w:space="0" w:color="000000"/>
            </w:tcBorders>
          </w:tcPr>
          <w:p>
            <w:pPr>
              <w:pStyle w:val="TableParagraph"/>
              <w:tabs>
                <w:tab w:pos="457" w:val="left" w:leader="none"/>
              </w:tabs>
              <w:spacing w:line="184" w:lineRule="exact" w:before="16"/>
              <w:ind w:left="62"/>
              <w:rPr>
                <w:sz w:val="16"/>
              </w:rPr>
            </w:pPr>
            <w:r>
              <w:rPr>
                <w:spacing w:val="-10"/>
                <w:sz w:val="16"/>
              </w:rPr>
              <w:t>$</w:t>
            </w:r>
            <w:r>
              <w:rPr>
                <w:sz w:val="16"/>
              </w:rPr>
              <w:tab/>
            </w:r>
            <w:r>
              <w:rPr>
                <w:spacing w:val="-2"/>
                <w:sz w:val="16"/>
              </w:rPr>
              <w:t>3,630</w:t>
            </w:r>
          </w:p>
        </w:tc>
        <w:tc>
          <w:tcPr>
            <w:tcW w:w="1119" w:type="dxa"/>
            <w:tcBorders>
              <w:top w:val="single" w:sz="8" w:space="0" w:color="000000"/>
            </w:tcBorders>
          </w:tcPr>
          <w:p>
            <w:pPr>
              <w:pStyle w:val="TableParagraph"/>
              <w:tabs>
                <w:tab w:pos="626" w:val="left" w:leader="none"/>
              </w:tabs>
              <w:spacing w:line="184" w:lineRule="exact" w:before="16"/>
              <w:ind w:left="62"/>
              <w:rPr>
                <w:sz w:val="16"/>
              </w:rPr>
            </w:pPr>
            <w:r>
              <w:rPr>
                <w:spacing w:val="-10"/>
                <w:sz w:val="16"/>
              </w:rPr>
              <w:t>$</w:t>
            </w:r>
            <w:r>
              <w:rPr>
                <w:sz w:val="16"/>
              </w:rPr>
              <w:tab/>
            </w:r>
            <w:r>
              <w:rPr>
                <w:spacing w:val="-2"/>
                <w:sz w:val="16"/>
              </w:rPr>
              <w:t>(170)</w:t>
            </w:r>
          </w:p>
        </w:tc>
        <w:tc>
          <w:tcPr>
            <w:tcW w:w="2251" w:type="dxa"/>
            <w:tcBorders>
              <w:top w:val="single" w:sz="8" w:space="0" w:color="000000"/>
            </w:tcBorders>
          </w:tcPr>
          <w:p>
            <w:pPr>
              <w:pStyle w:val="TableParagraph"/>
              <w:tabs>
                <w:tab w:pos="743" w:val="left" w:leader="none"/>
              </w:tabs>
              <w:spacing w:line="184" w:lineRule="exact" w:before="16"/>
              <w:ind w:right="89"/>
              <w:jc w:val="right"/>
              <w:rPr>
                <w:sz w:val="16"/>
              </w:rPr>
            </w:pPr>
            <w:r>
              <w:rPr>
                <w:spacing w:val="-10"/>
                <w:sz w:val="16"/>
              </w:rPr>
              <w:t>$</w:t>
            </w:r>
            <w:r>
              <w:rPr>
                <w:sz w:val="16"/>
              </w:rPr>
              <w:tab/>
              <w:t>(27)</w:t>
            </w:r>
            <w:r>
              <w:rPr>
                <w:spacing w:val="26"/>
                <w:sz w:val="16"/>
              </w:rPr>
              <w:t> </w:t>
            </w:r>
            <w:r>
              <w:rPr>
                <w:sz w:val="16"/>
              </w:rPr>
              <w:t>Other</w:t>
            </w:r>
            <w:r>
              <w:rPr>
                <w:spacing w:val="-1"/>
                <w:sz w:val="16"/>
              </w:rPr>
              <w:t> </w:t>
            </w:r>
            <w:r>
              <w:rPr>
                <w:spacing w:val="-2"/>
                <w:sz w:val="16"/>
              </w:rPr>
              <w:t>liabilities</w:t>
            </w:r>
          </w:p>
        </w:tc>
      </w:tr>
      <w:tr>
        <w:trPr>
          <w:trHeight w:val="239" w:hRule="atLeast"/>
        </w:trPr>
        <w:tc>
          <w:tcPr>
            <w:tcW w:w="1983" w:type="dxa"/>
          </w:tcPr>
          <w:p>
            <w:pPr>
              <w:pStyle w:val="TableParagraph"/>
              <w:spacing w:line="184" w:lineRule="exact" w:before="36"/>
              <w:ind w:left="52"/>
              <w:rPr>
                <w:sz w:val="16"/>
              </w:rPr>
            </w:pPr>
            <w:r>
              <w:rPr>
                <w:sz w:val="16"/>
              </w:rPr>
              <w:t>Guarantees</w:t>
            </w:r>
            <w:r>
              <w:rPr>
                <w:spacing w:val="-6"/>
                <w:sz w:val="16"/>
              </w:rPr>
              <w:t> </w:t>
            </w:r>
            <w:r>
              <w:rPr>
                <w:sz w:val="16"/>
              </w:rPr>
              <w:t>received</w:t>
            </w:r>
            <w:r>
              <w:rPr>
                <w:spacing w:val="-5"/>
                <w:sz w:val="16"/>
              </w:rPr>
              <w:t> </w:t>
            </w:r>
            <w:r>
              <w:rPr>
                <w:spacing w:val="-10"/>
                <w:sz w:val="16"/>
                <w:vertAlign w:val="superscript"/>
              </w:rPr>
              <w:t>b</w:t>
            </w:r>
          </w:p>
        </w:tc>
        <w:tc>
          <w:tcPr>
            <w:tcW w:w="811" w:type="dxa"/>
            <w:tcBorders>
              <w:bottom w:val="single" w:sz="8" w:space="0" w:color="000000"/>
            </w:tcBorders>
          </w:tcPr>
          <w:p>
            <w:pPr>
              <w:pStyle w:val="TableParagraph"/>
              <w:spacing w:line="184" w:lineRule="exact" w:before="36"/>
              <w:ind w:left="240"/>
              <w:rPr>
                <w:sz w:val="16"/>
              </w:rPr>
            </w:pPr>
            <w:r>
              <w:rPr>
                <w:spacing w:val="-2"/>
                <w:sz w:val="16"/>
              </w:rPr>
              <w:t>(3,619)</w:t>
            </w:r>
          </w:p>
        </w:tc>
        <w:tc>
          <w:tcPr>
            <w:tcW w:w="1120" w:type="dxa"/>
            <w:tcBorders>
              <w:bottom w:val="single" w:sz="8" w:space="0" w:color="000000"/>
            </w:tcBorders>
          </w:tcPr>
          <w:p>
            <w:pPr>
              <w:pStyle w:val="TableParagraph"/>
              <w:spacing w:line="184" w:lineRule="exact" w:before="36"/>
              <w:ind w:left="681"/>
              <w:rPr>
                <w:sz w:val="16"/>
              </w:rPr>
            </w:pPr>
            <w:r>
              <w:rPr>
                <w:spacing w:val="-5"/>
                <w:sz w:val="16"/>
              </w:rPr>
              <w:t>149</w:t>
            </w:r>
          </w:p>
        </w:tc>
        <w:tc>
          <w:tcPr>
            <w:tcW w:w="1101" w:type="dxa"/>
            <w:tcBorders>
              <w:bottom w:val="single" w:sz="8" w:space="0" w:color="000000"/>
            </w:tcBorders>
          </w:tcPr>
          <w:p>
            <w:pPr>
              <w:pStyle w:val="TableParagraph"/>
              <w:spacing w:line="184" w:lineRule="exact" w:before="36"/>
              <w:ind w:right="116"/>
              <w:jc w:val="right"/>
              <w:rPr>
                <w:sz w:val="16"/>
              </w:rPr>
            </w:pPr>
            <w:r>
              <w:rPr>
                <w:spacing w:val="-5"/>
                <w:sz w:val="16"/>
              </w:rPr>
              <w:t>27</w:t>
            </w:r>
          </w:p>
        </w:tc>
        <w:tc>
          <w:tcPr>
            <w:tcW w:w="975" w:type="dxa"/>
            <w:tcBorders>
              <w:bottom w:val="single" w:sz="8" w:space="0" w:color="000000"/>
            </w:tcBorders>
          </w:tcPr>
          <w:p>
            <w:pPr>
              <w:pStyle w:val="TableParagraph"/>
              <w:spacing w:line="184" w:lineRule="exact" w:before="36"/>
              <w:ind w:left="403"/>
              <w:rPr>
                <w:sz w:val="16"/>
              </w:rPr>
            </w:pPr>
            <w:r>
              <w:rPr>
                <w:spacing w:val="-2"/>
                <w:sz w:val="16"/>
              </w:rPr>
              <w:t>(3,630)</w:t>
            </w:r>
          </w:p>
        </w:tc>
        <w:tc>
          <w:tcPr>
            <w:tcW w:w="1119" w:type="dxa"/>
            <w:tcBorders>
              <w:bottom w:val="single" w:sz="8" w:space="0" w:color="000000"/>
            </w:tcBorders>
          </w:tcPr>
          <w:p>
            <w:pPr>
              <w:pStyle w:val="TableParagraph"/>
              <w:spacing w:line="184" w:lineRule="exact" w:before="36"/>
              <w:ind w:left="680"/>
              <w:rPr>
                <w:sz w:val="16"/>
              </w:rPr>
            </w:pPr>
            <w:r>
              <w:rPr>
                <w:spacing w:val="-5"/>
                <w:sz w:val="16"/>
              </w:rPr>
              <w:t>170</w:t>
            </w:r>
          </w:p>
        </w:tc>
        <w:tc>
          <w:tcPr>
            <w:tcW w:w="2251" w:type="dxa"/>
            <w:tcBorders>
              <w:bottom w:val="single" w:sz="8" w:space="0" w:color="000000"/>
            </w:tcBorders>
          </w:tcPr>
          <w:p>
            <w:pPr>
              <w:pStyle w:val="TableParagraph"/>
              <w:spacing w:line="184" w:lineRule="exact" w:before="36"/>
              <w:ind w:left="805"/>
              <w:rPr>
                <w:sz w:val="16"/>
              </w:rPr>
            </w:pPr>
            <w:r>
              <w:rPr>
                <w:sz w:val="16"/>
              </w:rPr>
              <w:t>25</w:t>
            </w:r>
            <w:r>
              <w:rPr>
                <w:spacing w:val="77"/>
                <w:sz w:val="16"/>
              </w:rPr>
              <w:t> </w:t>
            </w:r>
            <w:r>
              <w:rPr>
                <w:sz w:val="16"/>
              </w:rPr>
              <w:t>Other </w:t>
            </w:r>
            <w:r>
              <w:rPr>
                <w:spacing w:val="-2"/>
                <w:sz w:val="16"/>
              </w:rPr>
              <w:t>assets</w:t>
            </w:r>
          </w:p>
        </w:tc>
      </w:tr>
    </w:tbl>
    <w:p>
      <w:pPr>
        <w:tabs>
          <w:tab w:pos="3236" w:val="left" w:leader="none"/>
          <w:tab w:pos="4301" w:val="left" w:leader="none"/>
          <w:tab w:pos="5474" w:val="left" w:leader="none"/>
          <w:tab w:pos="6431" w:val="left" w:leader="none"/>
          <w:tab w:pos="7496" w:val="left" w:leader="none"/>
          <w:tab w:pos="8669" w:val="left" w:leader="none"/>
        </w:tabs>
        <w:spacing w:before="18"/>
        <w:ind w:left="2602" w:right="0" w:firstLine="0"/>
        <w:jc w:val="left"/>
        <w:rPr>
          <w:rFonts w:ascii="Arial MT" w:hAnsi="Arial MT"/>
          <w:sz w:val="16"/>
        </w:rPr>
      </w:pPr>
      <w:r>
        <w:rPr>
          <w:rFonts w:ascii="Arial MT" w:hAnsi="Arial MT"/>
          <w:spacing w:val="-10"/>
          <w:sz w:val="16"/>
        </w:rPr>
        <w:t>$</w:t>
      </w:r>
      <w:r>
        <w:rPr>
          <w:rFonts w:ascii="Arial MT" w:hAnsi="Arial MT"/>
          <w:sz w:val="16"/>
        </w:rPr>
        <w:tab/>
        <w:t>—</w:t>
      </w:r>
      <w:r>
        <w:rPr>
          <w:rFonts w:ascii="Arial MT" w:hAnsi="Arial MT"/>
          <w:spacing w:val="45"/>
          <w:sz w:val="16"/>
        </w:rPr>
        <w:t>  </w:t>
      </w:r>
      <w:r>
        <w:rPr>
          <w:rFonts w:ascii="Arial MT" w:hAnsi="Arial MT"/>
          <w:spacing w:val="-10"/>
          <w:sz w:val="16"/>
        </w:rPr>
        <w:t>$</w:t>
      </w:r>
      <w:r>
        <w:rPr>
          <w:rFonts w:ascii="Arial MT" w:hAnsi="Arial MT"/>
          <w:sz w:val="16"/>
        </w:rPr>
        <w:tab/>
        <w:t>—</w:t>
      </w:r>
      <w:r>
        <w:rPr>
          <w:rFonts w:ascii="Arial MT" w:hAnsi="Arial MT"/>
          <w:spacing w:val="45"/>
          <w:sz w:val="16"/>
        </w:rPr>
        <w:t>  </w:t>
      </w:r>
      <w:r>
        <w:rPr>
          <w:rFonts w:ascii="Arial MT" w:hAnsi="Arial MT"/>
          <w:spacing w:val="-10"/>
          <w:sz w:val="16"/>
        </w:rPr>
        <w:t>$</w:t>
      </w:r>
      <w:r>
        <w:rPr>
          <w:rFonts w:ascii="Arial MT" w:hAnsi="Arial MT"/>
          <w:sz w:val="16"/>
        </w:rPr>
        <w:tab/>
        <w:t>(2)</w:t>
      </w:r>
      <w:r>
        <w:rPr>
          <w:rFonts w:ascii="Arial MT" w:hAnsi="Arial MT"/>
          <w:spacing w:val="58"/>
          <w:w w:val="150"/>
          <w:sz w:val="16"/>
        </w:rPr>
        <w:t> </w:t>
      </w:r>
      <w:r>
        <w:rPr>
          <w:rFonts w:ascii="Arial MT" w:hAnsi="Arial MT"/>
          <w:spacing w:val="-10"/>
          <w:sz w:val="16"/>
        </w:rPr>
        <w:t>$</w:t>
      </w:r>
      <w:r>
        <w:rPr>
          <w:rFonts w:ascii="Arial MT" w:hAnsi="Arial MT"/>
          <w:sz w:val="16"/>
        </w:rPr>
        <w:tab/>
        <w:t>—</w:t>
      </w:r>
      <w:r>
        <w:rPr>
          <w:rFonts w:ascii="Arial MT" w:hAnsi="Arial MT"/>
          <w:spacing w:val="45"/>
          <w:sz w:val="16"/>
        </w:rPr>
        <w:t>  </w:t>
      </w:r>
      <w:r>
        <w:rPr>
          <w:rFonts w:ascii="Arial MT" w:hAnsi="Arial MT"/>
          <w:spacing w:val="-10"/>
          <w:sz w:val="16"/>
        </w:rPr>
        <w:t>$</w:t>
      </w:r>
      <w:r>
        <w:rPr>
          <w:rFonts w:ascii="Arial MT" w:hAnsi="Arial MT"/>
          <w:sz w:val="16"/>
        </w:rPr>
        <w:tab/>
        <w:t>—</w:t>
      </w:r>
      <w:r>
        <w:rPr>
          <w:rFonts w:ascii="Arial MT" w:hAnsi="Arial MT"/>
          <w:spacing w:val="45"/>
          <w:sz w:val="16"/>
        </w:rPr>
        <w:t>  </w:t>
      </w:r>
      <w:r>
        <w:rPr>
          <w:rFonts w:ascii="Arial MT" w:hAnsi="Arial MT"/>
          <w:spacing w:val="-10"/>
          <w:sz w:val="16"/>
        </w:rPr>
        <w:t>$</w:t>
      </w:r>
      <w:r>
        <w:rPr>
          <w:rFonts w:ascii="Arial MT" w:hAnsi="Arial MT"/>
          <w:sz w:val="16"/>
        </w:rPr>
        <w:tab/>
      </w:r>
      <w:r>
        <w:rPr>
          <w:rFonts w:ascii="Arial MT" w:hAnsi="Arial MT"/>
          <w:spacing w:val="-5"/>
          <w:sz w:val="16"/>
        </w:rPr>
        <w:t>(2)</w:t>
      </w:r>
    </w:p>
    <w:p>
      <w:pPr>
        <w:spacing w:line="60" w:lineRule="exact"/>
        <w:ind w:left="2540" w:right="0" w:firstLine="0"/>
        <w:rPr>
          <w:rFonts w:ascii="Arial MT"/>
          <w:position w:val="0"/>
          <w:sz w:val="6"/>
        </w:rPr>
      </w:pPr>
      <w:r>
        <w:rPr>
          <w:rFonts w:ascii="Arial MT"/>
          <w:position w:val="0"/>
          <w:sz w:val="6"/>
        </w:rPr>
        <mc:AlternateContent>
          <mc:Choice Requires="wps">
            <w:drawing>
              <wp:inline distT="0" distB="0" distL="0" distR="0">
                <wp:extent cx="4019550" cy="38100"/>
                <wp:effectExtent l="9525" t="0" r="0" b="0"/>
                <wp:docPr id="831" name="Group 831"/>
                <wp:cNvGraphicFramePr>
                  <a:graphicFrameLocks/>
                </wp:cNvGraphicFramePr>
                <a:graphic>
                  <a:graphicData uri="http://schemas.microsoft.com/office/word/2010/wordprocessingGroup">
                    <wpg:wgp>
                      <wpg:cNvPr id="831" name="Group 831"/>
                      <wpg:cNvGrpSpPr/>
                      <wpg:grpSpPr>
                        <a:xfrm>
                          <a:off x="0" y="0"/>
                          <a:ext cx="4019550" cy="38100"/>
                          <a:chExt cx="4019550" cy="38100"/>
                        </a:xfrm>
                      </wpg:grpSpPr>
                      <wps:wsp>
                        <wps:cNvPr id="832" name="Graphic 832"/>
                        <wps:cNvSpPr/>
                        <wps:spPr>
                          <a:xfrm>
                            <a:off x="0" y="6350"/>
                            <a:ext cx="4019550" cy="25400"/>
                          </a:xfrm>
                          <a:custGeom>
                            <a:avLst/>
                            <a:gdLst/>
                            <a:ahLst/>
                            <a:cxnLst/>
                            <a:rect l="l" t="t" r="r" b="b"/>
                            <a:pathLst>
                              <a:path w="4019550" h="25400">
                                <a:moveTo>
                                  <a:pt x="0" y="0"/>
                                </a:moveTo>
                                <a:lnTo>
                                  <a:pt x="581025" y="0"/>
                                </a:lnTo>
                              </a:path>
                              <a:path w="4019550" h="25400">
                                <a:moveTo>
                                  <a:pt x="0" y="25400"/>
                                </a:moveTo>
                                <a:lnTo>
                                  <a:pt x="581025" y="25400"/>
                                </a:lnTo>
                              </a:path>
                              <a:path w="4019550" h="25400">
                                <a:moveTo>
                                  <a:pt x="619125" y="0"/>
                                </a:moveTo>
                                <a:lnTo>
                                  <a:pt x="1257300" y="0"/>
                                </a:lnTo>
                              </a:path>
                              <a:path w="4019550" h="25400">
                                <a:moveTo>
                                  <a:pt x="619125" y="25400"/>
                                </a:moveTo>
                                <a:lnTo>
                                  <a:pt x="1257300" y="25400"/>
                                </a:lnTo>
                              </a:path>
                              <a:path w="4019550" h="25400">
                                <a:moveTo>
                                  <a:pt x="1295400" y="0"/>
                                </a:moveTo>
                                <a:lnTo>
                                  <a:pt x="1990725" y="0"/>
                                </a:lnTo>
                              </a:path>
                              <a:path w="4019550" h="25400">
                                <a:moveTo>
                                  <a:pt x="1295400" y="25400"/>
                                </a:moveTo>
                                <a:lnTo>
                                  <a:pt x="1990725" y="25400"/>
                                </a:lnTo>
                              </a:path>
                              <a:path w="4019550" h="25400">
                                <a:moveTo>
                                  <a:pt x="2028825" y="0"/>
                                </a:moveTo>
                                <a:lnTo>
                                  <a:pt x="2609850" y="0"/>
                                </a:lnTo>
                              </a:path>
                              <a:path w="4019550" h="25400">
                                <a:moveTo>
                                  <a:pt x="2028825" y="25400"/>
                                </a:moveTo>
                                <a:lnTo>
                                  <a:pt x="2609850" y="25400"/>
                                </a:lnTo>
                              </a:path>
                              <a:path w="4019550" h="25400">
                                <a:moveTo>
                                  <a:pt x="2647950" y="0"/>
                                </a:moveTo>
                                <a:lnTo>
                                  <a:pt x="3286125" y="0"/>
                                </a:lnTo>
                              </a:path>
                              <a:path w="4019550" h="25400">
                                <a:moveTo>
                                  <a:pt x="2647950" y="25400"/>
                                </a:moveTo>
                                <a:lnTo>
                                  <a:pt x="3286125" y="25400"/>
                                </a:lnTo>
                              </a:path>
                              <a:path w="4019550" h="25400">
                                <a:moveTo>
                                  <a:pt x="3324225" y="0"/>
                                </a:moveTo>
                                <a:lnTo>
                                  <a:pt x="4019550" y="0"/>
                                </a:lnTo>
                              </a:path>
                              <a:path w="4019550" h="25400">
                                <a:moveTo>
                                  <a:pt x="3324225" y="25400"/>
                                </a:moveTo>
                                <a:lnTo>
                                  <a:pt x="4019550" y="2540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6.5pt;height:3pt;mso-position-horizontal-relative:char;mso-position-vertical-relative:line" id="docshapegroup694" coordorigin="0,0" coordsize="6330,60">
                <v:shape style="position:absolute;left:0;top:10;width:6330;height:40" id="docshape695" coordorigin="0,10" coordsize="6330,40" path="m0,10l915,10m0,50l915,50m975,10l1980,10m975,50l1980,50m2040,10l3135,10m2040,50l3135,50m3195,10l4110,10m3195,50l4110,50m4170,10l5175,10m4170,50l5175,50m5235,10l6330,10m5235,50l6330,50e" filled="false" stroked="true" strokeweight="1pt" strokecolor="#000000">
                  <v:path arrowok="t"/>
                  <v:stroke dashstyle="solid"/>
                </v:shape>
              </v:group>
            </w:pict>
          </mc:Fallback>
        </mc:AlternateContent>
      </w:r>
      <w:r>
        <w:rPr>
          <w:rFonts w:ascii="Arial MT"/>
          <w:position w:val="0"/>
          <w:sz w:val="6"/>
        </w:rPr>
      </w:r>
    </w:p>
    <w:p>
      <w:pPr>
        <w:pStyle w:val="BodyText"/>
        <w:spacing w:before="2"/>
        <w:rPr>
          <w:rFonts w:ascii="Arial MT"/>
          <w:sz w:val="16"/>
        </w:rPr>
      </w:pPr>
      <w:r>
        <w:rPr>
          <w:rFonts w:ascii="Arial MT"/>
          <w:sz w:val="16"/>
        </w:rPr>
        <mc:AlternateContent>
          <mc:Choice Requires="wps">
            <w:drawing>
              <wp:anchor distT="0" distB="0" distL="0" distR="0" allowOverlap="1" layoutInCell="1" locked="0" behindDoc="1" simplePos="0" relativeHeight="487714816">
                <wp:simplePos x="0" y="0"/>
                <wp:positionH relativeFrom="page">
                  <wp:posOffset>914400</wp:posOffset>
                </wp:positionH>
                <wp:positionV relativeFrom="paragraph">
                  <wp:posOffset>133350</wp:posOffset>
                </wp:positionV>
                <wp:extent cx="5943600" cy="1270"/>
                <wp:effectExtent l="0" t="0" r="0" b="0"/>
                <wp:wrapTopAndBottom/>
                <wp:docPr id="833" name="Graphic 833"/>
                <wp:cNvGraphicFramePr>
                  <a:graphicFrameLocks/>
                </wp:cNvGraphicFramePr>
                <a:graphic>
                  <a:graphicData uri="http://schemas.microsoft.com/office/word/2010/wordprocessingShape">
                    <wps:wsp>
                      <wps:cNvPr id="833" name="Graphic 83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pt;width:468pt;height:.1pt;mso-position-horizontal-relative:page;mso-position-vertical-relative:paragraph;z-index:-15601664;mso-wrap-distance-left:0;mso-wrap-distance-right:0" id="docshape696" coordorigin="1440,210" coordsize="9360,0" path="m1440,210l10800,210e" filled="false" stroked="true" strokeweight="1pt" strokecolor="#000000">
                <v:path arrowok="t"/>
                <v:stroke dashstyle="solid"/>
                <w10:wrap type="topAndBottom"/>
              </v:shape>
            </w:pict>
          </mc:Fallback>
        </mc:AlternateContent>
      </w:r>
    </w:p>
    <w:p>
      <w:pPr>
        <w:pStyle w:val="ListParagraph"/>
        <w:numPr>
          <w:ilvl w:val="0"/>
          <w:numId w:val="35"/>
        </w:numPr>
        <w:tabs>
          <w:tab w:pos="948" w:val="left" w:leader="none"/>
          <w:tab w:pos="952" w:val="left" w:leader="none"/>
        </w:tabs>
        <w:spacing w:line="208" w:lineRule="auto" w:before="31" w:after="0"/>
        <w:ind w:left="952" w:right="946" w:hanging="180"/>
        <w:jc w:val="left"/>
        <w:rPr>
          <w:rFonts w:ascii="Arial" w:hAnsi="Arial"/>
          <w:i/>
          <w:sz w:val="16"/>
        </w:rPr>
      </w:pPr>
      <w:r>
        <w:rPr>
          <w:rFonts w:ascii="Arial" w:hAnsi="Arial"/>
          <w:i/>
          <w:sz w:val="16"/>
        </w:rPr>
        <w:t>For</w:t>
      </w:r>
      <w:r>
        <w:rPr>
          <w:rFonts w:ascii="Arial" w:hAnsi="Arial"/>
          <w:i/>
          <w:spacing w:val="-2"/>
          <w:sz w:val="16"/>
        </w:rPr>
        <w:t> </w:t>
      </w:r>
      <w:r>
        <w:rPr>
          <w:rFonts w:ascii="Arial" w:hAnsi="Arial"/>
          <w:i/>
          <w:sz w:val="16"/>
        </w:rPr>
        <w:t>the</w:t>
      </w:r>
      <w:r>
        <w:rPr>
          <w:rFonts w:ascii="Arial" w:hAnsi="Arial"/>
          <w:i/>
          <w:spacing w:val="-3"/>
          <w:sz w:val="16"/>
        </w:rPr>
        <w:t> </w:t>
      </w:r>
      <w:r>
        <w:rPr>
          <w:rFonts w:ascii="Arial" w:hAnsi="Arial"/>
          <w:i/>
          <w:sz w:val="16"/>
        </w:rPr>
        <w:t>fiscal</w:t>
      </w:r>
      <w:r>
        <w:rPr>
          <w:rFonts w:ascii="Arial" w:hAnsi="Arial"/>
          <w:i/>
          <w:spacing w:val="-2"/>
          <w:sz w:val="16"/>
        </w:rPr>
        <w:t> </w:t>
      </w:r>
      <w:r>
        <w:rPr>
          <w:rFonts w:ascii="Arial" w:hAnsi="Arial"/>
          <w:i/>
          <w:sz w:val="16"/>
        </w:rPr>
        <w:t>year</w:t>
      </w:r>
      <w:r>
        <w:rPr>
          <w:rFonts w:ascii="Arial" w:hAnsi="Arial"/>
          <w:i/>
          <w:spacing w:val="-2"/>
          <w:sz w:val="16"/>
        </w:rPr>
        <w:t> </w:t>
      </w:r>
      <w:r>
        <w:rPr>
          <w:rFonts w:ascii="Arial" w:hAnsi="Arial"/>
          <w:i/>
          <w:sz w:val="16"/>
        </w:rPr>
        <w:t>ended</w:t>
      </w:r>
      <w:r>
        <w:rPr>
          <w:rFonts w:ascii="Arial" w:hAnsi="Arial"/>
          <w:i/>
          <w:spacing w:val="-4"/>
          <w:sz w:val="16"/>
        </w:rPr>
        <w:t> </w:t>
      </w:r>
      <w:r>
        <w:rPr>
          <w:rFonts w:ascii="Arial" w:hAnsi="Arial"/>
          <w:i/>
          <w:sz w:val="16"/>
        </w:rPr>
        <w:t>June</w:t>
      </w:r>
      <w:r>
        <w:rPr>
          <w:rFonts w:ascii="Arial" w:hAnsi="Arial"/>
          <w:i/>
          <w:spacing w:val="-3"/>
          <w:sz w:val="16"/>
        </w:rPr>
        <w:t> </w:t>
      </w:r>
      <w:r>
        <w:rPr>
          <w:rFonts w:ascii="Arial" w:hAnsi="Arial"/>
          <w:i/>
          <w:sz w:val="16"/>
        </w:rPr>
        <w:t>30,</w:t>
      </w:r>
      <w:r>
        <w:rPr>
          <w:rFonts w:ascii="Arial" w:hAnsi="Arial"/>
          <w:i/>
          <w:spacing w:val="-2"/>
          <w:sz w:val="16"/>
        </w:rPr>
        <w:t> </w:t>
      </w:r>
      <w:r>
        <w:rPr>
          <w:rFonts w:ascii="Arial" w:hAnsi="Arial"/>
          <w:i/>
          <w:sz w:val="16"/>
        </w:rPr>
        <w:t>2023,</w:t>
      </w:r>
      <w:r>
        <w:rPr>
          <w:rFonts w:ascii="Arial" w:hAnsi="Arial"/>
          <w:i/>
          <w:spacing w:val="-2"/>
          <w:sz w:val="16"/>
        </w:rPr>
        <w:t> </w:t>
      </w:r>
      <w:r>
        <w:rPr>
          <w:rFonts w:ascii="Arial" w:hAnsi="Arial"/>
          <w:i/>
          <w:sz w:val="16"/>
        </w:rPr>
        <w:t>Provisions</w:t>
      </w:r>
      <w:r>
        <w:rPr>
          <w:rFonts w:ascii="Arial" w:hAnsi="Arial"/>
          <w:i/>
          <w:spacing w:val="-2"/>
          <w:sz w:val="16"/>
        </w:rPr>
        <w:t> </w:t>
      </w:r>
      <w:r>
        <w:rPr>
          <w:rFonts w:ascii="Arial" w:hAnsi="Arial"/>
          <w:i/>
          <w:sz w:val="16"/>
        </w:rPr>
        <w:t>for</w:t>
      </w:r>
      <w:r>
        <w:rPr>
          <w:rFonts w:ascii="Arial" w:hAnsi="Arial"/>
          <w:i/>
          <w:spacing w:val="-2"/>
          <w:sz w:val="16"/>
        </w:rPr>
        <w:t> </w:t>
      </w:r>
      <w:r>
        <w:rPr>
          <w:rFonts w:ascii="Arial" w:hAnsi="Arial"/>
          <w:i/>
          <w:sz w:val="16"/>
        </w:rPr>
        <w:t>losses</w:t>
      </w:r>
      <w:r>
        <w:rPr>
          <w:rFonts w:ascii="Arial" w:hAnsi="Arial"/>
          <w:i/>
          <w:spacing w:val="-2"/>
          <w:sz w:val="16"/>
        </w:rPr>
        <w:t> </w:t>
      </w:r>
      <w:r>
        <w:rPr>
          <w:rFonts w:ascii="Arial" w:hAnsi="Arial"/>
          <w:i/>
          <w:sz w:val="16"/>
        </w:rPr>
        <w:t>on</w:t>
      </w:r>
      <w:r>
        <w:rPr>
          <w:rFonts w:ascii="Arial" w:hAnsi="Arial"/>
          <w:i/>
          <w:spacing w:val="-3"/>
          <w:sz w:val="16"/>
        </w:rPr>
        <w:t> </w:t>
      </w:r>
      <w:r>
        <w:rPr>
          <w:rFonts w:ascii="Arial" w:hAnsi="Arial"/>
          <w:i/>
          <w:sz w:val="16"/>
        </w:rPr>
        <w:t>loans</w:t>
      </w:r>
      <w:r>
        <w:rPr>
          <w:rFonts w:ascii="Arial" w:hAnsi="Arial"/>
          <w:i/>
          <w:spacing w:val="-2"/>
          <w:sz w:val="16"/>
        </w:rPr>
        <w:t> </w:t>
      </w:r>
      <w:r>
        <w:rPr>
          <w:rFonts w:ascii="Arial" w:hAnsi="Arial"/>
          <w:i/>
          <w:sz w:val="16"/>
        </w:rPr>
        <w:t>and</w:t>
      </w:r>
      <w:r>
        <w:rPr>
          <w:rFonts w:ascii="Arial" w:hAnsi="Arial"/>
          <w:i/>
          <w:spacing w:val="-3"/>
          <w:sz w:val="16"/>
        </w:rPr>
        <w:t> </w:t>
      </w:r>
      <w:r>
        <w:rPr>
          <w:rFonts w:ascii="Arial" w:hAnsi="Arial"/>
          <w:i/>
          <w:sz w:val="16"/>
        </w:rPr>
        <w:t>other</w:t>
      </w:r>
      <w:r>
        <w:rPr>
          <w:rFonts w:ascii="Arial" w:hAnsi="Arial"/>
          <w:i/>
          <w:spacing w:val="-2"/>
          <w:sz w:val="16"/>
        </w:rPr>
        <w:t> </w:t>
      </w:r>
      <w:r>
        <w:rPr>
          <w:rFonts w:ascii="Arial" w:hAnsi="Arial"/>
          <w:i/>
          <w:sz w:val="16"/>
        </w:rPr>
        <w:t>exposures</w:t>
      </w:r>
      <w:r>
        <w:rPr>
          <w:rFonts w:ascii="Arial" w:hAnsi="Arial"/>
          <w:i/>
          <w:spacing w:val="-2"/>
          <w:sz w:val="16"/>
        </w:rPr>
        <w:t> </w:t>
      </w:r>
      <w:r>
        <w:rPr>
          <w:rFonts w:ascii="Arial" w:hAnsi="Arial"/>
          <w:i/>
          <w:sz w:val="16"/>
        </w:rPr>
        <w:t>line</w:t>
      </w:r>
      <w:r>
        <w:rPr>
          <w:rFonts w:ascii="Arial" w:hAnsi="Arial"/>
          <w:i/>
          <w:spacing w:val="-3"/>
          <w:sz w:val="16"/>
        </w:rPr>
        <w:t> </w:t>
      </w:r>
      <w:r>
        <w:rPr>
          <w:rFonts w:ascii="Arial" w:hAnsi="Arial"/>
          <w:i/>
          <w:sz w:val="16"/>
        </w:rPr>
        <w:t>on</w:t>
      </w:r>
      <w:r>
        <w:rPr>
          <w:rFonts w:ascii="Arial" w:hAnsi="Arial"/>
          <w:i/>
          <w:spacing w:val="-3"/>
          <w:sz w:val="16"/>
        </w:rPr>
        <w:t> </w:t>
      </w:r>
      <w:r>
        <w:rPr>
          <w:rFonts w:ascii="Arial" w:hAnsi="Arial"/>
          <w:i/>
          <w:sz w:val="16"/>
        </w:rPr>
        <w:t>the</w:t>
      </w:r>
      <w:r>
        <w:rPr>
          <w:rFonts w:ascii="Arial" w:hAnsi="Arial"/>
          <w:i/>
          <w:spacing w:val="-3"/>
          <w:sz w:val="16"/>
        </w:rPr>
        <w:t> </w:t>
      </w:r>
      <w:r>
        <w:rPr>
          <w:rFonts w:ascii="Arial" w:hAnsi="Arial"/>
          <w:i/>
          <w:sz w:val="16"/>
        </w:rPr>
        <w:t>Statements</w:t>
      </w:r>
      <w:r>
        <w:rPr>
          <w:rFonts w:ascii="Arial" w:hAnsi="Arial"/>
          <w:i/>
          <w:spacing w:val="-2"/>
          <w:sz w:val="16"/>
        </w:rPr>
        <w:t> </w:t>
      </w:r>
      <w:r>
        <w:rPr>
          <w:rFonts w:ascii="Arial" w:hAnsi="Arial"/>
          <w:i/>
          <w:sz w:val="16"/>
        </w:rPr>
        <w:t>of</w:t>
      </w:r>
      <w:r>
        <w:rPr>
          <w:rFonts w:ascii="Arial" w:hAnsi="Arial"/>
          <w:i/>
          <w:spacing w:val="-2"/>
          <w:sz w:val="16"/>
        </w:rPr>
        <w:t> </w:t>
      </w:r>
      <w:r>
        <w:rPr>
          <w:rFonts w:ascii="Arial" w:hAnsi="Arial"/>
          <w:i/>
          <w:sz w:val="16"/>
        </w:rPr>
        <w:t>Income includes $2 million charge relating to Guarantees provided ($7 million of charge —June 30, 2022 and less than $1 million release of provision-June 30, 2021)</w:t>
      </w:r>
    </w:p>
    <w:p>
      <w:pPr>
        <w:pStyle w:val="ListParagraph"/>
        <w:numPr>
          <w:ilvl w:val="0"/>
          <w:numId w:val="35"/>
        </w:numPr>
        <w:tabs>
          <w:tab w:pos="948" w:val="left" w:leader="none"/>
          <w:tab w:pos="952" w:val="left" w:leader="none"/>
        </w:tabs>
        <w:spacing w:line="208" w:lineRule="auto" w:before="75" w:after="0"/>
        <w:ind w:left="952" w:right="807" w:hanging="180"/>
        <w:jc w:val="left"/>
        <w:rPr>
          <w:rFonts w:ascii="Arial" w:hAnsi="Arial"/>
          <w:i/>
          <w:sz w:val="16"/>
        </w:rPr>
      </w:pPr>
      <w:r>
        <w:rPr>
          <w:rFonts w:ascii="Arial" w:hAnsi="Arial"/>
          <w:i/>
          <w:sz w:val="16"/>
        </w:rPr>
        <w:t>For</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fiscal</w:t>
      </w:r>
      <w:r>
        <w:rPr>
          <w:rFonts w:ascii="Arial" w:hAnsi="Arial"/>
          <w:i/>
          <w:spacing w:val="-3"/>
          <w:sz w:val="16"/>
        </w:rPr>
        <w:t> </w:t>
      </w:r>
      <w:r>
        <w:rPr>
          <w:rFonts w:ascii="Arial" w:hAnsi="Arial"/>
          <w:i/>
          <w:sz w:val="16"/>
        </w:rPr>
        <w:t>year</w:t>
      </w:r>
      <w:r>
        <w:rPr>
          <w:rFonts w:ascii="Arial" w:hAnsi="Arial"/>
          <w:i/>
          <w:spacing w:val="-3"/>
          <w:sz w:val="16"/>
        </w:rPr>
        <w:t> </w:t>
      </w:r>
      <w:r>
        <w:rPr>
          <w:rFonts w:ascii="Arial" w:hAnsi="Arial"/>
          <w:i/>
          <w:sz w:val="16"/>
        </w:rPr>
        <w:t>ended</w:t>
      </w:r>
      <w:r>
        <w:rPr>
          <w:rFonts w:ascii="Arial" w:hAnsi="Arial"/>
          <w:i/>
          <w:spacing w:val="-5"/>
          <w:sz w:val="16"/>
        </w:rPr>
        <w:t> </w:t>
      </w:r>
      <w:r>
        <w:rPr>
          <w:rFonts w:ascii="Arial" w:hAnsi="Arial"/>
          <w:i/>
          <w:sz w:val="16"/>
        </w:rPr>
        <w:t>June</w:t>
      </w:r>
      <w:r>
        <w:rPr>
          <w:rFonts w:ascii="Arial" w:hAnsi="Arial"/>
          <w:i/>
          <w:spacing w:val="-4"/>
          <w:sz w:val="16"/>
        </w:rPr>
        <w:t> </w:t>
      </w:r>
      <w:r>
        <w:rPr>
          <w:rFonts w:ascii="Arial" w:hAnsi="Arial"/>
          <w:i/>
          <w:sz w:val="16"/>
        </w:rPr>
        <w:t>30,</w:t>
      </w:r>
      <w:r>
        <w:rPr>
          <w:rFonts w:ascii="Arial" w:hAnsi="Arial"/>
          <w:i/>
          <w:spacing w:val="-3"/>
          <w:sz w:val="16"/>
        </w:rPr>
        <w:t> </w:t>
      </w:r>
      <w:r>
        <w:rPr>
          <w:rFonts w:ascii="Arial" w:hAnsi="Arial"/>
          <w:i/>
          <w:sz w:val="16"/>
        </w:rPr>
        <w:t>2023,</w:t>
      </w:r>
      <w:r>
        <w:rPr>
          <w:rFonts w:ascii="Arial" w:hAnsi="Arial"/>
          <w:i/>
          <w:spacing w:val="-3"/>
          <w:sz w:val="16"/>
        </w:rPr>
        <w:t> </w:t>
      </w:r>
      <w:r>
        <w:rPr>
          <w:rFonts w:ascii="Arial" w:hAnsi="Arial"/>
          <w:i/>
          <w:sz w:val="16"/>
        </w:rPr>
        <w:t>Non-interest</w:t>
      </w:r>
      <w:r>
        <w:rPr>
          <w:rFonts w:ascii="Arial" w:hAnsi="Arial"/>
          <w:i/>
          <w:spacing w:val="-3"/>
          <w:sz w:val="16"/>
        </w:rPr>
        <w:t> </w:t>
      </w:r>
      <w:r>
        <w:rPr>
          <w:rFonts w:ascii="Arial" w:hAnsi="Arial"/>
          <w:i/>
          <w:sz w:val="16"/>
        </w:rPr>
        <w:t>revenue—Other,</w:t>
      </w:r>
      <w:r>
        <w:rPr>
          <w:rFonts w:ascii="Arial" w:hAnsi="Arial"/>
          <w:i/>
          <w:spacing w:val="-3"/>
          <w:sz w:val="16"/>
        </w:rPr>
        <w:t> </w:t>
      </w:r>
      <w:r>
        <w:rPr>
          <w:rFonts w:ascii="Arial" w:hAnsi="Arial"/>
          <w:i/>
          <w:sz w:val="16"/>
        </w:rPr>
        <w:t>net,</w:t>
      </w:r>
      <w:r>
        <w:rPr>
          <w:rFonts w:ascii="Arial" w:hAnsi="Arial"/>
          <w:i/>
          <w:spacing w:val="-3"/>
          <w:sz w:val="16"/>
        </w:rPr>
        <w:t> </w:t>
      </w:r>
      <w:r>
        <w:rPr>
          <w:rFonts w:ascii="Arial" w:hAnsi="Arial"/>
          <w:i/>
          <w:sz w:val="16"/>
        </w:rPr>
        <w:t>line</w:t>
      </w:r>
      <w:r>
        <w:rPr>
          <w:rFonts w:ascii="Arial" w:hAnsi="Arial"/>
          <w:i/>
          <w:spacing w:val="-4"/>
          <w:sz w:val="16"/>
        </w:rPr>
        <w:t> </w:t>
      </w:r>
      <w:r>
        <w:rPr>
          <w:rFonts w:ascii="Arial" w:hAnsi="Arial"/>
          <w:i/>
          <w:sz w:val="16"/>
        </w:rPr>
        <w:t>on</w:t>
      </w:r>
      <w:r>
        <w:rPr>
          <w:rFonts w:ascii="Arial" w:hAnsi="Arial"/>
          <w:i/>
          <w:spacing w:val="-4"/>
          <w:sz w:val="16"/>
        </w:rPr>
        <w:t> </w:t>
      </w:r>
      <w:r>
        <w:rPr>
          <w:rFonts w:ascii="Arial" w:hAnsi="Arial"/>
          <w:i/>
          <w:sz w:val="16"/>
        </w:rPr>
        <w:t>the</w:t>
      </w:r>
      <w:r>
        <w:rPr>
          <w:rFonts w:ascii="Arial" w:hAnsi="Arial"/>
          <w:i/>
          <w:spacing w:val="-4"/>
          <w:sz w:val="16"/>
        </w:rPr>
        <w:t> </w:t>
      </w:r>
      <w:r>
        <w:rPr>
          <w:rFonts w:ascii="Arial" w:hAnsi="Arial"/>
          <w:i/>
          <w:sz w:val="16"/>
        </w:rPr>
        <w:t>Statements</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Income</w:t>
      </w:r>
      <w:r>
        <w:rPr>
          <w:rFonts w:ascii="Arial" w:hAnsi="Arial"/>
          <w:i/>
          <w:spacing w:val="-4"/>
          <w:sz w:val="16"/>
        </w:rPr>
        <w:t> </w:t>
      </w:r>
      <w:r>
        <w:rPr>
          <w:rFonts w:ascii="Arial" w:hAnsi="Arial"/>
          <w:i/>
          <w:sz w:val="16"/>
        </w:rPr>
        <w:t>includes</w:t>
      </w:r>
      <w:r>
        <w:rPr>
          <w:rFonts w:ascii="Arial" w:hAnsi="Arial"/>
          <w:i/>
          <w:spacing w:val="-3"/>
          <w:sz w:val="16"/>
        </w:rPr>
        <w:t> </w:t>
      </w:r>
      <w:r>
        <w:rPr>
          <w:rFonts w:ascii="Arial" w:hAnsi="Arial"/>
          <w:i/>
          <w:sz w:val="16"/>
        </w:rPr>
        <w:t>$2</w:t>
      </w:r>
      <w:r>
        <w:rPr>
          <w:rFonts w:ascii="Arial" w:hAnsi="Arial"/>
          <w:i/>
          <w:spacing w:val="-4"/>
          <w:sz w:val="16"/>
        </w:rPr>
        <w:t> </w:t>
      </w:r>
      <w:r>
        <w:rPr>
          <w:rFonts w:ascii="Arial" w:hAnsi="Arial"/>
          <w:i/>
          <w:sz w:val="16"/>
        </w:rPr>
        <w:t>million of gain in recoverable asset relating to Guarantees received ($8 million of gain in recoverable asset —June 30, 2022 and less than $1 million of reduction in recoverable asset —June 30, 2021).</w:t>
      </w:r>
    </w:p>
    <w:p>
      <w:pPr>
        <w:pStyle w:val="ListParagraph"/>
        <w:numPr>
          <w:ilvl w:val="0"/>
          <w:numId w:val="35"/>
        </w:numPr>
        <w:tabs>
          <w:tab w:pos="985" w:val="left" w:leader="none"/>
        </w:tabs>
        <w:spacing w:line="172" w:lineRule="exact" w:before="55" w:after="0"/>
        <w:ind w:left="985" w:right="0" w:hanging="213"/>
        <w:jc w:val="left"/>
        <w:rPr>
          <w:rFonts w:ascii="Arial"/>
          <w:i/>
          <w:sz w:val="16"/>
        </w:rPr>
      </w:pPr>
      <w:r>
        <w:rPr>
          <w:rFonts w:ascii="Arial"/>
          <w:i/>
          <w:sz w:val="16"/>
        </w:rPr>
        <w:t>Notional</w:t>
      </w:r>
      <w:r>
        <w:rPr>
          <w:rFonts w:ascii="Arial"/>
          <w:i/>
          <w:spacing w:val="-6"/>
          <w:sz w:val="16"/>
        </w:rPr>
        <w:t> </w:t>
      </w:r>
      <w:r>
        <w:rPr>
          <w:rFonts w:ascii="Arial"/>
          <w:i/>
          <w:sz w:val="16"/>
        </w:rPr>
        <w:t>amount,</w:t>
      </w:r>
      <w:r>
        <w:rPr>
          <w:rFonts w:ascii="Arial"/>
          <w:i/>
          <w:spacing w:val="-4"/>
          <w:sz w:val="16"/>
        </w:rPr>
        <w:t> </w:t>
      </w:r>
      <w:r>
        <w:rPr>
          <w:rFonts w:ascii="Arial"/>
          <w:i/>
          <w:sz w:val="16"/>
        </w:rPr>
        <w:t>obligation</w:t>
      </w:r>
      <w:r>
        <w:rPr>
          <w:rFonts w:ascii="Arial"/>
          <w:i/>
          <w:spacing w:val="-5"/>
          <w:sz w:val="16"/>
        </w:rPr>
        <w:t> </w:t>
      </w:r>
      <w:r>
        <w:rPr>
          <w:rFonts w:ascii="Arial"/>
          <w:i/>
          <w:sz w:val="16"/>
        </w:rPr>
        <w:t>to</w:t>
      </w:r>
      <w:r>
        <w:rPr>
          <w:rFonts w:ascii="Arial"/>
          <w:i/>
          <w:spacing w:val="-5"/>
          <w:sz w:val="16"/>
        </w:rPr>
        <w:t> </w:t>
      </w:r>
      <w:r>
        <w:rPr>
          <w:rFonts w:ascii="Arial"/>
          <w:i/>
          <w:sz w:val="16"/>
        </w:rPr>
        <w:t>stand</w:t>
      </w:r>
      <w:r>
        <w:rPr>
          <w:rFonts w:ascii="Arial"/>
          <w:i/>
          <w:spacing w:val="-5"/>
          <w:sz w:val="16"/>
        </w:rPr>
        <w:t> </w:t>
      </w:r>
      <w:r>
        <w:rPr>
          <w:rFonts w:ascii="Arial"/>
          <w:i/>
          <w:sz w:val="16"/>
        </w:rPr>
        <w:t>ready</w:t>
      </w:r>
      <w:r>
        <w:rPr>
          <w:rFonts w:ascii="Arial"/>
          <w:i/>
          <w:spacing w:val="-4"/>
          <w:sz w:val="16"/>
        </w:rPr>
        <w:t> </w:t>
      </w:r>
      <w:r>
        <w:rPr>
          <w:rFonts w:ascii="Arial"/>
          <w:i/>
          <w:sz w:val="16"/>
        </w:rPr>
        <w:t>and</w:t>
      </w:r>
      <w:r>
        <w:rPr>
          <w:rFonts w:ascii="Arial"/>
          <w:i/>
          <w:spacing w:val="-5"/>
          <w:sz w:val="16"/>
        </w:rPr>
        <w:t> </w:t>
      </w:r>
      <w:r>
        <w:rPr>
          <w:rFonts w:ascii="Arial"/>
          <w:i/>
          <w:sz w:val="16"/>
        </w:rPr>
        <w:t>provision</w:t>
      </w:r>
      <w:r>
        <w:rPr>
          <w:rFonts w:ascii="Arial"/>
          <w:i/>
          <w:spacing w:val="-5"/>
          <w:sz w:val="16"/>
        </w:rPr>
        <w:t> </w:t>
      </w:r>
      <w:r>
        <w:rPr>
          <w:rFonts w:ascii="Arial"/>
          <w:i/>
          <w:sz w:val="16"/>
        </w:rPr>
        <w:t>for</w:t>
      </w:r>
      <w:r>
        <w:rPr>
          <w:rFonts w:ascii="Arial"/>
          <w:i/>
          <w:spacing w:val="-4"/>
          <w:sz w:val="16"/>
        </w:rPr>
        <w:t> </w:t>
      </w:r>
      <w:r>
        <w:rPr>
          <w:rFonts w:ascii="Arial"/>
          <w:i/>
          <w:sz w:val="16"/>
        </w:rPr>
        <w:t>the</w:t>
      </w:r>
      <w:r>
        <w:rPr>
          <w:rFonts w:ascii="Arial"/>
          <w:i/>
          <w:spacing w:val="-4"/>
          <w:sz w:val="16"/>
        </w:rPr>
        <w:t> </w:t>
      </w:r>
      <w:r>
        <w:rPr>
          <w:rFonts w:ascii="Arial"/>
          <w:i/>
          <w:sz w:val="16"/>
        </w:rPr>
        <w:t>guarantees</w:t>
      </w:r>
      <w:r>
        <w:rPr>
          <w:rFonts w:ascii="Arial"/>
          <w:i/>
          <w:spacing w:val="-4"/>
          <w:sz w:val="16"/>
        </w:rPr>
        <w:t> </w:t>
      </w:r>
      <w:r>
        <w:rPr>
          <w:rFonts w:ascii="Arial"/>
          <w:i/>
          <w:sz w:val="16"/>
        </w:rPr>
        <w:t>provided</w:t>
      </w:r>
      <w:r>
        <w:rPr>
          <w:rFonts w:ascii="Arial"/>
          <w:i/>
          <w:spacing w:val="-5"/>
          <w:sz w:val="16"/>
        </w:rPr>
        <w:t> </w:t>
      </w:r>
      <w:r>
        <w:rPr>
          <w:rFonts w:ascii="Arial"/>
          <w:i/>
          <w:sz w:val="16"/>
        </w:rPr>
        <w:t>are</w:t>
      </w:r>
      <w:r>
        <w:rPr>
          <w:rFonts w:ascii="Arial"/>
          <w:i/>
          <w:spacing w:val="-5"/>
          <w:sz w:val="16"/>
        </w:rPr>
        <w:t> </w:t>
      </w:r>
      <w:r>
        <w:rPr>
          <w:rFonts w:ascii="Arial"/>
          <w:i/>
          <w:sz w:val="16"/>
        </w:rPr>
        <w:t>included</w:t>
      </w:r>
      <w:r>
        <w:rPr>
          <w:rFonts w:ascii="Arial"/>
          <w:i/>
          <w:spacing w:val="-5"/>
          <w:sz w:val="16"/>
        </w:rPr>
        <w:t> </w:t>
      </w:r>
      <w:r>
        <w:rPr>
          <w:rFonts w:ascii="Arial"/>
          <w:i/>
          <w:sz w:val="16"/>
        </w:rPr>
        <w:t>in</w:t>
      </w:r>
      <w:r>
        <w:rPr>
          <w:rFonts w:ascii="Arial"/>
          <w:i/>
          <w:spacing w:val="-5"/>
          <w:sz w:val="16"/>
        </w:rPr>
        <w:t> </w:t>
      </w:r>
      <w:r>
        <w:rPr>
          <w:rFonts w:ascii="Arial"/>
          <w:i/>
          <w:sz w:val="16"/>
        </w:rPr>
        <w:t>guarantees</w:t>
      </w:r>
      <w:r>
        <w:rPr>
          <w:rFonts w:ascii="Arial"/>
          <w:i/>
          <w:spacing w:val="-4"/>
          <w:sz w:val="16"/>
        </w:rPr>
        <w:t> </w:t>
      </w:r>
      <w:r>
        <w:rPr>
          <w:rFonts w:ascii="Arial"/>
          <w:i/>
          <w:sz w:val="16"/>
        </w:rPr>
        <w:t>outstanding</w:t>
      </w:r>
      <w:r>
        <w:rPr>
          <w:rFonts w:ascii="Arial"/>
          <w:i/>
          <w:spacing w:val="-4"/>
          <w:sz w:val="16"/>
        </w:rPr>
        <w:t> </w:t>
      </w:r>
      <w:r>
        <w:rPr>
          <w:rFonts w:ascii="Arial"/>
          <w:i/>
          <w:spacing w:val="-5"/>
          <w:sz w:val="16"/>
        </w:rPr>
        <w:t>of</w:t>
      </w:r>
    </w:p>
    <w:p>
      <w:pPr>
        <w:spacing w:line="208" w:lineRule="auto" w:before="8"/>
        <w:ind w:left="952" w:right="719" w:firstLine="0"/>
        <w:jc w:val="left"/>
        <w:rPr>
          <w:rFonts w:ascii="Arial" w:hAnsi="Arial"/>
          <w:i/>
          <w:sz w:val="16"/>
        </w:rPr>
      </w:pPr>
      <w:r>
        <w:rPr>
          <w:rFonts w:ascii="Arial" w:hAnsi="Arial"/>
          <w:i/>
          <w:sz w:val="16"/>
        </w:rPr>
        <w:t>$6,542</w:t>
      </w:r>
      <w:r>
        <w:rPr>
          <w:rFonts w:ascii="Arial" w:hAnsi="Arial"/>
          <w:i/>
          <w:spacing w:val="-4"/>
          <w:sz w:val="16"/>
        </w:rPr>
        <w:t> </w:t>
      </w:r>
      <w:r>
        <w:rPr>
          <w:rFonts w:ascii="Arial" w:hAnsi="Arial"/>
          <w:i/>
          <w:sz w:val="16"/>
        </w:rPr>
        <w:t>million,</w:t>
      </w:r>
      <w:r>
        <w:rPr>
          <w:rFonts w:ascii="Arial" w:hAnsi="Arial"/>
          <w:i/>
          <w:spacing w:val="-3"/>
          <w:sz w:val="16"/>
        </w:rPr>
        <w:t> </w:t>
      </w:r>
      <w:r>
        <w:rPr>
          <w:rFonts w:ascii="Arial" w:hAnsi="Arial"/>
          <w:i/>
          <w:sz w:val="16"/>
        </w:rPr>
        <w:t>obligations</w:t>
      </w:r>
      <w:r>
        <w:rPr>
          <w:rFonts w:ascii="Arial" w:hAnsi="Arial"/>
          <w:i/>
          <w:spacing w:val="-3"/>
          <w:sz w:val="16"/>
        </w:rPr>
        <w:t> </w:t>
      </w:r>
      <w:r>
        <w:rPr>
          <w:rFonts w:ascii="Arial" w:hAnsi="Arial"/>
          <w:i/>
          <w:sz w:val="16"/>
        </w:rPr>
        <w:t>to</w:t>
      </w:r>
      <w:r>
        <w:rPr>
          <w:rFonts w:ascii="Arial" w:hAnsi="Arial"/>
          <w:i/>
          <w:spacing w:val="-4"/>
          <w:sz w:val="16"/>
        </w:rPr>
        <w:t> </w:t>
      </w:r>
      <w:r>
        <w:rPr>
          <w:rFonts w:ascii="Arial" w:hAnsi="Arial"/>
          <w:i/>
          <w:sz w:val="16"/>
        </w:rPr>
        <w:t>stand</w:t>
      </w:r>
      <w:r>
        <w:rPr>
          <w:rFonts w:ascii="Arial" w:hAnsi="Arial"/>
          <w:i/>
          <w:spacing w:val="-4"/>
          <w:sz w:val="16"/>
        </w:rPr>
        <w:t> </w:t>
      </w:r>
      <w:r>
        <w:rPr>
          <w:rFonts w:ascii="Arial" w:hAnsi="Arial"/>
          <w:i/>
          <w:sz w:val="16"/>
        </w:rPr>
        <w:t>ready</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$303</w:t>
      </w:r>
      <w:r>
        <w:rPr>
          <w:rFonts w:ascii="Arial" w:hAnsi="Arial"/>
          <w:i/>
          <w:spacing w:val="-4"/>
          <w:sz w:val="16"/>
        </w:rPr>
        <w:t> </w:t>
      </w:r>
      <w:r>
        <w:rPr>
          <w:rFonts w:ascii="Arial" w:hAnsi="Arial"/>
          <w:i/>
          <w:sz w:val="16"/>
        </w:rPr>
        <w:t>million</w:t>
      </w:r>
      <w:r>
        <w:rPr>
          <w:rFonts w:ascii="Arial" w:hAnsi="Arial"/>
          <w:i/>
          <w:spacing w:val="-4"/>
          <w:sz w:val="16"/>
        </w:rPr>
        <w:t> </w:t>
      </w:r>
      <w:r>
        <w:rPr>
          <w:rFonts w:ascii="Arial" w:hAnsi="Arial"/>
          <w:i/>
          <w:sz w:val="16"/>
        </w:rPr>
        <w:t>and</w:t>
      </w:r>
      <w:r>
        <w:rPr>
          <w:rFonts w:ascii="Arial" w:hAnsi="Arial"/>
          <w:i/>
          <w:spacing w:val="-4"/>
          <w:sz w:val="16"/>
        </w:rPr>
        <w:t> </w:t>
      </w:r>
      <w:r>
        <w:rPr>
          <w:rFonts w:ascii="Arial" w:hAnsi="Arial"/>
          <w:i/>
          <w:sz w:val="16"/>
        </w:rPr>
        <w:t>accumulated</w:t>
      </w:r>
      <w:r>
        <w:rPr>
          <w:rFonts w:ascii="Arial" w:hAnsi="Arial"/>
          <w:i/>
          <w:spacing w:val="-4"/>
          <w:sz w:val="16"/>
        </w:rPr>
        <w:t> </w:t>
      </w:r>
      <w:r>
        <w:rPr>
          <w:rFonts w:ascii="Arial" w:hAnsi="Arial"/>
          <w:i/>
          <w:sz w:val="16"/>
        </w:rPr>
        <w:t>provision</w:t>
      </w:r>
      <w:r>
        <w:rPr>
          <w:rFonts w:ascii="Arial" w:hAnsi="Arial"/>
          <w:i/>
          <w:spacing w:val="-4"/>
          <w:sz w:val="16"/>
        </w:rPr>
        <w:t> </w:t>
      </w:r>
      <w:r>
        <w:rPr>
          <w:rFonts w:ascii="Arial" w:hAnsi="Arial"/>
          <w:i/>
          <w:sz w:val="16"/>
        </w:rPr>
        <w:t>for</w:t>
      </w:r>
      <w:r>
        <w:rPr>
          <w:rFonts w:ascii="Arial" w:hAnsi="Arial"/>
          <w:i/>
          <w:spacing w:val="-3"/>
          <w:sz w:val="16"/>
        </w:rPr>
        <w:t> </w:t>
      </w:r>
      <w:r>
        <w:rPr>
          <w:rFonts w:ascii="Arial" w:hAnsi="Arial"/>
          <w:i/>
          <w:sz w:val="16"/>
        </w:rPr>
        <w:t>guarantee</w:t>
      </w:r>
      <w:r>
        <w:rPr>
          <w:rFonts w:ascii="Arial" w:hAnsi="Arial"/>
          <w:i/>
          <w:spacing w:val="-4"/>
          <w:sz w:val="16"/>
        </w:rPr>
        <w:t> </w:t>
      </w:r>
      <w:r>
        <w:rPr>
          <w:rFonts w:ascii="Arial" w:hAnsi="Arial"/>
          <w:i/>
          <w:sz w:val="16"/>
        </w:rPr>
        <w:t>losses</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$76</w:t>
      </w:r>
      <w:r>
        <w:rPr>
          <w:rFonts w:ascii="Arial" w:hAnsi="Arial"/>
          <w:i/>
          <w:spacing w:val="-4"/>
          <w:sz w:val="16"/>
        </w:rPr>
        <w:t> </w:t>
      </w:r>
      <w:r>
        <w:rPr>
          <w:rFonts w:ascii="Arial" w:hAnsi="Arial"/>
          <w:i/>
          <w:sz w:val="16"/>
        </w:rPr>
        <w:t>million, respectively ($6,379 million, $298 million and $59 million, respectively—June 30, 2022).</w:t>
      </w:r>
    </w:p>
    <w:p>
      <w:pPr>
        <w:pStyle w:val="BodyText"/>
        <w:spacing w:before="3"/>
        <w:rPr>
          <w:rFonts w:ascii="Arial"/>
          <w:i/>
          <w:sz w:val="22"/>
        </w:rPr>
      </w:pPr>
    </w:p>
    <w:p>
      <w:pPr>
        <w:pStyle w:val="Heading5"/>
        <w:spacing w:before="1"/>
      </w:pPr>
      <w:r>
        <w:rPr/>
        <w:t>Guarantees</w:t>
      </w:r>
      <w:r>
        <w:rPr>
          <w:spacing w:val="-5"/>
        </w:rPr>
        <w:t> </w:t>
      </w:r>
      <w:r>
        <w:rPr>
          <w:spacing w:val="-2"/>
        </w:rPr>
        <w:t>received</w:t>
      </w:r>
    </w:p>
    <w:p>
      <w:pPr>
        <w:pStyle w:val="BodyText"/>
        <w:spacing w:line="232" w:lineRule="auto" w:before="85"/>
        <w:ind w:left="720" w:right="922"/>
        <w:jc w:val="both"/>
      </w:pPr>
      <w:r>
        <w:rPr/>
        <w:t>As of June 30, 2023, IBRD had received third-party guarantees totaling $3,325 million ($2,116 million as of June 30,</w:t>
      </w:r>
      <w:r>
        <w:rPr>
          <w:spacing w:val="-1"/>
        </w:rPr>
        <w:t> </w:t>
      </w:r>
      <w:r>
        <w:rPr/>
        <w:t>2022)</w:t>
      </w:r>
      <w:r>
        <w:rPr>
          <w:spacing w:val="-1"/>
        </w:rPr>
        <w:t> </w:t>
      </w:r>
      <w:r>
        <w:rPr/>
        <w:t>that</w:t>
      </w:r>
      <w:r>
        <w:rPr>
          <w:spacing w:val="-2"/>
        </w:rPr>
        <w:t> </w:t>
      </w:r>
      <w:r>
        <w:rPr/>
        <w:t>are</w:t>
      </w:r>
      <w:r>
        <w:rPr>
          <w:spacing w:val="-2"/>
        </w:rPr>
        <w:t> </w:t>
      </w:r>
      <w:r>
        <w:rPr/>
        <w:t>contractually</w:t>
      </w:r>
      <w:r>
        <w:rPr>
          <w:spacing w:val="-1"/>
        </w:rPr>
        <w:t> </w:t>
      </w:r>
      <w:r>
        <w:rPr/>
        <w:t>attached</w:t>
      </w:r>
      <w:r>
        <w:rPr>
          <w:spacing w:val="-1"/>
        </w:rPr>
        <w:t> </w:t>
      </w:r>
      <w:r>
        <w:rPr/>
        <w:t>to</w:t>
      </w:r>
      <w:r>
        <w:rPr>
          <w:spacing w:val="-2"/>
        </w:rPr>
        <w:t> </w:t>
      </w:r>
      <w:r>
        <w:rPr/>
        <w:t>the</w:t>
      </w:r>
      <w:r>
        <w:rPr>
          <w:spacing w:val="-2"/>
        </w:rPr>
        <w:t> </w:t>
      </w:r>
      <w:r>
        <w:rPr/>
        <w:t>loan.</w:t>
      </w:r>
      <w:r>
        <w:rPr>
          <w:spacing w:val="-1"/>
        </w:rPr>
        <w:t> </w:t>
      </w:r>
      <w:r>
        <w:rPr/>
        <w:t>These</w:t>
      </w:r>
      <w:r>
        <w:rPr>
          <w:spacing w:val="-2"/>
        </w:rPr>
        <w:t> </w:t>
      </w:r>
      <w:r>
        <w:rPr/>
        <w:t>guarantees</w:t>
      </w:r>
      <w:r>
        <w:rPr>
          <w:spacing w:val="-2"/>
        </w:rPr>
        <w:t> </w:t>
      </w:r>
      <w:r>
        <w:rPr/>
        <w:t>increase</w:t>
      </w:r>
      <w:r>
        <w:rPr>
          <w:spacing w:val="-2"/>
        </w:rPr>
        <w:t> </w:t>
      </w:r>
      <w:r>
        <w:rPr/>
        <w:t>IBRD’s</w:t>
      </w:r>
      <w:r>
        <w:rPr>
          <w:spacing w:val="-2"/>
        </w:rPr>
        <w:t> </w:t>
      </w:r>
      <w:r>
        <w:rPr/>
        <w:t>lending</w:t>
      </w:r>
      <w:r>
        <w:rPr>
          <w:spacing w:val="-1"/>
        </w:rPr>
        <w:t> </w:t>
      </w:r>
      <w:r>
        <w:rPr/>
        <w:t>capacity</w:t>
      </w:r>
      <w:r>
        <w:rPr>
          <w:spacing w:val="-1"/>
        </w:rPr>
        <w:t> </w:t>
      </w:r>
      <w:r>
        <w:rPr/>
        <w:t>in</w:t>
      </w:r>
      <w:r>
        <w:rPr>
          <w:spacing w:val="-2"/>
        </w:rPr>
        <w:t> </w:t>
      </w:r>
      <w:r>
        <w:rPr/>
        <w:t>certain countries.</w:t>
      </w:r>
      <w:r>
        <w:rPr>
          <w:spacing w:val="-3"/>
        </w:rPr>
        <w:t> </w:t>
      </w:r>
      <w:r>
        <w:rPr/>
        <w:t>IBRD</w:t>
      </w:r>
      <w:r>
        <w:rPr>
          <w:spacing w:val="-4"/>
        </w:rPr>
        <w:t> </w:t>
      </w:r>
      <w:r>
        <w:rPr/>
        <w:t>considers</w:t>
      </w:r>
      <w:r>
        <w:rPr>
          <w:spacing w:val="-4"/>
        </w:rPr>
        <w:t> </w:t>
      </w:r>
      <w:r>
        <w:rPr/>
        <w:t>the</w:t>
      </w:r>
      <w:r>
        <w:rPr>
          <w:spacing w:val="-4"/>
        </w:rPr>
        <w:t> </w:t>
      </w:r>
      <w:r>
        <w:rPr/>
        <w:t>benefit</w:t>
      </w:r>
      <w:r>
        <w:rPr>
          <w:spacing w:val="-4"/>
        </w:rPr>
        <w:t> </w:t>
      </w:r>
      <w:r>
        <w:rPr/>
        <w:t>of</w:t>
      </w:r>
      <w:r>
        <w:rPr>
          <w:spacing w:val="-3"/>
        </w:rPr>
        <w:t> </w:t>
      </w:r>
      <w:r>
        <w:rPr/>
        <w:t>these</w:t>
      </w:r>
      <w:r>
        <w:rPr>
          <w:spacing w:val="-4"/>
        </w:rPr>
        <w:t> </w:t>
      </w:r>
      <w:r>
        <w:rPr/>
        <w:t>credit</w:t>
      </w:r>
      <w:r>
        <w:rPr>
          <w:spacing w:val="-4"/>
        </w:rPr>
        <w:t> </w:t>
      </w:r>
      <w:r>
        <w:rPr/>
        <w:t>enhancements</w:t>
      </w:r>
      <w:r>
        <w:rPr>
          <w:spacing w:val="-4"/>
        </w:rPr>
        <w:t> </w:t>
      </w:r>
      <w:r>
        <w:rPr/>
        <w:t>in</w:t>
      </w:r>
      <w:r>
        <w:rPr>
          <w:spacing w:val="-3"/>
        </w:rPr>
        <w:t> </w:t>
      </w:r>
      <w:r>
        <w:rPr/>
        <w:t>the</w:t>
      </w:r>
      <w:r>
        <w:rPr>
          <w:spacing w:val="-4"/>
        </w:rPr>
        <w:t> </w:t>
      </w:r>
      <w:r>
        <w:rPr/>
        <w:t>determination</w:t>
      </w:r>
      <w:r>
        <w:rPr>
          <w:spacing w:val="-3"/>
        </w:rPr>
        <w:t> </w:t>
      </w:r>
      <w:r>
        <w:rPr/>
        <w:t>of</w:t>
      </w:r>
      <w:r>
        <w:rPr>
          <w:spacing w:val="-3"/>
        </w:rPr>
        <w:t> </w:t>
      </w:r>
      <w:r>
        <w:rPr/>
        <w:t>the</w:t>
      </w:r>
      <w:r>
        <w:rPr>
          <w:spacing w:val="-4"/>
        </w:rPr>
        <w:t> </w:t>
      </w:r>
      <w:r>
        <w:rPr/>
        <w:t>loan</w:t>
      </w:r>
      <w:r>
        <w:rPr>
          <w:spacing w:val="-3"/>
        </w:rPr>
        <w:t> </w:t>
      </w:r>
      <w:r>
        <w:rPr/>
        <w:t>loss</w:t>
      </w:r>
      <w:r>
        <w:rPr>
          <w:spacing w:val="-4"/>
        </w:rPr>
        <w:t> </w:t>
      </w:r>
      <w:r>
        <w:rPr/>
        <w:t>provision.</w:t>
      </w:r>
    </w:p>
    <w:p>
      <w:pPr>
        <w:pStyle w:val="Heading5"/>
        <w:spacing w:before="168"/>
      </w:pPr>
      <w:r>
        <w:rPr/>
        <w:t>Waivers</w:t>
      </w:r>
      <w:r>
        <w:rPr>
          <w:spacing w:val="-2"/>
        </w:rPr>
        <w:t> </w:t>
      </w:r>
      <w:r>
        <w:rPr/>
        <w:t>of</w:t>
      </w:r>
      <w:r>
        <w:rPr>
          <w:spacing w:val="-1"/>
        </w:rPr>
        <w:t> </w:t>
      </w:r>
      <w:r>
        <w:rPr/>
        <w:t>Loan</w:t>
      </w:r>
      <w:r>
        <w:rPr>
          <w:spacing w:val="-2"/>
        </w:rPr>
        <w:t> Charges</w:t>
      </w:r>
    </w:p>
    <w:p>
      <w:pPr>
        <w:pStyle w:val="BodyText"/>
        <w:spacing w:line="244" w:lineRule="auto" w:before="140"/>
        <w:ind w:left="720" w:right="719"/>
        <w:jc w:val="both"/>
      </w:pPr>
      <w:r>
        <w:rPr/>
        <w:t>The Executive Directors have approved waivers of certain charges on eligible loans. These include a portion of interest on loans, a portion of the commitment charge on undisbursed balances, and a portion of the front-end fee</w:t>
      </w:r>
      <w:r>
        <w:rPr>
          <w:rFonts w:ascii="Calibri" w:hAnsi="Calibri"/>
          <w:sz w:val="22"/>
        </w:rPr>
        <w:t>. </w:t>
      </w:r>
      <w:r>
        <w:rPr/>
        <w:t>The forgone income resulting from waivers of loan charges was $16 million for the year ended June 30, 2023 ($20 million —June 30, 2022 and $31 million —June 30, 2021).</w:t>
      </w:r>
    </w:p>
    <w:p>
      <w:pPr>
        <w:pStyle w:val="Heading5"/>
        <w:spacing w:before="178"/>
      </w:pPr>
      <w:r>
        <w:rPr/>
        <w:t>Concentration</w:t>
      </w:r>
      <w:r>
        <w:rPr>
          <w:spacing w:val="-6"/>
        </w:rPr>
        <w:t> </w:t>
      </w:r>
      <w:r>
        <w:rPr>
          <w:spacing w:val="-4"/>
        </w:rPr>
        <w:t>Risk</w:t>
      </w:r>
    </w:p>
    <w:p>
      <w:pPr>
        <w:pStyle w:val="BodyText"/>
        <w:spacing w:line="249" w:lineRule="auto" w:before="139"/>
        <w:ind w:left="720" w:right="719"/>
        <w:jc w:val="both"/>
      </w:pPr>
      <w:r>
        <w:rPr/>
        <w:t>Loan revenue comprises interest, commitment fees, loan origination fees and prepayment premiums, net of waivers. For the fiscal year ended June 30, 2023, there was no country that contributed more than 10% of the total loan </w:t>
      </w:r>
      <w:r>
        <w:rPr>
          <w:spacing w:val="-2"/>
        </w:rPr>
        <w:t>revenue.</w:t>
      </w:r>
    </w:p>
    <w:p>
      <w:pPr>
        <w:pStyle w:val="BodyText"/>
        <w:spacing w:after="0" w:line="249" w:lineRule="auto"/>
        <w:jc w:val="both"/>
        <w:sectPr>
          <w:headerReference w:type="even" r:id="rId165"/>
          <w:footerReference w:type="even" r:id="rId166"/>
          <w:footerReference w:type="default" r:id="rId167"/>
          <w:pgSz w:w="12240" w:h="15840"/>
          <w:pgMar w:header="0" w:footer="528" w:top="960" w:bottom="720" w:left="720" w:right="720"/>
          <w:pgNumType w:start="108"/>
        </w:sectPr>
      </w:pPr>
    </w:p>
    <w:p>
      <w:pPr>
        <w:pStyle w:val="BodyText"/>
        <w:spacing w:line="249" w:lineRule="auto" w:before="72"/>
        <w:ind w:left="720" w:right="718"/>
        <w:jc w:val="both"/>
      </w:pPr>
      <w:r>
        <w:rPr/>
        <w:t>Information about IBRD’s loan revenue and associated loans outstanding by geographic region is presented in the following table:</w:t>
      </w:r>
    </w:p>
    <w:p>
      <w:pPr>
        <w:pStyle w:val="Heading8"/>
      </w:pPr>
      <w:r>
        <w:rPr/>
        <w:t>Table</w:t>
      </w:r>
      <w:r>
        <w:rPr>
          <w:spacing w:val="-6"/>
        </w:rPr>
        <w:t> </w:t>
      </w:r>
      <w:r>
        <w:rPr/>
        <w:t>D8:</w:t>
      </w:r>
      <w:r>
        <w:rPr>
          <w:spacing w:val="-3"/>
        </w:rPr>
        <w:t> </w:t>
      </w:r>
      <w:r>
        <w:rPr/>
        <w:t>Loan</w:t>
      </w:r>
      <w:r>
        <w:rPr>
          <w:spacing w:val="-4"/>
        </w:rPr>
        <w:t> </w:t>
      </w:r>
      <w:r>
        <w:rPr/>
        <w:t>revenue</w:t>
      </w:r>
      <w:r>
        <w:rPr>
          <w:spacing w:val="-4"/>
        </w:rPr>
        <w:t> </w:t>
      </w:r>
      <w:r>
        <w:rPr/>
        <w:t>and</w:t>
      </w:r>
      <w:r>
        <w:rPr>
          <w:spacing w:val="-4"/>
        </w:rPr>
        <w:t> </w:t>
      </w:r>
      <w:r>
        <w:rPr/>
        <w:t>associated</w:t>
      </w:r>
      <w:r>
        <w:rPr>
          <w:spacing w:val="-4"/>
        </w:rPr>
        <w:t> </w:t>
      </w:r>
      <w:r>
        <w:rPr/>
        <w:t>outstanding</w:t>
      </w:r>
      <w:r>
        <w:rPr>
          <w:spacing w:val="-3"/>
        </w:rPr>
        <w:t> </w:t>
      </w:r>
      <w:r>
        <w:rPr/>
        <w:t>loan</w:t>
      </w:r>
      <w:r>
        <w:rPr>
          <w:spacing w:val="-3"/>
        </w:rPr>
        <w:t> </w:t>
      </w:r>
      <w:r>
        <w:rPr>
          <w:spacing w:val="-2"/>
        </w:rPr>
        <w:t>balances</w:t>
      </w:r>
    </w:p>
    <w:p>
      <w:pPr>
        <w:tabs>
          <w:tab w:pos="5619" w:val="left" w:leader="none"/>
        </w:tabs>
        <w:spacing w:before="88" w:after="30"/>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r>
        <w:rPr>
          <w:rFonts w:ascii="Arial"/>
          <w:i/>
          <w:sz w:val="16"/>
        </w:rPr>
        <w:tab/>
        <w:t>As</w:t>
      </w:r>
      <w:r>
        <w:rPr>
          <w:rFonts w:ascii="Arial"/>
          <w:i/>
          <w:spacing w:val="-4"/>
          <w:sz w:val="16"/>
        </w:rPr>
        <w:t> </w:t>
      </w:r>
      <w:r>
        <w:rPr>
          <w:rFonts w:ascii="Arial"/>
          <w:i/>
          <w:sz w:val="16"/>
        </w:rPr>
        <w:t>of</w:t>
      </w:r>
      <w:r>
        <w:rPr>
          <w:rFonts w:ascii="Arial"/>
          <w:i/>
          <w:spacing w:val="-2"/>
          <w:sz w:val="16"/>
        </w:rPr>
        <w:t> </w:t>
      </w:r>
      <w:r>
        <w:rPr>
          <w:rFonts w:ascii="Arial"/>
          <w:i/>
          <w:sz w:val="16"/>
        </w:rPr>
        <w:t>and</w:t>
      </w:r>
      <w:r>
        <w:rPr>
          <w:rFonts w:ascii="Arial"/>
          <w:i/>
          <w:spacing w:val="-3"/>
          <w:sz w:val="16"/>
        </w:rPr>
        <w:t> </w:t>
      </w:r>
      <w:r>
        <w:rPr>
          <w:rFonts w:ascii="Arial"/>
          <w:i/>
          <w:sz w:val="16"/>
        </w:rPr>
        <w:t>for</w:t>
      </w:r>
      <w:r>
        <w:rPr>
          <w:rFonts w:ascii="Arial"/>
          <w:i/>
          <w:spacing w:val="-1"/>
          <w:sz w:val="16"/>
        </w:rPr>
        <w:t> </w:t>
      </w:r>
      <w:r>
        <w:rPr>
          <w:rFonts w:ascii="Arial"/>
          <w:i/>
          <w:sz w:val="16"/>
        </w:rPr>
        <w:t>the</w:t>
      </w:r>
      <w:r>
        <w:rPr>
          <w:rFonts w:ascii="Arial"/>
          <w:i/>
          <w:spacing w:val="-3"/>
          <w:sz w:val="16"/>
        </w:rPr>
        <w:t> </w:t>
      </w:r>
      <w:r>
        <w:rPr>
          <w:rFonts w:ascii="Arial"/>
          <w:i/>
          <w:sz w:val="16"/>
        </w:rPr>
        <w:t>fiscal</w:t>
      </w:r>
      <w:r>
        <w:rPr>
          <w:rFonts w:ascii="Arial"/>
          <w:i/>
          <w:spacing w:val="-2"/>
          <w:sz w:val="16"/>
        </w:rPr>
        <w:t> </w:t>
      </w:r>
      <w:r>
        <w:rPr>
          <w:rFonts w:ascii="Arial"/>
          <w:i/>
          <w:sz w:val="16"/>
        </w:rPr>
        <w:t>years</w:t>
      </w:r>
      <w:r>
        <w:rPr>
          <w:rFonts w:ascii="Arial"/>
          <w:i/>
          <w:spacing w:val="-1"/>
          <w:sz w:val="16"/>
        </w:rPr>
        <w:t> </w:t>
      </w:r>
      <w:r>
        <w:rPr>
          <w:rFonts w:ascii="Arial"/>
          <w:i/>
          <w:sz w:val="16"/>
        </w:rPr>
        <w:t>ended</w:t>
      </w:r>
      <w:r>
        <w:rPr>
          <w:rFonts w:ascii="Arial"/>
          <w:i/>
          <w:spacing w:val="-3"/>
          <w:sz w:val="16"/>
        </w:rPr>
        <w:t> </w:t>
      </w:r>
      <w:r>
        <w:rPr>
          <w:rFonts w:ascii="Arial"/>
          <w:i/>
          <w:sz w:val="16"/>
        </w:rPr>
        <w:t>June</w:t>
      </w:r>
      <w:r>
        <w:rPr>
          <w:rFonts w:ascii="Arial"/>
          <w:i/>
          <w:spacing w:val="-2"/>
          <w:sz w:val="16"/>
        </w:rPr>
        <w:t> </w:t>
      </w:r>
      <w:r>
        <w:rPr>
          <w:rFonts w:ascii="Arial"/>
          <w:i/>
          <w:spacing w:val="-5"/>
          <w:sz w:val="16"/>
        </w:rPr>
        <w:t>30,</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0"/>
        <w:gridCol w:w="1417"/>
        <w:gridCol w:w="1465"/>
        <w:gridCol w:w="1445"/>
        <w:gridCol w:w="1433"/>
      </w:tblGrid>
      <w:tr>
        <w:trPr>
          <w:trHeight w:val="220" w:hRule="atLeast"/>
        </w:trPr>
        <w:tc>
          <w:tcPr>
            <w:tcW w:w="3600" w:type="dxa"/>
            <w:tcBorders>
              <w:top w:val="single" w:sz="8" w:space="0" w:color="000000"/>
            </w:tcBorders>
          </w:tcPr>
          <w:p>
            <w:pPr>
              <w:pStyle w:val="TableParagraph"/>
              <w:rPr>
                <w:rFonts w:ascii="Times New Roman"/>
                <w:sz w:val="14"/>
              </w:rPr>
            </w:pPr>
          </w:p>
        </w:tc>
        <w:tc>
          <w:tcPr>
            <w:tcW w:w="2882" w:type="dxa"/>
            <w:gridSpan w:val="2"/>
            <w:tcBorders>
              <w:top w:val="single" w:sz="8" w:space="0" w:color="000000"/>
              <w:bottom w:val="single" w:sz="8" w:space="0" w:color="000000"/>
            </w:tcBorders>
          </w:tcPr>
          <w:p>
            <w:pPr>
              <w:pStyle w:val="TableParagraph"/>
              <w:spacing w:line="183" w:lineRule="exact" w:before="16"/>
              <w:ind w:right="29"/>
              <w:jc w:val="center"/>
              <w:rPr>
                <w:rFonts w:ascii="Arial"/>
                <w:i/>
                <w:sz w:val="16"/>
              </w:rPr>
            </w:pPr>
            <w:r>
              <w:rPr>
                <w:rFonts w:ascii="Arial"/>
                <w:i/>
                <w:spacing w:val="-4"/>
                <w:sz w:val="16"/>
              </w:rPr>
              <w:t>2023</w:t>
            </w:r>
          </w:p>
        </w:tc>
        <w:tc>
          <w:tcPr>
            <w:tcW w:w="2878" w:type="dxa"/>
            <w:gridSpan w:val="2"/>
            <w:tcBorders>
              <w:top w:val="single" w:sz="8" w:space="0" w:color="000000"/>
              <w:bottom w:val="single" w:sz="8" w:space="0" w:color="000000"/>
            </w:tcBorders>
          </w:tcPr>
          <w:p>
            <w:pPr>
              <w:pStyle w:val="TableParagraph"/>
              <w:spacing w:line="183" w:lineRule="exact" w:before="16"/>
              <w:ind w:left="28"/>
              <w:jc w:val="center"/>
              <w:rPr>
                <w:rFonts w:ascii="Arial"/>
                <w:i/>
                <w:sz w:val="16"/>
              </w:rPr>
            </w:pPr>
            <w:r>
              <w:rPr>
                <w:rFonts w:ascii="Arial"/>
                <w:i/>
                <w:spacing w:val="-4"/>
                <w:sz w:val="16"/>
              </w:rPr>
              <w:t>2022</w:t>
            </w:r>
          </w:p>
        </w:tc>
      </w:tr>
      <w:tr>
        <w:trPr>
          <w:trHeight w:val="415" w:hRule="atLeast"/>
        </w:trPr>
        <w:tc>
          <w:tcPr>
            <w:tcW w:w="3600" w:type="dxa"/>
            <w:tcBorders>
              <w:bottom w:val="single" w:sz="8" w:space="0" w:color="000000"/>
            </w:tcBorders>
          </w:tcPr>
          <w:p>
            <w:pPr>
              <w:pStyle w:val="TableParagraph"/>
              <w:spacing w:before="27"/>
              <w:rPr>
                <w:rFonts w:ascii="Arial"/>
                <w:i/>
                <w:sz w:val="16"/>
              </w:rPr>
            </w:pPr>
          </w:p>
          <w:p>
            <w:pPr>
              <w:pStyle w:val="TableParagraph"/>
              <w:spacing w:line="183" w:lineRule="exact"/>
              <w:ind w:left="52"/>
              <w:rPr>
                <w:rFonts w:ascii="Arial"/>
                <w:i/>
                <w:sz w:val="16"/>
              </w:rPr>
            </w:pPr>
            <w:r>
              <w:rPr>
                <w:rFonts w:ascii="Arial"/>
                <w:i/>
                <w:spacing w:val="-2"/>
                <w:sz w:val="16"/>
              </w:rPr>
              <w:t>Region</w:t>
            </w:r>
          </w:p>
        </w:tc>
        <w:tc>
          <w:tcPr>
            <w:tcW w:w="1417"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left="126"/>
              <w:rPr>
                <w:rFonts w:ascii="Arial"/>
                <w:i/>
                <w:sz w:val="16"/>
              </w:rPr>
            </w:pPr>
            <w:r>
              <w:rPr>
                <w:rFonts w:ascii="Arial"/>
                <w:i/>
                <w:sz w:val="16"/>
              </w:rPr>
              <w:t>Loan</w:t>
            </w:r>
            <w:r>
              <w:rPr>
                <w:rFonts w:ascii="Arial"/>
                <w:i/>
                <w:spacing w:val="-5"/>
                <w:sz w:val="16"/>
              </w:rPr>
              <w:t> </w:t>
            </w:r>
            <w:r>
              <w:rPr>
                <w:rFonts w:ascii="Arial"/>
                <w:i/>
                <w:sz w:val="16"/>
              </w:rPr>
              <w:t>Revenue</w:t>
            </w:r>
            <w:r>
              <w:rPr>
                <w:rFonts w:ascii="Arial"/>
                <w:i/>
                <w:spacing w:val="-5"/>
                <w:sz w:val="16"/>
              </w:rPr>
              <w:t> </w:t>
            </w:r>
            <w:r>
              <w:rPr>
                <w:rFonts w:ascii="Arial"/>
                <w:i/>
                <w:spacing w:val="-10"/>
                <w:sz w:val="16"/>
                <w:vertAlign w:val="superscript"/>
              </w:rPr>
              <w:t>a</w:t>
            </w:r>
          </w:p>
        </w:tc>
        <w:tc>
          <w:tcPr>
            <w:tcW w:w="1465"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right="77"/>
              <w:jc w:val="right"/>
              <w:rPr>
                <w:rFonts w:ascii="Arial"/>
                <w:i/>
                <w:sz w:val="16"/>
              </w:rPr>
            </w:pPr>
            <w:r>
              <w:rPr>
                <w:rFonts w:ascii="Arial"/>
                <w:i/>
                <w:sz w:val="16"/>
              </w:rPr>
              <w:t>Loan</w:t>
            </w:r>
            <w:r>
              <w:rPr>
                <w:rFonts w:ascii="Arial"/>
                <w:i/>
                <w:spacing w:val="-4"/>
                <w:sz w:val="16"/>
              </w:rPr>
              <w:t> </w:t>
            </w:r>
            <w:r>
              <w:rPr>
                <w:rFonts w:ascii="Arial"/>
                <w:i/>
                <w:spacing w:val="-2"/>
                <w:sz w:val="16"/>
              </w:rPr>
              <w:t>Outstanding</w:t>
            </w:r>
          </w:p>
        </w:tc>
        <w:tc>
          <w:tcPr>
            <w:tcW w:w="1445" w:type="dxa"/>
            <w:tcBorders>
              <w:top w:val="single" w:sz="8" w:space="0" w:color="000000"/>
              <w:bottom w:val="single" w:sz="8" w:space="0" w:color="000000"/>
            </w:tcBorders>
          </w:tcPr>
          <w:p>
            <w:pPr>
              <w:pStyle w:val="TableParagraph"/>
              <w:spacing w:before="27"/>
              <w:rPr>
                <w:rFonts w:ascii="Arial"/>
                <w:i/>
                <w:sz w:val="16"/>
              </w:rPr>
            </w:pPr>
          </w:p>
          <w:p>
            <w:pPr>
              <w:pStyle w:val="TableParagraph"/>
              <w:spacing w:line="183" w:lineRule="exact"/>
              <w:ind w:right="146"/>
              <w:jc w:val="right"/>
              <w:rPr>
                <w:rFonts w:ascii="Arial"/>
                <w:i/>
                <w:sz w:val="16"/>
              </w:rPr>
            </w:pPr>
            <w:r>
              <w:rPr>
                <w:rFonts w:ascii="Arial"/>
                <w:i/>
                <w:sz w:val="16"/>
              </w:rPr>
              <w:t>Loan</w:t>
            </w:r>
            <w:r>
              <w:rPr>
                <w:rFonts w:ascii="Arial"/>
                <w:i/>
                <w:spacing w:val="-5"/>
                <w:sz w:val="16"/>
              </w:rPr>
              <w:t> </w:t>
            </w:r>
            <w:r>
              <w:rPr>
                <w:rFonts w:ascii="Arial"/>
                <w:i/>
                <w:sz w:val="16"/>
              </w:rPr>
              <w:t>Revenue</w:t>
            </w:r>
            <w:r>
              <w:rPr>
                <w:rFonts w:ascii="Arial"/>
                <w:i/>
                <w:spacing w:val="-5"/>
                <w:sz w:val="16"/>
              </w:rPr>
              <w:t> </w:t>
            </w:r>
            <w:r>
              <w:rPr>
                <w:rFonts w:ascii="Arial"/>
                <w:i/>
                <w:spacing w:val="-10"/>
                <w:sz w:val="16"/>
                <w:vertAlign w:val="superscript"/>
              </w:rPr>
              <w:t>a</w:t>
            </w:r>
          </w:p>
        </w:tc>
        <w:tc>
          <w:tcPr>
            <w:tcW w:w="1433" w:type="dxa"/>
            <w:tcBorders>
              <w:top w:val="single" w:sz="8" w:space="0" w:color="000000"/>
              <w:bottom w:val="single" w:sz="8" w:space="0" w:color="000000"/>
            </w:tcBorders>
          </w:tcPr>
          <w:p>
            <w:pPr>
              <w:pStyle w:val="TableParagraph"/>
              <w:spacing w:line="190" w:lineRule="atLeast" w:before="13"/>
              <w:ind w:left="323" w:firstLine="213"/>
              <w:rPr>
                <w:rFonts w:ascii="Arial"/>
                <w:i/>
                <w:sz w:val="16"/>
              </w:rPr>
            </w:pPr>
            <w:r>
              <w:rPr>
                <w:rFonts w:ascii="Arial"/>
                <w:i/>
                <w:spacing w:val="-2"/>
                <w:sz w:val="16"/>
              </w:rPr>
              <w:t>Loans Outstanding</w:t>
            </w:r>
          </w:p>
        </w:tc>
      </w:tr>
      <w:tr>
        <w:trPr>
          <w:trHeight w:val="230" w:hRule="atLeast"/>
        </w:trPr>
        <w:tc>
          <w:tcPr>
            <w:tcW w:w="3600" w:type="dxa"/>
            <w:tcBorders>
              <w:top w:val="single" w:sz="8" w:space="0" w:color="000000"/>
            </w:tcBorders>
          </w:tcPr>
          <w:p>
            <w:pPr>
              <w:pStyle w:val="TableParagraph"/>
              <w:spacing w:before="16"/>
              <w:ind w:left="52"/>
              <w:rPr>
                <w:sz w:val="16"/>
              </w:rPr>
            </w:pPr>
            <w:r>
              <w:rPr>
                <w:sz w:val="16"/>
              </w:rPr>
              <w:t>Latin</w:t>
            </w:r>
            <w:r>
              <w:rPr>
                <w:spacing w:val="-11"/>
                <w:sz w:val="16"/>
              </w:rPr>
              <w:t> </w:t>
            </w:r>
            <w:r>
              <w:rPr>
                <w:sz w:val="16"/>
              </w:rPr>
              <w:t>America</w:t>
            </w:r>
            <w:r>
              <w:rPr>
                <w:spacing w:val="-3"/>
                <w:sz w:val="16"/>
              </w:rPr>
              <w:t> </w:t>
            </w:r>
            <w:r>
              <w:rPr>
                <w:sz w:val="16"/>
              </w:rPr>
              <w:t>and</w:t>
            </w:r>
            <w:r>
              <w:rPr>
                <w:spacing w:val="-3"/>
                <w:sz w:val="16"/>
              </w:rPr>
              <w:t> </w:t>
            </w:r>
            <w:r>
              <w:rPr>
                <w:sz w:val="16"/>
              </w:rPr>
              <w:t>the</w:t>
            </w:r>
            <w:r>
              <w:rPr>
                <w:spacing w:val="-3"/>
                <w:sz w:val="16"/>
              </w:rPr>
              <w:t> </w:t>
            </w:r>
            <w:r>
              <w:rPr>
                <w:spacing w:val="-2"/>
                <w:sz w:val="16"/>
              </w:rPr>
              <w:t>Caribbean</w:t>
            </w:r>
          </w:p>
        </w:tc>
        <w:tc>
          <w:tcPr>
            <w:tcW w:w="1417" w:type="dxa"/>
            <w:tcBorders>
              <w:top w:val="single" w:sz="8" w:space="0" w:color="000000"/>
            </w:tcBorders>
          </w:tcPr>
          <w:p>
            <w:pPr>
              <w:pStyle w:val="TableParagraph"/>
              <w:tabs>
                <w:tab w:pos="874" w:val="left" w:leader="none"/>
              </w:tabs>
              <w:spacing w:before="16"/>
              <w:ind w:right="87"/>
              <w:jc w:val="right"/>
              <w:rPr>
                <w:sz w:val="16"/>
              </w:rPr>
            </w:pPr>
            <w:r>
              <w:rPr>
                <w:spacing w:val="-10"/>
                <w:sz w:val="16"/>
              </w:rPr>
              <w:t>$</w:t>
            </w:r>
            <w:r>
              <w:rPr>
                <w:sz w:val="16"/>
              </w:rPr>
              <w:tab/>
            </w:r>
            <w:r>
              <w:rPr>
                <w:spacing w:val="-2"/>
                <w:sz w:val="16"/>
              </w:rPr>
              <w:t>3,484</w:t>
            </w:r>
          </w:p>
        </w:tc>
        <w:tc>
          <w:tcPr>
            <w:tcW w:w="1465" w:type="dxa"/>
            <w:tcBorders>
              <w:top w:val="single" w:sz="8" w:space="0" w:color="000000"/>
            </w:tcBorders>
          </w:tcPr>
          <w:p>
            <w:pPr>
              <w:pStyle w:val="TableParagraph"/>
              <w:tabs>
                <w:tab w:pos="785" w:val="left" w:leader="none"/>
              </w:tabs>
              <w:spacing w:before="16"/>
              <w:ind w:right="97"/>
              <w:jc w:val="right"/>
              <w:rPr>
                <w:sz w:val="16"/>
              </w:rPr>
            </w:pPr>
            <w:r>
              <w:rPr>
                <w:spacing w:val="-10"/>
                <w:sz w:val="16"/>
              </w:rPr>
              <w:t>$</w:t>
            </w:r>
            <w:r>
              <w:rPr>
                <w:sz w:val="16"/>
              </w:rPr>
              <w:tab/>
            </w:r>
            <w:r>
              <w:rPr>
                <w:spacing w:val="-2"/>
                <w:sz w:val="16"/>
              </w:rPr>
              <w:t>78,233</w:t>
            </w:r>
          </w:p>
        </w:tc>
        <w:tc>
          <w:tcPr>
            <w:tcW w:w="1445" w:type="dxa"/>
            <w:tcBorders>
              <w:top w:val="single" w:sz="8" w:space="0" w:color="000000"/>
            </w:tcBorders>
          </w:tcPr>
          <w:p>
            <w:pPr>
              <w:pStyle w:val="TableParagraph"/>
              <w:tabs>
                <w:tab w:pos="874" w:val="left" w:leader="none"/>
              </w:tabs>
              <w:spacing w:before="16"/>
              <w:ind w:right="87"/>
              <w:jc w:val="right"/>
              <w:rPr>
                <w:sz w:val="16"/>
              </w:rPr>
            </w:pPr>
            <w:r>
              <w:rPr>
                <w:spacing w:val="-10"/>
                <w:sz w:val="16"/>
              </w:rPr>
              <w:t>$</w:t>
            </w:r>
            <w:r>
              <w:rPr>
                <w:sz w:val="16"/>
              </w:rPr>
              <w:tab/>
            </w:r>
            <w:r>
              <w:rPr>
                <w:spacing w:val="-2"/>
                <w:sz w:val="16"/>
              </w:rPr>
              <w:t>1,287</w:t>
            </w:r>
          </w:p>
        </w:tc>
        <w:tc>
          <w:tcPr>
            <w:tcW w:w="1433" w:type="dxa"/>
            <w:tcBorders>
              <w:top w:val="single" w:sz="8" w:space="0" w:color="000000"/>
            </w:tcBorders>
          </w:tcPr>
          <w:p>
            <w:pPr>
              <w:pStyle w:val="TableParagraph"/>
              <w:tabs>
                <w:tab w:pos="785" w:val="left" w:leader="none"/>
              </w:tabs>
              <w:spacing w:before="16"/>
              <w:ind w:right="65"/>
              <w:jc w:val="right"/>
              <w:rPr>
                <w:sz w:val="16"/>
              </w:rPr>
            </w:pPr>
            <w:r>
              <w:rPr>
                <w:spacing w:val="-10"/>
                <w:sz w:val="16"/>
              </w:rPr>
              <w:t>$</w:t>
            </w:r>
            <w:r>
              <w:rPr>
                <w:sz w:val="16"/>
              </w:rPr>
              <w:tab/>
            </w:r>
            <w:r>
              <w:rPr>
                <w:spacing w:val="-2"/>
                <w:sz w:val="16"/>
              </w:rPr>
              <w:t>72,417</w:t>
            </w:r>
          </w:p>
        </w:tc>
      </w:tr>
      <w:tr>
        <w:trPr>
          <w:trHeight w:val="240" w:hRule="atLeast"/>
        </w:trPr>
        <w:tc>
          <w:tcPr>
            <w:tcW w:w="3600" w:type="dxa"/>
          </w:tcPr>
          <w:p>
            <w:pPr>
              <w:pStyle w:val="TableParagraph"/>
              <w:spacing w:before="25"/>
              <w:ind w:left="52"/>
              <w:rPr>
                <w:sz w:val="16"/>
              </w:rPr>
            </w:pPr>
            <w:r>
              <w:rPr>
                <w:sz w:val="16"/>
              </w:rPr>
              <w:t>East</w:t>
            </w:r>
            <w:r>
              <w:rPr>
                <w:spacing w:val="-11"/>
                <w:sz w:val="16"/>
              </w:rPr>
              <w:t> </w:t>
            </w:r>
            <w:r>
              <w:rPr>
                <w:sz w:val="16"/>
              </w:rPr>
              <w:t>Asia</w:t>
            </w:r>
            <w:r>
              <w:rPr>
                <w:spacing w:val="-2"/>
                <w:sz w:val="16"/>
              </w:rPr>
              <w:t> </w:t>
            </w:r>
            <w:r>
              <w:rPr>
                <w:sz w:val="16"/>
              </w:rPr>
              <w:t>and</w:t>
            </w:r>
            <w:r>
              <w:rPr>
                <w:spacing w:val="-2"/>
                <w:sz w:val="16"/>
              </w:rPr>
              <w:t> Pacific</w:t>
            </w:r>
          </w:p>
        </w:tc>
        <w:tc>
          <w:tcPr>
            <w:tcW w:w="1417" w:type="dxa"/>
          </w:tcPr>
          <w:p>
            <w:pPr>
              <w:pStyle w:val="TableParagraph"/>
              <w:spacing w:before="25"/>
              <w:ind w:right="87"/>
              <w:jc w:val="right"/>
              <w:rPr>
                <w:sz w:val="16"/>
              </w:rPr>
            </w:pPr>
            <w:r>
              <w:rPr>
                <w:spacing w:val="-2"/>
                <w:sz w:val="16"/>
              </w:rPr>
              <w:t>2,315</w:t>
            </w:r>
          </w:p>
        </w:tc>
        <w:tc>
          <w:tcPr>
            <w:tcW w:w="1465" w:type="dxa"/>
          </w:tcPr>
          <w:p>
            <w:pPr>
              <w:pStyle w:val="TableParagraph"/>
              <w:spacing w:before="25"/>
              <w:ind w:right="97"/>
              <w:jc w:val="right"/>
              <w:rPr>
                <w:sz w:val="16"/>
              </w:rPr>
            </w:pPr>
            <w:r>
              <w:rPr>
                <w:spacing w:val="-2"/>
                <w:sz w:val="16"/>
              </w:rPr>
              <w:t>50,140</w:t>
            </w:r>
          </w:p>
        </w:tc>
        <w:tc>
          <w:tcPr>
            <w:tcW w:w="1445" w:type="dxa"/>
          </w:tcPr>
          <w:p>
            <w:pPr>
              <w:pStyle w:val="TableParagraph"/>
              <w:spacing w:before="25"/>
              <w:ind w:right="88"/>
              <w:jc w:val="right"/>
              <w:rPr>
                <w:sz w:val="16"/>
              </w:rPr>
            </w:pPr>
            <w:r>
              <w:rPr>
                <w:spacing w:val="-5"/>
                <w:sz w:val="16"/>
              </w:rPr>
              <w:t>638</w:t>
            </w:r>
          </w:p>
        </w:tc>
        <w:tc>
          <w:tcPr>
            <w:tcW w:w="1433" w:type="dxa"/>
          </w:tcPr>
          <w:p>
            <w:pPr>
              <w:pStyle w:val="TableParagraph"/>
              <w:spacing w:before="25"/>
              <w:ind w:right="65"/>
              <w:jc w:val="right"/>
              <w:rPr>
                <w:sz w:val="16"/>
              </w:rPr>
            </w:pPr>
            <w:r>
              <w:rPr>
                <w:spacing w:val="-2"/>
                <w:sz w:val="16"/>
              </w:rPr>
              <w:t>48,826</w:t>
            </w:r>
          </w:p>
        </w:tc>
      </w:tr>
      <w:tr>
        <w:trPr>
          <w:trHeight w:val="240" w:hRule="atLeast"/>
        </w:trPr>
        <w:tc>
          <w:tcPr>
            <w:tcW w:w="3600" w:type="dxa"/>
          </w:tcPr>
          <w:p>
            <w:pPr>
              <w:pStyle w:val="TableParagraph"/>
              <w:spacing w:before="25"/>
              <w:ind w:left="52"/>
              <w:rPr>
                <w:sz w:val="16"/>
              </w:rPr>
            </w:pPr>
            <w:r>
              <w:rPr>
                <w:sz w:val="16"/>
              </w:rPr>
              <w:t>Europe</w:t>
            </w:r>
            <w:r>
              <w:rPr>
                <w:spacing w:val="-7"/>
                <w:sz w:val="16"/>
              </w:rPr>
              <w:t> </w:t>
            </w:r>
            <w:r>
              <w:rPr>
                <w:sz w:val="16"/>
              </w:rPr>
              <w:t>and</w:t>
            </w:r>
            <w:r>
              <w:rPr>
                <w:spacing w:val="-4"/>
                <w:sz w:val="16"/>
              </w:rPr>
              <w:t> </w:t>
            </w:r>
            <w:r>
              <w:rPr>
                <w:sz w:val="16"/>
              </w:rPr>
              <w:t>Central</w:t>
            </w:r>
            <w:r>
              <w:rPr>
                <w:spacing w:val="-11"/>
                <w:sz w:val="16"/>
              </w:rPr>
              <w:t> </w:t>
            </w:r>
            <w:r>
              <w:rPr>
                <w:spacing w:val="-4"/>
                <w:sz w:val="16"/>
              </w:rPr>
              <w:t>Asia</w:t>
            </w:r>
          </w:p>
        </w:tc>
        <w:tc>
          <w:tcPr>
            <w:tcW w:w="1417" w:type="dxa"/>
          </w:tcPr>
          <w:p>
            <w:pPr>
              <w:pStyle w:val="TableParagraph"/>
              <w:spacing w:before="25"/>
              <w:ind w:right="87"/>
              <w:jc w:val="right"/>
              <w:rPr>
                <w:sz w:val="16"/>
              </w:rPr>
            </w:pPr>
            <w:r>
              <w:rPr>
                <w:spacing w:val="-2"/>
                <w:sz w:val="16"/>
              </w:rPr>
              <w:t>1,605</w:t>
            </w:r>
          </w:p>
        </w:tc>
        <w:tc>
          <w:tcPr>
            <w:tcW w:w="1465" w:type="dxa"/>
          </w:tcPr>
          <w:p>
            <w:pPr>
              <w:pStyle w:val="TableParagraph"/>
              <w:spacing w:before="25"/>
              <w:ind w:right="97"/>
              <w:jc w:val="right"/>
              <w:rPr>
                <w:sz w:val="16"/>
              </w:rPr>
            </w:pPr>
            <w:r>
              <w:rPr>
                <w:spacing w:val="-2"/>
                <w:sz w:val="16"/>
              </w:rPr>
              <w:t>48,029</w:t>
            </w:r>
          </w:p>
        </w:tc>
        <w:tc>
          <w:tcPr>
            <w:tcW w:w="1445" w:type="dxa"/>
          </w:tcPr>
          <w:p>
            <w:pPr>
              <w:pStyle w:val="TableParagraph"/>
              <w:spacing w:before="25"/>
              <w:ind w:right="88"/>
              <w:jc w:val="right"/>
              <w:rPr>
                <w:sz w:val="16"/>
              </w:rPr>
            </w:pPr>
            <w:r>
              <w:rPr>
                <w:spacing w:val="-5"/>
                <w:sz w:val="16"/>
              </w:rPr>
              <w:t>463</w:t>
            </w:r>
          </w:p>
        </w:tc>
        <w:tc>
          <w:tcPr>
            <w:tcW w:w="1433" w:type="dxa"/>
          </w:tcPr>
          <w:p>
            <w:pPr>
              <w:pStyle w:val="TableParagraph"/>
              <w:spacing w:before="25"/>
              <w:ind w:right="65"/>
              <w:jc w:val="right"/>
              <w:rPr>
                <w:sz w:val="16"/>
              </w:rPr>
            </w:pPr>
            <w:r>
              <w:rPr>
                <w:spacing w:val="-2"/>
                <w:sz w:val="16"/>
              </w:rPr>
              <w:t>46,033</w:t>
            </w:r>
          </w:p>
        </w:tc>
      </w:tr>
      <w:tr>
        <w:trPr>
          <w:trHeight w:val="240" w:hRule="atLeast"/>
        </w:trPr>
        <w:tc>
          <w:tcPr>
            <w:tcW w:w="3600" w:type="dxa"/>
          </w:tcPr>
          <w:p>
            <w:pPr>
              <w:pStyle w:val="TableParagraph"/>
              <w:spacing w:before="25"/>
              <w:ind w:left="52"/>
              <w:rPr>
                <w:sz w:val="16"/>
              </w:rPr>
            </w:pPr>
            <w:r>
              <w:rPr>
                <w:sz w:val="16"/>
              </w:rPr>
              <w:t>Middle</w:t>
            </w:r>
            <w:r>
              <w:rPr>
                <w:spacing w:val="-4"/>
                <w:sz w:val="16"/>
              </w:rPr>
              <w:t> </w:t>
            </w:r>
            <w:r>
              <w:rPr>
                <w:sz w:val="16"/>
              </w:rPr>
              <w:t>East</w:t>
            </w:r>
            <w:r>
              <w:rPr>
                <w:spacing w:val="-2"/>
                <w:sz w:val="16"/>
              </w:rPr>
              <w:t> </w:t>
            </w:r>
            <w:r>
              <w:rPr>
                <w:sz w:val="16"/>
              </w:rPr>
              <w:t>and</w:t>
            </w:r>
            <w:r>
              <w:rPr>
                <w:spacing w:val="-4"/>
                <w:sz w:val="16"/>
              </w:rPr>
              <w:t> </w:t>
            </w:r>
            <w:r>
              <w:rPr>
                <w:sz w:val="16"/>
              </w:rPr>
              <w:t>North</w:t>
            </w:r>
            <w:r>
              <w:rPr>
                <w:spacing w:val="-10"/>
                <w:sz w:val="16"/>
              </w:rPr>
              <w:t> </w:t>
            </w:r>
            <w:r>
              <w:rPr>
                <w:spacing w:val="-2"/>
                <w:sz w:val="16"/>
              </w:rPr>
              <w:t>Africa</w:t>
            </w:r>
          </w:p>
        </w:tc>
        <w:tc>
          <w:tcPr>
            <w:tcW w:w="1417" w:type="dxa"/>
          </w:tcPr>
          <w:p>
            <w:pPr>
              <w:pStyle w:val="TableParagraph"/>
              <w:spacing w:before="25"/>
              <w:ind w:right="87"/>
              <w:jc w:val="right"/>
              <w:rPr>
                <w:sz w:val="16"/>
              </w:rPr>
            </w:pPr>
            <w:r>
              <w:rPr>
                <w:spacing w:val="-2"/>
                <w:sz w:val="16"/>
              </w:rPr>
              <w:t>1,313</w:t>
            </w:r>
          </w:p>
        </w:tc>
        <w:tc>
          <w:tcPr>
            <w:tcW w:w="1465" w:type="dxa"/>
          </w:tcPr>
          <w:p>
            <w:pPr>
              <w:pStyle w:val="TableParagraph"/>
              <w:spacing w:before="25"/>
              <w:ind w:right="97"/>
              <w:jc w:val="right"/>
              <w:rPr>
                <w:sz w:val="16"/>
              </w:rPr>
            </w:pPr>
            <w:r>
              <w:rPr>
                <w:spacing w:val="-2"/>
                <w:sz w:val="16"/>
              </w:rPr>
              <w:t>33,733</w:t>
            </w:r>
          </w:p>
        </w:tc>
        <w:tc>
          <w:tcPr>
            <w:tcW w:w="1445" w:type="dxa"/>
          </w:tcPr>
          <w:p>
            <w:pPr>
              <w:pStyle w:val="TableParagraph"/>
              <w:spacing w:before="25"/>
              <w:ind w:right="88"/>
              <w:jc w:val="right"/>
              <w:rPr>
                <w:sz w:val="16"/>
              </w:rPr>
            </w:pPr>
            <w:r>
              <w:rPr>
                <w:spacing w:val="-5"/>
                <w:sz w:val="16"/>
              </w:rPr>
              <w:t>443</w:t>
            </w:r>
          </w:p>
        </w:tc>
        <w:tc>
          <w:tcPr>
            <w:tcW w:w="1433" w:type="dxa"/>
          </w:tcPr>
          <w:p>
            <w:pPr>
              <w:pStyle w:val="TableParagraph"/>
              <w:spacing w:before="25"/>
              <w:ind w:right="65"/>
              <w:jc w:val="right"/>
              <w:rPr>
                <w:sz w:val="16"/>
              </w:rPr>
            </w:pPr>
            <w:r>
              <w:rPr>
                <w:spacing w:val="-2"/>
                <w:sz w:val="16"/>
              </w:rPr>
              <w:t>31,675</w:t>
            </w:r>
          </w:p>
        </w:tc>
      </w:tr>
      <w:tr>
        <w:trPr>
          <w:trHeight w:val="240" w:hRule="atLeast"/>
        </w:trPr>
        <w:tc>
          <w:tcPr>
            <w:tcW w:w="3600" w:type="dxa"/>
          </w:tcPr>
          <w:p>
            <w:pPr>
              <w:pStyle w:val="TableParagraph"/>
              <w:spacing w:before="25"/>
              <w:ind w:left="52"/>
              <w:rPr>
                <w:sz w:val="16"/>
              </w:rPr>
            </w:pPr>
            <w:r>
              <w:rPr>
                <w:sz w:val="16"/>
              </w:rPr>
              <w:t>South</w:t>
            </w:r>
            <w:r>
              <w:rPr>
                <w:spacing w:val="-13"/>
                <w:sz w:val="16"/>
              </w:rPr>
              <w:t> </w:t>
            </w:r>
            <w:r>
              <w:rPr>
                <w:spacing w:val="-4"/>
                <w:sz w:val="16"/>
              </w:rPr>
              <w:t>Asia</w:t>
            </w:r>
          </w:p>
        </w:tc>
        <w:tc>
          <w:tcPr>
            <w:tcW w:w="1417" w:type="dxa"/>
          </w:tcPr>
          <w:p>
            <w:pPr>
              <w:pStyle w:val="TableParagraph"/>
              <w:spacing w:before="25"/>
              <w:ind w:right="87"/>
              <w:jc w:val="right"/>
              <w:rPr>
                <w:sz w:val="16"/>
              </w:rPr>
            </w:pPr>
            <w:r>
              <w:rPr>
                <w:spacing w:val="-2"/>
                <w:sz w:val="16"/>
              </w:rPr>
              <w:t>1,136</w:t>
            </w:r>
          </w:p>
        </w:tc>
        <w:tc>
          <w:tcPr>
            <w:tcW w:w="1465" w:type="dxa"/>
          </w:tcPr>
          <w:p>
            <w:pPr>
              <w:pStyle w:val="TableParagraph"/>
              <w:spacing w:before="25"/>
              <w:ind w:right="97"/>
              <w:jc w:val="right"/>
              <w:rPr>
                <w:sz w:val="16"/>
              </w:rPr>
            </w:pPr>
            <w:r>
              <w:rPr>
                <w:spacing w:val="-2"/>
                <w:sz w:val="16"/>
              </w:rPr>
              <w:t>23,862</w:t>
            </w:r>
          </w:p>
        </w:tc>
        <w:tc>
          <w:tcPr>
            <w:tcW w:w="1445" w:type="dxa"/>
          </w:tcPr>
          <w:p>
            <w:pPr>
              <w:pStyle w:val="TableParagraph"/>
              <w:spacing w:before="25"/>
              <w:ind w:right="88"/>
              <w:jc w:val="right"/>
              <w:rPr>
                <w:sz w:val="16"/>
              </w:rPr>
            </w:pPr>
            <w:r>
              <w:rPr>
                <w:spacing w:val="-5"/>
                <w:sz w:val="16"/>
              </w:rPr>
              <w:t>257</w:t>
            </w:r>
          </w:p>
        </w:tc>
        <w:tc>
          <w:tcPr>
            <w:tcW w:w="1433" w:type="dxa"/>
          </w:tcPr>
          <w:p>
            <w:pPr>
              <w:pStyle w:val="TableParagraph"/>
              <w:spacing w:before="25"/>
              <w:ind w:right="65"/>
              <w:jc w:val="right"/>
              <w:rPr>
                <w:sz w:val="16"/>
              </w:rPr>
            </w:pPr>
            <w:r>
              <w:rPr>
                <w:spacing w:val="-2"/>
                <w:sz w:val="16"/>
              </w:rPr>
              <w:t>22,008</w:t>
            </w:r>
          </w:p>
        </w:tc>
      </w:tr>
      <w:tr>
        <w:trPr>
          <w:trHeight w:val="240" w:hRule="atLeast"/>
        </w:trPr>
        <w:tc>
          <w:tcPr>
            <w:tcW w:w="3600" w:type="dxa"/>
          </w:tcPr>
          <w:p>
            <w:pPr>
              <w:pStyle w:val="TableParagraph"/>
              <w:spacing w:before="25"/>
              <w:ind w:left="52"/>
              <w:rPr>
                <w:sz w:val="16"/>
              </w:rPr>
            </w:pPr>
            <w:r>
              <w:rPr>
                <w:sz w:val="16"/>
              </w:rPr>
              <w:t>Eastern</w:t>
            </w:r>
            <w:r>
              <w:rPr>
                <w:spacing w:val="-5"/>
                <w:sz w:val="16"/>
              </w:rPr>
              <w:t> </w:t>
            </w:r>
            <w:r>
              <w:rPr>
                <w:sz w:val="16"/>
              </w:rPr>
              <w:t>and</w:t>
            </w:r>
            <w:r>
              <w:rPr>
                <w:spacing w:val="-3"/>
                <w:sz w:val="16"/>
              </w:rPr>
              <w:t> </w:t>
            </w:r>
            <w:r>
              <w:rPr>
                <w:sz w:val="16"/>
              </w:rPr>
              <w:t>Southern</w:t>
            </w:r>
            <w:r>
              <w:rPr>
                <w:spacing w:val="-11"/>
                <w:sz w:val="16"/>
              </w:rPr>
              <w:t> </w:t>
            </w:r>
            <w:r>
              <w:rPr>
                <w:spacing w:val="-2"/>
                <w:sz w:val="16"/>
              </w:rPr>
              <w:t>Africa</w:t>
            </w:r>
          </w:p>
        </w:tc>
        <w:tc>
          <w:tcPr>
            <w:tcW w:w="1417" w:type="dxa"/>
          </w:tcPr>
          <w:p>
            <w:pPr>
              <w:pStyle w:val="TableParagraph"/>
              <w:spacing w:before="25"/>
              <w:ind w:right="88"/>
              <w:jc w:val="right"/>
              <w:rPr>
                <w:sz w:val="16"/>
              </w:rPr>
            </w:pPr>
            <w:r>
              <w:rPr>
                <w:spacing w:val="-5"/>
                <w:sz w:val="16"/>
              </w:rPr>
              <w:t>373</w:t>
            </w:r>
          </w:p>
        </w:tc>
        <w:tc>
          <w:tcPr>
            <w:tcW w:w="1465" w:type="dxa"/>
          </w:tcPr>
          <w:p>
            <w:pPr>
              <w:pStyle w:val="TableParagraph"/>
              <w:spacing w:before="25"/>
              <w:ind w:right="97"/>
              <w:jc w:val="right"/>
              <w:rPr>
                <w:sz w:val="16"/>
              </w:rPr>
            </w:pPr>
            <w:r>
              <w:rPr>
                <w:spacing w:val="-2"/>
                <w:sz w:val="16"/>
              </w:rPr>
              <w:t>8,001</w:t>
            </w:r>
          </w:p>
        </w:tc>
        <w:tc>
          <w:tcPr>
            <w:tcW w:w="1445" w:type="dxa"/>
          </w:tcPr>
          <w:p>
            <w:pPr>
              <w:pStyle w:val="TableParagraph"/>
              <w:spacing w:before="25"/>
              <w:ind w:right="88"/>
              <w:jc w:val="right"/>
              <w:rPr>
                <w:sz w:val="16"/>
              </w:rPr>
            </w:pPr>
            <w:r>
              <w:rPr>
                <w:spacing w:val="-5"/>
                <w:sz w:val="16"/>
              </w:rPr>
              <w:t>244</w:t>
            </w:r>
          </w:p>
        </w:tc>
        <w:tc>
          <w:tcPr>
            <w:tcW w:w="1433" w:type="dxa"/>
          </w:tcPr>
          <w:p>
            <w:pPr>
              <w:pStyle w:val="TableParagraph"/>
              <w:spacing w:before="25"/>
              <w:ind w:right="65"/>
              <w:jc w:val="right"/>
              <w:rPr>
                <w:sz w:val="16"/>
              </w:rPr>
            </w:pPr>
            <w:r>
              <w:rPr>
                <w:spacing w:val="-2"/>
                <w:sz w:val="16"/>
              </w:rPr>
              <w:t>6,667</w:t>
            </w:r>
          </w:p>
        </w:tc>
      </w:tr>
      <w:tr>
        <w:trPr>
          <w:trHeight w:val="229" w:hRule="atLeast"/>
        </w:trPr>
        <w:tc>
          <w:tcPr>
            <w:tcW w:w="3600" w:type="dxa"/>
          </w:tcPr>
          <w:p>
            <w:pPr>
              <w:pStyle w:val="TableParagraph"/>
              <w:spacing w:line="184" w:lineRule="exact" w:before="25"/>
              <w:ind w:left="52"/>
              <w:rPr>
                <w:sz w:val="16"/>
              </w:rPr>
            </w:pPr>
            <w:r>
              <w:rPr>
                <w:sz w:val="16"/>
              </w:rPr>
              <w:t>Western</w:t>
            </w:r>
            <w:r>
              <w:rPr>
                <w:spacing w:val="-6"/>
                <w:sz w:val="16"/>
              </w:rPr>
              <w:t> </w:t>
            </w:r>
            <w:r>
              <w:rPr>
                <w:sz w:val="16"/>
              </w:rPr>
              <w:t>and</w:t>
            </w:r>
            <w:r>
              <w:rPr>
                <w:spacing w:val="-5"/>
                <w:sz w:val="16"/>
              </w:rPr>
              <w:t> </w:t>
            </w:r>
            <w:r>
              <w:rPr>
                <w:sz w:val="16"/>
              </w:rPr>
              <w:t>Central</w:t>
            </w:r>
            <w:r>
              <w:rPr>
                <w:spacing w:val="-11"/>
                <w:sz w:val="16"/>
              </w:rPr>
              <w:t> </w:t>
            </w:r>
            <w:r>
              <w:rPr>
                <w:spacing w:val="-2"/>
                <w:sz w:val="16"/>
              </w:rPr>
              <w:t>Africa</w:t>
            </w:r>
          </w:p>
        </w:tc>
        <w:tc>
          <w:tcPr>
            <w:tcW w:w="1417" w:type="dxa"/>
            <w:tcBorders>
              <w:bottom w:val="single" w:sz="8" w:space="0" w:color="000000"/>
            </w:tcBorders>
          </w:tcPr>
          <w:p>
            <w:pPr>
              <w:pStyle w:val="TableParagraph"/>
              <w:spacing w:line="184" w:lineRule="exact" w:before="25"/>
              <w:ind w:right="88"/>
              <w:jc w:val="right"/>
              <w:rPr>
                <w:sz w:val="16"/>
              </w:rPr>
            </w:pPr>
            <w:r>
              <w:rPr>
                <w:spacing w:val="-5"/>
                <w:sz w:val="16"/>
              </w:rPr>
              <w:t>53</w:t>
            </w:r>
          </w:p>
        </w:tc>
        <w:tc>
          <w:tcPr>
            <w:tcW w:w="1465" w:type="dxa"/>
            <w:tcBorders>
              <w:bottom w:val="single" w:sz="8" w:space="0" w:color="000000"/>
            </w:tcBorders>
          </w:tcPr>
          <w:p>
            <w:pPr>
              <w:pStyle w:val="TableParagraph"/>
              <w:spacing w:line="184" w:lineRule="exact" w:before="25"/>
              <w:ind w:right="97"/>
              <w:jc w:val="right"/>
              <w:rPr>
                <w:sz w:val="16"/>
              </w:rPr>
            </w:pPr>
            <w:r>
              <w:rPr>
                <w:spacing w:val="-2"/>
                <w:sz w:val="16"/>
              </w:rPr>
              <w:t>1,898</w:t>
            </w:r>
          </w:p>
        </w:tc>
        <w:tc>
          <w:tcPr>
            <w:tcW w:w="1445" w:type="dxa"/>
            <w:tcBorders>
              <w:bottom w:val="single" w:sz="8" w:space="0" w:color="000000"/>
            </w:tcBorders>
          </w:tcPr>
          <w:p>
            <w:pPr>
              <w:pStyle w:val="TableParagraph"/>
              <w:spacing w:line="184" w:lineRule="exact" w:before="25"/>
              <w:ind w:right="88"/>
              <w:jc w:val="right"/>
              <w:rPr>
                <w:sz w:val="16"/>
              </w:rPr>
            </w:pPr>
            <w:r>
              <w:rPr>
                <w:spacing w:val="-5"/>
                <w:sz w:val="16"/>
              </w:rPr>
              <w:t>33</w:t>
            </w:r>
          </w:p>
        </w:tc>
        <w:tc>
          <w:tcPr>
            <w:tcW w:w="1433" w:type="dxa"/>
            <w:tcBorders>
              <w:bottom w:val="single" w:sz="8" w:space="0" w:color="000000"/>
            </w:tcBorders>
          </w:tcPr>
          <w:p>
            <w:pPr>
              <w:pStyle w:val="TableParagraph"/>
              <w:spacing w:line="184" w:lineRule="exact" w:before="25"/>
              <w:ind w:right="65"/>
              <w:jc w:val="right"/>
              <w:rPr>
                <w:sz w:val="16"/>
              </w:rPr>
            </w:pPr>
            <w:r>
              <w:rPr>
                <w:spacing w:val="-2"/>
                <w:sz w:val="16"/>
              </w:rPr>
              <w:t>1,718</w:t>
            </w:r>
          </w:p>
        </w:tc>
      </w:tr>
      <w:tr>
        <w:trPr>
          <w:trHeight w:val="200" w:hRule="atLeast"/>
        </w:trPr>
        <w:tc>
          <w:tcPr>
            <w:tcW w:w="3600" w:type="dxa"/>
          </w:tcPr>
          <w:p>
            <w:pPr>
              <w:pStyle w:val="TableParagraph"/>
              <w:spacing w:line="164" w:lineRule="exact" w:before="16"/>
              <w:ind w:left="52"/>
              <w:rPr>
                <w:sz w:val="16"/>
              </w:rPr>
            </w:pPr>
            <w:r>
              <w:rPr>
                <w:spacing w:val="-2"/>
                <w:sz w:val="16"/>
              </w:rPr>
              <w:t>Total</w:t>
            </w:r>
          </w:p>
        </w:tc>
        <w:tc>
          <w:tcPr>
            <w:tcW w:w="1417" w:type="dxa"/>
            <w:tcBorders>
              <w:top w:val="single" w:sz="8" w:space="0" w:color="000000"/>
              <w:bottom w:val="double" w:sz="8" w:space="0" w:color="000000"/>
            </w:tcBorders>
          </w:tcPr>
          <w:p>
            <w:pPr>
              <w:pStyle w:val="TableParagraph"/>
              <w:tabs>
                <w:tab w:pos="785" w:val="left" w:leader="none"/>
              </w:tabs>
              <w:spacing w:line="164" w:lineRule="exact" w:before="16"/>
              <w:ind w:right="87"/>
              <w:jc w:val="right"/>
              <w:rPr>
                <w:sz w:val="16"/>
              </w:rPr>
            </w:pPr>
            <w:r>
              <w:rPr>
                <w:spacing w:val="-10"/>
                <w:sz w:val="16"/>
              </w:rPr>
              <w:t>$</w:t>
            </w:r>
            <w:r>
              <w:rPr>
                <w:sz w:val="16"/>
              </w:rPr>
              <w:tab/>
            </w:r>
            <w:r>
              <w:rPr>
                <w:spacing w:val="-2"/>
                <w:sz w:val="16"/>
              </w:rPr>
              <w:t>10,279</w:t>
            </w:r>
          </w:p>
        </w:tc>
        <w:tc>
          <w:tcPr>
            <w:tcW w:w="1465" w:type="dxa"/>
            <w:tcBorders>
              <w:top w:val="single" w:sz="8" w:space="0" w:color="000000"/>
              <w:bottom w:val="double" w:sz="8" w:space="0" w:color="000000"/>
            </w:tcBorders>
          </w:tcPr>
          <w:p>
            <w:pPr>
              <w:pStyle w:val="TableParagraph"/>
              <w:tabs>
                <w:tab w:pos="696" w:val="left" w:leader="none"/>
              </w:tabs>
              <w:spacing w:line="164" w:lineRule="exact" w:before="16"/>
              <w:ind w:right="97"/>
              <w:jc w:val="right"/>
              <w:rPr>
                <w:sz w:val="16"/>
              </w:rPr>
            </w:pPr>
            <w:r>
              <w:rPr>
                <w:spacing w:val="-10"/>
                <w:sz w:val="16"/>
              </w:rPr>
              <w:t>$</w:t>
            </w:r>
            <w:r>
              <w:rPr>
                <w:sz w:val="16"/>
              </w:rPr>
              <w:tab/>
            </w:r>
            <w:r>
              <w:rPr>
                <w:spacing w:val="-2"/>
                <w:sz w:val="16"/>
              </w:rPr>
              <w:t>243,896</w:t>
            </w:r>
          </w:p>
        </w:tc>
        <w:tc>
          <w:tcPr>
            <w:tcW w:w="1445" w:type="dxa"/>
            <w:tcBorders>
              <w:top w:val="single" w:sz="8" w:space="0" w:color="000000"/>
              <w:bottom w:val="double" w:sz="8" w:space="0" w:color="000000"/>
            </w:tcBorders>
          </w:tcPr>
          <w:p>
            <w:pPr>
              <w:pStyle w:val="TableParagraph"/>
              <w:tabs>
                <w:tab w:pos="874" w:val="left" w:leader="none"/>
              </w:tabs>
              <w:spacing w:line="164" w:lineRule="exact" w:before="16"/>
              <w:ind w:right="87"/>
              <w:jc w:val="right"/>
              <w:rPr>
                <w:sz w:val="16"/>
              </w:rPr>
            </w:pPr>
            <w:r>
              <w:rPr>
                <w:spacing w:val="-10"/>
                <w:sz w:val="16"/>
              </w:rPr>
              <w:t>$</w:t>
            </w:r>
            <w:r>
              <w:rPr>
                <w:sz w:val="16"/>
              </w:rPr>
              <w:tab/>
            </w:r>
            <w:r>
              <w:rPr>
                <w:spacing w:val="-2"/>
                <w:sz w:val="16"/>
              </w:rPr>
              <w:t>3,365</w:t>
            </w:r>
          </w:p>
        </w:tc>
        <w:tc>
          <w:tcPr>
            <w:tcW w:w="1433" w:type="dxa"/>
            <w:tcBorders>
              <w:top w:val="single" w:sz="8" w:space="0" w:color="000000"/>
              <w:bottom w:val="double" w:sz="8" w:space="0" w:color="000000"/>
            </w:tcBorders>
          </w:tcPr>
          <w:p>
            <w:pPr>
              <w:pStyle w:val="TableParagraph"/>
              <w:tabs>
                <w:tab w:pos="696" w:val="left" w:leader="none"/>
              </w:tabs>
              <w:spacing w:line="164" w:lineRule="exact" w:before="16"/>
              <w:ind w:right="65"/>
              <w:jc w:val="right"/>
              <w:rPr>
                <w:sz w:val="16"/>
              </w:rPr>
            </w:pPr>
            <w:r>
              <w:rPr>
                <w:spacing w:val="-10"/>
                <w:sz w:val="16"/>
              </w:rPr>
              <w:t>$</w:t>
            </w:r>
            <w:r>
              <w:rPr>
                <w:sz w:val="16"/>
              </w:rPr>
              <w:tab/>
            </w:r>
            <w:r>
              <w:rPr>
                <w:spacing w:val="-2"/>
                <w:sz w:val="16"/>
              </w:rPr>
              <w:t>229,344</w:t>
            </w:r>
          </w:p>
        </w:tc>
      </w:tr>
    </w:tbl>
    <w:p>
      <w:pPr>
        <w:pStyle w:val="BodyText"/>
        <w:spacing w:before="4"/>
        <w:rPr>
          <w:rFonts w:ascii="Arial"/>
          <w:i/>
          <w:sz w:val="15"/>
        </w:rPr>
      </w:pPr>
      <w:r>
        <w:rPr>
          <w:rFonts w:ascii="Arial"/>
          <w:i/>
          <w:sz w:val="15"/>
        </w:rPr>
        <mc:AlternateContent>
          <mc:Choice Requires="wps">
            <w:drawing>
              <wp:anchor distT="0" distB="0" distL="0" distR="0" allowOverlap="1" layoutInCell="1" locked="0" behindDoc="1" simplePos="0" relativeHeight="487715328">
                <wp:simplePos x="0" y="0"/>
                <wp:positionH relativeFrom="page">
                  <wp:posOffset>914400</wp:posOffset>
                </wp:positionH>
                <wp:positionV relativeFrom="paragraph">
                  <wp:posOffset>127635</wp:posOffset>
                </wp:positionV>
                <wp:extent cx="5943600" cy="127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050pt;width:468pt;height:.1pt;mso-position-horizontal-relative:page;mso-position-vertical-relative:paragraph;z-index:-15601152;mso-wrap-distance-left:0;mso-wrap-distance-right:0" id="docshape697" coordorigin="1440,201" coordsize="9360,0" path="m1440,201l10800,201e" filled="false" stroked="true" strokeweight="1pt" strokecolor="#000000">
                <v:path arrowok="t"/>
                <v:stroke dashstyle="solid"/>
                <w10:wrap type="topAndBottom"/>
              </v:shape>
            </w:pict>
          </mc:Fallback>
        </mc:AlternateContent>
      </w:r>
    </w:p>
    <w:p>
      <w:pPr>
        <w:pStyle w:val="ListParagraph"/>
        <w:numPr>
          <w:ilvl w:val="0"/>
          <w:numId w:val="36"/>
        </w:numPr>
        <w:tabs>
          <w:tab w:pos="948" w:val="left" w:leader="none"/>
          <w:tab w:pos="952" w:val="left" w:leader="none"/>
        </w:tabs>
        <w:spacing w:line="249" w:lineRule="auto" w:before="18" w:after="0"/>
        <w:ind w:left="952" w:right="807" w:hanging="180"/>
        <w:jc w:val="left"/>
        <w:rPr>
          <w:rFonts w:ascii="Arial" w:hAnsi="Arial"/>
          <w:i/>
          <w:sz w:val="16"/>
        </w:rPr>
      </w:pPr>
      <w:r>
        <w:rPr>
          <w:rFonts w:ascii="Arial" w:hAnsi="Arial"/>
          <w:i/>
          <w:sz w:val="16"/>
        </w:rPr>
        <w:t>Does</w:t>
      </w:r>
      <w:r>
        <w:rPr>
          <w:rFonts w:ascii="Arial" w:hAnsi="Arial"/>
          <w:i/>
          <w:spacing w:val="-3"/>
          <w:sz w:val="16"/>
        </w:rPr>
        <w:t> </w:t>
      </w:r>
      <w:r>
        <w:rPr>
          <w:rFonts w:ascii="Arial" w:hAnsi="Arial"/>
          <w:i/>
          <w:sz w:val="16"/>
        </w:rPr>
        <w:t>not</w:t>
      </w:r>
      <w:r>
        <w:rPr>
          <w:rFonts w:ascii="Arial" w:hAnsi="Arial"/>
          <w:i/>
          <w:spacing w:val="-3"/>
          <w:sz w:val="16"/>
        </w:rPr>
        <w:t> </w:t>
      </w:r>
      <w:r>
        <w:rPr>
          <w:rFonts w:ascii="Arial" w:hAnsi="Arial"/>
          <w:i/>
          <w:sz w:val="16"/>
        </w:rPr>
        <w:t>include</w:t>
      </w:r>
      <w:r>
        <w:rPr>
          <w:rFonts w:ascii="Arial" w:hAnsi="Arial"/>
          <w:i/>
          <w:spacing w:val="-4"/>
          <w:sz w:val="16"/>
        </w:rPr>
        <w:t> </w:t>
      </w:r>
      <w:r>
        <w:rPr>
          <w:rFonts w:ascii="Arial" w:hAnsi="Arial"/>
          <w:i/>
          <w:sz w:val="16"/>
        </w:rPr>
        <w:t>interest</w:t>
      </w:r>
      <w:r>
        <w:rPr>
          <w:rFonts w:ascii="Arial" w:hAnsi="Arial"/>
          <w:i/>
          <w:spacing w:val="-3"/>
          <w:sz w:val="16"/>
        </w:rPr>
        <w:t> </w:t>
      </w:r>
      <w:r>
        <w:rPr>
          <w:rFonts w:ascii="Arial" w:hAnsi="Arial"/>
          <w:i/>
          <w:sz w:val="16"/>
        </w:rPr>
        <w:t>expenses,</w:t>
      </w:r>
      <w:r>
        <w:rPr>
          <w:rFonts w:ascii="Arial" w:hAnsi="Arial"/>
          <w:i/>
          <w:spacing w:val="-3"/>
          <w:sz w:val="16"/>
        </w:rPr>
        <w:t> </w:t>
      </w:r>
      <w:r>
        <w:rPr>
          <w:rFonts w:ascii="Arial" w:hAnsi="Arial"/>
          <w:i/>
          <w:sz w:val="16"/>
        </w:rPr>
        <w:t>net</w:t>
      </w:r>
      <w:r>
        <w:rPr>
          <w:rFonts w:ascii="Arial" w:hAnsi="Arial"/>
          <w:i/>
          <w:spacing w:val="-3"/>
          <w:sz w:val="16"/>
        </w:rPr>
        <w:t> </w:t>
      </w:r>
      <w:r>
        <w:rPr>
          <w:rFonts w:ascii="Arial" w:hAnsi="Arial"/>
          <w:i/>
          <w:sz w:val="16"/>
        </w:rPr>
        <w:t>from</w:t>
      </w:r>
      <w:r>
        <w:rPr>
          <w:rFonts w:ascii="Arial" w:hAnsi="Arial"/>
          <w:i/>
          <w:spacing w:val="-3"/>
          <w:sz w:val="16"/>
        </w:rPr>
        <w:t> </w:t>
      </w:r>
      <w:r>
        <w:rPr>
          <w:rFonts w:ascii="Arial" w:hAnsi="Arial"/>
          <w:i/>
          <w:sz w:val="16"/>
        </w:rPr>
        <w:t>loan</w:t>
      </w:r>
      <w:r>
        <w:rPr>
          <w:rFonts w:ascii="Arial" w:hAnsi="Arial"/>
          <w:i/>
          <w:spacing w:val="-4"/>
          <w:sz w:val="16"/>
        </w:rPr>
        <w:t> </w:t>
      </w:r>
      <w:r>
        <w:rPr>
          <w:rFonts w:ascii="Arial" w:hAnsi="Arial"/>
          <w:i/>
          <w:sz w:val="16"/>
        </w:rPr>
        <w:t>related</w:t>
      </w:r>
      <w:r>
        <w:rPr>
          <w:rFonts w:ascii="Arial" w:hAnsi="Arial"/>
          <w:i/>
          <w:spacing w:val="-4"/>
          <w:sz w:val="16"/>
        </w:rPr>
        <w:t> </w:t>
      </w:r>
      <w:r>
        <w:rPr>
          <w:rFonts w:ascii="Arial" w:hAnsi="Arial"/>
          <w:i/>
          <w:sz w:val="16"/>
        </w:rPr>
        <w:t>derivatives.</w:t>
      </w:r>
      <w:r>
        <w:rPr>
          <w:rFonts w:ascii="Arial" w:hAnsi="Arial"/>
          <w:i/>
          <w:spacing w:val="-3"/>
          <w:sz w:val="16"/>
        </w:rPr>
        <w:t> </w:t>
      </w:r>
      <w:r>
        <w:rPr>
          <w:rFonts w:ascii="Arial" w:hAnsi="Arial"/>
          <w:i/>
          <w:sz w:val="16"/>
        </w:rPr>
        <w:t>Includes</w:t>
      </w:r>
      <w:r>
        <w:rPr>
          <w:rFonts w:ascii="Arial" w:hAnsi="Arial"/>
          <w:i/>
          <w:spacing w:val="-3"/>
          <w:sz w:val="16"/>
        </w:rPr>
        <w:t> </w:t>
      </w:r>
      <w:r>
        <w:rPr>
          <w:rFonts w:ascii="Arial" w:hAnsi="Arial"/>
          <w:i/>
          <w:sz w:val="16"/>
        </w:rPr>
        <w:t>commitment</w:t>
      </w:r>
      <w:r>
        <w:rPr>
          <w:rFonts w:ascii="Arial" w:hAnsi="Arial"/>
          <w:i/>
          <w:spacing w:val="-3"/>
          <w:sz w:val="16"/>
        </w:rPr>
        <w:t> </w:t>
      </w:r>
      <w:r>
        <w:rPr>
          <w:rFonts w:ascii="Arial" w:hAnsi="Arial"/>
          <w:i/>
          <w:sz w:val="16"/>
        </w:rPr>
        <w:t>charges</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$124</w:t>
      </w:r>
      <w:r>
        <w:rPr>
          <w:rFonts w:ascii="Arial" w:hAnsi="Arial"/>
          <w:i/>
          <w:spacing w:val="-4"/>
          <w:sz w:val="16"/>
        </w:rPr>
        <w:t> </w:t>
      </w:r>
      <w:r>
        <w:rPr>
          <w:rFonts w:ascii="Arial" w:hAnsi="Arial"/>
          <w:i/>
          <w:sz w:val="16"/>
        </w:rPr>
        <w:t>million</w:t>
      </w:r>
      <w:r>
        <w:rPr>
          <w:rFonts w:ascii="Arial" w:hAnsi="Arial"/>
          <w:i/>
          <w:spacing w:val="-4"/>
          <w:sz w:val="16"/>
        </w:rPr>
        <w:t> </w:t>
      </w:r>
      <w:r>
        <w:rPr>
          <w:rFonts w:ascii="Arial" w:hAnsi="Arial"/>
          <w:i/>
          <w:sz w:val="16"/>
        </w:rPr>
        <w:t>for</w:t>
      </w:r>
      <w:r>
        <w:rPr>
          <w:rFonts w:ascii="Arial" w:hAnsi="Arial"/>
          <w:i/>
          <w:spacing w:val="-3"/>
          <w:sz w:val="16"/>
        </w:rPr>
        <w:t> </w:t>
      </w:r>
      <w:r>
        <w:rPr>
          <w:rFonts w:ascii="Arial" w:hAnsi="Arial"/>
          <w:i/>
          <w:sz w:val="16"/>
        </w:rPr>
        <w:t>the</w:t>
      </w:r>
      <w:r>
        <w:rPr>
          <w:rFonts w:ascii="Arial" w:hAnsi="Arial"/>
          <w:i/>
          <w:spacing w:val="-4"/>
          <w:sz w:val="16"/>
        </w:rPr>
        <w:t> </w:t>
      </w:r>
      <w:r>
        <w:rPr>
          <w:rFonts w:ascii="Arial" w:hAnsi="Arial"/>
          <w:i/>
          <w:sz w:val="16"/>
        </w:rPr>
        <w:t>fiscal year ended June 30, 2023 ($126 million—June 30, 2022).</w:t>
      </w:r>
    </w:p>
    <w:p>
      <w:pPr>
        <w:pStyle w:val="BodyText"/>
        <w:spacing w:before="12"/>
        <w:rPr>
          <w:rFonts w:ascii="Arial"/>
          <w:i/>
          <w:sz w:val="16"/>
        </w:rPr>
      </w:pPr>
    </w:p>
    <w:p>
      <w:pPr>
        <w:pStyle w:val="BodyText"/>
        <w:spacing w:line="249" w:lineRule="auto"/>
        <w:ind w:left="720" w:right="720"/>
        <w:jc w:val="both"/>
      </w:pPr>
      <w:r>
        <w:rPr/>
        <w:t>For the fiscal year ended June 30, 2023, Interest revenue—Loans, net on the Statements of Income of $10,522 million ($2,368 million—June 30, 2022) includes $367 million of interest revenue, net from loan related derivatives (interest expense, net of $871 million—June 30, 2022).</w:t>
      </w:r>
    </w:p>
    <w:p>
      <w:pPr>
        <w:pStyle w:val="BodyText"/>
        <w:spacing w:before="214"/>
      </w:pPr>
    </w:p>
    <w:p>
      <w:pPr>
        <w:pStyle w:val="Heading3"/>
        <w:jc w:val="left"/>
      </w:pPr>
      <w:bookmarkStart w:name="NOTE E—BORROWINGS" w:id="210"/>
      <w:bookmarkEnd w:id="210"/>
      <w:r>
        <w:rPr>
          <w:b w:val="0"/>
        </w:rPr>
      </w:r>
      <w:r>
        <w:rPr/>
        <w:t>NOTE</w:t>
      </w:r>
      <w:r>
        <w:rPr>
          <w:spacing w:val="-2"/>
        </w:rPr>
        <w:t> </w:t>
      </w:r>
      <w:r>
        <w:rPr/>
        <w:t>E—</w:t>
      </w:r>
      <w:r>
        <w:rPr>
          <w:spacing w:val="-2"/>
        </w:rPr>
        <w:t>BORROWINGS</w:t>
      </w:r>
    </w:p>
    <w:p>
      <w:pPr>
        <w:pStyle w:val="BodyText"/>
        <w:spacing w:line="249" w:lineRule="auto" w:before="129"/>
        <w:ind w:left="720" w:right="720"/>
        <w:jc w:val="both"/>
      </w:pPr>
      <w:r>
        <w:rPr/>
        <w:t>IBRD issues unsubordinated and unsecured fixed and variable rate debt in a variety of currencies. Variable rates are primarily based on exchange rates or market interest rates.</w:t>
      </w:r>
    </w:p>
    <w:p>
      <w:pPr>
        <w:pStyle w:val="BodyText"/>
        <w:spacing w:line="249" w:lineRule="auto" w:before="122"/>
        <w:ind w:left="720" w:right="721"/>
        <w:jc w:val="both"/>
      </w:pPr>
      <w:r>
        <w:rPr/>
        <w:t>Borrowings issued by IBRD are reported at fair value. As of June 30, 2023, 98% of the instruments in the portfolio were classified as Level 2, within the fair value hierarchy. In addition, most of these instruments were denominated in U.S. dollars and euro (62% and 14%, respectively).</w:t>
      </w:r>
    </w:p>
    <w:p>
      <w:pPr>
        <w:pStyle w:val="BodyText"/>
        <w:spacing w:line="249" w:lineRule="auto" w:before="123"/>
        <w:ind w:left="720" w:right="718"/>
        <w:jc w:val="both"/>
      </w:pPr>
      <w:r>
        <w:rPr/>
        <w:t>IBRD uses derivative contracts, reported at fair value, to manage the currency risk as well as the interest rate risk between its loans and borrowings. For details regarding the derivatives used, see Note F—Derivative Instruments. After the effect of these derivatives, the borrowing portfolio carried variable interest rates, with a weighted average cost of 5.05% as of June 30, 2023 (1.04% as of June 30, 2022).</w:t>
      </w:r>
    </w:p>
    <w:p>
      <w:pPr>
        <w:pStyle w:val="BodyText"/>
        <w:spacing w:before="123"/>
        <w:ind w:left="720"/>
      </w:pPr>
      <w:r>
        <w:rPr/>
        <w:t>The</w:t>
      </w:r>
      <w:r>
        <w:rPr>
          <w:spacing w:val="-7"/>
        </w:rPr>
        <w:t> </w:t>
      </w:r>
      <w:r>
        <w:rPr/>
        <w:t>following</w:t>
      </w:r>
      <w:r>
        <w:rPr>
          <w:spacing w:val="-3"/>
        </w:rPr>
        <w:t> </w:t>
      </w:r>
      <w:r>
        <w:rPr/>
        <w:t>table</w:t>
      </w:r>
      <w:r>
        <w:rPr>
          <w:spacing w:val="-4"/>
        </w:rPr>
        <w:t> </w:t>
      </w:r>
      <w:r>
        <w:rPr/>
        <w:t>summarizes</w:t>
      </w:r>
      <w:r>
        <w:rPr>
          <w:spacing w:val="-4"/>
        </w:rPr>
        <w:t> </w:t>
      </w:r>
      <w:r>
        <w:rPr/>
        <w:t>IBRD’s</w:t>
      </w:r>
      <w:r>
        <w:rPr>
          <w:spacing w:val="-5"/>
        </w:rPr>
        <w:t> </w:t>
      </w:r>
      <w:r>
        <w:rPr/>
        <w:t>borrowing</w:t>
      </w:r>
      <w:r>
        <w:rPr>
          <w:spacing w:val="-3"/>
        </w:rPr>
        <w:t> </w:t>
      </w:r>
      <w:r>
        <w:rPr/>
        <w:t>portfolio</w:t>
      </w:r>
      <w:r>
        <w:rPr>
          <w:spacing w:val="-3"/>
        </w:rPr>
        <w:t> </w:t>
      </w:r>
      <w:r>
        <w:rPr/>
        <w:t>after</w:t>
      </w:r>
      <w:r>
        <w:rPr>
          <w:spacing w:val="-3"/>
        </w:rPr>
        <w:t> </w:t>
      </w:r>
      <w:r>
        <w:rPr>
          <w:spacing w:val="-2"/>
        </w:rPr>
        <w:t>derivatives:</w:t>
      </w:r>
    </w:p>
    <w:p>
      <w:pPr>
        <w:pStyle w:val="Heading8"/>
        <w:spacing w:before="127"/>
      </w:pPr>
      <w:r>
        <w:rPr/>
        <w:t>Table</w:t>
      </w:r>
      <w:r>
        <w:rPr>
          <w:spacing w:val="-6"/>
        </w:rPr>
        <w:t> </w:t>
      </w:r>
      <w:r>
        <w:rPr/>
        <w:t>E1:</w:t>
      </w:r>
      <w:r>
        <w:rPr>
          <w:spacing w:val="-4"/>
        </w:rPr>
        <w:t> </w:t>
      </w:r>
      <w:r>
        <w:rPr/>
        <w:t>Borrowings</w:t>
      </w:r>
      <w:r>
        <w:rPr>
          <w:spacing w:val="-5"/>
        </w:rPr>
        <w:t> </w:t>
      </w:r>
      <w:r>
        <w:rPr/>
        <w:t>and</w:t>
      </w:r>
      <w:r>
        <w:rPr>
          <w:spacing w:val="-5"/>
        </w:rPr>
        <w:t> </w:t>
      </w:r>
      <w:r>
        <w:rPr/>
        <w:t>borrowing-related</w:t>
      </w:r>
      <w:r>
        <w:rPr>
          <w:spacing w:val="-5"/>
        </w:rPr>
        <w:t> </w:t>
      </w:r>
      <w:r>
        <w:rPr>
          <w:spacing w:val="-2"/>
        </w:rPr>
        <w:t>derivatives</w:t>
      </w:r>
    </w:p>
    <w:p>
      <w:pPr>
        <w:spacing w:before="88" w:after="29"/>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0"/>
        <w:gridCol w:w="268"/>
        <w:gridCol w:w="1555"/>
        <w:gridCol w:w="306"/>
        <w:gridCol w:w="1533"/>
      </w:tblGrid>
      <w:tr>
        <w:trPr>
          <w:trHeight w:val="219" w:hRule="atLeast"/>
        </w:trPr>
        <w:tc>
          <w:tcPr>
            <w:tcW w:w="5968" w:type="dxa"/>
            <w:gridSpan w:val="2"/>
            <w:tcBorders>
              <w:top w:val="single" w:sz="8" w:space="0" w:color="000000"/>
            </w:tcBorders>
          </w:tcPr>
          <w:p>
            <w:pPr>
              <w:pStyle w:val="TableParagraph"/>
              <w:rPr>
                <w:rFonts w:ascii="Times New Roman"/>
                <w:sz w:val="14"/>
              </w:rPr>
            </w:pPr>
          </w:p>
        </w:tc>
        <w:tc>
          <w:tcPr>
            <w:tcW w:w="1555" w:type="dxa"/>
            <w:tcBorders>
              <w:top w:val="single" w:sz="8" w:space="0" w:color="000000"/>
              <w:bottom w:val="single" w:sz="8" w:space="0" w:color="000000"/>
            </w:tcBorders>
          </w:tcPr>
          <w:p>
            <w:pPr>
              <w:pStyle w:val="TableParagraph"/>
              <w:spacing w:line="183" w:lineRule="exact" w:before="16"/>
              <w:ind w:left="125"/>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306" w:type="dxa"/>
            <w:tcBorders>
              <w:top w:val="single" w:sz="8" w:space="0" w:color="000000"/>
              <w:bottom w:val="single" w:sz="8" w:space="0" w:color="000000"/>
            </w:tcBorders>
          </w:tcPr>
          <w:p>
            <w:pPr>
              <w:pStyle w:val="TableParagraph"/>
              <w:rPr>
                <w:rFonts w:ascii="Times New Roman"/>
                <w:sz w:val="14"/>
              </w:rPr>
            </w:pPr>
          </w:p>
        </w:tc>
        <w:tc>
          <w:tcPr>
            <w:tcW w:w="1533" w:type="dxa"/>
            <w:tcBorders>
              <w:top w:val="single" w:sz="8" w:space="0" w:color="000000"/>
              <w:bottom w:val="single" w:sz="8" w:space="0" w:color="000000"/>
            </w:tcBorders>
          </w:tcPr>
          <w:p>
            <w:pPr>
              <w:pStyle w:val="TableParagraph"/>
              <w:spacing w:line="183" w:lineRule="exact" w:before="16"/>
              <w:ind w:left="124"/>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r>
      <w:tr>
        <w:trPr>
          <w:trHeight w:val="230" w:hRule="atLeast"/>
        </w:trPr>
        <w:tc>
          <w:tcPr>
            <w:tcW w:w="5700" w:type="dxa"/>
          </w:tcPr>
          <w:p>
            <w:pPr>
              <w:pStyle w:val="TableParagraph"/>
              <w:spacing w:before="16"/>
              <w:ind w:left="52"/>
              <w:rPr>
                <w:sz w:val="16"/>
              </w:rPr>
            </w:pPr>
            <w:r>
              <w:rPr>
                <w:sz w:val="16"/>
              </w:rPr>
              <w:t>Borrowings</w:t>
            </w:r>
            <w:r>
              <w:rPr>
                <w:spacing w:val="-7"/>
                <w:sz w:val="16"/>
              </w:rPr>
              <w:t> </w:t>
            </w:r>
            <w:r>
              <w:rPr>
                <w:spacing w:val="-10"/>
                <w:sz w:val="16"/>
                <w:vertAlign w:val="superscript"/>
              </w:rPr>
              <w:t>a</w:t>
            </w:r>
          </w:p>
        </w:tc>
        <w:tc>
          <w:tcPr>
            <w:tcW w:w="268" w:type="dxa"/>
            <w:tcBorders>
              <w:top w:val="single" w:sz="8" w:space="0" w:color="000000"/>
            </w:tcBorders>
          </w:tcPr>
          <w:p>
            <w:pPr>
              <w:pStyle w:val="TableParagraph"/>
              <w:spacing w:before="16"/>
              <w:ind w:right="71"/>
              <w:jc w:val="center"/>
              <w:rPr>
                <w:sz w:val="16"/>
              </w:rPr>
            </w:pPr>
            <w:r>
              <w:rPr>
                <w:spacing w:val="-10"/>
                <w:sz w:val="16"/>
              </w:rPr>
              <w:t>$</w:t>
            </w:r>
          </w:p>
        </w:tc>
        <w:tc>
          <w:tcPr>
            <w:tcW w:w="1555" w:type="dxa"/>
            <w:tcBorders>
              <w:top w:val="single" w:sz="8" w:space="0" w:color="000000"/>
            </w:tcBorders>
          </w:tcPr>
          <w:p>
            <w:pPr>
              <w:pStyle w:val="TableParagraph"/>
              <w:spacing w:before="16"/>
              <w:ind w:right="89"/>
              <w:jc w:val="right"/>
              <w:rPr>
                <w:sz w:val="16"/>
              </w:rPr>
            </w:pPr>
            <w:r>
              <w:rPr>
                <w:spacing w:val="-2"/>
                <w:sz w:val="16"/>
              </w:rPr>
              <w:t>237,265</w:t>
            </w:r>
          </w:p>
        </w:tc>
        <w:tc>
          <w:tcPr>
            <w:tcW w:w="306" w:type="dxa"/>
            <w:tcBorders>
              <w:top w:val="single" w:sz="8" w:space="0" w:color="000000"/>
            </w:tcBorders>
          </w:tcPr>
          <w:p>
            <w:pPr>
              <w:pStyle w:val="TableParagraph"/>
              <w:spacing w:before="16"/>
              <w:ind w:right="35"/>
              <w:jc w:val="center"/>
              <w:rPr>
                <w:sz w:val="16"/>
              </w:rPr>
            </w:pPr>
            <w:r>
              <w:rPr>
                <w:spacing w:val="-10"/>
                <w:sz w:val="16"/>
              </w:rPr>
              <w:t>$</w:t>
            </w:r>
          </w:p>
        </w:tc>
        <w:tc>
          <w:tcPr>
            <w:tcW w:w="1533" w:type="dxa"/>
            <w:tcBorders>
              <w:top w:val="single" w:sz="8" w:space="0" w:color="000000"/>
            </w:tcBorders>
          </w:tcPr>
          <w:p>
            <w:pPr>
              <w:pStyle w:val="TableParagraph"/>
              <w:spacing w:before="16"/>
              <w:ind w:right="68"/>
              <w:jc w:val="right"/>
              <w:rPr>
                <w:sz w:val="16"/>
              </w:rPr>
            </w:pPr>
            <w:r>
              <w:rPr>
                <w:spacing w:val="-2"/>
                <w:sz w:val="16"/>
              </w:rPr>
              <w:t>235,173</w:t>
            </w:r>
          </w:p>
        </w:tc>
      </w:tr>
      <w:tr>
        <w:trPr>
          <w:trHeight w:val="240" w:hRule="atLeast"/>
        </w:trPr>
        <w:tc>
          <w:tcPr>
            <w:tcW w:w="5700" w:type="dxa"/>
          </w:tcPr>
          <w:p>
            <w:pPr>
              <w:pStyle w:val="TableParagraph"/>
              <w:spacing w:before="25"/>
              <w:ind w:left="52"/>
              <w:rPr>
                <w:sz w:val="16"/>
              </w:rPr>
            </w:pPr>
            <w:r>
              <w:rPr>
                <w:sz w:val="16"/>
              </w:rPr>
              <w:t>Currency</w:t>
            </w:r>
            <w:r>
              <w:rPr>
                <w:spacing w:val="-4"/>
                <w:sz w:val="16"/>
              </w:rPr>
              <w:t> </w:t>
            </w:r>
            <w:r>
              <w:rPr>
                <w:sz w:val="16"/>
              </w:rPr>
              <w:t>swaps,</w:t>
            </w:r>
            <w:r>
              <w:rPr>
                <w:spacing w:val="-3"/>
                <w:sz w:val="16"/>
              </w:rPr>
              <w:t> </w:t>
            </w:r>
            <w:r>
              <w:rPr>
                <w:spacing w:val="-5"/>
                <w:sz w:val="16"/>
              </w:rPr>
              <w:t>net</w:t>
            </w:r>
          </w:p>
        </w:tc>
        <w:tc>
          <w:tcPr>
            <w:tcW w:w="268" w:type="dxa"/>
          </w:tcPr>
          <w:p>
            <w:pPr>
              <w:pStyle w:val="TableParagraph"/>
              <w:rPr>
                <w:rFonts w:ascii="Times New Roman"/>
                <w:sz w:val="16"/>
              </w:rPr>
            </w:pPr>
          </w:p>
        </w:tc>
        <w:tc>
          <w:tcPr>
            <w:tcW w:w="1555" w:type="dxa"/>
          </w:tcPr>
          <w:p>
            <w:pPr>
              <w:pStyle w:val="TableParagraph"/>
              <w:spacing w:before="25"/>
              <w:ind w:right="89"/>
              <w:jc w:val="right"/>
              <w:rPr>
                <w:sz w:val="16"/>
              </w:rPr>
            </w:pPr>
            <w:r>
              <w:rPr>
                <w:spacing w:val="-2"/>
                <w:sz w:val="16"/>
              </w:rPr>
              <w:t>8,697</w:t>
            </w:r>
          </w:p>
        </w:tc>
        <w:tc>
          <w:tcPr>
            <w:tcW w:w="306" w:type="dxa"/>
          </w:tcPr>
          <w:p>
            <w:pPr>
              <w:pStyle w:val="TableParagraph"/>
              <w:rPr>
                <w:rFonts w:ascii="Times New Roman"/>
                <w:sz w:val="16"/>
              </w:rPr>
            </w:pPr>
          </w:p>
        </w:tc>
        <w:tc>
          <w:tcPr>
            <w:tcW w:w="1533" w:type="dxa"/>
          </w:tcPr>
          <w:p>
            <w:pPr>
              <w:pStyle w:val="TableParagraph"/>
              <w:spacing w:before="25"/>
              <w:ind w:right="68"/>
              <w:jc w:val="right"/>
              <w:rPr>
                <w:sz w:val="16"/>
              </w:rPr>
            </w:pPr>
            <w:r>
              <w:rPr>
                <w:spacing w:val="-2"/>
                <w:sz w:val="16"/>
              </w:rPr>
              <w:t>8,162</w:t>
            </w:r>
          </w:p>
        </w:tc>
      </w:tr>
      <w:tr>
        <w:trPr>
          <w:trHeight w:val="229" w:hRule="atLeast"/>
        </w:trPr>
        <w:tc>
          <w:tcPr>
            <w:tcW w:w="5700" w:type="dxa"/>
          </w:tcPr>
          <w:p>
            <w:pPr>
              <w:pStyle w:val="TableParagraph"/>
              <w:spacing w:line="184" w:lineRule="exact" w:before="25"/>
              <w:ind w:left="52"/>
              <w:rPr>
                <w:sz w:val="16"/>
              </w:rPr>
            </w:pPr>
            <w:r>
              <w:rPr>
                <w:sz w:val="16"/>
              </w:rPr>
              <w:t>Interest</w:t>
            </w:r>
            <w:r>
              <w:rPr>
                <w:spacing w:val="-5"/>
                <w:sz w:val="16"/>
              </w:rPr>
              <w:t> </w:t>
            </w:r>
            <w:r>
              <w:rPr>
                <w:sz w:val="16"/>
              </w:rPr>
              <w:t>rate</w:t>
            </w:r>
            <w:r>
              <w:rPr>
                <w:spacing w:val="-3"/>
                <w:sz w:val="16"/>
              </w:rPr>
              <w:t> </w:t>
            </w:r>
            <w:r>
              <w:rPr>
                <w:sz w:val="16"/>
              </w:rPr>
              <w:t>swaps,</w:t>
            </w:r>
            <w:r>
              <w:rPr>
                <w:spacing w:val="-2"/>
                <w:sz w:val="16"/>
              </w:rPr>
              <w:t> </w:t>
            </w:r>
            <w:r>
              <w:rPr>
                <w:spacing w:val="-5"/>
                <w:sz w:val="16"/>
              </w:rPr>
              <w:t>net</w:t>
            </w:r>
          </w:p>
        </w:tc>
        <w:tc>
          <w:tcPr>
            <w:tcW w:w="268" w:type="dxa"/>
            <w:tcBorders>
              <w:bottom w:val="single" w:sz="8" w:space="0" w:color="000000"/>
            </w:tcBorders>
          </w:tcPr>
          <w:p>
            <w:pPr>
              <w:pStyle w:val="TableParagraph"/>
              <w:rPr>
                <w:rFonts w:ascii="Times New Roman"/>
                <w:sz w:val="16"/>
              </w:rPr>
            </w:pPr>
          </w:p>
        </w:tc>
        <w:tc>
          <w:tcPr>
            <w:tcW w:w="1555" w:type="dxa"/>
            <w:tcBorders>
              <w:bottom w:val="single" w:sz="8" w:space="0" w:color="000000"/>
            </w:tcBorders>
          </w:tcPr>
          <w:p>
            <w:pPr>
              <w:pStyle w:val="TableParagraph"/>
              <w:spacing w:line="184" w:lineRule="exact" w:before="25"/>
              <w:ind w:right="89"/>
              <w:jc w:val="right"/>
              <w:rPr>
                <w:sz w:val="16"/>
              </w:rPr>
            </w:pPr>
            <w:r>
              <w:rPr>
                <w:spacing w:val="-2"/>
                <w:sz w:val="16"/>
              </w:rPr>
              <w:t>20,866</w:t>
            </w:r>
          </w:p>
        </w:tc>
        <w:tc>
          <w:tcPr>
            <w:tcW w:w="306" w:type="dxa"/>
            <w:tcBorders>
              <w:bottom w:val="single" w:sz="8" w:space="0" w:color="000000"/>
            </w:tcBorders>
          </w:tcPr>
          <w:p>
            <w:pPr>
              <w:pStyle w:val="TableParagraph"/>
              <w:rPr>
                <w:rFonts w:ascii="Times New Roman"/>
                <w:sz w:val="16"/>
              </w:rPr>
            </w:pPr>
          </w:p>
        </w:tc>
        <w:tc>
          <w:tcPr>
            <w:tcW w:w="1533" w:type="dxa"/>
            <w:tcBorders>
              <w:bottom w:val="single" w:sz="8" w:space="0" w:color="000000"/>
            </w:tcBorders>
          </w:tcPr>
          <w:p>
            <w:pPr>
              <w:pStyle w:val="TableParagraph"/>
              <w:spacing w:line="184" w:lineRule="exact" w:before="25"/>
              <w:ind w:right="68"/>
              <w:jc w:val="right"/>
              <w:rPr>
                <w:sz w:val="16"/>
              </w:rPr>
            </w:pPr>
            <w:r>
              <w:rPr>
                <w:spacing w:val="-2"/>
                <w:sz w:val="16"/>
              </w:rPr>
              <w:t>13,574</w:t>
            </w:r>
          </w:p>
        </w:tc>
      </w:tr>
      <w:tr>
        <w:trPr>
          <w:trHeight w:val="200" w:hRule="atLeast"/>
        </w:trPr>
        <w:tc>
          <w:tcPr>
            <w:tcW w:w="5700" w:type="dxa"/>
          </w:tcPr>
          <w:p>
            <w:pPr>
              <w:pStyle w:val="TableParagraph"/>
              <w:rPr>
                <w:rFonts w:ascii="Times New Roman"/>
                <w:sz w:val="12"/>
              </w:rPr>
            </w:pPr>
          </w:p>
        </w:tc>
        <w:tc>
          <w:tcPr>
            <w:tcW w:w="268" w:type="dxa"/>
            <w:tcBorders>
              <w:top w:val="single" w:sz="8" w:space="0" w:color="000000"/>
              <w:bottom w:val="double" w:sz="8" w:space="0" w:color="000000"/>
            </w:tcBorders>
          </w:tcPr>
          <w:p>
            <w:pPr>
              <w:pStyle w:val="TableParagraph"/>
              <w:spacing w:line="164" w:lineRule="exact" w:before="16"/>
              <w:ind w:right="71"/>
              <w:jc w:val="center"/>
              <w:rPr>
                <w:sz w:val="16"/>
              </w:rPr>
            </w:pPr>
            <w:r>
              <w:rPr>
                <w:spacing w:val="-10"/>
                <w:sz w:val="16"/>
              </w:rPr>
              <w:t>$</w:t>
            </w:r>
          </w:p>
        </w:tc>
        <w:tc>
          <w:tcPr>
            <w:tcW w:w="1555" w:type="dxa"/>
            <w:tcBorders>
              <w:top w:val="single" w:sz="8" w:space="0" w:color="000000"/>
              <w:bottom w:val="double" w:sz="8" w:space="0" w:color="000000"/>
            </w:tcBorders>
          </w:tcPr>
          <w:p>
            <w:pPr>
              <w:pStyle w:val="TableParagraph"/>
              <w:spacing w:line="164" w:lineRule="exact" w:before="16"/>
              <w:ind w:right="89"/>
              <w:jc w:val="right"/>
              <w:rPr>
                <w:sz w:val="16"/>
              </w:rPr>
            </w:pPr>
            <w:r>
              <w:rPr>
                <w:spacing w:val="-2"/>
                <w:sz w:val="16"/>
              </w:rPr>
              <w:t>266,828</w:t>
            </w:r>
          </w:p>
        </w:tc>
        <w:tc>
          <w:tcPr>
            <w:tcW w:w="306" w:type="dxa"/>
            <w:tcBorders>
              <w:top w:val="single" w:sz="8" w:space="0" w:color="000000"/>
              <w:bottom w:val="double" w:sz="8" w:space="0" w:color="000000"/>
            </w:tcBorders>
          </w:tcPr>
          <w:p>
            <w:pPr>
              <w:pStyle w:val="TableParagraph"/>
              <w:spacing w:line="164" w:lineRule="exact" w:before="16"/>
              <w:ind w:right="35"/>
              <w:jc w:val="center"/>
              <w:rPr>
                <w:sz w:val="16"/>
              </w:rPr>
            </w:pPr>
            <w:r>
              <w:rPr>
                <w:spacing w:val="-10"/>
                <w:sz w:val="16"/>
              </w:rPr>
              <w:t>$</w:t>
            </w:r>
          </w:p>
        </w:tc>
        <w:tc>
          <w:tcPr>
            <w:tcW w:w="1533" w:type="dxa"/>
            <w:tcBorders>
              <w:top w:val="single" w:sz="8" w:space="0" w:color="000000"/>
              <w:bottom w:val="double" w:sz="8" w:space="0" w:color="000000"/>
            </w:tcBorders>
          </w:tcPr>
          <w:p>
            <w:pPr>
              <w:pStyle w:val="TableParagraph"/>
              <w:spacing w:line="164" w:lineRule="exact" w:before="16"/>
              <w:ind w:right="68"/>
              <w:jc w:val="right"/>
              <w:rPr>
                <w:sz w:val="16"/>
              </w:rPr>
            </w:pPr>
            <w:r>
              <w:rPr>
                <w:spacing w:val="-2"/>
                <w:sz w:val="16"/>
              </w:rPr>
              <w:t>256,909</w:t>
            </w:r>
          </w:p>
        </w:tc>
      </w:tr>
      <w:tr>
        <w:trPr>
          <w:trHeight w:val="200" w:hRule="atLeast"/>
        </w:trPr>
        <w:tc>
          <w:tcPr>
            <w:tcW w:w="5700" w:type="dxa"/>
            <w:tcBorders>
              <w:bottom w:val="single" w:sz="8" w:space="0" w:color="000000"/>
            </w:tcBorders>
          </w:tcPr>
          <w:p>
            <w:pPr>
              <w:pStyle w:val="TableParagraph"/>
              <w:rPr>
                <w:rFonts w:ascii="Times New Roman"/>
                <w:sz w:val="12"/>
              </w:rPr>
            </w:pPr>
          </w:p>
        </w:tc>
        <w:tc>
          <w:tcPr>
            <w:tcW w:w="268" w:type="dxa"/>
            <w:tcBorders>
              <w:top w:val="double" w:sz="8" w:space="0" w:color="000000"/>
              <w:bottom w:val="single" w:sz="8" w:space="0" w:color="000000"/>
            </w:tcBorders>
          </w:tcPr>
          <w:p>
            <w:pPr>
              <w:pStyle w:val="TableParagraph"/>
              <w:rPr>
                <w:rFonts w:ascii="Times New Roman"/>
                <w:sz w:val="12"/>
              </w:rPr>
            </w:pPr>
          </w:p>
        </w:tc>
        <w:tc>
          <w:tcPr>
            <w:tcW w:w="1555" w:type="dxa"/>
            <w:tcBorders>
              <w:top w:val="double" w:sz="8" w:space="0" w:color="000000"/>
              <w:bottom w:val="single" w:sz="8" w:space="0" w:color="000000"/>
            </w:tcBorders>
          </w:tcPr>
          <w:p>
            <w:pPr>
              <w:pStyle w:val="TableParagraph"/>
              <w:rPr>
                <w:rFonts w:ascii="Times New Roman"/>
                <w:sz w:val="12"/>
              </w:rPr>
            </w:pPr>
          </w:p>
        </w:tc>
        <w:tc>
          <w:tcPr>
            <w:tcW w:w="306" w:type="dxa"/>
            <w:tcBorders>
              <w:top w:val="double" w:sz="8" w:space="0" w:color="000000"/>
              <w:bottom w:val="single" w:sz="8" w:space="0" w:color="000000"/>
            </w:tcBorders>
          </w:tcPr>
          <w:p>
            <w:pPr>
              <w:pStyle w:val="TableParagraph"/>
              <w:rPr>
                <w:rFonts w:ascii="Times New Roman"/>
                <w:sz w:val="12"/>
              </w:rPr>
            </w:pPr>
          </w:p>
        </w:tc>
        <w:tc>
          <w:tcPr>
            <w:tcW w:w="1533" w:type="dxa"/>
            <w:tcBorders>
              <w:top w:val="double" w:sz="8" w:space="0" w:color="000000"/>
              <w:bottom w:val="single" w:sz="8" w:space="0" w:color="000000"/>
            </w:tcBorders>
          </w:tcPr>
          <w:p>
            <w:pPr>
              <w:pStyle w:val="TableParagraph"/>
              <w:rPr>
                <w:rFonts w:ascii="Times New Roman"/>
                <w:sz w:val="12"/>
              </w:rPr>
            </w:pPr>
          </w:p>
        </w:tc>
      </w:tr>
    </w:tbl>
    <w:p>
      <w:pPr>
        <w:pStyle w:val="ListParagraph"/>
        <w:numPr>
          <w:ilvl w:val="0"/>
          <w:numId w:val="37"/>
        </w:numPr>
        <w:tabs>
          <w:tab w:pos="948" w:val="left" w:leader="none"/>
        </w:tabs>
        <w:spacing w:line="249" w:lineRule="auto" w:before="11" w:after="0"/>
        <w:ind w:left="772" w:right="981" w:firstLine="0"/>
        <w:jc w:val="left"/>
        <w:rPr>
          <w:rFonts w:ascii="Arial" w:hAnsi="Arial"/>
          <w:i/>
          <w:sz w:val="16"/>
        </w:rPr>
      </w:pPr>
      <w:r>
        <w:rPr>
          <w:rFonts w:ascii="Arial" w:hAnsi="Arial"/>
          <w:i/>
          <w:sz w:val="16"/>
        </w:rPr>
        <w:t>Includes</w:t>
      </w:r>
      <w:r>
        <w:rPr>
          <w:rFonts w:ascii="Arial" w:hAnsi="Arial"/>
          <w:i/>
          <w:spacing w:val="-3"/>
          <w:sz w:val="16"/>
        </w:rPr>
        <w:t> </w:t>
      </w:r>
      <w:r>
        <w:rPr>
          <w:rFonts w:ascii="Arial" w:hAnsi="Arial"/>
          <w:i/>
          <w:sz w:val="16"/>
        </w:rPr>
        <w:t>$19</w:t>
      </w:r>
      <w:r>
        <w:rPr>
          <w:rFonts w:ascii="Arial" w:hAnsi="Arial"/>
          <w:i/>
          <w:spacing w:val="-3"/>
          <w:sz w:val="16"/>
        </w:rPr>
        <w:t> </w:t>
      </w:r>
      <w:r>
        <w:rPr>
          <w:rFonts w:ascii="Arial" w:hAnsi="Arial"/>
          <w:i/>
          <w:sz w:val="16"/>
        </w:rPr>
        <w:t>million</w:t>
      </w:r>
      <w:r>
        <w:rPr>
          <w:rFonts w:ascii="Arial" w:hAnsi="Arial"/>
          <w:i/>
          <w:spacing w:val="-3"/>
          <w:sz w:val="16"/>
        </w:rPr>
        <w:t> </w:t>
      </w:r>
      <w:r>
        <w:rPr>
          <w:rFonts w:ascii="Arial" w:hAnsi="Arial"/>
          <w:i/>
          <w:sz w:val="16"/>
        </w:rPr>
        <w:t>of</w:t>
      </w:r>
      <w:r>
        <w:rPr>
          <w:rFonts w:ascii="Arial" w:hAnsi="Arial"/>
          <w:i/>
          <w:spacing w:val="-3"/>
          <w:sz w:val="16"/>
        </w:rPr>
        <w:t> </w:t>
      </w:r>
      <w:r>
        <w:rPr>
          <w:rFonts w:ascii="Arial" w:hAnsi="Arial"/>
          <w:i/>
          <w:sz w:val="16"/>
        </w:rPr>
        <w:t>unsettled</w:t>
      </w:r>
      <w:r>
        <w:rPr>
          <w:rFonts w:ascii="Arial" w:hAnsi="Arial"/>
          <w:i/>
          <w:spacing w:val="-3"/>
          <w:sz w:val="16"/>
        </w:rPr>
        <w:t> </w:t>
      </w:r>
      <w:r>
        <w:rPr>
          <w:rFonts w:ascii="Arial" w:hAnsi="Arial"/>
          <w:i/>
          <w:sz w:val="16"/>
        </w:rPr>
        <w:t>borrowings,</w:t>
      </w:r>
      <w:r>
        <w:rPr>
          <w:rFonts w:ascii="Arial" w:hAnsi="Arial"/>
          <w:i/>
          <w:spacing w:val="-3"/>
          <w:sz w:val="16"/>
        </w:rPr>
        <w:t> </w:t>
      </w:r>
      <w:r>
        <w:rPr>
          <w:rFonts w:ascii="Arial" w:hAnsi="Arial"/>
          <w:i/>
          <w:sz w:val="16"/>
        </w:rPr>
        <w:t>representing</w:t>
      </w:r>
      <w:r>
        <w:rPr>
          <w:rFonts w:ascii="Arial" w:hAnsi="Arial"/>
          <w:i/>
          <w:spacing w:val="-3"/>
          <w:sz w:val="16"/>
        </w:rPr>
        <w:t> </w:t>
      </w:r>
      <w:r>
        <w:rPr>
          <w:rFonts w:ascii="Arial" w:hAnsi="Arial"/>
          <w:i/>
          <w:sz w:val="16"/>
        </w:rPr>
        <w:t>a</w:t>
      </w:r>
      <w:r>
        <w:rPr>
          <w:rFonts w:ascii="Arial" w:hAnsi="Arial"/>
          <w:i/>
          <w:spacing w:val="-3"/>
          <w:sz w:val="16"/>
        </w:rPr>
        <w:t> </w:t>
      </w:r>
      <w:r>
        <w:rPr>
          <w:rFonts w:ascii="Arial" w:hAnsi="Arial"/>
          <w:i/>
          <w:sz w:val="16"/>
        </w:rPr>
        <w:t>non-cash</w:t>
      </w:r>
      <w:r>
        <w:rPr>
          <w:rFonts w:ascii="Arial" w:hAnsi="Arial"/>
          <w:i/>
          <w:spacing w:val="-3"/>
          <w:sz w:val="16"/>
        </w:rPr>
        <w:t> </w:t>
      </w:r>
      <w:r>
        <w:rPr>
          <w:rFonts w:ascii="Arial" w:hAnsi="Arial"/>
          <w:i/>
          <w:sz w:val="16"/>
        </w:rPr>
        <w:t>financing</w:t>
      </w:r>
      <w:r>
        <w:rPr>
          <w:rFonts w:ascii="Arial" w:hAnsi="Arial"/>
          <w:i/>
          <w:spacing w:val="-3"/>
          <w:sz w:val="16"/>
        </w:rPr>
        <w:t> </w:t>
      </w:r>
      <w:r>
        <w:rPr>
          <w:rFonts w:ascii="Arial" w:hAnsi="Arial"/>
          <w:i/>
          <w:sz w:val="16"/>
        </w:rPr>
        <w:t>activity,</w:t>
      </w:r>
      <w:r>
        <w:rPr>
          <w:rFonts w:ascii="Arial" w:hAnsi="Arial"/>
          <w:i/>
          <w:spacing w:val="-3"/>
          <w:sz w:val="16"/>
        </w:rPr>
        <w:t> </w:t>
      </w:r>
      <w:r>
        <w:rPr>
          <w:rFonts w:ascii="Arial" w:hAnsi="Arial"/>
          <w:i/>
          <w:sz w:val="16"/>
        </w:rPr>
        <w:t>for</w:t>
      </w:r>
      <w:r>
        <w:rPr>
          <w:rFonts w:ascii="Arial" w:hAnsi="Arial"/>
          <w:i/>
          <w:spacing w:val="-3"/>
          <w:sz w:val="16"/>
        </w:rPr>
        <w:t> </w:t>
      </w:r>
      <w:r>
        <w:rPr>
          <w:rFonts w:ascii="Arial" w:hAnsi="Arial"/>
          <w:i/>
          <w:sz w:val="16"/>
        </w:rPr>
        <w:t>which</w:t>
      </w:r>
      <w:r>
        <w:rPr>
          <w:rFonts w:ascii="Arial" w:hAnsi="Arial"/>
          <w:i/>
          <w:spacing w:val="-3"/>
          <w:sz w:val="16"/>
        </w:rPr>
        <w:t> </w:t>
      </w:r>
      <w:r>
        <w:rPr>
          <w:rFonts w:ascii="Arial" w:hAnsi="Arial"/>
          <w:i/>
          <w:sz w:val="16"/>
        </w:rPr>
        <w:t>there</w:t>
      </w:r>
      <w:r>
        <w:rPr>
          <w:rFonts w:ascii="Arial" w:hAnsi="Arial"/>
          <w:i/>
          <w:spacing w:val="-3"/>
          <w:sz w:val="16"/>
        </w:rPr>
        <w:t> </w:t>
      </w:r>
      <w:r>
        <w:rPr>
          <w:rFonts w:ascii="Arial" w:hAnsi="Arial"/>
          <w:i/>
          <w:sz w:val="16"/>
        </w:rPr>
        <w:t>is</w:t>
      </w:r>
      <w:r>
        <w:rPr>
          <w:rFonts w:ascii="Arial" w:hAnsi="Arial"/>
          <w:i/>
          <w:spacing w:val="-3"/>
          <w:sz w:val="16"/>
        </w:rPr>
        <w:t> </w:t>
      </w:r>
      <w:r>
        <w:rPr>
          <w:rFonts w:ascii="Arial" w:hAnsi="Arial"/>
          <w:i/>
          <w:sz w:val="16"/>
        </w:rPr>
        <w:t>a</w:t>
      </w:r>
      <w:r>
        <w:rPr>
          <w:rFonts w:ascii="Arial" w:hAnsi="Arial"/>
          <w:i/>
          <w:spacing w:val="-3"/>
          <w:sz w:val="16"/>
        </w:rPr>
        <w:t> </w:t>
      </w:r>
      <w:r>
        <w:rPr>
          <w:rFonts w:ascii="Arial" w:hAnsi="Arial"/>
          <w:i/>
          <w:sz w:val="16"/>
        </w:rPr>
        <w:t>related</w:t>
      </w:r>
      <w:r>
        <w:rPr>
          <w:rFonts w:ascii="Arial" w:hAnsi="Arial"/>
          <w:i/>
          <w:spacing w:val="-3"/>
          <w:sz w:val="16"/>
        </w:rPr>
        <w:t> </w:t>
      </w:r>
      <w:r>
        <w:rPr>
          <w:rFonts w:ascii="Arial" w:hAnsi="Arial"/>
          <w:i/>
          <w:sz w:val="16"/>
        </w:rPr>
        <w:t>receivable included in Other assets - Miscellaneous on the Balance Sheets</w:t>
      </w:r>
      <w:r>
        <w:rPr>
          <w:rFonts w:ascii="Arial" w:hAnsi="Arial"/>
          <w:i/>
          <w:spacing w:val="40"/>
          <w:sz w:val="16"/>
        </w:rPr>
        <w:t> </w:t>
      </w:r>
      <w:r>
        <w:rPr>
          <w:rFonts w:ascii="Arial" w:hAnsi="Arial"/>
          <w:i/>
          <w:sz w:val="16"/>
        </w:rPr>
        <w:t>as of June 30, 2023 (Nil—June 30, 2022).</w:t>
      </w:r>
    </w:p>
    <w:p>
      <w:pPr>
        <w:pStyle w:val="BodyText"/>
        <w:spacing w:before="11"/>
        <w:rPr>
          <w:rFonts w:ascii="Arial"/>
          <w:i/>
          <w:sz w:val="16"/>
        </w:rPr>
      </w:pPr>
    </w:p>
    <w:p>
      <w:pPr>
        <w:pStyle w:val="BodyText"/>
        <w:spacing w:line="249" w:lineRule="auto"/>
        <w:ind w:left="720" w:right="719"/>
        <w:jc w:val="both"/>
      </w:pPr>
      <w:r>
        <w:rPr/>
        <w:t>For the fiscal year ended June 30, 2023, Borrowing expenses, net in the Statements of Income of $9,562 million ($750 million—June 30, 2022 and $662 million—June 30, 2021) include $4,237 million of interest expense, net related to derivatives associated with the Borrowing portfolio (interest revenue, net of $2,317 million—June 30, 2022 and $3,323 million—June 30, 2021).</w:t>
      </w:r>
    </w:p>
    <w:p>
      <w:pPr>
        <w:pStyle w:val="BodyText"/>
        <w:spacing w:after="0" w:line="249" w:lineRule="auto"/>
        <w:jc w:val="both"/>
        <w:sectPr>
          <w:headerReference w:type="default" r:id="rId168"/>
          <w:pgSz w:w="12240" w:h="15840"/>
          <w:pgMar w:header="0" w:footer="0" w:top="960" w:bottom="720" w:left="720" w:right="720"/>
        </w:sectPr>
      </w:pPr>
    </w:p>
    <w:p>
      <w:pPr>
        <w:pStyle w:val="BodyText"/>
        <w:spacing w:before="72"/>
        <w:ind w:left="720"/>
      </w:pPr>
      <w:r>
        <w:rPr/>
        <w:t>The</w:t>
      </w:r>
      <w:r>
        <w:rPr>
          <w:spacing w:val="-6"/>
        </w:rPr>
        <w:t> </w:t>
      </w:r>
      <w:r>
        <w:rPr/>
        <w:t>following</w:t>
      </w:r>
      <w:r>
        <w:rPr>
          <w:spacing w:val="-3"/>
        </w:rPr>
        <w:t> </w:t>
      </w:r>
      <w:r>
        <w:rPr/>
        <w:t>table</w:t>
      </w:r>
      <w:r>
        <w:rPr>
          <w:spacing w:val="-4"/>
        </w:rPr>
        <w:t> </w:t>
      </w:r>
      <w:r>
        <w:rPr/>
        <w:t>provides</w:t>
      </w:r>
      <w:r>
        <w:rPr>
          <w:spacing w:val="-4"/>
        </w:rPr>
        <w:t> </w:t>
      </w:r>
      <w:r>
        <w:rPr/>
        <w:t>a</w:t>
      </w:r>
      <w:r>
        <w:rPr>
          <w:spacing w:val="-3"/>
        </w:rPr>
        <w:t> </w:t>
      </w:r>
      <w:r>
        <w:rPr/>
        <w:t>summary</w:t>
      </w:r>
      <w:r>
        <w:rPr>
          <w:spacing w:val="-3"/>
        </w:rPr>
        <w:t> </w:t>
      </w:r>
      <w:r>
        <w:rPr/>
        <w:t>of</w:t>
      </w:r>
      <w:r>
        <w:rPr>
          <w:spacing w:val="-3"/>
        </w:rPr>
        <w:t> </w:t>
      </w:r>
      <w:r>
        <w:rPr/>
        <w:t>the</w:t>
      </w:r>
      <w:r>
        <w:rPr>
          <w:spacing w:val="-4"/>
        </w:rPr>
        <w:t> </w:t>
      </w:r>
      <w:r>
        <w:rPr/>
        <w:t>interest</w:t>
      </w:r>
      <w:r>
        <w:rPr>
          <w:spacing w:val="-3"/>
        </w:rPr>
        <w:t> </w:t>
      </w:r>
      <w:r>
        <w:rPr/>
        <w:t>rate</w:t>
      </w:r>
      <w:r>
        <w:rPr>
          <w:spacing w:val="-4"/>
        </w:rPr>
        <w:t> </w:t>
      </w:r>
      <w:r>
        <w:rPr/>
        <w:t>characteristics</w:t>
      </w:r>
      <w:r>
        <w:rPr>
          <w:spacing w:val="-4"/>
        </w:rPr>
        <w:t> </w:t>
      </w:r>
      <w:r>
        <w:rPr/>
        <w:t>of</w:t>
      </w:r>
      <w:r>
        <w:rPr>
          <w:spacing w:val="-3"/>
        </w:rPr>
        <w:t> </w:t>
      </w:r>
      <w:r>
        <w:rPr/>
        <w:t>IBRD’s</w:t>
      </w:r>
      <w:r>
        <w:rPr>
          <w:spacing w:val="-3"/>
        </w:rPr>
        <w:t> </w:t>
      </w:r>
      <w:r>
        <w:rPr>
          <w:spacing w:val="-2"/>
        </w:rPr>
        <w:t>borrowings:</w:t>
      </w:r>
    </w:p>
    <w:p>
      <w:pPr>
        <w:pStyle w:val="Heading8"/>
        <w:spacing w:before="126"/>
      </w:pPr>
      <w:r>
        <w:rPr/>
        <w:t>Table</w:t>
      </w:r>
      <w:r>
        <w:rPr>
          <w:spacing w:val="-4"/>
        </w:rPr>
        <w:t> </w:t>
      </w:r>
      <w:r>
        <w:rPr/>
        <w:t>E2:</w:t>
      </w:r>
      <w:r>
        <w:rPr>
          <w:spacing w:val="-3"/>
        </w:rPr>
        <w:t> </w:t>
      </w:r>
      <w:r>
        <w:rPr/>
        <w:t>Interest</w:t>
      </w:r>
      <w:r>
        <w:rPr>
          <w:spacing w:val="-3"/>
        </w:rPr>
        <w:t> </w:t>
      </w:r>
      <w:r>
        <w:rPr/>
        <w:t>rate</w:t>
      </w:r>
      <w:r>
        <w:rPr>
          <w:spacing w:val="-3"/>
        </w:rPr>
        <w:t> </w:t>
      </w:r>
      <w:r>
        <w:rPr/>
        <w:t>composition</w:t>
      </w:r>
      <w:r>
        <w:rPr>
          <w:spacing w:val="-4"/>
        </w:rPr>
        <w:t> </w:t>
      </w:r>
      <w:r>
        <w:rPr/>
        <w:t>of</w:t>
      </w:r>
      <w:r>
        <w:rPr>
          <w:spacing w:val="-2"/>
        </w:rPr>
        <w:t> Borrowings</w:t>
      </w:r>
    </w:p>
    <w:p>
      <w:pPr>
        <w:spacing w:before="88" w:after="30"/>
        <w:ind w:left="772" w:right="0" w:firstLine="0"/>
        <w:jc w:val="left"/>
        <w:rPr>
          <w:rFonts w:ascii="Arial"/>
          <w:i/>
          <w:sz w:val="16"/>
        </w:rPr>
      </w:pPr>
      <w:r>
        <w:rPr>
          <w:rFonts w:ascii="Arial"/>
          <w:i/>
          <w:sz w:val="16"/>
        </w:rPr>
        <w:t>In</w:t>
      </w:r>
      <w:r>
        <w:rPr>
          <w:rFonts w:ascii="Arial"/>
          <w:i/>
          <w:spacing w:val="-4"/>
          <w:sz w:val="16"/>
        </w:rPr>
        <w:t> </w:t>
      </w:r>
      <w:r>
        <w:rPr>
          <w:rFonts w:ascii="Arial"/>
          <w:i/>
          <w:sz w:val="16"/>
        </w:rPr>
        <w:t>millions</w:t>
      </w:r>
      <w:r>
        <w:rPr>
          <w:rFonts w:ascii="Arial"/>
          <w:i/>
          <w:spacing w:val="-3"/>
          <w:sz w:val="16"/>
        </w:rPr>
        <w:t> </w:t>
      </w:r>
      <w:r>
        <w:rPr>
          <w:rFonts w:ascii="Arial"/>
          <w:i/>
          <w:sz w:val="16"/>
        </w:rPr>
        <w:t>of</w:t>
      </w:r>
      <w:r>
        <w:rPr>
          <w:rFonts w:ascii="Arial"/>
          <w:i/>
          <w:spacing w:val="-3"/>
          <w:sz w:val="16"/>
        </w:rPr>
        <w:t> </w:t>
      </w:r>
      <w:r>
        <w:rPr>
          <w:rFonts w:ascii="Arial"/>
          <w:i/>
          <w:sz w:val="16"/>
        </w:rPr>
        <w:t>U.S.</w:t>
      </w:r>
      <w:r>
        <w:rPr>
          <w:rFonts w:ascii="Arial"/>
          <w:i/>
          <w:spacing w:val="-2"/>
          <w:sz w:val="16"/>
        </w:rPr>
        <w:t> </w:t>
      </w:r>
      <w:r>
        <w:rPr>
          <w:rFonts w:ascii="Arial"/>
          <w:i/>
          <w:sz w:val="16"/>
        </w:rPr>
        <w:t>dollars,</w:t>
      </w:r>
      <w:r>
        <w:rPr>
          <w:rFonts w:ascii="Arial"/>
          <w:i/>
          <w:spacing w:val="-3"/>
          <w:sz w:val="16"/>
        </w:rPr>
        <w:t> </w:t>
      </w:r>
      <w:r>
        <w:rPr>
          <w:rFonts w:ascii="Arial"/>
          <w:i/>
          <w:sz w:val="16"/>
        </w:rPr>
        <w:t>except</w:t>
      </w:r>
      <w:r>
        <w:rPr>
          <w:rFonts w:ascii="Arial"/>
          <w:i/>
          <w:spacing w:val="-3"/>
          <w:sz w:val="16"/>
        </w:rPr>
        <w:t> </w:t>
      </w:r>
      <w:r>
        <w:rPr>
          <w:rFonts w:ascii="Arial"/>
          <w:i/>
          <w:sz w:val="16"/>
        </w:rPr>
        <w:t>as</w:t>
      </w:r>
      <w:r>
        <w:rPr>
          <w:rFonts w:ascii="Arial"/>
          <w:i/>
          <w:spacing w:val="-3"/>
          <w:sz w:val="16"/>
        </w:rPr>
        <w:t> </w:t>
      </w:r>
      <w:r>
        <w:rPr>
          <w:rFonts w:ascii="Arial"/>
          <w:i/>
          <w:sz w:val="16"/>
        </w:rPr>
        <w:t>otherwise</w:t>
      </w:r>
      <w:r>
        <w:rPr>
          <w:rFonts w:ascii="Arial"/>
          <w:i/>
          <w:spacing w:val="-3"/>
          <w:sz w:val="16"/>
        </w:rPr>
        <w:t> </w:t>
      </w:r>
      <w:r>
        <w:rPr>
          <w:rFonts w:ascii="Arial"/>
          <w:i/>
          <w:spacing w:val="-4"/>
          <w:sz w:val="16"/>
        </w:rPr>
        <w:t>noted</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0"/>
        <w:gridCol w:w="1200"/>
        <w:gridCol w:w="1320"/>
        <w:gridCol w:w="1200"/>
        <w:gridCol w:w="1260"/>
      </w:tblGrid>
      <w:tr>
        <w:trPr>
          <w:trHeight w:val="220" w:hRule="atLeast"/>
        </w:trPr>
        <w:tc>
          <w:tcPr>
            <w:tcW w:w="4380" w:type="dxa"/>
            <w:tcBorders>
              <w:top w:val="single" w:sz="8" w:space="0" w:color="000000"/>
            </w:tcBorders>
          </w:tcPr>
          <w:p>
            <w:pPr>
              <w:pStyle w:val="TableParagraph"/>
              <w:rPr>
                <w:rFonts w:ascii="Times New Roman"/>
                <w:sz w:val="14"/>
              </w:rPr>
            </w:pPr>
          </w:p>
        </w:tc>
        <w:tc>
          <w:tcPr>
            <w:tcW w:w="1200" w:type="dxa"/>
            <w:tcBorders>
              <w:top w:val="single" w:sz="8" w:space="0" w:color="000000"/>
              <w:bottom w:val="single" w:sz="8" w:space="0" w:color="000000"/>
            </w:tcBorders>
          </w:tcPr>
          <w:p>
            <w:pPr>
              <w:pStyle w:val="TableParagraph"/>
              <w:spacing w:line="183" w:lineRule="exact" w:before="16"/>
              <w:ind w:left="9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1320" w:type="dxa"/>
            <w:tcBorders>
              <w:top w:val="single" w:sz="8" w:space="0" w:color="000000"/>
              <w:bottom w:val="single" w:sz="8" w:space="0" w:color="000000"/>
            </w:tcBorders>
          </w:tcPr>
          <w:p>
            <w:pPr>
              <w:pStyle w:val="TableParagraph"/>
              <w:spacing w:line="183" w:lineRule="exact" w:before="16"/>
              <w:ind w:left="37" w:right="37"/>
              <w:jc w:val="center"/>
              <w:rPr>
                <w:rFonts w:ascii="Arial"/>
                <w:i/>
                <w:sz w:val="16"/>
              </w:rPr>
            </w:pPr>
            <w:r>
              <w:rPr>
                <w:rFonts w:ascii="Arial"/>
                <w:i/>
                <w:sz w:val="16"/>
              </w:rPr>
              <w:t>WAC</w:t>
            </w:r>
            <w:r>
              <w:rPr>
                <w:rFonts w:ascii="Arial"/>
                <w:i/>
                <w:spacing w:val="1"/>
                <w:sz w:val="16"/>
              </w:rPr>
              <w:t> </w:t>
            </w:r>
            <w:r>
              <w:rPr>
                <w:rFonts w:ascii="Arial"/>
                <w:i/>
                <w:sz w:val="16"/>
                <w:vertAlign w:val="superscript"/>
              </w:rPr>
              <w:t>a</w:t>
            </w:r>
            <w:r>
              <w:rPr>
                <w:rFonts w:ascii="Arial"/>
                <w:i/>
                <w:spacing w:val="1"/>
                <w:sz w:val="16"/>
                <w:vertAlign w:val="baseline"/>
              </w:rPr>
              <w:t> </w:t>
            </w:r>
            <w:r>
              <w:rPr>
                <w:rFonts w:ascii="Arial"/>
                <w:i/>
                <w:spacing w:val="-5"/>
                <w:sz w:val="16"/>
                <w:vertAlign w:val="baseline"/>
              </w:rPr>
              <w:t>(%)</w:t>
            </w:r>
          </w:p>
        </w:tc>
        <w:tc>
          <w:tcPr>
            <w:tcW w:w="1200" w:type="dxa"/>
            <w:tcBorders>
              <w:top w:val="single" w:sz="8" w:space="0" w:color="000000"/>
              <w:bottom w:val="single" w:sz="8" w:space="0" w:color="000000"/>
            </w:tcBorders>
          </w:tcPr>
          <w:p>
            <w:pPr>
              <w:pStyle w:val="TableParagraph"/>
              <w:spacing w:line="183" w:lineRule="exact" w:before="16"/>
              <w:ind w:left="9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1260" w:type="dxa"/>
            <w:tcBorders>
              <w:top w:val="single" w:sz="8" w:space="0" w:color="000000"/>
              <w:bottom w:val="single" w:sz="8" w:space="0" w:color="000000"/>
            </w:tcBorders>
          </w:tcPr>
          <w:p>
            <w:pPr>
              <w:pStyle w:val="TableParagraph"/>
              <w:spacing w:line="183" w:lineRule="exact" w:before="16"/>
              <w:ind w:left="97" w:right="37"/>
              <w:jc w:val="center"/>
              <w:rPr>
                <w:rFonts w:ascii="Arial"/>
                <w:i/>
                <w:sz w:val="16"/>
              </w:rPr>
            </w:pPr>
            <w:r>
              <w:rPr>
                <w:rFonts w:ascii="Arial"/>
                <w:i/>
                <w:sz w:val="16"/>
              </w:rPr>
              <w:t>WAC</w:t>
            </w:r>
            <w:r>
              <w:rPr>
                <w:rFonts w:ascii="Arial"/>
                <w:i/>
                <w:spacing w:val="1"/>
                <w:sz w:val="16"/>
              </w:rPr>
              <w:t> </w:t>
            </w:r>
            <w:r>
              <w:rPr>
                <w:rFonts w:ascii="Arial"/>
                <w:i/>
                <w:sz w:val="16"/>
                <w:vertAlign w:val="superscript"/>
              </w:rPr>
              <w:t>a</w:t>
            </w:r>
            <w:r>
              <w:rPr>
                <w:rFonts w:ascii="Arial"/>
                <w:i/>
                <w:spacing w:val="1"/>
                <w:sz w:val="16"/>
                <w:vertAlign w:val="baseline"/>
              </w:rPr>
              <w:t> </w:t>
            </w:r>
            <w:r>
              <w:rPr>
                <w:rFonts w:ascii="Arial"/>
                <w:i/>
                <w:spacing w:val="-5"/>
                <w:sz w:val="16"/>
                <w:vertAlign w:val="baseline"/>
              </w:rPr>
              <w:t>(%)</w:t>
            </w:r>
          </w:p>
        </w:tc>
      </w:tr>
      <w:tr>
        <w:trPr>
          <w:trHeight w:val="230" w:hRule="atLeast"/>
        </w:trPr>
        <w:tc>
          <w:tcPr>
            <w:tcW w:w="4380" w:type="dxa"/>
          </w:tcPr>
          <w:p>
            <w:pPr>
              <w:pStyle w:val="TableParagraph"/>
              <w:spacing w:before="16"/>
              <w:ind w:left="52"/>
              <w:rPr>
                <w:sz w:val="16"/>
              </w:rPr>
            </w:pPr>
            <w:r>
              <w:rPr>
                <w:spacing w:val="-2"/>
                <w:sz w:val="16"/>
              </w:rPr>
              <w:t>Fixed</w:t>
            </w:r>
          </w:p>
        </w:tc>
        <w:tc>
          <w:tcPr>
            <w:tcW w:w="1200" w:type="dxa"/>
            <w:tcBorders>
              <w:top w:val="single" w:sz="8" w:space="0" w:color="000000"/>
            </w:tcBorders>
          </w:tcPr>
          <w:p>
            <w:pPr>
              <w:pStyle w:val="TableParagraph"/>
              <w:tabs>
                <w:tab w:pos="554" w:val="left" w:leader="none"/>
              </w:tabs>
              <w:spacing w:before="16"/>
              <w:ind w:left="52"/>
              <w:rPr>
                <w:sz w:val="16"/>
              </w:rPr>
            </w:pPr>
            <w:r>
              <w:rPr>
                <w:spacing w:val="-10"/>
                <w:sz w:val="16"/>
              </w:rPr>
              <w:t>$</w:t>
            </w:r>
            <w:r>
              <w:rPr>
                <w:sz w:val="16"/>
              </w:rPr>
              <w:tab/>
            </w:r>
            <w:r>
              <w:rPr>
                <w:spacing w:val="-2"/>
                <w:sz w:val="16"/>
              </w:rPr>
              <w:t>232,316</w:t>
            </w:r>
          </w:p>
        </w:tc>
        <w:tc>
          <w:tcPr>
            <w:tcW w:w="1320" w:type="dxa"/>
            <w:tcBorders>
              <w:top w:val="single" w:sz="8" w:space="0" w:color="000000"/>
            </w:tcBorders>
          </w:tcPr>
          <w:p>
            <w:pPr>
              <w:pStyle w:val="TableParagraph"/>
              <w:spacing w:before="16"/>
              <w:ind w:left="37" w:right="37"/>
              <w:jc w:val="center"/>
              <w:rPr>
                <w:sz w:val="16"/>
              </w:rPr>
            </w:pPr>
            <w:r>
              <w:rPr>
                <w:spacing w:val="-4"/>
                <w:sz w:val="16"/>
              </w:rPr>
              <w:t>1.93</w:t>
            </w:r>
          </w:p>
        </w:tc>
        <w:tc>
          <w:tcPr>
            <w:tcW w:w="1200" w:type="dxa"/>
            <w:tcBorders>
              <w:top w:val="single" w:sz="8" w:space="0" w:color="000000"/>
            </w:tcBorders>
          </w:tcPr>
          <w:p>
            <w:pPr>
              <w:pStyle w:val="TableParagraph"/>
              <w:tabs>
                <w:tab w:pos="554" w:val="left" w:leader="none"/>
              </w:tabs>
              <w:spacing w:before="16"/>
              <w:ind w:left="52"/>
              <w:rPr>
                <w:sz w:val="16"/>
              </w:rPr>
            </w:pPr>
            <w:r>
              <w:rPr>
                <w:spacing w:val="-10"/>
                <w:sz w:val="16"/>
              </w:rPr>
              <w:t>$</w:t>
            </w:r>
            <w:r>
              <w:rPr>
                <w:sz w:val="16"/>
              </w:rPr>
              <w:tab/>
            </w:r>
            <w:r>
              <w:rPr>
                <w:spacing w:val="-2"/>
                <w:sz w:val="16"/>
              </w:rPr>
              <w:t>222,748</w:t>
            </w:r>
          </w:p>
        </w:tc>
        <w:tc>
          <w:tcPr>
            <w:tcW w:w="1260" w:type="dxa"/>
            <w:tcBorders>
              <w:top w:val="single" w:sz="8" w:space="0" w:color="000000"/>
            </w:tcBorders>
          </w:tcPr>
          <w:p>
            <w:pPr>
              <w:pStyle w:val="TableParagraph"/>
              <w:spacing w:before="16"/>
              <w:ind w:left="97" w:right="37"/>
              <w:jc w:val="center"/>
              <w:rPr>
                <w:sz w:val="16"/>
              </w:rPr>
            </w:pPr>
            <w:r>
              <w:rPr>
                <w:spacing w:val="-4"/>
                <w:sz w:val="16"/>
              </w:rPr>
              <w:t>1.53</w:t>
            </w:r>
          </w:p>
        </w:tc>
      </w:tr>
      <w:tr>
        <w:trPr>
          <w:trHeight w:val="229" w:hRule="atLeast"/>
        </w:trPr>
        <w:tc>
          <w:tcPr>
            <w:tcW w:w="4380" w:type="dxa"/>
          </w:tcPr>
          <w:p>
            <w:pPr>
              <w:pStyle w:val="TableParagraph"/>
              <w:spacing w:line="184" w:lineRule="exact" w:before="25"/>
              <w:ind w:left="52"/>
              <w:rPr>
                <w:sz w:val="16"/>
              </w:rPr>
            </w:pPr>
            <w:r>
              <w:rPr>
                <w:spacing w:val="-2"/>
                <w:sz w:val="16"/>
              </w:rPr>
              <w:t>Variable</w:t>
            </w:r>
          </w:p>
        </w:tc>
        <w:tc>
          <w:tcPr>
            <w:tcW w:w="1200" w:type="dxa"/>
            <w:tcBorders>
              <w:bottom w:val="single" w:sz="8" w:space="0" w:color="000000"/>
            </w:tcBorders>
          </w:tcPr>
          <w:p>
            <w:pPr>
              <w:pStyle w:val="TableParagraph"/>
              <w:spacing w:line="184" w:lineRule="exact" w:before="25"/>
              <w:ind w:right="66"/>
              <w:jc w:val="right"/>
              <w:rPr>
                <w:sz w:val="16"/>
              </w:rPr>
            </w:pPr>
            <w:r>
              <w:rPr>
                <w:spacing w:val="-2"/>
                <w:sz w:val="16"/>
              </w:rPr>
              <w:t>29,969</w:t>
            </w:r>
          </w:p>
        </w:tc>
        <w:tc>
          <w:tcPr>
            <w:tcW w:w="1320" w:type="dxa"/>
            <w:tcBorders>
              <w:bottom w:val="single" w:sz="8" w:space="0" w:color="000000"/>
            </w:tcBorders>
          </w:tcPr>
          <w:p>
            <w:pPr>
              <w:pStyle w:val="TableParagraph"/>
              <w:spacing w:line="184" w:lineRule="exact" w:before="25"/>
              <w:ind w:left="37" w:right="37"/>
              <w:jc w:val="center"/>
              <w:rPr>
                <w:sz w:val="16"/>
              </w:rPr>
            </w:pPr>
            <w:r>
              <w:rPr>
                <w:spacing w:val="-4"/>
                <w:sz w:val="16"/>
              </w:rPr>
              <w:t>9.29</w:t>
            </w:r>
          </w:p>
        </w:tc>
        <w:tc>
          <w:tcPr>
            <w:tcW w:w="1200" w:type="dxa"/>
            <w:tcBorders>
              <w:bottom w:val="single" w:sz="8" w:space="0" w:color="000000"/>
            </w:tcBorders>
          </w:tcPr>
          <w:p>
            <w:pPr>
              <w:pStyle w:val="TableParagraph"/>
              <w:spacing w:line="184" w:lineRule="exact" w:before="25"/>
              <w:ind w:right="66"/>
              <w:jc w:val="right"/>
              <w:rPr>
                <w:sz w:val="16"/>
              </w:rPr>
            </w:pPr>
            <w:r>
              <w:rPr>
                <w:spacing w:val="-2"/>
                <w:sz w:val="16"/>
              </w:rPr>
              <w:t>31,120</w:t>
            </w:r>
          </w:p>
        </w:tc>
        <w:tc>
          <w:tcPr>
            <w:tcW w:w="1260" w:type="dxa"/>
            <w:tcBorders>
              <w:bottom w:val="single" w:sz="8" w:space="0" w:color="000000"/>
            </w:tcBorders>
          </w:tcPr>
          <w:p>
            <w:pPr>
              <w:pStyle w:val="TableParagraph"/>
              <w:spacing w:line="184" w:lineRule="exact" w:before="25"/>
              <w:ind w:left="97" w:right="37"/>
              <w:jc w:val="center"/>
              <w:rPr>
                <w:sz w:val="16"/>
              </w:rPr>
            </w:pPr>
            <w:r>
              <w:rPr>
                <w:spacing w:val="-4"/>
                <w:sz w:val="16"/>
              </w:rPr>
              <w:t>3.71</w:t>
            </w:r>
          </w:p>
        </w:tc>
      </w:tr>
      <w:tr>
        <w:trPr>
          <w:trHeight w:val="230" w:hRule="atLeast"/>
        </w:trPr>
        <w:tc>
          <w:tcPr>
            <w:tcW w:w="4380" w:type="dxa"/>
          </w:tcPr>
          <w:p>
            <w:pPr>
              <w:pStyle w:val="TableParagraph"/>
              <w:spacing w:before="16"/>
              <w:ind w:left="52"/>
              <w:rPr>
                <w:sz w:val="16"/>
              </w:rPr>
            </w:pPr>
            <w:r>
              <w:rPr>
                <w:sz w:val="16"/>
              </w:rPr>
              <w:t>Borrowings</w:t>
            </w:r>
            <w:r>
              <w:rPr>
                <w:spacing w:val="-7"/>
                <w:sz w:val="16"/>
              </w:rPr>
              <w:t> </w:t>
            </w:r>
            <w:r>
              <w:rPr>
                <w:spacing w:val="-10"/>
                <w:sz w:val="16"/>
                <w:vertAlign w:val="superscript"/>
              </w:rPr>
              <w:t>b</w:t>
            </w:r>
          </w:p>
        </w:tc>
        <w:tc>
          <w:tcPr>
            <w:tcW w:w="1200" w:type="dxa"/>
            <w:tcBorders>
              <w:top w:val="single" w:sz="8" w:space="0" w:color="000000"/>
            </w:tcBorders>
          </w:tcPr>
          <w:p>
            <w:pPr>
              <w:pStyle w:val="TableParagraph"/>
              <w:tabs>
                <w:tab w:pos="554" w:val="left" w:leader="none"/>
              </w:tabs>
              <w:spacing w:before="16"/>
              <w:ind w:left="52"/>
              <w:rPr>
                <w:sz w:val="16"/>
              </w:rPr>
            </w:pPr>
            <w:r>
              <w:rPr>
                <w:spacing w:val="-10"/>
                <w:sz w:val="16"/>
              </w:rPr>
              <w:t>$</w:t>
            </w:r>
            <w:r>
              <w:rPr>
                <w:sz w:val="16"/>
              </w:rPr>
              <w:tab/>
            </w:r>
            <w:r>
              <w:rPr>
                <w:spacing w:val="-2"/>
                <w:sz w:val="16"/>
              </w:rPr>
              <w:t>262,285</w:t>
            </w:r>
          </w:p>
        </w:tc>
        <w:tc>
          <w:tcPr>
            <w:tcW w:w="1320" w:type="dxa"/>
            <w:tcBorders>
              <w:top w:val="single" w:sz="8" w:space="0" w:color="000000"/>
            </w:tcBorders>
          </w:tcPr>
          <w:p>
            <w:pPr>
              <w:pStyle w:val="TableParagraph"/>
              <w:spacing w:before="16"/>
              <w:ind w:left="37"/>
              <w:jc w:val="center"/>
              <w:rPr>
                <w:sz w:val="16"/>
              </w:rPr>
            </w:pPr>
            <w:r>
              <w:rPr>
                <w:spacing w:val="-2"/>
                <w:sz w:val="16"/>
              </w:rPr>
              <w:t>2.76%</w:t>
            </w:r>
          </w:p>
        </w:tc>
        <w:tc>
          <w:tcPr>
            <w:tcW w:w="1200" w:type="dxa"/>
            <w:tcBorders>
              <w:top w:val="single" w:sz="8" w:space="0" w:color="000000"/>
            </w:tcBorders>
          </w:tcPr>
          <w:p>
            <w:pPr>
              <w:pStyle w:val="TableParagraph"/>
              <w:tabs>
                <w:tab w:pos="554" w:val="left" w:leader="none"/>
              </w:tabs>
              <w:spacing w:before="16"/>
              <w:ind w:left="52"/>
              <w:rPr>
                <w:sz w:val="16"/>
              </w:rPr>
            </w:pPr>
            <w:r>
              <w:rPr>
                <w:spacing w:val="-10"/>
                <w:sz w:val="16"/>
              </w:rPr>
              <w:t>$</w:t>
            </w:r>
            <w:r>
              <w:rPr>
                <w:sz w:val="16"/>
              </w:rPr>
              <w:tab/>
            </w:r>
            <w:r>
              <w:rPr>
                <w:spacing w:val="-2"/>
                <w:sz w:val="16"/>
              </w:rPr>
              <w:t>253,868</w:t>
            </w:r>
          </w:p>
        </w:tc>
        <w:tc>
          <w:tcPr>
            <w:tcW w:w="1260" w:type="dxa"/>
            <w:tcBorders>
              <w:top w:val="single" w:sz="8" w:space="0" w:color="000000"/>
            </w:tcBorders>
          </w:tcPr>
          <w:p>
            <w:pPr>
              <w:pStyle w:val="TableParagraph"/>
              <w:spacing w:before="16"/>
              <w:ind w:left="97"/>
              <w:jc w:val="center"/>
              <w:rPr>
                <w:sz w:val="16"/>
              </w:rPr>
            </w:pPr>
            <w:r>
              <w:rPr>
                <w:spacing w:val="-2"/>
                <w:sz w:val="16"/>
              </w:rPr>
              <w:t>1.80%</w:t>
            </w:r>
          </w:p>
        </w:tc>
      </w:tr>
      <w:tr>
        <w:trPr>
          <w:trHeight w:val="229" w:hRule="atLeast"/>
        </w:trPr>
        <w:tc>
          <w:tcPr>
            <w:tcW w:w="4380" w:type="dxa"/>
          </w:tcPr>
          <w:p>
            <w:pPr>
              <w:pStyle w:val="TableParagraph"/>
              <w:spacing w:line="184" w:lineRule="exact" w:before="25"/>
              <w:ind w:left="52"/>
              <w:rPr>
                <w:sz w:val="16"/>
              </w:rPr>
            </w:pPr>
            <w:r>
              <w:rPr>
                <w:spacing w:val="-2"/>
                <w:sz w:val="16"/>
              </w:rPr>
              <w:t>Fair</w:t>
            </w:r>
            <w:r>
              <w:rPr>
                <w:sz w:val="16"/>
              </w:rPr>
              <w:t> </w:t>
            </w:r>
            <w:r>
              <w:rPr>
                <w:spacing w:val="-2"/>
                <w:sz w:val="16"/>
              </w:rPr>
              <w:t>Value</w:t>
            </w:r>
            <w:r>
              <w:rPr>
                <w:spacing w:val="-9"/>
                <w:sz w:val="16"/>
              </w:rPr>
              <w:t> </w:t>
            </w:r>
            <w:r>
              <w:rPr>
                <w:spacing w:val="-2"/>
                <w:sz w:val="16"/>
              </w:rPr>
              <w:t>Adjustment</w:t>
            </w:r>
          </w:p>
        </w:tc>
        <w:tc>
          <w:tcPr>
            <w:tcW w:w="1200" w:type="dxa"/>
            <w:tcBorders>
              <w:bottom w:val="single" w:sz="8" w:space="0" w:color="000000"/>
            </w:tcBorders>
          </w:tcPr>
          <w:p>
            <w:pPr>
              <w:pStyle w:val="TableParagraph"/>
              <w:spacing w:line="184" w:lineRule="exact" w:before="25"/>
              <w:ind w:right="12"/>
              <w:jc w:val="right"/>
              <w:rPr>
                <w:sz w:val="16"/>
              </w:rPr>
            </w:pPr>
            <w:r>
              <w:rPr>
                <w:spacing w:val="-2"/>
                <w:sz w:val="16"/>
              </w:rPr>
              <w:t>(25,020)</w:t>
            </w:r>
          </w:p>
        </w:tc>
        <w:tc>
          <w:tcPr>
            <w:tcW w:w="1320" w:type="dxa"/>
          </w:tcPr>
          <w:p>
            <w:pPr>
              <w:pStyle w:val="TableParagraph"/>
              <w:rPr>
                <w:rFonts w:ascii="Times New Roman"/>
                <w:sz w:val="16"/>
              </w:rPr>
            </w:pPr>
          </w:p>
        </w:tc>
        <w:tc>
          <w:tcPr>
            <w:tcW w:w="1200" w:type="dxa"/>
            <w:tcBorders>
              <w:bottom w:val="single" w:sz="8" w:space="0" w:color="000000"/>
            </w:tcBorders>
          </w:tcPr>
          <w:p>
            <w:pPr>
              <w:pStyle w:val="TableParagraph"/>
              <w:spacing w:line="184" w:lineRule="exact" w:before="25"/>
              <w:ind w:right="12"/>
              <w:jc w:val="right"/>
              <w:rPr>
                <w:sz w:val="16"/>
              </w:rPr>
            </w:pPr>
            <w:r>
              <w:rPr>
                <w:spacing w:val="-2"/>
                <w:sz w:val="16"/>
              </w:rPr>
              <w:t>(18,695)</w:t>
            </w:r>
          </w:p>
        </w:tc>
        <w:tc>
          <w:tcPr>
            <w:tcW w:w="1260" w:type="dxa"/>
          </w:tcPr>
          <w:p>
            <w:pPr>
              <w:pStyle w:val="TableParagraph"/>
              <w:rPr>
                <w:rFonts w:ascii="Times New Roman"/>
                <w:sz w:val="16"/>
              </w:rPr>
            </w:pPr>
          </w:p>
        </w:tc>
      </w:tr>
      <w:tr>
        <w:trPr>
          <w:trHeight w:val="240" w:hRule="atLeast"/>
        </w:trPr>
        <w:tc>
          <w:tcPr>
            <w:tcW w:w="4380" w:type="dxa"/>
          </w:tcPr>
          <w:p>
            <w:pPr>
              <w:pStyle w:val="TableParagraph"/>
              <w:spacing w:before="16"/>
              <w:ind w:left="52"/>
              <w:rPr>
                <w:sz w:val="16"/>
              </w:rPr>
            </w:pPr>
            <w:r>
              <w:rPr>
                <w:sz w:val="16"/>
              </w:rPr>
              <w:t>Borrowings</w:t>
            </w:r>
            <w:r>
              <w:rPr>
                <w:spacing w:val="-3"/>
                <w:sz w:val="16"/>
              </w:rPr>
              <w:t> </w:t>
            </w:r>
            <w:r>
              <w:rPr>
                <w:sz w:val="16"/>
              </w:rPr>
              <w:t>at</w:t>
            </w:r>
            <w:r>
              <w:rPr>
                <w:spacing w:val="-3"/>
                <w:sz w:val="16"/>
              </w:rPr>
              <w:t> </w:t>
            </w:r>
            <w:r>
              <w:rPr>
                <w:sz w:val="16"/>
              </w:rPr>
              <w:t>fair</w:t>
            </w:r>
            <w:r>
              <w:rPr>
                <w:spacing w:val="-3"/>
                <w:sz w:val="16"/>
              </w:rPr>
              <w:t> </w:t>
            </w:r>
            <w:r>
              <w:rPr>
                <w:spacing w:val="-4"/>
                <w:sz w:val="16"/>
              </w:rPr>
              <w:t>value</w:t>
            </w:r>
          </w:p>
        </w:tc>
        <w:tc>
          <w:tcPr>
            <w:tcW w:w="1200" w:type="dxa"/>
            <w:tcBorders>
              <w:top w:val="single" w:sz="8" w:space="0" w:color="000000"/>
              <w:bottom w:val="single" w:sz="8" w:space="0" w:color="000000"/>
            </w:tcBorders>
          </w:tcPr>
          <w:p>
            <w:pPr>
              <w:pStyle w:val="TableParagraph"/>
              <w:tabs>
                <w:tab w:pos="554" w:val="left" w:leader="none"/>
              </w:tabs>
              <w:spacing w:before="16"/>
              <w:rPr>
                <w:sz w:val="16"/>
              </w:rPr>
            </w:pPr>
            <w:r>
              <w:rPr>
                <w:spacing w:val="12"/>
                <w:sz w:val="16"/>
                <w:u w:val="single"/>
              </w:rPr>
              <w:t> </w:t>
            </w:r>
            <w:r>
              <w:rPr>
                <w:spacing w:val="-10"/>
                <w:sz w:val="16"/>
                <w:u w:val="single"/>
              </w:rPr>
              <w:t>$</w:t>
            </w:r>
            <w:r>
              <w:rPr>
                <w:sz w:val="16"/>
                <w:u w:val="single"/>
              </w:rPr>
              <w:tab/>
            </w:r>
            <w:r>
              <w:rPr>
                <w:spacing w:val="-2"/>
                <w:sz w:val="16"/>
                <w:u w:val="single"/>
              </w:rPr>
              <w:t>237,265</w:t>
            </w:r>
          </w:p>
        </w:tc>
        <w:tc>
          <w:tcPr>
            <w:tcW w:w="1320" w:type="dxa"/>
          </w:tcPr>
          <w:p>
            <w:pPr>
              <w:pStyle w:val="TableParagraph"/>
              <w:rPr>
                <w:rFonts w:ascii="Times New Roman"/>
                <w:sz w:val="16"/>
              </w:rPr>
            </w:pPr>
          </w:p>
        </w:tc>
        <w:tc>
          <w:tcPr>
            <w:tcW w:w="1200" w:type="dxa"/>
            <w:tcBorders>
              <w:top w:val="single" w:sz="8" w:space="0" w:color="000000"/>
              <w:bottom w:val="single" w:sz="8" w:space="0" w:color="000000"/>
            </w:tcBorders>
          </w:tcPr>
          <w:p>
            <w:pPr>
              <w:pStyle w:val="TableParagraph"/>
              <w:tabs>
                <w:tab w:pos="554" w:val="left" w:leader="none"/>
              </w:tabs>
              <w:spacing w:before="16"/>
              <w:rPr>
                <w:sz w:val="16"/>
              </w:rPr>
            </w:pPr>
            <w:r>
              <w:rPr>
                <w:spacing w:val="12"/>
                <w:sz w:val="16"/>
                <w:u w:val="single"/>
              </w:rPr>
              <w:t> </w:t>
            </w:r>
            <w:r>
              <w:rPr>
                <w:spacing w:val="-10"/>
                <w:sz w:val="16"/>
                <w:u w:val="single"/>
              </w:rPr>
              <w:t>$</w:t>
            </w:r>
            <w:r>
              <w:rPr>
                <w:sz w:val="16"/>
                <w:u w:val="single"/>
              </w:rPr>
              <w:tab/>
            </w:r>
            <w:r>
              <w:rPr>
                <w:spacing w:val="-2"/>
                <w:sz w:val="16"/>
                <w:u w:val="single"/>
              </w:rPr>
              <w:t>235,173</w:t>
            </w:r>
          </w:p>
        </w:tc>
        <w:tc>
          <w:tcPr>
            <w:tcW w:w="1260" w:type="dxa"/>
          </w:tcPr>
          <w:p>
            <w:pPr>
              <w:pStyle w:val="TableParagraph"/>
              <w:rPr>
                <w:rFonts w:ascii="Times New Roman"/>
                <w:sz w:val="16"/>
              </w:rPr>
            </w:pPr>
          </w:p>
        </w:tc>
      </w:tr>
      <w:tr>
        <w:trPr>
          <w:trHeight w:val="200" w:hRule="atLeast"/>
        </w:trPr>
        <w:tc>
          <w:tcPr>
            <w:tcW w:w="4380" w:type="dxa"/>
            <w:tcBorders>
              <w:bottom w:val="single" w:sz="8" w:space="0" w:color="000000"/>
            </w:tcBorders>
          </w:tcPr>
          <w:p>
            <w:pPr>
              <w:pStyle w:val="TableParagraph"/>
              <w:rPr>
                <w:rFonts w:ascii="Times New Roman"/>
                <w:sz w:val="12"/>
              </w:rPr>
            </w:pPr>
          </w:p>
        </w:tc>
        <w:tc>
          <w:tcPr>
            <w:tcW w:w="1200" w:type="dxa"/>
            <w:tcBorders>
              <w:top w:val="single" w:sz="8" w:space="0" w:color="000000"/>
              <w:bottom w:val="single" w:sz="8" w:space="0" w:color="000000"/>
            </w:tcBorders>
          </w:tcPr>
          <w:p>
            <w:pPr>
              <w:pStyle w:val="TableParagraph"/>
              <w:rPr>
                <w:rFonts w:ascii="Times New Roman"/>
                <w:sz w:val="12"/>
              </w:rPr>
            </w:pPr>
          </w:p>
        </w:tc>
        <w:tc>
          <w:tcPr>
            <w:tcW w:w="1320" w:type="dxa"/>
            <w:tcBorders>
              <w:bottom w:val="single" w:sz="8" w:space="0" w:color="000000"/>
            </w:tcBorders>
          </w:tcPr>
          <w:p>
            <w:pPr>
              <w:pStyle w:val="TableParagraph"/>
              <w:rPr>
                <w:rFonts w:ascii="Times New Roman"/>
                <w:sz w:val="12"/>
              </w:rPr>
            </w:pPr>
          </w:p>
        </w:tc>
        <w:tc>
          <w:tcPr>
            <w:tcW w:w="1200" w:type="dxa"/>
            <w:tcBorders>
              <w:top w:val="single" w:sz="8" w:space="0" w:color="000000"/>
              <w:bottom w:val="single" w:sz="8" w:space="0" w:color="000000"/>
            </w:tcBorders>
          </w:tcPr>
          <w:p>
            <w:pPr>
              <w:pStyle w:val="TableParagraph"/>
              <w:rPr>
                <w:rFonts w:ascii="Times New Roman"/>
                <w:sz w:val="12"/>
              </w:rPr>
            </w:pPr>
          </w:p>
        </w:tc>
        <w:tc>
          <w:tcPr>
            <w:tcW w:w="1260" w:type="dxa"/>
            <w:tcBorders>
              <w:bottom w:val="single" w:sz="8" w:space="0" w:color="000000"/>
            </w:tcBorders>
          </w:tcPr>
          <w:p>
            <w:pPr>
              <w:pStyle w:val="TableParagraph"/>
              <w:rPr>
                <w:rFonts w:ascii="Times New Roman"/>
                <w:sz w:val="12"/>
              </w:rPr>
            </w:pPr>
          </w:p>
        </w:tc>
      </w:tr>
    </w:tbl>
    <w:p>
      <w:pPr>
        <w:pStyle w:val="ListParagraph"/>
        <w:numPr>
          <w:ilvl w:val="0"/>
          <w:numId w:val="38"/>
        </w:numPr>
        <w:tabs>
          <w:tab w:pos="948" w:val="left" w:leader="none"/>
        </w:tabs>
        <w:spacing w:line="240" w:lineRule="auto" w:before="8" w:after="0"/>
        <w:ind w:left="948" w:right="0" w:hanging="176"/>
        <w:jc w:val="left"/>
        <w:rPr>
          <w:rFonts w:ascii="Arial"/>
          <w:i/>
          <w:sz w:val="16"/>
        </w:rPr>
      </w:pPr>
      <w:r>
        <w:rPr>
          <w:rFonts w:ascii="Arial"/>
          <w:i/>
          <w:sz w:val="16"/>
        </w:rPr>
        <w:t>WAC</w:t>
      </w:r>
      <w:r>
        <w:rPr>
          <w:rFonts w:ascii="Arial"/>
          <w:i/>
          <w:spacing w:val="-3"/>
          <w:sz w:val="16"/>
        </w:rPr>
        <w:t> </w:t>
      </w:r>
      <w:r>
        <w:rPr>
          <w:rFonts w:ascii="Arial"/>
          <w:i/>
          <w:sz w:val="16"/>
        </w:rPr>
        <w:t>refers</w:t>
      </w:r>
      <w:r>
        <w:rPr>
          <w:rFonts w:ascii="Arial"/>
          <w:i/>
          <w:spacing w:val="-3"/>
          <w:sz w:val="16"/>
        </w:rPr>
        <w:t> </w:t>
      </w:r>
      <w:r>
        <w:rPr>
          <w:rFonts w:ascii="Arial"/>
          <w:i/>
          <w:sz w:val="16"/>
        </w:rPr>
        <w:t>to</w:t>
      </w:r>
      <w:r>
        <w:rPr>
          <w:rFonts w:ascii="Arial"/>
          <w:i/>
          <w:spacing w:val="-3"/>
          <w:sz w:val="16"/>
        </w:rPr>
        <w:t> </w:t>
      </w:r>
      <w:r>
        <w:rPr>
          <w:rFonts w:ascii="Arial"/>
          <w:i/>
          <w:sz w:val="16"/>
        </w:rPr>
        <w:t>weighted</w:t>
      </w:r>
      <w:r>
        <w:rPr>
          <w:rFonts w:ascii="Arial"/>
          <w:i/>
          <w:spacing w:val="-4"/>
          <w:sz w:val="16"/>
        </w:rPr>
        <w:t> </w:t>
      </w:r>
      <w:r>
        <w:rPr>
          <w:rFonts w:ascii="Arial"/>
          <w:i/>
          <w:sz w:val="16"/>
        </w:rPr>
        <w:t>average</w:t>
      </w:r>
      <w:r>
        <w:rPr>
          <w:rFonts w:ascii="Arial"/>
          <w:i/>
          <w:spacing w:val="-3"/>
          <w:sz w:val="16"/>
        </w:rPr>
        <w:t> </w:t>
      </w:r>
      <w:r>
        <w:rPr>
          <w:rFonts w:ascii="Arial"/>
          <w:i/>
          <w:sz w:val="16"/>
        </w:rPr>
        <w:t>borrowings</w:t>
      </w:r>
      <w:r>
        <w:rPr>
          <w:rFonts w:ascii="Arial"/>
          <w:i/>
          <w:spacing w:val="-3"/>
          <w:sz w:val="16"/>
        </w:rPr>
        <w:t> </w:t>
      </w:r>
      <w:r>
        <w:rPr>
          <w:rFonts w:ascii="Arial"/>
          <w:i/>
          <w:sz w:val="16"/>
        </w:rPr>
        <w:t>cost</w:t>
      </w:r>
      <w:r>
        <w:rPr>
          <w:rFonts w:ascii="Arial"/>
          <w:i/>
          <w:spacing w:val="-2"/>
          <w:sz w:val="16"/>
        </w:rPr>
        <w:t> </w:t>
      </w:r>
      <w:r>
        <w:rPr>
          <w:rFonts w:ascii="Arial"/>
          <w:i/>
          <w:sz w:val="16"/>
        </w:rPr>
        <w:t>as</w:t>
      </w:r>
      <w:r>
        <w:rPr>
          <w:rFonts w:ascii="Arial"/>
          <w:i/>
          <w:spacing w:val="-3"/>
          <w:sz w:val="16"/>
        </w:rPr>
        <w:t> </w:t>
      </w:r>
      <w:r>
        <w:rPr>
          <w:rFonts w:ascii="Arial"/>
          <w:i/>
          <w:sz w:val="16"/>
        </w:rPr>
        <w:t>of</w:t>
      </w:r>
      <w:r>
        <w:rPr>
          <w:rFonts w:ascii="Arial"/>
          <w:i/>
          <w:spacing w:val="-2"/>
          <w:sz w:val="16"/>
        </w:rPr>
        <w:t> </w:t>
      </w:r>
      <w:r>
        <w:rPr>
          <w:rFonts w:ascii="Arial"/>
          <w:i/>
          <w:sz w:val="16"/>
        </w:rPr>
        <w:t>the</w:t>
      </w:r>
      <w:r>
        <w:rPr>
          <w:rFonts w:ascii="Arial"/>
          <w:i/>
          <w:spacing w:val="-4"/>
          <w:sz w:val="16"/>
        </w:rPr>
        <w:t> </w:t>
      </w:r>
      <w:r>
        <w:rPr>
          <w:rFonts w:ascii="Arial"/>
          <w:i/>
          <w:sz w:val="16"/>
        </w:rPr>
        <w:t>reporting</w:t>
      </w:r>
      <w:r>
        <w:rPr>
          <w:rFonts w:ascii="Arial"/>
          <w:i/>
          <w:spacing w:val="-3"/>
          <w:sz w:val="16"/>
        </w:rPr>
        <w:t> </w:t>
      </w:r>
      <w:r>
        <w:rPr>
          <w:rFonts w:ascii="Arial"/>
          <w:i/>
          <w:spacing w:val="-4"/>
          <w:sz w:val="16"/>
        </w:rPr>
        <w:t>date.</w:t>
      </w:r>
    </w:p>
    <w:p>
      <w:pPr>
        <w:pStyle w:val="ListParagraph"/>
        <w:numPr>
          <w:ilvl w:val="0"/>
          <w:numId w:val="38"/>
        </w:numPr>
        <w:tabs>
          <w:tab w:pos="948" w:val="left" w:leader="none"/>
        </w:tabs>
        <w:spacing w:line="240" w:lineRule="auto" w:before="56" w:after="0"/>
        <w:ind w:left="948" w:right="0" w:hanging="176"/>
        <w:jc w:val="left"/>
        <w:rPr>
          <w:rFonts w:ascii="Arial"/>
          <w:i/>
          <w:sz w:val="16"/>
        </w:rPr>
      </w:pPr>
      <w:r>
        <w:rPr>
          <w:rFonts w:ascii="Arial"/>
          <w:i/>
          <w:sz w:val="16"/>
        </w:rPr>
        <w:t>At</w:t>
      </w:r>
      <w:r>
        <w:rPr>
          <w:rFonts w:ascii="Arial"/>
          <w:i/>
          <w:spacing w:val="-3"/>
          <w:sz w:val="16"/>
        </w:rPr>
        <w:t> </w:t>
      </w:r>
      <w:r>
        <w:rPr>
          <w:rFonts w:ascii="Arial"/>
          <w:i/>
          <w:sz w:val="16"/>
        </w:rPr>
        <w:t>amortized</w:t>
      </w:r>
      <w:r>
        <w:rPr>
          <w:rFonts w:ascii="Arial"/>
          <w:i/>
          <w:spacing w:val="-2"/>
          <w:sz w:val="16"/>
        </w:rPr>
        <w:t> cost.</w:t>
      </w:r>
    </w:p>
    <w:p>
      <w:pPr>
        <w:pStyle w:val="BodyText"/>
        <w:spacing w:before="17"/>
        <w:rPr>
          <w:rFonts w:ascii="Arial"/>
          <w:i/>
          <w:sz w:val="16"/>
        </w:rPr>
      </w:pPr>
    </w:p>
    <w:p>
      <w:pPr>
        <w:pStyle w:val="BodyText"/>
        <w:spacing w:before="1"/>
        <w:ind w:left="720"/>
      </w:pPr>
      <w:r>
        <w:rPr/>
        <w:t>The</w:t>
      </w:r>
      <w:r>
        <w:rPr>
          <w:spacing w:val="-6"/>
        </w:rPr>
        <w:t> </w:t>
      </w:r>
      <w:r>
        <w:rPr/>
        <w:t>currency</w:t>
      </w:r>
      <w:r>
        <w:rPr>
          <w:spacing w:val="-3"/>
        </w:rPr>
        <w:t> </w:t>
      </w:r>
      <w:r>
        <w:rPr/>
        <w:t>composition</w:t>
      </w:r>
      <w:r>
        <w:rPr>
          <w:spacing w:val="-2"/>
        </w:rPr>
        <w:t> </w:t>
      </w:r>
      <w:r>
        <w:rPr/>
        <w:t>of</w:t>
      </w:r>
      <w:r>
        <w:rPr>
          <w:spacing w:val="-3"/>
        </w:rPr>
        <w:t> </w:t>
      </w:r>
      <w:r>
        <w:rPr/>
        <w:t>IBRD’s</w:t>
      </w:r>
      <w:r>
        <w:rPr>
          <w:spacing w:val="-3"/>
        </w:rPr>
        <w:t> </w:t>
      </w:r>
      <w:r>
        <w:rPr/>
        <w:t>borrowing</w:t>
      </w:r>
      <w:r>
        <w:rPr>
          <w:spacing w:val="-3"/>
        </w:rPr>
        <w:t> </w:t>
      </w:r>
      <w:r>
        <w:rPr/>
        <w:t>portfolio</w:t>
      </w:r>
      <w:r>
        <w:rPr>
          <w:spacing w:val="-2"/>
        </w:rPr>
        <w:t> </w:t>
      </w:r>
      <w:r>
        <w:rPr/>
        <w:t>before</w:t>
      </w:r>
      <w:r>
        <w:rPr>
          <w:spacing w:val="-4"/>
        </w:rPr>
        <w:t> </w:t>
      </w:r>
      <w:r>
        <w:rPr/>
        <w:t>derivatives</w:t>
      </w:r>
      <w:r>
        <w:rPr>
          <w:spacing w:val="-3"/>
        </w:rPr>
        <w:t> </w:t>
      </w:r>
      <w:r>
        <w:rPr/>
        <w:t>was</w:t>
      </w:r>
      <w:r>
        <w:rPr>
          <w:spacing w:val="-4"/>
        </w:rPr>
        <w:t> </w:t>
      </w:r>
      <w:r>
        <w:rPr/>
        <w:t>as</w:t>
      </w:r>
      <w:r>
        <w:rPr>
          <w:spacing w:val="-3"/>
        </w:rPr>
        <w:t> </w:t>
      </w:r>
      <w:r>
        <w:rPr>
          <w:spacing w:val="-2"/>
        </w:rPr>
        <w:t>follows:</w:t>
      </w:r>
    </w:p>
    <w:p>
      <w:pPr>
        <w:pStyle w:val="Heading8"/>
        <w:spacing w:before="126"/>
      </w:pPr>
      <w:r>
        <w:rPr/>
        <mc:AlternateContent>
          <mc:Choice Requires="wps">
            <w:drawing>
              <wp:anchor distT="0" distB="0" distL="0" distR="0" allowOverlap="1" layoutInCell="1" locked="0" behindDoc="1" simplePos="0" relativeHeight="487715840">
                <wp:simplePos x="0" y="0"/>
                <wp:positionH relativeFrom="page">
                  <wp:posOffset>914400</wp:posOffset>
                </wp:positionH>
                <wp:positionV relativeFrom="paragraph">
                  <wp:posOffset>265472</wp:posOffset>
                </wp:positionV>
                <wp:extent cx="5876925" cy="1270"/>
                <wp:effectExtent l="0" t="0" r="0" b="0"/>
                <wp:wrapTopAndBottom/>
                <wp:docPr id="839" name="Graphic 839"/>
                <wp:cNvGraphicFramePr>
                  <a:graphicFrameLocks/>
                </wp:cNvGraphicFramePr>
                <a:graphic>
                  <a:graphicData uri="http://schemas.microsoft.com/office/word/2010/wordprocessingShape">
                    <wps:wsp>
                      <wps:cNvPr id="839" name="Graphic 839"/>
                      <wps:cNvSpPr/>
                      <wps:spPr>
                        <a:xfrm>
                          <a:off x="0" y="0"/>
                          <a:ext cx="5876925" cy="1270"/>
                        </a:xfrm>
                        <a:custGeom>
                          <a:avLst/>
                          <a:gdLst/>
                          <a:ahLst/>
                          <a:cxnLst/>
                          <a:rect l="l" t="t" r="r" b="b"/>
                          <a:pathLst>
                            <a:path w="5876925" h="0">
                              <a:moveTo>
                                <a:pt x="0" y="0"/>
                              </a:moveTo>
                              <a:lnTo>
                                <a:pt x="5876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90332pt;width:462.75pt;height:.1pt;mso-position-horizontal-relative:page;mso-position-vertical-relative:paragraph;z-index:-15600640;mso-wrap-distance-left:0;mso-wrap-distance-right:0" id="docshape702" coordorigin="1440,418" coordsize="9255,0" path="m1440,418l10695,418e" filled="false" stroked="true" strokeweight="1pt" strokecolor="#000000">
                <v:path arrowok="t"/>
                <v:stroke dashstyle="solid"/>
                <w10:wrap type="topAndBottom"/>
              </v:shape>
            </w:pict>
          </mc:Fallback>
        </mc:AlternateContent>
      </w:r>
      <w:r>
        <w:rPr/>
        <w:t>Table</w:t>
      </w:r>
      <w:r>
        <w:rPr>
          <w:spacing w:val="-7"/>
        </w:rPr>
        <w:t> </w:t>
      </w:r>
      <w:r>
        <w:rPr/>
        <w:t>E3:</w:t>
      </w:r>
      <w:r>
        <w:rPr>
          <w:spacing w:val="-4"/>
        </w:rPr>
        <w:t> </w:t>
      </w:r>
      <w:r>
        <w:rPr/>
        <w:t>Currency</w:t>
      </w:r>
      <w:r>
        <w:rPr>
          <w:spacing w:val="-3"/>
        </w:rPr>
        <w:t> </w:t>
      </w:r>
      <w:r>
        <w:rPr/>
        <w:t>composition</w:t>
      </w:r>
      <w:r>
        <w:rPr>
          <w:spacing w:val="-5"/>
        </w:rPr>
        <w:t> </w:t>
      </w:r>
      <w:r>
        <w:rPr/>
        <w:t>of</w:t>
      </w:r>
      <w:r>
        <w:rPr>
          <w:spacing w:val="-3"/>
        </w:rPr>
        <w:t> </w:t>
      </w:r>
      <w:r>
        <w:rPr/>
        <w:t>Borrowings</w:t>
      </w:r>
      <w:r>
        <w:rPr>
          <w:spacing w:val="-5"/>
        </w:rPr>
        <w:t> </w:t>
      </w:r>
      <w:r>
        <w:rPr/>
        <w:t>(before</w:t>
      </w:r>
      <w:r>
        <w:rPr>
          <w:spacing w:val="-4"/>
        </w:rPr>
        <w:t> </w:t>
      </w:r>
      <w:r>
        <w:rPr>
          <w:spacing w:val="-2"/>
        </w:rPr>
        <w:t>derivatives)</w:t>
      </w:r>
    </w:p>
    <w:p>
      <w:pPr>
        <w:tabs>
          <w:tab w:pos="8096" w:val="left" w:leader="none"/>
        </w:tabs>
        <w:spacing w:before="16" w:after="30"/>
        <w:ind w:left="5501"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3"/>
          <w:sz w:val="16"/>
        </w:rPr>
        <w:t> </w:t>
      </w:r>
      <w:r>
        <w:rPr>
          <w:rFonts w:ascii="Arial"/>
          <w:i/>
          <w:sz w:val="16"/>
        </w:rPr>
        <w:t>30,</w:t>
      </w:r>
      <w:r>
        <w:rPr>
          <w:rFonts w:ascii="Arial"/>
          <w:i/>
          <w:spacing w:val="-2"/>
          <w:sz w:val="16"/>
        </w:rPr>
        <w:t> </w:t>
      </w:r>
      <w:r>
        <w:rPr>
          <w:rFonts w:ascii="Arial"/>
          <w:i/>
          <w:spacing w:val="-4"/>
          <w:sz w:val="16"/>
        </w:rPr>
        <w:t>2022</w:t>
      </w:r>
    </w:p>
    <w:p>
      <w:pPr>
        <w:tabs>
          <w:tab w:pos="7470" w:val="left" w:leader="none"/>
        </w:tabs>
        <w:spacing w:line="20" w:lineRule="exact"/>
        <w:ind w:left="4800" w:right="0" w:firstLine="0"/>
        <w:rPr>
          <w:rFonts w:ascii="Arial"/>
          <w:sz w:val="2"/>
        </w:rPr>
      </w:pPr>
      <w:r>
        <w:rPr>
          <w:rFonts w:ascii="Arial"/>
          <w:sz w:val="2"/>
        </w:rPr>
        <mc:AlternateContent>
          <mc:Choice Requires="wps">
            <w:drawing>
              <wp:inline distT="0" distB="0" distL="0" distR="0">
                <wp:extent cx="1533525" cy="12700"/>
                <wp:effectExtent l="9525" t="0" r="0" b="6350"/>
                <wp:docPr id="840" name="Group 840"/>
                <wp:cNvGraphicFramePr>
                  <a:graphicFrameLocks/>
                </wp:cNvGraphicFramePr>
                <a:graphic>
                  <a:graphicData uri="http://schemas.microsoft.com/office/word/2010/wordprocessingGroup">
                    <wpg:wgp>
                      <wpg:cNvPr id="840" name="Group 840"/>
                      <wpg:cNvGrpSpPr/>
                      <wpg:grpSpPr>
                        <a:xfrm>
                          <a:off x="0" y="0"/>
                          <a:ext cx="1533525" cy="12700"/>
                          <a:chExt cx="1533525" cy="12700"/>
                        </a:xfrm>
                      </wpg:grpSpPr>
                      <wps:wsp>
                        <wps:cNvPr id="841" name="Graphic 841"/>
                        <wps:cNvSpPr/>
                        <wps:spPr>
                          <a:xfrm>
                            <a:off x="0" y="6350"/>
                            <a:ext cx="1533525" cy="1270"/>
                          </a:xfrm>
                          <a:custGeom>
                            <a:avLst/>
                            <a:gdLst/>
                            <a:ahLst/>
                            <a:cxnLst/>
                            <a:rect l="l" t="t" r="r" b="b"/>
                            <a:pathLst>
                              <a:path w="1533525" h="0">
                                <a:moveTo>
                                  <a:pt x="0" y="0"/>
                                </a:moveTo>
                                <a:lnTo>
                                  <a:pt x="15335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75pt;height:1pt;mso-position-horizontal-relative:char;mso-position-vertical-relative:line" id="docshapegroup703" coordorigin="0,0" coordsize="2415,20">
                <v:line style="position:absolute" from="0,10" to="2415,10" stroked="true" strokeweight="1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1438275" cy="12700"/>
                <wp:effectExtent l="9525" t="0" r="0" b="6350"/>
                <wp:docPr id="842" name="Group 842"/>
                <wp:cNvGraphicFramePr>
                  <a:graphicFrameLocks/>
                </wp:cNvGraphicFramePr>
                <a:graphic>
                  <a:graphicData uri="http://schemas.microsoft.com/office/word/2010/wordprocessingGroup">
                    <wpg:wgp>
                      <wpg:cNvPr id="842" name="Group 842"/>
                      <wpg:cNvGrpSpPr/>
                      <wpg:grpSpPr>
                        <a:xfrm>
                          <a:off x="0" y="0"/>
                          <a:ext cx="1438275" cy="12700"/>
                          <a:chExt cx="1438275" cy="12700"/>
                        </a:xfrm>
                      </wpg:grpSpPr>
                      <wps:wsp>
                        <wps:cNvPr id="843" name="Graphic 843"/>
                        <wps:cNvSpPr/>
                        <wps:spPr>
                          <a:xfrm>
                            <a:off x="0" y="635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25pt;height:1pt;mso-position-horizontal-relative:char;mso-position-vertical-relative:line" id="docshapegroup704" coordorigin="0,0" coordsize="2265,20">
                <v:line style="position:absolute" from="0,10" to="2265,10" stroked="true" strokeweight="1pt" strokecolor="#000000">
                  <v:stroke dashstyle="solid"/>
                </v:line>
              </v:group>
            </w:pict>
          </mc:Fallback>
        </mc:AlternateContent>
      </w:r>
      <w:r>
        <w:rPr>
          <w:rFonts w:ascii="Arial"/>
          <w:sz w:val="2"/>
        </w:rPr>
      </w:r>
    </w:p>
    <w:p>
      <w:pPr>
        <w:tabs>
          <w:tab w:pos="6851" w:val="left" w:leader="none"/>
          <w:tab w:pos="9371" w:val="left" w:leader="none"/>
        </w:tabs>
        <w:spacing w:before="6"/>
        <w:ind w:left="772" w:right="0" w:firstLine="0"/>
        <w:jc w:val="left"/>
        <w:rPr>
          <w:rFonts w:ascii="Arial MT"/>
          <w:sz w:val="16"/>
        </w:rPr>
      </w:pPr>
      <w:r>
        <w:rPr>
          <w:rFonts w:ascii="Arial MT"/>
          <w:sz w:val="16"/>
        </w:rPr>
        <w:t>U.S.</w:t>
      </w:r>
      <w:r>
        <w:rPr>
          <w:rFonts w:ascii="Arial MT"/>
          <w:spacing w:val="-1"/>
          <w:sz w:val="16"/>
        </w:rPr>
        <w:t> </w:t>
      </w:r>
      <w:r>
        <w:rPr>
          <w:rFonts w:ascii="Arial MT"/>
          <w:spacing w:val="-2"/>
          <w:sz w:val="16"/>
        </w:rPr>
        <w:t>Dollar</w:t>
      </w:r>
      <w:r>
        <w:rPr>
          <w:rFonts w:ascii="Arial MT"/>
          <w:sz w:val="16"/>
        </w:rPr>
        <w:tab/>
        <w:t>62.3</w:t>
      </w:r>
      <w:r>
        <w:rPr>
          <w:rFonts w:ascii="Arial MT"/>
          <w:spacing w:val="41"/>
          <w:sz w:val="16"/>
        </w:rPr>
        <w:t> </w:t>
      </w:r>
      <w:r>
        <w:rPr>
          <w:rFonts w:ascii="Arial MT"/>
          <w:spacing w:val="-10"/>
          <w:sz w:val="16"/>
        </w:rPr>
        <w:t>%</w:t>
      </w:r>
      <w:r>
        <w:rPr>
          <w:rFonts w:ascii="Arial MT"/>
          <w:sz w:val="16"/>
        </w:rPr>
        <w:tab/>
        <w:t>63.6</w:t>
      </w:r>
      <w:r>
        <w:rPr>
          <w:rFonts w:ascii="Arial MT"/>
          <w:spacing w:val="64"/>
          <w:w w:val="150"/>
          <w:sz w:val="16"/>
        </w:rPr>
        <w:t> </w:t>
      </w:r>
      <w:r>
        <w:rPr>
          <w:rFonts w:ascii="Arial MT"/>
          <w:spacing w:val="-10"/>
          <w:sz w:val="16"/>
        </w:rPr>
        <w:t>%</w:t>
      </w:r>
    </w:p>
    <w:p>
      <w:pPr>
        <w:tabs>
          <w:tab w:pos="6851" w:val="left" w:leader="none"/>
          <w:tab w:pos="9682" w:val="right" w:leader="none"/>
        </w:tabs>
        <w:spacing w:before="56"/>
        <w:ind w:left="772" w:right="0" w:firstLine="0"/>
        <w:jc w:val="left"/>
        <w:rPr>
          <w:rFonts w:ascii="Arial MT"/>
          <w:sz w:val="16"/>
        </w:rPr>
      </w:pPr>
      <w:r>
        <w:rPr>
          <w:rFonts w:ascii="Arial MT"/>
          <w:spacing w:val="-4"/>
          <w:sz w:val="16"/>
        </w:rPr>
        <w:t>Euro</w:t>
      </w:r>
      <w:r>
        <w:rPr>
          <w:rFonts w:ascii="Arial MT"/>
          <w:sz w:val="16"/>
        </w:rPr>
        <w:tab/>
      </w:r>
      <w:r>
        <w:rPr>
          <w:rFonts w:ascii="Arial MT"/>
          <w:spacing w:val="-4"/>
          <w:sz w:val="16"/>
        </w:rPr>
        <w:t>13.6</w:t>
      </w:r>
      <w:r>
        <w:rPr>
          <w:sz w:val="16"/>
        </w:rPr>
        <w:tab/>
      </w:r>
      <w:r>
        <w:rPr>
          <w:rFonts w:ascii="Arial MT"/>
          <w:spacing w:val="-4"/>
          <w:sz w:val="16"/>
        </w:rPr>
        <w:t>11.6</w:t>
      </w:r>
    </w:p>
    <w:p>
      <w:pPr>
        <w:tabs>
          <w:tab w:pos="6851" w:val="left" w:leader="none"/>
          <w:tab w:pos="9682" w:val="right" w:leader="none"/>
        </w:tabs>
        <w:spacing w:before="56"/>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60224">
                <wp:simplePos x="0" y="0"/>
                <wp:positionH relativeFrom="page">
                  <wp:posOffset>3505200</wp:posOffset>
                </wp:positionH>
                <wp:positionV relativeFrom="paragraph">
                  <wp:posOffset>171469</wp:posOffset>
                </wp:positionV>
                <wp:extent cx="1533525" cy="1270"/>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1533525" cy="1270"/>
                        </a:xfrm>
                        <a:custGeom>
                          <a:avLst/>
                          <a:gdLst/>
                          <a:ahLst/>
                          <a:cxnLst/>
                          <a:rect l="l" t="t" r="r" b="b"/>
                          <a:pathLst>
                            <a:path w="1533525" h="0">
                              <a:moveTo>
                                <a:pt x="0" y="0"/>
                              </a:moveTo>
                              <a:lnTo>
                                <a:pt x="15335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224" from="276pt,13.501562pt" to="396.75pt,13.501562pt" stroked="true" strokeweight="1pt" strokecolor="#000000">
                <v:stroke dashstyle="solid"/>
                <w10:wrap type="none"/>
              </v:line>
            </w:pict>
          </mc:Fallback>
        </mc:AlternateContent>
      </w:r>
      <w:r>
        <w:rPr>
          <w:rFonts w:ascii="Arial MT"/>
          <w:sz w:val="16"/>
        </w:rPr>
        <mc:AlternateContent>
          <mc:Choice Requires="wps">
            <w:drawing>
              <wp:anchor distT="0" distB="0" distL="0" distR="0" allowOverlap="1" layoutInCell="1" locked="0" behindDoc="0" simplePos="0" relativeHeight="15860736">
                <wp:simplePos x="0" y="0"/>
                <wp:positionH relativeFrom="page">
                  <wp:posOffset>5200650</wp:posOffset>
                </wp:positionH>
                <wp:positionV relativeFrom="paragraph">
                  <wp:posOffset>171469</wp:posOffset>
                </wp:positionV>
                <wp:extent cx="1438275" cy="1270"/>
                <wp:effectExtent l="0" t="0" r="0" b="0"/>
                <wp:wrapNone/>
                <wp:docPr id="845" name="Graphic 845"/>
                <wp:cNvGraphicFramePr>
                  <a:graphicFrameLocks/>
                </wp:cNvGraphicFramePr>
                <a:graphic>
                  <a:graphicData uri="http://schemas.microsoft.com/office/word/2010/wordprocessingShape">
                    <wps:wsp>
                      <wps:cNvPr id="845" name="Graphic 845"/>
                      <wps:cNvSpPr/>
                      <wps:spPr>
                        <a:xfrm>
                          <a:off x="0" y="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736" from="409.5pt,13.501562pt" to="522.75pt,13.501562pt" stroked="true" strokeweight="1pt" strokecolor="#000000">
                <v:stroke dashstyle="solid"/>
                <w10:wrap type="none"/>
              </v:line>
            </w:pict>
          </mc:Fallback>
        </mc:AlternateContent>
      </w:r>
      <w:r>
        <w:rPr>
          <w:rFonts w:ascii="Arial MT"/>
          <w:spacing w:val="-2"/>
          <w:sz w:val="16"/>
        </w:rPr>
        <w:t>Others</w:t>
      </w:r>
      <w:r>
        <w:rPr>
          <w:rFonts w:ascii="Arial MT"/>
          <w:sz w:val="16"/>
        </w:rPr>
        <w:tab/>
      </w:r>
      <w:r>
        <w:rPr>
          <w:rFonts w:ascii="Arial MT"/>
          <w:spacing w:val="-4"/>
          <w:sz w:val="16"/>
        </w:rPr>
        <w:t>24.1</w:t>
      </w:r>
      <w:r>
        <w:rPr>
          <w:sz w:val="16"/>
        </w:rPr>
        <w:tab/>
      </w:r>
      <w:r>
        <w:rPr>
          <w:rFonts w:ascii="Arial MT"/>
          <w:spacing w:val="-4"/>
          <w:sz w:val="16"/>
        </w:rPr>
        <w:t>24.8</w:t>
      </w:r>
    </w:p>
    <w:p>
      <w:pPr>
        <w:tabs>
          <w:tab w:pos="6762" w:val="left" w:leader="none"/>
          <w:tab w:pos="9282" w:val="left" w:leader="none"/>
        </w:tabs>
        <w:spacing w:before="56"/>
        <w:ind w:left="4800"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717376">
                <wp:simplePos x="0" y="0"/>
                <wp:positionH relativeFrom="page">
                  <wp:posOffset>3505200</wp:posOffset>
                </wp:positionH>
                <wp:positionV relativeFrom="paragraph">
                  <wp:posOffset>184179</wp:posOffset>
                </wp:positionV>
                <wp:extent cx="1533525" cy="127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1533525" cy="1270"/>
                        </a:xfrm>
                        <a:custGeom>
                          <a:avLst/>
                          <a:gdLst/>
                          <a:ahLst/>
                          <a:cxnLst/>
                          <a:rect l="l" t="t" r="r" b="b"/>
                          <a:pathLst>
                            <a:path w="1533525" h="0">
                              <a:moveTo>
                                <a:pt x="0" y="0"/>
                              </a:moveTo>
                              <a:lnTo>
                                <a:pt x="15335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6pt;margin-top:14.502344pt;width:120.75pt;height:.1pt;mso-position-horizontal-relative:page;mso-position-vertical-relative:paragraph;z-index:-15599104;mso-wrap-distance-left:0;mso-wrap-distance-right:0" id="docshape705" coordorigin="5520,290" coordsize="2415,0" path="m5520,290l7935,290e" filled="false" stroked="true" strokeweight="1pt" strokecolor="#000000">
                <v:path arrowok="t"/>
                <v:stroke dashstyle="solid"/>
                <w10:wrap type="topAndBottom"/>
              </v:shape>
            </w:pict>
          </mc:Fallback>
        </mc:AlternateContent>
      </w:r>
      <w:r>
        <w:rPr>
          <w:rFonts w:ascii="Arial MT"/>
          <w:sz w:val="16"/>
        </w:rPr>
        <mc:AlternateContent>
          <mc:Choice Requires="wps">
            <w:drawing>
              <wp:anchor distT="0" distB="0" distL="0" distR="0" allowOverlap="1" layoutInCell="1" locked="0" behindDoc="1" simplePos="0" relativeHeight="487717888">
                <wp:simplePos x="0" y="0"/>
                <wp:positionH relativeFrom="page">
                  <wp:posOffset>5200650</wp:posOffset>
                </wp:positionH>
                <wp:positionV relativeFrom="paragraph">
                  <wp:posOffset>184179</wp:posOffset>
                </wp:positionV>
                <wp:extent cx="1438275" cy="1270"/>
                <wp:effectExtent l="0" t="0" r="0" b="0"/>
                <wp:wrapTopAndBottom/>
                <wp:docPr id="847" name="Graphic 847"/>
                <wp:cNvGraphicFramePr>
                  <a:graphicFrameLocks/>
                </wp:cNvGraphicFramePr>
                <a:graphic>
                  <a:graphicData uri="http://schemas.microsoft.com/office/word/2010/wordprocessingShape">
                    <wps:wsp>
                      <wps:cNvPr id="847" name="Graphic 847"/>
                      <wps:cNvSpPr/>
                      <wps:spPr>
                        <a:xfrm>
                          <a:off x="0" y="0"/>
                          <a:ext cx="1438275" cy="1270"/>
                        </a:xfrm>
                        <a:custGeom>
                          <a:avLst/>
                          <a:gdLst/>
                          <a:ahLst/>
                          <a:cxnLst/>
                          <a:rect l="l" t="t" r="r" b="b"/>
                          <a:pathLst>
                            <a:path w="1438275" h="0">
                              <a:moveTo>
                                <a:pt x="0" y="0"/>
                              </a:moveTo>
                              <a:lnTo>
                                <a:pt x="14382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9.5pt;margin-top:14.502344pt;width:113.25pt;height:.1pt;mso-position-horizontal-relative:page;mso-position-vertical-relative:paragraph;z-index:-15598592;mso-wrap-distance-left:0;mso-wrap-distance-right:0" id="docshape706" coordorigin="8190,290" coordsize="2265,0" path="m8190,290l10455,290e" filled="false" stroked="true" strokeweight="1pt" strokecolor="#000000">
                <v:path arrowok="t"/>
                <v:stroke dashstyle="solid"/>
                <w10:wrap type="topAndBottom"/>
              </v:shape>
            </w:pict>
          </mc:Fallback>
        </mc:AlternateContent>
      </w:r>
      <w:r>
        <w:rPr>
          <w:rFonts w:ascii="Arial MT"/>
          <w:sz w:val="16"/>
        </w:rPr>
        <mc:AlternateContent>
          <mc:Choice Requires="wps">
            <w:drawing>
              <wp:anchor distT="0" distB="0" distL="0" distR="0" allowOverlap="1" layoutInCell="1" locked="0" behindDoc="1" simplePos="0" relativeHeight="487718400">
                <wp:simplePos x="0" y="0"/>
                <wp:positionH relativeFrom="page">
                  <wp:posOffset>914400</wp:posOffset>
                </wp:positionH>
                <wp:positionV relativeFrom="paragraph">
                  <wp:posOffset>323879</wp:posOffset>
                </wp:positionV>
                <wp:extent cx="5876925" cy="1270"/>
                <wp:effectExtent l="0" t="0" r="0" b="0"/>
                <wp:wrapTopAndBottom/>
                <wp:docPr id="848" name="Graphic 848"/>
                <wp:cNvGraphicFramePr>
                  <a:graphicFrameLocks/>
                </wp:cNvGraphicFramePr>
                <a:graphic>
                  <a:graphicData uri="http://schemas.microsoft.com/office/word/2010/wordprocessingShape">
                    <wps:wsp>
                      <wps:cNvPr id="848" name="Graphic 848"/>
                      <wps:cNvSpPr/>
                      <wps:spPr>
                        <a:xfrm>
                          <a:off x="0" y="0"/>
                          <a:ext cx="5876925" cy="1270"/>
                        </a:xfrm>
                        <a:custGeom>
                          <a:avLst/>
                          <a:gdLst/>
                          <a:ahLst/>
                          <a:cxnLst/>
                          <a:rect l="l" t="t" r="r" b="b"/>
                          <a:pathLst>
                            <a:path w="5876925" h="0">
                              <a:moveTo>
                                <a:pt x="0" y="0"/>
                              </a:moveTo>
                              <a:lnTo>
                                <a:pt x="58769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502344pt;width:462.75pt;height:.1pt;mso-position-horizontal-relative:page;mso-position-vertical-relative:paragraph;z-index:-15598080;mso-wrap-distance-left:0;mso-wrap-distance-right:0" id="docshape707" coordorigin="1440,510" coordsize="9255,0" path="m1440,510l10695,510e" filled="false" stroked="true" strokeweight="1pt" strokecolor="#000000">
                <v:path arrowok="t"/>
                <v:stroke dashstyle="solid"/>
                <w10:wrap type="topAndBottom"/>
              </v:shape>
            </w:pict>
          </mc:Fallback>
        </mc:AlternateContent>
      </w:r>
      <w:r>
        <w:rPr>
          <w:sz w:val="16"/>
          <w:u w:val="single"/>
        </w:rPr>
        <w:tab/>
      </w:r>
      <w:r>
        <w:rPr>
          <w:rFonts w:ascii="Arial MT"/>
          <w:sz w:val="16"/>
          <w:u w:val="single"/>
        </w:rPr>
        <w:t>100.0</w:t>
      </w:r>
      <w:r>
        <w:rPr>
          <w:rFonts w:ascii="Arial MT"/>
          <w:spacing w:val="40"/>
          <w:sz w:val="16"/>
        </w:rPr>
        <w:t> </w:t>
      </w:r>
      <w:r>
        <w:rPr>
          <w:rFonts w:ascii="Arial MT"/>
          <w:sz w:val="16"/>
        </w:rPr>
        <w:t>%</w:t>
      </w:r>
      <w:r>
        <w:rPr>
          <w:rFonts w:ascii="Arial MT"/>
          <w:spacing w:val="30"/>
          <w:sz w:val="16"/>
        </w:rPr>
        <w:t> </w:t>
      </w:r>
      <w:r>
        <w:rPr>
          <w:sz w:val="16"/>
          <w:u w:val="single"/>
        </w:rPr>
        <w:tab/>
      </w:r>
      <w:r>
        <w:rPr>
          <w:rFonts w:ascii="Arial MT"/>
          <w:sz w:val="16"/>
          <w:u w:val="single"/>
        </w:rPr>
        <w:t>100.0</w:t>
      </w:r>
      <w:r>
        <w:rPr>
          <w:rFonts w:ascii="Arial MT"/>
          <w:spacing w:val="63"/>
          <w:w w:val="150"/>
          <w:sz w:val="16"/>
        </w:rPr>
        <w:t> </w:t>
      </w:r>
      <w:r>
        <w:rPr>
          <w:rFonts w:ascii="Arial MT"/>
          <w:spacing w:val="-10"/>
          <w:sz w:val="16"/>
        </w:rPr>
        <w:t>%</w:t>
      </w:r>
    </w:p>
    <w:p>
      <w:pPr>
        <w:pStyle w:val="BodyText"/>
        <w:spacing w:before="2"/>
        <w:rPr>
          <w:rFonts w:ascii="Arial MT"/>
          <w:sz w:val="16"/>
        </w:rPr>
      </w:pPr>
    </w:p>
    <w:p>
      <w:pPr>
        <w:pStyle w:val="BodyText"/>
        <w:spacing w:before="162"/>
        <w:ind w:left="720"/>
      </w:pPr>
      <w:r>
        <w:rPr/>
        <w:t>The</w:t>
      </w:r>
      <w:r>
        <w:rPr>
          <w:spacing w:val="-6"/>
        </w:rPr>
        <w:t> </w:t>
      </w:r>
      <w:r>
        <w:rPr/>
        <w:t>maturity</w:t>
      </w:r>
      <w:r>
        <w:rPr>
          <w:spacing w:val="-3"/>
        </w:rPr>
        <w:t> </w:t>
      </w:r>
      <w:r>
        <w:rPr/>
        <w:t>structure</w:t>
      </w:r>
      <w:r>
        <w:rPr>
          <w:spacing w:val="-3"/>
        </w:rPr>
        <w:t> </w:t>
      </w:r>
      <w:r>
        <w:rPr/>
        <w:t>of</w:t>
      </w:r>
      <w:r>
        <w:rPr>
          <w:spacing w:val="-3"/>
        </w:rPr>
        <w:t> </w:t>
      </w:r>
      <w:r>
        <w:rPr/>
        <w:t>IBRD’s</w:t>
      </w:r>
      <w:r>
        <w:rPr>
          <w:spacing w:val="-3"/>
        </w:rPr>
        <w:t> </w:t>
      </w:r>
      <w:r>
        <w:rPr/>
        <w:t>borrowings</w:t>
      </w:r>
      <w:r>
        <w:rPr>
          <w:spacing w:val="-4"/>
        </w:rPr>
        <w:t> </w:t>
      </w:r>
      <w:r>
        <w:rPr/>
        <w:t>outstanding</w:t>
      </w:r>
      <w:r>
        <w:rPr>
          <w:spacing w:val="-2"/>
        </w:rPr>
        <w:t> </w:t>
      </w:r>
      <w:r>
        <w:rPr/>
        <w:t>was</w:t>
      </w:r>
      <w:r>
        <w:rPr>
          <w:spacing w:val="-4"/>
        </w:rPr>
        <w:t> </w:t>
      </w:r>
      <w:r>
        <w:rPr/>
        <w:t>as</w:t>
      </w:r>
      <w:r>
        <w:rPr>
          <w:spacing w:val="-3"/>
        </w:rPr>
        <w:t> </w:t>
      </w:r>
      <w:r>
        <w:rPr>
          <w:spacing w:val="-2"/>
        </w:rPr>
        <w:t>follows:</w:t>
      </w:r>
    </w:p>
    <w:p>
      <w:pPr>
        <w:pStyle w:val="Heading8"/>
        <w:spacing w:before="126"/>
      </w:pPr>
      <w:r>
        <w:rPr/>
        <w:t>Table</w:t>
      </w:r>
      <w:r>
        <w:rPr>
          <w:spacing w:val="-4"/>
        </w:rPr>
        <w:t> </w:t>
      </w:r>
      <w:r>
        <w:rPr/>
        <w:t>E4:</w:t>
      </w:r>
      <w:r>
        <w:rPr>
          <w:spacing w:val="-3"/>
        </w:rPr>
        <w:t> </w:t>
      </w:r>
      <w:r>
        <w:rPr/>
        <w:t>Maturity</w:t>
      </w:r>
      <w:r>
        <w:rPr>
          <w:spacing w:val="-3"/>
        </w:rPr>
        <w:t> </w:t>
      </w:r>
      <w:r>
        <w:rPr/>
        <w:t>structure</w:t>
      </w:r>
      <w:r>
        <w:rPr>
          <w:spacing w:val="-4"/>
        </w:rPr>
        <w:t> </w:t>
      </w:r>
      <w:r>
        <w:rPr/>
        <w:t>of</w:t>
      </w:r>
      <w:r>
        <w:rPr>
          <w:spacing w:val="-2"/>
        </w:rPr>
        <w:t> Borrowings</w:t>
      </w:r>
    </w:p>
    <w:p>
      <w:pPr>
        <w:spacing w:before="4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18912">
                <wp:simplePos x="0" y="0"/>
                <wp:positionH relativeFrom="page">
                  <wp:posOffset>914400</wp:posOffset>
                </wp:positionH>
                <wp:positionV relativeFrom="paragraph">
                  <wp:posOffset>166394</wp:posOffset>
                </wp:positionV>
                <wp:extent cx="5943600" cy="127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101954pt;width:468pt;height:.1pt;mso-position-horizontal-relative:page;mso-position-vertical-relative:paragraph;z-index:-15597568;mso-wrap-distance-left:0;mso-wrap-distance-right:0" id="docshape708" coordorigin="1440,262" coordsize="9360,0" path="m1440,262l10800,26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8673" w:val="left" w:leader="none"/>
        </w:tabs>
        <w:spacing w:before="16" w:after="30"/>
        <w:ind w:left="6813"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3"/>
          <w:sz w:val="16"/>
        </w:rPr>
        <w:t> </w:t>
      </w:r>
      <w:r>
        <w:rPr>
          <w:rFonts w:ascii="Arial"/>
          <w:i/>
          <w:sz w:val="16"/>
        </w:rPr>
        <w:t>30,</w:t>
      </w:r>
      <w:r>
        <w:rPr>
          <w:rFonts w:ascii="Arial"/>
          <w:i/>
          <w:spacing w:val="-2"/>
          <w:sz w:val="16"/>
        </w:rPr>
        <w:t> </w:t>
      </w:r>
      <w:r>
        <w:rPr>
          <w:rFonts w:ascii="Arial"/>
          <w:i/>
          <w:spacing w:val="-4"/>
          <w:sz w:val="16"/>
        </w:rPr>
        <w:t>2022</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0"/>
        <w:gridCol w:w="648"/>
        <w:gridCol w:w="1174"/>
        <w:gridCol w:w="686"/>
        <w:gridCol w:w="1152"/>
      </w:tblGrid>
      <w:tr>
        <w:trPr>
          <w:trHeight w:val="230" w:hRule="atLeast"/>
        </w:trPr>
        <w:tc>
          <w:tcPr>
            <w:tcW w:w="5700" w:type="dxa"/>
          </w:tcPr>
          <w:p>
            <w:pPr>
              <w:pStyle w:val="TableParagraph"/>
              <w:spacing w:before="16"/>
              <w:ind w:left="52"/>
              <w:rPr>
                <w:sz w:val="16"/>
              </w:rPr>
            </w:pPr>
            <w:r>
              <w:rPr>
                <w:sz w:val="16"/>
              </w:rPr>
              <w:t>Less</w:t>
            </w:r>
            <w:r>
              <w:rPr>
                <w:spacing w:val="-2"/>
                <w:sz w:val="16"/>
              </w:rPr>
              <w:t> </w:t>
            </w:r>
            <w:r>
              <w:rPr>
                <w:sz w:val="16"/>
              </w:rPr>
              <w:t>than</w:t>
            </w:r>
            <w:r>
              <w:rPr>
                <w:spacing w:val="-2"/>
                <w:sz w:val="16"/>
              </w:rPr>
              <w:t> </w:t>
            </w:r>
            <w:r>
              <w:rPr>
                <w:sz w:val="16"/>
              </w:rPr>
              <w:t>1</w:t>
            </w:r>
            <w:r>
              <w:rPr>
                <w:spacing w:val="-2"/>
                <w:sz w:val="16"/>
              </w:rPr>
              <w:t> </w:t>
            </w:r>
            <w:r>
              <w:rPr>
                <w:spacing w:val="-4"/>
                <w:sz w:val="16"/>
              </w:rPr>
              <w:t>year</w:t>
            </w:r>
          </w:p>
        </w:tc>
        <w:tc>
          <w:tcPr>
            <w:tcW w:w="648" w:type="dxa"/>
            <w:tcBorders>
              <w:top w:val="single" w:sz="8" w:space="0" w:color="000000"/>
            </w:tcBorders>
          </w:tcPr>
          <w:p>
            <w:pPr>
              <w:pStyle w:val="TableParagraph"/>
              <w:spacing w:before="16"/>
              <w:ind w:left="52"/>
              <w:rPr>
                <w:sz w:val="16"/>
              </w:rPr>
            </w:pPr>
            <w:r>
              <w:rPr>
                <w:spacing w:val="-10"/>
                <w:sz w:val="16"/>
              </w:rPr>
              <w:t>$</w:t>
            </w:r>
          </w:p>
        </w:tc>
        <w:tc>
          <w:tcPr>
            <w:tcW w:w="1174" w:type="dxa"/>
            <w:tcBorders>
              <w:top w:val="single" w:sz="8" w:space="0" w:color="000000"/>
            </w:tcBorders>
          </w:tcPr>
          <w:p>
            <w:pPr>
              <w:pStyle w:val="TableParagraph"/>
              <w:spacing w:before="16"/>
              <w:ind w:right="88"/>
              <w:jc w:val="right"/>
              <w:rPr>
                <w:sz w:val="16"/>
              </w:rPr>
            </w:pPr>
            <w:r>
              <w:rPr>
                <w:spacing w:val="-2"/>
                <w:sz w:val="16"/>
              </w:rPr>
              <w:t>38,996</w:t>
            </w:r>
          </w:p>
        </w:tc>
        <w:tc>
          <w:tcPr>
            <w:tcW w:w="686" w:type="dxa"/>
            <w:tcBorders>
              <w:top w:val="single" w:sz="8" w:space="0" w:color="000000"/>
            </w:tcBorders>
          </w:tcPr>
          <w:p>
            <w:pPr>
              <w:pStyle w:val="TableParagraph"/>
              <w:spacing w:before="16"/>
              <w:ind w:left="90"/>
              <w:rPr>
                <w:sz w:val="16"/>
              </w:rPr>
            </w:pPr>
            <w:r>
              <w:rPr>
                <w:spacing w:val="-10"/>
                <w:sz w:val="16"/>
              </w:rPr>
              <w:t>$</w:t>
            </w:r>
          </w:p>
        </w:tc>
        <w:tc>
          <w:tcPr>
            <w:tcW w:w="1152" w:type="dxa"/>
            <w:tcBorders>
              <w:top w:val="single" w:sz="8" w:space="0" w:color="000000"/>
            </w:tcBorders>
          </w:tcPr>
          <w:p>
            <w:pPr>
              <w:pStyle w:val="TableParagraph"/>
              <w:spacing w:before="16"/>
              <w:ind w:right="66"/>
              <w:jc w:val="right"/>
              <w:rPr>
                <w:sz w:val="16"/>
              </w:rPr>
            </w:pPr>
            <w:r>
              <w:rPr>
                <w:spacing w:val="-2"/>
                <w:sz w:val="16"/>
              </w:rPr>
              <w:t>42,289</w:t>
            </w:r>
          </w:p>
        </w:tc>
      </w:tr>
      <w:tr>
        <w:trPr>
          <w:trHeight w:val="240" w:hRule="atLeast"/>
        </w:trPr>
        <w:tc>
          <w:tcPr>
            <w:tcW w:w="5700" w:type="dxa"/>
          </w:tcPr>
          <w:p>
            <w:pPr>
              <w:pStyle w:val="TableParagraph"/>
              <w:spacing w:before="25"/>
              <w:ind w:left="52"/>
              <w:rPr>
                <w:sz w:val="16"/>
              </w:rPr>
            </w:pPr>
            <w:r>
              <w:rPr>
                <w:spacing w:val="-2"/>
                <w:sz w:val="16"/>
              </w:rPr>
              <w:t>Between</w:t>
            </w:r>
          </w:p>
        </w:tc>
        <w:tc>
          <w:tcPr>
            <w:tcW w:w="648" w:type="dxa"/>
          </w:tcPr>
          <w:p>
            <w:pPr>
              <w:pStyle w:val="TableParagraph"/>
              <w:rPr>
                <w:rFonts w:ascii="Times New Roman"/>
                <w:sz w:val="16"/>
              </w:rPr>
            </w:pPr>
          </w:p>
        </w:tc>
        <w:tc>
          <w:tcPr>
            <w:tcW w:w="1174" w:type="dxa"/>
          </w:tcPr>
          <w:p>
            <w:pPr>
              <w:pStyle w:val="TableParagraph"/>
              <w:rPr>
                <w:rFonts w:ascii="Times New Roman"/>
                <w:sz w:val="16"/>
              </w:rPr>
            </w:pPr>
          </w:p>
        </w:tc>
        <w:tc>
          <w:tcPr>
            <w:tcW w:w="686" w:type="dxa"/>
          </w:tcPr>
          <w:p>
            <w:pPr>
              <w:pStyle w:val="TableParagraph"/>
              <w:rPr>
                <w:rFonts w:ascii="Times New Roman"/>
                <w:sz w:val="16"/>
              </w:rPr>
            </w:pPr>
          </w:p>
        </w:tc>
        <w:tc>
          <w:tcPr>
            <w:tcW w:w="1152" w:type="dxa"/>
          </w:tcPr>
          <w:p>
            <w:pPr>
              <w:pStyle w:val="TableParagraph"/>
              <w:rPr>
                <w:rFonts w:ascii="Times New Roman"/>
                <w:sz w:val="16"/>
              </w:rPr>
            </w:pPr>
          </w:p>
        </w:tc>
      </w:tr>
      <w:tr>
        <w:trPr>
          <w:trHeight w:val="240" w:hRule="atLeast"/>
        </w:trPr>
        <w:tc>
          <w:tcPr>
            <w:tcW w:w="5700" w:type="dxa"/>
          </w:tcPr>
          <w:p>
            <w:pPr>
              <w:pStyle w:val="TableParagraph"/>
              <w:spacing w:before="25"/>
              <w:ind w:left="232"/>
              <w:rPr>
                <w:sz w:val="16"/>
              </w:rPr>
            </w:pPr>
            <w:r>
              <w:rPr>
                <w:sz w:val="16"/>
              </w:rPr>
              <w:t>1-2</w:t>
            </w:r>
            <w:r>
              <w:rPr>
                <w:spacing w:val="-4"/>
                <w:sz w:val="16"/>
              </w:rPr>
              <w:t> </w:t>
            </w:r>
            <w:r>
              <w:rPr>
                <w:spacing w:val="-2"/>
                <w:sz w:val="16"/>
              </w:rPr>
              <w:t>years</w:t>
            </w:r>
          </w:p>
        </w:tc>
        <w:tc>
          <w:tcPr>
            <w:tcW w:w="648" w:type="dxa"/>
          </w:tcPr>
          <w:p>
            <w:pPr>
              <w:pStyle w:val="TableParagraph"/>
              <w:rPr>
                <w:rFonts w:ascii="Times New Roman"/>
                <w:sz w:val="16"/>
              </w:rPr>
            </w:pPr>
          </w:p>
        </w:tc>
        <w:tc>
          <w:tcPr>
            <w:tcW w:w="1174" w:type="dxa"/>
          </w:tcPr>
          <w:p>
            <w:pPr>
              <w:pStyle w:val="TableParagraph"/>
              <w:spacing w:before="25"/>
              <w:ind w:right="88"/>
              <w:jc w:val="right"/>
              <w:rPr>
                <w:sz w:val="16"/>
              </w:rPr>
            </w:pPr>
            <w:r>
              <w:rPr>
                <w:spacing w:val="-2"/>
                <w:sz w:val="16"/>
              </w:rPr>
              <w:t>31,917</w:t>
            </w:r>
          </w:p>
        </w:tc>
        <w:tc>
          <w:tcPr>
            <w:tcW w:w="686" w:type="dxa"/>
          </w:tcPr>
          <w:p>
            <w:pPr>
              <w:pStyle w:val="TableParagraph"/>
              <w:rPr>
                <w:rFonts w:ascii="Times New Roman"/>
                <w:sz w:val="16"/>
              </w:rPr>
            </w:pPr>
          </w:p>
        </w:tc>
        <w:tc>
          <w:tcPr>
            <w:tcW w:w="1152" w:type="dxa"/>
          </w:tcPr>
          <w:p>
            <w:pPr>
              <w:pStyle w:val="TableParagraph"/>
              <w:spacing w:before="25"/>
              <w:ind w:right="66"/>
              <w:jc w:val="right"/>
              <w:rPr>
                <w:sz w:val="16"/>
              </w:rPr>
            </w:pPr>
            <w:r>
              <w:rPr>
                <w:spacing w:val="-2"/>
                <w:sz w:val="16"/>
              </w:rPr>
              <w:t>28,483</w:t>
            </w:r>
          </w:p>
        </w:tc>
      </w:tr>
      <w:tr>
        <w:trPr>
          <w:trHeight w:val="240" w:hRule="atLeast"/>
        </w:trPr>
        <w:tc>
          <w:tcPr>
            <w:tcW w:w="5700" w:type="dxa"/>
          </w:tcPr>
          <w:p>
            <w:pPr>
              <w:pStyle w:val="TableParagraph"/>
              <w:spacing w:before="25"/>
              <w:ind w:left="232"/>
              <w:rPr>
                <w:sz w:val="16"/>
              </w:rPr>
            </w:pPr>
            <w:r>
              <w:rPr>
                <w:sz w:val="16"/>
              </w:rPr>
              <w:t>2-3</w:t>
            </w:r>
            <w:r>
              <w:rPr>
                <w:spacing w:val="-4"/>
                <w:sz w:val="16"/>
              </w:rPr>
              <w:t> </w:t>
            </w:r>
            <w:r>
              <w:rPr>
                <w:spacing w:val="-2"/>
                <w:sz w:val="16"/>
              </w:rPr>
              <w:t>years</w:t>
            </w:r>
          </w:p>
        </w:tc>
        <w:tc>
          <w:tcPr>
            <w:tcW w:w="648" w:type="dxa"/>
          </w:tcPr>
          <w:p>
            <w:pPr>
              <w:pStyle w:val="TableParagraph"/>
              <w:rPr>
                <w:rFonts w:ascii="Times New Roman"/>
                <w:sz w:val="16"/>
              </w:rPr>
            </w:pPr>
          </w:p>
        </w:tc>
        <w:tc>
          <w:tcPr>
            <w:tcW w:w="1174" w:type="dxa"/>
          </w:tcPr>
          <w:p>
            <w:pPr>
              <w:pStyle w:val="TableParagraph"/>
              <w:spacing w:before="25"/>
              <w:ind w:right="88"/>
              <w:jc w:val="right"/>
              <w:rPr>
                <w:sz w:val="16"/>
              </w:rPr>
            </w:pPr>
            <w:r>
              <w:rPr>
                <w:spacing w:val="-2"/>
                <w:sz w:val="16"/>
              </w:rPr>
              <w:t>29,004</w:t>
            </w:r>
          </w:p>
        </w:tc>
        <w:tc>
          <w:tcPr>
            <w:tcW w:w="686" w:type="dxa"/>
          </w:tcPr>
          <w:p>
            <w:pPr>
              <w:pStyle w:val="TableParagraph"/>
              <w:rPr>
                <w:rFonts w:ascii="Times New Roman"/>
                <w:sz w:val="16"/>
              </w:rPr>
            </w:pPr>
          </w:p>
        </w:tc>
        <w:tc>
          <w:tcPr>
            <w:tcW w:w="1152" w:type="dxa"/>
          </w:tcPr>
          <w:p>
            <w:pPr>
              <w:pStyle w:val="TableParagraph"/>
              <w:spacing w:before="25"/>
              <w:ind w:right="66"/>
              <w:jc w:val="right"/>
              <w:rPr>
                <w:sz w:val="16"/>
              </w:rPr>
            </w:pPr>
            <w:r>
              <w:rPr>
                <w:spacing w:val="-2"/>
                <w:sz w:val="16"/>
              </w:rPr>
              <w:t>32,274</w:t>
            </w:r>
          </w:p>
        </w:tc>
      </w:tr>
      <w:tr>
        <w:trPr>
          <w:trHeight w:val="240" w:hRule="atLeast"/>
        </w:trPr>
        <w:tc>
          <w:tcPr>
            <w:tcW w:w="5700" w:type="dxa"/>
          </w:tcPr>
          <w:p>
            <w:pPr>
              <w:pStyle w:val="TableParagraph"/>
              <w:spacing w:before="25"/>
              <w:ind w:left="232"/>
              <w:rPr>
                <w:sz w:val="16"/>
              </w:rPr>
            </w:pPr>
            <w:r>
              <w:rPr>
                <w:sz w:val="16"/>
              </w:rPr>
              <w:t>3-4</w:t>
            </w:r>
            <w:r>
              <w:rPr>
                <w:spacing w:val="-4"/>
                <w:sz w:val="16"/>
              </w:rPr>
              <w:t> </w:t>
            </w:r>
            <w:r>
              <w:rPr>
                <w:spacing w:val="-2"/>
                <w:sz w:val="16"/>
              </w:rPr>
              <w:t>years</w:t>
            </w:r>
          </w:p>
        </w:tc>
        <w:tc>
          <w:tcPr>
            <w:tcW w:w="648" w:type="dxa"/>
          </w:tcPr>
          <w:p>
            <w:pPr>
              <w:pStyle w:val="TableParagraph"/>
              <w:rPr>
                <w:rFonts w:ascii="Times New Roman"/>
                <w:sz w:val="16"/>
              </w:rPr>
            </w:pPr>
          </w:p>
        </w:tc>
        <w:tc>
          <w:tcPr>
            <w:tcW w:w="1174" w:type="dxa"/>
          </w:tcPr>
          <w:p>
            <w:pPr>
              <w:pStyle w:val="TableParagraph"/>
              <w:spacing w:before="25"/>
              <w:ind w:right="88"/>
              <w:jc w:val="right"/>
              <w:rPr>
                <w:sz w:val="16"/>
              </w:rPr>
            </w:pPr>
            <w:r>
              <w:rPr>
                <w:spacing w:val="-2"/>
                <w:sz w:val="16"/>
              </w:rPr>
              <w:t>27,040</w:t>
            </w:r>
          </w:p>
        </w:tc>
        <w:tc>
          <w:tcPr>
            <w:tcW w:w="686" w:type="dxa"/>
          </w:tcPr>
          <w:p>
            <w:pPr>
              <w:pStyle w:val="TableParagraph"/>
              <w:rPr>
                <w:rFonts w:ascii="Times New Roman"/>
                <w:sz w:val="16"/>
              </w:rPr>
            </w:pPr>
          </w:p>
        </w:tc>
        <w:tc>
          <w:tcPr>
            <w:tcW w:w="1152" w:type="dxa"/>
          </w:tcPr>
          <w:p>
            <w:pPr>
              <w:pStyle w:val="TableParagraph"/>
              <w:spacing w:before="25"/>
              <w:ind w:right="66"/>
              <w:jc w:val="right"/>
              <w:rPr>
                <w:sz w:val="16"/>
              </w:rPr>
            </w:pPr>
            <w:r>
              <w:rPr>
                <w:spacing w:val="-2"/>
                <w:sz w:val="16"/>
              </w:rPr>
              <w:t>27,479</w:t>
            </w:r>
          </w:p>
        </w:tc>
      </w:tr>
      <w:tr>
        <w:trPr>
          <w:trHeight w:val="240" w:hRule="atLeast"/>
        </w:trPr>
        <w:tc>
          <w:tcPr>
            <w:tcW w:w="5700" w:type="dxa"/>
          </w:tcPr>
          <w:p>
            <w:pPr>
              <w:pStyle w:val="TableParagraph"/>
              <w:spacing w:before="25"/>
              <w:ind w:left="232"/>
              <w:rPr>
                <w:sz w:val="16"/>
              </w:rPr>
            </w:pPr>
            <w:r>
              <w:rPr>
                <w:sz w:val="16"/>
              </w:rPr>
              <w:t>4-5</w:t>
            </w:r>
            <w:r>
              <w:rPr>
                <w:spacing w:val="-4"/>
                <w:sz w:val="16"/>
              </w:rPr>
              <w:t> </w:t>
            </w:r>
            <w:r>
              <w:rPr>
                <w:spacing w:val="-2"/>
                <w:sz w:val="16"/>
              </w:rPr>
              <w:t>years</w:t>
            </w:r>
          </w:p>
        </w:tc>
        <w:tc>
          <w:tcPr>
            <w:tcW w:w="648" w:type="dxa"/>
          </w:tcPr>
          <w:p>
            <w:pPr>
              <w:pStyle w:val="TableParagraph"/>
              <w:rPr>
                <w:rFonts w:ascii="Times New Roman"/>
                <w:sz w:val="16"/>
              </w:rPr>
            </w:pPr>
          </w:p>
        </w:tc>
        <w:tc>
          <w:tcPr>
            <w:tcW w:w="1174" w:type="dxa"/>
          </w:tcPr>
          <w:p>
            <w:pPr>
              <w:pStyle w:val="TableParagraph"/>
              <w:spacing w:before="25"/>
              <w:ind w:right="88"/>
              <w:jc w:val="right"/>
              <w:rPr>
                <w:sz w:val="16"/>
              </w:rPr>
            </w:pPr>
            <w:r>
              <w:rPr>
                <w:spacing w:val="-2"/>
                <w:sz w:val="16"/>
              </w:rPr>
              <w:t>25,850</w:t>
            </w:r>
          </w:p>
        </w:tc>
        <w:tc>
          <w:tcPr>
            <w:tcW w:w="686" w:type="dxa"/>
          </w:tcPr>
          <w:p>
            <w:pPr>
              <w:pStyle w:val="TableParagraph"/>
              <w:rPr>
                <w:rFonts w:ascii="Times New Roman"/>
                <w:sz w:val="16"/>
              </w:rPr>
            </w:pPr>
          </w:p>
        </w:tc>
        <w:tc>
          <w:tcPr>
            <w:tcW w:w="1152" w:type="dxa"/>
          </w:tcPr>
          <w:p>
            <w:pPr>
              <w:pStyle w:val="TableParagraph"/>
              <w:spacing w:before="25"/>
              <w:ind w:right="66"/>
              <w:jc w:val="right"/>
              <w:rPr>
                <w:sz w:val="16"/>
              </w:rPr>
            </w:pPr>
            <w:r>
              <w:rPr>
                <w:spacing w:val="-2"/>
                <w:sz w:val="16"/>
              </w:rPr>
              <w:t>19,163</w:t>
            </w:r>
          </w:p>
        </w:tc>
      </w:tr>
      <w:tr>
        <w:trPr>
          <w:trHeight w:val="229" w:hRule="atLeast"/>
        </w:trPr>
        <w:tc>
          <w:tcPr>
            <w:tcW w:w="5700" w:type="dxa"/>
          </w:tcPr>
          <w:p>
            <w:pPr>
              <w:pStyle w:val="TableParagraph"/>
              <w:spacing w:line="184" w:lineRule="exact" w:before="25"/>
              <w:ind w:left="52"/>
              <w:rPr>
                <w:sz w:val="16"/>
              </w:rPr>
            </w:pPr>
            <w:r>
              <w:rPr>
                <w:spacing w:val="-2"/>
                <w:sz w:val="16"/>
              </w:rPr>
              <w:t>Thereafter</w:t>
            </w:r>
          </w:p>
        </w:tc>
        <w:tc>
          <w:tcPr>
            <w:tcW w:w="648" w:type="dxa"/>
            <w:tcBorders>
              <w:bottom w:val="single" w:sz="8" w:space="0" w:color="000000"/>
            </w:tcBorders>
          </w:tcPr>
          <w:p>
            <w:pPr>
              <w:pStyle w:val="TableParagraph"/>
              <w:rPr>
                <w:rFonts w:ascii="Times New Roman"/>
                <w:sz w:val="16"/>
              </w:rPr>
            </w:pPr>
          </w:p>
        </w:tc>
        <w:tc>
          <w:tcPr>
            <w:tcW w:w="1174" w:type="dxa"/>
            <w:tcBorders>
              <w:bottom w:val="single" w:sz="8" w:space="0" w:color="000000"/>
            </w:tcBorders>
          </w:tcPr>
          <w:p>
            <w:pPr>
              <w:pStyle w:val="TableParagraph"/>
              <w:spacing w:line="184" w:lineRule="exact" w:before="25"/>
              <w:ind w:right="88"/>
              <w:jc w:val="right"/>
              <w:rPr>
                <w:sz w:val="16"/>
              </w:rPr>
            </w:pPr>
            <w:r>
              <w:rPr>
                <w:spacing w:val="-2"/>
                <w:sz w:val="16"/>
              </w:rPr>
              <w:t>84,458</w:t>
            </w:r>
          </w:p>
        </w:tc>
        <w:tc>
          <w:tcPr>
            <w:tcW w:w="686" w:type="dxa"/>
            <w:tcBorders>
              <w:bottom w:val="single" w:sz="8" w:space="0" w:color="000000"/>
            </w:tcBorders>
          </w:tcPr>
          <w:p>
            <w:pPr>
              <w:pStyle w:val="TableParagraph"/>
              <w:rPr>
                <w:rFonts w:ascii="Times New Roman"/>
                <w:sz w:val="16"/>
              </w:rPr>
            </w:pPr>
          </w:p>
        </w:tc>
        <w:tc>
          <w:tcPr>
            <w:tcW w:w="1152" w:type="dxa"/>
            <w:tcBorders>
              <w:bottom w:val="single" w:sz="8" w:space="0" w:color="000000"/>
            </w:tcBorders>
          </w:tcPr>
          <w:p>
            <w:pPr>
              <w:pStyle w:val="TableParagraph"/>
              <w:spacing w:line="184" w:lineRule="exact" w:before="25"/>
              <w:ind w:right="66"/>
              <w:jc w:val="right"/>
              <w:rPr>
                <w:sz w:val="16"/>
              </w:rPr>
            </w:pPr>
            <w:r>
              <w:rPr>
                <w:spacing w:val="-2"/>
                <w:sz w:val="16"/>
              </w:rPr>
              <w:t>85,485</w:t>
            </w:r>
          </w:p>
        </w:tc>
      </w:tr>
      <w:tr>
        <w:trPr>
          <w:trHeight w:val="200" w:hRule="atLeast"/>
        </w:trPr>
        <w:tc>
          <w:tcPr>
            <w:tcW w:w="5700" w:type="dxa"/>
          </w:tcPr>
          <w:p>
            <w:pPr>
              <w:pStyle w:val="TableParagraph"/>
              <w:rPr>
                <w:rFonts w:ascii="Times New Roman"/>
                <w:sz w:val="12"/>
              </w:rPr>
            </w:pPr>
          </w:p>
        </w:tc>
        <w:tc>
          <w:tcPr>
            <w:tcW w:w="648" w:type="dxa"/>
            <w:tcBorders>
              <w:top w:val="single" w:sz="8" w:space="0" w:color="000000"/>
              <w:bottom w:val="double" w:sz="8" w:space="0" w:color="000000"/>
            </w:tcBorders>
          </w:tcPr>
          <w:p>
            <w:pPr>
              <w:pStyle w:val="TableParagraph"/>
              <w:spacing w:line="164" w:lineRule="exact" w:before="16"/>
              <w:ind w:left="52"/>
              <w:rPr>
                <w:sz w:val="16"/>
              </w:rPr>
            </w:pPr>
            <w:r>
              <w:rPr>
                <w:spacing w:val="-10"/>
                <w:sz w:val="16"/>
              </w:rPr>
              <w:t>$</w:t>
            </w:r>
          </w:p>
        </w:tc>
        <w:tc>
          <w:tcPr>
            <w:tcW w:w="1174" w:type="dxa"/>
            <w:tcBorders>
              <w:top w:val="single" w:sz="8" w:space="0" w:color="000000"/>
              <w:bottom w:val="double" w:sz="8" w:space="0" w:color="000000"/>
            </w:tcBorders>
          </w:tcPr>
          <w:p>
            <w:pPr>
              <w:pStyle w:val="TableParagraph"/>
              <w:spacing w:line="164" w:lineRule="exact" w:before="16"/>
              <w:ind w:right="88"/>
              <w:jc w:val="right"/>
              <w:rPr>
                <w:sz w:val="16"/>
              </w:rPr>
            </w:pPr>
            <w:r>
              <w:rPr>
                <w:spacing w:val="-2"/>
                <w:sz w:val="16"/>
              </w:rPr>
              <w:t>237,265</w:t>
            </w:r>
          </w:p>
        </w:tc>
        <w:tc>
          <w:tcPr>
            <w:tcW w:w="686" w:type="dxa"/>
            <w:tcBorders>
              <w:top w:val="single" w:sz="8" w:space="0" w:color="000000"/>
              <w:bottom w:val="double" w:sz="8" w:space="0" w:color="000000"/>
            </w:tcBorders>
          </w:tcPr>
          <w:p>
            <w:pPr>
              <w:pStyle w:val="TableParagraph"/>
              <w:spacing w:line="164" w:lineRule="exact" w:before="16"/>
              <w:ind w:left="90"/>
              <w:rPr>
                <w:sz w:val="16"/>
              </w:rPr>
            </w:pPr>
            <w:r>
              <w:rPr>
                <w:spacing w:val="-10"/>
                <w:sz w:val="16"/>
              </w:rPr>
              <w:t>$</w:t>
            </w:r>
          </w:p>
        </w:tc>
        <w:tc>
          <w:tcPr>
            <w:tcW w:w="1152" w:type="dxa"/>
            <w:tcBorders>
              <w:top w:val="single" w:sz="8" w:space="0" w:color="000000"/>
              <w:bottom w:val="double" w:sz="8" w:space="0" w:color="000000"/>
            </w:tcBorders>
          </w:tcPr>
          <w:p>
            <w:pPr>
              <w:pStyle w:val="TableParagraph"/>
              <w:spacing w:line="164" w:lineRule="exact" w:before="16"/>
              <w:ind w:right="66"/>
              <w:jc w:val="right"/>
              <w:rPr>
                <w:sz w:val="16"/>
              </w:rPr>
            </w:pPr>
            <w:r>
              <w:rPr>
                <w:spacing w:val="-2"/>
                <w:sz w:val="16"/>
              </w:rPr>
              <w:t>235,173</w:t>
            </w:r>
          </w:p>
        </w:tc>
      </w:tr>
      <w:tr>
        <w:trPr>
          <w:trHeight w:val="200" w:hRule="atLeast"/>
        </w:trPr>
        <w:tc>
          <w:tcPr>
            <w:tcW w:w="5700" w:type="dxa"/>
            <w:tcBorders>
              <w:bottom w:val="single" w:sz="8" w:space="0" w:color="000000"/>
            </w:tcBorders>
          </w:tcPr>
          <w:p>
            <w:pPr>
              <w:pStyle w:val="TableParagraph"/>
              <w:rPr>
                <w:rFonts w:ascii="Times New Roman"/>
                <w:sz w:val="12"/>
              </w:rPr>
            </w:pPr>
          </w:p>
        </w:tc>
        <w:tc>
          <w:tcPr>
            <w:tcW w:w="648" w:type="dxa"/>
            <w:tcBorders>
              <w:top w:val="double" w:sz="8" w:space="0" w:color="000000"/>
              <w:bottom w:val="single" w:sz="8" w:space="0" w:color="000000"/>
            </w:tcBorders>
          </w:tcPr>
          <w:p>
            <w:pPr>
              <w:pStyle w:val="TableParagraph"/>
              <w:rPr>
                <w:rFonts w:ascii="Times New Roman"/>
                <w:sz w:val="12"/>
              </w:rPr>
            </w:pPr>
          </w:p>
        </w:tc>
        <w:tc>
          <w:tcPr>
            <w:tcW w:w="1174" w:type="dxa"/>
            <w:tcBorders>
              <w:top w:val="double" w:sz="8" w:space="0" w:color="000000"/>
              <w:bottom w:val="single" w:sz="8" w:space="0" w:color="000000"/>
            </w:tcBorders>
          </w:tcPr>
          <w:p>
            <w:pPr>
              <w:pStyle w:val="TableParagraph"/>
              <w:rPr>
                <w:rFonts w:ascii="Times New Roman"/>
                <w:sz w:val="12"/>
              </w:rPr>
            </w:pPr>
          </w:p>
        </w:tc>
        <w:tc>
          <w:tcPr>
            <w:tcW w:w="686" w:type="dxa"/>
            <w:tcBorders>
              <w:top w:val="double" w:sz="8" w:space="0" w:color="000000"/>
              <w:bottom w:val="single" w:sz="8" w:space="0" w:color="000000"/>
            </w:tcBorders>
          </w:tcPr>
          <w:p>
            <w:pPr>
              <w:pStyle w:val="TableParagraph"/>
              <w:rPr>
                <w:rFonts w:ascii="Times New Roman"/>
                <w:sz w:val="12"/>
              </w:rPr>
            </w:pPr>
          </w:p>
        </w:tc>
        <w:tc>
          <w:tcPr>
            <w:tcW w:w="1152" w:type="dxa"/>
            <w:tcBorders>
              <w:top w:val="double" w:sz="8" w:space="0" w:color="000000"/>
              <w:bottom w:val="single" w:sz="8" w:space="0" w:color="000000"/>
            </w:tcBorders>
          </w:tcPr>
          <w:p>
            <w:pPr>
              <w:pStyle w:val="TableParagraph"/>
              <w:rPr>
                <w:rFonts w:ascii="Times New Roman"/>
                <w:sz w:val="12"/>
              </w:rPr>
            </w:pPr>
          </w:p>
        </w:tc>
      </w:tr>
    </w:tbl>
    <w:p>
      <w:pPr>
        <w:pStyle w:val="BodyText"/>
        <w:spacing w:before="153"/>
        <w:ind w:left="720"/>
        <w:jc w:val="both"/>
      </w:pPr>
      <w:r>
        <w:rPr/>
        <w:t>IBRD’s</w:t>
      </w:r>
      <w:r>
        <w:rPr>
          <w:spacing w:val="-6"/>
        </w:rPr>
        <w:t> </w:t>
      </w:r>
      <w:r>
        <w:rPr/>
        <w:t>borrowings</w:t>
      </w:r>
      <w:r>
        <w:rPr>
          <w:spacing w:val="-3"/>
        </w:rPr>
        <w:t> </w:t>
      </w:r>
      <w:r>
        <w:rPr/>
        <w:t>have</w:t>
      </w:r>
      <w:r>
        <w:rPr>
          <w:spacing w:val="-3"/>
        </w:rPr>
        <w:t> </w:t>
      </w:r>
      <w:r>
        <w:rPr/>
        <w:t>original</w:t>
      </w:r>
      <w:r>
        <w:rPr>
          <w:spacing w:val="-3"/>
        </w:rPr>
        <w:t> </w:t>
      </w:r>
      <w:r>
        <w:rPr/>
        <w:t>maturities</w:t>
      </w:r>
      <w:r>
        <w:rPr>
          <w:spacing w:val="-3"/>
        </w:rPr>
        <w:t> </w:t>
      </w:r>
      <w:r>
        <w:rPr/>
        <w:t>ranging</w:t>
      </w:r>
      <w:r>
        <w:rPr>
          <w:spacing w:val="-2"/>
        </w:rPr>
        <w:t> </w:t>
      </w:r>
      <w:r>
        <w:rPr/>
        <w:t>from</w:t>
      </w:r>
      <w:r>
        <w:rPr>
          <w:spacing w:val="-3"/>
        </w:rPr>
        <w:t> </w:t>
      </w:r>
      <w:r>
        <w:rPr/>
        <w:t>17</w:t>
      </w:r>
      <w:r>
        <w:rPr>
          <w:spacing w:val="-2"/>
        </w:rPr>
        <w:t> </w:t>
      </w:r>
      <w:r>
        <w:rPr/>
        <w:t>days</w:t>
      </w:r>
      <w:r>
        <w:rPr>
          <w:spacing w:val="-3"/>
        </w:rPr>
        <w:t> </w:t>
      </w:r>
      <w:r>
        <w:rPr/>
        <w:t>to</w:t>
      </w:r>
      <w:r>
        <w:rPr>
          <w:spacing w:val="-2"/>
        </w:rPr>
        <w:t> </w:t>
      </w:r>
      <w:r>
        <w:rPr/>
        <w:t>50</w:t>
      </w:r>
      <w:r>
        <w:rPr>
          <w:spacing w:val="-2"/>
        </w:rPr>
        <w:t> </w:t>
      </w:r>
      <w:r>
        <w:rPr/>
        <w:t>years,</w:t>
      </w:r>
      <w:r>
        <w:rPr>
          <w:spacing w:val="-2"/>
        </w:rPr>
        <w:t> </w:t>
      </w:r>
      <w:r>
        <w:rPr/>
        <w:t>with</w:t>
      </w:r>
      <w:r>
        <w:rPr>
          <w:spacing w:val="-2"/>
        </w:rPr>
        <w:t> </w:t>
      </w:r>
      <w:r>
        <w:rPr/>
        <w:t>the</w:t>
      </w:r>
      <w:r>
        <w:rPr>
          <w:spacing w:val="-3"/>
        </w:rPr>
        <w:t> </w:t>
      </w:r>
      <w:r>
        <w:rPr/>
        <w:t>final</w:t>
      </w:r>
      <w:r>
        <w:rPr>
          <w:spacing w:val="-3"/>
        </w:rPr>
        <w:t> </w:t>
      </w:r>
      <w:r>
        <w:rPr/>
        <w:t>maturity</w:t>
      </w:r>
      <w:r>
        <w:rPr>
          <w:spacing w:val="-2"/>
        </w:rPr>
        <w:t> </w:t>
      </w:r>
      <w:r>
        <w:rPr/>
        <w:t>in</w:t>
      </w:r>
      <w:r>
        <w:rPr>
          <w:spacing w:val="-2"/>
        </w:rPr>
        <w:t> 2069.</w:t>
      </w:r>
    </w:p>
    <w:p>
      <w:pPr>
        <w:pStyle w:val="BodyText"/>
      </w:pPr>
    </w:p>
    <w:p>
      <w:pPr>
        <w:pStyle w:val="BodyText"/>
        <w:spacing w:before="31"/>
      </w:pPr>
    </w:p>
    <w:p>
      <w:pPr>
        <w:pStyle w:val="Heading3"/>
      </w:pPr>
      <w:bookmarkStart w:name="NOTE F—DERIVATIVE INSTRUMENTS" w:id="211"/>
      <w:bookmarkEnd w:id="211"/>
      <w:r>
        <w:rPr>
          <w:b w:val="0"/>
        </w:rPr>
      </w:r>
      <w:r>
        <w:rPr/>
        <w:t>NOTE</w:t>
      </w:r>
      <w:r>
        <w:rPr>
          <w:spacing w:val="-4"/>
        </w:rPr>
        <w:t> </w:t>
      </w:r>
      <w:r>
        <w:rPr/>
        <w:t>F—DERIVATIVE</w:t>
      </w:r>
      <w:r>
        <w:rPr>
          <w:spacing w:val="-3"/>
        </w:rPr>
        <w:t> </w:t>
      </w:r>
      <w:r>
        <w:rPr>
          <w:spacing w:val="-2"/>
        </w:rPr>
        <w:t>INSTRUMENTS</w:t>
      </w:r>
    </w:p>
    <w:p>
      <w:pPr>
        <w:pStyle w:val="BodyText"/>
        <w:spacing w:line="249" w:lineRule="auto" w:before="130"/>
        <w:ind w:left="720" w:right="718"/>
        <w:jc w:val="both"/>
      </w:pPr>
      <w:r>
        <w:rPr/>
        <w:t>IBRD uses derivative instruments in its investment, loan and borrowing portfolios, and for asset/liability management purposes. It also offers derivative intermediation services to clients and, concurrently, enters into offsetting transactions with market counterparties.</w:t>
      </w:r>
    </w:p>
    <w:p>
      <w:pPr>
        <w:pStyle w:val="BodyText"/>
        <w:spacing w:after="0" w:line="249" w:lineRule="auto"/>
        <w:jc w:val="both"/>
        <w:sectPr>
          <w:headerReference w:type="even" r:id="rId169"/>
          <w:footerReference w:type="even" r:id="rId170"/>
          <w:footerReference w:type="default" r:id="rId171"/>
          <w:pgSz w:w="12240" w:h="15840"/>
          <w:pgMar w:header="0" w:footer="528" w:top="960" w:bottom="720" w:left="720" w:right="720"/>
          <w:pgNumType w:start="110"/>
        </w:sectPr>
      </w:pPr>
    </w:p>
    <w:p>
      <w:pPr>
        <w:pStyle w:val="BodyText"/>
        <w:spacing w:before="72"/>
        <w:ind w:left="720"/>
      </w:pPr>
      <w:r>
        <w:rPr/>
        <w:t>The</w:t>
      </w:r>
      <w:r>
        <w:rPr>
          <w:spacing w:val="-6"/>
        </w:rPr>
        <w:t> </w:t>
      </w:r>
      <w:r>
        <w:rPr/>
        <w:t>following</w:t>
      </w:r>
      <w:r>
        <w:rPr>
          <w:spacing w:val="-3"/>
        </w:rPr>
        <w:t> </w:t>
      </w:r>
      <w:r>
        <w:rPr/>
        <w:t>table</w:t>
      </w:r>
      <w:r>
        <w:rPr>
          <w:spacing w:val="-4"/>
        </w:rPr>
        <w:t> </w:t>
      </w:r>
      <w:r>
        <w:rPr/>
        <w:t>summarizes</w:t>
      </w:r>
      <w:r>
        <w:rPr>
          <w:spacing w:val="-4"/>
        </w:rPr>
        <w:t> </w:t>
      </w:r>
      <w:r>
        <w:rPr/>
        <w:t>IBRD’s</w:t>
      </w:r>
      <w:r>
        <w:rPr>
          <w:spacing w:val="-4"/>
        </w:rPr>
        <w:t> </w:t>
      </w:r>
      <w:r>
        <w:rPr/>
        <w:t>use</w:t>
      </w:r>
      <w:r>
        <w:rPr>
          <w:spacing w:val="-4"/>
        </w:rPr>
        <w:t> </w:t>
      </w:r>
      <w:r>
        <w:rPr/>
        <w:t>of</w:t>
      </w:r>
      <w:r>
        <w:rPr>
          <w:spacing w:val="-3"/>
        </w:rPr>
        <w:t> </w:t>
      </w:r>
      <w:r>
        <w:rPr/>
        <w:t>derivatives</w:t>
      </w:r>
      <w:r>
        <w:rPr>
          <w:spacing w:val="-4"/>
        </w:rPr>
        <w:t> </w:t>
      </w:r>
      <w:r>
        <w:rPr/>
        <w:t>in</w:t>
      </w:r>
      <w:r>
        <w:rPr>
          <w:spacing w:val="-3"/>
        </w:rPr>
        <w:t> </w:t>
      </w:r>
      <w:r>
        <w:rPr/>
        <w:t>its</w:t>
      </w:r>
      <w:r>
        <w:rPr>
          <w:spacing w:val="-4"/>
        </w:rPr>
        <w:t> </w:t>
      </w:r>
      <w:r>
        <w:rPr/>
        <w:t>various</w:t>
      </w:r>
      <w:r>
        <w:rPr>
          <w:spacing w:val="-4"/>
        </w:rPr>
        <w:t> </w:t>
      </w:r>
      <w:r>
        <w:rPr/>
        <w:t>financial</w:t>
      </w:r>
      <w:r>
        <w:rPr>
          <w:spacing w:val="-3"/>
        </w:rPr>
        <w:t> </w:t>
      </w:r>
      <w:r>
        <w:rPr>
          <w:spacing w:val="-2"/>
        </w:rPr>
        <w:t>portfolios:</w:t>
      </w:r>
    </w:p>
    <w:p>
      <w:pPr>
        <w:pStyle w:val="BodyText"/>
        <w:spacing w:before="4"/>
        <w:rPr>
          <w:sz w:val="13"/>
        </w:rPr>
      </w:pPr>
      <w:r>
        <w:rPr>
          <w:sz w:val="13"/>
        </w:rPr>
        <mc:AlternateContent>
          <mc:Choice Requires="wps">
            <w:drawing>
              <wp:anchor distT="0" distB="0" distL="0" distR="0" allowOverlap="1" layoutInCell="1" locked="0" behindDoc="1" simplePos="0" relativeHeight="487720448">
                <wp:simplePos x="0" y="0"/>
                <wp:positionH relativeFrom="page">
                  <wp:posOffset>914400</wp:posOffset>
                </wp:positionH>
                <wp:positionV relativeFrom="paragraph">
                  <wp:posOffset>113042</wp:posOffset>
                </wp:positionV>
                <wp:extent cx="5943600" cy="1270"/>
                <wp:effectExtent l="0" t="0" r="0" b="0"/>
                <wp:wrapTopAndBottom/>
                <wp:docPr id="850" name="Graphic 850"/>
                <wp:cNvGraphicFramePr>
                  <a:graphicFrameLocks/>
                </wp:cNvGraphicFramePr>
                <a:graphic>
                  <a:graphicData uri="http://schemas.microsoft.com/office/word/2010/wordprocessingShape">
                    <wps:wsp>
                      <wps:cNvPr id="850" name="Graphic 85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900976pt;width:468pt;height:.1pt;mso-position-horizontal-relative:page;mso-position-vertical-relative:paragraph;z-index:-15596032;mso-wrap-distance-left:0;mso-wrap-distance-right:0" id="docshape709" coordorigin="1440,178" coordsize="9360,0" path="m1440,178l10800,178e" filled="false" stroked="true" strokeweight="1pt" strokecolor="#000000">
                <v:path arrowok="t"/>
                <v:stroke dashstyle="solid"/>
                <w10:wrap type="topAndBottom"/>
              </v:shape>
            </w:pict>
          </mc:Fallback>
        </mc:AlternateContent>
      </w:r>
    </w:p>
    <w:p>
      <w:pPr>
        <w:tabs>
          <w:tab w:pos="3812" w:val="left" w:leader="none"/>
          <w:tab w:pos="7221" w:val="left" w:leader="none"/>
        </w:tabs>
        <w:spacing w:before="91" w:after="30"/>
        <w:ind w:left="791" w:right="0" w:firstLine="0"/>
        <w:jc w:val="left"/>
        <w:rPr>
          <w:rFonts w:ascii="Arial"/>
          <w:b/>
          <w:i/>
          <w:sz w:val="16"/>
        </w:rPr>
      </w:pPr>
      <w:r>
        <w:rPr>
          <w:rFonts w:ascii="Arial"/>
          <w:b/>
          <w:i/>
          <w:spacing w:val="-2"/>
          <w:sz w:val="16"/>
        </w:rPr>
        <w:t>Portfolio</w:t>
      </w:r>
      <w:r>
        <w:rPr>
          <w:rFonts w:ascii="Arial"/>
          <w:b/>
          <w:i/>
          <w:sz w:val="16"/>
        </w:rPr>
        <w:tab/>
        <w:t>Derivative</w:t>
      </w:r>
      <w:r>
        <w:rPr>
          <w:rFonts w:ascii="Arial"/>
          <w:b/>
          <w:i/>
          <w:spacing w:val="-10"/>
          <w:sz w:val="16"/>
        </w:rPr>
        <w:t> </w:t>
      </w:r>
      <w:r>
        <w:rPr>
          <w:rFonts w:ascii="Arial"/>
          <w:b/>
          <w:i/>
          <w:sz w:val="16"/>
        </w:rPr>
        <w:t>instruments</w:t>
      </w:r>
      <w:r>
        <w:rPr>
          <w:rFonts w:ascii="Arial"/>
          <w:b/>
          <w:i/>
          <w:spacing w:val="-7"/>
          <w:sz w:val="16"/>
        </w:rPr>
        <w:t> </w:t>
      </w:r>
      <w:r>
        <w:rPr>
          <w:rFonts w:ascii="Arial"/>
          <w:b/>
          <w:i/>
          <w:spacing w:val="-4"/>
          <w:sz w:val="16"/>
        </w:rPr>
        <w:t>used</w:t>
      </w:r>
      <w:r>
        <w:rPr>
          <w:rFonts w:ascii="Arial"/>
          <w:b/>
          <w:i/>
          <w:sz w:val="16"/>
        </w:rPr>
        <w:tab/>
        <w:t>Purpose</w:t>
      </w:r>
      <w:r>
        <w:rPr>
          <w:rFonts w:ascii="Arial"/>
          <w:b/>
          <w:i/>
          <w:spacing w:val="-6"/>
          <w:sz w:val="16"/>
        </w:rPr>
        <w:t> </w:t>
      </w:r>
      <w:r>
        <w:rPr>
          <w:rFonts w:ascii="Arial"/>
          <w:b/>
          <w:i/>
          <w:sz w:val="16"/>
        </w:rPr>
        <w:t>/</w:t>
      </w:r>
      <w:r>
        <w:rPr>
          <w:rFonts w:ascii="Arial"/>
          <w:b/>
          <w:i/>
          <w:spacing w:val="-3"/>
          <w:sz w:val="16"/>
        </w:rPr>
        <w:t> </w:t>
      </w:r>
      <w:r>
        <w:rPr>
          <w:rFonts w:ascii="Arial"/>
          <w:b/>
          <w:i/>
          <w:sz w:val="16"/>
        </w:rPr>
        <w:t>Risk</w:t>
      </w:r>
      <w:r>
        <w:rPr>
          <w:rFonts w:ascii="Arial"/>
          <w:b/>
          <w:i/>
          <w:spacing w:val="-3"/>
          <w:sz w:val="16"/>
        </w:rPr>
        <w:t> </w:t>
      </w:r>
      <w:r>
        <w:rPr>
          <w:rFonts w:ascii="Arial"/>
          <w:b/>
          <w:i/>
          <w:sz w:val="16"/>
        </w:rPr>
        <w:t>being</w:t>
      </w:r>
      <w:r>
        <w:rPr>
          <w:rFonts w:ascii="Arial"/>
          <w:b/>
          <w:i/>
          <w:spacing w:val="-3"/>
          <w:sz w:val="16"/>
        </w:rPr>
        <w:t> </w:t>
      </w:r>
      <w:r>
        <w:rPr>
          <w:rFonts w:ascii="Arial"/>
          <w:b/>
          <w:i/>
          <w:spacing w:val="-2"/>
          <w:sz w:val="16"/>
        </w:rPr>
        <w:t>managed</w:t>
      </w:r>
    </w:p>
    <w:p>
      <w:pPr>
        <w:spacing w:line="20" w:lineRule="exact"/>
        <w:ind w:left="720" w:right="0" w:firstLine="0"/>
        <w:jc w:val="left"/>
        <w:rPr>
          <w:rFonts w:ascii="Arial"/>
          <w:sz w:val="2"/>
        </w:rPr>
      </w:pPr>
      <w:r>
        <w:rPr>
          <w:rFonts w:ascii="Arial"/>
          <w:sz w:val="2"/>
        </w:rPr>
        <mc:AlternateContent>
          <mc:Choice Requires="wps">
            <w:drawing>
              <wp:inline distT="0" distB="0" distL="0" distR="0">
                <wp:extent cx="1495425" cy="12700"/>
                <wp:effectExtent l="9525" t="0" r="0" b="6350"/>
                <wp:docPr id="851" name="Group 851"/>
                <wp:cNvGraphicFramePr>
                  <a:graphicFrameLocks/>
                </wp:cNvGraphicFramePr>
                <a:graphic>
                  <a:graphicData uri="http://schemas.microsoft.com/office/word/2010/wordprocessingGroup">
                    <wpg:wgp>
                      <wpg:cNvPr id="851" name="Group 851"/>
                      <wpg:cNvGrpSpPr/>
                      <wpg:grpSpPr>
                        <a:xfrm>
                          <a:off x="0" y="0"/>
                          <a:ext cx="1495425" cy="12700"/>
                          <a:chExt cx="1495425" cy="12700"/>
                        </a:xfrm>
                      </wpg:grpSpPr>
                      <wps:wsp>
                        <wps:cNvPr id="852" name="Graphic 852"/>
                        <wps:cNvSpPr/>
                        <wps:spPr>
                          <a:xfrm>
                            <a:off x="0" y="6350"/>
                            <a:ext cx="1495425" cy="1270"/>
                          </a:xfrm>
                          <a:custGeom>
                            <a:avLst/>
                            <a:gdLst/>
                            <a:ahLst/>
                            <a:cxnLst/>
                            <a:rect l="l" t="t" r="r" b="b"/>
                            <a:pathLst>
                              <a:path w="1495425" h="0">
                                <a:moveTo>
                                  <a:pt x="0" y="0"/>
                                </a:moveTo>
                                <a:lnTo>
                                  <a:pt x="14954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7.75pt;height:1pt;mso-position-horizontal-relative:char;mso-position-vertical-relative:line" id="docshapegroup710" coordorigin="0,0" coordsize="2355,20">
                <v:line style="position:absolute" from="0,10" to="2355,10" stroked="true" strokeweight="1pt" strokecolor="#000000">
                  <v:stroke dashstyle="solid"/>
                </v:line>
              </v:group>
            </w:pict>
          </mc:Fallback>
        </mc:AlternateContent>
      </w:r>
      <w:r>
        <w:rPr>
          <w:rFonts w:ascii="Arial"/>
          <w:sz w:val="2"/>
        </w:rPr>
      </w:r>
      <w:r>
        <w:rPr>
          <w:spacing w:val="180"/>
          <w:sz w:val="2"/>
        </w:rPr>
        <w:t> </w:t>
      </w:r>
      <w:r>
        <w:rPr>
          <w:rFonts w:ascii="Arial"/>
          <w:spacing w:val="180"/>
          <w:sz w:val="2"/>
        </w:rPr>
        <mc:AlternateContent>
          <mc:Choice Requires="wps">
            <w:drawing>
              <wp:inline distT="0" distB="0" distL="0" distR="0">
                <wp:extent cx="2047875" cy="12700"/>
                <wp:effectExtent l="9525" t="0" r="0" b="6350"/>
                <wp:docPr id="853" name="Group 853"/>
                <wp:cNvGraphicFramePr>
                  <a:graphicFrameLocks/>
                </wp:cNvGraphicFramePr>
                <a:graphic>
                  <a:graphicData uri="http://schemas.microsoft.com/office/word/2010/wordprocessingGroup">
                    <wpg:wgp>
                      <wpg:cNvPr id="853" name="Group 853"/>
                      <wpg:cNvGrpSpPr/>
                      <wpg:grpSpPr>
                        <a:xfrm>
                          <a:off x="0" y="0"/>
                          <a:ext cx="2047875" cy="12700"/>
                          <a:chExt cx="2047875" cy="12700"/>
                        </a:xfrm>
                      </wpg:grpSpPr>
                      <wps:wsp>
                        <wps:cNvPr id="854" name="Graphic 854"/>
                        <wps:cNvSpPr/>
                        <wps:spPr>
                          <a:xfrm>
                            <a:off x="0" y="6350"/>
                            <a:ext cx="2047875" cy="1270"/>
                          </a:xfrm>
                          <a:custGeom>
                            <a:avLst/>
                            <a:gdLst/>
                            <a:ahLst/>
                            <a:cxnLst/>
                            <a:rect l="l" t="t" r="r" b="b"/>
                            <a:pathLst>
                              <a:path w="2047875" h="0">
                                <a:moveTo>
                                  <a:pt x="0" y="0"/>
                                </a:moveTo>
                                <a:lnTo>
                                  <a:pt x="20478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1.25pt;height:1pt;mso-position-horizontal-relative:char;mso-position-vertical-relative:line" id="docshapegroup711" coordorigin="0,0" coordsize="3225,20">
                <v:line style="position:absolute" from="0,10" to="3225,10" stroked="true" strokeweight="1pt" strokecolor="#000000">
                  <v:stroke dashstyle="solid"/>
                </v:line>
              </v:group>
            </w:pict>
          </mc:Fallback>
        </mc:AlternateContent>
      </w:r>
      <w:r>
        <w:rPr>
          <w:rFonts w:ascii="Arial"/>
          <w:spacing w:val="180"/>
          <w:sz w:val="2"/>
        </w:rPr>
      </w:r>
      <w:r>
        <w:rPr>
          <w:spacing w:val="180"/>
          <w:sz w:val="2"/>
        </w:rPr>
        <w:t> </w:t>
      </w:r>
      <w:r>
        <w:rPr>
          <w:rFonts w:ascii="Arial"/>
          <w:spacing w:val="180"/>
          <w:sz w:val="2"/>
        </w:rPr>
        <mc:AlternateContent>
          <mc:Choice Requires="wps">
            <w:drawing>
              <wp:inline distT="0" distB="0" distL="0" distR="0">
                <wp:extent cx="2152650" cy="12700"/>
                <wp:effectExtent l="9525" t="0" r="0" b="6350"/>
                <wp:docPr id="855" name="Group 855"/>
                <wp:cNvGraphicFramePr>
                  <a:graphicFrameLocks/>
                </wp:cNvGraphicFramePr>
                <a:graphic>
                  <a:graphicData uri="http://schemas.microsoft.com/office/word/2010/wordprocessingGroup">
                    <wpg:wgp>
                      <wpg:cNvPr id="855" name="Group 855"/>
                      <wpg:cNvGrpSpPr/>
                      <wpg:grpSpPr>
                        <a:xfrm>
                          <a:off x="0" y="0"/>
                          <a:ext cx="2152650" cy="12700"/>
                          <a:chExt cx="2152650" cy="12700"/>
                        </a:xfrm>
                      </wpg:grpSpPr>
                      <wps:wsp>
                        <wps:cNvPr id="856" name="Graphic 856"/>
                        <wps:cNvSpPr/>
                        <wps:spPr>
                          <a:xfrm>
                            <a:off x="0" y="6350"/>
                            <a:ext cx="2152650" cy="1270"/>
                          </a:xfrm>
                          <a:custGeom>
                            <a:avLst/>
                            <a:gdLst/>
                            <a:ahLst/>
                            <a:cxnLst/>
                            <a:rect l="l" t="t" r="r" b="b"/>
                            <a:pathLst>
                              <a:path w="2152650" h="0">
                                <a:moveTo>
                                  <a:pt x="0" y="0"/>
                                </a:moveTo>
                                <a:lnTo>
                                  <a:pt x="2152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5pt;height:1pt;mso-position-horizontal-relative:char;mso-position-vertical-relative:line" id="docshapegroup712" coordorigin="0,0" coordsize="3390,20">
                <v:line style="position:absolute" from="0,10" to="3390,10" stroked="true" strokeweight="1pt" strokecolor="#000000">
                  <v:stroke dashstyle="solid"/>
                </v:line>
              </v:group>
            </w:pict>
          </mc:Fallback>
        </mc:AlternateContent>
      </w:r>
      <w:r>
        <w:rPr>
          <w:rFonts w:ascii="Arial"/>
          <w:spacing w:val="180"/>
          <w:sz w:val="2"/>
        </w:rPr>
      </w:r>
    </w:p>
    <w:p>
      <w:pPr>
        <w:spacing w:before="2"/>
        <w:ind w:left="791" w:right="0" w:firstLine="0"/>
        <w:jc w:val="left"/>
        <w:rPr>
          <w:rFonts w:ascii="Arial MT"/>
          <w:sz w:val="16"/>
        </w:rPr>
      </w:pPr>
      <w:r>
        <w:rPr>
          <w:rFonts w:ascii="Arial MT"/>
          <w:sz w:val="16"/>
        </w:rPr>
        <w:t>Risk</w:t>
      </w:r>
      <w:r>
        <w:rPr>
          <w:rFonts w:ascii="Arial MT"/>
          <w:spacing w:val="-5"/>
          <w:sz w:val="16"/>
        </w:rPr>
        <w:t> </w:t>
      </w:r>
      <w:r>
        <w:rPr>
          <w:rFonts w:ascii="Arial MT"/>
          <w:sz w:val="16"/>
        </w:rPr>
        <w:t>management</w:t>
      </w:r>
      <w:r>
        <w:rPr>
          <w:rFonts w:ascii="Arial MT"/>
          <w:spacing w:val="-4"/>
          <w:sz w:val="16"/>
        </w:rPr>
        <w:t> </w:t>
      </w:r>
      <w:r>
        <w:rPr>
          <w:rFonts w:ascii="Arial MT"/>
          <w:spacing w:val="-2"/>
          <w:sz w:val="16"/>
        </w:rPr>
        <w:t>purposes:</w:t>
      </w:r>
    </w:p>
    <w:p>
      <w:pPr>
        <w:spacing w:after="0"/>
        <w:jc w:val="left"/>
        <w:rPr>
          <w:rFonts w:ascii="Arial MT"/>
          <w:sz w:val="16"/>
        </w:rPr>
        <w:sectPr>
          <w:headerReference w:type="default" r:id="rId172"/>
          <w:pgSz w:w="12240" w:h="15840"/>
          <w:pgMar w:header="0" w:footer="0" w:top="960" w:bottom="720" w:left="720" w:right="720"/>
        </w:sectPr>
      </w:pPr>
    </w:p>
    <w:p>
      <w:pPr>
        <w:pStyle w:val="BodyText"/>
        <w:spacing w:before="112"/>
        <w:rPr>
          <w:rFonts w:ascii="Arial MT"/>
          <w:sz w:val="16"/>
        </w:rPr>
      </w:pPr>
    </w:p>
    <w:p>
      <w:pPr>
        <w:spacing w:before="0"/>
        <w:ind w:left="954" w:right="0" w:firstLine="0"/>
        <w:jc w:val="left"/>
        <w:rPr>
          <w:rFonts w:ascii="Arial MT"/>
          <w:sz w:val="16"/>
        </w:rPr>
      </w:pPr>
      <w:r>
        <w:rPr>
          <w:rFonts w:ascii="Arial MT"/>
          <w:spacing w:val="-2"/>
          <w:sz w:val="16"/>
        </w:rPr>
        <w:t>Investments</w:t>
      </w:r>
    </w:p>
    <w:p>
      <w:pPr>
        <w:spacing w:line="208" w:lineRule="auto" w:before="76"/>
        <w:ind w:left="1151" w:right="0" w:hanging="198"/>
        <w:jc w:val="left"/>
        <w:rPr>
          <w:rFonts w:ascii="Arial MT"/>
          <w:sz w:val="16"/>
        </w:rPr>
      </w:pPr>
      <w:r>
        <w:rPr/>
        <w:br w:type="column"/>
      </w:r>
      <w:r>
        <w:rPr>
          <w:rFonts w:ascii="Arial MT"/>
          <w:sz w:val="16"/>
        </w:rPr>
        <w:t>Currency swaps, currency forward contracts,</w:t>
      </w:r>
      <w:r>
        <w:rPr>
          <w:rFonts w:ascii="Arial MT"/>
          <w:spacing w:val="-11"/>
          <w:sz w:val="16"/>
        </w:rPr>
        <w:t> </w:t>
      </w:r>
      <w:r>
        <w:rPr>
          <w:rFonts w:ascii="Arial MT"/>
          <w:sz w:val="16"/>
        </w:rPr>
        <w:t>interest</w:t>
      </w:r>
      <w:r>
        <w:rPr>
          <w:rFonts w:ascii="Arial MT"/>
          <w:spacing w:val="-11"/>
          <w:sz w:val="16"/>
        </w:rPr>
        <w:t> </w:t>
      </w:r>
      <w:r>
        <w:rPr>
          <w:rFonts w:ascii="Arial MT"/>
          <w:sz w:val="16"/>
        </w:rPr>
        <w:t>rate</w:t>
      </w:r>
      <w:r>
        <w:rPr>
          <w:rFonts w:ascii="Arial MT"/>
          <w:spacing w:val="-11"/>
          <w:sz w:val="16"/>
        </w:rPr>
        <w:t> </w:t>
      </w:r>
      <w:r>
        <w:rPr>
          <w:rFonts w:ascii="Arial MT"/>
          <w:sz w:val="16"/>
        </w:rPr>
        <w:t>swaps,</w:t>
      </w:r>
      <w:r>
        <w:rPr>
          <w:rFonts w:ascii="Arial MT"/>
          <w:spacing w:val="-11"/>
          <w:sz w:val="16"/>
        </w:rPr>
        <w:t> </w:t>
      </w:r>
      <w:r>
        <w:rPr>
          <w:rFonts w:ascii="Arial MT"/>
          <w:sz w:val="16"/>
        </w:rPr>
        <w:t>options, swaptions and futures contracts, TBA </w:t>
      </w:r>
      <w:r>
        <w:rPr>
          <w:rFonts w:ascii="Arial MT"/>
          <w:spacing w:val="-2"/>
          <w:sz w:val="16"/>
        </w:rPr>
        <w:t>securities</w:t>
      </w:r>
    </w:p>
    <w:p>
      <w:pPr>
        <w:pStyle w:val="BodyText"/>
        <w:spacing w:before="112"/>
        <w:rPr>
          <w:rFonts w:ascii="Arial MT"/>
          <w:sz w:val="16"/>
        </w:rPr>
      </w:pPr>
      <w:r>
        <w:rPr/>
        <w:br w:type="column"/>
      </w:r>
      <w:r>
        <w:rPr>
          <w:rFonts w:ascii="Arial MT"/>
          <w:sz w:val="16"/>
        </w:rPr>
      </w:r>
    </w:p>
    <w:p>
      <w:pPr>
        <w:spacing w:before="0"/>
        <w:ind w:left="454" w:right="0" w:firstLine="0"/>
        <w:jc w:val="left"/>
        <w:rPr>
          <w:rFonts w:ascii="Arial MT"/>
          <w:sz w:val="16"/>
        </w:rPr>
      </w:pPr>
      <w:r>
        <w:rPr>
          <w:rFonts w:ascii="Arial MT"/>
          <w:sz w:val="16"/>
        </w:rPr>
        <w:t>Manage</w:t>
      </w:r>
      <w:r>
        <w:rPr>
          <w:rFonts w:ascii="Arial MT"/>
          <w:spacing w:val="-4"/>
          <w:sz w:val="16"/>
        </w:rPr>
        <w:t> </w:t>
      </w:r>
      <w:r>
        <w:rPr>
          <w:rFonts w:ascii="Arial MT"/>
          <w:sz w:val="16"/>
        </w:rPr>
        <w:t>currency</w:t>
      </w:r>
      <w:r>
        <w:rPr>
          <w:rFonts w:ascii="Arial MT"/>
          <w:spacing w:val="-3"/>
          <w:sz w:val="16"/>
        </w:rPr>
        <w:t> </w:t>
      </w:r>
      <w:r>
        <w:rPr>
          <w:rFonts w:ascii="Arial MT"/>
          <w:sz w:val="16"/>
        </w:rPr>
        <w:t>and</w:t>
      </w:r>
      <w:r>
        <w:rPr>
          <w:rFonts w:ascii="Arial MT"/>
          <w:spacing w:val="-4"/>
          <w:sz w:val="16"/>
        </w:rPr>
        <w:t> </w:t>
      </w:r>
      <w:r>
        <w:rPr>
          <w:rFonts w:ascii="Arial MT"/>
          <w:sz w:val="16"/>
        </w:rPr>
        <w:t>interest</w:t>
      </w:r>
      <w:r>
        <w:rPr>
          <w:rFonts w:ascii="Arial MT"/>
          <w:spacing w:val="-3"/>
          <w:sz w:val="16"/>
        </w:rPr>
        <w:t> </w:t>
      </w:r>
      <w:r>
        <w:rPr>
          <w:rFonts w:ascii="Arial MT"/>
          <w:sz w:val="16"/>
        </w:rPr>
        <w:t>rate</w:t>
      </w:r>
      <w:r>
        <w:rPr>
          <w:rFonts w:ascii="Arial MT"/>
          <w:spacing w:val="-3"/>
          <w:sz w:val="16"/>
        </w:rPr>
        <w:t> </w:t>
      </w:r>
      <w:r>
        <w:rPr>
          <w:rFonts w:ascii="Arial MT"/>
          <w:spacing w:val="-2"/>
          <w:sz w:val="16"/>
        </w:rPr>
        <w:t>risks</w:t>
      </w:r>
    </w:p>
    <w:p>
      <w:pPr>
        <w:spacing w:after="0"/>
        <w:jc w:val="left"/>
        <w:rPr>
          <w:rFonts w:ascii="Arial MT"/>
          <w:sz w:val="16"/>
        </w:rPr>
        <w:sectPr>
          <w:type w:val="continuous"/>
          <w:pgSz w:w="12240" w:h="15840"/>
          <w:pgMar w:header="0" w:footer="0" w:top="1820" w:bottom="280" w:left="720" w:right="720"/>
          <w:cols w:num="3" w:equalWidth="0">
            <w:col w:w="1856" w:space="531"/>
            <w:col w:w="3880" w:space="40"/>
            <w:col w:w="4493"/>
          </w:cols>
        </w:sectPr>
      </w:pPr>
    </w:p>
    <w:p>
      <w:pPr>
        <w:pStyle w:val="BodyText"/>
        <w:spacing w:before="3"/>
        <w:rPr>
          <w:rFonts w:ascii="Arial MT"/>
          <w:sz w:val="3"/>
        </w:rPr>
      </w:pPr>
    </w:p>
    <w:p>
      <w:pPr>
        <w:spacing w:line="20" w:lineRule="exact"/>
        <w:ind w:left="720" w:right="0" w:firstLine="0"/>
        <w:rPr>
          <w:rFonts w:ascii="Arial MT"/>
          <w:sz w:val="2"/>
        </w:rPr>
      </w:pPr>
      <w:r>
        <w:rPr>
          <w:rFonts w:ascii="Arial MT"/>
          <w:sz w:val="2"/>
        </w:rPr>
        <mc:AlternateContent>
          <mc:Choice Requires="wps">
            <w:drawing>
              <wp:inline distT="0" distB="0" distL="0" distR="0">
                <wp:extent cx="5943600" cy="12700"/>
                <wp:effectExtent l="9525" t="0" r="0" b="6350"/>
                <wp:docPr id="857" name="Group 857"/>
                <wp:cNvGraphicFramePr>
                  <a:graphicFrameLocks/>
                </wp:cNvGraphicFramePr>
                <a:graphic>
                  <a:graphicData uri="http://schemas.microsoft.com/office/word/2010/wordprocessingGroup">
                    <wpg:wgp>
                      <wpg:cNvPr id="857" name="Group 857"/>
                      <wpg:cNvGrpSpPr/>
                      <wpg:grpSpPr>
                        <a:xfrm>
                          <a:off x="0" y="0"/>
                          <a:ext cx="5943600" cy="12700"/>
                          <a:chExt cx="5943600" cy="12700"/>
                        </a:xfrm>
                      </wpg:grpSpPr>
                      <wps:wsp>
                        <wps:cNvPr id="858" name="Graphic 858"/>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713" coordorigin="0,0" coordsize="9360,20">
                <v:line style="position:absolute" from="0,10" to="9360,10" stroked="true" strokeweight="1pt" strokecolor="#000000">
                  <v:stroke dashstyle="solid"/>
                </v:line>
              </v:group>
            </w:pict>
          </mc:Fallback>
        </mc:AlternateContent>
      </w:r>
      <w:r>
        <w:rPr>
          <w:rFonts w:ascii="Arial MT"/>
          <w:sz w:val="2"/>
        </w:rPr>
      </w:r>
    </w:p>
    <w:p>
      <w:pPr>
        <w:tabs>
          <w:tab w:pos="3341" w:val="left" w:leader="none"/>
          <w:tab w:pos="6761" w:val="left" w:leader="none"/>
        </w:tabs>
        <w:spacing w:line="424" w:lineRule="auto" w:before="5"/>
        <w:ind w:left="954" w:right="873" w:firstLine="0"/>
        <w:jc w:val="left"/>
        <w:rPr>
          <w:rFonts w:ascii="Arial MT"/>
          <w:position w:val="8"/>
          <w:sz w:val="16"/>
        </w:rPr>
      </w:pPr>
      <w:r>
        <w:rPr>
          <w:rFonts w:ascii="Arial MT"/>
          <w:position w:val="8"/>
          <w:sz w:val="16"/>
        </w:rPr>
        <mc:AlternateContent>
          <mc:Choice Requires="wps">
            <w:drawing>
              <wp:anchor distT="0" distB="0" distL="0" distR="0" allowOverlap="1" layoutInCell="1" locked="0" behindDoc="0" simplePos="0" relativeHeight="15864320">
                <wp:simplePos x="0" y="0"/>
                <wp:positionH relativeFrom="page">
                  <wp:posOffset>914400</wp:posOffset>
                </wp:positionH>
                <wp:positionV relativeFrom="paragraph">
                  <wp:posOffset>244635</wp:posOffset>
                </wp:positionV>
                <wp:extent cx="5943600" cy="1270"/>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72pt,19.262646pt" to="540pt,19.262646pt" stroked="true" strokeweight="1pt" strokecolor="#000000">
                <v:stroke dashstyle="solid"/>
                <w10:wrap type="none"/>
              </v:line>
            </w:pict>
          </mc:Fallback>
        </mc:AlternateContent>
      </w:r>
      <w:r>
        <w:rPr>
          <w:rFonts w:ascii="Arial MT"/>
          <w:position w:val="8"/>
          <w:sz w:val="16"/>
        </w:rPr>
        <mc:AlternateContent>
          <mc:Choice Requires="wps">
            <w:drawing>
              <wp:anchor distT="0" distB="0" distL="0" distR="0" allowOverlap="1" layoutInCell="1" locked="0" behindDoc="0" simplePos="0" relativeHeight="15864832">
                <wp:simplePos x="0" y="0"/>
                <wp:positionH relativeFrom="page">
                  <wp:posOffset>914400</wp:posOffset>
                </wp:positionH>
                <wp:positionV relativeFrom="paragraph">
                  <wp:posOffset>501810</wp:posOffset>
                </wp:positionV>
                <wp:extent cx="5943600" cy="1270"/>
                <wp:effectExtent l="0" t="0" r="0" b="0"/>
                <wp:wrapNone/>
                <wp:docPr id="860" name="Graphic 860"/>
                <wp:cNvGraphicFramePr>
                  <a:graphicFrameLocks/>
                </wp:cNvGraphicFramePr>
                <a:graphic>
                  <a:graphicData uri="http://schemas.microsoft.com/office/word/2010/wordprocessingShape">
                    <wps:wsp>
                      <wps:cNvPr id="860" name="Graphic 86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832" from="72pt,39.512646pt" to="540pt,39.512646pt" stroked="true" strokeweight="1pt" strokecolor="#000000">
                <v:stroke dashstyle="solid"/>
                <w10:wrap type="none"/>
              </v:line>
            </w:pict>
          </mc:Fallback>
        </mc:AlternateContent>
      </w:r>
      <w:r>
        <w:rPr>
          <w:rFonts w:ascii="Arial MT"/>
          <w:position w:val="8"/>
          <w:sz w:val="16"/>
        </w:rPr>
        <mc:AlternateContent>
          <mc:Choice Requires="wps">
            <w:drawing>
              <wp:anchor distT="0" distB="0" distL="0" distR="0" allowOverlap="1" layoutInCell="1" locked="0" behindDoc="1" simplePos="0" relativeHeight="470653952">
                <wp:simplePos x="0" y="0"/>
                <wp:positionH relativeFrom="page">
                  <wp:posOffset>4876546</wp:posOffset>
                </wp:positionH>
                <wp:positionV relativeFrom="paragraph">
                  <wp:posOffset>108336</wp:posOffset>
                </wp:positionV>
                <wp:extent cx="1562735" cy="113664"/>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1562735" cy="113664"/>
                        </a:xfrm>
                        <a:prstGeom prst="rect">
                          <a:avLst/>
                        </a:prstGeom>
                      </wps:spPr>
                      <wps:txbx>
                        <w:txbxContent>
                          <w:p>
                            <w:pPr>
                              <w:spacing w:line="179" w:lineRule="exact" w:before="0"/>
                              <w:ind w:left="0" w:right="0" w:firstLine="0"/>
                              <w:jc w:val="left"/>
                              <w:rPr>
                                <w:rFonts w:ascii="Arial MT"/>
                                <w:sz w:val="16"/>
                              </w:rPr>
                            </w:pPr>
                            <w:r>
                              <w:rPr>
                                <w:rFonts w:ascii="Arial MT"/>
                                <w:sz w:val="16"/>
                              </w:rPr>
                              <w:t>risk</w:t>
                            </w:r>
                            <w:r>
                              <w:rPr>
                                <w:rFonts w:ascii="Arial MT"/>
                                <w:spacing w:val="-4"/>
                                <w:sz w:val="16"/>
                              </w:rPr>
                              <w:t> </w:t>
                            </w:r>
                            <w:r>
                              <w:rPr>
                                <w:rFonts w:ascii="Arial MT"/>
                                <w:sz w:val="16"/>
                              </w:rPr>
                              <w:t>between</w:t>
                            </w:r>
                            <w:r>
                              <w:rPr>
                                <w:rFonts w:ascii="Arial MT"/>
                                <w:spacing w:val="-3"/>
                                <w:sz w:val="16"/>
                              </w:rPr>
                              <w:t> </w:t>
                            </w:r>
                            <w:r>
                              <w:rPr>
                                <w:rFonts w:ascii="Arial MT"/>
                                <w:sz w:val="16"/>
                              </w:rPr>
                              <w:t>loans</w:t>
                            </w:r>
                            <w:r>
                              <w:rPr>
                                <w:rFonts w:ascii="Arial MT"/>
                                <w:spacing w:val="-4"/>
                                <w:sz w:val="16"/>
                              </w:rPr>
                              <w:t> </w:t>
                            </w:r>
                            <w:r>
                              <w:rPr>
                                <w:rFonts w:ascii="Arial MT"/>
                                <w:sz w:val="16"/>
                              </w:rPr>
                              <w:t>and</w:t>
                            </w:r>
                            <w:r>
                              <w:rPr>
                                <w:rFonts w:ascii="Arial MT"/>
                                <w:spacing w:val="-3"/>
                                <w:sz w:val="16"/>
                              </w:rPr>
                              <w:t> </w:t>
                            </w:r>
                            <w:r>
                              <w:rPr>
                                <w:rFonts w:ascii="Arial MT"/>
                                <w:spacing w:val="-2"/>
                                <w:sz w:val="16"/>
                              </w:rPr>
                              <w:t>borrowings</w:t>
                            </w:r>
                          </w:p>
                        </w:txbxContent>
                      </wps:txbx>
                      <wps:bodyPr wrap="square" lIns="0" tIns="0" rIns="0" bIns="0" rtlCol="0">
                        <a:noAutofit/>
                      </wps:bodyPr>
                    </wps:wsp>
                  </a:graphicData>
                </a:graphic>
              </wp:anchor>
            </w:drawing>
          </mc:Choice>
          <mc:Fallback>
            <w:pict>
              <v:shape style="position:absolute;margin-left:383.980011pt;margin-top:8.530469pt;width:123.05pt;height:8.950pt;mso-position-horizontal-relative:page;mso-position-vertical-relative:paragraph;z-index:-32662528" type="#_x0000_t202" id="docshape714" filled="false" stroked="false">
                <v:textbox inset="0,0,0,0">
                  <w:txbxContent>
                    <w:p>
                      <w:pPr>
                        <w:spacing w:line="179" w:lineRule="exact" w:before="0"/>
                        <w:ind w:left="0" w:right="0" w:firstLine="0"/>
                        <w:jc w:val="left"/>
                        <w:rPr>
                          <w:rFonts w:ascii="Arial MT"/>
                          <w:sz w:val="16"/>
                        </w:rPr>
                      </w:pPr>
                      <w:r>
                        <w:rPr>
                          <w:rFonts w:ascii="Arial MT"/>
                          <w:sz w:val="16"/>
                        </w:rPr>
                        <w:t>risk</w:t>
                      </w:r>
                      <w:r>
                        <w:rPr>
                          <w:rFonts w:ascii="Arial MT"/>
                          <w:spacing w:val="-4"/>
                          <w:sz w:val="16"/>
                        </w:rPr>
                        <w:t> </w:t>
                      </w:r>
                      <w:r>
                        <w:rPr>
                          <w:rFonts w:ascii="Arial MT"/>
                          <w:sz w:val="16"/>
                        </w:rPr>
                        <w:t>between</w:t>
                      </w:r>
                      <w:r>
                        <w:rPr>
                          <w:rFonts w:ascii="Arial MT"/>
                          <w:spacing w:val="-3"/>
                          <w:sz w:val="16"/>
                        </w:rPr>
                        <w:t> </w:t>
                      </w:r>
                      <w:r>
                        <w:rPr>
                          <w:rFonts w:ascii="Arial MT"/>
                          <w:sz w:val="16"/>
                        </w:rPr>
                        <w:t>loans</w:t>
                      </w:r>
                      <w:r>
                        <w:rPr>
                          <w:rFonts w:ascii="Arial MT"/>
                          <w:spacing w:val="-4"/>
                          <w:sz w:val="16"/>
                        </w:rPr>
                        <w:t> </w:t>
                      </w:r>
                      <w:r>
                        <w:rPr>
                          <w:rFonts w:ascii="Arial MT"/>
                          <w:sz w:val="16"/>
                        </w:rPr>
                        <w:t>and</w:t>
                      </w:r>
                      <w:r>
                        <w:rPr>
                          <w:rFonts w:ascii="Arial MT"/>
                          <w:spacing w:val="-3"/>
                          <w:sz w:val="16"/>
                        </w:rPr>
                        <w:t> </w:t>
                      </w:r>
                      <w:r>
                        <w:rPr>
                          <w:rFonts w:ascii="Arial MT"/>
                          <w:spacing w:val="-2"/>
                          <w:sz w:val="16"/>
                        </w:rPr>
                        <w:t>borrowings</w:t>
                      </w:r>
                    </w:p>
                  </w:txbxContent>
                </v:textbox>
                <w10:wrap type="none"/>
              </v:shape>
            </w:pict>
          </mc:Fallback>
        </mc:AlternateContent>
      </w:r>
      <w:r>
        <w:rPr>
          <w:rFonts w:ascii="Arial MT"/>
          <w:position w:val="8"/>
          <w:sz w:val="16"/>
        </w:rPr>
        <mc:AlternateContent>
          <mc:Choice Requires="wps">
            <w:drawing>
              <wp:anchor distT="0" distB="0" distL="0" distR="0" allowOverlap="1" layoutInCell="1" locked="0" behindDoc="1" simplePos="0" relativeHeight="470654464">
                <wp:simplePos x="0" y="0"/>
                <wp:positionH relativeFrom="page">
                  <wp:posOffset>4876546</wp:posOffset>
                </wp:positionH>
                <wp:positionV relativeFrom="paragraph">
                  <wp:posOffset>365511</wp:posOffset>
                </wp:positionV>
                <wp:extent cx="1562735" cy="113664"/>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1562735" cy="113664"/>
                        </a:xfrm>
                        <a:prstGeom prst="rect">
                          <a:avLst/>
                        </a:prstGeom>
                      </wps:spPr>
                      <wps:txbx>
                        <w:txbxContent>
                          <w:p>
                            <w:pPr>
                              <w:spacing w:line="179" w:lineRule="exact" w:before="0"/>
                              <w:ind w:left="0" w:right="0" w:firstLine="0"/>
                              <w:jc w:val="left"/>
                              <w:rPr>
                                <w:rFonts w:ascii="Arial MT"/>
                                <w:sz w:val="16"/>
                              </w:rPr>
                            </w:pPr>
                            <w:r>
                              <w:rPr>
                                <w:rFonts w:ascii="Arial MT"/>
                                <w:sz w:val="16"/>
                              </w:rPr>
                              <w:t>risk</w:t>
                            </w:r>
                            <w:r>
                              <w:rPr>
                                <w:rFonts w:ascii="Arial MT"/>
                                <w:spacing w:val="-4"/>
                                <w:sz w:val="16"/>
                              </w:rPr>
                              <w:t> </w:t>
                            </w:r>
                            <w:r>
                              <w:rPr>
                                <w:rFonts w:ascii="Arial MT"/>
                                <w:sz w:val="16"/>
                              </w:rPr>
                              <w:t>between</w:t>
                            </w:r>
                            <w:r>
                              <w:rPr>
                                <w:rFonts w:ascii="Arial MT"/>
                                <w:spacing w:val="-3"/>
                                <w:sz w:val="16"/>
                              </w:rPr>
                              <w:t> </w:t>
                            </w:r>
                            <w:r>
                              <w:rPr>
                                <w:rFonts w:ascii="Arial MT"/>
                                <w:sz w:val="16"/>
                              </w:rPr>
                              <w:t>loans</w:t>
                            </w:r>
                            <w:r>
                              <w:rPr>
                                <w:rFonts w:ascii="Arial MT"/>
                                <w:spacing w:val="-4"/>
                                <w:sz w:val="16"/>
                              </w:rPr>
                              <w:t> </w:t>
                            </w:r>
                            <w:r>
                              <w:rPr>
                                <w:rFonts w:ascii="Arial MT"/>
                                <w:sz w:val="16"/>
                              </w:rPr>
                              <w:t>and</w:t>
                            </w:r>
                            <w:r>
                              <w:rPr>
                                <w:rFonts w:ascii="Arial MT"/>
                                <w:spacing w:val="-3"/>
                                <w:sz w:val="16"/>
                              </w:rPr>
                              <w:t> </w:t>
                            </w:r>
                            <w:r>
                              <w:rPr>
                                <w:rFonts w:ascii="Arial MT"/>
                                <w:spacing w:val="-2"/>
                                <w:sz w:val="16"/>
                              </w:rPr>
                              <w:t>borrowings</w:t>
                            </w:r>
                          </w:p>
                        </w:txbxContent>
                      </wps:txbx>
                      <wps:bodyPr wrap="square" lIns="0" tIns="0" rIns="0" bIns="0" rtlCol="0">
                        <a:noAutofit/>
                      </wps:bodyPr>
                    </wps:wsp>
                  </a:graphicData>
                </a:graphic>
              </wp:anchor>
            </w:drawing>
          </mc:Choice>
          <mc:Fallback>
            <w:pict>
              <v:shape style="position:absolute;margin-left:383.980011pt;margin-top:28.78047pt;width:123.05pt;height:8.950pt;mso-position-horizontal-relative:page;mso-position-vertical-relative:paragraph;z-index:-32662016" type="#_x0000_t202" id="docshape715" filled="false" stroked="false">
                <v:textbox inset="0,0,0,0">
                  <w:txbxContent>
                    <w:p>
                      <w:pPr>
                        <w:spacing w:line="179" w:lineRule="exact" w:before="0"/>
                        <w:ind w:left="0" w:right="0" w:firstLine="0"/>
                        <w:jc w:val="left"/>
                        <w:rPr>
                          <w:rFonts w:ascii="Arial MT"/>
                          <w:sz w:val="16"/>
                        </w:rPr>
                      </w:pPr>
                      <w:r>
                        <w:rPr>
                          <w:rFonts w:ascii="Arial MT"/>
                          <w:sz w:val="16"/>
                        </w:rPr>
                        <w:t>risk</w:t>
                      </w:r>
                      <w:r>
                        <w:rPr>
                          <w:rFonts w:ascii="Arial MT"/>
                          <w:spacing w:val="-4"/>
                          <w:sz w:val="16"/>
                        </w:rPr>
                        <w:t> </w:t>
                      </w:r>
                      <w:r>
                        <w:rPr>
                          <w:rFonts w:ascii="Arial MT"/>
                          <w:sz w:val="16"/>
                        </w:rPr>
                        <w:t>between</w:t>
                      </w:r>
                      <w:r>
                        <w:rPr>
                          <w:rFonts w:ascii="Arial MT"/>
                          <w:spacing w:val="-3"/>
                          <w:sz w:val="16"/>
                        </w:rPr>
                        <w:t> </w:t>
                      </w:r>
                      <w:r>
                        <w:rPr>
                          <w:rFonts w:ascii="Arial MT"/>
                          <w:sz w:val="16"/>
                        </w:rPr>
                        <w:t>loans</w:t>
                      </w:r>
                      <w:r>
                        <w:rPr>
                          <w:rFonts w:ascii="Arial MT"/>
                          <w:spacing w:val="-4"/>
                          <w:sz w:val="16"/>
                        </w:rPr>
                        <w:t> </w:t>
                      </w:r>
                      <w:r>
                        <w:rPr>
                          <w:rFonts w:ascii="Arial MT"/>
                          <w:sz w:val="16"/>
                        </w:rPr>
                        <w:t>and</w:t>
                      </w:r>
                      <w:r>
                        <w:rPr>
                          <w:rFonts w:ascii="Arial MT"/>
                          <w:spacing w:val="-3"/>
                          <w:sz w:val="16"/>
                        </w:rPr>
                        <w:t> </w:t>
                      </w:r>
                      <w:r>
                        <w:rPr>
                          <w:rFonts w:ascii="Arial MT"/>
                          <w:spacing w:val="-2"/>
                          <w:sz w:val="16"/>
                        </w:rPr>
                        <w:t>borrowings</w:t>
                      </w:r>
                    </w:p>
                  </w:txbxContent>
                </v:textbox>
                <w10:wrap type="none"/>
              </v:shape>
            </w:pict>
          </mc:Fallback>
        </mc:AlternateContent>
      </w:r>
      <w:r>
        <w:rPr>
          <w:rFonts w:ascii="Arial MT"/>
          <w:position w:val="8"/>
          <w:sz w:val="16"/>
        </w:rPr>
        <mc:AlternateContent>
          <mc:Choice Requires="wps">
            <w:drawing>
              <wp:anchor distT="0" distB="0" distL="0" distR="0" allowOverlap="1" layoutInCell="1" locked="0" behindDoc="1" simplePos="0" relativeHeight="470654976">
                <wp:simplePos x="0" y="0"/>
                <wp:positionH relativeFrom="page">
                  <wp:posOffset>4876546</wp:posOffset>
                </wp:positionH>
                <wp:positionV relativeFrom="paragraph">
                  <wp:posOffset>622686</wp:posOffset>
                </wp:positionV>
                <wp:extent cx="613410" cy="113664"/>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613410" cy="113664"/>
                        </a:xfrm>
                        <a:prstGeom prst="rect">
                          <a:avLst/>
                        </a:prstGeom>
                      </wps:spPr>
                      <wps:txbx>
                        <w:txbxContent>
                          <w:p>
                            <w:pPr>
                              <w:spacing w:line="179" w:lineRule="exact" w:before="0"/>
                              <w:ind w:left="0" w:right="0" w:firstLine="0"/>
                              <w:jc w:val="left"/>
                              <w:rPr>
                                <w:rFonts w:ascii="Arial MT" w:hAnsi="Arial MT"/>
                                <w:sz w:val="16"/>
                              </w:rPr>
                            </w:pPr>
                            <w:r>
                              <w:rPr>
                                <w:rFonts w:ascii="Arial MT" w:hAnsi="Arial MT"/>
                                <w:sz w:val="16"/>
                              </w:rPr>
                              <w:t>IBRD’s</w:t>
                            </w:r>
                            <w:r>
                              <w:rPr>
                                <w:rFonts w:ascii="Arial MT" w:hAnsi="Arial MT"/>
                                <w:spacing w:val="-5"/>
                                <w:sz w:val="16"/>
                              </w:rPr>
                              <w:t> </w:t>
                            </w:r>
                            <w:r>
                              <w:rPr>
                                <w:rFonts w:ascii="Arial MT" w:hAnsi="Arial MT"/>
                                <w:spacing w:val="-2"/>
                                <w:sz w:val="16"/>
                              </w:rPr>
                              <w:t>equity</w:t>
                            </w:r>
                          </w:p>
                        </w:txbxContent>
                      </wps:txbx>
                      <wps:bodyPr wrap="square" lIns="0" tIns="0" rIns="0" bIns="0" rtlCol="0">
                        <a:noAutofit/>
                      </wps:bodyPr>
                    </wps:wsp>
                  </a:graphicData>
                </a:graphic>
              </wp:anchor>
            </w:drawing>
          </mc:Choice>
          <mc:Fallback>
            <w:pict>
              <v:shape style="position:absolute;margin-left:383.980011pt;margin-top:49.030468pt;width:48.3pt;height:8.950pt;mso-position-horizontal-relative:page;mso-position-vertical-relative:paragraph;z-index:-32661504" type="#_x0000_t202" id="docshape716" filled="false" stroked="false">
                <v:textbox inset="0,0,0,0">
                  <w:txbxContent>
                    <w:p>
                      <w:pPr>
                        <w:spacing w:line="179" w:lineRule="exact" w:before="0"/>
                        <w:ind w:left="0" w:right="0" w:firstLine="0"/>
                        <w:jc w:val="left"/>
                        <w:rPr>
                          <w:rFonts w:ascii="Arial MT" w:hAnsi="Arial MT"/>
                          <w:sz w:val="16"/>
                        </w:rPr>
                      </w:pPr>
                      <w:r>
                        <w:rPr>
                          <w:rFonts w:ascii="Arial MT" w:hAnsi="Arial MT"/>
                          <w:sz w:val="16"/>
                        </w:rPr>
                        <w:t>IBRD’s</w:t>
                      </w:r>
                      <w:r>
                        <w:rPr>
                          <w:rFonts w:ascii="Arial MT" w:hAnsi="Arial MT"/>
                          <w:spacing w:val="-5"/>
                          <w:sz w:val="16"/>
                        </w:rPr>
                        <w:t> </w:t>
                      </w:r>
                      <w:r>
                        <w:rPr>
                          <w:rFonts w:ascii="Arial MT" w:hAnsi="Arial MT"/>
                          <w:spacing w:val="-2"/>
                          <w:sz w:val="16"/>
                        </w:rPr>
                        <w:t>equity</w:t>
                      </w:r>
                    </w:p>
                  </w:txbxContent>
                </v:textbox>
                <w10:wrap type="none"/>
              </v:shape>
            </w:pict>
          </mc:Fallback>
        </mc:AlternateContent>
      </w:r>
      <w:r>
        <w:rPr>
          <w:rFonts w:ascii="Arial MT"/>
          <w:spacing w:val="-2"/>
          <w:position w:val="-7"/>
          <w:sz w:val="16"/>
        </w:rPr>
        <w:t>Loans</w:t>
      </w:r>
      <w:r>
        <w:rPr>
          <w:rFonts w:ascii="Arial MT"/>
          <w:position w:val="-7"/>
          <w:sz w:val="16"/>
        </w:rPr>
        <w:tab/>
        <w:t>Currency swaps and interest rate swaps</w:t>
        <w:tab/>
      </w:r>
      <w:r>
        <w:rPr>
          <w:rFonts w:ascii="Arial MT"/>
          <w:sz w:val="16"/>
        </w:rPr>
        <w:t>Manage</w:t>
      </w:r>
      <w:r>
        <w:rPr>
          <w:rFonts w:ascii="Arial MT"/>
          <w:spacing w:val="-7"/>
          <w:sz w:val="16"/>
        </w:rPr>
        <w:t> </w:t>
      </w:r>
      <w:r>
        <w:rPr>
          <w:rFonts w:ascii="Arial MT"/>
          <w:sz w:val="16"/>
        </w:rPr>
        <w:t>currency</w:t>
      </w:r>
      <w:r>
        <w:rPr>
          <w:rFonts w:ascii="Arial MT"/>
          <w:spacing w:val="-6"/>
          <w:sz w:val="16"/>
        </w:rPr>
        <w:t> </w:t>
      </w:r>
      <w:r>
        <w:rPr>
          <w:rFonts w:ascii="Arial MT"/>
          <w:sz w:val="16"/>
        </w:rPr>
        <w:t>risk</w:t>
      </w:r>
      <w:r>
        <w:rPr>
          <w:rFonts w:ascii="Arial MT"/>
          <w:spacing w:val="-6"/>
          <w:sz w:val="16"/>
        </w:rPr>
        <w:t> </w:t>
      </w:r>
      <w:r>
        <w:rPr>
          <w:rFonts w:ascii="Arial MT"/>
          <w:sz w:val="16"/>
        </w:rPr>
        <w:t>as</w:t>
      </w:r>
      <w:r>
        <w:rPr>
          <w:rFonts w:ascii="Arial MT"/>
          <w:spacing w:val="-6"/>
          <w:sz w:val="16"/>
        </w:rPr>
        <w:t> </w:t>
      </w:r>
      <w:r>
        <w:rPr>
          <w:rFonts w:ascii="Arial MT"/>
          <w:sz w:val="16"/>
        </w:rPr>
        <w:t>well</w:t>
      </w:r>
      <w:r>
        <w:rPr>
          <w:rFonts w:ascii="Arial MT"/>
          <w:spacing w:val="-6"/>
          <w:sz w:val="16"/>
        </w:rPr>
        <w:t> </w:t>
      </w:r>
      <w:r>
        <w:rPr>
          <w:rFonts w:ascii="Arial MT"/>
          <w:sz w:val="16"/>
        </w:rPr>
        <w:t>as</w:t>
      </w:r>
      <w:r>
        <w:rPr>
          <w:rFonts w:ascii="Arial MT"/>
          <w:spacing w:val="-6"/>
          <w:sz w:val="16"/>
        </w:rPr>
        <w:t> </w:t>
      </w:r>
      <w:r>
        <w:rPr>
          <w:rFonts w:ascii="Arial MT"/>
          <w:sz w:val="16"/>
        </w:rPr>
        <w:t>interest</w:t>
      </w:r>
      <w:r>
        <w:rPr>
          <w:rFonts w:ascii="Arial MT"/>
          <w:spacing w:val="-6"/>
          <w:sz w:val="16"/>
        </w:rPr>
        <w:t> </w:t>
      </w:r>
      <w:r>
        <w:rPr>
          <w:rFonts w:ascii="Arial MT"/>
          <w:sz w:val="16"/>
        </w:rPr>
        <w:t>rate </w:t>
      </w:r>
      <w:r>
        <w:rPr>
          <w:rFonts w:ascii="Arial MT"/>
          <w:spacing w:val="-2"/>
          <w:sz w:val="16"/>
        </w:rPr>
        <w:t>Borrowings</w:t>
      </w:r>
      <w:r>
        <w:rPr>
          <w:rFonts w:ascii="Arial MT"/>
          <w:sz w:val="16"/>
        </w:rPr>
        <w:tab/>
        <w:t>Currency</w:t>
      </w:r>
      <w:r>
        <w:rPr>
          <w:rFonts w:ascii="Arial MT"/>
          <w:spacing w:val="-5"/>
          <w:sz w:val="16"/>
        </w:rPr>
        <w:t> </w:t>
      </w:r>
      <w:r>
        <w:rPr>
          <w:rFonts w:ascii="Arial MT"/>
          <w:sz w:val="16"/>
        </w:rPr>
        <w:t>swaps</w:t>
      </w:r>
      <w:r>
        <w:rPr>
          <w:rFonts w:ascii="Arial MT"/>
          <w:spacing w:val="-3"/>
          <w:sz w:val="16"/>
        </w:rPr>
        <w:t> </w:t>
      </w:r>
      <w:r>
        <w:rPr>
          <w:rFonts w:ascii="Arial MT"/>
          <w:sz w:val="16"/>
        </w:rPr>
        <w:t>and</w:t>
      </w:r>
      <w:r>
        <w:rPr>
          <w:rFonts w:ascii="Arial MT"/>
          <w:spacing w:val="-4"/>
          <w:sz w:val="16"/>
        </w:rPr>
        <w:t> </w:t>
      </w:r>
      <w:r>
        <w:rPr>
          <w:rFonts w:ascii="Arial MT"/>
          <w:sz w:val="16"/>
        </w:rPr>
        <w:t>interest</w:t>
      </w:r>
      <w:r>
        <w:rPr>
          <w:rFonts w:ascii="Arial MT"/>
          <w:spacing w:val="-3"/>
          <w:sz w:val="16"/>
        </w:rPr>
        <w:t> </w:t>
      </w:r>
      <w:r>
        <w:rPr>
          <w:rFonts w:ascii="Arial MT"/>
          <w:sz w:val="16"/>
        </w:rPr>
        <w:t>rate</w:t>
      </w:r>
      <w:r>
        <w:rPr>
          <w:rFonts w:ascii="Arial MT"/>
          <w:spacing w:val="-3"/>
          <w:sz w:val="16"/>
        </w:rPr>
        <w:t> </w:t>
      </w:r>
      <w:r>
        <w:rPr>
          <w:rFonts w:ascii="Arial MT"/>
          <w:spacing w:val="-2"/>
          <w:sz w:val="16"/>
        </w:rPr>
        <w:t>swaps</w:t>
      </w:r>
      <w:r>
        <w:rPr>
          <w:rFonts w:ascii="Arial MT"/>
          <w:sz w:val="16"/>
        </w:rPr>
        <w:tab/>
      </w:r>
      <w:r>
        <w:rPr>
          <w:rFonts w:ascii="Arial MT"/>
          <w:position w:val="8"/>
          <w:sz w:val="16"/>
        </w:rPr>
        <w:t>Manage</w:t>
      </w:r>
      <w:r>
        <w:rPr>
          <w:rFonts w:ascii="Arial MT"/>
          <w:spacing w:val="-6"/>
          <w:position w:val="8"/>
          <w:sz w:val="16"/>
        </w:rPr>
        <w:t> </w:t>
      </w:r>
      <w:r>
        <w:rPr>
          <w:rFonts w:ascii="Arial MT"/>
          <w:position w:val="8"/>
          <w:sz w:val="16"/>
        </w:rPr>
        <w:t>currency</w:t>
      </w:r>
      <w:r>
        <w:rPr>
          <w:rFonts w:ascii="Arial MT"/>
          <w:spacing w:val="-2"/>
          <w:position w:val="8"/>
          <w:sz w:val="16"/>
        </w:rPr>
        <w:t> </w:t>
      </w:r>
      <w:r>
        <w:rPr>
          <w:rFonts w:ascii="Arial MT"/>
          <w:position w:val="8"/>
          <w:sz w:val="16"/>
        </w:rPr>
        <w:t>risk</w:t>
      </w:r>
      <w:r>
        <w:rPr>
          <w:rFonts w:ascii="Arial MT"/>
          <w:spacing w:val="-3"/>
          <w:position w:val="8"/>
          <w:sz w:val="16"/>
        </w:rPr>
        <w:t> </w:t>
      </w:r>
      <w:r>
        <w:rPr>
          <w:rFonts w:ascii="Arial MT"/>
          <w:position w:val="8"/>
          <w:sz w:val="16"/>
        </w:rPr>
        <w:t>as</w:t>
      </w:r>
      <w:r>
        <w:rPr>
          <w:rFonts w:ascii="Arial MT"/>
          <w:spacing w:val="-2"/>
          <w:position w:val="8"/>
          <w:sz w:val="16"/>
        </w:rPr>
        <w:t> </w:t>
      </w:r>
      <w:r>
        <w:rPr>
          <w:rFonts w:ascii="Arial MT"/>
          <w:position w:val="8"/>
          <w:sz w:val="16"/>
        </w:rPr>
        <w:t>well</w:t>
      </w:r>
      <w:r>
        <w:rPr>
          <w:rFonts w:ascii="Arial MT"/>
          <w:spacing w:val="-3"/>
          <w:position w:val="8"/>
          <w:sz w:val="16"/>
        </w:rPr>
        <w:t> </w:t>
      </w:r>
      <w:r>
        <w:rPr>
          <w:rFonts w:ascii="Arial MT"/>
          <w:position w:val="8"/>
          <w:sz w:val="16"/>
        </w:rPr>
        <w:t>as</w:t>
      </w:r>
      <w:r>
        <w:rPr>
          <w:rFonts w:ascii="Arial MT"/>
          <w:spacing w:val="-2"/>
          <w:position w:val="8"/>
          <w:sz w:val="16"/>
        </w:rPr>
        <w:t> </w:t>
      </w:r>
      <w:r>
        <w:rPr>
          <w:rFonts w:ascii="Arial MT"/>
          <w:position w:val="8"/>
          <w:sz w:val="16"/>
        </w:rPr>
        <w:t>interest</w:t>
      </w:r>
      <w:r>
        <w:rPr>
          <w:rFonts w:ascii="Arial MT"/>
          <w:spacing w:val="-2"/>
          <w:position w:val="8"/>
          <w:sz w:val="16"/>
        </w:rPr>
        <w:t> </w:t>
      </w:r>
      <w:r>
        <w:rPr>
          <w:rFonts w:ascii="Arial MT"/>
          <w:spacing w:val="-4"/>
          <w:position w:val="8"/>
          <w:sz w:val="16"/>
        </w:rPr>
        <w:t>rate</w:t>
      </w:r>
    </w:p>
    <w:p>
      <w:pPr>
        <w:spacing w:after="0" w:line="424" w:lineRule="auto"/>
        <w:jc w:val="left"/>
        <w:rPr>
          <w:rFonts w:ascii="Arial MT"/>
          <w:position w:val="8"/>
          <w:sz w:val="16"/>
        </w:rPr>
        <w:sectPr>
          <w:type w:val="continuous"/>
          <w:pgSz w:w="12240" w:h="15840"/>
          <w:pgMar w:header="0" w:footer="0" w:top="1820" w:bottom="280" w:left="720" w:right="720"/>
        </w:sectPr>
      </w:pPr>
    </w:p>
    <w:p>
      <w:pPr>
        <w:spacing w:line="208" w:lineRule="auto" w:before="18"/>
        <w:ind w:left="1043" w:right="0" w:hanging="90"/>
        <w:jc w:val="left"/>
        <w:rPr>
          <w:rFonts w:ascii="Arial MT"/>
          <w:sz w:val="16"/>
        </w:rPr>
      </w:pPr>
      <w:r>
        <w:rPr>
          <w:rFonts w:ascii="Arial MT"/>
          <w:sz w:val="16"/>
        </w:rPr>
        <mc:AlternateContent>
          <mc:Choice Requires="wps">
            <w:drawing>
              <wp:anchor distT="0" distB="0" distL="0" distR="0" allowOverlap="1" layoutInCell="1" locked="0" behindDoc="0" simplePos="0" relativeHeight="15865344">
                <wp:simplePos x="0" y="0"/>
                <wp:positionH relativeFrom="page">
                  <wp:posOffset>914400</wp:posOffset>
                </wp:positionH>
                <wp:positionV relativeFrom="paragraph">
                  <wp:posOffset>240632</wp:posOffset>
                </wp:positionV>
                <wp:extent cx="5943600" cy="1270"/>
                <wp:effectExtent l="0" t="0" r="0" b="0"/>
                <wp:wrapNone/>
                <wp:docPr id="864" name="Graphic 864"/>
                <wp:cNvGraphicFramePr>
                  <a:graphicFrameLocks/>
                </wp:cNvGraphicFramePr>
                <a:graphic>
                  <a:graphicData uri="http://schemas.microsoft.com/office/word/2010/wordprocessingShape">
                    <wps:wsp>
                      <wps:cNvPr id="864" name="Graphic 86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344" from="72pt,18.947412pt" to="540pt,18.947412pt" stroked="true" strokeweight="1pt" strokecolor="#000000">
                <v:stroke dashstyle="solid"/>
                <w10:wrap type="none"/>
              </v:line>
            </w:pict>
          </mc:Fallback>
        </mc:AlternateContent>
      </w:r>
      <w:r>
        <w:rPr>
          <w:rFonts w:ascii="Arial MT"/>
          <w:sz w:val="16"/>
        </w:rPr>
        <w:t>Other asset/liability </w:t>
      </w:r>
      <w:r>
        <w:rPr>
          <w:rFonts w:ascii="Arial MT"/>
          <w:spacing w:val="-2"/>
          <w:sz w:val="16"/>
        </w:rPr>
        <w:t>management derivatives</w:t>
      </w:r>
    </w:p>
    <w:p>
      <w:pPr>
        <w:spacing w:before="63"/>
        <w:ind w:left="791" w:right="0" w:firstLine="0"/>
        <w:jc w:val="left"/>
        <w:rPr>
          <w:rFonts w:ascii="Arial MT"/>
          <w:sz w:val="16"/>
        </w:rPr>
      </w:pPr>
      <w:r>
        <w:rPr>
          <w:rFonts w:ascii="Arial MT"/>
          <w:sz w:val="16"/>
        </w:rPr>
        <w:t>Other</w:t>
      </w:r>
      <w:r>
        <w:rPr>
          <w:rFonts w:ascii="Arial MT"/>
          <w:spacing w:val="-2"/>
          <w:sz w:val="16"/>
        </w:rPr>
        <w:t> purposes:</w:t>
      </w:r>
    </w:p>
    <w:p>
      <w:pPr>
        <w:tabs>
          <w:tab w:pos="3936" w:val="left" w:leader="none"/>
        </w:tabs>
        <w:spacing w:line="237" w:lineRule="auto" w:before="0"/>
        <w:ind w:left="516" w:right="0" w:firstLine="0"/>
        <w:jc w:val="left"/>
        <w:rPr>
          <w:rFonts w:ascii="Arial MT"/>
          <w:sz w:val="16"/>
        </w:rPr>
      </w:pPr>
      <w:r>
        <w:rPr/>
        <w:br w:type="column"/>
      </w:r>
      <w:r>
        <w:rPr>
          <w:rFonts w:ascii="Arial MT"/>
          <w:position w:val="-7"/>
          <w:sz w:val="16"/>
        </w:rPr>
        <w:t>Currency</w:t>
      </w:r>
      <w:r>
        <w:rPr>
          <w:rFonts w:ascii="Arial MT"/>
          <w:spacing w:val="-3"/>
          <w:position w:val="-7"/>
          <w:sz w:val="16"/>
        </w:rPr>
        <w:t> </w:t>
      </w:r>
      <w:r>
        <w:rPr>
          <w:rFonts w:ascii="Arial MT"/>
          <w:position w:val="-7"/>
          <w:sz w:val="16"/>
        </w:rPr>
        <w:t>swaps</w:t>
      </w:r>
      <w:r>
        <w:rPr>
          <w:rFonts w:ascii="Arial MT"/>
          <w:spacing w:val="-3"/>
          <w:position w:val="-7"/>
          <w:sz w:val="16"/>
        </w:rPr>
        <w:t> </w:t>
      </w:r>
      <w:r>
        <w:rPr>
          <w:rFonts w:ascii="Arial MT"/>
          <w:position w:val="-7"/>
          <w:sz w:val="16"/>
        </w:rPr>
        <w:t>and</w:t>
      </w:r>
      <w:r>
        <w:rPr>
          <w:rFonts w:ascii="Arial MT"/>
          <w:spacing w:val="-4"/>
          <w:position w:val="-7"/>
          <w:sz w:val="16"/>
        </w:rPr>
        <w:t> </w:t>
      </w:r>
      <w:r>
        <w:rPr>
          <w:rFonts w:ascii="Arial MT"/>
          <w:position w:val="-7"/>
          <w:sz w:val="16"/>
        </w:rPr>
        <w:t>interest</w:t>
      </w:r>
      <w:r>
        <w:rPr>
          <w:rFonts w:ascii="Arial MT"/>
          <w:spacing w:val="-3"/>
          <w:position w:val="-7"/>
          <w:sz w:val="16"/>
        </w:rPr>
        <w:t> </w:t>
      </w:r>
      <w:r>
        <w:rPr>
          <w:rFonts w:ascii="Arial MT"/>
          <w:position w:val="-7"/>
          <w:sz w:val="16"/>
        </w:rPr>
        <w:t>rate</w:t>
      </w:r>
      <w:r>
        <w:rPr>
          <w:rFonts w:ascii="Arial MT"/>
          <w:spacing w:val="-3"/>
          <w:position w:val="-7"/>
          <w:sz w:val="16"/>
        </w:rPr>
        <w:t> </w:t>
      </w:r>
      <w:r>
        <w:rPr>
          <w:rFonts w:ascii="Arial MT"/>
          <w:spacing w:val="-2"/>
          <w:position w:val="-7"/>
          <w:sz w:val="16"/>
        </w:rPr>
        <w:t>swaps</w:t>
      </w:r>
      <w:r>
        <w:rPr>
          <w:rFonts w:ascii="Arial MT"/>
          <w:position w:val="-7"/>
          <w:sz w:val="16"/>
        </w:rPr>
        <w:tab/>
      </w:r>
      <w:r>
        <w:rPr>
          <w:rFonts w:ascii="Arial MT"/>
          <w:sz w:val="16"/>
        </w:rPr>
        <w:t>Manage</w:t>
      </w:r>
      <w:r>
        <w:rPr>
          <w:rFonts w:ascii="Arial MT"/>
          <w:spacing w:val="-6"/>
          <w:sz w:val="16"/>
        </w:rPr>
        <w:t> </w:t>
      </w:r>
      <w:r>
        <w:rPr>
          <w:rFonts w:ascii="Arial MT"/>
          <w:sz w:val="16"/>
        </w:rPr>
        <w:t>currency</w:t>
      </w:r>
      <w:r>
        <w:rPr>
          <w:rFonts w:ascii="Arial MT"/>
          <w:spacing w:val="-3"/>
          <w:sz w:val="16"/>
        </w:rPr>
        <w:t> </w:t>
      </w:r>
      <w:r>
        <w:rPr>
          <w:rFonts w:ascii="Arial MT"/>
          <w:sz w:val="16"/>
        </w:rPr>
        <w:t>risk</w:t>
      </w:r>
      <w:r>
        <w:rPr>
          <w:rFonts w:ascii="Arial MT"/>
          <w:spacing w:val="-3"/>
          <w:sz w:val="16"/>
        </w:rPr>
        <w:t> </w:t>
      </w:r>
      <w:r>
        <w:rPr>
          <w:rFonts w:ascii="Arial MT"/>
          <w:sz w:val="16"/>
        </w:rPr>
        <w:t>and</w:t>
      </w:r>
      <w:r>
        <w:rPr>
          <w:rFonts w:ascii="Arial MT"/>
          <w:spacing w:val="-3"/>
          <w:sz w:val="16"/>
        </w:rPr>
        <w:t> </w:t>
      </w:r>
      <w:r>
        <w:rPr>
          <w:rFonts w:ascii="Arial MT"/>
          <w:sz w:val="16"/>
        </w:rPr>
        <w:t>the</w:t>
      </w:r>
      <w:r>
        <w:rPr>
          <w:rFonts w:ascii="Arial MT"/>
          <w:spacing w:val="-4"/>
          <w:sz w:val="16"/>
        </w:rPr>
        <w:t> </w:t>
      </w:r>
      <w:r>
        <w:rPr>
          <w:rFonts w:ascii="Arial MT"/>
          <w:sz w:val="16"/>
        </w:rPr>
        <w:t>duration</w:t>
      </w:r>
      <w:r>
        <w:rPr>
          <w:rFonts w:ascii="Arial MT"/>
          <w:spacing w:val="-3"/>
          <w:sz w:val="16"/>
        </w:rPr>
        <w:t> </w:t>
      </w:r>
      <w:r>
        <w:rPr>
          <w:rFonts w:ascii="Arial MT"/>
          <w:spacing w:val="-5"/>
          <w:sz w:val="16"/>
        </w:rPr>
        <w:t>of</w:t>
      </w:r>
    </w:p>
    <w:p>
      <w:pPr>
        <w:spacing w:after="0" w:line="237" w:lineRule="auto"/>
        <w:jc w:val="left"/>
        <w:rPr>
          <w:rFonts w:ascii="Arial MT"/>
          <w:sz w:val="16"/>
        </w:rPr>
        <w:sectPr>
          <w:type w:val="continuous"/>
          <w:pgSz w:w="12240" w:h="15840"/>
          <w:pgMar w:header="0" w:footer="0" w:top="1820" w:bottom="280" w:left="720" w:right="720"/>
          <w:cols w:num="2" w:equalWidth="0">
            <w:col w:w="2785" w:space="40"/>
            <w:col w:w="7975"/>
          </w:cols>
        </w:sectPr>
      </w:pPr>
    </w:p>
    <w:p>
      <w:pPr>
        <w:spacing w:line="208" w:lineRule="auto" w:before="72"/>
        <w:ind w:left="3539" w:right="0" w:hanging="198"/>
        <w:jc w:val="left"/>
        <w:rPr>
          <w:rFonts w:ascii="Arial MT"/>
          <w:sz w:val="16"/>
        </w:rPr>
      </w:pPr>
      <w:r>
        <w:rPr>
          <w:rFonts w:ascii="Arial MT"/>
          <w:sz w:val="16"/>
        </w:rPr>
        <mc:AlternateContent>
          <mc:Choice Requires="wps">
            <w:drawing>
              <wp:anchor distT="0" distB="0" distL="0" distR="0" allowOverlap="1" layoutInCell="1" locked="0" behindDoc="0" simplePos="0" relativeHeight="15867392">
                <wp:simplePos x="0" y="0"/>
                <wp:positionH relativeFrom="page">
                  <wp:posOffset>1062989</wp:posOffset>
                </wp:positionH>
                <wp:positionV relativeFrom="paragraph">
                  <wp:posOffset>91559</wp:posOffset>
                </wp:positionV>
                <wp:extent cx="762000" cy="113664"/>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762000" cy="113664"/>
                        </a:xfrm>
                        <a:prstGeom prst="rect">
                          <a:avLst/>
                        </a:prstGeom>
                      </wps:spPr>
                      <wps:txbx>
                        <w:txbxContent>
                          <w:p>
                            <w:pPr>
                              <w:spacing w:line="179" w:lineRule="exact" w:before="0"/>
                              <w:ind w:left="0" w:right="0" w:firstLine="0"/>
                              <w:jc w:val="left"/>
                              <w:rPr>
                                <w:rFonts w:ascii="Arial MT"/>
                                <w:sz w:val="16"/>
                              </w:rPr>
                            </w:pPr>
                            <w:r>
                              <w:rPr>
                                <w:rFonts w:ascii="Arial MT"/>
                                <w:sz w:val="16"/>
                              </w:rPr>
                              <w:t>Client</w:t>
                            </w:r>
                            <w:r>
                              <w:rPr>
                                <w:rFonts w:ascii="Arial MT"/>
                                <w:spacing w:val="-5"/>
                                <w:sz w:val="16"/>
                              </w:rPr>
                              <w:t> </w:t>
                            </w:r>
                            <w:r>
                              <w:rPr>
                                <w:rFonts w:ascii="Arial MT"/>
                                <w:spacing w:val="-2"/>
                                <w:sz w:val="16"/>
                              </w:rPr>
                              <w:t>operations</w:t>
                            </w:r>
                          </w:p>
                        </w:txbxContent>
                      </wps:txbx>
                      <wps:bodyPr wrap="square" lIns="0" tIns="0" rIns="0" bIns="0" rtlCol="0">
                        <a:noAutofit/>
                      </wps:bodyPr>
                    </wps:wsp>
                  </a:graphicData>
                </a:graphic>
              </wp:anchor>
            </w:drawing>
          </mc:Choice>
          <mc:Fallback>
            <w:pict>
              <v:shape style="position:absolute;margin-left:83.699997pt;margin-top:7.209375pt;width:60pt;height:8.950pt;mso-position-horizontal-relative:page;mso-position-vertical-relative:paragraph;z-index:15867392" type="#_x0000_t202" id="docshape717" filled="false" stroked="false">
                <v:textbox inset="0,0,0,0">
                  <w:txbxContent>
                    <w:p>
                      <w:pPr>
                        <w:spacing w:line="179" w:lineRule="exact" w:before="0"/>
                        <w:ind w:left="0" w:right="0" w:firstLine="0"/>
                        <w:jc w:val="left"/>
                        <w:rPr>
                          <w:rFonts w:ascii="Arial MT"/>
                          <w:sz w:val="16"/>
                        </w:rPr>
                      </w:pPr>
                      <w:r>
                        <w:rPr>
                          <w:rFonts w:ascii="Arial MT"/>
                          <w:sz w:val="16"/>
                        </w:rPr>
                        <w:t>Client</w:t>
                      </w:r>
                      <w:r>
                        <w:rPr>
                          <w:rFonts w:ascii="Arial MT"/>
                          <w:spacing w:val="-5"/>
                          <w:sz w:val="16"/>
                        </w:rPr>
                        <w:t> </w:t>
                      </w:r>
                      <w:r>
                        <w:rPr>
                          <w:rFonts w:ascii="Arial MT"/>
                          <w:spacing w:val="-2"/>
                          <w:sz w:val="16"/>
                        </w:rPr>
                        <w:t>operations</w:t>
                      </w:r>
                    </w:p>
                  </w:txbxContent>
                </v:textbox>
                <w10:wrap type="none"/>
              </v:shape>
            </w:pict>
          </mc:Fallback>
        </mc:AlternateContent>
      </w:r>
      <w:r>
        <w:rPr>
          <w:rFonts w:ascii="Arial MT"/>
          <w:sz w:val="16"/>
        </w:rPr>
        <w:t>Currency swaps, currency forward contracts,</w:t>
      </w:r>
      <w:r>
        <w:rPr>
          <w:rFonts w:ascii="Arial MT"/>
          <w:spacing w:val="-10"/>
          <w:sz w:val="16"/>
        </w:rPr>
        <w:t> </w:t>
      </w:r>
      <w:r>
        <w:rPr>
          <w:rFonts w:ascii="Arial MT"/>
          <w:sz w:val="16"/>
        </w:rPr>
        <w:t>and</w:t>
      </w:r>
      <w:r>
        <w:rPr>
          <w:rFonts w:ascii="Arial MT"/>
          <w:spacing w:val="-11"/>
          <w:sz w:val="16"/>
        </w:rPr>
        <w:t> </w:t>
      </w:r>
      <w:r>
        <w:rPr>
          <w:rFonts w:ascii="Arial MT"/>
          <w:sz w:val="16"/>
        </w:rPr>
        <w:t>interest</w:t>
      </w:r>
      <w:r>
        <w:rPr>
          <w:rFonts w:ascii="Arial MT"/>
          <w:spacing w:val="-10"/>
          <w:sz w:val="16"/>
        </w:rPr>
        <w:t> </w:t>
      </w:r>
      <w:r>
        <w:rPr>
          <w:rFonts w:ascii="Arial MT"/>
          <w:sz w:val="16"/>
        </w:rPr>
        <w:t>rate</w:t>
      </w:r>
      <w:r>
        <w:rPr>
          <w:rFonts w:ascii="Arial MT"/>
          <w:spacing w:val="-11"/>
          <w:sz w:val="16"/>
        </w:rPr>
        <w:t> </w:t>
      </w:r>
      <w:r>
        <w:rPr>
          <w:rFonts w:ascii="Arial MT"/>
          <w:sz w:val="16"/>
        </w:rPr>
        <w:t>swaps</w:t>
      </w:r>
    </w:p>
    <w:p>
      <w:pPr>
        <w:spacing w:before="52"/>
        <w:ind w:left="791" w:right="0" w:firstLine="0"/>
        <w:jc w:val="left"/>
        <w:rPr>
          <w:rFonts w:ascii="Arial MT"/>
          <w:sz w:val="16"/>
        </w:rPr>
      </w:pPr>
      <w:r>
        <w:rPr/>
        <w:br w:type="column"/>
      </w:r>
      <w:r>
        <w:rPr>
          <w:rFonts w:ascii="Arial MT"/>
          <w:sz w:val="16"/>
        </w:rPr>
        <w:t>Assist</w:t>
      </w:r>
      <w:r>
        <w:rPr>
          <w:rFonts w:ascii="Arial MT"/>
          <w:spacing w:val="-4"/>
          <w:sz w:val="16"/>
        </w:rPr>
        <w:t> </w:t>
      </w:r>
      <w:r>
        <w:rPr>
          <w:rFonts w:ascii="Arial MT"/>
          <w:sz w:val="16"/>
        </w:rPr>
        <w:t>clients</w:t>
      </w:r>
      <w:r>
        <w:rPr>
          <w:rFonts w:ascii="Arial MT"/>
          <w:spacing w:val="-3"/>
          <w:sz w:val="16"/>
        </w:rPr>
        <w:t> </w:t>
      </w:r>
      <w:r>
        <w:rPr>
          <w:rFonts w:ascii="Arial MT"/>
          <w:sz w:val="16"/>
        </w:rPr>
        <w:t>in</w:t>
      </w:r>
      <w:r>
        <w:rPr>
          <w:rFonts w:ascii="Arial MT"/>
          <w:spacing w:val="-4"/>
          <w:sz w:val="16"/>
        </w:rPr>
        <w:t> </w:t>
      </w:r>
      <w:r>
        <w:rPr>
          <w:rFonts w:ascii="Arial MT"/>
          <w:sz w:val="16"/>
        </w:rPr>
        <w:t>managing</w:t>
      </w:r>
      <w:r>
        <w:rPr>
          <w:rFonts w:ascii="Arial MT"/>
          <w:spacing w:val="-3"/>
          <w:sz w:val="16"/>
        </w:rPr>
        <w:t> </w:t>
      </w:r>
      <w:r>
        <w:rPr>
          <w:rFonts w:ascii="Arial MT"/>
          <w:spacing w:val="-4"/>
          <w:sz w:val="16"/>
        </w:rPr>
        <w:t>risks</w:t>
      </w:r>
    </w:p>
    <w:p>
      <w:pPr>
        <w:spacing w:after="0"/>
        <w:jc w:val="left"/>
        <w:rPr>
          <w:rFonts w:ascii="Arial MT"/>
          <w:sz w:val="16"/>
        </w:rPr>
        <w:sectPr>
          <w:type w:val="continuous"/>
          <w:pgSz w:w="12240" w:h="15840"/>
          <w:pgMar w:header="0" w:footer="0" w:top="1820" w:bottom="280" w:left="720" w:right="720"/>
          <w:cols w:num="2" w:equalWidth="0">
            <w:col w:w="5930" w:space="40"/>
            <w:col w:w="4830"/>
          </w:cols>
        </w:sectPr>
      </w:pPr>
    </w:p>
    <w:p>
      <w:pPr>
        <w:pStyle w:val="BodyText"/>
        <w:rPr>
          <w:rFonts w:ascii="Arial MT"/>
          <w:sz w:val="4"/>
        </w:rPr>
      </w:pPr>
    </w:p>
    <w:p>
      <w:pPr>
        <w:spacing w:line="20" w:lineRule="exact"/>
        <w:ind w:left="720" w:right="0" w:firstLine="0"/>
        <w:rPr>
          <w:rFonts w:ascii="Arial MT"/>
          <w:sz w:val="2"/>
        </w:rPr>
      </w:pPr>
      <w:r>
        <w:rPr>
          <w:rFonts w:ascii="Arial MT"/>
          <w:sz w:val="2"/>
        </w:rPr>
        <mc:AlternateContent>
          <mc:Choice Requires="wps">
            <w:drawing>
              <wp:inline distT="0" distB="0" distL="0" distR="0">
                <wp:extent cx="5943600" cy="12700"/>
                <wp:effectExtent l="9525" t="0" r="0" b="6350"/>
                <wp:docPr id="866" name="Group 866"/>
                <wp:cNvGraphicFramePr>
                  <a:graphicFrameLocks/>
                </wp:cNvGraphicFramePr>
                <a:graphic>
                  <a:graphicData uri="http://schemas.microsoft.com/office/word/2010/wordprocessingGroup">
                    <wpg:wgp>
                      <wpg:cNvPr id="866" name="Group 866"/>
                      <wpg:cNvGrpSpPr/>
                      <wpg:grpSpPr>
                        <a:xfrm>
                          <a:off x="0" y="0"/>
                          <a:ext cx="5943600" cy="12700"/>
                          <a:chExt cx="5943600" cy="12700"/>
                        </a:xfrm>
                      </wpg:grpSpPr>
                      <wps:wsp>
                        <wps:cNvPr id="867" name="Graphic 867"/>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718" coordorigin="0,0" coordsize="9360,20">
                <v:line style="position:absolute" from="0,10" to="9360,10" stroked="true" strokeweight="1pt" strokecolor="#000000">
                  <v:stroke dashstyle="solid"/>
                </v:line>
              </v:group>
            </w:pict>
          </mc:Fallback>
        </mc:AlternateContent>
      </w:r>
      <w:r>
        <w:rPr>
          <w:rFonts w:ascii="Arial MT"/>
          <w:sz w:val="2"/>
        </w:rPr>
      </w:r>
    </w:p>
    <w:p>
      <w:pPr>
        <w:pStyle w:val="BodyText"/>
        <w:spacing w:before="152"/>
        <w:ind w:left="720"/>
        <w:jc w:val="both"/>
      </w:pPr>
      <w:r>
        <w:rPr/>
        <w:t>Under</w:t>
      </w:r>
      <w:r>
        <w:rPr>
          <w:spacing w:val="-6"/>
        </w:rPr>
        <w:t> </w:t>
      </w:r>
      <w:r>
        <w:rPr/>
        <w:t>client</w:t>
      </w:r>
      <w:r>
        <w:rPr>
          <w:spacing w:val="-4"/>
        </w:rPr>
        <w:t> </w:t>
      </w:r>
      <w:r>
        <w:rPr/>
        <w:t>operations,</w:t>
      </w:r>
      <w:r>
        <w:rPr>
          <w:spacing w:val="-4"/>
        </w:rPr>
        <w:t> </w:t>
      </w:r>
      <w:r>
        <w:rPr/>
        <w:t>derivative</w:t>
      </w:r>
      <w:r>
        <w:rPr>
          <w:spacing w:val="-4"/>
        </w:rPr>
        <w:t> </w:t>
      </w:r>
      <w:r>
        <w:rPr/>
        <w:t>intermediation</w:t>
      </w:r>
      <w:r>
        <w:rPr>
          <w:spacing w:val="-4"/>
        </w:rPr>
        <w:t> </w:t>
      </w:r>
      <w:r>
        <w:rPr/>
        <w:t>services</w:t>
      </w:r>
      <w:r>
        <w:rPr>
          <w:spacing w:val="-4"/>
        </w:rPr>
        <w:t> </w:t>
      </w:r>
      <w:r>
        <w:rPr/>
        <w:t>are</w:t>
      </w:r>
      <w:r>
        <w:rPr>
          <w:spacing w:val="-5"/>
        </w:rPr>
        <w:t> </w:t>
      </w:r>
      <w:r>
        <w:rPr/>
        <w:t>provided</w:t>
      </w:r>
      <w:r>
        <w:rPr>
          <w:spacing w:val="-3"/>
        </w:rPr>
        <w:t> </w:t>
      </w:r>
      <w:r>
        <w:rPr/>
        <w:t>to</w:t>
      </w:r>
      <w:r>
        <w:rPr>
          <w:spacing w:val="-4"/>
        </w:rPr>
        <w:t> </w:t>
      </w:r>
      <w:r>
        <w:rPr/>
        <w:t>the</w:t>
      </w:r>
      <w:r>
        <w:rPr>
          <w:spacing w:val="-4"/>
        </w:rPr>
        <w:t> </w:t>
      </w:r>
      <w:r>
        <w:rPr>
          <w:spacing w:val="-2"/>
        </w:rPr>
        <w:t>following:</w:t>
      </w:r>
    </w:p>
    <w:p>
      <w:pPr>
        <w:pStyle w:val="BodyText"/>
        <w:spacing w:line="249" w:lineRule="auto" w:before="130"/>
        <w:ind w:left="720" w:right="719"/>
        <w:jc w:val="both"/>
      </w:pPr>
      <w:r>
        <w:rPr>
          <w:b/>
          <w:i/>
        </w:rPr>
        <w:t>Borrowing Countries: </w:t>
      </w:r>
      <w:r>
        <w:rPr/>
        <w:t>Currency and interest rate swap transactions are executed between IBRD and its borrowers under master derivatives agreements.</w:t>
      </w:r>
    </w:p>
    <w:p>
      <w:pPr>
        <w:pStyle w:val="BodyText"/>
        <w:spacing w:line="249" w:lineRule="auto" w:before="122"/>
        <w:ind w:left="720" w:right="718"/>
        <w:jc w:val="both"/>
      </w:pPr>
      <w:r>
        <w:rPr>
          <w:b/>
          <w:i/>
        </w:rPr>
        <w:t>Non-Affiliated Organizations: </w:t>
      </w:r>
      <w:r>
        <w:rPr/>
        <w:t>IBRD has a master derivatives agreement with the International Finance Facility for Immunisation (IFFIm), under which several transactions have been executed.</w:t>
      </w:r>
    </w:p>
    <w:p>
      <w:pPr>
        <w:pStyle w:val="BodyText"/>
        <w:spacing w:line="249" w:lineRule="auto" w:before="122"/>
        <w:ind w:left="720" w:right="718"/>
        <w:jc w:val="both"/>
      </w:pPr>
      <w:r>
        <w:rPr>
          <w:b/>
          <w:i/>
        </w:rPr>
        <w:t>Affiliated Organizations</w:t>
      </w:r>
      <w:r>
        <w:rPr/>
        <w:t>: Derivative contracts are executed between IBRD and IDA, under an agreement allowing IBRD to intermediate derivative contracts on behalf of IDA.</w:t>
      </w:r>
    </w:p>
    <w:p>
      <w:pPr>
        <w:pStyle w:val="BodyText"/>
        <w:spacing w:line="249" w:lineRule="auto" w:before="121"/>
        <w:ind w:left="720" w:right="720"/>
        <w:jc w:val="both"/>
      </w:pPr>
      <w:r>
        <w:rPr/>
        <w:t>The derivatives in the related tables of Note F are presented on a net basis by instrument. A reconciliation to the Balance Sheets presentation is shown in table F1.</w:t>
      </w:r>
    </w:p>
    <w:p>
      <w:pPr>
        <w:pStyle w:val="Heading5"/>
        <w:spacing w:before="113"/>
      </w:pPr>
      <w:r>
        <w:rPr/>
        <w:t>Offsetting</w:t>
      </w:r>
      <w:r>
        <w:rPr>
          <w:spacing w:val="-5"/>
        </w:rPr>
        <w:t> </w:t>
      </w:r>
      <w:r>
        <w:rPr/>
        <w:t>assets</w:t>
      </w:r>
      <w:r>
        <w:rPr>
          <w:spacing w:val="-2"/>
        </w:rPr>
        <w:t> </w:t>
      </w:r>
      <w:r>
        <w:rPr/>
        <w:t>and</w:t>
      </w:r>
      <w:r>
        <w:rPr>
          <w:spacing w:val="-2"/>
        </w:rPr>
        <w:t> liabilities</w:t>
      </w:r>
    </w:p>
    <w:p>
      <w:pPr>
        <w:pStyle w:val="BodyText"/>
        <w:spacing w:line="249" w:lineRule="auto" w:before="140"/>
        <w:ind w:left="720" w:right="718"/>
        <w:jc w:val="both"/>
      </w:pPr>
      <w:r>
        <w:rPr/>
        <w:t>IBRD enters into International Swaps and Derivatives Association, Inc. (ISDA) master netting agreements with substantially all of its derivative counterparties. These legally enforceable master netting agreements give IBRD the right to liquidate securities held as collateral and to offset receivables and payables with the same counterparty, in the event of default by the counterparty.</w:t>
      </w:r>
    </w:p>
    <w:p>
      <w:pPr>
        <w:pStyle w:val="BodyText"/>
        <w:spacing w:line="249" w:lineRule="auto" w:before="123"/>
        <w:ind w:left="720" w:right="717"/>
        <w:jc w:val="both"/>
      </w:pPr>
      <w:r>
        <w:rPr/>
        <w:t>The following tables summarize the gross and net derivative positions by instrument type.</w:t>
      </w:r>
      <w:r>
        <w:rPr>
          <w:spacing w:val="40"/>
        </w:rPr>
        <w:t> </w:t>
      </w:r>
      <w:r>
        <w:rPr/>
        <w:t>Instruments that are in a net asset position are included in the Derivative Assets columns and instruments that are in a net liability position</w:t>
      </w:r>
      <w:r>
        <w:rPr>
          <w:spacing w:val="40"/>
        </w:rPr>
        <w:t> </w:t>
      </w:r>
      <w:r>
        <w:rPr/>
        <w:t>are included in the Derivative Liabilities columns.</w:t>
      </w:r>
      <w:r>
        <w:rPr>
          <w:spacing w:val="40"/>
        </w:rPr>
        <w:t> </w:t>
      </w:r>
      <w:r>
        <w:rPr/>
        <w:t>The gross columns represent the fair value of the instrument leg that is in an asset or liability position that are then netted with the other leg of the instrument in the gross offset columns.</w:t>
      </w:r>
      <w:r>
        <w:rPr>
          <w:spacing w:val="40"/>
        </w:rPr>
        <w:t> </w:t>
      </w:r>
      <w:r>
        <w:rPr/>
        <w:t>The effects of the master netting agreements are applied on an aggregate basis to the total derivative asset and</w:t>
      </w:r>
      <w:r>
        <w:rPr>
          <w:spacing w:val="-1"/>
        </w:rPr>
        <w:t> </w:t>
      </w:r>
      <w:r>
        <w:rPr/>
        <w:t>liability</w:t>
      </w:r>
      <w:r>
        <w:rPr>
          <w:spacing w:val="-1"/>
        </w:rPr>
        <w:t> </w:t>
      </w:r>
      <w:r>
        <w:rPr/>
        <w:t>positions</w:t>
      </w:r>
      <w:r>
        <w:rPr>
          <w:spacing w:val="-1"/>
        </w:rPr>
        <w:t> </w:t>
      </w:r>
      <w:r>
        <w:rPr/>
        <w:t>and</w:t>
      </w:r>
      <w:r>
        <w:rPr>
          <w:spacing w:val="-1"/>
        </w:rPr>
        <w:t> </w:t>
      </w:r>
      <w:r>
        <w:rPr/>
        <w:t>are</w:t>
      </w:r>
      <w:r>
        <w:rPr>
          <w:spacing w:val="-1"/>
        </w:rPr>
        <w:t> </w:t>
      </w:r>
      <w:r>
        <w:rPr/>
        <w:t>presented</w:t>
      </w:r>
      <w:r>
        <w:rPr>
          <w:spacing w:val="-1"/>
        </w:rPr>
        <w:t> </w:t>
      </w:r>
      <w:r>
        <w:rPr/>
        <w:t>net</w:t>
      </w:r>
      <w:r>
        <w:rPr>
          <w:spacing w:val="-1"/>
        </w:rPr>
        <w:t> </w:t>
      </w:r>
      <w:r>
        <w:rPr/>
        <w:t>of</w:t>
      </w:r>
      <w:r>
        <w:rPr>
          <w:spacing w:val="-1"/>
        </w:rPr>
        <w:t> </w:t>
      </w:r>
      <w:r>
        <w:rPr/>
        <w:t>any</w:t>
      </w:r>
      <w:r>
        <w:rPr>
          <w:spacing w:val="-1"/>
        </w:rPr>
        <w:t> </w:t>
      </w:r>
      <w:r>
        <w:rPr/>
        <w:t>cash</w:t>
      </w:r>
      <w:r>
        <w:rPr>
          <w:spacing w:val="-1"/>
        </w:rPr>
        <w:t> </w:t>
      </w:r>
      <w:r>
        <w:rPr/>
        <w:t>collateral</w:t>
      </w:r>
      <w:r>
        <w:rPr>
          <w:spacing w:val="-1"/>
        </w:rPr>
        <w:t> </w:t>
      </w:r>
      <w:r>
        <w:rPr/>
        <w:t>received</w:t>
      </w:r>
      <w:r>
        <w:rPr>
          <w:spacing w:val="-1"/>
        </w:rPr>
        <w:t> </w:t>
      </w:r>
      <w:r>
        <w:rPr/>
        <w:t>on</w:t>
      </w:r>
      <w:r>
        <w:rPr>
          <w:spacing w:val="-1"/>
        </w:rPr>
        <w:t> </w:t>
      </w:r>
      <w:r>
        <w:rPr/>
        <w:t>the</w:t>
      </w:r>
      <w:r>
        <w:rPr>
          <w:spacing w:val="-1"/>
        </w:rPr>
        <w:t> </w:t>
      </w:r>
      <w:r>
        <w:rPr/>
        <w:t>Balance</w:t>
      </w:r>
      <w:r>
        <w:rPr>
          <w:spacing w:val="-1"/>
        </w:rPr>
        <w:t> </w:t>
      </w:r>
      <w:r>
        <w:rPr/>
        <w:t>Sheets</w:t>
      </w:r>
      <w:r>
        <w:rPr>
          <w:i/>
        </w:rPr>
        <w:t>.</w:t>
      </w:r>
      <w:r>
        <w:rPr>
          <w:i/>
          <w:spacing w:val="-1"/>
        </w:rPr>
        <w:t> </w:t>
      </w:r>
      <w:r>
        <w:rPr/>
        <w:t>The</w:t>
      </w:r>
      <w:r>
        <w:rPr>
          <w:spacing w:val="-1"/>
        </w:rPr>
        <w:t> </w:t>
      </w:r>
      <w:r>
        <w:rPr/>
        <w:t>net</w:t>
      </w:r>
      <w:r>
        <w:rPr>
          <w:spacing w:val="-1"/>
        </w:rPr>
        <w:t> </w:t>
      </w:r>
      <w:r>
        <w:rPr/>
        <w:t>derivative asset positions in the tables below have been further reduced by any securities received as collateral to disclose IBRD’s net exposure on its derivative asset positions.</w:t>
      </w:r>
    </w:p>
    <w:p>
      <w:pPr>
        <w:pStyle w:val="BodyText"/>
        <w:spacing w:after="0" w:line="249" w:lineRule="auto"/>
        <w:jc w:val="both"/>
        <w:sectPr>
          <w:type w:val="continuous"/>
          <w:pgSz w:w="12240" w:h="15840"/>
          <w:pgMar w:header="0" w:footer="0" w:top="1820" w:bottom="280" w:left="720" w:right="720"/>
        </w:sectPr>
      </w:pPr>
    </w:p>
    <w:p>
      <w:pPr>
        <w:spacing w:before="96"/>
        <w:ind w:left="772" w:right="0" w:firstLine="0"/>
        <w:jc w:val="left"/>
        <w:rPr>
          <w:rFonts w:ascii="Arial"/>
          <w:i/>
          <w:sz w:val="14"/>
        </w:rPr>
      </w:pPr>
      <w:r>
        <w:rPr>
          <w:rFonts w:ascii="Arial"/>
          <w:i/>
          <w:sz w:val="14"/>
        </w:rPr>
        <mc:AlternateContent>
          <mc:Choice Requires="wps">
            <w:drawing>
              <wp:anchor distT="0" distB="0" distL="0" distR="0" allowOverlap="1" layoutInCell="1" locked="0" behindDoc="0" simplePos="0" relativeHeight="15869952">
                <wp:simplePos x="0" y="0"/>
                <wp:positionH relativeFrom="page">
                  <wp:posOffset>914400</wp:posOffset>
                </wp:positionH>
                <wp:positionV relativeFrom="paragraph">
                  <wp:posOffset>181824</wp:posOffset>
                </wp:positionV>
                <wp:extent cx="5838825" cy="1270"/>
                <wp:effectExtent l="0" t="0" r="0" b="0"/>
                <wp:wrapNone/>
                <wp:docPr id="873" name="Graphic 873"/>
                <wp:cNvGraphicFramePr>
                  <a:graphicFrameLocks/>
                </wp:cNvGraphicFramePr>
                <a:graphic>
                  <a:graphicData uri="http://schemas.microsoft.com/office/word/2010/wordprocessingShape">
                    <wps:wsp>
                      <wps:cNvPr id="873" name="Graphic 873"/>
                      <wps:cNvSpPr/>
                      <wps:spPr>
                        <a:xfrm>
                          <a:off x="0" y="0"/>
                          <a:ext cx="5838825" cy="1270"/>
                        </a:xfrm>
                        <a:custGeom>
                          <a:avLst/>
                          <a:gdLst/>
                          <a:ahLst/>
                          <a:cxnLst/>
                          <a:rect l="l" t="t" r="r" b="b"/>
                          <a:pathLst>
                            <a:path w="5838825" h="0">
                              <a:moveTo>
                                <a:pt x="0" y="0"/>
                              </a:moveTo>
                              <a:lnTo>
                                <a:pt x="5838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952" from="72pt,14.316895pt" to="531.75pt,14.316895pt" stroked="true" strokeweight="1pt" strokecolor="#000000">
                <v:stroke dashstyle="solid"/>
                <w10:wrap type="none"/>
              </v:lin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pStyle w:val="BodyText"/>
        <w:spacing w:before="160"/>
        <w:rPr>
          <w:rFonts w:ascii="Arial"/>
          <w:i/>
          <w:sz w:val="14"/>
        </w:rPr>
      </w:pPr>
      <w:r>
        <w:rPr/>
        <w:br w:type="column"/>
      </w:r>
      <w:r>
        <w:rPr>
          <w:rFonts w:ascii="Arial"/>
          <w:i/>
          <w:sz w:val="14"/>
        </w:rPr>
      </w:r>
    </w:p>
    <w:p>
      <w:pPr>
        <w:spacing w:before="0"/>
        <w:ind w:left="0" w:right="1211" w:firstLine="0"/>
        <w:jc w:val="center"/>
        <w:rPr>
          <w:rFonts w:ascii="Arial"/>
          <w:i/>
          <w:sz w:val="14"/>
        </w:rPr>
      </w:pP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2023</w:t>
      </w:r>
    </w:p>
    <w:p>
      <w:pPr>
        <w:pStyle w:val="BodyText"/>
        <w:spacing w:before="6"/>
        <w:rPr>
          <w:rFonts w:ascii="Arial"/>
          <w:i/>
          <w:sz w:val="2"/>
        </w:rPr>
      </w:pPr>
    </w:p>
    <w:p>
      <w:pPr>
        <w:spacing w:line="20" w:lineRule="exact"/>
        <w:ind w:left="-330" w:right="0" w:firstLine="0"/>
        <w:rPr>
          <w:rFonts w:ascii="Arial"/>
          <w:sz w:val="2"/>
        </w:rPr>
      </w:pPr>
      <w:r>
        <w:rPr>
          <w:rFonts w:ascii="Arial"/>
          <w:sz w:val="2"/>
        </w:rPr>
        <mc:AlternateContent>
          <mc:Choice Requires="wps">
            <w:drawing>
              <wp:inline distT="0" distB="0" distL="0" distR="0">
                <wp:extent cx="4314825" cy="12700"/>
                <wp:effectExtent l="9525" t="0" r="0" b="6350"/>
                <wp:docPr id="874" name="Group 874"/>
                <wp:cNvGraphicFramePr>
                  <a:graphicFrameLocks/>
                </wp:cNvGraphicFramePr>
                <a:graphic>
                  <a:graphicData uri="http://schemas.microsoft.com/office/word/2010/wordprocessingGroup">
                    <wpg:wgp>
                      <wpg:cNvPr id="874" name="Group 874"/>
                      <wpg:cNvGrpSpPr/>
                      <wpg:grpSpPr>
                        <a:xfrm>
                          <a:off x="0" y="0"/>
                          <a:ext cx="4314825" cy="12700"/>
                          <a:chExt cx="4314825" cy="12700"/>
                        </a:xfrm>
                      </wpg:grpSpPr>
                      <wps:wsp>
                        <wps:cNvPr id="875" name="Graphic 875"/>
                        <wps:cNvSpPr/>
                        <wps:spPr>
                          <a:xfrm>
                            <a:off x="0" y="6350"/>
                            <a:ext cx="4314825" cy="1270"/>
                          </a:xfrm>
                          <a:custGeom>
                            <a:avLst/>
                            <a:gdLst/>
                            <a:ahLst/>
                            <a:cxnLst/>
                            <a:rect l="l" t="t" r="r" b="b"/>
                            <a:pathLst>
                              <a:path w="4314825" h="0">
                                <a:moveTo>
                                  <a:pt x="0" y="0"/>
                                </a:moveTo>
                                <a:lnTo>
                                  <a:pt x="43148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9.75pt;height:1pt;mso-position-horizontal-relative:char;mso-position-vertical-relative:line" id="docshapegroup724" coordorigin="0,0" coordsize="6795,20">
                <v:line style="position:absolute" from="0,10" to="6795,10" stroked="true" strokeweight="1pt" strokecolor="#000000">
                  <v:stroke dashstyle="solid"/>
                </v:line>
              </v:group>
            </w:pict>
          </mc:Fallback>
        </mc:AlternateContent>
      </w:r>
      <w:r>
        <w:rPr>
          <w:rFonts w:ascii="Arial"/>
          <w:sz w:val="2"/>
        </w:rPr>
      </w:r>
    </w:p>
    <w:p>
      <w:pPr>
        <w:tabs>
          <w:tab w:pos="3432" w:val="left" w:leader="none"/>
        </w:tabs>
        <w:spacing w:before="15"/>
        <w:ind w:left="0" w:right="1133" w:firstLine="0"/>
        <w:jc w:val="center"/>
        <w:rPr>
          <w:rFonts w:ascii="Arial"/>
          <w:i/>
          <w:sz w:val="14"/>
        </w:rPr>
      </w:pPr>
      <w:r>
        <w:rPr>
          <w:rFonts w:ascii="Arial"/>
          <w:i/>
          <w:sz w:val="14"/>
        </w:rPr>
        <mc:AlternateContent>
          <mc:Choice Requires="wps">
            <w:drawing>
              <wp:anchor distT="0" distB="0" distL="0" distR="0" allowOverlap="1" layoutInCell="1" locked="0" behindDoc="0" simplePos="0" relativeHeight="15870464">
                <wp:simplePos x="0" y="0"/>
                <wp:positionH relativeFrom="page">
                  <wp:posOffset>2438400</wp:posOffset>
                </wp:positionH>
                <wp:positionV relativeFrom="paragraph">
                  <wp:posOffset>130408</wp:posOffset>
                </wp:positionV>
                <wp:extent cx="4314825" cy="1270"/>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4314825" cy="1270"/>
                        </a:xfrm>
                        <a:custGeom>
                          <a:avLst/>
                          <a:gdLst/>
                          <a:ahLst/>
                          <a:cxnLst/>
                          <a:rect l="l" t="t" r="r" b="b"/>
                          <a:pathLst>
                            <a:path w="4314825" h="0">
                              <a:moveTo>
                                <a:pt x="0" y="0"/>
                              </a:moveTo>
                              <a:lnTo>
                                <a:pt x="4314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464" from="192pt,10.268359pt" to="531.75pt,10.268359pt" stroked="true" strokeweight="1pt" strokecolor="#000000">
                <v:stroke dashstyle="solid"/>
                <w10:wrap type="none"/>
              </v:line>
            </w:pict>
          </mc:Fallback>
        </mc:AlternateContent>
      </w:r>
      <w:r>
        <w:rPr>
          <w:rFonts w:ascii="Arial"/>
          <w:i/>
          <w:sz w:val="14"/>
        </w:rPr>
        <w:t>Derivative</w:t>
      </w:r>
      <w:r>
        <w:rPr>
          <w:rFonts w:ascii="Arial"/>
          <w:i/>
          <w:spacing w:val="-7"/>
          <w:sz w:val="14"/>
        </w:rPr>
        <w:t> </w:t>
      </w:r>
      <w:r>
        <w:rPr>
          <w:rFonts w:ascii="Arial"/>
          <w:i/>
          <w:spacing w:val="-2"/>
          <w:sz w:val="14"/>
        </w:rPr>
        <w:t>Assets</w:t>
      </w:r>
      <w:r>
        <w:rPr>
          <w:rFonts w:ascii="Arial"/>
          <w:i/>
          <w:sz w:val="14"/>
        </w:rPr>
        <w:tab/>
        <w:t>Derivative</w:t>
      </w:r>
      <w:r>
        <w:rPr>
          <w:rFonts w:ascii="Arial"/>
          <w:i/>
          <w:spacing w:val="-5"/>
          <w:sz w:val="14"/>
        </w:rPr>
        <w:t> </w:t>
      </w:r>
      <w:r>
        <w:rPr>
          <w:rFonts w:ascii="Arial"/>
          <w:i/>
          <w:spacing w:val="-2"/>
          <w:sz w:val="14"/>
        </w:rPr>
        <w:t>Liabilities</w:t>
      </w:r>
    </w:p>
    <w:p>
      <w:pPr>
        <w:spacing w:after="0"/>
        <w:jc w:val="center"/>
        <w:rPr>
          <w:rFonts w:ascii="Arial"/>
          <w:i/>
          <w:sz w:val="14"/>
        </w:rPr>
        <w:sectPr>
          <w:headerReference w:type="even" r:id="rId173"/>
          <w:footerReference w:type="even" r:id="rId174"/>
          <w:footerReference w:type="default" r:id="rId175"/>
          <w:pgSz w:w="12240" w:h="15840"/>
          <w:pgMar w:header="1037" w:footer="528" w:top="1240" w:bottom="720" w:left="720" w:right="720"/>
          <w:pgNumType w:start="112"/>
          <w:cols w:num="2" w:equalWidth="0">
            <w:col w:w="2353" w:space="1096"/>
            <w:col w:w="7351"/>
          </w:cols>
        </w:sectPr>
      </w:pPr>
    </w:p>
    <w:p>
      <w:pPr>
        <w:spacing w:line="249" w:lineRule="auto" w:before="76"/>
        <w:ind w:left="3297" w:right="-8" w:hanging="113"/>
        <w:jc w:val="left"/>
        <w:rPr>
          <w:rFonts w:ascii="Arial"/>
          <w:i/>
          <w:sz w:val="14"/>
        </w:rPr>
      </w:pP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Recognized</w:t>
      </w:r>
    </w:p>
    <w:p>
      <w:pPr>
        <w:spacing w:line="249" w:lineRule="auto" w:before="76"/>
        <w:ind w:left="385" w:right="-9" w:hanging="296"/>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Offset</w:t>
      </w:r>
    </w:p>
    <w:p>
      <w:pPr>
        <w:spacing w:line="249" w:lineRule="auto" w:before="76"/>
        <w:ind w:left="253" w:right="-9" w:hanging="86"/>
        <w:jc w:val="left"/>
        <w:rPr>
          <w:rFonts w:ascii="Arial"/>
          <w:i/>
          <w:sz w:val="14"/>
        </w:rPr>
      </w:pPr>
      <w:r>
        <w:rPr/>
        <w:br w:type="column"/>
      </w:r>
      <w:r>
        <w:rPr>
          <w:rFonts w:ascii="Arial"/>
          <w:i/>
          <w:sz w:val="14"/>
        </w:rPr>
        <w:t>Net</w:t>
      </w:r>
      <w:r>
        <w:rPr>
          <w:rFonts w:ascii="Arial"/>
          <w:i/>
          <w:spacing w:val="-10"/>
          <w:sz w:val="14"/>
        </w:rPr>
        <w:t> </w:t>
      </w:r>
      <w:r>
        <w:rPr>
          <w:rFonts w:ascii="Arial"/>
          <w:i/>
          <w:sz w:val="14"/>
        </w:rPr>
        <w:t>Amounts</w:t>
      </w:r>
      <w:r>
        <w:rPr>
          <w:rFonts w:ascii="Arial"/>
          <w:i/>
          <w:spacing w:val="40"/>
          <w:sz w:val="14"/>
        </w:rPr>
        <w:t> </w:t>
      </w:r>
      <w:r>
        <w:rPr>
          <w:rFonts w:ascii="Arial"/>
          <w:i/>
          <w:spacing w:val="-2"/>
          <w:sz w:val="14"/>
        </w:rPr>
        <w:t>Presented</w:t>
      </w:r>
    </w:p>
    <w:p>
      <w:pPr>
        <w:spacing w:line="249" w:lineRule="auto" w:before="76"/>
        <w:ind w:left="505" w:right="-9" w:hanging="113"/>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Recognized</w:t>
      </w:r>
    </w:p>
    <w:p>
      <w:pPr>
        <w:spacing w:line="249" w:lineRule="auto" w:before="76"/>
        <w:ind w:left="385" w:right="-9" w:hanging="296"/>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Offset</w:t>
      </w:r>
    </w:p>
    <w:p>
      <w:pPr>
        <w:spacing w:line="249" w:lineRule="auto" w:before="76"/>
        <w:ind w:left="253" w:right="1019" w:hanging="86"/>
        <w:jc w:val="left"/>
        <w:rPr>
          <w:rFonts w:ascii="Arial"/>
          <w:i/>
          <w:sz w:val="14"/>
        </w:rPr>
      </w:pPr>
      <w:r>
        <w:rPr/>
        <w:br w:type="column"/>
      </w:r>
      <w:r>
        <w:rPr>
          <w:rFonts w:ascii="Arial"/>
          <w:i/>
          <w:sz w:val="14"/>
        </w:rPr>
        <w:t>Net</w:t>
      </w:r>
      <w:r>
        <w:rPr>
          <w:rFonts w:ascii="Arial"/>
          <w:i/>
          <w:spacing w:val="-10"/>
          <w:sz w:val="14"/>
        </w:rPr>
        <w:t> </w:t>
      </w:r>
      <w:r>
        <w:rPr>
          <w:rFonts w:ascii="Arial"/>
          <w:i/>
          <w:sz w:val="14"/>
        </w:rPr>
        <w:t>Amounts</w:t>
      </w:r>
      <w:r>
        <w:rPr>
          <w:rFonts w:ascii="Arial"/>
          <w:i/>
          <w:spacing w:val="40"/>
          <w:sz w:val="14"/>
        </w:rPr>
        <w:t> </w:t>
      </w:r>
      <w:r>
        <w:rPr>
          <w:rFonts w:ascii="Arial"/>
          <w:i/>
          <w:spacing w:val="-2"/>
          <w:sz w:val="14"/>
        </w:rPr>
        <w:t>Presented</w:t>
      </w:r>
    </w:p>
    <w:p>
      <w:pPr>
        <w:spacing w:after="0" w:line="249" w:lineRule="auto"/>
        <w:jc w:val="left"/>
        <w:rPr>
          <w:rFonts w:ascii="Arial"/>
          <w:i/>
          <w:sz w:val="14"/>
        </w:rPr>
        <w:sectPr>
          <w:type w:val="continuous"/>
          <w:pgSz w:w="12240" w:h="15840"/>
          <w:pgMar w:header="1037" w:footer="528" w:top="1820" w:bottom="280" w:left="720" w:right="720"/>
          <w:cols w:num="6" w:equalWidth="0">
            <w:col w:w="4151" w:space="40"/>
            <w:col w:w="1055" w:space="39"/>
            <w:col w:w="978" w:space="40"/>
            <w:col w:w="1358" w:space="39"/>
            <w:col w:w="1055" w:space="39"/>
            <w:col w:w="2006"/>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0"/>
        <w:gridCol w:w="1091"/>
        <w:gridCol w:w="1468"/>
        <w:gridCol w:w="728"/>
        <w:gridCol w:w="226"/>
        <w:gridCol w:w="1091"/>
        <w:gridCol w:w="2197"/>
        <w:gridCol w:w="184"/>
      </w:tblGrid>
      <w:tr>
        <w:trPr>
          <w:trHeight w:val="210" w:hRule="atLeast"/>
        </w:trPr>
        <w:tc>
          <w:tcPr>
            <w:tcW w:w="2400" w:type="dxa"/>
            <w:tcBorders>
              <w:top w:val="single" w:sz="8" w:space="0" w:color="000000"/>
            </w:tcBorders>
          </w:tcPr>
          <w:p>
            <w:pPr>
              <w:pStyle w:val="TableParagraph"/>
              <w:spacing w:before="24"/>
              <w:ind w:left="52"/>
              <w:rPr>
                <w:sz w:val="14"/>
              </w:rPr>
            </w:pPr>
            <w:r>
              <w:rPr>
                <w:sz w:val="14"/>
              </w:rPr>
              <w:t>Interest</w:t>
            </w:r>
            <w:r>
              <w:rPr>
                <w:spacing w:val="-2"/>
                <w:sz w:val="14"/>
              </w:rPr>
              <w:t> </w:t>
            </w:r>
            <w:r>
              <w:rPr>
                <w:sz w:val="14"/>
              </w:rPr>
              <w:t>rate</w:t>
            </w:r>
            <w:r>
              <w:rPr>
                <w:spacing w:val="-2"/>
                <w:sz w:val="14"/>
              </w:rPr>
              <w:t> swaps</w:t>
            </w:r>
          </w:p>
        </w:tc>
        <w:tc>
          <w:tcPr>
            <w:tcW w:w="1091" w:type="dxa"/>
            <w:tcBorders>
              <w:top w:val="single" w:sz="8" w:space="0" w:color="000000"/>
            </w:tcBorders>
          </w:tcPr>
          <w:p>
            <w:pPr>
              <w:pStyle w:val="TableParagraph"/>
              <w:tabs>
                <w:tab w:pos="552" w:val="left" w:leader="none"/>
              </w:tabs>
              <w:spacing w:before="24"/>
              <w:ind w:right="55"/>
              <w:jc w:val="right"/>
              <w:rPr>
                <w:sz w:val="14"/>
              </w:rPr>
            </w:pPr>
            <w:r>
              <w:rPr>
                <w:spacing w:val="-10"/>
                <w:sz w:val="14"/>
              </w:rPr>
              <w:t>$</w:t>
            </w:r>
            <w:r>
              <w:rPr>
                <w:sz w:val="14"/>
              </w:rPr>
              <w:tab/>
            </w:r>
            <w:r>
              <w:rPr>
                <w:spacing w:val="-2"/>
                <w:sz w:val="14"/>
              </w:rPr>
              <w:t>23,985</w:t>
            </w:r>
          </w:p>
        </w:tc>
        <w:tc>
          <w:tcPr>
            <w:tcW w:w="1468" w:type="dxa"/>
            <w:tcBorders>
              <w:top w:val="single" w:sz="8" w:space="0" w:color="000000"/>
            </w:tcBorders>
          </w:tcPr>
          <w:p>
            <w:pPr>
              <w:pStyle w:val="TableParagraph"/>
              <w:tabs>
                <w:tab w:pos="562" w:val="left" w:leader="none"/>
              </w:tabs>
              <w:spacing w:before="24"/>
              <w:ind w:left="56"/>
              <w:rPr>
                <w:sz w:val="14"/>
              </w:rPr>
            </w:pPr>
            <w:r>
              <w:rPr>
                <w:spacing w:val="-10"/>
                <w:sz w:val="14"/>
              </w:rPr>
              <w:t>$</w:t>
            </w:r>
            <w:r>
              <w:rPr>
                <w:sz w:val="14"/>
              </w:rPr>
              <w:tab/>
              <w:t>(15,792)</w:t>
            </w:r>
            <w:r>
              <w:rPr>
                <w:spacing w:val="22"/>
                <w:sz w:val="14"/>
              </w:rPr>
              <w:t> </w:t>
            </w:r>
            <w:r>
              <w:rPr>
                <w:spacing w:val="-10"/>
                <w:sz w:val="14"/>
              </w:rPr>
              <w:t>$</w:t>
            </w:r>
          </w:p>
        </w:tc>
        <w:tc>
          <w:tcPr>
            <w:tcW w:w="728" w:type="dxa"/>
            <w:tcBorders>
              <w:top w:val="single" w:sz="8" w:space="0" w:color="000000"/>
            </w:tcBorders>
          </w:tcPr>
          <w:p>
            <w:pPr>
              <w:pStyle w:val="TableParagraph"/>
              <w:spacing w:before="24"/>
              <w:ind w:right="61"/>
              <w:jc w:val="right"/>
              <w:rPr>
                <w:sz w:val="14"/>
              </w:rPr>
            </w:pPr>
            <w:r>
              <w:rPr>
                <w:spacing w:val="-2"/>
                <w:sz w:val="14"/>
              </w:rPr>
              <w:t>8,193</w:t>
            </w:r>
          </w:p>
        </w:tc>
        <w:tc>
          <w:tcPr>
            <w:tcW w:w="226" w:type="dxa"/>
          </w:tcPr>
          <w:p>
            <w:pPr>
              <w:pStyle w:val="TableParagraph"/>
              <w:rPr>
                <w:rFonts w:ascii="Times New Roman"/>
                <w:sz w:val="14"/>
              </w:rPr>
            </w:pPr>
          </w:p>
        </w:tc>
        <w:tc>
          <w:tcPr>
            <w:tcW w:w="1091" w:type="dxa"/>
            <w:tcBorders>
              <w:top w:val="single" w:sz="8" w:space="0" w:color="000000"/>
            </w:tcBorders>
          </w:tcPr>
          <w:p>
            <w:pPr>
              <w:pStyle w:val="TableParagraph"/>
              <w:tabs>
                <w:tab w:pos="552" w:val="left" w:leader="none"/>
              </w:tabs>
              <w:spacing w:before="24"/>
              <w:ind w:right="58"/>
              <w:jc w:val="right"/>
              <w:rPr>
                <w:sz w:val="14"/>
              </w:rPr>
            </w:pPr>
            <w:r>
              <w:rPr>
                <w:spacing w:val="-10"/>
                <w:sz w:val="14"/>
              </w:rPr>
              <w:t>$</w:t>
            </w:r>
            <w:r>
              <w:rPr>
                <w:sz w:val="14"/>
              </w:rPr>
              <w:tab/>
            </w:r>
            <w:r>
              <w:rPr>
                <w:spacing w:val="-2"/>
                <w:sz w:val="14"/>
              </w:rPr>
              <w:t>64,855</w:t>
            </w:r>
          </w:p>
        </w:tc>
        <w:tc>
          <w:tcPr>
            <w:tcW w:w="2381" w:type="dxa"/>
            <w:gridSpan w:val="2"/>
            <w:tcBorders>
              <w:top w:val="single" w:sz="8" w:space="0" w:color="000000"/>
            </w:tcBorders>
          </w:tcPr>
          <w:p>
            <w:pPr>
              <w:pStyle w:val="TableParagraph"/>
              <w:tabs>
                <w:tab w:pos="559" w:val="left" w:leader="none"/>
                <w:tab w:pos="1701" w:val="left" w:leader="none"/>
              </w:tabs>
              <w:spacing w:before="24"/>
              <w:ind w:left="53"/>
              <w:rPr>
                <w:sz w:val="14"/>
              </w:rPr>
            </w:pPr>
            <w:r>
              <w:rPr>
                <w:spacing w:val="-10"/>
                <w:sz w:val="14"/>
              </w:rPr>
              <w:t>$</w:t>
            </w:r>
            <w:r>
              <w:rPr>
                <w:sz w:val="14"/>
              </w:rPr>
              <w:tab/>
              <w:t>(36,683)</w:t>
            </w:r>
            <w:r>
              <w:rPr>
                <w:spacing w:val="22"/>
                <w:sz w:val="14"/>
              </w:rPr>
              <w:t> </w:t>
            </w:r>
            <w:r>
              <w:rPr>
                <w:spacing w:val="-10"/>
                <w:sz w:val="14"/>
              </w:rPr>
              <w:t>$</w:t>
            </w:r>
            <w:r>
              <w:rPr>
                <w:sz w:val="14"/>
              </w:rPr>
              <w:tab/>
            </w:r>
            <w:r>
              <w:rPr>
                <w:spacing w:val="-2"/>
                <w:sz w:val="14"/>
              </w:rPr>
              <w:t>28,172</w:t>
            </w:r>
          </w:p>
        </w:tc>
      </w:tr>
      <w:tr>
        <w:trPr>
          <w:trHeight w:val="200" w:hRule="atLeast"/>
        </w:trPr>
        <w:tc>
          <w:tcPr>
            <w:tcW w:w="2400" w:type="dxa"/>
          </w:tcPr>
          <w:p>
            <w:pPr>
              <w:pStyle w:val="TableParagraph"/>
              <w:spacing w:line="141" w:lineRule="exact" w:before="39"/>
              <w:ind w:left="52"/>
              <w:rPr>
                <w:sz w:val="14"/>
              </w:rPr>
            </w:pPr>
            <w:r>
              <w:rPr>
                <w:sz w:val="14"/>
              </w:rPr>
              <w:t>Currency</w:t>
            </w:r>
            <w:r>
              <w:rPr>
                <w:spacing w:val="-4"/>
                <w:sz w:val="14"/>
              </w:rPr>
              <w:t> </w:t>
            </w:r>
            <w:r>
              <w:rPr>
                <w:sz w:val="14"/>
              </w:rPr>
              <w:t>swaps</w:t>
            </w:r>
            <w:r>
              <w:rPr>
                <w:spacing w:val="-4"/>
                <w:sz w:val="14"/>
              </w:rPr>
              <w:t> </w:t>
            </w:r>
            <w:r>
              <w:rPr>
                <w:spacing w:val="-10"/>
                <w:sz w:val="14"/>
                <w:vertAlign w:val="superscript"/>
              </w:rPr>
              <w:t>a</w:t>
            </w:r>
          </w:p>
        </w:tc>
        <w:tc>
          <w:tcPr>
            <w:tcW w:w="1091" w:type="dxa"/>
          </w:tcPr>
          <w:p>
            <w:pPr>
              <w:pStyle w:val="TableParagraph"/>
              <w:spacing w:line="141" w:lineRule="exact" w:before="39"/>
              <w:ind w:right="55"/>
              <w:jc w:val="right"/>
              <w:rPr>
                <w:sz w:val="14"/>
              </w:rPr>
            </w:pPr>
            <w:r>
              <w:rPr>
                <w:spacing w:val="-2"/>
                <w:sz w:val="14"/>
              </w:rPr>
              <w:t>46,549</w:t>
            </w:r>
          </w:p>
        </w:tc>
        <w:tc>
          <w:tcPr>
            <w:tcW w:w="1468" w:type="dxa"/>
          </w:tcPr>
          <w:p>
            <w:pPr>
              <w:pStyle w:val="TableParagraph"/>
              <w:spacing w:line="141" w:lineRule="exact" w:before="39"/>
              <w:ind w:left="562"/>
              <w:rPr>
                <w:sz w:val="14"/>
              </w:rPr>
            </w:pPr>
            <w:r>
              <w:rPr>
                <w:spacing w:val="-2"/>
                <w:sz w:val="14"/>
              </w:rPr>
              <w:t>(41,926)</w:t>
            </w:r>
          </w:p>
        </w:tc>
        <w:tc>
          <w:tcPr>
            <w:tcW w:w="728" w:type="dxa"/>
          </w:tcPr>
          <w:p>
            <w:pPr>
              <w:pStyle w:val="TableParagraph"/>
              <w:spacing w:line="141" w:lineRule="exact" w:before="39"/>
              <w:ind w:right="61"/>
              <w:jc w:val="right"/>
              <w:rPr>
                <w:sz w:val="14"/>
              </w:rPr>
            </w:pPr>
            <w:r>
              <w:rPr>
                <w:spacing w:val="-2"/>
                <w:sz w:val="14"/>
              </w:rPr>
              <w:t>4,623</w:t>
            </w:r>
          </w:p>
        </w:tc>
        <w:tc>
          <w:tcPr>
            <w:tcW w:w="226" w:type="dxa"/>
          </w:tcPr>
          <w:p>
            <w:pPr>
              <w:pStyle w:val="TableParagraph"/>
              <w:rPr>
                <w:rFonts w:ascii="Times New Roman"/>
                <w:sz w:val="12"/>
              </w:rPr>
            </w:pPr>
          </w:p>
        </w:tc>
        <w:tc>
          <w:tcPr>
            <w:tcW w:w="1091" w:type="dxa"/>
          </w:tcPr>
          <w:p>
            <w:pPr>
              <w:pStyle w:val="TableParagraph"/>
              <w:spacing w:line="141" w:lineRule="exact" w:before="39"/>
              <w:ind w:right="58"/>
              <w:jc w:val="right"/>
              <w:rPr>
                <w:sz w:val="14"/>
              </w:rPr>
            </w:pPr>
            <w:r>
              <w:rPr>
                <w:spacing w:val="-2"/>
                <w:sz w:val="14"/>
              </w:rPr>
              <w:t>75,586</w:t>
            </w:r>
          </w:p>
        </w:tc>
        <w:tc>
          <w:tcPr>
            <w:tcW w:w="2381" w:type="dxa"/>
            <w:gridSpan w:val="2"/>
          </w:tcPr>
          <w:p>
            <w:pPr>
              <w:pStyle w:val="TableParagraph"/>
              <w:tabs>
                <w:tab w:pos="1701" w:val="left" w:leader="none"/>
              </w:tabs>
              <w:spacing w:line="141" w:lineRule="exact" w:before="39"/>
              <w:ind w:left="559"/>
              <w:rPr>
                <w:sz w:val="14"/>
              </w:rPr>
            </w:pPr>
            <w:r>
              <w:rPr>
                <w:spacing w:val="-2"/>
                <w:sz w:val="14"/>
              </w:rPr>
              <w:t>(64,022)</w:t>
            </w:r>
            <w:r>
              <w:rPr>
                <w:sz w:val="14"/>
              </w:rPr>
              <w:tab/>
            </w:r>
            <w:r>
              <w:rPr>
                <w:spacing w:val="-2"/>
                <w:sz w:val="14"/>
              </w:rPr>
              <w:t>11,564</w:t>
            </w:r>
          </w:p>
        </w:tc>
      </w:tr>
      <w:tr>
        <w:trPr>
          <w:trHeight w:val="244" w:hRule="atLeast"/>
        </w:trPr>
        <w:tc>
          <w:tcPr>
            <w:tcW w:w="2400" w:type="dxa"/>
          </w:tcPr>
          <w:p>
            <w:pPr>
              <w:pStyle w:val="TableParagraph"/>
              <w:spacing w:line="161" w:lineRule="exact" w:before="64"/>
              <w:ind w:left="52"/>
              <w:rPr>
                <w:sz w:val="14"/>
              </w:rPr>
            </w:pPr>
            <w:r>
              <w:rPr>
                <w:sz w:val="14"/>
              </w:rPr>
              <w:t>Other</w:t>
            </w:r>
            <w:r>
              <w:rPr>
                <w:spacing w:val="-5"/>
                <w:sz w:val="14"/>
              </w:rPr>
              <w:t> </w:t>
            </w:r>
            <w:r>
              <w:rPr>
                <w:spacing w:val="-10"/>
                <w:sz w:val="14"/>
                <w:vertAlign w:val="superscript"/>
              </w:rPr>
              <w:t>b</w:t>
            </w:r>
          </w:p>
        </w:tc>
        <w:tc>
          <w:tcPr>
            <w:tcW w:w="1091" w:type="dxa"/>
            <w:tcBorders>
              <w:bottom w:val="single" w:sz="8" w:space="0" w:color="000000"/>
            </w:tcBorders>
          </w:tcPr>
          <w:p>
            <w:pPr>
              <w:pStyle w:val="TableParagraph"/>
              <w:spacing w:line="161" w:lineRule="exact" w:before="64"/>
              <w:ind w:right="55"/>
              <w:jc w:val="right"/>
              <w:rPr>
                <w:sz w:val="14"/>
              </w:rPr>
            </w:pPr>
            <w:r>
              <w:rPr>
                <w:sz w:val="14"/>
              </w:rPr>
              <w:t>—</w:t>
            </w:r>
          </w:p>
        </w:tc>
        <w:tc>
          <w:tcPr>
            <w:tcW w:w="1468" w:type="dxa"/>
            <w:tcBorders>
              <w:bottom w:val="single" w:sz="8" w:space="0" w:color="000000"/>
            </w:tcBorders>
          </w:tcPr>
          <w:p>
            <w:pPr>
              <w:pStyle w:val="TableParagraph"/>
              <w:spacing w:line="161" w:lineRule="exact" w:before="64"/>
              <w:ind w:left="897"/>
              <w:rPr>
                <w:sz w:val="14"/>
              </w:rPr>
            </w:pPr>
            <w:r>
              <w:rPr>
                <w:sz w:val="14"/>
              </w:rPr>
              <w:t>—</w:t>
            </w:r>
          </w:p>
        </w:tc>
        <w:tc>
          <w:tcPr>
            <w:tcW w:w="728" w:type="dxa"/>
            <w:tcBorders>
              <w:bottom w:val="single" w:sz="8" w:space="0" w:color="000000"/>
            </w:tcBorders>
          </w:tcPr>
          <w:p>
            <w:pPr>
              <w:pStyle w:val="TableParagraph"/>
              <w:spacing w:line="161" w:lineRule="exact" w:before="64"/>
              <w:ind w:right="61"/>
              <w:jc w:val="right"/>
              <w:rPr>
                <w:sz w:val="14"/>
              </w:rPr>
            </w:pPr>
            <w:r>
              <w:rPr>
                <w:sz w:val="14"/>
              </w:rPr>
              <w:t>—</w:t>
            </w:r>
          </w:p>
        </w:tc>
        <w:tc>
          <w:tcPr>
            <w:tcW w:w="226" w:type="dxa"/>
          </w:tcPr>
          <w:p>
            <w:pPr>
              <w:pStyle w:val="TableParagraph"/>
              <w:rPr>
                <w:rFonts w:ascii="Times New Roman"/>
                <w:sz w:val="14"/>
              </w:rPr>
            </w:pPr>
          </w:p>
        </w:tc>
        <w:tc>
          <w:tcPr>
            <w:tcW w:w="1091" w:type="dxa"/>
            <w:tcBorders>
              <w:bottom w:val="single" w:sz="8" w:space="0" w:color="000000"/>
            </w:tcBorders>
          </w:tcPr>
          <w:p>
            <w:pPr>
              <w:pStyle w:val="TableParagraph"/>
              <w:spacing w:line="161" w:lineRule="exact" w:before="64"/>
              <w:ind w:right="58"/>
              <w:jc w:val="right"/>
              <w:rPr>
                <w:sz w:val="14"/>
              </w:rPr>
            </w:pPr>
            <w:r>
              <w:rPr>
                <w:spacing w:val="-10"/>
                <w:sz w:val="14"/>
              </w:rPr>
              <w:t>6</w:t>
            </w:r>
          </w:p>
        </w:tc>
        <w:tc>
          <w:tcPr>
            <w:tcW w:w="2381" w:type="dxa"/>
            <w:gridSpan w:val="2"/>
          </w:tcPr>
          <w:p>
            <w:pPr>
              <w:pStyle w:val="TableParagraph"/>
              <w:tabs>
                <w:tab w:pos="2051" w:val="left" w:leader="none"/>
              </w:tabs>
              <w:spacing w:line="161" w:lineRule="exact" w:before="64"/>
              <w:ind w:left="894"/>
              <w:rPr>
                <w:sz w:val="14"/>
              </w:rPr>
            </w:pPr>
            <w:r>
              <w:rPr>
                <w:sz w:val="14"/>
              </w:rPr>
              <w:t>—</w:t>
              <w:tab/>
            </w:r>
            <w:r>
              <w:rPr>
                <w:spacing w:val="-10"/>
                <w:sz w:val="14"/>
              </w:rPr>
              <w:t>6</w:t>
            </w:r>
          </w:p>
        </w:tc>
      </w:tr>
      <w:tr>
        <w:trPr>
          <w:trHeight w:val="205" w:hRule="atLeast"/>
        </w:trPr>
        <w:tc>
          <w:tcPr>
            <w:tcW w:w="2400" w:type="dxa"/>
          </w:tcPr>
          <w:p>
            <w:pPr>
              <w:pStyle w:val="TableParagraph"/>
              <w:spacing w:line="161" w:lineRule="exact" w:before="24"/>
              <w:ind w:left="52"/>
              <w:rPr>
                <w:rFonts w:ascii="Arial"/>
                <w:b/>
                <w:sz w:val="14"/>
              </w:rPr>
            </w:pPr>
            <w:r>
              <w:rPr>
                <w:rFonts w:ascii="Arial"/>
                <w:b/>
                <w:spacing w:val="-2"/>
                <w:sz w:val="14"/>
              </w:rPr>
              <w:t>Total</w:t>
            </w:r>
          </w:p>
        </w:tc>
        <w:tc>
          <w:tcPr>
            <w:tcW w:w="1091" w:type="dxa"/>
            <w:tcBorders>
              <w:top w:val="single" w:sz="8" w:space="0" w:color="000000"/>
              <w:bottom w:val="single" w:sz="8" w:space="0" w:color="000000"/>
            </w:tcBorders>
          </w:tcPr>
          <w:p>
            <w:pPr>
              <w:pStyle w:val="TableParagraph"/>
              <w:tabs>
                <w:tab w:pos="552" w:val="left" w:leader="none"/>
              </w:tabs>
              <w:spacing w:line="161" w:lineRule="exact" w:before="24"/>
              <w:ind w:right="55"/>
              <w:jc w:val="right"/>
              <w:rPr>
                <w:sz w:val="14"/>
              </w:rPr>
            </w:pPr>
            <w:r>
              <w:rPr>
                <w:spacing w:val="-10"/>
                <w:sz w:val="14"/>
              </w:rPr>
              <w:t>$</w:t>
            </w:r>
            <w:r>
              <w:rPr>
                <w:sz w:val="14"/>
              </w:rPr>
              <w:tab/>
            </w:r>
            <w:r>
              <w:rPr>
                <w:spacing w:val="-2"/>
                <w:sz w:val="14"/>
              </w:rPr>
              <w:t>70,534</w:t>
            </w:r>
          </w:p>
        </w:tc>
        <w:tc>
          <w:tcPr>
            <w:tcW w:w="1468" w:type="dxa"/>
            <w:tcBorders>
              <w:top w:val="single" w:sz="8" w:space="0" w:color="000000"/>
              <w:bottom w:val="single" w:sz="8" w:space="0" w:color="000000"/>
            </w:tcBorders>
          </w:tcPr>
          <w:p>
            <w:pPr>
              <w:pStyle w:val="TableParagraph"/>
              <w:tabs>
                <w:tab w:pos="562" w:val="left" w:leader="none"/>
              </w:tabs>
              <w:spacing w:line="161" w:lineRule="exact" w:before="24"/>
              <w:ind w:left="56"/>
              <w:rPr>
                <w:sz w:val="14"/>
              </w:rPr>
            </w:pPr>
            <w:r>
              <w:rPr>
                <w:spacing w:val="-10"/>
                <w:sz w:val="14"/>
              </w:rPr>
              <w:t>$</w:t>
            </w:r>
            <w:r>
              <w:rPr>
                <w:sz w:val="14"/>
              </w:rPr>
              <w:tab/>
              <w:t>(57,718)</w:t>
            </w:r>
            <w:r>
              <w:rPr>
                <w:spacing w:val="22"/>
                <w:sz w:val="14"/>
              </w:rPr>
              <w:t> </w:t>
            </w:r>
            <w:r>
              <w:rPr>
                <w:spacing w:val="-10"/>
                <w:sz w:val="14"/>
              </w:rPr>
              <w:t>$</w:t>
            </w:r>
          </w:p>
        </w:tc>
        <w:tc>
          <w:tcPr>
            <w:tcW w:w="728" w:type="dxa"/>
            <w:tcBorders>
              <w:top w:val="single" w:sz="8" w:space="0" w:color="000000"/>
              <w:bottom w:val="single" w:sz="8" w:space="0" w:color="000000"/>
            </w:tcBorders>
          </w:tcPr>
          <w:p>
            <w:pPr>
              <w:pStyle w:val="TableParagraph"/>
              <w:spacing w:line="161" w:lineRule="exact" w:before="24"/>
              <w:ind w:right="61"/>
              <w:jc w:val="right"/>
              <w:rPr>
                <w:sz w:val="14"/>
              </w:rPr>
            </w:pPr>
            <w:r>
              <w:rPr>
                <w:spacing w:val="-2"/>
                <w:sz w:val="14"/>
              </w:rPr>
              <w:t>12,816</w:t>
            </w:r>
          </w:p>
        </w:tc>
        <w:tc>
          <w:tcPr>
            <w:tcW w:w="226" w:type="dxa"/>
          </w:tcPr>
          <w:p>
            <w:pPr>
              <w:pStyle w:val="TableParagraph"/>
              <w:rPr>
                <w:rFonts w:ascii="Times New Roman"/>
                <w:sz w:val="14"/>
              </w:rPr>
            </w:pPr>
          </w:p>
        </w:tc>
        <w:tc>
          <w:tcPr>
            <w:tcW w:w="1091" w:type="dxa"/>
            <w:tcBorders>
              <w:top w:val="single" w:sz="8" w:space="0" w:color="000000"/>
              <w:bottom w:val="single" w:sz="8" w:space="0" w:color="000000"/>
            </w:tcBorders>
          </w:tcPr>
          <w:p>
            <w:pPr>
              <w:pStyle w:val="TableParagraph"/>
              <w:tabs>
                <w:tab w:pos="475" w:val="left" w:leader="none"/>
              </w:tabs>
              <w:spacing w:line="161" w:lineRule="exact" w:before="24"/>
              <w:ind w:right="58"/>
              <w:jc w:val="right"/>
              <w:rPr>
                <w:sz w:val="14"/>
              </w:rPr>
            </w:pPr>
            <w:r>
              <w:rPr>
                <w:spacing w:val="-10"/>
                <w:sz w:val="14"/>
              </w:rPr>
              <w:t>$</w:t>
            </w:r>
            <w:r>
              <w:rPr>
                <w:sz w:val="14"/>
              </w:rPr>
              <w:tab/>
            </w:r>
            <w:r>
              <w:rPr>
                <w:spacing w:val="-2"/>
                <w:sz w:val="14"/>
              </w:rPr>
              <w:t>140,447</w:t>
            </w:r>
          </w:p>
        </w:tc>
        <w:tc>
          <w:tcPr>
            <w:tcW w:w="2381" w:type="dxa"/>
            <w:gridSpan w:val="2"/>
            <w:tcBorders>
              <w:top w:val="single" w:sz="8" w:space="0" w:color="000000"/>
            </w:tcBorders>
          </w:tcPr>
          <w:p>
            <w:pPr>
              <w:pStyle w:val="TableParagraph"/>
              <w:tabs>
                <w:tab w:pos="482" w:val="left" w:leader="none"/>
                <w:tab w:pos="1701" w:val="left" w:leader="none"/>
              </w:tabs>
              <w:spacing w:line="161" w:lineRule="exact" w:before="24"/>
              <w:ind w:left="53"/>
              <w:rPr>
                <w:sz w:val="14"/>
              </w:rPr>
            </w:pPr>
            <w:r>
              <w:rPr>
                <w:spacing w:val="-10"/>
                <w:sz w:val="14"/>
              </w:rPr>
              <w:t>$</w:t>
            </w:r>
            <w:r>
              <w:rPr>
                <w:sz w:val="14"/>
              </w:rPr>
              <w:tab/>
              <w:t>(100,705)</w:t>
            </w:r>
            <w:r>
              <w:rPr>
                <w:spacing w:val="21"/>
                <w:sz w:val="14"/>
              </w:rPr>
              <w:t> </w:t>
            </w:r>
            <w:r>
              <w:rPr>
                <w:spacing w:val="-10"/>
                <w:sz w:val="14"/>
              </w:rPr>
              <w:t>$</w:t>
            </w:r>
            <w:r>
              <w:rPr>
                <w:sz w:val="14"/>
              </w:rPr>
              <w:tab/>
            </w:r>
            <w:r>
              <w:rPr>
                <w:spacing w:val="-2"/>
                <w:sz w:val="14"/>
              </w:rPr>
              <w:t>39,742</w:t>
            </w:r>
          </w:p>
        </w:tc>
      </w:tr>
      <w:tr>
        <w:trPr>
          <w:trHeight w:val="216" w:hRule="atLeast"/>
        </w:trPr>
        <w:tc>
          <w:tcPr>
            <w:tcW w:w="2400" w:type="dxa"/>
          </w:tcPr>
          <w:p>
            <w:pPr>
              <w:pStyle w:val="TableParagraph"/>
              <w:spacing w:before="24"/>
              <w:ind w:left="52"/>
              <w:rPr>
                <w:sz w:val="14"/>
              </w:rPr>
            </w:pPr>
            <w:r>
              <w:rPr>
                <w:spacing w:val="-2"/>
                <w:sz w:val="14"/>
              </w:rPr>
              <w:t>Less:</w:t>
            </w:r>
          </w:p>
        </w:tc>
        <w:tc>
          <w:tcPr>
            <w:tcW w:w="1091" w:type="dxa"/>
            <w:tcBorders>
              <w:top w:val="single" w:sz="8" w:space="0" w:color="000000"/>
            </w:tcBorders>
          </w:tcPr>
          <w:p>
            <w:pPr>
              <w:pStyle w:val="TableParagraph"/>
              <w:rPr>
                <w:rFonts w:ascii="Times New Roman"/>
                <w:sz w:val="14"/>
              </w:rPr>
            </w:pPr>
          </w:p>
        </w:tc>
        <w:tc>
          <w:tcPr>
            <w:tcW w:w="1468" w:type="dxa"/>
            <w:tcBorders>
              <w:top w:val="single" w:sz="8" w:space="0" w:color="000000"/>
            </w:tcBorders>
          </w:tcPr>
          <w:p>
            <w:pPr>
              <w:pStyle w:val="TableParagraph"/>
              <w:rPr>
                <w:rFonts w:ascii="Times New Roman"/>
                <w:sz w:val="14"/>
              </w:rPr>
            </w:pPr>
          </w:p>
        </w:tc>
        <w:tc>
          <w:tcPr>
            <w:tcW w:w="728" w:type="dxa"/>
            <w:tcBorders>
              <w:top w:val="single" w:sz="8" w:space="0" w:color="000000"/>
            </w:tcBorders>
          </w:tcPr>
          <w:p>
            <w:pPr>
              <w:pStyle w:val="TableParagraph"/>
              <w:rPr>
                <w:rFonts w:ascii="Times New Roman"/>
                <w:sz w:val="14"/>
              </w:rPr>
            </w:pPr>
          </w:p>
        </w:tc>
        <w:tc>
          <w:tcPr>
            <w:tcW w:w="226" w:type="dxa"/>
          </w:tcPr>
          <w:p>
            <w:pPr>
              <w:pStyle w:val="TableParagraph"/>
              <w:rPr>
                <w:rFonts w:ascii="Times New Roman"/>
                <w:sz w:val="14"/>
              </w:rPr>
            </w:pPr>
          </w:p>
        </w:tc>
        <w:tc>
          <w:tcPr>
            <w:tcW w:w="1091" w:type="dxa"/>
            <w:tcBorders>
              <w:top w:val="single" w:sz="8" w:space="0" w:color="000000"/>
            </w:tcBorders>
          </w:tcPr>
          <w:p>
            <w:pPr>
              <w:pStyle w:val="TableParagraph"/>
              <w:rPr>
                <w:rFonts w:ascii="Times New Roman"/>
                <w:sz w:val="14"/>
              </w:rPr>
            </w:pPr>
          </w:p>
        </w:tc>
        <w:tc>
          <w:tcPr>
            <w:tcW w:w="2381" w:type="dxa"/>
            <w:gridSpan w:val="2"/>
            <w:tcBorders>
              <w:top w:val="single" w:sz="8" w:space="0" w:color="000000"/>
            </w:tcBorders>
          </w:tcPr>
          <w:p>
            <w:pPr>
              <w:pStyle w:val="TableParagraph"/>
              <w:rPr>
                <w:rFonts w:ascii="Times New Roman"/>
                <w:sz w:val="14"/>
              </w:rPr>
            </w:pPr>
          </w:p>
        </w:tc>
      </w:tr>
      <w:tr>
        <w:trPr>
          <w:trHeight w:val="193" w:hRule="atLeast"/>
        </w:trPr>
        <w:tc>
          <w:tcPr>
            <w:tcW w:w="2400" w:type="dxa"/>
          </w:tcPr>
          <w:p>
            <w:pPr>
              <w:pStyle w:val="TableParagraph"/>
              <w:spacing w:line="147" w:lineRule="exact" w:before="26"/>
              <w:ind w:left="52"/>
              <w:rPr>
                <w:sz w:val="14"/>
              </w:rPr>
            </w:pPr>
            <w:r>
              <w:rPr>
                <w:sz w:val="14"/>
              </w:rPr>
              <w:t>Amounts</w:t>
            </w:r>
            <w:r>
              <w:rPr>
                <w:spacing w:val="-3"/>
                <w:sz w:val="14"/>
              </w:rPr>
              <w:t> </w:t>
            </w:r>
            <w:r>
              <w:rPr>
                <w:sz w:val="14"/>
              </w:rPr>
              <w:t>subject</w:t>
            </w:r>
            <w:r>
              <w:rPr>
                <w:spacing w:val="-3"/>
                <w:sz w:val="14"/>
              </w:rPr>
              <w:t> </w:t>
            </w:r>
            <w:r>
              <w:rPr>
                <w:sz w:val="14"/>
              </w:rPr>
              <w:t>to</w:t>
            </w:r>
            <w:r>
              <w:rPr>
                <w:spacing w:val="-2"/>
                <w:sz w:val="14"/>
              </w:rPr>
              <w:t> legally</w:t>
            </w:r>
          </w:p>
        </w:tc>
        <w:tc>
          <w:tcPr>
            <w:tcW w:w="1091" w:type="dxa"/>
          </w:tcPr>
          <w:p>
            <w:pPr>
              <w:pStyle w:val="TableParagraph"/>
              <w:rPr>
                <w:rFonts w:ascii="Times New Roman"/>
                <w:sz w:val="12"/>
              </w:rPr>
            </w:pPr>
          </w:p>
        </w:tc>
        <w:tc>
          <w:tcPr>
            <w:tcW w:w="1468" w:type="dxa"/>
          </w:tcPr>
          <w:p>
            <w:pPr>
              <w:pStyle w:val="TableParagraph"/>
              <w:rPr>
                <w:rFonts w:ascii="Times New Roman"/>
                <w:sz w:val="12"/>
              </w:rPr>
            </w:pPr>
          </w:p>
        </w:tc>
        <w:tc>
          <w:tcPr>
            <w:tcW w:w="728" w:type="dxa"/>
          </w:tcPr>
          <w:p>
            <w:pPr>
              <w:pStyle w:val="TableParagraph"/>
              <w:rPr>
                <w:rFonts w:ascii="Times New Roman"/>
                <w:sz w:val="12"/>
              </w:rPr>
            </w:pPr>
          </w:p>
        </w:tc>
        <w:tc>
          <w:tcPr>
            <w:tcW w:w="226" w:type="dxa"/>
          </w:tcPr>
          <w:p>
            <w:pPr>
              <w:pStyle w:val="TableParagraph"/>
              <w:rPr>
                <w:rFonts w:ascii="Times New Roman"/>
                <w:sz w:val="12"/>
              </w:rPr>
            </w:pPr>
          </w:p>
        </w:tc>
        <w:tc>
          <w:tcPr>
            <w:tcW w:w="1091" w:type="dxa"/>
          </w:tcPr>
          <w:p>
            <w:pPr>
              <w:pStyle w:val="TableParagraph"/>
              <w:rPr>
                <w:rFonts w:ascii="Times New Roman"/>
                <w:sz w:val="12"/>
              </w:rPr>
            </w:pPr>
          </w:p>
        </w:tc>
        <w:tc>
          <w:tcPr>
            <w:tcW w:w="2381" w:type="dxa"/>
            <w:gridSpan w:val="2"/>
          </w:tcPr>
          <w:p>
            <w:pPr>
              <w:pStyle w:val="TableParagraph"/>
              <w:rPr>
                <w:rFonts w:ascii="Times New Roman"/>
                <w:sz w:val="12"/>
              </w:rPr>
            </w:pPr>
          </w:p>
        </w:tc>
      </w:tr>
      <w:tr>
        <w:trPr>
          <w:trHeight w:val="330" w:hRule="atLeast"/>
        </w:trPr>
        <w:tc>
          <w:tcPr>
            <w:tcW w:w="2400" w:type="dxa"/>
          </w:tcPr>
          <w:p>
            <w:pPr>
              <w:pStyle w:val="TableParagraph"/>
              <w:spacing w:before="1"/>
              <w:ind w:left="232"/>
              <w:rPr>
                <w:sz w:val="14"/>
              </w:rPr>
            </w:pPr>
            <w:r>
              <w:rPr>
                <w:sz w:val="14"/>
              </w:rPr>
              <w:t>enforceable</w:t>
            </w:r>
            <w:r>
              <w:rPr>
                <w:spacing w:val="-5"/>
                <w:sz w:val="14"/>
              </w:rPr>
              <w:t> </w:t>
            </w:r>
            <w:r>
              <w:rPr>
                <w:sz w:val="14"/>
              </w:rPr>
              <w:t>master</w:t>
            </w:r>
            <w:r>
              <w:rPr>
                <w:spacing w:val="-4"/>
                <w:sz w:val="14"/>
              </w:rPr>
              <w:t> </w:t>
            </w:r>
            <w:r>
              <w:rPr>
                <w:spacing w:val="-2"/>
                <w:sz w:val="14"/>
              </w:rPr>
              <w:t>netting</w:t>
            </w:r>
          </w:p>
          <w:p>
            <w:pPr>
              <w:pStyle w:val="TableParagraph"/>
              <w:spacing w:line="141" w:lineRule="exact" w:before="7"/>
              <w:ind w:left="232"/>
              <w:rPr>
                <w:sz w:val="14"/>
              </w:rPr>
            </w:pPr>
            <w:r>
              <w:rPr>
                <w:spacing w:val="-2"/>
                <w:sz w:val="14"/>
              </w:rPr>
              <w:t>agreements</w:t>
            </w:r>
          </w:p>
        </w:tc>
        <w:tc>
          <w:tcPr>
            <w:tcW w:w="3287" w:type="dxa"/>
            <w:gridSpan w:val="3"/>
          </w:tcPr>
          <w:p>
            <w:pPr>
              <w:pStyle w:val="TableParagraph"/>
              <w:spacing w:before="8"/>
              <w:rPr>
                <w:rFonts w:ascii="Arial"/>
                <w:i/>
                <w:sz w:val="14"/>
              </w:rPr>
            </w:pPr>
          </w:p>
          <w:p>
            <w:pPr>
              <w:pStyle w:val="TableParagraph"/>
              <w:tabs>
                <w:tab w:pos="552" w:val="left" w:leader="none"/>
              </w:tabs>
              <w:spacing w:line="141" w:lineRule="exact"/>
              <w:ind w:right="61"/>
              <w:jc w:val="right"/>
              <w:rPr>
                <w:sz w:val="14"/>
              </w:rPr>
            </w:pPr>
            <w:r>
              <w:rPr>
                <w:spacing w:val="-10"/>
                <w:sz w:val="14"/>
              </w:rPr>
              <w:t>$</w:t>
            </w:r>
            <w:r>
              <w:rPr>
                <w:sz w:val="14"/>
              </w:rPr>
              <w:tab/>
            </w:r>
            <w:r>
              <w:rPr>
                <w:spacing w:val="-2"/>
                <w:sz w:val="14"/>
              </w:rPr>
              <w:t>12,405</w:t>
            </w:r>
          </w:p>
        </w:tc>
        <w:tc>
          <w:tcPr>
            <w:tcW w:w="226" w:type="dxa"/>
          </w:tcPr>
          <w:p>
            <w:pPr>
              <w:pStyle w:val="TableParagraph"/>
              <w:spacing w:before="49"/>
              <w:rPr>
                <w:rFonts w:ascii="Arial"/>
                <w:i/>
                <w:sz w:val="9"/>
              </w:rPr>
            </w:pPr>
          </w:p>
          <w:p>
            <w:pPr>
              <w:pStyle w:val="TableParagraph"/>
              <w:ind w:left="59"/>
              <w:rPr>
                <w:sz w:val="9"/>
              </w:rPr>
            </w:pPr>
            <w:r>
              <w:rPr>
                <w:spacing w:val="-10"/>
                <w:sz w:val="9"/>
              </w:rPr>
              <w:t>d</w:t>
            </w:r>
          </w:p>
        </w:tc>
        <w:tc>
          <w:tcPr>
            <w:tcW w:w="3288" w:type="dxa"/>
            <w:gridSpan w:val="2"/>
          </w:tcPr>
          <w:p>
            <w:pPr>
              <w:pStyle w:val="TableParagraph"/>
              <w:spacing w:before="8"/>
              <w:rPr>
                <w:rFonts w:ascii="Arial"/>
                <w:i/>
                <w:sz w:val="14"/>
              </w:rPr>
            </w:pPr>
          </w:p>
          <w:p>
            <w:pPr>
              <w:pStyle w:val="TableParagraph"/>
              <w:tabs>
                <w:tab w:pos="552" w:val="left" w:leader="none"/>
              </w:tabs>
              <w:spacing w:line="141" w:lineRule="exact"/>
              <w:ind w:right="65"/>
              <w:jc w:val="right"/>
              <w:rPr>
                <w:sz w:val="14"/>
              </w:rPr>
            </w:pPr>
            <w:r>
              <w:rPr>
                <w:spacing w:val="-10"/>
                <w:sz w:val="14"/>
              </w:rPr>
              <w:t>$</w:t>
            </w:r>
            <w:r>
              <w:rPr>
                <w:sz w:val="14"/>
              </w:rPr>
              <w:tab/>
            </w:r>
            <w:r>
              <w:rPr>
                <w:spacing w:val="-2"/>
                <w:sz w:val="14"/>
              </w:rPr>
              <w:t>12,849</w:t>
            </w:r>
          </w:p>
        </w:tc>
        <w:tc>
          <w:tcPr>
            <w:tcW w:w="184" w:type="dxa"/>
          </w:tcPr>
          <w:p>
            <w:pPr>
              <w:pStyle w:val="TableParagraph"/>
              <w:spacing w:before="49"/>
              <w:rPr>
                <w:rFonts w:ascii="Arial"/>
                <w:i/>
                <w:sz w:val="9"/>
              </w:rPr>
            </w:pPr>
          </w:p>
          <w:p>
            <w:pPr>
              <w:pStyle w:val="TableParagraph"/>
              <w:ind w:left="55"/>
              <w:rPr>
                <w:sz w:val="9"/>
              </w:rPr>
            </w:pPr>
            <w:r>
              <w:rPr>
                <w:spacing w:val="-10"/>
                <w:sz w:val="9"/>
              </w:rPr>
              <w:t>e</w:t>
            </w:r>
          </w:p>
        </w:tc>
      </w:tr>
    </w:tbl>
    <w:p>
      <w:pPr>
        <w:pStyle w:val="BodyText"/>
        <w:spacing w:before="7"/>
        <w:rPr>
          <w:rFonts w:ascii="Arial"/>
          <w:i/>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0"/>
        <w:gridCol w:w="1095"/>
        <w:gridCol w:w="2415"/>
        <w:gridCol w:w="1095"/>
      </w:tblGrid>
      <w:tr>
        <w:trPr>
          <w:trHeight w:val="195" w:hRule="atLeast"/>
        </w:trPr>
        <w:tc>
          <w:tcPr>
            <w:tcW w:w="4590" w:type="dxa"/>
          </w:tcPr>
          <w:p>
            <w:pPr>
              <w:pStyle w:val="TableParagraph"/>
              <w:spacing w:line="161" w:lineRule="exact" w:before="14"/>
              <w:ind w:left="52"/>
              <w:rPr>
                <w:sz w:val="14"/>
              </w:rPr>
            </w:pPr>
            <w:r>
              <w:rPr>
                <w:sz w:val="14"/>
              </w:rPr>
              <w:t>Cash</w:t>
            </w:r>
            <w:r>
              <w:rPr>
                <w:spacing w:val="-5"/>
                <w:sz w:val="14"/>
              </w:rPr>
              <w:t> </w:t>
            </w:r>
            <w:r>
              <w:rPr>
                <w:sz w:val="14"/>
              </w:rPr>
              <w:t>collateral</w:t>
            </w:r>
            <w:r>
              <w:rPr>
                <w:spacing w:val="-4"/>
                <w:sz w:val="14"/>
              </w:rPr>
              <w:t> </w:t>
            </w:r>
            <w:r>
              <w:rPr>
                <w:sz w:val="14"/>
              </w:rPr>
              <w:t>received</w:t>
            </w:r>
            <w:r>
              <w:rPr>
                <w:spacing w:val="-5"/>
                <w:sz w:val="14"/>
              </w:rPr>
              <w:t> </w:t>
            </w:r>
            <w:r>
              <w:rPr>
                <w:spacing w:val="-10"/>
                <w:sz w:val="14"/>
                <w:vertAlign w:val="superscript"/>
              </w:rPr>
              <w:t>c</w:t>
            </w:r>
          </w:p>
        </w:tc>
        <w:tc>
          <w:tcPr>
            <w:tcW w:w="1095" w:type="dxa"/>
            <w:tcBorders>
              <w:bottom w:val="single" w:sz="8" w:space="0" w:color="000000"/>
            </w:tcBorders>
          </w:tcPr>
          <w:p>
            <w:pPr>
              <w:pStyle w:val="TableParagraph"/>
              <w:spacing w:line="161" w:lineRule="exact" w:before="14"/>
              <w:ind w:right="59"/>
              <w:jc w:val="right"/>
              <w:rPr>
                <w:sz w:val="14"/>
              </w:rPr>
            </w:pPr>
            <w:r>
              <w:rPr>
                <w:spacing w:val="-5"/>
                <w:sz w:val="14"/>
              </w:rPr>
              <w:t>140</w:t>
            </w:r>
          </w:p>
        </w:tc>
        <w:tc>
          <w:tcPr>
            <w:tcW w:w="3510" w:type="dxa"/>
            <w:gridSpan w:val="2"/>
          </w:tcPr>
          <w:p>
            <w:pPr>
              <w:pStyle w:val="TableParagraph"/>
              <w:rPr>
                <w:rFonts w:ascii="Times New Roman"/>
                <w:sz w:val="12"/>
              </w:rPr>
            </w:pPr>
          </w:p>
        </w:tc>
      </w:tr>
      <w:tr>
        <w:trPr>
          <w:trHeight w:val="405" w:hRule="atLeast"/>
        </w:trPr>
        <w:tc>
          <w:tcPr>
            <w:tcW w:w="4590" w:type="dxa"/>
          </w:tcPr>
          <w:p>
            <w:pPr>
              <w:pStyle w:val="TableParagraph"/>
              <w:spacing w:line="249" w:lineRule="auto" w:before="36"/>
              <w:ind w:left="232" w:right="2098" w:hanging="180"/>
              <w:rPr>
                <w:rFonts w:ascii="Arial"/>
                <w:b/>
                <w:sz w:val="14"/>
              </w:rPr>
            </w:pPr>
            <w:r>
              <w:rPr>
                <w:rFonts w:ascii="Arial"/>
                <w:b/>
                <w:sz w:val="14"/>
              </w:rPr>
              <w:t>Net</w:t>
            </w:r>
            <w:r>
              <w:rPr>
                <w:rFonts w:ascii="Arial"/>
                <w:b/>
                <w:spacing w:val="-10"/>
                <w:sz w:val="14"/>
              </w:rPr>
              <w:t> </w:t>
            </w:r>
            <w:r>
              <w:rPr>
                <w:rFonts w:ascii="Arial"/>
                <w:b/>
                <w:sz w:val="14"/>
              </w:rPr>
              <w:t>derivative</w:t>
            </w:r>
            <w:r>
              <w:rPr>
                <w:rFonts w:ascii="Arial"/>
                <w:b/>
                <w:spacing w:val="-9"/>
                <w:sz w:val="14"/>
              </w:rPr>
              <w:t> </w:t>
            </w:r>
            <w:r>
              <w:rPr>
                <w:rFonts w:ascii="Arial"/>
                <w:b/>
                <w:sz w:val="14"/>
              </w:rPr>
              <w:t>position</w:t>
            </w:r>
            <w:r>
              <w:rPr>
                <w:rFonts w:ascii="Arial"/>
                <w:b/>
                <w:spacing w:val="-10"/>
                <w:sz w:val="14"/>
              </w:rPr>
              <w:t> </w:t>
            </w:r>
            <w:r>
              <w:rPr>
                <w:rFonts w:ascii="Arial"/>
                <w:b/>
                <w:sz w:val="14"/>
              </w:rPr>
              <w:t>on</w:t>
            </w:r>
            <w:r>
              <w:rPr>
                <w:rFonts w:ascii="Arial"/>
                <w:b/>
                <w:spacing w:val="-9"/>
                <w:sz w:val="14"/>
              </w:rPr>
              <w:t> </w:t>
            </w:r>
            <w:r>
              <w:rPr>
                <w:rFonts w:ascii="Arial"/>
                <w:b/>
                <w:sz w:val="14"/>
              </w:rPr>
              <w:t>the</w:t>
            </w:r>
            <w:r>
              <w:rPr>
                <w:rFonts w:ascii="Arial"/>
                <w:b/>
                <w:spacing w:val="40"/>
                <w:sz w:val="14"/>
              </w:rPr>
              <w:t> </w:t>
            </w:r>
            <w:r>
              <w:rPr>
                <w:rFonts w:ascii="Arial"/>
                <w:b/>
                <w:sz w:val="14"/>
              </w:rPr>
              <w:t>Balance</w:t>
            </w:r>
            <w:r>
              <w:rPr>
                <w:rFonts w:ascii="Arial"/>
                <w:b/>
                <w:spacing w:val="-2"/>
                <w:sz w:val="14"/>
              </w:rPr>
              <w:t> </w:t>
            </w:r>
            <w:r>
              <w:rPr>
                <w:rFonts w:ascii="Arial"/>
                <w:b/>
                <w:sz w:val="14"/>
              </w:rPr>
              <w:t>Sheet</w:t>
            </w:r>
          </w:p>
        </w:tc>
        <w:tc>
          <w:tcPr>
            <w:tcW w:w="1095" w:type="dxa"/>
            <w:tcBorders>
              <w:top w:val="single" w:sz="8" w:space="0" w:color="000000"/>
              <w:bottom w:val="single" w:sz="8" w:space="0" w:color="000000"/>
            </w:tcBorders>
          </w:tcPr>
          <w:p>
            <w:pPr>
              <w:pStyle w:val="TableParagraph"/>
              <w:spacing w:before="43"/>
              <w:rPr>
                <w:rFonts w:ascii="Arial"/>
                <w:i/>
                <w:sz w:val="14"/>
              </w:rPr>
            </w:pPr>
          </w:p>
          <w:p>
            <w:pPr>
              <w:pStyle w:val="TableParagraph"/>
              <w:tabs>
                <w:tab w:pos="799" w:val="left" w:leader="none"/>
              </w:tabs>
              <w:ind w:right="59"/>
              <w:jc w:val="right"/>
              <w:rPr>
                <w:sz w:val="14"/>
              </w:rPr>
            </w:pPr>
            <w:r>
              <w:rPr>
                <w:rFonts w:ascii="Times New Roman"/>
                <w:sz w:val="14"/>
                <w:u w:val="single"/>
              </w:rPr>
              <w:tab/>
            </w:r>
            <w:r>
              <w:rPr>
                <w:spacing w:val="-5"/>
                <w:sz w:val="14"/>
                <w:u w:val="single"/>
              </w:rPr>
              <w:t>271</w:t>
            </w:r>
          </w:p>
        </w:tc>
        <w:tc>
          <w:tcPr>
            <w:tcW w:w="2415" w:type="dxa"/>
          </w:tcPr>
          <w:p>
            <w:pPr>
              <w:pStyle w:val="TableParagraph"/>
              <w:rPr>
                <w:rFonts w:ascii="Times New Roman"/>
                <w:sz w:val="14"/>
              </w:rPr>
            </w:pPr>
          </w:p>
        </w:tc>
        <w:tc>
          <w:tcPr>
            <w:tcW w:w="1095" w:type="dxa"/>
            <w:tcBorders>
              <w:top w:val="single" w:sz="8" w:space="0" w:color="000000"/>
              <w:bottom w:val="single" w:sz="8" w:space="0" w:color="000000"/>
            </w:tcBorders>
          </w:tcPr>
          <w:p>
            <w:pPr>
              <w:pStyle w:val="TableParagraph"/>
              <w:spacing w:before="43"/>
              <w:rPr>
                <w:rFonts w:ascii="Arial"/>
                <w:i/>
                <w:sz w:val="14"/>
              </w:rPr>
            </w:pPr>
          </w:p>
          <w:p>
            <w:pPr>
              <w:pStyle w:val="TableParagraph"/>
              <w:tabs>
                <w:tab w:pos="605" w:val="left" w:leader="none"/>
              </w:tabs>
              <w:rPr>
                <w:sz w:val="14"/>
              </w:rPr>
            </w:pPr>
            <w:r>
              <w:rPr>
                <w:rFonts w:ascii="Times New Roman"/>
                <w:sz w:val="14"/>
                <w:u w:val="single"/>
              </w:rPr>
              <w:tab/>
            </w:r>
            <w:r>
              <w:rPr>
                <w:spacing w:val="-2"/>
                <w:sz w:val="14"/>
                <w:u w:val="single"/>
              </w:rPr>
              <w:t>26,893</w:t>
            </w:r>
          </w:p>
        </w:tc>
      </w:tr>
      <w:tr>
        <w:trPr>
          <w:trHeight w:val="190" w:hRule="atLeast"/>
        </w:trPr>
        <w:tc>
          <w:tcPr>
            <w:tcW w:w="4590" w:type="dxa"/>
          </w:tcPr>
          <w:p>
            <w:pPr>
              <w:pStyle w:val="TableParagraph"/>
              <w:spacing w:before="4"/>
              <w:ind w:left="52"/>
              <w:rPr>
                <w:sz w:val="14"/>
              </w:rPr>
            </w:pPr>
            <w:r>
              <w:rPr>
                <w:spacing w:val="-2"/>
                <w:sz w:val="14"/>
              </w:rPr>
              <w:t>Less:</w:t>
            </w:r>
          </w:p>
        </w:tc>
        <w:tc>
          <w:tcPr>
            <w:tcW w:w="1095" w:type="dxa"/>
            <w:tcBorders>
              <w:top w:val="single" w:sz="8" w:space="0" w:color="000000"/>
            </w:tcBorders>
          </w:tcPr>
          <w:p>
            <w:pPr>
              <w:pStyle w:val="TableParagraph"/>
              <w:rPr>
                <w:rFonts w:ascii="Times New Roman"/>
                <w:sz w:val="12"/>
              </w:rPr>
            </w:pPr>
          </w:p>
        </w:tc>
        <w:tc>
          <w:tcPr>
            <w:tcW w:w="2415" w:type="dxa"/>
          </w:tcPr>
          <w:p>
            <w:pPr>
              <w:pStyle w:val="TableParagraph"/>
              <w:rPr>
                <w:rFonts w:ascii="Times New Roman"/>
                <w:sz w:val="12"/>
              </w:rPr>
            </w:pPr>
          </w:p>
        </w:tc>
        <w:tc>
          <w:tcPr>
            <w:tcW w:w="1095" w:type="dxa"/>
            <w:tcBorders>
              <w:top w:val="single" w:sz="8" w:space="0" w:color="000000"/>
            </w:tcBorders>
          </w:tcPr>
          <w:p>
            <w:pPr>
              <w:pStyle w:val="TableParagraph"/>
              <w:rPr>
                <w:rFonts w:ascii="Times New Roman"/>
                <w:sz w:val="12"/>
              </w:rPr>
            </w:pPr>
          </w:p>
        </w:tc>
      </w:tr>
      <w:tr>
        <w:trPr>
          <w:trHeight w:val="219" w:hRule="atLeast"/>
        </w:trPr>
        <w:tc>
          <w:tcPr>
            <w:tcW w:w="4590" w:type="dxa"/>
          </w:tcPr>
          <w:p>
            <w:pPr>
              <w:pStyle w:val="TableParagraph"/>
              <w:spacing w:line="161" w:lineRule="exact" w:before="39"/>
              <w:ind w:left="52"/>
              <w:rPr>
                <w:sz w:val="14"/>
              </w:rPr>
            </w:pPr>
            <w:r>
              <w:rPr>
                <w:sz w:val="14"/>
              </w:rPr>
              <w:t>Securities</w:t>
            </w:r>
            <w:r>
              <w:rPr>
                <w:spacing w:val="-10"/>
                <w:sz w:val="14"/>
              </w:rPr>
              <w:t> </w:t>
            </w:r>
            <w:r>
              <w:rPr>
                <w:sz w:val="14"/>
              </w:rPr>
              <w:t>collateral</w:t>
            </w:r>
            <w:r>
              <w:rPr>
                <w:spacing w:val="-6"/>
                <w:sz w:val="14"/>
              </w:rPr>
              <w:t> </w:t>
            </w:r>
            <w:r>
              <w:rPr>
                <w:sz w:val="14"/>
              </w:rPr>
              <w:t>received</w:t>
            </w:r>
            <w:r>
              <w:rPr>
                <w:spacing w:val="-16"/>
                <w:sz w:val="14"/>
              </w:rPr>
              <w:t> </w:t>
            </w:r>
            <w:r>
              <w:rPr>
                <w:spacing w:val="-10"/>
                <w:sz w:val="14"/>
                <w:vertAlign w:val="superscript"/>
              </w:rPr>
              <w:t>c</w:t>
            </w:r>
          </w:p>
        </w:tc>
        <w:tc>
          <w:tcPr>
            <w:tcW w:w="1095" w:type="dxa"/>
            <w:tcBorders>
              <w:bottom w:val="single" w:sz="8" w:space="0" w:color="000000"/>
            </w:tcBorders>
          </w:tcPr>
          <w:p>
            <w:pPr>
              <w:pStyle w:val="TableParagraph"/>
              <w:spacing w:line="161" w:lineRule="exact" w:before="39"/>
              <w:ind w:right="59"/>
              <w:jc w:val="right"/>
              <w:rPr>
                <w:sz w:val="14"/>
              </w:rPr>
            </w:pPr>
            <w:r>
              <w:rPr>
                <w:spacing w:val="-5"/>
                <w:sz w:val="14"/>
              </w:rPr>
              <w:t>145</w:t>
            </w:r>
          </w:p>
        </w:tc>
        <w:tc>
          <w:tcPr>
            <w:tcW w:w="2415" w:type="dxa"/>
          </w:tcPr>
          <w:p>
            <w:pPr>
              <w:pStyle w:val="TableParagraph"/>
              <w:rPr>
                <w:rFonts w:ascii="Times New Roman"/>
                <w:sz w:val="14"/>
              </w:rPr>
            </w:pPr>
          </w:p>
        </w:tc>
        <w:tc>
          <w:tcPr>
            <w:tcW w:w="1095" w:type="dxa"/>
          </w:tcPr>
          <w:p>
            <w:pPr>
              <w:pStyle w:val="TableParagraph"/>
              <w:rPr>
                <w:rFonts w:ascii="Times New Roman"/>
                <w:sz w:val="14"/>
              </w:rPr>
            </w:pPr>
          </w:p>
        </w:tc>
      </w:tr>
      <w:tr>
        <w:trPr>
          <w:trHeight w:val="405" w:hRule="atLeast"/>
        </w:trPr>
        <w:tc>
          <w:tcPr>
            <w:tcW w:w="4590" w:type="dxa"/>
          </w:tcPr>
          <w:p>
            <w:pPr>
              <w:pStyle w:val="TableParagraph"/>
              <w:spacing w:line="249" w:lineRule="auto" w:before="36"/>
              <w:ind w:left="232" w:right="2098" w:hanging="180"/>
              <w:rPr>
                <w:rFonts w:ascii="Arial"/>
                <w:b/>
                <w:sz w:val="14"/>
              </w:rPr>
            </w:pPr>
            <w:r>
              <w:rPr>
                <w:rFonts w:ascii="Arial"/>
                <w:b/>
                <w:sz w:val="14"/>
              </w:rPr>
              <w:t>Net</w:t>
            </w:r>
            <w:r>
              <w:rPr>
                <w:rFonts w:ascii="Arial"/>
                <w:b/>
                <w:spacing w:val="-10"/>
                <w:sz w:val="14"/>
              </w:rPr>
              <w:t> </w:t>
            </w:r>
            <w:r>
              <w:rPr>
                <w:rFonts w:ascii="Arial"/>
                <w:b/>
                <w:sz w:val="14"/>
              </w:rPr>
              <w:t>derivative</w:t>
            </w:r>
            <w:r>
              <w:rPr>
                <w:rFonts w:ascii="Arial"/>
                <w:b/>
                <w:spacing w:val="-10"/>
                <w:sz w:val="14"/>
              </w:rPr>
              <w:t> </w:t>
            </w:r>
            <w:r>
              <w:rPr>
                <w:rFonts w:ascii="Arial"/>
                <w:b/>
                <w:sz w:val="14"/>
              </w:rPr>
              <w:t>exposure</w:t>
            </w:r>
            <w:r>
              <w:rPr>
                <w:rFonts w:ascii="Arial"/>
                <w:b/>
                <w:spacing w:val="-10"/>
                <w:sz w:val="14"/>
              </w:rPr>
              <w:t> </w:t>
            </w:r>
            <w:r>
              <w:rPr>
                <w:rFonts w:ascii="Arial"/>
                <w:b/>
                <w:sz w:val="14"/>
              </w:rPr>
              <w:t>after</w:t>
            </w:r>
            <w:r>
              <w:rPr>
                <w:rFonts w:ascii="Arial"/>
                <w:b/>
                <w:spacing w:val="40"/>
                <w:sz w:val="14"/>
              </w:rPr>
              <w:t> </w:t>
            </w:r>
            <w:r>
              <w:rPr>
                <w:rFonts w:ascii="Arial"/>
                <w:b/>
                <w:spacing w:val="-2"/>
                <w:sz w:val="14"/>
              </w:rPr>
              <w:t>collateral</w:t>
            </w:r>
          </w:p>
        </w:tc>
        <w:tc>
          <w:tcPr>
            <w:tcW w:w="1095" w:type="dxa"/>
            <w:tcBorders>
              <w:top w:val="single" w:sz="8" w:space="0" w:color="000000"/>
              <w:bottom w:val="single" w:sz="8" w:space="0" w:color="000000"/>
            </w:tcBorders>
          </w:tcPr>
          <w:p>
            <w:pPr>
              <w:pStyle w:val="TableParagraph"/>
              <w:spacing w:before="43"/>
              <w:rPr>
                <w:rFonts w:ascii="Arial"/>
                <w:i/>
                <w:sz w:val="14"/>
              </w:rPr>
            </w:pPr>
          </w:p>
          <w:p>
            <w:pPr>
              <w:pStyle w:val="TableParagraph"/>
              <w:tabs>
                <w:tab w:pos="799" w:val="left" w:leader="none"/>
              </w:tabs>
              <w:ind w:right="59"/>
              <w:jc w:val="right"/>
              <w:rPr>
                <w:sz w:val="14"/>
              </w:rPr>
            </w:pPr>
            <w:r>
              <w:rPr>
                <w:spacing w:val="16"/>
                <w:sz w:val="14"/>
                <w:u w:val="single"/>
              </w:rPr>
              <w:t> </w:t>
            </w:r>
            <w:r>
              <w:rPr>
                <w:spacing w:val="-10"/>
                <w:sz w:val="14"/>
                <w:u w:val="single"/>
              </w:rPr>
              <w:t>$</w:t>
            </w:r>
            <w:r>
              <w:rPr>
                <w:sz w:val="14"/>
                <w:u w:val="single"/>
              </w:rPr>
              <w:tab/>
            </w:r>
            <w:r>
              <w:rPr>
                <w:spacing w:val="-5"/>
                <w:sz w:val="14"/>
                <w:u w:val="single"/>
              </w:rPr>
              <w:t>126</w:t>
            </w:r>
          </w:p>
        </w:tc>
        <w:tc>
          <w:tcPr>
            <w:tcW w:w="2415" w:type="dxa"/>
          </w:tcPr>
          <w:p>
            <w:pPr>
              <w:pStyle w:val="TableParagraph"/>
              <w:rPr>
                <w:rFonts w:ascii="Times New Roman"/>
                <w:sz w:val="14"/>
              </w:rPr>
            </w:pPr>
          </w:p>
        </w:tc>
        <w:tc>
          <w:tcPr>
            <w:tcW w:w="1095" w:type="dxa"/>
          </w:tcPr>
          <w:p>
            <w:pPr>
              <w:pStyle w:val="TableParagraph"/>
              <w:rPr>
                <w:rFonts w:ascii="Times New Roman"/>
                <w:sz w:val="14"/>
              </w:rPr>
            </w:pPr>
          </w:p>
        </w:tc>
      </w:tr>
      <w:tr>
        <w:trPr>
          <w:trHeight w:val="185" w:hRule="atLeast"/>
        </w:trPr>
        <w:tc>
          <w:tcPr>
            <w:tcW w:w="4590" w:type="dxa"/>
            <w:tcBorders>
              <w:bottom w:val="single" w:sz="8" w:space="0" w:color="000000"/>
            </w:tcBorders>
          </w:tcPr>
          <w:p>
            <w:pPr>
              <w:pStyle w:val="TableParagraph"/>
              <w:rPr>
                <w:rFonts w:ascii="Times New Roman"/>
                <w:sz w:val="12"/>
              </w:rPr>
            </w:pPr>
          </w:p>
        </w:tc>
        <w:tc>
          <w:tcPr>
            <w:tcW w:w="1095" w:type="dxa"/>
            <w:tcBorders>
              <w:top w:val="single" w:sz="8" w:space="0" w:color="000000"/>
              <w:bottom w:val="single" w:sz="8" w:space="0" w:color="000000"/>
            </w:tcBorders>
          </w:tcPr>
          <w:p>
            <w:pPr>
              <w:pStyle w:val="TableParagraph"/>
              <w:rPr>
                <w:rFonts w:ascii="Times New Roman"/>
                <w:sz w:val="12"/>
              </w:rPr>
            </w:pPr>
          </w:p>
        </w:tc>
        <w:tc>
          <w:tcPr>
            <w:tcW w:w="2415" w:type="dxa"/>
            <w:tcBorders>
              <w:bottom w:val="single" w:sz="8" w:space="0" w:color="000000"/>
            </w:tcBorders>
          </w:tcPr>
          <w:p>
            <w:pPr>
              <w:pStyle w:val="TableParagraph"/>
              <w:rPr>
                <w:rFonts w:ascii="Times New Roman"/>
                <w:sz w:val="12"/>
              </w:rPr>
            </w:pPr>
          </w:p>
        </w:tc>
        <w:tc>
          <w:tcPr>
            <w:tcW w:w="1095" w:type="dxa"/>
            <w:tcBorders>
              <w:bottom w:val="single" w:sz="8" w:space="0" w:color="000000"/>
            </w:tcBorders>
          </w:tcPr>
          <w:p>
            <w:pPr>
              <w:pStyle w:val="TableParagraph"/>
              <w:rPr>
                <w:rFonts w:ascii="Times New Roman"/>
                <w:sz w:val="12"/>
              </w:rPr>
            </w:pPr>
          </w:p>
        </w:tc>
      </w:tr>
    </w:tbl>
    <w:p>
      <w:pPr>
        <w:pStyle w:val="ListParagraph"/>
        <w:numPr>
          <w:ilvl w:val="0"/>
          <w:numId w:val="39"/>
        </w:numPr>
        <w:tabs>
          <w:tab w:pos="926" w:val="left" w:leader="none"/>
        </w:tabs>
        <w:spacing w:line="240" w:lineRule="auto" w:before="26" w:after="0"/>
        <w:ind w:left="926" w:right="0" w:hanging="154"/>
        <w:jc w:val="left"/>
        <w:rPr>
          <w:rFonts w:ascii="Arial"/>
          <w:i/>
          <w:sz w:val="14"/>
        </w:rPr>
      </w:pPr>
      <w:r>
        <w:rPr>
          <w:rFonts w:ascii="Arial"/>
          <w:i/>
          <w:sz w:val="14"/>
        </w:rPr>
        <w:t>Includes</w:t>
      </w:r>
      <w:r>
        <w:rPr>
          <w:rFonts w:ascii="Arial"/>
          <w:i/>
          <w:spacing w:val="-4"/>
          <w:sz w:val="14"/>
        </w:rPr>
        <w:t> </w:t>
      </w:r>
      <w:r>
        <w:rPr>
          <w:rFonts w:ascii="Arial"/>
          <w:i/>
          <w:sz w:val="14"/>
        </w:rPr>
        <w:t>currency</w:t>
      </w:r>
      <w:r>
        <w:rPr>
          <w:rFonts w:ascii="Arial"/>
          <w:i/>
          <w:spacing w:val="-4"/>
          <w:sz w:val="14"/>
        </w:rPr>
        <w:t> </w:t>
      </w:r>
      <w:r>
        <w:rPr>
          <w:rFonts w:ascii="Arial"/>
          <w:i/>
          <w:sz w:val="14"/>
        </w:rPr>
        <w:t>forward</w:t>
      </w:r>
      <w:r>
        <w:rPr>
          <w:rFonts w:ascii="Arial"/>
          <w:i/>
          <w:spacing w:val="-3"/>
          <w:sz w:val="14"/>
        </w:rPr>
        <w:t> </w:t>
      </w:r>
      <w:r>
        <w:rPr>
          <w:rFonts w:ascii="Arial"/>
          <w:i/>
          <w:spacing w:val="-2"/>
          <w:sz w:val="14"/>
        </w:rPr>
        <w:t>contracts.</w:t>
      </w:r>
    </w:p>
    <w:p>
      <w:pPr>
        <w:pStyle w:val="ListParagraph"/>
        <w:numPr>
          <w:ilvl w:val="0"/>
          <w:numId w:val="39"/>
        </w:numPr>
        <w:tabs>
          <w:tab w:pos="926" w:val="left" w:leader="none"/>
        </w:tabs>
        <w:spacing w:line="240" w:lineRule="auto" w:before="64" w:after="0"/>
        <w:ind w:left="926" w:right="0" w:hanging="154"/>
        <w:jc w:val="left"/>
        <w:rPr>
          <w:rFonts w:ascii="Arial"/>
          <w:i/>
          <w:sz w:val="14"/>
        </w:rPr>
      </w:pPr>
      <w:r>
        <w:rPr>
          <w:rFonts w:ascii="Arial"/>
          <w:i/>
          <w:sz w:val="14"/>
        </w:rPr>
        <w:t>These</w:t>
      </w:r>
      <w:r>
        <w:rPr>
          <w:rFonts w:ascii="Arial"/>
          <w:i/>
          <w:spacing w:val="-3"/>
          <w:sz w:val="14"/>
        </w:rPr>
        <w:t> </w:t>
      </w:r>
      <w:r>
        <w:rPr>
          <w:rFonts w:ascii="Arial"/>
          <w:i/>
          <w:sz w:val="14"/>
        </w:rPr>
        <w:t>relate</w:t>
      </w:r>
      <w:r>
        <w:rPr>
          <w:rFonts w:ascii="Arial"/>
          <w:i/>
          <w:spacing w:val="-3"/>
          <w:sz w:val="14"/>
        </w:rPr>
        <w:t> </w:t>
      </w:r>
      <w:r>
        <w:rPr>
          <w:rFonts w:ascii="Arial"/>
          <w:i/>
          <w:sz w:val="14"/>
        </w:rPr>
        <w:t>to</w:t>
      </w:r>
      <w:r>
        <w:rPr>
          <w:rFonts w:ascii="Arial"/>
          <w:i/>
          <w:spacing w:val="-3"/>
          <w:sz w:val="14"/>
        </w:rPr>
        <w:t> </w:t>
      </w:r>
      <w:r>
        <w:rPr>
          <w:rFonts w:ascii="Arial"/>
          <w:i/>
          <w:sz w:val="14"/>
        </w:rPr>
        <w:t>swaptions,</w:t>
      </w:r>
      <w:r>
        <w:rPr>
          <w:rFonts w:ascii="Arial"/>
          <w:i/>
          <w:spacing w:val="-3"/>
          <w:sz w:val="14"/>
        </w:rPr>
        <w:t> </w:t>
      </w:r>
      <w:r>
        <w:rPr>
          <w:rFonts w:ascii="Arial"/>
          <w:i/>
          <w:sz w:val="14"/>
        </w:rPr>
        <w:t>options</w:t>
      </w:r>
      <w:r>
        <w:rPr>
          <w:rFonts w:ascii="Arial"/>
          <w:i/>
          <w:spacing w:val="-3"/>
          <w:sz w:val="14"/>
        </w:rPr>
        <w:t> </w:t>
      </w:r>
      <w:r>
        <w:rPr>
          <w:rFonts w:ascii="Arial"/>
          <w:i/>
          <w:sz w:val="14"/>
        </w:rPr>
        <w:t>and</w:t>
      </w:r>
      <w:r>
        <w:rPr>
          <w:rFonts w:ascii="Arial"/>
          <w:i/>
          <w:spacing w:val="-3"/>
          <w:sz w:val="14"/>
        </w:rPr>
        <w:t> </w:t>
      </w:r>
      <w:r>
        <w:rPr>
          <w:rFonts w:ascii="Arial"/>
          <w:i/>
          <w:sz w:val="14"/>
        </w:rPr>
        <w:t>futures</w:t>
      </w:r>
      <w:r>
        <w:rPr>
          <w:rFonts w:ascii="Arial"/>
          <w:i/>
          <w:spacing w:val="-3"/>
          <w:sz w:val="14"/>
        </w:rPr>
        <w:t> </w:t>
      </w:r>
      <w:r>
        <w:rPr>
          <w:rFonts w:ascii="Arial"/>
          <w:i/>
          <w:spacing w:val="-2"/>
          <w:sz w:val="14"/>
        </w:rPr>
        <w:t>contracts.</w:t>
      </w:r>
    </w:p>
    <w:p>
      <w:pPr>
        <w:pStyle w:val="ListParagraph"/>
        <w:numPr>
          <w:ilvl w:val="0"/>
          <w:numId w:val="39"/>
        </w:numPr>
        <w:tabs>
          <w:tab w:pos="919" w:val="left" w:leader="none"/>
        </w:tabs>
        <w:spacing w:line="240" w:lineRule="auto" w:before="64" w:after="0"/>
        <w:ind w:left="919" w:right="0" w:hanging="147"/>
        <w:jc w:val="left"/>
        <w:rPr>
          <w:rFonts w:ascii="Arial"/>
          <w:i/>
          <w:sz w:val="14"/>
        </w:rPr>
      </w:pPr>
      <w:r>
        <w:rPr>
          <w:rFonts w:ascii="Arial"/>
          <w:i/>
          <w:sz w:val="14"/>
        </w:rPr>
        <w:t>Does</w:t>
      </w:r>
      <w:r>
        <w:rPr>
          <w:rFonts w:ascii="Arial"/>
          <w:i/>
          <w:spacing w:val="-4"/>
          <w:sz w:val="14"/>
        </w:rPr>
        <w:t> </w:t>
      </w:r>
      <w:r>
        <w:rPr>
          <w:rFonts w:ascii="Arial"/>
          <w:i/>
          <w:sz w:val="14"/>
        </w:rPr>
        <w:t>not</w:t>
      </w:r>
      <w:r>
        <w:rPr>
          <w:rFonts w:ascii="Arial"/>
          <w:i/>
          <w:spacing w:val="-4"/>
          <w:sz w:val="14"/>
        </w:rPr>
        <w:t> </w:t>
      </w:r>
      <w:r>
        <w:rPr>
          <w:rFonts w:ascii="Arial"/>
          <w:i/>
          <w:sz w:val="14"/>
        </w:rPr>
        <w:t>include</w:t>
      </w:r>
      <w:r>
        <w:rPr>
          <w:rFonts w:ascii="Arial"/>
          <w:i/>
          <w:spacing w:val="-3"/>
          <w:sz w:val="14"/>
        </w:rPr>
        <w:t> </w:t>
      </w:r>
      <w:r>
        <w:rPr>
          <w:rFonts w:ascii="Arial"/>
          <w:i/>
          <w:sz w:val="14"/>
        </w:rPr>
        <w:t>excess</w:t>
      </w:r>
      <w:r>
        <w:rPr>
          <w:rFonts w:ascii="Arial"/>
          <w:i/>
          <w:spacing w:val="-4"/>
          <w:sz w:val="14"/>
        </w:rPr>
        <w:t> </w:t>
      </w:r>
      <w:r>
        <w:rPr>
          <w:rFonts w:ascii="Arial"/>
          <w:i/>
          <w:sz w:val="14"/>
        </w:rPr>
        <w:t>collateral</w:t>
      </w:r>
      <w:r>
        <w:rPr>
          <w:rFonts w:ascii="Arial"/>
          <w:i/>
          <w:spacing w:val="-3"/>
          <w:sz w:val="14"/>
        </w:rPr>
        <w:t> </w:t>
      </w:r>
      <w:r>
        <w:rPr>
          <w:rFonts w:ascii="Arial"/>
          <w:i/>
          <w:spacing w:val="-2"/>
          <w:sz w:val="14"/>
        </w:rPr>
        <w:t>received.</w:t>
      </w:r>
    </w:p>
    <w:p>
      <w:pPr>
        <w:pStyle w:val="ListParagraph"/>
        <w:numPr>
          <w:ilvl w:val="0"/>
          <w:numId w:val="39"/>
        </w:numPr>
        <w:tabs>
          <w:tab w:pos="926" w:val="left" w:leader="none"/>
        </w:tabs>
        <w:spacing w:line="240" w:lineRule="auto" w:before="64" w:after="0"/>
        <w:ind w:left="926" w:right="0" w:hanging="154"/>
        <w:jc w:val="left"/>
        <w:rPr>
          <w:rFonts w:ascii="Arial"/>
          <w:i/>
          <w:sz w:val="14"/>
        </w:rPr>
      </w:pPr>
      <w:r>
        <w:rPr>
          <w:rFonts w:ascii="Arial"/>
          <w:i/>
          <w:sz w:val="14"/>
        </w:rPr>
        <w:t>Includes</w:t>
      </w:r>
      <w:r>
        <w:rPr>
          <w:rFonts w:ascii="Arial"/>
          <w:i/>
          <w:spacing w:val="-5"/>
          <w:sz w:val="14"/>
        </w:rPr>
        <w:t> </w:t>
      </w:r>
      <w:r>
        <w:rPr>
          <w:rFonts w:ascii="Arial"/>
          <w:i/>
          <w:sz w:val="14"/>
        </w:rPr>
        <w:t>$27</w:t>
      </w:r>
      <w:r>
        <w:rPr>
          <w:rFonts w:ascii="Arial"/>
          <w:i/>
          <w:spacing w:val="-4"/>
          <w:sz w:val="14"/>
        </w:rPr>
        <w:t> </w:t>
      </w:r>
      <w:r>
        <w:rPr>
          <w:rFonts w:ascii="Arial"/>
          <w:i/>
          <w:sz w:val="14"/>
        </w:rPr>
        <w:t>million</w:t>
      </w:r>
      <w:r>
        <w:rPr>
          <w:rFonts w:ascii="Arial"/>
          <w:i/>
          <w:spacing w:val="-4"/>
          <w:sz w:val="14"/>
        </w:rPr>
        <w:t> CVA.</w:t>
      </w:r>
    </w:p>
    <w:p>
      <w:pPr>
        <w:pStyle w:val="ListParagraph"/>
        <w:numPr>
          <w:ilvl w:val="0"/>
          <w:numId w:val="39"/>
        </w:numPr>
        <w:tabs>
          <w:tab w:pos="926" w:val="left" w:leader="none"/>
        </w:tabs>
        <w:spacing w:line="240" w:lineRule="auto" w:before="64" w:after="0"/>
        <w:ind w:left="926" w:right="0" w:hanging="154"/>
        <w:jc w:val="left"/>
        <w:rPr>
          <w:rFonts w:ascii="Arial"/>
          <w:i/>
          <w:sz w:val="14"/>
        </w:rPr>
      </w:pPr>
      <w:r>
        <w:rPr>
          <w:rFonts w:ascii="Arial"/>
          <w:i/>
          <w:sz w:val="14"/>
        </w:rPr>
        <w:t>Includes</w:t>
      </w:r>
      <w:r>
        <w:rPr>
          <w:rFonts w:ascii="Arial"/>
          <w:i/>
          <w:spacing w:val="-5"/>
          <w:sz w:val="14"/>
        </w:rPr>
        <w:t> </w:t>
      </w:r>
      <w:r>
        <w:rPr>
          <w:rFonts w:ascii="Arial"/>
          <w:i/>
          <w:sz w:val="14"/>
        </w:rPr>
        <w:t>$471</w:t>
      </w:r>
      <w:r>
        <w:rPr>
          <w:rFonts w:ascii="Arial"/>
          <w:i/>
          <w:spacing w:val="-5"/>
          <w:sz w:val="14"/>
        </w:rPr>
        <w:t> </w:t>
      </w:r>
      <w:r>
        <w:rPr>
          <w:rFonts w:ascii="Arial"/>
          <w:i/>
          <w:sz w:val="14"/>
        </w:rPr>
        <w:t>million</w:t>
      </w:r>
      <w:r>
        <w:rPr>
          <w:rFonts w:ascii="Arial"/>
          <w:i/>
          <w:spacing w:val="-4"/>
          <w:sz w:val="14"/>
        </w:rPr>
        <w:t> DVA.</w:t>
      </w:r>
    </w:p>
    <w:p>
      <w:pPr>
        <w:pStyle w:val="BodyText"/>
        <w:rPr>
          <w:rFonts w:ascii="Arial"/>
          <w:i/>
        </w:rPr>
      </w:pPr>
    </w:p>
    <w:p>
      <w:pPr>
        <w:pStyle w:val="BodyText"/>
        <w:spacing w:before="98"/>
        <w:rPr>
          <w:rFonts w:ascii="Arial"/>
          <w:i/>
        </w:rPr>
      </w:pPr>
    </w:p>
    <w:p>
      <w:pPr>
        <w:pStyle w:val="Heading8"/>
        <w:spacing w:before="1"/>
      </w:pPr>
      <w:r>
        <w:rPr/>
        <w:t>Table</w:t>
      </w:r>
      <w:r>
        <w:rPr>
          <w:spacing w:val="-4"/>
        </w:rPr>
        <w:t> F1.1</w:t>
      </w:r>
    </w:p>
    <w:p>
      <w:pPr>
        <w:pStyle w:val="BodyText"/>
        <w:spacing w:before="5"/>
        <w:rPr>
          <w:b/>
          <w:sz w:val="10"/>
        </w:rPr>
      </w:pPr>
    </w:p>
    <w:p>
      <w:pPr>
        <w:pStyle w:val="BodyText"/>
        <w:spacing w:after="0"/>
        <w:rPr>
          <w:b/>
          <w:sz w:val="10"/>
        </w:rPr>
        <w:sectPr>
          <w:type w:val="continuous"/>
          <w:pgSz w:w="12240" w:h="15840"/>
          <w:pgMar w:header="1037" w:footer="528" w:top="1820" w:bottom="280" w:left="720" w:right="720"/>
        </w:sectPr>
      </w:pPr>
    </w:p>
    <w:p>
      <w:pPr>
        <w:spacing w:before="96"/>
        <w:ind w:left="772" w:right="0" w:firstLine="0"/>
        <w:jc w:val="left"/>
        <w:rPr>
          <w:rFonts w:ascii="Arial"/>
          <w:i/>
          <w:sz w:val="14"/>
        </w:rPr>
      </w:pPr>
      <w:r>
        <w:rPr>
          <w:rFonts w:ascii="Arial"/>
          <w:i/>
          <w:sz w:val="14"/>
        </w:rPr>
        <mc:AlternateContent>
          <mc:Choice Requires="wps">
            <w:drawing>
              <wp:anchor distT="0" distB="0" distL="0" distR="0" allowOverlap="1" layoutInCell="1" locked="0" behindDoc="0" simplePos="0" relativeHeight="15870976">
                <wp:simplePos x="0" y="0"/>
                <wp:positionH relativeFrom="page">
                  <wp:posOffset>914400</wp:posOffset>
                </wp:positionH>
                <wp:positionV relativeFrom="paragraph">
                  <wp:posOffset>181718</wp:posOffset>
                </wp:positionV>
                <wp:extent cx="5838825" cy="1270"/>
                <wp:effectExtent l="0" t="0" r="0" b="0"/>
                <wp:wrapNone/>
                <wp:docPr id="877" name="Graphic 877"/>
                <wp:cNvGraphicFramePr>
                  <a:graphicFrameLocks/>
                </wp:cNvGraphicFramePr>
                <a:graphic>
                  <a:graphicData uri="http://schemas.microsoft.com/office/word/2010/wordprocessingShape">
                    <wps:wsp>
                      <wps:cNvPr id="877" name="Graphic 877"/>
                      <wps:cNvSpPr/>
                      <wps:spPr>
                        <a:xfrm>
                          <a:off x="0" y="0"/>
                          <a:ext cx="5838825" cy="1270"/>
                        </a:xfrm>
                        <a:custGeom>
                          <a:avLst/>
                          <a:gdLst/>
                          <a:ahLst/>
                          <a:cxnLst/>
                          <a:rect l="l" t="t" r="r" b="b"/>
                          <a:pathLst>
                            <a:path w="5838825" h="0">
                              <a:moveTo>
                                <a:pt x="0" y="0"/>
                              </a:moveTo>
                              <a:lnTo>
                                <a:pt x="5838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976" from="72pt,14.308544pt" to="531.75pt,14.308544pt" stroked="true" strokeweight="1pt" strokecolor="#000000">
                <v:stroke dashstyle="solid"/>
                <w10:wrap type="none"/>
              </v:lin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pStyle w:val="BodyText"/>
        <w:spacing w:before="159"/>
        <w:rPr>
          <w:rFonts w:ascii="Arial"/>
          <w:i/>
          <w:sz w:val="14"/>
        </w:rPr>
      </w:pPr>
      <w:r>
        <w:rPr/>
        <w:br w:type="column"/>
      </w:r>
      <w:r>
        <w:rPr>
          <w:rFonts w:ascii="Arial"/>
          <w:i/>
          <w:sz w:val="14"/>
        </w:rPr>
      </w:r>
    </w:p>
    <w:p>
      <w:pPr>
        <w:spacing w:before="1"/>
        <w:ind w:left="0" w:right="1211" w:firstLine="0"/>
        <w:jc w:val="center"/>
        <w:rPr>
          <w:rFonts w:ascii="Arial"/>
          <w:i/>
          <w:sz w:val="14"/>
        </w:rPr>
      </w:pP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2022</w:t>
      </w:r>
    </w:p>
    <w:p>
      <w:pPr>
        <w:pStyle w:val="BodyText"/>
        <w:spacing w:before="6"/>
        <w:rPr>
          <w:rFonts w:ascii="Arial"/>
          <w:i/>
          <w:sz w:val="2"/>
        </w:rPr>
      </w:pPr>
    </w:p>
    <w:p>
      <w:pPr>
        <w:spacing w:line="20" w:lineRule="exact"/>
        <w:ind w:left="-330" w:right="0" w:firstLine="0"/>
        <w:rPr>
          <w:rFonts w:ascii="Arial"/>
          <w:sz w:val="2"/>
        </w:rPr>
      </w:pPr>
      <w:r>
        <w:rPr>
          <w:rFonts w:ascii="Arial"/>
          <w:sz w:val="2"/>
        </w:rPr>
        <mc:AlternateContent>
          <mc:Choice Requires="wps">
            <w:drawing>
              <wp:inline distT="0" distB="0" distL="0" distR="0">
                <wp:extent cx="4314825" cy="12700"/>
                <wp:effectExtent l="9525" t="0" r="0" b="6350"/>
                <wp:docPr id="878" name="Group 878"/>
                <wp:cNvGraphicFramePr>
                  <a:graphicFrameLocks/>
                </wp:cNvGraphicFramePr>
                <a:graphic>
                  <a:graphicData uri="http://schemas.microsoft.com/office/word/2010/wordprocessingGroup">
                    <wpg:wgp>
                      <wpg:cNvPr id="878" name="Group 878"/>
                      <wpg:cNvGrpSpPr/>
                      <wpg:grpSpPr>
                        <a:xfrm>
                          <a:off x="0" y="0"/>
                          <a:ext cx="4314825" cy="12700"/>
                          <a:chExt cx="4314825" cy="12700"/>
                        </a:xfrm>
                      </wpg:grpSpPr>
                      <wps:wsp>
                        <wps:cNvPr id="879" name="Graphic 879"/>
                        <wps:cNvSpPr/>
                        <wps:spPr>
                          <a:xfrm>
                            <a:off x="0" y="6350"/>
                            <a:ext cx="4314825" cy="1270"/>
                          </a:xfrm>
                          <a:custGeom>
                            <a:avLst/>
                            <a:gdLst/>
                            <a:ahLst/>
                            <a:cxnLst/>
                            <a:rect l="l" t="t" r="r" b="b"/>
                            <a:pathLst>
                              <a:path w="4314825" h="0">
                                <a:moveTo>
                                  <a:pt x="0" y="0"/>
                                </a:moveTo>
                                <a:lnTo>
                                  <a:pt x="43148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9.75pt;height:1pt;mso-position-horizontal-relative:char;mso-position-vertical-relative:line" id="docshapegroup725" coordorigin="0,0" coordsize="6795,20">
                <v:line style="position:absolute" from="0,10" to="6795,10" stroked="true" strokeweight="1pt" strokecolor="#000000">
                  <v:stroke dashstyle="solid"/>
                </v:line>
              </v:group>
            </w:pict>
          </mc:Fallback>
        </mc:AlternateContent>
      </w:r>
      <w:r>
        <w:rPr>
          <w:rFonts w:ascii="Arial"/>
          <w:sz w:val="2"/>
        </w:rPr>
      </w:r>
    </w:p>
    <w:p>
      <w:pPr>
        <w:tabs>
          <w:tab w:pos="3432" w:val="left" w:leader="none"/>
        </w:tabs>
        <w:spacing w:before="15"/>
        <w:ind w:left="0" w:right="1133" w:firstLine="0"/>
        <w:jc w:val="center"/>
        <w:rPr>
          <w:rFonts w:ascii="Arial"/>
          <w:i/>
          <w:sz w:val="14"/>
        </w:rPr>
      </w:pPr>
      <w:r>
        <w:rPr>
          <w:rFonts w:ascii="Arial"/>
          <w:i/>
          <w:sz w:val="14"/>
        </w:rPr>
        <mc:AlternateContent>
          <mc:Choice Requires="wps">
            <w:drawing>
              <wp:anchor distT="0" distB="0" distL="0" distR="0" allowOverlap="1" layoutInCell="1" locked="0" behindDoc="0" simplePos="0" relativeHeight="15871488">
                <wp:simplePos x="0" y="0"/>
                <wp:positionH relativeFrom="page">
                  <wp:posOffset>2438400</wp:posOffset>
                </wp:positionH>
                <wp:positionV relativeFrom="paragraph">
                  <wp:posOffset>130302</wp:posOffset>
                </wp:positionV>
                <wp:extent cx="4314825" cy="127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4314825" cy="1270"/>
                        </a:xfrm>
                        <a:custGeom>
                          <a:avLst/>
                          <a:gdLst/>
                          <a:ahLst/>
                          <a:cxnLst/>
                          <a:rect l="l" t="t" r="r" b="b"/>
                          <a:pathLst>
                            <a:path w="4314825" h="0">
                              <a:moveTo>
                                <a:pt x="0" y="0"/>
                              </a:moveTo>
                              <a:lnTo>
                                <a:pt x="43148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1488" from="192pt,10.260010pt" to="531.75pt,10.260010pt" stroked="true" strokeweight="1pt" strokecolor="#000000">
                <v:stroke dashstyle="solid"/>
                <w10:wrap type="none"/>
              </v:line>
            </w:pict>
          </mc:Fallback>
        </mc:AlternateContent>
      </w:r>
      <w:r>
        <w:rPr>
          <w:rFonts w:ascii="Arial"/>
          <w:i/>
          <w:sz w:val="14"/>
        </w:rPr>
        <w:t>Derivative</w:t>
      </w:r>
      <w:r>
        <w:rPr>
          <w:rFonts w:ascii="Arial"/>
          <w:i/>
          <w:spacing w:val="-7"/>
          <w:sz w:val="14"/>
        </w:rPr>
        <w:t> </w:t>
      </w:r>
      <w:r>
        <w:rPr>
          <w:rFonts w:ascii="Arial"/>
          <w:i/>
          <w:spacing w:val="-2"/>
          <w:sz w:val="14"/>
        </w:rPr>
        <w:t>Assets</w:t>
      </w:r>
      <w:r>
        <w:rPr>
          <w:rFonts w:ascii="Arial"/>
          <w:i/>
          <w:sz w:val="14"/>
        </w:rPr>
        <w:tab/>
        <w:t>Derivative</w:t>
      </w:r>
      <w:r>
        <w:rPr>
          <w:rFonts w:ascii="Arial"/>
          <w:i/>
          <w:spacing w:val="-5"/>
          <w:sz w:val="14"/>
        </w:rPr>
        <w:t> </w:t>
      </w:r>
      <w:r>
        <w:rPr>
          <w:rFonts w:ascii="Arial"/>
          <w:i/>
          <w:spacing w:val="-2"/>
          <w:sz w:val="14"/>
        </w:rPr>
        <w:t>Liabilities</w:t>
      </w:r>
    </w:p>
    <w:p>
      <w:pPr>
        <w:spacing w:after="0"/>
        <w:jc w:val="center"/>
        <w:rPr>
          <w:rFonts w:ascii="Arial"/>
          <w:i/>
          <w:sz w:val="14"/>
        </w:rPr>
        <w:sectPr>
          <w:type w:val="continuous"/>
          <w:pgSz w:w="12240" w:h="15840"/>
          <w:pgMar w:header="1037" w:footer="528" w:top="1820" w:bottom="280" w:left="720" w:right="720"/>
          <w:cols w:num="2" w:equalWidth="0">
            <w:col w:w="2353" w:space="1096"/>
            <w:col w:w="7351"/>
          </w:cols>
        </w:sectPr>
      </w:pPr>
    </w:p>
    <w:p>
      <w:pPr>
        <w:spacing w:line="249" w:lineRule="auto" w:before="76"/>
        <w:ind w:left="3297" w:right="-8" w:hanging="113"/>
        <w:jc w:val="left"/>
        <w:rPr>
          <w:rFonts w:ascii="Arial"/>
          <w:i/>
          <w:sz w:val="14"/>
        </w:rPr>
      </w:pPr>
      <w:r>
        <w:rPr>
          <w:rFonts w:ascii="Arial"/>
          <w:i/>
          <w:sz w:val="14"/>
        </w:rPr>
        <mc:AlternateContent>
          <mc:Choice Requires="wps">
            <w:drawing>
              <wp:anchor distT="0" distB="0" distL="0" distR="0" allowOverlap="1" layoutInCell="1" locked="0" behindDoc="0" simplePos="0" relativeHeight="15872000">
                <wp:simplePos x="0" y="0"/>
                <wp:positionH relativeFrom="page">
                  <wp:posOffset>914400</wp:posOffset>
                </wp:positionH>
                <wp:positionV relativeFrom="paragraph">
                  <wp:posOffset>275725</wp:posOffset>
                </wp:positionV>
                <wp:extent cx="3609975" cy="1270"/>
                <wp:effectExtent l="0" t="0" r="0" b="0"/>
                <wp:wrapNone/>
                <wp:docPr id="881" name="Graphic 881"/>
                <wp:cNvGraphicFramePr>
                  <a:graphicFrameLocks/>
                </wp:cNvGraphicFramePr>
                <a:graphic>
                  <a:graphicData uri="http://schemas.microsoft.com/office/word/2010/wordprocessingShape">
                    <wps:wsp>
                      <wps:cNvPr id="881" name="Graphic 881"/>
                      <wps:cNvSpPr/>
                      <wps:spPr>
                        <a:xfrm>
                          <a:off x="0" y="0"/>
                          <a:ext cx="3609975" cy="1270"/>
                        </a:xfrm>
                        <a:custGeom>
                          <a:avLst/>
                          <a:gdLst/>
                          <a:ahLst/>
                          <a:cxnLst/>
                          <a:rect l="l" t="t" r="r" b="b"/>
                          <a:pathLst>
                            <a:path w="3609975" h="0">
                              <a:moveTo>
                                <a:pt x="0" y="0"/>
                              </a:moveTo>
                              <a:lnTo>
                                <a:pt x="36099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000" from="72pt,21.710693pt" to="356.25pt,21.710693pt" stroked="true" strokeweight="1pt" strokecolor="#000000">
                <v:stroke dashstyle="solid"/>
                <w10:wrap type="none"/>
              </v:line>
            </w:pict>
          </mc:Fallback>
        </mc:AlternateContent>
      </w:r>
      <w:r>
        <w:rPr>
          <w:rFonts w:ascii="Arial"/>
          <w:i/>
          <w:sz w:val="14"/>
        </w:rPr>
        <mc:AlternateContent>
          <mc:Choice Requires="wps">
            <w:drawing>
              <wp:anchor distT="0" distB="0" distL="0" distR="0" allowOverlap="1" layoutInCell="1" locked="0" behindDoc="0" simplePos="0" relativeHeight="15872512">
                <wp:simplePos x="0" y="0"/>
                <wp:positionH relativeFrom="page">
                  <wp:posOffset>865250</wp:posOffset>
                </wp:positionH>
                <wp:positionV relativeFrom="paragraph">
                  <wp:posOffset>574081</wp:posOffset>
                </wp:positionV>
                <wp:extent cx="2433955" cy="53530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2433955" cy="5353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3"/>
                              <w:gridCol w:w="1424"/>
                              <w:gridCol w:w="206"/>
                            </w:tblGrid>
                            <w:tr>
                              <w:trPr>
                                <w:trHeight w:val="209" w:hRule="atLeast"/>
                              </w:trPr>
                              <w:tc>
                                <w:tcPr>
                                  <w:tcW w:w="2083" w:type="dxa"/>
                                </w:tcPr>
                                <w:p>
                                  <w:pPr>
                                    <w:pStyle w:val="TableParagraph"/>
                                    <w:spacing w:before="14"/>
                                    <w:ind w:left="70"/>
                                    <w:rPr>
                                      <w:sz w:val="14"/>
                                    </w:rPr>
                                  </w:pPr>
                                  <w:r>
                                    <w:rPr>
                                      <w:sz w:val="14"/>
                                    </w:rPr>
                                    <w:t>Other</w:t>
                                  </w:r>
                                  <w:r>
                                    <w:rPr>
                                      <w:spacing w:val="-5"/>
                                      <w:sz w:val="14"/>
                                    </w:rPr>
                                    <w:t> </w:t>
                                  </w:r>
                                  <w:r>
                                    <w:rPr>
                                      <w:spacing w:val="-10"/>
                                      <w:sz w:val="14"/>
                                      <w:vertAlign w:val="superscript"/>
                                    </w:rPr>
                                    <w:t>b</w:t>
                                  </w:r>
                                </w:p>
                              </w:tc>
                              <w:tc>
                                <w:tcPr>
                                  <w:tcW w:w="1424" w:type="dxa"/>
                                </w:tcPr>
                                <w:p>
                                  <w:pPr>
                                    <w:pStyle w:val="TableParagraph"/>
                                    <w:spacing w:before="14"/>
                                    <w:ind w:right="54"/>
                                    <w:jc w:val="right"/>
                                    <w:rPr>
                                      <w:sz w:val="14"/>
                                    </w:rPr>
                                  </w:pPr>
                                  <w:r>
                                    <w:rPr>
                                      <w:spacing w:val="-10"/>
                                      <w:sz w:val="14"/>
                                    </w:rPr>
                                    <w:t>3</w:t>
                                  </w:r>
                                </w:p>
                              </w:tc>
                              <w:tc>
                                <w:tcPr>
                                  <w:tcW w:w="206" w:type="dxa"/>
                                </w:tcPr>
                                <w:p>
                                  <w:pPr>
                                    <w:pStyle w:val="TableParagraph"/>
                                    <w:rPr>
                                      <w:rFonts w:ascii="Times New Roman"/>
                                      <w:sz w:val="14"/>
                                    </w:rPr>
                                  </w:pPr>
                                </w:p>
                              </w:tc>
                            </w:tr>
                            <w:tr>
                              <w:trPr>
                                <w:trHeight w:val="225" w:hRule="atLeast"/>
                              </w:trPr>
                              <w:tc>
                                <w:tcPr>
                                  <w:tcW w:w="2083" w:type="dxa"/>
                                </w:tcPr>
                                <w:p>
                                  <w:pPr>
                                    <w:pStyle w:val="TableParagraph"/>
                                    <w:spacing w:before="29"/>
                                    <w:ind w:left="70"/>
                                    <w:rPr>
                                      <w:rFonts w:ascii="Arial"/>
                                      <w:b/>
                                      <w:sz w:val="14"/>
                                    </w:rPr>
                                  </w:pPr>
                                  <w:r>
                                    <w:rPr>
                                      <w:rFonts w:ascii="Arial"/>
                                      <w:b/>
                                      <w:spacing w:val="-2"/>
                                      <w:sz w:val="14"/>
                                    </w:rPr>
                                    <w:t>Total</w:t>
                                  </w:r>
                                </w:p>
                              </w:tc>
                              <w:tc>
                                <w:tcPr>
                                  <w:tcW w:w="1424" w:type="dxa"/>
                                </w:tcPr>
                                <w:p>
                                  <w:pPr>
                                    <w:pStyle w:val="TableParagraph"/>
                                    <w:tabs>
                                      <w:tab w:pos="552" w:val="left" w:leader="none"/>
                                    </w:tabs>
                                    <w:spacing w:before="29"/>
                                    <w:ind w:right="53"/>
                                    <w:jc w:val="right"/>
                                    <w:rPr>
                                      <w:sz w:val="14"/>
                                    </w:rPr>
                                  </w:pPr>
                                  <w:r>
                                    <w:rPr>
                                      <w:spacing w:val="-10"/>
                                      <w:sz w:val="14"/>
                                    </w:rPr>
                                    <w:t>$</w:t>
                                  </w:r>
                                  <w:r>
                                    <w:rPr>
                                      <w:sz w:val="14"/>
                                    </w:rPr>
                                    <w:tab/>
                                  </w:r>
                                  <w:r>
                                    <w:rPr>
                                      <w:spacing w:val="-2"/>
                                      <w:sz w:val="14"/>
                                    </w:rPr>
                                    <w:t>68,941</w:t>
                                  </w:r>
                                </w:p>
                              </w:tc>
                              <w:tc>
                                <w:tcPr>
                                  <w:tcW w:w="206" w:type="dxa"/>
                                </w:tcPr>
                                <w:p>
                                  <w:pPr>
                                    <w:pStyle w:val="TableParagraph"/>
                                    <w:spacing w:before="29"/>
                                    <w:ind w:left="57"/>
                                    <w:rPr>
                                      <w:sz w:val="14"/>
                                    </w:rPr>
                                  </w:pPr>
                                  <w:r>
                                    <w:rPr>
                                      <w:spacing w:val="-10"/>
                                      <w:sz w:val="14"/>
                                    </w:rPr>
                                    <w:t>$</w:t>
                                  </w:r>
                                </w:p>
                              </w:tc>
                            </w:tr>
                            <w:tr>
                              <w:trPr>
                                <w:trHeight w:val="409" w:hRule="atLeast"/>
                              </w:trPr>
                              <w:tc>
                                <w:tcPr>
                                  <w:tcW w:w="2083" w:type="dxa"/>
                                </w:tcPr>
                                <w:p>
                                  <w:pPr>
                                    <w:pStyle w:val="TableParagraph"/>
                                    <w:spacing w:before="29"/>
                                    <w:ind w:left="70"/>
                                    <w:rPr>
                                      <w:sz w:val="14"/>
                                    </w:rPr>
                                  </w:pPr>
                                  <w:r>
                                    <w:rPr>
                                      <w:spacing w:val="-2"/>
                                      <w:sz w:val="14"/>
                                    </w:rPr>
                                    <w:t>Less:</w:t>
                                  </w:r>
                                </w:p>
                                <w:p>
                                  <w:pPr>
                                    <w:pStyle w:val="TableParagraph"/>
                                    <w:spacing w:line="141" w:lineRule="exact" w:before="58"/>
                                    <w:ind w:left="70"/>
                                    <w:rPr>
                                      <w:sz w:val="14"/>
                                    </w:rPr>
                                  </w:pPr>
                                  <w:r>
                                    <w:rPr>
                                      <w:sz w:val="14"/>
                                    </w:rPr>
                                    <w:t>Amounts</w:t>
                                  </w:r>
                                  <w:r>
                                    <w:rPr>
                                      <w:spacing w:val="-3"/>
                                      <w:sz w:val="14"/>
                                    </w:rPr>
                                    <w:t> </w:t>
                                  </w:r>
                                  <w:r>
                                    <w:rPr>
                                      <w:sz w:val="14"/>
                                    </w:rPr>
                                    <w:t>subject</w:t>
                                  </w:r>
                                  <w:r>
                                    <w:rPr>
                                      <w:spacing w:val="-3"/>
                                      <w:sz w:val="14"/>
                                    </w:rPr>
                                    <w:t> </w:t>
                                  </w:r>
                                  <w:r>
                                    <w:rPr>
                                      <w:sz w:val="14"/>
                                    </w:rPr>
                                    <w:t>to</w:t>
                                  </w:r>
                                  <w:r>
                                    <w:rPr>
                                      <w:spacing w:val="-2"/>
                                      <w:sz w:val="14"/>
                                    </w:rPr>
                                    <w:t> legally</w:t>
                                  </w:r>
                                </w:p>
                              </w:tc>
                              <w:tc>
                                <w:tcPr>
                                  <w:tcW w:w="1424" w:type="dxa"/>
                                </w:tcPr>
                                <w:p>
                                  <w:pPr>
                                    <w:pStyle w:val="TableParagraph"/>
                                    <w:rPr>
                                      <w:rFonts w:ascii="Times New Roman"/>
                                      <w:sz w:val="14"/>
                                    </w:rPr>
                                  </w:pPr>
                                </w:p>
                              </w:tc>
                              <w:tc>
                                <w:tcPr>
                                  <w:tcW w:w="206" w:type="dxa"/>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68.129997pt;margin-top:45.203239pt;width:191.65pt;height:42.15pt;mso-position-horizontal-relative:page;mso-position-vertical-relative:paragraph;z-index:15872512" type="#_x0000_t202" id="docshape7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3"/>
                        <w:gridCol w:w="1424"/>
                        <w:gridCol w:w="206"/>
                      </w:tblGrid>
                      <w:tr>
                        <w:trPr>
                          <w:trHeight w:val="209" w:hRule="atLeast"/>
                        </w:trPr>
                        <w:tc>
                          <w:tcPr>
                            <w:tcW w:w="2083" w:type="dxa"/>
                          </w:tcPr>
                          <w:p>
                            <w:pPr>
                              <w:pStyle w:val="TableParagraph"/>
                              <w:spacing w:before="14"/>
                              <w:ind w:left="70"/>
                              <w:rPr>
                                <w:sz w:val="14"/>
                              </w:rPr>
                            </w:pPr>
                            <w:r>
                              <w:rPr>
                                <w:sz w:val="14"/>
                              </w:rPr>
                              <w:t>Other</w:t>
                            </w:r>
                            <w:r>
                              <w:rPr>
                                <w:spacing w:val="-5"/>
                                <w:sz w:val="14"/>
                              </w:rPr>
                              <w:t> </w:t>
                            </w:r>
                            <w:r>
                              <w:rPr>
                                <w:spacing w:val="-10"/>
                                <w:sz w:val="14"/>
                                <w:vertAlign w:val="superscript"/>
                              </w:rPr>
                              <w:t>b</w:t>
                            </w:r>
                          </w:p>
                        </w:tc>
                        <w:tc>
                          <w:tcPr>
                            <w:tcW w:w="1424" w:type="dxa"/>
                          </w:tcPr>
                          <w:p>
                            <w:pPr>
                              <w:pStyle w:val="TableParagraph"/>
                              <w:spacing w:before="14"/>
                              <w:ind w:right="54"/>
                              <w:jc w:val="right"/>
                              <w:rPr>
                                <w:sz w:val="14"/>
                              </w:rPr>
                            </w:pPr>
                            <w:r>
                              <w:rPr>
                                <w:spacing w:val="-10"/>
                                <w:sz w:val="14"/>
                              </w:rPr>
                              <w:t>3</w:t>
                            </w:r>
                          </w:p>
                        </w:tc>
                        <w:tc>
                          <w:tcPr>
                            <w:tcW w:w="206" w:type="dxa"/>
                          </w:tcPr>
                          <w:p>
                            <w:pPr>
                              <w:pStyle w:val="TableParagraph"/>
                              <w:rPr>
                                <w:rFonts w:ascii="Times New Roman"/>
                                <w:sz w:val="14"/>
                              </w:rPr>
                            </w:pPr>
                          </w:p>
                        </w:tc>
                      </w:tr>
                      <w:tr>
                        <w:trPr>
                          <w:trHeight w:val="225" w:hRule="atLeast"/>
                        </w:trPr>
                        <w:tc>
                          <w:tcPr>
                            <w:tcW w:w="2083" w:type="dxa"/>
                          </w:tcPr>
                          <w:p>
                            <w:pPr>
                              <w:pStyle w:val="TableParagraph"/>
                              <w:spacing w:before="29"/>
                              <w:ind w:left="70"/>
                              <w:rPr>
                                <w:rFonts w:ascii="Arial"/>
                                <w:b/>
                                <w:sz w:val="14"/>
                              </w:rPr>
                            </w:pPr>
                            <w:r>
                              <w:rPr>
                                <w:rFonts w:ascii="Arial"/>
                                <w:b/>
                                <w:spacing w:val="-2"/>
                                <w:sz w:val="14"/>
                              </w:rPr>
                              <w:t>Total</w:t>
                            </w:r>
                          </w:p>
                        </w:tc>
                        <w:tc>
                          <w:tcPr>
                            <w:tcW w:w="1424" w:type="dxa"/>
                          </w:tcPr>
                          <w:p>
                            <w:pPr>
                              <w:pStyle w:val="TableParagraph"/>
                              <w:tabs>
                                <w:tab w:pos="552" w:val="left" w:leader="none"/>
                              </w:tabs>
                              <w:spacing w:before="29"/>
                              <w:ind w:right="53"/>
                              <w:jc w:val="right"/>
                              <w:rPr>
                                <w:sz w:val="14"/>
                              </w:rPr>
                            </w:pPr>
                            <w:r>
                              <w:rPr>
                                <w:spacing w:val="-10"/>
                                <w:sz w:val="14"/>
                              </w:rPr>
                              <w:t>$</w:t>
                            </w:r>
                            <w:r>
                              <w:rPr>
                                <w:sz w:val="14"/>
                              </w:rPr>
                              <w:tab/>
                            </w:r>
                            <w:r>
                              <w:rPr>
                                <w:spacing w:val="-2"/>
                                <w:sz w:val="14"/>
                              </w:rPr>
                              <w:t>68,941</w:t>
                            </w:r>
                          </w:p>
                        </w:tc>
                        <w:tc>
                          <w:tcPr>
                            <w:tcW w:w="206" w:type="dxa"/>
                          </w:tcPr>
                          <w:p>
                            <w:pPr>
                              <w:pStyle w:val="TableParagraph"/>
                              <w:spacing w:before="29"/>
                              <w:ind w:left="57"/>
                              <w:rPr>
                                <w:sz w:val="14"/>
                              </w:rPr>
                            </w:pPr>
                            <w:r>
                              <w:rPr>
                                <w:spacing w:val="-10"/>
                                <w:sz w:val="14"/>
                              </w:rPr>
                              <w:t>$</w:t>
                            </w:r>
                          </w:p>
                        </w:tc>
                      </w:tr>
                      <w:tr>
                        <w:trPr>
                          <w:trHeight w:val="409" w:hRule="atLeast"/>
                        </w:trPr>
                        <w:tc>
                          <w:tcPr>
                            <w:tcW w:w="2083" w:type="dxa"/>
                          </w:tcPr>
                          <w:p>
                            <w:pPr>
                              <w:pStyle w:val="TableParagraph"/>
                              <w:spacing w:before="29"/>
                              <w:ind w:left="70"/>
                              <w:rPr>
                                <w:sz w:val="14"/>
                              </w:rPr>
                            </w:pPr>
                            <w:r>
                              <w:rPr>
                                <w:spacing w:val="-2"/>
                                <w:sz w:val="14"/>
                              </w:rPr>
                              <w:t>Less:</w:t>
                            </w:r>
                          </w:p>
                          <w:p>
                            <w:pPr>
                              <w:pStyle w:val="TableParagraph"/>
                              <w:spacing w:line="141" w:lineRule="exact" w:before="58"/>
                              <w:ind w:left="70"/>
                              <w:rPr>
                                <w:sz w:val="14"/>
                              </w:rPr>
                            </w:pPr>
                            <w:r>
                              <w:rPr>
                                <w:sz w:val="14"/>
                              </w:rPr>
                              <w:t>Amounts</w:t>
                            </w:r>
                            <w:r>
                              <w:rPr>
                                <w:spacing w:val="-3"/>
                                <w:sz w:val="14"/>
                              </w:rPr>
                              <w:t> </w:t>
                            </w:r>
                            <w:r>
                              <w:rPr>
                                <w:sz w:val="14"/>
                              </w:rPr>
                              <w:t>subject</w:t>
                            </w:r>
                            <w:r>
                              <w:rPr>
                                <w:spacing w:val="-3"/>
                                <w:sz w:val="14"/>
                              </w:rPr>
                              <w:t> </w:t>
                            </w:r>
                            <w:r>
                              <w:rPr>
                                <w:sz w:val="14"/>
                              </w:rPr>
                              <w:t>to</w:t>
                            </w:r>
                            <w:r>
                              <w:rPr>
                                <w:spacing w:val="-2"/>
                                <w:sz w:val="14"/>
                              </w:rPr>
                              <w:t> legally</w:t>
                            </w:r>
                          </w:p>
                        </w:tc>
                        <w:tc>
                          <w:tcPr>
                            <w:tcW w:w="1424" w:type="dxa"/>
                          </w:tcPr>
                          <w:p>
                            <w:pPr>
                              <w:pStyle w:val="TableParagraph"/>
                              <w:rPr>
                                <w:rFonts w:ascii="Times New Roman"/>
                                <w:sz w:val="14"/>
                              </w:rPr>
                            </w:pPr>
                          </w:p>
                        </w:tc>
                        <w:tc>
                          <w:tcPr>
                            <w:tcW w:w="206" w:type="dxa"/>
                          </w:tcPr>
                          <w:p>
                            <w:pPr>
                              <w:pStyle w:val="TableParagraph"/>
                              <w:rPr>
                                <w:rFonts w:ascii="Times New Roman"/>
                                <w:sz w:val="14"/>
                              </w:rPr>
                            </w:pPr>
                          </w:p>
                        </w:tc>
                      </w:tr>
                    </w:tbl>
                    <w:p>
                      <w:pPr>
                        <w:pStyle w:val="BodyText"/>
                      </w:pPr>
                    </w:p>
                  </w:txbxContent>
                </v:textbox>
                <w10:wrap type="none"/>
              </v:shape>
            </w:pict>
          </mc:Fallback>
        </mc:AlternateContent>
      </w:r>
      <w:r>
        <w:rPr>
          <w:rFonts w:ascii="Arial"/>
          <w:i/>
          <w:sz w:val="14"/>
        </w:rPr>
        <mc:AlternateContent>
          <mc:Choice Requires="wps">
            <w:drawing>
              <wp:anchor distT="0" distB="0" distL="0" distR="0" allowOverlap="1" layoutInCell="1" locked="0" behindDoc="0" simplePos="0" relativeHeight="15873024">
                <wp:simplePos x="0" y="0"/>
                <wp:positionH relativeFrom="page">
                  <wp:posOffset>3632536</wp:posOffset>
                </wp:positionH>
                <wp:positionV relativeFrom="paragraph">
                  <wp:posOffset>275725</wp:posOffset>
                </wp:positionV>
                <wp:extent cx="3159125" cy="58293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3159125" cy="5829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225"/>
                              <w:gridCol w:w="1091"/>
                              <w:gridCol w:w="1468"/>
                              <w:gridCol w:w="728"/>
                            </w:tblGrid>
                            <w:tr>
                              <w:trPr>
                                <w:trHeight w:val="219" w:hRule="atLeast"/>
                              </w:trPr>
                              <w:tc>
                                <w:tcPr>
                                  <w:tcW w:w="1569" w:type="dxa"/>
                                  <w:gridSpan w:val="2"/>
                                </w:tcPr>
                                <w:p>
                                  <w:pPr>
                                    <w:pStyle w:val="TableParagraph"/>
                                    <w:tabs>
                                      <w:tab w:pos="932" w:val="left" w:leader="none"/>
                                    </w:tabs>
                                    <w:spacing w:before="24"/>
                                    <w:ind w:left="188"/>
                                    <w:rPr>
                                      <w:sz w:val="14"/>
                                    </w:rPr>
                                  </w:pPr>
                                  <w:r>
                                    <w:rPr>
                                      <w:sz w:val="14"/>
                                    </w:rPr>
                                    <w:t>)</w:t>
                                  </w:r>
                                  <w:r>
                                    <w:rPr>
                                      <w:spacing w:val="27"/>
                                      <w:sz w:val="14"/>
                                    </w:rPr>
                                    <w:t> </w:t>
                                  </w:r>
                                  <w:r>
                                    <w:rPr>
                                      <w:spacing w:val="-10"/>
                                      <w:sz w:val="14"/>
                                    </w:rPr>
                                    <w:t>$</w:t>
                                  </w:r>
                                  <w:r>
                                    <w:rPr>
                                      <w:sz w:val="14"/>
                                    </w:rPr>
                                    <w:tab/>
                                  </w:r>
                                  <w:r>
                                    <w:rPr>
                                      <w:spacing w:val="-2"/>
                                      <w:sz w:val="14"/>
                                    </w:rPr>
                                    <w:t>6,537</w:t>
                                  </w:r>
                                </w:p>
                              </w:tc>
                              <w:tc>
                                <w:tcPr>
                                  <w:tcW w:w="1091" w:type="dxa"/>
                                  <w:tcBorders>
                                    <w:top w:val="single" w:sz="8" w:space="0" w:color="000000"/>
                                  </w:tcBorders>
                                </w:tcPr>
                                <w:p>
                                  <w:pPr>
                                    <w:pStyle w:val="TableParagraph"/>
                                    <w:tabs>
                                      <w:tab w:pos="552" w:val="left" w:leader="none"/>
                                    </w:tabs>
                                    <w:spacing w:before="24"/>
                                    <w:ind w:right="54"/>
                                    <w:jc w:val="right"/>
                                    <w:rPr>
                                      <w:sz w:val="14"/>
                                    </w:rPr>
                                  </w:pPr>
                                  <w:r>
                                    <w:rPr>
                                      <w:spacing w:val="-10"/>
                                      <w:sz w:val="14"/>
                                    </w:rPr>
                                    <w:t>$</w:t>
                                  </w:r>
                                  <w:r>
                                    <w:rPr>
                                      <w:sz w:val="14"/>
                                    </w:rPr>
                                    <w:tab/>
                                  </w:r>
                                  <w:r>
                                    <w:rPr>
                                      <w:spacing w:val="-2"/>
                                      <w:sz w:val="14"/>
                                    </w:rPr>
                                    <w:t>51,028</w:t>
                                  </w:r>
                                </w:p>
                              </w:tc>
                              <w:tc>
                                <w:tcPr>
                                  <w:tcW w:w="1468" w:type="dxa"/>
                                  <w:tcBorders>
                                    <w:top w:val="single" w:sz="8" w:space="0" w:color="000000"/>
                                  </w:tcBorders>
                                </w:tcPr>
                                <w:p>
                                  <w:pPr>
                                    <w:pStyle w:val="TableParagraph"/>
                                    <w:tabs>
                                      <w:tab w:pos="563" w:val="left" w:leader="none"/>
                                    </w:tabs>
                                    <w:spacing w:before="24"/>
                                    <w:ind w:left="57"/>
                                    <w:rPr>
                                      <w:sz w:val="14"/>
                                    </w:rPr>
                                  </w:pPr>
                                  <w:r>
                                    <w:rPr>
                                      <w:spacing w:val="-10"/>
                                      <w:sz w:val="14"/>
                                    </w:rPr>
                                    <w:t>$</w:t>
                                  </w:r>
                                  <w:r>
                                    <w:rPr>
                                      <w:sz w:val="14"/>
                                    </w:rPr>
                                    <w:tab/>
                                    <w:t>(31,334)</w:t>
                                  </w:r>
                                  <w:r>
                                    <w:rPr>
                                      <w:spacing w:val="22"/>
                                      <w:sz w:val="14"/>
                                    </w:rPr>
                                    <w:t> </w:t>
                                  </w:r>
                                  <w:r>
                                    <w:rPr>
                                      <w:spacing w:val="-10"/>
                                      <w:sz w:val="14"/>
                                    </w:rPr>
                                    <w:t>$</w:t>
                                  </w:r>
                                </w:p>
                              </w:tc>
                              <w:tc>
                                <w:tcPr>
                                  <w:tcW w:w="728" w:type="dxa"/>
                                  <w:tcBorders>
                                    <w:top w:val="single" w:sz="8" w:space="0" w:color="000000"/>
                                  </w:tcBorders>
                                </w:tcPr>
                                <w:p>
                                  <w:pPr>
                                    <w:pStyle w:val="TableParagraph"/>
                                    <w:spacing w:before="24"/>
                                    <w:ind w:right="60"/>
                                    <w:jc w:val="right"/>
                                    <w:rPr>
                                      <w:sz w:val="14"/>
                                    </w:rPr>
                                  </w:pPr>
                                  <w:r>
                                    <w:rPr>
                                      <w:spacing w:val="-2"/>
                                      <w:sz w:val="14"/>
                                    </w:rPr>
                                    <w:t>19,694</w:t>
                                  </w:r>
                                </w:p>
                              </w:tc>
                            </w:tr>
                            <w:tr>
                              <w:trPr>
                                <w:trHeight w:val="190" w:hRule="atLeast"/>
                              </w:trPr>
                              <w:tc>
                                <w:tcPr>
                                  <w:tcW w:w="1569" w:type="dxa"/>
                                  <w:gridSpan w:val="2"/>
                                </w:tcPr>
                                <w:p>
                                  <w:pPr>
                                    <w:pStyle w:val="TableParagraph"/>
                                    <w:tabs>
                                      <w:tab w:pos="932" w:val="left" w:leader="none"/>
                                    </w:tabs>
                                    <w:spacing w:line="141" w:lineRule="exact" w:before="29"/>
                                    <w:ind w:left="188"/>
                                    <w:rPr>
                                      <w:sz w:val="14"/>
                                    </w:rPr>
                                  </w:pPr>
                                  <w:r>
                                    <w:rPr>
                                      <w:spacing w:val="-10"/>
                                      <w:sz w:val="14"/>
                                    </w:rPr>
                                    <w:t>)</w:t>
                                  </w:r>
                                  <w:r>
                                    <w:rPr>
                                      <w:sz w:val="14"/>
                                    </w:rPr>
                                    <w:tab/>
                                  </w:r>
                                  <w:r>
                                    <w:rPr>
                                      <w:spacing w:val="-2"/>
                                      <w:sz w:val="14"/>
                                    </w:rPr>
                                    <w:t>4,953</w:t>
                                  </w:r>
                                </w:p>
                              </w:tc>
                              <w:tc>
                                <w:tcPr>
                                  <w:tcW w:w="1091" w:type="dxa"/>
                                </w:tcPr>
                                <w:p>
                                  <w:pPr>
                                    <w:pStyle w:val="TableParagraph"/>
                                    <w:spacing w:line="141" w:lineRule="exact" w:before="29"/>
                                    <w:ind w:right="54"/>
                                    <w:jc w:val="right"/>
                                    <w:rPr>
                                      <w:sz w:val="14"/>
                                    </w:rPr>
                                  </w:pPr>
                                  <w:r>
                                    <w:rPr>
                                      <w:spacing w:val="-2"/>
                                      <w:sz w:val="14"/>
                                    </w:rPr>
                                    <w:t>79,504</w:t>
                                  </w:r>
                                </w:p>
                              </w:tc>
                              <w:tc>
                                <w:tcPr>
                                  <w:tcW w:w="1468" w:type="dxa"/>
                                </w:tcPr>
                                <w:p>
                                  <w:pPr>
                                    <w:pStyle w:val="TableParagraph"/>
                                    <w:spacing w:line="141" w:lineRule="exact" w:before="29"/>
                                    <w:ind w:left="563"/>
                                    <w:rPr>
                                      <w:sz w:val="14"/>
                                    </w:rPr>
                                  </w:pPr>
                                  <w:r>
                                    <w:rPr>
                                      <w:spacing w:val="-2"/>
                                      <w:sz w:val="14"/>
                                    </w:rPr>
                                    <w:t>(68,064)</w:t>
                                  </w:r>
                                </w:p>
                              </w:tc>
                              <w:tc>
                                <w:tcPr>
                                  <w:tcW w:w="728" w:type="dxa"/>
                                </w:tcPr>
                                <w:p>
                                  <w:pPr>
                                    <w:pStyle w:val="TableParagraph"/>
                                    <w:spacing w:line="141" w:lineRule="exact" w:before="29"/>
                                    <w:ind w:right="60"/>
                                    <w:jc w:val="right"/>
                                    <w:rPr>
                                      <w:sz w:val="14"/>
                                    </w:rPr>
                                  </w:pPr>
                                  <w:r>
                                    <w:rPr>
                                      <w:spacing w:val="-2"/>
                                      <w:sz w:val="14"/>
                                    </w:rPr>
                                    <w:t>11,440</w:t>
                                  </w:r>
                                </w:p>
                              </w:tc>
                            </w:tr>
                            <w:tr>
                              <w:trPr>
                                <w:trHeight w:val="244" w:hRule="atLeast"/>
                              </w:trPr>
                              <w:tc>
                                <w:tcPr>
                                  <w:tcW w:w="1344" w:type="dxa"/>
                                </w:tcPr>
                                <w:p>
                                  <w:pPr>
                                    <w:pStyle w:val="TableParagraph"/>
                                    <w:tabs>
                                      <w:tab w:pos="1204" w:val="left" w:leader="none"/>
                                    </w:tabs>
                                    <w:spacing w:line="161" w:lineRule="exact" w:before="64"/>
                                    <w:ind w:left="63"/>
                                    <w:rPr>
                                      <w:sz w:val="14"/>
                                    </w:rPr>
                                  </w:pPr>
                                  <w:r>
                                    <w:rPr>
                                      <w:spacing w:val="-5"/>
                                      <w:sz w:val="14"/>
                                    </w:rPr>
                                    <w:t>(1)</w:t>
                                  </w:r>
                                  <w:r>
                                    <w:rPr>
                                      <w:sz w:val="14"/>
                                    </w:rPr>
                                    <w:tab/>
                                  </w:r>
                                  <w:r>
                                    <w:rPr>
                                      <w:spacing w:val="-10"/>
                                      <w:sz w:val="14"/>
                                    </w:rPr>
                                    <w:t>2</w:t>
                                  </w:r>
                                </w:p>
                              </w:tc>
                              <w:tc>
                                <w:tcPr>
                                  <w:tcW w:w="225" w:type="dxa"/>
                                </w:tcPr>
                                <w:p>
                                  <w:pPr>
                                    <w:pStyle w:val="TableParagraph"/>
                                    <w:rPr>
                                      <w:rFonts w:ascii="Times New Roman"/>
                                      <w:sz w:val="14"/>
                                    </w:rPr>
                                  </w:pPr>
                                </w:p>
                              </w:tc>
                              <w:tc>
                                <w:tcPr>
                                  <w:tcW w:w="1091" w:type="dxa"/>
                                  <w:tcBorders>
                                    <w:bottom w:val="single" w:sz="8" w:space="0" w:color="000000"/>
                                  </w:tcBorders>
                                </w:tcPr>
                                <w:p>
                                  <w:pPr>
                                    <w:pStyle w:val="TableParagraph"/>
                                    <w:spacing w:line="161" w:lineRule="exact" w:before="64"/>
                                    <w:ind w:right="55"/>
                                    <w:jc w:val="right"/>
                                    <w:rPr>
                                      <w:sz w:val="14"/>
                                    </w:rPr>
                                  </w:pPr>
                                  <w:r>
                                    <w:rPr>
                                      <w:sz w:val="14"/>
                                    </w:rPr>
                                    <w:t>—</w:t>
                                  </w:r>
                                </w:p>
                              </w:tc>
                              <w:tc>
                                <w:tcPr>
                                  <w:tcW w:w="1468" w:type="dxa"/>
                                  <w:tcBorders>
                                    <w:bottom w:val="single" w:sz="8" w:space="0" w:color="000000"/>
                                  </w:tcBorders>
                                </w:tcPr>
                                <w:p>
                                  <w:pPr>
                                    <w:pStyle w:val="TableParagraph"/>
                                    <w:spacing w:line="161" w:lineRule="exact" w:before="64"/>
                                    <w:ind w:left="897"/>
                                    <w:rPr>
                                      <w:sz w:val="14"/>
                                    </w:rPr>
                                  </w:pPr>
                                  <w:r>
                                    <w:rPr>
                                      <w:sz w:val="14"/>
                                    </w:rPr>
                                    <w:t>—</w:t>
                                  </w:r>
                                </w:p>
                              </w:tc>
                              <w:tc>
                                <w:tcPr>
                                  <w:tcW w:w="728" w:type="dxa"/>
                                  <w:tcBorders>
                                    <w:bottom w:val="single" w:sz="8" w:space="0" w:color="000000"/>
                                  </w:tcBorders>
                                </w:tcPr>
                                <w:p>
                                  <w:pPr>
                                    <w:pStyle w:val="TableParagraph"/>
                                    <w:spacing w:line="161" w:lineRule="exact" w:before="64"/>
                                    <w:ind w:right="61"/>
                                    <w:jc w:val="right"/>
                                    <w:rPr>
                                      <w:sz w:val="14"/>
                                    </w:rPr>
                                  </w:pPr>
                                  <w:r>
                                    <w:rPr>
                                      <w:sz w:val="14"/>
                                    </w:rPr>
                                    <w:t>—</w:t>
                                  </w:r>
                                </w:p>
                              </w:tc>
                            </w:tr>
                            <w:tr>
                              <w:trPr>
                                <w:trHeight w:val="205" w:hRule="atLeast"/>
                              </w:trPr>
                              <w:tc>
                                <w:tcPr>
                                  <w:tcW w:w="1344" w:type="dxa"/>
                                </w:tcPr>
                                <w:p>
                                  <w:pPr>
                                    <w:pStyle w:val="TableParagraph"/>
                                    <w:tabs>
                                      <w:tab w:pos="854" w:val="left" w:leader="none"/>
                                    </w:tabs>
                                    <w:spacing w:line="161" w:lineRule="exact" w:before="24"/>
                                    <w:ind w:left="32"/>
                                    <w:rPr>
                                      <w:sz w:val="14"/>
                                    </w:rPr>
                                  </w:pPr>
                                  <w:r>
                                    <w:rPr>
                                      <w:sz w:val="14"/>
                                    </w:rPr>
                                    <w:t>49)</w:t>
                                  </w:r>
                                  <w:r>
                                    <w:rPr>
                                      <w:spacing w:val="25"/>
                                      <w:sz w:val="14"/>
                                    </w:rPr>
                                    <w:t> </w:t>
                                  </w:r>
                                  <w:r>
                                    <w:rPr>
                                      <w:spacing w:val="-10"/>
                                      <w:sz w:val="14"/>
                                    </w:rPr>
                                    <w:t>$</w:t>
                                  </w:r>
                                  <w:r>
                                    <w:rPr>
                                      <w:sz w:val="14"/>
                                    </w:rPr>
                                    <w:tab/>
                                  </w:r>
                                  <w:r>
                                    <w:rPr>
                                      <w:spacing w:val="-2"/>
                                      <w:sz w:val="14"/>
                                    </w:rPr>
                                    <w:t>11,492</w:t>
                                  </w:r>
                                </w:p>
                              </w:tc>
                              <w:tc>
                                <w:tcPr>
                                  <w:tcW w:w="225" w:type="dxa"/>
                                </w:tcPr>
                                <w:p>
                                  <w:pPr>
                                    <w:pStyle w:val="TableParagraph"/>
                                    <w:rPr>
                                      <w:rFonts w:ascii="Times New Roman"/>
                                      <w:sz w:val="14"/>
                                    </w:rPr>
                                  </w:pPr>
                                </w:p>
                              </w:tc>
                              <w:tc>
                                <w:tcPr>
                                  <w:tcW w:w="1091" w:type="dxa"/>
                                  <w:tcBorders>
                                    <w:top w:val="single" w:sz="8" w:space="0" w:color="000000"/>
                                    <w:bottom w:val="single" w:sz="8" w:space="0" w:color="000000"/>
                                  </w:tcBorders>
                                </w:tcPr>
                                <w:p>
                                  <w:pPr>
                                    <w:pStyle w:val="TableParagraph"/>
                                    <w:tabs>
                                      <w:tab w:pos="475" w:val="left" w:leader="none"/>
                                    </w:tabs>
                                    <w:spacing w:line="161" w:lineRule="exact" w:before="24"/>
                                    <w:ind w:right="54"/>
                                    <w:jc w:val="right"/>
                                    <w:rPr>
                                      <w:sz w:val="14"/>
                                    </w:rPr>
                                  </w:pPr>
                                  <w:r>
                                    <w:rPr>
                                      <w:spacing w:val="-10"/>
                                      <w:sz w:val="14"/>
                                    </w:rPr>
                                    <w:t>$</w:t>
                                  </w:r>
                                  <w:r>
                                    <w:rPr>
                                      <w:sz w:val="14"/>
                                    </w:rPr>
                                    <w:tab/>
                                  </w:r>
                                  <w:r>
                                    <w:rPr>
                                      <w:spacing w:val="-2"/>
                                      <w:sz w:val="14"/>
                                    </w:rPr>
                                    <w:t>130,532</w:t>
                                  </w:r>
                                </w:p>
                              </w:tc>
                              <w:tc>
                                <w:tcPr>
                                  <w:tcW w:w="1468" w:type="dxa"/>
                                  <w:tcBorders>
                                    <w:top w:val="single" w:sz="8" w:space="0" w:color="000000"/>
                                    <w:bottom w:val="single" w:sz="8" w:space="0" w:color="000000"/>
                                  </w:tcBorders>
                                </w:tcPr>
                                <w:p>
                                  <w:pPr>
                                    <w:pStyle w:val="TableParagraph"/>
                                    <w:tabs>
                                      <w:tab w:pos="563" w:val="left" w:leader="none"/>
                                    </w:tabs>
                                    <w:spacing w:line="161" w:lineRule="exact" w:before="24"/>
                                    <w:ind w:left="57"/>
                                    <w:rPr>
                                      <w:sz w:val="14"/>
                                    </w:rPr>
                                  </w:pPr>
                                  <w:r>
                                    <w:rPr>
                                      <w:spacing w:val="-10"/>
                                      <w:sz w:val="14"/>
                                    </w:rPr>
                                    <w:t>$</w:t>
                                  </w:r>
                                  <w:r>
                                    <w:rPr>
                                      <w:sz w:val="14"/>
                                    </w:rPr>
                                    <w:tab/>
                                    <w:t>(99,398)</w:t>
                                  </w:r>
                                  <w:r>
                                    <w:rPr>
                                      <w:spacing w:val="22"/>
                                      <w:sz w:val="14"/>
                                    </w:rPr>
                                    <w:t> </w:t>
                                  </w:r>
                                  <w:r>
                                    <w:rPr>
                                      <w:spacing w:val="-10"/>
                                      <w:sz w:val="14"/>
                                    </w:rPr>
                                    <w:t>$</w:t>
                                  </w:r>
                                </w:p>
                              </w:tc>
                              <w:tc>
                                <w:tcPr>
                                  <w:tcW w:w="728" w:type="dxa"/>
                                  <w:tcBorders>
                                    <w:top w:val="single" w:sz="8" w:space="0" w:color="000000"/>
                                    <w:bottom w:val="single" w:sz="8" w:space="0" w:color="000000"/>
                                  </w:tcBorders>
                                </w:tcPr>
                                <w:p>
                                  <w:pPr>
                                    <w:pStyle w:val="TableParagraph"/>
                                    <w:spacing w:line="161" w:lineRule="exact" w:before="24"/>
                                    <w:ind w:right="60"/>
                                    <w:jc w:val="right"/>
                                    <w:rPr>
                                      <w:sz w:val="14"/>
                                    </w:rPr>
                                  </w:pPr>
                                  <w:r>
                                    <w:rPr>
                                      <w:spacing w:val="-2"/>
                                      <w:sz w:val="14"/>
                                    </w:rPr>
                                    <w:t>31,134</w:t>
                                  </w:r>
                                </w:p>
                              </w:tc>
                            </w:tr>
                          </w:tbl>
                          <w:p>
                            <w:pPr>
                              <w:pStyle w:val="BodyText"/>
                            </w:pPr>
                          </w:p>
                        </w:txbxContent>
                      </wps:txbx>
                      <wps:bodyPr wrap="square" lIns="0" tIns="0" rIns="0" bIns="0" rtlCol="0">
                        <a:noAutofit/>
                      </wps:bodyPr>
                    </wps:wsp>
                  </a:graphicData>
                </a:graphic>
              </wp:anchor>
            </w:drawing>
          </mc:Choice>
          <mc:Fallback>
            <w:pict>
              <v:shape style="position:absolute;margin-left:286.02652pt;margin-top:21.710693pt;width:248.75pt;height:45.9pt;mso-position-horizontal-relative:page;mso-position-vertical-relative:paragraph;z-index:15873024" type="#_x0000_t202" id="docshape7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4"/>
                        <w:gridCol w:w="225"/>
                        <w:gridCol w:w="1091"/>
                        <w:gridCol w:w="1468"/>
                        <w:gridCol w:w="728"/>
                      </w:tblGrid>
                      <w:tr>
                        <w:trPr>
                          <w:trHeight w:val="219" w:hRule="atLeast"/>
                        </w:trPr>
                        <w:tc>
                          <w:tcPr>
                            <w:tcW w:w="1569" w:type="dxa"/>
                            <w:gridSpan w:val="2"/>
                          </w:tcPr>
                          <w:p>
                            <w:pPr>
                              <w:pStyle w:val="TableParagraph"/>
                              <w:tabs>
                                <w:tab w:pos="932" w:val="left" w:leader="none"/>
                              </w:tabs>
                              <w:spacing w:before="24"/>
                              <w:ind w:left="188"/>
                              <w:rPr>
                                <w:sz w:val="14"/>
                              </w:rPr>
                            </w:pPr>
                            <w:r>
                              <w:rPr>
                                <w:sz w:val="14"/>
                              </w:rPr>
                              <w:t>)</w:t>
                            </w:r>
                            <w:r>
                              <w:rPr>
                                <w:spacing w:val="27"/>
                                <w:sz w:val="14"/>
                              </w:rPr>
                              <w:t> </w:t>
                            </w:r>
                            <w:r>
                              <w:rPr>
                                <w:spacing w:val="-10"/>
                                <w:sz w:val="14"/>
                              </w:rPr>
                              <w:t>$</w:t>
                            </w:r>
                            <w:r>
                              <w:rPr>
                                <w:sz w:val="14"/>
                              </w:rPr>
                              <w:tab/>
                            </w:r>
                            <w:r>
                              <w:rPr>
                                <w:spacing w:val="-2"/>
                                <w:sz w:val="14"/>
                              </w:rPr>
                              <w:t>6,537</w:t>
                            </w:r>
                          </w:p>
                        </w:tc>
                        <w:tc>
                          <w:tcPr>
                            <w:tcW w:w="1091" w:type="dxa"/>
                            <w:tcBorders>
                              <w:top w:val="single" w:sz="8" w:space="0" w:color="000000"/>
                            </w:tcBorders>
                          </w:tcPr>
                          <w:p>
                            <w:pPr>
                              <w:pStyle w:val="TableParagraph"/>
                              <w:tabs>
                                <w:tab w:pos="552" w:val="left" w:leader="none"/>
                              </w:tabs>
                              <w:spacing w:before="24"/>
                              <w:ind w:right="54"/>
                              <w:jc w:val="right"/>
                              <w:rPr>
                                <w:sz w:val="14"/>
                              </w:rPr>
                            </w:pPr>
                            <w:r>
                              <w:rPr>
                                <w:spacing w:val="-10"/>
                                <w:sz w:val="14"/>
                              </w:rPr>
                              <w:t>$</w:t>
                            </w:r>
                            <w:r>
                              <w:rPr>
                                <w:sz w:val="14"/>
                              </w:rPr>
                              <w:tab/>
                            </w:r>
                            <w:r>
                              <w:rPr>
                                <w:spacing w:val="-2"/>
                                <w:sz w:val="14"/>
                              </w:rPr>
                              <w:t>51,028</w:t>
                            </w:r>
                          </w:p>
                        </w:tc>
                        <w:tc>
                          <w:tcPr>
                            <w:tcW w:w="1468" w:type="dxa"/>
                            <w:tcBorders>
                              <w:top w:val="single" w:sz="8" w:space="0" w:color="000000"/>
                            </w:tcBorders>
                          </w:tcPr>
                          <w:p>
                            <w:pPr>
                              <w:pStyle w:val="TableParagraph"/>
                              <w:tabs>
                                <w:tab w:pos="563" w:val="left" w:leader="none"/>
                              </w:tabs>
                              <w:spacing w:before="24"/>
                              <w:ind w:left="57"/>
                              <w:rPr>
                                <w:sz w:val="14"/>
                              </w:rPr>
                            </w:pPr>
                            <w:r>
                              <w:rPr>
                                <w:spacing w:val="-10"/>
                                <w:sz w:val="14"/>
                              </w:rPr>
                              <w:t>$</w:t>
                            </w:r>
                            <w:r>
                              <w:rPr>
                                <w:sz w:val="14"/>
                              </w:rPr>
                              <w:tab/>
                              <w:t>(31,334)</w:t>
                            </w:r>
                            <w:r>
                              <w:rPr>
                                <w:spacing w:val="22"/>
                                <w:sz w:val="14"/>
                              </w:rPr>
                              <w:t> </w:t>
                            </w:r>
                            <w:r>
                              <w:rPr>
                                <w:spacing w:val="-10"/>
                                <w:sz w:val="14"/>
                              </w:rPr>
                              <w:t>$</w:t>
                            </w:r>
                          </w:p>
                        </w:tc>
                        <w:tc>
                          <w:tcPr>
                            <w:tcW w:w="728" w:type="dxa"/>
                            <w:tcBorders>
                              <w:top w:val="single" w:sz="8" w:space="0" w:color="000000"/>
                            </w:tcBorders>
                          </w:tcPr>
                          <w:p>
                            <w:pPr>
                              <w:pStyle w:val="TableParagraph"/>
                              <w:spacing w:before="24"/>
                              <w:ind w:right="60"/>
                              <w:jc w:val="right"/>
                              <w:rPr>
                                <w:sz w:val="14"/>
                              </w:rPr>
                            </w:pPr>
                            <w:r>
                              <w:rPr>
                                <w:spacing w:val="-2"/>
                                <w:sz w:val="14"/>
                              </w:rPr>
                              <w:t>19,694</w:t>
                            </w:r>
                          </w:p>
                        </w:tc>
                      </w:tr>
                      <w:tr>
                        <w:trPr>
                          <w:trHeight w:val="190" w:hRule="atLeast"/>
                        </w:trPr>
                        <w:tc>
                          <w:tcPr>
                            <w:tcW w:w="1569" w:type="dxa"/>
                            <w:gridSpan w:val="2"/>
                          </w:tcPr>
                          <w:p>
                            <w:pPr>
                              <w:pStyle w:val="TableParagraph"/>
                              <w:tabs>
                                <w:tab w:pos="932" w:val="left" w:leader="none"/>
                              </w:tabs>
                              <w:spacing w:line="141" w:lineRule="exact" w:before="29"/>
                              <w:ind w:left="188"/>
                              <w:rPr>
                                <w:sz w:val="14"/>
                              </w:rPr>
                            </w:pPr>
                            <w:r>
                              <w:rPr>
                                <w:spacing w:val="-10"/>
                                <w:sz w:val="14"/>
                              </w:rPr>
                              <w:t>)</w:t>
                            </w:r>
                            <w:r>
                              <w:rPr>
                                <w:sz w:val="14"/>
                              </w:rPr>
                              <w:tab/>
                            </w:r>
                            <w:r>
                              <w:rPr>
                                <w:spacing w:val="-2"/>
                                <w:sz w:val="14"/>
                              </w:rPr>
                              <w:t>4,953</w:t>
                            </w:r>
                          </w:p>
                        </w:tc>
                        <w:tc>
                          <w:tcPr>
                            <w:tcW w:w="1091" w:type="dxa"/>
                          </w:tcPr>
                          <w:p>
                            <w:pPr>
                              <w:pStyle w:val="TableParagraph"/>
                              <w:spacing w:line="141" w:lineRule="exact" w:before="29"/>
                              <w:ind w:right="54"/>
                              <w:jc w:val="right"/>
                              <w:rPr>
                                <w:sz w:val="14"/>
                              </w:rPr>
                            </w:pPr>
                            <w:r>
                              <w:rPr>
                                <w:spacing w:val="-2"/>
                                <w:sz w:val="14"/>
                              </w:rPr>
                              <w:t>79,504</w:t>
                            </w:r>
                          </w:p>
                        </w:tc>
                        <w:tc>
                          <w:tcPr>
                            <w:tcW w:w="1468" w:type="dxa"/>
                          </w:tcPr>
                          <w:p>
                            <w:pPr>
                              <w:pStyle w:val="TableParagraph"/>
                              <w:spacing w:line="141" w:lineRule="exact" w:before="29"/>
                              <w:ind w:left="563"/>
                              <w:rPr>
                                <w:sz w:val="14"/>
                              </w:rPr>
                            </w:pPr>
                            <w:r>
                              <w:rPr>
                                <w:spacing w:val="-2"/>
                                <w:sz w:val="14"/>
                              </w:rPr>
                              <w:t>(68,064)</w:t>
                            </w:r>
                          </w:p>
                        </w:tc>
                        <w:tc>
                          <w:tcPr>
                            <w:tcW w:w="728" w:type="dxa"/>
                          </w:tcPr>
                          <w:p>
                            <w:pPr>
                              <w:pStyle w:val="TableParagraph"/>
                              <w:spacing w:line="141" w:lineRule="exact" w:before="29"/>
                              <w:ind w:right="60"/>
                              <w:jc w:val="right"/>
                              <w:rPr>
                                <w:sz w:val="14"/>
                              </w:rPr>
                            </w:pPr>
                            <w:r>
                              <w:rPr>
                                <w:spacing w:val="-2"/>
                                <w:sz w:val="14"/>
                              </w:rPr>
                              <w:t>11,440</w:t>
                            </w:r>
                          </w:p>
                        </w:tc>
                      </w:tr>
                      <w:tr>
                        <w:trPr>
                          <w:trHeight w:val="244" w:hRule="atLeast"/>
                        </w:trPr>
                        <w:tc>
                          <w:tcPr>
                            <w:tcW w:w="1344" w:type="dxa"/>
                          </w:tcPr>
                          <w:p>
                            <w:pPr>
                              <w:pStyle w:val="TableParagraph"/>
                              <w:tabs>
                                <w:tab w:pos="1204" w:val="left" w:leader="none"/>
                              </w:tabs>
                              <w:spacing w:line="161" w:lineRule="exact" w:before="64"/>
                              <w:ind w:left="63"/>
                              <w:rPr>
                                <w:sz w:val="14"/>
                              </w:rPr>
                            </w:pPr>
                            <w:r>
                              <w:rPr>
                                <w:spacing w:val="-5"/>
                                <w:sz w:val="14"/>
                              </w:rPr>
                              <w:t>(1)</w:t>
                            </w:r>
                            <w:r>
                              <w:rPr>
                                <w:sz w:val="14"/>
                              </w:rPr>
                              <w:tab/>
                            </w:r>
                            <w:r>
                              <w:rPr>
                                <w:spacing w:val="-10"/>
                                <w:sz w:val="14"/>
                              </w:rPr>
                              <w:t>2</w:t>
                            </w:r>
                          </w:p>
                        </w:tc>
                        <w:tc>
                          <w:tcPr>
                            <w:tcW w:w="225" w:type="dxa"/>
                          </w:tcPr>
                          <w:p>
                            <w:pPr>
                              <w:pStyle w:val="TableParagraph"/>
                              <w:rPr>
                                <w:rFonts w:ascii="Times New Roman"/>
                                <w:sz w:val="14"/>
                              </w:rPr>
                            </w:pPr>
                          </w:p>
                        </w:tc>
                        <w:tc>
                          <w:tcPr>
                            <w:tcW w:w="1091" w:type="dxa"/>
                            <w:tcBorders>
                              <w:bottom w:val="single" w:sz="8" w:space="0" w:color="000000"/>
                            </w:tcBorders>
                          </w:tcPr>
                          <w:p>
                            <w:pPr>
                              <w:pStyle w:val="TableParagraph"/>
                              <w:spacing w:line="161" w:lineRule="exact" w:before="64"/>
                              <w:ind w:right="55"/>
                              <w:jc w:val="right"/>
                              <w:rPr>
                                <w:sz w:val="14"/>
                              </w:rPr>
                            </w:pPr>
                            <w:r>
                              <w:rPr>
                                <w:sz w:val="14"/>
                              </w:rPr>
                              <w:t>—</w:t>
                            </w:r>
                          </w:p>
                        </w:tc>
                        <w:tc>
                          <w:tcPr>
                            <w:tcW w:w="1468" w:type="dxa"/>
                            <w:tcBorders>
                              <w:bottom w:val="single" w:sz="8" w:space="0" w:color="000000"/>
                            </w:tcBorders>
                          </w:tcPr>
                          <w:p>
                            <w:pPr>
                              <w:pStyle w:val="TableParagraph"/>
                              <w:spacing w:line="161" w:lineRule="exact" w:before="64"/>
                              <w:ind w:left="897"/>
                              <w:rPr>
                                <w:sz w:val="14"/>
                              </w:rPr>
                            </w:pPr>
                            <w:r>
                              <w:rPr>
                                <w:sz w:val="14"/>
                              </w:rPr>
                              <w:t>—</w:t>
                            </w:r>
                          </w:p>
                        </w:tc>
                        <w:tc>
                          <w:tcPr>
                            <w:tcW w:w="728" w:type="dxa"/>
                            <w:tcBorders>
                              <w:bottom w:val="single" w:sz="8" w:space="0" w:color="000000"/>
                            </w:tcBorders>
                          </w:tcPr>
                          <w:p>
                            <w:pPr>
                              <w:pStyle w:val="TableParagraph"/>
                              <w:spacing w:line="161" w:lineRule="exact" w:before="64"/>
                              <w:ind w:right="61"/>
                              <w:jc w:val="right"/>
                              <w:rPr>
                                <w:sz w:val="14"/>
                              </w:rPr>
                            </w:pPr>
                            <w:r>
                              <w:rPr>
                                <w:sz w:val="14"/>
                              </w:rPr>
                              <w:t>—</w:t>
                            </w:r>
                          </w:p>
                        </w:tc>
                      </w:tr>
                      <w:tr>
                        <w:trPr>
                          <w:trHeight w:val="205" w:hRule="atLeast"/>
                        </w:trPr>
                        <w:tc>
                          <w:tcPr>
                            <w:tcW w:w="1344" w:type="dxa"/>
                          </w:tcPr>
                          <w:p>
                            <w:pPr>
                              <w:pStyle w:val="TableParagraph"/>
                              <w:tabs>
                                <w:tab w:pos="854" w:val="left" w:leader="none"/>
                              </w:tabs>
                              <w:spacing w:line="161" w:lineRule="exact" w:before="24"/>
                              <w:ind w:left="32"/>
                              <w:rPr>
                                <w:sz w:val="14"/>
                              </w:rPr>
                            </w:pPr>
                            <w:r>
                              <w:rPr>
                                <w:sz w:val="14"/>
                              </w:rPr>
                              <w:t>49)</w:t>
                            </w:r>
                            <w:r>
                              <w:rPr>
                                <w:spacing w:val="25"/>
                                <w:sz w:val="14"/>
                              </w:rPr>
                              <w:t> </w:t>
                            </w:r>
                            <w:r>
                              <w:rPr>
                                <w:spacing w:val="-10"/>
                                <w:sz w:val="14"/>
                              </w:rPr>
                              <w:t>$</w:t>
                            </w:r>
                            <w:r>
                              <w:rPr>
                                <w:sz w:val="14"/>
                              </w:rPr>
                              <w:tab/>
                            </w:r>
                            <w:r>
                              <w:rPr>
                                <w:spacing w:val="-2"/>
                                <w:sz w:val="14"/>
                              </w:rPr>
                              <w:t>11,492</w:t>
                            </w:r>
                          </w:p>
                        </w:tc>
                        <w:tc>
                          <w:tcPr>
                            <w:tcW w:w="225" w:type="dxa"/>
                          </w:tcPr>
                          <w:p>
                            <w:pPr>
                              <w:pStyle w:val="TableParagraph"/>
                              <w:rPr>
                                <w:rFonts w:ascii="Times New Roman"/>
                                <w:sz w:val="14"/>
                              </w:rPr>
                            </w:pPr>
                          </w:p>
                        </w:tc>
                        <w:tc>
                          <w:tcPr>
                            <w:tcW w:w="1091" w:type="dxa"/>
                            <w:tcBorders>
                              <w:top w:val="single" w:sz="8" w:space="0" w:color="000000"/>
                              <w:bottom w:val="single" w:sz="8" w:space="0" w:color="000000"/>
                            </w:tcBorders>
                          </w:tcPr>
                          <w:p>
                            <w:pPr>
                              <w:pStyle w:val="TableParagraph"/>
                              <w:tabs>
                                <w:tab w:pos="475" w:val="left" w:leader="none"/>
                              </w:tabs>
                              <w:spacing w:line="161" w:lineRule="exact" w:before="24"/>
                              <w:ind w:right="54"/>
                              <w:jc w:val="right"/>
                              <w:rPr>
                                <w:sz w:val="14"/>
                              </w:rPr>
                            </w:pPr>
                            <w:r>
                              <w:rPr>
                                <w:spacing w:val="-10"/>
                                <w:sz w:val="14"/>
                              </w:rPr>
                              <w:t>$</w:t>
                            </w:r>
                            <w:r>
                              <w:rPr>
                                <w:sz w:val="14"/>
                              </w:rPr>
                              <w:tab/>
                            </w:r>
                            <w:r>
                              <w:rPr>
                                <w:spacing w:val="-2"/>
                                <w:sz w:val="14"/>
                              </w:rPr>
                              <w:t>130,532</w:t>
                            </w:r>
                          </w:p>
                        </w:tc>
                        <w:tc>
                          <w:tcPr>
                            <w:tcW w:w="1468" w:type="dxa"/>
                            <w:tcBorders>
                              <w:top w:val="single" w:sz="8" w:space="0" w:color="000000"/>
                              <w:bottom w:val="single" w:sz="8" w:space="0" w:color="000000"/>
                            </w:tcBorders>
                          </w:tcPr>
                          <w:p>
                            <w:pPr>
                              <w:pStyle w:val="TableParagraph"/>
                              <w:tabs>
                                <w:tab w:pos="563" w:val="left" w:leader="none"/>
                              </w:tabs>
                              <w:spacing w:line="161" w:lineRule="exact" w:before="24"/>
                              <w:ind w:left="57"/>
                              <w:rPr>
                                <w:sz w:val="14"/>
                              </w:rPr>
                            </w:pPr>
                            <w:r>
                              <w:rPr>
                                <w:spacing w:val="-10"/>
                                <w:sz w:val="14"/>
                              </w:rPr>
                              <w:t>$</w:t>
                            </w:r>
                            <w:r>
                              <w:rPr>
                                <w:sz w:val="14"/>
                              </w:rPr>
                              <w:tab/>
                              <w:t>(99,398)</w:t>
                            </w:r>
                            <w:r>
                              <w:rPr>
                                <w:spacing w:val="22"/>
                                <w:sz w:val="14"/>
                              </w:rPr>
                              <w:t> </w:t>
                            </w:r>
                            <w:r>
                              <w:rPr>
                                <w:spacing w:val="-10"/>
                                <w:sz w:val="14"/>
                              </w:rPr>
                              <w:t>$</w:t>
                            </w:r>
                          </w:p>
                        </w:tc>
                        <w:tc>
                          <w:tcPr>
                            <w:tcW w:w="728" w:type="dxa"/>
                            <w:tcBorders>
                              <w:top w:val="single" w:sz="8" w:space="0" w:color="000000"/>
                              <w:bottom w:val="single" w:sz="8" w:space="0" w:color="000000"/>
                            </w:tcBorders>
                          </w:tcPr>
                          <w:p>
                            <w:pPr>
                              <w:pStyle w:val="TableParagraph"/>
                              <w:spacing w:line="161" w:lineRule="exact" w:before="24"/>
                              <w:ind w:right="60"/>
                              <w:jc w:val="right"/>
                              <w:rPr>
                                <w:sz w:val="14"/>
                              </w:rPr>
                            </w:pPr>
                            <w:r>
                              <w:rPr>
                                <w:spacing w:val="-2"/>
                                <w:sz w:val="14"/>
                              </w:rPr>
                              <w:t>31,134</w:t>
                            </w:r>
                          </w:p>
                        </w:tc>
                      </w:tr>
                    </w:tbl>
                    <w:p>
                      <w:pPr>
                        <w:pStyle w:val="BodyText"/>
                      </w:pPr>
                    </w:p>
                  </w:txbxContent>
                </v:textbox>
                <w10:wrap type="none"/>
              </v:shape>
            </w:pict>
          </mc:Fallback>
        </mc:AlternateContent>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Recognized</w:t>
      </w:r>
    </w:p>
    <w:p>
      <w:pPr>
        <w:spacing w:line="249" w:lineRule="auto" w:before="76"/>
        <w:ind w:left="385" w:right="-9" w:hanging="296"/>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Offset</w:t>
      </w:r>
    </w:p>
    <w:p>
      <w:pPr>
        <w:spacing w:line="249" w:lineRule="auto" w:before="76"/>
        <w:ind w:left="253" w:right="-9" w:hanging="86"/>
        <w:jc w:val="left"/>
        <w:rPr>
          <w:rFonts w:ascii="Arial"/>
          <w:i/>
          <w:sz w:val="14"/>
        </w:rPr>
      </w:pPr>
      <w:r>
        <w:rPr/>
        <w:br w:type="column"/>
      </w:r>
      <w:r>
        <w:rPr>
          <w:rFonts w:ascii="Arial"/>
          <w:i/>
          <w:sz w:val="14"/>
        </w:rPr>
        <w:t>Net</w:t>
      </w:r>
      <w:r>
        <w:rPr>
          <w:rFonts w:ascii="Arial"/>
          <w:i/>
          <w:spacing w:val="-10"/>
          <w:sz w:val="14"/>
        </w:rPr>
        <w:t> </w:t>
      </w:r>
      <w:r>
        <w:rPr>
          <w:rFonts w:ascii="Arial"/>
          <w:i/>
          <w:sz w:val="14"/>
        </w:rPr>
        <w:t>Amounts</w:t>
      </w:r>
      <w:r>
        <w:rPr>
          <w:rFonts w:ascii="Arial"/>
          <w:i/>
          <w:spacing w:val="40"/>
          <w:sz w:val="14"/>
        </w:rPr>
        <w:t> </w:t>
      </w:r>
      <w:r>
        <w:rPr>
          <w:rFonts w:ascii="Arial"/>
          <w:i/>
          <w:spacing w:val="-2"/>
          <w:sz w:val="14"/>
        </w:rPr>
        <w:t>Presented</w:t>
      </w:r>
    </w:p>
    <w:p>
      <w:pPr>
        <w:spacing w:line="249" w:lineRule="auto" w:before="76"/>
        <w:ind w:left="505" w:right="-9" w:hanging="113"/>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Recognized</w:t>
      </w:r>
    </w:p>
    <w:p>
      <w:pPr>
        <w:spacing w:line="249" w:lineRule="auto" w:before="76"/>
        <w:ind w:left="385" w:right="-9" w:hanging="296"/>
        <w:jc w:val="left"/>
        <w:rPr>
          <w:rFonts w:ascii="Arial"/>
          <w:i/>
          <w:sz w:val="14"/>
        </w:rPr>
      </w:pPr>
      <w:r>
        <w:rPr/>
        <w:br w:type="column"/>
      </w:r>
      <w:r>
        <w:rPr>
          <w:rFonts w:ascii="Arial"/>
          <w:i/>
          <w:sz w:val="14"/>
        </w:rPr>
        <w:t>Gross</w:t>
      </w:r>
      <w:r>
        <w:rPr>
          <w:rFonts w:ascii="Arial"/>
          <w:i/>
          <w:spacing w:val="-10"/>
          <w:sz w:val="14"/>
        </w:rPr>
        <w:t> </w:t>
      </w:r>
      <w:r>
        <w:rPr>
          <w:rFonts w:ascii="Arial"/>
          <w:i/>
          <w:sz w:val="14"/>
        </w:rPr>
        <w:t>Amounts</w:t>
      </w:r>
      <w:r>
        <w:rPr>
          <w:rFonts w:ascii="Arial"/>
          <w:i/>
          <w:spacing w:val="40"/>
          <w:sz w:val="14"/>
        </w:rPr>
        <w:t> </w:t>
      </w:r>
      <w:r>
        <w:rPr>
          <w:rFonts w:ascii="Arial"/>
          <w:i/>
          <w:spacing w:val="-2"/>
          <w:sz w:val="14"/>
        </w:rPr>
        <w:t>Offset</w:t>
      </w:r>
    </w:p>
    <w:p>
      <w:pPr>
        <w:spacing w:line="249" w:lineRule="auto" w:before="76"/>
        <w:ind w:left="253" w:right="1019" w:hanging="86"/>
        <w:jc w:val="left"/>
        <w:rPr>
          <w:rFonts w:ascii="Arial"/>
          <w:i/>
          <w:sz w:val="14"/>
        </w:rPr>
      </w:pPr>
      <w:r>
        <w:rPr/>
        <w:br w:type="column"/>
      </w:r>
      <w:r>
        <w:rPr>
          <w:rFonts w:ascii="Arial"/>
          <w:i/>
          <w:sz w:val="14"/>
        </w:rPr>
        <w:t>Net</w:t>
      </w:r>
      <w:r>
        <w:rPr>
          <w:rFonts w:ascii="Arial"/>
          <w:i/>
          <w:spacing w:val="-10"/>
          <w:sz w:val="14"/>
        </w:rPr>
        <w:t> </w:t>
      </w:r>
      <w:r>
        <w:rPr>
          <w:rFonts w:ascii="Arial"/>
          <w:i/>
          <w:sz w:val="14"/>
        </w:rPr>
        <w:t>Amounts</w:t>
      </w:r>
      <w:r>
        <w:rPr>
          <w:rFonts w:ascii="Arial"/>
          <w:i/>
          <w:spacing w:val="40"/>
          <w:sz w:val="14"/>
        </w:rPr>
        <w:t> </w:t>
      </w:r>
      <w:r>
        <w:rPr>
          <w:rFonts w:ascii="Arial"/>
          <w:i/>
          <w:spacing w:val="-2"/>
          <w:sz w:val="14"/>
        </w:rPr>
        <w:t>Presented</w:t>
      </w:r>
    </w:p>
    <w:p>
      <w:pPr>
        <w:spacing w:after="0" w:line="249" w:lineRule="auto"/>
        <w:jc w:val="left"/>
        <w:rPr>
          <w:rFonts w:ascii="Arial"/>
          <w:i/>
          <w:sz w:val="14"/>
        </w:rPr>
        <w:sectPr>
          <w:type w:val="continuous"/>
          <w:pgSz w:w="12240" w:h="15840"/>
          <w:pgMar w:header="1037" w:footer="528" w:top="1820" w:bottom="280" w:left="720" w:right="720"/>
          <w:cols w:num="6" w:equalWidth="0">
            <w:col w:w="4151" w:space="40"/>
            <w:col w:w="1055" w:space="39"/>
            <w:col w:w="978" w:space="40"/>
            <w:col w:w="1358" w:space="39"/>
            <w:col w:w="1055" w:space="39"/>
            <w:col w:w="2006"/>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4"/>
        <w:gridCol w:w="1646"/>
        <w:gridCol w:w="1030"/>
      </w:tblGrid>
      <w:tr>
        <w:trPr>
          <w:trHeight w:val="220" w:hRule="atLeast"/>
        </w:trPr>
        <w:tc>
          <w:tcPr>
            <w:tcW w:w="1844" w:type="dxa"/>
          </w:tcPr>
          <w:p>
            <w:pPr>
              <w:pStyle w:val="TableParagraph"/>
              <w:spacing w:before="34"/>
              <w:ind w:left="52"/>
              <w:rPr>
                <w:sz w:val="14"/>
              </w:rPr>
            </w:pPr>
            <w:r>
              <w:rPr>
                <w:sz w:val="14"/>
              </w:rPr>
              <w:t>Interest</w:t>
            </w:r>
            <w:r>
              <w:rPr>
                <w:spacing w:val="-2"/>
                <w:sz w:val="14"/>
              </w:rPr>
              <w:t> </w:t>
            </w:r>
            <w:r>
              <w:rPr>
                <w:sz w:val="14"/>
              </w:rPr>
              <w:t>rate</w:t>
            </w:r>
            <w:r>
              <w:rPr>
                <w:spacing w:val="-2"/>
                <w:sz w:val="14"/>
              </w:rPr>
              <w:t> swaps</w:t>
            </w:r>
          </w:p>
        </w:tc>
        <w:tc>
          <w:tcPr>
            <w:tcW w:w="1646" w:type="dxa"/>
          </w:tcPr>
          <w:p>
            <w:pPr>
              <w:pStyle w:val="TableParagraph"/>
              <w:tabs>
                <w:tab w:pos="552" w:val="left" w:leader="none"/>
              </w:tabs>
              <w:spacing w:before="34"/>
              <w:ind w:right="54"/>
              <w:jc w:val="right"/>
              <w:rPr>
                <w:sz w:val="14"/>
              </w:rPr>
            </w:pPr>
            <w:r>
              <w:rPr>
                <w:spacing w:val="-10"/>
                <w:sz w:val="14"/>
              </w:rPr>
              <w:t>$</w:t>
            </w:r>
            <w:r>
              <w:rPr>
                <w:sz w:val="14"/>
              </w:rPr>
              <w:tab/>
            </w:r>
            <w:r>
              <w:rPr>
                <w:spacing w:val="-2"/>
                <w:sz w:val="14"/>
              </w:rPr>
              <w:t>22,624</w:t>
            </w:r>
          </w:p>
        </w:tc>
        <w:tc>
          <w:tcPr>
            <w:tcW w:w="1030" w:type="dxa"/>
          </w:tcPr>
          <w:p>
            <w:pPr>
              <w:pStyle w:val="TableParagraph"/>
              <w:tabs>
                <w:tab w:pos="506" w:val="left" w:leader="none"/>
              </w:tabs>
              <w:spacing w:before="34"/>
              <w:ind w:right="-15"/>
              <w:jc w:val="right"/>
              <w:rPr>
                <w:sz w:val="14"/>
              </w:rPr>
            </w:pPr>
            <w:r>
              <w:rPr>
                <w:spacing w:val="-10"/>
                <w:sz w:val="14"/>
              </w:rPr>
              <w:t>$</w:t>
            </w:r>
            <w:r>
              <w:rPr>
                <w:sz w:val="14"/>
              </w:rPr>
              <w:tab/>
            </w:r>
            <w:r>
              <w:rPr>
                <w:spacing w:val="-2"/>
                <w:sz w:val="14"/>
              </w:rPr>
              <w:t>(16,087</w:t>
            </w:r>
          </w:p>
        </w:tc>
      </w:tr>
      <w:tr>
        <w:trPr>
          <w:trHeight w:val="200" w:hRule="atLeast"/>
        </w:trPr>
        <w:tc>
          <w:tcPr>
            <w:tcW w:w="1844" w:type="dxa"/>
          </w:tcPr>
          <w:p>
            <w:pPr>
              <w:pStyle w:val="TableParagraph"/>
              <w:spacing w:line="141" w:lineRule="exact" w:before="39"/>
              <w:ind w:left="52"/>
              <w:rPr>
                <w:sz w:val="14"/>
              </w:rPr>
            </w:pPr>
            <w:r>
              <w:rPr>
                <w:sz w:val="14"/>
              </w:rPr>
              <w:t>Currency</w:t>
            </w:r>
            <w:r>
              <w:rPr>
                <w:spacing w:val="-4"/>
                <w:sz w:val="14"/>
              </w:rPr>
              <w:t> </w:t>
            </w:r>
            <w:r>
              <w:rPr>
                <w:sz w:val="14"/>
              </w:rPr>
              <w:t>swaps</w:t>
            </w:r>
            <w:r>
              <w:rPr>
                <w:spacing w:val="-4"/>
                <w:sz w:val="14"/>
              </w:rPr>
              <w:t> </w:t>
            </w:r>
            <w:r>
              <w:rPr>
                <w:spacing w:val="-10"/>
                <w:sz w:val="14"/>
                <w:vertAlign w:val="superscript"/>
              </w:rPr>
              <w:t>a</w:t>
            </w:r>
          </w:p>
        </w:tc>
        <w:tc>
          <w:tcPr>
            <w:tcW w:w="1646" w:type="dxa"/>
          </w:tcPr>
          <w:p>
            <w:pPr>
              <w:pStyle w:val="TableParagraph"/>
              <w:spacing w:line="141" w:lineRule="exact" w:before="39"/>
              <w:ind w:right="54"/>
              <w:jc w:val="right"/>
              <w:rPr>
                <w:sz w:val="14"/>
              </w:rPr>
            </w:pPr>
            <w:r>
              <w:rPr>
                <w:spacing w:val="-2"/>
                <w:sz w:val="14"/>
              </w:rPr>
              <w:t>46,314</w:t>
            </w:r>
          </w:p>
        </w:tc>
        <w:tc>
          <w:tcPr>
            <w:tcW w:w="1030" w:type="dxa"/>
          </w:tcPr>
          <w:p>
            <w:pPr>
              <w:pStyle w:val="TableParagraph"/>
              <w:spacing w:line="141" w:lineRule="exact" w:before="39"/>
              <w:ind w:right="-15"/>
              <w:jc w:val="right"/>
              <w:rPr>
                <w:sz w:val="14"/>
              </w:rPr>
            </w:pPr>
            <w:r>
              <w:rPr>
                <w:spacing w:val="-2"/>
                <w:sz w:val="14"/>
              </w:rPr>
              <w:t>(41,361</w:t>
            </w:r>
          </w:p>
        </w:tc>
      </w:tr>
    </w:tbl>
    <w:p>
      <w:pPr>
        <w:pStyle w:val="BodyText"/>
        <w:spacing w:before="24"/>
        <w:rPr>
          <w:rFonts w:ascii="Arial"/>
          <w:i/>
        </w:rPr>
      </w:pPr>
      <w:r>
        <w:rPr>
          <w:rFonts w:ascii="Arial"/>
          <w:i/>
        </w:rPr>
        <mc:AlternateContent>
          <mc:Choice Requires="wps">
            <w:drawing>
              <wp:anchor distT="0" distB="0" distL="0" distR="0" allowOverlap="1" layoutInCell="1" locked="0" behindDoc="1" simplePos="0" relativeHeight="487728128">
                <wp:simplePos x="0" y="0"/>
                <wp:positionH relativeFrom="page">
                  <wp:posOffset>2438400</wp:posOffset>
                </wp:positionH>
                <wp:positionV relativeFrom="paragraph">
                  <wp:posOffset>176760</wp:posOffset>
                </wp:positionV>
                <wp:extent cx="2085975" cy="1270"/>
                <wp:effectExtent l="0" t="0" r="0" b="0"/>
                <wp:wrapTopAndBottom/>
                <wp:docPr id="884" name="Graphic 884"/>
                <wp:cNvGraphicFramePr>
                  <a:graphicFrameLocks/>
                </wp:cNvGraphicFramePr>
                <a:graphic>
                  <a:graphicData uri="http://schemas.microsoft.com/office/word/2010/wordprocessingShape">
                    <wps:wsp>
                      <wps:cNvPr id="884" name="Graphic 884"/>
                      <wps:cNvSpPr/>
                      <wps:spPr>
                        <a:xfrm>
                          <a:off x="0" y="0"/>
                          <a:ext cx="2085975" cy="1270"/>
                        </a:xfrm>
                        <a:custGeom>
                          <a:avLst/>
                          <a:gdLst/>
                          <a:ahLst/>
                          <a:cxnLst/>
                          <a:rect l="l" t="t" r="r" b="b"/>
                          <a:pathLst>
                            <a:path w="2085975" h="0">
                              <a:moveTo>
                                <a:pt x="0" y="0"/>
                              </a:moveTo>
                              <a:lnTo>
                                <a:pt x="20859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pt;margin-top:13.918115pt;width:164.25pt;height:.1pt;mso-position-horizontal-relative:page;mso-position-vertical-relative:paragraph;z-index:-15588352;mso-wrap-distance-left:0;mso-wrap-distance-right:0" id="docshape728" coordorigin="3840,278" coordsize="3285,0" path="m3840,278l7125,278e" filled="false" stroked="true" strokeweight="1pt" strokecolor="#000000">
                <v:path arrowok="t"/>
                <v:stroke dashstyle="solid"/>
                <w10:wrap type="topAndBottom"/>
              </v:shape>
            </w:pict>
          </mc:Fallback>
        </mc:AlternateContent>
      </w:r>
    </w:p>
    <w:p>
      <w:pPr>
        <w:spacing w:before="24" w:after="30"/>
        <w:ind w:left="0" w:right="930" w:firstLine="0"/>
        <w:jc w:val="center"/>
        <w:rPr>
          <w:rFonts w:ascii="Arial MT"/>
          <w:sz w:val="14"/>
        </w:rPr>
      </w:pPr>
      <w:r>
        <w:rPr>
          <w:rFonts w:ascii="Arial MT"/>
          <w:spacing w:val="-2"/>
          <w:sz w:val="14"/>
        </w:rPr>
        <w:t>(57,4</w:t>
      </w:r>
    </w:p>
    <w:p>
      <w:pPr>
        <w:spacing w:line="20" w:lineRule="exact"/>
        <w:ind w:left="3120" w:right="0" w:firstLine="0"/>
        <w:rPr>
          <w:rFonts w:ascii="Arial MT"/>
          <w:sz w:val="2"/>
        </w:rPr>
      </w:pPr>
      <w:r>
        <w:rPr>
          <w:rFonts w:ascii="Arial MT"/>
          <w:sz w:val="2"/>
        </w:rPr>
        <mc:AlternateContent>
          <mc:Choice Requires="wps">
            <w:drawing>
              <wp:inline distT="0" distB="0" distL="0" distR="0">
                <wp:extent cx="2085975" cy="12700"/>
                <wp:effectExtent l="9525" t="0" r="0" b="6350"/>
                <wp:docPr id="885" name="Group 885"/>
                <wp:cNvGraphicFramePr>
                  <a:graphicFrameLocks/>
                </wp:cNvGraphicFramePr>
                <a:graphic>
                  <a:graphicData uri="http://schemas.microsoft.com/office/word/2010/wordprocessingGroup">
                    <wpg:wgp>
                      <wpg:cNvPr id="885" name="Group 885"/>
                      <wpg:cNvGrpSpPr/>
                      <wpg:grpSpPr>
                        <a:xfrm>
                          <a:off x="0" y="0"/>
                          <a:ext cx="2085975" cy="12700"/>
                          <a:chExt cx="2085975" cy="12700"/>
                        </a:xfrm>
                      </wpg:grpSpPr>
                      <wps:wsp>
                        <wps:cNvPr id="886" name="Graphic 886"/>
                        <wps:cNvSpPr/>
                        <wps:spPr>
                          <a:xfrm>
                            <a:off x="0" y="6350"/>
                            <a:ext cx="2085975" cy="1270"/>
                          </a:xfrm>
                          <a:custGeom>
                            <a:avLst/>
                            <a:gdLst/>
                            <a:ahLst/>
                            <a:cxnLst/>
                            <a:rect l="l" t="t" r="r" b="b"/>
                            <a:pathLst>
                              <a:path w="2085975" h="0">
                                <a:moveTo>
                                  <a:pt x="0" y="0"/>
                                </a:moveTo>
                                <a:lnTo>
                                  <a:pt x="20859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25pt;height:1pt;mso-position-horizontal-relative:char;mso-position-vertical-relative:line" id="docshapegroup729" coordorigin="0,0" coordsize="3285,20">
                <v:line style="position:absolute" from="0,10" to="3285,10" stroked="true" strokeweight="1pt" strokecolor="#000000">
                  <v:stroke dashstyle="solid"/>
                </v:line>
              </v:group>
            </w:pict>
          </mc:Fallback>
        </mc:AlternateContent>
      </w:r>
      <w:r>
        <w:rPr>
          <w:rFonts w:ascii="Arial MT"/>
          <w:sz w:val="2"/>
        </w:rPr>
      </w:r>
    </w:p>
    <w:p>
      <w:pPr>
        <w:pStyle w:val="BodyText"/>
        <w:spacing w:before="175" w:after="1"/>
        <w:rPr>
          <w:rFonts w:ascii="Arial MT"/>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0"/>
        <w:gridCol w:w="1095"/>
        <w:gridCol w:w="2415"/>
        <w:gridCol w:w="1095"/>
        <w:gridCol w:w="182"/>
      </w:tblGrid>
      <w:tr>
        <w:trPr>
          <w:trHeight w:val="152" w:hRule="atLeast"/>
        </w:trPr>
        <w:tc>
          <w:tcPr>
            <w:tcW w:w="4590" w:type="dxa"/>
          </w:tcPr>
          <w:p>
            <w:pPr>
              <w:pStyle w:val="TableParagraph"/>
              <w:spacing w:line="133" w:lineRule="exact"/>
              <w:ind w:left="232"/>
              <w:rPr>
                <w:sz w:val="14"/>
              </w:rPr>
            </w:pPr>
            <w:r>
              <w:rPr>
                <w:sz w:val="14"/>
              </w:rPr>
              <w:t>enforceable</w:t>
            </w:r>
            <w:r>
              <w:rPr>
                <w:spacing w:val="-5"/>
                <w:sz w:val="14"/>
              </w:rPr>
              <w:t> </w:t>
            </w:r>
            <w:r>
              <w:rPr>
                <w:sz w:val="14"/>
              </w:rPr>
              <w:t>master</w:t>
            </w:r>
            <w:r>
              <w:rPr>
                <w:spacing w:val="-4"/>
                <w:sz w:val="14"/>
              </w:rPr>
              <w:t> </w:t>
            </w:r>
            <w:r>
              <w:rPr>
                <w:spacing w:val="-2"/>
                <w:sz w:val="14"/>
              </w:rPr>
              <w:t>netting</w:t>
            </w:r>
          </w:p>
        </w:tc>
        <w:tc>
          <w:tcPr>
            <w:tcW w:w="4787" w:type="dxa"/>
            <w:gridSpan w:val="4"/>
          </w:tcPr>
          <w:p>
            <w:pPr>
              <w:pStyle w:val="TableParagraph"/>
              <w:rPr>
                <w:rFonts w:ascii="Times New Roman"/>
                <w:sz w:val="8"/>
              </w:rPr>
            </w:pPr>
          </w:p>
        </w:tc>
      </w:tr>
      <w:tr>
        <w:trPr>
          <w:trHeight w:val="171" w:hRule="atLeast"/>
        </w:trPr>
        <w:tc>
          <w:tcPr>
            <w:tcW w:w="4590" w:type="dxa"/>
          </w:tcPr>
          <w:p>
            <w:pPr>
              <w:pStyle w:val="TableParagraph"/>
              <w:spacing w:line="141" w:lineRule="exact" w:before="10"/>
              <w:ind w:left="232"/>
              <w:rPr>
                <w:sz w:val="14"/>
              </w:rPr>
            </w:pPr>
            <w:r>
              <w:rPr>
                <w:spacing w:val="-2"/>
                <w:sz w:val="14"/>
              </w:rPr>
              <w:t>agreements</w:t>
            </w:r>
          </w:p>
        </w:tc>
        <w:tc>
          <w:tcPr>
            <w:tcW w:w="1095" w:type="dxa"/>
          </w:tcPr>
          <w:p>
            <w:pPr>
              <w:pStyle w:val="TableParagraph"/>
              <w:tabs>
                <w:tab w:pos="552" w:val="left" w:leader="none"/>
              </w:tabs>
              <w:spacing w:line="141" w:lineRule="exact" w:before="10"/>
              <w:ind w:right="59"/>
              <w:jc w:val="right"/>
              <w:rPr>
                <w:sz w:val="14"/>
              </w:rPr>
            </w:pPr>
            <w:r>
              <w:rPr>
                <w:spacing w:val="-10"/>
                <w:sz w:val="14"/>
              </w:rPr>
              <w:t>$</w:t>
            </w:r>
            <w:r>
              <w:rPr>
                <w:sz w:val="14"/>
              </w:rPr>
              <w:tab/>
            </w:r>
            <w:r>
              <w:rPr>
                <w:spacing w:val="-2"/>
                <w:sz w:val="14"/>
              </w:rPr>
              <w:t>10,524</w:t>
            </w:r>
          </w:p>
        </w:tc>
        <w:tc>
          <w:tcPr>
            <w:tcW w:w="2415" w:type="dxa"/>
          </w:tcPr>
          <w:p>
            <w:pPr>
              <w:pStyle w:val="TableParagraph"/>
              <w:spacing w:line="98" w:lineRule="exact"/>
              <w:ind w:left="67"/>
              <w:rPr>
                <w:sz w:val="9"/>
              </w:rPr>
            </w:pPr>
            <w:r>
              <w:rPr>
                <w:spacing w:val="-10"/>
                <w:sz w:val="9"/>
              </w:rPr>
              <w:t>c</w:t>
            </w:r>
          </w:p>
        </w:tc>
        <w:tc>
          <w:tcPr>
            <w:tcW w:w="1095" w:type="dxa"/>
          </w:tcPr>
          <w:p>
            <w:pPr>
              <w:pStyle w:val="TableParagraph"/>
              <w:tabs>
                <w:tab w:pos="552" w:val="left" w:leader="none"/>
              </w:tabs>
              <w:spacing w:line="141" w:lineRule="exact" w:before="10"/>
              <w:ind w:right="6"/>
              <w:jc w:val="center"/>
              <w:rPr>
                <w:sz w:val="14"/>
              </w:rPr>
            </w:pPr>
            <w:r>
              <w:rPr>
                <w:spacing w:val="-10"/>
                <w:sz w:val="14"/>
              </w:rPr>
              <w:t>$</w:t>
            </w:r>
            <w:r>
              <w:rPr>
                <w:sz w:val="14"/>
              </w:rPr>
              <w:tab/>
            </w:r>
            <w:r>
              <w:rPr>
                <w:spacing w:val="-2"/>
                <w:sz w:val="14"/>
              </w:rPr>
              <w:t>11,093</w:t>
            </w:r>
          </w:p>
        </w:tc>
        <w:tc>
          <w:tcPr>
            <w:tcW w:w="182" w:type="dxa"/>
          </w:tcPr>
          <w:p>
            <w:pPr>
              <w:pStyle w:val="TableParagraph"/>
              <w:spacing w:line="98" w:lineRule="exact"/>
              <w:ind w:right="5"/>
              <w:jc w:val="center"/>
              <w:rPr>
                <w:sz w:val="9"/>
              </w:rPr>
            </w:pPr>
            <w:r>
              <w:rPr>
                <w:spacing w:val="-10"/>
                <w:sz w:val="9"/>
              </w:rPr>
              <w:t>d</w:t>
            </w:r>
          </w:p>
        </w:tc>
      </w:tr>
      <w:tr>
        <w:trPr>
          <w:trHeight w:val="244" w:hRule="atLeast"/>
        </w:trPr>
        <w:tc>
          <w:tcPr>
            <w:tcW w:w="4590" w:type="dxa"/>
          </w:tcPr>
          <w:p>
            <w:pPr>
              <w:pStyle w:val="TableParagraph"/>
              <w:spacing w:line="161" w:lineRule="exact" w:before="64"/>
              <w:ind w:left="52"/>
              <w:rPr>
                <w:sz w:val="14"/>
              </w:rPr>
            </w:pPr>
            <w:r>
              <w:rPr>
                <w:sz w:val="14"/>
              </w:rPr>
              <w:t>Cash</w:t>
            </w:r>
            <w:r>
              <w:rPr>
                <w:spacing w:val="-4"/>
                <w:sz w:val="14"/>
              </w:rPr>
              <w:t> </w:t>
            </w:r>
            <w:r>
              <w:rPr>
                <w:sz w:val="14"/>
              </w:rPr>
              <w:t>collateral</w:t>
            </w:r>
            <w:r>
              <w:rPr>
                <w:spacing w:val="-4"/>
                <w:sz w:val="14"/>
              </w:rPr>
              <w:t> </w:t>
            </w:r>
            <w:r>
              <w:rPr>
                <w:spacing w:val="-2"/>
                <w:sz w:val="14"/>
              </w:rPr>
              <w:t>received</w:t>
            </w:r>
          </w:p>
        </w:tc>
        <w:tc>
          <w:tcPr>
            <w:tcW w:w="1095" w:type="dxa"/>
            <w:tcBorders>
              <w:bottom w:val="single" w:sz="8" w:space="0" w:color="000000"/>
            </w:tcBorders>
          </w:tcPr>
          <w:p>
            <w:pPr>
              <w:pStyle w:val="TableParagraph"/>
              <w:spacing w:line="161" w:lineRule="exact" w:before="64"/>
              <w:ind w:right="59"/>
              <w:jc w:val="right"/>
              <w:rPr>
                <w:sz w:val="14"/>
              </w:rPr>
            </w:pPr>
            <w:r>
              <w:rPr>
                <w:spacing w:val="-5"/>
                <w:sz w:val="14"/>
              </w:rPr>
              <w:t>164</w:t>
            </w:r>
          </w:p>
        </w:tc>
        <w:tc>
          <w:tcPr>
            <w:tcW w:w="2415" w:type="dxa"/>
          </w:tcPr>
          <w:p>
            <w:pPr>
              <w:pStyle w:val="TableParagraph"/>
              <w:rPr>
                <w:rFonts w:ascii="Times New Roman"/>
                <w:sz w:val="14"/>
              </w:rPr>
            </w:pPr>
          </w:p>
        </w:tc>
        <w:tc>
          <w:tcPr>
            <w:tcW w:w="1095" w:type="dxa"/>
            <w:tcBorders>
              <w:bottom w:val="single" w:sz="8" w:space="0" w:color="000000"/>
            </w:tcBorders>
          </w:tcPr>
          <w:p>
            <w:pPr>
              <w:pStyle w:val="TableParagraph"/>
              <w:rPr>
                <w:rFonts w:ascii="Times New Roman"/>
                <w:sz w:val="14"/>
              </w:rPr>
            </w:pPr>
          </w:p>
        </w:tc>
        <w:tc>
          <w:tcPr>
            <w:tcW w:w="182" w:type="dxa"/>
          </w:tcPr>
          <w:p>
            <w:pPr>
              <w:pStyle w:val="TableParagraph"/>
              <w:rPr>
                <w:rFonts w:ascii="Times New Roman"/>
                <w:sz w:val="14"/>
              </w:rPr>
            </w:pPr>
          </w:p>
        </w:tc>
      </w:tr>
      <w:tr>
        <w:trPr>
          <w:trHeight w:val="405" w:hRule="atLeast"/>
        </w:trPr>
        <w:tc>
          <w:tcPr>
            <w:tcW w:w="4590" w:type="dxa"/>
          </w:tcPr>
          <w:p>
            <w:pPr>
              <w:pStyle w:val="TableParagraph"/>
              <w:spacing w:line="249" w:lineRule="auto" w:before="36"/>
              <w:ind w:left="232" w:right="2098" w:hanging="180"/>
              <w:rPr>
                <w:rFonts w:ascii="Arial"/>
                <w:b/>
                <w:sz w:val="14"/>
              </w:rPr>
            </w:pPr>
            <w:r>
              <w:rPr>
                <w:rFonts w:ascii="Arial"/>
                <w:b/>
                <w:sz w:val="14"/>
              </w:rPr>
              <w:t>Net</w:t>
            </w:r>
            <w:r>
              <w:rPr>
                <w:rFonts w:ascii="Arial"/>
                <w:b/>
                <w:spacing w:val="-10"/>
                <w:sz w:val="14"/>
              </w:rPr>
              <w:t> </w:t>
            </w:r>
            <w:r>
              <w:rPr>
                <w:rFonts w:ascii="Arial"/>
                <w:b/>
                <w:sz w:val="14"/>
              </w:rPr>
              <w:t>derivative</w:t>
            </w:r>
            <w:r>
              <w:rPr>
                <w:rFonts w:ascii="Arial"/>
                <w:b/>
                <w:spacing w:val="-9"/>
                <w:sz w:val="14"/>
              </w:rPr>
              <w:t> </w:t>
            </w:r>
            <w:r>
              <w:rPr>
                <w:rFonts w:ascii="Arial"/>
                <w:b/>
                <w:sz w:val="14"/>
              </w:rPr>
              <w:t>position</w:t>
            </w:r>
            <w:r>
              <w:rPr>
                <w:rFonts w:ascii="Arial"/>
                <w:b/>
                <w:spacing w:val="-10"/>
                <w:sz w:val="14"/>
              </w:rPr>
              <w:t> </w:t>
            </w:r>
            <w:r>
              <w:rPr>
                <w:rFonts w:ascii="Arial"/>
                <w:b/>
                <w:sz w:val="14"/>
              </w:rPr>
              <w:t>on</w:t>
            </w:r>
            <w:r>
              <w:rPr>
                <w:rFonts w:ascii="Arial"/>
                <w:b/>
                <w:spacing w:val="-9"/>
                <w:sz w:val="14"/>
              </w:rPr>
              <w:t> </w:t>
            </w:r>
            <w:r>
              <w:rPr>
                <w:rFonts w:ascii="Arial"/>
                <w:b/>
                <w:sz w:val="14"/>
              </w:rPr>
              <w:t>the</w:t>
            </w:r>
            <w:r>
              <w:rPr>
                <w:rFonts w:ascii="Arial"/>
                <w:b/>
                <w:spacing w:val="40"/>
                <w:sz w:val="14"/>
              </w:rPr>
              <w:t> </w:t>
            </w:r>
            <w:r>
              <w:rPr>
                <w:rFonts w:ascii="Arial"/>
                <w:b/>
                <w:sz w:val="14"/>
              </w:rPr>
              <w:t>Balance</w:t>
            </w:r>
            <w:r>
              <w:rPr>
                <w:rFonts w:ascii="Arial"/>
                <w:b/>
                <w:spacing w:val="-2"/>
                <w:sz w:val="14"/>
              </w:rPr>
              <w:t> </w:t>
            </w:r>
            <w:r>
              <w:rPr>
                <w:rFonts w:ascii="Arial"/>
                <w:b/>
                <w:sz w:val="14"/>
              </w:rPr>
              <w:t>Sheet</w:t>
            </w:r>
          </w:p>
        </w:tc>
        <w:tc>
          <w:tcPr>
            <w:tcW w:w="1095" w:type="dxa"/>
            <w:tcBorders>
              <w:top w:val="single" w:sz="8" w:space="0" w:color="000000"/>
              <w:bottom w:val="single" w:sz="8" w:space="0" w:color="000000"/>
            </w:tcBorders>
          </w:tcPr>
          <w:p>
            <w:pPr>
              <w:pStyle w:val="TableParagraph"/>
              <w:spacing w:before="43"/>
              <w:rPr>
                <w:sz w:val="14"/>
              </w:rPr>
            </w:pPr>
          </w:p>
          <w:p>
            <w:pPr>
              <w:pStyle w:val="TableParagraph"/>
              <w:tabs>
                <w:tab w:pos="799" w:val="left" w:leader="none"/>
              </w:tabs>
              <w:ind w:right="59"/>
              <w:jc w:val="right"/>
              <w:rPr>
                <w:sz w:val="14"/>
              </w:rPr>
            </w:pPr>
            <w:r>
              <w:rPr>
                <w:rFonts w:ascii="Times New Roman"/>
                <w:sz w:val="14"/>
                <w:u w:val="single"/>
              </w:rPr>
              <w:tab/>
            </w:r>
            <w:r>
              <w:rPr>
                <w:spacing w:val="-5"/>
                <w:sz w:val="14"/>
                <w:u w:val="single"/>
              </w:rPr>
              <w:t>804</w:t>
            </w:r>
          </w:p>
        </w:tc>
        <w:tc>
          <w:tcPr>
            <w:tcW w:w="2415" w:type="dxa"/>
          </w:tcPr>
          <w:p>
            <w:pPr>
              <w:pStyle w:val="TableParagraph"/>
              <w:rPr>
                <w:rFonts w:ascii="Times New Roman"/>
                <w:sz w:val="14"/>
              </w:rPr>
            </w:pPr>
          </w:p>
        </w:tc>
        <w:tc>
          <w:tcPr>
            <w:tcW w:w="1095" w:type="dxa"/>
            <w:tcBorders>
              <w:top w:val="single" w:sz="8" w:space="0" w:color="000000"/>
              <w:bottom w:val="single" w:sz="8" w:space="0" w:color="000000"/>
            </w:tcBorders>
          </w:tcPr>
          <w:p>
            <w:pPr>
              <w:pStyle w:val="TableParagraph"/>
              <w:spacing w:before="43"/>
              <w:rPr>
                <w:sz w:val="14"/>
              </w:rPr>
            </w:pPr>
          </w:p>
          <w:p>
            <w:pPr>
              <w:pStyle w:val="TableParagraph"/>
              <w:tabs>
                <w:tab w:pos="605" w:val="left" w:leader="none"/>
              </w:tabs>
              <w:ind w:right="59"/>
              <w:jc w:val="center"/>
              <w:rPr>
                <w:sz w:val="14"/>
              </w:rPr>
            </w:pPr>
            <w:r>
              <w:rPr>
                <w:rFonts w:ascii="Times New Roman"/>
                <w:sz w:val="14"/>
                <w:u w:val="single"/>
              </w:rPr>
              <w:tab/>
            </w:r>
            <w:r>
              <w:rPr>
                <w:spacing w:val="-2"/>
                <w:sz w:val="14"/>
                <w:u w:val="single"/>
              </w:rPr>
              <w:t>20,041</w:t>
            </w:r>
          </w:p>
        </w:tc>
        <w:tc>
          <w:tcPr>
            <w:tcW w:w="182" w:type="dxa"/>
          </w:tcPr>
          <w:p>
            <w:pPr>
              <w:pStyle w:val="TableParagraph"/>
              <w:rPr>
                <w:rFonts w:ascii="Times New Roman"/>
                <w:sz w:val="14"/>
              </w:rPr>
            </w:pPr>
          </w:p>
        </w:tc>
      </w:tr>
      <w:tr>
        <w:trPr>
          <w:trHeight w:val="199" w:hRule="atLeast"/>
        </w:trPr>
        <w:tc>
          <w:tcPr>
            <w:tcW w:w="4590" w:type="dxa"/>
          </w:tcPr>
          <w:p>
            <w:pPr>
              <w:pStyle w:val="TableParagraph"/>
              <w:spacing w:before="4"/>
              <w:ind w:left="52"/>
              <w:rPr>
                <w:sz w:val="14"/>
              </w:rPr>
            </w:pPr>
            <w:r>
              <w:rPr>
                <w:spacing w:val="-2"/>
                <w:sz w:val="14"/>
              </w:rPr>
              <w:t>Less:</w:t>
            </w:r>
          </w:p>
        </w:tc>
        <w:tc>
          <w:tcPr>
            <w:tcW w:w="1095" w:type="dxa"/>
            <w:tcBorders>
              <w:top w:val="single" w:sz="8" w:space="0" w:color="000000"/>
            </w:tcBorders>
          </w:tcPr>
          <w:p>
            <w:pPr>
              <w:pStyle w:val="TableParagraph"/>
              <w:rPr>
                <w:rFonts w:ascii="Times New Roman"/>
                <w:sz w:val="12"/>
              </w:rPr>
            </w:pPr>
          </w:p>
        </w:tc>
        <w:tc>
          <w:tcPr>
            <w:tcW w:w="2415" w:type="dxa"/>
          </w:tcPr>
          <w:p>
            <w:pPr>
              <w:pStyle w:val="TableParagraph"/>
              <w:rPr>
                <w:rFonts w:ascii="Times New Roman"/>
                <w:sz w:val="12"/>
              </w:rPr>
            </w:pPr>
          </w:p>
        </w:tc>
        <w:tc>
          <w:tcPr>
            <w:tcW w:w="1095" w:type="dxa"/>
            <w:tcBorders>
              <w:top w:val="single" w:sz="8" w:space="0" w:color="000000"/>
            </w:tcBorders>
          </w:tcPr>
          <w:p>
            <w:pPr>
              <w:pStyle w:val="TableParagraph"/>
              <w:rPr>
                <w:rFonts w:ascii="Times New Roman"/>
                <w:sz w:val="12"/>
              </w:rPr>
            </w:pPr>
          </w:p>
        </w:tc>
        <w:tc>
          <w:tcPr>
            <w:tcW w:w="182" w:type="dxa"/>
          </w:tcPr>
          <w:p>
            <w:pPr>
              <w:pStyle w:val="TableParagraph"/>
              <w:rPr>
                <w:rFonts w:ascii="Times New Roman"/>
                <w:sz w:val="12"/>
              </w:rPr>
            </w:pPr>
          </w:p>
        </w:tc>
      </w:tr>
      <w:tr>
        <w:trPr>
          <w:trHeight w:val="210" w:hRule="atLeast"/>
        </w:trPr>
        <w:tc>
          <w:tcPr>
            <w:tcW w:w="4590" w:type="dxa"/>
          </w:tcPr>
          <w:p>
            <w:pPr>
              <w:pStyle w:val="TableParagraph"/>
              <w:spacing w:line="161" w:lineRule="exact" w:before="29"/>
              <w:ind w:left="52"/>
              <w:rPr>
                <w:sz w:val="14"/>
              </w:rPr>
            </w:pPr>
            <w:r>
              <w:rPr>
                <w:sz w:val="14"/>
              </w:rPr>
              <w:t>Securities</w:t>
            </w:r>
            <w:r>
              <w:rPr>
                <w:spacing w:val="-6"/>
                <w:sz w:val="14"/>
              </w:rPr>
              <w:t> </w:t>
            </w:r>
            <w:r>
              <w:rPr>
                <w:sz w:val="14"/>
              </w:rPr>
              <w:t>collateral</w:t>
            </w:r>
            <w:r>
              <w:rPr>
                <w:spacing w:val="-6"/>
                <w:sz w:val="14"/>
              </w:rPr>
              <w:t> </w:t>
            </w:r>
            <w:r>
              <w:rPr>
                <w:spacing w:val="-2"/>
                <w:sz w:val="14"/>
              </w:rPr>
              <w:t>received</w:t>
            </w:r>
          </w:p>
        </w:tc>
        <w:tc>
          <w:tcPr>
            <w:tcW w:w="1095" w:type="dxa"/>
            <w:tcBorders>
              <w:bottom w:val="single" w:sz="8" w:space="0" w:color="000000"/>
            </w:tcBorders>
          </w:tcPr>
          <w:p>
            <w:pPr>
              <w:pStyle w:val="TableParagraph"/>
              <w:spacing w:line="161" w:lineRule="exact" w:before="29"/>
              <w:ind w:right="59"/>
              <w:jc w:val="right"/>
              <w:rPr>
                <w:sz w:val="14"/>
              </w:rPr>
            </w:pPr>
            <w:r>
              <w:rPr>
                <w:spacing w:val="-5"/>
                <w:sz w:val="14"/>
              </w:rPr>
              <w:t>366</w:t>
            </w:r>
          </w:p>
        </w:tc>
        <w:tc>
          <w:tcPr>
            <w:tcW w:w="2415" w:type="dxa"/>
          </w:tcPr>
          <w:p>
            <w:pPr>
              <w:pStyle w:val="TableParagraph"/>
              <w:rPr>
                <w:rFonts w:ascii="Times New Roman"/>
                <w:sz w:val="14"/>
              </w:rPr>
            </w:pPr>
          </w:p>
        </w:tc>
        <w:tc>
          <w:tcPr>
            <w:tcW w:w="1095" w:type="dxa"/>
          </w:tcPr>
          <w:p>
            <w:pPr>
              <w:pStyle w:val="TableParagraph"/>
              <w:rPr>
                <w:rFonts w:ascii="Times New Roman"/>
                <w:sz w:val="14"/>
              </w:rPr>
            </w:pPr>
          </w:p>
        </w:tc>
        <w:tc>
          <w:tcPr>
            <w:tcW w:w="182" w:type="dxa"/>
          </w:tcPr>
          <w:p>
            <w:pPr>
              <w:pStyle w:val="TableParagraph"/>
              <w:rPr>
                <w:rFonts w:ascii="Times New Roman"/>
                <w:sz w:val="14"/>
              </w:rPr>
            </w:pPr>
          </w:p>
        </w:tc>
      </w:tr>
      <w:tr>
        <w:trPr>
          <w:trHeight w:val="365" w:hRule="atLeast"/>
        </w:trPr>
        <w:tc>
          <w:tcPr>
            <w:tcW w:w="4590" w:type="dxa"/>
          </w:tcPr>
          <w:p>
            <w:pPr>
              <w:pStyle w:val="TableParagraph"/>
              <w:spacing w:line="170" w:lineRule="atLeast" w:before="5"/>
              <w:ind w:left="232" w:right="2098" w:hanging="180"/>
              <w:rPr>
                <w:rFonts w:ascii="Arial"/>
                <w:b/>
                <w:sz w:val="14"/>
              </w:rPr>
            </w:pPr>
            <w:r>
              <w:rPr>
                <w:rFonts w:ascii="Arial"/>
                <w:b/>
                <w:sz w:val="14"/>
              </w:rPr>
              <w:t>Net</w:t>
            </w:r>
            <w:r>
              <w:rPr>
                <w:rFonts w:ascii="Arial"/>
                <w:b/>
                <w:spacing w:val="-10"/>
                <w:sz w:val="14"/>
              </w:rPr>
              <w:t> </w:t>
            </w:r>
            <w:r>
              <w:rPr>
                <w:rFonts w:ascii="Arial"/>
                <w:b/>
                <w:sz w:val="14"/>
              </w:rPr>
              <w:t>derivative</w:t>
            </w:r>
            <w:r>
              <w:rPr>
                <w:rFonts w:ascii="Arial"/>
                <w:b/>
                <w:spacing w:val="-10"/>
                <w:sz w:val="14"/>
              </w:rPr>
              <w:t> </w:t>
            </w:r>
            <w:r>
              <w:rPr>
                <w:rFonts w:ascii="Arial"/>
                <w:b/>
                <w:sz w:val="14"/>
              </w:rPr>
              <w:t>exposure</w:t>
            </w:r>
            <w:r>
              <w:rPr>
                <w:rFonts w:ascii="Arial"/>
                <w:b/>
                <w:spacing w:val="-10"/>
                <w:sz w:val="14"/>
              </w:rPr>
              <w:t> </w:t>
            </w:r>
            <w:r>
              <w:rPr>
                <w:rFonts w:ascii="Arial"/>
                <w:b/>
                <w:sz w:val="14"/>
              </w:rPr>
              <w:t>after</w:t>
            </w:r>
            <w:r>
              <w:rPr>
                <w:rFonts w:ascii="Arial"/>
                <w:b/>
                <w:spacing w:val="40"/>
                <w:sz w:val="14"/>
              </w:rPr>
              <w:t> </w:t>
            </w:r>
            <w:r>
              <w:rPr>
                <w:rFonts w:ascii="Arial"/>
                <w:b/>
                <w:spacing w:val="-2"/>
                <w:sz w:val="14"/>
              </w:rPr>
              <w:t>collateral</w:t>
            </w:r>
          </w:p>
        </w:tc>
        <w:tc>
          <w:tcPr>
            <w:tcW w:w="1095" w:type="dxa"/>
            <w:tcBorders>
              <w:top w:val="single" w:sz="8" w:space="0" w:color="000000"/>
              <w:bottom w:val="double" w:sz="8" w:space="0" w:color="000000"/>
            </w:tcBorders>
          </w:tcPr>
          <w:p>
            <w:pPr>
              <w:pStyle w:val="TableParagraph"/>
              <w:spacing w:before="43"/>
              <w:rPr>
                <w:sz w:val="14"/>
              </w:rPr>
            </w:pPr>
          </w:p>
          <w:p>
            <w:pPr>
              <w:pStyle w:val="TableParagraph"/>
              <w:tabs>
                <w:tab w:pos="747" w:val="left" w:leader="none"/>
              </w:tabs>
              <w:spacing w:line="141" w:lineRule="exact"/>
              <w:ind w:right="59"/>
              <w:jc w:val="right"/>
              <w:rPr>
                <w:sz w:val="14"/>
              </w:rPr>
            </w:pPr>
            <w:r>
              <w:rPr>
                <w:spacing w:val="-10"/>
                <w:sz w:val="14"/>
              </w:rPr>
              <w:t>$</w:t>
            </w:r>
            <w:r>
              <w:rPr>
                <w:sz w:val="14"/>
              </w:rPr>
              <w:tab/>
            </w:r>
            <w:r>
              <w:rPr>
                <w:spacing w:val="-5"/>
                <w:sz w:val="14"/>
              </w:rPr>
              <w:t>438</w:t>
            </w:r>
          </w:p>
        </w:tc>
        <w:tc>
          <w:tcPr>
            <w:tcW w:w="2415" w:type="dxa"/>
          </w:tcPr>
          <w:p>
            <w:pPr>
              <w:pStyle w:val="TableParagraph"/>
              <w:rPr>
                <w:rFonts w:ascii="Times New Roman"/>
                <w:sz w:val="14"/>
              </w:rPr>
            </w:pPr>
          </w:p>
        </w:tc>
        <w:tc>
          <w:tcPr>
            <w:tcW w:w="1095" w:type="dxa"/>
          </w:tcPr>
          <w:p>
            <w:pPr>
              <w:pStyle w:val="TableParagraph"/>
              <w:rPr>
                <w:rFonts w:ascii="Times New Roman"/>
                <w:sz w:val="14"/>
              </w:rPr>
            </w:pPr>
          </w:p>
        </w:tc>
        <w:tc>
          <w:tcPr>
            <w:tcW w:w="182" w:type="dxa"/>
          </w:tcPr>
          <w:p>
            <w:pPr>
              <w:pStyle w:val="TableParagraph"/>
              <w:rPr>
                <w:rFonts w:ascii="Times New Roman"/>
                <w:sz w:val="14"/>
              </w:rPr>
            </w:pPr>
          </w:p>
        </w:tc>
      </w:tr>
      <w:tr>
        <w:trPr>
          <w:trHeight w:val="185" w:hRule="atLeast"/>
        </w:trPr>
        <w:tc>
          <w:tcPr>
            <w:tcW w:w="4590" w:type="dxa"/>
            <w:tcBorders>
              <w:bottom w:val="single" w:sz="8" w:space="0" w:color="000000"/>
            </w:tcBorders>
          </w:tcPr>
          <w:p>
            <w:pPr>
              <w:pStyle w:val="TableParagraph"/>
              <w:rPr>
                <w:rFonts w:ascii="Times New Roman"/>
                <w:sz w:val="12"/>
              </w:rPr>
            </w:pPr>
          </w:p>
        </w:tc>
        <w:tc>
          <w:tcPr>
            <w:tcW w:w="1095" w:type="dxa"/>
            <w:tcBorders>
              <w:top w:val="double" w:sz="8" w:space="0" w:color="000000"/>
              <w:bottom w:val="single" w:sz="8" w:space="0" w:color="000000"/>
            </w:tcBorders>
          </w:tcPr>
          <w:p>
            <w:pPr>
              <w:pStyle w:val="TableParagraph"/>
              <w:rPr>
                <w:rFonts w:ascii="Times New Roman"/>
                <w:sz w:val="12"/>
              </w:rPr>
            </w:pPr>
          </w:p>
        </w:tc>
        <w:tc>
          <w:tcPr>
            <w:tcW w:w="2415" w:type="dxa"/>
            <w:tcBorders>
              <w:bottom w:val="single" w:sz="8" w:space="0" w:color="000000"/>
            </w:tcBorders>
          </w:tcPr>
          <w:p>
            <w:pPr>
              <w:pStyle w:val="TableParagraph"/>
              <w:rPr>
                <w:rFonts w:ascii="Times New Roman"/>
                <w:sz w:val="12"/>
              </w:rPr>
            </w:pPr>
          </w:p>
        </w:tc>
        <w:tc>
          <w:tcPr>
            <w:tcW w:w="1095" w:type="dxa"/>
            <w:tcBorders>
              <w:bottom w:val="single" w:sz="8" w:space="0" w:color="000000"/>
            </w:tcBorders>
          </w:tcPr>
          <w:p>
            <w:pPr>
              <w:pStyle w:val="TableParagraph"/>
              <w:rPr>
                <w:rFonts w:ascii="Times New Roman"/>
                <w:sz w:val="12"/>
              </w:rPr>
            </w:pPr>
          </w:p>
        </w:tc>
        <w:tc>
          <w:tcPr>
            <w:tcW w:w="182" w:type="dxa"/>
          </w:tcPr>
          <w:p>
            <w:pPr>
              <w:pStyle w:val="TableParagraph"/>
              <w:rPr>
                <w:rFonts w:ascii="Times New Roman"/>
                <w:sz w:val="12"/>
              </w:rPr>
            </w:pPr>
          </w:p>
        </w:tc>
      </w:tr>
    </w:tbl>
    <w:p>
      <w:pPr>
        <w:pStyle w:val="ListParagraph"/>
        <w:numPr>
          <w:ilvl w:val="0"/>
          <w:numId w:val="40"/>
        </w:numPr>
        <w:tabs>
          <w:tab w:pos="926" w:val="left" w:leader="none"/>
        </w:tabs>
        <w:spacing w:line="240" w:lineRule="auto" w:before="28" w:after="0"/>
        <w:ind w:left="926" w:right="0" w:hanging="154"/>
        <w:jc w:val="left"/>
        <w:rPr>
          <w:rFonts w:ascii="Arial"/>
          <w:i/>
          <w:sz w:val="14"/>
        </w:rPr>
      </w:pPr>
      <w:r>
        <w:rPr>
          <w:rFonts w:ascii="Arial"/>
          <w:i/>
          <w:sz w:val="14"/>
        </w:rPr>
        <w:t>Includes</w:t>
      </w:r>
      <w:r>
        <w:rPr>
          <w:rFonts w:ascii="Arial"/>
          <w:i/>
          <w:spacing w:val="-4"/>
          <w:sz w:val="14"/>
        </w:rPr>
        <w:t> </w:t>
      </w:r>
      <w:r>
        <w:rPr>
          <w:rFonts w:ascii="Arial"/>
          <w:i/>
          <w:sz w:val="14"/>
        </w:rPr>
        <w:t>currency</w:t>
      </w:r>
      <w:r>
        <w:rPr>
          <w:rFonts w:ascii="Arial"/>
          <w:i/>
          <w:spacing w:val="-4"/>
          <w:sz w:val="14"/>
        </w:rPr>
        <w:t> </w:t>
      </w:r>
      <w:r>
        <w:rPr>
          <w:rFonts w:ascii="Arial"/>
          <w:i/>
          <w:sz w:val="14"/>
        </w:rPr>
        <w:t>forward</w:t>
      </w:r>
      <w:r>
        <w:rPr>
          <w:rFonts w:ascii="Arial"/>
          <w:i/>
          <w:spacing w:val="-3"/>
          <w:sz w:val="14"/>
        </w:rPr>
        <w:t> </w:t>
      </w:r>
      <w:r>
        <w:rPr>
          <w:rFonts w:ascii="Arial"/>
          <w:i/>
          <w:spacing w:val="-2"/>
          <w:sz w:val="14"/>
        </w:rPr>
        <w:t>contracts.</w:t>
      </w:r>
    </w:p>
    <w:p>
      <w:pPr>
        <w:pStyle w:val="ListParagraph"/>
        <w:numPr>
          <w:ilvl w:val="0"/>
          <w:numId w:val="40"/>
        </w:numPr>
        <w:tabs>
          <w:tab w:pos="926" w:val="left" w:leader="none"/>
        </w:tabs>
        <w:spacing w:line="240" w:lineRule="auto" w:before="64" w:after="0"/>
        <w:ind w:left="926" w:right="0" w:hanging="154"/>
        <w:jc w:val="left"/>
        <w:rPr>
          <w:rFonts w:ascii="Arial"/>
          <w:i/>
          <w:sz w:val="14"/>
        </w:rPr>
      </w:pPr>
      <w:r>
        <w:rPr>
          <w:rFonts w:ascii="Arial"/>
          <w:i/>
          <w:sz w:val="14"/>
        </w:rPr>
        <w:t>These</w:t>
      </w:r>
      <w:r>
        <w:rPr>
          <w:rFonts w:ascii="Arial"/>
          <w:i/>
          <w:spacing w:val="-3"/>
          <w:sz w:val="14"/>
        </w:rPr>
        <w:t> </w:t>
      </w:r>
      <w:r>
        <w:rPr>
          <w:rFonts w:ascii="Arial"/>
          <w:i/>
          <w:sz w:val="14"/>
        </w:rPr>
        <w:t>relate</w:t>
      </w:r>
      <w:r>
        <w:rPr>
          <w:rFonts w:ascii="Arial"/>
          <w:i/>
          <w:spacing w:val="-3"/>
          <w:sz w:val="14"/>
        </w:rPr>
        <w:t> </w:t>
      </w:r>
      <w:r>
        <w:rPr>
          <w:rFonts w:ascii="Arial"/>
          <w:i/>
          <w:sz w:val="14"/>
        </w:rPr>
        <w:t>to</w:t>
      </w:r>
      <w:r>
        <w:rPr>
          <w:rFonts w:ascii="Arial"/>
          <w:i/>
          <w:spacing w:val="-3"/>
          <w:sz w:val="14"/>
        </w:rPr>
        <w:t> </w:t>
      </w:r>
      <w:r>
        <w:rPr>
          <w:rFonts w:ascii="Arial"/>
          <w:i/>
          <w:sz w:val="14"/>
        </w:rPr>
        <w:t>swaptions,</w:t>
      </w:r>
      <w:r>
        <w:rPr>
          <w:rFonts w:ascii="Arial"/>
          <w:i/>
          <w:spacing w:val="-3"/>
          <w:sz w:val="14"/>
        </w:rPr>
        <w:t> </w:t>
      </w:r>
      <w:r>
        <w:rPr>
          <w:rFonts w:ascii="Arial"/>
          <w:i/>
          <w:sz w:val="14"/>
        </w:rPr>
        <w:t>options</w:t>
      </w:r>
      <w:r>
        <w:rPr>
          <w:rFonts w:ascii="Arial"/>
          <w:i/>
          <w:spacing w:val="-3"/>
          <w:sz w:val="14"/>
        </w:rPr>
        <w:t> </w:t>
      </w:r>
      <w:r>
        <w:rPr>
          <w:rFonts w:ascii="Arial"/>
          <w:i/>
          <w:sz w:val="14"/>
        </w:rPr>
        <w:t>and</w:t>
      </w:r>
      <w:r>
        <w:rPr>
          <w:rFonts w:ascii="Arial"/>
          <w:i/>
          <w:spacing w:val="-3"/>
          <w:sz w:val="14"/>
        </w:rPr>
        <w:t> </w:t>
      </w:r>
      <w:r>
        <w:rPr>
          <w:rFonts w:ascii="Arial"/>
          <w:i/>
          <w:sz w:val="14"/>
        </w:rPr>
        <w:t>futures</w:t>
      </w:r>
      <w:r>
        <w:rPr>
          <w:rFonts w:ascii="Arial"/>
          <w:i/>
          <w:spacing w:val="-3"/>
          <w:sz w:val="14"/>
        </w:rPr>
        <w:t> </w:t>
      </w:r>
      <w:r>
        <w:rPr>
          <w:rFonts w:ascii="Arial"/>
          <w:i/>
          <w:spacing w:val="-2"/>
          <w:sz w:val="14"/>
        </w:rPr>
        <w:t>contracts.</w:t>
      </w:r>
    </w:p>
    <w:p>
      <w:pPr>
        <w:pStyle w:val="ListParagraph"/>
        <w:numPr>
          <w:ilvl w:val="0"/>
          <w:numId w:val="40"/>
        </w:numPr>
        <w:tabs>
          <w:tab w:pos="919" w:val="left" w:leader="none"/>
        </w:tabs>
        <w:spacing w:line="240" w:lineRule="auto" w:before="64" w:after="0"/>
        <w:ind w:left="919" w:right="0" w:hanging="147"/>
        <w:jc w:val="left"/>
        <w:rPr>
          <w:rFonts w:ascii="Arial"/>
          <w:i/>
          <w:sz w:val="14"/>
        </w:rPr>
      </w:pPr>
      <w:r>
        <w:rPr>
          <w:rFonts w:ascii="Arial"/>
          <w:i/>
          <w:sz w:val="14"/>
        </w:rPr>
        <w:t>Includes</w:t>
      </w:r>
      <w:r>
        <w:rPr>
          <w:rFonts w:ascii="Arial"/>
          <w:i/>
          <w:spacing w:val="-4"/>
          <w:sz w:val="14"/>
        </w:rPr>
        <w:t> </w:t>
      </w:r>
      <w:r>
        <w:rPr>
          <w:rFonts w:ascii="Arial"/>
          <w:i/>
          <w:sz w:val="14"/>
        </w:rPr>
        <w:t>$2</w:t>
      </w:r>
      <w:r>
        <w:rPr>
          <w:rFonts w:ascii="Arial"/>
          <w:i/>
          <w:spacing w:val="-5"/>
          <w:sz w:val="14"/>
        </w:rPr>
        <w:t> </w:t>
      </w:r>
      <w:r>
        <w:rPr>
          <w:rFonts w:ascii="Arial"/>
          <w:i/>
          <w:sz w:val="14"/>
        </w:rPr>
        <w:t>million</w:t>
      </w:r>
      <w:r>
        <w:rPr>
          <w:rFonts w:ascii="Arial"/>
          <w:i/>
          <w:spacing w:val="-3"/>
          <w:sz w:val="14"/>
        </w:rPr>
        <w:t> </w:t>
      </w:r>
      <w:r>
        <w:rPr>
          <w:rFonts w:ascii="Arial"/>
          <w:i/>
          <w:spacing w:val="-4"/>
          <w:sz w:val="14"/>
        </w:rPr>
        <w:t>CVA.</w:t>
      </w:r>
    </w:p>
    <w:p>
      <w:pPr>
        <w:pStyle w:val="ListParagraph"/>
        <w:numPr>
          <w:ilvl w:val="0"/>
          <w:numId w:val="40"/>
        </w:numPr>
        <w:tabs>
          <w:tab w:pos="926" w:val="left" w:leader="none"/>
        </w:tabs>
        <w:spacing w:line="240" w:lineRule="auto" w:before="64" w:after="0"/>
        <w:ind w:left="926" w:right="0" w:hanging="154"/>
        <w:jc w:val="left"/>
        <w:rPr>
          <w:rFonts w:ascii="Arial"/>
          <w:i/>
          <w:sz w:val="14"/>
        </w:rPr>
      </w:pPr>
      <w:r>
        <w:rPr>
          <w:rFonts w:ascii="Arial"/>
          <w:i/>
          <w:sz w:val="14"/>
        </w:rPr>
        <w:t>Includes</w:t>
      </w:r>
      <w:r>
        <w:rPr>
          <w:rFonts w:ascii="Arial"/>
          <w:i/>
          <w:spacing w:val="-5"/>
          <w:sz w:val="14"/>
        </w:rPr>
        <w:t> </w:t>
      </w:r>
      <w:r>
        <w:rPr>
          <w:rFonts w:ascii="Arial"/>
          <w:i/>
          <w:sz w:val="14"/>
        </w:rPr>
        <w:t>$571</w:t>
      </w:r>
      <w:r>
        <w:rPr>
          <w:rFonts w:ascii="Arial"/>
          <w:i/>
          <w:spacing w:val="-5"/>
          <w:sz w:val="14"/>
        </w:rPr>
        <w:t> </w:t>
      </w:r>
      <w:r>
        <w:rPr>
          <w:rFonts w:ascii="Arial"/>
          <w:i/>
          <w:sz w:val="14"/>
        </w:rPr>
        <w:t>million</w:t>
      </w:r>
      <w:r>
        <w:rPr>
          <w:rFonts w:ascii="Arial"/>
          <w:i/>
          <w:spacing w:val="-4"/>
          <w:sz w:val="14"/>
        </w:rPr>
        <w:t> DVA.</w:t>
      </w:r>
    </w:p>
    <w:p>
      <w:pPr>
        <w:pStyle w:val="ListParagraph"/>
        <w:spacing w:after="0" w:line="240" w:lineRule="auto"/>
        <w:jc w:val="left"/>
        <w:rPr>
          <w:rFonts w:ascii="Arial"/>
          <w:i/>
          <w:sz w:val="14"/>
        </w:rPr>
        <w:sectPr>
          <w:type w:val="continuous"/>
          <w:pgSz w:w="12240" w:h="15840"/>
          <w:pgMar w:header="1037" w:footer="528" w:top="1820" w:bottom="280" w:left="720" w:right="720"/>
        </w:sectPr>
      </w:pPr>
    </w:p>
    <w:p>
      <w:pPr>
        <w:pStyle w:val="BodyText"/>
        <w:spacing w:line="249" w:lineRule="auto" w:before="72"/>
        <w:ind w:left="720" w:right="718"/>
        <w:jc w:val="both"/>
      </w:pPr>
      <w:r>
        <w:rPr/>
        <w:t>The following table provides information about the credit risk exposures of IBRD’s derivative instruments by portfolio, before the effects of master netting arrangements and collateral:</w:t>
      </w:r>
    </w:p>
    <w:p>
      <w:pPr>
        <w:pStyle w:val="Heading8"/>
        <w:jc w:val="both"/>
      </w:pPr>
      <w:r>
        <w:rPr/>
        <w:t>Table</w:t>
      </w:r>
      <w:r>
        <w:rPr>
          <w:spacing w:val="-7"/>
        </w:rPr>
        <w:t> </w:t>
      </w:r>
      <w:r>
        <w:rPr/>
        <w:t>F2:</w:t>
      </w:r>
      <w:r>
        <w:rPr>
          <w:spacing w:val="-3"/>
        </w:rPr>
        <w:t> </w:t>
      </w:r>
      <w:r>
        <w:rPr/>
        <w:t>Credit</w:t>
      </w:r>
      <w:r>
        <w:rPr>
          <w:spacing w:val="-4"/>
        </w:rPr>
        <w:t> </w:t>
      </w:r>
      <w:r>
        <w:rPr/>
        <w:t>risk</w:t>
      </w:r>
      <w:r>
        <w:rPr>
          <w:spacing w:val="-4"/>
        </w:rPr>
        <w:t> </w:t>
      </w:r>
      <w:r>
        <w:rPr/>
        <w:t>exposure</w:t>
      </w:r>
      <w:r>
        <w:rPr>
          <w:spacing w:val="-4"/>
        </w:rPr>
        <w:t> </w:t>
      </w:r>
      <w:r>
        <w:rPr/>
        <w:t>of</w:t>
      </w:r>
      <w:r>
        <w:rPr>
          <w:spacing w:val="-4"/>
        </w:rPr>
        <w:t> </w:t>
      </w:r>
      <w:r>
        <w:rPr/>
        <w:t>the</w:t>
      </w:r>
      <w:r>
        <w:rPr>
          <w:spacing w:val="-4"/>
        </w:rPr>
        <w:t> </w:t>
      </w:r>
      <w:r>
        <w:rPr/>
        <w:t>derivative</w:t>
      </w:r>
      <w:r>
        <w:rPr>
          <w:spacing w:val="-4"/>
        </w:rPr>
        <w:t> </w:t>
      </w:r>
      <w:r>
        <w:rPr/>
        <w:t>instruments</w:t>
      </w:r>
      <w:r>
        <w:rPr>
          <w:spacing w:val="-4"/>
        </w:rPr>
        <w:t> </w:t>
      </w:r>
      <w:r>
        <w:rPr>
          <w:spacing w:val="-10"/>
          <w:vertAlign w:val="superscript"/>
        </w:rPr>
        <w:t>a</w:t>
      </w:r>
    </w:p>
    <w:p>
      <w:pPr>
        <w:spacing w:before="96" w:after="30"/>
        <w:ind w:left="772" w:right="0" w:firstLine="0"/>
        <w:jc w:val="both"/>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0"/>
        <w:gridCol w:w="235"/>
        <w:gridCol w:w="1650"/>
        <w:gridCol w:w="183"/>
        <w:gridCol w:w="1902"/>
        <w:gridCol w:w="492"/>
        <w:gridCol w:w="783"/>
        <w:gridCol w:w="635"/>
      </w:tblGrid>
      <w:tr>
        <w:trPr>
          <w:trHeight w:val="205" w:hRule="atLeast"/>
        </w:trPr>
        <w:tc>
          <w:tcPr>
            <w:tcW w:w="5548" w:type="dxa"/>
            <w:gridSpan w:val="4"/>
            <w:tcBorders>
              <w:top w:val="single" w:sz="8" w:space="0" w:color="000000"/>
            </w:tcBorders>
          </w:tcPr>
          <w:p>
            <w:pPr>
              <w:pStyle w:val="TableParagraph"/>
              <w:rPr>
                <w:rFonts w:ascii="Times New Roman"/>
                <w:sz w:val="14"/>
              </w:rPr>
            </w:pPr>
          </w:p>
        </w:tc>
        <w:tc>
          <w:tcPr>
            <w:tcW w:w="1902" w:type="dxa"/>
            <w:tcBorders>
              <w:top w:val="single" w:sz="8" w:space="0" w:color="000000"/>
              <w:bottom w:val="single" w:sz="8" w:space="0" w:color="000000"/>
            </w:tcBorders>
          </w:tcPr>
          <w:p>
            <w:pPr>
              <w:pStyle w:val="TableParagraph"/>
              <w:spacing w:line="160" w:lineRule="exact" w:before="24"/>
              <w:ind w:left="428"/>
              <w:rPr>
                <w:rFonts w:ascii="Arial"/>
                <w:i/>
                <w:sz w:val="14"/>
              </w:rPr>
            </w:pP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2023</w:t>
            </w:r>
          </w:p>
        </w:tc>
        <w:tc>
          <w:tcPr>
            <w:tcW w:w="1910" w:type="dxa"/>
            <w:gridSpan w:val="3"/>
            <w:tcBorders>
              <w:top w:val="single" w:sz="8" w:space="0" w:color="000000"/>
              <w:bottom w:val="single" w:sz="8" w:space="0" w:color="000000"/>
            </w:tcBorders>
          </w:tcPr>
          <w:p>
            <w:pPr>
              <w:pStyle w:val="TableParagraph"/>
              <w:rPr>
                <w:rFonts w:ascii="Times New Roman"/>
                <w:sz w:val="14"/>
              </w:rPr>
            </w:pPr>
          </w:p>
        </w:tc>
      </w:tr>
      <w:tr>
        <w:trPr>
          <w:trHeight w:val="385" w:hRule="atLeast"/>
        </w:trPr>
        <w:tc>
          <w:tcPr>
            <w:tcW w:w="3480" w:type="dxa"/>
            <w:tcBorders>
              <w:bottom w:val="single" w:sz="8" w:space="0" w:color="000000"/>
            </w:tcBorders>
          </w:tcPr>
          <w:p>
            <w:pPr>
              <w:pStyle w:val="TableParagraph"/>
              <w:spacing w:before="43"/>
              <w:rPr>
                <w:rFonts w:ascii="Arial"/>
                <w:i/>
                <w:sz w:val="14"/>
              </w:rPr>
            </w:pPr>
          </w:p>
          <w:p>
            <w:pPr>
              <w:pStyle w:val="TableParagraph"/>
              <w:spacing w:line="160" w:lineRule="exact"/>
              <w:ind w:left="52"/>
              <w:rPr>
                <w:rFonts w:ascii="Arial"/>
                <w:i/>
                <w:sz w:val="14"/>
              </w:rPr>
            </w:pPr>
            <w:r>
              <w:rPr>
                <w:rFonts w:ascii="Arial"/>
                <w:i/>
                <w:spacing w:val="-2"/>
                <w:sz w:val="14"/>
              </w:rPr>
              <w:t>Portfolio</w:t>
            </w:r>
          </w:p>
        </w:tc>
        <w:tc>
          <w:tcPr>
            <w:tcW w:w="235" w:type="dxa"/>
            <w:tcBorders>
              <w:top w:val="single" w:sz="8" w:space="0" w:color="000000"/>
              <w:bottom w:val="single" w:sz="8" w:space="0" w:color="000000"/>
            </w:tcBorders>
          </w:tcPr>
          <w:p>
            <w:pPr>
              <w:pStyle w:val="TableParagraph"/>
              <w:rPr>
                <w:rFonts w:ascii="Times New Roman"/>
                <w:sz w:val="18"/>
              </w:rPr>
            </w:pPr>
          </w:p>
        </w:tc>
        <w:tc>
          <w:tcPr>
            <w:tcW w:w="1650" w:type="dxa"/>
            <w:tcBorders>
              <w:top w:val="single" w:sz="8" w:space="0" w:color="000000"/>
              <w:bottom w:val="single" w:sz="8" w:space="0" w:color="000000"/>
            </w:tcBorders>
          </w:tcPr>
          <w:p>
            <w:pPr>
              <w:pStyle w:val="TableParagraph"/>
              <w:spacing w:before="43"/>
              <w:rPr>
                <w:rFonts w:ascii="Arial"/>
                <w:i/>
                <w:sz w:val="14"/>
              </w:rPr>
            </w:pPr>
          </w:p>
          <w:p>
            <w:pPr>
              <w:pStyle w:val="TableParagraph"/>
              <w:spacing w:line="160" w:lineRule="exact"/>
              <w:ind w:left="104"/>
              <w:rPr>
                <w:rFonts w:ascii="Arial"/>
                <w:i/>
                <w:sz w:val="14"/>
              </w:rPr>
            </w:pPr>
            <w:r>
              <w:rPr>
                <w:rFonts w:ascii="Arial"/>
                <w:i/>
                <w:sz w:val="14"/>
              </w:rPr>
              <w:t>Interest</w:t>
            </w:r>
            <w:r>
              <w:rPr>
                <w:rFonts w:ascii="Arial"/>
                <w:i/>
                <w:spacing w:val="-2"/>
                <w:sz w:val="14"/>
              </w:rPr>
              <w:t> </w:t>
            </w:r>
            <w:r>
              <w:rPr>
                <w:rFonts w:ascii="Arial"/>
                <w:i/>
                <w:sz w:val="14"/>
              </w:rPr>
              <w:t>rate</w:t>
            </w:r>
            <w:r>
              <w:rPr>
                <w:rFonts w:ascii="Arial"/>
                <w:i/>
                <w:spacing w:val="-2"/>
                <w:sz w:val="14"/>
              </w:rPr>
              <w:t> swaps</w:t>
            </w:r>
          </w:p>
        </w:tc>
        <w:tc>
          <w:tcPr>
            <w:tcW w:w="183" w:type="dxa"/>
            <w:tcBorders>
              <w:top w:val="single" w:sz="8" w:space="0" w:color="000000"/>
              <w:bottom w:val="single" w:sz="8" w:space="0" w:color="000000"/>
            </w:tcBorders>
          </w:tcPr>
          <w:p>
            <w:pPr>
              <w:pStyle w:val="TableParagraph"/>
              <w:rPr>
                <w:rFonts w:ascii="Times New Roman"/>
                <w:sz w:val="18"/>
              </w:rPr>
            </w:pPr>
          </w:p>
        </w:tc>
        <w:tc>
          <w:tcPr>
            <w:tcW w:w="1902" w:type="dxa"/>
            <w:tcBorders>
              <w:top w:val="single" w:sz="8" w:space="0" w:color="000000"/>
              <w:bottom w:val="single" w:sz="8" w:space="0" w:color="000000"/>
            </w:tcBorders>
          </w:tcPr>
          <w:p>
            <w:pPr>
              <w:pStyle w:val="TableParagraph"/>
              <w:spacing w:line="160" w:lineRule="atLeast" w:before="36"/>
              <w:ind w:left="17" w:firstLine="27"/>
              <w:rPr>
                <w:rFonts w:ascii="Arial"/>
                <w:i/>
                <w:sz w:val="14"/>
              </w:rPr>
            </w:pPr>
            <w:r>
              <w:rPr>
                <w:rFonts w:ascii="Arial"/>
                <w:i/>
                <w:sz w:val="14"/>
              </w:rPr>
              <w:t>Currency</w:t>
            </w:r>
            <w:r>
              <w:rPr>
                <w:rFonts w:ascii="Arial"/>
                <w:i/>
                <w:spacing w:val="-6"/>
                <w:sz w:val="14"/>
              </w:rPr>
              <w:t> </w:t>
            </w:r>
            <w:r>
              <w:rPr>
                <w:rFonts w:ascii="Arial"/>
                <w:i/>
                <w:sz w:val="14"/>
              </w:rPr>
              <w:t>swaps</w:t>
            </w:r>
            <w:r>
              <w:rPr>
                <w:rFonts w:ascii="Arial"/>
                <w:i/>
                <w:spacing w:val="-6"/>
                <w:sz w:val="14"/>
              </w:rPr>
              <w:t> </w:t>
            </w:r>
            <w:r>
              <w:rPr>
                <w:rFonts w:ascii="Arial"/>
                <w:i/>
                <w:sz w:val="14"/>
              </w:rPr>
              <w:t>(including</w:t>
            </w:r>
            <w:r>
              <w:rPr>
                <w:rFonts w:ascii="Arial"/>
                <w:i/>
                <w:spacing w:val="40"/>
                <w:sz w:val="14"/>
              </w:rPr>
              <w:t> </w:t>
            </w:r>
            <w:r>
              <w:rPr>
                <w:rFonts w:ascii="Arial"/>
                <w:i/>
                <w:sz w:val="14"/>
              </w:rPr>
              <w:t>currency</w:t>
            </w:r>
            <w:r>
              <w:rPr>
                <w:rFonts w:ascii="Arial"/>
                <w:i/>
                <w:spacing w:val="-3"/>
                <w:sz w:val="14"/>
              </w:rPr>
              <w:t> </w:t>
            </w:r>
            <w:r>
              <w:rPr>
                <w:rFonts w:ascii="Arial"/>
                <w:i/>
                <w:sz w:val="14"/>
              </w:rPr>
              <w:t>forward</w:t>
            </w:r>
            <w:r>
              <w:rPr>
                <w:rFonts w:ascii="Arial"/>
                <w:i/>
                <w:spacing w:val="-3"/>
                <w:sz w:val="14"/>
              </w:rPr>
              <w:t> </w:t>
            </w:r>
            <w:r>
              <w:rPr>
                <w:rFonts w:ascii="Arial"/>
                <w:i/>
                <w:spacing w:val="-2"/>
                <w:sz w:val="14"/>
              </w:rPr>
              <w:t>contracts)</w:t>
            </w:r>
          </w:p>
        </w:tc>
        <w:tc>
          <w:tcPr>
            <w:tcW w:w="492" w:type="dxa"/>
            <w:tcBorders>
              <w:top w:val="single" w:sz="8" w:space="0" w:color="000000"/>
              <w:bottom w:val="single" w:sz="8" w:space="0" w:color="000000"/>
            </w:tcBorders>
          </w:tcPr>
          <w:p>
            <w:pPr>
              <w:pStyle w:val="TableParagraph"/>
              <w:rPr>
                <w:rFonts w:ascii="Times New Roman"/>
                <w:sz w:val="18"/>
              </w:rPr>
            </w:pPr>
          </w:p>
        </w:tc>
        <w:tc>
          <w:tcPr>
            <w:tcW w:w="783" w:type="dxa"/>
            <w:tcBorders>
              <w:top w:val="single" w:sz="8" w:space="0" w:color="000000"/>
              <w:bottom w:val="single" w:sz="8" w:space="0" w:color="000000"/>
            </w:tcBorders>
          </w:tcPr>
          <w:p>
            <w:pPr>
              <w:pStyle w:val="TableParagraph"/>
              <w:spacing w:before="43"/>
              <w:rPr>
                <w:rFonts w:ascii="Arial"/>
                <w:i/>
                <w:sz w:val="14"/>
              </w:rPr>
            </w:pPr>
          </w:p>
          <w:p>
            <w:pPr>
              <w:pStyle w:val="TableParagraph"/>
              <w:spacing w:line="160" w:lineRule="exact"/>
              <w:ind w:left="325"/>
              <w:rPr>
                <w:rFonts w:ascii="Arial"/>
                <w:i/>
                <w:sz w:val="14"/>
              </w:rPr>
            </w:pPr>
            <w:r>
              <w:rPr>
                <w:rFonts w:ascii="Arial"/>
                <w:i/>
                <w:spacing w:val="-4"/>
                <w:sz w:val="14"/>
              </w:rPr>
              <w:t>Total</w:t>
            </w:r>
          </w:p>
        </w:tc>
        <w:tc>
          <w:tcPr>
            <w:tcW w:w="635" w:type="dxa"/>
            <w:tcBorders>
              <w:top w:val="single" w:sz="8" w:space="0" w:color="000000"/>
              <w:bottom w:val="single" w:sz="8" w:space="0" w:color="000000"/>
            </w:tcBorders>
          </w:tcPr>
          <w:p>
            <w:pPr>
              <w:pStyle w:val="TableParagraph"/>
              <w:rPr>
                <w:rFonts w:ascii="Times New Roman"/>
                <w:sz w:val="18"/>
              </w:rPr>
            </w:pPr>
          </w:p>
        </w:tc>
      </w:tr>
      <w:tr>
        <w:trPr>
          <w:trHeight w:val="219" w:hRule="atLeast"/>
        </w:trPr>
        <w:tc>
          <w:tcPr>
            <w:tcW w:w="3480" w:type="dxa"/>
            <w:tcBorders>
              <w:top w:val="single" w:sz="8" w:space="0" w:color="000000"/>
            </w:tcBorders>
          </w:tcPr>
          <w:p>
            <w:pPr>
              <w:pStyle w:val="TableParagraph"/>
              <w:spacing w:before="24"/>
              <w:ind w:left="52"/>
              <w:rPr>
                <w:sz w:val="14"/>
              </w:rPr>
            </w:pPr>
            <w:r>
              <w:rPr>
                <w:spacing w:val="-2"/>
                <w:sz w:val="14"/>
              </w:rPr>
              <w:t>Investments</w:t>
            </w:r>
          </w:p>
        </w:tc>
        <w:tc>
          <w:tcPr>
            <w:tcW w:w="235" w:type="dxa"/>
            <w:tcBorders>
              <w:top w:val="single" w:sz="8" w:space="0" w:color="000000"/>
            </w:tcBorders>
          </w:tcPr>
          <w:p>
            <w:pPr>
              <w:pStyle w:val="TableParagraph"/>
              <w:spacing w:before="24"/>
              <w:ind w:right="49"/>
              <w:jc w:val="center"/>
              <w:rPr>
                <w:sz w:val="14"/>
              </w:rPr>
            </w:pPr>
            <w:r>
              <w:rPr>
                <w:spacing w:val="-10"/>
                <w:sz w:val="14"/>
              </w:rPr>
              <w:t>$</w:t>
            </w:r>
          </w:p>
        </w:tc>
        <w:tc>
          <w:tcPr>
            <w:tcW w:w="1650" w:type="dxa"/>
            <w:tcBorders>
              <w:top w:val="single" w:sz="8" w:space="0" w:color="000000"/>
            </w:tcBorders>
          </w:tcPr>
          <w:p>
            <w:pPr>
              <w:pStyle w:val="TableParagraph"/>
              <w:spacing w:before="24"/>
              <w:ind w:right="84"/>
              <w:jc w:val="right"/>
              <w:rPr>
                <w:sz w:val="14"/>
              </w:rPr>
            </w:pPr>
            <w:r>
              <w:rPr>
                <w:spacing w:val="-5"/>
                <w:sz w:val="14"/>
              </w:rPr>
              <w:t>18</w:t>
            </w:r>
          </w:p>
        </w:tc>
        <w:tc>
          <w:tcPr>
            <w:tcW w:w="183" w:type="dxa"/>
            <w:tcBorders>
              <w:top w:val="single" w:sz="8" w:space="0" w:color="000000"/>
            </w:tcBorders>
          </w:tcPr>
          <w:p>
            <w:pPr>
              <w:pStyle w:val="TableParagraph"/>
              <w:spacing w:before="24"/>
              <w:ind w:left="70"/>
              <w:jc w:val="center"/>
              <w:rPr>
                <w:sz w:val="14"/>
              </w:rPr>
            </w:pPr>
            <w:r>
              <w:rPr>
                <w:spacing w:val="-10"/>
                <w:sz w:val="14"/>
              </w:rPr>
              <w:t>$</w:t>
            </w:r>
          </w:p>
        </w:tc>
        <w:tc>
          <w:tcPr>
            <w:tcW w:w="1902" w:type="dxa"/>
            <w:tcBorders>
              <w:top w:val="single" w:sz="8" w:space="0" w:color="000000"/>
            </w:tcBorders>
          </w:tcPr>
          <w:p>
            <w:pPr>
              <w:pStyle w:val="TableParagraph"/>
              <w:spacing w:before="24"/>
              <w:ind w:right="84"/>
              <w:jc w:val="right"/>
              <w:rPr>
                <w:sz w:val="14"/>
              </w:rPr>
            </w:pPr>
            <w:r>
              <w:rPr>
                <w:spacing w:val="-5"/>
                <w:sz w:val="14"/>
              </w:rPr>
              <w:t>926</w:t>
            </w:r>
          </w:p>
        </w:tc>
        <w:tc>
          <w:tcPr>
            <w:tcW w:w="492" w:type="dxa"/>
            <w:tcBorders>
              <w:top w:val="single" w:sz="8" w:space="0" w:color="000000"/>
            </w:tcBorders>
          </w:tcPr>
          <w:p>
            <w:pPr>
              <w:pStyle w:val="TableParagraph"/>
              <w:spacing w:before="24"/>
              <w:ind w:left="87"/>
              <w:rPr>
                <w:sz w:val="14"/>
              </w:rPr>
            </w:pPr>
            <w:r>
              <w:rPr>
                <w:spacing w:val="-10"/>
                <w:sz w:val="14"/>
              </w:rPr>
              <w:t>$</w:t>
            </w:r>
          </w:p>
        </w:tc>
        <w:tc>
          <w:tcPr>
            <w:tcW w:w="783" w:type="dxa"/>
            <w:tcBorders>
              <w:top w:val="single" w:sz="8" w:space="0" w:color="000000"/>
            </w:tcBorders>
          </w:tcPr>
          <w:p>
            <w:pPr>
              <w:pStyle w:val="TableParagraph"/>
              <w:rPr>
                <w:rFonts w:ascii="Times New Roman"/>
                <w:sz w:val="14"/>
              </w:rPr>
            </w:pPr>
          </w:p>
        </w:tc>
        <w:tc>
          <w:tcPr>
            <w:tcW w:w="635" w:type="dxa"/>
            <w:tcBorders>
              <w:top w:val="single" w:sz="8" w:space="0" w:color="000000"/>
            </w:tcBorders>
          </w:tcPr>
          <w:p>
            <w:pPr>
              <w:pStyle w:val="TableParagraph"/>
              <w:spacing w:before="24"/>
              <w:ind w:left="278"/>
              <w:jc w:val="center"/>
              <w:rPr>
                <w:sz w:val="14"/>
              </w:rPr>
            </w:pPr>
            <w:r>
              <w:rPr>
                <w:spacing w:val="-5"/>
                <w:sz w:val="14"/>
              </w:rPr>
              <w:t>944</w:t>
            </w:r>
          </w:p>
        </w:tc>
      </w:tr>
      <w:tr>
        <w:trPr>
          <w:trHeight w:val="225" w:hRule="atLeast"/>
        </w:trPr>
        <w:tc>
          <w:tcPr>
            <w:tcW w:w="3480" w:type="dxa"/>
          </w:tcPr>
          <w:p>
            <w:pPr>
              <w:pStyle w:val="TableParagraph"/>
              <w:spacing w:before="29"/>
              <w:ind w:left="52"/>
              <w:rPr>
                <w:sz w:val="14"/>
              </w:rPr>
            </w:pPr>
            <w:r>
              <w:rPr>
                <w:spacing w:val="-2"/>
                <w:sz w:val="14"/>
              </w:rPr>
              <w:t>Loans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2"/>
                <w:sz w:val="14"/>
              </w:rPr>
              <w:t>6,032</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2"/>
                <w:sz w:val="14"/>
              </w:rPr>
              <w:t>1,486</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162"/>
              <w:jc w:val="center"/>
              <w:rPr>
                <w:sz w:val="14"/>
              </w:rPr>
            </w:pPr>
            <w:r>
              <w:rPr>
                <w:spacing w:val="-2"/>
                <w:sz w:val="14"/>
              </w:rPr>
              <w:t>7,518</w:t>
            </w:r>
          </w:p>
        </w:tc>
      </w:tr>
      <w:tr>
        <w:trPr>
          <w:trHeight w:val="225" w:hRule="atLeast"/>
        </w:trPr>
        <w:tc>
          <w:tcPr>
            <w:tcW w:w="3480" w:type="dxa"/>
          </w:tcPr>
          <w:p>
            <w:pPr>
              <w:pStyle w:val="TableParagraph"/>
              <w:spacing w:before="29"/>
              <w:ind w:left="52"/>
              <w:rPr>
                <w:sz w:val="14"/>
              </w:rPr>
            </w:pPr>
            <w:r>
              <w:rPr>
                <w:sz w:val="14"/>
              </w:rPr>
              <w:t>Client</w:t>
            </w:r>
            <w:r>
              <w:rPr>
                <w:spacing w:val="-7"/>
                <w:sz w:val="14"/>
              </w:rPr>
              <w:t> </w:t>
            </w:r>
            <w:r>
              <w:rPr>
                <w:spacing w:val="-2"/>
                <w:sz w:val="14"/>
              </w:rPr>
              <w:t>operations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5"/>
                <w:sz w:val="14"/>
              </w:rPr>
              <w:t>323</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5"/>
                <w:sz w:val="14"/>
              </w:rPr>
              <w:t>531</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278"/>
              <w:jc w:val="center"/>
              <w:rPr>
                <w:sz w:val="14"/>
              </w:rPr>
            </w:pPr>
            <w:r>
              <w:rPr>
                <w:spacing w:val="-5"/>
                <w:sz w:val="14"/>
              </w:rPr>
              <w:t>854</w:t>
            </w:r>
          </w:p>
        </w:tc>
      </w:tr>
      <w:tr>
        <w:trPr>
          <w:trHeight w:val="225" w:hRule="atLeast"/>
        </w:trPr>
        <w:tc>
          <w:tcPr>
            <w:tcW w:w="3480" w:type="dxa"/>
          </w:tcPr>
          <w:p>
            <w:pPr>
              <w:pStyle w:val="TableParagraph"/>
              <w:spacing w:before="29"/>
              <w:ind w:left="52"/>
              <w:rPr>
                <w:sz w:val="14"/>
              </w:rPr>
            </w:pPr>
            <w:r>
              <w:rPr>
                <w:spacing w:val="-2"/>
                <w:sz w:val="14"/>
              </w:rPr>
              <w:t>Borrowings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2"/>
                <w:sz w:val="14"/>
              </w:rPr>
              <w:t>1,415</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2"/>
                <w:sz w:val="14"/>
              </w:rPr>
              <w:t>1,680</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162"/>
              <w:jc w:val="center"/>
              <w:rPr>
                <w:sz w:val="14"/>
              </w:rPr>
            </w:pPr>
            <w:r>
              <w:rPr>
                <w:spacing w:val="-2"/>
                <w:sz w:val="14"/>
              </w:rPr>
              <w:t>3,095</w:t>
            </w:r>
          </w:p>
        </w:tc>
      </w:tr>
      <w:tr>
        <w:trPr>
          <w:trHeight w:val="210" w:hRule="atLeast"/>
        </w:trPr>
        <w:tc>
          <w:tcPr>
            <w:tcW w:w="3480" w:type="dxa"/>
          </w:tcPr>
          <w:p>
            <w:pPr>
              <w:pStyle w:val="TableParagraph"/>
              <w:spacing w:line="161" w:lineRule="exact" w:before="29"/>
              <w:ind w:left="52"/>
              <w:rPr>
                <w:sz w:val="14"/>
              </w:rPr>
            </w:pPr>
            <w:r>
              <w:rPr>
                <w:sz w:val="14"/>
              </w:rPr>
              <w:t>Other</w:t>
            </w:r>
            <w:r>
              <w:rPr>
                <w:spacing w:val="-6"/>
                <w:sz w:val="14"/>
              </w:rPr>
              <w:t> </w:t>
            </w:r>
            <w:r>
              <w:rPr>
                <w:sz w:val="14"/>
              </w:rPr>
              <w:t>asset/liability</w:t>
            </w:r>
            <w:r>
              <w:rPr>
                <w:spacing w:val="-6"/>
                <w:sz w:val="14"/>
              </w:rPr>
              <w:t> </w:t>
            </w:r>
            <w:r>
              <w:rPr>
                <w:sz w:val="14"/>
              </w:rPr>
              <w:t>management</w:t>
            </w:r>
            <w:r>
              <w:rPr>
                <w:spacing w:val="-6"/>
                <w:sz w:val="14"/>
              </w:rPr>
              <w:t> </w:t>
            </w:r>
            <w:r>
              <w:rPr>
                <w:spacing w:val="-2"/>
                <w:sz w:val="14"/>
              </w:rPr>
              <w:t>derivatives</w:t>
            </w:r>
          </w:p>
        </w:tc>
        <w:tc>
          <w:tcPr>
            <w:tcW w:w="235" w:type="dxa"/>
            <w:tcBorders>
              <w:bottom w:val="single" w:sz="8" w:space="0" w:color="000000"/>
            </w:tcBorders>
          </w:tcPr>
          <w:p>
            <w:pPr>
              <w:pStyle w:val="TableParagraph"/>
              <w:rPr>
                <w:rFonts w:ascii="Times New Roman"/>
                <w:sz w:val="14"/>
              </w:rPr>
            </w:pPr>
          </w:p>
        </w:tc>
        <w:tc>
          <w:tcPr>
            <w:tcW w:w="1650" w:type="dxa"/>
            <w:tcBorders>
              <w:bottom w:val="single" w:sz="8" w:space="0" w:color="000000"/>
            </w:tcBorders>
          </w:tcPr>
          <w:p>
            <w:pPr>
              <w:pStyle w:val="TableParagraph"/>
              <w:spacing w:line="161" w:lineRule="exact" w:before="29"/>
              <w:ind w:right="84"/>
              <w:jc w:val="right"/>
              <w:rPr>
                <w:sz w:val="14"/>
              </w:rPr>
            </w:pPr>
            <w:r>
              <w:rPr>
                <w:spacing w:val="-5"/>
                <w:sz w:val="14"/>
              </w:rPr>
              <w:t>405</w:t>
            </w:r>
          </w:p>
        </w:tc>
        <w:tc>
          <w:tcPr>
            <w:tcW w:w="183" w:type="dxa"/>
            <w:tcBorders>
              <w:bottom w:val="single" w:sz="8" w:space="0" w:color="000000"/>
            </w:tcBorders>
          </w:tcPr>
          <w:p>
            <w:pPr>
              <w:pStyle w:val="TableParagraph"/>
              <w:rPr>
                <w:rFonts w:ascii="Times New Roman"/>
                <w:sz w:val="14"/>
              </w:rPr>
            </w:pPr>
          </w:p>
        </w:tc>
        <w:tc>
          <w:tcPr>
            <w:tcW w:w="1902" w:type="dxa"/>
            <w:tcBorders>
              <w:bottom w:val="single" w:sz="8" w:space="0" w:color="000000"/>
            </w:tcBorders>
          </w:tcPr>
          <w:p>
            <w:pPr>
              <w:pStyle w:val="TableParagraph"/>
              <w:spacing w:line="161" w:lineRule="exact" w:before="29"/>
              <w:ind w:right="84"/>
              <w:jc w:val="right"/>
              <w:rPr>
                <w:sz w:val="14"/>
              </w:rPr>
            </w:pPr>
            <w:r>
              <w:rPr>
                <w:sz w:val="14"/>
              </w:rPr>
              <w:t>—</w:t>
            </w:r>
          </w:p>
        </w:tc>
        <w:tc>
          <w:tcPr>
            <w:tcW w:w="492" w:type="dxa"/>
            <w:tcBorders>
              <w:bottom w:val="single" w:sz="8" w:space="0" w:color="000000"/>
            </w:tcBorders>
          </w:tcPr>
          <w:p>
            <w:pPr>
              <w:pStyle w:val="TableParagraph"/>
              <w:rPr>
                <w:rFonts w:ascii="Times New Roman"/>
                <w:sz w:val="14"/>
              </w:rPr>
            </w:pPr>
          </w:p>
        </w:tc>
        <w:tc>
          <w:tcPr>
            <w:tcW w:w="783" w:type="dxa"/>
            <w:tcBorders>
              <w:bottom w:val="single" w:sz="8" w:space="0" w:color="000000"/>
            </w:tcBorders>
          </w:tcPr>
          <w:p>
            <w:pPr>
              <w:pStyle w:val="TableParagraph"/>
              <w:rPr>
                <w:rFonts w:ascii="Times New Roman"/>
                <w:sz w:val="14"/>
              </w:rPr>
            </w:pPr>
          </w:p>
        </w:tc>
        <w:tc>
          <w:tcPr>
            <w:tcW w:w="635" w:type="dxa"/>
            <w:tcBorders>
              <w:bottom w:val="single" w:sz="8" w:space="0" w:color="000000"/>
            </w:tcBorders>
          </w:tcPr>
          <w:p>
            <w:pPr>
              <w:pStyle w:val="TableParagraph"/>
              <w:spacing w:line="161" w:lineRule="exact" w:before="29"/>
              <w:ind w:left="278"/>
              <w:jc w:val="center"/>
              <w:rPr>
                <w:sz w:val="14"/>
              </w:rPr>
            </w:pPr>
            <w:r>
              <w:rPr>
                <w:spacing w:val="-5"/>
                <w:sz w:val="14"/>
              </w:rPr>
              <w:t>405</w:t>
            </w:r>
          </w:p>
        </w:tc>
      </w:tr>
      <w:tr>
        <w:trPr>
          <w:trHeight w:val="185" w:hRule="atLeast"/>
        </w:trPr>
        <w:tc>
          <w:tcPr>
            <w:tcW w:w="3480" w:type="dxa"/>
          </w:tcPr>
          <w:p>
            <w:pPr>
              <w:pStyle w:val="TableParagraph"/>
              <w:spacing w:line="141" w:lineRule="exact" w:before="24"/>
              <w:ind w:left="232"/>
              <w:rPr>
                <w:sz w:val="14"/>
              </w:rPr>
            </w:pPr>
            <w:r>
              <w:rPr>
                <w:spacing w:val="-4"/>
                <w:sz w:val="14"/>
              </w:rPr>
              <w:t>Total</w:t>
            </w:r>
            <w:r>
              <w:rPr>
                <w:spacing w:val="2"/>
                <w:sz w:val="14"/>
              </w:rPr>
              <w:t> </w:t>
            </w:r>
            <w:r>
              <w:rPr>
                <w:spacing w:val="-2"/>
                <w:sz w:val="14"/>
              </w:rPr>
              <w:t>Exposure</w:t>
            </w:r>
          </w:p>
        </w:tc>
        <w:tc>
          <w:tcPr>
            <w:tcW w:w="235" w:type="dxa"/>
            <w:tcBorders>
              <w:top w:val="single" w:sz="8" w:space="0" w:color="000000"/>
              <w:bottom w:val="double" w:sz="8" w:space="0" w:color="000000"/>
            </w:tcBorders>
          </w:tcPr>
          <w:p>
            <w:pPr>
              <w:pStyle w:val="TableParagraph"/>
              <w:spacing w:line="141" w:lineRule="exact" w:before="24"/>
              <w:ind w:right="49"/>
              <w:jc w:val="center"/>
              <w:rPr>
                <w:sz w:val="14"/>
              </w:rPr>
            </w:pPr>
            <w:r>
              <w:rPr>
                <w:spacing w:val="-10"/>
                <w:sz w:val="14"/>
              </w:rPr>
              <w:t>$</w:t>
            </w:r>
          </w:p>
        </w:tc>
        <w:tc>
          <w:tcPr>
            <w:tcW w:w="1650" w:type="dxa"/>
            <w:tcBorders>
              <w:top w:val="single" w:sz="8" w:space="0" w:color="000000"/>
              <w:bottom w:val="double" w:sz="8" w:space="0" w:color="000000"/>
            </w:tcBorders>
          </w:tcPr>
          <w:p>
            <w:pPr>
              <w:pStyle w:val="TableParagraph"/>
              <w:spacing w:line="141" w:lineRule="exact" w:before="24"/>
              <w:ind w:right="84"/>
              <w:jc w:val="right"/>
              <w:rPr>
                <w:sz w:val="14"/>
              </w:rPr>
            </w:pPr>
            <w:r>
              <w:rPr>
                <w:spacing w:val="-2"/>
                <w:sz w:val="14"/>
              </w:rPr>
              <w:t>8,193</w:t>
            </w:r>
          </w:p>
        </w:tc>
        <w:tc>
          <w:tcPr>
            <w:tcW w:w="183" w:type="dxa"/>
            <w:tcBorders>
              <w:top w:val="single" w:sz="8" w:space="0" w:color="000000"/>
              <w:bottom w:val="double" w:sz="8" w:space="0" w:color="000000"/>
            </w:tcBorders>
          </w:tcPr>
          <w:p>
            <w:pPr>
              <w:pStyle w:val="TableParagraph"/>
              <w:spacing w:line="141" w:lineRule="exact" w:before="24"/>
              <w:ind w:left="70"/>
              <w:jc w:val="center"/>
              <w:rPr>
                <w:sz w:val="14"/>
              </w:rPr>
            </w:pPr>
            <w:r>
              <w:rPr>
                <w:spacing w:val="-10"/>
                <w:sz w:val="14"/>
              </w:rPr>
              <w:t>$</w:t>
            </w:r>
          </w:p>
        </w:tc>
        <w:tc>
          <w:tcPr>
            <w:tcW w:w="1902" w:type="dxa"/>
            <w:tcBorders>
              <w:top w:val="single" w:sz="8" w:space="0" w:color="000000"/>
              <w:bottom w:val="double" w:sz="8" w:space="0" w:color="000000"/>
            </w:tcBorders>
          </w:tcPr>
          <w:p>
            <w:pPr>
              <w:pStyle w:val="TableParagraph"/>
              <w:spacing w:line="141" w:lineRule="exact" w:before="24"/>
              <w:ind w:right="84"/>
              <w:jc w:val="right"/>
              <w:rPr>
                <w:sz w:val="14"/>
              </w:rPr>
            </w:pPr>
            <w:r>
              <w:rPr>
                <w:spacing w:val="-2"/>
                <w:sz w:val="14"/>
              </w:rPr>
              <w:t>4,623</w:t>
            </w:r>
          </w:p>
        </w:tc>
        <w:tc>
          <w:tcPr>
            <w:tcW w:w="492" w:type="dxa"/>
            <w:tcBorders>
              <w:top w:val="single" w:sz="8" w:space="0" w:color="000000"/>
              <w:bottom w:val="double" w:sz="8" w:space="0" w:color="000000"/>
            </w:tcBorders>
          </w:tcPr>
          <w:p>
            <w:pPr>
              <w:pStyle w:val="TableParagraph"/>
              <w:spacing w:line="141" w:lineRule="exact" w:before="24"/>
              <w:ind w:left="87"/>
              <w:rPr>
                <w:sz w:val="14"/>
              </w:rPr>
            </w:pPr>
            <w:r>
              <w:rPr>
                <w:spacing w:val="-10"/>
                <w:sz w:val="14"/>
              </w:rPr>
              <w:t>$</w:t>
            </w:r>
          </w:p>
        </w:tc>
        <w:tc>
          <w:tcPr>
            <w:tcW w:w="783" w:type="dxa"/>
            <w:tcBorders>
              <w:top w:val="single" w:sz="8" w:space="0" w:color="000000"/>
              <w:bottom w:val="double" w:sz="8" w:space="0" w:color="000000"/>
            </w:tcBorders>
          </w:tcPr>
          <w:p>
            <w:pPr>
              <w:pStyle w:val="TableParagraph"/>
              <w:rPr>
                <w:rFonts w:ascii="Times New Roman"/>
                <w:sz w:val="12"/>
              </w:rPr>
            </w:pPr>
          </w:p>
        </w:tc>
        <w:tc>
          <w:tcPr>
            <w:tcW w:w="635" w:type="dxa"/>
            <w:tcBorders>
              <w:top w:val="single" w:sz="8" w:space="0" w:color="000000"/>
              <w:bottom w:val="double" w:sz="8" w:space="0" w:color="000000"/>
            </w:tcBorders>
          </w:tcPr>
          <w:p>
            <w:pPr>
              <w:pStyle w:val="TableParagraph"/>
              <w:spacing w:line="141" w:lineRule="exact" w:before="24"/>
              <w:ind w:left="84"/>
              <w:jc w:val="center"/>
              <w:rPr>
                <w:sz w:val="14"/>
              </w:rPr>
            </w:pPr>
            <w:r>
              <w:rPr>
                <w:spacing w:val="-2"/>
                <w:sz w:val="14"/>
              </w:rPr>
              <w:t>12,816</w:t>
            </w:r>
          </w:p>
        </w:tc>
      </w:tr>
    </w:tbl>
    <w:p>
      <w:pPr>
        <w:pStyle w:val="BodyText"/>
        <w:spacing w:before="5"/>
        <w:rPr>
          <w:rFonts w:ascii="Arial"/>
          <w:i/>
          <w:sz w:val="11"/>
        </w:rPr>
      </w:pPr>
      <w:r>
        <w:rPr>
          <w:rFonts w:ascii="Arial"/>
          <w:i/>
          <w:sz w:val="11"/>
        </w:rPr>
        <mc:AlternateContent>
          <mc:Choice Requires="wps">
            <w:drawing>
              <wp:anchor distT="0" distB="0" distL="0" distR="0" allowOverlap="1" layoutInCell="1" locked="0" behindDoc="1" simplePos="0" relativeHeight="487732736">
                <wp:simplePos x="0" y="0"/>
                <wp:positionH relativeFrom="page">
                  <wp:posOffset>914400</wp:posOffset>
                </wp:positionH>
                <wp:positionV relativeFrom="paragraph">
                  <wp:posOffset>99060</wp:posOffset>
                </wp:positionV>
                <wp:extent cx="5943600" cy="1270"/>
                <wp:effectExtent l="0" t="0" r="0" b="0"/>
                <wp:wrapTopAndBottom/>
                <wp:docPr id="887" name="Graphic 887"/>
                <wp:cNvGraphicFramePr>
                  <a:graphicFrameLocks/>
                </wp:cNvGraphicFramePr>
                <a:graphic>
                  <a:graphicData uri="http://schemas.microsoft.com/office/word/2010/wordprocessingShape">
                    <wps:wsp>
                      <wps:cNvPr id="887" name="Graphic 88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8pt;width:468pt;height:.1pt;mso-position-horizontal-relative:page;mso-position-vertical-relative:paragraph;z-index:-15583744;mso-wrap-distance-left:0;mso-wrap-distance-right:0" id="docshape730" coordorigin="1440,156" coordsize="9360,0" path="m1440,156l10800,156e" filled="false" stroked="true" strokeweight="1pt" strokecolor="#000000">
                <v:path arrowok="t"/>
                <v:stroke dashstyle="solid"/>
                <w10:wrap type="topAndBottom"/>
              </v:shape>
            </w:pict>
          </mc:Fallback>
        </mc:AlternateContent>
      </w:r>
    </w:p>
    <w:p>
      <w:pPr>
        <w:pStyle w:val="BodyText"/>
        <w:spacing w:before="18"/>
        <w:rPr>
          <w:rFonts w:ascii="Arial"/>
          <w:i/>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80"/>
        <w:gridCol w:w="235"/>
        <w:gridCol w:w="1650"/>
        <w:gridCol w:w="183"/>
        <w:gridCol w:w="1902"/>
        <w:gridCol w:w="492"/>
        <w:gridCol w:w="783"/>
        <w:gridCol w:w="635"/>
      </w:tblGrid>
      <w:tr>
        <w:trPr>
          <w:trHeight w:val="245" w:hRule="atLeast"/>
        </w:trPr>
        <w:tc>
          <w:tcPr>
            <w:tcW w:w="3480" w:type="dxa"/>
          </w:tcPr>
          <w:p>
            <w:pPr>
              <w:pStyle w:val="TableParagraph"/>
              <w:spacing w:line="221" w:lineRule="exact"/>
              <w:ind w:left="52"/>
              <w:rPr>
                <w:rFonts w:ascii="Times New Roman"/>
                <w:b/>
                <w:sz w:val="20"/>
              </w:rPr>
            </w:pPr>
            <w:r>
              <w:rPr>
                <w:rFonts w:ascii="Times New Roman"/>
                <w:b/>
                <w:sz w:val="20"/>
              </w:rPr>
              <w:t>Table</w:t>
            </w:r>
            <w:r>
              <w:rPr>
                <w:rFonts w:ascii="Times New Roman"/>
                <w:b/>
                <w:spacing w:val="-4"/>
                <w:sz w:val="20"/>
              </w:rPr>
              <w:t> F2.1</w:t>
            </w:r>
          </w:p>
        </w:tc>
        <w:tc>
          <w:tcPr>
            <w:tcW w:w="5880" w:type="dxa"/>
            <w:gridSpan w:val="7"/>
            <w:vMerge w:val="restart"/>
            <w:tcBorders>
              <w:bottom w:val="single" w:sz="8" w:space="0" w:color="000000"/>
            </w:tcBorders>
          </w:tcPr>
          <w:p>
            <w:pPr>
              <w:pStyle w:val="TableParagraph"/>
              <w:rPr>
                <w:rFonts w:ascii="Times New Roman"/>
                <w:sz w:val="18"/>
              </w:rPr>
            </w:pPr>
          </w:p>
        </w:tc>
      </w:tr>
      <w:tr>
        <w:trPr>
          <w:trHeight w:val="200" w:hRule="atLeast"/>
        </w:trPr>
        <w:tc>
          <w:tcPr>
            <w:tcW w:w="3480" w:type="dxa"/>
            <w:tcBorders>
              <w:bottom w:val="single" w:sz="8" w:space="0" w:color="000000"/>
            </w:tcBorders>
          </w:tcPr>
          <w:p>
            <w:pPr>
              <w:pStyle w:val="TableParagraph"/>
              <w:spacing w:line="160" w:lineRule="exact" w:before="20"/>
              <w:ind w:left="52"/>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c>
        <w:tc>
          <w:tcPr>
            <w:tcW w:w="5880" w:type="dxa"/>
            <w:gridSpan w:val="7"/>
            <w:vMerge/>
            <w:tcBorders>
              <w:top w:val="nil"/>
              <w:bottom w:val="single" w:sz="8" w:space="0" w:color="000000"/>
            </w:tcBorders>
          </w:tcPr>
          <w:p>
            <w:pPr>
              <w:rPr>
                <w:sz w:val="2"/>
                <w:szCs w:val="2"/>
              </w:rPr>
            </w:pPr>
          </w:p>
        </w:tc>
      </w:tr>
      <w:tr>
        <w:trPr>
          <w:trHeight w:val="205" w:hRule="atLeast"/>
        </w:trPr>
        <w:tc>
          <w:tcPr>
            <w:tcW w:w="3480" w:type="dxa"/>
            <w:tcBorders>
              <w:top w:val="single" w:sz="8" w:space="0" w:color="000000"/>
            </w:tcBorders>
          </w:tcPr>
          <w:p>
            <w:pPr>
              <w:pStyle w:val="TableParagraph"/>
              <w:rPr>
                <w:rFonts w:ascii="Times New Roman"/>
                <w:sz w:val="14"/>
              </w:rPr>
            </w:pPr>
          </w:p>
        </w:tc>
        <w:tc>
          <w:tcPr>
            <w:tcW w:w="235" w:type="dxa"/>
            <w:tcBorders>
              <w:top w:val="single" w:sz="8" w:space="0" w:color="000000"/>
              <w:bottom w:val="single" w:sz="8" w:space="0" w:color="000000"/>
            </w:tcBorders>
          </w:tcPr>
          <w:p>
            <w:pPr>
              <w:pStyle w:val="TableParagraph"/>
              <w:rPr>
                <w:rFonts w:ascii="Times New Roman"/>
                <w:sz w:val="14"/>
              </w:rPr>
            </w:pPr>
          </w:p>
        </w:tc>
        <w:tc>
          <w:tcPr>
            <w:tcW w:w="1650" w:type="dxa"/>
            <w:tcBorders>
              <w:top w:val="single" w:sz="8" w:space="0" w:color="000000"/>
              <w:bottom w:val="single" w:sz="8" w:space="0" w:color="000000"/>
            </w:tcBorders>
          </w:tcPr>
          <w:p>
            <w:pPr>
              <w:pStyle w:val="TableParagraph"/>
              <w:rPr>
                <w:rFonts w:ascii="Times New Roman"/>
                <w:sz w:val="14"/>
              </w:rPr>
            </w:pPr>
          </w:p>
        </w:tc>
        <w:tc>
          <w:tcPr>
            <w:tcW w:w="183" w:type="dxa"/>
            <w:tcBorders>
              <w:top w:val="single" w:sz="8" w:space="0" w:color="000000"/>
              <w:bottom w:val="single" w:sz="8" w:space="0" w:color="000000"/>
            </w:tcBorders>
          </w:tcPr>
          <w:p>
            <w:pPr>
              <w:pStyle w:val="TableParagraph"/>
              <w:rPr>
                <w:rFonts w:ascii="Times New Roman"/>
                <w:sz w:val="14"/>
              </w:rPr>
            </w:pPr>
          </w:p>
        </w:tc>
        <w:tc>
          <w:tcPr>
            <w:tcW w:w="1902" w:type="dxa"/>
            <w:tcBorders>
              <w:top w:val="single" w:sz="8" w:space="0" w:color="000000"/>
              <w:bottom w:val="single" w:sz="8" w:space="0" w:color="000000"/>
            </w:tcBorders>
          </w:tcPr>
          <w:p>
            <w:pPr>
              <w:pStyle w:val="TableParagraph"/>
              <w:spacing w:line="160" w:lineRule="exact" w:before="24"/>
              <w:ind w:left="428"/>
              <w:rPr>
                <w:rFonts w:ascii="Arial"/>
                <w:i/>
                <w:sz w:val="14"/>
              </w:rPr>
            </w:pP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2022</w:t>
            </w:r>
          </w:p>
        </w:tc>
        <w:tc>
          <w:tcPr>
            <w:tcW w:w="492" w:type="dxa"/>
            <w:tcBorders>
              <w:top w:val="single" w:sz="8" w:space="0" w:color="000000"/>
              <w:bottom w:val="single" w:sz="8" w:space="0" w:color="000000"/>
            </w:tcBorders>
          </w:tcPr>
          <w:p>
            <w:pPr>
              <w:pStyle w:val="TableParagraph"/>
              <w:rPr>
                <w:rFonts w:ascii="Times New Roman"/>
                <w:sz w:val="14"/>
              </w:rPr>
            </w:pPr>
          </w:p>
        </w:tc>
        <w:tc>
          <w:tcPr>
            <w:tcW w:w="783" w:type="dxa"/>
            <w:tcBorders>
              <w:top w:val="single" w:sz="8" w:space="0" w:color="000000"/>
              <w:bottom w:val="single" w:sz="8" w:space="0" w:color="000000"/>
            </w:tcBorders>
          </w:tcPr>
          <w:p>
            <w:pPr>
              <w:pStyle w:val="TableParagraph"/>
              <w:rPr>
                <w:rFonts w:ascii="Times New Roman"/>
                <w:sz w:val="14"/>
              </w:rPr>
            </w:pPr>
          </w:p>
        </w:tc>
        <w:tc>
          <w:tcPr>
            <w:tcW w:w="635" w:type="dxa"/>
            <w:tcBorders>
              <w:top w:val="single" w:sz="8" w:space="0" w:color="000000"/>
              <w:bottom w:val="single" w:sz="8" w:space="0" w:color="000000"/>
            </w:tcBorders>
          </w:tcPr>
          <w:p>
            <w:pPr>
              <w:pStyle w:val="TableParagraph"/>
              <w:rPr>
                <w:rFonts w:ascii="Times New Roman"/>
                <w:sz w:val="14"/>
              </w:rPr>
            </w:pPr>
          </w:p>
        </w:tc>
      </w:tr>
      <w:tr>
        <w:trPr>
          <w:trHeight w:val="385" w:hRule="atLeast"/>
        </w:trPr>
        <w:tc>
          <w:tcPr>
            <w:tcW w:w="3480" w:type="dxa"/>
            <w:tcBorders>
              <w:bottom w:val="single" w:sz="8" w:space="0" w:color="000000"/>
            </w:tcBorders>
          </w:tcPr>
          <w:p>
            <w:pPr>
              <w:pStyle w:val="TableParagraph"/>
              <w:spacing w:before="43"/>
              <w:rPr>
                <w:rFonts w:ascii="Arial"/>
                <w:i/>
                <w:sz w:val="14"/>
              </w:rPr>
            </w:pPr>
          </w:p>
          <w:p>
            <w:pPr>
              <w:pStyle w:val="TableParagraph"/>
              <w:spacing w:line="160" w:lineRule="exact"/>
              <w:ind w:left="52"/>
              <w:rPr>
                <w:rFonts w:ascii="Arial"/>
                <w:i/>
                <w:sz w:val="14"/>
              </w:rPr>
            </w:pPr>
            <w:r>
              <w:rPr>
                <w:rFonts w:ascii="Arial"/>
                <w:i/>
                <w:spacing w:val="-2"/>
                <w:sz w:val="14"/>
              </w:rPr>
              <w:t>Portfolio</w:t>
            </w:r>
          </w:p>
        </w:tc>
        <w:tc>
          <w:tcPr>
            <w:tcW w:w="235" w:type="dxa"/>
            <w:tcBorders>
              <w:top w:val="single" w:sz="8" w:space="0" w:color="000000"/>
              <w:bottom w:val="single" w:sz="8" w:space="0" w:color="000000"/>
            </w:tcBorders>
          </w:tcPr>
          <w:p>
            <w:pPr>
              <w:pStyle w:val="TableParagraph"/>
              <w:rPr>
                <w:rFonts w:ascii="Times New Roman"/>
                <w:sz w:val="18"/>
              </w:rPr>
            </w:pPr>
          </w:p>
        </w:tc>
        <w:tc>
          <w:tcPr>
            <w:tcW w:w="1650" w:type="dxa"/>
            <w:tcBorders>
              <w:top w:val="single" w:sz="8" w:space="0" w:color="000000"/>
              <w:bottom w:val="single" w:sz="8" w:space="0" w:color="000000"/>
            </w:tcBorders>
          </w:tcPr>
          <w:p>
            <w:pPr>
              <w:pStyle w:val="TableParagraph"/>
              <w:spacing w:before="43"/>
              <w:rPr>
                <w:rFonts w:ascii="Arial"/>
                <w:i/>
                <w:sz w:val="14"/>
              </w:rPr>
            </w:pPr>
          </w:p>
          <w:p>
            <w:pPr>
              <w:pStyle w:val="TableParagraph"/>
              <w:spacing w:line="160" w:lineRule="exact"/>
              <w:ind w:left="104"/>
              <w:rPr>
                <w:rFonts w:ascii="Arial"/>
                <w:i/>
                <w:sz w:val="14"/>
              </w:rPr>
            </w:pPr>
            <w:r>
              <w:rPr>
                <w:rFonts w:ascii="Arial"/>
                <w:i/>
                <w:sz w:val="14"/>
              </w:rPr>
              <w:t>Interest</w:t>
            </w:r>
            <w:r>
              <w:rPr>
                <w:rFonts w:ascii="Arial"/>
                <w:i/>
                <w:spacing w:val="-2"/>
                <w:sz w:val="14"/>
              </w:rPr>
              <w:t> </w:t>
            </w:r>
            <w:r>
              <w:rPr>
                <w:rFonts w:ascii="Arial"/>
                <w:i/>
                <w:sz w:val="14"/>
              </w:rPr>
              <w:t>rate</w:t>
            </w:r>
            <w:r>
              <w:rPr>
                <w:rFonts w:ascii="Arial"/>
                <w:i/>
                <w:spacing w:val="-2"/>
                <w:sz w:val="14"/>
              </w:rPr>
              <w:t> swaps</w:t>
            </w:r>
          </w:p>
        </w:tc>
        <w:tc>
          <w:tcPr>
            <w:tcW w:w="183" w:type="dxa"/>
            <w:tcBorders>
              <w:top w:val="single" w:sz="8" w:space="0" w:color="000000"/>
              <w:bottom w:val="single" w:sz="8" w:space="0" w:color="000000"/>
            </w:tcBorders>
          </w:tcPr>
          <w:p>
            <w:pPr>
              <w:pStyle w:val="TableParagraph"/>
              <w:rPr>
                <w:rFonts w:ascii="Times New Roman"/>
                <w:sz w:val="18"/>
              </w:rPr>
            </w:pPr>
          </w:p>
        </w:tc>
        <w:tc>
          <w:tcPr>
            <w:tcW w:w="1902" w:type="dxa"/>
            <w:tcBorders>
              <w:top w:val="single" w:sz="8" w:space="0" w:color="000000"/>
              <w:bottom w:val="single" w:sz="8" w:space="0" w:color="000000"/>
            </w:tcBorders>
          </w:tcPr>
          <w:p>
            <w:pPr>
              <w:pStyle w:val="TableParagraph"/>
              <w:spacing w:line="160" w:lineRule="atLeast" w:before="36"/>
              <w:ind w:left="17" w:firstLine="27"/>
              <w:rPr>
                <w:rFonts w:ascii="Arial"/>
                <w:i/>
                <w:sz w:val="14"/>
              </w:rPr>
            </w:pPr>
            <w:r>
              <w:rPr>
                <w:rFonts w:ascii="Arial"/>
                <w:i/>
                <w:sz w:val="14"/>
              </w:rPr>
              <w:t>Currency</w:t>
            </w:r>
            <w:r>
              <w:rPr>
                <w:rFonts w:ascii="Arial"/>
                <w:i/>
                <w:spacing w:val="-6"/>
                <w:sz w:val="14"/>
              </w:rPr>
              <w:t> </w:t>
            </w:r>
            <w:r>
              <w:rPr>
                <w:rFonts w:ascii="Arial"/>
                <w:i/>
                <w:sz w:val="14"/>
              </w:rPr>
              <w:t>swaps</w:t>
            </w:r>
            <w:r>
              <w:rPr>
                <w:rFonts w:ascii="Arial"/>
                <w:i/>
                <w:spacing w:val="-6"/>
                <w:sz w:val="14"/>
              </w:rPr>
              <w:t> </w:t>
            </w:r>
            <w:r>
              <w:rPr>
                <w:rFonts w:ascii="Arial"/>
                <w:i/>
                <w:sz w:val="14"/>
              </w:rPr>
              <w:t>(including</w:t>
            </w:r>
            <w:r>
              <w:rPr>
                <w:rFonts w:ascii="Arial"/>
                <w:i/>
                <w:spacing w:val="40"/>
                <w:sz w:val="14"/>
              </w:rPr>
              <w:t> </w:t>
            </w:r>
            <w:r>
              <w:rPr>
                <w:rFonts w:ascii="Arial"/>
                <w:i/>
                <w:sz w:val="14"/>
              </w:rPr>
              <w:t>currency</w:t>
            </w:r>
            <w:r>
              <w:rPr>
                <w:rFonts w:ascii="Arial"/>
                <w:i/>
                <w:spacing w:val="-3"/>
                <w:sz w:val="14"/>
              </w:rPr>
              <w:t> </w:t>
            </w:r>
            <w:r>
              <w:rPr>
                <w:rFonts w:ascii="Arial"/>
                <w:i/>
                <w:sz w:val="14"/>
              </w:rPr>
              <w:t>forward</w:t>
            </w:r>
            <w:r>
              <w:rPr>
                <w:rFonts w:ascii="Arial"/>
                <w:i/>
                <w:spacing w:val="-3"/>
                <w:sz w:val="14"/>
              </w:rPr>
              <w:t> </w:t>
            </w:r>
            <w:r>
              <w:rPr>
                <w:rFonts w:ascii="Arial"/>
                <w:i/>
                <w:spacing w:val="-2"/>
                <w:sz w:val="14"/>
              </w:rPr>
              <w:t>contracts)</w:t>
            </w:r>
          </w:p>
        </w:tc>
        <w:tc>
          <w:tcPr>
            <w:tcW w:w="492" w:type="dxa"/>
            <w:tcBorders>
              <w:top w:val="single" w:sz="8" w:space="0" w:color="000000"/>
              <w:bottom w:val="single" w:sz="8" w:space="0" w:color="000000"/>
            </w:tcBorders>
          </w:tcPr>
          <w:p>
            <w:pPr>
              <w:pStyle w:val="TableParagraph"/>
              <w:rPr>
                <w:rFonts w:ascii="Times New Roman"/>
                <w:sz w:val="18"/>
              </w:rPr>
            </w:pPr>
          </w:p>
        </w:tc>
        <w:tc>
          <w:tcPr>
            <w:tcW w:w="783" w:type="dxa"/>
            <w:tcBorders>
              <w:top w:val="single" w:sz="8" w:space="0" w:color="000000"/>
              <w:bottom w:val="single" w:sz="8" w:space="0" w:color="000000"/>
            </w:tcBorders>
          </w:tcPr>
          <w:p>
            <w:pPr>
              <w:pStyle w:val="TableParagraph"/>
              <w:spacing w:before="43"/>
              <w:rPr>
                <w:rFonts w:ascii="Arial"/>
                <w:i/>
                <w:sz w:val="14"/>
              </w:rPr>
            </w:pPr>
          </w:p>
          <w:p>
            <w:pPr>
              <w:pStyle w:val="TableParagraph"/>
              <w:spacing w:line="160" w:lineRule="exact"/>
              <w:ind w:left="325"/>
              <w:rPr>
                <w:rFonts w:ascii="Arial"/>
                <w:i/>
                <w:sz w:val="14"/>
              </w:rPr>
            </w:pPr>
            <w:r>
              <w:rPr>
                <w:rFonts w:ascii="Arial"/>
                <w:i/>
                <w:spacing w:val="-4"/>
                <w:sz w:val="14"/>
              </w:rPr>
              <w:t>Total</w:t>
            </w:r>
          </w:p>
        </w:tc>
        <w:tc>
          <w:tcPr>
            <w:tcW w:w="635" w:type="dxa"/>
            <w:tcBorders>
              <w:top w:val="single" w:sz="8" w:space="0" w:color="000000"/>
              <w:bottom w:val="single" w:sz="8" w:space="0" w:color="000000"/>
            </w:tcBorders>
          </w:tcPr>
          <w:p>
            <w:pPr>
              <w:pStyle w:val="TableParagraph"/>
              <w:rPr>
                <w:rFonts w:ascii="Times New Roman"/>
                <w:sz w:val="18"/>
              </w:rPr>
            </w:pPr>
          </w:p>
        </w:tc>
      </w:tr>
      <w:tr>
        <w:trPr>
          <w:trHeight w:val="219" w:hRule="atLeast"/>
        </w:trPr>
        <w:tc>
          <w:tcPr>
            <w:tcW w:w="3480" w:type="dxa"/>
            <w:tcBorders>
              <w:top w:val="single" w:sz="8" w:space="0" w:color="000000"/>
            </w:tcBorders>
          </w:tcPr>
          <w:p>
            <w:pPr>
              <w:pStyle w:val="TableParagraph"/>
              <w:spacing w:before="24"/>
              <w:ind w:left="52"/>
              <w:rPr>
                <w:sz w:val="14"/>
              </w:rPr>
            </w:pPr>
            <w:r>
              <w:rPr>
                <w:spacing w:val="-2"/>
                <w:sz w:val="14"/>
              </w:rPr>
              <w:t>Investments</w:t>
            </w:r>
          </w:p>
        </w:tc>
        <w:tc>
          <w:tcPr>
            <w:tcW w:w="235" w:type="dxa"/>
            <w:tcBorders>
              <w:top w:val="single" w:sz="8" w:space="0" w:color="000000"/>
            </w:tcBorders>
          </w:tcPr>
          <w:p>
            <w:pPr>
              <w:pStyle w:val="TableParagraph"/>
              <w:spacing w:before="24"/>
              <w:ind w:right="49"/>
              <w:jc w:val="center"/>
              <w:rPr>
                <w:sz w:val="14"/>
              </w:rPr>
            </w:pPr>
            <w:r>
              <w:rPr>
                <w:spacing w:val="-10"/>
                <w:sz w:val="14"/>
              </w:rPr>
              <w:t>$</w:t>
            </w:r>
          </w:p>
        </w:tc>
        <w:tc>
          <w:tcPr>
            <w:tcW w:w="1650" w:type="dxa"/>
            <w:tcBorders>
              <w:top w:val="single" w:sz="8" w:space="0" w:color="000000"/>
            </w:tcBorders>
          </w:tcPr>
          <w:p>
            <w:pPr>
              <w:pStyle w:val="TableParagraph"/>
              <w:spacing w:before="24"/>
              <w:ind w:right="84"/>
              <w:jc w:val="right"/>
              <w:rPr>
                <w:sz w:val="14"/>
              </w:rPr>
            </w:pPr>
            <w:r>
              <w:rPr>
                <w:spacing w:val="-5"/>
                <w:sz w:val="14"/>
              </w:rPr>
              <w:t>19</w:t>
            </w:r>
          </w:p>
        </w:tc>
        <w:tc>
          <w:tcPr>
            <w:tcW w:w="183" w:type="dxa"/>
            <w:tcBorders>
              <w:top w:val="single" w:sz="8" w:space="0" w:color="000000"/>
            </w:tcBorders>
          </w:tcPr>
          <w:p>
            <w:pPr>
              <w:pStyle w:val="TableParagraph"/>
              <w:spacing w:before="24"/>
              <w:ind w:left="70"/>
              <w:jc w:val="center"/>
              <w:rPr>
                <w:sz w:val="14"/>
              </w:rPr>
            </w:pPr>
            <w:r>
              <w:rPr>
                <w:spacing w:val="-10"/>
                <w:sz w:val="14"/>
              </w:rPr>
              <w:t>$</w:t>
            </w:r>
          </w:p>
        </w:tc>
        <w:tc>
          <w:tcPr>
            <w:tcW w:w="1902" w:type="dxa"/>
            <w:tcBorders>
              <w:top w:val="single" w:sz="8" w:space="0" w:color="000000"/>
            </w:tcBorders>
          </w:tcPr>
          <w:p>
            <w:pPr>
              <w:pStyle w:val="TableParagraph"/>
              <w:spacing w:before="24"/>
              <w:ind w:right="84"/>
              <w:jc w:val="right"/>
              <w:rPr>
                <w:sz w:val="14"/>
              </w:rPr>
            </w:pPr>
            <w:r>
              <w:rPr>
                <w:spacing w:val="-5"/>
                <w:sz w:val="14"/>
              </w:rPr>
              <w:t>941</w:t>
            </w:r>
          </w:p>
        </w:tc>
        <w:tc>
          <w:tcPr>
            <w:tcW w:w="492" w:type="dxa"/>
            <w:tcBorders>
              <w:top w:val="single" w:sz="8" w:space="0" w:color="000000"/>
            </w:tcBorders>
          </w:tcPr>
          <w:p>
            <w:pPr>
              <w:pStyle w:val="TableParagraph"/>
              <w:spacing w:before="24"/>
              <w:ind w:left="87"/>
              <w:rPr>
                <w:sz w:val="14"/>
              </w:rPr>
            </w:pPr>
            <w:r>
              <w:rPr>
                <w:spacing w:val="-10"/>
                <w:sz w:val="14"/>
              </w:rPr>
              <w:t>$</w:t>
            </w:r>
          </w:p>
        </w:tc>
        <w:tc>
          <w:tcPr>
            <w:tcW w:w="783" w:type="dxa"/>
            <w:tcBorders>
              <w:top w:val="single" w:sz="8" w:space="0" w:color="000000"/>
            </w:tcBorders>
          </w:tcPr>
          <w:p>
            <w:pPr>
              <w:pStyle w:val="TableParagraph"/>
              <w:rPr>
                <w:rFonts w:ascii="Times New Roman"/>
                <w:sz w:val="14"/>
              </w:rPr>
            </w:pPr>
          </w:p>
        </w:tc>
        <w:tc>
          <w:tcPr>
            <w:tcW w:w="635" w:type="dxa"/>
            <w:tcBorders>
              <w:top w:val="single" w:sz="8" w:space="0" w:color="000000"/>
            </w:tcBorders>
          </w:tcPr>
          <w:p>
            <w:pPr>
              <w:pStyle w:val="TableParagraph"/>
              <w:spacing w:before="24"/>
              <w:ind w:left="278"/>
              <w:jc w:val="center"/>
              <w:rPr>
                <w:sz w:val="14"/>
              </w:rPr>
            </w:pPr>
            <w:r>
              <w:rPr>
                <w:spacing w:val="-5"/>
                <w:sz w:val="14"/>
              </w:rPr>
              <w:t>960</w:t>
            </w:r>
          </w:p>
        </w:tc>
      </w:tr>
      <w:tr>
        <w:trPr>
          <w:trHeight w:val="225" w:hRule="atLeast"/>
        </w:trPr>
        <w:tc>
          <w:tcPr>
            <w:tcW w:w="3480" w:type="dxa"/>
          </w:tcPr>
          <w:p>
            <w:pPr>
              <w:pStyle w:val="TableParagraph"/>
              <w:spacing w:before="29"/>
              <w:ind w:left="52"/>
              <w:rPr>
                <w:sz w:val="14"/>
              </w:rPr>
            </w:pPr>
            <w:r>
              <w:rPr>
                <w:spacing w:val="-2"/>
                <w:sz w:val="14"/>
              </w:rPr>
              <w:t>Loans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2"/>
                <w:sz w:val="14"/>
              </w:rPr>
              <w:t>4,155</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2"/>
                <w:sz w:val="14"/>
              </w:rPr>
              <w:t>1,374</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162"/>
              <w:jc w:val="center"/>
              <w:rPr>
                <w:sz w:val="14"/>
              </w:rPr>
            </w:pPr>
            <w:r>
              <w:rPr>
                <w:spacing w:val="-2"/>
                <w:sz w:val="14"/>
              </w:rPr>
              <w:t>5,529</w:t>
            </w:r>
          </w:p>
        </w:tc>
      </w:tr>
      <w:tr>
        <w:trPr>
          <w:trHeight w:val="225" w:hRule="atLeast"/>
        </w:trPr>
        <w:tc>
          <w:tcPr>
            <w:tcW w:w="3480" w:type="dxa"/>
          </w:tcPr>
          <w:p>
            <w:pPr>
              <w:pStyle w:val="TableParagraph"/>
              <w:spacing w:before="29"/>
              <w:ind w:left="52"/>
              <w:rPr>
                <w:sz w:val="14"/>
              </w:rPr>
            </w:pPr>
            <w:r>
              <w:rPr>
                <w:sz w:val="14"/>
              </w:rPr>
              <w:t>Client</w:t>
            </w:r>
            <w:r>
              <w:rPr>
                <w:spacing w:val="-7"/>
                <w:sz w:val="14"/>
              </w:rPr>
              <w:t> </w:t>
            </w:r>
            <w:r>
              <w:rPr>
                <w:spacing w:val="-2"/>
                <w:sz w:val="14"/>
              </w:rPr>
              <w:t>operations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5"/>
                <w:sz w:val="14"/>
              </w:rPr>
              <w:t>402</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5"/>
                <w:sz w:val="14"/>
              </w:rPr>
              <w:t>877</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162"/>
              <w:jc w:val="center"/>
              <w:rPr>
                <w:sz w:val="14"/>
              </w:rPr>
            </w:pPr>
            <w:r>
              <w:rPr>
                <w:spacing w:val="-2"/>
                <w:sz w:val="14"/>
              </w:rPr>
              <w:t>1,279</w:t>
            </w:r>
          </w:p>
        </w:tc>
      </w:tr>
      <w:tr>
        <w:trPr>
          <w:trHeight w:val="225" w:hRule="atLeast"/>
        </w:trPr>
        <w:tc>
          <w:tcPr>
            <w:tcW w:w="3480" w:type="dxa"/>
          </w:tcPr>
          <w:p>
            <w:pPr>
              <w:pStyle w:val="TableParagraph"/>
              <w:spacing w:before="29"/>
              <w:ind w:left="52"/>
              <w:rPr>
                <w:sz w:val="14"/>
              </w:rPr>
            </w:pPr>
            <w:r>
              <w:rPr>
                <w:spacing w:val="-2"/>
                <w:sz w:val="14"/>
              </w:rPr>
              <w:t>Borrowings</w:t>
            </w:r>
          </w:p>
        </w:tc>
        <w:tc>
          <w:tcPr>
            <w:tcW w:w="235" w:type="dxa"/>
          </w:tcPr>
          <w:p>
            <w:pPr>
              <w:pStyle w:val="TableParagraph"/>
              <w:rPr>
                <w:rFonts w:ascii="Times New Roman"/>
                <w:sz w:val="16"/>
              </w:rPr>
            </w:pPr>
          </w:p>
        </w:tc>
        <w:tc>
          <w:tcPr>
            <w:tcW w:w="1650" w:type="dxa"/>
          </w:tcPr>
          <w:p>
            <w:pPr>
              <w:pStyle w:val="TableParagraph"/>
              <w:spacing w:before="29"/>
              <w:ind w:right="84"/>
              <w:jc w:val="right"/>
              <w:rPr>
                <w:sz w:val="14"/>
              </w:rPr>
            </w:pPr>
            <w:r>
              <w:rPr>
                <w:spacing w:val="-2"/>
                <w:sz w:val="14"/>
              </w:rPr>
              <w:t>1,728</w:t>
            </w:r>
          </w:p>
        </w:tc>
        <w:tc>
          <w:tcPr>
            <w:tcW w:w="183" w:type="dxa"/>
          </w:tcPr>
          <w:p>
            <w:pPr>
              <w:pStyle w:val="TableParagraph"/>
              <w:rPr>
                <w:rFonts w:ascii="Times New Roman"/>
                <w:sz w:val="16"/>
              </w:rPr>
            </w:pPr>
          </w:p>
        </w:tc>
        <w:tc>
          <w:tcPr>
            <w:tcW w:w="1902" w:type="dxa"/>
          </w:tcPr>
          <w:p>
            <w:pPr>
              <w:pStyle w:val="TableParagraph"/>
              <w:spacing w:before="29"/>
              <w:ind w:right="84"/>
              <w:jc w:val="right"/>
              <w:rPr>
                <w:sz w:val="14"/>
              </w:rPr>
            </w:pPr>
            <w:r>
              <w:rPr>
                <w:spacing w:val="-2"/>
                <w:sz w:val="14"/>
              </w:rPr>
              <w:t>1,761</w:t>
            </w:r>
          </w:p>
        </w:tc>
        <w:tc>
          <w:tcPr>
            <w:tcW w:w="492" w:type="dxa"/>
          </w:tcPr>
          <w:p>
            <w:pPr>
              <w:pStyle w:val="TableParagraph"/>
              <w:rPr>
                <w:rFonts w:ascii="Times New Roman"/>
                <w:sz w:val="16"/>
              </w:rPr>
            </w:pPr>
          </w:p>
        </w:tc>
        <w:tc>
          <w:tcPr>
            <w:tcW w:w="783" w:type="dxa"/>
          </w:tcPr>
          <w:p>
            <w:pPr>
              <w:pStyle w:val="TableParagraph"/>
              <w:rPr>
                <w:rFonts w:ascii="Times New Roman"/>
                <w:sz w:val="16"/>
              </w:rPr>
            </w:pPr>
          </w:p>
        </w:tc>
        <w:tc>
          <w:tcPr>
            <w:tcW w:w="635" w:type="dxa"/>
          </w:tcPr>
          <w:p>
            <w:pPr>
              <w:pStyle w:val="TableParagraph"/>
              <w:spacing w:before="29"/>
              <w:ind w:left="162"/>
              <w:jc w:val="center"/>
              <w:rPr>
                <w:sz w:val="14"/>
              </w:rPr>
            </w:pPr>
            <w:r>
              <w:rPr>
                <w:spacing w:val="-2"/>
                <w:sz w:val="14"/>
              </w:rPr>
              <w:t>3,489</w:t>
            </w:r>
          </w:p>
        </w:tc>
      </w:tr>
      <w:tr>
        <w:trPr>
          <w:trHeight w:val="210" w:hRule="atLeast"/>
        </w:trPr>
        <w:tc>
          <w:tcPr>
            <w:tcW w:w="3480" w:type="dxa"/>
          </w:tcPr>
          <w:p>
            <w:pPr>
              <w:pStyle w:val="TableParagraph"/>
              <w:spacing w:line="161" w:lineRule="exact" w:before="29"/>
              <w:ind w:left="52"/>
              <w:rPr>
                <w:sz w:val="14"/>
              </w:rPr>
            </w:pPr>
            <w:r>
              <w:rPr>
                <w:sz w:val="14"/>
              </w:rPr>
              <w:t>Other</w:t>
            </w:r>
            <w:r>
              <w:rPr>
                <w:spacing w:val="-6"/>
                <w:sz w:val="14"/>
              </w:rPr>
              <w:t> </w:t>
            </w:r>
            <w:r>
              <w:rPr>
                <w:sz w:val="14"/>
              </w:rPr>
              <w:t>asset/liability</w:t>
            </w:r>
            <w:r>
              <w:rPr>
                <w:spacing w:val="-6"/>
                <w:sz w:val="14"/>
              </w:rPr>
              <w:t> </w:t>
            </w:r>
            <w:r>
              <w:rPr>
                <w:sz w:val="14"/>
              </w:rPr>
              <w:t>management</w:t>
            </w:r>
            <w:r>
              <w:rPr>
                <w:spacing w:val="-6"/>
                <w:sz w:val="14"/>
              </w:rPr>
              <w:t> </w:t>
            </w:r>
            <w:r>
              <w:rPr>
                <w:spacing w:val="-2"/>
                <w:sz w:val="14"/>
              </w:rPr>
              <w:t>derivatives</w:t>
            </w:r>
          </w:p>
        </w:tc>
        <w:tc>
          <w:tcPr>
            <w:tcW w:w="235" w:type="dxa"/>
            <w:tcBorders>
              <w:bottom w:val="single" w:sz="8" w:space="0" w:color="000000"/>
            </w:tcBorders>
          </w:tcPr>
          <w:p>
            <w:pPr>
              <w:pStyle w:val="TableParagraph"/>
              <w:rPr>
                <w:rFonts w:ascii="Times New Roman"/>
                <w:sz w:val="14"/>
              </w:rPr>
            </w:pPr>
          </w:p>
        </w:tc>
        <w:tc>
          <w:tcPr>
            <w:tcW w:w="1650" w:type="dxa"/>
            <w:tcBorders>
              <w:bottom w:val="single" w:sz="8" w:space="0" w:color="000000"/>
            </w:tcBorders>
          </w:tcPr>
          <w:p>
            <w:pPr>
              <w:pStyle w:val="TableParagraph"/>
              <w:spacing w:line="161" w:lineRule="exact" w:before="29"/>
              <w:ind w:right="84"/>
              <w:jc w:val="right"/>
              <w:rPr>
                <w:sz w:val="14"/>
              </w:rPr>
            </w:pPr>
            <w:r>
              <w:rPr>
                <w:spacing w:val="-5"/>
                <w:sz w:val="14"/>
              </w:rPr>
              <w:t>233</w:t>
            </w:r>
          </w:p>
        </w:tc>
        <w:tc>
          <w:tcPr>
            <w:tcW w:w="183" w:type="dxa"/>
            <w:tcBorders>
              <w:bottom w:val="single" w:sz="8" w:space="0" w:color="000000"/>
            </w:tcBorders>
          </w:tcPr>
          <w:p>
            <w:pPr>
              <w:pStyle w:val="TableParagraph"/>
              <w:rPr>
                <w:rFonts w:ascii="Times New Roman"/>
                <w:sz w:val="14"/>
              </w:rPr>
            </w:pPr>
          </w:p>
        </w:tc>
        <w:tc>
          <w:tcPr>
            <w:tcW w:w="1902" w:type="dxa"/>
            <w:tcBorders>
              <w:bottom w:val="single" w:sz="8" w:space="0" w:color="000000"/>
            </w:tcBorders>
          </w:tcPr>
          <w:p>
            <w:pPr>
              <w:pStyle w:val="TableParagraph"/>
              <w:spacing w:line="161" w:lineRule="exact" w:before="29"/>
              <w:ind w:right="84"/>
              <w:jc w:val="right"/>
              <w:rPr>
                <w:sz w:val="14"/>
              </w:rPr>
            </w:pPr>
            <w:r>
              <w:rPr>
                <w:sz w:val="14"/>
              </w:rPr>
              <w:t>—</w:t>
            </w:r>
          </w:p>
        </w:tc>
        <w:tc>
          <w:tcPr>
            <w:tcW w:w="492" w:type="dxa"/>
            <w:tcBorders>
              <w:bottom w:val="single" w:sz="8" w:space="0" w:color="000000"/>
            </w:tcBorders>
          </w:tcPr>
          <w:p>
            <w:pPr>
              <w:pStyle w:val="TableParagraph"/>
              <w:rPr>
                <w:rFonts w:ascii="Times New Roman"/>
                <w:sz w:val="14"/>
              </w:rPr>
            </w:pPr>
          </w:p>
        </w:tc>
        <w:tc>
          <w:tcPr>
            <w:tcW w:w="783" w:type="dxa"/>
            <w:tcBorders>
              <w:bottom w:val="single" w:sz="8" w:space="0" w:color="000000"/>
            </w:tcBorders>
          </w:tcPr>
          <w:p>
            <w:pPr>
              <w:pStyle w:val="TableParagraph"/>
              <w:rPr>
                <w:rFonts w:ascii="Times New Roman"/>
                <w:sz w:val="14"/>
              </w:rPr>
            </w:pPr>
          </w:p>
        </w:tc>
        <w:tc>
          <w:tcPr>
            <w:tcW w:w="635" w:type="dxa"/>
            <w:tcBorders>
              <w:bottom w:val="single" w:sz="8" w:space="0" w:color="000000"/>
            </w:tcBorders>
          </w:tcPr>
          <w:p>
            <w:pPr>
              <w:pStyle w:val="TableParagraph"/>
              <w:spacing w:line="161" w:lineRule="exact" w:before="29"/>
              <w:ind w:left="278"/>
              <w:jc w:val="center"/>
              <w:rPr>
                <w:sz w:val="14"/>
              </w:rPr>
            </w:pPr>
            <w:r>
              <w:rPr>
                <w:spacing w:val="-5"/>
                <w:sz w:val="14"/>
              </w:rPr>
              <w:t>233</w:t>
            </w:r>
          </w:p>
        </w:tc>
      </w:tr>
      <w:tr>
        <w:trPr>
          <w:trHeight w:val="185" w:hRule="atLeast"/>
        </w:trPr>
        <w:tc>
          <w:tcPr>
            <w:tcW w:w="3480" w:type="dxa"/>
          </w:tcPr>
          <w:p>
            <w:pPr>
              <w:pStyle w:val="TableParagraph"/>
              <w:spacing w:line="141" w:lineRule="exact" w:before="24"/>
              <w:ind w:left="232"/>
              <w:rPr>
                <w:sz w:val="14"/>
              </w:rPr>
            </w:pPr>
            <w:r>
              <w:rPr>
                <w:spacing w:val="-4"/>
                <w:sz w:val="14"/>
              </w:rPr>
              <w:t>Total</w:t>
            </w:r>
            <w:r>
              <w:rPr>
                <w:spacing w:val="2"/>
                <w:sz w:val="14"/>
              </w:rPr>
              <w:t> </w:t>
            </w:r>
            <w:r>
              <w:rPr>
                <w:spacing w:val="-2"/>
                <w:sz w:val="14"/>
              </w:rPr>
              <w:t>Exposure</w:t>
            </w:r>
          </w:p>
        </w:tc>
        <w:tc>
          <w:tcPr>
            <w:tcW w:w="235" w:type="dxa"/>
            <w:tcBorders>
              <w:top w:val="single" w:sz="8" w:space="0" w:color="000000"/>
              <w:bottom w:val="double" w:sz="8" w:space="0" w:color="000000"/>
            </w:tcBorders>
          </w:tcPr>
          <w:p>
            <w:pPr>
              <w:pStyle w:val="TableParagraph"/>
              <w:spacing w:line="141" w:lineRule="exact" w:before="24"/>
              <w:ind w:right="49"/>
              <w:jc w:val="center"/>
              <w:rPr>
                <w:sz w:val="14"/>
              </w:rPr>
            </w:pPr>
            <w:r>
              <w:rPr>
                <w:spacing w:val="-10"/>
                <w:sz w:val="14"/>
              </w:rPr>
              <w:t>$</w:t>
            </w:r>
          </w:p>
        </w:tc>
        <w:tc>
          <w:tcPr>
            <w:tcW w:w="1650" w:type="dxa"/>
            <w:tcBorders>
              <w:top w:val="single" w:sz="8" w:space="0" w:color="000000"/>
              <w:bottom w:val="double" w:sz="8" w:space="0" w:color="000000"/>
            </w:tcBorders>
          </w:tcPr>
          <w:p>
            <w:pPr>
              <w:pStyle w:val="TableParagraph"/>
              <w:spacing w:line="141" w:lineRule="exact" w:before="24"/>
              <w:ind w:right="84"/>
              <w:jc w:val="right"/>
              <w:rPr>
                <w:sz w:val="14"/>
              </w:rPr>
            </w:pPr>
            <w:r>
              <w:rPr>
                <w:spacing w:val="-2"/>
                <w:sz w:val="14"/>
              </w:rPr>
              <w:t>6,537</w:t>
            </w:r>
          </w:p>
        </w:tc>
        <w:tc>
          <w:tcPr>
            <w:tcW w:w="183" w:type="dxa"/>
            <w:tcBorders>
              <w:top w:val="single" w:sz="8" w:space="0" w:color="000000"/>
              <w:bottom w:val="double" w:sz="8" w:space="0" w:color="000000"/>
            </w:tcBorders>
          </w:tcPr>
          <w:p>
            <w:pPr>
              <w:pStyle w:val="TableParagraph"/>
              <w:spacing w:line="141" w:lineRule="exact" w:before="24"/>
              <w:ind w:left="70"/>
              <w:jc w:val="center"/>
              <w:rPr>
                <w:sz w:val="14"/>
              </w:rPr>
            </w:pPr>
            <w:r>
              <w:rPr>
                <w:spacing w:val="-10"/>
                <w:sz w:val="14"/>
              </w:rPr>
              <w:t>$</w:t>
            </w:r>
          </w:p>
        </w:tc>
        <w:tc>
          <w:tcPr>
            <w:tcW w:w="1902" w:type="dxa"/>
            <w:tcBorders>
              <w:top w:val="single" w:sz="8" w:space="0" w:color="000000"/>
              <w:bottom w:val="double" w:sz="8" w:space="0" w:color="000000"/>
            </w:tcBorders>
          </w:tcPr>
          <w:p>
            <w:pPr>
              <w:pStyle w:val="TableParagraph"/>
              <w:spacing w:line="141" w:lineRule="exact" w:before="24"/>
              <w:ind w:right="84"/>
              <w:jc w:val="right"/>
              <w:rPr>
                <w:sz w:val="14"/>
              </w:rPr>
            </w:pPr>
            <w:r>
              <w:rPr>
                <w:spacing w:val="-2"/>
                <w:sz w:val="14"/>
              </w:rPr>
              <w:t>4,953</w:t>
            </w:r>
          </w:p>
        </w:tc>
        <w:tc>
          <w:tcPr>
            <w:tcW w:w="492" w:type="dxa"/>
            <w:tcBorders>
              <w:top w:val="single" w:sz="8" w:space="0" w:color="000000"/>
              <w:bottom w:val="double" w:sz="8" w:space="0" w:color="000000"/>
            </w:tcBorders>
          </w:tcPr>
          <w:p>
            <w:pPr>
              <w:pStyle w:val="TableParagraph"/>
              <w:spacing w:line="141" w:lineRule="exact" w:before="24"/>
              <w:ind w:left="87"/>
              <w:rPr>
                <w:sz w:val="14"/>
              </w:rPr>
            </w:pPr>
            <w:r>
              <w:rPr>
                <w:spacing w:val="-10"/>
                <w:sz w:val="14"/>
              </w:rPr>
              <w:t>$</w:t>
            </w:r>
          </w:p>
        </w:tc>
        <w:tc>
          <w:tcPr>
            <w:tcW w:w="783" w:type="dxa"/>
            <w:tcBorders>
              <w:top w:val="single" w:sz="8" w:space="0" w:color="000000"/>
              <w:bottom w:val="double" w:sz="8" w:space="0" w:color="000000"/>
            </w:tcBorders>
          </w:tcPr>
          <w:p>
            <w:pPr>
              <w:pStyle w:val="TableParagraph"/>
              <w:rPr>
                <w:rFonts w:ascii="Times New Roman"/>
                <w:sz w:val="12"/>
              </w:rPr>
            </w:pPr>
          </w:p>
        </w:tc>
        <w:tc>
          <w:tcPr>
            <w:tcW w:w="635" w:type="dxa"/>
            <w:tcBorders>
              <w:top w:val="single" w:sz="8" w:space="0" w:color="000000"/>
              <w:bottom w:val="double" w:sz="8" w:space="0" w:color="000000"/>
            </w:tcBorders>
          </w:tcPr>
          <w:p>
            <w:pPr>
              <w:pStyle w:val="TableParagraph"/>
              <w:spacing w:line="141" w:lineRule="exact" w:before="24"/>
              <w:ind w:left="84"/>
              <w:jc w:val="center"/>
              <w:rPr>
                <w:sz w:val="14"/>
              </w:rPr>
            </w:pPr>
            <w:r>
              <w:rPr>
                <w:spacing w:val="-2"/>
                <w:sz w:val="14"/>
              </w:rPr>
              <w:t>11,490</w:t>
            </w:r>
          </w:p>
        </w:tc>
      </w:tr>
      <w:tr>
        <w:trPr>
          <w:trHeight w:val="140" w:hRule="atLeast"/>
        </w:trPr>
        <w:tc>
          <w:tcPr>
            <w:tcW w:w="3480" w:type="dxa"/>
            <w:tcBorders>
              <w:bottom w:val="single" w:sz="8" w:space="0" w:color="000000"/>
            </w:tcBorders>
          </w:tcPr>
          <w:p>
            <w:pPr>
              <w:pStyle w:val="TableParagraph"/>
              <w:rPr>
                <w:rFonts w:ascii="Times New Roman"/>
                <w:sz w:val="8"/>
              </w:rPr>
            </w:pPr>
          </w:p>
        </w:tc>
        <w:tc>
          <w:tcPr>
            <w:tcW w:w="235" w:type="dxa"/>
            <w:tcBorders>
              <w:top w:val="double" w:sz="8" w:space="0" w:color="000000"/>
              <w:bottom w:val="single" w:sz="8" w:space="0" w:color="000000"/>
            </w:tcBorders>
          </w:tcPr>
          <w:p>
            <w:pPr>
              <w:pStyle w:val="TableParagraph"/>
              <w:rPr>
                <w:rFonts w:ascii="Times New Roman"/>
                <w:sz w:val="8"/>
              </w:rPr>
            </w:pPr>
          </w:p>
        </w:tc>
        <w:tc>
          <w:tcPr>
            <w:tcW w:w="1650" w:type="dxa"/>
            <w:tcBorders>
              <w:top w:val="double" w:sz="8" w:space="0" w:color="000000"/>
              <w:bottom w:val="single" w:sz="8" w:space="0" w:color="000000"/>
            </w:tcBorders>
          </w:tcPr>
          <w:p>
            <w:pPr>
              <w:pStyle w:val="TableParagraph"/>
              <w:rPr>
                <w:rFonts w:ascii="Times New Roman"/>
                <w:sz w:val="8"/>
              </w:rPr>
            </w:pPr>
          </w:p>
        </w:tc>
        <w:tc>
          <w:tcPr>
            <w:tcW w:w="183" w:type="dxa"/>
            <w:tcBorders>
              <w:top w:val="double" w:sz="8" w:space="0" w:color="000000"/>
              <w:bottom w:val="single" w:sz="8" w:space="0" w:color="000000"/>
            </w:tcBorders>
          </w:tcPr>
          <w:p>
            <w:pPr>
              <w:pStyle w:val="TableParagraph"/>
              <w:rPr>
                <w:rFonts w:ascii="Times New Roman"/>
                <w:sz w:val="8"/>
              </w:rPr>
            </w:pPr>
          </w:p>
        </w:tc>
        <w:tc>
          <w:tcPr>
            <w:tcW w:w="1902" w:type="dxa"/>
            <w:tcBorders>
              <w:top w:val="double" w:sz="8" w:space="0" w:color="000000"/>
              <w:bottom w:val="single" w:sz="8" w:space="0" w:color="000000"/>
            </w:tcBorders>
          </w:tcPr>
          <w:p>
            <w:pPr>
              <w:pStyle w:val="TableParagraph"/>
              <w:rPr>
                <w:rFonts w:ascii="Times New Roman"/>
                <w:sz w:val="8"/>
              </w:rPr>
            </w:pPr>
          </w:p>
        </w:tc>
        <w:tc>
          <w:tcPr>
            <w:tcW w:w="492" w:type="dxa"/>
            <w:tcBorders>
              <w:top w:val="double" w:sz="8" w:space="0" w:color="000000"/>
              <w:bottom w:val="single" w:sz="8" w:space="0" w:color="000000"/>
            </w:tcBorders>
          </w:tcPr>
          <w:p>
            <w:pPr>
              <w:pStyle w:val="TableParagraph"/>
              <w:rPr>
                <w:rFonts w:ascii="Times New Roman"/>
                <w:sz w:val="8"/>
              </w:rPr>
            </w:pPr>
          </w:p>
        </w:tc>
        <w:tc>
          <w:tcPr>
            <w:tcW w:w="783" w:type="dxa"/>
            <w:tcBorders>
              <w:top w:val="double" w:sz="8" w:space="0" w:color="000000"/>
              <w:bottom w:val="single" w:sz="8" w:space="0" w:color="000000"/>
            </w:tcBorders>
          </w:tcPr>
          <w:p>
            <w:pPr>
              <w:pStyle w:val="TableParagraph"/>
              <w:rPr>
                <w:rFonts w:ascii="Times New Roman"/>
                <w:sz w:val="8"/>
              </w:rPr>
            </w:pPr>
          </w:p>
        </w:tc>
        <w:tc>
          <w:tcPr>
            <w:tcW w:w="635" w:type="dxa"/>
            <w:tcBorders>
              <w:top w:val="double" w:sz="8" w:space="0" w:color="000000"/>
              <w:bottom w:val="single" w:sz="8" w:space="0" w:color="000000"/>
            </w:tcBorders>
          </w:tcPr>
          <w:p>
            <w:pPr>
              <w:pStyle w:val="TableParagraph"/>
              <w:rPr>
                <w:rFonts w:ascii="Times New Roman"/>
                <w:sz w:val="8"/>
              </w:rPr>
            </w:pPr>
          </w:p>
        </w:tc>
      </w:tr>
    </w:tbl>
    <w:p>
      <w:pPr>
        <w:spacing w:before="27"/>
        <w:ind w:left="772" w:right="0" w:firstLine="0"/>
        <w:jc w:val="left"/>
        <w:rPr>
          <w:rFonts w:ascii="Arial"/>
          <w:i/>
          <w:sz w:val="14"/>
        </w:rPr>
      </w:pPr>
      <w:r>
        <w:rPr>
          <w:rFonts w:ascii="Arial"/>
          <w:i/>
          <w:sz w:val="14"/>
        </w:rPr>
        <w:t>a.</w:t>
      </w:r>
      <w:r>
        <w:rPr>
          <w:rFonts w:ascii="Arial"/>
          <w:i/>
          <w:spacing w:val="-5"/>
          <w:sz w:val="14"/>
        </w:rPr>
        <w:t> </w:t>
      </w:r>
      <w:r>
        <w:rPr>
          <w:rFonts w:ascii="Arial"/>
          <w:i/>
          <w:sz w:val="14"/>
        </w:rPr>
        <w:t>Exchange</w:t>
      </w:r>
      <w:r>
        <w:rPr>
          <w:rFonts w:ascii="Arial"/>
          <w:i/>
          <w:spacing w:val="-3"/>
          <w:sz w:val="14"/>
        </w:rPr>
        <w:t> </w:t>
      </w:r>
      <w:r>
        <w:rPr>
          <w:rFonts w:ascii="Arial"/>
          <w:i/>
          <w:sz w:val="14"/>
        </w:rPr>
        <w:t>traded</w:t>
      </w:r>
      <w:r>
        <w:rPr>
          <w:rFonts w:ascii="Arial"/>
          <w:i/>
          <w:spacing w:val="-3"/>
          <w:sz w:val="14"/>
        </w:rPr>
        <w:t> </w:t>
      </w:r>
      <w:r>
        <w:rPr>
          <w:rFonts w:ascii="Arial"/>
          <w:i/>
          <w:sz w:val="14"/>
        </w:rPr>
        <w:t>instruments</w:t>
      </w:r>
      <w:r>
        <w:rPr>
          <w:rFonts w:ascii="Arial"/>
          <w:i/>
          <w:spacing w:val="-3"/>
          <w:sz w:val="14"/>
        </w:rPr>
        <w:t> </w:t>
      </w:r>
      <w:r>
        <w:rPr>
          <w:rFonts w:ascii="Arial"/>
          <w:i/>
          <w:sz w:val="14"/>
        </w:rPr>
        <w:t>are</w:t>
      </w:r>
      <w:r>
        <w:rPr>
          <w:rFonts w:ascii="Arial"/>
          <w:i/>
          <w:spacing w:val="-3"/>
          <w:sz w:val="14"/>
        </w:rPr>
        <w:t> </w:t>
      </w:r>
      <w:r>
        <w:rPr>
          <w:rFonts w:ascii="Arial"/>
          <w:i/>
          <w:sz w:val="14"/>
        </w:rPr>
        <w:t>generally</w:t>
      </w:r>
      <w:r>
        <w:rPr>
          <w:rFonts w:ascii="Arial"/>
          <w:i/>
          <w:spacing w:val="-3"/>
          <w:sz w:val="14"/>
        </w:rPr>
        <w:t> </w:t>
      </w:r>
      <w:r>
        <w:rPr>
          <w:rFonts w:ascii="Arial"/>
          <w:i/>
          <w:sz w:val="14"/>
        </w:rPr>
        <w:t>subject</w:t>
      </w:r>
      <w:r>
        <w:rPr>
          <w:rFonts w:ascii="Arial"/>
          <w:i/>
          <w:spacing w:val="-3"/>
          <w:sz w:val="14"/>
        </w:rPr>
        <w:t> </w:t>
      </w:r>
      <w:r>
        <w:rPr>
          <w:rFonts w:ascii="Arial"/>
          <w:i/>
          <w:sz w:val="14"/>
        </w:rPr>
        <w:t>to</w:t>
      </w:r>
      <w:r>
        <w:rPr>
          <w:rFonts w:ascii="Arial"/>
          <w:i/>
          <w:spacing w:val="-3"/>
          <w:sz w:val="14"/>
        </w:rPr>
        <w:t> </w:t>
      </w:r>
      <w:r>
        <w:rPr>
          <w:rFonts w:ascii="Arial"/>
          <w:i/>
          <w:sz w:val="14"/>
        </w:rPr>
        <w:t>daily</w:t>
      </w:r>
      <w:r>
        <w:rPr>
          <w:rFonts w:ascii="Arial"/>
          <w:i/>
          <w:spacing w:val="-3"/>
          <w:sz w:val="14"/>
        </w:rPr>
        <w:t> </w:t>
      </w:r>
      <w:r>
        <w:rPr>
          <w:rFonts w:ascii="Arial"/>
          <w:i/>
          <w:sz w:val="14"/>
        </w:rPr>
        <w:t>margin</w:t>
      </w:r>
      <w:r>
        <w:rPr>
          <w:rFonts w:ascii="Arial"/>
          <w:i/>
          <w:spacing w:val="-3"/>
          <w:sz w:val="14"/>
        </w:rPr>
        <w:t> </w:t>
      </w:r>
      <w:r>
        <w:rPr>
          <w:rFonts w:ascii="Arial"/>
          <w:i/>
          <w:sz w:val="14"/>
        </w:rPr>
        <w:t>requirements</w:t>
      </w:r>
      <w:r>
        <w:rPr>
          <w:rFonts w:ascii="Arial"/>
          <w:i/>
          <w:spacing w:val="-3"/>
          <w:sz w:val="14"/>
        </w:rPr>
        <w:t> </w:t>
      </w:r>
      <w:r>
        <w:rPr>
          <w:rFonts w:ascii="Arial"/>
          <w:i/>
          <w:sz w:val="14"/>
        </w:rPr>
        <w:t>and</w:t>
      </w:r>
      <w:r>
        <w:rPr>
          <w:rFonts w:ascii="Arial"/>
          <w:i/>
          <w:spacing w:val="-3"/>
          <w:sz w:val="14"/>
        </w:rPr>
        <w:t> </w:t>
      </w:r>
      <w:r>
        <w:rPr>
          <w:rFonts w:ascii="Arial"/>
          <w:i/>
          <w:sz w:val="14"/>
        </w:rPr>
        <w:t>are</w:t>
      </w:r>
      <w:r>
        <w:rPr>
          <w:rFonts w:ascii="Arial"/>
          <w:i/>
          <w:spacing w:val="-3"/>
          <w:sz w:val="14"/>
        </w:rPr>
        <w:t> </w:t>
      </w:r>
      <w:r>
        <w:rPr>
          <w:rFonts w:ascii="Arial"/>
          <w:i/>
          <w:sz w:val="14"/>
        </w:rPr>
        <w:t>deemed</w:t>
      </w:r>
      <w:r>
        <w:rPr>
          <w:rFonts w:ascii="Arial"/>
          <w:i/>
          <w:spacing w:val="-3"/>
          <w:sz w:val="14"/>
        </w:rPr>
        <w:t> </w:t>
      </w:r>
      <w:r>
        <w:rPr>
          <w:rFonts w:ascii="Arial"/>
          <w:i/>
          <w:sz w:val="14"/>
        </w:rPr>
        <w:t>to</w:t>
      </w:r>
      <w:r>
        <w:rPr>
          <w:rFonts w:ascii="Arial"/>
          <w:i/>
          <w:spacing w:val="-3"/>
          <w:sz w:val="14"/>
        </w:rPr>
        <w:t> </w:t>
      </w:r>
      <w:r>
        <w:rPr>
          <w:rFonts w:ascii="Arial"/>
          <w:i/>
          <w:sz w:val="14"/>
        </w:rPr>
        <w:t>have</w:t>
      </w:r>
      <w:r>
        <w:rPr>
          <w:rFonts w:ascii="Arial"/>
          <w:i/>
          <w:spacing w:val="-3"/>
          <w:sz w:val="14"/>
        </w:rPr>
        <w:t> </w:t>
      </w:r>
      <w:r>
        <w:rPr>
          <w:rFonts w:ascii="Arial"/>
          <w:i/>
          <w:sz w:val="14"/>
        </w:rPr>
        <w:t>no</w:t>
      </w:r>
      <w:r>
        <w:rPr>
          <w:rFonts w:ascii="Arial"/>
          <w:i/>
          <w:spacing w:val="-3"/>
          <w:sz w:val="14"/>
        </w:rPr>
        <w:t> </w:t>
      </w:r>
      <w:r>
        <w:rPr>
          <w:rFonts w:ascii="Arial"/>
          <w:i/>
          <w:sz w:val="14"/>
        </w:rPr>
        <w:t>material</w:t>
      </w:r>
      <w:r>
        <w:rPr>
          <w:rFonts w:ascii="Arial"/>
          <w:i/>
          <w:spacing w:val="-3"/>
          <w:sz w:val="14"/>
        </w:rPr>
        <w:t> </w:t>
      </w:r>
      <w:r>
        <w:rPr>
          <w:rFonts w:ascii="Arial"/>
          <w:i/>
          <w:sz w:val="14"/>
        </w:rPr>
        <w:t>credit</w:t>
      </w:r>
      <w:r>
        <w:rPr>
          <w:rFonts w:ascii="Arial"/>
          <w:i/>
          <w:spacing w:val="-3"/>
          <w:sz w:val="14"/>
        </w:rPr>
        <w:t> </w:t>
      </w:r>
      <w:r>
        <w:rPr>
          <w:rFonts w:ascii="Arial"/>
          <w:i/>
          <w:spacing w:val="-2"/>
          <w:sz w:val="14"/>
        </w:rPr>
        <w:t>risk.</w:t>
      </w:r>
    </w:p>
    <w:p>
      <w:pPr>
        <w:pStyle w:val="BodyText"/>
        <w:spacing w:before="40"/>
        <w:rPr>
          <w:rFonts w:ascii="Arial"/>
          <w:i/>
          <w:sz w:val="14"/>
        </w:rPr>
      </w:pPr>
    </w:p>
    <w:p>
      <w:pPr>
        <w:pStyle w:val="BodyText"/>
        <w:spacing w:line="249" w:lineRule="auto"/>
        <w:ind w:left="720" w:right="718"/>
        <w:jc w:val="both"/>
      </w:pPr>
      <w:r>
        <w:rPr/>
        <w:t>The volume of derivative contracts is measured using the U.S. dollar equivalent notional balance. The notional balance represents the face value, or reference value, on which the calculations of interim and final payments on the derivative instruments are determined. As of June 30, 2023, the notional amounts of IBRD’s derivative contracts outstanding were as follows: interest rate contracts $443,108 million ($433,539 million as of June 30, 2022), currency swaps $115,634 million ($117,856 million as of June 30, 2022), long positions of other derivatives $360 million ($185 million as of June 30, 2022), and short positions of other derivatives $113 million ($143 million as of June 30, 2022).</w:t>
      </w:r>
    </w:p>
    <w:p>
      <w:pPr>
        <w:pStyle w:val="BodyText"/>
        <w:spacing w:line="249" w:lineRule="auto" w:before="126"/>
        <w:ind w:left="720" w:right="719"/>
        <w:jc w:val="both"/>
      </w:pPr>
      <w:r>
        <w:rPr/>
        <w:t>IBRD</w:t>
      </w:r>
      <w:r>
        <w:rPr>
          <w:spacing w:val="-2"/>
        </w:rPr>
        <w:t> </w:t>
      </w:r>
      <w:r>
        <w:rPr/>
        <w:t>is</w:t>
      </w:r>
      <w:r>
        <w:rPr>
          <w:spacing w:val="-2"/>
        </w:rPr>
        <w:t> </w:t>
      </w:r>
      <w:r>
        <w:rPr/>
        <w:t>not</w:t>
      </w:r>
      <w:r>
        <w:rPr>
          <w:spacing w:val="-2"/>
        </w:rPr>
        <w:t> </w:t>
      </w:r>
      <w:r>
        <w:rPr/>
        <w:t>required</w:t>
      </w:r>
      <w:r>
        <w:rPr>
          <w:spacing w:val="-2"/>
        </w:rPr>
        <w:t> </w:t>
      </w:r>
      <w:r>
        <w:rPr/>
        <w:t>to</w:t>
      </w:r>
      <w:r>
        <w:rPr>
          <w:spacing w:val="-2"/>
        </w:rPr>
        <w:t> </w:t>
      </w:r>
      <w:r>
        <w:rPr/>
        <w:t>post</w:t>
      </w:r>
      <w:r>
        <w:rPr>
          <w:spacing w:val="-2"/>
        </w:rPr>
        <w:t> </w:t>
      </w:r>
      <w:r>
        <w:rPr/>
        <w:t>collateral</w:t>
      </w:r>
      <w:r>
        <w:rPr>
          <w:spacing w:val="-2"/>
        </w:rPr>
        <w:t> </w:t>
      </w:r>
      <w:r>
        <w:rPr/>
        <w:t>under</w:t>
      </w:r>
      <w:r>
        <w:rPr>
          <w:spacing w:val="-2"/>
        </w:rPr>
        <w:t> </w:t>
      </w:r>
      <w:r>
        <w:rPr/>
        <w:t>its</w:t>
      </w:r>
      <w:r>
        <w:rPr>
          <w:spacing w:val="-2"/>
        </w:rPr>
        <w:t> </w:t>
      </w:r>
      <w:r>
        <w:rPr/>
        <w:t>derivative</w:t>
      </w:r>
      <w:r>
        <w:rPr>
          <w:spacing w:val="-2"/>
        </w:rPr>
        <w:t> </w:t>
      </w:r>
      <w:r>
        <w:rPr/>
        <w:t>agreements</w:t>
      </w:r>
      <w:r>
        <w:rPr>
          <w:spacing w:val="-2"/>
        </w:rPr>
        <w:t> </w:t>
      </w:r>
      <w:r>
        <w:rPr/>
        <w:t>as</w:t>
      </w:r>
      <w:r>
        <w:rPr>
          <w:spacing w:val="-2"/>
        </w:rPr>
        <w:t> </w:t>
      </w:r>
      <w:r>
        <w:rPr/>
        <w:t>long</w:t>
      </w:r>
      <w:r>
        <w:rPr>
          <w:spacing w:val="-2"/>
        </w:rPr>
        <w:t> </w:t>
      </w:r>
      <w:r>
        <w:rPr/>
        <w:t>as</w:t>
      </w:r>
      <w:r>
        <w:rPr>
          <w:spacing w:val="-2"/>
        </w:rPr>
        <w:t> </w:t>
      </w:r>
      <w:r>
        <w:rPr/>
        <w:t>it</w:t>
      </w:r>
      <w:r>
        <w:rPr>
          <w:spacing w:val="-2"/>
        </w:rPr>
        <w:t> </w:t>
      </w:r>
      <w:r>
        <w:rPr/>
        <w:t>maintains</w:t>
      </w:r>
      <w:r>
        <w:rPr>
          <w:spacing w:val="-2"/>
        </w:rPr>
        <w:t> </w:t>
      </w:r>
      <w:r>
        <w:rPr/>
        <w:t>a</w:t>
      </w:r>
      <w:r>
        <w:rPr>
          <w:spacing w:val="-2"/>
        </w:rPr>
        <w:t> </w:t>
      </w:r>
      <w:r>
        <w:rPr/>
        <w:t>triple-A</w:t>
      </w:r>
      <w:r>
        <w:rPr>
          <w:spacing w:val="-2"/>
        </w:rPr>
        <w:t> </w:t>
      </w:r>
      <w:r>
        <w:rPr/>
        <w:t>credit</w:t>
      </w:r>
      <w:r>
        <w:rPr>
          <w:spacing w:val="-2"/>
        </w:rPr>
        <w:t> </w:t>
      </w:r>
      <w:r>
        <w:rPr/>
        <w:t>rating. The aggregate fair value of all derivative instruments with credit-risk related contingent features that were in a liability position as of June 30, 2023 was $27,110 million ($20,203 million—June 30, 2022). IBRD has not posted any collateral with these counterparties due to its triple-A credit rating.</w:t>
      </w:r>
    </w:p>
    <w:p>
      <w:pPr>
        <w:pStyle w:val="BodyText"/>
        <w:spacing w:line="249" w:lineRule="auto" w:before="123"/>
        <w:ind w:left="720" w:right="719"/>
        <w:jc w:val="both"/>
      </w:pPr>
      <w:r>
        <w:rPr/>
        <w:t>If the credit-risk related contingent features underlying these agreements were triggered to the extent that IBRD would</w:t>
      </w:r>
      <w:r>
        <w:rPr>
          <w:spacing w:val="-1"/>
        </w:rPr>
        <w:t> </w:t>
      </w:r>
      <w:r>
        <w:rPr/>
        <w:t>be</w:t>
      </w:r>
      <w:r>
        <w:rPr>
          <w:spacing w:val="-1"/>
        </w:rPr>
        <w:t> </w:t>
      </w:r>
      <w:r>
        <w:rPr/>
        <w:t>required</w:t>
      </w:r>
      <w:r>
        <w:rPr>
          <w:spacing w:val="-1"/>
        </w:rPr>
        <w:t> </w:t>
      </w:r>
      <w:r>
        <w:rPr/>
        <w:t>to</w:t>
      </w:r>
      <w:r>
        <w:rPr>
          <w:spacing w:val="-1"/>
        </w:rPr>
        <w:t> </w:t>
      </w:r>
      <w:r>
        <w:rPr/>
        <w:t>post</w:t>
      </w:r>
      <w:r>
        <w:rPr>
          <w:spacing w:val="-1"/>
        </w:rPr>
        <w:t> </w:t>
      </w:r>
      <w:r>
        <w:rPr/>
        <w:t>collateral</w:t>
      </w:r>
      <w:r>
        <w:rPr>
          <w:spacing w:val="-1"/>
        </w:rPr>
        <w:t> </w:t>
      </w:r>
      <w:r>
        <w:rPr/>
        <w:t>as</w:t>
      </w:r>
      <w:r>
        <w:rPr>
          <w:spacing w:val="-1"/>
        </w:rPr>
        <w:t> </w:t>
      </w:r>
      <w:r>
        <w:rPr/>
        <w:t>of</w:t>
      </w:r>
      <w:r>
        <w:rPr>
          <w:spacing w:val="-1"/>
        </w:rPr>
        <w:t> </w:t>
      </w:r>
      <w:r>
        <w:rPr/>
        <w:t>June</w:t>
      </w:r>
      <w:r>
        <w:rPr>
          <w:spacing w:val="-1"/>
        </w:rPr>
        <w:t> </w:t>
      </w:r>
      <w:r>
        <w:rPr/>
        <w:t>30,</w:t>
      </w:r>
      <w:r>
        <w:rPr>
          <w:spacing w:val="-1"/>
        </w:rPr>
        <w:t> </w:t>
      </w:r>
      <w:r>
        <w:rPr/>
        <w:t>2023,</w:t>
      </w:r>
      <w:r>
        <w:rPr>
          <w:spacing w:val="-1"/>
        </w:rPr>
        <w:t> </w:t>
      </w:r>
      <w:r>
        <w:rPr/>
        <w:t>the</w:t>
      </w:r>
      <w:r>
        <w:rPr>
          <w:spacing w:val="-1"/>
        </w:rPr>
        <w:t> </w:t>
      </w:r>
      <w:r>
        <w:rPr/>
        <w:t>amount</w:t>
      </w:r>
      <w:r>
        <w:rPr>
          <w:spacing w:val="-1"/>
        </w:rPr>
        <w:t> </w:t>
      </w:r>
      <w:r>
        <w:rPr/>
        <w:t>of</w:t>
      </w:r>
      <w:r>
        <w:rPr>
          <w:spacing w:val="-1"/>
        </w:rPr>
        <w:t> </w:t>
      </w:r>
      <w:r>
        <w:rPr/>
        <w:t>collateral</w:t>
      </w:r>
      <w:r>
        <w:rPr>
          <w:spacing w:val="-1"/>
        </w:rPr>
        <w:t> </w:t>
      </w:r>
      <w:r>
        <w:rPr/>
        <w:t>that</w:t>
      </w:r>
      <w:r>
        <w:rPr>
          <w:spacing w:val="-1"/>
        </w:rPr>
        <w:t> </w:t>
      </w:r>
      <w:r>
        <w:rPr/>
        <w:t>would</w:t>
      </w:r>
      <w:r>
        <w:rPr>
          <w:spacing w:val="-1"/>
        </w:rPr>
        <w:t> </w:t>
      </w:r>
      <w:r>
        <w:rPr/>
        <w:t>need</w:t>
      </w:r>
      <w:r>
        <w:rPr>
          <w:spacing w:val="-1"/>
        </w:rPr>
        <w:t> </w:t>
      </w:r>
      <w:r>
        <w:rPr/>
        <w:t>to</w:t>
      </w:r>
      <w:r>
        <w:rPr>
          <w:spacing w:val="-1"/>
        </w:rPr>
        <w:t> </w:t>
      </w:r>
      <w:r>
        <w:rPr/>
        <w:t>be</w:t>
      </w:r>
      <w:r>
        <w:rPr>
          <w:spacing w:val="-1"/>
        </w:rPr>
        <w:t> </w:t>
      </w:r>
      <w:r>
        <w:rPr/>
        <w:t>posted</w:t>
      </w:r>
      <w:r>
        <w:rPr>
          <w:spacing w:val="-1"/>
        </w:rPr>
        <w:t> </w:t>
      </w:r>
      <w:r>
        <w:rPr/>
        <w:t>would be $22,746 million ($16,141 million—June 30, 2022). Subsequent triggers of contingent features would require posting</w:t>
      </w:r>
      <w:r>
        <w:rPr>
          <w:spacing w:val="-3"/>
        </w:rPr>
        <w:t> </w:t>
      </w:r>
      <w:r>
        <w:rPr/>
        <w:t>of</w:t>
      </w:r>
      <w:r>
        <w:rPr>
          <w:spacing w:val="-3"/>
        </w:rPr>
        <w:t> </w:t>
      </w:r>
      <w:r>
        <w:rPr/>
        <w:t>additional</w:t>
      </w:r>
      <w:r>
        <w:rPr>
          <w:spacing w:val="-3"/>
        </w:rPr>
        <w:t> </w:t>
      </w:r>
      <w:r>
        <w:rPr/>
        <w:t>collateral,</w:t>
      </w:r>
      <w:r>
        <w:rPr>
          <w:spacing w:val="-3"/>
        </w:rPr>
        <w:t> </w:t>
      </w:r>
      <w:r>
        <w:rPr/>
        <w:t>up</w:t>
      </w:r>
      <w:r>
        <w:rPr>
          <w:spacing w:val="-3"/>
        </w:rPr>
        <w:t> </w:t>
      </w:r>
      <w:r>
        <w:rPr/>
        <w:t>to</w:t>
      </w:r>
      <w:r>
        <w:rPr>
          <w:spacing w:val="-3"/>
        </w:rPr>
        <w:t> </w:t>
      </w:r>
      <w:r>
        <w:rPr/>
        <w:t>a</w:t>
      </w:r>
      <w:r>
        <w:rPr>
          <w:spacing w:val="-3"/>
        </w:rPr>
        <w:t> </w:t>
      </w:r>
      <w:r>
        <w:rPr/>
        <w:t>maximum</w:t>
      </w:r>
      <w:r>
        <w:rPr>
          <w:spacing w:val="-3"/>
        </w:rPr>
        <w:t> </w:t>
      </w:r>
      <w:r>
        <w:rPr/>
        <w:t>of</w:t>
      </w:r>
      <w:r>
        <w:rPr>
          <w:spacing w:val="-3"/>
        </w:rPr>
        <w:t> </w:t>
      </w:r>
      <w:r>
        <w:rPr/>
        <w:t>$27,110</w:t>
      </w:r>
      <w:r>
        <w:rPr>
          <w:spacing w:val="-3"/>
        </w:rPr>
        <w:t> </w:t>
      </w:r>
      <w:r>
        <w:rPr/>
        <w:t>million</w:t>
      </w:r>
      <w:r>
        <w:rPr>
          <w:spacing w:val="-3"/>
        </w:rPr>
        <w:t> </w:t>
      </w:r>
      <w:r>
        <w:rPr/>
        <w:t>as</w:t>
      </w:r>
      <w:r>
        <w:rPr>
          <w:spacing w:val="-3"/>
        </w:rPr>
        <w:t> </w:t>
      </w:r>
      <w:r>
        <w:rPr/>
        <w:t>of</w:t>
      </w:r>
      <w:r>
        <w:rPr>
          <w:spacing w:val="-3"/>
        </w:rPr>
        <w:t> </w:t>
      </w:r>
      <w:r>
        <w:rPr/>
        <w:t>June</w:t>
      </w:r>
      <w:r>
        <w:rPr>
          <w:spacing w:val="-3"/>
        </w:rPr>
        <w:t> </w:t>
      </w:r>
      <w:r>
        <w:rPr/>
        <w:t>30,</w:t>
      </w:r>
      <w:r>
        <w:rPr>
          <w:spacing w:val="-3"/>
        </w:rPr>
        <w:t> </w:t>
      </w:r>
      <w:r>
        <w:rPr/>
        <w:t>2023</w:t>
      </w:r>
      <w:r>
        <w:rPr>
          <w:spacing w:val="-3"/>
        </w:rPr>
        <w:t> </w:t>
      </w:r>
      <w:r>
        <w:rPr/>
        <w:t>($20,203</w:t>
      </w:r>
      <w:r>
        <w:rPr>
          <w:spacing w:val="-3"/>
        </w:rPr>
        <w:t> </w:t>
      </w:r>
      <w:r>
        <w:rPr/>
        <w:t>million—June</w:t>
      </w:r>
      <w:r>
        <w:rPr>
          <w:spacing w:val="-3"/>
        </w:rPr>
        <w:t> </w:t>
      </w:r>
      <w:r>
        <w:rPr/>
        <w:t>30, 2022). In contrast, IBRD received collateral totaling $301 million as of June 30, 2023 ($591 million—June 30,</w:t>
      </w:r>
      <w:r>
        <w:rPr>
          <w:spacing w:val="40"/>
        </w:rPr>
        <w:t> </w:t>
      </w:r>
      <w:r>
        <w:rPr/>
        <w:t>2022) in relation to swap transactions (see Note C—Investments).</w:t>
      </w:r>
    </w:p>
    <w:p>
      <w:pPr>
        <w:pStyle w:val="BodyText"/>
        <w:spacing w:line="249" w:lineRule="auto" w:before="125"/>
        <w:ind w:left="720" w:right="719"/>
        <w:jc w:val="both"/>
      </w:pPr>
      <w:r>
        <w:rPr/>
        <w:t>The following table provides information on the amount of unrealized mark-to-market gains and losses on the non-trading derivatives and their location in the Statements of Income:</w:t>
      </w:r>
    </w:p>
    <w:p>
      <w:pPr>
        <w:pStyle w:val="BodyText"/>
        <w:spacing w:after="0" w:line="249" w:lineRule="auto"/>
        <w:jc w:val="both"/>
        <w:sectPr>
          <w:headerReference w:type="default" r:id="rId176"/>
          <w:pgSz w:w="12240" w:h="15840"/>
          <w:pgMar w:header="0" w:footer="0" w:top="960" w:bottom="720" w:left="720" w:right="720"/>
        </w:sectPr>
      </w:pPr>
    </w:p>
    <w:p>
      <w:pPr>
        <w:pStyle w:val="BodyText"/>
        <w:spacing w:before="1"/>
        <w:rPr>
          <w:sz w:val="8"/>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5"/>
        <w:gridCol w:w="2325"/>
        <w:gridCol w:w="1204"/>
        <w:gridCol w:w="1215"/>
        <w:gridCol w:w="1166"/>
      </w:tblGrid>
      <w:tr>
        <w:trPr>
          <w:trHeight w:val="198" w:hRule="atLeast"/>
        </w:trPr>
        <w:tc>
          <w:tcPr>
            <w:tcW w:w="3435" w:type="dxa"/>
            <w:tcBorders>
              <w:bottom w:val="single" w:sz="8" w:space="0" w:color="000000"/>
            </w:tcBorders>
          </w:tcPr>
          <w:p>
            <w:pPr>
              <w:pStyle w:val="TableParagraph"/>
              <w:spacing w:line="178" w:lineRule="exact"/>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5910" w:type="dxa"/>
            <w:gridSpan w:val="4"/>
            <w:tcBorders>
              <w:bottom w:val="single" w:sz="8" w:space="0" w:color="000000"/>
            </w:tcBorders>
          </w:tcPr>
          <w:p>
            <w:pPr>
              <w:pStyle w:val="TableParagraph"/>
              <w:rPr>
                <w:rFonts w:ascii="Times New Roman"/>
                <w:sz w:val="12"/>
              </w:rPr>
            </w:pPr>
          </w:p>
        </w:tc>
      </w:tr>
      <w:tr>
        <w:trPr>
          <w:trHeight w:val="220" w:hRule="atLeast"/>
        </w:trPr>
        <w:tc>
          <w:tcPr>
            <w:tcW w:w="3435" w:type="dxa"/>
            <w:tcBorders>
              <w:top w:val="single" w:sz="8" w:space="0" w:color="000000"/>
            </w:tcBorders>
          </w:tcPr>
          <w:p>
            <w:pPr>
              <w:pStyle w:val="TableParagraph"/>
              <w:rPr>
                <w:rFonts w:ascii="Times New Roman"/>
                <w:sz w:val="14"/>
              </w:rPr>
            </w:pPr>
          </w:p>
        </w:tc>
        <w:tc>
          <w:tcPr>
            <w:tcW w:w="2325" w:type="dxa"/>
            <w:tcBorders>
              <w:top w:val="single" w:sz="8" w:space="0" w:color="000000"/>
              <w:bottom w:val="single" w:sz="8" w:space="0" w:color="000000"/>
            </w:tcBorders>
          </w:tcPr>
          <w:p>
            <w:pPr>
              <w:pStyle w:val="TableParagraph"/>
              <w:spacing w:line="184" w:lineRule="exact" w:before="16"/>
              <w:ind w:left="675"/>
              <w:rPr>
                <w:sz w:val="16"/>
              </w:rPr>
            </w:pPr>
            <w:r>
              <w:rPr>
                <w:sz w:val="16"/>
              </w:rPr>
              <w:t>Reported</w:t>
            </w:r>
            <w:r>
              <w:rPr>
                <w:spacing w:val="-6"/>
                <w:sz w:val="16"/>
              </w:rPr>
              <w:t> </w:t>
            </w:r>
            <w:r>
              <w:rPr>
                <w:spacing w:val="-5"/>
                <w:sz w:val="16"/>
              </w:rPr>
              <w:t>as:</w:t>
            </w:r>
          </w:p>
        </w:tc>
        <w:tc>
          <w:tcPr>
            <w:tcW w:w="1204" w:type="dxa"/>
            <w:tcBorders>
              <w:top w:val="single" w:sz="8" w:space="0" w:color="000000"/>
              <w:bottom w:val="single" w:sz="8" w:space="0" w:color="000000"/>
            </w:tcBorders>
          </w:tcPr>
          <w:p>
            <w:pPr>
              <w:pStyle w:val="TableParagraph"/>
              <w:spacing w:line="183" w:lineRule="exact" w:before="16"/>
              <w:ind w:left="399"/>
              <w:rPr>
                <w:rFonts w:ascii="Arial"/>
                <w:i/>
                <w:sz w:val="16"/>
              </w:rPr>
            </w:pPr>
            <w:r>
              <w:rPr>
                <w:rFonts w:ascii="Arial"/>
                <w:i/>
                <w:spacing w:val="-4"/>
                <w:sz w:val="16"/>
              </w:rPr>
              <w:t>2023</w:t>
            </w:r>
          </w:p>
        </w:tc>
        <w:tc>
          <w:tcPr>
            <w:tcW w:w="1215" w:type="dxa"/>
            <w:tcBorders>
              <w:top w:val="single" w:sz="8" w:space="0" w:color="000000"/>
              <w:bottom w:val="single" w:sz="8" w:space="0" w:color="000000"/>
            </w:tcBorders>
          </w:tcPr>
          <w:p>
            <w:pPr>
              <w:pStyle w:val="TableParagraph"/>
              <w:spacing w:line="183" w:lineRule="exact" w:before="16"/>
              <w:ind w:right="36"/>
              <w:jc w:val="center"/>
              <w:rPr>
                <w:rFonts w:ascii="Arial"/>
                <w:i/>
                <w:sz w:val="16"/>
              </w:rPr>
            </w:pPr>
            <w:r>
              <w:rPr>
                <w:rFonts w:ascii="Arial"/>
                <w:i/>
                <w:spacing w:val="-4"/>
                <w:sz w:val="16"/>
              </w:rPr>
              <w:t>2022</w:t>
            </w:r>
          </w:p>
        </w:tc>
        <w:tc>
          <w:tcPr>
            <w:tcW w:w="1166" w:type="dxa"/>
            <w:tcBorders>
              <w:top w:val="single" w:sz="8" w:space="0" w:color="000000"/>
              <w:bottom w:val="single" w:sz="8" w:space="0" w:color="000000"/>
            </w:tcBorders>
          </w:tcPr>
          <w:p>
            <w:pPr>
              <w:pStyle w:val="TableParagraph"/>
              <w:spacing w:line="183" w:lineRule="exact" w:before="16"/>
              <w:ind w:left="10"/>
              <w:jc w:val="center"/>
              <w:rPr>
                <w:rFonts w:ascii="Arial"/>
                <w:i/>
                <w:sz w:val="16"/>
              </w:rPr>
            </w:pPr>
            <w:r>
              <w:rPr>
                <w:rFonts w:ascii="Arial"/>
                <w:i/>
                <w:spacing w:val="-4"/>
                <w:sz w:val="16"/>
              </w:rPr>
              <w:t>2021</w:t>
            </w:r>
          </w:p>
        </w:tc>
      </w:tr>
      <w:tr>
        <w:trPr>
          <w:trHeight w:val="655" w:hRule="atLeast"/>
        </w:trPr>
        <w:tc>
          <w:tcPr>
            <w:tcW w:w="3435" w:type="dxa"/>
          </w:tcPr>
          <w:p>
            <w:pPr>
              <w:pStyle w:val="TableParagraph"/>
              <w:spacing w:before="16"/>
              <w:ind w:left="52"/>
              <w:rPr>
                <w:sz w:val="16"/>
              </w:rPr>
            </w:pPr>
            <w:r>
              <w:rPr>
                <w:sz w:val="16"/>
              </w:rPr>
              <w:t>Interest</w:t>
            </w:r>
            <w:r>
              <w:rPr>
                <w:spacing w:val="-3"/>
                <w:sz w:val="16"/>
              </w:rPr>
              <w:t> </w:t>
            </w:r>
            <w:r>
              <w:rPr>
                <w:sz w:val="16"/>
              </w:rPr>
              <w:t>rate</w:t>
            </w:r>
            <w:r>
              <w:rPr>
                <w:spacing w:val="-2"/>
                <w:sz w:val="16"/>
              </w:rPr>
              <w:t> swaps</w:t>
            </w:r>
          </w:p>
          <w:p>
            <w:pPr>
              <w:pStyle w:val="TableParagraph"/>
              <w:spacing w:line="190" w:lineRule="atLeast" w:before="53"/>
              <w:ind w:left="142" w:right="335" w:hanging="90"/>
              <w:rPr>
                <w:sz w:val="16"/>
              </w:rPr>
            </w:pPr>
            <w:r>
              <w:rPr>
                <w:sz w:val="16"/>
              </w:rPr>
              <w:t>Currency swaps (including currency forward</w:t>
            </w:r>
            <w:r>
              <w:rPr>
                <w:spacing w:val="-11"/>
                <w:sz w:val="16"/>
              </w:rPr>
              <w:t> </w:t>
            </w:r>
            <w:r>
              <w:rPr>
                <w:sz w:val="16"/>
              </w:rPr>
              <w:t>contracts</w:t>
            </w:r>
            <w:r>
              <w:rPr>
                <w:spacing w:val="-10"/>
                <w:sz w:val="16"/>
              </w:rPr>
              <w:t> </w:t>
            </w:r>
            <w:r>
              <w:rPr>
                <w:sz w:val="16"/>
              </w:rPr>
              <w:t>and</w:t>
            </w:r>
            <w:r>
              <w:rPr>
                <w:spacing w:val="-11"/>
                <w:sz w:val="16"/>
              </w:rPr>
              <w:t> </w:t>
            </w:r>
            <w:r>
              <w:rPr>
                <w:sz w:val="16"/>
              </w:rPr>
              <w:t>structured</w:t>
            </w:r>
            <w:r>
              <w:rPr>
                <w:spacing w:val="-11"/>
                <w:sz w:val="16"/>
              </w:rPr>
              <w:t> </w:t>
            </w:r>
            <w:r>
              <w:rPr>
                <w:sz w:val="16"/>
              </w:rPr>
              <w:t>swaps)</w:t>
            </w:r>
          </w:p>
        </w:tc>
        <w:tc>
          <w:tcPr>
            <w:tcW w:w="2325" w:type="dxa"/>
            <w:tcBorders>
              <w:top w:val="single" w:sz="8" w:space="0" w:color="000000"/>
            </w:tcBorders>
          </w:tcPr>
          <w:p>
            <w:pPr>
              <w:pStyle w:val="TableParagraph"/>
              <w:spacing w:line="190" w:lineRule="atLeast" w:before="61"/>
              <w:ind w:left="142" w:hanging="90"/>
              <w:rPr>
                <w:sz w:val="16"/>
              </w:rPr>
            </w:pPr>
            <w:r>
              <w:rPr>
                <w:sz w:val="16"/>
              </w:rPr>
              <w:t>Unrealized mark-to-market (losses)</w:t>
            </w:r>
            <w:r>
              <w:rPr>
                <w:spacing w:val="-12"/>
                <w:sz w:val="16"/>
              </w:rPr>
              <w:t> </w:t>
            </w:r>
            <w:r>
              <w:rPr>
                <w:sz w:val="16"/>
              </w:rPr>
              <w:t>gains</w:t>
            </w:r>
            <w:r>
              <w:rPr>
                <w:spacing w:val="-11"/>
                <w:sz w:val="16"/>
              </w:rPr>
              <w:t> </w:t>
            </w:r>
            <w:r>
              <w:rPr>
                <w:sz w:val="16"/>
              </w:rPr>
              <w:t>on</w:t>
            </w:r>
            <w:r>
              <w:rPr>
                <w:spacing w:val="-11"/>
                <w:sz w:val="16"/>
              </w:rPr>
              <w:t> </w:t>
            </w:r>
            <w:r>
              <w:rPr>
                <w:sz w:val="16"/>
              </w:rPr>
              <w:t>non-trading portfolios, net</w:t>
            </w:r>
          </w:p>
        </w:tc>
        <w:tc>
          <w:tcPr>
            <w:tcW w:w="1204" w:type="dxa"/>
            <w:tcBorders>
              <w:top w:val="single" w:sz="8" w:space="0" w:color="000000"/>
            </w:tcBorders>
          </w:tcPr>
          <w:p>
            <w:pPr>
              <w:pStyle w:val="TableParagraph"/>
              <w:tabs>
                <w:tab w:pos="633" w:val="left" w:leader="none"/>
              </w:tabs>
              <w:spacing w:before="16"/>
              <w:ind w:left="52"/>
              <w:rPr>
                <w:sz w:val="16"/>
              </w:rPr>
            </w:pPr>
            <w:r>
              <w:rPr>
                <w:spacing w:val="-10"/>
                <w:sz w:val="16"/>
              </w:rPr>
              <w:t>$</w:t>
            </w:r>
            <w:r>
              <w:rPr>
                <w:sz w:val="16"/>
              </w:rPr>
              <w:tab/>
            </w:r>
            <w:r>
              <w:rPr>
                <w:spacing w:val="-2"/>
                <w:sz w:val="16"/>
              </w:rPr>
              <w:t>(4,948)</w:t>
            </w:r>
          </w:p>
          <w:p>
            <w:pPr>
              <w:pStyle w:val="TableParagraph"/>
              <w:spacing w:before="67"/>
              <w:rPr>
                <w:rFonts w:ascii="Times New Roman"/>
                <w:sz w:val="16"/>
              </w:rPr>
            </w:pPr>
          </w:p>
          <w:p>
            <w:pPr>
              <w:pStyle w:val="TableParagraph"/>
              <w:spacing w:line="184" w:lineRule="exact"/>
              <w:ind w:left="767"/>
              <w:rPr>
                <w:sz w:val="16"/>
              </w:rPr>
            </w:pPr>
            <w:r>
              <w:rPr>
                <w:spacing w:val="-2"/>
                <w:sz w:val="16"/>
              </w:rPr>
              <w:t>(867)</w:t>
            </w:r>
          </w:p>
        </w:tc>
        <w:tc>
          <w:tcPr>
            <w:tcW w:w="1215" w:type="dxa"/>
            <w:tcBorders>
              <w:top w:val="single" w:sz="8" w:space="0" w:color="000000"/>
            </w:tcBorders>
          </w:tcPr>
          <w:p>
            <w:pPr>
              <w:pStyle w:val="TableParagraph"/>
              <w:tabs>
                <w:tab w:pos="555" w:val="left" w:leader="none"/>
              </w:tabs>
              <w:spacing w:before="16"/>
              <w:ind w:left="63"/>
              <w:rPr>
                <w:sz w:val="16"/>
              </w:rPr>
            </w:pPr>
            <w:r>
              <w:rPr>
                <w:spacing w:val="-10"/>
                <w:sz w:val="16"/>
              </w:rPr>
              <w:t>$</w:t>
            </w:r>
            <w:r>
              <w:rPr>
                <w:sz w:val="16"/>
              </w:rPr>
              <w:tab/>
            </w:r>
            <w:r>
              <w:rPr>
                <w:spacing w:val="-2"/>
                <w:sz w:val="16"/>
              </w:rPr>
              <w:t>(13,844)</w:t>
            </w:r>
          </w:p>
          <w:p>
            <w:pPr>
              <w:pStyle w:val="TableParagraph"/>
              <w:spacing w:before="67"/>
              <w:rPr>
                <w:rFonts w:ascii="Times New Roman"/>
                <w:sz w:val="16"/>
              </w:rPr>
            </w:pPr>
          </w:p>
          <w:p>
            <w:pPr>
              <w:pStyle w:val="TableParagraph"/>
              <w:spacing w:line="184" w:lineRule="exact"/>
              <w:ind w:left="644"/>
              <w:rPr>
                <w:sz w:val="16"/>
              </w:rPr>
            </w:pPr>
            <w:r>
              <w:rPr>
                <w:spacing w:val="-2"/>
                <w:sz w:val="16"/>
              </w:rPr>
              <w:t>(4,336)</w:t>
            </w:r>
          </w:p>
        </w:tc>
        <w:tc>
          <w:tcPr>
            <w:tcW w:w="1166" w:type="dxa"/>
            <w:tcBorders>
              <w:top w:val="single" w:sz="8" w:space="0" w:color="000000"/>
            </w:tcBorders>
          </w:tcPr>
          <w:p>
            <w:pPr>
              <w:pStyle w:val="TableParagraph"/>
              <w:tabs>
                <w:tab w:pos="644" w:val="left" w:leader="none"/>
              </w:tabs>
              <w:spacing w:before="16"/>
              <w:ind w:left="63"/>
              <w:rPr>
                <w:sz w:val="16"/>
              </w:rPr>
            </w:pPr>
            <w:r>
              <w:rPr>
                <w:spacing w:val="-10"/>
                <w:sz w:val="16"/>
              </w:rPr>
              <w:t>$</w:t>
            </w:r>
            <w:r>
              <w:rPr>
                <w:sz w:val="16"/>
              </w:rPr>
              <w:tab/>
            </w:r>
            <w:r>
              <w:rPr>
                <w:spacing w:val="-2"/>
                <w:sz w:val="16"/>
              </w:rPr>
              <w:t>(4,228)</w:t>
            </w:r>
          </w:p>
          <w:p>
            <w:pPr>
              <w:pStyle w:val="TableParagraph"/>
              <w:spacing w:before="67"/>
              <w:rPr>
                <w:rFonts w:ascii="Times New Roman"/>
                <w:sz w:val="16"/>
              </w:rPr>
            </w:pPr>
          </w:p>
          <w:p>
            <w:pPr>
              <w:pStyle w:val="TableParagraph"/>
              <w:spacing w:line="184" w:lineRule="exact"/>
              <w:ind w:left="644"/>
              <w:rPr>
                <w:sz w:val="16"/>
              </w:rPr>
            </w:pPr>
            <w:r>
              <w:rPr>
                <w:spacing w:val="-2"/>
                <w:sz w:val="16"/>
              </w:rPr>
              <w:t>(1,702)</w:t>
            </w:r>
          </w:p>
        </w:tc>
      </w:tr>
      <w:tr>
        <w:trPr>
          <w:trHeight w:val="240" w:hRule="atLeast"/>
        </w:trPr>
        <w:tc>
          <w:tcPr>
            <w:tcW w:w="5760" w:type="dxa"/>
            <w:gridSpan w:val="2"/>
          </w:tcPr>
          <w:p>
            <w:pPr>
              <w:pStyle w:val="TableParagraph"/>
              <w:spacing w:before="16"/>
              <w:ind w:left="52"/>
              <w:rPr>
                <w:sz w:val="16"/>
              </w:rPr>
            </w:pPr>
            <w:r>
              <w:rPr>
                <w:spacing w:val="-2"/>
                <w:sz w:val="16"/>
              </w:rPr>
              <w:t>Total</w:t>
            </w:r>
          </w:p>
        </w:tc>
        <w:tc>
          <w:tcPr>
            <w:tcW w:w="3585" w:type="dxa"/>
            <w:gridSpan w:val="3"/>
            <w:tcBorders>
              <w:bottom w:val="single" w:sz="8" w:space="0" w:color="000000"/>
            </w:tcBorders>
          </w:tcPr>
          <w:p>
            <w:pPr>
              <w:pStyle w:val="TableParagraph"/>
              <w:tabs>
                <w:tab w:pos="633" w:val="left" w:leader="none"/>
                <w:tab w:pos="1759" w:val="left" w:leader="none"/>
                <w:tab w:pos="3063" w:val="left" w:leader="none"/>
              </w:tabs>
              <w:spacing w:before="16"/>
              <w:rPr>
                <w:sz w:val="16"/>
              </w:rPr>
            </w:pPr>
            <w:r>
              <w:rPr>
                <w:spacing w:val="12"/>
                <w:sz w:val="16"/>
                <w:u w:val="single"/>
              </w:rPr>
              <w:t> </w:t>
            </w:r>
            <w:r>
              <w:rPr>
                <w:spacing w:val="-10"/>
                <w:sz w:val="16"/>
                <w:u w:val="single"/>
              </w:rPr>
              <w:t>$</w:t>
            </w:r>
            <w:r>
              <w:rPr>
                <w:sz w:val="16"/>
                <w:u w:val="single"/>
              </w:rPr>
              <w:tab/>
              <w:t>(5,815)</w:t>
            </w:r>
            <w:r>
              <w:rPr>
                <w:spacing w:val="78"/>
                <w:sz w:val="16"/>
                <w:u w:val="single"/>
              </w:rPr>
              <w:t> </w:t>
            </w:r>
            <w:r>
              <w:rPr>
                <w:spacing w:val="-10"/>
                <w:sz w:val="16"/>
                <w:u w:val="single"/>
              </w:rPr>
              <w:t>$</w:t>
            </w:r>
            <w:r>
              <w:rPr>
                <w:sz w:val="16"/>
                <w:u w:val="single"/>
              </w:rPr>
              <w:tab/>
              <w:t>(18,180)</w:t>
            </w:r>
            <w:r>
              <w:rPr>
                <w:spacing w:val="77"/>
                <w:sz w:val="16"/>
                <w:u w:val="single"/>
              </w:rPr>
              <w:t> </w:t>
            </w:r>
            <w:r>
              <w:rPr>
                <w:spacing w:val="-10"/>
                <w:sz w:val="16"/>
                <w:u w:val="single"/>
              </w:rPr>
              <w:t>$</w:t>
            </w:r>
            <w:r>
              <w:rPr>
                <w:sz w:val="16"/>
                <w:u w:val="single"/>
              </w:rPr>
              <w:tab/>
            </w:r>
            <w:r>
              <w:rPr>
                <w:spacing w:val="-2"/>
                <w:sz w:val="16"/>
                <w:u w:val="single"/>
              </w:rPr>
              <w:t>(5,930)</w:t>
            </w:r>
          </w:p>
        </w:tc>
      </w:tr>
    </w:tbl>
    <w:p>
      <w:pPr>
        <w:pStyle w:val="BodyText"/>
        <w:spacing w:before="2"/>
        <w:rPr>
          <w:sz w:val="16"/>
        </w:rPr>
      </w:pPr>
      <w:r>
        <w:rPr>
          <w:sz w:val="16"/>
        </w:rPr>
        <mc:AlternateContent>
          <mc:Choice Requires="wps">
            <w:drawing>
              <wp:anchor distT="0" distB="0" distL="0" distR="0" allowOverlap="1" layoutInCell="1" locked="0" behindDoc="1" simplePos="0" relativeHeight="487733248">
                <wp:simplePos x="0" y="0"/>
                <wp:positionH relativeFrom="page">
                  <wp:posOffset>914400</wp:posOffset>
                </wp:positionH>
                <wp:positionV relativeFrom="paragraph">
                  <wp:posOffset>133378</wp:posOffset>
                </wp:positionV>
                <wp:extent cx="5934075" cy="1270"/>
                <wp:effectExtent l="0" t="0" r="0" b="0"/>
                <wp:wrapTopAndBottom/>
                <wp:docPr id="893" name="Graphic 893"/>
                <wp:cNvGraphicFramePr>
                  <a:graphicFrameLocks/>
                </wp:cNvGraphicFramePr>
                <a:graphic>
                  <a:graphicData uri="http://schemas.microsoft.com/office/word/2010/wordprocessingShape">
                    <wps:wsp>
                      <wps:cNvPr id="893" name="Graphic 893"/>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502217pt;width:467.25pt;height:.1pt;mso-position-horizontal-relative:page;mso-position-vertical-relative:paragraph;z-index:-15583232;mso-wrap-distance-left:0;mso-wrap-distance-right:0" id="docshape736" coordorigin="1440,210" coordsize="9345,0" path="m1440,210l10785,210e" filled="false" stroked="true" strokeweight="1pt" strokecolor="#000000">
                <v:path arrowok="t"/>
                <v:stroke dashstyle="solid"/>
                <w10:wrap type="topAndBottom"/>
              </v:shape>
            </w:pict>
          </mc:Fallback>
        </mc:AlternateContent>
      </w:r>
    </w:p>
    <w:p>
      <w:pPr>
        <w:pStyle w:val="BodyText"/>
        <w:spacing w:line="249" w:lineRule="auto" w:before="162"/>
        <w:ind w:left="720" w:right="718"/>
        <w:jc w:val="both"/>
      </w:pPr>
      <w:r>
        <w:rPr/>
        <w:t>All of the instruments in IBRD's investment portfolio are held for trading purposes. Within the investment portfolio, IBRD holds highly rated fixed income securities, equity securities as well as derivatives. The trading portfolio is primarily held to ensure the availability of funds to meet future cash flow requirements, and for liquidity management purposes.</w:t>
      </w:r>
    </w:p>
    <w:p>
      <w:pPr>
        <w:pStyle w:val="BodyText"/>
        <w:spacing w:line="249" w:lineRule="auto" w:before="123"/>
        <w:ind w:left="720" w:right="720"/>
        <w:jc w:val="both"/>
      </w:pPr>
      <w:r>
        <w:rPr/>
        <w:t>The following table provides information on the amount of unrealized mark-to-market gains and losses on the net Investment-Trading portfolio and their location in the Statements of Income:</w:t>
      </w:r>
    </w:p>
    <w:p>
      <w:pPr>
        <w:pStyle w:val="Heading8"/>
        <w:jc w:val="both"/>
      </w:pPr>
      <w:r>
        <w:rPr/>
        <w:t>Table</w:t>
      </w:r>
      <w:r>
        <w:rPr>
          <w:spacing w:val="-7"/>
        </w:rPr>
        <w:t> </w:t>
      </w:r>
      <w:r>
        <w:rPr/>
        <w:t>F4:</w:t>
      </w:r>
      <w:r>
        <w:rPr>
          <w:spacing w:val="-4"/>
        </w:rPr>
        <w:t> </w:t>
      </w:r>
      <w:r>
        <w:rPr/>
        <w:t>Unrealized</w:t>
      </w:r>
      <w:r>
        <w:rPr>
          <w:spacing w:val="-5"/>
        </w:rPr>
        <w:t> </w:t>
      </w:r>
      <w:r>
        <w:rPr/>
        <w:t>mark-to-market</w:t>
      </w:r>
      <w:r>
        <w:rPr>
          <w:spacing w:val="-4"/>
        </w:rPr>
        <w:t> </w:t>
      </w:r>
      <w:r>
        <w:rPr/>
        <w:t>gains</w:t>
      </w:r>
      <w:r>
        <w:rPr>
          <w:spacing w:val="-4"/>
        </w:rPr>
        <w:t> </w:t>
      </w:r>
      <w:r>
        <w:rPr/>
        <w:t>or</w:t>
      </w:r>
      <w:r>
        <w:rPr>
          <w:spacing w:val="-5"/>
        </w:rPr>
        <w:t> </w:t>
      </w:r>
      <w:r>
        <w:rPr/>
        <w:t>losses</w:t>
      </w:r>
      <w:r>
        <w:rPr>
          <w:spacing w:val="-5"/>
        </w:rPr>
        <w:t> </w:t>
      </w:r>
      <w:r>
        <w:rPr/>
        <w:t>on</w:t>
      </w:r>
      <w:r>
        <w:rPr>
          <w:spacing w:val="-5"/>
        </w:rPr>
        <w:t> </w:t>
      </w:r>
      <w:r>
        <w:rPr/>
        <w:t>Investment-Trading</w:t>
      </w:r>
      <w:r>
        <w:rPr>
          <w:spacing w:val="-3"/>
        </w:rPr>
        <w:t> </w:t>
      </w:r>
      <w:r>
        <w:rPr>
          <w:spacing w:val="-2"/>
        </w:rPr>
        <w:t>portfolio</w:t>
      </w:r>
    </w:p>
    <w:p>
      <w:pPr>
        <w:spacing w:before="48"/>
        <w:ind w:left="772" w:right="0" w:firstLine="0"/>
        <w:jc w:val="both"/>
        <w:rPr>
          <w:rFonts w:ascii="Arial"/>
          <w:i/>
          <w:sz w:val="16"/>
        </w:rPr>
      </w:pPr>
      <w:r>
        <w:rPr>
          <w:rFonts w:ascii="Arial"/>
          <w:i/>
          <w:sz w:val="16"/>
        </w:rPr>
        <mc:AlternateContent>
          <mc:Choice Requires="wps">
            <w:drawing>
              <wp:anchor distT="0" distB="0" distL="0" distR="0" allowOverlap="1" layoutInCell="1" locked="0" behindDoc="0" simplePos="0" relativeHeight="15874560">
                <wp:simplePos x="0" y="0"/>
                <wp:positionH relativeFrom="page">
                  <wp:posOffset>914400</wp:posOffset>
                </wp:positionH>
                <wp:positionV relativeFrom="paragraph">
                  <wp:posOffset>166332</wp:posOffset>
                </wp:positionV>
                <wp:extent cx="5924550" cy="127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5924550" cy="1270"/>
                        </a:xfrm>
                        <a:custGeom>
                          <a:avLst/>
                          <a:gdLst/>
                          <a:ahLst/>
                          <a:cxnLst/>
                          <a:rect l="l" t="t" r="r" b="b"/>
                          <a:pathLst>
                            <a:path w="5924550" h="0">
                              <a:moveTo>
                                <a:pt x="0" y="0"/>
                              </a:moveTo>
                              <a:lnTo>
                                <a:pt x="5924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560" from="72pt,13.097071pt" to="538.5pt,13.097071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after="0"/>
        <w:jc w:val="both"/>
        <w:rPr>
          <w:rFonts w:ascii="Arial"/>
          <w:i/>
          <w:sz w:val="16"/>
        </w:rPr>
        <w:sectPr>
          <w:headerReference w:type="even" r:id="rId177"/>
          <w:footerReference w:type="even" r:id="rId178"/>
          <w:footerReference w:type="default" r:id="rId179"/>
          <w:pgSz w:w="12240" w:h="15840"/>
          <w:pgMar w:header="1037" w:footer="528" w:top="1240" w:bottom="720" w:left="720" w:right="720"/>
          <w:pgNumType w:start="114"/>
        </w:sectPr>
      </w:pPr>
    </w:p>
    <w:p>
      <w:pPr>
        <w:pStyle w:val="BodyText"/>
        <w:spacing w:before="112"/>
        <w:rPr>
          <w:rFonts w:ascii="Arial"/>
          <w:i/>
          <w:sz w:val="16"/>
        </w:rPr>
      </w:pPr>
    </w:p>
    <w:p>
      <w:pPr>
        <w:spacing w:before="0"/>
        <w:ind w:left="772" w:right="0" w:firstLine="0"/>
        <w:jc w:val="left"/>
        <w:rPr>
          <w:rFonts w:ascii="Arial MT"/>
          <w:sz w:val="16"/>
        </w:rPr>
      </w:pPr>
      <w:r>
        <w:rPr>
          <w:rFonts w:ascii="Arial MT"/>
          <w:sz w:val="16"/>
        </w:rPr>
        <w:t>Type</w:t>
      </w:r>
      <w:r>
        <w:rPr>
          <w:rFonts w:ascii="Arial MT"/>
          <w:spacing w:val="-7"/>
          <w:sz w:val="16"/>
        </w:rPr>
        <w:t> </w:t>
      </w:r>
      <w:r>
        <w:rPr>
          <w:rFonts w:ascii="Arial MT"/>
          <w:sz w:val="16"/>
        </w:rPr>
        <w:t>of</w:t>
      </w:r>
      <w:r>
        <w:rPr>
          <w:rFonts w:ascii="Arial MT"/>
          <w:spacing w:val="-5"/>
          <w:sz w:val="16"/>
        </w:rPr>
        <w:t> </w:t>
      </w:r>
      <w:r>
        <w:rPr>
          <w:rFonts w:ascii="Arial MT"/>
          <w:sz w:val="16"/>
        </w:rPr>
        <w:t>instrument</w:t>
      </w:r>
      <w:r>
        <w:rPr>
          <w:rFonts w:ascii="Arial MT"/>
          <w:spacing w:val="-6"/>
          <w:sz w:val="16"/>
        </w:rPr>
        <w:t> </w:t>
      </w:r>
      <w:r>
        <w:rPr>
          <w:rFonts w:ascii="Arial MT"/>
          <w:spacing w:val="-10"/>
          <w:sz w:val="16"/>
          <w:vertAlign w:val="superscript"/>
        </w:rPr>
        <w:t>a</w:t>
      </w:r>
    </w:p>
    <w:p>
      <w:pPr>
        <w:spacing w:line="249" w:lineRule="auto" w:before="49"/>
        <w:ind w:left="952" w:right="0" w:firstLine="0"/>
        <w:jc w:val="left"/>
        <w:rPr>
          <w:rFonts w:ascii="Arial MT"/>
          <w:sz w:val="16"/>
        </w:rPr>
      </w:pPr>
      <w:r>
        <w:rPr>
          <w:rFonts w:ascii="Arial MT"/>
          <w:sz w:val="16"/>
        </w:rPr>
        <w:t>Fixed</w:t>
      </w:r>
      <w:r>
        <w:rPr>
          <w:rFonts w:ascii="Arial MT"/>
          <w:spacing w:val="-12"/>
          <w:sz w:val="16"/>
        </w:rPr>
        <w:t> </w:t>
      </w:r>
      <w:r>
        <w:rPr>
          <w:rFonts w:ascii="Arial MT"/>
          <w:sz w:val="16"/>
        </w:rPr>
        <w:t>income</w:t>
      </w:r>
      <w:r>
        <w:rPr>
          <w:rFonts w:ascii="Arial MT"/>
          <w:spacing w:val="-11"/>
          <w:sz w:val="16"/>
        </w:rPr>
        <w:t> </w:t>
      </w:r>
      <w:r>
        <w:rPr>
          <w:rFonts w:ascii="Arial MT"/>
          <w:sz w:val="16"/>
        </w:rPr>
        <w:t>(including</w:t>
      </w:r>
      <w:r>
        <w:rPr>
          <w:rFonts w:ascii="Arial MT"/>
          <w:spacing w:val="-11"/>
          <w:sz w:val="16"/>
        </w:rPr>
        <w:t> </w:t>
      </w:r>
      <w:r>
        <w:rPr>
          <w:rFonts w:ascii="Arial MT"/>
          <w:sz w:val="16"/>
        </w:rPr>
        <w:t>associated </w:t>
      </w:r>
      <w:r>
        <w:rPr>
          <w:rFonts w:ascii="Arial MT"/>
          <w:spacing w:val="-2"/>
          <w:sz w:val="16"/>
        </w:rPr>
        <w:t>derivatives)</w:t>
      </w:r>
    </w:p>
    <w:p>
      <w:pPr>
        <w:tabs>
          <w:tab w:pos="3272" w:val="left" w:leader="none"/>
          <w:tab w:pos="4532" w:val="left" w:leader="none"/>
          <w:tab w:pos="6147" w:val="right" w:leader="none"/>
        </w:tabs>
        <w:spacing w:before="56"/>
        <w:ind w:left="1222" w:right="0" w:firstLine="0"/>
        <w:jc w:val="left"/>
        <w:rPr>
          <w:rFonts w:ascii="Arial"/>
          <w:i/>
          <w:sz w:val="16"/>
        </w:rPr>
      </w:pPr>
      <w:r>
        <w:rPr/>
        <w:br w:type="column"/>
      </w:r>
      <w:r>
        <w:rPr>
          <w:rFonts w:ascii="Arial"/>
          <w:i/>
          <w:sz w:val="16"/>
        </w:rPr>
        <w:t>Reported</w:t>
      </w:r>
      <w:r>
        <w:rPr>
          <w:rFonts w:ascii="Arial"/>
          <w:i/>
          <w:spacing w:val="-6"/>
          <w:sz w:val="16"/>
        </w:rPr>
        <w:t> </w:t>
      </w:r>
      <w:r>
        <w:rPr>
          <w:rFonts w:ascii="Arial"/>
          <w:i/>
          <w:spacing w:val="-5"/>
          <w:sz w:val="16"/>
        </w:rPr>
        <w:t>as:</w:t>
      </w:r>
      <w:r>
        <w:rPr>
          <w:rFonts w:ascii="Arial"/>
          <w:i/>
          <w:sz w:val="16"/>
        </w:rPr>
        <w:tab/>
      </w:r>
      <w:r>
        <w:rPr>
          <w:rFonts w:ascii="Arial"/>
          <w:i/>
          <w:spacing w:val="-4"/>
          <w:sz w:val="16"/>
        </w:rPr>
        <w:t>2023</w:t>
      </w:r>
      <w:r>
        <w:rPr>
          <w:rFonts w:ascii="Arial"/>
          <w:i/>
          <w:sz w:val="16"/>
        </w:rPr>
        <w:tab/>
      </w:r>
      <w:r>
        <w:rPr>
          <w:rFonts w:ascii="Arial"/>
          <w:i/>
          <w:spacing w:val="-4"/>
          <w:sz w:val="16"/>
        </w:rPr>
        <w:t>2022</w:t>
      </w:r>
      <w:r>
        <w:rPr>
          <w:sz w:val="16"/>
        </w:rPr>
        <w:tab/>
      </w:r>
      <w:r>
        <w:rPr>
          <w:rFonts w:ascii="Arial"/>
          <w:i/>
          <w:spacing w:val="-4"/>
          <w:sz w:val="16"/>
        </w:rPr>
        <w:t>2021</w:t>
      </w:r>
    </w:p>
    <w:p>
      <w:pPr>
        <w:spacing w:line="249" w:lineRule="auto" w:before="305"/>
        <w:ind w:left="712" w:right="4796" w:hanging="90"/>
        <w:jc w:val="left"/>
        <w:rPr>
          <w:rFonts w:ascii="Arial MT"/>
          <w:sz w:val="16"/>
        </w:rPr>
      </w:pPr>
      <w:r>
        <w:rPr>
          <w:rFonts w:ascii="Arial MT"/>
          <w:sz w:val="16"/>
        </w:rPr>
        <mc:AlternateContent>
          <mc:Choice Requires="wps">
            <w:drawing>
              <wp:anchor distT="0" distB="0" distL="0" distR="0" allowOverlap="1" layoutInCell="1" locked="0" behindDoc="0" simplePos="0" relativeHeight="15875072">
                <wp:simplePos x="0" y="0"/>
                <wp:positionH relativeFrom="page">
                  <wp:posOffset>3028950</wp:posOffset>
                </wp:positionH>
                <wp:positionV relativeFrom="paragraph">
                  <wp:posOffset>19032</wp:posOffset>
                </wp:positionV>
                <wp:extent cx="3810000" cy="127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3810000" cy="1270"/>
                        </a:xfrm>
                        <a:custGeom>
                          <a:avLst/>
                          <a:gdLst/>
                          <a:ahLst/>
                          <a:cxnLst/>
                          <a:rect l="l" t="t" r="r" b="b"/>
                          <a:pathLst>
                            <a:path w="3810000" h="0">
                              <a:moveTo>
                                <a:pt x="0" y="0"/>
                              </a:moveTo>
                              <a:lnTo>
                                <a:pt x="1409700" y="0"/>
                              </a:lnTo>
                            </a:path>
                            <a:path w="3810000" h="0">
                              <a:moveTo>
                                <a:pt x="1447800" y="0"/>
                              </a:moveTo>
                              <a:lnTo>
                                <a:pt x="2209800" y="0"/>
                              </a:lnTo>
                            </a:path>
                            <a:path w="3810000" h="0">
                              <a:moveTo>
                                <a:pt x="2247900" y="0"/>
                              </a:moveTo>
                              <a:lnTo>
                                <a:pt x="3009900" y="0"/>
                              </a:lnTo>
                            </a:path>
                            <a:path w="3810000" h="0">
                              <a:moveTo>
                                <a:pt x="3048000" y="0"/>
                              </a:moveTo>
                              <a:lnTo>
                                <a:pt x="3810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8.5pt;margin-top:1.498633pt;width:300pt;height:.1pt;mso-position-horizontal-relative:page;mso-position-vertical-relative:paragraph;z-index:15875072" id="docshape737" coordorigin="4770,30" coordsize="6000,0" path="m4770,30l6990,30m7050,30l8250,30m8310,30l9510,30m9570,30l10770,30e" filled="false" stroked="true" strokeweight="1pt" strokecolor="#000000">
                <v:path arrowok="t"/>
                <v:stroke dashstyle="solid"/>
                <w10:wrap type="none"/>
              </v:shape>
            </w:pict>
          </mc:Fallback>
        </mc:AlternateContent>
      </w:r>
      <w:r>
        <w:rPr>
          <w:rFonts w:ascii="Arial MT"/>
          <w:sz w:val="16"/>
        </w:rPr>
        <mc:AlternateContent>
          <mc:Choice Requires="wps">
            <w:drawing>
              <wp:anchor distT="0" distB="0" distL="0" distR="0" allowOverlap="1" layoutInCell="1" locked="0" behindDoc="0" simplePos="0" relativeHeight="15876096">
                <wp:simplePos x="0" y="0"/>
                <wp:positionH relativeFrom="page">
                  <wp:posOffset>877950</wp:posOffset>
                </wp:positionH>
                <wp:positionV relativeFrom="paragraph">
                  <wp:posOffset>410545</wp:posOffset>
                </wp:positionV>
                <wp:extent cx="5999480" cy="45529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5999480" cy="4552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3"/>
                              <w:gridCol w:w="3484"/>
                              <w:gridCol w:w="1781"/>
                              <w:gridCol w:w="1242"/>
                              <w:gridCol w:w="696"/>
                            </w:tblGrid>
                            <w:tr>
                              <w:trPr>
                                <w:trHeight w:val="222" w:hRule="atLeast"/>
                              </w:trPr>
                              <w:tc>
                                <w:tcPr>
                                  <w:tcW w:w="2123" w:type="dxa"/>
                                </w:tcPr>
                                <w:p>
                                  <w:pPr>
                                    <w:pStyle w:val="TableParagraph"/>
                                    <w:rPr>
                                      <w:rFonts w:ascii="Times New Roman"/>
                                      <w:sz w:val="14"/>
                                    </w:rPr>
                                  </w:pPr>
                                </w:p>
                              </w:tc>
                              <w:tc>
                                <w:tcPr>
                                  <w:tcW w:w="3484" w:type="dxa"/>
                                </w:tcPr>
                                <w:p>
                                  <w:pPr>
                                    <w:pStyle w:val="TableParagraph"/>
                                    <w:spacing w:line="160" w:lineRule="exact" w:before="42"/>
                                    <w:ind w:left="1347"/>
                                    <w:rPr>
                                      <w:sz w:val="16"/>
                                    </w:rPr>
                                  </w:pPr>
                                  <w:r>
                                    <w:rPr>
                                      <w:spacing w:val="-2"/>
                                      <w:sz w:val="16"/>
                                    </w:rPr>
                                    <w:t>Investments-Trading</w:t>
                                  </w:r>
                                </w:p>
                              </w:tc>
                              <w:tc>
                                <w:tcPr>
                                  <w:tcW w:w="1781" w:type="dxa"/>
                                </w:tcPr>
                                <w:p>
                                  <w:pPr>
                                    <w:pStyle w:val="TableParagraph"/>
                                    <w:tabs>
                                      <w:tab w:pos="954" w:val="left" w:leader="none"/>
                                    </w:tabs>
                                    <w:spacing w:line="179" w:lineRule="exact"/>
                                    <w:ind w:left="52"/>
                                    <w:rPr>
                                      <w:sz w:val="16"/>
                                    </w:rPr>
                                  </w:pPr>
                                  <w:r>
                                    <w:rPr>
                                      <w:spacing w:val="-10"/>
                                      <w:sz w:val="16"/>
                                    </w:rPr>
                                    <w:t>$</w:t>
                                  </w:r>
                                  <w:r>
                                    <w:rPr>
                                      <w:sz w:val="16"/>
                                    </w:rPr>
                                    <w:tab/>
                                    <w:t>10</w:t>
                                  </w:r>
                                  <w:r>
                                    <w:rPr>
                                      <w:spacing w:val="44"/>
                                      <w:sz w:val="16"/>
                                    </w:rPr>
                                    <w:t>  </w:t>
                                  </w:r>
                                  <w:r>
                                    <w:rPr>
                                      <w:spacing w:val="-10"/>
                                      <w:sz w:val="16"/>
                                    </w:rPr>
                                    <w:t>$</w:t>
                                  </w:r>
                                </w:p>
                              </w:tc>
                              <w:tc>
                                <w:tcPr>
                                  <w:tcW w:w="1242" w:type="dxa"/>
                                </w:tcPr>
                                <w:p>
                                  <w:pPr>
                                    <w:pStyle w:val="TableParagraph"/>
                                    <w:spacing w:line="179" w:lineRule="exact"/>
                                    <w:ind w:left="380"/>
                                    <w:rPr>
                                      <w:sz w:val="16"/>
                                    </w:rPr>
                                  </w:pPr>
                                  <w:r>
                                    <w:rPr>
                                      <w:sz w:val="16"/>
                                    </w:rPr>
                                    <w:t>(74)</w:t>
                                  </w:r>
                                  <w:r>
                                    <w:rPr>
                                      <w:spacing w:val="80"/>
                                      <w:sz w:val="16"/>
                                    </w:rPr>
                                    <w:t> </w:t>
                                  </w:r>
                                  <w:r>
                                    <w:rPr>
                                      <w:spacing w:val="-10"/>
                                      <w:sz w:val="16"/>
                                    </w:rPr>
                                    <w:t>$</w:t>
                                  </w:r>
                                </w:p>
                              </w:tc>
                              <w:tc>
                                <w:tcPr>
                                  <w:tcW w:w="696" w:type="dxa"/>
                                </w:tcPr>
                                <w:p>
                                  <w:pPr>
                                    <w:pStyle w:val="TableParagraph"/>
                                    <w:spacing w:line="179" w:lineRule="exact"/>
                                    <w:ind w:right="64"/>
                                    <w:jc w:val="right"/>
                                    <w:rPr>
                                      <w:sz w:val="16"/>
                                    </w:rPr>
                                  </w:pPr>
                                  <w:r>
                                    <w:rPr>
                                      <w:spacing w:val="-5"/>
                                      <w:sz w:val="16"/>
                                    </w:rPr>
                                    <w:t>60</w:t>
                                  </w:r>
                                </w:p>
                              </w:tc>
                            </w:tr>
                            <w:tr>
                              <w:trPr>
                                <w:trHeight w:val="215" w:hRule="atLeast"/>
                              </w:trPr>
                              <w:tc>
                                <w:tcPr>
                                  <w:tcW w:w="2123" w:type="dxa"/>
                                </w:tcPr>
                                <w:p>
                                  <w:pPr>
                                    <w:pStyle w:val="TableParagraph"/>
                                    <w:spacing w:line="184" w:lineRule="exact" w:before="12"/>
                                    <w:ind w:left="230"/>
                                    <w:rPr>
                                      <w:sz w:val="16"/>
                                    </w:rPr>
                                  </w:pPr>
                                  <w:r>
                                    <w:rPr>
                                      <w:sz w:val="16"/>
                                    </w:rPr>
                                    <w:t>Equity</w:t>
                                  </w:r>
                                  <w:r>
                                    <w:rPr>
                                      <w:spacing w:val="-4"/>
                                      <w:sz w:val="16"/>
                                    </w:rPr>
                                    <w:t> </w:t>
                                  </w:r>
                                  <w:r>
                                    <w:rPr>
                                      <w:spacing w:val="-10"/>
                                      <w:sz w:val="16"/>
                                      <w:vertAlign w:val="superscript"/>
                                    </w:rPr>
                                    <w:t>b</w:t>
                                  </w:r>
                                </w:p>
                              </w:tc>
                              <w:tc>
                                <w:tcPr>
                                  <w:tcW w:w="3484" w:type="dxa"/>
                                </w:tcPr>
                                <w:p>
                                  <w:pPr>
                                    <w:pStyle w:val="TableParagraph"/>
                                    <w:spacing w:line="184" w:lineRule="exact" w:before="12"/>
                                    <w:ind w:left="1347"/>
                                    <w:rPr>
                                      <w:sz w:val="16"/>
                                    </w:rPr>
                                  </w:pPr>
                                  <w:r>
                                    <w:rPr>
                                      <w:sz w:val="16"/>
                                    </w:rPr>
                                    <w:t>portfolios,</w:t>
                                  </w:r>
                                  <w:r>
                                    <w:rPr>
                                      <w:spacing w:val="-6"/>
                                      <w:sz w:val="16"/>
                                    </w:rPr>
                                    <w:t> </w:t>
                                  </w:r>
                                  <w:r>
                                    <w:rPr>
                                      <w:spacing w:val="-5"/>
                                      <w:sz w:val="16"/>
                                    </w:rPr>
                                    <w:t>net</w:t>
                                  </w:r>
                                </w:p>
                              </w:tc>
                              <w:tc>
                                <w:tcPr>
                                  <w:tcW w:w="1781" w:type="dxa"/>
                                </w:tcPr>
                                <w:p>
                                  <w:pPr>
                                    <w:pStyle w:val="TableParagraph"/>
                                    <w:spacing w:line="184" w:lineRule="exact" w:before="12"/>
                                    <w:ind w:left="305"/>
                                    <w:jc w:val="center"/>
                                    <w:rPr>
                                      <w:sz w:val="16"/>
                                    </w:rPr>
                                  </w:pPr>
                                  <w:r>
                                    <w:rPr>
                                      <w:spacing w:val="-5"/>
                                      <w:sz w:val="16"/>
                                    </w:rPr>
                                    <w:t>74</w:t>
                                  </w:r>
                                </w:p>
                              </w:tc>
                              <w:tc>
                                <w:tcPr>
                                  <w:tcW w:w="1242" w:type="dxa"/>
                                </w:tcPr>
                                <w:p>
                                  <w:pPr>
                                    <w:pStyle w:val="TableParagraph"/>
                                    <w:spacing w:line="184" w:lineRule="exact" w:before="12"/>
                                    <w:ind w:right="106"/>
                                    <w:jc w:val="center"/>
                                    <w:rPr>
                                      <w:sz w:val="16"/>
                                    </w:rPr>
                                  </w:pPr>
                                  <w:r>
                                    <w:rPr>
                                      <w:spacing w:val="-5"/>
                                      <w:sz w:val="16"/>
                                    </w:rPr>
                                    <w:t>(3)</w:t>
                                  </w:r>
                                </w:p>
                              </w:tc>
                              <w:tc>
                                <w:tcPr>
                                  <w:tcW w:w="696" w:type="dxa"/>
                                </w:tcPr>
                                <w:p>
                                  <w:pPr>
                                    <w:pStyle w:val="TableParagraph"/>
                                    <w:spacing w:line="184" w:lineRule="exact" w:before="12"/>
                                    <w:ind w:right="64"/>
                                    <w:jc w:val="right"/>
                                    <w:rPr>
                                      <w:sz w:val="16"/>
                                    </w:rPr>
                                  </w:pPr>
                                  <w:r>
                                    <w:rPr>
                                      <w:spacing w:val="-5"/>
                                      <w:sz w:val="16"/>
                                    </w:rPr>
                                    <w:t>171</w:t>
                                  </w:r>
                                </w:p>
                              </w:tc>
                            </w:tr>
                            <w:tr>
                              <w:trPr>
                                <w:trHeight w:val="240" w:hRule="atLeast"/>
                              </w:trPr>
                              <w:tc>
                                <w:tcPr>
                                  <w:tcW w:w="5607" w:type="dxa"/>
                                  <w:gridSpan w:val="2"/>
                                </w:tcPr>
                                <w:p>
                                  <w:pPr>
                                    <w:pStyle w:val="TableParagraph"/>
                                    <w:spacing w:before="16"/>
                                    <w:ind w:left="50"/>
                                    <w:rPr>
                                      <w:sz w:val="16"/>
                                    </w:rPr>
                                  </w:pPr>
                                  <w:r>
                                    <w:rPr>
                                      <w:spacing w:val="-2"/>
                                      <w:sz w:val="16"/>
                                    </w:rPr>
                                    <w:t>Total</w:t>
                                  </w:r>
                                </w:p>
                              </w:tc>
                              <w:tc>
                                <w:tcPr>
                                  <w:tcW w:w="3719" w:type="dxa"/>
                                  <w:gridSpan w:val="3"/>
                                  <w:tcBorders>
                                    <w:bottom w:val="single" w:sz="8" w:space="0" w:color="000000"/>
                                  </w:tcBorders>
                                </w:tcPr>
                                <w:p>
                                  <w:pPr>
                                    <w:pStyle w:val="TableParagraph"/>
                                    <w:tabs>
                                      <w:tab w:pos="954" w:val="left" w:leader="none"/>
                                      <w:tab w:pos="2161" w:val="left" w:leader="none"/>
                                      <w:tab w:pos="3385" w:val="left" w:leader="none"/>
                                    </w:tabs>
                                    <w:spacing w:before="16"/>
                                    <w:rPr>
                                      <w:sz w:val="16"/>
                                    </w:rPr>
                                  </w:pPr>
                                  <w:r>
                                    <w:rPr>
                                      <w:spacing w:val="12"/>
                                      <w:sz w:val="16"/>
                                      <w:u w:val="single"/>
                                    </w:rPr>
                                    <w:t> </w:t>
                                  </w:r>
                                  <w:r>
                                    <w:rPr>
                                      <w:spacing w:val="-10"/>
                                      <w:sz w:val="16"/>
                                      <w:u w:val="single"/>
                                    </w:rPr>
                                    <w:t>$</w:t>
                                  </w:r>
                                  <w:r>
                                    <w:rPr>
                                      <w:sz w:val="16"/>
                                      <w:u w:val="single"/>
                                    </w:rPr>
                                    <w:tab/>
                                    <w:t>84</w:t>
                                  </w:r>
                                  <w:r>
                                    <w:rPr>
                                      <w:spacing w:val="44"/>
                                      <w:sz w:val="16"/>
                                      <w:u w:val="single"/>
                                    </w:rPr>
                                    <w:t>  </w:t>
                                  </w:r>
                                  <w:r>
                                    <w:rPr>
                                      <w:spacing w:val="-10"/>
                                      <w:sz w:val="16"/>
                                      <w:u w:val="single"/>
                                    </w:rPr>
                                    <w:t>$</w:t>
                                  </w:r>
                                  <w:r>
                                    <w:rPr>
                                      <w:sz w:val="16"/>
                                      <w:u w:val="single"/>
                                    </w:rPr>
                                    <w:tab/>
                                    <w:t>(77)</w:t>
                                  </w:r>
                                  <w:r>
                                    <w:rPr>
                                      <w:spacing w:val="57"/>
                                      <w:w w:val="150"/>
                                      <w:sz w:val="16"/>
                                      <w:u w:val="single"/>
                                    </w:rPr>
                                    <w:t> </w:t>
                                  </w:r>
                                  <w:r>
                                    <w:rPr>
                                      <w:spacing w:val="-10"/>
                                      <w:sz w:val="16"/>
                                      <w:u w:val="single"/>
                                    </w:rPr>
                                    <w:t>$</w:t>
                                  </w:r>
                                  <w:r>
                                    <w:rPr>
                                      <w:sz w:val="16"/>
                                      <w:u w:val="single"/>
                                    </w:rPr>
                                    <w:tab/>
                                  </w:r>
                                  <w:r>
                                    <w:rPr>
                                      <w:spacing w:val="-5"/>
                                      <w:sz w:val="16"/>
                                      <w:u w:val="single"/>
                                    </w:rPr>
                                    <w:t>231</w:t>
                                  </w:r>
                                </w:p>
                              </w:tc>
                            </w:tr>
                          </w:tbl>
                          <w:p>
                            <w:pPr>
                              <w:pStyle w:val="BodyText"/>
                            </w:pPr>
                          </w:p>
                        </w:txbxContent>
                      </wps:txbx>
                      <wps:bodyPr wrap="square" lIns="0" tIns="0" rIns="0" bIns="0" rtlCol="0">
                        <a:noAutofit/>
                      </wps:bodyPr>
                    </wps:wsp>
                  </a:graphicData>
                </a:graphic>
              </wp:anchor>
            </w:drawing>
          </mc:Choice>
          <mc:Fallback>
            <w:pict>
              <v:shape style="position:absolute;margin-left:69.129997pt;margin-top:32.326454pt;width:472.4pt;height:35.85pt;mso-position-horizontal-relative:page;mso-position-vertical-relative:paragraph;z-index:15876096" type="#_x0000_t202" id="docshape7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3"/>
                        <w:gridCol w:w="3484"/>
                        <w:gridCol w:w="1781"/>
                        <w:gridCol w:w="1242"/>
                        <w:gridCol w:w="696"/>
                      </w:tblGrid>
                      <w:tr>
                        <w:trPr>
                          <w:trHeight w:val="222" w:hRule="atLeast"/>
                        </w:trPr>
                        <w:tc>
                          <w:tcPr>
                            <w:tcW w:w="2123" w:type="dxa"/>
                          </w:tcPr>
                          <w:p>
                            <w:pPr>
                              <w:pStyle w:val="TableParagraph"/>
                              <w:rPr>
                                <w:rFonts w:ascii="Times New Roman"/>
                                <w:sz w:val="14"/>
                              </w:rPr>
                            </w:pPr>
                          </w:p>
                        </w:tc>
                        <w:tc>
                          <w:tcPr>
                            <w:tcW w:w="3484" w:type="dxa"/>
                          </w:tcPr>
                          <w:p>
                            <w:pPr>
                              <w:pStyle w:val="TableParagraph"/>
                              <w:spacing w:line="160" w:lineRule="exact" w:before="42"/>
                              <w:ind w:left="1347"/>
                              <w:rPr>
                                <w:sz w:val="16"/>
                              </w:rPr>
                            </w:pPr>
                            <w:r>
                              <w:rPr>
                                <w:spacing w:val="-2"/>
                                <w:sz w:val="16"/>
                              </w:rPr>
                              <w:t>Investments-Trading</w:t>
                            </w:r>
                          </w:p>
                        </w:tc>
                        <w:tc>
                          <w:tcPr>
                            <w:tcW w:w="1781" w:type="dxa"/>
                          </w:tcPr>
                          <w:p>
                            <w:pPr>
                              <w:pStyle w:val="TableParagraph"/>
                              <w:tabs>
                                <w:tab w:pos="954" w:val="left" w:leader="none"/>
                              </w:tabs>
                              <w:spacing w:line="179" w:lineRule="exact"/>
                              <w:ind w:left="52"/>
                              <w:rPr>
                                <w:sz w:val="16"/>
                              </w:rPr>
                            </w:pPr>
                            <w:r>
                              <w:rPr>
                                <w:spacing w:val="-10"/>
                                <w:sz w:val="16"/>
                              </w:rPr>
                              <w:t>$</w:t>
                            </w:r>
                            <w:r>
                              <w:rPr>
                                <w:sz w:val="16"/>
                              </w:rPr>
                              <w:tab/>
                              <w:t>10</w:t>
                            </w:r>
                            <w:r>
                              <w:rPr>
                                <w:spacing w:val="44"/>
                                <w:sz w:val="16"/>
                              </w:rPr>
                              <w:t>  </w:t>
                            </w:r>
                            <w:r>
                              <w:rPr>
                                <w:spacing w:val="-10"/>
                                <w:sz w:val="16"/>
                              </w:rPr>
                              <w:t>$</w:t>
                            </w:r>
                          </w:p>
                        </w:tc>
                        <w:tc>
                          <w:tcPr>
                            <w:tcW w:w="1242" w:type="dxa"/>
                          </w:tcPr>
                          <w:p>
                            <w:pPr>
                              <w:pStyle w:val="TableParagraph"/>
                              <w:spacing w:line="179" w:lineRule="exact"/>
                              <w:ind w:left="380"/>
                              <w:rPr>
                                <w:sz w:val="16"/>
                              </w:rPr>
                            </w:pPr>
                            <w:r>
                              <w:rPr>
                                <w:sz w:val="16"/>
                              </w:rPr>
                              <w:t>(74)</w:t>
                            </w:r>
                            <w:r>
                              <w:rPr>
                                <w:spacing w:val="80"/>
                                <w:sz w:val="16"/>
                              </w:rPr>
                              <w:t> </w:t>
                            </w:r>
                            <w:r>
                              <w:rPr>
                                <w:spacing w:val="-10"/>
                                <w:sz w:val="16"/>
                              </w:rPr>
                              <w:t>$</w:t>
                            </w:r>
                          </w:p>
                        </w:tc>
                        <w:tc>
                          <w:tcPr>
                            <w:tcW w:w="696" w:type="dxa"/>
                          </w:tcPr>
                          <w:p>
                            <w:pPr>
                              <w:pStyle w:val="TableParagraph"/>
                              <w:spacing w:line="179" w:lineRule="exact"/>
                              <w:ind w:right="64"/>
                              <w:jc w:val="right"/>
                              <w:rPr>
                                <w:sz w:val="16"/>
                              </w:rPr>
                            </w:pPr>
                            <w:r>
                              <w:rPr>
                                <w:spacing w:val="-5"/>
                                <w:sz w:val="16"/>
                              </w:rPr>
                              <w:t>60</w:t>
                            </w:r>
                          </w:p>
                        </w:tc>
                      </w:tr>
                      <w:tr>
                        <w:trPr>
                          <w:trHeight w:val="215" w:hRule="atLeast"/>
                        </w:trPr>
                        <w:tc>
                          <w:tcPr>
                            <w:tcW w:w="2123" w:type="dxa"/>
                          </w:tcPr>
                          <w:p>
                            <w:pPr>
                              <w:pStyle w:val="TableParagraph"/>
                              <w:spacing w:line="184" w:lineRule="exact" w:before="12"/>
                              <w:ind w:left="230"/>
                              <w:rPr>
                                <w:sz w:val="16"/>
                              </w:rPr>
                            </w:pPr>
                            <w:r>
                              <w:rPr>
                                <w:sz w:val="16"/>
                              </w:rPr>
                              <w:t>Equity</w:t>
                            </w:r>
                            <w:r>
                              <w:rPr>
                                <w:spacing w:val="-4"/>
                                <w:sz w:val="16"/>
                              </w:rPr>
                              <w:t> </w:t>
                            </w:r>
                            <w:r>
                              <w:rPr>
                                <w:spacing w:val="-10"/>
                                <w:sz w:val="16"/>
                                <w:vertAlign w:val="superscript"/>
                              </w:rPr>
                              <w:t>b</w:t>
                            </w:r>
                          </w:p>
                        </w:tc>
                        <w:tc>
                          <w:tcPr>
                            <w:tcW w:w="3484" w:type="dxa"/>
                          </w:tcPr>
                          <w:p>
                            <w:pPr>
                              <w:pStyle w:val="TableParagraph"/>
                              <w:spacing w:line="184" w:lineRule="exact" w:before="12"/>
                              <w:ind w:left="1347"/>
                              <w:rPr>
                                <w:sz w:val="16"/>
                              </w:rPr>
                            </w:pPr>
                            <w:r>
                              <w:rPr>
                                <w:sz w:val="16"/>
                              </w:rPr>
                              <w:t>portfolios,</w:t>
                            </w:r>
                            <w:r>
                              <w:rPr>
                                <w:spacing w:val="-6"/>
                                <w:sz w:val="16"/>
                              </w:rPr>
                              <w:t> </w:t>
                            </w:r>
                            <w:r>
                              <w:rPr>
                                <w:spacing w:val="-5"/>
                                <w:sz w:val="16"/>
                              </w:rPr>
                              <w:t>net</w:t>
                            </w:r>
                          </w:p>
                        </w:tc>
                        <w:tc>
                          <w:tcPr>
                            <w:tcW w:w="1781" w:type="dxa"/>
                          </w:tcPr>
                          <w:p>
                            <w:pPr>
                              <w:pStyle w:val="TableParagraph"/>
                              <w:spacing w:line="184" w:lineRule="exact" w:before="12"/>
                              <w:ind w:left="305"/>
                              <w:jc w:val="center"/>
                              <w:rPr>
                                <w:sz w:val="16"/>
                              </w:rPr>
                            </w:pPr>
                            <w:r>
                              <w:rPr>
                                <w:spacing w:val="-5"/>
                                <w:sz w:val="16"/>
                              </w:rPr>
                              <w:t>74</w:t>
                            </w:r>
                          </w:p>
                        </w:tc>
                        <w:tc>
                          <w:tcPr>
                            <w:tcW w:w="1242" w:type="dxa"/>
                          </w:tcPr>
                          <w:p>
                            <w:pPr>
                              <w:pStyle w:val="TableParagraph"/>
                              <w:spacing w:line="184" w:lineRule="exact" w:before="12"/>
                              <w:ind w:right="106"/>
                              <w:jc w:val="center"/>
                              <w:rPr>
                                <w:sz w:val="16"/>
                              </w:rPr>
                            </w:pPr>
                            <w:r>
                              <w:rPr>
                                <w:spacing w:val="-5"/>
                                <w:sz w:val="16"/>
                              </w:rPr>
                              <w:t>(3)</w:t>
                            </w:r>
                          </w:p>
                        </w:tc>
                        <w:tc>
                          <w:tcPr>
                            <w:tcW w:w="696" w:type="dxa"/>
                          </w:tcPr>
                          <w:p>
                            <w:pPr>
                              <w:pStyle w:val="TableParagraph"/>
                              <w:spacing w:line="184" w:lineRule="exact" w:before="12"/>
                              <w:ind w:right="64"/>
                              <w:jc w:val="right"/>
                              <w:rPr>
                                <w:sz w:val="16"/>
                              </w:rPr>
                            </w:pPr>
                            <w:r>
                              <w:rPr>
                                <w:spacing w:val="-5"/>
                                <w:sz w:val="16"/>
                              </w:rPr>
                              <w:t>171</w:t>
                            </w:r>
                          </w:p>
                        </w:tc>
                      </w:tr>
                      <w:tr>
                        <w:trPr>
                          <w:trHeight w:val="240" w:hRule="atLeast"/>
                        </w:trPr>
                        <w:tc>
                          <w:tcPr>
                            <w:tcW w:w="5607" w:type="dxa"/>
                            <w:gridSpan w:val="2"/>
                          </w:tcPr>
                          <w:p>
                            <w:pPr>
                              <w:pStyle w:val="TableParagraph"/>
                              <w:spacing w:before="16"/>
                              <w:ind w:left="50"/>
                              <w:rPr>
                                <w:sz w:val="16"/>
                              </w:rPr>
                            </w:pPr>
                            <w:r>
                              <w:rPr>
                                <w:spacing w:val="-2"/>
                                <w:sz w:val="16"/>
                              </w:rPr>
                              <w:t>Total</w:t>
                            </w:r>
                          </w:p>
                        </w:tc>
                        <w:tc>
                          <w:tcPr>
                            <w:tcW w:w="3719" w:type="dxa"/>
                            <w:gridSpan w:val="3"/>
                            <w:tcBorders>
                              <w:bottom w:val="single" w:sz="8" w:space="0" w:color="000000"/>
                            </w:tcBorders>
                          </w:tcPr>
                          <w:p>
                            <w:pPr>
                              <w:pStyle w:val="TableParagraph"/>
                              <w:tabs>
                                <w:tab w:pos="954" w:val="left" w:leader="none"/>
                                <w:tab w:pos="2161" w:val="left" w:leader="none"/>
                                <w:tab w:pos="3385" w:val="left" w:leader="none"/>
                              </w:tabs>
                              <w:spacing w:before="16"/>
                              <w:rPr>
                                <w:sz w:val="16"/>
                              </w:rPr>
                            </w:pPr>
                            <w:r>
                              <w:rPr>
                                <w:spacing w:val="12"/>
                                <w:sz w:val="16"/>
                                <w:u w:val="single"/>
                              </w:rPr>
                              <w:t> </w:t>
                            </w:r>
                            <w:r>
                              <w:rPr>
                                <w:spacing w:val="-10"/>
                                <w:sz w:val="16"/>
                                <w:u w:val="single"/>
                              </w:rPr>
                              <w:t>$</w:t>
                            </w:r>
                            <w:r>
                              <w:rPr>
                                <w:sz w:val="16"/>
                                <w:u w:val="single"/>
                              </w:rPr>
                              <w:tab/>
                              <w:t>84</w:t>
                            </w:r>
                            <w:r>
                              <w:rPr>
                                <w:spacing w:val="44"/>
                                <w:sz w:val="16"/>
                                <w:u w:val="single"/>
                              </w:rPr>
                              <w:t>  </w:t>
                            </w:r>
                            <w:r>
                              <w:rPr>
                                <w:spacing w:val="-10"/>
                                <w:sz w:val="16"/>
                                <w:u w:val="single"/>
                              </w:rPr>
                              <w:t>$</w:t>
                            </w:r>
                            <w:r>
                              <w:rPr>
                                <w:sz w:val="16"/>
                                <w:u w:val="single"/>
                              </w:rPr>
                              <w:tab/>
                              <w:t>(77)</w:t>
                            </w:r>
                            <w:r>
                              <w:rPr>
                                <w:spacing w:val="57"/>
                                <w:w w:val="150"/>
                                <w:sz w:val="16"/>
                                <w:u w:val="single"/>
                              </w:rPr>
                              <w:t> </w:t>
                            </w:r>
                            <w:r>
                              <w:rPr>
                                <w:spacing w:val="-10"/>
                                <w:sz w:val="16"/>
                                <w:u w:val="single"/>
                              </w:rPr>
                              <w:t>$</w:t>
                            </w:r>
                            <w:r>
                              <w:rPr>
                                <w:sz w:val="16"/>
                                <w:u w:val="single"/>
                              </w:rPr>
                              <w:tab/>
                            </w:r>
                            <w:r>
                              <w:rPr>
                                <w:spacing w:val="-5"/>
                                <w:sz w:val="16"/>
                                <w:u w:val="single"/>
                              </w:rPr>
                              <w:t>231</w:t>
                            </w:r>
                          </w:p>
                        </w:tc>
                      </w:tr>
                    </w:tbl>
                    <w:p>
                      <w:pPr>
                        <w:pStyle w:val="BodyText"/>
                      </w:pPr>
                    </w:p>
                  </w:txbxContent>
                </v:textbox>
                <w10:wrap type="none"/>
              </v:shape>
            </w:pict>
          </mc:Fallback>
        </mc:AlternateContent>
      </w:r>
      <w:r>
        <w:rPr>
          <w:rFonts w:ascii="Arial MT"/>
          <w:sz w:val="16"/>
        </w:rPr>
        <w:t>Unrealized</w:t>
      </w:r>
      <w:r>
        <w:rPr>
          <w:rFonts w:ascii="Arial MT"/>
          <w:spacing w:val="-12"/>
          <w:sz w:val="16"/>
        </w:rPr>
        <w:t> </w:t>
      </w:r>
      <w:r>
        <w:rPr>
          <w:rFonts w:ascii="Arial MT"/>
          <w:sz w:val="16"/>
        </w:rPr>
        <w:t>mark-to-market gains (losses) on</w:t>
      </w:r>
    </w:p>
    <w:p>
      <w:pPr>
        <w:spacing w:after="0" w:line="249" w:lineRule="auto"/>
        <w:jc w:val="left"/>
        <w:rPr>
          <w:rFonts w:ascii="Arial MT"/>
          <w:sz w:val="16"/>
        </w:rPr>
        <w:sectPr>
          <w:type w:val="continuous"/>
          <w:pgSz w:w="12240" w:h="15840"/>
          <w:pgMar w:header="1037" w:footer="528" w:top="1820" w:bottom="280" w:left="720" w:right="720"/>
          <w:cols w:num="2" w:equalWidth="0">
            <w:col w:w="3440" w:space="40"/>
            <w:col w:w="7320"/>
          </w:cols>
        </w:sectPr>
      </w:pPr>
    </w:p>
    <w:p>
      <w:pPr>
        <w:pStyle w:val="ListParagraph"/>
        <w:numPr>
          <w:ilvl w:val="0"/>
          <w:numId w:val="41"/>
        </w:numPr>
        <w:tabs>
          <w:tab w:pos="948" w:val="left" w:leader="none"/>
          <w:tab w:pos="952" w:val="left" w:leader="none"/>
        </w:tabs>
        <w:spacing w:line="249" w:lineRule="auto" w:before="917" w:after="0"/>
        <w:ind w:left="952" w:right="1052" w:hanging="180"/>
        <w:jc w:val="left"/>
        <w:rPr>
          <w:rFonts w:ascii="Arial"/>
          <w:i/>
          <w:sz w:val="16"/>
        </w:rPr>
      </w:pPr>
      <w:r>
        <w:rPr>
          <w:rFonts w:ascii="Arial"/>
          <w:i/>
          <w:sz w:val="16"/>
        </w:rPr>
        <mc:AlternateContent>
          <mc:Choice Requires="wps">
            <w:drawing>
              <wp:anchor distT="0" distB="0" distL="0" distR="0" allowOverlap="1" layoutInCell="1" locked="0" behindDoc="0" simplePos="0" relativeHeight="15875584">
                <wp:simplePos x="0" y="0"/>
                <wp:positionH relativeFrom="page">
                  <wp:posOffset>914400</wp:posOffset>
                </wp:positionH>
                <wp:positionV relativeFrom="paragraph">
                  <wp:posOffset>563426</wp:posOffset>
                </wp:positionV>
                <wp:extent cx="5924550" cy="127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5924550" cy="1270"/>
                        </a:xfrm>
                        <a:custGeom>
                          <a:avLst/>
                          <a:gdLst/>
                          <a:ahLst/>
                          <a:cxnLst/>
                          <a:rect l="l" t="t" r="r" b="b"/>
                          <a:pathLst>
                            <a:path w="5924550" h="0">
                              <a:moveTo>
                                <a:pt x="0" y="0"/>
                              </a:moveTo>
                              <a:lnTo>
                                <a:pt x="5924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5584" from="72pt,44.364258pt" to="538.5pt,44.364258pt" stroked="true" strokeweight="1pt" strokecolor="#000000">
                <v:stroke dashstyle="solid"/>
                <w10:wrap type="none"/>
              </v:line>
            </w:pict>
          </mc:Fallback>
        </mc:AlternateContent>
      </w:r>
      <w:r>
        <w:rPr>
          <w:rFonts w:ascii="Arial"/>
          <w:i/>
          <w:sz w:val="16"/>
        </w:rPr>
        <w:t>Amounts</w:t>
      </w:r>
      <w:r>
        <w:rPr>
          <w:rFonts w:ascii="Arial"/>
          <w:i/>
          <w:spacing w:val="-3"/>
          <w:sz w:val="16"/>
        </w:rPr>
        <w:t> </w:t>
      </w:r>
      <w:r>
        <w:rPr>
          <w:rFonts w:ascii="Arial"/>
          <w:i/>
          <w:sz w:val="16"/>
        </w:rPr>
        <w:t>associated</w:t>
      </w:r>
      <w:r>
        <w:rPr>
          <w:rFonts w:ascii="Arial"/>
          <w:i/>
          <w:spacing w:val="-4"/>
          <w:sz w:val="16"/>
        </w:rPr>
        <w:t> </w:t>
      </w:r>
      <w:r>
        <w:rPr>
          <w:rFonts w:ascii="Arial"/>
          <w:i/>
          <w:sz w:val="16"/>
        </w:rPr>
        <w:t>with</w:t>
      </w:r>
      <w:r>
        <w:rPr>
          <w:rFonts w:ascii="Arial"/>
          <w:i/>
          <w:spacing w:val="-4"/>
          <w:sz w:val="16"/>
        </w:rPr>
        <w:t> </w:t>
      </w:r>
      <w:r>
        <w:rPr>
          <w:rFonts w:ascii="Arial"/>
          <w:i/>
          <w:sz w:val="16"/>
        </w:rPr>
        <w:t>each</w:t>
      </w:r>
      <w:r>
        <w:rPr>
          <w:rFonts w:ascii="Arial"/>
          <w:i/>
          <w:spacing w:val="-4"/>
          <w:sz w:val="16"/>
        </w:rPr>
        <w:t> </w:t>
      </w:r>
      <w:r>
        <w:rPr>
          <w:rFonts w:ascii="Arial"/>
          <w:i/>
          <w:sz w:val="16"/>
        </w:rPr>
        <w:t>type</w:t>
      </w:r>
      <w:r>
        <w:rPr>
          <w:rFonts w:ascii="Arial"/>
          <w:i/>
          <w:spacing w:val="-4"/>
          <w:sz w:val="16"/>
        </w:rPr>
        <w:t> </w:t>
      </w:r>
      <w:r>
        <w:rPr>
          <w:rFonts w:ascii="Arial"/>
          <w:i/>
          <w:sz w:val="16"/>
        </w:rPr>
        <w:t>of</w:t>
      </w:r>
      <w:r>
        <w:rPr>
          <w:rFonts w:ascii="Arial"/>
          <w:i/>
          <w:spacing w:val="-3"/>
          <w:sz w:val="16"/>
        </w:rPr>
        <w:t> </w:t>
      </w:r>
      <w:r>
        <w:rPr>
          <w:rFonts w:ascii="Arial"/>
          <w:i/>
          <w:sz w:val="16"/>
        </w:rPr>
        <w:t>instrument</w:t>
      </w:r>
      <w:r>
        <w:rPr>
          <w:rFonts w:ascii="Arial"/>
          <w:i/>
          <w:spacing w:val="-3"/>
          <w:sz w:val="16"/>
        </w:rPr>
        <w:t> </w:t>
      </w:r>
      <w:r>
        <w:rPr>
          <w:rFonts w:ascii="Arial"/>
          <w:i/>
          <w:sz w:val="16"/>
        </w:rPr>
        <w:t>include</w:t>
      </w:r>
      <w:r>
        <w:rPr>
          <w:rFonts w:ascii="Arial"/>
          <w:i/>
          <w:spacing w:val="-4"/>
          <w:sz w:val="16"/>
        </w:rPr>
        <w:t> </w:t>
      </w:r>
      <w:r>
        <w:rPr>
          <w:rFonts w:ascii="Arial"/>
          <w:i/>
          <w:sz w:val="16"/>
        </w:rPr>
        <w:t>gains</w:t>
      </w:r>
      <w:r>
        <w:rPr>
          <w:rFonts w:ascii="Arial"/>
          <w:i/>
          <w:spacing w:val="-3"/>
          <w:sz w:val="16"/>
        </w:rPr>
        <w:t> </w:t>
      </w:r>
      <w:r>
        <w:rPr>
          <w:rFonts w:ascii="Arial"/>
          <w:i/>
          <w:sz w:val="16"/>
        </w:rPr>
        <w:t>and</w:t>
      </w:r>
      <w:r>
        <w:rPr>
          <w:rFonts w:ascii="Arial"/>
          <w:i/>
          <w:spacing w:val="-4"/>
          <w:sz w:val="16"/>
        </w:rPr>
        <w:t> </w:t>
      </w:r>
      <w:r>
        <w:rPr>
          <w:rFonts w:ascii="Arial"/>
          <w:i/>
          <w:sz w:val="16"/>
        </w:rPr>
        <w:t>losses</w:t>
      </w:r>
      <w:r>
        <w:rPr>
          <w:rFonts w:ascii="Arial"/>
          <w:i/>
          <w:spacing w:val="-3"/>
          <w:sz w:val="16"/>
        </w:rPr>
        <w:t> </w:t>
      </w:r>
      <w:r>
        <w:rPr>
          <w:rFonts w:ascii="Arial"/>
          <w:i/>
          <w:sz w:val="16"/>
        </w:rPr>
        <w:t>on</w:t>
      </w:r>
      <w:r>
        <w:rPr>
          <w:rFonts w:ascii="Arial"/>
          <w:i/>
          <w:spacing w:val="-4"/>
          <w:sz w:val="16"/>
        </w:rPr>
        <w:t> </w:t>
      </w:r>
      <w:r>
        <w:rPr>
          <w:rFonts w:ascii="Arial"/>
          <w:i/>
          <w:sz w:val="16"/>
        </w:rPr>
        <w:t>both</w:t>
      </w:r>
      <w:r>
        <w:rPr>
          <w:rFonts w:ascii="Arial"/>
          <w:i/>
          <w:spacing w:val="-4"/>
          <w:sz w:val="16"/>
        </w:rPr>
        <w:t> </w:t>
      </w:r>
      <w:r>
        <w:rPr>
          <w:rFonts w:ascii="Arial"/>
          <w:i/>
          <w:sz w:val="16"/>
        </w:rPr>
        <w:t>derivative</w:t>
      </w:r>
      <w:r>
        <w:rPr>
          <w:rFonts w:ascii="Arial"/>
          <w:i/>
          <w:spacing w:val="-4"/>
          <w:sz w:val="16"/>
        </w:rPr>
        <w:t> </w:t>
      </w:r>
      <w:r>
        <w:rPr>
          <w:rFonts w:ascii="Arial"/>
          <w:i/>
          <w:sz w:val="16"/>
        </w:rPr>
        <w:t>instruments</w:t>
      </w:r>
      <w:r>
        <w:rPr>
          <w:rFonts w:ascii="Arial"/>
          <w:i/>
          <w:spacing w:val="-3"/>
          <w:sz w:val="16"/>
        </w:rPr>
        <w:t> </w:t>
      </w:r>
      <w:r>
        <w:rPr>
          <w:rFonts w:ascii="Arial"/>
          <w:i/>
          <w:sz w:val="16"/>
        </w:rPr>
        <w:t>and</w:t>
      </w:r>
      <w:r>
        <w:rPr>
          <w:rFonts w:ascii="Arial"/>
          <w:i/>
          <w:spacing w:val="-4"/>
          <w:sz w:val="16"/>
        </w:rPr>
        <w:t> </w:t>
      </w:r>
      <w:r>
        <w:rPr>
          <w:rFonts w:ascii="Arial"/>
          <w:i/>
          <w:sz w:val="16"/>
        </w:rPr>
        <w:t>non-derivative </w:t>
      </w:r>
      <w:r>
        <w:rPr>
          <w:rFonts w:ascii="Arial"/>
          <w:i/>
          <w:spacing w:val="-2"/>
          <w:sz w:val="16"/>
        </w:rPr>
        <w:t>instruments.</w:t>
      </w:r>
    </w:p>
    <w:p>
      <w:pPr>
        <w:pStyle w:val="ListParagraph"/>
        <w:numPr>
          <w:ilvl w:val="0"/>
          <w:numId w:val="41"/>
        </w:numPr>
        <w:tabs>
          <w:tab w:pos="948" w:val="left" w:leader="none"/>
        </w:tabs>
        <w:spacing w:line="240" w:lineRule="auto" w:before="49" w:after="0"/>
        <w:ind w:left="948" w:right="0" w:hanging="176"/>
        <w:jc w:val="left"/>
        <w:rPr>
          <w:rFonts w:ascii="Arial"/>
          <w:i/>
          <w:sz w:val="16"/>
        </w:rPr>
      </w:pPr>
      <w:r>
        <w:rPr>
          <w:rFonts w:ascii="Arial"/>
          <w:i/>
          <w:sz w:val="16"/>
        </w:rPr>
        <w:t>Related</w:t>
      </w:r>
      <w:r>
        <w:rPr>
          <w:rFonts w:ascii="Arial"/>
          <w:i/>
          <w:spacing w:val="-3"/>
          <w:sz w:val="16"/>
        </w:rPr>
        <w:t> </w:t>
      </w:r>
      <w:r>
        <w:rPr>
          <w:rFonts w:ascii="Arial"/>
          <w:i/>
          <w:sz w:val="16"/>
        </w:rPr>
        <w:t>to</w:t>
      </w:r>
      <w:r>
        <w:rPr>
          <w:rFonts w:ascii="Arial"/>
          <w:i/>
          <w:spacing w:val="-3"/>
          <w:sz w:val="16"/>
        </w:rPr>
        <w:t> </w:t>
      </w:r>
      <w:r>
        <w:rPr>
          <w:rFonts w:ascii="Arial"/>
          <w:i/>
          <w:sz w:val="16"/>
        </w:rPr>
        <w:t>PEBP</w:t>
      </w:r>
      <w:r>
        <w:rPr>
          <w:rFonts w:ascii="Arial"/>
          <w:i/>
          <w:spacing w:val="-1"/>
          <w:sz w:val="16"/>
        </w:rPr>
        <w:t> </w:t>
      </w:r>
      <w:r>
        <w:rPr>
          <w:rFonts w:ascii="Arial"/>
          <w:i/>
          <w:spacing w:val="-2"/>
          <w:sz w:val="16"/>
        </w:rPr>
        <w:t>holdings.</w:t>
      </w:r>
    </w:p>
    <w:p>
      <w:pPr>
        <w:pStyle w:val="ListParagraph"/>
        <w:spacing w:after="0" w:line="240" w:lineRule="auto"/>
        <w:jc w:val="left"/>
        <w:rPr>
          <w:rFonts w:ascii="Arial"/>
          <w:i/>
          <w:sz w:val="16"/>
        </w:rPr>
        <w:sectPr>
          <w:type w:val="continuous"/>
          <w:pgSz w:w="12240" w:h="15840"/>
          <w:pgMar w:header="1037" w:footer="528" w:top="1820" w:bottom="280" w:left="720" w:right="720"/>
        </w:sectPr>
      </w:pPr>
    </w:p>
    <w:p>
      <w:pPr>
        <w:pStyle w:val="Heading3"/>
        <w:spacing w:before="73"/>
        <w:jc w:val="left"/>
      </w:pPr>
      <w:bookmarkStart w:name="NOTE G—RETAINED EARNINGS, ALLOCATIONS AN" w:id="212"/>
      <w:bookmarkEnd w:id="212"/>
      <w:r>
        <w:rPr>
          <w:b w:val="0"/>
        </w:rPr>
      </w:r>
      <w:r>
        <w:rPr/>
        <w:t>NOTE</w:t>
      </w:r>
      <w:r>
        <w:rPr>
          <w:spacing w:val="-6"/>
        </w:rPr>
        <w:t> </w:t>
      </w:r>
      <w:r>
        <w:rPr/>
        <w:t>G—RETAINED</w:t>
      </w:r>
      <w:r>
        <w:rPr>
          <w:spacing w:val="-4"/>
        </w:rPr>
        <w:t> </w:t>
      </w:r>
      <w:r>
        <w:rPr/>
        <w:t>EARNINGS,</w:t>
      </w:r>
      <w:r>
        <w:rPr>
          <w:spacing w:val="-4"/>
        </w:rPr>
        <w:t> </w:t>
      </w:r>
      <w:r>
        <w:rPr/>
        <w:t>ALLOCATIONS</w:t>
      </w:r>
      <w:r>
        <w:rPr>
          <w:spacing w:val="-4"/>
        </w:rPr>
        <w:t> </w:t>
      </w:r>
      <w:r>
        <w:rPr/>
        <w:t>AND</w:t>
      </w:r>
      <w:r>
        <w:rPr>
          <w:spacing w:val="-3"/>
        </w:rPr>
        <w:t> </w:t>
      </w:r>
      <w:r>
        <w:rPr>
          <w:spacing w:val="-2"/>
        </w:rPr>
        <w:t>TRANSFERS</w:t>
      </w:r>
    </w:p>
    <w:p>
      <w:pPr>
        <w:pStyle w:val="BodyText"/>
        <w:spacing w:before="130"/>
        <w:ind w:left="720"/>
      </w:pPr>
      <w:r>
        <w:rPr/>
        <w:t>The</w:t>
      </w:r>
      <w:r>
        <w:rPr>
          <w:spacing w:val="-6"/>
        </w:rPr>
        <w:t> </w:t>
      </w:r>
      <w:r>
        <w:rPr/>
        <w:t>changes</w:t>
      </w:r>
      <w:r>
        <w:rPr>
          <w:spacing w:val="-4"/>
        </w:rPr>
        <w:t> </w:t>
      </w:r>
      <w:r>
        <w:rPr/>
        <w:t>in</w:t>
      </w:r>
      <w:r>
        <w:rPr>
          <w:spacing w:val="-3"/>
        </w:rPr>
        <w:t> </w:t>
      </w:r>
      <w:r>
        <w:rPr/>
        <w:t>the</w:t>
      </w:r>
      <w:r>
        <w:rPr>
          <w:spacing w:val="-3"/>
        </w:rPr>
        <w:t> </w:t>
      </w:r>
      <w:r>
        <w:rPr/>
        <w:t>components</w:t>
      </w:r>
      <w:r>
        <w:rPr>
          <w:spacing w:val="-4"/>
        </w:rPr>
        <w:t> </w:t>
      </w:r>
      <w:r>
        <w:rPr/>
        <w:t>of</w:t>
      </w:r>
      <w:r>
        <w:rPr>
          <w:spacing w:val="-3"/>
        </w:rPr>
        <w:t> </w:t>
      </w:r>
      <w:r>
        <w:rPr/>
        <w:t>Retained</w:t>
      </w:r>
      <w:r>
        <w:rPr>
          <w:spacing w:val="-2"/>
        </w:rPr>
        <w:t> </w:t>
      </w:r>
      <w:r>
        <w:rPr/>
        <w:t>Earnings</w:t>
      </w:r>
      <w:r>
        <w:rPr>
          <w:spacing w:val="-4"/>
        </w:rPr>
        <w:t> </w:t>
      </w:r>
      <w:r>
        <w:rPr/>
        <w:t>are</w:t>
      </w:r>
      <w:r>
        <w:rPr>
          <w:spacing w:val="-4"/>
        </w:rPr>
        <w:t> </w:t>
      </w:r>
      <w:r>
        <w:rPr/>
        <w:t>summarized</w:t>
      </w:r>
      <w:r>
        <w:rPr>
          <w:spacing w:val="-2"/>
        </w:rPr>
        <w:t> below:</w:t>
      </w:r>
    </w:p>
    <w:p>
      <w:pPr>
        <w:pStyle w:val="Heading8"/>
        <w:spacing w:before="126"/>
      </w:pPr>
      <w:r>
        <w:rPr/>
        <w:t>Table</w:t>
      </w:r>
      <w:r>
        <w:rPr>
          <w:spacing w:val="-5"/>
        </w:rPr>
        <w:t> </w:t>
      </w:r>
      <w:r>
        <w:rPr/>
        <w:t>G1:</w:t>
      </w:r>
      <w:r>
        <w:rPr>
          <w:spacing w:val="-4"/>
        </w:rPr>
        <w:t> </w:t>
      </w:r>
      <w:r>
        <w:rPr/>
        <w:t>Retained</w:t>
      </w:r>
      <w:r>
        <w:rPr>
          <w:spacing w:val="-4"/>
        </w:rPr>
        <w:t> </w:t>
      </w:r>
      <w:r>
        <w:rPr/>
        <w:t>Earnings</w:t>
      </w:r>
      <w:r>
        <w:rPr>
          <w:spacing w:val="-4"/>
        </w:rPr>
        <w:t> </w:t>
      </w:r>
      <w:r>
        <w:rPr>
          <w:spacing w:val="-2"/>
        </w:rPr>
        <w:t>composition</w:t>
      </w:r>
    </w:p>
    <w:p>
      <w:pPr>
        <w:spacing w:before="56" w:after="30"/>
        <w:ind w:left="772" w:right="0" w:firstLine="0"/>
        <w:jc w:val="left"/>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5"/>
        <w:gridCol w:w="731"/>
        <w:gridCol w:w="855"/>
        <w:gridCol w:w="848"/>
        <w:gridCol w:w="705"/>
        <w:gridCol w:w="960"/>
        <w:gridCol w:w="960"/>
        <w:gridCol w:w="960"/>
        <w:gridCol w:w="960"/>
        <w:gridCol w:w="746"/>
      </w:tblGrid>
      <w:tr>
        <w:trPr>
          <w:trHeight w:val="535" w:hRule="atLeast"/>
        </w:trPr>
        <w:tc>
          <w:tcPr>
            <w:tcW w:w="1635" w:type="dxa"/>
            <w:tcBorders>
              <w:top w:val="single" w:sz="8" w:space="0" w:color="000000"/>
            </w:tcBorders>
          </w:tcPr>
          <w:p>
            <w:pPr>
              <w:pStyle w:val="TableParagraph"/>
              <w:rPr>
                <w:rFonts w:ascii="Times New Roman"/>
                <w:sz w:val="14"/>
              </w:rPr>
            </w:pPr>
          </w:p>
        </w:tc>
        <w:tc>
          <w:tcPr>
            <w:tcW w:w="731" w:type="dxa"/>
            <w:tcBorders>
              <w:top w:val="single" w:sz="8" w:space="0" w:color="000000"/>
              <w:bottom w:val="single" w:sz="8" w:space="0" w:color="000000"/>
            </w:tcBorders>
          </w:tcPr>
          <w:p>
            <w:pPr>
              <w:pStyle w:val="TableParagraph"/>
              <w:spacing w:before="14"/>
              <w:rPr>
                <w:rFonts w:ascii="Arial"/>
                <w:i/>
                <w:sz w:val="14"/>
              </w:rPr>
            </w:pPr>
          </w:p>
          <w:p>
            <w:pPr>
              <w:pStyle w:val="TableParagraph"/>
              <w:spacing w:line="170" w:lineRule="atLeast"/>
              <w:ind w:left="92" w:right="111" w:firstLine="31"/>
              <w:rPr>
                <w:rFonts w:ascii="Arial"/>
                <w:i/>
                <w:sz w:val="14"/>
              </w:rPr>
            </w:pPr>
            <w:r>
              <w:rPr>
                <w:rFonts w:ascii="Arial"/>
                <w:i/>
                <w:spacing w:val="-2"/>
                <w:sz w:val="14"/>
              </w:rPr>
              <w:t>Special</w:t>
            </w:r>
            <w:r>
              <w:rPr>
                <w:rFonts w:ascii="Arial"/>
                <w:i/>
                <w:spacing w:val="40"/>
                <w:sz w:val="14"/>
              </w:rPr>
              <w:t> </w:t>
            </w:r>
            <w:r>
              <w:rPr>
                <w:rFonts w:ascii="Arial"/>
                <w:i/>
                <w:spacing w:val="-2"/>
                <w:sz w:val="14"/>
              </w:rPr>
              <w:t>Reserve</w:t>
            </w:r>
          </w:p>
        </w:tc>
        <w:tc>
          <w:tcPr>
            <w:tcW w:w="855" w:type="dxa"/>
            <w:tcBorders>
              <w:top w:val="single" w:sz="8" w:space="0" w:color="000000"/>
              <w:bottom w:val="single" w:sz="8" w:space="0" w:color="000000"/>
            </w:tcBorders>
          </w:tcPr>
          <w:p>
            <w:pPr>
              <w:pStyle w:val="TableParagraph"/>
              <w:spacing w:before="14"/>
              <w:rPr>
                <w:rFonts w:ascii="Arial"/>
                <w:i/>
                <w:sz w:val="14"/>
              </w:rPr>
            </w:pPr>
          </w:p>
          <w:p>
            <w:pPr>
              <w:pStyle w:val="TableParagraph"/>
              <w:spacing w:line="170" w:lineRule="atLeast"/>
              <w:ind w:left="126" w:right="112" w:firstLine="56"/>
              <w:rPr>
                <w:rFonts w:ascii="Arial"/>
                <w:i/>
                <w:sz w:val="14"/>
              </w:rPr>
            </w:pPr>
            <w:r>
              <w:rPr>
                <w:rFonts w:ascii="Arial"/>
                <w:i/>
                <w:spacing w:val="-2"/>
                <w:sz w:val="14"/>
              </w:rPr>
              <w:t>General</w:t>
            </w:r>
            <w:r>
              <w:rPr>
                <w:rFonts w:ascii="Arial"/>
                <w:i/>
                <w:spacing w:val="40"/>
                <w:sz w:val="14"/>
              </w:rPr>
              <w:t> </w:t>
            </w:r>
            <w:r>
              <w:rPr>
                <w:rFonts w:ascii="Arial"/>
                <w:i/>
                <w:sz w:val="14"/>
              </w:rPr>
              <w:t>Reserve</w:t>
            </w:r>
            <w:r>
              <w:rPr>
                <w:rFonts w:ascii="Arial"/>
                <w:i/>
                <w:spacing w:val="-4"/>
                <w:sz w:val="14"/>
              </w:rPr>
              <w:t> </w:t>
            </w:r>
            <w:r>
              <w:rPr>
                <w:rFonts w:ascii="Arial"/>
                <w:i/>
                <w:spacing w:val="-10"/>
                <w:sz w:val="14"/>
                <w:vertAlign w:val="superscript"/>
              </w:rPr>
              <w:t>d</w:t>
            </w:r>
          </w:p>
        </w:tc>
        <w:tc>
          <w:tcPr>
            <w:tcW w:w="848" w:type="dxa"/>
            <w:tcBorders>
              <w:top w:val="single" w:sz="8" w:space="0" w:color="000000"/>
              <w:bottom w:val="single" w:sz="8" w:space="0" w:color="000000"/>
            </w:tcBorders>
          </w:tcPr>
          <w:p>
            <w:pPr>
              <w:pStyle w:val="TableParagraph"/>
              <w:spacing w:before="14"/>
              <w:rPr>
                <w:rFonts w:ascii="Arial"/>
                <w:i/>
                <w:sz w:val="14"/>
              </w:rPr>
            </w:pPr>
          </w:p>
          <w:p>
            <w:pPr>
              <w:pStyle w:val="TableParagraph"/>
              <w:spacing w:line="170" w:lineRule="atLeast"/>
              <w:ind w:left="111" w:right="120" w:firstLine="52"/>
              <w:rPr>
                <w:rFonts w:ascii="Arial"/>
                <w:i/>
                <w:sz w:val="14"/>
              </w:rPr>
            </w:pPr>
            <w:r>
              <w:rPr>
                <w:rFonts w:ascii="Arial"/>
                <w:i/>
                <w:spacing w:val="-2"/>
                <w:sz w:val="14"/>
              </w:rPr>
              <w:t>Pension</w:t>
            </w:r>
            <w:r>
              <w:rPr>
                <w:rFonts w:ascii="Arial"/>
                <w:i/>
                <w:spacing w:val="40"/>
                <w:sz w:val="14"/>
              </w:rPr>
              <w:t> </w:t>
            </w:r>
            <w:r>
              <w:rPr>
                <w:rFonts w:ascii="Arial"/>
                <w:i/>
                <w:sz w:val="14"/>
              </w:rPr>
              <w:t>Reserve</w:t>
            </w:r>
            <w:r>
              <w:rPr>
                <w:rFonts w:ascii="Arial"/>
                <w:i/>
                <w:spacing w:val="-4"/>
                <w:sz w:val="14"/>
              </w:rPr>
              <w:t> </w:t>
            </w:r>
            <w:r>
              <w:rPr>
                <w:rFonts w:ascii="Arial"/>
                <w:i/>
                <w:spacing w:val="-10"/>
                <w:sz w:val="14"/>
                <w:vertAlign w:val="superscript"/>
              </w:rPr>
              <w:t>d</w:t>
            </w:r>
          </w:p>
        </w:tc>
        <w:tc>
          <w:tcPr>
            <w:tcW w:w="705" w:type="dxa"/>
            <w:tcBorders>
              <w:top w:val="single" w:sz="8" w:space="0" w:color="000000"/>
              <w:bottom w:val="single" w:sz="8" w:space="0" w:color="000000"/>
            </w:tcBorders>
          </w:tcPr>
          <w:p>
            <w:pPr>
              <w:pStyle w:val="TableParagraph"/>
              <w:rPr>
                <w:rFonts w:ascii="Arial"/>
                <w:i/>
                <w:sz w:val="14"/>
              </w:rPr>
            </w:pPr>
          </w:p>
          <w:p>
            <w:pPr>
              <w:pStyle w:val="TableParagraph"/>
              <w:spacing w:before="32"/>
              <w:rPr>
                <w:rFonts w:ascii="Arial"/>
                <w:i/>
                <w:sz w:val="14"/>
              </w:rPr>
            </w:pPr>
          </w:p>
          <w:p>
            <w:pPr>
              <w:pStyle w:val="TableParagraph"/>
              <w:spacing w:line="160" w:lineRule="exact"/>
              <w:ind w:right="132"/>
              <w:jc w:val="right"/>
              <w:rPr>
                <w:rFonts w:ascii="Arial"/>
                <w:i/>
                <w:sz w:val="14"/>
              </w:rPr>
            </w:pPr>
            <w:r>
              <w:rPr>
                <w:rFonts w:ascii="Arial"/>
                <w:i/>
                <w:spacing w:val="-2"/>
                <w:sz w:val="14"/>
              </w:rPr>
              <w:t>Surplus</w:t>
            </w:r>
          </w:p>
        </w:tc>
        <w:tc>
          <w:tcPr>
            <w:tcW w:w="960" w:type="dxa"/>
            <w:tcBorders>
              <w:top w:val="single" w:sz="8" w:space="0" w:color="000000"/>
              <w:bottom w:val="single" w:sz="8" w:space="0" w:color="000000"/>
            </w:tcBorders>
          </w:tcPr>
          <w:p>
            <w:pPr>
              <w:pStyle w:val="TableParagraph"/>
              <w:spacing w:line="160" w:lineRule="atLeast" w:before="18"/>
              <w:ind w:left="76" w:right="111" w:firstLine="35"/>
              <w:jc w:val="both"/>
              <w:rPr>
                <w:rFonts w:ascii="Arial"/>
                <w:i/>
                <w:sz w:val="14"/>
              </w:rPr>
            </w:pPr>
            <w:r>
              <w:rPr>
                <w:rFonts w:ascii="Arial"/>
                <w:i/>
                <w:spacing w:val="-2"/>
                <w:sz w:val="14"/>
              </w:rPr>
              <w:t>Cumulative</w:t>
            </w:r>
            <w:r>
              <w:rPr>
                <w:rFonts w:ascii="Arial"/>
                <w:i/>
                <w:spacing w:val="40"/>
                <w:sz w:val="14"/>
              </w:rPr>
              <w:t> </w:t>
            </w:r>
            <w:r>
              <w:rPr>
                <w:rFonts w:ascii="Arial"/>
                <w:i/>
                <w:sz w:val="14"/>
              </w:rPr>
              <w:t>Fair</w:t>
            </w:r>
            <w:r>
              <w:rPr>
                <w:rFonts w:ascii="Arial"/>
                <w:i/>
                <w:spacing w:val="-2"/>
                <w:sz w:val="14"/>
              </w:rPr>
              <w:t> </w:t>
            </w:r>
            <w:r>
              <w:rPr>
                <w:rFonts w:ascii="Arial"/>
                <w:i/>
                <w:sz w:val="14"/>
              </w:rPr>
              <w:t>Value</w:t>
            </w:r>
            <w:r>
              <w:rPr>
                <w:rFonts w:ascii="Arial"/>
                <w:i/>
                <w:spacing w:val="40"/>
                <w:sz w:val="14"/>
              </w:rPr>
              <w:t> </w:t>
            </w:r>
            <w:r>
              <w:rPr>
                <w:rFonts w:ascii="Arial"/>
                <w:i/>
                <w:spacing w:val="-2"/>
                <w:sz w:val="14"/>
              </w:rPr>
              <w:t>Adjustments</w:t>
            </w:r>
          </w:p>
        </w:tc>
        <w:tc>
          <w:tcPr>
            <w:tcW w:w="960" w:type="dxa"/>
            <w:tcBorders>
              <w:top w:val="single" w:sz="8" w:space="0" w:color="000000"/>
              <w:bottom w:val="single" w:sz="8" w:space="0" w:color="000000"/>
            </w:tcBorders>
          </w:tcPr>
          <w:p>
            <w:pPr>
              <w:pStyle w:val="TableParagraph"/>
              <w:spacing w:line="160" w:lineRule="atLeast" w:before="18"/>
              <w:ind w:left="14" w:right="50"/>
              <w:jc w:val="center"/>
              <w:rPr>
                <w:rFonts w:ascii="Arial"/>
                <w:i/>
                <w:sz w:val="14"/>
              </w:rPr>
            </w:pPr>
            <w:r>
              <w:rPr>
                <w:rFonts w:ascii="Arial"/>
                <w:i/>
                <w:spacing w:val="-2"/>
                <w:sz w:val="14"/>
              </w:rPr>
              <w:t>Unallocated</w:t>
            </w:r>
            <w:r>
              <w:rPr>
                <w:rFonts w:ascii="Arial"/>
                <w:i/>
                <w:spacing w:val="40"/>
                <w:sz w:val="14"/>
              </w:rPr>
              <w:t> </w:t>
            </w:r>
            <w:r>
              <w:rPr>
                <w:rFonts w:ascii="Arial"/>
                <w:i/>
                <w:sz w:val="14"/>
              </w:rPr>
              <w:t>Net</w:t>
            </w:r>
            <w:r>
              <w:rPr>
                <w:rFonts w:ascii="Arial"/>
                <w:i/>
                <w:spacing w:val="-10"/>
                <w:sz w:val="14"/>
              </w:rPr>
              <w:t> </w:t>
            </w:r>
            <w:r>
              <w:rPr>
                <w:rFonts w:ascii="Arial"/>
                <w:i/>
                <w:sz w:val="14"/>
              </w:rPr>
              <w:t>Income</w:t>
            </w:r>
            <w:r>
              <w:rPr>
                <w:rFonts w:ascii="Arial"/>
                <w:i/>
                <w:spacing w:val="40"/>
                <w:sz w:val="14"/>
              </w:rPr>
              <w:t> </w:t>
            </w:r>
            <w:r>
              <w:rPr>
                <w:rFonts w:ascii="Arial"/>
                <w:i/>
                <w:sz w:val="14"/>
              </w:rPr>
              <w:t>(Loss)</w:t>
            </w:r>
            <w:r>
              <w:rPr>
                <w:rFonts w:ascii="Arial"/>
                <w:i/>
                <w:spacing w:val="-4"/>
                <w:sz w:val="14"/>
              </w:rPr>
              <w:t> </w:t>
            </w:r>
            <w:r>
              <w:rPr>
                <w:rFonts w:ascii="Arial"/>
                <w:i/>
                <w:sz w:val="14"/>
                <w:vertAlign w:val="superscript"/>
              </w:rPr>
              <w:t>b</w:t>
            </w:r>
          </w:p>
        </w:tc>
        <w:tc>
          <w:tcPr>
            <w:tcW w:w="960" w:type="dxa"/>
            <w:tcBorders>
              <w:top w:val="single" w:sz="8" w:space="0" w:color="000000"/>
              <w:bottom w:val="single" w:sz="8" w:space="0" w:color="000000"/>
            </w:tcBorders>
          </w:tcPr>
          <w:p>
            <w:pPr>
              <w:pStyle w:val="TableParagraph"/>
              <w:spacing w:line="160" w:lineRule="atLeast" w:before="18"/>
              <w:ind w:left="140" w:right="176" w:firstLine="6"/>
              <w:jc w:val="both"/>
              <w:rPr>
                <w:rFonts w:ascii="Arial"/>
                <w:i/>
                <w:sz w:val="14"/>
              </w:rPr>
            </w:pPr>
            <w:r>
              <w:rPr>
                <w:rFonts w:ascii="Arial"/>
                <w:i/>
                <w:spacing w:val="-2"/>
                <w:sz w:val="14"/>
              </w:rPr>
              <w:t>Restricted</w:t>
            </w:r>
            <w:r>
              <w:rPr>
                <w:rFonts w:ascii="Arial"/>
                <w:i/>
                <w:spacing w:val="40"/>
                <w:sz w:val="14"/>
              </w:rPr>
              <w:t> </w:t>
            </w:r>
            <w:r>
              <w:rPr>
                <w:rFonts w:ascii="Arial"/>
                <w:i/>
                <w:spacing w:val="-2"/>
                <w:sz w:val="14"/>
              </w:rPr>
              <w:t>Retained</w:t>
            </w:r>
            <w:r>
              <w:rPr>
                <w:rFonts w:ascii="Arial"/>
                <w:i/>
                <w:spacing w:val="40"/>
                <w:sz w:val="14"/>
              </w:rPr>
              <w:t> </w:t>
            </w:r>
            <w:r>
              <w:rPr>
                <w:rFonts w:ascii="Arial"/>
                <w:i/>
                <w:sz w:val="14"/>
              </w:rPr>
              <w:t>Earnings</w:t>
            </w:r>
            <w:r>
              <w:rPr>
                <w:rFonts w:ascii="Arial"/>
                <w:i/>
                <w:spacing w:val="-7"/>
                <w:sz w:val="14"/>
              </w:rPr>
              <w:t> </w:t>
            </w:r>
            <w:r>
              <w:rPr>
                <w:rFonts w:ascii="Arial"/>
                <w:i/>
                <w:spacing w:val="-10"/>
                <w:sz w:val="14"/>
                <w:vertAlign w:val="superscript"/>
              </w:rPr>
              <w:t>d</w:t>
            </w:r>
          </w:p>
        </w:tc>
        <w:tc>
          <w:tcPr>
            <w:tcW w:w="960" w:type="dxa"/>
            <w:tcBorders>
              <w:top w:val="single" w:sz="8" w:space="0" w:color="000000"/>
              <w:bottom w:val="single" w:sz="8" w:space="0" w:color="000000"/>
            </w:tcBorders>
          </w:tcPr>
          <w:p>
            <w:pPr>
              <w:pStyle w:val="TableParagraph"/>
              <w:spacing w:before="14"/>
              <w:rPr>
                <w:rFonts w:ascii="Arial"/>
                <w:i/>
                <w:sz w:val="14"/>
              </w:rPr>
            </w:pPr>
          </w:p>
          <w:p>
            <w:pPr>
              <w:pStyle w:val="TableParagraph"/>
              <w:spacing w:line="170" w:lineRule="atLeast"/>
              <w:ind w:left="135" w:firstLine="150"/>
              <w:rPr>
                <w:rFonts w:ascii="Arial"/>
                <w:i/>
                <w:sz w:val="14"/>
              </w:rPr>
            </w:pPr>
            <w:r>
              <w:rPr>
                <w:rFonts w:ascii="Arial"/>
                <w:i/>
                <w:spacing w:val="-2"/>
                <w:sz w:val="14"/>
              </w:rPr>
              <w:t>Other</w:t>
            </w:r>
            <w:r>
              <w:rPr>
                <w:rFonts w:ascii="Arial"/>
                <w:i/>
                <w:spacing w:val="40"/>
                <w:sz w:val="14"/>
              </w:rPr>
              <w:t> </w:t>
            </w:r>
            <w:r>
              <w:rPr>
                <w:rFonts w:ascii="Arial"/>
                <w:i/>
                <w:sz w:val="14"/>
              </w:rPr>
              <w:t>reserves</w:t>
            </w:r>
            <w:r>
              <w:rPr>
                <w:rFonts w:ascii="Arial"/>
                <w:i/>
                <w:spacing w:val="1"/>
                <w:sz w:val="14"/>
              </w:rPr>
              <w:t> </w:t>
            </w:r>
            <w:r>
              <w:rPr>
                <w:rFonts w:ascii="Arial"/>
                <w:i/>
                <w:sz w:val="14"/>
                <w:vertAlign w:val="superscript"/>
              </w:rPr>
              <w:t>e</w:t>
            </w:r>
          </w:p>
        </w:tc>
        <w:tc>
          <w:tcPr>
            <w:tcW w:w="746" w:type="dxa"/>
            <w:tcBorders>
              <w:top w:val="single" w:sz="8" w:space="0" w:color="000000"/>
              <w:bottom w:val="single" w:sz="8" w:space="0" w:color="000000"/>
            </w:tcBorders>
          </w:tcPr>
          <w:p>
            <w:pPr>
              <w:pStyle w:val="TableParagraph"/>
              <w:rPr>
                <w:rFonts w:ascii="Arial"/>
                <w:i/>
                <w:sz w:val="14"/>
              </w:rPr>
            </w:pPr>
          </w:p>
          <w:p>
            <w:pPr>
              <w:pStyle w:val="TableParagraph"/>
              <w:spacing w:before="32"/>
              <w:rPr>
                <w:rFonts w:ascii="Arial"/>
                <w:i/>
                <w:sz w:val="14"/>
              </w:rPr>
            </w:pPr>
          </w:p>
          <w:p>
            <w:pPr>
              <w:pStyle w:val="TableParagraph"/>
              <w:spacing w:line="160" w:lineRule="exact"/>
              <w:ind w:left="222"/>
              <w:rPr>
                <w:rFonts w:ascii="Arial"/>
                <w:i/>
                <w:sz w:val="14"/>
              </w:rPr>
            </w:pPr>
            <w:r>
              <w:rPr>
                <w:rFonts w:ascii="Arial"/>
                <w:i/>
                <w:spacing w:val="-4"/>
                <w:sz w:val="14"/>
              </w:rPr>
              <w:t>Total</w:t>
            </w:r>
          </w:p>
        </w:tc>
      </w:tr>
      <w:tr>
        <w:trPr>
          <w:trHeight w:val="216" w:hRule="atLeast"/>
        </w:trPr>
        <w:tc>
          <w:tcPr>
            <w:tcW w:w="1635" w:type="dxa"/>
          </w:tcPr>
          <w:p>
            <w:pPr>
              <w:pStyle w:val="TableParagraph"/>
              <w:spacing w:before="24"/>
              <w:ind w:left="52"/>
              <w:rPr>
                <w:rFonts w:ascii="Arial"/>
                <w:b/>
                <w:sz w:val="14"/>
              </w:rPr>
            </w:pPr>
            <w:r>
              <w:rPr>
                <w:rFonts w:ascii="Arial"/>
                <w:b/>
                <w:sz w:val="14"/>
              </w:rPr>
              <w:t>As</w:t>
            </w:r>
            <w:r>
              <w:rPr>
                <w:rFonts w:ascii="Arial"/>
                <w:b/>
                <w:spacing w:val="-3"/>
                <w:sz w:val="14"/>
              </w:rPr>
              <w:t> </w:t>
            </w:r>
            <w:r>
              <w:rPr>
                <w:rFonts w:ascii="Arial"/>
                <w:b/>
                <w:sz w:val="14"/>
              </w:rPr>
              <w:t>of</w:t>
            </w:r>
            <w:r>
              <w:rPr>
                <w:rFonts w:ascii="Arial"/>
                <w:b/>
                <w:spacing w:val="-2"/>
                <w:sz w:val="14"/>
              </w:rPr>
              <w:t> </w:t>
            </w:r>
            <w:r>
              <w:rPr>
                <w:rFonts w:ascii="Arial"/>
                <w:b/>
                <w:sz w:val="14"/>
              </w:rPr>
              <w:t>June</w:t>
            </w:r>
            <w:r>
              <w:rPr>
                <w:rFonts w:ascii="Arial"/>
                <w:b/>
                <w:spacing w:val="-1"/>
                <w:sz w:val="14"/>
              </w:rPr>
              <w:t> </w:t>
            </w:r>
            <w:r>
              <w:rPr>
                <w:rFonts w:ascii="Arial"/>
                <w:b/>
                <w:sz w:val="14"/>
              </w:rPr>
              <w:t>30,</w:t>
            </w:r>
            <w:r>
              <w:rPr>
                <w:rFonts w:ascii="Arial"/>
                <w:b/>
                <w:spacing w:val="-1"/>
                <w:sz w:val="14"/>
              </w:rPr>
              <w:t> </w:t>
            </w:r>
            <w:r>
              <w:rPr>
                <w:rFonts w:ascii="Arial"/>
                <w:b/>
                <w:spacing w:val="-4"/>
                <w:sz w:val="14"/>
              </w:rPr>
              <w:t>2020</w:t>
            </w:r>
          </w:p>
        </w:tc>
        <w:tc>
          <w:tcPr>
            <w:tcW w:w="731" w:type="dxa"/>
            <w:tcBorders>
              <w:top w:val="single" w:sz="8" w:space="0" w:color="000000"/>
            </w:tcBorders>
          </w:tcPr>
          <w:p>
            <w:pPr>
              <w:pStyle w:val="TableParagraph"/>
              <w:tabs>
                <w:tab w:pos="357" w:val="left" w:leader="none"/>
              </w:tabs>
              <w:spacing w:before="24"/>
              <w:ind w:right="85"/>
              <w:jc w:val="right"/>
              <w:rPr>
                <w:sz w:val="14"/>
              </w:rPr>
            </w:pPr>
            <w:r>
              <w:rPr>
                <w:spacing w:val="-10"/>
                <w:sz w:val="14"/>
              </w:rPr>
              <w:t>$</w:t>
            </w:r>
            <w:r>
              <w:rPr>
                <w:sz w:val="14"/>
              </w:rPr>
              <w:tab/>
            </w:r>
            <w:r>
              <w:rPr>
                <w:spacing w:val="-5"/>
                <w:sz w:val="14"/>
              </w:rPr>
              <w:t>293</w:t>
            </w:r>
          </w:p>
        </w:tc>
        <w:tc>
          <w:tcPr>
            <w:tcW w:w="855" w:type="dxa"/>
            <w:tcBorders>
              <w:top w:val="single" w:sz="8" w:space="0" w:color="000000"/>
            </w:tcBorders>
          </w:tcPr>
          <w:p>
            <w:pPr>
              <w:pStyle w:val="TableParagraph"/>
              <w:spacing w:before="24"/>
              <w:ind w:right="85"/>
              <w:jc w:val="right"/>
              <w:rPr>
                <w:sz w:val="14"/>
              </w:rPr>
            </w:pPr>
            <w:r>
              <w:rPr>
                <w:sz w:val="14"/>
              </w:rPr>
              <w:t>$</w:t>
            </w:r>
            <w:r>
              <w:rPr>
                <w:spacing w:val="48"/>
                <w:sz w:val="14"/>
              </w:rPr>
              <w:t>  </w:t>
            </w:r>
            <w:r>
              <w:rPr>
                <w:spacing w:val="-2"/>
                <w:sz w:val="14"/>
              </w:rPr>
              <w:t>29,437</w:t>
            </w:r>
          </w:p>
        </w:tc>
        <w:tc>
          <w:tcPr>
            <w:tcW w:w="848" w:type="dxa"/>
            <w:tcBorders>
              <w:top w:val="single" w:sz="8" w:space="0" w:color="000000"/>
            </w:tcBorders>
          </w:tcPr>
          <w:p>
            <w:pPr>
              <w:pStyle w:val="TableParagraph"/>
              <w:tabs>
                <w:tab w:pos="503" w:val="left" w:leader="none"/>
              </w:tabs>
              <w:spacing w:before="24"/>
              <w:ind w:left="86"/>
              <w:rPr>
                <w:sz w:val="14"/>
              </w:rPr>
            </w:pPr>
            <w:r>
              <w:rPr>
                <w:spacing w:val="-10"/>
                <w:sz w:val="14"/>
              </w:rPr>
              <w:t>$</w:t>
            </w:r>
            <w:r>
              <w:rPr>
                <w:sz w:val="14"/>
              </w:rPr>
              <w:tab/>
            </w:r>
            <w:r>
              <w:rPr>
                <w:spacing w:val="-5"/>
                <w:sz w:val="14"/>
              </w:rPr>
              <w:t>793</w:t>
            </w:r>
          </w:p>
        </w:tc>
        <w:tc>
          <w:tcPr>
            <w:tcW w:w="705" w:type="dxa"/>
            <w:tcBorders>
              <w:top w:val="single" w:sz="8" w:space="0" w:color="000000"/>
            </w:tcBorders>
          </w:tcPr>
          <w:p>
            <w:pPr>
              <w:pStyle w:val="TableParagraph"/>
              <w:tabs>
                <w:tab w:pos="297" w:val="left" w:leader="none"/>
              </w:tabs>
              <w:spacing w:before="24"/>
              <w:ind w:right="108"/>
              <w:jc w:val="right"/>
              <w:rPr>
                <w:sz w:val="14"/>
              </w:rPr>
            </w:pPr>
            <w:r>
              <w:rPr>
                <w:spacing w:val="-10"/>
                <w:sz w:val="14"/>
              </w:rPr>
              <w:t>$</w:t>
            </w:r>
            <w:r>
              <w:rPr>
                <w:sz w:val="14"/>
              </w:rPr>
              <w:tab/>
            </w:r>
            <w:r>
              <w:rPr>
                <w:spacing w:val="-5"/>
                <w:sz w:val="14"/>
              </w:rPr>
              <w:t>100</w:t>
            </w:r>
          </w:p>
        </w:tc>
        <w:tc>
          <w:tcPr>
            <w:tcW w:w="960" w:type="dxa"/>
            <w:tcBorders>
              <w:top w:val="single" w:sz="8" w:space="0" w:color="000000"/>
            </w:tcBorders>
          </w:tcPr>
          <w:p>
            <w:pPr>
              <w:pStyle w:val="TableParagraph"/>
              <w:tabs>
                <w:tab w:pos="389" w:val="left" w:leader="none"/>
              </w:tabs>
              <w:spacing w:before="24"/>
              <w:ind w:right="61"/>
              <w:jc w:val="right"/>
              <w:rPr>
                <w:sz w:val="14"/>
              </w:rPr>
            </w:pPr>
            <w:r>
              <w:rPr>
                <w:spacing w:val="-10"/>
                <w:sz w:val="14"/>
              </w:rPr>
              <w:t>$</w:t>
            </w:r>
            <w:r>
              <w:rPr>
                <w:sz w:val="14"/>
              </w:rPr>
              <w:tab/>
            </w:r>
            <w:r>
              <w:rPr>
                <w:spacing w:val="-2"/>
                <w:sz w:val="14"/>
              </w:rPr>
              <w:t>(2,166)</w:t>
            </w:r>
          </w:p>
        </w:tc>
        <w:tc>
          <w:tcPr>
            <w:tcW w:w="960" w:type="dxa"/>
            <w:tcBorders>
              <w:top w:val="single" w:sz="8" w:space="0" w:color="000000"/>
            </w:tcBorders>
          </w:tcPr>
          <w:p>
            <w:pPr>
              <w:pStyle w:val="TableParagraph"/>
              <w:tabs>
                <w:tab w:pos="552" w:val="left" w:leader="none"/>
              </w:tabs>
              <w:spacing w:before="24"/>
              <w:ind w:right="108"/>
              <w:jc w:val="right"/>
              <w:rPr>
                <w:sz w:val="14"/>
              </w:rPr>
            </w:pPr>
            <w:r>
              <w:rPr>
                <w:spacing w:val="-10"/>
                <w:sz w:val="14"/>
              </w:rPr>
              <w:t>$</w:t>
            </w:r>
            <w:r>
              <w:rPr>
                <w:sz w:val="14"/>
              </w:rPr>
              <w:tab/>
            </w:r>
            <w:r>
              <w:rPr>
                <w:spacing w:val="-5"/>
                <w:sz w:val="14"/>
              </w:rPr>
              <w:t>298</w:t>
            </w:r>
          </w:p>
        </w:tc>
        <w:tc>
          <w:tcPr>
            <w:tcW w:w="960" w:type="dxa"/>
            <w:tcBorders>
              <w:top w:val="single" w:sz="8" w:space="0" w:color="000000"/>
            </w:tcBorders>
          </w:tcPr>
          <w:p>
            <w:pPr>
              <w:pStyle w:val="TableParagraph"/>
              <w:tabs>
                <w:tab w:pos="661" w:val="left" w:leader="none"/>
              </w:tabs>
              <w:spacing w:before="24"/>
              <w:ind w:right="61"/>
              <w:jc w:val="right"/>
              <w:rPr>
                <w:sz w:val="14"/>
              </w:rPr>
            </w:pPr>
            <w:r>
              <w:rPr>
                <w:spacing w:val="-10"/>
                <w:sz w:val="14"/>
              </w:rPr>
              <w:t>$</w:t>
            </w:r>
            <w:r>
              <w:rPr>
                <w:sz w:val="14"/>
              </w:rPr>
              <w:tab/>
            </w:r>
            <w:r>
              <w:rPr>
                <w:spacing w:val="-5"/>
                <w:sz w:val="14"/>
              </w:rPr>
              <w:t>(5)</w:t>
            </w:r>
          </w:p>
        </w:tc>
        <w:tc>
          <w:tcPr>
            <w:tcW w:w="960" w:type="dxa"/>
            <w:tcBorders>
              <w:top w:val="single" w:sz="8" w:space="0" w:color="000000"/>
            </w:tcBorders>
          </w:tcPr>
          <w:p>
            <w:pPr>
              <w:pStyle w:val="TableParagraph"/>
              <w:tabs>
                <w:tab w:pos="630" w:val="left" w:leader="none"/>
              </w:tabs>
              <w:spacing w:before="24"/>
              <w:ind w:right="108"/>
              <w:jc w:val="right"/>
              <w:rPr>
                <w:sz w:val="14"/>
              </w:rPr>
            </w:pPr>
            <w:r>
              <w:rPr>
                <w:spacing w:val="-10"/>
                <w:sz w:val="14"/>
              </w:rPr>
              <w:t>$</w:t>
            </w:r>
            <w:r>
              <w:rPr>
                <w:sz w:val="14"/>
              </w:rPr>
              <w:tab/>
            </w:r>
            <w:r>
              <w:rPr>
                <w:spacing w:val="-5"/>
                <w:sz w:val="14"/>
              </w:rPr>
              <w:t>15</w:t>
            </w:r>
          </w:p>
        </w:tc>
        <w:tc>
          <w:tcPr>
            <w:tcW w:w="746" w:type="dxa"/>
            <w:tcBorders>
              <w:top w:val="single" w:sz="8" w:space="0" w:color="000000"/>
            </w:tcBorders>
          </w:tcPr>
          <w:p>
            <w:pPr>
              <w:pStyle w:val="TableParagraph"/>
              <w:spacing w:before="24"/>
              <w:ind w:right="59"/>
              <w:jc w:val="right"/>
              <w:rPr>
                <w:sz w:val="14"/>
              </w:rPr>
            </w:pPr>
            <w:r>
              <w:rPr>
                <w:sz w:val="14"/>
              </w:rPr>
              <w:t>$</w:t>
            </w:r>
            <w:r>
              <w:rPr>
                <w:spacing w:val="75"/>
                <w:sz w:val="14"/>
              </w:rPr>
              <w:t> </w:t>
            </w:r>
            <w:r>
              <w:rPr>
                <w:spacing w:val="-2"/>
                <w:sz w:val="14"/>
              </w:rPr>
              <w:t>28,765</w:t>
            </w:r>
          </w:p>
        </w:tc>
      </w:tr>
      <w:tr>
        <w:trPr>
          <w:trHeight w:val="193" w:hRule="atLeast"/>
        </w:trPr>
        <w:tc>
          <w:tcPr>
            <w:tcW w:w="1635" w:type="dxa"/>
          </w:tcPr>
          <w:p>
            <w:pPr>
              <w:pStyle w:val="TableParagraph"/>
              <w:spacing w:line="147" w:lineRule="exact" w:before="26"/>
              <w:ind w:left="52"/>
              <w:rPr>
                <w:sz w:val="14"/>
              </w:rPr>
            </w:pPr>
            <w:r>
              <w:rPr>
                <w:sz w:val="14"/>
              </w:rPr>
              <w:t>Cumulative</w:t>
            </w:r>
            <w:r>
              <w:rPr>
                <w:spacing w:val="-6"/>
                <w:sz w:val="14"/>
              </w:rPr>
              <w:t> </w:t>
            </w:r>
            <w:r>
              <w:rPr>
                <w:sz w:val="14"/>
              </w:rPr>
              <w:t>effect</w:t>
            </w:r>
            <w:r>
              <w:rPr>
                <w:spacing w:val="-5"/>
                <w:sz w:val="14"/>
              </w:rPr>
              <w:t> of</w:t>
            </w:r>
          </w:p>
        </w:tc>
        <w:tc>
          <w:tcPr>
            <w:tcW w:w="731" w:type="dxa"/>
          </w:tcPr>
          <w:p>
            <w:pPr>
              <w:pStyle w:val="TableParagraph"/>
              <w:rPr>
                <w:rFonts w:ascii="Times New Roman"/>
                <w:sz w:val="12"/>
              </w:rPr>
            </w:pPr>
          </w:p>
        </w:tc>
        <w:tc>
          <w:tcPr>
            <w:tcW w:w="855" w:type="dxa"/>
          </w:tcPr>
          <w:p>
            <w:pPr>
              <w:pStyle w:val="TableParagraph"/>
              <w:rPr>
                <w:rFonts w:ascii="Times New Roman"/>
                <w:sz w:val="12"/>
              </w:rPr>
            </w:pPr>
          </w:p>
        </w:tc>
        <w:tc>
          <w:tcPr>
            <w:tcW w:w="848" w:type="dxa"/>
          </w:tcPr>
          <w:p>
            <w:pPr>
              <w:pStyle w:val="TableParagraph"/>
              <w:rPr>
                <w:rFonts w:ascii="Times New Roman"/>
                <w:sz w:val="12"/>
              </w:rPr>
            </w:pPr>
          </w:p>
        </w:tc>
        <w:tc>
          <w:tcPr>
            <w:tcW w:w="705"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746" w:type="dxa"/>
          </w:tcPr>
          <w:p>
            <w:pPr>
              <w:pStyle w:val="TableParagraph"/>
              <w:rPr>
                <w:rFonts w:ascii="Times New Roman"/>
                <w:sz w:val="12"/>
              </w:rPr>
            </w:pPr>
          </w:p>
        </w:tc>
      </w:tr>
      <w:tr>
        <w:trPr>
          <w:trHeight w:val="349" w:hRule="atLeast"/>
        </w:trPr>
        <w:tc>
          <w:tcPr>
            <w:tcW w:w="1635" w:type="dxa"/>
          </w:tcPr>
          <w:p>
            <w:pPr>
              <w:pStyle w:val="TableParagraph"/>
              <w:spacing w:before="1"/>
              <w:ind w:left="52"/>
              <w:rPr>
                <w:sz w:val="14"/>
              </w:rPr>
            </w:pPr>
            <w:r>
              <w:rPr>
                <w:sz w:val="14"/>
              </w:rPr>
              <w:t>change</w:t>
            </w:r>
            <w:r>
              <w:rPr>
                <w:spacing w:val="-5"/>
                <w:sz w:val="14"/>
              </w:rPr>
              <w:t> </w:t>
            </w:r>
            <w:r>
              <w:rPr>
                <w:sz w:val="14"/>
              </w:rPr>
              <w:t>in</w:t>
            </w:r>
            <w:r>
              <w:rPr>
                <w:spacing w:val="-2"/>
                <w:sz w:val="14"/>
              </w:rPr>
              <w:t> accounting</w:t>
            </w:r>
          </w:p>
          <w:p>
            <w:pPr>
              <w:pStyle w:val="TableParagraph"/>
              <w:spacing w:line="161" w:lineRule="exact" w:before="7"/>
              <w:ind w:left="52"/>
              <w:rPr>
                <w:sz w:val="14"/>
              </w:rPr>
            </w:pPr>
            <w:r>
              <w:rPr>
                <w:sz w:val="14"/>
              </w:rPr>
              <w:t>principle</w:t>
            </w:r>
            <w:r>
              <w:rPr>
                <w:spacing w:val="-7"/>
                <w:sz w:val="14"/>
              </w:rPr>
              <w:t> </w:t>
            </w:r>
            <w:r>
              <w:rPr>
                <w:spacing w:val="-10"/>
                <w:sz w:val="14"/>
                <w:vertAlign w:val="superscript"/>
              </w:rPr>
              <w:t>a</w:t>
            </w:r>
          </w:p>
        </w:tc>
        <w:tc>
          <w:tcPr>
            <w:tcW w:w="731" w:type="dxa"/>
            <w:tcBorders>
              <w:bottom w:val="single" w:sz="8" w:space="0" w:color="000000"/>
            </w:tcBorders>
          </w:tcPr>
          <w:p>
            <w:pPr>
              <w:pStyle w:val="TableParagraph"/>
              <w:spacing w:before="8"/>
              <w:rPr>
                <w:rFonts w:ascii="Arial"/>
                <w:i/>
                <w:sz w:val="14"/>
              </w:rPr>
            </w:pPr>
          </w:p>
          <w:p>
            <w:pPr>
              <w:pStyle w:val="TableParagraph"/>
              <w:spacing w:line="161" w:lineRule="exact"/>
              <w:ind w:right="85"/>
              <w:jc w:val="right"/>
              <w:rPr>
                <w:sz w:val="14"/>
              </w:rPr>
            </w:pPr>
            <w:r>
              <w:rPr>
                <w:sz w:val="14"/>
              </w:rPr>
              <w:t>—</w:t>
            </w:r>
          </w:p>
        </w:tc>
        <w:tc>
          <w:tcPr>
            <w:tcW w:w="855" w:type="dxa"/>
            <w:tcBorders>
              <w:bottom w:val="single" w:sz="8" w:space="0" w:color="000000"/>
            </w:tcBorders>
          </w:tcPr>
          <w:p>
            <w:pPr>
              <w:pStyle w:val="TableParagraph"/>
              <w:spacing w:before="8"/>
              <w:rPr>
                <w:rFonts w:ascii="Arial"/>
                <w:i/>
                <w:sz w:val="14"/>
              </w:rPr>
            </w:pPr>
          </w:p>
          <w:p>
            <w:pPr>
              <w:pStyle w:val="TableParagraph"/>
              <w:spacing w:line="161" w:lineRule="exact"/>
              <w:ind w:right="85"/>
              <w:jc w:val="right"/>
              <w:rPr>
                <w:sz w:val="14"/>
              </w:rPr>
            </w:pPr>
            <w:r>
              <w:rPr>
                <w:sz w:val="14"/>
              </w:rPr>
              <w:t>—</w:t>
            </w:r>
          </w:p>
        </w:tc>
        <w:tc>
          <w:tcPr>
            <w:tcW w:w="848"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z w:val="14"/>
              </w:rPr>
              <w:t>—</w:t>
            </w:r>
          </w:p>
        </w:tc>
        <w:tc>
          <w:tcPr>
            <w:tcW w:w="705"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z w:val="14"/>
              </w:rPr>
              <w:t>—</w:t>
            </w:r>
          </w:p>
        </w:tc>
        <w:tc>
          <w:tcPr>
            <w:tcW w:w="960"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z w:val="14"/>
              </w:rPr>
              <w:t>—</w:t>
            </w:r>
          </w:p>
        </w:tc>
        <w:tc>
          <w:tcPr>
            <w:tcW w:w="960"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z w:val="14"/>
              </w:rPr>
              <w:t>—</w:t>
            </w:r>
          </w:p>
        </w:tc>
        <w:tc>
          <w:tcPr>
            <w:tcW w:w="960"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z w:val="14"/>
              </w:rPr>
              <w:t>—</w:t>
            </w:r>
          </w:p>
        </w:tc>
        <w:tc>
          <w:tcPr>
            <w:tcW w:w="960" w:type="dxa"/>
            <w:tcBorders>
              <w:bottom w:val="single" w:sz="8" w:space="0" w:color="000000"/>
            </w:tcBorders>
          </w:tcPr>
          <w:p>
            <w:pPr>
              <w:pStyle w:val="TableParagraph"/>
              <w:spacing w:before="8"/>
              <w:rPr>
                <w:rFonts w:ascii="Arial"/>
                <w:i/>
                <w:sz w:val="14"/>
              </w:rPr>
            </w:pPr>
          </w:p>
          <w:p>
            <w:pPr>
              <w:pStyle w:val="TableParagraph"/>
              <w:spacing w:line="161" w:lineRule="exact"/>
              <w:ind w:right="108"/>
              <w:jc w:val="right"/>
              <w:rPr>
                <w:sz w:val="14"/>
              </w:rPr>
            </w:pPr>
            <w:r>
              <w:rPr>
                <w:spacing w:val="-5"/>
                <w:sz w:val="14"/>
              </w:rPr>
              <w:t>203</w:t>
            </w:r>
          </w:p>
        </w:tc>
        <w:tc>
          <w:tcPr>
            <w:tcW w:w="746" w:type="dxa"/>
            <w:tcBorders>
              <w:bottom w:val="single" w:sz="8" w:space="0" w:color="000000"/>
            </w:tcBorders>
          </w:tcPr>
          <w:p>
            <w:pPr>
              <w:pStyle w:val="TableParagraph"/>
              <w:spacing w:before="8"/>
              <w:rPr>
                <w:rFonts w:ascii="Arial"/>
                <w:i/>
                <w:sz w:val="14"/>
              </w:rPr>
            </w:pPr>
          </w:p>
          <w:p>
            <w:pPr>
              <w:pStyle w:val="TableParagraph"/>
              <w:spacing w:line="161" w:lineRule="exact"/>
              <w:ind w:right="59"/>
              <w:jc w:val="right"/>
              <w:rPr>
                <w:sz w:val="14"/>
              </w:rPr>
            </w:pPr>
            <w:r>
              <w:rPr>
                <w:spacing w:val="-5"/>
                <w:sz w:val="14"/>
              </w:rPr>
              <w:t>203</w:t>
            </w:r>
          </w:p>
        </w:tc>
      </w:tr>
      <w:tr>
        <w:trPr>
          <w:trHeight w:val="210" w:hRule="atLeast"/>
        </w:trPr>
        <w:tc>
          <w:tcPr>
            <w:tcW w:w="1635" w:type="dxa"/>
          </w:tcPr>
          <w:p>
            <w:pPr>
              <w:pStyle w:val="TableParagraph"/>
              <w:spacing w:before="24"/>
              <w:ind w:left="52"/>
              <w:rPr>
                <w:rFonts w:ascii="Arial"/>
                <w:b/>
                <w:sz w:val="14"/>
              </w:rPr>
            </w:pPr>
            <w:r>
              <w:rPr>
                <w:rFonts w:ascii="Arial"/>
                <w:b/>
                <w:sz w:val="14"/>
              </w:rPr>
              <w:t>As</w:t>
            </w:r>
            <w:r>
              <w:rPr>
                <w:rFonts w:ascii="Arial"/>
                <w:b/>
                <w:spacing w:val="-1"/>
                <w:sz w:val="14"/>
              </w:rPr>
              <w:t> </w:t>
            </w:r>
            <w:r>
              <w:rPr>
                <w:rFonts w:ascii="Arial"/>
                <w:b/>
                <w:sz w:val="14"/>
              </w:rPr>
              <w:t>of</w:t>
            </w:r>
            <w:r>
              <w:rPr>
                <w:rFonts w:ascii="Arial"/>
                <w:b/>
                <w:spacing w:val="-1"/>
                <w:sz w:val="14"/>
              </w:rPr>
              <w:t> </w:t>
            </w:r>
            <w:r>
              <w:rPr>
                <w:rFonts w:ascii="Arial"/>
                <w:b/>
                <w:sz w:val="14"/>
              </w:rPr>
              <w:t>July</w:t>
            </w:r>
            <w:r>
              <w:rPr>
                <w:rFonts w:ascii="Arial"/>
                <w:b/>
                <w:spacing w:val="-1"/>
                <w:sz w:val="14"/>
              </w:rPr>
              <w:t> </w:t>
            </w:r>
            <w:r>
              <w:rPr>
                <w:rFonts w:ascii="Arial"/>
                <w:b/>
                <w:sz w:val="14"/>
              </w:rPr>
              <w:t>1, </w:t>
            </w:r>
            <w:r>
              <w:rPr>
                <w:rFonts w:ascii="Arial"/>
                <w:b/>
                <w:spacing w:val="-4"/>
                <w:sz w:val="14"/>
              </w:rPr>
              <w:t>2020</w:t>
            </w:r>
          </w:p>
        </w:tc>
        <w:tc>
          <w:tcPr>
            <w:tcW w:w="731" w:type="dxa"/>
            <w:tcBorders>
              <w:top w:val="single" w:sz="8" w:space="0" w:color="000000"/>
            </w:tcBorders>
          </w:tcPr>
          <w:p>
            <w:pPr>
              <w:pStyle w:val="TableParagraph"/>
              <w:spacing w:before="24"/>
              <w:ind w:right="85"/>
              <w:jc w:val="right"/>
              <w:rPr>
                <w:sz w:val="14"/>
              </w:rPr>
            </w:pPr>
            <w:r>
              <w:rPr>
                <w:spacing w:val="-5"/>
                <w:sz w:val="14"/>
              </w:rPr>
              <w:t>293</w:t>
            </w:r>
          </w:p>
        </w:tc>
        <w:tc>
          <w:tcPr>
            <w:tcW w:w="855" w:type="dxa"/>
            <w:tcBorders>
              <w:top w:val="single" w:sz="8" w:space="0" w:color="000000"/>
            </w:tcBorders>
          </w:tcPr>
          <w:p>
            <w:pPr>
              <w:pStyle w:val="TableParagraph"/>
              <w:spacing w:before="24"/>
              <w:ind w:right="85"/>
              <w:jc w:val="right"/>
              <w:rPr>
                <w:sz w:val="14"/>
              </w:rPr>
            </w:pPr>
            <w:r>
              <w:rPr>
                <w:spacing w:val="-2"/>
                <w:sz w:val="14"/>
              </w:rPr>
              <w:t>29,437</w:t>
            </w:r>
          </w:p>
        </w:tc>
        <w:tc>
          <w:tcPr>
            <w:tcW w:w="848" w:type="dxa"/>
            <w:tcBorders>
              <w:top w:val="single" w:sz="8" w:space="0" w:color="000000"/>
            </w:tcBorders>
          </w:tcPr>
          <w:p>
            <w:pPr>
              <w:pStyle w:val="TableParagraph"/>
              <w:spacing w:before="24"/>
              <w:ind w:right="108"/>
              <w:jc w:val="right"/>
              <w:rPr>
                <w:sz w:val="14"/>
              </w:rPr>
            </w:pPr>
            <w:r>
              <w:rPr>
                <w:spacing w:val="-5"/>
                <w:sz w:val="14"/>
              </w:rPr>
              <w:t>793</w:t>
            </w:r>
          </w:p>
        </w:tc>
        <w:tc>
          <w:tcPr>
            <w:tcW w:w="705" w:type="dxa"/>
            <w:tcBorders>
              <w:top w:val="single" w:sz="8" w:space="0" w:color="000000"/>
            </w:tcBorders>
          </w:tcPr>
          <w:p>
            <w:pPr>
              <w:pStyle w:val="TableParagraph"/>
              <w:spacing w:before="24"/>
              <w:ind w:right="108"/>
              <w:jc w:val="right"/>
              <w:rPr>
                <w:sz w:val="14"/>
              </w:rPr>
            </w:pPr>
            <w:r>
              <w:rPr>
                <w:spacing w:val="-5"/>
                <w:sz w:val="14"/>
              </w:rPr>
              <w:t>100</w:t>
            </w:r>
          </w:p>
        </w:tc>
        <w:tc>
          <w:tcPr>
            <w:tcW w:w="960" w:type="dxa"/>
            <w:tcBorders>
              <w:top w:val="single" w:sz="8" w:space="0" w:color="000000"/>
            </w:tcBorders>
          </w:tcPr>
          <w:p>
            <w:pPr>
              <w:pStyle w:val="TableParagraph"/>
              <w:spacing w:before="24"/>
              <w:ind w:right="61"/>
              <w:jc w:val="right"/>
              <w:rPr>
                <w:sz w:val="14"/>
              </w:rPr>
            </w:pPr>
            <w:r>
              <w:rPr>
                <w:spacing w:val="-2"/>
                <w:sz w:val="14"/>
              </w:rPr>
              <w:t>(2,166)</w:t>
            </w:r>
          </w:p>
        </w:tc>
        <w:tc>
          <w:tcPr>
            <w:tcW w:w="960" w:type="dxa"/>
            <w:tcBorders>
              <w:top w:val="single" w:sz="8" w:space="0" w:color="000000"/>
            </w:tcBorders>
          </w:tcPr>
          <w:p>
            <w:pPr>
              <w:pStyle w:val="TableParagraph"/>
              <w:spacing w:before="24"/>
              <w:ind w:right="108"/>
              <w:jc w:val="right"/>
              <w:rPr>
                <w:sz w:val="14"/>
              </w:rPr>
            </w:pPr>
            <w:r>
              <w:rPr>
                <w:spacing w:val="-5"/>
                <w:sz w:val="14"/>
              </w:rPr>
              <w:t>298</w:t>
            </w:r>
          </w:p>
        </w:tc>
        <w:tc>
          <w:tcPr>
            <w:tcW w:w="960" w:type="dxa"/>
            <w:tcBorders>
              <w:top w:val="single" w:sz="8" w:space="0" w:color="000000"/>
            </w:tcBorders>
          </w:tcPr>
          <w:p>
            <w:pPr>
              <w:pStyle w:val="TableParagraph"/>
              <w:spacing w:before="24"/>
              <w:ind w:right="61"/>
              <w:jc w:val="right"/>
              <w:rPr>
                <w:sz w:val="14"/>
              </w:rPr>
            </w:pPr>
            <w:r>
              <w:rPr>
                <w:spacing w:val="-5"/>
                <w:sz w:val="14"/>
              </w:rPr>
              <w:t>(5)</w:t>
            </w:r>
          </w:p>
        </w:tc>
        <w:tc>
          <w:tcPr>
            <w:tcW w:w="960" w:type="dxa"/>
            <w:tcBorders>
              <w:top w:val="single" w:sz="8" w:space="0" w:color="000000"/>
            </w:tcBorders>
          </w:tcPr>
          <w:p>
            <w:pPr>
              <w:pStyle w:val="TableParagraph"/>
              <w:spacing w:before="24"/>
              <w:ind w:right="108"/>
              <w:jc w:val="right"/>
              <w:rPr>
                <w:sz w:val="14"/>
              </w:rPr>
            </w:pPr>
            <w:r>
              <w:rPr>
                <w:spacing w:val="-5"/>
                <w:sz w:val="14"/>
              </w:rPr>
              <w:t>218</w:t>
            </w:r>
          </w:p>
        </w:tc>
        <w:tc>
          <w:tcPr>
            <w:tcW w:w="746" w:type="dxa"/>
            <w:tcBorders>
              <w:top w:val="single" w:sz="8" w:space="0" w:color="000000"/>
            </w:tcBorders>
          </w:tcPr>
          <w:p>
            <w:pPr>
              <w:pStyle w:val="TableParagraph"/>
              <w:spacing w:before="24"/>
              <w:ind w:right="59"/>
              <w:jc w:val="right"/>
              <w:rPr>
                <w:sz w:val="14"/>
              </w:rPr>
            </w:pPr>
            <w:r>
              <w:rPr>
                <w:spacing w:val="-2"/>
                <w:sz w:val="14"/>
              </w:rPr>
              <w:t>28,968</w:t>
            </w:r>
          </w:p>
        </w:tc>
      </w:tr>
      <w:tr>
        <w:trPr>
          <w:trHeight w:val="230" w:hRule="atLeast"/>
        </w:trPr>
        <w:tc>
          <w:tcPr>
            <w:tcW w:w="1635" w:type="dxa"/>
          </w:tcPr>
          <w:p>
            <w:pPr>
              <w:pStyle w:val="TableParagraph"/>
              <w:spacing w:before="39"/>
              <w:ind w:left="52"/>
              <w:rPr>
                <w:sz w:val="14"/>
              </w:rPr>
            </w:pPr>
            <w:r>
              <w:rPr>
                <w:sz w:val="14"/>
              </w:rPr>
              <w:t>Net</w:t>
            </w:r>
            <w:r>
              <w:rPr>
                <w:spacing w:val="-5"/>
                <w:sz w:val="14"/>
              </w:rPr>
              <w:t> </w:t>
            </w:r>
            <w:r>
              <w:rPr>
                <w:sz w:val="14"/>
              </w:rPr>
              <w:t>income</w:t>
            </w:r>
            <w:r>
              <w:rPr>
                <w:spacing w:val="-4"/>
                <w:sz w:val="14"/>
              </w:rPr>
              <w:t> </w:t>
            </w:r>
            <w:r>
              <w:rPr>
                <w:sz w:val="14"/>
              </w:rPr>
              <w:t>allocation</w:t>
            </w:r>
            <w:r>
              <w:rPr>
                <w:spacing w:val="-5"/>
                <w:sz w:val="14"/>
              </w:rPr>
              <w:t> </w:t>
            </w:r>
            <w:r>
              <w:rPr>
                <w:spacing w:val="-10"/>
                <w:sz w:val="14"/>
                <w:vertAlign w:val="superscript"/>
              </w:rPr>
              <w:t>b</w:t>
            </w:r>
          </w:p>
        </w:tc>
        <w:tc>
          <w:tcPr>
            <w:tcW w:w="731" w:type="dxa"/>
          </w:tcPr>
          <w:p>
            <w:pPr>
              <w:pStyle w:val="TableParagraph"/>
              <w:spacing w:before="39"/>
              <w:ind w:right="85"/>
              <w:jc w:val="right"/>
              <w:rPr>
                <w:sz w:val="14"/>
              </w:rPr>
            </w:pPr>
            <w:r>
              <w:rPr>
                <w:sz w:val="14"/>
              </w:rPr>
              <w:t>—</w:t>
            </w:r>
          </w:p>
        </w:tc>
        <w:tc>
          <w:tcPr>
            <w:tcW w:w="855" w:type="dxa"/>
          </w:tcPr>
          <w:p>
            <w:pPr>
              <w:pStyle w:val="TableParagraph"/>
              <w:spacing w:before="39"/>
              <w:ind w:right="85"/>
              <w:jc w:val="right"/>
              <w:rPr>
                <w:sz w:val="14"/>
              </w:rPr>
            </w:pPr>
            <w:r>
              <w:rPr>
                <w:spacing w:val="-5"/>
                <w:sz w:val="14"/>
              </w:rPr>
              <w:t>950</w:t>
            </w:r>
          </w:p>
        </w:tc>
        <w:tc>
          <w:tcPr>
            <w:tcW w:w="848" w:type="dxa"/>
          </w:tcPr>
          <w:p>
            <w:pPr>
              <w:pStyle w:val="TableParagraph"/>
              <w:spacing w:before="39"/>
              <w:ind w:right="61"/>
              <w:jc w:val="right"/>
              <w:rPr>
                <w:sz w:val="14"/>
              </w:rPr>
            </w:pPr>
            <w:r>
              <w:rPr>
                <w:spacing w:val="-4"/>
                <w:sz w:val="14"/>
              </w:rPr>
              <w:t>(62)</w:t>
            </w:r>
          </w:p>
        </w:tc>
        <w:tc>
          <w:tcPr>
            <w:tcW w:w="705" w:type="dxa"/>
          </w:tcPr>
          <w:p>
            <w:pPr>
              <w:pStyle w:val="TableParagraph"/>
              <w:spacing w:before="39"/>
              <w:ind w:right="108"/>
              <w:jc w:val="right"/>
              <w:rPr>
                <w:sz w:val="14"/>
              </w:rPr>
            </w:pPr>
            <w:r>
              <w:rPr>
                <w:spacing w:val="-5"/>
                <w:sz w:val="14"/>
              </w:rPr>
              <w:t>100</w:t>
            </w:r>
          </w:p>
        </w:tc>
        <w:tc>
          <w:tcPr>
            <w:tcW w:w="960" w:type="dxa"/>
          </w:tcPr>
          <w:p>
            <w:pPr>
              <w:pStyle w:val="TableParagraph"/>
              <w:spacing w:before="39"/>
              <w:ind w:right="61"/>
              <w:jc w:val="right"/>
              <w:rPr>
                <w:sz w:val="14"/>
              </w:rPr>
            </w:pPr>
            <w:r>
              <w:rPr>
                <w:spacing w:val="-2"/>
                <w:sz w:val="14"/>
              </w:rPr>
              <w:t>(1,137)</w:t>
            </w:r>
          </w:p>
        </w:tc>
        <w:tc>
          <w:tcPr>
            <w:tcW w:w="960" w:type="dxa"/>
          </w:tcPr>
          <w:p>
            <w:pPr>
              <w:pStyle w:val="TableParagraph"/>
              <w:spacing w:before="39"/>
              <w:ind w:right="108"/>
              <w:jc w:val="right"/>
              <w:rPr>
                <w:sz w:val="14"/>
              </w:rPr>
            </w:pPr>
            <w:r>
              <w:rPr>
                <w:spacing w:val="-5"/>
                <w:sz w:val="14"/>
              </w:rPr>
              <w:t>33</w:t>
            </w:r>
          </w:p>
        </w:tc>
        <w:tc>
          <w:tcPr>
            <w:tcW w:w="960" w:type="dxa"/>
          </w:tcPr>
          <w:p>
            <w:pPr>
              <w:pStyle w:val="TableParagraph"/>
              <w:spacing w:before="39"/>
              <w:ind w:right="108"/>
              <w:jc w:val="right"/>
              <w:rPr>
                <w:sz w:val="14"/>
              </w:rPr>
            </w:pPr>
            <w:r>
              <w:rPr>
                <w:spacing w:val="-5"/>
                <w:sz w:val="14"/>
              </w:rPr>
              <w:t>59</w:t>
            </w:r>
          </w:p>
        </w:tc>
        <w:tc>
          <w:tcPr>
            <w:tcW w:w="960" w:type="dxa"/>
          </w:tcPr>
          <w:p>
            <w:pPr>
              <w:pStyle w:val="TableParagraph"/>
              <w:spacing w:before="39"/>
              <w:ind w:right="108"/>
              <w:jc w:val="right"/>
              <w:rPr>
                <w:sz w:val="14"/>
              </w:rPr>
            </w:pPr>
            <w:r>
              <w:rPr>
                <w:spacing w:val="-5"/>
                <w:sz w:val="14"/>
              </w:rPr>
              <w:t>57</w:t>
            </w:r>
          </w:p>
        </w:tc>
        <w:tc>
          <w:tcPr>
            <w:tcW w:w="746" w:type="dxa"/>
          </w:tcPr>
          <w:p>
            <w:pPr>
              <w:pStyle w:val="TableParagraph"/>
              <w:spacing w:before="39"/>
              <w:ind w:right="59"/>
              <w:jc w:val="right"/>
              <w:rPr>
                <w:sz w:val="14"/>
              </w:rPr>
            </w:pPr>
            <w:r>
              <w:rPr>
                <w:sz w:val="14"/>
              </w:rPr>
              <w:t>—</w:t>
            </w:r>
          </w:p>
        </w:tc>
      </w:tr>
      <w:tr>
        <w:trPr>
          <w:trHeight w:val="192" w:hRule="atLeast"/>
        </w:trPr>
        <w:tc>
          <w:tcPr>
            <w:tcW w:w="1635" w:type="dxa"/>
          </w:tcPr>
          <w:p>
            <w:pPr>
              <w:pStyle w:val="TableParagraph"/>
              <w:spacing w:line="147" w:lineRule="exact" w:before="25"/>
              <w:ind w:left="52"/>
              <w:rPr>
                <w:sz w:val="14"/>
              </w:rPr>
            </w:pPr>
            <w:r>
              <w:rPr>
                <w:sz w:val="14"/>
              </w:rPr>
              <w:t>Board</w:t>
            </w:r>
            <w:r>
              <w:rPr>
                <w:spacing w:val="-4"/>
                <w:sz w:val="14"/>
              </w:rPr>
              <w:t> </w:t>
            </w:r>
            <w:r>
              <w:rPr>
                <w:sz w:val="14"/>
              </w:rPr>
              <w:t>of</w:t>
            </w:r>
            <w:r>
              <w:rPr>
                <w:spacing w:val="-2"/>
                <w:sz w:val="14"/>
              </w:rPr>
              <w:t> Governors-</w:t>
            </w:r>
          </w:p>
        </w:tc>
        <w:tc>
          <w:tcPr>
            <w:tcW w:w="731" w:type="dxa"/>
          </w:tcPr>
          <w:p>
            <w:pPr>
              <w:pStyle w:val="TableParagraph"/>
              <w:rPr>
                <w:rFonts w:ascii="Times New Roman"/>
                <w:sz w:val="12"/>
              </w:rPr>
            </w:pPr>
          </w:p>
        </w:tc>
        <w:tc>
          <w:tcPr>
            <w:tcW w:w="855" w:type="dxa"/>
          </w:tcPr>
          <w:p>
            <w:pPr>
              <w:pStyle w:val="TableParagraph"/>
              <w:rPr>
                <w:rFonts w:ascii="Times New Roman"/>
                <w:sz w:val="12"/>
              </w:rPr>
            </w:pPr>
          </w:p>
        </w:tc>
        <w:tc>
          <w:tcPr>
            <w:tcW w:w="848" w:type="dxa"/>
          </w:tcPr>
          <w:p>
            <w:pPr>
              <w:pStyle w:val="TableParagraph"/>
              <w:rPr>
                <w:rFonts w:ascii="Times New Roman"/>
                <w:sz w:val="12"/>
              </w:rPr>
            </w:pPr>
          </w:p>
        </w:tc>
        <w:tc>
          <w:tcPr>
            <w:tcW w:w="705"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746" w:type="dxa"/>
          </w:tcPr>
          <w:p>
            <w:pPr>
              <w:pStyle w:val="TableParagraph"/>
              <w:rPr>
                <w:rFonts w:ascii="Times New Roman"/>
                <w:sz w:val="12"/>
              </w:rPr>
            </w:pPr>
          </w:p>
        </w:tc>
      </w:tr>
      <w:tr>
        <w:trPr>
          <w:trHeight w:val="167" w:hRule="atLeast"/>
        </w:trPr>
        <w:tc>
          <w:tcPr>
            <w:tcW w:w="1635" w:type="dxa"/>
          </w:tcPr>
          <w:p>
            <w:pPr>
              <w:pStyle w:val="TableParagraph"/>
              <w:spacing w:line="147" w:lineRule="exact" w:before="1"/>
              <w:ind w:left="52"/>
              <w:rPr>
                <w:sz w:val="14"/>
              </w:rPr>
            </w:pPr>
            <w:r>
              <w:rPr>
                <w:sz w:val="14"/>
              </w:rPr>
              <w:t>approved</w:t>
            </w:r>
            <w:r>
              <w:rPr>
                <w:spacing w:val="-7"/>
                <w:sz w:val="14"/>
              </w:rPr>
              <w:t> </w:t>
            </w:r>
            <w:r>
              <w:rPr>
                <w:spacing w:val="-2"/>
                <w:sz w:val="14"/>
              </w:rPr>
              <w:t>transfers</w:t>
            </w:r>
          </w:p>
        </w:tc>
        <w:tc>
          <w:tcPr>
            <w:tcW w:w="731" w:type="dxa"/>
          </w:tcPr>
          <w:p>
            <w:pPr>
              <w:pStyle w:val="TableParagraph"/>
              <w:rPr>
                <w:rFonts w:ascii="Times New Roman"/>
                <w:sz w:val="10"/>
              </w:rPr>
            </w:pPr>
          </w:p>
        </w:tc>
        <w:tc>
          <w:tcPr>
            <w:tcW w:w="855" w:type="dxa"/>
          </w:tcPr>
          <w:p>
            <w:pPr>
              <w:pStyle w:val="TableParagraph"/>
              <w:rPr>
                <w:rFonts w:ascii="Times New Roman"/>
                <w:sz w:val="10"/>
              </w:rPr>
            </w:pPr>
          </w:p>
        </w:tc>
        <w:tc>
          <w:tcPr>
            <w:tcW w:w="848" w:type="dxa"/>
          </w:tcPr>
          <w:p>
            <w:pPr>
              <w:pStyle w:val="TableParagraph"/>
              <w:rPr>
                <w:rFonts w:ascii="Times New Roman"/>
                <w:sz w:val="10"/>
              </w:rPr>
            </w:pPr>
          </w:p>
        </w:tc>
        <w:tc>
          <w:tcPr>
            <w:tcW w:w="705"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746" w:type="dxa"/>
          </w:tcPr>
          <w:p>
            <w:pPr>
              <w:pStyle w:val="TableParagraph"/>
              <w:rPr>
                <w:rFonts w:ascii="Times New Roman"/>
                <w:sz w:val="10"/>
              </w:rPr>
            </w:pPr>
          </w:p>
        </w:tc>
      </w:tr>
      <w:tr>
        <w:trPr>
          <w:trHeight w:val="364" w:hRule="atLeast"/>
        </w:trPr>
        <w:tc>
          <w:tcPr>
            <w:tcW w:w="1635" w:type="dxa"/>
          </w:tcPr>
          <w:p>
            <w:pPr>
              <w:pStyle w:val="TableParagraph"/>
              <w:spacing w:line="249" w:lineRule="auto" w:before="1"/>
              <w:ind w:left="52" w:right="128"/>
              <w:rPr>
                <w:sz w:val="14"/>
              </w:rPr>
            </w:pPr>
            <w:r>
              <w:rPr>
                <w:sz w:val="14"/>
              </w:rPr>
              <w:t>funded</w:t>
            </w:r>
            <w:r>
              <w:rPr>
                <w:spacing w:val="-10"/>
                <w:sz w:val="14"/>
              </w:rPr>
              <w:t> </w:t>
            </w:r>
            <w:r>
              <w:rPr>
                <w:sz w:val="14"/>
              </w:rPr>
              <w:t>from</w:t>
            </w:r>
            <w:r>
              <w:rPr>
                <w:spacing w:val="-10"/>
                <w:sz w:val="14"/>
              </w:rPr>
              <w:t> </w:t>
            </w:r>
            <w:r>
              <w:rPr>
                <w:sz w:val="14"/>
              </w:rPr>
              <w:t>Surplus</w:t>
            </w:r>
            <w:r>
              <w:rPr>
                <w:spacing w:val="40"/>
                <w:sz w:val="14"/>
              </w:rPr>
              <w:t> </w:t>
            </w:r>
            <w:r>
              <w:rPr>
                <w:sz w:val="14"/>
              </w:rPr>
              <w:t>and</w:t>
            </w:r>
            <w:r>
              <w:rPr>
                <w:spacing w:val="-3"/>
                <w:sz w:val="14"/>
              </w:rPr>
              <w:t> </w:t>
            </w:r>
            <w:r>
              <w:rPr>
                <w:sz w:val="14"/>
              </w:rPr>
              <w:t>other</w:t>
            </w:r>
            <w:r>
              <w:rPr>
                <w:spacing w:val="-3"/>
                <w:sz w:val="14"/>
              </w:rPr>
              <w:t> </w:t>
            </w:r>
            <w:r>
              <w:rPr>
                <w:sz w:val="14"/>
              </w:rPr>
              <w:t>transfers</w:t>
            </w:r>
            <w:r>
              <w:rPr>
                <w:spacing w:val="-4"/>
                <w:sz w:val="14"/>
              </w:rPr>
              <w:t> </w:t>
            </w:r>
            <w:r>
              <w:rPr>
                <w:spacing w:val="-10"/>
                <w:sz w:val="14"/>
                <w:vertAlign w:val="superscript"/>
              </w:rPr>
              <w:t>c</w:t>
            </w:r>
          </w:p>
        </w:tc>
        <w:tc>
          <w:tcPr>
            <w:tcW w:w="731" w:type="dxa"/>
          </w:tcPr>
          <w:p>
            <w:pPr>
              <w:pStyle w:val="TableParagraph"/>
              <w:spacing w:before="8"/>
              <w:rPr>
                <w:rFonts w:ascii="Arial"/>
                <w:i/>
                <w:sz w:val="14"/>
              </w:rPr>
            </w:pPr>
          </w:p>
          <w:p>
            <w:pPr>
              <w:pStyle w:val="TableParagraph"/>
              <w:ind w:right="85"/>
              <w:jc w:val="right"/>
              <w:rPr>
                <w:sz w:val="14"/>
              </w:rPr>
            </w:pPr>
            <w:r>
              <w:rPr>
                <w:sz w:val="14"/>
              </w:rPr>
              <w:t>—</w:t>
            </w:r>
          </w:p>
        </w:tc>
        <w:tc>
          <w:tcPr>
            <w:tcW w:w="855" w:type="dxa"/>
          </w:tcPr>
          <w:p>
            <w:pPr>
              <w:pStyle w:val="TableParagraph"/>
              <w:spacing w:before="8"/>
              <w:rPr>
                <w:rFonts w:ascii="Arial"/>
                <w:i/>
                <w:sz w:val="14"/>
              </w:rPr>
            </w:pPr>
          </w:p>
          <w:p>
            <w:pPr>
              <w:pStyle w:val="TableParagraph"/>
              <w:ind w:right="85"/>
              <w:jc w:val="right"/>
              <w:rPr>
                <w:sz w:val="14"/>
              </w:rPr>
            </w:pPr>
            <w:r>
              <w:rPr>
                <w:sz w:val="14"/>
              </w:rPr>
              <w:t>—</w:t>
            </w:r>
          </w:p>
        </w:tc>
        <w:tc>
          <w:tcPr>
            <w:tcW w:w="848" w:type="dxa"/>
          </w:tcPr>
          <w:p>
            <w:pPr>
              <w:pStyle w:val="TableParagraph"/>
              <w:spacing w:before="8"/>
              <w:rPr>
                <w:rFonts w:ascii="Arial"/>
                <w:i/>
                <w:sz w:val="14"/>
              </w:rPr>
            </w:pPr>
          </w:p>
          <w:p>
            <w:pPr>
              <w:pStyle w:val="TableParagraph"/>
              <w:ind w:right="108"/>
              <w:jc w:val="right"/>
              <w:rPr>
                <w:sz w:val="14"/>
              </w:rPr>
            </w:pPr>
            <w:r>
              <w:rPr>
                <w:sz w:val="14"/>
              </w:rPr>
              <w:t>—</w:t>
            </w:r>
          </w:p>
        </w:tc>
        <w:tc>
          <w:tcPr>
            <w:tcW w:w="705" w:type="dxa"/>
          </w:tcPr>
          <w:p>
            <w:pPr>
              <w:pStyle w:val="TableParagraph"/>
              <w:spacing w:before="8"/>
              <w:rPr>
                <w:rFonts w:ascii="Arial"/>
                <w:i/>
                <w:sz w:val="14"/>
              </w:rPr>
            </w:pPr>
          </w:p>
          <w:p>
            <w:pPr>
              <w:pStyle w:val="TableParagraph"/>
              <w:ind w:right="61"/>
              <w:jc w:val="right"/>
              <w:rPr>
                <w:sz w:val="14"/>
              </w:rPr>
            </w:pPr>
            <w:r>
              <w:rPr>
                <w:spacing w:val="-2"/>
                <w:sz w:val="14"/>
              </w:rPr>
              <w:t>(100)</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108"/>
              <w:jc w:val="right"/>
              <w:rPr>
                <w:sz w:val="14"/>
              </w:rPr>
            </w:pPr>
            <w:r>
              <w:rPr>
                <w:spacing w:val="-5"/>
                <w:sz w:val="14"/>
              </w:rPr>
              <w:t>80</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108"/>
              <w:jc w:val="right"/>
              <w:rPr>
                <w:sz w:val="14"/>
              </w:rPr>
            </w:pPr>
            <w:r>
              <w:rPr>
                <w:spacing w:val="-5"/>
                <w:sz w:val="14"/>
              </w:rPr>
              <w:t>20</w:t>
            </w:r>
          </w:p>
        </w:tc>
        <w:tc>
          <w:tcPr>
            <w:tcW w:w="746" w:type="dxa"/>
          </w:tcPr>
          <w:p>
            <w:pPr>
              <w:pStyle w:val="TableParagraph"/>
              <w:spacing w:before="8"/>
              <w:rPr>
                <w:rFonts w:ascii="Arial"/>
                <w:i/>
                <w:sz w:val="14"/>
              </w:rPr>
            </w:pPr>
          </w:p>
          <w:p>
            <w:pPr>
              <w:pStyle w:val="TableParagraph"/>
              <w:ind w:right="59"/>
              <w:jc w:val="right"/>
              <w:rPr>
                <w:sz w:val="14"/>
              </w:rPr>
            </w:pPr>
            <w:r>
              <w:rPr>
                <w:sz w:val="14"/>
              </w:rPr>
              <w:t>—</w:t>
            </w:r>
          </w:p>
        </w:tc>
      </w:tr>
      <w:tr>
        <w:trPr>
          <w:trHeight w:val="210" w:hRule="atLeast"/>
        </w:trPr>
        <w:tc>
          <w:tcPr>
            <w:tcW w:w="1635" w:type="dxa"/>
          </w:tcPr>
          <w:p>
            <w:pPr>
              <w:pStyle w:val="TableParagraph"/>
              <w:spacing w:line="161" w:lineRule="exact" w:before="29"/>
              <w:ind w:left="52"/>
              <w:rPr>
                <w:sz w:val="14"/>
              </w:rPr>
            </w:pPr>
            <w:r>
              <w:rPr>
                <w:sz w:val="14"/>
              </w:rPr>
              <w:t>Net</w:t>
            </w:r>
            <w:r>
              <w:rPr>
                <w:spacing w:val="-2"/>
                <w:sz w:val="14"/>
              </w:rPr>
              <w:t> </w:t>
            </w:r>
            <w:r>
              <w:rPr>
                <w:sz w:val="14"/>
              </w:rPr>
              <w:t>income</w:t>
            </w:r>
            <w:r>
              <w:rPr>
                <w:spacing w:val="-2"/>
                <w:sz w:val="14"/>
              </w:rPr>
              <w:t> </w:t>
            </w:r>
            <w:r>
              <w:rPr>
                <w:sz w:val="14"/>
              </w:rPr>
              <w:t>for</w:t>
            </w:r>
            <w:r>
              <w:rPr>
                <w:spacing w:val="-2"/>
                <w:sz w:val="14"/>
              </w:rPr>
              <w:t> </w:t>
            </w:r>
            <w:r>
              <w:rPr>
                <w:sz w:val="14"/>
              </w:rPr>
              <w:t>the</w:t>
            </w:r>
            <w:r>
              <w:rPr>
                <w:spacing w:val="-1"/>
                <w:sz w:val="14"/>
              </w:rPr>
              <w:t> </w:t>
            </w:r>
            <w:r>
              <w:rPr>
                <w:spacing w:val="-4"/>
                <w:sz w:val="14"/>
              </w:rPr>
              <w:t>year</w:t>
            </w:r>
          </w:p>
        </w:tc>
        <w:tc>
          <w:tcPr>
            <w:tcW w:w="731" w:type="dxa"/>
            <w:tcBorders>
              <w:bottom w:val="single" w:sz="8" w:space="0" w:color="000000"/>
            </w:tcBorders>
          </w:tcPr>
          <w:p>
            <w:pPr>
              <w:pStyle w:val="TableParagraph"/>
              <w:spacing w:line="161" w:lineRule="exact" w:before="29"/>
              <w:ind w:right="85"/>
              <w:jc w:val="right"/>
              <w:rPr>
                <w:sz w:val="14"/>
              </w:rPr>
            </w:pPr>
            <w:r>
              <w:rPr>
                <w:sz w:val="14"/>
              </w:rPr>
              <w:t>—</w:t>
            </w:r>
          </w:p>
        </w:tc>
        <w:tc>
          <w:tcPr>
            <w:tcW w:w="855" w:type="dxa"/>
            <w:tcBorders>
              <w:bottom w:val="single" w:sz="8" w:space="0" w:color="000000"/>
            </w:tcBorders>
          </w:tcPr>
          <w:p>
            <w:pPr>
              <w:pStyle w:val="TableParagraph"/>
              <w:spacing w:line="161" w:lineRule="exact" w:before="29"/>
              <w:ind w:right="85"/>
              <w:jc w:val="right"/>
              <w:rPr>
                <w:sz w:val="14"/>
              </w:rPr>
            </w:pPr>
            <w:r>
              <w:rPr>
                <w:sz w:val="14"/>
              </w:rPr>
              <w:t>—</w:t>
            </w:r>
          </w:p>
        </w:tc>
        <w:tc>
          <w:tcPr>
            <w:tcW w:w="848" w:type="dxa"/>
            <w:tcBorders>
              <w:bottom w:val="single" w:sz="8" w:space="0" w:color="000000"/>
            </w:tcBorders>
          </w:tcPr>
          <w:p>
            <w:pPr>
              <w:pStyle w:val="TableParagraph"/>
              <w:spacing w:line="161" w:lineRule="exact" w:before="29"/>
              <w:ind w:right="108"/>
              <w:jc w:val="right"/>
              <w:rPr>
                <w:sz w:val="14"/>
              </w:rPr>
            </w:pPr>
            <w:r>
              <w:rPr>
                <w:sz w:val="14"/>
              </w:rPr>
              <w:t>—</w:t>
            </w:r>
          </w:p>
        </w:tc>
        <w:tc>
          <w:tcPr>
            <w:tcW w:w="705"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pacing w:val="-2"/>
                <w:sz w:val="14"/>
              </w:rPr>
              <w:t>2,039</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746" w:type="dxa"/>
            <w:tcBorders>
              <w:bottom w:val="single" w:sz="8" w:space="0" w:color="000000"/>
            </w:tcBorders>
          </w:tcPr>
          <w:p>
            <w:pPr>
              <w:pStyle w:val="TableParagraph"/>
              <w:spacing w:line="161" w:lineRule="exact" w:before="29"/>
              <w:ind w:right="59"/>
              <w:jc w:val="right"/>
              <w:rPr>
                <w:sz w:val="14"/>
              </w:rPr>
            </w:pPr>
            <w:r>
              <w:rPr>
                <w:spacing w:val="-2"/>
                <w:sz w:val="14"/>
              </w:rPr>
              <w:t>2,039</w:t>
            </w:r>
          </w:p>
        </w:tc>
      </w:tr>
      <w:tr>
        <w:trPr>
          <w:trHeight w:val="210" w:hRule="atLeast"/>
        </w:trPr>
        <w:tc>
          <w:tcPr>
            <w:tcW w:w="1635" w:type="dxa"/>
          </w:tcPr>
          <w:p>
            <w:pPr>
              <w:pStyle w:val="TableParagraph"/>
              <w:spacing w:before="24"/>
              <w:ind w:left="52"/>
              <w:rPr>
                <w:rFonts w:ascii="Arial"/>
                <w:b/>
                <w:sz w:val="14"/>
              </w:rPr>
            </w:pPr>
            <w:r>
              <w:rPr>
                <w:rFonts w:ascii="Arial"/>
                <w:b/>
                <w:sz w:val="14"/>
              </w:rPr>
              <w:t>As</w:t>
            </w:r>
            <w:r>
              <w:rPr>
                <w:rFonts w:ascii="Arial"/>
                <w:b/>
                <w:spacing w:val="-3"/>
                <w:sz w:val="14"/>
              </w:rPr>
              <w:t> </w:t>
            </w:r>
            <w:r>
              <w:rPr>
                <w:rFonts w:ascii="Arial"/>
                <w:b/>
                <w:sz w:val="14"/>
              </w:rPr>
              <w:t>of</w:t>
            </w:r>
            <w:r>
              <w:rPr>
                <w:rFonts w:ascii="Arial"/>
                <w:b/>
                <w:spacing w:val="-2"/>
                <w:sz w:val="14"/>
              </w:rPr>
              <w:t> </w:t>
            </w:r>
            <w:r>
              <w:rPr>
                <w:rFonts w:ascii="Arial"/>
                <w:b/>
                <w:sz w:val="14"/>
              </w:rPr>
              <w:t>June</w:t>
            </w:r>
            <w:r>
              <w:rPr>
                <w:rFonts w:ascii="Arial"/>
                <w:b/>
                <w:spacing w:val="-1"/>
                <w:sz w:val="14"/>
              </w:rPr>
              <w:t> </w:t>
            </w:r>
            <w:r>
              <w:rPr>
                <w:rFonts w:ascii="Arial"/>
                <w:b/>
                <w:sz w:val="14"/>
              </w:rPr>
              <w:t>30,</w:t>
            </w:r>
            <w:r>
              <w:rPr>
                <w:rFonts w:ascii="Arial"/>
                <w:b/>
                <w:spacing w:val="-1"/>
                <w:sz w:val="14"/>
              </w:rPr>
              <w:t> </w:t>
            </w:r>
            <w:r>
              <w:rPr>
                <w:rFonts w:ascii="Arial"/>
                <w:b/>
                <w:spacing w:val="-4"/>
                <w:sz w:val="14"/>
              </w:rPr>
              <w:t>2021</w:t>
            </w:r>
          </w:p>
        </w:tc>
        <w:tc>
          <w:tcPr>
            <w:tcW w:w="731" w:type="dxa"/>
            <w:tcBorders>
              <w:top w:val="single" w:sz="8" w:space="0" w:color="000000"/>
            </w:tcBorders>
          </w:tcPr>
          <w:p>
            <w:pPr>
              <w:pStyle w:val="TableParagraph"/>
              <w:spacing w:before="24"/>
              <w:ind w:right="85"/>
              <w:jc w:val="right"/>
              <w:rPr>
                <w:sz w:val="14"/>
              </w:rPr>
            </w:pPr>
            <w:r>
              <w:rPr>
                <w:spacing w:val="-5"/>
                <w:sz w:val="14"/>
              </w:rPr>
              <w:t>293</w:t>
            </w:r>
          </w:p>
        </w:tc>
        <w:tc>
          <w:tcPr>
            <w:tcW w:w="855" w:type="dxa"/>
            <w:tcBorders>
              <w:top w:val="single" w:sz="8" w:space="0" w:color="000000"/>
            </w:tcBorders>
          </w:tcPr>
          <w:p>
            <w:pPr>
              <w:pStyle w:val="TableParagraph"/>
              <w:spacing w:before="24"/>
              <w:ind w:right="85"/>
              <w:jc w:val="right"/>
              <w:rPr>
                <w:sz w:val="14"/>
              </w:rPr>
            </w:pPr>
            <w:r>
              <w:rPr>
                <w:spacing w:val="-2"/>
                <w:sz w:val="14"/>
              </w:rPr>
              <w:t>30,387</w:t>
            </w:r>
          </w:p>
        </w:tc>
        <w:tc>
          <w:tcPr>
            <w:tcW w:w="848" w:type="dxa"/>
            <w:tcBorders>
              <w:top w:val="single" w:sz="8" w:space="0" w:color="000000"/>
            </w:tcBorders>
          </w:tcPr>
          <w:p>
            <w:pPr>
              <w:pStyle w:val="TableParagraph"/>
              <w:spacing w:before="24"/>
              <w:ind w:right="108"/>
              <w:jc w:val="right"/>
              <w:rPr>
                <w:sz w:val="14"/>
              </w:rPr>
            </w:pPr>
            <w:r>
              <w:rPr>
                <w:spacing w:val="-5"/>
                <w:sz w:val="14"/>
              </w:rPr>
              <w:t>731</w:t>
            </w:r>
          </w:p>
        </w:tc>
        <w:tc>
          <w:tcPr>
            <w:tcW w:w="705" w:type="dxa"/>
            <w:tcBorders>
              <w:top w:val="single" w:sz="8" w:space="0" w:color="000000"/>
            </w:tcBorders>
          </w:tcPr>
          <w:p>
            <w:pPr>
              <w:pStyle w:val="TableParagraph"/>
              <w:spacing w:before="24"/>
              <w:ind w:right="108"/>
              <w:jc w:val="right"/>
              <w:rPr>
                <w:sz w:val="14"/>
              </w:rPr>
            </w:pPr>
            <w:r>
              <w:rPr>
                <w:spacing w:val="-5"/>
                <w:sz w:val="14"/>
              </w:rPr>
              <w:t>100</w:t>
            </w:r>
          </w:p>
        </w:tc>
        <w:tc>
          <w:tcPr>
            <w:tcW w:w="960" w:type="dxa"/>
            <w:tcBorders>
              <w:top w:val="single" w:sz="8" w:space="0" w:color="000000"/>
            </w:tcBorders>
          </w:tcPr>
          <w:p>
            <w:pPr>
              <w:pStyle w:val="TableParagraph"/>
              <w:spacing w:before="24"/>
              <w:ind w:right="61"/>
              <w:jc w:val="right"/>
              <w:rPr>
                <w:sz w:val="14"/>
              </w:rPr>
            </w:pPr>
            <w:r>
              <w:rPr>
                <w:spacing w:val="-2"/>
                <w:sz w:val="14"/>
              </w:rPr>
              <w:t>(3,303)</w:t>
            </w:r>
          </w:p>
        </w:tc>
        <w:tc>
          <w:tcPr>
            <w:tcW w:w="960" w:type="dxa"/>
            <w:tcBorders>
              <w:top w:val="single" w:sz="8" w:space="0" w:color="000000"/>
            </w:tcBorders>
          </w:tcPr>
          <w:p>
            <w:pPr>
              <w:pStyle w:val="TableParagraph"/>
              <w:spacing w:before="24"/>
              <w:ind w:right="108"/>
              <w:jc w:val="right"/>
              <w:rPr>
                <w:sz w:val="14"/>
              </w:rPr>
            </w:pPr>
            <w:r>
              <w:rPr>
                <w:spacing w:val="-2"/>
                <w:sz w:val="14"/>
              </w:rPr>
              <w:t>2,450</w:t>
            </w:r>
          </w:p>
        </w:tc>
        <w:tc>
          <w:tcPr>
            <w:tcW w:w="960" w:type="dxa"/>
            <w:tcBorders>
              <w:top w:val="single" w:sz="8" w:space="0" w:color="000000"/>
            </w:tcBorders>
          </w:tcPr>
          <w:p>
            <w:pPr>
              <w:pStyle w:val="TableParagraph"/>
              <w:spacing w:before="24"/>
              <w:ind w:right="108"/>
              <w:jc w:val="right"/>
              <w:rPr>
                <w:sz w:val="14"/>
              </w:rPr>
            </w:pPr>
            <w:r>
              <w:rPr>
                <w:spacing w:val="-5"/>
                <w:sz w:val="14"/>
              </w:rPr>
              <w:t>54</w:t>
            </w:r>
          </w:p>
        </w:tc>
        <w:tc>
          <w:tcPr>
            <w:tcW w:w="960" w:type="dxa"/>
            <w:tcBorders>
              <w:top w:val="single" w:sz="8" w:space="0" w:color="000000"/>
            </w:tcBorders>
          </w:tcPr>
          <w:p>
            <w:pPr>
              <w:pStyle w:val="TableParagraph"/>
              <w:spacing w:before="24"/>
              <w:ind w:right="108"/>
              <w:jc w:val="right"/>
              <w:rPr>
                <w:sz w:val="14"/>
              </w:rPr>
            </w:pPr>
            <w:r>
              <w:rPr>
                <w:spacing w:val="-5"/>
                <w:sz w:val="14"/>
              </w:rPr>
              <w:t>295</w:t>
            </w:r>
          </w:p>
        </w:tc>
        <w:tc>
          <w:tcPr>
            <w:tcW w:w="746" w:type="dxa"/>
            <w:tcBorders>
              <w:top w:val="single" w:sz="8" w:space="0" w:color="000000"/>
            </w:tcBorders>
          </w:tcPr>
          <w:p>
            <w:pPr>
              <w:pStyle w:val="TableParagraph"/>
              <w:spacing w:before="24"/>
              <w:ind w:right="59"/>
              <w:jc w:val="right"/>
              <w:rPr>
                <w:sz w:val="14"/>
              </w:rPr>
            </w:pPr>
            <w:r>
              <w:rPr>
                <w:spacing w:val="-2"/>
                <w:sz w:val="14"/>
              </w:rPr>
              <w:t>31,007</w:t>
            </w:r>
          </w:p>
        </w:tc>
      </w:tr>
      <w:tr>
        <w:trPr>
          <w:trHeight w:val="230" w:hRule="atLeast"/>
        </w:trPr>
        <w:tc>
          <w:tcPr>
            <w:tcW w:w="1635" w:type="dxa"/>
          </w:tcPr>
          <w:p>
            <w:pPr>
              <w:pStyle w:val="TableParagraph"/>
              <w:spacing w:before="39"/>
              <w:ind w:left="52"/>
              <w:rPr>
                <w:sz w:val="14"/>
              </w:rPr>
            </w:pPr>
            <w:r>
              <w:rPr>
                <w:sz w:val="14"/>
              </w:rPr>
              <w:t>Net</w:t>
            </w:r>
            <w:r>
              <w:rPr>
                <w:spacing w:val="-5"/>
                <w:sz w:val="14"/>
              </w:rPr>
              <w:t> </w:t>
            </w:r>
            <w:r>
              <w:rPr>
                <w:sz w:val="14"/>
              </w:rPr>
              <w:t>income</w:t>
            </w:r>
            <w:r>
              <w:rPr>
                <w:spacing w:val="-4"/>
                <w:sz w:val="14"/>
              </w:rPr>
              <w:t> </w:t>
            </w:r>
            <w:r>
              <w:rPr>
                <w:sz w:val="14"/>
              </w:rPr>
              <w:t>allocation</w:t>
            </w:r>
            <w:r>
              <w:rPr>
                <w:spacing w:val="-5"/>
                <w:sz w:val="14"/>
              </w:rPr>
              <w:t> </w:t>
            </w:r>
            <w:r>
              <w:rPr>
                <w:spacing w:val="-10"/>
                <w:sz w:val="14"/>
                <w:vertAlign w:val="superscript"/>
              </w:rPr>
              <w:t>b</w:t>
            </w:r>
          </w:p>
        </w:tc>
        <w:tc>
          <w:tcPr>
            <w:tcW w:w="731" w:type="dxa"/>
          </w:tcPr>
          <w:p>
            <w:pPr>
              <w:pStyle w:val="TableParagraph"/>
              <w:spacing w:before="39"/>
              <w:ind w:right="85"/>
              <w:jc w:val="right"/>
              <w:rPr>
                <w:sz w:val="14"/>
              </w:rPr>
            </w:pPr>
            <w:r>
              <w:rPr>
                <w:sz w:val="14"/>
              </w:rPr>
              <w:t>—</w:t>
            </w:r>
          </w:p>
        </w:tc>
        <w:tc>
          <w:tcPr>
            <w:tcW w:w="855" w:type="dxa"/>
          </w:tcPr>
          <w:p>
            <w:pPr>
              <w:pStyle w:val="TableParagraph"/>
              <w:spacing w:before="39"/>
              <w:ind w:right="85"/>
              <w:jc w:val="right"/>
              <w:rPr>
                <w:sz w:val="14"/>
              </w:rPr>
            </w:pPr>
            <w:r>
              <w:rPr>
                <w:spacing w:val="-2"/>
                <w:sz w:val="14"/>
              </w:rPr>
              <w:t>1,077</w:t>
            </w:r>
          </w:p>
        </w:tc>
        <w:tc>
          <w:tcPr>
            <w:tcW w:w="848" w:type="dxa"/>
          </w:tcPr>
          <w:p>
            <w:pPr>
              <w:pStyle w:val="TableParagraph"/>
              <w:spacing w:before="39"/>
              <w:ind w:right="61"/>
              <w:jc w:val="right"/>
              <w:rPr>
                <w:sz w:val="14"/>
              </w:rPr>
            </w:pPr>
            <w:r>
              <w:rPr>
                <w:spacing w:val="-4"/>
                <w:sz w:val="14"/>
              </w:rPr>
              <w:t>(38)</w:t>
            </w:r>
          </w:p>
        </w:tc>
        <w:tc>
          <w:tcPr>
            <w:tcW w:w="705" w:type="dxa"/>
          </w:tcPr>
          <w:p>
            <w:pPr>
              <w:pStyle w:val="TableParagraph"/>
              <w:spacing w:before="39"/>
              <w:ind w:right="108"/>
              <w:jc w:val="right"/>
              <w:rPr>
                <w:sz w:val="14"/>
              </w:rPr>
            </w:pPr>
            <w:r>
              <w:rPr>
                <w:spacing w:val="-5"/>
                <w:sz w:val="14"/>
              </w:rPr>
              <w:t>100</w:t>
            </w:r>
          </w:p>
        </w:tc>
        <w:tc>
          <w:tcPr>
            <w:tcW w:w="960" w:type="dxa"/>
          </w:tcPr>
          <w:p>
            <w:pPr>
              <w:pStyle w:val="TableParagraph"/>
              <w:spacing w:before="39"/>
              <w:ind w:right="108"/>
              <w:jc w:val="right"/>
              <w:rPr>
                <w:sz w:val="14"/>
              </w:rPr>
            </w:pPr>
            <w:r>
              <w:rPr>
                <w:spacing w:val="-2"/>
                <w:sz w:val="14"/>
              </w:rPr>
              <w:t>1,218</w:t>
            </w:r>
          </w:p>
        </w:tc>
        <w:tc>
          <w:tcPr>
            <w:tcW w:w="960" w:type="dxa"/>
          </w:tcPr>
          <w:p>
            <w:pPr>
              <w:pStyle w:val="TableParagraph"/>
              <w:spacing w:before="39"/>
              <w:ind w:right="61"/>
              <w:jc w:val="right"/>
              <w:rPr>
                <w:sz w:val="14"/>
              </w:rPr>
            </w:pPr>
            <w:r>
              <w:rPr>
                <w:spacing w:val="-2"/>
                <w:sz w:val="14"/>
              </w:rPr>
              <w:t>(2,177)</w:t>
            </w:r>
          </w:p>
        </w:tc>
        <w:tc>
          <w:tcPr>
            <w:tcW w:w="960" w:type="dxa"/>
          </w:tcPr>
          <w:p>
            <w:pPr>
              <w:pStyle w:val="TableParagraph"/>
              <w:spacing w:before="39"/>
              <w:ind w:right="61"/>
              <w:jc w:val="right"/>
              <w:rPr>
                <w:sz w:val="14"/>
              </w:rPr>
            </w:pPr>
            <w:r>
              <w:rPr>
                <w:spacing w:val="-4"/>
                <w:sz w:val="14"/>
              </w:rPr>
              <w:t>(12)</w:t>
            </w:r>
          </w:p>
        </w:tc>
        <w:tc>
          <w:tcPr>
            <w:tcW w:w="960" w:type="dxa"/>
          </w:tcPr>
          <w:p>
            <w:pPr>
              <w:pStyle w:val="TableParagraph"/>
              <w:spacing w:before="39"/>
              <w:ind w:right="61"/>
              <w:jc w:val="right"/>
              <w:rPr>
                <w:sz w:val="14"/>
              </w:rPr>
            </w:pPr>
            <w:r>
              <w:rPr>
                <w:spacing w:val="-2"/>
                <w:sz w:val="14"/>
              </w:rPr>
              <w:t>(168)</w:t>
            </w:r>
          </w:p>
        </w:tc>
        <w:tc>
          <w:tcPr>
            <w:tcW w:w="746" w:type="dxa"/>
          </w:tcPr>
          <w:p>
            <w:pPr>
              <w:pStyle w:val="TableParagraph"/>
              <w:spacing w:before="39"/>
              <w:ind w:right="59"/>
              <w:jc w:val="right"/>
              <w:rPr>
                <w:sz w:val="14"/>
              </w:rPr>
            </w:pPr>
            <w:r>
              <w:rPr>
                <w:sz w:val="14"/>
              </w:rPr>
              <w:t>—</w:t>
            </w:r>
          </w:p>
        </w:tc>
      </w:tr>
      <w:tr>
        <w:trPr>
          <w:trHeight w:val="192" w:hRule="atLeast"/>
        </w:trPr>
        <w:tc>
          <w:tcPr>
            <w:tcW w:w="1635" w:type="dxa"/>
          </w:tcPr>
          <w:p>
            <w:pPr>
              <w:pStyle w:val="TableParagraph"/>
              <w:spacing w:line="147" w:lineRule="exact" w:before="25"/>
              <w:ind w:left="52"/>
              <w:rPr>
                <w:sz w:val="14"/>
              </w:rPr>
            </w:pPr>
            <w:r>
              <w:rPr>
                <w:sz w:val="14"/>
              </w:rPr>
              <w:t>Board</w:t>
            </w:r>
            <w:r>
              <w:rPr>
                <w:spacing w:val="-4"/>
                <w:sz w:val="14"/>
              </w:rPr>
              <w:t> </w:t>
            </w:r>
            <w:r>
              <w:rPr>
                <w:sz w:val="14"/>
              </w:rPr>
              <w:t>of</w:t>
            </w:r>
            <w:r>
              <w:rPr>
                <w:spacing w:val="-2"/>
                <w:sz w:val="14"/>
              </w:rPr>
              <w:t> Governors-</w:t>
            </w:r>
          </w:p>
        </w:tc>
        <w:tc>
          <w:tcPr>
            <w:tcW w:w="731" w:type="dxa"/>
          </w:tcPr>
          <w:p>
            <w:pPr>
              <w:pStyle w:val="TableParagraph"/>
              <w:rPr>
                <w:rFonts w:ascii="Times New Roman"/>
                <w:sz w:val="12"/>
              </w:rPr>
            </w:pPr>
          </w:p>
        </w:tc>
        <w:tc>
          <w:tcPr>
            <w:tcW w:w="855" w:type="dxa"/>
          </w:tcPr>
          <w:p>
            <w:pPr>
              <w:pStyle w:val="TableParagraph"/>
              <w:rPr>
                <w:rFonts w:ascii="Times New Roman"/>
                <w:sz w:val="12"/>
              </w:rPr>
            </w:pPr>
          </w:p>
        </w:tc>
        <w:tc>
          <w:tcPr>
            <w:tcW w:w="848" w:type="dxa"/>
          </w:tcPr>
          <w:p>
            <w:pPr>
              <w:pStyle w:val="TableParagraph"/>
              <w:rPr>
                <w:rFonts w:ascii="Times New Roman"/>
                <w:sz w:val="12"/>
              </w:rPr>
            </w:pPr>
          </w:p>
        </w:tc>
        <w:tc>
          <w:tcPr>
            <w:tcW w:w="705"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746" w:type="dxa"/>
          </w:tcPr>
          <w:p>
            <w:pPr>
              <w:pStyle w:val="TableParagraph"/>
              <w:rPr>
                <w:rFonts w:ascii="Times New Roman"/>
                <w:sz w:val="12"/>
              </w:rPr>
            </w:pPr>
          </w:p>
        </w:tc>
      </w:tr>
      <w:tr>
        <w:trPr>
          <w:trHeight w:val="167" w:hRule="atLeast"/>
        </w:trPr>
        <w:tc>
          <w:tcPr>
            <w:tcW w:w="1635" w:type="dxa"/>
          </w:tcPr>
          <w:p>
            <w:pPr>
              <w:pStyle w:val="TableParagraph"/>
              <w:spacing w:line="147" w:lineRule="exact" w:before="1"/>
              <w:ind w:left="52"/>
              <w:rPr>
                <w:sz w:val="14"/>
              </w:rPr>
            </w:pPr>
            <w:r>
              <w:rPr>
                <w:sz w:val="14"/>
              </w:rPr>
              <w:t>approved</w:t>
            </w:r>
            <w:r>
              <w:rPr>
                <w:spacing w:val="-7"/>
                <w:sz w:val="14"/>
              </w:rPr>
              <w:t> </w:t>
            </w:r>
            <w:r>
              <w:rPr>
                <w:spacing w:val="-2"/>
                <w:sz w:val="14"/>
              </w:rPr>
              <w:t>transfers</w:t>
            </w:r>
          </w:p>
        </w:tc>
        <w:tc>
          <w:tcPr>
            <w:tcW w:w="731" w:type="dxa"/>
          </w:tcPr>
          <w:p>
            <w:pPr>
              <w:pStyle w:val="TableParagraph"/>
              <w:rPr>
                <w:rFonts w:ascii="Times New Roman"/>
                <w:sz w:val="10"/>
              </w:rPr>
            </w:pPr>
          </w:p>
        </w:tc>
        <w:tc>
          <w:tcPr>
            <w:tcW w:w="855" w:type="dxa"/>
          </w:tcPr>
          <w:p>
            <w:pPr>
              <w:pStyle w:val="TableParagraph"/>
              <w:rPr>
                <w:rFonts w:ascii="Times New Roman"/>
                <w:sz w:val="10"/>
              </w:rPr>
            </w:pPr>
          </w:p>
        </w:tc>
        <w:tc>
          <w:tcPr>
            <w:tcW w:w="848" w:type="dxa"/>
          </w:tcPr>
          <w:p>
            <w:pPr>
              <w:pStyle w:val="TableParagraph"/>
              <w:rPr>
                <w:rFonts w:ascii="Times New Roman"/>
                <w:sz w:val="10"/>
              </w:rPr>
            </w:pPr>
          </w:p>
        </w:tc>
        <w:tc>
          <w:tcPr>
            <w:tcW w:w="705"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746" w:type="dxa"/>
          </w:tcPr>
          <w:p>
            <w:pPr>
              <w:pStyle w:val="TableParagraph"/>
              <w:rPr>
                <w:rFonts w:ascii="Times New Roman"/>
                <w:sz w:val="10"/>
              </w:rPr>
            </w:pPr>
          </w:p>
        </w:tc>
      </w:tr>
      <w:tr>
        <w:trPr>
          <w:trHeight w:val="364" w:hRule="atLeast"/>
        </w:trPr>
        <w:tc>
          <w:tcPr>
            <w:tcW w:w="1635" w:type="dxa"/>
          </w:tcPr>
          <w:p>
            <w:pPr>
              <w:pStyle w:val="TableParagraph"/>
              <w:spacing w:line="249" w:lineRule="auto" w:before="1"/>
              <w:ind w:left="52" w:right="128"/>
              <w:rPr>
                <w:sz w:val="14"/>
              </w:rPr>
            </w:pPr>
            <w:r>
              <w:rPr>
                <w:sz w:val="14"/>
              </w:rPr>
              <w:t>funded</w:t>
            </w:r>
            <w:r>
              <w:rPr>
                <w:spacing w:val="-10"/>
                <w:sz w:val="14"/>
              </w:rPr>
              <w:t> </w:t>
            </w:r>
            <w:r>
              <w:rPr>
                <w:sz w:val="14"/>
              </w:rPr>
              <w:t>from</w:t>
            </w:r>
            <w:r>
              <w:rPr>
                <w:spacing w:val="-10"/>
                <w:sz w:val="14"/>
              </w:rPr>
              <w:t> </w:t>
            </w:r>
            <w:r>
              <w:rPr>
                <w:sz w:val="14"/>
              </w:rPr>
              <w:t>Surplus</w:t>
            </w:r>
            <w:r>
              <w:rPr>
                <w:spacing w:val="40"/>
                <w:sz w:val="14"/>
              </w:rPr>
              <w:t> </w:t>
            </w:r>
            <w:r>
              <w:rPr>
                <w:sz w:val="14"/>
              </w:rPr>
              <w:t>and</w:t>
            </w:r>
            <w:r>
              <w:rPr>
                <w:spacing w:val="-3"/>
                <w:sz w:val="14"/>
              </w:rPr>
              <w:t> </w:t>
            </w:r>
            <w:r>
              <w:rPr>
                <w:sz w:val="14"/>
              </w:rPr>
              <w:t>other</w:t>
            </w:r>
            <w:r>
              <w:rPr>
                <w:spacing w:val="-3"/>
                <w:sz w:val="14"/>
              </w:rPr>
              <w:t> </w:t>
            </w:r>
            <w:r>
              <w:rPr>
                <w:sz w:val="14"/>
              </w:rPr>
              <w:t>transfers</w:t>
            </w:r>
            <w:r>
              <w:rPr>
                <w:spacing w:val="-4"/>
                <w:sz w:val="14"/>
              </w:rPr>
              <w:t> </w:t>
            </w:r>
            <w:r>
              <w:rPr>
                <w:spacing w:val="-10"/>
                <w:sz w:val="14"/>
                <w:vertAlign w:val="superscript"/>
              </w:rPr>
              <w:t>c</w:t>
            </w:r>
          </w:p>
        </w:tc>
        <w:tc>
          <w:tcPr>
            <w:tcW w:w="731" w:type="dxa"/>
          </w:tcPr>
          <w:p>
            <w:pPr>
              <w:pStyle w:val="TableParagraph"/>
              <w:spacing w:before="8"/>
              <w:rPr>
                <w:rFonts w:ascii="Arial"/>
                <w:i/>
                <w:sz w:val="14"/>
              </w:rPr>
            </w:pPr>
          </w:p>
          <w:p>
            <w:pPr>
              <w:pStyle w:val="TableParagraph"/>
              <w:ind w:right="85"/>
              <w:jc w:val="right"/>
              <w:rPr>
                <w:sz w:val="14"/>
              </w:rPr>
            </w:pPr>
            <w:r>
              <w:rPr>
                <w:sz w:val="14"/>
              </w:rPr>
              <w:t>—</w:t>
            </w:r>
          </w:p>
        </w:tc>
        <w:tc>
          <w:tcPr>
            <w:tcW w:w="855" w:type="dxa"/>
          </w:tcPr>
          <w:p>
            <w:pPr>
              <w:pStyle w:val="TableParagraph"/>
              <w:spacing w:before="8"/>
              <w:rPr>
                <w:rFonts w:ascii="Arial"/>
                <w:i/>
                <w:sz w:val="14"/>
              </w:rPr>
            </w:pPr>
          </w:p>
          <w:p>
            <w:pPr>
              <w:pStyle w:val="TableParagraph"/>
              <w:ind w:right="85"/>
              <w:jc w:val="right"/>
              <w:rPr>
                <w:sz w:val="14"/>
              </w:rPr>
            </w:pPr>
            <w:r>
              <w:rPr>
                <w:sz w:val="14"/>
              </w:rPr>
              <w:t>—</w:t>
            </w:r>
          </w:p>
        </w:tc>
        <w:tc>
          <w:tcPr>
            <w:tcW w:w="848" w:type="dxa"/>
          </w:tcPr>
          <w:p>
            <w:pPr>
              <w:pStyle w:val="TableParagraph"/>
              <w:spacing w:before="8"/>
              <w:rPr>
                <w:rFonts w:ascii="Arial"/>
                <w:i/>
                <w:sz w:val="14"/>
              </w:rPr>
            </w:pPr>
          </w:p>
          <w:p>
            <w:pPr>
              <w:pStyle w:val="TableParagraph"/>
              <w:ind w:right="108"/>
              <w:jc w:val="right"/>
              <w:rPr>
                <w:sz w:val="14"/>
              </w:rPr>
            </w:pPr>
            <w:r>
              <w:rPr>
                <w:sz w:val="14"/>
              </w:rPr>
              <w:t>—</w:t>
            </w:r>
          </w:p>
        </w:tc>
        <w:tc>
          <w:tcPr>
            <w:tcW w:w="705" w:type="dxa"/>
          </w:tcPr>
          <w:p>
            <w:pPr>
              <w:pStyle w:val="TableParagraph"/>
              <w:spacing w:before="8"/>
              <w:rPr>
                <w:rFonts w:ascii="Arial"/>
                <w:i/>
                <w:sz w:val="14"/>
              </w:rPr>
            </w:pPr>
          </w:p>
          <w:p>
            <w:pPr>
              <w:pStyle w:val="TableParagraph"/>
              <w:ind w:right="61"/>
              <w:jc w:val="right"/>
              <w:rPr>
                <w:sz w:val="14"/>
              </w:rPr>
            </w:pPr>
            <w:r>
              <w:rPr>
                <w:spacing w:val="-2"/>
                <w:sz w:val="14"/>
              </w:rPr>
              <w:t>(100)</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108"/>
              <w:jc w:val="right"/>
              <w:rPr>
                <w:sz w:val="14"/>
              </w:rPr>
            </w:pPr>
            <w:r>
              <w:rPr>
                <w:spacing w:val="-5"/>
                <w:sz w:val="14"/>
              </w:rPr>
              <w:t>80</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108"/>
              <w:jc w:val="right"/>
              <w:rPr>
                <w:sz w:val="14"/>
              </w:rPr>
            </w:pPr>
            <w:r>
              <w:rPr>
                <w:spacing w:val="-5"/>
                <w:sz w:val="14"/>
              </w:rPr>
              <w:t>20</w:t>
            </w:r>
          </w:p>
        </w:tc>
        <w:tc>
          <w:tcPr>
            <w:tcW w:w="746" w:type="dxa"/>
          </w:tcPr>
          <w:p>
            <w:pPr>
              <w:pStyle w:val="TableParagraph"/>
              <w:spacing w:before="8"/>
              <w:rPr>
                <w:rFonts w:ascii="Arial"/>
                <w:i/>
                <w:sz w:val="14"/>
              </w:rPr>
            </w:pPr>
          </w:p>
          <w:p>
            <w:pPr>
              <w:pStyle w:val="TableParagraph"/>
              <w:ind w:right="59"/>
              <w:jc w:val="right"/>
              <w:rPr>
                <w:sz w:val="14"/>
              </w:rPr>
            </w:pPr>
            <w:r>
              <w:rPr>
                <w:sz w:val="14"/>
              </w:rPr>
              <w:t>—</w:t>
            </w:r>
          </w:p>
        </w:tc>
      </w:tr>
      <w:tr>
        <w:trPr>
          <w:trHeight w:val="210" w:hRule="atLeast"/>
        </w:trPr>
        <w:tc>
          <w:tcPr>
            <w:tcW w:w="1635" w:type="dxa"/>
          </w:tcPr>
          <w:p>
            <w:pPr>
              <w:pStyle w:val="TableParagraph"/>
              <w:spacing w:line="161" w:lineRule="exact" w:before="29"/>
              <w:ind w:left="52"/>
              <w:rPr>
                <w:sz w:val="14"/>
              </w:rPr>
            </w:pPr>
            <w:r>
              <w:rPr>
                <w:sz w:val="14"/>
              </w:rPr>
              <w:t>Net</w:t>
            </w:r>
            <w:r>
              <w:rPr>
                <w:spacing w:val="-2"/>
                <w:sz w:val="14"/>
              </w:rPr>
              <w:t> </w:t>
            </w:r>
            <w:r>
              <w:rPr>
                <w:sz w:val="14"/>
              </w:rPr>
              <w:t>income</w:t>
            </w:r>
            <w:r>
              <w:rPr>
                <w:spacing w:val="-2"/>
                <w:sz w:val="14"/>
              </w:rPr>
              <w:t> </w:t>
            </w:r>
            <w:r>
              <w:rPr>
                <w:sz w:val="14"/>
              </w:rPr>
              <w:t>for</w:t>
            </w:r>
            <w:r>
              <w:rPr>
                <w:spacing w:val="-2"/>
                <w:sz w:val="14"/>
              </w:rPr>
              <w:t> </w:t>
            </w:r>
            <w:r>
              <w:rPr>
                <w:sz w:val="14"/>
              </w:rPr>
              <w:t>the</w:t>
            </w:r>
            <w:r>
              <w:rPr>
                <w:spacing w:val="-1"/>
                <w:sz w:val="14"/>
              </w:rPr>
              <w:t> </w:t>
            </w:r>
            <w:r>
              <w:rPr>
                <w:spacing w:val="-4"/>
                <w:sz w:val="14"/>
              </w:rPr>
              <w:t>year</w:t>
            </w:r>
          </w:p>
        </w:tc>
        <w:tc>
          <w:tcPr>
            <w:tcW w:w="731" w:type="dxa"/>
            <w:tcBorders>
              <w:bottom w:val="single" w:sz="8" w:space="0" w:color="000000"/>
            </w:tcBorders>
          </w:tcPr>
          <w:p>
            <w:pPr>
              <w:pStyle w:val="TableParagraph"/>
              <w:spacing w:line="161" w:lineRule="exact" w:before="29"/>
              <w:ind w:right="85"/>
              <w:jc w:val="right"/>
              <w:rPr>
                <w:sz w:val="14"/>
              </w:rPr>
            </w:pPr>
            <w:r>
              <w:rPr>
                <w:sz w:val="14"/>
              </w:rPr>
              <w:t>—</w:t>
            </w:r>
          </w:p>
        </w:tc>
        <w:tc>
          <w:tcPr>
            <w:tcW w:w="855" w:type="dxa"/>
            <w:tcBorders>
              <w:bottom w:val="single" w:sz="8" w:space="0" w:color="000000"/>
            </w:tcBorders>
          </w:tcPr>
          <w:p>
            <w:pPr>
              <w:pStyle w:val="TableParagraph"/>
              <w:spacing w:line="161" w:lineRule="exact" w:before="29"/>
              <w:ind w:right="85"/>
              <w:jc w:val="right"/>
              <w:rPr>
                <w:sz w:val="14"/>
              </w:rPr>
            </w:pPr>
            <w:r>
              <w:rPr>
                <w:sz w:val="14"/>
              </w:rPr>
              <w:t>—</w:t>
            </w:r>
          </w:p>
        </w:tc>
        <w:tc>
          <w:tcPr>
            <w:tcW w:w="848" w:type="dxa"/>
            <w:tcBorders>
              <w:bottom w:val="single" w:sz="8" w:space="0" w:color="000000"/>
            </w:tcBorders>
          </w:tcPr>
          <w:p>
            <w:pPr>
              <w:pStyle w:val="TableParagraph"/>
              <w:spacing w:line="161" w:lineRule="exact" w:before="29"/>
              <w:ind w:right="108"/>
              <w:jc w:val="right"/>
              <w:rPr>
                <w:sz w:val="14"/>
              </w:rPr>
            </w:pPr>
            <w:r>
              <w:rPr>
                <w:sz w:val="14"/>
              </w:rPr>
              <w:t>—</w:t>
            </w:r>
          </w:p>
        </w:tc>
        <w:tc>
          <w:tcPr>
            <w:tcW w:w="705"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pacing w:val="-2"/>
                <w:sz w:val="14"/>
              </w:rPr>
              <w:t>3,990</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746" w:type="dxa"/>
            <w:tcBorders>
              <w:bottom w:val="single" w:sz="8" w:space="0" w:color="000000"/>
            </w:tcBorders>
          </w:tcPr>
          <w:p>
            <w:pPr>
              <w:pStyle w:val="TableParagraph"/>
              <w:spacing w:line="161" w:lineRule="exact" w:before="29"/>
              <w:ind w:right="59"/>
              <w:jc w:val="right"/>
              <w:rPr>
                <w:sz w:val="14"/>
              </w:rPr>
            </w:pPr>
            <w:r>
              <w:rPr>
                <w:spacing w:val="-2"/>
                <w:sz w:val="14"/>
              </w:rPr>
              <w:t>3,990</w:t>
            </w:r>
          </w:p>
        </w:tc>
      </w:tr>
      <w:tr>
        <w:trPr>
          <w:trHeight w:val="210" w:hRule="atLeast"/>
        </w:trPr>
        <w:tc>
          <w:tcPr>
            <w:tcW w:w="1635" w:type="dxa"/>
          </w:tcPr>
          <w:p>
            <w:pPr>
              <w:pStyle w:val="TableParagraph"/>
              <w:spacing w:before="24"/>
              <w:ind w:left="52"/>
              <w:rPr>
                <w:rFonts w:ascii="Arial"/>
                <w:b/>
                <w:sz w:val="14"/>
              </w:rPr>
            </w:pPr>
            <w:r>
              <w:rPr>
                <w:rFonts w:ascii="Arial"/>
                <w:b/>
                <w:sz w:val="14"/>
              </w:rPr>
              <w:t>As</w:t>
            </w:r>
            <w:r>
              <w:rPr>
                <w:rFonts w:ascii="Arial"/>
                <w:b/>
                <w:spacing w:val="-3"/>
                <w:sz w:val="14"/>
              </w:rPr>
              <w:t> </w:t>
            </w:r>
            <w:r>
              <w:rPr>
                <w:rFonts w:ascii="Arial"/>
                <w:b/>
                <w:sz w:val="14"/>
              </w:rPr>
              <w:t>of</w:t>
            </w:r>
            <w:r>
              <w:rPr>
                <w:rFonts w:ascii="Arial"/>
                <w:b/>
                <w:spacing w:val="-2"/>
                <w:sz w:val="14"/>
              </w:rPr>
              <w:t> </w:t>
            </w:r>
            <w:r>
              <w:rPr>
                <w:rFonts w:ascii="Arial"/>
                <w:b/>
                <w:sz w:val="14"/>
              </w:rPr>
              <w:t>June</w:t>
            </w:r>
            <w:r>
              <w:rPr>
                <w:rFonts w:ascii="Arial"/>
                <w:b/>
                <w:spacing w:val="-1"/>
                <w:sz w:val="14"/>
              </w:rPr>
              <w:t> </w:t>
            </w:r>
            <w:r>
              <w:rPr>
                <w:rFonts w:ascii="Arial"/>
                <w:b/>
                <w:sz w:val="14"/>
              </w:rPr>
              <w:t>30,</w:t>
            </w:r>
            <w:r>
              <w:rPr>
                <w:rFonts w:ascii="Arial"/>
                <w:b/>
                <w:spacing w:val="-1"/>
                <w:sz w:val="14"/>
              </w:rPr>
              <w:t> </w:t>
            </w:r>
            <w:r>
              <w:rPr>
                <w:rFonts w:ascii="Arial"/>
                <w:b/>
                <w:spacing w:val="-4"/>
                <w:sz w:val="14"/>
              </w:rPr>
              <w:t>2022</w:t>
            </w:r>
          </w:p>
        </w:tc>
        <w:tc>
          <w:tcPr>
            <w:tcW w:w="731" w:type="dxa"/>
            <w:tcBorders>
              <w:top w:val="single" w:sz="8" w:space="0" w:color="000000"/>
            </w:tcBorders>
          </w:tcPr>
          <w:p>
            <w:pPr>
              <w:pStyle w:val="TableParagraph"/>
              <w:spacing w:before="24"/>
              <w:ind w:right="85"/>
              <w:jc w:val="right"/>
              <w:rPr>
                <w:sz w:val="14"/>
              </w:rPr>
            </w:pPr>
            <w:r>
              <w:rPr>
                <w:spacing w:val="-5"/>
                <w:sz w:val="14"/>
              </w:rPr>
              <w:t>293</w:t>
            </w:r>
          </w:p>
        </w:tc>
        <w:tc>
          <w:tcPr>
            <w:tcW w:w="855" w:type="dxa"/>
            <w:tcBorders>
              <w:top w:val="single" w:sz="8" w:space="0" w:color="000000"/>
            </w:tcBorders>
          </w:tcPr>
          <w:p>
            <w:pPr>
              <w:pStyle w:val="TableParagraph"/>
              <w:spacing w:before="24"/>
              <w:ind w:right="85"/>
              <w:jc w:val="right"/>
              <w:rPr>
                <w:sz w:val="14"/>
              </w:rPr>
            </w:pPr>
            <w:r>
              <w:rPr>
                <w:spacing w:val="-2"/>
                <w:sz w:val="14"/>
              </w:rPr>
              <w:t>31,464</w:t>
            </w:r>
          </w:p>
        </w:tc>
        <w:tc>
          <w:tcPr>
            <w:tcW w:w="848" w:type="dxa"/>
            <w:tcBorders>
              <w:top w:val="single" w:sz="8" w:space="0" w:color="000000"/>
            </w:tcBorders>
          </w:tcPr>
          <w:p>
            <w:pPr>
              <w:pStyle w:val="TableParagraph"/>
              <w:spacing w:before="24"/>
              <w:ind w:right="108"/>
              <w:jc w:val="right"/>
              <w:rPr>
                <w:sz w:val="14"/>
              </w:rPr>
            </w:pPr>
            <w:r>
              <w:rPr>
                <w:spacing w:val="-5"/>
                <w:sz w:val="14"/>
              </w:rPr>
              <w:t>693</w:t>
            </w:r>
          </w:p>
        </w:tc>
        <w:tc>
          <w:tcPr>
            <w:tcW w:w="705" w:type="dxa"/>
            <w:tcBorders>
              <w:top w:val="single" w:sz="8" w:space="0" w:color="000000"/>
            </w:tcBorders>
          </w:tcPr>
          <w:p>
            <w:pPr>
              <w:pStyle w:val="TableParagraph"/>
              <w:spacing w:before="24"/>
              <w:ind w:right="108"/>
              <w:jc w:val="right"/>
              <w:rPr>
                <w:sz w:val="14"/>
              </w:rPr>
            </w:pPr>
            <w:r>
              <w:rPr>
                <w:spacing w:val="-5"/>
                <w:sz w:val="14"/>
              </w:rPr>
              <w:t>100</w:t>
            </w:r>
          </w:p>
        </w:tc>
        <w:tc>
          <w:tcPr>
            <w:tcW w:w="960" w:type="dxa"/>
            <w:tcBorders>
              <w:top w:val="single" w:sz="8" w:space="0" w:color="000000"/>
            </w:tcBorders>
          </w:tcPr>
          <w:p>
            <w:pPr>
              <w:pStyle w:val="TableParagraph"/>
              <w:spacing w:before="24"/>
              <w:ind w:right="61"/>
              <w:jc w:val="right"/>
              <w:rPr>
                <w:sz w:val="14"/>
              </w:rPr>
            </w:pPr>
            <w:r>
              <w:rPr>
                <w:spacing w:val="-2"/>
                <w:sz w:val="14"/>
              </w:rPr>
              <w:t>(2,085)</w:t>
            </w:r>
          </w:p>
        </w:tc>
        <w:tc>
          <w:tcPr>
            <w:tcW w:w="960" w:type="dxa"/>
            <w:tcBorders>
              <w:top w:val="single" w:sz="8" w:space="0" w:color="000000"/>
            </w:tcBorders>
          </w:tcPr>
          <w:p>
            <w:pPr>
              <w:pStyle w:val="TableParagraph"/>
              <w:spacing w:before="24"/>
              <w:ind w:right="108"/>
              <w:jc w:val="right"/>
              <w:rPr>
                <w:sz w:val="14"/>
              </w:rPr>
            </w:pPr>
            <w:r>
              <w:rPr>
                <w:spacing w:val="-2"/>
                <w:sz w:val="14"/>
              </w:rPr>
              <w:t>4,343</w:t>
            </w:r>
          </w:p>
        </w:tc>
        <w:tc>
          <w:tcPr>
            <w:tcW w:w="960" w:type="dxa"/>
            <w:tcBorders>
              <w:top w:val="single" w:sz="8" w:space="0" w:color="000000"/>
            </w:tcBorders>
          </w:tcPr>
          <w:p>
            <w:pPr>
              <w:pStyle w:val="TableParagraph"/>
              <w:spacing w:before="24"/>
              <w:ind w:right="108"/>
              <w:jc w:val="right"/>
              <w:rPr>
                <w:sz w:val="14"/>
              </w:rPr>
            </w:pPr>
            <w:r>
              <w:rPr>
                <w:spacing w:val="-5"/>
                <w:sz w:val="14"/>
              </w:rPr>
              <w:t>42</w:t>
            </w:r>
          </w:p>
        </w:tc>
        <w:tc>
          <w:tcPr>
            <w:tcW w:w="960" w:type="dxa"/>
            <w:tcBorders>
              <w:top w:val="single" w:sz="8" w:space="0" w:color="000000"/>
            </w:tcBorders>
          </w:tcPr>
          <w:p>
            <w:pPr>
              <w:pStyle w:val="TableParagraph"/>
              <w:spacing w:before="24"/>
              <w:ind w:right="108"/>
              <w:jc w:val="right"/>
              <w:rPr>
                <w:sz w:val="14"/>
              </w:rPr>
            </w:pPr>
            <w:r>
              <w:rPr>
                <w:spacing w:val="-5"/>
                <w:sz w:val="14"/>
              </w:rPr>
              <w:t>147</w:t>
            </w:r>
          </w:p>
        </w:tc>
        <w:tc>
          <w:tcPr>
            <w:tcW w:w="746" w:type="dxa"/>
            <w:tcBorders>
              <w:top w:val="single" w:sz="8" w:space="0" w:color="000000"/>
            </w:tcBorders>
          </w:tcPr>
          <w:p>
            <w:pPr>
              <w:pStyle w:val="TableParagraph"/>
              <w:spacing w:before="24"/>
              <w:ind w:right="59"/>
              <w:jc w:val="right"/>
              <w:rPr>
                <w:sz w:val="14"/>
              </w:rPr>
            </w:pPr>
            <w:r>
              <w:rPr>
                <w:spacing w:val="-2"/>
                <w:sz w:val="14"/>
              </w:rPr>
              <w:t>34,997</w:t>
            </w:r>
          </w:p>
        </w:tc>
      </w:tr>
      <w:tr>
        <w:trPr>
          <w:trHeight w:val="230" w:hRule="atLeast"/>
        </w:trPr>
        <w:tc>
          <w:tcPr>
            <w:tcW w:w="1635" w:type="dxa"/>
          </w:tcPr>
          <w:p>
            <w:pPr>
              <w:pStyle w:val="TableParagraph"/>
              <w:spacing w:before="39"/>
              <w:ind w:left="52"/>
              <w:rPr>
                <w:sz w:val="14"/>
              </w:rPr>
            </w:pPr>
            <w:r>
              <w:rPr>
                <w:sz w:val="14"/>
              </w:rPr>
              <w:t>Net</w:t>
            </w:r>
            <w:r>
              <w:rPr>
                <w:spacing w:val="-5"/>
                <w:sz w:val="14"/>
              </w:rPr>
              <w:t> </w:t>
            </w:r>
            <w:r>
              <w:rPr>
                <w:sz w:val="14"/>
              </w:rPr>
              <w:t>income</w:t>
            </w:r>
            <w:r>
              <w:rPr>
                <w:spacing w:val="-4"/>
                <w:sz w:val="14"/>
              </w:rPr>
              <w:t> </w:t>
            </w:r>
            <w:r>
              <w:rPr>
                <w:sz w:val="14"/>
              </w:rPr>
              <w:t>allocation</w:t>
            </w:r>
            <w:r>
              <w:rPr>
                <w:spacing w:val="-5"/>
                <w:sz w:val="14"/>
              </w:rPr>
              <w:t> </w:t>
            </w:r>
            <w:r>
              <w:rPr>
                <w:spacing w:val="-10"/>
                <w:sz w:val="14"/>
                <w:vertAlign w:val="superscript"/>
              </w:rPr>
              <w:t>b</w:t>
            </w:r>
          </w:p>
        </w:tc>
        <w:tc>
          <w:tcPr>
            <w:tcW w:w="731" w:type="dxa"/>
          </w:tcPr>
          <w:p>
            <w:pPr>
              <w:pStyle w:val="TableParagraph"/>
              <w:spacing w:before="39"/>
              <w:ind w:right="85"/>
              <w:jc w:val="right"/>
              <w:rPr>
                <w:sz w:val="14"/>
              </w:rPr>
            </w:pPr>
            <w:r>
              <w:rPr>
                <w:sz w:val="14"/>
              </w:rPr>
              <w:t>—</w:t>
            </w:r>
          </w:p>
        </w:tc>
        <w:tc>
          <w:tcPr>
            <w:tcW w:w="855" w:type="dxa"/>
          </w:tcPr>
          <w:p>
            <w:pPr>
              <w:pStyle w:val="TableParagraph"/>
              <w:spacing w:before="39"/>
              <w:ind w:right="85"/>
              <w:jc w:val="right"/>
              <w:rPr>
                <w:sz w:val="14"/>
              </w:rPr>
            </w:pPr>
            <w:r>
              <w:rPr>
                <w:spacing w:val="-5"/>
                <w:sz w:val="14"/>
              </w:rPr>
              <w:t>589</w:t>
            </w:r>
          </w:p>
        </w:tc>
        <w:tc>
          <w:tcPr>
            <w:tcW w:w="848" w:type="dxa"/>
          </w:tcPr>
          <w:p>
            <w:pPr>
              <w:pStyle w:val="TableParagraph"/>
              <w:spacing w:before="39"/>
              <w:ind w:right="108"/>
              <w:jc w:val="right"/>
              <w:rPr>
                <w:sz w:val="14"/>
              </w:rPr>
            </w:pPr>
            <w:r>
              <w:rPr>
                <w:spacing w:val="-5"/>
                <w:sz w:val="14"/>
              </w:rPr>
              <w:t>46</w:t>
            </w:r>
          </w:p>
        </w:tc>
        <w:tc>
          <w:tcPr>
            <w:tcW w:w="705" w:type="dxa"/>
          </w:tcPr>
          <w:p>
            <w:pPr>
              <w:pStyle w:val="TableParagraph"/>
              <w:spacing w:before="39"/>
              <w:ind w:right="108"/>
              <w:jc w:val="right"/>
              <w:rPr>
                <w:sz w:val="14"/>
              </w:rPr>
            </w:pPr>
            <w:r>
              <w:rPr>
                <w:spacing w:val="-5"/>
                <w:sz w:val="14"/>
              </w:rPr>
              <w:t>100</w:t>
            </w:r>
          </w:p>
        </w:tc>
        <w:tc>
          <w:tcPr>
            <w:tcW w:w="960" w:type="dxa"/>
          </w:tcPr>
          <w:p>
            <w:pPr>
              <w:pStyle w:val="TableParagraph"/>
              <w:spacing w:before="39"/>
              <w:ind w:right="108"/>
              <w:jc w:val="right"/>
              <w:rPr>
                <w:sz w:val="14"/>
              </w:rPr>
            </w:pPr>
            <w:r>
              <w:rPr>
                <w:spacing w:val="-2"/>
                <w:sz w:val="14"/>
              </w:rPr>
              <w:t>3,356</w:t>
            </w:r>
          </w:p>
        </w:tc>
        <w:tc>
          <w:tcPr>
            <w:tcW w:w="960" w:type="dxa"/>
          </w:tcPr>
          <w:p>
            <w:pPr>
              <w:pStyle w:val="TableParagraph"/>
              <w:spacing w:before="39"/>
              <w:ind w:right="61"/>
              <w:jc w:val="right"/>
              <w:rPr>
                <w:sz w:val="14"/>
              </w:rPr>
            </w:pPr>
            <w:r>
              <w:rPr>
                <w:spacing w:val="-2"/>
                <w:sz w:val="14"/>
              </w:rPr>
              <w:t>(4,227)</w:t>
            </w:r>
          </w:p>
        </w:tc>
        <w:tc>
          <w:tcPr>
            <w:tcW w:w="960" w:type="dxa"/>
          </w:tcPr>
          <w:p>
            <w:pPr>
              <w:pStyle w:val="TableParagraph"/>
              <w:spacing w:before="39"/>
              <w:ind w:right="61"/>
              <w:jc w:val="right"/>
              <w:rPr>
                <w:sz w:val="14"/>
              </w:rPr>
            </w:pPr>
            <w:r>
              <w:rPr>
                <w:spacing w:val="-4"/>
                <w:sz w:val="14"/>
              </w:rPr>
              <w:t>(21)</w:t>
            </w:r>
          </w:p>
        </w:tc>
        <w:tc>
          <w:tcPr>
            <w:tcW w:w="960" w:type="dxa"/>
          </w:tcPr>
          <w:p>
            <w:pPr>
              <w:pStyle w:val="TableParagraph"/>
              <w:spacing w:before="39"/>
              <w:ind w:right="108"/>
              <w:jc w:val="right"/>
              <w:rPr>
                <w:sz w:val="14"/>
              </w:rPr>
            </w:pPr>
            <w:r>
              <w:rPr>
                <w:spacing w:val="-5"/>
                <w:sz w:val="14"/>
              </w:rPr>
              <w:t>157</w:t>
            </w:r>
          </w:p>
        </w:tc>
        <w:tc>
          <w:tcPr>
            <w:tcW w:w="746" w:type="dxa"/>
          </w:tcPr>
          <w:p>
            <w:pPr>
              <w:pStyle w:val="TableParagraph"/>
              <w:spacing w:before="39"/>
              <w:ind w:right="59"/>
              <w:jc w:val="right"/>
              <w:rPr>
                <w:sz w:val="14"/>
              </w:rPr>
            </w:pPr>
            <w:r>
              <w:rPr>
                <w:sz w:val="14"/>
              </w:rPr>
              <w:t>—</w:t>
            </w:r>
          </w:p>
        </w:tc>
      </w:tr>
      <w:tr>
        <w:trPr>
          <w:trHeight w:val="191" w:hRule="atLeast"/>
        </w:trPr>
        <w:tc>
          <w:tcPr>
            <w:tcW w:w="1635" w:type="dxa"/>
          </w:tcPr>
          <w:p>
            <w:pPr>
              <w:pStyle w:val="TableParagraph"/>
              <w:spacing w:line="147" w:lineRule="exact" w:before="25"/>
              <w:ind w:left="52"/>
              <w:rPr>
                <w:sz w:val="14"/>
              </w:rPr>
            </w:pPr>
            <w:r>
              <w:rPr>
                <w:sz w:val="14"/>
              </w:rPr>
              <w:t>Board</w:t>
            </w:r>
            <w:r>
              <w:rPr>
                <w:spacing w:val="-4"/>
                <w:sz w:val="14"/>
              </w:rPr>
              <w:t> </w:t>
            </w:r>
            <w:r>
              <w:rPr>
                <w:sz w:val="14"/>
              </w:rPr>
              <w:t>of</w:t>
            </w:r>
            <w:r>
              <w:rPr>
                <w:spacing w:val="-2"/>
                <w:sz w:val="14"/>
              </w:rPr>
              <w:t> Governors-</w:t>
            </w:r>
          </w:p>
        </w:tc>
        <w:tc>
          <w:tcPr>
            <w:tcW w:w="731" w:type="dxa"/>
          </w:tcPr>
          <w:p>
            <w:pPr>
              <w:pStyle w:val="TableParagraph"/>
              <w:rPr>
                <w:rFonts w:ascii="Times New Roman"/>
                <w:sz w:val="12"/>
              </w:rPr>
            </w:pPr>
          </w:p>
        </w:tc>
        <w:tc>
          <w:tcPr>
            <w:tcW w:w="855" w:type="dxa"/>
          </w:tcPr>
          <w:p>
            <w:pPr>
              <w:pStyle w:val="TableParagraph"/>
              <w:rPr>
                <w:rFonts w:ascii="Times New Roman"/>
                <w:sz w:val="12"/>
              </w:rPr>
            </w:pPr>
          </w:p>
        </w:tc>
        <w:tc>
          <w:tcPr>
            <w:tcW w:w="848" w:type="dxa"/>
          </w:tcPr>
          <w:p>
            <w:pPr>
              <w:pStyle w:val="TableParagraph"/>
              <w:rPr>
                <w:rFonts w:ascii="Times New Roman"/>
                <w:sz w:val="12"/>
              </w:rPr>
            </w:pPr>
          </w:p>
        </w:tc>
        <w:tc>
          <w:tcPr>
            <w:tcW w:w="705"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960" w:type="dxa"/>
          </w:tcPr>
          <w:p>
            <w:pPr>
              <w:pStyle w:val="TableParagraph"/>
              <w:rPr>
                <w:rFonts w:ascii="Times New Roman"/>
                <w:sz w:val="12"/>
              </w:rPr>
            </w:pPr>
          </w:p>
        </w:tc>
        <w:tc>
          <w:tcPr>
            <w:tcW w:w="746" w:type="dxa"/>
          </w:tcPr>
          <w:p>
            <w:pPr>
              <w:pStyle w:val="TableParagraph"/>
              <w:rPr>
                <w:rFonts w:ascii="Times New Roman"/>
                <w:sz w:val="12"/>
              </w:rPr>
            </w:pPr>
          </w:p>
        </w:tc>
      </w:tr>
      <w:tr>
        <w:trPr>
          <w:trHeight w:val="167" w:hRule="atLeast"/>
        </w:trPr>
        <w:tc>
          <w:tcPr>
            <w:tcW w:w="1635" w:type="dxa"/>
          </w:tcPr>
          <w:p>
            <w:pPr>
              <w:pStyle w:val="TableParagraph"/>
              <w:spacing w:line="147" w:lineRule="exact" w:before="1"/>
              <w:ind w:left="52"/>
              <w:rPr>
                <w:sz w:val="14"/>
              </w:rPr>
            </w:pPr>
            <w:r>
              <w:rPr>
                <w:sz w:val="14"/>
              </w:rPr>
              <w:t>approved</w:t>
            </w:r>
            <w:r>
              <w:rPr>
                <w:spacing w:val="-7"/>
                <w:sz w:val="14"/>
              </w:rPr>
              <w:t> </w:t>
            </w:r>
            <w:r>
              <w:rPr>
                <w:spacing w:val="-2"/>
                <w:sz w:val="14"/>
              </w:rPr>
              <w:t>transfers</w:t>
            </w:r>
          </w:p>
        </w:tc>
        <w:tc>
          <w:tcPr>
            <w:tcW w:w="731" w:type="dxa"/>
          </w:tcPr>
          <w:p>
            <w:pPr>
              <w:pStyle w:val="TableParagraph"/>
              <w:rPr>
                <w:rFonts w:ascii="Times New Roman"/>
                <w:sz w:val="10"/>
              </w:rPr>
            </w:pPr>
          </w:p>
        </w:tc>
        <w:tc>
          <w:tcPr>
            <w:tcW w:w="855" w:type="dxa"/>
          </w:tcPr>
          <w:p>
            <w:pPr>
              <w:pStyle w:val="TableParagraph"/>
              <w:rPr>
                <w:rFonts w:ascii="Times New Roman"/>
                <w:sz w:val="10"/>
              </w:rPr>
            </w:pPr>
          </w:p>
        </w:tc>
        <w:tc>
          <w:tcPr>
            <w:tcW w:w="848" w:type="dxa"/>
          </w:tcPr>
          <w:p>
            <w:pPr>
              <w:pStyle w:val="TableParagraph"/>
              <w:rPr>
                <w:rFonts w:ascii="Times New Roman"/>
                <w:sz w:val="10"/>
              </w:rPr>
            </w:pPr>
          </w:p>
        </w:tc>
        <w:tc>
          <w:tcPr>
            <w:tcW w:w="705"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960" w:type="dxa"/>
          </w:tcPr>
          <w:p>
            <w:pPr>
              <w:pStyle w:val="TableParagraph"/>
              <w:rPr>
                <w:rFonts w:ascii="Times New Roman"/>
                <w:sz w:val="10"/>
              </w:rPr>
            </w:pPr>
          </w:p>
        </w:tc>
        <w:tc>
          <w:tcPr>
            <w:tcW w:w="746" w:type="dxa"/>
          </w:tcPr>
          <w:p>
            <w:pPr>
              <w:pStyle w:val="TableParagraph"/>
              <w:rPr>
                <w:rFonts w:ascii="Times New Roman"/>
                <w:sz w:val="10"/>
              </w:rPr>
            </w:pPr>
          </w:p>
        </w:tc>
      </w:tr>
      <w:tr>
        <w:trPr>
          <w:trHeight w:val="364" w:hRule="atLeast"/>
        </w:trPr>
        <w:tc>
          <w:tcPr>
            <w:tcW w:w="1635" w:type="dxa"/>
          </w:tcPr>
          <w:p>
            <w:pPr>
              <w:pStyle w:val="TableParagraph"/>
              <w:spacing w:line="249" w:lineRule="auto" w:before="1"/>
              <w:ind w:left="52" w:right="128"/>
              <w:rPr>
                <w:sz w:val="14"/>
              </w:rPr>
            </w:pPr>
            <w:r>
              <w:rPr>
                <w:sz w:val="14"/>
              </w:rPr>
              <w:t>funded</w:t>
            </w:r>
            <w:r>
              <w:rPr>
                <w:spacing w:val="-10"/>
                <w:sz w:val="14"/>
              </w:rPr>
              <w:t> </w:t>
            </w:r>
            <w:r>
              <w:rPr>
                <w:sz w:val="14"/>
              </w:rPr>
              <w:t>from</w:t>
            </w:r>
            <w:r>
              <w:rPr>
                <w:spacing w:val="-10"/>
                <w:sz w:val="14"/>
              </w:rPr>
              <w:t> </w:t>
            </w:r>
            <w:r>
              <w:rPr>
                <w:sz w:val="14"/>
              </w:rPr>
              <w:t>Surplus</w:t>
            </w:r>
            <w:r>
              <w:rPr>
                <w:spacing w:val="40"/>
                <w:sz w:val="14"/>
              </w:rPr>
              <w:t> </w:t>
            </w:r>
            <w:r>
              <w:rPr>
                <w:sz w:val="14"/>
              </w:rPr>
              <w:t>and</w:t>
            </w:r>
            <w:r>
              <w:rPr>
                <w:spacing w:val="-3"/>
                <w:sz w:val="14"/>
              </w:rPr>
              <w:t> </w:t>
            </w:r>
            <w:r>
              <w:rPr>
                <w:sz w:val="14"/>
              </w:rPr>
              <w:t>other</w:t>
            </w:r>
            <w:r>
              <w:rPr>
                <w:spacing w:val="-3"/>
                <w:sz w:val="14"/>
              </w:rPr>
              <w:t> </w:t>
            </w:r>
            <w:r>
              <w:rPr>
                <w:sz w:val="14"/>
              </w:rPr>
              <w:t>transfers</w:t>
            </w:r>
            <w:r>
              <w:rPr>
                <w:spacing w:val="-4"/>
                <w:sz w:val="14"/>
              </w:rPr>
              <w:t> </w:t>
            </w:r>
            <w:r>
              <w:rPr>
                <w:spacing w:val="-10"/>
                <w:sz w:val="14"/>
                <w:vertAlign w:val="superscript"/>
              </w:rPr>
              <w:t>c</w:t>
            </w:r>
          </w:p>
        </w:tc>
        <w:tc>
          <w:tcPr>
            <w:tcW w:w="731" w:type="dxa"/>
          </w:tcPr>
          <w:p>
            <w:pPr>
              <w:pStyle w:val="TableParagraph"/>
              <w:spacing w:before="8"/>
              <w:rPr>
                <w:rFonts w:ascii="Arial"/>
                <w:i/>
                <w:sz w:val="14"/>
              </w:rPr>
            </w:pPr>
          </w:p>
          <w:p>
            <w:pPr>
              <w:pStyle w:val="TableParagraph"/>
              <w:ind w:right="85"/>
              <w:jc w:val="right"/>
              <w:rPr>
                <w:sz w:val="14"/>
              </w:rPr>
            </w:pPr>
            <w:r>
              <w:rPr>
                <w:sz w:val="14"/>
              </w:rPr>
              <w:t>—</w:t>
            </w:r>
          </w:p>
        </w:tc>
        <w:tc>
          <w:tcPr>
            <w:tcW w:w="855" w:type="dxa"/>
          </w:tcPr>
          <w:p>
            <w:pPr>
              <w:pStyle w:val="TableParagraph"/>
              <w:spacing w:before="8"/>
              <w:rPr>
                <w:rFonts w:ascii="Arial"/>
                <w:i/>
                <w:sz w:val="14"/>
              </w:rPr>
            </w:pPr>
          </w:p>
          <w:p>
            <w:pPr>
              <w:pStyle w:val="TableParagraph"/>
              <w:ind w:right="85"/>
              <w:jc w:val="right"/>
              <w:rPr>
                <w:sz w:val="14"/>
              </w:rPr>
            </w:pPr>
            <w:r>
              <w:rPr>
                <w:sz w:val="14"/>
              </w:rPr>
              <w:t>—</w:t>
            </w:r>
          </w:p>
        </w:tc>
        <w:tc>
          <w:tcPr>
            <w:tcW w:w="848" w:type="dxa"/>
          </w:tcPr>
          <w:p>
            <w:pPr>
              <w:pStyle w:val="TableParagraph"/>
              <w:spacing w:before="8"/>
              <w:rPr>
                <w:rFonts w:ascii="Arial"/>
                <w:i/>
                <w:sz w:val="14"/>
              </w:rPr>
            </w:pPr>
          </w:p>
          <w:p>
            <w:pPr>
              <w:pStyle w:val="TableParagraph"/>
              <w:ind w:right="108"/>
              <w:jc w:val="right"/>
              <w:rPr>
                <w:sz w:val="14"/>
              </w:rPr>
            </w:pPr>
            <w:r>
              <w:rPr>
                <w:sz w:val="14"/>
              </w:rPr>
              <w:t>—</w:t>
            </w:r>
          </w:p>
        </w:tc>
        <w:tc>
          <w:tcPr>
            <w:tcW w:w="705" w:type="dxa"/>
          </w:tcPr>
          <w:p>
            <w:pPr>
              <w:pStyle w:val="TableParagraph"/>
              <w:spacing w:before="8"/>
              <w:rPr>
                <w:rFonts w:ascii="Arial"/>
                <w:i/>
                <w:sz w:val="14"/>
              </w:rPr>
            </w:pPr>
          </w:p>
          <w:p>
            <w:pPr>
              <w:pStyle w:val="TableParagraph"/>
              <w:ind w:right="61"/>
              <w:jc w:val="right"/>
              <w:rPr>
                <w:sz w:val="14"/>
              </w:rPr>
            </w:pPr>
            <w:r>
              <w:rPr>
                <w:spacing w:val="-4"/>
                <w:sz w:val="14"/>
              </w:rPr>
              <w:t>(80)</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108"/>
              <w:jc w:val="right"/>
              <w:rPr>
                <w:sz w:val="14"/>
              </w:rPr>
            </w:pPr>
            <w:r>
              <w:rPr>
                <w:spacing w:val="-5"/>
                <w:sz w:val="14"/>
              </w:rPr>
              <w:t>104</w:t>
            </w:r>
          </w:p>
        </w:tc>
        <w:tc>
          <w:tcPr>
            <w:tcW w:w="960" w:type="dxa"/>
          </w:tcPr>
          <w:p>
            <w:pPr>
              <w:pStyle w:val="TableParagraph"/>
              <w:spacing w:before="8"/>
              <w:rPr>
                <w:rFonts w:ascii="Arial"/>
                <w:i/>
                <w:sz w:val="14"/>
              </w:rPr>
            </w:pPr>
          </w:p>
          <w:p>
            <w:pPr>
              <w:pStyle w:val="TableParagraph"/>
              <w:ind w:right="108"/>
              <w:jc w:val="right"/>
              <w:rPr>
                <w:sz w:val="14"/>
              </w:rPr>
            </w:pPr>
            <w:r>
              <w:rPr>
                <w:sz w:val="14"/>
              </w:rPr>
              <w:t>—</w:t>
            </w:r>
          </w:p>
        </w:tc>
        <w:tc>
          <w:tcPr>
            <w:tcW w:w="960" w:type="dxa"/>
          </w:tcPr>
          <w:p>
            <w:pPr>
              <w:pStyle w:val="TableParagraph"/>
              <w:spacing w:before="8"/>
              <w:rPr>
                <w:rFonts w:ascii="Arial"/>
                <w:i/>
                <w:sz w:val="14"/>
              </w:rPr>
            </w:pPr>
          </w:p>
          <w:p>
            <w:pPr>
              <w:pStyle w:val="TableParagraph"/>
              <w:ind w:right="61"/>
              <w:jc w:val="right"/>
              <w:rPr>
                <w:sz w:val="14"/>
              </w:rPr>
            </w:pPr>
            <w:r>
              <w:rPr>
                <w:spacing w:val="-4"/>
                <w:sz w:val="14"/>
              </w:rPr>
              <w:t>(24)</w:t>
            </w:r>
          </w:p>
        </w:tc>
        <w:tc>
          <w:tcPr>
            <w:tcW w:w="746" w:type="dxa"/>
          </w:tcPr>
          <w:p>
            <w:pPr>
              <w:pStyle w:val="TableParagraph"/>
              <w:spacing w:before="8"/>
              <w:rPr>
                <w:rFonts w:ascii="Arial"/>
                <w:i/>
                <w:sz w:val="14"/>
              </w:rPr>
            </w:pPr>
          </w:p>
          <w:p>
            <w:pPr>
              <w:pStyle w:val="TableParagraph"/>
              <w:ind w:right="59"/>
              <w:jc w:val="right"/>
              <w:rPr>
                <w:sz w:val="14"/>
              </w:rPr>
            </w:pPr>
            <w:r>
              <w:rPr>
                <w:sz w:val="14"/>
              </w:rPr>
              <w:t>—</w:t>
            </w:r>
          </w:p>
        </w:tc>
      </w:tr>
      <w:tr>
        <w:trPr>
          <w:trHeight w:val="210" w:hRule="atLeast"/>
        </w:trPr>
        <w:tc>
          <w:tcPr>
            <w:tcW w:w="1635" w:type="dxa"/>
          </w:tcPr>
          <w:p>
            <w:pPr>
              <w:pStyle w:val="TableParagraph"/>
              <w:spacing w:line="161" w:lineRule="exact" w:before="29"/>
              <w:ind w:left="52"/>
              <w:rPr>
                <w:sz w:val="14"/>
              </w:rPr>
            </w:pPr>
            <w:r>
              <w:rPr>
                <w:sz w:val="14"/>
              </w:rPr>
              <w:t>Net</w:t>
            </w:r>
            <w:r>
              <w:rPr>
                <w:spacing w:val="-2"/>
                <w:sz w:val="14"/>
              </w:rPr>
              <w:t> </w:t>
            </w:r>
            <w:r>
              <w:rPr>
                <w:sz w:val="14"/>
              </w:rPr>
              <w:t>income</w:t>
            </w:r>
            <w:r>
              <w:rPr>
                <w:spacing w:val="-2"/>
                <w:sz w:val="14"/>
              </w:rPr>
              <w:t> </w:t>
            </w:r>
            <w:r>
              <w:rPr>
                <w:sz w:val="14"/>
              </w:rPr>
              <w:t>for</w:t>
            </w:r>
            <w:r>
              <w:rPr>
                <w:spacing w:val="-2"/>
                <w:sz w:val="14"/>
              </w:rPr>
              <w:t> </w:t>
            </w:r>
            <w:r>
              <w:rPr>
                <w:sz w:val="14"/>
              </w:rPr>
              <w:t>the</w:t>
            </w:r>
            <w:r>
              <w:rPr>
                <w:spacing w:val="-1"/>
                <w:sz w:val="14"/>
              </w:rPr>
              <w:t> </w:t>
            </w:r>
            <w:r>
              <w:rPr>
                <w:spacing w:val="-4"/>
                <w:sz w:val="14"/>
              </w:rPr>
              <w:t>year</w:t>
            </w:r>
          </w:p>
        </w:tc>
        <w:tc>
          <w:tcPr>
            <w:tcW w:w="731" w:type="dxa"/>
            <w:tcBorders>
              <w:bottom w:val="single" w:sz="8" w:space="0" w:color="000000"/>
            </w:tcBorders>
          </w:tcPr>
          <w:p>
            <w:pPr>
              <w:pStyle w:val="TableParagraph"/>
              <w:spacing w:line="161" w:lineRule="exact" w:before="29"/>
              <w:ind w:right="85"/>
              <w:jc w:val="right"/>
              <w:rPr>
                <w:sz w:val="14"/>
              </w:rPr>
            </w:pPr>
            <w:r>
              <w:rPr>
                <w:sz w:val="14"/>
              </w:rPr>
              <w:t>—</w:t>
            </w:r>
          </w:p>
        </w:tc>
        <w:tc>
          <w:tcPr>
            <w:tcW w:w="855" w:type="dxa"/>
            <w:tcBorders>
              <w:bottom w:val="single" w:sz="8" w:space="0" w:color="000000"/>
            </w:tcBorders>
          </w:tcPr>
          <w:p>
            <w:pPr>
              <w:pStyle w:val="TableParagraph"/>
              <w:spacing w:line="161" w:lineRule="exact" w:before="29"/>
              <w:ind w:right="85"/>
              <w:jc w:val="right"/>
              <w:rPr>
                <w:sz w:val="14"/>
              </w:rPr>
            </w:pPr>
            <w:r>
              <w:rPr>
                <w:sz w:val="14"/>
              </w:rPr>
              <w:t>—</w:t>
            </w:r>
          </w:p>
        </w:tc>
        <w:tc>
          <w:tcPr>
            <w:tcW w:w="848" w:type="dxa"/>
            <w:tcBorders>
              <w:bottom w:val="single" w:sz="8" w:space="0" w:color="000000"/>
            </w:tcBorders>
          </w:tcPr>
          <w:p>
            <w:pPr>
              <w:pStyle w:val="TableParagraph"/>
              <w:spacing w:line="161" w:lineRule="exact" w:before="29"/>
              <w:ind w:right="108"/>
              <w:jc w:val="right"/>
              <w:rPr>
                <w:sz w:val="14"/>
              </w:rPr>
            </w:pPr>
            <w:r>
              <w:rPr>
                <w:sz w:val="14"/>
              </w:rPr>
              <w:t>—</w:t>
            </w:r>
          </w:p>
        </w:tc>
        <w:tc>
          <w:tcPr>
            <w:tcW w:w="705"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pacing w:val="-2"/>
                <w:sz w:val="14"/>
              </w:rPr>
              <w:t>1,144</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960" w:type="dxa"/>
            <w:tcBorders>
              <w:bottom w:val="single" w:sz="8" w:space="0" w:color="000000"/>
            </w:tcBorders>
          </w:tcPr>
          <w:p>
            <w:pPr>
              <w:pStyle w:val="TableParagraph"/>
              <w:spacing w:line="161" w:lineRule="exact" w:before="29"/>
              <w:ind w:right="108"/>
              <w:jc w:val="right"/>
              <w:rPr>
                <w:sz w:val="14"/>
              </w:rPr>
            </w:pPr>
            <w:r>
              <w:rPr>
                <w:sz w:val="14"/>
              </w:rPr>
              <w:t>—</w:t>
            </w:r>
          </w:p>
        </w:tc>
        <w:tc>
          <w:tcPr>
            <w:tcW w:w="746" w:type="dxa"/>
            <w:tcBorders>
              <w:bottom w:val="single" w:sz="8" w:space="0" w:color="000000"/>
            </w:tcBorders>
          </w:tcPr>
          <w:p>
            <w:pPr>
              <w:pStyle w:val="TableParagraph"/>
              <w:spacing w:line="161" w:lineRule="exact" w:before="29"/>
              <w:ind w:right="59"/>
              <w:jc w:val="right"/>
              <w:rPr>
                <w:sz w:val="14"/>
              </w:rPr>
            </w:pPr>
            <w:r>
              <w:rPr>
                <w:spacing w:val="-2"/>
                <w:sz w:val="14"/>
              </w:rPr>
              <w:t>1,144</w:t>
            </w:r>
          </w:p>
        </w:tc>
      </w:tr>
      <w:tr>
        <w:trPr>
          <w:trHeight w:val="185" w:hRule="atLeast"/>
        </w:trPr>
        <w:tc>
          <w:tcPr>
            <w:tcW w:w="1635" w:type="dxa"/>
          </w:tcPr>
          <w:p>
            <w:pPr>
              <w:pStyle w:val="TableParagraph"/>
              <w:spacing w:line="141" w:lineRule="exact" w:before="24"/>
              <w:ind w:left="52"/>
              <w:rPr>
                <w:rFonts w:ascii="Arial"/>
                <w:b/>
                <w:sz w:val="14"/>
              </w:rPr>
            </w:pPr>
            <w:r>
              <w:rPr>
                <w:rFonts w:ascii="Arial"/>
                <w:b/>
                <w:sz w:val="14"/>
              </w:rPr>
              <w:t>As</w:t>
            </w:r>
            <w:r>
              <w:rPr>
                <w:rFonts w:ascii="Arial"/>
                <w:b/>
                <w:spacing w:val="-3"/>
                <w:sz w:val="14"/>
              </w:rPr>
              <w:t> </w:t>
            </w:r>
            <w:r>
              <w:rPr>
                <w:rFonts w:ascii="Arial"/>
                <w:b/>
                <w:sz w:val="14"/>
              </w:rPr>
              <w:t>of</w:t>
            </w:r>
            <w:r>
              <w:rPr>
                <w:rFonts w:ascii="Arial"/>
                <w:b/>
                <w:spacing w:val="-2"/>
                <w:sz w:val="14"/>
              </w:rPr>
              <w:t> </w:t>
            </w:r>
            <w:r>
              <w:rPr>
                <w:rFonts w:ascii="Arial"/>
                <w:b/>
                <w:sz w:val="14"/>
              </w:rPr>
              <w:t>June</w:t>
            </w:r>
            <w:r>
              <w:rPr>
                <w:rFonts w:ascii="Arial"/>
                <w:b/>
                <w:spacing w:val="-1"/>
                <w:sz w:val="14"/>
              </w:rPr>
              <w:t> </w:t>
            </w:r>
            <w:r>
              <w:rPr>
                <w:rFonts w:ascii="Arial"/>
                <w:b/>
                <w:sz w:val="14"/>
              </w:rPr>
              <w:t>30,</w:t>
            </w:r>
            <w:r>
              <w:rPr>
                <w:rFonts w:ascii="Arial"/>
                <w:b/>
                <w:spacing w:val="-1"/>
                <w:sz w:val="14"/>
              </w:rPr>
              <w:t> </w:t>
            </w:r>
            <w:r>
              <w:rPr>
                <w:rFonts w:ascii="Arial"/>
                <w:b/>
                <w:spacing w:val="-4"/>
                <w:sz w:val="14"/>
              </w:rPr>
              <w:t>2023</w:t>
            </w:r>
          </w:p>
        </w:tc>
        <w:tc>
          <w:tcPr>
            <w:tcW w:w="731" w:type="dxa"/>
            <w:tcBorders>
              <w:top w:val="single" w:sz="8" w:space="0" w:color="000000"/>
              <w:bottom w:val="double" w:sz="8" w:space="0" w:color="000000"/>
            </w:tcBorders>
          </w:tcPr>
          <w:p>
            <w:pPr>
              <w:pStyle w:val="TableParagraph"/>
              <w:tabs>
                <w:tab w:pos="357" w:val="left" w:leader="none"/>
              </w:tabs>
              <w:spacing w:line="141" w:lineRule="exact" w:before="24"/>
              <w:ind w:right="85"/>
              <w:jc w:val="right"/>
              <w:rPr>
                <w:sz w:val="14"/>
              </w:rPr>
            </w:pPr>
            <w:r>
              <w:rPr>
                <w:spacing w:val="-10"/>
                <w:sz w:val="14"/>
              </w:rPr>
              <w:t>$</w:t>
            </w:r>
            <w:r>
              <w:rPr>
                <w:sz w:val="14"/>
              </w:rPr>
              <w:tab/>
            </w:r>
            <w:r>
              <w:rPr>
                <w:spacing w:val="-5"/>
                <w:sz w:val="14"/>
              </w:rPr>
              <w:t>293</w:t>
            </w:r>
          </w:p>
        </w:tc>
        <w:tc>
          <w:tcPr>
            <w:tcW w:w="855" w:type="dxa"/>
            <w:tcBorders>
              <w:top w:val="single" w:sz="8" w:space="0" w:color="000000"/>
              <w:bottom w:val="double" w:sz="8" w:space="0" w:color="000000"/>
            </w:tcBorders>
          </w:tcPr>
          <w:p>
            <w:pPr>
              <w:pStyle w:val="TableParagraph"/>
              <w:spacing w:line="141" w:lineRule="exact" w:before="24"/>
              <w:ind w:right="85"/>
              <w:jc w:val="right"/>
              <w:rPr>
                <w:sz w:val="14"/>
              </w:rPr>
            </w:pPr>
            <w:r>
              <w:rPr>
                <w:sz w:val="14"/>
              </w:rPr>
              <w:t>$</w:t>
            </w:r>
            <w:r>
              <w:rPr>
                <w:spacing w:val="48"/>
                <w:sz w:val="14"/>
              </w:rPr>
              <w:t>  </w:t>
            </w:r>
            <w:r>
              <w:rPr>
                <w:spacing w:val="-2"/>
                <w:sz w:val="14"/>
              </w:rPr>
              <w:t>32,053</w:t>
            </w:r>
          </w:p>
        </w:tc>
        <w:tc>
          <w:tcPr>
            <w:tcW w:w="848" w:type="dxa"/>
            <w:tcBorders>
              <w:top w:val="single" w:sz="8" w:space="0" w:color="000000"/>
              <w:bottom w:val="double" w:sz="8" w:space="0" w:color="000000"/>
            </w:tcBorders>
          </w:tcPr>
          <w:p>
            <w:pPr>
              <w:pStyle w:val="TableParagraph"/>
              <w:tabs>
                <w:tab w:pos="503" w:val="left" w:leader="none"/>
              </w:tabs>
              <w:spacing w:line="141" w:lineRule="exact" w:before="24"/>
              <w:ind w:left="86"/>
              <w:rPr>
                <w:sz w:val="14"/>
              </w:rPr>
            </w:pPr>
            <w:r>
              <w:rPr>
                <w:spacing w:val="-10"/>
                <w:sz w:val="14"/>
              </w:rPr>
              <w:t>$</w:t>
            </w:r>
            <w:r>
              <w:rPr>
                <w:sz w:val="14"/>
              </w:rPr>
              <w:tab/>
            </w:r>
            <w:r>
              <w:rPr>
                <w:spacing w:val="-5"/>
                <w:sz w:val="14"/>
              </w:rPr>
              <w:t>739</w:t>
            </w:r>
          </w:p>
        </w:tc>
        <w:tc>
          <w:tcPr>
            <w:tcW w:w="705" w:type="dxa"/>
            <w:tcBorders>
              <w:top w:val="single" w:sz="8" w:space="0" w:color="000000"/>
              <w:bottom w:val="double" w:sz="8" w:space="0" w:color="000000"/>
            </w:tcBorders>
          </w:tcPr>
          <w:p>
            <w:pPr>
              <w:pStyle w:val="TableParagraph"/>
              <w:tabs>
                <w:tab w:pos="297" w:val="left" w:leader="none"/>
              </w:tabs>
              <w:spacing w:line="141" w:lineRule="exact" w:before="24"/>
              <w:ind w:right="108"/>
              <w:jc w:val="right"/>
              <w:rPr>
                <w:sz w:val="14"/>
              </w:rPr>
            </w:pPr>
            <w:r>
              <w:rPr>
                <w:spacing w:val="-10"/>
                <w:sz w:val="14"/>
              </w:rPr>
              <w:t>$</w:t>
            </w:r>
            <w:r>
              <w:rPr>
                <w:sz w:val="14"/>
              </w:rPr>
              <w:tab/>
            </w:r>
            <w:r>
              <w:rPr>
                <w:spacing w:val="-5"/>
                <w:sz w:val="14"/>
              </w:rPr>
              <w:t>120</w:t>
            </w:r>
          </w:p>
        </w:tc>
        <w:tc>
          <w:tcPr>
            <w:tcW w:w="960" w:type="dxa"/>
            <w:tcBorders>
              <w:top w:val="single" w:sz="8" w:space="0" w:color="000000"/>
              <w:bottom w:val="double" w:sz="8" w:space="0" w:color="000000"/>
            </w:tcBorders>
          </w:tcPr>
          <w:p>
            <w:pPr>
              <w:pStyle w:val="TableParagraph"/>
              <w:tabs>
                <w:tab w:pos="435" w:val="left" w:leader="none"/>
              </w:tabs>
              <w:spacing w:line="141" w:lineRule="exact" w:before="24"/>
              <w:ind w:right="108"/>
              <w:jc w:val="right"/>
              <w:rPr>
                <w:sz w:val="14"/>
              </w:rPr>
            </w:pPr>
            <w:r>
              <w:rPr>
                <w:spacing w:val="-10"/>
                <w:sz w:val="14"/>
              </w:rPr>
              <w:t>$</w:t>
            </w:r>
            <w:r>
              <w:rPr>
                <w:sz w:val="14"/>
              </w:rPr>
              <w:tab/>
            </w:r>
            <w:r>
              <w:rPr>
                <w:spacing w:val="-2"/>
                <w:sz w:val="14"/>
              </w:rPr>
              <w:t>1,271</w:t>
            </w:r>
          </w:p>
        </w:tc>
        <w:tc>
          <w:tcPr>
            <w:tcW w:w="960" w:type="dxa"/>
            <w:tcBorders>
              <w:top w:val="single" w:sz="8" w:space="0" w:color="000000"/>
              <w:bottom w:val="double" w:sz="8" w:space="0" w:color="000000"/>
            </w:tcBorders>
          </w:tcPr>
          <w:p>
            <w:pPr>
              <w:pStyle w:val="TableParagraph"/>
              <w:tabs>
                <w:tab w:pos="435" w:val="left" w:leader="none"/>
              </w:tabs>
              <w:spacing w:line="141" w:lineRule="exact" w:before="24"/>
              <w:ind w:right="108"/>
              <w:jc w:val="right"/>
              <w:rPr>
                <w:sz w:val="14"/>
              </w:rPr>
            </w:pPr>
            <w:r>
              <w:rPr>
                <w:spacing w:val="-10"/>
                <w:sz w:val="14"/>
              </w:rPr>
              <w:t>$</w:t>
            </w:r>
            <w:r>
              <w:rPr>
                <w:sz w:val="14"/>
              </w:rPr>
              <w:tab/>
            </w:r>
            <w:r>
              <w:rPr>
                <w:spacing w:val="-2"/>
                <w:sz w:val="14"/>
              </w:rPr>
              <w:t>1,364</w:t>
            </w:r>
          </w:p>
        </w:tc>
        <w:tc>
          <w:tcPr>
            <w:tcW w:w="960" w:type="dxa"/>
            <w:tcBorders>
              <w:top w:val="single" w:sz="8" w:space="0" w:color="000000"/>
              <w:bottom w:val="double" w:sz="8" w:space="0" w:color="000000"/>
            </w:tcBorders>
          </w:tcPr>
          <w:p>
            <w:pPr>
              <w:pStyle w:val="TableParagraph"/>
              <w:tabs>
                <w:tab w:pos="630" w:val="left" w:leader="none"/>
              </w:tabs>
              <w:spacing w:line="141" w:lineRule="exact" w:before="24"/>
              <w:ind w:right="108"/>
              <w:jc w:val="right"/>
              <w:rPr>
                <w:sz w:val="14"/>
              </w:rPr>
            </w:pPr>
            <w:r>
              <w:rPr>
                <w:spacing w:val="-10"/>
                <w:sz w:val="14"/>
              </w:rPr>
              <w:t>$</w:t>
            </w:r>
            <w:r>
              <w:rPr>
                <w:sz w:val="14"/>
              </w:rPr>
              <w:tab/>
            </w:r>
            <w:r>
              <w:rPr>
                <w:spacing w:val="-5"/>
                <w:sz w:val="14"/>
              </w:rPr>
              <w:t>21</w:t>
            </w:r>
          </w:p>
        </w:tc>
        <w:tc>
          <w:tcPr>
            <w:tcW w:w="960" w:type="dxa"/>
            <w:tcBorders>
              <w:top w:val="single" w:sz="8" w:space="0" w:color="000000"/>
              <w:bottom w:val="double" w:sz="8" w:space="0" w:color="000000"/>
            </w:tcBorders>
          </w:tcPr>
          <w:p>
            <w:pPr>
              <w:pStyle w:val="TableParagraph"/>
              <w:tabs>
                <w:tab w:pos="552" w:val="left" w:leader="none"/>
              </w:tabs>
              <w:spacing w:line="141" w:lineRule="exact" w:before="24"/>
              <w:ind w:right="108"/>
              <w:jc w:val="right"/>
              <w:rPr>
                <w:sz w:val="14"/>
              </w:rPr>
            </w:pPr>
            <w:r>
              <w:rPr>
                <w:spacing w:val="-10"/>
                <w:sz w:val="14"/>
              </w:rPr>
              <w:t>$</w:t>
            </w:r>
            <w:r>
              <w:rPr>
                <w:sz w:val="14"/>
              </w:rPr>
              <w:tab/>
            </w:r>
            <w:r>
              <w:rPr>
                <w:spacing w:val="-5"/>
                <w:sz w:val="14"/>
              </w:rPr>
              <w:t>280</w:t>
            </w:r>
          </w:p>
        </w:tc>
        <w:tc>
          <w:tcPr>
            <w:tcW w:w="746" w:type="dxa"/>
            <w:tcBorders>
              <w:top w:val="single" w:sz="8" w:space="0" w:color="000000"/>
              <w:bottom w:val="double" w:sz="8" w:space="0" w:color="000000"/>
            </w:tcBorders>
          </w:tcPr>
          <w:p>
            <w:pPr>
              <w:pStyle w:val="TableParagraph"/>
              <w:spacing w:line="141" w:lineRule="exact" w:before="24"/>
              <w:ind w:right="59"/>
              <w:jc w:val="right"/>
              <w:rPr>
                <w:sz w:val="14"/>
              </w:rPr>
            </w:pPr>
            <w:r>
              <w:rPr>
                <w:sz w:val="14"/>
              </w:rPr>
              <w:t>$</w:t>
            </w:r>
            <w:r>
              <w:rPr>
                <w:spacing w:val="75"/>
                <w:sz w:val="14"/>
              </w:rPr>
              <w:t> </w:t>
            </w:r>
            <w:r>
              <w:rPr>
                <w:spacing w:val="-2"/>
                <w:sz w:val="14"/>
              </w:rPr>
              <w:t>36,141</w:t>
            </w:r>
          </w:p>
        </w:tc>
      </w:tr>
    </w:tbl>
    <w:p>
      <w:pPr>
        <w:pStyle w:val="BodyText"/>
        <w:spacing w:before="9"/>
        <w:rPr>
          <w:rFonts w:ascii="Arial"/>
          <w:i/>
          <w:sz w:val="14"/>
        </w:rPr>
      </w:pPr>
      <w:r>
        <w:rPr>
          <w:rFonts w:ascii="Arial"/>
          <w:i/>
          <w:sz w:val="14"/>
        </w:rPr>
        <mc:AlternateContent>
          <mc:Choice Requires="wps">
            <w:drawing>
              <wp:anchor distT="0" distB="0" distL="0" distR="0" allowOverlap="1" layoutInCell="1" locked="0" behindDoc="1" simplePos="0" relativeHeight="487735808">
                <wp:simplePos x="0" y="0"/>
                <wp:positionH relativeFrom="page">
                  <wp:posOffset>914400</wp:posOffset>
                </wp:positionH>
                <wp:positionV relativeFrom="paragraph">
                  <wp:posOffset>123189</wp:posOffset>
                </wp:positionV>
                <wp:extent cx="5943600" cy="127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9.7pt;width:468pt;height:.1pt;mso-position-horizontal-relative:page;mso-position-vertical-relative:paragraph;z-index:-15580672;mso-wrap-distance-left:0;mso-wrap-distance-right:0" id="docshape739" coordorigin="1440,194" coordsize="9360,0" path="m1440,194l10800,194e" filled="false" stroked="true" strokeweight="1pt" strokecolor="#000000">
                <v:path arrowok="t"/>
                <v:stroke dashstyle="solid"/>
                <w10:wrap type="topAndBottom"/>
              </v:shape>
            </w:pict>
          </mc:Fallback>
        </mc:AlternateContent>
      </w:r>
    </w:p>
    <w:p>
      <w:pPr>
        <w:pStyle w:val="ListParagraph"/>
        <w:numPr>
          <w:ilvl w:val="0"/>
          <w:numId w:val="42"/>
        </w:numPr>
        <w:tabs>
          <w:tab w:pos="926" w:val="left" w:leader="none"/>
          <w:tab w:pos="952" w:val="left" w:leader="none"/>
        </w:tabs>
        <w:spacing w:line="249" w:lineRule="auto" w:before="13" w:after="0"/>
        <w:ind w:left="952" w:right="781" w:hanging="180"/>
        <w:jc w:val="left"/>
        <w:rPr>
          <w:rFonts w:ascii="Arial" w:hAnsi="Arial"/>
          <w:i/>
          <w:sz w:val="14"/>
        </w:rPr>
      </w:pPr>
      <w:r>
        <w:rPr>
          <w:rFonts w:ascii="Arial" w:hAnsi="Arial"/>
          <w:i/>
          <w:sz w:val="14"/>
        </w:rPr>
        <w:t>Represents</w:t>
      </w:r>
      <w:r>
        <w:rPr>
          <w:rFonts w:ascii="Arial" w:hAnsi="Arial"/>
          <w:i/>
          <w:spacing w:val="-2"/>
          <w:sz w:val="14"/>
        </w:rPr>
        <w:t> </w:t>
      </w:r>
      <w:r>
        <w:rPr>
          <w:rFonts w:ascii="Arial" w:hAnsi="Arial"/>
          <w:i/>
          <w:sz w:val="14"/>
        </w:rPr>
        <w:t>the</w:t>
      </w:r>
      <w:r>
        <w:rPr>
          <w:rFonts w:ascii="Arial" w:hAnsi="Arial"/>
          <w:i/>
          <w:spacing w:val="-2"/>
          <w:sz w:val="14"/>
        </w:rPr>
        <w:t> </w:t>
      </w:r>
      <w:r>
        <w:rPr>
          <w:rFonts w:ascii="Arial" w:hAnsi="Arial"/>
          <w:i/>
          <w:sz w:val="14"/>
        </w:rPr>
        <w:t>cumulative</w:t>
      </w:r>
      <w:r>
        <w:rPr>
          <w:rFonts w:ascii="Arial" w:hAnsi="Arial"/>
          <w:i/>
          <w:spacing w:val="-2"/>
          <w:sz w:val="14"/>
        </w:rPr>
        <w:t> </w:t>
      </w:r>
      <w:r>
        <w:rPr>
          <w:rFonts w:ascii="Arial" w:hAnsi="Arial"/>
          <w:i/>
          <w:sz w:val="14"/>
        </w:rPr>
        <w:t>effect</w:t>
      </w:r>
      <w:r>
        <w:rPr>
          <w:rFonts w:ascii="Arial" w:hAnsi="Arial"/>
          <w:i/>
          <w:spacing w:val="-2"/>
          <w:sz w:val="14"/>
        </w:rPr>
        <w:t> </w:t>
      </w:r>
      <w:r>
        <w:rPr>
          <w:rFonts w:ascii="Arial" w:hAnsi="Arial"/>
          <w:i/>
          <w:sz w:val="14"/>
        </w:rPr>
        <w:t>of</w:t>
      </w:r>
      <w:r>
        <w:rPr>
          <w:rFonts w:ascii="Arial" w:hAnsi="Arial"/>
          <w:i/>
          <w:spacing w:val="-2"/>
          <w:sz w:val="14"/>
        </w:rPr>
        <w:t> </w:t>
      </w:r>
      <w:r>
        <w:rPr>
          <w:rFonts w:ascii="Arial" w:hAnsi="Arial"/>
          <w:i/>
          <w:sz w:val="14"/>
        </w:rPr>
        <w:t>adopting</w:t>
      </w:r>
      <w:r>
        <w:rPr>
          <w:rFonts w:ascii="Arial" w:hAnsi="Arial"/>
          <w:i/>
          <w:spacing w:val="-2"/>
          <w:sz w:val="14"/>
        </w:rPr>
        <w:t> </w:t>
      </w:r>
      <w:r>
        <w:rPr>
          <w:rFonts w:ascii="Arial" w:hAnsi="Arial"/>
          <w:i/>
          <w:sz w:val="14"/>
        </w:rPr>
        <w:t>ASU</w:t>
      </w:r>
      <w:r>
        <w:rPr>
          <w:rFonts w:ascii="Arial" w:hAnsi="Arial"/>
          <w:i/>
          <w:spacing w:val="-2"/>
          <w:sz w:val="14"/>
        </w:rPr>
        <w:t> </w:t>
      </w:r>
      <w:r>
        <w:rPr>
          <w:rFonts w:ascii="Arial" w:hAnsi="Arial"/>
          <w:i/>
          <w:sz w:val="14"/>
        </w:rPr>
        <w:t>2016-13</w:t>
      </w:r>
      <w:r>
        <w:rPr>
          <w:rFonts w:ascii="Arial" w:hAnsi="Arial"/>
          <w:i/>
          <w:spacing w:val="-2"/>
          <w:sz w:val="14"/>
        </w:rPr>
        <w:t> </w:t>
      </w:r>
      <w:r>
        <w:rPr>
          <w:rFonts w:ascii="Arial" w:hAnsi="Arial"/>
          <w:i/>
          <w:sz w:val="14"/>
        </w:rPr>
        <w:t>on</w:t>
      </w:r>
      <w:r>
        <w:rPr>
          <w:rFonts w:ascii="Arial" w:hAnsi="Arial"/>
          <w:i/>
          <w:spacing w:val="-2"/>
          <w:sz w:val="14"/>
        </w:rPr>
        <w:t> </w:t>
      </w:r>
      <w:r>
        <w:rPr>
          <w:rFonts w:ascii="Arial" w:hAnsi="Arial"/>
          <w:i/>
          <w:sz w:val="14"/>
        </w:rPr>
        <w:t>July</w:t>
      </w:r>
      <w:r>
        <w:rPr>
          <w:rFonts w:ascii="Arial" w:hAnsi="Arial"/>
          <w:i/>
          <w:spacing w:val="-2"/>
          <w:sz w:val="14"/>
        </w:rPr>
        <w:t> </w:t>
      </w:r>
      <w:r>
        <w:rPr>
          <w:rFonts w:ascii="Arial" w:hAnsi="Arial"/>
          <w:i/>
          <w:sz w:val="14"/>
        </w:rPr>
        <w:t>1,</w:t>
      </w:r>
      <w:r>
        <w:rPr>
          <w:rFonts w:ascii="Arial" w:hAnsi="Arial"/>
          <w:i/>
          <w:spacing w:val="-2"/>
          <w:sz w:val="14"/>
        </w:rPr>
        <w:t> </w:t>
      </w:r>
      <w:r>
        <w:rPr>
          <w:rFonts w:ascii="Arial" w:hAnsi="Arial"/>
          <w:i/>
          <w:sz w:val="14"/>
        </w:rPr>
        <w:t>2020.</w:t>
      </w:r>
      <w:r>
        <w:rPr>
          <w:rFonts w:ascii="Arial" w:hAnsi="Arial"/>
          <w:i/>
          <w:spacing w:val="-2"/>
          <w:sz w:val="14"/>
        </w:rPr>
        <w:t> </w:t>
      </w:r>
      <w:r>
        <w:rPr>
          <w:rFonts w:ascii="Arial" w:hAnsi="Arial"/>
          <w:i/>
          <w:sz w:val="14"/>
        </w:rPr>
        <w:t>Subsequently</w:t>
      </w:r>
      <w:r>
        <w:rPr>
          <w:rFonts w:ascii="Arial" w:hAnsi="Arial"/>
          <w:i/>
          <w:spacing w:val="-2"/>
          <w:sz w:val="14"/>
        </w:rPr>
        <w:t> </w:t>
      </w:r>
      <w:r>
        <w:rPr>
          <w:rFonts w:ascii="Arial" w:hAnsi="Arial"/>
          <w:i/>
          <w:sz w:val="14"/>
        </w:rPr>
        <w:t>transferred</w:t>
      </w:r>
      <w:r>
        <w:rPr>
          <w:rFonts w:ascii="Arial" w:hAnsi="Arial"/>
          <w:i/>
          <w:spacing w:val="35"/>
          <w:sz w:val="14"/>
        </w:rPr>
        <w:t> </w:t>
      </w:r>
      <w:r>
        <w:rPr>
          <w:rFonts w:ascii="Arial" w:hAnsi="Arial"/>
          <w:i/>
          <w:sz w:val="14"/>
        </w:rPr>
        <w:t>from</w:t>
      </w:r>
      <w:r>
        <w:rPr>
          <w:rFonts w:ascii="Arial" w:hAnsi="Arial"/>
          <w:i/>
          <w:spacing w:val="-2"/>
          <w:sz w:val="14"/>
        </w:rPr>
        <w:t> </w:t>
      </w:r>
      <w:r>
        <w:rPr>
          <w:rFonts w:ascii="Arial" w:hAnsi="Arial"/>
          <w:i/>
          <w:sz w:val="14"/>
        </w:rPr>
        <w:t>Other</w:t>
      </w:r>
      <w:r>
        <w:rPr>
          <w:rFonts w:ascii="Arial" w:hAnsi="Arial"/>
          <w:i/>
          <w:spacing w:val="-2"/>
          <w:sz w:val="14"/>
        </w:rPr>
        <w:t> </w:t>
      </w:r>
      <w:r>
        <w:rPr>
          <w:rFonts w:ascii="Arial" w:hAnsi="Arial"/>
          <w:i/>
          <w:sz w:val="14"/>
        </w:rPr>
        <w:t>reserves</w:t>
      </w:r>
      <w:r>
        <w:rPr>
          <w:rFonts w:ascii="Arial" w:hAnsi="Arial"/>
          <w:i/>
          <w:spacing w:val="-2"/>
          <w:sz w:val="14"/>
        </w:rPr>
        <w:t> </w:t>
      </w:r>
      <w:r>
        <w:rPr>
          <w:rFonts w:ascii="Arial" w:hAnsi="Arial"/>
          <w:i/>
          <w:sz w:val="14"/>
        </w:rPr>
        <w:t>to</w:t>
      </w:r>
      <w:r>
        <w:rPr>
          <w:rFonts w:ascii="Arial" w:hAnsi="Arial"/>
          <w:i/>
          <w:spacing w:val="-2"/>
          <w:sz w:val="14"/>
        </w:rPr>
        <w:t> </w:t>
      </w:r>
      <w:r>
        <w:rPr>
          <w:rFonts w:ascii="Arial" w:hAnsi="Arial"/>
          <w:i/>
          <w:sz w:val="14"/>
        </w:rPr>
        <w:t>the</w:t>
      </w:r>
      <w:r>
        <w:rPr>
          <w:rFonts w:ascii="Arial" w:hAnsi="Arial"/>
          <w:i/>
          <w:spacing w:val="-2"/>
          <w:sz w:val="14"/>
        </w:rPr>
        <w:t> </w:t>
      </w:r>
      <w:r>
        <w:rPr>
          <w:rFonts w:ascii="Arial" w:hAnsi="Arial"/>
          <w:i/>
          <w:sz w:val="14"/>
        </w:rPr>
        <w:t>General</w:t>
      </w:r>
      <w:r>
        <w:rPr>
          <w:rFonts w:ascii="Arial" w:hAnsi="Arial"/>
          <w:i/>
          <w:spacing w:val="-2"/>
          <w:sz w:val="14"/>
        </w:rPr>
        <w:t> </w:t>
      </w:r>
      <w:r>
        <w:rPr>
          <w:rFonts w:ascii="Arial" w:hAnsi="Arial"/>
          <w:i/>
          <w:sz w:val="14"/>
        </w:rPr>
        <w:t>Reserve</w:t>
      </w:r>
      <w:r>
        <w:rPr>
          <w:rFonts w:ascii="Arial" w:hAnsi="Arial"/>
          <w:i/>
          <w:spacing w:val="40"/>
          <w:sz w:val="14"/>
        </w:rPr>
        <w:t> </w:t>
      </w:r>
      <w:r>
        <w:rPr>
          <w:rFonts w:ascii="Arial" w:hAnsi="Arial"/>
          <w:i/>
          <w:sz w:val="14"/>
        </w:rPr>
        <w:t>upon IBRD’s Executive Directors approval On August 5, 2021.</w:t>
      </w:r>
    </w:p>
    <w:p>
      <w:pPr>
        <w:pStyle w:val="ListParagraph"/>
        <w:numPr>
          <w:ilvl w:val="0"/>
          <w:numId w:val="42"/>
        </w:numPr>
        <w:tabs>
          <w:tab w:pos="926" w:val="left" w:leader="none"/>
        </w:tabs>
        <w:spacing w:line="240" w:lineRule="auto" w:before="37" w:after="0"/>
        <w:ind w:left="926" w:right="0" w:hanging="154"/>
        <w:jc w:val="left"/>
        <w:rPr>
          <w:rFonts w:ascii="Arial"/>
          <w:i/>
          <w:sz w:val="14"/>
        </w:rPr>
      </w:pPr>
      <w:r>
        <w:rPr>
          <w:rFonts w:ascii="Arial"/>
          <w:i/>
          <w:sz w:val="14"/>
        </w:rPr>
        <w:t>Amounts</w:t>
      </w:r>
      <w:r>
        <w:rPr>
          <w:rFonts w:ascii="Arial"/>
          <w:i/>
          <w:spacing w:val="-5"/>
          <w:sz w:val="14"/>
        </w:rPr>
        <w:t> </w:t>
      </w:r>
      <w:r>
        <w:rPr>
          <w:rFonts w:ascii="Arial"/>
          <w:i/>
          <w:sz w:val="14"/>
        </w:rPr>
        <w:t>retained</w:t>
      </w:r>
      <w:r>
        <w:rPr>
          <w:rFonts w:ascii="Arial"/>
          <w:i/>
          <w:spacing w:val="-3"/>
          <w:sz w:val="14"/>
        </w:rPr>
        <w:t> </w:t>
      </w:r>
      <w:r>
        <w:rPr>
          <w:rFonts w:ascii="Arial"/>
          <w:i/>
          <w:sz w:val="14"/>
        </w:rPr>
        <w:t>as</w:t>
      </w:r>
      <w:r>
        <w:rPr>
          <w:rFonts w:ascii="Arial"/>
          <w:i/>
          <w:spacing w:val="-2"/>
          <w:sz w:val="14"/>
        </w:rPr>
        <w:t> </w:t>
      </w:r>
      <w:r>
        <w:rPr>
          <w:rFonts w:ascii="Arial"/>
          <w:i/>
          <w:sz w:val="14"/>
        </w:rPr>
        <w:t>Surplus</w:t>
      </w:r>
      <w:r>
        <w:rPr>
          <w:rFonts w:ascii="Arial"/>
          <w:i/>
          <w:spacing w:val="-3"/>
          <w:sz w:val="14"/>
        </w:rPr>
        <w:t> </w:t>
      </w:r>
      <w:r>
        <w:rPr>
          <w:rFonts w:ascii="Arial"/>
          <w:i/>
          <w:sz w:val="14"/>
        </w:rPr>
        <w:t>from</w:t>
      </w:r>
      <w:r>
        <w:rPr>
          <w:rFonts w:ascii="Arial"/>
          <w:i/>
          <w:spacing w:val="-3"/>
          <w:sz w:val="14"/>
        </w:rPr>
        <w:t> </w:t>
      </w:r>
      <w:r>
        <w:rPr>
          <w:rFonts w:ascii="Arial"/>
          <w:i/>
          <w:sz w:val="14"/>
        </w:rPr>
        <w:t>the</w:t>
      </w:r>
      <w:r>
        <w:rPr>
          <w:rFonts w:ascii="Arial"/>
          <w:i/>
          <w:spacing w:val="-2"/>
          <w:sz w:val="14"/>
        </w:rPr>
        <w:t> </w:t>
      </w:r>
      <w:r>
        <w:rPr>
          <w:rFonts w:ascii="Arial"/>
          <w:i/>
          <w:sz w:val="14"/>
        </w:rPr>
        <w:t>allocation</w:t>
      </w:r>
      <w:r>
        <w:rPr>
          <w:rFonts w:ascii="Arial"/>
          <w:i/>
          <w:spacing w:val="-3"/>
          <w:sz w:val="14"/>
        </w:rPr>
        <w:t> </w:t>
      </w:r>
      <w:r>
        <w:rPr>
          <w:rFonts w:ascii="Arial"/>
          <w:i/>
          <w:sz w:val="14"/>
        </w:rPr>
        <w:t>of</w:t>
      </w:r>
      <w:r>
        <w:rPr>
          <w:rFonts w:ascii="Arial"/>
          <w:i/>
          <w:spacing w:val="-2"/>
          <w:sz w:val="14"/>
        </w:rPr>
        <w:t> </w:t>
      </w:r>
      <w:r>
        <w:rPr>
          <w:rFonts w:ascii="Arial"/>
          <w:i/>
          <w:sz w:val="14"/>
        </w:rPr>
        <w:t>net</w:t>
      </w:r>
      <w:r>
        <w:rPr>
          <w:rFonts w:ascii="Arial"/>
          <w:i/>
          <w:spacing w:val="-3"/>
          <w:sz w:val="14"/>
        </w:rPr>
        <w:t> </w:t>
      </w:r>
      <w:r>
        <w:rPr>
          <w:rFonts w:ascii="Arial"/>
          <w:i/>
          <w:sz w:val="14"/>
        </w:rPr>
        <w:t>income</w:t>
      </w:r>
      <w:r>
        <w:rPr>
          <w:rFonts w:ascii="Arial"/>
          <w:i/>
          <w:spacing w:val="-3"/>
          <w:sz w:val="14"/>
        </w:rPr>
        <w:t> </w:t>
      </w:r>
      <w:r>
        <w:rPr>
          <w:rFonts w:ascii="Arial"/>
          <w:i/>
          <w:sz w:val="14"/>
        </w:rPr>
        <w:t>are</w:t>
      </w:r>
      <w:r>
        <w:rPr>
          <w:rFonts w:ascii="Arial"/>
          <w:i/>
          <w:spacing w:val="-2"/>
          <w:sz w:val="14"/>
        </w:rPr>
        <w:t> </w:t>
      </w:r>
      <w:r>
        <w:rPr>
          <w:rFonts w:ascii="Arial"/>
          <w:i/>
          <w:sz w:val="14"/>
        </w:rPr>
        <w:t>approved</w:t>
      </w:r>
      <w:r>
        <w:rPr>
          <w:rFonts w:ascii="Arial"/>
          <w:i/>
          <w:spacing w:val="-3"/>
          <w:sz w:val="14"/>
        </w:rPr>
        <w:t> </w:t>
      </w:r>
      <w:r>
        <w:rPr>
          <w:rFonts w:ascii="Arial"/>
          <w:i/>
          <w:sz w:val="14"/>
        </w:rPr>
        <w:t>by</w:t>
      </w:r>
      <w:r>
        <w:rPr>
          <w:rFonts w:ascii="Arial"/>
          <w:i/>
          <w:spacing w:val="-3"/>
          <w:sz w:val="14"/>
        </w:rPr>
        <w:t> </w:t>
      </w:r>
      <w:r>
        <w:rPr>
          <w:rFonts w:ascii="Arial"/>
          <w:i/>
          <w:sz w:val="14"/>
        </w:rPr>
        <w:t>the</w:t>
      </w:r>
      <w:r>
        <w:rPr>
          <w:rFonts w:ascii="Arial"/>
          <w:i/>
          <w:spacing w:val="-2"/>
          <w:sz w:val="14"/>
        </w:rPr>
        <w:t> </w:t>
      </w:r>
      <w:r>
        <w:rPr>
          <w:rFonts w:ascii="Arial"/>
          <w:i/>
          <w:sz w:val="14"/>
        </w:rPr>
        <w:t>Board</w:t>
      </w:r>
      <w:r>
        <w:rPr>
          <w:rFonts w:ascii="Arial"/>
          <w:i/>
          <w:spacing w:val="-3"/>
          <w:sz w:val="14"/>
        </w:rPr>
        <w:t> </w:t>
      </w:r>
      <w:r>
        <w:rPr>
          <w:rFonts w:ascii="Arial"/>
          <w:i/>
          <w:sz w:val="14"/>
        </w:rPr>
        <w:t>of</w:t>
      </w:r>
      <w:r>
        <w:rPr>
          <w:rFonts w:ascii="Arial"/>
          <w:i/>
          <w:spacing w:val="-2"/>
          <w:sz w:val="14"/>
        </w:rPr>
        <w:t> Governors.</w:t>
      </w:r>
    </w:p>
    <w:p>
      <w:pPr>
        <w:pStyle w:val="ListParagraph"/>
        <w:numPr>
          <w:ilvl w:val="0"/>
          <w:numId w:val="42"/>
        </w:numPr>
        <w:tabs>
          <w:tab w:pos="919" w:val="left" w:leader="none"/>
          <w:tab w:pos="952" w:val="left" w:leader="none"/>
        </w:tabs>
        <w:spacing w:line="249" w:lineRule="auto" w:before="76" w:after="0"/>
        <w:ind w:left="952" w:right="820" w:hanging="180"/>
        <w:jc w:val="left"/>
        <w:rPr>
          <w:rFonts w:ascii="Arial"/>
          <w:i/>
          <w:sz w:val="14"/>
        </w:rPr>
      </w:pPr>
      <w:r>
        <w:rPr>
          <w:rFonts w:ascii="Arial"/>
          <w:i/>
          <w:sz w:val="14"/>
        </w:rPr>
        <w:t>A</w:t>
      </w:r>
      <w:r>
        <w:rPr>
          <w:rFonts w:ascii="Arial"/>
          <w:i/>
          <w:spacing w:val="-3"/>
          <w:sz w:val="14"/>
        </w:rPr>
        <w:t> </w:t>
      </w:r>
      <w:r>
        <w:rPr>
          <w:rFonts w:ascii="Arial"/>
          <w:i/>
          <w:sz w:val="14"/>
        </w:rPr>
        <w:t>concurrent</w:t>
      </w:r>
      <w:r>
        <w:rPr>
          <w:rFonts w:ascii="Arial"/>
          <w:i/>
          <w:spacing w:val="-2"/>
          <w:sz w:val="14"/>
        </w:rPr>
        <w:t> </w:t>
      </w:r>
      <w:r>
        <w:rPr>
          <w:rFonts w:ascii="Arial"/>
          <w:i/>
          <w:sz w:val="14"/>
        </w:rPr>
        <w:t>transfer</w:t>
      </w:r>
      <w:r>
        <w:rPr>
          <w:rFonts w:ascii="Arial"/>
          <w:i/>
          <w:spacing w:val="-2"/>
          <w:sz w:val="14"/>
        </w:rPr>
        <w:t> </w:t>
      </w:r>
      <w:r>
        <w:rPr>
          <w:rFonts w:ascii="Arial"/>
          <w:i/>
          <w:sz w:val="14"/>
        </w:rPr>
        <w:t>is</w:t>
      </w:r>
      <w:r>
        <w:rPr>
          <w:rFonts w:ascii="Arial"/>
          <w:i/>
          <w:spacing w:val="-2"/>
          <w:sz w:val="14"/>
        </w:rPr>
        <w:t> </w:t>
      </w:r>
      <w:r>
        <w:rPr>
          <w:rFonts w:ascii="Arial"/>
          <w:i/>
          <w:sz w:val="14"/>
        </w:rPr>
        <w:t>made</w:t>
      </w:r>
      <w:r>
        <w:rPr>
          <w:rFonts w:ascii="Arial"/>
          <w:i/>
          <w:spacing w:val="-2"/>
          <w:sz w:val="14"/>
        </w:rPr>
        <w:t> </w:t>
      </w:r>
      <w:r>
        <w:rPr>
          <w:rFonts w:ascii="Arial"/>
          <w:i/>
          <w:sz w:val="14"/>
        </w:rPr>
        <w:t>from</w:t>
      </w:r>
      <w:r>
        <w:rPr>
          <w:rFonts w:ascii="Arial"/>
          <w:i/>
          <w:spacing w:val="-2"/>
          <w:sz w:val="14"/>
        </w:rPr>
        <w:t> </w:t>
      </w:r>
      <w:r>
        <w:rPr>
          <w:rFonts w:ascii="Arial"/>
          <w:i/>
          <w:sz w:val="14"/>
        </w:rPr>
        <w:t>Surplus</w:t>
      </w:r>
      <w:r>
        <w:rPr>
          <w:rFonts w:ascii="Arial"/>
          <w:i/>
          <w:spacing w:val="-2"/>
          <w:sz w:val="14"/>
        </w:rPr>
        <w:t> </w:t>
      </w:r>
      <w:r>
        <w:rPr>
          <w:rFonts w:ascii="Arial"/>
          <w:i/>
          <w:sz w:val="14"/>
        </w:rPr>
        <w:t>to</w:t>
      </w:r>
      <w:r>
        <w:rPr>
          <w:rFonts w:ascii="Arial"/>
          <w:i/>
          <w:spacing w:val="-2"/>
          <w:sz w:val="14"/>
        </w:rPr>
        <w:t> </w:t>
      </w:r>
      <w:r>
        <w:rPr>
          <w:rFonts w:ascii="Arial"/>
          <w:i/>
          <w:sz w:val="14"/>
        </w:rPr>
        <w:t>Unallocated</w:t>
      </w:r>
      <w:r>
        <w:rPr>
          <w:rFonts w:ascii="Arial"/>
          <w:i/>
          <w:spacing w:val="-2"/>
          <w:sz w:val="14"/>
        </w:rPr>
        <w:t> </w:t>
      </w:r>
      <w:r>
        <w:rPr>
          <w:rFonts w:ascii="Arial"/>
          <w:i/>
          <w:sz w:val="14"/>
        </w:rPr>
        <w:t>Net</w:t>
      </w:r>
      <w:r>
        <w:rPr>
          <w:rFonts w:ascii="Arial"/>
          <w:i/>
          <w:spacing w:val="-2"/>
          <w:sz w:val="14"/>
        </w:rPr>
        <w:t> </w:t>
      </w:r>
      <w:r>
        <w:rPr>
          <w:rFonts w:ascii="Arial"/>
          <w:i/>
          <w:sz w:val="14"/>
        </w:rPr>
        <w:t>Income</w:t>
      </w:r>
      <w:r>
        <w:rPr>
          <w:rFonts w:ascii="Arial"/>
          <w:i/>
          <w:spacing w:val="-2"/>
          <w:sz w:val="14"/>
        </w:rPr>
        <w:t> </w:t>
      </w:r>
      <w:r>
        <w:rPr>
          <w:rFonts w:ascii="Arial"/>
          <w:i/>
          <w:sz w:val="14"/>
        </w:rPr>
        <w:t>(Loss)</w:t>
      </w:r>
      <w:r>
        <w:rPr>
          <w:rFonts w:ascii="Arial"/>
          <w:i/>
          <w:spacing w:val="-2"/>
          <w:sz w:val="14"/>
        </w:rPr>
        <w:t> </w:t>
      </w:r>
      <w:r>
        <w:rPr>
          <w:rFonts w:ascii="Arial"/>
          <w:i/>
          <w:sz w:val="14"/>
        </w:rPr>
        <w:t>for</w:t>
      </w:r>
      <w:r>
        <w:rPr>
          <w:rFonts w:ascii="Arial"/>
          <w:i/>
          <w:spacing w:val="-2"/>
          <w:sz w:val="14"/>
        </w:rPr>
        <w:t> </w:t>
      </w:r>
      <w:r>
        <w:rPr>
          <w:rFonts w:ascii="Arial"/>
          <w:i/>
          <w:sz w:val="14"/>
        </w:rPr>
        <w:t>all</w:t>
      </w:r>
      <w:r>
        <w:rPr>
          <w:rFonts w:ascii="Arial"/>
          <w:i/>
          <w:spacing w:val="-2"/>
          <w:sz w:val="14"/>
        </w:rPr>
        <w:t> </w:t>
      </w:r>
      <w:r>
        <w:rPr>
          <w:rFonts w:ascii="Arial"/>
          <w:i/>
          <w:sz w:val="14"/>
        </w:rPr>
        <w:t>transfers</w:t>
      </w:r>
      <w:r>
        <w:rPr>
          <w:rFonts w:ascii="Arial"/>
          <w:i/>
          <w:spacing w:val="-2"/>
          <w:sz w:val="14"/>
        </w:rPr>
        <w:t> </w:t>
      </w:r>
      <w:r>
        <w:rPr>
          <w:rFonts w:ascii="Arial"/>
          <w:i/>
          <w:sz w:val="14"/>
        </w:rPr>
        <w:t>reported</w:t>
      </w:r>
      <w:r>
        <w:rPr>
          <w:rFonts w:ascii="Arial"/>
          <w:i/>
          <w:spacing w:val="-2"/>
          <w:sz w:val="14"/>
        </w:rPr>
        <w:t> </w:t>
      </w:r>
      <w:r>
        <w:rPr>
          <w:rFonts w:ascii="Arial"/>
          <w:i/>
          <w:sz w:val="14"/>
        </w:rPr>
        <w:t>in</w:t>
      </w:r>
      <w:r>
        <w:rPr>
          <w:rFonts w:ascii="Arial"/>
          <w:i/>
          <w:spacing w:val="-2"/>
          <w:sz w:val="14"/>
        </w:rPr>
        <w:t> </w:t>
      </w:r>
      <w:r>
        <w:rPr>
          <w:rFonts w:ascii="Arial"/>
          <w:i/>
          <w:sz w:val="14"/>
        </w:rPr>
        <w:t>the</w:t>
      </w:r>
      <w:r>
        <w:rPr>
          <w:rFonts w:ascii="Arial"/>
          <w:i/>
          <w:spacing w:val="-2"/>
          <w:sz w:val="14"/>
        </w:rPr>
        <w:t> </w:t>
      </w:r>
      <w:r>
        <w:rPr>
          <w:rFonts w:ascii="Arial"/>
          <w:i/>
          <w:sz w:val="14"/>
        </w:rPr>
        <w:t>Statements</w:t>
      </w:r>
      <w:r>
        <w:rPr>
          <w:rFonts w:ascii="Arial"/>
          <w:i/>
          <w:spacing w:val="-2"/>
          <w:sz w:val="14"/>
        </w:rPr>
        <w:t> </w:t>
      </w:r>
      <w:r>
        <w:rPr>
          <w:rFonts w:ascii="Arial"/>
          <w:i/>
          <w:sz w:val="14"/>
        </w:rPr>
        <w:t>of</w:t>
      </w:r>
      <w:r>
        <w:rPr>
          <w:rFonts w:ascii="Arial"/>
          <w:i/>
          <w:spacing w:val="-2"/>
          <w:sz w:val="14"/>
        </w:rPr>
        <w:t> </w:t>
      </w:r>
      <w:r>
        <w:rPr>
          <w:rFonts w:ascii="Arial"/>
          <w:i/>
          <w:sz w:val="14"/>
        </w:rPr>
        <w:t>Income</w:t>
      </w:r>
      <w:r>
        <w:rPr>
          <w:rFonts w:ascii="Arial"/>
          <w:i/>
          <w:spacing w:val="-2"/>
          <w:sz w:val="14"/>
        </w:rPr>
        <w:t> </w:t>
      </w:r>
      <w:r>
        <w:rPr>
          <w:rFonts w:ascii="Arial"/>
          <w:i/>
          <w:sz w:val="14"/>
        </w:rPr>
        <w:t>and</w:t>
      </w:r>
      <w:r>
        <w:rPr>
          <w:rFonts w:ascii="Arial"/>
          <w:i/>
          <w:spacing w:val="-2"/>
          <w:sz w:val="14"/>
        </w:rPr>
        <w:t> </w:t>
      </w:r>
      <w:r>
        <w:rPr>
          <w:rFonts w:ascii="Arial"/>
          <w:i/>
          <w:sz w:val="14"/>
        </w:rPr>
        <w:t>authorized</w:t>
      </w:r>
      <w:r>
        <w:rPr>
          <w:rFonts w:ascii="Arial"/>
          <w:i/>
          <w:spacing w:val="40"/>
          <w:sz w:val="14"/>
        </w:rPr>
        <w:t> </w:t>
      </w:r>
      <w:r>
        <w:rPr>
          <w:rFonts w:ascii="Arial"/>
          <w:i/>
          <w:sz w:val="14"/>
        </w:rPr>
        <w:t>to be funded from Surplus.</w:t>
      </w:r>
    </w:p>
    <w:p>
      <w:pPr>
        <w:pStyle w:val="ListParagraph"/>
        <w:numPr>
          <w:ilvl w:val="0"/>
          <w:numId w:val="42"/>
        </w:numPr>
        <w:tabs>
          <w:tab w:pos="926" w:val="left" w:leader="none"/>
        </w:tabs>
        <w:spacing w:line="240" w:lineRule="auto" w:before="58" w:after="0"/>
        <w:ind w:left="926" w:right="0" w:hanging="154"/>
        <w:jc w:val="left"/>
        <w:rPr>
          <w:rFonts w:ascii="Arial"/>
          <w:i/>
          <w:sz w:val="14"/>
        </w:rPr>
      </w:pPr>
      <w:r>
        <w:rPr>
          <w:rFonts w:ascii="Arial"/>
          <w:i/>
          <w:sz w:val="14"/>
        </w:rPr>
        <w:t>May</w:t>
      </w:r>
      <w:r>
        <w:rPr>
          <w:rFonts w:ascii="Arial"/>
          <w:i/>
          <w:spacing w:val="-3"/>
          <w:sz w:val="14"/>
        </w:rPr>
        <w:t> </w:t>
      </w:r>
      <w:r>
        <w:rPr>
          <w:rFonts w:ascii="Arial"/>
          <w:i/>
          <w:sz w:val="14"/>
        </w:rPr>
        <w:t>differ</w:t>
      </w:r>
      <w:r>
        <w:rPr>
          <w:rFonts w:ascii="Arial"/>
          <w:i/>
          <w:spacing w:val="-2"/>
          <w:sz w:val="14"/>
        </w:rPr>
        <w:t> </w:t>
      </w:r>
      <w:r>
        <w:rPr>
          <w:rFonts w:ascii="Arial"/>
          <w:i/>
          <w:sz w:val="14"/>
        </w:rPr>
        <w:t>from</w:t>
      </w:r>
      <w:r>
        <w:rPr>
          <w:rFonts w:ascii="Arial"/>
          <w:i/>
          <w:spacing w:val="-2"/>
          <w:sz w:val="14"/>
        </w:rPr>
        <w:t> </w:t>
      </w:r>
      <w:r>
        <w:rPr>
          <w:rFonts w:ascii="Arial"/>
          <w:i/>
          <w:sz w:val="14"/>
        </w:rPr>
        <w:t>the</w:t>
      </w:r>
      <w:r>
        <w:rPr>
          <w:rFonts w:ascii="Arial"/>
          <w:i/>
          <w:spacing w:val="-2"/>
          <w:sz w:val="14"/>
        </w:rPr>
        <w:t> </w:t>
      </w:r>
      <w:r>
        <w:rPr>
          <w:rFonts w:ascii="Arial"/>
          <w:i/>
          <w:sz w:val="14"/>
        </w:rPr>
        <w:t>sum</w:t>
      </w:r>
      <w:r>
        <w:rPr>
          <w:rFonts w:ascii="Arial"/>
          <w:i/>
          <w:spacing w:val="-2"/>
          <w:sz w:val="14"/>
        </w:rPr>
        <w:t> </w:t>
      </w:r>
      <w:r>
        <w:rPr>
          <w:rFonts w:ascii="Arial"/>
          <w:i/>
          <w:sz w:val="14"/>
        </w:rPr>
        <w:t>of</w:t>
      </w:r>
      <w:r>
        <w:rPr>
          <w:rFonts w:ascii="Arial"/>
          <w:i/>
          <w:spacing w:val="-3"/>
          <w:sz w:val="14"/>
        </w:rPr>
        <w:t> </w:t>
      </w:r>
      <w:r>
        <w:rPr>
          <w:rFonts w:ascii="Arial"/>
          <w:i/>
          <w:sz w:val="14"/>
        </w:rPr>
        <w:t>individual</w:t>
      </w:r>
      <w:r>
        <w:rPr>
          <w:rFonts w:ascii="Arial"/>
          <w:i/>
          <w:spacing w:val="-2"/>
          <w:sz w:val="14"/>
        </w:rPr>
        <w:t> </w:t>
      </w:r>
      <w:r>
        <w:rPr>
          <w:rFonts w:ascii="Arial"/>
          <w:i/>
          <w:sz w:val="14"/>
        </w:rPr>
        <w:t>figures</w:t>
      </w:r>
      <w:r>
        <w:rPr>
          <w:rFonts w:ascii="Arial"/>
          <w:i/>
          <w:spacing w:val="-2"/>
          <w:sz w:val="14"/>
        </w:rPr>
        <w:t> </w:t>
      </w:r>
      <w:r>
        <w:rPr>
          <w:rFonts w:ascii="Arial"/>
          <w:i/>
          <w:sz w:val="14"/>
        </w:rPr>
        <w:t>due</w:t>
      </w:r>
      <w:r>
        <w:rPr>
          <w:rFonts w:ascii="Arial"/>
          <w:i/>
          <w:spacing w:val="-2"/>
          <w:sz w:val="14"/>
        </w:rPr>
        <w:t> </w:t>
      </w:r>
      <w:r>
        <w:rPr>
          <w:rFonts w:ascii="Arial"/>
          <w:i/>
          <w:sz w:val="14"/>
        </w:rPr>
        <w:t>to</w:t>
      </w:r>
      <w:r>
        <w:rPr>
          <w:rFonts w:ascii="Arial"/>
          <w:i/>
          <w:spacing w:val="-2"/>
          <w:sz w:val="14"/>
        </w:rPr>
        <w:t> rounding.</w:t>
      </w:r>
    </w:p>
    <w:p>
      <w:pPr>
        <w:pStyle w:val="ListParagraph"/>
        <w:numPr>
          <w:ilvl w:val="0"/>
          <w:numId w:val="42"/>
        </w:numPr>
        <w:tabs>
          <w:tab w:pos="926" w:val="left" w:leader="none"/>
          <w:tab w:pos="952" w:val="left" w:leader="none"/>
        </w:tabs>
        <w:spacing w:line="249" w:lineRule="auto" w:before="76" w:after="0"/>
        <w:ind w:left="952" w:right="804" w:hanging="180"/>
        <w:jc w:val="left"/>
        <w:rPr>
          <w:rFonts w:ascii="Arial"/>
          <w:i/>
          <w:sz w:val="14"/>
        </w:rPr>
      </w:pPr>
      <w:r>
        <w:rPr>
          <w:rFonts w:ascii="Arial"/>
          <w:i/>
          <w:sz w:val="14"/>
        </w:rPr>
        <w:t>Comprised</w:t>
      </w:r>
      <w:r>
        <w:rPr>
          <w:rFonts w:ascii="Arial"/>
          <w:i/>
          <w:spacing w:val="-2"/>
          <w:sz w:val="14"/>
        </w:rPr>
        <w:t> </w:t>
      </w:r>
      <w:r>
        <w:rPr>
          <w:rFonts w:ascii="Arial"/>
          <w:i/>
          <w:sz w:val="14"/>
        </w:rPr>
        <w:t>of</w:t>
      </w:r>
      <w:r>
        <w:rPr>
          <w:rFonts w:ascii="Arial"/>
          <w:i/>
          <w:spacing w:val="-2"/>
          <w:sz w:val="14"/>
        </w:rPr>
        <w:t> </w:t>
      </w:r>
      <w:r>
        <w:rPr>
          <w:rFonts w:ascii="Arial"/>
          <w:i/>
          <w:sz w:val="14"/>
        </w:rPr>
        <w:t>non-functional</w:t>
      </w:r>
      <w:r>
        <w:rPr>
          <w:rFonts w:ascii="Arial"/>
          <w:i/>
          <w:spacing w:val="-2"/>
          <w:sz w:val="14"/>
        </w:rPr>
        <w:t> </w:t>
      </w:r>
      <w:r>
        <w:rPr>
          <w:rFonts w:ascii="Arial"/>
          <w:i/>
          <w:sz w:val="14"/>
        </w:rPr>
        <w:t>currency</w:t>
      </w:r>
      <w:r>
        <w:rPr>
          <w:rFonts w:ascii="Arial"/>
          <w:i/>
          <w:spacing w:val="-2"/>
          <w:sz w:val="14"/>
        </w:rPr>
        <w:t> </w:t>
      </w:r>
      <w:r>
        <w:rPr>
          <w:rFonts w:ascii="Arial"/>
          <w:i/>
          <w:sz w:val="14"/>
        </w:rPr>
        <w:t>translation</w:t>
      </w:r>
      <w:r>
        <w:rPr>
          <w:rFonts w:ascii="Arial"/>
          <w:i/>
          <w:spacing w:val="-2"/>
          <w:sz w:val="14"/>
        </w:rPr>
        <w:t> </w:t>
      </w:r>
      <w:r>
        <w:rPr>
          <w:rFonts w:ascii="Arial"/>
          <w:i/>
          <w:sz w:val="14"/>
        </w:rPr>
        <w:t>gains/losses,</w:t>
      </w:r>
      <w:r>
        <w:rPr>
          <w:rFonts w:ascii="Arial"/>
          <w:i/>
          <w:spacing w:val="-2"/>
          <w:sz w:val="14"/>
        </w:rPr>
        <w:t> </w:t>
      </w:r>
      <w:r>
        <w:rPr>
          <w:rFonts w:ascii="Arial"/>
          <w:i/>
          <w:sz w:val="14"/>
        </w:rPr>
        <w:t>the</w:t>
      </w:r>
      <w:r>
        <w:rPr>
          <w:rFonts w:ascii="Arial"/>
          <w:i/>
          <w:spacing w:val="-2"/>
          <w:sz w:val="14"/>
        </w:rPr>
        <w:t> </w:t>
      </w:r>
      <w:r>
        <w:rPr>
          <w:rFonts w:ascii="Arial"/>
          <w:i/>
          <w:sz w:val="14"/>
        </w:rPr>
        <w:t>unutilized</w:t>
      </w:r>
      <w:r>
        <w:rPr>
          <w:rFonts w:ascii="Arial"/>
          <w:i/>
          <w:spacing w:val="-2"/>
          <w:sz w:val="14"/>
        </w:rPr>
        <w:t> </w:t>
      </w:r>
      <w:r>
        <w:rPr>
          <w:rFonts w:ascii="Arial"/>
          <w:i/>
          <w:sz w:val="14"/>
        </w:rPr>
        <w:t>portion</w:t>
      </w:r>
      <w:r>
        <w:rPr>
          <w:rFonts w:ascii="Arial"/>
          <w:i/>
          <w:spacing w:val="-2"/>
          <w:sz w:val="14"/>
        </w:rPr>
        <w:t> </w:t>
      </w:r>
      <w:r>
        <w:rPr>
          <w:rFonts w:ascii="Arial"/>
          <w:i/>
          <w:sz w:val="14"/>
        </w:rPr>
        <w:t>of</w:t>
      </w:r>
      <w:r>
        <w:rPr>
          <w:rFonts w:ascii="Arial"/>
          <w:i/>
          <w:spacing w:val="-2"/>
          <w:sz w:val="14"/>
        </w:rPr>
        <w:t> </w:t>
      </w:r>
      <w:r>
        <w:rPr>
          <w:rFonts w:ascii="Arial"/>
          <w:i/>
          <w:sz w:val="14"/>
        </w:rPr>
        <w:t>the</w:t>
      </w:r>
      <w:r>
        <w:rPr>
          <w:rFonts w:ascii="Arial"/>
          <w:i/>
          <w:spacing w:val="-2"/>
          <w:sz w:val="14"/>
        </w:rPr>
        <w:t> </w:t>
      </w:r>
      <w:r>
        <w:rPr>
          <w:rFonts w:ascii="Arial"/>
          <w:i/>
          <w:sz w:val="14"/>
        </w:rPr>
        <w:t>transfer</w:t>
      </w:r>
      <w:r>
        <w:rPr>
          <w:rFonts w:ascii="Arial"/>
          <w:i/>
          <w:spacing w:val="-2"/>
          <w:sz w:val="14"/>
        </w:rPr>
        <w:t> </w:t>
      </w:r>
      <w:r>
        <w:rPr>
          <w:rFonts w:ascii="Arial"/>
          <w:i/>
          <w:sz w:val="14"/>
        </w:rPr>
        <w:t>to</w:t>
      </w:r>
      <w:r>
        <w:rPr>
          <w:rFonts w:ascii="Arial"/>
          <w:i/>
          <w:spacing w:val="-2"/>
          <w:sz w:val="14"/>
        </w:rPr>
        <w:t> </w:t>
      </w:r>
      <w:r>
        <w:rPr>
          <w:rFonts w:ascii="Arial"/>
          <w:i/>
          <w:sz w:val="14"/>
        </w:rPr>
        <w:t>the</w:t>
      </w:r>
      <w:r>
        <w:rPr>
          <w:rFonts w:ascii="Arial"/>
          <w:i/>
          <w:spacing w:val="-2"/>
          <w:sz w:val="14"/>
        </w:rPr>
        <w:t> </w:t>
      </w:r>
      <w:r>
        <w:rPr>
          <w:rFonts w:ascii="Arial"/>
          <w:i/>
          <w:sz w:val="14"/>
        </w:rPr>
        <w:t>GPG</w:t>
      </w:r>
      <w:r>
        <w:rPr>
          <w:rFonts w:ascii="Arial"/>
          <w:i/>
          <w:spacing w:val="-2"/>
          <w:sz w:val="14"/>
        </w:rPr>
        <w:t> </w:t>
      </w:r>
      <w:r>
        <w:rPr>
          <w:rFonts w:ascii="Arial"/>
          <w:i/>
          <w:sz w:val="14"/>
        </w:rPr>
        <w:t>Fund,</w:t>
      </w:r>
      <w:r>
        <w:rPr>
          <w:rFonts w:ascii="Arial"/>
          <w:i/>
          <w:spacing w:val="-2"/>
          <w:sz w:val="14"/>
        </w:rPr>
        <w:t> </w:t>
      </w:r>
      <w:r>
        <w:rPr>
          <w:rFonts w:ascii="Arial"/>
          <w:i/>
          <w:sz w:val="14"/>
        </w:rPr>
        <w:t>and</w:t>
      </w:r>
      <w:r>
        <w:rPr>
          <w:rFonts w:ascii="Arial"/>
          <w:i/>
          <w:spacing w:val="-2"/>
          <w:sz w:val="14"/>
        </w:rPr>
        <w:t> </w:t>
      </w:r>
      <w:r>
        <w:rPr>
          <w:rFonts w:ascii="Arial"/>
          <w:i/>
          <w:sz w:val="14"/>
        </w:rPr>
        <w:t>revenue</w:t>
      </w:r>
      <w:r>
        <w:rPr>
          <w:rFonts w:ascii="Arial"/>
          <w:i/>
          <w:spacing w:val="-2"/>
          <w:sz w:val="14"/>
        </w:rPr>
        <w:t> </w:t>
      </w:r>
      <w:r>
        <w:rPr>
          <w:rFonts w:ascii="Arial"/>
          <w:i/>
          <w:sz w:val="14"/>
        </w:rPr>
        <w:t>from</w:t>
      </w:r>
      <w:r>
        <w:rPr>
          <w:rFonts w:ascii="Arial"/>
          <w:i/>
          <w:spacing w:val="-2"/>
          <w:sz w:val="14"/>
        </w:rPr>
        <w:t> </w:t>
      </w:r>
      <w:r>
        <w:rPr>
          <w:rFonts w:ascii="Arial"/>
          <w:i/>
          <w:sz w:val="14"/>
        </w:rPr>
        <w:t>prior</w:t>
      </w:r>
      <w:r>
        <w:rPr>
          <w:rFonts w:ascii="Arial"/>
          <w:i/>
          <w:spacing w:val="-2"/>
          <w:sz w:val="14"/>
        </w:rPr>
        <w:t> </w:t>
      </w:r>
      <w:r>
        <w:rPr>
          <w:rFonts w:ascii="Arial"/>
          <w:i/>
          <w:sz w:val="14"/>
        </w:rPr>
        <w:t>years</w:t>
      </w:r>
      <w:r>
        <w:rPr>
          <w:rFonts w:ascii="Arial"/>
          <w:i/>
          <w:spacing w:val="40"/>
          <w:sz w:val="14"/>
        </w:rPr>
        <w:t> </w:t>
      </w:r>
      <w:r>
        <w:rPr>
          <w:rFonts w:ascii="Arial"/>
          <w:i/>
          <w:sz w:val="14"/>
        </w:rPr>
        <w:t>which is set aside for a dedicated purpose.</w:t>
      </w:r>
    </w:p>
    <w:p>
      <w:pPr>
        <w:pStyle w:val="BodyText"/>
        <w:spacing w:before="34"/>
        <w:rPr>
          <w:rFonts w:ascii="Arial"/>
          <w:i/>
          <w:sz w:val="14"/>
        </w:rPr>
      </w:pPr>
    </w:p>
    <w:p>
      <w:pPr>
        <w:pStyle w:val="BodyText"/>
        <w:spacing w:line="249" w:lineRule="auto"/>
        <w:ind w:left="720" w:right="719"/>
        <w:jc w:val="both"/>
      </w:pPr>
      <w:r>
        <w:rPr/>
        <w:t>IBRD makes net income allocation decisions on the basis of reported net income, adjusted to exclude unrealized mark-to-market</w:t>
      </w:r>
      <w:r>
        <w:rPr>
          <w:spacing w:val="-1"/>
        </w:rPr>
        <w:t> </w:t>
      </w:r>
      <w:r>
        <w:rPr/>
        <w:t>gains</w:t>
      </w:r>
      <w:r>
        <w:rPr>
          <w:spacing w:val="-1"/>
        </w:rPr>
        <w:t> </w:t>
      </w:r>
      <w:r>
        <w:rPr/>
        <w:t>and</w:t>
      </w:r>
      <w:r>
        <w:rPr>
          <w:spacing w:val="-1"/>
        </w:rPr>
        <w:t> </w:t>
      </w:r>
      <w:r>
        <w:rPr/>
        <w:t>losses</w:t>
      </w:r>
      <w:r>
        <w:rPr>
          <w:spacing w:val="-1"/>
        </w:rPr>
        <w:t> </w:t>
      </w:r>
      <w:r>
        <w:rPr/>
        <w:t>on</w:t>
      </w:r>
      <w:r>
        <w:rPr>
          <w:spacing w:val="-1"/>
        </w:rPr>
        <w:t> </w:t>
      </w:r>
      <w:r>
        <w:rPr/>
        <w:t>non-trading</w:t>
      </w:r>
      <w:r>
        <w:rPr>
          <w:spacing w:val="-1"/>
        </w:rPr>
        <w:t> </w:t>
      </w:r>
      <w:r>
        <w:rPr/>
        <w:t>portfolios,</w:t>
      </w:r>
      <w:r>
        <w:rPr>
          <w:spacing w:val="-1"/>
        </w:rPr>
        <w:t> </w:t>
      </w:r>
      <w:r>
        <w:rPr/>
        <w:t>net,</w:t>
      </w:r>
      <w:r>
        <w:rPr>
          <w:spacing w:val="-1"/>
        </w:rPr>
        <w:t> </w:t>
      </w:r>
      <w:r>
        <w:rPr/>
        <w:t>restricted</w:t>
      </w:r>
      <w:r>
        <w:rPr>
          <w:spacing w:val="-1"/>
        </w:rPr>
        <w:t> </w:t>
      </w:r>
      <w:r>
        <w:rPr/>
        <w:t>income,</w:t>
      </w:r>
      <w:r>
        <w:rPr>
          <w:spacing w:val="-1"/>
        </w:rPr>
        <w:t> </w:t>
      </w:r>
      <w:r>
        <w:rPr/>
        <w:t>Board</w:t>
      </w:r>
      <w:r>
        <w:rPr>
          <w:spacing w:val="-1"/>
        </w:rPr>
        <w:t> </w:t>
      </w:r>
      <w:r>
        <w:rPr/>
        <w:t>of</w:t>
      </w:r>
      <w:r>
        <w:rPr>
          <w:spacing w:val="-1"/>
        </w:rPr>
        <w:t> </w:t>
      </w:r>
      <w:r>
        <w:rPr/>
        <w:t>Governors-approved</w:t>
      </w:r>
      <w:r>
        <w:rPr>
          <w:spacing w:val="-1"/>
        </w:rPr>
        <w:t> </w:t>
      </w:r>
      <w:r>
        <w:rPr/>
        <w:t>and other transfers, non-functional currency translation adjustments and the allocation to the pension reserve.</w:t>
      </w:r>
    </w:p>
    <w:p>
      <w:pPr>
        <w:pStyle w:val="BodyText"/>
        <w:spacing w:line="232" w:lineRule="auto" w:before="128"/>
        <w:ind w:left="720" w:right="718"/>
        <w:jc w:val="both"/>
      </w:pPr>
      <w:r>
        <w:rPr/>
        <w:t>On August 4, 2022, IBRD’s Executive Directors approved the following adjustments and allocations relating to the net income earned in the fiscal year ended June 30, 2022, to arrive at allocable income for that fiscal year:</w:t>
      </w:r>
    </w:p>
    <w:p>
      <w:pPr>
        <w:pStyle w:val="BodyText"/>
        <w:spacing w:before="78"/>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36"/>
        <w:gridCol w:w="158"/>
        <w:gridCol w:w="1464"/>
      </w:tblGrid>
      <w:tr>
        <w:trPr>
          <w:trHeight w:val="175" w:hRule="atLeast"/>
        </w:trPr>
        <w:tc>
          <w:tcPr>
            <w:tcW w:w="7736" w:type="dxa"/>
            <w:tcBorders>
              <w:bottom w:val="single" w:sz="8" w:space="0" w:color="000000"/>
            </w:tcBorders>
          </w:tcPr>
          <w:p>
            <w:pPr>
              <w:pStyle w:val="TableParagraph"/>
              <w:spacing w:line="156" w:lineRule="exact"/>
              <w:ind w:left="52"/>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c>
        <w:tc>
          <w:tcPr>
            <w:tcW w:w="1622" w:type="dxa"/>
            <w:gridSpan w:val="2"/>
            <w:tcBorders>
              <w:bottom w:val="single" w:sz="8" w:space="0" w:color="000000"/>
            </w:tcBorders>
          </w:tcPr>
          <w:p>
            <w:pPr>
              <w:pStyle w:val="TableParagraph"/>
              <w:rPr>
                <w:rFonts w:ascii="Times New Roman"/>
                <w:sz w:val="10"/>
              </w:rPr>
            </w:pPr>
          </w:p>
        </w:tc>
      </w:tr>
      <w:tr>
        <w:trPr>
          <w:trHeight w:val="205" w:hRule="atLeast"/>
        </w:trPr>
        <w:tc>
          <w:tcPr>
            <w:tcW w:w="7736" w:type="dxa"/>
            <w:tcBorders>
              <w:top w:val="single" w:sz="8" w:space="0" w:color="000000"/>
              <w:bottom w:val="single" w:sz="8" w:space="0" w:color="000000"/>
            </w:tcBorders>
          </w:tcPr>
          <w:p>
            <w:pPr>
              <w:pStyle w:val="TableParagraph"/>
              <w:spacing w:line="161" w:lineRule="exact" w:before="24"/>
              <w:ind w:left="52"/>
              <w:rPr>
                <w:rFonts w:ascii="Arial"/>
                <w:b/>
                <w:sz w:val="14"/>
              </w:rPr>
            </w:pPr>
            <w:r>
              <w:rPr>
                <w:rFonts w:ascii="Arial"/>
                <w:b/>
                <w:sz w:val="14"/>
              </w:rPr>
              <w:t>Adjustments</w:t>
            </w:r>
            <w:r>
              <w:rPr>
                <w:rFonts w:ascii="Arial"/>
                <w:b/>
                <w:spacing w:val="-5"/>
                <w:sz w:val="14"/>
              </w:rPr>
              <w:t> </w:t>
            </w:r>
            <w:r>
              <w:rPr>
                <w:rFonts w:ascii="Arial"/>
                <w:b/>
                <w:sz w:val="14"/>
              </w:rPr>
              <w:t>and</w:t>
            </w:r>
            <w:r>
              <w:rPr>
                <w:rFonts w:ascii="Arial"/>
                <w:b/>
                <w:spacing w:val="-2"/>
                <w:sz w:val="14"/>
              </w:rPr>
              <w:t> Allocations</w:t>
            </w:r>
          </w:p>
        </w:tc>
        <w:tc>
          <w:tcPr>
            <w:tcW w:w="158" w:type="dxa"/>
            <w:tcBorders>
              <w:top w:val="single" w:sz="8" w:space="0" w:color="000000"/>
              <w:bottom w:val="single" w:sz="8" w:space="0" w:color="000000"/>
            </w:tcBorders>
          </w:tcPr>
          <w:p>
            <w:pPr>
              <w:pStyle w:val="TableParagraph"/>
              <w:rPr>
                <w:rFonts w:ascii="Times New Roman"/>
                <w:sz w:val="14"/>
              </w:rPr>
            </w:pPr>
          </w:p>
        </w:tc>
        <w:tc>
          <w:tcPr>
            <w:tcW w:w="1464" w:type="dxa"/>
            <w:tcBorders>
              <w:top w:val="single" w:sz="8" w:space="0" w:color="000000"/>
              <w:bottom w:val="single" w:sz="8" w:space="0" w:color="000000"/>
            </w:tcBorders>
          </w:tcPr>
          <w:p>
            <w:pPr>
              <w:pStyle w:val="TableParagraph"/>
              <w:spacing w:line="161" w:lineRule="exact" w:before="24"/>
              <w:ind w:left="10"/>
              <w:rPr>
                <w:rFonts w:ascii="Arial"/>
                <w:b/>
                <w:sz w:val="14"/>
              </w:rPr>
            </w:pPr>
            <w:r>
              <w:rPr>
                <w:rFonts w:ascii="Arial"/>
                <w:b/>
                <w:sz w:val="14"/>
              </w:rPr>
              <w:t>Increase</w:t>
            </w:r>
            <w:r>
              <w:rPr>
                <w:rFonts w:ascii="Arial"/>
                <w:b/>
                <w:spacing w:val="-5"/>
                <w:sz w:val="14"/>
              </w:rPr>
              <w:t> </w:t>
            </w:r>
            <w:r>
              <w:rPr>
                <w:rFonts w:ascii="Arial"/>
                <w:b/>
                <w:spacing w:val="-2"/>
                <w:sz w:val="14"/>
              </w:rPr>
              <w:t>(decrease)</w:t>
            </w:r>
          </w:p>
        </w:tc>
      </w:tr>
      <w:tr>
        <w:trPr>
          <w:trHeight w:val="393" w:hRule="atLeast"/>
        </w:trPr>
        <w:tc>
          <w:tcPr>
            <w:tcW w:w="7736" w:type="dxa"/>
            <w:tcBorders>
              <w:top w:val="single" w:sz="8" w:space="0" w:color="000000"/>
            </w:tcBorders>
          </w:tcPr>
          <w:p>
            <w:pPr>
              <w:pStyle w:val="TableParagraph"/>
              <w:spacing w:line="249" w:lineRule="auto" w:before="36"/>
              <w:ind w:left="52"/>
              <w:rPr>
                <w:sz w:val="14"/>
              </w:rPr>
            </w:pPr>
            <w:r>
              <w:rPr>
                <w:sz w:val="14"/>
              </w:rPr>
              <w:t>Cumulative</w:t>
            </w:r>
            <w:r>
              <w:rPr>
                <w:spacing w:val="-5"/>
                <w:sz w:val="14"/>
              </w:rPr>
              <w:t> </w:t>
            </w:r>
            <w:r>
              <w:rPr>
                <w:sz w:val="14"/>
              </w:rPr>
              <w:t>Fair</w:t>
            </w:r>
            <w:r>
              <w:rPr>
                <w:spacing w:val="-4"/>
                <w:sz w:val="14"/>
              </w:rPr>
              <w:t> </w:t>
            </w:r>
            <w:r>
              <w:rPr>
                <w:sz w:val="14"/>
              </w:rPr>
              <w:t>Value</w:t>
            </w:r>
            <w:r>
              <w:rPr>
                <w:spacing w:val="-10"/>
                <w:sz w:val="14"/>
              </w:rPr>
              <w:t> </w:t>
            </w:r>
            <w:r>
              <w:rPr>
                <w:sz w:val="14"/>
              </w:rPr>
              <w:t>Adjustments,</w:t>
            </w:r>
            <w:r>
              <w:rPr>
                <w:spacing w:val="-4"/>
                <w:sz w:val="14"/>
              </w:rPr>
              <w:t> </w:t>
            </w:r>
            <w:r>
              <w:rPr>
                <w:sz w:val="14"/>
              </w:rPr>
              <w:t>for</w:t>
            </w:r>
            <w:r>
              <w:rPr>
                <w:spacing w:val="-4"/>
                <w:sz w:val="14"/>
              </w:rPr>
              <w:t> </w:t>
            </w:r>
            <w:r>
              <w:rPr>
                <w:sz w:val="14"/>
              </w:rPr>
              <w:t>the</w:t>
            </w:r>
            <w:r>
              <w:rPr>
                <w:spacing w:val="-4"/>
                <w:sz w:val="14"/>
              </w:rPr>
              <w:t> </w:t>
            </w:r>
            <w:r>
              <w:rPr>
                <w:sz w:val="14"/>
              </w:rPr>
              <w:t>Unrealized</w:t>
            </w:r>
            <w:r>
              <w:rPr>
                <w:spacing w:val="-4"/>
                <w:sz w:val="14"/>
              </w:rPr>
              <w:t> </w:t>
            </w:r>
            <w:r>
              <w:rPr>
                <w:sz w:val="14"/>
              </w:rPr>
              <w:t>mark-to-market</w:t>
            </w:r>
            <w:r>
              <w:rPr>
                <w:spacing w:val="-4"/>
                <w:sz w:val="14"/>
              </w:rPr>
              <w:t> </w:t>
            </w:r>
            <w:r>
              <w:rPr>
                <w:sz w:val="14"/>
              </w:rPr>
              <w:t>gain</w:t>
            </w:r>
            <w:r>
              <w:rPr>
                <w:spacing w:val="-4"/>
                <w:sz w:val="14"/>
              </w:rPr>
              <w:t> </w:t>
            </w:r>
            <w:r>
              <w:rPr>
                <w:sz w:val="14"/>
              </w:rPr>
              <w:t>on</w:t>
            </w:r>
            <w:r>
              <w:rPr>
                <w:spacing w:val="-4"/>
                <w:sz w:val="14"/>
              </w:rPr>
              <w:t> </w:t>
            </w:r>
            <w:r>
              <w:rPr>
                <w:sz w:val="14"/>
              </w:rPr>
              <w:t>non-trading</w:t>
            </w:r>
            <w:r>
              <w:rPr>
                <w:spacing w:val="-4"/>
                <w:sz w:val="14"/>
              </w:rPr>
              <w:t> </w:t>
            </w:r>
            <w:r>
              <w:rPr>
                <w:sz w:val="14"/>
              </w:rPr>
              <w:t>portfolios</w:t>
            </w:r>
            <w:r>
              <w:rPr>
                <w:spacing w:val="-4"/>
                <w:sz w:val="14"/>
              </w:rPr>
              <w:t> </w:t>
            </w:r>
            <w:r>
              <w:rPr>
                <w:sz w:val="14"/>
              </w:rPr>
              <w:t>(this</w:t>
            </w:r>
            <w:r>
              <w:rPr>
                <w:spacing w:val="-4"/>
                <w:sz w:val="14"/>
              </w:rPr>
              <w:t> </w:t>
            </w:r>
            <w:r>
              <w:rPr>
                <w:sz w:val="14"/>
              </w:rPr>
              <w:t>excludes</w:t>
            </w:r>
            <w:r>
              <w:rPr>
                <w:spacing w:val="-4"/>
                <w:sz w:val="14"/>
              </w:rPr>
              <w:t> </w:t>
            </w:r>
            <w:r>
              <w:rPr>
                <w:sz w:val="14"/>
              </w:rPr>
              <w:t>realized</w:t>
            </w:r>
            <w:r>
              <w:rPr>
                <w:spacing w:val="40"/>
                <w:sz w:val="14"/>
              </w:rPr>
              <w:t> </w:t>
            </w:r>
            <w:r>
              <w:rPr>
                <w:spacing w:val="-2"/>
                <w:sz w:val="14"/>
              </w:rPr>
              <w:t>amounts).</w:t>
            </w:r>
          </w:p>
        </w:tc>
        <w:tc>
          <w:tcPr>
            <w:tcW w:w="158" w:type="dxa"/>
            <w:tcBorders>
              <w:top w:val="single" w:sz="8" w:space="0" w:color="000000"/>
            </w:tcBorders>
          </w:tcPr>
          <w:p>
            <w:pPr>
              <w:pStyle w:val="TableParagraph"/>
              <w:spacing w:before="13"/>
              <w:ind w:left="71"/>
              <w:rPr>
                <w:sz w:val="14"/>
              </w:rPr>
            </w:pPr>
            <w:r>
              <w:rPr>
                <w:spacing w:val="-10"/>
                <w:sz w:val="14"/>
              </w:rPr>
              <w:t>$</w:t>
            </w:r>
          </w:p>
        </w:tc>
        <w:tc>
          <w:tcPr>
            <w:tcW w:w="1464" w:type="dxa"/>
            <w:tcBorders>
              <w:top w:val="single" w:sz="8" w:space="0" w:color="000000"/>
            </w:tcBorders>
          </w:tcPr>
          <w:p>
            <w:pPr>
              <w:pStyle w:val="TableParagraph"/>
              <w:spacing w:before="13"/>
              <w:ind w:right="57"/>
              <w:jc w:val="right"/>
              <w:rPr>
                <w:sz w:val="14"/>
              </w:rPr>
            </w:pPr>
            <w:r>
              <w:rPr>
                <w:spacing w:val="-2"/>
                <w:sz w:val="14"/>
              </w:rPr>
              <w:t>3,356</w:t>
            </w:r>
          </w:p>
        </w:tc>
      </w:tr>
      <w:tr>
        <w:trPr>
          <w:trHeight w:val="225" w:hRule="atLeast"/>
        </w:trPr>
        <w:tc>
          <w:tcPr>
            <w:tcW w:w="7736" w:type="dxa"/>
          </w:tcPr>
          <w:p>
            <w:pPr>
              <w:pStyle w:val="TableParagraph"/>
              <w:spacing w:before="35"/>
              <w:ind w:left="52"/>
              <w:rPr>
                <w:sz w:val="14"/>
              </w:rPr>
            </w:pPr>
            <w:r>
              <w:rPr>
                <w:sz w:val="14"/>
              </w:rPr>
              <w:t>Board</w:t>
            </w:r>
            <w:r>
              <w:rPr>
                <w:spacing w:val="-4"/>
                <w:sz w:val="14"/>
              </w:rPr>
              <w:t> </w:t>
            </w:r>
            <w:r>
              <w:rPr>
                <w:sz w:val="14"/>
              </w:rPr>
              <w:t>of</w:t>
            </w:r>
            <w:r>
              <w:rPr>
                <w:spacing w:val="-4"/>
                <w:sz w:val="14"/>
              </w:rPr>
              <w:t> </w:t>
            </w:r>
            <w:r>
              <w:rPr>
                <w:sz w:val="14"/>
              </w:rPr>
              <w:t>Governors-approved</w:t>
            </w:r>
            <w:r>
              <w:rPr>
                <w:spacing w:val="-4"/>
                <w:sz w:val="14"/>
              </w:rPr>
              <w:t> </w:t>
            </w:r>
            <w:r>
              <w:rPr>
                <w:sz w:val="14"/>
              </w:rPr>
              <w:t>transfers,</w:t>
            </w:r>
            <w:r>
              <w:rPr>
                <w:spacing w:val="-4"/>
                <w:sz w:val="14"/>
              </w:rPr>
              <w:t> </w:t>
            </w:r>
            <w:r>
              <w:rPr>
                <w:sz w:val="14"/>
              </w:rPr>
              <w:t>relating</w:t>
            </w:r>
            <w:r>
              <w:rPr>
                <w:spacing w:val="-4"/>
                <w:sz w:val="14"/>
              </w:rPr>
              <w:t> </w:t>
            </w:r>
            <w:r>
              <w:rPr>
                <w:sz w:val="14"/>
              </w:rPr>
              <w:t>to</w:t>
            </w:r>
            <w:r>
              <w:rPr>
                <w:spacing w:val="-3"/>
                <w:sz w:val="14"/>
              </w:rPr>
              <w:t> </w:t>
            </w:r>
            <w:r>
              <w:rPr>
                <w:sz w:val="14"/>
              </w:rPr>
              <w:t>income</w:t>
            </w:r>
            <w:r>
              <w:rPr>
                <w:spacing w:val="-4"/>
                <w:sz w:val="14"/>
              </w:rPr>
              <w:t> </w:t>
            </w:r>
            <w:r>
              <w:rPr>
                <w:sz w:val="14"/>
              </w:rPr>
              <w:t>earned</w:t>
            </w:r>
            <w:r>
              <w:rPr>
                <w:spacing w:val="-4"/>
                <w:sz w:val="14"/>
              </w:rPr>
              <w:t> </w:t>
            </w:r>
            <w:r>
              <w:rPr>
                <w:sz w:val="14"/>
              </w:rPr>
              <w:t>in</w:t>
            </w:r>
            <w:r>
              <w:rPr>
                <w:spacing w:val="-4"/>
                <w:sz w:val="14"/>
              </w:rPr>
              <w:t> </w:t>
            </w:r>
            <w:r>
              <w:rPr>
                <w:sz w:val="14"/>
              </w:rPr>
              <w:t>prior</w:t>
            </w:r>
            <w:r>
              <w:rPr>
                <w:spacing w:val="-4"/>
                <w:sz w:val="14"/>
              </w:rPr>
              <w:t> </w:t>
            </w:r>
            <w:r>
              <w:rPr>
                <w:sz w:val="14"/>
              </w:rPr>
              <w:t>fiscal</w:t>
            </w:r>
            <w:r>
              <w:rPr>
                <w:spacing w:val="-4"/>
                <w:sz w:val="14"/>
              </w:rPr>
              <w:t> </w:t>
            </w:r>
            <w:r>
              <w:rPr>
                <w:sz w:val="14"/>
              </w:rPr>
              <w:t>years</w:t>
            </w:r>
            <w:r>
              <w:rPr>
                <w:spacing w:val="32"/>
                <w:sz w:val="14"/>
              </w:rPr>
              <w:t> </w:t>
            </w:r>
            <w:r>
              <w:rPr>
                <w:sz w:val="14"/>
              </w:rPr>
              <w:t>(See</w:t>
            </w:r>
            <w:r>
              <w:rPr>
                <w:spacing w:val="-7"/>
                <w:sz w:val="14"/>
              </w:rPr>
              <w:t> </w:t>
            </w:r>
            <w:r>
              <w:rPr>
                <w:sz w:val="14"/>
              </w:rPr>
              <w:t>Table</w:t>
            </w:r>
            <w:r>
              <w:rPr>
                <w:spacing w:val="-4"/>
                <w:sz w:val="14"/>
              </w:rPr>
              <w:t> </w:t>
            </w:r>
            <w:r>
              <w:rPr>
                <w:spacing w:val="-5"/>
                <w:sz w:val="14"/>
              </w:rPr>
              <w:t>G2)</w:t>
            </w:r>
          </w:p>
        </w:tc>
        <w:tc>
          <w:tcPr>
            <w:tcW w:w="158" w:type="dxa"/>
          </w:tcPr>
          <w:p>
            <w:pPr>
              <w:pStyle w:val="TableParagraph"/>
              <w:rPr>
                <w:rFonts w:ascii="Times New Roman"/>
                <w:sz w:val="14"/>
              </w:rPr>
            </w:pPr>
          </w:p>
        </w:tc>
        <w:tc>
          <w:tcPr>
            <w:tcW w:w="1464" w:type="dxa"/>
          </w:tcPr>
          <w:p>
            <w:pPr>
              <w:pStyle w:val="TableParagraph"/>
              <w:spacing w:before="24"/>
              <w:ind w:right="48"/>
              <w:jc w:val="right"/>
              <w:rPr>
                <w:sz w:val="14"/>
              </w:rPr>
            </w:pPr>
            <w:r>
              <w:rPr>
                <w:spacing w:val="-5"/>
                <w:sz w:val="14"/>
              </w:rPr>
              <w:t>354</w:t>
            </w:r>
          </w:p>
        </w:tc>
      </w:tr>
      <w:tr>
        <w:trPr>
          <w:trHeight w:val="225" w:hRule="atLeast"/>
        </w:trPr>
        <w:tc>
          <w:tcPr>
            <w:tcW w:w="7736" w:type="dxa"/>
          </w:tcPr>
          <w:p>
            <w:pPr>
              <w:pStyle w:val="TableParagraph"/>
              <w:spacing w:before="35"/>
              <w:ind w:left="52"/>
              <w:rPr>
                <w:sz w:val="14"/>
              </w:rPr>
            </w:pPr>
            <w:r>
              <w:rPr>
                <w:sz w:val="14"/>
              </w:rPr>
              <w:t>General</w:t>
            </w:r>
            <w:r>
              <w:rPr>
                <w:spacing w:val="-6"/>
                <w:sz w:val="14"/>
              </w:rPr>
              <w:t> </w:t>
            </w:r>
            <w:r>
              <w:rPr>
                <w:spacing w:val="-2"/>
                <w:sz w:val="14"/>
              </w:rPr>
              <w:t>Reserve</w:t>
            </w:r>
          </w:p>
        </w:tc>
        <w:tc>
          <w:tcPr>
            <w:tcW w:w="158" w:type="dxa"/>
          </w:tcPr>
          <w:p>
            <w:pPr>
              <w:pStyle w:val="TableParagraph"/>
              <w:rPr>
                <w:rFonts w:ascii="Times New Roman"/>
                <w:sz w:val="14"/>
              </w:rPr>
            </w:pPr>
          </w:p>
        </w:tc>
        <w:tc>
          <w:tcPr>
            <w:tcW w:w="1464" w:type="dxa"/>
          </w:tcPr>
          <w:p>
            <w:pPr>
              <w:pStyle w:val="TableParagraph"/>
              <w:spacing w:before="24"/>
              <w:ind w:right="48"/>
              <w:jc w:val="right"/>
              <w:rPr>
                <w:sz w:val="14"/>
              </w:rPr>
            </w:pPr>
            <w:r>
              <w:rPr>
                <w:spacing w:val="-5"/>
                <w:sz w:val="14"/>
              </w:rPr>
              <w:t>589</w:t>
            </w:r>
          </w:p>
        </w:tc>
      </w:tr>
      <w:tr>
        <w:trPr>
          <w:trHeight w:val="225" w:hRule="atLeast"/>
        </w:trPr>
        <w:tc>
          <w:tcPr>
            <w:tcW w:w="7736" w:type="dxa"/>
          </w:tcPr>
          <w:p>
            <w:pPr>
              <w:pStyle w:val="TableParagraph"/>
              <w:spacing w:before="35"/>
              <w:ind w:left="52"/>
              <w:rPr>
                <w:sz w:val="14"/>
              </w:rPr>
            </w:pPr>
            <w:r>
              <w:rPr>
                <w:sz w:val="14"/>
              </w:rPr>
              <w:t>Pension</w:t>
            </w:r>
            <w:r>
              <w:rPr>
                <w:spacing w:val="-5"/>
                <w:sz w:val="14"/>
              </w:rPr>
              <w:t> </w:t>
            </w:r>
            <w:r>
              <w:rPr>
                <w:spacing w:val="-2"/>
                <w:sz w:val="14"/>
              </w:rPr>
              <w:t>Reserve</w:t>
            </w:r>
          </w:p>
        </w:tc>
        <w:tc>
          <w:tcPr>
            <w:tcW w:w="158" w:type="dxa"/>
          </w:tcPr>
          <w:p>
            <w:pPr>
              <w:pStyle w:val="TableParagraph"/>
              <w:rPr>
                <w:rFonts w:ascii="Times New Roman"/>
                <w:sz w:val="14"/>
              </w:rPr>
            </w:pPr>
          </w:p>
        </w:tc>
        <w:tc>
          <w:tcPr>
            <w:tcW w:w="1464" w:type="dxa"/>
          </w:tcPr>
          <w:p>
            <w:pPr>
              <w:pStyle w:val="TableParagraph"/>
              <w:spacing w:before="24"/>
              <w:ind w:right="48"/>
              <w:jc w:val="right"/>
              <w:rPr>
                <w:sz w:val="14"/>
              </w:rPr>
            </w:pPr>
            <w:r>
              <w:rPr>
                <w:spacing w:val="-5"/>
                <w:sz w:val="14"/>
              </w:rPr>
              <w:t>46</w:t>
            </w:r>
          </w:p>
        </w:tc>
      </w:tr>
      <w:tr>
        <w:trPr>
          <w:trHeight w:val="225" w:hRule="atLeast"/>
        </w:trPr>
        <w:tc>
          <w:tcPr>
            <w:tcW w:w="7736" w:type="dxa"/>
          </w:tcPr>
          <w:p>
            <w:pPr>
              <w:pStyle w:val="TableParagraph"/>
              <w:spacing w:before="35"/>
              <w:ind w:left="52"/>
              <w:rPr>
                <w:sz w:val="14"/>
              </w:rPr>
            </w:pPr>
            <w:r>
              <w:rPr>
                <w:sz w:val="14"/>
              </w:rPr>
              <w:t>Other</w:t>
            </w:r>
            <w:r>
              <w:rPr>
                <w:spacing w:val="-4"/>
                <w:sz w:val="14"/>
              </w:rPr>
              <w:t> </w:t>
            </w:r>
            <w:r>
              <w:rPr>
                <w:spacing w:val="-2"/>
                <w:sz w:val="14"/>
              </w:rPr>
              <w:t>reserves</w:t>
            </w:r>
          </w:p>
        </w:tc>
        <w:tc>
          <w:tcPr>
            <w:tcW w:w="158" w:type="dxa"/>
          </w:tcPr>
          <w:p>
            <w:pPr>
              <w:pStyle w:val="TableParagraph"/>
              <w:rPr>
                <w:rFonts w:ascii="Times New Roman"/>
                <w:sz w:val="14"/>
              </w:rPr>
            </w:pPr>
          </w:p>
        </w:tc>
        <w:tc>
          <w:tcPr>
            <w:tcW w:w="1464" w:type="dxa"/>
          </w:tcPr>
          <w:p>
            <w:pPr>
              <w:pStyle w:val="TableParagraph"/>
              <w:spacing w:before="24"/>
              <w:ind w:right="48"/>
              <w:jc w:val="right"/>
              <w:rPr>
                <w:sz w:val="14"/>
              </w:rPr>
            </w:pPr>
            <w:r>
              <w:rPr>
                <w:spacing w:val="-5"/>
                <w:sz w:val="14"/>
              </w:rPr>
              <w:t>157</w:t>
            </w:r>
          </w:p>
        </w:tc>
      </w:tr>
      <w:tr>
        <w:trPr>
          <w:trHeight w:val="216" w:hRule="atLeast"/>
        </w:trPr>
        <w:tc>
          <w:tcPr>
            <w:tcW w:w="7736" w:type="dxa"/>
            <w:tcBorders>
              <w:bottom w:val="single" w:sz="8" w:space="0" w:color="000000"/>
            </w:tcBorders>
          </w:tcPr>
          <w:p>
            <w:pPr>
              <w:pStyle w:val="TableParagraph"/>
              <w:spacing w:line="161" w:lineRule="exact" w:before="35"/>
              <w:ind w:left="52"/>
              <w:rPr>
                <w:sz w:val="14"/>
              </w:rPr>
            </w:pPr>
            <w:r>
              <w:rPr>
                <w:sz w:val="14"/>
              </w:rPr>
              <w:t>Restricted</w:t>
            </w:r>
            <w:r>
              <w:rPr>
                <w:spacing w:val="-5"/>
                <w:sz w:val="14"/>
              </w:rPr>
              <w:t> </w:t>
            </w:r>
            <w:r>
              <w:rPr>
                <w:sz w:val="14"/>
              </w:rPr>
              <w:t>Retained</w:t>
            </w:r>
            <w:r>
              <w:rPr>
                <w:spacing w:val="-5"/>
                <w:sz w:val="14"/>
              </w:rPr>
              <w:t> </w:t>
            </w:r>
            <w:r>
              <w:rPr>
                <w:spacing w:val="-2"/>
                <w:sz w:val="14"/>
              </w:rPr>
              <w:t>Earnings</w:t>
            </w:r>
          </w:p>
        </w:tc>
        <w:tc>
          <w:tcPr>
            <w:tcW w:w="158" w:type="dxa"/>
            <w:tcBorders>
              <w:bottom w:val="single" w:sz="8" w:space="0" w:color="000000"/>
            </w:tcBorders>
          </w:tcPr>
          <w:p>
            <w:pPr>
              <w:pStyle w:val="TableParagraph"/>
              <w:rPr>
                <w:rFonts w:ascii="Times New Roman"/>
                <w:sz w:val="14"/>
              </w:rPr>
            </w:pPr>
          </w:p>
        </w:tc>
        <w:tc>
          <w:tcPr>
            <w:tcW w:w="1464" w:type="dxa"/>
            <w:tcBorders>
              <w:bottom w:val="single" w:sz="8" w:space="0" w:color="000000"/>
            </w:tcBorders>
          </w:tcPr>
          <w:p>
            <w:pPr>
              <w:pStyle w:val="TableParagraph"/>
              <w:spacing w:before="24"/>
              <w:ind w:right="10"/>
              <w:jc w:val="right"/>
              <w:rPr>
                <w:sz w:val="14"/>
              </w:rPr>
            </w:pPr>
            <w:r>
              <w:rPr>
                <w:spacing w:val="-4"/>
                <w:sz w:val="14"/>
              </w:rPr>
              <w:t>(21)</w:t>
            </w:r>
          </w:p>
        </w:tc>
      </w:tr>
    </w:tbl>
    <w:p>
      <w:pPr>
        <w:pStyle w:val="BodyText"/>
        <w:spacing w:before="37"/>
      </w:pPr>
    </w:p>
    <w:p>
      <w:pPr>
        <w:pStyle w:val="BodyText"/>
        <w:spacing w:line="249" w:lineRule="auto"/>
        <w:ind w:left="720" w:right="721"/>
        <w:jc w:val="both"/>
      </w:pPr>
      <w:r>
        <w:rPr/>
        <w:t>On August 2, 2022, IBRD’s Board of Governors approved a transfer of $80 million from Surplus to the Trust fund for Gaza and the West Bank. The transfer was made on August 17, 2022.</w:t>
      </w:r>
    </w:p>
    <w:p>
      <w:pPr>
        <w:pStyle w:val="BodyText"/>
        <w:spacing w:after="0" w:line="249" w:lineRule="auto"/>
        <w:jc w:val="both"/>
        <w:sectPr>
          <w:headerReference w:type="default" r:id="rId180"/>
          <w:pgSz w:w="12240" w:h="15840"/>
          <w:pgMar w:header="0" w:footer="0" w:top="960" w:bottom="720" w:left="720" w:right="720"/>
        </w:sectPr>
      </w:pPr>
    </w:p>
    <w:p>
      <w:pPr>
        <w:pStyle w:val="BodyText"/>
        <w:spacing w:line="249" w:lineRule="auto" w:before="72"/>
        <w:ind w:left="720" w:right="717"/>
        <w:jc w:val="both"/>
      </w:pPr>
      <w:r>
        <w:rPr/>
        <w:t>On</w:t>
      </w:r>
      <w:r>
        <w:rPr>
          <w:spacing w:val="-2"/>
        </w:rPr>
        <w:t> </w:t>
      </w:r>
      <w:r>
        <w:rPr/>
        <w:t>October</w:t>
      </w:r>
      <w:r>
        <w:rPr>
          <w:spacing w:val="-2"/>
        </w:rPr>
        <w:t> </w:t>
      </w:r>
      <w:r>
        <w:rPr/>
        <w:t>14,</w:t>
      </w:r>
      <w:r>
        <w:rPr>
          <w:spacing w:val="-2"/>
        </w:rPr>
        <w:t> </w:t>
      </w:r>
      <w:r>
        <w:rPr/>
        <w:t>2022,</w:t>
      </w:r>
      <w:r>
        <w:rPr>
          <w:spacing w:val="-2"/>
        </w:rPr>
        <w:t> </w:t>
      </w:r>
      <w:r>
        <w:rPr/>
        <w:t>IBRD’s</w:t>
      </w:r>
      <w:r>
        <w:rPr>
          <w:spacing w:val="-3"/>
        </w:rPr>
        <w:t> </w:t>
      </w:r>
      <w:r>
        <w:rPr/>
        <w:t>Board</w:t>
      </w:r>
      <w:r>
        <w:rPr>
          <w:spacing w:val="-2"/>
        </w:rPr>
        <w:t> </w:t>
      </w:r>
      <w:r>
        <w:rPr/>
        <w:t>of</w:t>
      </w:r>
      <w:r>
        <w:rPr>
          <w:spacing w:val="-2"/>
        </w:rPr>
        <w:t> </w:t>
      </w:r>
      <w:r>
        <w:rPr/>
        <w:t>Governors</w:t>
      </w:r>
      <w:r>
        <w:rPr>
          <w:spacing w:val="-3"/>
        </w:rPr>
        <w:t> </w:t>
      </w:r>
      <w:r>
        <w:rPr/>
        <w:t>approved</w:t>
      </w:r>
      <w:r>
        <w:rPr>
          <w:spacing w:val="-2"/>
        </w:rPr>
        <w:t> </w:t>
      </w:r>
      <w:r>
        <w:rPr/>
        <w:t>a</w:t>
      </w:r>
      <w:r>
        <w:rPr>
          <w:spacing w:val="-3"/>
        </w:rPr>
        <w:t> </w:t>
      </w:r>
      <w:r>
        <w:rPr/>
        <w:t>transfer</w:t>
      </w:r>
      <w:r>
        <w:rPr>
          <w:spacing w:val="-2"/>
        </w:rPr>
        <w:t> </w:t>
      </w:r>
      <w:r>
        <w:rPr/>
        <w:t>to</w:t>
      </w:r>
      <w:r>
        <w:rPr>
          <w:spacing w:val="-2"/>
        </w:rPr>
        <w:t> </w:t>
      </w:r>
      <w:r>
        <w:rPr/>
        <w:t>IDA</w:t>
      </w:r>
      <w:r>
        <w:rPr>
          <w:spacing w:val="-3"/>
        </w:rPr>
        <w:t> </w:t>
      </w:r>
      <w:r>
        <w:rPr/>
        <w:t>of</w:t>
      </w:r>
      <w:r>
        <w:rPr>
          <w:spacing w:val="-2"/>
        </w:rPr>
        <w:t> </w:t>
      </w:r>
      <w:r>
        <w:rPr/>
        <w:t>$117</w:t>
      </w:r>
      <w:r>
        <w:rPr>
          <w:spacing w:val="-2"/>
        </w:rPr>
        <w:t> </w:t>
      </w:r>
      <w:r>
        <w:rPr/>
        <w:t>million</w:t>
      </w:r>
      <w:r>
        <w:rPr>
          <w:spacing w:val="-2"/>
        </w:rPr>
        <w:t> </w:t>
      </w:r>
      <w:r>
        <w:rPr/>
        <w:t>and</w:t>
      </w:r>
      <w:r>
        <w:rPr>
          <w:spacing w:val="-2"/>
        </w:rPr>
        <w:t> </w:t>
      </w:r>
      <w:r>
        <w:rPr/>
        <w:t>a</w:t>
      </w:r>
      <w:r>
        <w:rPr>
          <w:spacing w:val="-3"/>
        </w:rPr>
        <w:t> </w:t>
      </w:r>
      <w:r>
        <w:rPr/>
        <w:t>transfer</w:t>
      </w:r>
      <w:r>
        <w:rPr>
          <w:spacing w:val="-2"/>
        </w:rPr>
        <w:t> </w:t>
      </w:r>
      <w:r>
        <w:rPr/>
        <w:t>of</w:t>
      </w:r>
      <w:r>
        <w:rPr>
          <w:spacing w:val="-2"/>
        </w:rPr>
        <w:t> </w:t>
      </w:r>
      <w:r>
        <w:rPr/>
        <w:t>$100 million to Surplus out of the net income earned in the fiscal year ended June 30, 2022. The transfer to IDA was</w:t>
      </w:r>
      <w:r>
        <w:rPr>
          <w:spacing w:val="40"/>
        </w:rPr>
        <w:t> </w:t>
      </w:r>
      <w:r>
        <w:rPr/>
        <w:t>made on October 20, 2022.</w:t>
      </w:r>
    </w:p>
    <w:p>
      <w:pPr>
        <w:pStyle w:val="BodyText"/>
        <w:spacing w:before="12"/>
      </w:pPr>
    </w:p>
    <w:p>
      <w:pPr>
        <w:pStyle w:val="BodyText"/>
        <w:spacing w:line="249" w:lineRule="auto"/>
        <w:ind w:left="720" w:right="719"/>
        <w:jc w:val="both"/>
      </w:pPr>
      <w:r>
        <w:rPr/>
        <w:t>During</w:t>
      </w:r>
      <w:r>
        <w:rPr>
          <w:spacing w:val="-2"/>
        </w:rPr>
        <w:t> </w:t>
      </w:r>
      <w:r>
        <w:rPr/>
        <w:t>the</w:t>
      </w:r>
      <w:r>
        <w:rPr>
          <w:spacing w:val="-3"/>
        </w:rPr>
        <w:t> </w:t>
      </w:r>
      <w:r>
        <w:rPr/>
        <w:t>fiscal</w:t>
      </w:r>
      <w:r>
        <w:rPr>
          <w:spacing w:val="-3"/>
        </w:rPr>
        <w:t> </w:t>
      </w:r>
      <w:r>
        <w:rPr/>
        <w:t>year</w:t>
      </w:r>
      <w:r>
        <w:rPr>
          <w:spacing w:val="-2"/>
        </w:rPr>
        <w:t> </w:t>
      </w:r>
      <w:r>
        <w:rPr/>
        <w:t>ended</w:t>
      </w:r>
      <w:r>
        <w:rPr>
          <w:spacing w:val="-2"/>
        </w:rPr>
        <w:t> </w:t>
      </w:r>
      <w:r>
        <w:rPr/>
        <w:t>June</w:t>
      </w:r>
      <w:r>
        <w:rPr>
          <w:spacing w:val="-3"/>
        </w:rPr>
        <w:t> </w:t>
      </w:r>
      <w:r>
        <w:rPr/>
        <w:t>30,</w:t>
      </w:r>
      <w:r>
        <w:rPr>
          <w:spacing w:val="-2"/>
        </w:rPr>
        <w:t> </w:t>
      </w:r>
      <w:r>
        <w:rPr/>
        <w:t>2023,</w:t>
      </w:r>
      <w:r>
        <w:rPr>
          <w:spacing w:val="-2"/>
        </w:rPr>
        <w:t> </w:t>
      </w:r>
      <w:r>
        <w:rPr/>
        <w:t>$24</w:t>
      </w:r>
      <w:r>
        <w:rPr>
          <w:spacing w:val="-2"/>
        </w:rPr>
        <w:t> </w:t>
      </w:r>
      <w:r>
        <w:rPr/>
        <w:t>million</w:t>
      </w:r>
      <w:r>
        <w:rPr>
          <w:spacing w:val="-2"/>
        </w:rPr>
        <w:t> </w:t>
      </w:r>
      <w:r>
        <w:rPr/>
        <w:t>was</w:t>
      </w:r>
      <w:r>
        <w:rPr>
          <w:spacing w:val="-3"/>
        </w:rPr>
        <w:t> </w:t>
      </w:r>
      <w:r>
        <w:rPr/>
        <w:t>utilized</w:t>
      </w:r>
      <w:r>
        <w:rPr>
          <w:spacing w:val="-2"/>
        </w:rPr>
        <w:t> </w:t>
      </w:r>
      <w:r>
        <w:rPr/>
        <w:t>out</w:t>
      </w:r>
      <w:r>
        <w:rPr>
          <w:spacing w:val="-3"/>
        </w:rPr>
        <w:t> </w:t>
      </w:r>
      <w:r>
        <w:rPr/>
        <w:t>of</w:t>
      </w:r>
      <w:r>
        <w:rPr>
          <w:spacing w:val="-2"/>
        </w:rPr>
        <w:t> </w:t>
      </w:r>
      <w:r>
        <w:rPr/>
        <w:t>the</w:t>
      </w:r>
      <w:r>
        <w:rPr>
          <w:spacing w:val="-3"/>
        </w:rPr>
        <w:t> </w:t>
      </w:r>
      <w:r>
        <w:rPr/>
        <w:t>cumulative</w:t>
      </w:r>
      <w:r>
        <w:rPr>
          <w:spacing w:val="-3"/>
        </w:rPr>
        <w:t> </w:t>
      </w:r>
      <w:r>
        <w:rPr/>
        <w:t>transfers</w:t>
      </w:r>
      <w:r>
        <w:rPr>
          <w:spacing w:val="-3"/>
        </w:rPr>
        <w:t> </w:t>
      </w:r>
      <w:r>
        <w:rPr/>
        <w:t>of</w:t>
      </w:r>
      <w:r>
        <w:rPr>
          <w:spacing w:val="-2"/>
        </w:rPr>
        <w:t> </w:t>
      </w:r>
      <w:r>
        <w:rPr/>
        <w:t>$85</w:t>
      </w:r>
      <w:r>
        <w:rPr>
          <w:spacing w:val="-2"/>
        </w:rPr>
        <w:t> </w:t>
      </w:r>
      <w:r>
        <w:rPr/>
        <w:t>million</w:t>
      </w:r>
      <w:r>
        <w:rPr>
          <w:spacing w:val="-2"/>
        </w:rPr>
        <w:t> </w:t>
      </w:r>
      <w:r>
        <w:rPr/>
        <w:t>to the IBRD Fund for Innovative Global Public Goods Solutions (GPG Fund). Accordingly, an expense was</w:t>
      </w:r>
      <w:r>
        <w:rPr>
          <w:spacing w:val="40"/>
        </w:rPr>
        <w:t> </w:t>
      </w:r>
      <w:r>
        <w:rPr/>
        <w:t>recognized and Other reserves was reduced, as the conditions specified for use by the beneficiaries had been met.</w:t>
      </w:r>
      <w:r>
        <w:rPr>
          <w:spacing w:val="80"/>
        </w:rPr>
        <w:t> </w:t>
      </w:r>
      <w:r>
        <w:rPr/>
        <w:t>As of June 30, 2023, the unutilized balance of the cumulative transfers to the GPG Fund was $61 million.</w:t>
      </w:r>
    </w:p>
    <w:p>
      <w:pPr>
        <w:pStyle w:val="BodyText"/>
        <w:spacing w:line="249" w:lineRule="auto" w:before="227"/>
        <w:ind w:left="720" w:right="719"/>
        <w:jc w:val="both"/>
      </w:pPr>
      <w:r>
        <w:rPr/>
        <w:t>Board of Governors-approved and other transfers that were expensed during the stated fiscal years are included in the following table:</w:t>
      </w:r>
    </w:p>
    <w:p>
      <w:pPr>
        <w:pStyle w:val="Heading8"/>
        <w:spacing w:before="122"/>
      </w:pPr>
      <w:r>
        <w:rPr/>
        <w:t>Table</w:t>
      </w:r>
      <w:r>
        <w:rPr>
          <w:spacing w:val="-6"/>
        </w:rPr>
        <w:t> </w:t>
      </w:r>
      <w:r>
        <w:rPr/>
        <w:t>G2:</w:t>
      </w:r>
      <w:r>
        <w:rPr>
          <w:spacing w:val="-4"/>
        </w:rPr>
        <w:t> </w:t>
      </w:r>
      <w:r>
        <w:rPr/>
        <w:t>Board</w:t>
      </w:r>
      <w:r>
        <w:rPr>
          <w:spacing w:val="-4"/>
        </w:rPr>
        <w:t> </w:t>
      </w:r>
      <w:r>
        <w:rPr/>
        <w:t>of</w:t>
      </w:r>
      <w:r>
        <w:rPr>
          <w:spacing w:val="-3"/>
        </w:rPr>
        <w:t> </w:t>
      </w:r>
      <w:r>
        <w:rPr/>
        <w:t>Governors-approved</w:t>
      </w:r>
      <w:r>
        <w:rPr>
          <w:spacing w:val="-4"/>
        </w:rPr>
        <w:t> </w:t>
      </w:r>
      <w:r>
        <w:rPr/>
        <w:t>and</w:t>
      </w:r>
      <w:r>
        <w:rPr>
          <w:spacing w:val="-4"/>
        </w:rPr>
        <w:t> </w:t>
      </w:r>
      <w:r>
        <w:rPr/>
        <w:t>other</w:t>
      </w:r>
      <w:r>
        <w:rPr>
          <w:spacing w:val="-4"/>
        </w:rPr>
        <w:t> </w:t>
      </w:r>
      <w:r>
        <w:rPr/>
        <w:t>transfers</w:t>
      </w:r>
      <w:r>
        <w:rPr>
          <w:spacing w:val="-3"/>
        </w:rPr>
        <w:t> </w:t>
      </w:r>
      <w:r>
        <w:rPr>
          <w:spacing w:val="-2"/>
        </w:rPr>
        <w:t>expensed</w:t>
      </w:r>
    </w:p>
    <w:p>
      <w:pPr>
        <w:spacing w:before="85" w:after="29"/>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5"/>
        <w:gridCol w:w="331"/>
        <w:gridCol w:w="637"/>
        <w:gridCol w:w="449"/>
        <w:gridCol w:w="368"/>
        <w:gridCol w:w="637"/>
        <w:gridCol w:w="449"/>
        <w:gridCol w:w="368"/>
        <w:gridCol w:w="637"/>
        <w:gridCol w:w="427"/>
      </w:tblGrid>
      <w:tr>
        <w:trPr>
          <w:trHeight w:val="220" w:hRule="atLeast"/>
        </w:trPr>
        <w:tc>
          <w:tcPr>
            <w:tcW w:w="5055" w:type="dxa"/>
            <w:tcBorders>
              <w:top w:val="single" w:sz="8" w:space="0" w:color="000000"/>
              <w:bottom w:val="single" w:sz="8" w:space="0" w:color="000000"/>
            </w:tcBorders>
          </w:tcPr>
          <w:p>
            <w:pPr>
              <w:pStyle w:val="TableParagraph"/>
              <w:spacing w:line="183" w:lineRule="exact" w:before="16"/>
              <w:ind w:left="52"/>
              <w:rPr>
                <w:rFonts w:ascii="Arial"/>
                <w:i/>
                <w:sz w:val="16"/>
              </w:rPr>
            </w:pPr>
            <w:r>
              <w:rPr>
                <w:rFonts w:ascii="Arial"/>
                <w:i/>
                <w:sz w:val="16"/>
              </w:rPr>
              <w:t>Transfers</w:t>
            </w:r>
            <w:r>
              <w:rPr>
                <w:rFonts w:ascii="Arial"/>
                <w:i/>
                <w:spacing w:val="-5"/>
                <w:sz w:val="16"/>
              </w:rPr>
              <w:t> </w:t>
            </w:r>
            <w:r>
              <w:rPr>
                <w:rFonts w:ascii="Arial"/>
                <w:i/>
                <w:sz w:val="16"/>
              </w:rPr>
              <w:t>funded</w:t>
            </w:r>
            <w:r>
              <w:rPr>
                <w:rFonts w:ascii="Arial"/>
                <w:i/>
                <w:spacing w:val="-4"/>
                <w:sz w:val="16"/>
              </w:rPr>
              <w:t> </w:t>
            </w:r>
            <w:r>
              <w:rPr>
                <w:rFonts w:ascii="Arial"/>
                <w:i/>
                <w:spacing w:val="-2"/>
                <w:sz w:val="16"/>
              </w:rPr>
              <w:t>from:</w:t>
            </w:r>
          </w:p>
        </w:tc>
        <w:tc>
          <w:tcPr>
            <w:tcW w:w="331" w:type="dxa"/>
            <w:tcBorders>
              <w:top w:val="single" w:sz="8" w:space="0" w:color="000000"/>
              <w:bottom w:val="single" w:sz="8" w:space="0" w:color="000000"/>
            </w:tcBorders>
          </w:tcPr>
          <w:p>
            <w:pPr>
              <w:pStyle w:val="TableParagraph"/>
              <w:rPr>
                <w:rFonts w:ascii="Times New Roman"/>
                <w:sz w:val="14"/>
              </w:rPr>
            </w:pPr>
          </w:p>
        </w:tc>
        <w:tc>
          <w:tcPr>
            <w:tcW w:w="637" w:type="dxa"/>
            <w:tcBorders>
              <w:top w:val="single" w:sz="8" w:space="0" w:color="000000"/>
              <w:bottom w:val="single" w:sz="8" w:space="0" w:color="000000"/>
            </w:tcBorders>
          </w:tcPr>
          <w:p>
            <w:pPr>
              <w:pStyle w:val="TableParagraph"/>
              <w:spacing w:line="183" w:lineRule="exact" w:before="16"/>
              <w:ind w:left="188"/>
              <w:rPr>
                <w:rFonts w:ascii="Arial"/>
                <w:i/>
                <w:sz w:val="16"/>
              </w:rPr>
            </w:pPr>
            <w:r>
              <w:rPr>
                <w:rFonts w:ascii="Arial"/>
                <w:i/>
                <w:spacing w:val="-4"/>
                <w:sz w:val="16"/>
              </w:rPr>
              <w:t>2023</w:t>
            </w:r>
          </w:p>
        </w:tc>
        <w:tc>
          <w:tcPr>
            <w:tcW w:w="449" w:type="dxa"/>
            <w:tcBorders>
              <w:top w:val="single" w:sz="8" w:space="0" w:color="000000"/>
              <w:bottom w:val="single" w:sz="8" w:space="0" w:color="000000"/>
            </w:tcBorders>
          </w:tcPr>
          <w:p>
            <w:pPr>
              <w:pStyle w:val="TableParagraph"/>
              <w:rPr>
                <w:rFonts w:ascii="Times New Roman"/>
                <w:sz w:val="14"/>
              </w:rPr>
            </w:pPr>
          </w:p>
        </w:tc>
        <w:tc>
          <w:tcPr>
            <w:tcW w:w="368" w:type="dxa"/>
            <w:tcBorders>
              <w:top w:val="single" w:sz="8" w:space="0" w:color="000000"/>
              <w:bottom w:val="single" w:sz="8" w:space="0" w:color="000000"/>
            </w:tcBorders>
          </w:tcPr>
          <w:p>
            <w:pPr>
              <w:pStyle w:val="TableParagraph"/>
              <w:rPr>
                <w:rFonts w:ascii="Times New Roman"/>
                <w:sz w:val="14"/>
              </w:rPr>
            </w:pPr>
          </w:p>
        </w:tc>
        <w:tc>
          <w:tcPr>
            <w:tcW w:w="637" w:type="dxa"/>
            <w:tcBorders>
              <w:top w:val="single" w:sz="8" w:space="0" w:color="000000"/>
              <w:bottom w:val="single" w:sz="8" w:space="0" w:color="000000"/>
            </w:tcBorders>
          </w:tcPr>
          <w:p>
            <w:pPr>
              <w:pStyle w:val="TableParagraph"/>
              <w:spacing w:line="183" w:lineRule="exact" w:before="16"/>
              <w:ind w:left="189"/>
              <w:rPr>
                <w:rFonts w:ascii="Arial"/>
                <w:i/>
                <w:sz w:val="16"/>
              </w:rPr>
            </w:pPr>
            <w:r>
              <w:rPr>
                <w:rFonts w:ascii="Arial"/>
                <w:i/>
                <w:spacing w:val="-4"/>
                <w:sz w:val="16"/>
              </w:rPr>
              <w:t>2022</w:t>
            </w:r>
          </w:p>
        </w:tc>
        <w:tc>
          <w:tcPr>
            <w:tcW w:w="449" w:type="dxa"/>
            <w:tcBorders>
              <w:top w:val="single" w:sz="8" w:space="0" w:color="000000"/>
              <w:bottom w:val="single" w:sz="8" w:space="0" w:color="000000"/>
            </w:tcBorders>
          </w:tcPr>
          <w:p>
            <w:pPr>
              <w:pStyle w:val="TableParagraph"/>
              <w:rPr>
                <w:rFonts w:ascii="Times New Roman"/>
                <w:sz w:val="14"/>
              </w:rPr>
            </w:pPr>
          </w:p>
        </w:tc>
        <w:tc>
          <w:tcPr>
            <w:tcW w:w="368" w:type="dxa"/>
            <w:tcBorders>
              <w:top w:val="single" w:sz="8" w:space="0" w:color="000000"/>
              <w:bottom w:val="single" w:sz="8" w:space="0" w:color="000000"/>
            </w:tcBorders>
          </w:tcPr>
          <w:p>
            <w:pPr>
              <w:pStyle w:val="TableParagraph"/>
              <w:rPr>
                <w:rFonts w:ascii="Times New Roman"/>
                <w:sz w:val="14"/>
              </w:rPr>
            </w:pPr>
          </w:p>
        </w:tc>
        <w:tc>
          <w:tcPr>
            <w:tcW w:w="637" w:type="dxa"/>
            <w:tcBorders>
              <w:top w:val="single" w:sz="8" w:space="0" w:color="000000"/>
              <w:bottom w:val="single" w:sz="8" w:space="0" w:color="000000"/>
            </w:tcBorders>
          </w:tcPr>
          <w:p>
            <w:pPr>
              <w:pStyle w:val="TableParagraph"/>
              <w:spacing w:line="183" w:lineRule="exact" w:before="16"/>
              <w:ind w:left="190"/>
              <w:rPr>
                <w:rFonts w:ascii="Arial"/>
                <w:i/>
                <w:sz w:val="16"/>
              </w:rPr>
            </w:pPr>
            <w:r>
              <w:rPr>
                <w:rFonts w:ascii="Arial"/>
                <w:i/>
                <w:spacing w:val="-4"/>
                <w:sz w:val="16"/>
              </w:rPr>
              <w:t>2021</w:t>
            </w:r>
          </w:p>
        </w:tc>
        <w:tc>
          <w:tcPr>
            <w:tcW w:w="427" w:type="dxa"/>
            <w:tcBorders>
              <w:top w:val="single" w:sz="8" w:space="0" w:color="000000"/>
              <w:bottom w:val="single" w:sz="8" w:space="0" w:color="000000"/>
            </w:tcBorders>
          </w:tcPr>
          <w:p>
            <w:pPr>
              <w:pStyle w:val="TableParagraph"/>
              <w:rPr>
                <w:rFonts w:ascii="Times New Roman"/>
                <w:sz w:val="14"/>
              </w:rPr>
            </w:pPr>
          </w:p>
        </w:tc>
      </w:tr>
      <w:tr>
        <w:trPr>
          <w:trHeight w:val="460" w:hRule="atLeast"/>
        </w:trPr>
        <w:tc>
          <w:tcPr>
            <w:tcW w:w="5055" w:type="dxa"/>
            <w:tcBorders>
              <w:top w:val="single" w:sz="8" w:space="0" w:color="000000"/>
            </w:tcBorders>
          </w:tcPr>
          <w:p>
            <w:pPr>
              <w:pStyle w:val="TableParagraph"/>
              <w:spacing w:before="16"/>
              <w:ind w:left="52"/>
              <w:rPr>
                <w:rFonts w:ascii="Arial"/>
                <w:b/>
                <w:sz w:val="16"/>
              </w:rPr>
            </w:pPr>
            <w:r>
              <w:rPr>
                <w:rFonts w:ascii="Arial"/>
                <w:b/>
                <w:sz w:val="16"/>
              </w:rPr>
              <w:t>Unallocated</w:t>
            </w:r>
            <w:r>
              <w:rPr>
                <w:rFonts w:ascii="Arial"/>
                <w:b/>
                <w:spacing w:val="-6"/>
                <w:sz w:val="16"/>
              </w:rPr>
              <w:t> </w:t>
            </w:r>
            <w:r>
              <w:rPr>
                <w:rFonts w:ascii="Arial"/>
                <w:b/>
                <w:sz w:val="16"/>
              </w:rPr>
              <w:t>Net</w:t>
            </w:r>
            <w:r>
              <w:rPr>
                <w:rFonts w:ascii="Arial"/>
                <w:b/>
                <w:spacing w:val="-4"/>
                <w:sz w:val="16"/>
              </w:rPr>
              <w:t> </w:t>
            </w:r>
            <w:r>
              <w:rPr>
                <w:rFonts w:ascii="Arial"/>
                <w:b/>
                <w:spacing w:val="-2"/>
                <w:sz w:val="16"/>
              </w:rPr>
              <w:t>Income:</w:t>
            </w:r>
          </w:p>
          <w:p>
            <w:pPr>
              <w:pStyle w:val="TableParagraph"/>
              <w:spacing w:line="184" w:lineRule="exact" w:before="56"/>
              <w:ind w:left="232"/>
              <w:rPr>
                <w:sz w:val="16"/>
              </w:rPr>
            </w:pPr>
            <w:r>
              <w:rPr>
                <w:spacing w:val="-5"/>
                <w:sz w:val="16"/>
              </w:rPr>
              <w:t>IDA</w:t>
            </w:r>
          </w:p>
        </w:tc>
        <w:tc>
          <w:tcPr>
            <w:tcW w:w="331"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right="134"/>
              <w:jc w:val="center"/>
              <w:rPr>
                <w:sz w:val="16"/>
              </w:rPr>
            </w:pPr>
            <w:r>
              <w:rPr>
                <w:spacing w:val="-10"/>
                <w:sz w:val="16"/>
              </w:rPr>
              <w:t>$</w:t>
            </w: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2"/>
              <w:jc w:val="center"/>
              <w:rPr>
                <w:sz w:val="16"/>
              </w:rPr>
            </w:pPr>
            <w:r>
              <w:rPr>
                <w:spacing w:val="-5"/>
                <w:sz w:val="16"/>
              </w:rPr>
              <w:t>117</w:t>
            </w:r>
          </w:p>
        </w:tc>
        <w:tc>
          <w:tcPr>
            <w:tcW w:w="368"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90"/>
              <w:rPr>
                <w:sz w:val="16"/>
              </w:rPr>
            </w:pPr>
            <w:r>
              <w:rPr>
                <w:spacing w:val="-10"/>
                <w:sz w:val="16"/>
              </w:rPr>
              <w:t>$</w:t>
            </w: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4"/>
              <w:jc w:val="center"/>
              <w:rPr>
                <w:sz w:val="16"/>
              </w:rPr>
            </w:pPr>
            <w:r>
              <w:rPr>
                <w:spacing w:val="-5"/>
                <w:sz w:val="16"/>
              </w:rPr>
              <w:t>274</w:t>
            </w:r>
          </w:p>
        </w:tc>
        <w:tc>
          <w:tcPr>
            <w:tcW w:w="368"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91"/>
              <w:rPr>
                <w:sz w:val="16"/>
              </w:rPr>
            </w:pPr>
            <w:r>
              <w:rPr>
                <w:spacing w:val="-10"/>
                <w:sz w:val="16"/>
              </w:rPr>
              <w:t>$</w:t>
            </w:r>
          </w:p>
        </w:tc>
        <w:tc>
          <w:tcPr>
            <w:tcW w:w="637" w:type="dxa"/>
            <w:tcBorders>
              <w:top w:val="single" w:sz="8" w:space="0" w:color="000000"/>
              <w:bottom w:val="single" w:sz="8" w:space="0" w:color="000000"/>
            </w:tcBorders>
          </w:tcPr>
          <w:p>
            <w:pPr>
              <w:pStyle w:val="TableParagraph"/>
              <w:rPr>
                <w:rFonts w:ascii="Times New Roman"/>
                <w:sz w:val="18"/>
              </w:rPr>
            </w:pPr>
          </w:p>
        </w:tc>
        <w:tc>
          <w:tcPr>
            <w:tcW w:w="427"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right="64"/>
              <w:jc w:val="right"/>
              <w:rPr>
                <w:sz w:val="16"/>
              </w:rPr>
            </w:pPr>
            <w:r>
              <w:rPr>
                <w:spacing w:val="-5"/>
                <w:sz w:val="16"/>
              </w:rPr>
              <w:t>331</w:t>
            </w:r>
          </w:p>
        </w:tc>
      </w:tr>
      <w:tr>
        <w:trPr>
          <w:trHeight w:val="460" w:hRule="atLeast"/>
        </w:trPr>
        <w:tc>
          <w:tcPr>
            <w:tcW w:w="5055" w:type="dxa"/>
          </w:tcPr>
          <w:p>
            <w:pPr>
              <w:pStyle w:val="TableParagraph"/>
              <w:spacing w:before="16"/>
              <w:ind w:left="52"/>
              <w:rPr>
                <w:rFonts w:ascii="Arial"/>
                <w:b/>
                <w:sz w:val="16"/>
              </w:rPr>
            </w:pPr>
            <w:r>
              <w:rPr>
                <w:rFonts w:ascii="Arial"/>
                <w:b/>
                <w:spacing w:val="-2"/>
                <w:sz w:val="16"/>
              </w:rPr>
              <w:t>Surplus:</w:t>
            </w:r>
          </w:p>
          <w:p>
            <w:pPr>
              <w:pStyle w:val="TableParagraph"/>
              <w:spacing w:line="184" w:lineRule="exact" w:before="56"/>
              <w:ind w:left="232"/>
              <w:rPr>
                <w:sz w:val="16"/>
              </w:rPr>
            </w:pPr>
            <w:r>
              <w:rPr>
                <w:sz w:val="16"/>
              </w:rPr>
              <w:t>Trust</w:t>
            </w:r>
            <w:r>
              <w:rPr>
                <w:spacing w:val="-3"/>
                <w:sz w:val="16"/>
              </w:rPr>
              <w:t> </w:t>
            </w:r>
            <w:r>
              <w:rPr>
                <w:sz w:val="16"/>
              </w:rPr>
              <w:t>fund</w:t>
            </w:r>
            <w:r>
              <w:rPr>
                <w:spacing w:val="-4"/>
                <w:sz w:val="16"/>
              </w:rPr>
              <w:t> </w:t>
            </w:r>
            <w:r>
              <w:rPr>
                <w:sz w:val="16"/>
              </w:rPr>
              <w:t>for</w:t>
            </w:r>
            <w:r>
              <w:rPr>
                <w:spacing w:val="-3"/>
                <w:sz w:val="16"/>
              </w:rPr>
              <w:t> </w:t>
            </w:r>
            <w:r>
              <w:rPr>
                <w:sz w:val="16"/>
              </w:rPr>
              <w:t>Gaza</w:t>
            </w:r>
            <w:r>
              <w:rPr>
                <w:spacing w:val="-4"/>
                <w:sz w:val="16"/>
              </w:rPr>
              <w:t> </w:t>
            </w:r>
            <w:r>
              <w:rPr>
                <w:sz w:val="16"/>
              </w:rPr>
              <w:t>and</w:t>
            </w:r>
            <w:r>
              <w:rPr>
                <w:spacing w:val="-4"/>
                <w:sz w:val="16"/>
              </w:rPr>
              <w:t> </w:t>
            </w:r>
            <w:r>
              <w:rPr>
                <w:sz w:val="16"/>
              </w:rPr>
              <w:t>West</w:t>
            </w:r>
            <w:r>
              <w:rPr>
                <w:spacing w:val="-2"/>
                <w:sz w:val="16"/>
              </w:rPr>
              <w:t> </w:t>
            </w:r>
            <w:r>
              <w:rPr>
                <w:spacing w:val="-4"/>
                <w:sz w:val="16"/>
              </w:rPr>
              <w:t>Bank</w:t>
            </w:r>
          </w:p>
        </w:tc>
        <w:tc>
          <w:tcPr>
            <w:tcW w:w="331"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90"/>
              <w:jc w:val="center"/>
              <w:rPr>
                <w:sz w:val="16"/>
              </w:rPr>
            </w:pPr>
            <w:r>
              <w:rPr>
                <w:spacing w:val="-5"/>
                <w:sz w:val="16"/>
              </w:rPr>
              <w:t>80</w:t>
            </w:r>
          </w:p>
        </w:tc>
        <w:tc>
          <w:tcPr>
            <w:tcW w:w="368"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92"/>
              <w:jc w:val="center"/>
              <w:rPr>
                <w:sz w:val="16"/>
              </w:rPr>
            </w:pPr>
            <w:r>
              <w:rPr>
                <w:spacing w:val="-5"/>
                <w:sz w:val="16"/>
              </w:rPr>
              <w:t>80</w:t>
            </w:r>
          </w:p>
        </w:tc>
        <w:tc>
          <w:tcPr>
            <w:tcW w:w="368"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27"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right="64"/>
              <w:jc w:val="right"/>
              <w:rPr>
                <w:sz w:val="16"/>
              </w:rPr>
            </w:pPr>
            <w:r>
              <w:rPr>
                <w:spacing w:val="-5"/>
                <w:sz w:val="16"/>
              </w:rPr>
              <w:t>80</w:t>
            </w:r>
          </w:p>
        </w:tc>
      </w:tr>
      <w:tr>
        <w:trPr>
          <w:trHeight w:val="460" w:hRule="atLeast"/>
        </w:trPr>
        <w:tc>
          <w:tcPr>
            <w:tcW w:w="5055" w:type="dxa"/>
          </w:tcPr>
          <w:p>
            <w:pPr>
              <w:pStyle w:val="TableParagraph"/>
              <w:spacing w:before="16"/>
              <w:ind w:right="3766"/>
              <w:jc w:val="center"/>
              <w:rPr>
                <w:rFonts w:ascii="Arial"/>
                <w:b/>
                <w:sz w:val="16"/>
              </w:rPr>
            </w:pPr>
            <w:r>
              <w:rPr>
                <w:rFonts w:ascii="Arial"/>
                <w:b/>
                <w:sz w:val="16"/>
              </w:rPr>
              <w:t>Other</w:t>
            </w:r>
            <w:r>
              <w:rPr>
                <w:rFonts w:ascii="Arial"/>
                <w:b/>
                <w:spacing w:val="-2"/>
                <w:sz w:val="16"/>
              </w:rPr>
              <w:t> reserves:</w:t>
            </w:r>
          </w:p>
          <w:p>
            <w:pPr>
              <w:pStyle w:val="TableParagraph"/>
              <w:spacing w:line="184" w:lineRule="exact" w:before="56"/>
              <w:ind w:right="3823"/>
              <w:jc w:val="center"/>
              <w:rPr>
                <w:sz w:val="16"/>
              </w:rPr>
            </w:pPr>
            <w:r>
              <w:rPr>
                <w:sz w:val="16"/>
              </w:rPr>
              <w:t>GPG</w:t>
            </w:r>
            <w:r>
              <w:rPr>
                <w:spacing w:val="-2"/>
                <w:sz w:val="16"/>
              </w:rPr>
              <w:t> </w:t>
            </w:r>
            <w:r>
              <w:rPr>
                <w:spacing w:val="-4"/>
                <w:sz w:val="16"/>
              </w:rPr>
              <w:t>Fund</w:t>
            </w:r>
          </w:p>
        </w:tc>
        <w:tc>
          <w:tcPr>
            <w:tcW w:w="331"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90"/>
              <w:jc w:val="center"/>
              <w:rPr>
                <w:sz w:val="16"/>
              </w:rPr>
            </w:pPr>
            <w:r>
              <w:rPr>
                <w:spacing w:val="-5"/>
                <w:sz w:val="16"/>
              </w:rPr>
              <w:t>24</w:t>
            </w:r>
          </w:p>
        </w:tc>
        <w:tc>
          <w:tcPr>
            <w:tcW w:w="368"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49"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left="110"/>
              <w:jc w:val="center"/>
              <w:rPr>
                <w:sz w:val="16"/>
              </w:rPr>
            </w:pPr>
            <w:r>
              <w:rPr>
                <w:sz w:val="16"/>
              </w:rPr>
              <w:t>—</w:t>
            </w:r>
          </w:p>
        </w:tc>
        <w:tc>
          <w:tcPr>
            <w:tcW w:w="368" w:type="dxa"/>
            <w:tcBorders>
              <w:top w:val="single" w:sz="8" w:space="0" w:color="000000"/>
              <w:bottom w:val="single" w:sz="8" w:space="0" w:color="000000"/>
            </w:tcBorders>
          </w:tcPr>
          <w:p>
            <w:pPr>
              <w:pStyle w:val="TableParagraph"/>
              <w:rPr>
                <w:rFonts w:ascii="Times New Roman"/>
                <w:sz w:val="18"/>
              </w:rPr>
            </w:pPr>
          </w:p>
        </w:tc>
        <w:tc>
          <w:tcPr>
            <w:tcW w:w="637" w:type="dxa"/>
            <w:tcBorders>
              <w:top w:val="single" w:sz="8" w:space="0" w:color="000000"/>
              <w:bottom w:val="single" w:sz="8" w:space="0" w:color="000000"/>
            </w:tcBorders>
          </w:tcPr>
          <w:p>
            <w:pPr>
              <w:pStyle w:val="TableParagraph"/>
              <w:rPr>
                <w:rFonts w:ascii="Times New Roman"/>
                <w:sz w:val="18"/>
              </w:rPr>
            </w:pPr>
          </w:p>
        </w:tc>
        <w:tc>
          <w:tcPr>
            <w:tcW w:w="427" w:type="dxa"/>
            <w:tcBorders>
              <w:top w:val="single" w:sz="8" w:space="0" w:color="000000"/>
              <w:bottom w:val="single" w:sz="8" w:space="0" w:color="000000"/>
            </w:tcBorders>
          </w:tcPr>
          <w:p>
            <w:pPr>
              <w:pStyle w:val="TableParagraph"/>
              <w:spacing w:before="72"/>
              <w:rPr>
                <w:rFonts w:ascii="Arial"/>
                <w:i/>
                <w:sz w:val="16"/>
              </w:rPr>
            </w:pPr>
          </w:p>
          <w:p>
            <w:pPr>
              <w:pStyle w:val="TableParagraph"/>
              <w:spacing w:line="184" w:lineRule="exact"/>
              <w:ind w:right="64"/>
              <w:jc w:val="right"/>
              <w:rPr>
                <w:sz w:val="16"/>
              </w:rPr>
            </w:pPr>
            <w:r>
              <w:rPr>
                <w:sz w:val="16"/>
              </w:rPr>
              <w:t>—</w:t>
            </w:r>
          </w:p>
        </w:tc>
      </w:tr>
      <w:tr>
        <w:trPr>
          <w:trHeight w:val="200" w:hRule="atLeast"/>
        </w:trPr>
        <w:tc>
          <w:tcPr>
            <w:tcW w:w="5055" w:type="dxa"/>
          </w:tcPr>
          <w:p>
            <w:pPr>
              <w:pStyle w:val="TableParagraph"/>
              <w:spacing w:line="164" w:lineRule="exact" w:before="16"/>
              <w:ind w:left="52"/>
              <w:rPr>
                <w:sz w:val="16"/>
              </w:rPr>
            </w:pPr>
            <w:r>
              <w:rPr>
                <w:spacing w:val="-2"/>
                <w:sz w:val="16"/>
              </w:rPr>
              <w:t>Total</w:t>
            </w:r>
          </w:p>
        </w:tc>
        <w:tc>
          <w:tcPr>
            <w:tcW w:w="331" w:type="dxa"/>
            <w:tcBorders>
              <w:top w:val="single" w:sz="8" w:space="0" w:color="000000"/>
              <w:bottom w:val="double" w:sz="8" w:space="0" w:color="000000"/>
            </w:tcBorders>
          </w:tcPr>
          <w:p>
            <w:pPr>
              <w:pStyle w:val="TableParagraph"/>
              <w:spacing w:line="164" w:lineRule="exact" w:before="16"/>
              <w:ind w:right="134"/>
              <w:jc w:val="center"/>
              <w:rPr>
                <w:sz w:val="16"/>
              </w:rPr>
            </w:pPr>
            <w:r>
              <w:rPr>
                <w:spacing w:val="-10"/>
                <w:sz w:val="16"/>
              </w:rPr>
              <w:t>$</w:t>
            </w:r>
          </w:p>
        </w:tc>
        <w:tc>
          <w:tcPr>
            <w:tcW w:w="637" w:type="dxa"/>
            <w:tcBorders>
              <w:top w:val="single" w:sz="8" w:space="0" w:color="000000"/>
              <w:bottom w:val="double" w:sz="8" w:space="0" w:color="000000"/>
            </w:tcBorders>
          </w:tcPr>
          <w:p>
            <w:pPr>
              <w:pStyle w:val="TableParagraph"/>
              <w:rPr>
                <w:rFonts w:ascii="Times New Roman"/>
                <w:sz w:val="12"/>
              </w:rPr>
            </w:pPr>
          </w:p>
        </w:tc>
        <w:tc>
          <w:tcPr>
            <w:tcW w:w="449" w:type="dxa"/>
            <w:tcBorders>
              <w:top w:val="single" w:sz="8" w:space="0" w:color="000000"/>
              <w:bottom w:val="double" w:sz="8" w:space="0" w:color="000000"/>
            </w:tcBorders>
          </w:tcPr>
          <w:p>
            <w:pPr>
              <w:pStyle w:val="TableParagraph"/>
              <w:spacing w:line="164" w:lineRule="exact" w:before="16"/>
              <w:ind w:left="2"/>
              <w:jc w:val="center"/>
              <w:rPr>
                <w:sz w:val="16"/>
              </w:rPr>
            </w:pPr>
            <w:r>
              <w:rPr>
                <w:spacing w:val="-5"/>
                <w:sz w:val="16"/>
              </w:rPr>
              <w:t>221</w:t>
            </w:r>
          </w:p>
        </w:tc>
        <w:tc>
          <w:tcPr>
            <w:tcW w:w="368" w:type="dxa"/>
            <w:tcBorders>
              <w:top w:val="single" w:sz="8" w:space="0" w:color="000000"/>
              <w:bottom w:val="double" w:sz="8" w:space="0" w:color="000000"/>
            </w:tcBorders>
          </w:tcPr>
          <w:p>
            <w:pPr>
              <w:pStyle w:val="TableParagraph"/>
              <w:spacing w:line="164" w:lineRule="exact" w:before="16"/>
              <w:ind w:left="90"/>
              <w:rPr>
                <w:sz w:val="16"/>
              </w:rPr>
            </w:pPr>
            <w:r>
              <w:rPr>
                <w:spacing w:val="-10"/>
                <w:sz w:val="16"/>
              </w:rPr>
              <w:t>$</w:t>
            </w:r>
          </w:p>
        </w:tc>
        <w:tc>
          <w:tcPr>
            <w:tcW w:w="637" w:type="dxa"/>
            <w:tcBorders>
              <w:top w:val="single" w:sz="8" w:space="0" w:color="000000"/>
              <w:bottom w:val="double" w:sz="8" w:space="0" w:color="000000"/>
            </w:tcBorders>
          </w:tcPr>
          <w:p>
            <w:pPr>
              <w:pStyle w:val="TableParagraph"/>
              <w:rPr>
                <w:rFonts w:ascii="Times New Roman"/>
                <w:sz w:val="12"/>
              </w:rPr>
            </w:pPr>
          </w:p>
        </w:tc>
        <w:tc>
          <w:tcPr>
            <w:tcW w:w="449" w:type="dxa"/>
            <w:tcBorders>
              <w:top w:val="single" w:sz="8" w:space="0" w:color="000000"/>
              <w:bottom w:val="double" w:sz="8" w:space="0" w:color="000000"/>
            </w:tcBorders>
          </w:tcPr>
          <w:p>
            <w:pPr>
              <w:pStyle w:val="TableParagraph"/>
              <w:spacing w:line="164" w:lineRule="exact" w:before="16"/>
              <w:ind w:left="4"/>
              <w:jc w:val="center"/>
              <w:rPr>
                <w:sz w:val="16"/>
              </w:rPr>
            </w:pPr>
            <w:r>
              <w:rPr>
                <w:spacing w:val="-5"/>
                <w:sz w:val="16"/>
              </w:rPr>
              <w:t>354</w:t>
            </w:r>
          </w:p>
        </w:tc>
        <w:tc>
          <w:tcPr>
            <w:tcW w:w="368" w:type="dxa"/>
            <w:tcBorders>
              <w:top w:val="single" w:sz="8" w:space="0" w:color="000000"/>
              <w:bottom w:val="double" w:sz="8" w:space="0" w:color="000000"/>
            </w:tcBorders>
          </w:tcPr>
          <w:p>
            <w:pPr>
              <w:pStyle w:val="TableParagraph"/>
              <w:spacing w:line="164" w:lineRule="exact" w:before="16"/>
              <w:ind w:left="91"/>
              <w:rPr>
                <w:sz w:val="16"/>
              </w:rPr>
            </w:pPr>
            <w:r>
              <w:rPr>
                <w:spacing w:val="-10"/>
                <w:sz w:val="16"/>
              </w:rPr>
              <w:t>$</w:t>
            </w:r>
          </w:p>
        </w:tc>
        <w:tc>
          <w:tcPr>
            <w:tcW w:w="637" w:type="dxa"/>
            <w:tcBorders>
              <w:top w:val="single" w:sz="8" w:space="0" w:color="000000"/>
              <w:bottom w:val="double" w:sz="8" w:space="0" w:color="000000"/>
            </w:tcBorders>
          </w:tcPr>
          <w:p>
            <w:pPr>
              <w:pStyle w:val="TableParagraph"/>
              <w:rPr>
                <w:rFonts w:ascii="Times New Roman"/>
                <w:sz w:val="12"/>
              </w:rPr>
            </w:pPr>
          </w:p>
        </w:tc>
        <w:tc>
          <w:tcPr>
            <w:tcW w:w="427" w:type="dxa"/>
            <w:tcBorders>
              <w:top w:val="single" w:sz="8" w:space="0" w:color="000000"/>
              <w:bottom w:val="double" w:sz="8" w:space="0" w:color="000000"/>
            </w:tcBorders>
          </w:tcPr>
          <w:p>
            <w:pPr>
              <w:pStyle w:val="TableParagraph"/>
              <w:spacing w:line="164" w:lineRule="exact" w:before="16"/>
              <w:ind w:right="64"/>
              <w:jc w:val="right"/>
              <w:rPr>
                <w:sz w:val="16"/>
              </w:rPr>
            </w:pPr>
            <w:r>
              <w:rPr>
                <w:spacing w:val="-5"/>
                <w:sz w:val="16"/>
              </w:rPr>
              <w:t>411</w:t>
            </w:r>
          </w:p>
        </w:tc>
      </w:tr>
    </w:tbl>
    <w:p>
      <w:pPr>
        <w:pStyle w:val="BodyText"/>
        <w:spacing w:before="3"/>
        <w:rPr>
          <w:rFonts w:ascii="Arial"/>
          <w:i/>
          <w:sz w:val="15"/>
        </w:rPr>
      </w:pPr>
      <w:r>
        <w:rPr>
          <w:rFonts w:ascii="Arial"/>
          <w:i/>
          <w:sz w:val="15"/>
        </w:rPr>
        <mc:AlternateContent>
          <mc:Choice Requires="wps">
            <w:drawing>
              <wp:anchor distT="0" distB="0" distL="0" distR="0" allowOverlap="1" layoutInCell="1" locked="0" behindDoc="1" simplePos="0" relativeHeight="487736320">
                <wp:simplePos x="0" y="0"/>
                <wp:positionH relativeFrom="page">
                  <wp:posOffset>914400</wp:posOffset>
                </wp:positionH>
                <wp:positionV relativeFrom="paragraph">
                  <wp:posOffset>127000</wp:posOffset>
                </wp:positionV>
                <wp:extent cx="5943600" cy="1270"/>
                <wp:effectExtent l="0" t="0" r="0" b="0"/>
                <wp:wrapTopAndBottom/>
                <wp:docPr id="903" name="Graphic 903"/>
                <wp:cNvGraphicFramePr>
                  <a:graphicFrameLocks/>
                </wp:cNvGraphicFramePr>
                <a:graphic>
                  <a:graphicData uri="http://schemas.microsoft.com/office/word/2010/wordprocessingShape">
                    <wps:wsp>
                      <wps:cNvPr id="903" name="Graphic 90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pt;width:468pt;height:.1pt;mso-position-horizontal-relative:page;mso-position-vertical-relative:paragraph;z-index:-15580160;mso-wrap-distance-left:0;mso-wrap-distance-right:0" id="docshape744" coordorigin="1440,200" coordsize="9360,0" path="m1440,200l10800,200e" filled="false" stroked="true" strokeweight="1pt" strokecolor="#000000">
                <v:path arrowok="t"/>
                <v:stroke dashstyle="solid"/>
                <w10:wrap type="topAndBottom"/>
              </v:shape>
            </w:pict>
          </mc:Fallback>
        </mc:AlternateContent>
      </w:r>
    </w:p>
    <w:p>
      <w:pPr>
        <w:pStyle w:val="BodyText"/>
        <w:spacing w:line="249" w:lineRule="auto" w:before="162"/>
        <w:ind w:left="720" w:right="718"/>
        <w:jc w:val="both"/>
      </w:pPr>
      <w:r>
        <w:rPr/>
        <w:t>There</w:t>
      </w:r>
      <w:r>
        <w:rPr>
          <w:spacing w:val="24"/>
        </w:rPr>
        <w:t> </w:t>
      </w:r>
      <w:r>
        <w:rPr/>
        <w:t>were</w:t>
      </w:r>
      <w:r>
        <w:rPr>
          <w:spacing w:val="24"/>
        </w:rPr>
        <w:t> </w:t>
      </w:r>
      <w:r>
        <w:rPr/>
        <w:t>no</w:t>
      </w:r>
      <w:r>
        <w:rPr>
          <w:spacing w:val="24"/>
        </w:rPr>
        <w:t> </w:t>
      </w:r>
      <w:r>
        <w:rPr/>
        <w:t>amounts</w:t>
      </w:r>
      <w:r>
        <w:rPr>
          <w:spacing w:val="24"/>
        </w:rPr>
        <w:t> </w:t>
      </w:r>
      <w:r>
        <w:rPr/>
        <w:t>payable</w:t>
      </w:r>
      <w:r>
        <w:rPr>
          <w:spacing w:val="24"/>
        </w:rPr>
        <w:t> </w:t>
      </w:r>
      <w:r>
        <w:rPr/>
        <w:t>for</w:t>
      </w:r>
      <w:r>
        <w:rPr>
          <w:spacing w:val="24"/>
        </w:rPr>
        <w:t> </w:t>
      </w:r>
      <w:r>
        <w:rPr/>
        <w:t>the</w:t>
      </w:r>
      <w:r>
        <w:rPr>
          <w:spacing w:val="24"/>
        </w:rPr>
        <w:t> </w:t>
      </w:r>
      <w:r>
        <w:rPr/>
        <w:t>transfers</w:t>
      </w:r>
      <w:r>
        <w:rPr>
          <w:spacing w:val="24"/>
        </w:rPr>
        <w:t> </w:t>
      </w:r>
      <w:r>
        <w:rPr/>
        <w:t>approved</w:t>
      </w:r>
      <w:r>
        <w:rPr>
          <w:spacing w:val="24"/>
        </w:rPr>
        <w:t> </w:t>
      </w:r>
      <w:r>
        <w:rPr/>
        <w:t>by</w:t>
      </w:r>
      <w:r>
        <w:rPr>
          <w:spacing w:val="24"/>
        </w:rPr>
        <w:t> </w:t>
      </w:r>
      <w:r>
        <w:rPr/>
        <w:t>the</w:t>
      </w:r>
      <w:r>
        <w:rPr>
          <w:spacing w:val="24"/>
        </w:rPr>
        <w:t> </w:t>
      </w:r>
      <w:r>
        <w:rPr/>
        <w:t>Board</w:t>
      </w:r>
      <w:r>
        <w:rPr>
          <w:spacing w:val="24"/>
        </w:rPr>
        <w:t> </w:t>
      </w:r>
      <w:r>
        <w:rPr/>
        <w:t>of</w:t>
      </w:r>
      <w:r>
        <w:rPr>
          <w:spacing w:val="24"/>
        </w:rPr>
        <w:t> </w:t>
      </w:r>
      <w:r>
        <w:rPr/>
        <w:t>Governors</w:t>
      </w:r>
      <w:r>
        <w:rPr>
          <w:spacing w:val="24"/>
        </w:rPr>
        <w:t> </w:t>
      </w:r>
      <w:r>
        <w:rPr/>
        <w:t>as</w:t>
      </w:r>
      <w:r>
        <w:rPr>
          <w:spacing w:val="24"/>
        </w:rPr>
        <w:t> </w:t>
      </w:r>
      <w:r>
        <w:rPr/>
        <w:t>of</w:t>
      </w:r>
      <w:r>
        <w:rPr>
          <w:spacing w:val="24"/>
        </w:rPr>
        <w:t> </w:t>
      </w:r>
      <w:r>
        <w:rPr/>
        <w:t>June</w:t>
      </w:r>
      <w:r>
        <w:rPr>
          <w:spacing w:val="24"/>
        </w:rPr>
        <w:t> </w:t>
      </w:r>
      <w:r>
        <w:rPr/>
        <w:t>30,</w:t>
      </w:r>
      <w:r>
        <w:rPr>
          <w:spacing w:val="24"/>
        </w:rPr>
        <w:t> </w:t>
      </w:r>
      <w:r>
        <w:rPr/>
        <w:t>2023,</w:t>
      </w:r>
      <w:r>
        <w:rPr>
          <w:spacing w:val="24"/>
        </w:rPr>
        <w:t> </w:t>
      </w:r>
      <w:r>
        <w:rPr/>
        <w:t>and June 30, 2022.</w:t>
      </w:r>
    </w:p>
    <w:p>
      <w:pPr>
        <w:pStyle w:val="Heading3"/>
        <w:spacing w:before="183"/>
        <w:jc w:val="left"/>
      </w:pPr>
      <w:bookmarkStart w:name="NOTE H—TRANSACTIONS WITH AFFILIATED ORGA" w:id="213"/>
      <w:bookmarkEnd w:id="213"/>
      <w:r>
        <w:rPr>
          <w:b w:val="0"/>
        </w:rPr>
      </w:r>
      <w:r>
        <w:rPr/>
        <w:t>NOTE</w:t>
      </w:r>
      <w:r>
        <w:rPr>
          <w:spacing w:val="-7"/>
        </w:rPr>
        <w:t> </w:t>
      </w:r>
      <w:r>
        <w:rPr/>
        <w:t>H—TRANSACTIONS</w:t>
      </w:r>
      <w:r>
        <w:rPr>
          <w:spacing w:val="-4"/>
        </w:rPr>
        <w:t> </w:t>
      </w:r>
      <w:r>
        <w:rPr/>
        <w:t>WITH</w:t>
      </w:r>
      <w:r>
        <w:rPr>
          <w:spacing w:val="-5"/>
        </w:rPr>
        <w:t> </w:t>
      </w:r>
      <w:r>
        <w:rPr/>
        <w:t>AFFILIATED</w:t>
      </w:r>
      <w:r>
        <w:rPr>
          <w:spacing w:val="-4"/>
        </w:rPr>
        <w:t> </w:t>
      </w:r>
      <w:r>
        <w:rPr>
          <w:spacing w:val="-2"/>
        </w:rPr>
        <w:t>ORGANIZATIONS</w:t>
      </w:r>
    </w:p>
    <w:p>
      <w:pPr>
        <w:pStyle w:val="BodyText"/>
        <w:spacing w:line="249" w:lineRule="auto" w:before="129"/>
        <w:ind w:left="720" w:right="721"/>
        <w:jc w:val="both"/>
      </w:pPr>
      <w:r>
        <w:rPr/>
        <w:t>IBRD transacts with affiliated organizations by providing loans, administrative and derivative intermediation services, and through its pension and other postretirement benefit plans.</w:t>
      </w:r>
    </w:p>
    <w:p>
      <w:pPr>
        <w:pStyle w:val="BodyText"/>
        <w:spacing w:line="249" w:lineRule="auto" w:before="122"/>
        <w:ind w:left="720" w:right="720"/>
        <w:jc w:val="both"/>
      </w:pPr>
      <w:r>
        <w:rPr/>
        <w:t>In addition, IBRD provides transfers to IDA out of its net income, upon approval by the Board of Governors (see Note G—Retained Earnings, Allocations and Transfers).</w:t>
      </w:r>
    </w:p>
    <w:p>
      <w:pPr>
        <w:pStyle w:val="BodyText"/>
        <w:spacing w:before="122"/>
        <w:ind w:left="720"/>
      </w:pPr>
      <w:r>
        <w:rPr/>
        <w:t>IBRD</w:t>
      </w:r>
      <w:r>
        <w:rPr>
          <w:spacing w:val="-6"/>
        </w:rPr>
        <w:t> </w:t>
      </w:r>
      <w:r>
        <w:rPr/>
        <w:t>had</w:t>
      </w:r>
      <w:r>
        <w:rPr>
          <w:spacing w:val="-3"/>
        </w:rPr>
        <w:t> </w:t>
      </w:r>
      <w:r>
        <w:rPr/>
        <w:t>the</w:t>
      </w:r>
      <w:r>
        <w:rPr>
          <w:spacing w:val="-4"/>
        </w:rPr>
        <w:t> </w:t>
      </w:r>
      <w:r>
        <w:rPr/>
        <w:t>following</w:t>
      </w:r>
      <w:r>
        <w:rPr>
          <w:spacing w:val="-3"/>
        </w:rPr>
        <w:t> </w:t>
      </w:r>
      <w:r>
        <w:rPr/>
        <w:t>receivables</w:t>
      </w:r>
      <w:r>
        <w:rPr>
          <w:spacing w:val="-4"/>
        </w:rPr>
        <w:t> </w:t>
      </w:r>
      <w:r>
        <w:rPr/>
        <w:t>from</w:t>
      </w:r>
      <w:r>
        <w:rPr>
          <w:spacing w:val="-4"/>
        </w:rPr>
        <w:t> </w:t>
      </w:r>
      <w:r>
        <w:rPr/>
        <w:t>(payables</w:t>
      </w:r>
      <w:r>
        <w:rPr>
          <w:spacing w:val="-4"/>
        </w:rPr>
        <w:t> </w:t>
      </w:r>
      <w:r>
        <w:rPr/>
        <w:t>to)</w:t>
      </w:r>
      <w:r>
        <w:rPr>
          <w:spacing w:val="-3"/>
        </w:rPr>
        <w:t> </w:t>
      </w:r>
      <w:r>
        <w:rPr/>
        <w:t>its</w:t>
      </w:r>
      <w:r>
        <w:rPr>
          <w:spacing w:val="-4"/>
        </w:rPr>
        <w:t> </w:t>
      </w:r>
      <w:r>
        <w:rPr/>
        <w:t>affiliated</w:t>
      </w:r>
      <w:r>
        <w:rPr>
          <w:spacing w:val="-2"/>
        </w:rPr>
        <w:t> organizations:</w:t>
      </w:r>
    </w:p>
    <w:p>
      <w:pPr>
        <w:pStyle w:val="Heading8"/>
        <w:spacing w:before="126"/>
      </w:pPr>
      <w:r>
        <w:rPr/>
        <w:t>Table</w:t>
      </w:r>
      <w:r>
        <w:rPr>
          <w:spacing w:val="-7"/>
        </w:rPr>
        <w:t> </w:t>
      </w:r>
      <w:r>
        <w:rPr/>
        <w:t>H1:</w:t>
      </w:r>
      <w:r>
        <w:rPr>
          <w:spacing w:val="-3"/>
        </w:rPr>
        <w:t> </w:t>
      </w:r>
      <w:r>
        <w:rPr/>
        <w:t>IBRD’s</w:t>
      </w:r>
      <w:r>
        <w:rPr>
          <w:spacing w:val="-5"/>
        </w:rPr>
        <w:t> </w:t>
      </w:r>
      <w:r>
        <w:rPr/>
        <w:t>receivables</w:t>
      </w:r>
      <w:r>
        <w:rPr>
          <w:spacing w:val="-4"/>
        </w:rPr>
        <w:t> </w:t>
      </w:r>
      <w:r>
        <w:rPr/>
        <w:t>and</w:t>
      </w:r>
      <w:r>
        <w:rPr>
          <w:spacing w:val="-4"/>
        </w:rPr>
        <w:t> </w:t>
      </w:r>
      <w:r>
        <w:rPr/>
        <w:t>payables</w:t>
      </w:r>
      <w:r>
        <w:rPr>
          <w:spacing w:val="-5"/>
        </w:rPr>
        <w:t> </w:t>
      </w:r>
      <w:r>
        <w:rPr/>
        <w:t>with</w:t>
      </w:r>
      <w:r>
        <w:rPr>
          <w:spacing w:val="-4"/>
        </w:rPr>
        <w:t> </w:t>
      </w:r>
      <w:r>
        <w:rPr/>
        <w:t>affiliated</w:t>
      </w:r>
      <w:r>
        <w:rPr>
          <w:spacing w:val="-4"/>
        </w:rPr>
        <w:t> </w:t>
      </w:r>
      <w:r>
        <w:rPr>
          <w:spacing w:val="-2"/>
        </w:rPr>
        <w:t>organizations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36832">
                <wp:simplePos x="0" y="0"/>
                <wp:positionH relativeFrom="page">
                  <wp:posOffset>914400</wp:posOffset>
                </wp:positionH>
                <wp:positionV relativeFrom="paragraph">
                  <wp:posOffset>191758</wp:posOffset>
                </wp:positionV>
                <wp:extent cx="5943600" cy="127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99101pt;width:468pt;height:.1pt;mso-position-horizontal-relative:page;mso-position-vertical-relative:paragraph;z-index:-15579648;mso-wrap-distance-left:0;mso-wrap-distance-right:0" id="docshape745"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7773" w:val="left" w:leader="none"/>
        </w:tabs>
        <w:spacing w:before="16"/>
        <w:ind w:left="4113"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3"/>
          <w:sz w:val="16"/>
        </w:rPr>
        <w:t> </w:t>
      </w:r>
      <w:r>
        <w:rPr>
          <w:rFonts w:ascii="Arial"/>
          <w:i/>
          <w:sz w:val="16"/>
        </w:rPr>
        <w:t>30,</w:t>
      </w:r>
      <w:r>
        <w:rPr>
          <w:rFonts w:ascii="Arial"/>
          <w:i/>
          <w:spacing w:val="-2"/>
          <w:sz w:val="16"/>
        </w:rPr>
        <w:t> </w:t>
      </w:r>
      <w:r>
        <w:rPr>
          <w:rFonts w:ascii="Arial"/>
          <w:i/>
          <w:spacing w:val="-4"/>
          <w:sz w:val="16"/>
        </w:rPr>
        <w:t>2022</w:t>
      </w:r>
    </w:p>
    <w:p>
      <w:pPr>
        <w:pStyle w:val="BodyText"/>
        <w:spacing w:before="56"/>
        <w:rPr>
          <w:rFonts w:ascii="Arial"/>
          <w:i/>
          <w:sz w:val="16"/>
        </w:rPr>
      </w:pPr>
    </w:p>
    <w:p>
      <w:pPr>
        <w:spacing w:line="240" w:lineRule="atLeast" w:before="0"/>
        <w:ind w:left="772" w:right="7583"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79168">
                <wp:simplePos x="0" y="0"/>
                <wp:positionH relativeFrom="page">
                  <wp:posOffset>2209800</wp:posOffset>
                </wp:positionH>
                <wp:positionV relativeFrom="paragraph">
                  <wp:posOffset>-133330</wp:posOffset>
                </wp:positionV>
                <wp:extent cx="4686300" cy="131064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4686300" cy="13106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
                              <w:gridCol w:w="915"/>
                              <w:gridCol w:w="915"/>
                              <w:gridCol w:w="915"/>
                              <w:gridCol w:w="915"/>
                              <w:gridCol w:w="915"/>
                              <w:gridCol w:w="915"/>
                              <w:gridCol w:w="866"/>
                            </w:tblGrid>
                            <w:tr>
                              <w:trPr>
                                <w:trHeight w:val="220" w:hRule="atLeast"/>
                              </w:trPr>
                              <w:tc>
                                <w:tcPr>
                                  <w:tcW w:w="904" w:type="dxa"/>
                                  <w:tcBorders>
                                    <w:top w:val="single" w:sz="8" w:space="0" w:color="000000"/>
                                    <w:bottom w:val="single" w:sz="8" w:space="0" w:color="000000"/>
                                  </w:tcBorders>
                                </w:tcPr>
                                <w:p>
                                  <w:pPr>
                                    <w:pStyle w:val="TableParagraph"/>
                                    <w:spacing w:line="183" w:lineRule="exact" w:before="16"/>
                                    <w:ind w:left="294"/>
                                    <w:rPr>
                                      <w:rFonts w:ascii="Arial"/>
                                      <w:i/>
                                      <w:sz w:val="16"/>
                                    </w:rPr>
                                  </w:pPr>
                                  <w:r>
                                    <w:rPr>
                                      <w:rFonts w:ascii="Arial"/>
                                      <w:i/>
                                      <w:spacing w:val="-5"/>
                                      <w:sz w:val="16"/>
                                    </w:rPr>
                                    <w:t>IDA</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IFC</w:t>
                                  </w:r>
                                </w:p>
                              </w:tc>
                              <w:tc>
                                <w:tcPr>
                                  <w:tcW w:w="915" w:type="dxa"/>
                                  <w:tcBorders>
                                    <w:top w:val="single" w:sz="8" w:space="0" w:color="000000"/>
                                    <w:bottom w:val="single" w:sz="8" w:space="0" w:color="000000"/>
                                  </w:tcBorders>
                                </w:tcPr>
                                <w:p>
                                  <w:pPr>
                                    <w:pStyle w:val="TableParagraph"/>
                                    <w:spacing w:line="183" w:lineRule="exact" w:before="16"/>
                                    <w:ind w:left="234"/>
                                    <w:rPr>
                                      <w:rFonts w:ascii="Arial"/>
                                      <w:i/>
                                      <w:sz w:val="16"/>
                                    </w:rPr>
                                  </w:pPr>
                                  <w:r>
                                    <w:rPr>
                                      <w:rFonts w:ascii="Arial"/>
                                      <w:i/>
                                      <w:spacing w:val="-4"/>
                                      <w:sz w:val="16"/>
                                    </w:rPr>
                                    <w:t>MIGA</w:t>
                                  </w:r>
                                </w:p>
                              </w:tc>
                              <w:tc>
                                <w:tcPr>
                                  <w:tcW w:w="915" w:type="dxa"/>
                                  <w:tcBorders>
                                    <w:top w:val="single" w:sz="8" w:space="0" w:color="000000"/>
                                    <w:bottom w:val="single" w:sz="8" w:space="0" w:color="000000"/>
                                  </w:tcBorders>
                                </w:tcPr>
                                <w:p>
                                  <w:pPr>
                                    <w:pStyle w:val="TableParagraph"/>
                                    <w:spacing w:line="183" w:lineRule="exact" w:before="16"/>
                                    <w:ind w:left="261"/>
                                    <w:rPr>
                                      <w:rFonts w:ascii="Arial"/>
                                      <w:i/>
                                      <w:sz w:val="16"/>
                                    </w:rPr>
                                  </w:pPr>
                                  <w:r>
                                    <w:rPr>
                                      <w:rFonts w:ascii="Arial"/>
                                      <w:i/>
                                      <w:spacing w:val="-2"/>
                                      <w:sz w:val="16"/>
                                    </w:rPr>
                                    <w:t>Total</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IDA</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IFC</w:t>
                                  </w:r>
                                </w:p>
                              </w:tc>
                              <w:tc>
                                <w:tcPr>
                                  <w:tcW w:w="915" w:type="dxa"/>
                                  <w:tcBorders>
                                    <w:top w:val="single" w:sz="8" w:space="0" w:color="000000"/>
                                    <w:bottom w:val="single" w:sz="8" w:space="0" w:color="000000"/>
                                  </w:tcBorders>
                                </w:tcPr>
                                <w:p>
                                  <w:pPr>
                                    <w:pStyle w:val="TableParagraph"/>
                                    <w:spacing w:line="183" w:lineRule="exact" w:before="16"/>
                                    <w:ind w:left="234"/>
                                    <w:rPr>
                                      <w:rFonts w:ascii="Arial"/>
                                      <w:i/>
                                      <w:sz w:val="16"/>
                                    </w:rPr>
                                  </w:pPr>
                                  <w:r>
                                    <w:rPr>
                                      <w:rFonts w:ascii="Arial"/>
                                      <w:i/>
                                      <w:spacing w:val="-4"/>
                                      <w:sz w:val="16"/>
                                    </w:rPr>
                                    <w:t>MIGA</w:t>
                                  </w:r>
                                </w:p>
                              </w:tc>
                              <w:tc>
                                <w:tcPr>
                                  <w:tcW w:w="866" w:type="dxa"/>
                                  <w:tcBorders>
                                    <w:top w:val="single" w:sz="8" w:space="0" w:color="000000"/>
                                    <w:bottom w:val="single" w:sz="8" w:space="0" w:color="000000"/>
                                  </w:tcBorders>
                                </w:tcPr>
                                <w:p>
                                  <w:pPr>
                                    <w:pStyle w:val="TableParagraph"/>
                                    <w:spacing w:line="183" w:lineRule="exact" w:before="16"/>
                                    <w:ind w:left="261"/>
                                    <w:rPr>
                                      <w:rFonts w:ascii="Arial"/>
                                      <w:i/>
                                      <w:sz w:val="16"/>
                                    </w:rPr>
                                  </w:pPr>
                                  <w:r>
                                    <w:rPr>
                                      <w:rFonts w:ascii="Arial"/>
                                      <w:i/>
                                      <w:spacing w:val="-2"/>
                                      <w:sz w:val="16"/>
                                    </w:rPr>
                                    <w:t>Total</w:t>
                                  </w:r>
                                </w:p>
                              </w:tc>
                            </w:tr>
                            <w:tr>
                              <w:trPr>
                                <w:trHeight w:val="328" w:hRule="atLeast"/>
                              </w:trPr>
                              <w:tc>
                                <w:tcPr>
                                  <w:tcW w:w="904" w:type="dxa"/>
                                  <w:tcBorders>
                                    <w:top w:val="single" w:sz="8" w:space="0" w:color="000000"/>
                                  </w:tcBorders>
                                </w:tcPr>
                                <w:p>
                                  <w:pPr>
                                    <w:pStyle w:val="TableParagraph"/>
                                    <w:tabs>
                                      <w:tab w:pos="467" w:val="left" w:leader="none"/>
                                    </w:tabs>
                                    <w:spacing w:before="16"/>
                                    <w:ind w:right="115"/>
                                    <w:jc w:val="right"/>
                                    <w:rPr>
                                      <w:sz w:val="16"/>
                                    </w:rPr>
                                  </w:pPr>
                                  <w:r>
                                    <w:rPr>
                                      <w:spacing w:val="-10"/>
                                      <w:sz w:val="16"/>
                                    </w:rPr>
                                    <w:t>$</w:t>
                                  </w:r>
                                  <w:r>
                                    <w:rPr>
                                      <w:sz w:val="16"/>
                                    </w:rPr>
                                    <w:tab/>
                                  </w:r>
                                  <w:r>
                                    <w:rPr>
                                      <w:spacing w:val="-5"/>
                                      <w:sz w:val="16"/>
                                    </w:rPr>
                                    <w:t>594</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35</w:t>
                                  </w:r>
                                </w:p>
                              </w:tc>
                              <w:tc>
                                <w:tcPr>
                                  <w:tcW w:w="915" w:type="dxa"/>
                                  <w:tcBorders>
                                    <w:top w:val="single" w:sz="8" w:space="0" w:color="000000"/>
                                  </w:tcBorders>
                                </w:tcPr>
                                <w:p>
                                  <w:pPr>
                                    <w:pStyle w:val="TableParagraph"/>
                                    <w:tabs>
                                      <w:tab w:pos="619" w:val="left" w:leader="none"/>
                                    </w:tabs>
                                    <w:spacing w:before="16"/>
                                    <w:ind w:left="63"/>
                                    <w:rPr>
                                      <w:sz w:val="16"/>
                                    </w:rPr>
                                  </w:pPr>
                                  <w:r>
                                    <w:rPr>
                                      <w:spacing w:val="-10"/>
                                      <w:sz w:val="16"/>
                                    </w:rPr>
                                    <w:t>$</w:t>
                                  </w:r>
                                  <w:r>
                                    <w:rPr>
                                      <w:sz w:val="16"/>
                                    </w:rPr>
                                    <w:tab/>
                                  </w:r>
                                  <w:r>
                                    <w:rPr>
                                      <w:spacing w:val="-5"/>
                                      <w:sz w:val="16"/>
                                    </w:rPr>
                                    <w:t>10</w:t>
                                  </w:r>
                                </w:p>
                              </w:tc>
                              <w:tc>
                                <w:tcPr>
                                  <w:tcW w:w="915" w:type="dxa"/>
                                  <w:tcBorders>
                                    <w:top w:val="single" w:sz="8" w:space="0" w:color="000000"/>
                                  </w:tcBorders>
                                </w:tcPr>
                                <w:p>
                                  <w:pPr>
                                    <w:pStyle w:val="TableParagraph"/>
                                    <w:tabs>
                                      <w:tab w:pos="531" w:val="left" w:leader="none"/>
                                    </w:tabs>
                                    <w:spacing w:before="16"/>
                                    <w:ind w:left="63"/>
                                    <w:rPr>
                                      <w:sz w:val="16"/>
                                    </w:rPr>
                                  </w:pPr>
                                  <w:r>
                                    <w:rPr>
                                      <w:spacing w:val="-10"/>
                                      <w:sz w:val="16"/>
                                    </w:rPr>
                                    <w:t>$</w:t>
                                  </w:r>
                                  <w:r>
                                    <w:rPr>
                                      <w:sz w:val="16"/>
                                    </w:rPr>
                                    <w:tab/>
                                  </w:r>
                                  <w:r>
                                    <w:rPr>
                                      <w:spacing w:val="-5"/>
                                      <w:sz w:val="16"/>
                                    </w:rPr>
                                    <w:t>639</w:t>
                                  </w:r>
                                </w:p>
                              </w:tc>
                              <w:tc>
                                <w:tcPr>
                                  <w:tcW w:w="915" w:type="dxa"/>
                                  <w:tcBorders>
                                    <w:top w:val="single" w:sz="8" w:space="0" w:color="000000"/>
                                  </w:tcBorders>
                                </w:tcPr>
                                <w:p>
                                  <w:pPr>
                                    <w:pStyle w:val="TableParagraph"/>
                                    <w:tabs>
                                      <w:tab w:pos="531" w:val="left" w:leader="none"/>
                                    </w:tabs>
                                    <w:spacing w:before="16"/>
                                    <w:ind w:left="63"/>
                                    <w:rPr>
                                      <w:sz w:val="16"/>
                                    </w:rPr>
                                  </w:pPr>
                                  <w:r>
                                    <w:rPr>
                                      <w:spacing w:val="-10"/>
                                      <w:sz w:val="16"/>
                                    </w:rPr>
                                    <w:t>$</w:t>
                                  </w:r>
                                  <w:r>
                                    <w:rPr>
                                      <w:sz w:val="16"/>
                                    </w:rPr>
                                    <w:tab/>
                                  </w:r>
                                  <w:r>
                                    <w:rPr>
                                      <w:spacing w:val="-5"/>
                                      <w:sz w:val="16"/>
                                    </w:rPr>
                                    <w:t>578</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37</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14</w:t>
                                  </w:r>
                                </w:p>
                              </w:tc>
                              <w:tc>
                                <w:tcPr>
                                  <w:tcW w:w="866" w:type="dxa"/>
                                  <w:tcBorders>
                                    <w:top w:val="single" w:sz="8" w:space="0" w:color="000000"/>
                                  </w:tcBorders>
                                </w:tcPr>
                                <w:p>
                                  <w:pPr>
                                    <w:pStyle w:val="TableParagraph"/>
                                    <w:tabs>
                                      <w:tab w:pos="467" w:val="left" w:leader="none"/>
                                    </w:tabs>
                                    <w:spacing w:before="16"/>
                                    <w:ind w:right="66"/>
                                    <w:jc w:val="right"/>
                                    <w:rPr>
                                      <w:sz w:val="16"/>
                                    </w:rPr>
                                  </w:pPr>
                                  <w:r>
                                    <w:rPr>
                                      <w:spacing w:val="-10"/>
                                      <w:sz w:val="16"/>
                                    </w:rPr>
                                    <w:t>$</w:t>
                                  </w:r>
                                  <w:r>
                                    <w:rPr>
                                      <w:sz w:val="16"/>
                                    </w:rPr>
                                    <w:tab/>
                                  </w:r>
                                  <w:r>
                                    <w:rPr>
                                      <w:spacing w:val="-5"/>
                                      <w:sz w:val="16"/>
                                    </w:rPr>
                                    <w:t>629</w:t>
                                  </w:r>
                                </w:p>
                              </w:tc>
                            </w:tr>
                            <w:tr>
                              <w:trPr>
                                <w:trHeight w:val="435" w:hRule="atLeast"/>
                              </w:trPr>
                              <w:tc>
                                <w:tcPr>
                                  <w:tcW w:w="904" w:type="dxa"/>
                                </w:tcPr>
                                <w:p>
                                  <w:pPr>
                                    <w:pStyle w:val="TableParagraph"/>
                                    <w:spacing w:before="123"/>
                                    <w:ind w:left="-2115" w:right="61"/>
                                    <w:jc w:val="right"/>
                                    <w:rPr>
                                      <w:sz w:val="16"/>
                                    </w:rPr>
                                  </w:pPr>
                                  <w:r>
                                    <w:rPr>
                                      <w:spacing w:val="-2"/>
                                      <w:sz w:val="16"/>
                                    </w:rPr>
                                    <w:t>(579)</w:t>
                                  </w:r>
                                </w:p>
                              </w:tc>
                              <w:tc>
                                <w:tcPr>
                                  <w:tcW w:w="915" w:type="dxa"/>
                                </w:tcPr>
                                <w:p>
                                  <w:pPr>
                                    <w:pStyle w:val="TableParagraph"/>
                                    <w:spacing w:before="123"/>
                                    <w:ind w:right="61"/>
                                    <w:jc w:val="right"/>
                                    <w:rPr>
                                      <w:sz w:val="16"/>
                                    </w:rPr>
                                  </w:pPr>
                                  <w:r>
                                    <w:rPr>
                                      <w:spacing w:val="-2"/>
                                      <w:sz w:val="16"/>
                                    </w:rPr>
                                    <w:t>(385)</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61"/>
                                    <w:jc w:val="right"/>
                                    <w:rPr>
                                      <w:sz w:val="16"/>
                                    </w:rPr>
                                  </w:pPr>
                                  <w:r>
                                    <w:rPr>
                                      <w:spacing w:val="-2"/>
                                      <w:sz w:val="16"/>
                                    </w:rPr>
                                    <w:t>(964)</w:t>
                                  </w:r>
                                </w:p>
                              </w:tc>
                              <w:tc>
                                <w:tcPr>
                                  <w:tcW w:w="915" w:type="dxa"/>
                                </w:tcPr>
                                <w:p>
                                  <w:pPr>
                                    <w:pStyle w:val="TableParagraph"/>
                                    <w:spacing w:before="123"/>
                                    <w:ind w:right="61"/>
                                    <w:jc w:val="right"/>
                                    <w:rPr>
                                      <w:sz w:val="16"/>
                                    </w:rPr>
                                  </w:pPr>
                                  <w:r>
                                    <w:rPr>
                                      <w:spacing w:val="-2"/>
                                      <w:sz w:val="16"/>
                                    </w:rPr>
                                    <w:t>(404)</w:t>
                                  </w:r>
                                </w:p>
                              </w:tc>
                              <w:tc>
                                <w:tcPr>
                                  <w:tcW w:w="915" w:type="dxa"/>
                                </w:tcPr>
                                <w:p>
                                  <w:pPr>
                                    <w:pStyle w:val="TableParagraph"/>
                                    <w:spacing w:before="123"/>
                                    <w:ind w:right="61"/>
                                    <w:jc w:val="right"/>
                                    <w:rPr>
                                      <w:sz w:val="16"/>
                                    </w:rPr>
                                  </w:pPr>
                                  <w:r>
                                    <w:rPr>
                                      <w:spacing w:val="-2"/>
                                      <w:sz w:val="16"/>
                                    </w:rPr>
                                    <w:t>(260)</w:t>
                                  </w:r>
                                </w:p>
                              </w:tc>
                              <w:tc>
                                <w:tcPr>
                                  <w:tcW w:w="915" w:type="dxa"/>
                                </w:tcPr>
                                <w:p>
                                  <w:pPr>
                                    <w:pStyle w:val="TableParagraph"/>
                                    <w:spacing w:before="123"/>
                                    <w:ind w:right="115"/>
                                    <w:jc w:val="right"/>
                                    <w:rPr>
                                      <w:sz w:val="16"/>
                                    </w:rPr>
                                  </w:pPr>
                                  <w:r>
                                    <w:rPr>
                                      <w:sz w:val="16"/>
                                    </w:rPr>
                                    <w:t>—</w:t>
                                  </w:r>
                                </w:p>
                              </w:tc>
                              <w:tc>
                                <w:tcPr>
                                  <w:tcW w:w="866" w:type="dxa"/>
                                </w:tcPr>
                                <w:p>
                                  <w:pPr>
                                    <w:pStyle w:val="TableParagraph"/>
                                    <w:spacing w:before="123"/>
                                    <w:ind w:right="12"/>
                                    <w:jc w:val="right"/>
                                    <w:rPr>
                                      <w:sz w:val="16"/>
                                    </w:rPr>
                                  </w:pPr>
                                  <w:r>
                                    <w:rPr>
                                      <w:spacing w:val="-2"/>
                                      <w:sz w:val="16"/>
                                    </w:rPr>
                                    <w:t>(664)</w:t>
                                  </w:r>
                                </w:p>
                              </w:tc>
                            </w:tr>
                            <w:tr>
                              <w:trPr>
                                <w:trHeight w:val="435" w:hRule="atLeast"/>
                              </w:trPr>
                              <w:tc>
                                <w:tcPr>
                                  <w:tcW w:w="904"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pacing w:val="-10"/>
                                      <w:sz w:val="16"/>
                                    </w:rPr>
                                    <w:t>8</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866" w:type="dxa"/>
                                </w:tcPr>
                                <w:p>
                                  <w:pPr>
                                    <w:pStyle w:val="TableParagraph"/>
                                    <w:spacing w:before="123"/>
                                    <w:ind w:right="66"/>
                                    <w:jc w:val="right"/>
                                    <w:rPr>
                                      <w:sz w:val="16"/>
                                    </w:rPr>
                                  </w:pPr>
                                  <w:r>
                                    <w:rPr>
                                      <w:spacing w:val="-10"/>
                                      <w:sz w:val="16"/>
                                    </w:rPr>
                                    <w:t>8</w:t>
                                  </w:r>
                                </w:p>
                              </w:tc>
                            </w:tr>
                            <w:tr>
                              <w:trPr>
                                <w:trHeight w:val="326" w:hRule="atLeast"/>
                              </w:trPr>
                              <w:tc>
                                <w:tcPr>
                                  <w:tcW w:w="904" w:type="dxa"/>
                                  <w:tcBorders>
                                    <w:bottom w:val="single" w:sz="8" w:space="0" w:color="000000"/>
                                  </w:tcBorders>
                                </w:tcPr>
                                <w:p>
                                  <w:pPr>
                                    <w:pStyle w:val="TableParagraph"/>
                                    <w:spacing w:line="184" w:lineRule="exact" w:before="123"/>
                                    <w:ind w:left="-2115" w:right="61"/>
                                    <w:jc w:val="right"/>
                                    <w:rPr>
                                      <w:sz w:val="16"/>
                                    </w:rPr>
                                  </w:pPr>
                                  <w:r>
                                    <w:rPr>
                                      <w:spacing w:val="-2"/>
                                      <w:sz w:val="16"/>
                                    </w:rPr>
                                    <w:t>(712)</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(704)</w:t>
                                  </w:r>
                                </w:p>
                              </w:tc>
                              <w:tc>
                                <w:tcPr>
                                  <w:tcW w:w="915" w:type="dxa"/>
                                  <w:tcBorders>
                                    <w:bottom w:val="single" w:sz="8" w:space="0" w:color="000000"/>
                                  </w:tcBorders>
                                </w:tcPr>
                                <w:p>
                                  <w:pPr>
                                    <w:pStyle w:val="TableParagraph"/>
                                    <w:spacing w:line="184" w:lineRule="exact" w:before="123"/>
                                    <w:ind w:right="61"/>
                                    <w:jc w:val="right"/>
                                    <w:rPr>
                                      <w:sz w:val="16"/>
                                    </w:rPr>
                                  </w:pPr>
                                  <w:r>
                                    <w:rPr>
                                      <w:spacing w:val="-4"/>
                                      <w:sz w:val="16"/>
                                    </w:rPr>
                                    <w:t>(27)</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(1,443)</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(602)</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(640)</w:t>
                                  </w:r>
                                </w:p>
                              </w:tc>
                              <w:tc>
                                <w:tcPr>
                                  <w:tcW w:w="915" w:type="dxa"/>
                                  <w:tcBorders>
                                    <w:bottom w:val="single" w:sz="8" w:space="0" w:color="000000"/>
                                  </w:tcBorders>
                                </w:tcPr>
                                <w:p>
                                  <w:pPr>
                                    <w:pStyle w:val="TableParagraph"/>
                                    <w:spacing w:line="184" w:lineRule="exact" w:before="123"/>
                                    <w:ind w:right="61"/>
                                    <w:jc w:val="right"/>
                                    <w:rPr>
                                      <w:sz w:val="16"/>
                                    </w:rPr>
                                  </w:pPr>
                                  <w:r>
                                    <w:rPr>
                                      <w:spacing w:val="-4"/>
                                      <w:sz w:val="16"/>
                                    </w:rPr>
                                    <w:t>(25)</w:t>
                                  </w:r>
                                </w:p>
                              </w:tc>
                              <w:tc>
                                <w:tcPr>
                                  <w:tcW w:w="866" w:type="dxa"/>
                                  <w:tcBorders>
                                    <w:bottom w:val="single" w:sz="8" w:space="0" w:color="000000"/>
                                  </w:tcBorders>
                                </w:tcPr>
                                <w:p>
                                  <w:pPr>
                                    <w:pStyle w:val="TableParagraph"/>
                                    <w:spacing w:line="184" w:lineRule="exact" w:before="123"/>
                                    <w:ind w:right="12"/>
                                    <w:jc w:val="right"/>
                                    <w:rPr>
                                      <w:sz w:val="16"/>
                                    </w:rPr>
                                  </w:pPr>
                                  <w:r>
                                    <w:rPr>
                                      <w:spacing w:val="-2"/>
                                      <w:sz w:val="16"/>
                                    </w:rPr>
                                    <w:t>(1,267)</w:t>
                                  </w:r>
                                </w:p>
                              </w:tc>
                            </w:tr>
                            <w:tr>
                              <w:trPr>
                                <w:trHeight w:val="200" w:hRule="atLeast"/>
                              </w:trPr>
                              <w:tc>
                                <w:tcPr>
                                  <w:tcW w:w="904"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(697)</w:t>
                                  </w:r>
                                </w:p>
                              </w:tc>
                              <w:tc>
                                <w:tcPr>
                                  <w:tcW w:w="915" w:type="dxa"/>
                                  <w:tcBorders>
                                    <w:top w:val="single" w:sz="8" w:space="0" w:color="000000"/>
                                    <w:bottom w:val="double" w:sz="8" w:space="0" w:color="000000"/>
                                  </w:tcBorders>
                                </w:tcPr>
                                <w:p>
                                  <w:pPr>
                                    <w:pStyle w:val="TableParagraph"/>
                                    <w:spacing w:line="164" w:lineRule="exact" w:before="16"/>
                                    <w:ind w:right="61"/>
                                    <w:jc w:val="right"/>
                                    <w:rPr>
                                      <w:sz w:val="16"/>
                                    </w:rPr>
                                  </w:pPr>
                                  <w:r>
                                    <w:rPr>
                                      <w:sz w:val="16"/>
                                    </w:rPr>
                                    <w:t>$</w:t>
                                  </w:r>
                                  <w:r>
                                    <w:rPr>
                                      <w:spacing w:val="51"/>
                                      <w:sz w:val="16"/>
                                    </w:rPr>
                                    <w:t>  </w:t>
                                  </w:r>
                                  <w:r>
                                    <w:rPr>
                                      <w:spacing w:val="-2"/>
                                      <w:sz w:val="16"/>
                                    </w:rPr>
                                    <w:t>(1,054)</w:t>
                                  </w:r>
                                </w:p>
                              </w:tc>
                              <w:tc>
                                <w:tcPr>
                                  <w:tcW w:w="915" w:type="dxa"/>
                                  <w:tcBorders>
                                    <w:top w:val="single" w:sz="8" w:space="0" w:color="000000"/>
                                    <w:bottom w:val="double" w:sz="8" w:space="0" w:color="000000"/>
                                  </w:tcBorders>
                                </w:tcPr>
                                <w:p>
                                  <w:pPr>
                                    <w:pStyle w:val="TableParagraph"/>
                                    <w:tabs>
                                      <w:tab w:pos="503" w:val="left" w:leader="none"/>
                                    </w:tabs>
                                    <w:spacing w:line="164" w:lineRule="exact" w:before="16"/>
                                    <w:ind w:right="61"/>
                                    <w:jc w:val="right"/>
                                    <w:rPr>
                                      <w:sz w:val="16"/>
                                    </w:rPr>
                                  </w:pPr>
                                  <w:r>
                                    <w:rPr>
                                      <w:spacing w:val="-10"/>
                                      <w:sz w:val="16"/>
                                    </w:rPr>
                                    <w:t>$</w:t>
                                  </w:r>
                                  <w:r>
                                    <w:rPr>
                                      <w:sz w:val="16"/>
                                    </w:rPr>
                                    <w:tab/>
                                  </w:r>
                                  <w:r>
                                    <w:rPr>
                                      <w:spacing w:val="-4"/>
                                      <w:sz w:val="16"/>
                                    </w:rPr>
                                    <w:t>(17)</w:t>
                                  </w:r>
                                </w:p>
                              </w:tc>
                              <w:tc>
                                <w:tcPr>
                                  <w:tcW w:w="915" w:type="dxa"/>
                                  <w:tcBorders>
                                    <w:top w:val="single" w:sz="8" w:space="0" w:color="000000"/>
                                    <w:bottom w:val="double" w:sz="8" w:space="0" w:color="000000"/>
                                  </w:tcBorders>
                                </w:tcPr>
                                <w:p>
                                  <w:pPr>
                                    <w:pStyle w:val="TableParagraph"/>
                                    <w:spacing w:line="164" w:lineRule="exact" w:before="16"/>
                                    <w:ind w:left="63"/>
                                    <w:rPr>
                                      <w:sz w:val="16"/>
                                    </w:rPr>
                                  </w:pPr>
                                  <w:r>
                                    <w:rPr>
                                      <w:sz w:val="16"/>
                                    </w:rPr>
                                    <w:t>$</w:t>
                                  </w:r>
                                  <w:r>
                                    <w:rPr>
                                      <w:spacing w:val="51"/>
                                      <w:sz w:val="16"/>
                                    </w:rPr>
                                    <w:t>  </w:t>
                                  </w:r>
                                  <w:r>
                                    <w:rPr>
                                      <w:spacing w:val="-2"/>
                                      <w:sz w:val="16"/>
                                    </w:rPr>
                                    <w:t>(1,768)</w:t>
                                  </w:r>
                                </w:p>
                              </w:tc>
                              <w:tc>
                                <w:tcPr>
                                  <w:tcW w:w="915"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(420)</w:t>
                                  </w:r>
                                </w:p>
                              </w:tc>
                              <w:tc>
                                <w:tcPr>
                                  <w:tcW w:w="915"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(863)</w:t>
                                  </w:r>
                                </w:p>
                              </w:tc>
                              <w:tc>
                                <w:tcPr>
                                  <w:tcW w:w="915" w:type="dxa"/>
                                  <w:tcBorders>
                                    <w:top w:val="single" w:sz="8" w:space="0" w:color="000000"/>
                                    <w:bottom w:val="double" w:sz="8" w:space="0" w:color="000000"/>
                                  </w:tcBorders>
                                </w:tcPr>
                                <w:p>
                                  <w:pPr>
                                    <w:pStyle w:val="TableParagraph"/>
                                    <w:tabs>
                                      <w:tab w:pos="503" w:val="left" w:leader="none"/>
                                    </w:tabs>
                                    <w:spacing w:line="164" w:lineRule="exact" w:before="16"/>
                                    <w:ind w:right="61"/>
                                    <w:jc w:val="right"/>
                                    <w:rPr>
                                      <w:sz w:val="16"/>
                                    </w:rPr>
                                  </w:pPr>
                                  <w:r>
                                    <w:rPr>
                                      <w:spacing w:val="-10"/>
                                      <w:sz w:val="16"/>
                                    </w:rPr>
                                    <w:t>$</w:t>
                                  </w:r>
                                  <w:r>
                                    <w:rPr>
                                      <w:sz w:val="16"/>
                                    </w:rPr>
                                    <w:tab/>
                                  </w:r>
                                  <w:r>
                                    <w:rPr>
                                      <w:spacing w:val="-4"/>
                                      <w:sz w:val="16"/>
                                    </w:rPr>
                                    <w:t>(11)</w:t>
                                  </w:r>
                                </w:p>
                              </w:tc>
                              <w:tc>
                                <w:tcPr>
                                  <w:tcW w:w="866" w:type="dxa"/>
                                  <w:tcBorders>
                                    <w:top w:val="single" w:sz="8" w:space="0" w:color="000000"/>
                                    <w:bottom w:val="double" w:sz="8" w:space="0" w:color="000000"/>
                                  </w:tcBorders>
                                </w:tcPr>
                                <w:p>
                                  <w:pPr>
                                    <w:pStyle w:val="TableParagraph"/>
                                    <w:spacing w:line="164" w:lineRule="exact" w:before="16"/>
                                    <w:ind w:right="12"/>
                                    <w:jc w:val="right"/>
                                    <w:rPr>
                                      <w:sz w:val="16"/>
                                    </w:rPr>
                                  </w:pPr>
                                  <w:r>
                                    <w:rPr>
                                      <w:sz w:val="16"/>
                                    </w:rPr>
                                    <w:t>$</w:t>
                                  </w:r>
                                  <w:r>
                                    <w:rPr>
                                      <w:spacing w:val="51"/>
                                      <w:sz w:val="16"/>
                                    </w:rPr>
                                    <w:t>  </w:t>
                                  </w:r>
                                  <w:r>
                                    <w:rPr>
                                      <w:spacing w:val="-2"/>
                                      <w:sz w:val="16"/>
                                    </w:rPr>
                                    <w:t>(1,294)</w:t>
                                  </w:r>
                                </w:p>
                              </w:tc>
                            </w:tr>
                          </w:tbl>
                          <w:p>
                            <w:pPr>
                              <w:pStyle w:val="BodyText"/>
                            </w:pPr>
                          </w:p>
                        </w:txbxContent>
                      </wps:txbx>
                      <wps:bodyPr wrap="square" lIns="0" tIns="0" rIns="0" bIns="0" rtlCol="0">
                        <a:noAutofit/>
                      </wps:bodyPr>
                    </wps:wsp>
                  </a:graphicData>
                </a:graphic>
              </wp:anchor>
            </w:drawing>
          </mc:Choice>
          <mc:Fallback>
            <w:pict>
              <v:shape style="position:absolute;margin-left:174pt;margin-top:-10.498438pt;width:369pt;height:103.2pt;mso-position-horizontal-relative:page;mso-position-vertical-relative:paragraph;z-index:15879168" type="#_x0000_t202" id="docshape7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4"/>
                        <w:gridCol w:w="915"/>
                        <w:gridCol w:w="915"/>
                        <w:gridCol w:w="915"/>
                        <w:gridCol w:w="915"/>
                        <w:gridCol w:w="915"/>
                        <w:gridCol w:w="915"/>
                        <w:gridCol w:w="866"/>
                      </w:tblGrid>
                      <w:tr>
                        <w:trPr>
                          <w:trHeight w:val="220" w:hRule="atLeast"/>
                        </w:trPr>
                        <w:tc>
                          <w:tcPr>
                            <w:tcW w:w="904" w:type="dxa"/>
                            <w:tcBorders>
                              <w:top w:val="single" w:sz="8" w:space="0" w:color="000000"/>
                              <w:bottom w:val="single" w:sz="8" w:space="0" w:color="000000"/>
                            </w:tcBorders>
                          </w:tcPr>
                          <w:p>
                            <w:pPr>
                              <w:pStyle w:val="TableParagraph"/>
                              <w:spacing w:line="183" w:lineRule="exact" w:before="16"/>
                              <w:ind w:left="294"/>
                              <w:rPr>
                                <w:rFonts w:ascii="Arial"/>
                                <w:i/>
                                <w:sz w:val="16"/>
                              </w:rPr>
                            </w:pPr>
                            <w:r>
                              <w:rPr>
                                <w:rFonts w:ascii="Arial"/>
                                <w:i/>
                                <w:spacing w:val="-5"/>
                                <w:sz w:val="16"/>
                              </w:rPr>
                              <w:t>IDA</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IFC</w:t>
                            </w:r>
                          </w:p>
                        </w:tc>
                        <w:tc>
                          <w:tcPr>
                            <w:tcW w:w="915" w:type="dxa"/>
                            <w:tcBorders>
                              <w:top w:val="single" w:sz="8" w:space="0" w:color="000000"/>
                              <w:bottom w:val="single" w:sz="8" w:space="0" w:color="000000"/>
                            </w:tcBorders>
                          </w:tcPr>
                          <w:p>
                            <w:pPr>
                              <w:pStyle w:val="TableParagraph"/>
                              <w:spacing w:line="183" w:lineRule="exact" w:before="16"/>
                              <w:ind w:left="234"/>
                              <w:rPr>
                                <w:rFonts w:ascii="Arial"/>
                                <w:i/>
                                <w:sz w:val="16"/>
                              </w:rPr>
                            </w:pPr>
                            <w:r>
                              <w:rPr>
                                <w:rFonts w:ascii="Arial"/>
                                <w:i/>
                                <w:spacing w:val="-4"/>
                                <w:sz w:val="16"/>
                              </w:rPr>
                              <w:t>MIGA</w:t>
                            </w:r>
                          </w:p>
                        </w:tc>
                        <w:tc>
                          <w:tcPr>
                            <w:tcW w:w="915" w:type="dxa"/>
                            <w:tcBorders>
                              <w:top w:val="single" w:sz="8" w:space="0" w:color="000000"/>
                              <w:bottom w:val="single" w:sz="8" w:space="0" w:color="000000"/>
                            </w:tcBorders>
                          </w:tcPr>
                          <w:p>
                            <w:pPr>
                              <w:pStyle w:val="TableParagraph"/>
                              <w:spacing w:line="183" w:lineRule="exact" w:before="16"/>
                              <w:ind w:left="261"/>
                              <w:rPr>
                                <w:rFonts w:ascii="Arial"/>
                                <w:i/>
                                <w:sz w:val="16"/>
                              </w:rPr>
                            </w:pPr>
                            <w:r>
                              <w:rPr>
                                <w:rFonts w:ascii="Arial"/>
                                <w:i/>
                                <w:spacing w:val="-2"/>
                                <w:sz w:val="16"/>
                              </w:rPr>
                              <w:t>Total</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IDA</w:t>
                            </w:r>
                          </w:p>
                        </w:tc>
                        <w:tc>
                          <w:tcPr>
                            <w:tcW w:w="915" w:type="dxa"/>
                            <w:tcBorders>
                              <w:top w:val="single" w:sz="8" w:space="0" w:color="000000"/>
                              <w:bottom w:val="single" w:sz="8" w:space="0" w:color="000000"/>
                            </w:tcBorders>
                          </w:tcPr>
                          <w:p>
                            <w:pPr>
                              <w:pStyle w:val="TableParagraph"/>
                              <w:spacing w:line="183" w:lineRule="exact" w:before="16"/>
                              <w:ind w:right="35"/>
                              <w:jc w:val="center"/>
                              <w:rPr>
                                <w:rFonts w:ascii="Arial"/>
                                <w:i/>
                                <w:sz w:val="16"/>
                              </w:rPr>
                            </w:pPr>
                            <w:r>
                              <w:rPr>
                                <w:rFonts w:ascii="Arial"/>
                                <w:i/>
                                <w:spacing w:val="-5"/>
                                <w:sz w:val="16"/>
                              </w:rPr>
                              <w:t>IFC</w:t>
                            </w:r>
                          </w:p>
                        </w:tc>
                        <w:tc>
                          <w:tcPr>
                            <w:tcW w:w="915" w:type="dxa"/>
                            <w:tcBorders>
                              <w:top w:val="single" w:sz="8" w:space="0" w:color="000000"/>
                              <w:bottom w:val="single" w:sz="8" w:space="0" w:color="000000"/>
                            </w:tcBorders>
                          </w:tcPr>
                          <w:p>
                            <w:pPr>
                              <w:pStyle w:val="TableParagraph"/>
                              <w:spacing w:line="183" w:lineRule="exact" w:before="16"/>
                              <w:ind w:left="234"/>
                              <w:rPr>
                                <w:rFonts w:ascii="Arial"/>
                                <w:i/>
                                <w:sz w:val="16"/>
                              </w:rPr>
                            </w:pPr>
                            <w:r>
                              <w:rPr>
                                <w:rFonts w:ascii="Arial"/>
                                <w:i/>
                                <w:spacing w:val="-4"/>
                                <w:sz w:val="16"/>
                              </w:rPr>
                              <w:t>MIGA</w:t>
                            </w:r>
                          </w:p>
                        </w:tc>
                        <w:tc>
                          <w:tcPr>
                            <w:tcW w:w="866" w:type="dxa"/>
                            <w:tcBorders>
                              <w:top w:val="single" w:sz="8" w:space="0" w:color="000000"/>
                              <w:bottom w:val="single" w:sz="8" w:space="0" w:color="000000"/>
                            </w:tcBorders>
                          </w:tcPr>
                          <w:p>
                            <w:pPr>
                              <w:pStyle w:val="TableParagraph"/>
                              <w:spacing w:line="183" w:lineRule="exact" w:before="16"/>
                              <w:ind w:left="261"/>
                              <w:rPr>
                                <w:rFonts w:ascii="Arial"/>
                                <w:i/>
                                <w:sz w:val="16"/>
                              </w:rPr>
                            </w:pPr>
                            <w:r>
                              <w:rPr>
                                <w:rFonts w:ascii="Arial"/>
                                <w:i/>
                                <w:spacing w:val="-2"/>
                                <w:sz w:val="16"/>
                              </w:rPr>
                              <w:t>Total</w:t>
                            </w:r>
                          </w:p>
                        </w:tc>
                      </w:tr>
                      <w:tr>
                        <w:trPr>
                          <w:trHeight w:val="328" w:hRule="atLeast"/>
                        </w:trPr>
                        <w:tc>
                          <w:tcPr>
                            <w:tcW w:w="904" w:type="dxa"/>
                            <w:tcBorders>
                              <w:top w:val="single" w:sz="8" w:space="0" w:color="000000"/>
                            </w:tcBorders>
                          </w:tcPr>
                          <w:p>
                            <w:pPr>
                              <w:pStyle w:val="TableParagraph"/>
                              <w:tabs>
                                <w:tab w:pos="467" w:val="left" w:leader="none"/>
                              </w:tabs>
                              <w:spacing w:before="16"/>
                              <w:ind w:right="115"/>
                              <w:jc w:val="right"/>
                              <w:rPr>
                                <w:sz w:val="16"/>
                              </w:rPr>
                            </w:pPr>
                            <w:r>
                              <w:rPr>
                                <w:spacing w:val="-10"/>
                                <w:sz w:val="16"/>
                              </w:rPr>
                              <w:t>$</w:t>
                            </w:r>
                            <w:r>
                              <w:rPr>
                                <w:sz w:val="16"/>
                              </w:rPr>
                              <w:tab/>
                            </w:r>
                            <w:r>
                              <w:rPr>
                                <w:spacing w:val="-5"/>
                                <w:sz w:val="16"/>
                              </w:rPr>
                              <w:t>594</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35</w:t>
                            </w:r>
                          </w:p>
                        </w:tc>
                        <w:tc>
                          <w:tcPr>
                            <w:tcW w:w="915" w:type="dxa"/>
                            <w:tcBorders>
                              <w:top w:val="single" w:sz="8" w:space="0" w:color="000000"/>
                            </w:tcBorders>
                          </w:tcPr>
                          <w:p>
                            <w:pPr>
                              <w:pStyle w:val="TableParagraph"/>
                              <w:tabs>
                                <w:tab w:pos="619" w:val="left" w:leader="none"/>
                              </w:tabs>
                              <w:spacing w:before="16"/>
                              <w:ind w:left="63"/>
                              <w:rPr>
                                <w:sz w:val="16"/>
                              </w:rPr>
                            </w:pPr>
                            <w:r>
                              <w:rPr>
                                <w:spacing w:val="-10"/>
                                <w:sz w:val="16"/>
                              </w:rPr>
                              <w:t>$</w:t>
                            </w:r>
                            <w:r>
                              <w:rPr>
                                <w:sz w:val="16"/>
                              </w:rPr>
                              <w:tab/>
                            </w:r>
                            <w:r>
                              <w:rPr>
                                <w:spacing w:val="-5"/>
                                <w:sz w:val="16"/>
                              </w:rPr>
                              <w:t>10</w:t>
                            </w:r>
                          </w:p>
                        </w:tc>
                        <w:tc>
                          <w:tcPr>
                            <w:tcW w:w="915" w:type="dxa"/>
                            <w:tcBorders>
                              <w:top w:val="single" w:sz="8" w:space="0" w:color="000000"/>
                            </w:tcBorders>
                          </w:tcPr>
                          <w:p>
                            <w:pPr>
                              <w:pStyle w:val="TableParagraph"/>
                              <w:tabs>
                                <w:tab w:pos="531" w:val="left" w:leader="none"/>
                              </w:tabs>
                              <w:spacing w:before="16"/>
                              <w:ind w:left="63"/>
                              <w:rPr>
                                <w:sz w:val="16"/>
                              </w:rPr>
                            </w:pPr>
                            <w:r>
                              <w:rPr>
                                <w:spacing w:val="-10"/>
                                <w:sz w:val="16"/>
                              </w:rPr>
                              <w:t>$</w:t>
                            </w:r>
                            <w:r>
                              <w:rPr>
                                <w:sz w:val="16"/>
                              </w:rPr>
                              <w:tab/>
                            </w:r>
                            <w:r>
                              <w:rPr>
                                <w:spacing w:val="-5"/>
                                <w:sz w:val="16"/>
                              </w:rPr>
                              <w:t>639</w:t>
                            </w:r>
                          </w:p>
                        </w:tc>
                        <w:tc>
                          <w:tcPr>
                            <w:tcW w:w="915" w:type="dxa"/>
                            <w:tcBorders>
                              <w:top w:val="single" w:sz="8" w:space="0" w:color="000000"/>
                            </w:tcBorders>
                          </w:tcPr>
                          <w:p>
                            <w:pPr>
                              <w:pStyle w:val="TableParagraph"/>
                              <w:tabs>
                                <w:tab w:pos="531" w:val="left" w:leader="none"/>
                              </w:tabs>
                              <w:spacing w:before="16"/>
                              <w:ind w:left="63"/>
                              <w:rPr>
                                <w:sz w:val="16"/>
                              </w:rPr>
                            </w:pPr>
                            <w:r>
                              <w:rPr>
                                <w:spacing w:val="-10"/>
                                <w:sz w:val="16"/>
                              </w:rPr>
                              <w:t>$</w:t>
                            </w:r>
                            <w:r>
                              <w:rPr>
                                <w:sz w:val="16"/>
                              </w:rPr>
                              <w:tab/>
                            </w:r>
                            <w:r>
                              <w:rPr>
                                <w:spacing w:val="-5"/>
                                <w:sz w:val="16"/>
                              </w:rPr>
                              <w:t>578</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37</w:t>
                            </w:r>
                          </w:p>
                        </w:tc>
                        <w:tc>
                          <w:tcPr>
                            <w:tcW w:w="915" w:type="dxa"/>
                            <w:tcBorders>
                              <w:top w:val="single" w:sz="8" w:space="0" w:color="000000"/>
                            </w:tcBorders>
                          </w:tcPr>
                          <w:p>
                            <w:pPr>
                              <w:pStyle w:val="TableParagraph"/>
                              <w:tabs>
                                <w:tab w:pos="556" w:val="left" w:leader="none"/>
                              </w:tabs>
                              <w:spacing w:before="16"/>
                              <w:ind w:right="115"/>
                              <w:jc w:val="right"/>
                              <w:rPr>
                                <w:sz w:val="16"/>
                              </w:rPr>
                            </w:pPr>
                            <w:r>
                              <w:rPr>
                                <w:spacing w:val="-10"/>
                                <w:sz w:val="16"/>
                              </w:rPr>
                              <w:t>$</w:t>
                            </w:r>
                            <w:r>
                              <w:rPr>
                                <w:sz w:val="16"/>
                              </w:rPr>
                              <w:tab/>
                            </w:r>
                            <w:r>
                              <w:rPr>
                                <w:spacing w:val="-5"/>
                                <w:sz w:val="16"/>
                              </w:rPr>
                              <w:t>14</w:t>
                            </w:r>
                          </w:p>
                        </w:tc>
                        <w:tc>
                          <w:tcPr>
                            <w:tcW w:w="866" w:type="dxa"/>
                            <w:tcBorders>
                              <w:top w:val="single" w:sz="8" w:space="0" w:color="000000"/>
                            </w:tcBorders>
                          </w:tcPr>
                          <w:p>
                            <w:pPr>
                              <w:pStyle w:val="TableParagraph"/>
                              <w:tabs>
                                <w:tab w:pos="467" w:val="left" w:leader="none"/>
                              </w:tabs>
                              <w:spacing w:before="16"/>
                              <w:ind w:right="66"/>
                              <w:jc w:val="right"/>
                              <w:rPr>
                                <w:sz w:val="16"/>
                              </w:rPr>
                            </w:pPr>
                            <w:r>
                              <w:rPr>
                                <w:spacing w:val="-10"/>
                                <w:sz w:val="16"/>
                              </w:rPr>
                              <w:t>$</w:t>
                            </w:r>
                            <w:r>
                              <w:rPr>
                                <w:sz w:val="16"/>
                              </w:rPr>
                              <w:tab/>
                            </w:r>
                            <w:r>
                              <w:rPr>
                                <w:spacing w:val="-5"/>
                                <w:sz w:val="16"/>
                              </w:rPr>
                              <w:t>629</w:t>
                            </w:r>
                          </w:p>
                        </w:tc>
                      </w:tr>
                      <w:tr>
                        <w:trPr>
                          <w:trHeight w:val="435" w:hRule="atLeast"/>
                        </w:trPr>
                        <w:tc>
                          <w:tcPr>
                            <w:tcW w:w="904" w:type="dxa"/>
                          </w:tcPr>
                          <w:p>
                            <w:pPr>
                              <w:pStyle w:val="TableParagraph"/>
                              <w:spacing w:before="123"/>
                              <w:ind w:left="-2115" w:right="61"/>
                              <w:jc w:val="right"/>
                              <w:rPr>
                                <w:sz w:val="16"/>
                              </w:rPr>
                            </w:pPr>
                            <w:r>
                              <w:rPr>
                                <w:spacing w:val="-2"/>
                                <w:sz w:val="16"/>
                              </w:rPr>
                              <w:t>(579)</w:t>
                            </w:r>
                          </w:p>
                        </w:tc>
                        <w:tc>
                          <w:tcPr>
                            <w:tcW w:w="915" w:type="dxa"/>
                          </w:tcPr>
                          <w:p>
                            <w:pPr>
                              <w:pStyle w:val="TableParagraph"/>
                              <w:spacing w:before="123"/>
                              <w:ind w:right="61"/>
                              <w:jc w:val="right"/>
                              <w:rPr>
                                <w:sz w:val="16"/>
                              </w:rPr>
                            </w:pPr>
                            <w:r>
                              <w:rPr>
                                <w:spacing w:val="-2"/>
                                <w:sz w:val="16"/>
                              </w:rPr>
                              <w:t>(385)</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61"/>
                              <w:jc w:val="right"/>
                              <w:rPr>
                                <w:sz w:val="16"/>
                              </w:rPr>
                            </w:pPr>
                            <w:r>
                              <w:rPr>
                                <w:spacing w:val="-2"/>
                                <w:sz w:val="16"/>
                              </w:rPr>
                              <w:t>(964)</w:t>
                            </w:r>
                          </w:p>
                        </w:tc>
                        <w:tc>
                          <w:tcPr>
                            <w:tcW w:w="915" w:type="dxa"/>
                          </w:tcPr>
                          <w:p>
                            <w:pPr>
                              <w:pStyle w:val="TableParagraph"/>
                              <w:spacing w:before="123"/>
                              <w:ind w:right="61"/>
                              <w:jc w:val="right"/>
                              <w:rPr>
                                <w:sz w:val="16"/>
                              </w:rPr>
                            </w:pPr>
                            <w:r>
                              <w:rPr>
                                <w:spacing w:val="-2"/>
                                <w:sz w:val="16"/>
                              </w:rPr>
                              <w:t>(404)</w:t>
                            </w:r>
                          </w:p>
                        </w:tc>
                        <w:tc>
                          <w:tcPr>
                            <w:tcW w:w="915" w:type="dxa"/>
                          </w:tcPr>
                          <w:p>
                            <w:pPr>
                              <w:pStyle w:val="TableParagraph"/>
                              <w:spacing w:before="123"/>
                              <w:ind w:right="61"/>
                              <w:jc w:val="right"/>
                              <w:rPr>
                                <w:sz w:val="16"/>
                              </w:rPr>
                            </w:pPr>
                            <w:r>
                              <w:rPr>
                                <w:spacing w:val="-2"/>
                                <w:sz w:val="16"/>
                              </w:rPr>
                              <w:t>(260)</w:t>
                            </w:r>
                          </w:p>
                        </w:tc>
                        <w:tc>
                          <w:tcPr>
                            <w:tcW w:w="915" w:type="dxa"/>
                          </w:tcPr>
                          <w:p>
                            <w:pPr>
                              <w:pStyle w:val="TableParagraph"/>
                              <w:spacing w:before="123"/>
                              <w:ind w:right="115"/>
                              <w:jc w:val="right"/>
                              <w:rPr>
                                <w:sz w:val="16"/>
                              </w:rPr>
                            </w:pPr>
                            <w:r>
                              <w:rPr>
                                <w:sz w:val="16"/>
                              </w:rPr>
                              <w:t>—</w:t>
                            </w:r>
                          </w:p>
                        </w:tc>
                        <w:tc>
                          <w:tcPr>
                            <w:tcW w:w="866" w:type="dxa"/>
                          </w:tcPr>
                          <w:p>
                            <w:pPr>
                              <w:pStyle w:val="TableParagraph"/>
                              <w:spacing w:before="123"/>
                              <w:ind w:right="12"/>
                              <w:jc w:val="right"/>
                              <w:rPr>
                                <w:sz w:val="16"/>
                              </w:rPr>
                            </w:pPr>
                            <w:r>
                              <w:rPr>
                                <w:spacing w:val="-2"/>
                                <w:sz w:val="16"/>
                              </w:rPr>
                              <w:t>(664)</w:t>
                            </w:r>
                          </w:p>
                        </w:tc>
                      </w:tr>
                      <w:tr>
                        <w:trPr>
                          <w:trHeight w:val="435" w:hRule="atLeast"/>
                        </w:trPr>
                        <w:tc>
                          <w:tcPr>
                            <w:tcW w:w="904"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pacing w:val="-10"/>
                                <w:sz w:val="16"/>
                              </w:rPr>
                              <w:t>8</w:t>
                            </w:r>
                          </w:p>
                        </w:tc>
                        <w:tc>
                          <w:tcPr>
                            <w:tcW w:w="915" w:type="dxa"/>
                          </w:tcPr>
                          <w:p>
                            <w:pPr>
                              <w:pStyle w:val="TableParagraph"/>
                              <w:spacing w:before="123"/>
                              <w:ind w:right="115"/>
                              <w:jc w:val="right"/>
                              <w:rPr>
                                <w:sz w:val="16"/>
                              </w:rPr>
                            </w:pPr>
                            <w:r>
                              <w:rPr>
                                <w:sz w:val="16"/>
                              </w:rPr>
                              <w:t>—</w:t>
                            </w:r>
                          </w:p>
                        </w:tc>
                        <w:tc>
                          <w:tcPr>
                            <w:tcW w:w="915" w:type="dxa"/>
                          </w:tcPr>
                          <w:p>
                            <w:pPr>
                              <w:pStyle w:val="TableParagraph"/>
                              <w:spacing w:before="123"/>
                              <w:ind w:right="115"/>
                              <w:jc w:val="right"/>
                              <w:rPr>
                                <w:sz w:val="16"/>
                              </w:rPr>
                            </w:pPr>
                            <w:r>
                              <w:rPr>
                                <w:sz w:val="16"/>
                              </w:rPr>
                              <w:t>—</w:t>
                            </w:r>
                          </w:p>
                        </w:tc>
                        <w:tc>
                          <w:tcPr>
                            <w:tcW w:w="866" w:type="dxa"/>
                          </w:tcPr>
                          <w:p>
                            <w:pPr>
                              <w:pStyle w:val="TableParagraph"/>
                              <w:spacing w:before="123"/>
                              <w:ind w:right="66"/>
                              <w:jc w:val="right"/>
                              <w:rPr>
                                <w:sz w:val="16"/>
                              </w:rPr>
                            </w:pPr>
                            <w:r>
                              <w:rPr>
                                <w:spacing w:val="-10"/>
                                <w:sz w:val="16"/>
                              </w:rPr>
                              <w:t>8</w:t>
                            </w:r>
                          </w:p>
                        </w:tc>
                      </w:tr>
                      <w:tr>
                        <w:trPr>
                          <w:trHeight w:val="326" w:hRule="atLeast"/>
                        </w:trPr>
                        <w:tc>
                          <w:tcPr>
                            <w:tcW w:w="904" w:type="dxa"/>
                            <w:tcBorders>
                              <w:bottom w:val="single" w:sz="8" w:space="0" w:color="000000"/>
                            </w:tcBorders>
                          </w:tcPr>
                          <w:p>
                            <w:pPr>
                              <w:pStyle w:val="TableParagraph"/>
                              <w:spacing w:line="184" w:lineRule="exact" w:before="123"/>
                              <w:ind w:left="-2115" w:right="61"/>
                              <w:jc w:val="right"/>
                              <w:rPr>
                                <w:sz w:val="16"/>
                              </w:rPr>
                            </w:pPr>
                            <w:r>
                              <w:rPr>
                                <w:spacing w:val="-2"/>
                                <w:sz w:val="16"/>
                              </w:rPr>
                              <w:t>(712)</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(704)</w:t>
                            </w:r>
                          </w:p>
                        </w:tc>
                        <w:tc>
                          <w:tcPr>
                            <w:tcW w:w="915" w:type="dxa"/>
                            <w:tcBorders>
                              <w:bottom w:val="single" w:sz="8" w:space="0" w:color="000000"/>
                            </w:tcBorders>
                          </w:tcPr>
                          <w:p>
                            <w:pPr>
                              <w:pStyle w:val="TableParagraph"/>
                              <w:spacing w:line="184" w:lineRule="exact" w:before="123"/>
                              <w:ind w:right="61"/>
                              <w:jc w:val="right"/>
                              <w:rPr>
                                <w:sz w:val="16"/>
                              </w:rPr>
                            </w:pPr>
                            <w:r>
                              <w:rPr>
                                <w:spacing w:val="-4"/>
                                <w:sz w:val="16"/>
                              </w:rPr>
                              <w:t>(27)</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(1,443)</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(602)</w:t>
                            </w:r>
                          </w:p>
                        </w:tc>
                        <w:tc>
                          <w:tcPr>
                            <w:tcW w:w="915" w:type="dxa"/>
                            <w:tcBorders>
                              <w:bottom w:val="single" w:sz="8" w:space="0" w:color="000000"/>
                            </w:tcBorders>
                          </w:tcPr>
                          <w:p>
                            <w:pPr>
                              <w:pStyle w:val="TableParagraph"/>
                              <w:spacing w:line="184" w:lineRule="exact" w:before="123"/>
                              <w:ind w:right="61"/>
                              <w:jc w:val="right"/>
                              <w:rPr>
                                <w:sz w:val="16"/>
                              </w:rPr>
                            </w:pPr>
                            <w:r>
                              <w:rPr>
                                <w:spacing w:val="-2"/>
                                <w:sz w:val="16"/>
                              </w:rPr>
                              <w:t>(640)</w:t>
                            </w:r>
                          </w:p>
                        </w:tc>
                        <w:tc>
                          <w:tcPr>
                            <w:tcW w:w="915" w:type="dxa"/>
                            <w:tcBorders>
                              <w:bottom w:val="single" w:sz="8" w:space="0" w:color="000000"/>
                            </w:tcBorders>
                          </w:tcPr>
                          <w:p>
                            <w:pPr>
                              <w:pStyle w:val="TableParagraph"/>
                              <w:spacing w:line="184" w:lineRule="exact" w:before="123"/>
                              <w:ind w:right="61"/>
                              <w:jc w:val="right"/>
                              <w:rPr>
                                <w:sz w:val="16"/>
                              </w:rPr>
                            </w:pPr>
                            <w:r>
                              <w:rPr>
                                <w:spacing w:val="-4"/>
                                <w:sz w:val="16"/>
                              </w:rPr>
                              <w:t>(25)</w:t>
                            </w:r>
                          </w:p>
                        </w:tc>
                        <w:tc>
                          <w:tcPr>
                            <w:tcW w:w="866" w:type="dxa"/>
                            <w:tcBorders>
                              <w:bottom w:val="single" w:sz="8" w:space="0" w:color="000000"/>
                            </w:tcBorders>
                          </w:tcPr>
                          <w:p>
                            <w:pPr>
                              <w:pStyle w:val="TableParagraph"/>
                              <w:spacing w:line="184" w:lineRule="exact" w:before="123"/>
                              <w:ind w:right="12"/>
                              <w:jc w:val="right"/>
                              <w:rPr>
                                <w:sz w:val="16"/>
                              </w:rPr>
                            </w:pPr>
                            <w:r>
                              <w:rPr>
                                <w:spacing w:val="-2"/>
                                <w:sz w:val="16"/>
                              </w:rPr>
                              <w:t>(1,267)</w:t>
                            </w:r>
                          </w:p>
                        </w:tc>
                      </w:tr>
                      <w:tr>
                        <w:trPr>
                          <w:trHeight w:val="200" w:hRule="atLeast"/>
                        </w:trPr>
                        <w:tc>
                          <w:tcPr>
                            <w:tcW w:w="904"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(697)</w:t>
                            </w:r>
                          </w:p>
                        </w:tc>
                        <w:tc>
                          <w:tcPr>
                            <w:tcW w:w="915" w:type="dxa"/>
                            <w:tcBorders>
                              <w:top w:val="single" w:sz="8" w:space="0" w:color="000000"/>
                              <w:bottom w:val="double" w:sz="8" w:space="0" w:color="000000"/>
                            </w:tcBorders>
                          </w:tcPr>
                          <w:p>
                            <w:pPr>
                              <w:pStyle w:val="TableParagraph"/>
                              <w:spacing w:line="164" w:lineRule="exact" w:before="16"/>
                              <w:ind w:right="61"/>
                              <w:jc w:val="right"/>
                              <w:rPr>
                                <w:sz w:val="16"/>
                              </w:rPr>
                            </w:pPr>
                            <w:r>
                              <w:rPr>
                                <w:sz w:val="16"/>
                              </w:rPr>
                              <w:t>$</w:t>
                            </w:r>
                            <w:r>
                              <w:rPr>
                                <w:spacing w:val="51"/>
                                <w:sz w:val="16"/>
                              </w:rPr>
                              <w:t>  </w:t>
                            </w:r>
                            <w:r>
                              <w:rPr>
                                <w:spacing w:val="-2"/>
                                <w:sz w:val="16"/>
                              </w:rPr>
                              <w:t>(1,054)</w:t>
                            </w:r>
                          </w:p>
                        </w:tc>
                        <w:tc>
                          <w:tcPr>
                            <w:tcW w:w="915" w:type="dxa"/>
                            <w:tcBorders>
                              <w:top w:val="single" w:sz="8" w:space="0" w:color="000000"/>
                              <w:bottom w:val="double" w:sz="8" w:space="0" w:color="000000"/>
                            </w:tcBorders>
                          </w:tcPr>
                          <w:p>
                            <w:pPr>
                              <w:pStyle w:val="TableParagraph"/>
                              <w:tabs>
                                <w:tab w:pos="503" w:val="left" w:leader="none"/>
                              </w:tabs>
                              <w:spacing w:line="164" w:lineRule="exact" w:before="16"/>
                              <w:ind w:right="61"/>
                              <w:jc w:val="right"/>
                              <w:rPr>
                                <w:sz w:val="16"/>
                              </w:rPr>
                            </w:pPr>
                            <w:r>
                              <w:rPr>
                                <w:spacing w:val="-10"/>
                                <w:sz w:val="16"/>
                              </w:rPr>
                              <w:t>$</w:t>
                            </w:r>
                            <w:r>
                              <w:rPr>
                                <w:sz w:val="16"/>
                              </w:rPr>
                              <w:tab/>
                            </w:r>
                            <w:r>
                              <w:rPr>
                                <w:spacing w:val="-4"/>
                                <w:sz w:val="16"/>
                              </w:rPr>
                              <w:t>(17)</w:t>
                            </w:r>
                          </w:p>
                        </w:tc>
                        <w:tc>
                          <w:tcPr>
                            <w:tcW w:w="915" w:type="dxa"/>
                            <w:tcBorders>
                              <w:top w:val="single" w:sz="8" w:space="0" w:color="000000"/>
                              <w:bottom w:val="double" w:sz="8" w:space="0" w:color="000000"/>
                            </w:tcBorders>
                          </w:tcPr>
                          <w:p>
                            <w:pPr>
                              <w:pStyle w:val="TableParagraph"/>
                              <w:spacing w:line="164" w:lineRule="exact" w:before="16"/>
                              <w:ind w:left="63"/>
                              <w:rPr>
                                <w:sz w:val="16"/>
                              </w:rPr>
                            </w:pPr>
                            <w:r>
                              <w:rPr>
                                <w:sz w:val="16"/>
                              </w:rPr>
                              <w:t>$</w:t>
                            </w:r>
                            <w:r>
                              <w:rPr>
                                <w:spacing w:val="51"/>
                                <w:sz w:val="16"/>
                              </w:rPr>
                              <w:t>  </w:t>
                            </w:r>
                            <w:r>
                              <w:rPr>
                                <w:spacing w:val="-2"/>
                                <w:sz w:val="16"/>
                              </w:rPr>
                              <w:t>(1,768)</w:t>
                            </w:r>
                          </w:p>
                        </w:tc>
                        <w:tc>
                          <w:tcPr>
                            <w:tcW w:w="915"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(420)</w:t>
                            </w:r>
                          </w:p>
                        </w:tc>
                        <w:tc>
                          <w:tcPr>
                            <w:tcW w:w="915" w:type="dxa"/>
                            <w:tcBorders>
                              <w:top w:val="single" w:sz="8" w:space="0" w:color="000000"/>
                              <w:bottom w:val="double" w:sz="8" w:space="0" w:color="000000"/>
                            </w:tcBorders>
                          </w:tcPr>
                          <w:p>
                            <w:pPr>
                              <w:pStyle w:val="TableParagraph"/>
                              <w:tabs>
                                <w:tab w:pos="414" w:val="left" w:leader="none"/>
                              </w:tabs>
                              <w:spacing w:line="164" w:lineRule="exact" w:before="16"/>
                              <w:ind w:right="61"/>
                              <w:jc w:val="right"/>
                              <w:rPr>
                                <w:sz w:val="16"/>
                              </w:rPr>
                            </w:pPr>
                            <w:r>
                              <w:rPr>
                                <w:spacing w:val="-10"/>
                                <w:sz w:val="16"/>
                              </w:rPr>
                              <w:t>$</w:t>
                            </w:r>
                            <w:r>
                              <w:rPr>
                                <w:sz w:val="16"/>
                              </w:rPr>
                              <w:tab/>
                            </w:r>
                            <w:r>
                              <w:rPr>
                                <w:spacing w:val="-2"/>
                                <w:sz w:val="16"/>
                              </w:rPr>
                              <w:t>(863)</w:t>
                            </w:r>
                          </w:p>
                        </w:tc>
                        <w:tc>
                          <w:tcPr>
                            <w:tcW w:w="915" w:type="dxa"/>
                            <w:tcBorders>
                              <w:top w:val="single" w:sz="8" w:space="0" w:color="000000"/>
                              <w:bottom w:val="double" w:sz="8" w:space="0" w:color="000000"/>
                            </w:tcBorders>
                          </w:tcPr>
                          <w:p>
                            <w:pPr>
                              <w:pStyle w:val="TableParagraph"/>
                              <w:tabs>
                                <w:tab w:pos="503" w:val="left" w:leader="none"/>
                              </w:tabs>
                              <w:spacing w:line="164" w:lineRule="exact" w:before="16"/>
                              <w:ind w:right="61"/>
                              <w:jc w:val="right"/>
                              <w:rPr>
                                <w:sz w:val="16"/>
                              </w:rPr>
                            </w:pPr>
                            <w:r>
                              <w:rPr>
                                <w:spacing w:val="-10"/>
                                <w:sz w:val="16"/>
                              </w:rPr>
                              <w:t>$</w:t>
                            </w:r>
                            <w:r>
                              <w:rPr>
                                <w:sz w:val="16"/>
                              </w:rPr>
                              <w:tab/>
                            </w:r>
                            <w:r>
                              <w:rPr>
                                <w:spacing w:val="-4"/>
                                <w:sz w:val="16"/>
                              </w:rPr>
                              <w:t>(11)</w:t>
                            </w:r>
                          </w:p>
                        </w:tc>
                        <w:tc>
                          <w:tcPr>
                            <w:tcW w:w="866" w:type="dxa"/>
                            <w:tcBorders>
                              <w:top w:val="single" w:sz="8" w:space="0" w:color="000000"/>
                              <w:bottom w:val="double" w:sz="8" w:space="0" w:color="000000"/>
                            </w:tcBorders>
                          </w:tcPr>
                          <w:p>
                            <w:pPr>
                              <w:pStyle w:val="TableParagraph"/>
                              <w:spacing w:line="164" w:lineRule="exact" w:before="16"/>
                              <w:ind w:right="12"/>
                              <w:jc w:val="right"/>
                              <w:rPr>
                                <w:sz w:val="16"/>
                              </w:rPr>
                            </w:pPr>
                            <w:r>
                              <w:rPr>
                                <w:sz w:val="16"/>
                              </w:rPr>
                              <w:t>$</w:t>
                            </w:r>
                            <w:r>
                              <w:rPr>
                                <w:spacing w:val="51"/>
                                <w:sz w:val="16"/>
                              </w:rPr>
                              <w:t>  </w:t>
                            </w:r>
                            <w:r>
                              <w:rPr>
                                <w:spacing w:val="-2"/>
                                <w:sz w:val="16"/>
                              </w:rPr>
                              <w:t>(1,294)</w:t>
                            </w:r>
                          </w:p>
                        </w:tc>
                      </w:tr>
                    </w:tbl>
                    <w:p>
                      <w:pPr>
                        <w:pStyle w:val="BodyText"/>
                      </w:pPr>
                    </w:p>
                  </w:txbxContent>
                </v:textbox>
                <w10:wrap type="none"/>
              </v:shape>
            </w:pict>
          </mc:Fallback>
        </mc:AlternateContent>
      </w:r>
      <w:r>
        <w:rPr>
          <w:rFonts w:ascii="Arial MT"/>
          <w:sz w:val="16"/>
        </w:rPr>
        <w:t>Administrative</w:t>
      </w:r>
      <w:r>
        <w:rPr>
          <w:rFonts w:ascii="Arial MT"/>
          <w:spacing w:val="-12"/>
          <w:sz w:val="16"/>
        </w:rPr>
        <w:t> </w:t>
      </w:r>
      <w:r>
        <w:rPr>
          <w:rFonts w:ascii="Arial MT"/>
          <w:sz w:val="16"/>
        </w:rPr>
        <w:t>services,</w:t>
      </w:r>
      <w:r>
        <w:rPr>
          <w:rFonts w:ascii="Arial MT"/>
          <w:spacing w:val="-11"/>
          <w:sz w:val="16"/>
        </w:rPr>
        <w:t> </w:t>
      </w:r>
      <w:r>
        <w:rPr>
          <w:rFonts w:ascii="Arial MT"/>
          <w:sz w:val="16"/>
        </w:rPr>
        <w:t>net Payable for PCRF</w:t>
      </w:r>
    </w:p>
    <w:p>
      <w:pPr>
        <w:spacing w:before="11"/>
        <w:ind w:left="952" w:right="0" w:firstLine="0"/>
        <w:jc w:val="left"/>
        <w:rPr>
          <w:rFonts w:ascii="Arial MT"/>
          <w:sz w:val="16"/>
        </w:rPr>
      </w:pPr>
      <w:r>
        <w:rPr>
          <w:rFonts w:ascii="Arial MT"/>
          <w:spacing w:val="-2"/>
          <w:sz w:val="16"/>
        </w:rPr>
        <w:t>investments</w:t>
      </w:r>
    </w:p>
    <w:p>
      <w:pPr>
        <w:spacing w:line="249" w:lineRule="auto" w:before="59"/>
        <w:ind w:left="952" w:right="8212" w:hanging="180"/>
        <w:jc w:val="left"/>
        <w:rPr>
          <w:rFonts w:ascii="Arial MT"/>
          <w:sz w:val="16"/>
        </w:rPr>
      </w:pPr>
      <w:r>
        <w:rPr>
          <w:rFonts w:ascii="Arial MT"/>
          <w:sz w:val="16"/>
        </w:rPr>
        <w:t>Derivative assets (liabilities),</w:t>
      </w:r>
      <w:r>
        <w:rPr>
          <w:rFonts w:ascii="Arial MT"/>
          <w:spacing w:val="-8"/>
          <w:sz w:val="16"/>
        </w:rPr>
        <w:t> </w:t>
      </w:r>
      <w:r>
        <w:rPr>
          <w:rFonts w:ascii="Arial MT"/>
          <w:sz w:val="16"/>
        </w:rPr>
        <w:t>net</w:t>
      </w:r>
      <w:r>
        <w:rPr>
          <w:rFonts w:ascii="Arial MT"/>
          <w:spacing w:val="-7"/>
          <w:sz w:val="16"/>
        </w:rPr>
        <w:t> </w:t>
      </w:r>
      <w:r>
        <w:rPr>
          <w:rFonts w:ascii="Arial MT"/>
          <w:spacing w:val="-10"/>
          <w:sz w:val="16"/>
          <w:vertAlign w:val="superscript"/>
        </w:rPr>
        <w:t>a</w:t>
      </w:r>
    </w:p>
    <w:p>
      <w:pPr>
        <w:spacing w:line="249" w:lineRule="auto" w:before="52"/>
        <w:ind w:left="952" w:right="8212" w:hanging="180"/>
        <w:jc w:val="left"/>
        <w:rPr>
          <w:rFonts w:ascii="Arial MT"/>
          <w:sz w:val="16"/>
        </w:rPr>
      </w:pPr>
      <w:r>
        <w:rPr>
          <w:rFonts w:ascii="Arial MT"/>
          <w:sz w:val="16"/>
        </w:rPr>
        <w:t>Pension and other postretirement</w:t>
      </w:r>
      <w:r>
        <w:rPr>
          <w:rFonts w:ascii="Arial MT"/>
          <w:spacing w:val="-12"/>
          <w:sz w:val="16"/>
        </w:rPr>
        <w:t> </w:t>
      </w:r>
      <w:r>
        <w:rPr>
          <w:rFonts w:ascii="Arial MT"/>
          <w:sz w:val="16"/>
        </w:rPr>
        <w:t>benefits</w:t>
      </w:r>
    </w:p>
    <w:p>
      <w:pPr>
        <w:spacing w:before="50"/>
        <w:ind w:left="772" w:right="0" w:firstLine="0"/>
        <w:jc w:val="left"/>
        <w:rPr>
          <w:rFonts w:ascii="Arial MT"/>
          <w:sz w:val="16"/>
        </w:rPr>
      </w:pPr>
      <w:r>
        <w:rPr>
          <w:rFonts w:ascii="Arial MT"/>
          <w:spacing w:val="-2"/>
          <w:sz w:val="16"/>
        </w:rPr>
        <w:t>Total</w:t>
      </w:r>
    </w:p>
    <w:p>
      <w:pPr>
        <w:pStyle w:val="BodyText"/>
        <w:rPr>
          <w:rFonts w:ascii="Arial MT"/>
        </w:rPr>
      </w:pPr>
      <w:r>
        <w:rPr>
          <w:rFonts w:ascii="Arial MT"/>
        </w:rPr>
        <mc:AlternateContent>
          <mc:Choice Requires="wps">
            <w:drawing>
              <wp:anchor distT="0" distB="0" distL="0" distR="0" allowOverlap="1" layoutInCell="1" locked="0" behindDoc="1" simplePos="0" relativeHeight="487737344">
                <wp:simplePos x="0" y="0"/>
                <wp:positionH relativeFrom="page">
                  <wp:posOffset>914400</wp:posOffset>
                </wp:positionH>
                <wp:positionV relativeFrom="paragraph">
                  <wp:posOffset>161726</wp:posOffset>
                </wp:positionV>
                <wp:extent cx="5943600" cy="1270"/>
                <wp:effectExtent l="0" t="0" r="0" b="0"/>
                <wp:wrapTopAndBottom/>
                <wp:docPr id="906" name="Graphic 906"/>
                <wp:cNvGraphicFramePr>
                  <a:graphicFrameLocks/>
                </wp:cNvGraphicFramePr>
                <a:graphic>
                  <a:graphicData uri="http://schemas.microsoft.com/office/word/2010/wordprocessingShape">
                    <wps:wsp>
                      <wps:cNvPr id="906" name="Graphic 90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734405pt;width:468pt;height:.1pt;mso-position-horizontal-relative:page;mso-position-vertical-relative:paragraph;z-index:-15579136;mso-wrap-distance-left:0;mso-wrap-distance-right:0" id="docshape747" coordorigin="1440,255" coordsize="9360,0" path="m1440,255l10800,255e" filled="false" stroked="true" strokeweight="1pt" strokecolor="#000000">
                <v:path arrowok="t"/>
                <v:stroke dashstyle="solid"/>
                <w10:wrap type="topAndBottom"/>
              </v:shape>
            </w:pict>
          </mc:Fallback>
        </mc:AlternateContent>
      </w:r>
    </w:p>
    <w:p>
      <w:pPr>
        <w:spacing w:line="249" w:lineRule="auto" w:before="19"/>
        <w:ind w:left="952" w:right="881" w:hanging="180"/>
        <w:jc w:val="left"/>
        <w:rPr>
          <w:rFonts w:ascii="Arial" w:hAnsi="Arial"/>
          <w:i/>
          <w:sz w:val="16"/>
        </w:rPr>
      </w:pPr>
      <w:r>
        <w:rPr>
          <w:rFonts w:ascii="Arial" w:hAnsi="Arial"/>
          <w:i/>
          <w:sz w:val="16"/>
        </w:rPr>
        <w:t>a.</w:t>
      </w:r>
      <w:r>
        <w:rPr>
          <w:rFonts w:ascii="Arial" w:hAnsi="Arial"/>
          <w:i/>
          <w:spacing w:val="-3"/>
          <w:sz w:val="16"/>
        </w:rPr>
        <w:t> </w:t>
      </w:r>
      <w:r>
        <w:rPr>
          <w:rFonts w:ascii="Arial" w:hAnsi="Arial"/>
          <w:i/>
          <w:sz w:val="16"/>
        </w:rPr>
        <w:t>Presented</w:t>
      </w:r>
      <w:r>
        <w:rPr>
          <w:rFonts w:ascii="Arial" w:hAnsi="Arial"/>
          <w:i/>
          <w:spacing w:val="-4"/>
          <w:sz w:val="16"/>
        </w:rPr>
        <w:t> </w:t>
      </w:r>
      <w:r>
        <w:rPr>
          <w:rFonts w:ascii="Arial" w:hAnsi="Arial"/>
          <w:i/>
          <w:sz w:val="16"/>
        </w:rPr>
        <w:t>on</w:t>
      </w:r>
      <w:r>
        <w:rPr>
          <w:rFonts w:ascii="Arial" w:hAnsi="Arial"/>
          <w:i/>
          <w:spacing w:val="-4"/>
          <w:sz w:val="16"/>
        </w:rPr>
        <w:t> </w:t>
      </w:r>
      <w:r>
        <w:rPr>
          <w:rFonts w:ascii="Arial" w:hAnsi="Arial"/>
          <w:i/>
          <w:sz w:val="16"/>
        </w:rPr>
        <w:t>a</w:t>
      </w:r>
      <w:r>
        <w:rPr>
          <w:rFonts w:ascii="Arial" w:hAnsi="Arial"/>
          <w:i/>
          <w:spacing w:val="-4"/>
          <w:sz w:val="16"/>
        </w:rPr>
        <w:t> </w:t>
      </w:r>
      <w:r>
        <w:rPr>
          <w:rFonts w:ascii="Arial" w:hAnsi="Arial"/>
          <w:i/>
          <w:sz w:val="16"/>
        </w:rPr>
        <w:t>net</w:t>
      </w:r>
      <w:r>
        <w:rPr>
          <w:rFonts w:ascii="Arial" w:hAnsi="Arial"/>
          <w:i/>
          <w:spacing w:val="-3"/>
          <w:sz w:val="16"/>
        </w:rPr>
        <w:t> </w:t>
      </w:r>
      <w:r>
        <w:rPr>
          <w:rFonts w:ascii="Arial" w:hAnsi="Arial"/>
          <w:i/>
          <w:sz w:val="16"/>
        </w:rPr>
        <w:t>basis</w:t>
      </w:r>
      <w:r>
        <w:rPr>
          <w:rFonts w:ascii="Arial" w:hAnsi="Arial"/>
          <w:i/>
          <w:spacing w:val="-3"/>
          <w:sz w:val="16"/>
        </w:rPr>
        <w:t> </w:t>
      </w:r>
      <w:r>
        <w:rPr>
          <w:rFonts w:ascii="Arial" w:hAnsi="Arial"/>
          <w:i/>
          <w:sz w:val="16"/>
        </w:rPr>
        <w:t>by</w:t>
      </w:r>
      <w:r>
        <w:rPr>
          <w:rFonts w:ascii="Arial" w:hAnsi="Arial"/>
          <w:i/>
          <w:spacing w:val="-3"/>
          <w:sz w:val="16"/>
        </w:rPr>
        <w:t> </w:t>
      </w:r>
      <w:r>
        <w:rPr>
          <w:rFonts w:ascii="Arial" w:hAnsi="Arial"/>
          <w:i/>
          <w:sz w:val="16"/>
        </w:rPr>
        <w:t>instrument.</w:t>
      </w:r>
      <w:r>
        <w:rPr>
          <w:rFonts w:ascii="Arial" w:hAnsi="Arial"/>
          <w:i/>
          <w:spacing w:val="-3"/>
          <w:sz w:val="16"/>
        </w:rPr>
        <w:t> </w:t>
      </w:r>
      <w:r>
        <w:rPr>
          <w:rFonts w:ascii="Arial" w:hAnsi="Arial"/>
          <w:i/>
          <w:sz w:val="16"/>
        </w:rPr>
        <w:t>For</w:t>
      </w:r>
      <w:r>
        <w:rPr>
          <w:rFonts w:ascii="Arial" w:hAnsi="Arial"/>
          <w:i/>
          <w:spacing w:val="-3"/>
          <w:sz w:val="16"/>
        </w:rPr>
        <w:t> </w:t>
      </w:r>
      <w:r>
        <w:rPr>
          <w:rFonts w:ascii="Arial" w:hAnsi="Arial"/>
          <w:i/>
          <w:sz w:val="16"/>
        </w:rPr>
        <w:t>details</w:t>
      </w:r>
      <w:r>
        <w:rPr>
          <w:rFonts w:ascii="Arial" w:hAnsi="Arial"/>
          <w:i/>
          <w:spacing w:val="-3"/>
          <w:sz w:val="16"/>
        </w:rPr>
        <w:t> </w:t>
      </w:r>
      <w:r>
        <w:rPr>
          <w:rFonts w:ascii="Arial" w:hAnsi="Arial"/>
          <w:i/>
          <w:sz w:val="16"/>
        </w:rPr>
        <w:t>on</w:t>
      </w:r>
      <w:r>
        <w:rPr>
          <w:rFonts w:ascii="Arial" w:hAnsi="Arial"/>
          <w:i/>
          <w:spacing w:val="-4"/>
          <w:sz w:val="16"/>
        </w:rPr>
        <w:t> </w:t>
      </w:r>
      <w:r>
        <w:rPr>
          <w:rFonts w:ascii="Arial" w:hAnsi="Arial"/>
          <w:i/>
          <w:sz w:val="16"/>
        </w:rPr>
        <w:t>derivative</w:t>
      </w:r>
      <w:r>
        <w:rPr>
          <w:rFonts w:ascii="Arial" w:hAnsi="Arial"/>
          <w:i/>
          <w:spacing w:val="-4"/>
          <w:sz w:val="16"/>
        </w:rPr>
        <w:t> </w:t>
      </w:r>
      <w:r>
        <w:rPr>
          <w:rFonts w:ascii="Arial" w:hAnsi="Arial"/>
          <w:i/>
          <w:sz w:val="16"/>
        </w:rPr>
        <w:t>transactions</w:t>
      </w:r>
      <w:r>
        <w:rPr>
          <w:rFonts w:ascii="Arial" w:hAnsi="Arial"/>
          <w:i/>
          <w:spacing w:val="-3"/>
          <w:sz w:val="16"/>
        </w:rPr>
        <w:t> </w:t>
      </w:r>
      <w:r>
        <w:rPr>
          <w:rFonts w:ascii="Arial" w:hAnsi="Arial"/>
          <w:i/>
          <w:sz w:val="16"/>
        </w:rPr>
        <w:t>relating</w:t>
      </w:r>
      <w:r>
        <w:rPr>
          <w:rFonts w:ascii="Arial" w:hAnsi="Arial"/>
          <w:i/>
          <w:spacing w:val="-4"/>
          <w:sz w:val="16"/>
        </w:rPr>
        <w:t> </w:t>
      </w:r>
      <w:r>
        <w:rPr>
          <w:rFonts w:ascii="Arial" w:hAnsi="Arial"/>
          <w:i/>
          <w:sz w:val="16"/>
        </w:rPr>
        <w:t>to</w:t>
      </w:r>
      <w:r>
        <w:rPr>
          <w:rFonts w:ascii="Arial" w:hAnsi="Arial"/>
          <w:i/>
          <w:spacing w:val="-4"/>
          <w:sz w:val="16"/>
        </w:rPr>
        <w:t> </w:t>
      </w:r>
      <w:r>
        <w:rPr>
          <w:rFonts w:ascii="Arial" w:hAnsi="Arial"/>
          <w:i/>
          <w:sz w:val="16"/>
        </w:rPr>
        <w:t>swap</w:t>
      </w:r>
      <w:r>
        <w:rPr>
          <w:rFonts w:ascii="Arial" w:hAnsi="Arial"/>
          <w:i/>
          <w:spacing w:val="-4"/>
          <w:sz w:val="16"/>
        </w:rPr>
        <w:t> </w:t>
      </w:r>
      <w:r>
        <w:rPr>
          <w:rFonts w:ascii="Arial" w:hAnsi="Arial"/>
          <w:i/>
          <w:sz w:val="16"/>
        </w:rPr>
        <w:t>intermediation</w:t>
      </w:r>
      <w:r>
        <w:rPr>
          <w:rFonts w:ascii="Arial" w:hAnsi="Arial"/>
          <w:i/>
          <w:spacing w:val="-4"/>
          <w:sz w:val="16"/>
        </w:rPr>
        <w:t> </w:t>
      </w:r>
      <w:r>
        <w:rPr>
          <w:rFonts w:ascii="Arial" w:hAnsi="Arial"/>
          <w:i/>
          <w:sz w:val="16"/>
        </w:rPr>
        <w:t>services</w:t>
      </w:r>
      <w:r>
        <w:rPr>
          <w:rFonts w:ascii="Arial" w:hAnsi="Arial"/>
          <w:i/>
          <w:spacing w:val="-3"/>
          <w:sz w:val="16"/>
        </w:rPr>
        <w:t> </w:t>
      </w:r>
      <w:r>
        <w:rPr>
          <w:rFonts w:ascii="Arial" w:hAnsi="Arial"/>
          <w:i/>
          <w:sz w:val="16"/>
        </w:rPr>
        <w:t>provided by IBRD to IDA see Note F—Derivative Instruments.</w:t>
      </w:r>
    </w:p>
    <w:p>
      <w:pPr>
        <w:pStyle w:val="BodyText"/>
        <w:spacing w:before="11"/>
        <w:rPr>
          <w:rFonts w:ascii="Arial"/>
          <w:i/>
          <w:sz w:val="16"/>
        </w:rPr>
      </w:pPr>
    </w:p>
    <w:p>
      <w:pPr>
        <w:pStyle w:val="BodyText"/>
        <w:ind w:left="720"/>
      </w:pPr>
      <w:r>
        <w:rPr/>
        <w:t>The</w:t>
      </w:r>
      <w:r>
        <w:rPr>
          <w:spacing w:val="-6"/>
        </w:rPr>
        <w:t> </w:t>
      </w:r>
      <w:r>
        <w:rPr/>
        <w:t>receivables</w:t>
      </w:r>
      <w:r>
        <w:rPr>
          <w:spacing w:val="-4"/>
        </w:rPr>
        <w:t> </w:t>
      </w:r>
      <w:r>
        <w:rPr/>
        <w:t>from</w:t>
      </w:r>
      <w:r>
        <w:rPr>
          <w:spacing w:val="-4"/>
        </w:rPr>
        <w:t> </w:t>
      </w:r>
      <w:r>
        <w:rPr/>
        <w:t>(payables</w:t>
      </w:r>
      <w:r>
        <w:rPr>
          <w:spacing w:val="-4"/>
        </w:rPr>
        <w:t> </w:t>
      </w:r>
      <w:r>
        <w:rPr/>
        <w:t>to)</w:t>
      </w:r>
      <w:r>
        <w:rPr>
          <w:spacing w:val="-3"/>
        </w:rPr>
        <w:t> </w:t>
      </w:r>
      <w:r>
        <w:rPr/>
        <w:t>these</w:t>
      </w:r>
      <w:r>
        <w:rPr>
          <w:spacing w:val="-4"/>
        </w:rPr>
        <w:t> </w:t>
      </w:r>
      <w:r>
        <w:rPr/>
        <w:t>affiliated</w:t>
      </w:r>
      <w:r>
        <w:rPr>
          <w:spacing w:val="-3"/>
        </w:rPr>
        <w:t> </w:t>
      </w:r>
      <w:r>
        <w:rPr/>
        <w:t>organizations</w:t>
      </w:r>
      <w:r>
        <w:rPr>
          <w:spacing w:val="-4"/>
        </w:rPr>
        <w:t> </w:t>
      </w:r>
      <w:r>
        <w:rPr/>
        <w:t>are</w:t>
      </w:r>
      <w:r>
        <w:rPr>
          <w:spacing w:val="-4"/>
        </w:rPr>
        <w:t> </w:t>
      </w:r>
      <w:r>
        <w:rPr/>
        <w:t>reported</w:t>
      </w:r>
      <w:r>
        <w:rPr>
          <w:spacing w:val="-3"/>
        </w:rPr>
        <w:t> </w:t>
      </w:r>
      <w:r>
        <w:rPr/>
        <w:t>on</w:t>
      </w:r>
      <w:r>
        <w:rPr>
          <w:spacing w:val="-3"/>
        </w:rPr>
        <w:t> </w:t>
      </w:r>
      <w:r>
        <w:rPr/>
        <w:t>the</w:t>
      </w:r>
      <w:r>
        <w:rPr>
          <w:spacing w:val="-4"/>
        </w:rPr>
        <w:t> </w:t>
      </w:r>
      <w:r>
        <w:rPr/>
        <w:t>Balance</w:t>
      </w:r>
      <w:r>
        <w:rPr>
          <w:spacing w:val="-4"/>
        </w:rPr>
        <w:t> </w:t>
      </w:r>
      <w:r>
        <w:rPr/>
        <w:t>Sheets</w:t>
      </w:r>
      <w:r>
        <w:rPr>
          <w:spacing w:val="-4"/>
        </w:rPr>
        <w:t> </w:t>
      </w:r>
      <w:r>
        <w:rPr/>
        <w:t>as</w:t>
      </w:r>
      <w:r>
        <w:rPr>
          <w:spacing w:val="-3"/>
        </w:rPr>
        <w:t> </w:t>
      </w:r>
      <w:r>
        <w:rPr>
          <w:spacing w:val="-2"/>
        </w:rPr>
        <w:t>follows:</w:t>
      </w:r>
    </w:p>
    <w:p>
      <w:pPr>
        <w:pStyle w:val="BodyText"/>
        <w:spacing w:before="4"/>
        <w:rPr>
          <w:sz w:val="13"/>
        </w:rPr>
      </w:pPr>
      <w:r>
        <w:rPr>
          <w:sz w:val="13"/>
        </w:rPr>
        <mc:AlternateContent>
          <mc:Choice Requires="wps">
            <w:drawing>
              <wp:anchor distT="0" distB="0" distL="0" distR="0" allowOverlap="1" layoutInCell="1" locked="0" behindDoc="1" simplePos="0" relativeHeight="487737856">
                <wp:simplePos x="0" y="0"/>
                <wp:positionH relativeFrom="page">
                  <wp:posOffset>914400</wp:posOffset>
                </wp:positionH>
                <wp:positionV relativeFrom="paragraph">
                  <wp:posOffset>113250</wp:posOffset>
                </wp:positionV>
                <wp:extent cx="5943600" cy="1270"/>
                <wp:effectExtent l="0" t="0" r="0" b="0"/>
                <wp:wrapTopAndBottom/>
                <wp:docPr id="907" name="Graphic 907"/>
                <wp:cNvGraphicFramePr>
                  <a:graphicFrameLocks/>
                </wp:cNvGraphicFramePr>
                <a:graphic>
                  <a:graphicData uri="http://schemas.microsoft.com/office/word/2010/wordprocessingShape">
                    <wps:wsp>
                      <wps:cNvPr id="907" name="Graphic 90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917383pt;width:468pt;height:.1pt;mso-position-horizontal-relative:page;mso-position-vertical-relative:paragraph;z-index:-15578624;mso-wrap-distance-left:0;mso-wrap-distance-right:0" id="docshape748" coordorigin="1440,178" coordsize="9360,0" path="m1440,178l10800,178e" filled="false" stroked="true" strokeweight="1pt" strokecolor="#000000">
                <v:path arrowok="t"/>
                <v:stroke dashstyle="solid"/>
                <w10:wrap type="topAndBottom"/>
              </v:shape>
            </w:pict>
          </mc:Fallback>
        </mc:AlternateContent>
      </w:r>
    </w:p>
    <w:p>
      <w:pPr>
        <w:tabs>
          <w:tab w:pos="5399" w:val="left" w:leader="none"/>
        </w:tabs>
        <w:spacing w:before="16"/>
        <w:ind w:left="720" w:right="0" w:firstLine="0"/>
        <w:jc w:val="left"/>
        <w:rPr>
          <w:rFonts w:ascii="Arial"/>
          <w:b/>
          <w:sz w:val="16"/>
        </w:rPr>
      </w:pPr>
      <w:r>
        <w:rPr>
          <w:rFonts w:ascii="Arial"/>
          <w:b/>
          <w:sz w:val="16"/>
        </w:rPr>
        <w:t>Receivables</w:t>
      </w:r>
      <w:r>
        <w:rPr>
          <w:rFonts w:ascii="Arial"/>
          <w:b/>
          <w:spacing w:val="-6"/>
          <w:sz w:val="16"/>
        </w:rPr>
        <w:t> </w:t>
      </w:r>
      <w:r>
        <w:rPr>
          <w:rFonts w:ascii="Arial"/>
          <w:b/>
          <w:sz w:val="16"/>
        </w:rPr>
        <w:t>/</w:t>
      </w:r>
      <w:r>
        <w:rPr>
          <w:rFonts w:ascii="Arial"/>
          <w:b/>
          <w:spacing w:val="-4"/>
          <w:sz w:val="16"/>
        </w:rPr>
        <w:t> </w:t>
      </w:r>
      <w:r>
        <w:rPr>
          <w:rFonts w:ascii="Arial"/>
          <w:b/>
          <w:sz w:val="16"/>
        </w:rPr>
        <w:t>Payables</w:t>
      </w:r>
      <w:r>
        <w:rPr>
          <w:rFonts w:ascii="Arial"/>
          <w:b/>
          <w:spacing w:val="-5"/>
          <w:sz w:val="16"/>
        </w:rPr>
        <w:t> </w:t>
      </w:r>
      <w:r>
        <w:rPr>
          <w:rFonts w:ascii="Arial"/>
          <w:b/>
          <w:sz w:val="16"/>
        </w:rPr>
        <w:t>related</w:t>
      </w:r>
      <w:r>
        <w:rPr>
          <w:rFonts w:ascii="Arial"/>
          <w:b/>
          <w:spacing w:val="-5"/>
          <w:sz w:val="16"/>
        </w:rPr>
        <w:t> to:</w:t>
      </w:r>
      <w:r>
        <w:rPr>
          <w:rFonts w:ascii="Arial"/>
          <w:b/>
          <w:sz w:val="16"/>
        </w:rPr>
        <w:tab/>
        <w:t>Reported</w:t>
      </w:r>
      <w:r>
        <w:rPr>
          <w:rFonts w:ascii="Arial"/>
          <w:b/>
          <w:spacing w:val="-9"/>
          <w:sz w:val="16"/>
        </w:rPr>
        <w:t> </w:t>
      </w:r>
      <w:r>
        <w:rPr>
          <w:rFonts w:ascii="Arial"/>
          <w:b/>
          <w:spacing w:val="-5"/>
          <w:sz w:val="16"/>
        </w:rPr>
        <w:t>as:</w:t>
      </w:r>
    </w:p>
    <w:p>
      <w:pPr>
        <w:tabs>
          <w:tab w:pos="5399" w:val="left" w:leader="none"/>
        </w:tabs>
        <w:spacing w:before="56"/>
        <w:ind w:left="720" w:right="0" w:firstLine="0"/>
        <w:jc w:val="left"/>
        <w:rPr>
          <w:rFonts w:ascii="Arial MT"/>
          <w:sz w:val="16"/>
        </w:rPr>
      </w:pPr>
      <w:r>
        <w:rPr>
          <w:rFonts w:ascii="Arial MT"/>
          <w:sz w:val="16"/>
        </w:rPr>
        <w:t>Administrative</w:t>
      </w:r>
      <w:r>
        <w:rPr>
          <w:rFonts w:ascii="Arial MT"/>
          <w:spacing w:val="-7"/>
          <w:sz w:val="16"/>
        </w:rPr>
        <w:t> </w:t>
      </w:r>
      <w:r>
        <w:rPr>
          <w:rFonts w:ascii="Arial MT"/>
          <w:spacing w:val="-2"/>
          <w:sz w:val="16"/>
        </w:rPr>
        <w:t>services</w:t>
      </w:r>
      <w:r>
        <w:rPr>
          <w:rFonts w:ascii="Arial MT"/>
          <w:sz w:val="16"/>
        </w:rPr>
        <w:tab/>
        <w:t>Other</w:t>
      </w:r>
      <w:r>
        <w:rPr>
          <w:rFonts w:ascii="Arial MT"/>
          <w:spacing w:val="-2"/>
          <w:sz w:val="16"/>
        </w:rPr>
        <w:t> assets</w:t>
      </w:r>
    </w:p>
    <w:p>
      <w:pPr>
        <w:tabs>
          <w:tab w:pos="5399" w:val="left" w:leader="none"/>
        </w:tabs>
        <w:spacing w:before="56"/>
        <w:ind w:left="720" w:right="0" w:firstLine="0"/>
        <w:jc w:val="left"/>
        <w:rPr>
          <w:rFonts w:ascii="Arial MT"/>
          <w:sz w:val="16"/>
        </w:rPr>
      </w:pPr>
      <w:r>
        <w:rPr>
          <w:rFonts w:ascii="Arial MT"/>
          <w:sz w:val="16"/>
        </w:rPr>
        <w:t>PCRF</w:t>
      </w:r>
      <w:r>
        <w:rPr>
          <w:rFonts w:ascii="Arial MT"/>
          <w:spacing w:val="-5"/>
          <w:sz w:val="16"/>
        </w:rPr>
        <w:t> </w:t>
      </w:r>
      <w:r>
        <w:rPr>
          <w:rFonts w:ascii="Arial MT"/>
          <w:spacing w:val="-2"/>
          <w:sz w:val="16"/>
        </w:rPr>
        <w:t>investments</w:t>
      </w:r>
      <w:r>
        <w:rPr>
          <w:rFonts w:ascii="Arial MT"/>
          <w:sz w:val="16"/>
        </w:rPr>
        <w:tab/>
        <w:t>Other</w:t>
      </w:r>
      <w:r>
        <w:rPr>
          <w:rFonts w:ascii="Arial MT"/>
          <w:spacing w:val="-2"/>
          <w:sz w:val="16"/>
        </w:rPr>
        <w:t> liabilities</w:t>
      </w:r>
    </w:p>
    <w:p>
      <w:pPr>
        <w:tabs>
          <w:tab w:pos="5399" w:val="left" w:leader="none"/>
        </w:tabs>
        <w:spacing w:before="56"/>
        <w:ind w:left="720" w:right="0" w:firstLine="0"/>
        <w:jc w:val="left"/>
        <w:rPr>
          <w:rFonts w:ascii="Arial MT" w:hAnsi="Arial MT"/>
          <w:sz w:val="16"/>
        </w:rPr>
      </w:pPr>
      <w:r>
        <w:rPr>
          <w:rFonts w:ascii="Arial MT" w:hAnsi="Arial MT"/>
          <w:sz w:val="16"/>
        </w:rPr>
        <w:t>Derivative</w:t>
      </w:r>
      <w:r>
        <w:rPr>
          <w:rFonts w:ascii="Arial MT" w:hAnsi="Arial MT"/>
          <w:spacing w:val="-6"/>
          <w:sz w:val="16"/>
        </w:rPr>
        <w:t> </w:t>
      </w:r>
      <w:r>
        <w:rPr>
          <w:rFonts w:ascii="Arial MT" w:hAnsi="Arial MT"/>
          <w:spacing w:val="-2"/>
          <w:sz w:val="16"/>
        </w:rPr>
        <w:t>transactions</w:t>
      </w:r>
      <w:r>
        <w:rPr>
          <w:rFonts w:ascii="Arial MT" w:hAnsi="Arial MT"/>
          <w:sz w:val="16"/>
        </w:rPr>
        <w:tab/>
        <w:t>Derivative</w:t>
      </w:r>
      <w:r>
        <w:rPr>
          <w:rFonts w:ascii="Arial MT" w:hAnsi="Arial MT"/>
          <w:spacing w:val="-9"/>
          <w:sz w:val="16"/>
        </w:rPr>
        <w:t> </w:t>
      </w:r>
      <w:r>
        <w:rPr>
          <w:rFonts w:ascii="Arial MT" w:hAnsi="Arial MT"/>
          <w:sz w:val="16"/>
        </w:rPr>
        <w:t>assets/liabilities</w:t>
      </w:r>
      <w:r>
        <w:rPr>
          <w:rFonts w:ascii="Arial MT" w:hAnsi="Arial MT"/>
          <w:spacing w:val="-5"/>
          <w:sz w:val="16"/>
        </w:rPr>
        <w:t> </w:t>
      </w:r>
      <w:r>
        <w:rPr>
          <w:rFonts w:ascii="Arial MT" w:hAnsi="Arial MT"/>
          <w:sz w:val="16"/>
        </w:rPr>
        <w:t>–</w:t>
      </w:r>
      <w:r>
        <w:rPr>
          <w:rFonts w:ascii="Arial MT" w:hAnsi="Arial MT"/>
          <w:spacing w:val="-6"/>
          <w:sz w:val="16"/>
        </w:rPr>
        <w:t> </w:t>
      </w:r>
      <w:r>
        <w:rPr>
          <w:rFonts w:ascii="Arial MT" w:hAnsi="Arial MT"/>
          <w:spacing w:val="-5"/>
          <w:sz w:val="16"/>
        </w:rPr>
        <w:t>net</w:t>
      </w:r>
    </w:p>
    <w:p>
      <w:pPr>
        <w:tabs>
          <w:tab w:pos="5399" w:val="left" w:leader="none"/>
        </w:tabs>
        <w:spacing w:before="56"/>
        <w:ind w:left="720" w:right="0" w:firstLine="0"/>
        <w:jc w:val="left"/>
        <w:rPr>
          <w:rFonts w:ascii="Arial MT"/>
          <w:sz w:val="16"/>
        </w:rPr>
      </w:pPr>
      <w:r>
        <w:rPr>
          <w:rFonts w:ascii="Arial MT"/>
          <w:sz w:val="16"/>
        </w:rPr>
        <w:t>Pension</w:t>
      </w:r>
      <w:r>
        <w:rPr>
          <w:rFonts w:ascii="Arial MT"/>
          <w:spacing w:val="-5"/>
          <w:sz w:val="16"/>
        </w:rPr>
        <w:t> </w:t>
      </w:r>
      <w:r>
        <w:rPr>
          <w:rFonts w:ascii="Arial MT"/>
          <w:sz w:val="16"/>
        </w:rPr>
        <w:t>and</w:t>
      </w:r>
      <w:r>
        <w:rPr>
          <w:rFonts w:ascii="Arial MT"/>
          <w:spacing w:val="-5"/>
          <w:sz w:val="16"/>
        </w:rPr>
        <w:t> </w:t>
      </w:r>
      <w:r>
        <w:rPr>
          <w:rFonts w:ascii="Arial MT"/>
          <w:sz w:val="16"/>
        </w:rPr>
        <w:t>other</w:t>
      </w:r>
      <w:r>
        <w:rPr>
          <w:rFonts w:ascii="Arial MT"/>
          <w:spacing w:val="-4"/>
          <w:sz w:val="16"/>
        </w:rPr>
        <w:t> </w:t>
      </w:r>
      <w:r>
        <w:rPr>
          <w:rFonts w:ascii="Arial MT"/>
          <w:sz w:val="16"/>
        </w:rPr>
        <w:t>postretirement</w:t>
      </w:r>
      <w:r>
        <w:rPr>
          <w:rFonts w:ascii="Arial MT"/>
          <w:spacing w:val="-4"/>
          <w:sz w:val="16"/>
        </w:rPr>
        <w:t> </w:t>
      </w:r>
      <w:r>
        <w:rPr>
          <w:rFonts w:ascii="Arial MT"/>
          <w:spacing w:val="-2"/>
          <w:sz w:val="16"/>
        </w:rPr>
        <w:t>benefits</w:t>
      </w:r>
      <w:r>
        <w:rPr>
          <w:rFonts w:ascii="Arial MT"/>
          <w:sz w:val="16"/>
        </w:rPr>
        <w:tab/>
        <w:t>Other</w:t>
      </w:r>
      <w:r>
        <w:rPr>
          <w:rFonts w:ascii="Arial MT"/>
          <w:spacing w:val="-2"/>
          <w:sz w:val="16"/>
        </w:rPr>
        <w:t> liabilities</w:t>
      </w:r>
    </w:p>
    <w:p>
      <w:pPr>
        <w:spacing w:after="0"/>
        <w:jc w:val="left"/>
        <w:rPr>
          <w:rFonts w:ascii="Arial MT"/>
          <w:sz w:val="16"/>
        </w:rPr>
        <w:sectPr>
          <w:headerReference w:type="even" r:id="rId181"/>
          <w:footerReference w:type="even" r:id="rId182"/>
          <w:footerReference w:type="default" r:id="rId183"/>
          <w:pgSz w:w="12240" w:h="15840"/>
          <w:pgMar w:header="0" w:footer="528" w:top="960" w:bottom="720" w:left="720" w:right="720"/>
          <w:pgNumType w:start="116"/>
        </w:sectPr>
      </w:pPr>
    </w:p>
    <w:p>
      <w:pPr>
        <w:pStyle w:val="Heading5"/>
      </w:pPr>
      <w:r>
        <w:rPr/>
        <w:t>Loans</w:t>
      </w:r>
      <w:r>
        <w:rPr>
          <w:spacing w:val="-5"/>
        </w:rPr>
        <w:t> </w:t>
      </w:r>
      <w:r>
        <w:rPr/>
        <w:t>and</w:t>
      </w:r>
      <w:r>
        <w:rPr>
          <w:spacing w:val="-2"/>
        </w:rPr>
        <w:t> </w:t>
      </w:r>
      <w:r>
        <w:rPr/>
        <w:t>Other</w:t>
      </w:r>
      <w:r>
        <w:rPr>
          <w:spacing w:val="-2"/>
        </w:rPr>
        <w:t> Exposures</w:t>
      </w:r>
    </w:p>
    <w:p>
      <w:pPr>
        <w:pStyle w:val="BodyText"/>
        <w:spacing w:line="249" w:lineRule="auto" w:before="140"/>
        <w:ind w:left="720" w:right="718"/>
        <w:jc w:val="both"/>
      </w:pPr>
      <w:r>
        <w:rPr/>
        <w:t>IBRD has a Local Currency Loan Facility Agreement with IFC, which is capped at $300 million. As of June 30, 2023 and June 30, 2022, there were no loans outstanding under this facility.</w:t>
      </w:r>
    </w:p>
    <w:p>
      <w:pPr>
        <w:pStyle w:val="BodyText"/>
        <w:spacing w:line="249" w:lineRule="auto" w:before="121"/>
        <w:ind w:left="720" w:right="718"/>
        <w:jc w:val="both"/>
      </w:pPr>
      <w:r>
        <w:rPr/>
        <w:t>During the fiscal year ended June 30, 2014, IBRD entered into an EEA with MIGA under which IBRD and MIGA exchange</w:t>
      </w:r>
      <w:r>
        <w:rPr>
          <w:spacing w:val="-1"/>
        </w:rPr>
        <w:t> </w:t>
      </w:r>
      <w:r>
        <w:rPr/>
        <w:t>selected</w:t>
      </w:r>
      <w:r>
        <w:rPr>
          <w:spacing w:val="-1"/>
        </w:rPr>
        <w:t> </w:t>
      </w:r>
      <w:r>
        <w:rPr/>
        <w:t>exposures,</w:t>
      </w:r>
      <w:r>
        <w:rPr>
          <w:spacing w:val="-1"/>
        </w:rPr>
        <w:t> </w:t>
      </w:r>
      <w:r>
        <w:rPr/>
        <w:t>with</w:t>
      </w:r>
      <w:r>
        <w:rPr>
          <w:spacing w:val="-1"/>
        </w:rPr>
        <w:t> </w:t>
      </w:r>
      <w:r>
        <w:rPr/>
        <w:t>each</w:t>
      </w:r>
      <w:r>
        <w:rPr>
          <w:spacing w:val="-1"/>
        </w:rPr>
        <w:t> </w:t>
      </w:r>
      <w:r>
        <w:rPr/>
        <w:t>divesting</w:t>
      </w:r>
      <w:r>
        <w:rPr>
          <w:spacing w:val="-1"/>
        </w:rPr>
        <w:t> </w:t>
      </w:r>
      <w:r>
        <w:rPr/>
        <w:t>exposure</w:t>
      </w:r>
      <w:r>
        <w:rPr>
          <w:spacing w:val="-1"/>
        </w:rPr>
        <w:t> </w:t>
      </w:r>
      <w:r>
        <w:rPr/>
        <w:t>in</w:t>
      </w:r>
      <w:r>
        <w:rPr>
          <w:spacing w:val="-1"/>
        </w:rPr>
        <w:t> </w:t>
      </w:r>
      <w:r>
        <w:rPr/>
        <w:t>countries</w:t>
      </w:r>
      <w:r>
        <w:rPr>
          <w:spacing w:val="-1"/>
        </w:rPr>
        <w:t> </w:t>
      </w:r>
      <w:r>
        <w:rPr/>
        <w:t>where</w:t>
      </w:r>
      <w:r>
        <w:rPr>
          <w:spacing w:val="-1"/>
        </w:rPr>
        <w:t> </w:t>
      </w:r>
      <w:r>
        <w:rPr/>
        <w:t>their</w:t>
      </w:r>
      <w:r>
        <w:rPr>
          <w:spacing w:val="-1"/>
        </w:rPr>
        <w:t> </w:t>
      </w:r>
      <w:r>
        <w:rPr/>
        <w:t>lending</w:t>
      </w:r>
      <w:r>
        <w:rPr>
          <w:spacing w:val="-1"/>
        </w:rPr>
        <w:t> </w:t>
      </w:r>
      <w:r>
        <w:rPr/>
        <w:t>capacities</w:t>
      </w:r>
      <w:r>
        <w:rPr>
          <w:spacing w:val="-1"/>
        </w:rPr>
        <w:t> </w:t>
      </w:r>
      <w:r>
        <w:rPr/>
        <w:t>are</w:t>
      </w:r>
      <w:r>
        <w:rPr>
          <w:spacing w:val="-1"/>
        </w:rPr>
        <w:t> </w:t>
      </w:r>
      <w:r>
        <w:rPr/>
        <w:t>limited,</w:t>
      </w:r>
      <w:r>
        <w:rPr>
          <w:spacing w:val="-1"/>
        </w:rPr>
        <w:t> </w:t>
      </w:r>
      <w:r>
        <w:rPr/>
        <w:t>in return for exposure in countries where they have excess lending capacity. Under the agreement, IBRD and MIGA have each exchanged $120 million of notional exposure as follows: MIGA assumes IBRD's loan principal and interest exposure in exchange for IBRD's assumption of principal and interest exposure of MIGA under its Non-Honoring of Sovereign Financial Obligation agreement. As of June 30, 2023, assets related to IBRD’s right to be indemnified under this agreement amounted to less than $1 million ($1 million—June 30, 2022), while liabilities related to IBRD’s obligation under this agreement amounted to less than $1 million ($1 million—June 30, 2022). These</w:t>
      </w:r>
      <w:r>
        <w:rPr>
          <w:spacing w:val="-2"/>
        </w:rPr>
        <w:t> </w:t>
      </w:r>
      <w:r>
        <w:rPr/>
        <w:t>include</w:t>
      </w:r>
      <w:r>
        <w:rPr>
          <w:spacing w:val="-2"/>
        </w:rPr>
        <w:t> </w:t>
      </w:r>
      <w:r>
        <w:rPr/>
        <w:t>an</w:t>
      </w:r>
      <w:r>
        <w:rPr>
          <w:spacing w:val="-2"/>
        </w:rPr>
        <w:t> </w:t>
      </w:r>
      <w:r>
        <w:rPr/>
        <w:t>accumulated</w:t>
      </w:r>
      <w:r>
        <w:rPr>
          <w:spacing w:val="-2"/>
        </w:rPr>
        <w:t> </w:t>
      </w:r>
      <w:r>
        <w:rPr/>
        <w:t>provision</w:t>
      </w:r>
      <w:r>
        <w:rPr>
          <w:spacing w:val="-2"/>
        </w:rPr>
        <w:t> </w:t>
      </w:r>
      <w:r>
        <w:rPr/>
        <w:t>for</w:t>
      </w:r>
      <w:r>
        <w:rPr>
          <w:spacing w:val="-2"/>
        </w:rPr>
        <w:t> </w:t>
      </w:r>
      <w:r>
        <w:rPr/>
        <w:t>guarantee</w:t>
      </w:r>
      <w:r>
        <w:rPr>
          <w:spacing w:val="-2"/>
        </w:rPr>
        <w:t> </w:t>
      </w:r>
      <w:r>
        <w:rPr/>
        <w:t>losses</w:t>
      </w:r>
      <w:r>
        <w:rPr>
          <w:spacing w:val="-2"/>
        </w:rPr>
        <w:t> </w:t>
      </w:r>
      <w:r>
        <w:rPr/>
        <w:t>of</w:t>
      </w:r>
      <w:r>
        <w:rPr>
          <w:spacing w:val="-2"/>
        </w:rPr>
        <w:t> </w:t>
      </w:r>
      <w:r>
        <w:rPr/>
        <w:t>less</w:t>
      </w:r>
      <w:r>
        <w:rPr>
          <w:spacing w:val="-2"/>
        </w:rPr>
        <w:t> </w:t>
      </w:r>
      <w:r>
        <w:rPr/>
        <w:t>than</w:t>
      </w:r>
      <w:r>
        <w:rPr>
          <w:spacing w:val="-2"/>
        </w:rPr>
        <w:t> </w:t>
      </w:r>
      <w:r>
        <w:rPr/>
        <w:t>$1</w:t>
      </w:r>
      <w:r>
        <w:rPr>
          <w:spacing w:val="-2"/>
        </w:rPr>
        <w:t> </w:t>
      </w:r>
      <w:r>
        <w:rPr/>
        <w:t>million</w:t>
      </w:r>
      <w:r>
        <w:rPr>
          <w:spacing w:val="-2"/>
        </w:rPr>
        <w:t> </w:t>
      </w:r>
      <w:r>
        <w:rPr/>
        <w:t>as</w:t>
      </w:r>
      <w:r>
        <w:rPr>
          <w:spacing w:val="-2"/>
        </w:rPr>
        <w:t> </w:t>
      </w:r>
      <w:r>
        <w:rPr/>
        <w:t>of</w:t>
      </w:r>
      <w:r>
        <w:rPr>
          <w:spacing w:val="-2"/>
        </w:rPr>
        <w:t> </w:t>
      </w:r>
      <w:r>
        <w:rPr/>
        <w:t>June</w:t>
      </w:r>
      <w:r>
        <w:rPr>
          <w:spacing w:val="-2"/>
        </w:rPr>
        <w:t> </w:t>
      </w:r>
      <w:r>
        <w:rPr/>
        <w:t>30,</w:t>
      </w:r>
      <w:r>
        <w:rPr>
          <w:spacing w:val="-2"/>
        </w:rPr>
        <w:t> </w:t>
      </w:r>
      <w:r>
        <w:rPr/>
        <w:t>2023</w:t>
      </w:r>
      <w:r>
        <w:rPr>
          <w:spacing w:val="-2"/>
        </w:rPr>
        <w:t> </w:t>
      </w:r>
      <w:r>
        <w:rPr/>
        <w:t>(less</w:t>
      </w:r>
      <w:r>
        <w:rPr>
          <w:spacing w:val="-2"/>
        </w:rPr>
        <w:t> </w:t>
      </w:r>
      <w:r>
        <w:rPr/>
        <w:t>than</w:t>
      </w:r>
      <w:r>
        <w:rPr>
          <w:spacing w:val="-2"/>
        </w:rPr>
        <w:t> </w:t>
      </w:r>
      <w:r>
        <w:rPr/>
        <w:t>$1 million—June 30, 2022).</w:t>
      </w:r>
    </w:p>
    <w:p>
      <w:pPr>
        <w:pStyle w:val="Heading5"/>
        <w:spacing w:before="120"/>
      </w:pPr>
      <w:r>
        <w:rPr/>
        <w:t>Administrative</w:t>
      </w:r>
      <w:r>
        <w:rPr>
          <w:spacing w:val="-3"/>
        </w:rPr>
        <w:t> </w:t>
      </w:r>
      <w:r>
        <w:rPr>
          <w:spacing w:val="-2"/>
        </w:rPr>
        <w:t>Services</w:t>
      </w:r>
    </w:p>
    <w:p>
      <w:pPr>
        <w:pStyle w:val="BodyText"/>
        <w:spacing w:line="249" w:lineRule="auto" w:before="139"/>
        <w:ind w:left="720" w:right="720"/>
        <w:jc w:val="both"/>
      </w:pPr>
      <w:r>
        <w:rPr/>
        <w:t>Expenses jointly incurred by IBRD and IDA are allocated based on an agreed cost-sharing methodology, and amounts</w:t>
      </w:r>
      <w:r>
        <w:rPr>
          <w:spacing w:val="-2"/>
        </w:rPr>
        <w:t> </w:t>
      </w:r>
      <w:r>
        <w:rPr/>
        <w:t>are</w:t>
      </w:r>
      <w:r>
        <w:rPr>
          <w:spacing w:val="-2"/>
        </w:rPr>
        <w:t> </w:t>
      </w:r>
      <w:r>
        <w:rPr/>
        <w:t>settled</w:t>
      </w:r>
      <w:r>
        <w:rPr>
          <w:spacing w:val="-1"/>
        </w:rPr>
        <w:t> </w:t>
      </w:r>
      <w:r>
        <w:rPr/>
        <w:t>quarterly.</w:t>
      </w:r>
      <w:r>
        <w:rPr>
          <w:spacing w:val="-1"/>
        </w:rPr>
        <w:t> </w:t>
      </w:r>
      <w:r>
        <w:rPr/>
        <w:t>For</w:t>
      </w:r>
      <w:r>
        <w:rPr>
          <w:spacing w:val="-1"/>
        </w:rPr>
        <w:t> </w:t>
      </w:r>
      <w:r>
        <w:rPr/>
        <w:t>the</w:t>
      </w:r>
      <w:r>
        <w:rPr>
          <w:spacing w:val="-2"/>
        </w:rPr>
        <w:t> </w:t>
      </w:r>
      <w:r>
        <w:rPr/>
        <w:t>fiscal</w:t>
      </w:r>
      <w:r>
        <w:rPr>
          <w:spacing w:val="-2"/>
        </w:rPr>
        <w:t> </w:t>
      </w:r>
      <w:r>
        <w:rPr/>
        <w:t>year</w:t>
      </w:r>
      <w:r>
        <w:rPr>
          <w:spacing w:val="-1"/>
        </w:rPr>
        <w:t> </w:t>
      </w:r>
      <w:r>
        <w:rPr/>
        <w:t>ended</w:t>
      </w:r>
      <w:r>
        <w:rPr>
          <w:spacing w:val="-1"/>
        </w:rPr>
        <w:t> </w:t>
      </w:r>
      <w:r>
        <w:rPr/>
        <w:t>June</w:t>
      </w:r>
      <w:r>
        <w:rPr>
          <w:spacing w:val="-2"/>
        </w:rPr>
        <w:t> </w:t>
      </w:r>
      <w:r>
        <w:rPr/>
        <w:t>30,</w:t>
      </w:r>
      <w:r>
        <w:rPr>
          <w:spacing w:val="-1"/>
        </w:rPr>
        <w:t> </w:t>
      </w:r>
      <w:r>
        <w:rPr/>
        <w:t>2023,</w:t>
      </w:r>
      <w:r>
        <w:rPr>
          <w:spacing w:val="-1"/>
        </w:rPr>
        <w:t> </w:t>
      </w:r>
      <w:r>
        <w:rPr/>
        <w:t>IBRD’s</w:t>
      </w:r>
      <w:r>
        <w:rPr>
          <w:spacing w:val="-2"/>
        </w:rPr>
        <w:t> </w:t>
      </w:r>
      <w:r>
        <w:rPr/>
        <w:t>administrative</w:t>
      </w:r>
      <w:r>
        <w:rPr>
          <w:spacing w:val="-2"/>
        </w:rPr>
        <w:t> </w:t>
      </w:r>
      <w:r>
        <w:rPr/>
        <w:t>expenses</w:t>
      </w:r>
      <w:r>
        <w:rPr>
          <w:spacing w:val="-2"/>
        </w:rPr>
        <w:t> </w:t>
      </w:r>
      <w:r>
        <w:rPr/>
        <w:t>are</w:t>
      </w:r>
      <w:r>
        <w:rPr>
          <w:spacing w:val="-2"/>
        </w:rPr>
        <w:t> </w:t>
      </w:r>
      <w:r>
        <w:rPr/>
        <w:t>net</w:t>
      </w:r>
      <w:r>
        <w:rPr>
          <w:spacing w:val="-2"/>
        </w:rPr>
        <w:t> </w:t>
      </w:r>
      <w:r>
        <w:rPr/>
        <w:t>of</w:t>
      </w:r>
      <w:r>
        <w:rPr>
          <w:spacing w:val="-1"/>
        </w:rPr>
        <w:t> </w:t>
      </w:r>
      <w:r>
        <w:rPr/>
        <w:t>the share of expenses allocated to IDA of $1,744 million ($1,644 million—fiscal year ended June 30, 2022, and $1,873 million—fiscal year ended June 30, 2021).</w:t>
      </w:r>
    </w:p>
    <w:p>
      <w:pPr>
        <w:pStyle w:val="Heading5"/>
        <w:spacing w:before="115"/>
        <w:jc w:val="left"/>
      </w:pPr>
      <w:r>
        <w:rPr>
          <w:spacing w:val="-2"/>
        </w:rPr>
        <w:t>Revenue</w:t>
      </w:r>
    </w:p>
    <w:p>
      <w:pPr>
        <w:pStyle w:val="BodyText"/>
        <w:spacing w:line="249" w:lineRule="auto" w:before="140"/>
        <w:ind w:left="720" w:right="718"/>
        <w:jc w:val="both"/>
      </w:pPr>
      <w:r>
        <w:rPr/>
        <w:t>Revenue jointly earned by IBRD and IDA is allocated based on an agreed revenue-sharing methodology, and amounts are settled quarterly. For the fiscal year ended June 30, 2023, IBRD’s other revenue is net of revenue allocated to IDA of $280 million ($252 million—fiscal year ended June 30, 2022, and $261 million—fiscal year ended June 30, 2021), and is included in Revenue from externally funded activities in the Statements of Income.</w:t>
      </w:r>
      <w:r>
        <w:rPr>
          <w:spacing w:val="40"/>
        </w:rPr>
        <w:t> </w:t>
      </w:r>
      <w:r>
        <w:rPr/>
        <w:t>This revenue also includes revenue from contracts with clients, who are not affiliated with IBRD as follows:</w:t>
      </w:r>
    </w:p>
    <w:p>
      <w:pPr>
        <w:pStyle w:val="Heading8"/>
        <w:spacing w:before="121"/>
      </w:pPr>
      <w:r>
        <w:rPr/>
        <w:t>Table</w:t>
      </w:r>
      <w:r>
        <w:rPr>
          <w:spacing w:val="-6"/>
        </w:rPr>
        <w:t> </w:t>
      </w:r>
      <w:r>
        <w:rPr/>
        <w:t>H2:</w:t>
      </w:r>
      <w:r>
        <w:rPr>
          <w:spacing w:val="-3"/>
        </w:rPr>
        <w:t> </w:t>
      </w:r>
      <w:r>
        <w:rPr/>
        <w:t>Revenue</w:t>
      </w:r>
      <w:r>
        <w:rPr>
          <w:spacing w:val="-3"/>
        </w:rPr>
        <w:t> </w:t>
      </w:r>
      <w:r>
        <w:rPr/>
        <w:t>from</w:t>
      </w:r>
      <w:r>
        <w:rPr>
          <w:spacing w:val="-3"/>
        </w:rPr>
        <w:t> </w:t>
      </w:r>
      <w:r>
        <w:rPr/>
        <w:t>contracts</w:t>
      </w:r>
      <w:r>
        <w:rPr>
          <w:spacing w:val="-4"/>
        </w:rPr>
        <w:t> </w:t>
      </w:r>
      <w:r>
        <w:rPr/>
        <w:t>with</w:t>
      </w:r>
      <w:r>
        <w:rPr>
          <w:spacing w:val="-3"/>
        </w:rPr>
        <w:t> </w:t>
      </w:r>
      <w:r>
        <w:rPr>
          <w:spacing w:val="-2"/>
        </w:rPr>
        <w:t>clients</w:t>
      </w:r>
    </w:p>
    <w:p>
      <w:pPr>
        <w:spacing w:before="88" w:after="29"/>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0"/>
        <w:gridCol w:w="1272"/>
        <w:gridCol w:w="529"/>
        <w:gridCol w:w="406"/>
        <w:gridCol w:w="1273"/>
        <w:gridCol w:w="530"/>
        <w:gridCol w:w="407"/>
        <w:gridCol w:w="1274"/>
        <w:gridCol w:w="531"/>
      </w:tblGrid>
      <w:tr>
        <w:trPr>
          <w:trHeight w:val="220" w:hRule="atLeast"/>
        </w:trPr>
        <w:tc>
          <w:tcPr>
            <w:tcW w:w="3150" w:type="dxa"/>
            <w:tcBorders>
              <w:top w:val="single" w:sz="8" w:space="0" w:color="000000"/>
            </w:tcBorders>
          </w:tcPr>
          <w:p>
            <w:pPr>
              <w:pStyle w:val="TableParagraph"/>
              <w:rPr>
                <w:rFonts w:ascii="Times New Roman"/>
                <w:sz w:val="14"/>
              </w:rPr>
            </w:pPr>
          </w:p>
        </w:tc>
        <w:tc>
          <w:tcPr>
            <w:tcW w:w="1272" w:type="dxa"/>
            <w:tcBorders>
              <w:top w:val="single" w:sz="8" w:space="0" w:color="000000"/>
              <w:bottom w:val="single" w:sz="8" w:space="0" w:color="000000"/>
            </w:tcBorders>
          </w:tcPr>
          <w:p>
            <w:pPr>
              <w:pStyle w:val="TableParagraph"/>
              <w:spacing w:line="183" w:lineRule="exact" w:before="16"/>
              <w:ind w:left="722"/>
              <w:rPr>
                <w:rFonts w:ascii="Arial"/>
                <w:i/>
                <w:sz w:val="16"/>
              </w:rPr>
            </w:pPr>
            <w:r>
              <w:rPr>
                <w:rFonts w:ascii="Arial"/>
                <w:i/>
                <w:spacing w:val="-4"/>
                <w:sz w:val="16"/>
              </w:rPr>
              <w:t>2023</w:t>
            </w:r>
          </w:p>
        </w:tc>
        <w:tc>
          <w:tcPr>
            <w:tcW w:w="529" w:type="dxa"/>
            <w:tcBorders>
              <w:top w:val="single" w:sz="8" w:space="0" w:color="000000"/>
              <w:bottom w:val="single" w:sz="8" w:space="0" w:color="000000"/>
            </w:tcBorders>
          </w:tcPr>
          <w:p>
            <w:pPr>
              <w:pStyle w:val="TableParagraph"/>
              <w:rPr>
                <w:rFonts w:ascii="Times New Roman"/>
                <w:sz w:val="14"/>
              </w:rPr>
            </w:pPr>
          </w:p>
        </w:tc>
        <w:tc>
          <w:tcPr>
            <w:tcW w:w="406" w:type="dxa"/>
            <w:tcBorders>
              <w:top w:val="single" w:sz="8" w:space="0" w:color="000000"/>
            </w:tcBorders>
          </w:tcPr>
          <w:p>
            <w:pPr>
              <w:pStyle w:val="TableParagraph"/>
              <w:rPr>
                <w:rFonts w:ascii="Times New Roman"/>
                <w:sz w:val="14"/>
              </w:rPr>
            </w:pPr>
          </w:p>
        </w:tc>
        <w:tc>
          <w:tcPr>
            <w:tcW w:w="1273" w:type="dxa"/>
            <w:tcBorders>
              <w:top w:val="single" w:sz="8" w:space="0" w:color="000000"/>
              <w:bottom w:val="single" w:sz="8" w:space="0" w:color="000000"/>
            </w:tcBorders>
          </w:tcPr>
          <w:p>
            <w:pPr>
              <w:pStyle w:val="TableParagraph"/>
              <w:spacing w:line="183" w:lineRule="exact" w:before="16"/>
              <w:ind w:left="720"/>
              <w:rPr>
                <w:rFonts w:ascii="Arial"/>
                <w:i/>
                <w:sz w:val="16"/>
              </w:rPr>
            </w:pPr>
            <w:r>
              <w:rPr>
                <w:rFonts w:ascii="Arial"/>
                <w:i/>
                <w:spacing w:val="-4"/>
                <w:sz w:val="16"/>
              </w:rPr>
              <w:t>2022</w:t>
            </w:r>
          </w:p>
        </w:tc>
        <w:tc>
          <w:tcPr>
            <w:tcW w:w="530" w:type="dxa"/>
            <w:tcBorders>
              <w:top w:val="single" w:sz="8" w:space="0" w:color="000000"/>
              <w:bottom w:val="single" w:sz="8" w:space="0" w:color="000000"/>
            </w:tcBorders>
          </w:tcPr>
          <w:p>
            <w:pPr>
              <w:pStyle w:val="TableParagraph"/>
              <w:rPr>
                <w:rFonts w:ascii="Times New Roman"/>
                <w:sz w:val="14"/>
              </w:rPr>
            </w:pPr>
          </w:p>
        </w:tc>
        <w:tc>
          <w:tcPr>
            <w:tcW w:w="407" w:type="dxa"/>
            <w:tcBorders>
              <w:top w:val="single" w:sz="8" w:space="0" w:color="000000"/>
            </w:tcBorders>
          </w:tcPr>
          <w:p>
            <w:pPr>
              <w:pStyle w:val="TableParagraph"/>
              <w:rPr>
                <w:rFonts w:ascii="Times New Roman"/>
                <w:sz w:val="14"/>
              </w:rPr>
            </w:pPr>
          </w:p>
        </w:tc>
        <w:tc>
          <w:tcPr>
            <w:tcW w:w="1274" w:type="dxa"/>
            <w:tcBorders>
              <w:top w:val="single" w:sz="8" w:space="0" w:color="000000"/>
              <w:bottom w:val="single" w:sz="8" w:space="0" w:color="000000"/>
            </w:tcBorders>
          </w:tcPr>
          <w:p>
            <w:pPr>
              <w:pStyle w:val="TableParagraph"/>
              <w:spacing w:line="183" w:lineRule="exact" w:before="16"/>
              <w:ind w:left="715"/>
              <w:rPr>
                <w:rFonts w:ascii="Arial"/>
                <w:i/>
                <w:sz w:val="16"/>
              </w:rPr>
            </w:pPr>
            <w:r>
              <w:rPr>
                <w:rFonts w:ascii="Arial"/>
                <w:i/>
                <w:spacing w:val="-4"/>
                <w:sz w:val="16"/>
              </w:rPr>
              <w:t>2021</w:t>
            </w:r>
          </w:p>
        </w:tc>
        <w:tc>
          <w:tcPr>
            <w:tcW w:w="531" w:type="dxa"/>
            <w:tcBorders>
              <w:top w:val="single" w:sz="8" w:space="0" w:color="000000"/>
              <w:bottom w:val="single" w:sz="8" w:space="0" w:color="000000"/>
            </w:tcBorders>
          </w:tcPr>
          <w:p>
            <w:pPr>
              <w:pStyle w:val="TableParagraph"/>
              <w:rPr>
                <w:rFonts w:ascii="Times New Roman"/>
                <w:sz w:val="14"/>
              </w:rPr>
            </w:pPr>
          </w:p>
        </w:tc>
      </w:tr>
      <w:tr>
        <w:trPr>
          <w:trHeight w:val="230" w:hRule="atLeast"/>
        </w:trPr>
        <w:tc>
          <w:tcPr>
            <w:tcW w:w="3150" w:type="dxa"/>
          </w:tcPr>
          <w:p>
            <w:pPr>
              <w:pStyle w:val="TableParagraph"/>
              <w:spacing w:before="16"/>
              <w:ind w:left="52"/>
              <w:rPr>
                <w:sz w:val="16"/>
              </w:rPr>
            </w:pPr>
            <w:r>
              <w:rPr>
                <w:sz w:val="16"/>
              </w:rPr>
              <w:t>Trust</w:t>
            </w:r>
            <w:r>
              <w:rPr>
                <w:spacing w:val="-7"/>
                <w:sz w:val="16"/>
              </w:rPr>
              <w:t> </w:t>
            </w:r>
            <w:r>
              <w:rPr>
                <w:sz w:val="16"/>
              </w:rPr>
              <w:t>fund</w:t>
            </w:r>
            <w:r>
              <w:rPr>
                <w:spacing w:val="-5"/>
                <w:sz w:val="16"/>
              </w:rPr>
              <w:t> </w:t>
            </w:r>
            <w:r>
              <w:rPr>
                <w:spacing w:val="-4"/>
                <w:sz w:val="16"/>
              </w:rPr>
              <w:t>fees</w:t>
            </w:r>
          </w:p>
        </w:tc>
        <w:tc>
          <w:tcPr>
            <w:tcW w:w="1272" w:type="dxa"/>
            <w:tcBorders>
              <w:top w:val="single" w:sz="8" w:space="0" w:color="000000"/>
            </w:tcBorders>
          </w:tcPr>
          <w:p>
            <w:pPr>
              <w:pStyle w:val="TableParagraph"/>
              <w:spacing w:before="16"/>
              <w:ind w:left="52"/>
              <w:rPr>
                <w:sz w:val="16"/>
              </w:rPr>
            </w:pPr>
            <w:r>
              <w:rPr>
                <w:spacing w:val="-10"/>
                <w:sz w:val="16"/>
              </w:rPr>
              <w:t>$</w:t>
            </w:r>
          </w:p>
        </w:tc>
        <w:tc>
          <w:tcPr>
            <w:tcW w:w="529" w:type="dxa"/>
            <w:tcBorders>
              <w:top w:val="single" w:sz="8" w:space="0" w:color="000000"/>
            </w:tcBorders>
          </w:tcPr>
          <w:p>
            <w:pPr>
              <w:pStyle w:val="TableParagraph"/>
              <w:spacing w:before="16"/>
              <w:ind w:right="67"/>
              <w:jc w:val="right"/>
              <w:rPr>
                <w:sz w:val="16"/>
              </w:rPr>
            </w:pPr>
            <w:r>
              <w:rPr>
                <w:spacing w:val="-5"/>
                <w:sz w:val="16"/>
              </w:rPr>
              <w:t>119</w:t>
            </w:r>
          </w:p>
        </w:tc>
        <w:tc>
          <w:tcPr>
            <w:tcW w:w="406" w:type="dxa"/>
          </w:tcPr>
          <w:p>
            <w:pPr>
              <w:pStyle w:val="TableParagraph"/>
              <w:rPr>
                <w:rFonts w:ascii="Times New Roman"/>
                <w:sz w:val="16"/>
              </w:rPr>
            </w:pPr>
          </w:p>
        </w:tc>
        <w:tc>
          <w:tcPr>
            <w:tcW w:w="1273" w:type="dxa"/>
            <w:tcBorders>
              <w:top w:val="single" w:sz="8" w:space="0" w:color="000000"/>
            </w:tcBorders>
          </w:tcPr>
          <w:p>
            <w:pPr>
              <w:pStyle w:val="TableParagraph"/>
              <w:spacing w:before="16"/>
              <w:ind w:left="50"/>
              <w:rPr>
                <w:sz w:val="16"/>
              </w:rPr>
            </w:pPr>
            <w:r>
              <w:rPr>
                <w:spacing w:val="-10"/>
                <w:sz w:val="16"/>
              </w:rPr>
              <w:t>$</w:t>
            </w:r>
          </w:p>
        </w:tc>
        <w:tc>
          <w:tcPr>
            <w:tcW w:w="530" w:type="dxa"/>
            <w:tcBorders>
              <w:top w:val="single" w:sz="8" w:space="0" w:color="000000"/>
            </w:tcBorders>
          </w:tcPr>
          <w:p>
            <w:pPr>
              <w:pStyle w:val="TableParagraph"/>
              <w:spacing w:before="16"/>
              <w:ind w:right="71"/>
              <w:jc w:val="right"/>
              <w:rPr>
                <w:sz w:val="16"/>
              </w:rPr>
            </w:pPr>
            <w:r>
              <w:rPr>
                <w:spacing w:val="-5"/>
                <w:sz w:val="16"/>
              </w:rPr>
              <w:t>93</w:t>
            </w:r>
          </w:p>
        </w:tc>
        <w:tc>
          <w:tcPr>
            <w:tcW w:w="407" w:type="dxa"/>
          </w:tcPr>
          <w:p>
            <w:pPr>
              <w:pStyle w:val="TableParagraph"/>
              <w:rPr>
                <w:rFonts w:ascii="Times New Roman"/>
                <w:sz w:val="16"/>
              </w:rPr>
            </w:pPr>
          </w:p>
        </w:tc>
        <w:tc>
          <w:tcPr>
            <w:tcW w:w="1274" w:type="dxa"/>
            <w:tcBorders>
              <w:top w:val="single" w:sz="8" w:space="0" w:color="000000"/>
            </w:tcBorders>
          </w:tcPr>
          <w:p>
            <w:pPr>
              <w:pStyle w:val="TableParagraph"/>
              <w:spacing w:before="16"/>
              <w:ind w:left="45"/>
              <w:rPr>
                <w:sz w:val="16"/>
              </w:rPr>
            </w:pPr>
            <w:r>
              <w:rPr>
                <w:spacing w:val="-10"/>
                <w:sz w:val="16"/>
              </w:rPr>
              <w:t>$</w:t>
            </w:r>
          </w:p>
        </w:tc>
        <w:tc>
          <w:tcPr>
            <w:tcW w:w="531" w:type="dxa"/>
            <w:tcBorders>
              <w:top w:val="single" w:sz="8" w:space="0" w:color="000000"/>
            </w:tcBorders>
          </w:tcPr>
          <w:p>
            <w:pPr>
              <w:pStyle w:val="TableParagraph"/>
              <w:spacing w:before="16"/>
              <w:ind w:right="78"/>
              <w:jc w:val="right"/>
              <w:rPr>
                <w:sz w:val="16"/>
              </w:rPr>
            </w:pPr>
            <w:r>
              <w:rPr>
                <w:spacing w:val="-5"/>
                <w:sz w:val="16"/>
              </w:rPr>
              <w:t>82</w:t>
            </w:r>
          </w:p>
        </w:tc>
      </w:tr>
      <w:tr>
        <w:trPr>
          <w:trHeight w:val="240" w:hRule="atLeast"/>
        </w:trPr>
        <w:tc>
          <w:tcPr>
            <w:tcW w:w="3150" w:type="dxa"/>
          </w:tcPr>
          <w:p>
            <w:pPr>
              <w:pStyle w:val="TableParagraph"/>
              <w:spacing w:before="25"/>
              <w:ind w:left="52"/>
              <w:rPr>
                <w:sz w:val="16"/>
              </w:rPr>
            </w:pPr>
            <w:r>
              <w:rPr>
                <w:sz w:val="16"/>
              </w:rPr>
              <w:t>Reimbursable</w:t>
            </w:r>
            <w:r>
              <w:rPr>
                <w:spacing w:val="-7"/>
                <w:sz w:val="16"/>
              </w:rPr>
              <w:t> </w:t>
            </w:r>
            <w:r>
              <w:rPr>
                <w:sz w:val="16"/>
              </w:rPr>
              <w:t>advisory</w:t>
            </w:r>
            <w:r>
              <w:rPr>
                <w:spacing w:val="-6"/>
                <w:sz w:val="16"/>
              </w:rPr>
              <w:t> </w:t>
            </w:r>
            <w:r>
              <w:rPr>
                <w:spacing w:val="-2"/>
                <w:sz w:val="16"/>
              </w:rPr>
              <w:t>services</w:t>
            </w:r>
          </w:p>
        </w:tc>
        <w:tc>
          <w:tcPr>
            <w:tcW w:w="1272" w:type="dxa"/>
          </w:tcPr>
          <w:p>
            <w:pPr>
              <w:pStyle w:val="TableParagraph"/>
              <w:rPr>
                <w:rFonts w:ascii="Times New Roman"/>
                <w:sz w:val="16"/>
              </w:rPr>
            </w:pPr>
          </w:p>
        </w:tc>
        <w:tc>
          <w:tcPr>
            <w:tcW w:w="529" w:type="dxa"/>
          </w:tcPr>
          <w:p>
            <w:pPr>
              <w:pStyle w:val="TableParagraph"/>
              <w:spacing w:before="25"/>
              <w:ind w:right="67"/>
              <w:jc w:val="right"/>
              <w:rPr>
                <w:sz w:val="16"/>
              </w:rPr>
            </w:pPr>
            <w:r>
              <w:rPr>
                <w:spacing w:val="-5"/>
                <w:sz w:val="16"/>
              </w:rPr>
              <w:t>99</w:t>
            </w:r>
          </w:p>
        </w:tc>
        <w:tc>
          <w:tcPr>
            <w:tcW w:w="406" w:type="dxa"/>
          </w:tcPr>
          <w:p>
            <w:pPr>
              <w:pStyle w:val="TableParagraph"/>
              <w:rPr>
                <w:rFonts w:ascii="Times New Roman"/>
                <w:sz w:val="16"/>
              </w:rPr>
            </w:pPr>
          </w:p>
        </w:tc>
        <w:tc>
          <w:tcPr>
            <w:tcW w:w="1273" w:type="dxa"/>
          </w:tcPr>
          <w:p>
            <w:pPr>
              <w:pStyle w:val="TableParagraph"/>
              <w:rPr>
                <w:rFonts w:ascii="Times New Roman"/>
                <w:sz w:val="16"/>
              </w:rPr>
            </w:pPr>
          </w:p>
        </w:tc>
        <w:tc>
          <w:tcPr>
            <w:tcW w:w="530" w:type="dxa"/>
          </w:tcPr>
          <w:p>
            <w:pPr>
              <w:pStyle w:val="TableParagraph"/>
              <w:spacing w:before="25"/>
              <w:ind w:right="71"/>
              <w:jc w:val="right"/>
              <w:rPr>
                <w:sz w:val="16"/>
              </w:rPr>
            </w:pPr>
            <w:r>
              <w:rPr>
                <w:spacing w:val="-5"/>
                <w:sz w:val="16"/>
              </w:rPr>
              <w:t>88</w:t>
            </w:r>
          </w:p>
        </w:tc>
        <w:tc>
          <w:tcPr>
            <w:tcW w:w="407" w:type="dxa"/>
          </w:tcPr>
          <w:p>
            <w:pPr>
              <w:pStyle w:val="TableParagraph"/>
              <w:rPr>
                <w:rFonts w:ascii="Times New Roman"/>
                <w:sz w:val="16"/>
              </w:rPr>
            </w:pPr>
          </w:p>
        </w:tc>
        <w:tc>
          <w:tcPr>
            <w:tcW w:w="1274" w:type="dxa"/>
          </w:tcPr>
          <w:p>
            <w:pPr>
              <w:pStyle w:val="TableParagraph"/>
              <w:rPr>
                <w:rFonts w:ascii="Times New Roman"/>
                <w:sz w:val="16"/>
              </w:rPr>
            </w:pPr>
          </w:p>
        </w:tc>
        <w:tc>
          <w:tcPr>
            <w:tcW w:w="531" w:type="dxa"/>
          </w:tcPr>
          <w:p>
            <w:pPr>
              <w:pStyle w:val="TableParagraph"/>
              <w:spacing w:before="25"/>
              <w:ind w:right="78"/>
              <w:jc w:val="right"/>
              <w:rPr>
                <w:sz w:val="16"/>
              </w:rPr>
            </w:pPr>
            <w:r>
              <w:rPr>
                <w:spacing w:val="-5"/>
                <w:sz w:val="16"/>
              </w:rPr>
              <w:t>98</w:t>
            </w:r>
          </w:p>
        </w:tc>
      </w:tr>
      <w:tr>
        <w:trPr>
          <w:trHeight w:val="229" w:hRule="atLeast"/>
        </w:trPr>
        <w:tc>
          <w:tcPr>
            <w:tcW w:w="3150" w:type="dxa"/>
          </w:tcPr>
          <w:p>
            <w:pPr>
              <w:pStyle w:val="TableParagraph"/>
              <w:spacing w:line="184" w:lineRule="exact" w:before="25"/>
              <w:ind w:left="52"/>
              <w:rPr>
                <w:sz w:val="16"/>
              </w:rPr>
            </w:pPr>
            <w:r>
              <w:rPr>
                <w:sz w:val="16"/>
              </w:rPr>
              <w:t>Asset</w:t>
            </w:r>
            <w:r>
              <w:rPr>
                <w:spacing w:val="-4"/>
                <w:sz w:val="16"/>
              </w:rPr>
              <w:t> </w:t>
            </w:r>
            <w:r>
              <w:rPr>
                <w:sz w:val="16"/>
              </w:rPr>
              <w:t>management</w:t>
            </w:r>
            <w:r>
              <w:rPr>
                <w:spacing w:val="-4"/>
                <w:sz w:val="16"/>
              </w:rPr>
              <w:t> </w:t>
            </w:r>
            <w:r>
              <w:rPr>
                <w:spacing w:val="-2"/>
                <w:sz w:val="16"/>
              </w:rPr>
              <w:t>services</w:t>
            </w:r>
          </w:p>
        </w:tc>
        <w:tc>
          <w:tcPr>
            <w:tcW w:w="1272" w:type="dxa"/>
            <w:tcBorders>
              <w:bottom w:val="single" w:sz="8" w:space="0" w:color="000000"/>
            </w:tcBorders>
          </w:tcPr>
          <w:p>
            <w:pPr>
              <w:pStyle w:val="TableParagraph"/>
              <w:rPr>
                <w:rFonts w:ascii="Times New Roman"/>
                <w:sz w:val="16"/>
              </w:rPr>
            </w:pPr>
          </w:p>
        </w:tc>
        <w:tc>
          <w:tcPr>
            <w:tcW w:w="529" w:type="dxa"/>
            <w:tcBorders>
              <w:bottom w:val="single" w:sz="8" w:space="0" w:color="000000"/>
            </w:tcBorders>
          </w:tcPr>
          <w:p>
            <w:pPr>
              <w:pStyle w:val="TableParagraph"/>
              <w:spacing w:line="184" w:lineRule="exact" w:before="25"/>
              <w:ind w:right="67"/>
              <w:jc w:val="right"/>
              <w:rPr>
                <w:sz w:val="16"/>
              </w:rPr>
            </w:pPr>
            <w:r>
              <w:rPr>
                <w:spacing w:val="-5"/>
                <w:sz w:val="16"/>
              </w:rPr>
              <w:t>31</w:t>
            </w:r>
          </w:p>
        </w:tc>
        <w:tc>
          <w:tcPr>
            <w:tcW w:w="406" w:type="dxa"/>
          </w:tcPr>
          <w:p>
            <w:pPr>
              <w:pStyle w:val="TableParagraph"/>
              <w:rPr>
                <w:rFonts w:ascii="Times New Roman"/>
                <w:sz w:val="16"/>
              </w:rPr>
            </w:pPr>
          </w:p>
        </w:tc>
        <w:tc>
          <w:tcPr>
            <w:tcW w:w="1273" w:type="dxa"/>
            <w:tcBorders>
              <w:bottom w:val="single" w:sz="8" w:space="0" w:color="000000"/>
            </w:tcBorders>
          </w:tcPr>
          <w:p>
            <w:pPr>
              <w:pStyle w:val="TableParagraph"/>
              <w:rPr>
                <w:rFonts w:ascii="Times New Roman"/>
                <w:sz w:val="16"/>
              </w:rPr>
            </w:pPr>
          </w:p>
        </w:tc>
        <w:tc>
          <w:tcPr>
            <w:tcW w:w="530" w:type="dxa"/>
            <w:tcBorders>
              <w:bottom w:val="single" w:sz="8" w:space="0" w:color="000000"/>
            </w:tcBorders>
          </w:tcPr>
          <w:p>
            <w:pPr>
              <w:pStyle w:val="TableParagraph"/>
              <w:spacing w:line="184" w:lineRule="exact" w:before="25"/>
              <w:ind w:right="71"/>
              <w:jc w:val="right"/>
              <w:rPr>
                <w:sz w:val="16"/>
              </w:rPr>
            </w:pPr>
            <w:r>
              <w:rPr>
                <w:spacing w:val="-5"/>
                <w:sz w:val="16"/>
              </w:rPr>
              <w:t>30</w:t>
            </w:r>
          </w:p>
        </w:tc>
        <w:tc>
          <w:tcPr>
            <w:tcW w:w="407" w:type="dxa"/>
          </w:tcPr>
          <w:p>
            <w:pPr>
              <w:pStyle w:val="TableParagraph"/>
              <w:rPr>
                <w:rFonts w:ascii="Times New Roman"/>
                <w:sz w:val="16"/>
              </w:rPr>
            </w:pPr>
          </w:p>
        </w:tc>
        <w:tc>
          <w:tcPr>
            <w:tcW w:w="1274" w:type="dxa"/>
            <w:tcBorders>
              <w:bottom w:val="single" w:sz="8" w:space="0" w:color="000000"/>
            </w:tcBorders>
          </w:tcPr>
          <w:p>
            <w:pPr>
              <w:pStyle w:val="TableParagraph"/>
              <w:rPr>
                <w:rFonts w:ascii="Times New Roman"/>
                <w:sz w:val="16"/>
              </w:rPr>
            </w:pPr>
          </w:p>
        </w:tc>
        <w:tc>
          <w:tcPr>
            <w:tcW w:w="531" w:type="dxa"/>
            <w:tcBorders>
              <w:bottom w:val="single" w:sz="8" w:space="0" w:color="000000"/>
            </w:tcBorders>
          </w:tcPr>
          <w:p>
            <w:pPr>
              <w:pStyle w:val="TableParagraph"/>
              <w:spacing w:line="184" w:lineRule="exact" w:before="25"/>
              <w:ind w:right="78"/>
              <w:jc w:val="right"/>
              <w:rPr>
                <w:sz w:val="16"/>
              </w:rPr>
            </w:pPr>
            <w:r>
              <w:rPr>
                <w:spacing w:val="-5"/>
                <w:sz w:val="16"/>
              </w:rPr>
              <w:t>28</w:t>
            </w:r>
          </w:p>
        </w:tc>
      </w:tr>
      <w:tr>
        <w:trPr>
          <w:trHeight w:val="220" w:hRule="atLeast"/>
        </w:trPr>
        <w:tc>
          <w:tcPr>
            <w:tcW w:w="3150" w:type="dxa"/>
          </w:tcPr>
          <w:p>
            <w:pPr>
              <w:pStyle w:val="TableParagraph"/>
              <w:rPr>
                <w:rFonts w:ascii="Times New Roman"/>
                <w:sz w:val="14"/>
              </w:rPr>
            </w:pPr>
          </w:p>
        </w:tc>
        <w:tc>
          <w:tcPr>
            <w:tcW w:w="1272" w:type="dxa"/>
            <w:tcBorders>
              <w:top w:val="single" w:sz="8" w:space="0" w:color="000000"/>
              <w:bottom w:val="single" w:sz="8" w:space="0" w:color="000000"/>
            </w:tcBorders>
          </w:tcPr>
          <w:p>
            <w:pPr>
              <w:pStyle w:val="TableParagraph"/>
              <w:spacing w:line="184" w:lineRule="exact" w:before="16"/>
              <w:ind w:left="52"/>
              <w:rPr>
                <w:sz w:val="16"/>
              </w:rPr>
            </w:pPr>
            <w:r>
              <w:rPr>
                <w:spacing w:val="-10"/>
                <w:sz w:val="16"/>
              </w:rPr>
              <w:t>$</w:t>
            </w:r>
          </w:p>
        </w:tc>
        <w:tc>
          <w:tcPr>
            <w:tcW w:w="529" w:type="dxa"/>
            <w:tcBorders>
              <w:top w:val="single" w:sz="8" w:space="0" w:color="000000"/>
              <w:bottom w:val="single" w:sz="8" w:space="0" w:color="000000"/>
            </w:tcBorders>
          </w:tcPr>
          <w:p>
            <w:pPr>
              <w:pStyle w:val="TableParagraph"/>
              <w:spacing w:line="184" w:lineRule="exact" w:before="16"/>
              <w:ind w:right="67"/>
              <w:jc w:val="right"/>
              <w:rPr>
                <w:sz w:val="16"/>
              </w:rPr>
            </w:pPr>
            <w:r>
              <w:rPr>
                <w:spacing w:val="-5"/>
                <w:sz w:val="16"/>
              </w:rPr>
              <w:t>249</w:t>
            </w:r>
          </w:p>
        </w:tc>
        <w:tc>
          <w:tcPr>
            <w:tcW w:w="406" w:type="dxa"/>
          </w:tcPr>
          <w:p>
            <w:pPr>
              <w:pStyle w:val="TableParagraph"/>
              <w:rPr>
                <w:rFonts w:ascii="Times New Roman"/>
                <w:sz w:val="14"/>
              </w:rPr>
            </w:pPr>
          </w:p>
        </w:tc>
        <w:tc>
          <w:tcPr>
            <w:tcW w:w="1273" w:type="dxa"/>
            <w:tcBorders>
              <w:top w:val="single" w:sz="8" w:space="0" w:color="000000"/>
              <w:bottom w:val="single" w:sz="8" w:space="0" w:color="000000"/>
            </w:tcBorders>
          </w:tcPr>
          <w:p>
            <w:pPr>
              <w:pStyle w:val="TableParagraph"/>
              <w:spacing w:line="184" w:lineRule="exact" w:before="16"/>
              <w:ind w:left="50"/>
              <w:rPr>
                <w:sz w:val="16"/>
              </w:rPr>
            </w:pPr>
            <w:r>
              <w:rPr>
                <w:spacing w:val="-10"/>
                <w:sz w:val="16"/>
              </w:rPr>
              <w:t>$</w:t>
            </w:r>
          </w:p>
        </w:tc>
        <w:tc>
          <w:tcPr>
            <w:tcW w:w="530" w:type="dxa"/>
            <w:tcBorders>
              <w:top w:val="single" w:sz="8" w:space="0" w:color="000000"/>
              <w:bottom w:val="single" w:sz="8" w:space="0" w:color="000000"/>
            </w:tcBorders>
          </w:tcPr>
          <w:p>
            <w:pPr>
              <w:pStyle w:val="TableParagraph"/>
              <w:spacing w:line="184" w:lineRule="exact" w:before="16"/>
              <w:ind w:right="71"/>
              <w:jc w:val="right"/>
              <w:rPr>
                <w:sz w:val="16"/>
              </w:rPr>
            </w:pPr>
            <w:r>
              <w:rPr>
                <w:spacing w:val="-5"/>
                <w:sz w:val="16"/>
              </w:rPr>
              <w:t>211</w:t>
            </w:r>
          </w:p>
        </w:tc>
        <w:tc>
          <w:tcPr>
            <w:tcW w:w="407" w:type="dxa"/>
          </w:tcPr>
          <w:p>
            <w:pPr>
              <w:pStyle w:val="TableParagraph"/>
              <w:rPr>
                <w:rFonts w:ascii="Times New Roman"/>
                <w:sz w:val="14"/>
              </w:rPr>
            </w:pPr>
          </w:p>
        </w:tc>
        <w:tc>
          <w:tcPr>
            <w:tcW w:w="1274" w:type="dxa"/>
            <w:tcBorders>
              <w:top w:val="single" w:sz="8" w:space="0" w:color="000000"/>
              <w:bottom w:val="single" w:sz="8" w:space="0" w:color="000000"/>
            </w:tcBorders>
          </w:tcPr>
          <w:p>
            <w:pPr>
              <w:pStyle w:val="TableParagraph"/>
              <w:spacing w:line="184" w:lineRule="exact" w:before="16"/>
              <w:ind w:left="45"/>
              <w:rPr>
                <w:sz w:val="16"/>
              </w:rPr>
            </w:pPr>
            <w:r>
              <w:rPr>
                <w:spacing w:val="-10"/>
                <w:sz w:val="16"/>
              </w:rPr>
              <w:t>$</w:t>
            </w:r>
          </w:p>
        </w:tc>
        <w:tc>
          <w:tcPr>
            <w:tcW w:w="531" w:type="dxa"/>
            <w:tcBorders>
              <w:top w:val="single" w:sz="8" w:space="0" w:color="000000"/>
              <w:bottom w:val="single" w:sz="8" w:space="0" w:color="000000"/>
            </w:tcBorders>
          </w:tcPr>
          <w:p>
            <w:pPr>
              <w:pStyle w:val="TableParagraph"/>
              <w:spacing w:line="184" w:lineRule="exact" w:before="16"/>
              <w:ind w:right="78"/>
              <w:jc w:val="right"/>
              <w:rPr>
                <w:sz w:val="16"/>
              </w:rPr>
            </w:pPr>
            <w:r>
              <w:rPr>
                <w:spacing w:val="-5"/>
                <w:sz w:val="16"/>
              </w:rPr>
              <w:t>208</w:t>
            </w:r>
          </w:p>
        </w:tc>
      </w:tr>
      <w:tr>
        <w:trPr>
          <w:trHeight w:val="470" w:hRule="atLeast"/>
        </w:trPr>
        <w:tc>
          <w:tcPr>
            <w:tcW w:w="3150" w:type="dxa"/>
          </w:tcPr>
          <w:p>
            <w:pPr>
              <w:pStyle w:val="TableParagraph"/>
              <w:spacing w:before="16"/>
              <w:ind w:left="52"/>
              <w:rPr>
                <w:sz w:val="16"/>
              </w:rPr>
            </w:pPr>
            <w:r>
              <w:rPr>
                <w:sz w:val="16"/>
              </w:rPr>
              <w:t>Of </w:t>
            </w:r>
            <w:r>
              <w:rPr>
                <w:spacing w:val="-2"/>
                <w:sz w:val="16"/>
              </w:rPr>
              <w:t>which:</w:t>
            </w:r>
          </w:p>
          <w:p>
            <w:pPr>
              <w:pStyle w:val="TableParagraph"/>
              <w:spacing w:before="56"/>
              <w:ind w:left="232"/>
              <w:rPr>
                <w:sz w:val="16"/>
              </w:rPr>
            </w:pPr>
            <w:r>
              <w:rPr>
                <w:sz w:val="16"/>
              </w:rPr>
              <w:t>IBRD's</w:t>
            </w:r>
            <w:r>
              <w:rPr>
                <w:spacing w:val="-3"/>
                <w:sz w:val="16"/>
              </w:rPr>
              <w:t> </w:t>
            </w:r>
            <w:r>
              <w:rPr>
                <w:spacing w:val="-2"/>
                <w:sz w:val="16"/>
              </w:rPr>
              <w:t>share</w:t>
            </w:r>
          </w:p>
        </w:tc>
        <w:tc>
          <w:tcPr>
            <w:tcW w:w="1272" w:type="dxa"/>
            <w:tcBorders>
              <w:top w:val="single" w:sz="8" w:space="0" w:color="000000"/>
            </w:tcBorders>
          </w:tcPr>
          <w:p>
            <w:pPr>
              <w:pStyle w:val="TableParagraph"/>
              <w:spacing w:before="72"/>
              <w:rPr>
                <w:rFonts w:ascii="Arial"/>
                <w:i/>
                <w:sz w:val="16"/>
              </w:rPr>
            </w:pPr>
          </w:p>
          <w:p>
            <w:pPr>
              <w:pStyle w:val="TableParagraph"/>
              <w:ind w:left="52"/>
              <w:rPr>
                <w:sz w:val="16"/>
              </w:rPr>
            </w:pPr>
            <w:r>
              <w:rPr>
                <w:spacing w:val="-10"/>
                <w:sz w:val="16"/>
              </w:rPr>
              <w:t>$</w:t>
            </w:r>
          </w:p>
        </w:tc>
        <w:tc>
          <w:tcPr>
            <w:tcW w:w="529" w:type="dxa"/>
            <w:tcBorders>
              <w:top w:val="single" w:sz="8" w:space="0" w:color="000000"/>
            </w:tcBorders>
          </w:tcPr>
          <w:p>
            <w:pPr>
              <w:pStyle w:val="TableParagraph"/>
              <w:spacing w:before="72"/>
              <w:rPr>
                <w:rFonts w:ascii="Arial"/>
                <w:i/>
                <w:sz w:val="16"/>
              </w:rPr>
            </w:pPr>
          </w:p>
          <w:p>
            <w:pPr>
              <w:pStyle w:val="TableParagraph"/>
              <w:ind w:right="67"/>
              <w:jc w:val="right"/>
              <w:rPr>
                <w:sz w:val="16"/>
              </w:rPr>
            </w:pPr>
            <w:r>
              <w:rPr>
                <w:spacing w:val="-5"/>
                <w:sz w:val="16"/>
              </w:rPr>
              <w:t>130</w:t>
            </w:r>
          </w:p>
        </w:tc>
        <w:tc>
          <w:tcPr>
            <w:tcW w:w="406" w:type="dxa"/>
          </w:tcPr>
          <w:p>
            <w:pPr>
              <w:pStyle w:val="TableParagraph"/>
              <w:rPr>
                <w:rFonts w:ascii="Times New Roman"/>
                <w:sz w:val="18"/>
              </w:rPr>
            </w:pPr>
          </w:p>
        </w:tc>
        <w:tc>
          <w:tcPr>
            <w:tcW w:w="1273" w:type="dxa"/>
            <w:tcBorders>
              <w:top w:val="single" w:sz="8" w:space="0" w:color="000000"/>
            </w:tcBorders>
          </w:tcPr>
          <w:p>
            <w:pPr>
              <w:pStyle w:val="TableParagraph"/>
              <w:spacing w:before="72"/>
              <w:rPr>
                <w:rFonts w:ascii="Arial"/>
                <w:i/>
                <w:sz w:val="16"/>
              </w:rPr>
            </w:pPr>
          </w:p>
          <w:p>
            <w:pPr>
              <w:pStyle w:val="TableParagraph"/>
              <w:ind w:left="50"/>
              <w:rPr>
                <w:sz w:val="16"/>
              </w:rPr>
            </w:pPr>
            <w:r>
              <w:rPr>
                <w:spacing w:val="-10"/>
                <w:sz w:val="16"/>
              </w:rPr>
              <w:t>$</w:t>
            </w:r>
          </w:p>
        </w:tc>
        <w:tc>
          <w:tcPr>
            <w:tcW w:w="530" w:type="dxa"/>
            <w:tcBorders>
              <w:top w:val="single" w:sz="8" w:space="0" w:color="000000"/>
            </w:tcBorders>
          </w:tcPr>
          <w:p>
            <w:pPr>
              <w:pStyle w:val="TableParagraph"/>
              <w:spacing w:before="72"/>
              <w:rPr>
                <w:rFonts w:ascii="Arial"/>
                <w:i/>
                <w:sz w:val="16"/>
              </w:rPr>
            </w:pPr>
          </w:p>
          <w:p>
            <w:pPr>
              <w:pStyle w:val="TableParagraph"/>
              <w:ind w:right="71"/>
              <w:jc w:val="right"/>
              <w:rPr>
                <w:sz w:val="16"/>
              </w:rPr>
            </w:pPr>
            <w:r>
              <w:rPr>
                <w:spacing w:val="-5"/>
                <w:sz w:val="16"/>
              </w:rPr>
              <w:t>113</w:t>
            </w:r>
          </w:p>
        </w:tc>
        <w:tc>
          <w:tcPr>
            <w:tcW w:w="407" w:type="dxa"/>
          </w:tcPr>
          <w:p>
            <w:pPr>
              <w:pStyle w:val="TableParagraph"/>
              <w:rPr>
                <w:rFonts w:ascii="Times New Roman"/>
                <w:sz w:val="18"/>
              </w:rPr>
            </w:pPr>
          </w:p>
        </w:tc>
        <w:tc>
          <w:tcPr>
            <w:tcW w:w="1274" w:type="dxa"/>
            <w:tcBorders>
              <w:top w:val="single" w:sz="8" w:space="0" w:color="000000"/>
            </w:tcBorders>
          </w:tcPr>
          <w:p>
            <w:pPr>
              <w:pStyle w:val="TableParagraph"/>
              <w:spacing w:before="72"/>
              <w:rPr>
                <w:rFonts w:ascii="Arial"/>
                <w:i/>
                <w:sz w:val="16"/>
              </w:rPr>
            </w:pPr>
          </w:p>
          <w:p>
            <w:pPr>
              <w:pStyle w:val="TableParagraph"/>
              <w:ind w:left="45"/>
              <w:rPr>
                <w:sz w:val="16"/>
              </w:rPr>
            </w:pPr>
            <w:r>
              <w:rPr>
                <w:spacing w:val="-10"/>
                <w:sz w:val="16"/>
              </w:rPr>
              <w:t>$</w:t>
            </w:r>
          </w:p>
        </w:tc>
        <w:tc>
          <w:tcPr>
            <w:tcW w:w="531" w:type="dxa"/>
            <w:tcBorders>
              <w:top w:val="single" w:sz="8" w:space="0" w:color="000000"/>
            </w:tcBorders>
          </w:tcPr>
          <w:p>
            <w:pPr>
              <w:pStyle w:val="TableParagraph"/>
              <w:spacing w:before="72"/>
              <w:rPr>
                <w:rFonts w:ascii="Arial"/>
                <w:i/>
                <w:sz w:val="16"/>
              </w:rPr>
            </w:pPr>
          </w:p>
          <w:p>
            <w:pPr>
              <w:pStyle w:val="TableParagraph"/>
              <w:ind w:right="78"/>
              <w:jc w:val="right"/>
              <w:rPr>
                <w:sz w:val="16"/>
              </w:rPr>
            </w:pPr>
            <w:r>
              <w:rPr>
                <w:spacing w:val="-5"/>
                <w:sz w:val="16"/>
              </w:rPr>
              <w:t>112</w:t>
            </w:r>
          </w:p>
        </w:tc>
      </w:tr>
      <w:tr>
        <w:trPr>
          <w:trHeight w:val="209" w:hRule="atLeast"/>
        </w:trPr>
        <w:tc>
          <w:tcPr>
            <w:tcW w:w="3150" w:type="dxa"/>
          </w:tcPr>
          <w:p>
            <w:pPr>
              <w:pStyle w:val="TableParagraph"/>
              <w:spacing w:line="164" w:lineRule="exact" w:before="25"/>
              <w:ind w:left="232"/>
              <w:rPr>
                <w:sz w:val="16"/>
              </w:rPr>
            </w:pPr>
            <w:r>
              <w:rPr>
                <w:sz w:val="16"/>
              </w:rPr>
              <w:t>IDA's</w:t>
            </w:r>
            <w:r>
              <w:rPr>
                <w:spacing w:val="-2"/>
                <w:sz w:val="16"/>
              </w:rPr>
              <w:t> share</w:t>
            </w:r>
          </w:p>
        </w:tc>
        <w:tc>
          <w:tcPr>
            <w:tcW w:w="1272" w:type="dxa"/>
          </w:tcPr>
          <w:p>
            <w:pPr>
              <w:pStyle w:val="TableParagraph"/>
              <w:rPr>
                <w:rFonts w:ascii="Times New Roman"/>
                <w:sz w:val="14"/>
              </w:rPr>
            </w:pPr>
          </w:p>
        </w:tc>
        <w:tc>
          <w:tcPr>
            <w:tcW w:w="529" w:type="dxa"/>
          </w:tcPr>
          <w:p>
            <w:pPr>
              <w:pStyle w:val="TableParagraph"/>
              <w:spacing w:line="164" w:lineRule="exact" w:before="25"/>
              <w:ind w:right="67"/>
              <w:jc w:val="right"/>
              <w:rPr>
                <w:sz w:val="16"/>
              </w:rPr>
            </w:pPr>
            <w:r>
              <w:rPr>
                <w:spacing w:val="-5"/>
                <w:sz w:val="16"/>
              </w:rPr>
              <w:t>119</w:t>
            </w:r>
          </w:p>
        </w:tc>
        <w:tc>
          <w:tcPr>
            <w:tcW w:w="406" w:type="dxa"/>
          </w:tcPr>
          <w:p>
            <w:pPr>
              <w:pStyle w:val="TableParagraph"/>
              <w:rPr>
                <w:rFonts w:ascii="Times New Roman"/>
                <w:sz w:val="14"/>
              </w:rPr>
            </w:pPr>
          </w:p>
        </w:tc>
        <w:tc>
          <w:tcPr>
            <w:tcW w:w="1273" w:type="dxa"/>
          </w:tcPr>
          <w:p>
            <w:pPr>
              <w:pStyle w:val="TableParagraph"/>
              <w:rPr>
                <w:rFonts w:ascii="Times New Roman"/>
                <w:sz w:val="14"/>
              </w:rPr>
            </w:pPr>
          </w:p>
        </w:tc>
        <w:tc>
          <w:tcPr>
            <w:tcW w:w="530" w:type="dxa"/>
          </w:tcPr>
          <w:p>
            <w:pPr>
              <w:pStyle w:val="TableParagraph"/>
              <w:spacing w:line="164" w:lineRule="exact" w:before="25"/>
              <w:ind w:right="71"/>
              <w:jc w:val="right"/>
              <w:rPr>
                <w:sz w:val="16"/>
              </w:rPr>
            </w:pPr>
            <w:r>
              <w:rPr>
                <w:spacing w:val="-5"/>
                <w:sz w:val="16"/>
              </w:rPr>
              <w:t>98</w:t>
            </w:r>
          </w:p>
        </w:tc>
        <w:tc>
          <w:tcPr>
            <w:tcW w:w="407" w:type="dxa"/>
          </w:tcPr>
          <w:p>
            <w:pPr>
              <w:pStyle w:val="TableParagraph"/>
              <w:rPr>
                <w:rFonts w:ascii="Times New Roman"/>
                <w:sz w:val="14"/>
              </w:rPr>
            </w:pPr>
          </w:p>
        </w:tc>
        <w:tc>
          <w:tcPr>
            <w:tcW w:w="1274" w:type="dxa"/>
          </w:tcPr>
          <w:p>
            <w:pPr>
              <w:pStyle w:val="TableParagraph"/>
              <w:rPr>
                <w:rFonts w:ascii="Times New Roman"/>
                <w:sz w:val="14"/>
              </w:rPr>
            </w:pPr>
          </w:p>
        </w:tc>
        <w:tc>
          <w:tcPr>
            <w:tcW w:w="531" w:type="dxa"/>
          </w:tcPr>
          <w:p>
            <w:pPr>
              <w:pStyle w:val="TableParagraph"/>
              <w:spacing w:line="164" w:lineRule="exact" w:before="25"/>
              <w:ind w:right="78"/>
              <w:jc w:val="right"/>
              <w:rPr>
                <w:sz w:val="16"/>
              </w:rPr>
            </w:pPr>
            <w:r>
              <w:rPr>
                <w:spacing w:val="-5"/>
                <w:sz w:val="16"/>
              </w:rPr>
              <w:t>96</w:t>
            </w:r>
          </w:p>
        </w:tc>
      </w:tr>
    </w:tbl>
    <w:p>
      <w:pPr>
        <w:pStyle w:val="BodyText"/>
        <w:spacing w:before="8"/>
        <w:rPr>
          <w:rFonts w:ascii="Arial"/>
          <w:i/>
        </w:rPr>
      </w:pPr>
      <w:r>
        <w:rPr>
          <w:rFonts w:ascii="Arial"/>
          <w:i/>
        </w:rPr>
        <mc:AlternateContent>
          <mc:Choice Requires="wps">
            <w:drawing>
              <wp:anchor distT="0" distB="0" distL="0" distR="0" allowOverlap="1" layoutInCell="1" locked="0" behindDoc="1" simplePos="0" relativeHeight="487738880">
                <wp:simplePos x="0" y="0"/>
                <wp:positionH relativeFrom="page">
                  <wp:posOffset>914400</wp:posOffset>
                </wp:positionH>
                <wp:positionV relativeFrom="paragraph">
                  <wp:posOffset>166369</wp:posOffset>
                </wp:positionV>
                <wp:extent cx="5943600" cy="1270"/>
                <wp:effectExtent l="0" t="0" r="0" b="0"/>
                <wp:wrapTopAndBottom/>
                <wp:docPr id="908" name="Graphic 908"/>
                <wp:cNvGraphicFramePr>
                  <a:graphicFrameLocks/>
                </wp:cNvGraphicFramePr>
                <a:graphic>
                  <a:graphicData uri="http://schemas.microsoft.com/office/word/2010/wordprocessingShape">
                    <wps:wsp>
                      <wps:cNvPr id="908" name="Graphic 90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09997pt;width:468pt;height:.1pt;mso-position-horizontal-relative:page;mso-position-vertical-relative:paragraph;z-index:-15577600;mso-wrap-distance-left:0;mso-wrap-distance-right:0" id="docshape749" coordorigin="1440,262" coordsize="9360,0" path="m1440,262l10800,262e" filled="false" stroked="true" strokeweight="1pt" strokecolor="#000000">
                <v:path arrowok="t"/>
                <v:stroke dashstyle="solid"/>
                <w10:wrap type="topAndBottom"/>
              </v:shape>
            </w:pict>
          </mc:Fallback>
        </mc:AlternateContent>
      </w:r>
    </w:p>
    <w:p>
      <w:pPr>
        <w:pStyle w:val="BodyText"/>
        <w:spacing w:before="162"/>
        <w:ind w:left="720"/>
      </w:pPr>
      <w:r>
        <w:rPr/>
        <w:t>Each</w:t>
      </w:r>
      <w:r>
        <w:rPr>
          <w:spacing w:val="-5"/>
        </w:rPr>
        <w:t> </w:t>
      </w:r>
      <w:r>
        <w:rPr/>
        <w:t>revenue</w:t>
      </w:r>
      <w:r>
        <w:rPr>
          <w:spacing w:val="-4"/>
        </w:rPr>
        <w:t> </w:t>
      </w:r>
      <w:r>
        <w:rPr/>
        <w:t>stream</w:t>
      </w:r>
      <w:r>
        <w:rPr>
          <w:spacing w:val="-4"/>
        </w:rPr>
        <w:t> </w:t>
      </w:r>
      <w:r>
        <w:rPr/>
        <w:t>represents</w:t>
      </w:r>
      <w:r>
        <w:rPr>
          <w:spacing w:val="-4"/>
        </w:rPr>
        <w:t> </w:t>
      </w:r>
      <w:r>
        <w:rPr/>
        <w:t>compensation</w:t>
      </w:r>
      <w:r>
        <w:rPr>
          <w:spacing w:val="-3"/>
        </w:rPr>
        <w:t> </w:t>
      </w:r>
      <w:r>
        <w:rPr/>
        <w:t>for</w:t>
      </w:r>
      <w:r>
        <w:rPr>
          <w:spacing w:val="-3"/>
        </w:rPr>
        <w:t> </w:t>
      </w:r>
      <w:r>
        <w:rPr/>
        <w:t>services</w:t>
      </w:r>
      <w:r>
        <w:rPr>
          <w:spacing w:val="-4"/>
        </w:rPr>
        <w:t> </w:t>
      </w:r>
      <w:r>
        <w:rPr/>
        <w:t>provided</w:t>
      </w:r>
      <w:r>
        <w:rPr>
          <w:spacing w:val="-3"/>
        </w:rPr>
        <w:t> </w:t>
      </w:r>
      <w:r>
        <w:rPr/>
        <w:t>and</w:t>
      </w:r>
      <w:r>
        <w:rPr>
          <w:spacing w:val="-3"/>
        </w:rPr>
        <w:t> </w:t>
      </w:r>
      <w:r>
        <w:rPr/>
        <w:t>the</w:t>
      </w:r>
      <w:r>
        <w:rPr>
          <w:spacing w:val="-4"/>
        </w:rPr>
        <w:t> </w:t>
      </w:r>
      <w:r>
        <w:rPr/>
        <w:t>related</w:t>
      </w:r>
      <w:r>
        <w:rPr>
          <w:spacing w:val="-3"/>
        </w:rPr>
        <w:t> </w:t>
      </w:r>
      <w:r>
        <w:rPr/>
        <w:t>revenue</w:t>
      </w:r>
      <w:r>
        <w:rPr>
          <w:spacing w:val="-4"/>
        </w:rPr>
        <w:t> </w:t>
      </w:r>
      <w:r>
        <w:rPr/>
        <w:t>is</w:t>
      </w:r>
      <w:r>
        <w:rPr>
          <w:spacing w:val="-4"/>
        </w:rPr>
        <w:t> </w:t>
      </w:r>
      <w:r>
        <w:rPr/>
        <w:t>recognized</w:t>
      </w:r>
      <w:r>
        <w:rPr>
          <w:spacing w:val="-3"/>
        </w:rPr>
        <w:t> </w:t>
      </w:r>
      <w:r>
        <w:rPr/>
        <w:t>over</w:t>
      </w:r>
      <w:r>
        <w:rPr>
          <w:spacing w:val="-2"/>
        </w:rPr>
        <w:t> time.</w:t>
      </w:r>
    </w:p>
    <w:p>
      <w:pPr>
        <w:pStyle w:val="BodyText"/>
        <w:spacing w:line="249" w:lineRule="auto" w:before="130"/>
        <w:ind w:left="720" w:right="719"/>
        <w:jc w:val="both"/>
      </w:pPr>
      <w:r>
        <w:rPr/>
        <w:t>When IBRD performs services, its rights to consideration are deemed unconditional and are classified as</w:t>
      </w:r>
      <w:r>
        <w:rPr>
          <w:spacing w:val="40"/>
        </w:rPr>
        <w:t> </w:t>
      </w:r>
      <w:r>
        <w:rPr/>
        <w:t>receivables. IBRD also has an obligation to provide certain services for which it has received consideration in advance. Such considerations are presented as contract liabilities and are subsequently recognized as revenue, when the related performance obligation is satisfied.</w:t>
      </w:r>
    </w:p>
    <w:p>
      <w:pPr>
        <w:pStyle w:val="BodyText"/>
        <w:spacing w:after="0" w:line="249" w:lineRule="auto"/>
        <w:jc w:val="both"/>
        <w:sectPr>
          <w:headerReference w:type="default" r:id="rId184"/>
          <w:pgSz w:w="12240" w:h="15840"/>
          <w:pgMar w:header="0" w:footer="0" w:top="960" w:bottom="720" w:left="720" w:right="720"/>
        </w:sectPr>
      </w:pPr>
    </w:p>
    <w:p>
      <w:pPr>
        <w:pStyle w:val="BodyText"/>
        <w:spacing w:before="72"/>
        <w:ind w:left="720"/>
      </w:pPr>
      <w:r>
        <w:rPr/>
        <w:t>The</w:t>
      </w:r>
      <w:r>
        <w:rPr>
          <w:spacing w:val="-7"/>
        </w:rPr>
        <w:t> </w:t>
      </w:r>
      <w:r>
        <w:rPr/>
        <w:t>following</w:t>
      </w:r>
      <w:r>
        <w:rPr>
          <w:spacing w:val="-3"/>
        </w:rPr>
        <w:t> </w:t>
      </w:r>
      <w:r>
        <w:rPr/>
        <w:t>table</w:t>
      </w:r>
      <w:r>
        <w:rPr>
          <w:spacing w:val="-4"/>
        </w:rPr>
        <w:t> </w:t>
      </w:r>
      <w:r>
        <w:rPr/>
        <w:t>shows</w:t>
      </w:r>
      <w:r>
        <w:rPr>
          <w:spacing w:val="-5"/>
        </w:rPr>
        <w:t> </w:t>
      </w:r>
      <w:r>
        <w:rPr/>
        <w:t>IBRD’s</w:t>
      </w:r>
      <w:r>
        <w:rPr>
          <w:spacing w:val="-4"/>
        </w:rPr>
        <w:t> </w:t>
      </w:r>
      <w:r>
        <w:rPr/>
        <w:t>receivables</w:t>
      </w:r>
      <w:r>
        <w:rPr>
          <w:spacing w:val="-4"/>
        </w:rPr>
        <w:t> </w:t>
      </w:r>
      <w:r>
        <w:rPr/>
        <w:t>and</w:t>
      </w:r>
      <w:r>
        <w:rPr>
          <w:spacing w:val="-4"/>
        </w:rPr>
        <w:t> </w:t>
      </w:r>
      <w:r>
        <w:rPr/>
        <w:t>contract</w:t>
      </w:r>
      <w:r>
        <w:rPr>
          <w:spacing w:val="-4"/>
        </w:rPr>
        <w:t> </w:t>
      </w:r>
      <w:r>
        <w:rPr/>
        <w:t>liabilities</w:t>
      </w:r>
      <w:r>
        <w:rPr>
          <w:spacing w:val="-4"/>
        </w:rPr>
        <w:t> </w:t>
      </w:r>
      <w:r>
        <w:rPr/>
        <w:t>related</w:t>
      </w:r>
      <w:r>
        <w:rPr>
          <w:spacing w:val="-4"/>
        </w:rPr>
        <w:t> </w:t>
      </w:r>
      <w:r>
        <w:rPr/>
        <w:t>to</w:t>
      </w:r>
      <w:r>
        <w:rPr>
          <w:spacing w:val="-3"/>
        </w:rPr>
        <w:t> </w:t>
      </w:r>
      <w:r>
        <w:rPr/>
        <w:t>revenue</w:t>
      </w:r>
      <w:r>
        <w:rPr>
          <w:spacing w:val="-4"/>
        </w:rPr>
        <w:t> </w:t>
      </w:r>
      <w:r>
        <w:rPr/>
        <w:t>from</w:t>
      </w:r>
      <w:r>
        <w:rPr>
          <w:spacing w:val="-5"/>
        </w:rPr>
        <w:t> </w:t>
      </w:r>
      <w:r>
        <w:rPr/>
        <w:t>contracts</w:t>
      </w:r>
      <w:r>
        <w:rPr>
          <w:spacing w:val="-4"/>
        </w:rPr>
        <w:t> </w:t>
      </w:r>
      <w:r>
        <w:rPr/>
        <w:t>with</w:t>
      </w:r>
      <w:r>
        <w:rPr>
          <w:spacing w:val="-3"/>
        </w:rPr>
        <w:t> </w:t>
      </w:r>
      <w:r>
        <w:rPr>
          <w:spacing w:val="-2"/>
        </w:rPr>
        <w:t>clients:</w:t>
      </w:r>
    </w:p>
    <w:p>
      <w:pPr>
        <w:pStyle w:val="Heading8"/>
        <w:spacing w:before="126"/>
      </w:pPr>
      <w:r>
        <w:rPr/>
        <w:t>Table</w:t>
      </w:r>
      <w:r>
        <w:rPr>
          <w:spacing w:val="-7"/>
        </w:rPr>
        <w:t> </w:t>
      </w:r>
      <w:r>
        <w:rPr/>
        <w:t>H3:</w:t>
      </w:r>
      <w:r>
        <w:rPr>
          <w:spacing w:val="-3"/>
        </w:rPr>
        <w:t> </w:t>
      </w:r>
      <w:r>
        <w:rPr/>
        <w:t>Receivables</w:t>
      </w:r>
      <w:r>
        <w:rPr>
          <w:spacing w:val="-5"/>
        </w:rPr>
        <w:t> </w:t>
      </w:r>
      <w:r>
        <w:rPr/>
        <w:t>and</w:t>
      </w:r>
      <w:r>
        <w:rPr>
          <w:spacing w:val="-4"/>
        </w:rPr>
        <w:t> </w:t>
      </w:r>
      <w:r>
        <w:rPr/>
        <w:t>contract</w:t>
      </w:r>
      <w:r>
        <w:rPr>
          <w:spacing w:val="-4"/>
        </w:rPr>
        <w:t> </w:t>
      </w:r>
      <w:r>
        <w:rPr/>
        <w:t>liabilities</w:t>
      </w:r>
      <w:r>
        <w:rPr>
          <w:spacing w:val="-4"/>
        </w:rPr>
        <w:t> </w:t>
      </w:r>
      <w:r>
        <w:rPr/>
        <w:t>related</w:t>
      </w:r>
      <w:r>
        <w:rPr>
          <w:spacing w:val="-4"/>
        </w:rPr>
        <w:t> </w:t>
      </w:r>
      <w:r>
        <w:rPr/>
        <w:t>to</w:t>
      </w:r>
      <w:r>
        <w:rPr>
          <w:spacing w:val="-4"/>
        </w:rPr>
        <w:t> </w:t>
      </w:r>
      <w:r>
        <w:rPr/>
        <w:t>revenue</w:t>
      </w:r>
      <w:r>
        <w:rPr>
          <w:spacing w:val="-4"/>
        </w:rPr>
        <w:t> </w:t>
      </w:r>
      <w:r>
        <w:rPr/>
        <w:t>from</w:t>
      </w:r>
      <w:r>
        <w:rPr>
          <w:spacing w:val="-4"/>
        </w:rPr>
        <w:t> </w:t>
      </w:r>
      <w:r>
        <w:rPr/>
        <w:t>contract</w:t>
      </w:r>
      <w:r>
        <w:rPr>
          <w:spacing w:val="-3"/>
        </w:rPr>
        <w:t> </w:t>
      </w:r>
      <w:r>
        <w:rPr/>
        <w:t>with</w:t>
      </w:r>
      <w:r>
        <w:rPr>
          <w:spacing w:val="-4"/>
        </w:rPr>
        <w:t> </w:t>
      </w:r>
      <w:r>
        <w:rPr>
          <w:spacing w:val="-2"/>
        </w:rPr>
        <w:t>clients</w:t>
      </w:r>
    </w:p>
    <w:p>
      <w:pPr>
        <w:spacing w:before="88" w:after="30"/>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5"/>
        <w:gridCol w:w="1436"/>
        <w:gridCol w:w="364"/>
        <w:gridCol w:w="405"/>
        <w:gridCol w:w="1436"/>
        <w:gridCol w:w="364"/>
      </w:tblGrid>
      <w:tr>
        <w:trPr>
          <w:trHeight w:val="220" w:hRule="atLeast"/>
        </w:trPr>
        <w:tc>
          <w:tcPr>
            <w:tcW w:w="5355" w:type="dxa"/>
            <w:tcBorders>
              <w:top w:val="single" w:sz="8" w:space="0" w:color="000000"/>
            </w:tcBorders>
          </w:tcPr>
          <w:p>
            <w:pPr>
              <w:pStyle w:val="TableParagraph"/>
              <w:rPr>
                <w:rFonts w:ascii="Times New Roman"/>
                <w:sz w:val="14"/>
              </w:rPr>
            </w:pPr>
          </w:p>
        </w:tc>
        <w:tc>
          <w:tcPr>
            <w:tcW w:w="1436" w:type="dxa"/>
            <w:tcBorders>
              <w:top w:val="single" w:sz="8" w:space="0" w:color="000000"/>
              <w:bottom w:val="single" w:sz="8" w:space="0" w:color="000000"/>
            </w:tcBorders>
          </w:tcPr>
          <w:p>
            <w:pPr>
              <w:pStyle w:val="TableParagraph"/>
              <w:spacing w:line="183" w:lineRule="exact" w:before="16"/>
              <w:ind w:left="39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364" w:type="dxa"/>
            <w:tcBorders>
              <w:top w:val="single" w:sz="8" w:space="0" w:color="000000"/>
              <w:bottom w:val="single" w:sz="8" w:space="0" w:color="000000"/>
            </w:tcBorders>
          </w:tcPr>
          <w:p>
            <w:pPr>
              <w:pStyle w:val="TableParagraph"/>
              <w:rPr>
                <w:rFonts w:ascii="Times New Roman"/>
                <w:sz w:val="14"/>
              </w:rPr>
            </w:pPr>
          </w:p>
        </w:tc>
        <w:tc>
          <w:tcPr>
            <w:tcW w:w="405" w:type="dxa"/>
            <w:tcBorders>
              <w:top w:val="single" w:sz="8" w:space="0" w:color="000000"/>
            </w:tcBorders>
          </w:tcPr>
          <w:p>
            <w:pPr>
              <w:pStyle w:val="TableParagraph"/>
              <w:rPr>
                <w:rFonts w:ascii="Times New Roman"/>
                <w:sz w:val="14"/>
              </w:rPr>
            </w:pPr>
          </w:p>
        </w:tc>
        <w:tc>
          <w:tcPr>
            <w:tcW w:w="1436" w:type="dxa"/>
            <w:tcBorders>
              <w:top w:val="single" w:sz="8" w:space="0" w:color="000000"/>
              <w:bottom w:val="single" w:sz="8" w:space="0" w:color="000000"/>
            </w:tcBorders>
          </w:tcPr>
          <w:p>
            <w:pPr>
              <w:pStyle w:val="TableParagraph"/>
              <w:spacing w:line="183" w:lineRule="exact" w:before="16"/>
              <w:ind w:left="39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364" w:type="dxa"/>
            <w:tcBorders>
              <w:top w:val="single" w:sz="8" w:space="0" w:color="000000"/>
              <w:bottom w:val="single" w:sz="8" w:space="0" w:color="000000"/>
            </w:tcBorders>
          </w:tcPr>
          <w:p>
            <w:pPr>
              <w:pStyle w:val="TableParagraph"/>
              <w:rPr>
                <w:rFonts w:ascii="Times New Roman"/>
                <w:sz w:val="14"/>
              </w:rPr>
            </w:pPr>
          </w:p>
        </w:tc>
      </w:tr>
      <w:tr>
        <w:trPr>
          <w:trHeight w:val="230" w:hRule="atLeast"/>
        </w:trPr>
        <w:tc>
          <w:tcPr>
            <w:tcW w:w="5355" w:type="dxa"/>
          </w:tcPr>
          <w:p>
            <w:pPr>
              <w:pStyle w:val="TableParagraph"/>
              <w:spacing w:before="16"/>
              <w:ind w:left="52"/>
              <w:rPr>
                <w:sz w:val="16"/>
              </w:rPr>
            </w:pPr>
            <w:r>
              <w:rPr>
                <w:spacing w:val="-2"/>
                <w:sz w:val="16"/>
              </w:rPr>
              <w:t>Receivables</w:t>
            </w:r>
          </w:p>
        </w:tc>
        <w:tc>
          <w:tcPr>
            <w:tcW w:w="1436" w:type="dxa"/>
            <w:tcBorders>
              <w:top w:val="single" w:sz="8" w:space="0" w:color="000000"/>
            </w:tcBorders>
          </w:tcPr>
          <w:p>
            <w:pPr>
              <w:pStyle w:val="TableParagraph"/>
              <w:spacing w:before="16"/>
              <w:ind w:left="52"/>
              <w:rPr>
                <w:sz w:val="16"/>
              </w:rPr>
            </w:pPr>
            <w:r>
              <w:rPr>
                <w:spacing w:val="-10"/>
                <w:sz w:val="16"/>
              </w:rPr>
              <w:t>$</w:t>
            </w:r>
          </w:p>
        </w:tc>
        <w:tc>
          <w:tcPr>
            <w:tcW w:w="364" w:type="dxa"/>
            <w:tcBorders>
              <w:top w:val="single" w:sz="8" w:space="0" w:color="000000"/>
            </w:tcBorders>
          </w:tcPr>
          <w:p>
            <w:pPr>
              <w:pStyle w:val="TableParagraph"/>
              <w:spacing w:before="16"/>
              <w:ind w:right="36"/>
              <w:jc w:val="center"/>
              <w:rPr>
                <w:sz w:val="16"/>
              </w:rPr>
            </w:pPr>
            <w:r>
              <w:rPr>
                <w:spacing w:val="-5"/>
                <w:sz w:val="16"/>
              </w:rPr>
              <w:t>125</w:t>
            </w:r>
          </w:p>
        </w:tc>
        <w:tc>
          <w:tcPr>
            <w:tcW w:w="405" w:type="dxa"/>
          </w:tcPr>
          <w:p>
            <w:pPr>
              <w:pStyle w:val="TableParagraph"/>
              <w:rPr>
                <w:rFonts w:ascii="Times New Roman"/>
                <w:sz w:val="16"/>
              </w:rPr>
            </w:pPr>
          </w:p>
        </w:tc>
        <w:tc>
          <w:tcPr>
            <w:tcW w:w="1436" w:type="dxa"/>
            <w:tcBorders>
              <w:top w:val="single" w:sz="8" w:space="0" w:color="000000"/>
            </w:tcBorders>
          </w:tcPr>
          <w:p>
            <w:pPr>
              <w:pStyle w:val="TableParagraph"/>
              <w:spacing w:before="16"/>
              <w:ind w:left="52"/>
              <w:rPr>
                <w:sz w:val="16"/>
              </w:rPr>
            </w:pPr>
            <w:r>
              <w:rPr>
                <w:spacing w:val="-10"/>
                <w:sz w:val="16"/>
              </w:rPr>
              <w:t>$</w:t>
            </w:r>
          </w:p>
        </w:tc>
        <w:tc>
          <w:tcPr>
            <w:tcW w:w="364" w:type="dxa"/>
            <w:tcBorders>
              <w:top w:val="single" w:sz="8" w:space="0" w:color="000000"/>
            </w:tcBorders>
          </w:tcPr>
          <w:p>
            <w:pPr>
              <w:pStyle w:val="TableParagraph"/>
              <w:spacing w:before="16"/>
              <w:ind w:right="36"/>
              <w:jc w:val="center"/>
              <w:rPr>
                <w:sz w:val="16"/>
              </w:rPr>
            </w:pPr>
            <w:r>
              <w:rPr>
                <w:spacing w:val="-5"/>
                <w:sz w:val="16"/>
              </w:rPr>
              <w:t>103</w:t>
            </w:r>
          </w:p>
        </w:tc>
      </w:tr>
      <w:tr>
        <w:trPr>
          <w:trHeight w:val="209" w:hRule="atLeast"/>
        </w:trPr>
        <w:tc>
          <w:tcPr>
            <w:tcW w:w="5355" w:type="dxa"/>
          </w:tcPr>
          <w:p>
            <w:pPr>
              <w:pStyle w:val="TableParagraph"/>
              <w:spacing w:line="164" w:lineRule="exact" w:before="25"/>
              <w:ind w:left="52"/>
              <w:rPr>
                <w:sz w:val="16"/>
              </w:rPr>
            </w:pPr>
            <w:r>
              <w:rPr>
                <w:sz w:val="16"/>
              </w:rPr>
              <w:t>Contract</w:t>
            </w:r>
            <w:r>
              <w:rPr>
                <w:spacing w:val="-4"/>
                <w:sz w:val="16"/>
              </w:rPr>
              <w:t> </w:t>
            </w:r>
            <w:r>
              <w:rPr>
                <w:spacing w:val="-2"/>
                <w:sz w:val="16"/>
              </w:rPr>
              <w:t>liabilities</w:t>
            </w:r>
          </w:p>
        </w:tc>
        <w:tc>
          <w:tcPr>
            <w:tcW w:w="1436" w:type="dxa"/>
          </w:tcPr>
          <w:p>
            <w:pPr>
              <w:pStyle w:val="TableParagraph"/>
              <w:rPr>
                <w:rFonts w:ascii="Times New Roman"/>
                <w:sz w:val="14"/>
              </w:rPr>
            </w:pPr>
          </w:p>
        </w:tc>
        <w:tc>
          <w:tcPr>
            <w:tcW w:w="364" w:type="dxa"/>
          </w:tcPr>
          <w:p>
            <w:pPr>
              <w:pStyle w:val="TableParagraph"/>
              <w:spacing w:line="164" w:lineRule="exact" w:before="25"/>
              <w:ind w:right="36"/>
              <w:jc w:val="center"/>
              <w:rPr>
                <w:sz w:val="16"/>
              </w:rPr>
            </w:pPr>
            <w:r>
              <w:rPr>
                <w:spacing w:val="-5"/>
                <w:sz w:val="16"/>
              </w:rPr>
              <w:t>181</w:t>
            </w:r>
          </w:p>
        </w:tc>
        <w:tc>
          <w:tcPr>
            <w:tcW w:w="405" w:type="dxa"/>
          </w:tcPr>
          <w:p>
            <w:pPr>
              <w:pStyle w:val="TableParagraph"/>
              <w:rPr>
                <w:rFonts w:ascii="Times New Roman"/>
                <w:sz w:val="14"/>
              </w:rPr>
            </w:pPr>
          </w:p>
        </w:tc>
        <w:tc>
          <w:tcPr>
            <w:tcW w:w="1436" w:type="dxa"/>
          </w:tcPr>
          <w:p>
            <w:pPr>
              <w:pStyle w:val="TableParagraph"/>
              <w:rPr>
                <w:rFonts w:ascii="Times New Roman"/>
                <w:sz w:val="14"/>
              </w:rPr>
            </w:pPr>
          </w:p>
        </w:tc>
        <w:tc>
          <w:tcPr>
            <w:tcW w:w="364" w:type="dxa"/>
          </w:tcPr>
          <w:p>
            <w:pPr>
              <w:pStyle w:val="TableParagraph"/>
              <w:spacing w:line="164" w:lineRule="exact" w:before="25"/>
              <w:ind w:right="36"/>
              <w:jc w:val="center"/>
              <w:rPr>
                <w:sz w:val="16"/>
              </w:rPr>
            </w:pPr>
            <w:r>
              <w:rPr>
                <w:spacing w:val="-5"/>
                <w:sz w:val="16"/>
              </w:rPr>
              <w:t>179</w:t>
            </w:r>
          </w:p>
        </w:tc>
      </w:tr>
    </w:tbl>
    <w:p>
      <w:pPr>
        <w:pStyle w:val="BodyText"/>
        <w:spacing w:before="7"/>
        <w:rPr>
          <w:rFonts w:ascii="Arial"/>
          <w:i/>
        </w:rPr>
      </w:pPr>
      <w:r>
        <w:rPr>
          <w:rFonts w:ascii="Arial"/>
          <w:i/>
        </w:rPr>
        <mc:AlternateContent>
          <mc:Choice Requires="wps">
            <w:drawing>
              <wp:anchor distT="0" distB="0" distL="0" distR="0" allowOverlap="1" layoutInCell="1" locked="0" behindDoc="1" simplePos="0" relativeHeight="487739392">
                <wp:simplePos x="0" y="0"/>
                <wp:positionH relativeFrom="page">
                  <wp:posOffset>914400</wp:posOffset>
                </wp:positionH>
                <wp:positionV relativeFrom="paragraph">
                  <wp:posOffset>165735</wp:posOffset>
                </wp:positionV>
                <wp:extent cx="5943600" cy="1270"/>
                <wp:effectExtent l="0" t="0" r="0" b="0"/>
                <wp:wrapTopAndBottom/>
                <wp:docPr id="913" name="Graphic 913"/>
                <wp:cNvGraphicFramePr>
                  <a:graphicFrameLocks/>
                </wp:cNvGraphicFramePr>
                <a:graphic>
                  <a:graphicData uri="http://schemas.microsoft.com/office/word/2010/wordprocessingShape">
                    <wps:wsp>
                      <wps:cNvPr id="913" name="Graphic 91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05pt;width:468pt;height:.1pt;mso-position-horizontal-relative:page;mso-position-vertical-relative:paragraph;z-index:-15577088;mso-wrap-distance-left:0;mso-wrap-distance-right:0" id="docshape754" coordorigin="1440,261" coordsize="9360,0" path="m1440,261l10800,261e" filled="false" stroked="true" strokeweight="1pt" strokecolor="#000000">
                <v:path arrowok="t"/>
                <v:stroke dashstyle="solid"/>
                <w10:wrap type="topAndBottom"/>
              </v:shape>
            </w:pict>
          </mc:Fallback>
        </mc:AlternateContent>
      </w:r>
    </w:p>
    <w:p>
      <w:pPr>
        <w:pStyle w:val="BodyText"/>
        <w:spacing w:line="249" w:lineRule="auto" w:before="162"/>
        <w:ind w:left="720"/>
      </w:pPr>
      <w:r>
        <w:rPr/>
        <w:t>The amount of fee revenue associated with services provided to affiliated organizations is included in Revenue from externally funded activities in the Statement of Income, as follows:</w:t>
      </w:r>
    </w:p>
    <w:p>
      <w:pPr>
        <w:pStyle w:val="Heading8"/>
      </w:pPr>
      <w:r>
        <w:rPr/>
        <w:t>Table</w:t>
      </w:r>
      <w:r>
        <w:rPr>
          <w:spacing w:val="-4"/>
        </w:rPr>
        <w:t> </w:t>
      </w:r>
      <w:r>
        <w:rPr/>
        <w:t>H4:</w:t>
      </w:r>
      <w:r>
        <w:rPr>
          <w:spacing w:val="-3"/>
        </w:rPr>
        <w:t> </w:t>
      </w:r>
      <w:r>
        <w:rPr/>
        <w:t>Fee</w:t>
      </w:r>
      <w:r>
        <w:rPr>
          <w:spacing w:val="-3"/>
        </w:rPr>
        <w:t> </w:t>
      </w:r>
      <w:r>
        <w:rPr/>
        <w:t>revenue</w:t>
      </w:r>
      <w:r>
        <w:rPr>
          <w:spacing w:val="-4"/>
        </w:rPr>
        <w:t> </w:t>
      </w:r>
      <w:r>
        <w:rPr/>
        <w:t>from</w:t>
      </w:r>
      <w:r>
        <w:rPr>
          <w:spacing w:val="-3"/>
        </w:rPr>
        <w:t> </w:t>
      </w:r>
      <w:r>
        <w:rPr/>
        <w:t>affiliated</w:t>
      </w:r>
      <w:r>
        <w:rPr>
          <w:spacing w:val="-3"/>
        </w:rPr>
        <w:t> </w:t>
      </w:r>
      <w:r>
        <w:rPr>
          <w:spacing w:val="-2"/>
        </w:rPr>
        <w:t>organizations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39904">
                <wp:simplePos x="0" y="0"/>
                <wp:positionH relativeFrom="page">
                  <wp:posOffset>914400</wp:posOffset>
                </wp:positionH>
                <wp:positionV relativeFrom="paragraph">
                  <wp:posOffset>191554</wp:posOffset>
                </wp:positionV>
                <wp:extent cx="5943600" cy="1270"/>
                <wp:effectExtent l="0" t="0" r="0" b="0"/>
                <wp:wrapTopAndBottom/>
                <wp:docPr id="914" name="Graphic 914"/>
                <wp:cNvGraphicFramePr>
                  <a:graphicFrameLocks/>
                </wp:cNvGraphicFramePr>
                <a:graphic>
                  <a:graphicData uri="http://schemas.microsoft.com/office/word/2010/wordprocessingShape">
                    <wps:wsp>
                      <wps:cNvPr id="914" name="Graphic 914"/>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83008pt;width:468pt;height:.1pt;mso-position-horizontal-relative:page;mso-position-vertical-relative:paragraph;z-index:-15576576;mso-wrap-distance-left:0;mso-wrap-distance-right:0" id="docshape755"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7749" w:val="left" w:leader="none"/>
          <w:tab w:pos="9204" w:val="left" w:leader="none"/>
        </w:tabs>
        <w:spacing w:before="16"/>
        <w:ind w:left="6294" w:right="0" w:firstLine="0"/>
        <w:jc w:val="left"/>
        <w:rPr>
          <w:rFonts w:ascii="Arial"/>
          <w:i/>
          <w:sz w:val="16"/>
        </w:rPr>
      </w:pPr>
      <w:r>
        <w:rPr>
          <w:rFonts w:ascii="Arial"/>
          <w:i/>
          <w:spacing w:val="-4"/>
          <w:sz w:val="16"/>
        </w:rPr>
        <w:t>2023</w:t>
      </w:r>
      <w:r>
        <w:rPr>
          <w:rFonts w:ascii="Arial"/>
          <w:i/>
          <w:sz w:val="16"/>
        </w:rPr>
        <w:tab/>
      </w:r>
      <w:r>
        <w:rPr>
          <w:rFonts w:ascii="Arial"/>
          <w:i/>
          <w:spacing w:val="-4"/>
          <w:sz w:val="16"/>
        </w:rPr>
        <w:t>2022</w:t>
      </w:r>
      <w:r>
        <w:rPr>
          <w:rFonts w:ascii="Arial"/>
          <w:i/>
          <w:sz w:val="16"/>
        </w:rPr>
        <w:tab/>
      </w:r>
      <w:r>
        <w:rPr>
          <w:rFonts w:ascii="Arial"/>
          <w:i/>
          <w:spacing w:val="-4"/>
          <w:sz w:val="16"/>
        </w:rPr>
        <w:t>2021</w:t>
      </w:r>
    </w:p>
    <w:p>
      <w:pPr>
        <w:tabs>
          <w:tab w:pos="5827" w:val="left" w:leader="none"/>
          <w:tab w:pos="6835" w:val="left" w:leader="none"/>
          <w:tab w:pos="8378" w:val="left" w:leader="none"/>
          <w:tab w:pos="10011" w:val="right" w:leader="none"/>
        </w:tabs>
        <w:spacing w:before="56"/>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81728">
                <wp:simplePos x="0" y="0"/>
                <wp:positionH relativeFrom="page">
                  <wp:posOffset>4124325</wp:posOffset>
                </wp:positionH>
                <wp:positionV relativeFrom="paragraph">
                  <wp:posOffset>19059</wp:posOffset>
                </wp:positionV>
                <wp:extent cx="2733675"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2733675" cy="1270"/>
                        </a:xfrm>
                        <a:custGeom>
                          <a:avLst/>
                          <a:gdLst/>
                          <a:ahLst/>
                          <a:cxnLst/>
                          <a:rect l="l" t="t" r="r" b="b"/>
                          <a:pathLst>
                            <a:path w="2733675" h="0">
                              <a:moveTo>
                                <a:pt x="0" y="0"/>
                              </a:moveTo>
                              <a:lnTo>
                                <a:pt x="885825" y="0"/>
                              </a:lnTo>
                            </a:path>
                            <a:path w="2733675" h="0">
                              <a:moveTo>
                                <a:pt x="923925" y="0"/>
                              </a:moveTo>
                              <a:lnTo>
                                <a:pt x="1809750" y="0"/>
                              </a:lnTo>
                            </a:path>
                            <a:path w="2733675" h="0">
                              <a:moveTo>
                                <a:pt x="1847850" y="0"/>
                              </a:moveTo>
                              <a:lnTo>
                                <a:pt x="27336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75pt;margin-top:1.500781pt;width:215.25pt;height:.1pt;mso-position-horizontal-relative:page;mso-position-vertical-relative:paragraph;z-index:15881728" id="docshape756" coordorigin="6495,30" coordsize="4305,0" path="m6495,30l7890,30m7950,30l9345,30m9405,30l10800,30e" filled="false" stroked="true" strokeweight="1pt" strokecolor="#000000">
                <v:path arrowok="t"/>
                <v:stroke dashstyle="solid"/>
                <w10:wrap type="none"/>
              </v:shape>
            </w:pict>
          </mc:Fallback>
        </mc:AlternateContent>
      </w:r>
      <w:r>
        <w:rPr>
          <w:rFonts w:ascii="Arial MT"/>
          <w:sz w:val="16"/>
        </w:rPr>
        <w:t>Fees</w:t>
      </w:r>
      <w:r>
        <w:rPr>
          <w:rFonts w:ascii="Arial MT"/>
          <w:spacing w:val="-3"/>
          <w:sz w:val="16"/>
        </w:rPr>
        <w:t> </w:t>
      </w:r>
      <w:r>
        <w:rPr>
          <w:rFonts w:ascii="Arial MT"/>
          <w:sz w:val="16"/>
        </w:rPr>
        <w:t>charged</w:t>
      </w:r>
      <w:r>
        <w:rPr>
          <w:rFonts w:ascii="Arial MT"/>
          <w:spacing w:val="-3"/>
          <w:sz w:val="16"/>
        </w:rPr>
        <w:t> </w:t>
      </w:r>
      <w:r>
        <w:rPr>
          <w:rFonts w:ascii="Arial MT"/>
          <w:sz w:val="16"/>
        </w:rPr>
        <w:t>to</w:t>
      </w:r>
      <w:r>
        <w:rPr>
          <w:rFonts w:ascii="Arial MT"/>
          <w:spacing w:val="-3"/>
          <w:sz w:val="16"/>
        </w:rPr>
        <w:t> </w:t>
      </w:r>
      <w:r>
        <w:rPr>
          <w:rFonts w:ascii="Arial MT"/>
          <w:spacing w:val="-5"/>
          <w:sz w:val="16"/>
        </w:rPr>
        <w:t>IFC</w:t>
      </w:r>
      <w:r>
        <w:rPr>
          <w:rFonts w:ascii="Arial MT"/>
          <w:sz w:val="16"/>
        </w:rPr>
        <w:tab/>
      </w:r>
      <w:r>
        <w:rPr>
          <w:rFonts w:ascii="Arial MT"/>
          <w:spacing w:val="-10"/>
          <w:sz w:val="16"/>
        </w:rPr>
        <w:t>$</w:t>
      </w:r>
      <w:r>
        <w:rPr>
          <w:rFonts w:ascii="Arial MT"/>
          <w:sz w:val="16"/>
        </w:rPr>
        <w:tab/>
        <w:t>102</w:t>
      </w:r>
      <w:r>
        <w:rPr>
          <w:rFonts w:ascii="Arial MT"/>
          <w:spacing w:val="44"/>
          <w:sz w:val="16"/>
        </w:rPr>
        <w:t>  </w:t>
      </w:r>
      <w:r>
        <w:rPr>
          <w:rFonts w:ascii="Arial MT"/>
          <w:spacing w:val="-10"/>
          <w:sz w:val="16"/>
        </w:rPr>
        <w:t>$</w:t>
      </w:r>
      <w:r>
        <w:rPr>
          <w:rFonts w:ascii="Arial MT"/>
          <w:sz w:val="16"/>
        </w:rPr>
        <w:tab/>
        <w:t>97</w:t>
      </w:r>
      <w:r>
        <w:rPr>
          <w:rFonts w:ascii="Arial MT"/>
          <w:spacing w:val="44"/>
          <w:sz w:val="16"/>
        </w:rPr>
        <w:t>  </w:t>
      </w:r>
      <w:r>
        <w:rPr>
          <w:rFonts w:ascii="Arial MT"/>
          <w:spacing w:val="-10"/>
          <w:sz w:val="16"/>
        </w:rPr>
        <w:t>$</w:t>
      </w:r>
      <w:r>
        <w:rPr>
          <w:sz w:val="16"/>
        </w:rPr>
        <w:tab/>
      </w:r>
      <w:r>
        <w:rPr>
          <w:rFonts w:ascii="Arial MT"/>
          <w:spacing w:val="-5"/>
          <w:sz w:val="16"/>
        </w:rPr>
        <w:t>89</w:t>
      </w:r>
    </w:p>
    <w:p>
      <w:pPr>
        <w:tabs>
          <w:tab w:pos="7012" w:val="left" w:leader="none"/>
          <w:tab w:pos="8467" w:val="left" w:leader="none"/>
          <w:tab w:pos="10011" w:val="right" w:leader="none"/>
        </w:tabs>
        <w:spacing w:before="56"/>
        <w:ind w:left="772" w:right="0" w:firstLine="0"/>
        <w:jc w:val="left"/>
        <w:rPr>
          <w:rFonts w:ascii="Arial MT"/>
          <w:sz w:val="16"/>
        </w:rPr>
      </w:pPr>
      <w:r>
        <w:rPr>
          <w:rFonts w:ascii="Arial MT"/>
          <w:sz w:val="16"/>
        </w:rPr>
        <w:t>Fees</w:t>
      </w:r>
      <w:r>
        <w:rPr>
          <w:rFonts w:ascii="Arial MT"/>
          <w:spacing w:val="-3"/>
          <w:sz w:val="16"/>
        </w:rPr>
        <w:t> </w:t>
      </w:r>
      <w:r>
        <w:rPr>
          <w:rFonts w:ascii="Arial MT"/>
          <w:sz w:val="16"/>
        </w:rPr>
        <w:t>charged</w:t>
      </w:r>
      <w:r>
        <w:rPr>
          <w:rFonts w:ascii="Arial MT"/>
          <w:spacing w:val="-3"/>
          <w:sz w:val="16"/>
        </w:rPr>
        <w:t> </w:t>
      </w:r>
      <w:r>
        <w:rPr>
          <w:rFonts w:ascii="Arial MT"/>
          <w:sz w:val="16"/>
        </w:rPr>
        <w:t>to</w:t>
      </w:r>
      <w:r>
        <w:rPr>
          <w:rFonts w:ascii="Arial MT"/>
          <w:spacing w:val="-3"/>
          <w:sz w:val="16"/>
        </w:rPr>
        <w:t> </w:t>
      </w:r>
      <w:r>
        <w:rPr>
          <w:rFonts w:ascii="Arial MT"/>
          <w:spacing w:val="-4"/>
          <w:sz w:val="16"/>
        </w:rPr>
        <w:t>MIGA</w:t>
      </w:r>
      <w:r>
        <w:rPr>
          <w:rFonts w:ascii="Arial MT"/>
          <w:sz w:val="16"/>
        </w:rPr>
        <w:tab/>
      </w:r>
      <w:r>
        <w:rPr>
          <w:rFonts w:ascii="Arial MT"/>
          <w:spacing w:val="-10"/>
          <w:sz w:val="16"/>
        </w:rPr>
        <w:t>7</w:t>
      </w:r>
      <w:r>
        <w:rPr>
          <w:rFonts w:ascii="Arial MT"/>
          <w:sz w:val="16"/>
        </w:rPr>
        <w:tab/>
      </w:r>
      <w:r>
        <w:rPr>
          <w:rFonts w:ascii="Arial MT"/>
          <w:spacing w:val="-10"/>
          <w:sz w:val="16"/>
        </w:rPr>
        <w:t>6</w:t>
      </w:r>
      <w:r>
        <w:rPr>
          <w:sz w:val="16"/>
        </w:rPr>
        <w:tab/>
      </w:r>
      <w:r>
        <w:rPr>
          <w:rFonts w:ascii="Arial MT"/>
          <w:spacing w:val="-10"/>
          <w:sz w:val="16"/>
        </w:rPr>
        <w:t>6</w:t>
      </w:r>
    </w:p>
    <w:p>
      <w:pPr>
        <w:pStyle w:val="BodyText"/>
        <w:spacing w:before="16"/>
        <w:rPr>
          <w:rFonts w:ascii="Arial MT"/>
        </w:rPr>
      </w:pPr>
      <w:r>
        <w:rPr>
          <w:rFonts w:ascii="Arial MT"/>
        </w:rPr>
        <mc:AlternateContent>
          <mc:Choice Requires="wps">
            <w:drawing>
              <wp:anchor distT="0" distB="0" distL="0" distR="0" allowOverlap="1" layoutInCell="1" locked="0" behindDoc="1" simplePos="0" relativeHeight="487740416">
                <wp:simplePos x="0" y="0"/>
                <wp:positionH relativeFrom="page">
                  <wp:posOffset>914400</wp:posOffset>
                </wp:positionH>
                <wp:positionV relativeFrom="paragraph">
                  <wp:posOffset>171479</wp:posOffset>
                </wp:positionV>
                <wp:extent cx="5943600" cy="1270"/>
                <wp:effectExtent l="0" t="0" r="0" b="0"/>
                <wp:wrapTopAndBottom/>
                <wp:docPr id="916" name="Graphic 916"/>
                <wp:cNvGraphicFramePr>
                  <a:graphicFrameLocks/>
                </wp:cNvGraphicFramePr>
                <a:graphic>
                  <a:graphicData uri="http://schemas.microsoft.com/office/word/2010/wordprocessingShape">
                    <wps:wsp>
                      <wps:cNvPr id="916" name="Graphic 91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02344pt;width:468pt;height:.1pt;mso-position-horizontal-relative:page;mso-position-vertical-relative:paragraph;z-index:-15576064;mso-wrap-distance-left:0;mso-wrap-distance-right:0" id="docshape757" coordorigin="1440,270" coordsize="9360,0" path="m1440,270l10800,270e" filled="false" stroked="true" strokeweight="1pt" strokecolor="#000000">
                <v:path arrowok="t"/>
                <v:stroke dashstyle="solid"/>
                <w10:wrap type="topAndBottom"/>
              </v:shape>
            </w:pict>
          </mc:Fallback>
        </mc:AlternateContent>
      </w:r>
    </w:p>
    <w:p>
      <w:pPr>
        <w:pStyle w:val="Heading5"/>
        <w:spacing w:before="153"/>
        <w:jc w:val="left"/>
      </w:pPr>
      <w:r>
        <w:rPr/>
        <w:t>Pension</w:t>
      </w:r>
      <w:r>
        <w:rPr>
          <w:spacing w:val="-4"/>
        </w:rPr>
        <w:t> </w:t>
      </w:r>
      <w:r>
        <w:rPr/>
        <w:t>and</w:t>
      </w:r>
      <w:r>
        <w:rPr>
          <w:spacing w:val="-3"/>
        </w:rPr>
        <w:t> </w:t>
      </w:r>
      <w:r>
        <w:rPr/>
        <w:t>Other</w:t>
      </w:r>
      <w:r>
        <w:rPr>
          <w:spacing w:val="-4"/>
        </w:rPr>
        <w:t> </w:t>
      </w:r>
      <w:r>
        <w:rPr/>
        <w:t>Postretirement</w:t>
      </w:r>
      <w:r>
        <w:rPr>
          <w:spacing w:val="-2"/>
        </w:rPr>
        <w:t> Benefits</w:t>
      </w:r>
    </w:p>
    <w:p>
      <w:pPr>
        <w:pStyle w:val="BodyText"/>
        <w:spacing w:line="249" w:lineRule="auto" w:before="140"/>
        <w:ind w:left="720" w:right="718"/>
        <w:jc w:val="both"/>
      </w:pPr>
      <w:r>
        <w:rPr/>
        <w:t>The payable to IDA represents IDA’s net share of prepaid cost for pension and other postretirement benefit plans</w:t>
      </w:r>
      <w:r>
        <w:rPr>
          <w:spacing w:val="40"/>
        </w:rPr>
        <w:t> </w:t>
      </w:r>
      <w:r>
        <w:rPr/>
        <w:t>and PEBP assets. These will be realized over the life of the plan participants. The payables to IFC and MIGA represent their respective share of PEBP assets.</w:t>
      </w:r>
    </w:p>
    <w:p>
      <w:pPr>
        <w:pStyle w:val="BodyText"/>
        <w:spacing w:line="249" w:lineRule="auto" w:before="122"/>
        <w:ind w:left="720" w:right="719"/>
        <w:jc w:val="both"/>
      </w:pPr>
      <w:r>
        <w:rPr/>
        <w:t>The PEBP assets are managed by IBRD and are a part of the investment portfolio. For Pension and Other Postretirement Benefits-related disclosures see Note J—Pension and Other Postretirement Benefits.</w:t>
      </w:r>
    </w:p>
    <w:p>
      <w:pPr>
        <w:pStyle w:val="Heading5"/>
        <w:spacing w:before="113"/>
        <w:jc w:val="left"/>
      </w:pPr>
      <w:r>
        <w:rPr/>
        <w:t>Derivative</w:t>
      </w:r>
      <w:r>
        <w:rPr>
          <w:spacing w:val="-2"/>
        </w:rPr>
        <w:t> Transactions</w:t>
      </w:r>
    </w:p>
    <w:p>
      <w:pPr>
        <w:pStyle w:val="BodyText"/>
        <w:spacing w:line="249" w:lineRule="auto" w:before="140"/>
        <w:ind w:left="720" w:right="719"/>
      </w:pPr>
      <w:r>
        <w:rPr/>
        <w:t>These</w:t>
      </w:r>
      <w:r>
        <w:rPr>
          <w:spacing w:val="29"/>
        </w:rPr>
        <w:t> </w:t>
      </w:r>
      <w:r>
        <w:rPr/>
        <w:t>relate</w:t>
      </w:r>
      <w:r>
        <w:rPr>
          <w:spacing w:val="29"/>
        </w:rPr>
        <w:t> </w:t>
      </w:r>
      <w:r>
        <w:rPr/>
        <w:t>to</w:t>
      </w:r>
      <w:r>
        <w:rPr>
          <w:spacing w:val="29"/>
        </w:rPr>
        <w:t> </w:t>
      </w:r>
      <w:r>
        <w:rPr/>
        <w:t>currency</w:t>
      </w:r>
      <w:r>
        <w:rPr>
          <w:spacing w:val="29"/>
        </w:rPr>
        <w:t> </w:t>
      </w:r>
      <w:r>
        <w:rPr/>
        <w:t>forward</w:t>
      </w:r>
      <w:r>
        <w:rPr>
          <w:spacing w:val="29"/>
        </w:rPr>
        <w:t> </w:t>
      </w:r>
      <w:r>
        <w:rPr/>
        <w:t>contracts</w:t>
      </w:r>
      <w:r>
        <w:rPr>
          <w:spacing w:val="29"/>
        </w:rPr>
        <w:t> </w:t>
      </w:r>
      <w:r>
        <w:rPr/>
        <w:t>entered</w:t>
      </w:r>
      <w:r>
        <w:rPr>
          <w:spacing w:val="29"/>
        </w:rPr>
        <w:t> </w:t>
      </w:r>
      <w:r>
        <w:rPr/>
        <w:t>into</w:t>
      </w:r>
      <w:r>
        <w:rPr>
          <w:spacing w:val="29"/>
        </w:rPr>
        <w:t> </w:t>
      </w:r>
      <w:r>
        <w:rPr/>
        <w:t>for</w:t>
      </w:r>
      <w:r>
        <w:rPr>
          <w:spacing w:val="29"/>
        </w:rPr>
        <w:t> </w:t>
      </w:r>
      <w:r>
        <w:rPr/>
        <w:t>IDA</w:t>
      </w:r>
      <w:r>
        <w:rPr>
          <w:spacing w:val="29"/>
        </w:rPr>
        <w:t> </w:t>
      </w:r>
      <w:r>
        <w:rPr/>
        <w:t>with</w:t>
      </w:r>
      <w:r>
        <w:rPr>
          <w:spacing w:val="29"/>
        </w:rPr>
        <w:t> </w:t>
      </w:r>
      <w:r>
        <w:rPr/>
        <w:t>IBRD</w:t>
      </w:r>
      <w:r>
        <w:rPr>
          <w:spacing w:val="29"/>
        </w:rPr>
        <w:t> </w:t>
      </w:r>
      <w:r>
        <w:rPr/>
        <w:t>acting</w:t>
      </w:r>
      <w:r>
        <w:rPr>
          <w:spacing w:val="29"/>
        </w:rPr>
        <w:t> </w:t>
      </w:r>
      <w:r>
        <w:rPr/>
        <w:t>as</w:t>
      </w:r>
      <w:r>
        <w:rPr>
          <w:spacing w:val="29"/>
        </w:rPr>
        <w:t> </w:t>
      </w:r>
      <w:r>
        <w:rPr/>
        <w:t>the</w:t>
      </w:r>
      <w:r>
        <w:rPr>
          <w:spacing w:val="29"/>
        </w:rPr>
        <w:t> </w:t>
      </w:r>
      <w:r>
        <w:rPr/>
        <w:t>intermediary</w:t>
      </w:r>
      <w:r>
        <w:rPr>
          <w:spacing w:val="29"/>
        </w:rPr>
        <w:t> </w:t>
      </w:r>
      <w:r>
        <w:rPr/>
        <w:t>with</w:t>
      </w:r>
      <w:r>
        <w:rPr>
          <w:spacing w:val="29"/>
        </w:rPr>
        <w:t> </w:t>
      </w:r>
      <w:r>
        <w:rPr/>
        <w:t>the </w:t>
      </w:r>
      <w:r>
        <w:rPr>
          <w:spacing w:val="-2"/>
        </w:rPr>
        <w:t>market.</w:t>
      </w:r>
    </w:p>
    <w:p>
      <w:pPr>
        <w:pStyle w:val="Heading5"/>
        <w:spacing w:before="113"/>
        <w:jc w:val="left"/>
      </w:pPr>
      <w:r>
        <w:rPr>
          <w:spacing w:val="-2"/>
        </w:rPr>
        <w:t>Investments</w:t>
      </w:r>
    </w:p>
    <w:p>
      <w:pPr>
        <w:pStyle w:val="BodyText"/>
        <w:spacing w:line="249" w:lineRule="auto" w:before="139"/>
        <w:ind w:left="720" w:right="718"/>
        <w:jc w:val="both"/>
      </w:pPr>
      <w:r>
        <w:rPr/>
        <w:t>These relate to investments that IBRD has made on behalf of IFC, associated with the PCRF and are included in Investments-Trading on IBRD’s Balance Sheets. The corresponding payable to IFC is included in the amount Payable for Investment Securities Purchased on IBRD’s Balance Sheets. As a result, there is no impact on IBRD’s investments net asset value from these transactions.</w:t>
      </w:r>
    </w:p>
    <w:p>
      <w:pPr>
        <w:pStyle w:val="BodyText"/>
      </w:pPr>
    </w:p>
    <w:p>
      <w:pPr>
        <w:pStyle w:val="BodyText"/>
        <w:spacing w:before="25"/>
      </w:pPr>
    </w:p>
    <w:p>
      <w:pPr>
        <w:pStyle w:val="Heading3"/>
      </w:pPr>
      <w:bookmarkStart w:name="NOTE I—MANAGEMENT OF EXTERNAL FUNDS AND " w:id="214"/>
      <w:bookmarkEnd w:id="214"/>
      <w:r>
        <w:rPr>
          <w:b w:val="0"/>
        </w:rPr>
      </w:r>
      <w:r>
        <w:rPr/>
        <w:t>NOTE</w:t>
      </w:r>
      <w:r>
        <w:rPr>
          <w:spacing w:val="-5"/>
        </w:rPr>
        <w:t> </w:t>
      </w:r>
      <w:r>
        <w:rPr/>
        <w:t>I—MANAGEMENT</w:t>
      </w:r>
      <w:r>
        <w:rPr>
          <w:spacing w:val="-4"/>
        </w:rPr>
        <w:t> </w:t>
      </w:r>
      <w:r>
        <w:rPr/>
        <w:t>OF</w:t>
      </w:r>
      <w:r>
        <w:rPr>
          <w:spacing w:val="-3"/>
        </w:rPr>
        <w:t> </w:t>
      </w:r>
      <w:r>
        <w:rPr/>
        <w:t>EXTERNAL</w:t>
      </w:r>
      <w:r>
        <w:rPr>
          <w:spacing w:val="-4"/>
        </w:rPr>
        <w:t> </w:t>
      </w:r>
      <w:r>
        <w:rPr/>
        <w:t>FUNDS</w:t>
      </w:r>
      <w:r>
        <w:rPr>
          <w:spacing w:val="-2"/>
        </w:rPr>
        <w:t> </w:t>
      </w:r>
      <w:r>
        <w:rPr/>
        <w:t>AND</w:t>
      </w:r>
      <w:r>
        <w:rPr>
          <w:spacing w:val="-3"/>
        </w:rPr>
        <w:t> </w:t>
      </w:r>
      <w:r>
        <w:rPr/>
        <w:t>OTHER</w:t>
      </w:r>
      <w:r>
        <w:rPr>
          <w:spacing w:val="-2"/>
        </w:rPr>
        <w:t> SERVICES</w:t>
      </w:r>
    </w:p>
    <w:p>
      <w:pPr>
        <w:pStyle w:val="Heading5"/>
        <w:spacing w:before="121"/>
        <w:jc w:val="left"/>
      </w:pPr>
      <w:r>
        <w:rPr/>
        <w:t>Trust</w:t>
      </w:r>
      <w:r>
        <w:rPr>
          <w:spacing w:val="-6"/>
        </w:rPr>
        <w:t> </w:t>
      </w:r>
      <w:r>
        <w:rPr>
          <w:spacing w:val="-2"/>
        </w:rPr>
        <w:t>Funds</w:t>
      </w:r>
    </w:p>
    <w:p>
      <w:pPr>
        <w:pStyle w:val="BodyText"/>
        <w:spacing w:line="249" w:lineRule="auto" w:before="140"/>
        <w:ind w:left="720" w:right="717"/>
        <w:jc w:val="both"/>
      </w:pPr>
      <w:r>
        <w:rPr/>
        <w:t>IBRD, alone or jointly with one or more of its affiliated organizations, administers on behalf of donors, including members, their agencies and other entities, funds restricted for specific uses in accordance with administration agreements with donors. Specified uses could include co-financing of IBRD lending projects, debt reduction operations, technical assistance including feasibility studies and project preparation, global and regional programs, and research and training programs. These funds are held in trust with IBRD and/or IDA, and are held in a separate investment portfolio which is not commingled with IBRD and/or IDA funds.</w:t>
      </w:r>
    </w:p>
    <w:p>
      <w:pPr>
        <w:pStyle w:val="BodyText"/>
        <w:spacing w:before="125"/>
        <w:ind w:left="720"/>
      </w:pPr>
      <w:r>
        <w:rPr/>
        <w:t>Trust</w:t>
      </w:r>
      <w:r>
        <w:rPr>
          <w:spacing w:val="-6"/>
        </w:rPr>
        <w:t> </w:t>
      </w:r>
      <w:r>
        <w:rPr/>
        <w:t>fund</w:t>
      </w:r>
      <w:r>
        <w:rPr>
          <w:spacing w:val="-2"/>
        </w:rPr>
        <w:t> </w:t>
      </w:r>
      <w:r>
        <w:rPr/>
        <w:t>execution</w:t>
      </w:r>
      <w:r>
        <w:rPr>
          <w:spacing w:val="-3"/>
        </w:rPr>
        <w:t> </w:t>
      </w:r>
      <w:r>
        <w:rPr/>
        <w:t>may</w:t>
      </w:r>
      <w:r>
        <w:rPr>
          <w:spacing w:val="-2"/>
        </w:rPr>
        <w:t> </w:t>
      </w:r>
      <w:r>
        <w:rPr/>
        <w:t>be</w:t>
      </w:r>
      <w:r>
        <w:rPr>
          <w:spacing w:val="-4"/>
        </w:rPr>
        <w:t> </w:t>
      </w:r>
      <w:r>
        <w:rPr/>
        <w:t>carried</w:t>
      </w:r>
      <w:r>
        <w:rPr>
          <w:spacing w:val="-2"/>
        </w:rPr>
        <w:t> </w:t>
      </w:r>
      <w:r>
        <w:rPr/>
        <w:t>out</w:t>
      </w:r>
      <w:r>
        <w:rPr>
          <w:spacing w:val="-3"/>
        </w:rPr>
        <w:t> </w:t>
      </w:r>
      <w:r>
        <w:rPr/>
        <w:t>in</w:t>
      </w:r>
      <w:r>
        <w:rPr>
          <w:spacing w:val="-3"/>
        </w:rPr>
        <w:t> </w:t>
      </w:r>
      <w:r>
        <w:rPr/>
        <w:t>one</w:t>
      </w:r>
      <w:r>
        <w:rPr>
          <w:spacing w:val="-3"/>
        </w:rPr>
        <w:t> </w:t>
      </w:r>
      <w:r>
        <w:rPr/>
        <w:t>of</w:t>
      </w:r>
      <w:r>
        <w:rPr>
          <w:spacing w:val="-3"/>
        </w:rPr>
        <w:t> </w:t>
      </w:r>
      <w:r>
        <w:rPr/>
        <w:t>two</w:t>
      </w:r>
      <w:r>
        <w:rPr>
          <w:spacing w:val="-2"/>
        </w:rPr>
        <w:t> </w:t>
      </w:r>
      <w:r>
        <w:rPr/>
        <w:t>ways:</w:t>
      </w:r>
      <w:r>
        <w:rPr>
          <w:spacing w:val="-4"/>
        </w:rPr>
        <w:t> </w:t>
      </w:r>
      <w:r>
        <w:rPr/>
        <w:t>Recipient-executed</w:t>
      </w:r>
      <w:r>
        <w:rPr>
          <w:spacing w:val="-2"/>
        </w:rPr>
        <w:t> </w:t>
      </w:r>
      <w:r>
        <w:rPr/>
        <w:t>or</w:t>
      </w:r>
      <w:r>
        <w:rPr>
          <w:spacing w:val="-2"/>
        </w:rPr>
        <w:t> </w:t>
      </w:r>
      <w:r>
        <w:rPr/>
        <w:t>IBRD-</w:t>
      </w:r>
      <w:r>
        <w:rPr>
          <w:spacing w:val="-2"/>
        </w:rPr>
        <w:t>executed.</w:t>
      </w:r>
    </w:p>
    <w:p>
      <w:pPr>
        <w:pStyle w:val="BodyText"/>
        <w:spacing w:line="249" w:lineRule="auto" w:before="130"/>
        <w:ind w:left="720" w:right="718"/>
        <w:jc w:val="both"/>
      </w:pPr>
      <w:r>
        <w:rPr/>
        <w:t>Recipient-executed</w:t>
      </w:r>
      <w:r>
        <w:rPr>
          <w:spacing w:val="-3"/>
        </w:rPr>
        <w:t> </w:t>
      </w:r>
      <w:r>
        <w:rPr/>
        <w:t>trust</w:t>
      </w:r>
      <w:r>
        <w:rPr>
          <w:spacing w:val="-4"/>
        </w:rPr>
        <w:t> </w:t>
      </w:r>
      <w:r>
        <w:rPr/>
        <w:t>funds</w:t>
      </w:r>
      <w:r>
        <w:rPr>
          <w:spacing w:val="-4"/>
        </w:rPr>
        <w:t> </w:t>
      </w:r>
      <w:r>
        <w:rPr/>
        <w:t>involve</w:t>
      </w:r>
      <w:r>
        <w:rPr>
          <w:spacing w:val="-4"/>
        </w:rPr>
        <w:t> </w:t>
      </w:r>
      <w:r>
        <w:rPr/>
        <w:t>activities</w:t>
      </w:r>
      <w:r>
        <w:rPr>
          <w:spacing w:val="-4"/>
        </w:rPr>
        <w:t> </w:t>
      </w:r>
      <w:r>
        <w:rPr/>
        <w:t>carried</w:t>
      </w:r>
      <w:r>
        <w:rPr>
          <w:spacing w:val="-3"/>
        </w:rPr>
        <w:t> </w:t>
      </w:r>
      <w:r>
        <w:rPr/>
        <w:t>out</w:t>
      </w:r>
      <w:r>
        <w:rPr>
          <w:spacing w:val="-4"/>
        </w:rPr>
        <w:t> </w:t>
      </w:r>
      <w:r>
        <w:rPr/>
        <w:t>by</w:t>
      </w:r>
      <w:r>
        <w:rPr>
          <w:spacing w:val="-3"/>
        </w:rPr>
        <w:t> </w:t>
      </w:r>
      <w:r>
        <w:rPr/>
        <w:t>a</w:t>
      </w:r>
      <w:r>
        <w:rPr>
          <w:spacing w:val="-4"/>
        </w:rPr>
        <w:t> </w:t>
      </w:r>
      <w:r>
        <w:rPr/>
        <w:t>recipient</w:t>
      </w:r>
      <w:r>
        <w:rPr>
          <w:spacing w:val="-4"/>
        </w:rPr>
        <w:t> </w:t>
      </w:r>
      <w:r>
        <w:rPr/>
        <w:t>third-party</w:t>
      </w:r>
      <w:r>
        <w:rPr>
          <w:spacing w:val="-3"/>
        </w:rPr>
        <w:t> </w:t>
      </w:r>
      <w:r>
        <w:rPr/>
        <w:t>executing</w:t>
      </w:r>
      <w:r>
        <w:rPr>
          <w:spacing w:val="-3"/>
        </w:rPr>
        <w:t> </w:t>
      </w:r>
      <w:r>
        <w:rPr/>
        <w:t>agency.</w:t>
      </w:r>
      <w:r>
        <w:rPr>
          <w:spacing w:val="-3"/>
        </w:rPr>
        <w:t> </w:t>
      </w:r>
      <w:r>
        <w:rPr/>
        <w:t>IBRD</w:t>
      </w:r>
      <w:r>
        <w:rPr>
          <w:spacing w:val="-4"/>
        </w:rPr>
        <w:t> </w:t>
      </w:r>
      <w:r>
        <w:rPr/>
        <w:t>enters into agreements with and disburses funds to those recipients, who then exercise spending authority to meet the objectives and comply with terms stipulated in the agreements.</w:t>
      </w:r>
    </w:p>
    <w:p>
      <w:pPr>
        <w:pStyle w:val="BodyText"/>
        <w:spacing w:line="249" w:lineRule="auto" w:before="122"/>
        <w:ind w:left="720" w:right="719"/>
        <w:jc w:val="both"/>
      </w:pPr>
      <w:r>
        <w:rPr/>
        <w:t>IBRD-executed trust funds involve IBRD execution of activities as described in relevant administration agreements with donors, which define the terms and conditions for use of the funds. Spending authority is exercised by IBRD, under the terms of the administration agreements. The executing agency services provided by IBRD vary and</w:t>
      </w:r>
      <w:r>
        <w:rPr>
          <w:spacing w:val="40"/>
        </w:rPr>
        <w:t> </w:t>
      </w:r>
      <w:r>
        <w:rPr/>
        <w:t>include for example, activity preparation, analytical and advisory activities and project-related activities, including procurement of goods and services.</w:t>
      </w:r>
    </w:p>
    <w:p>
      <w:pPr>
        <w:pStyle w:val="BodyText"/>
        <w:spacing w:after="0" w:line="249" w:lineRule="auto"/>
        <w:jc w:val="both"/>
        <w:sectPr>
          <w:headerReference w:type="even" r:id="rId185"/>
          <w:footerReference w:type="even" r:id="rId186"/>
          <w:footerReference w:type="default" r:id="rId187"/>
          <w:pgSz w:w="12240" w:h="15840"/>
          <w:pgMar w:header="0" w:footer="528" w:top="960" w:bottom="720" w:left="720" w:right="720"/>
          <w:pgNumType w:start="118"/>
        </w:sectPr>
      </w:pPr>
    </w:p>
    <w:p>
      <w:pPr>
        <w:pStyle w:val="BodyText"/>
        <w:spacing w:before="72"/>
        <w:ind w:left="720"/>
      </w:pPr>
      <w:r>
        <w:rPr/>
        <w:t>The</w:t>
      </w:r>
      <w:r>
        <w:rPr>
          <w:spacing w:val="-7"/>
        </w:rPr>
        <w:t> </w:t>
      </w:r>
      <w:r>
        <w:rPr/>
        <w:t>following</w:t>
      </w:r>
      <w:r>
        <w:rPr>
          <w:spacing w:val="-4"/>
        </w:rPr>
        <w:t> </w:t>
      </w:r>
      <w:r>
        <w:rPr/>
        <w:t>table</w:t>
      </w:r>
      <w:r>
        <w:rPr>
          <w:spacing w:val="-4"/>
        </w:rPr>
        <w:t> </w:t>
      </w:r>
      <w:r>
        <w:rPr/>
        <w:t>summarizes</w:t>
      </w:r>
      <w:r>
        <w:rPr>
          <w:spacing w:val="-5"/>
        </w:rPr>
        <w:t> </w:t>
      </w:r>
      <w:r>
        <w:rPr/>
        <w:t>the</w:t>
      </w:r>
      <w:r>
        <w:rPr>
          <w:spacing w:val="-4"/>
        </w:rPr>
        <w:t> </w:t>
      </w:r>
      <w:r>
        <w:rPr/>
        <w:t>expenses</w:t>
      </w:r>
      <w:r>
        <w:rPr>
          <w:spacing w:val="-5"/>
        </w:rPr>
        <w:t> </w:t>
      </w:r>
      <w:r>
        <w:rPr/>
        <w:t>pertaining</w:t>
      </w:r>
      <w:r>
        <w:rPr>
          <w:spacing w:val="-4"/>
        </w:rPr>
        <w:t> </w:t>
      </w:r>
      <w:r>
        <w:rPr/>
        <w:t>to</w:t>
      </w:r>
      <w:r>
        <w:rPr>
          <w:spacing w:val="-3"/>
        </w:rPr>
        <w:t> </w:t>
      </w:r>
      <w:r>
        <w:rPr/>
        <w:t>IBRD-executed</w:t>
      </w:r>
      <w:r>
        <w:rPr>
          <w:spacing w:val="-4"/>
        </w:rPr>
        <w:t> </w:t>
      </w:r>
      <w:r>
        <w:rPr/>
        <w:t>trust</w:t>
      </w:r>
      <w:r>
        <w:rPr>
          <w:spacing w:val="-4"/>
        </w:rPr>
        <w:t> </w:t>
      </w:r>
      <w:r>
        <w:rPr>
          <w:spacing w:val="-2"/>
        </w:rPr>
        <w:t>funds:</w:t>
      </w:r>
    </w:p>
    <w:p>
      <w:pPr>
        <w:pStyle w:val="Heading8"/>
        <w:spacing w:before="126"/>
      </w:pPr>
      <w:r>
        <w:rPr/>
        <w:t>Table</w:t>
      </w:r>
      <w:r>
        <w:rPr>
          <w:spacing w:val="-8"/>
        </w:rPr>
        <w:t> </w:t>
      </w:r>
      <w:r>
        <w:rPr/>
        <w:t>I1:</w:t>
      </w:r>
      <w:r>
        <w:rPr>
          <w:spacing w:val="-4"/>
        </w:rPr>
        <w:t> </w:t>
      </w:r>
      <w:r>
        <w:rPr/>
        <w:t>Expenses</w:t>
      </w:r>
      <w:r>
        <w:rPr>
          <w:spacing w:val="-5"/>
        </w:rPr>
        <w:t> </w:t>
      </w:r>
      <w:r>
        <w:rPr/>
        <w:t>pertaining</w:t>
      </w:r>
      <w:r>
        <w:rPr>
          <w:spacing w:val="-4"/>
        </w:rPr>
        <w:t> </w:t>
      </w:r>
      <w:r>
        <w:rPr/>
        <w:t>to</w:t>
      </w:r>
      <w:r>
        <w:rPr>
          <w:spacing w:val="-4"/>
        </w:rPr>
        <w:t> </w:t>
      </w:r>
      <w:r>
        <w:rPr/>
        <w:t>IBRD-executed</w:t>
      </w:r>
      <w:r>
        <w:rPr>
          <w:spacing w:val="-5"/>
        </w:rPr>
        <w:t> </w:t>
      </w:r>
      <w:r>
        <w:rPr/>
        <w:t>trust</w:t>
      </w:r>
      <w:r>
        <w:rPr>
          <w:spacing w:val="-4"/>
        </w:rPr>
        <w:t> </w:t>
      </w:r>
      <w:r>
        <w:rPr>
          <w:spacing w:val="-2"/>
        </w:rPr>
        <w:t>funds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41440">
                <wp:simplePos x="0" y="0"/>
                <wp:positionH relativeFrom="page">
                  <wp:posOffset>914400</wp:posOffset>
                </wp:positionH>
                <wp:positionV relativeFrom="paragraph">
                  <wp:posOffset>191794</wp:posOffset>
                </wp:positionV>
                <wp:extent cx="5943600"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101954pt;width:468pt;height:.1pt;mso-position-horizontal-relative:page;mso-position-vertical-relative:paragraph;z-index:-15575040;mso-wrap-distance-left:0;mso-wrap-distance-right:0" id="docshape758"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7749" w:val="left" w:leader="none"/>
          <w:tab w:pos="9204" w:val="left" w:leader="none"/>
        </w:tabs>
        <w:spacing w:before="16"/>
        <w:ind w:left="6294" w:right="0" w:firstLine="0"/>
        <w:jc w:val="left"/>
        <w:rPr>
          <w:rFonts w:ascii="Arial"/>
          <w:i/>
          <w:sz w:val="16"/>
        </w:rPr>
      </w:pPr>
      <w:r>
        <w:rPr>
          <w:rFonts w:ascii="Arial"/>
          <w:i/>
          <w:spacing w:val="-4"/>
          <w:sz w:val="16"/>
        </w:rPr>
        <w:t>2023</w:t>
      </w:r>
      <w:r>
        <w:rPr>
          <w:rFonts w:ascii="Arial"/>
          <w:i/>
          <w:sz w:val="16"/>
        </w:rPr>
        <w:tab/>
      </w:r>
      <w:r>
        <w:rPr>
          <w:rFonts w:ascii="Arial"/>
          <w:i/>
          <w:spacing w:val="-4"/>
          <w:sz w:val="16"/>
        </w:rPr>
        <w:t>2022</w:t>
      </w:r>
      <w:r>
        <w:rPr>
          <w:rFonts w:ascii="Arial"/>
          <w:i/>
          <w:sz w:val="16"/>
        </w:rPr>
        <w:tab/>
      </w:r>
      <w:r>
        <w:rPr>
          <w:rFonts w:ascii="Arial"/>
          <w:i/>
          <w:spacing w:val="-4"/>
          <w:sz w:val="16"/>
        </w:rPr>
        <w:t>2021</w:t>
      </w:r>
    </w:p>
    <w:p>
      <w:pPr>
        <w:tabs>
          <w:tab w:pos="5827" w:val="left" w:leader="none"/>
          <w:tab w:pos="6835" w:val="left" w:leader="none"/>
          <w:tab w:pos="8290" w:val="left" w:leader="none"/>
          <w:tab w:pos="10011" w:val="right" w:leader="none"/>
        </w:tabs>
        <w:spacing w:before="56"/>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85312">
                <wp:simplePos x="0" y="0"/>
                <wp:positionH relativeFrom="page">
                  <wp:posOffset>4124325</wp:posOffset>
                </wp:positionH>
                <wp:positionV relativeFrom="paragraph">
                  <wp:posOffset>19059</wp:posOffset>
                </wp:positionV>
                <wp:extent cx="2733675"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2733675" cy="1270"/>
                        </a:xfrm>
                        <a:custGeom>
                          <a:avLst/>
                          <a:gdLst/>
                          <a:ahLst/>
                          <a:cxnLst/>
                          <a:rect l="l" t="t" r="r" b="b"/>
                          <a:pathLst>
                            <a:path w="2733675" h="0">
                              <a:moveTo>
                                <a:pt x="0" y="0"/>
                              </a:moveTo>
                              <a:lnTo>
                                <a:pt x="885825" y="0"/>
                              </a:lnTo>
                            </a:path>
                            <a:path w="2733675" h="0">
                              <a:moveTo>
                                <a:pt x="923925" y="0"/>
                              </a:moveTo>
                              <a:lnTo>
                                <a:pt x="1809750" y="0"/>
                              </a:lnTo>
                            </a:path>
                            <a:path w="2733675" h="0">
                              <a:moveTo>
                                <a:pt x="1847850" y="0"/>
                              </a:moveTo>
                              <a:lnTo>
                                <a:pt x="27336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75pt;margin-top:1.500781pt;width:215.25pt;height:.1pt;mso-position-horizontal-relative:page;mso-position-vertical-relative:paragraph;z-index:15885312" id="docshape759" coordorigin="6495,30" coordsize="4305,0" path="m6495,30l7890,30m7950,30l9345,30m9405,30l10800,30e" filled="false" stroked="true" strokeweight="1pt" strokecolor="#000000">
                <v:path arrowok="t"/>
                <v:stroke dashstyle="solid"/>
                <w10:wrap type="none"/>
              </v:shape>
            </w:pict>
          </mc:Fallback>
        </mc:AlternateContent>
      </w:r>
      <w:r>
        <w:rPr>
          <w:rFonts w:ascii="Arial MT"/>
          <w:sz w:val="16"/>
        </w:rPr>
        <w:t>IBRD-executed</w:t>
      </w:r>
      <w:r>
        <w:rPr>
          <w:rFonts w:ascii="Arial MT"/>
          <w:spacing w:val="-4"/>
          <w:sz w:val="16"/>
        </w:rPr>
        <w:t> </w:t>
      </w:r>
      <w:r>
        <w:rPr>
          <w:rFonts w:ascii="Arial MT"/>
          <w:sz w:val="16"/>
        </w:rPr>
        <w:t>trust</w:t>
      </w:r>
      <w:r>
        <w:rPr>
          <w:rFonts w:ascii="Arial MT"/>
          <w:spacing w:val="-4"/>
          <w:sz w:val="16"/>
        </w:rPr>
        <w:t> </w:t>
      </w:r>
      <w:r>
        <w:rPr>
          <w:rFonts w:ascii="Arial MT"/>
          <w:sz w:val="16"/>
        </w:rPr>
        <w:t>fund</w:t>
      </w:r>
      <w:r>
        <w:rPr>
          <w:rFonts w:ascii="Arial MT"/>
          <w:spacing w:val="-3"/>
          <w:sz w:val="16"/>
        </w:rPr>
        <w:t> </w:t>
      </w:r>
      <w:r>
        <w:rPr>
          <w:rFonts w:ascii="Arial MT"/>
          <w:spacing w:val="-2"/>
          <w:sz w:val="16"/>
        </w:rPr>
        <w:t>expenses</w:t>
      </w:r>
      <w:r>
        <w:rPr>
          <w:rFonts w:ascii="Arial MT"/>
          <w:sz w:val="16"/>
        </w:rPr>
        <w:tab/>
      </w:r>
      <w:r>
        <w:rPr>
          <w:rFonts w:ascii="Arial MT"/>
          <w:spacing w:val="-10"/>
          <w:sz w:val="16"/>
        </w:rPr>
        <w:t>$</w:t>
      </w:r>
      <w:r>
        <w:rPr>
          <w:rFonts w:ascii="Arial MT"/>
          <w:sz w:val="16"/>
        </w:rPr>
        <w:tab/>
        <w:t>570</w:t>
      </w:r>
      <w:r>
        <w:rPr>
          <w:rFonts w:ascii="Arial MT"/>
          <w:spacing w:val="44"/>
          <w:sz w:val="16"/>
        </w:rPr>
        <w:t>  </w:t>
      </w:r>
      <w:r>
        <w:rPr>
          <w:rFonts w:ascii="Arial MT"/>
          <w:spacing w:val="-10"/>
          <w:sz w:val="16"/>
        </w:rPr>
        <w:t>$</w:t>
      </w:r>
      <w:r>
        <w:rPr>
          <w:rFonts w:ascii="Arial MT"/>
          <w:sz w:val="16"/>
        </w:rPr>
        <w:tab/>
        <w:t>494</w:t>
      </w:r>
      <w:r>
        <w:rPr>
          <w:rFonts w:ascii="Arial MT"/>
          <w:spacing w:val="44"/>
          <w:sz w:val="16"/>
        </w:rPr>
        <w:t>  </w:t>
      </w:r>
      <w:r>
        <w:rPr>
          <w:rFonts w:ascii="Arial MT"/>
          <w:spacing w:val="-10"/>
          <w:sz w:val="16"/>
        </w:rPr>
        <w:t>$</w:t>
      </w:r>
      <w:r>
        <w:rPr>
          <w:sz w:val="16"/>
        </w:rPr>
        <w:tab/>
      </w:r>
      <w:r>
        <w:rPr>
          <w:rFonts w:ascii="Arial MT"/>
          <w:spacing w:val="-5"/>
          <w:sz w:val="16"/>
        </w:rPr>
        <w:t>470</w:t>
      </w:r>
    </w:p>
    <w:p>
      <w:pPr>
        <w:pStyle w:val="BodyText"/>
        <w:spacing w:before="16"/>
        <w:rPr>
          <w:rFonts w:ascii="Arial MT"/>
        </w:rPr>
      </w:pPr>
      <w:r>
        <w:rPr>
          <w:rFonts w:ascii="Arial MT"/>
        </w:rPr>
        <mc:AlternateContent>
          <mc:Choice Requires="wps">
            <w:drawing>
              <wp:anchor distT="0" distB="0" distL="0" distR="0" allowOverlap="1" layoutInCell="1" locked="0" behindDoc="1" simplePos="0" relativeHeight="487741952">
                <wp:simplePos x="0" y="0"/>
                <wp:positionH relativeFrom="page">
                  <wp:posOffset>914400</wp:posOffset>
                </wp:positionH>
                <wp:positionV relativeFrom="paragraph">
                  <wp:posOffset>171469</wp:posOffset>
                </wp:positionV>
                <wp:extent cx="5943600" cy="1270"/>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01562pt;width:468pt;height:.1pt;mso-position-horizontal-relative:page;mso-position-vertical-relative:paragraph;z-index:-15574528;mso-wrap-distance-left:0;mso-wrap-distance-right:0" id="docshape760" coordorigin="1440,270" coordsize="9360,0" path="m1440,270l10800,270e" filled="false" stroked="true" strokeweight="1pt" strokecolor="#000000">
                <v:path arrowok="t"/>
                <v:stroke dashstyle="solid"/>
                <w10:wrap type="topAndBottom"/>
              </v:shape>
            </w:pict>
          </mc:Fallback>
        </mc:AlternateContent>
      </w:r>
    </w:p>
    <w:p>
      <w:pPr>
        <w:pStyle w:val="BodyText"/>
        <w:spacing w:line="249" w:lineRule="auto" w:before="162"/>
        <w:ind w:left="720" w:right="718"/>
        <w:jc w:val="both"/>
      </w:pPr>
      <w:r>
        <w:rPr/>
        <w:t>These amounts are included in Administrative expenses and the corresponding revenue is included in Revenue from externally funded activities in the Statements of Income. Administrative expenses primarily relate to staff costs, travel and consultant fees.</w:t>
      </w:r>
    </w:p>
    <w:p>
      <w:pPr>
        <w:pStyle w:val="BodyText"/>
        <w:spacing w:line="249" w:lineRule="auto" w:before="122"/>
        <w:ind w:left="720" w:right="718"/>
        <w:jc w:val="both"/>
      </w:pPr>
      <w:r>
        <w:rPr/>
        <w:t>The following table summarizes all undisbursed contributions made by third party donors to IBRD-executed trust funds, recognized on the Balance Sheets:</w:t>
      </w:r>
    </w:p>
    <w:p>
      <w:pPr>
        <w:pStyle w:val="Heading8"/>
        <w:jc w:val="both"/>
      </w:pPr>
      <w:r>
        <w:rPr/>
        <w:t>Table</w:t>
      </w:r>
      <w:r>
        <w:rPr>
          <w:spacing w:val="-7"/>
        </w:rPr>
        <w:t> </w:t>
      </w:r>
      <w:r>
        <w:rPr/>
        <w:t>I2:</w:t>
      </w:r>
      <w:r>
        <w:rPr>
          <w:spacing w:val="-4"/>
        </w:rPr>
        <w:t> </w:t>
      </w:r>
      <w:r>
        <w:rPr/>
        <w:t>Undisbursed</w:t>
      </w:r>
      <w:r>
        <w:rPr>
          <w:spacing w:val="-5"/>
        </w:rPr>
        <w:t> </w:t>
      </w:r>
      <w:r>
        <w:rPr/>
        <w:t>contributions</w:t>
      </w:r>
      <w:r>
        <w:rPr>
          <w:spacing w:val="-5"/>
        </w:rPr>
        <w:t> </w:t>
      </w:r>
      <w:r>
        <w:rPr/>
        <w:t>by</w:t>
      </w:r>
      <w:r>
        <w:rPr>
          <w:spacing w:val="-4"/>
        </w:rPr>
        <w:t> </w:t>
      </w:r>
      <w:r>
        <w:rPr/>
        <w:t>third</w:t>
      </w:r>
      <w:r>
        <w:rPr>
          <w:spacing w:val="-5"/>
        </w:rPr>
        <w:t> </w:t>
      </w:r>
      <w:r>
        <w:rPr/>
        <w:t>party</w:t>
      </w:r>
      <w:r>
        <w:rPr>
          <w:spacing w:val="-4"/>
        </w:rPr>
        <w:t> </w:t>
      </w:r>
      <w:r>
        <w:rPr/>
        <w:t>donors</w:t>
      </w:r>
      <w:r>
        <w:rPr>
          <w:spacing w:val="-5"/>
        </w:rPr>
        <w:t> </w:t>
      </w:r>
      <w:r>
        <w:rPr/>
        <w:t>to</w:t>
      </w:r>
      <w:r>
        <w:rPr>
          <w:spacing w:val="-4"/>
        </w:rPr>
        <w:t> </w:t>
      </w:r>
      <w:r>
        <w:rPr/>
        <w:t>IBRD-executed</w:t>
      </w:r>
      <w:r>
        <w:rPr>
          <w:spacing w:val="-5"/>
        </w:rPr>
        <w:t> </w:t>
      </w:r>
      <w:r>
        <w:rPr/>
        <w:t>trust</w:t>
      </w:r>
      <w:r>
        <w:rPr>
          <w:spacing w:val="-3"/>
        </w:rPr>
        <w:t> </w:t>
      </w:r>
      <w:r>
        <w:rPr>
          <w:spacing w:val="-2"/>
        </w:rPr>
        <w:t>funds</w:t>
      </w:r>
    </w:p>
    <w:p>
      <w:pPr>
        <w:spacing w:before="89"/>
        <w:ind w:left="772"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742464">
                <wp:simplePos x="0" y="0"/>
                <wp:positionH relativeFrom="page">
                  <wp:posOffset>914400</wp:posOffset>
                </wp:positionH>
                <wp:positionV relativeFrom="paragraph">
                  <wp:posOffset>191846</wp:posOffset>
                </wp:positionV>
                <wp:extent cx="5943600" cy="1270"/>
                <wp:effectExtent l="0" t="0" r="0" b="0"/>
                <wp:wrapTopAndBottom/>
                <wp:docPr id="920" name="Graphic 920"/>
                <wp:cNvGraphicFramePr>
                  <a:graphicFrameLocks/>
                </wp:cNvGraphicFramePr>
                <a:graphic>
                  <a:graphicData uri="http://schemas.microsoft.com/office/word/2010/wordprocessingShape">
                    <wps:wsp>
                      <wps:cNvPr id="920" name="Graphic 92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106054pt;width:468pt;height:.1pt;mso-position-horizontal-relative:page;mso-position-vertical-relative:paragraph;z-index:-15574016;mso-wrap-distance-left:0;mso-wrap-distance-right:0" id="docshape761"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9002" w:val="left" w:leader="none"/>
        </w:tabs>
        <w:spacing w:before="16"/>
        <w:ind w:left="7142" w:right="0" w:firstLine="0"/>
        <w:jc w:val="left"/>
        <w:rPr>
          <w:rFonts w:ascii="Arial"/>
          <w:i/>
          <w:sz w:val="16"/>
        </w:rPr>
      </w:pPr>
      <w:r>
        <w:rPr>
          <w:rFonts w:ascii="Arial"/>
          <w:i/>
          <w:spacing w:val="-4"/>
          <w:sz w:val="16"/>
        </w:rPr>
        <w:t>2023</w:t>
      </w:r>
      <w:r>
        <w:rPr>
          <w:rFonts w:ascii="Arial"/>
          <w:i/>
          <w:sz w:val="16"/>
        </w:rPr>
        <w:tab/>
      </w:r>
      <w:r>
        <w:rPr>
          <w:rFonts w:ascii="Arial"/>
          <w:i/>
          <w:spacing w:val="-4"/>
          <w:sz w:val="16"/>
        </w:rPr>
        <w:t>2022</w:t>
      </w:r>
    </w:p>
    <w:p>
      <w:pPr>
        <w:tabs>
          <w:tab w:pos="6472" w:val="left" w:leader="none"/>
          <w:tab w:pos="7885" w:val="left" w:leader="none"/>
          <w:tab w:pos="10011" w:val="right" w:leader="none"/>
        </w:tabs>
        <w:spacing w:before="56"/>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85824">
                <wp:simplePos x="0" y="0"/>
                <wp:positionH relativeFrom="page">
                  <wp:posOffset>4533900</wp:posOffset>
                </wp:positionH>
                <wp:positionV relativeFrom="paragraph">
                  <wp:posOffset>19059</wp:posOffset>
                </wp:positionV>
                <wp:extent cx="2324100" cy="1270"/>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2324100" cy="1270"/>
                        </a:xfrm>
                        <a:custGeom>
                          <a:avLst/>
                          <a:gdLst/>
                          <a:ahLst/>
                          <a:cxnLst/>
                          <a:rect l="l" t="t" r="r" b="b"/>
                          <a:pathLst>
                            <a:path w="2324100" h="0">
                              <a:moveTo>
                                <a:pt x="0" y="0"/>
                              </a:moveTo>
                              <a:lnTo>
                                <a:pt x="1143000" y="0"/>
                              </a:lnTo>
                            </a:path>
                            <a:path w="2324100" h="0">
                              <a:moveTo>
                                <a:pt x="1181100" y="0"/>
                              </a:moveTo>
                              <a:lnTo>
                                <a:pt x="2324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pt;margin-top:1.500781pt;width:183pt;height:.1pt;mso-position-horizontal-relative:page;mso-position-vertical-relative:paragraph;z-index:15885824" id="docshape762" coordorigin="7140,30" coordsize="3660,0" path="m7140,30l8940,30m9000,30l10800,30e" filled="false" stroked="true" strokeweight="1pt" strokecolor="#000000">
                <v:path arrowok="t"/>
                <v:stroke dashstyle="solid"/>
                <w10:wrap type="none"/>
              </v:shape>
            </w:pict>
          </mc:Fallback>
        </mc:AlternateContent>
      </w:r>
      <w:r>
        <w:rPr>
          <w:rFonts w:ascii="Arial MT"/>
          <w:sz w:val="16"/>
        </w:rPr>
        <w:t>IBRD-executed</w:t>
      </w:r>
      <w:r>
        <w:rPr>
          <w:rFonts w:ascii="Arial MT"/>
          <w:spacing w:val="-5"/>
          <w:sz w:val="16"/>
        </w:rPr>
        <w:t> </w:t>
      </w:r>
      <w:r>
        <w:rPr>
          <w:rFonts w:ascii="Arial MT"/>
          <w:sz w:val="16"/>
        </w:rPr>
        <w:t>trust</w:t>
      </w:r>
      <w:r>
        <w:rPr>
          <w:rFonts w:ascii="Arial MT"/>
          <w:spacing w:val="-3"/>
          <w:sz w:val="16"/>
        </w:rPr>
        <w:t> </w:t>
      </w:r>
      <w:r>
        <w:rPr>
          <w:rFonts w:ascii="Arial MT"/>
          <w:spacing w:val="-4"/>
          <w:sz w:val="16"/>
        </w:rPr>
        <w:t>funds</w:t>
      </w:r>
      <w:r>
        <w:rPr>
          <w:rFonts w:ascii="Arial MT"/>
          <w:sz w:val="16"/>
        </w:rPr>
        <w:tab/>
      </w:r>
      <w:r>
        <w:rPr>
          <w:rFonts w:ascii="Arial MT"/>
          <w:spacing w:val="-10"/>
          <w:sz w:val="16"/>
        </w:rPr>
        <w:t>$</w:t>
      </w:r>
      <w:r>
        <w:rPr>
          <w:rFonts w:ascii="Arial MT"/>
          <w:sz w:val="16"/>
        </w:rPr>
        <w:tab/>
        <w:t>588</w:t>
      </w:r>
      <w:r>
        <w:rPr>
          <w:rFonts w:ascii="Arial MT"/>
          <w:spacing w:val="44"/>
          <w:sz w:val="16"/>
        </w:rPr>
        <w:t>  </w:t>
      </w:r>
      <w:r>
        <w:rPr>
          <w:rFonts w:ascii="Arial MT"/>
          <w:spacing w:val="-10"/>
          <w:sz w:val="16"/>
        </w:rPr>
        <w:t>$</w:t>
      </w:r>
      <w:r>
        <w:rPr>
          <w:sz w:val="16"/>
        </w:rPr>
        <w:tab/>
      </w:r>
      <w:r>
        <w:rPr>
          <w:rFonts w:ascii="Arial MT"/>
          <w:spacing w:val="-5"/>
          <w:sz w:val="16"/>
        </w:rPr>
        <w:t>566</w:t>
      </w:r>
    </w:p>
    <w:p>
      <w:pPr>
        <w:pStyle w:val="BodyText"/>
        <w:spacing w:before="16"/>
        <w:rPr>
          <w:rFonts w:ascii="Arial MT"/>
        </w:rPr>
      </w:pPr>
      <w:r>
        <w:rPr>
          <w:rFonts w:ascii="Arial MT"/>
        </w:rPr>
        <mc:AlternateContent>
          <mc:Choice Requires="wps">
            <w:drawing>
              <wp:anchor distT="0" distB="0" distL="0" distR="0" allowOverlap="1" layoutInCell="1" locked="0" behindDoc="1" simplePos="0" relativeHeight="487742976">
                <wp:simplePos x="0" y="0"/>
                <wp:positionH relativeFrom="page">
                  <wp:posOffset>914400</wp:posOffset>
                </wp:positionH>
                <wp:positionV relativeFrom="paragraph">
                  <wp:posOffset>171469</wp:posOffset>
                </wp:positionV>
                <wp:extent cx="5943600" cy="127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01562pt;width:468pt;height:.1pt;mso-position-horizontal-relative:page;mso-position-vertical-relative:paragraph;z-index:-15573504;mso-wrap-distance-left:0;mso-wrap-distance-right:0" id="docshape763" coordorigin="1440,270" coordsize="9360,0" path="m1440,270l10800,270e" filled="false" stroked="true" strokeweight="1pt" strokecolor="#000000">
                <v:path arrowok="t"/>
                <v:stroke dashstyle="solid"/>
                <w10:wrap type="topAndBottom"/>
              </v:shape>
            </w:pict>
          </mc:Fallback>
        </mc:AlternateContent>
      </w:r>
    </w:p>
    <w:p>
      <w:pPr>
        <w:pStyle w:val="BodyText"/>
        <w:spacing w:line="249" w:lineRule="auto" w:before="162"/>
        <w:ind w:left="720" w:right="719"/>
      </w:pPr>
      <w:r>
        <w:rPr/>
        <w:t>These amounts are included in Other assets - Miscellaneous and the corresponding liabilities are included in Other liabilities – Accounts payable and miscellaneous liabilities on the Balance Sheets.</w:t>
      </w:r>
    </w:p>
    <w:p>
      <w:pPr>
        <w:pStyle w:val="Heading5"/>
        <w:spacing w:before="113"/>
        <w:jc w:val="left"/>
      </w:pPr>
      <w:r>
        <w:rPr>
          <w:spacing w:val="-2"/>
        </w:rPr>
        <w:t>Revenues</w:t>
      </w:r>
    </w:p>
    <w:p>
      <w:pPr>
        <w:pStyle w:val="BodyText"/>
        <w:spacing w:before="139"/>
        <w:ind w:left="720"/>
      </w:pPr>
      <w:r>
        <w:rPr/>
        <w:t>IBRD’s</w:t>
      </w:r>
      <w:r>
        <w:rPr>
          <w:spacing w:val="-6"/>
        </w:rPr>
        <w:t> </w:t>
      </w:r>
      <w:r>
        <w:rPr/>
        <w:t>revenues</w:t>
      </w:r>
      <w:r>
        <w:rPr>
          <w:spacing w:val="-3"/>
        </w:rPr>
        <w:t> </w:t>
      </w:r>
      <w:r>
        <w:rPr/>
        <w:t>for</w:t>
      </w:r>
      <w:r>
        <w:rPr>
          <w:spacing w:val="-2"/>
        </w:rPr>
        <w:t> </w:t>
      </w:r>
      <w:r>
        <w:rPr/>
        <w:t>the</w:t>
      </w:r>
      <w:r>
        <w:rPr>
          <w:spacing w:val="-4"/>
        </w:rPr>
        <w:t> </w:t>
      </w:r>
      <w:r>
        <w:rPr/>
        <w:t>administration</w:t>
      </w:r>
      <w:r>
        <w:rPr>
          <w:spacing w:val="-2"/>
        </w:rPr>
        <w:t> </w:t>
      </w:r>
      <w:r>
        <w:rPr/>
        <w:t>of</w:t>
      </w:r>
      <w:r>
        <w:rPr>
          <w:spacing w:val="-2"/>
        </w:rPr>
        <w:t> </w:t>
      </w:r>
      <w:r>
        <w:rPr/>
        <w:t>trust</w:t>
      </w:r>
      <w:r>
        <w:rPr>
          <w:spacing w:val="-3"/>
        </w:rPr>
        <w:t> </w:t>
      </w:r>
      <w:r>
        <w:rPr/>
        <w:t>fund</w:t>
      </w:r>
      <w:r>
        <w:rPr>
          <w:spacing w:val="-3"/>
        </w:rPr>
        <w:t> </w:t>
      </w:r>
      <w:r>
        <w:rPr/>
        <w:t>operations</w:t>
      </w:r>
      <w:r>
        <w:rPr>
          <w:spacing w:val="-3"/>
        </w:rPr>
        <w:t> </w:t>
      </w:r>
      <w:r>
        <w:rPr/>
        <w:t>were</w:t>
      </w:r>
      <w:r>
        <w:rPr>
          <w:spacing w:val="-3"/>
        </w:rPr>
        <w:t> </w:t>
      </w:r>
      <w:r>
        <w:rPr/>
        <w:t>as</w:t>
      </w:r>
      <w:r>
        <w:rPr>
          <w:spacing w:val="-3"/>
        </w:rPr>
        <w:t> </w:t>
      </w:r>
      <w:r>
        <w:rPr>
          <w:spacing w:val="-2"/>
        </w:rPr>
        <w:t>follows:</w:t>
      </w:r>
    </w:p>
    <w:p>
      <w:pPr>
        <w:pStyle w:val="Heading8"/>
        <w:spacing w:before="127"/>
      </w:pPr>
      <w:r>
        <w:rPr/>
        <w:t>Table</w:t>
      </w:r>
      <w:r>
        <w:rPr>
          <w:spacing w:val="-5"/>
        </w:rPr>
        <w:t> </w:t>
      </w:r>
      <w:r>
        <w:rPr/>
        <w:t>I3:</w:t>
      </w:r>
      <w:r>
        <w:rPr>
          <w:spacing w:val="-3"/>
        </w:rPr>
        <w:t> </w:t>
      </w:r>
      <w:r>
        <w:rPr/>
        <w:t>Trust</w:t>
      </w:r>
      <w:r>
        <w:rPr>
          <w:spacing w:val="-4"/>
        </w:rPr>
        <w:t> </w:t>
      </w:r>
      <w:r>
        <w:rPr/>
        <w:t>fund</w:t>
      </w:r>
      <w:r>
        <w:rPr>
          <w:spacing w:val="-4"/>
        </w:rPr>
        <w:t> </w:t>
      </w:r>
      <w:r>
        <w:rPr/>
        <w:t>administration</w:t>
      </w:r>
      <w:r>
        <w:rPr>
          <w:spacing w:val="-4"/>
        </w:rPr>
        <w:t> </w:t>
      </w:r>
      <w:r>
        <w:rPr>
          <w:spacing w:val="-2"/>
        </w:rPr>
        <w:t>revenues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43488">
                <wp:simplePos x="0" y="0"/>
                <wp:positionH relativeFrom="page">
                  <wp:posOffset>914400</wp:posOffset>
                </wp:positionH>
                <wp:positionV relativeFrom="paragraph">
                  <wp:posOffset>191580</wp:posOffset>
                </wp:positionV>
                <wp:extent cx="5943600" cy="1270"/>
                <wp:effectExtent l="0" t="0" r="0" b="0"/>
                <wp:wrapTopAndBottom/>
                <wp:docPr id="923" name="Graphic 923"/>
                <wp:cNvGraphicFramePr>
                  <a:graphicFrameLocks/>
                </wp:cNvGraphicFramePr>
                <a:graphic>
                  <a:graphicData uri="http://schemas.microsoft.com/office/word/2010/wordprocessingShape">
                    <wps:wsp>
                      <wps:cNvPr id="923" name="Graphic 92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85069pt;width:468pt;height:.1pt;mso-position-horizontal-relative:page;mso-position-vertical-relative:paragraph;z-index:-15572992;mso-wrap-distance-left:0;mso-wrap-distance-right:0" id="docshape764"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7749" w:val="left" w:leader="none"/>
          <w:tab w:pos="9204" w:val="left" w:leader="none"/>
        </w:tabs>
        <w:spacing w:before="16"/>
        <w:ind w:left="6294" w:right="0" w:firstLine="0"/>
        <w:jc w:val="left"/>
        <w:rPr>
          <w:rFonts w:ascii="Arial"/>
          <w:i/>
          <w:sz w:val="16"/>
        </w:rPr>
      </w:pPr>
      <w:r>
        <w:rPr>
          <w:rFonts w:ascii="Arial"/>
          <w:i/>
          <w:spacing w:val="-4"/>
          <w:sz w:val="16"/>
        </w:rPr>
        <w:t>2023</w:t>
      </w:r>
      <w:r>
        <w:rPr>
          <w:rFonts w:ascii="Arial"/>
          <w:i/>
          <w:sz w:val="16"/>
        </w:rPr>
        <w:tab/>
      </w:r>
      <w:r>
        <w:rPr>
          <w:rFonts w:ascii="Arial"/>
          <w:i/>
          <w:spacing w:val="-4"/>
          <w:sz w:val="16"/>
        </w:rPr>
        <w:t>2022</w:t>
      </w:r>
      <w:r>
        <w:rPr>
          <w:rFonts w:ascii="Arial"/>
          <w:i/>
          <w:sz w:val="16"/>
        </w:rPr>
        <w:tab/>
      </w:r>
      <w:r>
        <w:rPr>
          <w:rFonts w:ascii="Arial"/>
          <w:i/>
          <w:spacing w:val="-4"/>
          <w:sz w:val="16"/>
        </w:rPr>
        <w:t>2021</w:t>
      </w:r>
    </w:p>
    <w:p>
      <w:pPr>
        <w:tabs>
          <w:tab w:pos="5827" w:val="left" w:leader="none"/>
          <w:tab w:pos="6923" w:val="left" w:leader="none"/>
          <w:tab w:pos="8378" w:val="left" w:leader="none"/>
          <w:tab w:pos="10011" w:val="right" w:leader="none"/>
        </w:tabs>
        <w:spacing w:before="56"/>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886336">
                <wp:simplePos x="0" y="0"/>
                <wp:positionH relativeFrom="page">
                  <wp:posOffset>4124325</wp:posOffset>
                </wp:positionH>
                <wp:positionV relativeFrom="paragraph">
                  <wp:posOffset>19059</wp:posOffset>
                </wp:positionV>
                <wp:extent cx="2733675" cy="127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2733675" cy="1270"/>
                        </a:xfrm>
                        <a:custGeom>
                          <a:avLst/>
                          <a:gdLst/>
                          <a:ahLst/>
                          <a:cxnLst/>
                          <a:rect l="l" t="t" r="r" b="b"/>
                          <a:pathLst>
                            <a:path w="2733675" h="0">
                              <a:moveTo>
                                <a:pt x="0" y="0"/>
                              </a:moveTo>
                              <a:lnTo>
                                <a:pt x="885825" y="0"/>
                              </a:lnTo>
                            </a:path>
                            <a:path w="2733675" h="0">
                              <a:moveTo>
                                <a:pt x="923925" y="0"/>
                              </a:moveTo>
                              <a:lnTo>
                                <a:pt x="1809750" y="0"/>
                              </a:lnTo>
                            </a:path>
                            <a:path w="2733675" h="0">
                              <a:moveTo>
                                <a:pt x="1847850" y="0"/>
                              </a:moveTo>
                              <a:lnTo>
                                <a:pt x="27336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75pt;margin-top:1.500781pt;width:215.25pt;height:.1pt;mso-position-horizontal-relative:page;mso-position-vertical-relative:paragraph;z-index:15886336" id="docshape765" coordorigin="6495,30" coordsize="4305,0" path="m6495,30l7890,30m7950,30l9345,30m9405,30l10800,30e" filled="false" stroked="true" strokeweight="1pt" strokecolor="#000000">
                <v:path arrowok="t"/>
                <v:stroke dashstyle="solid"/>
                <w10:wrap type="none"/>
              </v:shape>
            </w:pict>
          </mc:Fallback>
        </mc:AlternateContent>
      </w:r>
      <w:r>
        <w:rPr>
          <w:rFonts w:ascii="Arial MT"/>
          <w:spacing w:val="-2"/>
          <w:sz w:val="16"/>
        </w:rPr>
        <w:t>Revenues</w:t>
      </w:r>
      <w:r>
        <w:rPr>
          <w:rFonts w:ascii="Arial MT"/>
          <w:sz w:val="16"/>
        </w:rPr>
        <w:tab/>
      </w:r>
      <w:r>
        <w:rPr>
          <w:rFonts w:ascii="Arial MT"/>
          <w:spacing w:val="-10"/>
          <w:sz w:val="16"/>
        </w:rPr>
        <w:t>$</w:t>
      </w:r>
      <w:r>
        <w:rPr>
          <w:rFonts w:ascii="Arial MT"/>
          <w:sz w:val="16"/>
        </w:rPr>
        <w:tab/>
        <w:t>62</w:t>
      </w:r>
      <w:r>
        <w:rPr>
          <w:rFonts w:ascii="Arial MT"/>
          <w:spacing w:val="44"/>
          <w:sz w:val="16"/>
        </w:rPr>
        <w:t>  </w:t>
      </w:r>
      <w:r>
        <w:rPr>
          <w:rFonts w:ascii="Arial MT"/>
          <w:spacing w:val="-10"/>
          <w:sz w:val="16"/>
        </w:rPr>
        <w:t>$</w:t>
      </w:r>
      <w:r>
        <w:rPr>
          <w:rFonts w:ascii="Arial MT"/>
          <w:sz w:val="16"/>
        </w:rPr>
        <w:tab/>
        <w:t>50</w:t>
      </w:r>
      <w:r>
        <w:rPr>
          <w:rFonts w:ascii="Arial MT"/>
          <w:spacing w:val="44"/>
          <w:sz w:val="16"/>
        </w:rPr>
        <w:t>  </w:t>
      </w:r>
      <w:r>
        <w:rPr>
          <w:rFonts w:ascii="Arial MT"/>
          <w:spacing w:val="-10"/>
          <w:sz w:val="16"/>
        </w:rPr>
        <w:t>$</w:t>
      </w:r>
      <w:r>
        <w:rPr>
          <w:sz w:val="16"/>
        </w:rPr>
        <w:tab/>
      </w:r>
      <w:r>
        <w:rPr>
          <w:rFonts w:ascii="Arial MT"/>
          <w:spacing w:val="-5"/>
          <w:sz w:val="16"/>
        </w:rPr>
        <w:t>44</w:t>
      </w:r>
    </w:p>
    <w:p>
      <w:pPr>
        <w:pStyle w:val="BodyText"/>
        <w:spacing w:before="16"/>
        <w:rPr>
          <w:rFonts w:ascii="Arial MT"/>
        </w:rPr>
      </w:pPr>
      <w:r>
        <w:rPr>
          <w:rFonts w:ascii="Arial MT"/>
        </w:rPr>
        <mc:AlternateContent>
          <mc:Choice Requires="wps">
            <w:drawing>
              <wp:anchor distT="0" distB="0" distL="0" distR="0" allowOverlap="1" layoutInCell="1" locked="0" behindDoc="1" simplePos="0" relativeHeight="487744000">
                <wp:simplePos x="0" y="0"/>
                <wp:positionH relativeFrom="page">
                  <wp:posOffset>914400</wp:posOffset>
                </wp:positionH>
                <wp:positionV relativeFrom="paragraph">
                  <wp:posOffset>171469</wp:posOffset>
                </wp:positionV>
                <wp:extent cx="5943600" cy="1270"/>
                <wp:effectExtent l="0" t="0" r="0" b="0"/>
                <wp:wrapTopAndBottom/>
                <wp:docPr id="925" name="Graphic 925"/>
                <wp:cNvGraphicFramePr>
                  <a:graphicFrameLocks/>
                </wp:cNvGraphicFramePr>
                <a:graphic>
                  <a:graphicData uri="http://schemas.microsoft.com/office/word/2010/wordprocessingShape">
                    <wps:wsp>
                      <wps:cNvPr id="925" name="Graphic 925"/>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01562pt;width:468pt;height:.1pt;mso-position-horizontal-relative:page;mso-position-vertical-relative:paragraph;z-index:-15572480;mso-wrap-distance-left:0;mso-wrap-distance-right:0" id="docshape766" coordorigin="1440,270" coordsize="9360,0" path="m1440,270l10800,270e" filled="false" stroked="true" strokeweight="1pt" strokecolor="#000000">
                <v:path arrowok="t"/>
                <v:stroke dashstyle="solid"/>
                <w10:wrap type="topAndBottom"/>
              </v:shape>
            </w:pict>
          </mc:Fallback>
        </mc:AlternateContent>
      </w:r>
    </w:p>
    <w:p>
      <w:pPr>
        <w:pStyle w:val="BodyText"/>
        <w:spacing w:before="162"/>
        <w:ind w:left="720"/>
      </w:pPr>
      <w:r>
        <w:rPr/>
        <w:t>These</w:t>
      </w:r>
      <w:r>
        <w:rPr>
          <w:spacing w:val="-6"/>
        </w:rPr>
        <w:t> </w:t>
      </w:r>
      <w:r>
        <w:rPr/>
        <w:t>amounts</w:t>
      </w:r>
      <w:r>
        <w:rPr>
          <w:spacing w:val="-4"/>
        </w:rPr>
        <w:t> </w:t>
      </w:r>
      <w:r>
        <w:rPr/>
        <w:t>are</w:t>
      </w:r>
      <w:r>
        <w:rPr>
          <w:spacing w:val="-4"/>
        </w:rPr>
        <w:t> </w:t>
      </w:r>
      <w:r>
        <w:rPr/>
        <w:t>included</w:t>
      </w:r>
      <w:r>
        <w:rPr>
          <w:spacing w:val="-3"/>
        </w:rPr>
        <w:t> </w:t>
      </w:r>
      <w:r>
        <w:rPr/>
        <w:t>in</w:t>
      </w:r>
      <w:r>
        <w:rPr>
          <w:spacing w:val="-3"/>
        </w:rPr>
        <w:t> </w:t>
      </w:r>
      <w:r>
        <w:rPr/>
        <w:t>Revenue</w:t>
      </w:r>
      <w:r>
        <w:rPr>
          <w:spacing w:val="-4"/>
        </w:rPr>
        <w:t> </w:t>
      </w:r>
      <w:r>
        <w:rPr/>
        <w:t>from</w:t>
      </w:r>
      <w:r>
        <w:rPr>
          <w:spacing w:val="-3"/>
        </w:rPr>
        <w:t> </w:t>
      </w:r>
      <w:r>
        <w:rPr/>
        <w:t>externally</w:t>
      </w:r>
      <w:r>
        <w:rPr>
          <w:spacing w:val="-3"/>
        </w:rPr>
        <w:t> </w:t>
      </w:r>
      <w:r>
        <w:rPr/>
        <w:t>funded</w:t>
      </w:r>
      <w:r>
        <w:rPr>
          <w:spacing w:val="-3"/>
        </w:rPr>
        <w:t> </w:t>
      </w:r>
      <w:r>
        <w:rPr/>
        <w:t>activities</w:t>
      </w:r>
      <w:r>
        <w:rPr>
          <w:spacing w:val="-4"/>
        </w:rPr>
        <w:t> </w:t>
      </w:r>
      <w:r>
        <w:rPr/>
        <w:t>in</w:t>
      </w:r>
      <w:r>
        <w:rPr>
          <w:spacing w:val="-3"/>
        </w:rPr>
        <w:t> </w:t>
      </w:r>
      <w:r>
        <w:rPr/>
        <w:t>the</w:t>
      </w:r>
      <w:r>
        <w:rPr>
          <w:spacing w:val="-4"/>
        </w:rPr>
        <w:t> </w:t>
      </w:r>
      <w:r>
        <w:rPr/>
        <w:t>Statements</w:t>
      </w:r>
      <w:r>
        <w:rPr>
          <w:spacing w:val="-4"/>
        </w:rPr>
        <w:t> </w:t>
      </w:r>
      <w:r>
        <w:rPr/>
        <w:t>of</w:t>
      </w:r>
      <w:r>
        <w:rPr>
          <w:spacing w:val="-2"/>
        </w:rPr>
        <w:t> Income.</w:t>
      </w:r>
    </w:p>
    <w:p>
      <w:pPr>
        <w:pStyle w:val="BodyText"/>
        <w:spacing w:before="130"/>
        <w:ind w:left="720"/>
      </w:pPr>
      <w:r>
        <w:rPr/>
        <w:t>Revenue</w:t>
      </w:r>
      <w:r>
        <w:rPr>
          <w:spacing w:val="7"/>
        </w:rPr>
        <w:t> </w:t>
      </w:r>
      <w:r>
        <w:rPr/>
        <w:t>collected</w:t>
      </w:r>
      <w:r>
        <w:rPr>
          <w:spacing w:val="8"/>
        </w:rPr>
        <w:t> </w:t>
      </w:r>
      <w:r>
        <w:rPr/>
        <w:t>from</w:t>
      </w:r>
      <w:r>
        <w:rPr>
          <w:spacing w:val="8"/>
        </w:rPr>
        <w:t> </w:t>
      </w:r>
      <w:r>
        <w:rPr/>
        <w:t>donor</w:t>
      </w:r>
      <w:r>
        <w:rPr>
          <w:spacing w:val="8"/>
        </w:rPr>
        <w:t> </w:t>
      </w:r>
      <w:r>
        <w:rPr/>
        <w:t>contributions</w:t>
      </w:r>
      <w:r>
        <w:rPr>
          <w:spacing w:val="8"/>
        </w:rPr>
        <w:t> </w:t>
      </w:r>
      <w:r>
        <w:rPr/>
        <w:t>for</w:t>
      </w:r>
      <w:r>
        <w:rPr>
          <w:spacing w:val="7"/>
        </w:rPr>
        <w:t> </w:t>
      </w:r>
      <w:r>
        <w:rPr/>
        <w:t>trust</w:t>
      </w:r>
      <w:r>
        <w:rPr>
          <w:spacing w:val="8"/>
        </w:rPr>
        <w:t> </w:t>
      </w:r>
      <w:r>
        <w:rPr/>
        <w:t>fund</w:t>
      </w:r>
      <w:r>
        <w:rPr>
          <w:spacing w:val="8"/>
        </w:rPr>
        <w:t> </w:t>
      </w:r>
      <w:r>
        <w:rPr/>
        <w:t>administration</w:t>
      </w:r>
      <w:r>
        <w:rPr>
          <w:spacing w:val="8"/>
        </w:rPr>
        <w:t> </w:t>
      </w:r>
      <w:r>
        <w:rPr/>
        <w:t>fees,</w:t>
      </w:r>
      <w:r>
        <w:rPr>
          <w:spacing w:val="8"/>
        </w:rPr>
        <w:t> </w:t>
      </w:r>
      <w:r>
        <w:rPr/>
        <w:t>but</w:t>
      </w:r>
      <w:r>
        <w:rPr>
          <w:spacing w:val="7"/>
        </w:rPr>
        <w:t> </w:t>
      </w:r>
      <w:r>
        <w:rPr/>
        <w:t>not</w:t>
      </w:r>
      <w:r>
        <w:rPr>
          <w:spacing w:val="8"/>
        </w:rPr>
        <w:t> </w:t>
      </w:r>
      <w:r>
        <w:rPr/>
        <w:t>yet</w:t>
      </w:r>
      <w:r>
        <w:rPr>
          <w:spacing w:val="8"/>
        </w:rPr>
        <w:t> </w:t>
      </w:r>
      <w:r>
        <w:rPr/>
        <w:t>earned</w:t>
      </w:r>
      <w:r>
        <w:rPr>
          <w:spacing w:val="8"/>
        </w:rPr>
        <w:t> </w:t>
      </w:r>
      <w:r>
        <w:rPr/>
        <w:t>by</w:t>
      </w:r>
      <w:r>
        <w:rPr>
          <w:spacing w:val="8"/>
        </w:rPr>
        <w:t> </w:t>
      </w:r>
      <w:r>
        <w:rPr/>
        <w:t>IBRD</w:t>
      </w:r>
      <w:r>
        <w:rPr>
          <w:spacing w:val="8"/>
        </w:rPr>
        <w:t> </w:t>
      </w:r>
      <w:r>
        <w:rPr>
          <w:spacing w:val="-2"/>
        </w:rPr>
        <w:t>totaling</w:t>
      </w:r>
    </w:p>
    <w:p>
      <w:pPr>
        <w:pStyle w:val="BodyText"/>
        <w:spacing w:line="249" w:lineRule="auto" w:before="10"/>
        <w:ind w:left="720" w:right="719"/>
      </w:pPr>
      <w:r>
        <w:rPr/>
        <w:t>$94</w:t>
      </w:r>
      <w:r>
        <w:rPr>
          <w:spacing w:val="18"/>
        </w:rPr>
        <w:t> </w:t>
      </w:r>
      <w:r>
        <w:rPr/>
        <w:t>million</w:t>
      </w:r>
      <w:r>
        <w:rPr>
          <w:spacing w:val="18"/>
        </w:rPr>
        <w:t> </w:t>
      </w:r>
      <w:r>
        <w:rPr/>
        <w:t>as</w:t>
      </w:r>
      <w:r>
        <w:rPr>
          <w:spacing w:val="18"/>
        </w:rPr>
        <w:t> </w:t>
      </w:r>
      <w:r>
        <w:rPr/>
        <w:t>of</w:t>
      </w:r>
      <w:r>
        <w:rPr>
          <w:spacing w:val="18"/>
        </w:rPr>
        <w:t> </w:t>
      </w:r>
      <w:r>
        <w:rPr/>
        <w:t>June</w:t>
      </w:r>
      <w:r>
        <w:rPr>
          <w:spacing w:val="18"/>
        </w:rPr>
        <w:t> </w:t>
      </w:r>
      <w:r>
        <w:rPr/>
        <w:t>30,</w:t>
      </w:r>
      <w:r>
        <w:rPr>
          <w:spacing w:val="18"/>
        </w:rPr>
        <w:t> </w:t>
      </w:r>
      <w:r>
        <w:rPr/>
        <w:t>2023</w:t>
      </w:r>
      <w:r>
        <w:rPr>
          <w:spacing w:val="18"/>
        </w:rPr>
        <w:t> </w:t>
      </w:r>
      <w:r>
        <w:rPr/>
        <w:t>($88</w:t>
      </w:r>
      <w:r>
        <w:rPr>
          <w:spacing w:val="18"/>
        </w:rPr>
        <w:t> </w:t>
      </w:r>
      <w:r>
        <w:rPr/>
        <w:t>million—June</w:t>
      </w:r>
      <w:r>
        <w:rPr>
          <w:spacing w:val="18"/>
        </w:rPr>
        <w:t> </w:t>
      </w:r>
      <w:r>
        <w:rPr/>
        <w:t>30,</w:t>
      </w:r>
      <w:r>
        <w:rPr>
          <w:spacing w:val="18"/>
        </w:rPr>
        <w:t> </w:t>
      </w:r>
      <w:r>
        <w:rPr/>
        <w:t>2022)</w:t>
      </w:r>
      <w:r>
        <w:rPr>
          <w:spacing w:val="18"/>
        </w:rPr>
        <w:t> </w:t>
      </w:r>
      <w:r>
        <w:rPr/>
        <w:t>is</w:t>
      </w:r>
      <w:r>
        <w:rPr>
          <w:spacing w:val="18"/>
        </w:rPr>
        <w:t> </w:t>
      </w:r>
      <w:r>
        <w:rPr/>
        <w:t>included</w:t>
      </w:r>
      <w:r>
        <w:rPr>
          <w:spacing w:val="18"/>
        </w:rPr>
        <w:t> </w:t>
      </w:r>
      <w:r>
        <w:rPr/>
        <w:t>in</w:t>
      </w:r>
      <w:r>
        <w:rPr>
          <w:spacing w:val="18"/>
        </w:rPr>
        <w:t> </w:t>
      </w:r>
      <w:r>
        <w:rPr/>
        <w:t>Other</w:t>
      </w:r>
      <w:r>
        <w:rPr>
          <w:spacing w:val="18"/>
        </w:rPr>
        <w:t> </w:t>
      </w:r>
      <w:r>
        <w:rPr/>
        <w:t>assets</w:t>
      </w:r>
      <w:r>
        <w:rPr>
          <w:spacing w:val="18"/>
        </w:rPr>
        <w:t> </w:t>
      </w:r>
      <w:r>
        <w:rPr/>
        <w:t>-</w:t>
      </w:r>
      <w:r>
        <w:rPr>
          <w:spacing w:val="18"/>
        </w:rPr>
        <w:t> </w:t>
      </w:r>
      <w:r>
        <w:rPr/>
        <w:t>Miscellaneous</w:t>
      </w:r>
      <w:r>
        <w:rPr>
          <w:spacing w:val="18"/>
        </w:rPr>
        <w:t> </w:t>
      </w:r>
      <w:r>
        <w:rPr/>
        <w:t>and</w:t>
      </w:r>
      <w:r>
        <w:rPr>
          <w:spacing w:val="18"/>
        </w:rPr>
        <w:t> </w:t>
      </w:r>
      <w:r>
        <w:rPr/>
        <w:t>in Other liabilities – Accounts payable and miscellaneous liabilities, respectively on the Balance Sheets.</w:t>
      </w:r>
    </w:p>
    <w:p>
      <w:pPr>
        <w:pStyle w:val="Heading8"/>
      </w:pPr>
      <w:r>
        <w:rPr/>
        <w:t>Investment</w:t>
      </w:r>
      <w:r>
        <w:rPr>
          <w:spacing w:val="-6"/>
        </w:rPr>
        <w:t> </w:t>
      </w:r>
      <w:r>
        <w:rPr/>
        <w:t>Management</w:t>
      </w:r>
      <w:r>
        <w:rPr>
          <w:spacing w:val="-5"/>
        </w:rPr>
        <w:t> </w:t>
      </w:r>
      <w:r>
        <w:rPr>
          <w:spacing w:val="-2"/>
        </w:rPr>
        <w:t>Services</w:t>
      </w:r>
    </w:p>
    <w:p>
      <w:pPr>
        <w:pStyle w:val="BodyText"/>
        <w:spacing w:before="13"/>
        <w:ind w:left="720"/>
      </w:pPr>
      <w:r>
        <w:rPr/>
        <w:t>IBRD</w:t>
      </w:r>
      <w:r>
        <w:rPr>
          <w:spacing w:val="-7"/>
        </w:rPr>
        <w:t> </w:t>
      </w:r>
      <w:r>
        <w:rPr/>
        <w:t>offers</w:t>
      </w:r>
      <w:r>
        <w:rPr>
          <w:spacing w:val="-5"/>
        </w:rPr>
        <w:t> </w:t>
      </w:r>
      <w:r>
        <w:rPr/>
        <w:t>treasury</w:t>
      </w:r>
      <w:r>
        <w:rPr>
          <w:spacing w:val="-4"/>
        </w:rPr>
        <w:t> </w:t>
      </w:r>
      <w:r>
        <w:rPr/>
        <w:t>and</w:t>
      </w:r>
      <w:r>
        <w:rPr>
          <w:spacing w:val="-3"/>
        </w:rPr>
        <w:t> </w:t>
      </w:r>
      <w:r>
        <w:rPr/>
        <w:t>investment</w:t>
      </w:r>
      <w:r>
        <w:rPr>
          <w:spacing w:val="-5"/>
        </w:rPr>
        <w:t> </w:t>
      </w:r>
      <w:r>
        <w:rPr/>
        <w:t>management</w:t>
      </w:r>
      <w:r>
        <w:rPr>
          <w:spacing w:val="-5"/>
        </w:rPr>
        <w:t> </w:t>
      </w:r>
      <w:r>
        <w:rPr/>
        <w:t>services</w:t>
      </w:r>
      <w:r>
        <w:rPr>
          <w:spacing w:val="-4"/>
        </w:rPr>
        <w:t> </w:t>
      </w:r>
      <w:r>
        <w:rPr/>
        <w:t>to</w:t>
      </w:r>
      <w:r>
        <w:rPr>
          <w:spacing w:val="-4"/>
        </w:rPr>
        <w:t> </w:t>
      </w:r>
      <w:r>
        <w:rPr/>
        <w:t>affiliated</w:t>
      </w:r>
      <w:r>
        <w:rPr>
          <w:spacing w:val="-4"/>
        </w:rPr>
        <w:t> </w:t>
      </w:r>
      <w:r>
        <w:rPr/>
        <w:t>and</w:t>
      </w:r>
      <w:r>
        <w:rPr>
          <w:spacing w:val="-4"/>
        </w:rPr>
        <w:t> </w:t>
      </w:r>
      <w:r>
        <w:rPr/>
        <w:t>non-affiliated</w:t>
      </w:r>
      <w:r>
        <w:rPr>
          <w:spacing w:val="-3"/>
        </w:rPr>
        <w:t> </w:t>
      </w:r>
      <w:r>
        <w:rPr>
          <w:spacing w:val="-2"/>
        </w:rPr>
        <w:t>organizations.</w:t>
      </w:r>
    </w:p>
    <w:p>
      <w:pPr>
        <w:pStyle w:val="BodyText"/>
        <w:spacing w:line="249" w:lineRule="auto" w:before="130"/>
        <w:ind w:left="720" w:right="718"/>
        <w:jc w:val="both"/>
      </w:pPr>
      <w:r>
        <w:rPr/>
        <w:t>In addition, IBRD offers asset management and technical advisory services to central banks of member countries, under the Reserves Advisory and Management Program, for capacity building and other development purposes, and receives a fee for these services.</w:t>
      </w:r>
    </w:p>
    <w:p>
      <w:pPr>
        <w:pStyle w:val="BodyText"/>
        <w:spacing w:line="249" w:lineRule="auto" w:before="123"/>
        <w:ind w:left="720" w:right="718"/>
        <w:jc w:val="both"/>
      </w:pPr>
      <w:r>
        <w:rPr/>
        <w:t>During the fiscal year ended June 30, 2023, IBRD's fee revenue from investment management activities totaled $16 million ($18 million –June 30, 2022 and $19 million – June 30, 2021) and is included in Revenue from externally funded activities in the Statements of Income.</w:t>
      </w:r>
    </w:p>
    <w:p>
      <w:pPr>
        <w:pStyle w:val="BodyText"/>
        <w:spacing w:before="134"/>
      </w:pPr>
    </w:p>
    <w:p>
      <w:pPr>
        <w:pStyle w:val="Heading3"/>
      </w:pPr>
      <w:bookmarkStart w:name="NOTE J—PENSION AND OTHER POSTRETIREMENT " w:id="215"/>
      <w:bookmarkEnd w:id="215"/>
      <w:r>
        <w:rPr>
          <w:b w:val="0"/>
        </w:rPr>
      </w:r>
      <w:r>
        <w:rPr/>
        <w:t>NOTE</w:t>
      </w:r>
      <w:r>
        <w:rPr>
          <w:spacing w:val="-5"/>
        </w:rPr>
        <w:t> </w:t>
      </w:r>
      <w:r>
        <w:rPr/>
        <w:t>J—PENSION</w:t>
      </w:r>
      <w:r>
        <w:rPr>
          <w:spacing w:val="-3"/>
        </w:rPr>
        <w:t> </w:t>
      </w:r>
      <w:r>
        <w:rPr/>
        <w:t>AND</w:t>
      </w:r>
      <w:r>
        <w:rPr>
          <w:spacing w:val="-2"/>
        </w:rPr>
        <w:t> </w:t>
      </w:r>
      <w:r>
        <w:rPr/>
        <w:t>OTHER</w:t>
      </w:r>
      <w:r>
        <w:rPr>
          <w:spacing w:val="-3"/>
        </w:rPr>
        <w:t> </w:t>
      </w:r>
      <w:r>
        <w:rPr/>
        <w:t>POSTRETIREMENT</w:t>
      </w:r>
      <w:r>
        <w:rPr>
          <w:spacing w:val="-3"/>
        </w:rPr>
        <w:t> </w:t>
      </w:r>
      <w:r>
        <w:rPr>
          <w:spacing w:val="-2"/>
        </w:rPr>
        <w:t>BENEFITS</w:t>
      </w:r>
    </w:p>
    <w:p>
      <w:pPr>
        <w:pStyle w:val="BodyText"/>
        <w:spacing w:line="249" w:lineRule="auto" w:before="129"/>
        <w:ind w:left="720" w:right="719"/>
        <w:jc w:val="both"/>
      </w:pPr>
      <w:r>
        <w:rPr/>
        <w:t>IBRD, IFC and MIGA participate in the defined benefit Staff Retirement Plan (SRP), a Retired Staff Benefits Plan (RSBP) and PEBP (collectively "the Pension Plans") that cover substantially all of their staff members.</w:t>
      </w:r>
    </w:p>
    <w:p>
      <w:pPr>
        <w:pStyle w:val="BodyText"/>
        <w:spacing w:line="249" w:lineRule="auto" w:before="122"/>
        <w:ind w:left="720" w:right="718"/>
        <w:jc w:val="both"/>
      </w:pPr>
      <w:r>
        <w:rPr/>
        <w:t>The SRP provides pension benefits and includes a cash balance plan. The RSBP provides certain health and life insurance benefits to eligible retirees. The PEBP provides certain pension benefits administered outside the SRP.</w:t>
      </w:r>
    </w:p>
    <w:p>
      <w:pPr>
        <w:pStyle w:val="BodyText"/>
        <w:spacing w:before="122"/>
        <w:ind w:left="720"/>
      </w:pPr>
      <w:r>
        <w:rPr/>
        <w:t>IBRD</w:t>
      </w:r>
      <w:r>
        <w:rPr>
          <w:spacing w:val="-6"/>
        </w:rPr>
        <w:t> </w:t>
      </w:r>
      <w:r>
        <w:rPr/>
        <w:t>uses</w:t>
      </w:r>
      <w:r>
        <w:rPr>
          <w:spacing w:val="-3"/>
        </w:rPr>
        <w:t> </w:t>
      </w:r>
      <w:r>
        <w:rPr/>
        <w:t>a</w:t>
      </w:r>
      <w:r>
        <w:rPr>
          <w:spacing w:val="-4"/>
        </w:rPr>
        <w:t> </w:t>
      </w:r>
      <w:r>
        <w:rPr/>
        <w:t>June</w:t>
      </w:r>
      <w:r>
        <w:rPr>
          <w:spacing w:val="-3"/>
        </w:rPr>
        <w:t> </w:t>
      </w:r>
      <w:r>
        <w:rPr/>
        <w:t>30</w:t>
      </w:r>
      <w:r>
        <w:rPr>
          <w:vertAlign w:val="superscript"/>
        </w:rPr>
        <w:t>th</w:t>
      </w:r>
      <w:r>
        <w:rPr>
          <w:spacing w:val="-3"/>
          <w:vertAlign w:val="baseline"/>
        </w:rPr>
        <w:t> </w:t>
      </w:r>
      <w:r>
        <w:rPr>
          <w:vertAlign w:val="baseline"/>
        </w:rPr>
        <w:t>measurement</w:t>
      </w:r>
      <w:r>
        <w:rPr>
          <w:spacing w:val="-4"/>
          <w:vertAlign w:val="baseline"/>
        </w:rPr>
        <w:t> </w:t>
      </w:r>
      <w:r>
        <w:rPr>
          <w:vertAlign w:val="baseline"/>
        </w:rPr>
        <w:t>date</w:t>
      </w:r>
      <w:r>
        <w:rPr>
          <w:spacing w:val="-3"/>
          <w:vertAlign w:val="baseline"/>
        </w:rPr>
        <w:t> </w:t>
      </w:r>
      <w:r>
        <w:rPr>
          <w:vertAlign w:val="baseline"/>
        </w:rPr>
        <w:t>for</w:t>
      </w:r>
      <w:r>
        <w:rPr>
          <w:spacing w:val="-2"/>
          <w:vertAlign w:val="baseline"/>
        </w:rPr>
        <w:t> </w:t>
      </w:r>
      <w:r>
        <w:rPr>
          <w:vertAlign w:val="baseline"/>
        </w:rPr>
        <w:t>its</w:t>
      </w:r>
      <w:r>
        <w:rPr>
          <w:spacing w:val="-4"/>
          <w:vertAlign w:val="baseline"/>
        </w:rPr>
        <w:t> </w:t>
      </w:r>
      <w:r>
        <w:rPr>
          <w:vertAlign w:val="baseline"/>
        </w:rPr>
        <w:t>pension</w:t>
      </w:r>
      <w:r>
        <w:rPr>
          <w:spacing w:val="-2"/>
          <w:vertAlign w:val="baseline"/>
        </w:rPr>
        <w:t> </w:t>
      </w:r>
      <w:r>
        <w:rPr>
          <w:vertAlign w:val="baseline"/>
        </w:rPr>
        <w:t>and</w:t>
      </w:r>
      <w:r>
        <w:rPr>
          <w:spacing w:val="-2"/>
          <w:vertAlign w:val="baseline"/>
        </w:rPr>
        <w:t> </w:t>
      </w:r>
      <w:r>
        <w:rPr>
          <w:vertAlign w:val="baseline"/>
        </w:rPr>
        <w:t>other</w:t>
      </w:r>
      <w:r>
        <w:rPr>
          <w:spacing w:val="-3"/>
          <w:vertAlign w:val="baseline"/>
        </w:rPr>
        <w:t> </w:t>
      </w:r>
      <w:r>
        <w:rPr>
          <w:vertAlign w:val="baseline"/>
        </w:rPr>
        <w:t>postretirement</w:t>
      </w:r>
      <w:r>
        <w:rPr>
          <w:spacing w:val="-3"/>
          <w:vertAlign w:val="baseline"/>
        </w:rPr>
        <w:t> </w:t>
      </w:r>
      <w:r>
        <w:rPr>
          <w:vertAlign w:val="baseline"/>
        </w:rPr>
        <w:t>benefit</w:t>
      </w:r>
      <w:r>
        <w:rPr>
          <w:spacing w:val="-3"/>
          <w:vertAlign w:val="baseline"/>
        </w:rPr>
        <w:t> </w:t>
      </w:r>
      <w:r>
        <w:rPr>
          <w:spacing w:val="-2"/>
          <w:vertAlign w:val="baseline"/>
        </w:rPr>
        <w:t>plans.</w:t>
      </w:r>
    </w:p>
    <w:p>
      <w:pPr>
        <w:pStyle w:val="BodyText"/>
        <w:spacing w:line="249" w:lineRule="auto" w:before="130"/>
        <w:ind w:left="720" w:right="721"/>
        <w:jc w:val="both"/>
      </w:pPr>
      <w:r>
        <w:rPr/>
        <w:t>All costs, assets and liabilities associated with these plans are allocated between IBRD, IFC, and MIGA based upon their</w:t>
      </w:r>
      <w:r>
        <w:rPr>
          <w:spacing w:val="24"/>
        </w:rPr>
        <w:t> </w:t>
      </w:r>
      <w:r>
        <w:rPr/>
        <w:t>employees’</w:t>
      </w:r>
      <w:r>
        <w:rPr>
          <w:spacing w:val="24"/>
        </w:rPr>
        <w:t> </w:t>
      </w:r>
      <w:r>
        <w:rPr/>
        <w:t>respective</w:t>
      </w:r>
      <w:r>
        <w:rPr>
          <w:spacing w:val="24"/>
        </w:rPr>
        <w:t> </w:t>
      </w:r>
      <w:r>
        <w:rPr/>
        <w:t>participation</w:t>
      </w:r>
      <w:r>
        <w:rPr>
          <w:spacing w:val="24"/>
        </w:rPr>
        <w:t> </w:t>
      </w:r>
      <w:r>
        <w:rPr/>
        <w:t>in</w:t>
      </w:r>
      <w:r>
        <w:rPr>
          <w:spacing w:val="24"/>
        </w:rPr>
        <w:t> </w:t>
      </w:r>
      <w:r>
        <w:rPr/>
        <w:t>the</w:t>
      </w:r>
      <w:r>
        <w:rPr>
          <w:spacing w:val="24"/>
        </w:rPr>
        <w:t> </w:t>
      </w:r>
      <w:r>
        <w:rPr/>
        <w:t>Pension</w:t>
      </w:r>
      <w:r>
        <w:rPr>
          <w:spacing w:val="24"/>
        </w:rPr>
        <w:t> </w:t>
      </w:r>
      <w:r>
        <w:rPr/>
        <w:t>Plans.</w:t>
      </w:r>
      <w:r>
        <w:rPr>
          <w:spacing w:val="24"/>
        </w:rPr>
        <w:t> </w:t>
      </w:r>
      <w:r>
        <w:rPr/>
        <w:t>Costs</w:t>
      </w:r>
      <w:r>
        <w:rPr>
          <w:spacing w:val="24"/>
        </w:rPr>
        <w:t> </w:t>
      </w:r>
      <w:r>
        <w:rPr/>
        <w:t>allocated</w:t>
      </w:r>
      <w:r>
        <w:rPr>
          <w:spacing w:val="24"/>
        </w:rPr>
        <w:t> </w:t>
      </w:r>
      <w:r>
        <w:rPr/>
        <w:t>to</w:t>
      </w:r>
      <w:r>
        <w:rPr>
          <w:spacing w:val="24"/>
        </w:rPr>
        <w:t> </w:t>
      </w:r>
      <w:r>
        <w:rPr/>
        <w:t>IBRD</w:t>
      </w:r>
      <w:r>
        <w:rPr>
          <w:spacing w:val="24"/>
        </w:rPr>
        <w:t> </w:t>
      </w:r>
      <w:r>
        <w:rPr/>
        <w:t>are</w:t>
      </w:r>
      <w:r>
        <w:rPr>
          <w:spacing w:val="24"/>
        </w:rPr>
        <w:t> </w:t>
      </w:r>
      <w:r>
        <w:rPr/>
        <w:t>then</w:t>
      </w:r>
      <w:r>
        <w:rPr>
          <w:spacing w:val="24"/>
        </w:rPr>
        <w:t> </w:t>
      </w:r>
      <w:r>
        <w:rPr/>
        <w:t>shared</w:t>
      </w:r>
      <w:r>
        <w:rPr>
          <w:spacing w:val="24"/>
        </w:rPr>
        <w:t> </w:t>
      </w:r>
      <w:r>
        <w:rPr/>
        <w:t>between</w:t>
      </w:r>
    </w:p>
    <w:p>
      <w:pPr>
        <w:pStyle w:val="BodyText"/>
        <w:spacing w:after="0" w:line="249" w:lineRule="auto"/>
        <w:jc w:val="both"/>
        <w:sectPr>
          <w:headerReference w:type="default" r:id="rId188"/>
          <w:pgSz w:w="12240" w:h="15840"/>
          <w:pgMar w:header="0" w:footer="0" w:top="960" w:bottom="720" w:left="720" w:right="720"/>
        </w:sectPr>
      </w:pPr>
    </w:p>
    <w:p>
      <w:pPr>
        <w:pStyle w:val="BodyText"/>
        <w:spacing w:line="249" w:lineRule="auto" w:before="72"/>
        <w:ind w:left="720" w:right="718"/>
        <w:jc w:val="both"/>
      </w:pPr>
      <w:r>
        <w:rPr/>
        <w:t>IBRD and IDA based on an agreed cost-sharing methodology. IDA, IFC and MIGA reimburse IBRD for their proportionate share of any contributions made to these plans by IBRD. Contributions to the Pension Plans are calculated as a percentage of salary.</w:t>
      </w:r>
    </w:p>
    <w:p>
      <w:pPr>
        <w:pStyle w:val="BodyText"/>
        <w:spacing w:before="122"/>
        <w:ind w:left="720"/>
        <w:jc w:val="both"/>
      </w:pPr>
      <w:r>
        <w:rPr/>
        <w:t>The</w:t>
      </w:r>
      <w:r>
        <w:rPr>
          <w:spacing w:val="-6"/>
        </w:rPr>
        <w:t> </w:t>
      </w:r>
      <w:r>
        <w:rPr/>
        <w:t>following</w:t>
      </w:r>
      <w:r>
        <w:rPr>
          <w:spacing w:val="-3"/>
        </w:rPr>
        <w:t> </w:t>
      </w:r>
      <w:r>
        <w:rPr/>
        <w:t>table</w:t>
      </w:r>
      <w:r>
        <w:rPr>
          <w:spacing w:val="-4"/>
        </w:rPr>
        <w:t> </w:t>
      </w:r>
      <w:r>
        <w:rPr/>
        <w:t>summarizes</w:t>
      </w:r>
      <w:r>
        <w:rPr>
          <w:spacing w:val="-4"/>
        </w:rPr>
        <w:t> </w:t>
      </w:r>
      <w:r>
        <w:rPr/>
        <w:t>the</w:t>
      </w:r>
      <w:r>
        <w:rPr>
          <w:spacing w:val="-4"/>
        </w:rPr>
        <w:t> </w:t>
      </w:r>
      <w:r>
        <w:rPr/>
        <w:t>benefit</w:t>
      </w:r>
      <w:r>
        <w:rPr>
          <w:spacing w:val="-3"/>
        </w:rPr>
        <w:t> </w:t>
      </w:r>
      <w:r>
        <w:rPr/>
        <w:t>costs</w:t>
      </w:r>
      <w:r>
        <w:rPr>
          <w:spacing w:val="-4"/>
        </w:rPr>
        <w:t> </w:t>
      </w:r>
      <w:r>
        <w:rPr/>
        <w:t>associated</w:t>
      </w:r>
      <w:r>
        <w:rPr>
          <w:spacing w:val="-3"/>
        </w:rPr>
        <w:t> </w:t>
      </w:r>
      <w:r>
        <w:rPr/>
        <w:t>with</w:t>
      </w:r>
      <w:r>
        <w:rPr>
          <w:spacing w:val="-3"/>
        </w:rPr>
        <w:t> </w:t>
      </w:r>
      <w:r>
        <w:rPr/>
        <w:t>the</w:t>
      </w:r>
      <w:r>
        <w:rPr>
          <w:spacing w:val="-4"/>
        </w:rPr>
        <w:t> </w:t>
      </w:r>
      <w:r>
        <w:rPr/>
        <w:t>SRP,</w:t>
      </w:r>
      <w:r>
        <w:rPr>
          <w:spacing w:val="-2"/>
        </w:rPr>
        <w:t> </w:t>
      </w:r>
      <w:r>
        <w:rPr/>
        <w:t>RSBP,</w:t>
      </w:r>
      <w:r>
        <w:rPr>
          <w:spacing w:val="-3"/>
        </w:rPr>
        <w:t> </w:t>
      </w:r>
      <w:r>
        <w:rPr/>
        <w:t>and</w:t>
      </w:r>
      <w:r>
        <w:rPr>
          <w:spacing w:val="-3"/>
        </w:rPr>
        <w:t> </w:t>
      </w:r>
      <w:r>
        <w:rPr/>
        <w:t>PEBP</w:t>
      </w:r>
      <w:r>
        <w:rPr>
          <w:spacing w:val="-4"/>
        </w:rPr>
        <w:t> </w:t>
      </w:r>
      <w:r>
        <w:rPr/>
        <w:t>for</w:t>
      </w:r>
      <w:r>
        <w:rPr>
          <w:spacing w:val="-3"/>
        </w:rPr>
        <w:t> </w:t>
      </w:r>
      <w:r>
        <w:rPr/>
        <w:t>IBRD</w:t>
      </w:r>
      <w:r>
        <w:rPr>
          <w:spacing w:val="-4"/>
        </w:rPr>
        <w:t> </w:t>
      </w:r>
      <w:r>
        <w:rPr/>
        <w:t>and</w:t>
      </w:r>
      <w:r>
        <w:rPr>
          <w:spacing w:val="-2"/>
        </w:rPr>
        <w:t> </w:t>
      </w:r>
      <w:r>
        <w:rPr>
          <w:spacing w:val="-4"/>
        </w:rPr>
        <w:t>IDA:</w:t>
      </w:r>
    </w:p>
    <w:p>
      <w:pPr>
        <w:pStyle w:val="Heading8"/>
        <w:spacing w:before="127"/>
        <w:jc w:val="both"/>
      </w:pPr>
      <w:r>
        <w:rPr/>
        <w:t>Table</w:t>
      </w:r>
      <w:r>
        <w:rPr>
          <w:spacing w:val="-4"/>
        </w:rPr>
        <w:t> </w:t>
      </w:r>
      <w:r>
        <w:rPr/>
        <w:t>J1:</w:t>
      </w:r>
      <w:r>
        <w:rPr>
          <w:spacing w:val="-4"/>
        </w:rPr>
        <w:t> </w:t>
      </w:r>
      <w:r>
        <w:rPr/>
        <w:t>Pension</w:t>
      </w:r>
      <w:r>
        <w:rPr>
          <w:spacing w:val="-3"/>
        </w:rPr>
        <w:t> </w:t>
      </w:r>
      <w:r>
        <w:rPr/>
        <w:t>Plan</w:t>
      </w:r>
      <w:r>
        <w:rPr>
          <w:spacing w:val="-4"/>
        </w:rPr>
        <w:t> </w:t>
      </w:r>
      <w:r>
        <w:rPr/>
        <w:t>benefit</w:t>
      </w:r>
      <w:r>
        <w:rPr>
          <w:spacing w:val="-3"/>
        </w:rPr>
        <w:t> </w:t>
      </w:r>
      <w:r>
        <w:rPr>
          <w:spacing w:val="-4"/>
        </w:rPr>
        <w:t>costs</w:t>
      </w:r>
    </w:p>
    <w:p>
      <w:pPr>
        <w:spacing w:before="88" w:after="30"/>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60"/>
        <w:gridCol w:w="829"/>
        <w:gridCol w:w="810"/>
        <w:gridCol w:w="840"/>
        <w:gridCol w:w="840"/>
        <w:gridCol w:w="810"/>
        <w:gridCol w:w="840"/>
        <w:gridCol w:w="813"/>
        <w:gridCol w:w="810"/>
        <w:gridCol w:w="818"/>
      </w:tblGrid>
      <w:tr>
        <w:trPr>
          <w:trHeight w:val="220" w:hRule="atLeast"/>
        </w:trPr>
        <w:tc>
          <w:tcPr>
            <w:tcW w:w="1860" w:type="dxa"/>
            <w:vMerge w:val="restart"/>
            <w:tcBorders>
              <w:top w:val="single" w:sz="8" w:space="0" w:color="000000"/>
            </w:tcBorders>
          </w:tcPr>
          <w:p>
            <w:pPr>
              <w:pStyle w:val="TableParagraph"/>
              <w:rPr>
                <w:rFonts w:ascii="Times New Roman"/>
                <w:sz w:val="18"/>
              </w:rPr>
            </w:pPr>
          </w:p>
        </w:tc>
        <w:tc>
          <w:tcPr>
            <w:tcW w:w="829" w:type="dxa"/>
            <w:tcBorders>
              <w:top w:val="single" w:sz="8" w:space="0" w:color="000000"/>
              <w:bottom w:val="single" w:sz="8" w:space="0" w:color="000000"/>
            </w:tcBorders>
          </w:tcPr>
          <w:p>
            <w:pPr>
              <w:pStyle w:val="TableParagraph"/>
              <w:rPr>
                <w:rFonts w:ascii="Times New Roman"/>
                <w:sz w:val="14"/>
              </w:rPr>
            </w:pPr>
          </w:p>
        </w:tc>
        <w:tc>
          <w:tcPr>
            <w:tcW w:w="810" w:type="dxa"/>
            <w:tcBorders>
              <w:top w:val="single" w:sz="8" w:space="0" w:color="000000"/>
              <w:bottom w:val="single" w:sz="8" w:space="0" w:color="000000"/>
            </w:tcBorders>
          </w:tcPr>
          <w:p>
            <w:pPr>
              <w:pStyle w:val="TableParagraph"/>
              <w:spacing w:line="183" w:lineRule="exact" w:before="16"/>
              <w:ind w:left="221"/>
              <w:rPr>
                <w:rFonts w:ascii="Arial"/>
                <w:i/>
                <w:sz w:val="16"/>
              </w:rPr>
            </w:pPr>
            <w:r>
              <w:rPr>
                <w:rFonts w:ascii="Arial"/>
                <w:i/>
                <w:spacing w:val="-5"/>
                <w:sz w:val="16"/>
              </w:rPr>
              <w:t>SRP</w:t>
            </w:r>
          </w:p>
        </w:tc>
        <w:tc>
          <w:tcPr>
            <w:tcW w:w="840" w:type="dxa"/>
            <w:tcBorders>
              <w:top w:val="single" w:sz="8" w:space="0" w:color="000000"/>
              <w:bottom w:val="single" w:sz="8" w:space="0" w:color="000000"/>
            </w:tcBorders>
          </w:tcPr>
          <w:p>
            <w:pPr>
              <w:pStyle w:val="TableParagraph"/>
              <w:rPr>
                <w:rFonts w:ascii="Times New Roman"/>
                <w:sz w:val="14"/>
              </w:rPr>
            </w:pPr>
          </w:p>
        </w:tc>
        <w:tc>
          <w:tcPr>
            <w:tcW w:w="840" w:type="dxa"/>
            <w:tcBorders>
              <w:top w:val="single" w:sz="8" w:space="0" w:color="000000"/>
              <w:bottom w:val="single" w:sz="8" w:space="0" w:color="000000"/>
            </w:tcBorders>
          </w:tcPr>
          <w:p>
            <w:pPr>
              <w:pStyle w:val="TableParagraph"/>
              <w:rPr>
                <w:rFonts w:ascii="Times New Roman"/>
                <w:sz w:val="14"/>
              </w:rPr>
            </w:pPr>
          </w:p>
        </w:tc>
        <w:tc>
          <w:tcPr>
            <w:tcW w:w="810" w:type="dxa"/>
            <w:tcBorders>
              <w:top w:val="single" w:sz="8" w:space="0" w:color="000000"/>
              <w:bottom w:val="single" w:sz="8" w:space="0" w:color="000000"/>
            </w:tcBorders>
          </w:tcPr>
          <w:p>
            <w:pPr>
              <w:pStyle w:val="TableParagraph"/>
              <w:spacing w:line="183" w:lineRule="exact" w:before="16"/>
              <w:ind w:left="168"/>
              <w:rPr>
                <w:rFonts w:ascii="Arial"/>
                <w:i/>
                <w:sz w:val="16"/>
              </w:rPr>
            </w:pPr>
            <w:r>
              <w:rPr>
                <w:rFonts w:ascii="Arial"/>
                <w:i/>
                <w:spacing w:val="-4"/>
                <w:sz w:val="16"/>
              </w:rPr>
              <w:t>RSBP</w:t>
            </w:r>
          </w:p>
        </w:tc>
        <w:tc>
          <w:tcPr>
            <w:tcW w:w="840" w:type="dxa"/>
            <w:tcBorders>
              <w:top w:val="single" w:sz="8" w:space="0" w:color="000000"/>
              <w:bottom w:val="single" w:sz="8" w:space="0" w:color="000000"/>
            </w:tcBorders>
          </w:tcPr>
          <w:p>
            <w:pPr>
              <w:pStyle w:val="TableParagraph"/>
              <w:rPr>
                <w:rFonts w:ascii="Times New Roman"/>
                <w:sz w:val="14"/>
              </w:rPr>
            </w:pPr>
          </w:p>
        </w:tc>
        <w:tc>
          <w:tcPr>
            <w:tcW w:w="813" w:type="dxa"/>
            <w:tcBorders>
              <w:top w:val="single" w:sz="8" w:space="0" w:color="000000"/>
              <w:bottom w:val="single" w:sz="8" w:space="0" w:color="000000"/>
            </w:tcBorders>
          </w:tcPr>
          <w:p>
            <w:pPr>
              <w:pStyle w:val="TableParagraph"/>
              <w:rPr>
                <w:rFonts w:ascii="Times New Roman"/>
                <w:sz w:val="14"/>
              </w:rPr>
            </w:pPr>
          </w:p>
        </w:tc>
        <w:tc>
          <w:tcPr>
            <w:tcW w:w="810" w:type="dxa"/>
            <w:tcBorders>
              <w:top w:val="single" w:sz="8" w:space="0" w:color="000000"/>
              <w:bottom w:val="single" w:sz="8" w:space="0" w:color="000000"/>
            </w:tcBorders>
          </w:tcPr>
          <w:p>
            <w:pPr>
              <w:pStyle w:val="TableParagraph"/>
              <w:spacing w:line="183" w:lineRule="exact" w:before="16"/>
              <w:ind w:left="199"/>
              <w:rPr>
                <w:rFonts w:ascii="Arial"/>
                <w:i/>
                <w:sz w:val="16"/>
              </w:rPr>
            </w:pPr>
            <w:r>
              <w:rPr>
                <w:rFonts w:ascii="Arial"/>
                <w:i/>
                <w:spacing w:val="-4"/>
                <w:sz w:val="16"/>
              </w:rPr>
              <w:t>PEBP</w:t>
            </w:r>
          </w:p>
        </w:tc>
        <w:tc>
          <w:tcPr>
            <w:tcW w:w="818" w:type="dxa"/>
            <w:tcBorders>
              <w:top w:val="single" w:sz="8" w:space="0" w:color="000000"/>
              <w:bottom w:val="single" w:sz="8" w:space="0" w:color="000000"/>
            </w:tcBorders>
          </w:tcPr>
          <w:p>
            <w:pPr>
              <w:pStyle w:val="TableParagraph"/>
              <w:rPr>
                <w:rFonts w:ascii="Times New Roman"/>
                <w:sz w:val="14"/>
              </w:rPr>
            </w:pPr>
          </w:p>
        </w:tc>
      </w:tr>
      <w:tr>
        <w:trPr>
          <w:trHeight w:val="220" w:hRule="atLeast"/>
        </w:trPr>
        <w:tc>
          <w:tcPr>
            <w:tcW w:w="1860" w:type="dxa"/>
            <w:vMerge/>
            <w:tcBorders>
              <w:top w:val="nil"/>
            </w:tcBorders>
          </w:tcPr>
          <w:p>
            <w:pPr>
              <w:rPr>
                <w:sz w:val="2"/>
                <w:szCs w:val="2"/>
              </w:rPr>
            </w:pPr>
          </w:p>
        </w:tc>
        <w:tc>
          <w:tcPr>
            <w:tcW w:w="829" w:type="dxa"/>
            <w:tcBorders>
              <w:top w:val="single" w:sz="8" w:space="0" w:color="000000"/>
              <w:bottom w:val="single" w:sz="8" w:space="0" w:color="000000"/>
            </w:tcBorders>
          </w:tcPr>
          <w:p>
            <w:pPr>
              <w:pStyle w:val="TableParagraph"/>
              <w:spacing w:line="183" w:lineRule="exact" w:before="16"/>
              <w:ind w:left="227"/>
              <w:rPr>
                <w:rFonts w:ascii="Arial"/>
                <w:i/>
                <w:sz w:val="16"/>
              </w:rPr>
            </w:pPr>
            <w:r>
              <w:rPr>
                <w:rFonts w:ascii="Arial"/>
                <w:i/>
                <w:spacing w:val="-4"/>
                <w:sz w:val="16"/>
              </w:rPr>
              <w:t>2023</w:t>
            </w:r>
          </w:p>
        </w:tc>
        <w:tc>
          <w:tcPr>
            <w:tcW w:w="810" w:type="dxa"/>
            <w:tcBorders>
              <w:top w:val="single" w:sz="8" w:space="0" w:color="000000"/>
              <w:bottom w:val="single" w:sz="8" w:space="0" w:color="000000"/>
            </w:tcBorders>
          </w:tcPr>
          <w:p>
            <w:pPr>
              <w:pStyle w:val="TableParagraph"/>
              <w:spacing w:line="183" w:lineRule="exact" w:before="16"/>
              <w:ind w:left="208"/>
              <w:rPr>
                <w:rFonts w:ascii="Arial"/>
                <w:i/>
                <w:sz w:val="16"/>
              </w:rPr>
            </w:pPr>
            <w:r>
              <w:rPr>
                <w:rFonts w:ascii="Arial"/>
                <w:i/>
                <w:spacing w:val="-4"/>
                <w:sz w:val="16"/>
              </w:rPr>
              <w:t>2022</w:t>
            </w:r>
          </w:p>
        </w:tc>
        <w:tc>
          <w:tcPr>
            <w:tcW w:w="840" w:type="dxa"/>
            <w:tcBorders>
              <w:top w:val="single" w:sz="8" w:space="0" w:color="000000"/>
              <w:bottom w:val="single" w:sz="8" w:space="0" w:color="000000"/>
            </w:tcBorders>
          </w:tcPr>
          <w:p>
            <w:pPr>
              <w:pStyle w:val="TableParagraph"/>
              <w:spacing w:line="183" w:lineRule="exact" w:before="16"/>
              <w:ind w:left="208"/>
              <w:rPr>
                <w:rFonts w:ascii="Arial"/>
                <w:i/>
                <w:sz w:val="16"/>
              </w:rPr>
            </w:pPr>
            <w:r>
              <w:rPr>
                <w:rFonts w:ascii="Arial"/>
                <w:i/>
                <w:spacing w:val="-4"/>
                <w:sz w:val="16"/>
              </w:rPr>
              <w:t>2021</w:t>
            </w:r>
          </w:p>
        </w:tc>
        <w:tc>
          <w:tcPr>
            <w:tcW w:w="840" w:type="dxa"/>
            <w:tcBorders>
              <w:top w:val="single" w:sz="8" w:space="0" w:color="000000"/>
              <w:bottom w:val="single" w:sz="8" w:space="0" w:color="000000"/>
            </w:tcBorders>
          </w:tcPr>
          <w:p>
            <w:pPr>
              <w:pStyle w:val="TableParagraph"/>
              <w:spacing w:line="183" w:lineRule="exact" w:before="16"/>
              <w:ind w:left="238"/>
              <w:rPr>
                <w:rFonts w:ascii="Arial"/>
                <w:i/>
                <w:sz w:val="16"/>
              </w:rPr>
            </w:pPr>
            <w:r>
              <w:rPr>
                <w:rFonts w:ascii="Arial"/>
                <w:i/>
                <w:spacing w:val="-4"/>
                <w:sz w:val="16"/>
              </w:rPr>
              <w:t>2023</w:t>
            </w:r>
          </w:p>
        </w:tc>
        <w:tc>
          <w:tcPr>
            <w:tcW w:w="810" w:type="dxa"/>
            <w:tcBorders>
              <w:top w:val="single" w:sz="8" w:space="0" w:color="000000"/>
              <w:bottom w:val="single" w:sz="8" w:space="0" w:color="000000"/>
            </w:tcBorders>
          </w:tcPr>
          <w:p>
            <w:pPr>
              <w:pStyle w:val="TableParagraph"/>
              <w:spacing w:line="183" w:lineRule="exact" w:before="16"/>
              <w:ind w:left="208"/>
              <w:rPr>
                <w:rFonts w:ascii="Arial"/>
                <w:i/>
                <w:sz w:val="16"/>
              </w:rPr>
            </w:pPr>
            <w:r>
              <w:rPr>
                <w:rFonts w:ascii="Arial"/>
                <w:i/>
                <w:spacing w:val="-4"/>
                <w:sz w:val="16"/>
              </w:rPr>
              <w:t>2022</w:t>
            </w:r>
          </w:p>
        </w:tc>
        <w:tc>
          <w:tcPr>
            <w:tcW w:w="840" w:type="dxa"/>
            <w:tcBorders>
              <w:top w:val="single" w:sz="8" w:space="0" w:color="000000"/>
              <w:bottom w:val="single" w:sz="8" w:space="0" w:color="000000"/>
            </w:tcBorders>
          </w:tcPr>
          <w:p>
            <w:pPr>
              <w:pStyle w:val="TableParagraph"/>
              <w:spacing w:line="183" w:lineRule="exact" w:before="16"/>
              <w:ind w:left="208"/>
              <w:rPr>
                <w:rFonts w:ascii="Arial"/>
                <w:i/>
                <w:sz w:val="16"/>
              </w:rPr>
            </w:pPr>
            <w:r>
              <w:rPr>
                <w:rFonts w:ascii="Arial"/>
                <w:i/>
                <w:spacing w:val="-4"/>
                <w:sz w:val="16"/>
              </w:rPr>
              <w:t>2021</w:t>
            </w:r>
          </w:p>
        </w:tc>
        <w:tc>
          <w:tcPr>
            <w:tcW w:w="813" w:type="dxa"/>
            <w:tcBorders>
              <w:top w:val="single" w:sz="8" w:space="0" w:color="000000"/>
              <w:bottom w:val="single" w:sz="8" w:space="0" w:color="000000"/>
            </w:tcBorders>
          </w:tcPr>
          <w:p>
            <w:pPr>
              <w:pStyle w:val="TableParagraph"/>
              <w:spacing w:line="183" w:lineRule="exact" w:before="16"/>
              <w:ind w:left="238"/>
              <w:rPr>
                <w:rFonts w:ascii="Arial"/>
                <w:i/>
                <w:sz w:val="16"/>
              </w:rPr>
            </w:pPr>
            <w:r>
              <w:rPr>
                <w:rFonts w:ascii="Arial"/>
                <w:i/>
                <w:spacing w:val="-4"/>
                <w:sz w:val="16"/>
              </w:rPr>
              <w:t>2023</w:t>
            </w:r>
          </w:p>
        </w:tc>
        <w:tc>
          <w:tcPr>
            <w:tcW w:w="810" w:type="dxa"/>
            <w:tcBorders>
              <w:top w:val="single" w:sz="8" w:space="0" w:color="000000"/>
              <w:bottom w:val="single" w:sz="8" w:space="0" w:color="000000"/>
            </w:tcBorders>
          </w:tcPr>
          <w:p>
            <w:pPr>
              <w:pStyle w:val="TableParagraph"/>
              <w:spacing w:line="183" w:lineRule="exact" w:before="16"/>
              <w:ind w:left="235"/>
              <w:rPr>
                <w:rFonts w:ascii="Arial"/>
                <w:i/>
                <w:sz w:val="16"/>
              </w:rPr>
            </w:pPr>
            <w:r>
              <w:rPr>
                <w:rFonts w:ascii="Arial"/>
                <w:i/>
                <w:spacing w:val="-4"/>
                <w:sz w:val="16"/>
              </w:rPr>
              <w:t>2022</w:t>
            </w:r>
          </w:p>
        </w:tc>
        <w:tc>
          <w:tcPr>
            <w:tcW w:w="818" w:type="dxa"/>
            <w:tcBorders>
              <w:top w:val="single" w:sz="8" w:space="0" w:color="000000"/>
              <w:bottom w:val="single" w:sz="8" w:space="0" w:color="000000"/>
            </w:tcBorders>
          </w:tcPr>
          <w:p>
            <w:pPr>
              <w:pStyle w:val="TableParagraph"/>
              <w:spacing w:line="183" w:lineRule="exact" w:before="16"/>
              <w:ind w:left="235"/>
              <w:rPr>
                <w:rFonts w:ascii="Arial"/>
                <w:i/>
                <w:sz w:val="16"/>
              </w:rPr>
            </w:pPr>
            <w:r>
              <w:rPr>
                <w:rFonts w:ascii="Arial"/>
                <w:i/>
                <w:spacing w:val="-4"/>
                <w:sz w:val="16"/>
              </w:rPr>
              <w:t>2021</w:t>
            </w:r>
          </w:p>
        </w:tc>
      </w:tr>
      <w:tr>
        <w:trPr>
          <w:trHeight w:val="230" w:hRule="atLeast"/>
        </w:trPr>
        <w:tc>
          <w:tcPr>
            <w:tcW w:w="1860" w:type="dxa"/>
          </w:tcPr>
          <w:p>
            <w:pPr>
              <w:pStyle w:val="TableParagraph"/>
              <w:spacing w:before="16"/>
              <w:ind w:left="52"/>
              <w:rPr>
                <w:sz w:val="16"/>
              </w:rPr>
            </w:pPr>
            <w:r>
              <w:rPr>
                <w:sz w:val="16"/>
              </w:rPr>
              <w:t>Service</w:t>
            </w:r>
            <w:r>
              <w:rPr>
                <w:spacing w:val="-3"/>
                <w:sz w:val="16"/>
              </w:rPr>
              <w:t> </w:t>
            </w:r>
            <w:r>
              <w:rPr>
                <w:spacing w:val="-4"/>
                <w:sz w:val="16"/>
              </w:rPr>
              <w:t>cost</w:t>
            </w:r>
          </w:p>
        </w:tc>
        <w:tc>
          <w:tcPr>
            <w:tcW w:w="829" w:type="dxa"/>
            <w:tcBorders>
              <w:top w:val="single" w:sz="8" w:space="0" w:color="000000"/>
            </w:tcBorders>
          </w:tcPr>
          <w:p>
            <w:pPr>
              <w:pStyle w:val="TableParagraph"/>
              <w:tabs>
                <w:tab w:pos="422" w:val="left" w:leader="none"/>
              </w:tabs>
              <w:spacing w:before="16"/>
              <w:ind w:right="85"/>
              <w:jc w:val="right"/>
              <w:rPr>
                <w:sz w:val="16"/>
              </w:rPr>
            </w:pPr>
            <w:r>
              <w:rPr>
                <w:spacing w:val="-10"/>
                <w:sz w:val="16"/>
              </w:rPr>
              <w:t>$</w:t>
            </w:r>
            <w:r>
              <w:rPr>
                <w:sz w:val="16"/>
              </w:rPr>
              <w:tab/>
            </w:r>
            <w:r>
              <w:rPr>
                <w:spacing w:val="-5"/>
                <w:sz w:val="16"/>
              </w:rPr>
              <w:t>511</w:t>
            </w:r>
          </w:p>
        </w:tc>
        <w:tc>
          <w:tcPr>
            <w:tcW w:w="810" w:type="dxa"/>
            <w:tcBorders>
              <w:top w:val="single" w:sz="8" w:space="0" w:color="000000"/>
            </w:tcBorders>
          </w:tcPr>
          <w:p>
            <w:pPr>
              <w:pStyle w:val="TableParagraph"/>
              <w:tabs>
                <w:tab w:pos="422" w:val="left" w:leader="none"/>
              </w:tabs>
              <w:spacing w:before="16"/>
              <w:ind w:right="85"/>
              <w:jc w:val="right"/>
              <w:rPr>
                <w:sz w:val="16"/>
              </w:rPr>
            </w:pPr>
            <w:r>
              <w:rPr>
                <w:spacing w:val="-10"/>
                <w:sz w:val="16"/>
              </w:rPr>
              <w:t>$</w:t>
            </w:r>
            <w:r>
              <w:rPr>
                <w:sz w:val="16"/>
              </w:rPr>
              <w:tab/>
            </w:r>
            <w:r>
              <w:rPr>
                <w:spacing w:val="-5"/>
                <w:sz w:val="16"/>
              </w:rPr>
              <w:t>664</w:t>
            </w:r>
          </w:p>
        </w:tc>
        <w:tc>
          <w:tcPr>
            <w:tcW w:w="840" w:type="dxa"/>
            <w:tcBorders>
              <w:top w:val="single" w:sz="8" w:space="0" w:color="000000"/>
            </w:tcBorders>
          </w:tcPr>
          <w:p>
            <w:pPr>
              <w:pStyle w:val="TableParagraph"/>
              <w:tabs>
                <w:tab w:pos="422" w:val="left" w:leader="none"/>
              </w:tabs>
              <w:spacing w:before="16"/>
              <w:ind w:right="115"/>
              <w:jc w:val="right"/>
              <w:rPr>
                <w:sz w:val="16"/>
              </w:rPr>
            </w:pPr>
            <w:r>
              <w:rPr>
                <w:spacing w:val="-10"/>
                <w:sz w:val="16"/>
              </w:rPr>
              <w:t>$</w:t>
            </w:r>
            <w:r>
              <w:rPr>
                <w:sz w:val="16"/>
              </w:rPr>
              <w:tab/>
            </w:r>
            <w:r>
              <w:rPr>
                <w:spacing w:val="-5"/>
                <w:sz w:val="16"/>
              </w:rPr>
              <w:t>642</w:t>
            </w:r>
          </w:p>
        </w:tc>
        <w:tc>
          <w:tcPr>
            <w:tcW w:w="840" w:type="dxa"/>
            <w:tcBorders>
              <w:top w:val="single" w:sz="8" w:space="0" w:color="000000"/>
            </w:tcBorders>
          </w:tcPr>
          <w:p>
            <w:pPr>
              <w:pStyle w:val="TableParagraph"/>
              <w:tabs>
                <w:tab w:pos="422" w:val="left" w:leader="none"/>
              </w:tabs>
              <w:spacing w:before="16"/>
              <w:ind w:right="85"/>
              <w:jc w:val="right"/>
              <w:rPr>
                <w:sz w:val="16"/>
              </w:rPr>
            </w:pPr>
            <w:r>
              <w:rPr>
                <w:spacing w:val="-10"/>
                <w:sz w:val="16"/>
              </w:rPr>
              <w:t>$</w:t>
            </w:r>
            <w:r>
              <w:rPr>
                <w:sz w:val="16"/>
              </w:rPr>
              <w:tab/>
            </w:r>
            <w:r>
              <w:rPr>
                <w:spacing w:val="-5"/>
                <w:sz w:val="16"/>
              </w:rPr>
              <w:t>139</w:t>
            </w:r>
          </w:p>
        </w:tc>
        <w:tc>
          <w:tcPr>
            <w:tcW w:w="810" w:type="dxa"/>
            <w:tcBorders>
              <w:top w:val="single" w:sz="8" w:space="0" w:color="000000"/>
            </w:tcBorders>
          </w:tcPr>
          <w:p>
            <w:pPr>
              <w:pStyle w:val="TableParagraph"/>
              <w:tabs>
                <w:tab w:pos="422" w:val="left" w:leader="none"/>
              </w:tabs>
              <w:spacing w:before="16"/>
              <w:ind w:right="85"/>
              <w:jc w:val="right"/>
              <w:rPr>
                <w:sz w:val="16"/>
              </w:rPr>
            </w:pPr>
            <w:r>
              <w:rPr>
                <w:spacing w:val="-10"/>
                <w:sz w:val="16"/>
              </w:rPr>
              <w:t>$</w:t>
            </w:r>
            <w:r>
              <w:rPr>
                <w:sz w:val="16"/>
              </w:rPr>
              <w:tab/>
            </w:r>
            <w:r>
              <w:rPr>
                <w:spacing w:val="-5"/>
                <w:sz w:val="16"/>
              </w:rPr>
              <w:t>178</w:t>
            </w:r>
          </w:p>
        </w:tc>
        <w:tc>
          <w:tcPr>
            <w:tcW w:w="840" w:type="dxa"/>
            <w:tcBorders>
              <w:top w:val="single" w:sz="8" w:space="0" w:color="000000"/>
            </w:tcBorders>
          </w:tcPr>
          <w:p>
            <w:pPr>
              <w:pStyle w:val="TableParagraph"/>
              <w:tabs>
                <w:tab w:pos="456" w:val="left" w:leader="none"/>
              </w:tabs>
              <w:spacing w:before="16"/>
              <w:ind w:left="33"/>
              <w:rPr>
                <w:sz w:val="16"/>
              </w:rPr>
            </w:pPr>
            <w:r>
              <w:rPr>
                <w:spacing w:val="-10"/>
                <w:sz w:val="16"/>
              </w:rPr>
              <w:t>$</w:t>
            </w:r>
            <w:r>
              <w:rPr>
                <w:sz w:val="16"/>
              </w:rPr>
              <w:tab/>
            </w:r>
            <w:r>
              <w:rPr>
                <w:spacing w:val="-5"/>
                <w:sz w:val="16"/>
              </w:rPr>
              <w:t>170</w:t>
            </w:r>
          </w:p>
        </w:tc>
        <w:tc>
          <w:tcPr>
            <w:tcW w:w="813" w:type="dxa"/>
            <w:tcBorders>
              <w:top w:val="single" w:sz="8" w:space="0" w:color="000000"/>
            </w:tcBorders>
          </w:tcPr>
          <w:p>
            <w:pPr>
              <w:pStyle w:val="TableParagraph"/>
              <w:tabs>
                <w:tab w:pos="511" w:val="left" w:leader="none"/>
              </w:tabs>
              <w:spacing w:before="16"/>
              <w:ind w:right="58"/>
              <w:jc w:val="right"/>
              <w:rPr>
                <w:sz w:val="16"/>
              </w:rPr>
            </w:pPr>
            <w:r>
              <w:rPr>
                <w:spacing w:val="-10"/>
                <w:sz w:val="16"/>
              </w:rPr>
              <w:t>$</w:t>
            </w:r>
            <w:r>
              <w:rPr>
                <w:sz w:val="16"/>
              </w:rPr>
              <w:tab/>
            </w:r>
            <w:r>
              <w:rPr>
                <w:spacing w:val="-5"/>
                <w:sz w:val="16"/>
              </w:rPr>
              <w:t>93</w:t>
            </w:r>
          </w:p>
        </w:tc>
        <w:tc>
          <w:tcPr>
            <w:tcW w:w="810" w:type="dxa"/>
            <w:tcBorders>
              <w:top w:val="single" w:sz="8" w:space="0" w:color="000000"/>
            </w:tcBorders>
          </w:tcPr>
          <w:p>
            <w:pPr>
              <w:pStyle w:val="TableParagraph"/>
              <w:tabs>
                <w:tab w:pos="422" w:val="left" w:leader="none"/>
              </w:tabs>
              <w:spacing w:before="16"/>
              <w:ind w:right="58"/>
              <w:jc w:val="right"/>
              <w:rPr>
                <w:sz w:val="16"/>
              </w:rPr>
            </w:pPr>
            <w:r>
              <w:rPr>
                <w:spacing w:val="-10"/>
                <w:sz w:val="16"/>
              </w:rPr>
              <w:t>$</w:t>
            </w:r>
            <w:r>
              <w:rPr>
                <w:sz w:val="16"/>
              </w:rPr>
              <w:tab/>
            </w:r>
            <w:r>
              <w:rPr>
                <w:spacing w:val="-5"/>
                <w:sz w:val="16"/>
              </w:rPr>
              <w:t>114</w:t>
            </w:r>
          </w:p>
        </w:tc>
        <w:tc>
          <w:tcPr>
            <w:tcW w:w="818" w:type="dxa"/>
            <w:tcBorders>
              <w:top w:val="single" w:sz="8" w:space="0" w:color="000000"/>
            </w:tcBorders>
          </w:tcPr>
          <w:p>
            <w:pPr>
              <w:pStyle w:val="TableParagraph"/>
              <w:tabs>
                <w:tab w:pos="422" w:val="left" w:leader="none"/>
              </w:tabs>
              <w:spacing w:before="16"/>
              <w:ind w:right="66"/>
              <w:jc w:val="right"/>
              <w:rPr>
                <w:sz w:val="16"/>
              </w:rPr>
            </w:pPr>
            <w:r>
              <w:rPr>
                <w:spacing w:val="-10"/>
                <w:sz w:val="16"/>
              </w:rPr>
              <w:t>$</w:t>
            </w:r>
            <w:r>
              <w:rPr>
                <w:sz w:val="16"/>
              </w:rPr>
              <w:tab/>
            </w:r>
            <w:r>
              <w:rPr>
                <w:spacing w:val="-5"/>
                <w:sz w:val="16"/>
              </w:rPr>
              <w:t>111</w:t>
            </w:r>
          </w:p>
        </w:tc>
      </w:tr>
      <w:tr>
        <w:trPr>
          <w:trHeight w:val="241" w:hRule="atLeast"/>
        </w:trPr>
        <w:tc>
          <w:tcPr>
            <w:tcW w:w="1860" w:type="dxa"/>
          </w:tcPr>
          <w:p>
            <w:pPr>
              <w:pStyle w:val="TableParagraph"/>
              <w:spacing w:before="25"/>
              <w:ind w:left="52"/>
              <w:rPr>
                <w:sz w:val="16"/>
              </w:rPr>
            </w:pPr>
            <w:r>
              <w:rPr>
                <w:sz w:val="16"/>
              </w:rPr>
              <w:t>Interest</w:t>
            </w:r>
            <w:r>
              <w:rPr>
                <w:spacing w:val="-3"/>
                <w:sz w:val="16"/>
              </w:rPr>
              <w:t> </w:t>
            </w:r>
            <w:r>
              <w:rPr>
                <w:spacing w:val="-4"/>
                <w:sz w:val="16"/>
              </w:rPr>
              <w:t>cost</w:t>
            </w:r>
          </w:p>
        </w:tc>
        <w:tc>
          <w:tcPr>
            <w:tcW w:w="829" w:type="dxa"/>
          </w:tcPr>
          <w:p>
            <w:pPr>
              <w:pStyle w:val="TableParagraph"/>
              <w:spacing w:before="25"/>
              <w:ind w:right="85"/>
              <w:jc w:val="right"/>
              <w:rPr>
                <w:sz w:val="16"/>
              </w:rPr>
            </w:pPr>
            <w:r>
              <w:rPr>
                <w:spacing w:val="-5"/>
                <w:sz w:val="16"/>
              </w:rPr>
              <w:t>944</w:t>
            </w:r>
          </w:p>
        </w:tc>
        <w:tc>
          <w:tcPr>
            <w:tcW w:w="810" w:type="dxa"/>
          </w:tcPr>
          <w:p>
            <w:pPr>
              <w:pStyle w:val="TableParagraph"/>
              <w:spacing w:before="25"/>
              <w:ind w:right="85"/>
              <w:jc w:val="right"/>
              <w:rPr>
                <w:sz w:val="16"/>
              </w:rPr>
            </w:pPr>
            <w:r>
              <w:rPr>
                <w:spacing w:val="-5"/>
                <w:sz w:val="16"/>
              </w:rPr>
              <w:t>659</w:t>
            </w:r>
          </w:p>
        </w:tc>
        <w:tc>
          <w:tcPr>
            <w:tcW w:w="840" w:type="dxa"/>
          </w:tcPr>
          <w:p>
            <w:pPr>
              <w:pStyle w:val="TableParagraph"/>
              <w:spacing w:before="25"/>
              <w:ind w:right="115"/>
              <w:jc w:val="right"/>
              <w:rPr>
                <w:sz w:val="16"/>
              </w:rPr>
            </w:pPr>
            <w:r>
              <w:rPr>
                <w:spacing w:val="-5"/>
                <w:sz w:val="16"/>
              </w:rPr>
              <w:t>588</w:t>
            </w:r>
          </w:p>
        </w:tc>
        <w:tc>
          <w:tcPr>
            <w:tcW w:w="840" w:type="dxa"/>
          </w:tcPr>
          <w:p>
            <w:pPr>
              <w:pStyle w:val="TableParagraph"/>
              <w:spacing w:before="25"/>
              <w:ind w:right="85"/>
              <w:jc w:val="right"/>
              <w:rPr>
                <w:sz w:val="16"/>
              </w:rPr>
            </w:pPr>
            <w:r>
              <w:rPr>
                <w:spacing w:val="-5"/>
                <w:sz w:val="16"/>
              </w:rPr>
              <w:t>162</w:t>
            </w:r>
          </w:p>
        </w:tc>
        <w:tc>
          <w:tcPr>
            <w:tcW w:w="810" w:type="dxa"/>
          </w:tcPr>
          <w:p>
            <w:pPr>
              <w:pStyle w:val="TableParagraph"/>
              <w:spacing w:before="25"/>
              <w:ind w:right="85"/>
              <w:jc w:val="right"/>
              <w:rPr>
                <w:sz w:val="16"/>
              </w:rPr>
            </w:pPr>
            <w:r>
              <w:rPr>
                <w:spacing w:val="-5"/>
                <w:sz w:val="16"/>
              </w:rPr>
              <w:t>119</w:t>
            </w:r>
          </w:p>
        </w:tc>
        <w:tc>
          <w:tcPr>
            <w:tcW w:w="840" w:type="dxa"/>
          </w:tcPr>
          <w:p>
            <w:pPr>
              <w:pStyle w:val="TableParagraph"/>
              <w:spacing w:before="25"/>
              <w:ind w:right="115"/>
              <w:jc w:val="right"/>
              <w:rPr>
                <w:sz w:val="16"/>
              </w:rPr>
            </w:pPr>
            <w:r>
              <w:rPr>
                <w:spacing w:val="-5"/>
                <w:sz w:val="16"/>
              </w:rPr>
              <w:t>107</w:t>
            </w:r>
          </w:p>
        </w:tc>
        <w:tc>
          <w:tcPr>
            <w:tcW w:w="813" w:type="dxa"/>
          </w:tcPr>
          <w:p>
            <w:pPr>
              <w:pStyle w:val="TableParagraph"/>
              <w:spacing w:before="25"/>
              <w:ind w:right="58"/>
              <w:jc w:val="right"/>
              <w:rPr>
                <w:sz w:val="16"/>
              </w:rPr>
            </w:pPr>
            <w:r>
              <w:rPr>
                <w:spacing w:val="-5"/>
                <w:sz w:val="16"/>
              </w:rPr>
              <w:t>92</w:t>
            </w:r>
          </w:p>
        </w:tc>
        <w:tc>
          <w:tcPr>
            <w:tcW w:w="810" w:type="dxa"/>
          </w:tcPr>
          <w:p>
            <w:pPr>
              <w:pStyle w:val="TableParagraph"/>
              <w:spacing w:before="25"/>
              <w:ind w:right="58"/>
              <w:jc w:val="right"/>
              <w:rPr>
                <w:sz w:val="16"/>
              </w:rPr>
            </w:pPr>
            <w:r>
              <w:rPr>
                <w:spacing w:val="-5"/>
                <w:sz w:val="16"/>
              </w:rPr>
              <w:t>64</w:t>
            </w:r>
          </w:p>
        </w:tc>
        <w:tc>
          <w:tcPr>
            <w:tcW w:w="818" w:type="dxa"/>
          </w:tcPr>
          <w:p>
            <w:pPr>
              <w:pStyle w:val="TableParagraph"/>
              <w:spacing w:before="25"/>
              <w:ind w:right="66"/>
              <w:jc w:val="right"/>
              <w:rPr>
                <w:sz w:val="16"/>
              </w:rPr>
            </w:pPr>
            <w:r>
              <w:rPr>
                <w:spacing w:val="-5"/>
                <w:sz w:val="16"/>
              </w:rPr>
              <w:t>56</w:t>
            </w:r>
          </w:p>
        </w:tc>
      </w:tr>
      <w:tr>
        <w:trPr>
          <w:trHeight w:val="444" w:hRule="atLeast"/>
        </w:trPr>
        <w:tc>
          <w:tcPr>
            <w:tcW w:w="1860" w:type="dxa"/>
          </w:tcPr>
          <w:p>
            <w:pPr>
              <w:pStyle w:val="TableParagraph"/>
              <w:spacing w:line="249" w:lineRule="auto" w:before="27"/>
              <w:ind w:left="232" w:hanging="180"/>
              <w:rPr>
                <w:sz w:val="16"/>
              </w:rPr>
            </w:pPr>
            <w:r>
              <w:rPr>
                <w:sz w:val="16"/>
              </w:rPr>
              <w:t>Expected</w:t>
            </w:r>
            <w:r>
              <w:rPr>
                <w:spacing w:val="-12"/>
                <w:sz w:val="16"/>
              </w:rPr>
              <w:t> </w:t>
            </w:r>
            <w:r>
              <w:rPr>
                <w:sz w:val="16"/>
              </w:rPr>
              <w:t>return</w:t>
            </w:r>
            <w:r>
              <w:rPr>
                <w:spacing w:val="-11"/>
                <w:sz w:val="16"/>
              </w:rPr>
              <w:t> </w:t>
            </w:r>
            <w:r>
              <w:rPr>
                <w:sz w:val="16"/>
              </w:rPr>
              <w:t>on</w:t>
            </w:r>
            <w:r>
              <w:rPr>
                <w:spacing w:val="-11"/>
                <w:sz w:val="16"/>
              </w:rPr>
              <w:t> </w:t>
            </w:r>
            <w:r>
              <w:rPr>
                <w:sz w:val="16"/>
              </w:rPr>
              <w:t>plan </w:t>
            </w:r>
            <w:r>
              <w:rPr>
                <w:spacing w:val="-2"/>
                <w:sz w:val="16"/>
              </w:rPr>
              <w:t>assets</w:t>
            </w:r>
          </w:p>
        </w:tc>
        <w:tc>
          <w:tcPr>
            <w:tcW w:w="829" w:type="dxa"/>
          </w:tcPr>
          <w:p>
            <w:pPr>
              <w:pStyle w:val="TableParagraph"/>
              <w:spacing w:before="34"/>
              <w:rPr>
                <w:rFonts w:ascii="Arial"/>
                <w:i/>
                <w:sz w:val="16"/>
              </w:rPr>
            </w:pPr>
          </w:p>
          <w:p>
            <w:pPr>
              <w:pStyle w:val="TableParagraph"/>
              <w:spacing w:before="1"/>
              <w:ind w:right="31"/>
              <w:jc w:val="right"/>
              <w:rPr>
                <w:sz w:val="16"/>
              </w:rPr>
            </w:pPr>
            <w:r>
              <w:rPr>
                <w:spacing w:val="-2"/>
                <w:sz w:val="16"/>
              </w:rPr>
              <w:t>(1,386)</w:t>
            </w:r>
          </w:p>
        </w:tc>
        <w:tc>
          <w:tcPr>
            <w:tcW w:w="810" w:type="dxa"/>
          </w:tcPr>
          <w:p>
            <w:pPr>
              <w:pStyle w:val="TableParagraph"/>
              <w:spacing w:before="34"/>
              <w:rPr>
                <w:rFonts w:ascii="Arial"/>
                <w:i/>
                <w:sz w:val="16"/>
              </w:rPr>
            </w:pPr>
          </w:p>
          <w:p>
            <w:pPr>
              <w:pStyle w:val="TableParagraph"/>
              <w:spacing w:before="1"/>
              <w:ind w:right="31"/>
              <w:jc w:val="right"/>
              <w:rPr>
                <w:sz w:val="16"/>
              </w:rPr>
            </w:pPr>
            <w:r>
              <w:rPr>
                <w:spacing w:val="-2"/>
                <w:sz w:val="16"/>
              </w:rPr>
              <w:t>(1,289)</w:t>
            </w:r>
          </w:p>
        </w:tc>
        <w:tc>
          <w:tcPr>
            <w:tcW w:w="840" w:type="dxa"/>
          </w:tcPr>
          <w:p>
            <w:pPr>
              <w:pStyle w:val="TableParagraph"/>
              <w:spacing w:before="34"/>
              <w:rPr>
                <w:rFonts w:ascii="Arial"/>
                <w:i/>
                <w:sz w:val="16"/>
              </w:rPr>
            </w:pPr>
          </w:p>
          <w:p>
            <w:pPr>
              <w:pStyle w:val="TableParagraph"/>
              <w:spacing w:before="1"/>
              <w:ind w:right="61"/>
              <w:jc w:val="right"/>
              <w:rPr>
                <w:sz w:val="16"/>
              </w:rPr>
            </w:pPr>
            <w:r>
              <w:rPr>
                <w:spacing w:val="-2"/>
                <w:sz w:val="16"/>
              </w:rPr>
              <w:t>(967)</w:t>
            </w:r>
          </w:p>
        </w:tc>
        <w:tc>
          <w:tcPr>
            <w:tcW w:w="840" w:type="dxa"/>
          </w:tcPr>
          <w:p>
            <w:pPr>
              <w:pStyle w:val="TableParagraph"/>
              <w:spacing w:before="34"/>
              <w:rPr>
                <w:rFonts w:ascii="Arial"/>
                <w:i/>
                <w:sz w:val="16"/>
              </w:rPr>
            </w:pPr>
          </w:p>
          <w:p>
            <w:pPr>
              <w:pStyle w:val="TableParagraph"/>
              <w:spacing w:before="1"/>
              <w:ind w:right="31"/>
              <w:jc w:val="right"/>
              <w:rPr>
                <w:sz w:val="16"/>
              </w:rPr>
            </w:pPr>
            <w:r>
              <w:rPr>
                <w:spacing w:val="-2"/>
                <w:sz w:val="16"/>
              </w:rPr>
              <w:t>(238)</w:t>
            </w:r>
          </w:p>
        </w:tc>
        <w:tc>
          <w:tcPr>
            <w:tcW w:w="810" w:type="dxa"/>
          </w:tcPr>
          <w:p>
            <w:pPr>
              <w:pStyle w:val="TableParagraph"/>
              <w:spacing w:before="34"/>
              <w:rPr>
                <w:rFonts w:ascii="Arial"/>
                <w:i/>
                <w:sz w:val="16"/>
              </w:rPr>
            </w:pPr>
          </w:p>
          <w:p>
            <w:pPr>
              <w:pStyle w:val="TableParagraph"/>
              <w:spacing w:before="1"/>
              <w:ind w:right="31"/>
              <w:jc w:val="right"/>
              <w:rPr>
                <w:sz w:val="16"/>
              </w:rPr>
            </w:pPr>
            <w:r>
              <w:rPr>
                <w:spacing w:val="-2"/>
                <w:sz w:val="16"/>
              </w:rPr>
              <w:t>(223)</w:t>
            </w:r>
          </w:p>
        </w:tc>
        <w:tc>
          <w:tcPr>
            <w:tcW w:w="840" w:type="dxa"/>
          </w:tcPr>
          <w:p>
            <w:pPr>
              <w:pStyle w:val="TableParagraph"/>
              <w:spacing w:before="34"/>
              <w:rPr>
                <w:rFonts w:ascii="Arial"/>
                <w:i/>
                <w:sz w:val="16"/>
              </w:rPr>
            </w:pPr>
          </w:p>
          <w:p>
            <w:pPr>
              <w:pStyle w:val="TableParagraph"/>
              <w:spacing w:before="1"/>
              <w:ind w:right="61"/>
              <w:jc w:val="right"/>
              <w:rPr>
                <w:sz w:val="16"/>
              </w:rPr>
            </w:pPr>
            <w:r>
              <w:rPr>
                <w:spacing w:val="-2"/>
                <w:sz w:val="16"/>
              </w:rPr>
              <w:t>(162)</w:t>
            </w:r>
          </w:p>
        </w:tc>
        <w:tc>
          <w:tcPr>
            <w:tcW w:w="813" w:type="dxa"/>
          </w:tcPr>
          <w:p>
            <w:pPr>
              <w:pStyle w:val="TableParagraph"/>
              <w:spacing w:before="34"/>
              <w:rPr>
                <w:rFonts w:ascii="Arial"/>
                <w:i/>
                <w:sz w:val="16"/>
              </w:rPr>
            </w:pPr>
          </w:p>
          <w:p>
            <w:pPr>
              <w:pStyle w:val="TableParagraph"/>
              <w:spacing w:before="1"/>
              <w:ind w:right="58"/>
              <w:jc w:val="right"/>
              <w:rPr>
                <w:sz w:val="16"/>
              </w:rPr>
            </w:pPr>
            <w:r>
              <w:rPr>
                <w:sz w:val="16"/>
              </w:rPr>
              <w:t>—</w:t>
            </w:r>
          </w:p>
        </w:tc>
        <w:tc>
          <w:tcPr>
            <w:tcW w:w="810" w:type="dxa"/>
          </w:tcPr>
          <w:p>
            <w:pPr>
              <w:pStyle w:val="TableParagraph"/>
              <w:spacing w:before="34"/>
              <w:rPr>
                <w:rFonts w:ascii="Arial"/>
                <w:i/>
                <w:sz w:val="16"/>
              </w:rPr>
            </w:pPr>
          </w:p>
          <w:p>
            <w:pPr>
              <w:pStyle w:val="TableParagraph"/>
              <w:spacing w:before="1"/>
              <w:ind w:right="58"/>
              <w:jc w:val="right"/>
              <w:rPr>
                <w:sz w:val="16"/>
              </w:rPr>
            </w:pPr>
            <w:r>
              <w:rPr>
                <w:sz w:val="16"/>
              </w:rPr>
              <w:t>—</w:t>
            </w:r>
          </w:p>
        </w:tc>
        <w:tc>
          <w:tcPr>
            <w:tcW w:w="818" w:type="dxa"/>
          </w:tcPr>
          <w:p>
            <w:pPr>
              <w:pStyle w:val="TableParagraph"/>
              <w:spacing w:before="34"/>
              <w:rPr>
                <w:rFonts w:ascii="Arial"/>
                <w:i/>
                <w:sz w:val="16"/>
              </w:rPr>
            </w:pPr>
          </w:p>
          <w:p>
            <w:pPr>
              <w:pStyle w:val="TableParagraph"/>
              <w:spacing w:before="1"/>
              <w:ind w:right="66"/>
              <w:jc w:val="right"/>
              <w:rPr>
                <w:sz w:val="16"/>
              </w:rPr>
            </w:pPr>
            <w:r>
              <w:rPr>
                <w:sz w:val="16"/>
              </w:rPr>
              <w:t>—</w:t>
            </w:r>
          </w:p>
        </w:tc>
      </w:tr>
      <w:tr>
        <w:trPr>
          <w:trHeight w:val="603" w:hRule="atLeast"/>
        </w:trPr>
        <w:tc>
          <w:tcPr>
            <w:tcW w:w="1860" w:type="dxa"/>
          </w:tcPr>
          <w:p>
            <w:pPr>
              <w:pStyle w:val="TableParagraph"/>
              <w:spacing w:line="190" w:lineRule="atLeast" w:before="14"/>
              <w:ind w:left="232" w:right="294" w:hanging="180"/>
              <w:rPr>
                <w:sz w:val="16"/>
              </w:rPr>
            </w:pPr>
            <w:r>
              <w:rPr>
                <w:sz w:val="16"/>
              </w:rPr>
              <w:t>Amortization of unrecognized</w:t>
            </w:r>
            <w:r>
              <w:rPr>
                <w:spacing w:val="-12"/>
                <w:sz w:val="16"/>
              </w:rPr>
              <w:t> </w:t>
            </w:r>
            <w:r>
              <w:rPr>
                <w:sz w:val="16"/>
              </w:rPr>
              <w:t>prior service costs </w:t>
            </w:r>
            <w:r>
              <w:rPr>
                <w:sz w:val="16"/>
                <w:vertAlign w:val="superscript"/>
              </w:rPr>
              <w:t>a</w:t>
            </w:r>
          </w:p>
        </w:tc>
        <w:tc>
          <w:tcPr>
            <w:tcW w:w="829"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85"/>
              <w:jc w:val="right"/>
              <w:rPr>
                <w:sz w:val="16"/>
              </w:rPr>
            </w:pPr>
            <w:r>
              <w:rPr>
                <w:spacing w:val="-10"/>
                <w:sz w:val="16"/>
              </w:rPr>
              <w:t>3</w:t>
            </w:r>
          </w:p>
        </w:tc>
        <w:tc>
          <w:tcPr>
            <w:tcW w:w="81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85"/>
              <w:jc w:val="right"/>
              <w:rPr>
                <w:sz w:val="16"/>
              </w:rPr>
            </w:pPr>
            <w:r>
              <w:rPr>
                <w:spacing w:val="-10"/>
                <w:sz w:val="16"/>
              </w:rPr>
              <w:t>3</w:t>
            </w:r>
          </w:p>
        </w:tc>
        <w:tc>
          <w:tcPr>
            <w:tcW w:w="84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115"/>
              <w:jc w:val="right"/>
              <w:rPr>
                <w:sz w:val="16"/>
              </w:rPr>
            </w:pPr>
            <w:r>
              <w:rPr>
                <w:spacing w:val="-10"/>
                <w:sz w:val="16"/>
              </w:rPr>
              <w:t>3</w:t>
            </w:r>
          </w:p>
        </w:tc>
        <w:tc>
          <w:tcPr>
            <w:tcW w:w="84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85"/>
              <w:jc w:val="right"/>
              <w:rPr>
                <w:sz w:val="16"/>
              </w:rPr>
            </w:pPr>
            <w:r>
              <w:rPr>
                <w:spacing w:val="-5"/>
                <w:sz w:val="16"/>
              </w:rPr>
              <w:t>14</w:t>
            </w:r>
          </w:p>
        </w:tc>
        <w:tc>
          <w:tcPr>
            <w:tcW w:w="81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85"/>
              <w:jc w:val="right"/>
              <w:rPr>
                <w:sz w:val="16"/>
              </w:rPr>
            </w:pPr>
            <w:r>
              <w:rPr>
                <w:spacing w:val="-5"/>
                <w:sz w:val="16"/>
              </w:rPr>
              <w:t>17</w:t>
            </w:r>
          </w:p>
        </w:tc>
        <w:tc>
          <w:tcPr>
            <w:tcW w:w="84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115"/>
              <w:jc w:val="right"/>
              <w:rPr>
                <w:sz w:val="16"/>
              </w:rPr>
            </w:pPr>
            <w:r>
              <w:rPr>
                <w:spacing w:val="-5"/>
                <w:sz w:val="16"/>
              </w:rPr>
              <w:t>17</w:t>
            </w:r>
          </w:p>
        </w:tc>
        <w:tc>
          <w:tcPr>
            <w:tcW w:w="813"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58"/>
              <w:jc w:val="right"/>
              <w:rPr>
                <w:sz w:val="16"/>
              </w:rPr>
            </w:pPr>
            <w:r>
              <w:rPr>
                <w:spacing w:val="-10"/>
                <w:sz w:val="16"/>
              </w:rPr>
              <w:t>3</w:t>
            </w:r>
          </w:p>
        </w:tc>
        <w:tc>
          <w:tcPr>
            <w:tcW w:w="810"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58"/>
              <w:jc w:val="right"/>
              <w:rPr>
                <w:sz w:val="16"/>
              </w:rPr>
            </w:pPr>
            <w:r>
              <w:rPr>
                <w:spacing w:val="-10"/>
                <w:sz w:val="16"/>
              </w:rPr>
              <w:t>3</w:t>
            </w:r>
          </w:p>
        </w:tc>
        <w:tc>
          <w:tcPr>
            <w:tcW w:w="818" w:type="dxa"/>
          </w:tcPr>
          <w:p>
            <w:pPr>
              <w:pStyle w:val="TableParagraph"/>
              <w:rPr>
                <w:rFonts w:ascii="Arial"/>
                <w:i/>
                <w:sz w:val="16"/>
              </w:rPr>
            </w:pPr>
          </w:p>
          <w:p>
            <w:pPr>
              <w:pStyle w:val="TableParagraph"/>
              <w:spacing w:before="51"/>
              <w:rPr>
                <w:rFonts w:ascii="Arial"/>
                <w:i/>
                <w:sz w:val="16"/>
              </w:rPr>
            </w:pPr>
          </w:p>
          <w:p>
            <w:pPr>
              <w:pStyle w:val="TableParagraph"/>
              <w:spacing w:line="164" w:lineRule="exact" w:before="1"/>
              <w:ind w:right="66"/>
              <w:jc w:val="right"/>
              <w:rPr>
                <w:sz w:val="16"/>
              </w:rPr>
            </w:pPr>
            <w:r>
              <w:rPr>
                <w:spacing w:val="-10"/>
                <w:sz w:val="16"/>
              </w:rPr>
              <w:t>3</w:t>
            </w:r>
          </w:p>
        </w:tc>
      </w:tr>
    </w:tbl>
    <w:p>
      <w:pPr>
        <w:spacing w:line="249" w:lineRule="auto" w:before="57"/>
        <w:ind w:left="952" w:right="8612" w:hanging="180"/>
        <w:jc w:val="left"/>
        <w:rPr>
          <w:rFonts w:ascii="Arial MT"/>
          <w:sz w:val="16"/>
        </w:rPr>
      </w:pPr>
      <w:r>
        <w:rPr>
          <w:rFonts w:ascii="Arial MT"/>
          <w:sz w:val="16"/>
        </w:rPr>
        <w:t>Amortization of unrecognized</w:t>
      </w:r>
      <w:r>
        <w:rPr>
          <w:rFonts w:ascii="Arial MT"/>
          <w:spacing w:val="-12"/>
          <w:sz w:val="16"/>
        </w:rPr>
        <w:t> </w:t>
      </w:r>
      <w:r>
        <w:rPr>
          <w:rFonts w:ascii="Arial MT"/>
          <w:sz w:val="16"/>
        </w:rPr>
        <w:t>net actuarial losses</w:t>
      </w:r>
    </w:p>
    <w:p>
      <w:pPr>
        <w:tabs>
          <w:tab w:pos="3161" w:val="left" w:leader="none"/>
          <w:tab w:pos="3971" w:val="left" w:leader="none"/>
          <w:tab w:pos="4675" w:val="left" w:leader="none"/>
          <w:tab w:pos="5580" w:val="left" w:leader="none"/>
          <w:tab w:pos="6461" w:val="left" w:leader="none"/>
          <w:tab w:pos="7254" w:val="left" w:leader="none"/>
          <w:tab w:pos="8141" w:val="left" w:leader="none"/>
          <w:tab w:pos="8934" w:val="left" w:leader="none"/>
          <w:tab w:pos="9921" w:val="right" w:leader="none"/>
        </w:tabs>
        <w:spacing w:before="2"/>
        <w:ind w:left="952" w:right="0" w:firstLine="0"/>
        <w:jc w:val="left"/>
        <w:rPr>
          <w:rFonts w:ascii="Arial MT" w:hAnsi="Arial MT"/>
          <w:sz w:val="16"/>
        </w:rPr>
      </w:pPr>
      <w:r>
        <w:rPr>
          <w:rFonts w:ascii="Arial MT" w:hAnsi="Arial MT"/>
          <w:sz w:val="16"/>
        </w:rPr>
        <mc:AlternateContent>
          <mc:Choice Requires="wps">
            <w:drawing>
              <wp:anchor distT="0" distB="0" distL="0" distR="0" allowOverlap="1" layoutInCell="1" locked="0" behindDoc="1" simplePos="0" relativeHeight="487746048">
                <wp:simplePos x="0" y="0"/>
                <wp:positionH relativeFrom="page">
                  <wp:posOffset>2095500</wp:posOffset>
                </wp:positionH>
                <wp:positionV relativeFrom="paragraph">
                  <wp:posOffset>137140</wp:posOffset>
                </wp:positionV>
                <wp:extent cx="4705350" cy="1270"/>
                <wp:effectExtent l="0" t="0" r="0" b="0"/>
                <wp:wrapTopAndBottom/>
                <wp:docPr id="930" name="Graphic 930"/>
                <wp:cNvGraphicFramePr>
                  <a:graphicFrameLocks/>
                </wp:cNvGraphicFramePr>
                <a:graphic>
                  <a:graphicData uri="http://schemas.microsoft.com/office/word/2010/wordprocessingShape">
                    <wps:wsp>
                      <wps:cNvPr id="930" name="Graphic 930"/>
                      <wps:cNvSpPr/>
                      <wps:spPr>
                        <a:xfrm>
                          <a:off x="0" y="0"/>
                          <a:ext cx="4705350" cy="1270"/>
                        </a:xfrm>
                        <a:custGeom>
                          <a:avLst/>
                          <a:gdLst/>
                          <a:ahLst/>
                          <a:cxnLst/>
                          <a:rect l="l" t="t" r="r" b="b"/>
                          <a:pathLst>
                            <a:path w="4705350" h="0">
                              <a:moveTo>
                                <a:pt x="0" y="0"/>
                              </a:moveTo>
                              <a:lnTo>
                                <a:pt x="1543050" y="0"/>
                              </a:lnTo>
                            </a:path>
                            <a:path w="4705350" h="0">
                              <a:moveTo>
                                <a:pt x="1581150" y="0"/>
                              </a:moveTo>
                              <a:lnTo>
                                <a:pt x="3124200" y="0"/>
                              </a:lnTo>
                            </a:path>
                            <a:path w="4705350" h="0">
                              <a:moveTo>
                                <a:pt x="3162300" y="0"/>
                              </a:moveTo>
                              <a:lnTo>
                                <a:pt x="4705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5pt;margin-top:10.798437pt;width:370.5pt;height:.1pt;mso-position-horizontal-relative:page;mso-position-vertical-relative:paragraph;z-index:-15570432;mso-wrap-distance-left:0;mso-wrap-distance-right:0" id="docshape771" coordorigin="3300,216" coordsize="7410,0" path="m3300,216l5730,216m5790,216l8220,216m8280,216l10710,216e" filled="false" stroked="true" strokeweight="1pt" strokecolor="#000000">
                <v:path arrowok="t"/>
                <v:stroke dashstyle="solid"/>
                <w10:wrap type="topAndBottom"/>
              </v:shape>
            </w:pict>
          </mc:Fallback>
        </mc:AlternateContent>
      </w:r>
      <w:r>
        <w:rPr>
          <w:rFonts w:ascii="Arial MT" w:hAnsi="Arial MT"/>
          <w:sz w:val="16"/>
        </w:rPr>
        <w:t>(gains)</w:t>
      </w:r>
      <w:r>
        <w:rPr>
          <w:rFonts w:ascii="Arial MT" w:hAnsi="Arial MT"/>
          <w:spacing w:val="-5"/>
          <w:sz w:val="16"/>
        </w:rPr>
        <w:t> </w:t>
      </w:r>
      <w:r>
        <w:rPr>
          <w:rFonts w:ascii="Arial MT" w:hAnsi="Arial MT"/>
          <w:spacing w:val="-10"/>
          <w:sz w:val="16"/>
          <w:vertAlign w:val="superscript"/>
        </w:rPr>
        <w:t>a</w:t>
      </w:r>
      <w:r>
        <w:rPr>
          <w:rFonts w:ascii="Arial MT" w:hAnsi="Arial MT"/>
          <w:sz w:val="16"/>
          <w:vertAlign w:val="baseline"/>
        </w:rPr>
        <w:tab/>
        <w:t>—</w:t>
        <w:tab/>
        <w:t>—</w:t>
        <w:tab/>
      </w:r>
      <w:r>
        <w:rPr>
          <w:rFonts w:ascii="Arial MT" w:hAnsi="Arial MT"/>
          <w:spacing w:val="-5"/>
          <w:sz w:val="16"/>
          <w:vertAlign w:val="baseline"/>
        </w:rPr>
        <w:t>311</w:t>
      </w:r>
      <w:r>
        <w:rPr>
          <w:rFonts w:ascii="Arial MT" w:hAnsi="Arial MT"/>
          <w:sz w:val="16"/>
          <w:vertAlign w:val="baseline"/>
        </w:rPr>
        <w:tab/>
      </w:r>
      <w:r>
        <w:rPr>
          <w:rFonts w:ascii="Arial MT" w:hAnsi="Arial MT"/>
          <w:spacing w:val="-4"/>
          <w:sz w:val="16"/>
          <w:vertAlign w:val="baseline"/>
        </w:rPr>
        <w:t>(28)</w:t>
      </w:r>
      <w:r>
        <w:rPr>
          <w:rFonts w:ascii="Arial MT" w:hAnsi="Arial MT"/>
          <w:sz w:val="16"/>
          <w:vertAlign w:val="baseline"/>
        </w:rPr>
        <w:tab/>
        <w:t>—</w:t>
        <w:tab/>
      </w:r>
      <w:r>
        <w:rPr>
          <w:rFonts w:ascii="Arial MT" w:hAnsi="Arial MT"/>
          <w:spacing w:val="-5"/>
          <w:sz w:val="16"/>
          <w:vertAlign w:val="baseline"/>
        </w:rPr>
        <w:t>12</w:t>
      </w:r>
      <w:r>
        <w:rPr>
          <w:rFonts w:ascii="Arial MT" w:hAnsi="Arial MT"/>
          <w:sz w:val="16"/>
          <w:vertAlign w:val="baseline"/>
        </w:rPr>
        <w:tab/>
        <w:t>—</w:t>
        <w:tab/>
      </w:r>
      <w:r>
        <w:rPr>
          <w:rFonts w:ascii="Arial MT" w:hAnsi="Arial MT"/>
          <w:spacing w:val="-5"/>
          <w:sz w:val="16"/>
          <w:vertAlign w:val="baseline"/>
        </w:rPr>
        <w:t>53</w:t>
      </w:r>
      <w:r>
        <w:rPr>
          <w:sz w:val="16"/>
          <w:vertAlign w:val="baseline"/>
        </w:rPr>
        <w:tab/>
      </w:r>
      <w:r>
        <w:rPr>
          <w:rFonts w:ascii="Arial MT" w:hAnsi="Arial MT"/>
          <w:spacing w:val="-5"/>
          <w:sz w:val="16"/>
          <w:vertAlign w:val="baseline"/>
        </w:rPr>
        <w:t>55</w:t>
      </w:r>
    </w:p>
    <w:p>
      <w:pPr>
        <w:spacing w:before="19"/>
        <w:ind w:left="772" w:right="0" w:firstLine="0"/>
        <w:jc w:val="left"/>
        <w:rPr>
          <w:rFonts w:ascii="Arial MT"/>
          <w:sz w:val="16"/>
        </w:rPr>
      </w:pPr>
      <w:r>
        <w:rPr>
          <w:rFonts w:ascii="Arial MT"/>
          <w:sz w:val="16"/>
        </w:rPr>
        <w:t>Net</w:t>
      </w:r>
      <w:r>
        <w:rPr>
          <w:rFonts w:ascii="Arial MT"/>
          <w:spacing w:val="-4"/>
          <w:sz w:val="16"/>
        </w:rPr>
        <w:t> </w:t>
      </w:r>
      <w:r>
        <w:rPr>
          <w:rFonts w:ascii="Arial MT"/>
          <w:sz w:val="16"/>
        </w:rPr>
        <w:t>periodic</w:t>
      </w:r>
      <w:r>
        <w:rPr>
          <w:rFonts w:ascii="Arial MT"/>
          <w:spacing w:val="-4"/>
          <w:sz w:val="16"/>
        </w:rPr>
        <w:t> </w:t>
      </w:r>
      <w:r>
        <w:rPr>
          <w:rFonts w:ascii="Arial MT"/>
          <w:spacing w:val="-2"/>
          <w:sz w:val="16"/>
        </w:rPr>
        <w:t>pension</w:t>
      </w:r>
    </w:p>
    <w:p>
      <w:pPr>
        <w:tabs>
          <w:tab w:pos="2579" w:val="left" w:leader="none"/>
          <w:tab w:pos="3144" w:val="left" w:leader="none"/>
          <w:tab w:pos="3954" w:val="left" w:leader="none"/>
          <w:tab w:pos="4675" w:val="left" w:leader="none"/>
          <w:tab w:pos="5634" w:val="left" w:leader="none"/>
          <w:tab w:pos="6444" w:val="left" w:leader="none"/>
          <w:tab w:pos="7165" w:val="left" w:leader="none"/>
          <w:tab w:pos="8035" w:val="left" w:leader="none"/>
          <w:tab w:pos="8845" w:val="left" w:leader="none"/>
          <w:tab w:pos="9655" w:val="left" w:leader="none"/>
        </w:tabs>
        <w:spacing w:line="312" w:lineRule="auto" w:before="8" w:after="7"/>
        <w:ind w:left="952" w:right="876" w:hanging="180"/>
        <w:jc w:val="left"/>
        <w:rPr>
          <w:rFonts w:ascii="Arial MT"/>
          <w:sz w:val="16"/>
        </w:rPr>
      </w:pPr>
      <w:r>
        <w:rPr>
          <w:rFonts w:ascii="Arial MT"/>
          <w:sz w:val="16"/>
        </w:rPr>
        <mc:AlternateContent>
          <mc:Choice Requires="wps">
            <w:drawing>
              <wp:anchor distT="0" distB="0" distL="0" distR="0" allowOverlap="1" layoutInCell="1" locked="0" behindDoc="0" simplePos="0" relativeHeight="15887872">
                <wp:simplePos x="0" y="0"/>
                <wp:positionH relativeFrom="page">
                  <wp:posOffset>2095500</wp:posOffset>
                </wp:positionH>
                <wp:positionV relativeFrom="paragraph">
                  <wp:posOffset>153679</wp:posOffset>
                </wp:positionV>
                <wp:extent cx="4705350" cy="1270"/>
                <wp:effectExtent l="0" t="0" r="0" b="0"/>
                <wp:wrapNone/>
                <wp:docPr id="931" name="Graphic 931"/>
                <wp:cNvGraphicFramePr>
                  <a:graphicFrameLocks/>
                </wp:cNvGraphicFramePr>
                <a:graphic>
                  <a:graphicData uri="http://schemas.microsoft.com/office/word/2010/wordprocessingShape">
                    <wps:wsp>
                      <wps:cNvPr id="931" name="Graphic 931"/>
                      <wps:cNvSpPr/>
                      <wps:spPr>
                        <a:xfrm>
                          <a:off x="0" y="0"/>
                          <a:ext cx="4705350" cy="1270"/>
                        </a:xfrm>
                        <a:custGeom>
                          <a:avLst/>
                          <a:gdLst/>
                          <a:ahLst/>
                          <a:cxnLst/>
                          <a:rect l="l" t="t" r="r" b="b"/>
                          <a:pathLst>
                            <a:path w="4705350" h="0">
                              <a:moveTo>
                                <a:pt x="0" y="0"/>
                              </a:moveTo>
                              <a:lnTo>
                                <a:pt x="1543050" y="0"/>
                              </a:lnTo>
                            </a:path>
                            <a:path w="4705350" h="0">
                              <a:moveTo>
                                <a:pt x="1581150" y="0"/>
                              </a:moveTo>
                              <a:lnTo>
                                <a:pt x="3124200" y="0"/>
                              </a:lnTo>
                            </a:path>
                            <a:path w="4705350" h="0">
                              <a:moveTo>
                                <a:pt x="3162300" y="0"/>
                              </a:moveTo>
                              <a:lnTo>
                                <a:pt x="4705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5pt;margin-top:12.100781pt;width:370.5pt;height:.1pt;mso-position-horizontal-relative:page;mso-position-vertical-relative:paragraph;z-index:15887872" id="docshape772" coordorigin="3300,242" coordsize="7410,0" path="m3300,242l5730,242m5790,242l8220,242m8280,242l10710,242e" filled="false" stroked="true" strokeweight="1pt" strokecolor="#000000">
                <v:path arrowok="t"/>
                <v:stroke dashstyle="solid"/>
                <w10:wrap type="none"/>
              </v:shape>
            </w:pict>
          </mc:Fallback>
        </mc:AlternateContent>
      </w:r>
      <w:r>
        <w:rPr>
          <w:rFonts w:ascii="Arial MT"/>
          <w:spacing w:val="-4"/>
          <w:sz w:val="16"/>
        </w:rPr>
        <w:t>cost</w:t>
      </w:r>
      <w:r>
        <w:rPr>
          <w:rFonts w:ascii="Arial MT"/>
          <w:sz w:val="16"/>
        </w:rPr>
        <w:tab/>
      </w:r>
      <w:r>
        <w:rPr>
          <w:rFonts w:ascii="Arial MT"/>
          <w:sz w:val="16"/>
          <w:u w:val="single"/>
        </w:rPr>
        <w:t> $</w:t>
        <w:tab/>
        <w:t>72</w:t>
      </w:r>
      <w:r>
        <w:rPr>
          <w:rFonts w:ascii="Arial MT"/>
          <w:spacing w:val="40"/>
          <w:sz w:val="16"/>
          <w:u w:val="single"/>
        </w:rPr>
        <w:t> </w:t>
      </w:r>
      <w:r>
        <w:rPr>
          <w:rFonts w:ascii="Arial MT"/>
          <w:sz w:val="16"/>
          <w:u w:val="single"/>
        </w:rPr>
        <w:t>$</w:t>
        <w:tab/>
        <w:t>37</w:t>
      </w:r>
      <w:r>
        <w:rPr>
          <w:rFonts w:ascii="Arial MT"/>
          <w:spacing w:val="40"/>
          <w:sz w:val="16"/>
          <w:u w:val="single"/>
        </w:rPr>
        <w:t> </w:t>
      </w:r>
      <w:r>
        <w:rPr>
          <w:rFonts w:ascii="Arial MT"/>
          <w:sz w:val="16"/>
          <w:u w:val="single"/>
        </w:rPr>
        <w:t>$</w:t>
        <w:tab/>
        <w:t>577</w:t>
      </w:r>
      <w:r>
        <w:rPr>
          <w:rFonts w:ascii="Arial MT"/>
          <w:spacing w:val="80"/>
          <w:sz w:val="16"/>
          <w:u w:val="single"/>
        </w:rPr>
        <w:t> </w:t>
      </w:r>
      <w:r>
        <w:rPr>
          <w:rFonts w:ascii="Arial MT"/>
          <w:sz w:val="16"/>
          <w:u w:val="single"/>
        </w:rPr>
        <w:t>$</w:t>
        <w:tab/>
        <w:t>49</w:t>
      </w:r>
      <w:r>
        <w:rPr>
          <w:rFonts w:ascii="Arial MT"/>
          <w:spacing w:val="40"/>
          <w:sz w:val="16"/>
          <w:u w:val="single"/>
        </w:rPr>
        <w:t> </w:t>
      </w:r>
      <w:r>
        <w:rPr>
          <w:rFonts w:ascii="Arial MT"/>
          <w:sz w:val="16"/>
          <w:u w:val="single"/>
        </w:rPr>
        <w:t>$</w:t>
        <w:tab/>
        <w:t>91</w:t>
      </w:r>
      <w:r>
        <w:rPr>
          <w:rFonts w:ascii="Arial MT"/>
          <w:spacing w:val="40"/>
          <w:sz w:val="16"/>
          <w:u w:val="single"/>
        </w:rPr>
        <w:t> </w:t>
      </w:r>
      <w:r>
        <w:rPr>
          <w:rFonts w:ascii="Arial MT"/>
          <w:sz w:val="16"/>
          <w:u w:val="single"/>
        </w:rPr>
        <w:t>$</w:t>
        <w:tab/>
        <w:t>144</w:t>
      </w:r>
      <w:r>
        <w:rPr>
          <w:rFonts w:ascii="Arial MT"/>
          <w:spacing w:val="80"/>
          <w:sz w:val="16"/>
          <w:u w:val="single"/>
        </w:rPr>
        <w:t> </w:t>
      </w:r>
      <w:r>
        <w:rPr>
          <w:rFonts w:ascii="Arial MT"/>
          <w:sz w:val="16"/>
          <w:u w:val="single"/>
        </w:rPr>
        <w:t>$</w:t>
        <w:tab/>
        <w:t>188</w:t>
      </w:r>
      <w:r>
        <w:rPr>
          <w:rFonts w:ascii="Arial MT"/>
          <w:spacing w:val="40"/>
          <w:sz w:val="16"/>
          <w:u w:val="single"/>
        </w:rPr>
        <w:t> </w:t>
      </w:r>
      <w:r>
        <w:rPr>
          <w:rFonts w:ascii="Arial MT"/>
          <w:sz w:val="16"/>
          <w:u w:val="single"/>
        </w:rPr>
        <w:t>$</w:t>
        <w:tab/>
        <w:t>234</w:t>
      </w:r>
      <w:r>
        <w:rPr>
          <w:rFonts w:ascii="Arial MT"/>
          <w:spacing w:val="40"/>
          <w:sz w:val="16"/>
          <w:u w:val="single"/>
        </w:rPr>
        <w:t> </w:t>
      </w:r>
      <w:r>
        <w:rPr>
          <w:rFonts w:ascii="Arial MT"/>
          <w:sz w:val="16"/>
          <w:u w:val="single"/>
        </w:rPr>
        <w:t>$</w:t>
        <w:tab/>
      </w:r>
      <w:r>
        <w:rPr>
          <w:rFonts w:ascii="Arial MT"/>
          <w:spacing w:val="-4"/>
          <w:sz w:val="16"/>
          <w:u w:val="single"/>
        </w:rPr>
        <w:t>225</w:t>
      </w:r>
      <w:r>
        <w:rPr>
          <w:rFonts w:ascii="Arial MT"/>
          <w:spacing w:val="-4"/>
          <w:sz w:val="16"/>
        </w:rPr>
        <w:t> </w:t>
      </w:r>
      <w:r>
        <w:rPr>
          <w:rFonts w:ascii="Arial MT"/>
          <w:sz w:val="16"/>
        </w:rPr>
        <w:t>of which:</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2"/>
        <w:gridCol w:w="1390"/>
        <w:gridCol w:w="765"/>
        <w:gridCol w:w="523"/>
        <w:gridCol w:w="839"/>
        <w:gridCol w:w="809"/>
        <w:gridCol w:w="877"/>
        <w:gridCol w:w="802"/>
        <w:gridCol w:w="810"/>
        <w:gridCol w:w="818"/>
      </w:tblGrid>
      <w:tr>
        <w:trPr>
          <w:trHeight w:val="209" w:hRule="atLeast"/>
        </w:trPr>
        <w:tc>
          <w:tcPr>
            <w:tcW w:w="1632" w:type="dxa"/>
          </w:tcPr>
          <w:p>
            <w:pPr>
              <w:pStyle w:val="TableParagraph"/>
              <w:spacing w:line="179" w:lineRule="exact"/>
              <w:ind w:left="412"/>
              <w:rPr>
                <w:sz w:val="16"/>
              </w:rPr>
            </w:pPr>
            <w:r>
              <w:rPr>
                <w:sz w:val="16"/>
              </w:rPr>
              <w:t>IBRD’s</w:t>
            </w:r>
            <w:r>
              <w:rPr>
                <w:spacing w:val="-5"/>
                <w:sz w:val="16"/>
              </w:rPr>
              <w:t> </w:t>
            </w:r>
            <w:r>
              <w:rPr>
                <w:spacing w:val="-2"/>
                <w:sz w:val="16"/>
              </w:rPr>
              <w:t>share</w:t>
            </w:r>
          </w:p>
        </w:tc>
        <w:tc>
          <w:tcPr>
            <w:tcW w:w="1390" w:type="dxa"/>
          </w:tcPr>
          <w:p>
            <w:pPr>
              <w:pStyle w:val="TableParagraph"/>
              <w:tabs>
                <w:tab w:pos="792" w:val="left" w:leader="none"/>
              </w:tabs>
              <w:spacing w:line="179" w:lineRule="exact"/>
              <w:ind w:left="280"/>
              <w:rPr>
                <w:sz w:val="16"/>
              </w:rPr>
            </w:pPr>
            <w:r>
              <w:rPr>
                <w:spacing w:val="-10"/>
                <w:sz w:val="16"/>
              </w:rPr>
              <w:t>$</w:t>
            </w:r>
            <w:r>
              <w:rPr>
                <w:sz w:val="16"/>
              </w:rPr>
              <w:tab/>
              <w:t>34</w:t>
            </w:r>
            <w:r>
              <w:rPr>
                <w:spacing w:val="72"/>
                <w:sz w:val="16"/>
              </w:rPr>
              <w:t> </w:t>
            </w:r>
            <w:r>
              <w:rPr>
                <w:spacing w:val="-10"/>
                <w:sz w:val="16"/>
              </w:rPr>
              <w:t>$</w:t>
            </w:r>
          </w:p>
        </w:tc>
        <w:tc>
          <w:tcPr>
            <w:tcW w:w="765" w:type="dxa"/>
          </w:tcPr>
          <w:p>
            <w:pPr>
              <w:pStyle w:val="TableParagraph"/>
              <w:spacing w:line="179" w:lineRule="exact"/>
              <w:ind w:left="212"/>
              <w:rPr>
                <w:sz w:val="16"/>
              </w:rPr>
            </w:pPr>
            <w:r>
              <w:rPr>
                <w:sz w:val="16"/>
              </w:rPr>
              <w:t>17</w:t>
            </w:r>
            <w:r>
              <w:rPr>
                <w:spacing w:val="74"/>
                <w:sz w:val="16"/>
              </w:rPr>
              <w:t> </w:t>
            </w:r>
            <w:r>
              <w:rPr>
                <w:spacing w:val="-12"/>
                <w:sz w:val="16"/>
              </w:rPr>
              <w:t>$</w:t>
            </w:r>
          </w:p>
        </w:tc>
        <w:tc>
          <w:tcPr>
            <w:tcW w:w="523" w:type="dxa"/>
          </w:tcPr>
          <w:p>
            <w:pPr>
              <w:pStyle w:val="TableParagraph"/>
              <w:spacing w:line="179" w:lineRule="exact"/>
              <w:ind w:left="80"/>
              <w:jc w:val="center"/>
              <w:rPr>
                <w:sz w:val="16"/>
              </w:rPr>
            </w:pPr>
            <w:r>
              <w:rPr>
                <w:spacing w:val="-5"/>
                <w:sz w:val="16"/>
              </w:rPr>
              <w:t>276</w:t>
            </w:r>
          </w:p>
        </w:tc>
        <w:tc>
          <w:tcPr>
            <w:tcW w:w="839" w:type="dxa"/>
          </w:tcPr>
          <w:p>
            <w:pPr>
              <w:pStyle w:val="TableParagraph"/>
              <w:tabs>
                <w:tab w:pos="511" w:val="left" w:leader="none"/>
              </w:tabs>
              <w:spacing w:line="179" w:lineRule="exact"/>
              <w:ind w:right="55"/>
              <w:jc w:val="right"/>
              <w:rPr>
                <w:sz w:val="16"/>
              </w:rPr>
            </w:pPr>
            <w:r>
              <w:rPr>
                <w:spacing w:val="-10"/>
                <w:sz w:val="16"/>
              </w:rPr>
              <w:t>$</w:t>
            </w:r>
            <w:r>
              <w:rPr>
                <w:sz w:val="16"/>
              </w:rPr>
              <w:tab/>
            </w:r>
            <w:r>
              <w:rPr>
                <w:spacing w:val="-5"/>
                <w:sz w:val="16"/>
              </w:rPr>
              <w:t>23</w:t>
            </w:r>
          </w:p>
        </w:tc>
        <w:tc>
          <w:tcPr>
            <w:tcW w:w="809" w:type="dxa"/>
          </w:tcPr>
          <w:p>
            <w:pPr>
              <w:pStyle w:val="TableParagraph"/>
              <w:tabs>
                <w:tab w:pos="511" w:val="left" w:leader="none"/>
              </w:tabs>
              <w:spacing w:line="179" w:lineRule="exact"/>
              <w:ind w:right="54"/>
              <w:jc w:val="right"/>
              <w:rPr>
                <w:sz w:val="16"/>
              </w:rPr>
            </w:pPr>
            <w:r>
              <w:rPr>
                <w:spacing w:val="-10"/>
                <w:sz w:val="16"/>
              </w:rPr>
              <w:t>$</w:t>
            </w:r>
            <w:r>
              <w:rPr>
                <w:sz w:val="16"/>
              </w:rPr>
              <w:tab/>
            </w:r>
            <w:r>
              <w:rPr>
                <w:spacing w:val="-5"/>
                <w:sz w:val="16"/>
              </w:rPr>
              <w:t>44</w:t>
            </w:r>
          </w:p>
        </w:tc>
        <w:tc>
          <w:tcPr>
            <w:tcW w:w="877" w:type="dxa"/>
          </w:tcPr>
          <w:p>
            <w:pPr>
              <w:pStyle w:val="TableParagraph"/>
              <w:tabs>
                <w:tab w:pos="511" w:val="left" w:leader="none"/>
              </w:tabs>
              <w:spacing w:line="179" w:lineRule="exact"/>
              <w:ind w:right="121"/>
              <w:jc w:val="right"/>
              <w:rPr>
                <w:sz w:val="16"/>
              </w:rPr>
            </w:pPr>
            <w:r>
              <w:rPr>
                <w:spacing w:val="-10"/>
                <w:sz w:val="16"/>
              </w:rPr>
              <w:t>$</w:t>
            </w:r>
            <w:r>
              <w:rPr>
                <w:sz w:val="16"/>
              </w:rPr>
              <w:tab/>
            </w:r>
            <w:r>
              <w:rPr>
                <w:spacing w:val="-5"/>
                <w:sz w:val="16"/>
              </w:rPr>
              <w:t>69</w:t>
            </w:r>
          </w:p>
        </w:tc>
        <w:tc>
          <w:tcPr>
            <w:tcW w:w="802" w:type="dxa"/>
          </w:tcPr>
          <w:p>
            <w:pPr>
              <w:pStyle w:val="TableParagraph"/>
              <w:tabs>
                <w:tab w:pos="511" w:val="left" w:leader="none"/>
              </w:tabs>
              <w:spacing w:line="179" w:lineRule="exact"/>
              <w:ind w:right="53"/>
              <w:jc w:val="right"/>
              <w:rPr>
                <w:sz w:val="16"/>
              </w:rPr>
            </w:pPr>
            <w:r>
              <w:rPr>
                <w:spacing w:val="-10"/>
                <w:sz w:val="16"/>
              </w:rPr>
              <w:t>$</w:t>
            </w:r>
            <w:r>
              <w:rPr>
                <w:sz w:val="16"/>
              </w:rPr>
              <w:tab/>
            </w:r>
            <w:r>
              <w:rPr>
                <w:spacing w:val="-5"/>
                <w:sz w:val="16"/>
              </w:rPr>
              <w:t>89</w:t>
            </w:r>
          </w:p>
        </w:tc>
        <w:tc>
          <w:tcPr>
            <w:tcW w:w="810" w:type="dxa"/>
          </w:tcPr>
          <w:p>
            <w:pPr>
              <w:pStyle w:val="TableParagraph"/>
              <w:tabs>
                <w:tab w:pos="422" w:val="left" w:leader="none"/>
              </w:tabs>
              <w:spacing w:line="179" w:lineRule="exact"/>
              <w:ind w:right="53"/>
              <w:jc w:val="right"/>
              <w:rPr>
                <w:sz w:val="16"/>
              </w:rPr>
            </w:pPr>
            <w:r>
              <w:rPr>
                <w:spacing w:val="-10"/>
                <w:sz w:val="16"/>
              </w:rPr>
              <w:t>$</w:t>
            </w:r>
            <w:r>
              <w:rPr>
                <w:sz w:val="16"/>
              </w:rPr>
              <w:tab/>
            </w:r>
            <w:r>
              <w:rPr>
                <w:spacing w:val="-5"/>
                <w:sz w:val="16"/>
              </w:rPr>
              <w:t>110</w:t>
            </w:r>
          </w:p>
        </w:tc>
        <w:tc>
          <w:tcPr>
            <w:tcW w:w="818" w:type="dxa"/>
          </w:tcPr>
          <w:p>
            <w:pPr>
              <w:pStyle w:val="TableParagraph"/>
              <w:tabs>
                <w:tab w:pos="422" w:val="left" w:leader="none"/>
              </w:tabs>
              <w:spacing w:line="179" w:lineRule="exact"/>
              <w:ind w:right="61"/>
              <w:jc w:val="right"/>
              <w:rPr>
                <w:sz w:val="16"/>
              </w:rPr>
            </w:pPr>
            <w:r>
              <w:rPr>
                <w:spacing w:val="-10"/>
                <w:sz w:val="16"/>
              </w:rPr>
              <w:t>$</w:t>
            </w:r>
            <w:r>
              <w:rPr>
                <w:sz w:val="16"/>
              </w:rPr>
              <w:tab/>
            </w:r>
            <w:r>
              <w:rPr>
                <w:spacing w:val="-5"/>
                <w:sz w:val="16"/>
              </w:rPr>
              <w:t>107</w:t>
            </w:r>
          </w:p>
        </w:tc>
      </w:tr>
      <w:tr>
        <w:trPr>
          <w:trHeight w:val="469" w:hRule="atLeast"/>
        </w:trPr>
        <w:tc>
          <w:tcPr>
            <w:tcW w:w="1632" w:type="dxa"/>
          </w:tcPr>
          <w:p>
            <w:pPr>
              <w:pStyle w:val="TableParagraph"/>
              <w:spacing w:before="25"/>
              <w:ind w:left="412"/>
              <w:rPr>
                <w:sz w:val="16"/>
              </w:rPr>
            </w:pPr>
            <w:r>
              <w:rPr>
                <w:spacing w:val="-2"/>
                <w:sz w:val="16"/>
              </w:rPr>
              <w:t>IDA’s</w:t>
            </w:r>
            <w:r>
              <w:rPr>
                <w:spacing w:val="-8"/>
                <w:sz w:val="16"/>
              </w:rPr>
              <w:t> </w:t>
            </w:r>
            <w:r>
              <w:rPr>
                <w:spacing w:val="-2"/>
                <w:sz w:val="16"/>
              </w:rPr>
              <w:t>share</w:t>
            </w:r>
          </w:p>
        </w:tc>
        <w:tc>
          <w:tcPr>
            <w:tcW w:w="1390" w:type="dxa"/>
          </w:tcPr>
          <w:p>
            <w:pPr>
              <w:pStyle w:val="TableParagraph"/>
              <w:spacing w:before="25"/>
              <w:ind w:left="792"/>
              <w:rPr>
                <w:sz w:val="16"/>
              </w:rPr>
            </w:pPr>
            <w:r>
              <w:rPr>
                <w:spacing w:val="-5"/>
                <w:sz w:val="16"/>
              </w:rPr>
              <w:t>38</w:t>
            </w:r>
          </w:p>
        </w:tc>
        <w:tc>
          <w:tcPr>
            <w:tcW w:w="765" w:type="dxa"/>
          </w:tcPr>
          <w:p>
            <w:pPr>
              <w:pStyle w:val="TableParagraph"/>
              <w:spacing w:before="25"/>
              <w:ind w:left="212"/>
              <w:rPr>
                <w:sz w:val="16"/>
              </w:rPr>
            </w:pPr>
            <w:r>
              <w:rPr>
                <w:spacing w:val="-5"/>
                <w:sz w:val="16"/>
              </w:rPr>
              <w:t>20</w:t>
            </w:r>
          </w:p>
        </w:tc>
        <w:tc>
          <w:tcPr>
            <w:tcW w:w="523" w:type="dxa"/>
          </w:tcPr>
          <w:p>
            <w:pPr>
              <w:pStyle w:val="TableParagraph"/>
              <w:spacing w:before="25"/>
              <w:ind w:left="80"/>
              <w:jc w:val="center"/>
              <w:rPr>
                <w:sz w:val="16"/>
              </w:rPr>
            </w:pPr>
            <w:r>
              <w:rPr>
                <w:spacing w:val="-5"/>
                <w:sz w:val="16"/>
              </w:rPr>
              <w:t>301</w:t>
            </w:r>
          </w:p>
        </w:tc>
        <w:tc>
          <w:tcPr>
            <w:tcW w:w="839" w:type="dxa"/>
          </w:tcPr>
          <w:p>
            <w:pPr>
              <w:pStyle w:val="TableParagraph"/>
              <w:spacing w:before="25"/>
              <w:ind w:right="55"/>
              <w:jc w:val="right"/>
              <w:rPr>
                <w:sz w:val="16"/>
              </w:rPr>
            </w:pPr>
            <w:r>
              <w:rPr>
                <w:spacing w:val="-5"/>
                <w:sz w:val="16"/>
              </w:rPr>
              <w:t>26</w:t>
            </w:r>
          </w:p>
        </w:tc>
        <w:tc>
          <w:tcPr>
            <w:tcW w:w="809" w:type="dxa"/>
          </w:tcPr>
          <w:p>
            <w:pPr>
              <w:pStyle w:val="TableParagraph"/>
              <w:spacing w:before="25"/>
              <w:ind w:right="54"/>
              <w:jc w:val="right"/>
              <w:rPr>
                <w:sz w:val="16"/>
              </w:rPr>
            </w:pPr>
            <w:r>
              <w:rPr>
                <w:spacing w:val="-5"/>
                <w:sz w:val="16"/>
              </w:rPr>
              <w:t>47</w:t>
            </w:r>
          </w:p>
        </w:tc>
        <w:tc>
          <w:tcPr>
            <w:tcW w:w="877" w:type="dxa"/>
          </w:tcPr>
          <w:p>
            <w:pPr>
              <w:pStyle w:val="TableParagraph"/>
              <w:spacing w:before="25"/>
              <w:ind w:right="121"/>
              <w:jc w:val="right"/>
              <w:rPr>
                <w:sz w:val="16"/>
              </w:rPr>
            </w:pPr>
            <w:r>
              <w:rPr>
                <w:spacing w:val="-5"/>
                <w:sz w:val="16"/>
              </w:rPr>
              <w:t>75</w:t>
            </w:r>
          </w:p>
        </w:tc>
        <w:tc>
          <w:tcPr>
            <w:tcW w:w="802" w:type="dxa"/>
          </w:tcPr>
          <w:p>
            <w:pPr>
              <w:pStyle w:val="TableParagraph"/>
              <w:spacing w:before="25"/>
              <w:ind w:right="53"/>
              <w:jc w:val="right"/>
              <w:rPr>
                <w:sz w:val="16"/>
              </w:rPr>
            </w:pPr>
            <w:r>
              <w:rPr>
                <w:spacing w:val="-5"/>
                <w:sz w:val="16"/>
              </w:rPr>
              <w:t>99</w:t>
            </w:r>
          </w:p>
        </w:tc>
        <w:tc>
          <w:tcPr>
            <w:tcW w:w="810" w:type="dxa"/>
          </w:tcPr>
          <w:p>
            <w:pPr>
              <w:pStyle w:val="TableParagraph"/>
              <w:spacing w:before="25"/>
              <w:ind w:right="53"/>
              <w:jc w:val="right"/>
              <w:rPr>
                <w:sz w:val="16"/>
              </w:rPr>
            </w:pPr>
            <w:r>
              <w:rPr>
                <w:spacing w:val="-5"/>
                <w:sz w:val="16"/>
              </w:rPr>
              <w:t>124</w:t>
            </w:r>
          </w:p>
        </w:tc>
        <w:tc>
          <w:tcPr>
            <w:tcW w:w="818" w:type="dxa"/>
          </w:tcPr>
          <w:p>
            <w:pPr>
              <w:pStyle w:val="TableParagraph"/>
              <w:spacing w:before="25"/>
              <w:ind w:right="61"/>
              <w:jc w:val="right"/>
              <w:rPr>
                <w:sz w:val="16"/>
              </w:rPr>
            </w:pPr>
            <w:r>
              <w:rPr>
                <w:spacing w:val="-5"/>
                <w:sz w:val="16"/>
              </w:rPr>
              <w:t>118</w:t>
            </w:r>
          </w:p>
        </w:tc>
      </w:tr>
      <w:tr>
        <w:trPr>
          <w:trHeight w:val="220" w:hRule="atLeast"/>
        </w:trPr>
        <w:tc>
          <w:tcPr>
            <w:tcW w:w="6835" w:type="dxa"/>
            <w:gridSpan w:val="7"/>
            <w:tcBorders>
              <w:top w:val="single" w:sz="8" w:space="0" w:color="000000"/>
            </w:tcBorders>
          </w:tcPr>
          <w:p>
            <w:pPr>
              <w:pStyle w:val="TableParagraph"/>
              <w:rPr>
                <w:rFonts w:ascii="Times New Roman"/>
                <w:sz w:val="14"/>
              </w:rPr>
            </w:pPr>
          </w:p>
        </w:tc>
        <w:tc>
          <w:tcPr>
            <w:tcW w:w="802" w:type="dxa"/>
            <w:tcBorders>
              <w:top w:val="single" w:sz="8" w:space="0" w:color="000000"/>
              <w:bottom w:val="single" w:sz="8" w:space="0" w:color="000000"/>
            </w:tcBorders>
          </w:tcPr>
          <w:p>
            <w:pPr>
              <w:pStyle w:val="TableParagraph"/>
              <w:spacing w:line="183" w:lineRule="exact" w:before="16"/>
              <w:ind w:left="232"/>
              <w:rPr>
                <w:rFonts w:ascii="Arial"/>
                <w:i/>
                <w:sz w:val="16"/>
              </w:rPr>
            </w:pPr>
            <w:r>
              <w:rPr>
                <w:rFonts w:ascii="Arial"/>
                <w:i/>
                <w:spacing w:val="-4"/>
                <w:sz w:val="16"/>
              </w:rPr>
              <w:t>2023</w:t>
            </w:r>
          </w:p>
        </w:tc>
        <w:tc>
          <w:tcPr>
            <w:tcW w:w="810" w:type="dxa"/>
            <w:tcBorders>
              <w:top w:val="single" w:sz="8" w:space="0" w:color="000000"/>
              <w:bottom w:val="single" w:sz="8" w:space="0" w:color="000000"/>
            </w:tcBorders>
          </w:tcPr>
          <w:p>
            <w:pPr>
              <w:pStyle w:val="TableParagraph"/>
              <w:spacing w:line="183" w:lineRule="exact" w:before="16"/>
              <w:ind w:left="240"/>
              <w:rPr>
                <w:rFonts w:ascii="Arial"/>
                <w:i/>
                <w:sz w:val="16"/>
              </w:rPr>
            </w:pPr>
            <w:r>
              <w:rPr>
                <w:rFonts w:ascii="Arial"/>
                <w:i/>
                <w:spacing w:val="-4"/>
                <w:sz w:val="16"/>
              </w:rPr>
              <w:t>2022</w:t>
            </w:r>
          </w:p>
        </w:tc>
        <w:tc>
          <w:tcPr>
            <w:tcW w:w="818" w:type="dxa"/>
            <w:tcBorders>
              <w:top w:val="single" w:sz="8" w:space="0" w:color="000000"/>
              <w:bottom w:val="single" w:sz="8" w:space="0" w:color="000000"/>
            </w:tcBorders>
          </w:tcPr>
          <w:p>
            <w:pPr>
              <w:pStyle w:val="TableParagraph"/>
              <w:spacing w:line="183" w:lineRule="exact" w:before="16"/>
              <w:ind w:left="240"/>
              <w:rPr>
                <w:rFonts w:ascii="Arial"/>
                <w:i/>
                <w:sz w:val="16"/>
              </w:rPr>
            </w:pPr>
            <w:r>
              <w:rPr>
                <w:rFonts w:ascii="Arial"/>
                <w:i/>
                <w:spacing w:val="-4"/>
                <w:sz w:val="16"/>
              </w:rPr>
              <w:t>2021</w:t>
            </w:r>
          </w:p>
        </w:tc>
      </w:tr>
      <w:tr>
        <w:trPr>
          <w:trHeight w:val="470" w:hRule="atLeast"/>
        </w:trPr>
        <w:tc>
          <w:tcPr>
            <w:tcW w:w="6835" w:type="dxa"/>
            <w:gridSpan w:val="7"/>
          </w:tcPr>
          <w:p>
            <w:pPr>
              <w:pStyle w:val="TableParagraph"/>
              <w:spacing w:before="16"/>
              <w:ind w:left="52"/>
              <w:rPr>
                <w:sz w:val="16"/>
              </w:rPr>
            </w:pPr>
            <w:r>
              <w:rPr>
                <w:sz w:val="16"/>
              </w:rPr>
              <w:t>Net</w:t>
            </w:r>
            <w:r>
              <w:rPr>
                <w:spacing w:val="-4"/>
                <w:sz w:val="16"/>
              </w:rPr>
              <w:t> </w:t>
            </w:r>
            <w:r>
              <w:rPr>
                <w:sz w:val="16"/>
              </w:rPr>
              <w:t>periodic</w:t>
            </w:r>
            <w:r>
              <w:rPr>
                <w:spacing w:val="-3"/>
                <w:sz w:val="16"/>
              </w:rPr>
              <w:t> </w:t>
            </w:r>
            <w:r>
              <w:rPr>
                <w:sz w:val="16"/>
              </w:rPr>
              <w:t>pension</w:t>
            </w:r>
            <w:r>
              <w:rPr>
                <w:spacing w:val="-4"/>
                <w:sz w:val="16"/>
              </w:rPr>
              <w:t> </w:t>
            </w:r>
            <w:r>
              <w:rPr>
                <w:sz w:val="16"/>
              </w:rPr>
              <w:t>cost</w:t>
            </w:r>
            <w:r>
              <w:rPr>
                <w:spacing w:val="-3"/>
                <w:sz w:val="16"/>
              </w:rPr>
              <w:t> </w:t>
            </w:r>
            <w:r>
              <w:rPr>
                <w:sz w:val="16"/>
              </w:rPr>
              <w:t>(all</w:t>
            </w:r>
            <w:r>
              <w:rPr>
                <w:spacing w:val="-3"/>
                <w:sz w:val="16"/>
              </w:rPr>
              <w:t> </w:t>
            </w:r>
            <w:r>
              <w:rPr>
                <w:sz w:val="16"/>
              </w:rPr>
              <w:t>three</w:t>
            </w:r>
            <w:r>
              <w:rPr>
                <w:spacing w:val="-4"/>
                <w:sz w:val="16"/>
              </w:rPr>
              <w:t> </w:t>
            </w:r>
            <w:r>
              <w:rPr>
                <w:sz w:val="16"/>
              </w:rPr>
              <w:t>plans</w:t>
            </w:r>
            <w:r>
              <w:rPr>
                <w:spacing w:val="-3"/>
                <w:sz w:val="16"/>
              </w:rPr>
              <w:t> </w:t>
            </w:r>
            <w:r>
              <w:rPr>
                <w:spacing w:val="-2"/>
                <w:sz w:val="16"/>
              </w:rPr>
              <w:t>combined)</w:t>
            </w:r>
          </w:p>
          <w:p>
            <w:pPr>
              <w:pStyle w:val="TableParagraph"/>
              <w:spacing w:before="56"/>
              <w:ind w:left="412"/>
              <w:rPr>
                <w:sz w:val="16"/>
              </w:rPr>
            </w:pPr>
            <w:r>
              <w:rPr>
                <w:sz w:val="16"/>
              </w:rPr>
              <w:t>IBRD’s</w:t>
            </w:r>
            <w:r>
              <w:rPr>
                <w:spacing w:val="-5"/>
                <w:sz w:val="16"/>
              </w:rPr>
              <w:t> </w:t>
            </w:r>
            <w:r>
              <w:rPr>
                <w:spacing w:val="-2"/>
                <w:sz w:val="16"/>
              </w:rPr>
              <w:t>share</w:t>
            </w:r>
          </w:p>
        </w:tc>
        <w:tc>
          <w:tcPr>
            <w:tcW w:w="802" w:type="dxa"/>
            <w:tcBorders>
              <w:top w:val="single" w:sz="8" w:space="0" w:color="000000"/>
            </w:tcBorders>
          </w:tcPr>
          <w:p>
            <w:pPr>
              <w:pStyle w:val="TableParagraph"/>
              <w:spacing w:before="72"/>
              <w:rPr>
                <w:sz w:val="16"/>
              </w:rPr>
            </w:pPr>
          </w:p>
          <w:p>
            <w:pPr>
              <w:pStyle w:val="TableParagraph"/>
              <w:tabs>
                <w:tab w:pos="422" w:val="left" w:leader="none"/>
              </w:tabs>
              <w:ind w:right="53"/>
              <w:jc w:val="right"/>
              <w:rPr>
                <w:sz w:val="16"/>
              </w:rPr>
            </w:pPr>
            <w:r>
              <w:rPr>
                <w:spacing w:val="-10"/>
                <w:sz w:val="16"/>
              </w:rPr>
              <w:t>$</w:t>
            </w:r>
            <w:r>
              <w:rPr>
                <w:sz w:val="16"/>
              </w:rPr>
              <w:tab/>
            </w:r>
            <w:r>
              <w:rPr>
                <w:spacing w:val="-5"/>
                <w:sz w:val="16"/>
              </w:rPr>
              <w:t>146</w:t>
            </w:r>
          </w:p>
        </w:tc>
        <w:tc>
          <w:tcPr>
            <w:tcW w:w="810" w:type="dxa"/>
            <w:tcBorders>
              <w:top w:val="single" w:sz="8" w:space="0" w:color="000000"/>
            </w:tcBorders>
          </w:tcPr>
          <w:p>
            <w:pPr>
              <w:pStyle w:val="TableParagraph"/>
              <w:spacing w:before="72"/>
              <w:rPr>
                <w:sz w:val="16"/>
              </w:rPr>
            </w:pPr>
          </w:p>
          <w:p>
            <w:pPr>
              <w:pStyle w:val="TableParagraph"/>
              <w:tabs>
                <w:tab w:pos="422" w:val="left" w:leader="none"/>
              </w:tabs>
              <w:ind w:right="53"/>
              <w:jc w:val="right"/>
              <w:rPr>
                <w:sz w:val="16"/>
              </w:rPr>
            </w:pPr>
            <w:r>
              <w:rPr>
                <w:spacing w:val="-10"/>
                <w:sz w:val="16"/>
              </w:rPr>
              <w:t>$</w:t>
            </w:r>
            <w:r>
              <w:rPr>
                <w:sz w:val="16"/>
              </w:rPr>
              <w:tab/>
            </w:r>
            <w:r>
              <w:rPr>
                <w:spacing w:val="-5"/>
                <w:sz w:val="16"/>
              </w:rPr>
              <w:t>171</w:t>
            </w:r>
          </w:p>
        </w:tc>
        <w:tc>
          <w:tcPr>
            <w:tcW w:w="818" w:type="dxa"/>
            <w:tcBorders>
              <w:top w:val="single" w:sz="8" w:space="0" w:color="000000"/>
            </w:tcBorders>
          </w:tcPr>
          <w:p>
            <w:pPr>
              <w:pStyle w:val="TableParagraph"/>
              <w:spacing w:before="72"/>
              <w:rPr>
                <w:sz w:val="16"/>
              </w:rPr>
            </w:pPr>
          </w:p>
          <w:p>
            <w:pPr>
              <w:pStyle w:val="TableParagraph"/>
              <w:tabs>
                <w:tab w:pos="422" w:val="left" w:leader="none"/>
              </w:tabs>
              <w:ind w:right="61"/>
              <w:jc w:val="right"/>
              <w:rPr>
                <w:sz w:val="16"/>
              </w:rPr>
            </w:pPr>
            <w:r>
              <w:rPr>
                <w:spacing w:val="-10"/>
                <w:sz w:val="16"/>
              </w:rPr>
              <w:t>$</w:t>
            </w:r>
            <w:r>
              <w:rPr>
                <w:sz w:val="16"/>
              </w:rPr>
              <w:tab/>
            </w:r>
            <w:r>
              <w:rPr>
                <w:spacing w:val="-5"/>
                <w:sz w:val="16"/>
              </w:rPr>
              <w:t>452</w:t>
            </w:r>
          </w:p>
        </w:tc>
      </w:tr>
      <w:tr>
        <w:trPr>
          <w:trHeight w:val="209" w:hRule="atLeast"/>
        </w:trPr>
        <w:tc>
          <w:tcPr>
            <w:tcW w:w="6835" w:type="dxa"/>
            <w:gridSpan w:val="7"/>
          </w:tcPr>
          <w:p>
            <w:pPr>
              <w:pStyle w:val="TableParagraph"/>
              <w:spacing w:line="164" w:lineRule="exact" w:before="25"/>
              <w:ind w:left="412"/>
              <w:rPr>
                <w:sz w:val="16"/>
              </w:rPr>
            </w:pPr>
            <w:r>
              <w:rPr>
                <w:spacing w:val="-2"/>
                <w:sz w:val="16"/>
              </w:rPr>
              <w:t>IDA’s</w:t>
            </w:r>
            <w:r>
              <w:rPr>
                <w:spacing w:val="-8"/>
                <w:sz w:val="16"/>
              </w:rPr>
              <w:t> </w:t>
            </w:r>
            <w:r>
              <w:rPr>
                <w:spacing w:val="-2"/>
                <w:sz w:val="16"/>
              </w:rPr>
              <w:t>share</w:t>
            </w:r>
          </w:p>
        </w:tc>
        <w:tc>
          <w:tcPr>
            <w:tcW w:w="802" w:type="dxa"/>
          </w:tcPr>
          <w:p>
            <w:pPr>
              <w:pStyle w:val="TableParagraph"/>
              <w:spacing w:line="164" w:lineRule="exact" w:before="25"/>
              <w:ind w:right="53"/>
              <w:jc w:val="right"/>
              <w:rPr>
                <w:sz w:val="16"/>
              </w:rPr>
            </w:pPr>
            <w:r>
              <w:rPr>
                <w:spacing w:val="-5"/>
                <w:sz w:val="16"/>
              </w:rPr>
              <w:t>163</w:t>
            </w:r>
          </w:p>
        </w:tc>
        <w:tc>
          <w:tcPr>
            <w:tcW w:w="810" w:type="dxa"/>
          </w:tcPr>
          <w:p>
            <w:pPr>
              <w:pStyle w:val="TableParagraph"/>
              <w:spacing w:line="164" w:lineRule="exact" w:before="25"/>
              <w:ind w:right="53"/>
              <w:jc w:val="right"/>
              <w:rPr>
                <w:sz w:val="16"/>
              </w:rPr>
            </w:pPr>
            <w:r>
              <w:rPr>
                <w:spacing w:val="-5"/>
                <w:sz w:val="16"/>
              </w:rPr>
              <w:t>191</w:t>
            </w:r>
          </w:p>
        </w:tc>
        <w:tc>
          <w:tcPr>
            <w:tcW w:w="818" w:type="dxa"/>
          </w:tcPr>
          <w:p>
            <w:pPr>
              <w:pStyle w:val="TableParagraph"/>
              <w:spacing w:line="164" w:lineRule="exact" w:before="25"/>
              <w:ind w:right="61"/>
              <w:jc w:val="right"/>
              <w:rPr>
                <w:sz w:val="16"/>
              </w:rPr>
            </w:pPr>
            <w:r>
              <w:rPr>
                <w:spacing w:val="-5"/>
                <w:sz w:val="16"/>
              </w:rPr>
              <w:t>494</w:t>
            </w:r>
          </w:p>
        </w:tc>
      </w:tr>
    </w:tbl>
    <w:p>
      <w:pPr>
        <w:pStyle w:val="BodyText"/>
        <w:spacing w:before="17"/>
        <w:rPr>
          <w:rFonts w:ascii="Arial MT"/>
        </w:rPr>
      </w:pPr>
      <w:r>
        <w:rPr>
          <w:rFonts w:ascii="Arial MT"/>
        </w:rPr>
        <mc:AlternateContent>
          <mc:Choice Requires="wps">
            <w:drawing>
              <wp:anchor distT="0" distB="0" distL="0" distR="0" allowOverlap="1" layoutInCell="1" locked="0" behindDoc="1" simplePos="0" relativeHeight="487746560">
                <wp:simplePos x="0" y="0"/>
                <wp:positionH relativeFrom="page">
                  <wp:posOffset>914400</wp:posOffset>
                </wp:positionH>
                <wp:positionV relativeFrom="paragraph">
                  <wp:posOffset>172366</wp:posOffset>
                </wp:positionV>
                <wp:extent cx="5886450" cy="1270"/>
                <wp:effectExtent l="0" t="0" r="0" b="0"/>
                <wp:wrapTopAndBottom/>
                <wp:docPr id="932" name="Graphic 932"/>
                <wp:cNvGraphicFramePr>
                  <a:graphicFrameLocks/>
                </wp:cNvGraphicFramePr>
                <a:graphic>
                  <a:graphicData uri="http://schemas.microsoft.com/office/word/2010/wordprocessingShape">
                    <wps:wsp>
                      <wps:cNvPr id="932" name="Graphic 932"/>
                      <wps:cNvSpPr/>
                      <wps:spPr>
                        <a:xfrm>
                          <a:off x="0" y="0"/>
                          <a:ext cx="5886450" cy="1270"/>
                        </a:xfrm>
                        <a:custGeom>
                          <a:avLst/>
                          <a:gdLst/>
                          <a:ahLst/>
                          <a:cxnLst/>
                          <a:rect l="l" t="t" r="r" b="b"/>
                          <a:pathLst>
                            <a:path w="5886450" h="0">
                              <a:moveTo>
                                <a:pt x="0" y="0"/>
                              </a:moveTo>
                              <a:lnTo>
                                <a:pt x="5886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72178pt;width:463.5pt;height:.1pt;mso-position-horizontal-relative:page;mso-position-vertical-relative:paragraph;z-index:-15569920;mso-wrap-distance-left:0;mso-wrap-distance-right:0" id="docshape773" coordorigin="1440,271" coordsize="9270,0" path="m1440,271l10710,271e" filled="false" stroked="true" strokeweight="1pt" strokecolor="#000000">
                <v:path arrowok="t"/>
                <v:stroke dashstyle="solid"/>
                <w10:wrap type="topAndBottom"/>
              </v:shape>
            </w:pict>
          </mc:Fallback>
        </mc:AlternateContent>
      </w:r>
    </w:p>
    <w:p>
      <w:pPr>
        <w:spacing w:before="16"/>
        <w:ind w:left="772" w:right="0" w:firstLine="0"/>
        <w:jc w:val="left"/>
        <w:rPr>
          <w:rFonts w:ascii="Arial" w:hAnsi="Arial"/>
          <w:i/>
          <w:sz w:val="16"/>
        </w:rPr>
      </w:pPr>
      <w:r>
        <w:rPr>
          <w:rFonts w:ascii="Arial" w:hAnsi="Arial"/>
          <w:i/>
          <w:sz w:val="16"/>
        </w:rPr>
        <w:t>a.</w:t>
      </w:r>
      <w:r>
        <w:rPr>
          <w:rFonts w:ascii="Arial" w:hAnsi="Arial"/>
          <w:i/>
          <w:spacing w:val="-6"/>
          <w:sz w:val="16"/>
        </w:rPr>
        <w:t> </w:t>
      </w:r>
      <w:r>
        <w:rPr>
          <w:rFonts w:ascii="Arial" w:hAnsi="Arial"/>
          <w:i/>
          <w:sz w:val="16"/>
        </w:rPr>
        <w:t>Included</w:t>
      </w:r>
      <w:r>
        <w:rPr>
          <w:rFonts w:ascii="Arial" w:hAnsi="Arial"/>
          <w:i/>
          <w:spacing w:val="-4"/>
          <w:sz w:val="16"/>
        </w:rPr>
        <w:t> </w:t>
      </w:r>
      <w:r>
        <w:rPr>
          <w:rFonts w:ascii="Arial" w:hAnsi="Arial"/>
          <w:i/>
          <w:sz w:val="16"/>
        </w:rPr>
        <w:t>in</w:t>
      </w:r>
      <w:r>
        <w:rPr>
          <w:rFonts w:ascii="Arial" w:hAnsi="Arial"/>
          <w:i/>
          <w:spacing w:val="-4"/>
          <w:sz w:val="16"/>
        </w:rPr>
        <w:t> </w:t>
      </w:r>
      <w:r>
        <w:rPr>
          <w:rFonts w:ascii="Arial" w:hAnsi="Arial"/>
          <w:i/>
          <w:sz w:val="16"/>
        </w:rPr>
        <w:t>Amounts</w:t>
      </w:r>
      <w:r>
        <w:rPr>
          <w:rFonts w:ascii="Arial" w:hAnsi="Arial"/>
          <w:i/>
          <w:spacing w:val="-3"/>
          <w:sz w:val="16"/>
        </w:rPr>
        <w:t> </w:t>
      </w:r>
      <w:r>
        <w:rPr>
          <w:rFonts w:ascii="Arial" w:hAnsi="Arial"/>
          <w:i/>
          <w:sz w:val="16"/>
        </w:rPr>
        <w:t>reclassified</w:t>
      </w:r>
      <w:r>
        <w:rPr>
          <w:rFonts w:ascii="Arial" w:hAnsi="Arial"/>
          <w:i/>
          <w:spacing w:val="-4"/>
          <w:sz w:val="16"/>
        </w:rPr>
        <w:t> </w:t>
      </w:r>
      <w:r>
        <w:rPr>
          <w:rFonts w:ascii="Arial" w:hAnsi="Arial"/>
          <w:i/>
          <w:sz w:val="16"/>
        </w:rPr>
        <w:t>into</w:t>
      </w:r>
      <w:r>
        <w:rPr>
          <w:rFonts w:ascii="Arial" w:hAnsi="Arial"/>
          <w:i/>
          <w:spacing w:val="-4"/>
          <w:sz w:val="16"/>
        </w:rPr>
        <w:t> </w:t>
      </w:r>
      <w:r>
        <w:rPr>
          <w:rFonts w:ascii="Arial" w:hAnsi="Arial"/>
          <w:i/>
          <w:sz w:val="16"/>
        </w:rPr>
        <w:t>net</w:t>
      </w:r>
      <w:r>
        <w:rPr>
          <w:rFonts w:ascii="Arial" w:hAnsi="Arial"/>
          <w:i/>
          <w:spacing w:val="-4"/>
          <w:sz w:val="16"/>
        </w:rPr>
        <w:t> </w:t>
      </w:r>
      <w:r>
        <w:rPr>
          <w:rFonts w:ascii="Arial" w:hAnsi="Arial"/>
          <w:i/>
          <w:sz w:val="16"/>
        </w:rPr>
        <w:t>income</w:t>
      </w:r>
      <w:r>
        <w:rPr>
          <w:rFonts w:ascii="Arial" w:hAnsi="Arial"/>
          <w:i/>
          <w:spacing w:val="-4"/>
          <w:sz w:val="16"/>
        </w:rPr>
        <w:t> </w:t>
      </w:r>
      <w:r>
        <w:rPr>
          <w:rFonts w:ascii="Arial" w:hAnsi="Arial"/>
          <w:i/>
          <w:sz w:val="16"/>
        </w:rPr>
        <w:t>in</w:t>
      </w:r>
      <w:r>
        <w:rPr>
          <w:rFonts w:ascii="Arial" w:hAnsi="Arial"/>
          <w:i/>
          <w:spacing w:val="-4"/>
          <w:sz w:val="16"/>
        </w:rPr>
        <w:t> </w:t>
      </w:r>
      <w:r>
        <w:rPr>
          <w:rFonts w:ascii="Arial" w:hAnsi="Arial"/>
          <w:i/>
          <w:sz w:val="16"/>
        </w:rPr>
        <w:t>Note</w:t>
      </w:r>
      <w:r>
        <w:rPr>
          <w:rFonts w:ascii="Arial" w:hAnsi="Arial"/>
          <w:i/>
          <w:spacing w:val="-4"/>
          <w:sz w:val="16"/>
        </w:rPr>
        <w:t> </w:t>
      </w:r>
      <w:r>
        <w:rPr>
          <w:rFonts w:ascii="Arial" w:hAnsi="Arial"/>
          <w:i/>
          <w:sz w:val="16"/>
        </w:rPr>
        <w:t>K—Accumulated</w:t>
      </w:r>
      <w:r>
        <w:rPr>
          <w:rFonts w:ascii="Arial" w:hAnsi="Arial"/>
          <w:i/>
          <w:spacing w:val="-4"/>
          <w:sz w:val="16"/>
        </w:rPr>
        <w:t> </w:t>
      </w:r>
      <w:r>
        <w:rPr>
          <w:rFonts w:ascii="Arial" w:hAnsi="Arial"/>
          <w:i/>
          <w:sz w:val="16"/>
        </w:rPr>
        <w:t>Other</w:t>
      </w:r>
      <w:r>
        <w:rPr>
          <w:rFonts w:ascii="Arial" w:hAnsi="Arial"/>
          <w:i/>
          <w:spacing w:val="-3"/>
          <w:sz w:val="16"/>
        </w:rPr>
        <w:t> </w:t>
      </w:r>
      <w:r>
        <w:rPr>
          <w:rFonts w:ascii="Arial" w:hAnsi="Arial"/>
          <w:i/>
          <w:sz w:val="16"/>
        </w:rPr>
        <w:t>Comprehensive</w:t>
      </w:r>
      <w:r>
        <w:rPr>
          <w:rFonts w:ascii="Arial" w:hAnsi="Arial"/>
          <w:i/>
          <w:spacing w:val="-4"/>
          <w:sz w:val="16"/>
        </w:rPr>
        <w:t> </w:t>
      </w:r>
      <w:r>
        <w:rPr>
          <w:rFonts w:ascii="Arial" w:hAnsi="Arial"/>
          <w:i/>
          <w:spacing w:val="-2"/>
          <w:sz w:val="16"/>
        </w:rPr>
        <w:t>Income.</w:t>
      </w:r>
    </w:p>
    <w:p>
      <w:pPr>
        <w:pStyle w:val="BodyText"/>
        <w:spacing w:before="17"/>
        <w:rPr>
          <w:rFonts w:ascii="Arial"/>
          <w:i/>
          <w:sz w:val="16"/>
        </w:rPr>
      </w:pPr>
    </w:p>
    <w:p>
      <w:pPr>
        <w:pStyle w:val="BodyText"/>
        <w:spacing w:line="249" w:lineRule="auto" w:before="1"/>
        <w:ind w:left="720" w:right="718"/>
        <w:jc w:val="both"/>
      </w:pPr>
      <w:r>
        <w:rPr/>
        <w:t>IDA’s share of benefit costs is included as a payable to/receivable from IDA in Other liabilities – Accounts payable and miscellaneous liabilities on the Balance Sheets (see Note H—Transactions with Affiliated Organizations).</w:t>
      </w:r>
    </w:p>
    <w:p>
      <w:pPr>
        <w:pStyle w:val="BodyText"/>
        <w:spacing w:line="249" w:lineRule="auto" w:before="121"/>
        <w:ind w:left="720" w:right="718"/>
        <w:jc w:val="both"/>
      </w:pPr>
      <w:r>
        <w:rPr/>
        <w:t>The</w:t>
      </w:r>
      <w:r>
        <w:rPr>
          <w:spacing w:val="-2"/>
        </w:rPr>
        <w:t> </w:t>
      </w:r>
      <w:r>
        <w:rPr/>
        <w:t>components</w:t>
      </w:r>
      <w:r>
        <w:rPr>
          <w:spacing w:val="-2"/>
        </w:rPr>
        <w:t> </w:t>
      </w:r>
      <w:r>
        <w:rPr/>
        <w:t>of</w:t>
      </w:r>
      <w:r>
        <w:rPr>
          <w:spacing w:val="-2"/>
        </w:rPr>
        <w:t> </w:t>
      </w:r>
      <w:r>
        <w:rPr/>
        <w:t>net</w:t>
      </w:r>
      <w:r>
        <w:rPr>
          <w:spacing w:val="-2"/>
        </w:rPr>
        <w:t> </w:t>
      </w:r>
      <w:r>
        <w:rPr/>
        <w:t>periodic</w:t>
      </w:r>
      <w:r>
        <w:rPr>
          <w:spacing w:val="-2"/>
        </w:rPr>
        <w:t> </w:t>
      </w:r>
      <w:r>
        <w:rPr/>
        <w:t>pension</w:t>
      </w:r>
      <w:r>
        <w:rPr>
          <w:spacing w:val="-2"/>
        </w:rPr>
        <w:t> </w:t>
      </w:r>
      <w:r>
        <w:rPr/>
        <w:t>cost,</w:t>
      </w:r>
      <w:r>
        <w:rPr>
          <w:spacing w:val="-2"/>
        </w:rPr>
        <w:t> </w:t>
      </w:r>
      <w:r>
        <w:rPr/>
        <w:t>other</w:t>
      </w:r>
      <w:r>
        <w:rPr>
          <w:spacing w:val="-2"/>
        </w:rPr>
        <w:t> </w:t>
      </w:r>
      <w:r>
        <w:rPr/>
        <w:t>than</w:t>
      </w:r>
      <w:r>
        <w:rPr>
          <w:spacing w:val="-2"/>
        </w:rPr>
        <w:t> </w:t>
      </w:r>
      <w:r>
        <w:rPr/>
        <w:t>the</w:t>
      </w:r>
      <w:r>
        <w:rPr>
          <w:spacing w:val="-2"/>
        </w:rPr>
        <w:t> </w:t>
      </w:r>
      <w:r>
        <w:rPr/>
        <w:t>service</w:t>
      </w:r>
      <w:r>
        <w:rPr>
          <w:spacing w:val="-2"/>
        </w:rPr>
        <w:t> </w:t>
      </w:r>
      <w:r>
        <w:rPr/>
        <w:t>cost</w:t>
      </w:r>
      <w:r>
        <w:rPr>
          <w:spacing w:val="-2"/>
        </w:rPr>
        <w:t> </w:t>
      </w:r>
      <w:r>
        <w:rPr/>
        <w:t>component,</w:t>
      </w:r>
      <w:r>
        <w:rPr>
          <w:spacing w:val="-2"/>
        </w:rPr>
        <w:t> </w:t>
      </w:r>
      <w:r>
        <w:rPr/>
        <w:t>are</w:t>
      </w:r>
      <w:r>
        <w:rPr>
          <w:spacing w:val="-2"/>
        </w:rPr>
        <w:t> </w:t>
      </w:r>
      <w:r>
        <w:rPr/>
        <w:t>included</w:t>
      </w:r>
      <w:r>
        <w:rPr>
          <w:spacing w:val="-2"/>
        </w:rPr>
        <w:t> </w:t>
      </w:r>
      <w:r>
        <w:rPr/>
        <w:t>in</w:t>
      </w:r>
      <w:r>
        <w:rPr>
          <w:spacing w:val="-2"/>
        </w:rPr>
        <w:t> </w:t>
      </w:r>
      <w:r>
        <w:rPr/>
        <w:t>the</w:t>
      </w:r>
      <w:r>
        <w:rPr>
          <w:spacing w:val="-2"/>
        </w:rPr>
        <w:t> </w:t>
      </w:r>
      <w:r>
        <w:rPr/>
        <w:t>Non-interest expenses – Other line item in the Statements of Income. The service cost component is included in the line item Non-interest expenses – Administrative expenses.</w:t>
      </w:r>
    </w:p>
    <w:p>
      <w:pPr>
        <w:pStyle w:val="BodyText"/>
        <w:spacing w:after="0" w:line="249" w:lineRule="auto"/>
        <w:jc w:val="both"/>
        <w:sectPr>
          <w:headerReference w:type="even" r:id="rId189"/>
          <w:footerReference w:type="even" r:id="rId190"/>
          <w:footerReference w:type="default" r:id="rId191"/>
          <w:pgSz w:w="12240" w:h="15840"/>
          <w:pgMar w:header="0" w:footer="528" w:top="960" w:bottom="720" w:left="720" w:right="720"/>
          <w:pgNumType w:start="120"/>
        </w:sectPr>
      </w:pPr>
    </w:p>
    <w:p>
      <w:pPr>
        <w:pStyle w:val="BodyText"/>
        <w:spacing w:before="72"/>
        <w:ind w:left="720"/>
      </w:pPr>
      <w:r>
        <w:rPr/>
        <w:t>The</w:t>
      </w:r>
      <w:r>
        <w:rPr>
          <w:spacing w:val="-6"/>
        </w:rPr>
        <w:t> </w:t>
      </w:r>
      <w:r>
        <w:rPr/>
        <w:t>following</w:t>
      </w:r>
      <w:r>
        <w:rPr>
          <w:spacing w:val="-2"/>
        </w:rPr>
        <w:t> </w:t>
      </w:r>
      <w:r>
        <w:rPr/>
        <w:t>table</w:t>
      </w:r>
      <w:r>
        <w:rPr>
          <w:spacing w:val="-4"/>
        </w:rPr>
        <w:t> </w:t>
      </w:r>
      <w:r>
        <w:rPr/>
        <w:t>provides</w:t>
      </w:r>
      <w:r>
        <w:rPr>
          <w:spacing w:val="-3"/>
        </w:rPr>
        <w:t> </w:t>
      </w:r>
      <w:r>
        <w:rPr/>
        <w:t>the</w:t>
      </w:r>
      <w:r>
        <w:rPr>
          <w:spacing w:val="-3"/>
        </w:rPr>
        <w:t> </w:t>
      </w:r>
      <w:r>
        <w:rPr/>
        <w:t>amounts</w:t>
      </w:r>
      <w:r>
        <w:rPr>
          <w:spacing w:val="-4"/>
        </w:rPr>
        <w:t> </w:t>
      </w:r>
      <w:r>
        <w:rPr/>
        <w:t>of</w:t>
      </w:r>
      <w:r>
        <w:rPr>
          <w:spacing w:val="-2"/>
        </w:rPr>
        <w:t> </w:t>
      </w:r>
      <w:r>
        <w:rPr/>
        <w:t>IBRD’s</w:t>
      </w:r>
      <w:r>
        <w:rPr>
          <w:spacing w:val="-4"/>
        </w:rPr>
        <w:t> </w:t>
      </w:r>
      <w:r>
        <w:rPr/>
        <w:t>pension</w:t>
      </w:r>
      <w:r>
        <w:rPr>
          <w:spacing w:val="-2"/>
        </w:rPr>
        <w:t> </w:t>
      </w:r>
      <w:r>
        <w:rPr/>
        <w:t>service</w:t>
      </w:r>
      <w:r>
        <w:rPr>
          <w:spacing w:val="-3"/>
        </w:rPr>
        <w:t> </w:t>
      </w:r>
      <w:r>
        <w:rPr>
          <w:spacing w:val="-2"/>
        </w:rPr>
        <w:t>cost:</w:t>
      </w:r>
    </w:p>
    <w:p>
      <w:pPr>
        <w:pStyle w:val="Heading8"/>
        <w:spacing w:before="126"/>
      </w:pPr>
      <w:r>
        <w:rPr/>
        <w:t>Table</w:t>
      </w:r>
      <w:r>
        <w:rPr>
          <w:spacing w:val="-5"/>
        </w:rPr>
        <w:t> </w:t>
      </w:r>
      <w:r>
        <w:rPr/>
        <w:t>J2:</w:t>
      </w:r>
      <w:r>
        <w:rPr>
          <w:spacing w:val="-3"/>
        </w:rPr>
        <w:t> </w:t>
      </w:r>
      <w:r>
        <w:rPr/>
        <w:t>Pension</w:t>
      </w:r>
      <w:r>
        <w:rPr>
          <w:spacing w:val="-4"/>
        </w:rPr>
        <w:t> </w:t>
      </w:r>
      <w:r>
        <w:rPr/>
        <w:t>service</w:t>
      </w:r>
      <w:r>
        <w:rPr>
          <w:spacing w:val="-4"/>
        </w:rPr>
        <w:t> cost</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47584">
                <wp:simplePos x="0" y="0"/>
                <wp:positionH relativeFrom="page">
                  <wp:posOffset>914400</wp:posOffset>
                </wp:positionH>
                <wp:positionV relativeFrom="paragraph">
                  <wp:posOffset>191794</wp:posOffset>
                </wp:positionV>
                <wp:extent cx="5934075" cy="1270"/>
                <wp:effectExtent l="0" t="0" r="0" b="0"/>
                <wp:wrapTopAndBottom/>
                <wp:docPr id="933" name="Graphic 933"/>
                <wp:cNvGraphicFramePr>
                  <a:graphicFrameLocks/>
                </wp:cNvGraphicFramePr>
                <a:graphic>
                  <a:graphicData uri="http://schemas.microsoft.com/office/word/2010/wordprocessingShape">
                    <wps:wsp>
                      <wps:cNvPr id="933" name="Graphic 933"/>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101954pt;width:467.25pt;height:.1pt;mso-position-horizontal-relative:page;mso-position-vertical-relative:paragraph;z-index:-15568896;mso-wrap-distance-left:0;mso-wrap-distance-right:0" id="docshape774" coordorigin="1440,302" coordsize="9345,0" path="m1440,302l10785,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before="16" w:after="30"/>
        <w:ind w:left="7667" w:right="0" w:firstLine="0"/>
        <w:jc w:val="left"/>
        <w:rPr>
          <w:rFonts w:ascii="Arial"/>
          <w:i/>
          <w:sz w:val="16"/>
        </w:rPr>
      </w:pPr>
      <w:r>
        <w:rPr>
          <w:rFonts w:ascii="Arial"/>
          <w:i/>
          <w:spacing w:val="-4"/>
          <w:sz w:val="16"/>
        </w:rPr>
        <w:t>2023</w:t>
      </w:r>
    </w:p>
    <w:p>
      <w:pPr>
        <w:spacing w:line="20" w:lineRule="exact"/>
        <w:ind w:left="5625" w:right="0" w:firstLine="0"/>
        <w:rPr>
          <w:rFonts w:ascii="Arial"/>
          <w:sz w:val="2"/>
        </w:rPr>
      </w:pPr>
      <w:r>
        <w:rPr>
          <w:rFonts w:ascii="Arial"/>
          <w:sz w:val="2"/>
        </w:rPr>
        <mc:AlternateContent>
          <mc:Choice Requires="wps">
            <w:drawing>
              <wp:inline distT="0" distB="0" distL="0" distR="0">
                <wp:extent cx="2819400" cy="12700"/>
                <wp:effectExtent l="9525" t="0" r="0" b="6350"/>
                <wp:docPr id="934" name="Group 934"/>
                <wp:cNvGraphicFramePr>
                  <a:graphicFrameLocks/>
                </wp:cNvGraphicFramePr>
                <a:graphic>
                  <a:graphicData uri="http://schemas.microsoft.com/office/word/2010/wordprocessingGroup">
                    <wpg:wgp>
                      <wpg:cNvPr id="934" name="Group 934"/>
                      <wpg:cNvGrpSpPr/>
                      <wpg:grpSpPr>
                        <a:xfrm>
                          <a:off x="0" y="0"/>
                          <a:ext cx="2819400" cy="12700"/>
                          <a:chExt cx="2819400" cy="12700"/>
                        </a:xfrm>
                      </wpg:grpSpPr>
                      <wps:wsp>
                        <wps:cNvPr id="935" name="Graphic 935"/>
                        <wps:cNvSpPr/>
                        <wps:spPr>
                          <a:xfrm>
                            <a:off x="0" y="6350"/>
                            <a:ext cx="2819400" cy="1270"/>
                          </a:xfrm>
                          <a:custGeom>
                            <a:avLst/>
                            <a:gdLst/>
                            <a:ahLst/>
                            <a:cxnLst/>
                            <a:rect l="l" t="t" r="r" b="b"/>
                            <a:pathLst>
                              <a:path w="2819400" h="0">
                                <a:moveTo>
                                  <a:pt x="0" y="0"/>
                                </a:moveTo>
                                <a:lnTo>
                                  <a:pt x="2819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2pt;height:1pt;mso-position-horizontal-relative:char;mso-position-vertical-relative:line" id="docshapegroup775" coordorigin="0,0" coordsize="4440,20">
                <v:line style="position:absolute" from="0,10" to="4440,10" stroked="true" strokeweight="1pt" strokecolor="#000000">
                  <v:stroke dashstyle="solid"/>
                </v:line>
              </v:group>
            </w:pict>
          </mc:Fallback>
        </mc:AlternateContent>
      </w:r>
      <w:r>
        <w:rPr>
          <w:rFonts w:ascii="Arial"/>
          <w:sz w:val="2"/>
        </w:rPr>
      </w:r>
    </w:p>
    <w:p>
      <w:pPr>
        <w:tabs>
          <w:tab w:pos="7072" w:val="left" w:leader="none"/>
          <w:tab w:pos="8186" w:val="left" w:leader="none"/>
          <w:tab w:pos="9354" w:val="left" w:leader="none"/>
        </w:tabs>
        <w:spacing w:before="6" w:after="30"/>
        <w:ind w:left="6015" w:right="0" w:firstLine="0"/>
        <w:jc w:val="left"/>
        <w:rPr>
          <w:rFonts w:ascii="Arial"/>
          <w:i/>
          <w:sz w:val="16"/>
        </w:rPr>
      </w:pPr>
      <w:r>
        <w:rPr>
          <w:rFonts w:ascii="Arial"/>
          <w:i/>
          <w:spacing w:val="-5"/>
          <w:sz w:val="16"/>
        </w:rPr>
        <w:t>SRP</w:t>
      </w:r>
      <w:r>
        <w:rPr>
          <w:rFonts w:ascii="Arial"/>
          <w:i/>
          <w:sz w:val="16"/>
        </w:rPr>
        <w:tab/>
      </w:r>
      <w:r>
        <w:rPr>
          <w:rFonts w:ascii="Arial"/>
          <w:i/>
          <w:spacing w:val="-4"/>
          <w:sz w:val="16"/>
        </w:rPr>
        <w:t>RSBP</w:t>
      </w:r>
      <w:r>
        <w:rPr>
          <w:rFonts w:ascii="Arial"/>
          <w:i/>
          <w:sz w:val="16"/>
        </w:rPr>
        <w:tab/>
      </w:r>
      <w:r>
        <w:rPr>
          <w:rFonts w:ascii="Arial"/>
          <w:i/>
          <w:spacing w:val="-4"/>
          <w:sz w:val="16"/>
        </w:rPr>
        <w:t>PEBP</w:t>
      </w:r>
      <w:r>
        <w:rPr>
          <w:rFonts w:ascii="Arial"/>
          <w:i/>
          <w:sz w:val="16"/>
        </w:rPr>
        <w:tab/>
      </w:r>
      <w:r>
        <w:rPr>
          <w:rFonts w:ascii="Arial"/>
          <w:i/>
          <w:spacing w:val="-4"/>
          <w:sz w:val="16"/>
        </w:rPr>
        <w:t>Total</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2"/>
        <w:gridCol w:w="1102"/>
        <w:gridCol w:w="1110"/>
        <w:gridCol w:w="1110"/>
        <w:gridCol w:w="1118"/>
      </w:tblGrid>
      <w:tr>
        <w:trPr>
          <w:trHeight w:val="230" w:hRule="atLeast"/>
        </w:trPr>
        <w:tc>
          <w:tcPr>
            <w:tcW w:w="4902" w:type="dxa"/>
          </w:tcPr>
          <w:p>
            <w:pPr>
              <w:pStyle w:val="TableParagraph"/>
              <w:spacing w:before="16"/>
              <w:ind w:left="50"/>
              <w:rPr>
                <w:sz w:val="16"/>
              </w:rPr>
            </w:pPr>
            <w:r>
              <w:rPr>
                <w:sz w:val="16"/>
              </w:rPr>
              <w:t>Service</w:t>
            </w:r>
            <w:r>
              <w:rPr>
                <w:spacing w:val="-3"/>
                <w:sz w:val="16"/>
              </w:rPr>
              <w:t> </w:t>
            </w:r>
            <w:r>
              <w:rPr>
                <w:spacing w:val="-4"/>
                <w:sz w:val="16"/>
              </w:rPr>
              <w:t>cost</w:t>
            </w:r>
          </w:p>
        </w:tc>
        <w:tc>
          <w:tcPr>
            <w:tcW w:w="1102"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511</w:t>
            </w:r>
          </w:p>
        </w:tc>
        <w:tc>
          <w:tcPr>
            <w:tcW w:w="1110"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139</w:t>
            </w:r>
          </w:p>
        </w:tc>
        <w:tc>
          <w:tcPr>
            <w:tcW w:w="1110" w:type="dxa"/>
            <w:tcBorders>
              <w:top w:val="single" w:sz="8" w:space="0" w:color="000000"/>
            </w:tcBorders>
          </w:tcPr>
          <w:p>
            <w:pPr>
              <w:pStyle w:val="TableParagraph"/>
              <w:tabs>
                <w:tab w:pos="811" w:val="left" w:leader="none"/>
              </w:tabs>
              <w:spacing w:before="16"/>
              <w:ind w:right="57"/>
              <w:jc w:val="right"/>
              <w:rPr>
                <w:sz w:val="16"/>
              </w:rPr>
            </w:pPr>
            <w:r>
              <w:rPr>
                <w:spacing w:val="-10"/>
                <w:sz w:val="16"/>
              </w:rPr>
              <w:t>$</w:t>
            </w:r>
            <w:r>
              <w:rPr>
                <w:sz w:val="16"/>
              </w:rPr>
              <w:tab/>
            </w:r>
            <w:r>
              <w:rPr>
                <w:spacing w:val="-5"/>
                <w:sz w:val="16"/>
              </w:rPr>
              <w:t>93</w:t>
            </w:r>
          </w:p>
        </w:tc>
        <w:tc>
          <w:tcPr>
            <w:tcW w:w="1118" w:type="dxa"/>
            <w:tcBorders>
              <w:top w:val="single" w:sz="8" w:space="0" w:color="000000"/>
            </w:tcBorders>
          </w:tcPr>
          <w:p>
            <w:pPr>
              <w:pStyle w:val="TableParagraph"/>
              <w:tabs>
                <w:tab w:pos="722" w:val="left" w:leader="none"/>
              </w:tabs>
              <w:spacing w:before="16"/>
              <w:ind w:right="65"/>
              <w:jc w:val="right"/>
              <w:rPr>
                <w:sz w:val="16"/>
              </w:rPr>
            </w:pPr>
            <w:r>
              <w:rPr>
                <w:spacing w:val="-10"/>
                <w:sz w:val="16"/>
              </w:rPr>
              <w:t>$</w:t>
            </w:r>
            <w:r>
              <w:rPr>
                <w:sz w:val="16"/>
              </w:rPr>
              <w:tab/>
            </w:r>
            <w:r>
              <w:rPr>
                <w:spacing w:val="-5"/>
                <w:sz w:val="16"/>
              </w:rPr>
              <w:t>743</w:t>
            </w:r>
          </w:p>
        </w:tc>
      </w:tr>
      <w:tr>
        <w:trPr>
          <w:trHeight w:val="209" w:hRule="atLeast"/>
        </w:trPr>
        <w:tc>
          <w:tcPr>
            <w:tcW w:w="4902" w:type="dxa"/>
          </w:tcPr>
          <w:p>
            <w:pPr>
              <w:pStyle w:val="TableParagraph"/>
              <w:spacing w:line="164" w:lineRule="exact" w:before="25"/>
              <w:ind w:left="230"/>
              <w:rPr>
                <w:sz w:val="16"/>
              </w:rPr>
            </w:pPr>
            <w:r>
              <w:rPr>
                <w:sz w:val="16"/>
              </w:rPr>
              <w:t>Of </w:t>
            </w:r>
            <w:r>
              <w:rPr>
                <w:spacing w:val="-2"/>
                <w:sz w:val="16"/>
              </w:rPr>
              <w:t>which:</w:t>
            </w:r>
          </w:p>
        </w:tc>
        <w:tc>
          <w:tcPr>
            <w:tcW w:w="1102" w:type="dxa"/>
          </w:tcPr>
          <w:p>
            <w:pPr>
              <w:pStyle w:val="TableParagraph"/>
              <w:rPr>
                <w:rFonts w:ascii="Times New Roman"/>
                <w:sz w:val="14"/>
              </w:rPr>
            </w:pPr>
          </w:p>
        </w:tc>
        <w:tc>
          <w:tcPr>
            <w:tcW w:w="1110" w:type="dxa"/>
          </w:tcPr>
          <w:p>
            <w:pPr>
              <w:pStyle w:val="TableParagraph"/>
              <w:rPr>
                <w:rFonts w:ascii="Times New Roman"/>
                <w:sz w:val="14"/>
              </w:rPr>
            </w:pPr>
          </w:p>
        </w:tc>
        <w:tc>
          <w:tcPr>
            <w:tcW w:w="1110" w:type="dxa"/>
          </w:tcPr>
          <w:p>
            <w:pPr>
              <w:pStyle w:val="TableParagraph"/>
              <w:rPr>
                <w:rFonts w:ascii="Times New Roman"/>
                <w:sz w:val="14"/>
              </w:rPr>
            </w:pPr>
          </w:p>
        </w:tc>
        <w:tc>
          <w:tcPr>
            <w:tcW w:w="1118" w:type="dxa"/>
          </w:tcPr>
          <w:p>
            <w:pPr>
              <w:pStyle w:val="TableParagraph"/>
              <w:rPr>
                <w:rFonts w:ascii="Times New Roman"/>
                <w:sz w:val="14"/>
              </w:rPr>
            </w:pPr>
          </w:p>
        </w:tc>
      </w:tr>
      <w:tr>
        <w:trPr>
          <w:trHeight w:val="270" w:hRule="atLeast"/>
        </w:trPr>
        <w:tc>
          <w:tcPr>
            <w:tcW w:w="4902" w:type="dxa"/>
          </w:tcPr>
          <w:p>
            <w:pPr>
              <w:pStyle w:val="TableParagraph"/>
              <w:spacing w:before="56"/>
              <w:ind w:left="410"/>
              <w:rPr>
                <w:sz w:val="16"/>
              </w:rPr>
            </w:pPr>
            <w:r>
              <w:rPr>
                <w:sz w:val="16"/>
              </w:rPr>
              <w:t>IBRD’s</w:t>
            </w:r>
            <w:r>
              <w:rPr>
                <w:spacing w:val="-5"/>
                <w:sz w:val="16"/>
              </w:rPr>
              <w:t> </w:t>
            </w:r>
            <w:r>
              <w:rPr>
                <w:spacing w:val="-2"/>
                <w:sz w:val="16"/>
              </w:rPr>
              <w:t>share</w:t>
            </w:r>
          </w:p>
        </w:tc>
        <w:tc>
          <w:tcPr>
            <w:tcW w:w="1102" w:type="dxa"/>
          </w:tcPr>
          <w:p>
            <w:pPr>
              <w:pStyle w:val="TableParagraph"/>
              <w:tabs>
                <w:tab w:pos="722" w:val="left" w:leader="none"/>
              </w:tabs>
              <w:spacing w:before="56"/>
              <w:ind w:right="57"/>
              <w:jc w:val="right"/>
              <w:rPr>
                <w:sz w:val="16"/>
              </w:rPr>
            </w:pPr>
            <w:r>
              <w:rPr>
                <w:spacing w:val="-10"/>
                <w:sz w:val="16"/>
              </w:rPr>
              <w:t>$</w:t>
            </w:r>
            <w:r>
              <w:rPr>
                <w:sz w:val="16"/>
              </w:rPr>
              <w:tab/>
            </w:r>
            <w:r>
              <w:rPr>
                <w:spacing w:val="-5"/>
                <w:sz w:val="16"/>
              </w:rPr>
              <w:t>241</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66</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44</w:t>
            </w:r>
          </w:p>
        </w:tc>
        <w:tc>
          <w:tcPr>
            <w:tcW w:w="1118" w:type="dxa"/>
          </w:tcPr>
          <w:p>
            <w:pPr>
              <w:pStyle w:val="TableParagraph"/>
              <w:tabs>
                <w:tab w:pos="722" w:val="left" w:leader="none"/>
              </w:tabs>
              <w:spacing w:before="56"/>
              <w:ind w:right="65"/>
              <w:jc w:val="right"/>
              <w:rPr>
                <w:sz w:val="16"/>
              </w:rPr>
            </w:pPr>
            <w:r>
              <w:rPr>
                <w:spacing w:val="-10"/>
                <w:sz w:val="16"/>
              </w:rPr>
              <w:t>$</w:t>
            </w:r>
            <w:r>
              <w:rPr>
                <w:sz w:val="16"/>
              </w:rPr>
              <w:tab/>
            </w:r>
            <w:r>
              <w:rPr>
                <w:spacing w:val="-5"/>
                <w:sz w:val="16"/>
              </w:rPr>
              <w:t>351</w:t>
            </w:r>
          </w:p>
        </w:tc>
      </w:tr>
      <w:tr>
        <w:trPr>
          <w:trHeight w:val="209" w:hRule="atLeast"/>
        </w:trPr>
        <w:tc>
          <w:tcPr>
            <w:tcW w:w="4902" w:type="dxa"/>
          </w:tcPr>
          <w:p>
            <w:pPr>
              <w:pStyle w:val="TableParagraph"/>
              <w:spacing w:line="164" w:lineRule="exact" w:before="25"/>
              <w:ind w:left="410"/>
              <w:rPr>
                <w:sz w:val="16"/>
              </w:rPr>
            </w:pPr>
            <w:r>
              <w:rPr>
                <w:spacing w:val="-2"/>
                <w:sz w:val="16"/>
              </w:rPr>
              <w:t>IDA’s</w:t>
            </w:r>
            <w:r>
              <w:rPr>
                <w:spacing w:val="-8"/>
                <w:sz w:val="16"/>
              </w:rPr>
              <w:t> </w:t>
            </w:r>
            <w:r>
              <w:rPr>
                <w:spacing w:val="-2"/>
                <w:sz w:val="16"/>
              </w:rPr>
              <w:t>share</w:t>
            </w:r>
          </w:p>
        </w:tc>
        <w:tc>
          <w:tcPr>
            <w:tcW w:w="1102" w:type="dxa"/>
          </w:tcPr>
          <w:p>
            <w:pPr>
              <w:pStyle w:val="TableParagraph"/>
              <w:spacing w:line="164" w:lineRule="exact" w:before="25"/>
              <w:ind w:right="57"/>
              <w:jc w:val="right"/>
              <w:rPr>
                <w:sz w:val="16"/>
              </w:rPr>
            </w:pPr>
            <w:r>
              <w:rPr>
                <w:spacing w:val="-5"/>
                <w:sz w:val="16"/>
              </w:rPr>
              <w:t>270</w:t>
            </w:r>
          </w:p>
        </w:tc>
        <w:tc>
          <w:tcPr>
            <w:tcW w:w="1110" w:type="dxa"/>
          </w:tcPr>
          <w:p>
            <w:pPr>
              <w:pStyle w:val="TableParagraph"/>
              <w:spacing w:line="164" w:lineRule="exact" w:before="25"/>
              <w:ind w:right="57"/>
              <w:jc w:val="right"/>
              <w:rPr>
                <w:sz w:val="16"/>
              </w:rPr>
            </w:pPr>
            <w:r>
              <w:rPr>
                <w:spacing w:val="-5"/>
                <w:sz w:val="16"/>
              </w:rPr>
              <w:t>73</w:t>
            </w:r>
          </w:p>
        </w:tc>
        <w:tc>
          <w:tcPr>
            <w:tcW w:w="1110" w:type="dxa"/>
          </w:tcPr>
          <w:p>
            <w:pPr>
              <w:pStyle w:val="TableParagraph"/>
              <w:spacing w:line="164" w:lineRule="exact" w:before="25"/>
              <w:ind w:right="57"/>
              <w:jc w:val="right"/>
              <w:rPr>
                <w:sz w:val="16"/>
              </w:rPr>
            </w:pPr>
            <w:r>
              <w:rPr>
                <w:spacing w:val="-5"/>
                <w:sz w:val="16"/>
              </w:rPr>
              <w:t>49</w:t>
            </w:r>
          </w:p>
        </w:tc>
        <w:tc>
          <w:tcPr>
            <w:tcW w:w="1118" w:type="dxa"/>
          </w:tcPr>
          <w:p>
            <w:pPr>
              <w:pStyle w:val="TableParagraph"/>
              <w:spacing w:line="164" w:lineRule="exact" w:before="25"/>
              <w:ind w:right="65"/>
              <w:jc w:val="right"/>
              <w:rPr>
                <w:sz w:val="16"/>
              </w:rPr>
            </w:pPr>
            <w:r>
              <w:rPr>
                <w:spacing w:val="-5"/>
                <w:sz w:val="16"/>
              </w:rPr>
              <w:t>392</w:t>
            </w:r>
          </w:p>
        </w:tc>
      </w:tr>
    </w:tbl>
    <w:p>
      <w:pPr>
        <w:pStyle w:val="BodyText"/>
        <w:spacing w:before="32"/>
        <w:rPr>
          <w:rFonts w:ascii="Arial"/>
          <w:i/>
        </w:rPr>
      </w:pPr>
    </w:p>
    <w:p>
      <w:pPr>
        <w:spacing w:line="20" w:lineRule="exact"/>
        <w:ind w:left="720" w:right="0" w:firstLine="0"/>
        <w:rPr>
          <w:rFonts w:ascii="Arial"/>
          <w:sz w:val="2"/>
        </w:rPr>
      </w:pPr>
      <w:r>
        <w:rPr>
          <w:rFonts w:ascii="Arial"/>
          <w:sz w:val="2"/>
        </w:rPr>
        <mc:AlternateContent>
          <mc:Choice Requires="wps">
            <w:drawing>
              <wp:inline distT="0" distB="0" distL="0" distR="0">
                <wp:extent cx="5934075" cy="12700"/>
                <wp:effectExtent l="9525" t="0" r="0" b="6350"/>
                <wp:docPr id="936" name="Group 936"/>
                <wp:cNvGraphicFramePr>
                  <a:graphicFrameLocks/>
                </wp:cNvGraphicFramePr>
                <a:graphic>
                  <a:graphicData uri="http://schemas.microsoft.com/office/word/2010/wordprocessingGroup">
                    <wpg:wgp>
                      <wpg:cNvPr id="936" name="Group 936"/>
                      <wpg:cNvGrpSpPr/>
                      <wpg:grpSpPr>
                        <a:xfrm>
                          <a:off x="0" y="0"/>
                          <a:ext cx="5934075" cy="12700"/>
                          <a:chExt cx="5934075" cy="12700"/>
                        </a:xfrm>
                      </wpg:grpSpPr>
                      <wps:wsp>
                        <wps:cNvPr id="937" name="Graphic 937"/>
                        <wps:cNvSpPr/>
                        <wps:spPr>
                          <a:xfrm>
                            <a:off x="0" y="635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25pt;height:1pt;mso-position-horizontal-relative:char;mso-position-vertical-relative:line" id="docshapegroup776" coordorigin="0,0" coordsize="9345,20">
                <v:line style="position:absolute" from="0,10" to="9345,10" stroked="true" strokeweight="1pt" strokecolor="#000000">
                  <v:stroke dashstyle="solid"/>
                </v:line>
              </v:group>
            </w:pict>
          </mc:Fallback>
        </mc:AlternateContent>
      </w:r>
      <w:r>
        <w:rPr>
          <w:rFonts w:ascii="Arial"/>
          <w:sz w:val="2"/>
        </w:rPr>
      </w:r>
    </w:p>
    <w:p>
      <w:pPr>
        <w:spacing w:after="0" w:line="20" w:lineRule="exact"/>
        <w:rPr>
          <w:rFonts w:ascii="Arial"/>
          <w:sz w:val="2"/>
        </w:rPr>
        <w:sectPr>
          <w:headerReference w:type="default" r:id="rId192"/>
          <w:pgSz w:w="12240" w:h="15840"/>
          <w:pgMar w:header="0" w:footer="0" w:top="960" w:bottom="720" w:left="720" w:right="720"/>
        </w:sectPr>
      </w:pPr>
    </w:p>
    <w:p>
      <w:pPr>
        <w:spacing w:before="6"/>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894528">
                <wp:simplePos x="0" y="0"/>
                <wp:positionH relativeFrom="page">
                  <wp:posOffset>914400</wp:posOffset>
                </wp:positionH>
                <wp:positionV relativeFrom="paragraph">
                  <wp:posOffset>139700</wp:posOffset>
                </wp:positionV>
                <wp:extent cx="5934075" cy="1270"/>
                <wp:effectExtent l="0" t="0" r="0" b="0"/>
                <wp:wrapNone/>
                <wp:docPr id="938" name="Graphic 938"/>
                <wp:cNvGraphicFramePr>
                  <a:graphicFrameLocks/>
                </wp:cNvGraphicFramePr>
                <a:graphic>
                  <a:graphicData uri="http://schemas.microsoft.com/office/word/2010/wordprocessingShape">
                    <wps:wsp>
                      <wps:cNvPr id="938" name="Graphic 938"/>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528" from="72pt,11pt" to="539.25pt,11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62"/>
        <w:rPr>
          <w:rFonts w:ascii="Arial"/>
          <w:i/>
          <w:sz w:val="16"/>
        </w:rPr>
      </w:pPr>
      <w:r>
        <w:rPr/>
        <w:br w:type="column"/>
      </w:r>
      <w:r>
        <w:rPr>
          <w:rFonts w:ascii="Arial"/>
          <w:i/>
          <w:sz w:val="16"/>
        </w:rPr>
      </w:r>
    </w:p>
    <w:p>
      <w:pPr>
        <w:spacing w:before="0"/>
        <w:ind w:left="0" w:right="350" w:firstLine="0"/>
        <w:jc w:val="center"/>
        <w:rPr>
          <w:rFonts w:ascii="Arial"/>
          <w:i/>
          <w:sz w:val="16"/>
        </w:rPr>
      </w:pPr>
      <w:r>
        <w:rPr>
          <w:rFonts w:ascii="Arial"/>
          <w:i/>
          <w:spacing w:val="-4"/>
          <w:sz w:val="16"/>
        </w:rPr>
        <w:t>2022</w:t>
      </w:r>
    </w:p>
    <w:p>
      <w:pPr>
        <w:pStyle w:val="BodyText"/>
        <w:spacing w:before="7"/>
        <w:rPr>
          <w:rFonts w:ascii="Arial"/>
          <w:i/>
          <w:sz w:val="2"/>
        </w:rPr>
      </w:pPr>
    </w:p>
    <w:p>
      <w:pPr>
        <w:spacing w:line="20" w:lineRule="exact"/>
        <w:ind w:left="382" w:right="0" w:firstLine="0"/>
        <w:rPr>
          <w:rFonts w:ascii="Arial"/>
          <w:sz w:val="2"/>
        </w:rPr>
      </w:pPr>
      <w:r>
        <w:rPr>
          <w:rFonts w:ascii="Arial"/>
          <w:sz w:val="2"/>
        </w:rPr>
        <mc:AlternateContent>
          <mc:Choice Requires="wps">
            <w:drawing>
              <wp:inline distT="0" distB="0" distL="0" distR="0">
                <wp:extent cx="2819400" cy="12700"/>
                <wp:effectExtent l="9525" t="0" r="0" b="6350"/>
                <wp:docPr id="939" name="Group 939"/>
                <wp:cNvGraphicFramePr>
                  <a:graphicFrameLocks/>
                </wp:cNvGraphicFramePr>
                <a:graphic>
                  <a:graphicData uri="http://schemas.microsoft.com/office/word/2010/wordprocessingGroup">
                    <wpg:wgp>
                      <wpg:cNvPr id="939" name="Group 939"/>
                      <wpg:cNvGrpSpPr/>
                      <wpg:grpSpPr>
                        <a:xfrm>
                          <a:off x="0" y="0"/>
                          <a:ext cx="2819400" cy="12700"/>
                          <a:chExt cx="2819400" cy="12700"/>
                        </a:xfrm>
                      </wpg:grpSpPr>
                      <wps:wsp>
                        <wps:cNvPr id="940" name="Graphic 940"/>
                        <wps:cNvSpPr/>
                        <wps:spPr>
                          <a:xfrm>
                            <a:off x="0" y="6350"/>
                            <a:ext cx="2819400" cy="1270"/>
                          </a:xfrm>
                          <a:custGeom>
                            <a:avLst/>
                            <a:gdLst/>
                            <a:ahLst/>
                            <a:cxnLst/>
                            <a:rect l="l" t="t" r="r" b="b"/>
                            <a:pathLst>
                              <a:path w="2819400" h="0">
                                <a:moveTo>
                                  <a:pt x="0" y="0"/>
                                </a:moveTo>
                                <a:lnTo>
                                  <a:pt x="2819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2pt;height:1pt;mso-position-horizontal-relative:char;mso-position-vertical-relative:line" id="docshapegroup777" coordorigin="0,0" coordsize="4440,20">
                <v:line style="position:absolute" from="0,10" to="4440,10" stroked="true" strokeweight="1pt" strokecolor="#000000">
                  <v:stroke dashstyle="solid"/>
                </v:line>
              </v:group>
            </w:pict>
          </mc:Fallback>
        </mc:AlternateContent>
      </w:r>
      <w:r>
        <w:rPr>
          <w:rFonts w:ascii="Arial"/>
          <w:sz w:val="2"/>
        </w:rPr>
      </w:r>
    </w:p>
    <w:p>
      <w:pPr>
        <w:tabs>
          <w:tab w:pos="1056" w:val="left" w:leader="none"/>
          <w:tab w:pos="2171" w:val="left" w:leader="none"/>
          <w:tab w:pos="3316" w:val="left" w:leader="none"/>
        </w:tabs>
        <w:spacing w:before="6"/>
        <w:ind w:left="0" w:right="337" w:firstLine="0"/>
        <w:jc w:val="center"/>
        <w:rPr>
          <w:rFonts w:ascii="Arial"/>
          <w:i/>
          <w:sz w:val="16"/>
        </w:rPr>
      </w:pPr>
      <w:r>
        <w:rPr>
          <w:rFonts w:ascii="Arial"/>
          <w:i/>
          <w:spacing w:val="-5"/>
          <w:sz w:val="16"/>
        </w:rPr>
        <w:t>SRP</w:t>
      </w:r>
      <w:r>
        <w:rPr>
          <w:rFonts w:ascii="Arial"/>
          <w:i/>
          <w:sz w:val="16"/>
        </w:rPr>
        <w:tab/>
      </w:r>
      <w:r>
        <w:rPr>
          <w:rFonts w:ascii="Arial"/>
          <w:i/>
          <w:spacing w:val="-4"/>
          <w:sz w:val="16"/>
        </w:rPr>
        <w:t>RSBP</w:t>
      </w:r>
      <w:r>
        <w:rPr>
          <w:rFonts w:ascii="Arial"/>
          <w:i/>
          <w:sz w:val="16"/>
        </w:rPr>
        <w:tab/>
      </w:r>
      <w:r>
        <w:rPr>
          <w:rFonts w:ascii="Arial"/>
          <w:i/>
          <w:spacing w:val="-4"/>
          <w:sz w:val="16"/>
        </w:rPr>
        <w:t>PEBP</w:t>
      </w:r>
      <w:r>
        <w:rPr>
          <w:rFonts w:ascii="Arial"/>
          <w:i/>
          <w:sz w:val="16"/>
        </w:rPr>
        <w:tab/>
      </w:r>
      <w:r>
        <w:rPr>
          <w:rFonts w:ascii="Arial"/>
          <w:i/>
          <w:spacing w:val="-4"/>
          <w:sz w:val="16"/>
        </w:rPr>
        <w:t>Total</w:t>
      </w:r>
    </w:p>
    <w:p>
      <w:pPr>
        <w:spacing w:after="0"/>
        <w:jc w:val="center"/>
        <w:rPr>
          <w:rFonts w:ascii="Arial"/>
          <w:i/>
          <w:sz w:val="16"/>
        </w:rPr>
        <w:sectPr>
          <w:type w:val="continuous"/>
          <w:pgSz w:w="12240" w:h="15840"/>
          <w:pgMar w:header="0" w:footer="0" w:top="1820" w:bottom="280" w:left="720" w:right="720"/>
          <w:cols w:num="2" w:equalWidth="0">
            <w:col w:w="2572" w:space="2671"/>
            <w:col w:w="5557"/>
          </w:cols>
        </w:sectPr>
      </w:pPr>
    </w:p>
    <w:p>
      <w:pPr>
        <w:pStyle w:val="BodyText"/>
        <w:spacing w:before="7"/>
        <w:rPr>
          <w:rFonts w:ascii="Arial"/>
          <w:i/>
          <w:sz w:val="2"/>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2"/>
        <w:gridCol w:w="1102"/>
        <w:gridCol w:w="1110"/>
        <w:gridCol w:w="1110"/>
        <w:gridCol w:w="1118"/>
      </w:tblGrid>
      <w:tr>
        <w:trPr>
          <w:trHeight w:val="230" w:hRule="atLeast"/>
        </w:trPr>
        <w:tc>
          <w:tcPr>
            <w:tcW w:w="4902" w:type="dxa"/>
          </w:tcPr>
          <w:p>
            <w:pPr>
              <w:pStyle w:val="TableParagraph"/>
              <w:spacing w:before="16"/>
              <w:ind w:left="50"/>
              <w:rPr>
                <w:sz w:val="16"/>
              </w:rPr>
            </w:pPr>
            <w:r>
              <w:rPr>
                <w:sz w:val="16"/>
              </w:rPr>
              <w:t>Service</w:t>
            </w:r>
            <w:r>
              <w:rPr>
                <w:spacing w:val="-3"/>
                <w:sz w:val="16"/>
              </w:rPr>
              <w:t> </w:t>
            </w:r>
            <w:r>
              <w:rPr>
                <w:spacing w:val="-4"/>
                <w:sz w:val="16"/>
              </w:rPr>
              <w:t>cost</w:t>
            </w:r>
          </w:p>
        </w:tc>
        <w:tc>
          <w:tcPr>
            <w:tcW w:w="1102"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664</w:t>
            </w:r>
          </w:p>
        </w:tc>
        <w:tc>
          <w:tcPr>
            <w:tcW w:w="1110"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178</w:t>
            </w:r>
          </w:p>
        </w:tc>
        <w:tc>
          <w:tcPr>
            <w:tcW w:w="1110"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114</w:t>
            </w:r>
          </w:p>
        </w:tc>
        <w:tc>
          <w:tcPr>
            <w:tcW w:w="1118" w:type="dxa"/>
            <w:tcBorders>
              <w:top w:val="single" w:sz="8" w:space="0" w:color="000000"/>
            </w:tcBorders>
          </w:tcPr>
          <w:p>
            <w:pPr>
              <w:pStyle w:val="TableParagraph"/>
              <w:tabs>
                <w:tab w:pos="722" w:val="left" w:leader="none"/>
              </w:tabs>
              <w:spacing w:before="16"/>
              <w:ind w:right="65"/>
              <w:jc w:val="right"/>
              <w:rPr>
                <w:sz w:val="16"/>
              </w:rPr>
            </w:pPr>
            <w:r>
              <w:rPr>
                <w:spacing w:val="-10"/>
                <w:sz w:val="16"/>
              </w:rPr>
              <w:t>$</w:t>
            </w:r>
            <w:r>
              <w:rPr>
                <w:sz w:val="16"/>
              </w:rPr>
              <w:tab/>
            </w:r>
            <w:r>
              <w:rPr>
                <w:spacing w:val="-5"/>
                <w:sz w:val="16"/>
              </w:rPr>
              <w:t>956</w:t>
            </w:r>
          </w:p>
        </w:tc>
      </w:tr>
      <w:tr>
        <w:trPr>
          <w:trHeight w:val="209" w:hRule="atLeast"/>
        </w:trPr>
        <w:tc>
          <w:tcPr>
            <w:tcW w:w="4902" w:type="dxa"/>
          </w:tcPr>
          <w:p>
            <w:pPr>
              <w:pStyle w:val="TableParagraph"/>
              <w:spacing w:line="164" w:lineRule="exact" w:before="25"/>
              <w:ind w:left="230"/>
              <w:rPr>
                <w:sz w:val="16"/>
              </w:rPr>
            </w:pPr>
            <w:r>
              <w:rPr>
                <w:sz w:val="16"/>
              </w:rPr>
              <w:t>Of </w:t>
            </w:r>
            <w:r>
              <w:rPr>
                <w:spacing w:val="-2"/>
                <w:sz w:val="16"/>
              </w:rPr>
              <w:t>which:</w:t>
            </w:r>
          </w:p>
        </w:tc>
        <w:tc>
          <w:tcPr>
            <w:tcW w:w="1102" w:type="dxa"/>
          </w:tcPr>
          <w:p>
            <w:pPr>
              <w:pStyle w:val="TableParagraph"/>
              <w:rPr>
                <w:rFonts w:ascii="Times New Roman"/>
                <w:sz w:val="14"/>
              </w:rPr>
            </w:pPr>
          </w:p>
        </w:tc>
        <w:tc>
          <w:tcPr>
            <w:tcW w:w="1110" w:type="dxa"/>
          </w:tcPr>
          <w:p>
            <w:pPr>
              <w:pStyle w:val="TableParagraph"/>
              <w:rPr>
                <w:rFonts w:ascii="Times New Roman"/>
                <w:sz w:val="14"/>
              </w:rPr>
            </w:pPr>
          </w:p>
        </w:tc>
        <w:tc>
          <w:tcPr>
            <w:tcW w:w="1110" w:type="dxa"/>
          </w:tcPr>
          <w:p>
            <w:pPr>
              <w:pStyle w:val="TableParagraph"/>
              <w:rPr>
                <w:rFonts w:ascii="Times New Roman"/>
                <w:sz w:val="14"/>
              </w:rPr>
            </w:pPr>
          </w:p>
        </w:tc>
        <w:tc>
          <w:tcPr>
            <w:tcW w:w="1118" w:type="dxa"/>
          </w:tcPr>
          <w:p>
            <w:pPr>
              <w:pStyle w:val="TableParagraph"/>
              <w:rPr>
                <w:rFonts w:ascii="Times New Roman"/>
                <w:sz w:val="14"/>
              </w:rPr>
            </w:pPr>
          </w:p>
        </w:tc>
      </w:tr>
      <w:tr>
        <w:trPr>
          <w:trHeight w:val="270" w:hRule="atLeast"/>
        </w:trPr>
        <w:tc>
          <w:tcPr>
            <w:tcW w:w="4902" w:type="dxa"/>
          </w:tcPr>
          <w:p>
            <w:pPr>
              <w:pStyle w:val="TableParagraph"/>
              <w:spacing w:before="56"/>
              <w:ind w:left="410"/>
              <w:rPr>
                <w:sz w:val="16"/>
              </w:rPr>
            </w:pPr>
            <w:r>
              <w:rPr>
                <w:sz w:val="16"/>
              </w:rPr>
              <w:t>IBRD’s</w:t>
            </w:r>
            <w:r>
              <w:rPr>
                <w:spacing w:val="-5"/>
                <w:sz w:val="16"/>
              </w:rPr>
              <w:t> </w:t>
            </w:r>
            <w:r>
              <w:rPr>
                <w:spacing w:val="-2"/>
                <w:sz w:val="16"/>
              </w:rPr>
              <w:t>share</w:t>
            </w:r>
          </w:p>
        </w:tc>
        <w:tc>
          <w:tcPr>
            <w:tcW w:w="1102" w:type="dxa"/>
          </w:tcPr>
          <w:p>
            <w:pPr>
              <w:pStyle w:val="TableParagraph"/>
              <w:tabs>
                <w:tab w:pos="722" w:val="left" w:leader="none"/>
              </w:tabs>
              <w:spacing w:before="56"/>
              <w:ind w:right="57"/>
              <w:jc w:val="right"/>
              <w:rPr>
                <w:sz w:val="16"/>
              </w:rPr>
            </w:pPr>
            <w:r>
              <w:rPr>
                <w:spacing w:val="-10"/>
                <w:sz w:val="16"/>
              </w:rPr>
              <w:t>$</w:t>
            </w:r>
            <w:r>
              <w:rPr>
                <w:sz w:val="16"/>
              </w:rPr>
              <w:tab/>
            </w:r>
            <w:r>
              <w:rPr>
                <w:spacing w:val="-5"/>
                <w:sz w:val="16"/>
              </w:rPr>
              <w:t>313</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84</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54</w:t>
            </w:r>
          </w:p>
        </w:tc>
        <w:tc>
          <w:tcPr>
            <w:tcW w:w="1118" w:type="dxa"/>
          </w:tcPr>
          <w:p>
            <w:pPr>
              <w:pStyle w:val="TableParagraph"/>
              <w:tabs>
                <w:tab w:pos="722" w:val="left" w:leader="none"/>
              </w:tabs>
              <w:spacing w:before="56"/>
              <w:ind w:right="65"/>
              <w:jc w:val="right"/>
              <w:rPr>
                <w:sz w:val="16"/>
              </w:rPr>
            </w:pPr>
            <w:r>
              <w:rPr>
                <w:spacing w:val="-10"/>
                <w:sz w:val="16"/>
              </w:rPr>
              <w:t>$</w:t>
            </w:r>
            <w:r>
              <w:rPr>
                <w:sz w:val="16"/>
              </w:rPr>
              <w:tab/>
            </w:r>
            <w:r>
              <w:rPr>
                <w:spacing w:val="-5"/>
                <w:sz w:val="16"/>
              </w:rPr>
              <w:t>451</w:t>
            </w:r>
          </w:p>
        </w:tc>
      </w:tr>
      <w:tr>
        <w:trPr>
          <w:trHeight w:val="209" w:hRule="atLeast"/>
        </w:trPr>
        <w:tc>
          <w:tcPr>
            <w:tcW w:w="4902" w:type="dxa"/>
          </w:tcPr>
          <w:p>
            <w:pPr>
              <w:pStyle w:val="TableParagraph"/>
              <w:spacing w:line="164" w:lineRule="exact" w:before="25"/>
              <w:ind w:left="410"/>
              <w:rPr>
                <w:sz w:val="16"/>
              </w:rPr>
            </w:pPr>
            <w:r>
              <w:rPr>
                <w:spacing w:val="-2"/>
                <w:sz w:val="16"/>
              </w:rPr>
              <w:t>IDA’s</w:t>
            </w:r>
            <w:r>
              <w:rPr>
                <w:spacing w:val="-8"/>
                <w:sz w:val="16"/>
              </w:rPr>
              <w:t> </w:t>
            </w:r>
            <w:r>
              <w:rPr>
                <w:spacing w:val="-2"/>
                <w:sz w:val="16"/>
              </w:rPr>
              <w:t>share</w:t>
            </w:r>
          </w:p>
        </w:tc>
        <w:tc>
          <w:tcPr>
            <w:tcW w:w="1102" w:type="dxa"/>
          </w:tcPr>
          <w:p>
            <w:pPr>
              <w:pStyle w:val="TableParagraph"/>
              <w:spacing w:line="164" w:lineRule="exact" w:before="25"/>
              <w:ind w:right="57"/>
              <w:jc w:val="right"/>
              <w:rPr>
                <w:sz w:val="16"/>
              </w:rPr>
            </w:pPr>
            <w:r>
              <w:rPr>
                <w:spacing w:val="-5"/>
                <w:sz w:val="16"/>
              </w:rPr>
              <w:t>351</w:t>
            </w:r>
          </w:p>
        </w:tc>
        <w:tc>
          <w:tcPr>
            <w:tcW w:w="1110" w:type="dxa"/>
          </w:tcPr>
          <w:p>
            <w:pPr>
              <w:pStyle w:val="TableParagraph"/>
              <w:spacing w:line="164" w:lineRule="exact" w:before="25"/>
              <w:ind w:right="57"/>
              <w:jc w:val="right"/>
              <w:rPr>
                <w:sz w:val="16"/>
              </w:rPr>
            </w:pPr>
            <w:r>
              <w:rPr>
                <w:spacing w:val="-5"/>
                <w:sz w:val="16"/>
              </w:rPr>
              <w:t>94</w:t>
            </w:r>
          </w:p>
        </w:tc>
        <w:tc>
          <w:tcPr>
            <w:tcW w:w="1110" w:type="dxa"/>
          </w:tcPr>
          <w:p>
            <w:pPr>
              <w:pStyle w:val="TableParagraph"/>
              <w:spacing w:line="164" w:lineRule="exact" w:before="25"/>
              <w:ind w:right="57"/>
              <w:jc w:val="right"/>
              <w:rPr>
                <w:sz w:val="16"/>
              </w:rPr>
            </w:pPr>
            <w:r>
              <w:rPr>
                <w:spacing w:val="-5"/>
                <w:sz w:val="16"/>
              </w:rPr>
              <w:t>60</w:t>
            </w:r>
          </w:p>
        </w:tc>
        <w:tc>
          <w:tcPr>
            <w:tcW w:w="1118" w:type="dxa"/>
          </w:tcPr>
          <w:p>
            <w:pPr>
              <w:pStyle w:val="TableParagraph"/>
              <w:spacing w:line="164" w:lineRule="exact" w:before="25"/>
              <w:ind w:right="65"/>
              <w:jc w:val="right"/>
              <w:rPr>
                <w:sz w:val="16"/>
              </w:rPr>
            </w:pPr>
            <w:r>
              <w:rPr>
                <w:spacing w:val="-5"/>
                <w:sz w:val="16"/>
              </w:rPr>
              <w:t>505</w:t>
            </w:r>
          </w:p>
        </w:tc>
      </w:tr>
    </w:tbl>
    <w:p>
      <w:pPr>
        <w:pStyle w:val="BodyText"/>
        <w:spacing w:before="8"/>
        <w:rPr>
          <w:rFonts w:ascii="Arial"/>
          <w:i/>
        </w:rPr>
      </w:pPr>
      <w:r>
        <w:rPr>
          <w:rFonts w:ascii="Arial"/>
          <w:i/>
        </w:rPr>
        <mc:AlternateContent>
          <mc:Choice Requires="wps">
            <w:drawing>
              <wp:anchor distT="0" distB="0" distL="0" distR="0" allowOverlap="1" layoutInCell="1" locked="0" behindDoc="1" simplePos="0" relativeHeight="487749632">
                <wp:simplePos x="0" y="0"/>
                <wp:positionH relativeFrom="page">
                  <wp:posOffset>914400</wp:posOffset>
                </wp:positionH>
                <wp:positionV relativeFrom="paragraph">
                  <wp:posOffset>166402</wp:posOffset>
                </wp:positionV>
                <wp:extent cx="5934075" cy="1270"/>
                <wp:effectExtent l="0" t="0" r="0" b="0"/>
                <wp:wrapTopAndBottom/>
                <wp:docPr id="941" name="Graphic 941"/>
                <wp:cNvGraphicFramePr>
                  <a:graphicFrameLocks/>
                </wp:cNvGraphicFramePr>
                <a:graphic>
                  <a:graphicData uri="http://schemas.microsoft.com/office/word/2010/wordprocessingShape">
                    <wps:wsp>
                      <wps:cNvPr id="941" name="Graphic 941"/>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102539pt;width:467.25pt;height:.1pt;mso-position-horizontal-relative:page;mso-position-vertical-relative:paragraph;z-index:-15566848;mso-wrap-distance-left:0;mso-wrap-distance-right:0" id="docshape778" coordorigin="1440,262" coordsize="9345,0" path="m1440,262l10785,262e" filled="false" stroked="true" strokeweight="1pt" strokecolor="#000000">
                <v:path arrowok="t"/>
                <v:stroke dashstyle="solid"/>
                <w10:wrap type="topAndBottom"/>
              </v:shape>
            </w:pict>
          </mc:Fallback>
        </mc:AlternateContent>
      </w:r>
    </w:p>
    <w:p>
      <w:pPr>
        <w:spacing w:before="16" w:after="30"/>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line="20" w:lineRule="exact"/>
        <w:ind w:left="720" w:right="0" w:firstLine="0"/>
        <w:rPr>
          <w:rFonts w:ascii="Arial"/>
          <w:sz w:val="2"/>
        </w:rPr>
      </w:pPr>
      <w:r>
        <w:rPr>
          <w:rFonts w:ascii="Arial"/>
          <w:sz w:val="2"/>
        </w:rPr>
        <mc:AlternateContent>
          <mc:Choice Requires="wps">
            <w:drawing>
              <wp:inline distT="0" distB="0" distL="0" distR="0">
                <wp:extent cx="5934075" cy="12700"/>
                <wp:effectExtent l="9525" t="0" r="0" b="6350"/>
                <wp:docPr id="942" name="Group 942"/>
                <wp:cNvGraphicFramePr>
                  <a:graphicFrameLocks/>
                </wp:cNvGraphicFramePr>
                <a:graphic>
                  <a:graphicData uri="http://schemas.microsoft.com/office/word/2010/wordprocessingGroup">
                    <wpg:wgp>
                      <wpg:cNvPr id="942" name="Group 942"/>
                      <wpg:cNvGrpSpPr/>
                      <wpg:grpSpPr>
                        <a:xfrm>
                          <a:off x="0" y="0"/>
                          <a:ext cx="5934075" cy="12700"/>
                          <a:chExt cx="5934075" cy="12700"/>
                        </a:xfrm>
                      </wpg:grpSpPr>
                      <wps:wsp>
                        <wps:cNvPr id="943" name="Graphic 943"/>
                        <wps:cNvSpPr/>
                        <wps:spPr>
                          <a:xfrm>
                            <a:off x="0" y="635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7.25pt;height:1pt;mso-position-horizontal-relative:char;mso-position-vertical-relative:line" id="docshapegroup779" coordorigin="0,0" coordsize="9345,20">
                <v:line style="position:absolute" from="0,10" to="9345,10" stroked="true" strokeweight="1pt" strokecolor="#000000">
                  <v:stroke dashstyle="solid"/>
                </v:line>
              </v:group>
            </w:pict>
          </mc:Fallback>
        </mc:AlternateContent>
      </w:r>
      <w:r>
        <w:rPr>
          <w:rFonts w:ascii="Arial"/>
          <w:sz w:val="2"/>
        </w:rPr>
      </w:r>
    </w:p>
    <w:p>
      <w:pPr>
        <w:spacing w:before="6"/>
        <w:ind w:left="4890" w:right="0"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7750656">
                <wp:simplePos x="0" y="0"/>
                <wp:positionH relativeFrom="page">
                  <wp:posOffset>4029075</wp:posOffset>
                </wp:positionH>
                <wp:positionV relativeFrom="paragraph">
                  <wp:posOffset>139700</wp:posOffset>
                </wp:positionV>
                <wp:extent cx="2819400" cy="1270"/>
                <wp:effectExtent l="0" t="0" r="0" b="0"/>
                <wp:wrapTopAndBottom/>
                <wp:docPr id="944" name="Graphic 944"/>
                <wp:cNvGraphicFramePr>
                  <a:graphicFrameLocks/>
                </wp:cNvGraphicFramePr>
                <a:graphic>
                  <a:graphicData uri="http://schemas.microsoft.com/office/word/2010/wordprocessingShape">
                    <wps:wsp>
                      <wps:cNvPr id="944" name="Graphic 944"/>
                      <wps:cNvSpPr/>
                      <wps:spPr>
                        <a:xfrm>
                          <a:off x="0" y="0"/>
                          <a:ext cx="2819400" cy="1270"/>
                        </a:xfrm>
                        <a:custGeom>
                          <a:avLst/>
                          <a:gdLst/>
                          <a:ahLst/>
                          <a:cxnLst/>
                          <a:rect l="l" t="t" r="r" b="b"/>
                          <a:pathLst>
                            <a:path w="2819400" h="0">
                              <a:moveTo>
                                <a:pt x="0" y="0"/>
                              </a:moveTo>
                              <a:lnTo>
                                <a:pt x="281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25pt;margin-top:11pt;width:222pt;height:.1pt;mso-position-horizontal-relative:page;mso-position-vertical-relative:paragraph;z-index:-15565824;mso-wrap-distance-left:0;mso-wrap-distance-right:0" id="docshape780" coordorigin="6345,220" coordsize="4440,0" path="m6345,220l10785,220e" filled="false" stroked="true" strokeweight="1pt" strokecolor="#000000">
                <v:path arrowok="t"/>
                <v:stroke dashstyle="solid"/>
                <w10:wrap type="topAndBottom"/>
              </v:shape>
            </w:pict>
          </mc:Fallback>
        </mc:AlternateContent>
      </w:r>
      <w:r>
        <w:rPr>
          <w:rFonts w:ascii="Arial"/>
          <w:i/>
          <w:spacing w:val="-4"/>
          <w:sz w:val="16"/>
        </w:rPr>
        <w:t>2021</w:t>
      </w:r>
    </w:p>
    <w:p>
      <w:pPr>
        <w:tabs>
          <w:tab w:pos="5959" w:val="left" w:leader="none"/>
          <w:tab w:pos="7074" w:val="left" w:leader="none"/>
          <w:tab w:pos="8219" w:val="left" w:leader="none"/>
        </w:tabs>
        <w:spacing w:before="16" w:after="30"/>
        <w:ind w:left="4903" w:right="0" w:firstLine="0"/>
        <w:jc w:val="center"/>
        <w:rPr>
          <w:rFonts w:ascii="Arial"/>
          <w:i/>
          <w:sz w:val="16"/>
        </w:rPr>
      </w:pPr>
      <w:r>
        <w:rPr>
          <w:rFonts w:ascii="Arial"/>
          <w:i/>
          <w:spacing w:val="-5"/>
          <w:sz w:val="16"/>
        </w:rPr>
        <w:t>SRP</w:t>
      </w:r>
      <w:r>
        <w:rPr>
          <w:rFonts w:ascii="Arial"/>
          <w:i/>
          <w:sz w:val="16"/>
        </w:rPr>
        <w:tab/>
      </w:r>
      <w:r>
        <w:rPr>
          <w:rFonts w:ascii="Arial"/>
          <w:i/>
          <w:spacing w:val="-4"/>
          <w:sz w:val="16"/>
        </w:rPr>
        <w:t>RSBP</w:t>
      </w:r>
      <w:r>
        <w:rPr>
          <w:rFonts w:ascii="Arial"/>
          <w:i/>
          <w:sz w:val="16"/>
        </w:rPr>
        <w:tab/>
      </w:r>
      <w:r>
        <w:rPr>
          <w:rFonts w:ascii="Arial"/>
          <w:i/>
          <w:spacing w:val="-4"/>
          <w:sz w:val="16"/>
        </w:rPr>
        <w:t>PEBP</w:t>
      </w:r>
      <w:r>
        <w:rPr>
          <w:rFonts w:ascii="Arial"/>
          <w:i/>
          <w:sz w:val="16"/>
        </w:rPr>
        <w:tab/>
      </w:r>
      <w:r>
        <w:rPr>
          <w:rFonts w:ascii="Arial"/>
          <w:i/>
          <w:spacing w:val="-4"/>
          <w:sz w:val="16"/>
        </w:rPr>
        <w:t>Total</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2"/>
        <w:gridCol w:w="1102"/>
        <w:gridCol w:w="1110"/>
        <w:gridCol w:w="1110"/>
        <w:gridCol w:w="1118"/>
      </w:tblGrid>
      <w:tr>
        <w:trPr>
          <w:trHeight w:val="230" w:hRule="atLeast"/>
        </w:trPr>
        <w:tc>
          <w:tcPr>
            <w:tcW w:w="4902" w:type="dxa"/>
          </w:tcPr>
          <w:p>
            <w:pPr>
              <w:pStyle w:val="TableParagraph"/>
              <w:spacing w:before="16"/>
              <w:ind w:left="50"/>
              <w:rPr>
                <w:sz w:val="16"/>
              </w:rPr>
            </w:pPr>
            <w:r>
              <w:rPr>
                <w:sz w:val="16"/>
              </w:rPr>
              <w:t>Service</w:t>
            </w:r>
            <w:r>
              <w:rPr>
                <w:spacing w:val="-3"/>
                <w:sz w:val="16"/>
              </w:rPr>
              <w:t> </w:t>
            </w:r>
            <w:r>
              <w:rPr>
                <w:spacing w:val="-4"/>
                <w:sz w:val="16"/>
              </w:rPr>
              <w:t>cost</w:t>
            </w:r>
          </w:p>
        </w:tc>
        <w:tc>
          <w:tcPr>
            <w:tcW w:w="1102"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642</w:t>
            </w:r>
          </w:p>
        </w:tc>
        <w:tc>
          <w:tcPr>
            <w:tcW w:w="1110"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170</w:t>
            </w:r>
          </w:p>
        </w:tc>
        <w:tc>
          <w:tcPr>
            <w:tcW w:w="1110" w:type="dxa"/>
            <w:tcBorders>
              <w:top w:val="single" w:sz="8" w:space="0" w:color="000000"/>
            </w:tcBorders>
          </w:tcPr>
          <w:p>
            <w:pPr>
              <w:pStyle w:val="TableParagraph"/>
              <w:tabs>
                <w:tab w:pos="722" w:val="left" w:leader="none"/>
              </w:tabs>
              <w:spacing w:before="16"/>
              <w:ind w:right="57"/>
              <w:jc w:val="right"/>
              <w:rPr>
                <w:sz w:val="16"/>
              </w:rPr>
            </w:pPr>
            <w:r>
              <w:rPr>
                <w:spacing w:val="-10"/>
                <w:sz w:val="16"/>
              </w:rPr>
              <w:t>$</w:t>
            </w:r>
            <w:r>
              <w:rPr>
                <w:sz w:val="16"/>
              </w:rPr>
              <w:tab/>
            </w:r>
            <w:r>
              <w:rPr>
                <w:spacing w:val="-5"/>
                <w:sz w:val="16"/>
              </w:rPr>
              <w:t>111</w:t>
            </w:r>
          </w:p>
        </w:tc>
        <w:tc>
          <w:tcPr>
            <w:tcW w:w="1118" w:type="dxa"/>
            <w:tcBorders>
              <w:top w:val="single" w:sz="8" w:space="0" w:color="000000"/>
            </w:tcBorders>
          </w:tcPr>
          <w:p>
            <w:pPr>
              <w:pStyle w:val="TableParagraph"/>
              <w:tabs>
                <w:tab w:pos="722" w:val="left" w:leader="none"/>
              </w:tabs>
              <w:spacing w:before="16"/>
              <w:ind w:right="65"/>
              <w:jc w:val="right"/>
              <w:rPr>
                <w:sz w:val="16"/>
              </w:rPr>
            </w:pPr>
            <w:r>
              <w:rPr>
                <w:spacing w:val="-10"/>
                <w:sz w:val="16"/>
              </w:rPr>
              <w:t>$</w:t>
            </w:r>
            <w:r>
              <w:rPr>
                <w:sz w:val="16"/>
              </w:rPr>
              <w:tab/>
            </w:r>
            <w:r>
              <w:rPr>
                <w:spacing w:val="-5"/>
                <w:sz w:val="16"/>
              </w:rPr>
              <w:t>923</w:t>
            </w:r>
          </w:p>
        </w:tc>
      </w:tr>
      <w:tr>
        <w:trPr>
          <w:trHeight w:val="209" w:hRule="atLeast"/>
        </w:trPr>
        <w:tc>
          <w:tcPr>
            <w:tcW w:w="4902" w:type="dxa"/>
          </w:tcPr>
          <w:p>
            <w:pPr>
              <w:pStyle w:val="TableParagraph"/>
              <w:spacing w:line="164" w:lineRule="exact" w:before="25"/>
              <w:ind w:left="230"/>
              <w:rPr>
                <w:sz w:val="16"/>
              </w:rPr>
            </w:pPr>
            <w:r>
              <w:rPr>
                <w:sz w:val="16"/>
              </w:rPr>
              <w:t>Of </w:t>
            </w:r>
            <w:r>
              <w:rPr>
                <w:spacing w:val="-2"/>
                <w:sz w:val="16"/>
              </w:rPr>
              <w:t>which:</w:t>
            </w:r>
          </w:p>
        </w:tc>
        <w:tc>
          <w:tcPr>
            <w:tcW w:w="1102" w:type="dxa"/>
          </w:tcPr>
          <w:p>
            <w:pPr>
              <w:pStyle w:val="TableParagraph"/>
              <w:rPr>
                <w:rFonts w:ascii="Times New Roman"/>
                <w:sz w:val="14"/>
              </w:rPr>
            </w:pPr>
          </w:p>
        </w:tc>
        <w:tc>
          <w:tcPr>
            <w:tcW w:w="1110" w:type="dxa"/>
          </w:tcPr>
          <w:p>
            <w:pPr>
              <w:pStyle w:val="TableParagraph"/>
              <w:rPr>
                <w:rFonts w:ascii="Times New Roman"/>
                <w:sz w:val="14"/>
              </w:rPr>
            </w:pPr>
          </w:p>
        </w:tc>
        <w:tc>
          <w:tcPr>
            <w:tcW w:w="1110" w:type="dxa"/>
          </w:tcPr>
          <w:p>
            <w:pPr>
              <w:pStyle w:val="TableParagraph"/>
              <w:rPr>
                <w:rFonts w:ascii="Times New Roman"/>
                <w:sz w:val="14"/>
              </w:rPr>
            </w:pPr>
          </w:p>
        </w:tc>
        <w:tc>
          <w:tcPr>
            <w:tcW w:w="1118" w:type="dxa"/>
          </w:tcPr>
          <w:p>
            <w:pPr>
              <w:pStyle w:val="TableParagraph"/>
              <w:rPr>
                <w:rFonts w:ascii="Times New Roman"/>
                <w:sz w:val="14"/>
              </w:rPr>
            </w:pPr>
          </w:p>
        </w:tc>
      </w:tr>
      <w:tr>
        <w:trPr>
          <w:trHeight w:val="270" w:hRule="atLeast"/>
        </w:trPr>
        <w:tc>
          <w:tcPr>
            <w:tcW w:w="4902" w:type="dxa"/>
          </w:tcPr>
          <w:p>
            <w:pPr>
              <w:pStyle w:val="TableParagraph"/>
              <w:spacing w:before="56"/>
              <w:ind w:left="410"/>
              <w:rPr>
                <w:sz w:val="16"/>
              </w:rPr>
            </w:pPr>
            <w:r>
              <w:rPr>
                <w:sz w:val="16"/>
              </w:rPr>
              <w:t>IBRD’s</w:t>
            </w:r>
            <w:r>
              <w:rPr>
                <w:spacing w:val="-5"/>
                <w:sz w:val="16"/>
              </w:rPr>
              <w:t> </w:t>
            </w:r>
            <w:r>
              <w:rPr>
                <w:spacing w:val="-2"/>
                <w:sz w:val="16"/>
              </w:rPr>
              <w:t>share</w:t>
            </w:r>
          </w:p>
        </w:tc>
        <w:tc>
          <w:tcPr>
            <w:tcW w:w="1102" w:type="dxa"/>
          </w:tcPr>
          <w:p>
            <w:pPr>
              <w:pStyle w:val="TableParagraph"/>
              <w:tabs>
                <w:tab w:pos="722" w:val="left" w:leader="none"/>
              </w:tabs>
              <w:spacing w:before="56"/>
              <w:ind w:right="57"/>
              <w:jc w:val="right"/>
              <w:rPr>
                <w:sz w:val="16"/>
              </w:rPr>
            </w:pPr>
            <w:r>
              <w:rPr>
                <w:spacing w:val="-10"/>
                <w:sz w:val="16"/>
              </w:rPr>
              <w:t>$</w:t>
            </w:r>
            <w:r>
              <w:rPr>
                <w:sz w:val="16"/>
              </w:rPr>
              <w:tab/>
            </w:r>
            <w:r>
              <w:rPr>
                <w:spacing w:val="-5"/>
                <w:sz w:val="16"/>
              </w:rPr>
              <w:t>307</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81</w:t>
            </w:r>
          </w:p>
        </w:tc>
        <w:tc>
          <w:tcPr>
            <w:tcW w:w="1110" w:type="dxa"/>
          </w:tcPr>
          <w:p>
            <w:pPr>
              <w:pStyle w:val="TableParagraph"/>
              <w:tabs>
                <w:tab w:pos="811" w:val="left" w:leader="none"/>
              </w:tabs>
              <w:spacing w:before="56"/>
              <w:ind w:right="57"/>
              <w:jc w:val="right"/>
              <w:rPr>
                <w:sz w:val="16"/>
              </w:rPr>
            </w:pPr>
            <w:r>
              <w:rPr>
                <w:spacing w:val="-10"/>
                <w:sz w:val="16"/>
              </w:rPr>
              <w:t>$</w:t>
            </w:r>
            <w:r>
              <w:rPr>
                <w:sz w:val="16"/>
              </w:rPr>
              <w:tab/>
            </w:r>
            <w:r>
              <w:rPr>
                <w:spacing w:val="-5"/>
                <w:sz w:val="16"/>
              </w:rPr>
              <w:t>53</w:t>
            </w:r>
          </w:p>
        </w:tc>
        <w:tc>
          <w:tcPr>
            <w:tcW w:w="1118" w:type="dxa"/>
          </w:tcPr>
          <w:p>
            <w:pPr>
              <w:pStyle w:val="TableParagraph"/>
              <w:tabs>
                <w:tab w:pos="722" w:val="left" w:leader="none"/>
              </w:tabs>
              <w:spacing w:before="56"/>
              <w:ind w:right="65"/>
              <w:jc w:val="right"/>
              <w:rPr>
                <w:sz w:val="16"/>
              </w:rPr>
            </w:pPr>
            <w:r>
              <w:rPr>
                <w:spacing w:val="-10"/>
                <w:sz w:val="16"/>
              </w:rPr>
              <w:t>$</w:t>
            </w:r>
            <w:r>
              <w:rPr>
                <w:sz w:val="16"/>
              </w:rPr>
              <w:tab/>
            </w:r>
            <w:r>
              <w:rPr>
                <w:spacing w:val="-5"/>
                <w:sz w:val="16"/>
              </w:rPr>
              <w:t>441</w:t>
            </w:r>
          </w:p>
        </w:tc>
      </w:tr>
      <w:tr>
        <w:trPr>
          <w:trHeight w:val="209" w:hRule="atLeast"/>
        </w:trPr>
        <w:tc>
          <w:tcPr>
            <w:tcW w:w="4902" w:type="dxa"/>
          </w:tcPr>
          <w:p>
            <w:pPr>
              <w:pStyle w:val="TableParagraph"/>
              <w:spacing w:line="164" w:lineRule="exact" w:before="25"/>
              <w:ind w:left="410"/>
              <w:rPr>
                <w:sz w:val="16"/>
              </w:rPr>
            </w:pPr>
            <w:r>
              <w:rPr>
                <w:spacing w:val="-2"/>
                <w:sz w:val="16"/>
              </w:rPr>
              <w:t>IDA’s</w:t>
            </w:r>
            <w:r>
              <w:rPr>
                <w:spacing w:val="-8"/>
                <w:sz w:val="16"/>
              </w:rPr>
              <w:t> </w:t>
            </w:r>
            <w:r>
              <w:rPr>
                <w:spacing w:val="-2"/>
                <w:sz w:val="16"/>
              </w:rPr>
              <w:t>share</w:t>
            </w:r>
          </w:p>
        </w:tc>
        <w:tc>
          <w:tcPr>
            <w:tcW w:w="1102" w:type="dxa"/>
          </w:tcPr>
          <w:p>
            <w:pPr>
              <w:pStyle w:val="TableParagraph"/>
              <w:spacing w:line="164" w:lineRule="exact" w:before="25"/>
              <w:ind w:right="57"/>
              <w:jc w:val="right"/>
              <w:rPr>
                <w:sz w:val="16"/>
              </w:rPr>
            </w:pPr>
            <w:r>
              <w:rPr>
                <w:spacing w:val="-5"/>
                <w:sz w:val="16"/>
              </w:rPr>
              <w:t>335</w:t>
            </w:r>
          </w:p>
        </w:tc>
        <w:tc>
          <w:tcPr>
            <w:tcW w:w="1110" w:type="dxa"/>
          </w:tcPr>
          <w:p>
            <w:pPr>
              <w:pStyle w:val="TableParagraph"/>
              <w:spacing w:line="164" w:lineRule="exact" w:before="25"/>
              <w:ind w:right="57"/>
              <w:jc w:val="right"/>
              <w:rPr>
                <w:sz w:val="16"/>
              </w:rPr>
            </w:pPr>
            <w:r>
              <w:rPr>
                <w:spacing w:val="-5"/>
                <w:sz w:val="16"/>
              </w:rPr>
              <w:t>89</w:t>
            </w:r>
          </w:p>
        </w:tc>
        <w:tc>
          <w:tcPr>
            <w:tcW w:w="1110" w:type="dxa"/>
          </w:tcPr>
          <w:p>
            <w:pPr>
              <w:pStyle w:val="TableParagraph"/>
              <w:spacing w:line="164" w:lineRule="exact" w:before="25"/>
              <w:ind w:right="57"/>
              <w:jc w:val="right"/>
              <w:rPr>
                <w:sz w:val="16"/>
              </w:rPr>
            </w:pPr>
            <w:r>
              <w:rPr>
                <w:spacing w:val="-5"/>
                <w:sz w:val="16"/>
              </w:rPr>
              <w:t>58</w:t>
            </w:r>
          </w:p>
        </w:tc>
        <w:tc>
          <w:tcPr>
            <w:tcW w:w="1118" w:type="dxa"/>
          </w:tcPr>
          <w:p>
            <w:pPr>
              <w:pStyle w:val="TableParagraph"/>
              <w:spacing w:line="164" w:lineRule="exact" w:before="25"/>
              <w:ind w:right="65"/>
              <w:jc w:val="right"/>
              <w:rPr>
                <w:sz w:val="16"/>
              </w:rPr>
            </w:pPr>
            <w:r>
              <w:rPr>
                <w:spacing w:val="-5"/>
                <w:sz w:val="16"/>
              </w:rPr>
              <w:t>482</w:t>
            </w:r>
          </w:p>
        </w:tc>
      </w:tr>
    </w:tbl>
    <w:p>
      <w:pPr>
        <w:pStyle w:val="BodyText"/>
        <w:spacing w:before="8"/>
        <w:rPr>
          <w:rFonts w:ascii="Arial"/>
          <w:i/>
        </w:rPr>
      </w:pPr>
      <w:r>
        <w:rPr>
          <w:rFonts w:ascii="Arial"/>
          <w:i/>
        </w:rPr>
        <mc:AlternateContent>
          <mc:Choice Requires="wps">
            <w:drawing>
              <wp:anchor distT="0" distB="0" distL="0" distR="0" allowOverlap="1" layoutInCell="1" locked="0" behindDoc="1" simplePos="0" relativeHeight="487751168">
                <wp:simplePos x="0" y="0"/>
                <wp:positionH relativeFrom="page">
                  <wp:posOffset>914400</wp:posOffset>
                </wp:positionH>
                <wp:positionV relativeFrom="paragraph">
                  <wp:posOffset>166370</wp:posOffset>
                </wp:positionV>
                <wp:extent cx="5934075" cy="1270"/>
                <wp:effectExtent l="0" t="0" r="0" b="0"/>
                <wp:wrapTopAndBottom/>
                <wp:docPr id="945" name="Graphic 945"/>
                <wp:cNvGraphicFramePr>
                  <a:graphicFrameLocks/>
                </wp:cNvGraphicFramePr>
                <a:graphic>
                  <a:graphicData uri="http://schemas.microsoft.com/office/word/2010/wordprocessingShape">
                    <wps:wsp>
                      <wps:cNvPr id="945" name="Graphic 945"/>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1pt;width:467.25pt;height:.1pt;mso-position-horizontal-relative:page;mso-position-vertical-relative:paragraph;z-index:-15565312;mso-wrap-distance-left:0;mso-wrap-distance-right:0" id="docshape781" coordorigin="1440,262" coordsize="9345,0" path="m1440,262l10785,262e" filled="false" stroked="true" strokeweight="1pt" strokecolor="#000000">
                <v:path arrowok="t"/>
                <v:stroke dashstyle="solid"/>
                <w10:wrap type="topAndBottom"/>
              </v:shape>
            </w:pict>
          </mc:Fallback>
        </mc:AlternateContent>
      </w:r>
    </w:p>
    <w:p>
      <w:pPr>
        <w:pStyle w:val="BodyText"/>
        <w:spacing w:line="249" w:lineRule="auto" w:before="162"/>
        <w:ind w:left="720" w:right="718"/>
        <w:jc w:val="both"/>
      </w:pPr>
      <w:r>
        <w:rPr/>
        <w:t>The</w:t>
      </w:r>
      <w:r>
        <w:rPr>
          <w:spacing w:val="-3"/>
        </w:rPr>
        <w:t> </w:t>
      </w:r>
      <w:r>
        <w:rPr/>
        <w:t>following</w:t>
      </w:r>
      <w:r>
        <w:rPr>
          <w:spacing w:val="-3"/>
        </w:rPr>
        <w:t> </w:t>
      </w:r>
      <w:r>
        <w:rPr/>
        <w:t>table</w:t>
      </w:r>
      <w:r>
        <w:rPr>
          <w:spacing w:val="-3"/>
        </w:rPr>
        <w:t> </w:t>
      </w:r>
      <w:r>
        <w:rPr/>
        <w:t>summarizes</w:t>
      </w:r>
      <w:r>
        <w:rPr>
          <w:spacing w:val="-3"/>
        </w:rPr>
        <w:t> </w:t>
      </w:r>
      <w:r>
        <w:rPr/>
        <w:t>the</w:t>
      </w:r>
      <w:r>
        <w:rPr>
          <w:spacing w:val="-3"/>
        </w:rPr>
        <w:t> </w:t>
      </w:r>
      <w:r>
        <w:rPr/>
        <w:t>Projected</w:t>
      </w:r>
      <w:r>
        <w:rPr>
          <w:spacing w:val="-3"/>
        </w:rPr>
        <w:t> </w:t>
      </w:r>
      <w:r>
        <w:rPr/>
        <w:t>Benefit</w:t>
      </w:r>
      <w:r>
        <w:rPr>
          <w:spacing w:val="-3"/>
        </w:rPr>
        <w:t> </w:t>
      </w:r>
      <w:r>
        <w:rPr/>
        <w:t>Obligations</w:t>
      </w:r>
      <w:r>
        <w:rPr>
          <w:spacing w:val="-3"/>
        </w:rPr>
        <w:t> </w:t>
      </w:r>
      <w:r>
        <w:rPr/>
        <w:t>(PBO),</w:t>
      </w:r>
      <w:r>
        <w:rPr>
          <w:spacing w:val="-3"/>
        </w:rPr>
        <w:t> </w:t>
      </w:r>
      <w:r>
        <w:rPr/>
        <w:t>fair</w:t>
      </w:r>
      <w:r>
        <w:rPr>
          <w:spacing w:val="-3"/>
        </w:rPr>
        <w:t> </w:t>
      </w:r>
      <w:r>
        <w:rPr/>
        <w:t>value</w:t>
      </w:r>
      <w:r>
        <w:rPr>
          <w:spacing w:val="-3"/>
        </w:rPr>
        <w:t> </w:t>
      </w:r>
      <w:r>
        <w:rPr/>
        <w:t>of</w:t>
      </w:r>
      <w:r>
        <w:rPr>
          <w:spacing w:val="-3"/>
        </w:rPr>
        <w:t> </w:t>
      </w:r>
      <w:r>
        <w:rPr/>
        <w:t>plan</w:t>
      </w:r>
      <w:r>
        <w:rPr>
          <w:spacing w:val="-3"/>
        </w:rPr>
        <w:t> </w:t>
      </w:r>
      <w:r>
        <w:rPr/>
        <w:t>assets,</w:t>
      </w:r>
      <w:r>
        <w:rPr>
          <w:spacing w:val="-3"/>
        </w:rPr>
        <w:t> </w:t>
      </w:r>
      <w:r>
        <w:rPr/>
        <w:t>and</w:t>
      </w:r>
      <w:r>
        <w:rPr>
          <w:spacing w:val="-3"/>
        </w:rPr>
        <w:t> </w:t>
      </w:r>
      <w:r>
        <w:rPr/>
        <w:t>funded</w:t>
      </w:r>
      <w:r>
        <w:rPr>
          <w:spacing w:val="-3"/>
        </w:rPr>
        <w:t> </w:t>
      </w:r>
      <w:r>
        <w:rPr/>
        <w:t>status associated with the SRP, RSBP, and PEBP for IBRD and IDA. The SRP and RSBP assets are held in separate trusts and the PEBP assets are included in IBRD's investment portfolio. The assets of the PEBP are mostly invested in fixed income, equity instruments and other fund investments.</w:t>
      </w:r>
    </w:p>
    <w:p>
      <w:pPr>
        <w:pStyle w:val="Heading8"/>
        <w:spacing w:before="120"/>
        <w:jc w:val="both"/>
      </w:pPr>
      <w:r>
        <w:rPr/>
        <w:t>Table</w:t>
      </w:r>
      <w:r>
        <w:rPr>
          <w:spacing w:val="-6"/>
        </w:rPr>
        <w:t> </w:t>
      </w:r>
      <w:r>
        <w:rPr/>
        <w:t>J3:</w:t>
      </w:r>
      <w:r>
        <w:rPr>
          <w:spacing w:val="-4"/>
        </w:rPr>
        <w:t> </w:t>
      </w:r>
      <w:r>
        <w:rPr/>
        <w:t>PBO,</w:t>
      </w:r>
      <w:r>
        <w:rPr>
          <w:spacing w:val="-3"/>
        </w:rPr>
        <w:t> </w:t>
      </w:r>
      <w:r>
        <w:rPr/>
        <w:t>funded</w:t>
      </w:r>
      <w:r>
        <w:rPr>
          <w:spacing w:val="-4"/>
        </w:rPr>
        <w:t> </w:t>
      </w:r>
      <w:r>
        <w:rPr/>
        <w:t>status</w:t>
      </w:r>
      <w:r>
        <w:rPr>
          <w:spacing w:val="-3"/>
        </w:rPr>
        <w:t> </w:t>
      </w:r>
      <w:r>
        <w:rPr/>
        <w:t>and</w:t>
      </w:r>
      <w:r>
        <w:rPr>
          <w:spacing w:val="-4"/>
        </w:rPr>
        <w:t> </w:t>
      </w:r>
      <w:r>
        <w:rPr/>
        <w:t>accumulated</w:t>
      </w:r>
      <w:r>
        <w:rPr>
          <w:spacing w:val="-4"/>
        </w:rPr>
        <w:t> </w:t>
      </w:r>
      <w:r>
        <w:rPr/>
        <w:t>benefit</w:t>
      </w:r>
      <w:r>
        <w:rPr>
          <w:spacing w:val="-3"/>
        </w:rPr>
        <w:t> </w:t>
      </w:r>
      <w:r>
        <w:rPr>
          <w:spacing w:val="-2"/>
        </w:rPr>
        <w:t>obligations</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751680">
                <wp:simplePos x="0" y="0"/>
                <wp:positionH relativeFrom="page">
                  <wp:posOffset>914400</wp:posOffset>
                </wp:positionH>
                <wp:positionV relativeFrom="paragraph">
                  <wp:posOffset>191325</wp:posOffset>
                </wp:positionV>
                <wp:extent cx="5943600" cy="1270"/>
                <wp:effectExtent l="0" t="0" r="0" b="0"/>
                <wp:wrapTopAndBottom/>
                <wp:docPr id="946" name="Graphic 946"/>
                <wp:cNvGraphicFramePr>
                  <a:graphicFrameLocks/>
                </wp:cNvGraphicFramePr>
                <a:graphic>
                  <a:graphicData uri="http://schemas.microsoft.com/office/word/2010/wordprocessingShape">
                    <wps:wsp>
                      <wps:cNvPr id="946" name="Graphic 94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65039pt;width:468pt;height:.1pt;mso-position-horizontal-relative:page;mso-position-vertical-relative:paragraph;z-index:-15564800;mso-wrap-distance-left:0;mso-wrap-distance-right:0" id="docshape782" coordorigin="1440,301" coordsize="9360,0" path="m1440,301l10800,301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4855" w:val="left" w:leader="none"/>
          <w:tab w:pos="7140" w:val="left" w:leader="none"/>
        </w:tabs>
        <w:spacing w:before="16" w:after="20"/>
        <w:ind w:left="2629" w:right="0" w:firstLine="0"/>
        <w:jc w:val="center"/>
        <w:rPr>
          <w:rFonts w:ascii="Arial"/>
          <w:i/>
          <w:sz w:val="16"/>
        </w:rPr>
      </w:pPr>
      <w:r>
        <w:rPr>
          <w:rFonts w:ascii="Arial"/>
          <w:i/>
          <w:spacing w:val="-5"/>
          <w:sz w:val="16"/>
        </w:rPr>
        <w:t>SRP</w:t>
      </w:r>
      <w:r>
        <w:rPr>
          <w:rFonts w:ascii="Arial"/>
          <w:i/>
          <w:sz w:val="16"/>
        </w:rPr>
        <w:tab/>
      </w:r>
      <w:r>
        <w:rPr>
          <w:rFonts w:ascii="Arial"/>
          <w:i/>
          <w:spacing w:val="-4"/>
          <w:sz w:val="16"/>
        </w:rPr>
        <w:t>RSBP</w:t>
      </w:r>
      <w:r>
        <w:rPr>
          <w:rFonts w:ascii="Arial"/>
          <w:i/>
          <w:sz w:val="16"/>
        </w:rPr>
        <w:tab/>
      </w:r>
      <w:r>
        <w:rPr>
          <w:rFonts w:ascii="Arial"/>
          <w:i/>
          <w:spacing w:val="-4"/>
          <w:sz w:val="16"/>
        </w:rPr>
        <w:t>PEBP</w:t>
      </w:r>
    </w:p>
    <w:p>
      <w:pPr>
        <w:spacing w:line="20" w:lineRule="exact"/>
        <w:ind w:left="3290" w:right="0" w:firstLine="0"/>
        <w:rPr>
          <w:rFonts w:ascii="Arial"/>
          <w:sz w:val="2"/>
        </w:rPr>
      </w:pPr>
      <w:r>
        <w:rPr>
          <w:rFonts w:ascii="Arial"/>
          <w:sz w:val="2"/>
        </w:rPr>
        <mc:AlternateContent>
          <mc:Choice Requires="wps">
            <w:drawing>
              <wp:inline distT="0" distB="0" distL="0" distR="0">
                <wp:extent cx="4305300" cy="12700"/>
                <wp:effectExtent l="9525" t="0" r="0" b="6350"/>
                <wp:docPr id="947" name="Group 947"/>
                <wp:cNvGraphicFramePr>
                  <a:graphicFrameLocks/>
                </wp:cNvGraphicFramePr>
                <a:graphic>
                  <a:graphicData uri="http://schemas.microsoft.com/office/word/2010/wordprocessingGroup">
                    <wpg:wgp>
                      <wpg:cNvPr id="947" name="Group 947"/>
                      <wpg:cNvGrpSpPr/>
                      <wpg:grpSpPr>
                        <a:xfrm>
                          <a:off x="0" y="0"/>
                          <a:ext cx="4305300" cy="12700"/>
                          <a:chExt cx="4305300" cy="12700"/>
                        </a:xfrm>
                      </wpg:grpSpPr>
                      <wps:wsp>
                        <wps:cNvPr id="948" name="Graphic 948"/>
                        <wps:cNvSpPr/>
                        <wps:spPr>
                          <a:xfrm>
                            <a:off x="0" y="6350"/>
                            <a:ext cx="4305300" cy="1270"/>
                          </a:xfrm>
                          <a:custGeom>
                            <a:avLst/>
                            <a:gdLst/>
                            <a:ahLst/>
                            <a:cxnLst/>
                            <a:rect l="l" t="t" r="r" b="b"/>
                            <a:pathLst>
                              <a:path w="4305300" h="0">
                                <a:moveTo>
                                  <a:pt x="0" y="0"/>
                                </a:moveTo>
                                <a:lnTo>
                                  <a:pt x="1409700" y="0"/>
                                </a:lnTo>
                              </a:path>
                              <a:path w="4305300" h="0">
                                <a:moveTo>
                                  <a:pt x="1447800" y="0"/>
                                </a:moveTo>
                                <a:lnTo>
                                  <a:pt x="2857500" y="0"/>
                                </a:lnTo>
                              </a:path>
                              <a:path w="4305300" h="0">
                                <a:moveTo>
                                  <a:pt x="2895600" y="0"/>
                                </a:moveTo>
                                <a:lnTo>
                                  <a:pt x="43053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9pt;height:1pt;mso-position-horizontal-relative:char;mso-position-vertical-relative:line" id="docshapegroup783" coordorigin="0,0" coordsize="6780,20">
                <v:shape style="position:absolute;left:0;top:10;width:6780;height:2" id="docshape784" coordorigin="0,10" coordsize="6780,0" path="m0,10l2220,10m2280,10l4500,10m4560,10l6780,10e" filled="false" stroked="true" strokeweight="1pt" strokecolor="#000000">
                  <v:path arrowok="t"/>
                  <v:stroke dashstyle="solid"/>
                </v:shape>
              </v:group>
            </w:pict>
          </mc:Fallback>
        </mc:AlternateContent>
      </w:r>
      <w:r>
        <w:rPr>
          <w:rFonts w:ascii="Arial"/>
          <w:sz w:val="2"/>
        </w:rPr>
      </w:r>
    </w:p>
    <w:p>
      <w:pPr>
        <w:tabs>
          <w:tab w:pos="3720" w:val="left" w:leader="none"/>
          <w:tab w:pos="4860" w:val="left" w:leader="none"/>
          <w:tab w:pos="6000" w:val="left" w:leader="none"/>
          <w:tab w:pos="7140" w:val="left" w:leader="none"/>
          <w:tab w:pos="8280" w:val="left" w:leader="none"/>
        </w:tabs>
        <w:spacing w:before="16"/>
        <w:ind w:left="2580" w:right="0" w:firstLine="0"/>
        <w:jc w:val="center"/>
        <w:rPr>
          <w:rFonts w:ascii="Arial"/>
          <w:i/>
          <w:sz w:val="16"/>
        </w:rPr>
      </w:pPr>
      <w:r>
        <w:rPr>
          <w:rFonts w:ascii="Arial"/>
          <w:i/>
          <w:sz w:val="16"/>
        </w:rPr>
        <mc:AlternateContent>
          <mc:Choice Requires="wps">
            <w:drawing>
              <wp:anchor distT="0" distB="0" distL="0" distR="0" allowOverlap="1" layoutInCell="1" locked="0" behindDoc="1" simplePos="0" relativeHeight="487752704">
                <wp:simplePos x="0" y="0"/>
                <wp:positionH relativeFrom="page">
                  <wp:posOffset>2552700</wp:posOffset>
                </wp:positionH>
                <wp:positionV relativeFrom="paragraph">
                  <wp:posOffset>146050</wp:posOffset>
                </wp:positionV>
                <wp:extent cx="4305300" cy="1270"/>
                <wp:effectExtent l="0" t="0" r="0" b="0"/>
                <wp:wrapTopAndBottom/>
                <wp:docPr id="949" name="Graphic 949"/>
                <wp:cNvGraphicFramePr>
                  <a:graphicFrameLocks/>
                </wp:cNvGraphicFramePr>
                <a:graphic>
                  <a:graphicData uri="http://schemas.microsoft.com/office/word/2010/wordprocessingShape">
                    <wps:wsp>
                      <wps:cNvPr id="949" name="Graphic 949"/>
                      <wps:cNvSpPr/>
                      <wps:spPr>
                        <a:xfrm>
                          <a:off x="0" y="0"/>
                          <a:ext cx="4305300" cy="1270"/>
                        </a:xfrm>
                        <a:custGeom>
                          <a:avLst/>
                          <a:gdLst/>
                          <a:ahLst/>
                          <a:cxnLst/>
                          <a:rect l="l" t="t" r="r" b="b"/>
                          <a:pathLst>
                            <a:path w="4305300" h="0">
                              <a:moveTo>
                                <a:pt x="0" y="0"/>
                              </a:moveTo>
                              <a:lnTo>
                                <a:pt x="685800" y="0"/>
                              </a:lnTo>
                            </a:path>
                            <a:path w="4305300" h="0">
                              <a:moveTo>
                                <a:pt x="723900" y="0"/>
                              </a:moveTo>
                              <a:lnTo>
                                <a:pt x="1409700" y="0"/>
                              </a:lnTo>
                            </a:path>
                            <a:path w="4305300" h="0">
                              <a:moveTo>
                                <a:pt x="1447800" y="0"/>
                              </a:moveTo>
                              <a:lnTo>
                                <a:pt x="2133600" y="0"/>
                              </a:lnTo>
                            </a:path>
                            <a:path w="4305300" h="0">
                              <a:moveTo>
                                <a:pt x="2171700" y="0"/>
                              </a:moveTo>
                              <a:lnTo>
                                <a:pt x="2857500" y="0"/>
                              </a:lnTo>
                            </a:path>
                            <a:path w="4305300" h="0">
                              <a:moveTo>
                                <a:pt x="2895600" y="0"/>
                              </a:moveTo>
                              <a:lnTo>
                                <a:pt x="3581400" y="0"/>
                              </a:lnTo>
                            </a:path>
                            <a:path w="4305300" h="0">
                              <a:moveTo>
                                <a:pt x="3619500" y="0"/>
                              </a:moveTo>
                              <a:lnTo>
                                <a:pt x="43053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1pt;margin-top:11.5pt;width:339pt;height:.1pt;mso-position-horizontal-relative:page;mso-position-vertical-relative:paragraph;z-index:-15563776;mso-wrap-distance-left:0;mso-wrap-distance-right:0" id="docshape785" coordorigin="4020,230" coordsize="6780,0" path="m4020,230l5100,230m5160,230l6240,230m6300,230l7380,230m7440,230l8520,230m8580,230l9660,230m9720,230l10800,230e" filled="false" stroked="true" strokeweight="1pt" strokecolor="#000000">
                <v:path arrowok="t"/>
                <v:stroke dashstyle="solid"/>
                <w10:wrap type="topAndBottom"/>
              </v:shape>
            </w:pict>
          </mc:Fallback>
        </mc:AlternateContent>
      </w:r>
      <w:r>
        <w:rPr>
          <w:rFonts w:ascii="Arial"/>
          <w:i/>
          <w:spacing w:val="-4"/>
          <w:sz w:val="16"/>
        </w:rPr>
        <w:t>2023</w:t>
      </w:r>
      <w:r>
        <w:rPr>
          <w:rFonts w:ascii="Arial"/>
          <w:i/>
          <w:sz w:val="16"/>
        </w:rPr>
        <w:tab/>
      </w:r>
      <w:r>
        <w:rPr>
          <w:rFonts w:ascii="Arial"/>
          <w:i/>
          <w:spacing w:val="-4"/>
          <w:sz w:val="16"/>
        </w:rPr>
        <w:t>2022</w:t>
      </w:r>
      <w:r>
        <w:rPr>
          <w:rFonts w:ascii="Arial"/>
          <w:i/>
          <w:sz w:val="16"/>
        </w:rPr>
        <w:tab/>
      </w:r>
      <w:r>
        <w:rPr>
          <w:rFonts w:ascii="Arial"/>
          <w:i/>
          <w:spacing w:val="-4"/>
          <w:sz w:val="16"/>
        </w:rPr>
        <w:t>2023</w:t>
      </w:r>
      <w:r>
        <w:rPr>
          <w:rFonts w:ascii="Arial"/>
          <w:i/>
          <w:sz w:val="16"/>
        </w:rPr>
        <w:tab/>
      </w:r>
      <w:r>
        <w:rPr>
          <w:rFonts w:ascii="Arial"/>
          <w:i/>
          <w:spacing w:val="-4"/>
          <w:sz w:val="16"/>
        </w:rPr>
        <w:t>2022</w:t>
      </w:r>
      <w:r>
        <w:rPr>
          <w:rFonts w:ascii="Arial"/>
          <w:i/>
          <w:sz w:val="16"/>
        </w:rPr>
        <w:tab/>
      </w:r>
      <w:r>
        <w:rPr>
          <w:rFonts w:ascii="Arial"/>
          <w:i/>
          <w:spacing w:val="-4"/>
          <w:sz w:val="16"/>
        </w:rPr>
        <w:t>2023</w:t>
      </w:r>
      <w:r>
        <w:rPr>
          <w:rFonts w:ascii="Arial"/>
          <w:i/>
          <w:sz w:val="16"/>
        </w:rPr>
        <w:tab/>
      </w:r>
      <w:r>
        <w:rPr>
          <w:rFonts w:ascii="Arial"/>
          <w:i/>
          <w:spacing w:val="-4"/>
          <w:sz w:val="16"/>
        </w:rPr>
        <w:t>2022</w:t>
      </w:r>
    </w:p>
    <w:p>
      <w:pPr>
        <w:spacing w:before="16"/>
        <w:ind w:left="772" w:right="0" w:firstLine="0"/>
        <w:jc w:val="left"/>
        <w:rPr>
          <w:rFonts w:ascii="Arial"/>
          <w:b/>
          <w:sz w:val="16"/>
        </w:rPr>
      </w:pPr>
      <w:r>
        <w:rPr>
          <w:rFonts w:ascii="Arial"/>
          <w:b/>
          <w:sz w:val="16"/>
        </w:rPr>
        <w:t>Projected</w:t>
      </w:r>
      <w:r>
        <w:rPr>
          <w:rFonts w:ascii="Arial"/>
          <w:b/>
          <w:spacing w:val="-6"/>
          <w:sz w:val="16"/>
        </w:rPr>
        <w:t> </w:t>
      </w:r>
      <w:r>
        <w:rPr>
          <w:rFonts w:ascii="Arial"/>
          <w:b/>
          <w:sz w:val="16"/>
        </w:rPr>
        <w:t>Benefit</w:t>
      </w:r>
      <w:r>
        <w:rPr>
          <w:rFonts w:ascii="Arial"/>
          <w:b/>
          <w:spacing w:val="-4"/>
          <w:sz w:val="16"/>
        </w:rPr>
        <w:t> </w:t>
      </w:r>
      <w:r>
        <w:rPr>
          <w:rFonts w:ascii="Arial"/>
          <w:b/>
          <w:spacing w:val="-2"/>
          <w:sz w:val="16"/>
        </w:rPr>
        <w:t>Obligations</w:t>
      </w:r>
    </w:p>
    <w:p>
      <w:pPr>
        <w:pStyle w:val="BodyText"/>
        <w:spacing w:before="4"/>
        <w:rPr>
          <w:rFonts w:ascii="Arial"/>
          <w:b/>
          <w:sz w:val="5"/>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7"/>
        <w:gridCol w:w="1129"/>
        <w:gridCol w:w="1140"/>
        <w:gridCol w:w="1140"/>
        <w:gridCol w:w="1091"/>
        <w:gridCol w:w="1189"/>
        <w:gridCol w:w="1091"/>
      </w:tblGrid>
      <w:tr>
        <w:trPr>
          <w:trHeight w:val="209" w:hRule="atLeast"/>
        </w:trPr>
        <w:tc>
          <w:tcPr>
            <w:tcW w:w="2577" w:type="dxa"/>
          </w:tcPr>
          <w:p>
            <w:pPr>
              <w:pStyle w:val="TableParagraph"/>
              <w:spacing w:line="179" w:lineRule="exact"/>
              <w:ind w:left="230"/>
              <w:rPr>
                <w:sz w:val="16"/>
              </w:rPr>
            </w:pPr>
            <w:r>
              <w:rPr>
                <w:sz w:val="16"/>
              </w:rPr>
              <w:t>Beginning</w:t>
            </w:r>
            <w:r>
              <w:rPr>
                <w:spacing w:val="-5"/>
                <w:sz w:val="16"/>
              </w:rPr>
              <w:t> </w:t>
            </w:r>
            <w:r>
              <w:rPr>
                <w:sz w:val="16"/>
              </w:rPr>
              <w:t>of</w:t>
            </w:r>
            <w:r>
              <w:rPr>
                <w:spacing w:val="-4"/>
                <w:sz w:val="16"/>
              </w:rPr>
              <w:t> year</w:t>
            </w:r>
          </w:p>
        </w:tc>
        <w:tc>
          <w:tcPr>
            <w:tcW w:w="1129" w:type="dxa"/>
          </w:tcPr>
          <w:p>
            <w:pPr>
              <w:pStyle w:val="TableParagraph"/>
              <w:tabs>
                <w:tab w:pos="523" w:val="left" w:leader="none"/>
              </w:tabs>
              <w:spacing w:line="179" w:lineRule="exact"/>
              <w:ind w:left="53"/>
              <w:rPr>
                <w:sz w:val="16"/>
              </w:rPr>
            </w:pPr>
            <w:r>
              <w:rPr>
                <w:spacing w:val="-10"/>
                <w:sz w:val="16"/>
              </w:rPr>
              <w:t>$</w:t>
            </w:r>
            <w:r>
              <w:rPr>
                <w:sz w:val="16"/>
              </w:rPr>
              <w:tab/>
            </w:r>
            <w:r>
              <w:rPr>
                <w:spacing w:val="-2"/>
                <w:sz w:val="16"/>
              </w:rPr>
              <w:t>21,831</w:t>
            </w:r>
          </w:p>
        </w:tc>
        <w:tc>
          <w:tcPr>
            <w:tcW w:w="1140" w:type="dxa"/>
          </w:tcPr>
          <w:p>
            <w:pPr>
              <w:pStyle w:val="TableParagraph"/>
              <w:tabs>
                <w:tab w:pos="470" w:val="left" w:leader="none"/>
              </w:tabs>
              <w:spacing w:line="179" w:lineRule="exact"/>
              <w:ind w:right="114"/>
              <w:jc w:val="right"/>
              <w:rPr>
                <w:sz w:val="16"/>
              </w:rPr>
            </w:pPr>
            <w:r>
              <w:rPr>
                <w:spacing w:val="-10"/>
                <w:sz w:val="16"/>
              </w:rPr>
              <w:t>$</w:t>
            </w:r>
            <w:r>
              <w:rPr>
                <w:sz w:val="16"/>
              </w:rPr>
              <w:tab/>
            </w:r>
            <w:r>
              <w:rPr>
                <w:spacing w:val="-2"/>
                <w:sz w:val="16"/>
              </w:rPr>
              <w:t>24,728</w:t>
            </w:r>
          </w:p>
        </w:tc>
        <w:tc>
          <w:tcPr>
            <w:tcW w:w="1140" w:type="dxa"/>
          </w:tcPr>
          <w:p>
            <w:pPr>
              <w:pStyle w:val="TableParagraph"/>
              <w:tabs>
                <w:tab w:pos="623" w:val="left" w:leader="none"/>
              </w:tabs>
              <w:spacing w:line="179" w:lineRule="exact"/>
              <w:ind w:left="63"/>
              <w:rPr>
                <w:sz w:val="16"/>
              </w:rPr>
            </w:pPr>
            <w:r>
              <w:rPr>
                <w:spacing w:val="-10"/>
                <w:sz w:val="16"/>
              </w:rPr>
              <w:t>$</w:t>
            </w:r>
            <w:r>
              <w:rPr>
                <w:sz w:val="16"/>
              </w:rPr>
              <w:tab/>
            </w:r>
            <w:r>
              <w:rPr>
                <w:spacing w:val="-2"/>
                <w:sz w:val="16"/>
              </w:rPr>
              <w:t>3,666</w:t>
            </w:r>
          </w:p>
        </w:tc>
        <w:tc>
          <w:tcPr>
            <w:tcW w:w="1091" w:type="dxa"/>
          </w:tcPr>
          <w:p>
            <w:pPr>
              <w:pStyle w:val="TableParagraph"/>
              <w:tabs>
                <w:tab w:pos="559" w:val="left" w:leader="none"/>
              </w:tabs>
              <w:spacing w:line="179" w:lineRule="exact"/>
              <w:ind w:right="65"/>
              <w:jc w:val="right"/>
              <w:rPr>
                <w:sz w:val="16"/>
              </w:rPr>
            </w:pPr>
            <w:r>
              <w:rPr>
                <w:spacing w:val="-10"/>
                <w:sz w:val="16"/>
              </w:rPr>
              <w:t>$</w:t>
            </w:r>
            <w:r>
              <w:rPr>
                <w:sz w:val="16"/>
              </w:rPr>
              <w:tab/>
            </w:r>
            <w:r>
              <w:rPr>
                <w:spacing w:val="-2"/>
                <w:sz w:val="16"/>
              </w:rPr>
              <w:t>4,235</w:t>
            </w:r>
          </w:p>
        </w:tc>
        <w:tc>
          <w:tcPr>
            <w:tcW w:w="1189" w:type="dxa"/>
          </w:tcPr>
          <w:p>
            <w:pPr>
              <w:pStyle w:val="TableParagraph"/>
              <w:tabs>
                <w:tab w:pos="672" w:val="left" w:leader="none"/>
              </w:tabs>
              <w:spacing w:line="179" w:lineRule="exact"/>
              <w:ind w:left="112"/>
              <w:rPr>
                <w:sz w:val="16"/>
              </w:rPr>
            </w:pPr>
            <w:r>
              <w:rPr>
                <w:spacing w:val="-10"/>
                <w:sz w:val="16"/>
              </w:rPr>
              <w:t>$</w:t>
            </w:r>
            <w:r>
              <w:rPr>
                <w:sz w:val="16"/>
              </w:rPr>
              <w:tab/>
            </w:r>
            <w:r>
              <w:rPr>
                <w:spacing w:val="-2"/>
                <w:sz w:val="16"/>
              </w:rPr>
              <w:t>2,107</w:t>
            </w:r>
          </w:p>
        </w:tc>
        <w:tc>
          <w:tcPr>
            <w:tcW w:w="1091" w:type="dxa"/>
          </w:tcPr>
          <w:p>
            <w:pPr>
              <w:pStyle w:val="TableParagraph"/>
              <w:tabs>
                <w:tab w:pos="559" w:val="left" w:leader="none"/>
              </w:tabs>
              <w:spacing w:line="179" w:lineRule="exact"/>
              <w:ind w:right="65"/>
              <w:jc w:val="right"/>
              <w:rPr>
                <w:sz w:val="16"/>
              </w:rPr>
            </w:pPr>
            <w:r>
              <w:rPr>
                <w:spacing w:val="-10"/>
                <w:sz w:val="16"/>
              </w:rPr>
              <w:t>$</w:t>
            </w:r>
            <w:r>
              <w:rPr>
                <w:sz w:val="16"/>
              </w:rPr>
              <w:tab/>
            </w:r>
            <w:r>
              <w:rPr>
                <w:spacing w:val="-2"/>
                <w:sz w:val="16"/>
              </w:rPr>
              <w:t>2,339</w:t>
            </w:r>
          </w:p>
        </w:tc>
      </w:tr>
      <w:tr>
        <w:trPr>
          <w:trHeight w:val="240" w:hRule="atLeast"/>
        </w:trPr>
        <w:tc>
          <w:tcPr>
            <w:tcW w:w="2577" w:type="dxa"/>
          </w:tcPr>
          <w:p>
            <w:pPr>
              <w:pStyle w:val="TableParagraph"/>
              <w:spacing w:before="25"/>
              <w:ind w:left="230"/>
              <w:rPr>
                <w:sz w:val="16"/>
              </w:rPr>
            </w:pPr>
            <w:r>
              <w:rPr>
                <w:sz w:val="16"/>
              </w:rPr>
              <w:t>Service</w:t>
            </w:r>
            <w:r>
              <w:rPr>
                <w:spacing w:val="-3"/>
                <w:sz w:val="16"/>
              </w:rPr>
              <w:t> </w:t>
            </w:r>
            <w:r>
              <w:rPr>
                <w:spacing w:val="-4"/>
                <w:sz w:val="16"/>
              </w:rPr>
              <w:t>cost</w:t>
            </w:r>
          </w:p>
        </w:tc>
        <w:tc>
          <w:tcPr>
            <w:tcW w:w="1129" w:type="dxa"/>
          </w:tcPr>
          <w:p>
            <w:pPr>
              <w:pStyle w:val="TableParagraph"/>
              <w:spacing w:before="25"/>
              <w:ind w:right="114"/>
              <w:jc w:val="right"/>
              <w:rPr>
                <w:sz w:val="16"/>
              </w:rPr>
            </w:pPr>
            <w:r>
              <w:rPr>
                <w:spacing w:val="-5"/>
                <w:sz w:val="16"/>
              </w:rPr>
              <w:t>511</w:t>
            </w:r>
          </w:p>
        </w:tc>
        <w:tc>
          <w:tcPr>
            <w:tcW w:w="1140" w:type="dxa"/>
          </w:tcPr>
          <w:p>
            <w:pPr>
              <w:pStyle w:val="TableParagraph"/>
              <w:spacing w:before="25"/>
              <w:ind w:right="114"/>
              <w:jc w:val="right"/>
              <w:rPr>
                <w:sz w:val="16"/>
              </w:rPr>
            </w:pPr>
            <w:r>
              <w:rPr>
                <w:spacing w:val="-5"/>
                <w:sz w:val="16"/>
              </w:rPr>
              <w:t>664</w:t>
            </w:r>
          </w:p>
        </w:tc>
        <w:tc>
          <w:tcPr>
            <w:tcW w:w="1140" w:type="dxa"/>
          </w:tcPr>
          <w:p>
            <w:pPr>
              <w:pStyle w:val="TableParagraph"/>
              <w:spacing w:before="25"/>
              <w:ind w:right="114"/>
              <w:jc w:val="right"/>
              <w:rPr>
                <w:sz w:val="16"/>
              </w:rPr>
            </w:pPr>
            <w:r>
              <w:rPr>
                <w:spacing w:val="-5"/>
                <w:sz w:val="16"/>
              </w:rPr>
              <w:t>139</w:t>
            </w:r>
          </w:p>
        </w:tc>
        <w:tc>
          <w:tcPr>
            <w:tcW w:w="1091" w:type="dxa"/>
          </w:tcPr>
          <w:p>
            <w:pPr>
              <w:pStyle w:val="TableParagraph"/>
              <w:spacing w:before="25"/>
              <w:ind w:right="65"/>
              <w:jc w:val="right"/>
              <w:rPr>
                <w:sz w:val="16"/>
              </w:rPr>
            </w:pPr>
            <w:r>
              <w:rPr>
                <w:spacing w:val="-5"/>
                <w:sz w:val="16"/>
              </w:rPr>
              <w:t>178</w:t>
            </w:r>
          </w:p>
        </w:tc>
        <w:tc>
          <w:tcPr>
            <w:tcW w:w="1189" w:type="dxa"/>
          </w:tcPr>
          <w:p>
            <w:pPr>
              <w:pStyle w:val="TableParagraph"/>
              <w:spacing w:before="25"/>
              <w:ind w:right="114"/>
              <w:jc w:val="right"/>
              <w:rPr>
                <w:sz w:val="16"/>
              </w:rPr>
            </w:pPr>
            <w:r>
              <w:rPr>
                <w:spacing w:val="-5"/>
                <w:sz w:val="16"/>
              </w:rPr>
              <w:t>93</w:t>
            </w:r>
          </w:p>
        </w:tc>
        <w:tc>
          <w:tcPr>
            <w:tcW w:w="1091" w:type="dxa"/>
          </w:tcPr>
          <w:p>
            <w:pPr>
              <w:pStyle w:val="TableParagraph"/>
              <w:spacing w:before="25"/>
              <w:ind w:right="65"/>
              <w:jc w:val="right"/>
              <w:rPr>
                <w:sz w:val="16"/>
              </w:rPr>
            </w:pPr>
            <w:r>
              <w:rPr>
                <w:spacing w:val="-5"/>
                <w:sz w:val="16"/>
              </w:rPr>
              <w:t>114</w:t>
            </w:r>
          </w:p>
        </w:tc>
      </w:tr>
      <w:tr>
        <w:trPr>
          <w:trHeight w:val="240" w:hRule="atLeast"/>
        </w:trPr>
        <w:tc>
          <w:tcPr>
            <w:tcW w:w="2577" w:type="dxa"/>
          </w:tcPr>
          <w:p>
            <w:pPr>
              <w:pStyle w:val="TableParagraph"/>
              <w:spacing w:before="25"/>
              <w:ind w:left="230"/>
              <w:rPr>
                <w:sz w:val="16"/>
              </w:rPr>
            </w:pPr>
            <w:r>
              <w:rPr>
                <w:sz w:val="16"/>
              </w:rPr>
              <w:t>Interest</w:t>
            </w:r>
            <w:r>
              <w:rPr>
                <w:spacing w:val="-3"/>
                <w:sz w:val="16"/>
              </w:rPr>
              <w:t> </w:t>
            </w:r>
            <w:r>
              <w:rPr>
                <w:spacing w:val="-4"/>
                <w:sz w:val="16"/>
              </w:rPr>
              <w:t>cost</w:t>
            </w:r>
          </w:p>
        </w:tc>
        <w:tc>
          <w:tcPr>
            <w:tcW w:w="1129" w:type="dxa"/>
          </w:tcPr>
          <w:p>
            <w:pPr>
              <w:pStyle w:val="TableParagraph"/>
              <w:spacing w:before="25"/>
              <w:ind w:right="114"/>
              <w:jc w:val="right"/>
              <w:rPr>
                <w:sz w:val="16"/>
              </w:rPr>
            </w:pPr>
            <w:r>
              <w:rPr>
                <w:spacing w:val="-5"/>
                <w:sz w:val="16"/>
              </w:rPr>
              <w:t>944</w:t>
            </w:r>
          </w:p>
        </w:tc>
        <w:tc>
          <w:tcPr>
            <w:tcW w:w="1140" w:type="dxa"/>
          </w:tcPr>
          <w:p>
            <w:pPr>
              <w:pStyle w:val="TableParagraph"/>
              <w:spacing w:before="25"/>
              <w:ind w:right="114"/>
              <w:jc w:val="right"/>
              <w:rPr>
                <w:sz w:val="16"/>
              </w:rPr>
            </w:pPr>
            <w:r>
              <w:rPr>
                <w:spacing w:val="-5"/>
                <w:sz w:val="16"/>
              </w:rPr>
              <w:t>659</w:t>
            </w:r>
          </w:p>
        </w:tc>
        <w:tc>
          <w:tcPr>
            <w:tcW w:w="1140" w:type="dxa"/>
          </w:tcPr>
          <w:p>
            <w:pPr>
              <w:pStyle w:val="TableParagraph"/>
              <w:spacing w:before="25"/>
              <w:ind w:right="114"/>
              <w:jc w:val="right"/>
              <w:rPr>
                <w:sz w:val="16"/>
              </w:rPr>
            </w:pPr>
            <w:r>
              <w:rPr>
                <w:spacing w:val="-5"/>
                <w:sz w:val="16"/>
              </w:rPr>
              <w:t>162</w:t>
            </w:r>
          </w:p>
        </w:tc>
        <w:tc>
          <w:tcPr>
            <w:tcW w:w="1091" w:type="dxa"/>
          </w:tcPr>
          <w:p>
            <w:pPr>
              <w:pStyle w:val="TableParagraph"/>
              <w:spacing w:before="25"/>
              <w:ind w:right="65"/>
              <w:jc w:val="right"/>
              <w:rPr>
                <w:sz w:val="16"/>
              </w:rPr>
            </w:pPr>
            <w:r>
              <w:rPr>
                <w:spacing w:val="-5"/>
                <w:sz w:val="16"/>
              </w:rPr>
              <w:t>119</w:t>
            </w:r>
          </w:p>
        </w:tc>
        <w:tc>
          <w:tcPr>
            <w:tcW w:w="1189" w:type="dxa"/>
          </w:tcPr>
          <w:p>
            <w:pPr>
              <w:pStyle w:val="TableParagraph"/>
              <w:spacing w:before="25"/>
              <w:ind w:right="114"/>
              <w:jc w:val="right"/>
              <w:rPr>
                <w:sz w:val="16"/>
              </w:rPr>
            </w:pPr>
            <w:r>
              <w:rPr>
                <w:spacing w:val="-5"/>
                <w:sz w:val="16"/>
              </w:rPr>
              <w:t>92</w:t>
            </w:r>
          </w:p>
        </w:tc>
        <w:tc>
          <w:tcPr>
            <w:tcW w:w="1091" w:type="dxa"/>
          </w:tcPr>
          <w:p>
            <w:pPr>
              <w:pStyle w:val="TableParagraph"/>
              <w:spacing w:before="25"/>
              <w:ind w:right="65"/>
              <w:jc w:val="right"/>
              <w:rPr>
                <w:sz w:val="16"/>
              </w:rPr>
            </w:pPr>
            <w:r>
              <w:rPr>
                <w:spacing w:val="-5"/>
                <w:sz w:val="16"/>
              </w:rPr>
              <w:t>64</w:t>
            </w:r>
          </w:p>
        </w:tc>
      </w:tr>
      <w:tr>
        <w:trPr>
          <w:trHeight w:val="239" w:hRule="atLeast"/>
        </w:trPr>
        <w:tc>
          <w:tcPr>
            <w:tcW w:w="2577" w:type="dxa"/>
          </w:tcPr>
          <w:p>
            <w:pPr>
              <w:pStyle w:val="TableParagraph"/>
              <w:spacing w:before="25"/>
              <w:ind w:right="639"/>
              <w:jc w:val="right"/>
              <w:rPr>
                <w:sz w:val="16"/>
              </w:rPr>
            </w:pPr>
            <w:r>
              <w:rPr>
                <w:sz w:val="16"/>
              </w:rPr>
              <w:t>Participant</w:t>
            </w:r>
            <w:r>
              <w:rPr>
                <w:spacing w:val="-6"/>
                <w:sz w:val="16"/>
              </w:rPr>
              <w:t> </w:t>
            </w:r>
            <w:r>
              <w:rPr>
                <w:spacing w:val="-2"/>
                <w:sz w:val="16"/>
              </w:rPr>
              <w:t>contributions</w:t>
            </w:r>
          </w:p>
        </w:tc>
        <w:tc>
          <w:tcPr>
            <w:tcW w:w="1129" w:type="dxa"/>
          </w:tcPr>
          <w:p>
            <w:pPr>
              <w:pStyle w:val="TableParagraph"/>
              <w:spacing w:before="25"/>
              <w:ind w:right="114"/>
              <w:jc w:val="right"/>
              <w:rPr>
                <w:sz w:val="16"/>
              </w:rPr>
            </w:pPr>
            <w:r>
              <w:rPr>
                <w:spacing w:val="-5"/>
                <w:sz w:val="16"/>
              </w:rPr>
              <w:t>172</w:t>
            </w:r>
          </w:p>
        </w:tc>
        <w:tc>
          <w:tcPr>
            <w:tcW w:w="1140" w:type="dxa"/>
          </w:tcPr>
          <w:p>
            <w:pPr>
              <w:pStyle w:val="TableParagraph"/>
              <w:spacing w:before="25"/>
              <w:ind w:right="114"/>
              <w:jc w:val="right"/>
              <w:rPr>
                <w:sz w:val="16"/>
              </w:rPr>
            </w:pPr>
            <w:r>
              <w:rPr>
                <w:spacing w:val="-5"/>
                <w:sz w:val="16"/>
              </w:rPr>
              <w:t>164</w:t>
            </w:r>
          </w:p>
        </w:tc>
        <w:tc>
          <w:tcPr>
            <w:tcW w:w="1140" w:type="dxa"/>
          </w:tcPr>
          <w:p>
            <w:pPr>
              <w:pStyle w:val="TableParagraph"/>
              <w:spacing w:before="25"/>
              <w:ind w:right="114"/>
              <w:jc w:val="right"/>
              <w:rPr>
                <w:sz w:val="16"/>
              </w:rPr>
            </w:pPr>
            <w:r>
              <w:rPr>
                <w:spacing w:val="-5"/>
                <w:sz w:val="16"/>
              </w:rPr>
              <w:t>31</w:t>
            </w:r>
          </w:p>
        </w:tc>
        <w:tc>
          <w:tcPr>
            <w:tcW w:w="1091" w:type="dxa"/>
          </w:tcPr>
          <w:p>
            <w:pPr>
              <w:pStyle w:val="TableParagraph"/>
              <w:spacing w:before="25"/>
              <w:ind w:right="65"/>
              <w:jc w:val="right"/>
              <w:rPr>
                <w:sz w:val="16"/>
              </w:rPr>
            </w:pPr>
            <w:r>
              <w:rPr>
                <w:spacing w:val="-5"/>
                <w:sz w:val="16"/>
              </w:rPr>
              <w:t>30</w:t>
            </w:r>
          </w:p>
        </w:tc>
        <w:tc>
          <w:tcPr>
            <w:tcW w:w="1189" w:type="dxa"/>
          </w:tcPr>
          <w:p>
            <w:pPr>
              <w:pStyle w:val="TableParagraph"/>
              <w:spacing w:before="25"/>
              <w:ind w:right="114"/>
              <w:jc w:val="right"/>
              <w:rPr>
                <w:sz w:val="16"/>
              </w:rPr>
            </w:pPr>
            <w:r>
              <w:rPr>
                <w:spacing w:val="-10"/>
                <w:sz w:val="16"/>
              </w:rPr>
              <w:t>4</w:t>
            </w:r>
          </w:p>
        </w:tc>
        <w:tc>
          <w:tcPr>
            <w:tcW w:w="1091" w:type="dxa"/>
          </w:tcPr>
          <w:p>
            <w:pPr>
              <w:pStyle w:val="TableParagraph"/>
              <w:spacing w:before="25"/>
              <w:ind w:right="65"/>
              <w:jc w:val="right"/>
              <w:rPr>
                <w:sz w:val="16"/>
              </w:rPr>
            </w:pPr>
            <w:r>
              <w:rPr>
                <w:spacing w:val="-10"/>
                <w:sz w:val="16"/>
              </w:rPr>
              <w:t>5</w:t>
            </w:r>
          </w:p>
        </w:tc>
      </w:tr>
      <w:tr>
        <w:trPr>
          <w:trHeight w:val="240" w:hRule="atLeast"/>
        </w:trPr>
        <w:tc>
          <w:tcPr>
            <w:tcW w:w="2577" w:type="dxa"/>
          </w:tcPr>
          <w:p>
            <w:pPr>
              <w:pStyle w:val="TableParagraph"/>
              <w:spacing w:before="25"/>
              <w:ind w:left="230"/>
              <w:rPr>
                <w:sz w:val="16"/>
              </w:rPr>
            </w:pPr>
            <w:r>
              <w:rPr>
                <w:sz w:val="16"/>
              </w:rPr>
              <w:t>Benefits</w:t>
            </w:r>
            <w:r>
              <w:rPr>
                <w:spacing w:val="-4"/>
                <w:sz w:val="16"/>
              </w:rPr>
              <w:t> paid</w:t>
            </w:r>
          </w:p>
        </w:tc>
        <w:tc>
          <w:tcPr>
            <w:tcW w:w="1129" w:type="dxa"/>
          </w:tcPr>
          <w:p>
            <w:pPr>
              <w:pStyle w:val="TableParagraph"/>
              <w:spacing w:before="25"/>
              <w:ind w:right="61"/>
              <w:jc w:val="right"/>
              <w:rPr>
                <w:sz w:val="16"/>
              </w:rPr>
            </w:pPr>
            <w:r>
              <w:rPr>
                <w:spacing w:val="-2"/>
                <w:sz w:val="16"/>
              </w:rPr>
              <w:t>(921)</w:t>
            </w:r>
          </w:p>
        </w:tc>
        <w:tc>
          <w:tcPr>
            <w:tcW w:w="1140" w:type="dxa"/>
          </w:tcPr>
          <w:p>
            <w:pPr>
              <w:pStyle w:val="TableParagraph"/>
              <w:spacing w:before="25"/>
              <w:ind w:right="61"/>
              <w:jc w:val="right"/>
              <w:rPr>
                <w:sz w:val="16"/>
              </w:rPr>
            </w:pPr>
            <w:r>
              <w:rPr>
                <w:spacing w:val="-2"/>
                <w:sz w:val="16"/>
              </w:rPr>
              <w:t>(779)</w:t>
            </w:r>
          </w:p>
        </w:tc>
        <w:tc>
          <w:tcPr>
            <w:tcW w:w="1140" w:type="dxa"/>
          </w:tcPr>
          <w:p>
            <w:pPr>
              <w:pStyle w:val="TableParagraph"/>
              <w:spacing w:before="25"/>
              <w:ind w:right="61"/>
              <w:jc w:val="right"/>
              <w:rPr>
                <w:sz w:val="16"/>
              </w:rPr>
            </w:pPr>
            <w:r>
              <w:rPr>
                <w:spacing w:val="-2"/>
                <w:sz w:val="16"/>
              </w:rPr>
              <w:t>(108)</w:t>
            </w:r>
          </w:p>
        </w:tc>
        <w:tc>
          <w:tcPr>
            <w:tcW w:w="1091" w:type="dxa"/>
          </w:tcPr>
          <w:p>
            <w:pPr>
              <w:pStyle w:val="TableParagraph"/>
              <w:spacing w:before="25"/>
              <w:ind w:right="12"/>
              <w:jc w:val="right"/>
              <w:rPr>
                <w:sz w:val="16"/>
              </w:rPr>
            </w:pPr>
            <w:r>
              <w:rPr>
                <w:spacing w:val="-2"/>
                <w:sz w:val="16"/>
              </w:rPr>
              <w:t>(102)</w:t>
            </w:r>
          </w:p>
        </w:tc>
        <w:tc>
          <w:tcPr>
            <w:tcW w:w="1189" w:type="dxa"/>
          </w:tcPr>
          <w:p>
            <w:pPr>
              <w:pStyle w:val="TableParagraph"/>
              <w:spacing w:before="25"/>
              <w:ind w:right="61"/>
              <w:jc w:val="right"/>
              <w:rPr>
                <w:sz w:val="16"/>
              </w:rPr>
            </w:pPr>
            <w:r>
              <w:rPr>
                <w:spacing w:val="-4"/>
                <w:sz w:val="16"/>
              </w:rPr>
              <w:t>(49)</w:t>
            </w:r>
          </w:p>
        </w:tc>
        <w:tc>
          <w:tcPr>
            <w:tcW w:w="1091" w:type="dxa"/>
          </w:tcPr>
          <w:p>
            <w:pPr>
              <w:pStyle w:val="TableParagraph"/>
              <w:spacing w:before="25"/>
              <w:ind w:right="12"/>
              <w:jc w:val="right"/>
              <w:rPr>
                <w:sz w:val="16"/>
              </w:rPr>
            </w:pPr>
            <w:r>
              <w:rPr>
                <w:spacing w:val="-4"/>
                <w:sz w:val="16"/>
              </w:rPr>
              <w:t>(40)</w:t>
            </w:r>
          </w:p>
        </w:tc>
      </w:tr>
      <w:tr>
        <w:trPr>
          <w:trHeight w:val="229" w:hRule="atLeast"/>
        </w:trPr>
        <w:tc>
          <w:tcPr>
            <w:tcW w:w="2577" w:type="dxa"/>
          </w:tcPr>
          <w:p>
            <w:pPr>
              <w:pStyle w:val="TableParagraph"/>
              <w:spacing w:line="184" w:lineRule="exact" w:before="25"/>
              <w:ind w:left="230"/>
              <w:rPr>
                <w:sz w:val="16"/>
              </w:rPr>
            </w:pPr>
            <w:r>
              <w:rPr>
                <w:sz w:val="16"/>
              </w:rPr>
              <w:t>Actuarial</w:t>
            </w:r>
            <w:r>
              <w:rPr>
                <w:spacing w:val="-4"/>
                <w:sz w:val="16"/>
              </w:rPr>
              <w:t> </w:t>
            </w:r>
            <w:r>
              <w:rPr>
                <w:sz w:val="16"/>
              </w:rPr>
              <w:t>(gain)</w:t>
            </w:r>
            <w:r>
              <w:rPr>
                <w:spacing w:val="-4"/>
                <w:sz w:val="16"/>
              </w:rPr>
              <w:t> loss</w:t>
            </w:r>
          </w:p>
        </w:tc>
        <w:tc>
          <w:tcPr>
            <w:tcW w:w="1129" w:type="dxa"/>
            <w:tcBorders>
              <w:bottom w:val="single" w:sz="8" w:space="0" w:color="000000"/>
            </w:tcBorders>
          </w:tcPr>
          <w:p>
            <w:pPr>
              <w:pStyle w:val="TableParagraph"/>
              <w:spacing w:line="184" w:lineRule="exact" w:before="25"/>
              <w:ind w:right="61"/>
              <w:jc w:val="right"/>
              <w:rPr>
                <w:sz w:val="16"/>
              </w:rPr>
            </w:pPr>
            <w:r>
              <w:rPr>
                <w:spacing w:val="-2"/>
                <w:sz w:val="16"/>
              </w:rPr>
              <w:t>(1,329)</w:t>
            </w:r>
          </w:p>
        </w:tc>
        <w:tc>
          <w:tcPr>
            <w:tcW w:w="1140" w:type="dxa"/>
            <w:tcBorders>
              <w:bottom w:val="single" w:sz="8" w:space="0" w:color="000000"/>
            </w:tcBorders>
          </w:tcPr>
          <w:p>
            <w:pPr>
              <w:pStyle w:val="TableParagraph"/>
              <w:spacing w:line="184" w:lineRule="exact" w:before="25"/>
              <w:ind w:right="61"/>
              <w:jc w:val="right"/>
              <w:rPr>
                <w:sz w:val="16"/>
              </w:rPr>
            </w:pPr>
            <w:r>
              <w:rPr>
                <w:spacing w:val="-2"/>
                <w:sz w:val="16"/>
              </w:rPr>
              <w:t>(3,605)</w:t>
            </w:r>
          </w:p>
        </w:tc>
        <w:tc>
          <w:tcPr>
            <w:tcW w:w="1140" w:type="dxa"/>
            <w:tcBorders>
              <w:bottom w:val="single" w:sz="8" w:space="0" w:color="000000"/>
            </w:tcBorders>
          </w:tcPr>
          <w:p>
            <w:pPr>
              <w:pStyle w:val="TableParagraph"/>
              <w:spacing w:line="184" w:lineRule="exact" w:before="25"/>
              <w:ind w:right="61"/>
              <w:jc w:val="right"/>
              <w:rPr>
                <w:sz w:val="16"/>
              </w:rPr>
            </w:pPr>
            <w:r>
              <w:rPr>
                <w:spacing w:val="-2"/>
                <w:sz w:val="16"/>
              </w:rPr>
              <w:t>(549)</w:t>
            </w:r>
          </w:p>
        </w:tc>
        <w:tc>
          <w:tcPr>
            <w:tcW w:w="1091" w:type="dxa"/>
            <w:tcBorders>
              <w:bottom w:val="single" w:sz="8" w:space="0" w:color="000000"/>
            </w:tcBorders>
          </w:tcPr>
          <w:p>
            <w:pPr>
              <w:pStyle w:val="TableParagraph"/>
              <w:spacing w:line="184" w:lineRule="exact" w:before="25"/>
              <w:ind w:right="12"/>
              <w:jc w:val="right"/>
              <w:rPr>
                <w:sz w:val="16"/>
              </w:rPr>
            </w:pPr>
            <w:r>
              <w:rPr>
                <w:spacing w:val="-2"/>
                <w:sz w:val="16"/>
              </w:rPr>
              <w:t>(794)</w:t>
            </w:r>
          </w:p>
        </w:tc>
        <w:tc>
          <w:tcPr>
            <w:tcW w:w="1189" w:type="dxa"/>
            <w:tcBorders>
              <w:bottom w:val="single" w:sz="8" w:space="0" w:color="000000"/>
            </w:tcBorders>
          </w:tcPr>
          <w:p>
            <w:pPr>
              <w:pStyle w:val="TableParagraph"/>
              <w:spacing w:line="184" w:lineRule="exact" w:before="25"/>
              <w:ind w:right="61"/>
              <w:jc w:val="right"/>
              <w:rPr>
                <w:sz w:val="16"/>
              </w:rPr>
            </w:pPr>
            <w:r>
              <w:rPr>
                <w:spacing w:val="-2"/>
                <w:sz w:val="16"/>
              </w:rPr>
              <w:t>(190)</w:t>
            </w:r>
          </w:p>
        </w:tc>
        <w:tc>
          <w:tcPr>
            <w:tcW w:w="1091" w:type="dxa"/>
            <w:tcBorders>
              <w:bottom w:val="single" w:sz="8" w:space="0" w:color="000000"/>
            </w:tcBorders>
          </w:tcPr>
          <w:p>
            <w:pPr>
              <w:pStyle w:val="TableParagraph"/>
              <w:spacing w:line="184" w:lineRule="exact" w:before="25"/>
              <w:ind w:right="12"/>
              <w:jc w:val="right"/>
              <w:rPr>
                <w:sz w:val="16"/>
              </w:rPr>
            </w:pPr>
            <w:r>
              <w:rPr>
                <w:spacing w:val="-2"/>
                <w:sz w:val="16"/>
              </w:rPr>
              <w:t>(375)</w:t>
            </w:r>
          </w:p>
        </w:tc>
      </w:tr>
      <w:tr>
        <w:trPr>
          <w:trHeight w:val="220" w:hRule="atLeast"/>
        </w:trPr>
        <w:tc>
          <w:tcPr>
            <w:tcW w:w="2577" w:type="dxa"/>
          </w:tcPr>
          <w:p>
            <w:pPr>
              <w:pStyle w:val="TableParagraph"/>
              <w:spacing w:line="184" w:lineRule="exact" w:before="16"/>
              <w:ind w:left="230"/>
              <w:rPr>
                <w:sz w:val="16"/>
              </w:rPr>
            </w:pPr>
            <w:r>
              <w:rPr>
                <w:sz w:val="16"/>
              </w:rPr>
              <w:t>End</w:t>
            </w:r>
            <w:r>
              <w:rPr>
                <w:spacing w:val="-2"/>
                <w:sz w:val="16"/>
              </w:rPr>
              <w:t> </w:t>
            </w:r>
            <w:r>
              <w:rPr>
                <w:sz w:val="16"/>
              </w:rPr>
              <w:t>of</w:t>
            </w:r>
            <w:r>
              <w:rPr>
                <w:spacing w:val="-1"/>
                <w:sz w:val="16"/>
              </w:rPr>
              <w:t> </w:t>
            </w:r>
            <w:r>
              <w:rPr>
                <w:spacing w:val="-4"/>
                <w:sz w:val="16"/>
              </w:rPr>
              <w:t>year</w:t>
            </w:r>
          </w:p>
        </w:tc>
        <w:tc>
          <w:tcPr>
            <w:tcW w:w="1129"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21,208</w:t>
            </w:r>
          </w:p>
        </w:tc>
        <w:tc>
          <w:tcPr>
            <w:tcW w:w="1140"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21,831</w:t>
            </w:r>
          </w:p>
        </w:tc>
        <w:tc>
          <w:tcPr>
            <w:tcW w:w="1140"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3,341</w:t>
            </w:r>
          </w:p>
        </w:tc>
        <w:tc>
          <w:tcPr>
            <w:tcW w:w="1091" w:type="dxa"/>
            <w:tcBorders>
              <w:top w:val="single" w:sz="8" w:space="0" w:color="000000"/>
              <w:bottom w:val="single" w:sz="8" w:space="0" w:color="000000"/>
            </w:tcBorders>
          </w:tcPr>
          <w:p>
            <w:pPr>
              <w:pStyle w:val="TableParagraph"/>
              <w:spacing w:line="184" w:lineRule="exact" w:before="16"/>
              <w:ind w:right="65"/>
              <w:jc w:val="right"/>
              <w:rPr>
                <w:sz w:val="16"/>
              </w:rPr>
            </w:pPr>
            <w:r>
              <w:rPr>
                <w:spacing w:val="-2"/>
                <w:sz w:val="16"/>
              </w:rPr>
              <w:t>3,666</w:t>
            </w:r>
          </w:p>
        </w:tc>
        <w:tc>
          <w:tcPr>
            <w:tcW w:w="1189"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2,057</w:t>
            </w:r>
          </w:p>
        </w:tc>
        <w:tc>
          <w:tcPr>
            <w:tcW w:w="1091" w:type="dxa"/>
            <w:tcBorders>
              <w:top w:val="single" w:sz="8" w:space="0" w:color="000000"/>
              <w:bottom w:val="single" w:sz="8" w:space="0" w:color="000000"/>
            </w:tcBorders>
          </w:tcPr>
          <w:p>
            <w:pPr>
              <w:pStyle w:val="TableParagraph"/>
              <w:spacing w:line="184" w:lineRule="exact" w:before="16"/>
              <w:ind w:right="65"/>
              <w:jc w:val="right"/>
              <w:rPr>
                <w:sz w:val="16"/>
              </w:rPr>
            </w:pPr>
            <w:r>
              <w:rPr>
                <w:spacing w:val="-2"/>
                <w:sz w:val="16"/>
              </w:rPr>
              <w:t>2,107</w:t>
            </w:r>
          </w:p>
        </w:tc>
      </w:tr>
      <w:tr>
        <w:trPr>
          <w:trHeight w:val="230" w:hRule="atLeast"/>
        </w:trPr>
        <w:tc>
          <w:tcPr>
            <w:tcW w:w="9357" w:type="dxa"/>
            <w:gridSpan w:val="7"/>
          </w:tcPr>
          <w:p>
            <w:pPr>
              <w:pStyle w:val="TableParagraph"/>
              <w:spacing w:before="16"/>
              <w:ind w:left="50"/>
              <w:rPr>
                <w:rFonts w:ascii="Arial"/>
                <w:b/>
                <w:sz w:val="16"/>
              </w:rPr>
            </w:pPr>
            <w:r>
              <w:rPr>
                <w:rFonts w:ascii="Arial"/>
                <w:b/>
                <w:sz w:val="16"/>
              </w:rPr>
              <w:t>Fair</w:t>
            </w:r>
            <w:r>
              <w:rPr>
                <w:rFonts w:ascii="Arial"/>
                <w:b/>
                <w:spacing w:val="-3"/>
                <w:sz w:val="16"/>
              </w:rPr>
              <w:t> </w:t>
            </w:r>
            <w:r>
              <w:rPr>
                <w:rFonts w:ascii="Arial"/>
                <w:b/>
                <w:sz w:val="16"/>
              </w:rPr>
              <w:t>value</w:t>
            </w:r>
            <w:r>
              <w:rPr>
                <w:rFonts w:ascii="Arial"/>
                <w:b/>
                <w:spacing w:val="-2"/>
                <w:sz w:val="16"/>
              </w:rPr>
              <w:t> </w:t>
            </w:r>
            <w:r>
              <w:rPr>
                <w:rFonts w:ascii="Arial"/>
                <w:b/>
                <w:sz w:val="16"/>
              </w:rPr>
              <w:t>of</w:t>
            </w:r>
            <w:r>
              <w:rPr>
                <w:rFonts w:ascii="Arial"/>
                <w:b/>
                <w:spacing w:val="-3"/>
                <w:sz w:val="16"/>
              </w:rPr>
              <w:t> </w:t>
            </w:r>
            <w:r>
              <w:rPr>
                <w:rFonts w:ascii="Arial"/>
                <w:b/>
                <w:sz w:val="16"/>
              </w:rPr>
              <w:t>plan</w:t>
            </w:r>
            <w:r>
              <w:rPr>
                <w:rFonts w:ascii="Arial"/>
                <w:b/>
                <w:spacing w:val="-2"/>
                <w:sz w:val="16"/>
              </w:rPr>
              <w:t> assets</w:t>
            </w:r>
          </w:p>
        </w:tc>
      </w:tr>
      <w:tr>
        <w:trPr>
          <w:trHeight w:val="240" w:hRule="atLeast"/>
        </w:trPr>
        <w:tc>
          <w:tcPr>
            <w:tcW w:w="2577" w:type="dxa"/>
          </w:tcPr>
          <w:p>
            <w:pPr>
              <w:pStyle w:val="TableParagraph"/>
              <w:spacing w:before="25"/>
              <w:ind w:left="230"/>
              <w:rPr>
                <w:sz w:val="16"/>
              </w:rPr>
            </w:pPr>
            <w:r>
              <w:rPr>
                <w:sz w:val="16"/>
              </w:rPr>
              <w:t>Beginning</w:t>
            </w:r>
            <w:r>
              <w:rPr>
                <w:spacing w:val="-5"/>
                <w:sz w:val="16"/>
              </w:rPr>
              <w:t> </w:t>
            </w:r>
            <w:r>
              <w:rPr>
                <w:sz w:val="16"/>
              </w:rPr>
              <w:t>of</w:t>
            </w:r>
            <w:r>
              <w:rPr>
                <w:spacing w:val="-4"/>
                <w:sz w:val="16"/>
              </w:rPr>
              <w:t> year</w:t>
            </w:r>
          </w:p>
        </w:tc>
        <w:tc>
          <w:tcPr>
            <w:tcW w:w="1129" w:type="dxa"/>
          </w:tcPr>
          <w:p>
            <w:pPr>
              <w:pStyle w:val="TableParagraph"/>
              <w:spacing w:before="25"/>
              <w:ind w:right="114"/>
              <w:jc w:val="right"/>
              <w:rPr>
                <w:sz w:val="16"/>
              </w:rPr>
            </w:pPr>
            <w:r>
              <w:rPr>
                <w:spacing w:val="-2"/>
                <w:sz w:val="16"/>
              </w:rPr>
              <w:t>23,745</w:t>
            </w:r>
          </w:p>
        </w:tc>
        <w:tc>
          <w:tcPr>
            <w:tcW w:w="1140" w:type="dxa"/>
          </w:tcPr>
          <w:p>
            <w:pPr>
              <w:pStyle w:val="TableParagraph"/>
              <w:spacing w:before="25"/>
              <w:ind w:right="114"/>
              <w:jc w:val="right"/>
              <w:rPr>
                <w:sz w:val="16"/>
              </w:rPr>
            </w:pPr>
            <w:r>
              <w:rPr>
                <w:spacing w:val="-2"/>
                <w:sz w:val="16"/>
              </w:rPr>
              <w:t>24,408</w:t>
            </w:r>
          </w:p>
        </w:tc>
        <w:tc>
          <w:tcPr>
            <w:tcW w:w="1140" w:type="dxa"/>
          </w:tcPr>
          <w:p>
            <w:pPr>
              <w:pStyle w:val="TableParagraph"/>
              <w:spacing w:before="25"/>
              <w:ind w:right="114"/>
              <w:jc w:val="right"/>
              <w:rPr>
                <w:sz w:val="16"/>
              </w:rPr>
            </w:pPr>
            <w:r>
              <w:rPr>
                <w:spacing w:val="-2"/>
                <w:sz w:val="16"/>
              </w:rPr>
              <w:t>4,061</w:t>
            </w:r>
          </w:p>
        </w:tc>
        <w:tc>
          <w:tcPr>
            <w:tcW w:w="1091" w:type="dxa"/>
          </w:tcPr>
          <w:p>
            <w:pPr>
              <w:pStyle w:val="TableParagraph"/>
              <w:spacing w:before="25"/>
              <w:ind w:right="65"/>
              <w:jc w:val="right"/>
              <w:rPr>
                <w:sz w:val="16"/>
              </w:rPr>
            </w:pPr>
            <w:r>
              <w:rPr>
                <w:spacing w:val="-2"/>
                <w:sz w:val="16"/>
              </w:rPr>
              <w:t>4,145</w:t>
            </w:r>
          </w:p>
        </w:tc>
        <w:tc>
          <w:tcPr>
            <w:tcW w:w="1189" w:type="dxa"/>
          </w:tcPr>
          <w:p>
            <w:pPr>
              <w:pStyle w:val="TableParagraph"/>
              <w:rPr>
                <w:rFonts w:ascii="Times New Roman"/>
                <w:sz w:val="16"/>
              </w:rPr>
            </w:pPr>
          </w:p>
        </w:tc>
        <w:tc>
          <w:tcPr>
            <w:tcW w:w="1091" w:type="dxa"/>
          </w:tcPr>
          <w:p>
            <w:pPr>
              <w:pStyle w:val="TableParagraph"/>
              <w:rPr>
                <w:rFonts w:ascii="Times New Roman"/>
                <w:sz w:val="16"/>
              </w:rPr>
            </w:pPr>
          </w:p>
        </w:tc>
      </w:tr>
      <w:tr>
        <w:trPr>
          <w:trHeight w:val="240" w:hRule="atLeast"/>
        </w:trPr>
        <w:tc>
          <w:tcPr>
            <w:tcW w:w="2577" w:type="dxa"/>
          </w:tcPr>
          <w:p>
            <w:pPr>
              <w:pStyle w:val="TableParagraph"/>
              <w:spacing w:before="25"/>
              <w:ind w:right="639"/>
              <w:jc w:val="right"/>
              <w:rPr>
                <w:sz w:val="16"/>
              </w:rPr>
            </w:pPr>
            <w:r>
              <w:rPr>
                <w:sz w:val="16"/>
              </w:rPr>
              <w:t>Participant</w:t>
            </w:r>
            <w:r>
              <w:rPr>
                <w:spacing w:val="-6"/>
                <w:sz w:val="16"/>
              </w:rPr>
              <w:t> </w:t>
            </w:r>
            <w:r>
              <w:rPr>
                <w:spacing w:val="-2"/>
                <w:sz w:val="16"/>
              </w:rPr>
              <w:t>contributions</w:t>
            </w:r>
          </w:p>
        </w:tc>
        <w:tc>
          <w:tcPr>
            <w:tcW w:w="1129" w:type="dxa"/>
          </w:tcPr>
          <w:p>
            <w:pPr>
              <w:pStyle w:val="TableParagraph"/>
              <w:spacing w:before="25"/>
              <w:ind w:right="114"/>
              <w:jc w:val="right"/>
              <w:rPr>
                <w:sz w:val="16"/>
              </w:rPr>
            </w:pPr>
            <w:r>
              <w:rPr>
                <w:spacing w:val="-5"/>
                <w:sz w:val="16"/>
              </w:rPr>
              <w:t>172</w:t>
            </w:r>
          </w:p>
        </w:tc>
        <w:tc>
          <w:tcPr>
            <w:tcW w:w="1140" w:type="dxa"/>
          </w:tcPr>
          <w:p>
            <w:pPr>
              <w:pStyle w:val="TableParagraph"/>
              <w:spacing w:before="25"/>
              <w:ind w:right="114"/>
              <w:jc w:val="right"/>
              <w:rPr>
                <w:sz w:val="16"/>
              </w:rPr>
            </w:pPr>
            <w:r>
              <w:rPr>
                <w:spacing w:val="-5"/>
                <w:sz w:val="16"/>
              </w:rPr>
              <w:t>164</w:t>
            </w:r>
          </w:p>
        </w:tc>
        <w:tc>
          <w:tcPr>
            <w:tcW w:w="1140" w:type="dxa"/>
          </w:tcPr>
          <w:p>
            <w:pPr>
              <w:pStyle w:val="TableParagraph"/>
              <w:spacing w:before="25"/>
              <w:ind w:right="114"/>
              <w:jc w:val="right"/>
              <w:rPr>
                <w:sz w:val="16"/>
              </w:rPr>
            </w:pPr>
            <w:r>
              <w:rPr>
                <w:spacing w:val="-5"/>
                <w:sz w:val="16"/>
              </w:rPr>
              <w:t>31</w:t>
            </w:r>
          </w:p>
        </w:tc>
        <w:tc>
          <w:tcPr>
            <w:tcW w:w="1091" w:type="dxa"/>
          </w:tcPr>
          <w:p>
            <w:pPr>
              <w:pStyle w:val="TableParagraph"/>
              <w:spacing w:before="25"/>
              <w:ind w:right="65"/>
              <w:jc w:val="right"/>
              <w:rPr>
                <w:sz w:val="16"/>
              </w:rPr>
            </w:pPr>
            <w:r>
              <w:rPr>
                <w:spacing w:val="-5"/>
                <w:sz w:val="16"/>
              </w:rPr>
              <w:t>30</w:t>
            </w:r>
          </w:p>
        </w:tc>
        <w:tc>
          <w:tcPr>
            <w:tcW w:w="1189" w:type="dxa"/>
          </w:tcPr>
          <w:p>
            <w:pPr>
              <w:pStyle w:val="TableParagraph"/>
              <w:rPr>
                <w:rFonts w:ascii="Times New Roman"/>
                <w:sz w:val="16"/>
              </w:rPr>
            </w:pPr>
          </w:p>
        </w:tc>
        <w:tc>
          <w:tcPr>
            <w:tcW w:w="1091" w:type="dxa"/>
          </w:tcPr>
          <w:p>
            <w:pPr>
              <w:pStyle w:val="TableParagraph"/>
              <w:rPr>
                <w:rFonts w:ascii="Times New Roman"/>
                <w:sz w:val="16"/>
              </w:rPr>
            </w:pPr>
          </w:p>
        </w:tc>
      </w:tr>
      <w:tr>
        <w:trPr>
          <w:trHeight w:val="240" w:hRule="atLeast"/>
        </w:trPr>
        <w:tc>
          <w:tcPr>
            <w:tcW w:w="2577" w:type="dxa"/>
          </w:tcPr>
          <w:p>
            <w:pPr>
              <w:pStyle w:val="TableParagraph"/>
              <w:spacing w:before="25"/>
              <w:ind w:left="230"/>
              <w:rPr>
                <w:sz w:val="16"/>
              </w:rPr>
            </w:pPr>
            <w:r>
              <w:rPr>
                <w:sz w:val="16"/>
              </w:rPr>
              <w:t>Actual</w:t>
            </w:r>
            <w:r>
              <w:rPr>
                <w:spacing w:val="-2"/>
                <w:sz w:val="16"/>
              </w:rPr>
              <w:t> </w:t>
            </w:r>
            <w:r>
              <w:rPr>
                <w:sz w:val="16"/>
              </w:rPr>
              <w:t>return</w:t>
            </w:r>
            <w:r>
              <w:rPr>
                <w:spacing w:val="-3"/>
                <w:sz w:val="16"/>
              </w:rPr>
              <w:t> </w:t>
            </w:r>
            <w:r>
              <w:rPr>
                <w:sz w:val="16"/>
              </w:rPr>
              <w:t>on</w:t>
            </w:r>
            <w:r>
              <w:rPr>
                <w:spacing w:val="-2"/>
                <w:sz w:val="16"/>
              </w:rPr>
              <w:t> assets</w:t>
            </w:r>
          </w:p>
        </w:tc>
        <w:tc>
          <w:tcPr>
            <w:tcW w:w="1129" w:type="dxa"/>
          </w:tcPr>
          <w:p>
            <w:pPr>
              <w:pStyle w:val="TableParagraph"/>
              <w:spacing w:before="25"/>
              <w:ind w:right="114"/>
              <w:jc w:val="right"/>
              <w:rPr>
                <w:sz w:val="16"/>
              </w:rPr>
            </w:pPr>
            <w:r>
              <w:rPr>
                <w:spacing w:val="-2"/>
                <w:sz w:val="16"/>
              </w:rPr>
              <w:t>1,429</w:t>
            </w:r>
          </w:p>
        </w:tc>
        <w:tc>
          <w:tcPr>
            <w:tcW w:w="1140" w:type="dxa"/>
          </w:tcPr>
          <w:p>
            <w:pPr>
              <w:pStyle w:val="TableParagraph"/>
              <w:spacing w:before="25"/>
              <w:ind w:right="61"/>
              <w:jc w:val="right"/>
              <w:rPr>
                <w:sz w:val="16"/>
              </w:rPr>
            </w:pPr>
            <w:r>
              <w:rPr>
                <w:spacing w:val="-2"/>
                <w:sz w:val="16"/>
              </w:rPr>
              <w:t>(231)</w:t>
            </w:r>
          </w:p>
        </w:tc>
        <w:tc>
          <w:tcPr>
            <w:tcW w:w="1140" w:type="dxa"/>
          </w:tcPr>
          <w:p>
            <w:pPr>
              <w:pStyle w:val="TableParagraph"/>
              <w:spacing w:before="25"/>
              <w:ind w:right="114"/>
              <w:jc w:val="right"/>
              <w:rPr>
                <w:sz w:val="16"/>
              </w:rPr>
            </w:pPr>
            <w:r>
              <w:rPr>
                <w:spacing w:val="-5"/>
                <w:sz w:val="16"/>
              </w:rPr>
              <w:t>258</w:t>
            </w:r>
          </w:p>
        </w:tc>
        <w:tc>
          <w:tcPr>
            <w:tcW w:w="1091" w:type="dxa"/>
          </w:tcPr>
          <w:p>
            <w:pPr>
              <w:pStyle w:val="TableParagraph"/>
              <w:spacing w:before="25"/>
              <w:ind w:right="12"/>
              <w:jc w:val="right"/>
              <w:rPr>
                <w:sz w:val="16"/>
              </w:rPr>
            </w:pPr>
            <w:r>
              <w:rPr>
                <w:spacing w:val="-4"/>
                <w:sz w:val="16"/>
              </w:rPr>
              <w:t>(58)</w:t>
            </w:r>
          </w:p>
        </w:tc>
        <w:tc>
          <w:tcPr>
            <w:tcW w:w="1189" w:type="dxa"/>
          </w:tcPr>
          <w:p>
            <w:pPr>
              <w:pStyle w:val="TableParagraph"/>
              <w:rPr>
                <w:rFonts w:ascii="Times New Roman"/>
                <w:sz w:val="16"/>
              </w:rPr>
            </w:pPr>
          </w:p>
        </w:tc>
        <w:tc>
          <w:tcPr>
            <w:tcW w:w="1091" w:type="dxa"/>
          </w:tcPr>
          <w:p>
            <w:pPr>
              <w:pStyle w:val="TableParagraph"/>
              <w:rPr>
                <w:rFonts w:ascii="Times New Roman"/>
                <w:sz w:val="16"/>
              </w:rPr>
            </w:pPr>
          </w:p>
        </w:tc>
      </w:tr>
      <w:tr>
        <w:trPr>
          <w:trHeight w:val="240" w:hRule="atLeast"/>
        </w:trPr>
        <w:tc>
          <w:tcPr>
            <w:tcW w:w="2577" w:type="dxa"/>
          </w:tcPr>
          <w:p>
            <w:pPr>
              <w:pStyle w:val="TableParagraph"/>
              <w:spacing w:before="25"/>
              <w:ind w:left="230"/>
              <w:rPr>
                <w:sz w:val="16"/>
              </w:rPr>
            </w:pPr>
            <w:r>
              <w:rPr>
                <w:sz w:val="16"/>
              </w:rPr>
              <w:t>Employer</w:t>
            </w:r>
            <w:r>
              <w:rPr>
                <w:spacing w:val="-4"/>
                <w:sz w:val="16"/>
              </w:rPr>
              <w:t> </w:t>
            </w:r>
            <w:r>
              <w:rPr>
                <w:spacing w:val="-2"/>
                <w:sz w:val="16"/>
              </w:rPr>
              <w:t>contributions</w:t>
            </w:r>
          </w:p>
        </w:tc>
        <w:tc>
          <w:tcPr>
            <w:tcW w:w="1129" w:type="dxa"/>
          </w:tcPr>
          <w:p>
            <w:pPr>
              <w:pStyle w:val="TableParagraph"/>
              <w:spacing w:before="25"/>
              <w:ind w:right="114"/>
              <w:jc w:val="right"/>
              <w:rPr>
                <w:sz w:val="16"/>
              </w:rPr>
            </w:pPr>
            <w:r>
              <w:rPr>
                <w:spacing w:val="-5"/>
                <w:sz w:val="16"/>
              </w:rPr>
              <w:t>140</w:t>
            </w:r>
          </w:p>
        </w:tc>
        <w:tc>
          <w:tcPr>
            <w:tcW w:w="1140" w:type="dxa"/>
          </w:tcPr>
          <w:p>
            <w:pPr>
              <w:pStyle w:val="TableParagraph"/>
              <w:spacing w:before="25"/>
              <w:ind w:right="114"/>
              <w:jc w:val="right"/>
              <w:rPr>
                <w:sz w:val="16"/>
              </w:rPr>
            </w:pPr>
            <w:r>
              <w:rPr>
                <w:spacing w:val="-5"/>
                <w:sz w:val="16"/>
              </w:rPr>
              <w:t>183</w:t>
            </w:r>
          </w:p>
        </w:tc>
        <w:tc>
          <w:tcPr>
            <w:tcW w:w="1140" w:type="dxa"/>
          </w:tcPr>
          <w:p>
            <w:pPr>
              <w:pStyle w:val="TableParagraph"/>
              <w:spacing w:before="25"/>
              <w:ind w:right="114"/>
              <w:jc w:val="right"/>
              <w:rPr>
                <w:sz w:val="16"/>
              </w:rPr>
            </w:pPr>
            <w:r>
              <w:rPr>
                <w:spacing w:val="-5"/>
                <w:sz w:val="16"/>
              </w:rPr>
              <w:t>39</w:t>
            </w:r>
          </w:p>
        </w:tc>
        <w:tc>
          <w:tcPr>
            <w:tcW w:w="1091" w:type="dxa"/>
          </w:tcPr>
          <w:p>
            <w:pPr>
              <w:pStyle w:val="TableParagraph"/>
              <w:spacing w:before="25"/>
              <w:ind w:right="65"/>
              <w:jc w:val="right"/>
              <w:rPr>
                <w:sz w:val="16"/>
              </w:rPr>
            </w:pPr>
            <w:r>
              <w:rPr>
                <w:spacing w:val="-5"/>
                <w:sz w:val="16"/>
              </w:rPr>
              <w:t>46</w:t>
            </w:r>
          </w:p>
        </w:tc>
        <w:tc>
          <w:tcPr>
            <w:tcW w:w="1189" w:type="dxa"/>
          </w:tcPr>
          <w:p>
            <w:pPr>
              <w:pStyle w:val="TableParagraph"/>
              <w:rPr>
                <w:rFonts w:ascii="Times New Roman"/>
                <w:sz w:val="16"/>
              </w:rPr>
            </w:pPr>
          </w:p>
        </w:tc>
        <w:tc>
          <w:tcPr>
            <w:tcW w:w="1091" w:type="dxa"/>
          </w:tcPr>
          <w:p>
            <w:pPr>
              <w:pStyle w:val="TableParagraph"/>
              <w:rPr>
                <w:rFonts w:ascii="Times New Roman"/>
                <w:sz w:val="16"/>
              </w:rPr>
            </w:pPr>
          </w:p>
        </w:tc>
      </w:tr>
      <w:tr>
        <w:trPr>
          <w:trHeight w:val="229" w:hRule="atLeast"/>
        </w:trPr>
        <w:tc>
          <w:tcPr>
            <w:tcW w:w="2577" w:type="dxa"/>
          </w:tcPr>
          <w:p>
            <w:pPr>
              <w:pStyle w:val="TableParagraph"/>
              <w:spacing w:line="184" w:lineRule="exact" w:before="25"/>
              <w:ind w:left="230"/>
              <w:rPr>
                <w:sz w:val="16"/>
              </w:rPr>
            </w:pPr>
            <w:r>
              <w:rPr>
                <w:sz w:val="16"/>
              </w:rPr>
              <w:t>Benefits</w:t>
            </w:r>
            <w:r>
              <w:rPr>
                <w:spacing w:val="-4"/>
                <w:sz w:val="16"/>
              </w:rPr>
              <w:t> paid</w:t>
            </w:r>
          </w:p>
        </w:tc>
        <w:tc>
          <w:tcPr>
            <w:tcW w:w="1129" w:type="dxa"/>
            <w:tcBorders>
              <w:bottom w:val="single" w:sz="8" w:space="0" w:color="000000"/>
            </w:tcBorders>
          </w:tcPr>
          <w:p>
            <w:pPr>
              <w:pStyle w:val="TableParagraph"/>
              <w:spacing w:line="184" w:lineRule="exact" w:before="25"/>
              <w:ind w:right="61"/>
              <w:jc w:val="right"/>
              <w:rPr>
                <w:sz w:val="16"/>
              </w:rPr>
            </w:pPr>
            <w:r>
              <w:rPr>
                <w:spacing w:val="-2"/>
                <w:sz w:val="16"/>
              </w:rPr>
              <w:t>(921)</w:t>
            </w:r>
          </w:p>
        </w:tc>
        <w:tc>
          <w:tcPr>
            <w:tcW w:w="1140" w:type="dxa"/>
            <w:tcBorders>
              <w:bottom w:val="single" w:sz="8" w:space="0" w:color="000000"/>
            </w:tcBorders>
          </w:tcPr>
          <w:p>
            <w:pPr>
              <w:pStyle w:val="TableParagraph"/>
              <w:spacing w:line="184" w:lineRule="exact" w:before="25"/>
              <w:ind w:right="61"/>
              <w:jc w:val="right"/>
              <w:rPr>
                <w:sz w:val="16"/>
              </w:rPr>
            </w:pPr>
            <w:r>
              <w:rPr>
                <w:spacing w:val="-2"/>
                <w:sz w:val="16"/>
              </w:rPr>
              <w:t>(779)</w:t>
            </w:r>
          </w:p>
        </w:tc>
        <w:tc>
          <w:tcPr>
            <w:tcW w:w="1140" w:type="dxa"/>
            <w:tcBorders>
              <w:bottom w:val="single" w:sz="8" w:space="0" w:color="000000"/>
            </w:tcBorders>
          </w:tcPr>
          <w:p>
            <w:pPr>
              <w:pStyle w:val="TableParagraph"/>
              <w:spacing w:line="184" w:lineRule="exact" w:before="25"/>
              <w:ind w:right="61"/>
              <w:jc w:val="right"/>
              <w:rPr>
                <w:sz w:val="16"/>
              </w:rPr>
            </w:pPr>
            <w:r>
              <w:rPr>
                <w:spacing w:val="-2"/>
                <w:sz w:val="16"/>
              </w:rPr>
              <w:t>(108)</w:t>
            </w:r>
          </w:p>
        </w:tc>
        <w:tc>
          <w:tcPr>
            <w:tcW w:w="1091" w:type="dxa"/>
            <w:tcBorders>
              <w:bottom w:val="single" w:sz="8" w:space="0" w:color="000000"/>
            </w:tcBorders>
          </w:tcPr>
          <w:p>
            <w:pPr>
              <w:pStyle w:val="TableParagraph"/>
              <w:spacing w:line="184" w:lineRule="exact" w:before="25"/>
              <w:ind w:right="12"/>
              <w:jc w:val="right"/>
              <w:rPr>
                <w:sz w:val="16"/>
              </w:rPr>
            </w:pPr>
            <w:r>
              <w:rPr>
                <w:spacing w:val="-2"/>
                <w:sz w:val="16"/>
              </w:rPr>
              <w:t>(102)</w:t>
            </w:r>
          </w:p>
        </w:tc>
        <w:tc>
          <w:tcPr>
            <w:tcW w:w="1189" w:type="dxa"/>
          </w:tcPr>
          <w:p>
            <w:pPr>
              <w:pStyle w:val="TableParagraph"/>
              <w:rPr>
                <w:rFonts w:ascii="Times New Roman"/>
                <w:sz w:val="16"/>
              </w:rPr>
            </w:pPr>
          </w:p>
        </w:tc>
        <w:tc>
          <w:tcPr>
            <w:tcW w:w="1091" w:type="dxa"/>
          </w:tcPr>
          <w:p>
            <w:pPr>
              <w:pStyle w:val="TableParagraph"/>
              <w:rPr>
                <w:rFonts w:ascii="Times New Roman"/>
                <w:sz w:val="16"/>
              </w:rPr>
            </w:pPr>
          </w:p>
        </w:tc>
      </w:tr>
      <w:tr>
        <w:trPr>
          <w:trHeight w:val="220" w:hRule="atLeast"/>
        </w:trPr>
        <w:tc>
          <w:tcPr>
            <w:tcW w:w="2577" w:type="dxa"/>
          </w:tcPr>
          <w:p>
            <w:pPr>
              <w:pStyle w:val="TableParagraph"/>
              <w:spacing w:line="184" w:lineRule="exact" w:before="16"/>
              <w:ind w:left="230"/>
              <w:rPr>
                <w:sz w:val="16"/>
              </w:rPr>
            </w:pPr>
            <w:r>
              <w:rPr>
                <w:sz w:val="16"/>
              </w:rPr>
              <w:t>End</w:t>
            </w:r>
            <w:r>
              <w:rPr>
                <w:spacing w:val="-2"/>
                <w:sz w:val="16"/>
              </w:rPr>
              <w:t> </w:t>
            </w:r>
            <w:r>
              <w:rPr>
                <w:sz w:val="16"/>
              </w:rPr>
              <w:t>of</w:t>
            </w:r>
            <w:r>
              <w:rPr>
                <w:spacing w:val="-1"/>
                <w:sz w:val="16"/>
              </w:rPr>
              <w:t> </w:t>
            </w:r>
            <w:r>
              <w:rPr>
                <w:spacing w:val="-4"/>
                <w:sz w:val="16"/>
              </w:rPr>
              <w:t>year</w:t>
            </w:r>
          </w:p>
        </w:tc>
        <w:tc>
          <w:tcPr>
            <w:tcW w:w="1129"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24,565</w:t>
            </w:r>
          </w:p>
        </w:tc>
        <w:tc>
          <w:tcPr>
            <w:tcW w:w="1140"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23,745</w:t>
            </w:r>
          </w:p>
        </w:tc>
        <w:tc>
          <w:tcPr>
            <w:tcW w:w="1140" w:type="dxa"/>
            <w:tcBorders>
              <w:top w:val="single" w:sz="8" w:space="0" w:color="000000"/>
              <w:bottom w:val="single" w:sz="8" w:space="0" w:color="000000"/>
            </w:tcBorders>
          </w:tcPr>
          <w:p>
            <w:pPr>
              <w:pStyle w:val="TableParagraph"/>
              <w:spacing w:line="184" w:lineRule="exact" w:before="16"/>
              <w:ind w:right="114"/>
              <w:jc w:val="right"/>
              <w:rPr>
                <w:sz w:val="16"/>
              </w:rPr>
            </w:pPr>
            <w:r>
              <w:rPr>
                <w:spacing w:val="-2"/>
                <w:sz w:val="16"/>
              </w:rPr>
              <w:t>4,281</w:t>
            </w:r>
          </w:p>
        </w:tc>
        <w:tc>
          <w:tcPr>
            <w:tcW w:w="1091" w:type="dxa"/>
            <w:tcBorders>
              <w:top w:val="single" w:sz="8" w:space="0" w:color="000000"/>
              <w:bottom w:val="single" w:sz="8" w:space="0" w:color="000000"/>
            </w:tcBorders>
          </w:tcPr>
          <w:p>
            <w:pPr>
              <w:pStyle w:val="TableParagraph"/>
              <w:spacing w:line="184" w:lineRule="exact" w:before="16"/>
              <w:ind w:right="65"/>
              <w:jc w:val="right"/>
              <w:rPr>
                <w:sz w:val="16"/>
              </w:rPr>
            </w:pPr>
            <w:r>
              <w:rPr>
                <w:spacing w:val="-2"/>
                <w:sz w:val="16"/>
              </w:rPr>
              <w:t>4,061</w:t>
            </w:r>
          </w:p>
        </w:tc>
        <w:tc>
          <w:tcPr>
            <w:tcW w:w="1189" w:type="dxa"/>
            <w:tcBorders>
              <w:bottom w:val="single" w:sz="8" w:space="0" w:color="000000"/>
            </w:tcBorders>
          </w:tcPr>
          <w:p>
            <w:pPr>
              <w:pStyle w:val="TableParagraph"/>
              <w:rPr>
                <w:rFonts w:ascii="Times New Roman"/>
                <w:sz w:val="14"/>
              </w:rPr>
            </w:pPr>
          </w:p>
        </w:tc>
        <w:tc>
          <w:tcPr>
            <w:tcW w:w="1091" w:type="dxa"/>
            <w:tcBorders>
              <w:bottom w:val="single" w:sz="8" w:space="0" w:color="000000"/>
            </w:tcBorders>
          </w:tcPr>
          <w:p>
            <w:pPr>
              <w:pStyle w:val="TableParagraph"/>
              <w:rPr>
                <w:rFonts w:ascii="Times New Roman"/>
                <w:sz w:val="14"/>
              </w:rPr>
            </w:pPr>
          </w:p>
        </w:tc>
      </w:tr>
      <w:tr>
        <w:trPr>
          <w:trHeight w:val="200" w:hRule="atLeast"/>
        </w:trPr>
        <w:tc>
          <w:tcPr>
            <w:tcW w:w="2577" w:type="dxa"/>
          </w:tcPr>
          <w:p>
            <w:pPr>
              <w:pStyle w:val="TableParagraph"/>
              <w:spacing w:line="164" w:lineRule="exact" w:before="16"/>
              <w:ind w:left="50"/>
              <w:rPr>
                <w:rFonts w:ascii="Arial"/>
                <w:b/>
                <w:sz w:val="16"/>
              </w:rPr>
            </w:pPr>
            <w:r>
              <w:rPr>
                <w:rFonts w:ascii="Arial"/>
                <w:b/>
                <w:sz w:val="16"/>
              </w:rPr>
              <w:t>Funded</w:t>
            </w:r>
            <w:r>
              <w:rPr>
                <w:rFonts w:ascii="Arial"/>
                <w:b/>
                <w:spacing w:val="-5"/>
                <w:sz w:val="16"/>
              </w:rPr>
              <w:t> </w:t>
            </w:r>
            <w:r>
              <w:rPr>
                <w:rFonts w:ascii="Arial"/>
                <w:b/>
                <w:sz w:val="16"/>
              </w:rPr>
              <w:t>Status</w:t>
            </w:r>
            <w:r>
              <w:rPr>
                <w:rFonts w:ascii="Arial"/>
                <w:b/>
                <w:spacing w:val="-4"/>
                <w:sz w:val="16"/>
              </w:rPr>
              <w:t> </w:t>
            </w:r>
            <w:r>
              <w:rPr>
                <w:rFonts w:ascii="Arial"/>
                <w:b/>
                <w:spacing w:val="-10"/>
                <w:sz w:val="16"/>
                <w:vertAlign w:val="superscript"/>
              </w:rPr>
              <w:t>a</w:t>
            </w:r>
          </w:p>
        </w:tc>
        <w:tc>
          <w:tcPr>
            <w:tcW w:w="1129" w:type="dxa"/>
            <w:tcBorders>
              <w:top w:val="single" w:sz="8" w:space="0" w:color="000000"/>
              <w:bottom w:val="double" w:sz="8" w:space="0" w:color="000000"/>
            </w:tcBorders>
          </w:tcPr>
          <w:p>
            <w:pPr>
              <w:pStyle w:val="TableParagraph"/>
              <w:tabs>
                <w:tab w:pos="612" w:val="left" w:leader="none"/>
              </w:tabs>
              <w:spacing w:line="164" w:lineRule="exact" w:before="16"/>
              <w:ind w:left="53"/>
              <w:rPr>
                <w:sz w:val="16"/>
              </w:rPr>
            </w:pPr>
            <w:r>
              <w:rPr>
                <w:spacing w:val="-10"/>
                <w:sz w:val="16"/>
              </w:rPr>
              <w:t>$</w:t>
            </w:r>
            <w:r>
              <w:rPr>
                <w:sz w:val="16"/>
              </w:rPr>
              <w:tab/>
            </w:r>
            <w:r>
              <w:rPr>
                <w:spacing w:val="-2"/>
                <w:sz w:val="16"/>
              </w:rPr>
              <w:t>3,357</w:t>
            </w:r>
          </w:p>
        </w:tc>
        <w:tc>
          <w:tcPr>
            <w:tcW w:w="1140" w:type="dxa"/>
            <w:tcBorders>
              <w:top w:val="single" w:sz="8" w:space="0" w:color="000000"/>
              <w:bottom w:val="double" w:sz="8" w:space="0" w:color="000000"/>
            </w:tcBorders>
          </w:tcPr>
          <w:p>
            <w:pPr>
              <w:pStyle w:val="TableParagraph"/>
              <w:tabs>
                <w:tab w:pos="559" w:val="left" w:leader="none"/>
              </w:tabs>
              <w:spacing w:line="164" w:lineRule="exact" w:before="16"/>
              <w:ind w:right="114"/>
              <w:jc w:val="right"/>
              <w:rPr>
                <w:sz w:val="16"/>
              </w:rPr>
            </w:pPr>
            <w:r>
              <w:rPr>
                <w:spacing w:val="-10"/>
                <w:sz w:val="16"/>
              </w:rPr>
              <w:t>$</w:t>
            </w:r>
            <w:r>
              <w:rPr>
                <w:sz w:val="16"/>
              </w:rPr>
              <w:tab/>
            </w:r>
            <w:r>
              <w:rPr>
                <w:spacing w:val="-2"/>
                <w:sz w:val="16"/>
              </w:rPr>
              <w:t>1,914</w:t>
            </w:r>
          </w:p>
        </w:tc>
        <w:tc>
          <w:tcPr>
            <w:tcW w:w="1140" w:type="dxa"/>
            <w:tcBorders>
              <w:top w:val="single" w:sz="8" w:space="0" w:color="000000"/>
              <w:bottom w:val="double" w:sz="8" w:space="0" w:color="000000"/>
            </w:tcBorders>
          </w:tcPr>
          <w:p>
            <w:pPr>
              <w:pStyle w:val="TableParagraph"/>
              <w:tabs>
                <w:tab w:pos="756" w:val="left" w:leader="none"/>
              </w:tabs>
              <w:spacing w:line="164" w:lineRule="exact" w:before="16"/>
              <w:ind w:left="63"/>
              <w:rPr>
                <w:sz w:val="16"/>
              </w:rPr>
            </w:pPr>
            <w:r>
              <w:rPr>
                <w:spacing w:val="-10"/>
                <w:sz w:val="16"/>
              </w:rPr>
              <w:t>$</w:t>
            </w:r>
            <w:r>
              <w:rPr>
                <w:sz w:val="16"/>
              </w:rPr>
              <w:tab/>
            </w:r>
            <w:r>
              <w:rPr>
                <w:spacing w:val="-5"/>
                <w:sz w:val="16"/>
              </w:rPr>
              <w:t>940</w:t>
            </w:r>
          </w:p>
        </w:tc>
        <w:tc>
          <w:tcPr>
            <w:tcW w:w="1091" w:type="dxa"/>
            <w:tcBorders>
              <w:top w:val="single" w:sz="8" w:space="0" w:color="000000"/>
              <w:bottom w:val="double" w:sz="8" w:space="0" w:color="000000"/>
            </w:tcBorders>
          </w:tcPr>
          <w:p>
            <w:pPr>
              <w:pStyle w:val="TableParagraph"/>
              <w:tabs>
                <w:tab w:pos="692" w:val="left" w:leader="none"/>
              </w:tabs>
              <w:spacing w:line="164" w:lineRule="exact" w:before="16"/>
              <w:ind w:right="65"/>
              <w:jc w:val="right"/>
              <w:rPr>
                <w:sz w:val="16"/>
              </w:rPr>
            </w:pPr>
            <w:r>
              <w:rPr>
                <w:spacing w:val="-10"/>
                <w:sz w:val="16"/>
              </w:rPr>
              <w:t>$</w:t>
            </w:r>
            <w:r>
              <w:rPr>
                <w:sz w:val="16"/>
              </w:rPr>
              <w:tab/>
            </w:r>
            <w:r>
              <w:rPr>
                <w:spacing w:val="-5"/>
                <w:sz w:val="16"/>
              </w:rPr>
              <w:t>395</w:t>
            </w:r>
          </w:p>
        </w:tc>
        <w:tc>
          <w:tcPr>
            <w:tcW w:w="1189" w:type="dxa"/>
            <w:tcBorders>
              <w:top w:val="single" w:sz="8" w:space="0" w:color="000000"/>
              <w:bottom w:val="double" w:sz="8" w:space="0" w:color="000000"/>
            </w:tcBorders>
          </w:tcPr>
          <w:p>
            <w:pPr>
              <w:pStyle w:val="TableParagraph"/>
              <w:tabs>
                <w:tab w:pos="506" w:val="left" w:leader="none"/>
              </w:tabs>
              <w:spacing w:line="164" w:lineRule="exact" w:before="16"/>
              <w:ind w:right="61"/>
              <w:jc w:val="right"/>
              <w:rPr>
                <w:sz w:val="16"/>
              </w:rPr>
            </w:pPr>
            <w:r>
              <w:rPr>
                <w:spacing w:val="-10"/>
                <w:sz w:val="16"/>
              </w:rPr>
              <w:t>$</w:t>
            </w:r>
            <w:r>
              <w:rPr>
                <w:sz w:val="16"/>
              </w:rPr>
              <w:tab/>
            </w:r>
            <w:r>
              <w:rPr>
                <w:spacing w:val="-2"/>
                <w:sz w:val="16"/>
              </w:rPr>
              <w:t>(2,057)</w:t>
            </w:r>
          </w:p>
        </w:tc>
        <w:tc>
          <w:tcPr>
            <w:tcW w:w="1091" w:type="dxa"/>
            <w:tcBorders>
              <w:top w:val="single" w:sz="8" w:space="0" w:color="000000"/>
              <w:bottom w:val="double" w:sz="8" w:space="0" w:color="000000"/>
            </w:tcBorders>
          </w:tcPr>
          <w:p>
            <w:pPr>
              <w:pStyle w:val="TableParagraph"/>
              <w:tabs>
                <w:tab w:pos="506" w:val="left" w:leader="none"/>
              </w:tabs>
              <w:spacing w:line="164" w:lineRule="exact" w:before="16"/>
              <w:ind w:right="12"/>
              <w:jc w:val="right"/>
              <w:rPr>
                <w:sz w:val="16"/>
              </w:rPr>
            </w:pPr>
            <w:r>
              <w:rPr>
                <w:spacing w:val="-10"/>
                <w:sz w:val="16"/>
              </w:rPr>
              <w:t>$</w:t>
            </w:r>
            <w:r>
              <w:rPr>
                <w:sz w:val="16"/>
              </w:rPr>
              <w:tab/>
            </w:r>
            <w:r>
              <w:rPr>
                <w:spacing w:val="-2"/>
                <w:sz w:val="16"/>
              </w:rPr>
              <w:t>(2,107)</w:t>
            </w:r>
          </w:p>
        </w:tc>
      </w:tr>
      <w:tr>
        <w:trPr>
          <w:trHeight w:val="375" w:hRule="atLeast"/>
        </w:trPr>
        <w:tc>
          <w:tcPr>
            <w:tcW w:w="2577" w:type="dxa"/>
          </w:tcPr>
          <w:p>
            <w:pPr>
              <w:pStyle w:val="TableParagraph"/>
              <w:spacing w:line="183" w:lineRule="exact"/>
              <w:ind w:left="50"/>
              <w:rPr>
                <w:rFonts w:ascii="Arial"/>
                <w:b/>
                <w:sz w:val="16"/>
              </w:rPr>
            </w:pPr>
            <w:r>
              <w:rPr>
                <w:rFonts w:ascii="Arial"/>
                <w:b/>
                <w:sz w:val="16"/>
              </w:rPr>
              <w:t>Accumulated</w:t>
            </w:r>
            <w:r>
              <w:rPr>
                <w:rFonts w:ascii="Arial"/>
                <w:b/>
                <w:spacing w:val="-9"/>
                <w:sz w:val="16"/>
              </w:rPr>
              <w:t> </w:t>
            </w:r>
            <w:r>
              <w:rPr>
                <w:rFonts w:ascii="Arial"/>
                <w:b/>
                <w:spacing w:val="-2"/>
                <w:sz w:val="16"/>
              </w:rPr>
              <w:t>Benefit</w:t>
            </w:r>
          </w:p>
          <w:p>
            <w:pPr>
              <w:pStyle w:val="TableParagraph"/>
              <w:spacing w:line="164" w:lineRule="exact" w:before="8"/>
              <w:ind w:left="50"/>
              <w:rPr>
                <w:rFonts w:ascii="Arial"/>
                <w:b/>
                <w:sz w:val="16"/>
              </w:rPr>
            </w:pPr>
            <w:r>
              <w:rPr>
                <w:rFonts w:ascii="Arial"/>
                <w:b/>
                <w:spacing w:val="-2"/>
                <w:sz w:val="16"/>
              </w:rPr>
              <w:t>Obligations</w:t>
            </w:r>
          </w:p>
        </w:tc>
        <w:tc>
          <w:tcPr>
            <w:tcW w:w="1129" w:type="dxa"/>
            <w:tcBorders>
              <w:top w:val="double" w:sz="8" w:space="0" w:color="000000"/>
            </w:tcBorders>
          </w:tcPr>
          <w:p>
            <w:pPr>
              <w:pStyle w:val="TableParagraph"/>
              <w:spacing w:before="7"/>
              <w:rPr>
                <w:rFonts w:ascii="Arial"/>
                <w:b/>
                <w:sz w:val="16"/>
              </w:rPr>
            </w:pPr>
          </w:p>
          <w:p>
            <w:pPr>
              <w:pStyle w:val="TableParagraph"/>
              <w:tabs>
                <w:tab w:pos="523" w:val="left" w:leader="none"/>
              </w:tabs>
              <w:spacing w:line="164" w:lineRule="exact"/>
              <w:ind w:left="53"/>
              <w:rPr>
                <w:sz w:val="16"/>
              </w:rPr>
            </w:pPr>
            <w:r>
              <w:rPr>
                <w:spacing w:val="-10"/>
                <w:sz w:val="16"/>
              </w:rPr>
              <w:t>$</w:t>
            </w:r>
            <w:r>
              <w:rPr>
                <w:sz w:val="16"/>
              </w:rPr>
              <w:tab/>
            </w:r>
            <w:r>
              <w:rPr>
                <w:spacing w:val="-2"/>
                <w:sz w:val="16"/>
              </w:rPr>
              <w:t>20,098</w:t>
            </w:r>
          </w:p>
        </w:tc>
        <w:tc>
          <w:tcPr>
            <w:tcW w:w="1140" w:type="dxa"/>
            <w:tcBorders>
              <w:top w:val="double" w:sz="8" w:space="0" w:color="000000"/>
            </w:tcBorders>
          </w:tcPr>
          <w:p>
            <w:pPr>
              <w:pStyle w:val="TableParagraph"/>
              <w:spacing w:before="7"/>
              <w:rPr>
                <w:rFonts w:ascii="Arial"/>
                <w:b/>
                <w:sz w:val="16"/>
              </w:rPr>
            </w:pPr>
          </w:p>
          <w:p>
            <w:pPr>
              <w:pStyle w:val="TableParagraph"/>
              <w:tabs>
                <w:tab w:pos="470" w:val="left" w:leader="none"/>
              </w:tabs>
              <w:spacing w:line="164" w:lineRule="exact"/>
              <w:ind w:right="114"/>
              <w:jc w:val="right"/>
              <w:rPr>
                <w:sz w:val="16"/>
              </w:rPr>
            </w:pPr>
            <w:r>
              <w:rPr>
                <w:spacing w:val="-10"/>
                <w:sz w:val="16"/>
              </w:rPr>
              <w:t>$</w:t>
            </w:r>
            <w:r>
              <w:rPr>
                <w:sz w:val="16"/>
              </w:rPr>
              <w:tab/>
            </w:r>
            <w:r>
              <w:rPr>
                <w:spacing w:val="-2"/>
                <w:sz w:val="16"/>
              </w:rPr>
              <w:t>20,643</w:t>
            </w:r>
          </w:p>
        </w:tc>
        <w:tc>
          <w:tcPr>
            <w:tcW w:w="1140" w:type="dxa"/>
            <w:tcBorders>
              <w:top w:val="double" w:sz="8" w:space="0" w:color="000000"/>
            </w:tcBorders>
          </w:tcPr>
          <w:p>
            <w:pPr>
              <w:pStyle w:val="TableParagraph"/>
              <w:spacing w:before="7"/>
              <w:rPr>
                <w:rFonts w:ascii="Arial"/>
                <w:b/>
                <w:sz w:val="16"/>
              </w:rPr>
            </w:pPr>
          </w:p>
          <w:p>
            <w:pPr>
              <w:pStyle w:val="TableParagraph"/>
              <w:tabs>
                <w:tab w:pos="623" w:val="left" w:leader="none"/>
              </w:tabs>
              <w:spacing w:line="164" w:lineRule="exact"/>
              <w:ind w:left="63"/>
              <w:rPr>
                <w:sz w:val="16"/>
              </w:rPr>
            </w:pPr>
            <w:r>
              <w:rPr>
                <w:spacing w:val="-10"/>
                <w:sz w:val="16"/>
              </w:rPr>
              <w:t>$</w:t>
            </w:r>
            <w:r>
              <w:rPr>
                <w:sz w:val="16"/>
              </w:rPr>
              <w:tab/>
            </w:r>
            <w:r>
              <w:rPr>
                <w:spacing w:val="-2"/>
                <w:sz w:val="16"/>
              </w:rPr>
              <w:t>3,341</w:t>
            </w:r>
          </w:p>
        </w:tc>
        <w:tc>
          <w:tcPr>
            <w:tcW w:w="1091" w:type="dxa"/>
            <w:tcBorders>
              <w:top w:val="double" w:sz="8" w:space="0" w:color="000000"/>
            </w:tcBorders>
          </w:tcPr>
          <w:p>
            <w:pPr>
              <w:pStyle w:val="TableParagraph"/>
              <w:spacing w:before="7"/>
              <w:rPr>
                <w:rFonts w:ascii="Arial"/>
                <w:b/>
                <w:sz w:val="16"/>
              </w:rPr>
            </w:pPr>
          </w:p>
          <w:p>
            <w:pPr>
              <w:pStyle w:val="TableParagraph"/>
              <w:tabs>
                <w:tab w:pos="559" w:val="left" w:leader="none"/>
              </w:tabs>
              <w:spacing w:line="164" w:lineRule="exact"/>
              <w:ind w:right="65"/>
              <w:jc w:val="right"/>
              <w:rPr>
                <w:sz w:val="16"/>
              </w:rPr>
            </w:pPr>
            <w:r>
              <w:rPr>
                <w:spacing w:val="-10"/>
                <w:sz w:val="16"/>
              </w:rPr>
              <w:t>$</w:t>
            </w:r>
            <w:r>
              <w:rPr>
                <w:sz w:val="16"/>
              </w:rPr>
              <w:tab/>
            </w:r>
            <w:r>
              <w:rPr>
                <w:spacing w:val="-2"/>
                <w:sz w:val="16"/>
              </w:rPr>
              <w:t>3,666</w:t>
            </w:r>
          </w:p>
        </w:tc>
        <w:tc>
          <w:tcPr>
            <w:tcW w:w="1189" w:type="dxa"/>
            <w:tcBorders>
              <w:top w:val="double" w:sz="8" w:space="0" w:color="000000"/>
            </w:tcBorders>
          </w:tcPr>
          <w:p>
            <w:pPr>
              <w:pStyle w:val="TableParagraph"/>
              <w:spacing w:before="7"/>
              <w:rPr>
                <w:rFonts w:ascii="Arial"/>
                <w:b/>
                <w:sz w:val="16"/>
              </w:rPr>
            </w:pPr>
          </w:p>
          <w:p>
            <w:pPr>
              <w:pStyle w:val="TableParagraph"/>
              <w:tabs>
                <w:tab w:pos="672" w:val="left" w:leader="none"/>
              </w:tabs>
              <w:spacing w:line="164" w:lineRule="exact"/>
              <w:ind w:left="112"/>
              <w:rPr>
                <w:sz w:val="16"/>
              </w:rPr>
            </w:pPr>
            <w:r>
              <w:rPr>
                <w:spacing w:val="-10"/>
                <w:sz w:val="16"/>
              </w:rPr>
              <w:t>$</w:t>
            </w:r>
            <w:r>
              <w:rPr>
                <w:sz w:val="16"/>
              </w:rPr>
              <w:tab/>
            </w:r>
            <w:r>
              <w:rPr>
                <w:spacing w:val="-2"/>
                <w:sz w:val="16"/>
              </w:rPr>
              <w:t>1,908</w:t>
            </w:r>
          </w:p>
        </w:tc>
        <w:tc>
          <w:tcPr>
            <w:tcW w:w="1091" w:type="dxa"/>
            <w:tcBorders>
              <w:top w:val="double" w:sz="8" w:space="0" w:color="000000"/>
            </w:tcBorders>
          </w:tcPr>
          <w:p>
            <w:pPr>
              <w:pStyle w:val="TableParagraph"/>
              <w:spacing w:before="7"/>
              <w:rPr>
                <w:rFonts w:ascii="Arial"/>
                <w:b/>
                <w:sz w:val="16"/>
              </w:rPr>
            </w:pPr>
          </w:p>
          <w:p>
            <w:pPr>
              <w:pStyle w:val="TableParagraph"/>
              <w:tabs>
                <w:tab w:pos="559" w:val="left" w:leader="none"/>
              </w:tabs>
              <w:spacing w:line="164" w:lineRule="exact"/>
              <w:ind w:right="65"/>
              <w:jc w:val="right"/>
              <w:rPr>
                <w:sz w:val="16"/>
              </w:rPr>
            </w:pPr>
            <w:r>
              <w:rPr>
                <w:spacing w:val="-10"/>
                <w:sz w:val="16"/>
              </w:rPr>
              <w:t>$</w:t>
            </w:r>
            <w:r>
              <w:rPr>
                <w:sz w:val="16"/>
              </w:rPr>
              <w:tab/>
            </w:r>
            <w:r>
              <w:rPr>
                <w:spacing w:val="-2"/>
                <w:sz w:val="16"/>
              </w:rPr>
              <w:t>1,923</w:t>
            </w:r>
          </w:p>
        </w:tc>
      </w:tr>
    </w:tbl>
    <w:p>
      <w:pPr>
        <w:pStyle w:val="BodyText"/>
        <w:spacing w:before="18"/>
        <w:rPr>
          <w:rFonts w:ascii="Arial"/>
          <w:b/>
        </w:rPr>
      </w:pPr>
      <w:r>
        <w:rPr>
          <w:rFonts w:ascii="Arial"/>
          <w:b/>
        </w:rPr>
        <mc:AlternateContent>
          <mc:Choice Requires="wps">
            <w:drawing>
              <wp:anchor distT="0" distB="0" distL="0" distR="0" allowOverlap="1" layoutInCell="1" locked="0" behindDoc="1" simplePos="0" relativeHeight="487753216">
                <wp:simplePos x="0" y="0"/>
                <wp:positionH relativeFrom="page">
                  <wp:posOffset>914400</wp:posOffset>
                </wp:positionH>
                <wp:positionV relativeFrom="paragraph">
                  <wp:posOffset>173050</wp:posOffset>
                </wp:positionV>
                <wp:extent cx="5943600" cy="1270"/>
                <wp:effectExtent l="0" t="0" r="0" b="0"/>
                <wp:wrapTopAndBottom/>
                <wp:docPr id="950" name="Graphic 950"/>
                <wp:cNvGraphicFramePr>
                  <a:graphicFrameLocks/>
                </wp:cNvGraphicFramePr>
                <a:graphic>
                  <a:graphicData uri="http://schemas.microsoft.com/office/word/2010/wordprocessingShape">
                    <wps:wsp>
                      <wps:cNvPr id="950" name="Graphic 95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626025pt;width:468pt;height:.1pt;mso-position-horizontal-relative:page;mso-position-vertical-relative:paragraph;z-index:-15563264;mso-wrap-distance-left:0;mso-wrap-distance-right:0" id="docshape786" coordorigin="1440,273" coordsize="9360,0" path="m1440,273l10800,273e" filled="false" stroked="true" strokeweight="1pt" strokecolor="#000000">
                <v:path arrowok="t"/>
                <v:stroke dashstyle="solid"/>
                <w10:wrap type="topAndBottom"/>
              </v:shape>
            </w:pict>
          </mc:Fallback>
        </mc:AlternateContent>
      </w:r>
    </w:p>
    <w:p>
      <w:pPr>
        <w:spacing w:line="249" w:lineRule="auto" w:before="19"/>
        <w:ind w:left="952" w:right="802" w:hanging="180"/>
        <w:jc w:val="left"/>
        <w:rPr>
          <w:rFonts w:ascii="Arial" w:hAnsi="Arial"/>
          <w:i/>
          <w:sz w:val="16"/>
        </w:rPr>
      </w:pPr>
      <w:r>
        <w:rPr>
          <w:rFonts w:ascii="Arial" w:hAnsi="Arial"/>
          <w:i/>
          <w:sz w:val="16"/>
        </w:rPr>
        <w:t>a.</w:t>
      </w:r>
      <w:r>
        <w:rPr>
          <w:rFonts w:ascii="Arial" w:hAnsi="Arial"/>
          <w:i/>
          <w:spacing w:val="-2"/>
          <w:sz w:val="16"/>
        </w:rPr>
        <w:t> </w:t>
      </w:r>
      <w:r>
        <w:rPr>
          <w:rFonts w:ascii="Arial" w:hAnsi="Arial"/>
          <w:i/>
          <w:sz w:val="16"/>
        </w:rPr>
        <w:t>Funded</w:t>
      </w:r>
      <w:r>
        <w:rPr>
          <w:rFonts w:ascii="Arial" w:hAnsi="Arial"/>
          <w:i/>
          <w:spacing w:val="-3"/>
          <w:sz w:val="16"/>
        </w:rPr>
        <w:t> </w:t>
      </w:r>
      <w:r>
        <w:rPr>
          <w:rFonts w:ascii="Arial" w:hAnsi="Arial"/>
          <w:i/>
          <w:sz w:val="16"/>
        </w:rPr>
        <w:t>status</w:t>
      </w:r>
      <w:r>
        <w:rPr>
          <w:rFonts w:ascii="Arial" w:hAnsi="Arial"/>
          <w:i/>
          <w:spacing w:val="-2"/>
          <w:sz w:val="16"/>
        </w:rPr>
        <w:t> </w:t>
      </w:r>
      <w:r>
        <w:rPr>
          <w:rFonts w:ascii="Arial" w:hAnsi="Arial"/>
          <w:i/>
          <w:sz w:val="16"/>
        </w:rPr>
        <w:t>is</w:t>
      </w:r>
      <w:r>
        <w:rPr>
          <w:rFonts w:ascii="Arial" w:hAnsi="Arial"/>
          <w:i/>
          <w:spacing w:val="-2"/>
          <w:sz w:val="16"/>
        </w:rPr>
        <w:t> </w:t>
      </w:r>
      <w:r>
        <w:rPr>
          <w:rFonts w:ascii="Arial" w:hAnsi="Arial"/>
          <w:i/>
          <w:sz w:val="16"/>
        </w:rPr>
        <w:t>included</w:t>
      </w:r>
      <w:r>
        <w:rPr>
          <w:rFonts w:ascii="Arial" w:hAnsi="Arial"/>
          <w:i/>
          <w:spacing w:val="-3"/>
          <w:sz w:val="16"/>
        </w:rPr>
        <w:t> </w:t>
      </w:r>
      <w:r>
        <w:rPr>
          <w:rFonts w:ascii="Arial" w:hAnsi="Arial"/>
          <w:i/>
          <w:sz w:val="16"/>
        </w:rPr>
        <w:t>in</w:t>
      </w:r>
      <w:r>
        <w:rPr>
          <w:rFonts w:ascii="Arial" w:hAnsi="Arial"/>
          <w:i/>
          <w:spacing w:val="-3"/>
          <w:sz w:val="16"/>
        </w:rPr>
        <w:t> </w:t>
      </w:r>
      <w:r>
        <w:rPr>
          <w:rFonts w:ascii="Arial" w:hAnsi="Arial"/>
          <w:i/>
          <w:sz w:val="16"/>
        </w:rPr>
        <w:t>Other</w:t>
      </w:r>
      <w:r>
        <w:rPr>
          <w:rFonts w:ascii="Arial" w:hAnsi="Arial"/>
          <w:i/>
          <w:spacing w:val="-2"/>
          <w:sz w:val="16"/>
        </w:rPr>
        <w:t> </w:t>
      </w:r>
      <w:r>
        <w:rPr>
          <w:rFonts w:ascii="Arial" w:hAnsi="Arial"/>
          <w:i/>
          <w:sz w:val="16"/>
        </w:rPr>
        <w:t>Assets</w:t>
      </w:r>
      <w:r>
        <w:rPr>
          <w:rFonts w:ascii="Arial" w:hAnsi="Arial"/>
          <w:i/>
          <w:spacing w:val="-2"/>
          <w:sz w:val="16"/>
        </w:rPr>
        <w:t> </w:t>
      </w:r>
      <w:r>
        <w:rPr>
          <w:rFonts w:ascii="Arial" w:hAnsi="Arial"/>
          <w:i/>
          <w:sz w:val="16"/>
        </w:rPr>
        <w:t>–</w:t>
      </w:r>
      <w:r>
        <w:rPr>
          <w:rFonts w:ascii="Arial" w:hAnsi="Arial"/>
          <w:i/>
          <w:spacing w:val="-3"/>
          <w:sz w:val="16"/>
        </w:rPr>
        <w:t> </w:t>
      </w:r>
      <w:r>
        <w:rPr>
          <w:rFonts w:ascii="Arial" w:hAnsi="Arial"/>
          <w:i/>
          <w:sz w:val="16"/>
        </w:rPr>
        <w:t>Assets</w:t>
      </w:r>
      <w:r>
        <w:rPr>
          <w:rFonts w:ascii="Arial" w:hAnsi="Arial"/>
          <w:i/>
          <w:spacing w:val="-2"/>
          <w:sz w:val="16"/>
        </w:rPr>
        <w:t> </w:t>
      </w:r>
      <w:r>
        <w:rPr>
          <w:rFonts w:ascii="Arial" w:hAnsi="Arial"/>
          <w:i/>
          <w:sz w:val="16"/>
        </w:rPr>
        <w:t>under</w:t>
      </w:r>
      <w:r>
        <w:rPr>
          <w:rFonts w:ascii="Arial" w:hAnsi="Arial"/>
          <w:i/>
          <w:spacing w:val="-2"/>
          <w:sz w:val="16"/>
        </w:rPr>
        <w:t> </w:t>
      </w:r>
      <w:r>
        <w:rPr>
          <w:rFonts w:ascii="Arial" w:hAnsi="Arial"/>
          <w:i/>
          <w:sz w:val="16"/>
        </w:rPr>
        <w:t>retirement</w:t>
      </w:r>
      <w:r>
        <w:rPr>
          <w:rFonts w:ascii="Arial" w:hAnsi="Arial"/>
          <w:i/>
          <w:spacing w:val="-2"/>
          <w:sz w:val="16"/>
        </w:rPr>
        <w:t> </w:t>
      </w:r>
      <w:r>
        <w:rPr>
          <w:rFonts w:ascii="Arial" w:hAnsi="Arial"/>
          <w:i/>
          <w:sz w:val="16"/>
        </w:rPr>
        <w:t>benefits</w:t>
      </w:r>
      <w:r>
        <w:rPr>
          <w:rFonts w:ascii="Arial" w:hAnsi="Arial"/>
          <w:i/>
          <w:spacing w:val="-2"/>
          <w:sz w:val="16"/>
        </w:rPr>
        <w:t> </w:t>
      </w:r>
      <w:r>
        <w:rPr>
          <w:rFonts w:ascii="Arial" w:hAnsi="Arial"/>
          <w:i/>
          <w:sz w:val="16"/>
        </w:rPr>
        <w:t>plans</w:t>
      </w:r>
      <w:r>
        <w:rPr>
          <w:rFonts w:ascii="Arial" w:hAnsi="Arial"/>
          <w:i/>
          <w:spacing w:val="-2"/>
          <w:sz w:val="16"/>
        </w:rPr>
        <w:t> </w:t>
      </w:r>
      <w:r>
        <w:rPr>
          <w:rFonts w:ascii="Arial" w:hAnsi="Arial"/>
          <w:i/>
          <w:sz w:val="16"/>
        </w:rPr>
        <w:t>on</w:t>
      </w:r>
      <w:r>
        <w:rPr>
          <w:rFonts w:ascii="Arial" w:hAnsi="Arial"/>
          <w:i/>
          <w:spacing w:val="-3"/>
          <w:sz w:val="16"/>
        </w:rPr>
        <w:t> </w:t>
      </w:r>
      <w:r>
        <w:rPr>
          <w:rFonts w:ascii="Arial" w:hAnsi="Arial"/>
          <w:i/>
          <w:sz w:val="16"/>
        </w:rPr>
        <w:t>the</w:t>
      </w:r>
      <w:r>
        <w:rPr>
          <w:rFonts w:ascii="Arial" w:hAnsi="Arial"/>
          <w:i/>
          <w:spacing w:val="-3"/>
          <w:sz w:val="16"/>
        </w:rPr>
        <w:t> </w:t>
      </w:r>
      <w:r>
        <w:rPr>
          <w:rFonts w:ascii="Arial" w:hAnsi="Arial"/>
          <w:i/>
          <w:sz w:val="16"/>
        </w:rPr>
        <w:t>Balance</w:t>
      </w:r>
      <w:r>
        <w:rPr>
          <w:rFonts w:ascii="Arial" w:hAnsi="Arial"/>
          <w:i/>
          <w:spacing w:val="-3"/>
          <w:sz w:val="16"/>
        </w:rPr>
        <w:t> </w:t>
      </w:r>
      <w:r>
        <w:rPr>
          <w:rFonts w:ascii="Arial" w:hAnsi="Arial"/>
          <w:i/>
          <w:sz w:val="16"/>
        </w:rPr>
        <w:t>Sheets</w:t>
      </w:r>
      <w:r>
        <w:rPr>
          <w:rFonts w:ascii="Arial" w:hAnsi="Arial"/>
          <w:i/>
          <w:spacing w:val="-2"/>
          <w:sz w:val="16"/>
        </w:rPr>
        <w:t> </w:t>
      </w:r>
      <w:r>
        <w:rPr>
          <w:rFonts w:ascii="Arial" w:hAnsi="Arial"/>
          <w:i/>
          <w:sz w:val="16"/>
        </w:rPr>
        <w:t>and</w:t>
      </w:r>
      <w:r>
        <w:rPr>
          <w:rFonts w:ascii="Arial" w:hAnsi="Arial"/>
          <w:i/>
          <w:spacing w:val="-3"/>
          <w:sz w:val="16"/>
        </w:rPr>
        <w:t> </w:t>
      </w:r>
      <w:r>
        <w:rPr>
          <w:rFonts w:ascii="Arial" w:hAnsi="Arial"/>
          <w:i/>
          <w:sz w:val="16"/>
        </w:rPr>
        <w:t>Other</w:t>
      </w:r>
      <w:r>
        <w:rPr>
          <w:rFonts w:ascii="Arial" w:hAnsi="Arial"/>
          <w:i/>
          <w:spacing w:val="-2"/>
          <w:sz w:val="16"/>
        </w:rPr>
        <w:t> </w:t>
      </w:r>
      <w:r>
        <w:rPr>
          <w:rFonts w:ascii="Arial" w:hAnsi="Arial"/>
          <w:i/>
          <w:sz w:val="16"/>
        </w:rPr>
        <w:t>liabilities</w:t>
      </w:r>
      <w:r>
        <w:rPr>
          <w:rFonts w:ascii="Arial" w:hAnsi="Arial"/>
          <w:i/>
          <w:spacing w:val="-2"/>
          <w:sz w:val="16"/>
        </w:rPr>
        <w:t> </w:t>
      </w:r>
      <w:r>
        <w:rPr>
          <w:rFonts w:ascii="Arial" w:hAnsi="Arial"/>
          <w:i/>
          <w:sz w:val="16"/>
        </w:rPr>
        <w:t>– Liabilities under retirement benefits plans on the Balance Sheets.</w:t>
      </w:r>
    </w:p>
    <w:p>
      <w:pPr>
        <w:spacing w:after="0" w:line="249" w:lineRule="auto"/>
        <w:jc w:val="left"/>
        <w:rPr>
          <w:rFonts w:ascii="Arial" w:hAnsi="Arial"/>
          <w:i/>
          <w:sz w:val="16"/>
        </w:rPr>
        <w:sectPr>
          <w:type w:val="continuous"/>
          <w:pgSz w:w="12240" w:h="15840"/>
          <w:pgMar w:header="0" w:footer="0" w:top="1820" w:bottom="280" w:left="720" w:right="720"/>
        </w:sectPr>
      </w:pPr>
    </w:p>
    <w:p>
      <w:pPr>
        <w:pStyle w:val="BodyText"/>
        <w:spacing w:line="232" w:lineRule="auto" w:before="77"/>
        <w:ind w:left="720" w:right="718"/>
        <w:jc w:val="both"/>
      </w:pPr>
      <w:r>
        <w:rPr/>
        <w:t>As of June 30, 2023, the SRP and RSBP were overfunded by $3,357 million and $940 million, respectively. The PEBP, after reflecting IBRD and IDA’s share of assets which are included in the IBRD’s investment portfolio ($1,953 million), was underfunded by $104 million.</w:t>
      </w:r>
    </w:p>
    <w:p>
      <w:pPr>
        <w:pStyle w:val="BodyText"/>
        <w:spacing w:line="249" w:lineRule="auto" w:before="221"/>
        <w:ind w:left="720" w:right="718"/>
        <w:jc w:val="both"/>
      </w:pPr>
      <w:r>
        <w:rPr/>
        <w:t>During the fiscal years ended June 30, 2023 and June 30, 2022, there were no amendments made to the retirement benefit plans.</w:t>
      </w:r>
    </w:p>
    <w:p>
      <w:pPr>
        <w:pStyle w:val="BodyText"/>
        <w:spacing w:line="249" w:lineRule="auto" w:before="122"/>
        <w:ind w:left="720" w:right="719"/>
        <w:jc w:val="both"/>
      </w:pPr>
      <w:r>
        <w:rPr/>
        <w:t>The following tables present the amounts included in Accumulated Other Comprehensive Income/Loss relating to Pension and Other Postretirement Benefits:</w:t>
      </w:r>
    </w:p>
    <w:p>
      <w:pPr>
        <w:pStyle w:val="Heading8"/>
        <w:jc w:val="both"/>
      </w:pPr>
      <w:r>
        <w:rPr/>
        <w:t>Table</w:t>
      </w:r>
      <w:r>
        <w:rPr>
          <w:spacing w:val="-6"/>
        </w:rPr>
        <w:t> </w:t>
      </w:r>
      <w:r>
        <w:rPr/>
        <w:t>J4:</w:t>
      </w:r>
      <w:r>
        <w:rPr>
          <w:spacing w:val="-3"/>
        </w:rPr>
        <w:t> </w:t>
      </w:r>
      <w:r>
        <w:rPr/>
        <w:t>Amounts</w:t>
      </w:r>
      <w:r>
        <w:rPr>
          <w:spacing w:val="-4"/>
        </w:rPr>
        <w:t> </w:t>
      </w:r>
      <w:r>
        <w:rPr/>
        <w:t>included</w:t>
      </w:r>
      <w:r>
        <w:rPr>
          <w:spacing w:val="-4"/>
        </w:rPr>
        <w:t> </w:t>
      </w:r>
      <w:r>
        <w:rPr/>
        <w:t>in</w:t>
      </w:r>
      <w:r>
        <w:rPr>
          <w:spacing w:val="-4"/>
        </w:rPr>
        <w:t> </w:t>
      </w:r>
      <w:r>
        <w:rPr/>
        <w:t>Accumulated</w:t>
      </w:r>
      <w:r>
        <w:rPr>
          <w:spacing w:val="-4"/>
        </w:rPr>
        <w:t> </w:t>
      </w:r>
      <w:r>
        <w:rPr/>
        <w:t>Other</w:t>
      </w:r>
      <w:r>
        <w:rPr>
          <w:spacing w:val="-4"/>
        </w:rPr>
        <w:t> </w:t>
      </w:r>
      <w:r>
        <w:rPr/>
        <w:t>Comprehensive</w:t>
      </w:r>
      <w:r>
        <w:rPr>
          <w:spacing w:val="-4"/>
        </w:rPr>
        <w:t> </w:t>
      </w:r>
      <w:r>
        <w:rPr/>
        <w:t>Income</w:t>
      </w:r>
      <w:r>
        <w:rPr>
          <w:spacing w:val="-4"/>
        </w:rPr>
        <w:t> </w:t>
      </w:r>
      <w:r>
        <w:rPr/>
        <w:t>as</w:t>
      </w:r>
      <w:r>
        <w:rPr>
          <w:spacing w:val="-4"/>
        </w:rPr>
        <w:t> </w:t>
      </w:r>
      <w:r>
        <w:rPr/>
        <w:t>of</w:t>
      </w:r>
      <w:r>
        <w:rPr>
          <w:spacing w:val="-3"/>
        </w:rPr>
        <w:t> </w:t>
      </w:r>
      <w:r>
        <w:rPr/>
        <w:t>June</w:t>
      </w:r>
      <w:r>
        <w:rPr>
          <w:spacing w:val="-4"/>
        </w:rPr>
        <w:t> </w:t>
      </w:r>
      <w:r>
        <w:rPr/>
        <w:t>30,</w:t>
      </w:r>
      <w:r>
        <w:rPr>
          <w:spacing w:val="-2"/>
        </w:rPr>
        <w:t> </w:t>
      </w:r>
      <w:r>
        <w:rPr>
          <w:spacing w:val="-4"/>
        </w:rPr>
        <w:t>2023</w:t>
      </w:r>
    </w:p>
    <w:p>
      <w:pPr>
        <w:spacing w:before="48" w:after="30"/>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30"/>
        <w:gridCol w:w="1054"/>
        <w:gridCol w:w="1065"/>
        <w:gridCol w:w="1038"/>
        <w:gridCol w:w="1042"/>
      </w:tblGrid>
      <w:tr>
        <w:trPr>
          <w:trHeight w:val="220" w:hRule="atLeast"/>
        </w:trPr>
        <w:tc>
          <w:tcPr>
            <w:tcW w:w="5130" w:type="dxa"/>
            <w:tcBorders>
              <w:top w:val="single" w:sz="8" w:space="0" w:color="000000"/>
            </w:tcBorders>
          </w:tcPr>
          <w:p>
            <w:pPr>
              <w:pStyle w:val="TableParagraph"/>
              <w:rPr>
                <w:rFonts w:ascii="Times New Roman"/>
                <w:sz w:val="14"/>
              </w:rPr>
            </w:pPr>
          </w:p>
        </w:tc>
        <w:tc>
          <w:tcPr>
            <w:tcW w:w="1054" w:type="dxa"/>
            <w:tcBorders>
              <w:top w:val="single" w:sz="8" w:space="0" w:color="000000"/>
              <w:bottom w:val="single" w:sz="8" w:space="0" w:color="000000"/>
            </w:tcBorders>
          </w:tcPr>
          <w:p>
            <w:pPr>
              <w:pStyle w:val="TableParagraph"/>
              <w:spacing w:line="183" w:lineRule="exact" w:before="16"/>
              <w:ind w:left="338"/>
              <w:rPr>
                <w:rFonts w:ascii="Arial"/>
                <w:i/>
                <w:sz w:val="16"/>
              </w:rPr>
            </w:pPr>
            <w:r>
              <w:rPr>
                <w:rFonts w:ascii="Arial"/>
                <w:i/>
                <w:spacing w:val="-5"/>
                <w:sz w:val="16"/>
              </w:rPr>
              <w:t>SRP</w:t>
            </w:r>
          </w:p>
        </w:tc>
        <w:tc>
          <w:tcPr>
            <w:tcW w:w="1065" w:type="dxa"/>
            <w:tcBorders>
              <w:top w:val="single" w:sz="8" w:space="0" w:color="000000"/>
              <w:bottom w:val="single" w:sz="8" w:space="0" w:color="000000"/>
            </w:tcBorders>
          </w:tcPr>
          <w:p>
            <w:pPr>
              <w:pStyle w:val="TableParagraph"/>
              <w:spacing w:line="183" w:lineRule="exact" w:before="16"/>
              <w:ind w:left="295"/>
              <w:rPr>
                <w:rFonts w:ascii="Arial"/>
                <w:i/>
                <w:sz w:val="16"/>
              </w:rPr>
            </w:pPr>
            <w:r>
              <w:rPr>
                <w:rFonts w:ascii="Arial"/>
                <w:i/>
                <w:spacing w:val="-4"/>
                <w:sz w:val="16"/>
              </w:rPr>
              <w:t>RSBP</w:t>
            </w:r>
          </w:p>
        </w:tc>
        <w:tc>
          <w:tcPr>
            <w:tcW w:w="1038" w:type="dxa"/>
            <w:tcBorders>
              <w:top w:val="single" w:sz="8" w:space="0" w:color="000000"/>
              <w:bottom w:val="single" w:sz="8" w:space="0" w:color="000000"/>
            </w:tcBorders>
          </w:tcPr>
          <w:p>
            <w:pPr>
              <w:pStyle w:val="TableParagraph"/>
              <w:spacing w:line="183" w:lineRule="exact" w:before="16"/>
              <w:ind w:left="300"/>
              <w:rPr>
                <w:rFonts w:ascii="Arial"/>
                <w:i/>
                <w:sz w:val="16"/>
              </w:rPr>
            </w:pPr>
            <w:r>
              <w:rPr>
                <w:rFonts w:ascii="Arial"/>
                <w:i/>
                <w:spacing w:val="-4"/>
                <w:sz w:val="16"/>
              </w:rPr>
              <w:t>PEBP</w:t>
            </w:r>
          </w:p>
        </w:tc>
        <w:tc>
          <w:tcPr>
            <w:tcW w:w="1042" w:type="dxa"/>
            <w:tcBorders>
              <w:top w:val="single" w:sz="8" w:space="0" w:color="000000"/>
              <w:bottom w:val="single" w:sz="8" w:space="0" w:color="000000"/>
            </w:tcBorders>
          </w:tcPr>
          <w:p>
            <w:pPr>
              <w:pStyle w:val="TableParagraph"/>
              <w:spacing w:line="183" w:lineRule="exact" w:before="16"/>
              <w:ind w:left="363"/>
              <w:rPr>
                <w:rFonts w:ascii="Arial"/>
                <w:i/>
                <w:sz w:val="16"/>
              </w:rPr>
            </w:pPr>
            <w:r>
              <w:rPr>
                <w:rFonts w:ascii="Arial"/>
                <w:i/>
                <w:spacing w:val="-2"/>
                <w:sz w:val="16"/>
              </w:rPr>
              <w:t>Total</w:t>
            </w:r>
          </w:p>
        </w:tc>
      </w:tr>
      <w:tr>
        <w:trPr>
          <w:trHeight w:val="230" w:hRule="atLeast"/>
        </w:trPr>
        <w:tc>
          <w:tcPr>
            <w:tcW w:w="5130" w:type="dxa"/>
          </w:tcPr>
          <w:p>
            <w:pPr>
              <w:pStyle w:val="TableParagraph"/>
              <w:spacing w:before="16"/>
              <w:ind w:left="52"/>
              <w:rPr>
                <w:sz w:val="16"/>
              </w:rPr>
            </w:pPr>
            <w:r>
              <w:rPr>
                <w:sz w:val="16"/>
              </w:rPr>
              <w:t>Net</w:t>
            </w:r>
            <w:r>
              <w:rPr>
                <w:spacing w:val="-4"/>
                <w:sz w:val="16"/>
              </w:rPr>
              <w:t> </w:t>
            </w:r>
            <w:r>
              <w:rPr>
                <w:sz w:val="16"/>
              </w:rPr>
              <w:t>actuarial</w:t>
            </w:r>
            <w:r>
              <w:rPr>
                <w:spacing w:val="-4"/>
                <w:sz w:val="16"/>
              </w:rPr>
              <w:t> </w:t>
            </w:r>
            <w:r>
              <w:rPr>
                <w:sz w:val="16"/>
              </w:rPr>
              <w:t>(gains)</w:t>
            </w:r>
            <w:r>
              <w:rPr>
                <w:spacing w:val="-3"/>
                <w:sz w:val="16"/>
              </w:rPr>
              <w:t> </w:t>
            </w:r>
            <w:r>
              <w:rPr>
                <w:spacing w:val="-2"/>
                <w:sz w:val="16"/>
              </w:rPr>
              <w:t>losses</w:t>
            </w:r>
          </w:p>
        </w:tc>
        <w:tc>
          <w:tcPr>
            <w:tcW w:w="1054" w:type="dxa"/>
            <w:tcBorders>
              <w:top w:val="single" w:sz="8" w:space="0" w:color="000000"/>
            </w:tcBorders>
          </w:tcPr>
          <w:p>
            <w:pPr>
              <w:pStyle w:val="TableParagraph"/>
              <w:tabs>
                <w:tab w:pos="431" w:val="left" w:leader="none"/>
              </w:tabs>
              <w:spacing w:before="16"/>
              <w:ind w:right="61"/>
              <w:jc w:val="right"/>
              <w:rPr>
                <w:sz w:val="16"/>
              </w:rPr>
            </w:pPr>
            <w:r>
              <w:rPr>
                <w:spacing w:val="-10"/>
                <w:sz w:val="16"/>
              </w:rPr>
              <w:t>$</w:t>
            </w:r>
            <w:r>
              <w:rPr>
                <w:sz w:val="16"/>
              </w:rPr>
              <w:tab/>
            </w:r>
            <w:r>
              <w:rPr>
                <w:spacing w:val="-2"/>
                <w:sz w:val="16"/>
              </w:rPr>
              <w:t>(2,175)</w:t>
            </w:r>
          </w:p>
        </w:tc>
        <w:tc>
          <w:tcPr>
            <w:tcW w:w="1065" w:type="dxa"/>
            <w:tcBorders>
              <w:top w:val="single" w:sz="8" w:space="0" w:color="000000"/>
            </w:tcBorders>
          </w:tcPr>
          <w:p>
            <w:pPr>
              <w:pStyle w:val="TableParagraph"/>
              <w:tabs>
                <w:tab w:pos="431" w:val="left" w:leader="none"/>
              </w:tabs>
              <w:spacing w:before="16"/>
              <w:ind w:right="61"/>
              <w:jc w:val="right"/>
              <w:rPr>
                <w:sz w:val="16"/>
              </w:rPr>
            </w:pPr>
            <w:r>
              <w:rPr>
                <w:spacing w:val="-10"/>
                <w:sz w:val="16"/>
              </w:rPr>
              <w:t>$</w:t>
            </w:r>
            <w:r>
              <w:rPr>
                <w:sz w:val="16"/>
              </w:rPr>
              <w:tab/>
            </w:r>
            <w:r>
              <w:rPr>
                <w:spacing w:val="-2"/>
                <w:sz w:val="16"/>
              </w:rPr>
              <w:t>(1,318)</w:t>
            </w:r>
          </w:p>
        </w:tc>
        <w:tc>
          <w:tcPr>
            <w:tcW w:w="1038" w:type="dxa"/>
            <w:tcBorders>
              <w:top w:val="single" w:sz="8" w:space="0" w:color="000000"/>
            </w:tcBorders>
          </w:tcPr>
          <w:p>
            <w:pPr>
              <w:pStyle w:val="TableParagraph"/>
              <w:tabs>
                <w:tab w:pos="795" w:val="left" w:leader="none"/>
              </w:tabs>
              <w:spacing w:before="16"/>
              <w:ind w:right="88"/>
              <w:jc w:val="right"/>
              <w:rPr>
                <w:sz w:val="16"/>
              </w:rPr>
            </w:pPr>
            <w:r>
              <w:rPr>
                <w:spacing w:val="-10"/>
                <w:sz w:val="16"/>
              </w:rPr>
              <w:t>$</w:t>
            </w:r>
            <w:r>
              <w:rPr>
                <w:sz w:val="16"/>
              </w:rPr>
              <w:tab/>
            </w:r>
            <w:r>
              <w:rPr>
                <w:spacing w:val="-10"/>
                <w:sz w:val="16"/>
              </w:rPr>
              <w:t>3</w:t>
            </w:r>
          </w:p>
        </w:tc>
        <w:tc>
          <w:tcPr>
            <w:tcW w:w="1042" w:type="dxa"/>
            <w:tcBorders>
              <w:top w:val="single" w:sz="8" w:space="0" w:color="000000"/>
            </w:tcBorders>
          </w:tcPr>
          <w:p>
            <w:pPr>
              <w:pStyle w:val="TableParagraph"/>
              <w:tabs>
                <w:tab w:pos="431" w:val="left" w:leader="none"/>
              </w:tabs>
              <w:spacing w:before="16"/>
              <w:ind w:right="11"/>
              <w:jc w:val="right"/>
              <w:rPr>
                <w:sz w:val="16"/>
              </w:rPr>
            </w:pPr>
            <w:r>
              <w:rPr>
                <w:spacing w:val="-10"/>
                <w:sz w:val="16"/>
              </w:rPr>
              <w:t>$</w:t>
            </w:r>
            <w:r>
              <w:rPr>
                <w:sz w:val="16"/>
              </w:rPr>
              <w:tab/>
            </w:r>
            <w:r>
              <w:rPr>
                <w:spacing w:val="-2"/>
                <w:sz w:val="16"/>
              </w:rPr>
              <w:t>(3,490)</w:t>
            </w:r>
          </w:p>
        </w:tc>
      </w:tr>
      <w:tr>
        <w:trPr>
          <w:trHeight w:val="229" w:hRule="atLeast"/>
        </w:trPr>
        <w:tc>
          <w:tcPr>
            <w:tcW w:w="5130" w:type="dxa"/>
          </w:tcPr>
          <w:p>
            <w:pPr>
              <w:pStyle w:val="TableParagraph"/>
              <w:spacing w:line="184" w:lineRule="exact" w:before="25"/>
              <w:ind w:left="52"/>
              <w:rPr>
                <w:sz w:val="16"/>
              </w:rPr>
            </w:pPr>
            <w:r>
              <w:rPr>
                <w:sz w:val="16"/>
              </w:rPr>
              <w:t>Prior</w:t>
            </w:r>
            <w:r>
              <w:rPr>
                <w:spacing w:val="-5"/>
                <w:sz w:val="16"/>
              </w:rPr>
              <w:t> </w:t>
            </w:r>
            <w:r>
              <w:rPr>
                <w:sz w:val="16"/>
              </w:rPr>
              <w:t>service</w:t>
            </w:r>
            <w:r>
              <w:rPr>
                <w:spacing w:val="-2"/>
                <w:sz w:val="16"/>
              </w:rPr>
              <w:t> </w:t>
            </w:r>
            <w:r>
              <w:rPr>
                <w:spacing w:val="-4"/>
                <w:sz w:val="16"/>
              </w:rPr>
              <w:t>cost</w:t>
            </w:r>
          </w:p>
        </w:tc>
        <w:tc>
          <w:tcPr>
            <w:tcW w:w="1054" w:type="dxa"/>
            <w:tcBorders>
              <w:bottom w:val="single" w:sz="8" w:space="0" w:color="000000"/>
            </w:tcBorders>
          </w:tcPr>
          <w:p>
            <w:pPr>
              <w:pStyle w:val="TableParagraph"/>
              <w:spacing w:line="184" w:lineRule="exact" w:before="25"/>
              <w:ind w:right="115"/>
              <w:jc w:val="right"/>
              <w:rPr>
                <w:sz w:val="16"/>
              </w:rPr>
            </w:pPr>
            <w:r>
              <w:rPr>
                <w:spacing w:val="-10"/>
                <w:sz w:val="16"/>
              </w:rPr>
              <w:t>6</w:t>
            </w:r>
          </w:p>
        </w:tc>
        <w:tc>
          <w:tcPr>
            <w:tcW w:w="1065" w:type="dxa"/>
            <w:tcBorders>
              <w:bottom w:val="single" w:sz="8" w:space="0" w:color="000000"/>
            </w:tcBorders>
          </w:tcPr>
          <w:p>
            <w:pPr>
              <w:pStyle w:val="TableParagraph"/>
              <w:spacing w:line="184" w:lineRule="exact" w:before="25"/>
              <w:ind w:right="115"/>
              <w:jc w:val="right"/>
              <w:rPr>
                <w:sz w:val="16"/>
              </w:rPr>
            </w:pPr>
            <w:r>
              <w:rPr>
                <w:spacing w:val="-5"/>
                <w:sz w:val="16"/>
              </w:rPr>
              <w:t>11</w:t>
            </w:r>
          </w:p>
        </w:tc>
        <w:tc>
          <w:tcPr>
            <w:tcW w:w="1038" w:type="dxa"/>
            <w:tcBorders>
              <w:bottom w:val="single" w:sz="8" w:space="0" w:color="000000"/>
            </w:tcBorders>
          </w:tcPr>
          <w:p>
            <w:pPr>
              <w:pStyle w:val="TableParagraph"/>
              <w:spacing w:line="184" w:lineRule="exact" w:before="25"/>
              <w:ind w:right="88"/>
              <w:jc w:val="right"/>
              <w:rPr>
                <w:sz w:val="16"/>
              </w:rPr>
            </w:pPr>
            <w:r>
              <w:rPr>
                <w:spacing w:val="-10"/>
                <w:sz w:val="16"/>
              </w:rPr>
              <w:t>6</w:t>
            </w:r>
          </w:p>
        </w:tc>
        <w:tc>
          <w:tcPr>
            <w:tcW w:w="1042" w:type="dxa"/>
            <w:tcBorders>
              <w:bottom w:val="single" w:sz="8" w:space="0" w:color="000000"/>
            </w:tcBorders>
          </w:tcPr>
          <w:p>
            <w:pPr>
              <w:pStyle w:val="TableParagraph"/>
              <w:spacing w:line="184" w:lineRule="exact" w:before="25"/>
              <w:ind w:right="65"/>
              <w:jc w:val="right"/>
              <w:rPr>
                <w:sz w:val="16"/>
              </w:rPr>
            </w:pPr>
            <w:r>
              <w:rPr>
                <w:spacing w:val="-5"/>
                <w:sz w:val="16"/>
              </w:rPr>
              <w:t>23</w:t>
            </w:r>
          </w:p>
        </w:tc>
      </w:tr>
      <w:tr>
        <w:trPr>
          <w:trHeight w:val="395" w:hRule="atLeast"/>
        </w:trPr>
        <w:tc>
          <w:tcPr>
            <w:tcW w:w="5130" w:type="dxa"/>
          </w:tcPr>
          <w:p>
            <w:pPr>
              <w:pStyle w:val="TableParagraph"/>
              <w:spacing w:line="190" w:lineRule="atLeast"/>
              <w:ind w:left="232" w:right="55"/>
              <w:rPr>
                <w:sz w:val="16"/>
              </w:rPr>
            </w:pPr>
            <w:r>
              <w:rPr>
                <w:sz w:val="16"/>
              </w:rPr>
              <w:t>Net</w:t>
            </w:r>
            <w:r>
              <w:rPr>
                <w:spacing w:val="-11"/>
                <w:sz w:val="16"/>
              </w:rPr>
              <w:t> </w:t>
            </w:r>
            <w:r>
              <w:rPr>
                <w:sz w:val="16"/>
              </w:rPr>
              <w:t>amount</w:t>
            </w:r>
            <w:r>
              <w:rPr>
                <w:spacing w:val="-7"/>
                <w:sz w:val="16"/>
              </w:rPr>
              <w:t> </w:t>
            </w:r>
            <w:r>
              <w:rPr>
                <w:sz w:val="16"/>
              </w:rPr>
              <w:t>recognized</w:t>
            </w:r>
            <w:r>
              <w:rPr>
                <w:spacing w:val="-8"/>
                <w:sz w:val="16"/>
              </w:rPr>
              <w:t> </w:t>
            </w:r>
            <w:r>
              <w:rPr>
                <w:sz w:val="16"/>
              </w:rPr>
              <w:t>in</w:t>
            </w:r>
            <w:r>
              <w:rPr>
                <w:spacing w:val="-12"/>
                <w:sz w:val="16"/>
              </w:rPr>
              <w:t> </w:t>
            </w:r>
            <w:r>
              <w:rPr>
                <w:sz w:val="16"/>
              </w:rPr>
              <w:t>Accumulated</w:t>
            </w:r>
            <w:r>
              <w:rPr>
                <w:spacing w:val="-7"/>
                <w:sz w:val="16"/>
              </w:rPr>
              <w:t> </w:t>
            </w:r>
            <w:r>
              <w:rPr>
                <w:sz w:val="16"/>
              </w:rPr>
              <w:t>Other</w:t>
            </w:r>
            <w:r>
              <w:rPr>
                <w:spacing w:val="-7"/>
                <w:sz w:val="16"/>
              </w:rPr>
              <w:t> </w:t>
            </w:r>
            <w:r>
              <w:rPr>
                <w:sz w:val="16"/>
              </w:rPr>
              <w:t>Comprehensive </w:t>
            </w:r>
            <w:r>
              <w:rPr>
                <w:spacing w:val="-2"/>
                <w:sz w:val="16"/>
              </w:rPr>
              <w:t>Income</w:t>
            </w:r>
          </w:p>
        </w:tc>
        <w:tc>
          <w:tcPr>
            <w:tcW w:w="1054"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431" w:val="left" w:leader="none"/>
              </w:tabs>
              <w:spacing w:line="164" w:lineRule="exact"/>
              <w:ind w:right="61"/>
              <w:jc w:val="right"/>
              <w:rPr>
                <w:sz w:val="16"/>
              </w:rPr>
            </w:pPr>
            <w:r>
              <w:rPr>
                <w:spacing w:val="-10"/>
                <w:sz w:val="16"/>
              </w:rPr>
              <w:t>$</w:t>
            </w:r>
            <w:r>
              <w:rPr>
                <w:sz w:val="16"/>
              </w:rPr>
              <w:tab/>
            </w:r>
            <w:r>
              <w:rPr>
                <w:spacing w:val="-2"/>
                <w:sz w:val="16"/>
              </w:rPr>
              <w:t>(2,169)</w:t>
            </w:r>
          </w:p>
        </w:tc>
        <w:tc>
          <w:tcPr>
            <w:tcW w:w="1065"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431" w:val="left" w:leader="none"/>
              </w:tabs>
              <w:spacing w:line="164" w:lineRule="exact"/>
              <w:ind w:right="61"/>
              <w:jc w:val="right"/>
              <w:rPr>
                <w:sz w:val="16"/>
              </w:rPr>
            </w:pPr>
            <w:r>
              <w:rPr>
                <w:spacing w:val="-10"/>
                <w:sz w:val="16"/>
              </w:rPr>
              <w:t>$</w:t>
            </w:r>
            <w:r>
              <w:rPr>
                <w:sz w:val="16"/>
              </w:rPr>
              <w:tab/>
            </w:r>
            <w:r>
              <w:rPr>
                <w:spacing w:val="-2"/>
                <w:sz w:val="16"/>
              </w:rPr>
              <w:t>(1,307)</w:t>
            </w:r>
          </w:p>
        </w:tc>
        <w:tc>
          <w:tcPr>
            <w:tcW w:w="1038"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795" w:val="left" w:leader="none"/>
              </w:tabs>
              <w:spacing w:line="164" w:lineRule="exact"/>
              <w:ind w:right="88"/>
              <w:jc w:val="right"/>
              <w:rPr>
                <w:sz w:val="16"/>
              </w:rPr>
            </w:pPr>
            <w:r>
              <w:rPr>
                <w:spacing w:val="-10"/>
                <w:sz w:val="16"/>
              </w:rPr>
              <w:t>$</w:t>
            </w:r>
            <w:r>
              <w:rPr>
                <w:sz w:val="16"/>
              </w:rPr>
              <w:tab/>
            </w:r>
            <w:r>
              <w:rPr>
                <w:spacing w:val="-10"/>
                <w:sz w:val="16"/>
              </w:rPr>
              <w:t>9</w:t>
            </w:r>
          </w:p>
        </w:tc>
        <w:tc>
          <w:tcPr>
            <w:tcW w:w="1042"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431" w:val="left" w:leader="none"/>
              </w:tabs>
              <w:spacing w:line="164" w:lineRule="exact"/>
              <w:ind w:right="11"/>
              <w:jc w:val="right"/>
              <w:rPr>
                <w:sz w:val="16"/>
              </w:rPr>
            </w:pPr>
            <w:r>
              <w:rPr>
                <w:spacing w:val="-10"/>
                <w:sz w:val="16"/>
              </w:rPr>
              <w:t>$</w:t>
            </w:r>
            <w:r>
              <w:rPr>
                <w:sz w:val="16"/>
              </w:rPr>
              <w:tab/>
            </w:r>
            <w:r>
              <w:rPr>
                <w:spacing w:val="-2"/>
                <w:sz w:val="16"/>
              </w:rPr>
              <w:t>(3,467)</w:t>
            </w:r>
          </w:p>
        </w:tc>
      </w:tr>
    </w:tbl>
    <w:p>
      <w:pPr>
        <w:pStyle w:val="BodyText"/>
        <w:spacing w:before="4"/>
        <w:rPr>
          <w:rFonts w:ascii="Arial"/>
          <w:i/>
          <w:sz w:val="15"/>
        </w:rPr>
      </w:pPr>
      <w:r>
        <w:rPr>
          <w:rFonts w:ascii="Arial"/>
          <w:i/>
          <w:sz w:val="15"/>
        </w:rPr>
        <mc:AlternateContent>
          <mc:Choice Requires="wps">
            <w:drawing>
              <wp:anchor distT="0" distB="0" distL="0" distR="0" allowOverlap="1" layoutInCell="1" locked="0" behindDoc="1" simplePos="0" relativeHeight="487754240">
                <wp:simplePos x="0" y="0"/>
                <wp:positionH relativeFrom="page">
                  <wp:posOffset>914400</wp:posOffset>
                </wp:positionH>
                <wp:positionV relativeFrom="paragraph">
                  <wp:posOffset>127635</wp:posOffset>
                </wp:positionV>
                <wp:extent cx="5924550" cy="1270"/>
                <wp:effectExtent l="0" t="0" r="0" b="0"/>
                <wp:wrapTopAndBottom/>
                <wp:docPr id="955" name="Graphic 955"/>
                <wp:cNvGraphicFramePr>
                  <a:graphicFrameLocks/>
                </wp:cNvGraphicFramePr>
                <a:graphic>
                  <a:graphicData uri="http://schemas.microsoft.com/office/word/2010/wordprocessingShape">
                    <wps:wsp>
                      <wps:cNvPr id="955" name="Graphic 955"/>
                      <wps:cNvSpPr/>
                      <wps:spPr>
                        <a:xfrm>
                          <a:off x="0" y="0"/>
                          <a:ext cx="5924550" cy="1270"/>
                        </a:xfrm>
                        <a:custGeom>
                          <a:avLst/>
                          <a:gdLst/>
                          <a:ahLst/>
                          <a:cxnLst/>
                          <a:rect l="l" t="t" r="r" b="b"/>
                          <a:pathLst>
                            <a:path w="5924550" h="0">
                              <a:moveTo>
                                <a:pt x="0" y="0"/>
                              </a:moveTo>
                              <a:lnTo>
                                <a:pt x="5924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050pt;width:466.5pt;height:.1pt;mso-position-horizontal-relative:page;mso-position-vertical-relative:paragraph;z-index:-15562240;mso-wrap-distance-left:0;mso-wrap-distance-right:0" id="docshape791" coordorigin="1440,201" coordsize="9330,0" path="m1440,201l10770,201e" filled="false" stroked="true" strokeweight="1pt" strokecolor="#000000">
                <v:path arrowok="t"/>
                <v:stroke dashstyle="solid"/>
                <w10:wrap type="topAndBottom"/>
              </v:shape>
            </w:pict>
          </mc:Fallback>
        </mc:AlternateContent>
      </w:r>
    </w:p>
    <w:p>
      <w:pPr>
        <w:pStyle w:val="Heading8"/>
        <w:spacing w:before="158"/>
        <w:jc w:val="both"/>
      </w:pPr>
      <w:r>
        <w:rPr/>
        <w:t>Table</w:t>
      </w:r>
      <w:r>
        <w:rPr>
          <w:spacing w:val="-6"/>
        </w:rPr>
        <w:t> </w:t>
      </w:r>
      <w:r>
        <w:rPr/>
        <w:t>J4.1:</w:t>
      </w:r>
      <w:r>
        <w:rPr>
          <w:spacing w:val="-3"/>
        </w:rPr>
        <w:t> </w:t>
      </w:r>
      <w:r>
        <w:rPr/>
        <w:t>Amounts</w:t>
      </w:r>
      <w:r>
        <w:rPr>
          <w:spacing w:val="-4"/>
        </w:rPr>
        <w:t> </w:t>
      </w:r>
      <w:r>
        <w:rPr/>
        <w:t>included</w:t>
      </w:r>
      <w:r>
        <w:rPr>
          <w:spacing w:val="-4"/>
        </w:rPr>
        <w:t> </w:t>
      </w:r>
      <w:r>
        <w:rPr/>
        <w:t>in</w:t>
      </w:r>
      <w:r>
        <w:rPr>
          <w:spacing w:val="-4"/>
        </w:rPr>
        <w:t> </w:t>
      </w:r>
      <w:r>
        <w:rPr/>
        <w:t>Accumulated</w:t>
      </w:r>
      <w:r>
        <w:rPr>
          <w:spacing w:val="-4"/>
        </w:rPr>
        <w:t> </w:t>
      </w:r>
      <w:r>
        <w:rPr/>
        <w:t>Other</w:t>
      </w:r>
      <w:r>
        <w:rPr>
          <w:spacing w:val="-4"/>
        </w:rPr>
        <w:t> </w:t>
      </w:r>
      <w:r>
        <w:rPr/>
        <w:t>Comprehensive</w:t>
      </w:r>
      <w:r>
        <w:rPr>
          <w:spacing w:val="-4"/>
        </w:rPr>
        <w:t> </w:t>
      </w:r>
      <w:r>
        <w:rPr/>
        <w:t>Income</w:t>
      </w:r>
      <w:r>
        <w:rPr>
          <w:spacing w:val="-4"/>
        </w:rPr>
        <w:t> </w:t>
      </w:r>
      <w:r>
        <w:rPr/>
        <w:t>as</w:t>
      </w:r>
      <w:r>
        <w:rPr>
          <w:spacing w:val="-4"/>
        </w:rPr>
        <w:t> </w:t>
      </w:r>
      <w:r>
        <w:rPr/>
        <w:t>of</w:t>
      </w:r>
      <w:r>
        <w:rPr>
          <w:spacing w:val="-3"/>
        </w:rPr>
        <w:t> </w:t>
      </w:r>
      <w:r>
        <w:rPr/>
        <w:t>June</w:t>
      </w:r>
      <w:r>
        <w:rPr>
          <w:spacing w:val="-4"/>
        </w:rPr>
        <w:t> </w:t>
      </w:r>
      <w:r>
        <w:rPr/>
        <w:t>30,</w:t>
      </w:r>
      <w:r>
        <w:rPr>
          <w:spacing w:val="-2"/>
        </w:rPr>
        <w:t> </w:t>
      </w:r>
      <w:r>
        <w:rPr>
          <w:spacing w:val="-4"/>
        </w:rPr>
        <w:t>2022</w:t>
      </w:r>
    </w:p>
    <w:p>
      <w:pPr>
        <w:spacing w:before="48" w:after="30"/>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0"/>
        <w:gridCol w:w="1039"/>
        <w:gridCol w:w="1050"/>
        <w:gridCol w:w="1023"/>
        <w:gridCol w:w="1027"/>
      </w:tblGrid>
      <w:tr>
        <w:trPr>
          <w:trHeight w:val="220" w:hRule="atLeast"/>
        </w:trPr>
        <w:tc>
          <w:tcPr>
            <w:tcW w:w="5220" w:type="dxa"/>
            <w:tcBorders>
              <w:top w:val="single" w:sz="8" w:space="0" w:color="000000"/>
            </w:tcBorders>
          </w:tcPr>
          <w:p>
            <w:pPr>
              <w:pStyle w:val="TableParagraph"/>
              <w:rPr>
                <w:rFonts w:ascii="Times New Roman"/>
                <w:sz w:val="14"/>
              </w:rPr>
            </w:pPr>
          </w:p>
        </w:tc>
        <w:tc>
          <w:tcPr>
            <w:tcW w:w="1039" w:type="dxa"/>
            <w:tcBorders>
              <w:top w:val="single" w:sz="8" w:space="0" w:color="000000"/>
              <w:bottom w:val="single" w:sz="8" w:space="0" w:color="000000"/>
            </w:tcBorders>
          </w:tcPr>
          <w:p>
            <w:pPr>
              <w:pStyle w:val="TableParagraph"/>
              <w:spacing w:line="183" w:lineRule="exact" w:before="16"/>
              <w:ind w:left="330"/>
              <w:rPr>
                <w:rFonts w:ascii="Arial"/>
                <w:i/>
                <w:sz w:val="16"/>
              </w:rPr>
            </w:pPr>
            <w:r>
              <w:rPr>
                <w:rFonts w:ascii="Arial"/>
                <w:i/>
                <w:spacing w:val="-5"/>
                <w:sz w:val="16"/>
              </w:rPr>
              <w:t>SRP</w:t>
            </w:r>
          </w:p>
        </w:tc>
        <w:tc>
          <w:tcPr>
            <w:tcW w:w="1050" w:type="dxa"/>
            <w:tcBorders>
              <w:top w:val="single" w:sz="8" w:space="0" w:color="000000"/>
              <w:bottom w:val="single" w:sz="8" w:space="0" w:color="000000"/>
            </w:tcBorders>
          </w:tcPr>
          <w:p>
            <w:pPr>
              <w:pStyle w:val="TableParagraph"/>
              <w:spacing w:line="183" w:lineRule="exact" w:before="16"/>
              <w:ind w:left="288"/>
              <w:rPr>
                <w:rFonts w:ascii="Arial"/>
                <w:i/>
                <w:sz w:val="16"/>
              </w:rPr>
            </w:pPr>
            <w:r>
              <w:rPr>
                <w:rFonts w:ascii="Arial"/>
                <w:i/>
                <w:spacing w:val="-4"/>
                <w:sz w:val="16"/>
              </w:rPr>
              <w:t>RSBP</w:t>
            </w:r>
          </w:p>
        </w:tc>
        <w:tc>
          <w:tcPr>
            <w:tcW w:w="1023" w:type="dxa"/>
            <w:tcBorders>
              <w:top w:val="single" w:sz="8" w:space="0" w:color="000000"/>
              <w:bottom w:val="single" w:sz="8" w:space="0" w:color="000000"/>
            </w:tcBorders>
          </w:tcPr>
          <w:p>
            <w:pPr>
              <w:pStyle w:val="TableParagraph"/>
              <w:spacing w:line="183" w:lineRule="exact" w:before="16"/>
              <w:ind w:left="292"/>
              <w:rPr>
                <w:rFonts w:ascii="Arial"/>
                <w:i/>
                <w:sz w:val="16"/>
              </w:rPr>
            </w:pPr>
            <w:r>
              <w:rPr>
                <w:rFonts w:ascii="Arial"/>
                <w:i/>
                <w:spacing w:val="-4"/>
                <w:sz w:val="16"/>
              </w:rPr>
              <w:t>PEBP</w:t>
            </w:r>
          </w:p>
        </w:tc>
        <w:tc>
          <w:tcPr>
            <w:tcW w:w="1027" w:type="dxa"/>
            <w:tcBorders>
              <w:top w:val="single" w:sz="8" w:space="0" w:color="000000"/>
              <w:bottom w:val="single" w:sz="8" w:space="0" w:color="000000"/>
            </w:tcBorders>
          </w:tcPr>
          <w:p>
            <w:pPr>
              <w:pStyle w:val="TableParagraph"/>
              <w:spacing w:line="183" w:lineRule="exact" w:before="16"/>
              <w:ind w:left="355"/>
              <w:rPr>
                <w:rFonts w:ascii="Arial"/>
                <w:i/>
                <w:sz w:val="16"/>
              </w:rPr>
            </w:pPr>
            <w:r>
              <w:rPr>
                <w:rFonts w:ascii="Arial"/>
                <w:i/>
                <w:spacing w:val="-2"/>
                <w:sz w:val="16"/>
              </w:rPr>
              <w:t>Total</w:t>
            </w:r>
          </w:p>
        </w:tc>
      </w:tr>
      <w:tr>
        <w:trPr>
          <w:trHeight w:val="230" w:hRule="atLeast"/>
        </w:trPr>
        <w:tc>
          <w:tcPr>
            <w:tcW w:w="5220" w:type="dxa"/>
          </w:tcPr>
          <w:p>
            <w:pPr>
              <w:pStyle w:val="TableParagraph"/>
              <w:spacing w:before="16"/>
              <w:ind w:left="52"/>
              <w:rPr>
                <w:sz w:val="16"/>
              </w:rPr>
            </w:pPr>
            <w:r>
              <w:rPr>
                <w:sz w:val="16"/>
              </w:rPr>
              <w:t>Net</w:t>
            </w:r>
            <w:r>
              <w:rPr>
                <w:spacing w:val="-4"/>
                <w:sz w:val="16"/>
              </w:rPr>
              <w:t> </w:t>
            </w:r>
            <w:r>
              <w:rPr>
                <w:sz w:val="16"/>
              </w:rPr>
              <w:t>actuarial</w:t>
            </w:r>
            <w:r>
              <w:rPr>
                <w:spacing w:val="-4"/>
                <w:sz w:val="16"/>
              </w:rPr>
              <w:t> </w:t>
            </w:r>
            <w:r>
              <w:rPr>
                <w:sz w:val="16"/>
              </w:rPr>
              <w:t>(gains)</w:t>
            </w:r>
            <w:r>
              <w:rPr>
                <w:spacing w:val="-3"/>
                <w:sz w:val="16"/>
              </w:rPr>
              <w:t> </w:t>
            </w:r>
            <w:r>
              <w:rPr>
                <w:spacing w:val="-2"/>
                <w:sz w:val="16"/>
              </w:rPr>
              <w:t>losses</w:t>
            </w:r>
          </w:p>
        </w:tc>
        <w:tc>
          <w:tcPr>
            <w:tcW w:w="1039" w:type="dxa"/>
            <w:tcBorders>
              <w:top w:val="single" w:sz="8" w:space="0" w:color="000000"/>
            </w:tcBorders>
          </w:tcPr>
          <w:p>
            <w:pPr>
              <w:pStyle w:val="TableParagraph"/>
              <w:tabs>
                <w:tab w:pos="549" w:val="left" w:leader="none"/>
              </w:tabs>
              <w:spacing w:before="16"/>
              <w:ind w:right="61"/>
              <w:jc w:val="right"/>
              <w:rPr>
                <w:sz w:val="16"/>
              </w:rPr>
            </w:pPr>
            <w:r>
              <w:rPr>
                <w:spacing w:val="-10"/>
                <w:sz w:val="16"/>
              </w:rPr>
              <w:t>$</w:t>
            </w:r>
            <w:r>
              <w:rPr>
                <w:sz w:val="16"/>
              </w:rPr>
              <w:tab/>
            </w:r>
            <w:r>
              <w:rPr>
                <w:spacing w:val="-2"/>
                <w:sz w:val="16"/>
              </w:rPr>
              <w:t>(804)</w:t>
            </w:r>
          </w:p>
        </w:tc>
        <w:tc>
          <w:tcPr>
            <w:tcW w:w="1050" w:type="dxa"/>
            <w:tcBorders>
              <w:top w:val="single" w:sz="8" w:space="0" w:color="000000"/>
            </w:tcBorders>
          </w:tcPr>
          <w:p>
            <w:pPr>
              <w:pStyle w:val="TableParagraph"/>
              <w:tabs>
                <w:tab w:pos="549" w:val="left" w:leader="none"/>
              </w:tabs>
              <w:spacing w:before="16"/>
              <w:ind w:right="61"/>
              <w:jc w:val="right"/>
              <w:rPr>
                <w:sz w:val="16"/>
              </w:rPr>
            </w:pPr>
            <w:r>
              <w:rPr>
                <w:spacing w:val="-10"/>
                <w:sz w:val="16"/>
              </w:rPr>
              <w:t>$</w:t>
            </w:r>
            <w:r>
              <w:rPr>
                <w:sz w:val="16"/>
              </w:rPr>
              <w:tab/>
            </w:r>
            <w:r>
              <w:rPr>
                <w:spacing w:val="-2"/>
                <w:sz w:val="16"/>
              </w:rPr>
              <w:t>(776)</w:t>
            </w:r>
          </w:p>
        </w:tc>
        <w:tc>
          <w:tcPr>
            <w:tcW w:w="1023" w:type="dxa"/>
            <w:tcBorders>
              <w:top w:val="single" w:sz="8" w:space="0" w:color="000000"/>
            </w:tcBorders>
          </w:tcPr>
          <w:p>
            <w:pPr>
              <w:pStyle w:val="TableParagraph"/>
              <w:tabs>
                <w:tab w:pos="602" w:val="left" w:leader="none"/>
              </w:tabs>
              <w:spacing w:before="16"/>
              <w:ind w:right="88"/>
              <w:jc w:val="right"/>
              <w:rPr>
                <w:sz w:val="16"/>
              </w:rPr>
            </w:pPr>
            <w:r>
              <w:rPr>
                <w:spacing w:val="-10"/>
                <w:sz w:val="16"/>
              </w:rPr>
              <w:t>$</w:t>
            </w:r>
            <w:r>
              <w:rPr>
                <w:sz w:val="16"/>
              </w:rPr>
              <w:tab/>
            </w:r>
            <w:r>
              <w:rPr>
                <w:spacing w:val="-5"/>
                <w:sz w:val="16"/>
              </w:rPr>
              <w:t>193</w:t>
            </w:r>
          </w:p>
        </w:tc>
        <w:tc>
          <w:tcPr>
            <w:tcW w:w="1027" w:type="dxa"/>
            <w:tcBorders>
              <w:top w:val="single" w:sz="8" w:space="0" w:color="000000"/>
            </w:tcBorders>
          </w:tcPr>
          <w:p>
            <w:pPr>
              <w:pStyle w:val="TableParagraph"/>
              <w:tabs>
                <w:tab w:pos="416" w:val="left" w:leader="none"/>
              </w:tabs>
              <w:spacing w:before="16"/>
              <w:ind w:right="11"/>
              <w:jc w:val="right"/>
              <w:rPr>
                <w:sz w:val="16"/>
              </w:rPr>
            </w:pPr>
            <w:r>
              <w:rPr>
                <w:spacing w:val="-10"/>
                <w:sz w:val="16"/>
              </w:rPr>
              <w:t>$</w:t>
            </w:r>
            <w:r>
              <w:rPr>
                <w:sz w:val="16"/>
              </w:rPr>
              <w:tab/>
            </w:r>
            <w:r>
              <w:rPr>
                <w:spacing w:val="-2"/>
                <w:sz w:val="16"/>
              </w:rPr>
              <w:t>(1,387)</w:t>
            </w:r>
          </w:p>
        </w:tc>
      </w:tr>
      <w:tr>
        <w:trPr>
          <w:trHeight w:val="229" w:hRule="atLeast"/>
        </w:trPr>
        <w:tc>
          <w:tcPr>
            <w:tcW w:w="5220" w:type="dxa"/>
          </w:tcPr>
          <w:p>
            <w:pPr>
              <w:pStyle w:val="TableParagraph"/>
              <w:spacing w:line="184" w:lineRule="exact" w:before="25"/>
              <w:ind w:left="52"/>
              <w:rPr>
                <w:sz w:val="16"/>
              </w:rPr>
            </w:pPr>
            <w:r>
              <w:rPr>
                <w:sz w:val="16"/>
              </w:rPr>
              <w:t>Prior</w:t>
            </w:r>
            <w:r>
              <w:rPr>
                <w:spacing w:val="-5"/>
                <w:sz w:val="16"/>
              </w:rPr>
              <w:t> </w:t>
            </w:r>
            <w:r>
              <w:rPr>
                <w:sz w:val="16"/>
              </w:rPr>
              <w:t>service</w:t>
            </w:r>
            <w:r>
              <w:rPr>
                <w:spacing w:val="-2"/>
                <w:sz w:val="16"/>
              </w:rPr>
              <w:t> </w:t>
            </w:r>
            <w:r>
              <w:rPr>
                <w:spacing w:val="-4"/>
                <w:sz w:val="16"/>
              </w:rPr>
              <w:t>cost</w:t>
            </w:r>
          </w:p>
        </w:tc>
        <w:tc>
          <w:tcPr>
            <w:tcW w:w="1039" w:type="dxa"/>
            <w:tcBorders>
              <w:bottom w:val="single" w:sz="8" w:space="0" w:color="000000"/>
            </w:tcBorders>
          </w:tcPr>
          <w:p>
            <w:pPr>
              <w:pStyle w:val="TableParagraph"/>
              <w:spacing w:line="184" w:lineRule="exact" w:before="25"/>
              <w:ind w:right="115"/>
              <w:jc w:val="right"/>
              <w:rPr>
                <w:sz w:val="16"/>
              </w:rPr>
            </w:pPr>
            <w:r>
              <w:rPr>
                <w:spacing w:val="-10"/>
                <w:sz w:val="16"/>
              </w:rPr>
              <w:t>9</w:t>
            </w:r>
          </w:p>
        </w:tc>
        <w:tc>
          <w:tcPr>
            <w:tcW w:w="1050" w:type="dxa"/>
            <w:tcBorders>
              <w:bottom w:val="single" w:sz="8" w:space="0" w:color="000000"/>
            </w:tcBorders>
          </w:tcPr>
          <w:p>
            <w:pPr>
              <w:pStyle w:val="TableParagraph"/>
              <w:spacing w:line="184" w:lineRule="exact" w:before="25"/>
              <w:ind w:right="115"/>
              <w:jc w:val="right"/>
              <w:rPr>
                <w:sz w:val="16"/>
              </w:rPr>
            </w:pPr>
            <w:r>
              <w:rPr>
                <w:spacing w:val="-5"/>
                <w:sz w:val="16"/>
              </w:rPr>
              <w:t>25</w:t>
            </w:r>
          </w:p>
        </w:tc>
        <w:tc>
          <w:tcPr>
            <w:tcW w:w="1023" w:type="dxa"/>
            <w:tcBorders>
              <w:bottom w:val="single" w:sz="8" w:space="0" w:color="000000"/>
            </w:tcBorders>
          </w:tcPr>
          <w:p>
            <w:pPr>
              <w:pStyle w:val="TableParagraph"/>
              <w:spacing w:line="184" w:lineRule="exact" w:before="25"/>
              <w:ind w:right="88"/>
              <w:jc w:val="right"/>
              <w:rPr>
                <w:sz w:val="16"/>
              </w:rPr>
            </w:pPr>
            <w:r>
              <w:rPr>
                <w:spacing w:val="-10"/>
                <w:sz w:val="16"/>
              </w:rPr>
              <w:t>9</w:t>
            </w:r>
          </w:p>
        </w:tc>
        <w:tc>
          <w:tcPr>
            <w:tcW w:w="1027" w:type="dxa"/>
            <w:tcBorders>
              <w:bottom w:val="single" w:sz="8" w:space="0" w:color="000000"/>
            </w:tcBorders>
          </w:tcPr>
          <w:p>
            <w:pPr>
              <w:pStyle w:val="TableParagraph"/>
              <w:spacing w:line="184" w:lineRule="exact" w:before="25"/>
              <w:ind w:right="65"/>
              <w:jc w:val="right"/>
              <w:rPr>
                <w:sz w:val="16"/>
              </w:rPr>
            </w:pPr>
            <w:r>
              <w:rPr>
                <w:spacing w:val="-5"/>
                <w:sz w:val="16"/>
              </w:rPr>
              <w:t>43</w:t>
            </w:r>
          </w:p>
        </w:tc>
      </w:tr>
      <w:tr>
        <w:trPr>
          <w:trHeight w:val="395" w:hRule="atLeast"/>
        </w:trPr>
        <w:tc>
          <w:tcPr>
            <w:tcW w:w="5220" w:type="dxa"/>
          </w:tcPr>
          <w:p>
            <w:pPr>
              <w:pStyle w:val="TableParagraph"/>
              <w:spacing w:line="190" w:lineRule="atLeast"/>
              <w:ind w:left="232" w:right="145"/>
              <w:rPr>
                <w:sz w:val="16"/>
              </w:rPr>
            </w:pPr>
            <w:r>
              <w:rPr>
                <w:sz w:val="16"/>
              </w:rPr>
              <w:t>Net</w:t>
            </w:r>
            <w:r>
              <w:rPr>
                <w:spacing w:val="-11"/>
                <w:sz w:val="16"/>
              </w:rPr>
              <w:t> </w:t>
            </w:r>
            <w:r>
              <w:rPr>
                <w:sz w:val="16"/>
              </w:rPr>
              <w:t>amount</w:t>
            </w:r>
            <w:r>
              <w:rPr>
                <w:spacing w:val="-7"/>
                <w:sz w:val="16"/>
              </w:rPr>
              <w:t> </w:t>
            </w:r>
            <w:r>
              <w:rPr>
                <w:sz w:val="16"/>
              </w:rPr>
              <w:t>recognized</w:t>
            </w:r>
            <w:r>
              <w:rPr>
                <w:spacing w:val="-8"/>
                <w:sz w:val="16"/>
              </w:rPr>
              <w:t> </w:t>
            </w:r>
            <w:r>
              <w:rPr>
                <w:sz w:val="16"/>
              </w:rPr>
              <w:t>in</w:t>
            </w:r>
            <w:r>
              <w:rPr>
                <w:spacing w:val="-12"/>
                <w:sz w:val="16"/>
              </w:rPr>
              <w:t> </w:t>
            </w:r>
            <w:r>
              <w:rPr>
                <w:sz w:val="16"/>
              </w:rPr>
              <w:t>Accumulated</w:t>
            </w:r>
            <w:r>
              <w:rPr>
                <w:spacing w:val="-7"/>
                <w:sz w:val="16"/>
              </w:rPr>
              <w:t> </w:t>
            </w:r>
            <w:r>
              <w:rPr>
                <w:sz w:val="16"/>
              </w:rPr>
              <w:t>Other</w:t>
            </w:r>
            <w:r>
              <w:rPr>
                <w:spacing w:val="-7"/>
                <w:sz w:val="16"/>
              </w:rPr>
              <w:t> </w:t>
            </w:r>
            <w:r>
              <w:rPr>
                <w:sz w:val="16"/>
              </w:rPr>
              <w:t>Comprehensive </w:t>
            </w:r>
            <w:r>
              <w:rPr>
                <w:spacing w:val="-2"/>
                <w:sz w:val="16"/>
              </w:rPr>
              <w:t>Income</w:t>
            </w:r>
          </w:p>
        </w:tc>
        <w:tc>
          <w:tcPr>
            <w:tcW w:w="1039"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549" w:val="left" w:leader="none"/>
              </w:tabs>
              <w:spacing w:line="164" w:lineRule="exact"/>
              <w:ind w:right="61"/>
              <w:jc w:val="right"/>
              <w:rPr>
                <w:sz w:val="16"/>
              </w:rPr>
            </w:pPr>
            <w:r>
              <w:rPr>
                <w:spacing w:val="-10"/>
                <w:sz w:val="16"/>
              </w:rPr>
              <w:t>$</w:t>
            </w:r>
            <w:r>
              <w:rPr>
                <w:sz w:val="16"/>
              </w:rPr>
              <w:tab/>
            </w:r>
            <w:r>
              <w:rPr>
                <w:spacing w:val="-2"/>
                <w:sz w:val="16"/>
              </w:rPr>
              <w:t>(795)</w:t>
            </w:r>
          </w:p>
        </w:tc>
        <w:tc>
          <w:tcPr>
            <w:tcW w:w="1050"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549" w:val="left" w:leader="none"/>
              </w:tabs>
              <w:spacing w:line="164" w:lineRule="exact"/>
              <w:ind w:right="61"/>
              <w:jc w:val="right"/>
              <w:rPr>
                <w:sz w:val="16"/>
              </w:rPr>
            </w:pPr>
            <w:r>
              <w:rPr>
                <w:spacing w:val="-10"/>
                <w:sz w:val="16"/>
              </w:rPr>
              <w:t>$</w:t>
            </w:r>
            <w:r>
              <w:rPr>
                <w:sz w:val="16"/>
              </w:rPr>
              <w:tab/>
            </w:r>
            <w:r>
              <w:rPr>
                <w:spacing w:val="-2"/>
                <w:sz w:val="16"/>
              </w:rPr>
              <w:t>(751)</w:t>
            </w:r>
          </w:p>
        </w:tc>
        <w:tc>
          <w:tcPr>
            <w:tcW w:w="1023"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602" w:val="left" w:leader="none"/>
              </w:tabs>
              <w:spacing w:line="164" w:lineRule="exact"/>
              <w:ind w:right="88"/>
              <w:jc w:val="right"/>
              <w:rPr>
                <w:sz w:val="16"/>
              </w:rPr>
            </w:pPr>
            <w:r>
              <w:rPr>
                <w:spacing w:val="-10"/>
                <w:sz w:val="16"/>
              </w:rPr>
              <w:t>$</w:t>
            </w:r>
            <w:r>
              <w:rPr>
                <w:sz w:val="16"/>
              </w:rPr>
              <w:tab/>
            </w:r>
            <w:r>
              <w:rPr>
                <w:spacing w:val="-5"/>
                <w:sz w:val="16"/>
              </w:rPr>
              <w:t>202</w:t>
            </w:r>
          </w:p>
        </w:tc>
        <w:tc>
          <w:tcPr>
            <w:tcW w:w="1027" w:type="dxa"/>
            <w:tcBorders>
              <w:top w:val="single" w:sz="8" w:space="0" w:color="000000"/>
              <w:bottom w:val="double" w:sz="8" w:space="0" w:color="000000"/>
            </w:tcBorders>
          </w:tcPr>
          <w:p>
            <w:pPr>
              <w:pStyle w:val="TableParagraph"/>
              <w:spacing w:before="27"/>
              <w:rPr>
                <w:rFonts w:ascii="Arial"/>
                <w:i/>
                <w:sz w:val="16"/>
              </w:rPr>
            </w:pPr>
          </w:p>
          <w:p>
            <w:pPr>
              <w:pStyle w:val="TableParagraph"/>
              <w:tabs>
                <w:tab w:pos="416" w:val="left" w:leader="none"/>
              </w:tabs>
              <w:spacing w:line="164" w:lineRule="exact"/>
              <w:ind w:right="11"/>
              <w:jc w:val="right"/>
              <w:rPr>
                <w:sz w:val="16"/>
              </w:rPr>
            </w:pPr>
            <w:r>
              <w:rPr>
                <w:spacing w:val="-10"/>
                <w:sz w:val="16"/>
              </w:rPr>
              <w:t>$</w:t>
            </w:r>
            <w:r>
              <w:rPr>
                <w:sz w:val="16"/>
              </w:rPr>
              <w:tab/>
            </w:r>
            <w:r>
              <w:rPr>
                <w:spacing w:val="-2"/>
                <w:sz w:val="16"/>
              </w:rPr>
              <w:t>(1,344)</w:t>
            </w:r>
          </w:p>
        </w:tc>
      </w:tr>
    </w:tbl>
    <w:p>
      <w:pPr>
        <w:pStyle w:val="BodyText"/>
        <w:spacing w:before="4"/>
        <w:rPr>
          <w:rFonts w:ascii="Arial"/>
          <w:i/>
          <w:sz w:val="15"/>
        </w:rPr>
      </w:pPr>
      <w:r>
        <w:rPr>
          <w:rFonts w:ascii="Arial"/>
          <w:i/>
          <w:sz w:val="15"/>
        </w:rPr>
        <mc:AlternateContent>
          <mc:Choice Requires="wps">
            <w:drawing>
              <wp:anchor distT="0" distB="0" distL="0" distR="0" allowOverlap="1" layoutInCell="1" locked="0" behindDoc="1" simplePos="0" relativeHeight="487754752">
                <wp:simplePos x="0" y="0"/>
                <wp:positionH relativeFrom="page">
                  <wp:posOffset>914400</wp:posOffset>
                </wp:positionH>
                <wp:positionV relativeFrom="paragraph">
                  <wp:posOffset>127308</wp:posOffset>
                </wp:positionV>
                <wp:extent cx="5943600" cy="1270"/>
                <wp:effectExtent l="0" t="0" r="0" b="0"/>
                <wp:wrapTopAndBottom/>
                <wp:docPr id="956" name="Graphic 956"/>
                <wp:cNvGraphicFramePr>
                  <a:graphicFrameLocks/>
                </wp:cNvGraphicFramePr>
                <a:graphic>
                  <a:graphicData uri="http://schemas.microsoft.com/office/word/2010/wordprocessingShape">
                    <wps:wsp>
                      <wps:cNvPr id="956" name="Graphic 95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024267pt;width:468pt;height:.1pt;mso-position-horizontal-relative:page;mso-position-vertical-relative:paragraph;z-index:-15561728;mso-wrap-distance-left:0;mso-wrap-distance-right:0" id="docshape792" coordorigin="1440,200" coordsize="9360,0" path="m1440,200l10800,200e" filled="false" stroked="true" strokeweight="1pt" strokecolor="#000000">
                <v:path arrowok="t"/>
                <v:stroke dashstyle="solid"/>
                <w10:wrap type="topAndBottom"/>
              </v:shape>
            </w:pict>
          </mc:Fallback>
        </mc:AlternateContent>
      </w:r>
    </w:p>
    <w:p>
      <w:pPr>
        <w:pStyle w:val="BodyText"/>
        <w:spacing w:after="0"/>
        <w:rPr>
          <w:rFonts w:ascii="Arial"/>
          <w:i/>
          <w:sz w:val="15"/>
        </w:rPr>
        <w:sectPr>
          <w:headerReference w:type="even" r:id="rId193"/>
          <w:footerReference w:type="even" r:id="rId194"/>
          <w:footerReference w:type="default" r:id="rId195"/>
          <w:pgSz w:w="12240" w:h="15840"/>
          <w:pgMar w:header="0" w:footer="528" w:top="960" w:bottom="720" w:left="720" w:right="720"/>
          <w:pgNumType w:start="122"/>
        </w:sectPr>
      </w:pPr>
    </w:p>
    <w:p>
      <w:pPr>
        <w:pStyle w:val="Heading5"/>
        <w:jc w:val="left"/>
      </w:pPr>
      <w:r>
        <w:rPr>
          <w:spacing w:val="-2"/>
        </w:rPr>
        <w:t>Assumptions</w:t>
      </w:r>
    </w:p>
    <w:p>
      <w:pPr>
        <w:pStyle w:val="BodyText"/>
        <w:spacing w:line="249" w:lineRule="auto" w:before="140"/>
        <w:ind w:left="720" w:right="720"/>
        <w:jc w:val="both"/>
      </w:pPr>
      <w:r>
        <w:rPr/>
        <w:t>The actuarial assumptions used are based on financial market interest rates, inflation expectations, past experience, and Management’s best estimate of future benefit changes and economic conditions. Changes in these assumptions will impact future benefit costs and obligations.</w:t>
      </w:r>
    </w:p>
    <w:p>
      <w:pPr>
        <w:pStyle w:val="BodyText"/>
        <w:spacing w:line="249" w:lineRule="auto" w:before="122"/>
        <w:ind w:left="720" w:right="719"/>
        <w:jc w:val="both"/>
      </w:pPr>
      <w:r>
        <w:rPr/>
        <w:t>The expected long-term rate of return for the SRP assets is a weighted average of the expected long-term (10 years</w:t>
      </w:r>
      <w:r>
        <w:rPr>
          <w:spacing w:val="40"/>
        </w:rPr>
        <w:t> </w:t>
      </w:r>
      <w:r>
        <w:rPr/>
        <w:t>or more) returns for the various asset classes, weighted by the portfolio allocation. Asset class returns are developed using a forward-looking building block approach and are not strictly based on historical returns. Equity returns are generally developed as the sum of expected inflation, expected real earnings growth and expected long-term dividend yield. Bond returns are generally developed as the sum of expected inflation, real bond yield, duration-adjusted change in yields and risk premium/spread (as appropriate). Other asset class returns are derived from their relationship to equity and bond markets. The expected long-term rate of return for the RSBP is computed using procedures</w:t>
      </w:r>
      <w:r>
        <w:rPr>
          <w:spacing w:val="-1"/>
        </w:rPr>
        <w:t> </w:t>
      </w:r>
      <w:r>
        <w:rPr/>
        <w:t>similar</w:t>
      </w:r>
      <w:r>
        <w:rPr>
          <w:spacing w:val="-1"/>
        </w:rPr>
        <w:t> </w:t>
      </w:r>
      <w:r>
        <w:rPr/>
        <w:t>to</w:t>
      </w:r>
      <w:r>
        <w:rPr>
          <w:spacing w:val="-1"/>
        </w:rPr>
        <w:t> </w:t>
      </w:r>
      <w:r>
        <w:rPr/>
        <w:t>those</w:t>
      </w:r>
      <w:r>
        <w:rPr>
          <w:spacing w:val="-1"/>
        </w:rPr>
        <w:t> </w:t>
      </w:r>
      <w:r>
        <w:rPr/>
        <w:t>used</w:t>
      </w:r>
      <w:r>
        <w:rPr>
          <w:spacing w:val="-1"/>
        </w:rPr>
        <w:t> </w:t>
      </w:r>
      <w:r>
        <w:rPr/>
        <w:t>for</w:t>
      </w:r>
      <w:r>
        <w:rPr>
          <w:spacing w:val="-1"/>
        </w:rPr>
        <w:t> </w:t>
      </w:r>
      <w:r>
        <w:rPr/>
        <w:t>the</w:t>
      </w:r>
      <w:r>
        <w:rPr>
          <w:spacing w:val="-1"/>
        </w:rPr>
        <w:t> </w:t>
      </w:r>
      <w:r>
        <w:rPr/>
        <w:t>SRP.</w:t>
      </w:r>
      <w:r>
        <w:rPr>
          <w:spacing w:val="-1"/>
        </w:rPr>
        <w:t> </w:t>
      </w:r>
      <w:r>
        <w:rPr/>
        <w:t>The</w:t>
      </w:r>
      <w:r>
        <w:rPr>
          <w:spacing w:val="-1"/>
        </w:rPr>
        <w:t> </w:t>
      </w:r>
      <w:r>
        <w:rPr/>
        <w:t>discount</w:t>
      </w:r>
      <w:r>
        <w:rPr>
          <w:spacing w:val="-1"/>
        </w:rPr>
        <w:t> </w:t>
      </w:r>
      <w:r>
        <w:rPr/>
        <w:t>rate</w:t>
      </w:r>
      <w:r>
        <w:rPr>
          <w:spacing w:val="-1"/>
        </w:rPr>
        <w:t> </w:t>
      </w:r>
      <w:r>
        <w:rPr/>
        <w:t>used</w:t>
      </w:r>
      <w:r>
        <w:rPr>
          <w:spacing w:val="-1"/>
        </w:rPr>
        <w:t> </w:t>
      </w:r>
      <w:r>
        <w:rPr/>
        <w:t>in</w:t>
      </w:r>
      <w:r>
        <w:rPr>
          <w:spacing w:val="-1"/>
        </w:rPr>
        <w:t> </w:t>
      </w:r>
      <w:r>
        <w:rPr/>
        <w:t>determining</w:t>
      </w:r>
      <w:r>
        <w:rPr>
          <w:spacing w:val="-1"/>
        </w:rPr>
        <w:t> </w:t>
      </w:r>
      <w:r>
        <w:rPr/>
        <w:t>the</w:t>
      </w:r>
      <w:r>
        <w:rPr>
          <w:spacing w:val="-1"/>
        </w:rPr>
        <w:t> </w:t>
      </w:r>
      <w:r>
        <w:rPr/>
        <w:t>benefit</w:t>
      </w:r>
      <w:r>
        <w:rPr>
          <w:spacing w:val="-1"/>
        </w:rPr>
        <w:t> </w:t>
      </w:r>
      <w:r>
        <w:rPr/>
        <w:t>obligation</w:t>
      </w:r>
      <w:r>
        <w:rPr>
          <w:spacing w:val="-1"/>
        </w:rPr>
        <w:t> </w:t>
      </w:r>
      <w:r>
        <w:rPr/>
        <w:t>is</w:t>
      </w:r>
      <w:r>
        <w:rPr>
          <w:spacing w:val="-1"/>
        </w:rPr>
        <w:t> </w:t>
      </w:r>
      <w:r>
        <w:rPr/>
        <w:t>selected by reference to the year-end yield of AA corporate bonds.</w:t>
      </w:r>
    </w:p>
    <w:p>
      <w:pPr>
        <w:pStyle w:val="BodyText"/>
        <w:spacing w:line="249" w:lineRule="auto" w:before="127"/>
        <w:ind w:left="720" w:right="719"/>
        <w:jc w:val="both"/>
      </w:pPr>
      <w:r>
        <w:rPr/>
        <w:t>Actuarial gains and losses occur when actual results are different from expected results. Amortization of these unrecognized gains and losses will be included in income if, at the beginning of the fiscal year, they exceed 10 percent of the greater of the projected benefit obligation or the market-related value of plan assets. If required, the unrecognized gains and losses are amortized over the expected average remaining service lives of the employee </w:t>
      </w:r>
      <w:r>
        <w:rPr>
          <w:spacing w:val="-2"/>
        </w:rPr>
        <w:t>group.</w:t>
      </w:r>
    </w:p>
    <w:p>
      <w:pPr>
        <w:pStyle w:val="BodyText"/>
        <w:spacing w:line="249" w:lineRule="auto" w:before="125"/>
        <w:ind w:left="720" w:right="720"/>
        <w:jc w:val="both"/>
      </w:pPr>
      <w:r>
        <w:rPr/>
        <w:t>The</w:t>
      </w:r>
      <w:r>
        <w:rPr>
          <w:spacing w:val="-3"/>
        </w:rPr>
        <w:t> </w:t>
      </w:r>
      <w:r>
        <w:rPr/>
        <w:t>following</w:t>
      </w:r>
      <w:r>
        <w:rPr>
          <w:spacing w:val="-3"/>
        </w:rPr>
        <w:t> </w:t>
      </w:r>
      <w:r>
        <w:rPr/>
        <w:t>tables</w:t>
      </w:r>
      <w:r>
        <w:rPr>
          <w:spacing w:val="-3"/>
        </w:rPr>
        <w:t> </w:t>
      </w:r>
      <w:r>
        <w:rPr/>
        <w:t>present</w:t>
      </w:r>
      <w:r>
        <w:rPr>
          <w:spacing w:val="-3"/>
        </w:rPr>
        <w:t> </w:t>
      </w:r>
      <w:r>
        <w:rPr/>
        <w:t>the</w:t>
      </w:r>
      <w:r>
        <w:rPr>
          <w:spacing w:val="-3"/>
        </w:rPr>
        <w:t> </w:t>
      </w:r>
      <w:r>
        <w:rPr/>
        <w:t>weighted-average</w:t>
      </w:r>
      <w:r>
        <w:rPr>
          <w:spacing w:val="-3"/>
        </w:rPr>
        <w:t> </w:t>
      </w:r>
      <w:r>
        <w:rPr/>
        <w:t>assumptions</w:t>
      </w:r>
      <w:r>
        <w:rPr>
          <w:spacing w:val="-3"/>
        </w:rPr>
        <w:t> </w:t>
      </w:r>
      <w:r>
        <w:rPr/>
        <w:t>used</w:t>
      </w:r>
      <w:r>
        <w:rPr>
          <w:spacing w:val="-3"/>
        </w:rPr>
        <w:t> </w:t>
      </w:r>
      <w:r>
        <w:rPr/>
        <w:t>in</w:t>
      </w:r>
      <w:r>
        <w:rPr>
          <w:spacing w:val="-3"/>
        </w:rPr>
        <w:t> </w:t>
      </w:r>
      <w:r>
        <w:rPr/>
        <w:t>determining</w:t>
      </w:r>
      <w:r>
        <w:rPr>
          <w:spacing w:val="-3"/>
        </w:rPr>
        <w:t> </w:t>
      </w:r>
      <w:r>
        <w:rPr/>
        <w:t>the</w:t>
      </w:r>
      <w:r>
        <w:rPr>
          <w:spacing w:val="-3"/>
        </w:rPr>
        <w:t> </w:t>
      </w:r>
      <w:r>
        <w:rPr/>
        <w:t>projected</w:t>
      </w:r>
      <w:r>
        <w:rPr>
          <w:spacing w:val="-3"/>
        </w:rPr>
        <w:t> </w:t>
      </w:r>
      <w:r>
        <w:rPr/>
        <w:t>benefit</w:t>
      </w:r>
      <w:r>
        <w:rPr>
          <w:spacing w:val="-3"/>
        </w:rPr>
        <w:t> </w:t>
      </w:r>
      <w:r>
        <w:rPr/>
        <w:t>obligations and the net periodic pension costs:</w:t>
      </w:r>
    </w:p>
    <w:p>
      <w:pPr>
        <w:pStyle w:val="Heading8"/>
      </w:pPr>
      <w:r>
        <w:rPr/>
        <w:t>Table</w:t>
      </w:r>
      <w:r>
        <w:rPr>
          <w:spacing w:val="-7"/>
        </w:rPr>
        <w:t> </w:t>
      </w:r>
      <w:r>
        <w:rPr/>
        <w:t>J5:</w:t>
      </w:r>
      <w:r>
        <w:rPr>
          <w:spacing w:val="-3"/>
        </w:rPr>
        <w:t> </w:t>
      </w:r>
      <w:r>
        <w:rPr/>
        <w:t>Weighted</w:t>
      </w:r>
      <w:r>
        <w:rPr>
          <w:spacing w:val="-5"/>
        </w:rPr>
        <w:t> </w:t>
      </w:r>
      <w:r>
        <w:rPr/>
        <w:t>average</w:t>
      </w:r>
      <w:r>
        <w:rPr>
          <w:spacing w:val="-4"/>
        </w:rPr>
        <w:t> </w:t>
      </w:r>
      <w:r>
        <w:rPr/>
        <w:t>assumptions</w:t>
      </w:r>
      <w:r>
        <w:rPr>
          <w:spacing w:val="-4"/>
        </w:rPr>
        <w:t> </w:t>
      </w:r>
      <w:r>
        <w:rPr/>
        <w:t>used</w:t>
      </w:r>
      <w:r>
        <w:rPr>
          <w:spacing w:val="-5"/>
        </w:rPr>
        <w:t> </w:t>
      </w:r>
      <w:r>
        <w:rPr/>
        <w:t>to</w:t>
      </w:r>
      <w:r>
        <w:rPr>
          <w:spacing w:val="-3"/>
        </w:rPr>
        <w:t> </w:t>
      </w:r>
      <w:r>
        <w:rPr/>
        <w:t>determine</w:t>
      </w:r>
      <w:r>
        <w:rPr>
          <w:spacing w:val="-5"/>
        </w:rPr>
        <w:t> </w:t>
      </w:r>
      <w:r>
        <w:rPr/>
        <w:t>projected</w:t>
      </w:r>
      <w:r>
        <w:rPr>
          <w:spacing w:val="-4"/>
        </w:rPr>
        <w:t> </w:t>
      </w:r>
      <w:r>
        <w:rPr/>
        <w:t>benefit</w:t>
      </w:r>
      <w:r>
        <w:rPr>
          <w:spacing w:val="-3"/>
        </w:rPr>
        <w:t> </w:t>
      </w:r>
      <w:r>
        <w:rPr>
          <w:spacing w:val="-2"/>
        </w:rPr>
        <w:t>obligations</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755264">
                <wp:simplePos x="0" y="0"/>
                <wp:positionH relativeFrom="page">
                  <wp:posOffset>914400</wp:posOffset>
                </wp:positionH>
                <wp:positionV relativeFrom="paragraph">
                  <wp:posOffset>191533</wp:posOffset>
                </wp:positionV>
                <wp:extent cx="5943600" cy="1270"/>
                <wp:effectExtent l="0" t="0" r="0" b="0"/>
                <wp:wrapTopAndBottom/>
                <wp:docPr id="957" name="Graphic 957"/>
                <wp:cNvGraphicFramePr>
                  <a:graphicFrameLocks/>
                </wp:cNvGraphicFramePr>
                <a:graphic>
                  <a:graphicData uri="http://schemas.microsoft.com/office/word/2010/wordprocessingShape">
                    <wps:wsp>
                      <wps:cNvPr id="957" name="Graphic 95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81358pt;width:468pt;height:.1pt;mso-position-horizontal-relative:page;mso-position-vertical-relative:paragraph;z-index:-15561216;mso-wrap-distance-left:0;mso-wrap-distance-right:0" id="docshape793"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4"/>
          <w:sz w:val="16"/>
        </w:rPr>
        <w:t> </w:t>
      </w:r>
      <w:r>
        <w:rPr>
          <w:rFonts w:ascii="Arial"/>
          <w:i/>
          <w:sz w:val="16"/>
        </w:rPr>
        <w:t>percent,</w:t>
      </w:r>
      <w:r>
        <w:rPr>
          <w:rFonts w:ascii="Arial"/>
          <w:i/>
          <w:spacing w:val="-2"/>
          <w:sz w:val="16"/>
        </w:rPr>
        <w:t> </w:t>
      </w:r>
      <w:r>
        <w:rPr>
          <w:rFonts w:ascii="Arial"/>
          <w:i/>
          <w:sz w:val="16"/>
        </w:rPr>
        <w:t>except</w:t>
      </w:r>
      <w:r>
        <w:rPr>
          <w:rFonts w:ascii="Arial"/>
          <w:i/>
          <w:spacing w:val="-2"/>
          <w:sz w:val="16"/>
        </w:rPr>
        <w:t> years</w:t>
      </w:r>
    </w:p>
    <w:p>
      <w:pPr>
        <w:tabs>
          <w:tab w:pos="6757" w:val="left" w:leader="none"/>
          <w:tab w:pos="8921" w:val="left" w:leader="none"/>
        </w:tabs>
        <w:spacing w:before="16" w:after="30"/>
        <w:ind w:left="4785" w:right="0" w:firstLine="0"/>
        <w:jc w:val="left"/>
        <w:rPr>
          <w:rFonts w:ascii="Arial"/>
          <w:i/>
          <w:sz w:val="16"/>
        </w:rPr>
      </w:pPr>
      <w:r>
        <w:rPr>
          <w:rFonts w:ascii="Arial"/>
          <w:i/>
          <w:spacing w:val="-5"/>
          <w:sz w:val="16"/>
        </w:rPr>
        <w:t>SRP</w:t>
      </w:r>
      <w:r>
        <w:rPr>
          <w:rFonts w:ascii="Arial"/>
          <w:i/>
          <w:sz w:val="16"/>
        </w:rPr>
        <w:tab/>
      </w:r>
      <w:r>
        <w:rPr>
          <w:rFonts w:ascii="Arial"/>
          <w:i/>
          <w:spacing w:val="-4"/>
          <w:sz w:val="16"/>
        </w:rPr>
        <w:t>RSBP</w:t>
      </w:r>
      <w:r>
        <w:rPr>
          <w:rFonts w:ascii="Arial"/>
          <w:i/>
          <w:sz w:val="16"/>
        </w:rPr>
        <w:tab/>
      </w:r>
      <w:r>
        <w:rPr>
          <w:rFonts w:ascii="Arial"/>
          <w:i/>
          <w:spacing w:val="-4"/>
          <w:sz w:val="16"/>
        </w:rPr>
        <w:t>PEBP</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0"/>
        <w:gridCol w:w="898"/>
        <w:gridCol w:w="723"/>
        <w:gridCol w:w="361"/>
        <w:gridCol w:w="1007"/>
        <w:gridCol w:w="704"/>
        <w:gridCol w:w="360"/>
        <w:gridCol w:w="1100"/>
        <w:gridCol w:w="790"/>
      </w:tblGrid>
      <w:tr>
        <w:trPr>
          <w:trHeight w:val="220" w:hRule="atLeast"/>
        </w:trPr>
        <w:tc>
          <w:tcPr>
            <w:tcW w:w="4318" w:type="dxa"/>
            <w:gridSpan w:val="2"/>
            <w:tcBorders>
              <w:top w:val="single" w:sz="8" w:space="0" w:color="000000"/>
            </w:tcBorders>
          </w:tcPr>
          <w:p>
            <w:pPr>
              <w:pStyle w:val="TableParagraph"/>
              <w:spacing w:line="183" w:lineRule="exact" w:before="16"/>
              <w:ind w:right="313"/>
              <w:jc w:val="right"/>
              <w:rPr>
                <w:rFonts w:ascii="Arial"/>
                <w:i/>
                <w:sz w:val="16"/>
              </w:rPr>
            </w:pPr>
            <w:r>
              <w:rPr>
                <w:rFonts w:ascii="Arial"/>
                <w:i/>
                <w:spacing w:val="-4"/>
                <w:sz w:val="16"/>
              </w:rPr>
              <w:t>2023</w:t>
            </w:r>
          </w:p>
        </w:tc>
        <w:tc>
          <w:tcPr>
            <w:tcW w:w="723" w:type="dxa"/>
            <w:tcBorders>
              <w:top w:val="single" w:sz="8" w:space="0" w:color="000000"/>
              <w:bottom w:val="single" w:sz="8" w:space="0" w:color="000000"/>
            </w:tcBorders>
          </w:tcPr>
          <w:p>
            <w:pPr>
              <w:pStyle w:val="TableParagraph"/>
              <w:spacing w:line="183" w:lineRule="exact" w:before="16"/>
              <w:ind w:left="139"/>
              <w:rPr>
                <w:rFonts w:ascii="Arial"/>
                <w:i/>
                <w:sz w:val="16"/>
              </w:rPr>
            </w:pPr>
            <w:r>
              <w:rPr>
                <w:rFonts w:ascii="Arial"/>
                <w:i/>
                <w:spacing w:val="-4"/>
                <w:sz w:val="16"/>
              </w:rPr>
              <w:t>2022</w:t>
            </w:r>
          </w:p>
        </w:tc>
        <w:tc>
          <w:tcPr>
            <w:tcW w:w="361" w:type="dxa"/>
          </w:tcPr>
          <w:p>
            <w:pPr>
              <w:pStyle w:val="TableParagraph"/>
              <w:rPr>
                <w:rFonts w:ascii="Times New Roman"/>
                <w:sz w:val="14"/>
              </w:rPr>
            </w:pPr>
          </w:p>
        </w:tc>
        <w:tc>
          <w:tcPr>
            <w:tcW w:w="1007" w:type="dxa"/>
            <w:tcBorders>
              <w:top w:val="single" w:sz="8" w:space="0" w:color="000000"/>
              <w:bottom w:val="single" w:sz="8" w:space="0" w:color="000000"/>
            </w:tcBorders>
          </w:tcPr>
          <w:p>
            <w:pPr>
              <w:pStyle w:val="TableParagraph"/>
              <w:spacing w:line="183" w:lineRule="exact" w:before="16"/>
              <w:ind w:left="270"/>
              <w:rPr>
                <w:rFonts w:ascii="Arial"/>
                <w:i/>
                <w:sz w:val="16"/>
              </w:rPr>
            </w:pPr>
            <w:r>
              <w:rPr>
                <w:rFonts w:ascii="Arial"/>
                <w:i/>
                <w:spacing w:val="-4"/>
                <w:sz w:val="16"/>
              </w:rPr>
              <w:t>2023</w:t>
            </w:r>
          </w:p>
        </w:tc>
        <w:tc>
          <w:tcPr>
            <w:tcW w:w="704" w:type="dxa"/>
            <w:tcBorders>
              <w:top w:val="single" w:sz="8" w:space="0" w:color="000000"/>
              <w:bottom w:val="single" w:sz="8" w:space="0" w:color="000000"/>
            </w:tcBorders>
          </w:tcPr>
          <w:p>
            <w:pPr>
              <w:pStyle w:val="TableParagraph"/>
              <w:spacing w:line="183" w:lineRule="exact" w:before="16"/>
              <w:ind w:left="118"/>
              <w:rPr>
                <w:rFonts w:ascii="Arial"/>
                <w:i/>
                <w:sz w:val="16"/>
              </w:rPr>
            </w:pPr>
            <w:r>
              <w:rPr>
                <w:rFonts w:ascii="Arial"/>
                <w:i/>
                <w:spacing w:val="-4"/>
                <w:sz w:val="16"/>
              </w:rPr>
              <w:t>2022</w:t>
            </w:r>
          </w:p>
        </w:tc>
        <w:tc>
          <w:tcPr>
            <w:tcW w:w="360" w:type="dxa"/>
          </w:tcPr>
          <w:p>
            <w:pPr>
              <w:pStyle w:val="TableParagraph"/>
              <w:rPr>
                <w:rFonts w:ascii="Times New Roman"/>
                <w:sz w:val="14"/>
              </w:rPr>
            </w:pPr>
          </w:p>
        </w:tc>
        <w:tc>
          <w:tcPr>
            <w:tcW w:w="1100" w:type="dxa"/>
            <w:tcBorders>
              <w:top w:val="single" w:sz="8" w:space="0" w:color="000000"/>
              <w:bottom w:val="single" w:sz="8" w:space="0" w:color="000000"/>
            </w:tcBorders>
          </w:tcPr>
          <w:p>
            <w:pPr>
              <w:pStyle w:val="TableParagraph"/>
              <w:spacing w:line="183" w:lineRule="exact" w:before="16"/>
              <w:ind w:left="314"/>
              <w:rPr>
                <w:rFonts w:ascii="Arial"/>
                <w:i/>
                <w:sz w:val="16"/>
              </w:rPr>
            </w:pPr>
            <w:r>
              <w:rPr>
                <w:rFonts w:ascii="Arial"/>
                <w:i/>
                <w:spacing w:val="-4"/>
                <w:sz w:val="16"/>
              </w:rPr>
              <w:t>2023</w:t>
            </w:r>
          </w:p>
        </w:tc>
        <w:tc>
          <w:tcPr>
            <w:tcW w:w="790" w:type="dxa"/>
            <w:tcBorders>
              <w:top w:val="single" w:sz="8" w:space="0" w:color="000000"/>
              <w:bottom w:val="single" w:sz="8" w:space="0" w:color="000000"/>
            </w:tcBorders>
          </w:tcPr>
          <w:p>
            <w:pPr>
              <w:pStyle w:val="TableParagraph"/>
              <w:spacing w:line="183" w:lineRule="exact" w:before="16"/>
              <w:ind w:left="159"/>
              <w:rPr>
                <w:rFonts w:ascii="Arial"/>
                <w:i/>
                <w:sz w:val="16"/>
              </w:rPr>
            </w:pPr>
            <w:r>
              <w:rPr>
                <w:rFonts w:ascii="Arial"/>
                <w:i/>
                <w:spacing w:val="-4"/>
                <w:sz w:val="16"/>
              </w:rPr>
              <w:t>2022</w:t>
            </w:r>
          </w:p>
        </w:tc>
      </w:tr>
      <w:tr>
        <w:trPr>
          <w:trHeight w:val="230" w:hRule="atLeast"/>
        </w:trPr>
        <w:tc>
          <w:tcPr>
            <w:tcW w:w="3420" w:type="dxa"/>
          </w:tcPr>
          <w:p>
            <w:pPr>
              <w:pStyle w:val="TableParagraph"/>
              <w:spacing w:before="6"/>
              <w:ind w:left="52"/>
              <w:rPr>
                <w:sz w:val="16"/>
              </w:rPr>
            </w:pPr>
            <w:r>
              <w:rPr>
                <w:sz w:val="16"/>
              </w:rPr>
              <w:t>Discount</w:t>
            </w:r>
            <w:r>
              <w:rPr>
                <w:spacing w:val="-7"/>
                <w:sz w:val="16"/>
              </w:rPr>
              <w:t> </w:t>
            </w:r>
            <w:r>
              <w:rPr>
                <w:spacing w:val="-4"/>
                <w:sz w:val="16"/>
              </w:rPr>
              <w:t>rate</w:t>
            </w:r>
          </w:p>
        </w:tc>
        <w:tc>
          <w:tcPr>
            <w:tcW w:w="898" w:type="dxa"/>
          </w:tcPr>
          <w:p>
            <w:pPr>
              <w:pStyle w:val="TableParagraph"/>
              <w:spacing w:before="6"/>
              <w:ind w:right="138"/>
              <w:jc w:val="right"/>
              <w:rPr>
                <w:sz w:val="16"/>
              </w:rPr>
            </w:pPr>
            <w:r>
              <w:rPr>
                <w:spacing w:val="-4"/>
                <w:sz w:val="16"/>
              </w:rPr>
              <w:t>4.90</w:t>
            </w:r>
          </w:p>
        </w:tc>
        <w:tc>
          <w:tcPr>
            <w:tcW w:w="723" w:type="dxa"/>
          </w:tcPr>
          <w:p>
            <w:pPr>
              <w:pStyle w:val="TableParagraph"/>
              <w:spacing w:before="6"/>
              <w:ind w:right="51"/>
              <w:jc w:val="right"/>
              <w:rPr>
                <w:sz w:val="16"/>
              </w:rPr>
            </w:pPr>
            <w:r>
              <w:rPr>
                <w:spacing w:val="-4"/>
                <w:sz w:val="16"/>
              </w:rPr>
              <w:t>4.40</w:t>
            </w:r>
          </w:p>
        </w:tc>
        <w:tc>
          <w:tcPr>
            <w:tcW w:w="1368" w:type="dxa"/>
            <w:gridSpan w:val="2"/>
          </w:tcPr>
          <w:p>
            <w:pPr>
              <w:pStyle w:val="TableParagraph"/>
              <w:spacing w:before="6"/>
              <w:ind w:left="895"/>
              <w:rPr>
                <w:sz w:val="16"/>
              </w:rPr>
            </w:pPr>
            <w:r>
              <w:rPr>
                <w:spacing w:val="-4"/>
                <w:sz w:val="16"/>
              </w:rPr>
              <w:t>4.90</w:t>
            </w:r>
          </w:p>
        </w:tc>
        <w:tc>
          <w:tcPr>
            <w:tcW w:w="704" w:type="dxa"/>
          </w:tcPr>
          <w:p>
            <w:pPr>
              <w:pStyle w:val="TableParagraph"/>
              <w:spacing w:before="6"/>
              <w:ind w:right="53"/>
              <w:jc w:val="right"/>
              <w:rPr>
                <w:sz w:val="16"/>
              </w:rPr>
            </w:pPr>
            <w:r>
              <w:rPr>
                <w:spacing w:val="-4"/>
                <w:sz w:val="16"/>
              </w:rPr>
              <w:t>4.50</w:t>
            </w:r>
          </w:p>
        </w:tc>
        <w:tc>
          <w:tcPr>
            <w:tcW w:w="1460" w:type="dxa"/>
            <w:gridSpan w:val="2"/>
          </w:tcPr>
          <w:p>
            <w:pPr>
              <w:pStyle w:val="TableParagraph"/>
              <w:spacing w:before="6"/>
              <w:ind w:right="163"/>
              <w:jc w:val="right"/>
              <w:rPr>
                <w:sz w:val="16"/>
              </w:rPr>
            </w:pPr>
            <w:r>
              <w:rPr>
                <w:spacing w:val="-4"/>
                <w:sz w:val="16"/>
              </w:rPr>
              <w:t>4.90</w:t>
            </w:r>
          </w:p>
        </w:tc>
        <w:tc>
          <w:tcPr>
            <w:tcW w:w="790" w:type="dxa"/>
          </w:tcPr>
          <w:p>
            <w:pPr>
              <w:pStyle w:val="TableParagraph"/>
              <w:spacing w:before="6"/>
              <w:ind w:right="53"/>
              <w:jc w:val="right"/>
              <w:rPr>
                <w:sz w:val="16"/>
              </w:rPr>
            </w:pPr>
            <w:r>
              <w:rPr>
                <w:spacing w:val="-4"/>
                <w:sz w:val="16"/>
              </w:rPr>
              <w:t>4.50</w:t>
            </w:r>
          </w:p>
        </w:tc>
      </w:tr>
      <w:tr>
        <w:trPr>
          <w:trHeight w:val="240" w:hRule="atLeast"/>
        </w:trPr>
        <w:tc>
          <w:tcPr>
            <w:tcW w:w="3420" w:type="dxa"/>
          </w:tcPr>
          <w:p>
            <w:pPr>
              <w:pStyle w:val="TableParagraph"/>
              <w:spacing w:before="25"/>
              <w:ind w:left="52"/>
              <w:rPr>
                <w:sz w:val="16"/>
              </w:rPr>
            </w:pPr>
            <w:r>
              <w:rPr>
                <w:sz w:val="16"/>
              </w:rPr>
              <w:t>Rate</w:t>
            </w:r>
            <w:r>
              <w:rPr>
                <w:spacing w:val="-5"/>
                <w:sz w:val="16"/>
              </w:rPr>
              <w:t> </w:t>
            </w:r>
            <w:r>
              <w:rPr>
                <w:sz w:val="16"/>
              </w:rPr>
              <w:t>of</w:t>
            </w:r>
            <w:r>
              <w:rPr>
                <w:spacing w:val="-3"/>
                <w:sz w:val="16"/>
              </w:rPr>
              <w:t> </w:t>
            </w:r>
            <w:r>
              <w:rPr>
                <w:sz w:val="16"/>
              </w:rPr>
              <w:t>compensation</w:t>
            </w:r>
            <w:r>
              <w:rPr>
                <w:spacing w:val="-4"/>
                <w:sz w:val="16"/>
              </w:rPr>
              <w:t> </w:t>
            </w:r>
            <w:r>
              <w:rPr>
                <w:spacing w:val="-2"/>
                <w:sz w:val="16"/>
              </w:rPr>
              <w:t>increase</w:t>
            </w:r>
          </w:p>
        </w:tc>
        <w:tc>
          <w:tcPr>
            <w:tcW w:w="898" w:type="dxa"/>
          </w:tcPr>
          <w:p>
            <w:pPr>
              <w:pStyle w:val="TableParagraph"/>
              <w:spacing w:before="25"/>
              <w:ind w:right="138"/>
              <w:jc w:val="right"/>
              <w:rPr>
                <w:sz w:val="16"/>
              </w:rPr>
            </w:pPr>
            <w:r>
              <w:rPr>
                <w:spacing w:val="-4"/>
                <w:sz w:val="16"/>
              </w:rPr>
              <w:t>5.10</w:t>
            </w:r>
          </w:p>
        </w:tc>
        <w:tc>
          <w:tcPr>
            <w:tcW w:w="723" w:type="dxa"/>
          </w:tcPr>
          <w:p>
            <w:pPr>
              <w:pStyle w:val="TableParagraph"/>
              <w:spacing w:before="25"/>
              <w:ind w:right="51"/>
              <w:jc w:val="right"/>
              <w:rPr>
                <w:sz w:val="16"/>
              </w:rPr>
            </w:pPr>
            <w:r>
              <w:rPr>
                <w:spacing w:val="-4"/>
                <w:sz w:val="16"/>
              </w:rPr>
              <w:t>5.30</w:t>
            </w:r>
          </w:p>
        </w:tc>
        <w:tc>
          <w:tcPr>
            <w:tcW w:w="1368" w:type="dxa"/>
            <w:gridSpan w:val="2"/>
          </w:tcPr>
          <w:p>
            <w:pPr>
              <w:pStyle w:val="TableParagraph"/>
              <w:rPr>
                <w:rFonts w:ascii="Times New Roman"/>
                <w:sz w:val="16"/>
              </w:rPr>
            </w:pPr>
          </w:p>
        </w:tc>
        <w:tc>
          <w:tcPr>
            <w:tcW w:w="704" w:type="dxa"/>
          </w:tcPr>
          <w:p>
            <w:pPr>
              <w:pStyle w:val="TableParagraph"/>
              <w:rPr>
                <w:rFonts w:ascii="Times New Roman"/>
                <w:sz w:val="16"/>
              </w:rPr>
            </w:pPr>
          </w:p>
        </w:tc>
        <w:tc>
          <w:tcPr>
            <w:tcW w:w="1460" w:type="dxa"/>
            <w:gridSpan w:val="2"/>
          </w:tcPr>
          <w:p>
            <w:pPr>
              <w:pStyle w:val="TableParagraph"/>
              <w:spacing w:before="25"/>
              <w:ind w:right="163"/>
              <w:jc w:val="right"/>
              <w:rPr>
                <w:sz w:val="16"/>
              </w:rPr>
            </w:pPr>
            <w:r>
              <w:rPr>
                <w:spacing w:val="-4"/>
                <w:sz w:val="16"/>
              </w:rPr>
              <w:t>5.10</w:t>
            </w:r>
          </w:p>
        </w:tc>
        <w:tc>
          <w:tcPr>
            <w:tcW w:w="790" w:type="dxa"/>
          </w:tcPr>
          <w:p>
            <w:pPr>
              <w:pStyle w:val="TableParagraph"/>
              <w:spacing w:before="25"/>
              <w:ind w:right="53"/>
              <w:jc w:val="right"/>
              <w:rPr>
                <w:sz w:val="16"/>
              </w:rPr>
            </w:pPr>
            <w:r>
              <w:rPr>
                <w:spacing w:val="-4"/>
                <w:sz w:val="16"/>
              </w:rPr>
              <w:t>5.30</w:t>
            </w:r>
          </w:p>
        </w:tc>
      </w:tr>
      <w:tr>
        <w:trPr>
          <w:trHeight w:val="240" w:hRule="atLeast"/>
        </w:trPr>
        <w:tc>
          <w:tcPr>
            <w:tcW w:w="3420" w:type="dxa"/>
          </w:tcPr>
          <w:p>
            <w:pPr>
              <w:pStyle w:val="TableParagraph"/>
              <w:spacing w:before="25"/>
              <w:ind w:left="52"/>
              <w:rPr>
                <w:sz w:val="16"/>
              </w:rPr>
            </w:pPr>
            <w:r>
              <w:rPr>
                <w:sz w:val="16"/>
              </w:rPr>
              <w:t>Health</w:t>
            </w:r>
            <w:r>
              <w:rPr>
                <w:spacing w:val="-4"/>
                <w:sz w:val="16"/>
              </w:rPr>
              <w:t> </w:t>
            </w:r>
            <w:r>
              <w:rPr>
                <w:sz w:val="16"/>
              </w:rPr>
              <w:t>care</w:t>
            </w:r>
            <w:r>
              <w:rPr>
                <w:spacing w:val="-4"/>
                <w:sz w:val="16"/>
              </w:rPr>
              <w:t> </w:t>
            </w:r>
            <w:r>
              <w:rPr>
                <w:sz w:val="16"/>
              </w:rPr>
              <w:t>growth</w:t>
            </w:r>
            <w:r>
              <w:rPr>
                <w:spacing w:val="-3"/>
                <w:sz w:val="16"/>
              </w:rPr>
              <w:t> </w:t>
            </w:r>
            <w:r>
              <w:rPr>
                <w:spacing w:val="-4"/>
                <w:sz w:val="16"/>
              </w:rPr>
              <w:t>rates</w:t>
            </w:r>
          </w:p>
        </w:tc>
        <w:tc>
          <w:tcPr>
            <w:tcW w:w="898" w:type="dxa"/>
          </w:tcPr>
          <w:p>
            <w:pPr>
              <w:pStyle w:val="TableParagraph"/>
              <w:rPr>
                <w:rFonts w:ascii="Times New Roman"/>
                <w:sz w:val="16"/>
              </w:rPr>
            </w:pPr>
          </w:p>
        </w:tc>
        <w:tc>
          <w:tcPr>
            <w:tcW w:w="723" w:type="dxa"/>
          </w:tcPr>
          <w:p>
            <w:pPr>
              <w:pStyle w:val="TableParagraph"/>
              <w:rPr>
                <w:rFonts w:ascii="Times New Roman"/>
                <w:sz w:val="16"/>
              </w:rPr>
            </w:pPr>
          </w:p>
        </w:tc>
        <w:tc>
          <w:tcPr>
            <w:tcW w:w="1368" w:type="dxa"/>
            <w:gridSpan w:val="2"/>
          </w:tcPr>
          <w:p>
            <w:pPr>
              <w:pStyle w:val="TableParagraph"/>
              <w:rPr>
                <w:rFonts w:ascii="Times New Roman"/>
                <w:sz w:val="16"/>
              </w:rPr>
            </w:pPr>
          </w:p>
        </w:tc>
        <w:tc>
          <w:tcPr>
            <w:tcW w:w="704" w:type="dxa"/>
          </w:tcPr>
          <w:p>
            <w:pPr>
              <w:pStyle w:val="TableParagraph"/>
              <w:rPr>
                <w:rFonts w:ascii="Times New Roman"/>
                <w:sz w:val="16"/>
              </w:rPr>
            </w:pPr>
          </w:p>
        </w:tc>
        <w:tc>
          <w:tcPr>
            <w:tcW w:w="1460" w:type="dxa"/>
            <w:gridSpan w:val="2"/>
          </w:tcPr>
          <w:p>
            <w:pPr>
              <w:pStyle w:val="TableParagraph"/>
              <w:rPr>
                <w:rFonts w:ascii="Times New Roman"/>
                <w:sz w:val="16"/>
              </w:rPr>
            </w:pPr>
          </w:p>
        </w:tc>
        <w:tc>
          <w:tcPr>
            <w:tcW w:w="790" w:type="dxa"/>
          </w:tcPr>
          <w:p>
            <w:pPr>
              <w:pStyle w:val="TableParagraph"/>
              <w:rPr>
                <w:rFonts w:ascii="Times New Roman"/>
                <w:sz w:val="16"/>
              </w:rPr>
            </w:pPr>
          </w:p>
        </w:tc>
      </w:tr>
      <w:tr>
        <w:trPr>
          <w:trHeight w:val="240" w:hRule="atLeast"/>
        </w:trPr>
        <w:tc>
          <w:tcPr>
            <w:tcW w:w="3420" w:type="dxa"/>
          </w:tcPr>
          <w:p>
            <w:pPr>
              <w:pStyle w:val="TableParagraph"/>
              <w:spacing w:before="25"/>
              <w:ind w:left="232"/>
              <w:rPr>
                <w:sz w:val="16"/>
              </w:rPr>
            </w:pPr>
            <w:r>
              <w:rPr>
                <w:sz w:val="16"/>
              </w:rPr>
              <w:t>–</w:t>
            </w:r>
            <w:r>
              <w:rPr>
                <w:spacing w:val="43"/>
                <w:sz w:val="16"/>
              </w:rPr>
              <w:t> </w:t>
            </w:r>
            <w:r>
              <w:rPr>
                <w:sz w:val="16"/>
              </w:rPr>
              <w:t>at</w:t>
            </w:r>
            <w:r>
              <w:rPr>
                <w:spacing w:val="-1"/>
                <w:sz w:val="16"/>
              </w:rPr>
              <w:t> </w:t>
            </w:r>
            <w:r>
              <w:rPr>
                <w:sz w:val="16"/>
              </w:rPr>
              <w:t>end</w:t>
            </w:r>
            <w:r>
              <w:rPr>
                <w:spacing w:val="-1"/>
                <w:sz w:val="16"/>
              </w:rPr>
              <w:t> </w:t>
            </w:r>
            <w:r>
              <w:rPr>
                <w:sz w:val="16"/>
              </w:rPr>
              <w:t>of</w:t>
            </w:r>
            <w:r>
              <w:rPr>
                <w:spacing w:val="-1"/>
                <w:sz w:val="16"/>
              </w:rPr>
              <w:t> </w:t>
            </w:r>
            <w:r>
              <w:rPr>
                <w:sz w:val="16"/>
              </w:rPr>
              <w:t>fiscal</w:t>
            </w:r>
            <w:r>
              <w:rPr>
                <w:spacing w:val="-1"/>
                <w:sz w:val="16"/>
              </w:rPr>
              <w:t> </w:t>
            </w:r>
            <w:r>
              <w:rPr>
                <w:spacing w:val="-4"/>
                <w:sz w:val="16"/>
              </w:rPr>
              <w:t>year</w:t>
            </w:r>
          </w:p>
        </w:tc>
        <w:tc>
          <w:tcPr>
            <w:tcW w:w="898" w:type="dxa"/>
          </w:tcPr>
          <w:p>
            <w:pPr>
              <w:pStyle w:val="TableParagraph"/>
              <w:rPr>
                <w:rFonts w:ascii="Times New Roman"/>
                <w:sz w:val="16"/>
              </w:rPr>
            </w:pPr>
          </w:p>
        </w:tc>
        <w:tc>
          <w:tcPr>
            <w:tcW w:w="723" w:type="dxa"/>
          </w:tcPr>
          <w:p>
            <w:pPr>
              <w:pStyle w:val="TableParagraph"/>
              <w:rPr>
                <w:rFonts w:ascii="Times New Roman"/>
                <w:sz w:val="16"/>
              </w:rPr>
            </w:pPr>
          </w:p>
        </w:tc>
        <w:tc>
          <w:tcPr>
            <w:tcW w:w="1368" w:type="dxa"/>
            <w:gridSpan w:val="2"/>
          </w:tcPr>
          <w:p>
            <w:pPr>
              <w:pStyle w:val="TableParagraph"/>
              <w:spacing w:before="25"/>
              <w:ind w:left="895"/>
              <w:rPr>
                <w:sz w:val="16"/>
              </w:rPr>
            </w:pPr>
            <w:r>
              <w:rPr>
                <w:spacing w:val="-4"/>
                <w:sz w:val="16"/>
              </w:rPr>
              <w:t>5.40</w:t>
            </w:r>
          </w:p>
        </w:tc>
        <w:tc>
          <w:tcPr>
            <w:tcW w:w="704" w:type="dxa"/>
          </w:tcPr>
          <w:p>
            <w:pPr>
              <w:pStyle w:val="TableParagraph"/>
              <w:spacing w:before="25"/>
              <w:ind w:right="53"/>
              <w:jc w:val="right"/>
              <w:rPr>
                <w:sz w:val="16"/>
              </w:rPr>
            </w:pPr>
            <w:r>
              <w:rPr>
                <w:spacing w:val="-4"/>
                <w:sz w:val="16"/>
              </w:rPr>
              <w:t>5.80</w:t>
            </w:r>
          </w:p>
        </w:tc>
        <w:tc>
          <w:tcPr>
            <w:tcW w:w="1460" w:type="dxa"/>
            <w:gridSpan w:val="2"/>
          </w:tcPr>
          <w:p>
            <w:pPr>
              <w:pStyle w:val="TableParagraph"/>
              <w:rPr>
                <w:rFonts w:ascii="Times New Roman"/>
                <w:sz w:val="16"/>
              </w:rPr>
            </w:pPr>
          </w:p>
        </w:tc>
        <w:tc>
          <w:tcPr>
            <w:tcW w:w="790" w:type="dxa"/>
          </w:tcPr>
          <w:p>
            <w:pPr>
              <w:pStyle w:val="TableParagraph"/>
              <w:rPr>
                <w:rFonts w:ascii="Times New Roman"/>
                <w:sz w:val="16"/>
              </w:rPr>
            </w:pPr>
          </w:p>
        </w:tc>
      </w:tr>
      <w:tr>
        <w:trPr>
          <w:trHeight w:val="240" w:hRule="atLeast"/>
        </w:trPr>
        <w:tc>
          <w:tcPr>
            <w:tcW w:w="3420" w:type="dxa"/>
          </w:tcPr>
          <w:p>
            <w:pPr>
              <w:pStyle w:val="TableParagraph"/>
              <w:spacing w:before="25"/>
              <w:ind w:left="52"/>
              <w:rPr>
                <w:sz w:val="16"/>
              </w:rPr>
            </w:pPr>
            <w:r>
              <w:rPr>
                <w:sz w:val="16"/>
              </w:rPr>
              <w:t>Ultimate</w:t>
            </w:r>
            <w:r>
              <w:rPr>
                <w:spacing w:val="-4"/>
                <w:sz w:val="16"/>
              </w:rPr>
              <w:t> </w:t>
            </w:r>
            <w:r>
              <w:rPr>
                <w:sz w:val="16"/>
              </w:rPr>
              <w:t>health</w:t>
            </w:r>
            <w:r>
              <w:rPr>
                <w:spacing w:val="-4"/>
                <w:sz w:val="16"/>
              </w:rPr>
              <w:t> </w:t>
            </w:r>
            <w:r>
              <w:rPr>
                <w:sz w:val="16"/>
              </w:rPr>
              <w:t>care</w:t>
            </w:r>
            <w:r>
              <w:rPr>
                <w:spacing w:val="-4"/>
                <w:sz w:val="16"/>
              </w:rPr>
              <w:t> </w:t>
            </w:r>
            <w:r>
              <w:rPr>
                <w:sz w:val="16"/>
              </w:rPr>
              <w:t>growth</w:t>
            </w:r>
            <w:r>
              <w:rPr>
                <w:spacing w:val="-4"/>
                <w:sz w:val="16"/>
              </w:rPr>
              <w:t> rate</w:t>
            </w:r>
          </w:p>
        </w:tc>
        <w:tc>
          <w:tcPr>
            <w:tcW w:w="898" w:type="dxa"/>
          </w:tcPr>
          <w:p>
            <w:pPr>
              <w:pStyle w:val="TableParagraph"/>
              <w:rPr>
                <w:rFonts w:ascii="Times New Roman"/>
                <w:sz w:val="16"/>
              </w:rPr>
            </w:pPr>
          </w:p>
        </w:tc>
        <w:tc>
          <w:tcPr>
            <w:tcW w:w="723" w:type="dxa"/>
          </w:tcPr>
          <w:p>
            <w:pPr>
              <w:pStyle w:val="TableParagraph"/>
              <w:rPr>
                <w:rFonts w:ascii="Times New Roman"/>
                <w:sz w:val="16"/>
              </w:rPr>
            </w:pPr>
          </w:p>
        </w:tc>
        <w:tc>
          <w:tcPr>
            <w:tcW w:w="1368" w:type="dxa"/>
            <w:gridSpan w:val="2"/>
          </w:tcPr>
          <w:p>
            <w:pPr>
              <w:pStyle w:val="TableParagraph"/>
              <w:spacing w:before="25"/>
              <w:ind w:left="895"/>
              <w:rPr>
                <w:sz w:val="16"/>
              </w:rPr>
            </w:pPr>
            <w:r>
              <w:rPr>
                <w:spacing w:val="-4"/>
                <w:sz w:val="16"/>
              </w:rPr>
              <w:t>4.20</w:t>
            </w:r>
          </w:p>
        </w:tc>
        <w:tc>
          <w:tcPr>
            <w:tcW w:w="704" w:type="dxa"/>
          </w:tcPr>
          <w:p>
            <w:pPr>
              <w:pStyle w:val="TableParagraph"/>
              <w:spacing w:before="25"/>
              <w:ind w:right="53"/>
              <w:jc w:val="right"/>
              <w:rPr>
                <w:sz w:val="16"/>
              </w:rPr>
            </w:pPr>
            <w:r>
              <w:rPr>
                <w:spacing w:val="-4"/>
                <w:sz w:val="16"/>
              </w:rPr>
              <w:t>4.40</w:t>
            </w:r>
          </w:p>
        </w:tc>
        <w:tc>
          <w:tcPr>
            <w:tcW w:w="1460" w:type="dxa"/>
            <w:gridSpan w:val="2"/>
          </w:tcPr>
          <w:p>
            <w:pPr>
              <w:pStyle w:val="TableParagraph"/>
              <w:rPr>
                <w:rFonts w:ascii="Times New Roman"/>
                <w:sz w:val="16"/>
              </w:rPr>
            </w:pPr>
          </w:p>
        </w:tc>
        <w:tc>
          <w:tcPr>
            <w:tcW w:w="790" w:type="dxa"/>
          </w:tcPr>
          <w:p>
            <w:pPr>
              <w:pStyle w:val="TableParagraph"/>
              <w:rPr>
                <w:rFonts w:ascii="Times New Roman"/>
                <w:sz w:val="16"/>
              </w:rPr>
            </w:pPr>
          </w:p>
        </w:tc>
      </w:tr>
      <w:tr>
        <w:trPr>
          <w:trHeight w:val="240" w:hRule="atLeast"/>
        </w:trPr>
        <w:tc>
          <w:tcPr>
            <w:tcW w:w="3420" w:type="dxa"/>
          </w:tcPr>
          <w:p>
            <w:pPr>
              <w:pStyle w:val="TableParagraph"/>
              <w:spacing w:before="25"/>
              <w:ind w:left="52"/>
              <w:rPr>
                <w:sz w:val="16"/>
              </w:rPr>
            </w:pPr>
            <w:r>
              <w:rPr>
                <w:sz w:val="16"/>
              </w:rPr>
              <w:t>Year</w:t>
            </w:r>
            <w:r>
              <w:rPr>
                <w:spacing w:val="-5"/>
                <w:sz w:val="16"/>
              </w:rPr>
              <w:t> </w:t>
            </w:r>
            <w:r>
              <w:rPr>
                <w:sz w:val="16"/>
              </w:rPr>
              <w:t>in</w:t>
            </w:r>
            <w:r>
              <w:rPr>
                <w:spacing w:val="-6"/>
                <w:sz w:val="16"/>
              </w:rPr>
              <w:t> </w:t>
            </w:r>
            <w:r>
              <w:rPr>
                <w:sz w:val="16"/>
              </w:rPr>
              <w:t>which</w:t>
            </w:r>
            <w:r>
              <w:rPr>
                <w:spacing w:val="-5"/>
                <w:sz w:val="16"/>
              </w:rPr>
              <w:t> </w:t>
            </w:r>
            <w:r>
              <w:rPr>
                <w:sz w:val="16"/>
              </w:rPr>
              <w:t>ultimate</w:t>
            </w:r>
            <w:r>
              <w:rPr>
                <w:spacing w:val="-5"/>
                <w:sz w:val="16"/>
              </w:rPr>
              <w:t> </w:t>
            </w:r>
            <w:r>
              <w:rPr>
                <w:sz w:val="16"/>
              </w:rPr>
              <w:t>rate</w:t>
            </w:r>
            <w:r>
              <w:rPr>
                <w:spacing w:val="-6"/>
                <w:sz w:val="16"/>
              </w:rPr>
              <w:t> </w:t>
            </w:r>
            <w:r>
              <w:rPr>
                <w:sz w:val="16"/>
              </w:rPr>
              <w:t>is</w:t>
            </w:r>
            <w:r>
              <w:rPr>
                <w:spacing w:val="-4"/>
                <w:sz w:val="16"/>
              </w:rPr>
              <w:t> </w:t>
            </w:r>
            <w:r>
              <w:rPr>
                <w:spacing w:val="-2"/>
                <w:sz w:val="16"/>
              </w:rPr>
              <w:t>reached</w:t>
            </w:r>
          </w:p>
        </w:tc>
        <w:tc>
          <w:tcPr>
            <w:tcW w:w="898" w:type="dxa"/>
          </w:tcPr>
          <w:p>
            <w:pPr>
              <w:pStyle w:val="TableParagraph"/>
              <w:rPr>
                <w:rFonts w:ascii="Times New Roman"/>
                <w:sz w:val="16"/>
              </w:rPr>
            </w:pPr>
          </w:p>
        </w:tc>
        <w:tc>
          <w:tcPr>
            <w:tcW w:w="723" w:type="dxa"/>
          </w:tcPr>
          <w:p>
            <w:pPr>
              <w:pStyle w:val="TableParagraph"/>
              <w:rPr>
                <w:rFonts w:ascii="Times New Roman"/>
                <w:sz w:val="16"/>
              </w:rPr>
            </w:pPr>
          </w:p>
        </w:tc>
        <w:tc>
          <w:tcPr>
            <w:tcW w:w="1368" w:type="dxa"/>
            <w:gridSpan w:val="2"/>
          </w:tcPr>
          <w:p>
            <w:pPr>
              <w:pStyle w:val="TableParagraph"/>
              <w:spacing w:before="25"/>
              <w:ind w:left="851"/>
              <w:rPr>
                <w:sz w:val="16"/>
              </w:rPr>
            </w:pPr>
            <w:r>
              <w:rPr>
                <w:spacing w:val="-4"/>
                <w:sz w:val="16"/>
              </w:rPr>
              <w:t>2031</w:t>
            </w:r>
          </w:p>
        </w:tc>
        <w:tc>
          <w:tcPr>
            <w:tcW w:w="704" w:type="dxa"/>
          </w:tcPr>
          <w:p>
            <w:pPr>
              <w:pStyle w:val="TableParagraph"/>
              <w:spacing w:before="25"/>
              <w:ind w:right="53"/>
              <w:jc w:val="right"/>
              <w:rPr>
                <w:sz w:val="16"/>
              </w:rPr>
            </w:pPr>
            <w:r>
              <w:rPr>
                <w:spacing w:val="-4"/>
                <w:sz w:val="16"/>
              </w:rPr>
              <w:t>2031</w:t>
            </w:r>
          </w:p>
        </w:tc>
        <w:tc>
          <w:tcPr>
            <w:tcW w:w="1460" w:type="dxa"/>
            <w:gridSpan w:val="2"/>
          </w:tcPr>
          <w:p>
            <w:pPr>
              <w:pStyle w:val="TableParagraph"/>
              <w:rPr>
                <w:rFonts w:ascii="Times New Roman"/>
                <w:sz w:val="16"/>
              </w:rPr>
            </w:pPr>
          </w:p>
        </w:tc>
        <w:tc>
          <w:tcPr>
            <w:tcW w:w="790" w:type="dxa"/>
          </w:tcPr>
          <w:p>
            <w:pPr>
              <w:pStyle w:val="TableParagraph"/>
              <w:rPr>
                <w:rFonts w:ascii="Times New Roman"/>
                <w:sz w:val="16"/>
              </w:rPr>
            </w:pPr>
          </w:p>
        </w:tc>
      </w:tr>
      <w:tr>
        <w:trPr>
          <w:trHeight w:val="229" w:hRule="atLeast"/>
        </w:trPr>
        <w:tc>
          <w:tcPr>
            <w:tcW w:w="3420" w:type="dxa"/>
            <w:tcBorders>
              <w:bottom w:val="single" w:sz="8" w:space="0" w:color="000000"/>
            </w:tcBorders>
          </w:tcPr>
          <w:p>
            <w:pPr>
              <w:pStyle w:val="TableParagraph"/>
              <w:spacing w:line="184" w:lineRule="exact" w:before="25"/>
              <w:ind w:left="52"/>
              <w:rPr>
                <w:sz w:val="16"/>
              </w:rPr>
            </w:pPr>
            <w:r>
              <w:rPr>
                <w:sz w:val="16"/>
              </w:rPr>
              <w:t>Interest</w:t>
            </w:r>
            <w:r>
              <w:rPr>
                <w:spacing w:val="-7"/>
                <w:sz w:val="16"/>
              </w:rPr>
              <w:t> </w:t>
            </w:r>
            <w:r>
              <w:rPr>
                <w:sz w:val="16"/>
              </w:rPr>
              <w:t>crediting</w:t>
            </w:r>
            <w:r>
              <w:rPr>
                <w:spacing w:val="-4"/>
                <w:sz w:val="16"/>
              </w:rPr>
              <w:t> rate</w:t>
            </w:r>
          </w:p>
        </w:tc>
        <w:tc>
          <w:tcPr>
            <w:tcW w:w="898" w:type="dxa"/>
            <w:tcBorders>
              <w:bottom w:val="single" w:sz="8" w:space="0" w:color="000000"/>
            </w:tcBorders>
          </w:tcPr>
          <w:p>
            <w:pPr>
              <w:pStyle w:val="TableParagraph"/>
              <w:spacing w:line="184" w:lineRule="exact" w:before="25"/>
              <w:ind w:right="138"/>
              <w:jc w:val="right"/>
              <w:rPr>
                <w:sz w:val="16"/>
              </w:rPr>
            </w:pPr>
            <w:r>
              <w:rPr>
                <w:spacing w:val="-4"/>
                <w:sz w:val="16"/>
              </w:rPr>
              <w:t>5.20</w:t>
            </w:r>
          </w:p>
        </w:tc>
        <w:tc>
          <w:tcPr>
            <w:tcW w:w="723" w:type="dxa"/>
            <w:tcBorders>
              <w:bottom w:val="single" w:sz="8" w:space="0" w:color="000000"/>
            </w:tcBorders>
          </w:tcPr>
          <w:p>
            <w:pPr>
              <w:pStyle w:val="TableParagraph"/>
              <w:spacing w:line="184" w:lineRule="exact" w:before="25"/>
              <w:ind w:right="51"/>
              <w:jc w:val="right"/>
              <w:rPr>
                <w:sz w:val="16"/>
              </w:rPr>
            </w:pPr>
            <w:r>
              <w:rPr>
                <w:spacing w:val="-4"/>
                <w:sz w:val="16"/>
              </w:rPr>
              <w:t>5.40</w:t>
            </w:r>
          </w:p>
        </w:tc>
        <w:tc>
          <w:tcPr>
            <w:tcW w:w="1368" w:type="dxa"/>
            <w:gridSpan w:val="2"/>
            <w:tcBorders>
              <w:bottom w:val="single" w:sz="8" w:space="0" w:color="000000"/>
            </w:tcBorders>
          </w:tcPr>
          <w:p>
            <w:pPr>
              <w:pStyle w:val="TableParagraph"/>
              <w:spacing w:line="184" w:lineRule="exact" w:before="25"/>
              <w:ind w:right="121"/>
              <w:jc w:val="right"/>
              <w:rPr>
                <w:sz w:val="16"/>
              </w:rPr>
            </w:pPr>
            <w:r>
              <w:rPr>
                <w:spacing w:val="-5"/>
                <w:sz w:val="16"/>
              </w:rPr>
              <w:t>n.a</w:t>
            </w:r>
          </w:p>
        </w:tc>
        <w:tc>
          <w:tcPr>
            <w:tcW w:w="704" w:type="dxa"/>
            <w:tcBorders>
              <w:bottom w:val="single" w:sz="8" w:space="0" w:color="000000"/>
            </w:tcBorders>
          </w:tcPr>
          <w:p>
            <w:pPr>
              <w:pStyle w:val="TableParagraph"/>
              <w:spacing w:line="184" w:lineRule="exact" w:before="25"/>
              <w:ind w:right="15"/>
              <w:jc w:val="right"/>
              <w:rPr>
                <w:sz w:val="16"/>
              </w:rPr>
            </w:pPr>
            <w:r>
              <w:rPr>
                <w:spacing w:val="-5"/>
                <w:sz w:val="16"/>
              </w:rPr>
              <w:t>n.a</w:t>
            </w:r>
          </w:p>
        </w:tc>
        <w:tc>
          <w:tcPr>
            <w:tcW w:w="1460" w:type="dxa"/>
            <w:gridSpan w:val="2"/>
            <w:tcBorders>
              <w:bottom w:val="single" w:sz="8" w:space="0" w:color="000000"/>
            </w:tcBorders>
          </w:tcPr>
          <w:p>
            <w:pPr>
              <w:pStyle w:val="TableParagraph"/>
              <w:spacing w:line="184" w:lineRule="exact" w:before="25"/>
              <w:ind w:right="163"/>
              <w:jc w:val="right"/>
              <w:rPr>
                <w:sz w:val="16"/>
              </w:rPr>
            </w:pPr>
            <w:r>
              <w:rPr>
                <w:spacing w:val="-4"/>
                <w:sz w:val="16"/>
              </w:rPr>
              <w:t>5.20</w:t>
            </w:r>
          </w:p>
        </w:tc>
        <w:tc>
          <w:tcPr>
            <w:tcW w:w="790" w:type="dxa"/>
            <w:tcBorders>
              <w:bottom w:val="single" w:sz="8" w:space="0" w:color="000000"/>
            </w:tcBorders>
          </w:tcPr>
          <w:p>
            <w:pPr>
              <w:pStyle w:val="TableParagraph"/>
              <w:spacing w:line="184" w:lineRule="exact" w:before="25"/>
              <w:ind w:right="53"/>
              <w:jc w:val="right"/>
              <w:rPr>
                <w:sz w:val="16"/>
              </w:rPr>
            </w:pPr>
            <w:r>
              <w:rPr>
                <w:spacing w:val="-4"/>
                <w:sz w:val="16"/>
              </w:rPr>
              <w:t>5.40</w:t>
            </w:r>
          </w:p>
        </w:tc>
      </w:tr>
    </w:tbl>
    <w:p>
      <w:pPr>
        <w:pStyle w:val="Heading8"/>
        <w:spacing w:before="149"/>
        <w:jc w:val="both"/>
      </w:pPr>
      <w:r>
        <w:rPr/>
        <w:t>Table</w:t>
      </w:r>
      <w:r>
        <w:rPr>
          <w:spacing w:val="-7"/>
        </w:rPr>
        <w:t> </w:t>
      </w:r>
      <w:r>
        <w:rPr/>
        <w:t>J6:</w:t>
      </w:r>
      <w:r>
        <w:rPr>
          <w:spacing w:val="-3"/>
        </w:rPr>
        <w:t> </w:t>
      </w:r>
      <w:r>
        <w:rPr/>
        <w:t>Weighted</w:t>
      </w:r>
      <w:r>
        <w:rPr>
          <w:spacing w:val="-5"/>
        </w:rPr>
        <w:t> </w:t>
      </w:r>
      <w:r>
        <w:rPr/>
        <w:t>average</w:t>
      </w:r>
      <w:r>
        <w:rPr>
          <w:spacing w:val="-4"/>
        </w:rPr>
        <w:t> </w:t>
      </w:r>
      <w:r>
        <w:rPr/>
        <w:t>assumptions</w:t>
      </w:r>
      <w:r>
        <w:rPr>
          <w:spacing w:val="-4"/>
        </w:rPr>
        <w:t> </w:t>
      </w:r>
      <w:r>
        <w:rPr/>
        <w:t>used</w:t>
      </w:r>
      <w:r>
        <w:rPr>
          <w:spacing w:val="-5"/>
        </w:rPr>
        <w:t> </w:t>
      </w:r>
      <w:r>
        <w:rPr/>
        <w:t>to</w:t>
      </w:r>
      <w:r>
        <w:rPr>
          <w:spacing w:val="-3"/>
        </w:rPr>
        <w:t> </w:t>
      </w:r>
      <w:r>
        <w:rPr/>
        <w:t>determine</w:t>
      </w:r>
      <w:r>
        <w:rPr>
          <w:spacing w:val="-4"/>
        </w:rPr>
        <w:t> </w:t>
      </w:r>
      <w:r>
        <w:rPr/>
        <w:t>net</w:t>
      </w:r>
      <w:r>
        <w:rPr>
          <w:spacing w:val="-4"/>
        </w:rPr>
        <w:t> </w:t>
      </w:r>
      <w:r>
        <w:rPr/>
        <w:t>periodic</w:t>
      </w:r>
      <w:r>
        <w:rPr>
          <w:spacing w:val="-4"/>
        </w:rPr>
        <w:t> </w:t>
      </w:r>
      <w:r>
        <w:rPr/>
        <w:t>pension</w:t>
      </w:r>
      <w:r>
        <w:rPr>
          <w:spacing w:val="-4"/>
        </w:rPr>
        <w:t> cost</w:t>
      </w:r>
    </w:p>
    <w:p>
      <w:pPr>
        <w:spacing w:before="88" w:after="30"/>
        <w:ind w:left="772" w:right="0" w:firstLine="0"/>
        <w:jc w:val="both"/>
        <w:rPr>
          <w:rFonts w:ascii="Arial"/>
          <w:i/>
          <w:sz w:val="16"/>
        </w:rPr>
      </w:pPr>
      <w:r>
        <w:rPr>
          <w:rFonts w:ascii="Arial"/>
          <w:i/>
          <w:sz w:val="16"/>
        </w:rPr>
        <w:t>In</w:t>
      </w:r>
      <w:r>
        <w:rPr>
          <w:rFonts w:ascii="Arial"/>
          <w:i/>
          <w:spacing w:val="-4"/>
          <w:sz w:val="16"/>
        </w:rPr>
        <w:t> </w:t>
      </w:r>
      <w:r>
        <w:rPr>
          <w:rFonts w:ascii="Arial"/>
          <w:i/>
          <w:sz w:val="16"/>
        </w:rPr>
        <w:t>percent,</w:t>
      </w:r>
      <w:r>
        <w:rPr>
          <w:rFonts w:ascii="Arial"/>
          <w:i/>
          <w:spacing w:val="-2"/>
          <w:sz w:val="16"/>
        </w:rPr>
        <w:t> </w:t>
      </w:r>
      <w:r>
        <w:rPr>
          <w:rFonts w:ascii="Arial"/>
          <w:i/>
          <w:sz w:val="16"/>
        </w:rPr>
        <w:t>except</w:t>
      </w:r>
      <w:r>
        <w:rPr>
          <w:rFonts w:ascii="Arial"/>
          <w:i/>
          <w:spacing w:val="-2"/>
          <w:sz w:val="16"/>
        </w:rPr>
        <w:t> years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0"/>
        <w:gridCol w:w="654"/>
        <w:gridCol w:w="615"/>
        <w:gridCol w:w="576"/>
        <w:gridCol w:w="270"/>
        <w:gridCol w:w="634"/>
        <w:gridCol w:w="635"/>
        <w:gridCol w:w="576"/>
        <w:gridCol w:w="285"/>
        <w:gridCol w:w="636"/>
        <w:gridCol w:w="633"/>
        <w:gridCol w:w="576"/>
      </w:tblGrid>
      <w:tr>
        <w:trPr>
          <w:trHeight w:val="220" w:hRule="atLeast"/>
        </w:trPr>
        <w:tc>
          <w:tcPr>
            <w:tcW w:w="3150" w:type="dxa"/>
            <w:vMerge w:val="restart"/>
            <w:tcBorders>
              <w:top w:val="single" w:sz="8" w:space="0" w:color="000000"/>
            </w:tcBorders>
          </w:tcPr>
          <w:p>
            <w:pPr>
              <w:pStyle w:val="TableParagraph"/>
              <w:rPr>
                <w:rFonts w:ascii="Times New Roman"/>
                <w:sz w:val="18"/>
              </w:rPr>
            </w:pPr>
          </w:p>
        </w:tc>
        <w:tc>
          <w:tcPr>
            <w:tcW w:w="654" w:type="dxa"/>
            <w:tcBorders>
              <w:top w:val="single" w:sz="8" w:space="0" w:color="000000"/>
              <w:bottom w:val="single" w:sz="8" w:space="0" w:color="000000"/>
            </w:tcBorders>
          </w:tcPr>
          <w:p>
            <w:pPr>
              <w:pStyle w:val="TableParagraph"/>
              <w:rPr>
                <w:rFonts w:ascii="Times New Roman"/>
                <w:sz w:val="14"/>
              </w:rPr>
            </w:pPr>
          </w:p>
        </w:tc>
        <w:tc>
          <w:tcPr>
            <w:tcW w:w="615" w:type="dxa"/>
            <w:tcBorders>
              <w:top w:val="single" w:sz="8" w:space="0" w:color="000000"/>
              <w:bottom w:val="single" w:sz="8" w:space="0" w:color="000000"/>
            </w:tcBorders>
          </w:tcPr>
          <w:p>
            <w:pPr>
              <w:pStyle w:val="TableParagraph"/>
              <w:spacing w:line="183" w:lineRule="exact" w:before="16"/>
              <w:ind w:left="104"/>
              <w:rPr>
                <w:rFonts w:ascii="Arial"/>
                <w:i/>
                <w:sz w:val="16"/>
              </w:rPr>
            </w:pPr>
            <w:r>
              <w:rPr>
                <w:rFonts w:ascii="Arial"/>
                <w:i/>
                <w:spacing w:val="-5"/>
                <w:sz w:val="16"/>
              </w:rPr>
              <w:t>SRP</w:t>
            </w:r>
          </w:p>
        </w:tc>
        <w:tc>
          <w:tcPr>
            <w:tcW w:w="576" w:type="dxa"/>
            <w:tcBorders>
              <w:top w:val="single" w:sz="8" w:space="0" w:color="000000"/>
              <w:bottom w:val="single" w:sz="8" w:space="0" w:color="000000"/>
            </w:tcBorders>
          </w:tcPr>
          <w:p>
            <w:pPr>
              <w:pStyle w:val="TableParagraph"/>
              <w:rPr>
                <w:rFonts w:ascii="Times New Roman"/>
                <w:sz w:val="14"/>
              </w:rPr>
            </w:pPr>
          </w:p>
        </w:tc>
        <w:tc>
          <w:tcPr>
            <w:tcW w:w="270" w:type="dxa"/>
            <w:tcBorders>
              <w:top w:val="single" w:sz="8" w:space="0" w:color="000000"/>
            </w:tcBorders>
          </w:tcPr>
          <w:p>
            <w:pPr>
              <w:pStyle w:val="TableParagraph"/>
              <w:rPr>
                <w:rFonts w:ascii="Times New Roman"/>
                <w:sz w:val="14"/>
              </w:rPr>
            </w:pPr>
          </w:p>
        </w:tc>
        <w:tc>
          <w:tcPr>
            <w:tcW w:w="634" w:type="dxa"/>
            <w:tcBorders>
              <w:top w:val="single" w:sz="8" w:space="0" w:color="000000"/>
              <w:bottom w:val="single" w:sz="8" w:space="0" w:color="000000"/>
            </w:tcBorders>
          </w:tcPr>
          <w:p>
            <w:pPr>
              <w:pStyle w:val="TableParagraph"/>
              <w:rPr>
                <w:rFonts w:ascii="Times New Roman"/>
                <w:sz w:val="14"/>
              </w:rPr>
            </w:pPr>
          </w:p>
        </w:tc>
        <w:tc>
          <w:tcPr>
            <w:tcW w:w="635" w:type="dxa"/>
            <w:tcBorders>
              <w:top w:val="single" w:sz="8" w:space="0" w:color="000000"/>
              <w:bottom w:val="single" w:sz="8" w:space="0" w:color="000000"/>
            </w:tcBorders>
          </w:tcPr>
          <w:p>
            <w:pPr>
              <w:pStyle w:val="TableParagraph"/>
              <w:spacing w:line="183" w:lineRule="exact" w:before="16"/>
              <w:ind w:right="126"/>
              <w:jc w:val="right"/>
              <w:rPr>
                <w:rFonts w:ascii="Arial"/>
                <w:i/>
                <w:sz w:val="16"/>
              </w:rPr>
            </w:pPr>
            <w:r>
              <w:rPr>
                <w:rFonts w:ascii="Arial"/>
                <w:i/>
                <w:spacing w:val="-4"/>
                <w:sz w:val="16"/>
              </w:rPr>
              <w:t>RSBP</w:t>
            </w:r>
          </w:p>
        </w:tc>
        <w:tc>
          <w:tcPr>
            <w:tcW w:w="576" w:type="dxa"/>
            <w:tcBorders>
              <w:top w:val="single" w:sz="8" w:space="0" w:color="000000"/>
              <w:bottom w:val="single" w:sz="8" w:space="0" w:color="000000"/>
            </w:tcBorders>
          </w:tcPr>
          <w:p>
            <w:pPr>
              <w:pStyle w:val="TableParagraph"/>
              <w:rPr>
                <w:rFonts w:ascii="Times New Roman"/>
                <w:sz w:val="14"/>
              </w:rPr>
            </w:pPr>
          </w:p>
        </w:tc>
        <w:tc>
          <w:tcPr>
            <w:tcW w:w="285" w:type="dxa"/>
            <w:tcBorders>
              <w:top w:val="single" w:sz="8" w:space="0" w:color="000000"/>
            </w:tcBorders>
          </w:tcPr>
          <w:p>
            <w:pPr>
              <w:pStyle w:val="TableParagraph"/>
              <w:rPr>
                <w:rFonts w:ascii="Times New Roman"/>
                <w:sz w:val="14"/>
              </w:rPr>
            </w:pPr>
          </w:p>
        </w:tc>
        <w:tc>
          <w:tcPr>
            <w:tcW w:w="636" w:type="dxa"/>
            <w:tcBorders>
              <w:top w:val="single" w:sz="8" w:space="0" w:color="000000"/>
              <w:bottom w:val="single" w:sz="8" w:space="0" w:color="000000"/>
            </w:tcBorders>
          </w:tcPr>
          <w:p>
            <w:pPr>
              <w:pStyle w:val="TableParagraph"/>
              <w:rPr>
                <w:rFonts w:ascii="Times New Roman"/>
                <w:sz w:val="14"/>
              </w:rPr>
            </w:pPr>
          </w:p>
        </w:tc>
        <w:tc>
          <w:tcPr>
            <w:tcW w:w="633" w:type="dxa"/>
            <w:tcBorders>
              <w:top w:val="single" w:sz="8" w:space="0" w:color="000000"/>
              <w:bottom w:val="single" w:sz="8" w:space="0" w:color="000000"/>
            </w:tcBorders>
          </w:tcPr>
          <w:p>
            <w:pPr>
              <w:pStyle w:val="TableParagraph"/>
              <w:spacing w:line="183" w:lineRule="exact" w:before="16"/>
              <w:ind w:left="73"/>
              <w:rPr>
                <w:rFonts w:ascii="Arial"/>
                <w:i/>
                <w:sz w:val="16"/>
              </w:rPr>
            </w:pPr>
            <w:r>
              <w:rPr>
                <w:rFonts w:ascii="Arial"/>
                <w:i/>
                <w:spacing w:val="-4"/>
                <w:sz w:val="16"/>
              </w:rPr>
              <w:t>PEBP</w:t>
            </w:r>
          </w:p>
        </w:tc>
        <w:tc>
          <w:tcPr>
            <w:tcW w:w="576" w:type="dxa"/>
            <w:tcBorders>
              <w:top w:val="single" w:sz="8" w:space="0" w:color="000000"/>
              <w:bottom w:val="single" w:sz="8" w:space="0" w:color="000000"/>
            </w:tcBorders>
          </w:tcPr>
          <w:p>
            <w:pPr>
              <w:pStyle w:val="TableParagraph"/>
              <w:rPr>
                <w:rFonts w:ascii="Times New Roman"/>
                <w:sz w:val="14"/>
              </w:rPr>
            </w:pPr>
          </w:p>
        </w:tc>
      </w:tr>
      <w:tr>
        <w:trPr>
          <w:trHeight w:val="220" w:hRule="atLeast"/>
        </w:trPr>
        <w:tc>
          <w:tcPr>
            <w:tcW w:w="3150" w:type="dxa"/>
            <w:vMerge/>
            <w:tcBorders>
              <w:top w:val="nil"/>
            </w:tcBorders>
          </w:tcPr>
          <w:p>
            <w:pPr>
              <w:rPr>
                <w:sz w:val="2"/>
                <w:szCs w:val="2"/>
              </w:rPr>
            </w:pPr>
          </w:p>
        </w:tc>
        <w:tc>
          <w:tcPr>
            <w:tcW w:w="654" w:type="dxa"/>
            <w:tcBorders>
              <w:top w:val="single" w:sz="8" w:space="0" w:color="000000"/>
              <w:bottom w:val="single" w:sz="8" w:space="0" w:color="000000"/>
            </w:tcBorders>
          </w:tcPr>
          <w:p>
            <w:pPr>
              <w:pStyle w:val="TableParagraph"/>
              <w:spacing w:line="183" w:lineRule="exact" w:before="16"/>
              <w:ind w:left="129"/>
              <w:rPr>
                <w:rFonts w:ascii="Arial"/>
                <w:i/>
                <w:sz w:val="16"/>
              </w:rPr>
            </w:pPr>
            <w:r>
              <w:rPr>
                <w:rFonts w:ascii="Arial"/>
                <w:i/>
                <w:spacing w:val="-4"/>
                <w:sz w:val="16"/>
              </w:rPr>
              <w:t>2023</w:t>
            </w:r>
          </w:p>
        </w:tc>
        <w:tc>
          <w:tcPr>
            <w:tcW w:w="615" w:type="dxa"/>
            <w:tcBorders>
              <w:top w:val="single" w:sz="8" w:space="0" w:color="000000"/>
              <w:bottom w:val="single" w:sz="8" w:space="0" w:color="000000"/>
            </w:tcBorders>
          </w:tcPr>
          <w:p>
            <w:pPr>
              <w:pStyle w:val="TableParagraph"/>
              <w:spacing w:line="183" w:lineRule="exact" w:before="16"/>
              <w:ind w:left="90"/>
              <w:rPr>
                <w:rFonts w:ascii="Arial"/>
                <w:i/>
                <w:sz w:val="16"/>
              </w:rPr>
            </w:pPr>
            <w:r>
              <w:rPr>
                <w:rFonts w:ascii="Arial"/>
                <w:i/>
                <w:spacing w:val="-4"/>
                <w:sz w:val="16"/>
              </w:rPr>
              <w:t>2022</w:t>
            </w:r>
          </w:p>
        </w:tc>
        <w:tc>
          <w:tcPr>
            <w:tcW w:w="576" w:type="dxa"/>
            <w:tcBorders>
              <w:top w:val="single" w:sz="8" w:space="0" w:color="000000"/>
              <w:bottom w:val="single" w:sz="8" w:space="0" w:color="000000"/>
            </w:tcBorders>
          </w:tcPr>
          <w:p>
            <w:pPr>
              <w:pStyle w:val="TableParagraph"/>
              <w:spacing w:line="183" w:lineRule="exact" w:before="16"/>
              <w:ind w:left="90"/>
              <w:rPr>
                <w:rFonts w:ascii="Arial"/>
                <w:i/>
                <w:sz w:val="16"/>
              </w:rPr>
            </w:pPr>
            <w:r>
              <w:rPr>
                <w:rFonts w:ascii="Arial"/>
                <w:i/>
                <w:spacing w:val="-4"/>
                <w:sz w:val="16"/>
              </w:rPr>
              <w:t>2021</w:t>
            </w:r>
          </w:p>
        </w:tc>
        <w:tc>
          <w:tcPr>
            <w:tcW w:w="270" w:type="dxa"/>
          </w:tcPr>
          <w:p>
            <w:pPr>
              <w:pStyle w:val="TableParagraph"/>
              <w:rPr>
                <w:rFonts w:ascii="Times New Roman"/>
                <w:sz w:val="14"/>
              </w:rPr>
            </w:pPr>
          </w:p>
        </w:tc>
        <w:tc>
          <w:tcPr>
            <w:tcW w:w="634" w:type="dxa"/>
            <w:tcBorders>
              <w:top w:val="single" w:sz="8" w:space="0" w:color="000000"/>
              <w:bottom w:val="single" w:sz="8" w:space="0" w:color="000000"/>
            </w:tcBorders>
          </w:tcPr>
          <w:p>
            <w:pPr>
              <w:pStyle w:val="TableParagraph"/>
              <w:spacing w:line="183" w:lineRule="exact" w:before="16"/>
              <w:ind w:left="129"/>
              <w:rPr>
                <w:rFonts w:ascii="Arial"/>
                <w:i/>
                <w:sz w:val="16"/>
              </w:rPr>
            </w:pPr>
            <w:r>
              <w:rPr>
                <w:rFonts w:ascii="Arial"/>
                <w:i/>
                <w:spacing w:val="-4"/>
                <w:sz w:val="16"/>
              </w:rPr>
              <w:t>2023</w:t>
            </w:r>
          </w:p>
        </w:tc>
        <w:tc>
          <w:tcPr>
            <w:tcW w:w="635" w:type="dxa"/>
            <w:tcBorders>
              <w:top w:val="single" w:sz="8" w:space="0" w:color="000000"/>
              <w:bottom w:val="single" w:sz="8" w:space="0" w:color="000000"/>
            </w:tcBorders>
          </w:tcPr>
          <w:p>
            <w:pPr>
              <w:pStyle w:val="TableParagraph"/>
              <w:spacing w:line="183" w:lineRule="exact" w:before="16"/>
              <w:ind w:right="166"/>
              <w:jc w:val="right"/>
              <w:rPr>
                <w:rFonts w:ascii="Arial"/>
                <w:i/>
                <w:sz w:val="16"/>
              </w:rPr>
            </w:pPr>
            <w:r>
              <w:rPr>
                <w:rFonts w:ascii="Arial"/>
                <w:i/>
                <w:spacing w:val="-4"/>
                <w:sz w:val="16"/>
              </w:rPr>
              <w:t>2022</w:t>
            </w:r>
          </w:p>
        </w:tc>
        <w:tc>
          <w:tcPr>
            <w:tcW w:w="576" w:type="dxa"/>
            <w:tcBorders>
              <w:top w:val="single" w:sz="8" w:space="0" w:color="000000"/>
              <w:bottom w:val="single" w:sz="8" w:space="0" w:color="000000"/>
            </w:tcBorders>
          </w:tcPr>
          <w:p>
            <w:pPr>
              <w:pStyle w:val="TableParagraph"/>
              <w:spacing w:line="183" w:lineRule="exact" w:before="16"/>
              <w:ind w:left="90"/>
              <w:rPr>
                <w:rFonts w:ascii="Arial"/>
                <w:i/>
                <w:sz w:val="16"/>
              </w:rPr>
            </w:pPr>
            <w:r>
              <w:rPr>
                <w:rFonts w:ascii="Arial"/>
                <w:i/>
                <w:spacing w:val="-4"/>
                <w:sz w:val="16"/>
              </w:rPr>
              <w:t>2021</w:t>
            </w:r>
          </w:p>
        </w:tc>
        <w:tc>
          <w:tcPr>
            <w:tcW w:w="285" w:type="dxa"/>
          </w:tcPr>
          <w:p>
            <w:pPr>
              <w:pStyle w:val="TableParagraph"/>
              <w:rPr>
                <w:rFonts w:ascii="Times New Roman"/>
                <w:sz w:val="14"/>
              </w:rPr>
            </w:pPr>
          </w:p>
        </w:tc>
        <w:tc>
          <w:tcPr>
            <w:tcW w:w="636" w:type="dxa"/>
            <w:tcBorders>
              <w:top w:val="single" w:sz="8" w:space="0" w:color="000000"/>
              <w:bottom w:val="single" w:sz="8" w:space="0" w:color="000000"/>
            </w:tcBorders>
          </w:tcPr>
          <w:p>
            <w:pPr>
              <w:pStyle w:val="TableParagraph"/>
              <w:spacing w:line="183" w:lineRule="exact" w:before="16"/>
              <w:ind w:right="148"/>
              <w:jc w:val="right"/>
              <w:rPr>
                <w:rFonts w:ascii="Arial"/>
                <w:i/>
                <w:sz w:val="16"/>
              </w:rPr>
            </w:pPr>
            <w:r>
              <w:rPr>
                <w:rFonts w:ascii="Arial"/>
                <w:i/>
                <w:spacing w:val="-4"/>
                <w:sz w:val="16"/>
              </w:rPr>
              <w:t>2023</w:t>
            </w:r>
          </w:p>
        </w:tc>
        <w:tc>
          <w:tcPr>
            <w:tcW w:w="633" w:type="dxa"/>
            <w:tcBorders>
              <w:top w:val="single" w:sz="8" w:space="0" w:color="000000"/>
              <w:bottom w:val="single" w:sz="8" w:space="0" w:color="000000"/>
            </w:tcBorders>
          </w:tcPr>
          <w:p>
            <w:pPr>
              <w:pStyle w:val="TableParagraph"/>
              <w:spacing w:line="183" w:lineRule="exact" w:before="16"/>
              <w:ind w:left="108"/>
              <w:rPr>
                <w:rFonts w:ascii="Arial"/>
                <w:i/>
                <w:sz w:val="16"/>
              </w:rPr>
            </w:pPr>
            <w:r>
              <w:rPr>
                <w:rFonts w:ascii="Arial"/>
                <w:i/>
                <w:spacing w:val="-4"/>
                <w:sz w:val="16"/>
              </w:rPr>
              <w:t>2022</w:t>
            </w:r>
          </w:p>
        </w:tc>
        <w:tc>
          <w:tcPr>
            <w:tcW w:w="576" w:type="dxa"/>
            <w:tcBorders>
              <w:top w:val="single" w:sz="8" w:space="0" w:color="000000"/>
              <w:bottom w:val="single" w:sz="8" w:space="0" w:color="000000"/>
            </w:tcBorders>
          </w:tcPr>
          <w:p>
            <w:pPr>
              <w:pStyle w:val="TableParagraph"/>
              <w:spacing w:line="183" w:lineRule="exact" w:before="16"/>
              <w:ind w:left="90"/>
              <w:rPr>
                <w:rFonts w:ascii="Arial"/>
                <w:i/>
                <w:sz w:val="16"/>
              </w:rPr>
            </w:pPr>
            <w:r>
              <w:rPr>
                <w:rFonts w:ascii="Arial"/>
                <w:i/>
                <w:spacing w:val="-4"/>
                <w:sz w:val="16"/>
              </w:rPr>
              <w:t>2021</w:t>
            </w:r>
          </w:p>
        </w:tc>
      </w:tr>
      <w:tr>
        <w:trPr>
          <w:trHeight w:val="230" w:hRule="atLeast"/>
        </w:trPr>
        <w:tc>
          <w:tcPr>
            <w:tcW w:w="3150" w:type="dxa"/>
          </w:tcPr>
          <w:p>
            <w:pPr>
              <w:pStyle w:val="TableParagraph"/>
              <w:spacing w:before="16"/>
              <w:ind w:left="52"/>
              <w:rPr>
                <w:sz w:val="16"/>
              </w:rPr>
            </w:pPr>
            <w:r>
              <w:rPr>
                <w:sz w:val="16"/>
              </w:rPr>
              <w:t>Discount</w:t>
            </w:r>
            <w:r>
              <w:rPr>
                <w:spacing w:val="-7"/>
                <w:sz w:val="16"/>
              </w:rPr>
              <w:t> </w:t>
            </w:r>
            <w:r>
              <w:rPr>
                <w:spacing w:val="-4"/>
                <w:sz w:val="16"/>
              </w:rPr>
              <w:t>rate</w:t>
            </w:r>
          </w:p>
        </w:tc>
        <w:tc>
          <w:tcPr>
            <w:tcW w:w="654" w:type="dxa"/>
            <w:tcBorders>
              <w:top w:val="single" w:sz="8" w:space="0" w:color="000000"/>
            </w:tcBorders>
          </w:tcPr>
          <w:p>
            <w:pPr>
              <w:pStyle w:val="TableParagraph"/>
              <w:spacing w:before="16"/>
              <w:ind w:right="89"/>
              <w:jc w:val="right"/>
              <w:rPr>
                <w:sz w:val="16"/>
              </w:rPr>
            </w:pPr>
            <w:r>
              <w:rPr>
                <w:spacing w:val="-4"/>
                <w:sz w:val="16"/>
              </w:rPr>
              <w:t>4.40</w:t>
            </w:r>
          </w:p>
        </w:tc>
        <w:tc>
          <w:tcPr>
            <w:tcW w:w="615" w:type="dxa"/>
            <w:tcBorders>
              <w:top w:val="single" w:sz="8" w:space="0" w:color="000000"/>
            </w:tcBorders>
          </w:tcPr>
          <w:p>
            <w:pPr>
              <w:pStyle w:val="TableParagraph"/>
              <w:spacing w:before="16"/>
              <w:ind w:right="89"/>
              <w:jc w:val="right"/>
              <w:rPr>
                <w:sz w:val="16"/>
              </w:rPr>
            </w:pPr>
            <w:r>
              <w:rPr>
                <w:spacing w:val="-4"/>
                <w:sz w:val="16"/>
              </w:rPr>
              <w:t>2.70</w:t>
            </w:r>
          </w:p>
        </w:tc>
        <w:tc>
          <w:tcPr>
            <w:tcW w:w="576" w:type="dxa"/>
            <w:tcBorders>
              <w:top w:val="single" w:sz="8" w:space="0" w:color="000000"/>
            </w:tcBorders>
          </w:tcPr>
          <w:p>
            <w:pPr>
              <w:pStyle w:val="TableParagraph"/>
              <w:spacing w:before="16"/>
              <w:ind w:right="50"/>
              <w:jc w:val="right"/>
              <w:rPr>
                <w:sz w:val="16"/>
              </w:rPr>
            </w:pPr>
            <w:r>
              <w:rPr>
                <w:spacing w:val="-4"/>
                <w:sz w:val="16"/>
              </w:rPr>
              <w:t>2.60</w:t>
            </w:r>
          </w:p>
        </w:tc>
        <w:tc>
          <w:tcPr>
            <w:tcW w:w="270" w:type="dxa"/>
          </w:tcPr>
          <w:p>
            <w:pPr>
              <w:pStyle w:val="TableParagraph"/>
              <w:rPr>
                <w:rFonts w:ascii="Times New Roman"/>
                <w:sz w:val="16"/>
              </w:rPr>
            </w:pPr>
          </w:p>
        </w:tc>
        <w:tc>
          <w:tcPr>
            <w:tcW w:w="634" w:type="dxa"/>
            <w:tcBorders>
              <w:top w:val="single" w:sz="8" w:space="0" w:color="000000"/>
            </w:tcBorders>
          </w:tcPr>
          <w:p>
            <w:pPr>
              <w:pStyle w:val="TableParagraph"/>
              <w:spacing w:before="16"/>
              <w:ind w:right="69"/>
              <w:jc w:val="right"/>
              <w:rPr>
                <w:sz w:val="16"/>
              </w:rPr>
            </w:pPr>
            <w:r>
              <w:rPr>
                <w:spacing w:val="-4"/>
                <w:sz w:val="16"/>
              </w:rPr>
              <w:t>4.50</w:t>
            </w:r>
          </w:p>
        </w:tc>
        <w:tc>
          <w:tcPr>
            <w:tcW w:w="635" w:type="dxa"/>
            <w:tcBorders>
              <w:top w:val="single" w:sz="8" w:space="0" w:color="000000"/>
            </w:tcBorders>
          </w:tcPr>
          <w:p>
            <w:pPr>
              <w:pStyle w:val="TableParagraph"/>
              <w:spacing w:before="16"/>
              <w:ind w:right="89"/>
              <w:jc w:val="right"/>
              <w:rPr>
                <w:sz w:val="16"/>
              </w:rPr>
            </w:pPr>
            <w:r>
              <w:rPr>
                <w:spacing w:val="-4"/>
                <w:sz w:val="16"/>
              </w:rPr>
              <w:t>2.80</w:t>
            </w:r>
          </w:p>
        </w:tc>
        <w:tc>
          <w:tcPr>
            <w:tcW w:w="576" w:type="dxa"/>
            <w:tcBorders>
              <w:top w:val="single" w:sz="8" w:space="0" w:color="000000"/>
            </w:tcBorders>
          </w:tcPr>
          <w:p>
            <w:pPr>
              <w:pStyle w:val="TableParagraph"/>
              <w:spacing w:before="16"/>
              <w:ind w:right="50"/>
              <w:jc w:val="right"/>
              <w:rPr>
                <w:sz w:val="16"/>
              </w:rPr>
            </w:pPr>
            <w:r>
              <w:rPr>
                <w:spacing w:val="-4"/>
                <w:sz w:val="16"/>
              </w:rPr>
              <w:t>2.70</w:t>
            </w:r>
          </w:p>
        </w:tc>
        <w:tc>
          <w:tcPr>
            <w:tcW w:w="285" w:type="dxa"/>
          </w:tcPr>
          <w:p>
            <w:pPr>
              <w:pStyle w:val="TableParagraph"/>
              <w:rPr>
                <w:rFonts w:ascii="Times New Roman"/>
                <w:sz w:val="16"/>
              </w:rPr>
            </w:pPr>
          </w:p>
        </w:tc>
        <w:tc>
          <w:tcPr>
            <w:tcW w:w="636" w:type="dxa"/>
            <w:tcBorders>
              <w:top w:val="single" w:sz="8" w:space="0" w:color="000000"/>
            </w:tcBorders>
          </w:tcPr>
          <w:p>
            <w:pPr>
              <w:pStyle w:val="TableParagraph"/>
              <w:spacing w:before="16"/>
              <w:ind w:right="71"/>
              <w:jc w:val="right"/>
              <w:rPr>
                <w:sz w:val="16"/>
              </w:rPr>
            </w:pPr>
            <w:r>
              <w:rPr>
                <w:spacing w:val="-4"/>
                <w:sz w:val="16"/>
              </w:rPr>
              <w:t>4.50</w:t>
            </w:r>
          </w:p>
        </w:tc>
        <w:tc>
          <w:tcPr>
            <w:tcW w:w="633" w:type="dxa"/>
            <w:tcBorders>
              <w:top w:val="single" w:sz="8" w:space="0" w:color="000000"/>
            </w:tcBorders>
          </w:tcPr>
          <w:p>
            <w:pPr>
              <w:pStyle w:val="TableParagraph"/>
              <w:spacing w:before="16"/>
              <w:ind w:right="89"/>
              <w:jc w:val="right"/>
              <w:rPr>
                <w:sz w:val="16"/>
              </w:rPr>
            </w:pPr>
            <w:r>
              <w:rPr>
                <w:spacing w:val="-4"/>
                <w:sz w:val="16"/>
              </w:rPr>
              <w:t>2.80</w:t>
            </w:r>
          </w:p>
        </w:tc>
        <w:tc>
          <w:tcPr>
            <w:tcW w:w="576" w:type="dxa"/>
            <w:tcBorders>
              <w:top w:val="single" w:sz="8" w:space="0" w:color="000000"/>
            </w:tcBorders>
          </w:tcPr>
          <w:p>
            <w:pPr>
              <w:pStyle w:val="TableParagraph"/>
              <w:spacing w:before="16"/>
              <w:ind w:right="50"/>
              <w:jc w:val="right"/>
              <w:rPr>
                <w:sz w:val="16"/>
              </w:rPr>
            </w:pPr>
            <w:r>
              <w:rPr>
                <w:spacing w:val="-4"/>
                <w:sz w:val="16"/>
              </w:rPr>
              <w:t>2.60</w:t>
            </w:r>
          </w:p>
        </w:tc>
      </w:tr>
      <w:tr>
        <w:trPr>
          <w:trHeight w:val="240" w:hRule="atLeast"/>
        </w:trPr>
        <w:tc>
          <w:tcPr>
            <w:tcW w:w="3150" w:type="dxa"/>
          </w:tcPr>
          <w:p>
            <w:pPr>
              <w:pStyle w:val="TableParagraph"/>
              <w:spacing w:before="25"/>
              <w:ind w:left="52"/>
              <w:rPr>
                <w:sz w:val="16"/>
              </w:rPr>
            </w:pPr>
            <w:r>
              <w:rPr>
                <w:sz w:val="16"/>
              </w:rPr>
              <w:t>Expected</w:t>
            </w:r>
            <w:r>
              <w:rPr>
                <w:spacing w:val="-4"/>
                <w:sz w:val="16"/>
              </w:rPr>
              <w:t> </w:t>
            </w:r>
            <w:r>
              <w:rPr>
                <w:sz w:val="16"/>
              </w:rPr>
              <w:t>return</w:t>
            </w:r>
            <w:r>
              <w:rPr>
                <w:spacing w:val="-3"/>
                <w:sz w:val="16"/>
              </w:rPr>
              <w:t> </w:t>
            </w:r>
            <w:r>
              <w:rPr>
                <w:sz w:val="16"/>
              </w:rPr>
              <w:t>on</w:t>
            </w:r>
            <w:r>
              <w:rPr>
                <w:spacing w:val="-3"/>
                <w:sz w:val="16"/>
              </w:rPr>
              <w:t> </w:t>
            </w:r>
            <w:r>
              <w:rPr>
                <w:sz w:val="16"/>
              </w:rPr>
              <w:t>plan</w:t>
            </w:r>
            <w:r>
              <w:rPr>
                <w:spacing w:val="-3"/>
                <w:sz w:val="16"/>
              </w:rPr>
              <w:t> </w:t>
            </w:r>
            <w:r>
              <w:rPr>
                <w:spacing w:val="-2"/>
                <w:sz w:val="16"/>
              </w:rPr>
              <w:t>assets</w:t>
            </w:r>
          </w:p>
        </w:tc>
        <w:tc>
          <w:tcPr>
            <w:tcW w:w="654" w:type="dxa"/>
          </w:tcPr>
          <w:p>
            <w:pPr>
              <w:pStyle w:val="TableParagraph"/>
              <w:spacing w:before="25"/>
              <w:ind w:right="89"/>
              <w:jc w:val="right"/>
              <w:rPr>
                <w:sz w:val="16"/>
              </w:rPr>
            </w:pPr>
            <w:r>
              <w:rPr>
                <w:spacing w:val="-4"/>
                <w:sz w:val="16"/>
              </w:rPr>
              <w:t>5.90</w:t>
            </w:r>
          </w:p>
        </w:tc>
        <w:tc>
          <w:tcPr>
            <w:tcW w:w="615" w:type="dxa"/>
          </w:tcPr>
          <w:p>
            <w:pPr>
              <w:pStyle w:val="TableParagraph"/>
              <w:spacing w:before="25"/>
              <w:ind w:right="89"/>
              <w:jc w:val="right"/>
              <w:rPr>
                <w:sz w:val="16"/>
              </w:rPr>
            </w:pPr>
            <w:r>
              <w:rPr>
                <w:spacing w:val="-4"/>
                <w:sz w:val="16"/>
              </w:rPr>
              <w:t>5.40</w:t>
            </w:r>
          </w:p>
        </w:tc>
        <w:tc>
          <w:tcPr>
            <w:tcW w:w="576" w:type="dxa"/>
          </w:tcPr>
          <w:p>
            <w:pPr>
              <w:pStyle w:val="TableParagraph"/>
              <w:spacing w:before="25"/>
              <w:ind w:right="50"/>
              <w:jc w:val="right"/>
              <w:rPr>
                <w:sz w:val="16"/>
              </w:rPr>
            </w:pPr>
            <w:r>
              <w:rPr>
                <w:spacing w:val="-4"/>
                <w:sz w:val="16"/>
              </w:rPr>
              <w:t>5.10</w:t>
            </w:r>
          </w:p>
        </w:tc>
        <w:tc>
          <w:tcPr>
            <w:tcW w:w="270" w:type="dxa"/>
          </w:tcPr>
          <w:p>
            <w:pPr>
              <w:pStyle w:val="TableParagraph"/>
              <w:rPr>
                <w:rFonts w:ascii="Times New Roman"/>
                <w:sz w:val="16"/>
              </w:rPr>
            </w:pPr>
          </w:p>
        </w:tc>
        <w:tc>
          <w:tcPr>
            <w:tcW w:w="634" w:type="dxa"/>
          </w:tcPr>
          <w:p>
            <w:pPr>
              <w:pStyle w:val="TableParagraph"/>
              <w:spacing w:before="25"/>
              <w:ind w:right="69"/>
              <w:jc w:val="right"/>
              <w:rPr>
                <w:sz w:val="16"/>
              </w:rPr>
            </w:pPr>
            <w:r>
              <w:rPr>
                <w:spacing w:val="-4"/>
                <w:sz w:val="16"/>
              </w:rPr>
              <w:t>5.90</w:t>
            </w:r>
          </w:p>
        </w:tc>
        <w:tc>
          <w:tcPr>
            <w:tcW w:w="635" w:type="dxa"/>
          </w:tcPr>
          <w:p>
            <w:pPr>
              <w:pStyle w:val="TableParagraph"/>
              <w:spacing w:before="25"/>
              <w:ind w:right="89"/>
              <w:jc w:val="right"/>
              <w:rPr>
                <w:sz w:val="16"/>
              </w:rPr>
            </w:pPr>
            <w:r>
              <w:rPr>
                <w:spacing w:val="-4"/>
                <w:sz w:val="16"/>
              </w:rPr>
              <w:t>5.40</w:t>
            </w:r>
          </w:p>
        </w:tc>
        <w:tc>
          <w:tcPr>
            <w:tcW w:w="576" w:type="dxa"/>
          </w:tcPr>
          <w:p>
            <w:pPr>
              <w:pStyle w:val="TableParagraph"/>
              <w:spacing w:before="25"/>
              <w:ind w:right="50"/>
              <w:jc w:val="right"/>
              <w:rPr>
                <w:sz w:val="16"/>
              </w:rPr>
            </w:pPr>
            <w:r>
              <w:rPr>
                <w:spacing w:val="-4"/>
                <w:sz w:val="16"/>
              </w:rPr>
              <w:t>5.10</w:t>
            </w:r>
          </w:p>
        </w:tc>
        <w:tc>
          <w:tcPr>
            <w:tcW w:w="285" w:type="dxa"/>
          </w:tcPr>
          <w:p>
            <w:pPr>
              <w:pStyle w:val="TableParagraph"/>
              <w:rPr>
                <w:rFonts w:ascii="Times New Roman"/>
                <w:sz w:val="16"/>
              </w:rPr>
            </w:pPr>
          </w:p>
        </w:tc>
        <w:tc>
          <w:tcPr>
            <w:tcW w:w="636" w:type="dxa"/>
          </w:tcPr>
          <w:p>
            <w:pPr>
              <w:pStyle w:val="TableParagraph"/>
              <w:rPr>
                <w:rFonts w:ascii="Times New Roman"/>
                <w:sz w:val="16"/>
              </w:rPr>
            </w:pPr>
          </w:p>
        </w:tc>
        <w:tc>
          <w:tcPr>
            <w:tcW w:w="633" w:type="dxa"/>
          </w:tcPr>
          <w:p>
            <w:pPr>
              <w:pStyle w:val="TableParagraph"/>
              <w:rPr>
                <w:rFonts w:ascii="Times New Roman"/>
                <w:sz w:val="16"/>
              </w:rPr>
            </w:pPr>
          </w:p>
        </w:tc>
        <w:tc>
          <w:tcPr>
            <w:tcW w:w="576" w:type="dxa"/>
          </w:tcPr>
          <w:p>
            <w:pPr>
              <w:pStyle w:val="TableParagraph"/>
              <w:rPr>
                <w:rFonts w:ascii="Times New Roman"/>
                <w:sz w:val="16"/>
              </w:rPr>
            </w:pPr>
          </w:p>
        </w:tc>
      </w:tr>
      <w:tr>
        <w:trPr>
          <w:trHeight w:val="240" w:hRule="atLeast"/>
        </w:trPr>
        <w:tc>
          <w:tcPr>
            <w:tcW w:w="3150" w:type="dxa"/>
          </w:tcPr>
          <w:p>
            <w:pPr>
              <w:pStyle w:val="TableParagraph"/>
              <w:spacing w:before="25"/>
              <w:ind w:left="52"/>
              <w:rPr>
                <w:sz w:val="16"/>
              </w:rPr>
            </w:pPr>
            <w:r>
              <w:rPr>
                <w:sz w:val="16"/>
              </w:rPr>
              <w:t>Rate</w:t>
            </w:r>
            <w:r>
              <w:rPr>
                <w:spacing w:val="-5"/>
                <w:sz w:val="16"/>
              </w:rPr>
              <w:t> </w:t>
            </w:r>
            <w:r>
              <w:rPr>
                <w:sz w:val="16"/>
              </w:rPr>
              <w:t>of</w:t>
            </w:r>
            <w:r>
              <w:rPr>
                <w:spacing w:val="-3"/>
                <w:sz w:val="16"/>
              </w:rPr>
              <w:t> </w:t>
            </w:r>
            <w:r>
              <w:rPr>
                <w:sz w:val="16"/>
              </w:rPr>
              <w:t>compensation</w:t>
            </w:r>
            <w:r>
              <w:rPr>
                <w:spacing w:val="-4"/>
                <w:sz w:val="16"/>
              </w:rPr>
              <w:t> </w:t>
            </w:r>
            <w:r>
              <w:rPr>
                <w:spacing w:val="-2"/>
                <w:sz w:val="16"/>
              </w:rPr>
              <w:t>increase</w:t>
            </w:r>
          </w:p>
        </w:tc>
        <w:tc>
          <w:tcPr>
            <w:tcW w:w="654" w:type="dxa"/>
          </w:tcPr>
          <w:p>
            <w:pPr>
              <w:pStyle w:val="TableParagraph"/>
              <w:spacing w:before="25"/>
              <w:ind w:right="89"/>
              <w:jc w:val="right"/>
              <w:rPr>
                <w:sz w:val="16"/>
              </w:rPr>
            </w:pPr>
            <w:r>
              <w:rPr>
                <w:spacing w:val="-4"/>
                <w:sz w:val="16"/>
              </w:rPr>
              <w:t>5.30</w:t>
            </w:r>
          </w:p>
        </w:tc>
        <w:tc>
          <w:tcPr>
            <w:tcW w:w="615" w:type="dxa"/>
          </w:tcPr>
          <w:p>
            <w:pPr>
              <w:pStyle w:val="TableParagraph"/>
              <w:spacing w:before="25"/>
              <w:ind w:right="89"/>
              <w:jc w:val="right"/>
              <w:rPr>
                <w:sz w:val="16"/>
              </w:rPr>
            </w:pPr>
            <w:r>
              <w:rPr>
                <w:spacing w:val="-4"/>
                <w:sz w:val="16"/>
              </w:rPr>
              <w:t>4.80</w:t>
            </w:r>
          </w:p>
        </w:tc>
        <w:tc>
          <w:tcPr>
            <w:tcW w:w="576" w:type="dxa"/>
          </w:tcPr>
          <w:p>
            <w:pPr>
              <w:pStyle w:val="TableParagraph"/>
              <w:spacing w:before="25"/>
              <w:ind w:right="50"/>
              <w:jc w:val="right"/>
              <w:rPr>
                <w:sz w:val="16"/>
              </w:rPr>
            </w:pPr>
            <w:r>
              <w:rPr>
                <w:spacing w:val="-4"/>
                <w:sz w:val="16"/>
              </w:rPr>
              <w:t>4.60</w:t>
            </w:r>
          </w:p>
        </w:tc>
        <w:tc>
          <w:tcPr>
            <w:tcW w:w="270" w:type="dxa"/>
          </w:tcPr>
          <w:p>
            <w:pPr>
              <w:pStyle w:val="TableParagraph"/>
              <w:rPr>
                <w:rFonts w:ascii="Times New Roman"/>
                <w:sz w:val="16"/>
              </w:rPr>
            </w:pPr>
          </w:p>
        </w:tc>
        <w:tc>
          <w:tcPr>
            <w:tcW w:w="634" w:type="dxa"/>
          </w:tcPr>
          <w:p>
            <w:pPr>
              <w:pStyle w:val="TableParagraph"/>
              <w:rPr>
                <w:rFonts w:ascii="Times New Roman"/>
                <w:sz w:val="16"/>
              </w:rPr>
            </w:pPr>
          </w:p>
        </w:tc>
        <w:tc>
          <w:tcPr>
            <w:tcW w:w="635" w:type="dxa"/>
          </w:tcPr>
          <w:p>
            <w:pPr>
              <w:pStyle w:val="TableParagraph"/>
              <w:rPr>
                <w:rFonts w:ascii="Times New Roman"/>
                <w:sz w:val="16"/>
              </w:rPr>
            </w:pPr>
          </w:p>
        </w:tc>
        <w:tc>
          <w:tcPr>
            <w:tcW w:w="576" w:type="dxa"/>
          </w:tcPr>
          <w:p>
            <w:pPr>
              <w:pStyle w:val="TableParagraph"/>
              <w:rPr>
                <w:rFonts w:ascii="Times New Roman"/>
                <w:sz w:val="16"/>
              </w:rPr>
            </w:pPr>
          </w:p>
        </w:tc>
        <w:tc>
          <w:tcPr>
            <w:tcW w:w="285" w:type="dxa"/>
          </w:tcPr>
          <w:p>
            <w:pPr>
              <w:pStyle w:val="TableParagraph"/>
              <w:rPr>
                <w:rFonts w:ascii="Times New Roman"/>
                <w:sz w:val="16"/>
              </w:rPr>
            </w:pPr>
          </w:p>
        </w:tc>
        <w:tc>
          <w:tcPr>
            <w:tcW w:w="636" w:type="dxa"/>
          </w:tcPr>
          <w:p>
            <w:pPr>
              <w:pStyle w:val="TableParagraph"/>
              <w:spacing w:before="25"/>
              <w:ind w:right="71"/>
              <w:jc w:val="right"/>
              <w:rPr>
                <w:sz w:val="16"/>
              </w:rPr>
            </w:pPr>
            <w:r>
              <w:rPr>
                <w:spacing w:val="-4"/>
                <w:sz w:val="16"/>
              </w:rPr>
              <w:t>5.30</w:t>
            </w:r>
          </w:p>
        </w:tc>
        <w:tc>
          <w:tcPr>
            <w:tcW w:w="633" w:type="dxa"/>
          </w:tcPr>
          <w:p>
            <w:pPr>
              <w:pStyle w:val="TableParagraph"/>
              <w:spacing w:before="25"/>
              <w:ind w:right="89"/>
              <w:jc w:val="right"/>
              <w:rPr>
                <w:sz w:val="16"/>
              </w:rPr>
            </w:pPr>
            <w:r>
              <w:rPr>
                <w:spacing w:val="-4"/>
                <w:sz w:val="16"/>
              </w:rPr>
              <w:t>4.80</w:t>
            </w:r>
          </w:p>
        </w:tc>
        <w:tc>
          <w:tcPr>
            <w:tcW w:w="576" w:type="dxa"/>
          </w:tcPr>
          <w:p>
            <w:pPr>
              <w:pStyle w:val="TableParagraph"/>
              <w:spacing w:before="25"/>
              <w:ind w:right="50"/>
              <w:jc w:val="right"/>
              <w:rPr>
                <w:sz w:val="16"/>
              </w:rPr>
            </w:pPr>
            <w:r>
              <w:rPr>
                <w:spacing w:val="-4"/>
                <w:sz w:val="16"/>
              </w:rPr>
              <w:t>4.60</w:t>
            </w:r>
          </w:p>
        </w:tc>
      </w:tr>
      <w:tr>
        <w:trPr>
          <w:trHeight w:val="240" w:hRule="atLeast"/>
        </w:trPr>
        <w:tc>
          <w:tcPr>
            <w:tcW w:w="3150" w:type="dxa"/>
          </w:tcPr>
          <w:p>
            <w:pPr>
              <w:pStyle w:val="TableParagraph"/>
              <w:spacing w:before="25"/>
              <w:ind w:left="52"/>
              <w:rPr>
                <w:sz w:val="16"/>
              </w:rPr>
            </w:pPr>
            <w:r>
              <w:rPr>
                <w:sz w:val="16"/>
              </w:rPr>
              <w:t>Health</w:t>
            </w:r>
            <w:r>
              <w:rPr>
                <w:spacing w:val="-4"/>
                <w:sz w:val="16"/>
              </w:rPr>
              <w:t> </w:t>
            </w:r>
            <w:r>
              <w:rPr>
                <w:sz w:val="16"/>
              </w:rPr>
              <w:t>care</w:t>
            </w:r>
            <w:r>
              <w:rPr>
                <w:spacing w:val="-4"/>
                <w:sz w:val="16"/>
              </w:rPr>
              <w:t> </w:t>
            </w:r>
            <w:r>
              <w:rPr>
                <w:sz w:val="16"/>
              </w:rPr>
              <w:t>growth</w:t>
            </w:r>
            <w:r>
              <w:rPr>
                <w:spacing w:val="-3"/>
                <w:sz w:val="16"/>
              </w:rPr>
              <w:t> </w:t>
            </w:r>
            <w:r>
              <w:rPr>
                <w:spacing w:val="-4"/>
                <w:sz w:val="16"/>
              </w:rPr>
              <w:t>rates</w:t>
            </w:r>
          </w:p>
        </w:tc>
        <w:tc>
          <w:tcPr>
            <w:tcW w:w="654" w:type="dxa"/>
          </w:tcPr>
          <w:p>
            <w:pPr>
              <w:pStyle w:val="TableParagraph"/>
              <w:rPr>
                <w:rFonts w:ascii="Times New Roman"/>
                <w:sz w:val="16"/>
              </w:rPr>
            </w:pPr>
          </w:p>
        </w:tc>
        <w:tc>
          <w:tcPr>
            <w:tcW w:w="615" w:type="dxa"/>
          </w:tcPr>
          <w:p>
            <w:pPr>
              <w:pStyle w:val="TableParagraph"/>
              <w:rPr>
                <w:rFonts w:ascii="Times New Roman"/>
                <w:sz w:val="16"/>
              </w:rPr>
            </w:pPr>
          </w:p>
        </w:tc>
        <w:tc>
          <w:tcPr>
            <w:tcW w:w="576" w:type="dxa"/>
          </w:tcPr>
          <w:p>
            <w:pPr>
              <w:pStyle w:val="TableParagraph"/>
              <w:rPr>
                <w:rFonts w:ascii="Times New Roman"/>
                <w:sz w:val="16"/>
              </w:rPr>
            </w:pPr>
          </w:p>
        </w:tc>
        <w:tc>
          <w:tcPr>
            <w:tcW w:w="270" w:type="dxa"/>
          </w:tcPr>
          <w:p>
            <w:pPr>
              <w:pStyle w:val="TableParagraph"/>
              <w:rPr>
                <w:rFonts w:ascii="Times New Roman"/>
                <w:sz w:val="16"/>
              </w:rPr>
            </w:pPr>
          </w:p>
        </w:tc>
        <w:tc>
          <w:tcPr>
            <w:tcW w:w="634" w:type="dxa"/>
          </w:tcPr>
          <w:p>
            <w:pPr>
              <w:pStyle w:val="TableParagraph"/>
              <w:rPr>
                <w:rFonts w:ascii="Times New Roman"/>
                <w:sz w:val="16"/>
              </w:rPr>
            </w:pPr>
          </w:p>
        </w:tc>
        <w:tc>
          <w:tcPr>
            <w:tcW w:w="635" w:type="dxa"/>
          </w:tcPr>
          <w:p>
            <w:pPr>
              <w:pStyle w:val="TableParagraph"/>
              <w:rPr>
                <w:rFonts w:ascii="Times New Roman"/>
                <w:sz w:val="16"/>
              </w:rPr>
            </w:pPr>
          </w:p>
        </w:tc>
        <w:tc>
          <w:tcPr>
            <w:tcW w:w="576" w:type="dxa"/>
          </w:tcPr>
          <w:p>
            <w:pPr>
              <w:pStyle w:val="TableParagraph"/>
              <w:rPr>
                <w:rFonts w:ascii="Times New Roman"/>
                <w:sz w:val="16"/>
              </w:rPr>
            </w:pPr>
          </w:p>
        </w:tc>
        <w:tc>
          <w:tcPr>
            <w:tcW w:w="285" w:type="dxa"/>
          </w:tcPr>
          <w:p>
            <w:pPr>
              <w:pStyle w:val="TableParagraph"/>
              <w:rPr>
                <w:rFonts w:ascii="Times New Roman"/>
                <w:sz w:val="16"/>
              </w:rPr>
            </w:pPr>
          </w:p>
        </w:tc>
        <w:tc>
          <w:tcPr>
            <w:tcW w:w="636" w:type="dxa"/>
          </w:tcPr>
          <w:p>
            <w:pPr>
              <w:pStyle w:val="TableParagraph"/>
              <w:rPr>
                <w:rFonts w:ascii="Times New Roman"/>
                <w:sz w:val="16"/>
              </w:rPr>
            </w:pPr>
          </w:p>
        </w:tc>
        <w:tc>
          <w:tcPr>
            <w:tcW w:w="633" w:type="dxa"/>
          </w:tcPr>
          <w:p>
            <w:pPr>
              <w:pStyle w:val="TableParagraph"/>
              <w:rPr>
                <w:rFonts w:ascii="Times New Roman"/>
                <w:sz w:val="16"/>
              </w:rPr>
            </w:pPr>
          </w:p>
        </w:tc>
        <w:tc>
          <w:tcPr>
            <w:tcW w:w="576" w:type="dxa"/>
          </w:tcPr>
          <w:p>
            <w:pPr>
              <w:pStyle w:val="TableParagraph"/>
              <w:rPr>
                <w:rFonts w:ascii="Times New Roman"/>
                <w:sz w:val="16"/>
              </w:rPr>
            </w:pPr>
          </w:p>
        </w:tc>
      </w:tr>
      <w:tr>
        <w:trPr>
          <w:trHeight w:val="240" w:hRule="atLeast"/>
        </w:trPr>
        <w:tc>
          <w:tcPr>
            <w:tcW w:w="3150" w:type="dxa"/>
          </w:tcPr>
          <w:p>
            <w:pPr>
              <w:pStyle w:val="TableParagraph"/>
              <w:spacing w:before="25"/>
              <w:ind w:left="232"/>
              <w:rPr>
                <w:sz w:val="16"/>
              </w:rPr>
            </w:pPr>
            <w:r>
              <w:rPr>
                <w:sz w:val="16"/>
              </w:rPr>
              <w:t>–</w:t>
            </w:r>
            <w:r>
              <w:rPr>
                <w:spacing w:val="43"/>
                <w:sz w:val="16"/>
              </w:rPr>
              <w:t> </w:t>
            </w:r>
            <w:r>
              <w:rPr>
                <w:sz w:val="16"/>
              </w:rPr>
              <w:t>at</w:t>
            </w:r>
            <w:r>
              <w:rPr>
                <w:spacing w:val="-1"/>
                <w:sz w:val="16"/>
              </w:rPr>
              <w:t> </w:t>
            </w:r>
            <w:r>
              <w:rPr>
                <w:sz w:val="16"/>
              </w:rPr>
              <w:t>end</w:t>
            </w:r>
            <w:r>
              <w:rPr>
                <w:spacing w:val="-1"/>
                <w:sz w:val="16"/>
              </w:rPr>
              <w:t> </w:t>
            </w:r>
            <w:r>
              <w:rPr>
                <w:sz w:val="16"/>
              </w:rPr>
              <w:t>of</w:t>
            </w:r>
            <w:r>
              <w:rPr>
                <w:spacing w:val="-1"/>
                <w:sz w:val="16"/>
              </w:rPr>
              <w:t> </w:t>
            </w:r>
            <w:r>
              <w:rPr>
                <w:sz w:val="16"/>
              </w:rPr>
              <w:t>fiscal</w:t>
            </w:r>
            <w:r>
              <w:rPr>
                <w:spacing w:val="-1"/>
                <w:sz w:val="16"/>
              </w:rPr>
              <w:t> </w:t>
            </w:r>
            <w:r>
              <w:rPr>
                <w:spacing w:val="-4"/>
                <w:sz w:val="16"/>
              </w:rPr>
              <w:t>year</w:t>
            </w:r>
          </w:p>
        </w:tc>
        <w:tc>
          <w:tcPr>
            <w:tcW w:w="654" w:type="dxa"/>
          </w:tcPr>
          <w:p>
            <w:pPr>
              <w:pStyle w:val="TableParagraph"/>
              <w:rPr>
                <w:rFonts w:ascii="Times New Roman"/>
                <w:sz w:val="16"/>
              </w:rPr>
            </w:pPr>
          </w:p>
        </w:tc>
        <w:tc>
          <w:tcPr>
            <w:tcW w:w="615" w:type="dxa"/>
          </w:tcPr>
          <w:p>
            <w:pPr>
              <w:pStyle w:val="TableParagraph"/>
              <w:rPr>
                <w:rFonts w:ascii="Times New Roman"/>
                <w:sz w:val="16"/>
              </w:rPr>
            </w:pPr>
          </w:p>
        </w:tc>
        <w:tc>
          <w:tcPr>
            <w:tcW w:w="576" w:type="dxa"/>
          </w:tcPr>
          <w:p>
            <w:pPr>
              <w:pStyle w:val="TableParagraph"/>
              <w:rPr>
                <w:rFonts w:ascii="Times New Roman"/>
                <w:sz w:val="16"/>
              </w:rPr>
            </w:pPr>
          </w:p>
        </w:tc>
        <w:tc>
          <w:tcPr>
            <w:tcW w:w="270" w:type="dxa"/>
          </w:tcPr>
          <w:p>
            <w:pPr>
              <w:pStyle w:val="TableParagraph"/>
              <w:rPr>
                <w:rFonts w:ascii="Times New Roman"/>
                <w:sz w:val="16"/>
              </w:rPr>
            </w:pPr>
          </w:p>
        </w:tc>
        <w:tc>
          <w:tcPr>
            <w:tcW w:w="634" w:type="dxa"/>
          </w:tcPr>
          <w:p>
            <w:pPr>
              <w:pStyle w:val="TableParagraph"/>
              <w:spacing w:before="25"/>
              <w:ind w:right="69"/>
              <w:jc w:val="right"/>
              <w:rPr>
                <w:sz w:val="16"/>
              </w:rPr>
            </w:pPr>
            <w:r>
              <w:rPr>
                <w:spacing w:val="-4"/>
                <w:sz w:val="16"/>
              </w:rPr>
              <w:t>5.80</w:t>
            </w:r>
          </w:p>
        </w:tc>
        <w:tc>
          <w:tcPr>
            <w:tcW w:w="635" w:type="dxa"/>
          </w:tcPr>
          <w:p>
            <w:pPr>
              <w:pStyle w:val="TableParagraph"/>
              <w:spacing w:before="25"/>
              <w:ind w:right="89"/>
              <w:jc w:val="right"/>
              <w:rPr>
                <w:sz w:val="16"/>
              </w:rPr>
            </w:pPr>
            <w:r>
              <w:rPr>
                <w:spacing w:val="-4"/>
                <w:sz w:val="16"/>
              </w:rPr>
              <w:t>5.40</w:t>
            </w:r>
          </w:p>
        </w:tc>
        <w:tc>
          <w:tcPr>
            <w:tcW w:w="576" w:type="dxa"/>
          </w:tcPr>
          <w:p>
            <w:pPr>
              <w:pStyle w:val="TableParagraph"/>
              <w:spacing w:before="25"/>
              <w:ind w:right="50"/>
              <w:jc w:val="right"/>
              <w:rPr>
                <w:sz w:val="16"/>
              </w:rPr>
            </w:pPr>
            <w:r>
              <w:rPr>
                <w:spacing w:val="-4"/>
                <w:sz w:val="16"/>
              </w:rPr>
              <w:t>5.40</w:t>
            </w:r>
          </w:p>
        </w:tc>
        <w:tc>
          <w:tcPr>
            <w:tcW w:w="285" w:type="dxa"/>
          </w:tcPr>
          <w:p>
            <w:pPr>
              <w:pStyle w:val="TableParagraph"/>
              <w:rPr>
                <w:rFonts w:ascii="Times New Roman"/>
                <w:sz w:val="16"/>
              </w:rPr>
            </w:pPr>
          </w:p>
        </w:tc>
        <w:tc>
          <w:tcPr>
            <w:tcW w:w="636" w:type="dxa"/>
          </w:tcPr>
          <w:p>
            <w:pPr>
              <w:pStyle w:val="TableParagraph"/>
              <w:rPr>
                <w:rFonts w:ascii="Times New Roman"/>
                <w:sz w:val="16"/>
              </w:rPr>
            </w:pPr>
          </w:p>
        </w:tc>
        <w:tc>
          <w:tcPr>
            <w:tcW w:w="633" w:type="dxa"/>
          </w:tcPr>
          <w:p>
            <w:pPr>
              <w:pStyle w:val="TableParagraph"/>
              <w:rPr>
                <w:rFonts w:ascii="Times New Roman"/>
                <w:sz w:val="16"/>
              </w:rPr>
            </w:pPr>
          </w:p>
        </w:tc>
        <w:tc>
          <w:tcPr>
            <w:tcW w:w="576" w:type="dxa"/>
          </w:tcPr>
          <w:p>
            <w:pPr>
              <w:pStyle w:val="TableParagraph"/>
              <w:rPr>
                <w:rFonts w:ascii="Times New Roman"/>
                <w:sz w:val="16"/>
              </w:rPr>
            </w:pPr>
          </w:p>
        </w:tc>
      </w:tr>
      <w:tr>
        <w:trPr>
          <w:trHeight w:val="240" w:hRule="atLeast"/>
        </w:trPr>
        <w:tc>
          <w:tcPr>
            <w:tcW w:w="3150" w:type="dxa"/>
          </w:tcPr>
          <w:p>
            <w:pPr>
              <w:pStyle w:val="TableParagraph"/>
              <w:spacing w:before="25"/>
              <w:ind w:left="52"/>
              <w:rPr>
                <w:sz w:val="16"/>
              </w:rPr>
            </w:pPr>
            <w:r>
              <w:rPr>
                <w:sz w:val="16"/>
              </w:rPr>
              <w:t>Ultimate</w:t>
            </w:r>
            <w:r>
              <w:rPr>
                <w:spacing w:val="-4"/>
                <w:sz w:val="16"/>
              </w:rPr>
              <w:t> </w:t>
            </w:r>
            <w:r>
              <w:rPr>
                <w:sz w:val="16"/>
              </w:rPr>
              <w:t>health</w:t>
            </w:r>
            <w:r>
              <w:rPr>
                <w:spacing w:val="-4"/>
                <w:sz w:val="16"/>
              </w:rPr>
              <w:t> </w:t>
            </w:r>
            <w:r>
              <w:rPr>
                <w:sz w:val="16"/>
              </w:rPr>
              <w:t>care</w:t>
            </w:r>
            <w:r>
              <w:rPr>
                <w:spacing w:val="-4"/>
                <w:sz w:val="16"/>
              </w:rPr>
              <w:t> </w:t>
            </w:r>
            <w:r>
              <w:rPr>
                <w:sz w:val="16"/>
              </w:rPr>
              <w:t>growth</w:t>
            </w:r>
            <w:r>
              <w:rPr>
                <w:spacing w:val="-4"/>
                <w:sz w:val="16"/>
              </w:rPr>
              <w:t> rate</w:t>
            </w:r>
          </w:p>
        </w:tc>
        <w:tc>
          <w:tcPr>
            <w:tcW w:w="654" w:type="dxa"/>
          </w:tcPr>
          <w:p>
            <w:pPr>
              <w:pStyle w:val="TableParagraph"/>
              <w:rPr>
                <w:rFonts w:ascii="Times New Roman"/>
                <w:sz w:val="16"/>
              </w:rPr>
            </w:pPr>
          </w:p>
        </w:tc>
        <w:tc>
          <w:tcPr>
            <w:tcW w:w="615" w:type="dxa"/>
          </w:tcPr>
          <w:p>
            <w:pPr>
              <w:pStyle w:val="TableParagraph"/>
              <w:rPr>
                <w:rFonts w:ascii="Times New Roman"/>
                <w:sz w:val="16"/>
              </w:rPr>
            </w:pPr>
          </w:p>
        </w:tc>
        <w:tc>
          <w:tcPr>
            <w:tcW w:w="576" w:type="dxa"/>
          </w:tcPr>
          <w:p>
            <w:pPr>
              <w:pStyle w:val="TableParagraph"/>
              <w:rPr>
                <w:rFonts w:ascii="Times New Roman"/>
                <w:sz w:val="16"/>
              </w:rPr>
            </w:pPr>
          </w:p>
        </w:tc>
        <w:tc>
          <w:tcPr>
            <w:tcW w:w="270" w:type="dxa"/>
          </w:tcPr>
          <w:p>
            <w:pPr>
              <w:pStyle w:val="TableParagraph"/>
              <w:rPr>
                <w:rFonts w:ascii="Times New Roman"/>
                <w:sz w:val="16"/>
              </w:rPr>
            </w:pPr>
          </w:p>
        </w:tc>
        <w:tc>
          <w:tcPr>
            <w:tcW w:w="634" w:type="dxa"/>
          </w:tcPr>
          <w:p>
            <w:pPr>
              <w:pStyle w:val="TableParagraph"/>
              <w:spacing w:before="25"/>
              <w:ind w:right="69"/>
              <w:jc w:val="right"/>
              <w:rPr>
                <w:sz w:val="16"/>
              </w:rPr>
            </w:pPr>
            <w:r>
              <w:rPr>
                <w:spacing w:val="-4"/>
                <w:sz w:val="16"/>
              </w:rPr>
              <w:t>4.40</w:t>
            </w:r>
          </w:p>
        </w:tc>
        <w:tc>
          <w:tcPr>
            <w:tcW w:w="635" w:type="dxa"/>
          </w:tcPr>
          <w:p>
            <w:pPr>
              <w:pStyle w:val="TableParagraph"/>
              <w:spacing w:before="25"/>
              <w:ind w:right="89"/>
              <w:jc w:val="right"/>
              <w:rPr>
                <w:sz w:val="16"/>
              </w:rPr>
            </w:pPr>
            <w:r>
              <w:rPr>
                <w:spacing w:val="-4"/>
                <w:sz w:val="16"/>
              </w:rPr>
              <w:t>3.90</w:t>
            </w:r>
          </w:p>
        </w:tc>
        <w:tc>
          <w:tcPr>
            <w:tcW w:w="576" w:type="dxa"/>
          </w:tcPr>
          <w:p>
            <w:pPr>
              <w:pStyle w:val="TableParagraph"/>
              <w:spacing w:before="25"/>
              <w:ind w:right="50"/>
              <w:jc w:val="right"/>
              <w:rPr>
                <w:sz w:val="16"/>
              </w:rPr>
            </w:pPr>
            <w:r>
              <w:rPr>
                <w:spacing w:val="-4"/>
                <w:sz w:val="16"/>
              </w:rPr>
              <w:t>3.70</w:t>
            </w:r>
          </w:p>
        </w:tc>
        <w:tc>
          <w:tcPr>
            <w:tcW w:w="285" w:type="dxa"/>
          </w:tcPr>
          <w:p>
            <w:pPr>
              <w:pStyle w:val="TableParagraph"/>
              <w:rPr>
                <w:rFonts w:ascii="Times New Roman"/>
                <w:sz w:val="16"/>
              </w:rPr>
            </w:pPr>
          </w:p>
        </w:tc>
        <w:tc>
          <w:tcPr>
            <w:tcW w:w="636" w:type="dxa"/>
          </w:tcPr>
          <w:p>
            <w:pPr>
              <w:pStyle w:val="TableParagraph"/>
              <w:rPr>
                <w:rFonts w:ascii="Times New Roman"/>
                <w:sz w:val="16"/>
              </w:rPr>
            </w:pPr>
          </w:p>
        </w:tc>
        <w:tc>
          <w:tcPr>
            <w:tcW w:w="633" w:type="dxa"/>
          </w:tcPr>
          <w:p>
            <w:pPr>
              <w:pStyle w:val="TableParagraph"/>
              <w:rPr>
                <w:rFonts w:ascii="Times New Roman"/>
                <w:sz w:val="16"/>
              </w:rPr>
            </w:pPr>
          </w:p>
        </w:tc>
        <w:tc>
          <w:tcPr>
            <w:tcW w:w="576" w:type="dxa"/>
          </w:tcPr>
          <w:p>
            <w:pPr>
              <w:pStyle w:val="TableParagraph"/>
              <w:rPr>
                <w:rFonts w:ascii="Times New Roman"/>
                <w:sz w:val="16"/>
              </w:rPr>
            </w:pPr>
          </w:p>
        </w:tc>
      </w:tr>
      <w:tr>
        <w:trPr>
          <w:trHeight w:val="240" w:hRule="atLeast"/>
        </w:trPr>
        <w:tc>
          <w:tcPr>
            <w:tcW w:w="3150" w:type="dxa"/>
          </w:tcPr>
          <w:p>
            <w:pPr>
              <w:pStyle w:val="TableParagraph"/>
              <w:spacing w:before="25"/>
              <w:ind w:left="52"/>
              <w:rPr>
                <w:sz w:val="16"/>
              </w:rPr>
            </w:pPr>
            <w:r>
              <w:rPr>
                <w:sz w:val="16"/>
              </w:rPr>
              <w:t>Year</w:t>
            </w:r>
            <w:r>
              <w:rPr>
                <w:spacing w:val="-5"/>
                <w:sz w:val="16"/>
              </w:rPr>
              <w:t> </w:t>
            </w:r>
            <w:r>
              <w:rPr>
                <w:sz w:val="16"/>
              </w:rPr>
              <w:t>in</w:t>
            </w:r>
            <w:r>
              <w:rPr>
                <w:spacing w:val="-6"/>
                <w:sz w:val="16"/>
              </w:rPr>
              <w:t> </w:t>
            </w:r>
            <w:r>
              <w:rPr>
                <w:sz w:val="16"/>
              </w:rPr>
              <w:t>which</w:t>
            </w:r>
            <w:r>
              <w:rPr>
                <w:spacing w:val="-5"/>
                <w:sz w:val="16"/>
              </w:rPr>
              <w:t> </w:t>
            </w:r>
            <w:r>
              <w:rPr>
                <w:sz w:val="16"/>
              </w:rPr>
              <w:t>ultimate</w:t>
            </w:r>
            <w:r>
              <w:rPr>
                <w:spacing w:val="-5"/>
                <w:sz w:val="16"/>
              </w:rPr>
              <w:t> </w:t>
            </w:r>
            <w:r>
              <w:rPr>
                <w:sz w:val="16"/>
              </w:rPr>
              <w:t>rate</w:t>
            </w:r>
            <w:r>
              <w:rPr>
                <w:spacing w:val="-6"/>
                <w:sz w:val="16"/>
              </w:rPr>
              <w:t> </w:t>
            </w:r>
            <w:r>
              <w:rPr>
                <w:sz w:val="16"/>
              </w:rPr>
              <w:t>is</w:t>
            </w:r>
            <w:r>
              <w:rPr>
                <w:spacing w:val="-4"/>
                <w:sz w:val="16"/>
              </w:rPr>
              <w:t> </w:t>
            </w:r>
            <w:r>
              <w:rPr>
                <w:spacing w:val="-2"/>
                <w:sz w:val="16"/>
              </w:rPr>
              <w:t>reached</w:t>
            </w:r>
          </w:p>
        </w:tc>
        <w:tc>
          <w:tcPr>
            <w:tcW w:w="654" w:type="dxa"/>
          </w:tcPr>
          <w:p>
            <w:pPr>
              <w:pStyle w:val="TableParagraph"/>
              <w:rPr>
                <w:rFonts w:ascii="Times New Roman"/>
                <w:sz w:val="16"/>
              </w:rPr>
            </w:pPr>
          </w:p>
        </w:tc>
        <w:tc>
          <w:tcPr>
            <w:tcW w:w="615" w:type="dxa"/>
          </w:tcPr>
          <w:p>
            <w:pPr>
              <w:pStyle w:val="TableParagraph"/>
              <w:rPr>
                <w:rFonts w:ascii="Times New Roman"/>
                <w:sz w:val="16"/>
              </w:rPr>
            </w:pPr>
          </w:p>
        </w:tc>
        <w:tc>
          <w:tcPr>
            <w:tcW w:w="576" w:type="dxa"/>
          </w:tcPr>
          <w:p>
            <w:pPr>
              <w:pStyle w:val="TableParagraph"/>
              <w:rPr>
                <w:rFonts w:ascii="Times New Roman"/>
                <w:sz w:val="16"/>
              </w:rPr>
            </w:pPr>
          </w:p>
        </w:tc>
        <w:tc>
          <w:tcPr>
            <w:tcW w:w="270" w:type="dxa"/>
          </w:tcPr>
          <w:p>
            <w:pPr>
              <w:pStyle w:val="TableParagraph"/>
              <w:rPr>
                <w:rFonts w:ascii="Times New Roman"/>
                <w:sz w:val="16"/>
              </w:rPr>
            </w:pPr>
          </w:p>
        </w:tc>
        <w:tc>
          <w:tcPr>
            <w:tcW w:w="634" w:type="dxa"/>
          </w:tcPr>
          <w:p>
            <w:pPr>
              <w:pStyle w:val="TableParagraph"/>
              <w:spacing w:before="25"/>
              <w:ind w:right="69"/>
              <w:jc w:val="right"/>
              <w:rPr>
                <w:sz w:val="16"/>
              </w:rPr>
            </w:pPr>
            <w:r>
              <w:rPr>
                <w:spacing w:val="-4"/>
                <w:sz w:val="16"/>
              </w:rPr>
              <w:t>2031</w:t>
            </w:r>
          </w:p>
        </w:tc>
        <w:tc>
          <w:tcPr>
            <w:tcW w:w="635" w:type="dxa"/>
          </w:tcPr>
          <w:p>
            <w:pPr>
              <w:pStyle w:val="TableParagraph"/>
              <w:spacing w:before="25"/>
              <w:ind w:right="89"/>
              <w:jc w:val="right"/>
              <w:rPr>
                <w:sz w:val="16"/>
              </w:rPr>
            </w:pPr>
            <w:r>
              <w:rPr>
                <w:spacing w:val="-4"/>
                <w:sz w:val="16"/>
              </w:rPr>
              <w:t>2031</w:t>
            </w:r>
          </w:p>
        </w:tc>
        <w:tc>
          <w:tcPr>
            <w:tcW w:w="576" w:type="dxa"/>
          </w:tcPr>
          <w:p>
            <w:pPr>
              <w:pStyle w:val="TableParagraph"/>
              <w:spacing w:before="25"/>
              <w:ind w:right="50"/>
              <w:jc w:val="right"/>
              <w:rPr>
                <w:sz w:val="16"/>
              </w:rPr>
            </w:pPr>
            <w:r>
              <w:rPr>
                <w:spacing w:val="-4"/>
                <w:sz w:val="16"/>
              </w:rPr>
              <w:t>2031</w:t>
            </w:r>
          </w:p>
        </w:tc>
        <w:tc>
          <w:tcPr>
            <w:tcW w:w="285" w:type="dxa"/>
          </w:tcPr>
          <w:p>
            <w:pPr>
              <w:pStyle w:val="TableParagraph"/>
              <w:rPr>
                <w:rFonts w:ascii="Times New Roman"/>
                <w:sz w:val="16"/>
              </w:rPr>
            </w:pPr>
          </w:p>
        </w:tc>
        <w:tc>
          <w:tcPr>
            <w:tcW w:w="636" w:type="dxa"/>
          </w:tcPr>
          <w:p>
            <w:pPr>
              <w:pStyle w:val="TableParagraph"/>
              <w:rPr>
                <w:rFonts w:ascii="Times New Roman"/>
                <w:sz w:val="16"/>
              </w:rPr>
            </w:pPr>
          </w:p>
        </w:tc>
        <w:tc>
          <w:tcPr>
            <w:tcW w:w="633" w:type="dxa"/>
          </w:tcPr>
          <w:p>
            <w:pPr>
              <w:pStyle w:val="TableParagraph"/>
              <w:rPr>
                <w:rFonts w:ascii="Times New Roman"/>
                <w:sz w:val="16"/>
              </w:rPr>
            </w:pPr>
          </w:p>
        </w:tc>
        <w:tc>
          <w:tcPr>
            <w:tcW w:w="576" w:type="dxa"/>
          </w:tcPr>
          <w:p>
            <w:pPr>
              <w:pStyle w:val="TableParagraph"/>
              <w:rPr>
                <w:rFonts w:ascii="Times New Roman"/>
                <w:sz w:val="16"/>
              </w:rPr>
            </w:pPr>
          </w:p>
        </w:tc>
      </w:tr>
      <w:tr>
        <w:trPr>
          <w:trHeight w:val="229" w:hRule="atLeast"/>
        </w:trPr>
        <w:tc>
          <w:tcPr>
            <w:tcW w:w="3150" w:type="dxa"/>
            <w:tcBorders>
              <w:bottom w:val="single" w:sz="8" w:space="0" w:color="000000"/>
            </w:tcBorders>
          </w:tcPr>
          <w:p>
            <w:pPr>
              <w:pStyle w:val="TableParagraph"/>
              <w:spacing w:line="184" w:lineRule="exact" w:before="25"/>
              <w:ind w:left="52"/>
              <w:rPr>
                <w:sz w:val="16"/>
              </w:rPr>
            </w:pPr>
            <w:r>
              <w:rPr>
                <w:sz w:val="16"/>
              </w:rPr>
              <w:t>Interest</w:t>
            </w:r>
            <w:r>
              <w:rPr>
                <w:spacing w:val="-7"/>
                <w:sz w:val="16"/>
              </w:rPr>
              <w:t> </w:t>
            </w:r>
            <w:r>
              <w:rPr>
                <w:sz w:val="16"/>
              </w:rPr>
              <w:t>crediting</w:t>
            </w:r>
            <w:r>
              <w:rPr>
                <w:spacing w:val="-4"/>
                <w:sz w:val="16"/>
              </w:rPr>
              <w:t> rate</w:t>
            </w:r>
          </w:p>
        </w:tc>
        <w:tc>
          <w:tcPr>
            <w:tcW w:w="654" w:type="dxa"/>
            <w:tcBorders>
              <w:bottom w:val="single" w:sz="8" w:space="0" w:color="000000"/>
            </w:tcBorders>
          </w:tcPr>
          <w:p>
            <w:pPr>
              <w:pStyle w:val="TableParagraph"/>
              <w:spacing w:line="184" w:lineRule="exact" w:before="25"/>
              <w:ind w:right="89"/>
              <w:jc w:val="right"/>
              <w:rPr>
                <w:sz w:val="16"/>
              </w:rPr>
            </w:pPr>
            <w:r>
              <w:rPr>
                <w:spacing w:val="-4"/>
                <w:sz w:val="16"/>
              </w:rPr>
              <w:t>5.40</w:t>
            </w:r>
          </w:p>
        </w:tc>
        <w:tc>
          <w:tcPr>
            <w:tcW w:w="615" w:type="dxa"/>
            <w:tcBorders>
              <w:bottom w:val="single" w:sz="8" w:space="0" w:color="000000"/>
            </w:tcBorders>
          </w:tcPr>
          <w:p>
            <w:pPr>
              <w:pStyle w:val="TableParagraph"/>
              <w:spacing w:line="184" w:lineRule="exact" w:before="25"/>
              <w:ind w:right="89"/>
              <w:jc w:val="right"/>
              <w:rPr>
                <w:sz w:val="16"/>
              </w:rPr>
            </w:pPr>
            <w:r>
              <w:rPr>
                <w:spacing w:val="-4"/>
                <w:sz w:val="16"/>
              </w:rPr>
              <w:t>4.90</w:t>
            </w:r>
          </w:p>
        </w:tc>
        <w:tc>
          <w:tcPr>
            <w:tcW w:w="576" w:type="dxa"/>
            <w:tcBorders>
              <w:bottom w:val="single" w:sz="8" w:space="0" w:color="000000"/>
            </w:tcBorders>
          </w:tcPr>
          <w:p>
            <w:pPr>
              <w:pStyle w:val="TableParagraph"/>
              <w:spacing w:line="184" w:lineRule="exact" w:before="25"/>
              <w:ind w:right="50"/>
              <w:jc w:val="right"/>
              <w:rPr>
                <w:sz w:val="16"/>
              </w:rPr>
            </w:pPr>
            <w:r>
              <w:rPr>
                <w:spacing w:val="-4"/>
                <w:sz w:val="16"/>
              </w:rPr>
              <w:t>4.60</w:t>
            </w:r>
          </w:p>
        </w:tc>
        <w:tc>
          <w:tcPr>
            <w:tcW w:w="270" w:type="dxa"/>
            <w:tcBorders>
              <w:bottom w:val="single" w:sz="8" w:space="0" w:color="000000"/>
            </w:tcBorders>
          </w:tcPr>
          <w:p>
            <w:pPr>
              <w:pStyle w:val="TableParagraph"/>
              <w:rPr>
                <w:rFonts w:ascii="Times New Roman"/>
                <w:sz w:val="16"/>
              </w:rPr>
            </w:pPr>
          </w:p>
        </w:tc>
        <w:tc>
          <w:tcPr>
            <w:tcW w:w="634" w:type="dxa"/>
            <w:tcBorders>
              <w:bottom w:val="single" w:sz="8" w:space="0" w:color="000000"/>
            </w:tcBorders>
          </w:tcPr>
          <w:p>
            <w:pPr>
              <w:pStyle w:val="TableParagraph"/>
              <w:spacing w:line="184" w:lineRule="exact" w:before="25"/>
              <w:ind w:right="69"/>
              <w:jc w:val="right"/>
              <w:rPr>
                <w:sz w:val="16"/>
              </w:rPr>
            </w:pPr>
            <w:r>
              <w:rPr>
                <w:spacing w:val="-5"/>
                <w:sz w:val="16"/>
              </w:rPr>
              <w:t>n.a</w:t>
            </w:r>
          </w:p>
        </w:tc>
        <w:tc>
          <w:tcPr>
            <w:tcW w:w="635" w:type="dxa"/>
            <w:tcBorders>
              <w:bottom w:val="single" w:sz="8" w:space="0" w:color="000000"/>
            </w:tcBorders>
          </w:tcPr>
          <w:p>
            <w:pPr>
              <w:pStyle w:val="TableParagraph"/>
              <w:spacing w:line="184" w:lineRule="exact" w:before="25"/>
              <w:ind w:right="89"/>
              <w:jc w:val="right"/>
              <w:rPr>
                <w:sz w:val="16"/>
              </w:rPr>
            </w:pPr>
            <w:r>
              <w:rPr>
                <w:spacing w:val="-5"/>
                <w:sz w:val="16"/>
              </w:rPr>
              <w:t>n.a</w:t>
            </w:r>
          </w:p>
        </w:tc>
        <w:tc>
          <w:tcPr>
            <w:tcW w:w="576" w:type="dxa"/>
            <w:tcBorders>
              <w:bottom w:val="single" w:sz="8" w:space="0" w:color="000000"/>
            </w:tcBorders>
          </w:tcPr>
          <w:p>
            <w:pPr>
              <w:pStyle w:val="TableParagraph"/>
              <w:spacing w:line="184" w:lineRule="exact" w:before="25"/>
              <w:ind w:right="50"/>
              <w:jc w:val="right"/>
              <w:rPr>
                <w:sz w:val="16"/>
              </w:rPr>
            </w:pPr>
            <w:r>
              <w:rPr>
                <w:spacing w:val="-5"/>
                <w:sz w:val="16"/>
              </w:rPr>
              <w:t>n.a</w:t>
            </w:r>
          </w:p>
        </w:tc>
        <w:tc>
          <w:tcPr>
            <w:tcW w:w="285" w:type="dxa"/>
            <w:tcBorders>
              <w:bottom w:val="single" w:sz="8" w:space="0" w:color="000000"/>
            </w:tcBorders>
          </w:tcPr>
          <w:p>
            <w:pPr>
              <w:pStyle w:val="TableParagraph"/>
              <w:rPr>
                <w:rFonts w:ascii="Times New Roman"/>
                <w:sz w:val="16"/>
              </w:rPr>
            </w:pPr>
          </w:p>
        </w:tc>
        <w:tc>
          <w:tcPr>
            <w:tcW w:w="636" w:type="dxa"/>
            <w:tcBorders>
              <w:bottom w:val="single" w:sz="8" w:space="0" w:color="000000"/>
            </w:tcBorders>
          </w:tcPr>
          <w:p>
            <w:pPr>
              <w:pStyle w:val="TableParagraph"/>
              <w:spacing w:line="184" w:lineRule="exact" w:before="25"/>
              <w:ind w:right="71"/>
              <w:jc w:val="right"/>
              <w:rPr>
                <w:sz w:val="16"/>
              </w:rPr>
            </w:pPr>
            <w:r>
              <w:rPr>
                <w:spacing w:val="-4"/>
                <w:sz w:val="16"/>
              </w:rPr>
              <w:t>5.40</w:t>
            </w:r>
          </w:p>
        </w:tc>
        <w:tc>
          <w:tcPr>
            <w:tcW w:w="633" w:type="dxa"/>
            <w:tcBorders>
              <w:bottom w:val="single" w:sz="8" w:space="0" w:color="000000"/>
            </w:tcBorders>
          </w:tcPr>
          <w:p>
            <w:pPr>
              <w:pStyle w:val="TableParagraph"/>
              <w:spacing w:line="184" w:lineRule="exact" w:before="25"/>
              <w:ind w:right="89"/>
              <w:jc w:val="right"/>
              <w:rPr>
                <w:sz w:val="16"/>
              </w:rPr>
            </w:pPr>
            <w:r>
              <w:rPr>
                <w:spacing w:val="-4"/>
                <w:sz w:val="16"/>
              </w:rPr>
              <w:t>4.90</w:t>
            </w:r>
          </w:p>
        </w:tc>
        <w:tc>
          <w:tcPr>
            <w:tcW w:w="576" w:type="dxa"/>
            <w:tcBorders>
              <w:bottom w:val="single" w:sz="8" w:space="0" w:color="000000"/>
            </w:tcBorders>
          </w:tcPr>
          <w:p>
            <w:pPr>
              <w:pStyle w:val="TableParagraph"/>
              <w:spacing w:line="184" w:lineRule="exact" w:before="25"/>
              <w:ind w:right="50"/>
              <w:jc w:val="right"/>
              <w:rPr>
                <w:sz w:val="16"/>
              </w:rPr>
            </w:pPr>
            <w:r>
              <w:rPr>
                <w:spacing w:val="-4"/>
                <w:sz w:val="16"/>
              </w:rPr>
              <w:t>4.60</w:t>
            </w:r>
          </w:p>
        </w:tc>
      </w:tr>
    </w:tbl>
    <w:p>
      <w:pPr>
        <w:pStyle w:val="BodyText"/>
        <w:spacing w:line="232" w:lineRule="auto" w:before="158"/>
        <w:ind w:left="720" w:right="717"/>
        <w:jc w:val="both"/>
      </w:pPr>
      <w:r>
        <w:rPr/>
        <w:t>The medical cost trend rate can significantly affect the reported postretirement benefit income or costs and benefit obligations for the RSBP. For the fiscal years ended June 30, 2023 and June 30, 2022, the actuarial gains were primarily due to an increase in the discount rates.</w:t>
      </w:r>
    </w:p>
    <w:p>
      <w:pPr>
        <w:pStyle w:val="Heading5"/>
        <w:spacing w:before="213"/>
      </w:pPr>
      <w:r>
        <w:rPr/>
        <w:t>Investment</w:t>
      </w:r>
      <w:r>
        <w:rPr>
          <w:spacing w:val="-4"/>
        </w:rPr>
        <w:t> </w:t>
      </w:r>
      <w:r>
        <w:rPr>
          <w:spacing w:val="-2"/>
        </w:rPr>
        <w:t>Strategy</w:t>
      </w:r>
    </w:p>
    <w:p>
      <w:pPr>
        <w:pStyle w:val="BodyText"/>
        <w:spacing w:line="249" w:lineRule="auto" w:before="139"/>
        <w:ind w:left="720" w:right="718"/>
        <w:jc w:val="both"/>
      </w:pPr>
      <w:r>
        <w:rPr/>
        <w:t>The investment policies establish the framework for investment of the plan assets based on long-term investment objectives and the trade-offs inherent in seeking adequate investment returns within acceptable risk parameters. A key component of the investment policy is to establish a Strategic Asset Allocation (SAA) representing the policy portfolio (i.e., policy mix of assets) around which the SRP and RSBP (the Plans) are invested. The SAA is derived</w:t>
      </w:r>
    </w:p>
    <w:p>
      <w:pPr>
        <w:pStyle w:val="BodyText"/>
        <w:spacing w:after="0" w:line="249" w:lineRule="auto"/>
        <w:jc w:val="both"/>
        <w:sectPr>
          <w:headerReference w:type="default" r:id="rId196"/>
          <w:pgSz w:w="12240" w:h="15840"/>
          <w:pgMar w:header="0" w:footer="0" w:top="960" w:bottom="720" w:left="720" w:right="720"/>
        </w:sectPr>
      </w:pPr>
    </w:p>
    <w:p>
      <w:pPr>
        <w:pStyle w:val="BodyText"/>
        <w:spacing w:line="249" w:lineRule="auto" w:before="72"/>
        <w:ind w:left="720" w:right="717"/>
        <w:jc w:val="both"/>
      </w:pPr>
      <w:r>
        <w:rPr/>
        <w:t>using a mix of quantitative analysis that incorporates expected returns and volatilities by asset class as well as correlations</w:t>
      </w:r>
      <w:r>
        <w:rPr>
          <w:spacing w:val="-1"/>
        </w:rPr>
        <w:t> </w:t>
      </w:r>
      <w:r>
        <w:rPr/>
        <w:t>across</w:t>
      </w:r>
      <w:r>
        <w:rPr>
          <w:spacing w:val="-1"/>
        </w:rPr>
        <w:t> </w:t>
      </w:r>
      <w:r>
        <w:rPr/>
        <w:t>the</w:t>
      </w:r>
      <w:r>
        <w:rPr>
          <w:spacing w:val="-1"/>
        </w:rPr>
        <w:t> </w:t>
      </w:r>
      <w:r>
        <w:rPr/>
        <w:t>asset</w:t>
      </w:r>
      <w:r>
        <w:rPr>
          <w:spacing w:val="-1"/>
        </w:rPr>
        <w:t> </w:t>
      </w:r>
      <w:r>
        <w:rPr/>
        <w:t>classes,</w:t>
      </w:r>
      <w:r>
        <w:rPr>
          <w:spacing w:val="-1"/>
        </w:rPr>
        <w:t> </w:t>
      </w:r>
      <w:r>
        <w:rPr/>
        <w:t>and</w:t>
      </w:r>
      <w:r>
        <w:rPr>
          <w:spacing w:val="-1"/>
        </w:rPr>
        <w:t> </w:t>
      </w:r>
      <w:r>
        <w:rPr/>
        <w:t>qualitative</w:t>
      </w:r>
      <w:r>
        <w:rPr>
          <w:spacing w:val="-1"/>
        </w:rPr>
        <w:t> </w:t>
      </w:r>
      <w:r>
        <w:rPr/>
        <w:t>considerations</w:t>
      </w:r>
      <w:r>
        <w:rPr>
          <w:spacing w:val="-1"/>
        </w:rPr>
        <w:t> </w:t>
      </w:r>
      <w:r>
        <w:rPr/>
        <w:t>such</w:t>
      </w:r>
      <w:r>
        <w:rPr>
          <w:spacing w:val="-1"/>
        </w:rPr>
        <w:t> </w:t>
      </w:r>
      <w:r>
        <w:rPr/>
        <w:t>as</w:t>
      </w:r>
      <w:r>
        <w:rPr>
          <w:spacing w:val="-1"/>
        </w:rPr>
        <w:t> </w:t>
      </w:r>
      <w:r>
        <w:rPr/>
        <w:t>the</w:t>
      </w:r>
      <w:r>
        <w:rPr>
          <w:spacing w:val="-1"/>
        </w:rPr>
        <w:t> </w:t>
      </w:r>
      <w:r>
        <w:rPr/>
        <w:t>liquidity</w:t>
      </w:r>
      <w:r>
        <w:rPr>
          <w:spacing w:val="-1"/>
        </w:rPr>
        <w:t> </w:t>
      </w:r>
      <w:r>
        <w:rPr/>
        <w:t>needs</w:t>
      </w:r>
      <w:r>
        <w:rPr>
          <w:spacing w:val="-1"/>
        </w:rPr>
        <w:t> </w:t>
      </w:r>
      <w:r>
        <w:rPr/>
        <w:t>of</w:t>
      </w:r>
      <w:r>
        <w:rPr>
          <w:spacing w:val="-1"/>
        </w:rPr>
        <w:t> </w:t>
      </w:r>
      <w:r>
        <w:rPr/>
        <w:t>the</w:t>
      </w:r>
      <w:r>
        <w:rPr>
          <w:spacing w:val="-1"/>
        </w:rPr>
        <w:t> </w:t>
      </w:r>
      <w:r>
        <w:rPr/>
        <w:t>Plans.</w:t>
      </w:r>
      <w:r>
        <w:rPr>
          <w:spacing w:val="-1"/>
        </w:rPr>
        <w:t> </w:t>
      </w:r>
      <w:r>
        <w:rPr/>
        <w:t>The</w:t>
      </w:r>
      <w:r>
        <w:rPr>
          <w:spacing w:val="-1"/>
        </w:rPr>
        <w:t> </w:t>
      </w:r>
      <w:r>
        <w:rPr/>
        <w:t>SAA for the Plans is reviewed in detail and reset about every three to five years, with more frequent reviews and changes if and as needed based on market conditions.</w:t>
      </w:r>
    </w:p>
    <w:p>
      <w:pPr>
        <w:pStyle w:val="BodyText"/>
        <w:spacing w:line="249" w:lineRule="auto" w:before="123"/>
        <w:ind w:left="720" w:right="718"/>
        <w:jc w:val="both"/>
      </w:pPr>
      <w:r>
        <w:rPr/>
        <w:t>The key long-term objective is to generate asset performance that is reasonable in relation to the growth rate of the underlying liabilities and the assumed sponsor contribution rates, without taking undue risks. Given the relatively long investment horizons of the SRP and RSBP, and the relatively modest liquidity needs over the short-term to pay benefits and meet other cash requirements, the focus of the investment strategy is on generating sustainable long-term investment returns through a globally diversified set of strategies including fixed income, public and private equity and real assets.</w:t>
      </w:r>
      <w:r>
        <w:rPr>
          <w:spacing w:val="40"/>
        </w:rPr>
        <w:t> </w:t>
      </w:r>
      <w:r>
        <w:rPr/>
        <w:t>In April 2022, the Pension Finance Committee (PFC) approved a revision to the SAA band around the target allocation for private equity from +/-3 percent to +/-5 percent to accommodate the illiquid nature</w:t>
      </w:r>
      <w:r>
        <w:rPr>
          <w:spacing w:val="40"/>
        </w:rPr>
        <w:t> </w:t>
      </w:r>
      <w:r>
        <w:rPr/>
        <w:t>of this asset class and the limited ability to rebalance the allocation on a short-term basis, with the effective date of May 1, 2022.</w:t>
      </w:r>
      <w:r>
        <w:rPr>
          <w:spacing w:val="80"/>
        </w:rPr>
        <w:t> </w:t>
      </w:r>
      <w:r>
        <w:rPr/>
        <w:t>The changes do not materially alter the risk profile of the portfolio but are expected to slightly increase the efficiency of the allocation.</w:t>
      </w:r>
    </w:p>
    <w:p>
      <w:pPr>
        <w:pStyle w:val="BodyText"/>
        <w:spacing w:line="249" w:lineRule="auto" w:before="128"/>
        <w:ind w:left="720" w:right="720"/>
        <w:jc w:val="both"/>
      </w:pPr>
      <w:r>
        <w:rPr/>
        <w:t>The</w:t>
      </w:r>
      <w:r>
        <w:rPr>
          <w:spacing w:val="-1"/>
        </w:rPr>
        <w:t> </w:t>
      </w:r>
      <w:r>
        <w:rPr/>
        <w:t>following</w:t>
      </w:r>
      <w:r>
        <w:rPr>
          <w:spacing w:val="-1"/>
        </w:rPr>
        <w:t> </w:t>
      </w:r>
      <w:r>
        <w:rPr/>
        <w:t>table</w:t>
      </w:r>
      <w:r>
        <w:rPr>
          <w:spacing w:val="-1"/>
        </w:rPr>
        <w:t> </w:t>
      </w:r>
      <w:r>
        <w:rPr/>
        <w:t>presents</w:t>
      </w:r>
      <w:r>
        <w:rPr>
          <w:spacing w:val="-1"/>
        </w:rPr>
        <w:t> </w:t>
      </w:r>
      <w:r>
        <w:rPr/>
        <w:t>the</w:t>
      </w:r>
      <w:r>
        <w:rPr>
          <w:spacing w:val="-1"/>
        </w:rPr>
        <w:t> </w:t>
      </w:r>
      <w:r>
        <w:rPr/>
        <w:t>policy</w:t>
      </w:r>
      <w:r>
        <w:rPr>
          <w:spacing w:val="-1"/>
        </w:rPr>
        <w:t> </w:t>
      </w:r>
      <w:r>
        <w:rPr/>
        <w:t>asset</w:t>
      </w:r>
      <w:r>
        <w:rPr>
          <w:spacing w:val="-1"/>
        </w:rPr>
        <w:t> </w:t>
      </w:r>
      <w:r>
        <w:rPr/>
        <w:t>allocation</w:t>
      </w:r>
      <w:r>
        <w:rPr>
          <w:spacing w:val="-1"/>
        </w:rPr>
        <w:t> </w:t>
      </w:r>
      <w:r>
        <w:rPr/>
        <w:t>and</w:t>
      </w:r>
      <w:r>
        <w:rPr>
          <w:spacing w:val="-1"/>
        </w:rPr>
        <w:t> </w:t>
      </w:r>
      <w:r>
        <w:rPr/>
        <w:t>the</w:t>
      </w:r>
      <w:r>
        <w:rPr>
          <w:spacing w:val="-1"/>
        </w:rPr>
        <w:t> </w:t>
      </w:r>
      <w:r>
        <w:rPr/>
        <w:t>actual</w:t>
      </w:r>
      <w:r>
        <w:rPr>
          <w:spacing w:val="-1"/>
        </w:rPr>
        <w:t> </w:t>
      </w:r>
      <w:r>
        <w:rPr/>
        <w:t>asset</w:t>
      </w:r>
      <w:r>
        <w:rPr>
          <w:spacing w:val="-1"/>
        </w:rPr>
        <w:t> </w:t>
      </w:r>
      <w:r>
        <w:rPr/>
        <w:t>allocations</w:t>
      </w:r>
      <w:r>
        <w:rPr>
          <w:spacing w:val="-1"/>
        </w:rPr>
        <w:t> </w:t>
      </w:r>
      <w:r>
        <w:rPr/>
        <w:t>by</w:t>
      </w:r>
      <w:r>
        <w:rPr>
          <w:spacing w:val="-1"/>
        </w:rPr>
        <w:t> </w:t>
      </w:r>
      <w:r>
        <w:rPr/>
        <w:t>asset</w:t>
      </w:r>
      <w:r>
        <w:rPr>
          <w:spacing w:val="-1"/>
        </w:rPr>
        <w:t> </w:t>
      </w:r>
      <w:r>
        <w:rPr/>
        <w:t>category</w:t>
      </w:r>
      <w:r>
        <w:rPr>
          <w:spacing w:val="-1"/>
        </w:rPr>
        <w:t> </w:t>
      </w:r>
      <w:r>
        <w:rPr/>
        <w:t>for</w:t>
      </w:r>
      <w:r>
        <w:rPr>
          <w:spacing w:val="-1"/>
        </w:rPr>
        <w:t> </w:t>
      </w:r>
      <w:r>
        <w:rPr/>
        <w:t>the</w:t>
      </w:r>
      <w:r>
        <w:rPr>
          <w:spacing w:val="-1"/>
        </w:rPr>
        <w:t> </w:t>
      </w:r>
      <w:r>
        <w:rPr/>
        <w:t>SRP and RSBP:</w:t>
      </w:r>
    </w:p>
    <w:p>
      <w:pPr>
        <w:pStyle w:val="Heading8"/>
        <w:spacing w:before="119"/>
        <w:jc w:val="both"/>
      </w:pPr>
      <w:r>
        <w:rPr/>
        <mc:AlternateContent>
          <mc:Choice Requires="wps">
            <w:drawing>
              <wp:anchor distT="0" distB="0" distL="0" distR="0" allowOverlap="1" layoutInCell="1" locked="0" behindDoc="1" simplePos="0" relativeHeight="487755776">
                <wp:simplePos x="0" y="0"/>
                <wp:positionH relativeFrom="page">
                  <wp:posOffset>914400</wp:posOffset>
                </wp:positionH>
                <wp:positionV relativeFrom="paragraph">
                  <wp:posOffset>260429</wp:posOffset>
                </wp:positionV>
                <wp:extent cx="6067425" cy="1270"/>
                <wp:effectExtent l="0" t="0" r="0" b="0"/>
                <wp:wrapTopAndBottom/>
                <wp:docPr id="962" name="Graphic 962"/>
                <wp:cNvGraphicFramePr>
                  <a:graphicFrameLocks/>
                </wp:cNvGraphicFramePr>
                <a:graphic>
                  <a:graphicData uri="http://schemas.microsoft.com/office/word/2010/wordprocessingShape">
                    <wps:wsp>
                      <wps:cNvPr id="962" name="Graphic 962"/>
                      <wps:cNvSpPr/>
                      <wps:spPr>
                        <a:xfrm>
                          <a:off x="0" y="0"/>
                          <a:ext cx="6067425" cy="1270"/>
                        </a:xfrm>
                        <a:custGeom>
                          <a:avLst/>
                          <a:gdLst/>
                          <a:ahLst/>
                          <a:cxnLst/>
                          <a:rect l="l" t="t" r="r" b="b"/>
                          <a:pathLst>
                            <a:path w="6067425" h="0">
                              <a:moveTo>
                                <a:pt x="0" y="0"/>
                              </a:moveTo>
                              <a:lnTo>
                                <a:pt x="60674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06250pt;width:477.75pt;height:.1pt;mso-position-horizontal-relative:page;mso-position-vertical-relative:paragraph;z-index:-15560704;mso-wrap-distance-left:0;mso-wrap-distance-right:0" id="docshape798" coordorigin="1440,410" coordsize="9555,0" path="m1440,410l10995,410e" filled="false" stroked="true" strokeweight="1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897088">
                <wp:simplePos x="0" y="0"/>
                <wp:positionH relativeFrom="page">
                  <wp:posOffset>2371725</wp:posOffset>
                </wp:positionH>
                <wp:positionV relativeFrom="paragraph">
                  <wp:posOffset>412829</wp:posOffset>
                </wp:positionV>
                <wp:extent cx="4610100" cy="1270"/>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4610100" cy="1270"/>
                        </a:xfrm>
                        <a:custGeom>
                          <a:avLst/>
                          <a:gdLst/>
                          <a:ahLst/>
                          <a:cxnLst/>
                          <a:rect l="l" t="t" r="r" b="b"/>
                          <a:pathLst>
                            <a:path w="4610100" h="0">
                              <a:moveTo>
                                <a:pt x="0" y="0"/>
                              </a:moveTo>
                              <a:lnTo>
                                <a:pt x="4610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7088" from="186.75pt,32.506248pt" to="549.75pt,32.506248pt" stroked="true" strokeweight="1pt" strokecolor="#000000">
                <v:stroke dashstyle="solid"/>
                <w10:wrap type="none"/>
              </v:line>
            </w:pict>
          </mc:Fallback>
        </mc:AlternateContent>
      </w:r>
      <w:r>
        <w:rPr/>
        <w:t>Table</w:t>
      </w:r>
      <w:r>
        <w:rPr>
          <w:spacing w:val="-4"/>
        </w:rPr>
        <w:t> </w:t>
      </w:r>
      <w:r>
        <w:rPr/>
        <w:t>J7:</w:t>
      </w:r>
      <w:r>
        <w:rPr>
          <w:spacing w:val="-2"/>
        </w:rPr>
        <w:t> </w:t>
      </w:r>
      <w:r>
        <w:rPr/>
        <w:t>Policy</w:t>
      </w:r>
      <w:r>
        <w:rPr>
          <w:spacing w:val="-2"/>
        </w:rPr>
        <w:t> </w:t>
      </w:r>
      <w:r>
        <w:rPr/>
        <w:t>and</w:t>
      </w:r>
      <w:r>
        <w:rPr>
          <w:spacing w:val="-3"/>
        </w:rPr>
        <w:t> </w:t>
      </w:r>
      <w:r>
        <w:rPr/>
        <w:t>actual</w:t>
      </w:r>
      <w:r>
        <w:rPr>
          <w:spacing w:val="-3"/>
        </w:rPr>
        <w:t> </w:t>
      </w:r>
      <w:r>
        <w:rPr/>
        <w:t>asset</w:t>
      </w:r>
      <w:r>
        <w:rPr>
          <w:spacing w:val="-2"/>
        </w:rPr>
        <w:t> allocations</w:t>
      </w:r>
    </w:p>
    <w:p>
      <w:pPr>
        <w:tabs>
          <w:tab w:pos="7994" w:val="left" w:leader="none"/>
        </w:tabs>
        <w:spacing w:before="16"/>
        <w:ind w:left="4440" w:right="0" w:firstLine="0"/>
        <w:jc w:val="left"/>
        <w:rPr>
          <w:rFonts w:ascii="Arial"/>
          <w:i/>
          <w:sz w:val="16"/>
        </w:rPr>
      </w:pPr>
      <w:r>
        <w:rPr>
          <w:rFonts w:ascii="Arial"/>
          <w:i/>
          <w:spacing w:val="-5"/>
          <w:sz w:val="16"/>
        </w:rPr>
        <w:t>SRP</w:t>
      </w:r>
      <w:r>
        <w:rPr>
          <w:rFonts w:ascii="Arial"/>
          <w:i/>
          <w:sz w:val="16"/>
        </w:rPr>
        <w:tab/>
      </w:r>
      <w:r>
        <w:rPr>
          <w:rFonts w:ascii="Arial"/>
          <w:i/>
          <w:spacing w:val="-4"/>
          <w:sz w:val="16"/>
        </w:rPr>
        <w:t>RSBP</w:t>
      </w:r>
    </w:p>
    <w:p>
      <w:pPr>
        <w:spacing w:after="0"/>
        <w:jc w:val="left"/>
        <w:rPr>
          <w:rFonts w:ascii="Arial"/>
          <w:i/>
          <w:sz w:val="16"/>
        </w:rPr>
        <w:sectPr>
          <w:headerReference w:type="even" r:id="rId197"/>
          <w:footerReference w:type="even" r:id="rId198"/>
          <w:footerReference w:type="default" r:id="rId199"/>
          <w:pgSz w:w="12240" w:h="15840"/>
          <w:pgMar w:header="0" w:footer="528" w:top="960" w:bottom="720" w:left="720" w:right="720"/>
          <w:pgNumType w:start="124"/>
        </w:sectPr>
      </w:pPr>
    </w:p>
    <w:p>
      <w:pPr>
        <w:spacing w:before="104"/>
        <w:ind w:left="0" w:right="0" w:firstLine="0"/>
        <w:jc w:val="right"/>
        <w:rPr>
          <w:rFonts w:ascii="Arial"/>
          <w:i/>
          <w:sz w:val="16"/>
        </w:rPr>
      </w:pPr>
      <w:r>
        <w:rPr>
          <w:rFonts w:ascii="Arial"/>
          <w:i/>
          <w:sz w:val="16"/>
        </w:rPr>
        <w:t>Policy</w:t>
      </w:r>
      <w:r>
        <w:rPr>
          <w:rFonts w:ascii="Arial"/>
          <w:i/>
          <w:spacing w:val="-5"/>
          <w:sz w:val="16"/>
        </w:rPr>
        <w:t> </w:t>
      </w:r>
      <w:r>
        <w:rPr>
          <w:rFonts w:ascii="Arial"/>
          <w:i/>
          <w:spacing w:val="-2"/>
          <w:sz w:val="16"/>
        </w:rPr>
        <w:t>allocation</w:t>
      </w:r>
    </w:p>
    <w:p>
      <w:pPr>
        <w:tabs>
          <w:tab w:pos="2398" w:val="left" w:leader="none"/>
        </w:tabs>
        <w:spacing w:before="56"/>
        <w:ind w:left="239" w:right="0" w:firstLine="0"/>
        <w:jc w:val="left"/>
        <w:rPr>
          <w:rFonts w:ascii="Arial"/>
          <w:i/>
          <w:position w:val="-4"/>
          <w:sz w:val="16"/>
        </w:rPr>
      </w:pPr>
      <w:r>
        <w:rPr/>
        <w:br w:type="column"/>
      </w:r>
      <w:r>
        <w:rPr>
          <w:rFonts w:ascii="Arial"/>
          <w:i/>
          <w:sz w:val="16"/>
        </w:rPr>
        <w:t>Actual</w:t>
      </w:r>
      <w:r>
        <w:rPr>
          <w:rFonts w:ascii="Arial"/>
          <w:i/>
          <w:spacing w:val="-5"/>
          <w:sz w:val="16"/>
        </w:rPr>
        <w:t> </w:t>
      </w:r>
      <w:r>
        <w:rPr>
          <w:rFonts w:ascii="Arial"/>
          <w:i/>
          <w:sz w:val="16"/>
        </w:rPr>
        <w:t>Allocation</w:t>
      </w:r>
      <w:r>
        <w:rPr>
          <w:rFonts w:ascii="Arial"/>
          <w:i/>
          <w:spacing w:val="-4"/>
          <w:sz w:val="16"/>
        </w:rPr>
        <w:t> </w:t>
      </w:r>
      <w:r>
        <w:rPr>
          <w:rFonts w:ascii="Arial"/>
          <w:i/>
          <w:spacing w:val="-5"/>
          <w:sz w:val="16"/>
        </w:rPr>
        <w:t>(%)</w:t>
      </w:r>
      <w:r>
        <w:rPr>
          <w:rFonts w:ascii="Arial"/>
          <w:i/>
          <w:sz w:val="16"/>
        </w:rPr>
        <w:tab/>
      </w:r>
      <w:r>
        <w:rPr>
          <w:rFonts w:ascii="Arial"/>
          <w:i/>
          <w:position w:val="-4"/>
          <w:sz w:val="16"/>
        </w:rPr>
        <w:t>Policy</w:t>
      </w:r>
      <w:r>
        <w:rPr>
          <w:rFonts w:ascii="Arial"/>
          <w:i/>
          <w:spacing w:val="-3"/>
          <w:position w:val="-4"/>
          <w:sz w:val="16"/>
        </w:rPr>
        <w:t> </w:t>
      </w:r>
      <w:r>
        <w:rPr>
          <w:rFonts w:ascii="Arial"/>
          <w:i/>
          <w:spacing w:val="-2"/>
          <w:position w:val="-4"/>
          <w:sz w:val="16"/>
        </w:rPr>
        <w:t>allocation</w:t>
      </w:r>
    </w:p>
    <w:p>
      <w:pPr>
        <w:spacing w:before="56"/>
        <w:ind w:left="366" w:right="0" w:firstLine="0"/>
        <w:jc w:val="left"/>
        <w:rPr>
          <w:rFonts w:ascii="Arial"/>
          <w:i/>
          <w:sz w:val="16"/>
        </w:rPr>
      </w:pPr>
      <w:r>
        <w:rPr/>
        <w:br w:type="column"/>
      </w:r>
      <w:r>
        <w:rPr>
          <w:rFonts w:ascii="Arial"/>
          <w:i/>
          <w:sz w:val="16"/>
        </w:rPr>
        <w:t>Actual</w:t>
      </w:r>
      <w:r>
        <w:rPr>
          <w:rFonts w:ascii="Arial"/>
          <w:i/>
          <w:spacing w:val="-5"/>
          <w:sz w:val="16"/>
        </w:rPr>
        <w:t> </w:t>
      </w:r>
      <w:r>
        <w:rPr>
          <w:rFonts w:ascii="Arial"/>
          <w:i/>
          <w:sz w:val="16"/>
        </w:rPr>
        <w:t>Allocation</w:t>
      </w:r>
      <w:r>
        <w:rPr>
          <w:rFonts w:ascii="Arial"/>
          <w:i/>
          <w:spacing w:val="-4"/>
          <w:sz w:val="16"/>
        </w:rPr>
        <w:t> </w:t>
      </w:r>
      <w:r>
        <w:rPr>
          <w:rFonts w:ascii="Arial"/>
          <w:i/>
          <w:spacing w:val="-5"/>
          <w:sz w:val="16"/>
        </w:rPr>
        <w:t>(%)</w:t>
      </w:r>
    </w:p>
    <w:p>
      <w:pPr>
        <w:spacing w:after="0"/>
        <w:jc w:val="left"/>
        <w:rPr>
          <w:rFonts w:ascii="Arial"/>
          <w:i/>
          <w:sz w:val="16"/>
        </w:rPr>
        <w:sectPr>
          <w:type w:val="continuous"/>
          <w:pgSz w:w="12240" w:h="15840"/>
          <w:pgMar w:header="0" w:footer="528" w:top="1820" w:bottom="280" w:left="720" w:right="720"/>
          <w:cols w:num="3" w:equalWidth="0">
            <w:col w:w="4309" w:space="40"/>
            <w:col w:w="3546" w:space="39"/>
            <w:col w:w="2866"/>
          </w:cols>
        </w:sect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5"/>
        <w:gridCol w:w="1440"/>
        <w:gridCol w:w="847"/>
        <w:gridCol w:w="892"/>
        <w:gridCol w:w="299"/>
        <w:gridCol w:w="1649"/>
        <w:gridCol w:w="858"/>
        <w:gridCol w:w="925"/>
        <w:gridCol w:w="344"/>
      </w:tblGrid>
      <w:tr>
        <w:trPr>
          <w:trHeight w:val="220" w:hRule="atLeast"/>
        </w:trPr>
        <w:tc>
          <w:tcPr>
            <w:tcW w:w="2295" w:type="dxa"/>
          </w:tcPr>
          <w:p>
            <w:pPr>
              <w:pStyle w:val="TableParagraph"/>
              <w:spacing w:line="180" w:lineRule="exact"/>
              <w:ind w:left="52"/>
              <w:rPr>
                <w:rFonts w:ascii="Arial"/>
                <w:b/>
                <w:sz w:val="16"/>
              </w:rPr>
            </w:pPr>
            <w:r>
              <w:rPr>
                <w:rFonts w:ascii="Arial"/>
                <w:b/>
                <w:sz w:val="16"/>
              </w:rPr>
              <w:t>Asset</w:t>
            </w:r>
            <w:r>
              <w:rPr>
                <w:rFonts w:ascii="Arial"/>
                <w:b/>
                <w:spacing w:val="-4"/>
                <w:sz w:val="16"/>
              </w:rPr>
              <w:t> </w:t>
            </w:r>
            <w:r>
              <w:rPr>
                <w:rFonts w:ascii="Arial"/>
                <w:b/>
                <w:spacing w:val="-2"/>
                <w:sz w:val="16"/>
              </w:rPr>
              <w:t>class</w:t>
            </w:r>
          </w:p>
        </w:tc>
        <w:tc>
          <w:tcPr>
            <w:tcW w:w="1440" w:type="dxa"/>
            <w:tcBorders>
              <w:bottom w:val="single" w:sz="8" w:space="0" w:color="000000"/>
            </w:tcBorders>
          </w:tcPr>
          <w:p>
            <w:pPr>
              <w:pStyle w:val="TableParagraph"/>
              <w:spacing w:line="181" w:lineRule="exact"/>
              <w:jc w:val="center"/>
              <w:rPr>
                <w:rFonts w:ascii="Arial"/>
                <w:i/>
                <w:sz w:val="16"/>
              </w:rPr>
            </w:pPr>
            <w:r>
              <w:rPr>
                <w:rFonts w:ascii="Arial"/>
                <w:i/>
                <w:sz w:val="16"/>
              </w:rPr>
              <w:t>2023</w:t>
            </w:r>
            <w:r>
              <w:rPr>
                <w:rFonts w:ascii="Arial"/>
                <w:i/>
                <w:spacing w:val="-4"/>
                <w:sz w:val="16"/>
              </w:rPr>
              <w:t> </w:t>
            </w:r>
            <w:r>
              <w:rPr>
                <w:rFonts w:ascii="Arial"/>
                <w:i/>
                <w:spacing w:val="-5"/>
                <w:sz w:val="16"/>
              </w:rPr>
              <w:t>(%)</w:t>
            </w:r>
          </w:p>
        </w:tc>
        <w:tc>
          <w:tcPr>
            <w:tcW w:w="847" w:type="dxa"/>
            <w:tcBorders>
              <w:top w:val="single" w:sz="8" w:space="0" w:color="000000"/>
              <w:bottom w:val="single" w:sz="8" w:space="0" w:color="000000"/>
            </w:tcBorders>
          </w:tcPr>
          <w:p>
            <w:pPr>
              <w:pStyle w:val="TableParagraph"/>
              <w:spacing w:line="181" w:lineRule="exact"/>
              <w:ind w:left="15" w:right="35"/>
              <w:jc w:val="center"/>
              <w:rPr>
                <w:rFonts w:ascii="Arial"/>
                <w:i/>
                <w:sz w:val="16"/>
              </w:rPr>
            </w:pPr>
            <w:r>
              <w:rPr>
                <w:rFonts w:ascii="Arial"/>
                <w:i/>
                <w:spacing w:val="-4"/>
                <w:sz w:val="16"/>
              </w:rPr>
              <w:t>2023</w:t>
            </w:r>
          </w:p>
        </w:tc>
        <w:tc>
          <w:tcPr>
            <w:tcW w:w="892" w:type="dxa"/>
            <w:tcBorders>
              <w:top w:val="single" w:sz="8" w:space="0" w:color="000000"/>
              <w:bottom w:val="single" w:sz="8" w:space="0" w:color="000000"/>
            </w:tcBorders>
          </w:tcPr>
          <w:p>
            <w:pPr>
              <w:pStyle w:val="TableParagraph"/>
              <w:spacing w:line="181" w:lineRule="exact"/>
              <w:ind w:right="19"/>
              <w:jc w:val="center"/>
              <w:rPr>
                <w:rFonts w:ascii="Arial"/>
                <w:i/>
                <w:sz w:val="16"/>
              </w:rPr>
            </w:pPr>
            <w:r>
              <w:rPr>
                <w:rFonts w:ascii="Arial"/>
                <w:i/>
                <w:spacing w:val="-4"/>
                <w:sz w:val="16"/>
              </w:rPr>
              <w:t>2022</w:t>
            </w:r>
          </w:p>
        </w:tc>
        <w:tc>
          <w:tcPr>
            <w:tcW w:w="299" w:type="dxa"/>
          </w:tcPr>
          <w:p>
            <w:pPr>
              <w:pStyle w:val="TableParagraph"/>
              <w:rPr>
                <w:rFonts w:ascii="Times New Roman"/>
                <w:sz w:val="14"/>
              </w:rPr>
            </w:pPr>
          </w:p>
        </w:tc>
        <w:tc>
          <w:tcPr>
            <w:tcW w:w="1649" w:type="dxa"/>
            <w:tcBorders>
              <w:bottom w:val="single" w:sz="8" w:space="0" w:color="000000"/>
            </w:tcBorders>
          </w:tcPr>
          <w:p>
            <w:pPr>
              <w:pStyle w:val="TableParagraph"/>
              <w:spacing w:line="181" w:lineRule="exact"/>
              <w:ind w:left="5"/>
              <w:jc w:val="center"/>
              <w:rPr>
                <w:rFonts w:ascii="Arial"/>
                <w:i/>
                <w:sz w:val="16"/>
              </w:rPr>
            </w:pPr>
            <w:r>
              <w:rPr>
                <w:rFonts w:ascii="Arial"/>
                <w:i/>
                <w:sz w:val="16"/>
              </w:rPr>
              <w:t>2023</w:t>
            </w:r>
            <w:r>
              <w:rPr>
                <w:rFonts w:ascii="Arial"/>
                <w:i/>
                <w:spacing w:val="-4"/>
                <w:sz w:val="16"/>
              </w:rPr>
              <w:t> </w:t>
            </w:r>
            <w:r>
              <w:rPr>
                <w:rFonts w:ascii="Arial"/>
                <w:i/>
                <w:spacing w:val="-5"/>
                <w:sz w:val="16"/>
              </w:rPr>
              <w:t>(%)</w:t>
            </w:r>
          </w:p>
        </w:tc>
        <w:tc>
          <w:tcPr>
            <w:tcW w:w="858" w:type="dxa"/>
            <w:tcBorders>
              <w:top w:val="single" w:sz="8" w:space="0" w:color="000000"/>
              <w:bottom w:val="single" w:sz="8" w:space="0" w:color="000000"/>
            </w:tcBorders>
          </w:tcPr>
          <w:p>
            <w:pPr>
              <w:pStyle w:val="TableParagraph"/>
              <w:spacing w:line="181" w:lineRule="exact"/>
              <w:ind w:left="10" w:right="35"/>
              <w:jc w:val="center"/>
              <w:rPr>
                <w:rFonts w:ascii="Arial"/>
                <w:i/>
                <w:sz w:val="16"/>
              </w:rPr>
            </w:pPr>
            <w:r>
              <w:rPr>
                <w:rFonts w:ascii="Arial"/>
                <w:i/>
                <w:spacing w:val="-4"/>
                <w:sz w:val="16"/>
              </w:rPr>
              <w:t>2023</w:t>
            </w:r>
          </w:p>
        </w:tc>
        <w:tc>
          <w:tcPr>
            <w:tcW w:w="925" w:type="dxa"/>
            <w:tcBorders>
              <w:top w:val="single" w:sz="8" w:space="0" w:color="000000"/>
              <w:bottom w:val="single" w:sz="8" w:space="0" w:color="000000"/>
            </w:tcBorders>
          </w:tcPr>
          <w:p>
            <w:pPr>
              <w:pStyle w:val="TableParagraph"/>
              <w:spacing w:line="181" w:lineRule="exact"/>
              <w:ind w:left="12" w:right="34"/>
              <w:jc w:val="center"/>
              <w:rPr>
                <w:rFonts w:ascii="Arial"/>
                <w:i/>
                <w:sz w:val="16"/>
              </w:rPr>
            </w:pPr>
            <w:r>
              <w:rPr>
                <w:rFonts w:ascii="Arial"/>
                <w:i/>
                <w:spacing w:val="-4"/>
                <w:sz w:val="16"/>
              </w:rPr>
              <w:t>2022</w:t>
            </w:r>
          </w:p>
        </w:tc>
        <w:tc>
          <w:tcPr>
            <w:tcW w:w="344" w:type="dxa"/>
          </w:tcPr>
          <w:p>
            <w:pPr>
              <w:pStyle w:val="TableParagraph"/>
              <w:rPr>
                <w:rFonts w:ascii="Times New Roman"/>
                <w:sz w:val="14"/>
              </w:rPr>
            </w:pPr>
          </w:p>
        </w:tc>
      </w:tr>
      <w:tr>
        <w:trPr>
          <w:trHeight w:val="230" w:hRule="atLeast"/>
        </w:trPr>
        <w:tc>
          <w:tcPr>
            <w:tcW w:w="2295" w:type="dxa"/>
          </w:tcPr>
          <w:p>
            <w:pPr>
              <w:pStyle w:val="TableParagraph"/>
              <w:spacing w:line="180" w:lineRule="exact"/>
              <w:ind w:left="52"/>
              <w:rPr>
                <w:sz w:val="16"/>
              </w:rPr>
            </w:pPr>
            <w:r>
              <w:rPr>
                <w:sz w:val="16"/>
              </w:rPr>
              <w:t>Fixed</w:t>
            </w:r>
            <w:r>
              <w:rPr>
                <w:spacing w:val="-4"/>
                <w:sz w:val="16"/>
              </w:rPr>
              <w:t> </w:t>
            </w:r>
            <w:r>
              <w:rPr>
                <w:sz w:val="16"/>
              </w:rPr>
              <w:t>income</w:t>
            </w:r>
            <w:r>
              <w:rPr>
                <w:spacing w:val="-4"/>
                <w:sz w:val="16"/>
              </w:rPr>
              <w:t> </w:t>
            </w:r>
            <w:r>
              <w:rPr>
                <w:sz w:val="16"/>
              </w:rPr>
              <w:t>and</w:t>
            </w:r>
            <w:r>
              <w:rPr>
                <w:spacing w:val="-3"/>
                <w:sz w:val="16"/>
              </w:rPr>
              <w:t> </w:t>
            </w:r>
            <w:r>
              <w:rPr>
                <w:spacing w:val="-4"/>
                <w:sz w:val="16"/>
              </w:rPr>
              <w:t>Cash</w:t>
            </w:r>
          </w:p>
        </w:tc>
        <w:tc>
          <w:tcPr>
            <w:tcW w:w="1440" w:type="dxa"/>
            <w:tcBorders>
              <w:top w:val="single" w:sz="8" w:space="0" w:color="000000"/>
            </w:tcBorders>
          </w:tcPr>
          <w:p>
            <w:pPr>
              <w:pStyle w:val="TableParagraph"/>
              <w:spacing w:line="180" w:lineRule="exact"/>
              <w:ind w:left="37"/>
              <w:jc w:val="center"/>
              <w:rPr>
                <w:sz w:val="16"/>
              </w:rPr>
            </w:pPr>
            <w:r>
              <w:rPr>
                <w:spacing w:val="-5"/>
                <w:sz w:val="16"/>
              </w:rPr>
              <w:t>20</w:t>
            </w:r>
          </w:p>
        </w:tc>
        <w:tc>
          <w:tcPr>
            <w:tcW w:w="847" w:type="dxa"/>
            <w:tcBorders>
              <w:top w:val="single" w:sz="8" w:space="0" w:color="000000"/>
            </w:tcBorders>
          </w:tcPr>
          <w:p>
            <w:pPr>
              <w:pStyle w:val="TableParagraph"/>
              <w:spacing w:line="180" w:lineRule="exact"/>
              <w:ind w:left="35" w:right="20"/>
              <w:jc w:val="center"/>
              <w:rPr>
                <w:sz w:val="16"/>
              </w:rPr>
            </w:pPr>
            <w:r>
              <w:rPr>
                <w:spacing w:val="-5"/>
                <w:sz w:val="16"/>
              </w:rPr>
              <w:t>16</w:t>
            </w:r>
          </w:p>
        </w:tc>
        <w:tc>
          <w:tcPr>
            <w:tcW w:w="892" w:type="dxa"/>
            <w:tcBorders>
              <w:top w:val="single" w:sz="8" w:space="0" w:color="000000"/>
            </w:tcBorders>
          </w:tcPr>
          <w:p>
            <w:pPr>
              <w:pStyle w:val="TableParagraph"/>
              <w:spacing w:line="180" w:lineRule="exact"/>
              <w:ind w:left="16"/>
              <w:jc w:val="center"/>
              <w:rPr>
                <w:sz w:val="16"/>
              </w:rPr>
            </w:pPr>
            <w:r>
              <w:rPr>
                <w:spacing w:val="-5"/>
                <w:sz w:val="16"/>
              </w:rPr>
              <w:t>17</w:t>
            </w:r>
          </w:p>
        </w:tc>
        <w:tc>
          <w:tcPr>
            <w:tcW w:w="299" w:type="dxa"/>
          </w:tcPr>
          <w:p>
            <w:pPr>
              <w:pStyle w:val="TableParagraph"/>
              <w:rPr>
                <w:rFonts w:ascii="Times New Roman"/>
                <w:sz w:val="16"/>
              </w:rPr>
            </w:pPr>
          </w:p>
        </w:tc>
        <w:tc>
          <w:tcPr>
            <w:tcW w:w="1649" w:type="dxa"/>
            <w:tcBorders>
              <w:top w:val="single" w:sz="8" w:space="0" w:color="000000"/>
            </w:tcBorders>
          </w:tcPr>
          <w:p>
            <w:pPr>
              <w:pStyle w:val="TableParagraph"/>
              <w:spacing w:line="180" w:lineRule="exact"/>
              <w:ind w:left="42"/>
              <w:jc w:val="center"/>
              <w:rPr>
                <w:sz w:val="16"/>
              </w:rPr>
            </w:pPr>
            <w:r>
              <w:rPr>
                <w:spacing w:val="-5"/>
                <w:sz w:val="16"/>
              </w:rPr>
              <w:t>20</w:t>
            </w:r>
          </w:p>
        </w:tc>
        <w:tc>
          <w:tcPr>
            <w:tcW w:w="858" w:type="dxa"/>
            <w:tcBorders>
              <w:top w:val="single" w:sz="8" w:space="0" w:color="000000"/>
            </w:tcBorders>
          </w:tcPr>
          <w:p>
            <w:pPr>
              <w:pStyle w:val="TableParagraph"/>
              <w:spacing w:line="180" w:lineRule="exact"/>
              <w:ind w:left="35" w:right="25"/>
              <w:jc w:val="center"/>
              <w:rPr>
                <w:sz w:val="16"/>
              </w:rPr>
            </w:pPr>
            <w:r>
              <w:rPr>
                <w:spacing w:val="-5"/>
                <w:sz w:val="16"/>
              </w:rPr>
              <w:t>16</w:t>
            </w:r>
          </w:p>
        </w:tc>
        <w:tc>
          <w:tcPr>
            <w:tcW w:w="925" w:type="dxa"/>
            <w:tcBorders>
              <w:top w:val="single" w:sz="8" w:space="0" w:color="000000"/>
            </w:tcBorders>
          </w:tcPr>
          <w:p>
            <w:pPr>
              <w:pStyle w:val="TableParagraph"/>
              <w:spacing w:line="180" w:lineRule="exact"/>
              <w:ind w:left="34" w:right="22"/>
              <w:jc w:val="center"/>
              <w:rPr>
                <w:sz w:val="16"/>
              </w:rPr>
            </w:pPr>
            <w:r>
              <w:rPr>
                <w:spacing w:val="-5"/>
                <w:sz w:val="16"/>
              </w:rPr>
              <w:t>17</w:t>
            </w:r>
          </w:p>
        </w:tc>
        <w:tc>
          <w:tcPr>
            <w:tcW w:w="344" w:type="dxa"/>
          </w:tcPr>
          <w:p>
            <w:pPr>
              <w:pStyle w:val="TableParagraph"/>
              <w:rPr>
                <w:rFonts w:ascii="Times New Roman"/>
                <w:sz w:val="16"/>
              </w:rPr>
            </w:pPr>
          </w:p>
        </w:tc>
      </w:tr>
      <w:tr>
        <w:trPr>
          <w:trHeight w:val="240" w:hRule="atLeast"/>
        </w:trPr>
        <w:tc>
          <w:tcPr>
            <w:tcW w:w="2295" w:type="dxa"/>
          </w:tcPr>
          <w:p>
            <w:pPr>
              <w:pStyle w:val="TableParagraph"/>
              <w:spacing w:before="5"/>
              <w:ind w:left="52"/>
              <w:rPr>
                <w:sz w:val="16"/>
              </w:rPr>
            </w:pPr>
            <w:r>
              <w:rPr>
                <w:sz w:val="16"/>
              </w:rPr>
              <w:t>Credit</w:t>
            </w:r>
            <w:r>
              <w:rPr>
                <w:spacing w:val="-6"/>
                <w:sz w:val="16"/>
              </w:rPr>
              <w:t> </w:t>
            </w:r>
            <w:r>
              <w:rPr>
                <w:spacing w:val="-2"/>
                <w:sz w:val="16"/>
              </w:rPr>
              <w:t>Strategy</w:t>
            </w:r>
          </w:p>
        </w:tc>
        <w:tc>
          <w:tcPr>
            <w:tcW w:w="1440" w:type="dxa"/>
          </w:tcPr>
          <w:p>
            <w:pPr>
              <w:pStyle w:val="TableParagraph"/>
              <w:spacing w:before="5"/>
              <w:ind w:left="37"/>
              <w:jc w:val="center"/>
              <w:rPr>
                <w:sz w:val="16"/>
              </w:rPr>
            </w:pPr>
            <w:r>
              <w:rPr>
                <w:spacing w:val="-10"/>
                <w:sz w:val="16"/>
              </w:rPr>
              <w:t>6</w:t>
            </w:r>
          </w:p>
        </w:tc>
        <w:tc>
          <w:tcPr>
            <w:tcW w:w="847" w:type="dxa"/>
          </w:tcPr>
          <w:p>
            <w:pPr>
              <w:pStyle w:val="TableParagraph"/>
              <w:spacing w:before="5"/>
              <w:ind w:left="35" w:right="20"/>
              <w:jc w:val="center"/>
              <w:rPr>
                <w:sz w:val="16"/>
              </w:rPr>
            </w:pPr>
            <w:r>
              <w:rPr>
                <w:spacing w:val="-10"/>
                <w:sz w:val="16"/>
              </w:rPr>
              <w:t>8</w:t>
            </w:r>
          </w:p>
        </w:tc>
        <w:tc>
          <w:tcPr>
            <w:tcW w:w="892" w:type="dxa"/>
          </w:tcPr>
          <w:p>
            <w:pPr>
              <w:pStyle w:val="TableParagraph"/>
              <w:spacing w:before="5"/>
              <w:ind w:left="16"/>
              <w:jc w:val="center"/>
              <w:rPr>
                <w:sz w:val="16"/>
              </w:rPr>
            </w:pPr>
            <w:r>
              <w:rPr>
                <w:spacing w:val="-10"/>
                <w:sz w:val="16"/>
              </w:rPr>
              <w:t>7</w:t>
            </w:r>
          </w:p>
        </w:tc>
        <w:tc>
          <w:tcPr>
            <w:tcW w:w="299" w:type="dxa"/>
          </w:tcPr>
          <w:p>
            <w:pPr>
              <w:pStyle w:val="TableParagraph"/>
              <w:rPr>
                <w:rFonts w:ascii="Times New Roman"/>
                <w:sz w:val="16"/>
              </w:rPr>
            </w:pPr>
          </w:p>
        </w:tc>
        <w:tc>
          <w:tcPr>
            <w:tcW w:w="1649" w:type="dxa"/>
          </w:tcPr>
          <w:p>
            <w:pPr>
              <w:pStyle w:val="TableParagraph"/>
              <w:spacing w:before="5"/>
              <w:ind w:left="42"/>
              <w:jc w:val="center"/>
              <w:rPr>
                <w:sz w:val="16"/>
              </w:rPr>
            </w:pPr>
            <w:r>
              <w:rPr>
                <w:spacing w:val="-10"/>
                <w:sz w:val="16"/>
              </w:rPr>
              <w:t>6</w:t>
            </w:r>
          </w:p>
        </w:tc>
        <w:tc>
          <w:tcPr>
            <w:tcW w:w="858" w:type="dxa"/>
          </w:tcPr>
          <w:p>
            <w:pPr>
              <w:pStyle w:val="TableParagraph"/>
              <w:spacing w:before="5"/>
              <w:ind w:left="35" w:right="25"/>
              <w:jc w:val="center"/>
              <w:rPr>
                <w:sz w:val="16"/>
              </w:rPr>
            </w:pPr>
            <w:r>
              <w:rPr>
                <w:spacing w:val="-10"/>
                <w:sz w:val="16"/>
              </w:rPr>
              <w:t>8</w:t>
            </w:r>
          </w:p>
        </w:tc>
        <w:tc>
          <w:tcPr>
            <w:tcW w:w="925" w:type="dxa"/>
          </w:tcPr>
          <w:p>
            <w:pPr>
              <w:pStyle w:val="TableParagraph"/>
              <w:spacing w:before="5"/>
              <w:ind w:left="34" w:right="22"/>
              <w:jc w:val="center"/>
              <w:rPr>
                <w:sz w:val="16"/>
              </w:rPr>
            </w:pPr>
            <w:r>
              <w:rPr>
                <w:spacing w:val="-10"/>
                <w:sz w:val="16"/>
              </w:rPr>
              <w:t>7</w:t>
            </w:r>
          </w:p>
        </w:tc>
        <w:tc>
          <w:tcPr>
            <w:tcW w:w="344" w:type="dxa"/>
          </w:tcPr>
          <w:p>
            <w:pPr>
              <w:pStyle w:val="TableParagraph"/>
              <w:rPr>
                <w:rFonts w:ascii="Times New Roman"/>
                <w:sz w:val="16"/>
              </w:rPr>
            </w:pPr>
          </w:p>
        </w:tc>
      </w:tr>
      <w:tr>
        <w:trPr>
          <w:trHeight w:val="240" w:hRule="atLeast"/>
        </w:trPr>
        <w:tc>
          <w:tcPr>
            <w:tcW w:w="2295" w:type="dxa"/>
          </w:tcPr>
          <w:p>
            <w:pPr>
              <w:pStyle w:val="TableParagraph"/>
              <w:spacing w:before="5"/>
              <w:ind w:left="52"/>
              <w:rPr>
                <w:sz w:val="16"/>
              </w:rPr>
            </w:pPr>
            <w:r>
              <w:rPr>
                <w:sz w:val="16"/>
              </w:rPr>
              <w:t>Public</w:t>
            </w:r>
            <w:r>
              <w:rPr>
                <w:spacing w:val="-6"/>
                <w:sz w:val="16"/>
              </w:rPr>
              <w:t> </w:t>
            </w:r>
            <w:r>
              <w:rPr>
                <w:spacing w:val="-2"/>
                <w:sz w:val="16"/>
              </w:rPr>
              <w:t>equity</w:t>
            </w:r>
          </w:p>
        </w:tc>
        <w:tc>
          <w:tcPr>
            <w:tcW w:w="1440" w:type="dxa"/>
          </w:tcPr>
          <w:p>
            <w:pPr>
              <w:pStyle w:val="TableParagraph"/>
              <w:spacing w:before="5"/>
              <w:ind w:left="37"/>
              <w:jc w:val="center"/>
              <w:rPr>
                <w:sz w:val="16"/>
              </w:rPr>
            </w:pPr>
            <w:r>
              <w:rPr>
                <w:spacing w:val="-5"/>
                <w:sz w:val="16"/>
              </w:rPr>
              <w:t>31</w:t>
            </w:r>
          </w:p>
        </w:tc>
        <w:tc>
          <w:tcPr>
            <w:tcW w:w="847" w:type="dxa"/>
          </w:tcPr>
          <w:p>
            <w:pPr>
              <w:pStyle w:val="TableParagraph"/>
              <w:spacing w:before="5"/>
              <w:ind w:left="35" w:right="20"/>
              <w:jc w:val="center"/>
              <w:rPr>
                <w:sz w:val="16"/>
              </w:rPr>
            </w:pPr>
            <w:r>
              <w:rPr>
                <w:spacing w:val="-5"/>
                <w:sz w:val="16"/>
              </w:rPr>
              <w:t>22</w:t>
            </w:r>
          </w:p>
        </w:tc>
        <w:tc>
          <w:tcPr>
            <w:tcW w:w="892" w:type="dxa"/>
          </w:tcPr>
          <w:p>
            <w:pPr>
              <w:pStyle w:val="TableParagraph"/>
              <w:spacing w:before="5"/>
              <w:ind w:left="16"/>
              <w:jc w:val="center"/>
              <w:rPr>
                <w:sz w:val="16"/>
              </w:rPr>
            </w:pPr>
            <w:r>
              <w:rPr>
                <w:spacing w:val="-5"/>
                <w:sz w:val="16"/>
              </w:rPr>
              <w:t>23</w:t>
            </w:r>
          </w:p>
        </w:tc>
        <w:tc>
          <w:tcPr>
            <w:tcW w:w="299" w:type="dxa"/>
          </w:tcPr>
          <w:p>
            <w:pPr>
              <w:pStyle w:val="TableParagraph"/>
              <w:rPr>
                <w:rFonts w:ascii="Times New Roman"/>
                <w:sz w:val="16"/>
              </w:rPr>
            </w:pPr>
          </w:p>
        </w:tc>
        <w:tc>
          <w:tcPr>
            <w:tcW w:w="1649" w:type="dxa"/>
          </w:tcPr>
          <w:p>
            <w:pPr>
              <w:pStyle w:val="TableParagraph"/>
              <w:spacing w:before="5"/>
              <w:ind w:left="42"/>
              <w:jc w:val="center"/>
              <w:rPr>
                <w:sz w:val="16"/>
              </w:rPr>
            </w:pPr>
            <w:r>
              <w:rPr>
                <w:spacing w:val="-5"/>
                <w:sz w:val="16"/>
              </w:rPr>
              <w:t>31</w:t>
            </w:r>
          </w:p>
        </w:tc>
        <w:tc>
          <w:tcPr>
            <w:tcW w:w="858" w:type="dxa"/>
          </w:tcPr>
          <w:p>
            <w:pPr>
              <w:pStyle w:val="TableParagraph"/>
              <w:spacing w:before="5"/>
              <w:ind w:left="35" w:right="25"/>
              <w:jc w:val="center"/>
              <w:rPr>
                <w:sz w:val="16"/>
              </w:rPr>
            </w:pPr>
            <w:r>
              <w:rPr>
                <w:spacing w:val="-5"/>
                <w:sz w:val="16"/>
              </w:rPr>
              <w:t>22</w:t>
            </w:r>
          </w:p>
        </w:tc>
        <w:tc>
          <w:tcPr>
            <w:tcW w:w="925" w:type="dxa"/>
          </w:tcPr>
          <w:p>
            <w:pPr>
              <w:pStyle w:val="TableParagraph"/>
              <w:spacing w:before="5"/>
              <w:ind w:left="34" w:right="22"/>
              <w:jc w:val="center"/>
              <w:rPr>
                <w:sz w:val="16"/>
              </w:rPr>
            </w:pPr>
            <w:r>
              <w:rPr>
                <w:spacing w:val="-5"/>
                <w:sz w:val="16"/>
              </w:rPr>
              <w:t>22</w:t>
            </w:r>
          </w:p>
        </w:tc>
        <w:tc>
          <w:tcPr>
            <w:tcW w:w="344" w:type="dxa"/>
          </w:tcPr>
          <w:p>
            <w:pPr>
              <w:pStyle w:val="TableParagraph"/>
              <w:rPr>
                <w:rFonts w:ascii="Times New Roman"/>
                <w:sz w:val="16"/>
              </w:rPr>
            </w:pPr>
          </w:p>
        </w:tc>
      </w:tr>
      <w:tr>
        <w:trPr>
          <w:trHeight w:val="240" w:hRule="atLeast"/>
        </w:trPr>
        <w:tc>
          <w:tcPr>
            <w:tcW w:w="2295" w:type="dxa"/>
          </w:tcPr>
          <w:p>
            <w:pPr>
              <w:pStyle w:val="TableParagraph"/>
              <w:spacing w:before="5"/>
              <w:ind w:left="52"/>
              <w:rPr>
                <w:sz w:val="16"/>
              </w:rPr>
            </w:pPr>
            <w:r>
              <w:rPr>
                <w:sz w:val="16"/>
              </w:rPr>
              <w:t>Private</w:t>
            </w:r>
            <w:r>
              <w:rPr>
                <w:spacing w:val="-3"/>
                <w:sz w:val="16"/>
              </w:rPr>
              <w:t> </w:t>
            </w:r>
            <w:r>
              <w:rPr>
                <w:spacing w:val="-2"/>
                <w:sz w:val="16"/>
              </w:rPr>
              <w:t>equity</w:t>
            </w:r>
          </w:p>
        </w:tc>
        <w:tc>
          <w:tcPr>
            <w:tcW w:w="1440" w:type="dxa"/>
          </w:tcPr>
          <w:p>
            <w:pPr>
              <w:pStyle w:val="TableParagraph"/>
              <w:spacing w:before="5"/>
              <w:ind w:left="37"/>
              <w:jc w:val="center"/>
              <w:rPr>
                <w:sz w:val="16"/>
              </w:rPr>
            </w:pPr>
            <w:r>
              <w:rPr>
                <w:spacing w:val="-5"/>
                <w:sz w:val="16"/>
              </w:rPr>
              <w:t>20</w:t>
            </w:r>
          </w:p>
        </w:tc>
        <w:tc>
          <w:tcPr>
            <w:tcW w:w="847" w:type="dxa"/>
          </w:tcPr>
          <w:p>
            <w:pPr>
              <w:pStyle w:val="TableParagraph"/>
              <w:spacing w:before="5"/>
              <w:ind w:left="35" w:right="20"/>
              <w:jc w:val="center"/>
              <w:rPr>
                <w:sz w:val="16"/>
              </w:rPr>
            </w:pPr>
            <w:r>
              <w:rPr>
                <w:spacing w:val="-5"/>
                <w:sz w:val="16"/>
              </w:rPr>
              <w:t>28</w:t>
            </w:r>
          </w:p>
        </w:tc>
        <w:tc>
          <w:tcPr>
            <w:tcW w:w="892" w:type="dxa"/>
          </w:tcPr>
          <w:p>
            <w:pPr>
              <w:pStyle w:val="TableParagraph"/>
              <w:spacing w:before="5"/>
              <w:ind w:left="16"/>
              <w:jc w:val="center"/>
              <w:rPr>
                <w:sz w:val="16"/>
              </w:rPr>
            </w:pPr>
            <w:r>
              <w:rPr>
                <w:spacing w:val="-5"/>
                <w:sz w:val="16"/>
              </w:rPr>
              <w:t>27</w:t>
            </w:r>
          </w:p>
        </w:tc>
        <w:tc>
          <w:tcPr>
            <w:tcW w:w="299" w:type="dxa"/>
          </w:tcPr>
          <w:p>
            <w:pPr>
              <w:pStyle w:val="TableParagraph"/>
              <w:rPr>
                <w:rFonts w:ascii="Times New Roman"/>
                <w:sz w:val="16"/>
              </w:rPr>
            </w:pPr>
          </w:p>
        </w:tc>
        <w:tc>
          <w:tcPr>
            <w:tcW w:w="1649" w:type="dxa"/>
          </w:tcPr>
          <w:p>
            <w:pPr>
              <w:pStyle w:val="TableParagraph"/>
              <w:spacing w:before="5"/>
              <w:ind w:left="42"/>
              <w:jc w:val="center"/>
              <w:rPr>
                <w:sz w:val="16"/>
              </w:rPr>
            </w:pPr>
            <w:r>
              <w:rPr>
                <w:spacing w:val="-5"/>
                <w:sz w:val="16"/>
              </w:rPr>
              <w:t>20</w:t>
            </w:r>
          </w:p>
        </w:tc>
        <w:tc>
          <w:tcPr>
            <w:tcW w:w="858" w:type="dxa"/>
          </w:tcPr>
          <w:p>
            <w:pPr>
              <w:pStyle w:val="TableParagraph"/>
              <w:spacing w:before="5"/>
              <w:ind w:left="35" w:right="25"/>
              <w:jc w:val="center"/>
              <w:rPr>
                <w:sz w:val="16"/>
              </w:rPr>
            </w:pPr>
            <w:r>
              <w:rPr>
                <w:spacing w:val="-5"/>
                <w:sz w:val="16"/>
              </w:rPr>
              <w:t>27</w:t>
            </w:r>
          </w:p>
        </w:tc>
        <w:tc>
          <w:tcPr>
            <w:tcW w:w="925" w:type="dxa"/>
          </w:tcPr>
          <w:p>
            <w:pPr>
              <w:pStyle w:val="TableParagraph"/>
              <w:spacing w:before="5"/>
              <w:ind w:left="34" w:right="22"/>
              <w:jc w:val="center"/>
              <w:rPr>
                <w:sz w:val="16"/>
              </w:rPr>
            </w:pPr>
            <w:r>
              <w:rPr>
                <w:spacing w:val="-5"/>
                <w:sz w:val="16"/>
              </w:rPr>
              <w:t>27</w:t>
            </w:r>
          </w:p>
        </w:tc>
        <w:tc>
          <w:tcPr>
            <w:tcW w:w="344" w:type="dxa"/>
          </w:tcPr>
          <w:p>
            <w:pPr>
              <w:pStyle w:val="TableParagraph"/>
              <w:rPr>
                <w:rFonts w:ascii="Times New Roman"/>
                <w:sz w:val="16"/>
              </w:rPr>
            </w:pPr>
          </w:p>
        </w:tc>
      </w:tr>
      <w:tr>
        <w:trPr>
          <w:trHeight w:val="229" w:hRule="atLeast"/>
        </w:trPr>
        <w:tc>
          <w:tcPr>
            <w:tcW w:w="2295" w:type="dxa"/>
          </w:tcPr>
          <w:p>
            <w:pPr>
              <w:pStyle w:val="TableParagraph"/>
              <w:spacing w:before="5"/>
              <w:ind w:left="52"/>
              <w:rPr>
                <w:sz w:val="16"/>
              </w:rPr>
            </w:pPr>
            <w:r>
              <w:rPr>
                <w:sz w:val="16"/>
              </w:rPr>
              <w:t>Market</w:t>
            </w:r>
            <w:r>
              <w:rPr>
                <w:spacing w:val="-6"/>
                <w:sz w:val="16"/>
              </w:rPr>
              <w:t> </w:t>
            </w:r>
            <w:r>
              <w:rPr>
                <w:sz w:val="16"/>
              </w:rPr>
              <w:t>neutral</w:t>
            </w:r>
            <w:r>
              <w:rPr>
                <w:spacing w:val="-3"/>
                <w:sz w:val="16"/>
              </w:rPr>
              <w:t> </w:t>
            </w:r>
            <w:r>
              <w:rPr>
                <w:sz w:val="16"/>
              </w:rPr>
              <w:t>hedge</w:t>
            </w:r>
            <w:r>
              <w:rPr>
                <w:spacing w:val="-4"/>
                <w:sz w:val="16"/>
              </w:rPr>
              <w:t> funds</w:t>
            </w:r>
          </w:p>
        </w:tc>
        <w:tc>
          <w:tcPr>
            <w:tcW w:w="1440" w:type="dxa"/>
          </w:tcPr>
          <w:p>
            <w:pPr>
              <w:pStyle w:val="TableParagraph"/>
              <w:spacing w:before="5"/>
              <w:ind w:left="37"/>
              <w:jc w:val="center"/>
              <w:rPr>
                <w:sz w:val="16"/>
              </w:rPr>
            </w:pPr>
            <w:r>
              <w:rPr>
                <w:spacing w:val="-5"/>
                <w:sz w:val="16"/>
              </w:rPr>
              <w:t>10</w:t>
            </w:r>
          </w:p>
        </w:tc>
        <w:tc>
          <w:tcPr>
            <w:tcW w:w="847" w:type="dxa"/>
          </w:tcPr>
          <w:p>
            <w:pPr>
              <w:pStyle w:val="TableParagraph"/>
              <w:spacing w:before="5"/>
              <w:ind w:left="35" w:right="20"/>
              <w:jc w:val="center"/>
              <w:rPr>
                <w:sz w:val="16"/>
              </w:rPr>
            </w:pPr>
            <w:r>
              <w:rPr>
                <w:spacing w:val="-5"/>
                <w:sz w:val="16"/>
              </w:rPr>
              <w:t>11</w:t>
            </w:r>
          </w:p>
        </w:tc>
        <w:tc>
          <w:tcPr>
            <w:tcW w:w="892" w:type="dxa"/>
          </w:tcPr>
          <w:p>
            <w:pPr>
              <w:pStyle w:val="TableParagraph"/>
              <w:spacing w:before="5"/>
              <w:ind w:left="16"/>
              <w:jc w:val="center"/>
              <w:rPr>
                <w:sz w:val="16"/>
              </w:rPr>
            </w:pPr>
            <w:r>
              <w:rPr>
                <w:spacing w:val="-5"/>
                <w:sz w:val="16"/>
              </w:rPr>
              <w:t>10</w:t>
            </w:r>
          </w:p>
        </w:tc>
        <w:tc>
          <w:tcPr>
            <w:tcW w:w="299" w:type="dxa"/>
          </w:tcPr>
          <w:p>
            <w:pPr>
              <w:pStyle w:val="TableParagraph"/>
              <w:rPr>
                <w:rFonts w:ascii="Times New Roman"/>
                <w:sz w:val="16"/>
              </w:rPr>
            </w:pPr>
          </w:p>
        </w:tc>
        <w:tc>
          <w:tcPr>
            <w:tcW w:w="1649" w:type="dxa"/>
          </w:tcPr>
          <w:p>
            <w:pPr>
              <w:pStyle w:val="TableParagraph"/>
              <w:spacing w:before="5"/>
              <w:ind w:left="42"/>
              <w:jc w:val="center"/>
              <w:rPr>
                <w:sz w:val="16"/>
              </w:rPr>
            </w:pPr>
            <w:r>
              <w:rPr>
                <w:spacing w:val="-5"/>
                <w:sz w:val="16"/>
              </w:rPr>
              <w:t>10</w:t>
            </w:r>
          </w:p>
        </w:tc>
        <w:tc>
          <w:tcPr>
            <w:tcW w:w="858" w:type="dxa"/>
          </w:tcPr>
          <w:p>
            <w:pPr>
              <w:pStyle w:val="TableParagraph"/>
              <w:spacing w:before="5"/>
              <w:ind w:left="35" w:right="25"/>
              <w:jc w:val="center"/>
              <w:rPr>
                <w:sz w:val="16"/>
              </w:rPr>
            </w:pPr>
            <w:r>
              <w:rPr>
                <w:spacing w:val="-5"/>
                <w:sz w:val="16"/>
              </w:rPr>
              <w:t>11</w:t>
            </w:r>
          </w:p>
        </w:tc>
        <w:tc>
          <w:tcPr>
            <w:tcW w:w="925" w:type="dxa"/>
          </w:tcPr>
          <w:p>
            <w:pPr>
              <w:pStyle w:val="TableParagraph"/>
              <w:spacing w:before="5"/>
              <w:ind w:left="34" w:right="22"/>
              <w:jc w:val="center"/>
              <w:rPr>
                <w:sz w:val="16"/>
              </w:rPr>
            </w:pPr>
            <w:r>
              <w:rPr>
                <w:spacing w:val="-5"/>
                <w:sz w:val="16"/>
              </w:rPr>
              <w:t>10</w:t>
            </w:r>
          </w:p>
        </w:tc>
        <w:tc>
          <w:tcPr>
            <w:tcW w:w="344" w:type="dxa"/>
          </w:tcPr>
          <w:p>
            <w:pPr>
              <w:pStyle w:val="TableParagraph"/>
              <w:rPr>
                <w:rFonts w:ascii="Times New Roman"/>
                <w:sz w:val="16"/>
              </w:rPr>
            </w:pPr>
          </w:p>
        </w:tc>
      </w:tr>
      <w:tr>
        <w:trPr>
          <w:trHeight w:val="240" w:hRule="atLeast"/>
        </w:trPr>
        <w:tc>
          <w:tcPr>
            <w:tcW w:w="2295" w:type="dxa"/>
          </w:tcPr>
          <w:p>
            <w:pPr>
              <w:pStyle w:val="TableParagraph"/>
              <w:spacing w:before="16"/>
              <w:ind w:left="52"/>
              <w:rPr>
                <w:sz w:val="16"/>
              </w:rPr>
            </w:pPr>
            <w:r>
              <w:rPr>
                <w:sz w:val="16"/>
              </w:rPr>
              <w:t>Real</w:t>
            </w:r>
            <w:r>
              <w:rPr>
                <w:spacing w:val="-3"/>
                <w:sz w:val="16"/>
              </w:rPr>
              <w:t> </w:t>
            </w:r>
            <w:r>
              <w:rPr>
                <w:sz w:val="16"/>
              </w:rPr>
              <w:t>assets</w:t>
            </w:r>
            <w:r>
              <w:rPr>
                <w:spacing w:val="-3"/>
                <w:sz w:val="16"/>
              </w:rPr>
              <w:t> </w:t>
            </w:r>
            <w:r>
              <w:rPr>
                <w:spacing w:val="-10"/>
                <w:sz w:val="16"/>
                <w:vertAlign w:val="superscript"/>
              </w:rPr>
              <w:t>a</w:t>
            </w:r>
          </w:p>
        </w:tc>
        <w:tc>
          <w:tcPr>
            <w:tcW w:w="1440" w:type="dxa"/>
          </w:tcPr>
          <w:p>
            <w:pPr>
              <w:pStyle w:val="TableParagraph"/>
              <w:spacing w:before="16"/>
              <w:ind w:left="37"/>
              <w:jc w:val="center"/>
              <w:rPr>
                <w:sz w:val="16"/>
              </w:rPr>
            </w:pPr>
            <w:r>
              <w:rPr>
                <w:spacing w:val="-5"/>
                <w:sz w:val="16"/>
              </w:rPr>
              <w:t>13</w:t>
            </w:r>
          </w:p>
        </w:tc>
        <w:tc>
          <w:tcPr>
            <w:tcW w:w="847" w:type="dxa"/>
          </w:tcPr>
          <w:p>
            <w:pPr>
              <w:pStyle w:val="TableParagraph"/>
              <w:spacing w:before="16"/>
              <w:ind w:left="35" w:right="20"/>
              <w:jc w:val="center"/>
              <w:rPr>
                <w:sz w:val="16"/>
              </w:rPr>
            </w:pPr>
            <w:r>
              <w:rPr>
                <w:spacing w:val="-5"/>
                <w:sz w:val="16"/>
              </w:rPr>
              <w:t>14</w:t>
            </w:r>
          </w:p>
        </w:tc>
        <w:tc>
          <w:tcPr>
            <w:tcW w:w="892" w:type="dxa"/>
          </w:tcPr>
          <w:p>
            <w:pPr>
              <w:pStyle w:val="TableParagraph"/>
              <w:spacing w:before="16"/>
              <w:ind w:left="16"/>
              <w:jc w:val="center"/>
              <w:rPr>
                <w:sz w:val="16"/>
              </w:rPr>
            </w:pPr>
            <w:r>
              <w:rPr>
                <w:spacing w:val="-5"/>
                <w:sz w:val="16"/>
              </w:rPr>
              <w:t>15</w:t>
            </w:r>
          </w:p>
        </w:tc>
        <w:tc>
          <w:tcPr>
            <w:tcW w:w="299" w:type="dxa"/>
          </w:tcPr>
          <w:p>
            <w:pPr>
              <w:pStyle w:val="TableParagraph"/>
              <w:rPr>
                <w:rFonts w:ascii="Times New Roman"/>
                <w:sz w:val="16"/>
              </w:rPr>
            </w:pPr>
          </w:p>
        </w:tc>
        <w:tc>
          <w:tcPr>
            <w:tcW w:w="1649" w:type="dxa"/>
          </w:tcPr>
          <w:p>
            <w:pPr>
              <w:pStyle w:val="TableParagraph"/>
              <w:spacing w:before="16"/>
              <w:ind w:left="42"/>
              <w:jc w:val="center"/>
              <w:rPr>
                <w:sz w:val="16"/>
              </w:rPr>
            </w:pPr>
            <w:r>
              <w:rPr>
                <w:spacing w:val="-5"/>
                <w:sz w:val="16"/>
              </w:rPr>
              <w:t>13</w:t>
            </w:r>
          </w:p>
        </w:tc>
        <w:tc>
          <w:tcPr>
            <w:tcW w:w="858" w:type="dxa"/>
          </w:tcPr>
          <w:p>
            <w:pPr>
              <w:pStyle w:val="TableParagraph"/>
              <w:spacing w:before="16"/>
              <w:ind w:left="35" w:right="25"/>
              <w:jc w:val="center"/>
              <w:rPr>
                <w:sz w:val="16"/>
              </w:rPr>
            </w:pPr>
            <w:r>
              <w:rPr>
                <w:spacing w:val="-5"/>
                <w:sz w:val="16"/>
              </w:rPr>
              <w:t>15</w:t>
            </w:r>
          </w:p>
        </w:tc>
        <w:tc>
          <w:tcPr>
            <w:tcW w:w="925" w:type="dxa"/>
          </w:tcPr>
          <w:p>
            <w:pPr>
              <w:pStyle w:val="TableParagraph"/>
              <w:spacing w:before="16"/>
              <w:ind w:left="34" w:right="22"/>
              <w:jc w:val="center"/>
              <w:rPr>
                <w:sz w:val="16"/>
              </w:rPr>
            </w:pPr>
            <w:r>
              <w:rPr>
                <w:spacing w:val="-5"/>
                <w:sz w:val="16"/>
              </w:rPr>
              <w:t>16</w:t>
            </w:r>
          </w:p>
        </w:tc>
        <w:tc>
          <w:tcPr>
            <w:tcW w:w="344" w:type="dxa"/>
          </w:tcPr>
          <w:p>
            <w:pPr>
              <w:pStyle w:val="TableParagraph"/>
              <w:rPr>
                <w:rFonts w:ascii="Times New Roman"/>
                <w:sz w:val="16"/>
              </w:rPr>
            </w:pPr>
          </w:p>
        </w:tc>
      </w:tr>
      <w:tr>
        <w:trPr>
          <w:trHeight w:val="239" w:hRule="atLeast"/>
        </w:trPr>
        <w:tc>
          <w:tcPr>
            <w:tcW w:w="2295" w:type="dxa"/>
          </w:tcPr>
          <w:p>
            <w:pPr>
              <w:pStyle w:val="TableParagraph"/>
              <w:spacing w:before="16"/>
              <w:ind w:left="52"/>
              <w:rPr>
                <w:sz w:val="16"/>
              </w:rPr>
            </w:pPr>
            <w:r>
              <w:rPr>
                <w:sz w:val="16"/>
              </w:rPr>
              <w:t>Other</w:t>
            </w:r>
            <w:r>
              <w:rPr>
                <w:spacing w:val="-5"/>
                <w:sz w:val="16"/>
              </w:rPr>
              <w:t> </w:t>
            </w:r>
            <w:r>
              <w:rPr>
                <w:spacing w:val="-10"/>
                <w:sz w:val="16"/>
                <w:vertAlign w:val="superscript"/>
              </w:rPr>
              <w:t>b</w:t>
            </w:r>
          </w:p>
        </w:tc>
        <w:tc>
          <w:tcPr>
            <w:tcW w:w="1440" w:type="dxa"/>
            <w:tcBorders>
              <w:bottom w:val="single" w:sz="8" w:space="0" w:color="000000"/>
            </w:tcBorders>
          </w:tcPr>
          <w:p>
            <w:pPr>
              <w:pStyle w:val="TableParagraph"/>
              <w:spacing w:before="16"/>
              <w:ind w:left="37"/>
              <w:jc w:val="center"/>
              <w:rPr>
                <w:sz w:val="16"/>
              </w:rPr>
            </w:pPr>
            <w:r>
              <w:rPr>
                <w:sz w:val="16"/>
              </w:rPr>
              <w:t>—</w:t>
            </w:r>
          </w:p>
        </w:tc>
        <w:tc>
          <w:tcPr>
            <w:tcW w:w="847" w:type="dxa"/>
            <w:tcBorders>
              <w:bottom w:val="single" w:sz="8" w:space="0" w:color="000000"/>
            </w:tcBorders>
          </w:tcPr>
          <w:p>
            <w:pPr>
              <w:pStyle w:val="TableParagraph"/>
              <w:spacing w:before="16"/>
              <w:ind w:left="35" w:right="20"/>
              <w:jc w:val="center"/>
              <w:rPr>
                <w:sz w:val="16"/>
              </w:rPr>
            </w:pPr>
            <w:r>
              <w:rPr>
                <w:spacing w:val="-10"/>
                <w:sz w:val="16"/>
              </w:rPr>
              <w:t>1</w:t>
            </w:r>
          </w:p>
        </w:tc>
        <w:tc>
          <w:tcPr>
            <w:tcW w:w="892" w:type="dxa"/>
            <w:tcBorders>
              <w:bottom w:val="single" w:sz="8" w:space="0" w:color="000000"/>
            </w:tcBorders>
          </w:tcPr>
          <w:p>
            <w:pPr>
              <w:pStyle w:val="TableParagraph"/>
              <w:spacing w:before="16"/>
              <w:ind w:left="16"/>
              <w:jc w:val="center"/>
              <w:rPr>
                <w:sz w:val="16"/>
              </w:rPr>
            </w:pPr>
            <w:r>
              <w:rPr>
                <w:spacing w:val="-10"/>
                <w:sz w:val="16"/>
              </w:rPr>
              <w:t>1</w:t>
            </w:r>
          </w:p>
        </w:tc>
        <w:tc>
          <w:tcPr>
            <w:tcW w:w="299" w:type="dxa"/>
          </w:tcPr>
          <w:p>
            <w:pPr>
              <w:pStyle w:val="TableParagraph"/>
              <w:rPr>
                <w:rFonts w:ascii="Times New Roman"/>
                <w:sz w:val="16"/>
              </w:rPr>
            </w:pPr>
          </w:p>
        </w:tc>
        <w:tc>
          <w:tcPr>
            <w:tcW w:w="1649" w:type="dxa"/>
            <w:tcBorders>
              <w:bottom w:val="single" w:sz="8" w:space="0" w:color="000000"/>
            </w:tcBorders>
          </w:tcPr>
          <w:p>
            <w:pPr>
              <w:pStyle w:val="TableParagraph"/>
              <w:spacing w:before="16"/>
              <w:ind w:left="42"/>
              <w:jc w:val="center"/>
              <w:rPr>
                <w:sz w:val="16"/>
              </w:rPr>
            </w:pPr>
            <w:r>
              <w:rPr>
                <w:sz w:val="16"/>
              </w:rPr>
              <w:t>—</w:t>
            </w:r>
          </w:p>
        </w:tc>
        <w:tc>
          <w:tcPr>
            <w:tcW w:w="858" w:type="dxa"/>
            <w:tcBorders>
              <w:bottom w:val="single" w:sz="8" w:space="0" w:color="000000"/>
            </w:tcBorders>
          </w:tcPr>
          <w:p>
            <w:pPr>
              <w:pStyle w:val="TableParagraph"/>
              <w:spacing w:before="16"/>
              <w:ind w:left="35" w:right="25"/>
              <w:jc w:val="center"/>
              <w:rPr>
                <w:sz w:val="16"/>
              </w:rPr>
            </w:pPr>
            <w:r>
              <w:rPr>
                <w:spacing w:val="-10"/>
                <w:sz w:val="16"/>
              </w:rPr>
              <w:t>1</w:t>
            </w:r>
          </w:p>
        </w:tc>
        <w:tc>
          <w:tcPr>
            <w:tcW w:w="925" w:type="dxa"/>
            <w:tcBorders>
              <w:bottom w:val="single" w:sz="8" w:space="0" w:color="000000"/>
            </w:tcBorders>
          </w:tcPr>
          <w:p>
            <w:pPr>
              <w:pStyle w:val="TableParagraph"/>
              <w:spacing w:before="16"/>
              <w:ind w:left="34" w:right="22"/>
              <w:jc w:val="center"/>
              <w:rPr>
                <w:sz w:val="16"/>
              </w:rPr>
            </w:pPr>
            <w:r>
              <w:rPr>
                <w:spacing w:val="-10"/>
                <w:sz w:val="16"/>
              </w:rPr>
              <w:t>1</w:t>
            </w:r>
          </w:p>
        </w:tc>
        <w:tc>
          <w:tcPr>
            <w:tcW w:w="344" w:type="dxa"/>
          </w:tcPr>
          <w:p>
            <w:pPr>
              <w:pStyle w:val="TableParagraph"/>
              <w:rPr>
                <w:rFonts w:ascii="Times New Roman"/>
                <w:sz w:val="16"/>
              </w:rPr>
            </w:pPr>
          </w:p>
        </w:tc>
      </w:tr>
      <w:tr>
        <w:trPr>
          <w:trHeight w:val="200" w:hRule="atLeast"/>
        </w:trPr>
        <w:tc>
          <w:tcPr>
            <w:tcW w:w="2295" w:type="dxa"/>
          </w:tcPr>
          <w:p>
            <w:pPr>
              <w:pStyle w:val="TableParagraph"/>
              <w:spacing w:line="180" w:lineRule="exact"/>
              <w:ind w:left="52"/>
              <w:rPr>
                <w:rFonts w:ascii="Arial"/>
                <w:b/>
                <w:sz w:val="16"/>
              </w:rPr>
            </w:pPr>
            <w:r>
              <w:rPr>
                <w:rFonts w:ascii="Arial"/>
                <w:b/>
                <w:spacing w:val="-2"/>
                <w:sz w:val="16"/>
              </w:rPr>
              <w:t>Total</w:t>
            </w:r>
          </w:p>
        </w:tc>
        <w:tc>
          <w:tcPr>
            <w:tcW w:w="1440" w:type="dxa"/>
            <w:tcBorders>
              <w:top w:val="single" w:sz="8" w:space="0" w:color="000000"/>
              <w:bottom w:val="double" w:sz="8" w:space="0" w:color="000000"/>
            </w:tcBorders>
          </w:tcPr>
          <w:p>
            <w:pPr>
              <w:pStyle w:val="TableParagraph"/>
              <w:spacing w:line="180" w:lineRule="exact"/>
              <w:jc w:val="center"/>
              <w:rPr>
                <w:sz w:val="16"/>
              </w:rPr>
            </w:pPr>
            <w:r>
              <w:rPr>
                <w:spacing w:val="-5"/>
                <w:sz w:val="16"/>
              </w:rPr>
              <w:t>100</w:t>
            </w:r>
          </w:p>
        </w:tc>
        <w:tc>
          <w:tcPr>
            <w:tcW w:w="847" w:type="dxa"/>
            <w:tcBorders>
              <w:top w:val="single" w:sz="8" w:space="0" w:color="000000"/>
              <w:bottom w:val="double" w:sz="8" w:space="0" w:color="000000"/>
            </w:tcBorders>
          </w:tcPr>
          <w:p>
            <w:pPr>
              <w:pStyle w:val="TableParagraph"/>
              <w:spacing w:line="180" w:lineRule="exact"/>
              <w:ind w:left="15" w:right="35"/>
              <w:jc w:val="center"/>
              <w:rPr>
                <w:sz w:val="16"/>
              </w:rPr>
            </w:pPr>
            <w:r>
              <w:rPr>
                <w:spacing w:val="-5"/>
                <w:sz w:val="16"/>
              </w:rPr>
              <w:t>100</w:t>
            </w:r>
          </w:p>
        </w:tc>
        <w:tc>
          <w:tcPr>
            <w:tcW w:w="892" w:type="dxa"/>
            <w:tcBorders>
              <w:top w:val="single" w:sz="8" w:space="0" w:color="000000"/>
              <w:bottom w:val="double" w:sz="8" w:space="0" w:color="000000"/>
            </w:tcBorders>
          </w:tcPr>
          <w:p>
            <w:pPr>
              <w:pStyle w:val="TableParagraph"/>
              <w:spacing w:line="180" w:lineRule="exact"/>
              <w:ind w:right="19"/>
              <w:jc w:val="center"/>
              <w:rPr>
                <w:sz w:val="16"/>
              </w:rPr>
            </w:pPr>
            <w:r>
              <w:rPr>
                <w:spacing w:val="-5"/>
                <w:sz w:val="16"/>
              </w:rPr>
              <w:t>100</w:t>
            </w:r>
          </w:p>
        </w:tc>
        <w:tc>
          <w:tcPr>
            <w:tcW w:w="299" w:type="dxa"/>
          </w:tcPr>
          <w:p>
            <w:pPr>
              <w:pStyle w:val="TableParagraph"/>
              <w:rPr>
                <w:rFonts w:ascii="Times New Roman"/>
                <w:sz w:val="12"/>
              </w:rPr>
            </w:pPr>
          </w:p>
        </w:tc>
        <w:tc>
          <w:tcPr>
            <w:tcW w:w="1649" w:type="dxa"/>
            <w:tcBorders>
              <w:top w:val="single" w:sz="8" w:space="0" w:color="000000"/>
              <w:bottom w:val="double" w:sz="8" w:space="0" w:color="000000"/>
            </w:tcBorders>
          </w:tcPr>
          <w:p>
            <w:pPr>
              <w:pStyle w:val="TableParagraph"/>
              <w:spacing w:line="180" w:lineRule="exact"/>
              <w:ind w:left="5"/>
              <w:jc w:val="center"/>
              <w:rPr>
                <w:sz w:val="16"/>
              </w:rPr>
            </w:pPr>
            <w:r>
              <w:rPr>
                <w:spacing w:val="-5"/>
                <w:sz w:val="16"/>
              </w:rPr>
              <w:t>100</w:t>
            </w:r>
          </w:p>
        </w:tc>
        <w:tc>
          <w:tcPr>
            <w:tcW w:w="858" w:type="dxa"/>
            <w:tcBorders>
              <w:top w:val="single" w:sz="8" w:space="0" w:color="000000"/>
              <w:bottom w:val="double" w:sz="8" w:space="0" w:color="000000"/>
            </w:tcBorders>
          </w:tcPr>
          <w:p>
            <w:pPr>
              <w:pStyle w:val="TableParagraph"/>
              <w:spacing w:line="180" w:lineRule="exact"/>
              <w:ind w:left="10" w:right="35"/>
              <w:jc w:val="center"/>
              <w:rPr>
                <w:sz w:val="16"/>
              </w:rPr>
            </w:pPr>
            <w:r>
              <w:rPr>
                <w:spacing w:val="-5"/>
                <w:sz w:val="16"/>
              </w:rPr>
              <w:t>100</w:t>
            </w:r>
          </w:p>
        </w:tc>
        <w:tc>
          <w:tcPr>
            <w:tcW w:w="925" w:type="dxa"/>
            <w:tcBorders>
              <w:top w:val="single" w:sz="8" w:space="0" w:color="000000"/>
              <w:bottom w:val="double" w:sz="8" w:space="0" w:color="000000"/>
            </w:tcBorders>
          </w:tcPr>
          <w:p>
            <w:pPr>
              <w:pStyle w:val="TableParagraph"/>
              <w:spacing w:line="180" w:lineRule="exact"/>
              <w:ind w:left="12" w:right="34"/>
              <w:jc w:val="center"/>
              <w:rPr>
                <w:sz w:val="16"/>
              </w:rPr>
            </w:pPr>
            <w:r>
              <w:rPr>
                <w:spacing w:val="-5"/>
                <w:sz w:val="16"/>
              </w:rPr>
              <w:t>100</w:t>
            </w:r>
          </w:p>
        </w:tc>
        <w:tc>
          <w:tcPr>
            <w:tcW w:w="344" w:type="dxa"/>
          </w:tcPr>
          <w:p>
            <w:pPr>
              <w:pStyle w:val="TableParagraph"/>
              <w:rPr>
                <w:rFonts w:ascii="Times New Roman"/>
                <w:sz w:val="12"/>
              </w:rPr>
            </w:pPr>
          </w:p>
        </w:tc>
      </w:tr>
      <w:tr>
        <w:trPr>
          <w:trHeight w:val="200" w:hRule="atLeast"/>
        </w:trPr>
        <w:tc>
          <w:tcPr>
            <w:tcW w:w="2295" w:type="dxa"/>
            <w:tcBorders>
              <w:bottom w:val="single" w:sz="8" w:space="0" w:color="000000"/>
            </w:tcBorders>
          </w:tcPr>
          <w:p>
            <w:pPr>
              <w:pStyle w:val="TableParagraph"/>
              <w:rPr>
                <w:rFonts w:ascii="Times New Roman"/>
                <w:sz w:val="12"/>
              </w:rPr>
            </w:pPr>
          </w:p>
        </w:tc>
        <w:tc>
          <w:tcPr>
            <w:tcW w:w="1440" w:type="dxa"/>
            <w:tcBorders>
              <w:top w:val="double" w:sz="8" w:space="0" w:color="000000"/>
              <w:bottom w:val="single" w:sz="8" w:space="0" w:color="000000"/>
            </w:tcBorders>
          </w:tcPr>
          <w:p>
            <w:pPr>
              <w:pStyle w:val="TableParagraph"/>
              <w:rPr>
                <w:rFonts w:ascii="Times New Roman"/>
                <w:sz w:val="12"/>
              </w:rPr>
            </w:pPr>
          </w:p>
        </w:tc>
        <w:tc>
          <w:tcPr>
            <w:tcW w:w="847" w:type="dxa"/>
            <w:tcBorders>
              <w:top w:val="double" w:sz="8" w:space="0" w:color="000000"/>
              <w:bottom w:val="single" w:sz="8" w:space="0" w:color="000000"/>
            </w:tcBorders>
          </w:tcPr>
          <w:p>
            <w:pPr>
              <w:pStyle w:val="TableParagraph"/>
              <w:rPr>
                <w:rFonts w:ascii="Times New Roman"/>
                <w:sz w:val="12"/>
              </w:rPr>
            </w:pPr>
          </w:p>
        </w:tc>
        <w:tc>
          <w:tcPr>
            <w:tcW w:w="892" w:type="dxa"/>
            <w:tcBorders>
              <w:top w:val="double" w:sz="8" w:space="0" w:color="000000"/>
              <w:bottom w:val="single" w:sz="8" w:space="0" w:color="000000"/>
            </w:tcBorders>
          </w:tcPr>
          <w:p>
            <w:pPr>
              <w:pStyle w:val="TableParagraph"/>
              <w:rPr>
                <w:rFonts w:ascii="Times New Roman"/>
                <w:sz w:val="12"/>
              </w:rPr>
            </w:pPr>
          </w:p>
        </w:tc>
        <w:tc>
          <w:tcPr>
            <w:tcW w:w="299" w:type="dxa"/>
            <w:tcBorders>
              <w:bottom w:val="single" w:sz="8" w:space="0" w:color="000000"/>
            </w:tcBorders>
          </w:tcPr>
          <w:p>
            <w:pPr>
              <w:pStyle w:val="TableParagraph"/>
              <w:rPr>
                <w:rFonts w:ascii="Times New Roman"/>
                <w:sz w:val="12"/>
              </w:rPr>
            </w:pPr>
          </w:p>
        </w:tc>
        <w:tc>
          <w:tcPr>
            <w:tcW w:w="1649" w:type="dxa"/>
            <w:tcBorders>
              <w:top w:val="double" w:sz="8" w:space="0" w:color="000000"/>
              <w:bottom w:val="single" w:sz="8" w:space="0" w:color="000000"/>
            </w:tcBorders>
          </w:tcPr>
          <w:p>
            <w:pPr>
              <w:pStyle w:val="TableParagraph"/>
              <w:rPr>
                <w:rFonts w:ascii="Times New Roman"/>
                <w:sz w:val="12"/>
              </w:rPr>
            </w:pPr>
          </w:p>
        </w:tc>
        <w:tc>
          <w:tcPr>
            <w:tcW w:w="858" w:type="dxa"/>
            <w:tcBorders>
              <w:top w:val="double" w:sz="8" w:space="0" w:color="000000"/>
              <w:bottom w:val="single" w:sz="8" w:space="0" w:color="000000"/>
            </w:tcBorders>
          </w:tcPr>
          <w:p>
            <w:pPr>
              <w:pStyle w:val="TableParagraph"/>
              <w:rPr>
                <w:rFonts w:ascii="Times New Roman"/>
                <w:sz w:val="12"/>
              </w:rPr>
            </w:pPr>
          </w:p>
        </w:tc>
        <w:tc>
          <w:tcPr>
            <w:tcW w:w="925" w:type="dxa"/>
            <w:tcBorders>
              <w:top w:val="double" w:sz="8" w:space="0" w:color="000000"/>
              <w:bottom w:val="single" w:sz="8" w:space="0" w:color="000000"/>
            </w:tcBorders>
          </w:tcPr>
          <w:p>
            <w:pPr>
              <w:pStyle w:val="TableParagraph"/>
              <w:rPr>
                <w:rFonts w:ascii="Times New Roman"/>
                <w:sz w:val="12"/>
              </w:rPr>
            </w:pPr>
          </w:p>
        </w:tc>
        <w:tc>
          <w:tcPr>
            <w:tcW w:w="344" w:type="dxa"/>
            <w:tcBorders>
              <w:bottom w:val="single" w:sz="8" w:space="0" w:color="000000"/>
            </w:tcBorders>
          </w:tcPr>
          <w:p>
            <w:pPr>
              <w:pStyle w:val="TableParagraph"/>
              <w:rPr>
                <w:rFonts w:ascii="Times New Roman"/>
                <w:sz w:val="12"/>
              </w:rPr>
            </w:pPr>
          </w:p>
        </w:tc>
      </w:tr>
    </w:tbl>
    <w:p>
      <w:pPr>
        <w:pStyle w:val="ListParagraph"/>
        <w:numPr>
          <w:ilvl w:val="0"/>
          <w:numId w:val="43"/>
        </w:numPr>
        <w:tabs>
          <w:tab w:pos="948" w:val="left" w:leader="none"/>
        </w:tabs>
        <w:spacing w:line="240" w:lineRule="auto" w:before="0" w:after="0"/>
        <w:ind w:left="948" w:right="0" w:hanging="176"/>
        <w:jc w:val="left"/>
        <w:rPr>
          <w:rFonts w:ascii="Arial"/>
          <w:i/>
          <w:sz w:val="16"/>
        </w:rPr>
      </w:pPr>
      <w:r>
        <w:rPr>
          <w:rFonts w:ascii="Arial"/>
          <w:i/>
          <w:sz w:val="16"/>
        </w:rPr>
        <w:t>Includes</w:t>
      </w:r>
      <w:r>
        <w:rPr>
          <w:rFonts w:ascii="Arial"/>
          <w:i/>
          <w:spacing w:val="-6"/>
          <w:sz w:val="16"/>
        </w:rPr>
        <w:t> </w:t>
      </w:r>
      <w:r>
        <w:rPr>
          <w:rFonts w:ascii="Arial"/>
          <w:i/>
          <w:sz w:val="16"/>
        </w:rPr>
        <w:t>public</w:t>
      </w:r>
      <w:r>
        <w:rPr>
          <w:rFonts w:ascii="Arial"/>
          <w:i/>
          <w:spacing w:val="-3"/>
          <w:sz w:val="16"/>
        </w:rPr>
        <w:t> </w:t>
      </w:r>
      <w:r>
        <w:rPr>
          <w:rFonts w:ascii="Arial"/>
          <w:i/>
          <w:sz w:val="16"/>
        </w:rPr>
        <w:t>and</w:t>
      </w:r>
      <w:r>
        <w:rPr>
          <w:rFonts w:ascii="Arial"/>
          <w:i/>
          <w:spacing w:val="-5"/>
          <w:sz w:val="16"/>
        </w:rPr>
        <w:t> </w:t>
      </w:r>
      <w:r>
        <w:rPr>
          <w:rFonts w:ascii="Arial"/>
          <w:i/>
          <w:sz w:val="16"/>
        </w:rPr>
        <w:t>private</w:t>
      </w:r>
      <w:r>
        <w:rPr>
          <w:rFonts w:ascii="Arial"/>
          <w:i/>
          <w:spacing w:val="-4"/>
          <w:sz w:val="16"/>
        </w:rPr>
        <w:t> </w:t>
      </w:r>
      <w:r>
        <w:rPr>
          <w:rFonts w:ascii="Arial"/>
          <w:i/>
          <w:sz w:val="16"/>
        </w:rPr>
        <w:t>real</w:t>
      </w:r>
      <w:r>
        <w:rPr>
          <w:rFonts w:ascii="Arial"/>
          <w:i/>
          <w:spacing w:val="-3"/>
          <w:sz w:val="16"/>
        </w:rPr>
        <w:t> </w:t>
      </w:r>
      <w:r>
        <w:rPr>
          <w:rFonts w:ascii="Arial"/>
          <w:i/>
          <w:sz w:val="16"/>
        </w:rPr>
        <w:t>estate,</w:t>
      </w:r>
      <w:r>
        <w:rPr>
          <w:rFonts w:ascii="Arial"/>
          <w:i/>
          <w:spacing w:val="-4"/>
          <w:sz w:val="16"/>
        </w:rPr>
        <w:t> </w:t>
      </w:r>
      <w:r>
        <w:rPr>
          <w:rFonts w:ascii="Arial"/>
          <w:i/>
          <w:sz w:val="16"/>
        </w:rPr>
        <w:t>infrastructure</w:t>
      </w:r>
      <w:r>
        <w:rPr>
          <w:rFonts w:ascii="Arial"/>
          <w:i/>
          <w:spacing w:val="-4"/>
          <w:sz w:val="16"/>
        </w:rPr>
        <w:t> </w:t>
      </w:r>
      <w:r>
        <w:rPr>
          <w:rFonts w:ascii="Arial"/>
          <w:i/>
          <w:sz w:val="16"/>
        </w:rPr>
        <w:t>and</w:t>
      </w:r>
      <w:r>
        <w:rPr>
          <w:rFonts w:ascii="Arial"/>
          <w:i/>
          <w:spacing w:val="-4"/>
          <w:sz w:val="16"/>
        </w:rPr>
        <w:t> </w:t>
      </w:r>
      <w:r>
        <w:rPr>
          <w:rFonts w:ascii="Arial"/>
          <w:i/>
          <w:spacing w:val="-2"/>
          <w:sz w:val="16"/>
        </w:rPr>
        <w:t>timber.</w:t>
      </w:r>
    </w:p>
    <w:p>
      <w:pPr>
        <w:pStyle w:val="ListParagraph"/>
        <w:numPr>
          <w:ilvl w:val="0"/>
          <w:numId w:val="43"/>
        </w:numPr>
        <w:tabs>
          <w:tab w:pos="948" w:val="left" w:leader="none"/>
        </w:tabs>
        <w:spacing w:line="240" w:lineRule="auto" w:before="44" w:after="0"/>
        <w:ind w:left="948" w:right="0" w:hanging="176"/>
        <w:jc w:val="left"/>
        <w:rPr>
          <w:rFonts w:ascii="Arial"/>
          <w:i/>
          <w:sz w:val="16"/>
        </w:rPr>
      </w:pPr>
      <w:r>
        <w:rPr>
          <w:rFonts w:ascii="Arial"/>
          <w:i/>
          <w:sz w:val="16"/>
        </w:rPr>
        <w:t>Includes</w:t>
      </w:r>
      <w:r>
        <w:rPr>
          <w:rFonts w:ascii="Arial"/>
          <w:i/>
          <w:spacing w:val="-6"/>
          <w:sz w:val="16"/>
        </w:rPr>
        <w:t> </w:t>
      </w:r>
      <w:r>
        <w:rPr>
          <w:rFonts w:ascii="Arial"/>
          <w:i/>
          <w:sz w:val="16"/>
        </w:rPr>
        <w:t>authorized</w:t>
      </w:r>
      <w:r>
        <w:rPr>
          <w:rFonts w:ascii="Arial"/>
          <w:i/>
          <w:spacing w:val="-5"/>
          <w:sz w:val="16"/>
        </w:rPr>
        <w:t> </w:t>
      </w:r>
      <w:r>
        <w:rPr>
          <w:rFonts w:ascii="Arial"/>
          <w:i/>
          <w:sz w:val="16"/>
        </w:rPr>
        <w:t>investments</w:t>
      </w:r>
      <w:r>
        <w:rPr>
          <w:rFonts w:ascii="Arial"/>
          <w:i/>
          <w:spacing w:val="-4"/>
          <w:sz w:val="16"/>
        </w:rPr>
        <w:t> </w:t>
      </w:r>
      <w:r>
        <w:rPr>
          <w:rFonts w:ascii="Arial"/>
          <w:i/>
          <w:sz w:val="16"/>
        </w:rPr>
        <w:t>that</w:t>
      </w:r>
      <w:r>
        <w:rPr>
          <w:rFonts w:ascii="Arial"/>
          <w:i/>
          <w:spacing w:val="-4"/>
          <w:sz w:val="16"/>
        </w:rPr>
        <w:t> </w:t>
      </w:r>
      <w:r>
        <w:rPr>
          <w:rFonts w:ascii="Arial"/>
          <w:i/>
          <w:sz w:val="16"/>
        </w:rPr>
        <w:t>are</w:t>
      </w:r>
      <w:r>
        <w:rPr>
          <w:rFonts w:ascii="Arial"/>
          <w:i/>
          <w:spacing w:val="-5"/>
          <w:sz w:val="16"/>
        </w:rPr>
        <w:t> </w:t>
      </w:r>
      <w:r>
        <w:rPr>
          <w:rFonts w:ascii="Arial"/>
          <w:i/>
          <w:sz w:val="16"/>
        </w:rPr>
        <w:t>outside</w:t>
      </w:r>
      <w:r>
        <w:rPr>
          <w:rFonts w:ascii="Arial"/>
          <w:i/>
          <w:spacing w:val="-4"/>
          <w:sz w:val="16"/>
        </w:rPr>
        <w:t> </w:t>
      </w:r>
      <w:r>
        <w:rPr>
          <w:rFonts w:ascii="Arial"/>
          <w:i/>
          <w:sz w:val="16"/>
        </w:rPr>
        <w:t>the</w:t>
      </w:r>
      <w:r>
        <w:rPr>
          <w:rFonts w:ascii="Arial"/>
          <w:i/>
          <w:spacing w:val="-5"/>
          <w:sz w:val="16"/>
        </w:rPr>
        <w:t> </w:t>
      </w:r>
      <w:r>
        <w:rPr>
          <w:rFonts w:ascii="Arial"/>
          <w:i/>
          <w:sz w:val="16"/>
        </w:rPr>
        <w:t>policy</w:t>
      </w:r>
      <w:r>
        <w:rPr>
          <w:rFonts w:ascii="Arial"/>
          <w:i/>
          <w:spacing w:val="-4"/>
          <w:sz w:val="16"/>
        </w:rPr>
        <w:t> </w:t>
      </w:r>
      <w:r>
        <w:rPr>
          <w:rFonts w:ascii="Arial"/>
          <w:i/>
          <w:sz w:val="16"/>
        </w:rPr>
        <w:t>allocations</w:t>
      </w:r>
      <w:r>
        <w:rPr>
          <w:rFonts w:ascii="Arial"/>
          <w:i/>
          <w:spacing w:val="-4"/>
          <w:sz w:val="16"/>
        </w:rPr>
        <w:t> </w:t>
      </w:r>
      <w:r>
        <w:rPr>
          <w:rFonts w:ascii="Arial"/>
          <w:i/>
          <w:sz w:val="16"/>
        </w:rPr>
        <w:t>primarily</w:t>
      </w:r>
      <w:r>
        <w:rPr>
          <w:rFonts w:ascii="Arial"/>
          <w:i/>
          <w:spacing w:val="-4"/>
          <w:sz w:val="16"/>
        </w:rPr>
        <w:t> </w:t>
      </w:r>
      <w:r>
        <w:rPr>
          <w:rFonts w:ascii="Arial"/>
          <w:i/>
          <w:sz w:val="16"/>
        </w:rPr>
        <w:t>in</w:t>
      </w:r>
      <w:r>
        <w:rPr>
          <w:rFonts w:ascii="Arial"/>
          <w:i/>
          <w:spacing w:val="-5"/>
          <w:sz w:val="16"/>
        </w:rPr>
        <w:t> </w:t>
      </w:r>
      <w:r>
        <w:rPr>
          <w:rFonts w:ascii="Arial"/>
          <w:i/>
          <w:sz w:val="16"/>
        </w:rPr>
        <w:t>hedge</w:t>
      </w:r>
      <w:r>
        <w:rPr>
          <w:rFonts w:ascii="Arial"/>
          <w:i/>
          <w:spacing w:val="-4"/>
          <w:sz w:val="16"/>
        </w:rPr>
        <w:t> </w:t>
      </w:r>
      <w:r>
        <w:rPr>
          <w:rFonts w:ascii="Arial"/>
          <w:i/>
          <w:spacing w:val="-2"/>
          <w:sz w:val="16"/>
        </w:rPr>
        <w:t>funds.</w:t>
      </w:r>
    </w:p>
    <w:p>
      <w:pPr>
        <w:pStyle w:val="BodyText"/>
        <w:spacing w:before="9"/>
        <w:rPr>
          <w:rFonts w:ascii="Arial"/>
          <w:i/>
          <w:sz w:val="16"/>
        </w:rPr>
      </w:pPr>
    </w:p>
    <w:p>
      <w:pPr>
        <w:pStyle w:val="Heading5"/>
        <w:spacing w:before="0"/>
      </w:pPr>
      <w:r>
        <w:rPr/>
        <w:t>Significant</w:t>
      </w:r>
      <w:r>
        <w:rPr>
          <w:spacing w:val="-4"/>
        </w:rPr>
        <w:t> </w:t>
      </w:r>
      <w:r>
        <w:rPr/>
        <w:t>Concentrations</w:t>
      </w:r>
      <w:r>
        <w:rPr>
          <w:spacing w:val="-2"/>
        </w:rPr>
        <w:t> </w:t>
      </w:r>
      <w:r>
        <w:rPr/>
        <w:t>of</w:t>
      </w:r>
      <w:r>
        <w:rPr>
          <w:spacing w:val="-2"/>
        </w:rPr>
        <w:t> </w:t>
      </w:r>
      <w:r>
        <w:rPr/>
        <w:t>Risk</w:t>
      </w:r>
      <w:r>
        <w:rPr>
          <w:spacing w:val="-2"/>
        </w:rPr>
        <w:t> </w:t>
      </w:r>
      <w:r>
        <w:rPr/>
        <w:t>in</w:t>
      </w:r>
      <w:r>
        <w:rPr>
          <w:spacing w:val="-2"/>
        </w:rPr>
        <w:t> </w:t>
      </w:r>
      <w:r>
        <w:rPr/>
        <w:t>Plan</w:t>
      </w:r>
      <w:r>
        <w:rPr>
          <w:spacing w:val="-2"/>
        </w:rPr>
        <w:t> Assets</w:t>
      </w:r>
    </w:p>
    <w:p>
      <w:pPr>
        <w:pStyle w:val="BodyText"/>
        <w:spacing w:line="249" w:lineRule="auto" w:before="140"/>
        <w:ind w:left="720" w:right="718"/>
        <w:jc w:val="both"/>
      </w:pPr>
      <w:r>
        <w:rPr/>
        <w:t>The assets of the SRP and RSBP are diversified across a variety of asset classes. Investments in these asset classes are further diversified across funds, managers, strategies, geographies and sectors, to limit the impact of any individual investment. In spite of such level of diversification, equity market risk remains the primary source of the overall return volatility of the Plans. As of June 30, 2023, the largest exposure to a single counterparty was 9% and 11% of the plan assets in SRP and RSBP, respectively (7% and 6%, respectively—June 30, 2022).</w:t>
      </w:r>
    </w:p>
    <w:p>
      <w:pPr>
        <w:pStyle w:val="Heading5"/>
        <w:spacing w:before="115"/>
      </w:pPr>
      <w:r>
        <w:rPr/>
        <w:t>Risk</w:t>
      </w:r>
      <w:r>
        <w:rPr>
          <w:spacing w:val="-4"/>
        </w:rPr>
        <w:t> </w:t>
      </w:r>
      <w:r>
        <w:rPr/>
        <w:t>Management</w:t>
      </w:r>
      <w:r>
        <w:rPr>
          <w:spacing w:val="-2"/>
        </w:rPr>
        <w:t> Practices</w:t>
      </w:r>
    </w:p>
    <w:p>
      <w:pPr>
        <w:pStyle w:val="BodyText"/>
        <w:spacing w:line="249" w:lineRule="auto" w:before="140"/>
        <w:ind w:left="720" w:right="717"/>
        <w:jc w:val="both"/>
      </w:pPr>
      <w:r>
        <w:rPr/>
        <w:t>Managing investment risk is an integral part of managing the assets of the Plans. Asset diversification is central to the overall investment strategy and risk management approach for the Plans. Absolute risk indicators such as the overall return volatility and drawdown of the Plans are the primary measures used to define the risk tolerance level and establish the overall level of investment risk. In addition, the level of active risk (defined as the annualized standard deviation of portfolio returns relative to those of the policy portfolio) is closely monitored and managed on an ongoing basis.</w:t>
      </w:r>
    </w:p>
    <w:p>
      <w:pPr>
        <w:pStyle w:val="BodyText"/>
        <w:spacing w:line="249" w:lineRule="auto" w:before="125"/>
        <w:ind w:left="720" w:right="718"/>
        <w:jc w:val="both"/>
      </w:pPr>
      <w:r>
        <w:rPr/>
        <w:t>Market risk is regularly monitored at the absolute level, as well as at the relative levels with respect to the</w:t>
      </w:r>
      <w:r>
        <w:rPr>
          <w:spacing w:val="40"/>
        </w:rPr>
        <w:t> </w:t>
      </w:r>
      <w:r>
        <w:rPr/>
        <w:t>investment policy, manager benchmarks, and liabilities of the Plans. Stress tests are performed periodically using relevant market scenarios to assess the impact of extreme market events.</w:t>
      </w:r>
    </w:p>
    <w:p>
      <w:pPr>
        <w:pStyle w:val="BodyText"/>
        <w:spacing w:line="249" w:lineRule="auto" w:before="122"/>
        <w:ind w:left="720" w:right="718"/>
        <w:jc w:val="both"/>
      </w:pPr>
      <w:r>
        <w:rPr/>
        <w:t>Monitoring of performance (at both manager and asset class levels) against benchmarks, and compliance with investment guidelines, are carried out on a regular basis which provides helpful information for assessing the impact on the portfolios caused by market risk factors. Risk management for different asset classes is tailored to their specific characteristics and is an integral part of the external managers’ due diligence and monitoring processes.</w:t>
      </w:r>
    </w:p>
    <w:p>
      <w:pPr>
        <w:pStyle w:val="BodyText"/>
        <w:spacing w:after="0" w:line="249" w:lineRule="auto"/>
        <w:jc w:val="both"/>
        <w:sectPr>
          <w:type w:val="continuous"/>
          <w:pgSz w:w="12240" w:h="15840"/>
          <w:pgMar w:header="0" w:footer="528" w:top="1820" w:bottom="280" w:left="720" w:right="720"/>
        </w:sectPr>
      </w:pPr>
    </w:p>
    <w:p>
      <w:pPr>
        <w:pStyle w:val="BodyText"/>
        <w:spacing w:line="249" w:lineRule="auto" w:before="72"/>
        <w:ind w:left="720" w:right="718"/>
        <w:jc w:val="both"/>
      </w:pPr>
      <w:r>
        <w:rPr/>
        <w:t>Credit risk is monitored on a regular basis and assessed for possible credit event impacts. The liquidity position of the Plans is analyzed at regular intervals and periodically tested using various stress scenarios to ensure that the</w:t>
      </w:r>
      <w:r>
        <w:rPr>
          <w:spacing w:val="40"/>
        </w:rPr>
        <w:t> </w:t>
      </w:r>
      <w:r>
        <w:rPr/>
        <w:t>Plans have sufficient liquidity to meet all cash flow requirements. In addition, the long-term cash flow needs of the Plans</w:t>
      </w:r>
      <w:r>
        <w:rPr>
          <w:spacing w:val="-1"/>
        </w:rPr>
        <w:t> </w:t>
      </w:r>
      <w:r>
        <w:rPr/>
        <w:t>are</w:t>
      </w:r>
      <w:r>
        <w:rPr>
          <w:spacing w:val="-1"/>
        </w:rPr>
        <w:t> </w:t>
      </w:r>
      <w:r>
        <w:rPr/>
        <w:t>considered during the</w:t>
      </w:r>
      <w:r>
        <w:rPr>
          <w:spacing w:val="-1"/>
        </w:rPr>
        <w:t> </w:t>
      </w:r>
      <w:r>
        <w:rPr/>
        <w:t>SAA</w:t>
      </w:r>
      <w:r>
        <w:rPr>
          <w:spacing w:val="-1"/>
        </w:rPr>
        <w:t> </w:t>
      </w:r>
      <w:r>
        <w:rPr/>
        <w:t>exercise</w:t>
      </w:r>
      <w:r>
        <w:rPr>
          <w:spacing w:val="-1"/>
        </w:rPr>
        <w:t> </w:t>
      </w:r>
      <w:r>
        <w:rPr/>
        <w:t>and are</w:t>
      </w:r>
      <w:r>
        <w:rPr>
          <w:spacing w:val="-1"/>
        </w:rPr>
        <w:t> </w:t>
      </w:r>
      <w:r>
        <w:rPr/>
        <w:t>one</w:t>
      </w:r>
      <w:r>
        <w:rPr>
          <w:spacing w:val="-1"/>
        </w:rPr>
        <w:t> </w:t>
      </w:r>
      <w:r>
        <w:rPr/>
        <w:t>of the</w:t>
      </w:r>
      <w:r>
        <w:rPr>
          <w:spacing w:val="-1"/>
        </w:rPr>
        <w:t> </w:t>
      </w:r>
      <w:r>
        <w:rPr/>
        <w:t>main drivers</w:t>
      </w:r>
      <w:r>
        <w:rPr>
          <w:spacing w:val="-1"/>
        </w:rPr>
        <w:t> </w:t>
      </w:r>
      <w:r>
        <w:rPr/>
        <w:t>in determining maximum</w:t>
      </w:r>
      <w:r>
        <w:rPr>
          <w:spacing w:val="-1"/>
        </w:rPr>
        <w:t> </w:t>
      </w:r>
      <w:r>
        <w:rPr/>
        <w:t>allocation to the illiquid investment vehicles. The Plans mitigate operational risk by maintaining a system of internal controls along with other checks and balances at various levels.</w:t>
      </w:r>
    </w:p>
    <w:p>
      <w:pPr>
        <w:pStyle w:val="Heading5"/>
        <w:spacing w:before="116"/>
      </w:pPr>
      <w:r>
        <w:rPr/>
        <w:t>Fair</w:t>
      </w:r>
      <w:r>
        <w:rPr>
          <w:spacing w:val="-3"/>
        </w:rPr>
        <w:t> </w:t>
      </w:r>
      <w:r>
        <w:rPr/>
        <w:t>Value</w:t>
      </w:r>
      <w:r>
        <w:rPr>
          <w:spacing w:val="-2"/>
        </w:rPr>
        <w:t> </w:t>
      </w:r>
      <w:r>
        <w:rPr/>
        <w:t>Measurements</w:t>
      </w:r>
      <w:r>
        <w:rPr>
          <w:spacing w:val="-3"/>
        </w:rPr>
        <w:t> </w:t>
      </w:r>
      <w:r>
        <w:rPr/>
        <w:t>and</w:t>
      </w:r>
      <w:r>
        <w:rPr>
          <w:spacing w:val="-1"/>
        </w:rPr>
        <w:t> </w:t>
      </w:r>
      <w:r>
        <w:rPr>
          <w:spacing w:val="-2"/>
        </w:rPr>
        <w:t>Disclosures</w:t>
      </w:r>
    </w:p>
    <w:p>
      <w:pPr>
        <w:pStyle w:val="BodyText"/>
        <w:spacing w:line="249" w:lineRule="auto" w:before="140"/>
        <w:ind w:left="720" w:right="719"/>
        <w:jc w:val="both"/>
      </w:pPr>
      <w:r>
        <w:rPr/>
        <w:t>All plan assets are measured at fair value on a recurring basis. The following tables present the fair value hierarchy of major categories of plan assets:</w:t>
      </w:r>
    </w:p>
    <w:p>
      <w:pPr>
        <w:pStyle w:val="Heading8"/>
        <w:jc w:val="both"/>
      </w:pPr>
      <w:r>
        <w:rPr/>
        <w:t>Table</w:t>
      </w:r>
      <w:r>
        <w:rPr>
          <w:spacing w:val="-3"/>
        </w:rPr>
        <w:t> </w:t>
      </w:r>
      <w:r>
        <w:rPr/>
        <w:t>J8:</w:t>
      </w:r>
      <w:r>
        <w:rPr>
          <w:spacing w:val="-2"/>
        </w:rPr>
        <w:t> </w:t>
      </w:r>
      <w:r>
        <w:rPr/>
        <w:t>Plan</w:t>
      </w:r>
      <w:r>
        <w:rPr>
          <w:spacing w:val="-3"/>
        </w:rPr>
        <w:t> </w:t>
      </w:r>
      <w:r>
        <w:rPr/>
        <w:t>assets</w:t>
      </w:r>
      <w:r>
        <w:rPr>
          <w:spacing w:val="-3"/>
        </w:rPr>
        <w:t> </w:t>
      </w:r>
      <w:r>
        <w:rPr/>
        <w:t>fair</w:t>
      </w:r>
      <w:r>
        <w:rPr>
          <w:spacing w:val="-3"/>
        </w:rPr>
        <w:t> </w:t>
      </w:r>
      <w:r>
        <w:rPr/>
        <w:t>value</w:t>
      </w:r>
      <w:r>
        <w:rPr>
          <w:spacing w:val="-2"/>
        </w:rPr>
        <w:t> hierarchy</w:t>
      </w:r>
    </w:p>
    <w:p>
      <w:pPr>
        <w:tabs>
          <w:tab w:pos="9989" w:val="left" w:leader="none"/>
        </w:tabs>
        <w:spacing w:before="84"/>
        <w:ind w:left="720" w:right="0" w:firstLine="0"/>
        <w:jc w:val="both"/>
        <w:rPr>
          <w:rFonts w:ascii="Arial"/>
          <w:i/>
          <w:sz w:val="14"/>
        </w:rPr>
      </w:pPr>
      <w:r>
        <w:rPr>
          <w:rFonts w:ascii="Arial"/>
          <w:i/>
          <w:spacing w:val="13"/>
          <w:sz w:val="14"/>
          <w:u w:val="single"/>
        </w:rPr>
        <w:t> </w:t>
      </w:r>
      <w:r>
        <w:rPr>
          <w:rFonts w:ascii="Arial"/>
          <w:i/>
          <w:sz w:val="14"/>
          <w:u w:val="single"/>
        </w:rPr>
        <w:t>In</w:t>
      </w:r>
      <w:r>
        <w:rPr>
          <w:rFonts w:ascii="Arial"/>
          <w:i/>
          <w:spacing w:val="-2"/>
          <w:sz w:val="14"/>
          <w:u w:val="single"/>
        </w:rPr>
        <w:t> </w:t>
      </w:r>
      <w:r>
        <w:rPr>
          <w:rFonts w:ascii="Arial"/>
          <w:i/>
          <w:sz w:val="14"/>
          <w:u w:val="single"/>
        </w:rPr>
        <w:t>millions</w:t>
      </w:r>
      <w:r>
        <w:rPr>
          <w:rFonts w:ascii="Arial"/>
          <w:i/>
          <w:spacing w:val="-1"/>
          <w:sz w:val="14"/>
          <w:u w:val="single"/>
        </w:rPr>
        <w:t> </w:t>
      </w:r>
      <w:r>
        <w:rPr>
          <w:rFonts w:ascii="Arial"/>
          <w:i/>
          <w:sz w:val="14"/>
          <w:u w:val="single"/>
        </w:rPr>
        <w:t>of</w:t>
      </w:r>
      <w:r>
        <w:rPr>
          <w:rFonts w:ascii="Arial"/>
          <w:i/>
          <w:spacing w:val="-2"/>
          <w:sz w:val="14"/>
          <w:u w:val="single"/>
        </w:rPr>
        <w:t> </w:t>
      </w:r>
      <w:r>
        <w:rPr>
          <w:rFonts w:ascii="Arial"/>
          <w:i/>
          <w:sz w:val="14"/>
          <w:u w:val="single"/>
        </w:rPr>
        <w:t>U.S.</w:t>
      </w:r>
      <w:r>
        <w:rPr>
          <w:rFonts w:ascii="Arial"/>
          <w:i/>
          <w:spacing w:val="-1"/>
          <w:sz w:val="14"/>
          <w:u w:val="single"/>
        </w:rPr>
        <w:t> </w:t>
      </w:r>
      <w:r>
        <w:rPr>
          <w:rFonts w:ascii="Arial"/>
          <w:i/>
          <w:spacing w:val="-2"/>
          <w:sz w:val="14"/>
          <w:u w:val="single"/>
        </w:rPr>
        <w:t>dollars</w:t>
      </w:r>
      <w:r>
        <w:rPr>
          <w:rFonts w:ascii="Arial"/>
          <w:i/>
          <w:sz w:val="14"/>
          <w:u w:val="single"/>
        </w:rPr>
        <w:tab/>
      </w:r>
    </w:p>
    <w:p>
      <w:pPr>
        <w:spacing w:before="34"/>
        <w:ind w:left="2760" w:right="0" w:firstLine="0"/>
        <w:jc w:val="center"/>
        <w:rPr>
          <w:rFonts w:ascii="Arial"/>
          <w:i/>
          <w:sz w:val="14"/>
        </w:rPr>
      </w:pPr>
      <w:r>
        <w:rPr>
          <w:rFonts w:ascii="Arial"/>
          <w:i/>
          <w:sz w:val="14"/>
        </w:rPr>
        <mc:AlternateContent>
          <mc:Choice Requires="wps">
            <w:drawing>
              <wp:anchor distT="0" distB="0" distL="0" distR="0" allowOverlap="1" layoutInCell="1" locked="0" behindDoc="1" simplePos="0" relativeHeight="487756800">
                <wp:simplePos x="0" y="0"/>
                <wp:positionH relativeFrom="page">
                  <wp:posOffset>2724150</wp:posOffset>
                </wp:positionH>
                <wp:positionV relativeFrom="paragraph">
                  <wp:posOffset>131202</wp:posOffset>
                </wp:positionV>
                <wp:extent cx="4076700" cy="1270"/>
                <wp:effectExtent l="0" t="0" r="0" b="0"/>
                <wp:wrapTopAndBottom/>
                <wp:docPr id="964" name="Graphic 964"/>
                <wp:cNvGraphicFramePr>
                  <a:graphicFrameLocks/>
                </wp:cNvGraphicFramePr>
                <a:graphic>
                  <a:graphicData uri="http://schemas.microsoft.com/office/word/2010/wordprocessingShape">
                    <wps:wsp>
                      <wps:cNvPr id="964" name="Graphic 964"/>
                      <wps:cNvSpPr/>
                      <wps:spPr>
                        <a:xfrm>
                          <a:off x="0" y="0"/>
                          <a:ext cx="4076700" cy="1270"/>
                        </a:xfrm>
                        <a:custGeom>
                          <a:avLst/>
                          <a:gdLst/>
                          <a:ahLst/>
                          <a:cxnLst/>
                          <a:rect l="l" t="t" r="r" b="b"/>
                          <a:pathLst>
                            <a:path w="4076700" h="0">
                              <a:moveTo>
                                <a:pt x="0" y="0"/>
                              </a:moveTo>
                              <a:lnTo>
                                <a:pt x="4076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4.5pt;margin-top:10.330870pt;width:321pt;height:.1pt;mso-position-horizontal-relative:page;mso-position-vertical-relative:paragraph;z-index:-15559680;mso-wrap-distance-left:0;mso-wrap-distance-right:0" id="docshape799" coordorigin="4290,207" coordsize="6420,0" path="m4290,207l10710,207e" filled="false" stroked="true" strokeweight="1pt" strokecolor="#000000">
                <v:path arrowok="t"/>
                <v:stroke dashstyle="solid"/>
                <w10:wrap type="topAndBottom"/>
              </v:shape>
            </w:pict>
          </mc:Fallback>
        </mc:AlternateContent>
      </w: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2023</w:t>
      </w:r>
    </w:p>
    <w:p>
      <w:pPr>
        <w:tabs>
          <w:tab w:pos="6000" w:val="left" w:leader="none"/>
        </w:tabs>
        <w:spacing w:before="13"/>
        <w:ind w:left="2806" w:right="0" w:firstLine="0"/>
        <w:jc w:val="center"/>
        <w:rPr>
          <w:rFonts w:ascii="Arial"/>
          <w:i/>
          <w:sz w:val="14"/>
        </w:rPr>
      </w:pPr>
      <w:r>
        <w:rPr>
          <w:rFonts w:ascii="Arial"/>
          <w:i/>
          <w:spacing w:val="-5"/>
          <w:sz w:val="14"/>
        </w:rPr>
        <w:t>SRP</w:t>
      </w:r>
      <w:r>
        <w:rPr>
          <w:rFonts w:ascii="Arial"/>
          <w:i/>
          <w:sz w:val="14"/>
        </w:rPr>
        <w:tab/>
      </w:r>
      <w:r>
        <w:rPr>
          <w:rFonts w:ascii="Arial"/>
          <w:i/>
          <w:spacing w:val="-4"/>
          <w:sz w:val="14"/>
        </w:rPr>
        <w:t>RSBP</w:t>
      </w:r>
    </w:p>
    <w:p>
      <w:pPr>
        <w:spacing w:line="20" w:lineRule="exact"/>
        <w:ind w:left="3560" w:right="0" w:firstLine="0"/>
        <w:rPr>
          <w:rFonts w:ascii="Arial"/>
          <w:sz w:val="2"/>
        </w:rPr>
      </w:pPr>
      <w:r>
        <w:rPr>
          <w:rFonts w:ascii="Arial"/>
          <w:sz w:val="2"/>
        </w:rPr>
        <mc:AlternateContent>
          <mc:Choice Requires="wps">
            <w:drawing>
              <wp:inline distT="0" distB="0" distL="0" distR="0">
                <wp:extent cx="4076700" cy="12700"/>
                <wp:effectExtent l="9525" t="0" r="0" b="6350"/>
                <wp:docPr id="965" name="Group 965"/>
                <wp:cNvGraphicFramePr>
                  <a:graphicFrameLocks/>
                </wp:cNvGraphicFramePr>
                <a:graphic>
                  <a:graphicData uri="http://schemas.microsoft.com/office/word/2010/wordprocessingGroup">
                    <wpg:wgp>
                      <wpg:cNvPr id="965" name="Group 965"/>
                      <wpg:cNvGrpSpPr/>
                      <wpg:grpSpPr>
                        <a:xfrm>
                          <a:off x="0" y="0"/>
                          <a:ext cx="4076700" cy="12700"/>
                          <a:chExt cx="4076700" cy="12700"/>
                        </a:xfrm>
                      </wpg:grpSpPr>
                      <wps:wsp>
                        <wps:cNvPr id="966" name="Graphic 966"/>
                        <wps:cNvSpPr/>
                        <wps:spPr>
                          <a:xfrm>
                            <a:off x="0" y="6350"/>
                            <a:ext cx="4076700" cy="1270"/>
                          </a:xfrm>
                          <a:custGeom>
                            <a:avLst/>
                            <a:gdLst/>
                            <a:ahLst/>
                            <a:cxnLst/>
                            <a:rect l="l" t="t" r="r" b="b"/>
                            <a:pathLst>
                              <a:path w="4076700" h="0">
                                <a:moveTo>
                                  <a:pt x="0" y="0"/>
                                </a:moveTo>
                                <a:lnTo>
                                  <a:pt x="2019300" y="0"/>
                                </a:lnTo>
                              </a:path>
                              <a:path w="4076700" h="0">
                                <a:moveTo>
                                  <a:pt x="2057400" y="0"/>
                                </a:moveTo>
                                <a:lnTo>
                                  <a:pt x="40767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1pt;height:1pt;mso-position-horizontal-relative:char;mso-position-vertical-relative:line" id="docshapegroup800" coordorigin="0,0" coordsize="6420,20">
                <v:shape style="position:absolute;left:0;top:10;width:6420;height:2" id="docshape801" coordorigin="0,10" coordsize="6420,0" path="m0,10l3180,10m3240,10l6420,10e" filled="false" stroked="true" strokeweight="1pt" strokecolor="#000000">
                  <v:path arrowok="t"/>
                  <v:stroke dashstyle="solid"/>
                </v:shape>
              </v:group>
            </w:pict>
          </mc:Fallback>
        </mc:AlternateContent>
      </w:r>
      <w:r>
        <w:rPr>
          <w:rFonts w:ascii="Arial"/>
          <w:sz w:val="2"/>
        </w:rPr>
      </w:r>
    </w:p>
    <w:p>
      <w:pPr>
        <w:tabs>
          <w:tab w:pos="3485" w:val="left" w:leader="none"/>
          <w:tab w:pos="4280" w:val="left" w:leader="none"/>
          <w:tab w:pos="5145" w:val="left" w:leader="none"/>
          <w:tab w:pos="5930" w:val="left" w:leader="none"/>
          <w:tab w:pos="6725" w:val="left" w:leader="none"/>
          <w:tab w:pos="7520" w:val="left" w:leader="none"/>
          <w:tab w:pos="8385" w:val="left" w:leader="none"/>
        </w:tabs>
        <w:spacing w:before="13" w:after="11"/>
        <w:ind w:left="2690" w:right="0" w:firstLine="0"/>
        <w:jc w:val="center"/>
        <w:rPr>
          <w:rFonts w:ascii="Arial"/>
          <w:i/>
          <w:sz w:val="14"/>
        </w:rPr>
      </w:pPr>
      <w:r>
        <w:rPr>
          <w:rFonts w:ascii="Arial"/>
          <w:i/>
          <w:sz w:val="14"/>
        </w:rPr>
        <w:t>Level</w:t>
      </w:r>
      <w:r>
        <w:rPr>
          <w:rFonts w:ascii="Arial"/>
          <w:i/>
          <w:spacing w:val="-3"/>
          <w:sz w:val="14"/>
        </w:rPr>
        <w:t> </w:t>
      </w:r>
      <w:r>
        <w:rPr>
          <w:rFonts w:ascii="Arial"/>
          <w:i/>
          <w:spacing w:val="-10"/>
          <w:sz w:val="14"/>
        </w:rPr>
        <w:t>1</w:t>
      </w:r>
      <w:r>
        <w:rPr>
          <w:rFonts w:ascii="Arial"/>
          <w:i/>
          <w:sz w:val="14"/>
        </w:rPr>
        <w:tab/>
        <w:t>Level</w:t>
      </w:r>
      <w:r>
        <w:rPr>
          <w:rFonts w:ascii="Arial"/>
          <w:i/>
          <w:spacing w:val="-3"/>
          <w:sz w:val="14"/>
        </w:rPr>
        <w:t> </w:t>
      </w:r>
      <w:r>
        <w:rPr>
          <w:rFonts w:ascii="Arial"/>
          <w:i/>
          <w:spacing w:val="-10"/>
          <w:sz w:val="14"/>
        </w:rPr>
        <w:t>2</w:t>
      </w:r>
      <w:r>
        <w:rPr>
          <w:rFonts w:ascii="Arial"/>
          <w:i/>
          <w:sz w:val="14"/>
        </w:rPr>
        <w:tab/>
        <w:t>Level</w:t>
      </w:r>
      <w:r>
        <w:rPr>
          <w:rFonts w:ascii="Arial"/>
          <w:i/>
          <w:spacing w:val="-3"/>
          <w:sz w:val="14"/>
        </w:rPr>
        <w:t> </w:t>
      </w:r>
      <w:r>
        <w:rPr>
          <w:rFonts w:ascii="Arial"/>
          <w:i/>
          <w:spacing w:val="-10"/>
          <w:sz w:val="14"/>
        </w:rPr>
        <w:t>3</w:t>
      </w:r>
      <w:r>
        <w:rPr>
          <w:rFonts w:ascii="Arial"/>
          <w:i/>
          <w:sz w:val="14"/>
        </w:rPr>
        <w:tab/>
      </w:r>
      <w:r>
        <w:rPr>
          <w:rFonts w:ascii="Arial"/>
          <w:i/>
          <w:spacing w:val="-4"/>
          <w:sz w:val="14"/>
        </w:rPr>
        <w:t>Total</w:t>
      </w:r>
      <w:r>
        <w:rPr>
          <w:rFonts w:ascii="Arial"/>
          <w:i/>
          <w:sz w:val="14"/>
        </w:rPr>
        <w:tab/>
        <w:t>Level</w:t>
      </w:r>
      <w:r>
        <w:rPr>
          <w:rFonts w:ascii="Arial"/>
          <w:i/>
          <w:spacing w:val="-5"/>
          <w:sz w:val="14"/>
        </w:rPr>
        <w:t> </w:t>
      </w:r>
      <w:r>
        <w:rPr>
          <w:rFonts w:ascii="Arial"/>
          <w:i/>
          <w:spacing w:val="-10"/>
          <w:sz w:val="14"/>
        </w:rPr>
        <w:t>1</w:t>
      </w:r>
      <w:r>
        <w:rPr>
          <w:rFonts w:ascii="Arial"/>
          <w:i/>
          <w:sz w:val="14"/>
        </w:rPr>
        <w:tab/>
        <w:t>Level</w:t>
      </w:r>
      <w:r>
        <w:rPr>
          <w:rFonts w:ascii="Arial"/>
          <w:i/>
          <w:spacing w:val="-5"/>
          <w:sz w:val="14"/>
        </w:rPr>
        <w:t> </w:t>
      </w:r>
      <w:r>
        <w:rPr>
          <w:rFonts w:ascii="Arial"/>
          <w:i/>
          <w:spacing w:val="-10"/>
          <w:sz w:val="14"/>
        </w:rPr>
        <w:t>2</w:t>
      </w:r>
      <w:r>
        <w:rPr>
          <w:rFonts w:ascii="Arial"/>
          <w:i/>
          <w:sz w:val="14"/>
        </w:rPr>
        <w:tab/>
        <w:t>Level</w:t>
      </w:r>
      <w:r>
        <w:rPr>
          <w:rFonts w:ascii="Arial"/>
          <w:i/>
          <w:spacing w:val="-3"/>
          <w:sz w:val="14"/>
        </w:rPr>
        <w:t> </w:t>
      </w:r>
      <w:r>
        <w:rPr>
          <w:rFonts w:ascii="Arial"/>
          <w:i/>
          <w:spacing w:val="-10"/>
          <w:sz w:val="14"/>
        </w:rPr>
        <w:t>3</w:t>
      </w:r>
      <w:r>
        <w:rPr>
          <w:rFonts w:ascii="Arial"/>
          <w:i/>
          <w:sz w:val="14"/>
        </w:rPr>
        <w:tab/>
      </w:r>
      <w:r>
        <w:rPr>
          <w:rFonts w:ascii="Arial"/>
          <w:i/>
          <w:spacing w:val="-2"/>
          <w:sz w:val="14"/>
        </w:rPr>
        <w:t>Total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0"/>
        <w:gridCol w:w="257"/>
        <w:gridCol w:w="534"/>
        <w:gridCol w:w="262"/>
        <w:gridCol w:w="534"/>
        <w:gridCol w:w="367"/>
        <w:gridCol w:w="428"/>
        <w:gridCol w:w="224"/>
        <w:gridCol w:w="625"/>
        <w:gridCol w:w="328"/>
        <w:gridCol w:w="475"/>
        <w:gridCol w:w="321"/>
        <w:gridCol w:w="476"/>
        <w:gridCol w:w="367"/>
        <w:gridCol w:w="428"/>
        <w:gridCol w:w="263"/>
        <w:gridCol w:w="539"/>
      </w:tblGrid>
      <w:tr>
        <w:trPr>
          <w:trHeight w:val="193" w:hRule="atLeast"/>
        </w:trPr>
        <w:tc>
          <w:tcPr>
            <w:tcW w:w="2850" w:type="dxa"/>
          </w:tcPr>
          <w:p>
            <w:pPr>
              <w:pStyle w:val="TableParagraph"/>
              <w:spacing w:line="160" w:lineRule="exact" w:before="13"/>
              <w:ind w:left="52"/>
              <w:rPr>
                <w:rFonts w:ascii="Arial"/>
                <w:i/>
                <w:sz w:val="14"/>
              </w:rPr>
            </w:pPr>
            <w:r>
              <w:rPr>
                <w:rFonts w:ascii="Arial"/>
                <w:i/>
                <w:sz w:val="14"/>
              </w:rPr>
              <w:t>Debt</w:t>
            </w:r>
            <w:r>
              <w:rPr>
                <w:rFonts w:ascii="Arial"/>
                <w:i/>
                <w:spacing w:val="-5"/>
                <w:sz w:val="14"/>
              </w:rPr>
              <w:t> </w:t>
            </w:r>
            <w:r>
              <w:rPr>
                <w:rFonts w:ascii="Arial"/>
                <w:i/>
                <w:spacing w:val="-2"/>
                <w:sz w:val="14"/>
              </w:rPr>
              <w:t>securities</w:t>
            </w:r>
          </w:p>
        </w:tc>
        <w:tc>
          <w:tcPr>
            <w:tcW w:w="6428" w:type="dxa"/>
            <w:gridSpan w:val="16"/>
            <w:tcBorders>
              <w:top w:val="single" w:sz="8" w:space="0" w:color="000000"/>
            </w:tcBorders>
          </w:tcPr>
          <w:p>
            <w:pPr>
              <w:pStyle w:val="TableParagraph"/>
              <w:rPr>
                <w:rFonts w:ascii="Times New Roman"/>
                <w:sz w:val="12"/>
              </w:rPr>
            </w:pPr>
          </w:p>
        </w:tc>
      </w:tr>
      <w:tr>
        <w:trPr>
          <w:trHeight w:val="195" w:hRule="atLeast"/>
        </w:trPr>
        <w:tc>
          <w:tcPr>
            <w:tcW w:w="2850" w:type="dxa"/>
          </w:tcPr>
          <w:p>
            <w:pPr>
              <w:pStyle w:val="TableParagraph"/>
              <w:spacing w:line="160" w:lineRule="exact" w:before="14"/>
              <w:ind w:left="232"/>
              <w:rPr>
                <w:sz w:val="14"/>
              </w:rPr>
            </w:pPr>
            <w:r>
              <w:rPr>
                <w:sz w:val="14"/>
              </w:rPr>
              <w:t>Short-term</w:t>
            </w:r>
            <w:r>
              <w:rPr>
                <w:spacing w:val="-4"/>
                <w:sz w:val="14"/>
              </w:rPr>
              <w:t> </w:t>
            </w:r>
            <w:r>
              <w:rPr>
                <w:spacing w:val="-2"/>
                <w:sz w:val="14"/>
              </w:rPr>
              <w:t>investments</w:t>
            </w:r>
          </w:p>
        </w:tc>
        <w:tc>
          <w:tcPr>
            <w:tcW w:w="791" w:type="dxa"/>
            <w:gridSpan w:val="2"/>
          </w:tcPr>
          <w:p>
            <w:pPr>
              <w:pStyle w:val="TableParagraph"/>
              <w:tabs>
                <w:tab w:pos="655" w:val="left" w:leader="none"/>
              </w:tabs>
              <w:spacing w:line="160" w:lineRule="exact" w:before="14"/>
              <w:ind w:left="52"/>
              <w:rPr>
                <w:sz w:val="14"/>
              </w:rPr>
            </w:pPr>
            <w:r>
              <w:rPr>
                <w:spacing w:val="-10"/>
                <w:sz w:val="14"/>
              </w:rPr>
              <w:t>$</w:t>
            </w:r>
            <w:r>
              <w:rPr>
                <w:sz w:val="14"/>
              </w:rPr>
              <w:tab/>
            </w:r>
            <w:r>
              <w:rPr>
                <w:spacing w:val="-10"/>
                <w:sz w:val="14"/>
              </w:rPr>
              <w:t>4</w:t>
            </w:r>
          </w:p>
        </w:tc>
        <w:tc>
          <w:tcPr>
            <w:tcW w:w="796" w:type="dxa"/>
            <w:gridSpan w:val="2"/>
          </w:tcPr>
          <w:p>
            <w:pPr>
              <w:pStyle w:val="TableParagraph"/>
              <w:tabs>
                <w:tab w:pos="581" w:val="left" w:leader="none"/>
              </w:tabs>
              <w:spacing w:line="160" w:lineRule="exact" w:before="14"/>
              <w:ind w:left="56"/>
              <w:rPr>
                <w:sz w:val="14"/>
              </w:rPr>
            </w:pPr>
            <w:r>
              <w:rPr>
                <w:spacing w:val="-10"/>
                <w:sz w:val="14"/>
              </w:rPr>
              <w:t>$</w:t>
            </w:r>
            <w:r>
              <w:rPr>
                <w:sz w:val="14"/>
              </w:rPr>
              <w:tab/>
            </w:r>
            <w:r>
              <w:rPr>
                <w:spacing w:val="-5"/>
                <w:sz w:val="14"/>
              </w:rPr>
              <w:t>23</w:t>
            </w:r>
          </w:p>
        </w:tc>
        <w:tc>
          <w:tcPr>
            <w:tcW w:w="795" w:type="dxa"/>
            <w:gridSpan w:val="2"/>
          </w:tcPr>
          <w:p>
            <w:pPr>
              <w:pStyle w:val="TableParagraph"/>
              <w:tabs>
                <w:tab w:pos="596" w:val="left" w:leader="none"/>
              </w:tabs>
              <w:spacing w:line="160" w:lineRule="exact" w:before="14"/>
              <w:ind w:left="55"/>
              <w:rPr>
                <w:sz w:val="14"/>
              </w:rPr>
            </w:pPr>
            <w:r>
              <w:rPr>
                <w:spacing w:val="-10"/>
                <w:sz w:val="14"/>
              </w:rPr>
              <w:t>$</w:t>
            </w:r>
            <w:r>
              <w:rPr>
                <w:sz w:val="14"/>
              </w:rPr>
              <w:tab/>
              <w:t>—</w:t>
            </w:r>
          </w:p>
        </w:tc>
        <w:tc>
          <w:tcPr>
            <w:tcW w:w="849" w:type="dxa"/>
            <w:gridSpan w:val="2"/>
          </w:tcPr>
          <w:p>
            <w:pPr>
              <w:pStyle w:val="TableParagraph"/>
              <w:tabs>
                <w:tab w:pos="580" w:val="left" w:leader="none"/>
              </w:tabs>
              <w:spacing w:line="160" w:lineRule="exact" w:before="14"/>
              <w:ind w:left="55"/>
              <w:rPr>
                <w:sz w:val="14"/>
              </w:rPr>
            </w:pPr>
            <w:r>
              <w:rPr>
                <w:spacing w:val="-10"/>
                <w:sz w:val="14"/>
              </w:rPr>
              <w:t>$</w:t>
            </w:r>
            <w:r>
              <w:rPr>
                <w:sz w:val="14"/>
              </w:rPr>
              <w:tab/>
            </w:r>
            <w:r>
              <w:rPr>
                <w:spacing w:val="-5"/>
                <w:sz w:val="14"/>
              </w:rPr>
              <w:t>27</w:t>
            </w:r>
          </w:p>
        </w:tc>
        <w:tc>
          <w:tcPr>
            <w:tcW w:w="803" w:type="dxa"/>
            <w:gridSpan w:val="2"/>
          </w:tcPr>
          <w:p>
            <w:pPr>
              <w:pStyle w:val="TableParagraph"/>
              <w:tabs>
                <w:tab w:pos="664" w:val="left" w:leader="none"/>
              </w:tabs>
              <w:spacing w:line="160" w:lineRule="exact" w:before="14"/>
              <w:ind w:left="61"/>
              <w:rPr>
                <w:sz w:val="14"/>
              </w:rPr>
            </w:pPr>
            <w:r>
              <w:rPr>
                <w:spacing w:val="-10"/>
                <w:sz w:val="14"/>
              </w:rPr>
              <w:t>$</w:t>
            </w:r>
            <w:r>
              <w:rPr>
                <w:sz w:val="14"/>
              </w:rPr>
              <w:tab/>
            </w:r>
            <w:r>
              <w:rPr>
                <w:spacing w:val="-10"/>
                <w:sz w:val="14"/>
              </w:rPr>
              <w:t>3</w:t>
            </w:r>
          </w:p>
        </w:tc>
        <w:tc>
          <w:tcPr>
            <w:tcW w:w="797" w:type="dxa"/>
            <w:gridSpan w:val="2"/>
          </w:tcPr>
          <w:p>
            <w:pPr>
              <w:pStyle w:val="TableParagraph"/>
              <w:tabs>
                <w:tab w:pos="656" w:val="left" w:leader="none"/>
              </w:tabs>
              <w:spacing w:line="160" w:lineRule="exact" w:before="14"/>
              <w:ind w:left="53"/>
              <w:rPr>
                <w:sz w:val="14"/>
              </w:rPr>
            </w:pPr>
            <w:r>
              <w:rPr>
                <w:spacing w:val="-10"/>
                <w:sz w:val="14"/>
              </w:rPr>
              <w:t>$</w:t>
            </w:r>
            <w:r>
              <w:rPr>
                <w:sz w:val="14"/>
              </w:rPr>
              <w:tab/>
            </w:r>
            <w:r>
              <w:rPr>
                <w:spacing w:val="-10"/>
                <w:sz w:val="14"/>
              </w:rPr>
              <w:t>7</w:t>
            </w:r>
          </w:p>
        </w:tc>
        <w:tc>
          <w:tcPr>
            <w:tcW w:w="795" w:type="dxa"/>
            <w:gridSpan w:val="2"/>
          </w:tcPr>
          <w:p>
            <w:pPr>
              <w:pStyle w:val="TableParagraph"/>
              <w:tabs>
                <w:tab w:pos="592" w:val="left" w:leader="none"/>
              </w:tabs>
              <w:spacing w:line="160" w:lineRule="exact" w:before="14"/>
              <w:ind w:left="51"/>
              <w:rPr>
                <w:sz w:val="14"/>
              </w:rPr>
            </w:pPr>
            <w:r>
              <w:rPr>
                <w:spacing w:val="-10"/>
                <w:sz w:val="14"/>
              </w:rPr>
              <w:t>$</w:t>
            </w:r>
            <w:r>
              <w:rPr>
                <w:sz w:val="14"/>
              </w:rPr>
              <w:tab/>
              <w:t>—</w:t>
            </w:r>
          </w:p>
        </w:tc>
        <w:tc>
          <w:tcPr>
            <w:tcW w:w="802" w:type="dxa"/>
            <w:gridSpan w:val="2"/>
          </w:tcPr>
          <w:p>
            <w:pPr>
              <w:pStyle w:val="TableParagraph"/>
              <w:tabs>
                <w:tab w:pos="576" w:val="left" w:leader="none"/>
              </w:tabs>
              <w:spacing w:line="160" w:lineRule="exact" w:before="14"/>
              <w:ind w:left="51"/>
              <w:rPr>
                <w:sz w:val="14"/>
              </w:rPr>
            </w:pPr>
            <w:r>
              <w:rPr>
                <w:spacing w:val="-10"/>
                <w:sz w:val="14"/>
              </w:rPr>
              <w:t>$</w:t>
            </w:r>
            <w:r>
              <w:rPr>
                <w:sz w:val="14"/>
              </w:rPr>
              <w:tab/>
            </w:r>
            <w:r>
              <w:rPr>
                <w:spacing w:val="-5"/>
                <w:sz w:val="14"/>
              </w:rPr>
              <w:t>10</w:t>
            </w:r>
          </w:p>
        </w:tc>
      </w:tr>
      <w:tr>
        <w:trPr>
          <w:trHeight w:val="175" w:hRule="atLeast"/>
        </w:trPr>
        <w:tc>
          <w:tcPr>
            <w:tcW w:w="2850" w:type="dxa"/>
          </w:tcPr>
          <w:p>
            <w:pPr>
              <w:pStyle w:val="TableParagraph"/>
              <w:spacing w:line="141" w:lineRule="exact" w:before="14"/>
              <w:ind w:left="232"/>
              <w:rPr>
                <w:sz w:val="14"/>
              </w:rPr>
            </w:pPr>
            <w:r>
              <w:rPr>
                <w:sz w:val="14"/>
              </w:rPr>
              <w:t>Securities</w:t>
            </w:r>
            <w:r>
              <w:rPr>
                <w:spacing w:val="-5"/>
                <w:sz w:val="14"/>
              </w:rPr>
              <w:t> </w:t>
            </w:r>
            <w:r>
              <w:rPr>
                <w:sz w:val="14"/>
              </w:rPr>
              <w:t>purchased</w:t>
            </w:r>
            <w:r>
              <w:rPr>
                <w:spacing w:val="-5"/>
                <w:sz w:val="14"/>
              </w:rPr>
              <w:t> </w:t>
            </w:r>
            <w:r>
              <w:rPr>
                <w:sz w:val="14"/>
              </w:rPr>
              <w:t>under</w:t>
            </w:r>
            <w:r>
              <w:rPr>
                <w:spacing w:val="-5"/>
                <w:sz w:val="14"/>
              </w:rPr>
              <w:t> </w:t>
            </w:r>
            <w:r>
              <w:rPr>
                <w:spacing w:val="-2"/>
                <w:sz w:val="14"/>
              </w:rPr>
              <w:t>resale</w:t>
            </w:r>
          </w:p>
        </w:tc>
        <w:tc>
          <w:tcPr>
            <w:tcW w:w="791" w:type="dxa"/>
            <w:gridSpan w:val="2"/>
          </w:tcPr>
          <w:p>
            <w:pPr>
              <w:pStyle w:val="TableParagraph"/>
              <w:rPr>
                <w:rFonts w:ascii="Times New Roman"/>
                <w:sz w:val="10"/>
              </w:rPr>
            </w:pPr>
          </w:p>
        </w:tc>
        <w:tc>
          <w:tcPr>
            <w:tcW w:w="796" w:type="dxa"/>
            <w:gridSpan w:val="2"/>
          </w:tcPr>
          <w:p>
            <w:pPr>
              <w:pStyle w:val="TableParagraph"/>
              <w:rPr>
                <w:rFonts w:ascii="Times New Roman"/>
                <w:sz w:val="10"/>
              </w:rPr>
            </w:pPr>
          </w:p>
        </w:tc>
        <w:tc>
          <w:tcPr>
            <w:tcW w:w="795" w:type="dxa"/>
            <w:gridSpan w:val="2"/>
          </w:tcPr>
          <w:p>
            <w:pPr>
              <w:pStyle w:val="TableParagraph"/>
              <w:rPr>
                <w:rFonts w:ascii="Times New Roman"/>
                <w:sz w:val="10"/>
              </w:rPr>
            </w:pPr>
          </w:p>
        </w:tc>
        <w:tc>
          <w:tcPr>
            <w:tcW w:w="849" w:type="dxa"/>
            <w:gridSpan w:val="2"/>
          </w:tcPr>
          <w:p>
            <w:pPr>
              <w:pStyle w:val="TableParagraph"/>
              <w:rPr>
                <w:rFonts w:ascii="Times New Roman"/>
                <w:sz w:val="10"/>
              </w:rPr>
            </w:pPr>
          </w:p>
        </w:tc>
        <w:tc>
          <w:tcPr>
            <w:tcW w:w="803" w:type="dxa"/>
            <w:gridSpan w:val="2"/>
          </w:tcPr>
          <w:p>
            <w:pPr>
              <w:pStyle w:val="TableParagraph"/>
              <w:rPr>
                <w:rFonts w:ascii="Times New Roman"/>
                <w:sz w:val="10"/>
              </w:rPr>
            </w:pPr>
          </w:p>
        </w:tc>
        <w:tc>
          <w:tcPr>
            <w:tcW w:w="797" w:type="dxa"/>
            <w:gridSpan w:val="2"/>
          </w:tcPr>
          <w:p>
            <w:pPr>
              <w:pStyle w:val="TableParagraph"/>
              <w:rPr>
                <w:rFonts w:ascii="Times New Roman"/>
                <w:sz w:val="10"/>
              </w:rPr>
            </w:pPr>
          </w:p>
        </w:tc>
        <w:tc>
          <w:tcPr>
            <w:tcW w:w="795" w:type="dxa"/>
            <w:gridSpan w:val="2"/>
          </w:tcPr>
          <w:p>
            <w:pPr>
              <w:pStyle w:val="TableParagraph"/>
              <w:rPr>
                <w:rFonts w:ascii="Times New Roman"/>
                <w:sz w:val="10"/>
              </w:rPr>
            </w:pPr>
          </w:p>
        </w:tc>
        <w:tc>
          <w:tcPr>
            <w:tcW w:w="802" w:type="dxa"/>
            <w:gridSpan w:val="2"/>
          </w:tcPr>
          <w:p>
            <w:pPr>
              <w:pStyle w:val="TableParagraph"/>
              <w:rPr>
                <w:rFonts w:ascii="Times New Roman"/>
                <w:sz w:val="10"/>
              </w:rPr>
            </w:pPr>
          </w:p>
        </w:tc>
      </w:tr>
      <w:tr>
        <w:trPr>
          <w:trHeight w:val="193" w:hRule="atLeast"/>
        </w:trPr>
        <w:tc>
          <w:tcPr>
            <w:tcW w:w="2850" w:type="dxa"/>
          </w:tcPr>
          <w:p>
            <w:pPr>
              <w:pStyle w:val="TableParagraph"/>
              <w:spacing w:before="2"/>
              <w:ind w:left="322"/>
              <w:rPr>
                <w:sz w:val="14"/>
              </w:rPr>
            </w:pPr>
            <w:r>
              <w:rPr>
                <w:spacing w:val="-2"/>
                <w:sz w:val="14"/>
              </w:rPr>
              <w:t>agreements</w:t>
            </w:r>
          </w:p>
        </w:tc>
        <w:tc>
          <w:tcPr>
            <w:tcW w:w="791" w:type="dxa"/>
            <w:gridSpan w:val="2"/>
          </w:tcPr>
          <w:p>
            <w:pPr>
              <w:pStyle w:val="TableParagraph"/>
              <w:spacing w:line="156" w:lineRule="exact"/>
              <w:ind w:right="55"/>
              <w:jc w:val="right"/>
              <w:rPr>
                <w:sz w:val="14"/>
              </w:rPr>
            </w:pPr>
            <w:r>
              <w:rPr>
                <w:spacing w:val="-5"/>
                <w:sz w:val="14"/>
              </w:rPr>
              <w:t>30</w:t>
            </w:r>
          </w:p>
        </w:tc>
        <w:tc>
          <w:tcPr>
            <w:tcW w:w="796" w:type="dxa"/>
            <w:gridSpan w:val="2"/>
          </w:tcPr>
          <w:p>
            <w:pPr>
              <w:pStyle w:val="TableParagraph"/>
              <w:spacing w:line="156" w:lineRule="exact"/>
              <w:ind w:right="56"/>
              <w:jc w:val="right"/>
              <w:rPr>
                <w:sz w:val="14"/>
              </w:rPr>
            </w:pPr>
            <w:r>
              <w:rPr>
                <w:sz w:val="14"/>
              </w:rPr>
              <w:t>—</w:t>
            </w:r>
          </w:p>
        </w:tc>
        <w:tc>
          <w:tcPr>
            <w:tcW w:w="795" w:type="dxa"/>
            <w:gridSpan w:val="2"/>
          </w:tcPr>
          <w:p>
            <w:pPr>
              <w:pStyle w:val="TableParagraph"/>
              <w:spacing w:line="156" w:lineRule="exact"/>
              <w:ind w:right="56"/>
              <w:jc w:val="right"/>
              <w:rPr>
                <w:sz w:val="14"/>
              </w:rPr>
            </w:pPr>
            <w:r>
              <w:rPr>
                <w:sz w:val="14"/>
              </w:rPr>
              <w:t>—</w:t>
            </w:r>
          </w:p>
        </w:tc>
        <w:tc>
          <w:tcPr>
            <w:tcW w:w="849" w:type="dxa"/>
            <w:gridSpan w:val="2"/>
          </w:tcPr>
          <w:p>
            <w:pPr>
              <w:pStyle w:val="TableParagraph"/>
              <w:spacing w:line="156" w:lineRule="exact"/>
              <w:ind w:right="110"/>
              <w:jc w:val="right"/>
              <w:rPr>
                <w:sz w:val="14"/>
              </w:rPr>
            </w:pPr>
            <w:r>
              <w:rPr>
                <w:spacing w:val="-5"/>
                <w:sz w:val="14"/>
              </w:rPr>
              <w:t>30</w:t>
            </w:r>
          </w:p>
        </w:tc>
        <w:tc>
          <w:tcPr>
            <w:tcW w:w="803" w:type="dxa"/>
            <w:gridSpan w:val="2"/>
          </w:tcPr>
          <w:p>
            <w:pPr>
              <w:pStyle w:val="TableParagraph"/>
              <w:spacing w:line="156" w:lineRule="exact"/>
              <w:ind w:right="58"/>
              <w:jc w:val="right"/>
              <w:rPr>
                <w:sz w:val="14"/>
              </w:rPr>
            </w:pPr>
            <w:r>
              <w:rPr>
                <w:spacing w:val="-5"/>
                <w:sz w:val="14"/>
              </w:rPr>
              <w:t>15</w:t>
            </w:r>
          </w:p>
        </w:tc>
        <w:tc>
          <w:tcPr>
            <w:tcW w:w="797" w:type="dxa"/>
            <w:gridSpan w:val="2"/>
          </w:tcPr>
          <w:p>
            <w:pPr>
              <w:pStyle w:val="TableParagraph"/>
              <w:spacing w:line="156" w:lineRule="exact"/>
              <w:ind w:right="60"/>
              <w:jc w:val="right"/>
              <w:rPr>
                <w:sz w:val="14"/>
              </w:rPr>
            </w:pPr>
            <w:r>
              <w:rPr>
                <w:sz w:val="14"/>
              </w:rPr>
              <w:t>—</w:t>
            </w:r>
          </w:p>
        </w:tc>
        <w:tc>
          <w:tcPr>
            <w:tcW w:w="795" w:type="dxa"/>
            <w:gridSpan w:val="2"/>
          </w:tcPr>
          <w:p>
            <w:pPr>
              <w:pStyle w:val="TableParagraph"/>
              <w:spacing w:line="156" w:lineRule="exact"/>
              <w:ind w:right="60"/>
              <w:jc w:val="right"/>
              <w:rPr>
                <w:sz w:val="14"/>
              </w:rPr>
            </w:pPr>
            <w:r>
              <w:rPr>
                <w:sz w:val="14"/>
              </w:rPr>
              <w:t>—</w:t>
            </w:r>
          </w:p>
        </w:tc>
        <w:tc>
          <w:tcPr>
            <w:tcW w:w="802" w:type="dxa"/>
            <w:gridSpan w:val="2"/>
          </w:tcPr>
          <w:p>
            <w:pPr>
              <w:pStyle w:val="TableParagraph"/>
              <w:spacing w:line="156" w:lineRule="exact"/>
              <w:ind w:right="67"/>
              <w:jc w:val="right"/>
              <w:rPr>
                <w:sz w:val="14"/>
              </w:rPr>
            </w:pPr>
            <w:r>
              <w:rPr>
                <w:spacing w:val="-5"/>
                <w:sz w:val="14"/>
              </w:rPr>
              <w:t>15</w:t>
            </w:r>
          </w:p>
        </w:tc>
      </w:tr>
      <w:tr>
        <w:trPr>
          <w:trHeight w:val="201" w:hRule="atLeast"/>
        </w:trPr>
        <w:tc>
          <w:tcPr>
            <w:tcW w:w="2850" w:type="dxa"/>
          </w:tcPr>
          <w:p>
            <w:pPr>
              <w:pStyle w:val="TableParagraph"/>
              <w:spacing w:line="160" w:lineRule="exact" w:before="20"/>
              <w:ind w:left="232"/>
              <w:rPr>
                <w:sz w:val="14"/>
              </w:rPr>
            </w:pPr>
            <w:r>
              <w:rPr>
                <w:sz w:val="14"/>
              </w:rPr>
              <w:t>Government</w:t>
            </w:r>
            <w:r>
              <w:rPr>
                <w:spacing w:val="-4"/>
                <w:sz w:val="14"/>
              </w:rPr>
              <w:t> </w:t>
            </w:r>
            <w:r>
              <w:rPr>
                <w:sz w:val="14"/>
              </w:rPr>
              <w:t>and</w:t>
            </w:r>
            <w:r>
              <w:rPr>
                <w:spacing w:val="-4"/>
                <w:sz w:val="14"/>
              </w:rPr>
              <w:t> </w:t>
            </w:r>
            <w:r>
              <w:rPr>
                <w:sz w:val="14"/>
              </w:rPr>
              <w:t>agency</w:t>
            </w:r>
            <w:r>
              <w:rPr>
                <w:spacing w:val="-3"/>
                <w:sz w:val="14"/>
              </w:rPr>
              <w:t> </w:t>
            </w:r>
            <w:r>
              <w:rPr>
                <w:spacing w:val="-2"/>
                <w:sz w:val="14"/>
              </w:rPr>
              <w:t>securities</w:t>
            </w:r>
          </w:p>
        </w:tc>
        <w:tc>
          <w:tcPr>
            <w:tcW w:w="791" w:type="dxa"/>
            <w:gridSpan w:val="2"/>
          </w:tcPr>
          <w:p>
            <w:pPr>
              <w:pStyle w:val="TableParagraph"/>
              <w:spacing w:line="160" w:lineRule="exact" w:before="20"/>
              <w:ind w:left="383"/>
              <w:rPr>
                <w:sz w:val="14"/>
              </w:rPr>
            </w:pPr>
            <w:r>
              <w:rPr>
                <w:spacing w:val="-2"/>
                <w:sz w:val="14"/>
              </w:rPr>
              <w:t>2,387</w:t>
            </w:r>
          </w:p>
        </w:tc>
        <w:tc>
          <w:tcPr>
            <w:tcW w:w="796" w:type="dxa"/>
            <w:gridSpan w:val="2"/>
          </w:tcPr>
          <w:p>
            <w:pPr>
              <w:pStyle w:val="TableParagraph"/>
              <w:spacing w:line="160" w:lineRule="exact" w:before="20"/>
              <w:ind w:left="503"/>
              <w:rPr>
                <w:sz w:val="14"/>
              </w:rPr>
            </w:pPr>
            <w:r>
              <w:rPr>
                <w:spacing w:val="-5"/>
                <w:sz w:val="14"/>
              </w:rPr>
              <w:t>337</w:t>
            </w:r>
          </w:p>
        </w:tc>
        <w:tc>
          <w:tcPr>
            <w:tcW w:w="795" w:type="dxa"/>
            <w:gridSpan w:val="2"/>
          </w:tcPr>
          <w:p>
            <w:pPr>
              <w:pStyle w:val="TableParagraph"/>
              <w:spacing w:line="160" w:lineRule="exact" w:before="20"/>
              <w:ind w:right="56"/>
              <w:jc w:val="right"/>
              <w:rPr>
                <w:sz w:val="14"/>
              </w:rPr>
            </w:pPr>
            <w:r>
              <w:rPr>
                <w:sz w:val="14"/>
              </w:rPr>
              <w:t>—</w:t>
            </w:r>
          </w:p>
        </w:tc>
        <w:tc>
          <w:tcPr>
            <w:tcW w:w="849" w:type="dxa"/>
            <w:gridSpan w:val="2"/>
          </w:tcPr>
          <w:p>
            <w:pPr>
              <w:pStyle w:val="TableParagraph"/>
              <w:spacing w:line="160" w:lineRule="exact" w:before="20"/>
              <w:ind w:left="386"/>
              <w:rPr>
                <w:sz w:val="14"/>
              </w:rPr>
            </w:pPr>
            <w:r>
              <w:rPr>
                <w:spacing w:val="-2"/>
                <w:sz w:val="14"/>
              </w:rPr>
              <w:t>2,724</w:t>
            </w:r>
          </w:p>
        </w:tc>
        <w:tc>
          <w:tcPr>
            <w:tcW w:w="803" w:type="dxa"/>
            <w:gridSpan w:val="2"/>
          </w:tcPr>
          <w:p>
            <w:pPr>
              <w:pStyle w:val="TableParagraph"/>
              <w:spacing w:line="160" w:lineRule="exact" w:before="20"/>
              <w:ind w:left="508"/>
              <w:rPr>
                <w:sz w:val="14"/>
              </w:rPr>
            </w:pPr>
            <w:r>
              <w:rPr>
                <w:spacing w:val="-5"/>
                <w:sz w:val="14"/>
              </w:rPr>
              <w:t>500</w:t>
            </w:r>
          </w:p>
        </w:tc>
        <w:tc>
          <w:tcPr>
            <w:tcW w:w="797" w:type="dxa"/>
            <w:gridSpan w:val="2"/>
          </w:tcPr>
          <w:p>
            <w:pPr>
              <w:pStyle w:val="TableParagraph"/>
              <w:spacing w:line="160" w:lineRule="exact" w:before="20"/>
              <w:ind w:right="60"/>
              <w:jc w:val="right"/>
              <w:rPr>
                <w:sz w:val="14"/>
              </w:rPr>
            </w:pPr>
            <w:r>
              <w:rPr>
                <w:spacing w:val="-5"/>
                <w:sz w:val="14"/>
              </w:rPr>
              <w:t>80</w:t>
            </w:r>
          </w:p>
        </w:tc>
        <w:tc>
          <w:tcPr>
            <w:tcW w:w="795" w:type="dxa"/>
            <w:gridSpan w:val="2"/>
          </w:tcPr>
          <w:p>
            <w:pPr>
              <w:pStyle w:val="TableParagraph"/>
              <w:spacing w:line="160" w:lineRule="exact" w:before="20"/>
              <w:ind w:right="60"/>
              <w:jc w:val="right"/>
              <w:rPr>
                <w:sz w:val="14"/>
              </w:rPr>
            </w:pPr>
            <w:r>
              <w:rPr>
                <w:sz w:val="14"/>
              </w:rPr>
              <w:t>—</w:t>
            </w:r>
          </w:p>
        </w:tc>
        <w:tc>
          <w:tcPr>
            <w:tcW w:w="802" w:type="dxa"/>
            <w:gridSpan w:val="2"/>
          </w:tcPr>
          <w:p>
            <w:pPr>
              <w:pStyle w:val="TableParagraph"/>
              <w:spacing w:line="160" w:lineRule="exact" w:before="20"/>
              <w:ind w:left="498"/>
              <w:rPr>
                <w:sz w:val="14"/>
              </w:rPr>
            </w:pPr>
            <w:r>
              <w:rPr>
                <w:spacing w:val="-5"/>
                <w:sz w:val="14"/>
              </w:rPr>
              <w:t>580</w:t>
            </w:r>
          </w:p>
        </w:tc>
      </w:tr>
      <w:tr>
        <w:trPr>
          <w:trHeight w:val="194" w:hRule="atLeast"/>
        </w:trPr>
        <w:tc>
          <w:tcPr>
            <w:tcW w:w="2850" w:type="dxa"/>
          </w:tcPr>
          <w:p>
            <w:pPr>
              <w:pStyle w:val="TableParagraph"/>
              <w:spacing w:line="160" w:lineRule="exact" w:before="14"/>
              <w:ind w:left="232"/>
              <w:rPr>
                <w:sz w:val="14"/>
              </w:rPr>
            </w:pPr>
            <w:r>
              <w:rPr>
                <w:sz w:val="14"/>
              </w:rPr>
              <w:t>Corporate</w:t>
            </w:r>
            <w:r>
              <w:rPr>
                <w:spacing w:val="-5"/>
                <w:sz w:val="14"/>
              </w:rPr>
              <w:t> </w:t>
            </w:r>
            <w:r>
              <w:rPr>
                <w:sz w:val="14"/>
              </w:rPr>
              <w:t>and</w:t>
            </w:r>
            <w:r>
              <w:rPr>
                <w:spacing w:val="-4"/>
                <w:sz w:val="14"/>
              </w:rPr>
              <w:t> </w:t>
            </w:r>
            <w:r>
              <w:rPr>
                <w:sz w:val="14"/>
              </w:rPr>
              <w:t>convertible</w:t>
            </w:r>
            <w:r>
              <w:rPr>
                <w:spacing w:val="-4"/>
                <w:sz w:val="14"/>
              </w:rPr>
              <w:t> </w:t>
            </w:r>
            <w:r>
              <w:rPr>
                <w:spacing w:val="-2"/>
                <w:sz w:val="14"/>
              </w:rPr>
              <w:t>bonds</w:t>
            </w:r>
          </w:p>
        </w:tc>
        <w:tc>
          <w:tcPr>
            <w:tcW w:w="791" w:type="dxa"/>
            <w:gridSpan w:val="2"/>
          </w:tcPr>
          <w:p>
            <w:pPr>
              <w:pStyle w:val="TableParagraph"/>
              <w:spacing w:line="160" w:lineRule="exact" w:before="14"/>
              <w:ind w:right="55"/>
              <w:jc w:val="right"/>
              <w:rPr>
                <w:sz w:val="14"/>
              </w:rPr>
            </w:pPr>
            <w:r>
              <w:rPr>
                <w:sz w:val="14"/>
              </w:rPr>
              <w:t>—</w:t>
            </w:r>
          </w:p>
        </w:tc>
        <w:tc>
          <w:tcPr>
            <w:tcW w:w="796" w:type="dxa"/>
            <w:gridSpan w:val="2"/>
          </w:tcPr>
          <w:p>
            <w:pPr>
              <w:pStyle w:val="TableParagraph"/>
              <w:spacing w:line="160" w:lineRule="exact" w:before="14"/>
              <w:ind w:left="503"/>
              <w:rPr>
                <w:sz w:val="14"/>
              </w:rPr>
            </w:pPr>
            <w:r>
              <w:rPr>
                <w:spacing w:val="-5"/>
                <w:sz w:val="14"/>
              </w:rPr>
              <w:t>306</w:t>
            </w:r>
          </w:p>
        </w:tc>
        <w:tc>
          <w:tcPr>
            <w:tcW w:w="795" w:type="dxa"/>
            <w:gridSpan w:val="2"/>
          </w:tcPr>
          <w:p>
            <w:pPr>
              <w:pStyle w:val="TableParagraph"/>
              <w:spacing w:line="160" w:lineRule="exact" w:before="14"/>
              <w:ind w:right="56"/>
              <w:jc w:val="right"/>
              <w:rPr>
                <w:sz w:val="14"/>
              </w:rPr>
            </w:pPr>
            <w:r>
              <w:rPr>
                <w:sz w:val="14"/>
              </w:rPr>
              <w:t>—</w:t>
            </w:r>
          </w:p>
        </w:tc>
        <w:tc>
          <w:tcPr>
            <w:tcW w:w="849" w:type="dxa"/>
            <w:gridSpan w:val="2"/>
          </w:tcPr>
          <w:p>
            <w:pPr>
              <w:pStyle w:val="TableParagraph"/>
              <w:spacing w:line="160" w:lineRule="exact" w:before="14"/>
              <w:ind w:left="502"/>
              <w:rPr>
                <w:sz w:val="14"/>
              </w:rPr>
            </w:pPr>
            <w:r>
              <w:rPr>
                <w:spacing w:val="-5"/>
                <w:sz w:val="14"/>
              </w:rPr>
              <w:t>306</w:t>
            </w:r>
          </w:p>
        </w:tc>
        <w:tc>
          <w:tcPr>
            <w:tcW w:w="803" w:type="dxa"/>
            <w:gridSpan w:val="2"/>
          </w:tcPr>
          <w:p>
            <w:pPr>
              <w:pStyle w:val="TableParagraph"/>
              <w:spacing w:line="160" w:lineRule="exact" w:before="14"/>
              <w:ind w:right="58"/>
              <w:jc w:val="right"/>
              <w:rPr>
                <w:sz w:val="14"/>
              </w:rPr>
            </w:pPr>
            <w:r>
              <w:rPr>
                <w:sz w:val="14"/>
              </w:rPr>
              <w:t>—</w:t>
            </w:r>
          </w:p>
        </w:tc>
        <w:tc>
          <w:tcPr>
            <w:tcW w:w="797" w:type="dxa"/>
            <w:gridSpan w:val="2"/>
          </w:tcPr>
          <w:p>
            <w:pPr>
              <w:pStyle w:val="TableParagraph"/>
              <w:spacing w:line="160" w:lineRule="exact" w:before="14"/>
              <w:ind w:right="60"/>
              <w:jc w:val="right"/>
              <w:rPr>
                <w:sz w:val="14"/>
              </w:rPr>
            </w:pPr>
            <w:r>
              <w:rPr>
                <w:spacing w:val="-5"/>
                <w:sz w:val="14"/>
              </w:rPr>
              <w:t>60</w:t>
            </w:r>
          </w:p>
        </w:tc>
        <w:tc>
          <w:tcPr>
            <w:tcW w:w="795" w:type="dxa"/>
            <w:gridSpan w:val="2"/>
          </w:tcPr>
          <w:p>
            <w:pPr>
              <w:pStyle w:val="TableParagraph"/>
              <w:spacing w:line="160" w:lineRule="exact" w:before="14"/>
              <w:ind w:right="60"/>
              <w:jc w:val="right"/>
              <w:rPr>
                <w:sz w:val="14"/>
              </w:rPr>
            </w:pPr>
            <w:r>
              <w:rPr>
                <w:sz w:val="14"/>
              </w:rPr>
              <w:t>—</w:t>
            </w:r>
          </w:p>
        </w:tc>
        <w:tc>
          <w:tcPr>
            <w:tcW w:w="802" w:type="dxa"/>
            <w:gridSpan w:val="2"/>
          </w:tcPr>
          <w:p>
            <w:pPr>
              <w:pStyle w:val="TableParagraph"/>
              <w:spacing w:line="160" w:lineRule="exact" w:before="14"/>
              <w:ind w:right="67"/>
              <w:jc w:val="right"/>
              <w:rPr>
                <w:sz w:val="14"/>
              </w:rPr>
            </w:pPr>
            <w:r>
              <w:rPr>
                <w:spacing w:val="-5"/>
                <w:sz w:val="14"/>
              </w:rPr>
              <w:t>60</w:t>
            </w:r>
          </w:p>
        </w:tc>
      </w:tr>
      <w:tr>
        <w:trPr>
          <w:trHeight w:val="195" w:hRule="atLeast"/>
        </w:trPr>
        <w:tc>
          <w:tcPr>
            <w:tcW w:w="2850" w:type="dxa"/>
          </w:tcPr>
          <w:p>
            <w:pPr>
              <w:pStyle w:val="TableParagraph"/>
              <w:spacing w:line="160" w:lineRule="exact" w:before="14"/>
              <w:ind w:left="232"/>
              <w:rPr>
                <w:sz w:val="14"/>
              </w:rPr>
            </w:pPr>
            <w:r>
              <w:rPr>
                <w:spacing w:val="-5"/>
                <w:sz w:val="14"/>
              </w:rPr>
              <w:t>ABS</w:t>
            </w:r>
          </w:p>
        </w:tc>
        <w:tc>
          <w:tcPr>
            <w:tcW w:w="791" w:type="dxa"/>
            <w:gridSpan w:val="2"/>
          </w:tcPr>
          <w:p>
            <w:pPr>
              <w:pStyle w:val="TableParagraph"/>
              <w:spacing w:line="160" w:lineRule="exact" w:before="14"/>
              <w:ind w:right="55"/>
              <w:jc w:val="right"/>
              <w:rPr>
                <w:sz w:val="14"/>
              </w:rPr>
            </w:pPr>
            <w:r>
              <w:rPr>
                <w:sz w:val="14"/>
              </w:rPr>
              <w:t>—</w:t>
            </w:r>
          </w:p>
        </w:tc>
        <w:tc>
          <w:tcPr>
            <w:tcW w:w="796" w:type="dxa"/>
            <w:gridSpan w:val="2"/>
          </w:tcPr>
          <w:p>
            <w:pPr>
              <w:pStyle w:val="TableParagraph"/>
              <w:spacing w:line="160" w:lineRule="exact" w:before="14"/>
              <w:ind w:left="503"/>
              <w:rPr>
                <w:sz w:val="14"/>
              </w:rPr>
            </w:pPr>
            <w:r>
              <w:rPr>
                <w:spacing w:val="-5"/>
                <w:sz w:val="14"/>
              </w:rPr>
              <w:t>188</w:t>
            </w:r>
          </w:p>
        </w:tc>
        <w:tc>
          <w:tcPr>
            <w:tcW w:w="795" w:type="dxa"/>
            <w:gridSpan w:val="2"/>
          </w:tcPr>
          <w:p>
            <w:pPr>
              <w:pStyle w:val="TableParagraph"/>
              <w:spacing w:line="160" w:lineRule="exact" w:before="14"/>
              <w:ind w:right="56"/>
              <w:jc w:val="right"/>
              <w:rPr>
                <w:sz w:val="14"/>
              </w:rPr>
            </w:pPr>
            <w:r>
              <w:rPr>
                <w:sz w:val="14"/>
              </w:rPr>
              <w:t>—</w:t>
            </w:r>
          </w:p>
        </w:tc>
        <w:tc>
          <w:tcPr>
            <w:tcW w:w="849" w:type="dxa"/>
            <w:gridSpan w:val="2"/>
          </w:tcPr>
          <w:p>
            <w:pPr>
              <w:pStyle w:val="TableParagraph"/>
              <w:spacing w:line="160" w:lineRule="exact" w:before="14"/>
              <w:ind w:left="502"/>
              <w:rPr>
                <w:sz w:val="14"/>
              </w:rPr>
            </w:pPr>
            <w:r>
              <w:rPr>
                <w:spacing w:val="-5"/>
                <w:sz w:val="14"/>
              </w:rPr>
              <w:t>188</w:t>
            </w:r>
          </w:p>
        </w:tc>
        <w:tc>
          <w:tcPr>
            <w:tcW w:w="803" w:type="dxa"/>
            <w:gridSpan w:val="2"/>
          </w:tcPr>
          <w:p>
            <w:pPr>
              <w:pStyle w:val="TableParagraph"/>
              <w:spacing w:line="160" w:lineRule="exact" w:before="14"/>
              <w:ind w:right="58"/>
              <w:jc w:val="right"/>
              <w:rPr>
                <w:sz w:val="14"/>
              </w:rPr>
            </w:pPr>
            <w:r>
              <w:rPr>
                <w:sz w:val="14"/>
              </w:rPr>
              <w:t>—</w:t>
            </w:r>
          </w:p>
        </w:tc>
        <w:tc>
          <w:tcPr>
            <w:tcW w:w="797" w:type="dxa"/>
            <w:gridSpan w:val="2"/>
          </w:tcPr>
          <w:p>
            <w:pPr>
              <w:pStyle w:val="TableParagraph"/>
              <w:spacing w:line="160" w:lineRule="exact" w:before="14"/>
              <w:ind w:right="60"/>
              <w:jc w:val="right"/>
              <w:rPr>
                <w:sz w:val="14"/>
              </w:rPr>
            </w:pPr>
            <w:r>
              <w:rPr>
                <w:spacing w:val="-5"/>
                <w:sz w:val="14"/>
              </w:rPr>
              <w:t>37</w:t>
            </w:r>
          </w:p>
        </w:tc>
        <w:tc>
          <w:tcPr>
            <w:tcW w:w="795" w:type="dxa"/>
            <w:gridSpan w:val="2"/>
          </w:tcPr>
          <w:p>
            <w:pPr>
              <w:pStyle w:val="TableParagraph"/>
              <w:spacing w:line="160" w:lineRule="exact" w:before="14"/>
              <w:ind w:right="60"/>
              <w:jc w:val="right"/>
              <w:rPr>
                <w:sz w:val="14"/>
              </w:rPr>
            </w:pPr>
            <w:r>
              <w:rPr>
                <w:sz w:val="14"/>
              </w:rPr>
              <w:t>—</w:t>
            </w:r>
          </w:p>
        </w:tc>
        <w:tc>
          <w:tcPr>
            <w:tcW w:w="802" w:type="dxa"/>
            <w:gridSpan w:val="2"/>
          </w:tcPr>
          <w:p>
            <w:pPr>
              <w:pStyle w:val="TableParagraph"/>
              <w:spacing w:line="160" w:lineRule="exact" w:before="14"/>
              <w:ind w:right="67"/>
              <w:jc w:val="right"/>
              <w:rPr>
                <w:sz w:val="14"/>
              </w:rPr>
            </w:pPr>
            <w:r>
              <w:rPr>
                <w:spacing w:val="-5"/>
                <w:sz w:val="14"/>
              </w:rPr>
              <w:t>37</w:t>
            </w:r>
          </w:p>
        </w:tc>
      </w:tr>
      <w:tr>
        <w:trPr>
          <w:trHeight w:val="176" w:hRule="atLeast"/>
        </w:trPr>
        <w:tc>
          <w:tcPr>
            <w:tcW w:w="2850" w:type="dxa"/>
          </w:tcPr>
          <w:p>
            <w:pPr>
              <w:pStyle w:val="TableParagraph"/>
              <w:spacing w:line="142" w:lineRule="exact" w:before="14"/>
              <w:ind w:left="232"/>
              <w:rPr>
                <w:sz w:val="14"/>
              </w:rPr>
            </w:pPr>
            <w:r>
              <w:rPr>
                <w:spacing w:val="-5"/>
                <w:sz w:val="14"/>
              </w:rPr>
              <w:t>MBS</w:t>
            </w:r>
          </w:p>
        </w:tc>
        <w:tc>
          <w:tcPr>
            <w:tcW w:w="791" w:type="dxa"/>
            <w:gridSpan w:val="2"/>
            <w:tcBorders>
              <w:bottom w:val="single" w:sz="8" w:space="0" w:color="000000"/>
            </w:tcBorders>
          </w:tcPr>
          <w:p>
            <w:pPr>
              <w:pStyle w:val="TableParagraph"/>
              <w:spacing w:line="142" w:lineRule="exact" w:before="14"/>
              <w:ind w:right="55"/>
              <w:jc w:val="right"/>
              <w:rPr>
                <w:sz w:val="14"/>
              </w:rPr>
            </w:pPr>
            <w:r>
              <w:rPr>
                <w:sz w:val="14"/>
              </w:rPr>
              <w:t>—</w:t>
            </w:r>
          </w:p>
        </w:tc>
        <w:tc>
          <w:tcPr>
            <w:tcW w:w="796" w:type="dxa"/>
            <w:gridSpan w:val="2"/>
            <w:tcBorders>
              <w:bottom w:val="single" w:sz="8" w:space="0" w:color="000000"/>
            </w:tcBorders>
          </w:tcPr>
          <w:p>
            <w:pPr>
              <w:pStyle w:val="TableParagraph"/>
              <w:spacing w:line="142" w:lineRule="exact" w:before="14"/>
              <w:ind w:left="503"/>
              <w:rPr>
                <w:sz w:val="14"/>
              </w:rPr>
            </w:pPr>
            <w:r>
              <w:rPr>
                <w:spacing w:val="-5"/>
                <w:sz w:val="14"/>
              </w:rPr>
              <w:t>299</w:t>
            </w:r>
          </w:p>
        </w:tc>
        <w:tc>
          <w:tcPr>
            <w:tcW w:w="795" w:type="dxa"/>
            <w:gridSpan w:val="2"/>
            <w:tcBorders>
              <w:bottom w:val="single" w:sz="8" w:space="0" w:color="000000"/>
            </w:tcBorders>
          </w:tcPr>
          <w:p>
            <w:pPr>
              <w:pStyle w:val="TableParagraph"/>
              <w:spacing w:line="142" w:lineRule="exact" w:before="14"/>
              <w:ind w:right="56"/>
              <w:jc w:val="right"/>
              <w:rPr>
                <w:sz w:val="14"/>
              </w:rPr>
            </w:pPr>
            <w:r>
              <w:rPr>
                <w:sz w:val="14"/>
              </w:rPr>
              <w:t>—</w:t>
            </w:r>
          </w:p>
        </w:tc>
        <w:tc>
          <w:tcPr>
            <w:tcW w:w="849" w:type="dxa"/>
            <w:gridSpan w:val="2"/>
            <w:tcBorders>
              <w:bottom w:val="single" w:sz="8" w:space="0" w:color="000000"/>
            </w:tcBorders>
          </w:tcPr>
          <w:p>
            <w:pPr>
              <w:pStyle w:val="TableParagraph"/>
              <w:spacing w:line="142" w:lineRule="exact" w:before="14"/>
              <w:ind w:left="502"/>
              <w:rPr>
                <w:sz w:val="14"/>
              </w:rPr>
            </w:pPr>
            <w:r>
              <w:rPr>
                <w:spacing w:val="-5"/>
                <w:sz w:val="14"/>
              </w:rPr>
              <w:t>299</w:t>
            </w:r>
          </w:p>
        </w:tc>
        <w:tc>
          <w:tcPr>
            <w:tcW w:w="803" w:type="dxa"/>
            <w:gridSpan w:val="2"/>
            <w:tcBorders>
              <w:bottom w:val="single" w:sz="8" w:space="0" w:color="000000"/>
            </w:tcBorders>
          </w:tcPr>
          <w:p>
            <w:pPr>
              <w:pStyle w:val="TableParagraph"/>
              <w:spacing w:line="142" w:lineRule="exact" w:before="14"/>
              <w:ind w:right="58"/>
              <w:jc w:val="right"/>
              <w:rPr>
                <w:sz w:val="14"/>
              </w:rPr>
            </w:pPr>
            <w:r>
              <w:rPr>
                <w:sz w:val="14"/>
              </w:rPr>
              <w:t>—</w:t>
            </w:r>
          </w:p>
        </w:tc>
        <w:tc>
          <w:tcPr>
            <w:tcW w:w="797" w:type="dxa"/>
            <w:gridSpan w:val="2"/>
            <w:tcBorders>
              <w:bottom w:val="single" w:sz="8" w:space="0" w:color="000000"/>
            </w:tcBorders>
          </w:tcPr>
          <w:p>
            <w:pPr>
              <w:pStyle w:val="TableParagraph"/>
              <w:spacing w:line="142" w:lineRule="exact" w:before="14"/>
              <w:ind w:right="60"/>
              <w:jc w:val="right"/>
              <w:rPr>
                <w:sz w:val="14"/>
              </w:rPr>
            </w:pPr>
            <w:r>
              <w:rPr>
                <w:spacing w:val="-5"/>
                <w:sz w:val="14"/>
              </w:rPr>
              <w:t>58</w:t>
            </w:r>
          </w:p>
        </w:tc>
        <w:tc>
          <w:tcPr>
            <w:tcW w:w="795" w:type="dxa"/>
            <w:gridSpan w:val="2"/>
            <w:tcBorders>
              <w:bottom w:val="single" w:sz="8" w:space="0" w:color="000000"/>
            </w:tcBorders>
          </w:tcPr>
          <w:p>
            <w:pPr>
              <w:pStyle w:val="TableParagraph"/>
              <w:spacing w:line="142" w:lineRule="exact" w:before="14"/>
              <w:ind w:right="60"/>
              <w:jc w:val="right"/>
              <w:rPr>
                <w:sz w:val="14"/>
              </w:rPr>
            </w:pPr>
            <w:r>
              <w:rPr>
                <w:sz w:val="14"/>
              </w:rPr>
              <w:t>—</w:t>
            </w:r>
          </w:p>
        </w:tc>
        <w:tc>
          <w:tcPr>
            <w:tcW w:w="802" w:type="dxa"/>
            <w:gridSpan w:val="2"/>
            <w:tcBorders>
              <w:bottom w:val="single" w:sz="8" w:space="0" w:color="000000"/>
            </w:tcBorders>
          </w:tcPr>
          <w:p>
            <w:pPr>
              <w:pStyle w:val="TableParagraph"/>
              <w:spacing w:line="142" w:lineRule="exact" w:before="14"/>
              <w:ind w:right="67"/>
              <w:jc w:val="right"/>
              <w:rPr>
                <w:sz w:val="14"/>
              </w:rPr>
            </w:pPr>
            <w:r>
              <w:rPr>
                <w:spacing w:val="-5"/>
                <w:sz w:val="14"/>
              </w:rPr>
              <w:t>58</w:t>
            </w:r>
          </w:p>
        </w:tc>
      </w:tr>
      <w:tr>
        <w:trPr>
          <w:trHeight w:val="175" w:hRule="atLeast"/>
        </w:trPr>
        <w:tc>
          <w:tcPr>
            <w:tcW w:w="2850" w:type="dxa"/>
          </w:tcPr>
          <w:p>
            <w:pPr>
              <w:pStyle w:val="TableParagraph"/>
              <w:spacing w:line="142" w:lineRule="exact" w:before="13"/>
              <w:ind w:left="52"/>
              <w:rPr>
                <w:sz w:val="14"/>
              </w:rPr>
            </w:pPr>
            <w:r>
              <w:rPr>
                <w:spacing w:val="-2"/>
                <w:sz w:val="14"/>
              </w:rPr>
              <w:t>Total</w:t>
            </w:r>
            <w:r>
              <w:rPr>
                <w:spacing w:val="-4"/>
                <w:sz w:val="14"/>
              </w:rPr>
              <w:t> </w:t>
            </w:r>
            <w:r>
              <w:rPr>
                <w:spacing w:val="-2"/>
                <w:sz w:val="14"/>
              </w:rPr>
              <w:t>debt</w:t>
            </w:r>
            <w:r>
              <w:rPr>
                <w:spacing w:val="-1"/>
                <w:sz w:val="14"/>
              </w:rPr>
              <w:t> </w:t>
            </w:r>
            <w:r>
              <w:rPr>
                <w:spacing w:val="-2"/>
                <w:sz w:val="14"/>
              </w:rPr>
              <w:t>securities</w:t>
            </w:r>
          </w:p>
        </w:tc>
        <w:tc>
          <w:tcPr>
            <w:tcW w:w="791" w:type="dxa"/>
            <w:gridSpan w:val="2"/>
            <w:tcBorders>
              <w:top w:val="single" w:sz="8" w:space="0" w:color="000000"/>
              <w:bottom w:val="single" w:sz="8" w:space="0" w:color="000000"/>
            </w:tcBorders>
          </w:tcPr>
          <w:p>
            <w:pPr>
              <w:pStyle w:val="TableParagraph"/>
              <w:spacing w:line="142" w:lineRule="exact" w:before="13"/>
              <w:ind w:left="383"/>
              <w:rPr>
                <w:sz w:val="14"/>
              </w:rPr>
            </w:pPr>
            <w:r>
              <w:rPr>
                <w:spacing w:val="-2"/>
                <w:sz w:val="14"/>
              </w:rPr>
              <w:t>2,421</w:t>
            </w:r>
          </w:p>
        </w:tc>
        <w:tc>
          <w:tcPr>
            <w:tcW w:w="796" w:type="dxa"/>
            <w:gridSpan w:val="2"/>
            <w:tcBorders>
              <w:top w:val="single" w:sz="8" w:space="0" w:color="000000"/>
              <w:bottom w:val="single" w:sz="8" w:space="0" w:color="000000"/>
            </w:tcBorders>
          </w:tcPr>
          <w:p>
            <w:pPr>
              <w:pStyle w:val="TableParagraph"/>
              <w:spacing w:line="142" w:lineRule="exact" w:before="13"/>
              <w:ind w:left="387"/>
              <w:rPr>
                <w:sz w:val="14"/>
              </w:rPr>
            </w:pPr>
            <w:r>
              <w:rPr>
                <w:spacing w:val="-2"/>
                <w:sz w:val="14"/>
              </w:rPr>
              <w:t>1,153</w:t>
            </w:r>
          </w:p>
        </w:tc>
        <w:tc>
          <w:tcPr>
            <w:tcW w:w="795" w:type="dxa"/>
            <w:gridSpan w:val="2"/>
            <w:tcBorders>
              <w:top w:val="single" w:sz="8" w:space="0" w:color="000000"/>
              <w:bottom w:val="single" w:sz="8" w:space="0" w:color="000000"/>
            </w:tcBorders>
          </w:tcPr>
          <w:p>
            <w:pPr>
              <w:pStyle w:val="TableParagraph"/>
              <w:spacing w:line="142" w:lineRule="exact" w:before="13"/>
              <w:ind w:right="56"/>
              <w:jc w:val="right"/>
              <w:rPr>
                <w:sz w:val="14"/>
              </w:rPr>
            </w:pPr>
            <w:r>
              <w:rPr>
                <w:sz w:val="14"/>
              </w:rPr>
              <w:t>—</w:t>
            </w:r>
          </w:p>
        </w:tc>
        <w:tc>
          <w:tcPr>
            <w:tcW w:w="849" w:type="dxa"/>
            <w:gridSpan w:val="2"/>
            <w:tcBorders>
              <w:top w:val="single" w:sz="8" w:space="0" w:color="000000"/>
              <w:bottom w:val="single" w:sz="8" w:space="0" w:color="000000"/>
            </w:tcBorders>
          </w:tcPr>
          <w:p>
            <w:pPr>
              <w:pStyle w:val="TableParagraph"/>
              <w:spacing w:line="142" w:lineRule="exact" w:before="13"/>
              <w:ind w:left="386"/>
              <w:rPr>
                <w:sz w:val="14"/>
              </w:rPr>
            </w:pPr>
            <w:r>
              <w:rPr>
                <w:spacing w:val="-2"/>
                <w:sz w:val="14"/>
              </w:rPr>
              <w:t>3,574</w:t>
            </w:r>
          </w:p>
        </w:tc>
        <w:tc>
          <w:tcPr>
            <w:tcW w:w="803" w:type="dxa"/>
            <w:gridSpan w:val="2"/>
            <w:tcBorders>
              <w:top w:val="single" w:sz="8" w:space="0" w:color="000000"/>
              <w:bottom w:val="single" w:sz="8" w:space="0" w:color="000000"/>
            </w:tcBorders>
          </w:tcPr>
          <w:p>
            <w:pPr>
              <w:pStyle w:val="TableParagraph"/>
              <w:spacing w:line="142" w:lineRule="exact" w:before="13"/>
              <w:ind w:left="508"/>
              <w:rPr>
                <w:sz w:val="14"/>
              </w:rPr>
            </w:pPr>
            <w:r>
              <w:rPr>
                <w:spacing w:val="-5"/>
                <w:sz w:val="14"/>
              </w:rPr>
              <w:t>518</w:t>
            </w:r>
          </w:p>
        </w:tc>
        <w:tc>
          <w:tcPr>
            <w:tcW w:w="797" w:type="dxa"/>
            <w:gridSpan w:val="2"/>
            <w:tcBorders>
              <w:top w:val="single" w:sz="8" w:space="0" w:color="000000"/>
              <w:bottom w:val="single" w:sz="8" w:space="0" w:color="000000"/>
            </w:tcBorders>
          </w:tcPr>
          <w:p>
            <w:pPr>
              <w:pStyle w:val="TableParagraph"/>
              <w:spacing w:line="142" w:lineRule="exact" w:before="13"/>
              <w:ind w:left="500"/>
              <w:rPr>
                <w:sz w:val="14"/>
              </w:rPr>
            </w:pPr>
            <w:r>
              <w:rPr>
                <w:spacing w:val="-5"/>
                <w:sz w:val="14"/>
              </w:rPr>
              <w:t>242</w:t>
            </w:r>
          </w:p>
        </w:tc>
        <w:tc>
          <w:tcPr>
            <w:tcW w:w="795" w:type="dxa"/>
            <w:gridSpan w:val="2"/>
            <w:tcBorders>
              <w:top w:val="single" w:sz="8" w:space="0" w:color="000000"/>
              <w:bottom w:val="single" w:sz="8" w:space="0" w:color="000000"/>
            </w:tcBorders>
          </w:tcPr>
          <w:p>
            <w:pPr>
              <w:pStyle w:val="TableParagraph"/>
              <w:spacing w:line="142" w:lineRule="exact" w:before="13"/>
              <w:ind w:right="60"/>
              <w:jc w:val="right"/>
              <w:rPr>
                <w:sz w:val="14"/>
              </w:rPr>
            </w:pPr>
            <w:r>
              <w:rPr>
                <w:sz w:val="14"/>
              </w:rPr>
              <w:t>—</w:t>
            </w:r>
          </w:p>
        </w:tc>
        <w:tc>
          <w:tcPr>
            <w:tcW w:w="802" w:type="dxa"/>
            <w:gridSpan w:val="2"/>
            <w:tcBorders>
              <w:top w:val="single" w:sz="8" w:space="0" w:color="000000"/>
              <w:bottom w:val="single" w:sz="8" w:space="0" w:color="000000"/>
            </w:tcBorders>
          </w:tcPr>
          <w:p>
            <w:pPr>
              <w:pStyle w:val="TableParagraph"/>
              <w:spacing w:line="142" w:lineRule="exact" w:before="13"/>
              <w:ind w:left="498"/>
              <w:rPr>
                <w:sz w:val="14"/>
              </w:rPr>
            </w:pPr>
            <w:r>
              <w:rPr>
                <w:spacing w:val="-5"/>
                <w:sz w:val="14"/>
              </w:rPr>
              <w:t>760</w:t>
            </w:r>
          </w:p>
        </w:tc>
      </w:tr>
      <w:tr>
        <w:trPr>
          <w:trHeight w:val="174" w:hRule="atLeast"/>
        </w:trPr>
        <w:tc>
          <w:tcPr>
            <w:tcW w:w="2850" w:type="dxa"/>
          </w:tcPr>
          <w:p>
            <w:pPr>
              <w:pStyle w:val="TableParagraph"/>
              <w:spacing w:line="141" w:lineRule="exact" w:before="13"/>
              <w:ind w:left="52"/>
              <w:rPr>
                <w:rFonts w:ascii="Arial"/>
                <w:i/>
                <w:sz w:val="14"/>
              </w:rPr>
            </w:pPr>
            <w:r>
              <w:rPr>
                <w:rFonts w:ascii="Arial"/>
                <w:i/>
                <w:sz w:val="14"/>
              </w:rPr>
              <w:t>Equity</w:t>
            </w:r>
            <w:r>
              <w:rPr>
                <w:rFonts w:ascii="Arial"/>
                <w:i/>
                <w:spacing w:val="-6"/>
                <w:sz w:val="14"/>
              </w:rPr>
              <w:t> </w:t>
            </w:r>
            <w:r>
              <w:rPr>
                <w:rFonts w:ascii="Arial"/>
                <w:i/>
                <w:spacing w:val="-2"/>
                <w:sz w:val="14"/>
              </w:rPr>
              <w:t>securities</w:t>
            </w:r>
          </w:p>
        </w:tc>
        <w:tc>
          <w:tcPr>
            <w:tcW w:w="791" w:type="dxa"/>
            <w:gridSpan w:val="2"/>
            <w:tcBorders>
              <w:top w:val="single" w:sz="8" w:space="0" w:color="000000"/>
            </w:tcBorders>
          </w:tcPr>
          <w:p>
            <w:pPr>
              <w:pStyle w:val="TableParagraph"/>
              <w:rPr>
                <w:rFonts w:ascii="Times New Roman"/>
                <w:sz w:val="10"/>
              </w:rPr>
            </w:pPr>
          </w:p>
        </w:tc>
        <w:tc>
          <w:tcPr>
            <w:tcW w:w="796" w:type="dxa"/>
            <w:gridSpan w:val="2"/>
            <w:tcBorders>
              <w:top w:val="single" w:sz="8" w:space="0" w:color="000000"/>
            </w:tcBorders>
          </w:tcPr>
          <w:p>
            <w:pPr>
              <w:pStyle w:val="TableParagraph"/>
              <w:rPr>
                <w:rFonts w:ascii="Times New Roman"/>
                <w:sz w:val="10"/>
              </w:rPr>
            </w:pPr>
          </w:p>
        </w:tc>
        <w:tc>
          <w:tcPr>
            <w:tcW w:w="795" w:type="dxa"/>
            <w:gridSpan w:val="2"/>
            <w:tcBorders>
              <w:top w:val="single" w:sz="8" w:space="0" w:color="000000"/>
            </w:tcBorders>
          </w:tcPr>
          <w:p>
            <w:pPr>
              <w:pStyle w:val="TableParagraph"/>
              <w:rPr>
                <w:rFonts w:ascii="Times New Roman"/>
                <w:sz w:val="10"/>
              </w:rPr>
            </w:pPr>
          </w:p>
        </w:tc>
        <w:tc>
          <w:tcPr>
            <w:tcW w:w="849" w:type="dxa"/>
            <w:gridSpan w:val="2"/>
            <w:tcBorders>
              <w:top w:val="single" w:sz="8" w:space="0" w:color="000000"/>
            </w:tcBorders>
          </w:tcPr>
          <w:p>
            <w:pPr>
              <w:pStyle w:val="TableParagraph"/>
              <w:rPr>
                <w:rFonts w:ascii="Times New Roman"/>
                <w:sz w:val="10"/>
              </w:rPr>
            </w:pPr>
          </w:p>
        </w:tc>
        <w:tc>
          <w:tcPr>
            <w:tcW w:w="803" w:type="dxa"/>
            <w:gridSpan w:val="2"/>
            <w:tcBorders>
              <w:top w:val="single" w:sz="8" w:space="0" w:color="000000"/>
            </w:tcBorders>
          </w:tcPr>
          <w:p>
            <w:pPr>
              <w:pStyle w:val="TableParagraph"/>
              <w:rPr>
                <w:rFonts w:ascii="Times New Roman"/>
                <w:sz w:val="10"/>
              </w:rPr>
            </w:pPr>
          </w:p>
        </w:tc>
        <w:tc>
          <w:tcPr>
            <w:tcW w:w="797" w:type="dxa"/>
            <w:gridSpan w:val="2"/>
            <w:tcBorders>
              <w:top w:val="single" w:sz="8" w:space="0" w:color="000000"/>
            </w:tcBorders>
          </w:tcPr>
          <w:p>
            <w:pPr>
              <w:pStyle w:val="TableParagraph"/>
              <w:rPr>
                <w:rFonts w:ascii="Times New Roman"/>
                <w:sz w:val="10"/>
              </w:rPr>
            </w:pPr>
          </w:p>
        </w:tc>
        <w:tc>
          <w:tcPr>
            <w:tcW w:w="795" w:type="dxa"/>
            <w:gridSpan w:val="2"/>
            <w:tcBorders>
              <w:top w:val="single" w:sz="8" w:space="0" w:color="000000"/>
            </w:tcBorders>
          </w:tcPr>
          <w:p>
            <w:pPr>
              <w:pStyle w:val="TableParagraph"/>
              <w:rPr>
                <w:rFonts w:ascii="Times New Roman"/>
                <w:sz w:val="10"/>
              </w:rPr>
            </w:pPr>
          </w:p>
        </w:tc>
        <w:tc>
          <w:tcPr>
            <w:tcW w:w="802" w:type="dxa"/>
            <w:gridSpan w:val="2"/>
            <w:tcBorders>
              <w:top w:val="single" w:sz="8" w:space="0" w:color="000000"/>
            </w:tcBorders>
          </w:tcPr>
          <w:p>
            <w:pPr>
              <w:pStyle w:val="TableParagraph"/>
              <w:rPr>
                <w:rFonts w:ascii="Times New Roman"/>
                <w:sz w:val="10"/>
              </w:rPr>
            </w:pPr>
          </w:p>
        </w:tc>
      </w:tr>
      <w:tr>
        <w:trPr>
          <w:trHeight w:val="214" w:hRule="atLeast"/>
        </w:trPr>
        <w:tc>
          <w:tcPr>
            <w:tcW w:w="2850" w:type="dxa"/>
          </w:tcPr>
          <w:p>
            <w:pPr>
              <w:pStyle w:val="TableParagraph"/>
              <w:spacing w:line="160" w:lineRule="exact" w:before="34"/>
              <w:ind w:left="232"/>
              <w:rPr>
                <w:sz w:val="14"/>
              </w:rPr>
            </w:pPr>
            <w:r>
              <w:rPr>
                <w:spacing w:val="-2"/>
                <w:sz w:val="14"/>
              </w:rPr>
              <w:t>Stocks</w:t>
            </w:r>
          </w:p>
        </w:tc>
        <w:tc>
          <w:tcPr>
            <w:tcW w:w="791" w:type="dxa"/>
            <w:gridSpan w:val="2"/>
          </w:tcPr>
          <w:p>
            <w:pPr>
              <w:pStyle w:val="TableParagraph"/>
              <w:spacing w:line="160" w:lineRule="exact" w:before="34"/>
              <w:ind w:left="383"/>
              <w:rPr>
                <w:sz w:val="14"/>
              </w:rPr>
            </w:pPr>
            <w:r>
              <w:rPr>
                <w:spacing w:val="-2"/>
                <w:sz w:val="14"/>
              </w:rPr>
              <w:t>1,818</w:t>
            </w:r>
          </w:p>
        </w:tc>
        <w:tc>
          <w:tcPr>
            <w:tcW w:w="2440" w:type="dxa"/>
            <w:gridSpan w:val="6"/>
          </w:tcPr>
          <w:p>
            <w:pPr>
              <w:pStyle w:val="TableParagraph"/>
              <w:tabs>
                <w:tab w:pos="1392" w:val="left" w:leader="none"/>
                <w:tab w:pos="1977" w:val="left" w:leader="none"/>
              </w:tabs>
              <w:spacing w:line="160" w:lineRule="exact" w:before="34"/>
              <w:ind w:left="597"/>
              <w:rPr>
                <w:sz w:val="14"/>
              </w:rPr>
            </w:pPr>
            <w:r>
              <w:rPr>
                <w:sz w:val="14"/>
              </w:rPr>
              <w:t>—</w:t>
              <w:tab/>
              <w:t>—</w:t>
              <w:tab/>
            </w:r>
            <w:r>
              <w:rPr>
                <w:spacing w:val="-4"/>
                <w:sz w:val="14"/>
              </w:rPr>
              <w:t>1,818</w:t>
            </w:r>
          </w:p>
        </w:tc>
        <w:tc>
          <w:tcPr>
            <w:tcW w:w="803" w:type="dxa"/>
            <w:gridSpan w:val="2"/>
          </w:tcPr>
          <w:p>
            <w:pPr>
              <w:pStyle w:val="TableParagraph"/>
              <w:spacing w:line="160" w:lineRule="exact" w:before="34"/>
              <w:ind w:left="508"/>
              <w:rPr>
                <w:sz w:val="14"/>
              </w:rPr>
            </w:pPr>
            <w:r>
              <w:rPr>
                <w:spacing w:val="-5"/>
                <w:sz w:val="14"/>
              </w:rPr>
              <w:t>321</w:t>
            </w:r>
          </w:p>
        </w:tc>
        <w:tc>
          <w:tcPr>
            <w:tcW w:w="2394" w:type="dxa"/>
            <w:gridSpan w:val="6"/>
          </w:tcPr>
          <w:p>
            <w:pPr>
              <w:pStyle w:val="TableParagraph"/>
              <w:tabs>
                <w:tab w:pos="1389" w:val="left" w:leader="none"/>
                <w:tab w:pos="2090" w:val="left" w:leader="none"/>
              </w:tabs>
              <w:spacing w:line="160" w:lineRule="exact" w:before="34"/>
              <w:ind w:left="594"/>
              <w:rPr>
                <w:sz w:val="14"/>
              </w:rPr>
            </w:pPr>
            <w:r>
              <w:rPr>
                <w:sz w:val="14"/>
              </w:rPr>
              <w:t>—</w:t>
              <w:tab/>
              <w:t>—</w:t>
              <w:tab/>
            </w:r>
            <w:r>
              <w:rPr>
                <w:spacing w:val="-5"/>
                <w:sz w:val="14"/>
              </w:rPr>
              <w:t>321</w:t>
            </w:r>
          </w:p>
        </w:tc>
      </w:tr>
      <w:tr>
        <w:trPr>
          <w:trHeight w:val="195" w:hRule="atLeast"/>
        </w:trPr>
        <w:tc>
          <w:tcPr>
            <w:tcW w:w="2850" w:type="dxa"/>
          </w:tcPr>
          <w:p>
            <w:pPr>
              <w:pStyle w:val="TableParagraph"/>
              <w:spacing w:line="160" w:lineRule="exact" w:before="14"/>
              <w:ind w:left="232"/>
              <w:rPr>
                <w:sz w:val="14"/>
              </w:rPr>
            </w:pPr>
            <w:r>
              <w:rPr>
                <w:sz w:val="14"/>
              </w:rPr>
              <w:t>Mutual</w:t>
            </w:r>
            <w:r>
              <w:rPr>
                <w:spacing w:val="-5"/>
                <w:sz w:val="14"/>
              </w:rPr>
              <w:t> </w:t>
            </w:r>
            <w:r>
              <w:rPr>
                <w:spacing w:val="-2"/>
                <w:sz w:val="14"/>
              </w:rPr>
              <w:t>funds</w:t>
            </w:r>
          </w:p>
        </w:tc>
        <w:tc>
          <w:tcPr>
            <w:tcW w:w="791" w:type="dxa"/>
            <w:gridSpan w:val="2"/>
          </w:tcPr>
          <w:p>
            <w:pPr>
              <w:pStyle w:val="TableParagraph"/>
              <w:spacing w:line="160" w:lineRule="exact" w:before="14"/>
              <w:ind w:right="55"/>
              <w:jc w:val="right"/>
              <w:rPr>
                <w:sz w:val="14"/>
              </w:rPr>
            </w:pPr>
            <w:r>
              <w:rPr>
                <w:sz w:val="14"/>
              </w:rPr>
              <w:t>—</w:t>
            </w:r>
          </w:p>
        </w:tc>
        <w:tc>
          <w:tcPr>
            <w:tcW w:w="2440" w:type="dxa"/>
            <w:gridSpan w:val="6"/>
          </w:tcPr>
          <w:p>
            <w:pPr>
              <w:pStyle w:val="TableParagraph"/>
              <w:tabs>
                <w:tab w:pos="1392" w:val="left" w:leader="none"/>
                <w:tab w:pos="2187" w:val="left" w:leader="none"/>
              </w:tabs>
              <w:spacing w:line="160" w:lineRule="exact" w:before="14"/>
              <w:ind w:left="597"/>
              <w:rPr>
                <w:sz w:val="14"/>
              </w:rPr>
            </w:pPr>
            <w:r>
              <w:rPr>
                <w:sz w:val="14"/>
              </w:rPr>
              <w:t>—</w:t>
              <w:tab/>
              <w:t>—</w:t>
              <w:tab/>
              <w:t>—</w:t>
            </w:r>
          </w:p>
        </w:tc>
        <w:tc>
          <w:tcPr>
            <w:tcW w:w="803" w:type="dxa"/>
            <w:gridSpan w:val="2"/>
          </w:tcPr>
          <w:p>
            <w:pPr>
              <w:pStyle w:val="TableParagraph"/>
              <w:spacing w:line="160" w:lineRule="exact" w:before="14"/>
              <w:ind w:right="58"/>
              <w:jc w:val="right"/>
              <w:rPr>
                <w:sz w:val="14"/>
              </w:rPr>
            </w:pPr>
            <w:r>
              <w:rPr>
                <w:sz w:val="14"/>
              </w:rPr>
              <w:t>—</w:t>
            </w:r>
          </w:p>
        </w:tc>
        <w:tc>
          <w:tcPr>
            <w:tcW w:w="2394" w:type="dxa"/>
            <w:gridSpan w:val="6"/>
          </w:tcPr>
          <w:p>
            <w:pPr>
              <w:pStyle w:val="TableParagraph"/>
              <w:tabs>
                <w:tab w:pos="1389" w:val="left" w:leader="none"/>
                <w:tab w:pos="2184" w:val="left" w:leader="none"/>
              </w:tabs>
              <w:spacing w:line="160" w:lineRule="exact" w:before="14"/>
              <w:ind w:left="594"/>
              <w:rPr>
                <w:sz w:val="14"/>
              </w:rPr>
            </w:pPr>
            <w:r>
              <w:rPr>
                <w:sz w:val="14"/>
              </w:rPr>
              <w:t>—</w:t>
              <w:tab/>
              <w:t>—</w:t>
              <w:tab/>
              <w:t>—</w:t>
            </w:r>
          </w:p>
        </w:tc>
      </w:tr>
      <w:tr>
        <w:trPr>
          <w:trHeight w:val="176" w:hRule="atLeast"/>
        </w:trPr>
        <w:tc>
          <w:tcPr>
            <w:tcW w:w="2850" w:type="dxa"/>
          </w:tcPr>
          <w:p>
            <w:pPr>
              <w:pStyle w:val="TableParagraph"/>
              <w:spacing w:line="142" w:lineRule="exact" w:before="14"/>
              <w:ind w:left="232"/>
              <w:rPr>
                <w:sz w:val="14"/>
              </w:rPr>
            </w:pPr>
            <w:r>
              <w:rPr>
                <w:sz w:val="14"/>
              </w:rPr>
              <w:t>Real</w:t>
            </w:r>
            <w:r>
              <w:rPr>
                <w:spacing w:val="-3"/>
                <w:sz w:val="14"/>
              </w:rPr>
              <w:t> </w:t>
            </w:r>
            <w:r>
              <w:rPr>
                <w:sz w:val="14"/>
              </w:rPr>
              <w:t>estate</w:t>
            </w:r>
            <w:r>
              <w:rPr>
                <w:spacing w:val="-3"/>
                <w:sz w:val="14"/>
              </w:rPr>
              <w:t> </w:t>
            </w:r>
            <w:r>
              <w:rPr>
                <w:sz w:val="14"/>
              </w:rPr>
              <w:t>investment</w:t>
            </w:r>
            <w:r>
              <w:rPr>
                <w:spacing w:val="-3"/>
                <w:sz w:val="14"/>
              </w:rPr>
              <w:t> </w:t>
            </w:r>
            <w:r>
              <w:rPr>
                <w:sz w:val="14"/>
              </w:rPr>
              <w:t>trusts</w:t>
            </w:r>
            <w:r>
              <w:rPr>
                <w:spacing w:val="-2"/>
                <w:sz w:val="14"/>
              </w:rPr>
              <w:t> (REITs)</w:t>
            </w:r>
          </w:p>
        </w:tc>
        <w:tc>
          <w:tcPr>
            <w:tcW w:w="791" w:type="dxa"/>
            <w:gridSpan w:val="2"/>
            <w:tcBorders>
              <w:bottom w:val="single" w:sz="8" w:space="0" w:color="000000"/>
            </w:tcBorders>
          </w:tcPr>
          <w:p>
            <w:pPr>
              <w:pStyle w:val="TableParagraph"/>
              <w:spacing w:line="142" w:lineRule="exact" w:before="14"/>
              <w:ind w:left="499"/>
              <w:rPr>
                <w:sz w:val="14"/>
              </w:rPr>
            </w:pPr>
            <w:r>
              <w:rPr>
                <w:spacing w:val="-5"/>
                <w:sz w:val="14"/>
              </w:rPr>
              <w:t>131</w:t>
            </w:r>
          </w:p>
        </w:tc>
        <w:tc>
          <w:tcPr>
            <w:tcW w:w="2440" w:type="dxa"/>
            <w:gridSpan w:val="6"/>
            <w:tcBorders>
              <w:bottom w:val="single" w:sz="8" w:space="0" w:color="000000"/>
            </w:tcBorders>
          </w:tcPr>
          <w:p>
            <w:pPr>
              <w:pStyle w:val="TableParagraph"/>
              <w:tabs>
                <w:tab w:pos="1392" w:val="left" w:leader="none"/>
                <w:tab w:pos="2093" w:val="left" w:leader="none"/>
              </w:tabs>
              <w:spacing w:line="142" w:lineRule="exact" w:before="14"/>
              <w:ind w:left="597"/>
              <w:rPr>
                <w:sz w:val="14"/>
              </w:rPr>
            </w:pPr>
            <w:r>
              <w:rPr>
                <w:sz w:val="14"/>
              </w:rPr>
              <w:t>—</w:t>
              <w:tab/>
              <w:t>—</w:t>
              <w:tab/>
            </w:r>
            <w:r>
              <w:rPr>
                <w:spacing w:val="-5"/>
                <w:sz w:val="14"/>
              </w:rPr>
              <w:t>131</w:t>
            </w:r>
          </w:p>
        </w:tc>
        <w:tc>
          <w:tcPr>
            <w:tcW w:w="803" w:type="dxa"/>
            <w:gridSpan w:val="2"/>
            <w:tcBorders>
              <w:bottom w:val="single" w:sz="8" w:space="0" w:color="000000"/>
            </w:tcBorders>
          </w:tcPr>
          <w:p>
            <w:pPr>
              <w:pStyle w:val="TableParagraph"/>
              <w:spacing w:line="142" w:lineRule="exact" w:before="14"/>
              <w:ind w:right="58"/>
              <w:jc w:val="right"/>
              <w:rPr>
                <w:sz w:val="14"/>
              </w:rPr>
            </w:pPr>
            <w:r>
              <w:rPr>
                <w:spacing w:val="-5"/>
                <w:sz w:val="14"/>
              </w:rPr>
              <w:t>20</w:t>
            </w:r>
          </w:p>
        </w:tc>
        <w:tc>
          <w:tcPr>
            <w:tcW w:w="2394" w:type="dxa"/>
            <w:gridSpan w:val="6"/>
            <w:tcBorders>
              <w:bottom w:val="single" w:sz="8" w:space="0" w:color="000000"/>
            </w:tcBorders>
          </w:tcPr>
          <w:p>
            <w:pPr>
              <w:pStyle w:val="TableParagraph"/>
              <w:tabs>
                <w:tab w:pos="1389" w:val="left" w:leader="none"/>
                <w:tab w:pos="2168" w:val="left" w:leader="none"/>
              </w:tabs>
              <w:spacing w:line="142" w:lineRule="exact" w:before="14"/>
              <w:ind w:left="594"/>
              <w:rPr>
                <w:sz w:val="14"/>
              </w:rPr>
            </w:pPr>
            <w:r>
              <w:rPr>
                <w:sz w:val="14"/>
              </w:rPr>
              <w:t>—</w:t>
              <w:tab/>
              <w:t>—</w:t>
              <w:tab/>
            </w:r>
            <w:r>
              <w:rPr>
                <w:spacing w:val="-5"/>
                <w:sz w:val="14"/>
              </w:rPr>
              <w:t>20</w:t>
            </w:r>
          </w:p>
        </w:tc>
      </w:tr>
      <w:tr>
        <w:trPr>
          <w:trHeight w:val="175" w:hRule="atLeast"/>
        </w:trPr>
        <w:tc>
          <w:tcPr>
            <w:tcW w:w="2850" w:type="dxa"/>
          </w:tcPr>
          <w:p>
            <w:pPr>
              <w:pStyle w:val="TableParagraph"/>
              <w:spacing w:line="142" w:lineRule="exact" w:before="13"/>
              <w:ind w:left="52"/>
              <w:rPr>
                <w:sz w:val="14"/>
              </w:rPr>
            </w:pPr>
            <w:r>
              <w:rPr>
                <w:spacing w:val="-2"/>
                <w:sz w:val="14"/>
              </w:rPr>
              <w:t>Total</w:t>
            </w:r>
            <w:r>
              <w:rPr>
                <w:sz w:val="14"/>
              </w:rPr>
              <w:t> </w:t>
            </w:r>
            <w:r>
              <w:rPr>
                <w:spacing w:val="-2"/>
                <w:sz w:val="14"/>
              </w:rPr>
              <w:t>equity</w:t>
            </w:r>
            <w:r>
              <w:rPr>
                <w:sz w:val="14"/>
              </w:rPr>
              <w:t> </w:t>
            </w:r>
            <w:r>
              <w:rPr>
                <w:spacing w:val="-2"/>
                <w:sz w:val="14"/>
              </w:rPr>
              <w:t>securities</w:t>
            </w:r>
          </w:p>
        </w:tc>
        <w:tc>
          <w:tcPr>
            <w:tcW w:w="257" w:type="dxa"/>
            <w:tcBorders>
              <w:bottom w:val="single" w:sz="8" w:space="0" w:color="000000"/>
            </w:tcBorders>
          </w:tcPr>
          <w:p>
            <w:pPr>
              <w:pStyle w:val="TableParagraph"/>
              <w:rPr>
                <w:rFonts w:ascii="Times New Roman"/>
                <w:sz w:val="10"/>
              </w:rPr>
            </w:pPr>
          </w:p>
        </w:tc>
        <w:tc>
          <w:tcPr>
            <w:tcW w:w="796" w:type="dxa"/>
            <w:gridSpan w:val="2"/>
            <w:tcBorders>
              <w:bottom w:val="single" w:sz="8" w:space="0" w:color="000000"/>
            </w:tcBorders>
          </w:tcPr>
          <w:p>
            <w:pPr>
              <w:pStyle w:val="TableParagraph"/>
              <w:spacing w:line="142" w:lineRule="exact" w:before="13"/>
              <w:ind w:left="126"/>
              <w:rPr>
                <w:sz w:val="14"/>
              </w:rPr>
            </w:pPr>
            <w:r>
              <w:rPr>
                <w:spacing w:val="-2"/>
                <w:sz w:val="14"/>
              </w:rPr>
              <w:t>1,949</w:t>
            </w:r>
          </w:p>
        </w:tc>
        <w:tc>
          <w:tcPr>
            <w:tcW w:w="901" w:type="dxa"/>
            <w:gridSpan w:val="2"/>
            <w:tcBorders>
              <w:bottom w:val="single" w:sz="8" w:space="0" w:color="000000"/>
            </w:tcBorders>
          </w:tcPr>
          <w:p>
            <w:pPr>
              <w:pStyle w:val="TableParagraph"/>
              <w:spacing w:line="142" w:lineRule="exact" w:before="13"/>
              <w:ind w:right="88"/>
              <w:jc w:val="center"/>
              <w:rPr>
                <w:sz w:val="14"/>
              </w:rPr>
            </w:pPr>
            <w:r>
              <w:rPr>
                <w:sz w:val="14"/>
              </w:rPr>
              <w:t>—</w:t>
            </w:r>
          </w:p>
        </w:tc>
        <w:tc>
          <w:tcPr>
            <w:tcW w:w="428" w:type="dxa"/>
            <w:tcBorders>
              <w:bottom w:val="single" w:sz="8" w:space="0" w:color="000000"/>
            </w:tcBorders>
          </w:tcPr>
          <w:p>
            <w:pPr>
              <w:pStyle w:val="TableParagraph"/>
              <w:spacing w:line="142" w:lineRule="exact" w:before="13"/>
              <w:ind w:right="56"/>
              <w:jc w:val="right"/>
              <w:rPr>
                <w:sz w:val="14"/>
              </w:rPr>
            </w:pPr>
            <w:r>
              <w:rPr>
                <w:sz w:val="14"/>
              </w:rPr>
              <w:t>—</w:t>
            </w:r>
          </w:p>
        </w:tc>
        <w:tc>
          <w:tcPr>
            <w:tcW w:w="224" w:type="dxa"/>
            <w:tcBorders>
              <w:bottom w:val="single" w:sz="8" w:space="0" w:color="000000"/>
            </w:tcBorders>
          </w:tcPr>
          <w:p>
            <w:pPr>
              <w:pStyle w:val="TableParagraph"/>
              <w:rPr>
                <w:rFonts w:ascii="Times New Roman"/>
                <w:sz w:val="10"/>
              </w:rPr>
            </w:pPr>
          </w:p>
        </w:tc>
        <w:tc>
          <w:tcPr>
            <w:tcW w:w="625" w:type="dxa"/>
            <w:tcBorders>
              <w:bottom w:val="single" w:sz="8" w:space="0" w:color="000000"/>
            </w:tcBorders>
          </w:tcPr>
          <w:p>
            <w:pPr>
              <w:pStyle w:val="TableParagraph"/>
              <w:spacing w:line="142" w:lineRule="exact" w:before="13"/>
              <w:ind w:right="110"/>
              <w:jc w:val="right"/>
              <w:rPr>
                <w:sz w:val="14"/>
              </w:rPr>
            </w:pPr>
            <w:r>
              <w:rPr>
                <w:spacing w:val="-2"/>
                <w:sz w:val="14"/>
              </w:rPr>
              <w:t>1,949</w:t>
            </w:r>
          </w:p>
        </w:tc>
        <w:tc>
          <w:tcPr>
            <w:tcW w:w="328" w:type="dxa"/>
            <w:tcBorders>
              <w:bottom w:val="single" w:sz="8" w:space="0" w:color="000000"/>
            </w:tcBorders>
          </w:tcPr>
          <w:p>
            <w:pPr>
              <w:pStyle w:val="TableParagraph"/>
              <w:rPr>
                <w:rFonts w:ascii="Times New Roman"/>
                <w:sz w:val="10"/>
              </w:rPr>
            </w:pPr>
          </w:p>
        </w:tc>
        <w:tc>
          <w:tcPr>
            <w:tcW w:w="475" w:type="dxa"/>
            <w:tcBorders>
              <w:bottom w:val="single" w:sz="8" w:space="0" w:color="000000"/>
            </w:tcBorders>
          </w:tcPr>
          <w:p>
            <w:pPr>
              <w:pStyle w:val="TableParagraph"/>
              <w:spacing w:line="142" w:lineRule="exact" w:before="13"/>
              <w:ind w:left="120"/>
              <w:jc w:val="center"/>
              <w:rPr>
                <w:sz w:val="14"/>
              </w:rPr>
            </w:pPr>
            <w:r>
              <w:rPr>
                <w:spacing w:val="-5"/>
                <w:sz w:val="14"/>
              </w:rPr>
              <w:t>341</w:t>
            </w:r>
          </w:p>
        </w:tc>
        <w:tc>
          <w:tcPr>
            <w:tcW w:w="321" w:type="dxa"/>
            <w:tcBorders>
              <w:bottom w:val="single" w:sz="8" w:space="0" w:color="000000"/>
            </w:tcBorders>
          </w:tcPr>
          <w:p>
            <w:pPr>
              <w:pStyle w:val="TableParagraph"/>
              <w:rPr>
                <w:rFonts w:ascii="Times New Roman"/>
                <w:sz w:val="10"/>
              </w:rPr>
            </w:pPr>
          </w:p>
        </w:tc>
        <w:tc>
          <w:tcPr>
            <w:tcW w:w="843" w:type="dxa"/>
            <w:gridSpan w:val="2"/>
            <w:tcBorders>
              <w:bottom w:val="single" w:sz="8" w:space="0" w:color="000000"/>
            </w:tcBorders>
          </w:tcPr>
          <w:p>
            <w:pPr>
              <w:pStyle w:val="TableParagraph"/>
              <w:spacing w:line="142" w:lineRule="exact" w:before="13"/>
              <w:ind w:left="273"/>
              <w:rPr>
                <w:sz w:val="14"/>
              </w:rPr>
            </w:pPr>
            <w:r>
              <w:rPr>
                <w:sz w:val="14"/>
              </w:rPr>
              <w:t>—</w:t>
            </w:r>
          </w:p>
        </w:tc>
        <w:tc>
          <w:tcPr>
            <w:tcW w:w="428" w:type="dxa"/>
            <w:tcBorders>
              <w:bottom w:val="single" w:sz="8" w:space="0" w:color="000000"/>
            </w:tcBorders>
          </w:tcPr>
          <w:p>
            <w:pPr>
              <w:pStyle w:val="TableParagraph"/>
              <w:spacing w:line="142" w:lineRule="exact" w:before="13"/>
              <w:ind w:left="162"/>
              <w:jc w:val="center"/>
              <w:rPr>
                <w:sz w:val="14"/>
              </w:rPr>
            </w:pPr>
            <w:r>
              <w:rPr>
                <w:sz w:val="14"/>
              </w:rPr>
              <w:t>—</w:t>
            </w:r>
          </w:p>
        </w:tc>
        <w:tc>
          <w:tcPr>
            <w:tcW w:w="263" w:type="dxa"/>
            <w:tcBorders>
              <w:bottom w:val="single" w:sz="8" w:space="0" w:color="000000"/>
            </w:tcBorders>
          </w:tcPr>
          <w:p>
            <w:pPr>
              <w:pStyle w:val="TableParagraph"/>
              <w:rPr>
                <w:rFonts w:ascii="Times New Roman"/>
                <w:sz w:val="10"/>
              </w:rPr>
            </w:pPr>
          </w:p>
        </w:tc>
        <w:tc>
          <w:tcPr>
            <w:tcW w:w="539" w:type="dxa"/>
            <w:tcBorders>
              <w:bottom w:val="single" w:sz="8" w:space="0" w:color="000000"/>
            </w:tcBorders>
          </w:tcPr>
          <w:p>
            <w:pPr>
              <w:pStyle w:val="TableParagraph"/>
              <w:spacing w:line="142" w:lineRule="exact" w:before="13"/>
              <w:ind w:right="67"/>
              <w:jc w:val="right"/>
              <w:rPr>
                <w:sz w:val="14"/>
              </w:rPr>
            </w:pPr>
            <w:r>
              <w:rPr>
                <w:spacing w:val="-5"/>
                <w:sz w:val="14"/>
              </w:rPr>
              <w:t>341</w:t>
            </w:r>
          </w:p>
        </w:tc>
      </w:tr>
      <w:tr>
        <w:trPr>
          <w:trHeight w:val="193" w:hRule="atLeast"/>
        </w:trPr>
        <w:tc>
          <w:tcPr>
            <w:tcW w:w="2850" w:type="dxa"/>
          </w:tcPr>
          <w:p>
            <w:pPr>
              <w:pStyle w:val="TableParagraph"/>
              <w:spacing w:line="160" w:lineRule="exact" w:before="13"/>
              <w:ind w:left="52"/>
              <w:rPr>
                <w:sz w:val="14"/>
              </w:rPr>
            </w:pPr>
            <w:r>
              <w:rPr>
                <w:sz w:val="14"/>
              </w:rPr>
              <w:t>Other</w:t>
            </w:r>
            <w:r>
              <w:rPr>
                <w:spacing w:val="-5"/>
                <w:sz w:val="14"/>
              </w:rPr>
              <w:t> </w:t>
            </w:r>
            <w:r>
              <w:rPr>
                <w:sz w:val="14"/>
              </w:rPr>
              <w:t>funds</w:t>
            </w:r>
            <w:r>
              <w:rPr>
                <w:spacing w:val="-5"/>
                <w:sz w:val="14"/>
              </w:rPr>
              <w:t> </w:t>
            </w:r>
            <w:r>
              <w:rPr>
                <w:sz w:val="14"/>
              </w:rPr>
              <w:t>at</w:t>
            </w:r>
            <w:r>
              <w:rPr>
                <w:spacing w:val="-4"/>
                <w:sz w:val="14"/>
              </w:rPr>
              <w:t> </w:t>
            </w:r>
            <w:r>
              <w:rPr>
                <w:sz w:val="14"/>
              </w:rPr>
              <w:t>NAV</w:t>
            </w:r>
            <w:r>
              <w:rPr>
                <w:spacing w:val="-6"/>
                <w:sz w:val="14"/>
              </w:rPr>
              <w:t> </w:t>
            </w:r>
            <w:r>
              <w:rPr>
                <w:spacing w:val="-12"/>
                <w:sz w:val="14"/>
                <w:vertAlign w:val="superscript"/>
              </w:rPr>
              <w:t>a</w:t>
            </w:r>
          </w:p>
        </w:tc>
        <w:tc>
          <w:tcPr>
            <w:tcW w:w="257" w:type="dxa"/>
            <w:tcBorders>
              <w:top w:val="single" w:sz="8" w:space="0" w:color="000000"/>
            </w:tcBorders>
          </w:tcPr>
          <w:p>
            <w:pPr>
              <w:pStyle w:val="TableParagraph"/>
              <w:rPr>
                <w:rFonts w:ascii="Times New Roman"/>
                <w:sz w:val="12"/>
              </w:rPr>
            </w:pPr>
          </w:p>
        </w:tc>
        <w:tc>
          <w:tcPr>
            <w:tcW w:w="796" w:type="dxa"/>
            <w:gridSpan w:val="2"/>
            <w:tcBorders>
              <w:top w:val="single" w:sz="8" w:space="0" w:color="000000"/>
            </w:tcBorders>
          </w:tcPr>
          <w:p>
            <w:pPr>
              <w:pStyle w:val="TableParagraph"/>
              <w:rPr>
                <w:rFonts w:ascii="Times New Roman"/>
                <w:sz w:val="12"/>
              </w:rPr>
            </w:pPr>
          </w:p>
        </w:tc>
        <w:tc>
          <w:tcPr>
            <w:tcW w:w="901" w:type="dxa"/>
            <w:gridSpan w:val="2"/>
            <w:tcBorders>
              <w:top w:val="single" w:sz="8" w:space="0" w:color="000000"/>
            </w:tcBorders>
          </w:tcPr>
          <w:p>
            <w:pPr>
              <w:pStyle w:val="TableParagraph"/>
              <w:rPr>
                <w:rFonts w:ascii="Times New Roman"/>
                <w:sz w:val="12"/>
              </w:rPr>
            </w:pPr>
          </w:p>
        </w:tc>
        <w:tc>
          <w:tcPr>
            <w:tcW w:w="428" w:type="dxa"/>
            <w:tcBorders>
              <w:top w:val="single" w:sz="8" w:space="0" w:color="000000"/>
            </w:tcBorders>
          </w:tcPr>
          <w:p>
            <w:pPr>
              <w:pStyle w:val="TableParagraph"/>
              <w:rPr>
                <w:rFonts w:ascii="Times New Roman"/>
                <w:sz w:val="12"/>
              </w:rPr>
            </w:pPr>
          </w:p>
        </w:tc>
        <w:tc>
          <w:tcPr>
            <w:tcW w:w="224" w:type="dxa"/>
            <w:tcBorders>
              <w:top w:val="single" w:sz="8" w:space="0" w:color="000000"/>
            </w:tcBorders>
          </w:tcPr>
          <w:p>
            <w:pPr>
              <w:pStyle w:val="TableParagraph"/>
              <w:rPr>
                <w:rFonts w:ascii="Times New Roman"/>
                <w:sz w:val="12"/>
              </w:rPr>
            </w:pPr>
          </w:p>
        </w:tc>
        <w:tc>
          <w:tcPr>
            <w:tcW w:w="625" w:type="dxa"/>
            <w:tcBorders>
              <w:top w:val="single" w:sz="8" w:space="0" w:color="000000"/>
            </w:tcBorders>
          </w:tcPr>
          <w:p>
            <w:pPr>
              <w:pStyle w:val="TableParagraph"/>
              <w:rPr>
                <w:rFonts w:ascii="Times New Roman"/>
                <w:sz w:val="12"/>
              </w:rPr>
            </w:pPr>
          </w:p>
        </w:tc>
        <w:tc>
          <w:tcPr>
            <w:tcW w:w="328" w:type="dxa"/>
            <w:tcBorders>
              <w:top w:val="single" w:sz="8" w:space="0" w:color="000000"/>
            </w:tcBorders>
          </w:tcPr>
          <w:p>
            <w:pPr>
              <w:pStyle w:val="TableParagraph"/>
              <w:rPr>
                <w:rFonts w:ascii="Times New Roman"/>
                <w:sz w:val="12"/>
              </w:rPr>
            </w:pPr>
          </w:p>
        </w:tc>
        <w:tc>
          <w:tcPr>
            <w:tcW w:w="475" w:type="dxa"/>
            <w:tcBorders>
              <w:top w:val="single" w:sz="8" w:space="0" w:color="000000"/>
            </w:tcBorders>
          </w:tcPr>
          <w:p>
            <w:pPr>
              <w:pStyle w:val="TableParagraph"/>
              <w:rPr>
                <w:rFonts w:ascii="Times New Roman"/>
                <w:sz w:val="12"/>
              </w:rPr>
            </w:pPr>
          </w:p>
        </w:tc>
        <w:tc>
          <w:tcPr>
            <w:tcW w:w="321" w:type="dxa"/>
            <w:tcBorders>
              <w:top w:val="single" w:sz="8" w:space="0" w:color="000000"/>
            </w:tcBorders>
          </w:tcPr>
          <w:p>
            <w:pPr>
              <w:pStyle w:val="TableParagraph"/>
              <w:rPr>
                <w:rFonts w:ascii="Times New Roman"/>
                <w:sz w:val="12"/>
              </w:rPr>
            </w:pPr>
          </w:p>
        </w:tc>
        <w:tc>
          <w:tcPr>
            <w:tcW w:w="843" w:type="dxa"/>
            <w:gridSpan w:val="2"/>
            <w:tcBorders>
              <w:top w:val="single" w:sz="8" w:space="0" w:color="000000"/>
            </w:tcBorders>
          </w:tcPr>
          <w:p>
            <w:pPr>
              <w:pStyle w:val="TableParagraph"/>
              <w:rPr>
                <w:rFonts w:ascii="Times New Roman"/>
                <w:sz w:val="12"/>
              </w:rPr>
            </w:pPr>
          </w:p>
        </w:tc>
        <w:tc>
          <w:tcPr>
            <w:tcW w:w="428" w:type="dxa"/>
            <w:tcBorders>
              <w:top w:val="single" w:sz="8" w:space="0" w:color="000000"/>
            </w:tcBorders>
          </w:tcPr>
          <w:p>
            <w:pPr>
              <w:pStyle w:val="TableParagraph"/>
              <w:rPr>
                <w:rFonts w:ascii="Times New Roman"/>
                <w:sz w:val="12"/>
              </w:rPr>
            </w:pPr>
          </w:p>
        </w:tc>
        <w:tc>
          <w:tcPr>
            <w:tcW w:w="263" w:type="dxa"/>
            <w:tcBorders>
              <w:top w:val="single" w:sz="8" w:space="0" w:color="000000"/>
            </w:tcBorders>
          </w:tcPr>
          <w:p>
            <w:pPr>
              <w:pStyle w:val="TableParagraph"/>
              <w:rPr>
                <w:rFonts w:ascii="Times New Roman"/>
                <w:sz w:val="12"/>
              </w:rPr>
            </w:pPr>
          </w:p>
        </w:tc>
        <w:tc>
          <w:tcPr>
            <w:tcW w:w="539" w:type="dxa"/>
            <w:tcBorders>
              <w:top w:val="single" w:sz="8" w:space="0" w:color="000000"/>
            </w:tcBorders>
          </w:tcPr>
          <w:p>
            <w:pPr>
              <w:pStyle w:val="TableParagraph"/>
              <w:rPr>
                <w:rFonts w:ascii="Times New Roman"/>
                <w:sz w:val="12"/>
              </w:rPr>
            </w:pPr>
          </w:p>
        </w:tc>
      </w:tr>
      <w:tr>
        <w:trPr>
          <w:trHeight w:val="195" w:hRule="atLeast"/>
        </w:trPr>
        <w:tc>
          <w:tcPr>
            <w:tcW w:w="2850" w:type="dxa"/>
          </w:tcPr>
          <w:p>
            <w:pPr>
              <w:pStyle w:val="TableParagraph"/>
              <w:spacing w:line="160" w:lineRule="exact" w:before="14"/>
              <w:ind w:left="232"/>
              <w:rPr>
                <w:sz w:val="14"/>
              </w:rPr>
            </w:pPr>
            <w:r>
              <w:rPr>
                <w:sz w:val="14"/>
              </w:rPr>
              <w:t>Commingled</w:t>
            </w:r>
            <w:r>
              <w:rPr>
                <w:spacing w:val="-9"/>
                <w:sz w:val="14"/>
              </w:rPr>
              <w:t> </w:t>
            </w:r>
            <w:r>
              <w:rPr>
                <w:spacing w:val="-2"/>
                <w:sz w:val="14"/>
              </w:rPr>
              <w:t>funds</w:t>
            </w:r>
          </w:p>
        </w:tc>
        <w:tc>
          <w:tcPr>
            <w:tcW w:w="257" w:type="dxa"/>
          </w:tcPr>
          <w:p>
            <w:pPr>
              <w:pStyle w:val="TableParagraph"/>
              <w:rPr>
                <w:rFonts w:ascii="Times New Roman"/>
                <w:sz w:val="12"/>
              </w:rPr>
            </w:pPr>
          </w:p>
        </w:tc>
        <w:tc>
          <w:tcPr>
            <w:tcW w:w="796" w:type="dxa"/>
            <w:gridSpan w:val="2"/>
          </w:tcPr>
          <w:p>
            <w:pPr>
              <w:pStyle w:val="TableParagraph"/>
              <w:spacing w:line="160" w:lineRule="exact" w:before="14"/>
              <w:ind w:left="16"/>
              <w:jc w:val="center"/>
              <w:rPr>
                <w:sz w:val="14"/>
              </w:rPr>
            </w:pPr>
            <w:r>
              <w:rPr>
                <w:sz w:val="14"/>
              </w:rPr>
              <w:t>—</w:t>
            </w:r>
          </w:p>
        </w:tc>
        <w:tc>
          <w:tcPr>
            <w:tcW w:w="901" w:type="dxa"/>
            <w:gridSpan w:val="2"/>
          </w:tcPr>
          <w:p>
            <w:pPr>
              <w:pStyle w:val="TableParagraph"/>
              <w:spacing w:line="160" w:lineRule="exact" w:before="14"/>
              <w:ind w:right="88"/>
              <w:jc w:val="center"/>
              <w:rPr>
                <w:sz w:val="14"/>
              </w:rPr>
            </w:pPr>
            <w:r>
              <w:rPr>
                <w:sz w:val="14"/>
              </w:rPr>
              <w:t>—</w:t>
            </w:r>
          </w:p>
        </w:tc>
        <w:tc>
          <w:tcPr>
            <w:tcW w:w="428" w:type="dxa"/>
          </w:tcPr>
          <w:p>
            <w:pPr>
              <w:pStyle w:val="TableParagraph"/>
              <w:spacing w:line="160" w:lineRule="exact" w:before="14"/>
              <w:ind w:right="56"/>
              <w:jc w:val="right"/>
              <w:rPr>
                <w:sz w:val="14"/>
              </w:rPr>
            </w:pPr>
            <w:r>
              <w:rPr>
                <w:sz w:val="14"/>
              </w:rPr>
              <w:t>—</w:t>
            </w:r>
          </w:p>
        </w:tc>
        <w:tc>
          <w:tcPr>
            <w:tcW w:w="224" w:type="dxa"/>
          </w:tcPr>
          <w:p>
            <w:pPr>
              <w:pStyle w:val="TableParagraph"/>
              <w:rPr>
                <w:rFonts w:ascii="Times New Roman"/>
                <w:sz w:val="12"/>
              </w:rPr>
            </w:pPr>
          </w:p>
        </w:tc>
        <w:tc>
          <w:tcPr>
            <w:tcW w:w="625" w:type="dxa"/>
          </w:tcPr>
          <w:p>
            <w:pPr>
              <w:pStyle w:val="TableParagraph"/>
              <w:spacing w:line="160" w:lineRule="exact" w:before="14"/>
              <w:ind w:right="110"/>
              <w:jc w:val="right"/>
              <w:rPr>
                <w:sz w:val="14"/>
              </w:rPr>
            </w:pPr>
            <w:r>
              <w:rPr>
                <w:spacing w:val="-2"/>
                <w:sz w:val="14"/>
              </w:rPr>
              <w:t>3,526</w:t>
            </w:r>
          </w:p>
        </w:tc>
        <w:tc>
          <w:tcPr>
            <w:tcW w:w="328" w:type="dxa"/>
          </w:tcPr>
          <w:p>
            <w:pPr>
              <w:pStyle w:val="TableParagraph"/>
              <w:rPr>
                <w:rFonts w:ascii="Times New Roman"/>
                <w:sz w:val="12"/>
              </w:rPr>
            </w:pPr>
          </w:p>
        </w:tc>
        <w:tc>
          <w:tcPr>
            <w:tcW w:w="475" w:type="dxa"/>
          </w:tcPr>
          <w:p>
            <w:pPr>
              <w:pStyle w:val="TableParagraph"/>
              <w:spacing w:line="160" w:lineRule="exact" w:before="14"/>
              <w:ind w:left="213"/>
              <w:jc w:val="center"/>
              <w:rPr>
                <w:sz w:val="14"/>
              </w:rPr>
            </w:pPr>
            <w:r>
              <w:rPr>
                <w:sz w:val="14"/>
              </w:rPr>
              <w:t>—</w:t>
            </w:r>
          </w:p>
        </w:tc>
        <w:tc>
          <w:tcPr>
            <w:tcW w:w="321" w:type="dxa"/>
          </w:tcPr>
          <w:p>
            <w:pPr>
              <w:pStyle w:val="TableParagraph"/>
              <w:rPr>
                <w:rFonts w:ascii="Times New Roman"/>
                <w:sz w:val="12"/>
              </w:rPr>
            </w:pPr>
          </w:p>
        </w:tc>
        <w:tc>
          <w:tcPr>
            <w:tcW w:w="843" w:type="dxa"/>
            <w:gridSpan w:val="2"/>
          </w:tcPr>
          <w:p>
            <w:pPr>
              <w:pStyle w:val="TableParagraph"/>
              <w:spacing w:line="160" w:lineRule="exact" w:before="14"/>
              <w:ind w:left="273"/>
              <w:rPr>
                <w:sz w:val="14"/>
              </w:rPr>
            </w:pPr>
            <w:r>
              <w:rPr>
                <w:sz w:val="14"/>
              </w:rPr>
              <w:t>—</w:t>
            </w:r>
          </w:p>
        </w:tc>
        <w:tc>
          <w:tcPr>
            <w:tcW w:w="428" w:type="dxa"/>
          </w:tcPr>
          <w:p>
            <w:pPr>
              <w:pStyle w:val="TableParagraph"/>
              <w:spacing w:line="160" w:lineRule="exact" w:before="14"/>
              <w:ind w:left="162"/>
              <w:jc w:val="center"/>
              <w:rPr>
                <w:sz w:val="14"/>
              </w:rPr>
            </w:pPr>
            <w:r>
              <w:rPr>
                <w:sz w:val="14"/>
              </w:rPr>
              <w:t>—</w:t>
            </w:r>
          </w:p>
        </w:tc>
        <w:tc>
          <w:tcPr>
            <w:tcW w:w="263" w:type="dxa"/>
          </w:tcPr>
          <w:p>
            <w:pPr>
              <w:pStyle w:val="TableParagraph"/>
              <w:rPr>
                <w:rFonts w:ascii="Times New Roman"/>
                <w:sz w:val="12"/>
              </w:rPr>
            </w:pPr>
          </w:p>
        </w:tc>
        <w:tc>
          <w:tcPr>
            <w:tcW w:w="539" w:type="dxa"/>
          </w:tcPr>
          <w:p>
            <w:pPr>
              <w:pStyle w:val="TableParagraph"/>
              <w:spacing w:line="160" w:lineRule="exact" w:before="14"/>
              <w:ind w:right="67"/>
              <w:jc w:val="right"/>
              <w:rPr>
                <w:sz w:val="14"/>
              </w:rPr>
            </w:pPr>
            <w:r>
              <w:rPr>
                <w:spacing w:val="-5"/>
                <w:sz w:val="14"/>
              </w:rPr>
              <w:t>553</w:t>
            </w:r>
          </w:p>
        </w:tc>
      </w:tr>
      <w:tr>
        <w:trPr>
          <w:trHeight w:val="195" w:hRule="atLeast"/>
        </w:trPr>
        <w:tc>
          <w:tcPr>
            <w:tcW w:w="2850" w:type="dxa"/>
          </w:tcPr>
          <w:p>
            <w:pPr>
              <w:pStyle w:val="TableParagraph"/>
              <w:spacing w:line="160" w:lineRule="exact" w:before="14"/>
              <w:ind w:left="232"/>
              <w:rPr>
                <w:sz w:val="14"/>
              </w:rPr>
            </w:pPr>
            <w:r>
              <w:rPr>
                <w:sz w:val="14"/>
              </w:rPr>
              <w:t>Private</w:t>
            </w:r>
            <w:r>
              <w:rPr>
                <w:spacing w:val="-4"/>
                <w:sz w:val="14"/>
              </w:rPr>
              <w:t> </w:t>
            </w:r>
            <w:r>
              <w:rPr>
                <w:sz w:val="14"/>
              </w:rPr>
              <w:t>equity</w:t>
            </w:r>
            <w:r>
              <w:rPr>
                <w:spacing w:val="-3"/>
                <w:sz w:val="14"/>
              </w:rPr>
              <w:t> </w:t>
            </w:r>
            <w:r>
              <w:rPr>
                <w:spacing w:val="-2"/>
                <w:sz w:val="14"/>
              </w:rPr>
              <w:t>funds</w:t>
            </w:r>
          </w:p>
        </w:tc>
        <w:tc>
          <w:tcPr>
            <w:tcW w:w="257" w:type="dxa"/>
          </w:tcPr>
          <w:p>
            <w:pPr>
              <w:pStyle w:val="TableParagraph"/>
              <w:rPr>
                <w:rFonts w:ascii="Times New Roman"/>
                <w:sz w:val="12"/>
              </w:rPr>
            </w:pPr>
          </w:p>
        </w:tc>
        <w:tc>
          <w:tcPr>
            <w:tcW w:w="796" w:type="dxa"/>
            <w:gridSpan w:val="2"/>
          </w:tcPr>
          <w:p>
            <w:pPr>
              <w:pStyle w:val="TableParagraph"/>
              <w:spacing w:line="160" w:lineRule="exact" w:before="14"/>
              <w:ind w:left="16"/>
              <w:jc w:val="center"/>
              <w:rPr>
                <w:sz w:val="14"/>
              </w:rPr>
            </w:pPr>
            <w:r>
              <w:rPr>
                <w:sz w:val="14"/>
              </w:rPr>
              <w:t>—</w:t>
            </w:r>
          </w:p>
        </w:tc>
        <w:tc>
          <w:tcPr>
            <w:tcW w:w="901" w:type="dxa"/>
            <w:gridSpan w:val="2"/>
          </w:tcPr>
          <w:p>
            <w:pPr>
              <w:pStyle w:val="TableParagraph"/>
              <w:spacing w:line="160" w:lineRule="exact" w:before="14"/>
              <w:ind w:right="88"/>
              <w:jc w:val="center"/>
              <w:rPr>
                <w:sz w:val="14"/>
              </w:rPr>
            </w:pPr>
            <w:r>
              <w:rPr>
                <w:sz w:val="14"/>
              </w:rPr>
              <w:t>—</w:t>
            </w:r>
          </w:p>
        </w:tc>
        <w:tc>
          <w:tcPr>
            <w:tcW w:w="428" w:type="dxa"/>
          </w:tcPr>
          <w:p>
            <w:pPr>
              <w:pStyle w:val="TableParagraph"/>
              <w:spacing w:line="160" w:lineRule="exact" w:before="14"/>
              <w:ind w:right="56"/>
              <w:jc w:val="right"/>
              <w:rPr>
                <w:sz w:val="14"/>
              </w:rPr>
            </w:pPr>
            <w:r>
              <w:rPr>
                <w:sz w:val="14"/>
              </w:rPr>
              <w:t>—</w:t>
            </w:r>
          </w:p>
        </w:tc>
        <w:tc>
          <w:tcPr>
            <w:tcW w:w="224" w:type="dxa"/>
          </w:tcPr>
          <w:p>
            <w:pPr>
              <w:pStyle w:val="TableParagraph"/>
              <w:rPr>
                <w:rFonts w:ascii="Times New Roman"/>
                <w:sz w:val="12"/>
              </w:rPr>
            </w:pPr>
          </w:p>
        </w:tc>
        <w:tc>
          <w:tcPr>
            <w:tcW w:w="625" w:type="dxa"/>
          </w:tcPr>
          <w:p>
            <w:pPr>
              <w:pStyle w:val="TableParagraph"/>
              <w:spacing w:line="160" w:lineRule="exact" w:before="14"/>
              <w:ind w:right="110"/>
              <w:jc w:val="right"/>
              <w:rPr>
                <w:sz w:val="14"/>
              </w:rPr>
            </w:pPr>
            <w:r>
              <w:rPr>
                <w:spacing w:val="-2"/>
                <w:sz w:val="14"/>
              </w:rPr>
              <w:t>6,848</w:t>
            </w:r>
          </w:p>
        </w:tc>
        <w:tc>
          <w:tcPr>
            <w:tcW w:w="328" w:type="dxa"/>
          </w:tcPr>
          <w:p>
            <w:pPr>
              <w:pStyle w:val="TableParagraph"/>
              <w:rPr>
                <w:rFonts w:ascii="Times New Roman"/>
                <w:sz w:val="12"/>
              </w:rPr>
            </w:pPr>
          </w:p>
        </w:tc>
        <w:tc>
          <w:tcPr>
            <w:tcW w:w="475" w:type="dxa"/>
          </w:tcPr>
          <w:p>
            <w:pPr>
              <w:pStyle w:val="TableParagraph"/>
              <w:spacing w:line="160" w:lineRule="exact" w:before="14"/>
              <w:ind w:left="213"/>
              <w:jc w:val="center"/>
              <w:rPr>
                <w:sz w:val="14"/>
              </w:rPr>
            </w:pPr>
            <w:r>
              <w:rPr>
                <w:sz w:val="14"/>
              </w:rPr>
              <w:t>—</w:t>
            </w:r>
          </w:p>
        </w:tc>
        <w:tc>
          <w:tcPr>
            <w:tcW w:w="321" w:type="dxa"/>
          </w:tcPr>
          <w:p>
            <w:pPr>
              <w:pStyle w:val="TableParagraph"/>
              <w:rPr>
                <w:rFonts w:ascii="Times New Roman"/>
                <w:sz w:val="12"/>
              </w:rPr>
            </w:pPr>
          </w:p>
        </w:tc>
        <w:tc>
          <w:tcPr>
            <w:tcW w:w="843" w:type="dxa"/>
            <w:gridSpan w:val="2"/>
          </w:tcPr>
          <w:p>
            <w:pPr>
              <w:pStyle w:val="TableParagraph"/>
              <w:spacing w:line="160" w:lineRule="exact" w:before="14"/>
              <w:ind w:left="273"/>
              <w:rPr>
                <w:sz w:val="14"/>
              </w:rPr>
            </w:pPr>
            <w:r>
              <w:rPr>
                <w:sz w:val="14"/>
              </w:rPr>
              <w:t>—</w:t>
            </w:r>
          </w:p>
        </w:tc>
        <w:tc>
          <w:tcPr>
            <w:tcW w:w="428" w:type="dxa"/>
          </w:tcPr>
          <w:p>
            <w:pPr>
              <w:pStyle w:val="TableParagraph"/>
              <w:spacing w:line="160" w:lineRule="exact" w:before="14"/>
              <w:ind w:left="162"/>
              <w:jc w:val="center"/>
              <w:rPr>
                <w:sz w:val="14"/>
              </w:rPr>
            </w:pPr>
            <w:r>
              <w:rPr>
                <w:sz w:val="14"/>
              </w:rPr>
              <w:t>—</w:t>
            </w:r>
          </w:p>
        </w:tc>
        <w:tc>
          <w:tcPr>
            <w:tcW w:w="263" w:type="dxa"/>
          </w:tcPr>
          <w:p>
            <w:pPr>
              <w:pStyle w:val="TableParagraph"/>
              <w:rPr>
                <w:rFonts w:ascii="Times New Roman"/>
                <w:sz w:val="12"/>
              </w:rPr>
            </w:pPr>
          </w:p>
        </w:tc>
        <w:tc>
          <w:tcPr>
            <w:tcW w:w="539" w:type="dxa"/>
          </w:tcPr>
          <w:p>
            <w:pPr>
              <w:pStyle w:val="TableParagraph"/>
              <w:spacing w:line="160" w:lineRule="exact" w:before="14"/>
              <w:ind w:right="67"/>
              <w:jc w:val="right"/>
              <w:rPr>
                <w:sz w:val="14"/>
              </w:rPr>
            </w:pPr>
            <w:r>
              <w:rPr>
                <w:spacing w:val="-2"/>
                <w:sz w:val="14"/>
              </w:rPr>
              <w:t>1,163</w:t>
            </w:r>
          </w:p>
        </w:tc>
      </w:tr>
      <w:tr>
        <w:trPr>
          <w:trHeight w:val="195" w:hRule="atLeast"/>
        </w:trPr>
        <w:tc>
          <w:tcPr>
            <w:tcW w:w="2850" w:type="dxa"/>
          </w:tcPr>
          <w:p>
            <w:pPr>
              <w:pStyle w:val="TableParagraph"/>
              <w:spacing w:line="160" w:lineRule="exact" w:before="14"/>
              <w:ind w:left="232"/>
              <w:rPr>
                <w:sz w:val="14"/>
              </w:rPr>
            </w:pPr>
            <w:r>
              <w:rPr>
                <w:sz w:val="14"/>
              </w:rPr>
              <w:t>Private</w:t>
            </w:r>
            <w:r>
              <w:rPr>
                <w:spacing w:val="-5"/>
                <w:sz w:val="14"/>
              </w:rPr>
              <w:t> </w:t>
            </w:r>
            <w:r>
              <w:rPr>
                <w:sz w:val="14"/>
              </w:rPr>
              <w:t>credit</w:t>
            </w:r>
            <w:r>
              <w:rPr>
                <w:spacing w:val="-3"/>
                <w:sz w:val="14"/>
              </w:rPr>
              <w:t> </w:t>
            </w:r>
            <w:r>
              <w:rPr>
                <w:spacing w:val="-2"/>
                <w:sz w:val="14"/>
              </w:rPr>
              <w:t>funds</w:t>
            </w:r>
          </w:p>
        </w:tc>
        <w:tc>
          <w:tcPr>
            <w:tcW w:w="257" w:type="dxa"/>
          </w:tcPr>
          <w:p>
            <w:pPr>
              <w:pStyle w:val="TableParagraph"/>
              <w:rPr>
                <w:rFonts w:ascii="Times New Roman"/>
                <w:sz w:val="12"/>
              </w:rPr>
            </w:pPr>
          </w:p>
        </w:tc>
        <w:tc>
          <w:tcPr>
            <w:tcW w:w="796" w:type="dxa"/>
            <w:gridSpan w:val="2"/>
          </w:tcPr>
          <w:p>
            <w:pPr>
              <w:pStyle w:val="TableParagraph"/>
              <w:spacing w:line="160" w:lineRule="exact" w:before="14"/>
              <w:ind w:left="16"/>
              <w:jc w:val="center"/>
              <w:rPr>
                <w:sz w:val="14"/>
              </w:rPr>
            </w:pPr>
            <w:r>
              <w:rPr>
                <w:sz w:val="14"/>
              </w:rPr>
              <w:t>—</w:t>
            </w:r>
          </w:p>
        </w:tc>
        <w:tc>
          <w:tcPr>
            <w:tcW w:w="901" w:type="dxa"/>
            <w:gridSpan w:val="2"/>
          </w:tcPr>
          <w:p>
            <w:pPr>
              <w:pStyle w:val="TableParagraph"/>
              <w:spacing w:line="160" w:lineRule="exact" w:before="14"/>
              <w:ind w:right="88"/>
              <w:jc w:val="center"/>
              <w:rPr>
                <w:sz w:val="14"/>
              </w:rPr>
            </w:pPr>
            <w:r>
              <w:rPr>
                <w:sz w:val="14"/>
              </w:rPr>
              <w:t>—</w:t>
            </w:r>
          </w:p>
        </w:tc>
        <w:tc>
          <w:tcPr>
            <w:tcW w:w="428" w:type="dxa"/>
          </w:tcPr>
          <w:p>
            <w:pPr>
              <w:pStyle w:val="TableParagraph"/>
              <w:spacing w:line="160" w:lineRule="exact" w:before="14"/>
              <w:ind w:right="56"/>
              <w:jc w:val="right"/>
              <w:rPr>
                <w:sz w:val="14"/>
              </w:rPr>
            </w:pPr>
            <w:r>
              <w:rPr>
                <w:sz w:val="14"/>
              </w:rPr>
              <w:t>—</w:t>
            </w:r>
          </w:p>
        </w:tc>
        <w:tc>
          <w:tcPr>
            <w:tcW w:w="224" w:type="dxa"/>
          </w:tcPr>
          <w:p>
            <w:pPr>
              <w:pStyle w:val="TableParagraph"/>
              <w:rPr>
                <w:rFonts w:ascii="Times New Roman"/>
                <w:sz w:val="12"/>
              </w:rPr>
            </w:pPr>
          </w:p>
        </w:tc>
        <w:tc>
          <w:tcPr>
            <w:tcW w:w="625" w:type="dxa"/>
          </w:tcPr>
          <w:p>
            <w:pPr>
              <w:pStyle w:val="TableParagraph"/>
              <w:spacing w:line="160" w:lineRule="exact" w:before="14"/>
              <w:ind w:right="110"/>
              <w:jc w:val="right"/>
              <w:rPr>
                <w:sz w:val="14"/>
              </w:rPr>
            </w:pPr>
            <w:r>
              <w:rPr>
                <w:spacing w:val="-2"/>
                <w:sz w:val="14"/>
              </w:rPr>
              <w:t>2,055</w:t>
            </w:r>
          </w:p>
        </w:tc>
        <w:tc>
          <w:tcPr>
            <w:tcW w:w="328" w:type="dxa"/>
          </w:tcPr>
          <w:p>
            <w:pPr>
              <w:pStyle w:val="TableParagraph"/>
              <w:rPr>
                <w:rFonts w:ascii="Times New Roman"/>
                <w:sz w:val="12"/>
              </w:rPr>
            </w:pPr>
          </w:p>
        </w:tc>
        <w:tc>
          <w:tcPr>
            <w:tcW w:w="475" w:type="dxa"/>
          </w:tcPr>
          <w:p>
            <w:pPr>
              <w:pStyle w:val="TableParagraph"/>
              <w:spacing w:line="160" w:lineRule="exact" w:before="14"/>
              <w:ind w:left="213"/>
              <w:jc w:val="center"/>
              <w:rPr>
                <w:sz w:val="14"/>
              </w:rPr>
            </w:pPr>
            <w:r>
              <w:rPr>
                <w:sz w:val="14"/>
              </w:rPr>
              <w:t>—</w:t>
            </w:r>
          </w:p>
        </w:tc>
        <w:tc>
          <w:tcPr>
            <w:tcW w:w="321" w:type="dxa"/>
          </w:tcPr>
          <w:p>
            <w:pPr>
              <w:pStyle w:val="TableParagraph"/>
              <w:rPr>
                <w:rFonts w:ascii="Times New Roman"/>
                <w:sz w:val="12"/>
              </w:rPr>
            </w:pPr>
          </w:p>
        </w:tc>
        <w:tc>
          <w:tcPr>
            <w:tcW w:w="843" w:type="dxa"/>
            <w:gridSpan w:val="2"/>
          </w:tcPr>
          <w:p>
            <w:pPr>
              <w:pStyle w:val="TableParagraph"/>
              <w:spacing w:line="160" w:lineRule="exact" w:before="14"/>
              <w:ind w:left="273"/>
              <w:rPr>
                <w:sz w:val="14"/>
              </w:rPr>
            </w:pPr>
            <w:r>
              <w:rPr>
                <w:sz w:val="14"/>
              </w:rPr>
              <w:t>—</w:t>
            </w:r>
          </w:p>
        </w:tc>
        <w:tc>
          <w:tcPr>
            <w:tcW w:w="428" w:type="dxa"/>
          </w:tcPr>
          <w:p>
            <w:pPr>
              <w:pStyle w:val="TableParagraph"/>
              <w:spacing w:line="160" w:lineRule="exact" w:before="14"/>
              <w:ind w:left="162"/>
              <w:jc w:val="center"/>
              <w:rPr>
                <w:sz w:val="14"/>
              </w:rPr>
            </w:pPr>
            <w:r>
              <w:rPr>
                <w:sz w:val="14"/>
              </w:rPr>
              <w:t>—</w:t>
            </w:r>
          </w:p>
        </w:tc>
        <w:tc>
          <w:tcPr>
            <w:tcW w:w="263" w:type="dxa"/>
          </w:tcPr>
          <w:p>
            <w:pPr>
              <w:pStyle w:val="TableParagraph"/>
              <w:rPr>
                <w:rFonts w:ascii="Times New Roman"/>
                <w:sz w:val="12"/>
              </w:rPr>
            </w:pPr>
          </w:p>
        </w:tc>
        <w:tc>
          <w:tcPr>
            <w:tcW w:w="539" w:type="dxa"/>
          </w:tcPr>
          <w:p>
            <w:pPr>
              <w:pStyle w:val="TableParagraph"/>
              <w:spacing w:line="160" w:lineRule="exact" w:before="14"/>
              <w:ind w:right="67"/>
              <w:jc w:val="right"/>
              <w:rPr>
                <w:sz w:val="14"/>
              </w:rPr>
            </w:pPr>
            <w:r>
              <w:rPr>
                <w:spacing w:val="-5"/>
                <w:sz w:val="14"/>
              </w:rPr>
              <w:t>340</w:t>
            </w:r>
          </w:p>
        </w:tc>
      </w:tr>
      <w:tr>
        <w:trPr>
          <w:trHeight w:val="368" w:hRule="atLeast"/>
        </w:trPr>
        <w:tc>
          <w:tcPr>
            <w:tcW w:w="2850" w:type="dxa"/>
          </w:tcPr>
          <w:p>
            <w:pPr>
              <w:pStyle w:val="TableParagraph"/>
              <w:spacing w:line="160" w:lineRule="atLeast" w:before="14"/>
              <w:ind w:left="322" w:right="123" w:hanging="90"/>
              <w:rPr>
                <w:sz w:val="14"/>
              </w:rPr>
            </w:pPr>
            <w:r>
              <w:rPr>
                <w:sz w:val="14"/>
              </w:rPr>
              <w:t>Real</w:t>
            </w:r>
            <w:r>
              <w:rPr>
                <w:spacing w:val="-10"/>
                <w:sz w:val="14"/>
              </w:rPr>
              <w:t> </w:t>
            </w:r>
            <w:r>
              <w:rPr>
                <w:sz w:val="14"/>
              </w:rPr>
              <w:t>estate</w:t>
            </w:r>
            <w:r>
              <w:rPr>
                <w:spacing w:val="-10"/>
                <w:sz w:val="14"/>
              </w:rPr>
              <w:t> </w:t>
            </w:r>
            <w:r>
              <w:rPr>
                <w:sz w:val="14"/>
              </w:rPr>
              <w:t>funds</w:t>
            </w:r>
            <w:r>
              <w:rPr>
                <w:spacing w:val="-10"/>
                <w:sz w:val="14"/>
              </w:rPr>
              <w:t> </w:t>
            </w:r>
            <w:r>
              <w:rPr>
                <w:sz w:val="14"/>
              </w:rPr>
              <w:t>(including</w:t>
            </w:r>
            <w:r>
              <w:rPr>
                <w:spacing w:val="40"/>
                <w:sz w:val="14"/>
              </w:rPr>
              <w:t> </w:t>
            </w:r>
            <w:r>
              <w:rPr>
                <w:sz w:val="14"/>
              </w:rPr>
              <w:t>infrastructure and timber)</w:t>
            </w:r>
          </w:p>
        </w:tc>
        <w:tc>
          <w:tcPr>
            <w:tcW w:w="257" w:type="dxa"/>
          </w:tcPr>
          <w:p>
            <w:pPr>
              <w:pStyle w:val="TableParagraph"/>
              <w:rPr>
                <w:rFonts w:ascii="Times New Roman"/>
                <w:sz w:val="16"/>
              </w:rPr>
            </w:pPr>
          </w:p>
        </w:tc>
        <w:tc>
          <w:tcPr>
            <w:tcW w:w="796" w:type="dxa"/>
            <w:gridSpan w:val="2"/>
          </w:tcPr>
          <w:p>
            <w:pPr>
              <w:pStyle w:val="TableParagraph"/>
              <w:spacing w:before="14"/>
              <w:rPr>
                <w:rFonts w:ascii="Arial"/>
                <w:i/>
                <w:sz w:val="14"/>
              </w:rPr>
            </w:pPr>
          </w:p>
          <w:p>
            <w:pPr>
              <w:pStyle w:val="TableParagraph"/>
              <w:spacing w:before="1"/>
              <w:ind w:left="16"/>
              <w:jc w:val="center"/>
              <w:rPr>
                <w:sz w:val="14"/>
              </w:rPr>
            </w:pPr>
            <w:r>
              <w:rPr>
                <w:sz w:val="14"/>
              </w:rPr>
              <w:t>—</w:t>
            </w:r>
          </w:p>
        </w:tc>
        <w:tc>
          <w:tcPr>
            <w:tcW w:w="901" w:type="dxa"/>
            <w:gridSpan w:val="2"/>
          </w:tcPr>
          <w:p>
            <w:pPr>
              <w:pStyle w:val="TableParagraph"/>
              <w:spacing w:before="14"/>
              <w:rPr>
                <w:rFonts w:ascii="Arial"/>
                <w:i/>
                <w:sz w:val="14"/>
              </w:rPr>
            </w:pPr>
          </w:p>
          <w:p>
            <w:pPr>
              <w:pStyle w:val="TableParagraph"/>
              <w:spacing w:before="1"/>
              <w:ind w:right="88"/>
              <w:jc w:val="center"/>
              <w:rPr>
                <w:sz w:val="14"/>
              </w:rPr>
            </w:pPr>
            <w:r>
              <w:rPr>
                <w:sz w:val="14"/>
              </w:rPr>
              <w:t>—</w:t>
            </w:r>
          </w:p>
        </w:tc>
        <w:tc>
          <w:tcPr>
            <w:tcW w:w="428" w:type="dxa"/>
          </w:tcPr>
          <w:p>
            <w:pPr>
              <w:pStyle w:val="TableParagraph"/>
              <w:spacing w:before="14"/>
              <w:rPr>
                <w:rFonts w:ascii="Arial"/>
                <w:i/>
                <w:sz w:val="14"/>
              </w:rPr>
            </w:pPr>
          </w:p>
          <w:p>
            <w:pPr>
              <w:pStyle w:val="TableParagraph"/>
              <w:spacing w:before="1"/>
              <w:ind w:right="56"/>
              <w:jc w:val="right"/>
              <w:rPr>
                <w:sz w:val="14"/>
              </w:rPr>
            </w:pPr>
            <w:r>
              <w:rPr>
                <w:sz w:val="14"/>
              </w:rPr>
              <w:t>—</w:t>
            </w:r>
          </w:p>
        </w:tc>
        <w:tc>
          <w:tcPr>
            <w:tcW w:w="224" w:type="dxa"/>
          </w:tcPr>
          <w:p>
            <w:pPr>
              <w:pStyle w:val="TableParagraph"/>
              <w:rPr>
                <w:rFonts w:ascii="Times New Roman"/>
                <w:sz w:val="16"/>
              </w:rPr>
            </w:pPr>
          </w:p>
        </w:tc>
        <w:tc>
          <w:tcPr>
            <w:tcW w:w="625" w:type="dxa"/>
          </w:tcPr>
          <w:p>
            <w:pPr>
              <w:pStyle w:val="TableParagraph"/>
              <w:spacing w:before="14"/>
              <w:rPr>
                <w:rFonts w:ascii="Arial"/>
                <w:i/>
                <w:sz w:val="14"/>
              </w:rPr>
            </w:pPr>
          </w:p>
          <w:p>
            <w:pPr>
              <w:pStyle w:val="TableParagraph"/>
              <w:spacing w:before="1"/>
              <w:ind w:right="110"/>
              <w:jc w:val="right"/>
              <w:rPr>
                <w:sz w:val="14"/>
              </w:rPr>
            </w:pPr>
            <w:r>
              <w:rPr>
                <w:spacing w:val="-2"/>
                <w:sz w:val="14"/>
              </w:rPr>
              <w:t>3,329</w:t>
            </w:r>
          </w:p>
        </w:tc>
        <w:tc>
          <w:tcPr>
            <w:tcW w:w="328" w:type="dxa"/>
          </w:tcPr>
          <w:p>
            <w:pPr>
              <w:pStyle w:val="TableParagraph"/>
              <w:rPr>
                <w:rFonts w:ascii="Times New Roman"/>
                <w:sz w:val="16"/>
              </w:rPr>
            </w:pPr>
          </w:p>
        </w:tc>
        <w:tc>
          <w:tcPr>
            <w:tcW w:w="475" w:type="dxa"/>
          </w:tcPr>
          <w:p>
            <w:pPr>
              <w:pStyle w:val="TableParagraph"/>
              <w:spacing w:before="14"/>
              <w:rPr>
                <w:rFonts w:ascii="Arial"/>
                <w:i/>
                <w:sz w:val="14"/>
              </w:rPr>
            </w:pPr>
          </w:p>
          <w:p>
            <w:pPr>
              <w:pStyle w:val="TableParagraph"/>
              <w:spacing w:before="1"/>
              <w:ind w:left="213"/>
              <w:jc w:val="center"/>
              <w:rPr>
                <w:sz w:val="14"/>
              </w:rPr>
            </w:pPr>
            <w:r>
              <w:rPr>
                <w:sz w:val="14"/>
              </w:rPr>
              <w:t>—</w:t>
            </w:r>
          </w:p>
        </w:tc>
        <w:tc>
          <w:tcPr>
            <w:tcW w:w="321" w:type="dxa"/>
          </w:tcPr>
          <w:p>
            <w:pPr>
              <w:pStyle w:val="TableParagraph"/>
              <w:rPr>
                <w:rFonts w:ascii="Times New Roman"/>
                <w:sz w:val="16"/>
              </w:rPr>
            </w:pPr>
          </w:p>
        </w:tc>
        <w:tc>
          <w:tcPr>
            <w:tcW w:w="843" w:type="dxa"/>
            <w:gridSpan w:val="2"/>
          </w:tcPr>
          <w:p>
            <w:pPr>
              <w:pStyle w:val="TableParagraph"/>
              <w:spacing w:before="14"/>
              <w:rPr>
                <w:rFonts w:ascii="Arial"/>
                <w:i/>
                <w:sz w:val="14"/>
              </w:rPr>
            </w:pPr>
          </w:p>
          <w:p>
            <w:pPr>
              <w:pStyle w:val="TableParagraph"/>
              <w:spacing w:before="1"/>
              <w:ind w:left="273"/>
              <w:rPr>
                <w:sz w:val="14"/>
              </w:rPr>
            </w:pPr>
            <w:r>
              <w:rPr>
                <w:sz w:val="14"/>
              </w:rPr>
              <w:t>—</w:t>
            </w:r>
          </w:p>
        </w:tc>
        <w:tc>
          <w:tcPr>
            <w:tcW w:w="428" w:type="dxa"/>
          </w:tcPr>
          <w:p>
            <w:pPr>
              <w:pStyle w:val="TableParagraph"/>
              <w:spacing w:before="14"/>
              <w:rPr>
                <w:rFonts w:ascii="Arial"/>
                <w:i/>
                <w:sz w:val="14"/>
              </w:rPr>
            </w:pPr>
          </w:p>
          <w:p>
            <w:pPr>
              <w:pStyle w:val="TableParagraph"/>
              <w:spacing w:before="1"/>
              <w:ind w:left="162"/>
              <w:jc w:val="center"/>
              <w:rPr>
                <w:sz w:val="14"/>
              </w:rPr>
            </w:pPr>
            <w:r>
              <w:rPr>
                <w:sz w:val="14"/>
              </w:rPr>
              <w:t>—</w:t>
            </w:r>
          </w:p>
        </w:tc>
        <w:tc>
          <w:tcPr>
            <w:tcW w:w="263" w:type="dxa"/>
          </w:tcPr>
          <w:p>
            <w:pPr>
              <w:pStyle w:val="TableParagraph"/>
              <w:rPr>
                <w:rFonts w:ascii="Times New Roman"/>
                <w:sz w:val="16"/>
              </w:rPr>
            </w:pPr>
          </w:p>
        </w:tc>
        <w:tc>
          <w:tcPr>
            <w:tcW w:w="539" w:type="dxa"/>
          </w:tcPr>
          <w:p>
            <w:pPr>
              <w:pStyle w:val="TableParagraph"/>
              <w:spacing w:before="14"/>
              <w:rPr>
                <w:rFonts w:ascii="Arial"/>
                <w:i/>
                <w:sz w:val="14"/>
              </w:rPr>
            </w:pPr>
          </w:p>
          <w:p>
            <w:pPr>
              <w:pStyle w:val="TableParagraph"/>
              <w:spacing w:before="1"/>
              <w:ind w:right="67"/>
              <w:jc w:val="right"/>
              <w:rPr>
                <w:sz w:val="14"/>
              </w:rPr>
            </w:pPr>
            <w:r>
              <w:rPr>
                <w:spacing w:val="-5"/>
                <w:sz w:val="14"/>
              </w:rPr>
              <w:t>620</w:t>
            </w:r>
          </w:p>
        </w:tc>
      </w:tr>
      <w:tr>
        <w:trPr>
          <w:trHeight w:val="182" w:hRule="atLeast"/>
        </w:trPr>
        <w:tc>
          <w:tcPr>
            <w:tcW w:w="2850" w:type="dxa"/>
          </w:tcPr>
          <w:p>
            <w:pPr>
              <w:pStyle w:val="TableParagraph"/>
              <w:spacing w:line="142" w:lineRule="exact" w:before="20"/>
              <w:ind w:left="232"/>
              <w:rPr>
                <w:sz w:val="14"/>
              </w:rPr>
            </w:pPr>
            <w:r>
              <w:rPr>
                <w:sz w:val="14"/>
              </w:rPr>
              <w:t>Hedge</w:t>
            </w:r>
            <w:r>
              <w:rPr>
                <w:spacing w:val="-4"/>
                <w:sz w:val="14"/>
              </w:rPr>
              <w:t> </w:t>
            </w:r>
            <w:r>
              <w:rPr>
                <w:spacing w:val="-2"/>
                <w:sz w:val="14"/>
              </w:rPr>
              <w:t>funds</w:t>
            </w:r>
          </w:p>
        </w:tc>
        <w:tc>
          <w:tcPr>
            <w:tcW w:w="257" w:type="dxa"/>
            <w:tcBorders>
              <w:bottom w:val="single" w:sz="8" w:space="0" w:color="000000"/>
            </w:tcBorders>
          </w:tcPr>
          <w:p>
            <w:pPr>
              <w:pStyle w:val="TableParagraph"/>
              <w:rPr>
                <w:rFonts w:ascii="Times New Roman"/>
                <w:sz w:val="12"/>
              </w:rPr>
            </w:pPr>
          </w:p>
        </w:tc>
        <w:tc>
          <w:tcPr>
            <w:tcW w:w="796" w:type="dxa"/>
            <w:gridSpan w:val="2"/>
            <w:tcBorders>
              <w:bottom w:val="single" w:sz="8" w:space="0" w:color="000000"/>
            </w:tcBorders>
          </w:tcPr>
          <w:p>
            <w:pPr>
              <w:pStyle w:val="TableParagraph"/>
              <w:spacing w:line="142" w:lineRule="exact" w:before="20"/>
              <w:ind w:left="16"/>
              <w:jc w:val="center"/>
              <w:rPr>
                <w:sz w:val="14"/>
              </w:rPr>
            </w:pPr>
            <w:r>
              <w:rPr>
                <w:sz w:val="14"/>
              </w:rPr>
              <w:t>—</w:t>
            </w:r>
          </w:p>
        </w:tc>
        <w:tc>
          <w:tcPr>
            <w:tcW w:w="901" w:type="dxa"/>
            <w:gridSpan w:val="2"/>
            <w:tcBorders>
              <w:bottom w:val="single" w:sz="8" w:space="0" w:color="000000"/>
            </w:tcBorders>
          </w:tcPr>
          <w:p>
            <w:pPr>
              <w:pStyle w:val="TableParagraph"/>
              <w:spacing w:line="142" w:lineRule="exact" w:before="20"/>
              <w:ind w:right="88"/>
              <w:jc w:val="center"/>
              <w:rPr>
                <w:sz w:val="14"/>
              </w:rPr>
            </w:pPr>
            <w:r>
              <w:rPr>
                <w:sz w:val="14"/>
              </w:rPr>
              <w:t>—</w:t>
            </w:r>
          </w:p>
        </w:tc>
        <w:tc>
          <w:tcPr>
            <w:tcW w:w="428" w:type="dxa"/>
            <w:tcBorders>
              <w:bottom w:val="single" w:sz="8" w:space="0" w:color="000000"/>
            </w:tcBorders>
          </w:tcPr>
          <w:p>
            <w:pPr>
              <w:pStyle w:val="TableParagraph"/>
              <w:spacing w:line="142" w:lineRule="exact" w:before="20"/>
              <w:ind w:right="56"/>
              <w:jc w:val="right"/>
              <w:rPr>
                <w:sz w:val="14"/>
              </w:rPr>
            </w:pPr>
            <w:r>
              <w:rPr>
                <w:sz w:val="14"/>
              </w:rPr>
              <w:t>—</w:t>
            </w:r>
          </w:p>
        </w:tc>
        <w:tc>
          <w:tcPr>
            <w:tcW w:w="224" w:type="dxa"/>
            <w:tcBorders>
              <w:bottom w:val="single" w:sz="8" w:space="0" w:color="000000"/>
            </w:tcBorders>
          </w:tcPr>
          <w:p>
            <w:pPr>
              <w:pStyle w:val="TableParagraph"/>
              <w:rPr>
                <w:rFonts w:ascii="Times New Roman"/>
                <w:sz w:val="12"/>
              </w:rPr>
            </w:pPr>
          </w:p>
        </w:tc>
        <w:tc>
          <w:tcPr>
            <w:tcW w:w="625" w:type="dxa"/>
            <w:tcBorders>
              <w:bottom w:val="single" w:sz="8" w:space="0" w:color="000000"/>
            </w:tcBorders>
          </w:tcPr>
          <w:p>
            <w:pPr>
              <w:pStyle w:val="TableParagraph"/>
              <w:spacing w:line="142" w:lineRule="exact" w:before="20"/>
              <w:ind w:right="110"/>
              <w:jc w:val="right"/>
              <w:rPr>
                <w:sz w:val="14"/>
              </w:rPr>
            </w:pPr>
            <w:r>
              <w:rPr>
                <w:spacing w:val="-2"/>
                <w:sz w:val="14"/>
              </w:rPr>
              <w:t>2,941</w:t>
            </w:r>
          </w:p>
        </w:tc>
        <w:tc>
          <w:tcPr>
            <w:tcW w:w="328" w:type="dxa"/>
            <w:tcBorders>
              <w:bottom w:val="single" w:sz="8" w:space="0" w:color="000000"/>
            </w:tcBorders>
          </w:tcPr>
          <w:p>
            <w:pPr>
              <w:pStyle w:val="TableParagraph"/>
              <w:rPr>
                <w:rFonts w:ascii="Times New Roman"/>
                <w:sz w:val="12"/>
              </w:rPr>
            </w:pPr>
          </w:p>
        </w:tc>
        <w:tc>
          <w:tcPr>
            <w:tcW w:w="475" w:type="dxa"/>
            <w:tcBorders>
              <w:bottom w:val="single" w:sz="8" w:space="0" w:color="000000"/>
            </w:tcBorders>
          </w:tcPr>
          <w:p>
            <w:pPr>
              <w:pStyle w:val="TableParagraph"/>
              <w:spacing w:line="142" w:lineRule="exact" w:before="20"/>
              <w:ind w:left="213"/>
              <w:jc w:val="center"/>
              <w:rPr>
                <w:sz w:val="14"/>
              </w:rPr>
            </w:pPr>
            <w:r>
              <w:rPr>
                <w:sz w:val="14"/>
              </w:rPr>
              <w:t>—</w:t>
            </w:r>
          </w:p>
        </w:tc>
        <w:tc>
          <w:tcPr>
            <w:tcW w:w="321" w:type="dxa"/>
            <w:tcBorders>
              <w:bottom w:val="single" w:sz="8" w:space="0" w:color="000000"/>
            </w:tcBorders>
          </w:tcPr>
          <w:p>
            <w:pPr>
              <w:pStyle w:val="TableParagraph"/>
              <w:rPr>
                <w:rFonts w:ascii="Times New Roman"/>
                <w:sz w:val="12"/>
              </w:rPr>
            </w:pPr>
          </w:p>
        </w:tc>
        <w:tc>
          <w:tcPr>
            <w:tcW w:w="843" w:type="dxa"/>
            <w:gridSpan w:val="2"/>
            <w:tcBorders>
              <w:bottom w:val="single" w:sz="8" w:space="0" w:color="000000"/>
            </w:tcBorders>
          </w:tcPr>
          <w:p>
            <w:pPr>
              <w:pStyle w:val="TableParagraph"/>
              <w:spacing w:line="142" w:lineRule="exact" w:before="20"/>
              <w:ind w:left="273"/>
              <w:rPr>
                <w:sz w:val="14"/>
              </w:rPr>
            </w:pPr>
            <w:r>
              <w:rPr>
                <w:sz w:val="14"/>
              </w:rPr>
              <w:t>—</w:t>
            </w:r>
          </w:p>
        </w:tc>
        <w:tc>
          <w:tcPr>
            <w:tcW w:w="428" w:type="dxa"/>
            <w:tcBorders>
              <w:bottom w:val="single" w:sz="8" w:space="0" w:color="000000"/>
            </w:tcBorders>
          </w:tcPr>
          <w:p>
            <w:pPr>
              <w:pStyle w:val="TableParagraph"/>
              <w:spacing w:line="142" w:lineRule="exact" w:before="20"/>
              <w:ind w:left="162"/>
              <w:jc w:val="center"/>
              <w:rPr>
                <w:sz w:val="14"/>
              </w:rPr>
            </w:pPr>
            <w:r>
              <w:rPr>
                <w:sz w:val="14"/>
              </w:rPr>
              <w:t>—</w:t>
            </w:r>
          </w:p>
        </w:tc>
        <w:tc>
          <w:tcPr>
            <w:tcW w:w="263" w:type="dxa"/>
            <w:tcBorders>
              <w:bottom w:val="single" w:sz="8" w:space="0" w:color="000000"/>
            </w:tcBorders>
          </w:tcPr>
          <w:p>
            <w:pPr>
              <w:pStyle w:val="TableParagraph"/>
              <w:rPr>
                <w:rFonts w:ascii="Times New Roman"/>
                <w:sz w:val="12"/>
              </w:rPr>
            </w:pPr>
          </w:p>
        </w:tc>
        <w:tc>
          <w:tcPr>
            <w:tcW w:w="539" w:type="dxa"/>
            <w:tcBorders>
              <w:bottom w:val="single" w:sz="8" w:space="0" w:color="000000"/>
            </w:tcBorders>
          </w:tcPr>
          <w:p>
            <w:pPr>
              <w:pStyle w:val="TableParagraph"/>
              <w:spacing w:line="142" w:lineRule="exact" w:before="20"/>
              <w:ind w:right="67"/>
              <w:jc w:val="right"/>
              <w:rPr>
                <w:sz w:val="14"/>
              </w:rPr>
            </w:pPr>
            <w:r>
              <w:rPr>
                <w:spacing w:val="-5"/>
                <w:sz w:val="14"/>
              </w:rPr>
              <w:t>475</w:t>
            </w:r>
          </w:p>
        </w:tc>
      </w:tr>
      <w:tr>
        <w:trPr>
          <w:trHeight w:val="175" w:hRule="atLeast"/>
        </w:trPr>
        <w:tc>
          <w:tcPr>
            <w:tcW w:w="2850" w:type="dxa"/>
          </w:tcPr>
          <w:p>
            <w:pPr>
              <w:pStyle w:val="TableParagraph"/>
              <w:spacing w:line="142" w:lineRule="exact" w:before="13"/>
              <w:ind w:left="52"/>
              <w:rPr>
                <w:sz w:val="14"/>
              </w:rPr>
            </w:pPr>
            <w:r>
              <w:rPr>
                <w:spacing w:val="-2"/>
                <w:sz w:val="14"/>
              </w:rPr>
              <w:t>Total</w:t>
            </w:r>
            <w:r>
              <w:rPr>
                <w:spacing w:val="-3"/>
                <w:sz w:val="14"/>
              </w:rPr>
              <w:t> </w:t>
            </w:r>
            <w:r>
              <w:rPr>
                <w:spacing w:val="-2"/>
                <w:sz w:val="14"/>
              </w:rPr>
              <w:t>other</w:t>
            </w:r>
            <w:r>
              <w:rPr>
                <w:sz w:val="14"/>
              </w:rPr>
              <w:t> </w:t>
            </w:r>
            <w:r>
              <w:rPr>
                <w:spacing w:val="-2"/>
                <w:sz w:val="14"/>
              </w:rPr>
              <w:t>funds</w:t>
            </w:r>
          </w:p>
        </w:tc>
        <w:tc>
          <w:tcPr>
            <w:tcW w:w="257" w:type="dxa"/>
            <w:tcBorders>
              <w:top w:val="single" w:sz="8" w:space="0" w:color="000000"/>
              <w:bottom w:val="single" w:sz="8" w:space="0" w:color="000000"/>
            </w:tcBorders>
          </w:tcPr>
          <w:p>
            <w:pPr>
              <w:pStyle w:val="TableParagraph"/>
              <w:rPr>
                <w:rFonts w:ascii="Times New Roman"/>
                <w:sz w:val="10"/>
              </w:rPr>
            </w:pPr>
          </w:p>
        </w:tc>
        <w:tc>
          <w:tcPr>
            <w:tcW w:w="796" w:type="dxa"/>
            <w:gridSpan w:val="2"/>
            <w:tcBorders>
              <w:top w:val="single" w:sz="8" w:space="0" w:color="000000"/>
              <w:bottom w:val="single" w:sz="8" w:space="0" w:color="000000"/>
            </w:tcBorders>
          </w:tcPr>
          <w:p>
            <w:pPr>
              <w:pStyle w:val="TableParagraph"/>
              <w:spacing w:line="142" w:lineRule="exact" w:before="13"/>
              <w:ind w:left="16"/>
              <w:jc w:val="center"/>
              <w:rPr>
                <w:sz w:val="14"/>
              </w:rPr>
            </w:pPr>
            <w:r>
              <w:rPr>
                <w:sz w:val="14"/>
              </w:rPr>
              <w:t>—</w:t>
            </w:r>
          </w:p>
        </w:tc>
        <w:tc>
          <w:tcPr>
            <w:tcW w:w="901" w:type="dxa"/>
            <w:gridSpan w:val="2"/>
            <w:tcBorders>
              <w:top w:val="single" w:sz="8" w:space="0" w:color="000000"/>
              <w:bottom w:val="single" w:sz="8" w:space="0" w:color="000000"/>
            </w:tcBorders>
          </w:tcPr>
          <w:p>
            <w:pPr>
              <w:pStyle w:val="TableParagraph"/>
              <w:spacing w:line="142" w:lineRule="exact" w:before="13"/>
              <w:ind w:right="88"/>
              <w:jc w:val="center"/>
              <w:rPr>
                <w:sz w:val="14"/>
              </w:rPr>
            </w:pPr>
            <w:r>
              <w:rPr>
                <w:sz w:val="14"/>
              </w:rPr>
              <w:t>—</w:t>
            </w:r>
          </w:p>
        </w:tc>
        <w:tc>
          <w:tcPr>
            <w:tcW w:w="428" w:type="dxa"/>
            <w:tcBorders>
              <w:top w:val="single" w:sz="8" w:space="0" w:color="000000"/>
              <w:bottom w:val="single" w:sz="8" w:space="0" w:color="000000"/>
            </w:tcBorders>
          </w:tcPr>
          <w:p>
            <w:pPr>
              <w:pStyle w:val="TableParagraph"/>
              <w:spacing w:line="142" w:lineRule="exact" w:before="13"/>
              <w:ind w:right="56"/>
              <w:jc w:val="right"/>
              <w:rPr>
                <w:sz w:val="14"/>
              </w:rPr>
            </w:pPr>
            <w:r>
              <w:rPr>
                <w:sz w:val="14"/>
              </w:rPr>
              <w:t>—</w:t>
            </w:r>
          </w:p>
        </w:tc>
        <w:tc>
          <w:tcPr>
            <w:tcW w:w="224" w:type="dxa"/>
            <w:tcBorders>
              <w:top w:val="single" w:sz="8" w:space="0" w:color="000000"/>
              <w:bottom w:val="single" w:sz="8" w:space="0" w:color="000000"/>
            </w:tcBorders>
          </w:tcPr>
          <w:p>
            <w:pPr>
              <w:pStyle w:val="TableParagraph"/>
              <w:rPr>
                <w:rFonts w:ascii="Times New Roman"/>
                <w:sz w:val="10"/>
              </w:rPr>
            </w:pPr>
          </w:p>
        </w:tc>
        <w:tc>
          <w:tcPr>
            <w:tcW w:w="625" w:type="dxa"/>
            <w:tcBorders>
              <w:top w:val="single" w:sz="8" w:space="0" w:color="000000"/>
              <w:bottom w:val="single" w:sz="8" w:space="0" w:color="000000"/>
            </w:tcBorders>
          </w:tcPr>
          <w:p>
            <w:pPr>
              <w:pStyle w:val="TableParagraph"/>
              <w:spacing w:line="142" w:lineRule="exact" w:before="13"/>
              <w:ind w:right="110"/>
              <w:jc w:val="right"/>
              <w:rPr>
                <w:sz w:val="14"/>
              </w:rPr>
            </w:pPr>
            <w:r>
              <w:rPr>
                <w:spacing w:val="-2"/>
                <w:sz w:val="14"/>
              </w:rPr>
              <w:t>18,699</w:t>
            </w:r>
          </w:p>
        </w:tc>
        <w:tc>
          <w:tcPr>
            <w:tcW w:w="328" w:type="dxa"/>
            <w:tcBorders>
              <w:top w:val="single" w:sz="8" w:space="0" w:color="000000"/>
              <w:bottom w:val="single" w:sz="8" w:space="0" w:color="000000"/>
            </w:tcBorders>
          </w:tcPr>
          <w:p>
            <w:pPr>
              <w:pStyle w:val="TableParagraph"/>
              <w:rPr>
                <w:rFonts w:ascii="Times New Roman"/>
                <w:sz w:val="10"/>
              </w:rPr>
            </w:pPr>
          </w:p>
        </w:tc>
        <w:tc>
          <w:tcPr>
            <w:tcW w:w="475" w:type="dxa"/>
            <w:tcBorders>
              <w:top w:val="single" w:sz="8" w:space="0" w:color="000000"/>
              <w:bottom w:val="single" w:sz="8" w:space="0" w:color="000000"/>
            </w:tcBorders>
          </w:tcPr>
          <w:p>
            <w:pPr>
              <w:pStyle w:val="TableParagraph"/>
              <w:spacing w:line="142" w:lineRule="exact" w:before="13"/>
              <w:ind w:left="213"/>
              <w:jc w:val="center"/>
              <w:rPr>
                <w:sz w:val="14"/>
              </w:rPr>
            </w:pPr>
            <w:r>
              <w:rPr>
                <w:sz w:val="14"/>
              </w:rPr>
              <w:t>—</w:t>
            </w:r>
          </w:p>
        </w:tc>
        <w:tc>
          <w:tcPr>
            <w:tcW w:w="321" w:type="dxa"/>
            <w:tcBorders>
              <w:top w:val="single" w:sz="8" w:space="0" w:color="000000"/>
              <w:bottom w:val="single" w:sz="8" w:space="0" w:color="000000"/>
            </w:tcBorders>
          </w:tcPr>
          <w:p>
            <w:pPr>
              <w:pStyle w:val="TableParagraph"/>
              <w:rPr>
                <w:rFonts w:ascii="Times New Roman"/>
                <w:sz w:val="10"/>
              </w:rPr>
            </w:pPr>
          </w:p>
        </w:tc>
        <w:tc>
          <w:tcPr>
            <w:tcW w:w="843" w:type="dxa"/>
            <w:gridSpan w:val="2"/>
            <w:tcBorders>
              <w:top w:val="single" w:sz="8" w:space="0" w:color="000000"/>
              <w:bottom w:val="single" w:sz="8" w:space="0" w:color="000000"/>
            </w:tcBorders>
          </w:tcPr>
          <w:p>
            <w:pPr>
              <w:pStyle w:val="TableParagraph"/>
              <w:spacing w:line="142" w:lineRule="exact" w:before="13"/>
              <w:ind w:left="273"/>
              <w:rPr>
                <w:sz w:val="14"/>
              </w:rPr>
            </w:pPr>
            <w:r>
              <w:rPr>
                <w:sz w:val="14"/>
              </w:rPr>
              <w:t>—</w:t>
            </w:r>
          </w:p>
        </w:tc>
        <w:tc>
          <w:tcPr>
            <w:tcW w:w="428" w:type="dxa"/>
            <w:tcBorders>
              <w:top w:val="single" w:sz="8" w:space="0" w:color="000000"/>
              <w:bottom w:val="single" w:sz="8" w:space="0" w:color="000000"/>
            </w:tcBorders>
          </w:tcPr>
          <w:p>
            <w:pPr>
              <w:pStyle w:val="TableParagraph"/>
              <w:spacing w:line="142" w:lineRule="exact" w:before="13"/>
              <w:ind w:left="162"/>
              <w:jc w:val="center"/>
              <w:rPr>
                <w:sz w:val="14"/>
              </w:rPr>
            </w:pPr>
            <w:r>
              <w:rPr>
                <w:sz w:val="14"/>
              </w:rPr>
              <w:t>—</w:t>
            </w:r>
          </w:p>
        </w:tc>
        <w:tc>
          <w:tcPr>
            <w:tcW w:w="263" w:type="dxa"/>
            <w:tcBorders>
              <w:top w:val="single" w:sz="8" w:space="0" w:color="000000"/>
              <w:bottom w:val="single" w:sz="8" w:space="0" w:color="000000"/>
            </w:tcBorders>
          </w:tcPr>
          <w:p>
            <w:pPr>
              <w:pStyle w:val="TableParagraph"/>
              <w:rPr>
                <w:rFonts w:ascii="Times New Roman"/>
                <w:sz w:val="10"/>
              </w:rPr>
            </w:pPr>
          </w:p>
        </w:tc>
        <w:tc>
          <w:tcPr>
            <w:tcW w:w="539" w:type="dxa"/>
            <w:tcBorders>
              <w:top w:val="single" w:sz="8" w:space="0" w:color="000000"/>
              <w:bottom w:val="single" w:sz="8" w:space="0" w:color="000000"/>
            </w:tcBorders>
          </w:tcPr>
          <w:p>
            <w:pPr>
              <w:pStyle w:val="TableParagraph"/>
              <w:spacing w:line="142" w:lineRule="exact" w:before="13"/>
              <w:ind w:right="67"/>
              <w:jc w:val="right"/>
              <w:rPr>
                <w:sz w:val="14"/>
              </w:rPr>
            </w:pPr>
            <w:r>
              <w:rPr>
                <w:spacing w:val="-2"/>
                <w:sz w:val="14"/>
              </w:rPr>
              <w:t>3,151</w:t>
            </w:r>
          </w:p>
        </w:tc>
      </w:tr>
      <w:tr>
        <w:trPr>
          <w:trHeight w:val="183" w:hRule="atLeast"/>
        </w:trPr>
        <w:tc>
          <w:tcPr>
            <w:tcW w:w="2850" w:type="dxa"/>
          </w:tcPr>
          <w:p>
            <w:pPr>
              <w:pStyle w:val="TableParagraph"/>
              <w:spacing w:line="151" w:lineRule="exact" w:before="13"/>
              <w:ind w:left="52"/>
              <w:rPr>
                <w:sz w:val="14"/>
              </w:rPr>
            </w:pPr>
            <w:r>
              <w:rPr>
                <w:sz w:val="14"/>
              </w:rPr>
              <w:t>Derivative</w:t>
            </w:r>
            <w:r>
              <w:rPr>
                <w:spacing w:val="-5"/>
                <w:sz w:val="14"/>
              </w:rPr>
              <w:t> </w:t>
            </w:r>
            <w:r>
              <w:rPr>
                <w:spacing w:val="-2"/>
                <w:sz w:val="14"/>
              </w:rPr>
              <w:t>assets/liabilities</w:t>
            </w:r>
          </w:p>
        </w:tc>
        <w:tc>
          <w:tcPr>
            <w:tcW w:w="257" w:type="dxa"/>
            <w:tcBorders>
              <w:top w:val="single" w:sz="8" w:space="0" w:color="000000"/>
            </w:tcBorders>
          </w:tcPr>
          <w:p>
            <w:pPr>
              <w:pStyle w:val="TableParagraph"/>
              <w:rPr>
                <w:rFonts w:ascii="Times New Roman"/>
                <w:sz w:val="12"/>
              </w:rPr>
            </w:pPr>
          </w:p>
        </w:tc>
        <w:tc>
          <w:tcPr>
            <w:tcW w:w="796" w:type="dxa"/>
            <w:gridSpan w:val="2"/>
            <w:tcBorders>
              <w:top w:val="single" w:sz="8" w:space="0" w:color="000000"/>
            </w:tcBorders>
          </w:tcPr>
          <w:p>
            <w:pPr>
              <w:pStyle w:val="TableParagraph"/>
              <w:spacing w:line="151" w:lineRule="exact" w:before="13"/>
              <w:ind w:left="79"/>
              <w:jc w:val="center"/>
              <w:rPr>
                <w:sz w:val="14"/>
              </w:rPr>
            </w:pPr>
            <w:r>
              <w:rPr>
                <w:spacing w:val="-5"/>
                <w:sz w:val="14"/>
              </w:rPr>
              <w:t>(8)</w:t>
            </w:r>
          </w:p>
        </w:tc>
        <w:tc>
          <w:tcPr>
            <w:tcW w:w="901" w:type="dxa"/>
            <w:gridSpan w:val="2"/>
            <w:tcBorders>
              <w:top w:val="single" w:sz="8" w:space="0" w:color="000000"/>
            </w:tcBorders>
          </w:tcPr>
          <w:p>
            <w:pPr>
              <w:pStyle w:val="TableParagraph"/>
              <w:spacing w:line="151" w:lineRule="exact" w:before="13"/>
              <w:ind w:right="27"/>
              <w:jc w:val="center"/>
              <w:rPr>
                <w:sz w:val="14"/>
              </w:rPr>
            </w:pPr>
            <w:r>
              <w:rPr>
                <w:spacing w:val="-5"/>
                <w:sz w:val="14"/>
              </w:rPr>
              <w:t>(5)</w:t>
            </w:r>
          </w:p>
        </w:tc>
        <w:tc>
          <w:tcPr>
            <w:tcW w:w="428" w:type="dxa"/>
            <w:tcBorders>
              <w:top w:val="single" w:sz="8" w:space="0" w:color="000000"/>
            </w:tcBorders>
          </w:tcPr>
          <w:p>
            <w:pPr>
              <w:pStyle w:val="TableParagraph"/>
              <w:spacing w:line="151" w:lineRule="exact" w:before="13"/>
              <w:ind w:right="56"/>
              <w:jc w:val="right"/>
              <w:rPr>
                <w:sz w:val="14"/>
              </w:rPr>
            </w:pPr>
            <w:r>
              <w:rPr>
                <w:sz w:val="14"/>
              </w:rPr>
              <w:t>—</w:t>
            </w:r>
          </w:p>
        </w:tc>
        <w:tc>
          <w:tcPr>
            <w:tcW w:w="224" w:type="dxa"/>
            <w:tcBorders>
              <w:top w:val="single" w:sz="8" w:space="0" w:color="000000"/>
            </w:tcBorders>
          </w:tcPr>
          <w:p>
            <w:pPr>
              <w:pStyle w:val="TableParagraph"/>
              <w:rPr>
                <w:rFonts w:ascii="Times New Roman"/>
                <w:sz w:val="12"/>
              </w:rPr>
            </w:pPr>
          </w:p>
        </w:tc>
        <w:tc>
          <w:tcPr>
            <w:tcW w:w="625" w:type="dxa"/>
            <w:tcBorders>
              <w:top w:val="single" w:sz="8" w:space="0" w:color="000000"/>
            </w:tcBorders>
          </w:tcPr>
          <w:p>
            <w:pPr>
              <w:pStyle w:val="TableParagraph"/>
              <w:spacing w:line="151" w:lineRule="exact" w:before="13"/>
              <w:ind w:right="63"/>
              <w:jc w:val="right"/>
              <w:rPr>
                <w:sz w:val="14"/>
              </w:rPr>
            </w:pPr>
            <w:r>
              <w:rPr>
                <w:spacing w:val="-4"/>
                <w:sz w:val="14"/>
              </w:rPr>
              <w:t>(13)</w:t>
            </w:r>
          </w:p>
        </w:tc>
        <w:tc>
          <w:tcPr>
            <w:tcW w:w="328" w:type="dxa"/>
            <w:tcBorders>
              <w:top w:val="single" w:sz="8" w:space="0" w:color="000000"/>
            </w:tcBorders>
          </w:tcPr>
          <w:p>
            <w:pPr>
              <w:pStyle w:val="TableParagraph"/>
              <w:rPr>
                <w:rFonts w:ascii="Times New Roman"/>
                <w:sz w:val="12"/>
              </w:rPr>
            </w:pPr>
          </w:p>
        </w:tc>
        <w:tc>
          <w:tcPr>
            <w:tcW w:w="475" w:type="dxa"/>
            <w:tcBorders>
              <w:top w:val="single" w:sz="8" w:space="0" w:color="000000"/>
            </w:tcBorders>
          </w:tcPr>
          <w:p>
            <w:pPr>
              <w:pStyle w:val="TableParagraph"/>
              <w:spacing w:line="151" w:lineRule="exact" w:before="13"/>
              <w:ind w:left="213"/>
              <w:jc w:val="center"/>
              <w:rPr>
                <w:sz w:val="14"/>
              </w:rPr>
            </w:pPr>
            <w:r>
              <w:rPr>
                <w:sz w:val="14"/>
              </w:rPr>
              <w:t>—</w:t>
            </w:r>
          </w:p>
        </w:tc>
        <w:tc>
          <w:tcPr>
            <w:tcW w:w="321" w:type="dxa"/>
            <w:tcBorders>
              <w:top w:val="single" w:sz="8" w:space="0" w:color="000000"/>
            </w:tcBorders>
          </w:tcPr>
          <w:p>
            <w:pPr>
              <w:pStyle w:val="TableParagraph"/>
              <w:rPr>
                <w:rFonts w:ascii="Times New Roman"/>
                <w:sz w:val="12"/>
              </w:rPr>
            </w:pPr>
          </w:p>
        </w:tc>
        <w:tc>
          <w:tcPr>
            <w:tcW w:w="843" w:type="dxa"/>
            <w:gridSpan w:val="2"/>
            <w:tcBorders>
              <w:top w:val="single" w:sz="8" w:space="0" w:color="000000"/>
            </w:tcBorders>
          </w:tcPr>
          <w:p>
            <w:pPr>
              <w:pStyle w:val="TableParagraph"/>
              <w:spacing w:line="151" w:lineRule="exact" w:before="13"/>
              <w:ind w:right="93"/>
              <w:jc w:val="center"/>
              <w:rPr>
                <w:sz w:val="14"/>
              </w:rPr>
            </w:pPr>
            <w:r>
              <w:rPr>
                <w:spacing w:val="-5"/>
                <w:sz w:val="14"/>
              </w:rPr>
              <w:t>(1)</w:t>
            </w:r>
          </w:p>
        </w:tc>
        <w:tc>
          <w:tcPr>
            <w:tcW w:w="428" w:type="dxa"/>
            <w:tcBorders>
              <w:top w:val="single" w:sz="8" w:space="0" w:color="000000"/>
            </w:tcBorders>
          </w:tcPr>
          <w:p>
            <w:pPr>
              <w:pStyle w:val="TableParagraph"/>
              <w:spacing w:line="151" w:lineRule="exact" w:before="13"/>
              <w:ind w:left="162"/>
              <w:jc w:val="center"/>
              <w:rPr>
                <w:sz w:val="14"/>
              </w:rPr>
            </w:pPr>
            <w:r>
              <w:rPr>
                <w:sz w:val="14"/>
              </w:rPr>
              <w:t>—</w:t>
            </w:r>
          </w:p>
        </w:tc>
        <w:tc>
          <w:tcPr>
            <w:tcW w:w="263" w:type="dxa"/>
            <w:tcBorders>
              <w:top w:val="single" w:sz="8" w:space="0" w:color="000000"/>
            </w:tcBorders>
          </w:tcPr>
          <w:p>
            <w:pPr>
              <w:pStyle w:val="TableParagraph"/>
              <w:rPr>
                <w:rFonts w:ascii="Times New Roman"/>
                <w:sz w:val="12"/>
              </w:rPr>
            </w:pPr>
          </w:p>
        </w:tc>
        <w:tc>
          <w:tcPr>
            <w:tcW w:w="539" w:type="dxa"/>
            <w:tcBorders>
              <w:top w:val="single" w:sz="8" w:space="0" w:color="000000"/>
            </w:tcBorders>
          </w:tcPr>
          <w:p>
            <w:pPr>
              <w:pStyle w:val="TableParagraph"/>
              <w:spacing w:line="151" w:lineRule="exact" w:before="13"/>
              <w:ind w:right="20"/>
              <w:jc w:val="right"/>
              <w:rPr>
                <w:sz w:val="14"/>
              </w:rPr>
            </w:pPr>
            <w:r>
              <w:rPr>
                <w:spacing w:val="-5"/>
                <w:sz w:val="14"/>
              </w:rPr>
              <w:t>(1)</w:t>
            </w:r>
          </w:p>
        </w:tc>
      </w:tr>
      <w:tr>
        <w:trPr>
          <w:trHeight w:val="186" w:hRule="atLeast"/>
        </w:trPr>
        <w:tc>
          <w:tcPr>
            <w:tcW w:w="2850" w:type="dxa"/>
          </w:tcPr>
          <w:p>
            <w:pPr>
              <w:pStyle w:val="TableParagraph"/>
              <w:spacing w:line="142" w:lineRule="exact" w:before="24"/>
              <w:ind w:left="52"/>
              <w:rPr>
                <w:sz w:val="14"/>
              </w:rPr>
            </w:pPr>
            <w:r>
              <w:rPr>
                <w:sz w:val="14"/>
              </w:rPr>
              <w:t>Other</w:t>
            </w:r>
            <w:r>
              <w:rPr>
                <w:spacing w:val="-8"/>
                <w:sz w:val="14"/>
              </w:rPr>
              <w:t> </w:t>
            </w:r>
            <w:r>
              <w:rPr>
                <w:sz w:val="14"/>
              </w:rPr>
              <w:t>assets/liabilities,</w:t>
            </w:r>
            <w:r>
              <w:rPr>
                <w:spacing w:val="-5"/>
                <w:sz w:val="14"/>
              </w:rPr>
              <w:t> </w:t>
            </w:r>
            <w:r>
              <w:rPr>
                <w:sz w:val="14"/>
              </w:rPr>
              <w:t>net</w:t>
            </w:r>
            <w:r>
              <w:rPr>
                <w:spacing w:val="-7"/>
                <w:sz w:val="14"/>
              </w:rPr>
              <w:t> </w:t>
            </w:r>
            <w:r>
              <w:rPr>
                <w:spacing w:val="-10"/>
                <w:sz w:val="14"/>
                <w:vertAlign w:val="superscript"/>
              </w:rPr>
              <w:t>b</w:t>
            </w:r>
          </w:p>
        </w:tc>
        <w:tc>
          <w:tcPr>
            <w:tcW w:w="257" w:type="dxa"/>
            <w:tcBorders>
              <w:bottom w:val="single" w:sz="8" w:space="0" w:color="000000"/>
            </w:tcBorders>
          </w:tcPr>
          <w:p>
            <w:pPr>
              <w:pStyle w:val="TableParagraph"/>
              <w:rPr>
                <w:rFonts w:ascii="Times New Roman"/>
                <w:sz w:val="12"/>
              </w:rPr>
            </w:pPr>
          </w:p>
        </w:tc>
        <w:tc>
          <w:tcPr>
            <w:tcW w:w="796" w:type="dxa"/>
            <w:gridSpan w:val="2"/>
            <w:tcBorders>
              <w:bottom w:val="single" w:sz="8" w:space="0" w:color="000000"/>
            </w:tcBorders>
          </w:tcPr>
          <w:p>
            <w:pPr>
              <w:pStyle w:val="TableParagraph"/>
              <w:spacing w:line="142" w:lineRule="exact" w:before="24"/>
              <w:ind w:left="16"/>
              <w:jc w:val="center"/>
              <w:rPr>
                <w:sz w:val="14"/>
              </w:rPr>
            </w:pPr>
            <w:r>
              <w:rPr>
                <w:sz w:val="14"/>
              </w:rPr>
              <w:t>—</w:t>
            </w:r>
          </w:p>
        </w:tc>
        <w:tc>
          <w:tcPr>
            <w:tcW w:w="901" w:type="dxa"/>
            <w:gridSpan w:val="2"/>
            <w:tcBorders>
              <w:bottom w:val="single" w:sz="8" w:space="0" w:color="000000"/>
            </w:tcBorders>
          </w:tcPr>
          <w:p>
            <w:pPr>
              <w:pStyle w:val="TableParagraph"/>
              <w:spacing w:line="142" w:lineRule="exact" w:before="24"/>
              <w:ind w:right="88"/>
              <w:jc w:val="center"/>
              <w:rPr>
                <w:sz w:val="14"/>
              </w:rPr>
            </w:pPr>
            <w:r>
              <w:rPr>
                <w:sz w:val="14"/>
              </w:rPr>
              <w:t>—</w:t>
            </w:r>
          </w:p>
        </w:tc>
        <w:tc>
          <w:tcPr>
            <w:tcW w:w="428" w:type="dxa"/>
            <w:tcBorders>
              <w:bottom w:val="single" w:sz="8" w:space="0" w:color="000000"/>
            </w:tcBorders>
          </w:tcPr>
          <w:p>
            <w:pPr>
              <w:pStyle w:val="TableParagraph"/>
              <w:spacing w:line="142" w:lineRule="exact" w:before="24"/>
              <w:ind w:right="56"/>
              <w:jc w:val="right"/>
              <w:rPr>
                <w:sz w:val="14"/>
              </w:rPr>
            </w:pPr>
            <w:r>
              <w:rPr>
                <w:sz w:val="14"/>
              </w:rPr>
              <w:t>—</w:t>
            </w:r>
          </w:p>
        </w:tc>
        <w:tc>
          <w:tcPr>
            <w:tcW w:w="224" w:type="dxa"/>
            <w:tcBorders>
              <w:bottom w:val="single" w:sz="8" w:space="0" w:color="000000"/>
            </w:tcBorders>
          </w:tcPr>
          <w:p>
            <w:pPr>
              <w:pStyle w:val="TableParagraph"/>
              <w:rPr>
                <w:rFonts w:ascii="Times New Roman"/>
                <w:sz w:val="12"/>
              </w:rPr>
            </w:pPr>
          </w:p>
        </w:tc>
        <w:tc>
          <w:tcPr>
            <w:tcW w:w="625" w:type="dxa"/>
            <w:tcBorders>
              <w:bottom w:val="single" w:sz="8" w:space="0" w:color="000000"/>
            </w:tcBorders>
          </w:tcPr>
          <w:p>
            <w:pPr>
              <w:pStyle w:val="TableParagraph"/>
              <w:spacing w:line="142" w:lineRule="exact" w:before="24"/>
              <w:ind w:right="110"/>
              <w:jc w:val="right"/>
              <w:rPr>
                <w:sz w:val="14"/>
              </w:rPr>
            </w:pPr>
            <w:r>
              <w:rPr>
                <w:spacing w:val="-5"/>
                <w:sz w:val="14"/>
              </w:rPr>
              <w:t>356</w:t>
            </w:r>
          </w:p>
        </w:tc>
        <w:tc>
          <w:tcPr>
            <w:tcW w:w="328" w:type="dxa"/>
            <w:tcBorders>
              <w:bottom w:val="single" w:sz="8" w:space="0" w:color="000000"/>
            </w:tcBorders>
          </w:tcPr>
          <w:p>
            <w:pPr>
              <w:pStyle w:val="TableParagraph"/>
              <w:rPr>
                <w:rFonts w:ascii="Times New Roman"/>
                <w:sz w:val="12"/>
              </w:rPr>
            </w:pPr>
          </w:p>
        </w:tc>
        <w:tc>
          <w:tcPr>
            <w:tcW w:w="475" w:type="dxa"/>
            <w:tcBorders>
              <w:bottom w:val="single" w:sz="8" w:space="0" w:color="000000"/>
            </w:tcBorders>
          </w:tcPr>
          <w:p>
            <w:pPr>
              <w:pStyle w:val="TableParagraph"/>
              <w:spacing w:line="142" w:lineRule="exact" w:before="24"/>
              <w:ind w:left="213"/>
              <w:jc w:val="center"/>
              <w:rPr>
                <w:sz w:val="14"/>
              </w:rPr>
            </w:pPr>
            <w:r>
              <w:rPr>
                <w:sz w:val="14"/>
              </w:rPr>
              <w:t>—</w:t>
            </w:r>
          </w:p>
        </w:tc>
        <w:tc>
          <w:tcPr>
            <w:tcW w:w="321" w:type="dxa"/>
            <w:tcBorders>
              <w:bottom w:val="single" w:sz="8" w:space="0" w:color="000000"/>
            </w:tcBorders>
          </w:tcPr>
          <w:p>
            <w:pPr>
              <w:pStyle w:val="TableParagraph"/>
              <w:rPr>
                <w:rFonts w:ascii="Times New Roman"/>
                <w:sz w:val="12"/>
              </w:rPr>
            </w:pPr>
          </w:p>
        </w:tc>
        <w:tc>
          <w:tcPr>
            <w:tcW w:w="843" w:type="dxa"/>
            <w:gridSpan w:val="2"/>
            <w:tcBorders>
              <w:bottom w:val="single" w:sz="8" w:space="0" w:color="000000"/>
            </w:tcBorders>
          </w:tcPr>
          <w:p>
            <w:pPr>
              <w:pStyle w:val="TableParagraph"/>
              <w:spacing w:line="142" w:lineRule="exact" w:before="24"/>
              <w:ind w:left="273"/>
              <w:rPr>
                <w:sz w:val="14"/>
              </w:rPr>
            </w:pPr>
            <w:r>
              <w:rPr>
                <w:sz w:val="14"/>
              </w:rPr>
              <w:t>—</w:t>
            </w:r>
          </w:p>
        </w:tc>
        <w:tc>
          <w:tcPr>
            <w:tcW w:w="428" w:type="dxa"/>
            <w:tcBorders>
              <w:bottom w:val="single" w:sz="8" w:space="0" w:color="000000"/>
            </w:tcBorders>
          </w:tcPr>
          <w:p>
            <w:pPr>
              <w:pStyle w:val="TableParagraph"/>
              <w:spacing w:line="142" w:lineRule="exact" w:before="24"/>
              <w:ind w:left="162"/>
              <w:jc w:val="center"/>
              <w:rPr>
                <w:sz w:val="14"/>
              </w:rPr>
            </w:pPr>
            <w:r>
              <w:rPr>
                <w:sz w:val="14"/>
              </w:rPr>
              <w:t>—</w:t>
            </w:r>
          </w:p>
        </w:tc>
        <w:tc>
          <w:tcPr>
            <w:tcW w:w="263" w:type="dxa"/>
            <w:tcBorders>
              <w:bottom w:val="single" w:sz="8" w:space="0" w:color="000000"/>
            </w:tcBorders>
          </w:tcPr>
          <w:p>
            <w:pPr>
              <w:pStyle w:val="TableParagraph"/>
              <w:rPr>
                <w:rFonts w:ascii="Times New Roman"/>
                <w:sz w:val="12"/>
              </w:rPr>
            </w:pPr>
          </w:p>
        </w:tc>
        <w:tc>
          <w:tcPr>
            <w:tcW w:w="539" w:type="dxa"/>
            <w:tcBorders>
              <w:bottom w:val="single" w:sz="8" w:space="0" w:color="000000"/>
            </w:tcBorders>
          </w:tcPr>
          <w:p>
            <w:pPr>
              <w:pStyle w:val="TableParagraph"/>
              <w:spacing w:line="142" w:lineRule="exact" w:before="24"/>
              <w:ind w:right="67"/>
              <w:jc w:val="right"/>
              <w:rPr>
                <w:sz w:val="14"/>
              </w:rPr>
            </w:pPr>
            <w:r>
              <w:rPr>
                <w:spacing w:val="-5"/>
                <w:sz w:val="14"/>
              </w:rPr>
              <w:t>30</w:t>
            </w:r>
          </w:p>
        </w:tc>
      </w:tr>
      <w:tr>
        <w:trPr>
          <w:trHeight w:val="155" w:hRule="atLeast"/>
        </w:trPr>
        <w:tc>
          <w:tcPr>
            <w:tcW w:w="2850" w:type="dxa"/>
          </w:tcPr>
          <w:p>
            <w:pPr>
              <w:pStyle w:val="TableParagraph"/>
              <w:spacing w:line="122" w:lineRule="exact" w:before="13"/>
              <w:ind w:left="52"/>
              <w:rPr>
                <w:rFonts w:ascii="Arial"/>
                <w:b/>
                <w:sz w:val="14"/>
              </w:rPr>
            </w:pPr>
            <w:r>
              <w:rPr>
                <w:rFonts w:ascii="Arial"/>
                <w:b/>
                <w:sz w:val="14"/>
              </w:rPr>
              <w:t>Total</w:t>
            </w:r>
            <w:r>
              <w:rPr>
                <w:rFonts w:ascii="Arial"/>
                <w:b/>
                <w:spacing w:val="-1"/>
                <w:sz w:val="14"/>
              </w:rPr>
              <w:t> </w:t>
            </w:r>
            <w:r>
              <w:rPr>
                <w:rFonts w:ascii="Arial"/>
                <w:b/>
                <w:spacing w:val="-2"/>
                <w:sz w:val="14"/>
              </w:rPr>
              <w:t>assets</w:t>
            </w:r>
          </w:p>
        </w:tc>
        <w:tc>
          <w:tcPr>
            <w:tcW w:w="257" w:type="dxa"/>
            <w:tcBorders>
              <w:top w:val="single" w:sz="8" w:space="0" w:color="000000"/>
              <w:bottom w:val="double" w:sz="8" w:space="0" w:color="000000"/>
            </w:tcBorders>
          </w:tcPr>
          <w:p>
            <w:pPr>
              <w:pStyle w:val="TableParagraph"/>
              <w:spacing w:line="122" w:lineRule="exact" w:before="13"/>
              <w:ind w:left="52"/>
              <w:rPr>
                <w:sz w:val="14"/>
              </w:rPr>
            </w:pPr>
            <w:r>
              <w:rPr>
                <w:spacing w:val="-10"/>
                <w:sz w:val="14"/>
              </w:rPr>
              <w:t>$</w:t>
            </w:r>
          </w:p>
        </w:tc>
        <w:tc>
          <w:tcPr>
            <w:tcW w:w="796" w:type="dxa"/>
            <w:gridSpan w:val="2"/>
            <w:tcBorders>
              <w:top w:val="single" w:sz="8" w:space="0" w:color="000000"/>
              <w:bottom w:val="double" w:sz="8" w:space="0" w:color="000000"/>
            </w:tcBorders>
          </w:tcPr>
          <w:p>
            <w:pPr>
              <w:pStyle w:val="TableParagraph"/>
              <w:spacing w:line="122" w:lineRule="exact" w:before="13"/>
              <w:ind w:left="126"/>
              <w:rPr>
                <w:sz w:val="14"/>
              </w:rPr>
            </w:pPr>
            <w:r>
              <w:rPr>
                <w:sz w:val="14"/>
              </w:rPr>
              <w:t>4,362</w:t>
            </w:r>
            <w:r>
              <w:rPr>
                <w:spacing w:val="71"/>
                <w:sz w:val="14"/>
              </w:rPr>
              <w:t> </w:t>
            </w:r>
            <w:r>
              <w:rPr>
                <w:spacing w:val="-10"/>
                <w:sz w:val="14"/>
              </w:rPr>
              <w:t>$</w:t>
            </w:r>
          </w:p>
        </w:tc>
        <w:tc>
          <w:tcPr>
            <w:tcW w:w="901" w:type="dxa"/>
            <w:gridSpan w:val="2"/>
            <w:tcBorders>
              <w:top w:val="single" w:sz="8" w:space="0" w:color="000000"/>
              <w:bottom w:val="double" w:sz="8" w:space="0" w:color="000000"/>
            </w:tcBorders>
          </w:tcPr>
          <w:p>
            <w:pPr>
              <w:pStyle w:val="TableParagraph"/>
              <w:spacing w:line="122" w:lineRule="exact" w:before="13"/>
              <w:ind w:left="125"/>
              <w:rPr>
                <w:sz w:val="14"/>
              </w:rPr>
            </w:pPr>
            <w:r>
              <w:rPr>
                <w:sz w:val="14"/>
              </w:rPr>
              <w:t>1,148</w:t>
            </w:r>
            <w:r>
              <w:rPr>
                <w:spacing w:val="71"/>
                <w:sz w:val="14"/>
              </w:rPr>
              <w:t> </w:t>
            </w:r>
            <w:r>
              <w:rPr>
                <w:spacing w:val="-10"/>
                <w:sz w:val="14"/>
              </w:rPr>
              <w:t>$</w:t>
            </w:r>
          </w:p>
        </w:tc>
        <w:tc>
          <w:tcPr>
            <w:tcW w:w="428" w:type="dxa"/>
            <w:tcBorders>
              <w:top w:val="single" w:sz="8" w:space="0" w:color="000000"/>
              <w:bottom w:val="double" w:sz="8" w:space="0" w:color="000000"/>
            </w:tcBorders>
          </w:tcPr>
          <w:p>
            <w:pPr>
              <w:pStyle w:val="TableParagraph"/>
              <w:spacing w:line="122" w:lineRule="exact" w:before="13"/>
              <w:ind w:right="56"/>
              <w:jc w:val="right"/>
              <w:rPr>
                <w:sz w:val="14"/>
              </w:rPr>
            </w:pPr>
            <w:r>
              <w:rPr>
                <w:sz w:val="14"/>
              </w:rPr>
              <w:t>—</w:t>
            </w:r>
          </w:p>
        </w:tc>
        <w:tc>
          <w:tcPr>
            <w:tcW w:w="224" w:type="dxa"/>
            <w:tcBorders>
              <w:top w:val="single" w:sz="8" w:space="0" w:color="000000"/>
              <w:bottom w:val="double" w:sz="8" w:space="0" w:color="000000"/>
            </w:tcBorders>
          </w:tcPr>
          <w:p>
            <w:pPr>
              <w:pStyle w:val="TableParagraph"/>
              <w:spacing w:line="122" w:lineRule="exact" w:before="13"/>
              <w:ind w:left="55"/>
              <w:rPr>
                <w:sz w:val="14"/>
              </w:rPr>
            </w:pPr>
            <w:r>
              <w:rPr>
                <w:spacing w:val="-10"/>
                <w:sz w:val="14"/>
              </w:rPr>
              <w:t>$</w:t>
            </w:r>
          </w:p>
        </w:tc>
        <w:tc>
          <w:tcPr>
            <w:tcW w:w="625" w:type="dxa"/>
            <w:tcBorders>
              <w:top w:val="single" w:sz="8" w:space="0" w:color="000000"/>
              <w:bottom w:val="double" w:sz="8" w:space="0" w:color="000000"/>
            </w:tcBorders>
          </w:tcPr>
          <w:p>
            <w:pPr>
              <w:pStyle w:val="TableParagraph"/>
              <w:spacing w:line="122" w:lineRule="exact" w:before="13"/>
              <w:ind w:right="110"/>
              <w:jc w:val="right"/>
              <w:rPr>
                <w:sz w:val="14"/>
              </w:rPr>
            </w:pPr>
            <w:r>
              <w:rPr>
                <w:spacing w:val="-2"/>
                <w:sz w:val="14"/>
              </w:rPr>
              <w:t>24,565</w:t>
            </w:r>
          </w:p>
        </w:tc>
        <w:tc>
          <w:tcPr>
            <w:tcW w:w="328" w:type="dxa"/>
            <w:tcBorders>
              <w:top w:val="single" w:sz="8" w:space="0" w:color="000000"/>
              <w:bottom w:val="double" w:sz="8" w:space="0" w:color="000000"/>
            </w:tcBorders>
          </w:tcPr>
          <w:p>
            <w:pPr>
              <w:pStyle w:val="TableParagraph"/>
              <w:spacing w:line="122" w:lineRule="exact" w:before="13"/>
              <w:ind w:left="61"/>
              <w:rPr>
                <w:sz w:val="14"/>
              </w:rPr>
            </w:pPr>
            <w:r>
              <w:rPr>
                <w:spacing w:val="-10"/>
                <w:sz w:val="14"/>
              </w:rPr>
              <w:t>$</w:t>
            </w:r>
          </w:p>
        </w:tc>
        <w:tc>
          <w:tcPr>
            <w:tcW w:w="475" w:type="dxa"/>
            <w:tcBorders>
              <w:top w:val="single" w:sz="8" w:space="0" w:color="000000"/>
              <w:bottom w:val="double" w:sz="8" w:space="0" w:color="000000"/>
            </w:tcBorders>
          </w:tcPr>
          <w:p>
            <w:pPr>
              <w:pStyle w:val="TableParagraph"/>
              <w:spacing w:line="122" w:lineRule="exact" w:before="13"/>
              <w:ind w:left="120"/>
              <w:jc w:val="center"/>
              <w:rPr>
                <w:sz w:val="14"/>
              </w:rPr>
            </w:pPr>
            <w:r>
              <w:rPr>
                <w:spacing w:val="-5"/>
                <w:sz w:val="14"/>
              </w:rPr>
              <w:t>859</w:t>
            </w:r>
          </w:p>
        </w:tc>
        <w:tc>
          <w:tcPr>
            <w:tcW w:w="321" w:type="dxa"/>
            <w:tcBorders>
              <w:top w:val="single" w:sz="8" w:space="0" w:color="000000"/>
              <w:bottom w:val="double" w:sz="8" w:space="0" w:color="000000"/>
            </w:tcBorders>
          </w:tcPr>
          <w:p>
            <w:pPr>
              <w:pStyle w:val="TableParagraph"/>
              <w:spacing w:line="122" w:lineRule="exact" w:before="13"/>
              <w:ind w:left="53"/>
              <w:rPr>
                <w:sz w:val="14"/>
              </w:rPr>
            </w:pPr>
            <w:r>
              <w:rPr>
                <w:spacing w:val="-10"/>
                <w:sz w:val="14"/>
              </w:rPr>
              <w:t>$</w:t>
            </w:r>
          </w:p>
        </w:tc>
        <w:tc>
          <w:tcPr>
            <w:tcW w:w="843" w:type="dxa"/>
            <w:gridSpan w:val="2"/>
            <w:tcBorders>
              <w:top w:val="single" w:sz="8" w:space="0" w:color="000000"/>
              <w:bottom w:val="double" w:sz="8" w:space="0" w:color="000000"/>
            </w:tcBorders>
          </w:tcPr>
          <w:p>
            <w:pPr>
              <w:pStyle w:val="TableParagraph"/>
              <w:spacing w:line="122" w:lineRule="exact" w:before="13"/>
              <w:ind w:left="180"/>
              <w:rPr>
                <w:sz w:val="14"/>
              </w:rPr>
            </w:pPr>
            <w:r>
              <w:rPr>
                <w:sz w:val="14"/>
              </w:rPr>
              <w:t>241</w:t>
            </w:r>
            <w:r>
              <w:rPr>
                <w:spacing w:val="72"/>
                <w:sz w:val="14"/>
              </w:rPr>
              <w:t> </w:t>
            </w:r>
            <w:r>
              <w:rPr>
                <w:spacing w:val="-10"/>
                <w:sz w:val="14"/>
              </w:rPr>
              <w:t>$</w:t>
            </w:r>
          </w:p>
        </w:tc>
        <w:tc>
          <w:tcPr>
            <w:tcW w:w="428" w:type="dxa"/>
            <w:tcBorders>
              <w:top w:val="single" w:sz="8" w:space="0" w:color="000000"/>
              <w:bottom w:val="double" w:sz="8" w:space="0" w:color="000000"/>
            </w:tcBorders>
          </w:tcPr>
          <w:p>
            <w:pPr>
              <w:pStyle w:val="TableParagraph"/>
              <w:spacing w:line="122" w:lineRule="exact" w:before="13"/>
              <w:ind w:left="162"/>
              <w:jc w:val="center"/>
              <w:rPr>
                <w:sz w:val="14"/>
              </w:rPr>
            </w:pPr>
            <w:r>
              <w:rPr>
                <w:sz w:val="14"/>
              </w:rPr>
              <w:t>—</w:t>
            </w:r>
          </w:p>
        </w:tc>
        <w:tc>
          <w:tcPr>
            <w:tcW w:w="263" w:type="dxa"/>
            <w:tcBorders>
              <w:top w:val="single" w:sz="8" w:space="0" w:color="000000"/>
              <w:bottom w:val="double" w:sz="8" w:space="0" w:color="000000"/>
            </w:tcBorders>
          </w:tcPr>
          <w:p>
            <w:pPr>
              <w:pStyle w:val="TableParagraph"/>
              <w:spacing w:line="122" w:lineRule="exact" w:before="13"/>
              <w:ind w:left="51"/>
              <w:rPr>
                <w:sz w:val="14"/>
              </w:rPr>
            </w:pPr>
            <w:r>
              <w:rPr>
                <w:spacing w:val="-10"/>
                <w:sz w:val="14"/>
              </w:rPr>
              <w:t>$</w:t>
            </w:r>
          </w:p>
        </w:tc>
        <w:tc>
          <w:tcPr>
            <w:tcW w:w="539" w:type="dxa"/>
            <w:tcBorders>
              <w:top w:val="single" w:sz="8" w:space="0" w:color="000000"/>
              <w:bottom w:val="double" w:sz="8" w:space="0" w:color="000000"/>
            </w:tcBorders>
          </w:tcPr>
          <w:p>
            <w:pPr>
              <w:pStyle w:val="TableParagraph"/>
              <w:spacing w:line="122" w:lineRule="exact" w:before="13"/>
              <w:ind w:right="67"/>
              <w:jc w:val="right"/>
              <w:rPr>
                <w:sz w:val="14"/>
              </w:rPr>
            </w:pPr>
            <w:r>
              <w:rPr>
                <w:spacing w:val="-2"/>
                <w:sz w:val="14"/>
              </w:rPr>
              <w:t>4,281</w:t>
            </w:r>
          </w:p>
        </w:tc>
      </w:tr>
      <w:tr>
        <w:trPr>
          <w:trHeight w:val="155" w:hRule="atLeast"/>
        </w:trPr>
        <w:tc>
          <w:tcPr>
            <w:tcW w:w="2850" w:type="dxa"/>
            <w:tcBorders>
              <w:bottom w:val="single" w:sz="8" w:space="0" w:color="000000"/>
            </w:tcBorders>
          </w:tcPr>
          <w:p>
            <w:pPr>
              <w:pStyle w:val="TableParagraph"/>
              <w:rPr>
                <w:rFonts w:ascii="Times New Roman"/>
                <w:sz w:val="10"/>
              </w:rPr>
            </w:pPr>
          </w:p>
        </w:tc>
        <w:tc>
          <w:tcPr>
            <w:tcW w:w="257" w:type="dxa"/>
            <w:tcBorders>
              <w:top w:val="double" w:sz="8" w:space="0" w:color="000000"/>
              <w:bottom w:val="single" w:sz="8" w:space="0" w:color="000000"/>
            </w:tcBorders>
          </w:tcPr>
          <w:p>
            <w:pPr>
              <w:pStyle w:val="TableParagraph"/>
              <w:rPr>
                <w:rFonts w:ascii="Times New Roman"/>
                <w:sz w:val="10"/>
              </w:rPr>
            </w:pPr>
          </w:p>
        </w:tc>
        <w:tc>
          <w:tcPr>
            <w:tcW w:w="796" w:type="dxa"/>
            <w:gridSpan w:val="2"/>
            <w:tcBorders>
              <w:top w:val="double" w:sz="8" w:space="0" w:color="000000"/>
              <w:bottom w:val="single" w:sz="8" w:space="0" w:color="000000"/>
            </w:tcBorders>
          </w:tcPr>
          <w:p>
            <w:pPr>
              <w:pStyle w:val="TableParagraph"/>
              <w:rPr>
                <w:rFonts w:ascii="Times New Roman"/>
                <w:sz w:val="10"/>
              </w:rPr>
            </w:pPr>
          </w:p>
        </w:tc>
        <w:tc>
          <w:tcPr>
            <w:tcW w:w="901" w:type="dxa"/>
            <w:gridSpan w:val="2"/>
            <w:tcBorders>
              <w:top w:val="double" w:sz="8" w:space="0" w:color="000000"/>
              <w:bottom w:val="single" w:sz="8" w:space="0" w:color="000000"/>
            </w:tcBorders>
          </w:tcPr>
          <w:p>
            <w:pPr>
              <w:pStyle w:val="TableParagraph"/>
              <w:rPr>
                <w:rFonts w:ascii="Times New Roman"/>
                <w:sz w:val="10"/>
              </w:rPr>
            </w:pPr>
          </w:p>
        </w:tc>
        <w:tc>
          <w:tcPr>
            <w:tcW w:w="428" w:type="dxa"/>
            <w:tcBorders>
              <w:top w:val="double" w:sz="8" w:space="0" w:color="000000"/>
              <w:bottom w:val="single" w:sz="8" w:space="0" w:color="000000"/>
            </w:tcBorders>
          </w:tcPr>
          <w:p>
            <w:pPr>
              <w:pStyle w:val="TableParagraph"/>
              <w:rPr>
                <w:rFonts w:ascii="Times New Roman"/>
                <w:sz w:val="10"/>
              </w:rPr>
            </w:pPr>
          </w:p>
        </w:tc>
        <w:tc>
          <w:tcPr>
            <w:tcW w:w="224" w:type="dxa"/>
            <w:tcBorders>
              <w:top w:val="double" w:sz="8" w:space="0" w:color="000000"/>
              <w:bottom w:val="single" w:sz="8" w:space="0" w:color="000000"/>
            </w:tcBorders>
          </w:tcPr>
          <w:p>
            <w:pPr>
              <w:pStyle w:val="TableParagraph"/>
              <w:rPr>
                <w:rFonts w:ascii="Times New Roman"/>
                <w:sz w:val="10"/>
              </w:rPr>
            </w:pPr>
          </w:p>
        </w:tc>
        <w:tc>
          <w:tcPr>
            <w:tcW w:w="625" w:type="dxa"/>
            <w:tcBorders>
              <w:top w:val="double" w:sz="8" w:space="0" w:color="000000"/>
              <w:bottom w:val="single" w:sz="8" w:space="0" w:color="000000"/>
            </w:tcBorders>
          </w:tcPr>
          <w:p>
            <w:pPr>
              <w:pStyle w:val="TableParagraph"/>
              <w:rPr>
                <w:rFonts w:ascii="Times New Roman"/>
                <w:sz w:val="10"/>
              </w:rPr>
            </w:pPr>
          </w:p>
        </w:tc>
        <w:tc>
          <w:tcPr>
            <w:tcW w:w="328" w:type="dxa"/>
            <w:tcBorders>
              <w:top w:val="double" w:sz="8" w:space="0" w:color="000000"/>
              <w:bottom w:val="single" w:sz="8" w:space="0" w:color="000000"/>
            </w:tcBorders>
          </w:tcPr>
          <w:p>
            <w:pPr>
              <w:pStyle w:val="TableParagraph"/>
              <w:rPr>
                <w:rFonts w:ascii="Times New Roman"/>
                <w:sz w:val="10"/>
              </w:rPr>
            </w:pPr>
          </w:p>
        </w:tc>
        <w:tc>
          <w:tcPr>
            <w:tcW w:w="475" w:type="dxa"/>
            <w:tcBorders>
              <w:top w:val="double" w:sz="8" w:space="0" w:color="000000"/>
              <w:bottom w:val="single" w:sz="8" w:space="0" w:color="000000"/>
            </w:tcBorders>
          </w:tcPr>
          <w:p>
            <w:pPr>
              <w:pStyle w:val="TableParagraph"/>
              <w:rPr>
                <w:rFonts w:ascii="Times New Roman"/>
                <w:sz w:val="10"/>
              </w:rPr>
            </w:pPr>
          </w:p>
        </w:tc>
        <w:tc>
          <w:tcPr>
            <w:tcW w:w="321" w:type="dxa"/>
            <w:tcBorders>
              <w:top w:val="double" w:sz="8" w:space="0" w:color="000000"/>
              <w:bottom w:val="single" w:sz="8" w:space="0" w:color="000000"/>
            </w:tcBorders>
          </w:tcPr>
          <w:p>
            <w:pPr>
              <w:pStyle w:val="TableParagraph"/>
              <w:rPr>
                <w:rFonts w:ascii="Times New Roman"/>
                <w:sz w:val="10"/>
              </w:rPr>
            </w:pPr>
          </w:p>
        </w:tc>
        <w:tc>
          <w:tcPr>
            <w:tcW w:w="843" w:type="dxa"/>
            <w:gridSpan w:val="2"/>
            <w:tcBorders>
              <w:top w:val="double" w:sz="8" w:space="0" w:color="000000"/>
              <w:bottom w:val="single" w:sz="8" w:space="0" w:color="000000"/>
            </w:tcBorders>
          </w:tcPr>
          <w:p>
            <w:pPr>
              <w:pStyle w:val="TableParagraph"/>
              <w:rPr>
                <w:rFonts w:ascii="Times New Roman"/>
                <w:sz w:val="10"/>
              </w:rPr>
            </w:pPr>
          </w:p>
        </w:tc>
        <w:tc>
          <w:tcPr>
            <w:tcW w:w="428" w:type="dxa"/>
            <w:tcBorders>
              <w:top w:val="double" w:sz="8" w:space="0" w:color="000000"/>
              <w:bottom w:val="single" w:sz="8" w:space="0" w:color="000000"/>
            </w:tcBorders>
          </w:tcPr>
          <w:p>
            <w:pPr>
              <w:pStyle w:val="TableParagraph"/>
              <w:rPr>
                <w:rFonts w:ascii="Times New Roman"/>
                <w:sz w:val="10"/>
              </w:rPr>
            </w:pPr>
          </w:p>
        </w:tc>
        <w:tc>
          <w:tcPr>
            <w:tcW w:w="263" w:type="dxa"/>
            <w:tcBorders>
              <w:top w:val="double" w:sz="8" w:space="0" w:color="000000"/>
              <w:bottom w:val="single" w:sz="8" w:space="0" w:color="000000"/>
            </w:tcBorders>
          </w:tcPr>
          <w:p>
            <w:pPr>
              <w:pStyle w:val="TableParagraph"/>
              <w:rPr>
                <w:rFonts w:ascii="Times New Roman"/>
                <w:sz w:val="10"/>
              </w:rPr>
            </w:pPr>
          </w:p>
        </w:tc>
        <w:tc>
          <w:tcPr>
            <w:tcW w:w="539" w:type="dxa"/>
            <w:tcBorders>
              <w:top w:val="double" w:sz="8" w:space="0" w:color="000000"/>
              <w:bottom w:val="single" w:sz="8" w:space="0" w:color="000000"/>
            </w:tcBorders>
          </w:tcPr>
          <w:p>
            <w:pPr>
              <w:pStyle w:val="TableParagraph"/>
              <w:rPr>
                <w:rFonts w:ascii="Times New Roman"/>
                <w:sz w:val="10"/>
              </w:rPr>
            </w:pPr>
          </w:p>
        </w:tc>
      </w:tr>
    </w:tbl>
    <w:p>
      <w:pPr>
        <w:pStyle w:val="ListParagraph"/>
        <w:numPr>
          <w:ilvl w:val="0"/>
          <w:numId w:val="44"/>
        </w:numPr>
        <w:tabs>
          <w:tab w:pos="926" w:val="left" w:leader="none"/>
        </w:tabs>
        <w:spacing w:line="240" w:lineRule="auto" w:before="10" w:after="0"/>
        <w:ind w:left="926" w:right="0" w:hanging="154"/>
        <w:jc w:val="left"/>
        <w:rPr>
          <w:rFonts w:ascii="Arial"/>
          <w:i/>
          <w:sz w:val="14"/>
        </w:rPr>
      </w:pPr>
      <w:r>
        <w:rPr>
          <w:rFonts w:ascii="Arial"/>
          <w:i/>
          <w:sz w:val="14"/>
        </w:rPr>
        <w:t>Investments</w:t>
      </w:r>
      <w:r>
        <w:rPr>
          <w:rFonts w:ascii="Arial"/>
          <w:i/>
          <w:spacing w:val="-5"/>
          <w:sz w:val="14"/>
        </w:rPr>
        <w:t> </w:t>
      </w:r>
      <w:r>
        <w:rPr>
          <w:rFonts w:ascii="Arial"/>
          <w:i/>
          <w:sz w:val="14"/>
        </w:rPr>
        <w:t>measured</w:t>
      </w:r>
      <w:r>
        <w:rPr>
          <w:rFonts w:ascii="Arial"/>
          <w:i/>
          <w:spacing w:val="-3"/>
          <w:sz w:val="14"/>
        </w:rPr>
        <w:t> </w:t>
      </w:r>
      <w:r>
        <w:rPr>
          <w:rFonts w:ascii="Arial"/>
          <w:i/>
          <w:sz w:val="14"/>
        </w:rPr>
        <w:t>at</w:t>
      </w:r>
      <w:r>
        <w:rPr>
          <w:rFonts w:ascii="Arial"/>
          <w:i/>
          <w:spacing w:val="-3"/>
          <w:sz w:val="14"/>
        </w:rPr>
        <w:t> </w:t>
      </w:r>
      <w:r>
        <w:rPr>
          <w:rFonts w:ascii="Arial"/>
          <w:i/>
          <w:sz w:val="14"/>
        </w:rPr>
        <w:t>fair</w:t>
      </w:r>
      <w:r>
        <w:rPr>
          <w:rFonts w:ascii="Arial"/>
          <w:i/>
          <w:spacing w:val="-3"/>
          <w:sz w:val="14"/>
        </w:rPr>
        <w:t> </w:t>
      </w:r>
      <w:r>
        <w:rPr>
          <w:rFonts w:ascii="Arial"/>
          <w:i/>
          <w:sz w:val="14"/>
        </w:rPr>
        <w:t>value</w:t>
      </w:r>
      <w:r>
        <w:rPr>
          <w:rFonts w:ascii="Arial"/>
          <w:i/>
          <w:spacing w:val="-3"/>
          <w:sz w:val="14"/>
        </w:rPr>
        <w:t> </w:t>
      </w:r>
      <w:r>
        <w:rPr>
          <w:rFonts w:ascii="Arial"/>
          <w:i/>
          <w:sz w:val="14"/>
        </w:rPr>
        <w:t>using</w:t>
      </w:r>
      <w:r>
        <w:rPr>
          <w:rFonts w:ascii="Arial"/>
          <w:i/>
          <w:spacing w:val="-3"/>
          <w:sz w:val="14"/>
        </w:rPr>
        <w:t> </w:t>
      </w:r>
      <w:r>
        <w:rPr>
          <w:rFonts w:ascii="Arial"/>
          <w:i/>
          <w:sz w:val="14"/>
        </w:rPr>
        <w:t>NAV</w:t>
      </w:r>
      <w:r>
        <w:rPr>
          <w:rFonts w:ascii="Arial"/>
          <w:i/>
          <w:spacing w:val="-3"/>
          <w:sz w:val="14"/>
        </w:rPr>
        <w:t> </w:t>
      </w:r>
      <w:r>
        <w:rPr>
          <w:rFonts w:ascii="Arial"/>
          <w:i/>
          <w:sz w:val="14"/>
        </w:rPr>
        <w:t>as</w:t>
      </w:r>
      <w:r>
        <w:rPr>
          <w:rFonts w:ascii="Arial"/>
          <w:i/>
          <w:spacing w:val="-3"/>
          <w:sz w:val="14"/>
        </w:rPr>
        <w:t> </w:t>
      </w:r>
      <w:r>
        <w:rPr>
          <w:rFonts w:ascii="Arial"/>
          <w:i/>
          <w:sz w:val="14"/>
        </w:rPr>
        <w:t>a</w:t>
      </w:r>
      <w:r>
        <w:rPr>
          <w:rFonts w:ascii="Arial"/>
          <w:i/>
          <w:spacing w:val="-3"/>
          <w:sz w:val="14"/>
        </w:rPr>
        <w:t> </w:t>
      </w:r>
      <w:r>
        <w:rPr>
          <w:rFonts w:ascii="Arial"/>
          <w:i/>
          <w:sz w:val="14"/>
        </w:rPr>
        <w:t>practical</w:t>
      </w:r>
      <w:r>
        <w:rPr>
          <w:rFonts w:ascii="Arial"/>
          <w:i/>
          <w:spacing w:val="-3"/>
          <w:sz w:val="14"/>
        </w:rPr>
        <w:t> </w:t>
      </w:r>
      <w:r>
        <w:rPr>
          <w:rFonts w:ascii="Arial"/>
          <w:i/>
          <w:sz w:val="14"/>
        </w:rPr>
        <w:t>expedient</w:t>
      </w:r>
      <w:r>
        <w:rPr>
          <w:rFonts w:ascii="Arial"/>
          <w:i/>
          <w:spacing w:val="-3"/>
          <w:sz w:val="14"/>
        </w:rPr>
        <w:t> </w:t>
      </w:r>
      <w:r>
        <w:rPr>
          <w:rFonts w:ascii="Arial"/>
          <w:i/>
          <w:sz w:val="14"/>
        </w:rPr>
        <w:t>have</w:t>
      </w:r>
      <w:r>
        <w:rPr>
          <w:rFonts w:ascii="Arial"/>
          <w:i/>
          <w:spacing w:val="-3"/>
          <w:sz w:val="14"/>
        </w:rPr>
        <w:t> </w:t>
      </w:r>
      <w:r>
        <w:rPr>
          <w:rFonts w:ascii="Arial"/>
          <w:i/>
          <w:sz w:val="14"/>
        </w:rPr>
        <w:t>not</w:t>
      </w:r>
      <w:r>
        <w:rPr>
          <w:rFonts w:ascii="Arial"/>
          <w:i/>
          <w:spacing w:val="-2"/>
          <w:sz w:val="14"/>
        </w:rPr>
        <w:t> </w:t>
      </w:r>
      <w:r>
        <w:rPr>
          <w:rFonts w:ascii="Arial"/>
          <w:i/>
          <w:sz w:val="14"/>
        </w:rPr>
        <w:t>been</w:t>
      </w:r>
      <w:r>
        <w:rPr>
          <w:rFonts w:ascii="Arial"/>
          <w:i/>
          <w:spacing w:val="-3"/>
          <w:sz w:val="14"/>
        </w:rPr>
        <w:t> </w:t>
      </w:r>
      <w:r>
        <w:rPr>
          <w:rFonts w:ascii="Arial"/>
          <w:i/>
          <w:sz w:val="14"/>
        </w:rPr>
        <w:t>included</w:t>
      </w:r>
      <w:r>
        <w:rPr>
          <w:rFonts w:ascii="Arial"/>
          <w:i/>
          <w:spacing w:val="-3"/>
          <w:sz w:val="14"/>
        </w:rPr>
        <w:t> </w:t>
      </w:r>
      <w:r>
        <w:rPr>
          <w:rFonts w:ascii="Arial"/>
          <w:i/>
          <w:sz w:val="14"/>
        </w:rPr>
        <w:t>under</w:t>
      </w:r>
      <w:r>
        <w:rPr>
          <w:rFonts w:ascii="Arial"/>
          <w:i/>
          <w:spacing w:val="-3"/>
          <w:sz w:val="14"/>
        </w:rPr>
        <w:t> </w:t>
      </w:r>
      <w:r>
        <w:rPr>
          <w:rFonts w:ascii="Arial"/>
          <w:i/>
          <w:sz w:val="14"/>
        </w:rPr>
        <w:t>the</w:t>
      </w:r>
      <w:r>
        <w:rPr>
          <w:rFonts w:ascii="Arial"/>
          <w:i/>
          <w:spacing w:val="-3"/>
          <w:sz w:val="14"/>
        </w:rPr>
        <w:t> </w:t>
      </w:r>
      <w:r>
        <w:rPr>
          <w:rFonts w:ascii="Arial"/>
          <w:i/>
          <w:sz w:val="14"/>
        </w:rPr>
        <w:t>fair</w:t>
      </w:r>
      <w:r>
        <w:rPr>
          <w:rFonts w:ascii="Arial"/>
          <w:i/>
          <w:spacing w:val="-3"/>
          <w:sz w:val="14"/>
        </w:rPr>
        <w:t> </w:t>
      </w:r>
      <w:r>
        <w:rPr>
          <w:rFonts w:ascii="Arial"/>
          <w:i/>
          <w:sz w:val="14"/>
        </w:rPr>
        <w:t>value</w:t>
      </w:r>
      <w:r>
        <w:rPr>
          <w:rFonts w:ascii="Arial"/>
          <w:i/>
          <w:spacing w:val="-2"/>
          <w:sz w:val="14"/>
        </w:rPr>
        <w:t> hierarchy.</w:t>
      </w:r>
    </w:p>
    <w:p>
      <w:pPr>
        <w:pStyle w:val="ListParagraph"/>
        <w:numPr>
          <w:ilvl w:val="0"/>
          <w:numId w:val="44"/>
        </w:numPr>
        <w:tabs>
          <w:tab w:pos="926" w:val="left" w:leader="none"/>
        </w:tabs>
        <w:spacing w:line="240" w:lineRule="auto" w:before="34" w:after="0"/>
        <w:ind w:left="926" w:right="0" w:hanging="154"/>
        <w:jc w:val="left"/>
        <w:rPr>
          <w:rFonts w:ascii="Arial"/>
          <w:i/>
          <w:sz w:val="14"/>
        </w:rPr>
      </w:pPr>
      <w:r>
        <w:rPr>
          <w:rFonts w:ascii="Arial"/>
          <w:i/>
          <w:sz w:val="14"/>
        </w:rPr>
        <w:t>Includes</w:t>
      </w:r>
      <w:r>
        <w:rPr>
          <w:rFonts w:ascii="Arial"/>
          <w:i/>
          <w:spacing w:val="-6"/>
          <w:sz w:val="14"/>
        </w:rPr>
        <w:t> </w:t>
      </w:r>
      <w:r>
        <w:rPr>
          <w:rFonts w:ascii="Arial"/>
          <w:i/>
          <w:sz w:val="14"/>
        </w:rPr>
        <w:t>receivables</w:t>
      </w:r>
      <w:r>
        <w:rPr>
          <w:rFonts w:ascii="Arial"/>
          <w:i/>
          <w:spacing w:val="-4"/>
          <w:sz w:val="14"/>
        </w:rPr>
        <w:t> </w:t>
      </w:r>
      <w:r>
        <w:rPr>
          <w:rFonts w:ascii="Arial"/>
          <w:i/>
          <w:sz w:val="14"/>
        </w:rPr>
        <w:t>and</w:t>
      </w:r>
      <w:r>
        <w:rPr>
          <w:rFonts w:ascii="Arial"/>
          <w:i/>
          <w:spacing w:val="-4"/>
          <w:sz w:val="14"/>
        </w:rPr>
        <w:t> </w:t>
      </w:r>
      <w:r>
        <w:rPr>
          <w:rFonts w:ascii="Arial"/>
          <w:i/>
          <w:sz w:val="14"/>
        </w:rPr>
        <w:t>payables</w:t>
      </w:r>
      <w:r>
        <w:rPr>
          <w:rFonts w:ascii="Arial"/>
          <w:i/>
          <w:spacing w:val="-4"/>
          <w:sz w:val="14"/>
        </w:rPr>
        <w:t> </w:t>
      </w:r>
      <w:r>
        <w:rPr>
          <w:rFonts w:ascii="Arial"/>
          <w:i/>
          <w:sz w:val="14"/>
        </w:rPr>
        <w:t>carried</w:t>
      </w:r>
      <w:r>
        <w:rPr>
          <w:rFonts w:ascii="Arial"/>
          <w:i/>
          <w:spacing w:val="-3"/>
          <w:sz w:val="14"/>
        </w:rPr>
        <w:t> </w:t>
      </w:r>
      <w:r>
        <w:rPr>
          <w:rFonts w:ascii="Arial"/>
          <w:i/>
          <w:sz w:val="14"/>
        </w:rPr>
        <w:t>at</w:t>
      </w:r>
      <w:r>
        <w:rPr>
          <w:rFonts w:ascii="Arial"/>
          <w:i/>
          <w:spacing w:val="-4"/>
          <w:sz w:val="14"/>
        </w:rPr>
        <w:t> </w:t>
      </w:r>
      <w:r>
        <w:rPr>
          <w:rFonts w:ascii="Arial"/>
          <w:i/>
          <w:sz w:val="14"/>
        </w:rPr>
        <w:t>amounts</w:t>
      </w:r>
      <w:r>
        <w:rPr>
          <w:rFonts w:ascii="Arial"/>
          <w:i/>
          <w:spacing w:val="-4"/>
          <w:sz w:val="14"/>
        </w:rPr>
        <w:t> </w:t>
      </w:r>
      <w:r>
        <w:rPr>
          <w:rFonts w:ascii="Arial"/>
          <w:i/>
          <w:sz w:val="14"/>
        </w:rPr>
        <w:t>that</w:t>
      </w:r>
      <w:r>
        <w:rPr>
          <w:rFonts w:ascii="Arial"/>
          <w:i/>
          <w:spacing w:val="-4"/>
          <w:sz w:val="14"/>
        </w:rPr>
        <w:t> </w:t>
      </w:r>
      <w:r>
        <w:rPr>
          <w:rFonts w:ascii="Arial"/>
          <w:i/>
          <w:sz w:val="14"/>
        </w:rPr>
        <w:t>approximate</w:t>
      </w:r>
      <w:r>
        <w:rPr>
          <w:rFonts w:ascii="Arial"/>
          <w:i/>
          <w:spacing w:val="-4"/>
          <w:sz w:val="14"/>
        </w:rPr>
        <w:t> </w:t>
      </w:r>
      <w:r>
        <w:rPr>
          <w:rFonts w:ascii="Arial"/>
          <w:i/>
          <w:sz w:val="14"/>
        </w:rPr>
        <w:t>fair</w:t>
      </w:r>
      <w:r>
        <w:rPr>
          <w:rFonts w:ascii="Arial"/>
          <w:i/>
          <w:spacing w:val="-3"/>
          <w:sz w:val="14"/>
        </w:rPr>
        <w:t> </w:t>
      </w:r>
      <w:r>
        <w:rPr>
          <w:rFonts w:ascii="Arial"/>
          <w:i/>
          <w:spacing w:val="-2"/>
          <w:sz w:val="14"/>
        </w:rPr>
        <w:t>value.</w:t>
      </w:r>
    </w:p>
    <w:p>
      <w:pPr>
        <w:pStyle w:val="ListParagraph"/>
        <w:spacing w:after="0" w:line="240" w:lineRule="auto"/>
        <w:jc w:val="left"/>
        <w:rPr>
          <w:rFonts w:ascii="Arial"/>
          <w:i/>
          <w:sz w:val="14"/>
        </w:rPr>
        <w:sectPr>
          <w:headerReference w:type="default" r:id="rId200"/>
          <w:pgSz w:w="12240" w:h="15840"/>
          <w:pgMar w:header="0" w:footer="0" w:top="960" w:bottom="720" w:left="720" w:right="720"/>
        </w:sectPr>
      </w:pPr>
    </w:p>
    <w:p>
      <w:pPr>
        <w:spacing w:before="24"/>
        <w:ind w:left="2820" w:right="0" w:firstLine="0"/>
        <w:jc w:val="center"/>
        <w:rPr>
          <w:rFonts w:ascii="Arial"/>
          <w:i/>
          <w:sz w:val="14"/>
        </w:rPr>
      </w:pPr>
      <w:r>
        <w:rPr>
          <w:rFonts w:ascii="Arial"/>
          <w:i/>
          <w:sz w:val="14"/>
        </w:rPr>
        <mc:AlternateContent>
          <mc:Choice Requires="wps">
            <w:drawing>
              <wp:anchor distT="0" distB="0" distL="0" distR="0" allowOverlap="1" layoutInCell="1" locked="0" behindDoc="1" simplePos="0" relativeHeight="487757824">
                <wp:simplePos x="0" y="0"/>
                <wp:positionH relativeFrom="page">
                  <wp:posOffset>2705100</wp:posOffset>
                </wp:positionH>
                <wp:positionV relativeFrom="paragraph">
                  <wp:posOffset>136525</wp:posOffset>
                </wp:positionV>
                <wp:extent cx="4152900" cy="1270"/>
                <wp:effectExtent l="0" t="0" r="0" b="0"/>
                <wp:wrapTopAndBottom/>
                <wp:docPr id="973" name="Graphic 973"/>
                <wp:cNvGraphicFramePr>
                  <a:graphicFrameLocks/>
                </wp:cNvGraphicFramePr>
                <a:graphic>
                  <a:graphicData uri="http://schemas.microsoft.com/office/word/2010/wordprocessingShape">
                    <wps:wsp>
                      <wps:cNvPr id="973" name="Graphic 973"/>
                      <wps:cNvSpPr/>
                      <wps:spPr>
                        <a:xfrm>
                          <a:off x="0" y="0"/>
                          <a:ext cx="4152900" cy="1270"/>
                        </a:xfrm>
                        <a:custGeom>
                          <a:avLst/>
                          <a:gdLst/>
                          <a:ahLst/>
                          <a:cxnLst/>
                          <a:rect l="l" t="t" r="r" b="b"/>
                          <a:pathLst>
                            <a:path w="4152900" h="0">
                              <a:moveTo>
                                <a:pt x="0" y="0"/>
                              </a:moveTo>
                              <a:lnTo>
                                <a:pt x="4152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3pt;margin-top:10.75pt;width:327pt;height:.1pt;mso-position-horizontal-relative:page;mso-position-vertical-relative:paragraph;z-index:-15558656;mso-wrap-distance-left:0;mso-wrap-distance-right:0" id="docshape807" coordorigin="4260,215" coordsize="6540,0" path="m4260,215l10800,215e" filled="false" stroked="true" strokeweight="1pt" strokecolor="#000000">
                <v:path arrowok="t"/>
                <v:stroke dashstyle="solid"/>
                <w10:wrap type="topAndBottom"/>
              </v:shape>
            </w:pict>
          </mc:Fallback>
        </mc:AlternateContent>
      </w:r>
      <w:r>
        <w:rPr>
          <w:rFonts w:ascii="Arial"/>
          <w:i/>
          <w:sz w:val="14"/>
        </w:rPr>
        <w:t>June</w:t>
      </w:r>
      <w:r>
        <w:rPr>
          <w:rFonts w:ascii="Arial"/>
          <w:i/>
          <w:spacing w:val="-4"/>
          <w:sz w:val="14"/>
        </w:rPr>
        <w:t> </w:t>
      </w:r>
      <w:r>
        <w:rPr>
          <w:rFonts w:ascii="Arial"/>
          <w:i/>
          <w:sz w:val="14"/>
        </w:rPr>
        <w:t>30,</w:t>
      </w:r>
      <w:r>
        <w:rPr>
          <w:rFonts w:ascii="Arial"/>
          <w:i/>
          <w:spacing w:val="-2"/>
          <w:sz w:val="14"/>
        </w:rPr>
        <w:t> </w:t>
      </w:r>
      <w:r>
        <w:rPr>
          <w:rFonts w:ascii="Arial"/>
          <w:i/>
          <w:spacing w:val="-4"/>
          <w:sz w:val="14"/>
        </w:rPr>
        <w:t>2022</w:t>
      </w:r>
    </w:p>
    <w:p>
      <w:pPr>
        <w:tabs>
          <w:tab w:pos="6120" w:val="left" w:leader="none"/>
        </w:tabs>
        <w:spacing w:before="24" w:after="20"/>
        <w:ind w:left="2866" w:right="0" w:firstLine="0"/>
        <w:jc w:val="center"/>
        <w:rPr>
          <w:rFonts w:ascii="Arial"/>
          <w:i/>
          <w:sz w:val="14"/>
        </w:rPr>
      </w:pPr>
      <w:r>
        <w:rPr>
          <w:rFonts w:ascii="Arial"/>
          <w:i/>
          <w:spacing w:val="-5"/>
          <w:sz w:val="14"/>
        </w:rPr>
        <w:t>SRP</w:t>
      </w:r>
      <w:r>
        <w:rPr>
          <w:rFonts w:ascii="Arial"/>
          <w:i/>
          <w:sz w:val="14"/>
        </w:rPr>
        <w:tab/>
      </w:r>
      <w:r>
        <w:rPr>
          <w:rFonts w:ascii="Arial"/>
          <w:i/>
          <w:spacing w:val="-4"/>
          <w:sz w:val="14"/>
        </w:rPr>
        <w:t>RSBP</w:t>
      </w:r>
    </w:p>
    <w:p>
      <w:pPr>
        <w:spacing w:line="20" w:lineRule="exact"/>
        <w:ind w:left="3530" w:right="0" w:firstLine="0"/>
        <w:rPr>
          <w:rFonts w:ascii="Arial"/>
          <w:sz w:val="2"/>
        </w:rPr>
      </w:pPr>
      <w:r>
        <w:rPr>
          <w:rFonts w:ascii="Arial"/>
          <w:sz w:val="2"/>
        </w:rPr>
        <mc:AlternateContent>
          <mc:Choice Requires="wps">
            <w:drawing>
              <wp:inline distT="0" distB="0" distL="0" distR="0">
                <wp:extent cx="4152900" cy="12700"/>
                <wp:effectExtent l="9525" t="0" r="0" b="6350"/>
                <wp:docPr id="974" name="Group 974"/>
                <wp:cNvGraphicFramePr>
                  <a:graphicFrameLocks/>
                </wp:cNvGraphicFramePr>
                <a:graphic>
                  <a:graphicData uri="http://schemas.microsoft.com/office/word/2010/wordprocessingGroup">
                    <wpg:wgp>
                      <wpg:cNvPr id="974" name="Group 974"/>
                      <wpg:cNvGrpSpPr/>
                      <wpg:grpSpPr>
                        <a:xfrm>
                          <a:off x="0" y="0"/>
                          <a:ext cx="4152900" cy="12700"/>
                          <a:chExt cx="4152900" cy="12700"/>
                        </a:xfrm>
                      </wpg:grpSpPr>
                      <wps:wsp>
                        <wps:cNvPr id="975" name="Graphic 975"/>
                        <wps:cNvSpPr/>
                        <wps:spPr>
                          <a:xfrm>
                            <a:off x="0" y="6350"/>
                            <a:ext cx="4152900" cy="1270"/>
                          </a:xfrm>
                          <a:custGeom>
                            <a:avLst/>
                            <a:gdLst/>
                            <a:ahLst/>
                            <a:cxnLst/>
                            <a:rect l="l" t="t" r="r" b="b"/>
                            <a:pathLst>
                              <a:path w="4152900" h="0">
                                <a:moveTo>
                                  <a:pt x="0" y="0"/>
                                </a:moveTo>
                                <a:lnTo>
                                  <a:pt x="2057400" y="0"/>
                                </a:lnTo>
                              </a:path>
                              <a:path w="4152900" h="0">
                                <a:moveTo>
                                  <a:pt x="2095500" y="0"/>
                                </a:moveTo>
                                <a:lnTo>
                                  <a:pt x="41529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7pt;height:1pt;mso-position-horizontal-relative:char;mso-position-vertical-relative:line" id="docshapegroup808" coordorigin="0,0" coordsize="6540,20">
                <v:shape style="position:absolute;left:0;top:10;width:6540;height:2" id="docshape809" coordorigin="0,10" coordsize="6540,0" path="m0,10l3240,10m3300,10l6540,10e" filled="false" stroked="true" strokeweight="1pt" strokecolor="#000000">
                  <v:path arrowok="t"/>
                  <v:stroke dashstyle="solid"/>
                </v:shape>
              </v:group>
            </w:pict>
          </mc:Fallback>
        </mc:AlternateContent>
      </w:r>
      <w:r>
        <w:rPr>
          <w:rFonts w:ascii="Arial"/>
          <w:sz w:val="2"/>
        </w:rPr>
      </w:r>
    </w:p>
    <w:p>
      <w:pPr>
        <w:tabs>
          <w:tab w:pos="3560" w:val="left" w:leader="none"/>
          <w:tab w:pos="4370" w:val="left" w:leader="none"/>
          <w:tab w:pos="5250" w:val="left" w:leader="none"/>
          <w:tab w:pos="6050" w:val="left" w:leader="none"/>
          <w:tab w:pos="6860" w:val="left" w:leader="none"/>
          <w:tab w:pos="7670" w:val="left" w:leader="none"/>
          <w:tab w:pos="8550" w:val="left" w:leader="none"/>
        </w:tabs>
        <w:spacing w:before="24" w:after="30"/>
        <w:ind w:left="2750" w:right="0" w:firstLine="0"/>
        <w:jc w:val="center"/>
        <w:rPr>
          <w:rFonts w:ascii="Arial"/>
          <w:i/>
          <w:sz w:val="14"/>
        </w:rPr>
      </w:pPr>
      <w:r>
        <w:rPr>
          <w:rFonts w:ascii="Arial"/>
          <w:i/>
          <w:sz w:val="14"/>
        </w:rPr>
        <w:t>Level</w:t>
      </w:r>
      <w:r>
        <w:rPr>
          <w:rFonts w:ascii="Arial"/>
          <w:i/>
          <w:spacing w:val="-3"/>
          <w:sz w:val="14"/>
        </w:rPr>
        <w:t> </w:t>
      </w:r>
      <w:r>
        <w:rPr>
          <w:rFonts w:ascii="Arial"/>
          <w:i/>
          <w:spacing w:val="-10"/>
          <w:sz w:val="14"/>
        </w:rPr>
        <w:t>1</w:t>
      </w:r>
      <w:r>
        <w:rPr>
          <w:rFonts w:ascii="Arial"/>
          <w:i/>
          <w:sz w:val="14"/>
        </w:rPr>
        <w:tab/>
        <w:t>Level</w:t>
      </w:r>
      <w:r>
        <w:rPr>
          <w:rFonts w:ascii="Arial"/>
          <w:i/>
          <w:spacing w:val="-3"/>
          <w:sz w:val="14"/>
        </w:rPr>
        <w:t> </w:t>
      </w:r>
      <w:r>
        <w:rPr>
          <w:rFonts w:ascii="Arial"/>
          <w:i/>
          <w:spacing w:val="-10"/>
          <w:sz w:val="14"/>
        </w:rPr>
        <w:t>2</w:t>
      </w:r>
      <w:r>
        <w:rPr>
          <w:rFonts w:ascii="Arial"/>
          <w:i/>
          <w:sz w:val="14"/>
        </w:rPr>
        <w:tab/>
        <w:t>Level</w:t>
      </w:r>
      <w:r>
        <w:rPr>
          <w:rFonts w:ascii="Arial"/>
          <w:i/>
          <w:spacing w:val="-3"/>
          <w:sz w:val="14"/>
        </w:rPr>
        <w:t> </w:t>
      </w:r>
      <w:r>
        <w:rPr>
          <w:rFonts w:ascii="Arial"/>
          <w:i/>
          <w:spacing w:val="-10"/>
          <w:sz w:val="14"/>
        </w:rPr>
        <w:t>3</w:t>
      </w:r>
      <w:r>
        <w:rPr>
          <w:rFonts w:ascii="Arial"/>
          <w:i/>
          <w:sz w:val="14"/>
        </w:rPr>
        <w:tab/>
      </w:r>
      <w:r>
        <w:rPr>
          <w:rFonts w:ascii="Arial"/>
          <w:i/>
          <w:spacing w:val="-4"/>
          <w:sz w:val="14"/>
        </w:rPr>
        <w:t>Total</w:t>
      </w:r>
      <w:r>
        <w:rPr>
          <w:rFonts w:ascii="Arial"/>
          <w:i/>
          <w:sz w:val="14"/>
        </w:rPr>
        <w:tab/>
        <w:t>Level</w:t>
      </w:r>
      <w:r>
        <w:rPr>
          <w:rFonts w:ascii="Arial"/>
          <w:i/>
          <w:spacing w:val="-5"/>
          <w:sz w:val="14"/>
        </w:rPr>
        <w:t> </w:t>
      </w:r>
      <w:r>
        <w:rPr>
          <w:rFonts w:ascii="Arial"/>
          <w:i/>
          <w:spacing w:val="-10"/>
          <w:sz w:val="14"/>
        </w:rPr>
        <w:t>1</w:t>
      </w:r>
      <w:r>
        <w:rPr>
          <w:rFonts w:ascii="Arial"/>
          <w:i/>
          <w:sz w:val="14"/>
        </w:rPr>
        <w:tab/>
        <w:t>Level</w:t>
      </w:r>
      <w:r>
        <w:rPr>
          <w:rFonts w:ascii="Arial"/>
          <w:i/>
          <w:spacing w:val="-5"/>
          <w:sz w:val="14"/>
        </w:rPr>
        <w:t> </w:t>
      </w:r>
      <w:r>
        <w:rPr>
          <w:rFonts w:ascii="Arial"/>
          <w:i/>
          <w:spacing w:val="-10"/>
          <w:sz w:val="14"/>
        </w:rPr>
        <w:t>2</w:t>
      </w:r>
      <w:r>
        <w:rPr>
          <w:rFonts w:ascii="Arial"/>
          <w:i/>
          <w:sz w:val="14"/>
        </w:rPr>
        <w:tab/>
        <w:t>Level</w:t>
      </w:r>
      <w:r>
        <w:rPr>
          <w:rFonts w:ascii="Arial"/>
          <w:i/>
          <w:spacing w:val="-5"/>
          <w:sz w:val="14"/>
        </w:rPr>
        <w:t> </w:t>
      </w:r>
      <w:r>
        <w:rPr>
          <w:rFonts w:ascii="Arial"/>
          <w:i/>
          <w:spacing w:val="-10"/>
          <w:sz w:val="14"/>
        </w:rPr>
        <w:t>3</w:t>
      </w:r>
      <w:r>
        <w:rPr>
          <w:rFonts w:ascii="Arial"/>
          <w:i/>
          <w:sz w:val="14"/>
        </w:rPr>
        <w:tab/>
      </w:r>
      <w:r>
        <w:rPr>
          <w:rFonts w:ascii="Arial"/>
          <w:i/>
          <w:spacing w:val="-2"/>
          <w:sz w:val="14"/>
        </w:rPr>
        <w:t>Total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0"/>
        <w:gridCol w:w="806"/>
        <w:gridCol w:w="810"/>
        <w:gridCol w:w="810"/>
        <w:gridCol w:w="840"/>
        <w:gridCol w:w="840"/>
        <w:gridCol w:w="810"/>
        <w:gridCol w:w="810"/>
        <w:gridCol w:w="815"/>
      </w:tblGrid>
      <w:tr>
        <w:trPr>
          <w:trHeight w:val="219" w:hRule="atLeast"/>
        </w:trPr>
        <w:tc>
          <w:tcPr>
            <w:tcW w:w="2820" w:type="dxa"/>
          </w:tcPr>
          <w:p>
            <w:pPr>
              <w:pStyle w:val="TableParagraph"/>
              <w:spacing w:before="24"/>
              <w:ind w:left="52"/>
              <w:rPr>
                <w:rFonts w:ascii="Arial"/>
                <w:i/>
                <w:sz w:val="14"/>
              </w:rPr>
            </w:pPr>
            <w:r>
              <w:rPr>
                <w:rFonts w:ascii="Arial"/>
                <w:i/>
                <w:sz w:val="14"/>
              </w:rPr>
              <w:t>Debt</w:t>
            </w:r>
            <w:r>
              <w:rPr>
                <w:rFonts w:ascii="Arial"/>
                <w:i/>
                <w:spacing w:val="-5"/>
                <w:sz w:val="14"/>
              </w:rPr>
              <w:t> </w:t>
            </w:r>
            <w:r>
              <w:rPr>
                <w:rFonts w:ascii="Arial"/>
                <w:i/>
                <w:spacing w:val="-2"/>
                <w:sz w:val="14"/>
              </w:rPr>
              <w:t>securities</w:t>
            </w:r>
          </w:p>
        </w:tc>
        <w:tc>
          <w:tcPr>
            <w:tcW w:w="6541" w:type="dxa"/>
            <w:gridSpan w:val="8"/>
            <w:tcBorders>
              <w:top w:val="single" w:sz="8" w:space="0" w:color="000000"/>
            </w:tcBorders>
          </w:tcPr>
          <w:p>
            <w:pPr>
              <w:pStyle w:val="TableParagraph"/>
              <w:rPr>
                <w:rFonts w:ascii="Times New Roman"/>
                <w:sz w:val="14"/>
              </w:rPr>
            </w:pPr>
          </w:p>
        </w:tc>
      </w:tr>
      <w:tr>
        <w:trPr>
          <w:trHeight w:val="230" w:hRule="atLeast"/>
        </w:trPr>
        <w:tc>
          <w:tcPr>
            <w:tcW w:w="2820" w:type="dxa"/>
          </w:tcPr>
          <w:p>
            <w:pPr>
              <w:pStyle w:val="TableParagraph"/>
              <w:spacing w:before="29"/>
              <w:ind w:left="232"/>
              <w:rPr>
                <w:sz w:val="14"/>
              </w:rPr>
            </w:pPr>
            <w:r>
              <w:rPr>
                <w:sz w:val="14"/>
              </w:rPr>
              <w:t>Short-term</w:t>
            </w:r>
            <w:r>
              <w:rPr>
                <w:spacing w:val="-4"/>
                <w:sz w:val="14"/>
              </w:rPr>
              <w:t> </w:t>
            </w:r>
            <w:r>
              <w:rPr>
                <w:spacing w:val="-2"/>
                <w:sz w:val="14"/>
              </w:rPr>
              <w:t>investments</w:t>
            </w:r>
          </w:p>
        </w:tc>
        <w:tc>
          <w:tcPr>
            <w:tcW w:w="806" w:type="dxa"/>
          </w:tcPr>
          <w:p>
            <w:pPr>
              <w:pStyle w:val="TableParagraph"/>
              <w:tabs>
                <w:tab w:pos="540" w:val="left" w:leader="none"/>
              </w:tabs>
              <w:spacing w:before="29"/>
              <w:ind w:right="55"/>
              <w:jc w:val="right"/>
              <w:rPr>
                <w:sz w:val="14"/>
              </w:rPr>
            </w:pPr>
            <w:r>
              <w:rPr>
                <w:spacing w:val="-10"/>
                <w:sz w:val="14"/>
              </w:rPr>
              <w:t>$</w:t>
            </w:r>
            <w:r>
              <w:rPr>
                <w:sz w:val="14"/>
              </w:rPr>
              <w:tab/>
            </w:r>
            <w:r>
              <w:rPr>
                <w:spacing w:val="-5"/>
                <w:sz w:val="14"/>
              </w:rPr>
              <w:t>20</w:t>
            </w:r>
          </w:p>
        </w:tc>
        <w:tc>
          <w:tcPr>
            <w:tcW w:w="810" w:type="dxa"/>
          </w:tcPr>
          <w:p>
            <w:pPr>
              <w:pStyle w:val="TableParagraph"/>
              <w:tabs>
                <w:tab w:pos="555" w:val="left" w:leader="none"/>
              </w:tabs>
              <w:spacing w:before="29"/>
              <w:ind w:right="55"/>
              <w:jc w:val="right"/>
              <w:rPr>
                <w:sz w:val="14"/>
              </w:rPr>
            </w:pPr>
            <w:r>
              <w:rPr>
                <w:spacing w:val="-10"/>
                <w:sz w:val="14"/>
              </w:rPr>
              <w:t>$</w:t>
            </w:r>
            <w:r>
              <w:rPr>
                <w:sz w:val="14"/>
              </w:rPr>
              <w:tab/>
              <w:t>—</w:t>
            </w:r>
          </w:p>
        </w:tc>
        <w:tc>
          <w:tcPr>
            <w:tcW w:w="810" w:type="dxa"/>
          </w:tcPr>
          <w:p>
            <w:pPr>
              <w:pStyle w:val="TableParagraph"/>
              <w:tabs>
                <w:tab w:pos="555" w:val="left" w:leader="none"/>
              </w:tabs>
              <w:spacing w:before="29"/>
              <w:ind w:right="55"/>
              <w:jc w:val="right"/>
              <w:rPr>
                <w:sz w:val="14"/>
              </w:rPr>
            </w:pPr>
            <w:r>
              <w:rPr>
                <w:spacing w:val="-10"/>
                <w:sz w:val="14"/>
              </w:rPr>
              <w:t>$</w:t>
            </w:r>
            <w:r>
              <w:rPr>
                <w:sz w:val="14"/>
              </w:rPr>
              <w:tab/>
              <w:t>—</w:t>
            </w:r>
          </w:p>
        </w:tc>
        <w:tc>
          <w:tcPr>
            <w:tcW w:w="840" w:type="dxa"/>
          </w:tcPr>
          <w:p>
            <w:pPr>
              <w:pStyle w:val="TableParagraph"/>
              <w:tabs>
                <w:tab w:pos="540" w:val="left" w:leader="none"/>
              </w:tabs>
              <w:spacing w:before="29"/>
              <w:ind w:right="85"/>
              <w:jc w:val="right"/>
              <w:rPr>
                <w:sz w:val="14"/>
              </w:rPr>
            </w:pPr>
            <w:r>
              <w:rPr>
                <w:spacing w:val="-10"/>
                <w:sz w:val="14"/>
              </w:rPr>
              <w:t>$</w:t>
            </w:r>
            <w:r>
              <w:rPr>
                <w:sz w:val="14"/>
              </w:rPr>
              <w:tab/>
            </w:r>
            <w:r>
              <w:rPr>
                <w:spacing w:val="-5"/>
                <w:sz w:val="14"/>
              </w:rPr>
              <w:t>20</w:t>
            </w:r>
          </w:p>
        </w:tc>
        <w:tc>
          <w:tcPr>
            <w:tcW w:w="840" w:type="dxa"/>
          </w:tcPr>
          <w:p>
            <w:pPr>
              <w:pStyle w:val="TableParagraph"/>
              <w:tabs>
                <w:tab w:pos="617" w:val="left" w:leader="none"/>
              </w:tabs>
              <w:spacing w:before="29"/>
              <w:ind w:right="55"/>
              <w:jc w:val="right"/>
              <w:rPr>
                <w:sz w:val="14"/>
              </w:rPr>
            </w:pPr>
            <w:r>
              <w:rPr>
                <w:spacing w:val="-10"/>
                <w:sz w:val="14"/>
              </w:rPr>
              <w:t>$</w:t>
            </w:r>
            <w:r>
              <w:rPr>
                <w:sz w:val="14"/>
              </w:rPr>
              <w:tab/>
            </w:r>
            <w:r>
              <w:rPr>
                <w:spacing w:val="-10"/>
                <w:sz w:val="14"/>
              </w:rPr>
              <w:t>3</w:t>
            </w:r>
          </w:p>
        </w:tc>
        <w:tc>
          <w:tcPr>
            <w:tcW w:w="810" w:type="dxa"/>
          </w:tcPr>
          <w:p>
            <w:pPr>
              <w:pStyle w:val="TableParagraph"/>
              <w:tabs>
                <w:tab w:pos="555" w:val="left" w:leader="none"/>
              </w:tabs>
              <w:spacing w:before="29"/>
              <w:ind w:right="55"/>
              <w:jc w:val="right"/>
              <w:rPr>
                <w:sz w:val="14"/>
              </w:rPr>
            </w:pPr>
            <w:r>
              <w:rPr>
                <w:spacing w:val="-10"/>
                <w:sz w:val="14"/>
              </w:rPr>
              <w:t>$</w:t>
            </w:r>
            <w:r>
              <w:rPr>
                <w:sz w:val="14"/>
              </w:rPr>
              <w:tab/>
              <w:t>—</w:t>
            </w:r>
          </w:p>
        </w:tc>
        <w:tc>
          <w:tcPr>
            <w:tcW w:w="810" w:type="dxa"/>
          </w:tcPr>
          <w:p>
            <w:pPr>
              <w:pStyle w:val="TableParagraph"/>
              <w:tabs>
                <w:tab w:pos="555" w:val="left" w:leader="none"/>
              </w:tabs>
              <w:spacing w:before="29"/>
              <w:ind w:right="55"/>
              <w:jc w:val="right"/>
              <w:rPr>
                <w:sz w:val="14"/>
              </w:rPr>
            </w:pPr>
            <w:r>
              <w:rPr>
                <w:spacing w:val="-10"/>
                <w:sz w:val="14"/>
              </w:rPr>
              <w:t>$</w:t>
            </w:r>
            <w:r>
              <w:rPr>
                <w:sz w:val="14"/>
              </w:rPr>
              <w:tab/>
              <w:t>—</w:t>
            </w:r>
          </w:p>
        </w:tc>
        <w:tc>
          <w:tcPr>
            <w:tcW w:w="815" w:type="dxa"/>
          </w:tcPr>
          <w:p>
            <w:pPr>
              <w:pStyle w:val="TableParagraph"/>
              <w:tabs>
                <w:tab w:pos="617" w:val="left" w:leader="none"/>
              </w:tabs>
              <w:spacing w:before="29"/>
              <w:ind w:right="60"/>
              <w:jc w:val="right"/>
              <w:rPr>
                <w:sz w:val="14"/>
              </w:rPr>
            </w:pPr>
            <w:r>
              <w:rPr>
                <w:spacing w:val="-10"/>
                <w:sz w:val="14"/>
              </w:rPr>
              <w:t>$</w:t>
            </w:r>
            <w:r>
              <w:rPr>
                <w:sz w:val="14"/>
              </w:rPr>
              <w:tab/>
            </w:r>
            <w:r>
              <w:rPr>
                <w:spacing w:val="-10"/>
                <w:sz w:val="14"/>
              </w:rPr>
              <w:t>3</w:t>
            </w:r>
          </w:p>
        </w:tc>
      </w:tr>
      <w:tr>
        <w:trPr>
          <w:trHeight w:val="196" w:hRule="atLeast"/>
        </w:trPr>
        <w:tc>
          <w:tcPr>
            <w:tcW w:w="2820" w:type="dxa"/>
          </w:tcPr>
          <w:p>
            <w:pPr>
              <w:pStyle w:val="TableParagraph"/>
              <w:spacing w:line="141" w:lineRule="exact" w:before="35"/>
              <w:ind w:left="232"/>
              <w:rPr>
                <w:sz w:val="14"/>
              </w:rPr>
            </w:pPr>
            <w:r>
              <w:rPr>
                <w:sz w:val="14"/>
              </w:rPr>
              <w:t>Securities</w:t>
            </w:r>
            <w:r>
              <w:rPr>
                <w:spacing w:val="-5"/>
                <w:sz w:val="14"/>
              </w:rPr>
              <w:t> </w:t>
            </w:r>
            <w:r>
              <w:rPr>
                <w:sz w:val="14"/>
              </w:rPr>
              <w:t>purchased</w:t>
            </w:r>
            <w:r>
              <w:rPr>
                <w:spacing w:val="-5"/>
                <w:sz w:val="14"/>
              </w:rPr>
              <w:t> </w:t>
            </w:r>
            <w:r>
              <w:rPr>
                <w:sz w:val="14"/>
              </w:rPr>
              <w:t>under</w:t>
            </w:r>
            <w:r>
              <w:rPr>
                <w:spacing w:val="-5"/>
                <w:sz w:val="14"/>
              </w:rPr>
              <w:t> </w:t>
            </w:r>
            <w:r>
              <w:rPr>
                <w:spacing w:val="-2"/>
                <w:sz w:val="14"/>
              </w:rPr>
              <w:t>resale</w:t>
            </w:r>
          </w:p>
        </w:tc>
        <w:tc>
          <w:tcPr>
            <w:tcW w:w="806" w:type="dxa"/>
          </w:tcPr>
          <w:p>
            <w:pPr>
              <w:pStyle w:val="TableParagraph"/>
              <w:rPr>
                <w:rFonts w:ascii="Times New Roman"/>
                <w:sz w:val="12"/>
              </w:rPr>
            </w:pPr>
          </w:p>
        </w:tc>
        <w:tc>
          <w:tcPr>
            <w:tcW w:w="810" w:type="dxa"/>
          </w:tcPr>
          <w:p>
            <w:pPr>
              <w:pStyle w:val="TableParagraph"/>
              <w:rPr>
                <w:rFonts w:ascii="Times New Roman"/>
                <w:sz w:val="12"/>
              </w:rPr>
            </w:pPr>
          </w:p>
        </w:tc>
        <w:tc>
          <w:tcPr>
            <w:tcW w:w="810" w:type="dxa"/>
          </w:tcPr>
          <w:p>
            <w:pPr>
              <w:pStyle w:val="TableParagraph"/>
              <w:rPr>
                <w:rFonts w:ascii="Times New Roman"/>
                <w:sz w:val="12"/>
              </w:rPr>
            </w:pPr>
          </w:p>
        </w:tc>
        <w:tc>
          <w:tcPr>
            <w:tcW w:w="840" w:type="dxa"/>
          </w:tcPr>
          <w:p>
            <w:pPr>
              <w:pStyle w:val="TableParagraph"/>
              <w:rPr>
                <w:rFonts w:ascii="Times New Roman"/>
                <w:sz w:val="12"/>
              </w:rPr>
            </w:pPr>
          </w:p>
        </w:tc>
        <w:tc>
          <w:tcPr>
            <w:tcW w:w="840" w:type="dxa"/>
          </w:tcPr>
          <w:p>
            <w:pPr>
              <w:pStyle w:val="TableParagraph"/>
              <w:rPr>
                <w:rFonts w:ascii="Times New Roman"/>
                <w:sz w:val="12"/>
              </w:rPr>
            </w:pPr>
          </w:p>
        </w:tc>
        <w:tc>
          <w:tcPr>
            <w:tcW w:w="810" w:type="dxa"/>
          </w:tcPr>
          <w:p>
            <w:pPr>
              <w:pStyle w:val="TableParagraph"/>
              <w:rPr>
                <w:rFonts w:ascii="Times New Roman"/>
                <w:sz w:val="12"/>
              </w:rPr>
            </w:pPr>
          </w:p>
        </w:tc>
        <w:tc>
          <w:tcPr>
            <w:tcW w:w="810" w:type="dxa"/>
          </w:tcPr>
          <w:p>
            <w:pPr>
              <w:pStyle w:val="TableParagraph"/>
              <w:rPr>
                <w:rFonts w:ascii="Times New Roman"/>
                <w:sz w:val="12"/>
              </w:rPr>
            </w:pPr>
          </w:p>
        </w:tc>
        <w:tc>
          <w:tcPr>
            <w:tcW w:w="815" w:type="dxa"/>
          </w:tcPr>
          <w:p>
            <w:pPr>
              <w:pStyle w:val="TableParagraph"/>
              <w:rPr>
                <w:rFonts w:ascii="Times New Roman"/>
                <w:sz w:val="12"/>
              </w:rPr>
            </w:pPr>
          </w:p>
        </w:tc>
      </w:tr>
      <w:tr>
        <w:trPr>
          <w:trHeight w:val="202" w:hRule="atLeast"/>
        </w:trPr>
        <w:tc>
          <w:tcPr>
            <w:tcW w:w="2820" w:type="dxa"/>
          </w:tcPr>
          <w:p>
            <w:pPr>
              <w:pStyle w:val="TableParagraph"/>
              <w:spacing w:line="156" w:lineRule="exact"/>
              <w:ind w:left="322"/>
              <w:rPr>
                <w:sz w:val="14"/>
              </w:rPr>
            </w:pPr>
            <w:r>
              <w:rPr>
                <w:spacing w:val="-2"/>
                <w:sz w:val="14"/>
              </w:rPr>
              <w:t>agreements</w:t>
            </w:r>
          </w:p>
        </w:tc>
        <w:tc>
          <w:tcPr>
            <w:tcW w:w="806" w:type="dxa"/>
          </w:tcPr>
          <w:p>
            <w:pPr>
              <w:pStyle w:val="TableParagraph"/>
              <w:spacing w:line="156" w:lineRule="exact"/>
              <w:ind w:right="55"/>
              <w:jc w:val="right"/>
              <w:rPr>
                <w:sz w:val="14"/>
              </w:rPr>
            </w:pPr>
            <w:r>
              <w:rPr>
                <w:spacing w:val="-5"/>
                <w:sz w:val="14"/>
              </w:rPr>
              <w:t>139</w:t>
            </w:r>
          </w:p>
        </w:tc>
        <w:tc>
          <w:tcPr>
            <w:tcW w:w="810" w:type="dxa"/>
          </w:tcPr>
          <w:p>
            <w:pPr>
              <w:pStyle w:val="TableParagraph"/>
              <w:spacing w:line="156" w:lineRule="exact"/>
              <w:ind w:right="55"/>
              <w:jc w:val="right"/>
              <w:rPr>
                <w:sz w:val="14"/>
              </w:rPr>
            </w:pPr>
            <w:r>
              <w:rPr>
                <w:sz w:val="14"/>
              </w:rPr>
              <w:t>—</w:t>
            </w:r>
          </w:p>
        </w:tc>
        <w:tc>
          <w:tcPr>
            <w:tcW w:w="810" w:type="dxa"/>
          </w:tcPr>
          <w:p>
            <w:pPr>
              <w:pStyle w:val="TableParagraph"/>
              <w:spacing w:line="156" w:lineRule="exact"/>
              <w:ind w:right="55"/>
              <w:jc w:val="right"/>
              <w:rPr>
                <w:sz w:val="14"/>
              </w:rPr>
            </w:pPr>
            <w:r>
              <w:rPr>
                <w:sz w:val="14"/>
              </w:rPr>
              <w:t>—</w:t>
            </w:r>
          </w:p>
        </w:tc>
        <w:tc>
          <w:tcPr>
            <w:tcW w:w="840" w:type="dxa"/>
          </w:tcPr>
          <w:p>
            <w:pPr>
              <w:pStyle w:val="TableParagraph"/>
              <w:spacing w:line="156" w:lineRule="exact"/>
              <w:ind w:right="85"/>
              <w:jc w:val="right"/>
              <w:rPr>
                <w:sz w:val="14"/>
              </w:rPr>
            </w:pPr>
            <w:r>
              <w:rPr>
                <w:spacing w:val="-5"/>
                <w:sz w:val="14"/>
              </w:rPr>
              <w:t>139</w:t>
            </w:r>
          </w:p>
        </w:tc>
        <w:tc>
          <w:tcPr>
            <w:tcW w:w="840" w:type="dxa"/>
          </w:tcPr>
          <w:p>
            <w:pPr>
              <w:pStyle w:val="TableParagraph"/>
              <w:spacing w:line="156" w:lineRule="exact"/>
              <w:ind w:right="55"/>
              <w:jc w:val="right"/>
              <w:rPr>
                <w:sz w:val="14"/>
              </w:rPr>
            </w:pPr>
            <w:r>
              <w:rPr>
                <w:spacing w:val="-5"/>
                <w:sz w:val="14"/>
              </w:rPr>
              <w:t>37</w:t>
            </w:r>
          </w:p>
        </w:tc>
        <w:tc>
          <w:tcPr>
            <w:tcW w:w="810" w:type="dxa"/>
          </w:tcPr>
          <w:p>
            <w:pPr>
              <w:pStyle w:val="TableParagraph"/>
              <w:spacing w:line="156" w:lineRule="exact"/>
              <w:ind w:right="55"/>
              <w:jc w:val="right"/>
              <w:rPr>
                <w:sz w:val="14"/>
              </w:rPr>
            </w:pPr>
            <w:r>
              <w:rPr>
                <w:sz w:val="14"/>
              </w:rPr>
              <w:t>—</w:t>
            </w:r>
          </w:p>
        </w:tc>
        <w:tc>
          <w:tcPr>
            <w:tcW w:w="810" w:type="dxa"/>
          </w:tcPr>
          <w:p>
            <w:pPr>
              <w:pStyle w:val="TableParagraph"/>
              <w:spacing w:line="156" w:lineRule="exact"/>
              <w:ind w:right="55"/>
              <w:jc w:val="right"/>
              <w:rPr>
                <w:sz w:val="14"/>
              </w:rPr>
            </w:pPr>
            <w:r>
              <w:rPr>
                <w:sz w:val="14"/>
              </w:rPr>
              <w:t>—</w:t>
            </w:r>
          </w:p>
        </w:tc>
        <w:tc>
          <w:tcPr>
            <w:tcW w:w="815" w:type="dxa"/>
          </w:tcPr>
          <w:p>
            <w:pPr>
              <w:pStyle w:val="TableParagraph"/>
              <w:spacing w:line="156" w:lineRule="exact"/>
              <w:ind w:right="60"/>
              <w:jc w:val="right"/>
              <w:rPr>
                <w:sz w:val="14"/>
              </w:rPr>
            </w:pPr>
            <w:r>
              <w:rPr>
                <w:spacing w:val="-5"/>
                <w:sz w:val="14"/>
              </w:rPr>
              <w:t>37</w:t>
            </w:r>
          </w:p>
        </w:tc>
      </w:tr>
      <w:tr>
        <w:trPr>
          <w:trHeight w:val="225" w:hRule="atLeast"/>
        </w:trPr>
        <w:tc>
          <w:tcPr>
            <w:tcW w:w="2820" w:type="dxa"/>
          </w:tcPr>
          <w:p>
            <w:pPr>
              <w:pStyle w:val="TableParagraph"/>
              <w:spacing w:before="29"/>
              <w:ind w:left="232"/>
              <w:rPr>
                <w:sz w:val="14"/>
              </w:rPr>
            </w:pPr>
            <w:r>
              <w:rPr>
                <w:sz w:val="14"/>
              </w:rPr>
              <w:t>Government</w:t>
            </w:r>
            <w:r>
              <w:rPr>
                <w:spacing w:val="-4"/>
                <w:sz w:val="14"/>
              </w:rPr>
              <w:t> </w:t>
            </w:r>
            <w:r>
              <w:rPr>
                <w:sz w:val="14"/>
              </w:rPr>
              <w:t>and</w:t>
            </w:r>
            <w:r>
              <w:rPr>
                <w:spacing w:val="-4"/>
                <w:sz w:val="14"/>
              </w:rPr>
              <w:t> </w:t>
            </w:r>
            <w:r>
              <w:rPr>
                <w:sz w:val="14"/>
              </w:rPr>
              <w:t>agency</w:t>
            </w:r>
            <w:r>
              <w:rPr>
                <w:spacing w:val="-3"/>
                <w:sz w:val="14"/>
              </w:rPr>
              <w:t> </w:t>
            </w:r>
            <w:r>
              <w:rPr>
                <w:spacing w:val="-2"/>
                <w:sz w:val="14"/>
              </w:rPr>
              <w:t>securities</w:t>
            </w:r>
          </w:p>
        </w:tc>
        <w:tc>
          <w:tcPr>
            <w:tcW w:w="806" w:type="dxa"/>
          </w:tcPr>
          <w:p>
            <w:pPr>
              <w:pStyle w:val="TableParagraph"/>
              <w:spacing w:before="29"/>
              <w:ind w:right="55"/>
              <w:jc w:val="right"/>
              <w:rPr>
                <w:sz w:val="14"/>
              </w:rPr>
            </w:pPr>
            <w:r>
              <w:rPr>
                <w:spacing w:val="-2"/>
                <w:sz w:val="14"/>
              </w:rPr>
              <w:t>2,779</w:t>
            </w:r>
          </w:p>
        </w:tc>
        <w:tc>
          <w:tcPr>
            <w:tcW w:w="810" w:type="dxa"/>
          </w:tcPr>
          <w:p>
            <w:pPr>
              <w:pStyle w:val="TableParagraph"/>
              <w:spacing w:before="29"/>
              <w:ind w:right="55"/>
              <w:jc w:val="right"/>
              <w:rPr>
                <w:sz w:val="14"/>
              </w:rPr>
            </w:pPr>
            <w:r>
              <w:rPr>
                <w:spacing w:val="-5"/>
                <w:sz w:val="14"/>
              </w:rPr>
              <w:t>451</w:t>
            </w:r>
          </w:p>
        </w:tc>
        <w:tc>
          <w:tcPr>
            <w:tcW w:w="810" w:type="dxa"/>
          </w:tcPr>
          <w:p>
            <w:pPr>
              <w:pStyle w:val="TableParagraph"/>
              <w:spacing w:before="29"/>
              <w:ind w:right="55"/>
              <w:jc w:val="right"/>
              <w:rPr>
                <w:sz w:val="14"/>
              </w:rPr>
            </w:pPr>
            <w:r>
              <w:rPr>
                <w:sz w:val="14"/>
              </w:rPr>
              <w:t>—</w:t>
            </w:r>
          </w:p>
        </w:tc>
        <w:tc>
          <w:tcPr>
            <w:tcW w:w="840" w:type="dxa"/>
          </w:tcPr>
          <w:p>
            <w:pPr>
              <w:pStyle w:val="TableParagraph"/>
              <w:spacing w:before="29"/>
              <w:ind w:right="85"/>
              <w:jc w:val="right"/>
              <w:rPr>
                <w:sz w:val="14"/>
              </w:rPr>
            </w:pPr>
            <w:r>
              <w:rPr>
                <w:spacing w:val="-2"/>
                <w:sz w:val="14"/>
              </w:rPr>
              <w:t>3,230</w:t>
            </w:r>
          </w:p>
        </w:tc>
        <w:tc>
          <w:tcPr>
            <w:tcW w:w="840" w:type="dxa"/>
          </w:tcPr>
          <w:p>
            <w:pPr>
              <w:pStyle w:val="TableParagraph"/>
              <w:spacing w:before="29"/>
              <w:ind w:right="55"/>
              <w:jc w:val="right"/>
              <w:rPr>
                <w:sz w:val="14"/>
              </w:rPr>
            </w:pPr>
            <w:r>
              <w:rPr>
                <w:spacing w:val="-5"/>
                <w:sz w:val="14"/>
              </w:rPr>
              <w:t>513</w:t>
            </w:r>
          </w:p>
        </w:tc>
        <w:tc>
          <w:tcPr>
            <w:tcW w:w="810" w:type="dxa"/>
          </w:tcPr>
          <w:p>
            <w:pPr>
              <w:pStyle w:val="TableParagraph"/>
              <w:spacing w:before="29"/>
              <w:ind w:right="55"/>
              <w:jc w:val="right"/>
              <w:rPr>
                <w:sz w:val="14"/>
              </w:rPr>
            </w:pPr>
            <w:r>
              <w:rPr>
                <w:spacing w:val="-5"/>
                <w:sz w:val="14"/>
              </w:rPr>
              <w:t>95</w:t>
            </w:r>
          </w:p>
        </w:tc>
        <w:tc>
          <w:tcPr>
            <w:tcW w:w="810" w:type="dxa"/>
          </w:tcPr>
          <w:p>
            <w:pPr>
              <w:pStyle w:val="TableParagraph"/>
              <w:spacing w:before="29"/>
              <w:ind w:right="55"/>
              <w:jc w:val="right"/>
              <w:rPr>
                <w:sz w:val="14"/>
              </w:rPr>
            </w:pPr>
            <w:r>
              <w:rPr>
                <w:sz w:val="14"/>
              </w:rPr>
              <w:t>—</w:t>
            </w:r>
          </w:p>
        </w:tc>
        <w:tc>
          <w:tcPr>
            <w:tcW w:w="815" w:type="dxa"/>
          </w:tcPr>
          <w:p>
            <w:pPr>
              <w:pStyle w:val="TableParagraph"/>
              <w:spacing w:before="29"/>
              <w:ind w:right="60"/>
              <w:jc w:val="right"/>
              <w:rPr>
                <w:sz w:val="14"/>
              </w:rPr>
            </w:pPr>
            <w:r>
              <w:rPr>
                <w:spacing w:val="-5"/>
                <w:sz w:val="14"/>
              </w:rPr>
              <w:t>608</w:t>
            </w:r>
          </w:p>
        </w:tc>
      </w:tr>
      <w:tr>
        <w:trPr>
          <w:trHeight w:val="225" w:hRule="atLeast"/>
        </w:trPr>
        <w:tc>
          <w:tcPr>
            <w:tcW w:w="2820" w:type="dxa"/>
          </w:tcPr>
          <w:p>
            <w:pPr>
              <w:pStyle w:val="TableParagraph"/>
              <w:spacing w:before="29"/>
              <w:ind w:left="232"/>
              <w:rPr>
                <w:sz w:val="14"/>
              </w:rPr>
            </w:pPr>
            <w:r>
              <w:rPr>
                <w:sz w:val="14"/>
              </w:rPr>
              <w:t>Corporate</w:t>
            </w:r>
            <w:r>
              <w:rPr>
                <w:spacing w:val="-5"/>
                <w:sz w:val="14"/>
              </w:rPr>
              <w:t> </w:t>
            </w:r>
            <w:r>
              <w:rPr>
                <w:sz w:val="14"/>
              </w:rPr>
              <w:t>and</w:t>
            </w:r>
            <w:r>
              <w:rPr>
                <w:spacing w:val="-4"/>
                <w:sz w:val="14"/>
              </w:rPr>
              <w:t> </w:t>
            </w:r>
            <w:r>
              <w:rPr>
                <w:sz w:val="14"/>
              </w:rPr>
              <w:t>convertible</w:t>
            </w:r>
            <w:r>
              <w:rPr>
                <w:spacing w:val="-4"/>
                <w:sz w:val="14"/>
              </w:rPr>
              <w:t> </w:t>
            </w:r>
            <w:r>
              <w:rPr>
                <w:spacing w:val="-2"/>
                <w:sz w:val="14"/>
              </w:rPr>
              <w:t>bonds</w:t>
            </w:r>
          </w:p>
        </w:tc>
        <w:tc>
          <w:tcPr>
            <w:tcW w:w="806"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pacing w:val="-5"/>
                <w:sz w:val="14"/>
              </w:rPr>
              <w:t>537</w:t>
            </w:r>
          </w:p>
        </w:tc>
        <w:tc>
          <w:tcPr>
            <w:tcW w:w="810" w:type="dxa"/>
          </w:tcPr>
          <w:p>
            <w:pPr>
              <w:pStyle w:val="TableParagraph"/>
              <w:spacing w:before="29"/>
              <w:ind w:right="55"/>
              <w:jc w:val="right"/>
              <w:rPr>
                <w:sz w:val="14"/>
              </w:rPr>
            </w:pPr>
            <w:r>
              <w:rPr>
                <w:sz w:val="14"/>
              </w:rPr>
              <w:t>—</w:t>
            </w:r>
          </w:p>
        </w:tc>
        <w:tc>
          <w:tcPr>
            <w:tcW w:w="840" w:type="dxa"/>
          </w:tcPr>
          <w:p>
            <w:pPr>
              <w:pStyle w:val="TableParagraph"/>
              <w:spacing w:before="29"/>
              <w:ind w:right="85"/>
              <w:jc w:val="right"/>
              <w:rPr>
                <w:sz w:val="14"/>
              </w:rPr>
            </w:pPr>
            <w:r>
              <w:rPr>
                <w:spacing w:val="-5"/>
                <w:sz w:val="14"/>
              </w:rPr>
              <w:t>537</w:t>
            </w:r>
          </w:p>
        </w:tc>
        <w:tc>
          <w:tcPr>
            <w:tcW w:w="84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pacing w:val="-5"/>
                <w:sz w:val="14"/>
              </w:rPr>
              <w:t>98</w:t>
            </w:r>
          </w:p>
        </w:tc>
        <w:tc>
          <w:tcPr>
            <w:tcW w:w="810" w:type="dxa"/>
          </w:tcPr>
          <w:p>
            <w:pPr>
              <w:pStyle w:val="TableParagraph"/>
              <w:spacing w:before="29"/>
              <w:ind w:right="55"/>
              <w:jc w:val="right"/>
              <w:rPr>
                <w:sz w:val="14"/>
              </w:rPr>
            </w:pPr>
            <w:r>
              <w:rPr>
                <w:sz w:val="14"/>
              </w:rPr>
              <w:t>—</w:t>
            </w:r>
          </w:p>
        </w:tc>
        <w:tc>
          <w:tcPr>
            <w:tcW w:w="815" w:type="dxa"/>
          </w:tcPr>
          <w:p>
            <w:pPr>
              <w:pStyle w:val="TableParagraph"/>
              <w:spacing w:before="29"/>
              <w:ind w:right="60"/>
              <w:jc w:val="right"/>
              <w:rPr>
                <w:sz w:val="14"/>
              </w:rPr>
            </w:pPr>
            <w:r>
              <w:rPr>
                <w:spacing w:val="-5"/>
                <w:sz w:val="14"/>
              </w:rPr>
              <w:t>98</w:t>
            </w:r>
          </w:p>
        </w:tc>
      </w:tr>
      <w:tr>
        <w:trPr>
          <w:trHeight w:val="225" w:hRule="atLeast"/>
        </w:trPr>
        <w:tc>
          <w:tcPr>
            <w:tcW w:w="2820" w:type="dxa"/>
          </w:tcPr>
          <w:p>
            <w:pPr>
              <w:pStyle w:val="TableParagraph"/>
              <w:spacing w:before="29"/>
              <w:ind w:left="232"/>
              <w:rPr>
                <w:sz w:val="14"/>
              </w:rPr>
            </w:pPr>
            <w:r>
              <w:rPr>
                <w:spacing w:val="-5"/>
                <w:sz w:val="14"/>
              </w:rPr>
              <w:t>ABS</w:t>
            </w:r>
          </w:p>
        </w:tc>
        <w:tc>
          <w:tcPr>
            <w:tcW w:w="806"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pacing w:val="-5"/>
                <w:sz w:val="14"/>
              </w:rPr>
              <w:t>205</w:t>
            </w:r>
          </w:p>
        </w:tc>
        <w:tc>
          <w:tcPr>
            <w:tcW w:w="810" w:type="dxa"/>
          </w:tcPr>
          <w:p>
            <w:pPr>
              <w:pStyle w:val="TableParagraph"/>
              <w:spacing w:before="29"/>
              <w:ind w:right="55"/>
              <w:jc w:val="right"/>
              <w:rPr>
                <w:sz w:val="14"/>
              </w:rPr>
            </w:pPr>
            <w:r>
              <w:rPr>
                <w:sz w:val="14"/>
              </w:rPr>
              <w:t>—</w:t>
            </w:r>
          </w:p>
        </w:tc>
        <w:tc>
          <w:tcPr>
            <w:tcW w:w="840" w:type="dxa"/>
          </w:tcPr>
          <w:p>
            <w:pPr>
              <w:pStyle w:val="TableParagraph"/>
              <w:spacing w:before="29"/>
              <w:ind w:right="85"/>
              <w:jc w:val="right"/>
              <w:rPr>
                <w:sz w:val="14"/>
              </w:rPr>
            </w:pPr>
            <w:r>
              <w:rPr>
                <w:spacing w:val="-5"/>
                <w:sz w:val="14"/>
              </w:rPr>
              <w:t>205</w:t>
            </w:r>
          </w:p>
        </w:tc>
        <w:tc>
          <w:tcPr>
            <w:tcW w:w="84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pacing w:val="-5"/>
                <w:sz w:val="14"/>
              </w:rPr>
              <w:t>38</w:t>
            </w:r>
          </w:p>
        </w:tc>
        <w:tc>
          <w:tcPr>
            <w:tcW w:w="810" w:type="dxa"/>
          </w:tcPr>
          <w:p>
            <w:pPr>
              <w:pStyle w:val="TableParagraph"/>
              <w:spacing w:before="29"/>
              <w:ind w:right="55"/>
              <w:jc w:val="right"/>
              <w:rPr>
                <w:sz w:val="14"/>
              </w:rPr>
            </w:pPr>
            <w:r>
              <w:rPr>
                <w:sz w:val="14"/>
              </w:rPr>
              <w:t>—</w:t>
            </w:r>
          </w:p>
        </w:tc>
        <w:tc>
          <w:tcPr>
            <w:tcW w:w="815" w:type="dxa"/>
          </w:tcPr>
          <w:p>
            <w:pPr>
              <w:pStyle w:val="TableParagraph"/>
              <w:spacing w:before="29"/>
              <w:ind w:right="60"/>
              <w:jc w:val="right"/>
              <w:rPr>
                <w:sz w:val="14"/>
              </w:rPr>
            </w:pPr>
            <w:r>
              <w:rPr>
                <w:spacing w:val="-5"/>
                <w:sz w:val="14"/>
              </w:rPr>
              <w:t>38</w:t>
            </w:r>
          </w:p>
        </w:tc>
      </w:tr>
      <w:tr>
        <w:trPr>
          <w:trHeight w:val="210" w:hRule="atLeast"/>
        </w:trPr>
        <w:tc>
          <w:tcPr>
            <w:tcW w:w="2820" w:type="dxa"/>
          </w:tcPr>
          <w:p>
            <w:pPr>
              <w:pStyle w:val="TableParagraph"/>
              <w:spacing w:line="161" w:lineRule="exact" w:before="29"/>
              <w:ind w:left="232"/>
              <w:rPr>
                <w:sz w:val="14"/>
              </w:rPr>
            </w:pPr>
            <w:r>
              <w:rPr>
                <w:spacing w:val="-5"/>
                <w:sz w:val="14"/>
              </w:rPr>
              <w:t>MBS</w:t>
            </w:r>
          </w:p>
        </w:tc>
        <w:tc>
          <w:tcPr>
            <w:tcW w:w="806"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pacing w:val="-5"/>
                <w:sz w:val="14"/>
              </w:rPr>
              <w:t>299</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40" w:type="dxa"/>
            <w:tcBorders>
              <w:bottom w:val="single" w:sz="8" w:space="0" w:color="000000"/>
            </w:tcBorders>
          </w:tcPr>
          <w:p>
            <w:pPr>
              <w:pStyle w:val="TableParagraph"/>
              <w:spacing w:line="161" w:lineRule="exact" w:before="29"/>
              <w:ind w:right="85"/>
              <w:jc w:val="right"/>
              <w:rPr>
                <w:sz w:val="14"/>
              </w:rPr>
            </w:pPr>
            <w:r>
              <w:rPr>
                <w:spacing w:val="-5"/>
                <w:sz w:val="14"/>
              </w:rPr>
              <w:t>299</w:t>
            </w:r>
          </w:p>
        </w:tc>
        <w:tc>
          <w:tcPr>
            <w:tcW w:w="84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pacing w:val="-5"/>
                <w:sz w:val="14"/>
              </w:rPr>
              <w:t>53</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5" w:type="dxa"/>
            <w:tcBorders>
              <w:bottom w:val="single" w:sz="8" w:space="0" w:color="000000"/>
            </w:tcBorders>
          </w:tcPr>
          <w:p>
            <w:pPr>
              <w:pStyle w:val="TableParagraph"/>
              <w:spacing w:line="161" w:lineRule="exact" w:before="29"/>
              <w:ind w:right="60"/>
              <w:jc w:val="right"/>
              <w:rPr>
                <w:sz w:val="14"/>
              </w:rPr>
            </w:pPr>
            <w:r>
              <w:rPr>
                <w:spacing w:val="-5"/>
                <w:sz w:val="14"/>
              </w:rPr>
              <w:t>53</w:t>
            </w:r>
          </w:p>
        </w:tc>
      </w:tr>
      <w:tr>
        <w:trPr>
          <w:trHeight w:val="205" w:hRule="atLeast"/>
        </w:trPr>
        <w:tc>
          <w:tcPr>
            <w:tcW w:w="2820" w:type="dxa"/>
          </w:tcPr>
          <w:p>
            <w:pPr>
              <w:pStyle w:val="TableParagraph"/>
              <w:spacing w:line="161" w:lineRule="exact" w:before="24"/>
              <w:ind w:left="52"/>
              <w:rPr>
                <w:sz w:val="14"/>
              </w:rPr>
            </w:pPr>
            <w:r>
              <w:rPr>
                <w:spacing w:val="-2"/>
                <w:sz w:val="14"/>
              </w:rPr>
              <w:t>Total</w:t>
            </w:r>
            <w:r>
              <w:rPr>
                <w:spacing w:val="-4"/>
                <w:sz w:val="14"/>
              </w:rPr>
              <w:t> </w:t>
            </w:r>
            <w:r>
              <w:rPr>
                <w:spacing w:val="-2"/>
                <w:sz w:val="14"/>
              </w:rPr>
              <w:t>debt</w:t>
            </w:r>
            <w:r>
              <w:rPr>
                <w:spacing w:val="-1"/>
                <w:sz w:val="14"/>
              </w:rPr>
              <w:t> </w:t>
            </w:r>
            <w:r>
              <w:rPr>
                <w:spacing w:val="-2"/>
                <w:sz w:val="14"/>
              </w:rPr>
              <w:t>securities</w:t>
            </w:r>
          </w:p>
        </w:tc>
        <w:tc>
          <w:tcPr>
            <w:tcW w:w="806" w:type="dxa"/>
            <w:tcBorders>
              <w:top w:val="single" w:sz="8" w:space="0" w:color="000000"/>
              <w:bottom w:val="single" w:sz="8" w:space="0" w:color="000000"/>
            </w:tcBorders>
          </w:tcPr>
          <w:p>
            <w:pPr>
              <w:pStyle w:val="TableParagraph"/>
              <w:spacing w:line="161" w:lineRule="exact" w:before="24"/>
              <w:ind w:right="55"/>
              <w:jc w:val="right"/>
              <w:rPr>
                <w:sz w:val="14"/>
              </w:rPr>
            </w:pPr>
            <w:r>
              <w:rPr>
                <w:spacing w:val="-2"/>
                <w:sz w:val="14"/>
              </w:rPr>
              <w:t>2,938</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pacing w:val="-2"/>
                <w:sz w:val="14"/>
              </w:rPr>
              <w:t>1,492</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40" w:type="dxa"/>
            <w:tcBorders>
              <w:top w:val="single" w:sz="8" w:space="0" w:color="000000"/>
              <w:bottom w:val="single" w:sz="8" w:space="0" w:color="000000"/>
            </w:tcBorders>
          </w:tcPr>
          <w:p>
            <w:pPr>
              <w:pStyle w:val="TableParagraph"/>
              <w:spacing w:line="161" w:lineRule="exact" w:before="24"/>
              <w:ind w:right="85"/>
              <w:jc w:val="right"/>
              <w:rPr>
                <w:sz w:val="14"/>
              </w:rPr>
            </w:pPr>
            <w:r>
              <w:rPr>
                <w:spacing w:val="-2"/>
                <w:sz w:val="14"/>
              </w:rPr>
              <w:t>4,430</w:t>
            </w:r>
          </w:p>
        </w:tc>
        <w:tc>
          <w:tcPr>
            <w:tcW w:w="840" w:type="dxa"/>
            <w:tcBorders>
              <w:top w:val="single" w:sz="8" w:space="0" w:color="000000"/>
              <w:bottom w:val="single" w:sz="8" w:space="0" w:color="000000"/>
            </w:tcBorders>
          </w:tcPr>
          <w:p>
            <w:pPr>
              <w:pStyle w:val="TableParagraph"/>
              <w:spacing w:line="161" w:lineRule="exact" w:before="24"/>
              <w:ind w:right="55"/>
              <w:jc w:val="right"/>
              <w:rPr>
                <w:sz w:val="14"/>
              </w:rPr>
            </w:pPr>
            <w:r>
              <w:rPr>
                <w:spacing w:val="-5"/>
                <w:sz w:val="14"/>
              </w:rPr>
              <w:t>553</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pacing w:val="-5"/>
                <w:sz w:val="14"/>
              </w:rPr>
              <w:t>284</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15" w:type="dxa"/>
            <w:tcBorders>
              <w:top w:val="single" w:sz="8" w:space="0" w:color="000000"/>
              <w:bottom w:val="single" w:sz="8" w:space="0" w:color="000000"/>
            </w:tcBorders>
          </w:tcPr>
          <w:p>
            <w:pPr>
              <w:pStyle w:val="TableParagraph"/>
              <w:spacing w:line="161" w:lineRule="exact" w:before="24"/>
              <w:ind w:right="60"/>
              <w:jc w:val="right"/>
              <w:rPr>
                <w:sz w:val="14"/>
              </w:rPr>
            </w:pPr>
            <w:r>
              <w:rPr>
                <w:spacing w:val="-5"/>
                <w:sz w:val="14"/>
              </w:rPr>
              <w:t>837</w:t>
            </w:r>
          </w:p>
        </w:tc>
      </w:tr>
      <w:tr>
        <w:trPr>
          <w:trHeight w:val="219" w:hRule="atLeast"/>
        </w:trPr>
        <w:tc>
          <w:tcPr>
            <w:tcW w:w="2820" w:type="dxa"/>
          </w:tcPr>
          <w:p>
            <w:pPr>
              <w:pStyle w:val="TableParagraph"/>
              <w:spacing w:before="24"/>
              <w:ind w:left="52"/>
              <w:rPr>
                <w:rFonts w:ascii="Arial"/>
                <w:i/>
                <w:sz w:val="14"/>
              </w:rPr>
            </w:pPr>
            <w:r>
              <w:rPr>
                <w:rFonts w:ascii="Arial"/>
                <w:i/>
                <w:sz w:val="14"/>
              </w:rPr>
              <w:t>Equity</w:t>
            </w:r>
            <w:r>
              <w:rPr>
                <w:rFonts w:ascii="Arial"/>
                <w:i/>
                <w:spacing w:val="-6"/>
                <w:sz w:val="14"/>
              </w:rPr>
              <w:t> </w:t>
            </w:r>
            <w:r>
              <w:rPr>
                <w:rFonts w:ascii="Arial"/>
                <w:i/>
                <w:spacing w:val="-2"/>
                <w:sz w:val="14"/>
              </w:rPr>
              <w:t>securities</w:t>
            </w:r>
          </w:p>
        </w:tc>
        <w:tc>
          <w:tcPr>
            <w:tcW w:w="806"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40" w:type="dxa"/>
            <w:tcBorders>
              <w:top w:val="single" w:sz="8" w:space="0" w:color="000000"/>
            </w:tcBorders>
          </w:tcPr>
          <w:p>
            <w:pPr>
              <w:pStyle w:val="TableParagraph"/>
              <w:rPr>
                <w:rFonts w:ascii="Times New Roman"/>
                <w:sz w:val="14"/>
              </w:rPr>
            </w:pPr>
          </w:p>
        </w:tc>
        <w:tc>
          <w:tcPr>
            <w:tcW w:w="84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5" w:type="dxa"/>
            <w:tcBorders>
              <w:top w:val="single" w:sz="8" w:space="0" w:color="000000"/>
            </w:tcBorders>
          </w:tcPr>
          <w:p>
            <w:pPr>
              <w:pStyle w:val="TableParagraph"/>
              <w:rPr>
                <w:rFonts w:ascii="Times New Roman"/>
                <w:sz w:val="14"/>
              </w:rPr>
            </w:pPr>
          </w:p>
        </w:tc>
      </w:tr>
      <w:tr>
        <w:trPr>
          <w:trHeight w:val="224" w:hRule="atLeast"/>
        </w:trPr>
        <w:tc>
          <w:tcPr>
            <w:tcW w:w="2820" w:type="dxa"/>
          </w:tcPr>
          <w:p>
            <w:pPr>
              <w:pStyle w:val="TableParagraph"/>
              <w:spacing w:before="29"/>
              <w:ind w:left="232"/>
              <w:rPr>
                <w:sz w:val="14"/>
              </w:rPr>
            </w:pPr>
            <w:r>
              <w:rPr>
                <w:spacing w:val="-2"/>
                <w:sz w:val="14"/>
              </w:rPr>
              <w:t>Stocks</w:t>
            </w:r>
          </w:p>
        </w:tc>
        <w:tc>
          <w:tcPr>
            <w:tcW w:w="806" w:type="dxa"/>
          </w:tcPr>
          <w:p>
            <w:pPr>
              <w:pStyle w:val="TableParagraph"/>
              <w:spacing w:before="29"/>
              <w:ind w:right="55"/>
              <w:jc w:val="right"/>
              <w:rPr>
                <w:sz w:val="14"/>
              </w:rPr>
            </w:pPr>
            <w:r>
              <w:rPr>
                <w:spacing w:val="-2"/>
                <w:sz w:val="14"/>
              </w:rPr>
              <w:t>1,835</w:t>
            </w:r>
          </w:p>
        </w:tc>
        <w:tc>
          <w:tcPr>
            <w:tcW w:w="81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z w:val="14"/>
              </w:rPr>
              <w:t>—</w:t>
            </w:r>
          </w:p>
        </w:tc>
        <w:tc>
          <w:tcPr>
            <w:tcW w:w="840" w:type="dxa"/>
          </w:tcPr>
          <w:p>
            <w:pPr>
              <w:pStyle w:val="TableParagraph"/>
              <w:spacing w:before="29"/>
              <w:ind w:right="85"/>
              <w:jc w:val="right"/>
              <w:rPr>
                <w:sz w:val="14"/>
              </w:rPr>
            </w:pPr>
            <w:r>
              <w:rPr>
                <w:spacing w:val="-2"/>
                <w:sz w:val="14"/>
              </w:rPr>
              <w:t>1,835</w:t>
            </w:r>
          </w:p>
        </w:tc>
        <w:tc>
          <w:tcPr>
            <w:tcW w:w="840" w:type="dxa"/>
          </w:tcPr>
          <w:p>
            <w:pPr>
              <w:pStyle w:val="TableParagraph"/>
              <w:spacing w:before="29"/>
              <w:ind w:right="55"/>
              <w:jc w:val="right"/>
              <w:rPr>
                <w:sz w:val="14"/>
              </w:rPr>
            </w:pPr>
            <w:r>
              <w:rPr>
                <w:spacing w:val="-5"/>
                <w:sz w:val="14"/>
              </w:rPr>
              <w:t>317</w:t>
            </w:r>
          </w:p>
        </w:tc>
        <w:tc>
          <w:tcPr>
            <w:tcW w:w="81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z w:val="14"/>
              </w:rPr>
              <w:t>—</w:t>
            </w:r>
          </w:p>
        </w:tc>
        <w:tc>
          <w:tcPr>
            <w:tcW w:w="815" w:type="dxa"/>
          </w:tcPr>
          <w:p>
            <w:pPr>
              <w:pStyle w:val="TableParagraph"/>
              <w:spacing w:before="29"/>
              <w:ind w:right="60"/>
              <w:jc w:val="right"/>
              <w:rPr>
                <w:sz w:val="14"/>
              </w:rPr>
            </w:pPr>
            <w:r>
              <w:rPr>
                <w:spacing w:val="-5"/>
                <w:sz w:val="14"/>
              </w:rPr>
              <w:t>317</w:t>
            </w:r>
          </w:p>
        </w:tc>
      </w:tr>
      <w:tr>
        <w:trPr>
          <w:trHeight w:val="225" w:hRule="atLeast"/>
        </w:trPr>
        <w:tc>
          <w:tcPr>
            <w:tcW w:w="2820" w:type="dxa"/>
          </w:tcPr>
          <w:p>
            <w:pPr>
              <w:pStyle w:val="TableParagraph"/>
              <w:spacing w:before="29"/>
              <w:ind w:left="232"/>
              <w:rPr>
                <w:sz w:val="14"/>
              </w:rPr>
            </w:pPr>
            <w:r>
              <w:rPr>
                <w:sz w:val="14"/>
              </w:rPr>
              <w:t>Mutual</w:t>
            </w:r>
            <w:r>
              <w:rPr>
                <w:spacing w:val="-5"/>
                <w:sz w:val="14"/>
              </w:rPr>
              <w:t> </w:t>
            </w:r>
            <w:r>
              <w:rPr>
                <w:spacing w:val="-2"/>
                <w:sz w:val="14"/>
              </w:rPr>
              <w:t>funds</w:t>
            </w:r>
          </w:p>
        </w:tc>
        <w:tc>
          <w:tcPr>
            <w:tcW w:w="806" w:type="dxa"/>
          </w:tcPr>
          <w:p>
            <w:pPr>
              <w:pStyle w:val="TableParagraph"/>
              <w:spacing w:before="29"/>
              <w:ind w:right="55"/>
              <w:jc w:val="right"/>
              <w:rPr>
                <w:sz w:val="14"/>
              </w:rPr>
            </w:pPr>
            <w:r>
              <w:rPr>
                <w:spacing w:val="-5"/>
                <w:sz w:val="14"/>
              </w:rPr>
              <w:t>11</w:t>
            </w:r>
          </w:p>
        </w:tc>
        <w:tc>
          <w:tcPr>
            <w:tcW w:w="81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z w:val="14"/>
              </w:rPr>
              <w:t>—</w:t>
            </w:r>
          </w:p>
        </w:tc>
        <w:tc>
          <w:tcPr>
            <w:tcW w:w="840" w:type="dxa"/>
          </w:tcPr>
          <w:p>
            <w:pPr>
              <w:pStyle w:val="TableParagraph"/>
              <w:spacing w:before="29"/>
              <w:ind w:right="85"/>
              <w:jc w:val="right"/>
              <w:rPr>
                <w:sz w:val="14"/>
              </w:rPr>
            </w:pPr>
            <w:r>
              <w:rPr>
                <w:spacing w:val="-5"/>
                <w:sz w:val="14"/>
              </w:rPr>
              <w:t>11</w:t>
            </w:r>
          </w:p>
        </w:tc>
        <w:tc>
          <w:tcPr>
            <w:tcW w:w="840" w:type="dxa"/>
          </w:tcPr>
          <w:p>
            <w:pPr>
              <w:pStyle w:val="TableParagraph"/>
              <w:spacing w:before="29"/>
              <w:ind w:right="55"/>
              <w:jc w:val="right"/>
              <w:rPr>
                <w:sz w:val="14"/>
              </w:rPr>
            </w:pPr>
            <w:r>
              <w:rPr>
                <w:spacing w:val="-10"/>
                <w:sz w:val="14"/>
              </w:rPr>
              <w:t>2</w:t>
            </w:r>
          </w:p>
        </w:tc>
        <w:tc>
          <w:tcPr>
            <w:tcW w:w="810" w:type="dxa"/>
          </w:tcPr>
          <w:p>
            <w:pPr>
              <w:pStyle w:val="TableParagraph"/>
              <w:spacing w:before="29"/>
              <w:ind w:right="55"/>
              <w:jc w:val="right"/>
              <w:rPr>
                <w:sz w:val="14"/>
              </w:rPr>
            </w:pPr>
            <w:r>
              <w:rPr>
                <w:sz w:val="14"/>
              </w:rPr>
              <w:t>—</w:t>
            </w:r>
          </w:p>
        </w:tc>
        <w:tc>
          <w:tcPr>
            <w:tcW w:w="810" w:type="dxa"/>
          </w:tcPr>
          <w:p>
            <w:pPr>
              <w:pStyle w:val="TableParagraph"/>
              <w:spacing w:before="29"/>
              <w:ind w:right="55"/>
              <w:jc w:val="right"/>
              <w:rPr>
                <w:sz w:val="14"/>
              </w:rPr>
            </w:pPr>
            <w:r>
              <w:rPr>
                <w:sz w:val="14"/>
              </w:rPr>
              <w:t>—</w:t>
            </w:r>
          </w:p>
        </w:tc>
        <w:tc>
          <w:tcPr>
            <w:tcW w:w="815" w:type="dxa"/>
          </w:tcPr>
          <w:p>
            <w:pPr>
              <w:pStyle w:val="TableParagraph"/>
              <w:spacing w:before="29"/>
              <w:ind w:right="60"/>
              <w:jc w:val="right"/>
              <w:rPr>
                <w:sz w:val="14"/>
              </w:rPr>
            </w:pPr>
            <w:r>
              <w:rPr>
                <w:spacing w:val="-10"/>
                <w:sz w:val="14"/>
              </w:rPr>
              <w:t>2</w:t>
            </w:r>
          </w:p>
        </w:tc>
      </w:tr>
      <w:tr>
        <w:trPr>
          <w:trHeight w:val="210" w:hRule="atLeast"/>
        </w:trPr>
        <w:tc>
          <w:tcPr>
            <w:tcW w:w="2820" w:type="dxa"/>
          </w:tcPr>
          <w:p>
            <w:pPr>
              <w:pStyle w:val="TableParagraph"/>
              <w:spacing w:line="161" w:lineRule="exact" w:before="29"/>
              <w:ind w:left="232"/>
              <w:rPr>
                <w:sz w:val="14"/>
              </w:rPr>
            </w:pPr>
            <w:r>
              <w:rPr>
                <w:sz w:val="14"/>
              </w:rPr>
              <w:t>Real</w:t>
            </w:r>
            <w:r>
              <w:rPr>
                <w:spacing w:val="-3"/>
                <w:sz w:val="14"/>
              </w:rPr>
              <w:t> </w:t>
            </w:r>
            <w:r>
              <w:rPr>
                <w:sz w:val="14"/>
              </w:rPr>
              <w:t>estate</w:t>
            </w:r>
            <w:r>
              <w:rPr>
                <w:spacing w:val="-3"/>
                <w:sz w:val="14"/>
              </w:rPr>
              <w:t> </w:t>
            </w:r>
            <w:r>
              <w:rPr>
                <w:sz w:val="14"/>
              </w:rPr>
              <w:t>investment</w:t>
            </w:r>
            <w:r>
              <w:rPr>
                <w:spacing w:val="-3"/>
                <w:sz w:val="14"/>
              </w:rPr>
              <w:t> </w:t>
            </w:r>
            <w:r>
              <w:rPr>
                <w:sz w:val="14"/>
              </w:rPr>
              <w:t>trusts</w:t>
            </w:r>
            <w:r>
              <w:rPr>
                <w:spacing w:val="-2"/>
                <w:sz w:val="14"/>
              </w:rPr>
              <w:t> (REITs)</w:t>
            </w:r>
          </w:p>
        </w:tc>
        <w:tc>
          <w:tcPr>
            <w:tcW w:w="806" w:type="dxa"/>
            <w:tcBorders>
              <w:bottom w:val="single" w:sz="8" w:space="0" w:color="000000"/>
            </w:tcBorders>
          </w:tcPr>
          <w:p>
            <w:pPr>
              <w:pStyle w:val="TableParagraph"/>
              <w:spacing w:line="161" w:lineRule="exact" w:before="29"/>
              <w:ind w:right="55"/>
              <w:jc w:val="right"/>
              <w:rPr>
                <w:sz w:val="14"/>
              </w:rPr>
            </w:pPr>
            <w:r>
              <w:rPr>
                <w:spacing w:val="-5"/>
                <w:sz w:val="14"/>
              </w:rPr>
              <w:t>194</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40" w:type="dxa"/>
            <w:tcBorders>
              <w:bottom w:val="single" w:sz="8" w:space="0" w:color="000000"/>
            </w:tcBorders>
          </w:tcPr>
          <w:p>
            <w:pPr>
              <w:pStyle w:val="TableParagraph"/>
              <w:spacing w:line="161" w:lineRule="exact" w:before="29"/>
              <w:ind w:right="85"/>
              <w:jc w:val="right"/>
              <w:rPr>
                <w:sz w:val="14"/>
              </w:rPr>
            </w:pPr>
            <w:r>
              <w:rPr>
                <w:spacing w:val="-5"/>
                <w:sz w:val="14"/>
              </w:rPr>
              <w:t>194</w:t>
            </w:r>
          </w:p>
        </w:tc>
        <w:tc>
          <w:tcPr>
            <w:tcW w:w="840" w:type="dxa"/>
            <w:tcBorders>
              <w:bottom w:val="single" w:sz="8" w:space="0" w:color="000000"/>
            </w:tcBorders>
          </w:tcPr>
          <w:p>
            <w:pPr>
              <w:pStyle w:val="TableParagraph"/>
              <w:spacing w:line="161" w:lineRule="exact" w:before="29"/>
              <w:ind w:right="55"/>
              <w:jc w:val="right"/>
              <w:rPr>
                <w:sz w:val="14"/>
              </w:rPr>
            </w:pPr>
            <w:r>
              <w:rPr>
                <w:spacing w:val="-5"/>
                <w:sz w:val="14"/>
              </w:rPr>
              <w:t>30</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5" w:type="dxa"/>
            <w:tcBorders>
              <w:bottom w:val="single" w:sz="8" w:space="0" w:color="000000"/>
            </w:tcBorders>
          </w:tcPr>
          <w:p>
            <w:pPr>
              <w:pStyle w:val="TableParagraph"/>
              <w:spacing w:line="161" w:lineRule="exact" w:before="29"/>
              <w:ind w:right="60"/>
              <w:jc w:val="right"/>
              <w:rPr>
                <w:sz w:val="14"/>
              </w:rPr>
            </w:pPr>
            <w:r>
              <w:rPr>
                <w:spacing w:val="-5"/>
                <w:sz w:val="14"/>
              </w:rPr>
              <w:t>30</w:t>
            </w:r>
          </w:p>
        </w:tc>
      </w:tr>
      <w:tr>
        <w:trPr>
          <w:trHeight w:val="205" w:hRule="atLeast"/>
        </w:trPr>
        <w:tc>
          <w:tcPr>
            <w:tcW w:w="2820" w:type="dxa"/>
          </w:tcPr>
          <w:p>
            <w:pPr>
              <w:pStyle w:val="TableParagraph"/>
              <w:spacing w:line="161" w:lineRule="exact" w:before="24"/>
              <w:ind w:left="52"/>
              <w:rPr>
                <w:sz w:val="14"/>
              </w:rPr>
            </w:pPr>
            <w:r>
              <w:rPr>
                <w:spacing w:val="-2"/>
                <w:sz w:val="14"/>
              </w:rPr>
              <w:t>Total</w:t>
            </w:r>
            <w:r>
              <w:rPr>
                <w:sz w:val="14"/>
              </w:rPr>
              <w:t> </w:t>
            </w:r>
            <w:r>
              <w:rPr>
                <w:spacing w:val="-2"/>
                <w:sz w:val="14"/>
              </w:rPr>
              <w:t>equity</w:t>
            </w:r>
            <w:r>
              <w:rPr>
                <w:sz w:val="14"/>
              </w:rPr>
              <w:t> </w:t>
            </w:r>
            <w:r>
              <w:rPr>
                <w:spacing w:val="-2"/>
                <w:sz w:val="14"/>
              </w:rPr>
              <w:t>securities</w:t>
            </w:r>
          </w:p>
        </w:tc>
        <w:tc>
          <w:tcPr>
            <w:tcW w:w="806" w:type="dxa"/>
            <w:tcBorders>
              <w:top w:val="single" w:sz="8" w:space="0" w:color="000000"/>
              <w:bottom w:val="single" w:sz="8" w:space="0" w:color="000000"/>
            </w:tcBorders>
          </w:tcPr>
          <w:p>
            <w:pPr>
              <w:pStyle w:val="TableParagraph"/>
              <w:spacing w:line="161" w:lineRule="exact" w:before="24"/>
              <w:ind w:right="55"/>
              <w:jc w:val="right"/>
              <w:rPr>
                <w:sz w:val="14"/>
              </w:rPr>
            </w:pPr>
            <w:r>
              <w:rPr>
                <w:spacing w:val="-2"/>
                <w:sz w:val="14"/>
              </w:rPr>
              <w:t>2,040</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40" w:type="dxa"/>
            <w:tcBorders>
              <w:top w:val="single" w:sz="8" w:space="0" w:color="000000"/>
              <w:bottom w:val="single" w:sz="8" w:space="0" w:color="000000"/>
            </w:tcBorders>
          </w:tcPr>
          <w:p>
            <w:pPr>
              <w:pStyle w:val="TableParagraph"/>
              <w:spacing w:line="161" w:lineRule="exact" w:before="24"/>
              <w:ind w:right="85"/>
              <w:jc w:val="right"/>
              <w:rPr>
                <w:sz w:val="14"/>
              </w:rPr>
            </w:pPr>
            <w:r>
              <w:rPr>
                <w:spacing w:val="-2"/>
                <w:sz w:val="14"/>
              </w:rPr>
              <w:t>2,040</w:t>
            </w:r>
          </w:p>
        </w:tc>
        <w:tc>
          <w:tcPr>
            <w:tcW w:w="840" w:type="dxa"/>
            <w:tcBorders>
              <w:top w:val="single" w:sz="8" w:space="0" w:color="000000"/>
              <w:bottom w:val="single" w:sz="8" w:space="0" w:color="000000"/>
            </w:tcBorders>
          </w:tcPr>
          <w:p>
            <w:pPr>
              <w:pStyle w:val="TableParagraph"/>
              <w:spacing w:line="161" w:lineRule="exact" w:before="24"/>
              <w:ind w:right="55"/>
              <w:jc w:val="right"/>
              <w:rPr>
                <w:sz w:val="14"/>
              </w:rPr>
            </w:pPr>
            <w:r>
              <w:rPr>
                <w:spacing w:val="-5"/>
                <w:sz w:val="14"/>
              </w:rPr>
              <w:t>349</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10" w:type="dxa"/>
            <w:tcBorders>
              <w:top w:val="single" w:sz="8" w:space="0" w:color="000000"/>
              <w:bottom w:val="single" w:sz="8" w:space="0" w:color="000000"/>
            </w:tcBorders>
          </w:tcPr>
          <w:p>
            <w:pPr>
              <w:pStyle w:val="TableParagraph"/>
              <w:spacing w:line="161" w:lineRule="exact" w:before="24"/>
              <w:ind w:right="55"/>
              <w:jc w:val="right"/>
              <w:rPr>
                <w:sz w:val="14"/>
              </w:rPr>
            </w:pPr>
            <w:r>
              <w:rPr>
                <w:sz w:val="14"/>
              </w:rPr>
              <w:t>—</w:t>
            </w:r>
          </w:p>
        </w:tc>
        <w:tc>
          <w:tcPr>
            <w:tcW w:w="815" w:type="dxa"/>
            <w:tcBorders>
              <w:top w:val="single" w:sz="8" w:space="0" w:color="000000"/>
              <w:bottom w:val="single" w:sz="8" w:space="0" w:color="000000"/>
            </w:tcBorders>
          </w:tcPr>
          <w:p>
            <w:pPr>
              <w:pStyle w:val="TableParagraph"/>
              <w:spacing w:line="161" w:lineRule="exact" w:before="24"/>
              <w:ind w:right="60"/>
              <w:jc w:val="right"/>
              <w:rPr>
                <w:sz w:val="14"/>
              </w:rPr>
            </w:pPr>
            <w:r>
              <w:rPr>
                <w:spacing w:val="-5"/>
                <w:sz w:val="14"/>
              </w:rPr>
              <w:t>349</w:t>
            </w:r>
          </w:p>
        </w:tc>
      </w:tr>
      <w:tr>
        <w:trPr>
          <w:trHeight w:val="219" w:hRule="atLeast"/>
        </w:trPr>
        <w:tc>
          <w:tcPr>
            <w:tcW w:w="2820" w:type="dxa"/>
          </w:tcPr>
          <w:p>
            <w:pPr>
              <w:pStyle w:val="TableParagraph"/>
              <w:spacing w:before="24"/>
              <w:ind w:left="52"/>
              <w:rPr>
                <w:sz w:val="14"/>
              </w:rPr>
            </w:pPr>
            <w:r>
              <w:rPr>
                <w:sz w:val="14"/>
              </w:rPr>
              <w:t>Other</w:t>
            </w:r>
            <w:r>
              <w:rPr>
                <w:spacing w:val="-5"/>
                <w:sz w:val="14"/>
              </w:rPr>
              <w:t> </w:t>
            </w:r>
            <w:r>
              <w:rPr>
                <w:sz w:val="14"/>
              </w:rPr>
              <w:t>funds</w:t>
            </w:r>
            <w:r>
              <w:rPr>
                <w:spacing w:val="-5"/>
                <w:sz w:val="14"/>
              </w:rPr>
              <w:t> </w:t>
            </w:r>
            <w:r>
              <w:rPr>
                <w:sz w:val="14"/>
              </w:rPr>
              <w:t>at</w:t>
            </w:r>
            <w:r>
              <w:rPr>
                <w:spacing w:val="-4"/>
                <w:sz w:val="14"/>
              </w:rPr>
              <w:t> </w:t>
            </w:r>
            <w:r>
              <w:rPr>
                <w:sz w:val="14"/>
              </w:rPr>
              <w:t>NAV</w:t>
            </w:r>
            <w:r>
              <w:rPr>
                <w:spacing w:val="-6"/>
                <w:sz w:val="14"/>
              </w:rPr>
              <w:t> </w:t>
            </w:r>
            <w:r>
              <w:rPr>
                <w:spacing w:val="-12"/>
                <w:sz w:val="14"/>
                <w:vertAlign w:val="superscript"/>
              </w:rPr>
              <w:t>a</w:t>
            </w:r>
          </w:p>
        </w:tc>
        <w:tc>
          <w:tcPr>
            <w:tcW w:w="806"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40" w:type="dxa"/>
            <w:tcBorders>
              <w:top w:val="single" w:sz="8" w:space="0" w:color="000000"/>
            </w:tcBorders>
          </w:tcPr>
          <w:p>
            <w:pPr>
              <w:pStyle w:val="TableParagraph"/>
              <w:rPr>
                <w:rFonts w:ascii="Times New Roman"/>
                <w:sz w:val="14"/>
              </w:rPr>
            </w:pPr>
          </w:p>
        </w:tc>
        <w:tc>
          <w:tcPr>
            <w:tcW w:w="84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0" w:type="dxa"/>
            <w:tcBorders>
              <w:top w:val="single" w:sz="8" w:space="0" w:color="000000"/>
            </w:tcBorders>
          </w:tcPr>
          <w:p>
            <w:pPr>
              <w:pStyle w:val="TableParagraph"/>
              <w:rPr>
                <w:rFonts w:ascii="Times New Roman"/>
                <w:sz w:val="14"/>
              </w:rPr>
            </w:pPr>
          </w:p>
        </w:tc>
        <w:tc>
          <w:tcPr>
            <w:tcW w:w="815" w:type="dxa"/>
            <w:tcBorders>
              <w:top w:val="single" w:sz="8" w:space="0" w:color="000000"/>
            </w:tcBorders>
          </w:tcPr>
          <w:p>
            <w:pPr>
              <w:pStyle w:val="TableParagraph"/>
              <w:rPr>
                <w:rFonts w:ascii="Times New Roman"/>
                <w:sz w:val="14"/>
              </w:rPr>
            </w:pPr>
          </w:p>
        </w:tc>
      </w:tr>
      <w:tr>
        <w:trPr>
          <w:trHeight w:val="190" w:hRule="atLeast"/>
        </w:trPr>
        <w:tc>
          <w:tcPr>
            <w:tcW w:w="2820" w:type="dxa"/>
          </w:tcPr>
          <w:p>
            <w:pPr>
              <w:pStyle w:val="TableParagraph"/>
              <w:spacing w:line="141" w:lineRule="exact" w:before="29"/>
              <w:ind w:left="232"/>
              <w:rPr>
                <w:sz w:val="14"/>
              </w:rPr>
            </w:pPr>
            <w:r>
              <w:rPr>
                <w:sz w:val="14"/>
              </w:rPr>
              <w:t>Commingled</w:t>
            </w:r>
            <w:r>
              <w:rPr>
                <w:spacing w:val="-9"/>
                <w:sz w:val="14"/>
              </w:rPr>
              <w:t> </w:t>
            </w:r>
            <w:r>
              <w:rPr>
                <w:spacing w:val="-2"/>
                <w:sz w:val="14"/>
              </w:rPr>
              <w:t>funds</w:t>
            </w:r>
          </w:p>
        </w:tc>
        <w:tc>
          <w:tcPr>
            <w:tcW w:w="806" w:type="dxa"/>
          </w:tcPr>
          <w:p>
            <w:pPr>
              <w:pStyle w:val="TableParagraph"/>
              <w:spacing w:line="141" w:lineRule="exact" w:before="29"/>
              <w:ind w:right="55"/>
              <w:jc w:val="right"/>
              <w:rPr>
                <w:sz w:val="14"/>
              </w:rPr>
            </w:pPr>
            <w:r>
              <w:rPr>
                <w:sz w:val="14"/>
              </w:rPr>
              <w:t>—</w:t>
            </w:r>
          </w:p>
        </w:tc>
        <w:tc>
          <w:tcPr>
            <w:tcW w:w="810" w:type="dxa"/>
          </w:tcPr>
          <w:p>
            <w:pPr>
              <w:pStyle w:val="TableParagraph"/>
              <w:spacing w:line="141" w:lineRule="exact" w:before="29"/>
              <w:ind w:right="55"/>
              <w:jc w:val="right"/>
              <w:rPr>
                <w:sz w:val="14"/>
              </w:rPr>
            </w:pPr>
            <w:r>
              <w:rPr>
                <w:sz w:val="14"/>
              </w:rPr>
              <w:t>—</w:t>
            </w:r>
          </w:p>
        </w:tc>
        <w:tc>
          <w:tcPr>
            <w:tcW w:w="810" w:type="dxa"/>
          </w:tcPr>
          <w:p>
            <w:pPr>
              <w:pStyle w:val="TableParagraph"/>
              <w:spacing w:line="141" w:lineRule="exact" w:before="29"/>
              <w:ind w:right="55"/>
              <w:jc w:val="right"/>
              <w:rPr>
                <w:sz w:val="14"/>
              </w:rPr>
            </w:pPr>
            <w:r>
              <w:rPr>
                <w:sz w:val="14"/>
              </w:rPr>
              <w:t>—</w:t>
            </w:r>
          </w:p>
        </w:tc>
        <w:tc>
          <w:tcPr>
            <w:tcW w:w="840" w:type="dxa"/>
          </w:tcPr>
          <w:p>
            <w:pPr>
              <w:pStyle w:val="TableParagraph"/>
              <w:spacing w:line="141" w:lineRule="exact" w:before="29"/>
              <w:ind w:right="85"/>
              <w:jc w:val="right"/>
              <w:rPr>
                <w:sz w:val="14"/>
              </w:rPr>
            </w:pPr>
            <w:r>
              <w:rPr>
                <w:spacing w:val="-2"/>
                <w:sz w:val="14"/>
              </w:rPr>
              <w:t>3,180</w:t>
            </w:r>
          </w:p>
        </w:tc>
        <w:tc>
          <w:tcPr>
            <w:tcW w:w="840" w:type="dxa"/>
          </w:tcPr>
          <w:p>
            <w:pPr>
              <w:pStyle w:val="TableParagraph"/>
              <w:spacing w:line="141" w:lineRule="exact" w:before="29"/>
              <w:ind w:right="55"/>
              <w:jc w:val="right"/>
              <w:rPr>
                <w:sz w:val="14"/>
              </w:rPr>
            </w:pPr>
            <w:r>
              <w:rPr>
                <w:sz w:val="14"/>
              </w:rPr>
              <w:t>—</w:t>
            </w:r>
          </w:p>
        </w:tc>
        <w:tc>
          <w:tcPr>
            <w:tcW w:w="810" w:type="dxa"/>
          </w:tcPr>
          <w:p>
            <w:pPr>
              <w:pStyle w:val="TableParagraph"/>
              <w:spacing w:line="141" w:lineRule="exact" w:before="29"/>
              <w:ind w:right="55"/>
              <w:jc w:val="right"/>
              <w:rPr>
                <w:sz w:val="14"/>
              </w:rPr>
            </w:pPr>
            <w:r>
              <w:rPr>
                <w:sz w:val="14"/>
              </w:rPr>
              <w:t>—</w:t>
            </w:r>
          </w:p>
        </w:tc>
        <w:tc>
          <w:tcPr>
            <w:tcW w:w="810" w:type="dxa"/>
          </w:tcPr>
          <w:p>
            <w:pPr>
              <w:pStyle w:val="TableParagraph"/>
              <w:spacing w:line="141" w:lineRule="exact" w:before="29"/>
              <w:ind w:right="55"/>
              <w:jc w:val="right"/>
              <w:rPr>
                <w:sz w:val="14"/>
              </w:rPr>
            </w:pPr>
            <w:r>
              <w:rPr>
                <w:sz w:val="14"/>
              </w:rPr>
              <w:t>—</w:t>
            </w:r>
          </w:p>
        </w:tc>
        <w:tc>
          <w:tcPr>
            <w:tcW w:w="815" w:type="dxa"/>
          </w:tcPr>
          <w:p>
            <w:pPr>
              <w:pStyle w:val="TableParagraph"/>
              <w:spacing w:line="141" w:lineRule="exact" w:before="29"/>
              <w:ind w:right="60"/>
              <w:jc w:val="right"/>
              <w:rPr>
                <w:sz w:val="14"/>
              </w:rPr>
            </w:pPr>
            <w:r>
              <w:rPr>
                <w:spacing w:val="-5"/>
                <w:sz w:val="14"/>
              </w:rPr>
              <w:t>471</w:t>
            </w:r>
          </w:p>
        </w:tc>
      </w:tr>
      <w:tr>
        <w:trPr>
          <w:trHeight w:val="259" w:hRule="atLeast"/>
        </w:trPr>
        <w:tc>
          <w:tcPr>
            <w:tcW w:w="3626" w:type="dxa"/>
            <w:gridSpan w:val="2"/>
          </w:tcPr>
          <w:p>
            <w:pPr>
              <w:pStyle w:val="TableParagraph"/>
              <w:tabs>
                <w:tab w:pos="3428" w:val="left" w:leader="none"/>
              </w:tabs>
              <w:spacing w:before="64"/>
              <w:ind w:left="232"/>
              <w:rPr>
                <w:sz w:val="14"/>
              </w:rPr>
            </w:pPr>
            <w:r>
              <w:rPr>
                <w:sz w:val="14"/>
              </w:rPr>
              <w:t>Private</w:t>
            </w:r>
            <w:r>
              <w:rPr>
                <w:spacing w:val="-4"/>
                <w:sz w:val="14"/>
              </w:rPr>
              <w:t> </w:t>
            </w:r>
            <w:r>
              <w:rPr>
                <w:sz w:val="14"/>
              </w:rPr>
              <w:t>equity</w:t>
            </w:r>
            <w:r>
              <w:rPr>
                <w:spacing w:val="-3"/>
                <w:sz w:val="14"/>
              </w:rPr>
              <w:t> </w:t>
            </w:r>
            <w:r>
              <w:rPr>
                <w:spacing w:val="-2"/>
                <w:sz w:val="14"/>
              </w:rPr>
              <w:t>funds</w:t>
            </w:r>
            <w:r>
              <w:rPr>
                <w:sz w:val="14"/>
              </w:rPr>
              <w:tab/>
              <w:t>—</w:t>
            </w:r>
          </w:p>
        </w:tc>
        <w:tc>
          <w:tcPr>
            <w:tcW w:w="810" w:type="dxa"/>
          </w:tcPr>
          <w:p>
            <w:pPr>
              <w:pStyle w:val="TableParagraph"/>
              <w:spacing w:before="64"/>
              <w:ind w:right="55"/>
              <w:jc w:val="right"/>
              <w:rPr>
                <w:sz w:val="14"/>
              </w:rPr>
            </w:pPr>
            <w:r>
              <w:rPr>
                <w:sz w:val="14"/>
              </w:rPr>
              <w:t>—</w:t>
            </w:r>
          </w:p>
        </w:tc>
        <w:tc>
          <w:tcPr>
            <w:tcW w:w="1650" w:type="dxa"/>
            <w:gridSpan w:val="2"/>
          </w:tcPr>
          <w:p>
            <w:pPr>
              <w:pStyle w:val="TableParagraph"/>
              <w:tabs>
                <w:tab w:pos="1212" w:val="left" w:leader="none"/>
              </w:tabs>
              <w:spacing w:before="64"/>
              <w:ind w:left="612"/>
              <w:rPr>
                <w:sz w:val="14"/>
              </w:rPr>
            </w:pPr>
            <w:r>
              <w:rPr>
                <w:sz w:val="14"/>
              </w:rPr>
              <w:t>—</w:t>
              <w:tab/>
            </w:r>
            <w:r>
              <w:rPr>
                <w:spacing w:val="-2"/>
                <w:sz w:val="14"/>
              </w:rPr>
              <w:t>6,327</w:t>
            </w:r>
          </w:p>
        </w:tc>
        <w:tc>
          <w:tcPr>
            <w:tcW w:w="840" w:type="dxa"/>
          </w:tcPr>
          <w:p>
            <w:pPr>
              <w:pStyle w:val="TableParagraph"/>
              <w:spacing w:before="64"/>
              <w:ind w:right="55"/>
              <w:jc w:val="right"/>
              <w:rPr>
                <w:sz w:val="14"/>
              </w:rPr>
            </w:pPr>
            <w:r>
              <w:rPr>
                <w:sz w:val="14"/>
              </w:rPr>
              <w:t>—</w:t>
            </w:r>
          </w:p>
        </w:tc>
        <w:tc>
          <w:tcPr>
            <w:tcW w:w="810" w:type="dxa"/>
          </w:tcPr>
          <w:p>
            <w:pPr>
              <w:pStyle w:val="TableParagraph"/>
              <w:spacing w:before="64"/>
              <w:ind w:right="55"/>
              <w:jc w:val="right"/>
              <w:rPr>
                <w:sz w:val="14"/>
              </w:rPr>
            </w:pPr>
            <w:r>
              <w:rPr>
                <w:sz w:val="14"/>
              </w:rPr>
              <w:t>—</w:t>
            </w:r>
          </w:p>
        </w:tc>
        <w:tc>
          <w:tcPr>
            <w:tcW w:w="1625" w:type="dxa"/>
            <w:gridSpan w:val="2"/>
          </w:tcPr>
          <w:p>
            <w:pPr>
              <w:pStyle w:val="TableParagraph"/>
              <w:tabs>
                <w:tab w:pos="1212" w:val="left" w:leader="none"/>
              </w:tabs>
              <w:spacing w:before="64"/>
              <w:ind w:left="612"/>
              <w:rPr>
                <w:sz w:val="14"/>
              </w:rPr>
            </w:pPr>
            <w:r>
              <w:rPr>
                <w:sz w:val="14"/>
              </w:rPr>
              <w:t>—</w:t>
              <w:tab/>
            </w:r>
            <w:r>
              <w:rPr>
                <w:spacing w:val="-2"/>
                <w:sz w:val="14"/>
              </w:rPr>
              <w:t>1,084</w:t>
            </w:r>
          </w:p>
        </w:tc>
      </w:tr>
      <w:tr>
        <w:trPr>
          <w:trHeight w:val="190" w:hRule="atLeast"/>
        </w:trPr>
        <w:tc>
          <w:tcPr>
            <w:tcW w:w="3626" w:type="dxa"/>
            <w:gridSpan w:val="2"/>
          </w:tcPr>
          <w:p>
            <w:pPr>
              <w:pStyle w:val="TableParagraph"/>
              <w:tabs>
                <w:tab w:pos="3428" w:val="left" w:leader="none"/>
              </w:tabs>
              <w:spacing w:line="141" w:lineRule="exact" w:before="29"/>
              <w:ind w:left="232"/>
              <w:rPr>
                <w:sz w:val="14"/>
              </w:rPr>
            </w:pPr>
            <w:r>
              <w:rPr>
                <w:sz w:val="14"/>
              </w:rPr>
              <w:t>Private</w:t>
            </w:r>
            <w:r>
              <w:rPr>
                <w:spacing w:val="-5"/>
                <w:sz w:val="14"/>
              </w:rPr>
              <w:t> </w:t>
            </w:r>
            <w:r>
              <w:rPr>
                <w:sz w:val="14"/>
              </w:rPr>
              <w:t>credit</w:t>
            </w:r>
            <w:r>
              <w:rPr>
                <w:spacing w:val="-3"/>
                <w:sz w:val="14"/>
              </w:rPr>
              <w:t> </w:t>
            </w:r>
            <w:r>
              <w:rPr>
                <w:spacing w:val="-2"/>
                <w:sz w:val="14"/>
              </w:rPr>
              <w:t>funds</w:t>
            </w:r>
            <w:r>
              <w:rPr>
                <w:sz w:val="14"/>
              </w:rPr>
              <w:tab/>
              <w:t>—</w:t>
            </w:r>
          </w:p>
        </w:tc>
        <w:tc>
          <w:tcPr>
            <w:tcW w:w="810" w:type="dxa"/>
          </w:tcPr>
          <w:p>
            <w:pPr>
              <w:pStyle w:val="TableParagraph"/>
              <w:spacing w:line="141" w:lineRule="exact" w:before="29"/>
              <w:ind w:right="55"/>
              <w:jc w:val="right"/>
              <w:rPr>
                <w:sz w:val="14"/>
              </w:rPr>
            </w:pPr>
            <w:r>
              <w:rPr>
                <w:sz w:val="14"/>
              </w:rPr>
              <w:t>—</w:t>
            </w:r>
          </w:p>
        </w:tc>
        <w:tc>
          <w:tcPr>
            <w:tcW w:w="1650" w:type="dxa"/>
            <w:gridSpan w:val="2"/>
          </w:tcPr>
          <w:p>
            <w:pPr>
              <w:pStyle w:val="TableParagraph"/>
              <w:tabs>
                <w:tab w:pos="1212" w:val="left" w:leader="none"/>
              </w:tabs>
              <w:spacing w:line="141" w:lineRule="exact" w:before="29"/>
              <w:ind w:left="612"/>
              <w:rPr>
                <w:sz w:val="14"/>
              </w:rPr>
            </w:pPr>
            <w:r>
              <w:rPr>
                <w:sz w:val="14"/>
              </w:rPr>
              <w:t>—</w:t>
              <w:tab/>
            </w:r>
            <w:r>
              <w:rPr>
                <w:spacing w:val="-2"/>
                <w:sz w:val="14"/>
              </w:rPr>
              <w:t>1,782</w:t>
            </w:r>
          </w:p>
        </w:tc>
        <w:tc>
          <w:tcPr>
            <w:tcW w:w="840" w:type="dxa"/>
          </w:tcPr>
          <w:p>
            <w:pPr>
              <w:pStyle w:val="TableParagraph"/>
              <w:spacing w:line="141" w:lineRule="exact" w:before="29"/>
              <w:ind w:right="55"/>
              <w:jc w:val="right"/>
              <w:rPr>
                <w:sz w:val="14"/>
              </w:rPr>
            </w:pPr>
            <w:r>
              <w:rPr>
                <w:sz w:val="14"/>
              </w:rPr>
              <w:t>—</w:t>
            </w:r>
          </w:p>
        </w:tc>
        <w:tc>
          <w:tcPr>
            <w:tcW w:w="810" w:type="dxa"/>
          </w:tcPr>
          <w:p>
            <w:pPr>
              <w:pStyle w:val="TableParagraph"/>
              <w:spacing w:line="141" w:lineRule="exact" w:before="29"/>
              <w:ind w:right="55"/>
              <w:jc w:val="right"/>
              <w:rPr>
                <w:sz w:val="14"/>
              </w:rPr>
            </w:pPr>
            <w:r>
              <w:rPr>
                <w:sz w:val="14"/>
              </w:rPr>
              <w:t>—</w:t>
            </w:r>
          </w:p>
        </w:tc>
        <w:tc>
          <w:tcPr>
            <w:tcW w:w="1625" w:type="dxa"/>
            <w:gridSpan w:val="2"/>
          </w:tcPr>
          <w:p>
            <w:pPr>
              <w:pStyle w:val="TableParagraph"/>
              <w:tabs>
                <w:tab w:pos="1328" w:val="left" w:leader="none"/>
              </w:tabs>
              <w:spacing w:line="141" w:lineRule="exact" w:before="29"/>
              <w:ind w:left="612"/>
              <w:rPr>
                <w:sz w:val="14"/>
              </w:rPr>
            </w:pPr>
            <w:r>
              <w:rPr>
                <w:sz w:val="14"/>
              </w:rPr>
              <w:t>—</w:t>
              <w:tab/>
            </w:r>
            <w:r>
              <w:rPr>
                <w:spacing w:val="-5"/>
                <w:sz w:val="14"/>
              </w:rPr>
              <w:t>289</w:t>
            </w:r>
          </w:p>
        </w:tc>
      </w:tr>
      <w:tr>
        <w:trPr>
          <w:trHeight w:val="237" w:hRule="atLeast"/>
        </w:trPr>
        <w:tc>
          <w:tcPr>
            <w:tcW w:w="2820" w:type="dxa"/>
          </w:tcPr>
          <w:p>
            <w:pPr>
              <w:pStyle w:val="TableParagraph"/>
              <w:spacing w:line="141" w:lineRule="exact" w:before="76"/>
              <w:ind w:left="232"/>
              <w:rPr>
                <w:sz w:val="14"/>
              </w:rPr>
            </w:pPr>
            <w:r>
              <w:rPr>
                <w:sz w:val="14"/>
              </w:rPr>
              <w:t>Real</w:t>
            </w:r>
            <w:r>
              <w:rPr>
                <w:spacing w:val="-3"/>
                <w:sz w:val="14"/>
              </w:rPr>
              <w:t> </w:t>
            </w:r>
            <w:r>
              <w:rPr>
                <w:sz w:val="14"/>
              </w:rPr>
              <w:t>estate</w:t>
            </w:r>
            <w:r>
              <w:rPr>
                <w:spacing w:val="-3"/>
                <w:sz w:val="14"/>
              </w:rPr>
              <w:t> </w:t>
            </w:r>
            <w:r>
              <w:rPr>
                <w:sz w:val="14"/>
              </w:rPr>
              <w:t>funds</w:t>
            </w:r>
            <w:r>
              <w:rPr>
                <w:spacing w:val="-2"/>
                <w:sz w:val="14"/>
              </w:rPr>
              <w:t> (including</w:t>
            </w:r>
          </w:p>
        </w:tc>
        <w:tc>
          <w:tcPr>
            <w:tcW w:w="806" w:type="dxa"/>
          </w:tcPr>
          <w:p>
            <w:pPr>
              <w:pStyle w:val="TableParagraph"/>
              <w:rPr>
                <w:rFonts w:ascii="Times New Roman"/>
                <w:sz w:val="16"/>
              </w:rPr>
            </w:pPr>
          </w:p>
        </w:tc>
        <w:tc>
          <w:tcPr>
            <w:tcW w:w="810" w:type="dxa"/>
          </w:tcPr>
          <w:p>
            <w:pPr>
              <w:pStyle w:val="TableParagraph"/>
              <w:rPr>
                <w:rFonts w:ascii="Times New Roman"/>
                <w:sz w:val="16"/>
              </w:rPr>
            </w:pPr>
          </w:p>
        </w:tc>
        <w:tc>
          <w:tcPr>
            <w:tcW w:w="810" w:type="dxa"/>
          </w:tcPr>
          <w:p>
            <w:pPr>
              <w:pStyle w:val="TableParagraph"/>
              <w:rPr>
                <w:rFonts w:ascii="Times New Roman"/>
                <w:sz w:val="16"/>
              </w:rPr>
            </w:pPr>
          </w:p>
        </w:tc>
        <w:tc>
          <w:tcPr>
            <w:tcW w:w="840" w:type="dxa"/>
          </w:tcPr>
          <w:p>
            <w:pPr>
              <w:pStyle w:val="TableParagraph"/>
              <w:rPr>
                <w:rFonts w:ascii="Times New Roman"/>
                <w:sz w:val="16"/>
              </w:rPr>
            </w:pPr>
          </w:p>
        </w:tc>
        <w:tc>
          <w:tcPr>
            <w:tcW w:w="840" w:type="dxa"/>
          </w:tcPr>
          <w:p>
            <w:pPr>
              <w:pStyle w:val="TableParagraph"/>
              <w:rPr>
                <w:rFonts w:ascii="Times New Roman"/>
                <w:sz w:val="16"/>
              </w:rPr>
            </w:pPr>
          </w:p>
        </w:tc>
        <w:tc>
          <w:tcPr>
            <w:tcW w:w="810" w:type="dxa"/>
          </w:tcPr>
          <w:p>
            <w:pPr>
              <w:pStyle w:val="TableParagraph"/>
              <w:rPr>
                <w:rFonts w:ascii="Times New Roman"/>
                <w:sz w:val="16"/>
              </w:rPr>
            </w:pPr>
          </w:p>
        </w:tc>
        <w:tc>
          <w:tcPr>
            <w:tcW w:w="810" w:type="dxa"/>
          </w:tcPr>
          <w:p>
            <w:pPr>
              <w:pStyle w:val="TableParagraph"/>
              <w:rPr>
                <w:rFonts w:ascii="Times New Roman"/>
                <w:sz w:val="16"/>
              </w:rPr>
            </w:pPr>
          </w:p>
        </w:tc>
        <w:tc>
          <w:tcPr>
            <w:tcW w:w="815" w:type="dxa"/>
          </w:tcPr>
          <w:p>
            <w:pPr>
              <w:pStyle w:val="TableParagraph"/>
              <w:rPr>
                <w:rFonts w:ascii="Times New Roman"/>
                <w:sz w:val="16"/>
              </w:rPr>
            </w:pPr>
          </w:p>
        </w:tc>
      </w:tr>
      <w:tr>
        <w:trPr>
          <w:trHeight w:val="202" w:hRule="atLeast"/>
        </w:trPr>
        <w:tc>
          <w:tcPr>
            <w:tcW w:w="3626" w:type="dxa"/>
            <w:gridSpan w:val="2"/>
          </w:tcPr>
          <w:p>
            <w:pPr>
              <w:pStyle w:val="TableParagraph"/>
              <w:tabs>
                <w:tab w:pos="3428" w:val="left" w:leader="none"/>
              </w:tabs>
              <w:spacing w:line="156" w:lineRule="exact"/>
              <w:ind w:left="412"/>
              <w:rPr>
                <w:sz w:val="14"/>
              </w:rPr>
            </w:pPr>
            <w:r>
              <w:rPr>
                <w:sz w:val="14"/>
              </w:rPr>
              <w:t>infrastructure</w:t>
            </w:r>
            <w:r>
              <w:rPr>
                <w:spacing w:val="-6"/>
                <w:sz w:val="14"/>
              </w:rPr>
              <w:t> </w:t>
            </w:r>
            <w:r>
              <w:rPr>
                <w:sz w:val="14"/>
              </w:rPr>
              <w:t>and</w:t>
            </w:r>
            <w:r>
              <w:rPr>
                <w:spacing w:val="-3"/>
                <w:sz w:val="14"/>
              </w:rPr>
              <w:t> </w:t>
            </w:r>
            <w:r>
              <w:rPr>
                <w:spacing w:val="-2"/>
                <w:sz w:val="14"/>
              </w:rPr>
              <w:t>timber)</w:t>
            </w:r>
            <w:r>
              <w:rPr>
                <w:sz w:val="14"/>
              </w:rPr>
              <w:tab/>
              <w:t>—</w:t>
            </w:r>
          </w:p>
        </w:tc>
        <w:tc>
          <w:tcPr>
            <w:tcW w:w="810" w:type="dxa"/>
          </w:tcPr>
          <w:p>
            <w:pPr>
              <w:pStyle w:val="TableParagraph"/>
              <w:spacing w:line="156" w:lineRule="exact"/>
              <w:ind w:right="55"/>
              <w:jc w:val="right"/>
              <w:rPr>
                <w:sz w:val="14"/>
              </w:rPr>
            </w:pPr>
            <w:r>
              <w:rPr>
                <w:sz w:val="14"/>
              </w:rPr>
              <w:t>—</w:t>
            </w:r>
          </w:p>
        </w:tc>
        <w:tc>
          <w:tcPr>
            <w:tcW w:w="810" w:type="dxa"/>
          </w:tcPr>
          <w:p>
            <w:pPr>
              <w:pStyle w:val="TableParagraph"/>
              <w:spacing w:line="156" w:lineRule="exact"/>
              <w:ind w:right="55"/>
              <w:jc w:val="right"/>
              <w:rPr>
                <w:sz w:val="14"/>
              </w:rPr>
            </w:pPr>
            <w:r>
              <w:rPr>
                <w:sz w:val="14"/>
              </w:rPr>
              <w:t>—</w:t>
            </w:r>
          </w:p>
        </w:tc>
        <w:tc>
          <w:tcPr>
            <w:tcW w:w="840" w:type="dxa"/>
          </w:tcPr>
          <w:p>
            <w:pPr>
              <w:pStyle w:val="TableParagraph"/>
              <w:spacing w:line="156" w:lineRule="exact"/>
              <w:ind w:right="85"/>
              <w:jc w:val="right"/>
              <w:rPr>
                <w:sz w:val="14"/>
              </w:rPr>
            </w:pPr>
            <w:r>
              <w:rPr>
                <w:spacing w:val="-2"/>
                <w:sz w:val="14"/>
              </w:rPr>
              <w:t>3,280</w:t>
            </w:r>
          </w:p>
        </w:tc>
        <w:tc>
          <w:tcPr>
            <w:tcW w:w="840" w:type="dxa"/>
          </w:tcPr>
          <w:p>
            <w:pPr>
              <w:pStyle w:val="TableParagraph"/>
              <w:spacing w:line="156" w:lineRule="exact"/>
              <w:ind w:right="55"/>
              <w:jc w:val="right"/>
              <w:rPr>
                <w:sz w:val="14"/>
              </w:rPr>
            </w:pPr>
            <w:r>
              <w:rPr>
                <w:sz w:val="14"/>
              </w:rPr>
              <w:t>—</w:t>
            </w:r>
          </w:p>
        </w:tc>
        <w:tc>
          <w:tcPr>
            <w:tcW w:w="810" w:type="dxa"/>
          </w:tcPr>
          <w:p>
            <w:pPr>
              <w:pStyle w:val="TableParagraph"/>
              <w:spacing w:line="156" w:lineRule="exact"/>
              <w:ind w:right="55"/>
              <w:jc w:val="right"/>
              <w:rPr>
                <w:sz w:val="14"/>
              </w:rPr>
            </w:pPr>
            <w:r>
              <w:rPr>
                <w:sz w:val="14"/>
              </w:rPr>
              <w:t>—</w:t>
            </w:r>
          </w:p>
        </w:tc>
        <w:tc>
          <w:tcPr>
            <w:tcW w:w="810" w:type="dxa"/>
          </w:tcPr>
          <w:p>
            <w:pPr>
              <w:pStyle w:val="TableParagraph"/>
              <w:spacing w:line="156" w:lineRule="exact"/>
              <w:ind w:right="55"/>
              <w:jc w:val="right"/>
              <w:rPr>
                <w:sz w:val="14"/>
              </w:rPr>
            </w:pPr>
            <w:r>
              <w:rPr>
                <w:sz w:val="14"/>
              </w:rPr>
              <w:t>—</w:t>
            </w:r>
          </w:p>
        </w:tc>
        <w:tc>
          <w:tcPr>
            <w:tcW w:w="815" w:type="dxa"/>
          </w:tcPr>
          <w:p>
            <w:pPr>
              <w:pStyle w:val="TableParagraph"/>
              <w:spacing w:line="156" w:lineRule="exact"/>
              <w:ind w:right="60"/>
              <w:jc w:val="right"/>
              <w:rPr>
                <w:sz w:val="14"/>
              </w:rPr>
            </w:pPr>
            <w:r>
              <w:rPr>
                <w:spacing w:val="-5"/>
                <w:sz w:val="14"/>
              </w:rPr>
              <w:t>598</w:t>
            </w:r>
          </w:p>
        </w:tc>
      </w:tr>
      <w:tr>
        <w:trPr>
          <w:trHeight w:val="210" w:hRule="atLeast"/>
        </w:trPr>
        <w:tc>
          <w:tcPr>
            <w:tcW w:w="3626" w:type="dxa"/>
            <w:gridSpan w:val="2"/>
          </w:tcPr>
          <w:p>
            <w:pPr>
              <w:pStyle w:val="TableParagraph"/>
              <w:tabs>
                <w:tab w:pos="3428" w:val="left" w:leader="none"/>
              </w:tabs>
              <w:spacing w:line="161" w:lineRule="exact" w:before="29"/>
              <w:ind w:left="232"/>
              <w:rPr>
                <w:sz w:val="14"/>
              </w:rPr>
            </w:pPr>
            <w:r>
              <w:rPr>
                <w:sz w:val="14"/>
              </w:rPr>
              <w:t>Hedge</w:t>
            </w:r>
            <w:r>
              <w:rPr>
                <w:spacing w:val="-4"/>
                <w:sz w:val="14"/>
              </w:rPr>
              <w:t> </w:t>
            </w:r>
            <w:r>
              <w:rPr>
                <w:spacing w:val="-2"/>
                <w:sz w:val="14"/>
              </w:rPr>
              <w:t>funds</w:t>
            </w:r>
            <w:r>
              <w:rPr>
                <w:sz w:val="14"/>
              </w:rPr>
              <w:tab/>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40" w:type="dxa"/>
            <w:tcBorders>
              <w:bottom w:val="single" w:sz="8" w:space="0" w:color="000000"/>
            </w:tcBorders>
          </w:tcPr>
          <w:p>
            <w:pPr>
              <w:pStyle w:val="TableParagraph"/>
              <w:spacing w:line="161" w:lineRule="exact" w:before="29"/>
              <w:ind w:right="85"/>
              <w:jc w:val="right"/>
              <w:rPr>
                <w:sz w:val="14"/>
              </w:rPr>
            </w:pPr>
            <w:r>
              <w:rPr>
                <w:spacing w:val="-2"/>
                <w:sz w:val="14"/>
              </w:rPr>
              <w:t>2,625</w:t>
            </w:r>
          </w:p>
        </w:tc>
        <w:tc>
          <w:tcPr>
            <w:tcW w:w="84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0" w:type="dxa"/>
            <w:tcBorders>
              <w:bottom w:val="single" w:sz="8" w:space="0" w:color="000000"/>
            </w:tcBorders>
          </w:tcPr>
          <w:p>
            <w:pPr>
              <w:pStyle w:val="TableParagraph"/>
              <w:spacing w:line="161" w:lineRule="exact" w:before="29"/>
              <w:ind w:right="55"/>
              <w:jc w:val="right"/>
              <w:rPr>
                <w:sz w:val="14"/>
              </w:rPr>
            </w:pPr>
            <w:r>
              <w:rPr>
                <w:sz w:val="14"/>
              </w:rPr>
              <w:t>—</w:t>
            </w:r>
          </w:p>
        </w:tc>
        <w:tc>
          <w:tcPr>
            <w:tcW w:w="815" w:type="dxa"/>
            <w:tcBorders>
              <w:bottom w:val="single" w:sz="8" w:space="0" w:color="000000"/>
            </w:tcBorders>
          </w:tcPr>
          <w:p>
            <w:pPr>
              <w:pStyle w:val="TableParagraph"/>
              <w:spacing w:line="161" w:lineRule="exact" w:before="29"/>
              <w:ind w:right="60"/>
              <w:jc w:val="right"/>
              <w:rPr>
                <w:sz w:val="14"/>
              </w:rPr>
            </w:pPr>
            <w:r>
              <w:rPr>
                <w:spacing w:val="-5"/>
                <w:sz w:val="14"/>
              </w:rPr>
              <w:t>418</w:t>
            </w:r>
          </w:p>
        </w:tc>
      </w:tr>
      <w:tr>
        <w:trPr>
          <w:trHeight w:val="205" w:hRule="atLeast"/>
        </w:trPr>
        <w:tc>
          <w:tcPr>
            <w:tcW w:w="2820" w:type="dxa"/>
          </w:tcPr>
          <w:p>
            <w:pPr>
              <w:pStyle w:val="TableParagraph"/>
              <w:spacing w:line="161" w:lineRule="exact" w:before="14"/>
              <w:ind w:left="52"/>
              <w:rPr>
                <w:sz w:val="14"/>
              </w:rPr>
            </w:pPr>
            <w:r>
              <w:rPr>
                <w:spacing w:val="-2"/>
                <w:sz w:val="14"/>
              </w:rPr>
              <w:t>Total</w:t>
            </w:r>
            <w:r>
              <w:rPr>
                <w:spacing w:val="-3"/>
                <w:sz w:val="14"/>
              </w:rPr>
              <w:t> </w:t>
            </w:r>
            <w:r>
              <w:rPr>
                <w:spacing w:val="-2"/>
                <w:sz w:val="14"/>
              </w:rPr>
              <w:t>other</w:t>
            </w:r>
            <w:r>
              <w:rPr>
                <w:sz w:val="14"/>
              </w:rPr>
              <w:t> </w:t>
            </w:r>
            <w:r>
              <w:rPr>
                <w:spacing w:val="-2"/>
                <w:sz w:val="14"/>
              </w:rPr>
              <w:t>funds</w:t>
            </w:r>
          </w:p>
        </w:tc>
        <w:tc>
          <w:tcPr>
            <w:tcW w:w="806" w:type="dxa"/>
            <w:tcBorders>
              <w:bottom w:val="single" w:sz="8" w:space="0" w:color="000000"/>
            </w:tcBorders>
          </w:tcPr>
          <w:p>
            <w:pPr>
              <w:pStyle w:val="TableParagraph"/>
              <w:spacing w:line="161" w:lineRule="exact" w:before="14"/>
              <w:ind w:right="55"/>
              <w:jc w:val="right"/>
              <w:rPr>
                <w:sz w:val="14"/>
              </w:rPr>
            </w:pPr>
            <w:r>
              <w:rPr>
                <w:sz w:val="14"/>
              </w:rPr>
              <w:t>—</w:t>
            </w:r>
          </w:p>
        </w:tc>
        <w:tc>
          <w:tcPr>
            <w:tcW w:w="810" w:type="dxa"/>
            <w:tcBorders>
              <w:bottom w:val="single" w:sz="8" w:space="0" w:color="000000"/>
            </w:tcBorders>
          </w:tcPr>
          <w:p>
            <w:pPr>
              <w:pStyle w:val="TableParagraph"/>
              <w:spacing w:line="161" w:lineRule="exact" w:before="14"/>
              <w:ind w:right="55"/>
              <w:jc w:val="right"/>
              <w:rPr>
                <w:sz w:val="14"/>
              </w:rPr>
            </w:pPr>
            <w:r>
              <w:rPr>
                <w:sz w:val="14"/>
              </w:rPr>
              <w:t>—</w:t>
            </w:r>
          </w:p>
        </w:tc>
        <w:tc>
          <w:tcPr>
            <w:tcW w:w="1650" w:type="dxa"/>
            <w:gridSpan w:val="2"/>
            <w:tcBorders>
              <w:bottom w:val="single" w:sz="8" w:space="0" w:color="000000"/>
            </w:tcBorders>
          </w:tcPr>
          <w:p>
            <w:pPr>
              <w:pStyle w:val="TableParagraph"/>
              <w:tabs>
                <w:tab w:pos="1134" w:val="left" w:leader="none"/>
              </w:tabs>
              <w:spacing w:line="161" w:lineRule="exact" w:before="14"/>
              <w:ind w:left="612"/>
              <w:rPr>
                <w:sz w:val="14"/>
              </w:rPr>
            </w:pPr>
            <w:r>
              <w:rPr>
                <w:sz w:val="14"/>
              </w:rPr>
              <w:t>—</w:t>
              <w:tab/>
            </w:r>
            <w:r>
              <w:rPr>
                <w:spacing w:val="-2"/>
                <w:sz w:val="14"/>
              </w:rPr>
              <w:t>17,194</w:t>
            </w:r>
          </w:p>
        </w:tc>
        <w:tc>
          <w:tcPr>
            <w:tcW w:w="840" w:type="dxa"/>
            <w:tcBorders>
              <w:bottom w:val="single" w:sz="8" w:space="0" w:color="000000"/>
            </w:tcBorders>
          </w:tcPr>
          <w:p>
            <w:pPr>
              <w:pStyle w:val="TableParagraph"/>
              <w:spacing w:line="161" w:lineRule="exact" w:before="14"/>
              <w:ind w:right="55"/>
              <w:jc w:val="right"/>
              <w:rPr>
                <w:sz w:val="14"/>
              </w:rPr>
            </w:pPr>
            <w:r>
              <w:rPr>
                <w:sz w:val="14"/>
              </w:rPr>
              <w:t>—</w:t>
            </w:r>
          </w:p>
        </w:tc>
        <w:tc>
          <w:tcPr>
            <w:tcW w:w="810" w:type="dxa"/>
            <w:tcBorders>
              <w:bottom w:val="single" w:sz="8" w:space="0" w:color="000000"/>
            </w:tcBorders>
          </w:tcPr>
          <w:p>
            <w:pPr>
              <w:pStyle w:val="TableParagraph"/>
              <w:spacing w:line="161" w:lineRule="exact" w:before="14"/>
              <w:ind w:right="55"/>
              <w:jc w:val="right"/>
              <w:rPr>
                <w:sz w:val="14"/>
              </w:rPr>
            </w:pPr>
            <w:r>
              <w:rPr>
                <w:sz w:val="14"/>
              </w:rPr>
              <w:t>—</w:t>
            </w:r>
          </w:p>
        </w:tc>
        <w:tc>
          <w:tcPr>
            <w:tcW w:w="1625" w:type="dxa"/>
            <w:gridSpan w:val="2"/>
            <w:tcBorders>
              <w:bottom w:val="single" w:sz="8" w:space="0" w:color="000000"/>
            </w:tcBorders>
          </w:tcPr>
          <w:p>
            <w:pPr>
              <w:pStyle w:val="TableParagraph"/>
              <w:tabs>
                <w:tab w:pos="1212" w:val="left" w:leader="none"/>
              </w:tabs>
              <w:spacing w:line="161" w:lineRule="exact" w:before="14"/>
              <w:ind w:left="612"/>
              <w:rPr>
                <w:sz w:val="14"/>
              </w:rPr>
            </w:pPr>
            <w:r>
              <w:rPr>
                <w:sz w:val="14"/>
              </w:rPr>
              <w:t>—</w:t>
              <w:tab/>
            </w:r>
            <w:r>
              <w:rPr>
                <w:spacing w:val="-2"/>
                <w:sz w:val="14"/>
              </w:rPr>
              <w:t>2,860</w:t>
            </w:r>
          </w:p>
        </w:tc>
      </w:tr>
      <w:tr>
        <w:trPr>
          <w:trHeight w:val="210" w:hRule="atLeast"/>
        </w:trPr>
        <w:tc>
          <w:tcPr>
            <w:tcW w:w="2820" w:type="dxa"/>
          </w:tcPr>
          <w:p>
            <w:pPr>
              <w:pStyle w:val="TableParagraph"/>
              <w:spacing w:before="24"/>
              <w:ind w:left="52"/>
              <w:rPr>
                <w:sz w:val="14"/>
              </w:rPr>
            </w:pPr>
            <w:r>
              <w:rPr>
                <w:sz w:val="14"/>
              </w:rPr>
              <w:t>Derivative</w:t>
            </w:r>
            <w:r>
              <w:rPr>
                <w:spacing w:val="-5"/>
                <w:sz w:val="14"/>
              </w:rPr>
              <w:t> </w:t>
            </w:r>
            <w:r>
              <w:rPr>
                <w:spacing w:val="-2"/>
                <w:sz w:val="14"/>
              </w:rPr>
              <w:t>assets/liabilities</w:t>
            </w:r>
          </w:p>
        </w:tc>
        <w:tc>
          <w:tcPr>
            <w:tcW w:w="806" w:type="dxa"/>
            <w:tcBorders>
              <w:top w:val="single" w:sz="8" w:space="0" w:color="000000"/>
            </w:tcBorders>
          </w:tcPr>
          <w:p>
            <w:pPr>
              <w:pStyle w:val="TableParagraph"/>
              <w:spacing w:before="24"/>
              <w:ind w:right="55"/>
              <w:jc w:val="right"/>
              <w:rPr>
                <w:sz w:val="14"/>
              </w:rPr>
            </w:pPr>
            <w:r>
              <w:rPr>
                <w:spacing w:val="-10"/>
                <w:sz w:val="14"/>
              </w:rPr>
              <w:t>8</w:t>
            </w:r>
          </w:p>
        </w:tc>
        <w:tc>
          <w:tcPr>
            <w:tcW w:w="810" w:type="dxa"/>
            <w:tcBorders>
              <w:top w:val="single" w:sz="8" w:space="0" w:color="000000"/>
            </w:tcBorders>
          </w:tcPr>
          <w:p>
            <w:pPr>
              <w:pStyle w:val="TableParagraph"/>
              <w:spacing w:before="24"/>
              <w:ind w:right="55"/>
              <w:jc w:val="right"/>
              <w:rPr>
                <w:sz w:val="14"/>
              </w:rPr>
            </w:pPr>
            <w:r>
              <w:rPr>
                <w:spacing w:val="-10"/>
                <w:sz w:val="14"/>
              </w:rPr>
              <w:t>5</w:t>
            </w:r>
          </w:p>
        </w:tc>
        <w:tc>
          <w:tcPr>
            <w:tcW w:w="1650" w:type="dxa"/>
            <w:gridSpan w:val="2"/>
            <w:tcBorders>
              <w:top w:val="single" w:sz="8" w:space="0" w:color="000000"/>
            </w:tcBorders>
          </w:tcPr>
          <w:p>
            <w:pPr>
              <w:pStyle w:val="TableParagraph"/>
              <w:tabs>
                <w:tab w:pos="1406" w:val="left" w:leader="none"/>
              </w:tabs>
              <w:spacing w:before="24"/>
              <w:ind w:left="612"/>
              <w:rPr>
                <w:sz w:val="14"/>
              </w:rPr>
            </w:pPr>
            <w:r>
              <w:rPr>
                <w:sz w:val="14"/>
              </w:rPr>
              <w:t>—</w:t>
              <w:tab/>
            </w:r>
            <w:r>
              <w:rPr>
                <w:spacing w:val="-5"/>
                <w:sz w:val="14"/>
              </w:rPr>
              <w:t>13</w:t>
            </w:r>
          </w:p>
        </w:tc>
        <w:tc>
          <w:tcPr>
            <w:tcW w:w="840" w:type="dxa"/>
            <w:tcBorders>
              <w:top w:val="single" w:sz="8" w:space="0" w:color="000000"/>
            </w:tcBorders>
          </w:tcPr>
          <w:p>
            <w:pPr>
              <w:pStyle w:val="TableParagraph"/>
              <w:spacing w:before="24"/>
              <w:ind w:right="55"/>
              <w:jc w:val="right"/>
              <w:rPr>
                <w:sz w:val="14"/>
              </w:rPr>
            </w:pPr>
            <w:r>
              <w:rPr>
                <w:spacing w:val="-10"/>
                <w:sz w:val="14"/>
              </w:rPr>
              <w:t>1</w:t>
            </w:r>
          </w:p>
        </w:tc>
        <w:tc>
          <w:tcPr>
            <w:tcW w:w="810" w:type="dxa"/>
            <w:tcBorders>
              <w:top w:val="single" w:sz="8" w:space="0" w:color="000000"/>
            </w:tcBorders>
          </w:tcPr>
          <w:p>
            <w:pPr>
              <w:pStyle w:val="TableParagraph"/>
              <w:spacing w:before="24"/>
              <w:ind w:right="55"/>
              <w:jc w:val="right"/>
              <w:rPr>
                <w:sz w:val="14"/>
              </w:rPr>
            </w:pPr>
            <w:r>
              <w:rPr>
                <w:spacing w:val="-10"/>
                <w:sz w:val="14"/>
              </w:rPr>
              <w:t>1</w:t>
            </w:r>
          </w:p>
        </w:tc>
        <w:tc>
          <w:tcPr>
            <w:tcW w:w="1625" w:type="dxa"/>
            <w:gridSpan w:val="2"/>
            <w:tcBorders>
              <w:top w:val="single" w:sz="8" w:space="0" w:color="000000"/>
            </w:tcBorders>
          </w:tcPr>
          <w:p>
            <w:pPr>
              <w:pStyle w:val="TableParagraph"/>
              <w:tabs>
                <w:tab w:pos="1484" w:val="left" w:leader="none"/>
              </w:tabs>
              <w:spacing w:before="24"/>
              <w:ind w:left="612"/>
              <w:rPr>
                <w:sz w:val="14"/>
              </w:rPr>
            </w:pPr>
            <w:r>
              <w:rPr>
                <w:sz w:val="14"/>
              </w:rPr>
              <w:t>—</w:t>
              <w:tab/>
            </w:r>
            <w:r>
              <w:rPr>
                <w:spacing w:val="-10"/>
                <w:sz w:val="14"/>
              </w:rPr>
              <w:t>2</w:t>
            </w:r>
          </w:p>
        </w:tc>
      </w:tr>
      <w:tr>
        <w:trPr>
          <w:trHeight w:val="219" w:hRule="atLeast"/>
        </w:trPr>
        <w:tc>
          <w:tcPr>
            <w:tcW w:w="2820" w:type="dxa"/>
          </w:tcPr>
          <w:p>
            <w:pPr>
              <w:pStyle w:val="TableParagraph"/>
              <w:spacing w:line="161" w:lineRule="exact" w:before="39"/>
              <w:ind w:left="52"/>
              <w:rPr>
                <w:sz w:val="14"/>
              </w:rPr>
            </w:pPr>
            <w:r>
              <w:rPr>
                <w:sz w:val="14"/>
              </w:rPr>
              <w:t>Other</w:t>
            </w:r>
            <w:r>
              <w:rPr>
                <w:spacing w:val="-8"/>
                <w:sz w:val="14"/>
              </w:rPr>
              <w:t> </w:t>
            </w:r>
            <w:r>
              <w:rPr>
                <w:sz w:val="14"/>
              </w:rPr>
              <w:t>assets/liabilities,</w:t>
            </w:r>
            <w:r>
              <w:rPr>
                <w:spacing w:val="-5"/>
                <w:sz w:val="14"/>
              </w:rPr>
              <w:t> </w:t>
            </w:r>
            <w:r>
              <w:rPr>
                <w:sz w:val="14"/>
              </w:rPr>
              <w:t>net</w:t>
            </w:r>
            <w:r>
              <w:rPr>
                <w:spacing w:val="-7"/>
                <w:sz w:val="14"/>
              </w:rPr>
              <w:t> </w:t>
            </w:r>
            <w:r>
              <w:rPr>
                <w:spacing w:val="-10"/>
                <w:sz w:val="14"/>
                <w:vertAlign w:val="superscript"/>
              </w:rPr>
              <w:t>b</w:t>
            </w:r>
          </w:p>
        </w:tc>
        <w:tc>
          <w:tcPr>
            <w:tcW w:w="806" w:type="dxa"/>
            <w:tcBorders>
              <w:bottom w:val="single" w:sz="8" w:space="0" w:color="000000"/>
            </w:tcBorders>
          </w:tcPr>
          <w:p>
            <w:pPr>
              <w:pStyle w:val="TableParagraph"/>
              <w:spacing w:line="161" w:lineRule="exact" w:before="39"/>
              <w:ind w:right="55"/>
              <w:jc w:val="right"/>
              <w:rPr>
                <w:sz w:val="14"/>
              </w:rPr>
            </w:pPr>
            <w:r>
              <w:rPr>
                <w:sz w:val="14"/>
              </w:rPr>
              <w:t>—</w:t>
            </w:r>
          </w:p>
        </w:tc>
        <w:tc>
          <w:tcPr>
            <w:tcW w:w="810" w:type="dxa"/>
            <w:tcBorders>
              <w:bottom w:val="single" w:sz="8" w:space="0" w:color="000000"/>
            </w:tcBorders>
          </w:tcPr>
          <w:p>
            <w:pPr>
              <w:pStyle w:val="TableParagraph"/>
              <w:spacing w:line="161" w:lineRule="exact" w:before="39"/>
              <w:ind w:right="55"/>
              <w:jc w:val="right"/>
              <w:rPr>
                <w:sz w:val="14"/>
              </w:rPr>
            </w:pPr>
            <w:r>
              <w:rPr>
                <w:sz w:val="14"/>
              </w:rPr>
              <w:t>—</w:t>
            </w:r>
          </w:p>
        </w:tc>
        <w:tc>
          <w:tcPr>
            <w:tcW w:w="1650" w:type="dxa"/>
            <w:gridSpan w:val="2"/>
            <w:tcBorders>
              <w:bottom w:val="single" w:sz="8" w:space="0" w:color="000000"/>
            </w:tcBorders>
          </w:tcPr>
          <w:p>
            <w:pPr>
              <w:pStyle w:val="TableParagraph"/>
              <w:tabs>
                <w:tab w:pos="1406" w:val="left" w:leader="none"/>
              </w:tabs>
              <w:spacing w:line="161" w:lineRule="exact" w:before="39"/>
              <w:ind w:left="612"/>
              <w:rPr>
                <w:sz w:val="14"/>
              </w:rPr>
            </w:pPr>
            <w:r>
              <w:rPr>
                <w:sz w:val="14"/>
              </w:rPr>
              <w:t>—</w:t>
              <w:tab/>
            </w:r>
            <w:r>
              <w:rPr>
                <w:spacing w:val="-5"/>
                <w:sz w:val="14"/>
              </w:rPr>
              <w:t>68</w:t>
            </w:r>
          </w:p>
        </w:tc>
        <w:tc>
          <w:tcPr>
            <w:tcW w:w="840" w:type="dxa"/>
            <w:tcBorders>
              <w:bottom w:val="single" w:sz="8" w:space="0" w:color="000000"/>
            </w:tcBorders>
          </w:tcPr>
          <w:p>
            <w:pPr>
              <w:pStyle w:val="TableParagraph"/>
              <w:spacing w:line="161" w:lineRule="exact" w:before="39"/>
              <w:ind w:right="55"/>
              <w:jc w:val="right"/>
              <w:rPr>
                <w:sz w:val="14"/>
              </w:rPr>
            </w:pPr>
            <w:r>
              <w:rPr>
                <w:sz w:val="14"/>
              </w:rPr>
              <w:t>—</w:t>
            </w:r>
          </w:p>
        </w:tc>
        <w:tc>
          <w:tcPr>
            <w:tcW w:w="810" w:type="dxa"/>
            <w:tcBorders>
              <w:bottom w:val="single" w:sz="8" w:space="0" w:color="000000"/>
            </w:tcBorders>
          </w:tcPr>
          <w:p>
            <w:pPr>
              <w:pStyle w:val="TableParagraph"/>
              <w:spacing w:line="161" w:lineRule="exact" w:before="39"/>
              <w:ind w:right="55"/>
              <w:jc w:val="right"/>
              <w:rPr>
                <w:sz w:val="14"/>
              </w:rPr>
            </w:pPr>
            <w:r>
              <w:rPr>
                <w:sz w:val="14"/>
              </w:rPr>
              <w:t>—</w:t>
            </w:r>
          </w:p>
        </w:tc>
        <w:tc>
          <w:tcPr>
            <w:tcW w:w="1625" w:type="dxa"/>
            <w:gridSpan w:val="2"/>
            <w:tcBorders>
              <w:bottom w:val="single" w:sz="8" w:space="0" w:color="000000"/>
            </w:tcBorders>
          </w:tcPr>
          <w:p>
            <w:pPr>
              <w:pStyle w:val="TableParagraph"/>
              <w:tabs>
                <w:tab w:pos="1406" w:val="left" w:leader="none"/>
              </w:tabs>
              <w:spacing w:line="161" w:lineRule="exact" w:before="39"/>
              <w:ind w:left="612"/>
              <w:rPr>
                <w:sz w:val="14"/>
              </w:rPr>
            </w:pPr>
            <w:r>
              <w:rPr>
                <w:sz w:val="14"/>
              </w:rPr>
              <w:t>—</w:t>
              <w:tab/>
            </w:r>
            <w:r>
              <w:rPr>
                <w:spacing w:val="-5"/>
                <w:sz w:val="14"/>
              </w:rPr>
              <w:t>13</w:t>
            </w:r>
          </w:p>
        </w:tc>
      </w:tr>
      <w:tr>
        <w:trPr>
          <w:trHeight w:val="185" w:hRule="atLeast"/>
        </w:trPr>
        <w:tc>
          <w:tcPr>
            <w:tcW w:w="2820" w:type="dxa"/>
          </w:tcPr>
          <w:p>
            <w:pPr>
              <w:pStyle w:val="TableParagraph"/>
              <w:spacing w:line="141" w:lineRule="exact" w:before="24"/>
              <w:ind w:left="52"/>
              <w:rPr>
                <w:rFonts w:ascii="Arial"/>
                <w:b/>
                <w:sz w:val="14"/>
              </w:rPr>
            </w:pPr>
            <w:r>
              <w:rPr>
                <w:rFonts w:ascii="Arial"/>
                <w:b/>
                <w:sz w:val="14"/>
              </w:rPr>
              <w:t>Total</w:t>
            </w:r>
            <w:r>
              <w:rPr>
                <w:rFonts w:ascii="Arial"/>
                <w:b/>
                <w:spacing w:val="-1"/>
                <w:sz w:val="14"/>
              </w:rPr>
              <w:t> </w:t>
            </w:r>
            <w:r>
              <w:rPr>
                <w:rFonts w:ascii="Arial"/>
                <w:b/>
                <w:spacing w:val="-2"/>
                <w:sz w:val="14"/>
              </w:rPr>
              <w:t>assets</w:t>
            </w:r>
          </w:p>
        </w:tc>
        <w:tc>
          <w:tcPr>
            <w:tcW w:w="806" w:type="dxa"/>
            <w:tcBorders>
              <w:top w:val="single" w:sz="8" w:space="0" w:color="000000"/>
              <w:bottom w:val="double" w:sz="8" w:space="0" w:color="000000"/>
            </w:tcBorders>
          </w:tcPr>
          <w:p>
            <w:pPr>
              <w:pStyle w:val="TableParagraph"/>
              <w:tabs>
                <w:tab w:pos="345" w:val="left" w:leader="none"/>
              </w:tabs>
              <w:spacing w:line="141" w:lineRule="exact" w:before="24"/>
              <w:ind w:right="55"/>
              <w:jc w:val="right"/>
              <w:rPr>
                <w:sz w:val="14"/>
              </w:rPr>
            </w:pPr>
            <w:r>
              <w:rPr>
                <w:spacing w:val="-10"/>
                <w:sz w:val="14"/>
              </w:rPr>
              <w:t>$</w:t>
            </w:r>
            <w:r>
              <w:rPr>
                <w:sz w:val="14"/>
              </w:rPr>
              <w:tab/>
            </w:r>
            <w:r>
              <w:rPr>
                <w:spacing w:val="-2"/>
                <w:sz w:val="14"/>
              </w:rPr>
              <w:t>4,986</w:t>
            </w:r>
          </w:p>
        </w:tc>
        <w:tc>
          <w:tcPr>
            <w:tcW w:w="810" w:type="dxa"/>
            <w:tcBorders>
              <w:top w:val="single" w:sz="8" w:space="0" w:color="000000"/>
              <w:bottom w:val="double" w:sz="8" w:space="0" w:color="000000"/>
            </w:tcBorders>
          </w:tcPr>
          <w:p>
            <w:pPr>
              <w:pStyle w:val="TableParagraph"/>
              <w:tabs>
                <w:tab w:pos="345" w:val="left" w:leader="none"/>
              </w:tabs>
              <w:spacing w:line="141" w:lineRule="exact" w:before="24"/>
              <w:ind w:right="55"/>
              <w:jc w:val="right"/>
              <w:rPr>
                <w:sz w:val="14"/>
              </w:rPr>
            </w:pPr>
            <w:r>
              <w:rPr>
                <w:spacing w:val="-10"/>
                <w:sz w:val="14"/>
              </w:rPr>
              <w:t>$</w:t>
            </w:r>
            <w:r>
              <w:rPr>
                <w:sz w:val="14"/>
              </w:rPr>
              <w:tab/>
            </w:r>
            <w:r>
              <w:rPr>
                <w:spacing w:val="-2"/>
                <w:sz w:val="14"/>
              </w:rPr>
              <w:t>1,497</w:t>
            </w:r>
          </w:p>
        </w:tc>
        <w:tc>
          <w:tcPr>
            <w:tcW w:w="1650" w:type="dxa"/>
            <w:gridSpan w:val="2"/>
            <w:tcBorders>
              <w:top w:val="single" w:sz="8" w:space="0" w:color="000000"/>
              <w:bottom w:val="double" w:sz="8" w:space="0" w:color="000000"/>
            </w:tcBorders>
          </w:tcPr>
          <w:p>
            <w:pPr>
              <w:pStyle w:val="TableParagraph"/>
              <w:tabs>
                <w:tab w:pos="612" w:val="left" w:leader="none"/>
              </w:tabs>
              <w:spacing w:line="141" w:lineRule="exact" w:before="24"/>
              <w:ind w:left="56"/>
              <w:rPr>
                <w:sz w:val="14"/>
              </w:rPr>
            </w:pPr>
            <w:r>
              <w:rPr>
                <w:spacing w:val="-10"/>
                <w:sz w:val="14"/>
              </w:rPr>
              <w:t>$</w:t>
            </w:r>
            <w:r>
              <w:rPr>
                <w:sz w:val="14"/>
              </w:rPr>
              <w:tab/>
              <w:t>—</w:t>
            </w:r>
            <w:r>
              <w:rPr>
                <w:spacing w:val="74"/>
                <w:sz w:val="14"/>
              </w:rPr>
              <w:t> </w:t>
            </w:r>
            <w:r>
              <w:rPr>
                <w:sz w:val="14"/>
              </w:rPr>
              <w:t>$</w:t>
            </w:r>
            <w:r>
              <w:rPr>
                <w:spacing w:val="55"/>
                <w:sz w:val="14"/>
              </w:rPr>
              <w:t>  </w:t>
            </w:r>
            <w:r>
              <w:rPr>
                <w:spacing w:val="-2"/>
                <w:sz w:val="14"/>
              </w:rPr>
              <w:t>23,745</w:t>
            </w:r>
          </w:p>
        </w:tc>
        <w:tc>
          <w:tcPr>
            <w:tcW w:w="840" w:type="dxa"/>
            <w:tcBorders>
              <w:top w:val="single" w:sz="8" w:space="0" w:color="000000"/>
              <w:bottom w:val="double" w:sz="8" w:space="0" w:color="000000"/>
            </w:tcBorders>
          </w:tcPr>
          <w:p>
            <w:pPr>
              <w:pStyle w:val="TableParagraph"/>
              <w:tabs>
                <w:tab w:pos="462" w:val="left" w:leader="none"/>
              </w:tabs>
              <w:spacing w:line="141" w:lineRule="exact" w:before="24"/>
              <w:ind w:right="55"/>
              <w:jc w:val="right"/>
              <w:rPr>
                <w:sz w:val="14"/>
              </w:rPr>
            </w:pPr>
            <w:r>
              <w:rPr>
                <w:spacing w:val="-10"/>
                <w:sz w:val="14"/>
              </w:rPr>
              <w:t>$</w:t>
            </w:r>
            <w:r>
              <w:rPr>
                <w:sz w:val="14"/>
              </w:rPr>
              <w:tab/>
            </w:r>
            <w:r>
              <w:rPr>
                <w:spacing w:val="-5"/>
                <w:sz w:val="14"/>
              </w:rPr>
              <w:t>903</w:t>
            </w:r>
          </w:p>
        </w:tc>
        <w:tc>
          <w:tcPr>
            <w:tcW w:w="810" w:type="dxa"/>
            <w:tcBorders>
              <w:top w:val="single" w:sz="8" w:space="0" w:color="000000"/>
              <w:bottom w:val="double" w:sz="8" w:space="0" w:color="000000"/>
            </w:tcBorders>
          </w:tcPr>
          <w:p>
            <w:pPr>
              <w:pStyle w:val="TableParagraph"/>
              <w:tabs>
                <w:tab w:pos="462" w:val="left" w:leader="none"/>
              </w:tabs>
              <w:spacing w:line="141" w:lineRule="exact" w:before="24"/>
              <w:ind w:right="55"/>
              <w:jc w:val="right"/>
              <w:rPr>
                <w:sz w:val="14"/>
              </w:rPr>
            </w:pPr>
            <w:r>
              <w:rPr>
                <w:spacing w:val="-10"/>
                <w:sz w:val="14"/>
              </w:rPr>
              <w:t>$</w:t>
            </w:r>
            <w:r>
              <w:rPr>
                <w:sz w:val="14"/>
              </w:rPr>
              <w:tab/>
            </w:r>
            <w:r>
              <w:rPr>
                <w:spacing w:val="-5"/>
                <w:sz w:val="14"/>
              </w:rPr>
              <w:t>285</w:t>
            </w:r>
          </w:p>
        </w:tc>
        <w:tc>
          <w:tcPr>
            <w:tcW w:w="1625" w:type="dxa"/>
            <w:gridSpan w:val="2"/>
            <w:tcBorders>
              <w:top w:val="single" w:sz="8" w:space="0" w:color="000000"/>
              <w:bottom w:val="double" w:sz="8" w:space="0" w:color="000000"/>
            </w:tcBorders>
          </w:tcPr>
          <w:p>
            <w:pPr>
              <w:pStyle w:val="TableParagraph"/>
              <w:tabs>
                <w:tab w:pos="612" w:val="left" w:leader="none"/>
                <w:tab w:pos="1212" w:val="left" w:leader="none"/>
              </w:tabs>
              <w:spacing w:line="141" w:lineRule="exact" w:before="24"/>
              <w:ind w:left="56"/>
              <w:rPr>
                <w:sz w:val="14"/>
              </w:rPr>
            </w:pPr>
            <w:r>
              <w:rPr>
                <w:spacing w:val="-10"/>
                <w:sz w:val="14"/>
              </w:rPr>
              <w:t>$</w:t>
            </w:r>
            <w:r>
              <w:rPr>
                <w:sz w:val="14"/>
              </w:rPr>
              <w:tab/>
              <w:t>—</w:t>
            </w:r>
            <w:r>
              <w:rPr>
                <w:spacing w:val="74"/>
                <w:sz w:val="14"/>
              </w:rPr>
              <w:t> </w:t>
            </w:r>
            <w:r>
              <w:rPr>
                <w:spacing w:val="-10"/>
                <w:sz w:val="14"/>
              </w:rPr>
              <w:t>$</w:t>
            </w:r>
            <w:r>
              <w:rPr>
                <w:sz w:val="14"/>
              </w:rPr>
              <w:tab/>
            </w:r>
            <w:r>
              <w:rPr>
                <w:spacing w:val="-2"/>
                <w:sz w:val="14"/>
              </w:rPr>
              <w:t>4,061</w:t>
            </w:r>
          </w:p>
        </w:tc>
      </w:tr>
      <w:tr>
        <w:trPr>
          <w:trHeight w:val="185" w:hRule="atLeast"/>
        </w:trPr>
        <w:tc>
          <w:tcPr>
            <w:tcW w:w="2820" w:type="dxa"/>
            <w:tcBorders>
              <w:bottom w:val="single" w:sz="8" w:space="0" w:color="000000"/>
            </w:tcBorders>
          </w:tcPr>
          <w:p>
            <w:pPr>
              <w:pStyle w:val="TableParagraph"/>
              <w:rPr>
                <w:rFonts w:ascii="Times New Roman"/>
                <w:sz w:val="12"/>
              </w:rPr>
            </w:pPr>
          </w:p>
        </w:tc>
        <w:tc>
          <w:tcPr>
            <w:tcW w:w="806" w:type="dxa"/>
            <w:tcBorders>
              <w:top w:val="double" w:sz="8" w:space="0" w:color="000000"/>
              <w:bottom w:val="single" w:sz="8" w:space="0" w:color="000000"/>
            </w:tcBorders>
          </w:tcPr>
          <w:p>
            <w:pPr>
              <w:pStyle w:val="TableParagraph"/>
              <w:rPr>
                <w:rFonts w:ascii="Times New Roman"/>
                <w:sz w:val="12"/>
              </w:rPr>
            </w:pPr>
          </w:p>
        </w:tc>
        <w:tc>
          <w:tcPr>
            <w:tcW w:w="810" w:type="dxa"/>
            <w:tcBorders>
              <w:top w:val="double" w:sz="8" w:space="0" w:color="000000"/>
              <w:bottom w:val="single" w:sz="8" w:space="0" w:color="000000"/>
            </w:tcBorders>
          </w:tcPr>
          <w:p>
            <w:pPr>
              <w:pStyle w:val="TableParagraph"/>
              <w:rPr>
                <w:rFonts w:ascii="Times New Roman"/>
                <w:sz w:val="12"/>
              </w:rPr>
            </w:pPr>
          </w:p>
        </w:tc>
        <w:tc>
          <w:tcPr>
            <w:tcW w:w="1650" w:type="dxa"/>
            <w:gridSpan w:val="2"/>
            <w:tcBorders>
              <w:top w:val="double" w:sz="8" w:space="0" w:color="000000"/>
              <w:bottom w:val="single" w:sz="8" w:space="0" w:color="000000"/>
            </w:tcBorders>
          </w:tcPr>
          <w:p>
            <w:pPr>
              <w:pStyle w:val="TableParagraph"/>
              <w:rPr>
                <w:rFonts w:ascii="Times New Roman"/>
                <w:sz w:val="12"/>
              </w:rPr>
            </w:pPr>
          </w:p>
        </w:tc>
        <w:tc>
          <w:tcPr>
            <w:tcW w:w="840" w:type="dxa"/>
            <w:tcBorders>
              <w:top w:val="double" w:sz="8" w:space="0" w:color="000000"/>
              <w:bottom w:val="single" w:sz="8" w:space="0" w:color="000000"/>
            </w:tcBorders>
          </w:tcPr>
          <w:p>
            <w:pPr>
              <w:pStyle w:val="TableParagraph"/>
              <w:rPr>
                <w:rFonts w:ascii="Times New Roman"/>
                <w:sz w:val="12"/>
              </w:rPr>
            </w:pPr>
          </w:p>
        </w:tc>
        <w:tc>
          <w:tcPr>
            <w:tcW w:w="810" w:type="dxa"/>
            <w:tcBorders>
              <w:top w:val="double" w:sz="8" w:space="0" w:color="000000"/>
              <w:bottom w:val="single" w:sz="8" w:space="0" w:color="000000"/>
            </w:tcBorders>
          </w:tcPr>
          <w:p>
            <w:pPr>
              <w:pStyle w:val="TableParagraph"/>
              <w:rPr>
                <w:rFonts w:ascii="Times New Roman"/>
                <w:sz w:val="12"/>
              </w:rPr>
            </w:pPr>
          </w:p>
        </w:tc>
        <w:tc>
          <w:tcPr>
            <w:tcW w:w="1625" w:type="dxa"/>
            <w:gridSpan w:val="2"/>
            <w:tcBorders>
              <w:top w:val="double" w:sz="8" w:space="0" w:color="000000"/>
              <w:bottom w:val="single" w:sz="8" w:space="0" w:color="000000"/>
            </w:tcBorders>
          </w:tcPr>
          <w:p>
            <w:pPr>
              <w:pStyle w:val="TableParagraph"/>
              <w:rPr>
                <w:rFonts w:ascii="Times New Roman"/>
                <w:sz w:val="12"/>
              </w:rPr>
            </w:pPr>
          </w:p>
        </w:tc>
      </w:tr>
    </w:tbl>
    <w:p>
      <w:pPr>
        <w:pStyle w:val="ListParagraph"/>
        <w:numPr>
          <w:ilvl w:val="0"/>
          <w:numId w:val="45"/>
        </w:numPr>
        <w:tabs>
          <w:tab w:pos="926" w:val="left" w:leader="none"/>
        </w:tabs>
        <w:spacing w:line="240" w:lineRule="auto" w:before="23" w:after="0"/>
        <w:ind w:left="926" w:right="0" w:hanging="154"/>
        <w:jc w:val="left"/>
        <w:rPr>
          <w:rFonts w:ascii="Arial"/>
          <w:i/>
          <w:sz w:val="14"/>
        </w:rPr>
      </w:pPr>
      <w:r>
        <w:rPr>
          <w:rFonts w:ascii="Arial"/>
          <w:i/>
          <w:sz w:val="14"/>
        </w:rPr>
        <w:t>Investments</w:t>
      </w:r>
      <w:r>
        <w:rPr>
          <w:rFonts w:ascii="Arial"/>
          <w:i/>
          <w:spacing w:val="-5"/>
          <w:sz w:val="14"/>
        </w:rPr>
        <w:t> </w:t>
      </w:r>
      <w:r>
        <w:rPr>
          <w:rFonts w:ascii="Arial"/>
          <w:i/>
          <w:sz w:val="14"/>
        </w:rPr>
        <w:t>measured</w:t>
      </w:r>
      <w:r>
        <w:rPr>
          <w:rFonts w:ascii="Arial"/>
          <w:i/>
          <w:spacing w:val="-3"/>
          <w:sz w:val="14"/>
        </w:rPr>
        <w:t> </w:t>
      </w:r>
      <w:r>
        <w:rPr>
          <w:rFonts w:ascii="Arial"/>
          <w:i/>
          <w:sz w:val="14"/>
        </w:rPr>
        <w:t>at</w:t>
      </w:r>
      <w:r>
        <w:rPr>
          <w:rFonts w:ascii="Arial"/>
          <w:i/>
          <w:spacing w:val="-3"/>
          <w:sz w:val="14"/>
        </w:rPr>
        <w:t> </w:t>
      </w:r>
      <w:r>
        <w:rPr>
          <w:rFonts w:ascii="Arial"/>
          <w:i/>
          <w:sz w:val="14"/>
        </w:rPr>
        <w:t>fair</w:t>
      </w:r>
      <w:r>
        <w:rPr>
          <w:rFonts w:ascii="Arial"/>
          <w:i/>
          <w:spacing w:val="-3"/>
          <w:sz w:val="14"/>
        </w:rPr>
        <w:t> </w:t>
      </w:r>
      <w:r>
        <w:rPr>
          <w:rFonts w:ascii="Arial"/>
          <w:i/>
          <w:sz w:val="14"/>
        </w:rPr>
        <w:t>value</w:t>
      </w:r>
      <w:r>
        <w:rPr>
          <w:rFonts w:ascii="Arial"/>
          <w:i/>
          <w:spacing w:val="-3"/>
          <w:sz w:val="14"/>
        </w:rPr>
        <w:t> </w:t>
      </w:r>
      <w:r>
        <w:rPr>
          <w:rFonts w:ascii="Arial"/>
          <w:i/>
          <w:sz w:val="14"/>
        </w:rPr>
        <w:t>using</w:t>
      </w:r>
      <w:r>
        <w:rPr>
          <w:rFonts w:ascii="Arial"/>
          <w:i/>
          <w:spacing w:val="-3"/>
          <w:sz w:val="14"/>
        </w:rPr>
        <w:t> </w:t>
      </w:r>
      <w:r>
        <w:rPr>
          <w:rFonts w:ascii="Arial"/>
          <w:i/>
          <w:sz w:val="14"/>
        </w:rPr>
        <w:t>NAV</w:t>
      </w:r>
      <w:r>
        <w:rPr>
          <w:rFonts w:ascii="Arial"/>
          <w:i/>
          <w:spacing w:val="-3"/>
          <w:sz w:val="14"/>
        </w:rPr>
        <w:t> </w:t>
      </w:r>
      <w:r>
        <w:rPr>
          <w:rFonts w:ascii="Arial"/>
          <w:i/>
          <w:sz w:val="14"/>
        </w:rPr>
        <w:t>as</w:t>
      </w:r>
      <w:r>
        <w:rPr>
          <w:rFonts w:ascii="Arial"/>
          <w:i/>
          <w:spacing w:val="-3"/>
          <w:sz w:val="14"/>
        </w:rPr>
        <w:t> </w:t>
      </w:r>
      <w:r>
        <w:rPr>
          <w:rFonts w:ascii="Arial"/>
          <w:i/>
          <w:sz w:val="14"/>
        </w:rPr>
        <w:t>a</w:t>
      </w:r>
      <w:r>
        <w:rPr>
          <w:rFonts w:ascii="Arial"/>
          <w:i/>
          <w:spacing w:val="-3"/>
          <w:sz w:val="14"/>
        </w:rPr>
        <w:t> </w:t>
      </w:r>
      <w:r>
        <w:rPr>
          <w:rFonts w:ascii="Arial"/>
          <w:i/>
          <w:sz w:val="14"/>
        </w:rPr>
        <w:t>practical</w:t>
      </w:r>
      <w:r>
        <w:rPr>
          <w:rFonts w:ascii="Arial"/>
          <w:i/>
          <w:spacing w:val="-3"/>
          <w:sz w:val="14"/>
        </w:rPr>
        <w:t> </w:t>
      </w:r>
      <w:r>
        <w:rPr>
          <w:rFonts w:ascii="Arial"/>
          <w:i/>
          <w:sz w:val="14"/>
        </w:rPr>
        <w:t>expedient</w:t>
      </w:r>
      <w:r>
        <w:rPr>
          <w:rFonts w:ascii="Arial"/>
          <w:i/>
          <w:spacing w:val="-3"/>
          <w:sz w:val="14"/>
        </w:rPr>
        <w:t> </w:t>
      </w:r>
      <w:r>
        <w:rPr>
          <w:rFonts w:ascii="Arial"/>
          <w:i/>
          <w:sz w:val="14"/>
        </w:rPr>
        <w:t>have</w:t>
      </w:r>
      <w:r>
        <w:rPr>
          <w:rFonts w:ascii="Arial"/>
          <w:i/>
          <w:spacing w:val="-3"/>
          <w:sz w:val="14"/>
        </w:rPr>
        <w:t> </w:t>
      </w:r>
      <w:r>
        <w:rPr>
          <w:rFonts w:ascii="Arial"/>
          <w:i/>
          <w:sz w:val="14"/>
        </w:rPr>
        <w:t>not</w:t>
      </w:r>
      <w:r>
        <w:rPr>
          <w:rFonts w:ascii="Arial"/>
          <w:i/>
          <w:spacing w:val="-2"/>
          <w:sz w:val="14"/>
        </w:rPr>
        <w:t> </w:t>
      </w:r>
      <w:r>
        <w:rPr>
          <w:rFonts w:ascii="Arial"/>
          <w:i/>
          <w:sz w:val="14"/>
        </w:rPr>
        <w:t>been</w:t>
      </w:r>
      <w:r>
        <w:rPr>
          <w:rFonts w:ascii="Arial"/>
          <w:i/>
          <w:spacing w:val="-3"/>
          <w:sz w:val="14"/>
        </w:rPr>
        <w:t> </w:t>
      </w:r>
      <w:r>
        <w:rPr>
          <w:rFonts w:ascii="Arial"/>
          <w:i/>
          <w:sz w:val="14"/>
        </w:rPr>
        <w:t>included</w:t>
      </w:r>
      <w:r>
        <w:rPr>
          <w:rFonts w:ascii="Arial"/>
          <w:i/>
          <w:spacing w:val="-3"/>
          <w:sz w:val="14"/>
        </w:rPr>
        <w:t> </w:t>
      </w:r>
      <w:r>
        <w:rPr>
          <w:rFonts w:ascii="Arial"/>
          <w:i/>
          <w:sz w:val="14"/>
        </w:rPr>
        <w:t>under</w:t>
      </w:r>
      <w:r>
        <w:rPr>
          <w:rFonts w:ascii="Arial"/>
          <w:i/>
          <w:spacing w:val="-3"/>
          <w:sz w:val="14"/>
        </w:rPr>
        <w:t> </w:t>
      </w:r>
      <w:r>
        <w:rPr>
          <w:rFonts w:ascii="Arial"/>
          <w:i/>
          <w:sz w:val="14"/>
        </w:rPr>
        <w:t>the</w:t>
      </w:r>
      <w:r>
        <w:rPr>
          <w:rFonts w:ascii="Arial"/>
          <w:i/>
          <w:spacing w:val="-3"/>
          <w:sz w:val="14"/>
        </w:rPr>
        <w:t> </w:t>
      </w:r>
      <w:r>
        <w:rPr>
          <w:rFonts w:ascii="Arial"/>
          <w:i/>
          <w:sz w:val="14"/>
        </w:rPr>
        <w:t>fair</w:t>
      </w:r>
      <w:r>
        <w:rPr>
          <w:rFonts w:ascii="Arial"/>
          <w:i/>
          <w:spacing w:val="-3"/>
          <w:sz w:val="14"/>
        </w:rPr>
        <w:t> </w:t>
      </w:r>
      <w:r>
        <w:rPr>
          <w:rFonts w:ascii="Arial"/>
          <w:i/>
          <w:sz w:val="14"/>
        </w:rPr>
        <w:t>value</w:t>
      </w:r>
      <w:r>
        <w:rPr>
          <w:rFonts w:ascii="Arial"/>
          <w:i/>
          <w:spacing w:val="-2"/>
          <w:sz w:val="14"/>
        </w:rPr>
        <w:t> hierarchy.</w:t>
      </w:r>
    </w:p>
    <w:p>
      <w:pPr>
        <w:pStyle w:val="ListParagraph"/>
        <w:numPr>
          <w:ilvl w:val="0"/>
          <w:numId w:val="45"/>
        </w:numPr>
        <w:tabs>
          <w:tab w:pos="926" w:val="left" w:leader="none"/>
        </w:tabs>
        <w:spacing w:line="240" w:lineRule="auto" w:before="64" w:after="0"/>
        <w:ind w:left="926" w:right="0" w:hanging="154"/>
        <w:jc w:val="left"/>
        <w:rPr>
          <w:rFonts w:ascii="Arial"/>
          <w:i/>
          <w:sz w:val="14"/>
        </w:rPr>
      </w:pPr>
      <w:r>
        <w:rPr>
          <w:rFonts w:ascii="Arial"/>
          <w:i/>
          <w:sz w:val="14"/>
        </w:rPr>
        <w:t>Includes</w:t>
      </w:r>
      <w:r>
        <w:rPr>
          <w:rFonts w:ascii="Arial"/>
          <w:i/>
          <w:spacing w:val="-6"/>
          <w:sz w:val="14"/>
        </w:rPr>
        <w:t> </w:t>
      </w:r>
      <w:r>
        <w:rPr>
          <w:rFonts w:ascii="Arial"/>
          <w:i/>
          <w:sz w:val="14"/>
        </w:rPr>
        <w:t>receivables</w:t>
      </w:r>
      <w:r>
        <w:rPr>
          <w:rFonts w:ascii="Arial"/>
          <w:i/>
          <w:spacing w:val="-4"/>
          <w:sz w:val="14"/>
        </w:rPr>
        <w:t> </w:t>
      </w:r>
      <w:r>
        <w:rPr>
          <w:rFonts w:ascii="Arial"/>
          <w:i/>
          <w:sz w:val="14"/>
        </w:rPr>
        <w:t>and</w:t>
      </w:r>
      <w:r>
        <w:rPr>
          <w:rFonts w:ascii="Arial"/>
          <w:i/>
          <w:spacing w:val="-4"/>
          <w:sz w:val="14"/>
        </w:rPr>
        <w:t> </w:t>
      </w:r>
      <w:r>
        <w:rPr>
          <w:rFonts w:ascii="Arial"/>
          <w:i/>
          <w:sz w:val="14"/>
        </w:rPr>
        <w:t>payables</w:t>
      </w:r>
      <w:r>
        <w:rPr>
          <w:rFonts w:ascii="Arial"/>
          <w:i/>
          <w:spacing w:val="-4"/>
          <w:sz w:val="14"/>
        </w:rPr>
        <w:t> </w:t>
      </w:r>
      <w:r>
        <w:rPr>
          <w:rFonts w:ascii="Arial"/>
          <w:i/>
          <w:sz w:val="14"/>
        </w:rPr>
        <w:t>carried</w:t>
      </w:r>
      <w:r>
        <w:rPr>
          <w:rFonts w:ascii="Arial"/>
          <w:i/>
          <w:spacing w:val="-3"/>
          <w:sz w:val="14"/>
        </w:rPr>
        <w:t> </w:t>
      </w:r>
      <w:r>
        <w:rPr>
          <w:rFonts w:ascii="Arial"/>
          <w:i/>
          <w:sz w:val="14"/>
        </w:rPr>
        <w:t>at</w:t>
      </w:r>
      <w:r>
        <w:rPr>
          <w:rFonts w:ascii="Arial"/>
          <w:i/>
          <w:spacing w:val="-4"/>
          <w:sz w:val="14"/>
        </w:rPr>
        <w:t> </w:t>
      </w:r>
      <w:r>
        <w:rPr>
          <w:rFonts w:ascii="Arial"/>
          <w:i/>
          <w:sz w:val="14"/>
        </w:rPr>
        <w:t>amounts</w:t>
      </w:r>
      <w:r>
        <w:rPr>
          <w:rFonts w:ascii="Arial"/>
          <w:i/>
          <w:spacing w:val="-4"/>
          <w:sz w:val="14"/>
        </w:rPr>
        <w:t> </w:t>
      </w:r>
      <w:r>
        <w:rPr>
          <w:rFonts w:ascii="Arial"/>
          <w:i/>
          <w:sz w:val="14"/>
        </w:rPr>
        <w:t>that</w:t>
      </w:r>
      <w:r>
        <w:rPr>
          <w:rFonts w:ascii="Arial"/>
          <w:i/>
          <w:spacing w:val="-4"/>
          <w:sz w:val="14"/>
        </w:rPr>
        <w:t> </w:t>
      </w:r>
      <w:r>
        <w:rPr>
          <w:rFonts w:ascii="Arial"/>
          <w:i/>
          <w:sz w:val="14"/>
        </w:rPr>
        <w:t>approximate</w:t>
      </w:r>
      <w:r>
        <w:rPr>
          <w:rFonts w:ascii="Arial"/>
          <w:i/>
          <w:spacing w:val="-4"/>
          <w:sz w:val="14"/>
        </w:rPr>
        <w:t> </w:t>
      </w:r>
      <w:r>
        <w:rPr>
          <w:rFonts w:ascii="Arial"/>
          <w:i/>
          <w:sz w:val="14"/>
        </w:rPr>
        <w:t>fair</w:t>
      </w:r>
      <w:r>
        <w:rPr>
          <w:rFonts w:ascii="Arial"/>
          <w:i/>
          <w:spacing w:val="-3"/>
          <w:sz w:val="14"/>
        </w:rPr>
        <w:t> </w:t>
      </w:r>
      <w:r>
        <w:rPr>
          <w:rFonts w:ascii="Arial"/>
          <w:i/>
          <w:spacing w:val="-2"/>
          <w:sz w:val="14"/>
        </w:rPr>
        <w:t>value.</w:t>
      </w:r>
    </w:p>
    <w:p>
      <w:pPr>
        <w:pStyle w:val="BodyText"/>
        <w:spacing w:before="32"/>
        <w:rPr>
          <w:rFonts w:ascii="Arial"/>
          <w:i/>
          <w:sz w:val="14"/>
        </w:rPr>
      </w:pPr>
    </w:p>
    <w:p>
      <w:pPr>
        <w:pStyle w:val="Heading5"/>
        <w:spacing w:before="0"/>
      </w:pPr>
      <w:r>
        <w:rPr/>
        <w:t>Valuation</w:t>
      </w:r>
      <w:r>
        <w:rPr>
          <w:spacing w:val="-3"/>
        </w:rPr>
        <w:t> </w:t>
      </w:r>
      <w:r>
        <w:rPr/>
        <w:t>Methods</w:t>
      </w:r>
      <w:r>
        <w:rPr>
          <w:spacing w:val="-2"/>
        </w:rPr>
        <w:t> </w:t>
      </w:r>
      <w:r>
        <w:rPr/>
        <w:t>and</w:t>
      </w:r>
      <w:r>
        <w:rPr>
          <w:spacing w:val="-1"/>
        </w:rPr>
        <w:t> </w:t>
      </w:r>
      <w:r>
        <w:rPr>
          <w:spacing w:val="-2"/>
        </w:rPr>
        <w:t>Assumptions</w:t>
      </w:r>
    </w:p>
    <w:p>
      <w:pPr>
        <w:pStyle w:val="BodyText"/>
        <w:spacing w:line="249" w:lineRule="auto" w:before="140"/>
        <w:ind w:left="720" w:right="719"/>
        <w:jc w:val="both"/>
      </w:pPr>
      <w:r>
        <w:rPr/>
        <w:t>The following are general descriptions of asset categories, as well as the valuation methodologies and inputs used to determine the fair value of each major category of Plan assets. Investment amounts in the asset categories shown in the table above may be different from the asset category allocation shown in the Investment Strategy section of the note. Asset classes in the table above are grouped by the characteristics of the investments held. The asset class break-down in the Investment Strategy section is based on Management’s view of the economic exposures after considering the impact of derivatives and certain trading strategies.</w:t>
      </w:r>
    </w:p>
    <w:p>
      <w:pPr>
        <w:spacing w:before="125"/>
        <w:ind w:left="720" w:right="0" w:firstLine="0"/>
        <w:jc w:val="both"/>
        <w:rPr>
          <w:i/>
          <w:sz w:val="20"/>
        </w:rPr>
      </w:pPr>
      <w:r>
        <w:rPr>
          <w:i/>
          <w:sz w:val="20"/>
        </w:rPr>
        <w:t>Debt</w:t>
      </w:r>
      <w:r>
        <w:rPr>
          <w:i/>
          <w:spacing w:val="-5"/>
          <w:sz w:val="20"/>
        </w:rPr>
        <w:t> </w:t>
      </w:r>
      <w:r>
        <w:rPr>
          <w:i/>
          <w:spacing w:val="-2"/>
          <w:sz w:val="20"/>
        </w:rPr>
        <w:t>securities</w:t>
      </w:r>
    </w:p>
    <w:p>
      <w:pPr>
        <w:pStyle w:val="BodyText"/>
        <w:spacing w:line="249" w:lineRule="auto" w:before="130"/>
        <w:ind w:left="720" w:right="718"/>
        <w:jc w:val="both"/>
      </w:pPr>
      <w:r>
        <w:rPr/>
        <w:t>Debt securities include discount notes, securities purchased under resale agreements, U.S. treasuries and agencies, debt obligations of foreign governments, sub-sovereigns and debt obligations in corporations of domestic and</w:t>
      </w:r>
      <w:r>
        <w:rPr>
          <w:spacing w:val="40"/>
        </w:rPr>
        <w:t> </w:t>
      </w:r>
      <w:r>
        <w:rPr/>
        <w:t>foreign issuers. Debt securities also include investments in ABS such as collateralized mortgage obligations and MBS. These securities are valued by independent pricing vendors at quoted market prices for the same or similar securities, where available. If quoted market prices are not available, fair values are based on discounted cash flow models using market-based parameters such as yield curves, interest rates, volatilities, foreign exchange rates and credit curves. Some debt securities are valued using techniques which require significant unobservable inputs. The selection</w:t>
      </w:r>
      <w:r>
        <w:rPr>
          <w:spacing w:val="-3"/>
        </w:rPr>
        <w:t> </w:t>
      </w:r>
      <w:r>
        <w:rPr/>
        <w:t>of</w:t>
      </w:r>
      <w:r>
        <w:rPr>
          <w:spacing w:val="-3"/>
        </w:rPr>
        <w:t> </w:t>
      </w:r>
      <w:r>
        <w:rPr/>
        <w:t>these</w:t>
      </w:r>
      <w:r>
        <w:rPr>
          <w:spacing w:val="-3"/>
        </w:rPr>
        <w:t> </w:t>
      </w:r>
      <w:r>
        <w:rPr/>
        <w:t>inputs</w:t>
      </w:r>
      <w:r>
        <w:rPr>
          <w:spacing w:val="-3"/>
        </w:rPr>
        <w:t> </w:t>
      </w:r>
      <w:r>
        <w:rPr/>
        <w:t>may</w:t>
      </w:r>
      <w:r>
        <w:rPr>
          <w:spacing w:val="-3"/>
        </w:rPr>
        <w:t> </w:t>
      </w:r>
      <w:r>
        <w:rPr/>
        <w:t>involve</w:t>
      </w:r>
      <w:r>
        <w:rPr>
          <w:spacing w:val="-3"/>
        </w:rPr>
        <w:t> </w:t>
      </w:r>
      <w:r>
        <w:rPr/>
        <w:t>some</w:t>
      </w:r>
      <w:r>
        <w:rPr>
          <w:spacing w:val="-3"/>
        </w:rPr>
        <w:t> </w:t>
      </w:r>
      <w:r>
        <w:rPr/>
        <w:t>judgment.</w:t>
      </w:r>
      <w:r>
        <w:rPr>
          <w:spacing w:val="-3"/>
        </w:rPr>
        <w:t> </w:t>
      </w:r>
      <w:r>
        <w:rPr/>
        <w:t>Management</w:t>
      </w:r>
      <w:r>
        <w:rPr>
          <w:spacing w:val="-3"/>
        </w:rPr>
        <w:t> </w:t>
      </w:r>
      <w:r>
        <w:rPr/>
        <w:t>believes</w:t>
      </w:r>
      <w:r>
        <w:rPr>
          <w:spacing w:val="-3"/>
        </w:rPr>
        <w:t> </w:t>
      </w:r>
      <w:r>
        <w:rPr/>
        <w:t>its</w:t>
      </w:r>
      <w:r>
        <w:rPr>
          <w:spacing w:val="-3"/>
        </w:rPr>
        <w:t> </w:t>
      </w:r>
      <w:r>
        <w:rPr/>
        <w:t>estimates</w:t>
      </w:r>
      <w:r>
        <w:rPr>
          <w:spacing w:val="-3"/>
        </w:rPr>
        <w:t> </w:t>
      </w:r>
      <w:r>
        <w:rPr/>
        <w:t>of</w:t>
      </w:r>
      <w:r>
        <w:rPr>
          <w:spacing w:val="-3"/>
        </w:rPr>
        <w:t> </w:t>
      </w:r>
      <w:r>
        <w:rPr/>
        <w:t>fair</w:t>
      </w:r>
      <w:r>
        <w:rPr>
          <w:spacing w:val="-3"/>
        </w:rPr>
        <w:t> </w:t>
      </w:r>
      <w:r>
        <w:rPr/>
        <w:t>value</w:t>
      </w:r>
      <w:r>
        <w:rPr>
          <w:spacing w:val="-3"/>
        </w:rPr>
        <w:t> </w:t>
      </w:r>
      <w:r>
        <w:rPr/>
        <w:t>are</w:t>
      </w:r>
      <w:r>
        <w:rPr>
          <w:spacing w:val="-3"/>
        </w:rPr>
        <w:t> </w:t>
      </w:r>
      <w:r>
        <w:rPr/>
        <w:t>reasonable given its processes for obtaining securities prices from multiple independent third-party vendors, ensuring that valuation models are reviewed and validated, and applying its approach consistently from period to period. Unless quoted</w:t>
      </w:r>
      <w:r>
        <w:rPr>
          <w:spacing w:val="-3"/>
        </w:rPr>
        <w:t> </w:t>
      </w:r>
      <w:r>
        <w:rPr/>
        <w:t>prices</w:t>
      </w:r>
      <w:r>
        <w:rPr>
          <w:spacing w:val="-4"/>
        </w:rPr>
        <w:t> </w:t>
      </w:r>
      <w:r>
        <w:rPr/>
        <w:t>are</w:t>
      </w:r>
      <w:r>
        <w:rPr>
          <w:spacing w:val="-4"/>
        </w:rPr>
        <w:t> </w:t>
      </w:r>
      <w:r>
        <w:rPr/>
        <w:t>available,</w:t>
      </w:r>
      <w:r>
        <w:rPr>
          <w:spacing w:val="-3"/>
        </w:rPr>
        <w:t> </w:t>
      </w:r>
      <w:r>
        <w:rPr/>
        <w:t>money</w:t>
      </w:r>
      <w:r>
        <w:rPr>
          <w:spacing w:val="-3"/>
        </w:rPr>
        <w:t> </w:t>
      </w:r>
      <w:r>
        <w:rPr/>
        <w:t>market</w:t>
      </w:r>
      <w:r>
        <w:rPr>
          <w:spacing w:val="-4"/>
        </w:rPr>
        <w:t> </w:t>
      </w:r>
      <w:r>
        <w:rPr/>
        <w:t>instruments</w:t>
      </w:r>
      <w:r>
        <w:rPr>
          <w:spacing w:val="-4"/>
        </w:rPr>
        <w:t> </w:t>
      </w:r>
      <w:r>
        <w:rPr/>
        <w:t>and</w:t>
      </w:r>
      <w:r>
        <w:rPr>
          <w:spacing w:val="-3"/>
        </w:rPr>
        <w:t> </w:t>
      </w:r>
      <w:r>
        <w:rPr/>
        <w:t>securities</w:t>
      </w:r>
      <w:r>
        <w:rPr>
          <w:spacing w:val="-4"/>
        </w:rPr>
        <w:t> </w:t>
      </w:r>
      <w:r>
        <w:rPr/>
        <w:t>purchased</w:t>
      </w:r>
      <w:r>
        <w:rPr>
          <w:spacing w:val="-3"/>
        </w:rPr>
        <w:t> </w:t>
      </w:r>
      <w:r>
        <w:rPr/>
        <w:t>under</w:t>
      </w:r>
      <w:r>
        <w:rPr>
          <w:spacing w:val="-3"/>
        </w:rPr>
        <w:t> </w:t>
      </w:r>
      <w:r>
        <w:rPr/>
        <w:t>resale</w:t>
      </w:r>
      <w:r>
        <w:rPr>
          <w:spacing w:val="-4"/>
        </w:rPr>
        <w:t> </w:t>
      </w:r>
      <w:r>
        <w:rPr/>
        <w:t>agreements</w:t>
      </w:r>
      <w:r>
        <w:rPr>
          <w:spacing w:val="-4"/>
        </w:rPr>
        <w:t> </w:t>
      </w:r>
      <w:r>
        <w:rPr/>
        <w:t>are</w:t>
      </w:r>
      <w:r>
        <w:rPr>
          <w:spacing w:val="-4"/>
        </w:rPr>
        <w:t> </w:t>
      </w:r>
      <w:r>
        <w:rPr/>
        <w:t>reported at face value which approximates fair value.</w:t>
      </w:r>
    </w:p>
    <w:p>
      <w:pPr>
        <w:pStyle w:val="BodyText"/>
        <w:spacing w:after="0" w:line="249" w:lineRule="auto"/>
        <w:jc w:val="both"/>
        <w:sectPr>
          <w:headerReference w:type="even" r:id="rId201"/>
          <w:footerReference w:type="even" r:id="rId202"/>
          <w:footerReference w:type="default" r:id="rId203"/>
          <w:pgSz w:w="12240" w:h="15840"/>
          <w:pgMar w:header="1037" w:footer="528" w:top="1540" w:bottom="720" w:left="720" w:right="720"/>
          <w:pgNumType w:start="126"/>
        </w:sectPr>
      </w:pPr>
    </w:p>
    <w:p>
      <w:pPr>
        <w:spacing w:before="72"/>
        <w:ind w:left="720" w:right="0" w:firstLine="0"/>
        <w:jc w:val="left"/>
        <w:rPr>
          <w:i/>
          <w:sz w:val="20"/>
        </w:rPr>
      </w:pPr>
      <w:r>
        <w:rPr>
          <w:i/>
          <w:sz w:val="20"/>
        </w:rPr>
        <w:t>Equity</w:t>
      </w:r>
      <w:r>
        <w:rPr>
          <w:i/>
          <w:spacing w:val="-4"/>
          <w:sz w:val="20"/>
        </w:rPr>
        <w:t> </w:t>
      </w:r>
      <w:r>
        <w:rPr>
          <w:i/>
          <w:spacing w:val="-2"/>
          <w:sz w:val="20"/>
        </w:rPr>
        <w:t>securities</w:t>
      </w:r>
    </w:p>
    <w:p>
      <w:pPr>
        <w:pStyle w:val="BodyText"/>
        <w:spacing w:line="249" w:lineRule="auto" w:before="130"/>
        <w:ind w:left="720" w:right="718"/>
        <w:jc w:val="both"/>
      </w:pPr>
      <w:r>
        <w:rPr/>
        <w:t>Equity</w:t>
      </w:r>
      <w:r>
        <w:rPr>
          <w:spacing w:val="-1"/>
        </w:rPr>
        <w:t> </w:t>
      </w:r>
      <w:r>
        <w:rPr/>
        <w:t>securities</w:t>
      </w:r>
      <w:r>
        <w:rPr>
          <w:spacing w:val="-1"/>
        </w:rPr>
        <w:t> </w:t>
      </w:r>
      <w:r>
        <w:rPr/>
        <w:t>(including</w:t>
      </w:r>
      <w:r>
        <w:rPr>
          <w:spacing w:val="-1"/>
        </w:rPr>
        <w:t> </w:t>
      </w:r>
      <w:r>
        <w:rPr/>
        <w:t>REITs)</w:t>
      </w:r>
      <w:r>
        <w:rPr>
          <w:spacing w:val="-1"/>
        </w:rPr>
        <w:t> </w:t>
      </w:r>
      <w:r>
        <w:rPr/>
        <w:t>represent</w:t>
      </w:r>
      <w:r>
        <w:rPr>
          <w:spacing w:val="-1"/>
        </w:rPr>
        <w:t> </w:t>
      </w:r>
      <w:r>
        <w:rPr/>
        <w:t>investments</w:t>
      </w:r>
      <w:r>
        <w:rPr>
          <w:spacing w:val="-1"/>
        </w:rPr>
        <w:t> </w:t>
      </w:r>
      <w:r>
        <w:rPr/>
        <w:t>in</w:t>
      </w:r>
      <w:r>
        <w:rPr>
          <w:spacing w:val="-1"/>
        </w:rPr>
        <w:t> </w:t>
      </w:r>
      <w:r>
        <w:rPr/>
        <w:t>entities</w:t>
      </w:r>
      <w:r>
        <w:rPr>
          <w:spacing w:val="-1"/>
        </w:rPr>
        <w:t> </w:t>
      </w:r>
      <w:r>
        <w:rPr/>
        <w:t>in</w:t>
      </w:r>
      <w:r>
        <w:rPr>
          <w:spacing w:val="-1"/>
        </w:rPr>
        <w:t> </w:t>
      </w:r>
      <w:r>
        <w:rPr/>
        <w:t>various</w:t>
      </w:r>
      <w:r>
        <w:rPr>
          <w:spacing w:val="-1"/>
        </w:rPr>
        <w:t> </w:t>
      </w:r>
      <w:r>
        <w:rPr/>
        <w:t>industries</w:t>
      </w:r>
      <w:r>
        <w:rPr>
          <w:spacing w:val="-1"/>
        </w:rPr>
        <w:t> </w:t>
      </w:r>
      <w:r>
        <w:rPr/>
        <w:t>and</w:t>
      </w:r>
      <w:r>
        <w:rPr>
          <w:spacing w:val="-1"/>
        </w:rPr>
        <w:t> </w:t>
      </w:r>
      <w:r>
        <w:rPr/>
        <w:t>countries.</w:t>
      </w:r>
      <w:r>
        <w:rPr>
          <w:spacing w:val="-1"/>
        </w:rPr>
        <w:t> </w:t>
      </w:r>
      <w:r>
        <w:rPr/>
        <w:t>Investments in</w:t>
      </w:r>
      <w:r>
        <w:rPr>
          <w:spacing w:val="-1"/>
        </w:rPr>
        <w:t> </w:t>
      </w:r>
      <w:r>
        <w:rPr/>
        <w:t>public</w:t>
      </w:r>
      <w:r>
        <w:rPr>
          <w:spacing w:val="-2"/>
        </w:rPr>
        <w:t> </w:t>
      </w:r>
      <w:r>
        <w:rPr/>
        <w:t>equity</w:t>
      </w:r>
      <w:r>
        <w:rPr>
          <w:spacing w:val="-1"/>
        </w:rPr>
        <w:t> </w:t>
      </w:r>
      <w:r>
        <w:rPr/>
        <w:t>listed</w:t>
      </w:r>
      <w:r>
        <w:rPr>
          <w:spacing w:val="-1"/>
        </w:rPr>
        <w:t> </w:t>
      </w:r>
      <w:r>
        <w:rPr/>
        <w:t>on</w:t>
      </w:r>
      <w:r>
        <w:rPr>
          <w:spacing w:val="-1"/>
        </w:rPr>
        <w:t> </w:t>
      </w:r>
      <w:r>
        <w:rPr/>
        <w:t>securities</w:t>
      </w:r>
      <w:r>
        <w:rPr>
          <w:spacing w:val="-2"/>
        </w:rPr>
        <w:t> </w:t>
      </w:r>
      <w:r>
        <w:rPr/>
        <w:t>exchanges</w:t>
      </w:r>
      <w:r>
        <w:rPr>
          <w:spacing w:val="-2"/>
        </w:rPr>
        <w:t> </w:t>
      </w:r>
      <w:r>
        <w:rPr/>
        <w:t>are</w:t>
      </w:r>
      <w:r>
        <w:rPr>
          <w:spacing w:val="-2"/>
        </w:rPr>
        <w:t> </w:t>
      </w:r>
      <w:r>
        <w:rPr/>
        <w:t>valued</w:t>
      </w:r>
      <w:r>
        <w:rPr>
          <w:spacing w:val="-1"/>
        </w:rPr>
        <w:t> </w:t>
      </w:r>
      <w:r>
        <w:rPr/>
        <w:t>at</w:t>
      </w:r>
      <w:r>
        <w:rPr>
          <w:spacing w:val="-2"/>
        </w:rPr>
        <w:t> </w:t>
      </w:r>
      <w:r>
        <w:rPr/>
        <w:t>the</w:t>
      </w:r>
      <w:r>
        <w:rPr>
          <w:spacing w:val="-2"/>
        </w:rPr>
        <w:t> </w:t>
      </w:r>
      <w:r>
        <w:rPr/>
        <w:t>last</w:t>
      </w:r>
      <w:r>
        <w:rPr>
          <w:spacing w:val="-2"/>
        </w:rPr>
        <w:t> </w:t>
      </w:r>
      <w:r>
        <w:rPr/>
        <w:t>reported</w:t>
      </w:r>
      <w:r>
        <w:rPr>
          <w:spacing w:val="-1"/>
        </w:rPr>
        <w:t> </w:t>
      </w:r>
      <w:r>
        <w:rPr/>
        <w:t>sale</w:t>
      </w:r>
      <w:r>
        <w:rPr>
          <w:spacing w:val="-2"/>
        </w:rPr>
        <w:t> </w:t>
      </w:r>
      <w:r>
        <w:rPr/>
        <w:t>price</w:t>
      </w:r>
      <w:r>
        <w:rPr>
          <w:spacing w:val="-2"/>
        </w:rPr>
        <w:t> </w:t>
      </w:r>
      <w:r>
        <w:rPr/>
        <w:t>on</w:t>
      </w:r>
      <w:r>
        <w:rPr>
          <w:spacing w:val="-1"/>
        </w:rPr>
        <w:t> </w:t>
      </w:r>
      <w:r>
        <w:rPr/>
        <w:t>the</w:t>
      </w:r>
      <w:r>
        <w:rPr>
          <w:spacing w:val="-2"/>
        </w:rPr>
        <w:t> </w:t>
      </w:r>
      <w:r>
        <w:rPr/>
        <w:t>last</w:t>
      </w:r>
      <w:r>
        <w:rPr>
          <w:spacing w:val="-2"/>
        </w:rPr>
        <w:t> </w:t>
      </w:r>
      <w:r>
        <w:rPr/>
        <w:t>business</w:t>
      </w:r>
      <w:r>
        <w:rPr>
          <w:spacing w:val="-2"/>
        </w:rPr>
        <w:t> </w:t>
      </w:r>
      <w:r>
        <w:rPr/>
        <w:t>day</w:t>
      </w:r>
      <w:r>
        <w:rPr>
          <w:spacing w:val="-1"/>
        </w:rPr>
        <w:t> </w:t>
      </w:r>
      <w:r>
        <w:rPr/>
        <w:t>of</w:t>
      </w:r>
      <w:r>
        <w:rPr>
          <w:spacing w:val="-1"/>
        </w:rPr>
        <w:t> </w:t>
      </w:r>
      <w:r>
        <w:rPr/>
        <w:t>the fiscal year.</w:t>
      </w:r>
    </w:p>
    <w:p>
      <w:pPr>
        <w:spacing w:before="122"/>
        <w:ind w:left="720" w:right="0" w:firstLine="0"/>
        <w:jc w:val="left"/>
        <w:rPr>
          <w:i/>
          <w:sz w:val="20"/>
        </w:rPr>
      </w:pPr>
      <w:r>
        <w:rPr>
          <w:i/>
          <w:sz w:val="20"/>
        </w:rPr>
        <w:t>Commingled</w:t>
      </w:r>
      <w:r>
        <w:rPr>
          <w:i/>
          <w:spacing w:val="-8"/>
          <w:sz w:val="20"/>
        </w:rPr>
        <w:t> </w:t>
      </w:r>
      <w:r>
        <w:rPr>
          <w:i/>
          <w:spacing w:val="-2"/>
          <w:sz w:val="20"/>
        </w:rPr>
        <w:t>funds</w:t>
      </w:r>
    </w:p>
    <w:p>
      <w:pPr>
        <w:pStyle w:val="BodyText"/>
        <w:spacing w:line="249" w:lineRule="auto" w:before="130"/>
        <w:ind w:left="720" w:right="720"/>
        <w:jc w:val="both"/>
      </w:pPr>
      <w:r>
        <w:rPr/>
        <w:t>Commingled funds are typically collective investment vehicles, such as trusts that are reported at NAV as provided by the investment manager or sponsor of the fund based on the valuation of underlying investments.</w:t>
      </w:r>
    </w:p>
    <w:p>
      <w:pPr>
        <w:spacing w:before="122"/>
        <w:ind w:left="720" w:right="0" w:firstLine="0"/>
        <w:jc w:val="left"/>
        <w:rPr>
          <w:i/>
          <w:sz w:val="20"/>
        </w:rPr>
      </w:pPr>
      <w:r>
        <w:rPr>
          <w:i/>
          <w:sz w:val="20"/>
        </w:rPr>
        <w:t>Private</w:t>
      </w:r>
      <w:r>
        <w:rPr>
          <w:i/>
          <w:spacing w:val="-5"/>
          <w:sz w:val="20"/>
        </w:rPr>
        <w:t> </w:t>
      </w:r>
      <w:r>
        <w:rPr>
          <w:i/>
          <w:sz w:val="20"/>
        </w:rPr>
        <w:t>equity</w:t>
      </w:r>
      <w:r>
        <w:rPr>
          <w:i/>
          <w:spacing w:val="-5"/>
          <w:sz w:val="20"/>
        </w:rPr>
        <w:t> </w:t>
      </w:r>
      <w:r>
        <w:rPr>
          <w:i/>
          <w:spacing w:val="-2"/>
          <w:sz w:val="20"/>
        </w:rPr>
        <w:t>funds</w:t>
      </w:r>
    </w:p>
    <w:p>
      <w:pPr>
        <w:pStyle w:val="BodyText"/>
        <w:spacing w:line="249" w:lineRule="auto" w:before="130"/>
        <w:ind w:left="720" w:right="717"/>
        <w:jc w:val="both"/>
      </w:pPr>
      <w:r>
        <w:rPr/>
        <w:t>Private equity funds include investments primarily in leveraged buyouts, growth capital, distressed investments and venture capital funds across North America, Europe and Asia in a variety of sectors. Many of these funds are in the investment phase of their life cycle. Private Equity investments do not have a readily determinable fair market value and are reported at NAV provided by the fund managers, taking into consideration the latest audited financial statements of the funds.</w:t>
      </w:r>
    </w:p>
    <w:p>
      <w:pPr>
        <w:spacing w:before="124"/>
        <w:ind w:left="720" w:right="0" w:firstLine="0"/>
        <w:jc w:val="left"/>
        <w:rPr>
          <w:i/>
          <w:sz w:val="20"/>
        </w:rPr>
      </w:pPr>
      <w:r>
        <w:rPr>
          <w:i/>
          <w:sz w:val="20"/>
        </w:rPr>
        <w:t>Private</w:t>
      </w:r>
      <w:r>
        <w:rPr>
          <w:i/>
          <w:spacing w:val="-6"/>
          <w:sz w:val="20"/>
        </w:rPr>
        <w:t> </w:t>
      </w:r>
      <w:r>
        <w:rPr>
          <w:i/>
          <w:sz w:val="20"/>
        </w:rPr>
        <w:t>credit</w:t>
      </w:r>
      <w:r>
        <w:rPr>
          <w:i/>
          <w:spacing w:val="-5"/>
          <w:sz w:val="20"/>
        </w:rPr>
        <w:t> </w:t>
      </w:r>
      <w:r>
        <w:rPr>
          <w:i/>
          <w:spacing w:val="-2"/>
          <w:sz w:val="20"/>
        </w:rPr>
        <w:t>funds</w:t>
      </w:r>
    </w:p>
    <w:p>
      <w:pPr>
        <w:pStyle w:val="BodyText"/>
        <w:spacing w:line="249" w:lineRule="auto" w:before="130"/>
        <w:ind w:left="720" w:right="718"/>
        <w:jc w:val="both"/>
      </w:pPr>
      <w:r>
        <w:rPr/>
        <w:t>Private credit funds include investments primarily in direct lending and opportunistic credit funds. Direct lending funds provide private financing to performing medium-size companies primarily owned by private equity sponsors. Opportunistic credit strategies (including distressed debt and multi-strategy funds) have flexible mandates to invest across both public and private markets globally. Private credit investments do not have a readily determinable fair value and are reported at NAV provided by the fund managers, taking into consideration the latest audited financial statements of the funds.</w:t>
      </w:r>
    </w:p>
    <w:p>
      <w:pPr>
        <w:spacing w:before="125"/>
        <w:ind w:left="720" w:right="0" w:firstLine="0"/>
        <w:jc w:val="left"/>
        <w:rPr>
          <w:i/>
          <w:sz w:val="20"/>
        </w:rPr>
      </w:pPr>
      <w:r>
        <w:rPr>
          <w:i/>
          <w:sz w:val="20"/>
        </w:rPr>
        <w:t>Real</w:t>
      </w:r>
      <w:r>
        <w:rPr>
          <w:i/>
          <w:spacing w:val="-4"/>
          <w:sz w:val="20"/>
        </w:rPr>
        <w:t> </w:t>
      </w:r>
      <w:r>
        <w:rPr>
          <w:i/>
          <w:sz w:val="20"/>
        </w:rPr>
        <w:t>estate</w:t>
      </w:r>
      <w:r>
        <w:rPr>
          <w:i/>
          <w:spacing w:val="-4"/>
          <w:sz w:val="20"/>
        </w:rPr>
        <w:t> </w:t>
      </w:r>
      <w:r>
        <w:rPr>
          <w:i/>
          <w:sz w:val="20"/>
        </w:rPr>
        <w:t>funds</w:t>
      </w:r>
      <w:r>
        <w:rPr>
          <w:i/>
          <w:spacing w:val="-4"/>
          <w:sz w:val="20"/>
        </w:rPr>
        <w:t> </w:t>
      </w:r>
      <w:r>
        <w:rPr>
          <w:i/>
          <w:sz w:val="20"/>
        </w:rPr>
        <w:t>(including</w:t>
      </w:r>
      <w:r>
        <w:rPr>
          <w:i/>
          <w:spacing w:val="-2"/>
          <w:sz w:val="20"/>
        </w:rPr>
        <w:t> infrastructure)</w:t>
      </w:r>
    </w:p>
    <w:p>
      <w:pPr>
        <w:pStyle w:val="BodyText"/>
        <w:spacing w:line="249" w:lineRule="auto" w:before="130"/>
        <w:ind w:left="720" w:right="718"/>
        <w:jc w:val="both"/>
      </w:pPr>
      <w:r>
        <w:rPr/>
        <w:t>Real estate funds include investments in core real estate, non-core real estate investments (such as debt, value add, and opportunistic equity investments) and infrastructure. Real estate investments do not have a readily determinable fair market value and are reported at NAV provided by the fund managers, taking into consideration the latest audited financial statements of the funds.</w:t>
      </w:r>
    </w:p>
    <w:p>
      <w:pPr>
        <w:spacing w:before="123"/>
        <w:ind w:left="720" w:right="0" w:firstLine="0"/>
        <w:jc w:val="left"/>
        <w:rPr>
          <w:i/>
          <w:sz w:val="20"/>
        </w:rPr>
      </w:pPr>
      <w:r>
        <w:rPr>
          <w:i/>
          <w:sz w:val="20"/>
        </w:rPr>
        <w:t>Hedge</w:t>
      </w:r>
      <w:r>
        <w:rPr>
          <w:i/>
          <w:spacing w:val="-5"/>
          <w:sz w:val="20"/>
        </w:rPr>
        <w:t> </w:t>
      </w:r>
      <w:r>
        <w:rPr>
          <w:i/>
          <w:spacing w:val="-2"/>
          <w:sz w:val="20"/>
        </w:rPr>
        <w:t>funds</w:t>
      </w:r>
    </w:p>
    <w:p>
      <w:pPr>
        <w:pStyle w:val="BodyText"/>
        <w:spacing w:line="249" w:lineRule="auto" w:before="130"/>
        <w:ind w:left="720" w:right="718"/>
        <w:jc w:val="both"/>
      </w:pPr>
      <w:r>
        <w:rPr/>
        <w:t>Hedge fund investments include those seeking to maximize absolute returns using a broad range of strategies to enhance returns and provide additional diversification. Hedge Funds include investments in equity, event driven, fixed income, multi strategy and macro relative value strategies. These investments do not have a readily determinable fair market value and are reported at NAV provided by external managers or fund administrators (based on the valuations of underlying investments) monthly, taking into consideration the latest audited financial statements of the funds.</w:t>
      </w:r>
    </w:p>
    <w:p>
      <w:pPr>
        <w:pStyle w:val="BodyText"/>
        <w:spacing w:line="249" w:lineRule="auto" w:before="125"/>
        <w:ind w:left="720" w:right="718"/>
        <w:jc w:val="both"/>
      </w:pPr>
      <w:r>
        <w:rPr/>
        <w:t>Investments in hedge funds and commingled funds can typically be redeemed at NAV within the near term while investments in private equity and most real estate are inherently long term and illiquid in nature with a quarter lag in reporting by the fund managers. Since the reporting of those asset classes is done with a lag, management estimates are based on the latest available information considering underlying market fundamentals and significant events through the balance sheet date.</w:t>
      </w:r>
    </w:p>
    <w:p>
      <w:pPr>
        <w:spacing w:before="124"/>
        <w:ind w:left="720" w:right="0" w:firstLine="0"/>
        <w:jc w:val="left"/>
        <w:rPr>
          <w:i/>
          <w:sz w:val="20"/>
        </w:rPr>
      </w:pPr>
      <w:r>
        <w:rPr>
          <w:i/>
          <w:sz w:val="20"/>
        </w:rPr>
        <w:t>Investment</w:t>
      </w:r>
      <w:r>
        <w:rPr>
          <w:i/>
          <w:spacing w:val="-5"/>
          <w:sz w:val="20"/>
        </w:rPr>
        <w:t> </w:t>
      </w:r>
      <w:r>
        <w:rPr>
          <w:i/>
          <w:sz w:val="20"/>
        </w:rPr>
        <w:t>in</w:t>
      </w:r>
      <w:r>
        <w:rPr>
          <w:i/>
          <w:spacing w:val="-3"/>
          <w:sz w:val="20"/>
        </w:rPr>
        <w:t> </w:t>
      </w:r>
      <w:r>
        <w:rPr>
          <w:i/>
          <w:spacing w:val="-2"/>
          <w:sz w:val="20"/>
        </w:rPr>
        <w:t>derivatives</w:t>
      </w:r>
    </w:p>
    <w:p>
      <w:pPr>
        <w:pStyle w:val="BodyText"/>
        <w:spacing w:line="249" w:lineRule="auto" w:before="130"/>
        <w:ind w:left="720" w:right="717"/>
        <w:jc w:val="both"/>
      </w:pPr>
      <w:r>
        <w:rPr/>
        <w:t>Investment in derivatives such as equity or bond futures, TBA securities, swaps, options and currency forwards are used to achieve a variety of objectives that include hedging interest rates and currency risks, gaining desired market exposure</w:t>
      </w:r>
      <w:r>
        <w:rPr>
          <w:spacing w:val="-2"/>
        </w:rPr>
        <w:t> </w:t>
      </w:r>
      <w:r>
        <w:rPr/>
        <w:t>of</w:t>
      </w:r>
      <w:r>
        <w:rPr>
          <w:spacing w:val="-2"/>
        </w:rPr>
        <w:t> </w:t>
      </w:r>
      <w:r>
        <w:rPr/>
        <w:t>a</w:t>
      </w:r>
      <w:r>
        <w:rPr>
          <w:spacing w:val="-2"/>
        </w:rPr>
        <w:t> </w:t>
      </w:r>
      <w:r>
        <w:rPr/>
        <w:t>security,</w:t>
      </w:r>
      <w:r>
        <w:rPr>
          <w:spacing w:val="-2"/>
        </w:rPr>
        <w:t> </w:t>
      </w:r>
      <w:r>
        <w:rPr/>
        <w:t>an</w:t>
      </w:r>
      <w:r>
        <w:rPr>
          <w:spacing w:val="-2"/>
        </w:rPr>
        <w:t> </w:t>
      </w:r>
      <w:r>
        <w:rPr/>
        <w:t>index</w:t>
      </w:r>
      <w:r>
        <w:rPr>
          <w:spacing w:val="-2"/>
        </w:rPr>
        <w:t> </w:t>
      </w:r>
      <w:r>
        <w:rPr/>
        <w:t>or</w:t>
      </w:r>
      <w:r>
        <w:rPr>
          <w:spacing w:val="-2"/>
        </w:rPr>
        <w:t> </w:t>
      </w:r>
      <w:r>
        <w:rPr/>
        <w:t>currency</w:t>
      </w:r>
      <w:r>
        <w:rPr>
          <w:spacing w:val="-2"/>
        </w:rPr>
        <w:t> </w:t>
      </w:r>
      <w:r>
        <w:rPr/>
        <w:t>exposure</w:t>
      </w:r>
      <w:r>
        <w:rPr>
          <w:spacing w:val="-2"/>
        </w:rPr>
        <w:t> </w:t>
      </w:r>
      <w:r>
        <w:rPr/>
        <w:t>and</w:t>
      </w:r>
      <w:r>
        <w:rPr>
          <w:spacing w:val="-2"/>
        </w:rPr>
        <w:t> </w:t>
      </w:r>
      <w:r>
        <w:rPr/>
        <w:t>rebalancing</w:t>
      </w:r>
      <w:r>
        <w:rPr>
          <w:spacing w:val="-2"/>
        </w:rPr>
        <w:t> </w:t>
      </w:r>
      <w:r>
        <w:rPr/>
        <w:t>the</w:t>
      </w:r>
      <w:r>
        <w:rPr>
          <w:spacing w:val="-2"/>
        </w:rPr>
        <w:t> </w:t>
      </w:r>
      <w:r>
        <w:rPr/>
        <w:t>portfolio.</w:t>
      </w:r>
      <w:r>
        <w:rPr>
          <w:spacing w:val="-2"/>
        </w:rPr>
        <w:t> </w:t>
      </w:r>
      <w:r>
        <w:rPr/>
        <w:t>Over-the-counter</w:t>
      </w:r>
      <w:r>
        <w:rPr>
          <w:spacing w:val="-2"/>
        </w:rPr>
        <w:t> </w:t>
      </w:r>
      <w:r>
        <w:rPr/>
        <w:t>derivatives</w:t>
      </w:r>
      <w:r>
        <w:rPr>
          <w:spacing w:val="-2"/>
        </w:rPr>
        <w:t> </w:t>
      </w:r>
      <w:r>
        <w:rPr/>
        <w:t>are reported using valuations based on discounted cash flow methods incorporating observable market inputs.</w:t>
      </w:r>
    </w:p>
    <w:p>
      <w:pPr>
        <w:pStyle w:val="Heading5"/>
        <w:spacing w:before="115"/>
      </w:pPr>
      <w:r>
        <w:rPr/>
        <w:t>Estimated</w:t>
      </w:r>
      <w:r>
        <w:rPr>
          <w:spacing w:val="-2"/>
        </w:rPr>
        <w:t> </w:t>
      </w:r>
      <w:r>
        <w:rPr/>
        <w:t>Future</w:t>
      </w:r>
      <w:r>
        <w:rPr>
          <w:spacing w:val="-2"/>
        </w:rPr>
        <w:t> </w:t>
      </w:r>
      <w:r>
        <w:rPr/>
        <w:t>Benefit</w:t>
      </w:r>
      <w:r>
        <w:rPr>
          <w:spacing w:val="-1"/>
        </w:rPr>
        <w:t> </w:t>
      </w:r>
      <w:r>
        <w:rPr>
          <w:spacing w:val="-2"/>
        </w:rPr>
        <w:t>Payments</w:t>
      </w:r>
    </w:p>
    <w:p>
      <w:pPr>
        <w:pStyle w:val="BodyText"/>
        <w:spacing w:line="249" w:lineRule="auto" w:before="139"/>
        <w:ind w:left="720" w:right="718"/>
        <w:jc w:val="both"/>
      </w:pPr>
      <w:r>
        <w:rPr/>
        <w:t>The following table shows the benefit payments expected to be paid in each of the next five years and subsequent five years. The expected benefit payments are based on the same assumptions used to measure the benefit</w:t>
      </w:r>
      <w:r>
        <w:rPr>
          <w:spacing w:val="80"/>
        </w:rPr>
        <w:t> </w:t>
      </w:r>
      <w:r>
        <w:rPr>
          <w:spacing w:val="-2"/>
        </w:rPr>
        <w:t>obligation:</w:t>
      </w:r>
    </w:p>
    <w:p>
      <w:pPr>
        <w:pStyle w:val="BodyText"/>
        <w:spacing w:after="0" w:line="249" w:lineRule="auto"/>
        <w:jc w:val="both"/>
        <w:sectPr>
          <w:headerReference w:type="default" r:id="rId204"/>
          <w:pgSz w:w="12240" w:h="15840"/>
          <w:pgMar w:header="0" w:footer="0" w:top="960" w:bottom="720" w:left="720" w:right="720"/>
        </w:sectPr>
      </w:pPr>
    </w:p>
    <w:tbl>
      <w:tblPr>
        <w:tblW w:w="0" w:type="auto"/>
        <w:jc w:val="left"/>
        <w:tblInd w:w="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57"/>
        <w:gridCol w:w="438"/>
        <w:gridCol w:w="759"/>
        <w:gridCol w:w="623"/>
        <w:gridCol w:w="449"/>
        <w:gridCol w:w="879"/>
        <w:gridCol w:w="530"/>
        <w:gridCol w:w="451"/>
        <w:gridCol w:w="874"/>
        <w:gridCol w:w="509"/>
      </w:tblGrid>
      <w:tr>
        <w:trPr>
          <w:trHeight w:val="198" w:hRule="atLeast"/>
        </w:trPr>
        <w:tc>
          <w:tcPr>
            <w:tcW w:w="4295" w:type="dxa"/>
            <w:gridSpan w:val="2"/>
          </w:tcPr>
          <w:p>
            <w:pPr>
              <w:pStyle w:val="TableParagraph"/>
              <w:rPr>
                <w:rFonts w:ascii="Times New Roman"/>
                <w:sz w:val="12"/>
              </w:rPr>
            </w:pPr>
          </w:p>
        </w:tc>
        <w:tc>
          <w:tcPr>
            <w:tcW w:w="759" w:type="dxa"/>
            <w:tcBorders>
              <w:bottom w:val="single" w:sz="8" w:space="0" w:color="000000"/>
            </w:tcBorders>
          </w:tcPr>
          <w:p>
            <w:pPr>
              <w:pStyle w:val="TableParagraph"/>
              <w:spacing w:line="178" w:lineRule="exact"/>
              <w:ind w:left="297"/>
              <w:rPr>
                <w:rFonts w:ascii="Arial"/>
                <w:i/>
                <w:sz w:val="16"/>
              </w:rPr>
            </w:pPr>
            <w:r>
              <w:rPr>
                <w:rFonts w:ascii="Arial"/>
                <w:i/>
                <w:spacing w:val="-5"/>
                <w:sz w:val="16"/>
              </w:rPr>
              <w:t>SRP</w:t>
            </w:r>
          </w:p>
        </w:tc>
        <w:tc>
          <w:tcPr>
            <w:tcW w:w="623" w:type="dxa"/>
            <w:tcBorders>
              <w:bottom w:val="single" w:sz="8" w:space="0" w:color="000000"/>
            </w:tcBorders>
          </w:tcPr>
          <w:p>
            <w:pPr>
              <w:pStyle w:val="TableParagraph"/>
              <w:rPr>
                <w:rFonts w:ascii="Times New Roman"/>
                <w:sz w:val="12"/>
              </w:rPr>
            </w:pPr>
          </w:p>
        </w:tc>
        <w:tc>
          <w:tcPr>
            <w:tcW w:w="449" w:type="dxa"/>
            <w:tcBorders>
              <w:bottom w:val="single" w:sz="8" w:space="0" w:color="000000"/>
            </w:tcBorders>
          </w:tcPr>
          <w:p>
            <w:pPr>
              <w:pStyle w:val="TableParagraph"/>
              <w:rPr>
                <w:rFonts w:ascii="Times New Roman"/>
                <w:sz w:val="12"/>
              </w:rPr>
            </w:pPr>
          </w:p>
        </w:tc>
        <w:tc>
          <w:tcPr>
            <w:tcW w:w="879" w:type="dxa"/>
            <w:tcBorders>
              <w:bottom w:val="single" w:sz="8" w:space="0" w:color="000000"/>
            </w:tcBorders>
          </w:tcPr>
          <w:p>
            <w:pPr>
              <w:pStyle w:val="TableParagraph"/>
              <w:spacing w:line="178" w:lineRule="exact"/>
              <w:ind w:left="273"/>
              <w:rPr>
                <w:rFonts w:ascii="Arial"/>
                <w:i/>
                <w:sz w:val="16"/>
              </w:rPr>
            </w:pPr>
            <w:r>
              <w:rPr>
                <w:rFonts w:ascii="Arial"/>
                <w:i/>
                <w:spacing w:val="-4"/>
                <w:sz w:val="16"/>
              </w:rPr>
              <w:t>RSBP</w:t>
            </w:r>
          </w:p>
        </w:tc>
        <w:tc>
          <w:tcPr>
            <w:tcW w:w="530" w:type="dxa"/>
            <w:tcBorders>
              <w:bottom w:val="single" w:sz="8" w:space="0" w:color="000000"/>
            </w:tcBorders>
          </w:tcPr>
          <w:p>
            <w:pPr>
              <w:pStyle w:val="TableParagraph"/>
              <w:rPr>
                <w:rFonts w:ascii="Times New Roman"/>
                <w:sz w:val="12"/>
              </w:rPr>
            </w:pPr>
          </w:p>
        </w:tc>
        <w:tc>
          <w:tcPr>
            <w:tcW w:w="451" w:type="dxa"/>
            <w:tcBorders>
              <w:bottom w:val="single" w:sz="8" w:space="0" w:color="000000"/>
            </w:tcBorders>
          </w:tcPr>
          <w:p>
            <w:pPr>
              <w:pStyle w:val="TableParagraph"/>
              <w:rPr>
                <w:rFonts w:ascii="Times New Roman"/>
                <w:sz w:val="12"/>
              </w:rPr>
            </w:pPr>
          </w:p>
        </w:tc>
        <w:tc>
          <w:tcPr>
            <w:tcW w:w="874" w:type="dxa"/>
            <w:tcBorders>
              <w:bottom w:val="single" w:sz="8" w:space="0" w:color="000000"/>
            </w:tcBorders>
          </w:tcPr>
          <w:p>
            <w:pPr>
              <w:pStyle w:val="TableParagraph"/>
              <w:spacing w:line="178" w:lineRule="exact"/>
              <w:ind w:left="278"/>
              <w:rPr>
                <w:rFonts w:ascii="Arial"/>
                <w:i/>
                <w:sz w:val="16"/>
              </w:rPr>
            </w:pPr>
            <w:r>
              <w:rPr>
                <w:rFonts w:ascii="Arial"/>
                <w:i/>
                <w:spacing w:val="-4"/>
                <w:sz w:val="16"/>
              </w:rPr>
              <w:t>PEBP</w:t>
            </w:r>
          </w:p>
        </w:tc>
        <w:tc>
          <w:tcPr>
            <w:tcW w:w="509" w:type="dxa"/>
            <w:tcBorders>
              <w:bottom w:val="single" w:sz="8" w:space="0" w:color="000000"/>
            </w:tcBorders>
          </w:tcPr>
          <w:p>
            <w:pPr>
              <w:pStyle w:val="TableParagraph"/>
              <w:rPr>
                <w:rFonts w:ascii="Times New Roman"/>
                <w:sz w:val="12"/>
              </w:rPr>
            </w:pPr>
          </w:p>
        </w:tc>
      </w:tr>
      <w:tr>
        <w:trPr>
          <w:trHeight w:val="230" w:hRule="atLeast"/>
        </w:trPr>
        <w:tc>
          <w:tcPr>
            <w:tcW w:w="3857" w:type="dxa"/>
          </w:tcPr>
          <w:p>
            <w:pPr>
              <w:pStyle w:val="TableParagraph"/>
              <w:spacing w:before="16"/>
              <w:ind w:left="70"/>
              <w:rPr>
                <w:sz w:val="16"/>
              </w:rPr>
            </w:pPr>
            <w:r>
              <w:rPr>
                <w:sz w:val="16"/>
              </w:rPr>
              <w:t>July</w:t>
            </w:r>
            <w:r>
              <w:rPr>
                <w:spacing w:val="-2"/>
                <w:sz w:val="16"/>
              </w:rPr>
              <w:t> </w:t>
            </w:r>
            <w:r>
              <w:rPr>
                <w:sz w:val="16"/>
              </w:rPr>
              <w:t>1,</w:t>
            </w:r>
            <w:r>
              <w:rPr>
                <w:spacing w:val="-2"/>
                <w:sz w:val="16"/>
              </w:rPr>
              <w:t> </w:t>
            </w:r>
            <w:r>
              <w:rPr>
                <w:sz w:val="16"/>
              </w:rPr>
              <w:t>2023</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2024</w:t>
            </w:r>
          </w:p>
        </w:tc>
        <w:tc>
          <w:tcPr>
            <w:tcW w:w="438" w:type="dxa"/>
            <w:tcBorders>
              <w:top w:val="single" w:sz="8" w:space="0" w:color="000000"/>
            </w:tcBorders>
          </w:tcPr>
          <w:p>
            <w:pPr>
              <w:pStyle w:val="TableParagraph"/>
              <w:spacing w:before="16"/>
              <w:ind w:left="52"/>
              <w:rPr>
                <w:sz w:val="16"/>
              </w:rPr>
            </w:pPr>
            <w:r>
              <w:rPr>
                <w:spacing w:val="-10"/>
                <w:sz w:val="16"/>
              </w:rPr>
              <w:t>$</w:t>
            </w:r>
          </w:p>
        </w:tc>
        <w:tc>
          <w:tcPr>
            <w:tcW w:w="759" w:type="dxa"/>
            <w:tcBorders>
              <w:top w:val="single" w:sz="8" w:space="0" w:color="000000"/>
            </w:tcBorders>
          </w:tcPr>
          <w:p>
            <w:pPr>
              <w:pStyle w:val="TableParagraph"/>
              <w:rPr>
                <w:rFonts w:ascii="Times New Roman"/>
                <w:sz w:val="16"/>
              </w:rPr>
            </w:pPr>
          </w:p>
        </w:tc>
        <w:tc>
          <w:tcPr>
            <w:tcW w:w="623" w:type="dxa"/>
            <w:tcBorders>
              <w:top w:val="single" w:sz="8" w:space="0" w:color="000000"/>
            </w:tcBorders>
          </w:tcPr>
          <w:p>
            <w:pPr>
              <w:pStyle w:val="TableParagraph"/>
              <w:spacing w:before="16"/>
              <w:ind w:left="47"/>
              <w:jc w:val="center"/>
              <w:rPr>
                <w:sz w:val="16"/>
              </w:rPr>
            </w:pPr>
            <w:r>
              <w:rPr>
                <w:spacing w:val="-2"/>
                <w:sz w:val="16"/>
              </w:rPr>
              <w:t>1,132</w:t>
            </w:r>
          </w:p>
        </w:tc>
        <w:tc>
          <w:tcPr>
            <w:tcW w:w="449" w:type="dxa"/>
            <w:tcBorders>
              <w:top w:val="single" w:sz="8" w:space="0" w:color="000000"/>
            </w:tcBorders>
          </w:tcPr>
          <w:p>
            <w:pPr>
              <w:pStyle w:val="TableParagraph"/>
              <w:spacing w:before="16"/>
              <w:ind w:left="93"/>
              <w:rPr>
                <w:sz w:val="16"/>
              </w:rPr>
            </w:pPr>
            <w:r>
              <w:rPr>
                <w:spacing w:val="-10"/>
                <w:sz w:val="16"/>
              </w:rPr>
              <w:t>$</w:t>
            </w:r>
          </w:p>
        </w:tc>
        <w:tc>
          <w:tcPr>
            <w:tcW w:w="879" w:type="dxa"/>
            <w:tcBorders>
              <w:top w:val="single" w:sz="8" w:space="0" w:color="000000"/>
            </w:tcBorders>
          </w:tcPr>
          <w:p>
            <w:pPr>
              <w:pStyle w:val="TableParagraph"/>
              <w:rPr>
                <w:rFonts w:ascii="Times New Roman"/>
                <w:sz w:val="16"/>
              </w:rPr>
            </w:pPr>
          </w:p>
        </w:tc>
        <w:tc>
          <w:tcPr>
            <w:tcW w:w="530" w:type="dxa"/>
            <w:tcBorders>
              <w:top w:val="single" w:sz="8" w:space="0" w:color="000000"/>
            </w:tcBorders>
          </w:tcPr>
          <w:p>
            <w:pPr>
              <w:pStyle w:val="TableParagraph"/>
              <w:spacing w:before="16"/>
              <w:ind w:right="83"/>
              <w:jc w:val="right"/>
              <w:rPr>
                <w:sz w:val="16"/>
              </w:rPr>
            </w:pPr>
            <w:r>
              <w:rPr>
                <w:spacing w:val="-5"/>
                <w:sz w:val="16"/>
              </w:rPr>
              <w:t>97</w:t>
            </w:r>
          </w:p>
        </w:tc>
        <w:tc>
          <w:tcPr>
            <w:tcW w:w="451" w:type="dxa"/>
            <w:tcBorders>
              <w:top w:val="single" w:sz="8" w:space="0" w:color="000000"/>
            </w:tcBorders>
          </w:tcPr>
          <w:p>
            <w:pPr>
              <w:pStyle w:val="TableParagraph"/>
              <w:spacing w:before="16"/>
              <w:ind w:left="95"/>
              <w:rPr>
                <w:sz w:val="16"/>
              </w:rPr>
            </w:pPr>
            <w:r>
              <w:rPr>
                <w:spacing w:val="-10"/>
                <w:sz w:val="16"/>
              </w:rPr>
              <w:t>$</w:t>
            </w:r>
          </w:p>
        </w:tc>
        <w:tc>
          <w:tcPr>
            <w:tcW w:w="874" w:type="dxa"/>
            <w:tcBorders>
              <w:top w:val="single" w:sz="8" w:space="0" w:color="000000"/>
            </w:tcBorders>
          </w:tcPr>
          <w:p>
            <w:pPr>
              <w:pStyle w:val="TableParagraph"/>
              <w:rPr>
                <w:rFonts w:ascii="Times New Roman"/>
                <w:sz w:val="16"/>
              </w:rPr>
            </w:pPr>
          </w:p>
        </w:tc>
        <w:tc>
          <w:tcPr>
            <w:tcW w:w="509" w:type="dxa"/>
            <w:tcBorders>
              <w:top w:val="single" w:sz="8" w:space="0" w:color="000000"/>
            </w:tcBorders>
          </w:tcPr>
          <w:p>
            <w:pPr>
              <w:pStyle w:val="TableParagraph"/>
              <w:spacing w:before="16"/>
              <w:ind w:right="57"/>
              <w:jc w:val="right"/>
              <w:rPr>
                <w:sz w:val="16"/>
              </w:rPr>
            </w:pPr>
            <w:r>
              <w:rPr>
                <w:spacing w:val="-5"/>
                <w:sz w:val="16"/>
              </w:rPr>
              <w:t>91</w:t>
            </w:r>
          </w:p>
        </w:tc>
      </w:tr>
      <w:tr>
        <w:trPr>
          <w:trHeight w:val="240" w:hRule="atLeast"/>
        </w:trPr>
        <w:tc>
          <w:tcPr>
            <w:tcW w:w="3857" w:type="dxa"/>
          </w:tcPr>
          <w:p>
            <w:pPr>
              <w:pStyle w:val="TableParagraph"/>
              <w:spacing w:before="25"/>
              <w:ind w:left="70"/>
              <w:rPr>
                <w:sz w:val="16"/>
              </w:rPr>
            </w:pPr>
            <w:r>
              <w:rPr>
                <w:sz w:val="16"/>
              </w:rPr>
              <w:t>July</w:t>
            </w:r>
            <w:r>
              <w:rPr>
                <w:spacing w:val="-2"/>
                <w:sz w:val="16"/>
              </w:rPr>
              <w:t> </w:t>
            </w:r>
            <w:r>
              <w:rPr>
                <w:sz w:val="16"/>
              </w:rPr>
              <w:t>1,</w:t>
            </w:r>
            <w:r>
              <w:rPr>
                <w:spacing w:val="-2"/>
                <w:sz w:val="16"/>
              </w:rPr>
              <w:t> </w:t>
            </w:r>
            <w:r>
              <w:rPr>
                <w:sz w:val="16"/>
              </w:rPr>
              <w:t>2024</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2025</w:t>
            </w:r>
          </w:p>
        </w:tc>
        <w:tc>
          <w:tcPr>
            <w:tcW w:w="438" w:type="dxa"/>
          </w:tcPr>
          <w:p>
            <w:pPr>
              <w:pStyle w:val="TableParagraph"/>
              <w:rPr>
                <w:rFonts w:ascii="Times New Roman"/>
                <w:sz w:val="16"/>
              </w:rPr>
            </w:pPr>
          </w:p>
        </w:tc>
        <w:tc>
          <w:tcPr>
            <w:tcW w:w="759" w:type="dxa"/>
          </w:tcPr>
          <w:p>
            <w:pPr>
              <w:pStyle w:val="TableParagraph"/>
              <w:rPr>
                <w:rFonts w:ascii="Times New Roman"/>
                <w:sz w:val="16"/>
              </w:rPr>
            </w:pPr>
          </w:p>
        </w:tc>
        <w:tc>
          <w:tcPr>
            <w:tcW w:w="623" w:type="dxa"/>
          </w:tcPr>
          <w:p>
            <w:pPr>
              <w:pStyle w:val="TableParagraph"/>
              <w:spacing w:before="25"/>
              <w:ind w:left="47"/>
              <w:jc w:val="center"/>
              <w:rPr>
                <w:sz w:val="16"/>
              </w:rPr>
            </w:pPr>
            <w:r>
              <w:rPr>
                <w:spacing w:val="-2"/>
                <w:sz w:val="16"/>
              </w:rPr>
              <w:t>1,134</w:t>
            </w:r>
          </w:p>
        </w:tc>
        <w:tc>
          <w:tcPr>
            <w:tcW w:w="449" w:type="dxa"/>
          </w:tcPr>
          <w:p>
            <w:pPr>
              <w:pStyle w:val="TableParagraph"/>
              <w:rPr>
                <w:rFonts w:ascii="Times New Roman"/>
                <w:sz w:val="16"/>
              </w:rPr>
            </w:pPr>
          </w:p>
        </w:tc>
        <w:tc>
          <w:tcPr>
            <w:tcW w:w="879" w:type="dxa"/>
          </w:tcPr>
          <w:p>
            <w:pPr>
              <w:pStyle w:val="TableParagraph"/>
              <w:rPr>
                <w:rFonts w:ascii="Times New Roman"/>
                <w:sz w:val="16"/>
              </w:rPr>
            </w:pPr>
          </w:p>
        </w:tc>
        <w:tc>
          <w:tcPr>
            <w:tcW w:w="530" w:type="dxa"/>
          </w:tcPr>
          <w:p>
            <w:pPr>
              <w:pStyle w:val="TableParagraph"/>
              <w:spacing w:before="25"/>
              <w:ind w:right="83"/>
              <w:jc w:val="right"/>
              <w:rPr>
                <w:sz w:val="16"/>
              </w:rPr>
            </w:pPr>
            <w:r>
              <w:rPr>
                <w:spacing w:val="-5"/>
                <w:sz w:val="16"/>
              </w:rPr>
              <w:t>106</w:t>
            </w:r>
          </w:p>
        </w:tc>
        <w:tc>
          <w:tcPr>
            <w:tcW w:w="451" w:type="dxa"/>
          </w:tcPr>
          <w:p>
            <w:pPr>
              <w:pStyle w:val="TableParagraph"/>
              <w:rPr>
                <w:rFonts w:ascii="Times New Roman"/>
                <w:sz w:val="16"/>
              </w:rPr>
            </w:pPr>
          </w:p>
        </w:tc>
        <w:tc>
          <w:tcPr>
            <w:tcW w:w="874" w:type="dxa"/>
          </w:tcPr>
          <w:p>
            <w:pPr>
              <w:pStyle w:val="TableParagraph"/>
              <w:rPr>
                <w:rFonts w:ascii="Times New Roman"/>
                <w:sz w:val="16"/>
              </w:rPr>
            </w:pPr>
          </w:p>
        </w:tc>
        <w:tc>
          <w:tcPr>
            <w:tcW w:w="509" w:type="dxa"/>
          </w:tcPr>
          <w:p>
            <w:pPr>
              <w:pStyle w:val="TableParagraph"/>
              <w:spacing w:before="25"/>
              <w:ind w:right="57"/>
              <w:jc w:val="right"/>
              <w:rPr>
                <w:sz w:val="16"/>
              </w:rPr>
            </w:pPr>
            <w:r>
              <w:rPr>
                <w:spacing w:val="-5"/>
                <w:sz w:val="16"/>
              </w:rPr>
              <w:t>89</w:t>
            </w:r>
          </w:p>
        </w:tc>
      </w:tr>
      <w:tr>
        <w:trPr>
          <w:trHeight w:val="240" w:hRule="atLeast"/>
        </w:trPr>
        <w:tc>
          <w:tcPr>
            <w:tcW w:w="3857" w:type="dxa"/>
          </w:tcPr>
          <w:p>
            <w:pPr>
              <w:pStyle w:val="TableParagraph"/>
              <w:spacing w:before="25"/>
              <w:ind w:left="70"/>
              <w:rPr>
                <w:sz w:val="16"/>
              </w:rPr>
            </w:pPr>
            <w:r>
              <w:rPr>
                <w:sz w:val="16"/>
              </w:rPr>
              <w:t>July</w:t>
            </w:r>
            <w:r>
              <w:rPr>
                <w:spacing w:val="-2"/>
                <w:sz w:val="16"/>
              </w:rPr>
              <w:t> </w:t>
            </w:r>
            <w:r>
              <w:rPr>
                <w:sz w:val="16"/>
              </w:rPr>
              <w:t>1,</w:t>
            </w:r>
            <w:r>
              <w:rPr>
                <w:spacing w:val="-2"/>
                <w:sz w:val="16"/>
              </w:rPr>
              <w:t> </w:t>
            </w:r>
            <w:r>
              <w:rPr>
                <w:sz w:val="16"/>
              </w:rPr>
              <w:t>2025</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2026</w:t>
            </w:r>
          </w:p>
        </w:tc>
        <w:tc>
          <w:tcPr>
            <w:tcW w:w="438" w:type="dxa"/>
          </w:tcPr>
          <w:p>
            <w:pPr>
              <w:pStyle w:val="TableParagraph"/>
              <w:rPr>
                <w:rFonts w:ascii="Times New Roman"/>
                <w:sz w:val="16"/>
              </w:rPr>
            </w:pPr>
          </w:p>
        </w:tc>
        <w:tc>
          <w:tcPr>
            <w:tcW w:w="759" w:type="dxa"/>
          </w:tcPr>
          <w:p>
            <w:pPr>
              <w:pStyle w:val="TableParagraph"/>
              <w:rPr>
                <w:rFonts w:ascii="Times New Roman"/>
                <w:sz w:val="16"/>
              </w:rPr>
            </w:pPr>
          </w:p>
        </w:tc>
        <w:tc>
          <w:tcPr>
            <w:tcW w:w="623" w:type="dxa"/>
          </w:tcPr>
          <w:p>
            <w:pPr>
              <w:pStyle w:val="TableParagraph"/>
              <w:spacing w:before="25"/>
              <w:ind w:left="47"/>
              <w:jc w:val="center"/>
              <w:rPr>
                <w:sz w:val="16"/>
              </w:rPr>
            </w:pPr>
            <w:r>
              <w:rPr>
                <w:spacing w:val="-2"/>
                <w:sz w:val="16"/>
              </w:rPr>
              <w:t>1,160</w:t>
            </w:r>
          </w:p>
        </w:tc>
        <w:tc>
          <w:tcPr>
            <w:tcW w:w="449" w:type="dxa"/>
          </w:tcPr>
          <w:p>
            <w:pPr>
              <w:pStyle w:val="TableParagraph"/>
              <w:rPr>
                <w:rFonts w:ascii="Times New Roman"/>
                <w:sz w:val="16"/>
              </w:rPr>
            </w:pPr>
          </w:p>
        </w:tc>
        <w:tc>
          <w:tcPr>
            <w:tcW w:w="879" w:type="dxa"/>
          </w:tcPr>
          <w:p>
            <w:pPr>
              <w:pStyle w:val="TableParagraph"/>
              <w:rPr>
                <w:rFonts w:ascii="Times New Roman"/>
                <w:sz w:val="16"/>
              </w:rPr>
            </w:pPr>
          </w:p>
        </w:tc>
        <w:tc>
          <w:tcPr>
            <w:tcW w:w="530" w:type="dxa"/>
          </w:tcPr>
          <w:p>
            <w:pPr>
              <w:pStyle w:val="TableParagraph"/>
              <w:spacing w:before="25"/>
              <w:ind w:right="83"/>
              <w:jc w:val="right"/>
              <w:rPr>
                <w:sz w:val="16"/>
              </w:rPr>
            </w:pPr>
            <w:r>
              <w:rPr>
                <w:spacing w:val="-5"/>
                <w:sz w:val="16"/>
              </w:rPr>
              <w:t>114</w:t>
            </w:r>
          </w:p>
        </w:tc>
        <w:tc>
          <w:tcPr>
            <w:tcW w:w="451" w:type="dxa"/>
          </w:tcPr>
          <w:p>
            <w:pPr>
              <w:pStyle w:val="TableParagraph"/>
              <w:rPr>
                <w:rFonts w:ascii="Times New Roman"/>
                <w:sz w:val="16"/>
              </w:rPr>
            </w:pPr>
          </w:p>
        </w:tc>
        <w:tc>
          <w:tcPr>
            <w:tcW w:w="874" w:type="dxa"/>
          </w:tcPr>
          <w:p>
            <w:pPr>
              <w:pStyle w:val="TableParagraph"/>
              <w:rPr>
                <w:rFonts w:ascii="Times New Roman"/>
                <w:sz w:val="16"/>
              </w:rPr>
            </w:pPr>
          </w:p>
        </w:tc>
        <w:tc>
          <w:tcPr>
            <w:tcW w:w="509" w:type="dxa"/>
          </w:tcPr>
          <w:p>
            <w:pPr>
              <w:pStyle w:val="TableParagraph"/>
              <w:spacing w:before="25"/>
              <w:ind w:right="57"/>
              <w:jc w:val="right"/>
              <w:rPr>
                <w:sz w:val="16"/>
              </w:rPr>
            </w:pPr>
            <w:r>
              <w:rPr>
                <w:spacing w:val="-5"/>
                <w:sz w:val="16"/>
              </w:rPr>
              <w:t>93</w:t>
            </w:r>
          </w:p>
        </w:tc>
      </w:tr>
      <w:tr>
        <w:trPr>
          <w:trHeight w:val="240" w:hRule="atLeast"/>
        </w:trPr>
        <w:tc>
          <w:tcPr>
            <w:tcW w:w="3857" w:type="dxa"/>
          </w:tcPr>
          <w:p>
            <w:pPr>
              <w:pStyle w:val="TableParagraph"/>
              <w:spacing w:before="25"/>
              <w:ind w:left="70"/>
              <w:rPr>
                <w:sz w:val="16"/>
              </w:rPr>
            </w:pPr>
            <w:r>
              <w:rPr>
                <w:sz w:val="16"/>
              </w:rPr>
              <w:t>July</w:t>
            </w:r>
            <w:r>
              <w:rPr>
                <w:spacing w:val="-2"/>
                <w:sz w:val="16"/>
              </w:rPr>
              <w:t> </w:t>
            </w:r>
            <w:r>
              <w:rPr>
                <w:sz w:val="16"/>
              </w:rPr>
              <w:t>1,</w:t>
            </w:r>
            <w:r>
              <w:rPr>
                <w:spacing w:val="-2"/>
                <w:sz w:val="16"/>
              </w:rPr>
              <w:t> </w:t>
            </w:r>
            <w:r>
              <w:rPr>
                <w:sz w:val="16"/>
              </w:rPr>
              <w:t>2026</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2027</w:t>
            </w:r>
          </w:p>
        </w:tc>
        <w:tc>
          <w:tcPr>
            <w:tcW w:w="438" w:type="dxa"/>
          </w:tcPr>
          <w:p>
            <w:pPr>
              <w:pStyle w:val="TableParagraph"/>
              <w:rPr>
                <w:rFonts w:ascii="Times New Roman"/>
                <w:sz w:val="16"/>
              </w:rPr>
            </w:pPr>
          </w:p>
        </w:tc>
        <w:tc>
          <w:tcPr>
            <w:tcW w:w="759" w:type="dxa"/>
          </w:tcPr>
          <w:p>
            <w:pPr>
              <w:pStyle w:val="TableParagraph"/>
              <w:rPr>
                <w:rFonts w:ascii="Times New Roman"/>
                <w:sz w:val="16"/>
              </w:rPr>
            </w:pPr>
          </w:p>
        </w:tc>
        <w:tc>
          <w:tcPr>
            <w:tcW w:w="623" w:type="dxa"/>
          </w:tcPr>
          <w:p>
            <w:pPr>
              <w:pStyle w:val="TableParagraph"/>
              <w:spacing w:before="25"/>
              <w:ind w:left="47"/>
              <w:jc w:val="center"/>
              <w:rPr>
                <w:sz w:val="16"/>
              </w:rPr>
            </w:pPr>
            <w:r>
              <w:rPr>
                <w:spacing w:val="-2"/>
                <w:sz w:val="16"/>
              </w:rPr>
              <w:t>1,191</w:t>
            </w:r>
          </w:p>
        </w:tc>
        <w:tc>
          <w:tcPr>
            <w:tcW w:w="449" w:type="dxa"/>
          </w:tcPr>
          <w:p>
            <w:pPr>
              <w:pStyle w:val="TableParagraph"/>
              <w:rPr>
                <w:rFonts w:ascii="Times New Roman"/>
                <w:sz w:val="16"/>
              </w:rPr>
            </w:pPr>
          </w:p>
        </w:tc>
        <w:tc>
          <w:tcPr>
            <w:tcW w:w="879" w:type="dxa"/>
          </w:tcPr>
          <w:p>
            <w:pPr>
              <w:pStyle w:val="TableParagraph"/>
              <w:rPr>
                <w:rFonts w:ascii="Times New Roman"/>
                <w:sz w:val="16"/>
              </w:rPr>
            </w:pPr>
          </w:p>
        </w:tc>
        <w:tc>
          <w:tcPr>
            <w:tcW w:w="530" w:type="dxa"/>
          </w:tcPr>
          <w:p>
            <w:pPr>
              <w:pStyle w:val="TableParagraph"/>
              <w:spacing w:before="25"/>
              <w:ind w:right="83"/>
              <w:jc w:val="right"/>
              <w:rPr>
                <w:sz w:val="16"/>
              </w:rPr>
            </w:pPr>
            <w:r>
              <w:rPr>
                <w:spacing w:val="-5"/>
                <w:sz w:val="16"/>
              </w:rPr>
              <w:t>122</w:t>
            </w:r>
          </w:p>
        </w:tc>
        <w:tc>
          <w:tcPr>
            <w:tcW w:w="451" w:type="dxa"/>
          </w:tcPr>
          <w:p>
            <w:pPr>
              <w:pStyle w:val="TableParagraph"/>
              <w:rPr>
                <w:rFonts w:ascii="Times New Roman"/>
                <w:sz w:val="16"/>
              </w:rPr>
            </w:pPr>
          </w:p>
        </w:tc>
        <w:tc>
          <w:tcPr>
            <w:tcW w:w="874" w:type="dxa"/>
          </w:tcPr>
          <w:p>
            <w:pPr>
              <w:pStyle w:val="TableParagraph"/>
              <w:rPr>
                <w:rFonts w:ascii="Times New Roman"/>
                <w:sz w:val="16"/>
              </w:rPr>
            </w:pPr>
          </w:p>
        </w:tc>
        <w:tc>
          <w:tcPr>
            <w:tcW w:w="509" w:type="dxa"/>
          </w:tcPr>
          <w:p>
            <w:pPr>
              <w:pStyle w:val="TableParagraph"/>
              <w:spacing w:before="25"/>
              <w:ind w:right="57"/>
              <w:jc w:val="right"/>
              <w:rPr>
                <w:sz w:val="16"/>
              </w:rPr>
            </w:pPr>
            <w:r>
              <w:rPr>
                <w:spacing w:val="-5"/>
                <w:sz w:val="16"/>
              </w:rPr>
              <w:t>97</w:t>
            </w:r>
          </w:p>
        </w:tc>
      </w:tr>
      <w:tr>
        <w:trPr>
          <w:trHeight w:val="240" w:hRule="atLeast"/>
        </w:trPr>
        <w:tc>
          <w:tcPr>
            <w:tcW w:w="3857" w:type="dxa"/>
          </w:tcPr>
          <w:p>
            <w:pPr>
              <w:pStyle w:val="TableParagraph"/>
              <w:spacing w:before="25"/>
              <w:ind w:left="70"/>
              <w:rPr>
                <w:sz w:val="16"/>
              </w:rPr>
            </w:pPr>
            <w:r>
              <w:rPr>
                <w:sz w:val="16"/>
              </w:rPr>
              <w:t>July</w:t>
            </w:r>
            <w:r>
              <w:rPr>
                <w:spacing w:val="-2"/>
                <w:sz w:val="16"/>
              </w:rPr>
              <w:t> </w:t>
            </w:r>
            <w:r>
              <w:rPr>
                <w:sz w:val="16"/>
              </w:rPr>
              <w:t>1,</w:t>
            </w:r>
            <w:r>
              <w:rPr>
                <w:spacing w:val="-2"/>
                <w:sz w:val="16"/>
              </w:rPr>
              <w:t> </w:t>
            </w:r>
            <w:r>
              <w:rPr>
                <w:sz w:val="16"/>
              </w:rPr>
              <w:t>2027</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2028</w:t>
            </w:r>
          </w:p>
        </w:tc>
        <w:tc>
          <w:tcPr>
            <w:tcW w:w="438" w:type="dxa"/>
          </w:tcPr>
          <w:p>
            <w:pPr>
              <w:pStyle w:val="TableParagraph"/>
              <w:rPr>
                <w:rFonts w:ascii="Times New Roman"/>
                <w:sz w:val="16"/>
              </w:rPr>
            </w:pPr>
          </w:p>
        </w:tc>
        <w:tc>
          <w:tcPr>
            <w:tcW w:w="759" w:type="dxa"/>
          </w:tcPr>
          <w:p>
            <w:pPr>
              <w:pStyle w:val="TableParagraph"/>
              <w:rPr>
                <w:rFonts w:ascii="Times New Roman"/>
                <w:sz w:val="16"/>
              </w:rPr>
            </w:pPr>
          </w:p>
        </w:tc>
        <w:tc>
          <w:tcPr>
            <w:tcW w:w="623" w:type="dxa"/>
          </w:tcPr>
          <w:p>
            <w:pPr>
              <w:pStyle w:val="TableParagraph"/>
              <w:spacing w:before="25"/>
              <w:ind w:left="47"/>
              <w:jc w:val="center"/>
              <w:rPr>
                <w:sz w:val="16"/>
              </w:rPr>
            </w:pPr>
            <w:r>
              <w:rPr>
                <w:spacing w:val="-2"/>
                <w:sz w:val="16"/>
              </w:rPr>
              <w:t>1,226</w:t>
            </w:r>
          </w:p>
        </w:tc>
        <w:tc>
          <w:tcPr>
            <w:tcW w:w="449" w:type="dxa"/>
          </w:tcPr>
          <w:p>
            <w:pPr>
              <w:pStyle w:val="TableParagraph"/>
              <w:rPr>
                <w:rFonts w:ascii="Times New Roman"/>
                <w:sz w:val="16"/>
              </w:rPr>
            </w:pPr>
          </w:p>
        </w:tc>
        <w:tc>
          <w:tcPr>
            <w:tcW w:w="879" w:type="dxa"/>
          </w:tcPr>
          <w:p>
            <w:pPr>
              <w:pStyle w:val="TableParagraph"/>
              <w:rPr>
                <w:rFonts w:ascii="Times New Roman"/>
                <w:sz w:val="16"/>
              </w:rPr>
            </w:pPr>
          </w:p>
        </w:tc>
        <w:tc>
          <w:tcPr>
            <w:tcW w:w="530" w:type="dxa"/>
          </w:tcPr>
          <w:p>
            <w:pPr>
              <w:pStyle w:val="TableParagraph"/>
              <w:spacing w:before="25"/>
              <w:ind w:right="83"/>
              <w:jc w:val="right"/>
              <w:rPr>
                <w:sz w:val="16"/>
              </w:rPr>
            </w:pPr>
            <w:r>
              <w:rPr>
                <w:spacing w:val="-5"/>
                <w:sz w:val="16"/>
              </w:rPr>
              <w:t>130</w:t>
            </w:r>
          </w:p>
        </w:tc>
        <w:tc>
          <w:tcPr>
            <w:tcW w:w="451" w:type="dxa"/>
          </w:tcPr>
          <w:p>
            <w:pPr>
              <w:pStyle w:val="TableParagraph"/>
              <w:rPr>
                <w:rFonts w:ascii="Times New Roman"/>
                <w:sz w:val="16"/>
              </w:rPr>
            </w:pPr>
          </w:p>
        </w:tc>
        <w:tc>
          <w:tcPr>
            <w:tcW w:w="874" w:type="dxa"/>
          </w:tcPr>
          <w:p>
            <w:pPr>
              <w:pStyle w:val="TableParagraph"/>
              <w:rPr>
                <w:rFonts w:ascii="Times New Roman"/>
                <w:sz w:val="16"/>
              </w:rPr>
            </w:pPr>
          </w:p>
        </w:tc>
        <w:tc>
          <w:tcPr>
            <w:tcW w:w="509" w:type="dxa"/>
          </w:tcPr>
          <w:p>
            <w:pPr>
              <w:pStyle w:val="TableParagraph"/>
              <w:spacing w:before="25"/>
              <w:ind w:right="57"/>
              <w:jc w:val="right"/>
              <w:rPr>
                <w:sz w:val="16"/>
              </w:rPr>
            </w:pPr>
            <w:r>
              <w:rPr>
                <w:spacing w:val="-5"/>
                <w:sz w:val="16"/>
              </w:rPr>
              <w:t>102</w:t>
            </w:r>
          </w:p>
        </w:tc>
      </w:tr>
      <w:tr>
        <w:trPr>
          <w:trHeight w:val="209" w:hRule="atLeast"/>
        </w:trPr>
        <w:tc>
          <w:tcPr>
            <w:tcW w:w="3857" w:type="dxa"/>
          </w:tcPr>
          <w:p>
            <w:pPr>
              <w:pStyle w:val="TableParagraph"/>
              <w:spacing w:line="164" w:lineRule="exact" w:before="25"/>
              <w:ind w:left="70"/>
              <w:rPr>
                <w:sz w:val="16"/>
              </w:rPr>
            </w:pPr>
            <w:r>
              <w:rPr>
                <w:sz w:val="16"/>
              </w:rPr>
              <w:t>July</w:t>
            </w:r>
            <w:r>
              <w:rPr>
                <w:spacing w:val="-2"/>
                <w:sz w:val="16"/>
              </w:rPr>
              <w:t> </w:t>
            </w:r>
            <w:r>
              <w:rPr>
                <w:sz w:val="16"/>
              </w:rPr>
              <w:t>1,</w:t>
            </w:r>
            <w:r>
              <w:rPr>
                <w:spacing w:val="-2"/>
                <w:sz w:val="16"/>
              </w:rPr>
              <w:t> </w:t>
            </w:r>
            <w:r>
              <w:rPr>
                <w:sz w:val="16"/>
              </w:rPr>
              <w:t>2028</w:t>
            </w:r>
            <w:r>
              <w:rPr>
                <w:spacing w:val="-2"/>
                <w:sz w:val="16"/>
              </w:rPr>
              <w:t> </w:t>
            </w:r>
            <w:r>
              <w:rPr>
                <w:sz w:val="16"/>
              </w:rPr>
              <w:t>-</w:t>
            </w:r>
            <w:r>
              <w:rPr>
                <w:spacing w:val="-2"/>
                <w:sz w:val="16"/>
              </w:rPr>
              <w:t> </w:t>
            </w:r>
            <w:r>
              <w:rPr>
                <w:sz w:val="16"/>
              </w:rPr>
              <w:t>June</w:t>
            </w:r>
            <w:r>
              <w:rPr>
                <w:spacing w:val="-3"/>
                <w:sz w:val="16"/>
              </w:rPr>
              <w:t> </w:t>
            </w:r>
            <w:r>
              <w:rPr>
                <w:sz w:val="16"/>
              </w:rPr>
              <w:t>30,</w:t>
            </w:r>
            <w:r>
              <w:rPr>
                <w:spacing w:val="-1"/>
                <w:sz w:val="16"/>
              </w:rPr>
              <w:t> </w:t>
            </w:r>
            <w:r>
              <w:rPr>
                <w:spacing w:val="-4"/>
                <w:sz w:val="16"/>
              </w:rPr>
              <w:t>2033</w:t>
            </w:r>
          </w:p>
        </w:tc>
        <w:tc>
          <w:tcPr>
            <w:tcW w:w="438" w:type="dxa"/>
          </w:tcPr>
          <w:p>
            <w:pPr>
              <w:pStyle w:val="TableParagraph"/>
              <w:rPr>
                <w:rFonts w:ascii="Times New Roman"/>
                <w:sz w:val="14"/>
              </w:rPr>
            </w:pPr>
          </w:p>
        </w:tc>
        <w:tc>
          <w:tcPr>
            <w:tcW w:w="759" w:type="dxa"/>
          </w:tcPr>
          <w:p>
            <w:pPr>
              <w:pStyle w:val="TableParagraph"/>
              <w:rPr>
                <w:rFonts w:ascii="Times New Roman"/>
                <w:sz w:val="14"/>
              </w:rPr>
            </w:pPr>
          </w:p>
        </w:tc>
        <w:tc>
          <w:tcPr>
            <w:tcW w:w="623" w:type="dxa"/>
          </w:tcPr>
          <w:p>
            <w:pPr>
              <w:pStyle w:val="TableParagraph"/>
              <w:spacing w:line="164" w:lineRule="exact" w:before="25"/>
              <w:ind w:left="47"/>
              <w:jc w:val="center"/>
              <w:rPr>
                <w:sz w:val="16"/>
              </w:rPr>
            </w:pPr>
            <w:r>
              <w:rPr>
                <w:spacing w:val="-2"/>
                <w:sz w:val="16"/>
              </w:rPr>
              <w:t>6,728</w:t>
            </w:r>
          </w:p>
        </w:tc>
        <w:tc>
          <w:tcPr>
            <w:tcW w:w="449" w:type="dxa"/>
          </w:tcPr>
          <w:p>
            <w:pPr>
              <w:pStyle w:val="TableParagraph"/>
              <w:rPr>
                <w:rFonts w:ascii="Times New Roman"/>
                <w:sz w:val="14"/>
              </w:rPr>
            </w:pPr>
          </w:p>
        </w:tc>
        <w:tc>
          <w:tcPr>
            <w:tcW w:w="879" w:type="dxa"/>
          </w:tcPr>
          <w:p>
            <w:pPr>
              <w:pStyle w:val="TableParagraph"/>
              <w:rPr>
                <w:rFonts w:ascii="Times New Roman"/>
                <w:sz w:val="14"/>
              </w:rPr>
            </w:pPr>
          </w:p>
        </w:tc>
        <w:tc>
          <w:tcPr>
            <w:tcW w:w="530" w:type="dxa"/>
          </w:tcPr>
          <w:p>
            <w:pPr>
              <w:pStyle w:val="TableParagraph"/>
              <w:spacing w:line="164" w:lineRule="exact" w:before="25"/>
              <w:ind w:right="83"/>
              <w:jc w:val="right"/>
              <w:rPr>
                <w:sz w:val="16"/>
              </w:rPr>
            </w:pPr>
            <w:r>
              <w:rPr>
                <w:spacing w:val="-5"/>
                <w:sz w:val="16"/>
              </w:rPr>
              <w:t>774</w:t>
            </w:r>
          </w:p>
        </w:tc>
        <w:tc>
          <w:tcPr>
            <w:tcW w:w="451" w:type="dxa"/>
          </w:tcPr>
          <w:p>
            <w:pPr>
              <w:pStyle w:val="TableParagraph"/>
              <w:rPr>
                <w:rFonts w:ascii="Times New Roman"/>
                <w:sz w:val="14"/>
              </w:rPr>
            </w:pPr>
          </w:p>
        </w:tc>
        <w:tc>
          <w:tcPr>
            <w:tcW w:w="874" w:type="dxa"/>
          </w:tcPr>
          <w:p>
            <w:pPr>
              <w:pStyle w:val="TableParagraph"/>
              <w:rPr>
                <w:rFonts w:ascii="Times New Roman"/>
                <w:sz w:val="14"/>
              </w:rPr>
            </w:pPr>
          </w:p>
        </w:tc>
        <w:tc>
          <w:tcPr>
            <w:tcW w:w="509" w:type="dxa"/>
          </w:tcPr>
          <w:p>
            <w:pPr>
              <w:pStyle w:val="TableParagraph"/>
              <w:spacing w:line="164" w:lineRule="exact" w:before="25"/>
              <w:ind w:right="57"/>
              <w:jc w:val="right"/>
              <w:rPr>
                <w:sz w:val="16"/>
              </w:rPr>
            </w:pPr>
            <w:r>
              <w:rPr>
                <w:spacing w:val="-5"/>
                <w:sz w:val="16"/>
              </w:rPr>
              <w:t>599</w:t>
            </w:r>
          </w:p>
        </w:tc>
      </w:tr>
    </w:tbl>
    <w:p>
      <w:pPr>
        <w:pStyle w:val="BodyText"/>
        <w:spacing w:before="39"/>
      </w:pPr>
      <w:r>
        <w:rPr/>
        <mc:AlternateContent>
          <mc:Choice Requires="wps">
            <w:drawing>
              <wp:anchor distT="0" distB="0" distL="0" distR="0" allowOverlap="1" layoutInCell="1" locked="0" behindDoc="1" simplePos="0" relativeHeight="487758848">
                <wp:simplePos x="0" y="0"/>
                <wp:positionH relativeFrom="page">
                  <wp:posOffset>914400</wp:posOffset>
                </wp:positionH>
                <wp:positionV relativeFrom="paragraph">
                  <wp:posOffset>186054</wp:posOffset>
                </wp:positionV>
                <wp:extent cx="5943600" cy="1270"/>
                <wp:effectExtent l="0" t="0" r="0" b="0"/>
                <wp:wrapTopAndBottom/>
                <wp:docPr id="982" name="Graphic 982"/>
                <wp:cNvGraphicFramePr>
                  <a:graphicFrameLocks/>
                </wp:cNvGraphicFramePr>
                <a:graphic>
                  <a:graphicData uri="http://schemas.microsoft.com/office/word/2010/wordprocessingShape">
                    <wps:wsp>
                      <wps:cNvPr id="982" name="Graphic 98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65pt;width:468pt;height:.1pt;mso-position-horizontal-relative:page;mso-position-vertical-relative:paragraph;z-index:-15557632;mso-wrap-distance-left:0;mso-wrap-distance-right:0" id="docshape815" coordorigin="1440,293" coordsize="9360,0" path="m1440,293l10800,293e" filled="false" stroked="true" strokeweight="1pt" strokecolor="#000000">
                <v:path arrowok="t"/>
                <v:stroke dashstyle="solid"/>
                <w10:wrap type="topAndBottom"/>
              </v:shape>
            </w:pict>
          </mc:Fallback>
        </mc:AlternateContent>
      </w:r>
    </w:p>
    <w:p>
      <w:pPr>
        <w:pStyle w:val="Heading5"/>
        <w:spacing w:before="153"/>
      </w:pPr>
      <w:r>
        <w:rPr/>
        <w:t>Expected </w:t>
      </w:r>
      <w:r>
        <w:rPr>
          <w:spacing w:val="-2"/>
        </w:rPr>
        <w:t>Contributions</w:t>
      </w:r>
    </w:p>
    <w:p>
      <w:pPr>
        <w:pStyle w:val="BodyText"/>
        <w:spacing w:line="249" w:lineRule="auto" w:before="140"/>
        <w:ind w:left="720" w:right="719"/>
        <w:jc w:val="both"/>
      </w:pPr>
      <w:r>
        <w:rPr/>
        <w:t>IBRD’s contribution to the SRP and RSBP varies from year to year, as determined by the PFC, which bases its judgment on the results of annual actuarial valuations of the assets and liabilities of the SRP and RSBP. The best estimate of the amount of contributions expected to be paid to the SRP and RSBP by IBRD and IDA during the fiscal year beginning July 1, 2023 is $149 million and $38 million, respectively.</w:t>
      </w:r>
    </w:p>
    <w:p>
      <w:pPr>
        <w:pStyle w:val="Heading3"/>
        <w:spacing w:before="185"/>
      </w:pPr>
      <w:bookmarkStart w:name="NOTE K—ACCUMULATED OTHER COMPREHENSIVE L" w:id="216"/>
      <w:bookmarkEnd w:id="216"/>
      <w:r>
        <w:rPr>
          <w:b w:val="0"/>
        </w:rPr>
      </w:r>
      <w:r>
        <w:rPr/>
        <w:t>NOTE</w:t>
      </w:r>
      <w:r>
        <w:rPr>
          <w:spacing w:val="-7"/>
        </w:rPr>
        <w:t> </w:t>
      </w:r>
      <w:r>
        <w:rPr/>
        <w:t>K—ACCUMULATED</w:t>
      </w:r>
      <w:r>
        <w:rPr>
          <w:spacing w:val="-4"/>
        </w:rPr>
        <w:t> </w:t>
      </w:r>
      <w:r>
        <w:rPr/>
        <w:t>OTHER</w:t>
      </w:r>
      <w:r>
        <w:rPr>
          <w:spacing w:val="-4"/>
        </w:rPr>
        <w:t> </w:t>
      </w:r>
      <w:r>
        <w:rPr/>
        <w:t>COMPREHENSIVE</w:t>
      </w:r>
      <w:r>
        <w:rPr>
          <w:spacing w:val="-4"/>
        </w:rPr>
        <w:t> </w:t>
      </w:r>
      <w:r>
        <w:rPr>
          <w:spacing w:val="-2"/>
        </w:rPr>
        <w:t>INCOME</w:t>
      </w:r>
    </w:p>
    <w:p>
      <w:pPr>
        <w:pStyle w:val="BodyText"/>
        <w:spacing w:line="249" w:lineRule="auto" w:before="129"/>
        <w:ind w:left="720" w:right="719"/>
        <w:jc w:val="both"/>
      </w:pPr>
      <w:r>
        <w:rPr/>
        <w:t>Comprehensive income or loss consists of net income and other gains and losses affecting equity that, under U.S. GAAP, are excluded from net income. Other comprehensive income (loss) comprises currency translation adjustments on assets and liabilities denominated in euro, DVA on Fair Value Option elected liabilities, and</w:t>
      </w:r>
      <w:r>
        <w:rPr>
          <w:spacing w:val="40"/>
        </w:rPr>
        <w:t> </w:t>
      </w:r>
      <w:r>
        <w:rPr/>
        <w:t>pension-related items. These items are presented in the Statements of Comprehensive Income.</w:t>
      </w:r>
    </w:p>
    <w:p>
      <w:pPr>
        <w:pStyle w:val="BodyText"/>
        <w:spacing w:line="249" w:lineRule="auto" w:before="123"/>
        <w:ind w:left="720" w:right="718"/>
        <w:jc w:val="both"/>
      </w:pPr>
      <w:r>
        <w:rPr/>
        <w:t>The following tables present the changes in Accumulated Other Comprehensive Income (AOCI) and Accumulated Other Comprehensive Loss (AOCL):</w:t>
      </w:r>
    </w:p>
    <w:p>
      <w:pPr>
        <w:pStyle w:val="Heading8"/>
        <w:spacing w:before="119"/>
        <w:jc w:val="both"/>
      </w:pPr>
      <w:r>
        <w:rPr/>
        <w:t>Table</w:t>
      </w:r>
      <w:r>
        <w:rPr>
          <w:spacing w:val="-5"/>
        </w:rPr>
        <w:t> </w:t>
      </w:r>
      <w:r>
        <w:rPr/>
        <w:t>K1:</w:t>
      </w:r>
      <w:r>
        <w:rPr>
          <w:spacing w:val="-5"/>
        </w:rPr>
        <w:t> </w:t>
      </w:r>
      <w:r>
        <w:rPr/>
        <w:t>AOCI/AOCL</w:t>
      </w:r>
      <w:r>
        <w:rPr>
          <w:spacing w:val="-4"/>
        </w:rPr>
        <w:t> </w:t>
      </w:r>
      <w:r>
        <w:rPr>
          <w:spacing w:val="-2"/>
        </w:rPr>
        <w:t>changes</w:t>
      </w:r>
    </w:p>
    <w:p>
      <w:pPr>
        <w:spacing w:before="96"/>
        <w:ind w:left="772" w:right="0" w:firstLine="0"/>
        <w:jc w:val="both"/>
        <w:rPr>
          <w:rFonts w:ascii="Arial"/>
          <w:i/>
          <w:sz w:val="14"/>
        </w:rPr>
      </w:pPr>
      <w:r>
        <w:rPr>
          <w:rFonts w:ascii="Arial"/>
          <w:i/>
          <w:sz w:val="14"/>
        </w:rPr>
        <mc:AlternateContent>
          <mc:Choice Requires="wps">
            <w:drawing>
              <wp:anchor distT="0" distB="0" distL="0" distR="0" allowOverlap="1" layoutInCell="1" locked="0" behindDoc="1" simplePos="0" relativeHeight="487759360">
                <wp:simplePos x="0" y="0"/>
                <wp:positionH relativeFrom="page">
                  <wp:posOffset>914400</wp:posOffset>
                </wp:positionH>
                <wp:positionV relativeFrom="paragraph">
                  <wp:posOffset>181778</wp:posOffset>
                </wp:positionV>
                <wp:extent cx="5943600" cy="1270"/>
                <wp:effectExtent l="0" t="0" r="0" b="0"/>
                <wp:wrapTopAndBottom/>
                <wp:docPr id="983" name="Graphic 983"/>
                <wp:cNvGraphicFramePr>
                  <a:graphicFrameLocks/>
                </wp:cNvGraphicFramePr>
                <a:graphic>
                  <a:graphicData uri="http://schemas.microsoft.com/office/word/2010/wordprocessingShape">
                    <wps:wsp>
                      <wps:cNvPr id="983" name="Graphic 98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313272pt;width:468pt;height:.1pt;mso-position-horizontal-relative:page;mso-position-vertical-relative:paragraph;z-index:-15557120;mso-wrap-distance-left:0;mso-wrap-distance-right:0" id="docshape816" coordorigin="1440,286" coordsize="9360,0" path="m1440,286l10800,286e" filled="false" stroked="true" strokeweight="1pt" strokecolor="#000000">
                <v:path arrowok="t"/>
                <v:stroke dashstyle="solid"/>
                <w10:wrap type="topAndBottom"/>
              </v:shap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spacing w:before="24" w:after="30"/>
        <w:ind w:left="7074" w:right="0" w:firstLine="0"/>
        <w:jc w:val="left"/>
        <w:rPr>
          <w:rFonts w:ascii="Arial"/>
          <w:i/>
          <w:sz w:val="14"/>
        </w:rPr>
      </w:pPr>
      <w:r>
        <w:rPr>
          <w:rFonts w:ascii="Arial"/>
          <w:i/>
          <w:spacing w:val="-4"/>
          <w:sz w:val="14"/>
        </w:rPr>
        <w:t>2023</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0"/>
        <w:gridCol w:w="180"/>
        <w:gridCol w:w="361"/>
        <w:gridCol w:w="674"/>
        <w:gridCol w:w="83"/>
        <w:gridCol w:w="377"/>
        <w:gridCol w:w="639"/>
        <w:gridCol w:w="103"/>
        <w:gridCol w:w="840"/>
        <w:gridCol w:w="195"/>
        <w:gridCol w:w="195"/>
        <w:gridCol w:w="1024"/>
        <w:gridCol w:w="1031"/>
      </w:tblGrid>
      <w:tr>
        <w:trPr>
          <w:trHeight w:val="182" w:hRule="atLeast"/>
        </w:trPr>
        <w:tc>
          <w:tcPr>
            <w:tcW w:w="3660" w:type="dxa"/>
          </w:tcPr>
          <w:p>
            <w:pPr>
              <w:pStyle w:val="TableParagraph"/>
              <w:rPr>
                <w:rFonts w:ascii="Times New Roman"/>
                <w:sz w:val="12"/>
              </w:rPr>
            </w:pPr>
          </w:p>
        </w:tc>
        <w:tc>
          <w:tcPr>
            <w:tcW w:w="1215" w:type="dxa"/>
            <w:gridSpan w:val="3"/>
            <w:tcBorders>
              <w:top w:val="single" w:sz="8" w:space="0" w:color="000000"/>
            </w:tcBorders>
          </w:tcPr>
          <w:p>
            <w:pPr>
              <w:pStyle w:val="TableParagraph"/>
              <w:rPr>
                <w:rFonts w:ascii="Times New Roman"/>
                <w:sz w:val="12"/>
              </w:rPr>
            </w:pPr>
          </w:p>
        </w:tc>
        <w:tc>
          <w:tcPr>
            <w:tcW w:w="1099" w:type="dxa"/>
            <w:gridSpan w:val="3"/>
            <w:tcBorders>
              <w:top w:val="single" w:sz="8" w:space="0" w:color="000000"/>
            </w:tcBorders>
          </w:tcPr>
          <w:p>
            <w:pPr>
              <w:pStyle w:val="TableParagraph"/>
              <w:rPr>
                <w:rFonts w:ascii="Times New Roman"/>
                <w:sz w:val="12"/>
              </w:rPr>
            </w:pPr>
          </w:p>
        </w:tc>
        <w:tc>
          <w:tcPr>
            <w:tcW w:w="1138" w:type="dxa"/>
            <w:gridSpan w:val="3"/>
            <w:tcBorders>
              <w:top w:val="single" w:sz="8" w:space="0" w:color="000000"/>
            </w:tcBorders>
          </w:tcPr>
          <w:p>
            <w:pPr>
              <w:pStyle w:val="TableParagraph"/>
              <w:spacing w:line="147" w:lineRule="exact" w:before="15"/>
              <w:ind w:left="162"/>
              <w:rPr>
                <w:rFonts w:ascii="Arial"/>
                <w:i/>
                <w:sz w:val="14"/>
              </w:rPr>
            </w:pPr>
            <w:r>
              <w:rPr>
                <w:rFonts w:ascii="Arial"/>
                <w:i/>
                <w:spacing w:val="-2"/>
                <w:sz w:val="14"/>
              </w:rPr>
              <w:t>Amounts</w:t>
            </w:r>
          </w:p>
        </w:tc>
        <w:tc>
          <w:tcPr>
            <w:tcW w:w="2250" w:type="dxa"/>
            <w:gridSpan w:val="3"/>
            <w:tcBorders>
              <w:top w:val="single" w:sz="8" w:space="0" w:color="000000"/>
            </w:tcBorders>
          </w:tcPr>
          <w:p>
            <w:pPr>
              <w:pStyle w:val="TableParagraph"/>
              <w:rPr>
                <w:rFonts w:ascii="Times New Roman"/>
                <w:sz w:val="12"/>
              </w:rPr>
            </w:pPr>
          </w:p>
        </w:tc>
      </w:tr>
      <w:tr>
        <w:trPr>
          <w:trHeight w:val="167" w:hRule="atLeast"/>
        </w:trPr>
        <w:tc>
          <w:tcPr>
            <w:tcW w:w="3660" w:type="dxa"/>
          </w:tcPr>
          <w:p>
            <w:pPr>
              <w:pStyle w:val="TableParagraph"/>
              <w:rPr>
                <w:rFonts w:ascii="Times New Roman"/>
                <w:sz w:val="10"/>
              </w:rPr>
            </w:pPr>
          </w:p>
        </w:tc>
        <w:tc>
          <w:tcPr>
            <w:tcW w:w="1215" w:type="dxa"/>
            <w:gridSpan w:val="3"/>
          </w:tcPr>
          <w:p>
            <w:pPr>
              <w:pStyle w:val="TableParagraph"/>
              <w:spacing w:line="147" w:lineRule="exact" w:before="1"/>
              <w:ind w:left="260"/>
              <w:rPr>
                <w:rFonts w:ascii="Arial"/>
                <w:i/>
                <w:sz w:val="14"/>
              </w:rPr>
            </w:pPr>
            <w:r>
              <w:rPr>
                <w:rFonts w:ascii="Arial"/>
                <w:i/>
                <w:spacing w:val="-2"/>
                <w:sz w:val="14"/>
              </w:rPr>
              <w:t>Balance,</w:t>
            </w:r>
          </w:p>
        </w:tc>
        <w:tc>
          <w:tcPr>
            <w:tcW w:w="1099" w:type="dxa"/>
            <w:gridSpan w:val="3"/>
          </w:tcPr>
          <w:p>
            <w:pPr>
              <w:pStyle w:val="TableParagraph"/>
              <w:rPr>
                <w:rFonts w:ascii="Times New Roman"/>
                <w:sz w:val="10"/>
              </w:rPr>
            </w:pPr>
          </w:p>
        </w:tc>
        <w:tc>
          <w:tcPr>
            <w:tcW w:w="1138" w:type="dxa"/>
            <w:gridSpan w:val="3"/>
          </w:tcPr>
          <w:p>
            <w:pPr>
              <w:pStyle w:val="TableParagraph"/>
              <w:spacing w:line="147" w:lineRule="exact" w:before="1"/>
              <w:ind w:left="88"/>
              <w:rPr>
                <w:rFonts w:ascii="Arial"/>
                <w:i/>
                <w:sz w:val="14"/>
              </w:rPr>
            </w:pPr>
            <w:r>
              <w:rPr>
                <w:rFonts w:ascii="Arial"/>
                <w:i/>
                <w:spacing w:val="-2"/>
                <w:sz w:val="14"/>
              </w:rPr>
              <w:t>reclassified</w:t>
            </w:r>
          </w:p>
        </w:tc>
        <w:tc>
          <w:tcPr>
            <w:tcW w:w="1219" w:type="dxa"/>
            <w:gridSpan w:val="2"/>
          </w:tcPr>
          <w:p>
            <w:pPr>
              <w:pStyle w:val="TableParagraph"/>
              <w:spacing w:line="147" w:lineRule="exact" w:before="1"/>
              <w:ind w:left="152"/>
              <w:rPr>
                <w:rFonts w:ascii="Arial"/>
                <w:i/>
                <w:sz w:val="14"/>
              </w:rPr>
            </w:pPr>
            <w:r>
              <w:rPr>
                <w:rFonts w:ascii="Arial"/>
                <w:i/>
                <w:sz w:val="14"/>
              </w:rPr>
              <w:t>Net</w:t>
            </w:r>
            <w:r>
              <w:rPr>
                <w:rFonts w:ascii="Arial"/>
                <w:i/>
                <w:spacing w:val="-2"/>
                <w:sz w:val="14"/>
              </w:rPr>
              <w:t> Changes</w:t>
            </w:r>
          </w:p>
        </w:tc>
        <w:tc>
          <w:tcPr>
            <w:tcW w:w="1031" w:type="dxa"/>
          </w:tcPr>
          <w:p>
            <w:pPr>
              <w:pStyle w:val="TableParagraph"/>
              <w:rPr>
                <w:rFonts w:ascii="Times New Roman"/>
                <w:sz w:val="10"/>
              </w:rPr>
            </w:pPr>
          </w:p>
        </w:tc>
      </w:tr>
      <w:tr>
        <w:trPr>
          <w:trHeight w:val="168" w:hRule="atLeast"/>
        </w:trPr>
        <w:tc>
          <w:tcPr>
            <w:tcW w:w="3660" w:type="dxa"/>
          </w:tcPr>
          <w:p>
            <w:pPr>
              <w:pStyle w:val="TableParagraph"/>
              <w:rPr>
                <w:rFonts w:ascii="Times New Roman"/>
                <w:sz w:val="10"/>
              </w:rPr>
            </w:pPr>
          </w:p>
        </w:tc>
        <w:tc>
          <w:tcPr>
            <w:tcW w:w="1215" w:type="dxa"/>
            <w:gridSpan w:val="3"/>
          </w:tcPr>
          <w:p>
            <w:pPr>
              <w:pStyle w:val="TableParagraph"/>
              <w:spacing w:line="147" w:lineRule="exact" w:before="1"/>
              <w:ind w:left="151"/>
              <w:rPr>
                <w:rFonts w:ascii="Arial"/>
                <w:i/>
                <w:sz w:val="14"/>
              </w:rPr>
            </w:pPr>
            <w:r>
              <w:rPr>
                <w:rFonts w:ascii="Arial"/>
                <w:i/>
                <w:sz w:val="14"/>
              </w:rPr>
              <w:t>beginning</w:t>
            </w:r>
            <w:r>
              <w:rPr>
                <w:rFonts w:ascii="Arial"/>
                <w:i/>
                <w:spacing w:val="-10"/>
                <w:sz w:val="14"/>
              </w:rPr>
              <w:t> </w:t>
            </w:r>
            <w:r>
              <w:rPr>
                <w:rFonts w:ascii="Arial"/>
                <w:i/>
                <w:spacing w:val="-5"/>
                <w:sz w:val="14"/>
              </w:rPr>
              <w:t>of</w:t>
            </w:r>
          </w:p>
        </w:tc>
        <w:tc>
          <w:tcPr>
            <w:tcW w:w="1099" w:type="dxa"/>
            <w:gridSpan w:val="3"/>
          </w:tcPr>
          <w:p>
            <w:pPr>
              <w:pStyle w:val="TableParagraph"/>
              <w:spacing w:line="147" w:lineRule="exact" w:before="1"/>
              <w:ind w:left="162"/>
              <w:rPr>
                <w:rFonts w:ascii="Arial"/>
                <w:i/>
                <w:sz w:val="14"/>
              </w:rPr>
            </w:pPr>
            <w:r>
              <w:rPr>
                <w:rFonts w:ascii="Arial"/>
                <w:i/>
                <w:spacing w:val="-2"/>
                <w:sz w:val="14"/>
              </w:rPr>
              <w:t>Changes</w:t>
            </w:r>
          </w:p>
        </w:tc>
        <w:tc>
          <w:tcPr>
            <w:tcW w:w="1138" w:type="dxa"/>
            <w:gridSpan w:val="3"/>
          </w:tcPr>
          <w:p>
            <w:pPr>
              <w:pStyle w:val="TableParagraph"/>
              <w:spacing w:line="147" w:lineRule="exact" w:before="1"/>
              <w:ind w:left="209"/>
              <w:rPr>
                <w:rFonts w:ascii="Arial"/>
                <w:i/>
                <w:sz w:val="14"/>
              </w:rPr>
            </w:pPr>
            <w:r>
              <w:rPr>
                <w:rFonts w:ascii="Arial"/>
                <w:i/>
                <w:sz w:val="14"/>
              </w:rPr>
              <w:t>into</w:t>
            </w:r>
            <w:r>
              <w:rPr>
                <w:rFonts w:ascii="Arial"/>
                <w:i/>
                <w:spacing w:val="-2"/>
                <w:sz w:val="14"/>
              </w:rPr>
              <w:t> </w:t>
            </w:r>
            <w:r>
              <w:rPr>
                <w:rFonts w:ascii="Arial"/>
                <w:i/>
                <w:spacing w:val="-5"/>
                <w:sz w:val="14"/>
              </w:rPr>
              <w:t>net</w:t>
            </w:r>
          </w:p>
        </w:tc>
        <w:tc>
          <w:tcPr>
            <w:tcW w:w="1219" w:type="dxa"/>
            <w:gridSpan w:val="2"/>
          </w:tcPr>
          <w:p>
            <w:pPr>
              <w:pStyle w:val="TableParagraph"/>
              <w:spacing w:line="147" w:lineRule="exact" w:before="1"/>
              <w:ind w:left="249"/>
              <w:rPr>
                <w:rFonts w:ascii="Arial"/>
                <w:i/>
                <w:sz w:val="14"/>
              </w:rPr>
            </w:pPr>
            <w:r>
              <w:rPr>
                <w:rFonts w:ascii="Arial"/>
                <w:i/>
                <w:sz w:val="14"/>
              </w:rPr>
              <w:t>during</w:t>
            </w:r>
            <w:r>
              <w:rPr>
                <w:rFonts w:ascii="Arial"/>
                <w:i/>
                <w:spacing w:val="-4"/>
                <w:sz w:val="14"/>
              </w:rPr>
              <w:t> </w:t>
            </w:r>
            <w:r>
              <w:rPr>
                <w:rFonts w:ascii="Arial"/>
                <w:i/>
                <w:spacing w:val="-5"/>
                <w:sz w:val="14"/>
              </w:rPr>
              <w:t>the</w:t>
            </w:r>
          </w:p>
        </w:tc>
        <w:tc>
          <w:tcPr>
            <w:tcW w:w="1031" w:type="dxa"/>
          </w:tcPr>
          <w:p>
            <w:pPr>
              <w:pStyle w:val="TableParagraph"/>
              <w:spacing w:line="147" w:lineRule="exact" w:before="1"/>
              <w:ind w:left="-14" w:right="60"/>
              <w:jc w:val="right"/>
              <w:rPr>
                <w:rFonts w:ascii="Arial"/>
                <w:i/>
                <w:sz w:val="14"/>
              </w:rPr>
            </w:pPr>
            <w:r>
              <w:rPr>
                <w:rFonts w:ascii="Arial"/>
                <w:i/>
                <w:sz w:val="14"/>
              </w:rPr>
              <w:t>Balance,</w:t>
            </w:r>
            <w:r>
              <w:rPr>
                <w:rFonts w:ascii="Arial"/>
                <w:i/>
                <w:spacing w:val="-4"/>
                <w:sz w:val="14"/>
              </w:rPr>
              <w:t> </w:t>
            </w:r>
            <w:r>
              <w:rPr>
                <w:rFonts w:ascii="Arial"/>
                <w:i/>
                <w:sz w:val="14"/>
              </w:rPr>
              <w:t>end</w:t>
            </w:r>
            <w:r>
              <w:rPr>
                <w:rFonts w:ascii="Arial"/>
                <w:i/>
                <w:spacing w:val="-4"/>
                <w:sz w:val="14"/>
              </w:rPr>
              <w:t> </w:t>
            </w:r>
            <w:r>
              <w:rPr>
                <w:rFonts w:ascii="Arial"/>
                <w:i/>
                <w:spacing w:val="-5"/>
                <w:sz w:val="14"/>
              </w:rPr>
              <w:t>of</w:t>
            </w:r>
          </w:p>
        </w:tc>
      </w:tr>
      <w:tr>
        <w:trPr>
          <w:trHeight w:val="181" w:hRule="atLeast"/>
        </w:trPr>
        <w:tc>
          <w:tcPr>
            <w:tcW w:w="3660" w:type="dxa"/>
          </w:tcPr>
          <w:p>
            <w:pPr>
              <w:pStyle w:val="TableParagraph"/>
              <w:rPr>
                <w:rFonts w:ascii="Times New Roman"/>
                <w:sz w:val="12"/>
              </w:rPr>
            </w:pPr>
          </w:p>
        </w:tc>
        <w:tc>
          <w:tcPr>
            <w:tcW w:w="1215" w:type="dxa"/>
            <w:gridSpan w:val="3"/>
            <w:tcBorders>
              <w:bottom w:val="single" w:sz="8" w:space="0" w:color="000000"/>
            </w:tcBorders>
          </w:tcPr>
          <w:p>
            <w:pPr>
              <w:pStyle w:val="TableParagraph"/>
              <w:spacing w:line="160" w:lineRule="exact" w:before="1"/>
              <w:ind w:left="100"/>
              <w:rPr>
                <w:rFonts w:ascii="Arial"/>
                <w:i/>
                <w:sz w:val="14"/>
              </w:rPr>
            </w:pPr>
            <w:r>
              <w:rPr>
                <w:rFonts w:ascii="Arial"/>
                <w:i/>
                <w:sz w:val="14"/>
              </w:rPr>
              <w:t>the</w:t>
            </w:r>
            <w:r>
              <w:rPr>
                <w:rFonts w:ascii="Arial"/>
                <w:i/>
                <w:spacing w:val="-2"/>
                <w:sz w:val="14"/>
              </w:rPr>
              <w:t> </w:t>
            </w:r>
            <w:r>
              <w:rPr>
                <w:rFonts w:ascii="Arial"/>
                <w:i/>
                <w:sz w:val="14"/>
              </w:rPr>
              <w:t>fiscal</w:t>
            </w:r>
            <w:r>
              <w:rPr>
                <w:rFonts w:ascii="Arial"/>
                <w:i/>
                <w:spacing w:val="-1"/>
                <w:sz w:val="14"/>
              </w:rPr>
              <w:t> </w:t>
            </w:r>
            <w:r>
              <w:rPr>
                <w:rFonts w:ascii="Arial"/>
                <w:i/>
                <w:spacing w:val="-4"/>
                <w:sz w:val="14"/>
              </w:rPr>
              <w:t>year</w:t>
            </w:r>
          </w:p>
        </w:tc>
        <w:tc>
          <w:tcPr>
            <w:tcW w:w="1099" w:type="dxa"/>
            <w:gridSpan w:val="3"/>
            <w:tcBorders>
              <w:bottom w:val="single" w:sz="8" w:space="0" w:color="000000"/>
            </w:tcBorders>
          </w:tcPr>
          <w:p>
            <w:pPr>
              <w:pStyle w:val="TableParagraph"/>
              <w:spacing w:line="160" w:lineRule="exact" w:before="1"/>
              <w:ind w:left="197"/>
              <w:rPr>
                <w:rFonts w:ascii="Arial"/>
                <w:i/>
                <w:sz w:val="14"/>
              </w:rPr>
            </w:pPr>
            <w:r>
              <w:rPr>
                <w:rFonts w:ascii="Arial"/>
                <w:i/>
                <w:sz w:val="14"/>
              </w:rPr>
              <w:t>in</w:t>
            </w:r>
            <w:r>
              <w:rPr>
                <w:rFonts w:ascii="Arial"/>
                <w:i/>
                <w:spacing w:val="-1"/>
                <w:sz w:val="14"/>
              </w:rPr>
              <w:t> </w:t>
            </w:r>
            <w:r>
              <w:rPr>
                <w:rFonts w:ascii="Arial"/>
                <w:i/>
                <w:spacing w:val="-4"/>
                <w:sz w:val="14"/>
              </w:rPr>
              <w:t>AOCI</w:t>
            </w:r>
          </w:p>
        </w:tc>
        <w:tc>
          <w:tcPr>
            <w:tcW w:w="1138" w:type="dxa"/>
            <w:gridSpan w:val="3"/>
          </w:tcPr>
          <w:p>
            <w:pPr>
              <w:pStyle w:val="TableParagraph"/>
              <w:spacing w:line="160" w:lineRule="exact" w:before="1"/>
              <w:ind w:left="213"/>
              <w:rPr>
                <w:rFonts w:ascii="Arial"/>
                <w:i/>
                <w:sz w:val="14"/>
              </w:rPr>
            </w:pPr>
            <w:r>
              <w:rPr>
                <w:rFonts w:ascii="Arial"/>
                <w:i/>
                <w:spacing w:val="-2"/>
                <w:sz w:val="14"/>
              </w:rPr>
              <w:t>income</w:t>
            </w:r>
          </w:p>
        </w:tc>
        <w:tc>
          <w:tcPr>
            <w:tcW w:w="1219" w:type="dxa"/>
            <w:gridSpan w:val="2"/>
            <w:tcBorders>
              <w:bottom w:val="single" w:sz="8" w:space="0" w:color="000000"/>
            </w:tcBorders>
          </w:tcPr>
          <w:p>
            <w:pPr>
              <w:pStyle w:val="TableParagraph"/>
              <w:spacing w:line="160" w:lineRule="exact" w:before="1"/>
              <w:ind w:left="365"/>
              <w:rPr>
                <w:rFonts w:ascii="Arial"/>
                <w:i/>
                <w:sz w:val="14"/>
              </w:rPr>
            </w:pPr>
            <w:r>
              <w:rPr>
                <w:rFonts w:ascii="Arial"/>
                <w:i/>
                <w:spacing w:val="-2"/>
                <w:sz w:val="14"/>
              </w:rPr>
              <w:t>period</w:t>
            </w:r>
          </w:p>
        </w:tc>
        <w:tc>
          <w:tcPr>
            <w:tcW w:w="1031" w:type="dxa"/>
            <w:tcBorders>
              <w:bottom w:val="single" w:sz="8" w:space="0" w:color="000000"/>
            </w:tcBorders>
          </w:tcPr>
          <w:p>
            <w:pPr>
              <w:pStyle w:val="TableParagraph"/>
              <w:spacing w:line="160" w:lineRule="exact" w:before="1"/>
              <w:ind w:left="-14" w:right="115"/>
              <w:jc w:val="right"/>
              <w:rPr>
                <w:rFonts w:ascii="Arial"/>
                <w:i/>
                <w:sz w:val="14"/>
              </w:rPr>
            </w:pPr>
            <w:r>
              <w:rPr>
                <w:rFonts w:ascii="Arial"/>
                <w:i/>
                <w:sz w:val="14"/>
              </w:rPr>
              <w:t>the</w:t>
            </w:r>
            <w:r>
              <w:rPr>
                <w:rFonts w:ascii="Arial"/>
                <w:i/>
                <w:spacing w:val="-2"/>
                <w:sz w:val="14"/>
              </w:rPr>
              <w:t> </w:t>
            </w:r>
            <w:r>
              <w:rPr>
                <w:rFonts w:ascii="Arial"/>
                <w:i/>
                <w:sz w:val="14"/>
              </w:rPr>
              <w:t>fiscal</w:t>
            </w:r>
            <w:r>
              <w:rPr>
                <w:rFonts w:ascii="Arial"/>
                <w:i/>
                <w:spacing w:val="-1"/>
                <w:sz w:val="14"/>
              </w:rPr>
              <w:t> </w:t>
            </w:r>
            <w:r>
              <w:rPr>
                <w:rFonts w:ascii="Arial"/>
                <w:i/>
                <w:spacing w:val="-4"/>
                <w:sz w:val="14"/>
              </w:rPr>
              <w:t>year</w:t>
            </w:r>
          </w:p>
        </w:tc>
      </w:tr>
      <w:tr>
        <w:trPr>
          <w:trHeight w:val="219" w:hRule="atLeast"/>
        </w:trPr>
        <w:tc>
          <w:tcPr>
            <w:tcW w:w="3660" w:type="dxa"/>
          </w:tcPr>
          <w:p>
            <w:pPr>
              <w:pStyle w:val="TableParagraph"/>
              <w:spacing w:before="24"/>
              <w:ind w:left="52"/>
              <w:rPr>
                <w:sz w:val="14"/>
              </w:rPr>
            </w:pPr>
            <w:r>
              <w:rPr>
                <w:spacing w:val="-2"/>
                <w:sz w:val="14"/>
              </w:rPr>
              <w:t>Cumulative</w:t>
            </w:r>
            <w:r>
              <w:rPr>
                <w:spacing w:val="9"/>
                <w:sz w:val="14"/>
              </w:rPr>
              <w:t> </w:t>
            </w:r>
            <w:r>
              <w:rPr>
                <w:spacing w:val="-2"/>
                <w:sz w:val="14"/>
              </w:rPr>
              <w:t>Translation</w:t>
            </w:r>
            <w:r>
              <w:rPr>
                <w:spacing w:val="4"/>
                <w:sz w:val="14"/>
              </w:rPr>
              <w:t> </w:t>
            </w:r>
            <w:r>
              <w:rPr>
                <w:spacing w:val="-2"/>
                <w:sz w:val="14"/>
              </w:rPr>
              <w:t>Adjustments</w:t>
            </w:r>
          </w:p>
        </w:tc>
        <w:tc>
          <w:tcPr>
            <w:tcW w:w="2314" w:type="dxa"/>
            <w:gridSpan w:val="6"/>
          </w:tcPr>
          <w:p>
            <w:pPr>
              <w:pStyle w:val="TableParagraph"/>
              <w:tabs>
                <w:tab w:pos="723" w:val="left" w:leader="none"/>
                <w:tab w:pos="1894" w:val="left" w:leader="none"/>
              </w:tabs>
              <w:spacing w:before="24"/>
              <w:ind w:left="52"/>
              <w:rPr>
                <w:sz w:val="14"/>
              </w:rPr>
            </w:pPr>
            <w:r>
              <w:rPr>
                <w:spacing w:val="-10"/>
                <w:sz w:val="14"/>
              </w:rPr>
              <w:t>$</w:t>
            </w:r>
            <w:r>
              <w:rPr>
                <w:sz w:val="14"/>
              </w:rPr>
              <w:tab/>
              <w:t>(790)</w:t>
            </w:r>
            <w:r>
              <w:rPr>
                <w:spacing w:val="64"/>
                <w:w w:val="150"/>
                <w:sz w:val="14"/>
              </w:rPr>
              <w:t> </w:t>
            </w:r>
            <w:r>
              <w:rPr>
                <w:spacing w:val="-10"/>
                <w:sz w:val="14"/>
              </w:rPr>
              <w:t>$</w:t>
            </w:r>
            <w:r>
              <w:rPr>
                <w:sz w:val="14"/>
              </w:rPr>
              <w:tab/>
            </w:r>
            <w:r>
              <w:rPr>
                <w:spacing w:val="-5"/>
                <w:sz w:val="14"/>
              </w:rPr>
              <w:t>495</w:t>
            </w:r>
          </w:p>
        </w:tc>
        <w:tc>
          <w:tcPr>
            <w:tcW w:w="1138" w:type="dxa"/>
            <w:gridSpan w:val="3"/>
            <w:tcBorders>
              <w:top w:val="single" w:sz="8" w:space="0" w:color="000000"/>
            </w:tcBorders>
          </w:tcPr>
          <w:p>
            <w:pPr>
              <w:pStyle w:val="TableParagraph"/>
              <w:tabs>
                <w:tab w:pos="739" w:val="left" w:leader="none"/>
              </w:tabs>
              <w:spacing w:before="24"/>
              <w:ind w:left="-12"/>
              <w:rPr>
                <w:sz w:val="14"/>
              </w:rPr>
            </w:pPr>
            <w:r>
              <w:rPr>
                <w:spacing w:val="-10"/>
                <w:sz w:val="14"/>
              </w:rPr>
              <w:t>$</w:t>
            </w:r>
            <w:r>
              <w:rPr>
                <w:sz w:val="14"/>
              </w:rPr>
              <w:tab/>
              <w:t>—</w:t>
            </w:r>
          </w:p>
        </w:tc>
        <w:tc>
          <w:tcPr>
            <w:tcW w:w="1219" w:type="dxa"/>
            <w:gridSpan w:val="2"/>
            <w:tcBorders>
              <w:top w:val="single" w:sz="8" w:space="0" w:color="000000"/>
            </w:tcBorders>
          </w:tcPr>
          <w:p>
            <w:pPr>
              <w:pStyle w:val="TableParagraph"/>
              <w:tabs>
                <w:tab w:pos="797" w:val="left" w:leader="none"/>
              </w:tabs>
              <w:spacing w:before="24"/>
              <w:ind w:left="80"/>
              <w:rPr>
                <w:sz w:val="14"/>
              </w:rPr>
            </w:pPr>
            <w:r>
              <w:rPr>
                <w:spacing w:val="-10"/>
                <w:sz w:val="14"/>
              </w:rPr>
              <w:t>$</w:t>
            </w:r>
            <w:r>
              <w:rPr>
                <w:sz w:val="14"/>
              </w:rPr>
              <w:tab/>
            </w:r>
            <w:r>
              <w:rPr>
                <w:spacing w:val="-5"/>
                <w:sz w:val="14"/>
              </w:rPr>
              <w:t>495</w:t>
            </w:r>
          </w:p>
        </w:tc>
        <w:tc>
          <w:tcPr>
            <w:tcW w:w="1031" w:type="dxa"/>
            <w:tcBorders>
              <w:top w:val="single" w:sz="8" w:space="0" w:color="000000"/>
            </w:tcBorders>
          </w:tcPr>
          <w:p>
            <w:pPr>
              <w:pStyle w:val="TableParagraph"/>
              <w:tabs>
                <w:tab w:pos="687" w:val="left" w:leader="none"/>
              </w:tabs>
              <w:spacing w:before="24"/>
              <w:ind w:left="-14" w:right="14"/>
              <w:jc w:val="right"/>
              <w:rPr>
                <w:sz w:val="14"/>
              </w:rPr>
            </w:pPr>
            <w:r>
              <w:rPr>
                <w:spacing w:val="-10"/>
                <w:sz w:val="14"/>
              </w:rPr>
              <w:t>$</w:t>
            </w:r>
            <w:r>
              <w:rPr>
                <w:sz w:val="14"/>
              </w:rPr>
              <w:tab/>
            </w:r>
            <w:r>
              <w:rPr>
                <w:spacing w:val="-2"/>
                <w:sz w:val="14"/>
              </w:rPr>
              <w:t>(295)</w:t>
            </w:r>
          </w:p>
        </w:tc>
      </w:tr>
      <w:tr>
        <w:trPr>
          <w:trHeight w:val="231" w:hRule="atLeast"/>
        </w:trPr>
        <w:tc>
          <w:tcPr>
            <w:tcW w:w="3660" w:type="dxa"/>
          </w:tcPr>
          <w:p>
            <w:pPr>
              <w:pStyle w:val="TableParagraph"/>
              <w:spacing w:before="29"/>
              <w:ind w:left="52"/>
              <w:rPr>
                <w:sz w:val="14"/>
              </w:rPr>
            </w:pPr>
            <w:r>
              <w:rPr>
                <w:sz w:val="14"/>
              </w:rPr>
              <w:t>DVA</w:t>
            </w:r>
            <w:r>
              <w:rPr>
                <w:spacing w:val="-10"/>
                <w:sz w:val="14"/>
              </w:rPr>
              <w:t> </w:t>
            </w:r>
            <w:r>
              <w:rPr>
                <w:sz w:val="14"/>
              </w:rPr>
              <w:t>on</w:t>
            </w:r>
            <w:r>
              <w:rPr>
                <w:spacing w:val="-10"/>
                <w:sz w:val="14"/>
              </w:rPr>
              <w:t> </w:t>
            </w:r>
            <w:r>
              <w:rPr>
                <w:sz w:val="14"/>
              </w:rPr>
              <w:t>Fair</w:t>
            </w:r>
            <w:r>
              <w:rPr>
                <w:spacing w:val="-6"/>
                <w:sz w:val="14"/>
              </w:rPr>
              <w:t> </w:t>
            </w:r>
            <w:r>
              <w:rPr>
                <w:sz w:val="14"/>
              </w:rPr>
              <w:t>Value</w:t>
            </w:r>
            <w:r>
              <w:rPr>
                <w:spacing w:val="-6"/>
                <w:sz w:val="14"/>
              </w:rPr>
              <w:t> </w:t>
            </w:r>
            <w:r>
              <w:rPr>
                <w:sz w:val="14"/>
              </w:rPr>
              <w:t>Option</w:t>
            </w:r>
            <w:r>
              <w:rPr>
                <w:spacing w:val="-6"/>
                <w:sz w:val="14"/>
              </w:rPr>
              <w:t> </w:t>
            </w:r>
            <w:r>
              <w:rPr>
                <w:sz w:val="14"/>
              </w:rPr>
              <w:t>elected</w:t>
            </w:r>
            <w:r>
              <w:rPr>
                <w:spacing w:val="-6"/>
                <w:sz w:val="14"/>
              </w:rPr>
              <w:t> </w:t>
            </w:r>
            <w:r>
              <w:rPr>
                <w:spacing w:val="-2"/>
                <w:sz w:val="14"/>
              </w:rPr>
              <w:t>liabilities</w:t>
            </w:r>
          </w:p>
        </w:tc>
        <w:tc>
          <w:tcPr>
            <w:tcW w:w="1215" w:type="dxa"/>
            <w:gridSpan w:val="3"/>
          </w:tcPr>
          <w:p>
            <w:pPr>
              <w:pStyle w:val="TableParagraph"/>
              <w:spacing w:before="29"/>
              <w:ind w:left="769"/>
              <w:rPr>
                <w:sz w:val="14"/>
              </w:rPr>
            </w:pPr>
            <w:r>
              <w:rPr>
                <w:spacing w:val="-5"/>
                <w:sz w:val="14"/>
              </w:rPr>
              <w:t>364</w:t>
            </w:r>
          </w:p>
        </w:tc>
        <w:tc>
          <w:tcPr>
            <w:tcW w:w="1099" w:type="dxa"/>
            <w:gridSpan w:val="3"/>
          </w:tcPr>
          <w:p>
            <w:pPr>
              <w:pStyle w:val="TableParagraph"/>
              <w:spacing w:before="29"/>
              <w:ind w:left="711"/>
              <w:rPr>
                <w:sz w:val="14"/>
              </w:rPr>
            </w:pPr>
            <w:r>
              <w:rPr>
                <w:spacing w:val="-4"/>
                <w:sz w:val="14"/>
              </w:rPr>
              <w:t>(60)</w:t>
            </w:r>
          </w:p>
        </w:tc>
        <w:tc>
          <w:tcPr>
            <w:tcW w:w="1138" w:type="dxa"/>
            <w:gridSpan w:val="3"/>
          </w:tcPr>
          <w:p>
            <w:pPr>
              <w:pStyle w:val="TableParagraph"/>
              <w:spacing w:before="29"/>
              <w:ind w:left="723"/>
              <w:rPr>
                <w:sz w:val="14"/>
              </w:rPr>
            </w:pPr>
            <w:r>
              <w:rPr>
                <w:spacing w:val="-5"/>
                <w:sz w:val="14"/>
              </w:rPr>
              <w:t>47</w:t>
            </w:r>
          </w:p>
        </w:tc>
        <w:tc>
          <w:tcPr>
            <w:tcW w:w="1219" w:type="dxa"/>
            <w:gridSpan w:val="2"/>
          </w:tcPr>
          <w:p>
            <w:pPr>
              <w:pStyle w:val="TableParagraph"/>
              <w:spacing w:before="29"/>
              <w:ind w:right="138"/>
              <w:jc w:val="right"/>
              <w:rPr>
                <w:sz w:val="14"/>
              </w:rPr>
            </w:pPr>
            <w:r>
              <w:rPr>
                <w:spacing w:val="-4"/>
                <w:sz w:val="14"/>
              </w:rPr>
              <w:t>(13)</w:t>
            </w:r>
          </w:p>
        </w:tc>
        <w:tc>
          <w:tcPr>
            <w:tcW w:w="1031" w:type="dxa"/>
          </w:tcPr>
          <w:p>
            <w:pPr>
              <w:pStyle w:val="TableParagraph"/>
              <w:spacing w:before="29"/>
              <w:ind w:left="-14" w:right="61"/>
              <w:jc w:val="right"/>
              <w:rPr>
                <w:sz w:val="14"/>
              </w:rPr>
            </w:pPr>
            <w:r>
              <w:rPr>
                <w:spacing w:val="-5"/>
                <w:sz w:val="14"/>
              </w:rPr>
              <w:t>351</w:t>
            </w:r>
          </w:p>
        </w:tc>
      </w:tr>
      <w:tr>
        <w:trPr>
          <w:trHeight w:val="364" w:hRule="atLeast"/>
        </w:trPr>
        <w:tc>
          <w:tcPr>
            <w:tcW w:w="3660" w:type="dxa"/>
          </w:tcPr>
          <w:p>
            <w:pPr>
              <w:pStyle w:val="TableParagraph"/>
              <w:spacing w:line="160" w:lineRule="atLeast" w:before="22"/>
              <w:ind w:left="232" w:right="361" w:hanging="180"/>
              <w:rPr>
                <w:sz w:val="14"/>
              </w:rPr>
            </w:pPr>
            <w:r>
              <w:rPr>
                <w:sz w:val="14"/>
              </w:rPr>
              <w:t>Unrecognized</w:t>
            </w:r>
            <w:r>
              <w:rPr>
                <w:spacing w:val="-10"/>
                <w:sz w:val="14"/>
              </w:rPr>
              <w:t> </w:t>
            </w:r>
            <w:r>
              <w:rPr>
                <w:sz w:val="14"/>
              </w:rPr>
              <w:t>Net</w:t>
            </w:r>
            <w:r>
              <w:rPr>
                <w:spacing w:val="-10"/>
                <w:sz w:val="14"/>
              </w:rPr>
              <w:t> </w:t>
            </w:r>
            <w:r>
              <w:rPr>
                <w:sz w:val="14"/>
              </w:rPr>
              <w:t>Actuarial</w:t>
            </w:r>
            <w:r>
              <w:rPr>
                <w:spacing w:val="-10"/>
                <w:sz w:val="14"/>
              </w:rPr>
              <w:t> </w:t>
            </w:r>
            <w:r>
              <w:rPr>
                <w:sz w:val="14"/>
              </w:rPr>
              <w:t>Gains</w:t>
            </w:r>
            <w:r>
              <w:rPr>
                <w:spacing w:val="-8"/>
                <w:sz w:val="14"/>
              </w:rPr>
              <w:t> </w:t>
            </w:r>
            <w:r>
              <w:rPr>
                <w:sz w:val="14"/>
              </w:rPr>
              <w:t>(Losses)</w:t>
            </w:r>
            <w:r>
              <w:rPr>
                <w:spacing w:val="-8"/>
                <w:sz w:val="14"/>
              </w:rPr>
              <w:t> </w:t>
            </w:r>
            <w:r>
              <w:rPr>
                <w:sz w:val="14"/>
              </w:rPr>
              <w:t>on</w:t>
            </w:r>
            <w:r>
              <w:rPr>
                <w:spacing w:val="40"/>
                <w:sz w:val="14"/>
              </w:rPr>
              <w:t> </w:t>
            </w:r>
            <w:r>
              <w:rPr>
                <w:sz w:val="14"/>
              </w:rPr>
              <w:t>Benefit</w:t>
            </w:r>
            <w:r>
              <w:rPr>
                <w:spacing w:val="-2"/>
                <w:sz w:val="14"/>
              </w:rPr>
              <w:t> </w:t>
            </w:r>
            <w:r>
              <w:rPr>
                <w:sz w:val="14"/>
              </w:rPr>
              <w:t>Plans</w:t>
            </w:r>
          </w:p>
        </w:tc>
        <w:tc>
          <w:tcPr>
            <w:tcW w:w="1215" w:type="dxa"/>
            <w:gridSpan w:val="3"/>
          </w:tcPr>
          <w:p>
            <w:pPr>
              <w:pStyle w:val="TableParagraph"/>
              <w:spacing w:before="42"/>
              <w:rPr>
                <w:rFonts w:ascii="Arial"/>
                <w:i/>
                <w:sz w:val="14"/>
              </w:rPr>
            </w:pPr>
          </w:p>
          <w:p>
            <w:pPr>
              <w:pStyle w:val="TableParagraph"/>
              <w:spacing w:line="141" w:lineRule="exact"/>
              <w:ind w:left="653"/>
              <w:rPr>
                <w:sz w:val="14"/>
              </w:rPr>
            </w:pPr>
            <w:r>
              <w:rPr>
                <w:spacing w:val="-2"/>
                <w:sz w:val="14"/>
              </w:rPr>
              <w:t>1,387</w:t>
            </w:r>
          </w:p>
        </w:tc>
        <w:tc>
          <w:tcPr>
            <w:tcW w:w="1099" w:type="dxa"/>
            <w:gridSpan w:val="3"/>
          </w:tcPr>
          <w:p>
            <w:pPr>
              <w:pStyle w:val="TableParagraph"/>
              <w:spacing w:before="42"/>
              <w:rPr>
                <w:rFonts w:ascii="Arial"/>
                <w:i/>
                <w:sz w:val="14"/>
              </w:rPr>
            </w:pPr>
          </w:p>
          <w:p>
            <w:pPr>
              <w:pStyle w:val="TableParagraph"/>
              <w:spacing w:line="141" w:lineRule="exact"/>
              <w:ind w:left="563"/>
              <w:rPr>
                <w:sz w:val="14"/>
              </w:rPr>
            </w:pPr>
            <w:r>
              <w:rPr>
                <w:spacing w:val="-2"/>
                <w:sz w:val="14"/>
              </w:rPr>
              <w:t>2,131</w:t>
            </w:r>
          </w:p>
        </w:tc>
        <w:tc>
          <w:tcPr>
            <w:tcW w:w="1138" w:type="dxa"/>
            <w:gridSpan w:val="3"/>
          </w:tcPr>
          <w:p>
            <w:pPr>
              <w:pStyle w:val="TableParagraph"/>
              <w:spacing w:before="42"/>
              <w:rPr>
                <w:rFonts w:ascii="Arial"/>
                <w:i/>
                <w:sz w:val="14"/>
              </w:rPr>
            </w:pPr>
          </w:p>
          <w:p>
            <w:pPr>
              <w:pStyle w:val="TableParagraph"/>
              <w:spacing w:line="141" w:lineRule="exact"/>
              <w:ind w:left="677"/>
              <w:rPr>
                <w:sz w:val="14"/>
              </w:rPr>
            </w:pPr>
            <w:r>
              <w:rPr>
                <w:sz w:val="14"/>
              </w:rPr>
              <w:t>(28)</w:t>
            </w:r>
            <w:r>
              <w:rPr>
                <w:spacing w:val="34"/>
                <w:sz w:val="14"/>
              </w:rPr>
              <w:t> </w:t>
            </w:r>
            <w:r>
              <w:rPr>
                <w:spacing w:val="-10"/>
                <w:sz w:val="14"/>
                <w:vertAlign w:val="superscript"/>
              </w:rPr>
              <w:t>a</w:t>
            </w:r>
          </w:p>
        </w:tc>
        <w:tc>
          <w:tcPr>
            <w:tcW w:w="1219" w:type="dxa"/>
            <w:gridSpan w:val="2"/>
          </w:tcPr>
          <w:p>
            <w:pPr>
              <w:pStyle w:val="TableParagraph"/>
              <w:spacing w:before="42"/>
              <w:rPr>
                <w:rFonts w:ascii="Arial"/>
                <w:i/>
                <w:sz w:val="14"/>
              </w:rPr>
            </w:pPr>
          </w:p>
          <w:p>
            <w:pPr>
              <w:pStyle w:val="TableParagraph"/>
              <w:spacing w:line="141" w:lineRule="exact"/>
              <w:ind w:left="681"/>
              <w:rPr>
                <w:sz w:val="14"/>
              </w:rPr>
            </w:pPr>
            <w:r>
              <w:rPr>
                <w:spacing w:val="-2"/>
                <w:sz w:val="14"/>
              </w:rPr>
              <w:t>2,103</w:t>
            </w:r>
          </w:p>
        </w:tc>
        <w:tc>
          <w:tcPr>
            <w:tcW w:w="1031" w:type="dxa"/>
          </w:tcPr>
          <w:p>
            <w:pPr>
              <w:pStyle w:val="TableParagraph"/>
              <w:spacing w:before="42"/>
              <w:rPr>
                <w:rFonts w:ascii="Arial"/>
                <w:i/>
                <w:sz w:val="14"/>
              </w:rPr>
            </w:pPr>
          </w:p>
          <w:p>
            <w:pPr>
              <w:pStyle w:val="TableParagraph"/>
              <w:spacing w:line="141" w:lineRule="exact"/>
              <w:ind w:left="-14" w:right="61"/>
              <w:jc w:val="right"/>
              <w:rPr>
                <w:sz w:val="14"/>
              </w:rPr>
            </w:pPr>
            <w:r>
              <w:rPr>
                <w:spacing w:val="-2"/>
                <w:sz w:val="14"/>
              </w:rPr>
              <w:t>3,490</w:t>
            </w:r>
          </w:p>
        </w:tc>
      </w:tr>
      <w:tr>
        <w:trPr>
          <w:trHeight w:val="424" w:hRule="atLeast"/>
        </w:trPr>
        <w:tc>
          <w:tcPr>
            <w:tcW w:w="3660" w:type="dxa"/>
          </w:tcPr>
          <w:p>
            <w:pPr>
              <w:pStyle w:val="TableParagraph"/>
              <w:spacing w:line="160" w:lineRule="atLeast" w:before="76"/>
              <w:ind w:left="232" w:right="361" w:hanging="180"/>
              <w:rPr>
                <w:sz w:val="14"/>
              </w:rPr>
            </w:pPr>
            <w:r>
              <w:rPr>
                <w:sz w:val="14"/>
              </w:rPr>
              <w:t>Unrecognized</w:t>
            </w:r>
            <w:r>
              <w:rPr>
                <w:spacing w:val="-8"/>
                <w:sz w:val="14"/>
              </w:rPr>
              <w:t> </w:t>
            </w:r>
            <w:r>
              <w:rPr>
                <w:sz w:val="14"/>
              </w:rPr>
              <w:t>Prior</w:t>
            </w:r>
            <w:r>
              <w:rPr>
                <w:spacing w:val="-8"/>
                <w:sz w:val="14"/>
              </w:rPr>
              <w:t> </w:t>
            </w:r>
            <w:r>
              <w:rPr>
                <w:sz w:val="14"/>
              </w:rPr>
              <w:t>Service</w:t>
            </w:r>
            <w:r>
              <w:rPr>
                <w:spacing w:val="-8"/>
                <w:sz w:val="14"/>
              </w:rPr>
              <w:t> </w:t>
            </w:r>
            <w:r>
              <w:rPr>
                <w:sz w:val="14"/>
              </w:rPr>
              <w:t>(Costs)</w:t>
            </w:r>
            <w:r>
              <w:rPr>
                <w:spacing w:val="-8"/>
                <w:sz w:val="14"/>
              </w:rPr>
              <w:t> </w:t>
            </w:r>
            <w:r>
              <w:rPr>
                <w:sz w:val="14"/>
              </w:rPr>
              <w:t>Credits</w:t>
            </w:r>
            <w:r>
              <w:rPr>
                <w:spacing w:val="-8"/>
                <w:sz w:val="14"/>
              </w:rPr>
              <w:t> </w:t>
            </w:r>
            <w:r>
              <w:rPr>
                <w:sz w:val="14"/>
              </w:rPr>
              <w:t>on</w:t>
            </w:r>
            <w:r>
              <w:rPr>
                <w:spacing w:val="40"/>
                <w:sz w:val="14"/>
              </w:rPr>
              <w:t> </w:t>
            </w:r>
            <w:r>
              <w:rPr>
                <w:sz w:val="14"/>
              </w:rPr>
              <w:t>Benefit</w:t>
            </w:r>
            <w:r>
              <w:rPr>
                <w:spacing w:val="-2"/>
                <w:sz w:val="14"/>
              </w:rPr>
              <w:t> </w:t>
            </w:r>
            <w:r>
              <w:rPr>
                <w:sz w:val="14"/>
              </w:rPr>
              <w:t>Plans</w:t>
            </w:r>
          </w:p>
        </w:tc>
        <w:tc>
          <w:tcPr>
            <w:tcW w:w="180" w:type="dxa"/>
            <w:tcBorders>
              <w:bottom w:val="single" w:sz="8" w:space="0" w:color="000000"/>
            </w:tcBorders>
          </w:tcPr>
          <w:p>
            <w:pPr>
              <w:pStyle w:val="TableParagraph"/>
              <w:rPr>
                <w:rFonts w:ascii="Times New Roman"/>
                <w:sz w:val="16"/>
              </w:rPr>
            </w:pPr>
          </w:p>
        </w:tc>
        <w:tc>
          <w:tcPr>
            <w:tcW w:w="1035" w:type="dxa"/>
            <w:gridSpan w:val="2"/>
            <w:tcBorders>
              <w:bottom w:val="single" w:sz="8" w:space="0" w:color="000000"/>
            </w:tcBorders>
          </w:tcPr>
          <w:p>
            <w:pPr>
              <w:pStyle w:val="TableParagraph"/>
              <w:spacing w:before="83"/>
              <w:rPr>
                <w:rFonts w:ascii="Arial"/>
                <w:i/>
                <w:sz w:val="14"/>
              </w:rPr>
            </w:pPr>
          </w:p>
          <w:p>
            <w:pPr>
              <w:pStyle w:val="TableParagraph"/>
              <w:spacing w:line="161" w:lineRule="exact"/>
              <w:ind w:left="621"/>
              <w:rPr>
                <w:sz w:val="14"/>
              </w:rPr>
            </w:pPr>
            <w:r>
              <w:rPr>
                <w:spacing w:val="-4"/>
                <w:sz w:val="14"/>
              </w:rPr>
              <w:t>(43)</w:t>
            </w:r>
          </w:p>
        </w:tc>
        <w:tc>
          <w:tcPr>
            <w:tcW w:w="83" w:type="dxa"/>
            <w:tcBorders>
              <w:bottom w:val="single" w:sz="8" w:space="0" w:color="000000"/>
            </w:tcBorders>
          </w:tcPr>
          <w:p>
            <w:pPr>
              <w:pStyle w:val="TableParagraph"/>
              <w:rPr>
                <w:rFonts w:ascii="Times New Roman"/>
                <w:sz w:val="16"/>
              </w:rPr>
            </w:pPr>
          </w:p>
        </w:tc>
        <w:tc>
          <w:tcPr>
            <w:tcW w:w="1016" w:type="dxa"/>
            <w:gridSpan w:val="2"/>
            <w:tcBorders>
              <w:bottom w:val="single" w:sz="8" w:space="0" w:color="000000"/>
            </w:tcBorders>
          </w:tcPr>
          <w:p>
            <w:pPr>
              <w:pStyle w:val="TableParagraph"/>
              <w:spacing w:before="83"/>
              <w:rPr>
                <w:rFonts w:ascii="Arial"/>
                <w:i/>
                <w:sz w:val="14"/>
              </w:rPr>
            </w:pPr>
          </w:p>
          <w:p>
            <w:pPr>
              <w:pStyle w:val="TableParagraph"/>
              <w:spacing w:line="161" w:lineRule="exact"/>
              <w:ind w:right="183"/>
              <w:jc w:val="right"/>
              <w:rPr>
                <w:sz w:val="14"/>
              </w:rPr>
            </w:pPr>
            <w:r>
              <w:rPr>
                <w:sz w:val="14"/>
              </w:rPr>
              <w:t>—</w:t>
            </w:r>
          </w:p>
        </w:tc>
        <w:tc>
          <w:tcPr>
            <w:tcW w:w="103" w:type="dxa"/>
            <w:tcBorders>
              <w:bottom w:val="single" w:sz="8" w:space="0" w:color="000000"/>
            </w:tcBorders>
          </w:tcPr>
          <w:p>
            <w:pPr>
              <w:pStyle w:val="TableParagraph"/>
              <w:rPr>
                <w:rFonts w:ascii="Times New Roman"/>
                <w:sz w:val="16"/>
              </w:rPr>
            </w:pPr>
          </w:p>
        </w:tc>
        <w:tc>
          <w:tcPr>
            <w:tcW w:w="840" w:type="dxa"/>
            <w:tcBorders>
              <w:bottom w:val="single" w:sz="8" w:space="0" w:color="000000"/>
            </w:tcBorders>
          </w:tcPr>
          <w:p>
            <w:pPr>
              <w:pStyle w:val="TableParagraph"/>
              <w:spacing w:before="83"/>
              <w:rPr>
                <w:rFonts w:ascii="Arial"/>
                <w:i/>
                <w:sz w:val="14"/>
              </w:rPr>
            </w:pPr>
          </w:p>
          <w:p>
            <w:pPr>
              <w:pStyle w:val="TableParagraph"/>
              <w:spacing w:line="161" w:lineRule="exact"/>
              <w:ind w:right="61"/>
              <w:jc w:val="right"/>
              <w:rPr>
                <w:sz w:val="14"/>
              </w:rPr>
            </w:pPr>
            <w:r>
              <w:rPr>
                <w:spacing w:val="-5"/>
                <w:sz w:val="14"/>
              </w:rPr>
              <w:t>20</w:t>
            </w:r>
          </w:p>
        </w:tc>
        <w:tc>
          <w:tcPr>
            <w:tcW w:w="195" w:type="dxa"/>
          </w:tcPr>
          <w:p>
            <w:pPr>
              <w:pStyle w:val="TableParagraph"/>
              <w:rPr>
                <w:rFonts w:ascii="Arial"/>
                <w:i/>
                <w:sz w:val="9"/>
              </w:rPr>
            </w:pPr>
          </w:p>
          <w:p>
            <w:pPr>
              <w:pStyle w:val="TableParagraph"/>
              <w:spacing w:before="20"/>
              <w:rPr>
                <w:rFonts w:ascii="Arial"/>
                <w:i/>
                <w:sz w:val="9"/>
              </w:rPr>
            </w:pPr>
          </w:p>
          <w:p>
            <w:pPr>
              <w:pStyle w:val="TableParagraph"/>
              <w:ind w:right="22"/>
              <w:jc w:val="center"/>
              <w:rPr>
                <w:sz w:val="9"/>
              </w:rPr>
            </w:pPr>
            <w:r>
              <w:rPr>
                <w:spacing w:val="-10"/>
                <w:sz w:val="9"/>
              </w:rPr>
              <w:t>a</w:t>
            </w:r>
          </w:p>
        </w:tc>
        <w:tc>
          <w:tcPr>
            <w:tcW w:w="2250" w:type="dxa"/>
            <w:gridSpan w:val="3"/>
            <w:tcBorders>
              <w:bottom w:val="single" w:sz="8" w:space="0" w:color="000000"/>
            </w:tcBorders>
          </w:tcPr>
          <w:p>
            <w:pPr>
              <w:pStyle w:val="TableParagraph"/>
              <w:spacing w:before="83"/>
              <w:rPr>
                <w:rFonts w:ascii="Arial"/>
                <w:i/>
                <w:sz w:val="14"/>
              </w:rPr>
            </w:pPr>
          </w:p>
          <w:p>
            <w:pPr>
              <w:pStyle w:val="TableParagraph"/>
              <w:tabs>
                <w:tab w:pos="1984" w:val="left" w:leader="none"/>
              </w:tabs>
              <w:spacing w:line="161" w:lineRule="exact"/>
              <w:ind w:left="875"/>
              <w:rPr>
                <w:sz w:val="14"/>
              </w:rPr>
            </w:pPr>
            <w:r>
              <w:rPr>
                <w:spacing w:val="-5"/>
                <w:sz w:val="14"/>
              </w:rPr>
              <w:t>20</w:t>
            </w:r>
            <w:r>
              <w:rPr>
                <w:sz w:val="14"/>
              </w:rPr>
              <w:tab/>
            </w:r>
            <w:r>
              <w:rPr>
                <w:spacing w:val="-4"/>
                <w:sz w:val="14"/>
              </w:rPr>
              <w:t>(23)</w:t>
            </w:r>
          </w:p>
        </w:tc>
      </w:tr>
      <w:tr>
        <w:trPr>
          <w:trHeight w:val="195" w:hRule="atLeast"/>
        </w:trPr>
        <w:tc>
          <w:tcPr>
            <w:tcW w:w="3660" w:type="dxa"/>
          </w:tcPr>
          <w:p>
            <w:pPr>
              <w:pStyle w:val="TableParagraph"/>
              <w:spacing w:line="151" w:lineRule="exact" w:before="24"/>
              <w:ind w:left="52"/>
              <w:rPr>
                <w:sz w:val="14"/>
              </w:rPr>
            </w:pPr>
            <w:r>
              <w:rPr>
                <w:spacing w:val="-5"/>
                <w:sz w:val="14"/>
              </w:rPr>
              <w:t>Total</w:t>
            </w:r>
            <w:r>
              <w:rPr>
                <w:spacing w:val="-1"/>
                <w:sz w:val="14"/>
              </w:rPr>
              <w:t> </w:t>
            </w:r>
            <w:r>
              <w:rPr>
                <w:spacing w:val="-4"/>
                <w:sz w:val="14"/>
              </w:rPr>
              <w:t>AOCI</w:t>
            </w:r>
          </w:p>
        </w:tc>
        <w:tc>
          <w:tcPr>
            <w:tcW w:w="180" w:type="dxa"/>
            <w:tcBorders>
              <w:top w:val="single" w:sz="8" w:space="0" w:color="000000"/>
              <w:bottom w:val="double" w:sz="8" w:space="0" w:color="000000"/>
            </w:tcBorders>
          </w:tcPr>
          <w:p>
            <w:pPr>
              <w:pStyle w:val="TableParagraph"/>
              <w:spacing w:line="141" w:lineRule="exact" w:before="24"/>
              <w:ind w:left="52"/>
              <w:rPr>
                <w:sz w:val="14"/>
              </w:rPr>
            </w:pPr>
            <w:r>
              <w:rPr>
                <w:spacing w:val="-10"/>
                <w:sz w:val="14"/>
              </w:rPr>
              <w:t>$</w:t>
            </w:r>
          </w:p>
        </w:tc>
        <w:tc>
          <w:tcPr>
            <w:tcW w:w="1118" w:type="dxa"/>
            <w:gridSpan w:val="3"/>
            <w:tcBorders>
              <w:top w:val="single" w:sz="8" w:space="0" w:color="000000"/>
              <w:bottom w:val="double" w:sz="8" w:space="0" w:color="000000"/>
            </w:tcBorders>
          </w:tcPr>
          <w:p>
            <w:pPr>
              <w:pStyle w:val="TableParagraph"/>
              <w:spacing w:line="141" w:lineRule="exact" w:before="24"/>
              <w:ind w:left="589"/>
              <w:rPr>
                <w:sz w:val="14"/>
              </w:rPr>
            </w:pPr>
            <w:r>
              <w:rPr>
                <w:sz w:val="14"/>
              </w:rPr>
              <w:t>918</w:t>
            </w:r>
            <w:r>
              <w:rPr>
                <w:spacing w:val="46"/>
                <w:sz w:val="14"/>
              </w:rPr>
              <w:t>  </w:t>
            </w:r>
            <w:r>
              <w:rPr>
                <w:spacing w:val="-10"/>
                <w:sz w:val="14"/>
              </w:rPr>
              <w:t>$</w:t>
            </w:r>
          </w:p>
        </w:tc>
        <w:tc>
          <w:tcPr>
            <w:tcW w:w="1016" w:type="dxa"/>
            <w:gridSpan w:val="2"/>
            <w:tcBorders>
              <w:top w:val="single" w:sz="8" w:space="0" w:color="000000"/>
              <w:bottom w:val="double" w:sz="8" w:space="0" w:color="000000"/>
            </w:tcBorders>
          </w:tcPr>
          <w:p>
            <w:pPr>
              <w:pStyle w:val="TableParagraph"/>
              <w:spacing w:line="141" w:lineRule="exact" w:before="24"/>
              <w:ind w:left="480"/>
              <w:rPr>
                <w:sz w:val="14"/>
              </w:rPr>
            </w:pPr>
            <w:r>
              <w:rPr>
                <w:spacing w:val="-2"/>
                <w:sz w:val="14"/>
              </w:rPr>
              <w:t>2,566</w:t>
            </w:r>
          </w:p>
        </w:tc>
        <w:tc>
          <w:tcPr>
            <w:tcW w:w="103" w:type="dxa"/>
            <w:tcBorders>
              <w:top w:val="single" w:sz="8" w:space="0" w:color="000000"/>
              <w:bottom w:val="double" w:sz="8" w:space="0" w:color="000000"/>
            </w:tcBorders>
          </w:tcPr>
          <w:p>
            <w:pPr>
              <w:pStyle w:val="TableParagraph"/>
              <w:spacing w:line="141" w:lineRule="exact" w:before="24"/>
              <w:ind w:left="-12"/>
              <w:rPr>
                <w:sz w:val="14"/>
              </w:rPr>
            </w:pPr>
            <w:r>
              <w:rPr>
                <w:spacing w:val="-10"/>
                <w:sz w:val="14"/>
              </w:rPr>
              <w:t>$</w:t>
            </w:r>
          </w:p>
        </w:tc>
        <w:tc>
          <w:tcPr>
            <w:tcW w:w="840" w:type="dxa"/>
            <w:tcBorders>
              <w:top w:val="single" w:sz="8" w:space="0" w:color="000000"/>
              <w:bottom w:val="double" w:sz="8" w:space="0" w:color="000000"/>
            </w:tcBorders>
          </w:tcPr>
          <w:p>
            <w:pPr>
              <w:pStyle w:val="TableParagraph"/>
              <w:spacing w:line="141" w:lineRule="exact" w:before="24"/>
              <w:ind w:right="61"/>
              <w:jc w:val="right"/>
              <w:rPr>
                <w:sz w:val="14"/>
              </w:rPr>
            </w:pPr>
            <w:r>
              <w:rPr>
                <w:spacing w:val="-5"/>
                <w:sz w:val="14"/>
              </w:rPr>
              <w:t>39</w:t>
            </w:r>
          </w:p>
        </w:tc>
        <w:tc>
          <w:tcPr>
            <w:tcW w:w="195" w:type="dxa"/>
          </w:tcPr>
          <w:p>
            <w:pPr>
              <w:pStyle w:val="TableParagraph"/>
              <w:rPr>
                <w:rFonts w:ascii="Times New Roman"/>
                <w:sz w:val="12"/>
              </w:rPr>
            </w:pPr>
          </w:p>
        </w:tc>
        <w:tc>
          <w:tcPr>
            <w:tcW w:w="2250" w:type="dxa"/>
            <w:gridSpan w:val="3"/>
            <w:tcBorders>
              <w:top w:val="single" w:sz="8" w:space="0" w:color="000000"/>
              <w:bottom w:val="single" w:sz="8" w:space="0" w:color="000000"/>
            </w:tcBorders>
          </w:tcPr>
          <w:p>
            <w:pPr>
              <w:pStyle w:val="TableParagraph"/>
              <w:tabs>
                <w:tab w:pos="681" w:val="left" w:leader="none"/>
                <w:tab w:pos="1836" w:val="left" w:leader="none"/>
              </w:tabs>
              <w:spacing w:line="161" w:lineRule="exact" w:before="24"/>
              <w:ind w:left="28"/>
              <w:rPr>
                <w:sz w:val="14"/>
              </w:rPr>
            </w:pPr>
            <w:r>
              <w:rPr>
                <w:spacing w:val="16"/>
                <w:sz w:val="14"/>
                <w:u w:val="single"/>
              </w:rPr>
              <w:t> </w:t>
            </w:r>
            <w:r>
              <w:rPr>
                <w:spacing w:val="-10"/>
                <w:sz w:val="14"/>
                <w:u w:val="single"/>
              </w:rPr>
              <w:t>$</w:t>
            </w:r>
            <w:r>
              <w:rPr>
                <w:sz w:val="14"/>
                <w:u w:val="single"/>
              </w:rPr>
              <w:tab/>
              <w:t>2,605</w:t>
            </w:r>
            <w:r>
              <w:rPr>
                <w:spacing w:val="46"/>
                <w:sz w:val="14"/>
                <w:u w:val="single"/>
              </w:rPr>
              <w:t>  </w:t>
            </w:r>
            <w:r>
              <w:rPr>
                <w:spacing w:val="-10"/>
                <w:sz w:val="14"/>
                <w:u w:val="single"/>
              </w:rPr>
              <w:t>$</w:t>
            </w:r>
            <w:r>
              <w:rPr>
                <w:sz w:val="14"/>
                <w:u w:val="single"/>
              </w:rPr>
              <w:tab/>
            </w:r>
            <w:r>
              <w:rPr>
                <w:spacing w:val="-4"/>
                <w:sz w:val="14"/>
                <w:u w:val="single"/>
              </w:rPr>
              <w:t>3,523</w:t>
            </w:r>
          </w:p>
        </w:tc>
      </w:tr>
      <w:tr>
        <w:trPr>
          <w:trHeight w:val="175" w:hRule="atLeast"/>
        </w:trPr>
        <w:tc>
          <w:tcPr>
            <w:tcW w:w="3660" w:type="dxa"/>
            <w:tcBorders>
              <w:bottom w:val="single" w:sz="8" w:space="0" w:color="000000"/>
            </w:tcBorders>
          </w:tcPr>
          <w:p>
            <w:pPr>
              <w:pStyle w:val="TableParagraph"/>
              <w:rPr>
                <w:rFonts w:ascii="Times New Roman"/>
                <w:sz w:val="10"/>
              </w:rPr>
            </w:pPr>
          </w:p>
        </w:tc>
        <w:tc>
          <w:tcPr>
            <w:tcW w:w="180" w:type="dxa"/>
            <w:tcBorders>
              <w:top w:val="double" w:sz="8" w:space="0" w:color="000000"/>
              <w:bottom w:val="single" w:sz="8" w:space="0" w:color="000000"/>
            </w:tcBorders>
          </w:tcPr>
          <w:p>
            <w:pPr>
              <w:pStyle w:val="TableParagraph"/>
              <w:rPr>
                <w:rFonts w:ascii="Times New Roman"/>
                <w:sz w:val="12"/>
              </w:rPr>
            </w:pPr>
          </w:p>
        </w:tc>
        <w:tc>
          <w:tcPr>
            <w:tcW w:w="1035" w:type="dxa"/>
            <w:gridSpan w:val="2"/>
            <w:tcBorders>
              <w:top w:val="double" w:sz="8" w:space="0" w:color="000000"/>
              <w:bottom w:val="single" w:sz="8" w:space="0" w:color="000000"/>
            </w:tcBorders>
          </w:tcPr>
          <w:p>
            <w:pPr>
              <w:pStyle w:val="TableParagraph"/>
              <w:rPr>
                <w:rFonts w:ascii="Times New Roman"/>
                <w:sz w:val="12"/>
              </w:rPr>
            </w:pPr>
          </w:p>
        </w:tc>
        <w:tc>
          <w:tcPr>
            <w:tcW w:w="83" w:type="dxa"/>
            <w:tcBorders>
              <w:top w:val="double" w:sz="8" w:space="0" w:color="000000"/>
              <w:bottom w:val="single" w:sz="8" w:space="0" w:color="000000"/>
            </w:tcBorders>
          </w:tcPr>
          <w:p>
            <w:pPr>
              <w:pStyle w:val="TableParagraph"/>
              <w:rPr>
                <w:rFonts w:ascii="Times New Roman"/>
                <w:sz w:val="12"/>
              </w:rPr>
            </w:pPr>
          </w:p>
        </w:tc>
        <w:tc>
          <w:tcPr>
            <w:tcW w:w="1016" w:type="dxa"/>
            <w:gridSpan w:val="2"/>
            <w:tcBorders>
              <w:top w:val="double" w:sz="8" w:space="0" w:color="000000"/>
              <w:bottom w:val="single" w:sz="8" w:space="0" w:color="000000"/>
            </w:tcBorders>
          </w:tcPr>
          <w:p>
            <w:pPr>
              <w:pStyle w:val="TableParagraph"/>
              <w:rPr>
                <w:rFonts w:ascii="Times New Roman"/>
                <w:sz w:val="12"/>
              </w:rPr>
            </w:pPr>
          </w:p>
        </w:tc>
        <w:tc>
          <w:tcPr>
            <w:tcW w:w="103" w:type="dxa"/>
            <w:tcBorders>
              <w:top w:val="double" w:sz="8" w:space="0" w:color="000000"/>
              <w:bottom w:val="single" w:sz="8" w:space="0" w:color="000000"/>
            </w:tcBorders>
          </w:tcPr>
          <w:p>
            <w:pPr>
              <w:pStyle w:val="TableParagraph"/>
              <w:rPr>
                <w:rFonts w:ascii="Times New Roman"/>
                <w:sz w:val="12"/>
              </w:rPr>
            </w:pPr>
          </w:p>
        </w:tc>
        <w:tc>
          <w:tcPr>
            <w:tcW w:w="840" w:type="dxa"/>
            <w:tcBorders>
              <w:top w:val="double" w:sz="8" w:space="0" w:color="000000"/>
              <w:bottom w:val="single" w:sz="8" w:space="0" w:color="000000"/>
            </w:tcBorders>
          </w:tcPr>
          <w:p>
            <w:pPr>
              <w:pStyle w:val="TableParagraph"/>
              <w:rPr>
                <w:rFonts w:ascii="Times New Roman"/>
                <w:sz w:val="12"/>
              </w:rPr>
            </w:pPr>
          </w:p>
        </w:tc>
        <w:tc>
          <w:tcPr>
            <w:tcW w:w="195" w:type="dxa"/>
            <w:tcBorders>
              <w:bottom w:val="single" w:sz="8" w:space="0" w:color="000000"/>
            </w:tcBorders>
          </w:tcPr>
          <w:p>
            <w:pPr>
              <w:pStyle w:val="TableParagraph"/>
              <w:rPr>
                <w:rFonts w:ascii="Times New Roman"/>
                <w:sz w:val="10"/>
              </w:rPr>
            </w:pPr>
          </w:p>
        </w:tc>
        <w:tc>
          <w:tcPr>
            <w:tcW w:w="2250" w:type="dxa"/>
            <w:gridSpan w:val="3"/>
            <w:tcBorders>
              <w:top w:val="single" w:sz="8" w:space="0" w:color="000000"/>
              <w:bottom w:val="single" w:sz="8" w:space="0" w:color="000000"/>
            </w:tcBorders>
          </w:tcPr>
          <w:p>
            <w:pPr>
              <w:pStyle w:val="TableParagraph"/>
              <w:rPr>
                <w:rFonts w:ascii="Times New Roman"/>
                <w:sz w:val="10"/>
              </w:rPr>
            </w:pPr>
          </w:p>
        </w:tc>
      </w:tr>
      <w:tr>
        <w:trPr>
          <w:trHeight w:val="438" w:hRule="atLeast"/>
        </w:trPr>
        <w:tc>
          <w:tcPr>
            <w:tcW w:w="3840" w:type="dxa"/>
            <w:gridSpan w:val="2"/>
            <w:tcBorders>
              <w:top w:val="single" w:sz="8" w:space="0" w:color="000000"/>
            </w:tcBorders>
          </w:tcPr>
          <w:p>
            <w:pPr>
              <w:pStyle w:val="TableParagraph"/>
              <w:spacing w:before="158"/>
              <w:rPr>
                <w:rFonts w:ascii="Times New Roman"/>
                <w:b/>
                <w:sz w:val="20"/>
              </w:rPr>
            </w:pPr>
            <w:r>
              <w:rPr>
                <w:rFonts w:ascii="Times New Roman"/>
                <w:b/>
                <w:sz w:val="20"/>
              </w:rPr>
              <w:t>Table</w:t>
            </w:r>
            <w:r>
              <w:rPr>
                <w:rFonts w:ascii="Times New Roman"/>
                <w:b/>
                <w:spacing w:val="-4"/>
                <w:sz w:val="20"/>
              </w:rPr>
              <w:t> </w:t>
            </w:r>
            <w:r>
              <w:rPr>
                <w:rFonts w:ascii="Times New Roman"/>
                <w:b/>
                <w:spacing w:val="-2"/>
                <w:sz w:val="20"/>
              </w:rPr>
              <w:t>K1.1:</w:t>
            </w:r>
          </w:p>
        </w:tc>
        <w:tc>
          <w:tcPr>
            <w:tcW w:w="1035" w:type="dxa"/>
            <w:gridSpan w:val="2"/>
            <w:tcBorders>
              <w:top w:val="single" w:sz="8" w:space="0" w:color="000000"/>
            </w:tcBorders>
          </w:tcPr>
          <w:p>
            <w:pPr>
              <w:pStyle w:val="TableParagraph"/>
              <w:rPr>
                <w:rFonts w:ascii="Times New Roman"/>
                <w:sz w:val="16"/>
              </w:rPr>
            </w:pPr>
          </w:p>
        </w:tc>
        <w:tc>
          <w:tcPr>
            <w:tcW w:w="1099" w:type="dxa"/>
            <w:gridSpan w:val="3"/>
            <w:tcBorders>
              <w:top w:val="single" w:sz="8" w:space="0" w:color="000000"/>
            </w:tcBorders>
          </w:tcPr>
          <w:p>
            <w:pPr>
              <w:pStyle w:val="TableParagraph"/>
              <w:rPr>
                <w:rFonts w:ascii="Times New Roman"/>
                <w:sz w:val="16"/>
              </w:rPr>
            </w:pPr>
          </w:p>
        </w:tc>
        <w:tc>
          <w:tcPr>
            <w:tcW w:w="1138" w:type="dxa"/>
            <w:gridSpan w:val="3"/>
            <w:tcBorders>
              <w:top w:val="single" w:sz="8" w:space="0" w:color="000000"/>
            </w:tcBorders>
          </w:tcPr>
          <w:p>
            <w:pPr>
              <w:pStyle w:val="TableParagraph"/>
              <w:rPr>
                <w:rFonts w:ascii="Times New Roman"/>
                <w:sz w:val="16"/>
              </w:rPr>
            </w:pPr>
          </w:p>
        </w:tc>
        <w:tc>
          <w:tcPr>
            <w:tcW w:w="195" w:type="dxa"/>
            <w:tcBorders>
              <w:top w:val="single" w:sz="8" w:space="0" w:color="000000"/>
            </w:tcBorders>
          </w:tcPr>
          <w:p>
            <w:pPr>
              <w:pStyle w:val="TableParagraph"/>
              <w:rPr>
                <w:rFonts w:ascii="Times New Roman"/>
                <w:sz w:val="16"/>
              </w:rPr>
            </w:pPr>
          </w:p>
        </w:tc>
        <w:tc>
          <w:tcPr>
            <w:tcW w:w="1024" w:type="dxa"/>
            <w:tcBorders>
              <w:top w:val="single" w:sz="8" w:space="0" w:color="000000"/>
            </w:tcBorders>
          </w:tcPr>
          <w:p>
            <w:pPr>
              <w:pStyle w:val="TableParagraph"/>
              <w:rPr>
                <w:rFonts w:ascii="Times New Roman"/>
                <w:sz w:val="16"/>
              </w:rPr>
            </w:pPr>
          </w:p>
        </w:tc>
        <w:tc>
          <w:tcPr>
            <w:tcW w:w="1031" w:type="dxa"/>
            <w:tcBorders>
              <w:top w:val="single" w:sz="8" w:space="0" w:color="000000"/>
            </w:tcBorders>
          </w:tcPr>
          <w:p>
            <w:pPr>
              <w:pStyle w:val="TableParagraph"/>
              <w:rPr>
                <w:rFonts w:ascii="Times New Roman"/>
                <w:sz w:val="16"/>
              </w:rPr>
            </w:pPr>
          </w:p>
        </w:tc>
      </w:tr>
      <w:tr>
        <w:trPr>
          <w:trHeight w:val="226" w:hRule="atLeast"/>
        </w:trPr>
        <w:tc>
          <w:tcPr>
            <w:tcW w:w="3840" w:type="dxa"/>
            <w:gridSpan w:val="2"/>
            <w:tcBorders>
              <w:bottom w:val="single" w:sz="8" w:space="0" w:color="000000"/>
            </w:tcBorders>
          </w:tcPr>
          <w:p>
            <w:pPr>
              <w:pStyle w:val="TableParagraph"/>
              <w:spacing w:line="160" w:lineRule="exact" w:before="45"/>
              <w:ind w:left="52"/>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c>
        <w:tc>
          <w:tcPr>
            <w:tcW w:w="1035" w:type="dxa"/>
            <w:gridSpan w:val="2"/>
            <w:tcBorders>
              <w:bottom w:val="single" w:sz="8" w:space="0" w:color="000000"/>
            </w:tcBorders>
          </w:tcPr>
          <w:p>
            <w:pPr>
              <w:pStyle w:val="TableParagraph"/>
              <w:rPr>
                <w:rFonts w:ascii="Times New Roman"/>
                <w:sz w:val="16"/>
              </w:rPr>
            </w:pPr>
          </w:p>
        </w:tc>
        <w:tc>
          <w:tcPr>
            <w:tcW w:w="1099" w:type="dxa"/>
            <w:gridSpan w:val="3"/>
            <w:tcBorders>
              <w:bottom w:val="single" w:sz="8" w:space="0" w:color="000000"/>
            </w:tcBorders>
          </w:tcPr>
          <w:p>
            <w:pPr>
              <w:pStyle w:val="TableParagraph"/>
              <w:rPr>
                <w:rFonts w:ascii="Times New Roman"/>
                <w:sz w:val="16"/>
              </w:rPr>
            </w:pPr>
          </w:p>
        </w:tc>
        <w:tc>
          <w:tcPr>
            <w:tcW w:w="1138" w:type="dxa"/>
            <w:gridSpan w:val="3"/>
            <w:tcBorders>
              <w:bottom w:val="single" w:sz="8" w:space="0" w:color="000000"/>
            </w:tcBorders>
          </w:tcPr>
          <w:p>
            <w:pPr>
              <w:pStyle w:val="TableParagraph"/>
              <w:rPr>
                <w:rFonts w:ascii="Times New Roman"/>
                <w:sz w:val="16"/>
              </w:rPr>
            </w:pPr>
          </w:p>
        </w:tc>
        <w:tc>
          <w:tcPr>
            <w:tcW w:w="195" w:type="dxa"/>
            <w:tcBorders>
              <w:bottom w:val="single" w:sz="8" w:space="0" w:color="000000"/>
            </w:tcBorders>
          </w:tcPr>
          <w:p>
            <w:pPr>
              <w:pStyle w:val="TableParagraph"/>
              <w:rPr>
                <w:rFonts w:ascii="Times New Roman"/>
                <w:sz w:val="16"/>
              </w:rPr>
            </w:pPr>
          </w:p>
        </w:tc>
        <w:tc>
          <w:tcPr>
            <w:tcW w:w="1024" w:type="dxa"/>
            <w:tcBorders>
              <w:bottom w:val="single" w:sz="8" w:space="0" w:color="000000"/>
            </w:tcBorders>
          </w:tcPr>
          <w:p>
            <w:pPr>
              <w:pStyle w:val="TableParagraph"/>
              <w:rPr>
                <w:rFonts w:ascii="Times New Roman"/>
                <w:sz w:val="16"/>
              </w:rPr>
            </w:pPr>
          </w:p>
        </w:tc>
        <w:tc>
          <w:tcPr>
            <w:tcW w:w="1031" w:type="dxa"/>
            <w:tcBorders>
              <w:bottom w:val="single" w:sz="8" w:space="0" w:color="000000"/>
            </w:tcBorders>
          </w:tcPr>
          <w:p>
            <w:pPr>
              <w:pStyle w:val="TableParagraph"/>
              <w:rPr>
                <w:rFonts w:ascii="Times New Roman"/>
                <w:sz w:val="16"/>
              </w:rPr>
            </w:pPr>
          </w:p>
        </w:tc>
      </w:tr>
      <w:tr>
        <w:trPr>
          <w:trHeight w:val="205" w:hRule="atLeast"/>
        </w:trPr>
        <w:tc>
          <w:tcPr>
            <w:tcW w:w="3840" w:type="dxa"/>
            <w:gridSpan w:val="2"/>
            <w:tcBorders>
              <w:top w:val="single" w:sz="8" w:space="0" w:color="000000"/>
            </w:tcBorders>
          </w:tcPr>
          <w:p>
            <w:pPr>
              <w:pStyle w:val="TableParagraph"/>
              <w:rPr>
                <w:rFonts w:ascii="Times New Roman"/>
                <w:sz w:val="14"/>
              </w:rPr>
            </w:pPr>
          </w:p>
        </w:tc>
        <w:tc>
          <w:tcPr>
            <w:tcW w:w="1035" w:type="dxa"/>
            <w:gridSpan w:val="2"/>
            <w:tcBorders>
              <w:top w:val="single" w:sz="8" w:space="0" w:color="000000"/>
              <w:bottom w:val="single" w:sz="8" w:space="0" w:color="000000"/>
            </w:tcBorders>
          </w:tcPr>
          <w:p>
            <w:pPr>
              <w:pStyle w:val="TableParagraph"/>
              <w:rPr>
                <w:rFonts w:ascii="Times New Roman"/>
                <w:sz w:val="14"/>
              </w:rPr>
            </w:pPr>
          </w:p>
        </w:tc>
        <w:tc>
          <w:tcPr>
            <w:tcW w:w="1099" w:type="dxa"/>
            <w:gridSpan w:val="3"/>
            <w:tcBorders>
              <w:top w:val="single" w:sz="8" w:space="0" w:color="000000"/>
              <w:bottom w:val="single" w:sz="8" w:space="0" w:color="000000"/>
            </w:tcBorders>
          </w:tcPr>
          <w:p>
            <w:pPr>
              <w:pStyle w:val="TableParagraph"/>
              <w:rPr>
                <w:rFonts w:ascii="Times New Roman"/>
                <w:sz w:val="14"/>
              </w:rPr>
            </w:pPr>
          </w:p>
        </w:tc>
        <w:tc>
          <w:tcPr>
            <w:tcW w:w="1138" w:type="dxa"/>
            <w:gridSpan w:val="3"/>
            <w:tcBorders>
              <w:top w:val="single" w:sz="8" w:space="0" w:color="000000"/>
              <w:bottom w:val="single" w:sz="8" w:space="0" w:color="000000"/>
            </w:tcBorders>
          </w:tcPr>
          <w:p>
            <w:pPr>
              <w:pStyle w:val="TableParagraph"/>
              <w:spacing w:line="160" w:lineRule="exact" w:before="24"/>
              <w:ind w:left="470"/>
              <w:rPr>
                <w:rFonts w:ascii="Arial"/>
                <w:i/>
                <w:sz w:val="14"/>
              </w:rPr>
            </w:pPr>
            <w:r>
              <w:rPr>
                <w:rFonts w:ascii="Arial"/>
                <w:i/>
                <w:spacing w:val="-4"/>
                <w:sz w:val="14"/>
              </w:rPr>
              <w:t>2022</w:t>
            </w:r>
          </w:p>
        </w:tc>
        <w:tc>
          <w:tcPr>
            <w:tcW w:w="195" w:type="dxa"/>
            <w:tcBorders>
              <w:top w:val="single" w:sz="8" w:space="0" w:color="000000"/>
              <w:bottom w:val="single" w:sz="8" w:space="0" w:color="000000"/>
            </w:tcBorders>
          </w:tcPr>
          <w:p>
            <w:pPr>
              <w:pStyle w:val="TableParagraph"/>
              <w:rPr>
                <w:rFonts w:ascii="Times New Roman"/>
                <w:sz w:val="14"/>
              </w:rPr>
            </w:pPr>
          </w:p>
        </w:tc>
        <w:tc>
          <w:tcPr>
            <w:tcW w:w="1024" w:type="dxa"/>
            <w:tcBorders>
              <w:top w:val="single" w:sz="8" w:space="0" w:color="000000"/>
              <w:bottom w:val="single" w:sz="8" w:space="0" w:color="000000"/>
            </w:tcBorders>
          </w:tcPr>
          <w:p>
            <w:pPr>
              <w:pStyle w:val="TableParagraph"/>
              <w:rPr>
                <w:rFonts w:ascii="Times New Roman"/>
                <w:sz w:val="14"/>
              </w:rPr>
            </w:pPr>
          </w:p>
        </w:tc>
        <w:tc>
          <w:tcPr>
            <w:tcW w:w="1031" w:type="dxa"/>
            <w:tcBorders>
              <w:top w:val="single" w:sz="8" w:space="0" w:color="000000"/>
              <w:bottom w:val="single" w:sz="8" w:space="0" w:color="000000"/>
            </w:tcBorders>
          </w:tcPr>
          <w:p>
            <w:pPr>
              <w:pStyle w:val="TableParagraph"/>
              <w:rPr>
                <w:rFonts w:ascii="Times New Roman"/>
                <w:sz w:val="14"/>
              </w:rPr>
            </w:pPr>
          </w:p>
        </w:tc>
      </w:tr>
      <w:tr>
        <w:trPr>
          <w:trHeight w:val="182" w:hRule="atLeast"/>
        </w:trPr>
        <w:tc>
          <w:tcPr>
            <w:tcW w:w="3840" w:type="dxa"/>
            <w:gridSpan w:val="2"/>
          </w:tcPr>
          <w:p>
            <w:pPr>
              <w:pStyle w:val="TableParagraph"/>
              <w:rPr>
                <w:rFonts w:ascii="Times New Roman"/>
                <w:sz w:val="12"/>
              </w:rPr>
            </w:pPr>
          </w:p>
        </w:tc>
        <w:tc>
          <w:tcPr>
            <w:tcW w:w="1035" w:type="dxa"/>
            <w:gridSpan w:val="2"/>
            <w:tcBorders>
              <w:top w:val="single" w:sz="8" w:space="0" w:color="000000"/>
            </w:tcBorders>
          </w:tcPr>
          <w:p>
            <w:pPr>
              <w:pStyle w:val="TableParagraph"/>
              <w:rPr>
                <w:rFonts w:ascii="Times New Roman"/>
                <w:sz w:val="12"/>
              </w:rPr>
            </w:pPr>
          </w:p>
        </w:tc>
        <w:tc>
          <w:tcPr>
            <w:tcW w:w="1099" w:type="dxa"/>
            <w:gridSpan w:val="3"/>
            <w:tcBorders>
              <w:top w:val="single" w:sz="8" w:space="0" w:color="000000"/>
            </w:tcBorders>
          </w:tcPr>
          <w:p>
            <w:pPr>
              <w:pStyle w:val="TableParagraph"/>
              <w:rPr>
                <w:rFonts w:ascii="Times New Roman"/>
                <w:sz w:val="12"/>
              </w:rPr>
            </w:pPr>
          </w:p>
        </w:tc>
        <w:tc>
          <w:tcPr>
            <w:tcW w:w="1138" w:type="dxa"/>
            <w:gridSpan w:val="3"/>
            <w:tcBorders>
              <w:top w:val="single" w:sz="8" w:space="0" w:color="000000"/>
            </w:tcBorders>
          </w:tcPr>
          <w:p>
            <w:pPr>
              <w:pStyle w:val="TableParagraph"/>
              <w:spacing w:line="147" w:lineRule="exact" w:before="15"/>
              <w:ind w:left="335"/>
              <w:rPr>
                <w:rFonts w:ascii="Arial"/>
                <w:i/>
                <w:sz w:val="14"/>
              </w:rPr>
            </w:pPr>
            <w:r>
              <w:rPr>
                <w:rFonts w:ascii="Arial"/>
                <w:i/>
                <w:spacing w:val="-2"/>
                <w:sz w:val="14"/>
              </w:rPr>
              <w:t>Amounts</w:t>
            </w:r>
          </w:p>
        </w:tc>
        <w:tc>
          <w:tcPr>
            <w:tcW w:w="195" w:type="dxa"/>
            <w:tcBorders>
              <w:top w:val="single" w:sz="8" w:space="0" w:color="000000"/>
            </w:tcBorders>
          </w:tcPr>
          <w:p>
            <w:pPr>
              <w:pStyle w:val="TableParagraph"/>
              <w:rPr>
                <w:rFonts w:ascii="Times New Roman"/>
                <w:sz w:val="12"/>
              </w:rPr>
            </w:pPr>
          </w:p>
        </w:tc>
        <w:tc>
          <w:tcPr>
            <w:tcW w:w="1024" w:type="dxa"/>
            <w:tcBorders>
              <w:top w:val="single" w:sz="8" w:space="0" w:color="000000"/>
            </w:tcBorders>
          </w:tcPr>
          <w:p>
            <w:pPr>
              <w:pStyle w:val="TableParagraph"/>
              <w:rPr>
                <w:rFonts w:ascii="Times New Roman"/>
                <w:sz w:val="12"/>
              </w:rPr>
            </w:pPr>
          </w:p>
        </w:tc>
        <w:tc>
          <w:tcPr>
            <w:tcW w:w="1031" w:type="dxa"/>
            <w:tcBorders>
              <w:top w:val="single" w:sz="8" w:space="0" w:color="000000"/>
            </w:tcBorders>
          </w:tcPr>
          <w:p>
            <w:pPr>
              <w:pStyle w:val="TableParagraph"/>
              <w:rPr>
                <w:rFonts w:ascii="Times New Roman"/>
                <w:sz w:val="12"/>
              </w:rPr>
            </w:pPr>
          </w:p>
        </w:tc>
      </w:tr>
      <w:tr>
        <w:trPr>
          <w:trHeight w:val="167" w:hRule="atLeast"/>
        </w:trPr>
        <w:tc>
          <w:tcPr>
            <w:tcW w:w="3840" w:type="dxa"/>
            <w:gridSpan w:val="2"/>
          </w:tcPr>
          <w:p>
            <w:pPr>
              <w:pStyle w:val="TableParagraph"/>
              <w:rPr>
                <w:rFonts w:ascii="Times New Roman"/>
                <w:sz w:val="10"/>
              </w:rPr>
            </w:pPr>
          </w:p>
        </w:tc>
        <w:tc>
          <w:tcPr>
            <w:tcW w:w="1035" w:type="dxa"/>
            <w:gridSpan w:val="2"/>
          </w:tcPr>
          <w:p>
            <w:pPr>
              <w:pStyle w:val="TableParagraph"/>
              <w:spacing w:line="147" w:lineRule="exact" w:before="1"/>
              <w:ind w:left="252"/>
              <w:rPr>
                <w:rFonts w:ascii="Arial"/>
                <w:i/>
                <w:sz w:val="14"/>
              </w:rPr>
            </w:pPr>
            <w:r>
              <w:rPr>
                <w:rFonts w:ascii="Arial"/>
                <w:i/>
                <w:spacing w:val="-2"/>
                <w:sz w:val="14"/>
              </w:rPr>
              <w:t>Balance,</w:t>
            </w:r>
          </w:p>
        </w:tc>
        <w:tc>
          <w:tcPr>
            <w:tcW w:w="1099" w:type="dxa"/>
            <w:gridSpan w:val="3"/>
          </w:tcPr>
          <w:p>
            <w:pPr>
              <w:pStyle w:val="TableParagraph"/>
              <w:rPr>
                <w:rFonts w:ascii="Times New Roman"/>
                <w:sz w:val="10"/>
              </w:rPr>
            </w:pPr>
          </w:p>
        </w:tc>
        <w:tc>
          <w:tcPr>
            <w:tcW w:w="1138" w:type="dxa"/>
            <w:gridSpan w:val="3"/>
          </w:tcPr>
          <w:p>
            <w:pPr>
              <w:pStyle w:val="TableParagraph"/>
              <w:spacing w:line="147" w:lineRule="exact" w:before="1"/>
              <w:ind w:left="261"/>
              <w:rPr>
                <w:rFonts w:ascii="Arial"/>
                <w:i/>
                <w:sz w:val="14"/>
              </w:rPr>
            </w:pPr>
            <w:r>
              <w:rPr>
                <w:rFonts w:ascii="Arial"/>
                <w:i/>
                <w:spacing w:val="-2"/>
                <w:sz w:val="14"/>
              </w:rPr>
              <w:t>reclassified</w:t>
            </w:r>
          </w:p>
        </w:tc>
        <w:tc>
          <w:tcPr>
            <w:tcW w:w="195" w:type="dxa"/>
          </w:tcPr>
          <w:p>
            <w:pPr>
              <w:pStyle w:val="TableParagraph"/>
              <w:rPr>
                <w:rFonts w:ascii="Times New Roman"/>
                <w:sz w:val="10"/>
              </w:rPr>
            </w:pPr>
          </w:p>
        </w:tc>
        <w:tc>
          <w:tcPr>
            <w:tcW w:w="1024" w:type="dxa"/>
          </w:tcPr>
          <w:p>
            <w:pPr>
              <w:pStyle w:val="TableParagraph"/>
              <w:spacing w:line="147" w:lineRule="exact" w:before="1"/>
              <w:ind w:left="114"/>
              <w:rPr>
                <w:rFonts w:ascii="Arial"/>
                <w:i/>
                <w:sz w:val="14"/>
              </w:rPr>
            </w:pPr>
            <w:r>
              <w:rPr>
                <w:rFonts w:ascii="Arial"/>
                <w:i/>
                <w:sz w:val="14"/>
              </w:rPr>
              <w:t>Net</w:t>
            </w:r>
            <w:r>
              <w:rPr>
                <w:rFonts w:ascii="Arial"/>
                <w:i/>
                <w:spacing w:val="-2"/>
                <w:sz w:val="14"/>
              </w:rPr>
              <w:t> Changes</w:t>
            </w:r>
          </w:p>
        </w:tc>
        <w:tc>
          <w:tcPr>
            <w:tcW w:w="1031" w:type="dxa"/>
          </w:tcPr>
          <w:p>
            <w:pPr>
              <w:pStyle w:val="TableParagraph"/>
              <w:spacing w:line="147" w:lineRule="exact" w:before="1"/>
              <w:ind w:left="-14" w:right="63"/>
              <w:jc w:val="right"/>
              <w:rPr>
                <w:rFonts w:ascii="Arial"/>
                <w:i/>
                <w:sz w:val="14"/>
              </w:rPr>
            </w:pPr>
            <w:r>
              <w:rPr>
                <w:rFonts w:ascii="Arial"/>
                <w:i/>
                <w:sz w:val="14"/>
              </w:rPr>
              <w:t>Balance,</w:t>
            </w:r>
            <w:r>
              <w:rPr>
                <w:rFonts w:ascii="Arial"/>
                <w:i/>
                <w:spacing w:val="-6"/>
                <w:sz w:val="14"/>
              </w:rPr>
              <w:t> </w:t>
            </w:r>
            <w:r>
              <w:rPr>
                <w:rFonts w:ascii="Arial"/>
                <w:i/>
                <w:spacing w:val="-5"/>
                <w:sz w:val="14"/>
              </w:rPr>
              <w:t>end</w:t>
            </w:r>
          </w:p>
        </w:tc>
      </w:tr>
      <w:tr>
        <w:trPr>
          <w:trHeight w:val="167" w:hRule="atLeast"/>
        </w:trPr>
        <w:tc>
          <w:tcPr>
            <w:tcW w:w="3840" w:type="dxa"/>
            <w:gridSpan w:val="2"/>
          </w:tcPr>
          <w:p>
            <w:pPr>
              <w:pStyle w:val="TableParagraph"/>
              <w:rPr>
                <w:rFonts w:ascii="Times New Roman"/>
                <w:sz w:val="10"/>
              </w:rPr>
            </w:pPr>
          </w:p>
        </w:tc>
        <w:tc>
          <w:tcPr>
            <w:tcW w:w="1035" w:type="dxa"/>
            <w:gridSpan w:val="2"/>
          </w:tcPr>
          <w:p>
            <w:pPr>
              <w:pStyle w:val="TableParagraph"/>
              <w:spacing w:line="147" w:lineRule="exact" w:before="1"/>
              <w:ind w:left="144"/>
              <w:rPr>
                <w:rFonts w:ascii="Arial"/>
                <w:i/>
                <w:sz w:val="14"/>
              </w:rPr>
            </w:pPr>
            <w:r>
              <w:rPr>
                <w:rFonts w:ascii="Arial"/>
                <w:i/>
                <w:sz w:val="14"/>
              </w:rPr>
              <w:t>beginning</w:t>
            </w:r>
            <w:r>
              <w:rPr>
                <w:rFonts w:ascii="Arial"/>
                <w:i/>
                <w:spacing w:val="-10"/>
                <w:sz w:val="14"/>
              </w:rPr>
              <w:t> </w:t>
            </w:r>
            <w:r>
              <w:rPr>
                <w:rFonts w:ascii="Arial"/>
                <w:i/>
                <w:spacing w:val="-5"/>
                <w:sz w:val="14"/>
              </w:rPr>
              <w:t>of</w:t>
            </w:r>
          </w:p>
        </w:tc>
        <w:tc>
          <w:tcPr>
            <w:tcW w:w="1099" w:type="dxa"/>
            <w:gridSpan w:val="3"/>
          </w:tcPr>
          <w:p>
            <w:pPr>
              <w:pStyle w:val="TableParagraph"/>
              <w:spacing w:line="147" w:lineRule="exact" w:before="1"/>
              <w:ind w:left="320"/>
              <w:rPr>
                <w:rFonts w:ascii="Arial"/>
                <w:i/>
                <w:sz w:val="14"/>
              </w:rPr>
            </w:pPr>
            <w:r>
              <w:rPr>
                <w:rFonts w:ascii="Arial"/>
                <w:i/>
                <w:spacing w:val="-2"/>
                <w:sz w:val="14"/>
              </w:rPr>
              <w:t>Changes</w:t>
            </w:r>
          </w:p>
        </w:tc>
        <w:tc>
          <w:tcPr>
            <w:tcW w:w="1138" w:type="dxa"/>
            <w:gridSpan w:val="3"/>
          </w:tcPr>
          <w:p>
            <w:pPr>
              <w:pStyle w:val="TableParagraph"/>
              <w:spacing w:line="147" w:lineRule="exact" w:before="1"/>
              <w:ind w:left="381"/>
              <w:rPr>
                <w:rFonts w:ascii="Arial"/>
                <w:i/>
                <w:sz w:val="14"/>
              </w:rPr>
            </w:pPr>
            <w:r>
              <w:rPr>
                <w:rFonts w:ascii="Arial"/>
                <w:i/>
                <w:sz w:val="14"/>
              </w:rPr>
              <w:t>into</w:t>
            </w:r>
            <w:r>
              <w:rPr>
                <w:rFonts w:ascii="Arial"/>
                <w:i/>
                <w:spacing w:val="-2"/>
                <w:sz w:val="14"/>
              </w:rPr>
              <w:t> </w:t>
            </w:r>
            <w:r>
              <w:rPr>
                <w:rFonts w:ascii="Arial"/>
                <w:i/>
                <w:spacing w:val="-5"/>
                <w:sz w:val="14"/>
              </w:rPr>
              <w:t>net</w:t>
            </w:r>
          </w:p>
        </w:tc>
        <w:tc>
          <w:tcPr>
            <w:tcW w:w="195" w:type="dxa"/>
          </w:tcPr>
          <w:p>
            <w:pPr>
              <w:pStyle w:val="TableParagraph"/>
              <w:rPr>
                <w:rFonts w:ascii="Times New Roman"/>
                <w:sz w:val="10"/>
              </w:rPr>
            </w:pPr>
          </w:p>
        </w:tc>
        <w:tc>
          <w:tcPr>
            <w:tcW w:w="1024" w:type="dxa"/>
          </w:tcPr>
          <w:p>
            <w:pPr>
              <w:pStyle w:val="TableParagraph"/>
              <w:spacing w:line="147" w:lineRule="exact" w:before="1"/>
              <w:ind w:left="212"/>
              <w:rPr>
                <w:rFonts w:ascii="Arial"/>
                <w:i/>
                <w:sz w:val="14"/>
              </w:rPr>
            </w:pPr>
            <w:r>
              <w:rPr>
                <w:rFonts w:ascii="Arial"/>
                <w:i/>
                <w:sz w:val="14"/>
              </w:rPr>
              <w:t>during</w:t>
            </w:r>
            <w:r>
              <w:rPr>
                <w:rFonts w:ascii="Arial"/>
                <w:i/>
                <w:spacing w:val="-4"/>
                <w:sz w:val="14"/>
              </w:rPr>
              <w:t> </w:t>
            </w:r>
            <w:r>
              <w:rPr>
                <w:rFonts w:ascii="Arial"/>
                <w:i/>
                <w:spacing w:val="-5"/>
                <w:sz w:val="14"/>
              </w:rPr>
              <w:t>the</w:t>
            </w:r>
          </w:p>
        </w:tc>
        <w:tc>
          <w:tcPr>
            <w:tcW w:w="1031" w:type="dxa"/>
          </w:tcPr>
          <w:p>
            <w:pPr>
              <w:pStyle w:val="TableParagraph"/>
              <w:spacing w:line="147" w:lineRule="exact" w:before="1"/>
              <w:ind w:left="-14" w:right="118"/>
              <w:jc w:val="right"/>
              <w:rPr>
                <w:rFonts w:ascii="Arial"/>
                <w:i/>
                <w:sz w:val="14"/>
              </w:rPr>
            </w:pPr>
            <w:r>
              <w:rPr>
                <w:rFonts w:ascii="Arial"/>
                <w:i/>
                <w:sz w:val="14"/>
              </w:rPr>
              <w:t>of</w:t>
            </w:r>
            <w:r>
              <w:rPr>
                <w:rFonts w:ascii="Arial"/>
                <w:i/>
                <w:spacing w:val="-1"/>
                <w:sz w:val="14"/>
              </w:rPr>
              <w:t> </w:t>
            </w:r>
            <w:r>
              <w:rPr>
                <w:rFonts w:ascii="Arial"/>
                <w:i/>
                <w:sz w:val="14"/>
              </w:rPr>
              <w:t>the</w:t>
            </w:r>
            <w:r>
              <w:rPr>
                <w:rFonts w:ascii="Arial"/>
                <w:i/>
                <w:spacing w:val="-1"/>
                <w:sz w:val="14"/>
              </w:rPr>
              <w:t> </w:t>
            </w:r>
            <w:r>
              <w:rPr>
                <w:rFonts w:ascii="Arial"/>
                <w:i/>
                <w:spacing w:val="-2"/>
                <w:sz w:val="14"/>
              </w:rPr>
              <w:t>fiscal</w:t>
            </w:r>
          </w:p>
        </w:tc>
      </w:tr>
      <w:tr>
        <w:trPr>
          <w:trHeight w:val="181" w:hRule="atLeast"/>
        </w:trPr>
        <w:tc>
          <w:tcPr>
            <w:tcW w:w="3840" w:type="dxa"/>
            <w:gridSpan w:val="2"/>
          </w:tcPr>
          <w:p>
            <w:pPr>
              <w:pStyle w:val="TableParagraph"/>
              <w:rPr>
                <w:rFonts w:ascii="Times New Roman"/>
                <w:sz w:val="12"/>
              </w:rPr>
            </w:pPr>
          </w:p>
        </w:tc>
        <w:tc>
          <w:tcPr>
            <w:tcW w:w="1035" w:type="dxa"/>
            <w:gridSpan w:val="2"/>
            <w:tcBorders>
              <w:bottom w:val="single" w:sz="8" w:space="0" w:color="000000"/>
            </w:tcBorders>
          </w:tcPr>
          <w:p>
            <w:pPr>
              <w:pStyle w:val="TableParagraph"/>
              <w:spacing w:line="160" w:lineRule="exact" w:before="1"/>
              <w:ind w:left="93"/>
              <w:rPr>
                <w:rFonts w:ascii="Arial"/>
                <w:i/>
                <w:sz w:val="14"/>
              </w:rPr>
            </w:pPr>
            <w:r>
              <w:rPr>
                <w:rFonts w:ascii="Arial"/>
                <w:i/>
                <w:sz w:val="14"/>
              </w:rPr>
              <w:t>the</w:t>
            </w:r>
            <w:r>
              <w:rPr>
                <w:rFonts w:ascii="Arial"/>
                <w:i/>
                <w:spacing w:val="-2"/>
                <w:sz w:val="14"/>
              </w:rPr>
              <w:t> </w:t>
            </w:r>
            <w:r>
              <w:rPr>
                <w:rFonts w:ascii="Arial"/>
                <w:i/>
                <w:sz w:val="14"/>
              </w:rPr>
              <w:t>fiscal</w:t>
            </w:r>
            <w:r>
              <w:rPr>
                <w:rFonts w:ascii="Arial"/>
                <w:i/>
                <w:spacing w:val="-1"/>
                <w:sz w:val="14"/>
              </w:rPr>
              <w:t> </w:t>
            </w:r>
            <w:r>
              <w:rPr>
                <w:rFonts w:ascii="Arial"/>
                <w:i/>
                <w:spacing w:val="-4"/>
                <w:sz w:val="14"/>
              </w:rPr>
              <w:t>year</w:t>
            </w:r>
          </w:p>
        </w:tc>
        <w:tc>
          <w:tcPr>
            <w:tcW w:w="1099" w:type="dxa"/>
            <w:gridSpan w:val="3"/>
            <w:tcBorders>
              <w:bottom w:val="single" w:sz="8" w:space="0" w:color="000000"/>
            </w:tcBorders>
          </w:tcPr>
          <w:p>
            <w:pPr>
              <w:pStyle w:val="TableParagraph"/>
              <w:spacing w:line="160" w:lineRule="exact" w:before="1"/>
              <w:ind w:left="355"/>
              <w:rPr>
                <w:rFonts w:ascii="Arial"/>
                <w:i/>
                <w:sz w:val="14"/>
              </w:rPr>
            </w:pPr>
            <w:r>
              <w:rPr>
                <w:rFonts w:ascii="Arial"/>
                <w:i/>
                <w:sz w:val="14"/>
              </w:rPr>
              <w:t>in</w:t>
            </w:r>
            <w:r>
              <w:rPr>
                <w:rFonts w:ascii="Arial"/>
                <w:i/>
                <w:spacing w:val="-1"/>
                <w:sz w:val="14"/>
              </w:rPr>
              <w:t> </w:t>
            </w:r>
            <w:r>
              <w:rPr>
                <w:rFonts w:ascii="Arial"/>
                <w:i/>
                <w:spacing w:val="-4"/>
                <w:sz w:val="14"/>
              </w:rPr>
              <w:t>AOCI</w:t>
            </w:r>
          </w:p>
        </w:tc>
        <w:tc>
          <w:tcPr>
            <w:tcW w:w="1138" w:type="dxa"/>
            <w:gridSpan w:val="3"/>
            <w:tcBorders>
              <w:bottom w:val="single" w:sz="8" w:space="0" w:color="000000"/>
            </w:tcBorders>
          </w:tcPr>
          <w:p>
            <w:pPr>
              <w:pStyle w:val="TableParagraph"/>
              <w:spacing w:line="160" w:lineRule="exact" w:before="1"/>
              <w:ind w:left="385"/>
              <w:rPr>
                <w:rFonts w:ascii="Arial"/>
                <w:i/>
                <w:sz w:val="14"/>
              </w:rPr>
            </w:pPr>
            <w:r>
              <w:rPr>
                <w:rFonts w:ascii="Arial"/>
                <w:i/>
                <w:spacing w:val="-2"/>
                <w:sz w:val="14"/>
              </w:rPr>
              <w:t>income</w:t>
            </w:r>
          </w:p>
        </w:tc>
        <w:tc>
          <w:tcPr>
            <w:tcW w:w="195" w:type="dxa"/>
          </w:tcPr>
          <w:p>
            <w:pPr>
              <w:pStyle w:val="TableParagraph"/>
              <w:rPr>
                <w:rFonts w:ascii="Times New Roman"/>
                <w:sz w:val="12"/>
              </w:rPr>
            </w:pPr>
          </w:p>
        </w:tc>
        <w:tc>
          <w:tcPr>
            <w:tcW w:w="1024" w:type="dxa"/>
            <w:tcBorders>
              <w:bottom w:val="single" w:sz="8" w:space="0" w:color="000000"/>
            </w:tcBorders>
          </w:tcPr>
          <w:p>
            <w:pPr>
              <w:pStyle w:val="TableParagraph"/>
              <w:spacing w:line="160" w:lineRule="exact" w:before="1"/>
              <w:ind w:left="328"/>
              <w:rPr>
                <w:rFonts w:ascii="Arial"/>
                <w:i/>
                <w:sz w:val="14"/>
              </w:rPr>
            </w:pPr>
            <w:r>
              <w:rPr>
                <w:rFonts w:ascii="Arial"/>
                <w:i/>
                <w:spacing w:val="-2"/>
                <w:sz w:val="14"/>
              </w:rPr>
              <w:t>period</w:t>
            </w:r>
          </w:p>
        </w:tc>
        <w:tc>
          <w:tcPr>
            <w:tcW w:w="1031" w:type="dxa"/>
            <w:tcBorders>
              <w:bottom w:val="single" w:sz="8" w:space="0" w:color="000000"/>
            </w:tcBorders>
          </w:tcPr>
          <w:p>
            <w:pPr>
              <w:pStyle w:val="TableParagraph"/>
              <w:spacing w:line="160" w:lineRule="exact" w:before="1"/>
              <w:ind w:left="420"/>
              <w:rPr>
                <w:rFonts w:ascii="Arial"/>
                <w:i/>
                <w:sz w:val="14"/>
              </w:rPr>
            </w:pPr>
            <w:r>
              <w:rPr>
                <w:rFonts w:ascii="Arial"/>
                <w:i/>
                <w:spacing w:val="-4"/>
                <w:sz w:val="14"/>
              </w:rPr>
              <w:t>year</w:t>
            </w:r>
          </w:p>
        </w:tc>
      </w:tr>
      <w:tr>
        <w:trPr>
          <w:trHeight w:val="219" w:hRule="atLeast"/>
        </w:trPr>
        <w:tc>
          <w:tcPr>
            <w:tcW w:w="3840" w:type="dxa"/>
            <w:gridSpan w:val="2"/>
          </w:tcPr>
          <w:p>
            <w:pPr>
              <w:pStyle w:val="TableParagraph"/>
              <w:spacing w:before="24"/>
              <w:ind w:left="52"/>
              <w:rPr>
                <w:sz w:val="14"/>
              </w:rPr>
            </w:pPr>
            <w:r>
              <w:rPr>
                <w:spacing w:val="-2"/>
                <w:sz w:val="14"/>
              </w:rPr>
              <w:t>Cumulative</w:t>
            </w:r>
            <w:r>
              <w:rPr>
                <w:spacing w:val="9"/>
                <w:sz w:val="14"/>
              </w:rPr>
              <w:t> </w:t>
            </w:r>
            <w:r>
              <w:rPr>
                <w:spacing w:val="-2"/>
                <w:sz w:val="14"/>
              </w:rPr>
              <w:t>Translation</w:t>
            </w:r>
            <w:r>
              <w:rPr>
                <w:spacing w:val="4"/>
                <w:sz w:val="14"/>
              </w:rPr>
              <w:t> </w:t>
            </w:r>
            <w:r>
              <w:rPr>
                <w:spacing w:val="-2"/>
                <w:sz w:val="14"/>
              </w:rPr>
              <w:t>Adjustments</w:t>
            </w:r>
          </w:p>
        </w:tc>
        <w:tc>
          <w:tcPr>
            <w:tcW w:w="1035" w:type="dxa"/>
            <w:gridSpan w:val="2"/>
            <w:tcBorders>
              <w:top w:val="single" w:sz="8" w:space="0" w:color="000000"/>
            </w:tcBorders>
          </w:tcPr>
          <w:p>
            <w:pPr>
              <w:pStyle w:val="TableParagraph"/>
              <w:tabs>
                <w:tab w:pos="754" w:val="left" w:leader="none"/>
              </w:tabs>
              <w:spacing w:before="24"/>
              <w:ind w:left="52"/>
              <w:rPr>
                <w:sz w:val="14"/>
              </w:rPr>
            </w:pPr>
            <w:r>
              <w:rPr>
                <w:spacing w:val="-10"/>
                <w:sz w:val="14"/>
              </w:rPr>
              <w:t>$</w:t>
            </w:r>
            <w:r>
              <w:rPr>
                <w:sz w:val="14"/>
              </w:rPr>
              <w:tab/>
            </w:r>
            <w:r>
              <w:rPr>
                <w:spacing w:val="-5"/>
                <w:sz w:val="14"/>
              </w:rPr>
              <w:t>359</w:t>
            </w:r>
          </w:p>
        </w:tc>
        <w:tc>
          <w:tcPr>
            <w:tcW w:w="1099" w:type="dxa"/>
            <w:gridSpan w:val="3"/>
            <w:tcBorders>
              <w:top w:val="single" w:sz="8" w:space="0" w:color="000000"/>
            </w:tcBorders>
          </w:tcPr>
          <w:p>
            <w:pPr>
              <w:pStyle w:val="TableParagraph"/>
              <w:tabs>
                <w:tab w:pos="666" w:val="left" w:leader="none"/>
              </w:tabs>
              <w:spacing w:before="24"/>
              <w:ind w:left="127" w:right="-15"/>
              <w:rPr>
                <w:sz w:val="14"/>
              </w:rPr>
            </w:pPr>
            <w:r>
              <w:rPr>
                <w:spacing w:val="-10"/>
                <w:sz w:val="14"/>
              </w:rPr>
              <w:t>$</w:t>
            </w:r>
            <w:r>
              <w:rPr>
                <w:sz w:val="14"/>
              </w:rPr>
              <w:tab/>
            </w:r>
            <w:r>
              <w:rPr>
                <w:spacing w:val="-2"/>
                <w:sz w:val="14"/>
              </w:rPr>
              <w:t>(1,149)</w:t>
            </w:r>
          </w:p>
        </w:tc>
        <w:tc>
          <w:tcPr>
            <w:tcW w:w="1138" w:type="dxa"/>
            <w:gridSpan w:val="3"/>
            <w:tcBorders>
              <w:top w:val="single" w:sz="8" w:space="0" w:color="000000"/>
            </w:tcBorders>
          </w:tcPr>
          <w:p>
            <w:pPr>
              <w:pStyle w:val="TableParagraph"/>
              <w:tabs>
                <w:tab w:pos="934" w:val="left" w:leader="none"/>
              </w:tabs>
              <w:spacing w:before="24"/>
              <w:ind w:left="138"/>
              <w:rPr>
                <w:sz w:val="14"/>
              </w:rPr>
            </w:pPr>
            <w:r>
              <w:rPr>
                <w:spacing w:val="-10"/>
                <w:sz w:val="14"/>
              </w:rPr>
              <w:t>$</w:t>
            </w:r>
            <w:r>
              <w:rPr>
                <w:sz w:val="14"/>
              </w:rPr>
              <w:tab/>
              <w:t>—</w:t>
            </w:r>
          </w:p>
        </w:tc>
        <w:tc>
          <w:tcPr>
            <w:tcW w:w="195" w:type="dxa"/>
          </w:tcPr>
          <w:p>
            <w:pPr>
              <w:pStyle w:val="TableParagraph"/>
              <w:rPr>
                <w:rFonts w:ascii="Times New Roman"/>
                <w:sz w:val="14"/>
              </w:rPr>
            </w:pPr>
          </w:p>
        </w:tc>
        <w:tc>
          <w:tcPr>
            <w:tcW w:w="1024" w:type="dxa"/>
            <w:tcBorders>
              <w:top w:val="single" w:sz="8" w:space="0" w:color="000000"/>
            </w:tcBorders>
          </w:tcPr>
          <w:p>
            <w:pPr>
              <w:pStyle w:val="TableParagraph"/>
              <w:tabs>
                <w:tab w:pos="539" w:val="left" w:leader="none"/>
              </w:tabs>
              <w:spacing w:before="24"/>
              <w:ind w:right="-15"/>
              <w:jc w:val="right"/>
              <w:rPr>
                <w:sz w:val="14"/>
              </w:rPr>
            </w:pPr>
            <w:r>
              <w:rPr>
                <w:spacing w:val="-10"/>
                <w:sz w:val="14"/>
              </w:rPr>
              <w:t>$</w:t>
            </w:r>
            <w:r>
              <w:rPr>
                <w:sz w:val="14"/>
              </w:rPr>
              <w:tab/>
            </w:r>
            <w:r>
              <w:rPr>
                <w:spacing w:val="-2"/>
                <w:sz w:val="14"/>
              </w:rPr>
              <w:t>(1,149)</w:t>
            </w:r>
          </w:p>
        </w:tc>
        <w:tc>
          <w:tcPr>
            <w:tcW w:w="1031" w:type="dxa"/>
            <w:tcBorders>
              <w:top w:val="single" w:sz="8" w:space="0" w:color="000000"/>
            </w:tcBorders>
          </w:tcPr>
          <w:p>
            <w:pPr>
              <w:pStyle w:val="TableParagraph"/>
              <w:tabs>
                <w:tab w:pos="550" w:val="left" w:leader="none"/>
              </w:tabs>
              <w:spacing w:before="24"/>
              <w:ind w:right="14"/>
              <w:jc w:val="right"/>
              <w:rPr>
                <w:sz w:val="14"/>
              </w:rPr>
            </w:pPr>
            <w:r>
              <w:rPr>
                <w:spacing w:val="-10"/>
                <w:sz w:val="14"/>
              </w:rPr>
              <w:t>$</w:t>
            </w:r>
            <w:r>
              <w:rPr>
                <w:sz w:val="14"/>
              </w:rPr>
              <w:tab/>
            </w:r>
            <w:r>
              <w:rPr>
                <w:spacing w:val="-2"/>
                <w:sz w:val="14"/>
              </w:rPr>
              <w:t>(790)</w:t>
            </w:r>
          </w:p>
        </w:tc>
      </w:tr>
      <w:tr>
        <w:trPr>
          <w:trHeight w:val="231" w:hRule="atLeast"/>
        </w:trPr>
        <w:tc>
          <w:tcPr>
            <w:tcW w:w="3840" w:type="dxa"/>
            <w:gridSpan w:val="2"/>
          </w:tcPr>
          <w:p>
            <w:pPr>
              <w:pStyle w:val="TableParagraph"/>
              <w:spacing w:before="29"/>
              <w:ind w:left="52"/>
              <w:rPr>
                <w:sz w:val="14"/>
              </w:rPr>
            </w:pPr>
            <w:r>
              <w:rPr>
                <w:sz w:val="14"/>
              </w:rPr>
              <w:t>DVA</w:t>
            </w:r>
            <w:r>
              <w:rPr>
                <w:spacing w:val="-10"/>
                <w:sz w:val="14"/>
              </w:rPr>
              <w:t> </w:t>
            </w:r>
            <w:r>
              <w:rPr>
                <w:sz w:val="14"/>
              </w:rPr>
              <w:t>on</w:t>
            </w:r>
            <w:r>
              <w:rPr>
                <w:spacing w:val="-10"/>
                <w:sz w:val="14"/>
              </w:rPr>
              <w:t> </w:t>
            </w:r>
            <w:r>
              <w:rPr>
                <w:sz w:val="14"/>
              </w:rPr>
              <w:t>Fair</w:t>
            </w:r>
            <w:r>
              <w:rPr>
                <w:spacing w:val="-6"/>
                <w:sz w:val="14"/>
              </w:rPr>
              <w:t> </w:t>
            </w:r>
            <w:r>
              <w:rPr>
                <w:sz w:val="14"/>
              </w:rPr>
              <w:t>Value</w:t>
            </w:r>
            <w:r>
              <w:rPr>
                <w:spacing w:val="-6"/>
                <w:sz w:val="14"/>
              </w:rPr>
              <w:t> </w:t>
            </w:r>
            <w:r>
              <w:rPr>
                <w:sz w:val="14"/>
              </w:rPr>
              <w:t>Option</w:t>
            </w:r>
            <w:r>
              <w:rPr>
                <w:spacing w:val="-6"/>
                <w:sz w:val="14"/>
              </w:rPr>
              <w:t> </w:t>
            </w:r>
            <w:r>
              <w:rPr>
                <w:sz w:val="14"/>
              </w:rPr>
              <w:t>elected</w:t>
            </w:r>
            <w:r>
              <w:rPr>
                <w:spacing w:val="-6"/>
                <w:sz w:val="14"/>
              </w:rPr>
              <w:t> </w:t>
            </w:r>
            <w:r>
              <w:rPr>
                <w:spacing w:val="-2"/>
                <w:sz w:val="14"/>
              </w:rPr>
              <w:t>liabilities</w:t>
            </w:r>
          </w:p>
        </w:tc>
        <w:tc>
          <w:tcPr>
            <w:tcW w:w="1035" w:type="dxa"/>
            <w:gridSpan w:val="2"/>
          </w:tcPr>
          <w:p>
            <w:pPr>
              <w:pStyle w:val="TableParagraph"/>
              <w:spacing w:before="29"/>
              <w:ind w:right="-15"/>
              <w:jc w:val="right"/>
              <w:rPr>
                <w:sz w:val="14"/>
              </w:rPr>
            </w:pPr>
            <w:r>
              <w:rPr>
                <w:spacing w:val="-2"/>
                <w:sz w:val="14"/>
              </w:rPr>
              <w:t>(218)</w:t>
            </w:r>
          </w:p>
        </w:tc>
        <w:tc>
          <w:tcPr>
            <w:tcW w:w="1099" w:type="dxa"/>
            <w:gridSpan w:val="3"/>
          </w:tcPr>
          <w:p>
            <w:pPr>
              <w:pStyle w:val="TableParagraph"/>
              <w:spacing w:before="29"/>
              <w:ind w:right="33"/>
              <w:jc w:val="right"/>
              <w:rPr>
                <w:sz w:val="14"/>
              </w:rPr>
            </w:pPr>
            <w:r>
              <w:rPr>
                <w:spacing w:val="-5"/>
                <w:sz w:val="14"/>
              </w:rPr>
              <w:t>564</w:t>
            </w:r>
          </w:p>
        </w:tc>
        <w:tc>
          <w:tcPr>
            <w:tcW w:w="1138" w:type="dxa"/>
            <w:gridSpan w:val="3"/>
          </w:tcPr>
          <w:p>
            <w:pPr>
              <w:pStyle w:val="TableParagraph"/>
              <w:spacing w:before="29"/>
              <w:ind w:right="61"/>
              <w:jc w:val="right"/>
              <w:rPr>
                <w:sz w:val="14"/>
              </w:rPr>
            </w:pPr>
            <w:r>
              <w:rPr>
                <w:spacing w:val="-5"/>
                <w:sz w:val="14"/>
              </w:rPr>
              <w:t>18</w:t>
            </w:r>
          </w:p>
        </w:tc>
        <w:tc>
          <w:tcPr>
            <w:tcW w:w="195" w:type="dxa"/>
          </w:tcPr>
          <w:p>
            <w:pPr>
              <w:pStyle w:val="TableParagraph"/>
              <w:rPr>
                <w:rFonts w:ascii="Times New Roman"/>
                <w:sz w:val="16"/>
              </w:rPr>
            </w:pPr>
          </w:p>
        </w:tc>
        <w:tc>
          <w:tcPr>
            <w:tcW w:w="1024" w:type="dxa"/>
          </w:tcPr>
          <w:p>
            <w:pPr>
              <w:pStyle w:val="TableParagraph"/>
              <w:spacing w:before="29"/>
              <w:ind w:right="35"/>
              <w:jc w:val="right"/>
              <w:rPr>
                <w:sz w:val="14"/>
              </w:rPr>
            </w:pPr>
            <w:r>
              <w:rPr>
                <w:spacing w:val="-5"/>
                <w:sz w:val="14"/>
              </w:rPr>
              <w:t>582</w:t>
            </w:r>
          </w:p>
        </w:tc>
        <w:tc>
          <w:tcPr>
            <w:tcW w:w="1031" w:type="dxa"/>
          </w:tcPr>
          <w:p>
            <w:pPr>
              <w:pStyle w:val="TableParagraph"/>
              <w:spacing w:before="29"/>
              <w:ind w:left="-14" w:right="61"/>
              <w:jc w:val="right"/>
              <w:rPr>
                <w:sz w:val="14"/>
              </w:rPr>
            </w:pPr>
            <w:r>
              <w:rPr>
                <w:spacing w:val="-5"/>
                <w:sz w:val="14"/>
              </w:rPr>
              <w:t>364</w:t>
            </w:r>
          </w:p>
        </w:tc>
      </w:tr>
      <w:tr>
        <w:trPr>
          <w:trHeight w:val="192" w:hRule="atLeast"/>
        </w:trPr>
        <w:tc>
          <w:tcPr>
            <w:tcW w:w="3840" w:type="dxa"/>
            <w:gridSpan w:val="2"/>
          </w:tcPr>
          <w:p>
            <w:pPr>
              <w:pStyle w:val="TableParagraph"/>
              <w:spacing w:line="137" w:lineRule="exact" w:before="35"/>
              <w:ind w:left="52"/>
              <w:rPr>
                <w:sz w:val="14"/>
              </w:rPr>
            </w:pPr>
            <w:r>
              <w:rPr>
                <w:sz w:val="14"/>
              </w:rPr>
              <w:t>Unrecognized</w:t>
            </w:r>
            <w:r>
              <w:rPr>
                <w:spacing w:val="-7"/>
                <w:sz w:val="14"/>
              </w:rPr>
              <w:t> </w:t>
            </w:r>
            <w:r>
              <w:rPr>
                <w:sz w:val="14"/>
              </w:rPr>
              <w:t>Net</w:t>
            </w:r>
            <w:r>
              <w:rPr>
                <w:spacing w:val="-9"/>
                <w:sz w:val="14"/>
              </w:rPr>
              <w:t> </w:t>
            </w:r>
            <w:r>
              <w:rPr>
                <w:sz w:val="14"/>
              </w:rPr>
              <w:t>Actuarial</w:t>
            </w:r>
            <w:r>
              <w:rPr>
                <w:spacing w:val="-5"/>
                <w:sz w:val="14"/>
              </w:rPr>
              <w:t> </w:t>
            </w:r>
            <w:r>
              <w:rPr>
                <w:sz w:val="14"/>
              </w:rPr>
              <w:t>(Losses)</w:t>
            </w:r>
            <w:r>
              <w:rPr>
                <w:spacing w:val="-4"/>
                <w:sz w:val="14"/>
              </w:rPr>
              <w:t> </w:t>
            </w:r>
            <w:r>
              <w:rPr>
                <w:sz w:val="14"/>
              </w:rPr>
              <w:t>Gains</w:t>
            </w:r>
            <w:r>
              <w:rPr>
                <w:spacing w:val="-4"/>
                <w:sz w:val="14"/>
              </w:rPr>
              <w:t> </w:t>
            </w:r>
            <w:r>
              <w:rPr>
                <w:spacing w:val="-5"/>
                <w:sz w:val="14"/>
              </w:rPr>
              <w:t>on</w:t>
            </w:r>
          </w:p>
        </w:tc>
        <w:tc>
          <w:tcPr>
            <w:tcW w:w="1035" w:type="dxa"/>
            <w:gridSpan w:val="2"/>
          </w:tcPr>
          <w:p>
            <w:pPr>
              <w:pStyle w:val="TableParagraph"/>
              <w:rPr>
                <w:rFonts w:ascii="Times New Roman"/>
                <w:sz w:val="12"/>
              </w:rPr>
            </w:pPr>
          </w:p>
        </w:tc>
        <w:tc>
          <w:tcPr>
            <w:tcW w:w="1099" w:type="dxa"/>
            <w:gridSpan w:val="3"/>
          </w:tcPr>
          <w:p>
            <w:pPr>
              <w:pStyle w:val="TableParagraph"/>
              <w:rPr>
                <w:rFonts w:ascii="Times New Roman"/>
                <w:sz w:val="12"/>
              </w:rPr>
            </w:pPr>
          </w:p>
        </w:tc>
        <w:tc>
          <w:tcPr>
            <w:tcW w:w="1138" w:type="dxa"/>
            <w:gridSpan w:val="3"/>
          </w:tcPr>
          <w:p>
            <w:pPr>
              <w:pStyle w:val="TableParagraph"/>
              <w:rPr>
                <w:rFonts w:ascii="Times New Roman"/>
                <w:sz w:val="12"/>
              </w:rPr>
            </w:pPr>
          </w:p>
        </w:tc>
        <w:tc>
          <w:tcPr>
            <w:tcW w:w="195" w:type="dxa"/>
          </w:tcPr>
          <w:p>
            <w:pPr>
              <w:pStyle w:val="TableParagraph"/>
              <w:rPr>
                <w:rFonts w:ascii="Times New Roman"/>
                <w:sz w:val="12"/>
              </w:rPr>
            </w:pPr>
          </w:p>
        </w:tc>
        <w:tc>
          <w:tcPr>
            <w:tcW w:w="1024" w:type="dxa"/>
          </w:tcPr>
          <w:p>
            <w:pPr>
              <w:pStyle w:val="TableParagraph"/>
              <w:rPr>
                <w:rFonts w:ascii="Times New Roman"/>
                <w:sz w:val="12"/>
              </w:rPr>
            </w:pPr>
          </w:p>
        </w:tc>
        <w:tc>
          <w:tcPr>
            <w:tcW w:w="1031" w:type="dxa"/>
          </w:tcPr>
          <w:p>
            <w:pPr>
              <w:pStyle w:val="TableParagraph"/>
              <w:rPr>
                <w:rFonts w:ascii="Times New Roman"/>
                <w:sz w:val="12"/>
              </w:rPr>
            </w:pPr>
          </w:p>
        </w:tc>
      </w:tr>
      <w:tr>
        <w:trPr>
          <w:trHeight w:val="212" w:hRule="atLeast"/>
        </w:trPr>
        <w:tc>
          <w:tcPr>
            <w:tcW w:w="3840" w:type="dxa"/>
            <w:gridSpan w:val="2"/>
          </w:tcPr>
          <w:p>
            <w:pPr>
              <w:pStyle w:val="TableParagraph"/>
              <w:spacing w:before="10"/>
              <w:ind w:left="232"/>
              <w:rPr>
                <w:sz w:val="14"/>
              </w:rPr>
            </w:pPr>
            <w:r>
              <w:rPr>
                <w:sz w:val="14"/>
              </w:rPr>
              <w:t>Benefit</w:t>
            </w:r>
            <w:r>
              <w:rPr>
                <w:spacing w:val="-5"/>
                <w:sz w:val="14"/>
              </w:rPr>
              <w:t> </w:t>
            </w:r>
            <w:r>
              <w:rPr>
                <w:spacing w:val="-2"/>
                <w:sz w:val="14"/>
              </w:rPr>
              <w:t>Plans</w:t>
            </w:r>
          </w:p>
        </w:tc>
        <w:tc>
          <w:tcPr>
            <w:tcW w:w="361" w:type="dxa"/>
          </w:tcPr>
          <w:p>
            <w:pPr>
              <w:pStyle w:val="TableParagraph"/>
              <w:rPr>
                <w:rFonts w:ascii="Times New Roman"/>
                <w:sz w:val="14"/>
              </w:rPr>
            </w:pPr>
          </w:p>
        </w:tc>
        <w:tc>
          <w:tcPr>
            <w:tcW w:w="674" w:type="dxa"/>
          </w:tcPr>
          <w:p>
            <w:pPr>
              <w:pStyle w:val="TableParagraph"/>
              <w:spacing w:before="10"/>
              <w:ind w:right="-15"/>
              <w:jc w:val="right"/>
              <w:rPr>
                <w:sz w:val="14"/>
              </w:rPr>
            </w:pPr>
            <w:r>
              <w:rPr>
                <w:spacing w:val="-2"/>
                <w:sz w:val="14"/>
              </w:rPr>
              <w:t>(1,640)</w:t>
            </w:r>
          </w:p>
        </w:tc>
        <w:tc>
          <w:tcPr>
            <w:tcW w:w="460" w:type="dxa"/>
            <w:gridSpan w:val="2"/>
          </w:tcPr>
          <w:p>
            <w:pPr>
              <w:pStyle w:val="TableParagraph"/>
              <w:rPr>
                <w:rFonts w:ascii="Times New Roman"/>
                <w:sz w:val="14"/>
              </w:rPr>
            </w:pPr>
          </w:p>
        </w:tc>
        <w:tc>
          <w:tcPr>
            <w:tcW w:w="639" w:type="dxa"/>
          </w:tcPr>
          <w:p>
            <w:pPr>
              <w:pStyle w:val="TableParagraph"/>
              <w:spacing w:before="10"/>
              <w:ind w:right="33"/>
              <w:jc w:val="right"/>
              <w:rPr>
                <w:sz w:val="14"/>
              </w:rPr>
            </w:pPr>
            <w:r>
              <w:rPr>
                <w:spacing w:val="-2"/>
                <w:sz w:val="14"/>
              </w:rPr>
              <w:t>2,974</w:t>
            </w:r>
          </w:p>
        </w:tc>
        <w:tc>
          <w:tcPr>
            <w:tcW w:w="943" w:type="dxa"/>
            <w:gridSpan w:val="2"/>
          </w:tcPr>
          <w:p>
            <w:pPr>
              <w:pStyle w:val="TableParagraph"/>
              <w:rPr>
                <w:rFonts w:ascii="Times New Roman"/>
                <w:sz w:val="14"/>
              </w:rPr>
            </w:pPr>
          </w:p>
        </w:tc>
        <w:tc>
          <w:tcPr>
            <w:tcW w:w="195" w:type="dxa"/>
          </w:tcPr>
          <w:p>
            <w:pPr>
              <w:pStyle w:val="TableParagraph"/>
              <w:spacing w:before="10"/>
              <w:ind w:left="-25" w:right="61"/>
              <w:jc w:val="center"/>
              <w:rPr>
                <w:sz w:val="14"/>
              </w:rPr>
            </w:pPr>
            <w:r>
              <w:rPr>
                <w:spacing w:val="-5"/>
                <w:sz w:val="14"/>
              </w:rPr>
              <w:t>53</w:t>
            </w:r>
          </w:p>
        </w:tc>
        <w:tc>
          <w:tcPr>
            <w:tcW w:w="195" w:type="dxa"/>
          </w:tcPr>
          <w:p>
            <w:pPr>
              <w:pStyle w:val="TableParagraph"/>
              <w:spacing w:line="98" w:lineRule="exact"/>
              <w:ind w:right="82"/>
              <w:jc w:val="center"/>
              <w:rPr>
                <w:sz w:val="9"/>
              </w:rPr>
            </w:pPr>
            <w:r>
              <w:rPr>
                <w:spacing w:val="-10"/>
                <w:sz w:val="9"/>
              </w:rPr>
              <w:t>a</w:t>
            </w:r>
          </w:p>
        </w:tc>
        <w:tc>
          <w:tcPr>
            <w:tcW w:w="2055" w:type="dxa"/>
            <w:gridSpan w:val="2"/>
          </w:tcPr>
          <w:p>
            <w:pPr>
              <w:pStyle w:val="TableParagraph"/>
              <w:tabs>
                <w:tab w:pos="1641" w:val="left" w:leader="none"/>
              </w:tabs>
              <w:spacing w:before="10"/>
              <w:ind w:left="636"/>
              <w:rPr>
                <w:sz w:val="14"/>
              </w:rPr>
            </w:pPr>
            <w:r>
              <w:rPr>
                <w:spacing w:val="-2"/>
                <w:sz w:val="14"/>
              </w:rPr>
              <w:t>3,027</w:t>
            </w:r>
            <w:r>
              <w:rPr>
                <w:sz w:val="14"/>
              </w:rPr>
              <w:tab/>
            </w:r>
            <w:r>
              <w:rPr>
                <w:spacing w:val="-2"/>
                <w:sz w:val="14"/>
              </w:rPr>
              <w:t>1,387</w:t>
            </w:r>
          </w:p>
        </w:tc>
      </w:tr>
      <w:tr>
        <w:trPr>
          <w:trHeight w:val="384" w:hRule="atLeast"/>
        </w:trPr>
        <w:tc>
          <w:tcPr>
            <w:tcW w:w="3840" w:type="dxa"/>
            <w:gridSpan w:val="2"/>
          </w:tcPr>
          <w:p>
            <w:pPr>
              <w:pStyle w:val="TableParagraph"/>
              <w:spacing w:line="160" w:lineRule="atLeast" w:before="35"/>
              <w:ind w:left="232" w:right="541" w:hanging="180"/>
              <w:rPr>
                <w:sz w:val="14"/>
              </w:rPr>
            </w:pPr>
            <w:r>
              <w:rPr>
                <w:sz w:val="14"/>
              </w:rPr>
              <w:t>Unrecognized</w:t>
            </w:r>
            <w:r>
              <w:rPr>
                <w:spacing w:val="-8"/>
                <w:sz w:val="14"/>
              </w:rPr>
              <w:t> </w:t>
            </w:r>
            <w:r>
              <w:rPr>
                <w:sz w:val="14"/>
              </w:rPr>
              <w:t>Prior</w:t>
            </w:r>
            <w:r>
              <w:rPr>
                <w:spacing w:val="-8"/>
                <w:sz w:val="14"/>
              </w:rPr>
              <w:t> </w:t>
            </w:r>
            <w:r>
              <w:rPr>
                <w:sz w:val="14"/>
              </w:rPr>
              <w:t>Service</w:t>
            </w:r>
            <w:r>
              <w:rPr>
                <w:spacing w:val="-8"/>
                <w:sz w:val="14"/>
              </w:rPr>
              <w:t> </w:t>
            </w:r>
            <w:r>
              <w:rPr>
                <w:sz w:val="14"/>
              </w:rPr>
              <w:t>(Costs)</w:t>
            </w:r>
            <w:r>
              <w:rPr>
                <w:spacing w:val="-8"/>
                <w:sz w:val="14"/>
              </w:rPr>
              <w:t> </w:t>
            </w:r>
            <w:r>
              <w:rPr>
                <w:sz w:val="14"/>
              </w:rPr>
              <w:t>Credits</w:t>
            </w:r>
            <w:r>
              <w:rPr>
                <w:spacing w:val="-8"/>
                <w:sz w:val="14"/>
              </w:rPr>
              <w:t> </w:t>
            </w:r>
            <w:r>
              <w:rPr>
                <w:sz w:val="14"/>
              </w:rPr>
              <w:t>on</w:t>
            </w:r>
            <w:r>
              <w:rPr>
                <w:spacing w:val="40"/>
                <w:sz w:val="14"/>
              </w:rPr>
              <w:t> </w:t>
            </w:r>
            <w:r>
              <w:rPr>
                <w:sz w:val="14"/>
              </w:rPr>
              <w:t>Benefit</w:t>
            </w:r>
            <w:r>
              <w:rPr>
                <w:spacing w:val="-2"/>
                <w:sz w:val="14"/>
              </w:rPr>
              <w:t> </w:t>
            </w:r>
            <w:r>
              <w:rPr>
                <w:sz w:val="14"/>
              </w:rPr>
              <w:t>Plans</w:t>
            </w:r>
          </w:p>
        </w:tc>
        <w:tc>
          <w:tcPr>
            <w:tcW w:w="361" w:type="dxa"/>
            <w:tcBorders>
              <w:bottom w:val="single" w:sz="8" w:space="0" w:color="000000"/>
            </w:tcBorders>
          </w:tcPr>
          <w:p>
            <w:pPr>
              <w:pStyle w:val="TableParagraph"/>
              <w:rPr>
                <w:rFonts w:ascii="Times New Roman"/>
                <w:sz w:val="16"/>
              </w:rPr>
            </w:pPr>
          </w:p>
        </w:tc>
        <w:tc>
          <w:tcPr>
            <w:tcW w:w="674" w:type="dxa"/>
            <w:tcBorders>
              <w:bottom w:val="single" w:sz="8" w:space="0" w:color="000000"/>
            </w:tcBorders>
          </w:tcPr>
          <w:p>
            <w:pPr>
              <w:pStyle w:val="TableParagraph"/>
              <w:spacing w:before="42"/>
              <w:rPr>
                <w:rFonts w:ascii="Arial"/>
                <w:i/>
                <w:sz w:val="14"/>
              </w:rPr>
            </w:pPr>
          </w:p>
          <w:p>
            <w:pPr>
              <w:pStyle w:val="TableParagraph"/>
              <w:spacing w:line="161" w:lineRule="exact"/>
              <w:ind w:right="-15"/>
              <w:jc w:val="right"/>
              <w:rPr>
                <w:sz w:val="14"/>
              </w:rPr>
            </w:pPr>
            <w:r>
              <w:rPr>
                <w:spacing w:val="-4"/>
                <w:sz w:val="14"/>
              </w:rPr>
              <w:t>(66)</w:t>
            </w:r>
          </w:p>
        </w:tc>
        <w:tc>
          <w:tcPr>
            <w:tcW w:w="460" w:type="dxa"/>
            <w:gridSpan w:val="2"/>
            <w:tcBorders>
              <w:bottom w:val="single" w:sz="8" w:space="0" w:color="000000"/>
            </w:tcBorders>
          </w:tcPr>
          <w:p>
            <w:pPr>
              <w:pStyle w:val="TableParagraph"/>
              <w:rPr>
                <w:rFonts w:ascii="Times New Roman"/>
                <w:sz w:val="16"/>
              </w:rPr>
            </w:pPr>
          </w:p>
        </w:tc>
        <w:tc>
          <w:tcPr>
            <w:tcW w:w="639" w:type="dxa"/>
            <w:tcBorders>
              <w:bottom w:val="single" w:sz="8" w:space="0" w:color="000000"/>
            </w:tcBorders>
          </w:tcPr>
          <w:p>
            <w:pPr>
              <w:pStyle w:val="TableParagraph"/>
              <w:spacing w:before="42"/>
              <w:rPr>
                <w:rFonts w:ascii="Arial"/>
                <w:i/>
                <w:sz w:val="14"/>
              </w:rPr>
            </w:pPr>
          </w:p>
          <w:p>
            <w:pPr>
              <w:pStyle w:val="TableParagraph"/>
              <w:spacing w:line="161" w:lineRule="exact"/>
              <w:ind w:right="33"/>
              <w:jc w:val="right"/>
              <w:rPr>
                <w:sz w:val="14"/>
              </w:rPr>
            </w:pPr>
            <w:r>
              <w:rPr>
                <w:sz w:val="14"/>
              </w:rPr>
              <w:t>—</w:t>
            </w:r>
          </w:p>
        </w:tc>
        <w:tc>
          <w:tcPr>
            <w:tcW w:w="943" w:type="dxa"/>
            <w:gridSpan w:val="2"/>
            <w:tcBorders>
              <w:bottom w:val="single" w:sz="8" w:space="0" w:color="000000"/>
            </w:tcBorders>
          </w:tcPr>
          <w:p>
            <w:pPr>
              <w:pStyle w:val="TableParagraph"/>
              <w:rPr>
                <w:rFonts w:ascii="Times New Roman"/>
                <w:sz w:val="16"/>
              </w:rPr>
            </w:pPr>
          </w:p>
        </w:tc>
        <w:tc>
          <w:tcPr>
            <w:tcW w:w="195" w:type="dxa"/>
            <w:tcBorders>
              <w:bottom w:val="single" w:sz="8" w:space="0" w:color="000000"/>
            </w:tcBorders>
          </w:tcPr>
          <w:p>
            <w:pPr>
              <w:pStyle w:val="TableParagraph"/>
              <w:spacing w:before="42"/>
              <w:rPr>
                <w:rFonts w:ascii="Arial"/>
                <w:i/>
                <w:sz w:val="14"/>
              </w:rPr>
            </w:pPr>
          </w:p>
          <w:p>
            <w:pPr>
              <w:pStyle w:val="TableParagraph"/>
              <w:spacing w:line="161" w:lineRule="exact"/>
              <w:ind w:left="-25" w:right="61"/>
              <w:jc w:val="center"/>
              <w:rPr>
                <w:sz w:val="14"/>
              </w:rPr>
            </w:pPr>
            <w:r>
              <w:rPr>
                <w:spacing w:val="-5"/>
                <w:sz w:val="14"/>
              </w:rPr>
              <w:t>23</w:t>
            </w:r>
          </w:p>
        </w:tc>
        <w:tc>
          <w:tcPr>
            <w:tcW w:w="195" w:type="dxa"/>
          </w:tcPr>
          <w:p>
            <w:pPr>
              <w:pStyle w:val="TableParagraph"/>
              <w:spacing w:before="83"/>
              <w:rPr>
                <w:rFonts w:ascii="Arial"/>
                <w:i/>
                <w:sz w:val="9"/>
              </w:rPr>
            </w:pPr>
          </w:p>
          <w:p>
            <w:pPr>
              <w:pStyle w:val="TableParagraph"/>
              <w:ind w:right="82"/>
              <w:jc w:val="center"/>
              <w:rPr>
                <w:sz w:val="9"/>
              </w:rPr>
            </w:pPr>
            <w:r>
              <w:rPr>
                <w:spacing w:val="-10"/>
                <w:sz w:val="9"/>
              </w:rPr>
              <w:t>a</w:t>
            </w:r>
          </w:p>
        </w:tc>
        <w:tc>
          <w:tcPr>
            <w:tcW w:w="2055" w:type="dxa"/>
            <w:gridSpan w:val="2"/>
            <w:tcBorders>
              <w:bottom w:val="single" w:sz="8" w:space="0" w:color="000000"/>
            </w:tcBorders>
          </w:tcPr>
          <w:p>
            <w:pPr>
              <w:pStyle w:val="TableParagraph"/>
              <w:spacing w:before="42"/>
              <w:rPr>
                <w:rFonts w:ascii="Arial"/>
                <w:i/>
                <w:sz w:val="14"/>
              </w:rPr>
            </w:pPr>
          </w:p>
          <w:p>
            <w:pPr>
              <w:pStyle w:val="TableParagraph"/>
              <w:tabs>
                <w:tab w:pos="1789" w:val="left" w:leader="none"/>
              </w:tabs>
              <w:spacing w:line="161" w:lineRule="exact"/>
              <w:ind w:left="830"/>
              <w:rPr>
                <w:sz w:val="14"/>
              </w:rPr>
            </w:pPr>
            <w:r>
              <w:rPr>
                <w:spacing w:val="-5"/>
                <w:sz w:val="14"/>
              </w:rPr>
              <w:t>23</w:t>
            </w:r>
            <w:r>
              <w:rPr>
                <w:sz w:val="14"/>
              </w:rPr>
              <w:tab/>
            </w:r>
            <w:r>
              <w:rPr>
                <w:spacing w:val="-4"/>
                <w:sz w:val="14"/>
              </w:rPr>
              <w:t>(43)</w:t>
            </w:r>
          </w:p>
        </w:tc>
      </w:tr>
      <w:tr>
        <w:trPr>
          <w:trHeight w:val="195" w:hRule="atLeast"/>
        </w:trPr>
        <w:tc>
          <w:tcPr>
            <w:tcW w:w="3840" w:type="dxa"/>
            <w:gridSpan w:val="2"/>
          </w:tcPr>
          <w:p>
            <w:pPr>
              <w:pStyle w:val="TableParagraph"/>
              <w:spacing w:line="151" w:lineRule="exact" w:before="24"/>
              <w:ind w:left="52"/>
              <w:rPr>
                <w:sz w:val="14"/>
              </w:rPr>
            </w:pPr>
            <w:r>
              <w:rPr>
                <w:spacing w:val="-5"/>
                <w:sz w:val="14"/>
              </w:rPr>
              <w:t>Total</w:t>
            </w:r>
            <w:r>
              <w:rPr>
                <w:spacing w:val="-1"/>
                <w:sz w:val="14"/>
              </w:rPr>
              <w:t> </w:t>
            </w:r>
            <w:r>
              <w:rPr>
                <w:spacing w:val="-4"/>
                <w:sz w:val="14"/>
              </w:rPr>
              <w:t>AOCI</w:t>
            </w:r>
          </w:p>
        </w:tc>
        <w:tc>
          <w:tcPr>
            <w:tcW w:w="361" w:type="dxa"/>
            <w:tcBorders>
              <w:top w:val="single" w:sz="8" w:space="0" w:color="000000"/>
              <w:bottom w:val="double" w:sz="8" w:space="0" w:color="000000"/>
            </w:tcBorders>
          </w:tcPr>
          <w:p>
            <w:pPr>
              <w:pStyle w:val="TableParagraph"/>
              <w:spacing w:line="141" w:lineRule="exact" w:before="24"/>
              <w:ind w:left="52"/>
              <w:rPr>
                <w:sz w:val="14"/>
              </w:rPr>
            </w:pPr>
            <w:r>
              <w:rPr>
                <w:spacing w:val="-10"/>
                <w:sz w:val="14"/>
              </w:rPr>
              <w:t>$</w:t>
            </w:r>
          </w:p>
        </w:tc>
        <w:tc>
          <w:tcPr>
            <w:tcW w:w="674" w:type="dxa"/>
            <w:tcBorders>
              <w:top w:val="single" w:sz="8" w:space="0" w:color="000000"/>
              <w:bottom w:val="double" w:sz="8" w:space="0" w:color="000000"/>
            </w:tcBorders>
          </w:tcPr>
          <w:p>
            <w:pPr>
              <w:pStyle w:val="TableParagraph"/>
              <w:spacing w:line="141" w:lineRule="exact" w:before="24"/>
              <w:ind w:right="-15"/>
              <w:jc w:val="right"/>
              <w:rPr>
                <w:sz w:val="14"/>
              </w:rPr>
            </w:pPr>
            <w:r>
              <w:rPr>
                <w:spacing w:val="-2"/>
                <w:sz w:val="14"/>
              </w:rPr>
              <w:t>(1,565)</w:t>
            </w:r>
          </w:p>
        </w:tc>
        <w:tc>
          <w:tcPr>
            <w:tcW w:w="460" w:type="dxa"/>
            <w:gridSpan w:val="2"/>
            <w:tcBorders>
              <w:top w:val="single" w:sz="8" w:space="0" w:color="000000"/>
              <w:bottom w:val="double" w:sz="8" w:space="0" w:color="000000"/>
            </w:tcBorders>
          </w:tcPr>
          <w:p>
            <w:pPr>
              <w:pStyle w:val="TableParagraph"/>
              <w:spacing w:line="141" w:lineRule="exact" w:before="24"/>
              <w:ind w:left="127"/>
              <w:rPr>
                <w:sz w:val="14"/>
              </w:rPr>
            </w:pPr>
            <w:r>
              <w:rPr>
                <w:spacing w:val="-10"/>
                <w:sz w:val="14"/>
              </w:rPr>
              <w:t>$</w:t>
            </w:r>
          </w:p>
        </w:tc>
        <w:tc>
          <w:tcPr>
            <w:tcW w:w="639" w:type="dxa"/>
            <w:tcBorders>
              <w:top w:val="single" w:sz="8" w:space="0" w:color="000000"/>
              <w:bottom w:val="double" w:sz="8" w:space="0" w:color="000000"/>
            </w:tcBorders>
          </w:tcPr>
          <w:p>
            <w:pPr>
              <w:pStyle w:val="TableParagraph"/>
              <w:spacing w:line="141" w:lineRule="exact" w:before="24"/>
              <w:ind w:right="33"/>
              <w:jc w:val="right"/>
              <w:rPr>
                <w:sz w:val="14"/>
              </w:rPr>
            </w:pPr>
            <w:r>
              <w:rPr>
                <w:spacing w:val="-2"/>
                <w:sz w:val="14"/>
              </w:rPr>
              <w:t>2,389</w:t>
            </w:r>
          </w:p>
        </w:tc>
        <w:tc>
          <w:tcPr>
            <w:tcW w:w="943" w:type="dxa"/>
            <w:gridSpan w:val="2"/>
            <w:tcBorders>
              <w:top w:val="single" w:sz="8" w:space="0" w:color="000000"/>
              <w:bottom w:val="double" w:sz="8" w:space="0" w:color="000000"/>
            </w:tcBorders>
          </w:tcPr>
          <w:p>
            <w:pPr>
              <w:pStyle w:val="TableParagraph"/>
              <w:spacing w:line="141" w:lineRule="exact" w:before="24"/>
              <w:ind w:left="138"/>
              <w:rPr>
                <w:sz w:val="14"/>
              </w:rPr>
            </w:pPr>
            <w:r>
              <w:rPr>
                <w:spacing w:val="-10"/>
                <w:sz w:val="14"/>
              </w:rPr>
              <w:t>$</w:t>
            </w:r>
          </w:p>
        </w:tc>
        <w:tc>
          <w:tcPr>
            <w:tcW w:w="195" w:type="dxa"/>
            <w:tcBorders>
              <w:top w:val="single" w:sz="8" w:space="0" w:color="000000"/>
              <w:bottom w:val="double" w:sz="8" w:space="0" w:color="000000"/>
            </w:tcBorders>
          </w:tcPr>
          <w:p>
            <w:pPr>
              <w:pStyle w:val="TableParagraph"/>
              <w:spacing w:line="141" w:lineRule="exact" w:before="24"/>
              <w:ind w:left="-25" w:right="61"/>
              <w:jc w:val="center"/>
              <w:rPr>
                <w:sz w:val="14"/>
              </w:rPr>
            </w:pPr>
            <w:r>
              <w:rPr>
                <w:spacing w:val="-5"/>
                <w:sz w:val="14"/>
              </w:rPr>
              <w:t>94</w:t>
            </w:r>
          </w:p>
        </w:tc>
        <w:tc>
          <w:tcPr>
            <w:tcW w:w="195" w:type="dxa"/>
          </w:tcPr>
          <w:p>
            <w:pPr>
              <w:pStyle w:val="TableParagraph"/>
              <w:rPr>
                <w:rFonts w:ascii="Times New Roman"/>
                <w:sz w:val="12"/>
              </w:rPr>
            </w:pPr>
          </w:p>
        </w:tc>
        <w:tc>
          <w:tcPr>
            <w:tcW w:w="2055" w:type="dxa"/>
            <w:gridSpan w:val="2"/>
            <w:tcBorders>
              <w:top w:val="single" w:sz="8" w:space="0" w:color="000000"/>
              <w:bottom w:val="single" w:sz="8" w:space="0" w:color="000000"/>
            </w:tcBorders>
          </w:tcPr>
          <w:p>
            <w:pPr>
              <w:pStyle w:val="TableParagraph"/>
              <w:tabs>
                <w:tab w:pos="636" w:val="left" w:leader="none"/>
                <w:tab w:pos="1757" w:val="left" w:leader="none"/>
              </w:tabs>
              <w:spacing w:line="161" w:lineRule="exact" w:before="24"/>
              <w:ind w:left="-2"/>
              <w:rPr>
                <w:sz w:val="14"/>
              </w:rPr>
            </w:pPr>
            <w:r>
              <w:rPr>
                <w:spacing w:val="16"/>
                <w:sz w:val="14"/>
                <w:u w:val="single"/>
              </w:rPr>
              <w:t> </w:t>
            </w:r>
            <w:r>
              <w:rPr>
                <w:spacing w:val="-10"/>
                <w:sz w:val="14"/>
                <w:u w:val="single"/>
              </w:rPr>
              <w:t>$</w:t>
            </w:r>
            <w:r>
              <w:rPr>
                <w:sz w:val="14"/>
                <w:u w:val="single"/>
              </w:rPr>
              <w:tab/>
              <w:t>2,483</w:t>
            </w:r>
            <w:r>
              <w:rPr>
                <w:spacing w:val="46"/>
                <w:sz w:val="14"/>
                <w:u w:val="single"/>
              </w:rPr>
              <w:t>  </w:t>
            </w:r>
            <w:r>
              <w:rPr>
                <w:spacing w:val="-10"/>
                <w:sz w:val="14"/>
                <w:u w:val="single"/>
              </w:rPr>
              <w:t>$</w:t>
            </w:r>
            <w:r>
              <w:rPr>
                <w:sz w:val="14"/>
                <w:u w:val="single"/>
              </w:rPr>
              <w:tab/>
            </w:r>
            <w:r>
              <w:rPr>
                <w:spacing w:val="-5"/>
                <w:sz w:val="14"/>
                <w:u w:val="single"/>
              </w:rPr>
              <w:t>918</w:t>
            </w:r>
          </w:p>
        </w:tc>
      </w:tr>
      <w:tr>
        <w:trPr>
          <w:trHeight w:val="175" w:hRule="atLeast"/>
        </w:trPr>
        <w:tc>
          <w:tcPr>
            <w:tcW w:w="3840" w:type="dxa"/>
            <w:gridSpan w:val="2"/>
            <w:tcBorders>
              <w:bottom w:val="single" w:sz="8" w:space="0" w:color="000000"/>
            </w:tcBorders>
          </w:tcPr>
          <w:p>
            <w:pPr>
              <w:pStyle w:val="TableParagraph"/>
              <w:rPr>
                <w:rFonts w:ascii="Times New Roman"/>
                <w:sz w:val="10"/>
              </w:rPr>
            </w:pPr>
          </w:p>
        </w:tc>
        <w:tc>
          <w:tcPr>
            <w:tcW w:w="361" w:type="dxa"/>
            <w:tcBorders>
              <w:top w:val="double" w:sz="8" w:space="0" w:color="000000"/>
              <w:bottom w:val="single" w:sz="8" w:space="0" w:color="000000"/>
            </w:tcBorders>
          </w:tcPr>
          <w:p>
            <w:pPr>
              <w:pStyle w:val="TableParagraph"/>
              <w:rPr>
                <w:rFonts w:ascii="Times New Roman"/>
                <w:sz w:val="12"/>
              </w:rPr>
            </w:pPr>
          </w:p>
        </w:tc>
        <w:tc>
          <w:tcPr>
            <w:tcW w:w="674" w:type="dxa"/>
            <w:tcBorders>
              <w:top w:val="double" w:sz="8" w:space="0" w:color="000000"/>
              <w:bottom w:val="single" w:sz="8" w:space="0" w:color="000000"/>
            </w:tcBorders>
          </w:tcPr>
          <w:p>
            <w:pPr>
              <w:pStyle w:val="TableParagraph"/>
              <w:rPr>
                <w:rFonts w:ascii="Times New Roman"/>
                <w:sz w:val="12"/>
              </w:rPr>
            </w:pPr>
          </w:p>
        </w:tc>
        <w:tc>
          <w:tcPr>
            <w:tcW w:w="460" w:type="dxa"/>
            <w:gridSpan w:val="2"/>
            <w:tcBorders>
              <w:top w:val="double" w:sz="8" w:space="0" w:color="000000"/>
              <w:bottom w:val="single" w:sz="8" w:space="0" w:color="000000"/>
            </w:tcBorders>
          </w:tcPr>
          <w:p>
            <w:pPr>
              <w:pStyle w:val="TableParagraph"/>
              <w:rPr>
                <w:rFonts w:ascii="Times New Roman"/>
                <w:sz w:val="12"/>
              </w:rPr>
            </w:pPr>
          </w:p>
        </w:tc>
        <w:tc>
          <w:tcPr>
            <w:tcW w:w="639" w:type="dxa"/>
            <w:tcBorders>
              <w:top w:val="double" w:sz="8" w:space="0" w:color="000000"/>
              <w:bottom w:val="single" w:sz="8" w:space="0" w:color="000000"/>
            </w:tcBorders>
          </w:tcPr>
          <w:p>
            <w:pPr>
              <w:pStyle w:val="TableParagraph"/>
              <w:rPr>
                <w:rFonts w:ascii="Times New Roman"/>
                <w:sz w:val="12"/>
              </w:rPr>
            </w:pPr>
          </w:p>
        </w:tc>
        <w:tc>
          <w:tcPr>
            <w:tcW w:w="943" w:type="dxa"/>
            <w:gridSpan w:val="2"/>
            <w:tcBorders>
              <w:top w:val="double" w:sz="8" w:space="0" w:color="000000"/>
              <w:bottom w:val="single" w:sz="8" w:space="0" w:color="000000"/>
            </w:tcBorders>
          </w:tcPr>
          <w:p>
            <w:pPr>
              <w:pStyle w:val="TableParagraph"/>
              <w:rPr>
                <w:rFonts w:ascii="Times New Roman"/>
                <w:sz w:val="12"/>
              </w:rPr>
            </w:pPr>
          </w:p>
        </w:tc>
        <w:tc>
          <w:tcPr>
            <w:tcW w:w="195" w:type="dxa"/>
            <w:tcBorders>
              <w:top w:val="double" w:sz="8" w:space="0" w:color="000000"/>
              <w:bottom w:val="single" w:sz="8" w:space="0" w:color="000000"/>
            </w:tcBorders>
          </w:tcPr>
          <w:p>
            <w:pPr>
              <w:pStyle w:val="TableParagraph"/>
              <w:rPr>
                <w:rFonts w:ascii="Times New Roman"/>
                <w:sz w:val="12"/>
              </w:rPr>
            </w:pPr>
          </w:p>
        </w:tc>
        <w:tc>
          <w:tcPr>
            <w:tcW w:w="195" w:type="dxa"/>
            <w:tcBorders>
              <w:bottom w:val="single" w:sz="8" w:space="0" w:color="000000"/>
            </w:tcBorders>
          </w:tcPr>
          <w:p>
            <w:pPr>
              <w:pStyle w:val="TableParagraph"/>
              <w:rPr>
                <w:rFonts w:ascii="Times New Roman"/>
                <w:sz w:val="10"/>
              </w:rPr>
            </w:pPr>
          </w:p>
        </w:tc>
        <w:tc>
          <w:tcPr>
            <w:tcW w:w="2055" w:type="dxa"/>
            <w:gridSpan w:val="2"/>
            <w:tcBorders>
              <w:top w:val="single" w:sz="8" w:space="0" w:color="000000"/>
              <w:bottom w:val="single" w:sz="8" w:space="0" w:color="000000"/>
            </w:tcBorders>
          </w:tcPr>
          <w:p>
            <w:pPr>
              <w:pStyle w:val="TableParagraph"/>
              <w:rPr>
                <w:rFonts w:ascii="Times New Roman"/>
                <w:sz w:val="10"/>
              </w:rPr>
            </w:pPr>
          </w:p>
        </w:tc>
      </w:tr>
    </w:tbl>
    <w:p>
      <w:pPr>
        <w:pStyle w:val="TableParagraph"/>
        <w:spacing w:after="0"/>
        <w:rPr>
          <w:rFonts w:ascii="Times New Roman"/>
          <w:sz w:val="10"/>
        </w:rPr>
        <w:sectPr>
          <w:headerReference w:type="even" r:id="rId205"/>
          <w:footerReference w:type="even" r:id="rId206"/>
          <w:footerReference w:type="default" r:id="rId207"/>
          <w:pgSz w:w="12240" w:h="15840"/>
          <w:pgMar w:header="1037" w:footer="528" w:top="1560" w:bottom="720" w:left="720" w:right="720"/>
          <w:pgNumType w:start="128"/>
        </w:sectPr>
      </w:pPr>
    </w:p>
    <w:p>
      <w:pPr>
        <w:pStyle w:val="Heading8"/>
        <w:spacing w:before="68"/>
      </w:pPr>
      <w:r>
        <w:rPr/>
        <w:t>Table</w:t>
      </w:r>
      <w:r>
        <w:rPr>
          <w:spacing w:val="-4"/>
        </w:rPr>
        <w:t> </w:t>
      </w:r>
      <w:r>
        <w:rPr>
          <w:spacing w:val="-2"/>
        </w:rPr>
        <w:t>K1.2:</w:t>
      </w:r>
    </w:p>
    <w:p>
      <w:pPr>
        <w:spacing w:before="96"/>
        <w:ind w:left="772" w:right="0" w:firstLine="0"/>
        <w:jc w:val="left"/>
        <w:rPr>
          <w:rFonts w:ascii="Arial"/>
          <w:i/>
          <w:sz w:val="14"/>
        </w:rPr>
      </w:pPr>
      <w:r>
        <w:rPr>
          <w:rFonts w:ascii="Arial"/>
          <w:i/>
          <w:sz w:val="14"/>
        </w:rPr>
        <mc:AlternateContent>
          <mc:Choice Requires="wps">
            <w:drawing>
              <wp:anchor distT="0" distB="0" distL="0" distR="0" allowOverlap="1" layoutInCell="1" locked="0" behindDoc="0" simplePos="0" relativeHeight="15904256">
                <wp:simplePos x="0" y="0"/>
                <wp:positionH relativeFrom="page">
                  <wp:posOffset>914400</wp:posOffset>
                </wp:positionH>
                <wp:positionV relativeFrom="paragraph">
                  <wp:posOffset>182257</wp:posOffset>
                </wp:positionV>
                <wp:extent cx="5924550" cy="1270"/>
                <wp:effectExtent l="0" t="0" r="0" b="0"/>
                <wp:wrapNone/>
                <wp:docPr id="984" name="Graphic 984"/>
                <wp:cNvGraphicFramePr>
                  <a:graphicFrameLocks/>
                </wp:cNvGraphicFramePr>
                <a:graphic>
                  <a:graphicData uri="http://schemas.microsoft.com/office/word/2010/wordprocessingShape">
                    <wps:wsp>
                      <wps:cNvPr id="984" name="Graphic 984"/>
                      <wps:cNvSpPr/>
                      <wps:spPr>
                        <a:xfrm>
                          <a:off x="0" y="0"/>
                          <a:ext cx="5924550" cy="1270"/>
                        </a:xfrm>
                        <a:custGeom>
                          <a:avLst/>
                          <a:gdLst/>
                          <a:ahLst/>
                          <a:cxnLst/>
                          <a:rect l="l" t="t" r="r" b="b"/>
                          <a:pathLst>
                            <a:path w="5924550" h="0">
                              <a:moveTo>
                                <a:pt x="0" y="0"/>
                              </a:moveTo>
                              <a:lnTo>
                                <a:pt x="5924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4256" from="72pt,14.350977pt" to="538.5pt,14.350977pt" stroked="true" strokeweight="1pt" strokecolor="#000000">
                <v:stroke dashstyle="solid"/>
                <w10:wrap type="none"/>
              </v:lin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131"/>
        <w:rPr>
          <w:rFonts w:ascii="Arial"/>
          <w:i/>
          <w:sz w:val="14"/>
        </w:rPr>
      </w:pPr>
    </w:p>
    <w:p>
      <w:pPr>
        <w:spacing w:line="230" w:lineRule="atLeast" w:before="0"/>
        <w:ind w:left="772" w:right="0" w:firstLine="0"/>
        <w:jc w:val="left"/>
        <w:rPr>
          <w:rFonts w:ascii="Arial MT"/>
          <w:sz w:val="14"/>
        </w:rPr>
      </w:pPr>
      <w:r>
        <w:rPr>
          <w:rFonts w:ascii="Arial MT"/>
          <w:spacing w:val="-2"/>
          <w:sz w:val="14"/>
        </w:rPr>
        <w:t>Cumulative Translation Adjustment</w:t>
      </w:r>
      <w:r>
        <w:rPr>
          <w:rFonts w:ascii="Arial MT"/>
          <w:spacing w:val="40"/>
          <w:sz w:val="14"/>
        </w:rPr>
        <w:t> </w:t>
      </w:r>
      <w:r>
        <w:rPr>
          <w:rFonts w:ascii="Arial MT"/>
          <w:sz w:val="14"/>
        </w:rPr>
        <w:t>DVA</w:t>
      </w:r>
      <w:r>
        <w:rPr>
          <w:rFonts w:ascii="Arial MT"/>
          <w:spacing w:val="-4"/>
          <w:sz w:val="14"/>
        </w:rPr>
        <w:t> </w:t>
      </w:r>
      <w:r>
        <w:rPr>
          <w:rFonts w:ascii="Arial MT"/>
          <w:sz w:val="14"/>
        </w:rPr>
        <w:t>on Fair Value Option elected</w:t>
      </w:r>
    </w:p>
    <w:p>
      <w:pPr>
        <w:spacing w:before="14"/>
        <w:ind w:left="862" w:right="0" w:firstLine="0"/>
        <w:jc w:val="left"/>
        <w:rPr>
          <w:rFonts w:ascii="Arial MT"/>
          <w:sz w:val="14"/>
        </w:rPr>
      </w:pPr>
      <w:r>
        <w:rPr>
          <w:rFonts w:ascii="Arial MT"/>
          <w:spacing w:val="-2"/>
          <w:sz w:val="14"/>
        </w:rPr>
        <w:t>liabilities</w:t>
      </w:r>
    </w:p>
    <w:p>
      <w:pPr>
        <w:spacing w:line="249" w:lineRule="auto" w:before="76"/>
        <w:ind w:left="850" w:right="0" w:hanging="78"/>
        <w:jc w:val="left"/>
        <w:rPr>
          <w:rFonts w:ascii="Arial MT"/>
          <w:sz w:val="14"/>
        </w:rPr>
      </w:pPr>
      <w:r>
        <w:rPr>
          <w:rFonts w:ascii="Arial MT"/>
          <w:sz w:val="14"/>
        </w:rPr>
        <w:t>Unrecognized</w:t>
      </w:r>
      <w:r>
        <w:rPr>
          <w:rFonts w:ascii="Arial MT"/>
          <w:spacing w:val="-10"/>
          <w:sz w:val="14"/>
        </w:rPr>
        <w:t> </w:t>
      </w:r>
      <w:r>
        <w:rPr>
          <w:rFonts w:ascii="Arial MT"/>
          <w:sz w:val="14"/>
        </w:rPr>
        <w:t>Net</w:t>
      </w:r>
      <w:r>
        <w:rPr>
          <w:rFonts w:ascii="Arial MT"/>
          <w:spacing w:val="-10"/>
          <w:sz w:val="14"/>
        </w:rPr>
        <w:t> </w:t>
      </w:r>
      <w:r>
        <w:rPr>
          <w:rFonts w:ascii="Arial MT"/>
          <w:sz w:val="14"/>
        </w:rPr>
        <w:t>Actuarial</w:t>
      </w:r>
      <w:r>
        <w:rPr>
          <w:rFonts w:ascii="Arial MT"/>
          <w:spacing w:val="-10"/>
          <w:sz w:val="14"/>
        </w:rPr>
        <w:t> </w:t>
      </w:r>
      <w:r>
        <w:rPr>
          <w:rFonts w:ascii="Arial MT"/>
          <w:sz w:val="14"/>
        </w:rPr>
        <w:t>(Losses)</w:t>
      </w:r>
      <w:r>
        <w:rPr>
          <w:rFonts w:ascii="Arial MT"/>
          <w:spacing w:val="40"/>
          <w:sz w:val="14"/>
        </w:rPr>
        <w:t> </w:t>
      </w:r>
      <w:r>
        <w:rPr>
          <w:rFonts w:ascii="Arial MT"/>
          <w:sz w:val="14"/>
        </w:rPr>
        <w:t>Gains on Benefit Plans</w:t>
      </w:r>
    </w:p>
    <w:p>
      <w:pPr>
        <w:spacing w:line="249" w:lineRule="auto" w:before="70"/>
        <w:ind w:left="850" w:right="0" w:hanging="78"/>
        <w:jc w:val="left"/>
        <w:rPr>
          <w:rFonts w:ascii="Arial MT"/>
          <w:sz w:val="14"/>
        </w:rPr>
      </w:pPr>
      <w:r>
        <w:rPr>
          <w:rFonts w:ascii="Arial MT"/>
          <w:sz w:val="14"/>
        </w:rPr>
        <w:t>Unrecognized</w:t>
      </w:r>
      <w:r>
        <w:rPr>
          <w:rFonts w:ascii="Arial MT"/>
          <w:spacing w:val="-10"/>
          <w:sz w:val="14"/>
        </w:rPr>
        <w:t> </w:t>
      </w:r>
      <w:r>
        <w:rPr>
          <w:rFonts w:ascii="Arial MT"/>
          <w:sz w:val="14"/>
        </w:rPr>
        <w:t>Prior</w:t>
      </w:r>
      <w:r>
        <w:rPr>
          <w:rFonts w:ascii="Arial MT"/>
          <w:spacing w:val="-10"/>
          <w:sz w:val="14"/>
        </w:rPr>
        <w:t> </w:t>
      </w:r>
      <w:r>
        <w:rPr>
          <w:rFonts w:ascii="Arial MT"/>
          <w:sz w:val="14"/>
        </w:rPr>
        <w:t>Service</w:t>
      </w:r>
      <w:r>
        <w:rPr>
          <w:rFonts w:ascii="Arial MT"/>
          <w:spacing w:val="-10"/>
          <w:sz w:val="14"/>
        </w:rPr>
        <w:t> </w:t>
      </w:r>
      <w:r>
        <w:rPr>
          <w:rFonts w:ascii="Arial MT"/>
          <w:sz w:val="14"/>
        </w:rPr>
        <w:t>(Costs)</w:t>
      </w:r>
      <w:r>
        <w:rPr>
          <w:rFonts w:ascii="Arial MT"/>
          <w:spacing w:val="40"/>
          <w:sz w:val="14"/>
        </w:rPr>
        <w:t> </w:t>
      </w:r>
      <w:r>
        <w:rPr>
          <w:rFonts w:ascii="Arial MT"/>
          <w:sz w:val="14"/>
        </w:rPr>
        <w:t>Credits on Benefit Plans</w:t>
      </w:r>
    </w:p>
    <w:p>
      <w:pPr>
        <w:pStyle w:val="BodyText"/>
        <w:rPr>
          <w:rFonts w:ascii="Arial MT"/>
          <w:sz w:val="14"/>
        </w:rPr>
      </w:pPr>
      <w:r>
        <w:rPr/>
        <w:br w:type="column"/>
      </w:r>
      <w:r>
        <w:rPr>
          <w:rFonts w:ascii="Arial MT"/>
          <w:sz w:val="14"/>
        </w:rPr>
      </w:r>
    </w:p>
    <w:p>
      <w:pPr>
        <w:pStyle w:val="BodyText"/>
        <w:rPr>
          <w:rFonts w:ascii="Arial MT"/>
          <w:sz w:val="14"/>
        </w:rPr>
      </w:pPr>
    </w:p>
    <w:p>
      <w:pPr>
        <w:pStyle w:val="BodyText"/>
        <w:rPr>
          <w:rFonts w:ascii="Arial MT"/>
          <w:sz w:val="14"/>
        </w:rPr>
      </w:pPr>
    </w:p>
    <w:p>
      <w:pPr>
        <w:pStyle w:val="BodyText"/>
        <w:rPr>
          <w:rFonts w:ascii="Arial MT"/>
          <w:sz w:val="14"/>
        </w:rPr>
      </w:pPr>
    </w:p>
    <w:p>
      <w:pPr>
        <w:pStyle w:val="BodyText"/>
        <w:spacing w:before="33"/>
        <w:rPr>
          <w:rFonts w:ascii="Arial MT"/>
          <w:sz w:val="14"/>
        </w:rPr>
      </w:pPr>
    </w:p>
    <w:p>
      <w:pPr>
        <w:spacing w:line="249" w:lineRule="auto" w:before="0"/>
        <w:ind w:left="445" w:right="0" w:hanging="1"/>
        <w:jc w:val="center"/>
        <w:rPr>
          <w:rFonts w:ascii="Arial"/>
          <w:i/>
          <w:sz w:val="14"/>
        </w:rPr>
      </w:pPr>
      <w:r>
        <w:rPr>
          <w:rFonts w:ascii="Arial"/>
          <w:i/>
          <w:sz w:val="14"/>
        </w:rPr>
        <mc:AlternateContent>
          <mc:Choice Requires="wps">
            <w:drawing>
              <wp:anchor distT="0" distB="0" distL="0" distR="0" allowOverlap="1" layoutInCell="1" locked="0" behindDoc="0" simplePos="0" relativeHeight="15905792">
                <wp:simplePos x="0" y="0"/>
                <wp:positionH relativeFrom="page">
                  <wp:posOffset>2581275</wp:posOffset>
                </wp:positionH>
                <wp:positionV relativeFrom="paragraph">
                  <wp:posOffset>334688</wp:posOffset>
                </wp:positionV>
                <wp:extent cx="4295775" cy="92583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4295775" cy="9258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5"/>
                              <w:gridCol w:w="90"/>
                              <w:gridCol w:w="1200"/>
                              <w:gridCol w:w="90"/>
                              <w:gridCol w:w="1305"/>
                              <w:gridCol w:w="1185"/>
                              <w:gridCol w:w="90"/>
                              <w:gridCol w:w="556"/>
                              <w:gridCol w:w="884"/>
                            </w:tblGrid>
                            <w:tr>
                              <w:trPr>
                                <w:trHeight w:val="309" w:hRule="atLeast"/>
                              </w:trPr>
                              <w:tc>
                                <w:tcPr>
                                  <w:tcW w:w="1245" w:type="dxa"/>
                                  <w:tcBorders>
                                    <w:top w:val="single" w:sz="8" w:space="0" w:color="000000"/>
                                  </w:tcBorders>
                                </w:tcPr>
                                <w:p>
                                  <w:pPr>
                                    <w:pStyle w:val="TableParagraph"/>
                                    <w:tabs>
                                      <w:tab w:pos="850" w:val="left" w:leader="none"/>
                                    </w:tabs>
                                    <w:spacing w:before="24"/>
                                    <w:ind w:right="12"/>
                                    <w:jc w:val="right"/>
                                    <w:rPr>
                                      <w:sz w:val="14"/>
                                    </w:rPr>
                                  </w:pPr>
                                  <w:r>
                                    <w:rPr>
                                      <w:spacing w:val="-10"/>
                                      <w:sz w:val="14"/>
                                    </w:rPr>
                                    <w:t>$</w:t>
                                  </w:r>
                                  <w:r>
                                    <w:rPr>
                                      <w:sz w:val="14"/>
                                    </w:rPr>
                                    <w:tab/>
                                  </w:r>
                                  <w:r>
                                    <w:rPr>
                                      <w:spacing w:val="-2"/>
                                      <w:sz w:val="14"/>
                                    </w:rPr>
                                    <w:t>(106)</w:t>
                                  </w:r>
                                </w:p>
                              </w:tc>
                              <w:tc>
                                <w:tcPr>
                                  <w:tcW w:w="90" w:type="dxa"/>
                                </w:tcPr>
                                <w:p>
                                  <w:pPr>
                                    <w:pStyle w:val="TableParagraph"/>
                                    <w:rPr>
                                      <w:rFonts w:ascii="Times New Roman"/>
                                      <w:sz w:val="18"/>
                                    </w:rPr>
                                  </w:pPr>
                                </w:p>
                              </w:tc>
                              <w:tc>
                                <w:tcPr>
                                  <w:tcW w:w="1200" w:type="dxa"/>
                                  <w:tcBorders>
                                    <w:top w:val="single" w:sz="8" w:space="0" w:color="000000"/>
                                  </w:tcBorders>
                                </w:tcPr>
                                <w:p>
                                  <w:pPr>
                                    <w:pStyle w:val="TableParagraph"/>
                                    <w:tabs>
                                      <w:tab w:pos="904" w:val="left" w:leader="none"/>
                                    </w:tabs>
                                    <w:spacing w:before="24"/>
                                    <w:ind w:left="52"/>
                                    <w:rPr>
                                      <w:sz w:val="14"/>
                                    </w:rPr>
                                  </w:pPr>
                                  <w:r>
                                    <w:rPr>
                                      <w:spacing w:val="-10"/>
                                      <w:sz w:val="14"/>
                                    </w:rPr>
                                    <w:t>$</w:t>
                                  </w:r>
                                  <w:r>
                                    <w:rPr>
                                      <w:sz w:val="14"/>
                                    </w:rPr>
                                    <w:tab/>
                                  </w:r>
                                  <w:r>
                                    <w:rPr>
                                      <w:spacing w:val="-5"/>
                                      <w:sz w:val="14"/>
                                    </w:rPr>
                                    <w:t>465</w:t>
                                  </w:r>
                                </w:p>
                              </w:tc>
                              <w:tc>
                                <w:tcPr>
                                  <w:tcW w:w="90" w:type="dxa"/>
                                </w:tcPr>
                                <w:p>
                                  <w:pPr>
                                    <w:pStyle w:val="TableParagraph"/>
                                    <w:rPr>
                                      <w:rFonts w:ascii="Times New Roman"/>
                                      <w:sz w:val="18"/>
                                    </w:rPr>
                                  </w:pPr>
                                </w:p>
                              </w:tc>
                              <w:tc>
                                <w:tcPr>
                                  <w:tcW w:w="1305" w:type="dxa"/>
                                </w:tcPr>
                                <w:p>
                                  <w:pPr>
                                    <w:pStyle w:val="TableParagraph"/>
                                    <w:tabs>
                                      <w:tab w:pos="983" w:val="left" w:leader="none"/>
                                    </w:tabs>
                                    <w:spacing w:before="24"/>
                                    <w:ind w:left="52"/>
                                    <w:rPr>
                                      <w:sz w:val="14"/>
                                    </w:rPr>
                                  </w:pPr>
                                  <w:r>
                                    <w:rPr>
                                      <w:spacing w:val="-10"/>
                                      <w:sz w:val="14"/>
                                    </w:rPr>
                                    <w:t>$</w:t>
                                  </w:r>
                                  <w:r>
                                    <w:rPr>
                                      <w:sz w:val="14"/>
                                    </w:rPr>
                                    <w:tab/>
                                    <w:t>—</w:t>
                                  </w:r>
                                </w:p>
                              </w:tc>
                              <w:tc>
                                <w:tcPr>
                                  <w:tcW w:w="1185" w:type="dxa"/>
                                  <w:tcBorders>
                                    <w:top w:val="single" w:sz="8" w:space="0" w:color="000000"/>
                                  </w:tcBorders>
                                </w:tcPr>
                                <w:p>
                                  <w:pPr>
                                    <w:pStyle w:val="TableParagraph"/>
                                    <w:tabs>
                                      <w:tab w:pos="837" w:val="left" w:leader="none"/>
                                    </w:tabs>
                                    <w:spacing w:before="24"/>
                                    <w:ind w:right="59"/>
                                    <w:jc w:val="right"/>
                                    <w:rPr>
                                      <w:sz w:val="14"/>
                                    </w:rPr>
                                  </w:pPr>
                                  <w:r>
                                    <w:rPr>
                                      <w:spacing w:val="-10"/>
                                      <w:sz w:val="14"/>
                                    </w:rPr>
                                    <w:t>$</w:t>
                                  </w:r>
                                  <w:r>
                                    <w:rPr>
                                      <w:sz w:val="14"/>
                                    </w:rPr>
                                    <w:tab/>
                                  </w:r>
                                  <w:r>
                                    <w:rPr>
                                      <w:spacing w:val="-5"/>
                                      <w:sz w:val="14"/>
                                    </w:rPr>
                                    <w:t>465</w:t>
                                  </w:r>
                                </w:p>
                              </w:tc>
                              <w:tc>
                                <w:tcPr>
                                  <w:tcW w:w="90" w:type="dxa"/>
                                </w:tcPr>
                                <w:p>
                                  <w:pPr>
                                    <w:pStyle w:val="TableParagraph"/>
                                    <w:rPr>
                                      <w:rFonts w:ascii="Times New Roman"/>
                                      <w:sz w:val="18"/>
                                    </w:rPr>
                                  </w:pPr>
                                </w:p>
                              </w:tc>
                              <w:tc>
                                <w:tcPr>
                                  <w:tcW w:w="556" w:type="dxa"/>
                                  <w:tcBorders>
                                    <w:top w:val="single" w:sz="8" w:space="0" w:color="000000"/>
                                  </w:tcBorders>
                                </w:tcPr>
                                <w:p>
                                  <w:pPr>
                                    <w:pStyle w:val="TableParagraph"/>
                                    <w:spacing w:before="24"/>
                                    <w:ind w:left="52"/>
                                    <w:rPr>
                                      <w:sz w:val="14"/>
                                    </w:rPr>
                                  </w:pPr>
                                  <w:r>
                                    <w:rPr>
                                      <w:spacing w:val="-10"/>
                                      <w:sz w:val="14"/>
                                    </w:rPr>
                                    <w:t>$</w:t>
                                  </w:r>
                                </w:p>
                              </w:tc>
                              <w:tc>
                                <w:tcPr>
                                  <w:tcW w:w="884" w:type="dxa"/>
                                  <w:tcBorders>
                                    <w:top w:val="single" w:sz="8" w:space="0" w:color="000000"/>
                                  </w:tcBorders>
                                </w:tcPr>
                                <w:p>
                                  <w:pPr>
                                    <w:pStyle w:val="TableParagraph"/>
                                    <w:spacing w:before="24"/>
                                    <w:ind w:right="59"/>
                                    <w:jc w:val="right"/>
                                    <w:rPr>
                                      <w:sz w:val="14"/>
                                    </w:rPr>
                                  </w:pPr>
                                  <w:r>
                                    <w:rPr>
                                      <w:spacing w:val="-5"/>
                                      <w:sz w:val="14"/>
                                    </w:rPr>
                                    <w:t>359</w:t>
                                  </w:r>
                                </w:p>
                              </w:tc>
                            </w:tr>
                            <w:tr>
                              <w:trPr>
                                <w:trHeight w:val="395" w:hRule="atLeast"/>
                              </w:trPr>
                              <w:tc>
                                <w:tcPr>
                                  <w:tcW w:w="1245" w:type="dxa"/>
                                </w:tcPr>
                                <w:p>
                                  <w:pPr>
                                    <w:pStyle w:val="TableParagraph"/>
                                    <w:spacing w:before="119"/>
                                    <w:ind w:right="59"/>
                                    <w:jc w:val="right"/>
                                    <w:rPr>
                                      <w:sz w:val="14"/>
                                    </w:rPr>
                                  </w:pPr>
                                  <w:r>
                                    <w:rPr>
                                      <w:spacing w:val="-2"/>
                                      <w:sz w:val="14"/>
                                    </w:rPr>
                                    <w:t>1,214</w:t>
                                  </w:r>
                                </w:p>
                              </w:tc>
                              <w:tc>
                                <w:tcPr>
                                  <w:tcW w:w="90" w:type="dxa"/>
                                </w:tcPr>
                                <w:p>
                                  <w:pPr>
                                    <w:pStyle w:val="TableParagraph"/>
                                    <w:rPr>
                                      <w:rFonts w:ascii="Times New Roman"/>
                                      <w:sz w:val="18"/>
                                    </w:rPr>
                                  </w:pPr>
                                </w:p>
                              </w:tc>
                              <w:tc>
                                <w:tcPr>
                                  <w:tcW w:w="1200" w:type="dxa"/>
                                </w:tcPr>
                                <w:p>
                                  <w:pPr>
                                    <w:pStyle w:val="TableParagraph"/>
                                    <w:spacing w:before="119"/>
                                    <w:ind w:right="12"/>
                                    <w:jc w:val="right"/>
                                    <w:rPr>
                                      <w:sz w:val="14"/>
                                    </w:rPr>
                                  </w:pPr>
                                  <w:r>
                                    <w:rPr>
                                      <w:spacing w:val="-2"/>
                                      <w:sz w:val="14"/>
                                    </w:rPr>
                                    <w:t>(1,377)</w:t>
                                  </w:r>
                                </w:p>
                              </w:tc>
                              <w:tc>
                                <w:tcPr>
                                  <w:tcW w:w="90" w:type="dxa"/>
                                </w:tcPr>
                                <w:p>
                                  <w:pPr>
                                    <w:pStyle w:val="TableParagraph"/>
                                    <w:rPr>
                                      <w:rFonts w:ascii="Times New Roman"/>
                                      <w:sz w:val="18"/>
                                    </w:rPr>
                                  </w:pPr>
                                </w:p>
                              </w:tc>
                              <w:tc>
                                <w:tcPr>
                                  <w:tcW w:w="1305" w:type="dxa"/>
                                </w:tcPr>
                                <w:p>
                                  <w:pPr>
                                    <w:pStyle w:val="TableParagraph"/>
                                    <w:spacing w:before="119"/>
                                    <w:ind w:right="132"/>
                                    <w:jc w:val="right"/>
                                    <w:rPr>
                                      <w:sz w:val="14"/>
                                    </w:rPr>
                                  </w:pPr>
                                  <w:r>
                                    <w:rPr>
                                      <w:spacing w:val="-4"/>
                                      <w:sz w:val="14"/>
                                    </w:rPr>
                                    <w:t>(55)</w:t>
                                  </w:r>
                                </w:p>
                              </w:tc>
                              <w:tc>
                                <w:tcPr>
                                  <w:tcW w:w="1185" w:type="dxa"/>
                                </w:tcPr>
                                <w:p>
                                  <w:pPr>
                                    <w:pStyle w:val="TableParagraph"/>
                                    <w:spacing w:before="119"/>
                                    <w:ind w:right="12"/>
                                    <w:jc w:val="right"/>
                                    <w:rPr>
                                      <w:sz w:val="14"/>
                                    </w:rPr>
                                  </w:pPr>
                                  <w:r>
                                    <w:rPr>
                                      <w:spacing w:val="-2"/>
                                      <w:sz w:val="14"/>
                                    </w:rPr>
                                    <w:t>(1,432)</w:t>
                                  </w:r>
                                </w:p>
                              </w:tc>
                              <w:tc>
                                <w:tcPr>
                                  <w:tcW w:w="90" w:type="dxa"/>
                                </w:tcPr>
                                <w:p>
                                  <w:pPr>
                                    <w:pStyle w:val="TableParagraph"/>
                                    <w:rPr>
                                      <w:rFonts w:ascii="Times New Roman"/>
                                      <w:sz w:val="18"/>
                                    </w:rPr>
                                  </w:pPr>
                                </w:p>
                              </w:tc>
                              <w:tc>
                                <w:tcPr>
                                  <w:tcW w:w="556" w:type="dxa"/>
                                </w:tcPr>
                                <w:p>
                                  <w:pPr>
                                    <w:pStyle w:val="TableParagraph"/>
                                    <w:rPr>
                                      <w:rFonts w:ascii="Times New Roman"/>
                                      <w:sz w:val="18"/>
                                    </w:rPr>
                                  </w:pPr>
                                </w:p>
                              </w:tc>
                              <w:tc>
                                <w:tcPr>
                                  <w:tcW w:w="884" w:type="dxa"/>
                                </w:tcPr>
                                <w:p>
                                  <w:pPr>
                                    <w:pStyle w:val="TableParagraph"/>
                                    <w:spacing w:before="119"/>
                                    <w:ind w:right="12"/>
                                    <w:jc w:val="right"/>
                                    <w:rPr>
                                      <w:sz w:val="14"/>
                                    </w:rPr>
                                  </w:pPr>
                                  <w:r>
                                    <w:rPr>
                                      <w:spacing w:val="-2"/>
                                      <w:sz w:val="14"/>
                                    </w:rPr>
                                    <w:t>(218)</w:t>
                                  </w:r>
                                </w:p>
                              </w:tc>
                            </w:tr>
                            <w:tr>
                              <w:trPr>
                                <w:trHeight w:val="405" w:hRule="atLeast"/>
                              </w:trPr>
                              <w:tc>
                                <w:tcPr>
                                  <w:tcW w:w="1245" w:type="dxa"/>
                                </w:tcPr>
                                <w:p>
                                  <w:pPr>
                                    <w:pStyle w:val="TableParagraph"/>
                                    <w:spacing w:before="129"/>
                                    <w:ind w:right="12"/>
                                    <w:jc w:val="right"/>
                                    <w:rPr>
                                      <w:sz w:val="14"/>
                                    </w:rPr>
                                  </w:pPr>
                                  <w:r>
                                    <w:rPr>
                                      <w:spacing w:val="-2"/>
                                      <w:sz w:val="14"/>
                                    </w:rPr>
                                    <w:t>(6,745)</w:t>
                                  </w:r>
                                </w:p>
                              </w:tc>
                              <w:tc>
                                <w:tcPr>
                                  <w:tcW w:w="90" w:type="dxa"/>
                                </w:tcPr>
                                <w:p>
                                  <w:pPr>
                                    <w:pStyle w:val="TableParagraph"/>
                                    <w:rPr>
                                      <w:rFonts w:ascii="Times New Roman"/>
                                      <w:sz w:val="18"/>
                                    </w:rPr>
                                  </w:pPr>
                                </w:p>
                              </w:tc>
                              <w:tc>
                                <w:tcPr>
                                  <w:tcW w:w="1200" w:type="dxa"/>
                                </w:tcPr>
                                <w:p>
                                  <w:pPr>
                                    <w:pStyle w:val="TableParagraph"/>
                                    <w:spacing w:before="129"/>
                                    <w:ind w:right="59"/>
                                    <w:jc w:val="right"/>
                                    <w:rPr>
                                      <w:sz w:val="14"/>
                                    </w:rPr>
                                  </w:pPr>
                                  <w:r>
                                    <w:rPr>
                                      <w:spacing w:val="-2"/>
                                      <w:sz w:val="14"/>
                                    </w:rPr>
                                    <w:t>4,727</w:t>
                                  </w:r>
                                </w:p>
                              </w:tc>
                              <w:tc>
                                <w:tcPr>
                                  <w:tcW w:w="90" w:type="dxa"/>
                                </w:tcPr>
                                <w:p>
                                  <w:pPr>
                                    <w:pStyle w:val="TableParagraph"/>
                                    <w:rPr>
                                      <w:rFonts w:ascii="Times New Roman"/>
                                      <w:sz w:val="18"/>
                                    </w:rPr>
                                  </w:pPr>
                                </w:p>
                              </w:tc>
                              <w:tc>
                                <w:tcPr>
                                  <w:tcW w:w="1305" w:type="dxa"/>
                                </w:tcPr>
                                <w:p>
                                  <w:pPr>
                                    <w:pStyle w:val="TableParagraph"/>
                                    <w:spacing w:before="129"/>
                                    <w:ind w:right="50"/>
                                    <w:jc w:val="right"/>
                                    <w:rPr>
                                      <w:sz w:val="14"/>
                                    </w:rPr>
                                  </w:pPr>
                                  <w:r>
                                    <w:rPr>
                                      <w:sz w:val="14"/>
                                    </w:rPr>
                                    <w:t>378</w:t>
                                  </w:r>
                                  <w:r>
                                    <w:rPr>
                                      <w:spacing w:val="36"/>
                                      <w:sz w:val="14"/>
                                    </w:rPr>
                                    <w:t> </w:t>
                                  </w:r>
                                  <w:r>
                                    <w:rPr>
                                      <w:spacing w:val="-10"/>
                                      <w:sz w:val="14"/>
                                      <w:vertAlign w:val="superscript"/>
                                    </w:rPr>
                                    <w:t>a</w:t>
                                  </w:r>
                                </w:p>
                              </w:tc>
                              <w:tc>
                                <w:tcPr>
                                  <w:tcW w:w="1185" w:type="dxa"/>
                                </w:tcPr>
                                <w:p>
                                  <w:pPr>
                                    <w:pStyle w:val="TableParagraph"/>
                                    <w:spacing w:before="129"/>
                                    <w:ind w:right="59"/>
                                    <w:jc w:val="right"/>
                                    <w:rPr>
                                      <w:sz w:val="14"/>
                                    </w:rPr>
                                  </w:pPr>
                                  <w:r>
                                    <w:rPr>
                                      <w:spacing w:val="-2"/>
                                      <w:sz w:val="14"/>
                                    </w:rPr>
                                    <w:t>5,105</w:t>
                                  </w:r>
                                </w:p>
                              </w:tc>
                              <w:tc>
                                <w:tcPr>
                                  <w:tcW w:w="90" w:type="dxa"/>
                                </w:tcPr>
                                <w:p>
                                  <w:pPr>
                                    <w:pStyle w:val="TableParagraph"/>
                                    <w:rPr>
                                      <w:rFonts w:ascii="Times New Roman"/>
                                      <w:sz w:val="18"/>
                                    </w:rPr>
                                  </w:pPr>
                                </w:p>
                              </w:tc>
                              <w:tc>
                                <w:tcPr>
                                  <w:tcW w:w="556" w:type="dxa"/>
                                </w:tcPr>
                                <w:p>
                                  <w:pPr>
                                    <w:pStyle w:val="TableParagraph"/>
                                    <w:rPr>
                                      <w:rFonts w:ascii="Times New Roman"/>
                                      <w:sz w:val="18"/>
                                    </w:rPr>
                                  </w:pPr>
                                </w:p>
                              </w:tc>
                              <w:tc>
                                <w:tcPr>
                                  <w:tcW w:w="884" w:type="dxa"/>
                                </w:tcPr>
                                <w:p>
                                  <w:pPr>
                                    <w:pStyle w:val="TableParagraph"/>
                                    <w:spacing w:before="129"/>
                                    <w:ind w:right="12"/>
                                    <w:jc w:val="right"/>
                                    <w:rPr>
                                      <w:sz w:val="14"/>
                                    </w:rPr>
                                  </w:pPr>
                                  <w:r>
                                    <w:rPr>
                                      <w:spacing w:val="-2"/>
                                      <w:sz w:val="14"/>
                                    </w:rPr>
                                    <w:t>(1,640)</w:t>
                                  </w:r>
                                </w:p>
                              </w:tc>
                            </w:tr>
                            <w:tr>
                              <w:trPr>
                                <w:trHeight w:val="309" w:hRule="atLeast"/>
                              </w:trPr>
                              <w:tc>
                                <w:tcPr>
                                  <w:tcW w:w="1245" w:type="dxa"/>
                                  <w:tcBorders>
                                    <w:bottom w:val="single" w:sz="8" w:space="0" w:color="000000"/>
                                  </w:tcBorders>
                                </w:tcPr>
                                <w:p>
                                  <w:pPr>
                                    <w:pStyle w:val="TableParagraph"/>
                                    <w:spacing w:line="161" w:lineRule="exact" w:before="129"/>
                                    <w:ind w:right="14"/>
                                    <w:jc w:val="right"/>
                                    <w:rPr>
                                      <w:sz w:val="14"/>
                                    </w:rPr>
                                  </w:pPr>
                                  <w:r>
                                    <w:rPr>
                                      <w:spacing w:val="-4"/>
                                      <w:sz w:val="14"/>
                                    </w:rPr>
                                    <w:t>(89)</w:t>
                                  </w:r>
                                </w:p>
                              </w:tc>
                              <w:tc>
                                <w:tcPr>
                                  <w:tcW w:w="90" w:type="dxa"/>
                                </w:tcPr>
                                <w:p>
                                  <w:pPr>
                                    <w:pStyle w:val="TableParagraph"/>
                                    <w:rPr>
                                      <w:rFonts w:ascii="Times New Roman"/>
                                      <w:sz w:val="18"/>
                                    </w:rPr>
                                  </w:pPr>
                                </w:p>
                              </w:tc>
                              <w:tc>
                                <w:tcPr>
                                  <w:tcW w:w="1200" w:type="dxa"/>
                                  <w:tcBorders>
                                    <w:bottom w:val="single" w:sz="8" w:space="0" w:color="000000"/>
                                  </w:tcBorders>
                                </w:tcPr>
                                <w:p>
                                  <w:pPr>
                                    <w:pStyle w:val="TableParagraph"/>
                                    <w:spacing w:line="161" w:lineRule="exact" w:before="129"/>
                                    <w:ind w:right="59"/>
                                    <w:jc w:val="right"/>
                                    <w:rPr>
                                      <w:sz w:val="14"/>
                                    </w:rPr>
                                  </w:pPr>
                                  <w:r>
                                    <w:rPr>
                                      <w:sz w:val="14"/>
                                    </w:rPr>
                                    <w:t>—</w:t>
                                  </w:r>
                                </w:p>
                              </w:tc>
                              <w:tc>
                                <w:tcPr>
                                  <w:tcW w:w="90" w:type="dxa"/>
                                </w:tcPr>
                                <w:p>
                                  <w:pPr>
                                    <w:pStyle w:val="TableParagraph"/>
                                    <w:rPr>
                                      <w:rFonts w:ascii="Times New Roman"/>
                                      <w:sz w:val="18"/>
                                    </w:rPr>
                                  </w:pPr>
                                </w:p>
                              </w:tc>
                              <w:tc>
                                <w:tcPr>
                                  <w:tcW w:w="1305" w:type="dxa"/>
                                </w:tcPr>
                                <w:p>
                                  <w:pPr>
                                    <w:pStyle w:val="TableParagraph"/>
                                    <w:spacing w:line="161" w:lineRule="exact" w:before="129"/>
                                    <w:ind w:right="50"/>
                                    <w:jc w:val="right"/>
                                    <w:rPr>
                                      <w:sz w:val="14"/>
                                    </w:rPr>
                                  </w:pPr>
                                  <w:r>
                                    <w:rPr>
                                      <w:sz w:val="14"/>
                                    </w:rPr>
                                    <w:t>23</w:t>
                                  </w:r>
                                  <w:r>
                                    <w:rPr>
                                      <w:spacing w:val="37"/>
                                      <w:sz w:val="14"/>
                                    </w:rPr>
                                    <w:t> </w:t>
                                  </w:r>
                                  <w:r>
                                    <w:rPr>
                                      <w:spacing w:val="-10"/>
                                      <w:sz w:val="14"/>
                                      <w:vertAlign w:val="superscript"/>
                                    </w:rPr>
                                    <w:t>a</w:t>
                                  </w:r>
                                </w:p>
                              </w:tc>
                              <w:tc>
                                <w:tcPr>
                                  <w:tcW w:w="1185" w:type="dxa"/>
                                  <w:tcBorders>
                                    <w:bottom w:val="single" w:sz="8" w:space="0" w:color="000000"/>
                                  </w:tcBorders>
                                </w:tcPr>
                                <w:p>
                                  <w:pPr>
                                    <w:pStyle w:val="TableParagraph"/>
                                    <w:spacing w:line="161" w:lineRule="exact" w:before="129"/>
                                    <w:ind w:right="59"/>
                                    <w:jc w:val="right"/>
                                    <w:rPr>
                                      <w:sz w:val="14"/>
                                    </w:rPr>
                                  </w:pPr>
                                  <w:r>
                                    <w:rPr>
                                      <w:spacing w:val="-5"/>
                                      <w:sz w:val="14"/>
                                    </w:rPr>
                                    <w:t>23</w:t>
                                  </w:r>
                                </w:p>
                              </w:tc>
                              <w:tc>
                                <w:tcPr>
                                  <w:tcW w:w="90" w:type="dxa"/>
                                </w:tcPr>
                                <w:p>
                                  <w:pPr>
                                    <w:pStyle w:val="TableParagraph"/>
                                    <w:rPr>
                                      <w:rFonts w:ascii="Times New Roman"/>
                                      <w:sz w:val="18"/>
                                    </w:rPr>
                                  </w:pPr>
                                </w:p>
                              </w:tc>
                              <w:tc>
                                <w:tcPr>
                                  <w:tcW w:w="556" w:type="dxa"/>
                                  <w:tcBorders>
                                    <w:bottom w:val="single" w:sz="8" w:space="0" w:color="000000"/>
                                  </w:tcBorders>
                                </w:tcPr>
                                <w:p>
                                  <w:pPr>
                                    <w:pStyle w:val="TableParagraph"/>
                                    <w:rPr>
                                      <w:rFonts w:ascii="Times New Roman"/>
                                      <w:sz w:val="18"/>
                                    </w:rPr>
                                  </w:pPr>
                                </w:p>
                              </w:tc>
                              <w:tc>
                                <w:tcPr>
                                  <w:tcW w:w="884" w:type="dxa"/>
                                  <w:tcBorders>
                                    <w:bottom w:val="single" w:sz="8" w:space="0" w:color="000000"/>
                                  </w:tcBorders>
                                </w:tcPr>
                                <w:p>
                                  <w:pPr>
                                    <w:pStyle w:val="TableParagraph"/>
                                    <w:spacing w:line="161" w:lineRule="exact" w:before="129"/>
                                    <w:ind w:right="12"/>
                                    <w:jc w:val="right"/>
                                    <w:rPr>
                                      <w:sz w:val="14"/>
                                    </w:rPr>
                                  </w:pPr>
                                  <w:r>
                                    <w:rPr>
                                      <w:spacing w:val="-4"/>
                                      <w:sz w:val="14"/>
                                    </w:rPr>
                                    <w:t>(66)</w:t>
                                  </w:r>
                                </w:p>
                              </w:tc>
                            </w:tr>
                          </w:tbl>
                          <w:p>
                            <w:pPr>
                              <w:pStyle w:val="BodyText"/>
                            </w:pPr>
                          </w:p>
                        </w:txbxContent>
                      </wps:txbx>
                      <wps:bodyPr wrap="square" lIns="0" tIns="0" rIns="0" bIns="0" rtlCol="0">
                        <a:noAutofit/>
                      </wps:bodyPr>
                    </wps:wsp>
                  </a:graphicData>
                </a:graphic>
              </wp:anchor>
            </w:drawing>
          </mc:Choice>
          <mc:Fallback>
            <w:pict>
              <v:shape style="position:absolute;margin-left:203.25pt;margin-top:26.353418pt;width:338.25pt;height:72.9pt;mso-position-horizontal-relative:page;mso-position-vertical-relative:paragraph;z-index:15905792" type="#_x0000_t202" id="docshape8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5"/>
                        <w:gridCol w:w="90"/>
                        <w:gridCol w:w="1200"/>
                        <w:gridCol w:w="90"/>
                        <w:gridCol w:w="1305"/>
                        <w:gridCol w:w="1185"/>
                        <w:gridCol w:w="90"/>
                        <w:gridCol w:w="556"/>
                        <w:gridCol w:w="884"/>
                      </w:tblGrid>
                      <w:tr>
                        <w:trPr>
                          <w:trHeight w:val="309" w:hRule="atLeast"/>
                        </w:trPr>
                        <w:tc>
                          <w:tcPr>
                            <w:tcW w:w="1245" w:type="dxa"/>
                            <w:tcBorders>
                              <w:top w:val="single" w:sz="8" w:space="0" w:color="000000"/>
                            </w:tcBorders>
                          </w:tcPr>
                          <w:p>
                            <w:pPr>
                              <w:pStyle w:val="TableParagraph"/>
                              <w:tabs>
                                <w:tab w:pos="850" w:val="left" w:leader="none"/>
                              </w:tabs>
                              <w:spacing w:before="24"/>
                              <w:ind w:right="12"/>
                              <w:jc w:val="right"/>
                              <w:rPr>
                                <w:sz w:val="14"/>
                              </w:rPr>
                            </w:pPr>
                            <w:r>
                              <w:rPr>
                                <w:spacing w:val="-10"/>
                                <w:sz w:val="14"/>
                              </w:rPr>
                              <w:t>$</w:t>
                            </w:r>
                            <w:r>
                              <w:rPr>
                                <w:sz w:val="14"/>
                              </w:rPr>
                              <w:tab/>
                            </w:r>
                            <w:r>
                              <w:rPr>
                                <w:spacing w:val="-2"/>
                                <w:sz w:val="14"/>
                              </w:rPr>
                              <w:t>(106)</w:t>
                            </w:r>
                          </w:p>
                        </w:tc>
                        <w:tc>
                          <w:tcPr>
                            <w:tcW w:w="90" w:type="dxa"/>
                          </w:tcPr>
                          <w:p>
                            <w:pPr>
                              <w:pStyle w:val="TableParagraph"/>
                              <w:rPr>
                                <w:rFonts w:ascii="Times New Roman"/>
                                <w:sz w:val="18"/>
                              </w:rPr>
                            </w:pPr>
                          </w:p>
                        </w:tc>
                        <w:tc>
                          <w:tcPr>
                            <w:tcW w:w="1200" w:type="dxa"/>
                            <w:tcBorders>
                              <w:top w:val="single" w:sz="8" w:space="0" w:color="000000"/>
                            </w:tcBorders>
                          </w:tcPr>
                          <w:p>
                            <w:pPr>
                              <w:pStyle w:val="TableParagraph"/>
                              <w:tabs>
                                <w:tab w:pos="904" w:val="left" w:leader="none"/>
                              </w:tabs>
                              <w:spacing w:before="24"/>
                              <w:ind w:left="52"/>
                              <w:rPr>
                                <w:sz w:val="14"/>
                              </w:rPr>
                            </w:pPr>
                            <w:r>
                              <w:rPr>
                                <w:spacing w:val="-10"/>
                                <w:sz w:val="14"/>
                              </w:rPr>
                              <w:t>$</w:t>
                            </w:r>
                            <w:r>
                              <w:rPr>
                                <w:sz w:val="14"/>
                              </w:rPr>
                              <w:tab/>
                            </w:r>
                            <w:r>
                              <w:rPr>
                                <w:spacing w:val="-5"/>
                                <w:sz w:val="14"/>
                              </w:rPr>
                              <w:t>465</w:t>
                            </w:r>
                          </w:p>
                        </w:tc>
                        <w:tc>
                          <w:tcPr>
                            <w:tcW w:w="90" w:type="dxa"/>
                          </w:tcPr>
                          <w:p>
                            <w:pPr>
                              <w:pStyle w:val="TableParagraph"/>
                              <w:rPr>
                                <w:rFonts w:ascii="Times New Roman"/>
                                <w:sz w:val="18"/>
                              </w:rPr>
                            </w:pPr>
                          </w:p>
                        </w:tc>
                        <w:tc>
                          <w:tcPr>
                            <w:tcW w:w="1305" w:type="dxa"/>
                          </w:tcPr>
                          <w:p>
                            <w:pPr>
                              <w:pStyle w:val="TableParagraph"/>
                              <w:tabs>
                                <w:tab w:pos="983" w:val="left" w:leader="none"/>
                              </w:tabs>
                              <w:spacing w:before="24"/>
                              <w:ind w:left="52"/>
                              <w:rPr>
                                <w:sz w:val="14"/>
                              </w:rPr>
                            </w:pPr>
                            <w:r>
                              <w:rPr>
                                <w:spacing w:val="-10"/>
                                <w:sz w:val="14"/>
                              </w:rPr>
                              <w:t>$</w:t>
                            </w:r>
                            <w:r>
                              <w:rPr>
                                <w:sz w:val="14"/>
                              </w:rPr>
                              <w:tab/>
                              <w:t>—</w:t>
                            </w:r>
                          </w:p>
                        </w:tc>
                        <w:tc>
                          <w:tcPr>
                            <w:tcW w:w="1185" w:type="dxa"/>
                            <w:tcBorders>
                              <w:top w:val="single" w:sz="8" w:space="0" w:color="000000"/>
                            </w:tcBorders>
                          </w:tcPr>
                          <w:p>
                            <w:pPr>
                              <w:pStyle w:val="TableParagraph"/>
                              <w:tabs>
                                <w:tab w:pos="837" w:val="left" w:leader="none"/>
                              </w:tabs>
                              <w:spacing w:before="24"/>
                              <w:ind w:right="59"/>
                              <w:jc w:val="right"/>
                              <w:rPr>
                                <w:sz w:val="14"/>
                              </w:rPr>
                            </w:pPr>
                            <w:r>
                              <w:rPr>
                                <w:spacing w:val="-10"/>
                                <w:sz w:val="14"/>
                              </w:rPr>
                              <w:t>$</w:t>
                            </w:r>
                            <w:r>
                              <w:rPr>
                                <w:sz w:val="14"/>
                              </w:rPr>
                              <w:tab/>
                            </w:r>
                            <w:r>
                              <w:rPr>
                                <w:spacing w:val="-5"/>
                                <w:sz w:val="14"/>
                              </w:rPr>
                              <w:t>465</w:t>
                            </w:r>
                          </w:p>
                        </w:tc>
                        <w:tc>
                          <w:tcPr>
                            <w:tcW w:w="90" w:type="dxa"/>
                          </w:tcPr>
                          <w:p>
                            <w:pPr>
                              <w:pStyle w:val="TableParagraph"/>
                              <w:rPr>
                                <w:rFonts w:ascii="Times New Roman"/>
                                <w:sz w:val="18"/>
                              </w:rPr>
                            </w:pPr>
                          </w:p>
                        </w:tc>
                        <w:tc>
                          <w:tcPr>
                            <w:tcW w:w="556" w:type="dxa"/>
                            <w:tcBorders>
                              <w:top w:val="single" w:sz="8" w:space="0" w:color="000000"/>
                            </w:tcBorders>
                          </w:tcPr>
                          <w:p>
                            <w:pPr>
                              <w:pStyle w:val="TableParagraph"/>
                              <w:spacing w:before="24"/>
                              <w:ind w:left="52"/>
                              <w:rPr>
                                <w:sz w:val="14"/>
                              </w:rPr>
                            </w:pPr>
                            <w:r>
                              <w:rPr>
                                <w:spacing w:val="-10"/>
                                <w:sz w:val="14"/>
                              </w:rPr>
                              <w:t>$</w:t>
                            </w:r>
                          </w:p>
                        </w:tc>
                        <w:tc>
                          <w:tcPr>
                            <w:tcW w:w="884" w:type="dxa"/>
                            <w:tcBorders>
                              <w:top w:val="single" w:sz="8" w:space="0" w:color="000000"/>
                            </w:tcBorders>
                          </w:tcPr>
                          <w:p>
                            <w:pPr>
                              <w:pStyle w:val="TableParagraph"/>
                              <w:spacing w:before="24"/>
                              <w:ind w:right="59"/>
                              <w:jc w:val="right"/>
                              <w:rPr>
                                <w:sz w:val="14"/>
                              </w:rPr>
                            </w:pPr>
                            <w:r>
                              <w:rPr>
                                <w:spacing w:val="-5"/>
                                <w:sz w:val="14"/>
                              </w:rPr>
                              <w:t>359</w:t>
                            </w:r>
                          </w:p>
                        </w:tc>
                      </w:tr>
                      <w:tr>
                        <w:trPr>
                          <w:trHeight w:val="395" w:hRule="atLeast"/>
                        </w:trPr>
                        <w:tc>
                          <w:tcPr>
                            <w:tcW w:w="1245" w:type="dxa"/>
                          </w:tcPr>
                          <w:p>
                            <w:pPr>
                              <w:pStyle w:val="TableParagraph"/>
                              <w:spacing w:before="119"/>
                              <w:ind w:right="59"/>
                              <w:jc w:val="right"/>
                              <w:rPr>
                                <w:sz w:val="14"/>
                              </w:rPr>
                            </w:pPr>
                            <w:r>
                              <w:rPr>
                                <w:spacing w:val="-2"/>
                                <w:sz w:val="14"/>
                              </w:rPr>
                              <w:t>1,214</w:t>
                            </w:r>
                          </w:p>
                        </w:tc>
                        <w:tc>
                          <w:tcPr>
                            <w:tcW w:w="90" w:type="dxa"/>
                          </w:tcPr>
                          <w:p>
                            <w:pPr>
                              <w:pStyle w:val="TableParagraph"/>
                              <w:rPr>
                                <w:rFonts w:ascii="Times New Roman"/>
                                <w:sz w:val="18"/>
                              </w:rPr>
                            </w:pPr>
                          </w:p>
                        </w:tc>
                        <w:tc>
                          <w:tcPr>
                            <w:tcW w:w="1200" w:type="dxa"/>
                          </w:tcPr>
                          <w:p>
                            <w:pPr>
                              <w:pStyle w:val="TableParagraph"/>
                              <w:spacing w:before="119"/>
                              <w:ind w:right="12"/>
                              <w:jc w:val="right"/>
                              <w:rPr>
                                <w:sz w:val="14"/>
                              </w:rPr>
                            </w:pPr>
                            <w:r>
                              <w:rPr>
                                <w:spacing w:val="-2"/>
                                <w:sz w:val="14"/>
                              </w:rPr>
                              <w:t>(1,377)</w:t>
                            </w:r>
                          </w:p>
                        </w:tc>
                        <w:tc>
                          <w:tcPr>
                            <w:tcW w:w="90" w:type="dxa"/>
                          </w:tcPr>
                          <w:p>
                            <w:pPr>
                              <w:pStyle w:val="TableParagraph"/>
                              <w:rPr>
                                <w:rFonts w:ascii="Times New Roman"/>
                                <w:sz w:val="18"/>
                              </w:rPr>
                            </w:pPr>
                          </w:p>
                        </w:tc>
                        <w:tc>
                          <w:tcPr>
                            <w:tcW w:w="1305" w:type="dxa"/>
                          </w:tcPr>
                          <w:p>
                            <w:pPr>
                              <w:pStyle w:val="TableParagraph"/>
                              <w:spacing w:before="119"/>
                              <w:ind w:right="132"/>
                              <w:jc w:val="right"/>
                              <w:rPr>
                                <w:sz w:val="14"/>
                              </w:rPr>
                            </w:pPr>
                            <w:r>
                              <w:rPr>
                                <w:spacing w:val="-4"/>
                                <w:sz w:val="14"/>
                              </w:rPr>
                              <w:t>(55)</w:t>
                            </w:r>
                          </w:p>
                        </w:tc>
                        <w:tc>
                          <w:tcPr>
                            <w:tcW w:w="1185" w:type="dxa"/>
                          </w:tcPr>
                          <w:p>
                            <w:pPr>
                              <w:pStyle w:val="TableParagraph"/>
                              <w:spacing w:before="119"/>
                              <w:ind w:right="12"/>
                              <w:jc w:val="right"/>
                              <w:rPr>
                                <w:sz w:val="14"/>
                              </w:rPr>
                            </w:pPr>
                            <w:r>
                              <w:rPr>
                                <w:spacing w:val="-2"/>
                                <w:sz w:val="14"/>
                              </w:rPr>
                              <w:t>(1,432)</w:t>
                            </w:r>
                          </w:p>
                        </w:tc>
                        <w:tc>
                          <w:tcPr>
                            <w:tcW w:w="90" w:type="dxa"/>
                          </w:tcPr>
                          <w:p>
                            <w:pPr>
                              <w:pStyle w:val="TableParagraph"/>
                              <w:rPr>
                                <w:rFonts w:ascii="Times New Roman"/>
                                <w:sz w:val="18"/>
                              </w:rPr>
                            </w:pPr>
                          </w:p>
                        </w:tc>
                        <w:tc>
                          <w:tcPr>
                            <w:tcW w:w="556" w:type="dxa"/>
                          </w:tcPr>
                          <w:p>
                            <w:pPr>
                              <w:pStyle w:val="TableParagraph"/>
                              <w:rPr>
                                <w:rFonts w:ascii="Times New Roman"/>
                                <w:sz w:val="18"/>
                              </w:rPr>
                            </w:pPr>
                          </w:p>
                        </w:tc>
                        <w:tc>
                          <w:tcPr>
                            <w:tcW w:w="884" w:type="dxa"/>
                          </w:tcPr>
                          <w:p>
                            <w:pPr>
                              <w:pStyle w:val="TableParagraph"/>
                              <w:spacing w:before="119"/>
                              <w:ind w:right="12"/>
                              <w:jc w:val="right"/>
                              <w:rPr>
                                <w:sz w:val="14"/>
                              </w:rPr>
                            </w:pPr>
                            <w:r>
                              <w:rPr>
                                <w:spacing w:val="-2"/>
                                <w:sz w:val="14"/>
                              </w:rPr>
                              <w:t>(218)</w:t>
                            </w:r>
                          </w:p>
                        </w:tc>
                      </w:tr>
                      <w:tr>
                        <w:trPr>
                          <w:trHeight w:val="405" w:hRule="atLeast"/>
                        </w:trPr>
                        <w:tc>
                          <w:tcPr>
                            <w:tcW w:w="1245" w:type="dxa"/>
                          </w:tcPr>
                          <w:p>
                            <w:pPr>
                              <w:pStyle w:val="TableParagraph"/>
                              <w:spacing w:before="129"/>
                              <w:ind w:right="12"/>
                              <w:jc w:val="right"/>
                              <w:rPr>
                                <w:sz w:val="14"/>
                              </w:rPr>
                            </w:pPr>
                            <w:r>
                              <w:rPr>
                                <w:spacing w:val="-2"/>
                                <w:sz w:val="14"/>
                              </w:rPr>
                              <w:t>(6,745)</w:t>
                            </w:r>
                          </w:p>
                        </w:tc>
                        <w:tc>
                          <w:tcPr>
                            <w:tcW w:w="90" w:type="dxa"/>
                          </w:tcPr>
                          <w:p>
                            <w:pPr>
                              <w:pStyle w:val="TableParagraph"/>
                              <w:rPr>
                                <w:rFonts w:ascii="Times New Roman"/>
                                <w:sz w:val="18"/>
                              </w:rPr>
                            </w:pPr>
                          </w:p>
                        </w:tc>
                        <w:tc>
                          <w:tcPr>
                            <w:tcW w:w="1200" w:type="dxa"/>
                          </w:tcPr>
                          <w:p>
                            <w:pPr>
                              <w:pStyle w:val="TableParagraph"/>
                              <w:spacing w:before="129"/>
                              <w:ind w:right="59"/>
                              <w:jc w:val="right"/>
                              <w:rPr>
                                <w:sz w:val="14"/>
                              </w:rPr>
                            </w:pPr>
                            <w:r>
                              <w:rPr>
                                <w:spacing w:val="-2"/>
                                <w:sz w:val="14"/>
                              </w:rPr>
                              <w:t>4,727</w:t>
                            </w:r>
                          </w:p>
                        </w:tc>
                        <w:tc>
                          <w:tcPr>
                            <w:tcW w:w="90" w:type="dxa"/>
                          </w:tcPr>
                          <w:p>
                            <w:pPr>
                              <w:pStyle w:val="TableParagraph"/>
                              <w:rPr>
                                <w:rFonts w:ascii="Times New Roman"/>
                                <w:sz w:val="18"/>
                              </w:rPr>
                            </w:pPr>
                          </w:p>
                        </w:tc>
                        <w:tc>
                          <w:tcPr>
                            <w:tcW w:w="1305" w:type="dxa"/>
                          </w:tcPr>
                          <w:p>
                            <w:pPr>
                              <w:pStyle w:val="TableParagraph"/>
                              <w:spacing w:before="129"/>
                              <w:ind w:right="50"/>
                              <w:jc w:val="right"/>
                              <w:rPr>
                                <w:sz w:val="14"/>
                              </w:rPr>
                            </w:pPr>
                            <w:r>
                              <w:rPr>
                                <w:sz w:val="14"/>
                              </w:rPr>
                              <w:t>378</w:t>
                            </w:r>
                            <w:r>
                              <w:rPr>
                                <w:spacing w:val="36"/>
                                <w:sz w:val="14"/>
                              </w:rPr>
                              <w:t> </w:t>
                            </w:r>
                            <w:r>
                              <w:rPr>
                                <w:spacing w:val="-10"/>
                                <w:sz w:val="14"/>
                                <w:vertAlign w:val="superscript"/>
                              </w:rPr>
                              <w:t>a</w:t>
                            </w:r>
                          </w:p>
                        </w:tc>
                        <w:tc>
                          <w:tcPr>
                            <w:tcW w:w="1185" w:type="dxa"/>
                          </w:tcPr>
                          <w:p>
                            <w:pPr>
                              <w:pStyle w:val="TableParagraph"/>
                              <w:spacing w:before="129"/>
                              <w:ind w:right="59"/>
                              <w:jc w:val="right"/>
                              <w:rPr>
                                <w:sz w:val="14"/>
                              </w:rPr>
                            </w:pPr>
                            <w:r>
                              <w:rPr>
                                <w:spacing w:val="-2"/>
                                <w:sz w:val="14"/>
                              </w:rPr>
                              <w:t>5,105</w:t>
                            </w:r>
                          </w:p>
                        </w:tc>
                        <w:tc>
                          <w:tcPr>
                            <w:tcW w:w="90" w:type="dxa"/>
                          </w:tcPr>
                          <w:p>
                            <w:pPr>
                              <w:pStyle w:val="TableParagraph"/>
                              <w:rPr>
                                <w:rFonts w:ascii="Times New Roman"/>
                                <w:sz w:val="18"/>
                              </w:rPr>
                            </w:pPr>
                          </w:p>
                        </w:tc>
                        <w:tc>
                          <w:tcPr>
                            <w:tcW w:w="556" w:type="dxa"/>
                          </w:tcPr>
                          <w:p>
                            <w:pPr>
                              <w:pStyle w:val="TableParagraph"/>
                              <w:rPr>
                                <w:rFonts w:ascii="Times New Roman"/>
                                <w:sz w:val="18"/>
                              </w:rPr>
                            </w:pPr>
                          </w:p>
                        </w:tc>
                        <w:tc>
                          <w:tcPr>
                            <w:tcW w:w="884" w:type="dxa"/>
                          </w:tcPr>
                          <w:p>
                            <w:pPr>
                              <w:pStyle w:val="TableParagraph"/>
                              <w:spacing w:before="129"/>
                              <w:ind w:right="12"/>
                              <w:jc w:val="right"/>
                              <w:rPr>
                                <w:sz w:val="14"/>
                              </w:rPr>
                            </w:pPr>
                            <w:r>
                              <w:rPr>
                                <w:spacing w:val="-2"/>
                                <w:sz w:val="14"/>
                              </w:rPr>
                              <w:t>(1,640)</w:t>
                            </w:r>
                          </w:p>
                        </w:tc>
                      </w:tr>
                      <w:tr>
                        <w:trPr>
                          <w:trHeight w:val="309" w:hRule="atLeast"/>
                        </w:trPr>
                        <w:tc>
                          <w:tcPr>
                            <w:tcW w:w="1245" w:type="dxa"/>
                            <w:tcBorders>
                              <w:bottom w:val="single" w:sz="8" w:space="0" w:color="000000"/>
                            </w:tcBorders>
                          </w:tcPr>
                          <w:p>
                            <w:pPr>
                              <w:pStyle w:val="TableParagraph"/>
                              <w:spacing w:line="161" w:lineRule="exact" w:before="129"/>
                              <w:ind w:right="14"/>
                              <w:jc w:val="right"/>
                              <w:rPr>
                                <w:sz w:val="14"/>
                              </w:rPr>
                            </w:pPr>
                            <w:r>
                              <w:rPr>
                                <w:spacing w:val="-4"/>
                                <w:sz w:val="14"/>
                              </w:rPr>
                              <w:t>(89)</w:t>
                            </w:r>
                          </w:p>
                        </w:tc>
                        <w:tc>
                          <w:tcPr>
                            <w:tcW w:w="90" w:type="dxa"/>
                          </w:tcPr>
                          <w:p>
                            <w:pPr>
                              <w:pStyle w:val="TableParagraph"/>
                              <w:rPr>
                                <w:rFonts w:ascii="Times New Roman"/>
                                <w:sz w:val="18"/>
                              </w:rPr>
                            </w:pPr>
                          </w:p>
                        </w:tc>
                        <w:tc>
                          <w:tcPr>
                            <w:tcW w:w="1200" w:type="dxa"/>
                            <w:tcBorders>
                              <w:bottom w:val="single" w:sz="8" w:space="0" w:color="000000"/>
                            </w:tcBorders>
                          </w:tcPr>
                          <w:p>
                            <w:pPr>
                              <w:pStyle w:val="TableParagraph"/>
                              <w:spacing w:line="161" w:lineRule="exact" w:before="129"/>
                              <w:ind w:right="59"/>
                              <w:jc w:val="right"/>
                              <w:rPr>
                                <w:sz w:val="14"/>
                              </w:rPr>
                            </w:pPr>
                            <w:r>
                              <w:rPr>
                                <w:sz w:val="14"/>
                              </w:rPr>
                              <w:t>—</w:t>
                            </w:r>
                          </w:p>
                        </w:tc>
                        <w:tc>
                          <w:tcPr>
                            <w:tcW w:w="90" w:type="dxa"/>
                          </w:tcPr>
                          <w:p>
                            <w:pPr>
                              <w:pStyle w:val="TableParagraph"/>
                              <w:rPr>
                                <w:rFonts w:ascii="Times New Roman"/>
                                <w:sz w:val="18"/>
                              </w:rPr>
                            </w:pPr>
                          </w:p>
                        </w:tc>
                        <w:tc>
                          <w:tcPr>
                            <w:tcW w:w="1305" w:type="dxa"/>
                          </w:tcPr>
                          <w:p>
                            <w:pPr>
                              <w:pStyle w:val="TableParagraph"/>
                              <w:spacing w:line="161" w:lineRule="exact" w:before="129"/>
                              <w:ind w:right="50"/>
                              <w:jc w:val="right"/>
                              <w:rPr>
                                <w:sz w:val="14"/>
                              </w:rPr>
                            </w:pPr>
                            <w:r>
                              <w:rPr>
                                <w:sz w:val="14"/>
                              </w:rPr>
                              <w:t>23</w:t>
                            </w:r>
                            <w:r>
                              <w:rPr>
                                <w:spacing w:val="37"/>
                                <w:sz w:val="14"/>
                              </w:rPr>
                              <w:t> </w:t>
                            </w:r>
                            <w:r>
                              <w:rPr>
                                <w:spacing w:val="-10"/>
                                <w:sz w:val="14"/>
                                <w:vertAlign w:val="superscript"/>
                              </w:rPr>
                              <w:t>a</w:t>
                            </w:r>
                          </w:p>
                        </w:tc>
                        <w:tc>
                          <w:tcPr>
                            <w:tcW w:w="1185" w:type="dxa"/>
                            <w:tcBorders>
                              <w:bottom w:val="single" w:sz="8" w:space="0" w:color="000000"/>
                            </w:tcBorders>
                          </w:tcPr>
                          <w:p>
                            <w:pPr>
                              <w:pStyle w:val="TableParagraph"/>
                              <w:spacing w:line="161" w:lineRule="exact" w:before="129"/>
                              <w:ind w:right="59"/>
                              <w:jc w:val="right"/>
                              <w:rPr>
                                <w:sz w:val="14"/>
                              </w:rPr>
                            </w:pPr>
                            <w:r>
                              <w:rPr>
                                <w:spacing w:val="-5"/>
                                <w:sz w:val="14"/>
                              </w:rPr>
                              <w:t>23</w:t>
                            </w:r>
                          </w:p>
                        </w:tc>
                        <w:tc>
                          <w:tcPr>
                            <w:tcW w:w="90" w:type="dxa"/>
                          </w:tcPr>
                          <w:p>
                            <w:pPr>
                              <w:pStyle w:val="TableParagraph"/>
                              <w:rPr>
                                <w:rFonts w:ascii="Times New Roman"/>
                                <w:sz w:val="18"/>
                              </w:rPr>
                            </w:pPr>
                          </w:p>
                        </w:tc>
                        <w:tc>
                          <w:tcPr>
                            <w:tcW w:w="556" w:type="dxa"/>
                            <w:tcBorders>
                              <w:bottom w:val="single" w:sz="8" w:space="0" w:color="000000"/>
                            </w:tcBorders>
                          </w:tcPr>
                          <w:p>
                            <w:pPr>
                              <w:pStyle w:val="TableParagraph"/>
                              <w:rPr>
                                <w:rFonts w:ascii="Times New Roman"/>
                                <w:sz w:val="18"/>
                              </w:rPr>
                            </w:pPr>
                          </w:p>
                        </w:tc>
                        <w:tc>
                          <w:tcPr>
                            <w:tcW w:w="884" w:type="dxa"/>
                            <w:tcBorders>
                              <w:bottom w:val="single" w:sz="8" w:space="0" w:color="000000"/>
                            </w:tcBorders>
                          </w:tcPr>
                          <w:p>
                            <w:pPr>
                              <w:pStyle w:val="TableParagraph"/>
                              <w:spacing w:line="161" w:lineRule="exact" w:before="129"/>
                              <w:ind w:right="12"/>
                              <w:jc w:val="right"/>
                              <w:rPr>
                                <w:sz w:val="14"/>
                              </w:rPr>
                            </w:pPr>
                            <w:r>
                              <w:rPr>
                                <w:spacing w:val="-4"/>
                                <w:sz w:val="14"/>
                              </w:rPr>
                              <w:t>(66)</w:t>
                            </w:r>
                          </w:p>
                        </w:tc>
                      </w:tr>
                    </w:tbl>
                    <w:p>
                      <w:pPr>
                        <w:pStyle w:val="BodyText"/>
                      </w:pPr>
                    </w:p>
                  </w:txbxContent>
                </v:textbox>
                <w10:wrap type="none"/>
              </v:shape>
            </w:pict>
          </mc:Fallback>
        </mc:AlternateContent>
      </w:r>
      <w:r>
        <w:rPr>
          <w:rFonts w:ascii="Arial"/>
          <w:i/>
          <w:spacing w:val="-2"/>
          <w:sz w:val="14"/>
        </w:rPr>
        <w:t>Balance,</w:t>
      </w:r>
      <w:r>
        <w:rPr>
          <w:rFonts w:ascii="Arial"/>
          <w:i/>
          <w:spacing w:val="40"/>
          <w:sz w:val="14"/>
        </w:rPr>
        <w:t> </w:t>
      </w:r>
      <w:r>
        <w:rPr>
          <w:rFonts w:ascii="Arial"/>
          <w:i/>
          <w:sz w:val="14"/>
        </w:rPr>
        <w:t>beginning</w:t>
      </w:r>
      <w:r>
        <w:rPr>
          <w:rFonts w:ascii="Arial"/>
          <w:i/>
          <w:spacing w:val="-10"/>
          <w:sz w:val="14"/>
        </w:rPr>
        <w:t> </w:t>
      </w:r>
      <w:r>
        <w:rPr>
          <w:rFonts w:ascii="Arial"/>
          <w:i/>
          <w:sz w:val="14"/>
        </w:rPr>
        <w:t>of</w:t>
      </w:r>
      <w:r>
        <w:rPr>
          <w:rFonts w:ascii="Arial"/>
          <w:i/>
          <w:spacing w:val="-10"/>
          <w:sz w:val="14"/>
        </w:rPr>
        <w:t> </w:t>
      </w:r>
      <w:r>
        <w:rPr>
          <w:rFonts w:ascii="Arial"/>
          <w:i/>
          <w:sz w:val="14"/>
        </w:rPr>
        <w:t>the</w:t>
      </w:r>
      <w:r>
        <w:rPr>
          <w:rFonts w:ascii="Arial"/>
          <w:i/>
          <w:spacing w:val="40"/>
          <w:sz w:val="14"/>
        </w:rPr>
        <w:t> </w:t>
      </w:r>
      <w:r>
        <w:rPr>
          <w:rFonts w:ascii="Arial"/>
          <w:i/>
          <w:sz w:val="14"/>
        </w:rPr>
        <w:t>fiscal</w:t>
      </w:r>
      <w:r>
        <w:rPr>
          <w:rFonts w:ascii="Arial"/>
          <w:i/>
          <w:spacing w:val="-2"/>
          <w:sz w:val="14"/>
        </w:rPr>
        <w:t> </w:t>
      </w:r>
      <w:r>
        <w:rPr>
          <w:rFonts w:ascii="Arial"/>
          <w:i/>
          <w:sz w:val="14"/>
        </w:rPr>
        <w:t>year</w:t>
      </w:r>
    </w:p>
    <w:p>
      <w:pPr>
        <w:pStyle w:val="BodyText"/>
        <w:rPr>
          <w:rFonts w:ascii="Arial"/>
          <w:i/>
          <w:sz w:val="14"/>
        </w:rPr>
      </w:pPr>
      <w:r>
        <w:rPr/>
        <w:br w:type="column"/>
      </w:r>
      <w:r>
        <w:rPr>
          <w:rFonts w:ascii="Arial"/>
          <w:i/>
          <w:sz w:val="14"/>
        </w:rPr>
      </w:r>
    </w:p>
    <w:p>
      <w:pPr>
        <w:pStyle w:val="BodyText"/>
        <w:rPr>
          <w:rFonts w:ascii="Arial"/>
          <w:i/>
          <w:sz w:val="14"/>
        </w:r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40"/>
        <w:rPr>
          <w:rFonts w:ascii="Arial"/>
          <w:i/>
          <w:sz w:val="14"/>
        </w:rPr>
      </w:pPr>
    </w:p>
    <w:p>
      <w:pPr>
        <w:spacing w:line="249" w:lineRule="auto" w:before="0"/>
        <w:ind w:left="583" w:right="-9" w:hanging="164"/>
        <w:jc w:val="left"/>
        <w:rPr>
          <w:rFonts w:ascii="Arial"/>
          <w:i/>
          <w:sz w:val="14"/>
        </w:rPr>
      </w:pPr>
      <w:r>
        <w:rPr>
          <w:rFonts w:ascii="Arial"/>
          <w:i/>
          <w:sz w:val="14"/>
        </w:rPr>
        <w:t>Changes</w:t>
      </w:r>
      <w:r>
        <w:rPr>
          <w:rFonts w:ascii="Arial"/>
          <w:i/>
          <w:spacing w:val="-10"/>
          <w:sz w:val="14"/>
        </w:rPr>
        <w:t> </w:t>
      </w:r>
      <w:r>
        <w:rPr>
          <w:rFonts w:ascii="Arial"/>
          <w:i/>
          <w:sz w:val="14"/>
        </w:rPr>
        <w:t>in</w:t>
      </w:r>
      <w:r>
        <w:rPr>
          <w:rFonts w:ascii="Arial"/>
          <w:i/>
          <w:spacing w:val="40"/>
          <w:sz w:val="14"/>
        </w:rPr>
        <w:t> </w:t>
      </w:r>
      <w:r>
        <w:rPr>
          <w:rFonts w:ascii="Arial"/>
          <w:i/>
          <w:spacing w:val="-4"/>
          <w:sz w:val="14"/>
        </w:rPr>
        <w:t>AOCL</w:t>
      </w:r>
    </w:p>
    <w:p>
      <w:pPr>
        <w:pStyle w:val="BodyText"/>
        <w:rPr>
          <w:rFonts w:ascii="Arial"/>
          <w:i/>
          <w:sz w:val="14"/>
        </w:rPr>
      </w:pPr>
      <w:r>
        <w:rPr/>
        <w:br w:type="column"/>
      </w:r>
      <w:r>
        <w:rPr>
          <w:rFonts w:ascii="Arial"/>
          <w:i/>
          <w:sz w:val="14"/>
        </w:rPr>
      </w:r>
    </w:p>
    <w:p>
      <w:pPr>
        <w:pStyle w:val="BodyText"/>
        <w:rPr>
          <w:rFonts w:ascii="Arial"/>
          <w:i/>
          <w:sz w:val="14"/>
        </w:rPr>
      </w:pPr>
    </w:p>
    <w:p>
      <w:pPr>
        <w:pStyle w:val="BodyText"/>
        <w:spacing w:before="136"/>
        <w:rPr>
          <w:rFonts w:ascii="Arial"/>
          <w:i/>
          <w:sz w:val="14"/>
        </w:rPr>
      </w:pPr>
    </w:p>
    <w:p>
      <w:pPr>
        <w:spacing w:before="0"/>
        <w:ind w:left="615" w:right="0" w:firstLine="0"/>
        <w:jc w:val="center"/>
        <w:rPr>
          <w:rFonts w:ascii="Arial"/>
          <w:i/>
          <w:sz w:val="14"/>
        </w:rPr>
      </w:pPr>
      <w:r>
        <w:rPr>
          <w:rFonts w:ascii="Arial"/>
          <w:i/>
          <w:spacing w:val="-4"/>
          <w:sz w:val="14"/>
        </w:rPr>
        <w:t>2021</w:t>
      </w:r>
    </w:p>
    <w:p>
      <w:pPr>
        <w:spacing w:line="249" w:lineRule="auto" w:before="58"/>
        <w:ind w:left="406" w:right="0" w:hanging="1"/>
        <w:jc w:val="center"/>
        <w:rPr>
          <w:rFonts w:ascii="Arial"/>
          <w:i/>
          <w:sz w:val="14"/>
        </w:rPr>
      </w:pPr>
      <w:r>
        <w:rPr>
          <w:rFonts w:ascii="Arial"/>
          <w:i/>
          <w:sz w:val="14"/>
        </w:rPr>
        <mc:AlternateContent>
          <mc:Choice Requires="wps">
            <w:drawing>
              <wp:anchor distT="0" distB="0" distL="0" distR="0" allowOverlap="1" layoutInCell="1" locked="0" behindDoc="0" simplePos="0" relativeHeight="15904768">
                <wp:simplePos x="0" y="0"/>
                <wp:positionH relativeFrom="page">
                  <wp:posOffset>2619375</wp:posOffset>
                </wp:positionH>
                <wp:positionV relativeFrom="paragraph">
                  <wp:posOffset>19084</wp:posOffset>
                </wp:positionV>
                <wp:extent cx="4219575" cy="1270"/>
                <wp:effectExtent l="0" t="0" r="0" b="0"/>
                <wp:wrapNone/>
                <wp:docPr id="986" name="Graphic 986"/>
                <wp:cNvGraphicFramePr>
                  <a:graphicFrameLocks/>
                </wp:cNvGraphicFramePr>
                <a:graphic>
                  <a:graphicData uri="http://schemas.microsoft.com/office/word/2010/wordprocessingShape">
                    <wps:wsp>
                      <wps:cNvPr id="986" name="Graphic 986"/>
                      <wps:cNvSpPr/>
                      <wps:spPr>
                        <a:xfrm>
                          <a:off x="0" y="0"/>
                          <a:ext cx="4219575" cy="1270"/>
                        </a:xfrm>
                        <a:custGeom>
                          <a:avLst/>
                          <a:gdLst/>
                          <a:ahLst/>
                          <a:cxnLst/>
                          <a:rect l="l" t="t" r="r" b="b"/>
                          <a:pathLst>
                            <a:path w="4219575" h="0">
                              <a:moveTo>
                                <a:pt x="0" y="0"/>
                              </a:moveTo>
                              <a:lnTo>
                                <a:pt x="42195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4768" from="206.25pt,1.502734pt" to="538.5pt,1.502734pt" stroked="true" strokeweight="1pt" strokecolor="#000000">
                <v:stroke dashstyle="solid"/>
                <w10:wrap type="none"/>
              </v:line>
            </w:pict>
          </mc:Fallback>
        </mc:AlternateContent>
      </w:r>
      <w:r>
        <w:rPr>
          <w:rFonts w:ascii="Arial"/>
          <w:i/>
          <w:sz w:val="14"/>
        </w:rPr>
        <mc:AlternateContent>
          <mc:Choice Requires="wps">
            <w:drawing>
              <wp:anchor distT="0" distB="0" distL="0" distR="0" allowOverlap="1" layoutInCell="1" locked="0" behindDoc="0" simplePos="0" relativeHeight="15905280">
                <wp:simplePos x="0" y="0"/>
                <wp:positionH relativeFrom="page">
                  <wp:posOffset>4286250</wp:posOffset>
                </wp:positionH>
                <wp:positionV relativeFrom="paragraph">
                  <wp:posOffset>371509</wp:posOffset>
                </wp:positionV>
                <wp:extent cx="752475" cy="1270"/>
                <wp:effectExtent l="0" t="0" r="0" b="0"/>
                <wp:wrapNone/>
                <wp:docPr id="987" name="Graphic 987"/>
                <wp:cNvGraphicFramePr>
                  <a:graphicFrameLocks/>
                </wp:cNvGraphicFramePr>
                <a:graphic>
                  <a:graphicData uri="http://schemas.microsoft.com/office/word/2010/wordprocessingShape">
                    <wps:wsp>
                      <wps:cNvPr id="987" name="Graphic 987"/>
                      <wps:cNvSpPr/>
                      <wps:spPr>
                        <a:xfrm>
                          <a:off x="0" y="0"/>
                          <a:ext cx="752475" cy="1270"/>
                        </a:xfrm>
                        <a:custGeom>
                          <a:avLst/>
                          <a:gdLst/>
                          <a:ahLst/>
                          <a:cxnLst/>
                          <a:rect l="l" t="t" r="r" b="b"/>
                          <a:pathLst>
                            <a:path w="752475" h="0">
                              <a:moveTo>
                                <a:pt x="0" y="0"/>
                              </a:moveTo>
                              <a:lnTo>
                                <a:pt x="7524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5280" from="337.5pt,29.252735pt" to="396.75pt,29.252735pt" stroked="true" strokeweight="1pt" strokecolor="#000000">
                <v:stroke dashstyle="solid"/>
                <w10:wrap type="none"/>
              </v:line>
            </w:pict>
          </mc:Fallback>
        </mc:AlternateContent>
      </w:r>
      <w:r>
        <w:rPr>
          <w:rFonts w:ascii="Arial"/>
          <w:i/>
          <w:spacing w:val="-2"/>
          <w:sz w:val="14"/>
        </w:rPr>
        <w:t>Amounts</w:t>
      </w:r>
      <w:r>
        <w:rPr>
          <w:rFonts w:ascii="Arial"/>
          <w:i/>
          <w:spacing w:val="40"/>
          <w:sz w:val="14"/>
        </w:rPr>
        <w:t> </w:t>
      </w:r>
      <w:r>
        <w:rPr>
          <w:rFonts w:ascii="Arial"/>
          <w:i/>
          <w:sz w:val="14"/>
        </w:rPr>
        <w:t>reclassified</w:t>
      </w:r>
      <w:r>
        <w:rPr>
          <w:rFonts w:ascii="Arial"/>
          <w:i/>
          <w:spacing w:val="-10"/>
          <w:sz w:val="14"/>
        </w:rPr>
        <w:t> </w:t>
      </w:r>
      <w:r>
        <w:rPr>
          <w:rFonts w:ascii="Arial"/>
          <w:i/>
          <w:sz w:val="14"/>
        </w:rPr>
        <w:t>into</w:t>
      </w:r>
      <w:r>
        <w:rPr>
          <w:rFonts w:ascii="Arial"/>
          <w:i/>
          <w:spacing w:val="40"/>
          <w:sz w:val="14"/>
        </w:rPr>
        <w:t> </w:t>
      </w:r>
      <w:r>
        <w:rPr>
          <w:rFonts w:ascii="Arial"/>
          <w:i/>
          <w:sz w:val="14"/>
        </w:rPr>
        <w:t>net</w:t>
      </w:r>
      <w:r>
        <w:rPr>
          <w:rFonts w:ascii="Arial"/>
          <w:i/>
          <w:spacing w:val="-2"/>
          <w:sz w:val="14"/>
        </w:rPr>
        <w:t> </w:t>
      </w:r>
      <w:r>
        <w:rPr>
          <w:rFonts w:ascii="Arial"/>
          <w:i/>
          <w:sz w:val="14"/>
        </w:rPr>
        <w:t>income</w:t>
      </w:r>
    </w:p>
    <w:p>
      <w:pPr>
        <w:pStyle w:val="BodyText"/>
        <w:rPr>
          <w:rFonts w:ascii="Arial"/>
          <w:i/>
          <w:sz w:val="14"/>
        </w:rPr>
      </w:pPr>
      <w:r>
        <w:rPr/>
        <w:br w:type="column"/>
      </w:r>
      <w:r>
        <w:rPr>
          <w:rFonts w:ascii="Arial"/>
          <w:i/>
          <w:sz w:val="14"/>
        </w:rPr>
      </w:r>
    </w:p>
    <w:p>
      <w:pPr>
        <w:pStyle w:val="BodyText"/>
        <w:rPr>
          <w:rFonts w:ascii="Arial"/>
          <w:i/>
          <w:sz w:val="14"/>
        </w:r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40"/>
        <w:rPr>
          <w:rFonts w:ascii="Arial"/>
          <w:i/>
          <w:sz w:val="14"/>
        </w:rPr>
      </w:pPr>
    </w:p>
    <w:p>
      <w:pPr>
        <w:spacing w:line="249" w:lineRule="auto" w:before="0"/>
        <w:ind w:left="257" w:right="0" w:firstLine="116"/>
        <w:jc w:val="left"/>
        <w:rPr>
          <w:rFonts w:ascii="Arial"/>
          <w:i/>
          <w:sz w:val="14"/>
        </w:rPr>
      </w:pPr>
      <w:r>
        <w:rPr>
          <w:rFonts w:ascii="Arial"/>
          <w:i/>
          <w:sz w:val="14"/>
        </w:rPr>
        <w:t>Net</w:t>
      </w:r>
      <w:r>
        <w:rPr>
          <w:rFonts w:ascii="Arial"/>
          <w:i/>
          <w:spacing w:val="-2"/>
          <w:sz w:val="14"/>
        </w:rPr>
        <w:t> </w:t>
      </w:r>
      <w:r>
        <w:rPr>
          <w:rFonts w:ascii="Arial"/>
          <w:i/>
          <w:sz w:val="14"/>
        </w:rPr>
        <w:t>Changes</w:t>
      </w:r>
      <w:r>
        <w:rPr>
          <w:rFonts w:ascii="Arial"/>
          <w:i/>
          <w:spacing w:val="40"/>
          <w:sz w:val="14"/>
        </w:rPr>
        <w:t> </w:t>
      </w:r>
      <w:r>
        <w:rPr>
          <w:rFonts w:ascii="Arial"/>
          <w:i/>
          <w:sz w:val="14"/>
        </w:rPr>
        <w:t>during</w:t>
      </w:r>
      <w:r>
        <w:rPr>
          <w:rFonts w:ascii="Arial"/>
          <w:i/>
          <w:spacing w:val="-10"/>
          <w:sz w:val="14"/>
        </w:rPr>
        <w:t> </w:t>
      </w:r>
      <w:r>
        <w:rPr>
          <w:rFonts w:ascii="Arial"/>
          <w:i/>
          <w:sz w:val="14"/>
        </w:rPr>
        <w:t>the</w:t>
      </w:r>
      <w:r>
        <w:rPr>
          <w:rFonts w:ascii="Arial"/>
          <w:i/>
          <w:spacing w:val="-10"/>
          <w:sz w:val="14"/>
        </w:rPr>
        <w:t> </w:t>
      </w:r>
      <w:r>
        <w:rPr>
          <w:rFonts w:ascii="Arial"/>
          <w:i/>
          <w:sz w:val="14"/>
        </w:rPr>
        <w:t>period</w:t>
      </w:r>
    </w:p>
    <w:p>
      <w:pPr>
        <w:pStyle w:val="BodyText"/>
        <w:rPr>
          <w:rFonts w:ascii="Arial"/>
          <w:i/>
          <w:sz w:val="14"/>
        </w:rPr>
      </w:pPr>
      <w:r>
        <w:rPr/>
        <w:br w:type="column"/>
      </w:r>
      <w:r>
        <w:rPr>
          <w:rFonts w:ascii="Arial"/>
          <w:i/>
          <w:sz w:val="14"/>
        </w:rPr>
      </w:r>
    </w:p>
    <w:p>
      <w:pPr>
        <w:pStyle w:val="BodyText"/>
        <w:rPr>
          <w:rFonts w:ascii="Arial"/>
          <w:i/>
          <w:sz w:val="14"/>
        </w:rPr>
      </w:pPr>
    </w:p>
    <w:p>
      <w:pPr>
        <w:pStyle w:val="BodyText"/>
        <w:rPr>
          <w:rFonts w:ascii="Arial"/>
          <w:i/>
          <w:sz w:val="14"/>
        </w:rPr>
      </w:pPr>
    </w:p>
    <w:p>
      <w:pPr>
        <w:pStyle w:val="BodyText"/>
        <w:rPr>
          <w:rFonts w:ascii="Arial"/>
          <w:i/>
          <w:sz w:val="14"/>
        </w:rPr>
      </w:pPr>
    </w:p>
    <w:p>
      <w:pPr>
        <w:pStyle w:val="BodyText"/>
        <w:rPr>
          <w:rFonts w:ascii="Arial"/>
          <w:i/>
          <w:sz w:val="14"/>
        </w:rPr>
      </w:pPr>
    </w:p>
    <w:p>
      <w:pPr>
        <w:pStyle w:val="BodyText"/>
        <w:spacing w:before="40"/>
        <w:rPr>
          <w:rFonts w:ascii="Arial"/>
          <w:i/>
          <w:sz w:val="14"/>
        </w:rPr>
      </w:pPr>
    </w:p>
    <w:p>
      <w:pPr>
        <w:spacing w:line="249" w:lineRule="auto" w:before="0"/>
        <w:ind w:left="522" w:right="864" w:hanging="288"/>
        <w:jc w:val="left"/>
        <w:rPr>
          <w:rFonts w:ascii="Arial"/>
          <w:i/>
          <w:sz w:val="14"/>
        </w:rPr>
      </w:pPr>
      <w:r>
        <w:rPr>
          <w:rFonts w:ascii="Arial"/>
          <w:i/>
          <w:sz w:val="14"/>
        </w:rPr>
        <w:t>Balance,</w:t>
      </w:r>
      <w:r>
        <w:rPr>
          <w:rFonts w:ascii="Arial"/>
          <w:i/>
          <w:spacing w:val="-10"/>
          <w:sz w:val="14"/>
        </w:rPr>
        <w:t> </w:t>
      </w:r>
      <w:r>
        <w:rPr>
          <w:rFonts w:ascii="Arial"/>
          <w:i/>
          <w:sz w:val="14"/>
        </w:rPr>
        <w:t>end</w:t>
      </w:r>
      <w:r>
        <w:rPr>
          <w:rFonts w:ascii="Arial"/>
          <w:i/>
          <w:spacing w:val="-10"/>
          <w:sz w:val="14"/>
        </w:rPr>
        <w:t> </w:t>
      </w:r>
      <w:r>
        <w:rPr>
          <w:rFonts w:ascii="Arial"/>
          <w:i/>
          <w:sz w:val="14"/>
        </w:rPr>
        <w:t>of</w:t>
      </w:r>
      <w:r>
        <w:rPr>
          <w:rFonts w:ascii="Arial"/>
          <w:i/>
          <w:spacing w:val="-10"/>
          <w:sz w:val="14"/>
        </w:rPr>
        <w:t> </w:t>
      </w:r>
      <w:r>
        <w:rPr>
          <w:rFonts w:ascii="Arial"/>
          <w:i/>
          <w:sz w:val="14"/>
        </w:rPr>
        <w:t>the</w:t>
      </w:r>
      <w:r>
        <w:rPr>
          <w:rFonts w:ascii="Arial"/>
          <w:i/>
          <w:spacing w:val="40"/>
          <w:sz w:val="14"/>
        </w:rPr>
        <w:t> </w:t>
      </w:r>
      <w:r>
        <w:rPr>
          <w:rFonts w:ascii="Arial"/>
          <w:i/>
          <w:sz w:val="14"/>
        </w:rPr>
        <w:t>fiscal</w:t>
      </w:r>
      <w:r>
        <w:rPr>
          <w:rFonts w:ascii="Arial"/>
          <w:i/>
          <w:spacing w:val="-2"/>
          <w:sz w:val="14"/>
        </w:rPr>
        <w:t> </w:t>
      </w:r>
      <w:r>
        <w:rPr>
          <w:rFonts w:ascii="Arial"/>
          <w:i/>
          <w:sz w:val="14"/>
        </w:rPr>
        <w:t>year</w:t>
      </w:r>
    </w:p>
    <w:p>
      <w:pPr>
        <w:spacing w:after="0" w:line="249" w:lineRule="auto"/>
        <w:jc w:val="left"/>
        <w:rPr>
          <w:rFonts w:ascii="Arial"/>
          <w:i/>
          <w:sz w:val="14"/>
        </w:rPr>
        <w:sectPr>
          <w:headerReference w:type="default" r:id="rId208"/>
          <w:pgSz w:w="12240" w:h="15840"/>
          <w:pgMar w:header="0" w:footer="0" w:top="960" w:bottom="720" w:left="720" w:right="720"/>
          <w:cols w:num="6" w:equalWidth="0">
            <w:col w:w="3045" w:space="40"/>
            <w:col w:w="1442" w:space="39"/>
            <w:col w:w="1129" w:space="40"/>
            <w:col w:w="1372" w:space="39"/>
            <w:col w:w="1308" w:space="39"/>
            <w:col w:w="2307"/>
          </w:cols>
        </w:sectPr>
      </w:pPr>
    </w:p>
    <w:p>
      <w:pPr>
        <w:pStyle w:val="BodyText"/>
        <w:spacing w:before="1"/>
        <w:rPr>
          <w:rFonts w:ascii="Arial"/>
          <w:i/>
          <w:sz w:val="2"/>
        </w:rPr>
      </w:pPr>
    </w:p>
    <w:p>
      <w:pPr>
        <w:spacing w:line="20" w:lineRule="exact"/>
        <w:ind w:left="6030" w:right="0" w:firstLine="0"/>
        <w:rPr>
          <w:rFonts w:ascii="Arial"/>
          <w:sz w:val="2"/>
        </w:rPr>
      </w:pPr>
      <w:r>
        <w:rPr>
          <w:rFonts w:ascii="Arial"/>
          <w:sz w:val="2"/>
        </w:rPr>
        <mc:AlternateContent>
          <mc:Choice Requires="wps">
            <w:drawing>
              <wp:inline distT="0" distB="0" distL="0" distR="0">
                <wp:extent cx="752475" cy="12700"/>
                <wp:effectExtent l="9525" t="0" r="0" b="6350"/>
                <wp:docPr id="988" name="Group 988"/>
                <wp:cNvGraphicFramePr>
                  <a:graphicFrameLocks/>
                </wp:cNvGraphicFramePr>
                <a:graphic>
                  <a:graphicData uri="http://schemas.microsoft.com/office/word/2010/wordprocessingGroup">
                    <wpg:wgp>
                      <wpg:cNvPr id="988" name="Group 988"/>
                      <wpg:cNvGrpSpPr/>
                      <wpg:grpSpPr>
                        <a:xfrm>
                          <a:off x="0" y="0"/>
                          <a:ext cx="752475" cy="12700"/>
                          <a:chExt cx="752475" cy="12700"/>
                        </a:xfrm>
                      </wpg:grpSpPr>
                      <wps:wsp>
                        <wps:cNvPr id="989" name="Graphic 989"/>
                        <wps:cNvSpPr/>
                        <wps:spPr>
                          <a:xfrm>
                            <a:off x="0" y="6350"/>
                            <a:ext cx="752475" cy="1270"/>
                          </a:xfrm>
                          <a:custGeom>
                            <a:avLst/>
                            <a:gdLst/>
                            <a:ahLst/>
                            <a:cxnLst/>
                            <a:rect l="l" t="t" r="r" b="b"/>
                            <a:pathLst>
                              <a:path w="752475" h="0">
                                <a:moveTo>
                                  <a:pt x="0" y="0"/>
                                </a:moveTo>
                                <a:lnTo>
                                  <a:pt x="75247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25pt;height:1pt;mso-position-horizontal-relative:char;mso-position-vertical-relative:line" id="docshapegroup818" coordorigin="0,0" coordsize="1185,20">
                <v:line style="position:absolute" from="0,10" to="1185,10" stroked="true" strokeweight="1pt" strokecolor="#000000">
                  <v:stroke dashstyle="solid"/>
                </v:line>
              </v:group>
            </w:pict>
          </mc:Fallback>
        </mc:AlternateContent>
      </w:r>
      <w:r>
        <w:rPr>
          <w:rFonts w:ascii="Arial"/>
          <w:sz w:val="2"/>
        </w:rPr>
      </w:r>
    </w:p>
    <w:p>
      <w:pPr>
        <w:tabs>
          <w:tab w:pos="3404" w:val="left" w:leader="none"/>
          <w:tab w:pos="4191" w:val="left" w:leader="none"/>
          <w:tab w:pos="5528" w:val="left" w:leader="none"/>
          <w:tab w:pos="6919" w:val="left" w:leader="none"/>
          <w:tab w:pos="8108" w:val="left" w:leader="none"/>
          <w:tab w:pos="9591" w:val="left" w:leader="none"/>
        </w:tabs>
        <w:spacing w:before="14"/>
        <w:ind w:left="772" w:right="0" w:firstLine="0"/>
        <w:jc w:val="left"/>
        <w:rPr>
          <w:rFonts w:ascii="Arial MT"/>
          <w:sz w:val="14"/>
        </w:rPr>
      </w:pPr>
      <w:r>
        <w:rPr>
          <w:rFonts w:ascii="Arial MT"/>
          <w:sz w:val="14"/>
        </w:rPr>
        <mc:AlternateContent>
          <mc:Choice Requires="wps">
            <w:drawing>
              <wp:anchor distT="0" distB="0" distL="0" distR="0" allowOverlap="1" layoutInCell="1" locked="0" behindDoc="1" simplePos="0" relativeHeight="487760384">
                <wp:simplePos x="0" y="0"/>
                <wp:positionH relativeFrom="page">
                  <wp:posOffset>2619375</wp:posOffset>
                </wp:positionH>
                <wp:positionV relativeFrom="paragraph">
                  <wp:posOffset>143129</wp:posOffset>
                </wp:positionV>
                <wp:extent cx="790575" cy="1270"/>
                <wp:effectExtent l="0" t="0" r="0" b="0"/>
                <wp:wrapTopAndBottom/>
                <wp:docPr id="990" name="Graphic 990"/>
                <wp:cNvGraphicFramePr>
                  <a:graphicFrameLocks/>
                </wp:cNvGraphicFramePr>
                <a:graphic>
                  <a:graphicData uri="http://schemas.microsoft.com/office/word/2010/wordprocessingShape">
                    <wps:wsp>
                      <wps:cNvPr id="990" name="Graphic 990"/>
                      <wps:cNvSpPr/>
                      <wps:spPr>
                        <a:xfrm>
                          <a:off x="0" y="0"/>
                          <a:ext cx="790575" cy="1270"/>
                        </a:xfrm>
                        <a:custGeom>
                          <a:avLst/>
                          <a:gdLst/>
                          <a:ahLst/>
                          <a:cxnLst/>
                          <a:rect l="l" t="t" r="r" b="b"/>
                          <a:pathLst>
                            <a:path w="790575" h="0">
                              <a:moveTo>
                                <a:pt x="0" y="0"/>
                              </a:moveTo>
                              <a:lnTo>
                                <a:pt x="7905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6.25pt;margin-top:11.27002pt;width:62.25pt;height:.1pt;mso-position-horizontal-relative:page;mso-position-vertical-relative:paragraph;z-index:-15556096;mso-wrap-distance-left:0;mso-wrap-distance-right:0" id="docshape819" coordorigin="4125,225" coordsize="1245,0" path="m4125,225l5370,225e" filled="false" stroked="true" strokeweight="1pt" strokecolor="#000000">
                <v:path arrowok="t"/>
                <v:stroke dashstyle="solid"/>
                <w10:wrap type="topAndBottom"/>
              </v:shape>
            </w:pict>
          </mc:Fallback>
        </mc:AlternateContent>
      </w:r>
      <w:r>
        <w:rPr>
          <w:rFonts w:ascii="Arial MT"/>
          <w:sz w:val="14"/>
        </w:rPr>
        <mc:AlternateContent>
          <mc:Choice Requires="wps">
            <w:drawing>
              <wp:anchor distT="0" distB="0" distL="0" distR="0" allowOverlap="1" layoutInCell="1" locked="0" behindDoc="1" simplePos="0" relativeHeight="487760896">
                <wp:simplePos x="0" y="0"/>
                <wp:positionH relativeFrom="page">
                  <wp:posOffset>3467100</wp:posOffset>
                </wp:positionH>
                <wp:positionV relativeFrom="paragraph">
                  <wp:posOffset>143129</wp:posOffset>
                </wp:positionV>
                <wp:extent cx="762000" cy="1270"/>
                <wp:effectExtent l="0" t="0" r="0" b="0"/>
                <wp:wrapTopAndBottom/>
                <wp:docPr id="991" name="Graphic 991"/>
                <wp:cNvGraphicFramePr>
                  <a:graphicFrameLocks/>
                </wp:cNvGraphicFramePr>
                <a:graphic>
                  <a:graphicData uri="http://schemas.microsoft.com/office/word/2010/wordprocessingShape">
                    <wps:wsp>
                      <wps:cNvPr id="991" name="Graphic 991"/>
                      <wps:cNvSpPr/>
                      <wps:spPr>
                        <a:xfrm>
                          <a:off x="0" y="0"/>
                          <a:ext cx="762000" cy="1270"/>
                        </a:xfrm>
                        <a:custGeom>
                          <a:avLst/>
                          <a:gdLst/>
                          <a:ahLst/>
                          <a:cxnLst/>
                          <a:rect l="l" t="t" r="r" b="b"/>
                          <a:pathLst>
                            <a:path w="762000" h="0">
                              <a:moveTo>
                                <a:pt x="0" y="0"/>
                              </a:moveTo>
                              <a:lnTo>
                                <a:pt x="762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3pt;margin-top:11.27002pt;width:60pt;height:.1pt;mso-position-horizontal-relative:page;mso-position-vertical-relative:paragraph;z-index:-15555584;mso-wrap-distance-left:0;mso-wrap-distance-right:0" id="docshape820" coordorigin="5460,225" coordsize="1200,0" path="m5460,225l6660,225e" filled="false" stroked="true" strokeweight="1pt" strokecolor="#000000">
                <v:path arrowok="t"/>
                <v:stroke dashstyle="solid"/>
                <w10:wrap type="topAndBottom"/>
              </v:shape>
            </w:pict>
          </mc:Fallback>
        </mc:AlternateContent>
      </w:r>
      <w:r>
        <w:rPr>
          <w:rFonts w:ascii="Arial MT"/>
          <w:sz w:val="14"/>
        </w:rPr>
        <mc:AlternateContent>
          <mc:Choice Requires="wps">
            <w:drawing>
              <wp:anchor distT="0" distB="0" distL="0" distR="0" allowOverlap="1" layoutInCell="1" locked="0" behindDoc="1" simplePos="0" relativeHeight="487761408">
                <wp:simplePos x="0" y="0"/>
                <wp:positionH relativeFrom="page">
                  <wp:posOffset>4286250</wp:posOffset>
                </wp:positionH>
                <wp:positionV relativeFrom="paragraph">
                  <wp:posOffset>143129</wp:posOffset>
                </wp:positionV>
                <wp:extent cx="752475" cy="1270"/>
                <wp:effectExtent l="0" t="0" r="0" b="0"/>
                <wp:wrapTopAndBottom/>
                <wp:docPr id="992" name="Graphic 992"/>
                <wp:cNvGraphicFramePr>
                  <a:graphicFrameLocks/>
                </wp:cNvGraphicFramePr>
                <a:graphic>
                  <a:graphicData uri="http://schemas.microsoft.com/office/word/2010/wordprocessingShape">
                    <wps:wsp>
                      <wps:cNvPr id="992" name="Graphic 992"/>
                      <wps:cNvSpPr/>
                      <wps:spPr>
                        <a:xfrm>
                          <a:off x="0" y="0"/>
                          <a:ext cx="752475" cy="1270"/>
                        </a:xfrm>
                        <a:custGeom>
                          <a:avLst/>
                          <a:gdLst/>
                          <a:ahLst/>
                          <a:cxnLst/>
                          <a:rect l="l" t="t" r="r" b="b"/>
                          <a:pathLst>
                            <a:path w="752475" h="0">
                              <a:moveTo>
                                <a:pt x="0" y="0"/>
                              </a:moveTo>
                              <a:lnTo>
                                <a:pt x="7524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7.5pt;margin-top:11.27002pt;width:59.25pt;height:.1pt;mso-position-horizontal-relative:page;mso-position-vertical-relative:paragraph;z-index:-15555072;mso-wrap-distance-left:0;mso-wrap-distance-right:0" id="docshape821" coordorigin="6750,225" coordsize="1185,0" path="m6750,225l7935,225e" filled="false" stroked="true" strokeweight="1pt" strokecolor="#000000">
                <v:path arrowok="t"/>
                <v:stroke dashstyle="solid"/>
                <w10:wrap type="topAndBottom"/>
              </v:shape>
            </w:pict>
          </mc:Fallback>
        </mc:AlternateContent>
      </w:r>
      <w:r>
        <w:rPr>
          <w:rFonts w:ascii="Arial MT"/>
          <w:sz w:val="14"/>
        </w:rPr>
        <mc:AlternateContent>
          <mc:Choice Requires="wps">
            <w:drawing>
              <wp:anchor distT="0" distB="0" distL="0" distR="0" allowOverlap="1" layoutInCell="1" locked="0" behindDoc="1" simplePos="0" relativeHeight="487761920">
                <wp:simplePos x="0" y="0"/>
                <wp:positionH relativeFrom="page">
                  <wp:posOffset>5114925</wp:posOffset>
                </wp:positionH>
                <wp:positionV relativeFrom="paragraph">
                  <wp:posOffset>143129</wp:posOffset>
                </wp:positionV>
                <wp:extent cx="752475" cy="127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752475" cy="1270"/>
                        </a:xfrm>
                        <a:custGeom>
                          <a:avLst/>
                          <a:gdLst/>
                          <a:ahLst/>
                          <a:cxnLst/>
                          <a:rect l="l" t="t" r="r" b="b"/>
                          <a:pathLst>
                            <a:path w="752475" h="0">
                              <a:moveTo>
                                <a:pt x="0" y="0"/>
                              </a:moveTo>
                              <a:lnTo>
                                <a:pt x="7524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2.75pt;margin-top:11.27002pt;width:59.25pt;height:.1pt;mso-position-horizontal-relative:page;mso-position-vertical-relative:paragraph;z-index:-15554560;mso-wrap-distance-left:0;mso-wrap-distance-right:0" id="docshape822" coordorigin="8055,225" coordsize="1185,0" path="m8055,225l9240,225e" filled="false" stroked="true" strokeweight="1pt" strokecolor="#000000">
                <v:path arrowok="t"/>
                <v:stroke dashstyle="solid"/>
                <w10:wrap type="topAndBottom"/>
              </v:shape>
            </w:pict>
          </mc:Fallback>
        </mc:AlternateContent>
      </w:r>
      <w:r>
        <w:rPr>
          <w:rFonts w:ascii="Arial MT"/>
          <w:sz w:val="14"/>
        </w:rPr>
        <mc:AlternateContent>
          <mc:Choice Requires="wps">
            <w:drawing>
              <wp:anchor distT="0" distB="0" distL="0" distR="0" allowOverlap="1" layoutInCell="1" locked="0" behindDoc="1" simplePos="0" relativeHeight="487762432">
                <wp:simplePos x="0" y="0"/>
                <wp:positionH relativeFrom="page">
                  <wp:posOffset>5924550</wp:posOffset>
                </wp:positionH>
                <wp:positionV relativeFrom="paragraph">
                  <wp:posOffset>143129</wp:posOffset>
                </wp:positionV>
                <wp:extent cx="914400" cy="1270"/>
                <wp:effectExtent l="0" t="0" r="0" b="0"/>
                <wp:wrapTopAndBottom/>
                <wp:docPr id="994" name="Graphic 994"/>
                <wp:cNvGraphicFramePr>
                  <a:graphicFrameLocks/>
                </wp:cNvGraphicFramePr>
                <a:graphic>
                  <a:graphicData uri="http://schemas.microsoft.com/office/word/2010/wordprocessingShape">
                    <wps:wsp>
                      <wps:cNvPr id="994" name="Graphic 994"/>
                      <wps:cNvSpPr/>
                      <wps:spPr>
                        <a:xfrm>
                          <a:off x="0" y="0"/>
                          <a:ext cx="914400" cy="1270"/>
                        </a:xfrm>
                        <a:custGeom>
                          <a:avLst/>
                          <a:gdLst/>
                          <a:ahLst/>
                          <a:cxnLst/>
                          <a:rect l="l" t="t" r="r" b="b"/>
                          <a:pathLst>
                            <a:path w="914400" h="0">
                              <a:moveTo>
                                <a:pt x="0" y="0"/>
                              </a:moveTo>
                              <a:lnTo>
                                <a:pt x="914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6.5pt;margin-top:11.27002pt;width:72pt;height:.1pt;mso-position-horizontal-relative:page;mso-position-vertical-relative:paragraph;z-index:-15554048;mso-wrap-distance-left:0;mso-wrap-distance-right:0" id="docshape823" coordorigin="9330,225" coordsize="1440,0" path="m9330,225l10770,225e" filled="false" stroked="true" strokeweight="1pt" strokecolor="#000000">
                <v:path arrowok="t"/>
                <v:stroke dashstyle="solid"/>
                <w10:wrap type="topAndBottom"/>
              </v:shape>
            </w:pict>
          </mc:Fallback>
        </mc:AlternateContent>
      </w:r>
      <w:r>
        <w:rPr>
          <w:rFonts w:ascii="Arial MT"/>
          <w:sz w:val="14"/>
        </w:rPr>
        <mc:AlternateContent>
          <mc:Choice Requires="wps">
            <w:drawing>
              <wp:anchor distT="0" distB="0" distL="0" distR="0" allowOverlap="1" layoutInCell="1" locked="0" behindDoc="1" simplePos="0" relativeHeight="487762944">
                <wp:simplePos x="0" y="0"/>
                <wp:positionH relativeFrom="page">
                  <wp:posOffset>914400</wp:posOffset>
                </wp:positionH>
                <wp:positionV relativeFrom="paragraph">
                  <wp:posOffset>273304</wp:posOffset>
                </wp:positionV>
                <wp:extent cx="5924550" cy="1270"/>
                <wp:effectExtent l="0" t="0" r="0" b="0"/>
                <wp:wrapTopAndBottom/>
                <wp:docPr id="995" name="Graphic 995"/>
                <wp:cNvGraphicFramePr>
                  <a:graphicFrameLocks/>
                </wp:cNvGraphicFramePr>
                <a:graphic>
                  <a:graphicData uri="http://schemas.microsoft.com/office/word/2010/wordprocessingShape">
                    <wps:wsp>
                      <wps:cNvPr id="995" name="Graphic 995"/>
                      <wps:cNvSpPr/>
                      <wps:spPr>
                        <a:xfrm>
                          <a:off x="0" y="0"/>
                          <a:ext cx="5924550" cy="1270"/>
                        </a:xfrm>
                        <a:custGeom>
                          <a:avLst/>
                          <a:gdLst/>
                          <a:ahLst/>
                          <a:cxnLst/>
                          <a:rect l="l" t="t" r="r" b="b"/>
                          <a:pathLst>
                            <a:path w="5924550" h="0">
                              <a:moveTo>
                                <a:pt x="0" y="0"/>
                              </a:moveTo>
                              <a:lnTo>
                                <a:pt x="5924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52002pt;width:466.5pt;height:.1pt;mso-position-horizontal-relative:page;mso-position-vertical-relative:paragraph;z-index:-15553536;mso-wrap-distance-left:0;mso-wrap-distance-right:0" id="docshape824" coordorigin="1440,430" coordsize="9330,0" path="m1440,430l10770,430e" filled="false" stroked="true" strokeweight="1pt" strokecolor="#000000">
                <v:path arrowok="t"/>
                <v:stroke dashstyle="solid"/>
                <w10:wrap type="topAndBottom"/>
              </v:shape>
            </w:pict>
          </mc:Fallback>
        </mc:AlternateContent>
      </w:r>
      <w:r>
        <w:rPr>
          <w:rFonts w:ascii="Arial MT"/>
          <w:spacing w:val="-5"/>
          <w:sz w:val="14"/>
        </w:rPr>
        <w:t>Total</w:t>
      </w:r>
      <w:r>
        <w:rPr>
          <w:rFonts w:ascii="Arial MT"/>
          <w:spacing w:val="-1"/>
          <w:sz w:val="14"/>
        </w:rPr>
        <w:t> </w:t>
      </w:r>
      <w:r>
        <w:rPr>
          <w:rFonts w:ascii="Arial MT"/>
          <w:spacing w:val="-4"/>
          <w:sz w:val="14"/>
        </w:rPr>
        <w:t>AOCL</w:t>
      </w:r>
      <w:r>
        <w:rPr>
          <w:rFonts w:ascii="Arial MT"/>
          <w:sz w:val="14"/>
        </w:rPr>
        <w:tab/>
      </w:r>
      <w:r>
        <w:rPr>
          <w:rFonts w:ascii="Arial MT"/>
          <w:sz w:val="14"/>
          <w:u w:val="single"/>
        </w:rPr>
        <w:t> $</w:t>
        <w:tab/>
        <w:t>(5,726)</w:t>
      </w:r>
      <w:r>
        <w:rPr>
          <w:rFonts w:ascii="Arial MT"/>
          <w:spacing w:val="60"/>
          <w:sz w:val="14"/>
        </w:rPr>
        <w:t> </w:t>
      </w:r>
      <w:r>
        <w:rPr>
          <w:rFonts w:ascii="Arial MT"/>
          <w:spacing w:val="15"/>
          <w:sz w:val="14"/>
          <w:u w:val="single"/>
        </w:rPr>
        <w:t> </w:t>
      </w:r>
      <w:r>
        <w:rPr>
          <w:rFonts w:ascii="Arial MT"/>
          <w:spacing w:val="-10"/>
          <w:sz w:val="14"/>
          <w:u w:val="single"/>
        </w:rPr>
        <w:t>$</w:t>
      </w:r>
      <w:r>
        <w:rPr>
          <w:rFonts w:ascii="Arial MT"/>
          <w:sz w:val="14"/>
          <w:u w:val="single"/>
        </w:rPr>
        <w:tab/>
        <w:t>3,815</w:t>
      </w:r>
      <w:r>
        <w:rPr>
          <w:rFonts w:ascii="Arial MT"/>
          <w:spacing w:val="108"/>
          <w:sz w:val="14"/>
        </w:rPr>
        <w:t> </w:t>
      </w:r>
      <w:r>
        <w:rPr>
          <w:rFonts w:ascii="Arial MT"/>
          <w:spacing w:val="16"/>
          <w:sz w:val="14"/>
          <w:u w:val="single"/>
        </w:rPr>
        <w:t> </w:t>
      </w:r>
      <w:r>
        <w:rPr>
          <w:rFonts w:ascii="Arial MT"/>
          <w:spacing w:val="-10"/>
          <w:sz w:val="14"/>
          <w:u w:val="single"/>
        </w:rPr>
        <w:t>$</w:t>
      </w:r>
      <w:r>
        <w:rPr>
          <w:rFonts w:ascii="Arial MT"/>
          <w:sz w:val="14"/>
          <w:u w:val="single"/>
        </w:rPr>
        <w:tab/>
        <w:t>346</w:t>
      </w:r>
      <w:r>
        <w:rPr>
          <w:rFonts w:ascii="Arial MT"/>
          <w:spacing w:val="140"/>
          <w:sz w:val="14"/>
        </w:rPr>
        <w:t> </w:t>
      </w:r>
      <w:r>
        <w:rPr>
          <w:rFonts w:ascii="Arial MT"/>
          <w:spacing w:val="16"/>
          <w:sz w:val="14"/>
          <w:u w:val="single"/>
        </w:rPr>
        <w:t> </w:t>
      </w:r>
      <w:r>
        <w:rPr>
          <w:rFonts w:ascii="Arial MT"/>
          <w:spacing w:val="-10"/>
          <w:sz w:val="14"/>
          <w:u w:val="single"/>
        </w:rPr>
        <w:t>$</w:t>
      </w:r>
      <w:r>
        <w:rPr>
          <w:rFonts w:ascii="Arial MT"/>
          <w:sz w:val="14"/>
          <w:u w:val="single"/>
        </w:rPr>
        <w:tab/>
        <w:t>4,161</w:t>
      </w:r>
      <w:r>
        <w:rPr>
          <w:rFonts w:ascii="Arial MT"/>
          <w:spacing w:val="106"/>
          <w:sz w:val="14"/>
        </w:rPr>
        <w:t> </w:t>
      </w:r>
      <w:r>
        <w:rPr>
          <w:rFonts w:ascii="Arial MT"/>
          <w:spacing w:val="16"/>
          <w:sz w:val="14"/>
          <w:u w:val="single"/>
        </w:rPr>
        <w:t> </w:t>
      </w:r>
      <w:r>
        <w:rPr>
          <w:rFonts w:ascii="Arial MT"/>
          <w:spacing w:val="-10"/>
          <w:sz w:val="14"/>
          <w:u w:val="single"/>
        </w:rPr>
        <w:t>$</w:t>
      </w:r>
      <w:r>
        <w:rPr>
          <w:rFonts w:ascii="Arial MT"/>
          <w:sz w:val="14"/>
          <w:u w:val="single"/>
        </w:rPr>
        <w:tab/>
      </w:r>
      <w:r>
        <w:rPr>
          <w:rFonts w:ascii="Arial MT"/>
          <w:spacing w:val="-2"/>
          <w:sz w:val="14"/>
          <w:u w:val="single"/>
        </w:rPr>
        <w:t>(1,565)</w:t>
      </w:r>
    </w:p>
    <w:p>
      <w:pPr>
        <w:pStyle w:val="BodyText"/>
        <w:spacing w:before="10"/>
        <w:rPr>
          <w:rFonts w:ascii="Arial MT"/>
          <w:sz w:val="14"/>
        </w:rPr>
      </w:pPr>
    </w:p>
    <w:p>
      <w:pPr>
        <w:spacing w:before="24"/>
        <w:ind w:left="772" w:right="0" w:firstLine="0"/>
        <w:jc w:val="left"/>
        <w:rPr>
          <w:rFonts w:ascii="Arial" w:hAnsi="Arial"/>
          <w:i/>
          <w:sz w:val="14"/>
        </w:rPr>
      </w:pPr>
      <w:r>
        <w:rPr>
          <w:rFonts w:ascii="Arial" w:hAnsi="Arial"/>
          <w:i/>
          <w:sz w:val="14"/>
        </w:rPr>
        <w:t>a.</w:t>
      </w:r>
      <w:r>
        <w:rPr>
          <w:rFonts w:ascii="Arial" w:hAnsi="Arial"/>
          <w:i/>
          <w:spacing w:val="-3"/>
          <w:sz w:val="14"/>
        </w:rPr>
        <w:t> </w:t>
      </w:r>
      <w:r>
        <w:rPr>
          <w:rFonts w:ascii="Arial" w:hAnsi="Arial"/>
          <w:i/>
          <w:sz w:val="14"/>
        </w:rPr>
        <w:t>See</w:t>
      </w:r>
      <w:r>
        <w:rPr>
          <w:rFonts w:ascii="Arial" w:hAnsi="Arial"/>
          <w:i/>
          <w:spacing w:val="-3"/>
          <w:sz w:val="14"/>
        </w:rPr>
        <w:t> </w:t>
      </w:r>
      <w:r>
        <w:rPr>
          <w:rFonts w:ascii="Arial" w:hAnsi="Arial"/>
          <w:i/>
          <w:sz w:val="14"/>
        </w:rPr>
        <w:t>Note</w:t>
      </w:r>
      <w:r>
        <w:rPr>
          <w:rFonts w:ascii="Arial" w:hAnsi="Arial"/>
          <w:i/>
          <w:spacing w:val="-3"/>
          <w:sz w:val="14"/>
        </w:rPr>
        <w:t> </w:t>
      </w:r>
      <w:r>
        <w:rPr>
          <w:rFonts w:ascii="Arial" w:hAnsi="Arial"/>
          <w:i/>
          <w:sz w:val="14"/>
        </w:rPr>
        <w:t>J—Pension</w:t>
      </w:r>
      <w:r>
        <w:rPr>
          <w:rFonts w:ascii="Arial" w:hAnsi="Arial"/>
          <w:i/>
          <w:spacing w:val="-2"/>
          <w:sz w:val="14"/>
        </w:rPr>
        <w:t> </w:t>
      </w:r>
      <w:r>
        <w:rPr>
          <w:rFonts w:ascii="Arial" w:hAnsi="Arial"/>
          <w:i/>
          <w:sz w:val="14"/>
        </w:rPr>
        <w:t>and</w:t>
      </w:r>
      <w:r>
        <w:rPr>
          <w:rFonts w:ascii="Arial" w:hAnsi="Arial"/>
          <w:i/>
          <w:spacing w:val="-3"/>
          <w:sz w:val="14"/>
        </w:rPr>
        <w:t> </w:t>
      </w:r>
      <w:r>
        <w:rPr>
          <w:rFonts w:ascii="Arial" w:hAnsi="Arial"/>
          <w:i/>
          <w:sz w:val="14"/>
        </w:rPr>
        <w:t>Other</w:t>
      </w:r>
      <w:r>
        <w:rPr>
          <w:rFonts w:ascii="Arial" w:hAnsi="Arial"/>
          <w:i/>
          <w:spacing w:val="-3"/>
          <w:sz w:val="14"/>
        </w:rPr>
        <w:t> </w:t>
      </w:r>
      <w:r>
        <w:rPr>
          <w:rFonts w:ascii="Arial" w:hAnsi="Arial"/>
          <w:i/>
          <w:sz w:val="14"/>
        </w:rPr>
        <w:t>Post</w:t>
      </w:r>
      <w:r>
        <w:rPr>
          <w:rFonts w:ascii="Arial" w:hAnsi="Arial"/>
          <w:i/>
          <w:spacing w:val="-3"/>
          <w:sz w:val="14"/>
        </w:rPr>
        <w:t> </w:t>
      </w:r>
      <w:r>
        <w:rPr>
          <w:rFonts w:ascii="Arial" w:hAnsi="Arial"/>
          <w:i/>
          <w:sz w:val="14"/>
        </w:rPr>
        <w:t>Retirement</w:t>
      </w:r>
      <w:r>
        <w:rPr>
          <w:rFonts w:ascii="Arial" w:hAnsi="Arial"/>
          <w:i/>
          <w:spacing w:val="-2"/>
          <w:sz w:val="14"/>
        </w:rPr>
        <w:t> Benefits.</w:t>
      </w:r>
    </w:p>
    <w:p>
      <w:pPr>
        <w:pStyle w:val="BodyText"/>
        <w:spacing w:before="10"/>
        <w:rPr>
          <w:rFonts w:ascii="Arial"/>
          <w:i/>
          <w:sz w:val="22"/>
        </w:rPr>
      </w:pPr>
    </w:p>
    <w:p>
      <w:pPr>
        <w:pStyle w:val="Heading3"/>
        <w:jc w:val="left"/>
      </w:pPr>
      <w:bookmarkStart w:name="NOTE L—FAIR VALUE DISCLOSURES" w:id="217"/>
      <w:bookmarkEnd w:id="217"/>
      <w:r>
        <w:rPr>
          <w:b w:val="0"/>
        </w:rPr>
      </w:r>
      <w:r>
        <w:rPr/>
        <w:t>NOTE</w:t>
      </w:r>
      <w:r>
        <w:rPr>
          <w:spacing w:val="-3"/>
        </w:rPr>
        <w:t> </w:t>
      </w:r>
      <w:r>
        <w:rPr/>
        <w:t>L—FAIR</w:t>
      </w:r>
      <w:r>
        <w:rPr>
          <w:spacing w:val="-3"/>
        </w:rPr>
        <w:t> </w:t>
      </w:r>
      <w:r>
        <w:rPr/>
        <w:t>VALUE</w:t>
      </w:r>
      <w:r>
        <w:rPr>
          <w:spacing w:val="-2"/>
        </w:rPr>
        <w:t> DISCLOSURES</w:t>
      </w:r>
    </w:p>
    <w:p>
      <w:pPr>
        <w:pStyle w:val="Heading5"/>
        <w:spacing w:before="121"/>
        <w:jc w:val="left"/>
      </w:pPr>
      <w:r>
        <w:rPr/>
        <w:t>Valuation</w:t>
      </w:r>
      <w:r>
        <w:rPr>
          <w:spacing w:val="-3"/>
        </w:rPr>
        <w:t> </w:t>
      </w:r>
      <w:r>
        <w:rPr/>
        <w:t>Methods</w:t>
      </w:r>
      <w:r>
        <w:rPr>
          <w:spacing w:val="-2"/>
        </w:rPr>
        <w:t> </w:t>
      </w:r>
      <w:r>
        <w:rPr/>
        <w:t>and</w:t>
      </w:r>
      <w:r>
        <w:rPr>
          <w:spacing w:val="-1"/>
        </w:rPr>
        <w:t> </w:t>
      </w:r>
      <w:r>
        <w:rPr>
          <w:spacing w:val="-2"/>
        </w:rPr>
        <w:t>Assumptions</w:t>
      </w:r>
    </w:p>
    <w:p>
      <w:pPr>
        <w:pStyle w:val="BodyText"/>
        <w:spacing w:line="249" w:lineRule="auto" w:before="140"/>
        <w:ind w:left="720" w:right="723"/>
        <w:jc w:val="both"/>
      </w:pPr>
      <w:r>
        <w:rPr/>
        <w:t>As of June 30, 2023 and June 30, 2022, IBRD had no assets or liabilities measured at fair value on a non-recurring </w:t>
      </w:r>
      <w:r>
        <w:rPr>
          <w:spacing w:val="-2"/>
        </w:rPr>
        <w:t>basis.</w:t>
      </w:r>
    </w:p>
    <w:p>
      <w:pPr>
        <w:spacing w:before="121"/>
        <w:ind w:left="720" w:right="0" w:firstLine="0"/>
        <w:jc w:val="left"/>
        <w:rPr>
          <w:i/>
          <w:sz w:val="20"/>
        </w:rPr>
      </w:pPr>
      <w:r>
        <w:rPr>
          <w:i/>
          <w:sz w:val="20"/>
        </w:rPr>
        <w:t>Due</w:t>
      </w:r>
      <w:r>
        <w:rPr>
          <w:i/>
          <w:spacing w:val="-3"/>
          <w:sz w:val="20"/>
        </w:rPr>
        <w:t> </w:t>
      </w:r>
      <w:r>
        <w:rPr>
          <w:i/>
          <w:sz w:val="20"/>
        </w:rPr>
        <w:t>from</w:t>
      </w:r>
      <w:r>
        <w:rPr>
          <w:i/>
          <w:spacing w:val="-2"/>
          <w:sz w:val="20"/>
        </w:rPr>
        <w:t> Banks</w:t>
      </w:r>
    </w:p>
    <w:p>
      <w:pPr>
        <w:pStyle w:val="BodyText"/>
        <w:spacing w:line="249" w:lineRule="auto" w:before="10"/>
        <w:ind w:left="720" w:right="718"/>
        <w:jc w:val="both"/>
      </w:pPr>
      <w:r>
        <w:rPr/>
        <w:t>The carrying amount of unrestricted and restricted cash is considered a reasonable estimate of the fair value of these </w:t>
      </w:r>
      <w:r>
        <w:rPr>
          <w:spacing w:val="-2"/>
        </w:rPr>
        <w:t>positions.</w:t>
      </w:r>
    </w:p>
    <w:p>
      <w:pPr>
        <w:spacing w:before="122"/>
        <w:ind w:left="720" w:right="0" w:firstLine="0"/>
        <w:jc w:val="left"/>
        <w:rPr>
          <w:i/>
          <w:sz w:val="20"/>
        </w:rPr>
      </w:pPr>
      <w:r>
        <w:rPr>
          <w:i/>
          <w:sz w:val="20"/>
        </w:rPr>
        <w:t>Loans</w:t>
      </w:r>
      <w:r>
        <w:rPr>
          <w:i/>
          <w:spacing w:val="-2"/>
          <w:sz w:val="20"/>
        </w:rPr>
        <w:t> </w:t>
      </w:r>
      <w:r>
        <w:rPr>
          <w:i/>
          <w:sz w:val="20"/>
        </w:rPr>
        <w:t>and</w:t>
      </w:r>
      <w:r>
        <w:rPr>
          <w:i/>
          <w:spacing w:val="-1"/>
          <w:sz w:val="20"/>
        </w:rPr>
        <w:t> </w:t>
      </w:r>
      <w:r>
        <w:rPr>
          <w:i/>
          <w:sz w:val="20"/>
        </w:rPr>
        <w:t>Loan </w:t>
      </w:r>
      <w:r>
        <w:rPr>
          <w:i/>
          <w:spacing w:val="-2"/>
          <w:sz w:val="20"/>
        </w:rPr>
        <w:t>commitments</w:t>
      </w:r>
    </w:p>
    <w:p>
      <w:pPr>
        <w:pStyle w:val="BodyText"/>
        <w:spacing w:line="249" w:lineRule="auto" w:before="10"/>
        <w:ind w:left="720" w:right="721"/>
        <w:jc w:val="both"/>
      </w:pPr>
      <w:r>
        <w:rPr/>
        <w:t>There were no loans carried at fair value as of June 30, 2023 and June 30, 2022. IBRD’s loans and loan commitments would be classified as Level 3 within the fair value hierarchy.</w:t>
      </w:r>
    </w:p>
    <w:p>
      <w:pPr>
        <w:pStyle w:val="BodyText"/>
        <w:spacing w:before="122"/>
        <w:ind w:left="720"/>
      </w:pPr>
      <w:r>
        <w:rPr/>
        <w:t>Summarized</w:t>
      </w:r>
      <w:r>
        <w:rPr>
          <w:spacing w:val="-5"/>
        </w:rPr>
        <w:t> </w:t>
      </w:r>
      <w:r>
        <w:rPr/>
        <w:t>below</w:t>
      </w:r>
      <w:r>
        <w:rPr>
          <w:spacing w:val="-4"/>
        </w:rPr>
        <w:t> </w:t>
      </w:r>
      <w:r>
        <w:rPr/>
        <w:t>are</w:t>
      </w:r>
      <w:r>
        <w:rPr>
          <w:spacing w:val="-4"/>
        </w:rPr>
        <w:t> </w:t>
      </w:r>
      <w:r>
        <w:rPr/>
        <w:t>the</w:t>
      </w:r>
      <w:r>
        <w:rPr>
          <w:spacing w:val="-4"/>
        </w:rPr>
        <w:t> </w:t>
      </w:r>
      <w:r>
        <w:rPr/>
        <w:t>techniques</w:t>
      </w:r>
      <w:r>
        <w:rPr>
          <w:spacing w:val="-4"/>
        </w:rPr>
        <w:t> </w:t>
      </w:r>
      <w:r>
        <w:rPr/>
        <w:t>applied</w:t>
      </w:r>
      <w:r>
        <w:rPr>
          <w:spacing w:val="-3"/>
        </w:rPr>
        <w:t> </w:t>
      </w:r>
      <w:r>
        <w:rPr/>
        <w:t>in</w:t>
      </w:r>
      <w:r>
        <w:rPr>
          <w:spacing w:val="-3"/>
        </w:rPr>
        <w:t> </w:t>
      </w:r>
      <w:r>
        <w:rPr/>
        <w:t>determining</w:t>
      </w:r>
      <w:r>
        <w:rPr>
          <w:spacing w:val="-3"/>
        </w:rPr>
        <w:t> </w:t>
      </w:r>
      <w:r>
        <w:rPr/>
        <w:t>the</w:t>
      </w:r>
      <w:r>
        <w:rPr>
          <w:spacing w:val="-4"/>
        </w:rPr>
        <w:t> </w:t>
      </w:r>
      <w:r>
        <w:rPr/>
        <w:t>fair</w:t>
      </w:r>
      <w:r>
        <w:rPr>
          <w:spacing w:val="-3"/>
        </w:rPr>
        <w:t> </w:t>
      </w:r>
      <w:r>
        <w:rPr/>
        <w:t>values</w:t>
      </w:r>
      <w:r>
        <w:rPr>
          <w:spacing w:val="-4"/>
        </w:rPr>
        <w:t> </w:t>
      </w:r>
      <w:r>
        <w:rPr/>
        <w:t>of</w:t>
      </w:r>
      <w:r>
        <w:rPr>
          <w:spacing w:val="-3"/>
        </w:rPr>
        <w:t> </w:t>
      </w:r>
      <w:r>
        <w:rPr/>
        <w:t>IBRD’s</w:t>
      </w:r>
      <w:r>
        <w:rPr>
          <w:spacing w:val="-4"/>
        </w:rPr>
        <w:t> </w:t>
      </w:r>
      <w:r>
        <w:rPr/>
        <w:t>financial</w:t>
      </w:r>
      <w:r>
        <w:rPr>
          <w:spacing w:val="-3"/>
        </w:rPr>
        <w:t> </w:t>
      </w:r>
      <w:r>
        <w:rPr>
          <w:spacing w:val="-2"/>
        </w:rPr>
        <w:t>instruments.</w:t>
      </w:r>
    </w:p>
    <w:p>
      <w:pPr>
        <w:spacing w:before="130"/>
        <w:ind w:left="720" w:right="0" w:firstLine="0"/>
        <w:jc w:val="both"/>
        <w:rPr>
          <w:i/>
          <w:sz w:val="20"/>
        </w:rPr>
      </w:pPr>
      <w:r>
        <w:rPr>
          <w:i/>
          <w:sz w:val="20"/>
        </w:rPr>
        <w:t>Investment</w:t>
      </w:r>
      <w:r>
        <w:rPr>
          <w:i/>
          <w:spacing w:val="-7"/>
          <w:sz w:val="20"/>
        </w:rPr>
        <w:t> </w:t>
      </w:r>
      <w:r>
        <w:rPr>
          <w:i/>
          <w:spacing w:val="-2"/>
          <w:sz w:val="20"/>
        </w:rPr>
        <w:t>securities</w:t>
      </w:r>
    </w:p>
    <w:p>
      <w:pPr>
        <w:pStyle w:val="BodyText"/>
        <w:spacing w:line="249" w:lineRule="auto" w:before="10"/>
        <w:ind w:left="720" w:right="718"/>
        <w:jc w:val="both"/>
      </w:pPr>
      <w:r>
        <w:rPr/>
        <w:t>Investment securities are classified based on management’s intention on the date of purchase, their nature, and IBRD’s policies governing the level and use of such investments. As of June 30, 2023, all of the financial instruments in IBRD’s investment portfolio were classified as trading. These securities are carried and reported at fair value, or at face value or NAV, which approximates fair value. Where available, quoted market prices are used to determine the fair value of trading securities.</w:t>
      </w:r>
    </w:p>
    <w:p>
      <w:pPr>
        <w:pStyle w:val="BodyText"/>
        <w:spacing w:line="249" w:lineRule="auto" w:before="124"/>
        <w:ind w:left="720" w:right="718"/>
        <w:jc w:val="both"/>
      </w:pPr>
      <w:r>
        <w:rPr/>
        <w:t>For instruments for which market quotations are not available, fair values are determined using model-based valuation techniques, whether internally-generated or vendor-supplied, that include the standard discounted cash flow method using observable market inputs such as yield curves, credit spreads, and conditional prepayment rates. Where applicable, unobservable inputs such as conditional prepayment rates, probability of default and loss severity are used. Unless quoted prices are available, time deposits are reported at face value, which approximates fair value, as they are short term in nature.</w:t>
      </w:r>
    </w:p>
    <w:p>
      <w:pPr>
        <w:spacing w:line="249" w:lineRule="auto" w:before="125"/>
        <w:ind w:left="720" w:right="719" w:firstLine="0"/>
        <w:jc w:val="left"/>
        <w:rPr>
          <w:i/>
          <w:sz w:val="20"/>
        </w:rPr>
      </w:pPr>
      <w:r>
        <w:rPr>
          <w:i/>
          <w:sz w:val="20"/>
        </w:rPr>
        <w:t>Securities</w:t>
      </w:r>
      <w:r>
        <w:rPr>
          <w:i/>
          <w:spacing w:val="-5"/>
          <w:sz w:val="20"/>
        </w:rPr>
        <w:t> </w:t>
      </w:r>
      <w:r>
        <w:rPr>
          <w:i/>
          <w:sz w:val="20"/>
        </w:rPr>
        <w:t>purchased</w:t>
      </w:r>
      <w:r>
        <w:rPr>
          <w:i/>
          <w:spacing w:val="-4"/>
          <w:sz w:val="20"/>
        </w:rPr>
        <w:t> </w:t>
      </w:r>
      <w:r>
        <w:rPr>
          <w:i/>
          <w:sz w:val="20"/>
        </w:rPr>
        <w:t>under</w:t>
      </w:r>
      <w:r>
        <w:rPr>
          <w:i/>
          <w:spacing w:val="-5"/>
          <w:sz w:val="20"/>
        </w:rPr>
        <w:t> </w:t>
      </w:r>
      <w:r>
        <w:rPr>
          <w:i/>
          <w:sz w:val="20"/>
        </w:rPr>
        <w:t>resale</w:t>
      </w:r>
      <w:r>
        <w:rPr>
          <w:i/>
          <w:spacing w:val="-5"/>
          <w:sz w:val="20"/>
        </w:rPr>
        <w:t> </w:t>
      </w:r>
      <w:r>
        <w:rPr>
          <w:i/>
          <w:sz w:val="20"/>
        </w:rPr>
        <w:t>agreements,</w:t>
      </w:r>
      <w:r>
        <w:rPr>
          <w:i/>
          <w:spacing w:val="-4"/>
          <w:sz w:val="20"/>
        </w:rPr>
        <w:t> </w:t>
      </w:r>
      <w:r>
        <w:rPr>
          <w:i/>
          <w:sz w:val="20"/>
        </w:rPr>
        <w:t>Securities</w:t>
      </w:r>
      <w:r>
        <w:rPr>
          <w:i/>
          <w:spacing w:val="-5"/>
          <w:sz w:val="20"/>
        </w:rPr>
        <w:t> </w:t>
      </w:r>
      <w:r>
        <w:rPr>
          <w:i/>
          <w:sz w:val="20"/>
        </w:rPr>
        <w:t>sold</w:t>
      </w:r>
      <w:r>
        <w:rPr>
          <w:i/>
          <w:spacing w:val="-4"/>
          <w:sz w:val="20"/>
        </w:rPr>
        <w:t> </w:t>
      </w:r>
      <w:r>
        <w:rPr>
          <w:i/>
          <w:sz w:val="20"/>
        </w:rPr>
        <w:t>under</w:t>
      </w:r>
      <w:r>
        <w:rPr>
          <w:i/>
          <w:spacing w:val="-5"/>
          <w:sz w:val="20"/>
        </w:rPr>
        <w:t> </w:t>
      </w:r>
      <w:r>
        <w:rPr>
          <w:i/>
          <w:sz w:val="20"/>
        </w:rPr>
        <w:t>repurchase</w:t>
      </w:r>
      <w:r>
        <w:rPr>
          <w:i/>
          <w:spacing w:val="-5"/>
          <w:sz w:val="20"/>
        </w:rPr>
        <w:t> </w:t>
      </w:r>
      <w:r>
        <w:rPr>
          <w:i/>
          <w:sz w:val="20"/>
        </w:rPr>
        <w:t>agreements,</w:t>
      </w:r>
      <w:r>
        <w:rPr>
          <w:i/>
          <w:spacing w:val="-4"/>
          <w:sz w:val="20"/>
        </w:rPr>
        <w:t> </w:t>
      </w:r>
      <w:r>
        <w:rPr>
          <w:i/>
          <w:sz w:val="20"/>
        </w:rPr>
        <w:t>and</w:t>
      </w:r>
      <w:r>
        <w:rPr>
          <w:i/>
          <w:spacing w:val="-4"/>
          <w:sz w:val="20"/>
        </w:rPr>
        <w:t> </w:t>
      </w:r>
      <w:r>
        <w:rPr>
          <w:i/>
          <w:sz w:val="20"/>
        </w:rPr>
        <w:t>Securities</w:t>
      </w:r>
      <w:r>
        <w:rPr>
          <w:i/>
          <w:spacing w:val="-5"/>
          <w:sz w:val="20"/>
        </w:rPr>
        <w:t> </w:t>
      </w:r>
      <w:r>
        <w:rPr>
          <w:i/>
          <w:sz w:val="20"/>
        </w:rPr>
        <w:t>lent under securities lending agreements</w:t>
      </w:r>
    </w:p>
    <w:p>
      <w:pPr>
        <w:pStyle w:val="BodyText"/>
        <w:spacing w:before="1"/>
        <w:ind w:left="720"/>
        <w:jc w:val="both"/>
      </w:pPr>
      <w:r>
        <w:rPr/>
        <w:t>These</w:t>
      </w:r>
      <w:r>
        <w:rPr>
          <w:spacing w:val="-6"/>
        </w:rPr>
        <w:t> </w:t>
      </w:r>
      <w:r>
        <w:rPr/>
        <w:t>securities</w:t>
      </w:r>
      <w:r>
        <w:rPr>
          <w:spacing w:val="-4"/>
        </w:rPr>
        <w:t> </w:t>
      </w:r>
      <w:r>
        <w:rPr/>
        <w:t>are</w:t>
      </w:r>
      <w:r>
        <w:rPr>
          <w:spacing w:val="-3"/>
        </w:rPr>
        <w:t> </w:t>
      </w:r>
      <w:r>
        <w:rPr/>
        <w:t>of</w:t>
      </w:r>
      <w:r>
        <w:rPr>
          <w:spacing w:val="-3"/>
        </w:rPr>
        <w:t> </w:t>
      </w:r>
      <w:r>
        <w:rPr/>
        <w:t>a</w:t>
      </w:r>
      <w:r>
        <w:rPr>
          <w:spacing w:val="-3"/>
        </w:rPr>
        <w:t> </w:t>
      </w:r>
      <w:r>
        <w:rPr/>
        <w:t>short-term</w:t>
      </w:r>
      <w:r>
        <w:rPr>
          <w:spacing w:val="-4"/>
        </w:rPr>
        <w:t> </w:t>
      </w:r>
      <w:r>
        <w:rPr/>
        <w:t>nature</w:t>
      </w:r>
      <w:r>
        <w:rPr>
          <w:spacing w:val="-3"/>
        </w:rPr>
        <w:t> </w:t>
      </w:r>
      <w:r>
        <w:rPr/>
        <w:t>and</w:t>
      </w:r>
      <w:r>
        <w:rPr>
          <w:spacing w:val="-3"/>
        </w:rPr>
        <w:t> </w:t>
      </w:r>
      <w:r>
        <w:rPr/>
        <w:t>reported</w:t>
      </w:r>
      <w:r>
        <w:rPr>
          <w:spacing w:val="-2"/>
        </w:rPr>
        <w:t> </w:t>
      </w:r>
      <w:r>
        <w:rPr/>
        <w:t>at</w:t>
      </w:r>
      <w:r>
        <w:rPr>
          <w:spacing w:val="-4"/>
        </w:rPr>
        <w:t> </w:t>
      </w:r>
      <w:r>
        <w:rPr/>
        <w:t>face</w:t>
      </w:r>
      <w:r>
        <w:rPr>
          <w:spacing w:val="-3"/>
        </w:rPr>
        <w:t> </w:t>
      </w:r>
      <w:r>
        <w:rPr/>
        <w:t>value,</w:t>
      </w:r>
      <w:r>
        <w:rPr>
          <w:spacing w:val="-3"/>
        </w:rPr>
        <w:t> </w:t>
      </w:r>
      <w:r>
        <w:rPr/>
        <w:t>which</w:t>
      </w:r>
      <w:r>
        <w:rPr>
          <w:spacing w:val="-2"/>
        </w:rPr>
        <w:t> </w:t>
      </w:r>
      <w:r>
        <w:rPr/>
        <w:t>approximates</w:t>
      </w:r>
      <w:r>
        <w:rPr>
          <w:spacing w:val="-4"/>
        </w:rPr>
        <w:t> </w:t>
      </w:r>
      <w:r>
        <w:rPr/>
        <w:t>fair</w:t>
      </w:r>
      <w:r>
        <w:rPr>
          <w:spacing w:val="-2"/>
        </w:rPr>
        <w:t> value.</w:t>
      </w:r>
    </w:p>
    <w:p>
      <w:pPr>
        <w:spacing w:before="131"/>
        <w:ind w:left="720" w:right="0" w:firstLine="0"/>
        <w:jc w:val="both"/>
        <w:rPr>
          <w:i/>
          <w:sz w:val="20"/>
        </w:rPr>
      </w:pPr>
      <w:r>
        <w:rPr>
          <w:i/>
          <w:sz w:val="20"/>
        </w:rPr>
        <w:t>Discount</w:t>
      </w:r>
      <w:r>
        <w:rPr>
          <w:i/>
          <w:spacing w:val="-4"/>
          <w:sz w:val="20"/>
        </w:rPr>
        <w:t> </w:t>
      </w:r>
      <w:r>
        <w:rPr>
          <w:i/>
          <w:sz w:val="20"/>
        </w:rPr>
        <w:t>notes</w:t>
      </w:r>
      <w:r>
        <w:rPr>
          <w:i/>
          <w:spacing w:val="-3"/>
          <w:sz w:val="20"/>
        </w:rPr>
        <w:t> </w:t>
      </w:r>
      <w:r>
        <w:rPr>
          <w:i/>
          <w:sz w:val="20"/>
        </w:rPr>
        <w:t>and</w:t>
      </w:r>
      <w:r>
        <w:rPr>
          <w:i/>
          <w:spacing w:val="-3"/>
          <w:sz w:val="20"/>
        </w:rPr>
        <w:t> </w:t>
      </w:r>
      <w:r>
        <w:rPr>
          <w:i/>
          <w:sz w:val="20"/>
        </w:rPr>
        <w:t>vanilla</w:t>
      </w:r>
      <w:r>
        <w:rPr>
          <w:i/>
          <w:spacing w:val="-2"/>
          <w:sz w:val="20"/>
        </w:rPr>
        <w:t> bonds</w:t>
      </w:r>
    </w:p>
    <w:p>
      <w:pPr>
        <w:pStyle w:val="BodyText"/>
        <w:spacing w:line="249" w:lineRule="auto" w:before="9"/>
        <w:ind w:left="720" w:right="718"/>
        <w:jc w:val="both"/>
      </w:pPr>
      <w:r>
        <w:rPr/>
        <w:t>Discount notes and vanilla bonds issued by IBRD are valued using the standard discounted cash flow method which relies on observable market inputs such as yield curves, foreign exchange rates, basis spreads and funding spreads. Where available, quoted market prices are used to determine the fair value of short-term notes, as well as some floating rate notes of longer maturity.</w:t>
      </w:r>
    </w:p>
    <w:p>
      <w:pPr>
        <w:spacing w:before="124"/>
        <w:ind w:left="720" w:right="0" w:firstLine="0"/>
        <w:jc w:val="both"/>
        <w:rPr>
          <w:i/>
          <w:sz w:val="20"/>
        </w:rPr>
      </w:pPr>
      <w:r>
        <w:rPr>
          <w:i/>
          <w:sz w:val="20"/>
        </w:rPr>
        <w:t>Structured</w:t>
      </w:r>
      <w:r>
        <w:rPr>
          <w:i/>
          <w:spacing w:val="-8"/>
          <w:sz w:val="20"/>
        </w:rPr>
        <w:t> </w:t>
      </w:r>
      <w:r>
        <w:rPr>
          <w:i/>
          <w:spacing w:val="-2"/>
          <w:sz w:val="20"/>
        </w:rPr>
        <w:t>bonds</w:t>
      </w:r>
    </w:p>
    <w:p>
      <w:pPr>
        <w:pStyle w:val="BodyText"/>
        <w:spacing w:line="249" w:lineRule="auto" w:before="10"/>
        <w:ind w:left="720" w:right="718"/>
        <w:jc w:val="both"/>
      </w:pPr>
      <w:r>
        <w:rPr/>
        <w:t>Structured bonds issued by IBRD have coupon or repayment terms linked to the level or the performance of interest rates, foreign exchange rates, equity indices, catastrophic events or commodities. The fair value of the structured bonds is generally derived using the discounted cash flow method based on estimated future pay-offs determined by applicable models and computation of embedded optionality such as caps, floors and calls. A wide range of industry</w:t>
      </w:r>
    </w:p>
    <w:p>
      <w:pPr>
        <w:pStyle w:val="BodyText"/>
        <w:spacing w:after="0" w:line="249" w:lineRule="auto"/>
        <w:jc w:val="both"/>
        <w:sectPr>
          <w:type w:val="continuous"/>
          <w:pgSz w:w="12240" w:h="15840"/>
          <w:pgMar w:header="0" w:footer="0" w:top="1820" w:bottom="280" w:left="720" w:right="720"/>
        </w:sectPr>
      </w:pPr>
    </w:p>
    <w:p>
      <w:pPr>
        <w:pStyle w:val="BodyText"/>
        <w:spacing w:line="249" w:lineRule="auto" w:before="72"/>
        <w:ind w:left="720" w:right="718"/>
        <w:jc w:val="both"/>
      </w:pPr>
      <w:r>
        <w:rPr/>
        <w:t>standard models such as one factor Hull-White, Generalized Forward Market Model and Black-Scholes are used depending on the specific structure. These models incorporate observable market inputs, such as yield curves, foreign exchange rates, basis spreads, funding spreads, interest rate volatilities, equity index volatilities and equity indices.</w:t>
      </w:r>
      <w:r>
        <w:rPr>
          <w:spacing w:val="-3"/>
        </w:rPr>
        <w:t> </w:t>
      </w:r>
      <w:r>
        <w:rPr/>
        <w:t>Where</w:t>
      </w:r>
      <w:r>
        <w:rPr>
          <w:spacing w:val="-3"/>
        </w:rPr>
        <w:t> </w:t>
      </w:r>
      <w:r>
        <w:rPr/>
        <w:t>applicable,</w:t>
      </w:r>
      <w:r>
        <w:rPr>
          <w:spacing w:val="-3"/>
        </w:rPr>
        <w:t> </w:t>
      </w:r>
      <w:r>
        <w:rPr/>
        <w:t>the</w:t>
      </w:r>
      <w:r>
        <w:rPr>
          <w:spacing w:val="-3"/>
        </w:rPr>
        <w:t> </w:t>
      </w:r>
      <w:r>
        <w:rPr/>
        <w:t>models</w:t>
      </w:r>
      <w:r>
        <w:rPr>
          <w:spacing w:val="-3"/>
        </w:rPr>
        <w:t> </w:t>
      </w:r>
      <w:r>
        <w:rPr/>
        <w:t>also</w:t>
      </w:r>
      <w:r>
        <w:rPr>
          <w:spacing w:val="-3"/>
        </w:rPr>
        <w:t> </w:t>
      </w:r>
      <w:r>
        <w:rPr/>
        <w:t>incorporate</w:t>
      </w:r>
      <w:r>
        <w:rPr>
          <w:spacing w:val="-3"/>
        </w:rPr>
        <w:t> </w:t>
      </w:r>
      <w:r>
        <w:rPr/>
        <w:t>significant</w:t>
      </w:r>
      <w:r>
        <w:rPr>
          <w:spacing w:val="-3"/>
        </w:rPr>
        <w:t> </w:t>
      </w:r>
      <w:r>
        <w:rPr/>
        <w:t>unobservable</w:t>
      </w:r>
      <w:r>
        <w:rPr>
          <w:spacing w:val="-3"/>
        </w:rPr>
        <w:t> </w:t>
      </w:r>
      <w:r>
        <w:rPr/>
        <w:t>inputs</w:t>
      </w:r>
      <w:r>
        <w:rPr>
          <w:spacing w:val="-3"/>
        </w:rPr>
        <w:t> </w:t>
      </w:r>
      <w:r>
        <w:rPr/>
        <w:t>such</w:t>
      </w:r>
      <w:r>
        <w:rPr>
          <w:spacing w:val="-3"/>
        </w:rPr>
        <w:t> </w:t>
      </w:r>
      <w:r>
        <w:rPr/>
        <w:t>as</w:t>
      </w:r>
      <w:r>
        <w:rPr>
          <w:spacing w:val="-3"/>
        </w:rPr>
        <w:t> </w:t>
      </w:r>
      <w:r>
        <w:rPr/>
        <w:t>correlations</w:t>
      </w:r>
      <w:r>
        <w:rPr>
          <w:spacing w:val="-3"/>
        </w:rPr>
        <w:t> </w:t>
      </w:r>
      <w:r>
        <w:rPr/>
        <w:t>and</w:t>
      </w:r>
      <w:r>
        <w:rPr>
          <w:spacing w:val="-3"/>
        </w:rPr>
        <w:t> </w:t>
      </w:r>
      <w:r>
        <w:rPr/>
        <w:t>long-dated interest rate volatilities. Generally, the movements in correlations are considered to be independent of movements in long-dated interest rate volatilities.</w:t>
      </w:r>
    </w:p>
    <w:p>
      <w:pPr>
        <w:spacing w:before="125"/>
        <w:ind w:left="720" w:right="0" w:firstLine="0"/>
        <w:jc w:val="both"/>
        <w:rPr>
          <w:i/>
          <w:sz w:val="20"/>
        </w:rPr>
      </w:pPr>
      <w:r>
        <w:rPr>
          <w:i/>
          <w:sz w:val="20"/>
        </w:rPr>
        <w:t>Derivative</w:t>
      </w:r>
      <w:r>
        <w:rPr>
          <w:i/>
          <w:spacing w:val="-9"/>
          <w:sz w:val="20"/>
        </w:rPr>
        <w:t> </w:t>
      </w:r>
      <w:r>
        <w:rPr>
          <w:i/>
          <w:spacing w:val="-2"/>
          <w:sz w:val="20"/>
        </w:rPr>
        <w:t>instruments</w:t>
      </w:r>
    </w:p>
    <w:p>
      <w:pPr>
        <w:pStyle w:val="BodyText"/>
        <w:spacing w:line="249" w:lineRule="auto" w:before="10"/>
        <w:ind w:left="720" w:right="718"/>
        <w:jc w:val="both"/>
      </w:pPr>
      <w:r>
        <w:rPr/>
        <w:t>Derivative contracts include currency forward contracts, TBA securities, swaptions, options and futures contracts, currency swaps and interest rate swaps. Currency swaps and interest rate swaps are either plain vanilla or structured. Currency forward contracts and plain vanilla currency and interest rate swaps are valued using the standard discounted cash flow methods using observable market inputs such as yield curves, foreign exchange rates, basis spreads and funding spreads. For structured currency and interest rate swaps, which primarily consist of callable swaps linked to interest rates, foreign exchange rates, and equity indices, valuation models and inputs similar to the ones applicable to structured bonds valuation are used. Where applicable, the models also incorporate significant unobservable inputs such as correlations and long-dated interest rate volatilities.</w:t>
      </w:r>
    </w:p>
    <w:p>
      <w:pPr>
        <w:spacing w:before="126"/>
        <w:ind w:left="720" w:right="0" w:firstLine="0"/>
        <w:jc w:val="both"/>
        <w:rPr>
          <w:i/>
          <w:sz w:val="20"/>
        </w:rPr>
      </w:pPr>
      <w:r>
        <w:rPr>
          <w:i/>
          <w:sz w:val="20"/>
        </w:rPr>
        <w:t>Valuation</w:t>
      </w:r>
      <w:r>
        <w:rPr>
          <w:i/>
          <w:spacing w:val="-4"/>
          <w:sz w:val="20"/>
        </w:rPr>
        <w:t> </w:t>
      </w:r>
      <w:r>
        <w:rPr>
          <w:i/>
          <w:sz w:val="20"/>
        </w:rPr>
        <w:t>adjustments</w:t>
      </w:r>
      <w:r>
        <w:rPr>
          <w:i/>
          <w:spacing w:val="-4"/>
          <w:sz w:val="20"/>
        </w:rPr>
        <w:t> </w:t>
      </w:r>
      <w:r>
        <w:rPr>
          <w:i/>
          <w:sz w:val="20"/>
        </w:rPr>
        <w:t>on</w:t>
      </w:r>
      <w:r>
        <w:rPr>
          <w:i/>
          <w:spacing w:val="-3"/>
          <w:sz w:val="20"/>
        </w:rPr>
        <w:t> </w:t>
      </w:r>
      <w:r>
        <w:rPr>
          <w:i/>
          <w:sz w:val="20"/>
        </w:rPr>
        <w:t>fair</w:t>
      </w:r>
      <w:r>
        <w:rPr>
          <w:i/>
          <w:spacing w:val="-4"/>
          <w:sz w:val="20"/>
        </w:rPr>
        <w:t> </w:t>
      </w:r>
      <w:r>
        <w:rPr>
          <w:i/>
          <w:sz w:val="20"/>
        </w:rPr>
        <w:t>value</w:t>
      </w:r>
      <w:r>
        <w:rPr>
          <w:i/>
          <w:spacing w:val="-4"/>
          <w:sz w:val="20"/>
        </w:rPr>
        <w:t> </w:t>
      </w:r>
      <w:r>
        <w:rPr>
          <w:i/>
          <w:sz w:val="20"/>
        </w:rPr>
        <w:t>option</w:t>
      </w:r>
      <w:r>
        <w:rPr>
          <w:i/>
          <w:spacing w:val="-3"/>
          <w:sz w:val="20"/>
        </w:rPr>
        <w:t> </w:t>
      </w:r>
      <w:r>
        <w:rPr>
          <w:i/>
          <w:sz w:val="20"/>
        </w:rPr>
        <w:t>elected</w:t>
      </w:r>
      <w:r>
        <w:rPr>
          <w:i/>
          <w:spacing w:val="-3"/>
          <w:sz w:val="20"/>
        </w:rPr>
        <w:t> </w:t>
      </w:r>
      <w:r>
        <w:rPr>
          <w:i/>
          <w:spacing w:val="-2"/>
          <w:sz w:val="20"/>
        </w:rPr>
        <w:t>liabilities</w:t>
      </w:r>
    </w:p>
    <w:p>
      <w:pPr>
        <w:pStyle w:val="BodyText"/>
        <w:spacing w:line="249" w:lineRule="auto" w:before="10"/>
        <w:ind w:left="720" w:right="720"/>
        <w:jc w:val="both"/>
      </w:pPr>
      <w:r>
        <w:rPr/>
        <w:t>The DVA on fair value option elected liabilities is measured by revaluing each liability to determine the changes in fair value of that liability arising from changes in IBRD’s funding spread applicable to the relevant reference rate.</w:t>
      </w:r>
    </w:p>
    <w:p>
      <w:pPr>
        <w:pStyle w:val="BodyText"/>
        <w:spacing w:line="249" w:lineRule="auto" w:before="122"/>
        <w:ind w:left="720" w:right="719"/>
        <w:jc w:val="both"/>
      </w:pPr>
      <w:r>
        <w:rPr/>
        <w:t>The table below presents IBRD’s estimates of fair value of its financial assets and liabilities along with their respective carrying amounts:</w:t>
      </w:r>
    </w:p>
    <w:p>
      <w:pPr>
        <w:pStyle w:val="Heading8"/>
        <w:jc w:val="both"/>
      </w:pPr>
      <w:r>
        <w:rPr/>
        <w:t>Table</w:t>
      </w:r>
      <w:r>
        <w:rPr>
          <w:spacing w:val="-4"/>
        </w:rPr>
        <w:t> </w:t>
      </w:r>
      <w:r>
        <w:rPr/>
        <w:t>L1:</w:t>
      </w:r>
      <w:r>
        <w:rPr>
          <w:spacing w:val="-2"/>
        </w:rPr>
        <w:t> </w:t>
      </w:r>
      <w:r>
        <w:rPr/>
        <w:t>Fair</w:t>
      </w:r>
      <w:r>
        <w:rPr>
          <w:spacing w:val="-3"/>
        </w:rPr>
        <w:t> </w:t>
      </w:r>
      <w:r>
        <w:rPr/>
        <w:t>value</w:t>
      </w:r>
      <w:r>
        <w:rPr>
          <w:spacing w:val="-4"/>
        </w:rPr>
        <w:t> </w:t>
      </w:r>
      <w:r>
        <w:rPr/>
        <w:t>and</w:t>
      </w:r>
      <w:r>
        <w:rPr>
          <w:spacing w:val="-3"/>
        </w:rPr>
        <w:t> </w:t>
      </w:r>
      <w:r>
        <w:rPr/>
        <w:t>carrying</w:t>
      </w:r>
      <w:r>
        <w:rPr>
          <w:spacing w:val="-2"/>
        </w:rPr>
        <w:t> </w:t>
      </w:r>
      <w:r>
        <w:rPr/>
        <w:t>amount</w:t>
      </w:r>
      <w:r>
        <w:rPr>
          <w:spacing w:val="-2"/>
        </w:rPr>
        <w:t> </w:t>
      </w:r>
      <w:r>
        <w:rPr/>
        <w:t>of</w:t>
      </w:r>
      <w:r>
        <w:rPr>
          <w:spacing w:val="-3"/>
        </w:rPr>
        <w:t> </w:t>
      </w:r>
      <w:r>
        <w:rPr/>
        <w:t>financial</w:t>
      </w:r>
      <w:r>
        <w:rPr>
          <w:spacing w:val="-3"/>
        </w:rPr>
        <w:t> </w:t>
      </w:r>
      <w:r>
        <w:rPr/>
        <w:t>assets</w:t>
      </w:r>
      <w:r>
        <w:rPr>
          <w:spacing w:val="-3"/>
        </w:rPr>
        <w:t> </w:t>
      </w:r>
      <w:r>
        <w:rPr/>
        <w:t>and</w:t>
      </w:r>
      <w:r>
        <w:rPr>
          <w:spacing w:val="-3"/>
        </w:rPr>
        <w:t> </w:t>
      </w:r>
      <w:r>
        <w:rPr>
          <w:spacing w:val="-2"/>
        </w:rPr>
        <w:t>liabilities</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765504">
                <wp:simplePos x="0" y="0"/>
                <wp:positionH relativeFrom="page">
                  <wp:posOffset>914400</wp:posOffset>
                </wp:positionH>
                <wp:positionV relativeFrom="paragraph">
                  <wp:posOffset>191658</wp:posOffset>
                </wp:positionV>
                <wp:extent cx="5943600" cy="1270"/>
                <wp:effectExtent l="0" t="0" r="0" b="0"/>
                <wp:wrapTopAndBottom/>
                <wp:docPr id="1000" name="Graphic 1000"/>
                <wp:cNvGraphicFramePr>
                  <a:graphicFrameLocks/>
                </wp:cNvGraphicFramePr>
                <a:graphic>
                  <a:graphicData uri="http://schemas.microsoft.com/office/word/2010/wordprocessingShape">
                    <wps:wsp>
                      <wps:cNvPr id="1000" name="Graphic 100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91211pt;width:468pt;height:.1pt;mso-position-horizontal-relative:page;mso-position-vertical-relative:paragraph;z-index:-15550976;mso-wrap-distance-left:0;mso-wrap-distance-right:0" id="docshape829" coordorigin="1440,302" coordsize="9360,0" path="m1440,302l10800,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8148" w:val="left" w:leader="none"/>
        </w:tabs>
        <w:spacing w:before="16" w:after="30"/>
        <w:ind w:left="5238" w:right="0" w:firstLine="0"/>
        <w:jc w:val="left"/>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3"/>
          <w:sz w:val="16"/>
        </w:rPr>
        <w:t> </w:t>
      </w:r>
      <w:r>
        <w:rPr>
          <w:rFonts w:ascii="Arial"/>
          <w:i/>
          <w:sz w:val="16"/>
        </w:rPr>
        <w:t>30,</w:t>
      </w:r>
      <w:r>
        <w:rPr>
          <w:rFonts w:ascii="Arial"/>
          <w:i/>
          <w:spacing w:val="-2"/>
          <w:sz w:val="16"/>
        </w:rPr>
        <w:t> </w:t>
      </w:r>
      <w:r>
        <w:rPr>
          <w:rFonts w:ascii="Arial"/>
          <w:i/>
          <w:spacing w:val="-4"/>
          <w:sz w:val="16"/>
        </w:rPr>
        <w:t>2022</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97"/>
        <w:gridCol w:w="155"/>
        <w:gridCol w:w="1262"/>
        <w:gridCol w:w="275"/>
        <w:gridCol w:w="1179"/>
        <w:gridCol w:w="192"/>
        <w:gridCol w:w="1261"/>
        <w:gridCol w:w="274"/>
        <w:gridCol w:w="1156"/>
      </w:tblGrid>
      <w:tr>
        <w:trPr>
          <w:trHeight w:val="220" w:hRule="atLeast"/>
        </w:trPr>
        <w:tc>
          <w:tcPr>
            <w:tcW w:w="3752" w:type="dxa"/>
            <w:gridSpan w:val="2"/>
          </w:tcPr>
          <w:p>
            <w:pPr>
              <w:pStyle w:val="TableParagraph"/>
              <w:rPr>
                <w:rFonts w:ascii="Times New Roman"/>
                <w:sz w:val="14"/>
              </w:rPr>
            </w:pPr>
          </w:p>
        </w:tc>
        <w:tc>
          <w:tcPr>
            <w:tcW w:w="1262" w:type="dxa"/>
            <w:tcBorders>
              <w:top w:val="single" w:sz="8" w:space="0" w:color="000000"/>
              <w:bottom w:val="single" w:sz="8" w:space="0" w:color="000000"/>
            </w:tcBorders>
          </w:tcPr>
          <w:p>
            <w:pPr>
              <w:pStyle w:val="TableParagraph"/>
              <w:spacing w:line="183" w:lineRule="exact" w:before="16"/>
              <w:ind w:left="14"/>
              <w:rPr>
                <w:rFonts w:ascii="Arial"/>
                <w:i/>
                <w:sz w:val="16"/>
              </w:rPr>
            </w:pPr>
            <w:r>
              <w:rPr>
                <w:rFonts w:ascii="Arial"/>
                <w:i/>
                <w:sz w:val="16"/>
              </w:rPr>
              <w:t>Carrying</w:t>
            </w:r>
            <w:r>
              <w:rPr>
                <w:rFonts w:ascii="Arial"/>
                <w:i/>
                <w:spacing w:val="-5"/>
                <w:sz w:val="16"/>
              </w:rPr>
              <w:t> </w:t>
            </w:r>
            <w:r>
              <w:rPr>
                <w:rFonts w:ascii="Arial"/>
                <w:i/>
                <w:spacing w:val="-2"/>
                <w:sz w:val="16"/>
              </w:rPr>
              <w:t>Value</w:t>
            </w:r>
          </w:p>
        </w:tc>
        <w:tc>
          <w:tcPr>
            <w:tcW w:w="275" w:type="dxa"/>
            <w:tcBorders>
              <w:top w:val="single" w:sz="8" w:space="0" w:color="000000"/>
              <w:bottom w:val="single" w:sz="8" w:space="0" w:color="000000"/>
            </w:tcBorders>
          </w:tcPr>
          <w:p>
            <w:pPr>
              <w:pStyle w:val="TableParagraph"/>
              <w:rPr>
                <w:rFonts w:ascii="Times New Roman"/>
                <w:sz w:val="14"/>
              </w:rPr>
            </w:pPr>
          </w:p>
        </w:tc>
        <w:tc>
          <w:tcPr>
            <w:tcW w:w="1179" w:type="dxa"/>
            <w:tcBorders>
              <w:top w:val="single" w:sz="8" w:space="0" w:color="000000"/>
              <w:bottom w:val="single" w:sz="8" w:space="0" w:color="000000"/>
            </w:tcBorders>
          </w:tcPr>
          <w:p>
            <w:pPr>
              <w:pStyle w:val="TableParagraph"/>
              <w:spacing w:line="183" w:lineRule="exact" w:before="16"/>
              <w:ind w:left="96"/>
              <w:rPr>
                <w:rFonts w:ascii="Arial"/>
                <w:i/>
                <w:sz w:val="16"/>
              </w:rPr>
            </w:pPr>
            <w:r>
              <w:rPr>
                <w:rFonts w:ascii="Arial"/>
                <w:i/>
                <w:sz w:val="16"/>
              </w:rPr>
              <w:t>Fair</w:t>
            </w:r>
            <w:r>
              <w:rPr>
                <w:rFonts w:ascii="Arial"/>
                <w:i/>
                <w:spacing w:val="-3"/>
                <w:sz w:val="16"/>
              </w:rPr>
              <w:t> </w:t>
            </w:r>
            <w:r>
              <w:rPr>
                <w:rFonts w:ascii="Arial"/>
                <w:i/>
                <w:spacing w:val="-2"/>
                <w:sz w:val="16"/>
              </w:rPr>
              <w:t>Value</w:t>
            </w:r>
          </w:p>
        </w:tc>
        <w:tc>
          <w:tcPr>
            <w:tcW w:w="192" w:type="dxa"/>
            <w:tcBorders>
              <w:top w:val="single" w:sz="8" w:space="0" w:color="000000"/>
              <w:bottom w:val="single" w:sz="8" w:space="0" w:color="000000"/>
            </w:tcBorders>
          </w:tcPr>
          <w:p>
            <w:pPr>
              <w:pStyle w:val="TableParagraph"/>
              <w:rPr>
                <w:rFonts w:ascii="Times New Roman"/>
                <w:sz w:val="14"/>
              </w:rPr>
            </w:pPr>
          </w:p>
        </w:tc>
        <w:tc>
          <w:tcPr>
            <w:tcW w:w="1261" w:type="dxa"/>
            <w:tcBorders>
              <w:top w:val="single" w:sz="8" w:space="0" w:color="000000"/>
              <w:bottom w:val="single" w:sz="8" w:space="0" w:color="000000"/>
            </w:tcBorders>
          </w:tcPr>
          <w:p>
            <w:pPr>
              <w:pStyle w:val="TableParagraph"/>
              <w:spacing w:line="183" w:lineRule="exact" w:before="16"/>
              <w:ind w:left="16"/>
              <w:rPr>
                <w:rFonts w:ascii="Arial"/>
                <w:i/>
                <w:sz w:val="16"/>
              </w:rPr>
            </w:pPr>
            <w:r>
              <w:rPr>
                <w:rFonts w:ascii="Arial"/>
                <w:i/>
                <w:sz w:val="16"/>
              </w:rPr>
              <w:t>Carrying</w:t>
            </w:r>
            <w:r>
              <w:rPr>
                <w:rFonts w:ascii="Arial"/>
                <w:i/>
                <w:spacing w:val="-5"/>
                <w:sz w:val="16"/>
              </w:rPr>
              <w:t> </w:t>
            </w:r>
            <w:r>
              <w:rPr>
                <w:rFonts w:ascii="Arial"/>
                <w:i/>
                <w:spacing w:val="-2"/>
                <w:sz w:val="16"/>
              </w:rPr>
              <w:t>Value</w:t>
            </w:r>
          </w:p>
        </w:tc>
        <w:tc>
          <w:tcPr>
            <w:tcW w:w="274" w:type="dxa"/>
            <w:tcBorders>
              <w:top w:val="single" w:sz="8" w:space="0" w:color="000000"/>
              <w:bottom w:val="single" w:sz="8" w:space="0" w:color="000000"/>
            </w:tcBorders>
          </w:tcPr>
          <w:p>
            <w:pPr>
              <w:pStyle w:val="TableParagraph"/>
              <w:rPr>
                <w:rFonts w:ascii="Times New Roman"/>
                <w:sz w:val="14"/>
              </w:rPr>
            </w:pPr>
          </w:p>
        </w:tc>
        <w:tc>
          <w:tcPr>
            <w:tcW w:w="1156" w:type="dxa"/>
            <w:tcBorders>
              <w:top w:val="single" w:sz="8" w:space="0" w:color="000000"/>
              <w:bottom w:val="single" w:sz="8" w:space="0" w:color="000000"/>
            </w:tcBorders>
          </w:tcPr>
          <w:p>
            <w:pPr>
              <w:pStyle w:val="TableParagraph"/>
              <w:spacing w:line="183" w:lineRule="exact" w:before="16"/>
              <w:ind w:left="100"/>
              <w:rPr>
                <w:rFonts w:ascii="Arial"/>
                <w:i/>
                <w:sz w:val="16"/>
              </w:rPr>
            </w:pPr>
            <w:r>
              <w:rPr>
                <w:rFonts w:ascii="Arial"/>
                <w:i/>
                <w:sz w:val="16"/>
              </w:rPr>
              <w:t>Fair</w:t>
            </w:r>
            <w:r>
              <w:rPr>
                <w:rFonts w:ascii="Arial"/>
                <w:i/>
                <w:spacing w:val="-3"/>
                <w:sz w:val="16"/>
              </w:rPr>
              <w:t> </w:t>
            </w:r>
            <w:r>
              <w:rPr>
                <w:rFonts w:ascii="Arial"/>
                <w:i/>
                <w:spacing w:val="-2"/>
                <w:sz w:val="16"/>
              </w:rPr>
              <w:t>Value</w:t>
            </w:r>
          </w:p>
        </w:tc>
      </w:tr>
      <w:tr>
        <w:trPr>
          <w:trHeight w:val="230" w:hRule="atLeast"/>
        </w:trPr>
        <w:tc>
          <w:tcPr>
            <w:tcW w:w="3597" w:type="dxa"/>
          </w:tcPr>
          <w:p>
            <w:pPr>
              <w:pStyle w:val="TableParagraph"/>
              <w:spacing w:before="16"/>
              <w:ind w:left="50"/>
              <w:rPr>
                <w:rFonts w:ascii="Arial"/>
                <w:b/>
                <w:sz w:val="16"/>
              </w:rPr>
            </w:pPr>
            <w:r>
              <w:rPr>
                <w:rFonts w:ascii="Arial"/>
                <w:b/>
                <w:spacing w:val="-2"/>
                <w:sz w:val="16"/>
              </w:rPr>
              <w:t>Assets</w:t>
            </w:r>
          </w:p>
        </w:tc>
        <w:tc>
          <w:tcPr>
            <w:tcW w:w="155" w:type="dxa"/>
            <w:tcBorders>
              <w:top w:val="single" w:sz="8" w:space="0" w:color="000000"/>
            </w:tcBorders>
          </w:tcPr>
          <w:p>
            <w:pPr>
              <w:pStyle w:val="TableParagraph"/>
              <w:rPr>
                <w:rFonts w:ascii="Times New Roman"/>
                <w:sz w:val="16"/>
              </w:rPr>
            </w:pPr>
          </w:p>
        </w:tc>
        <w:tc>
          <w:tcPr>
            <w:tcW w:w="1262" w:type="dxa"/>
            <w:tcBorders>
              <w:top w:val="single" w:sz="8" w:space="0" w:color="000000"/>
            </w:tcBorders>
          </w:tcPr>
          <w:p>
            <w:pPr>
              <w:pStyle w:val="TableParagraph"/>
              <w:rPr>
                <w:rFonts w:ascii="Times New Roman"/>
                <w:sz w:val="16"/>
              </w:rPr>
            </w:pPr>
          </w:p>
        </w:tc>
        <w:tc>
          <w:tcPr>
            <w:tcW w:w="275" w:type="dxa"/>
            <w:tcBorders>
              <w:top w:val="single" w:sz="8" w:space="0" w:color="000000"/>
            </w:tcBorders>
          </w:tcPr>
          <w:p>
            <w:pPr>
              <w:pStyle w:val="TableParagraph"/>
              <w:rPr>
                <w:rFonts w:ascii="Times New Roman"/>
                <w:sz w:val="16"/>
              </w:rPr>
            </w:pPr>
          </w:p>
        </w:tc>
        <w:tc>
          <w:tcPr>
            <w:tcW w:w="1179" w:type="dxa"/>
            <w:tcBorders>
              <w:top w:val="single" w:sz="8" w:space="0" w:color="000000"/>
            </w:tcBorders>
          </w:tcPr>
          <w:p>
            <w:pPr>
              <w:pStyle w:val="TableParagraph"/>
              <w:rPr>
                <w:rFonts w:ascii="Times New Roman"/>
                <w:sz w:val="16"/>
              </w:rPr>
            </w:pPr>
          </w:p>
        </w:tc>
        <w:tc>
          <w:tcPr>
            <w:tcW w:w="192" w:type="dxa"/>
            <w:tcBorders>
              <w:top w:val="single" w:sz="8" w:space="0" w:color="000000"/>
            </w:tcBorders>
          </w:tcPr>
          <w:p>
            <w:pPr>
              <w:pStyle w:val="TableParagraph"/>
              <w:rPr>
                <w:rFonts w:ascii="Times New Roman"/>
                <w:sz w:val="16"/>
              </w:rPr>
            </w:pPr>
          </w:p>
        </w:tc>
        <w:tc>
          <w:tcPr>
            <w:tcW w:w="1261" w:type="dxa"/>
            <w:tcBorders>
              <w:top w:val="single" w:sz="8" w:space="0" w:color="000000"/>
            </w:tcBorders>
          </w:tcPr>
          <w:p>
            <w:pPr>
              <w:pStyle w:val="TableParagraph"/>
              <w:rPr>
                <w:rFonts w:ascii="Times New Roman"/>
                <w:sz w:val="16"/>
              </w:rPr>
            </w:pPr>
          </w:p>
        </w:tc>
        <w:tc>
          <w:tcPr>
            <w:tcW w:w="274" w:type="dxa"/>
            <w:tcBorders>
              <w:top w:val="single" w:sz="8" w:space="0" w:color="000000"/>
            </w:tcBorders>
          </w:tcPr>
          <w:p>
            <w:pPr>
              <w:pStyle w:val="TableParagraph"/>
              <w:rPr>
                <w:rFonts w:ascii="Times New Roman"/>
                <w:sz w:val="16"/>
              </w:rPr>
            </w:pPr>
          </w:p>
        </w:tc>
        <w:tc>
          <w:tcPr>
            <w:tcW w:w="1156" w:type="dxa"/>
            <w:tcBorders>
              <w:top w:val="single" w:sz="8" w:space="0" w:color="000000"/>
            </w:tcBorders>
          </w:tcPr>
          <w:p>
            <w:pPr>
              <w:pStyle w:val="TableParagraph"/>
              <w:rPr>
                <w:rFonts w:ascii="Times New Roman"/>
                <w:sz w:val="16"/>
              </w:rPr>
            </w:pPr>
          </w:p>
        </w:tc>
      </w:tr>
      <w:tr>
        <w:trPr>
          <w:trHeight w:val="241" w:hRule="atLeast"/>
        </w:trPr>
        <w:tc>
          <w:tcPr>
            <w:tcW w:w="3597" w:type="dxa"/>
          </w:tcPr>
          <w:p>
            <w:pPr>
              <w:pStyle w:val="TableParagraph"/>
              <w:spacing w:before="25"/>
              <w:ind w:left="50"/>
              <w:rPr>
                <w:sz w:val="16"/>
              </w:rPr>
            </w:pPr>
            <w:r>
              <w:rPr>
                <w:sz w:val="16"/>
              </w:rPr>
              <w:t>Due</w:t>
            </w:r>
            <w:r>
              <w:rPr>
                <w:spacing w:val="-5"/>
                <w:sz w:val="16"/>
              </w:rPr>
              <w:t> </w:t>
            </w:r>
            <w:r>
              <w:rPr>
                <w:sz w:val="16"/>
              </w:rPr>
              <w:t>from</w:t>
            </w:r>
            <w:r>
              <w:rPr>
                <w:spacing w:val="-1"/>
                <w:sz w:val="16"/>
              </w:rPr>
              <w:t> </w:t>
            </w:r>
            <w:r>
              <w:rPr>
                <w:spacing w:val="-2"/>
                <w:sz w:val="16"/>
              </w:rPr>
              <w:t>banks</w:t>
            </w:r>
          </w:p>
        </w:tc>
        <w:tc>
          <w:tcPr>
            <w:tcW w:w="155" w:type="dxa"/>
          </w:tcPr>
          <w:p>
            <w:pPr>
              <w:pStyle w:val="TableParagraph"/>
              <w:spacing w:before="25"/>
              <w:ind w:left="53"/>
              <w:rPr>
                <w:sz w:val="16"/>
              </w:rPr>
            </w:pPr>
            <w:r>
              <w:rPr>
                <w:spacing w:val="-10"/>
                <w:sz w:val="16"/>
              </w:rPr>
              <w:t>$</w:t>
            </w:r>
          </w:p>
        </w:tc>
        <w:tc>
          <w:tcPr>
            <w:tcW w:w="1262" w:type="dxa"/>
          </w:tcPr>
          <w:p>
            <w:pPr>
              <w:pStyle w:val="TableParagraph"/>
              <w:spacing w:before="25"/>
              <w:ind w:right="87"/>
              <w:jc w:val="right"/>
              <w:rPr>
                <w:sz w:val="16"/>
              </w:rPr>
            </w:pPr>
            <w:r>
              <w:rPr>
                <w:spacing w:val="-5"/>
                <w:sz w:val="16"/>
              </w:rPr>
              <w:t>547</w:t>
            </w:r>
          </w:p>
        </w:tc>
        <w:tc>
          <w:tcPr>
            <w:tcW w:w="275" w:type="dxa"/>
          </w:tcPr>
          <w:p>
            <w:pPr>
              <w:pStyle w:val="TableParagraph"/>
              <w:spacing w:before="25"/>
              <w:ind w:left="90"/>
              <w:rPr>
                <w:sz w:val="16"/>
              </w:rPr>
            </w:pPr>
            <w:r>
              <w:rPr>
                <w:spacing w:val="-10"/>
                <w:sz w:val="16"/>
              </w:rPr>
              <w:t>$</w:t>
            </w:r>
          </w:p>
        </w:tc>
        <w:tc>
          <w:tcPr>
            <w:tcW w:w="1179" w:type="dxa"/>
          </w:tcPr>
          <w:p>
            <w:pPr>
              <w:pStyle w:val="TableParagraph"/>
              <w:spacing w:before="25"/>
              <w:ind w:right="86"/>
              <w:jc w:val="right"/>
              <w:rPr>
                <w:sz w:val="16"/>
              </w:rPr>
            </w:pPr>
            <w:r>
              <w:rPr>
                <w:spacing w:val="-5"/>
                <w:sz w:val="16"/>
              </w:rPr>
              <w:t>547</w:t>
            </w:r>
          </w:p>
        </w:tc>
        <w:tc>
          <w:tcPr>
            <w:tcW w:w="192" w:type="dxa"/>
          </w:tcPr>
          <w:p>
            <w:pPr>
              <w:pStyle w:val="TableParagraph"/>
              <w:spacing w:before="25"/>
              <w:ind w:left="91"/>
              <w:rPr>
                <w:sz w:val="16"/>
              </w:rPr>
            </w:pPr>
            <w:r>
              <w:rPr>
                <w:spacing w:val="-10"/>
                <w:sz w:val="16"/>
              </w:rPr>
              <w:t>$</w:t>
            </w:r>
          </w:p>
        </w:tc>
        <w:tc>
          <w:tcPr>
            <w:tcW w:w="1261" w:type="dxa"/>
          </w:tcPr>
          <w:p>
            <w:pPr>
              <w:pStyle w:val="TableParagraph"/>
              <w:spacing w:before="25"/>
              <w:ind w:right="84"/>
              <w:jc w:val="right"/>
              <w:rPr>
                <w:sz w:val="16"/>
              </w:rPr>
            </w:pPr>
            <w:r>
              <w:rPr>
                <w:spacing w:val="-5"/>
                <w:sz w:val="16"/>
              </w:rPr>
              <w:t>479</w:t>
            </w:r>
          </w:p>
        </w:tc>
        <w:tc>
          <w:tcPr>
            <w:tcW w:w="274" w:type="dxa"/>
          </w:tcPr>
          <w:p>
            <w:pPr>
              <w:pStyle w:val="TableParagraph"/>
              <w:spacing w:before="25"/>
              <w:ind w:left="93"/>
              <w:rPr>
                <w:sz w:val="16"/>
              </w:rPr>
            </w:pPr>
            <w:r>
              <w:rPr>
                <w:spacing w:val="-10"/>
                <w:sz w:val="16"/>
              </w:rPr>
              <w:t>$</w:t>
            </w:r>
          </w:p>
        </w:tc>
        <w:tc>
          <w:tcPr>
            <w:tcW w:w="1156" w:type="dxa"/>
          </w:tcPr>
          <w:p>
            <w:pPr>
              <w:pStyle w:val="TableParagraph"/>
              <w:spacing w:before="25"/>
              <w:ind w:right="59"/>
              <w:jc w:val="right"/>
              <w:rPr>
                <w:sz w:val="16"/>
              </w:rPr>
            </w:pPr>
            <w:r>
              <w:rPr>
                <w:spacing w:val="-5"/>
                <w:sz w:val="16"/>
              </w:rPr>
              <w:t>479</w:t>
            </w:r>
          </w:p>
        </w:tc>
      </w:tr>
      <w:tr>
        <w:trPr>
          <w:trHeight w:val="433" w:hRule="atLeast"/>
        </w:trPr>
        <w:tc>
          <w:tcPr>
            <w:tcW w:w="3597" w:type="dxa"/>
          </w:tcPr>
          <w:p>
            <w:pPr>
              <w:pStyle w:val="TableParagraph"/>
              <w:spacing w:line="249" w:lineRule="auto" w:before="27"/>
              <w:ind w:left="230" w:right="615" w:hanging="180"/>
              <w:rPr>
                <w:sz w:val="16"/>
              </w:rPr>
            </w:pPr>
            <w:r>
              <w:rPr>
                <w:sz w:val="16"/>
              </w:rPr>
              <w:t>Investments-Trading</w:t>
            </w:r>
            <w:r>
              <w:rPr>
                <w:spacing w:val="-12"/>
                <w:sz w:val="16"/>
              </w:rPr>
              <w:t> </w:t>
            </w:r>
            <w:r>
              <w:rPr>
                <w:sz w:val="16"/>
              </w:rPr>
              <w:t>(including</w:t>
            </w:r>
            <w:r>
              <w:rPr>
                <w:spacing w:val="-11"/>
                <w:sz w:val="16"/>
              </w:rPr>
              <w:t> </w:t>
            </w:r>
            <w:r>
              <w:rPr>
                <w:sz w:val="16"/>
              </w:rPr>
              <w:t>Securities purchased under resale agreements)</w:t>
            </w:r>
          </w:p>
        </w:tc>
        <w:tc>
          <w:tcPr>
            <w:tcW w:w="155" w:type="dxa"/>
          </w:tcPr>
          <w:p>
            <w:pPr>
              <w:pStyle w:val="TableParagraph"/>
              <w:rPr>
                <w:rFonts w:ascii="Times New Roman"/>
                <w:sz w:val="18"/>
              </w:rPr>
            </w:pPr>
          </w:p>
        </w:tc>
        <w:tc>
          <w:tcPr>
            <w:tcW w:w="1262" w:type="dxa"/>
          </w:tcPr>
          <w:p>
            <w:pPr>
              <w:pStyle w:val="TableParagraph"/>
              <w:spacing w:before="34"/>
              <w:rPr>
                <w:rFonts w:ascii="Arial"/>
                <w:i/>
                <w:sz w:val="16"/>
              </w:rPr>
            </w:pPr>
          </w:p>
          <w:p>
            <w:pPr>
              <w:pStyle w:val="TableParagraph"/>
              <w:spacing w:before="1"/>
              <w:ind w:right="87"/>
              <w:jc w:val="right"/>
              <w:rPr>
                <w:sz w:val="16"/>
              </w:rPr>
            </w:pPr>
            <w:r>
              <w:rPr>
                <w:spacing w:val="-2"/>
                <w:sz w:val="16"/>
              </w:rPr>
              <w:t>79,277</w:t>
            </w:r>
          </w:p>
        </w:tc>
        <w:tc>
          <w:tcPr>
            <w:tcW w:w="275" w:type="dxa"/>
          </w:tcPr>
          <w:p>
            <w:pPr>
              <w:pStyle w:val="TableParagraph"/>
              <w:rPr>
                <w:rFonts w:ascii="Times New Roman"/>
                <w:sz w:val="18"/>
              </w:rPr>
            </w:pPr>
          </w:p>
        </w:tc>
        <w:tc>
          <w:tcPr>
            <w:tcW w:w="1179" w:type="dxa"/>
          </w:tcPr>
          <w:p>
            <w:pPr>
              <w:pStyle w:val="TableParagraph"/>
              <w:spacing w:before="34"/>
              <w:rPr>
                <w:rFonts w:ascii="Arial"/>
                <w:i/>
                <w:sz w:val="16"/>
              </w:rPr>
            </w:pPr>
          </w:p>
          <w:p>
            <w:pPr>
              <w:pStyle w:val="TableParagraph"/>
              <w:spacing w:before="1"/>
              <w:ind w:right="86"/>
              <w:jc w:val="right"/>
              <w:rPr>
                <w:sz w:val="16"/>
              </w:rPr>
            </w:pPr>
            <w:r>
              <w:rPr>
                <w:spacing w:val="-2"/>
                <w:sz w:val="16"/>
              </w:rPr>
              <w:t>79,277</w:t>
            </w:r>
          </w:p>
        </w:tc>
        <w:tc>
          <w:tcPr>
            <w:tcW w:w="192" w:type="dxa"/>
          </w:tcPr>
          <w:p>
            <w:pPr>
              <w:pStyle w:val="TableParagraph"/>
              <w:rPr>
                <w:rFonts w:ascii="Times New Roman"/>
                <w:sz w:val="18"/>
              </w:rPr>
            </w:pPr>
          </w:p>
        </w:tc>
        <w:tc>
          <w:tcPr>
            <w:tcW w:w="1261" w:type="dxa"/>
          </w:tcPr>
          <w:p>
            <w:pPr>
              <w:pStyle w:val="TableParagraph"/>
              <w:spacing w:before="34"/>
              <w:rPr>
                <w:rFonts w:ascii="Arial"/>
                <w:i/>
                <w:sz w:val="16"/>
              </w:rPr>
            </w:pPr>
          </w:p>
          <w:p>
            <w:pPr>
              <w:pStyle w:val="TableParagraph"/>
              <w:spacing w:before="1"/>
              <w:ind w:right="84"/>
              <w:jc w:val="right"/>
              <w:rPr>
                <w:sz w:val="16"/>
              </w:rPr>
            </w:pPr>
            <w:r>
              <w:rPr>
                <w:spacing w:val="-2"/>
                <w:sz w:val="16"/>
              </w:rPr>
              <w:t>81,820</w:t>
            </w:r>
          </w:p>
        </w:tc>
        <w:tc>
          <w:tcPr>
            <w:tcW w:w="274" w:type="dxa"/>
          </w:tcPr>
          <w:p>
            <w:pPr>
              <w:pStyle w:val="TableParagraph"/>
              <w:rPr>
                <w:rFonts w:ascii="Times New Roman"/>
                <w:sz w:val="18"/>
              </w:rPr>
            </w:pPr>
          </w:p>
        </w:tc>
        <w:tc>
          <w:tcPr>
            <w:tcW w:w="1156" w:type="dxa"/>
          </w:tcPr>
          <w:p>
            <w:pPr>
              <w:pStyle w:val="TableParagraph"/>
              <w:spacing w:before="34"/>
              <w:rPr>
                <w:rFonts w:ascii="Arial"/>
                <w:i/>
                <w:sz w:val="16"/>
              </w:rPr>
            </w:pPr>
          </w:p>
          <w:p>
            <w:pPr>
              <w:pStyle w:val="TableParagraph"/>
              <w:spacing w:before="1"/>
              <w:ind w:right="59"/>
              <w:jc w:val="right"/>
              <w:rPr>
                <w:sz w:val="16"/>
              </w:rPr>
            </w:pPr>
            <w:r>
              <w:rPr>
                <w:spacing w:val="-2"/>
                <w:sz w:val="16"/>
              </w:rPr>
              <w:t>81,820</w:t>
            </w:r>
          </w:p>
        </w:tc>
      </w:tr>
      <w:tr>
        <w:trPr>
          <w:trHeight w:val="240" w:hRule="atLeast"/>
        </w:trPr>
        <w:tc>
          <w:tcPr>
            <w:tcW w:w="3597" w:type="dxa"/>
          </w:tcPr>
          <w:p>
            <w:pPr>
              <w:pStyle w:val="TableParagraph"/>
              <w:spacing w:before="25"/>
              <w:ind w:left="50"/>
              <w:rPr>
                <w:sz w:val="16"/>
              </w:rPr>
            </w:pPr>
            <w:r>
              <w:rPr>
                <w:sz w:val="16"/>
              </w:rPr>
              <w:t>Net</w:t>
            </w:r>
            <w:r>
              <w:rPr>
                <w:spacing w:val="-3"/>
                <w:sz w:val="16"/>
              </w:rPr>
              <w:t> </w:t>
            </w:r>
            <w:r>
              <w:rPr>
                <w:sz w:val="16"/>
              </w:rPr>
              <w:t>loans</w:t>
            </w:r>
            <w:r>
              <w:rPr>
                <w:spacing w:val="-3"/>
                <w:sz w:val="16"/>
              </w:rPr>
              <w:t> </w:t>
            </w:r>
            <w:r>
              <w:rPr>
                <w:spacing w:val="-2"/>
                <w:sz w:val="16"/>
              </w:rPr>
              <w:t>outstanding</w:t>
            </w:r>
          </w:p>
        </w:tc>
        <w:tc>
          <w:tcPr>
            <w:tcW w:w="155" w:type="dxa"/>
          </w:tcPr>
          <w:p>
            <w:pPr>
              <w:pStyle w:val="TableParagraph"/>
              <w:rPr>
                <w:rFonts w:ascii="Times New Roman"/>
                <w:sz w:val="16"/>
              </w:rPr>
            </w:pPr>
          </w:p>
        </w:tc>
        <w:tc>
          <w:tcPr>
            <w:tcW w:w="1262" w:type="dxa"/>
          </w:tcPr>
          <w:p>
            <w:pPr>
              <w:pStyle w:val="TableParagraph"/>
              <w:spacing w:before="25"/>
              <w:ind w:right="87"/>
              <w:jc w:val="right"/>
              <w:rPr>
                <w:sz w:val="16"/>
              </w:rPr>
            </w:pPr>
            <w:r>
              <w:rPr>
                <w:spacing w:val="-2"/>
                <w:sz w:val="16"/>
              </w:rPr>
              <w:t>241,041</w:t>
            </w:r>
          </w:p>
        </w:tc>
        <w:tc>
          <w:tcPr>
            <w:tcW w:w="275" w:type="dxa"/>
          </w:tcPr>
          <w:p>
            <w:pPr>
              <w:pStyle w:val="TableParagraph"/>
              <w:rPr>
                <w:rFonts w:ascii="Times New Roman"/>
                <w:sz w:val="16"/>
              </w:rPr>
            </w:pPr>
          </w:p>
        </w:tc>
        <w:tc>
          <w:tcPr>
            <w:tcW w:w="1179" w:type="dxa"/>
          </w:tcPr>
          <w:p>
            <w:pPr>
              <w:pStyle w:val="TableParagraph"/>
              <w:spacing w:before="25"/>
              <w:ind w:right="86"/>
              <w:jc w:val="right"/>
              <w:rPr>
                <w:sz w:val="16"/>
              </w:rPr>
            </w:pPr>
            <w:r>
              <w:rPr>
                <w:spacing w:val="-2"/>
                <w:sz w:val="16"/>
              </w:rPr>
              <w:t>236,521</w:t>
            </w:r>
          </w:p>
        </w:tc>
        <w:tc>
          <w:tcPr>
            <w:tcW w:w="192" w:type="dxa"/>
          </w:tcPr>
          <w:p>
            <w:pPr>
              <w:pStyle w:val="TableParagraph"/>
              <w:rPr>
                <w:rFonts w:ascii="Times New Roman"/>
                <w:sz w:val="16"/>
              </w:rPr>
            </w:pPr>
          </w:p>
        </w:tc>
        <w:tc>
          <w:tcPr>
            <w:tcW w:w="1261" w:type="dxa"/>
          </w:tcPr>
          <w:p>
            <w:pPr>
              <w:pStyle w:val="TableParagraph"/>
              <w:spacing w:before="25"/>
              <w:ind w:right="84"/>
              <w:jc w:val="right"/>
              <w:rPr>
                <w:sz w:val="16"/>
              </w:rPr>
            </w:pPr>
            <w:r>
              <w:rPr>
                <w:spacing w:val="-2"/>
                <w:sz w:val="16"/>
              </w:rPr>
              <w:t>227,092</w:t>
            </w:r>
          </w:p>
        </w:tc>
        <w:tc>
          <w:tcPr>
            <w:tcW w:w="274" w:type="dxa"/>
          </w:tcPr>
          <w:p>
            <w:pPr>
              <w:pStyle w:val="TableParagraph"/>
              <w:rPr>
                <w:rFonts w:ascii="Times New Roman"/>
                <w:sz w:val="16"/>
              </w:rPr>
            </w:pPr>
          </w:p>
        </w:tc>
        <w:tc>
          <w:tcPr>
            <w:tcW w:w="1156" w:type="dxa"/>
          </w:tcPr>
          <w:p>
            <w:pPr>
              <w:pStyle w:val="TableParagraph"/>
              <w:spacing w:before="25"/>
              <w:ind w:right="59"/>
              <w:jc w:val="right"/>
              <w:rPr>
                <w:sz w:val="16"/>
              </w:rPr>
            </w:pPr>
            <w:r>
              <w:rPr>
                <w:spacing w:val="-2"/>
                <w:sz w:val="16"/>
              </w:rPr>
              <w:t>225,046</w:t>
            </w:r>
          </w:p>
        </w:tc>
      </w:tr>
      <w:tr>
        <w:trPr>
          <w:trHeight w:val="240" w:hRule="atLeast"/>
        </w:trPr>
        <w:tc>
          <w:tcPr>
            <w:tcW w:w="3597" w:type="dxa"/>
          </w:tcPr>
          <w:p>
            <w:pPr>
              <w:pStyle w:val="TableParagraph"/>
              <w:spacing w:before="25"/>
              <w:ind w:left="50"/>
              <w:rPr>
                <w:sz w:val="16"/>
              </w:rPr>
            </w:pPr>
            <w:r>
              <w:rPr>
                <w:sz w:val="16"/>
              </w:rPr>
              <w:t>Derivative</w:t>
            </w:r>
            <w:r>
              <w:rPr>
                <w:spacing w:val="-5"/>
                <w:sz w:val="16"/>
              </w:rPr>
              <w:t> </w:t>
            </w:r>
            <w:r>
              <w:rPr>
                <w:sz w:val="16"/>
              </w:rPr>
              <w:t>assets,</w:t>
            </w:r>
            <w:r>
              <w:rPr>
                <w:spacing w:val="-3"/>
                <w:sz w:val="16"/>
              </w:rPr>
              <w:t> </w:t>
            </w:r>
            <w:r>
              <w:rPr>
                <w:spacing w:val="-5"/>
                <w:sz w:val="16"/>
              </w:rPr>
              <w:t>net</w:t>
            </w:r>
          </w:p>
        </w:tc>
        <w:tc>
          <w:tcPr>
            <w:tcW w:w="155" w:type="dxa"/>
          </w:tcPr>
          <w:p>
            <w:pPr>
              <w:pStyle w:val="TableParagraph"/>
              <w:rPr>
                <w:rFonts w:ascii="Times New Roman"/>
                <w:sz w:val="16"/>
              </w:rPr>
            </w:pPr>
          </w:p>
        </w:tc>
        <w:tc>
          <w:tcPr>
            <w:tcW w:w="1262" w:type="dxa"/>
          </w:tcPr>
          <w:p>
            <w:pPr>
              <w:pStyle w:val="TableParagraph"/>
              <w:spacing w:before="25"/>
              <w:ind w:right="87"/>
              <w:jc w:val="right"/>
              <w:rPr>
                <w:sz w:val="16"/>
              </w:rPr>
            </w:pPr>
            <w:r>
              <w:rPr>
                <w:spacing w:val="-5"/>
                <w:sz w:val="16"/>
              </w:rPr>
              <w:t>271</w:t>
            </w:r>
          </w:p>
        </w:tc>
        <w:tc>
          <w:tcPr>
            <w:tcW w:w="275" w:type="dxa"/>
          </w:tcPr>
          <w:p>
            <w:pPr>
              <w:pStyle w:val="TableParagraph"/>
              <w:rPr>
                <w:rFonts w:ascii="Times New Roman"/>
                <w:sz w:val="16"/>
              </w:rPr>
            </w:pPr>
          </w:p>
        </w:tc>
        <w:tc>
          <w:tcPr>
            <w:tcW w:w="1179" w:type="dxa"/>
          </w:tcPr>
          <w:p>
            <w:pPr>
              <w:pStyle w:val="TableParagraph"/>
              <w:spacing w:before="25"/>
              <w:ind w:right="86"/>
              <w:jc w:val="right"/>
              <w:rPr>
                <w:sz w:val="16"/>
              </w:rPr>
            </w:pPr>
            <w:r>
              <w:rPr>
                <w:spacing w:val="-5"/>
                <w:sz w:val="16"/>
              </w:rPr>
              <w:t>271</w:t>
            </w:r>
          </w:p>
        </w:tc>
        <w:tc>
          <w:tcPr>
            <w:tcW w:w="192" w:type="dxa"/>
          </w:tcPr>
          <w:p>
            <w:pPr>
              <w:pStyle w:val="TableParagraph"/>
              <w:rPr>
                <w:rFonts w:ascii="Times New Roman"/>
                <w:sz w:val="16"/>
              </w:rPr>
            </w:pPr>
          </w:p>
        </w:tc>
        <w:tc>
          <w:tcPr>
            <w:tcW w:w="1261" w:type="dxa"/>
          </w:tcPr>
          <w:p>
            <w:pPr>
              <w:pStyle w:val="TableParagraph"/>
              <w:spacing w:before="25"/>
              <w:ind w:right="84"/>
              <w:jc w:val="right"/>
              <w:rPr>
                <w:sz w:val="16"/>
              </w:rPr>
            </w:pPr>
            <w:r>
              <w:rPr>
                <w:spacing w:val="-5"/>
                <w:sz w:val="16"/>
              </w:rPr>
              <w:t>804</w:t>
            </w:r>
          </w:p>
        </w:tc>
        <w:tc>
          <w:tcPr>
            <w:tcW w:w="274" w:type="dxa"/>
          </w:tcPr>
          <w:p>
            <w:pPr>
              <w:pStyle w:val="TableParagraph"/>
              <w:rPr>
                <w:rFonts w:ascii="Times New Roman"/>
                <w:sz w:val="16"/>
              </w:rPr>
            </w:pPr>
          </w:p>
        </w:tc>
        <w:tc>
          <w:tcPr>
            <w:tcW w:w="1156" w:type="dxa"/>
          </w:tcPr>
          <w:p>
            <w:pPr>
              <w:pStyle w:val="TableParagraph"/>
              <w:spacing w:before="25"/>
              <w:ind w:right="59"/>
              <w:jc w:val="right"/>
              <w:rPr>
                <w:sz w:val="16"/>
              </w:rPr>
            </w:pPr>
            <w:r>
              <w:rPr>
                <w:spacing w:val="-5"/>
                <w:sz w:val="16"/>
              </w:rPr>
              <w:t>804</w:t>
            </w:r>
          </w:p>
        </w:tc>
      </w:tr>
      <w:tr>
        <w:trPr>
          <w:trHeight w:val="240" w:hRule="atLeast"/>
        </w:trPr>
        <w:tc>
          <w:tcPr>
            <w:tcW w:w="3597" w:type="dxa"/>
          </w:tcPr>
          <w:p>
            <w:pPr>
              <w:pStyle w:val="TableParagraph"/>
              <w:spacing w:before="25"/>
              <w:ind w:left="50"/>
              <w:rPr>
                <w:sz w:val="16"/>
              </w:rPr>
            </w:pPr>
            <w:r>
              <w:rPr>
                <w:sz w:val="16"/>
              </w:rPr>
              <w:t>Miscellaneous</w:t>
            </w:r>
            <w:r>
              <w:rPr>
                <w:spacing w:val="-9"/>
                <w:sz w:val="16"/>
              </w:rPr>
              <w:t> </w:t>
            </w:r>
            <w:r>
              <w:rPr>
                <w:spacing w:val="-2"/>
                <w:sz w:val="16"/>
              </w:rPr>
              <w:t>assets</w:t>
            </w:r>
          </w:p>
        </w:tc>
        <w:tc>
          <w:tcPr>
            <w:tcW w:w="155" w:type="dxa"/>
          </w:tcPr>
          <w:p>
            <w:pPr>
              <w:pStyle w:val="TableParagraph"/>
              <w:rPr>
                <w:rFonts w:ascii="Times New Roman"/>
                <w:sz w:val="16"/>
              </w:rPr>
            </w:pPr>
          </w:p>
        </w:tc>
        <w:tc>
          <w:tcPr>
            <w:tcW w:w="1262" w:type="dxa"/>
          </w:tcPr>
          <w:p>
            <w:pPr>
              <w:pStyle w:val="TableParagraph"/>
              <w:spacing w:before="25"/>
              <w:ind w:right="87"/>
              <w:jc w:val="right"/>
              <w:rPr>
                <w:sz w:val="16"/>
              </w:rPr>
            </w:pPr>
            <w:r>
              <w:rPr>
                <w:spacing w:val="-5"/>
                <w:sz w:val="16"/>
              </w:rPr>
              <w:t>55</w:t>
            </w:r>
          </w:p>
        </w:tc>
        <w:tc>
          <w:tcPr>
            <w:tcW w:w="275" w:type="dxa"/>
          </w:tcPr>
          <w:p>
            <w:pPr>
              <w:pStyle w:val="TableParagraph"/>
              <w:rPr>
                <w:rFonts w:ascii="Times New Roman"/>
                <w:sz w:val="16"/>
              </w:rPr>
            </w:pPr>
          </w:p>
        </w:tc>
        <w:tc>
          <w:tcPr>
            <w:tcW w:w="1179" w:type="dxa"/>
          </w:tcPr>
          <w:p>
            <w:pPr>
              <w:pStyle w:val="TableParagraph"/>
              <w:spacing w:before="25"/>
              <w:ind w:right="86"/>
              <w:jc w:val="right"/>
              <w:rPr>
                <w:sz w:val="16"/>
              </w:rPr>
            </w:pPr>
            <w:r>
              <w:rPr>
                <w:spacing w:val="-5"/>
                <w:sz w:val="16"/>
              </w:rPr>
              <w:t>55</w:t>
            </w:r>
          </w:p>
        </w:tc>
        <w:tc>
          <w:tcPr>
            <w:tcW w:w="192" w:type="dxa"/>
          </w:tcPr>
          <w:p>
            <w:pPr>
              <w:pStyle w:val="TableParagraph"/>
              <w:rPr>
                <w:rFonts w:ascii="Times New Roman"/>
                <w:sz w:val="16"/>
              </w:rPr>
            </w:pPr>
          </w:p>
        </w:tc>
        <w:tc>
          <w:tcPr>
            <w:tcW w:w="1261" w:type="dxa"/>
          </w:tcPr>
          <w:p>
            <w:pPr>
              <w:pStyle w:val="TableParagraph"/>
              <w:spacing w:before="25"/>
              <w:ind w:right="84"/>
              <w:jc w:val="right"/>
              <w:rPr>
                <w:sz w:val="16"/>
              </w:rPr>
            </w:pPr>
            <w:r>
              <w:rPr>
                <w:spacing w:val="-5"/>
                <w:sz w:val="16"/>
              </w:rPr>
              <w:t>55</w:t>
            </w:r>
          </w:p>
        </w:tc>
        <w:tc>
          <w:tcPr>
            <w:tcW w:w="274" w:type="dxa"/>
          </w:tcPr>
          <w:p>
            <w:pPr>
              <w:pStyle w:val="TableParagraph"/>
              <w:rPr>
                <w:rFonts w:ascii="Times New Roman"/>
                <w:sz w:val="16"/>
              </w:rPr>
            </w:pPr>
          </w:p>
        </w:tc>
        <w:tc>
          <w:tcPr>
            <w:tcW w:w="1156" w:type="dxa"/>
          </w:tcPr>
          <w:p>
            <w:pPr>
              <w:pStyle w:val="TableParagraph"/>
              <w:spacing w:before="25"/>
              <w:ind w:right="59"/>
              <w:jc w:val="right"/>
              <w:rPr>
                <w:sz w:val="16"/>
              </w:rPr>
            </w:pPr>
            <w:r>
              <w:rPr>
                <w:spacing w:val="-5"/>
                <w:sz w:val="16"/>
              </w:rPr>
              <w:t>55</w:t>
            </w:r>
          </w:p>
        </w:tc>
      </w:tr>
      <w:tr>
        <w:trPr>
          <w:trHeight w:val="240" w:hRule="atLeast"/>
        </w:trPr>
        <w:tc>
          <w:tcPr>
            <w:tcW w:w="3597" w:type="dxa"/>
          </w:tcPr>
          <w:p>
            <w:pPr>
              <w:pStyle w:val="TableParagraph"/>
              <w:spacing w:before="25"/>
              <w:ind w:left="50"/>
              <w:rPr>
                <w:rFonts w:ascii="Arial"/>
                <w:b/>
                <w:sz w:val="16"/>
              </w:rPr>
            </w:pPr>
            <w:r>
              <w:rPr>
                <w:rFonts w:ascii="Arial"/>
                <w:b/>
                <w:spacing w:val="-2"/>
                <w:sz w:val="16"/>
              </w:rPr>
              <w:t>Liabilities</w:t>
            </w:r>
          </w:p>
        </w:tc>
        <w:tc>
          <w:tcPr>
            <w:tcW w:w="155" w:type="dxa"/>
          </w:tcPr>
          <w:p>
            <w:pPr>
              <w:pStyle w:val="TableParagraph"/>
              <w:rPr>
                <w:rFonts w:ascii="Times New Roman"/>
                <w:sz w:val="16"/>
              </w:rPr>
            </w:pPr>
          </w:p>
        </w:tc>
        <w:tc>
          <w:tcPr>
            <w:tcW w:w="1262" w:type="dxa"/>
          </w:tcPr>
          <w:p>
            <w:pPr>
              <w:pStyle w:val="TableParagraph"/>
              <w:rPr>
                <w:rFonts w:ascii="Times New Roman"/>
                <w:sz w:val="16"/>
              </w:rPr>
            </w:pPr>
          </w:p>
        </w:tc>
        <w:tc>
          <w:tcPr>
            <w:tcW w:w="275" w:type="dxa"/>
          </w:tcPr>
          <w:p>
            <w:pPr>
              <w:pStyle w:val="TableParagraph"/>
              <w:rPr>
                <w:rFonts w:ascii="Times New Roman"/>
                <w:sz w:val="16"/>
              </w:rPr>
            </w:pPr>
          </w:p>
        </w:tc>
        <w:tc>
          <w:tcPr>
            <w:tcW w:w="1179" w:type="dxa"/>
          </w:tcPr>
          <w:p>
            <w:pPr>
              <w:pStyle w:val="TableParagraph"/>
              <w:rPr>
                <w:rFonts w:ascii="Times New Roman"/>
                <w:sz w:val="16"/>
              </w:rPr>
            </w:pPr>
          </w:p>
        </w:tc>
        <w:tc>
          <w:tcPr>
            <w:tcW w:w="192" w:type="dxa"/>
          </w:tcPr>
          <w:p>
            <w:pPr>
              <w:pStyle w:val="TableParagraph"/>
              <w:rPr>
                <w:rFonts w:ascii="Times New Roman"/>
                <w:sz w:val="16"/>
              </w:rPr>
            </w:pPr>
          </w:p>
        </w:tc>
        <w:tc>
          <w:tcPr>
            <w:tcW w:w="1261" w:type="dxa"/>
          </w:tcPr>
          <w:p>
            <w:pPr>
              <w:pStyle w:val="TableParagraph"/>
              <w:rPr>
                <w:rFonts w:ascii="Times New Roman"/>
                <w:sz w:val="16"/>
              </w:rPr>
            </w:pPr>
          </w:p>
        </w:tc>
        <w:tc>
          <w:tcPr>
            <w:tcW w:w="274" w:type="dxa"/>
          </w:tcPr>
          <w:p>
            <w:pPr>
              <w:pStyle w:val="TableParagraph"/>
              <w:rPr>
                <w:rFonts w:ascii="Times New Roman"/>
                <w:sz w:val="16"/>
              </w:rPr>
            </w:pPr>
          </w:p>
        </w:tc>
        <w:tc>
          <w:tcPr>
            <w:tcW w:w="1156" w:type="dxa"/>
          </w:tcPr>
          <w:p>
            <w:pPr>
              <w:pStyle w:val="TableParagraph"/>
              <w:rPr>
                <w:rFonts w:ascii="Times New Roman"/>
                <w:sz w:val="16"/>
              </w:rPr>
            </w:pPr>
          </w:p>
        </w:tc>
      </w:tr>
      <w:tr>
        <w:trPr>
          <w:trHeight w:val="250" w:hRule="atLeast"/>
        </w:trPr>
        <w:tc>
          <w:tcPr>
            <w:tcW w:w="3597" w:type="dxa"/>
          </w:tcPr>
          <w:p>
            <w:pPr>
              <w:pStyle w:val="TableParagraph"/>
              <w:spacing w:before="25"/>
              <w:ind w:left="50"/>
              <w:rPr>
                <w:sz w:val="16"/>
              </w:rPr>
            </w:pPr>
            <w:r>
              <w:rPr>
                <w:spacing w:val="-2"/>
                <w:sz w:val="16"/>
              </w:rPr>
              <w:t>Borrowings</w:t>
            </w:r>
          </w:p>
        </w:tc>
        <w:tc>
          <w:tcPr>
            <w:tcW w:w="155" w:type="dxa"/>
          </w:tcPr>
          <w:p>
            <w:pPr>
              <w:pStyle w:val="TableParagraph"/>
              <w:rPr>
                <w:rFonts w:ascii="Times New Roman"/>
                <w:sz w:val="18"/>
              </w:rPr>
            </w:pPr>
          </w:p>
        </w:tc>
        <w:tc>
          <w:tcPr>
            <w:tcW w:w="1262" w:type="dxa"/>
          </w:tcPr>
          <w:p>
            <w:pPr>
              <w:pStyle w:val="TableParagraph"/>
              <w:spacing w:before="25"/>
              <w:ind w:right="87"/>
              <w:jc w:val="right"/>
              <w:rPr>
                <w:sz w:val="16"/>
              </w:rPr>
            </w:pPr>
            <w:r>
              <w:rPr>
                <w:spacing w:val="-2"/>
                <w:sz w:val="16"/>
              </w:rPr>
              <w:t>237,265</w:t>
            </w:r>
          </w:p>
        </w:tc>
        <w:tc>
          <w:tcPr>
            <w:tcW w:w="275" w:type="dxa"/>
          </w:tcPr>
          <w:p>
            <w:pPr>
              <w:pStyle w:val="TableParagraph"/>
              <w:rPr>
                <w:rFonts w:ascii="Times New Roman"/>
                <w:sz w:val="18"/>
              </w:rPr>
            </w:pPr>
          </w:p>
        </w:tc>
        <w:tc>
          <w:tcPr>
            <w:tcW w:w="1179" w:type="dxa"/>
          </w:tcPr>
          <w:p>
            <w:pPr>
              <w:pStyle w:val="TableParagraph"/>
              <w:spacing w:before="25"/>
              <w:ind w:right="86"/>
              <w:jc w:val="right"/>
              <w:rPr>
                <w:sz w:val="16"/>
              </w:rPr>
            </w:pPr>
            <w:r>
              <w:rPr>
                <w:spacing w:val="-2"/>
                <w:sz w:val="16"/>
              </w:rPr>
              <w:t>237,265</w:t>
            </w:r>
          </w:p>
        </w:tc>
        <w:tc>
          <w:tcPr>
            <w:tcW w:w="192" w:type="dxa"/>
          </w:tcPr>
          <w:p>
            <w:pPr>
              <w:pStyle w:val="TableParagraph"/>
              <w:rPr>
                <w:rFonts w:ascii="Times New Roman"/>
                <w:sz w:val="18"/>
              </w:rPr>
            </w:pPr>
          </w:p>
        </w:tc>
        <w:tc>
          <w:tcPr>
            <w:tcW w:w="1261" w:type="dxa"/>
          </w:tcPr>
          <w:p>
            <w:pPr>
              <w:pStyle w:val="TableParagraph"/>
              <w:spacing w:before="25"/>
              <w:ind w:right="84"/>
              <w:jc w:val="right"/>
              <w:rPr>
                <w:sz w:val="16"/>
              </w:rPr>
            </w:pPr>
            <w:r>
              <w:rPr>
                <w:spacing w:val="-2"/>
                <w:sz w:val="16"/>
              </w:rPr>
              <w:t>235,173</w:t>
            </w:r>
          </w:p>
        </w:tc>
        <w:tc>
          <w:tcPr>
            <w:tcW w:w="274" w:type="dxa"/>
          </w:tcPr>
          <w:p>
            <w:pPr>
              <w:pStyle w:val="TableParagraph"/>
              <w:rPr>
                <w:rFonts w:ascii="Times New Roman"/>
                <w:sz w:val="18"/>
              </w:rPr>
            </w:pPr>
          </w:p>
        </w:tc>
        <w:tc>
          <w:tcPr>
            <w:tcW w:w="1156" w:type="dxa"/>
          </w:tcPr>
          <w:p>
            <w:pPr>
              <w:pStyle w:val="TableParagraph"/>
              <w:spacing w:before="25"/>
              <w:ind w:right="59"/>
              <w:jc w:val="right"/>
              <w:rPr>
                <w:sz w:val="16"/>
              </w:rPr>
            </w:pPr>
            <w:r>
              <w:rPr>
                <w:spacing w:val="-2"/>
                <w:sz w:val="16"/>
              </w:rPr>
              <w:t>235,173</w:t>
            </w:r>
          </w:p>
        </w:tc>
      </w:tr>
      <w:tr>
        <w:trPr>
          <w:trHeight w:val="634" w:hRule="atLeast"/>
        </w:trPr>
        <w:tc>
          <w:tcPr>
            <w:tcW w:w="3597" w:type="dxa"/>
          </w:tcPr>
          <w:p>
            <w:pPr>
              <w:pStyle w:val="TableParagraph"/>
              <w:spacing w:line="249" w:lineRule="auto" w:before="36"/>
              <w:ind w:left="230" w:right="128" w:hanging="180"/>
              <w:rPr>
                <w:sz w:val="16"/>
              </w:rPr>
            </w:pPr>
            <w:r>
              <w:rPr>
                <w:sz w:val="16"/>
              </w:rPr>
              <w:t>Securities sold/lent under repurchase agreements/securities</w:t>
            </w:r>
            <w:r>
              <w:rPr>
                <w:spacing w:val="-12"/>
                <w:sz w:val="16"/>
              </w:rPr>
              <w:t> </w:t>
            </w:r>
            <w:r>
              <w:rPr>
                <w:sz w:val="16"/>
              </w:rPr>
              <w:t>lending</w:t>
            </w:r>
            <w:r>
              <w:rPr>
                <w:spacing w:val="-11"/>
                <w:sz w:val="16"/>
              </w:rPr>
              <w:t> </w:t>
            </w:r>
            <w:r>
              <w:rPr>
                <w:sz w:val="16"/>
              </w:rPr>
              <w:t>agreements and payable for cash collateral received</w:t>
            </w:r>
          </w:p>
        </w:tc>
        <w:tc>
          <w:tcPr>
            <w:tcW w:w="155" w:type="dxa"/>
          </w:tcPr>
          <w:p>
            <w:pPr>
              <w:pStyle w:val="TableParagraph"/>
              <w:rPr>
                <w:rFonts w:ascii="Times New Roman"/>
                <w:sz w:val="18"/>
              </w:rPr>
            </w:pPr>
          </w:p>
        </w:tc>
        <w:tc>
          <w:tcPr>
            <w:tcW w:w="1262" w:type="dxa"/>
          </w:tcPr>
          <w:p>
            <w:pPr>
              <w:pStyle w:val="TableParagraph"/>
              <w:rPr>
                <w:rFonts w:ascii="Arial"/>
                <w:i/>
                <w:sz w:val="16"/>
              </w:rPr>
            </w:pPr>
          </w:p>
          <w:p>
            <w:pPr>
              <w:pStyle w:val="TableParagraph"/>
              <w:spacing w:before="51"/>
              <w:rPr>
                <w:rFonts w:ascii="Arial"/>
                <w:i/>
                <w:sz w:val="16"/>
              </w:rPr>
            </w:pPr>
          </w:p>
          <w:p>
            <w:pPr>
              <w:pStyle w:val="TableParagraph"/>
              <w:spacing w:before="1"/>
              <w:ind w:right="87"/>
              <w:jc w:val="right"/>
              <w:rPr>
                <w:sz w:val="16"/>
              </w:rPr>
            </w:pPr>
            <w:r>
              <w:rPr>
                <w:spacing w:val="-10"/>
                <w:sz w:val="16"/>
              </w:rPr>
              <w:t>9</w:t>
            </w:r>
          </w:p>
        </w:tc>
        <w:tc>
          <w:tcPr>
            <w:tcW w:w="275" w:type="dxa"/>
          </w:tcPr>
          <w:p>
            <w:pPr>
              <w:pStyle w:val="TableParagraph"/>
              <w:rPr>
                <w:rFonts w:ascii="Times New Roman"/>
                <w:sz w:val="18"/>
              </w:rPr>
            </w:pPr>
          </w:p>
        </w:tc>
        <w:tc>
          <w:tcPr>
            <w:tcW w:w="1179" w:type="dxa"/>
          </w:tcPr>
          <w:p>
            <w:pPr>
              <w:pStyle w:val="TableParagraph"/>
              <w:rPr>
                <w:rFonts w:ascii="Arial"/>
                <w:i/>
                <w:sz w:val="16"/>
              </w:rPr>
            </w:pPr>
          </w:p>
          <w:p>
            <w:pPr>
              <w:pStyle w:val="TableParagraph"/>
              <w:spacing w:before="51"/>
              <w:rPr>
                <w:rFonts w:ascii="Arial"/>
                <w:i/>
                <w:sz w:val="16"/>
              </w:rPr>
            </w:pPr>
          </w:p>
          <w:p>
            <w:pPr>
              <w:pStyle w:val="TableParagraph"/>
              <w:spacing w:before="1"/>
              <w:ind w:right="86"/>
              <w:jc w:val="right"/>
              <w:rPr>
                <w:sz w:val="16"/>
              </w:rPr>
            </w:pPr>
            <w:r>
              <w:rPr>
                <w:spacing w:val="-10"/>
                <w:sz w:val="16"/>
              </w:rPr>
              <w:t>9</w:t>
            </w:r>
          </w:p>
        </w:tc>
        <w:tc>
          <w:tcPr>
            <w:tcW w:w="192" w:type="dxa"/>
          </w:tcPr>
          <w:p>
            <w:pPr>
              <w:pStyle w:val="TableParagraph"/>
              <w:rPr>
                <w:rFonts w:ascii="Times New Roman"/>
                <w:sz w:val="18"/>
              </w:rPr>
            </w:pPr>
          </w:p>
        </w:tc>
        <w:tc>
          <w:tcPr>
            <w:tcW w:w="1261" w:type="dxa"/>
          </w:tcPr>
          <w:p>
            <w:pPr>
              <w:pStyle w:val="TableParagraph"/>
              <w:rPr>
                <w:rFonts w:ascii="Arial"/>
                <w:i/>
                <w:sz w:val="16"/>
              </w:rPr>
            </w:pPr>
          </w:p>
          <w:p>
            <w:pPr>
              <w:pStyle w:val="TableParagraph"/>
              <w:spacing w:before="51"/>
              <w:rPr>
                <w:rFonts w:ascii="Arial"/>
                <w:i/>
                <w:sz w:val="16"/>
              </w:rPr>
            </w:pPr>
          </w:p>
          <w:p>
            <w:pPr>
              <w:pStyle w:val="TableParagraph"/>
              <w:spacing w:before="1"/>
              <w:ind w:right="84"/>
              <w:jc w:val="right"/>
              <w:rPr>
                <w:sz w:val="16"/>
              </w:rPr>
            </w:pPr>
            <w:r>
              <w:rPr>
                <w:spacing w:val="-5"/>
                <w:sz w:val="16"/>
              </w:rPr>
              <w:t>37</w:t>
            </w:r>
          </w:p>
        </w:tc>
        <w:tc>
          <w:tcPr>
            <w:tcW w:w="274" w:type="dxa"/>
          </w:tcPr>
          <w:p>
            <w:pPr>
              <w:pStyle w:val="TableParagraph"/>
              <w:rPr>
                <w:rFonts w:ascii="Times New Roman"/>
                <w:sz w:val="18"/>
              </w:rPr>
            </w:pPr>
          </w:p>
        </w:tc>
        <w:tc>
          <w:tcPr>
            <w:tcW w:w="1156" w:type="dxa"/>
          </w:tcPr>
          <w:p>
            <w:pPr>
              <w:pStyle w:val="TableParagraph"/>
              <w:rPr>
                <w:rFonts w:ascii="Arial"/>
                <w:i/>
                <w:sz w:val="16"/>
              </w:rPr>
            </w:pPr>
          </w:p>
          <w:p>
            <w:pPr>
              <w:pStyle w:val="TableParagraph"/>
              <w:spacing w:before="51"/>
              <w:rPr>
                <w:rFonts w:ascii="Arial"/>
                <w:i/>
                <w:sz w:val="16"/>
              </w:rPr>
            </w:pPr>
          </w:p>
          <w:p>
            <w:pPr>
              <w:pStyle w:val="TableParagraph"/>
              <w:spacing w:before="1"/>
              <w:ind w:right="59"/>
              <w:jc w:val="right"/>
              <w:rPr>
                <w:sz w:val="16"/>
              </w:rPr>
            </w:pPr>
            <w:r>
              <w:rPr>
                <w:spacing w:val="-5"/>
                <w:sz w:val="16"/>
              </w:rPr>
              <w:t>37</w:t>
            </w:r>
          </w:p>
        </w:tc>
      </w:tr>
      <w:tr>
        <w:trPr>
          <w:trHeight w:val="209" w:hRule="atLeast"/>
        </w:trPr>
        <w:tc>
          <w:tcPr>
            <w:tcW w:w="3597" w:type="dxa"/>
          </w:tcPr>
          <w:p>
            <w:pPr>
              <w:pStyle w:val="TableParagraph"/>
              <w:spacing w:line="164" w:lineRule="exact" w:before="25"/>
              <w:ind w:left="50"/>
              <w:rPr>
                <w:sz w:val="16"/>
              </w:rPr>
            </w:pPr>
            <w:r>
              <w:rPr>
                <w:sz w:val="16"/>
              </w:rPr>
              <w:t>Derivative</w:t>
            </w:r>
            <w:r>
              <w:rPr>
                <w:spacing w:val="-8"/>
                <w:sz w:val="16"/>
              </w:rPr>
              <w:t> </w:t>
            </w:r>
            <w:r>
              <w:rPr>
                <w:sz w:val="16"/>
              </w:rPr>
              <w:t>liabilities,</w:t>
            </w:r>
            <w:r>
              <w:rPr>
                <w:spacing w:val="-7"/>
                <w:sz w:val="16"/>
              </w:rPr>
              <w:t> </w:t>
            </w:r>
            <w:r>
              <w:rPr>
                <w:spacing w:val="-5"/>
                <w:sz w:val="16"/>
              </w:rPr>
              <w:t>net</w:t>
            </w:r>
          </w:p>
        </w:tc>
        <w:tc>
          <w:tcPr>
            <w:tcW w:w="155" w:type="dxa"/>
          </w:tcPr>
          <w:p>
            <w:pPr>
              <w:pStyle w:val="TableParagraph"/>
              <w:rPr>
                <w:rFonts w:ascii="Times New Roman"/>
                <w:sz w:val="14"/>
              </w:rPr>
            </w:pPr>
          </w:p>
        </w:tc>
        <w:tc>
          <w:tcPr>
            <w:tcW w:w="1262" w:type="dxa"/>
          </w:tcPr>
          <w:p>
            <w:pPr>
              <w:pStyle w:val="TableParagraph"/>
              <w:spacing w:line="164" w:lineRule="exact" w:before="25"/>
              <w:ind w:right="87"/>
              <w:jc w:val="right"/>
              <w:rPr>
                <w:sz w:val="16"/>
              </w:rPr>
            </w:pPr>
            <w:r>
              <w:rPr>
                <w:spacing w:val="-2"/>
                <w:sz w:val="16"/>
              </w:rPr>
              <w:t>26,893</w:t>
            </w:r>
          </w:p>
        </w:tc>
        <w:tc>
          <w:tcPr>
            <w:tcW w:w="275" w:type="dxa"/>
          </w:tcPr>
          <w:p>
            <w:pPr>
              <w:pStyle w:val="TableParagraph"/>
              <w:rPr>
                <w:rFonts w:ascii="Times New Roman"/>
                <w:sz w:val="14"/>
              </w:rPr>
            </w:pPr>
          </w:p>
        </w:tc>
        <w:tc>
          <w:tcPr>
            <w:tcW w:w="1179" w:type="dxa"/>
          </w:tcPr>
          <w:p>
            <w:pPr>
              <w:pStyle w:val="TableParagraph"/>
              <w:spacing w:line="164" w:lineRule="exact" w:before="25"/>
              <w:ind w:right="86"/>
              <w:jc w:val="right"/>
              <w:rPr>
                <w:sz w:val="16"/>
              </w:rPr>
            </w:pPr>
            <w:r>
              <w:rPr>
                <w:spacing w:val="-2"/>
                <w:sz w:val="16"/>
              </w:rPr>
              <w:t>26,893</w:t>
            </w:r>
          </w:p>
        </w:tc>
        <w:tc>
          <w:tcPr>
            <w:tcW w:w="192" w:type="dxa"/>
          </w:tcPr>
          <w:p>
            <w:pPr>
              <w:pStyle w:val="TableParagraph"/>
              <w:rPr>
                <w:rFonts w:ascii="Times New Roman"/>
                <w:sz w:val="14"/>
              </w:rPr>
            </w:pPr>
          </w:p>
        </w:tc>
        <w:tc>
          <w:tcPr>
            <w:tcW w:w="1261" w:type="dxa"/>
          </w:tcPr>
          <w:p>
            <w:pPr>
              <w:pStyle w:val="TableParagraph"/>
              <w:spacing w:line="164" w:lineRule="exact" w:before="25"/>
              <w:ind w:right="84"/>
              <w:jc w:val="right"/>
              <w:rPr>
                <w:sz w:val="16"/>
              </w:rPr>
            </w:pPr>
            <w:r>
              <w:rPr>
                <w:spacing w:val="-2"/>
                <w:sz w:val="16"/>
              </w:rPr>
              <w:t>20,041</w:t>
            </w:r>
          </w:p>
        </w:tc>
        <w:tc>
          <w:tcPr>
            <w:tcW w:w="274" w:type="dxa"/>
          </w:tcPr>
          <w:p>
            <w:pPr>
              <w:pStyle w:val="TableParagraph"/>
              <w:rPr>
                <w:rFonts w:ascii="Times New Roman"/>
                <w:sz w:val="14"/>
              </w:rPr>
            </w:pPr>
          </w:p>
        </w:tc>
        <w:tc>
          <w:tcPr>
            <w:tcW w:w="1156" w:type="dxa"/>
          </w:tcPr>
          <w:p>
            <w:pPr>
              <w:pStyle w:val="TableParagraph"/>
              <w:spacing w:line="164" w:lineRule="exact" w:before="25"/>
              <w:ind w:right="59"/>
              <w:jc w:val="right"/>
              <w:rPr>
                <w:sz w:val="16"/>
              </w:rPr>
            </w:pPr>
            <w:r>
              <w:rPr>
                <w:spacing w:val="-2"/>
                <w:sz w:val="16"/>
              </w:rPr>
              <w:t>20,041</w:t>
            </w:r>
          </w:p>
        </w:tc>
      </w:tr>
    </w:tbl>
    <w:p>
      <w:pPr>
        <w:pStyle w:val="BodyText"/>
        <w:spacing w:before="9"/>
        <w:rPr>
          <w:rFonts w:ascii="Arial"/>
          <w:i/>
        </w:rPr>
      </w:pPr>
      <w:r>
        <w:rPr>
          <w:rFonts w:ascii="Arial"/>
          <w:i/>
        </w:rPr>
        <mc:AlternateContent>
          <mc:Choice Requires="wps">
            <w:drawing>
              <wp:anchor distT="0" distB="0" distL="0" distR="0" allowOverlap="1" layoutInCell="1" locked="0" behindDoc="1" simplePos="0" relativeHeight="487766016">
                <wp:simplePos x="0" y="0"/>
                <wp:positionH relativeFrom="page">
                  <wp:posOffset>914400</wp:posOffset>
                </wp:positionH>
                <wp:positionV relativeFrom="paragraph">
                  <wp:posOffset>167004</wp:posOffset>
                </wp:positionV>
                <wp:extent cx="5943600" cy="1270"/>
                <wp:effectExtent l="0" t="0" r="0" b="0"/>
                <wp:wrapTopAndBottom/>
                <wp:docPr id="1001" name="Graphic 1001"/>
                <wp:cNvGraphicFramePr>
                  <a:graphicFrameLocks/>
                </wp:cNvGraphicFramePr>
                <a:graphic>
                  <a:graphicData uri="http://schemas.microsoft.com/office/word/2010/wordprocessingShape">
                    <wps:wsp>
                      <wps:cNvPr id="1001" name="Graphic 1001"/>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15pt;width:468pt;height:.1pt;mso-position-horizontal-relative:page;mso-position-vertical-relative:paragraph;z-index:-15550464;mso-wrap-distance-left:0;mso-wrap-distance-right:0" id="docshape830" coordorigin="1440,263" coordsize="9360,0" path="m1440,263l10800,263e" filled="false" stroked="true" strokeweight="1pt" strokecolor="#000000">
                <v:path arrowok="t"/>
                <v:stroke dashstyle="solid"/>
                <w10:wrap type="topAndBottom"/>
              </v:shape>
            </w:pict>
          </mc:Fallback>
        </mc:AlternateContent>
      </w:r>
    </w:p>
    <w:p>
      <w:pPr>
        <w:pStyle w:val="BodyText"/>
        <w:spacing w:line="249" w:lineRule="auto" w:before="162"/>
        <w:ind w:left="720" w:right="719"/>
      </w:pPr>
      <w:r>
        <w:rPr/>
        <w:t>As of June 30, 2023, IBRD’s signed loan commitments were $59 billion ($57 billion—June 30, 2022) and had a fair value of $0.5 billion ($0.6 billion—June 30, 2022).</w:t>
      </w:r>
    </w:p>
    <w:p>
      <w:pPr>
        <w:pStyle w:val="BodyText"/>
        <w:spacing w:after="0" w:line="249" w:lineRule="auto"/>
        <w:sectPr>
          <w:headerReference w:type="even" r:id="rId209"/>
          <w:footerReference w:type="even" r:id="rId210"/>
          <w:footerReference w:type="default" r:id="rId211"/>
          <w:pgSz w:w="12240" w:h="15840"/>
          <w:pgMar w:header="0" w:footer="528" w:top="960" w:bottom="720" w:left="720" w:right="720"/>
          <w:pgNumType w:start="130"/>
        </w:sectPr>
      </w:pPr>
    </w:p>
    <w:p>
      <w:pPr>
        <w:pStyle w:val="BodyText"/>
        <w:spacing w:line="249" w:lineRule="auto" w:before="72"/>
        <w:ind w:left="720" w:right="719"/>
        <w:jc w:val="both"/>
      </w:pPr>
      <w:r>
        <w:rPr/>
        <w:t>The following tables present IBRD’s fair value hierarchy for assets and liabilities measured at fair value on a recurring basis. The fair value of other fund investments measured using the NAV as a practical expedient are included in the table below but excluded from the fair value hierarchy.</w:t>
      </w:r>
    </w:p>
    <w:p>
      <w:pPr>
        <w:pStyle w:val="Heading8"/>
        <w:spacing w:before="119"/>
        <w:jc w:val="both"/>
      </w:pPr>
      <w:r>
        <w:rPr/>
        <w:t>Table</w:t>
      </w:r>
      <w:r>
        <w:rPr>
          <w:spacing w:val="-4"/>
        </w:rPr>
        <w:t> </w:t>
      </w:r>
      <w:r>
        <w:rPr/>
        <w:t>L2:</w:t>
      </w:r>
      <w:r>
        <w:rPr>
          <w:spacing w:val="-3"/>
        </w:rPr>
        <w:t> </w:t>
      </w:r>
      <w:r>
        <w:rPr/>
        <w:t>Fair</w:t>
      </w:r>
      <w:r>
        <w:rPr>
          <w:spacing w:val="-3"/>
        </w:rPr>
        <w:t> </w:t>
      </w:r>
      <w:r>
        <w:rPr/>
        <w:t>value</w:t>
      </w:r>
      <w:r>
        <w:rPr>
          <w:spacing w:val="-4"/>
        </w:rPr>
        <w:t> </w:t>
      </w:r>
      <w:r>
        <w:rPr/>
        <w:t>hierarchy</w:t>
      </w:r>
      <w:r>
        <w:rPr>
          <w:spacing w:val="-2"/>
        </w:rPr>
        <w:t> </w:t>
      </w:r>
      <w:r>
        <w:rPr/>
        <w:t>of</w:t>
      </w:r>
      <w:r>
        <w:rPr>
          <w:spacing w:val="-3"/>
        </w:rPr>
        <w:t> </w:t>
      </w:r>
      <w:r>
        <w:rPr/>
        <w:t>IBRD’s</w:t>
      </w:r>
      <w:r>
        <w:rPr>
          <w:spacing w:val="-3"/>
        </w:rPr>
        <w:t> </w:t>
      </w:r>
      <w:r>
        <w:rPr/>
        <w:t>assets</w:t>
      </w:r>
      <w:r>
        <w:rPr>
          <w:spacing w:val="-4"/>
        </w:rPr>
        <w:t> </w:t>
      </w:r>
      <w:r>
        <w:rPr/>
        <w:t>and</w:t>
      </w:r>
      <w:r>
        <w:rPr>
          <w:spacing w:val="-3"/>
        </w:rPr>
        <w:t> </w:t>
      </w:r>
      <w:r>
        <w:rPr>
          <w:spacing w:val="-2"/>
        </w:rPr>
        <w:t>liabilities</w:t>
      </w:r>
    </w:p>
    <w:p>
      <w:pPr>
        <w:spacing w:before="88"/>
        <w:ind w:left="772" w:right="0" w:firstLine="0"/>
        <w:jc w:val="both"/>
        <w:rPr>
          <w:rFonts w:ascii="Arial"/>
          <w:i/>
          <w:sz w:val="16"/>
        </w:rPr>
      </w:pPr>
      <w:r>
        <w:rPr>
          <w:rFonts w:ascii="Arial"/>
          <w:i/>
          <w:sz w:val="16"/>
        </w:rPr>
        <mc:AlternateContent>
          <mc:Choice Requires="wps">
            <w:drawing>
              <wp:anchor distT="0" distB="0" distL="0" distR="0" allowOverlap="1" layoutInCell="1" locked="0" behindDoc="1" simplePos="0" relativeHeight="487766528">
                <wp:simplePos x="0" y="0"/>
                <wp:positionH relativeFrom="page">
                  <wp:posOffset>914400</wp:posOffset>
                </wp:positionH>
                <wp:positionV relativeFrom="paragraph">
                  <wp:posOffset>191440</wp:posOffset>
                </wp:positionV>
                <wp:extent cx="5943600" cy="1270"/>
                <wp:effectExtent l="0" t="0" r="0" b="0"/>
                <wp:wrapTopAndBottom/>
                <wp:docPr id="1002" name="Graphic 1002"/>
                <wp:cNvGraphicFramePr>
                  <a:graphicFrameLocks/>
                </wp:cNvGraphicFramePr>
                <a:graphic>
                  <a:graphicData uri="http://schemas.microsoft.com/office/word/2010/wordprocessingShape">
                    <wps:wsp>
                      <wps:cNvPr id="1002" name="Graphic 1002"/>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74023pt;width:468pt;height:.1pt;mso-position-horizontal-relative:page;mso-position-vertical-relative:paragraph;z-index:-15549952;mso-wrap-distance-left:0;mso-wrap-distance-right:0" id="docshape831" coordorigin="1440,301" coordsize="9360,0" path="m1440,301l10800,301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line="312" w:lineRule="auto" w:before="16"/>
        <w:ind w:left="6693" w:right="1636" w:hanging="1172"/>
        <w:jc w:val="left"/>
        <w:rPr>
          <w:rFonts w:ascii="Arial"/>
          <w:i/>
          <w:sz w:val="16"/>
        </w:rPr>
      </w:pPr>
      <w:r>
        <w:rPr>
          <w:rFonts w:ascii="Arial"/>
          <w:i/>
          <w:sz w:val="16"/>
        </w:rPr>
        <w:t>Fair</w:t>
      </w:r>
      <w:r>
        <w:rPr>
          <w:rFonts w:ascii="Arial"/>
          <w:i/>
          <w:spacing w:val="-7"/>
          <w:sz w:val="16"/>
        </w:rPr>
        <w:t> </w:t>
      </w:r>
      <w:r>
        <w:rPr>
          <w:rFonts w:ascii="Arial"/>
          <w:i/>
          <w:sz w:val="16"/>
        </w:rPr>
        <w:t>Value</w:t>
      </w:r>
      <w:r>
        <w:rPr>
          <w:rFonts w:ascii="Arial"/>
          <w:i/>
          <w:spacing w:val="-8"/>
          <w:sz w:val="16"/>
        </w:rPr>
        <w:t> </w:t>
      </w:r>
      <w:r>
        <w:rPr>
          <w:rFonts w:ascii="Arial"/>
          <w:i/>
          <w:sz w:val="16"/>
        </w:rPr>
        <w:t>Measurements</w:t>
      </w:r>
      <w:r>
        <w:rPr>
          <w:rFonts w:ascii="Arial"/>
          <w:i/>
          <w:spacing w:val="-7"/>
          <w:sz w:val="16"/>
        </w:rPr>
        <w:t> </w:t>
      </w:r>
      <w:r>
        <w:rPr>
          <w:rFonts w:ascii="Arial"/>
          <w:i/>
          <w:sz w:val="16"/>
        </w:rPr>
        <w:t>on</w:t>
      </w:r>
      <w:r>
        <w:rPr>
          <w:rFonts w:ascii="Arial"/>
          <w:i/>
          <w:spacing w:val="-8"/>
          <w:sz w:val="16"/>
        </w:rPr>
        <w:t> </w:t>
      </w:r>
      <w:r>
        <w:rPr>
          <w:rFonts w:ascii="Arial"/>
          <w:i/>
          <w:sz w:val="16"/>
        </w:rPr>
        <w:t>a</w:t>
      </w:r>
      <w:r>
        <w:rPr>
          <w:rFonts w:ascii="Arial"/>
          <w:i/>
          <w:spacing w:val="-8"/>
          <w:sz w:val="16"/>
        </w:rPr>
        <w:t> </w:t>
      </w:r>
      <w:r>
        <w:rPr>
          <w:rFonts w:ascii="Arial"/>
          <w:i/>
          <w:sz w:val="16"/>
        </w:rPr>
        <w:t>Recurring</w:t>
      </w:r>
      <w:r>
        <w:rPr>
          <w:rFonts w:ascii="Arial"/>
          <w:i/>
          <w:spacing w:val="-8"/>
          <w:sz w:val="16"/>
        </w:rPr>
        <w:t> </w:t>
      </w:r>
      <w:r>
        <w:rPr>
          <w:rFonts w:ascii="Arial"/>
          <w:i/>
          <w:sz w:val="16"/>
        </w:rPr>
        <w:t>Basis June 30, 2023</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0"/>
        <w:gridCol w:w="654"/>
        <w:gridCol w:w="2218"/>
        <w:gridCol w:w="328"/>
        <w:gridCol w:w="1164"/>
        <w:gridCol w:w="1395"/>
      </w:tblGrid>
      <w:tr>
        <w:trPr>
          <w:trHeight w:val="220" w:hRule="atLeast"/>
        </w:trPr>
        <w:tc>
          <w:tcPr>
            <w:tcW w:w="3600" w:type="dxa"/>
          </w:tcPr>
          <w:p>
            <w:pPr>
              <w:pStyle w:val="TableParagraph"/>
              <w:rPr>
                <w:rFonts w:ascii="Times New Roman"/>
                <w:sz w:val="14"/>
              </w:rPr>
            </w:pPr>
          </w:p>
        </w:tc>
        <w:tc>
          <w:tcPr>
            <w:tcW w:w="2872" w:type="dxa"/>
            <w:gridSpan w:val="2"/>
            <w:tcBorders>
              <w:top w:val="single" w:sz="8" w:space="0" w:color="000000"/>
              <w:bottom w:val="single" w:sz="8" w:space="0" w:color="000000"/>
            </w:tcBorders>
          </w:tcPr>
          <w:p>
            <w:pPr>
              <w:pStyle w:val="TableParagraph"/>
              <w:tabs>
                <w:tab w:pos="1894" w:val="left" w:leader="none"/>
              </w:tabs>
              <w:spacing w:line="176" w:lineRule="exact"/>
              <w:ind w:left="440"/>
              <w:rPr>
                <w:rFonts w:ascii="Arial"/>
                <w:i/>
                <w:sz w:val="16"/>
              </w:rPr>
            </w:pPr>
            <w:r>
              <w:rPr>
                <w:rFonts w:ascii="Arial"/>
                <w:i/>
                <w:sz w:val="16"/>
              </w:rPr>
              <w:t>Level</w:t>
            </w:r>
            <w:r>
              <w:rPr>
                <w:rFonts w:ascii="Arial"/>
                <w:i/>
                <w:spacing w:val="-3"/>
                <w:sz w:val="16"/>
              </w:rPr>
              <w:t> </w:t>
            </w:r>
            <w:r>
              <w:rPr>
                <w:rFonts w:ascii="Arial"/>
                <w:i/>
                <w:spacing w:val="-10"/>
                <w:sz w:val="16"/>
              </w:rPr>
              <w:t>1</w:t>
            </w:r>
            <w:r>
              <w:rPr>
                <w:rFonts w:ascii="Arial"/>
                <w:i/>
                <w:sz w:val="16"/>
              </w:rPr>
              <w:tab/>
              <w:t>Level</w:t>
            </w:r>
            <w:r>
              <w:rPr>
                <w:rFonts w:ascii="Arial"/>
                <w:i/>
                <w:spacing w:val="-3"/>
                <w:sz w:val="16"/>
              </w:rPr>
              <w:t> </w:t>
            </w:r>
            <w:r>
              <w:rPr>
                <w:rFonts w:ascii="Arial"/>
                <w:i/>
                <w:spacing w:val="-10"/>
                <w:sz w:val="16"/>
              </w:rPr>
              <w:t>2</w:t>
            </w:r>
          </w:p>
        </w:tc>
        <w:tc>
          <w:tcPr>
            <w:tcW w:w="328" w:type="dxa"/>
            <w:tcBorders>
              <w:top w:val="single" w:sz="8" w:space="0" w:color="000000"/>
              <w:bottom w:val="single" w:sz="8" w:space="0" w:color="000000"/>
            </w:tcBorders>
          </w:tcPr>
          <w:p>
            <w:pPr>
              <w:pStyle w:val="TableParagraph"/>
              <w:rPr>
                <w:rFonts w:ascii="Times New Roman"/>
                <w:sz w:val="14"/>
              </w:rPr>
            </w:pPr>
          </w:p>
        </w:tc>
        <w:tc>
          <w:tcPr>
            <w:tcW w:w="1164" w:type="dxa"/>
            <w:tcBorders>
              <w:top w:val="single" w:sz="8" w:space="0" w:color="000000"/>
              <w:bottom w:val="single" w:sz="8" w:space="0" w:color="000000"/>
            </w:tcBorders>
          </w:tcPr>
          <w:p>
            <w:pPr>
              <w:pStyle w:val="TableParagraph"/>
              <w:spacing w:line="176" w:lineRule="exact"/>
              <w:ind w:left="150"/>
              <w:rPr>
                <w:rFonts w:ascii="Arial"/>
                <w:i/>
                <w:sz w:val="16"/>
              </w:rPr>
            </w:pPr>
            <w:r>
              <w:rPr>
                <w:rFonts w:ascii="Arial"/>
                <w:i/>
                <w:sz w:val="16"/>
              </w:rPr>
              <w:t>Level</w:t>
            </w:r>
            <w:r>
              <w:rPr>
                <w:rFonts w:ascii="Arial"/>
                <w:i/>
                <w:spacing w:val="-3"/>
                <w:sz w:val="16"/>
              </w:rPr>
              <w:t> </w:t>
            </w:r>
            <w:r>
              <w:rPr>
                <w:rFonts w:ascii="Arial"/>
                <w:i/>
                <w:spacing w:val="-10"/>
                <w:sz w:val="16"/>
              </w:rPr>
              <w:t>3</w:t>
            </w:r>
          </w:p>
        </w:tc>
        <w:tc>
          <w:tcPr>
            <w:tcW w:w="1395" w:type="dxa"/>
            <w:tcBorders>
              <w:top w:val="single" w:sz="8" w:space="0" w:color="000000"/>
              <w:bottom w:val="single" w:sz="8" w:space="0" w:color="000000"/>
            </w:tcBorders>
          </w:tcPr>
          <w:p>
            <w:pPr>
              <w:pStyle w:val="TableParagraph"/>
              <w:spacing w:line="176" w:lineRule="exact"/>
              <w:ind w:left="2"/>
              <w:jc w:val="center"/>
              <w:rPr>
                <w:rFonts w:ascii="Arial"/>
                <w:i/>
                <w:sz w:val="16"/>
              </w:rPr>
            </w:pPr>
            <w:r>
              <w:rPr>
                <w:rFonts w:ascii="Arial"/>
                <w:i/>
                <w:spacing w:val="-2"/>
                <w:sz w:val="16"/>
              </w:rPr>
              <w:t>Total</w:t>
            </w:r>
          </w:p>
        </w:tc>
      </w:tr>
      <w:tr>
        <w:trPr>
          <w:trHeight w:val="230" w:hRule="atLeast"/>
        </w:trPr>
        <w:tc>
          <w:tcPr>
            <w:tcW w:w="3600" w:type="dxa"/>
          </w:tcPr>
          <w:p>
            <w:pPr>
              <w:pStyle w:val="TableParagraph"/>
              <w:spacing w:line="176" w:lineRule="exact"/>
              <w:ind w:left="52"/>
              <w:rPr>
                <w:rFonts w:ascii="Arial"/>
                <w:b/>
                <w:sz w:val="16"/>
              </w:rPr>
            </w:pPr>
            <w:r>
              <w:rPr>
                <w:rFonts w:ascii="Arial"/>
                <w:b/>
                <w:spacing w:val="-2"/>
                <w:sz w:val="16"/>
              </w:rPr>
              <w:t>Assets:</w:t>
            </w:r>
          </w:p>
        </w:tc>
        <w:tc>
          <w:tcPr>
            <w:tcW w:w="2872" w:type="dxa"/>
            <w:gridSpan w:val="2"/>
            <w:tcBorders>
              <w:top w:val="single" w:sz="8" w:space="0" w:color="000000"/>
            </w:tcBorders>
          </w:tcPr>
          <w:p>
            <w:pPr>
              <w:pStyle w:val="TableParagraph"/>
              <w:rPr>
                <w:rFonts w:ascii="Times New Roman"/>
                <w:sz w:val="16"/>
              </w:rPr>
            </w:pPr>
          </w:p>
        </w:tc>
        <w:tc>
          <w:tcPr>
            <w:tcW w:w="328" w:type="dxa"/>
            <w:tcBorders>
              <w:top w:val="single" w:sz="8" w:space="0" w:color="000000"/>
            </w:tcBorders>
          </w:tcPr>
          <w:p>
            <w:pPr>
              <w:pStyle w:val="TableParagraph"/>
              <w:rPr>
                <w:rFonts w:ascii="Times New Roman"/>
                <w:sz w:val="16"/>
              </w:rPr>
            </w:pPr>
          </w:p>
        </w:tc>
        <w:tc>
          <w:tcPr>
            <w:tcW w:w="1164" w:type="dxa"/>
            <w:tcBorders>
              <w:top w:val="single" w:sz="8" w:space="0" w:color="000000"/>
            </w:tcBorders>
          </w:tcPr>
          <w:p>
            <w:pPr>
              <w:pStyle w:val="TableParagraph"/>
              <w:rPr>
                <w:rFonts w:ascii="Times New Roman"/>
                <w:sz w:val="16"/>
              </w:rPr>
            </w:pPr>
          </w:p>
        </w:tc>
        <w:tc>
          <w:tcPr>
            <w:tcW w:w="1395" w:type="dxa"/>
            <w:tcBorders>
              <w:top w:val="single" w:sz="8" w:space="0" w:color="000000"/>
            </w:tcBorders>
          </w:tcPr>
          <w:p>
            <w:pPr>
              <w:pStyle w:val="TableParagraph"/>
              <w:rPr>
                <w:rFonts w:ascii="Times New Roman"/>
                <w:sz w:val="16"/>
              </w:rPr>
            </w:pPr>
          </w:p>
        </w:tc>
      </w:tr>
      <w:tr>
        <w:trPr>
          <w:trHeight w:val="240" w:hRule="atLeast"/>
        </w:trPr>
        <w:tc>
          <w:tcPr>
            <w:tcW w:w="3600" w:type="dxa"/>
          </w:tcPr>
          <w:p>
            <w:pPr>
              <w:pStyle w:val="TableParagraph"/>
              <w:spacing w:before="1"/>
              <w:ind w:left="52"/>
              <w:rPr>
                <w:sz w:val="16"/>
              </w:rPr>
            </w:pPr>
            <w:r>
              <w:rPr>
                <w:spacing w:val="-2"/>
                <w:sz w:val="16"/>
              </w:rPr>
              <w:t>Investments-Trading</w:t>
            </w:r>
          </w:p>
        </w:tc>
        <w:tc>
          <w:tcPr>
            <w:tcW w:w="2872" w:type="dxa"/>
            <w:gridSpan w:val="2"/>
          </w:tcPr>
          <w:p>
            <w:pPr>
              <w:pStyle w:val="TableParagraph"/>
              <w:rPr>
                <w:rFonts w:ascii="Times New Roman"/>
                <w:sz w:val="16"/>
              </w:rPr>
            </w:pPr>
          </w:p>
        </w:tc>
        <w:tc>
          <w:tcPr>
            <w:tcW w:w="328" w:type="dxa"/>
          </w:tcPr>
          <w:p>
            <w:pPr>
              <w:pStyle w:val="TableParagraph"/>
              <w:rPr>
                <w:rFonts w:ascii="Times New Roman"/>
                <w:sz w:val="16"/>
              </w:rPr>
            </w:pPr>
          </w:p>
        </w:tc>
        <w:tc>
          <w:tcPr>
            <w:tcW w:w="1164" w:type="dxa"/>
          </w:tcPr>
          <w:p>
            <w:pPr>
              <w:pStyle w:val="TableParagraph"/>
              <w:rPr>
                <w:rFonts w:ascii="Times New Roman"/>
                <w:sz w:val="16"/>
              </w:rPr>
            </w:pPr>
          </w:p>
        </w:tc>
        <w:tc>
          <w:tcPr>
            <w:tcW w:w="1395" w:type="dxa"/>
          </w:tcPr>
          <w:p>
            <w:pPr>
              <w:pStyle w:val="TableParagraph"/>
              <w:rPr>
                <w:rFonts w:ascii="Times New Roman"/>
                <w:sz w:val="16"/>
              </w:rPr>
            </w:pPr>
          </w:p>
        </w:tc>
      </w:tr>
      <w:tr>
        <w:trPr>
          <w:trHeight w:val="240" w:hRule="atLeast"/>
        </w:trPr>
        <w:tc>
          <w:tcPr>
            <w:tcW w:w="3600" w:type="dxa"/>
          </w:tcPr>
          <w:p>
            <w:pPr>
              <w:pStyle w:val="TableParagraph"/>
              <w:spacing w:before="1"/>
              <w:ind w:left="412"/>
              <w:rPr>
                <w:sz w:val="16"/>
              </w:rPr>
            </w:pPr>
            <w:r>
              <w:rPr>
                <w:sz w:val="16"/>
              </w:rPr>
              <w:t>Government</w:t>
            </w:r>
            <w:r>
              <w:rPr>
                <w:spacing w:val="-4"/>
                <w:sz w:val="16"/>
              </w:rPr>
              <w:t> </w:t>
            </w:r>
            <w:r>
              <w:rPr>
                <w:sz w:val="16"/>
              </w:rPr>
              <w:t>and</w:t>
            </w:r>
            <w:r>
              <w:rPr>
                <w:spacing w:val="-5"/>
                <w:sz w:val="16"/>
              </w:rPr>
              <w:t> </w:t>
            </w:r>
            <w:r>
              <w:rPr>
                <w:sz w:val="16"/>
              </w:rPr>
              <w:t>agency</w:t>
            </w:r>
            <w:r>
              <w:rPr>
                <w:spacing w:val="-3"/>
                <w:sz w:val="16"/>
              </w:rPr>
              <w:t> </w:t>
            </w:r>
            <w:r>
              <w:rPr>
                <w:spacing w:val="-2"/>
                <w:sz w:val="16"/>
              </w:rPr>
              <w:t>obligations</w:t>
            </w:r>
          </w:p>
        </w:tc>
        <w:tc>
          <w:tcPr>
            <w:tcW w:w="2872" w:type="dxa"/>
            <w:gridSpan w:val="2"/>
          </w:tcPr>
          <w:p>
            <w:pPr>
              <w:pStyle w:val="TableParagraph"/>
              <w:tabs>
                <w:tab w:pos="838" w:val="left" w:leader="none"/>
                <w:tab w:pos="2293" w:val="left" w:leader="none"/>
              </w:tabs>
              <w:spacing w:before="1"/>
              <w:ind w:left="52"/>
              <w:rPr>
                <w:sz w:val="16"/>
              </w:rPr>
            </w:pPr>
            <w:r>
              <w:rPr>
                <w:spacing w:val="-10"/>
                <w:sz w:val="16"/>
              </w:rPr>
              <w:t>$</w:t>
            </w:r>
            <w:r>
              <w:rPr>
                <w:sz w:val="16"/>
              </w:rPr>
              <w:tab/>
              <w:t>12,651</w:t>
            </w:r>
            <w:r>
              <w:rPr>
                <w:spacing w:val="43"/>
                <w:sz w:val="16"/>
              </w:rPr>
              <w:t>  </w:t>
            </w:r>
            <w:r>
              <w:rPr>
                <w:spacing w:val="-10"/>
                <w:sz w:val="16"/>
              </w:rPr>
              <w:t>$</w:t>
            </w:r>
            <w:r>
              <w:rPr>
                <w:sz w:val="16"/>
              </w:rPr>
              <w:tab/>
            </w:r>
            <w:r>
              <w:rPr>
                <w:spacing w:val="-2"/>
                <w:sz w:val="16"/>
              </w:rPr>
              <w:t>26,395</w:t>
            </w:r>
          </w:p>
        </w:tc>
        <w:tc>
          <w:tcPr>
            <w:tcW w:w="328" w:type="dxa"/>
          </w:tcPr>
          <w:p>
            <w:pPr>
              <w:pStyle w:val="TableParagraph"/>
              <w:spacing w:before="1"/>
              <w:ind w:right="55"/>
              <w:jc w:val="center"/>
              <w:rPr>
                <w:sz w:val="16"/>
              </w:rPr>
            </w:pPr>
            <w:r>
              <w:rPr>
                <w:spacing w:val="-10"/>
                <w:sz w:val="16"/>
              </w:rPr>
              <w:t>$</w:t>
            </w:r>
          </w:p>
        </w:tc>
        <w:tc>
          <w:tcPr>
            <w:tcW w:w="1164" w:type="dxa"/>
          </w:tcPr>
          <w:p>
            <w:pPr>
              <w:pStyle w:val="TableParagraph"/>
              <w:spacing w:before="1"/>
              <w:ind w:right="125"/>
              <w:jc w:val="right"/>
              <w:rPr>
                <w:sz w:val="16"/>
              </w:rPr>
            </w:pPr>
            <w:r>
              <w:rPr>
                <w:sz w:val="16"/>
              </w:rPr>
              <w:t>—</w:t>
            </w:r>
          </w:p>
        </w:tc>
        <w:tc>
          <w:tcPr>
            <w:tcW w:w="1395" w:type="dxa"/>
          </w:tcPr>
          <w:p>
            <w:pPr>
              <w:pStyle w:val="TableParagraph"/>
              <w:tabs>
                <w:tab w:pos="785" w:val="left" w:leader="none"/>
              </w:tabs>
              <w:spacing w:before="1"/>
              <w:ind w:right="64"/>
              <w:jc w:val="right"/>
              <w:rPr>
                <w:sz w:val="16"/>
              </w:rPr>
            </w:pPr>
            <w:r>
              <w:rPr>
                <w:spacing w:val="-10"/>
                <w:sz w:val="16"/>
              </w:rPr>
              <w:t>$</w:t>
            </w:r>
            <w:r>
              <w:rPr>
                <w:sz w:val="16"/>
              </w:rPr>
              <w:tab/>
            </w:r>
            <w:r>
              <w:rPr>
                <w:spacing w:val="-2"/>
                <w:sz w:val="16"/>
              </w:rPr>
              <w:t>39,046</w:t>
            </w:r>
          </w:p>
        </w:tc>
      </w:tr>
      <w:tr>
        <w:trPr>
          <w:trHeight w:val="240" w:hRule="atLeast"/>
        </w:trPr>
        <w:tc>
          <w:tcPr>
            <w:tcW w:w="3600" w:type="dxa"/>
          </w:tcPr>
          <w:p>
            <w:pPr>
              <w:pStyle w:val="TableParagraph"/>
              <w:spacing w:before="1"/>
              <w:ind w:left="412"/>
              <w:rPr>
                <w:sz w:val="16"/>
              </w:rPr>
            </w:pPr>
            <w:r>
              <w:rPr>
                <w:sz w:val="16"/>
              </w:rPr>
              <w:t>Time</w:t>
            </w:r>
            <w:r>
              <w:rPr>
                <w:spacing w:val="-8"/>
                <w:sz w:val="16"/>
              </w:rPr>
              <w:t> </w:t>
            </w:r>
            <w:r>
              <w:rPr>
                <w:spacing w:val="-2"/>
                <w:sz w:val="16"/>
              </w:rPr>
              <w:t>deposits</w:t>
            </w:r>
          </w:p>
        </w:tc>
        <w:tc>
          <w:tcPr>
            <w:tcW w:w="2872" w:type="dxa"/>
            <w:gridSpan w:val="2"/>
          </w:tcPr>
          <w:p>
            <w:pPr>
              <w:pStyle w:val="TableParagraph"/>
              <w:tabs>
                <w:tab w:pos="2293" w:val="left" w:leader="none"/>
              </w:tabs>
              <w:spacing w:before="1"/>
              <w:ind w:left="927"/>
              <w:rPr>
                <w:sz w:val="16"/>
              </w:rPr>
            </w:pPr>
            <w:r>
              <w:rPr>
                <w:spacing w:val="-2"/>
                <w:sz w:val="16"/>
              </w:rPr>
              <w:t>1,992</w:t>
            </w:r>
            <w:r>
              <w:rPr>
                <w:sz w:val="16"/>
              </w:rPr>
              <w:tab/>
            </w:r>
            <w:r>
              <w:rPr>
                <w:spacing w:val="-2"/>
                <w:sz w:val="16"/>
              </w:rPr>
              <w:t>34,817</w:t>
            </w:r>
          </w:p>
        </w:tc>
        <w:tc>
          <w:tcPr>
            <w:tcW w:w="328" w:type="dxa"/>
          </w:tcPr>
          <w:p>
            <w:pPr>
              <w:pStyle w:val="TableParagraph"/>
              <w:rPr>
                <w:rFonts w:ascii="Times New Roman"/>
                <w:sz w:val="16"/>
              </w:rPr>
            </w:pPr>
          </w:p>
        </w:tc>
        <w:tc>
          <w:tcPr>
            <w:tcW w:w="1164" w:type="dxa"/>
          </w:tcPr>
          <w:p>
            <w:pPr>
              <w:pStyle w:val="TableParagraph"/>
              <w:spacing w:before="1"/>
              <w:ind w:right="125"/>
              <w:jc w:val="right"/>
              <w:rPr>
                <w:sz w:val="16"/>
              </w:rPr>
            </w:pPr>
            <w:r>
              <w:rPr>
                <w:sz w:val="16"/>
              </w:rPr>
              <w:t>—</w:t>
            </w:r>
          </w:p>
        </w:tc>
        <w:tc>
          <w:tcPr>
            <w:tcW w:w="1395" w:type="dxa"/>
          </w:tcPr>
          <w:p>
            <w:pPr>
              <w:pStyle w:val="TableParagraph"/>
              <w:spacing w:before="1"/>
              <w:ind w:right="64"/>
              <w:jc w:val="right"/>
              <w:rPr>
                <w:sz w:val="16"/>
              </w:rPr>
            </w:pPr>
            <w:r>
              <w:rPr>
                <w:spacing w:val="-2"/>
                <w:sz w:val="16"/>
              </w:rPr>
              <w:t>36,809</w:t>
            </w:r>
          </w:p>
        </w:tc>
      </w:tr>
      <w:tr>
        <w:trPr>
          <w:trHeight w:val="229" w:hRule="atLeast"/>
        </w:trPr>
        <w:tc>
          <w:tcPr>
            <w:tcW w:w="3600" w:type="dxa"/>
          </w:tcPr>
          <w:p>
            <w:pPr>
              <w:pStyle w:val="TableParagraph"/>
              <w:spacing w:before="1"/>
              <w:ind w:left="412"/>
              <w:rPr>
                <w:sz w:val="16"/>
              </w:rPr>
            </w:pPr>
            <w:r>
              <w:rPr>
                <w:spacing w:val="-5"/>
                <w:sz w:val="16"/>
              </w:rPr>
              <w:t>ABS</w:t>
            </w:r>
          </w:p>
        </w:tc>
        <w:tc>
          <w:tcPr>
            <w:tcW w:w="2872" w:type="dxa"/>
            <w:gridSpan w:val="2"/>
          </w:tcPr>
          <w:p>
            <w:pPr>
              <w:pStyle w:val="TableParagraph"/>
              <w:tabs>
                <w:tab w:pos="2382" w:val="left" w:leader="none"/>
              </w:tabs>
              <w:spacing w:before="1"/>
              <w:ind w:left="1166"/>
              <w:rPr>
                <w:sz w:val="16"/>
              </w:rPr>
            </w:pPr>
            <w:r>
              <w:rPr>
                <w:sz w:val="16"/>
              </w:rPr>
              <w:t>—</w:t>
              <w:tab/>
            </w:r>
            <w:r>
              <w:rPr>
                <w:spacing w:val="-4"/>
                <w:sz w:val="16"/>
              </w:rPr>
              <w:t>1,087</w:t>
            </w:r>
          </w:p>
        </w:tc>
        <w:tc>
          <w:tcPr>
            <w:tcW w:w="328" w:type="dxa"/>
          </w:tcPr>
          <w:p>
            <w:pPr>
              <w:pStyle w:val="TableParagraph"/>
              <w:rPr>
                <w:rFonts w:ascii="Times New Roman"/>
                <w:sz w:val="16"/>
              </w:rPr>
            </w:pPr>
          </w:p>
        </w:tc>
        <w:tc>
          <w:tcPr>
            <w:tcW w:w="1164" w:type="dxa"/>
          </w:tcPr>
          <w:p>
            <w:pPr>
              <w:pStyle w:val="TableParagraph"/>
              <w:spacing w:before="1"/>
              <w:ind w:right="125"/>
              <w:jc w:val="right"/>
              <w:rPr>
                <w:sz w:val="16"/>
              </w:rPr>
            </w:pPr>
            <w:r>
              <w:rPr>
                <w:sz w:val="16"/>
              </w:rPr>
              <w:t>—</w:t>
            </w:r>
          </w:p>
        </w:tc>
        <w:tc>
          <w:tcPr>
            <w:tcW w:w="1395" w:type="dxa"/>
          </w:tcPr>
          <w:p>
            <w:pPr>
              <w:pStyle w:val="TableParagraph"/>
              <w:spacing w:before="1"/>
              <w:ind w:right="64"/>
              <w:jc w:val="right"/>
              <w:rPr>
                <w:sz w:val="16"/>
              </w:rPr>
            </w:pPr>
            <w:r>
              <w:rPr>
                <w:spacing w:val="-2"/>
                <w:sz w:val="16"/>
              </w:rPr>
              <w:t>1,087</w:t>
            </w:r>
          </w:p>
        </w:tc>
      </w:tr>
      <w:tr>
        <w:trPr>
          <w:trHeight w:val="250" w:hRule="atLeast"/>
        </w:trPr>
        <w:tc>
          <w:tcPr>
            <w:tcW w:w="3600" w:type="dxa"/>
          </w:tcPr>
          <w:p>
            <w:pPr>
              <w:pStyle w:val="TableParagraph"/>
              <w:spacing w:before="12"/>
              <w:ind w:left="412"/>
              <w:rPr>
                <w:sz w:val="16"/>
              </w:rPr>
            </w:pPr>
            <w:r>
              <w:rPr>
                <w:sz w:val="16"/>
              </w:rPr>
              <w:t>Other</w:t>
            </w:r>
            <w:r>
              <w:rPr>
                <w:spacing w:val="-4"/>
                <w:sz w:val="16"/>
              </w:rPr>
              <w:t> </w:t>
            </w:r>
            <w:r>
              <w:rPr>
                <w:sz w:val="16"/>
              </w:rPr>
              <w:t>fund</w:t>
            </w:r>
            <w:r>
              <w:rPr>
                <w:spacing w:val="-4"/>
                <w:sz w:val="16"/>
              </w:rPr>
              <w:t> </w:t>
            </w:r>
            <w:r>
              <w:rPr>
                <w:sz w:val="16"/>
              </w:rPr>
              <w:t>investments</w:t>
            </w:r>
            <w:r>
              <w:rPr>
                <w:spacing w:val="-3"/>
                <w:sz w:val="16"/>
              </w:rPr>
              <w:t> </w:t>
            </w:r>
            <w:r>
              <w:rPr>
                <w:spacing w:val="-10"/>
                <w:sz w:val="16"/>
                <w:vertAlign w:val="superscript"/>
              </w:rPr>
              <w:t>a</w:t>
            </w:r>
          </w:p>
        </w:tc>
        <w:tc>
          <w:tcPr>
            <w:tcW w:w="2872" w:type="dxa"/>
            <w:gridSpan w:val="2"/>
          </w:tcPr>
          <w:p>
            <w:pPr>
              <w:pStyle w:val="TableParagraph"/>
              <w:tabs>
                <w:tab w:pos="2621" w:val="left" w:leader="none"/>
              </w:tabs>
              <w:spacing w:before="12"/>
              <w:ind w:left="1166"/>
              <w:rPr>
                <w:sz w:val="16"/>
              </w:rPr>
            </w:pPr>
            <w:r>
              <w:rPr>
                <w:sz w:val="16"/>
              </w:rPr>
              <w:t>—</w:t>
              <w:tab/>
              <w:t>—</w:t>
            </w:r>
          </w:p>
        </w:tc>
        <w:tc>
          <w:tcPr>
            <w:tcW w:w="328" w:type="dxa"/>
          </w:tcPr>
          <w:p>
            <w:pPr>
              <w:pStyle w:val="TableParagraph"/>
              <w:rPr>
                <w:rFonts w:ascii="Times New Roman"/>
                <w:sz w:val="16"/>
              </w:rPr>
            </w:pPr>
          </w:p>
        </w:tc>
        <w:tc>
          <w:tcPr>
            <w:tcW w:w="1164" w:type="dxa"/>
          </w:tcPr>
          <w:p>
            <w:pPr>
              <w:pStyle w:val="TableParagraph"/>
              <w:spacing w:before="12"/>
              <w:ind w:right="125"/>
              <w:jc w:val="right"/>
              <w:rPr>
                <w:sz w:val="16"/>
              </w:rPr>
            </w:pPr>
            <w:r>
              <w:rPr>
                <w:sz w:val="16"/>
              </w:rPr>
              <w:t>—</w:t>
            </w:r>
          </w:p>
        </w:tc>
        <w:tc>
          <w:tcPr>
            <w:tcW w:w="1395" w:type="dxa"/>
          </w:tcPr>
          <w:p>
            <w:pPr>
              <w:pStyle w:val="TableParagraph"/>
              <w:spacing w:before="12"/>
              <w:ind w:right="64"/>
              <w:jc w:val="right"/>
              <w:rPr>
                <w:sz w:val="16"/>
              </w:rPr>
            </w:pPr>
            <w:r>
              <w:rPr>
                <w:spacing w:val="-2"/>
                <w:sz w:val="16"/>
              </w:rPr>
              <w:t>1,982</w:t>
            </w:r>
          </w:p>
        </w:tc>
      </w:tr>
      <w:tr>
        <w:trPr>
          <w:trHeight w:val="229" w:hRule="atLeast"/>
        </w:trPr>
        <w:tc>
          <w:tcPr>
            <w:tcW w:w="3600" w:type="dxa"/>
          </w:tcPr>
          <w:p>
            <w:pPr>
              <w:pStyle w:val="TableParagraph"/>
              <w:spacing w:before="1"/>
              <w:ind w:left="412"/>
              <w:rPr>
                <w:sz w:val="16"/>
              </w:rPr>
            </w:pPr>
            <w:r>
              <w:rPr>
                <w:sz w:val="16"/>
              </w:rPr>
              <w:t>Equity</w:t>
            </w:r>
            <w:r>
              <w:rPr>
                <w:spacing w:val="-5"/>
                <w:sz w:val="16"/>
              </w:rPr>
              <w:t> </w:t>
            </w:r>
            <w:r>
              <w:rPr>
                <w:spacing w:val="-2"/>
                <w:sz w:val="16"/>
              </w:rPr>
              <w:t>securities</w:t>
            </w:r>
          </w:p>
        </w:tc>
        <w:tc>
          <w:tcPr>
            <w:tcW w:w="2872" w:type="dxa"/>
            <w:gridSpan w:val="2"/>
            <w:tcBorders>
              <w:bottom w:val="single" w:sz="8" w:space="0" w:color="000000"/>
            </w:tcBorders>
          </w:tcPr>
          <w:p>
            <w:pPr>
              <w:pStyle w:val="TableParagraph"/>
              <w:tabs>
                <w:tab w:pos="2621" w:val="left" w:leader="none"/>
              </w:tabs>
              <w:spacing w:before="1"/>
              <w:ind w:left="1060"/>
              <w:rPr>
                <w:sz w:val="16"/>
              </w:rPr>
            </w:pPr>
            <w:r>
              <w:rPr>
                <w:spacing w:val="-5"/>
                <w:sz w:val="16"/>
              </w:rPr>
              <w:t>275</w:t>
            </w:r>
            <w:r>
              <w:rPr>
                <w:sz w:val="16"/>
              </w:rPr>
              <w:tab/>
              <w:t>—</w:t>
            </w:r>
          </w:p>
        </w:tc>
        <w:tc>
          <w:tcPr>
            <w:tcW w:w="328" w:type="dxa"/>
            <w:tcBorders>
              <w:bottom w:val="single" w:sz="8" w:space="0" w:color="000000"/>
            </w:tcBorders>
          </w:tcPr>
          <w:p>
            <w:pPr>
              <w:pStyle w:val="TableParagraph"/>
              <w:rPr>
                <w:rFonts w:ascii="Times New Roman"/>
                <w:sz w:val="16"/>
              </w:rPr>
            </w:pPr>
          </w:p>
        </w:tc>
        <w:tc>
          <w:tcPr>
            <w:tcW w:w="1164" w:type="dxa"/>
            <w:tcBorders>
              <w:bottom w:val="single" w:sz="8" w:space="0" w:color="000000"/>
            </w:tcBorders>
          </w:tcPr>
          <w:p>
            <w:pPr>
              <w:pStyle w:val="TableParagraph"/>
              <w:spacing w:before="1"/>
              <w:ind w:right="125"/>
              <w:jc w:val="right"/>
              <w:rPr>
                <w:sz w:val="16"/>
              </w:rPr>
            </w:pPr>
            <w:r>
              <w:rPr>
                <w:sz w:val="16"/>
              </w:rPr>
              <w:t>—</w:t>
            </w:r>
          </w:p>
        </w:tc>
        <w:tc>
          <w:tcPr>
            <w:tcW w:w="1395" w:type="dxa"/>
            <w:tcBorders>
              <w:bottom w:val="single" w:sz="8" w:space="0" w:color="000000"/>
            </w:tcBorders>
          </w:tcPr>
          <w:p>
            <w:pPr>
              <w:pStyle w:val="TableParagraph"/>
              <w:spacing w:before="1"/>
              <w:ind w:right="65"/>
              <w:jc w:val="right"/>
              <w:rPr>
                <w:sz w:val="16"/>
              </w:rPr>
            </w:pPr>
            <w:r>
              <w:rPr>
                <w:spacing w:val="-5"/>
                <w:sz w:val="16"/>
              </w:rPr>
              <w:t>275</w:t>
            </w:r>
          </w:p>
        </w:tc>
      </w:tr>
      <w:tr>
        <w:trPr>
          <w:trHeight w:val="230" w:hRule="atLeast"/>
        </w:trPr>
        <w:tc>
          <w:tcPr>
            <w:tcW w:w="3600" w:type="dxa"/>
          </w:tcPr>
          <w:p>
            <w:pPr>
              <w:pStyle w:val="TableParagraph"/>
              <w:spacing w:line="176" w:lineRule="exact"/>
              <w:ind w:left="232"/>
              <w:rPr>
                <w:sz w:val="16"/>
              </w:rPr>
            </w:pPr>
            <w:r>
              <w:rPr>
                <w:spacing w:val="-2"/>
                <w:sz w:val="16"/>
              </w:rPr>
              <w:t>Total</w:t>
            </w:r>
            <w:r>
              <w:rPr>
                <w:spacing w:val="10"/>
                <w:sz w:val="16"/>
              </w:rPr>
              <w:t> </w:t>
            </w:r>
            <w:r>
              <w:rPr>
                <w:spacing w:val="-2"/>
                <w:sz w:val="16"/>
              </w:rPr>
              <w:t>Investments-Trading</w:t>
            </w:r>
          </w:p>
        </w:tc>
        <w:tc>
          <w:tcPr>
            <w:tcW w:w="2872" w:type="dxa"/>
            <w:gridSpan w:val="2"/>
            <w:tcBorders>
              <w:top w:val="single" w:sz="8" w:space="0" w:color="000000"/>
            </w:tcBorders>
          </w:tcPr>
          <w:p>
            <w:pPr>
              <w:pStyle w:val="TableParagraph"/>
              <w:tabs>
                <w:tab w:pos="838" w:val="left" w:leader="none"/>
                <w:tab w:pos="2293" w:val="left" w:leader="none"/>
              </w:tabs>
              <w:spacing w:line="176" w:lineRule="exact"/>
              <w:ind w:left="52"/>
              <w:rPr>
                <w:sz w:val="16"/>
              </w:rPr>
            </w:pPr>
            <w:r>
              <w:rPr>
                <w:spacing w:val="-10"/>
                <w:sz w:val="16"/>
              </w:rPr>
              <w:t>$</w:t>
            </w:r>
            <w:r>
              <w:rPr>
                <w:sz w:val="16"/>
              </w:rPr>
              <w:tab/>
              <w:t>14,918</w:t>
            </w:r>
            <w:r>
              <w:rPr>
                <w:spacing w:val="43"/>
                <w:sz w:val="16"/>
              </w:rPr>
              <w:t>  </w:t>
            </w:r>
            <w:r>
              <w:rPr>
                <w:spacing w:val="-10"/>
                <w:sz w:val="16"/>
              </w:rPr>
              <w:t>$</w:t>
            </w:r>
            <w:r>
              <w:rPr>
                <w:sz w:val="16"/>
              </w:rPr>
              <w:tab/>
            </w:r>
            <w:r>
              <w:rPr>
                <w:spacing w:val="-2"/>
                <w:sz w:val="16"/>
              </w:rPr>
              <w:t>62,299</w:t>
            </w:r>
          </w:p>
        </w:tc>
        <w:tc>
          <w:tcPr>
            <w:tcW w:w="328" w:type="dxa"/>
            <w:tcBorders>
              <w:top w:val="single" w:sz="8" w:space="0" w:color="000000"/>
            </w:tcBorders>
          </w:tcPr>
          <w:p>
            <w:pPr>
              <w:pStyle w:val="TableParagraph"/>
              <w:spacing w:line="176" w:lineRule="exact"/>
              <w:ind w:right="55"/>
              <w:jc w:val="center"/>
              <w:rPr>
                <w:sz w:val="16"/>
              </w:rPr>
            </w:pPr>
            <w:r>
              <w:rPr>
                <w:spacing w:val="-10"/>
                <w:sz w:val="16"/>
              </w:rPr>
              <w:t>$</w:t>
            </w:r>
          </w:p>
        </w:tc>
        <w:tc>
          <w:tcPr>
            <w:tcW w:w="1164" w:type="dxa"/>
            <w:tcBorders>
              <w:top w:val="single" w:sz="8" w:space="0" w:color="000000"/>
            </w:tcBorders>
          </w:tcPr>
          <w:p>
            <w:pPr>
              <w:pStyle w:val="TableParagraph"/>
              <w:spacing w:line="176" w:lineRule="exact"/>
              <w:ind w:right="125"/>
              <w:jc w:val="right"/>
              <w:rPr>
                <w:sz w:val="16"/>
              </w:rPr>
            </w:pPr>
            <w:r>
              <w:rPr>
                <w:sz w:val="16"/>
              </w:rPr>
              <w:t>—</w:t>
            </w:r>
          </w:p>
        </w:tc>
        <w:tc>
          <w:tcPr>
            <w:tcW w:w="1395" w:type="dxa"/>
            <w:tcBorders>
              <w:top w:val="single" w:sz="8" w:space="0" w:color="000000"/>
            </w:tcBorders>
          </w:tcPr>
          <w:p>
            <w:pPr>
              <w:pStyle w:val="TableParagraph"/>
              <w:tabs>
                <w:tab w:pos="785" w:val="left" w:leader="none"/>
              </w:tabs>
              <w:spacing w:line="176" w:lineRule="exact"/>
              <w:ind w:right="64"/>
              <w:jc w:val="right"/>
              <w:rPr>
                <w:sz w:val="16"/>
              </w:rPr>
            </w:pPr>
            <w:r>
              <w:rPr>
                <w:spacing w:val="-10"/>
                <w:sz w:val="16"/>
              </w:rPr>
              <w:t>$</w:t>
            </w:r>
            <w:r>
              <w:rPr>
                <w:sz w:val="16"/>
              </w:rPr>
              <w:tab/>
            </w:r>
            <w:r>
              <w:rPr>
                <w:spacing w:val="-2"/>
                <w:sz w:val="16"/>
              </w:rPr>
              <w:t>79,199</w:t>
            </w:r>
          </w:p>
        </w:tc>
      </w:tr>
      <w:tr>
        <w:trPr>
          <w:trHeight w:val="240" w:hRule="atLeast"/>
        </w:trPr>
        <w:tc>
          <w:tcPr>
            <w:tcW w:w="3600" w:type="dxa"/>
          </w:tcPr>
          <w:p>
            <w:pPr>
              <w:pStyle w:val="TableParagraph"/>
              <w:spacing w:before="1"/>
              <w:ind w:left="52"/>
              <w:rPr>
                <w:sz w:val="16"/>
              </w:rPr>
            </w:pPr>
            <w:r>
              <w:rPr>
                <w:sz w:val="16"/>
              </w:rPr>
              <w:t>Securities</w:t>
            </w:r>
            <w:r>
              <w:rPr>
                <w:spacing w:val="-5"/>
                <w:sz w:val="16"/>
              </w:rPr>
              <w:t> </w:t>
            </w:r>
            <w:r>
              <w:rPr>
                <w:sz w:val="16"/>
              </w:rPr>
              <w:t>purchased</w:t>
            </w:r>
            <w:r>
              <w:rPr>
                <w:spacing w:val="-5"/>
                <w:sz w:val="16"/>
              </w:rPr>
              <w:t> </w:t>
            </w:r>
            <w:r>
              <w:rPr>
                <w:sz w:val="16"/>
              </w:rPr>
              <w:t>under</w:t>
            </w:r>
            <w:r>
              <w:rPr>
                <w:spacing w:val="-4"/>
                <w:sz w:val="16"/>
              </w:rPr>
              <w:t> </w:t>
            </w:r>
            <w:r>
              <w:rPr>
                <w:sz w:val="16"/>
              </w:rPr>
              <w:t>resale</w:t>
            </w:r>
            <w:r>
              <w:rPr>
                <w:spacing w:val="-5"/>
                <w:sz w:val="16"/>
              </w:rPr>
              <w:t> </w:t>
            </w:r>
            <w:r>
              <w:rPr>
                <w:spacing w:val="-2"/>
                <w:sz w:val="16"/>
              </w:rPr>
              <w:t>agreements</w:t>
            </w:r>
          </w:p>
        </w:tc>
        <w:tc>
          <w:tcPr>
            <w:tcW w:w="2872" w:type="dxa"/>
            <w:gridSpan w:val="2"/>
          </w:tcPr>
          <w:p>
            <w:pPr>
              <w:pStyle w:val="TableParagraph"/>
              <w:tabs>
                <w:tab w:pos="1148" w:val="left" w:leader="none"/>
                <w:tab w:pos="2603" w:val="left" w:leader="none"/>
              </w:tabs>
              <w:spacing w:before="1"/>
              <w:ind w:left="52"/>
              <w:rPr>
                <w:sz w:val="16"/>
              </w:rPr>
            </w:pPr>
            <w:r>
              <w:rPr>
                <w:spacing w:val="-10"/>
                <w:sz w:val="16"/>
              </w:rPr>
              <w:t>$</w:t>
            </w:r>
            <w:r>
              <w:rPr>
                <w:sz w:val="16"/>
              </w:rPr>
              <w:tab/>
              <w:t>18</w:t>
            </w:r>
            <w:r>
              <w:rPr>
                <w:spacing w:val="44"/>
                <w:sz w:val="16"/>
              </w:rPr>
              <w:t>  </w:t>
            </w:r>
            <w:r>
              <w:rPr>
                <w:spacing w:val="-10"/>
                <w:sz w:val="16"/>
              </w:rPr>
              <w:t>$</w:t>
            </w:r>
            <w:r>
              <w:rPr>
                <w:sz w:val="16"/>
              </w:rPr>
              <w:tab/>
            </w:r>
            <w:r>
              <w:rPr>
                <w:spacing w:val="-5"/>
                <w:sz w:val="16"/>
              </w:rPr>
              <w:t>60</w:t>
            </w:r>
          </w:p>
        </w:tc>
        <w:tc>
          <w:tcPr>
            <w:tcW w:w="328" w:type="dxa"/>
          </w:tcPr>
          <w:p>
            <w:pPr>
              <w:pStyle w:val="TableParagraph"/>
              <w:spacing w:before="1"/>
              <w:ind w:right="55"/>
              <w:jc w:val="center"/>
              <w:rPr>
                <w:sz w:val="16"/>
              </w:rPr>
            </w:pPr>
            <w:r>
              <w:rPr>
                <w:spacing w:val="-10"/>
                <w:sz w:val="16"/>
              </w:rPr>
              <w:t>$</w:t>
            </w:r>
          </w:p>
        </w:tc>
        <w:tc>
          <w:tcPr>
            <w:tcW w:w="1164" w:type="dxa"/>
          </w:tcPr>
          <w:p>
            <w:pPr>
              <w:pStyle w:val="TableParagraph"/>
              <w:spacing w:before="1"/>
              <w:ind w:right="125"/>
              <w:jc w:val="right"/>
              <w:rPr>
                <w:sz w:val="16"/>
              </w:rPr>
            </w:pPr>
            <w:r>
              <w:rPr>
                <w:sz w:val="16"/>
              </w:rPr>
              <w:t>—</w:t>
            </w:r>
          </w:p>
        </w:tc>
        <w:tc>
          <w:tcPr>
            <w:tcW w:w="1395" w:type="dxa"/>
          </w:tcPr>
          <w:p>
            <w:pPr>
              <w:pStyle w:val="TableParagraph"/>
              <w:tabs>
                <w:tab w:pos="1096" w:val="left" w:leader="none"/>
              </w:tabs>
              <w:spacing w:before="1"/>
              <w:ind w:right="65"/>
              <w:jc w:val="right"/>
              <w:rPr>
                <w:sz w:val="16"/>
              </w:rPr>
            </w:pPr>
            <w:r>
              <w:rPr>
                <w:spacing w:val="-10"/>
                <w:sz w:val="16"/>
              </w:rPr>
              <w:t>$</w:t>
            </w:r>
            <w:r>
              <w:rPr>
                <w:sz w:val="16"/>
              </w:rPr>
              <w:tab/>
            </w:r>
            <w:r>
              <w:rPr>
                <w:spacing w:val="-5"/>
                <w:sz w:val="16"/>
              </w:rPr>
              <w:t>78</w:t>
            </w:r>
          </w:p>
        </w:tc>
      </w:tr>
      <w:tr>
        <w:trPr>
          <w:trHeight w:val="229" w:hRule="atLeast"/>
        </w:trPr>
        <w:tc>
          <w:tcPr>
            <w:tcW w:w="3600" w:type="dxa"/>
          </w:tcPr>
          <w:p>
            <w:pPr>
              <w:pStyle w:val="TableParagraph"/>
              <w:spacing w:before="1"/>
              <w:ind w:left="52"/>
              <w:rPr>
                <w:sz w:val="16"/>
              </w:rPr>
            </w:pPr>
            <w:r>
              <w:rPr>
                <w:spacing w:val="-2"/>
                <w:sz w:val="16"/>
              </w:rPr>
              <w:t>Derivative</w:t>
            </w:r>
            <w:r>
              <w:rPr>
                <w:spacing w:val="4"/>
                <w:sz w:val="16"/>
              </w:rPr>
              <w:t> </w:t>
            </w:r>
            <w:r>
              <w:rPr>
                <w:spacing w:val="-2"/>
                <w:sz w:val="16"/>
              </w:rPr>
              <w:t>Assets</w:t>
            </w:r>
          </w:p>
        </w:tc>
        <w:tc>
          <w:tcPr>
            <w:tcW w:w="2872" w:type="dxa"/>
            <w:gridSpan w:val="2"/>
          </w:tcPr>
          <w:p>
            <w:pPr>
              <w:pStyle w:val="TableParagraph"/>
              <w:rPr>
                <w:rFonts w:ascii="Times New Roman"/>
                <w:sz w:val="16"/>
              </w:rPr>
            </w:pPr>
          </w:p>
        </w:tc>
        <w:tc>
          <w:tcPr>
            <w:tcW w:w="328" w:type="dxa"/>
          </w:tcPr>
          <w:p>
            <w:pPr>
              <w:pStyle w:val="TableParagraph"/>
              <w:rPr>
                <w:rFonts w:ascii="Times New Roman"/>
                <w:sz w:val="16"/>
              </w:rPr>
            </w:pPr>
          </w:p>
        </w:tc>
        <w:tc>
          <w:tcPr>
            <w:tcW w:w="1164" w:type="dxa"/>
          </w:tcPr>
          <w:p>
            <w:pPr>
              <w:pStyle w:val="TableParagraph"/>
              <w:rPr>
                <w:rFonts w:ascii="Times New Roman"/>
                <w:sz w:val="16"/>
              </w:rPr>
            </w:pPr>
          </w:p>
        </w:tc>
        <w:tc>
          <w:tcPr>
            <w:tcW w:w="1395" w:type="dxa"/>
          </w:tcPr>
          <w:p>
            <w:pPr>
              <w:pStyle w:val="TableParagraph"/>
              <w:rPr>
                <w:rFonts w:ascii="Times New Roman"/>
                <w:sz w:val="16"/>
              </w:rPr>
            </w:pPr>
          </w:p>
        </w:tc>
      </w:tr>
      <w:tr>
        <w:trPr>
          <w:trHeight w:val="247" w:hRule="atLeast"/>
        </w:trPr>
        <w:tc>
          <w:tcPr>
            <w:tcW w:w="3600" w:type="dxa"/>
          </w:tcPr>
          <w:p>
            <w:pPr>
              <w:pStyle w:val="TableParagraph"/>
              <w:spacing w:before="12"/>
              <w:ind w:left="412"/>
              <w:rPr>
                <w:sz w:val="16"/>
              </w:rPr>
            </w:pPr>
            <w:r>
              <w:rPr>
                <w:sz w:val="16"/>
              </w:rPr>
              <w:t>Currency</w:t>
            </w:r>
            <w:r>
              <w:rPr>
                <w:spacing w:val="-4"/>
                <w:sz w:val="16"/>
              </w:rPr>
              <w:t> </w:t>
            </w:r>
            <w:r>
              <w:rPr>
                <w:sz w:val="16"/>
              </w:rPr>
              <w:t>swaps</w:t>
            </w:r>
            <w:r>
              <w:rPr>
                <w:spacing w:val="-4"/>
                <w:sz w:val="16"/>
              </w:rPr>
              <w:t> </w:t>
            </w:r>
            <w:r>
              <w:rPr>
                <w:spacing w:val="-10"/>
                <w:sz w:val="16"/>
                <w:vertAlign w:val="superscript"/>
              </w:rPr>
              <w:t>b</w:t>
            </w:r>
          </w:p>
        </w:tc>
        <w:tc>
          <w:tcPr>
            <w:tcW w:w="2872" w:type="dxa"/>
            <w:gridSpan w:val="2"/>
          </w:tcPr>
          <w:p>
            <w:pPr>
              <w:pStyle w:val="TableParagraph"/>
              <w:tabs>
                <w:tab w:pos="1166" w:val="left" w:leader="none"/>
                <w:tab w:pos="2382" w:val="left" w:leader="none"/>
              </w:tabs>
              <w:spacing w:before="12"/>
              <w:ind w:left="52"/>
              <w:rPr>
                <w:sz w:val="16"/>
              </w:rPr>
            </w:pPr>
            <w:r>
              <w:rPr>
                <w:spacing w:val="-10"/>
                <w:sz w:val="16"/>
              </w:rPr>
              <w:t>$</w:t>
            </w:r>
            <w:r>
              <w:rPr>
                <w:sz w:val="16"/>
              </w:rPr>
              <w:tab/>
              <w:t>—</w:t>
            </w:r>
            <w:r>
              <w:rPr>
                <w:spacing w:val="45"/>
                <w:sz w:val="16"/>
              </w:rPr>
              <w:t>  </w:t>
            </w:r>
            <w:r>
              <w:rPr>
                <w:spacing w:val="-10"/>
                <w:sz w:val="16"/>
              </w:rPr>
              <w:t>$</w:t>
            </w:r>
            <w:r>
              <w:rPr>
                <w:sz w:val="16"/>
              </w:rPr>
              <w:tab/>
            </w:r>
            <w:r>
              <w:rPr>
                <w:spacing w:val="-4"/>
                <w:sz w:val="16"/>
              </w:rPr>
              <w:t>4,475</w:t>
            </w:r>
          </w:p>
        </w:tc>
        <w:tc>
          <w:tcPr>
            <w:tcW w:w="328" w:type="dxa"/>
          </w:tcPr>
          <w:p>
            <w:pPr>
              <w:pStyle w:val="TableParagraph"/>
              <w:spacing w:before="12"/>
              <w:ind w:right="55"/>
              <w:jc w:val="center"/>
              <w:rPr>
                <w:sz w:val="16"/>
              </w:rPr>
            </w:pPr>
            <w:r>
              <w:rPr>
                <w:spacing w:val="-10"/>
                <w:sz w:val="16"/>
              </w:rPr>
              <w:t>$</w:t>
            </w:r>
          </w:p>
        </w:tc>
        <w:tc>
          <w:tcPr>
            <w:tcW w:w="1164" w:type="dxa"/>
          </w:tcPr>
          <w:p>
            <w:pPr>
              <w:pStyle w:val="TableParagraph"/>
              <w:spacing w:before="12"/>
              <w:ind w:right="125"/>
              <w:jc w:val="right"/>
              <w:rPr>
                <w:sz w:val="16"/>
              </w:rPr>
            </w:pPr>
            <w:r>
              <w:rPr>
                <w:spacing w:val="-5"/>
                <w:sz w:val="16"/>
              </w:rPr>
              <w:t>148</w:t>
            </w:r>
          </w:p>
        </w:tc>
        <w:tc>
          <w:tcPr>
            <w:tcW w:w="1395" w:type="dxa"/>
          </w:tcPr>
          <w:p>
            <w:pPr>
              <w:pStyle w:val="TableParagraph"/>
              <w:tabs>
                <w:tab w:pos="874" w:val="left" w:leader="none"/>
              </w:tabs>
              <w:spacing w:before="12"/>
              <w:ind w:right="64"/>
              <w:jc w:val="right"/>
              <w:rPr>
                <w:sz w:val="16"/>
              </w:rPr>
            </w:pPr>
            <w:r>
              <w:rPr>
                <w:spacing w:val="-10"/>
                <w:sz w:val="16"/>
              </w:rPr>
              <w:t>$</w:t>
            </w:r>
            <w:r>
              <w:rPr>
                <w:sz w:val="16"/>
              </w:rPr>
              <w:tab/>
            </w:r>
            <w:r>
              <w:rPr>
                <w:spacing w:val="-2"/>
                <w:sz w:val="16"/>
              </w:rPr>
              <w:t>4,623</w:t>
            </w:r>
          </w:p>
        </w:tc>
      </w:tr>
      <w:tr>
        <w:trPr>
          <w:trHeight w:val="217" w:hRule="atLeast"/>
        </w:trPr>
        <w:tc>
          <w:tcPr>
            <w:tcW w:w="3600" w:type="dxa"/>
          </w:tcPr>
          <w:p>
            <w:pPr>
              <w:pStyle w:val="TableParagraph"/>
              <w:spacing w:line="181" w:lineRule="exact"/>
              <w:ind w:left="412"/>
              <w:rPr>
                <w:sz w:val="16"/>
              </w:rPr>
            </w:pPr>
            <w:r>
              <w:rPr>
                <w:sz w:val="16"/>
              </w:rPr>
              <w:t>Interest</w:t>
            </w:r>
            <w:r>
              <w:rPr>
                <w:spacing w:val="-3"/>
                <w:sz w:val="16"/>
              </w:rPr>
              <w:t> </w:t>
            </w:r>
            <w:r>
              <w:rPr>
                <w:sz w:val="16"/>
              </w:rPr>
              <w:t>rate</w:t>
            </w:r>
            <w:r>
              <w:rPr>
                <w:spacing w:val="-2"/>
                <w:sz w:val="16"/>
              </w:rPr>
              <w:t> swaps</w:t>
            </w:r>
          </w:p>
        </w:tc>
        <w:tc>
          <w:tcPr>
            <w:tcW w:w="2872" w:type="dxa"/>
            <w:gridSpan w:val="2"/>
            <w:tcBorders>
              <w:bottom w:val="single" w:sz="8" w:space="0" w:color="000000"/>
            </w:tcBorders>
          </w:tcPr>
          <w:p>
            <w:pPr>
              <w:pStyle w:val="TableParagraph"/>
              <w:tabs>
                <w:tab w:pos="2382" w:val="left" w:leader="none"/>
              </w:tabs>
              <w:spacing w:line="181" w:lineRule="exact"/>
              <w:ind w:left="1166"/>
              <w:rPr>
                <w:sz w:val="16"/>
              </w:rPr>
            </w:pPr>
            <w:r>
              <w:rPr>
                <w:sz w:val="16"/>
              </w:rPr>
              <w:t>—</w:t>
              <w:tab/>
            </w:r>
            <w:r>
              <w:rPr>
                <w:spacing w:val="-4"/>
                <w:sz w:val="16"/>
              </w:rPr>
              <w:t>8,120</w:t>
            </w:r>
          </w:p>
        </w:tc>
        <w:tc>
          <w:tcPr>
            <w:tcW w:w="328" w:type="dxa"/>
            <w:tcBorders>
              <w:bottom w:val="single" w:sz="8" w:space="0" w:color="000000"/>
            </w:tcBorders>
          </w:tcPr>
          <w:p>
            <w:pPr>
              <w:pStyle w:val="TableParagraph"/>
              <w:rPr>
                <w:rFonts w:ascii="Times New Roman"/>
                <w:sz w:val="14"/>
              </w:rPr>
            </w:pPr>
          </w:p>
        </w:tc>
        <w:tc>
          <w:tcPr>
            <w:tcW w:w="1164" w:type="dxa"/>
            <w:tcBorders>
              <w:bottom w:val="single" w:sz="8" w:space="0" w:color="000000"/>
            </w:tcBorders>
          </w:tcPr>
          <w:p>
            <w:pPr>
              <w:pStyle w:val="TableParagraph"/>
              <w:spacing w:line="181" w:lineRule="exact"/>
              <w:ind w:right="125"/>
              <w:jc w:val="right"/>
              <w:rPr>
                <w:sz w:val="16"/>
              </w:rPr>
            </w:pPr>
            <w:r>
              <w:rPr>
                <w:spacing w:val="-5"/>
                <w:sz w:val="16"/>
              </w:rPr>
              <w:t>73</w:t>
            </w:r>
          </w:p>
        </w:tc>
        <w:tc>
          <w:tcPr>
            <w:tcW w:w="1395" w:type="dxa"/>
            <w:tcBorders>
              <w:bottom w:val="single" w:sz="8" w:space="0" w:color="000000"/>
            </w:tcBorders>
          </w:tcPr>
          <w:p>
            <w:pPr>
              <w:pStyle w:val="TableParagraph"/>
              <w:spacing w:line="181" w:lineRule="exact"/>
              <w:ind w:right="64"/>
              <w:jc w:val="right"/>
              <w:rPr>
                <w:sz w:val="16"/>
              </w:rPr>
            </w:pPr>
            <w:r>
              <w:rPr>
                <w:spacing w:val="-2"/>
                <w:sz w:val="16"/>
              </w:rPr>
              <w:t>8,193</w:t>
            </w:r>
          </w:p>
        </w:tc>
      </w:tr>
      <w:tr>
        <w:trPr>
          <w:trHeight w:val="200" w:hRule="atLeast"/>
        </w:trPr>
        <w:tc>
          <w:tcPr>
            <w:tcW w:w="3600" w:type="dxa"/>
          </w:tcPr>
          <w:p>
            <w:pPr>
              <w:pStyle w:val="TableParagraph"/>
              <w:rPr>
                <w:rFonts w:ascii="Times New Roman"/>
                <w:sz w:val="12"/>
              </w:rPr>
            </w:pPr>
          </w:p>
        </w:tc>
        <w:tc>
          <w:tcPr>
            <w:tcW w:w="2872" w:type="dxa"/>
            <w:gridSpan w:val="2"/>
            <w:tcBorders>
              <w:top w:val="single" w:sz="8" w:space="0" w:color="000000"/>
            </w:tcBorders>
          </w:tcPr>
          <w:p>
            <w:pPr>
              <w:pStyle w:val="TableParagraph"/>
              <w:tabs>
                <w:tab w:pos="1166" w:val="left" w:leader="none"/>
                <w:tab w:pos="2293" w:val="left" w:leader="none"/>
              </w:tabs>
              <w:spacing w:line="176" w:lineRule="exact"/>
              <w:ind w:left="52"/>
              <w:rPr>
                <w:sz w:val="16"/>
              </w:rPr>
            </w:pPr>
            <w:r>
              <w:rPr>
                <w:spacing w:val="-10"/>
                <w:sz w:val="16"/>
              </w:rPr>
              <w:t>$</w:t>
            </w:r>
            <w:r>
              <w:rPr>
                <w:sz w:val="16"/>
              </w:rPr>
              <w:tab/>
              <w:t>—</w:t>
            </w:r>
            <w:r>
              <w:rPr>
                <w:spacing w:val="45"/>
                <w:sz w:val="16"/>
              </w:rPr>
              <w:t>  </w:t>
            </w:r>
            <w:r>
              <w:rPr>
                <w:spacing w:val="-10"/>
                <w:sz w:val="16"/>
              </w:rPr>
              <w:t>$</w:t>
            </w:r>
            <w:r>
              <w:rPr>
                <w:sz w:val="16"/>
              </w:rPr>
              <w:tab/>
            </w:r>
            <w:r>
              <w:rPr>
                <w:spacing w:val="-2"/>
                <w:sz w:val="16"/>
              </w:rPr>
              <w:t>12,595</w:t>
            </w:r>
          </w:p>
        </w:tc>
        <w:tc>
          <w:tcPr>
            <w:tcW w:w="328" w:type="dxa"/>
            <w:tcBorders>
              <w:top w:val="single" w:sz="8" w:space="0" w:color="000000"/>
            </w:tcBorders>
          </w:tcPr>
          <w:p>
            <w:pPr>
              <w:pStyle w:val="TableParagraph"/>
              <w:spacing w:line="176" w:lineRule="exact"/>
              <w:ind w:right="55"/>
              <w:jc w:val="center"/>
              <w:rPr>
                <w:sz w:val="16"/>
              </w:rPr>
            </w:pPr>
            <w:r>
              <w:rPr>
                <w:spacing w:val="-10"/>
                <w:sz w:val="16"/>
              </w:rPr>
              <w:t>$</w:t>
            </w:r>
          </w:p>
        </w:tc>
        <w:tc>
          <w:tcPr>
            <w:tcW w:w="1164" w:type="dxa"/>
            <w:tcBorders>
              <w:top w:val="single" w:sz="8" w:space="0" w:color="000000"/>
            </w:tcBorders>
          </w:tcPr>
          <w:p>
            <w:pPr>
              <w:pStyle w:val="TableParagraph"/>
              <w:spacing w:line="176" w:lineRule="exact"/>
              <w:ind w:right="125"/>
              <w:jc w:val="right"/>
              <w:rPr>
                <w:sz w:val="16"/>
              </w:rPr>
            </w:pPr>
            <w:r>
              <w:rPr>
                <w:spacing w:val="-5"/>
                <w:sz w:val="16"/>
              </w:rPr>
              <w:t>221</w:t>
            </w:r>
          </w:p>
        </w:tc>
        <w:tc>
          <w:tcPr>
            <w:tcW w:w="1395" w:type="dxa"/>
            <w:tcBorders>
              <w:top w:val="single" w:sz="8" w:space="0" w:color="000000"/>
            </w:tcBorders>
          </w:tcPr>
          <w:p>
            <w:pPr>
              <w:pStyle w:val="TableParagraph"/>
              <w:tabs>
                <w:tab w:pos="785" w:val="left" w:leader="none"/>
              </w:tabs>
              <w:spacing w:line="176" w:lineRule="exact"/>
              <w:ind w:right="64"/>
              <w:jc w:val="right"/>
              <w:rPr>
                <w:sz w:val="16"/>
              </w:rPr>
            </w:pPr>
            <w:r>
              <w:rPr>
                <w:spacing w:val="-10"/>
                <w:sz w:val="16"/>
              </w:rPr>
              <w:t>$</w:t>
            </w:r>
            <w:r>
              <w:rPr>
                <w:sz w:val="16"/>
              </w:rPr>
              <w:tab/>
            </w:r>
            <w:r>
              <w:rPr>
                <w:spacing w:val="-2"/>
                <w:sz w:val="16"/>
              </w:rPr>
              <w:t>12,816</w:t>
            </w:r>
          </w:p>
        </w:tc>
      </w:tr>
      <w:tr>
        <w:trPr>
          <w:trHeight w:val="482" w:hRule="atLeast"/>
        </w:trPr>
        <w:tc>
          <w:tcPr>
            <w:tcW w:w="3600" w:type="dxa"/>
          </w:tcPr>
          <w:p>
            <w:pPr>
              <w:pStyle w:val="TableParagraph"/>
              <w:spacing w:before="31"/>
              <w:ind w:left="52"/>
              <w:rPr>
                <w:sz w:val="16"/>
              </w:rPr>
            </w:pPr>
            <w:r>
              <w:rPr>
                <w:spacing w:val="-2"/>
                <w:sz w:val="16"/>
              </w:rPr>
              <w:t>Less:</w:t>
            </w:r>
          </w:p>
          <w:p>
            <w:pPr>
              <w:pStyle w:val="TableParagraph"/>
              <w:spacing w:before="59"/>
              <w:ind w:left="52"/>
              <w:rPr>
                <w:sz w:val="16"/>
              </w:rPr>
            </w:pPr>
            <w:r>
              <w:rPr>
                <w:sz w:val="16"/>
              </w:rPr>
              <w:t>Amounts</w:t>
            </w:r>
            <w:r>
              <w:rPr>
                <w:spacing w:val="-5"/>
                <w:sz w:val="16"/>
              </w:rPr>
              <w:t> </w:t>
            </w:r>
            <w:r>
              <w:rPr>
                <w:sz w:val="16"/>
              </w:rPr>
              <w:t>subject</w:t>
            </w:r>
            <w:r>
              <w:rPr>
                <w:spacing w:val="-4"/>
                <w:sz w:val="16"/>
              </w:rPr>
              <w:t> </w:t>
            </w:r>
            <w:r>
              <w:rPr>
                <w:sz w:val="16"/>
              </w:rPr>
              <w:t>to</w:t>
            </w:r>
            <w:r>
              <w:rPr>
                <w:spacing w:val="-5"/>
                <w:sz w:val="16"/>
              </w:rPr>
              <w:t> </w:t>
            </w:r>
            <w:r>
              <w:rPr>
                <w:sz w:val="16"/>
              </w:rPr>
              <w:t>legally</w:t>
            </w:r>
            <w:r>
              <w:rPr>
                <w:spacing w:val="-4"/>
                <w:sz w:val="16"/>
              </w:rPr>
              <w:t> </w:t>
            </w:r>
            <w:r>
              <w:rPr>
                <w:sz w:val="16"/>
              </w:rPr>
              <w:t>enforceable</w:t>
            </w:r>
            <w:r>
              <w:rPr>
                <w:spacing w:val="-4"/>
                <w:sz w:val="16"/>
              </w:rPr>
              <w:t> </w:t>
            </w:r>
            <w:r>
              <w:rPr>
                <w:spacing w:val="-2"/>
                <w:sz w:val="16"/>
              </w:rPr>
              <w:t>master</w:t>
            </w:r>
          </w:p>
        </w:tc>
        <w:tc>
          <w:tcPr>
            <w:tcW w:w="2872" w:type="dxa"/>
            <w:gridSpan w:val="2"/>
          </w:tcPr>
          <w:p>
            <w:pPr>
              <w:pStyle w:val="TableParagraph"/>
              <w:rPr>
                <w:rFonts w:ascii="Times New Roman"/>
                <w:sz w:val="16"/>
              </w:rPr>
            </w:pPr>
          </w:p>
        </w:tc>
        <w:tc>
          <w:tcPr>
            <w:tcW w:w="328" w:type="dxa"/>
          </w:tcPr>
          <w:p>
            <w:pPr>
              <w:pStyle w:val="TableParagraph"/>
              <w:rPr>
                <w:rFonts w:ascii="Times New Roman"/>
                <w:sz w:val="16"/>
              </w:rPr>
            </w:pPr>
          </w:p>
        </w:tc>
        <w:tc>
          <w:tcPr>
            <w:tcW w:w="1164" w:type="dxa"/>
          </w:tcPr>
          <w:p>
            <w:pPr>
              <w:pStyle w:val="TableParagraph"/>
              <w:rPr>
                <w:rFonts w:ascii="Times New Roman"/>
                <w:sz w:val="16"/>
              </w:rPr>
            </w:pPr>
          </w:p>
        </w:tc>
        <w:tc>
          <w:tcPr>
            <w:tcW w:w="1395" w:type="dxa"/>
          </w:tcPr>
          <w:p>
            <w:pPr>
              <w:pStyle w:val="TableParagraph"/>
              <w:rPr>
                <w:rFonts w:ascii="Times New Roman"/>
                <w:sz w:val="16"/>
              </w:rPr>
            </w:pPr>
          </w:p>
        </w:tc>
      </w:tr>
      <w:tr>
        <w:trPr>
          <w:trHeight w:val="222" w:hRule="atLeast"/>
        </w:trPr>
        <w:tc>
          <w:tcPr>
            <w:tcW w:w="3600" w:type="dxa"/>
          </w:tcPr>
          <w:p>
            <w:pPr>
              <w:pStyle w:val="TableParagraph"/>
              <w:spacing w:line="176" w:lineRule="exact"/>
              <w:ind w:left="232"/>
              <w:rPr>
                <w:sz w:val="16"/>
              </w:rPr>
            </w:pPr>
            <w:r>
              <w:rPr>
                <w:sz w:val="16"/>
              </w:rPr>
              <w:t>netting</w:t>
            </w:r>
            <w:r>
              <w:rPr>
                <w:spacing w:val="-8"/>
                <w:sz w:val="16"/>
              </w:rPr>
              <w:t> </w:t>
            </w:r>
            <w:r>
              <w:rPr>
                <w:sz w:val="16"/>
              </w:rPr>
              <w:t>agreements</w:t>
            </w:r>
            <w:r>
              <w:rPr>
                <w:spacing w:val="-6"/>
                <w:sz w:val="16"/>
              </w:rPr>
              <w:t> </w:t>
            </w:r>
            <w:r>
              <w:rPr>
                <w:spacing w:val="-10"/>
                <w:sz w:val="16"/>
                <w:vertAlign w:val="superscript"/>
              </w:rPr>
              <w:t>e</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Pr>
          <w:p>
            <w:pPr>
              <w:pStyle w:val="TableParagraph"/>
              <w:spacing w:line="176" w:lineRule="exact"/>
              <w:ind w:right="64"/>
              <w:jc w:val="right"/>
              <w:rPr>
                <w:sz w:val="16"/>
              </w:rPr>
            </w:pPr>
            <w:r>
              <w:rPr>
                <w:spacing w:val="-2"/>
                <w:sz w:val="16"/>
              </w:rPr>
              <w:t>12,405</w:t>
            </w:r>
          </w:p>
        </w:tc>
      </w:tr>
      <w:tr>
        <w:trPr>
          <w:trHeight w:val="229" w:hRule="atLeast"/>
        </w:trPr>
        <w:tc>
          <w:tcPr>
            <w:tcW w:w="3600" w:type="dxa"/>
          </w:tcPr>
          <w:p>
            <w:pPr>
              <w:pStyle w:val="TableParagraph"/>
              <w:spacing w:before="1"/>
              <w:ind w:left="52"/>
              <w:rPr>
                <w:sz w:val="16"/>
              </w:rPr>
            </w:pPr>
            <w:r>
              <w:rPr>
                <w:sz w:val="16"/>
              </w:rPr>
              <w:t>Cash</w:t>
            </w:r>
            <w:r>
              <w:rPr>
                <w:spacing w:val="-5"/>
                <w:sz w:val="16"/>
              </w:rPr>
              <w:t> </w:t>
            </w:r>
            <w:r>
              <w:rPr>
                <w:sz w:val="16"/>
              </w:rPr>
              <w:t>collateral</w:t>
            </w:r>
            <w:r>
              <w:rPr>
                <w:spacing w:val="-4"/>
                <w:sz w:val="16"/>
              </w:rPr>
              <w:t> </w:t>
            </w:r>
            <w:r>
              <w:rPr>
                <w:spacing w:val="-2"/>
                <w:sz w:val="16"/>
              </w:rPr>
              <w:t>received</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Borders>
              <w:bottom w:val="single" w:sz="8" w:space="0" w:color="000000"/>
            </w:tcBorders>
          </w:tcPr>
          <w:p>
            <w:pPr>
              <w:pStyle w:val="TableParagraph"/>
              <w:spacing w:before="1"/>
              <w:ind w:right="65"/>
              <w:jc w:val="right"/>
              <w:rPr>
                <w:sz w:val="16"/>
              </w:rPr>
            </w:pPr>
            <w:r>
              <w:rPr>
                <w:spacing w:val="-5"/>
                <w:sz w:val="16"/>
              </w:rPr>
              <w:t>140</w:t>
            </w:r>
          </w:p>
        </w:tc>
      </w:tr>
      <w:tr>
        <w:trPr>
          <w:trHeight w:val="230" w:hRule="atLeast"/>
        </w:trPr>
        <w:tc>
          <w:tcPr>
            <w:tcW w:w="3600" w:type="dxa"/>
          </w:tcPr>
          <w:p>
            <w:pPr>
              <w:pStyle w:val="TableParagraph"/>
              <w:spacing w:line="176" w:lineRule="exact"/>
              <w:ind w:left="52"/>
              <w:rPr>
                <w:sz w:val="16"/>
              </w:rPr>
            </w:pPr>
            <w:r>
              <w:rPr>
                <w:sz w:val="16"/>
              </w:rPr>
              <w:t>Derivative</w:t>
            </w:r>
            <w:r>
              <w:rPr>
                <w:spacing w:val="-12"/>
                <w:sz w:val="16"/>
              </w:rPr>
              <w:t> </w:t>
            </w:r>
            <w:r>
              <w:rPr>
                <w:sz w:val="16"/>
              </w:rPr>
              <w:t>Assets,</w:t>
            </w:r>
            <w:r>
              <w:rPr>
                <w:spacing w:val="-3"/>
                <w:sz w:val="16"/>
              </w:rPr>
              <w:t> </w:t>
            </w:r>
            <w:r>
              <w:rPr>
                <w:spacing w:val="-5"/>
                <w:sz w:val="16"/>
              </w:rPr>
              <w:t>net</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Borders>
              <w:top w:val="single" w:sz="8" w:space="0" w:color="000000"/>
            </w:tcBorders>
          </w:tcPr>
          <w:p>
            <w:pPr>
              <w:pStyle w:val="TableParagraph"/>
              <w:tabs>
                <w:tab w:pos="1007" w:val="left" w:leader="none"/>
              </w:tabs>
              <w:spacing w:line="176" w:lineRule="exact"/>
              <w:ind w:right="65"/>
              <w:jc w:val="right"/>
              <w:rPr>
                <w:sz w:val="16"/>
              </w:rPr>
            </w:pPr>
            <w:r>
              <w:rPr>
                <w:spacing w:val="-10"/>
                <w:sz w:val="16"/>
              </w:rPr>
              <w:t>$</w:t>
            </w:r>
            <w:r>
              <w:rPr>
                <w:sz w:val="16"/>
              </w:rPr>
              <w:tab/>
            </w:r>
            <w:r>
              <w:rPr>
                <w:spacing w:val="-5"/>
                <w:sz w:val="16"/>
              </w:rPr>
              <w:t>271</w:t>
            </w:r>
          </w:p>
        </w:tc>
      </w:tr>
      <w:tr>
        <w:trPr>
          <w:trHeight w:val="397" w:hRule="atLeast"/>
        </w:trPr>
        <w:tc>
          <w:tcPr>
            <w:tcW w:w="3600" w:type="dxa"/>
          </w:tcPr>
          <w:p>
            <w:pPr>
              <w:pStyle w:val="TableParagraph"/>
              <w:spacing w:before="1"/>
              <w:ind w:left="52"/>
              <w:rPr>
                <w:sz w:val="16"/>
              </w:rPr>
            </w:pPr>
            <w:r>
              <w:rPr>
                <w:sz w:val="16"/>
              </w:rPr>
              <w:t>Miscellaneous</w:t>
            </w:r>
            <w:r>
              <w:rPr>
                <w:spacing w:val="-9"/>
                <w:sz w:val="16"/>
              </w:rPr>
              <w:t> </w:t>
            </w:r>
            <w:r>
              <w:rPr>
                <w:spacing w:val="-2"/>
                <w:sz w:val="16"/>
              </w:rPr>
              <w:t>assets</w:t>
            </w:r>
          </w:p>
        </w:tc>
        <w:tc>
          <w:tcPr>
            <w:tcW w:w="654" w:type="dxa"/>
          </w:tcPr>
          <w:p>
            <w:pPr>
              <w:pStyle w:val="TableParagraph"/>
              <w:spacing w:before="1"/>
              <w:ind w:left="52"/>
              <w:rPr>
                <w:sz w:val="16"/>
              </w:rPr>
            </w:pPr>
            <w:r>
              <w:rPr>
                <w:spacing w:val="-10"/>
                <w:sz w:val="16"/>
              </w:rPr>
              <w:t>$</w:t>
            </w:r>
          </w:p>
        </w:tc>
        <w:tc>
          <w:tcPr>
            <w:tcW w:w="2218" w:type="dxa"/>
          </w:tcPr>
          <w:p>
            <w:pPr>
              <w:pStyle w:val="TableParagraph"/>
              <w:tabs>
                <w:tab w:pos="1437" w:val="left" w:leader="none"/>
              </w:tabs>
              <w:spacing w:before="1"/>
              <w:ind w:right="88"/>
              <w:jc w:val="right"/>
              <w:rPr>
                <w:sz w:val="16"/>
              </w:rPr>
            </w:pPr>
            <w:r>
              <w:rPr>
                <w:sz w:val="16"/>
              </w:rPr>
              <w:t>—</w:t>
            </w:r>
            <w:r>
              <w:rPr>
                <w:spacing w:val="45"/>
                <w:sz w:val="16"/>
              </w:rPr>
              <w:t>  </w:t>
            </w:r>
            <w:r>
              <w:rPr>
                <w:spacing w:val="-10"/>
                <w:sz w:val="16"/>
              </w:rPr>
              <w:t>$</w:t>
            </w:r>
            <w:r>
              <w:rPr>
                <w:sz w:val="16"/>
              </w:rPr>
              <w:tab/>
            </w:r>
            <w:r>
              <w:rPr>
                <w:spacing w:val="-5"/>
                <w:sz w:val="16"/>
              </w:rPr>
              <w:t>55</w:t>
            </w:r>
          </w:p>
        </w:tc>
        <w:tc>
          <w:tcPr>
            <w:tcW w:w="1492" w:type="dxa"/>
            <w:gridSpan w:val="2"/>
          </w:tcPr>
          <w:p>
            <w:pPr>
              <w:pStyle w:val="TableParagraph"/>
              <w:tabs>
                <w:tab w:pos="1204" w:val="left" w:leader="none"/>
              </w:tabs>
              <w:spacing w:before="1"/>
              <w:ind w:left="90"/>
              <w:rPr>
                <w:sz w:val="16"/>
              </w:rPr>
            </w:pPr>
            <w:r>
              <w:rPr>
                <w:spacing w:val="-10"/>
                <w:sz w:val="16"/>
              </w:rPr>
              <w:t>$</w:t>
            </w:r>
            <w:r>
              <w:rPr>
                <w:sz w:val="16"/>
              </w:rPr>
              <w:tab/>
              <w:t>—</w:t>
            </w:r>
          </w:p>
        </w:tc>
        <w:tc>
          <w:tcPr>
            <w:tcW w:w="1395" w:type="dxa"/>
          </w:tcPr>
          <w:p>
            <w:pPr>
              <w:pStyle w:val="TableParagraph"/>
              <w:tabs>
                <w:tab w:pos="1096" w:val="left" w:leader="none"/>
              </w:tabs>
              <w:spacing w:before="1"/>
              <w:ind w:right="65"/>
              <w:jc w:val="right"/>
              <w:rPr>
                <w:sz w:val="16"/>
              </w:rPr>
            </w:pPr>
            <w:r>
              <w:rPr>
                <w:spacing w:val="-10"/>
                <w:sz w:val="16"/>
              </w:rPr>
              <w:t>$</w:t>
            </w:r>
            <w:r>
              <w:rPr>
                <w:sz w:val="16"/>
              </w:rPr>
              <w:tab/>
            </w:r>
            <w:r>
              <w:rPr>
                <w:spacing w:val="-5"/>
                <w:sz w:val="16"/>
              </w:rPr>
              <w:t>55</w:t>
            </w:r>
          </w:p>
        </w:tc>
      </w:tr>
      <w:tr>
        <w:trPr>
          <w:trHeight w:val="397" w:hRule="atLeast"/>
        </w:trPr>
        <w:tc>
          <w:tcPr>
            <w:tcW w:w="3600" w:type="dxa"/>
          </w:tcPr>
          <w:p>
            <w:pPr>
              <w:pStyle w:val="TableParagraph"/>
              <w:spacing w:before="158"/>
              <w:ind w:left="52"/>
              <w:rPr>
                <w:rFonts w:ascii="Arial"/>
                <w:b/>
                <w:sz w:val="16"/>
              </w:rPr>
            </w:pPr>
            <w:r>
              <w:rPr>
                <w:rFonts w:ascii="Arial"/>
                <w:b/>
                <w:spacing w:val="-2"/>
                <w:sz w:val="16"/>
              </w:rPr>
              <w:t>Liabilities:</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Pr>
          <w:p>
            <w:pPr>
              <w:pStyle w:val="TableParagraph"/>
              <w:rPr>
                <w:rFonts w:ascii="Times New Roman"/>
                <w:sz w:val="16"/>
              </w:rPr>
            </w:pPr>
          </w:p>
        </w:tc>
      </w:tr>
      <w:tr>
        <w:trPr>
          <w:trHeight w:val="250" w:hRule="atLeast"/>
        </w:trPr>
        <w:tc>
          <w:tcPr>
            <w:tcW w:w="3600" w:type="dxa"/>
          </w:tcPr>
          <w:p>
            <w:pPr>
              <w:pStyle w:val="TableParagraph"/>
              <w:spacing w:before="1"/>
              <w:ind w:left="52"/>
              <w:rPr>
                <w:sz w:val="16"/>
              </w:rPr>
            </w:pPr>
            <w:r>
              <w:rPr>
                <w:spacing w:val="-2"/>
                <w:sz w:val="16"/>
              </w:rPr>
              <w:t>Borrowings</w:t>
            </w:r>
          </w:p>
        </w:tc>
        <w:tc>
          <w:tcPr>
            <w:tcW w:w="654" w:type="dxa"/>
          </w:tcPr>
          <w:p>
            <w:pPr>
              <w:pStyle w:val="TableParagraph"/>
              <w:spacing w:before="1"/>
              <w:ind w:left="52"/>
              <w:rPr>
                <w:sz w:val="16"/>
              </w:rPr>
            </w:pPr>
            <w:r>
              <w:rPr>
                <w:spacing w:val="-10"/>
                <w:sz w:val="16"/>
              </w:rPr>
              <w:t>$</w:t>
            </w:r>
          </w:p>
        </w:tc>
        <w:tc>
          <w:tcPr>
            <w:tcW w:w="2218" w:type="dxa"/>
          </w:tcPr>
          <w:p>
            <w:pPr>
              <w:pStyle w:val="TableParagraph"/>
              <w:tabs>
                <w:tab w:pos="1037" w:val="left" w:leader="none"/>
              </w:tabs>
              <w:spacing w:before="1"/>
              <w:ind w:right="87"/>
              <w:jc w:val="right"/>
              <w:rPr>
                <w:sz w:val="16"/>
              </w:rPr>
            </w:pPr>
            <w:r>
              <w:rPr>
                <w:sz w:val="16"/>
              </w:rPr>
              <w:t>—</w:t>
            </w:r>
            <w:r>
              <w:rPr>
                <w:spacing w:val="45"/>
                <w:sz w:val="16"/>
              </w:rPr>
              <w:t>  </w:t>
            </w:r>
            <w:r>
              <w:rPr>
                <w:spacing w:val="-10"/>
                <w:sz w:val="16"/>
              </w:rPr>
              <w:t>$</w:t>
            </w:r>
            <w:r>
              <w:rPr>
                <w:sz w:val="16"/>
              </w:rPr>
              <w:tab/>
            </w:r>
            <w:r>
              <w:rPr>
                <w:spacing w:val="-2"/>
                <w:sz w:val="16"/>
              </w:rPr>
              <w:t>233,658</w:t>
            </w:r>
          </w:p>
        </w:tc>
        <w:tc>
          <w:tcPr>
            <w:tcW w:w="1492" w:type="dxa"/>
            <w:gridSpan w:val="2"/>
          </w:tcPr>
          <w:p>
            <w:pPr>
              <w:pStyle w:val="TableParagraph"/>
              <w:tabs>
                <w:tab w:pos="965" w:val="left" w:leader="none"/>
              </w:tabs>
              <w:spacing w:before="1"/>
              <w:ind w:left="90"/>
              <w:rPr>
                <w:sz w:val="16"/>
              </w:rPr>
            </w:pPr>
            <w:r>
              <w:rPr>
                <w:spacing w:val="-10"/>
                <w:sz w:val="16"/>
              </w:rPr>
              <w:t>$</w:t>
            </w:r>
            <w:r>
              <w:rPr>
                <w:sz w:val="16"/>
              </w:rPr>
              <w:tab/>
            </w:r>
            <w:r>
              <w:rPr>
                <w:spacing w:val="-2"/>
                <w:sz w:val="16"/>
              </w:rPr>
              <w:t>3,607</w:t>
            </w:r>
          </w:p>
        </w:tc>
        <w:tc>
          <w:tcPr>
            <w:tcW w:w="1395" w:type="dxa"/>
          </w:tcPr>
          <w:p>
            <w:pPr>
              <w:pStyle w:val="TableParagraph"/>
              <w:tabs>
                <w:tab w:pos="696" w:val="left" w:leader="none"/>
              </w:tabs>
              <w:spacing w:before="1"/>
              <w:ind w:right="64"/>
              <w:jc w:val="right"/>
              <w:rPr>
                <w:sz w:val="16"/>
              </w:rPr>
            </w:pPr>
            <w:r>
              <w:rPr>
                <w:spacing w:val="-10"/>
                <w:sz w:val="16"/>
              </w:rPr>
              <w:t>$</w:t>
            </w:r>
            <w:r>
              <w:rPr>
                <w:sz w:val="16"/>
              </w:rPr>
              <w:tab/>
            </w:r>
            <w:r>
              <w:rPr>
                <w:spacing w:val="-2"/>
                <w:sz w:val="16"/>
              </w:rPr>
              <w:t>237,265</w:t>
            </w:r>
          </w:p>
        </w:tc>
      </w:tr>
      <w:tr>
        <w:trPr>
          <w:trHeight w:val="226" w:hRule="atLeast"/>
        </w:trPr>
        <w:tc>
          <w:tcPr>
            <w:tcW w:w="3600" w:type="dxa"/>
          </w:tcPr>
          <w:p>
            <w:pPr>
              <w:pStyle w:val="TableParagraph"/>
              <w:spacing w:before="11"/>
              <w:ind w:left="52"/>
              <w:rPr>
                <w:sz w:val="16"/>
              </w:rPr>
            </w:pPr>
            <w:r>
              <w:rPr>
                <w:sz w:val="16"/>
              </w:rPr>
              <w:t>Securities</w:t>
            </w:r>
            <w:r>
              <w:rPr>
                <w:spacing w:val="-5"/>
                <w:sz w:val="16"/>
              </w:rPr>
              <w:t> </w:t>
            </w:r>
            <w:r>
              <w:rPr>
                <w:sz w:val="16"/>
              </w:rPr>
              <w:t>sold</w:t>
            </w:r>
            <w:r>
              <w:rPr>
                <w:spacing w:val="-4"/>
                <w:sz w:val="16"/>
              </w:rPr>
              <w:t> </w:t>
            </w:r>
            <w:r>
              <w:rPr>
                <w:sz w:val="16"/>
              </w:rPr>
              <w:t>under</w:t>
            </w:r>
            <w:r>
              <w:rPr>
                <w:spacing w:val="-5"/>
                <w:sz w:val="16"/>
              </w:rPr>
              <w:t> </w:t>
            </w:r>
            <w:r>
              <w:rPr>
                <w:sz w:val="16"/>
              </w:rPr>
              <w:t>repurchase</w:t>
            </w:r>
            <w:r>
              <w:rPr>
                <w:spacing w:val="-4"/>
                <w:sz w:val="16"/>
              </w:rPr>
              <w:t> </w:t>
            </w:r>
            <w:r>
              <w:rPr>
                <w:spacing w:val="-2"/>
                <w:sz w:val="16"/>
              </w:rPr>
              <w:t>agreements</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Pr>
          <w:p>
            <w:pPr>
              <w:pStyle w:val="TableParagraph"/>
              <w:rPr>
                <w:rFonts w:ascii="Times New Roman"/>
                <w:sz w:val="16"/>
              </w:rPr>
            </w:pPr>
          </w:p>
        </w:tc>
      </w:tr>
      <w:tr>
        <w:trPr>
          <w:trHeight w:val="408" w:hRule="atLeast"/>
        </w:trPr>
        <w:tc>
          <w:tcPr>
            <w:tcW w:w="3600" w:type="dxa"/>
          </w:tcPr>
          <w:p>
            <w:pPr>
              <w:pStyle w:val="TableParagraph"/>
              <w:spacing w:line="161" w:lineRule="exact"/>
              <w:ind w:left="232"/>
              <w:rPr>
                <w:sz w:val="16"/>
              </w:rPr>
            </w:pPr>
            <w:r>
              <w:rPr>
                <w:sz w:val="16"/>
              </w:rPr>
              <w:t>and</w:t>
            </w:r>
            <w:r>
              <w:rPr>
                <w:spacing w:val="-5"/>
                <w:sz w:val="16"/>
              </w:rPr>
              <w:t> </w:t>
            </w:r>
            <w:r>
              <w:rPr>
                <w:sz w:val="16"/>
              </w:rPr>
              <w:t>securities</w:t>
            </w:r>
            <w:r>
              <w:rPr>
                <w:spacing w:val="-4"/>
                <w:sz w:val="16"/>
              </w:rPr>
              <w:t> </w:t>
            </w:r>
            <w:r>
              <w:rPr>
                <w:sz w:val="16"/>
              </w:rPr>
              <w:t>lent</w:t>
            </w:r>
            <w:r>
              <w:rPr>
                <w:spacing w:val="-4"/>
                <w:sz w:val="16"/>
              </w:rPr>
              <w:t> </w:t>
            </w:r>
            <w:r>
              <w:rPr>
                <w:sz w:val="16"/>
              </w:rPr>
              <w:t>under</w:t>
            </w:r>
            <w:r>
              <w:rPr>
                <w:spacing w:val="-4"/>
                <w:sz w:val="16"/>
              </w:rPr>
              <w:t> </w:t>
            </w:r>
            <w:r>
              <w:rPr>
                <w:sz w:val="16"/>
              </w:rPr>
              <w:t>securities</w:t>
            </w:r>
            <w:r>
              <w:rPr>
                <w:spacing w:val="-3"/>
                <w:sz w:val="16"/>
              </w:rPr>
              <w:t> </w:t>
            </w:r>
            <w:r>
              <w:rPr>
                <w:spacing w:val="-2"/>
                <w:sz w:val="16"/>
              </w:rPr>
              <w:t>lending</w:t>
            </w:r>
          </w:p>
          <w:p>
            <w:pPr>
              <w:pStyle w:val="TableParagraph"/>
              <w:spacing w:before="8"/>
              <w:ind w:left="232"/>
              <w:rPr>
                <w:sz w:val="16"/>
              </w:rPr>
            </w:pPr>
            <w:r>
              <w:rPr>
                <w:sz w:val="16"/>
              </w:rPr>
              <w:t>agreements</w:t>
            </w:r>
            <w:r>
              <w:rPr>
                <w:spacing w:val="-7"/>
                <w:sz w:val="16"/>
              </w:rPr>
              <w:t> </w:t>
            </w:r>
            <w:r>
              <w:rPr>
                <w:spacing w:val="-10"/>
                <w:sz w:val="16"/>
                <w:vertAlign w:val="superscript"/>
              </w:rPr>
              <w:t>d</w:t>
            </w:r>
          </w:p>
        </w:tc>
        <w:tc>
          <w:tcPr>
            <w:tcW w:w="654" w:type="dxa"/>
          </w:tcPr>
          <w:p>
            <w:pPr>
              <w:pStyle w:val="TableParagraph"/>
              <w:rPr>
                <w:rFonts w:ascii="Times New Roman"/>
                <w:sz w:val="16"/>
              </w:rPr>
            </w:pPr>
          </w:p>
        </w:tc>
        <w:tc>
          <w:tcPr>
            <w:tcW w:w="2218" w:type="dxa"/>
          </w:tcPr>
          <w:p>
            <w:pPr>
              <w:pStyle w:val="TableParagraph"/>
              <w:tabs>
                <w:tab w:pos="1526" w:val="left" w:leader="none"/>
              </w:tabs>
              <w:spacing w:before="169"/>
              <w:ind w:right="88"/>
              <w:jc w:val="right"/>
              <w:rPr>
                <w:sz w:val="16"/>
              </w:rPr>
            </w:pPr>
            <w:r>
              <w:rPr>
                <w:sz w:val="16"/>
              </w:rPr>
              <w:t>—</w:t>
              <w:tab/>
            </w:r>
            <w:r>
              <w:rPr>
                <w:spacing w:val="-10"/>
                <w:sz w:val="16"/>
              </w:rPr>
              <w:t>9</w:t>
            </w:r>
          </w:p>
        </w:tc>
        <w:tc>
          <w:tcPr>
            <w:tcW w:w="1492" w:type="dxa"/>
            <w:gridSpan w:val="2"/>
          </w:tcPr>
          <w:p>
            <w:pPr>
              <w:pStyle w:val="TableParagraph"/>
              <w:spacing w:before="169"/>
              <w:ind w:right="125"/>
              <w:jc w:val="right"/>
              <w:rPr>
                <w:sz w:val="16"/>
              </w:rPr>
            </w:pPr>
            <w:r>
              <w:rPr>
                <w:sz w:val="16"/>
              </w:rPr>
              <w:t>—</w:t>
            </w:r>
          </w:p>
        </w:tc>
        <w:tc>
          <w:tcPr>
            <w:tcW w:w="1395" w:type="dxa"/>
          </w:tcPr>
          <w:p>
            <w:pPr>
              <w:pStyle w:val="TableParagraph"/>
              <w:spacing w:before="169"/>
              <w:ind w:right="65"/>
              <w:jc w:val="right"/>
              <w:rPr>
                <w:sz w:val="16"/>
              </w:rPr>
            </w:pPr>
            <w:r>
              <w:rPr>
                <w:spacing w:val="-10"/>
                <w:sz w:val="16"/>
              </w:rPr>
              <w:t>9</w:t>
            </w:r>
          </w:p>
        </w:tc>
      </w:tr>
      <w:tr>
        <w:trPr>
          <w:trHeight w:val="229" w:hRule="atLeast"/>
        </w:trPr>
        <w:tc>
          <w:tcPr>
            <w:tcW w:w="3600" w:type="dxa"/>
          </w:tcPr>
          <w:p>
            <w:pPr>
              <w:pStyle w:val="TableParagraph"/>
              <w:spacing w:before="1"/>
              <w:ind w:left="52"/>
              <w:rPr>
                <w:sz w:val="16"/>
              </w:rPr>
            </w:pPr>
            <w:r>
              <w:rPr>
                <w:sz w:val="16"/>
              </w:rPr>
              <w:t>Derivative</w:t>
            </w:r>
            <w:r>
              <w:rPr>
                <w:spacing w:val="-6"/>
                <w:sz w:val="16"/>
              </w:rPr>
              <w:t> </w:t>
            </w:r>
            <w:r>
              <w:rPr>
                <w:spacing w:val="-2"/>
                <w:sz w:val="16"/>
              </w:rPr>
              <w:t>Liabilities</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1492" w:type="dxa"/>
            <w:gridSpan w:val="2"/>
          </w:tcPr>
          <w:p>
            <w:pPr>
              <w:pStyle w:val="TableParagraph"/>
              <w:rPr>
                <w:rFonts w:ascii="Times New Roman"/>
                <w:sz w:val="16"/>
              </w:rPr>
            </w:pPr>
          </w:p>
        </w:tc>
        <w:tc>
          <w:tcPr>
            <w:tcW w:w="1395" w:type="dxa"/>
          </w:tcPr>
          <w:p>
            <w:pPr>
              <w:pStyle w:val="TableParagraph"/>
              <w:rPr>
                <w:rFonts w:ascii="Times New Roman"/>
                <w:sz w:val="16"/>
              </w:rPr>
            </w:pPr>
          </w:p>
        </w:tc>
      </w:tr>
      <w:tr>
        <w:trPr>
          <w:trHeight w:val="250" w:hRule="atLeast"/>
        </w:trPr>
        <w:tc>
          <w:tcPr>
            <w:tcW w:w="3600" w:type="dxa"/>
          </w:tcPr>
          <w:p>
            <w:pPr>
              <w:pStyle w:val="TableParagraph"/>
              <w:spacing w:before="12"/>
              <w:ind w:left="412"/>
              <w:rPr>
                <w:sz w:val="16"/>
              </w:rPr>
            </w:pPr>
            <w:r>
              <w:rPr>
                <w:sz w:val="16"/>
              </w:rPr>
              <w:t>Currency</w:t>
            </w:r>
            <w:r>
              <w:rPr>
                <w:spacing w:val="-4"/>
                <w:sz w:val="16"/>
              </w:rPr>
              <w:t> </w:t>
            </w:r>
            <w:r>
              <w:rPr>
                <w:sz w:val="16"/>
              </w:rPr>
              <w:t>swaps</w:t>
            </w:r>
            <w:r>
              <w:rPr>
                <w:spacing w:val="-4"/>
                <w:sz w:val="16"/>
              </w:rPr>
              <w:t> </w:t>
            </w:r>
            <w:r>
              <w:rPr>
                <w:spacing w:val="-10"/>
                <w:sz w:val="16"/>
                <w:vertAlign w:val="superscript"/>
              </w:rPr>
              <w:t>b</w:t>
            </w:r>
          </w:p>
        </w:tc>
        <w:tc>
          <w:tcPr>
            <w:tcW w:w="654" w:type="dxa"/>
          </w:tcPr>
          <w:p>
            <w:pPr>
              <w:pStyle w:val="TableParagraph"/>
              <w:rPr>
                <w:rFonts w:ascii="Times New Roman"/>
                <w:sz w:val="16"/>
              </w:rPr>
            </w:pPr>
          </w:p>
        </w:tc>
        <w:tc>
          <w:tcPr>
            <w:tcW w:w="2218" w:type="dxa"/>
          </w:tcPr>
          <w:p>
            <w:pPr>
              <w:pStyle w:val="TableParagraph"/>
              <w:tabs>
                <w:tab w:pos="1126" w:val="left" w:leader="none"/>
              </w:tabs>
              <w:spacing w:before="12"/>
              <w:ind w:right="87"/>
              <w:jc w:val="right"/>
              <w:rPr>
                <w:sz w:val="16"/>
              </w:rPr>
            </w:pPr>
            <w:r>
              <w:rPr>
                <w:sz w:val="16"/>
              </w:rPr>
              <w:t>—</w:t>
              <w:tab/>
            </w:r>
            <w:r>
              <w:rPr>
                <w:spacing w:val="-2"/>
                <w:sz w:val="16"/>
              </w:rPr>
              <w:t>11,429</w:t>
            </w:r>
          </w:p>
        </w:tc>
        <w:tc>
          <w:tcPr>
            <w:tcW w:w="1492" w:type="dxa"/>
            <w:gridSpan w:val="2"/>
          </w:tcPr>
          <w:p>
            <w:pPr>
              <w:pStyle w:val="TableParagraph"/>
              <w:spacing w:before="12"/>
              <w:ind w:right="125"/>
              <w:jc w:val="right"/>
              <w:rPr>
                <w:sz w:val="16"/>
              </w:rPr>
            </w:pPr>
            <w:r>
              <w:rPr>
                <w:spacing w:val="-5"/>
                <w:sz w:val="16"/>
              </w:rPr>
              <w:t>135</w:t>
            </w:r>
          </w:p>
        </w:tc>
        <w:tc>
          <w:tcPr>
            <w:tcW w:w="1395" w:type="dxa"/>
          </w:tcPr>
          <w:p>
            <w:pPr>
              <w:pStyle w:val="TableParagraph"/>
              <w:spacing w:before="12"/>
              <w:ind w:right="64"/>
              <w:jc w:val="right"/>
              <w:rPr>
                <w:sz w:val="16"/>
              </w:rPr>
            </w:pPr>
            <w:r>
              <w:rPr>
                <w:spacing w:val="-2"/>
                <w:sz w:val="16"/>
              </w:rPr>
              <w:t>11,564</w:t>
            </w:r>
          </w:p>
        </w:tc>
      </w:tr>
      <w:tr>
        <w:trPr>
          <w:trHeight w:val="229" w:hRule="atLeast"/>
        </w:trPr>
        <w:tc>
          <w:tcPr>
            <w:tcW w:w="3600" w:type="dxa"/>
          </w:tcPr>
          <w:p>
            <w:pPr>
              <w:pStyle w:val="TableParagraph"/>
              <w:spacing w:before="1"/>
              <w:ind w:left="412"/>
              <w:rPr>
                <w:sz w:val="16"/>
              </w:rPr>
            </w:pPr>
            <w:r>
              <w:rPr>
                <w:sz w:val="16"/>
              </w:rPr>
              <w:t>Interest</w:t>
            </w:r>
            <w:r>
              <w:rPr>
                <w:spacing w:val="-3"/>
                <w:sz w:val="16"/>
              </w:rPr>
              <w:t> </w:t>
            </w:r>
            <w:r>
              <w:rPr>
                <w:sz w:val="16"/>
              </w:rPr>
              <w:t>rate</w:t>
            </w:r>
            <w:r>
              <w:rPr>
                <w:spacing w:val="-2"/>
                <w:sz w:val="16"/>
              </w:rPr>
              <w:t> swaps</w:t>
            </w:r>
          </w:p>
        </w:tc>
        <w:tc>
          <w:tcPr>
            <w:tcW w:w="654" w:type="dxa"/>
          </w:tcPr>
          <w:p>
            <w:pPr>
              <w:pStyle w:val="TableParagraph"/>
              <w:rPr>
                <w:rFonts w:ascii="Times New Roman"/>
                <w:sz w:val="16"/>
              </w:rPr>
            </w:pPr>
          </w:p>
        </w:tc>
        <w:tc>
          <w:tcPr>
            <w:tcW w:w="2218" w:type="dxa"/>
          </w:tcPr>
          <w:p>
            <w:pPr>
              <w:pStyle w:val="TableParagraph"/>
              <w:tabs>
                <w:tab w:pos="1126" w:val="left" w:leader="none"/>
              </w:tabs>
              <w:spacing w:before="1"/>
              <w:ind w:right="87"/>
              <w:jc w:val="right"/>
              <w:rPr>
                <w:sz w:val="16"/>
              </w:rPr>
            </w:pPr>
            <w:r>
              <w:rPr>
                <w:sz w:val="16"/>
              </w:rPr>
              <w:t>—</w:t>
              <w:tab/>
            </w:r>
            <w:r>
              <w:rPr>
                <w:spacing w:val="-2"/>
                <w:sz w:val="16"/>
              </w:rPr>
              <w:t>27,965</w:t>
            </w:r>
          </w:p>
        </w:tc>
        <w:tc>
          <w:tcPr>
            <w:tcW w:w="1492" w:type="dxa"/>
            <w:gridSpan w:val="2"/>
          </w:tcPr>
          <w:p>
            <w:pPr>
              <w:pStyle w:val="TableParagraph"/>
              <w:spacing w:before="1"/>
              <w:ind w:right="125"/>
              <w:jc w:val="right"/>
              <w:rPr>
                <w:sz w:val="16"/>
              </w:rPr>
            </w:pPr>
            <w:r>
              <w:rPr>
                <w:spacing w:val="-5"/>
                <w:sz w:val="16"/>
              </w:rPr>
              <w:t>207</w:t>
            </w:r>
          </w:p>
        </w:tc>
        <w:tc>
          <w:tcPr>
            <w:tcW w:w="1395" w:type="dxa"/>
          </w:tcPr>
          <w:p>
            <w:pPr>
              <w:pStyle w:val="TableParagraph"/>
              <w:spacing w:before="1"/>
              <w:ind w:right="64"/>
              <w:jc w:val="right"/>
              <w:rPr>
                <w:sz w:val="16"/>
              </w:rPr>
            </w:pPr>
            <w:r>
              <w:rPr>
                <w:spacing w:val="-2"/>
                <w:sz w:val="16"/>
              </w:rPr>
              <w:t>28,172</w:t>
            </w:r>
          </w:p>
        </w:tc>
      </w:tr>
      <w:tr>
        <w:trPr>
          <w:trHeight w:val="239" w:hRule="atLeast"/>
        </w:trPr>
        <w:tc>
          <w:tcPr>
            <w:tcW w:w="3600" w:type="dxa"/>
          </w:tcPr>
          <w:p>
            <w:pPr>
              <w:pStyle w:val="TableParagraph"/>
              <w:spacing w:before="12"/>
              <w:ind w:left="412"/>
              <w:rPr>
                <w:sz w:val="16"/>
              </w:rPr>
            </w:pPr>
            <w:r>
              <w:rPr>
                <w:sz w:val="16"/>
              </w:rPr>
              <w:t>Other</w:t>
            </w:r>
            <w:r>
              <w:rPr>
                <w:spacing w:val="-5"/>
                <w:sz w:val="16"/>
              </w:rPr>
              <w:t> </w:t>
            </w:r>
            <w:r>
              <w:rPr>
                <w:spacing w:val="-10"/>
                <w:sz w:val="16"/>
                <w:vertAlign w:val="superscript"/>
              </w:rPr>
              <w:t>c</w:t>
            </w:r>
          </w:p>
        </w:tc>
        <w:tc>
          <w:tcPr>
            <w:tcW w:w="654" w:type="dxa"/>
            <w:tcBorders>
              <w:bottom w:val="single" w:sz="8" w:space="0" w:color="000000"/>
            </w:tcBorders>
          </w:tcPr>
          <w:p>
            <w:pPr>
              <w:pStyle w:val="TableParagraph"/>
              <w:rPr>
                <w:rFonts w:ascii="Times New Roman"/>
                <w:sz w:val="16"/>
              </w:rPr>
            </w:pPr>
          </w:p>
        </w:tc>
        <w:tc>
          <w:tcPr>
            <w:tcW w:w="2218" w:type="dxa"/>
            <w:tcBorders>
              <w:bottom w:val="single" w:sz="8" w:space="0" w:color="000000"/>
            </w:tcBorders>
          </w:tcPr>
          <w:p>
            <w:pPr>
              <w:pStyle w:val="TableParagraph"/>
              <w:tabs>
                <w:tab w:pos="1383" w:val="left" w:leader="none"/>
              </w:tabs>
              <w:spacing w:before="12"/>
              <w:ind w:right="88"/>
              <w:jc w:val="right"/>
              <w:rPr>
                <w:sz w:val="16"/>
              </w:rPr>
            </w:pPr>
            <w:r>
              <w:rPr>
                <w:spacing w:val="-10"/>
                <w:sz w:val="16"/>
              </w:rPr>
              <w:t>6</w:t>
            </w:r>
            <w:r>
              <w:rPr>
                <w:sz w:val="16"/>
              </w:rPr>
              <w:tab/>
              <w:t>—</w:t>
            </w:r>
          </w:p>
        </w:tc>
        <w:tc>
          <w:tcPr>
            <w:tcW w:w="1492" w:type="dxa"/>
            <w:gridSpan w:val="2"/>
            <w:tcBorders>
              <w:bottom w:val="single" w:sz="8" w:space="0" w:color="000000"/>
            </w:tcBorders>
          </w:tcPr>
          <w:p>
            <w:pPr>
              <w:pStyle w:val="TableParagraph"/>
              <w:spacing w:before="12"/>
              <w:ind w:right="125"/>
              <w:jc w:val="right"/>
              <w:rPr>
                <w:sz w:val="16"/>
              </w:rPr>
            </w:pPr>
            <w:r>
              <w:rPr>
                <w:sz w:val="16"/>
              </w:rPr>
              <w:t>—</w:t>
            </w:r>
          </w:p>
        </w:tc>
        <w:tc>
          <w:tcPr>
            <w:tcW w:w="1395" w:type="dxa"/>
            <w:tcBorders>
              <w:bottom w:val="single" w:sz="8" w:space="0" w:color="000000"/>
            </w:tcBorders>
          </w:tcPr>
          <w:p>
            <w:pPr>
              <w:pStyle w:val="TableParagraph"/>
              <w:spacing w:before="12"/>
              <w:ind w:right="65"/>
              <w:jc w:val="right"/>
              <w:rPr>
                <w:sz w:val="16"/>
              </w:rPr>
            </w:pPr>
            <w:r>
              <w:rPr>
                <w:spacing w:val="-10"/>
                <w:sz w:val="16"/>
              </w:rPr>
              <w:t>6</w:t>
            </w:r>
          </w:p>
        </w:tc>
      </w:tr>
      <w:tr>
        <w:trPr>
          <w:trHeight w:val="200" w:hRule="atLeast"/>
        </w:trPr>
        <w:tc>
          <w:tcPr>
            <w:tcW w:w="3600" w:type="dxa"/>
          </w:tcPr>
          <w:p>
            <w:pPr>
              <w:pStyle w:val="TableParagraph"/>
              <w:rPr>
                <w:rFonts w:ascii="Times New Roman"/>
                <w:sz w:val="12"/>
              </w:rPr>
            </w:pPr>
          </w:p>
        </w:tc>
        <w:tc>
          <w:tcPr>
            <w:tcW w:w="654" w:type="dxa"/>
            <w:tcBorders>
              <w:top w:val="single" w:sz="8" w:space="0" w:color="000000"/>
            </w:tcBorders>
          </w:tcPr>
          <w:p>
            <w:pPr>
              <w:pStyle w:val="TableParagraph"/>
              <w:spacing w:line="176" w:lineRule="exact"/>
              <w:ind w:left="52"/>
              <w:rPr>
                <w:sz w:val="16"/>
              </w:rPr>
            </w:pPr>
            <w:r>
              <w:rPr>
                <w:spacing w:val="-10"/>
                <w:sz w:val="16"/>
              </w:rPr>
              <w:t>$</w:t>
            </w:r>
          </w:p>
        </w:tc>
        <w:tc>
          <w:tcPr>
            <w:tcW w:w="2218" w:type="dxa"/>
            <w:tcBorders>
              <w:top w:val="single" w:sz="8" w:space="0" w:color="000000"/>
            </w:tcBorders>
          </w:tcPr>
          <w:p>
            <w:pPr>
              <w:pStyle w:val="TableParagraph"/>
              <w:tabs>
                <w:tab w:pos="1055" w:val="left" w:leader="none"/>
              </w:tabs>
              <w:spacing w:line="176" w:lineRule="exact"/>
              <w:ind w:right="87"/>
              <w:jc w:val="right"/>
              <w:rPr>
                <w:sz w:val="16"/>
              </w:rPr>
            </w:pPr>
            <w:r>
              <w:rPr>
                <w:sz w:val="16"/>
              </w:rPr>
              <w:t>6</w:t>
            </w:r>
            <w:r>
              <w:rPr>
                <w:spacing w:val="45"/>
                <w:sz w:val="16"/>
              </w:rPr>
              <w:t>  </w:t>
            </w:r>
            <w:r>
              <w:rPr>
                <w:spacing w:val="-10"/>
                <w:sz w:val="16"/>
              </w:rPr>
              <w:t>$</w:t>
            </w:r>
            <w:r>
              <w:rPr>
                <w:sz w:val="16"/>
              </w:rPr>
              <w:tab/>
            </w:r>
            <w:r>
              <w:rPr>
                <w:spacing w:val="-2"/>
                <w:sz w:val="16"/>
              </w:rPr>
              <w:t>39,394</w:t>
            </w:r>
          </w:p>
        </w:tc>
        <w:tc>
          <w:tcPr>
            <w:tcW w:w="1492" w:type="dxa"/>
            <w:gridSpan w:val="2"/>
            <w:tcBorders>
              <w:top w:val="single" w:sz="8" w:space="0" w:color="000000"/>
            </w:tcBorders>
          </w:tcPr>
          <w:p>
            <w:pPr>
              <w:pStyle w:val="TableParagraph"/>
              <w:tabs>
                <w:tab w:pos="1098" w:val="left" w:leader="none"/>
              </w:tabs>
              <w:spacing w:line="176" w:lineRule="exact"/>
              <w:ind w:left="90"/>
              <w:rPr>
                <w:sz w:val="16"/>
              </w:rPr>
            </w:pPr>
            <w:r>
              <w:rPr>
                <w:spacing w:val="-10"/>
                <w:sz w:val="16"/>
              </w:rPr>
              <w:t>$</w:t>
            </w:r>
            <w:r>
              <w:rPr>
                <w:sz w:val="16"/>
              </w:rPr>
              <w:tab/>
            </w:r>
            <w:r>
              <w:rPr>
                <w:spacing w:val="-5"/>
                <w:sz w:val="16"/>
              </w:rPr>
              <w:t>342</w:t>
            </w:r>
          </w:p>
        </w:tc>
        <w:tc>
          <w:tcPr>
            <w:tcW w:w="1395" w:type="dxa"/>
            <w:tcBorders>
              <w:top w:val="single" w:sz="8" w:space="0" w:color="000000"/>
            </w:tcBorders>
          </w:tcPr>
          <w:p>
            <w:pPr>
              <w:pStyle w:val="TableParagraph"/>
              <w:tabs>
                <w:tab w:pos="785" w:val="left" w:leader="none"/>
              </w:tabs>
              <w:spacing w:line="176" w:lineRule="exact"/>
              <w:ind w:right="64"/>
              <w:jc w:val="right"/>
              <w:rPr>
                <w:sz w:val="16"/>
              </w:rPr>
            </w:pPr>
            <w:r>
              <w:rPr>
                <w:spacing w:val="-10"/>
                <w:sz w:val="16"/>
              </w:rPr>
              <w:t>$</w:t>
            </w:r>
            <w:r>
              <w:rPr>
                <w:sz w:val="16"/>
              </w:rPr>
              <w:tab/>
            </w:r>
            <w:r>
              <w:rPr>
                <w:spacing w:val="-2"/>
                <w:sz w:val="16"/>
              </w:rPr>
              <w:t>39,742</w:t>
            </w:r>
          </w:p>
        </w:tc>
      </w:tr>
      <w:tr>
        <w:trPr>
          <w:trHeight w:val="482" w:hRule="atLeast"/>
        </w:trPr>
        <w:tc>
          <w:tcPr>
            <w:tcW w:w="3600" w:type="dxa"/>
          </w:tcPr>
          <w:p>
            <w:pPr>
              <w:pStyle w:val="TableParagraph"/>
              <w:spacing w:before="31"/>
              <w:ind w:left="52"/>
              <w:rPr>
                <w:sz w:val="16"/>
              </w:rPr>
            </w:pPr>
            <w:r>
              <w:rPr>
                <w:spacing w:val="-2"/>
                <w:sz w:val="16"/>
              </w:rPr>
              <w:t>Less:</w:t>
            </w:r>
          </w:p>
          <w:p>
            <w:pPr>
              <w:pStyle w:val="TableParagraph"/>
              <w:spacing w:before="59"/>
              <w:ind w:left="52"/>
              <w:rPr>
                <w:sz w:val="16"/>
              </w:rPr>
            </w:pPr>
            <w:r>
              <w:rPr>
                <w:sz w:val="16"/>
              </w:rPr>
              <w:t>Amounts</w:t>
            </w:r>
            <w:r>
              <w:rPr>
                <w:spacing w:val="-5"/>
                <w:sz w:val="16"/>
              </w:rPr>
              <w:t> </w:t>
            </w:r>
            <w:r>
              <w:rPr>
                <w:sz w:val="16"/>
              </w:rPr>
              <w:t>subject</w:t>
            </w:r>
            <w:r>
              <w:rPr>
                <w:spacing w:val="-4"/>
                <w:sz w:val="16"/>
              </w:rPr>
              <w:t> </w:t>
            </w:r>
            <w:r>
              <w:rPr>
                <w:sz w:val="16"/>
              </w:rPr>
              <w:t>to</w:t>
            </w:r>
            <w:r>
              <w:rPr>
                <w:spacing w:val="-5"/>
                <w:sz w:val="16"/>
              </w:rPr>
              <w:t> </w:t>
            </w:r>
            <w:r>
              <w:rPr>
                <w:sz w:val="16"/>
              </w:rPr>
              <w:t>legally</w:t>
            </w:r>
            <w:r>
              <w:rPr>
                <w:spacing w:val="-4"/>
                <w:sz w:val="16"/>
              </w:rPr>
              <w:t> </w:t>
            </w:r>
            <w:r>
              <w:rPr>
                <w:sz w:val="16"/>
              </w:rPr>
              <w:t>enforceable</w:t>
            </w:r>
            <w:r>
              <w:rPr>
                <w:spacing w:val="-4"/>
                <w:sz w:val="16"/>
              </w:rPr>
              <w:t> </w:t>
            </w:r>
            <w:r>
              <w:rPr>
                <w:spacing w:val="-2"/>
                <w:sz w:val="16"/>
              </w:rPr>
              <w:t>master</w:t>
            </w:r>
          </w:p>
        </w:tc>
        <w:tc>
          <w:tcPr>
            <w:tcW w:w="654" w:type="dxa"/>
          </w:tcPr>
          <w:p>
            <w:pPr>
              <w:pStyle w:val="TableParagraph"/>
              <w:rPr>
                <w:rFonts w:ascii="Times New Roman"/>
                <w:sz w:val="16"/>
              </w:rPr>
            </w:pPr>
          </w:p>
        </w:tc>
        <w:tc>
          <w:tcPr>
            <w:tcW w:w="2218" w:type="dxa"/>
          </w:tcPr>
          <w:p>
            <w:pPr>
              <w:pStyle w:val="TableParagraph"/>
              <w:rPr>
                <w:rFonts w:ascii="Times New Roman"/>
                <w:sz w:val="16"/>
              </w:rPr>
            </w:pPr>
          </w:p>
        </w:tc>
        <w:tc>
          <w:tcPr>
            <w:tcW w:w="328" w:type="dxa"/>
          </w:tcPr>
          <w:p>
            <w:pPr>
              <w:pStyle w:val="TableParagraph"/>
              <w:rPr>
                <w:rFonts w:ascii="Times New Roman"/>
                <w:sz w:val="16"/>
              </w:rPr>
            </w:pPr>
          </w:p>
        </w:tc>
        <w:tc>
          <w:tcPr>
            <w:tcW w:w="1164" w:type="dxa"/>
          </w:tcPr>
          <w:p>
            <w:pPr>
              <w:pStyle w:val="TableParagraph"/>
              <w:rPr>
                <w:rFonts w:ascii="Times New Roman"/>
                <w:sz w:val="16"/>
              </w:rPr>
            </w:pPr>
          </w:p>
        </w:tc>
        <w:tc>
          <w:tcPr>
            <w:tcW w:w="1395" w:type="dxa"/>
          </w:tcPr>
          <w:p>
            <w:pPr>
              <w:pStyle w:val="TableParagraph"/>
              <w:rPr>
                <w:rFonts w:ascii="Times New Roman"/>
                <w:sz w:val="16"/>
              </w:rPr>
            </w:pPr>
          </w:p>
        </w:tc>
      </w:tr>
      <w:tr>
        <w:trPr>
          <w:trHeight w:val="211" w:hRule="atLeast"/>
        </w:trPr>
        <w:tc>
          <w:tcPr>
            <w:tcW w:w="7964" w:type="dxa"/>
            <w:gridSpan w:val="5"/>
          </w:tcPr>
          <w:p>
            <w:pPr>
              <w:pStyle w:val="TableParagraph"/>
              <w:spacing w:line="176" w:lineRule="exact"/>
              <w:ind w:left="142"/>
              <w:rPr>
                <w:sz w:val="16"/>
              </w:rPr>
            </w:pPr>
            <w:r>
              <w:rPr>
                <w:sz w:val="16"/>
              </w:rPr>
              <w:t>netting</w:t>
            </w:r>
            <w:r>
              <w:rPr>
                <w:spacing w:val="-8"/>
                <w:sz w:val="16"/>
              </w:rPr>
              <w:t> </w:t>
            </w:r>
            <w:r>
              <w:rPr>
                <w:sz w:val="16"/>
              </w:rPr>
              <w:t>agreements</w:t>
            </w:r>
            <w:r>
              <w:rPr>
                <w:spacing w:val="-6"/>
                <w:sz w:val="16"/>
              </w:rPr>
              <w:t> </w:t>
            </w:r>
            <w:r>
              <w:rPr>
                <w:spacing w:val="-10"/>
                <w:sz w:val="16"/>
                <w:vertAlign w:val="superscript"/>
              </w:rPr>
              <w:t>f</w:t>
            </w:r>
          </w:p>
        </w:tc>
        <w:tc>
          <w:tcPr>
            <w:tcW w:w="1395" w:type="dxa"/>
            <w:tcBorders>
              <w:bottom w:val="single" w:sz="8" w:space="0" w:color="000000"/>
            </w:tcBorders>
          </w:tcPr>
          <w:p>
            <w:pPr>
              <w:pStyle w:val="TableParagraph"/>
              <w:spacing w:line="176" w:lineRule="exact"/>
              <w:ind w:right="64"/>
              <w:jc w:val="right"/>
              <w:rPr>
                <w:sz w:val="16"/>
              </w:rPr>
            </w:pPr>
            <w:r>
              <w:rPr>
                <w:spacing w:val="-2"/>
                <w:sz w:val="16"/>
              </w:rPr>
              <w:t>12,849</w:t>
            </w:r>
          </w:p>
        </w:tc>
      </w:tr>
      <w:tr>
        <w:trPr>
          <w:trHeight w:val="295" w:hRule="atLeast"/>
        </w:trPr>
        <w:tc>
          <w:tcPr>
            <w:tcW w:w="7964" w:type="dxa"/>
            <w:gridSpan w:val="5"/>
            <w:tcBorders>
              <w:bottom w:val="single" w:sz="8" w:space="0" w:color="000000"/>
            </w:tcBorders>
          </w:tcPr>
          <w:p>
            <w:pPr>
              <w:pStyle w:val="TableParagraph"/>
              <w:spacing w:line="176" w:lineRule="exact"/>
              <w:ind w:left="52"/>
              <w:rPr>
                <w:sz w:val="16"/>
              </w:rPr>
            </w:pPr>
            <w:r>
              <w:rPr>
                <w:sz w:val="16"/>
              </w:rPr>
              <w:t>Derivative</w:t>
            </w:r>
            <w:r>
              <w:rPr>
                <w:spacing w:val="-8"/>
                <w:sz w:val="16"/>
              </w:rPr>
              <w:t> </w:t>
            </w:r>
            <w:r>
              <w:rPr>
                <w:sz w:val="16"/>
              </w:rPr>
              <w:t>Liabilities,</w:t>
            </w:r>
            <w:r>
              <w:rPr>
                <w:spacing w:val="-7"/>
                <w:sz w:val="16"/>
              </w:rPr>
              <w:t> </w:t>
            </w:r>
            <w:r>
              <w:rPr>
                <w:spacing w:val="-5"/>
                <w:sz w:val="16"/>
              </w:rPr>
              <w:t>net</w:t>
            </w:r>
          </w:p>
        </w:tc>
        <w:tc>
          <w:tcPr>
            <w:tcW w:w="1395" w:type="dxa"/>
            <w:tcBorders>
              <w:top w:val="single" w:sz="8" w:space="0" w:color="000000"/>
              <w:bottom w:val="single" w:sz="8" w:space="0" w:color="000000"/>
            </w:tcBorders>
          </w:tcPr>
          <w:p>
            <w:pPr>
              <w:pStyle w:val="TableParagraph"/>
              <w:tabs>
                <w:tab w:pos="785" w:val="left" w:leader="none"/>
              </w:tabs>
              <w:spacing w:line="176" w:lineRule="exact"/>
              <w:ind w:right="64"/>
              <w:jc w:val="right"/>
              <w:rPr>
                <w:sz w:val="16"/>
              </w:rPr>
            </w:pPr>
            <w:r>
              <w:rPr>
                <w:spacing w:val="-10"/>
                <w:sz w:val="16"/>
              </w:rPr>
              <w:t>$</w:t>
            </w:r>
            <w:r>
              <w:rPr>
                <w:sz w:val="16"/>
              </w:rPr>
              <w:tab/>
            </w:r>
            <w:r>
              <w:rPr>
                <w:spacing w:val="-2"/>
                <w:sz w:val="16"/>
              </w:rPr>
              <w:t>26,893</w:t>
            </w:r>
          </w:p>
        </w:tc>
      </w:tr>
    </w:tbl>
    <w:p>
      <w:pPr>
        <w:pStyle w:val="ListParagraph"/>
        <w:numPr>
          <w:ilvl w:val="0"/>
          <w:numId w:val="46"/>
        </w:numPr>
        <w:tabs>
          <w:tab w:pos="948" w:val="left" w:leader="none"/>
        </w:tabs>
        <w:spacing w:line="240" w:lineRule="auto" w:before="0" w:after="0"/>
        <w:ind w:left="948" w:right="0" w:hanging="176"/>
        <w:jc w:val="left"/>
        <w:rPr>
          <w:rFonts w:ascii="Arial"/>
          <w:i/>
          <w:sz w:val="16"/>
        </w:rPr>
      </w:pPr>
      <w:r>
        <w:rPr>
          <w:rFonts w:ascii="Arial"/>
          <w:i/>
          <w:sz w:val="16"/>
        </w:rPr>
        <w:t>Investments</w:t>
      </w:r>
      <w:r>
        <w:rPr>
          <w:rFonts w:ascii="Arial"/>
          <w:i/>
          <w:spacing w:val="-5"/>
          <w:sz w:val="16"/>
        </w:rPr>
        <w:t> </w:t>
      </w:r>
      <w:r>
        <w:rPr>
          <w:rFonts w:ascii="Arial"/>
          <w:i/>
          <w:sz w:val="16"/>
        </w:rPr>
        <w:t>at</w:t>
      </w:r>
      <w:r>
        <w:rPr>
          <w:rFonts w:ascii="Arial"/>
          <w:i/>
          <w:spacing w:val="-2"/>
          <w:sz w:val="16"/>
        </w:rPr>
        <w:t> </w:t>
      </w:r>
      <w:r>
        <w:rPr>
          <w:rFonts w:ascii="Arial"/>
          <w:i/>
          <w:sz w:val="16"/>
        </w:rPr>
        <w:t>NAV</w:t>
      </w:r>
      <w:r>
        <w:rPr>
          <w:rFonts w:ascii="Arial"/>
          <w:i/>
          <w:spacing w:val="-3"/>
          <w:sz w:val="16"/>
        </w:rPr>
        <w:t> </w:t>
      </w:r>
      <w:r>
        <w:rPr>
          <w:rFonts w:ascii="Arial"/>
          <w:i/>
          <w:sz w:val="16"/>
        </w:rPr>
        <w:t>related</w:t>
      </w:r>
      <w:r>
        <w:rPr>
          <w:rFonts w:ascii="Arial"/>
          <w:i/>
          <w:spacing w:val="-3"/>
          <w:sz w:val="16"/>
        </w:rPr>
        <w:t> </w:t>
      </w:r>
      <w:r>
        <w:rPr>
          <w:rFonts w:ascii="Arial"/>
          <w:i/>
          <w:sz w:val="16"/>
        </w:rPr>
        <w:t>to</w:t>
      </w:r>
      <w:r>
        <w:rPr>
          <w:rFonts w:ascii="Arial"/>
          <w:i/>
          <w:spacing w:val="-4"/>
          <w:sz w:val="16"/>
        </w:rPr>
        <w:t> </w:t>
      </w:r>
      <w:r>
        <w:rPr>
          <w:rFonts w:ascii="Arial"/>
          <w:i/>
          <w:sz w:val="16"/>
        </w:rPr>
        <w:t>PEBP</w:t>
      </w:r>
      <w:r>
        <w:rPr>
          <w:rFonts w:ascii="Arial"/>
          <w:i/>
          <w:spacing w:val="-2"/>
          <w:sz w:val="16"/>
        </w:rPr>
        <w:t> </w:t>
      </w:r>
      <w:r>
        <w:rPr>
          <w:rFonts w:ascii="Arial"/>
          <w:i/>
          <w:sz w:val="16"/>
        </w:rPr>
        <w:t>holdings,</w:t>
      </w:r>
      <w:r>
        <w:rPr>
          <w:rFonts w:ascii="Arial"/>
          <w:i/>
          <w:spacing w:val="-3"/>
          <w:sz w:val="16"/>
        </w:rPr>
        <w:t> </w:t>
      </w:r>
      <w:r>
        <w:rPr>
          <w:rFonts w:ascii="Arial"/>
          <w:i/>
          <w:sz w:val="16"/>
        </w:rPr>
        <w:t>not</w:t>
      </w:r>
      <w:r>
        <w:rPr>
          <w:rFonts w:ascii="Arial"/>
          <w:i/>
          <w:spacing w:val="-2"/>
          <w:sz w:val="16"/>
        </w:rPr>
        <w:t> </w:t>
      </w:r>
      <w:r>
        <w:rPr>
          <w:rFonts w:ascii="Arial"/>
          <w:i/>
          <w:sz w:val="16"/>
        </w:rPr>
        <w:t>included</w:t>
      </w:r>
      <w:r>
        <w:rPr>
          <w:rFonts w:ascii="Arial"/>
          <w:i/>
          <w:spacing w:val="-4"/>
          <w:sz w:val="16"/>
        </w:rPr>
        <w:t> </w:t>
      </w:r>
      <w:r>
        <w:rPr>
          <w:rFonts w:ascii="Arial"/>
          <w:i/>
          <w:sz w:val="16"/>
        </w:rPr>
        <w:t>in</w:t>
      </w:r>
      <w:r>
        <w:rPr>
          <w:rFonts w:ascii="Arial"/>
          <w:i/>
          <w:spacing w:val="-3"/>
          <w:sz w:val="16"/>
        </w:rPr>
        <w:t> </w:t>
      </w:r>
      <w:r>
        <w:rPr>
          <w:rFonts w:ascii="Arial"/>
          <w:i/>
          <w:sz w:val="16"/>
        </w:rPr>
        <w:t>the</w:t>
      </w:r>
      <w:r>
        <w:rPr>
          <w:rFonts w:ascii="Arial"/>
          <w:i/>
          <w:spacing w:val="-4"/>
          <w:sz w:val="16"/>
        </w:rPr>
        <w:t> </w:t>
      </w:r>
      <w:r>
        <w:rPr>
          <w:rFonts w:ascii="Arial"/>
          <w:i/>
          <w:sz w:val="16"/>
        </w:rPr>
        <w:t>fair</w:t>
      </w:r>
      <w:r>
        <w:rPr>
          <w:rFonts w:ascii="Arial"/>
          <w:i/>
          <w:spacing w:val="-2"/>
          <w:sz w:val="16"/>
        </w:rPr>
        <w:t> </w:t>
      </w:r>
      <w:r>
        <w:rPr>
          <w:rFonts w:ascii="Arial"/>
          <w:i/>
          <w:sz w:val="16"/>
        </w:rPr>
        <w:t>value</w:t>
      </w:r>
      <w:r>
        <w:rPr>
          <w:rFonts w:ascii="Arial"/>
          <w:i/>
          <w:spacing w:val="-3"/>
          <w:sz w:val="16"/>
        </w:rPr>
        <w:t> </w:t>
      </w:r>
      <w:r>
        <w:rPr>
          <w:rFonts w:ascii="Arial"/>
          <w:i/>
          <w:spacing w:val="-2"/>
          <w:sz w:val="16"/>
        </w:rPr>
        <w:t>hierarchy.</w:t>
      </w:r>
    </w:p>
    <w:p>
      <w:pPr>
        <w:pStyle w:val="ListParagraph"/>
        <w:numPr>
          <w:ilvl w:val="0"/>
          <w:numId w:val="46"/>
        </w:numPr>
        <w:tabs>
          <w:tab w:pos="948" w:val="left" w:leader="none"/>
        </w:tabs>
        <w:spacing w:line="240" w:lineRule="auto" w:before="51" w:after="0"/>
        <w:ind w:left="948" w:right="0" w:hanging="176"/>
        <w:jc w:val="left"/>
        <w:rPr>
          <w:rFonts w:ascii="Arial"/>
          <w:i/>
          <w:sz w:val="16"/>
        </w:rPr>
      </w:pPr>
      <w:r>
        <w:rPr>
          <w:rFonts w:ascii="Arial"/>
          <w:i/>
          <w:sz w:val="16"/>
        </w:rPr>
        <w:t>Includes</w:t>
      </w:r>
      <w:r>
        <w:rPr>
          <w:rFonts w:ascii="Arial"/>
          <w:i/>
          <w:spacing w:val="-4"/>
          <w:sz w:val="16"/>
        </w:rPr>
        <w:t> </w:t>
      </w:r>
      <w:r>
        <w:rPr>
          <w:rFonts w:ascii="Arial"/>
          <w:i/>
          <w:sz w:val="16"/>
        </w:rPr>
        <w:t>currency</w:t>
      </w:r>
      <w:r>
        <w:rPr>
          <w:rFonts w:ascii="Arial"/>
          <w:i/>
          <w:spacing w:val="-4"/>
          <w:sz w:val="16"/>
        </w:rPr>
        <w:t> </w:t>
      </w:r>
      <w:r>
        <w:rPr>
          <w:rFonts w:ascii="Arial"/>
          <w:i/>
          <w:sz w:val="16"/>
        </w:rPr>
        <w:t>forward</w:t>
      </w:r>
      <w:r>
        <w:rPr>
          <w:rFonts w:ascii="Arial"/>
          <w:i/>
          <w:spacing w:val="-4"/>
          <w:sz w:val="16"/>
        </w:rPr>
        <w:t> </w:t>
      </w:r>
      <w:r>
        <w:rPr>
          <w:rFonts w:ascii="Arial"/>
          <w:i/>
          <w:spacing w:val="-2"/>
          <w:sz w:val="16"/>
        </w:rPr>
        <w:t>contracts.</w:t>
      </w:r>
    </w:p>
    <w:p>
      <w:pPr>
        <w:pStyle w:val="ListParagraph"/>
        <w:numPr>
          <w:ilvl w:val="0"/>
          <w:numId w:val="46"/>
        </w:numPr>
        <w:tabs>
          <w:tab w:pos="940" w:val="left" w:leader="none"/>
        </w:tabs>
        <w:spacing w:line="240" w:lineRule="auto" w:before="56" w:after="0"/>
        <w:ind w:left="940" w:right="0" w:hanging="168"/>
        <w:jc w:val="left"/>
        <w:rPr>
          <w:rFonts w:ascii="Arial"/>
          <w:i/>
          <w:sz w:val="16"/>
        </w:rPr>
      </w:pPr>
      <w:r>
        <w:rPr>
          <w:rFonts w:ascii="Arial"/>
          <w:i/>
          <w:sz w:val="16"/>
        </w:rPr>
        <w:t>These</w:t>
      </w:r>
      <w:r>
        <w:rPr>
          <w:rFonts w:ascii="Arial"/>
          <w:i/>
          <w:spacing w:val="-4"/>
          <w:sz w:val="16"/>
        </w:rPr>
        <w:t> </w:t>
      </w:r>
      <w:r>
        <w:rPr>
          <w:rFonts w:ascii="Arial"/>
          <w:i/>
          <w:sz w:val="16"/>
        </w:rPr>
        <w:t>relate</w:t>
      </w:r>
      <w:r>
        <w:rPr>
          <w:rFonts w:ascii="Arial"/>
          <w:i/>
          <w:spacing w:val="-4"/>
          <w:sz w:val="16"/>
        </w:rPr>
        <w:t> </w:t>
      </w:r>
      <w:r>
        <w:rPr>
          <w:rFonts w:ascii="Arial"/>
          <w:i/>
          <w:sz w:val="16"/>
        </w:rPr>
        <w:t>to</w:t>
      </w:r>
      <w:r>
        <w:rPr>
          <w:rFonts w:ascii="Arial"/>
          <w:i/>
          <w:spacing w:val="-4"/>
          <w:sz w:val="16"/>
        </w:rPr>
        <w:t> </w:t>
      </w:r>
      <w:r>
        <w:rPr>
          <w:rFonts w:ascii="Arial"/>
          <w:i/>
          <w:sz w:val="16"/>
        </w:rPr>
        <w:t>swaptions,</w:t>
      </w:r>
      <w:r>
        <w:rPr>
          <w:rFonts w:ascii="Arial"/>
          <w:i/>
          <w:spacing w:val="-3"/>
          <w:sz w:val="16"/>
        </w:rPr>
        <w:t> </w:t>
      </w:r>
      <w:r>
        <w:rPr>
          <w:rFonts w:ascii="Arial"/>
          <w:i/>
          <w:sz w:val="16"/>
        </w:rPr>
        <w:t>options</w:t>
      </w:r>
      <w:r>
        <w:rPr>
          <w:rFonts w:ascii="Arial"/>
          <w:i/>
          <w:spacing w:val="-2"/>
          <w:sz w:val="16"/>
        </w:rPr>
        <w:t> </w:t>
      </w:r>
      <w:r>
        <w:rPr>
          <w:rFonts w:ascii="Arial"/>
          <w:i/>
          <w:sz w:val="16"/>
        </w:rPr>
        <w:t>and</w:t>
      </w:r>
      <w:r>
        <w:rPr>
          <w:rFonts w:ascii="Arial"/>
          <w:i/>
          <w:spacing w:val="-4"/>
          <w:sz w:val="16"/>
        </w:rPr>
        <w:t> </w:t>
      </w:r>
      <w:r>
        <w:rPr>
          <w:rFonts w:ascii="Arial"/>
          <w:i/>
          <w:sz w:val="16"/>
        </w:rPr>
        <w:t>futures</w:t>
      </w:r>
      <w:r>
        <w:rPr>
          <w:rFonts w:ascii="Arial"/>
          <w:i/>
          <w:spacing w:val="-3"/>
          <w:sz w:val="16"/>
        </w:rPr>
        <w:t> </w:t>
      </w:r>
      <w:r>
        <w:rPr>
          <w:rFonts w:ascii="Arial"/>
          <w:i/>
          <w:sz w:val="16"/>
        </w:rPr>
        <w:t>contracts</w:t>
      </w:r>
      <w:r>
        <w:rPr>
          <w:rFonts w:ascii="Arial"/>
          <w:i/>
          <w:spacing w:val="-3"/>
          <w:sz w:val="16"/>
        </w:rPr>
        <w:t> </w:t>
      </w:r>
      <w:r>
        <w:rPr>
          <w:rFonts w:ascii="Arial"/>
          <w:i/>
          <w:sz w:val="16"/>
        </w:rPr>
        <w:t>and</w:t>
      </w:r>
      <w:r>
        <w:rPr>
          <w:rFonts w:ascii="Arial"/>
          <w:i/>
          <w:spacing w:val="-4"/>
          <w:sz w:val="16"/>
        </w:rPr>
        <w:t> </w:t>
      </w:r>
      <w:r>
        <w:rPr>
          <w:rFonts w:ascii="Arial"/>
          <w:i/>
          <w:sz w:val="16"/>
        </w:rPr>
        <w:t>TBA</w:t>
      </w:r>
      <w:r>
        <w:rPr>
          <w:rFonts w:ascii="Arial"/>
          <w:i/>
          <w:spacing w:val="-2"/>
          <w:sz w:val="16"/>
        </w:rPr>
        <w:t> securities.</w:t>
      </w:r>
    </w:p>
    <w:p>
      <w:pPr>
        <w:pStyle w:val="ListParagraph"/>
        <w:numPr>
          <w:ilvl w:val="0"/>
          <w:numId w:val="46"/>
        </w:numPr>
        <w:tabs>
          <w:tab w:pos="948" w:val="left" w:leader="none"/>
        </w:tabs>
        <w:spacing w:line="240" w:lineRule="auto" w:before="56" w:after="0"/>
        <w:ind w:left="948" w:right="0" w:hanging="176"/>
        <w:jc w:val="left"/>
        <w:rPr>
          <w:rFonts w:ascii="Arial"/>
          <w:i/>
          <w:sz w:val="16"/>
        </w:rPr>
      </w:pPr>
      <w:r>
        <w:rPr>
          <w:rFonts w:ascii="Arial"/>
          <w:i/>
          <w:sz w:val="16"/>
        </w:rPr>
        <w:t>Excludes</w:t>
      </w:r>
      <w:r>
        <w:rPr>
          <w:rFonts w:ascii="Arial"/>
          <w:i/>
          <w:spacing w:val="-4"/>
          <w:sz w:val="16"/>
        </w:rPr>
        <w:t> </w:t>
      </w:r>
      <w:r>
        <w:rPr>
          <w:rFonts w:ascii="Arial"/>
          <w:i/>
          <w:sz w:val="16"/>
        </w:rPr>
        <w:t>$140</w:t>
      </w:r>
      <w:r>
        <w:rPr>
          <w:rFonts w:ascii="Arial"/>
          <w:i/>
          <w:spacing w:val="-4"/>
          <w:sz w:val="16"/>
        </w:rPr>
        <w:t> </w:t>
      </w:r>
      <w:r>
        <w:rPr>
          <w:rFonts w:ascii="Arial"/>
          <w:i/>
          <w:sz w:val="16"/>
        </w:rPr>
        <w:t>million</w:t>
      </w:r>
      <w:r>
        <w:rPr>
          <w:rFonts w:ascii="Arial"/>
          <w:i/>
          <w:spacing w:val="-4"/>
          <w:sz w:val="16"/>
        </w:rPr>
        <w:t> </w:t>
      </w:r>
      <w:r>
        <w:rPr>
          <w:rFonts w:ascii="Arial"/>
          <w:i/>
          <w:sz w:val="16"/>
        </w:rPr>
        <w:t>relating</w:t>
      </w:r>
      <w:r>
        <w:rPr>
          <w:rFonts w:ascii="Arial"/>
          <w:i/>
          <w:spacing w:val="-5"/>
          <w:sz w:val="16"/>
        </w:rPr>
        <w:t> </w:t>
      </w:r>
      <w:r>
        <w:rPr>
          <w:rFonts w:ascii="Arial"/>
          <w:i/>
          <w:sz w:val="16"/>
        </w:rPr>
        <w:t>to</w:t>
      </w:r>
      <w:r>
        <w:rPr>
          <w:rFonts w:ascii="Arial"/>
          <w:i/>
          <w:spacing w:val="-4"/>
          <w:sz w:val="16"/>
        </w:rPr>
        <w:t> </w:t>
      </w:r>
      <w:r>
        <w:rPr>
          <w:rFonts w:ascii="Arial"/>
          <w:i/>
          <w:sz w:val="16"/>
        </w:rPr>
        <w:t>payable</w:t>
      </w:r>
      <w:r>
        <w:rPr>
          <w:rFonts w:ascii="Arial"/>
          <w:i/>
          <w:spacing w:val="-4"/>
          <w:sz w:val="16"/>
        </w:rPr>
        <w:t> </w:t>
      </w:r>
      <w:r>
        <w:rPr>
          <w:rFonts w:ascii="Arial"/>
          <w:i/>
          <w:sz w:val="16"/>
        </w:rPr>
        <w:t>for</w:t>
      </w:r>
      <w:r>
        <w:rPr>
          <w:rFonts w:ascii="Arial"/>
          <w:i/>
          <w:spacing w:val="-4"/>
          <w:sz w:val="16"/>
        </w:rPr>
        <w:t> </w:t>
      </w:r>
      <w:r>
        <w:rPr>
          <w:rFonts w:ascii="Arial"/>
          <w:i/>
          <w:sz w:val="16"/>
        </w:rPr>
        <w:t>cash</w:t>
      </w:r>
      <w:r>
        <w:rPr>
          <w:rFonts w:ascii="Arial"/>
          <w:i/>
          <w:spacing w:val="-4"/>
          <w:sz w:val="16"/>
        </w:rPr>
        <w:t> </w:t>
      </w:r>
      <w:r>
        <w:rPr>
          <w:rFonts w:ascii="Arial"/>
          <w:i/>
          <w:sz w:val="16"/>
        </w:rPr>
        <w:t>collateral</w:t>
      </w:r>
      <w:r>
        <w:rPr>
          <w:rFonts w:ascii="Arial"/>
          <w:i/>
          <w:spacing w:val="-3"/>
          <w:sz w:val="16"/>
        </w:rPr>
        <w:t> </w:t>
      </w:r>
      <w:r>
        <w:rPr>
          <w:rFonts w:ascii="Arial"/>
          <w:i/>
          <w:spacing w:val="-2"/>
          <w:sz w:val="16"/>
        </w:rPr>
        <w:t>received.</w:t>
      </w:r>
    </w:p>
    <w:p>
      <w:pPr>
        <w:pStyle w:val="ListParagraph"/>
        <w:numPr>
          <w:ilvl w:val="0"/>
          <w:numId w:val="46"/>
        </w:numPr>
        <w:tabs>
          <w:tab w:pos="948" w:val="left" w:leader="none"/>
        </w:tabs>
        <w:spacing w:line="240" w:lineRule="auto" w:before="56" w:after="0"/>
        <w:ind w:left="948" w:right="0" w:hanging="176"/>
        <w:jc w:val="left"/>
        <w:rPr>
          <w:rFonts w:ascii="Arial"/>
          <w:i/>
          <w:sz w:val="16"/>
        </w:rPr>
      </w:pPr>
      <w:r>
        <w:rPr>
          <w:rFonts w:ascii="Arial"/>
          <w:i/>
          <w:sz w:val="16"/>
        </w:rPr>
        <w:t>Includes</w:t>
      </w:r>
      <w:r>
        <w:rPr>
          <w:rFonts w:ascii="Arial"/>
          <w:i/>
          <w:spacing w:val="-7"/>
          <w:sz w:val="16"/>
        </w:rPr>
        <w:t> </w:t>
      </w:r>
      <w:r>
        <w:rPr>
          <w:rFonts w:ascii="Arial"/>
          <w:i/>
          <w:sz w:val="16"/>
        </w:rPr>
        <w:t>$27</w:t>
      </w:r>
      <w:r>
        <w:rPr>
          <w:rFonts w:ascii="Arial"/>
          <w:i/>
          <w:spacing w:val="-5"/>
          <w:sz w:val="16"/>
        </w:rPr>
        <w:t> </w:t>
      </w:r>
      <w:r>
        <w:rPr>
          <w:rFonts w:ascii="Arial"/>
          <w:i/>
          <w:sz w:val="16"/>
        </w:rPr>
        <w:t>million</w:t>
      </w:r>
      <w:r>
        <w:rPr>
          <w:rFonts w:ascii="Arial"/>
          <w:i/>
          <w:spacing w:val="-4"/>
          <w:sz w:val="16"/>
        </w:rPr>
        <w:t> CVA.</w:t>
      </w:r>
    </w:p>
    <w:p>
      <w:pPr>
        <w:pStyle w:val="ListParagraph"/>
        <w:numPr>
          <w:ilvl w:val="0"/>
          <w:numId w:val="46"/>
        </w:numPr>
        <w:tabs>
          <w:tab w:pos="905" w:val="left" w:leader="none"/>
        </w:tabs>
        <w:spacing w:line="240" w:lineRule="auto" w:before="56" w:after="0"/>
        <w:ind w:left="905" w:right="0" w:hanging="133"/>
        <w:jc w:val="left"/>
        <w:rPr>
          <w:rFonts w:ascii="Arial"/>
          <w:i/>
          <w:sz w:val="16"/>
        </w:rPr>
      </w:pPr>
      <w:r>
        <w:rPr>
          <w:rFonts w:ascii="Arial"/>
          <w:i/>
          <w:sz w:val="16"/>
        </w:rPr>
        <w:t>Includes</w:t>
      </w:r>
      <w:r>
        <w:rPr>
          <w:rFonts w:ascii="Arial"/>
          <w:i/>
          <w:spacing w:val="-5"/>
          <w:sz w:val="16"/>
        </w:rPr>
        <w:t> </w:t>
      </w:r>
      <w:r>
        <w:rPr>
          <w:rFonts w:ascii="Arial"/>
          <w:i/>
          <w:sz w:val="16"/>
        </w:rPr>
        <w:t>$471</w:t>
      </w:r>
      <w:r>
        <w:rPr>
          <w:rFonts w:ascii="Arial"/>
          <w:i/>
          <w:spacing w:val="-5"/>
          <w:sz w:val="16"/>
        </w:rPr>
        <w:t> </w:t>
      </w:r>
      <w:r>
        <w:rPr>
          <w:rFonts w:ascii="Arial"/>
          <w:i/>
          <w:sz w:val="16"/>
        </w:rPr>
        <w:t>million</w:t>
      </w:r>
      <w:r>
        <w:rPr>
          <w:rFonts w:ascii="Arial"/>
          <w:i/>
          <w:spacing w:val="-5"/>
          <w:sz w:val="16"/>
        </w:rPr>
        <w:t> </w:t>
      </w:r>
      <w:r>
        <w:rPr>
          <w:rFonts w:ascii="Arial"/>
          <w:i/>
          <w:spacing w:val="-4"/>
          <w:sz w:val="16"/>
        </w:rPr>
        <w:t>DVA.</w:t>
      </w:r>
    </w:p>
    <w:p>
      <w:pPr>
        <w:pStyle w:val="ListParagraph"/>
        <w:spacing w:after="0" w:line="240" w:lineRule="auto"/>
        <w:jc w:val="left"/>
        <w:rPr>
          <w:rFonts w:ascii="Arial"/>
          <w:i/>
          <w:sz w:val="16"/>
        </w:rPr>
        <w:sectPr>
          <w:headerReference w:type="default" r:id="rId212"/>
          <w:pgSz w:w="12240" w:h="15840"/>
          <w:pgMar w:header="0" w:footer="0" w:top="960" w:bottom="720" w:left="720" w:right="720"/>
        </w:sectPr>
      </w:pPr>
    </w:p>
    <w:p>
      <w:pPr>
        <w:pStyle w:val="Heading8"/>
        <w:spacing w:before="68"/>
      </w:pPr>
      <w:r>
        <w:rPr/>
        <w:t>Table</w:t>
      </w:r>
      <w:r>
        <w:rPr>
          <w:spacing w:val="-4"/>
        </w:rPr>
        <w:t> L2.1</w:t>
      </w:r>
    </w:p>
    <w:p>
      <w:pPr>
        <w:spacing w:before="85"/>
        <w:ind w:left="772" w:right="0" w:firstLine="0"/>
        <w:jc w:val="left"/>
        <w:rPr>
          <w:rFonts w:ascii="Arial"/>
          <w:i/>
          <w:sz w:val="14"/>
        </w:rPr>
      </w:pPr>
      <w:r>
        <w:rPr>
          <w:rFonts w:ascii="Arial"/>
          <w:i/>
          <w:sz w:val="14"/>
        </w:rPr>
        <mc:AlternateContent>
          <mc:Choice Requires="wps">
            <w:drawing>
              <wp:anchor distT="0" distB="0" distL="0" distR="0" allowOverlap="1" layoutInCell="1" locked="0" behindDoc="0" simplePos="0" relativeHeight="15907840">
                <wp:simplePos x="0" y="0"/>
                <wp:positionH relativeFrom="page">
                  <wp:posOffset>914400</wp:posOffset>
                </wp:positionH>
                <wp:positionV relativeFrom="paragraph">
                  <wp:posOffset>163207</wp:posOffset>
                </wp:positionV>
                <wp:extent cx="5915025" cy="1270"/>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5915025" cy="1270"/>
                        </a:xfrm>
                        <a:custGeom>
                          <a:avLst/>
                          <a:gdLst/>
                          <a:ahLst/>
                          <a:cxnLst/>
                          <a:rect l="l" t="t" r="r" b="b"/>
                          <a:pathLst>
                            <a:path w="5915025" h="0">
                              <a:moveTo>
                                <a:pt x="0" y="0"/>
                              </a:moveTo>
                              <a:lnTo>
                                <a:pt x="59150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7840" from="72pt,12.850977pt" to="537.75pt,12.850977pt" stroked="true" strokeweight="1pt" strokecolor="#000000">
                <v:stroke dashstyle="solid"/>
                <w10:wrap type="none"/>
              </v:lin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pStyle w:val="BodyText"/>
        <w:rPr>
          <w:rFonts w:ascii="Arial"/>
          <w:i/>
          <w:sz w:val="16"/>
        </w:rPr>
      </w:pPr>
      <w:r>
        <w:rPr/>
        <w:br w:type="column"/>
      </w:r>
      <w:r>
        <w:rPr>
          <w:rFonts w:ascii="Arial"/>
          <w:i/>
          <w:sz w:val="16"/>
        </w:rPr>
      </w:r>
    </w:p>
    <w:p>
      <w:pPr>
        <w:pStyle w:val="BodyText"/>
        <w:rPr>
          <w:rFonts w:ascii="Arial"/>
          <w:i/>
          <w:sz w:val="16"/>
        </w:rPr>
      </w:pPr>
    </w:p>
    <w:p>
      <w:pPr>
        <w:pStyle w:val="BodyText"/>
        <w:spacing w:before="21"/>
        <w:rPr>
          <w:rFonts w:ascii="Arial"/>
          <w:i/>
          <w:sz w:val="16"/>
        </w:rPr>
      </w:pPr>
    </w:p>
    <w:p>
      <w:pPr>
        <w:spacing w:before="1"/>
        <w:ind w:left="0" w:right="41" w:firstLine="0"/>
        <w:jc w:val="center"/>
        <w:rPr>
          <w:rFonts w:ascii="Arial"/>
          <w:i/>
          <w:sz w:val="16"/>
        </w:rPr>
      </w:pPr>
      <w:r>
        <w:rPr>
          <w:rFonts w:ascii="Arial"/>
          <w:i/>
          <w:sz w:val="16"/>
        </w:rPr>
        <w:t>Fair</w:t>
      </w:r>
      <w:r>
        <w:rPr>
          <w:rFonts w:ascii="Arial"/>
          <w:i/>
          <w:spacing w:val="-4"/>
          <w:sz w:val="16"/>
        </w:rPr>
        <w:t> </w:t>
      </w:r>
      <w:r>
        <w:rPr>
          <w:rFonts w:ascii="Arial"/>
          <w:i/>
          <w:sz w:val="16"/>
        </w:rPr>
        <w:t>Value</w:t>
      </w:r>
      <w:r>
        <w:rPr>
          <w:rFonts w:ascii="Arial"/>
          <w:i/>
          <w:spacing w:val="-4"/>
          <w:sz w:val="16"/>
        </w:rPr>
        <w:t> </w:t>
      </w:r>
      <w:r>
        <w:rPr>
          <w:rFonts w:ascii="Arial"/>
          <w:i/>
          <w:sz w:val="16"/>
        </w:rPr>
        <w:t>Measurements</w:t>
      </w:r>
      <w:r>
        <w:rPr>
          <w:rFonts w:ascii="Arial"/>
          <w:i/>
          <w:spacing w:val="-3"/>
          <w:sz w:val="16"/>
        </w:rPr>
        <w:t> </w:t>
      </w:r>
      <w:r>
        <w:rPr>
          <w:rFonts w:ascii="Arial"/>
          <w:i/>
          <w:sz w:val="16"/>
        </w:rPr>
        <w:t>on</w:t>
      </w:r>
      <w:r>
        <w:rPr>
          <w:rFonts w:ascii="Arial"/>
          <w:i/>
          <w:spacing w:val="-4"/>
          <w:sz w:val="16"/>
        </w:rPr>
        <w:t> </w:t>
      </w:r>
      <w:r>
        <w:rPr>
          <w:rFonts w:ascii="Arial"/>
          <w:i/>
          <w:sz w:val="16"/>
        </w:rPr>
        <w:t>a</w:t>
      </w:r>
      <w:r>
        <w:rPr>
          <w:rFonts w:ascii="Arial"/>
          <w:i/>
          <w:spacing w:val="-4"/>
          <w:sz w:val="16"/>
        </w:rPr>
        <w:t> </w:t>
      </w:r>
      <w:r>
        <w:rPr>
          <w:rFonts w:ascii="Arial"/>
          <w:i/>
          <w:sz w:val="16"/>
        </w:rPr>
        <w:t>Recurring</w:t>
      </w:r>
      <w:r>
        <w:rPr>
          <w:rFonts w:ascii="Arial"/>
          <w:i/>
          <w:spacing w:val="-3"/>
          <w:sz w:val="16"/>
        </w:rPr>
        <w:t> </w:t>
      </w:r>
      <w:r>
        <w:rPr>
          <w:rFonts w:ascii="Arial"/>
          <w:i/>
          <w:spacing w:val="-4"/>
          <w:sz w:val="16"/>
        </w:rPr>
        <w:t>Basis</w:t>
      </w:r>
    </w:p>
    <w:p>
      <w:pPr>
        <w:tabs>
          <w:tab w:pos="2373" w:val="left" w:leader="none"/>
          <w:tab w:pos="5759" w:val="left" w:leader="none"/>
        </w:tabs>
        <w:spacing w:before="41"/>
        <w:ind w:left="0" w:right="43" w:firstLine="0"/>
        <w:jc w:val="center"/>
        <w:rPr>
          <w:rFonts w:ascii="Arial"/>
          <w:i/>
          <w:sz w:val="16"/>
        </w:rPr>
      </w:pPr>
      <w:r>
        <w:rPr>
          <w:sz w:val="16"/>
          <w:u w:val="single"/>
        </w:rPr>
        <w:tab/>
      </w:r>
      <w:r>
        <w:rPr>
          <w:rFonts w:ascii="Arial"/>
          <w:i/>
          <w:sz w:val="16"/>
          <w:u w:val="single"/>
        </w:rPr>
        <w:t>June</w:t>
      </w:r>
      <w:r>
        <w:rPr>
          <w:rFonts w:ascii="Arial"/>
          <w:i/>
          <w:spacing w:val="-3"/>
          <w:sz w:val="16"/>
          <w:u w:val="single"/>
        </w:rPr>
        <w:t> </w:t>
      </w:r>
      <w:r>
        <w:rPr>
          <w:rFonts w:ascii="Arial"/>
          <w:i/>
          <w:sz w:val="16"/>
          <w:u w:val="single"/>
        </w:rPr>
        <w:t>30,</w:t>
      </w:r>
      <w:r>
        <w:rPr>
          <w:rFonts w:ascii="Arial"/>
          <w:i/>
          <w:spacing w:val="-2"/>
          <w:sz w:val="16"/>
          <w:u w:val="single"/>
        </w:rPr>
        <w:t> </w:t>
      </w:r>
      <w:r>
        <w:rPr>
          <w:rFonts w:ascii="Arial"/>
          <w:i/>
          <w:spacing w:val="-4"/>
          <w:sz w:val="16"/>
          <w:u w:val="single"/>
        </w:rPr>
        <w:t>2022</w:t>
      </w:r>
      <w:r>
        <w:rPr>
          <w:rFonts w:ascii="Arial"/>
          <w:i/>
          <w:sz w:val="16"/>
          <w:u w:val="single"/>
        </w:rPr>
        <w:tab/>
      </w:r>
    </w:p>
    <w:p>
      <w:pPr>
        <w:spacing w:after="0"/>
        <w:jc w:val="center"/>
        <w:rPr>
          <w:rFonts w:ascii="Arial"/>
          <w:i/>
          <w:sz w:val="16"/>
        </w:rPr>
        <w:sectPr>
          <w:headerReference w:type="even" r:id="rId213"/>
          <w:footerReference w:type="even" r:id="rId214"/>
          <w:footerReference w:type="default" r:id="rId215"/>
          <w:pgSz w:w="12240" w:h="15840"/>
          <w:pgMar w:header="0" w:footer="528" w:top="960" w:bottom="720" w:left="720" w:right="720"/>
          <w:pgNumType w:start="132"/>
          <w:cols w:num="2" w:equalWidth="0">
            <w:col w:w="2353" w:space="1202"/>
            <w:col w:w="7245"/>
          </w:cols>
        </w:sect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2"/>
        <w:gridCol w:w="661"/>
        <w:gridCol w:w="758"/>
        <w:gridCol w:w="1453"/>
        <w:gridCol w:w="336"/>
        <w:gridCol w:w="652"/>
        <w:gridCol w:w="441"/>
        <w:gridCol w:w="1456"/>
      </w:tblGrid>
      <w:tr>
        <w:trPr>
          <w:trHeight w:val="157" w:hRule="atLeast"/>
        </w:trPr>
        <w:tc>
          <w:tcPr>
            <w:tcW w:w="3552" w:type="dxa"/>
          </w:tcPr>
          <w:p>
            <w:pPr>
              <w:pStyle w:val="TableParagraph"/>
              <w:rPr>
                <w:rFonts w:ascii="Times New Roman"/>
                <w:sz w:val="10"/>
              </w:rPr>
            </w:pPr>
          </w:p>
        </w:tc>
        <w:tc>
          <w:tcPr>
            <w:tcW w:w="1419" w:type="dxa"/>
            <w:gridSpan w:val="2"/>
            <w:tcBorders>
              <w:bottom w:val="single" w:sz="8" w:space="0" w:color="000000"/>
            </w:tcBorders>
          </w:tcPr>
          <w:p>
            <w:pPr>
              <w:pStyle w:val="TableParagraph"/>
              <w:spacing w:line="137" w:lineRule="exact"/>
              <w:ind w:left="472"/>
              <w:rPr>
                <w:rFonts w:ascii="Arial"/>
                <w:i/>
                <w:sz w:val="14"/>
              </w:rPr>
            </w:pPr>
            <w:r>
              <w:rPr>
                <w:rFonts w:ascii="Arial"/>
                <w:i/>
                <w:sz w:val="14"/>
              </w:rPr>
              <w:t>Level</w:t>
            </w:r>
            <w:r>
              <w:rPr>
                <w:rFonts w:ascii="Arial"/>
                <w:i/>
                <w:spacing w:val="-3"/>
                <w:sz w:val="14"/>
              </w:rPr>
              <w:t> </w:t>
            </w:r>
            <w:r>
              <w:rPr>
                <w:rFonts w:ascii="Arial"/>
                <w:i/>
                <w:spacing w:val="-10"/>
                <w:sz w:val="14"/>
              </w:rPr>
              <w:t>1</w:t>
            </w:r>
          </w:p>
        </w:tc>
        <w:tc>
          <w:tcPr>
            <w:tcW w:w="1453" w:type="dxa"/>
            <w:tcBorders>
              <w:bottom w:val="single" w:sz="8" w:space="0" w:color="000000"/>
            </w:tcBorders>
          </w:tcPr>
          <w:p>
            <w:pPr>
              <w:pStyle w:val="TableParagraph"/>
              <w:spacing w:line="137" w:lineRule="exact"/>
              <w:ind w:left="15"/>
              <w:jc w:val="center"/>
              <w:rPr>
                <w:rFonts w:ascii="Arial"/>
                <w:i/>
                <w:sz w:val="14"/>
              </w:rPr>
            </w:pPr>
            <w:r>
              <w:rPr>
                <w:rFonts w:ascii="Arial"/>
                <w:i/>
                <w:sz w:val="14"/>
              </w:rPr>
              <w:t>Level</w:t>
            </w:r>
            <w:r>
              <w:rPr>
                <w:rFonts w:ascii="Arial"/>
                <w:i/>
                <w:spacing w:val="-3"/>
                <w:sz w:val="14"/>
              </w:rPr>
              <w:t> </w:t>
            </w:r>
            <w:r>
              <w:rPr>
                <w:rFonts w:ascii="Arial"/>
                <w:i/>
                <w:spacing w:val="-10"/>
                <w:sz w:val="14"/>
              </w:rPr>
              <w:t>2</w:t>
            </w:r>
          </w:p>
        </w:tc>
        <w:tc>
          <w:tcPr>
            <w:tcW w:w="336" w:type="dxa"/>
            <w:tcBorders>
              <w:bottom w:val="single" w:sz="8" w:space="0" w:color="000000"/>
            </w:tcBorders>
          </w:tcPr>
          <w:p>
            <w:pPr>
              <w:pStyle w:val="TableParagraph"/>
              <w:rPr>
                <w:rFonts w:ascii="Times New Roman"/>
                <w:sz w:val="10"/>
              </w:rPr>
            </w:pPr>
          </w:p>
        </w:tc>
        <w:tc>
          <w:tcPr>
            <w:tcW w:w="652" w:type="dxa"/>
            <w:tcBorders>
              <w:bottom w:val="single" w:sz="8" w:space="0" w:color="000000"/>
            </w:tcBorders>
          </w:tcPr>
          <w:p>
            <w:pPr>
              <w:pStyle w:val="TableParagraph"/>
              <w:spacing w:line="137" w:lineRule="exact"/>
              <w:ind w:left="174"/>
              <w:rPr>
                <w:rFonts w:ascii="Arial"/>
                <w:i/>
                <w:sz w:val="14"/>
              </w:rPr>
            </w:pPr>
            <w:r>
              <w:rPr>
                <w:rFonts w:ascii="Arial"/>
                <w:i/>
                <w:sz w:val="14"/>
              </w:rPr>
              <w:t>Level</w:t>
            </w:r>
            <w:r>
              <w:rPr>
                <w:rFonts w:ascii="Arial"/>
                <w:i/>
                <w:spacing w:val="-3"/>
                <w:sz w:val="14"/>
              </w:rPr>
              <w:t> </w:t>
            </w:r>
            <w:r>
              <w:rPr>
                <w:rFonts w:ascii="Arial"/>
                <w:i/>
                <w:spacing w:val="-10"/>
                <w:sz w:val="14"/>
              </w:rPr>
              <w:t>3</w:t>
            </w:r>
          </w:p>
        </w:tc>
        <w:tc>
          <w:tcPr>
            <w:tcW w:w="441" w:type="dxa"/>
            <w:tcBorders>
              <w:bottom w:val="single" w:sz="8" w:space="0" w:color="000000"/>
            </w:tcBorders>
          </w:tcPr>
          <w:p>
            <w:pPr>
              <w:pStyle w:val="TableParagraph"/>
              <w:rPr>
                <w:rFonts w:ascii="Times New Roman"/>
                <w:sz w:val="10"/>
              </w:rPr>
            </w:pPr>
          </w:p>
        </w:tc>
        <w:tc>
          <w:tcPr>
            <w:tcW w:w="1456" w:type="dxa"/>
            <w:tcBorders>
              <w:bottom w:val="single" w:sz="8" w:space="0" w:color="000000"/>
            </w:tcBorders>
          </w:tcPr>
          <w:p>
            <w:pPr>
              <w:pStyle w:val="TableParagraph"/>
              <w:spacing w:line="137" w:lineRule="exact"/>
              <w:ind w:left="68"/>
              <w:jc w:val="center"/>
              <w:rPr>
                <w:rFonts w:ascii="Arial"/>
                <w:i/>
                <w:sz w:val="14"/>
              </w:rPr>
            </w:pPr>
            <w:r>
              <w:rPr>
                <w:rFonts w:ascii="Arial"/>
                <w:i/>
                <w:spacing w:val="-4"/>
                <w:sz w:val="14"/>
              </w:rPr>
              <w:t>Total</w:t>
            </w:r>
          </w:p>
        </w:tc>
      </w:tr>
      <w:tr>
        <w:trPr>
          <w:trHeight w:val="193" w:hRule="atLeast"/>
        </w:trPr>
        <w:tc>
          <w:tcPr>
            <w:tcW w:w="3552" w:type="dxa"/>
          </w:tcPr>
          <w:p>
            <w:pPr>
              <w:pStyle w:val="TableParagraph"/>
              <w:spacing w:line="160" w:lineRule="exact" w:before="13"/>
              <w:ind w:left="50"/>
              <w:rPr>
                <w:rFonts w:ascii="Arial"/>
                <w:b/>
                <w:sz w:val="14"/>
              </w:rPr>
            </w:pPr>
            <w:r>
              <w:rPr>
                <w:rFonts w:ascii="Arial"/>
                <w:b/>
                <w:spacing w:val="-2"/>
                <w:sz w:val="14"/>
              </w:rPr>
              <w:t>Assets:</w:t>
            </w:r>
          </w:p>
        </w:tc>
        <w:tc>
          <w:tcPr>
            <w:tcW w:w="1419" w:type="dxa"/>
            <w:gridSpan w:val="2"/>
            <w:tcBorders>
              <w:top w:val="single" w:sz="8" w:space="0" w:color="000000"/>
            </w:tcBorders>
          </w:tcPr>
          <w:p>
            <w:pPr>
              <w:pStyle w:val="TableParagraph"/>
              <w:rPr>
                <w:rFonts w:ascii="Times New Roman"/>
                <w:sz w:val="12"/>
              </w:rPr>
            </w:pPr>
          </w:p>
        </w:tc>
        <w:tc>
          <w:tcPr>
            <w:tcW w:w="1453" w:type="dxa"/>
            <w:tcBorders>
              <w:top w:val="single" w:sz="8" w:space="0" w:color="000000"/>
            </w:tcBorders>
          </w:tcPr>
          <w:p>
            <w:pPr>
              <w:pStyle w:val="TableParagraph"/>
              <w:rPr>
                <w:rFonts w:ascii="Times New Roman"/>
                <w:sz w:val="12"/>
              </w:rPr>
            </w:pPr>
          </w:p>
        </w:tc>
        <w:tc>
          <w:tcPr>
            <w:tcW w:w="336" w:type="dxa"/>
            <w:tcBorders>
              <w:top w:val="single" w:sz="8" w:space="0" w:color="000000"/>
            </w:tcBorders>
          </w:tcPr>
          <w:p>
            <w:pPr>
              <w:pStyle w:val="TableParagraph"/>
              <w:rPr>
                <w:rFonts w:ascii="Times New Roman"/>
                <w:sz w:val="12"/>
              </w:rPr>
            </w:pPr>
          </w:p>
        </w:tc>
        <w:tc>
          <w:tcPr>
            <w:tcW w:w="652" w:type="dxa"/>
            <w:tcBorders>
              <w:top w:val="single" w:sz="8" w:space="0" w:color="000000"/>
            </w:tcBorders>
          </w:tcPr>
          <w:p>
            <w:pPr>
              <w:pStyle w:val="TableParagraph"/>
              <w:rPr>
                <w:rFonts w:ascii="Times New Roman"/>
                <w:sz w:val="12"/>
              </w:rPr>
            </w:pPr>
          </w:p>
        </w:tc>
        <w:tc>
          <w:tcPr>
            <w:tcW w:w="441" w:type="dxa"/>
            <w:tcBorders>
              <w:top w:val="single" w:sz="8" w:space="0" w:color="000000"/>
            </w:tcBorders>
          </w:tcPr>
          <w:p>
            <w:pPr>
              <w:pStyle w:val="TableParagraph"/>
              <w:rPr>
                <w:rFonts w:ascii="Times New Roman"/>
                <w:sz w:val="12"/>
              </w:rPr>
            </w:pPr>
          </w:p>
        </w:tc>
        <w:tc>
          <w:tcPr>
            <w:tcW w:w="1456" w:type="dxa"/>
            <w:tcBorders>
              <w:top w:val="single" w:sz="8" w:space="0" w:color="000000"/>
            </w:tcBorders>
          </w:tcPr>
          <w:p>
            <w:pPr>
              <w:pStyle w:val="TableParagraph"/>
              <w:rPr>
                <w:rFonts w:ascii="Times New Roman"/>
                <w:sz w:val="12"/>
              </w:rPr>
            </w:pPr>
          </w:p>
        </w:tc>
      </w:tr>
      <w:tr>
        <w:trPr>
          <w:trHeight w:val="195" w:hRule="atLeast"/>
        </w:trPr>
        <w:tc>
          <w:tcPr>
            <w:tcW w:w="3552" w:type="dxa"/>
          </w:tcPr>
          <w:p>
            <w:pPr>
              <w:pStyle w:val="TableParagraph"/>
              <w:spacing w:line="160" w:lineRule="exact" w:before="14"/>
              <w:ind w:left="110"/>
              <w:rPr>
                <w:sz w:val="14"/>
              </w:rPr>
            </w:pPr>
            <w:r>
              <w:rPr>
                <w:sz w:val="14"/>
              </w:rPr>
              <w:t>Investments</w:t>
            </w:r>
            <w:r>
              <w:rPr>
                <w:spacing w:val="-3"/>
                <w:sz w:val="14"/>
              </w:rPr>
              <w:t> </w:t>
            </w:r>
            <w:r>
              <w:rPr>
                <w:sz w:val="14"/>
              </w:rPr>
              <w:t>–</w:t>
            </w:r>
            <w:r>
              <w:rPr>
                <w:spacing w:val="-4"/>
                <w:sz w:val="14"/>
              </w:rPr>
              <w:t> </w:t>
            </w:r>
            <w:r>
              <w:rPr>
                <w:spacing w:val="-2"/>
                <w:sz w:val="14"/>
              </w:rPr>
              <w:t>Trading</w:t>
            </w:r>
          </w:p>
        </w:tc>
        <w:tc>
          <w:tcPr>
            <w:tcW w:w="1419" w:type="dxa"/>
            <w:gridSpan w:val="2"/>
          </w:tcPr>
          <w:p>
            <w:pPr>
              <w:pStyle w:val="TableParagraph"/>
              <w:rPr>
                <w:rFonts w:ascii="Times New Roman"/>
                <w:sz w:val="12"/>
              </w:rPr>
            </w:pPr>
          </w:p>
        </w:tc>
        <w:tc>
          <w:tcPr>
            <w:tcW w:w="1453" w:type="dxa"/>
          </w:tcPr>
          <w:p>
            <w:pPr>
              <w:pStyle w:val="TableParagraph"/>
              <w:rPr>
                <w:rFonts w:ascii="Times New Roman"/>
                <w:sz w:val="12"/>
              </w:rPr>
            </w:pPr>
          </w:p>
        </w:tc>
        <w:tc>
          <w:tcPr>
            <w:tcW w:w="336" w:type="dxa"/>
          </w:tcPr>
          <w:p>
            <w:pPr>
              <w:pStyle w:val="TableParagraph"/>
              <w:rPr>
                <w:rFonts w:ascii="Times New Roman"/>
                <w:sz w:val="12"/>
              </w:rPr>
            </w:pPr>
          </w:p>
        </w:tc>
        <w:tc>
          <w:tcPr>
            <w:tcW w:w="652" w:type="dxa"/>
          </w:tcPr>
          <w:p>
            <w:pPr>
              <w:pStyle w:val="TableParagraph"/>
              <w:rPr>
                <w:rFonts w:ascii="Times New Roman"/>
                <w:sz w:val="12"/>
              </w:rPr>
            </w:pPr>
          </w:p>
        </w:tc>
        <w:tc>
          <w:tcPr>
            <w:tcW w:w="441" w:type="dxa"/>
          </w:tcPr>
          <w:p>
            <w:pPr>
              <w:pStyle w:val="TableParagraph"/>
              <w:rPr>
                <w:rFonts w:ascii="Times New Roman"/>
                <w:sz w:val="12"/>
              </w:rPr>
            </w:pPr>
          </w:p>
        </w:tc>
        <w:tc>
          <w:tcPr>
            <w:tcW w:w="1456" w:type="dxa"/>
          </w:tcPr>
          <w:p>
            <w:pPr>
              <w:pStyle w:val="TableParagraph"/>
              <w:rPr>
                <w:rFonts w:ascii="Times New Roman"/>
                <w:sz w:val="12"/>
              </w:rPr>
            </w:pPr>
          </w:p>
        </w:tc>
      </w:tr>
      <w:tr>
        <w:trPr>
          <w:trHeight w:val="195" w:hRule="atLeast"/>
        </w:trPr>
        <w:tc>
          <w:tcPr>
            <w:tcW w:w="3552" w:type="dxa"/>
          </w:tcPr>
          <w:p>
            <w:pPr>
              <w:pStyle w:val="TableParagraph"/>
              <w:spacing w:line="160" w:lineRule="exact" w:before="14"/>
              <w:ind w:left="410"/>
              <w:rPr>
                <w:sz w:val="14"/>
              </w:rPr>
            </w:pPr>
            <w:r>
              <w:rPr>
                <w:sz w:val="14"/>
              </w:rPr>
              <w:t>Government</w:t>
            </w:r>
            <w:r>
              <w:rPr>
                <w:spacing w:val="-4"/>
                <w:sz w:val="14"/>
              </w:rPr>
              <w:t> </w:t>
            </w:r>
            <w:r>
              <w:rPr>
                <w:sz w:val="14"/>
              </w:rPr>
              <w:t>and</w:t>
            </w:r>
            <w:r>
              <w:rPr>
                <w:spacing w:val="-4"/>
                <w:sz w:val="14"/>
              </w:rPr>
              <w:t> </w:t>
            </w:r>
            <w:r>
              <w:rPr>
                <w:sz w:val="14"/>
              </w:rPr>
              <w:t>agency</w:t>
            </w:r>
            <w:r>
              <w:rPr>
                <w:spacing w:val="-3"/>
                <w:sz w:val="14"/>
              </w:rPr>
              <w:t> </w:t>
            </w:r>
            <w:r>
              <w:rPr>
                <w:spacing w:val="-2"/>
                <w:sz w:val="14"/>
              </w:rPr>
              <w:t>obligations</w:t>
            </w:r>
          </w:p>
        </w:tc>
        <w:tc>
          <w:tcPr>
            <w:tcW w:w="1419" w:type="dxa"/>
            <w:gridSpan w:val="2"/>
          </w:tcPr>
          <w:p>
            <w:pPr>
              <w:pStyle w:val="TableParagraph"/>
              <w:tabs>
                <w:tab w:pos="905" w:val="left" w:leader="none"/>
              </w:tabs>
              <w:spacing w:line="160" w:lineRule="exact" w:before="14"/>
              <w:ind w:left="53"/>
              <w:rPr>
                <w:sz w:val="14"/>
              </w:rPr>
            </w:pPr>
            <w:r>
              <w:rPr>
                <w:spacing w:val="-10"/>
                <w:sz w:val="14"/>
              </w:rPr>
              <w:t>$</w:t>
            </w:r>
            <w:r>
              <w:rPr>
                <w:sz w:val="14"/>
              </w:rPr>
              <w:tab/>
            </w:r>
            <w:r>
              <w:rPr>
                <w:spacing w:val="-2"/>
                <w:sz w:val="14"/>
              </w:rPr>
              <w:t>14,140</w:t>
            </w:r>
          </w:p>
        </w:tc>
        <w:tc>
          <w:tcPr>
            <w:tcW w:w="1453" w:type="dxa"/>
          </w:tcPr>
          <w:p>
            <w:pPr>
              <w:pStyle w:val="TableParagraph"/>
              <w:tabs>
                <w:tab w:pos="852" w:val="left" w:leader="none"/>
              </w:tabs>
              <w:spacing w:line="160" w:lineRule="exact" w:before="14"/>
              <w:ind w:right="80"/>
              <w:jc w:val="right"/>
              <w:rPr>
                <w:sz w:val="14"/>
              </w:rPr>
            </w:pPr>
            <w:r>
              <w:rPr>
                <w:spacing w:val="-10"/>
                <w:sz w:val="14"/>
              </w:rPr>
              <w:t>$</w:t>
            </w:r>
            <w:r>
              <w:rPr>
                <w:sz w:val="14"/>
              </w:rPr>
              <w:tab/>
            </w:r>
            <w:r>
              <w:rPr>
                <w:spacing w:val="-2"/>
                <w:sz w:val="14"/>
              </w:rPr>
              <w:t>24,587</w:t>
            </w:r>
          </w:p>
        </w:tc>
        <w:tc>
          <w:tcPr>
            <w:tcW w:w="336" w:type="dxa"/>
          </w:tcPr>
          <w:p>
            <w:pPr>
              <w:pStyle w:val="TableParagraph"/>
              <w:spacing w:line="160" w:lineRule="exact" w:before="14"/>
              <w:ind w:left="91"/>
              <w:rPr>
                <w:sz w:val="14"/>
              </w:rPr>
            </w:pPr>
            <w:r>
              <w:rPr>
                <w:spacing w:val="-10"/>
                <w:sz w:val="14"/>
              </w:rPr>
              <w:t>$</w:t>
            </w:r>
          </w:p>
        </w:tc>
        <w:tc>
          <w:tcPr>
            <w:tcW w:w="652" w:type="dxa"/>
          </w:tcPr>
          <w:p>
            <w:pPr>
              <w:pStyle w:val="TableParagraph"/>
              <w:rPr>
                <w:rFonts w:ascii="Times New Roman"/>
                <w:sz w:val="12"/>
              </w:rPr>
            </w:pPr>
          </w:p>
        </w:tc>
        <w:tc>
          <w:tcPr>
            <w:tcW w:w="441" w:type="dxa"/>
          </w:tcPr>
          <w:p>
            <w:pPr>
              <w:pStyle w:val="TableParagraph"/>
              <w:spacing w:line="160" w:lineRule="exact" w:before="14"/>
              <w:ind w:left="186"/>
              <w:jc w:val="center"/>
              <w:rPr>
                <w:sz w:val="14"/>
              </w:rPr>
            </w:pPr>
            <w:r>
              <w:rPr>
                <w:sz w:val="14"/>
              </w:rPr>
              <w:t>—</w:t>
            </w:r>
          </w:p>
        </w:tc>
        <w:tc>
          <w:tcPr>
            <w:tcW w:w="1456" w:type="dxa"/>
          </w:tcPr>
          <w:p>
            <w:pPr>
              <w:pStyle w:val="TableParagraph"/>
              <w:tabs>
                <w:tab w:pos="852" w:val="left" w:leader="none"/>
              </w:tabs>
              <w:spacing w:line="160" w:lineRule="exact" w:before="14"/>
              <w:ind w:right="55"/>
              <w:jc w:val="right"/>
              <w:rPr>
                <w:sz w:val="14"/>
              </w:rPr>
            </w:pPr>
            <w:r>
              <w:rPr>
                <w:spacing w:val="-10"/>
                <w:sz w:val="14"/>
              </w:rPr>
              <w:t>$</w:t>
            </w:r>
            <w:r>
              <w:rPr>
                <w:sz w:val="14"/>
              </w:rPr>
              <w:tab/>
            </w:r>
            <w:r>
              <w:rPr>
                <w:spacing w:val="-2"/>
                <w:sz w:val="14"/>
              </w:rPr>
              <w:t>38,727</w:t>
            </w:r>
          </w:p>
        </w:tc>
      </w:tr>
      <w:tr>
        <w:trPr>
          <w:trHeight w:val="195" w:hRule="atLeast"/>
        </w:trPr>
        <w:tc>
          <w:tcPr>
            <w:tcW w:w="3552" w:type="dxa"/>
          </w:tcPr>
          <w:p>
            <w:pPr>
              <w:pStyle w:val="TableParagraph"/>
              <w:spacing w:line="160" w:lineRule="exact" w:before="14"/>
              <w:ind w:left="422"/>
              <w:rPr>
                <w:sz w:val="14"/>
              </w:rPr>
            </w:pPr>
            <w:r>
              <w:rPr>
                <w:sz w:val="14"/>
              </w:rPr>
              <w:t>Time</w:t>
            </w:r>
            <w:r>
              <w:rPr>
                <w:spacing w:val="-7"/>
                <w:sz w:val="14"/>
              </w:rPr>
              <w:t> </w:t>
            </w:r>
            <w:r>
              <w:rPr>
                <w:spacing w:val="-2"/>
                <w:sz w:val="14"/>
              </w:rPr>
              <w:t>deposits</w:t>
            </w:r>
          </w:p>
        </w:tc>
        <w:tc>
          <w:tcPr>
            <w:tcW w:w="1419" w:type="dxa"/>
            <w:gridSpan w:val="2"/>
          </w:tcPr>
          <w:p>
            <w:pPr>
              <w:pStyle w:val="TableParagraph"/>
              <w:spacing w:line="160" w:lineRule="exact" w:before="14"/>
              <w:ind w:right="82"/>
              <w:jc w:val="right"/>
              <w:rPr>
                <w:sz w:val="14"/>
              </w:rPr>
            </w:pPr>
            <w:r>
              <w:rPr>
                <w:spacing w:val="-2"/>
                <w:sz w:val="14"/>
              </w:rPr>
              <w:t>1,502</w:t>
            </w:r>
          </w:p>
        </w:tc>
        <w:tc>
          <w:tcPr>
            <w:tcW w:w="1453" w:type="dxa"/>
          </w:tcPr>
          <w:p>
            <w:pPr>
              <w:pStyle w:val="TableParagraph"/>
              <w:spacing w:line="160" w:lineRule="exact" w:before="14"/>
              <w:ind w:right="80"/>
              <w:jc w:val="right"/>
              <w:rPr>
                <w:sz w:val="14"/>
              </w:rPr>
            </w:pPr>
            <w:r>
              <w:rPr>
                <w:spacing w:val="-2"/>
                <w:sz w:val="14"/>
              </w:rPr>
              <w:t>37,952</w:t>
            </w:r>
          </w:p>
        </w:tc>
        <w:tc>
          <w:tcPr>
            <w:tcW w:w="336" w:type="dxa"/>
          </w:tcPr>
          <w:p>
            <w:pPr>
              <w:pStyle w:val="TableParagraph"/>
              <w:rPr>
                <w:rFonts w:ascii="Times New Roman"/>
                <w:sz w:val="12"/>
              </w:rPr>
            </w:pPr>
          </w:p>
        </w:tc>
        <w:tc>
          <w:tcPr>
            <w:tcW w:w="652" w:type="dxa"/>
          </w:tcPr>
          <w:p>
            <w:pPr>
              <w:pStyle w:val="TableParagraph"/>
              <w:rPr>
                <w:rFonts w:ascii="Times New Roman"/>
                <w:sz w:val="12"/>
              </w:rPr>
            </w:pPr>
          </w:p>
        </w:tc>
        <w:tc>
          <w:tcPr>
            <w:tcW w:w="441" w:type="dxa"/>
          </w:tcPr>
          <w:p>
            <w:pPr>
              <w:pStyle w:val="TableParagraph"/>
              <w:spacing w:line="160" w:lineRule="exact" w:before="14"/>
              <w:ind w:left="186"/>
              <w:jc w:val="center"/>
              <w:rPr>
                <w:sz w:val="14"/>
              </w:rPr>
            </w:pPr>
            <w:r>
              <w:rPr>
                <w:sz w:val="14"/>
              </w:rPr>
              <w:t>—</w:t>
            </w:r>
          </w:p>
        </w:tc>
        <w:tc>
          <w:tcPr>
            <w:tcW w:w="1456" w:type="dxa"/>
          </w:tcPr>
          <w:p>
            <w:pPr>
              <w:pStyle w:val="TableParagraph"/>
              <w:spacing w:line="160" w:lineRule="exact" w:before="14"/>
              <w:ind w:right="55"/>
              <w:jc w:val="right"/>
              <w:rPr>
                <w:sz w:val="14"/>
              </w:rPr>
            </w:pPr>
            <w:r>
              <w:rPr>
                <w:spacing w:val="-2"/>
                <w:sz w:val="14"/>
              </w:rPr>
              <w:t>39,454</w:t>
            </w:r>
          </w:p>
        </w:tc>
      </w:tr>
      <w:tr>
        <w:trPr>
          <w:trHeight w:val="185" w:hRule="atLeast"/>
        </w:trPr>
        <w:tc>
          <w:tcPr>
            <w:tcW w:w="3552" w:type="dxa"/>
          </w:tcPr>
          <w:p>
            <w:pPr>
              <w:pStyle w:val="TableParagraph"/>
              <w:spacing w:line="151" w:lineRule="exact" w:before="14"/>
              <w:ind w:left="410"/>
              <w:rPr>
                <w:sz w:val="14"/>
              </w:rPr>
            </w:pPr>
            <w:r>
              <w:rPr>
                <w:spacing w:val="-5"/>
                <w:sz w:val="14"/>
              </w:rPr>
              <w:t>ABS</w:t>
            </w:r>
          </w:p>
        </w:tc>
        <w:tc>
          <w:tcPr>
            <w:tcW w:w="1419" w:type="dxa"/>
            <w:gridSpan w:val="2"/>
          </w:tcPr>
          <w:p>
            <w:pPr>
              <w:pStyle w:val="TableParagraph"/>
              <w:spacing w:line="151" w:lineRule="exact" w:before="14"/>
              <w:ind w:right="83"/>
              <w:jc w:val="right"/>
              <w:rPr>
                <w:sz w:val="14"/>
              </w:rPr>
            </w:pPr>
            <w:r>
              <w:rPr>
                <w:sz w:val="14"/>
              </w:rPr>
              <w:t>—</w:t>
            </w:r>
          </w:p>
        </w:tc>
        <w:tc>
          <w:tcPr>
            <w:tcW w:w="1453" w:type="dxa"/>
          </w:tcPr>
          <w:p>
            <w:pPr>
              <w:pStyle w:val="TableParagraph"/>
              <w:spacing w:line="151" w:lineRule="exact" w:before="14"/>
              <w:ind w:right="80"/>
              <w:jc w:val="right"/>
              <w:rPr>
                <w:sz w:val="14"/>
              </w:rPr>
            </w:pPr>
            <w:r>
              <w:rPr>
                <w:spacing w:val="-2"/>
                <w:sz w:val="14"/>
              </w:rPr>
              <w:t>1,603</w:t>
            </w:r>
          </w:p>
        </w:tc>
        <w:tc>
          <w:tcPr>
            <w:tcW w:w="336" w:type="dxa"/>
          </w:tcPr>
          <w:p>
            <w:pPr>
              <w:pStyle w:val="TableParagraph"/>
              <w:rPr>
                <w:rFonts w:ascii="Times New Roman"/>
                <w:sz w:val="12"/>
              </w:rPr>
            </w:pPr>
          </w:p>
        </w:tc>
        <w:tc>
          <w:tcPr>
            <w:tcW w:w="652" w:type="dxa"/>
          </w:tcPr>
          <w:p>
            <w:pPr>
              <w:pStyle w:val="TableParagraph"/>
              <w:rPr>
                <w:rFonts w:ascii="Times New Roman"/>
                <w:sz w:val="12"/>
              </w:rPr>
            </w:pPr>
          </w:p>
        </w:tc>
        <w:tc>
          <w:tcPr>
            <w:tcW w:w="441" w:type="dxa"/>
          </w:tcPr>
          <w:p>
            <w:pPr>
              <w:pStyle w:val="TableParagraph"/>
              <w:spacing w:line="151" w:lineRule="exact" w:before="14"/>
              <w:ind w:left="186"/>
              <w:jc w:val="center"/>
              <w:rPr>
                <w:sz w:val="14"/>
              </w:rPr>
            </w:pPr>
            <w:r>
              <w:rPr>
                <w:sz w:val="14"/>
              </w:rPr>
              <w:t>—</w:t>
            </w:r>
          </w:p>
        </w:tc>
        <w:tc>
          <w:tcPr>
            <w:tcW w:w="1456" w:type="dxa"/>
          </w:tcPr>
          <w:p>
            <w:pPr>
              <w:pStyle w:val="TableParagraph"/>
              <w:spacing w:line="151" w:lineRule="exact" w:before="14"/>
              <w:ind w:right="55"/>
              <w:jc w:val="right"/>
              <w:rPr>
                <w:sz w:val="14"/>
              </w:rPr>
            </w:pPr>
            <w:r>
              <w:rPr>
                <w:spacing w:val="-2"/>
                <w:sz w:val="14"/>
              </w:rPr>
              <w:t>1,603</w:t>
            </w:r>
          </w:p>
        </w:tc>
      </w:tr>
      <w:tr>
        <w:trPr>
          <w:trHeight w:val="204" w:hRule="atLeast"/>
        </w:trPr>
        <w:tc>
          <w:tcPr>
            <w:tcW w:w="3552" w:type="dxa"/>
          </w:tcPr>
          <w:p>
            <w:pPr>
              <w:pStyle w:val="TableParagraph"/>
              <w:spacing w:line="160" w:lineRule="exact" w:before="24"/>
              <w:ind w:left="410"/>
              <w:rPr>
                <w:sz w:val="14"/>
              </w:rPr>
            </w:pPr>
            <w:r>
              <w:rPr>
                <w:sz w:val="14"/>
              </w:rPr>
              <w:t>Other</w:t>
            </w:r>
            <w:r>
              <w:rPr>
                <w:spacing w:val="-4"/>
                <w:sz w:val="14"/>
              </w:rPr>
              <w:t> </w:t>
            </w:r>
            <w:r>
              <w:rPr>
                <w:sz w:val="14"/>
              </w:rPr>
              <w:t>fund</w:t>
            </w:r>
            <w:r>
              <w:rPr>
                <w:spacing w:val="-3"/>
                <w:sz w:val="14"/>
              </w:rPr>
              <w:t> </w:t>
            </w:r>
            <w:r>
              <w:rPr>
                <w:sz w:val="14"/>
              </w:rPr>
              <w:t>investments</w:t>
            </w:r>
            <w:r>
              <w:rPr>
                <w:spacing w:val="-4"/>
                <w:sz w:val="14"/>
              </w:rPr>
              <w:t> </w:t>
            </w:r>
            <w:r>
              <w:rPr>
                <w:spacing w:val="-10"/>
                <w:sz w:val="14"/>
                <w:vertAlign w:val="superscript"/>
              </w:rPr>
              <w:t>a</w:t>
            </w:r>
          </w:p>
        </w:tc>
        <w:tc>
          <w:tcPr>
            <w:tcW w:w="1419" w:type="dxa"/>
            <w:gridSpan w:val="2"/>
          </w:tcPr>
          <w:p>
            <w:pPr>
              <w:pStyle w:val="TableParagraph"/>
              <w:spacing w:line="160" w:lineRule="exact" w:before="24"/>
              <w:ind w:right="83"/>
              <w:jc w:val="right"/>
              <w:rPr>
                <w:sz w:val="14"/>
              </w:rPr>
            </w:pPr>
            <w:r>
              <w:rPr>
                <w:sz w:val="14"/>
              </w:rPr>
              <w:t>—</w:t>
            </w:r>
          </w:p>
        </w:tc>
        <w:tc>
          <w:tcPr>
            <w:tcW w:w="1453" w:type="dxa"/>
          </w:tcPr>
          <w:p>
            <w:pPr>
              <w:pStyle w:val="TableParagraph"/>
              <w:spacing w:line="160" w:lineRule="exact" w:before="24"/>
              <w:ind w:right="81"/>
              <w:jc w:val="right"/>
              <w:rPr>
                <w:sz w:val="14"/>
              </w:rPr>
            </w:pPr>
            <w:r>
              <w:rPr>
                <w:sz w:val="14"/>
              </w:rPr>
              <w:t>—</w:t>
            </w:r>
          </w:p>
        </w:tc>
        <w:tc>
          <w:tcPr>
            <w:tcW w:w="336" w:type="dxa"/>
          </w:tcPr>
          <w:p>
            <w:pPr>
              <w:pStyle w:val="TableParagraph"/>
              <w:rPr>
                <w:rFonts w:ascii="Times New Roman"/>
                <w:sz w:val="14"/>
              </w:rPr>
            </w:pPr>
          </w:p>
        </w:tc>
        <w:tc>
          <w:tcPr>
            <w:tcW w:w="652" w:type="dxa"/>
          </w:tcPr>
          <w:p>
            <w:pPr>
              <w:pStyle w:val="TableParagraph"/>
              <w:rPr>
                <w:rFonts w:ascii="Times New Roman"/>
                <w:sz w:val="14"/>
              </w:rPr>
            </w:pPr>
          </w:p>
        </w:tc>
        <w:tc>
          <w:tcPr>
            <w:tcW w:w="441" w:type="dxa"/>
          </w:tcPr>
          <w:p>
            <w:pPr>
              <w:pStyle w:val="TableParagraph"/>
              <w:spacing w:line="160" w:lineRule="exact" w:before="24"/>
              <w:ind w:left="186"/>
              <w:jc w:val="center"/>
              <w:rPr>
                <w:sz w:val="14"/>
              </w:rPr>
            </w:pPr>
            <w:r>
              <w:rPr>
                <w:sz w:val="14"/>
              </w:rPr>
              <w:t>—</w:t>
            </w:r>
          </w:p>
        </w:tc>
        <w:tc>
          <w:tcPr>
            <w:tcW w:w="1456" w:type="dxa"/>
          </w:tcPr>
          <w:p>
            <w:pPr>
              <w:pStyle w:val="TableParagraph"/>
              <w:spacing w:line="160" w:lineRule="exact" w:before="24"/>
              <w:ind w:right="55"/>
              <w:jc w:val="right"/>
              <w:rPr>
                <w:sz w:val="14"/>
              </w:rPr>
            </w:pPr>
            <w:r>
              <w:rPr>
                <w:spacing w:val="-2"/>
                <w:sz w:val="14"/>
              </w:rPr>
              <w:t>1,704</w:t>
            </w:r>
          </w:p>
        </w:tc>
      </w:tr>
      <w:tr>
        <w:trPr>
          <w:trHeight w:val="176" w:hRule="atLeast"/>
        </w:trPr>
        <w:tc>
          <w:tcPr>
            <w:tcW w:w="3552" w:type="dxa"/>
          </w:tcPr>
          <w:p>
            <w:pPr>
              <w:pStyle w:val="TableParagraph"/>
              <w:spacing w:line="142" w:lineRule="exact" w:before="14"/>
              <w:ind w:left="410"/>
              <w:rPr>
                <w:sz w:val="14"/>
              </w:rPr>
            </w:pPr>
            <w:r>
              <w:rPr>
                <w:sz w:val="14"/>
              </w:rPr>
              <w:t>Equity</w:t>
            </w:r>
            <w:r>
              <w:rPr>
                <w:spacing w:val="-6"/>
                <w:sz w:val="14"/>
              </w:rPr>
              <w:t> </w:t>
            </w:r>
            <w:r>
              <w:rPr>
                <w:spacing w:val="-2"/>
                <w:sz w:val="14"/>
              </w:rPr>
              <w:t>securities</w:t>
            </w:r>
          </w:p>
        </w:tc>
        <w:tc>
          <w:tcPr>
            <w:tcW w:w="1419" w:type="dxa"/>
            <w:gridSpan w:val="2"/>
            <w:tcBorders>
              <w:bottom w:val="single" w:sz="8" w:space="0" w:color="000000"/>
            </w:tcBorders>
          </w:tcPr>
          <w:p>
            <w:pPr>
              <w:pStyle w:val="TableParagraph"/>
              <w:spacing w:line="142" w:lineRule="exact" w:before="14"/>
              <w:ind w:right="83"/>
              <w:jc w:val="right"/>
              <w:rPr>
                <w:sz w:val="14"/>
              </w:rPr>
            </w:pPr>
            <w:r>
              <w:rPr>
                <w:spacing w:val="-5"/>
                <w:sz w:val="14"/>
              </w:rPr>
              <w:t>295</w:t>
            </w:r>
          </w:p>
        </w:tc>
        <w:tc>
          <w:tcPr>
            <w:tcW w:w="1453" w:type="dxa"/>
            <w:tcBorders>
              <w:bottom w:val="single" w:sz="8" w:space="0" w:color="000000"/>
            </w:tcBorders>
          </w:tcPr>
          <w:p>
            <w:pPr>
              <w:pStyle w:val="TableParagraph"/>
              <w:spacing w:line="142" w:lineRule="exact" w:before="14"/>
              <w:ind w:right="81"/>
              <w:jc w:val="right"/>
              <w:rPr>
                <w:sz w:val="14"/>
              </w:rPr>
            </w:pPr>
            <w:r>
              <w:rPr>
                <w:sz w:val="14"/>
              </w:rPr>
              <w:t>—</w:t>
            </w:r>
          </w:p>
        </w:tc>
        <w:tc>
          <w:tcPr>
            <w:tcW w:w="336" w:type="dxa"/>
            <w:tcBorders>
              <w:bottom w:val="single" w:sz="8" w:space="0" w:color="000000"/>
            </w:tcBorders>
          </w:tcPr>
          <w:p>
            <w:pPr>
              <w:pStyle w:val="TableParagraph"/>
              <w:rPr>
                <w:rFonts w:ascii="Times New Roman"/>
                <w:sz w:val="10"/>
              </w:rPr>
            </w:pPr>
          </w:p>
        </w:tc>
        <w:tc>
          <w:tcPr>
            <w:tcW w:w="652" w:type="dxa"/>
            <w:tcBorders>
              <w:bottom w:val="single" w:sz="8" w:space="0" w:color="000000"/>
            </w:tcBorders>
          </w:tcPr>
          <w:p>
            <w:pPr>
              <w:pStyle w:val="TableParagraph"/>
              <w:rPr>
                <w:rFonts w:ascii="Times New Roman"/>
                <w:sz w:val="10"/>
              </w:rPr>
            </w:pPr>
          </w:p>
        </w:tc>
        <w:tc>
          <w:tcPr>
            <w:tcW w:w="441" w:type="dxa"/>
            <w:tcBorders>
              <w:bottom w:val="single" w:sz="8" w:space="0" w:color="000000"/>
            </w:tcBorders>
          </w:tcPr>
          <w:p>
            <w:pPr>
              <w:pStyle w:val="TableParagraph"/>
              <w:spacing w:line="142" w:lineRule="exact" w:before="14"/>
              <w:ind w:left="186"/>
              <w:jc w:val="center"/>
              <w:rPr>
                <w:sz w:val="14"/>
              </w:rPr>
            </w:pPr>
            <w:r>
              <w:rPr>
                <w:sz w:val="14"/>
              </w:rPr>
              <w:t>—</w:t>
            </w:r>
          </w:p>
        </w:tc>
        <w:tc>
          <w:tcPr>
            <w:tcW w:w="1456" w:type="dxa"/>
            <w:tcBorders>
              <w:bottom w:val="single" w:sz="8" w:space="0" w:color="000000"/>
            </w:tcBorders>
          </w:tcPr>
          <w:p>
            <w:pPr>
              <w:pStyle w:val="TableParagraph"/>
              <w:spacing w:line="142" w:lineRule="exact" w:before="14"/>
              <w:ind w:right="56"/>
              <w:jc w:val="right"/>
              <w:rPr>
                <w:sz w:val="14"/>
              </w:rPr>
            </w:pPr>
            <w:r>
              <w:rPr>
                <w:spacing w:val="-5"/>
                <w:sz w:val="14"/>
              </w:rPr>
              <w:t>295</w:t>
            </w:r>
          </w:p>
        </w:tc>
      </w:tr>
      <w:tr>
        <w:trPr>
          <w:trHeight w:val="193" w:hRule="atLeast"/>
        </w:trPr>
        <w:tc>
          <w:tcPr>
            <w:tcW w:w="3552" w:type="dxa"/>
          </w:tcPr>
          <w:p>
            <w:pPr>
              <w:pStyle w:val="TableParagraph"/>
              <w:spacing w:line="160" w:lineRule="exact" w:before="13"/>
              <w:ind w:left="230"/>
              <w:rPr>
                <w:sz w:val="14"/>
              </w:rPr>
            </w:pPr>
            <w:r>
              <w:rPr>
                <w:sz w:val="14"/>
              </w:rPr>
              <w:t>Total</w:t>
            </w:r>
            <w:r>
              <w:rPr>
                <w:spacing w:val="-8"/>
                <w:sz w:val="14"/>
              </w:rPr>
              <w:t> </w:t>
            </w:r>
            <w:r>
              <w:rPr>
                <w:sz w:val="14"/>
              </w:rPr>
              <w:t>Investments</w:t>
            </w:r>
            <w:r>
              <w:rPr>
                <w:spacing w:val="-8"/>
                <w:sz w:val="14"/>
              </w:rPr>
              <w:t> </w:t>
            </w:r>
            <w:r>
              <w:rPr>
                <w:sz w:val="14"/>
              </w:rPr>
              <w:t>–</w:t>
            </w:r>
            <w:r>
              <w:rPr>
                <w:spacing w:val="-9"/>
                <w:sz w:val="14"/>
              </w:rPr>
              <w:t> </w:t>
            </w:r>
            <w:r>
              <w:rPr>
                <w:spacing w:val="-2"/>
                <w:sz w:val="14"/>
              </w:rPr>
              <w:t>Trading</w:t>
            </w:r>
          </w:p>
        </w:tc>
        <w:tc>
          <w:tcPr>
            <w:tcW w:w="1419" w:type="dxa"/>
            <w:gridSpan w:val="2"/>
            <w:tcBorders>
              <w:top w:val="single" w:sz="8" w:space="0" w:color="000000"/>
            </w:tcBorders>
          </w:tcPr>
          <w:p>
            <w:pPr>
              <w:pStyle w:val="TableParagraph"/>
              <w:tabs>
                <w:tab w:pos="905" w:val="left" w:leader="none"/>
              </w:tabs>
              <w:spacing w:line="160" w:lineRule="exact" w:before="13"/>
              <w:ind w:left="53"/>
              <w:rPr>
                <w:sz w:val="14"/>
              </w:rPr>
            </w:pPr>
            <w:r>
              <w:rPr>
                <w:spacing w:val="-10"/>
                <w:sz w:val="14"/>
              </w:rPr>
              <w:t>$</w:t>
            </w:r>
            <w:r>
              <w:rPr>
                <w:sz w:val="14"/>
              </w:rPr>
              <w:tab/>
            </w:r>
            <w:r>
              <w:rPr>
                <w:spacing w:val="-2"/>
                <w:sz w:val="14"/>
              </w:rPr>
              <w:t>15,937</w:t>
            </w:r>
          </w:p>
        </w:tc>
        <w:tc>
          <w:tcPr>
            <w:tcW w:w="1453" w:type="dxa"/>
            <w:tcBorders>
              <w:top w:val="single" w:sz="8" w:space="0" w:color="000000"/>
            </w:tcBorders>
          </w:tcPr>
          <w:p>
            <w:pPr>
              <w:pStyle w:val="TableParagraph"/>
              <w:tabs>
                <w:tab w:pos="852" w:val="left" w:leader="none"/>
              </w:tabs>
              <w:spacing w:line="160" w:lineRule="exact" w:before="13"/>
              <w:ind w:right="80"/>
              <w:jc w:val="right"/>
              <w:rPr>
                <w:sz w:val="14"/>
              </w:rPr>
            </w:pPr>
            <w:r>
              <w:rPr>
                <w:spacing w:val="-10"/>
                <w:sz w:val="14"/>
              </w:rPr>
              <w:t>$</w:t>
            </w:r>
            <w:r>
              <w:rPr>
                <w:sz w:val="14"/>
              </w:rPr>
              <w:tab/>
            </w:r>
            <w:r>
              <w:rPr>
                <w:spacing w:val="-2"/>
                <w:sz w:val="14"/>
              </w:rPr>
              <w:t>64,142</w:t>
            </w:r>
          </w:p>
        </w:tc>
        <w:tc>
          <w:tcPr>
            <w:tcW w:w="336" w:type="dxa"/>
            <w:tcBorders>
              <w:top w:val="single" w:sz="8" w:space="0" w:color="000000"/>
            </w:tcBorders>
          </w:tcPr>
          <w:p>
            <w:pPr>
              <w:pStyle w:val="TableParagraph"/>
              <w:spacing w:line="160" w:lineRule="exact" w:before="13"/>
              <w:ind w:left="91"/>
              <w:rPr>
                <w:sz w:val="14"/>
              </w:rPr>
            </w:pPr>
            <w:r>
              <w:rPr>
                <w:spacing w:val="-10"/>
                <w:sz w:val="14"/>
              </w:rPr>
              <w:t>$</w:t>
            </w:r>
          </w:p>
        </w:tc>
        <w:tc>
          <w:tcPr>
            <w:tcW w:w="652" w:type="dxa"/>
            <w:tcBorders>
              <w:top w:val="single" w:sz="8" w:space="0" w:color="000000"/>
            </w:tcBorders>
          </w:tcPr>
          <w:p>
            <w:pPr>
              <w:pStyle w:val="TableParagraph"/>
              <w:rPr>
                <w:rFonts w:ascii="Times New Roman"/>
                <w:sz w:val="12"/>
              </w:rPr>
            </w:pPr>
          </w:p>
        </w:tc>
        <w:tc>
          <w:tcPr>
            <w:tcW w:w="441" w:type="dxa"/>
            <w:tcBorders>
              <w:top w:val="single" w:sz="8" w:space="0" w:color="000000"/>
            </w:tcBorders>
          </w:tcPr>
          <w:p>
            <w:pPr>
              <w:pStyle w:val="TableParagraph"/>
              <w:spacing w:line="160" w:lineRule="exact" w:before="13"/>
              <w:ind w:left="186"/>
              <w:jc w:val="center"/>
              <w:rPr>
                <w:sz w:val="14"/>
              </w:rPr>
            </w:pPr>
            <w:r>
              <w:rPr>
                <w:sz w:val="14"/>
              </w:rPr>
              <w:t>—</w:t>
            </w:r>
          </w:p>
        </w:tc>
        <w:tc>
          <w:tcPr>
            <w:tcW w:w="1456" w:type="dxa"/>
            <w:tcBorders>
              <w:top w:val="single" w:sz="8" w:space="0" w:color="000000"/>
            </w:tcBorders>
          </w:tcPr>
          <w:p>
            <w:pPr>
              <w:pStyle w:val="TableParagraph"/>
              <w:tabs>
                <w:tab w:pos="852" w:val="left" w:leader="none"/>
              </w:tabs>
              <w:spacing w:line="160" w:lineRule="exact" w:before="13"/>
              <w:ind w:right="55"/>
              <w:jc w:val="right"/>
              <w:rPr>
                <w:sz w:val="14"/>
              </w:rPr>
            </w:pPr>
            <w:r>
              <w:rPr>
                <w:spacing w:val="-10"/>
                <w:sz w:val="14"/>
              </w:rPr>
              <w:t>$</w:t>
            </w:r>
            <w:r>
              <w:rPr>
                <w:sz w:val="14"/>
              </w:rPr>
              <w:tab/>
            </w:r>
            <w:r>
              <w:rPr>
                <w:spacing w:val="-2"/>
                <w:sz w:val="14"/>
              </w:rPr>
              <w:t>81,783</w:t>
            </w:r>
          </w:p>
        </w:tc>
      </w:tr>
      <w:tr>
        <w:trPr>
          <w:trHeight w:val="195" w:hRule="atLeast"/>
        </w:trPr>
        <w:tc>
          <w:tcPr>
            <w:tcW w:w="3552" w:type="dxa"/>
          </w:tcPr>
          <w:p>
            <w:pPr>
              <w:pStyle w:val="TableParagraph"/>
              <w:spacing w:line="160" w:lineRule="exact" w:before="14"/>
              <w:ind w:left="50"/>
              <w:rPr>
                <w:sz w:val="14"/>
              </w:rPr>
            </w:pPr>
            <w:r>
              <w:rPr>
                <w:sz w:val="14"/>
              </w:rPr>
              <w:t>Securities</w:t>
            </w:r>
            <w:r>
              <w:rPr>
                <w:spacing w:val="-5"/>
                <w:sz w:val="14"/>
              </w:rPr>
              <w:t> </w:t>
            </w:r>
            <w:r>
              <w:rPr>
                <w:sz w:val="14"/>
              </w:rPr>
              <w:t>purchased</w:t>
            </w:r>
            <w:r>
              <w:rPr>
                <w:spacing w:val="-4"/>
                <w:sz w:val="14"/>
              </w:rPr>
              <w:t> </w:t>
            </w:r>
            <w:r>
              <w:rPr>
                <w:sz w:val="14"/>
              </w:rPr>
              <w:t>under</w:t>
            </w:r>
            <w:r>
              <w:rPr>
                <w:spacing w:val="-5"/>
                <w:sz w:val="14"/>
              </w:rPr>
              <w:t> </w:t>
            </w:r>
            <w:r>
              <w:rPr>
                <w:sz w:val="14"/>
              </w:rPr>
              <w:t>resale</w:t>
            </w:r>
            <w:r>
              <w:rPr>
                <w:spacing w:val="-4"/>
                <w:sz w:val="14"/>
              </w:rPr>
              <w:t> </w:t>
            </w:r>
            <w:r>
              <w:rPr>
                <w:spacing w:val="-2"/>
                <w:sz w:val="14"/>
              </w:rPr>
              <w:t>agreements</w:t>
            </w:r>
          </w:p>
        </w:tc>
        <w:tc>
          <w:tcPr>
            <w:tcW w:w="1419" w:type="dxa"/>
            <w:gridSpan w:val="2"/>
          </w:tcPr>
          <w:p>
            <w:pPr>
              <w:pStyle w:val="TableParagraph"/>
              <w:tabs>
                <w:tab w:pos="1178" w:val="left" w:leader="none"/>
              </w:tabs>
              <w:spacing w:line="160" w:lineRule="exact" w:before="14"/>
              <w:ind w:left="53"/>
              <w:rPr>
                <w:sz w:val="14"/>
              </w:rPr>
            </w:pPr>
            <w:r>
              <w:rPr>
                <w:spacing w:val="-10"/>
                <w:sz w:val="14"/>
              </w:rPr>
              <w:t>$</w:t>
            </w:r>
            <w:r>
              <w:rPr>
                <w:sz w:val="14"/>
              </w:rPr>
              <w:tab/>
            </w:r>
            <w:r>
              <w:rPr>
                <w:spacing w:val="-5"/>
                <w:sz w:val="14"/>
              </w:rPr>
              <w:t>37</w:t>
            </w:r>
          </w:p>
        </w:tc>
        <w:tc>
          <w:tcPr>
            <w:tcW w:w="1453" w:type="dxa"/>
          </w:tcPr>
          <w:p>
            <w:pPr>
              <w:pStyle w:val="TableParagraph"/>
              <w:tabs>
                <w:tab w:pos="1140" w:val="left" w:leader="none"/>
              </w:tabs>
              <w:spacing w:line="160" w:lineRule="exact" w:before="14"/>
              <w:ind w:right="81"/>
              <w:jc w:val="right"/>
              <w:rPr>
                <w:sz w:val="14"/>
              </w:rPr>
            </w:pPr>
            <w:r>
              <w:rPr>
                <w:spacing w:val="-10"/>
                <w:sz w:val="14"/>
              </w:rPr>
              <w:t>$</w:t>
            </w:r>
            <w:r>
              <w:rPr>
                <w:sz w:val="14"/>
              </w:rPr>
              <w:tab/>
              <w:t>—</w:t>
            </w:r>
          </w:p>
        </w:tc>
        <w:tc>
          <w:tcPr>
            <w:tcW w:w="336" w:type="dxa"/>
          </w:tcPr>
          <w:p>
            <w:pPr>
              <w:pStyle w:val="TableParagraph"/>
              <w:spacing w:line="160" w:lineRule="exact" w:before="14"/>
              <w:ind w:left="91"/>
              <w:rPr>
                <w:sz w:val="14"/>
              </w:rPr>
            </w:pPr>
            <w:r>
              <w:rPr>
                <w:spacing w:val="-10"/>
                <w:sz w:val="14"/>
              </w:rPr>
              <w:t>$</w:t>
            </w:r>
          </w:p>
        </w:tc>
        <w:tc>
          <w:tcPr>
            <w:tcW w:w="652" w:type="dxa"/>
          </w:tcPr>
          <w:p>
            <w:pPr>
              <w:pStyle w:val="TableParagraph"/>
              <w:rPr>
                <w:rFonts w:ascii="Times New Roman"/>
                <w:sz w:val="12"/>
              </w:rPr>
            </w:pPr>
          </w:p>
        </w:tc>
        <w:tc>
          <w:tcPr>
            <w:tcW w:w="441" w:type="dxa"/>
          </w:tcPr>
          <w:p>
            <w:pPr>
              <w:pStyle w:val="TableParagraph"/>
              <w:spacing w:line="160" w:lineRule="exact" w:before="14"/>
              <w:ind w:left="186"/>
              <w:jc w:val="center"/>
              <w:rPr>
                <w:sz w:val="14"/>
              </w:rPr>
            </w:pPr>
            <w:r>
              <w:rPr>
                <w:sz w:val="14"/>
              </w:rPr>
              <w:t>—</w:t>
            </w:r>
          </w:p>
        </w:tc>
        <w:tc>
          <w:tcPr>
            <w:tcW w:w="1456" w:type="dxa"/>
          </w:tcPr>
          <w:p>
            <w:pPr>
              <w:pStyle w:val="TableParagraph"/>
              <w:tabs>
                <w:tab w:pos="1125" w:val="left" w:leader="none"/>
              </w:tabs>
              <w:spacing w:line="160" w:lineRule="exact" w:before="14"/>
              <w:ind w:right="56"/>
              <w:jc w:val="right"/>
              <w:rPr>
                <w:sz w:val="14"/>
              </w:rPr>
            </w:pPr>
            <w:r>
              <w:rPr>
                <w:spacing w:val="-10"/>
                <w:sz w:val="14"/>
              </w:rPr>
              <w:t>$</w:t>
            </w:r>
            <w:r>
              <w:rPr>
                <w:sz w:val="14"/>
              </w:rPr>
              <w:tab/>
            </w:r>
            <w:r>
              <w:rPr>
                <w:spacing w:val="-5"/>
                <w:sz w:val="14"/>
              </w:rPr>
              <w:t>37</w:t>
            </w:r>
          </w:p>
        </w:tc>
      </w:tr>
      <w:tr>
        <w:trPr>
          <w:trHeight w:val="185" w:hRule="atLeast"/>
        </w:trPr>
        <w:tc>
          <w:tcPr>
            <w:tcW w:w="3552" w:type="dxa"/>
          </w:tcPr>
          <w:p>
            <w:pPr>
              <w:pStyle w:val="TableParagraph"/>
              <w:spacing w:line="151" w:lineRule="exact" w:before="14"/>
              <w:ind w:left="50"/>
              <w:rPr>
                <w:sz w:val="14"/>
              </w:rPr>
            </w:pPr>
            <w:r>
              <w:rPr>
                <w:spacing w:val="-2"/>
                <w:sz w:val="14"/>
              </w:rPr>
              <w:t>Derivative</w:t>
            </w:r>
            <w:r>
              <w:rPr>
                <w:spacing w:val="5"/>
                <w:sz w:val="14"/>
              </w:rPr>
              <w:t> </w:t>
            </w:r>
            <w:r>
              <w:rPr>
                <w:spacing w:val="-2"/>
                <w:sz w:val="14"/>
              </w:rPr>
              <w:t>Assets</w:t>
            </w:r>
          </w:p>
        </w:tc>
        <w:tc>
          <w:tcPr>
            <w:tcW w:w="1419" w:type="dxa"/>
            <w:gridSpan w:val="2"/>
          </w:tcPr>
          <w:p>
            <w:pPr>
              <w:pStyle w:val="TableParagraph"/>
              <w:rPr>
                <w:rFonts w:ascii="Times New Roman"/>
                <w:sz w:val="12"/>
              </w:rPr>
            </w:pPr>
          </w:p>
        </w:tc>
        <w:tc>
          <w:tcPr>
            <w:tcW w:w="1453" w:type="dxa"/>
          </w:tcPr>
          <w:p>
            <w:pPr>
              <w:pStyle w:val="TableParagraph"/>
              <w:rPr>
                <w:rFonts w:ascii="Times New Roman"/>
                <w:sz w:val="12"/>
              </w:rPr>
            </w:pPr>
          </w:p>
        </w:tc>
        <w:tc>
          <w:tcPr>
            <w:tcW w:w="336" w:type="dxa"/>
          </w:tcPr>
          <w:p>
            <w:pPr>
              <w:pStyle w:val="TableParagraph"/>
              <w:rPr>
                <w:rFonts w:ascii="Times New Roman"/>
                <w:sz w:val="12"/>
              </w:rPr>
            </w:pPr>
          </w:p>
        </w:tc>
        <w:tc>
          <w:tcPr>
            <w:tcW w:w="652" w:type="dxa"/>
          </w:tcPr>
          <w:p>
            <w:pPr>
              <w:pStyle w:val="TableParagraph"/>
              <w:rPr>
                <w:rFonts w:ascii="Times New Roman"/>
                <w:sz w:val="12"/>
              </w:rPr>
            </w:pPr>
          </w:p>
        </w:tc>
        <w:tc>
          <w:tcPr>
            <w:tcW w:w="441" w:type="dxa"/>
          </w:tcPr>
          <w:p>
            <w:pPr>
              <w:pStyle w:val="TableParagraph"/>
              <w:rPr>
                <w:rFonts w:ascii="Times New Roman"/>
                <w:sz w:val="12"/>
              </w:rPr>
            </w:pPr>
          </w:p>
        </w:tc>
        <w:tc>
          <w:tcPr>
            <w:tcW w:w="1456" w:type="dxa"/>
          </w:tcPr>
          <w:p>
            <w:pPr>
              <w:pStyle w:val="TableParagraph"/>
              <w:rPr>
                <w:rFonts w:ascii="Times New Roman"/>
                <w:sz w:val="12"/>
              </w:rPr>
            </w:pPr>
          </w:p>
        </w:tc>
      </w:tr>
      <w:tr>
        <w:trPr>
          <w:trHeight w:val="204" w:hRule="atLeast"/>
        </w:trPr>
        <w:tc>
          <w:tcPr>
            <w:tcW w:w="3552" w:type="dxa"/>
          </w:tcPr>
          <w:p>
            <w:pPr>
              <w:pStyle w:val="TableParagraph"/>
              <w:spacing w:line="160" w:lineRule="exact" w:before="24"/>
              <w:ind w:left="400"/>
              <w:rPr>
                <w:sz w:val="14"/>
              </w:rPr>
            </w:pPr>
            <w:r>
              <w:rPr>
                <w:sz w:val="14"/>
              </w:rPr>
              <w:t>Currency</w:t>
            </w:r>
            <w:r>
              <w:rPr>
                <w:spacing w:val="-4"/>
                <w:sz w:val="14"/>
              </w:rPr>
              <w:t> </w:t>
            </w:r>
            <w:r>
              <w:rPr>
                <w:sz w:val="14"/>
              </w:rPr>
              <w:t>swaps</w:t>
            </w:r>
            <w:r>
              <w:rPr>
                <w:spacing w:val="-5"/>
                <w:sz w:val="14"/>
              </w:rPr>
              <w:t> </w:t>
            </w:r>
            <w:r>
              <w:rPr>
                <w:spacing w:val="-10"/>
                <w:sz w:val="14"/>
                <w:vertAlign w:val="superscript"/>
              </w:rPr>
              <w:t>b</w:t>
            </w:r>
          </w:p>
        </w:tc>
        <w:tc>
          <w:tcPr>
            <w:tcW w:w="1419" w:type="dxa"/>
            <w:gridSpan w:val="2"/>
          </w:tcPr>
          <w:p>
            <w:pPr>
              <w:pStyle w:val="TableParagraph"/>
              <w:tabs>
                <w:tab w:pos="1193" w:val="left" w:leader="none"/>
              </w:tabs>
              <w:spacing w:line="160" w:lineRule="exact" w:before="24"/>
              <w:ind w:left="53"/>
              <w:rPr>
                <w:sz w:val="14"/>
              </w:rPr>
            </w:pPr>
            <w:r>
              <w:rPr>
                <w:spacing w:val="-10"/>
                <w:sz w:val="14"/>
              </w:rPr>
              <w:t>$</w:t>
            </w:r>
            <w:r>
              <w:rPr>
                <w:sz w:val="14"/>
              </w:rPr>
              <w:tab/>
              <w:t>—</w:t>
            </w:r>
          </w:p>
        </w:tc>
        <w:tc>
          <w:tcPr>
            <w:tcW w:w="1453" w:type="dxa"/>
          </w:tcPr>
          <w:p>
            <w:pPr>
              <w:pStyle w:val="TableParagraph"/>
              <w:tabs>
                <w:tab w:pos="930" w:val="left" w:leader="none"/>
              </w:tabs>
              <w:spacing w:line="160" w:lineRule="exact" w:before="24"/>
              <w:ind w:right="80"/>
              <w:jc w:val="right"/>
              <w:rPr>
                <w:sz w:val="14"/>
              </w:rPr>
            </w:pPr>
            <w:r>
              <w:rPr>
                <w:spacing w:val="-10"/>
                <w:sz w:val="14"/>
              </w:rPr>
              <w:t>$</w:t>
            </w:r>
            <w:r>
              <w:rPr>
                <w:sz w:val="14"/>
              </w:rPr>
              <w:tab/>
            </w:r>
            <w:r>
              <w:rPr>
                <w:spacing w:val="-2"/>
                <w:sz w:val="14"/>
              </w:rPr>
              <w:t>4,870</w:t>
            </w:r>
          </w:p>
        </w:tc>
        <w:tc>
          <w:tcPr>
            <w:tcW w:w="336" w:type="dxa"/>
          </w:tcPr>
          <w:p>
            <w:pPr>
              <w:pStyle w:val="TableParagraph"/>
              <w:spacing w:line="160" w:lineRule="exact" w:before="24"/>
              <w:ind w:left="91"/>
              <w:rPr>
                <w:sz w:val="14"/>
              </w:rPr>
            </w:pPr>
            <w:r>
              <w:rPr>
                <w:spacing w:val="-10"/>
                <w:sz w:val="14"/>
              </w:rPr>
              <w:t>$</w:t>
            </w:r>
          </w:p>
        </w:tc>
        <w:tc>
          <w:tcPr>
            <w:tcW w:w="652" w:type="dxa"/>
          </w:tcPr>
          <w:p>
            <w:pPr>
              <w:pStyle w:val="TableParagraph"/>
              <w:rPr>
                <w:rFonts w:ascii="Times New Roman"/>
                <w:sz w:val="14"/>
              </w:rPr>
            </w:pPr>
          </w:p>
        </w:tc>
        <w:tc>
          <w:tcPr>
            <w:tcW w:w="441" w:type="dxa"/>
          </w:tcPr>
          <w:p>
            <w:pPr>
              <w:pStyle w:val="TableParagraph"/>
              <w:spacing w:line="160" w:lineRule="exact" w:before="24"/>
              <w:ind w:left="171"/>
              <w:jc w:val="center"/>
              <w:rPr>
                <w:sz w:val="14"/>
              </w:rPr>
            </w:pPr>
            <w:r>
              <w:rPr>
                <w:spacing w:val="-5"/>
                <w:sz w:val="14"/>
              </w:rPr>
              <w:t>83</w:t>
            </w:r>
          </w:p>
        </w:tc>
        <w:tc>
          <w:tcPr>
            <w:tcW w:w="1456" w:type="dxa"/>
          </w:tcPr>
          <w:p>
            <w:pPr>
              <w:pStyle w:val="TableParagraph"/>
              <w:tabs>
                <w:tab w:pos="930" w:val="left" w:leader="none"/>
              </w:tabs>
              <w:spacing w:line="160" w:lineRule="exact" w:before="24"/>
              <w:ind w:right="55"/>
              <w:jc w:val="right"/>
              <w:rPr>
                <w:sz w:val="14"/>
              </w:rPr>
            </w:pPr>
            <w:r>
              <w:rPr>
                <w:spacing w:val="-10"/>
                <w:sz w:val="14"/>
              </w:rPr>
              <w:t>$</w:t>
            </w:r>
            <w:r>
              <w:rPr>
                <w:sz w:val="14"/>
              </w:rPr>
              <w:tab/>
            </w:r>
            <w:r>
              <w:rPr>
                <w:spacing w:val="-2"/>
                <w:sz w:val="14"/>
              </w:rPr>
              <w:t>4,953</w:t>
            </w:r>
          </w:p>
        </w:tc>
      </w:tr>
      <w:tr>
        <w:trPr>
          <w:trHeight w:val="185" w:hRule="atLeast"/>
        </w:trPr>
        <w:tc>
          <w:tcPr>
            <w:tcW w:w="3552" w:type="dxa"/>
          </w:tcPr>
          <w:p>
            <w:pPr>
              <w:pStyle w:val="TableParagraph"/>
              <w:spacing w:line="151" w:lineRule="exact" w:before="14"/>
              <w:ind w:left="410"/>
              <w:rPr>
                <w:sz w:val="14"/>
              </w:rPr>
            </w:pPr>
            <w:r>
              <w:rPr>
                <w:sz w:val="14"/>
              </w:rPr>
              <w:t>Interest</w:t>
            </w:r>
            <w:r>
              <w:rPr>
                <w:spacing w:val="-2"/>
                <w:sz w:val="14"/>
              </w:rPr>
              <w:t> </w:t>
            </w:r>
            <w:r>
              <w:rPr>
                <w:sz w:val="14"/>
              </w:rPr>
              <w:t>rate</w:t>
            </w:r>
            <w:r>
              <w:rPr>
                <w:spacing w:val="-2"/>
                <w:sz w:val="14"/>
              </w:rPr>
              <w:t> swaps</w:t>
            </w:r>
          </w:p>
        </w:tc>
        <w:tc>
          <w:tcPr>
            <w:tcW w:w="1419" w:type="dxa"/>
            <w:gridSpan w:val="2"/>
          </w:tcPr>
          <w:p>
            <w:pPr>
              <w:pStyle w:val="TableParagraph"/>
              <w:spacing w:line="151" w:lineRule="exact" w:before="14"/>
              <w:ind w:right="83"/>
              <w:jc w:val="right"/>
              <w:rPr>
                <w:sz w:val="14"/>
              </w:rPr>
            </w:pPr>
            <w:r>
              <w:rPr>
                <w:sz w:val="14"/>
              </w:rPr>
              <w:t>—</w:t>
            </w:r>
          </w:p>
        </w:tc>
        <w:tc>
          <w:tcPr>
            <w:tcW w:w="1453" w:type="dxa"/>
          </w:tcPr>
          <w:p>
            <w:pPr>
              <w:pStyle w:val="TableParagraph"/>
              <w:spacing w:line="151" w:lineRule="exact" w:before="14"/>
              <w:ind w:right="80"/>
              <w:jc w:val="right"/>
              <w:rPr>
                <w:sz w:val="14"/>
              </w:rPr>
            </w:pPr>
            <w:r>
              <w:rPr>
                <w:spacing w:val="-2"/>
                <w:sz w:val="14"/>
              </w:rPr>
              <w:t>6,500</w:t>
            </w:r>
          </w:p>
        </w:tc>
        <w:tc>
          <w:tcPr>
            <w:tcW w:w="336" w:type="dxa"/>
          </w:tcPr>
          <w:p>
            <w:pPr>
              <w:pStyle w:val="TableParagraph"/>
              <w:rPr>
                <w:rFonts w:ascii="Times New Roman"/>
                <w:sz w:val="12"/>
              </w:rPr>
            </w:pPr>
          </w:p>
        </w:tc>
        <w:tc>
          <w:tcPr>
            <w:tcW w:w="652" w:type="dxa"/>
          </w:tcPr>
          <w:p>
            <w:pPr>
              <w:pStyle w:val="TableParagraph"/>
              <w:rPr>
                <w:rFonts w:ascii="Times New Roman"/>
                <w:sz w:val="12"/>
              </w:rPr>
            </w:pPr>
          </w:p>
        </w:tc>
        <w:tc>
          <w:tcPr>
            <w:tcW w:w="441" w:type="dxa"/>
          </w:tcPr>
          <w:p>
            <w:pPr>
              <w:pStyle w:val="TableParagraph"/>
              <w:spacing w:line="151" w:lineRule="exact" w:before="14"/>
              <w:ind w:left="171"/>
              <w:jc w:val="center"/>
              <w:rPr>
                <w:sz w:val="14"/>
              </w:rPr>
            </w:pPr>
            <w:r>
              <w:rPr>
                <w:spacing w:val="-5"/>
                <w:sz w:val="14"/>
              </w:rPr>
              <w:t>37</w:t>
            </w:r>
          </w:p>
        </w:tc>
        <w:tc>
          <w:tcPr>
            <w:tcW w:w="1456" w:type="dxa"/>
          </w:tcPr>
          <w:p>
            <w:pPr>
              <w:pStyle w:val="TableParagraph"/>
              <w:spacing w:line="151" w:lineRule="exact" w:before="14"/>
              <w:ind w:right="55"/>
              <w:jc w:val="right"/>
              <w:rPr>
                <w:sz w:val="14"/>
              </w:rPr>
            </w:pPr>
            <w:r>
              <w:rPr>
                <w:spacing w:val="-2"/>
                <w:sz w:val="14"/>
              </w:rPr>
              <w:t>6,537</w:t>
            </w:r>
          </w:p>
        </w:tc>
      </w:tr>
      <w:tr>
        <w:trPr>
          <w:trHeight w:val="186" w:hRule="atLeast"/>
        </w:trPr>
        <w:tc>
          <w:tcPr>
            <w:tcW w:w="3552" w:type="dxa"/>
          </w:tcPr>
          <w:p>
            <w:pPr>
              <w:pStyle w:val="TableParagraph"/>
              <w:spacing w:line="142" w:lineRule="exact" w:before="24"/>
              <w:ind w:left="410"/>
              <w:rPr>
                <w:sz w:val="14"/>
              </w:rPr>
            </w:pPr>
            <w:r>
              <w:rPr>
                <w:sz w:val="14"/>
              </w:rPr>
              <w:t>Other</w:t>
            </w:r>
            <w:r>
              <w:rPr>
                <w:spacing w:val="-5"/>
                <w:sz w:val="14"/>
              </w:rPr>
              <w:t> </w:t>
            </w:r>
            <w:r>
              <w:rPr>
                <w:spacing w:val="-10"/>
                <w:sz w:val="14"/>
                <w:vertAlign w:val="superscript"/>
              </w:rPr>
              <w:t>c</w:t>
            </w:r>
          </w:p>
        </w:tc>
        <w:tc>
          <w:tcPr>
            <w:tcW w:w="1419" w:type="dxa"/>
            <w:gridSpan w:val="2"/>
            <w:tcBorders>
              <w:bottom w:val="single" w:sz="8" w:space="0" w:color="000000"/>
            </w:tcBorders>
          </w:tcPr>
          <w:p>
            <w:pPr>
              <w:pStyle w:val="TableParagraph"/>
              <w:spacing w:line="142" w:lineRule="exact" w:before="24"/>
              <w:ind w:right="83"/>
              <w:jc w:val="right"/>
              <w:rPr>
                <w:sz w:val="14"/>
              </w:rPr>
            </w:pPr>
            <w:r>
              <w:rPr>
                <w:spacing w:val="-10"/>
                <w:sz w:val="14"/>
              </w:rPr>
              <w:t>2</w:t>
            </w:r>
          </w:p>
        </w:tc>
        <w:tc>
          <w:tcPr>
            <w:tcW w:w="1453" w:type="dxa"/>
            <w:tcBorders>
              <w:bottom w:val="single" w:sz="8" w:space="0" w:color="000000"/>
            </w:tcBorders>
          </w:tcPr>
          <w:p>
            <w:pPr>
              <w:pStyle w:val="TableParagraph"/>
              <w:spacing w:line="142" w:lineRule="exact" w:before="24"/>
              <w:ind w:right="81"/>
              <w:jc w:val="right"/>
              <w:rPr>
                <w:sz w:val="14"/>
              </w:rPr>
            </w:pPr>
            <w:r>
              <w:rPr>
                <w:sz w:val="14"/>
              </w:rPr>
              <w:t>—</w:t>
            </w:r>
          </w:p>
        </w:tc>
        <w:tc>
          <w:tcPr>
            <w:tcW w:w="336" w:type="dxa"/>
            <w:tcBorders>
              <w:bottom w:val="single" w:sz="8" w:space="0" w:color="000000"/>
            </w:tcBorders>
          </w:tcPr>
          <w:p>
            <w:pPr>
              <w:pStyle w:val="TableParagraph"/>
              <w:rPr>
                <w:rFonts w:ascii="Times New Roman"/>
                <w:sz w:val="12"/>
              </w:rPr>
            </w:pPr>
          </w:p>
        </w:tc>
        <w:tc>
          <w:tcPr>
            <w:tcW w:w="652" w:type="dxa"/>
            <w:tcBorders>
              <w:bottom w:val="single" w:sz="8" w:space="0" w:color="000000"/>
            </w:tcBorders>
          </w:tcPr>
          <w:p>
            <w:pPr>
              <w:pStyle w:val="TableParagraph"/>
              <w:rPr>
                <w:rFonts w:ascii="Times New Roman"/>
                <w:sz w:val="12"/>
              </w:rPr>
            </w:pPr>
          </w:p>
        </w:tc>
        <w:tc>
          <w:tcPr>
            <w:tcW w:w="441" w:type="dxa"/>
            <w:tcBorders>
              <w:bottom w:val="single" w:sz="8" w:space="0" w:color="000000"/>
            </w:tcBorders>
          </w:tcPr>
          <w:p>
            <w:pPr>
              <w:pStyle w:val="TableParagraph"/>
              <w:spacing w:line="142" w:lineRule="exact" w:before="24"/>
              <w:ind w:left="186"/>
              <w:jc w:val="center"/>
              <w:rPr>
                <w:sz w:val="14"/>
              </w:rPr>
            </w:pPr>
            <w:r>
              <w:rPr>
                <w:sz w:val="14"/>
              </w:rPr>
              <w:t>—</w:t>
            </w:r>
          </w:p>
        </w:tc>
        <w:tc>
          <w:tcPr>
            <w:tcW w:w="1456" w:type="dxa"/>
            <w:tcBorders>
              <w:bottom w:val="single" w:sz="8" w:space="0" w:color="000000"/>
            </w:tcBorders>
          </w:tcPr>
          <w:p>
            <w:pPr>
              <w:pStyle w:val="TableParagraph"/>
              <w:spacing w:line="142" w:lineRule="exact" w:before="24"/>
              <w:ind w:right="56"/>
              <w:jc w:val="right"/>
              <w:rPr>
                <w:sz w:val="14"/>
              </w:rPr>
            </w:pPr>
            <w:r>
              <w:rPr>
                <w:spacing w:val="-10"/>
                <w:sz w:val="14"/>
              </w:rPr>
              <w:t>2</w:t>
            </w:r>
          </w:p>
        </w:tc>
      </w:tr>
      <w:tr>
        <w:trPr>
          <w:trHeight w:val="174" w:hRule="atLeast"/>
        </w:trPr>
        <w:tc>
          <w:tcPr>
            <w:tcW w:w="3552" w:type="dxa"/>
          </w:tcPr>
          <w:p>
            <w:pPr>
              <w:pStyle w:val="TableParagraph"/>
              <w:rPr>
                <w:rFonts w:ascii="Times New Roman"/>
                <w:sz w:val="10"/>
              </w:rPr>
            </w:pPr>
          </w:p>
        </w:tc>
        <w:tc>
          <w:tcPr>
            <w:tcW w:w="1419" w:type="dxa"/>
            <w:gridSpan w:val="2"/>
            <w:tcBorders>
              <w:top w:val="single" w:sz="8" w:space="0" w:color="000000"/>
            </w:tcBorders>
          </w:tcPr>
          <w:p>
            <w:pPr>
              <w:pStyle w:val="TableParagraph"/>
              <w:tabs>
                <w:tab w:pos="1255" w:val="left" w:leader="none"/>
              </w:tabs>
              <w:spacing w:line="141" w:lineRule="exact" w:before="13"/>
              <w:ind w:left="53"/>
              <w:rPr>
                <w:sz w:val="14"/>
              </w:rPr>
            </w:pPr>
            <w:r>
              <w:rPr>
                <w:spacing w:val="-10"/>
                <w:sz w:val="14"/>
              </w:rPr>
              <w:t>$</w:t>
            </w:r>
            <w:r>
              <w:rPr>
                <w:sz w:val="14"/>
              </w:rPr>
              <w:tab/>
            </w:r>
            <w:r>
              <w:rPr>
                <w:spacing w:val="-10"/>
                <w:sz w:val="14"/>
              </w:rPr>
              <w:t>2</w:t>
            </w:r>
          </w:p>
        </w:tc>
        <w:tc>
          <w:tcPr>
            <w:tcW w:w="1453" w:type="dxa"/>
            <w:tcBorders>
              <w:top w:val="single" w:sz="8" w:space="0" w:color="000000"/>
            </w:tcBorders>
          </w:tcPr>
          <w:p>
            <w:pPr>
              <w:pStyle w:val="TableParagraph"/>
              <w:tabs>
                <w:tab w:pos="852" w:val="left" w:leader="none"/>
              </w:tabs>
              <w:spacing w:line="141" w:lineRule="exact" w:before="13"/>
              <w:ind w:right="80"/>
              <w:jc w:val="right"/>
              <w:rPr>
                <w:sz w:val="14"/>
              </w:rPr>
            </w:pPr>
            <w:r>
              <w:rPr>
                <w:spacing w:val="-10"/>
                <w:sz w:val="14"/>
              </w:rPr>
              <w:t>$</w:t>
            </w:r>
            <w:r>
              <w:rPr>
                <w:sz w:val="14"/>
              </w:rPr>
              <w:tab/>
            </w:r>
            <w:r>
              <w:rPr>
                <w:spacing w:val="-2"/>
                <w:sz w:val="14"/>
              </w:rPr>
              <w:t>11,370</w:t>
            </w:r>
          </w:p>
        </w:tc>
        <w:tc>
          <w:tcPr>
            <w:tcW w:w="336" w:type="dxa"/>
            <w:tcBorders>
              <w:top w:val="single" w:sz="8" w:space="0" w:color="000000"/>
            </w:tcBorders>
          </w:tcPr>
          <w:p>
            <w:pPr>
              <w:pStyle w:val="TableParagraph"/>
              <w:spacing w:line="141" w:lineRule="exact" w:before="13"/>
              <w:ind w:left="91"/>
              <w:rPr>
                <w:sz w:val="14"/>
              </w:rPr>
            </w:pPr>
            <w:r>
              <w:rPr>
                <w:spacing w:val="-10"/>
                <w:sz w:val="14"/>
              </w:rPr>
              <w:t>$</w:t>
            </w:r>
          </w:p>
        </w:tc>
        <w:tc>
          <w:tcPr>
            <w:tcW w:w="652" w:type="dxa"/>
            <w:tcBorders>
              <w:top w:val="single" w:sz="8" w:space="0" w:color="000000"/>
            </w:tcBorders>
          </w:tcPr>
          <w:p>
            <w:pPr>
              <w:pStyle w:val="TableParagraph"/>
              <w:rPr>
                <w:rFonts w:ascii="Times New Roman"/>
                <w:sz w:val="10"/>
              </w:rPr>
            </w:pPr>
          </w:p>
        </w:tc>
        <w:tc>
          <w:tcPr>
            <w:tcW w:w="441" w:type="dxa"/>
            <w:tcBorders>
              <w:top w:val="single" w:sz="8" w:space="0" w:color="000000"/>
            </w:tcBorders>
          </w:tcPr>
          <w:p>
            <w:pPr>
              <w:pStyle w:val="TableParagraph"/>
              <w:spacing w:line="141" w:lineRule="exact" w:before="13"/>
              <w:ind w:left="93"/>
              <w:jc w:val="center"/>
              <w:rPr>
                <w:sz w:val="14"/>
              </w:rPr>
            </w:pPr>
            <w:r>
              <w:rPr>
                <w:spacing w:val="-5"/>
                <w:sz w:val="14"/>
              </w:rPr>
              <w:t>120</w:t>
            </w:r>
          </w:p>
        </w:tc>
        <w:tc>
          <w:tcPr>
            <w:tcW w:w="1456" w:type="dxa"/>
            <w:tcBorders>
              <w:top w:val="single" w:sz="8" w:space="0" w:color="000000"/>
            </w:tcBorders>
          </w:tcPr>
          <w:p>
            <w:pPr>
              <w:pStyle w:val="TableParagraph"/>
              <w:tabs>
                <w:tab w:pos="852" w:val="left" w:leader="none"/>
              </w:tabs>
              <w:spacing w:line="141" w:lineRule="exact" w:before="13"/>
              <w:ind w:right="55"/>
              <w:jc w:val="right"/>
              <w:rPr>
                <w:sz w:val="14"/>
              </w:rPr>
            </w:pPr>
            <w:r>
              <w:rPr>
                <w:spacing w:val="-10"/>
                <w:sz w:val="14"/>
              </w:rPr>
              <w:t>$</w:t>
            </w:r>
            <w:r>
              <w:rPr>
                <w:sz w:val="14"/>
              </w:rPr>
              <w:tab/>
            </w:r>
            <w:r>
              <w:rPr>
                <w:spacing w:val="-2"/>
                <w:sz w:val="14"/>
              </w:rPr>
              <w:t>11,492</w:t>
            </w:r>
          </w:p>
        </w:tc>
      </w:tr>
      <w:tr>
        <w:trPr>
          <w:trHeight w:val="413" w:hRule="atLeast"/>
        </w:trPr>
        <w:tc>
          <w:tcPr>
            <w:tcW w:w="3552" w:type="dxa"/>
          </w:tcPr>
          <w:p>
            <w:pPr>
              <w:pStyle w:val="TableParagraph"/>
              <w:spacing w:before="34"/>
              <w:ind w:left="50"/>
              <w:rPr>
                <w:sz w:val="14"/>
              </w:rPr>
            </w:pPr>
            <w:r>
              <w:rPr>
                <w:spacing w:val="-2"/>
                <w:sz w:val="14"/>
              </w:rPr>
              <w:t>Less:</w:t>
            </w:r>
          </w:p>
          <w:p>
            <w:pPr>
              <w:pStyle w:val="TableParagraph"/>
              <w:spacing w:line="141" w:lineRule="exact" w:before="57"/>
              <w:ind w:left="60"/>
              <w:rPr>
                <w:sz w:val="14"/>
              </w:rPr>
            </w:pPr>
            <w:r>
              <w:rPr>
                <w:sz w:val="14"/>
              </w:rPr>
              <w:t>Amounts</w:t>
            </w:r>
            <w:r>
              <w:rPr>
                <w:spacing w:val="-4"/>
                <w:sz w:val="14"/>
              </w:rPr>
              <w:t> </w:t>
            </w:r>
            <w:r>
              <w:rPr>
                <w:sz w:val="14"/>
              </w:rPr>
              <w:t>subject</w:t>
            </w:r>
            <w:r>
              <w:rPr>
                <w:spacing w:val="-4"/>
                <w:sz w:val="14"/>
              </w:rPr>
              <w:t> </w:t>
            </w:r>
            <w:r>
              <w:rPr>
                <w:sz w:val="14"/>
              </w:rPr>
              <w:t>to</w:t>
            </w:r>
            <w:r>
              <w:rPr>
                <w:spacing w:val="-4"/>
                <w:sz w:val="14"/>
              </w:rPr>
              <w:t> </w:t>
            </w:r>
            <w:r>
              <w:rPr>
                <w:sz w:val="14"/>
              </w:rPr>
              <w:t>legally</w:t>
            </w:r>
            <w:r>
              <w:rPr>
                <w:spacing w:val="-4"/>
                <w:sz w:val="14"/>
              </w:rPr>
              <w:t> </w:t>
            </w:r>
            <w:r>
              <w:rPr>
                <w:sz w:val="14"/>
              </w:rPr>
              <w:t>enforceable</w:t>
            </w:r>
            <w:r>
              <w:rPr>
                <w:spacing w:val="-4"/>
                <w:sz w:val="14"/>
              </w:rPr>
              <w:t> </w:t>
            </w:r>
            <w:r>
              <w:rPr>
                <w:sz w:val="14"/>
              </w:rPr>
              <w:t>master</w:t>
            </w:r>
            <w:r>
              <w:rPr>
                <w:spacing w:val="-3"/>
                <w:sz w:val="14"/>
              </w:rPr>
              <w:t> </w:t>
            </w:r>
            <w:r>
              <w:rPr>
                <w:spacing w:val="-2"/>
                <w:sz w:val="14"/>
              </w:rPr>
              <w:t>netting</w:t>
            </w:r>
          </w:p>
        </w:tc>
        <w:tc>
          <w:tcPr>
            <w:tcW w:w="1419" w:type="dxa"/>
            <w:gridSpan w:val="2"/>
          </w:tcPr>
          <w:p>
            <w:pPr>
              <w:pStyle w:val="TableParagraph"/>
              <w:rPr>
                <w:rFonts w:ascii="Times New Roman"/>
                <w:sz w:val="16"/>
              </w:rPr>
            </w:pPr>
          </w:p>
        </w:tc>
        <w:tc>
          <w:tcPr>
            <w:tcW w:w="1453" w:type="dxa"/>
          </w:tcPr>
          <w:p>
            <w:pPr>
              <w:pStyle w:val="TableParagraph"/>
              <w:rPr>
                <w:rFonts w:ascii="Times New Roman"/>
                <w:sz w:val="16"/>
              </w:rPr>
            </w:pPr>
          </w:p>
        </w:tc>
        <w:tc>
          <w:tcPr>
            <w:tcW w:w="336" w:type="dxa"/>
          </w:tcPr>
          <w:p>
            <w:pPr>
              <w:pStyle w:val="TableParagraph"/>
              <w:rPr>
                <w:rFonts w:ascii="Times New Roman"/>
                <w:sz w:val="16"/>
              </w:rPr>
            </w:pPr>
          </w:p>
        </w:tc>
        <w:tc>
          <w:tcPr>
            <w:tcW w:w="652" w:type="dxa"/>
          </w:tcPr>
          <w:p>
            <w:pPr>
              <w:pStyle w:val="TableParagraph"/>
              <w:rPr>
                <w:rFonts w:ascii="Times New Roman"/>
                <w:sz w:val="16"/>
              </w:rPr>
            </w:pPr>
          </w:p>
        </w:tc>
        <w:tc>
          <w:tcPr>
            <w:tcW w:w="441" w:type="dxa"/>
          </w:tcPr>
          <w:p>
            <w:pPr>
              <w:pStyle w:val="TableParagraph"/>
              <w:rPr>
                <w:rFonts w:ascii="Times New Roman"/>
                <w:sz w:val="16"/>
              </w:rPr>
            </w:pPr>
          </w:p>
        </w:tc>
        <w:tc>
          <w:tcPr>
            <w:tcW w:w="1456" w:type="dxa"/>
          </w:tcPr>
          <w:p>
            <w:pPr>
              <w:pStyle w:val="TableParagraph"/>
              <w:rPr>
                <w:rFonts w:ascii="Times New Roman"/>
                <w:sz w:val="16"/>
              </w:rPr>
            </w:pPr>
          </w:p>
        </w:tc>
      </w:tr>
      <w:tr>
        <w:trPr>
          <w:trHeight w:val="196" w:hRule="atLeast"/>
        </w:trPr>
        <w:tc>
          <w:tcPr>
            <w:tcW w:w="3552" w:type="dxa"/>
          </w:tcPr>
          <w:p>
            <w:pPr>
              <w:pStyle w:val="TableParagraph"/>
              <w:spacing w:before="14"/>
              <w:ind w:left="170"/>
              <w:rPr>
                <w:sz w:val="14"/>
              </w:rPr>
            </w:pPr>
            <w:r>
              <w:rPr>
                <w:sz w:val="14"/>
              </w:rPr>
              <w:t>agreements</w:t>
            </w:r>
            <w:r>
              <w:rPr>
                <w:spacing w:val="-7"/>
                <w:sz w:val="14"/>
              </w:rPr>
              <w:t> </w:t>
            </w:r>
            <w:r>
              <w:rPr>
                <w:spacing w:val="-10"/>
                <w:sz w:val="14"/>
                <w:vertAlign w:val="superscript"/>
              </w:rPr>
              <w:t>e</w:t>
            </w:r>
          </w:p>
        </w:tc>
        <w:tc>
          <w:tcPr>
            <w:tcW w:w="661" w:type="dxa"/>
          </w:tcPr>
          <w:p>
            <w:pPr>
              <w:pStyle w:val="TableParagraph"/>
              <w:rPr>
                <w:rFonts w:ascii="Times New Roman"/>
                <w:sz w:val="14"/>
              </w:rPr>
            </w:pPr>
          </w:p>
        </w:tc>
        <w:tc>
          <w:tcPr>
            <w:tcW w:w="2211" w:type="dxa"/>
            <w:gridSpan w:val="2"/>
          </w:tcPr>
          <w:p>
            <w:pPr>
              <w:pStyle w:val="TableParagraph"/>
              <w:rPr>
                <w:rFonts w:ascii="Times New Roman"/>
                <w:sz w:val="14"/>
              </w:rPr>
            </w:pPr>
          </w:p>
        </w:tc>
        <w:tc>
          <w:tcPr>
            <w:tcW w:w="336" w:type="dxa"/>
          </w:tcPr>
          <w:p>
            <w:pPr>
              <w:pStyle w:val="TableParagraph"/>
              <w:rPr>
                <w:rFonts w:ascii="Times New Roman"/>
                <w:sz w:val="14"/>
              </w:rPr>
            </w:pPr>
          </w:p>
        </w:tc>
        <w:tc>
          <w:tcPr>
            <w:tcW w:w="1093" w:type="dxa"/>
            <w:gridSpan w:val="2"/>
          </w:tcPr>
          <w:p>
            <w:pPr>
              <w:pStyle w:val="TableParagraph"/>
              <w:rPr>
                <w:rFonts w:ascii="Times New Roman"/>
                <w:sz w:val="14"/>
              </w:rPr>
            </w:pPr>
          </w:p>
        </w:tc>
        <w:tc>
          <w:tcPr>
            <w:tcW w:w="1456" w:type="dxa"/>
          </w:tcPr>
          <w:p>
            <w:pPr>
              <w:pStyle w:val="TableParagraph"/>
              <w:spacing w:before="14"/>
              <w:ind w:right="55"/>
              <w:jc w:val="right"/>
              <w:rPr>
                <w:sz w:val="14"/>
              </w:rPr>
            </w:pPr>
            <w:r>
              <w:rPr>
                <w:spacing w:val="-2"/>
                <w:sz w:val="14"/>
              </w:rPr>
              <w:t>10,524</w:t>
            </w:r>
          </w:p>
        </w:tc>
      </w:tr>
      <w:tr>
        <w:trPr>
          <w:trHeight w:val="204" w:hRule="atLeast"/>
        </w:trPr>
        <w:tc>
          <w:tcPr>
            <w:tcW w:w="3552" w:type="dxa"/>
          </w:tcPr>
          <w:p>
            <w:pPr>
              <w:pStyle w:val="TableParagraph"/>
              <w:spacing w:line="161" w:lineRule="exact" w:before="24"/>
              <w:ind w:left="50"/>
              <w:rPr>
                <w:sz w:val="14"/>
              </w:rPr>
            </w:pPr>
            <w:r>
              <w:rPr>
                <w:sz w:val="14"/>
              </w:rPr>
              <w:t>Cash</w:t>
            </w:r>
            <w:r>
              <w:rPr>
                <w:spacing w:val="-4"/>
                <w:sz w:val="14"/>
              </w:rPr>
              <w:t> </w:t>
            </w:r>
            <w:r>
              <w:rPr>
                <w:sz w:val="14"/>
              </w:rPr>
              <w:t>collateral</w:t>
            </w:r>
            <w:r>
              <w:rPr>
                <w:spacing w:val="-4"/>
                <w:sz w:val="14"/>
              </w:rPr>
              <w:t> </w:t>
            </w:r>
            <w:r>
              <w:rPr>
                <w:spacing w:val="-2"/>
                <w:sz w:val="14"/>
              </w:rPr>
              <w:t>received</w:t>
            </w:r>
          </w:p>
        </w:tc>
        <w:tc>
          <w:tcPr>
            <w:tcW w:w="661" w:type="dxa"/>
          </w:tcPr>
          <w:p>
            <w:pPr>
              <w:pStyle w:val="TableParagraph"/>
              <w:rPr>
                <w:rFonts w:ascii="Times New Roman"/>
                <w:sz w:val="14"/>
              </w:rPr>
            </w:pPr>
          </w:p>
        </w:tc>
        <w:tc>
          <w:tcPr>
            <w:tcW w:w="2211" w:type="dxa"/>
            <w:gridSpan w:val="2"/>
          </w:tcPr>
          <w:p>
            <w:pPr>
              <w:pStyle w:val="TableParagraph"/>
              <w:rPr>
                <w:rFonts w:ascii="Times New Roman"/>
                <w:sz w:val="14"/>
              </w:rPr>
            </w:pPr>
          </w:p>
        </w:tc>
        <w:tc>
          <w:tcPr>
            <w:tcW w:w="336" w:type="dxa"/>
          </w:tcPr>
          <w:p>
            <w:pPr>
              <w:pStyle w:val="TableParagraph"/>
              <w:rPr>
                <w:rFonts w:ascii="Times New Roman"/>
                <w:sz w:val="14"/>
              </w:rPr>
            </w:pPr>
          </w:p>
        </w:tc>
        <w:tc>
          <w:tcPr>
            <w:tcW w:w="1093" w:type="dxa"/>
            <w:gridSpan w:val="2"/>
          </w:tcPr>
          <w:p>
            <w:pPr>
              <w:pStyle w:val="TableParagraph"/>
              <w:rPr>
                <w:rFonts w:ascii="Times New Roman"/>
                <w:sz w:val="14"/>
              </w:rPr>
            </w:pPr>
          </w:p>
        </w:tc>
        <w:tc>
          <w:tcPr>
            <w:tcW w:w="1456" w:type="dxa"/>
          </w:tcPr>
          <w:p>
            <w:pPr>
              <w:pStyle w:val="TableParagraph"/>
              <w:tabs>
                <w:tab w:pos="1099" w:val="left" w:leader="none"/>
              </w:tabs>
              <w:spacing w:line="161" w:lineRule="exact" w:before="24"/>
              <w:ind w:right="56"/>
              <w:jc w:val="right"/>
              <w:rPr>
                <w:sz w:val="14"/>
              </w:rPr>
            </w:pPr>
            <w:r>
              <w:rPr>
                <w:rFonts w:ascii="Times New Roman"/>
                <w:sz w:val="14"/>
                <w:u w:val="single"/>
              </w:rPr>
              <w:tab/>
            </w:r>
            <w:r>
              <w:rPr>
                <w:spacing w:val="-5"/>
                <w:sz w:val="14"/>
                <w:u w:val="single"/>
              </w:rPr>
              <w:t>164</w:t>
            </w:r>
          </w:p>
        </w:tc>
      </w:tr>
      <w:tr>
        <w:trPr>
          <w:trHeight w:val="200" w:hRule="atLeast"/>
        </w:trPr>
        <w:tc>
          <w:tcPr>
            <w:tcW w:w="3552" w:type="dxa"/>
          </w:tcPr>
          <w:p>
            <w:pPr>
              <w:pStyle w:val="TableParagraph"/>
              <w:spacing w:before="14"/>
              <w:ind w:left="50"/>
              <w:rPr>
                <w:sz w:val="14"/>
              </w:rPr>
            </w:pPr>
            <w:r>
              <w:rPr>
                <w:sz w:val="14"/>
              </w:rPr>
              <w:t>Derivative</w:t>
            </w:r>
            <w:r>
              <w:rPr>
                <w:spacing w:val="-10"/>
                <w:sz w:val="14"/>
              </w:rPr>
              <w:t> </w:t>
            </w:r>
            <w:r>
              <w:rPr>
                <w:sz w:val="14"/>
              </w:rPr>
              <w:t>Asset,</w:t>
            </w:r>
            <w:r>
              <w:rPr>
                <w:spacing w:val="-5"/>
                <w:sz w:val="14"/>
              </w:rPr>
              <w:t> net</w:t>
            </w:r>
          </w:p>
        </w:tc>
        <w:tc>
          <w:tcPr>
            <w:tcW w:w="661" w:type="dxa"/>
          </w:tcPr>
          <w:p>
            <w:pPr>
              <w:pStyle w:val="TableParagraph"/>
              <w:rPr>
                <w:rFonts w:ascii="Times New Roman"/>
                <w:sz w:val="12"/>
              </w:rPr>
            </w:pPr>
          </w:p>
        </w:tc>
        <w:tc>
          <w:tcPr>
            <w:tcW w:w="2211" w:type="dxa"/>
            <w:gridSpan w:val="2"/>
          </w:tcPr>
          <w:p>
            <w:pPr>
              <w:pStyle w:val="TableParagraph"/>
              <w:rPr>
                <w:rFonts w:ascii="Times New Roman"/>
                <w:sz w:val="12"/>
              </w:rPr>
            </w:pPr>
          </w:p>
        </w:tc>
        <w:tc>
          <w:tcPr>
            <w:tcW w:w="336" w:type="dxa"/>
          </w:tcPr>
          <w:p>
            <w:pPr>
              <w:pStyle w:val="TableParagraph"/>
              <w:rPr>
                <w:rFonts w:ascii="Times New Roman"/>
                <w:sz w:val="12"/>
              </w:rPr>
            </w:pPr>
          </w:p>
        </w:tc>
        <w:tc>
          <w:tcPr>
            <w:tcW w:w="1093" w:type="dxa"/>
            <w:gridSpan w:val="2"/>
          </w:tcPr>
          <w:p>
            <w:pPr>
              <w:pStyle w:val="TableParagraph"/>
              <w:rPr>
                <w:rFonts w:ascii="Times New Roman"/>
                <w:sz w:val="12"/>
              </w:rPr>
            </w:pPr>
          </w:p>
        </w:tc>
        <w:tc>
          <w:tcPr>
            <w:tcW w:w="1456" w:type="dxa"/>
          </w:tcPr>
          <w:p>
            <w:pPr>
              <w:pStyle w:val="TableParagraph"/>
              <w:tabs>
                <w:tab w:pos="1047" w:val="left" w:leader="none"/>
              </w:tabs>
              <w:spacing w:before="14"/>
              <w:ind w:right="56"/>
              <w:jc w:val="right"/>
              <w:rPr>
                <w:sz w:val="14"/>
              </w:rPr>
            </w:pPr>
            <w:r>
              <w:rPr>
                <w:spacing w:val="-10"/>
                <w:sz w:val="14"/>
              </w:rPr>
              <w:t>$</w:t>
            </w:r>
            <w:r>
              <w:rPr>
                <w:sz w:val="14"/>
              </w:rPr>
              <w:tab/>
            </w:r>
            <w:r>
              <w:rPr>
                <w:spacing w:val="-5"/>
                <w:sz w:val="14"/>
              </w:rPr>
              <w:t>804</w:t>
            </w:r>
          </w:p>
        </w:tc>
      </w:tr>
      <w:tr>
        <w:trPr>
          <w:trHeight w:val="352" w:hRule="atLeast"/>
        </w:trPr>
        <w:tc>
          <w:tcPr>
            <w:tcW w:w="3552" w:type="dxa"/>
          </w:tcPr>
          <w:p>
            <w:pPr>
              <w:pStyle w:val="TableParagraph"/>
              <w:spacing w:before="20"/>
              <w:ind w:left="50"/>
              <w:rPr>
                <w:sz w:val="14"/>
              </w:rPr>
            </w:pPr>
            <w:r>
              <w:rPr>
                <w:sz w:val="14"/>
              </w:rPr>
              <w:t>Miscellaneous</w:t>
            </w:r>
            <w:r>
              <w:rPr>
                <w:spacing w:val="-9"/>
                <w:sz w:val="14"/>
              </w:rPr>
              <w:t> </w:t>
            </w:r>
            <w:r>
              <w:rPr>
                <w:spacing w:val="-2"/>
                <w:sz w:val="14"/>
              </w:rPr>
              <w:t>assets</w:t>
            </w:r>
          </w:p>
        </w:tc>
        <w:tc>
          <w:tcPr>
            <w:tcW w:w="661" w:type="dxa"/>
          </w:tcPr>
          <w:p>
            <w:pPr>
              <w:pStyle w:val="TableParagraph"/>
              <w:spacing w:before="20"/>
              <w:ind w:left="53"/>
              <w:rPr>
                <w:sz w:val="14"/>
              </w:rPr>
            </w:pPr>
            <w:r>
              <w:rPr>
                <w:spacing w:val="-10"/>
                <w:sz w:val="14"/>
              </w:rPr>
              <w:t>$</w:t>
            </w:r>
          </w:p>
        </w:tc>
        <w:tc>
          <w:tcPr>
            <w:tcW w:w="2211" w:type="dxa"/>
            <w:gridSpan w:val="2"/>
          </w:tcPr>
          <w:p>
            <w:pPr>
              <w:pStyle w:val="TableParagraph"/>
              <w:tabs>
                <w:tab w:pos="1972" w:val="left" w:leader="none"/>
              </w:tabs>
              <w:spacing w:before="20"/>
              <w:ind w:left="532"/>
              <w:rPr>
                <w:sz w:val="14"/>
              </w:rPr>
            </w:pPr>
            <w:r>
              <w:rPr>
                <w:sz w:val="14"/>
              </w:rPr>
              <w:t>—</w:t>
            </w:r>
            <w:r>
              <w:rPr>
                <w:spacing w:val="47"/>
                <w:sz w:val="14"/>
              </w:rPr>
              <w:t>  </w:t>
            </w:r>
            <w:r>
              <w:rPr>
                <w:spacing w:val="-10"/>
                <w:sz w:val="14"/>
              </w:rPr>
              <w:t>$</w:t>
            </w:r>
            <w:r>
              <w:rPr>
                <w:sz w:val="14"/>
              </w:rPr>
              <w:tab/>
            </w:r>
            <w:r>
              <w:rPr>
                <w:spacing w:val="-5"/>
                <w:sz w:val="14"/>
              </w:rPr>
              <w:t>55</w:t>
            </w:r>
          </w:p>
        </w:tc>
        <w:tc>
          <w:tcPr>
            <w:tcW w:w="336" w:type="dxa"/>
          </w:tcPr>
          <w:p>
            <w:pPr>
              <w:pStyle w:val="TableParagraph"/>
              <w:spacing w:before="20"/>
              <w:ind w:left="91"/>
              <w:rPr>
                <w:sz w:val="14"/>
              </w:rPr>
            </w:pPr>
            <w:r>
              <w:rPr>
                <w:spacing w:val="-10"/>
                <w:sz w:val="14"/>
              </w:rPr>
              <w:t>$</w:t>
            </w:r>
          </w:p>
        </w:tc>
        <w:tc>
          <w:tcPr>
            <w:tcW w:w="1093" w:type="dxa"/>
            <w:gridSpan w:val="2"/>
          </w:tcPr>
          <w:p>
            <w:pPr>
              <w:pStyle w:val="TableParagraph"/>
              <w:spacing w:before="20"/>
              <w:ind w:right="55"/>
              <w:jc w:val="right"/>
              <w:rPr>
                <w:sz w:val="14"/>
              </w:rPr>
            </w:pPr>
            <w:r>
              <w:rPr>
                <w:sz w:val="14"/>
              </w:rPr>
              <w:t>—</w:t>
            </w:r>
          </w:p>
        </w:tc>
        <w:tc>
          <w:tcPr>
            <w:tcW w:w="1456" w:type="dxa"/>
          </w:tcPr>
          <w:p>
            <w:pPr>
              <w:pStyle w:val="TableParagraph"/>
              <w:tabs>
                <w:tab w:pos="1125" w:val="left" w:leader="none"/>
              </w:tabs>
              <w:spacing w:before="20"/>
              <w:ind w:right="56"/>
              <w:jc w:val="right"/>
              <w:rPr>
                <w:sz w:val="14"/>
              </w:rPr>
            </w:pPr>
            <w:r>
              <w:rPr>
                <w:spacing w:val="-10"/>
                <w:sz w:val="14"/>
              </w:rPr>
              <w:t>$</w:t>
            </w:r>
            <w:r>
              <w:rPr>
                <w:sz w:val="14"/>
              </w:rPr>
              <w:tab/>
            </w:r>
            <w:r>
              <w:rPr>
                <w:spacing w:val="-5"/>
                <w:sz w:val="14"/>
              </w:rPr>
              <w:t>55</w:t>
            </w:r>
          </w:p>
        </w:tc>
      </w:tr>
      <w:tr>
        <w:trPr>
          <w:trHeight w:val="346" w:hRule="atLeast"/>
        </w:trPr>
        <w:tc>
          <w:tcPr>
            <w:tcW w:w="3552" w:type="dxa"/>
          </w:tcPr>
          <w:p>
            <w:pPr>
              <w:pStyle w:val="TableParagraph"/>
              <w:spacing w:before="5"/>
              <w:rPr>
                <w:rFonts w:ascii="Arial"/>
                <w:i/>
                <w:sz w:val="14"/>
              </w:rPr>
            </w:pPr>
          </w:p>
          <w:p>
            <w:pPr>
              <w:pStyle w:val="TableParagraph"/>
              <w:spacing w:line="160" w:lineRule="exact"/>
              <w:ind w:left="50"/>
              <w:rPr>
                <w:rFonts w:ascii="Arial"/>
                <w:b/>
                <w:sz w:val="14"/>
              </w:rPr>
            </w:pPr>
            <w:r>
              <w:rPr>
                <w:rFonts w:ascii="Arial"/>
                <w:b/>
                <w:spacing w:val="-2"/>
                <w:sz w:val="14"/>
              </w:rPr>
              <w:t>Liabilities:</w:t>
            </w:r>
          </w:p>
        </w:tc>
        <w:tc>
          <w:tcPr>
            <w:tcW w:w="661" w:type="dxa"/>
          </w:tcPr>
          <w:p>
            <w:pPr>
              <w:pStyle w:val="TableParagraph"/>
              <w:rPr>
                <w:rFonts w:ascii="Times New Roman"/>
                <w:sz w:val="16"/>
              </w:rPr>
            </w:pPr>
          </w:p>
        </w:tc>
        <w:tc>
          <w:tcPr>
            <w:tcW w:w="2211" w:type="dxa"/>
            <w:gridSpan w:val="2"/>
          </w:tcPr>
          <w:p>
            <w:pPr>
              <w:pStyle w:val="TableParagraph"/>
              <w:rPr>
                <w:rFonts w:ascii="Times New Roman"/>
                <w:sz w:val="16"/>
              </w:rPr>
            </w:pPr>
          </w:p>
        </w:tc>
        <w:tc>
          <w:tcPr>
            <w:tcW w:w="336" w:type="dxa"/>
          </w:tcPr>
          <w:p>
            <w:pPr>
              <w:pStyle w:val="TableParagraph"/>
              <w:rPr>
                <w:rFonts w:ascii="Times New Roman"/>
                <w:sz w:val="16"/>
              </w:rPr>
            </w:pPr>
          </w:p>
        </w:tc>
        <w:tc>
          <w:tcPr>
            <w:tcW w:w="1093" w:type="dxa"/>
            <w:gridSpan w:val="2"/>
          </w:tcPr>
          <w:p>
            <w:pPr>
              <w:pStyle w:val="TableParagraph"/>
              <w:rPr>
                <w:rFonts w:ascii="Times New Roman"/>
                <w:sz w:val="16"/>
              </w:rPr>
            </w:pPr>
          </w:p>
        </w:tc>
        <w:tc>
          <w:tcPr>
            <w:tcW w:w="1456" w:type="dxa"/>
          </w:tcPr>
          <w:p>
            <w:pPr>
              <w:pStyle w:val="TableParagraph"/>
              <w:rPr>
                <w:rFonts w:ascii="Times New Roman"/>
                <w:sz w:val="16"/>
              </w:rPr>
            </w:pPr>
          </w:p>
        </w:tc>
      </w:tr>
      <w:tr>
        <w:trPr>
          <w:trHeight w:val="206" w:hRule="atLeast"/>
        </w:trPr>
        <w:tc>
          <w:tcPr>
            <w:tcW w:w="3552" w:type="dxa"/>
          </w:tcPr>
          <w:p>
            <w:pPr>
              <w:pStyle w:val="TableParagraph"/>
              <w:spacing w:before="14"/>
              <w:ind w:left="50"/>
              <w:rPr>
                <w:sz w:val="14"/>
              </w:rPr>
            </w:pPr>
            <w:r>
              <w:rPr>
                <w:spacing w:val="-2"/>
                <w:sz w:val="14"/>
              </w:rPr>
              <w:t>Borrowings</w:t>
            </w:r>
          </w:p>
        </w:tc>
        <w:tc>
          <w:tcPr>
            <w:tcW w:w="661" w:type="dxa"/>
          </w:tcPr>
          <w:p>
            <w:pPr>
              <w:pStyle w:val="TableParagraph"/>
              <w:spacing w:before="14"/>
              <w:ind w:left="53"/>
              <w:rPr>
                <w:sz w:val="14"/>
              </w:rPr>
            </w:pPr>
            <w:r>
              <w:rPr>
                <w:spacing w:val="-10"/>
                <w:sz w:val="14"/>
              </w:rPr>
              <w:t>$</w:t>
            </w:r>
          </w:p>
        </w:tc>
        <w:tc>
          <w:tcPr>
            <w:tcW w:w="2211" w:type="dxa"/>
            <w:gridSpan w:val="2"/>
          </w:tcPr>
          <w:p>
            <w:pPr>
              <w:pStyle w:val="TableParagraph"/>
              <w:tabs>
                <w:tab w:pos="1622" w:val="left" w:leader="none"/>
              </w:tabs>
              <w:spacing w:before="14"/>
              <w:ind w:left="532"/>
              <w:rPr>
                <w:sz w:val="14"/>
              </w:rPr>
            </w:pPr>
            <w:r>
              <w:rPr>
                <w:sz w:val="14"/>
              </w:rPr>
              <w:t>—</w:t>
            </w:r>
            <w:r>
              <w:rPr>
                <w:spacing w:val="47"/>
                <w:sz w:val="14"/>
              </w:rPr>
              <w:t>  </w:t>
            </w:r>
            <w:r>
              <w:rPr>
                <w:spacing w:val="-10"/>
                <w:sz w:val="14"/>
              </w:rPr>
              <w:t>$</w:t>
            </w:r>
            <w:r>
              <w:rPr>
                <w:sz w:val="14"/>
              </w:rPr>
              <w:tab/>
            </w:r>
            <w:r>
              <w:rPr>
                <w:spacing w:val="-2"/>
                <w:sz w:val="14"/>
              </w:rPr>
              <w:t>231,241</w:t>
            </w:r>
          </w:p>
        </w:tc>
        <w:tc>
          <w:tcPr>
            <w:tcW w:w="336" w:type="dxa"/>
          </w:tcPr>
          <w:p>
            <w:pPr>
              <w:pStyle w:val="TableParagraph"/>
              <w:spacing w:before="14"/>
              <w:ind w:left="91"/>
              <w:rPr>
                <w:sz w:val="14"/>
              </w:rPr>
            </w:pPr>
            <w:r>
              <w:rPr>
                <w:spacing w:val="-10"/>
                <w:sz w:val="14"/>
              </w:rPr>
              <w:t>$</w:t>
            </w:r>
          </w:p>
        </w:tc>
        <w:tc>
          <w:tcPr>
            <w:tcW w:w="1093" w:type="dxa"/>
            <w:gridSpan w:val="2"/>
          </w:tcPr>
          <w:p>
            <w:pPr>
              <w:pStyle w:val="TableParagraph"/>
              <w:spacing w:before="14"/>
              <w:ind w:left="685"/>
              <w:rPr>
                <w:sz w:val="14"/>
              </w:rPr>
            </w:pPr>
            <w:r>
              <w:rPr>
                <w:spacing w:val="-2"/>
                <w:sz w:val="14"/>
              </w:rPr>
              <w:t>3,932</w:t>
            </w:r>
          </w:p>
        </w:tc>
        <w:tc>
          <w:tcPr>
            <w:tcW w:w="1456" w:type="dxa"/>
          </w:tcPr>
          <w:p>
            <w:pPr>
              <w:pStyle w:val="TableParagraph"/>
              <w:tabs>
                <w:tab w:pos="775" w:val="left" w:leader="none"/>
              </w:tabs>
              <w:spacing w:before="14"/>
              <w:ind w:right="55"/>
              <w:jc w:val="right"/>
              <w:rPr>
                <w:sz w:val="14"/>
              </w:rPr>
            </w:pPr>
            <w:r>
              <w:rPr>
                <w:spacing w:val="-10"/>
                <w:sz w:val="14"/>
              </w:rPr>
              <w:t>$</w:t>
            </w:r>
            <w:r>
              <w:rPr>
                <w:sz w:val="14"/>
              </w:rPr>
              <w:tab/>
            </w:r>
            <w:r>
              <w:rPr>
                <w:spacing w:val="-2"/>
                <w:sz w:val="14"/>
              </w:rPr>
              <w:t>235,173</w:t>
            </w:r>
          </w:p>
        </w:tc>
      </w:tr>
      <w:tr>
        <w:trPr>
          <w:trHeight w:val="383" w:hRule="atLeast"/>
        </w:trPr>
        <w:tc>
          <w:tcPr>
            <w:tcW w:w="3552" w:type="dxa"/>
          </w:tcPr>
          <w:p>
            <w:pPr>
              <w:pStyle w:val="TableParagraph"/>
              <w:spacing w:line="249" w:lineRule="auto" w:before="26"/>
              <w:ind w:left="230" w:hanging="180"/>
              <w:rPr>
                <w:sz w:val="14"/>
              </w:rPr>
            </w:pPr>
            <w:r>
              <w:rPr>
                <w:sz w:val="14"/>
              </w:rPr>
              <w:t>Securities sold under repurchase agreements and</w:t>
            </w:r>
            <w:r>
              <w:rPr>
                <w:spacing w:val="40"/>
                <w:sz w:val="14"/>
              </w:rPr>
              <w:t> </w:t>
            </w:r>
            <w:r>
              <w:rPr>
                <w:sz w:val="14"/>
              </w:rPr>
              <w:t>securities</w:t>
            </w:r>
            <w:r>
              <w:rPr>
                <w:spacing w:val="-7"/>
                <w:sz w:val="14"/>
              </w:rPr>
              <w:t> </w:t>
            </w:r>
            <w:r>
              <w:rPr>
                <w:sz w:val="14"/>
              </w:rPr>
              <w:t>lent</w:t>
            </w:r>
            <w:r>
              <w:rPr>
                <w:spacing w:val="-7"/>
                <w:sz w:val="14"/>
              </w:rPr>
              <w:t> </w:t>
            </w:r>
            <w:r>
              <w:rPr>
                <w:sz w:val="14"/>
              </w:rPr>
              <w:t>under</w:t>
            </w:r>
            <w:r>
              <w:rPr>
                <w:spacing w:val="-7"/>
                <w:sz w:val="14"/>
              </w:rPr>
              <w:t> </w:t>
            </w:r>
            <w:r>
              <w:rPr>
                <w:sz w:val="14"/>
              </w:rPr>
              <w:t>securities</w:t>
            </w:r>
            <w:r>
              <w:rPr>
                <w:spacing w:val="-7"/>
                <w:sz w:val="14"/>
              </w:rPr>
              <w:t> </w:t>
            </w:r>
            <w:r>
              <w:rPr>
                <w:sz w:val="14"/>
              </w:rPr>
              <w:t>lending</w:t>
            </w:r>
            <w:r>
              <w:rPr>
                <w:spacing w:val="-7"/>
                <w:sz w:val="14"/>
              </w:rPr>
              <w:t> </w:t>
            </w:r>
            <w:r>
              <w:rPr>
                <w:sz w:val="14"/>
              </w:rPr>
              <w:t>agreements</w:t>
            </w:r>
            <w:r>
              <w:rPr>
                <w:spacing w:val="-10"/>
                <w:sz w:val="14"/>
              </w:rPr>
              <w:t> </w:t>
            </w:r>
            <w:r>
              <w:rPr>
                <w:sz w:val="14"/>
                <w:vertAlign w:val="superscript"/>
              </w:rPr>
              <w:t>d</w:t>
            </w:r>
          </w:p>
        </w:tc>
        <w:tc>
          <w:tcPr>
            <w:tcW w:w="661" w:type="dxa"/>
          </w:tcPr>
          <w:p>
            <w:pPr>
              <w:pStyle w:val="TableParagraph"/>
              <w:rPr>
                <w:rFonts w:ascii="Times New Roman"/>
                <w:sz w:val="16"/>
              </w:rPr>
            </w:pPr>
          </w:p>
        </w:tc>
        <w:tc>
          <w:tcPr>
            <w:tcW w:w="2211" w:type="dxa"/>
            <w:gridSpan w:val="2"/>
          </w:tcPr>
          <w:p>
            <w:pPr>
              <w:pStyle w:val="TableParagraph"/>
              <w:spacing w:before="33"/>
              <w:rPr>
                <w:rFonts w:ascii="Arial"/>
                <w:i/>
                <w:sz w:val="14"/>
              </w:rPr>
            </w:pPr>
          </w:p>
          <w:p>
            <w:pPr>
              <w:pStyle w:val="TableParagraph"/>
              <w:tabs>
                <w:tab w:pos="1972" w:val="left" w:leader="none"/>
              </w:tabs>
              <w:ind w:left="532"/>
              <w:rPr>
                <w:sz w:val="14"/>
              </w:rPr>
            </w:pPr>
            <w:r>
              <w:rPr>
                <w:sz w:val="14"/>
              </w:rPr>
              <w:t>—</w:t>
              <w:tab/>
            </w:r>
            <w:r>
              <w:rPr>
                <w:spacing w:val="-5"/>
                <w:sz w:val="14"/>
              </w:rPr>
              <w:t>37</w:t>
            </w:r>
          </w:p>
        </w:tc>
        <w:tc>
          <w:tcPr>
            <w:tcW w:w="336" w:type="dxa"/>
          </w:tcPr>
          <w:p>
            <w:pPr>
              <w:pStyle w:val="TableParagraph"/>
              <w:rPr>
                <w:rFonts w:ascii="Times New Roman"/>
                <w:sz w:val="16"/>
              </w:rPr>
            </w:pPr>
          </w:p>
        </w:tc>
        <w:tc>
          <w:tcPr>
            <w:tcW w:w="1093" w:type="dxa"/>
            <w:gridSpan w:val="2"/>
          </w:tcPr>
          <w:p>
            <w:pPr>
              <w:pStyle w:val="TableParagraph"/>
              <w:spacing w:before="33"/>
              <w:rPr>
                <w:rFonts w:ascii="Arial"/>
                <w:i/>
                <w:sz w:val="14"/>
              </w:rPr>
            </w:pPr>
          </w:p>
          <w:p>
            <w:pPr>
              <w:pStyle w:val="TableParagraph"/>
              <w:ind w:right="55"/>
              <w:jc w:val="right"/>
              <w:rPr>
                <w:sz w:val="14"/>
              </w:rPr>
            </w:pPr>
            <w:r>
              <w:rPr>
                <w:sz w:val="14"/>
              </w:rPr>
              <w:t>—</w:t>
            </w:r>
          </w:p>
        </w:tc>
        <w:tc>
          <w:tcPr>
            <w:tcW w:w="1456" w:type="dxa"/>
          </w:tcPr>
          <w:p>
            <w:pPr>
              <w:pStyle w:val="TableParagraph"/>
              <w:spacing w:before="33"/>
              <w:rPr>
                <w:rFonts w:ascii="Arial"/>
                <w:i/>
                <w:sz w:val="14"/>
              </w:rPr>
            </w:pPr>
          </w:p>
          <w:p>
            <w:pPr>
              <w:pStyle w:val="TableParagraph"/>
              <w:ind w:right="56"/>
              <w:jc w:val="right"/>
              <w:rPr>
                <w:sz w:val="14"/>
              </w:rPr>
            </w:pPr>
            <w:r>
              <w:rPr>
                <w:spacing w:val="-5"/>
                <w:sz w:val="14"/>
              </w:rPr>
              <w:t>37</w:t>
            </w:r>
          </w:p>
        </w:tc>
      </w:tr>
      <w:tr>
        <w:trPr>
          <w:trHeight w:val="185" w:hRule="atLeast"/>
        </w:trPr>
        <w:tc>
          <w:tcPr>
            <w:tcW w:w="9309" w:type="dxa"/>
            <w:gridSpan w:val="8"/>
          </w:tcPr>
          <w:p>
            <w:pPr>
              <w:pStyle w:val="TableParagraph"/>
              <w:spacing w:line="141" w:lineRule="exact" w:before="24"/>
              <w:ind w:left="50"/>
              <w:rPr>
                <w:sz w:val="14"/>
              </w:rPr>
            </w:pPr>
            <w:r>
              <w:rPr>
                <w:sz w:val="14"/>
              </w:rPr>
              <w:t>Derivative</w:t>
            </w:r>
            <w:r>
              <w:rPr>
                <w:spacing w:val="-7"/>
                <w:sz w:val="14"/>
              </w:rPr>
              <w:t> </w:t>
            </w:r>
            <w:r>
              <w:rPr>
                <w:spacing w:val="-2"/>
                <w:sz w:val="14"/>
              </w:rPr>
              <w:t>Liabilities</w:t>
            </w:r>
          </w:p>
        </w:tc>
      </w:tr>
      <w:tr>
        <w:trPr>
          <w:trHeight w:val="214" w:hRule="atLeast"/>
        </w:trPr>
        <w:tc>
          <w:tcPr>
            <w:tcW w:w="3552" w:type="dxa"/>
          </w:tcPr>
          <w:p>
            <w:pPr>
              <w:pStyle w:val="TableParagraph"/>
              <w:spacing w:line="160" w:lineRule="exact" w:before="34"/>
              <w:ind w:left="439"/>
              <w:rPr>
                <w:sz w:val="14"/>
              </w:rPr>
            </w:pPr>
            <w:r>
              <w:rPr>
                <w:sz w:val="14"/>
              </w:rPr>
              <w:t>Currency</w:t>
            </w:r>
            <w:r>
              <w:rPr>
                <w:spacing w:val="-4"/>
                <w:sz w:val="14"/>
              </w:rPr>
              <w:t> </w:t>
            </w:r>
            <w:r>
              <w:rPr>
                <w:sz w:val="14"/>
              </w:rPr>
              <w:t>swaps</w:t>
            </w:r>
            <w:r>
              <w:rPr>
                <w:spacing w:val="-5"/>
                <w:sz w:val="14"/>
              </w:rPr>
              <w:t> </w:t>
            </w:r>
            <w:r>
              <w:rPr>
                <w:spacing w:val="-10"/>
                <w:sz w:val="14"/>
                <w:vertAlign w:val="superscript"/>
              </w:rPr>
              <w:t>b</w:t>
            </w:r>
          </w:p>
        </w:tc>
        <w:tc>
          <w:tcPr>
            <w:tcW w:w="661" w:type="dxa"/>
          </w:tcPr>
          <w:p>
            <w:pPr>
              <w:pStyle w:val="TableParagraph"/>
              <w:rPr>
                <w:rFonts w:ascii="Times New Roman"/>
                <w:sz w:val="14"/>
              </w:rPr>
            </w:pPr>
          </w:p>
        </w:tc>
        <w:tc>
          <w:tcPr>
            <w:tcW w:w="2211" w:type="dxa"/>
            <w:gridSpan w:val="2"/>
          </w:tcPr>
          <w:p>
            <w:pPr>
              <w:pStyle w:val="TableParagraph"/>
              <w:tabs>
                <w:tab w:pos="1699" w:val="left" w:leader="none"/>
              </w:tabs>
              <w:spacing w:line="160" w:lineRule="exact" w:before="34"/>
              <w:ind w:left="532"/>
              <w:rPr>
                <w:sz w:val="14"/>
              </w:rPr>
            </w:pPr>
            <w:r>
              <w:rPr>
                <w:sz w:val="14"/>
              </w:rPr>
              <w:t>—</w:t>
              <w:tab/>
            </w:r>
            <w:r>
              <w:rPr>
                <w:spacing w:val="-2"/>
                <w:sz w:val="14"/>
              </w:rPr>
              <w:t>10,978</w:t>
            </w:r>
          </w:p>
        </w:tc>
        <w:tc>
          <w:tcPr>
            <w:tcW w:w="336" w:type="dxa"/>
          </w:tcPr>
          <w:p>
            <w:pPr>
              <w:pStyle w:val="TableParagraph"/>
              <w:rPr>
                <w:rFonts w:ascii="Times New Roman"/>
                <w:sz w:val="14"/>
              </w:rPr>
            </w:pPr>
          </w:p>
        </w:tc>
        <w:tc>
          <w:tcPr>
            <w:tcW w:w="1093" w:type="dxa"/>
            <w:gridSpan w:val="2"/>
          </w:tcPr>
          <w:p>
            <w:pPr>
              <w:pStyle w:val="TableParagraph"/>
              <w:spacing w:line="160" w:lineRule="exact" w:before="34"/>
              <w:ind w:right="55"/>
              <w:jc w:val="right"/>
              <w:rPr>
                <w:sz w:val="14"/>
              </w:rPr>
            </w:pPr>
            <w:r>
              <w:rPr>
                <w:spacing w:val="-5"/>
                <w:sz w:val="14"/>
              </w:rPr>
              <w:t>462</w:t>
            </w:r>
          </w:p>
        </w:tc>
        <w:tc>
          <w:tcPr>
            <w:tcW w:w="1456" w:type="dxa"/>
          </w:tcPr>
          <w:p>
            <w:pPr>
              <w:pStyle w:val="TableParagraph"/>
              <w:spacing w:line="160" w:lineRule="exact" w:before="34"/>
              <w:ind w:right="55"/>
              <w:jc w:val="right"/>
              <w:rPr>
                <w:sz w:val="14"/>
              </w:rPr>
            </w:pPr>
            <w:r>
              <w:rPr>
                <w:spacing w:val="-2"/>
                <w:sz w:val="14"/>
              </w:rPr>
              <w:t>11,440</w:t>
            </w:r>
          </w:p>
        </w:tc>
      </w:tr>
      <w:tr>
        <w:trPr>
          <w:trHeight w:val="185" w:hRule="atLeast"/>
        </w:trPr>
        <w:tc>
          <w:tcPr>
            <w:tcW w:w="3552" w:type="dxa"/>
          </w:tcPr>
          <w:p>
            <w:pPr>
              <w:pStyle w:val="TableParagraph"/>
              <w:spacing w:line="151" w:lineRule="exact" w:before="14"/>
              <w:ind w:left="410"/>
              <w:rPr>
                <w:sz w:val="14"/>
              </w:rPr>
            </w:pPr>
            <w:r>
              <w:rPr>
                <w:sz w:val="14"/>
              </w:rPr>
              <w:t>Interest</w:t>
            </w:r>
            <w:r>
              <w:rPr>
                <w:spacing w:val="-2"/>
                <w:sz w:val="14"/>
              </w:rPr>
              <w:t> </w:t>
            </w:r>
            <w:r>
              <w:rPr>
                <w:sz w:val="14"/>
              </w:rPr>
              <w:t>rate</w:t>
            </w:r>
            <w:r>
              <w:rPr>
                <w:spacing w:val="-2"/>
                <w:sz w:val="14"/>
              </w:rPr>
              <w:t> swaps</w:t>
            </w:r>
          </w:p>
        </w:tc>
        <w:tc>
          <w:tcPr>
            <w:tcW w:w="661" w:type="dxa"/>
          </w:tcPr>
          <w:p>
            <w:pPr>
              <w:pStyle w:val="TableParagraph"/>
              <w:rPr>
                <w:rFonts w:ascii="Times New Roman"/>
                <w:sz w:val="12"/>
              </w:rPr>
            </w:pPr>
          </w:p>
        </w:tc>
        <w:tc>
          <w:tcPr>
            <w:tcW w:w="2211" w:type="dxa"/>
            <w:gridSpan w:val="2"/>
          </w:tcPr>
          <w:p>
            <w:pPr>
              <w:pStyle w:val="TableParagraph"/>
              <w:tabs>
                <w:tab w:pos="1699" w:val="left" w:leader="none"/>
              </w:tabs>
              <w:spacing w:line="151" w:lineRule="exact" w:before="14"/>
              <w:ind w:left="532"/>
              <w:rPr>
                <w:sz w:val="14"/>
              </w:rPr>
            </w:pPr>
            <w:r>
              <w:rPr>
                <w:sz w:val="14"/>
              </w:rPr>
              <w:t>—</w:t>
              <w:tab/>
            </w:r>
            <w:r>
              <w:rPr>
                <w:spacing w:val="-2"/>
                <w:sz w:val="14"/>
              </w:rPr>
              <w:t>19,492</w:t>
            </w:r>
          </w:p>
        </w:tc>
        <w:tc>
          <w:tcPr>
            <w:tcW w:w="336" w:type="dxa"/>
          </w:tcPr>
          <w:p>
            <w:pPr>
              <w:pStyle w:val="TableParagraph"/>
              <w:rPr>
                <w:rFonts w:ascii="Times New Roman"/>
                <w:sz w:val="12"/>
              </w:rPr>
            </w:pPr>
          </w:p>
        </w:tc>
        <w:tc>
          <w:tcPr>
            <w:tcW w:w="1093" w:type="dxa"/>
            <w:gridSpan w:val="2"/>
          </w:tcPr>
          <w:p>
            <w:pPr>
              <w:pStyle w:val="TableParagraph"/>
              <w:spacing w:line="151" w:lineRule="exact" w:before="14"/>
              <w:ind w:right="55"/>
              <w:jc w:val="right"/>
              <w:rPr>
                <w:sz w:val="14"/>
              </w:rPr>
            </w:pPr>
            <w:r>
              <w:rPr>
                <w:spacing w:val="-5"/>
                <w:sz w:val="14"/>
              </w:rPr>
              <w:t>202</w:t>
            </w:r>
          </w:p>
        </w:tc>
        <w:tc>
          <w:tcPr>
            <w:tcW w:w="1456" w:type="dxa"/>
          </w:tcPr>
          <w:p>
            <w:pPr>
              <w:pStyle w:val="TableParagraph"/>
              <w:spacing w:line="151" w:lineRule="exact" w:before="14"/>
              <w:ind w:right="55"/>
              <w:jc w:val="right"/>
              <w:rPr>
                <w:sz w:val="14"/>
              </w:rPr>
            </w:pPr>
            <w:r>
              <w:rPr>
                <w:spacing w:val="-2"/>
                <w:sz w:val="14"/>
              </w:rPr>
              <w:t>19,694</w:t>
            </w:r>
          </w:p>
        </w:tc>
      </w:tr>
      <w:tr>
        <w:trPr>
          <w:trHeight w:val="186" w:hRule="atLeast"/>
        </w:trPr>
        <w:tc>
          <w:tcPr>
            <w:tcW w:w="3552" w:type="dxa"/>
          </w:tcPr>
          <w:p>
            <w:pPr>
              <w:pStyle w:val="TableParagraph"/>
              <w:spacing w:line="142" w:lineRule="exact" w:before="24"/>
              <w:ind w:left="410"/>
              <w:rPr>
                <w:sz w:val="14"/>
              </w:rPr>
            </w:pPr>
            <w:r>
              <w:rPr>
                <w:sz w:val="14"/>
              </w:rPr>
              <w:t>Other</w:t>
            </w:r>
            <w:r>
              <w:rPr>
                <w:spacing w:val="-5"/>
                <w:sz w:val="14"/>
              </w:rPr>
              <w:t> </w:t>
            </w:r>
            <w:r>
              <w:rPr>
                <w:spacing w:val="-10"/>
                <w:sz w:val="14"/>
                <w:vertAlign w:val="superscript"/>
              </w:rPr>
              <w:t>c</w:t>
            </w:r>
          </w:p>
        </w:tc>
        <w:tc>
          <w:tcPr>
            <w:tcW w:w="661" w:type="dxa"/>
            <w:tcBorders>
              <w:bottom w:val="single" w:sz="8" w:space="0" w:color="000000"/>
            </w:tcBorders>
          </w:tcPr>
          <w:p>
            <w:pPr>
              <w:pStyle w:val="TableParagraph"/>
              <w:rPr>
                <w:rFonts w:ascii="Times New Roman"/>
                <w:sz w:val="12"/>
              </w:rPr>
            </w:pPr>
          </w:p>
        </w:tc>
        <w:tc>
          <w:tcPr>
            <w:tcW w:w="2211" w:type="dxa"/>
            <w:gridSpan w:val="2"/>
            <w:tcBorders>
              <w:bottom w:val="single" w:sz="8" w:space="0" w:color="000000"/>
            </w:tcBorders>
          </w:tcPr>
          <w:p>
            <w:pPr>
              <w:pStyle w:val="TableParagraph"/>
              <w:tabs>
                <w:tab w:pos="1987" w:val="left" w:leader="none"/>
              </w:tabs>
              <w:spacing w:line="142" w:lineRule="exact" w:before="24"/>
              <w:ind w:left="532"/>
              <w:rPr>
                <w:sz w:val="14"/>
              </w:rPr>
            </w:pPr>
            <w:r>
              <w:rPr>
                <w:sz w:val="14"/>
              </w:rPr>
              <w:t>—</w:t>
              <w:tab/>
              <w:t>—</w:t>
            </w:r>
          </w:p>
        </w:tc>
        <w:tc>
          <w:tcPr>
            <w:tcW w:w="336" w:type="dxa"/>
            <w:tcBorders>
              <w:bottom w:val="single" w:sz="8" w:space="0" w:color="000000"/>
            </w:tcBorders>
          </w:tcPr>
          <w:p>
            <w:pPr>
              <w:pStyle w:val="TableParagraph"/>
              <w:rPr>
                <w:rFonts w:ascii="Times New Roman"/>
                <w:sz w:val="12"/>
              </w:rPr>
            </w:pPr>
          </w:p>
        </w:tc>
        <w:tc>
          <w:tcPr>
            <w:tcW w:w="1093" w:type="dxa"/>
            <w:gridSpan w:val="2"/>
            <w:tcBorders>
              <w:bottom w:val="single" w:sz="8" w:space="0" w:color="000000"/>
            </w:tcBorders>
          </w:tcPr>
          <w:p>
            <w:pPr>
              <w:pStyle w:val="TableParagraph"/>
              <w:spacing w:line="142" w:lineRule="exact" w:before="24"/>
              <w:ind w:right="55"/>
              <w:jc w:val="right"/>
              <w:rPr>
                <w:sz w:val="14"/>
              </w:rPr>
            </w:pPr>
            <w:r>
              <w:rPr>
                <w:sz w:val="14"/>
              </w:rPr>
              <w:t>—</w:t>
            </w:r>
          </w:p>
        </w:tc>
        <w:tc>
          <w:tcPr>
            <w:tcW w:w="1456" w:type="dxa"/>
            <w:tcBorders>
              <w:bottom w:val="single" w:sz="8" w:space="0" w:color="000000"/>
            </w:tcBorders>
          </w:tcPr>
          <w:p>
            <w:pPr>
              <w:pStyle w:val="TableParagraph"/>
              <w:spacing w:line="142" w:lineRule="exact" w:before="24"/>
              <w:ind w:right="56"/>
              <w:jc w:val="right"/>
              <w:rPr>
                <w:sz w:val="14"/>
              </w:rPr>
            </w:pPr>
            <w:r>
              <w:rPr>
                <w:sz w:val="14"/>
              </w:rPr>
              <w:t>—</w:t>
            </w:r>
          </w:p>
        </w:tc>
      </w:tr>
      <w:tr>
        <w:trPr>
          <w:trHeight w:val="174" w:hRule="atLeast"/>
        </w:trPr>
        <w:tc>
          <w:tcPr>
            <w:tcW w:w="3552" w:type="dxa"/>
          </w:tcPr>
          <w:p>
            <w:pPr>
              <w:pStyle w:val="TableParagraph"/>
              <w:rPr>
                <w:rFonts w:ascii="Times New Roman"/>
                <w:sz w:val="10"/>
              </w:rPr>
            </w:pPr>
          </w:p>
        </w:tc>
        <w:tc>
          <w:tcPr>
            <w:tcW w:w="661" w:type="dxa"/>
            <w:tcBorders>
              <w:top w:val="single" w:sz="8" w:space="0" w:color="000000"/>
            </w:tcBorders>
          </w:tcPr>
          <w:p>
            <w:pPr>
              <w:pStyle w:val="TableParagraph"/>
              <w:spacing w:line="141" w:lineRule="exact" w:before="13"/>
              <w:ind w:left="53"/>
              <w:rPr>
                <w:sz w:val="14"/>
              </w:rPr>
            </w:pPr>
            <w:r>
              <w:rPr>
                <w:spacing w:val="-10"/>
                <w:sz w:val="14"/>
              </w:rPr>
              <w:t>$</w:t>
            </w:r>
          </w:p>
        </w:tc>
        <w:tc>
          <w:tcPr>
            <w:tcW w:w="2211" w:type="dxa"/>
            <w:gridSpan w:val="2"/>
            <w:tcBorders>
              <w:top w:val="single" w:sz="8" w:space="0" w:color="000000"/>
            </w:tcBorders>
          </w:tcPr>
          <w:p>
            <w:pPr>
              <w:pStyle w:val="TableParagraph"/>
              <w:tabs>
                <w:tab w:pos="1699" w:val="left" w:leader="none"/>
              </w:tabs>
              <w:spacing w:line="141" w:lineRule="exact" w:before="13"/>
              <w:ind w:left="532"/>
              <w:rPr>
                <w:sz w:val="14"/>
              </w:rPr>
            </w:pPr>
            <w:r>
              <w:rPr>
                <w:sz w:val="14"/>
              </w:rPr>
              <w:t>—</w:t>
            </w:r>
            <w:r>
              <w:rPr>
                <w:spacing w:val="47"/>
                <w:sz w:val="14"/>
              </w:rPr>
              <w:t>  </w:t>
            </w:r>
            <w:r>
              <w:rPr>
                <w:spacing w:val="-10"/>
                <w:sz w:val="14"/>
              </w:rPr>
              <w:t>$</w:t>
            </w:r>
            <w:r>
              <w:rPr>
                <w:sz w:val="14"/>
              </w:rPr>
              <w:tab/>
            </w:r>
            <w:r>
              <w:rPr>
                <w:spacing w:val="-2"/>
                <w:sz w:val="14"/>
              </w:rPr>
              <w:t>30,470</w:t>
            </w:r>
          </w:p>
        </w:tc>
        <w:tc>
          <w:tcPr>
            <w:tcW w:w="336" w:type="dxa"/>
            <w:tcBorders>
              <w:top w:val="single" w:sz="8" w:space="0" w:color="000000"/>
            </w:tcBorders>
          </w:tcPr>
          <w:p>
            <w:pPr>
              <w:pStyle w:val="TableParagraph"/>
              <w:spacing w:line="141" w:lineRule="exact" w:before="13"/>
              <w:ind w:left="91"/>
              <w:rPr>
                <w:sz w:val="14"/>
              </w:rPr>
            </w:pPr>
            <w:r>
              <w:rPr>
                <w:spacing w:val="-10"/>
                <w:sz w:val="14"/>
              </w:rPr>
              <w:t>$</w:t>
            </w:r>
          </w:p>
        </w:tc>
        <w:tc>
          <w:tcPr>
            <w:tcW w:w="1093" w:type="dxa"/>
            <w:gridSpan w:val="2"/>
            <w:tcBorders>
              <w:top w:val="single" w:sz="8" w:space="0" w:color="000000"/>
            </w:tcBorders>
          </w:tcPr>
          <w:p>
            <w:pPr>
              <w:pStyle w:val="TableParagraph"/>
              <w:spacing w:line="141" w:lineRule="exact" w:before="13"/>
              <w:ind w:right="55"/>
              <w:jc w:val="right"/>
              <w:rPr>
                <w:sz w:val="14"/>
              </w:rPr>
            </w:pPr>
            <w:r>
              <w:rPr>
                <w:spacing w:val="-5"/>
                <w:sz w:val="14"/>
              </w:rPr>
              <w:t>664</w:t>
            </w:r>
          </w:p>
        </w:tc>
        <w:tc>
          <w:tcPr>
            <w:tcW w:w="1456" w:type="dxa"/>
            <w:tcBorders>
              <w:top w:val="single" w:sz="8" w:space="0" w:color="000000"/>
            </w:tcBorders>
          </w:tcPr>
          <w:p>
            <w:pPr>
              <w:pStyle w:val="TableParagraph"/>
              <w:tabs>
                <w:tab w:pos="852" w:val="left" w:leader="none"/>
              </w:tabs>
              <w:spacing w:line="141" w:lineRule="exact" w:before="13"/>
              <w:ind w:right="55"/>
              <w:jc w:val="right"/>
              <w:rPr>
                <w:sz w:val="14"/>
              </w:rPr>
            </w:pPr>
            <w:r>
              <w:rPr>
                <w:spacing w:val="-10"/>
                <w:sz w:val="14"/>
              </w:rPr>
              <w:t>$</w:t>
            </w:r>
            <w:r>
              <w:rPr>
                <w:sz w:val="14"/>
              </w:rPr>
              <w:tab/>
            </w:r>
            <w:r>
              <w:rPr>
                <w:spacing w:val="-2"/>
                <w:sz w:val="14"/>
              </w:rPr>
              <w:t>31,134</w:t>
            </w:r>
          </w:p>
        </w:tc>
      </w:tr>
    </w:tbl>
    <w:p>
      <w:pPr>
        <w:spacing w:before="64"/>
        <w:ind w:left="772" w:right="0" w:firstLine="0"/>
        <w:jc w:val="left"/>
        <w:rPr>
          <w:rFonts w:ascii="Arial MT"/>
          <w:sz w:val="14"/>
        </w:rPr>
      </w:pPr>
      <w:r>
        <w:rPr>
          <w:rFonts w:ascii="Arial MT"/>
          <w:spacing w:val="-2"/>
          <w:sz w:val="14"/>
        </w:rPr>
        <w:t>Less:</w:t>
      </w:r>
    </w:p>
    <w:p>
      <w:pPr>
        <w:spacing w:before="57"/>
        <w:ind w:left="772" w:right="0" w:firstLine="0"/>
        <w:jc w:val="left"/>
        <w:rPr>
          <w:rFonts w:ascii="Arial MT"/>
          <w:sz w:val="14"/>
        </w:rPr>
      </w:pPr>
      <w:r>
        <w:rPr>
          <w:rFonts w:ascii="Arial MT"/>
          <w:sz w:val="14"/>
        </w:rPr>
        <w:t>Amounts</w:t>
      </w:r>
      <w:r>
        <w:rPr>
          <w:rFonts w:ascii="Arial MT"/>
          <w:spacing w:val="-4"/>
          <w:sz w:val="14"/>
        </w:rPr>
        <w:t> </w:t>
      </w:r>
      <w:r>
        <w:rPr>
          <w:rFonts w:ascii="Arial MT"/>
          <w:sz w:val="14"/>
        </w:rPr>
        <w:t>subject</w:t>
      </w:r>
      <w:r>
        <w:rPr>
          <w:rFonts w:ascii="Arial MT"/>
          <w:spacing w:val="-4"/>
          <w:sz w:val="14"/>
        </w:rPr>
        <w:t> </w:t>
      </w:r>
      <w:r>
        <w:rPr>
          <w:rFonts w:ascii="Arial MT"/>
          <w:sz w:val="14"/>
        </w:rPr>
        <w:t>to</w:t>
      </w:r>
      <w:r>
        <w:rPr>
          <w:rFonts w:ascii="Arial MT"/>
          <w:spacing w:val="-4"/>
          <w:sz w:val="14"/>
        </w:rPr>
        <w:t> </w:t>
      </w:r>
      <w:r>
        <w:rPr>
          <w:rFonts w:ascii="Arial MT"/>
          <w:sz w:val="14"/>
        </w:rPr>
        <w:t>legally</w:t>
      </w:r>
      <w:r>
        <w:rPr>
          <w:rFonts w:ascii="Arial MT"/>
          <w:spacing w:val="-4"/>
          <w:sz w:val="14"/>
        </w:rPr>
        <w:t> </w:t>
      </w:r>
      <w:r>
        <w:rPr>
          <w:rFonts w:ascii="Arial MT"/>
          <w:sz w:val="14"/>
        </w:rPr>
        <w:t>enforceable</w:t>
      </w:r>
      <w:r>
        <w:rPr>
          <w:rFonts w:ascii="Arial MT"/>
          <w:spacing w:val="-4"/>
          <w:sz w:val="14"/>
        </w:rPr>
        <w:t> </w:t>
      </w:r>
      <w:r>
        <w:rPr>
          <w:rFonts w:ascii="Arial MT"/>
          <w:sz w:val="14"/>
        </w:rPr>
        <w:t>master</w:t>
      </w:r>
      <w:r>
        <w:rPr>
          <w:rFonts w:ascii="Arial MT"/>
          <w:spacing w:val="-3"/>
          <w:sz w:val="14"/>
        </w:rPr>
        <w:t> </w:t>
      </w:r>
      <w:r>
        <w:rPr>
          <w:rFonts w:ascii="Arial MT"/>
          <w:spacing w:val="-2"/>
          <w:sz w:val="14"/>
        </w:rPr>
        <w:t>netting</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20"/>
        <w:gridCol w:w="1395"/>
      </w:tblGrid>
      <w:tr>
        <w:trPr>
          <w:trHeight w:val="195" w:hRule="atLeast"/>
        </w:trPr>
        <w:tc>
          <w:tcPr>
            <w:tcW w:w="7920" w:type="dxa"/>
          </w:tcPr>
          <w:p>
            <w:pPr>
              <w:pStyle w:val="TableParagraph"/>
              <w:spacing w:before="7"/>
              <w:ind w:left="142"/>
              <w:rPr>
                <w:sz w:val="14"/>
              </w:rPr>
            </w:pPr>
            <w:r>
              <w:rPr>
                <w:sz w:val="14"/>
              </w:rPr>
              <w:t>agreements</w:t>
            </w:r>
            <w:r>
              <w:rPr>
                <w:spacing w:val="-7"/>
                <w:sz w:val="14"/>
              </w:rPr>
              <w:t> </w:t>
            </w:r>
            <w:r>
              <w:rPr>
                <w:spacing w:val="-10"/>
                <w:sz w:val="14"/>
                <w:vertAlign w:val="superscript"/>
              </w:rPr>
              <w:t>f</w:t>
            </w:r>
          </w:p>
        </w:tc>
        <w:tc>
          <w:tcPr>
            <w:tcW w:w="1395" w:type="dxa"/>
            <w:tcBorders>
              <w:bottom w:val="single" w:sz="8" w:space="0" w:color="000000"/>
            </w:tcBorders>
          </w:tcPr>
          <w:p>
            <w:pPr>
              <w:pStyle w:val="TableParagraph"/>
              <w:spacing w:before="7"/>
              <w:ind w:right="59"/>
              <w:jc w:val="right"/>
              <w:rPr>
                <w:sz w:val="14"/>
              </w:rPr>
            </w:pPr>
            <w:r>
              <w:rPr>
                <w:spacing w:val="-2"/>
                <w:sz w:val="14"/>
              </w:rPr>
              <w:t>11,093</w:t>
            </w:r>
          </w:p>
        </w:tc>
      </w:tr>
      <w:tr>
        <w:trPr>
          <w:trHeight w:val="280" w:hRule="atLeast"/>
        </w:trPr>
        <w:tc>
          <w:tcPr>
            <w:tcW w:w="7920" w:type="dxa"/>
            <w:tcBorders>
              <w:bottom w:val="single" w:sz="8" w:space="0" w:color="000000"/>
            </w:tcBorders>
          </w:tcPr>
          <w:p>
            <w:pPr>
              <w:pStyle w:val="TableParagraph"/>
              <w:spacing w:before="6"/>
              <w:ind w:left="52"/>
              <w:rPr>
                <w:sz w:val="14"/>
              </w:rPr>
            </w:pPr>
            <w:r>
              <w:rPr>
                <w:sz w:val="14"/>
              </w:rPr>
              <w:t>Derivative</w:t>
            </w:r>
            <w:r>
              <w:rPr>
                <w:spacing w:val="-7"/>
                <w:sz w:val="14"/>
              </w:rPr>
              <w:t> </w:t>
            </w:r>
            <w:r>
              <w:rPr>
                <w:sz w:val="14"/>
              </w:rPr>
              <w:t>Liabilities,</w:t>
            </w:r>
            <w:r>
              <w:rPr>
                <w:spacing w:val="-7"/>
                <w:sz w:val="14"/>
              </w:rPr>
              <w:t> </w:t>
            </w:r>
            <w:r>
              <w:rPr>
                <w:spacing w:val="-5"/>
                <w:sz w:val="14"/>
              </w:rPr>
              <w:t>net</w:t>
            </w:r>
          </w:p>
        </w:tc>
        <w:tc>
          <w:tcPr>
            <w:tcW w:w="1395" w:type="dxa"/>
            <w:tcBorders>
              <w:top w:val="single" w:sz="8" w:space="0" w:color="000000"/>
              <w:bottom w:val="single" w:sz="8" w:space="0" w:color="000000"/>
            </w:tcBorders>
          </w:tcPr>
          <w:p>
            <w:pPr>
              <w:pStyle w:val="TableParagraph"/>
              <w:tabs>
                <w:tab w:pos="852" w:val="left" w:leader="none"/>
              </w:tabs>
              <w:spacing w:before="6"/>
              <w:ind w:right="59"/>
              <w:jc w:val="right"/>
              <w:rPr>
                <w:sz w:val="14"/>
              </w:rPr>
            </w:pPr>
            <w:r>
              <w:rPr>
                <w:spacing w:val="-10"/>
                <w:sz w:val="14"/>
              </w:rPr>
              <w:t>$</w:t>
            </w:r>
            <w:r>
              <w:rPr>
                <w:sz w:val="14"/>
              </w:rPr>
              <w:tab/>
            </w:r>
            <w:r>
              <w:rPr>
                <w:spacing w:val="-2"/>
                <w:sz w:val="14"/>
              </w:rPr>
              <w:t>20,041</w:t>
            </w:r>
          </w:p>
        </w:tc>
      </w:tr>
      <w:tr>
        <w:trPr>
          <w:trHeight w:val="193" w:hRule="atLeast"/>
        </w:trPr>
        <w:tc>
          <w:tcPr>
            <w:tcW w:w="7920" w:type="dxa"/>
            <w:tcBorders>
              <w:top w:val="single" w:sz="8" w:space="0" w:color="000000"/>
            </w:tcBorders>
          </w:tcPr>
          <w:p>
            <w:pPr>
              <w:pStyle w:val="TableParagraph"/>
              <w:spacing w:before="6"/>
              <w:ind w:left="52"/>
              <w:rPr>
                <w:rFonts w:ascii="Arial"/>
                <w:i/>
                <w:sz w:val="14"/>
              </w:rPr>
            </w:pPr>
            <w:r>
              <w:rPr>
                <w:rFonts w:ascii="Arial"/>
                <w:i/>
                <w:sz w:val="14"/>
              </w:rPr>
              <w:t>a.</w:t>
            </w:r>
            <w:r>
              <w:rPr>
                <w:rFonts w:ascii="Arial"/>
                <w:i/>
                <w:spacing w:val="-5"/>
                <w:sz w:val="14"/>
              </w:rPr>
              <w:t> </w:t>
            </w:r>
            <w:r>
              <w:rPr>
                <w:rFonts w:ascii="Arial"/>
                <w:i/>
                <w:sz w:val="14"/>
              </w:rPr>
              <w:t>Investments</w:t>
            </w:r>
            <w:r>
              <w:rPr>
                <w:rFonts w:ascii="Arial"/>
                <w:i/>
                <w:spacing w:val="-3"/>
                <w:sz w:val="14"/>
              </w:rPr>
              <w:t> </w:t>
            </w:r>
            <w:r>
              <w:rPr>
                <w:rFonts w:ascii="Arial"/>
                <w:i/>
                <w:sz w:val="14"/>
              </w:rPr>
              <w:t>at</w:t>
            </w:r>
            <w:r>
              <w:rPr>
                <w:rFonts w:ascii="Arial"/>
                <w:i/>
                <w:spacing w:val="-2"/>
                <w:sz w:val="14"/>
              </w:rPr>
              <w:t> </w:t>
            </w:r>
            <w:r>
              <w:rPr>
                <w:rFonts w:ascii="Arial"/>
                <w:i/>
                <w:sz w:val="14"/>
              </w:rPr>
              <w:t>NAV</w:t>
            </w:r>
            <w:r>
              <w:rPr>
                <w:rFonts w:ascii="Arial"/>
                <w:i/>
                <w:spacing w:val="-4"/>
                <w:sz w:val="14"/>
              </w:rPr>
              <w:t> </w:t>
            </w:r>
            <w:r>
              <w:rPr>
                <w:rFonts w:ascii="Arial"/>
                <w:i/>
                <w:sz w:val="14"/>
              </w:rPr>
              <w:t>related</w:t>
            </w:r>
            <w:r>
              <w:rPr>
                <w:rFonts w:ascii="Arial"/>
                <w:i/>
                <w:spacing w:val="-3"/>
                <w:sz w:val="14"/>
              </w:rPr>
              <w:t> </w:t>
            </w:r>
            <w:r>
              <w:rPr>
                <w:rFonts w:ascii="Arial"/>
                <w:i/>
                <w:sz w:val="14"/>
              </w:rPr>
              <w:t>to</w:t>
            </w:r>
            <w:r>
              <w:rPr>
                <w:rFonts w:ascii="Arial"/>
                <w:i/>
                <w:spacing w:val="-2"/>
                <w:sz w:val="14"/>
              </w:rPr>
              <w:t> </w:t>
            </w:r>
            <w:r>
              <w:rPr>
                <w:rFonts w:ascii="Arial"/>
                <w:i/>
                <w:sz w:val="14"/>
              </w:rPr>
              <w:t>PEBP</w:t>
            </w:r>
            <w:r>
              <w:rPr>
                <w:rFonts w:ascii="Arial"/>
                <w:i/>
                <w:spacing w:val="-4"/>
                <w:sz w:val="14"/>
              </w:rPr>
              <w:t> </w:t>
            </w:r>
            <w:r>
              <w:rPr>
                <w:rFonts w:ascii="Arial"/>
                <w:i/>
                <w:sz w:val="14"/>
              </w:rPr>
              <w:t>holdings,</w:t>
            </w:r>
            <w:r>
              <w:rPr>
                <w:rFonts w:ascii="Arial"/>
                <w:i/>
                <w:spacing w:val="-3"/>
                <w:sz w:val="14"/>
              </w:rPr>
              <w:t> </w:t>
            </w:r>
            <w:r>
              <w:rPr>
                <w:rFonts w:ascii="Arial"/>
                <w:i/>
                <w:sz w:val="14"/>
              </w:rPr>
              <w:t>not</w:t>
            </w:r>
            <w:r>
              <w:rPr>
                <w:rFonts w:ascii="Arial"/>
                <w:i/>
                <w:spacing w:val="-2"/>
                <w:sz w:val="14"/>
              </w:rPr>
              <w:t> </w:t>
            </w:r>
            <w:r>
              <w:rPr>
                <w:rFonts w:ascii="Arial"/>
                <w:i/>
                <w:sz w:val="14"/>
              </w:rPr>
              <w:t>included</w:t>
            </w:r>
            <w:r>
              <w:rPr>
                <w:rFonts w:ascii="Arial"/>
                <w:i/>
                <w:spacing w:val="-3"/>
                <w:sz w:val="14"/>
              </w:rPr>
              <w:t> </w:t>
            </w:r>
            <w:r>
              <w:rPr>
                <w:rFonts w:ascii="Arial"/>
                <w:i/>
                <w:sz w:val="14"/>
              </w:rPr>
              <w:t>in</w:t>
            </w:r>
            <w:r>
              <w:rPr>
                <w:rFonts w:ascii="Arial"/>
                <w:i/>
                <w:spacing w:val="-3"/>
                <w:sz w:val="14"/>
              </w:rPr>
              <w:t> </w:t>
            </w:r>
            <w:r>
              <w:rPr>
                <w:rFonts w:ascii="Arial"/>
                <w:i/>
                <w:sz w:val="14"/>
              </w:rPr>
              <w:t>the</w:t>
            </w:r>
            <w:r>
              <w:rPr>
                <w:rFonts w:ascii="Arial"/>
                <w:i/>
                <w:spacing w:val="-2"/>
                <w:sz w:val="14"/>
              </w:rPr>
              <w:t> </w:t>
            </w:r>
            <w:r>
              <w:rPr>
                <w:rFonts w:ascii="Arial"/>
                <w:i/>
                <w:sz w:val="14"/>
              </w:rPr>
              <w:t>fair</w:t>
            </w:r>
            <w:r>
              <w:rPr>
                <w:rFonts w:ascii="Arial"/>
                <w:i/>
                <w:spacing w:val="-3"/>
                <w:sz w:val="14"/>
              </w:rPr>
              <w:t> </w:t>
            </w:r>
            <w:r>
              <w:rPr>
                <w:rFonts w:ascii="Arial"/>
                <w:i/>
                <w:sz w:val="14"/>
              </w:rPr>
              <w:t>value</w:t>
            </w:r>
            <w:r>
              <w:rPr>
                <w:rFonts w:ascii="Arial"/>
                <w:i/>
                <w:spacing w:val="-2"/>
                <w:sz w:val="14"/>
              </w:rPr>
              <w:t> hierarchy.</w:t>
            </w:r>
          </w:p>
        </w:tc>
        <w:tc>
          <w:tcPr>
            <w:tcW w:w="1395" w:type="dxa"/>
            <w:tcBorders>
              <w:top w:val="single" w:sz="8" w:space="0" w:color="000000"/>
            </w:tcBorders>
          </w:tcPr>
          <w:p>
            <w:pPr>
              <w:pStyle w:val="TableParagraph"/>
              <w:rPr>
                <w:rFonts w:ascii="Times New Roman"/>
                <w:sz w:val="12"/>
              </w:rPr>
            </w:pPr>
          </w:p>
        </w:tc>
      </w:tr>
      <w:tr>
        <w:trPr>
          <w:trHeight w:val="195" w:hRule="atLeast"/>
        </w:trPr>
        <w:tc>
          <w:tcPr>
            <w:tcW w:w="7920" w:type="dxa"/>
          </w:tcPr>
          <w:p>
            <w:pPr>
              <w:pStyle w:val="TableParagraph"/>
              <w:spacing w:before="7"/>
              <w:ind w:left="52"/>
              <w:rPr>
                <w:rFonts w:ascii="Arial"/>
                <w:i/>
                <w:sz w:val="14"/>
              </w:rPr>
            </w:pPr>
            <w:r>
              <w:rPr>
                <w:rFonts w:ascii="Arial"/>
                <w:i/>
                <w:sz w:val="14"/>
              </w:rPr>
              <w:t>b.</w:t>
            </w:r>
            <w:r>
              <w:rPr>
                <w:rFonts w:ascii="Arial"/>
                <w:i/>
                <w:spacing w:val="-3"/>
                <w:sz w:val="14"/>
              </w:rPr>
              <w:t> </w:t>
            </w:r>
            <w:r>
              <w:rPr>
                <w:rFonts w:ascii="Arial"/>
                <w:i/>
                <w:sz w:val="14"/>
              </w:rPr>
              <w:t>Includes</w:t>
            </w:r>
            <w:r>
              <w:rPr>
                <w:rFonts w:ascii="Arial"/>
                <w:i/>
                <w:spacing w:val="-3"/>
                <w:sz w:val="14"/>
              </w:rPr>
              <w:t> </w:t>
            </w:r>
            <w:r>
              <w:rPr>
                <w:rFonts w:ascii="Arial"/>
                <w:i/>
                <w:sz w:val="14"/>
              </w:rPr>
              <w:t>currency</w:t>
            </w:r>
            <w:r>
              <w:rPr>
                <w:rFonts w:ascii="Arial"/>
                <w:i/>
                <w:spacing w:val="-3"/>
                <w:sz w:val="14"/>
              </w:rPr>
              <w:t> </w:t>
            </w:r>
            <w:r>
              <w:rPr>
                <w:rFonts w:ascii="Arial"/>
                <w:i/>
                <w:sz w:val="14"/>
              </w:rPr>
              <w:t>forward</w:t>
            </w:r>
            <w:r>
              <w:rPr>
                <w:rFonts w:ascii="Arial"/>
                <w:i/>
                <w:spacing w:val="-3"/>
                <w:sz w:val="14"/>
              </w:rPr>
              <w:t> </w:t>
            </w:r>
            <w:r>
              <w:rPr>
                <w:rFonts w:ascii="Arial"/>
                <w:i/>
                <w:spacing w:val="-2"/>
                <w:sz w:val="14"/>
              </w:rPr>
              <w:t>contracts.</w:t>
            </w:r>
          </w:p>
        </w:tc>
        <w:tc>
          <w:tcPr>
            <w:tcW w:w="1395" w:type="dxa"/>
          </w:tcPr>
          <w:p>
            <w:pPr>
              <w:pStyle w:val="TableParagraph"/>
              <w:rPr>
                <w:rFonts w:ascii="Times New Roman"/>
                <w:sz w:val="12"/>
              </w:rPr>
            </w:pPr>
          </w:p>
        </w:tc>
      </w:tr>
      <w:tr>
        <w:trPr>
          <w:trHeight w:val="195" w:hRule="atLeast"/>
        </w:trPr>
        <w:tc>
          <w:tcPr>
            <w:tcW w:w="7920" w:type="dxa"/>
          </w:tcPr>
          <w:p>
            <w:pPr>
              <w:pStyle w:val="TableParagraph"/>
              <w:spacing w:before="7"/>
              <w:ind w:left="52"/>
              <w:rPr>
                <w:rFonts w:ascii="Arial"/>
                <w:i/>
                <w:sz w:val="14"/>
              </w:rPr>
            </w:pPr>
            <w:r>
              <w:rPr>
                <w:rFonts w:ascii="Arial"/>
                <w:i/>
                <w:sz w:val="14"/>
              </w:rPr>
              <w:t>c.</w:t>
            </w:r>
            <w:r>
              <w:rPr>
                <w:rFonts w:ascii="Arial"/>
                <w:i/>
                <w:spacing w:val="-5"/>
                <w:sz w:val="14"/>
              </w:rPr>
              <w:t> </w:t>
            </w:r>
            <w:r>
              <w:rPr>
                <w:rFonts w:ascii="Arial"/>
                <w:i/>
                <w:sz w:val="14"/>
              </w:rPr>
              <w:t>These</w:t>
            </w:r>
            <w:r>
              <w:rPr>
                <w:rFonts w:ascii="Arial"/>
                <w:i/>
                <w:spacing w:val="-2"/>
                <w:sz w:val="14"/>
              </w:rPr>
              <w:t> </w:t>
            </w:r>
            <w:r>
              <w:rPr>
                <w:rFonts w:ascii="Arial"/>
                <w:i/>
                <w:sz w:val="14"/>
              </w:rPr>
              <w:t>relate</w:t>
            </w:r>
            <w:r>
              <w:rPr>
                <w:rFonts w:ascii="Arial"/>
                <w:i/>
                <w:spacing w:val="-3"/>
                <w:sz w:val="14"/>
              </w:rPr>
              <w:t> </w:t>
            </w:r>
            <w:r>
              <w:rPr>
                <w:rFonts w:ascii="Arial"/>
                <w:i/>
                <w:sz w:val="14"/>
              </w:rPr>
              <w:t>to</w:t>
            </w:r>
            <w:r>
              <w:rPr>
                <w:rFonts w:ascii="Arial"/>
                <w:i/>
                <w:spacing w:val="-2"/>
                <w:sz w:val="14"/>
              </w:rPr>
              <w:t> </w:t>
            </w:r>
            <w:r>
              <w:rPr>
                <w:rFonts w:ascii="Arial"/>
                <w:i/>
                <w:sz w:val="14"/>
              </w:rPr>
              <w:t>swaptions,</w:t>
            </w:r>
            <w:r>
              <w:rPr>
                <w:rFonts w:ascii="Arial"/>
                <w:i/>
                <w:spacing w:val="-3"/>
                <w:sz w:val="14"/>
              </w:rPr>
              <w:t> </w:t>
            </w:r>
            <w:r>
              <w:rPr>
                <w:rFonts w:ascii="Arial"/>
                <w:i/>
                <w:sz w:val="14"/>
              </w:rPr>
              <w:t>options</w:t>
            </w:r>
            <w:r>
              <w:rPr>
                <w:rFonts w:ascii="Arial"/>
                <w:i/>
                <w:spacing w:val="-2"/>
                <w:sz w:val="14"/>
              </w:rPr>
              <w:t> </w:t>
            </w:r>
            <w:r>
              <w:rPr>
                <w:rFonts w:ascii="Arial"/>
                <w:i/>
                <w:sz w:val="14"/>
              </w:rPr>
              <w:t>and</w:t>
            </w:r>
            <w:r>
              <w:rPr>
                <w:rFonts w:ascii="Arial"/>
                <w:i/>
                <w:spacing w:val="-3"/>
                <w:sz w:val="14"/>
              </w:rPr>
              <w:t> </w:t>
            </w:r>
            <w:r>
              <w:rPr>
                <w:rFonts w:ascii="Arial"/>
                <w:i/>
                <w:sz w:val="14"/>
              </w:rPr>
              <w:t>futures</w:t>
            </w:r>
            <w:r>
              <w:rPr>
                <w:rFonts w:ascii="Arial"/>
                <w:i/>
                <w:spacing w:val="-2"/>
                <w:sz w:val="14"/>
              </w:rPr>
              <w:t> </w:t>
            </w:r>
            <w:r>
              <w:rPr>
                <w:rFonts w:ascii="Arial"/>
                <w:i/>
                <w:sz w:val="14"/>
              </w:rPr>
              <w:t>contracts</w:t>
            </w:r>
            <w:r>
              <w:rPr>
                <w:rFonts w:ascii="Arial"/>
                <w:i/>
                <w:spacing w:val="-3"/>
                <w:sz w:val="14"/>
              </w:rPr>
              <w:t> </w:t>
            </w:r>
            <w:r>
              <w:rPr>
                <w:rFonts w:ascii="Arial"/>
                <w:i/>
                <w:sz w:val="14"/>
              </w:rPr>
              <w:t>and</w:t>
            </w:r>
            <w:r>
              <w:rPr>
                <w:rFonts w:ascii="Arial"/>
                <w:i/>
                <w:spacing w:val="-2"/>
                <w:sz w:val="14"/>
              </w:rPr>
              <w:t> </w:t>
            </w:r>
            <w:r>
              <w:rPr>
                <w:rFonts w:ascii="Arial"/>
                <w:i/>
                <w:sz w:val="14"/>
              </w:rPr>
              <w:t>TBA</w:t>
            </w:r>
            <w:r>
              <w:rPr>
                <w:rFonts w:ascii="Arial"/>
                <w:i/>
                <w:spacing w:val="-3"/>
                <w:sz w:val="14"/>
              </w:rPr>
              <w:t> </w:t>
            </w:r>
            <w:r>
              <w:rPr>
                <w:rFonts w:ascii="Arial"/>
                <w:i/>
                <w:spacing w:val="-2"/>
                <w:sz w:val="14"/>
              </w:rPr>
              <w:t>securities.</w:t>
            </w:r>
          </w:p>
        </w:tc>
        <w:tc>
          <w:tcPr>
            <w:tcW w:w="1395" w:type="dxa"/>
          </w:tcPr>
          <w:p>
            <w:pPr>
              <w:pStyle w:val="TableParagraph"/>
              <w:rPr>
                <w:rFonts w:ascii="Times New Roman"/>
                <w:sz w:val="12"/>
              </w:rPr>
            </w:pPr>
          </w:p>
        </w:tc>
      </w:tr>
      <w:tr>
        <w:trPr>
          <w:trHeight w:val="195" w:hRule="atLeast"/>
        </w:trPr>
        <w:tc>
          <w:tcPr>
            <w:tcW w:w="7920" w:type="dxa"/>
          </w:tcPr>
          <w:p>
            <w:pPr>
              <w:pStyle w:val="TableParagraph"/>
              <w:spacing w:before="7"/>
              <w:ind w:left="52"/>
              <w:rPr>
                <w:rFonts w:ascii="Arial"/>
                <w:i/>
                <w:sz w:val="14"/>
              </w:rPr>
            </w:pPr>
            <w:r>
              <w:rPr>
                <w:rFonts w:ascii="Arial"/>
                <w:i/>
                <w:sz w:val="14"/>
              </w:rPr>
              <w:t>d.</w:t>
            </w:r>
            <w:r>
              <w:rPr>
                <w:rFonts w:ascii="Arial"/>
                <w:i/>
                <w:spacing w:val="-4"/>
                <w:sz w:val="14"/>
              </w:rPr>
              <w:t> </w:t>
            </w:r>
            <w:r>
              <w:rPr>
                <w:rFonts w:ascii="Arial"/>
                <w:i/>
                <w:sz w:val="14"/>
              </w:rPr>
              <w:t>Excludes</w:t>
            </w:r>
            <w:r>
              <w:rPr>
                <w:rFonts w:ascii="Arial"/>
                <w:i/>
                <w:spacing w:val="-3"/>
                <w:sz w:val="14"/>
              </w:rPr>
              <w:t> </w:t>
            </w:r>
            <w:r>
              <w:rPr>
                <w:rFonts w:ascii="Arial"/>
                <w:i/>
                <w:sz w:val="14"/>
              </w:rPr>
              <w:t>$164</w:t>
            </w:r>
            <w:r>
              <w:rPr>
                <w:rFonts w:ascii="Arial"/>
                <w:i/>
                <w:spacing w:val="-4"/>
                <w:sz w:val="14"/>
              </w:rPr>
              <w:t> </w:t>
            </w:r>
            <w:r>
              <w:rPr>
                <w:rFonts w:ascii="Arial"/>
                <w:i/>
                <w:sz w:val="14"/>
              </w:rPr>
              <w:t>million</w:t>
            </w:r>
            <w:r>
              <w:rPr>
                <w:rFonts w:ascii="Arial"/>
                <w:i/>
                <w:spacing w:val="-3"/>
                <w:sz w:val="14"/>
              </w:rPr>
              <w:t> </w:t>
            </w:r>
            <w:r>
              <w:rPr>
                <w:rFonts w:ascii="Arial"/>
                <w:i/>
                <w:sz w:val="14"/>
              </w:rPr>
              <w:t>relating</w:t>
            </w:r>
            <w:r>
              <w:rPr>
                <w:rFonts w:ascii="Arial"/>
                <w:i/>
                <w:spacing w:val="-3"/>
                <w:sz w:val="14"/>
              </w:rPr>
              <w:t> </w:t>
            </w:r>
            <w:r>
              <w:rPr>
                <w:rFonts w:ascii="Arial"/>
                <w:i/>
                <w:sz w:val="14"/>
              </w:rPr>
              <w:t>to</w:t>
            </w:r>
            <w:r>
              <w:rPr>
                <w:rFonts w:ascii="Arial"/>
                <w:i/>
                <w:spacing w:val="-4"/>
                <w:sz w:val="14"/>
              </w:rPr>
              <w:t> </w:t>
            </w:r>
            <w:r>
              <w:rPr>
                <w:rFonts w:ascii="Arial"/>
                <w:i/>
                <w:sz w:val="14"/>
              </w:rPr>
              <w:t>payable</w:t>
            </w:r>
            <w:r>
              <w:rPr>
                <w:rFonts w:ascii="Arial"/>
                <w:i/>
                <w:spacing w:val="-3"/>
                <w:sz w:val="14"/>
              </w:rPr>
              <w:t> </w:t>
            </w:r>
            <w:r>
              <w:rPr>
                <w:rFonts w:ascii="Arial"/>
                <w:i/>
                <w:sz w:val="14"/>
              </w:rPr>
              <w:t>for</w:t>
            </w:r>
            <w:r>
              <w:rPr>
                <w:rFonts w:ascii="Arial"/>
                <w:i/>
                <w:spacing w:val="-3"/>
                <w:sz w:val="14"/>
              </w:rPr>
              <w:t> </w:t>
            </w:r>
            <w:r>
              <w:rPr>
                <w:rFonts w:ascii="Arial"/>
                <w:i/>
                <w:sz w:val="14"/>
              </w:rPr>
              <w:t>cash</w:t>
            </w:r>
            <w:r>
              <w:rPr>
                <w:rFonts w:ascii="Arial"/>
                <w:i/>
                <w:spacing w:val="-3"/>
                <w:sz w:val="14"/>
              </w:rPr>
              <w:t> </w:t>
            </w:r>
            <w:r>
              <w:rPr>
                <w:rFonts w:ascii="Arial"/>
                <w:i/>
                <w:sz w:val="14"/>
              </w:rPr>
              <w:t>collateral</w:t>
            </w:r>
            <w:r>
              <w:rPr>
                <w:rFonts w:ascii="Arial"/>
                <w:i/>
                <w:spacing w:val="-3"/>
                <w:sz w:val="14"/>
              </w:rPr>
              <w:t> </w:t>
            </w:r>
            <w:r>
              <w:rPr>
                <w:rFonts w:ascii="Arial"/>
                <w:i/>
                <w:spacing w:val="-2"/>
                <w:sz w:val="14"/>
              </w:rPr>
              <w:t>received.</w:t>
            </w:r>
          </w:p>
        </w:tc>
        <w:tc>
          <w:tcPr>
            <w:tcW w:w="1395" w:type="dxa"/>
          </w:tcPr>
          <w:p>
            <w:pPr>
              <w:pStyle w:val="TableParagraph"/>
              <w:rPr>
                <w:rFonts w:ascii="Times New Roman"/>
                <w:sz w:val="12"/>
              </w:rPr>
            </w:pPr>
          </w:p>
        </w:tc>
      </w:tr>
      <w:tr>
        <w:trPr>
          <w:trHeight w:val="195" w:hRule="atLeast"/>
        </w:trPr>
        <w:tc>
          <w:tcPr>
            <w:tcW w:w="7920" w:type="dxa"/>
          </w:tcPr>
          <w:p>
            <w:pPr>
              <w:pStyle w:val="TableParagraph"/>
              <w:spacing w:before="7"/>
              <w:ind w:left="52"/>
              <w:rPr>
                <w:rFonts w:ascii="Arial"/>
                <w:i/>
                <w:sz w:val="14"/>
              </w:rPr>
            </w:pPr>
            <w:r>
              <w:rPr>
                <w:rFonts w:ascii="Arial"/>
                <w:i/>
                <w:sz w:val="14"/>
              </w:rPr>
              <w:t>e.</w:t>
            </w:r>
            <w:r>
              <w:rPr>
                <w:rFonts w:ascii="Arial"/>
                <w:i/>
                <w:spacing w:val="-4"/>
                <w:sz w:val="14"/>
              </w:rPr>
              <w:t> </w:t>
            </w:r>
            <w:r>
              <w:rPr>
                <w:rFonts w:ascii="Arial"/>
                <w:i/>
                <w:sz w:val="14"/>
              </w:rPr>
              <w:t>Includes</w:t>
            </w:r>
            <w:r>
              <w:rPr>
                <w:rFonts w:ascii="Arial"/>
                <w:i/>
                <w:spacing w:val="-3"/>
                <w:sz w:val="14"/>
              </w:rPr>
              <w:t> </w:t>
            </w:r>
            <w:r>
              <w:rPr>
                <w:rFonts w:ascii="Arial"/>
                <w:i/>
                <w:sz w:val="14"/>
              </w:rPr>
              <w:t>$2</w:t>
            </w:r>
            <w:r>
              <w:rPr>
                <w:rFonts w:ascii="Arial"/>
                <w:i/>
                <w:spacing w:val="-3"/>
                <w:sz w:val="14"/>
              </w:rPr>
              <w:t> </w:t>
            </w:r>
            <w:r>
              <w:rPr>
                <w:rFonts w:ascii="Arial"/>
                <w:i/>
                <w:sz w:val="14"/>
              </w:rPr>
              <w:t>million</w:t>
            </w:r>
            <w:r>
              <w:rPr>
                <w:rFonts w:ascii="Arial"/>
                <w:i/>
                <w:spacing w:val="-3"/>
                <w:sz w:val="14"/>
              </w:rPr>
              <w:t> </w:t>
            </w:r>
            <w:r>
              <w:rPr>
                <w:rFonts w:ascii="Arial"/>
                <w:i/>
                <w:spacing w:val="-4"/>
                <w:sz w:val="14"/>
              </w:rPr>
              <w:t>CVA.</w:t>
            </w:r>
          </w:p>
        </w:tc>
        <w:tc>
          <w:tcPr>
            <w:tcW w:w="1395" w:type="dxa"/>
          </w:tcPr>
          <w:p>
            <w:pPr>
              <w:pStyle w:val="TableParagraph"/>
              <w:rPr>
                <w:rFonts w:ascii="Times New Roman"/>
                <w:sz w:val="12"/>
              </w:rPr>
            </w:pPr>
          </w:p>
        </w:tc>
      </w:tr>
      <w:tr>
        <w:trPr>
          <w:trHeight w:val="175" w:hRule="atLeast"/>
        </w:trPr>
        <w:tc>
          <w:tcPr>
            <w:tcW w:w="7920" w:type="dxa"/>
          </w:tcPr>
          <w:p>
            <w:pPr>
              <w:pStyle w:val="TableParagraph"/>
              <w:spacing w:line="148" w:lineRule="exact" w:before="7"/>
              <w:ind w:left="52"/>
              <w:rPr>
                <w:rFonts w:ascii="Arial"/>
                <w:i/>
                <w:sz w:val="14"/>
              </w:rPr>
            </w:pPr>
            <w:r>
              <w:rPr>
                <w:rFonts w:ascii="Arial"/>
                <w:i/>
                <w:sz w:val="14"/>
              </w:rPr>
              <w:t>f.</w:t>
            </w:r>
            <w:r>
              <w:rPr>
                <w:rFonts w:ascii="Arial"/>
                <w:i/>
                <w:spacing w:val="-4"/>
                <w:sz w:val="14"/>
              </w:rPr>
              <w:t> </w:t>
            </w:r>
            <w:r>
              <w:rPr>
                <w:rFonts w:ascii="Arial"/>
                <w:i/>
                <w:sz w:val="14"/>
              </w:rPr>
              <w:t>Includes</w:t>
            </w:r>
            <w:r>
              <w:rPr>
                <w:rFonts w:ascii="Arial"/>
                <w:i/>
                <w:spacing w:val="-3"/>
                <w:sz w:val="14"/>
              </w:rPr>
              <w:t> </w:t>
            </w:r>
            <w:r>
              <w:rPr>
                <w:rFonts w:ascii="Arial"/>
                <w:i/>
                <w:sz w:val="14"/>
              </w:rPr>
              <w:t>$571</w:t>
            </w:r>
            <w:r>
              <w:rPr>
                <w:rFonts w:ascii="Arial"/>
                <w:i/>
                <w:spacing w:val="-4"/>
                <w:sz w:val="14"/>
              </w:rPr>
              <w:t> </w:t>
            </w:r>
            <w:r>
              <w:rPr>
                <w:rFonts w:ascii="Arial"/>
                <w:i/>
                <w:sz w:val="14"/>
              </w:rPr>
              <w:t>million</w:t>
            </w:r>
            <w:r>
              <w:rPr>
                <w:rFonts w:ascii="Arial"/>
                <w:i/>
                <w:spacing w:val="-3"/>
                <w:sz w:val="14"/>
              </w:rPr>
              <w:t> </w:t>
            </w:r>
            <w:r>
              <w:rPr>
                <w:rFonts w:ascii="Arial"/>
                <w:i/>
                <w:spacing w:val="-4"/>
                <w:sz w:val="14"/>
              </w:rPr>
              <w:t>DVA.</w:t>
            </w:r>
          </w:p>
        </w:tc>
        <w:tc>
          <w:tcPr>
            <w:tcW w:w="1395" w:type="dxa"/>
          </w:tcPr>
          <w:p>
            <w:pPr>
              <w:pStyle w:val="TableParagraph"/>
              <w:rPr>
                <w:rFonts w:ascii="Times New Roman"/>
                <w:sz w:val="10"/>
              </w:rPr>
            </w:pPr>
          </w:p>
        </w:tc>
      </w:tr>
    </w:tbl>
    <w:p>
      <w:pPr>
        <w:pStyle w:val="BodyText"/>
        <w:spacing w:before="16"/>
        <w:rPr>
          <w:rFonts w:ascii="Arial MT"/>
          <w:sz w:val="14"/>
        </w:rPr>
      </w:pPr>
    </w:p>
    <w:p>
      <w:pPr>
        <w:pStyle w:val="BodyText"/>
        <w:spacing w:line="249" w:lineRule="auto"/>
        <w:ind w:left="720" w:right="718"/>
        <w:jc w:val="both"/>
      </w:pPr>
      <w:r>
        <w:rPr/>
        <w:t>IBRD’s Level 3 borrowings primarily relate to structured bonds. The fair value of these bonds is estimated using discounted cash flow valuation models that incorporate model parameters, observable market inputs, and unobservable</w:t>
      </w:r>
      <w:r>
        <w:rPr>
          <w:spacing w:val="-2"/>
        </w:rPr>
        <w:t> </w:t>
      </w:r>
      <w:r>
        <w:rPr/>
        <w:t>inputs.</w:t>
      </w:r>
      <w:r>
        <w:rPr>
          <w:spacing w:val="-2"/>
        </w:rPr>
        <w:t> </w:t>
      </w:r>
      <w:r>
        <w:rPr/>
        <w:t>The</w:t>
      </w:r>
      <w:r>
        <w:rPr>
          <w:spacing w:val="-2"/>
        </w:rPr>
        <w:t> </w:t>
      </w:r>
      <w:r>
        <w:rPr/>
        <w:t>significant</w:t>
      </w:r>
      <w:r>
        <w:rPr>
          <w:spacing w:val="-2"/>
        </w:rPr>
        <w:t> </w:t>
      </w:r>
      <w:r>
        <w:rPr/>
        <w:t>unobservable</w:t>
      </w:r>
      <w:r>
        <w:rPr>
          <w:spacing w:val="-2"/>
        </w:rPr>
        <w:t> </w:t>
      </w:r>
      <w:r>
        <w:rPr/>
        <w:t>inputs</w:t>
      </w:r>
      <w:r>
        <w:rPr>
          <w:spacing w:val="-2"/>
        </w:rPr>
        <w:t> </w:t>
      </w:r>
      <w:r>
        <w:rPr/>
        <w:t>used</w:t>
      </w:r>
      <w:r>
        <w:rPr>
          <w:spacing w:val="-2"/>
        </w:rPr>
        <w:t> </w:t>
      </w:r>
      <w:r>
        <w:rPr/>
        <w:t>in</w:t>
      </w:r>
      <w:r>
        <w:rPr>
          <w:spacing w:val="-2"/>
        </w:rPr>
        <w:t> </w:t>
      </w:r>
      <w:r>
        <w:rPr/>
        <w:t>the</w:t>
      </w:r>
      <w:r>
        <w:rPr>
          <w:spacing w:val="-2"/>
        </w:rPr>
        <w:t> </w:t>
      </w:r>
      <w:r>
        <w:rPr/>
        <w:t>fair</w:t>
      </w:r>
      <w:r>
        <w:rPr>
          <w:spacing w:val="-2"/>
        </w:rPr>
        <w:t> </w:t>
      </w:r>
      <w:r>
        <w:rPr/>
        <w:t>value</w:t>
      </w:r>
      <w:r>
        <w:rPr>
          <w:spacing w:val="-2"/>
        </w:rPr>
        <w:t> </w:t>
      </w:r>
      <w:r>
        <w:rPr/>
        <w:t>measurement</w:t>
      </w:r>
      <w:r>
        <w:rPr>
          <w:spacing w:val="-2"/>
        </w:rPr>
        <w:t> </w:t>
      </w:r>
      <w:r>
        <w:rPr/>
        <w:t>of</w:t>
      </w:r>
      <w:r>
        <w:rPr>
          <w:spacing w:val="-2"/>
        </w:rPr>
        <w:t> </w:t>
      </w:r>
      <w:r>
        <w:rPr/>
        <w:t>structured</w:t>
      </w:r>
      <w:r>
        <w:rPr>
          <w:spacing w:val="-2"/>
        </w:rPr>
        <w:t> </w:t>
      </w:r>
      <w:r>
        <w:rPr/>
        <w:t>bonds</w:t>
      </w:r>
      <w:r>
        <w:rPr>
          <w:spacing w:val="-2"/>
        </w:rPr>
        <w:t> </w:t>
      </w:r>
      <w:r>
        <w:rPr/>
        <w:t>and swaps are correlations and long-dated market interest rate volatilities. Generally, the movements in correlations are considered to be independent of the movements in long-dated interest rate volatilities.</w:t>
      </w:r>
    </w:p>
    <w:p>
      <w:pPr>
        <w:pStyle w:val="BodyText"/>
        <w:spacing w:line="249" w:lineRule="auto" w:before="124"/>
        <w:ind w:left="720" w:right="719"/>
        <w:jc w:val="both"/>
      </w:pPr>
      <w:r>
        <w:rPr/>
        <w:t>Correlation is the statistical measurement of the relationship between two variables. For contracts where the holder benefits from the convergence of the underlying index prices (e.g., interest rates and foreign exchange rates), an increase in correlation generally results in an increase in the fair value of the instrument. The magnitude and direction of the fair value adjustment will depend on whether the holder is short or long the option.</w:t>
      </w:r>
    </w:p>
    <w:p>
      <w:pPr>
        <w:pStyle w:val="BodyText"/>
        <w:spacing w:line="249" w:lineRule="auto" w:before="123"/>
        <w:ind w:left="720" w:right="717"/>
        <w:jc w:val="both"/>
      </w:pPr>
      <w:r>
        <w:rPr/>
        <w:t>Interest rate volatility is the extent to which the level of interest rates changes over time. For purchased options, an increase in volatility will generally result in an increase in the fair value. In general, the volatility used to price the option depends on the maturity of the underlying instrument and the option strike price. In the fiscal years ended June 30, 2023, and June 30, 2022, the interest rate volatilities for certain currencies were extrapolated for certain tenors and, thus, are considered an unobservable input.</w:t>
      </w:r>
    </w:p>
    <w:p>
      <w:pPr>
        <w:pStyle w:val="BodyText"/>
        <w:spacing w:after="0" w:line="249" w:lineRule="auto"/>
        <w:jc w:val="both"/>
        <w:sectPr>
          <w:type w:val="continuous"/>
          <w:pgSz w:w="12240" w:h="15840"/>
          <w:pgMar w:header="0" w:footer="528" w:top="1820" w:bottom="280" w:left="720" w:right="720"/>
        </w:sectPr>
      </w:pPr>
    </w:p>
    <w:p>
      <w:pPr>
        <w:pStyle w:val="BodyText"/>
        <w:spacing w:line="232" w:lineRule="auto" w:before="77"/>
        <w:ind w:left="720" w:right="719"/>
        <w:jc w:val="both"/>
      </w:pPr>
      <w:r>
        <w:rPr/>
        <w:t>IBRD</w:t>
      </w:r>
      <w:r>
        <w:rPr>
          <w:spacing w:val="-1"/>
        </w:rPr>
        <w:t> </w:t>
      </w:r>
      <w:r>
        <w:rPr/>
        <w:t>entered</w:t>
      </w:r>
      <w:r>
        <w:rPr>
          <w:spacing w:val="-1"/>
        </w:rPr>
        <w:t> </w:t>
      </w:r>
      <w:r>
        <w:rPr/>
        <w:t>into</w:t>
      </w:r>
      <w:r>
        <w:rPr>
          <w:spacing w:val="-1"/>
        </w:rPr>
        <w:t> </w:t>
      </w:r>
      <w:r>
        <w:rPr/>
        <w:t>transactions</w:t>
      </w:r>
      <w:r>
        <w:rPr>
          <w:spacing w:val="-1"/>
        </w:rPr>
        <w:t> </w:t>
      </w:r>
      <w:r>
        <w:rPr/>
        <w:t>which</w:t>
      </w:r>
      <w:r>
        <w:rPr>
          <w:spacing w:val="-1"/>
        </w:rPr>
        <w:t> </w:t>
      </w:r>
      <w:r>
        <w:rPr/>
        <w:t>have</w:t>
      </w:r>
      <w:r>
        <w:rPr>
          <w:spacing w:val="-1"/>
        </w:rPr>
        <w:t> </w:t>
      </w:r>
      <w:r>
        <w:rPr/>
        <w:t>an</w:t>
      </w:r>
      <w:r>
        <w:rPr>
          <w:spacing w:val="-1"/>
        </w:rPr>
        <w:t> </w:t>
      </w:r>
      <w:r>
        <w:rPr/>
        <w:t>embedded</w:t>
      </w:r>
      <w:r>
        <w:rPr>
          <w:spacing w:val="-1"/>
        </w:rPr>
        <w:t> </w:t>
      </w:r>
      <w:r>
        <w:rPr/>
        <w:t>option</w:t>
      </w:r>
      <w:r>
        <w:rPr>
          <w:spacing w:val="-1"/>
        </w:rPr>
        <w:t> </w:t>
      </w:r>
      <w:r>
        <w:rPr/>
        <w:t>associated</w:t>
      </w:r>
      <w:r>
        <w:rPr>
          <w:spacing w:val="-1"/>
        </w:rPr>
        <w:t> </w:t>
      </w:r>
      <w:r>
        <w:rPr/>
        <w:t>with</w:t>
      </w:r>
      <w:r>
        <w:rPr>
          <w:spacing w:val="-1"/>
        </w:rPr>
        <w:t> </w:t>
      </w:r>
      <w:r>
        <w:rPr/>
        <w:t>an</w:t>
      </w:r>
      <w:r>
        <w:rPr>
          <w:spacing w:val="-1"/>
        </w:rPr>
        <w:t> </w:t>
      </w:r>
      <w:r>
        <w:rPr/>
        <w:t>equity</w:t>
      </w:r>
      <w:r>
        <w:rPr>
          <w:spacing w:val="-1"/>
        </w:rPr>
        <w:t> </w:t>
      </w:r>
      <w:r>
        <w:rPr/>
        <w:t>index.</w:t>
      </w:r>
      <w:r>
        <w:rPr>
          <w:spacing w:val="-1"/>
        </w:rPr>
        <w:t> </w:t>
      </w:r>
      <w:r>
        <w:rPr/>
        <w:t>Valuation</w:t>
      </w:r>
      <w:r>
        <w:rPr>
          <w:spacing w:val="-1"/>
        </w:rPr>
        <w:t> </w:t>
      </w:r>
      <w:r>
        <w:rPr/>
        <w:t>inputs</w:t>
      </w:r>
      <w:r>
        <w:rPr>
          <w:spacing w:val="-1"/>
        </w:rPr>
        <w:t> </w:t>
      </w:r>
      <w:r>
        <w:rPr/>
        <w:t>of such</w:t>
      </w:r>
      <w:r>
        <w:rPr>
          <w:spacing w:val="-2"/>
        </w:rPr>
        <w:t> </w:t>
      </w:r>
      <w:r>
        <w:rPr/>
        <w:t>transactions</w:t>
      </w:r>
      <w:r>
        <w:rPr>
          <w:spacing w:val="-2"/>
        </w:rPr>
        <w:t> </w:t>
      </w:r>
      <w:r>
        <w:rPr/>
        <w:t>include,</w:t>
      </w:r>
      <w:r>
        <w:rPr>
          <w:spacing w:val="-2"/>
        </w:rPr>
        <w:t> </w:t>
      </w:r>
      <w:r>
        <w:rPr/>
        <w:t>among</w:t>
      </w:r>
      <w:r>
        <w:rPr>
          <w:spacing w:val="-2"/>
        </w:rPr>
        <w:t> </w:t>
      </w:r>
      <w:r>
        <w:rPr/>
        <w:t>other</w:t>
      </w:r>
      <w:r>
        <w:rPr>
          <w:spacing w:val="-2"/>
        </w:rPr>
        <w:t> </w:t>
      </w:r>
      <w:r>
        <w:rPr/>
        <w:t>valuation</w:t>
      </w:r>
      <w:r>
        <w:rPr>
          <w:spacing w:val="-2"/>
        </w:rPr>
        <w:t> </w:t>
      </w:r>
      <w:r>
        <w:rPr/>
        <w:t>inputs,</w:t>
      </w:r>
      <w:r>
        <w:rPr>
          <w:spacing w:val="-2"/>
        </w:rPr>
        <w:t> </w:t>
      </w:r>
      <w:r>
        <w:rPr/>
        <w:t>volatilities</w:t>
      </w:r>
      <w:r>
        <w:rPr>
          <w:spacing w:val="-2"/>
        </w:rPr>
        <w:t> </w:t>
      </w:r>
      <w:r>
        <w:rPr/>
        <w:t>of</w:t>
      </w:r>
      <w:r>
        <w:rPr>
          <w:spacing w:val="-2"/>
        </w:rPr>
        <w:t> </w:t>
      </w:r>
      <w:r>
        <w:rPr/>
        <w:t>the</w:t>
      </w:r>
      <w:r>
        <w:rPr>
          <w:spacing w:val="-2"/>
        </w:rPr>
        <w:t> </w:t>
      </w:r>
      <w:r>
        <w:rPr/>
        <w:t>equity</w:t>
      </w:r>
      <w:r>
        <w:rPr>
          <w:spacing w:val="-2"/>
        </w:rPr>
        <w:t> </w:t>
      </w:r>
      <w:r>
        <w:rPr/>
        <w:t>indices,</w:t>
      </w:r>
      <w:r>
        <w:rPr>
          <w:spacing w:val="-2"/>
        </w:rPr>
        <w:t> </w:t>
      </w:r>
      <w:r>
        <w:rPr/>
        <w:t>that</w:t>
      </w:r>
      <w:r>
        <w:rPr>
          <w:spacing w:val="-2"/>
        </w:rPr>
        <w:t> </w:t>
      </w:r>
      <w:r>
        <w:rPr/>
        <w:t>are</w:t>
      </w:r>
      <w:r>
        <w:rPr>
          <w:spacing w:val="-2"/>
        </w:rPr>
        <w:t> </w:t>
      </w:r>
      <w:r>
        <w:rPr/>
        <w:t>the</w:t>
      </w:r>
      <w:r>
        <w:rPr>
          <w:spacing w:val="-2"/>
        </w:rPr>
        <w:t> </w:t>
      </w:r>
      <w:r>
        <w:rPr/>
        <w:t>extent</w:t>
      </w:r>
      <w:r>
        <w:rPr>
          <w:spacing w:val="-2"/>
        </w:rPr>
        <w:t> </w:t>
      </w:r>
      <w:r>
        <w:rPr/>
        <w:t>to</w:t>
      </w:r>
      <w:r>
        <w:rPr>
          <w:spacing w:val="-2"/>
        </w:rPr>
        <w:t> </w:t>
      </w:r>
      <w:r>
        <w:rPr/>
        <w:t>which the level of equity index changes over time. These index volatility levels are consistent with the respective index construction methodologies and historical movements. Similar to the impact of the volatility of the other asset classes described above, an increase in the equity index volatility will result in an increase in the value of the purchase option and vice versa.</w:t>
      </w:r>
    </w:p>
    <w:p>
      <w:pPr>
        <w:pStyle w:val="BodyText"/>
        <w:spacing w:line="249" w:lineRule="auto" w:before="224"/>
        <w:ind w:left="720" w:right="718"/>
        <w:jc w:val="both"/>
      </w:pPr>
      <w:r>
        <w:rPr/>
        <w:t>In certain instances, particularly for instruments with coupon or repayment terms linked to catastrophic events, management relies on instrument valuations supplied by external pricing vendors.</w:t>
      </w:r>
    </w:p>
    <w:p>
      <w:pPr>
        <w:pStyle w:val="BodyText"/>
        <w:spacing w:line="249" w:lineRule="auto" w:before="122"/>
        <w:ind w:left="720" w:right="718"/>
        <w:jc w:val="both"/>
      </w:pPr>
      <w:r>
        <w:rPr/>
        <w:t>The following table provides a summary of the valuation technique applied in determining fair values of these Level 3 instruments and quantitative information regarding the significant unobservable inputs used. Level 3 instruments represent 2% of IBRD’s borrowings.</w:t>
      </w:r>
    </w:p>
    <w:p>
      <w:pPr>
        <w:pStyle w:val="Heading8"/>
        <w:spacing w:line="249" w:lineRule="auto" w:before="119"/>
        <w:ind w:right="719"/>
        <w:jc w:val="both"/>
      </w:pPr>
      <w:r>
        <w:rPr/>
        <w:t>Table L3: Level 3 Borrowings and derivatives valuation technique and quantitative information regarding</w:t>
      </w:r>
      <w:r>
        <w:rPr>
          <w:spacing w:val="40"/>
        </w:rPr>
        <w:t> </w:t>
      </w:r>
      <w:r>
        <w:rPr/>
        <w:t>the significant unobservable inputs:</w:t>
      </w:r>
    </w:p>
    <w:p>
      <w:pPr>
        <w:spacing w:before="80" w:after="29"/>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0"/>
        <w:gridCol w:w="1280"/>
        <w:gridCol w:w="1042"/>
        <w:gridCol w:w="1302"/>
        <w:gridCol w:w="1629"/>
        <w:gridCol w:w="1620"/>
      </w:tblGrid>
      <w:tr>
        <w:trPr>
          <w:trHeight w:val="420" w:hRule="atLeast"/>
        </w:trPr>
        <w:tc>
          <w:tcPr>
            <w:tcW w:w="2490" w:type="dxa"/>
            <w:tcBorders>
              <w:top w:val="single" w:sz="8" w:space="0" w:color="000000"/>
            </w:tcBorders>
          </w:tcPr>
          <w:p>
            <w:pPr>
              <w:pStyle w:val="TableParagraph"/>
              <w:spacing w:line="190" w:lineRule="atLeast" w:before="20"/>
              <w:ind w:left="1350" w:right="123" w:firstLine="138"/>
              <w:rPr>
                <w:rFonts w:ascii="Arial"/>
                <w:i/>
                <w:sz w:val="16"/>
              </w:rPr>
            </w:pPr>
            <w:r>
              <w:rPr>
                <w:rFonts w:ascii="Arial"/>
                <w:i/>
                <w:sz w:val="16"/>
              </w:rPr>
              <w:t>Fair Value as</w:t>
            </w:r>
            <w:r>
              <w:rPr>
                <w:rFonts w:ascii="Arial"/>
                <w:i/>
                <w:spacing w:val="-12"/>
                <w:sz w:val="16"/>
              </w:rPr>
              <w:t> </w:t>
            </w:r>
            <w:r>
              <w:rPr>
                <w:rFonts w:ascii="Arial"/>
                <w:i/>
                <w:sz w:val="16"/>
              </w:rPr>
              <w:t>of</w:t>
            </w:r>
            <w:r>
              <w:rPr>
                <w:rFonts w:ascii="Arial"/>
                <w:i/>
                <w:spacing w:val="-11"/>
                <w:sz w:val="16"/>
              </w:rPr>
              <w:t> </w:t>
            </w:r>
            <w:r>
              <w:rPr>
                <w:rFonts w:ascii="Arial"/>
                <w:i/>
                <w:sz w:val="16"/>
              </w:rPr>
              <w:t>June</w:t>
            </w:r>
            <w:r>
              <w:rPr>
                <w:rFonts w:ascii="Arial"/>
                <w:i/>
                <w:spacing w:val="-11"/>
                <w:sz w:val="16"/>
              </w:rPr>
              <w:t> </w:t>
            </w:r>
            <w:r>
              <w:rPr>
                <w:rFonts w:ascii="Arial"/>
                <w:i/>
                <w:sz w:val="16"/>
              </w:rPr>
              <w:t>30,</w:t>
            </w:r>
          </w:p>
        </w:tc>
        <w:tc>
          <w:tcPr>
            <w:tcW w:w="1280" w:type="dxa"/>
            <w:tcBorders>
              <w:top w:val="single" w:sz="8" w:space="0" w:color="000000"/>
            </w:tcBorders>
          </w:tcPr>
          <w:p>
            <w:pPr>
              <w:pStyle w:val="TableParagraph"/>
              <w:spacing w:line="190" w:lineRule="atLeast" w:before="20"/>
              <w:ind w:left="135" w:right="128" w:firstLine="138"/>
              <w:rPr>
                <w:rFonts w:ascii="Arial"/>
                <w:i/>
                <w:sz w:val="16"/>
              </w:rPr>
            </w:pPr>
            <w:r>
              <w:rPr>
                <w:rFonts w:ascii="Arial"/>
                <w:i/>
                <w:sz w:val="16"/>
              </w:rPr>
              <w:t>Fair Value as</w:t>
            </w:r>
            <w:r>
              <w:rPr>
                <w:rFonts w:ascii="Arial"/>
                <w:i/>
                <w:spacing w:val="-12"/>
                <w:sz w:val="16"/>
              </w:rPr>
              <w:t> </w:t>
            </w:r>
            <w:r>
              <w:rPr>
                <w:rFonts w:ascii="Arial"/>
                <w:i/>
                <w:sz w:val="16"/>
              </w:rPr>
              <w:t>of</w:t>
            </w:r>
            <w:r>
              <w:rPr>
                <w:rFonts w:ascii="Arial"/>
                <w:i/>
                <w:spacing w:val="-11"/>
                <w:sz w:val="16"/>
              </w:rPr>
              <w:t> </w:t>
            </w:r>
            <w:r>
              <w:rPr>
                <w:rFonts w:ascii="Arial"/>
                <w:i/>
                <w:sz w:val="16"/>
              </w:rPr>
              <w:t>June</w:t>
            </w:r>
            <w:r>
              <w:rPr>
                <w:rFonts w:ascii="Arial"/>
                <w:i/>
                <w:spacing w:val="-11"/>
                <w:sz w:val="16"/>
              </w:rPr>
              <w:t> </w:t>
            </w:r>
            <w:r>
              <w:rPr>
                <w:rFonts w:ascii="Arial"/>
                <w:i/>
                <w:sz w:val="16"/>
              </w:rPr>
              <w:t>30,</w:t>
            </w:r>
          </w:p>
        </w:tc>
        <w:tc>
          <w:tcPr>
            <w:tcW w:w="1042" w:type="dxa"/>
            <w:tcBorders>
              <w:top w:val="single" w:sz="8" w:space="0" w:color="000000"/>
            </w:tcBorders>
          </w:tcPr>
          <w:p>
            <w:pPr>
              <w:pStyle w:val="TableParagraph"/>
              <w:spacing w:before="45"/>
              <w:rPr>
                <w:rFonts w:ascii="Arial"/>
                <w:i/>
                <w:sz w:val="16"/>
              </w:rPr>
            </w:pPr>
          </w:p>
          <w:p>
            <w:pPr>
              <w:pStyle w:val="TableParagraph"/>
              <w:spacing w:line="171" w:lineRule="exact"/>
              <w:ind w:right="14"/>
              <w:jc w:val="center"/>
              <w:rPr>
                <w:rFonts w:ascii="Arial"/>
                <w:i/>
                <w:sz w:val="16"/>
              </w:rPr>
            </w:pPr>
            <w:r>
              <w:rPr>
                <w:rFonts w:ascii="Arial"/>
                <w:i/>
                <w:spacing w:val="-2"/>
                <w:sz w:val="16"/>
              </w:rPr>
              <w:t>Valuation</w:t>
            </w:r>
          </w:p>
        </w:tc>
        <w:tc>
          <w:tcPr>
            <w:tcW w:w="1302" w:type="dxa"/>
            <w:tcBorders>
              <w:top w:val="single" w:sz="8" w:space="0" w:color="000000"/>
            </w:tcBorders>
          </w:tcPr>
          <w:p>
            <w:pPr>
              <w:pStyle w:val="TableParagraph"/>
              <w:spacing w:before="45"/>
              <w:rPr>
                <w:rFonts w:ascii="Arial"/>
                <w:i/>
                <w:sz w:val="16"/>
              </w:rPr>
            </w:pPr>
          </w:p>
          <w:p>
            <w:pPr>
              <w:pStyle w:val="TableParagraph"/>
              <w:spacing w:line="171" w:lineRule="exact"/>
              <w:ind w:left="1" w:right="4"/>
              <w:jc w:val="center"/>
              <w:rPr>
                <w:rFonts w:ascii="Arial"/>
                <w:i/>
                <w:sz w:val="16"/>
              </w:rPr>
            </w:pPr>
            <w:r>
              <w:rPr>
                <w:rFonts w:ascii="Arial"/>
                <w:i/>
                <w:spacing w:val="-2"/>
                <w:sz w:val="16"/>
              </w:rPr>
              <w:t>Unobservable</w:t>
            </w:r>
          </w:p>
        </w:tc>
        <w:tc>
          <w:tcPr>
            <w:tcW w:w="1629" w:type="dxa"/>
            <w:tcBorders>
              <w:top w:val="single" w:sz="8" w:space="0" w:color="000000"/>
            </w:tcBorders>
          </w:tcPr>
          <w:p>
            <w:pPr>
              <w:pStyle w:val="TableParagraph"/>
              <w:spacing w:before="45"/>
              <w:rPr>
                <w:rFonts w:ascii="Arial"/>
                <w:i/>
                <w:sz w:val="16"/>
              </w:rPr>
            </w:pPr>
          </w:p>
          <w:p>
            <w:pPr>
              <w:pStyle w:val="TableParagraph"/>
              <w:spacing w:line="171" w:lineRule="exact"/>
              <w:ind w:left="18"/>
              <w:jc w:val="center"/>
              <w:rPr>
                <w:rFonts w:ascii="Arial"/>
                <w:i/>
                <w:sz w:val="16"/>
              </w:rPr>
            </w:pPr>
            <w:r>
              <w:rPr>
                <w:rFonts w:ascii="Arial"/>
                <w:i/>
                <w:sz w:val="16"/>
              </w:rPr>
              <w:t>Range</w:t>
            </w:r>
            <w:r>
              <w:rPr>
                <w:rFonts w:ascii="Arial"/>
                <w:i/>
                <w:spacing w:val="-7"/>
                <w:sz w:val="16"/>
              </w:rPr>
              <w:t> </w:t>
            </w:r>
            <w:r>
              <w:rPr>
                <w:rFonts w:ascii="Arial"/>
                <w:i/>
                <w:spacing w:val="-2"/>
                <w:sz w:val="16"/>
              </w:rPr>
              <w:t>(average),</w:t>
            </w:r>
          </w:p>
        </w:tc>
        <w:tc>
          <w:tcPr>
            <w:tcW w:w="1620" w:type="dxa"/>
            <w:tcBorders>
              <w:top w:val="single" w:sz="8" w:space="0" w:color="000000"/>
            </w:tcBorders>
          </w:tcPr>
          <w:p>
            <w:pPr>
              <w:pStyle w:val="TableParagraph"/>
              <w:spacing w:before="45"/>
              <w:rPr>
                <w:rFonts w:ascii="Arial"/>
                <w:i/>
                <w:sz w:val="16"/>
              </w:rPr>
            </w:pPr>
          </w:p>
          <w:p>
            <w:pPr>
              <w:pStyle w:val="TableParagraph"/>
              <w:spacing w:line="171" w:lineRule="exact"/>
              <w:ind w:left="39"/>
              <w:jc w:val="center"/>
              <w:rPr>
                <w:rFonts w:ascii="Arial"/>
                <w:i/>
                <w:sz w:val="16"/>
              </w:rPr>
            </w:pPr>
            <w:r>
              <w:rPr>
                <w:rFonts w:ascii="Arial"/>
                <w:i/>
                <w:sz w:val="16"/>
              </w:rPr>
              <w:t>Range</w:t>
            </w:r>
            <w:r>
              <w:rPr>
                <w:rFonts w:ascii="Arial"/>
                <w:i/>
                <w:spacing w:val="-7"/>
                <w:sz w:val="16"/>
              </w:rPr>
              <w:t> </w:t>
            </w:r>
            <w:r>
              <w:rPr>
                <w:rFonts w:ascii="Arial"/>
                <w:i/>
                <w:spacing w:val="-2"/>
                <w:sz w:val="16"/>
              </w:rPr>
              <w:t>(average),</w:t>
            </w:r>
          </w:p>
        </w:tc>
      </w:tr>
      <w:tr>
        <w:trPr>
          <w:trHeight w:val="204" w:hRule="atLeast"/>
        </w:trPr>
        <w:tc>
          <w:tcPr>
            <w:tcW w:w="2490" w:type="dxa"/>
            <w:tcBorders>
              <w:bottom w:val="single" w:sz="8" w:space="0" w:color="000000"/>
            </w:tcBorders>
          </w:tcPr>
          <w:p>
            <w:pPr>
              <w:pStyle w:val="TableParagraph"/>
              <w:tabs>
                <w:tab w:pos="2030" w:val="right" w:leader="none"/>
              </w:tabs>
              <w:spacing w:line="183" w:lineRule="exact" w:before="1"/>
              <w:ind w:left="299"/>
              <w:rPr>
                <w:rFonts w:ascii="Arial"/>
                <w:i/>
                <w:sz w:val="16"/>
              </w:rPr>
            </w:pPr>
            <w:r>
              <w:rPr>
                <w:rFonts w:ascii="Arial"/>
                <w:i/>
                <w:spacing w:val="-2"/>
                <w:sz w:val="16"/>
              </w:rPr>
              <w:t>Portfolio</w:t>
            </w:r>
            <w:r>
              <w:rPr>
                <w:rFonts w:ascii="Times New Roman"/>
                <w:sz w:val="16"/>
              </w:rPr>
              <w:tab/>
            </w:r>
            <w:r>
              <w:rPr>
                <w:rFonts w:ascii="Arial"/>
                <w:i/>
                <w:spacing w:val="-4"/>
                <w:sz w:val="16"/>
              </w:rPr>
              <w:t>2023</w:t>
            </w:r>
          </w:p>
        </w:tc>
        <w:tc>
          <w:tcPr>
            <w:tcW w:w="1280" w:type="dxa"/>
            <w:tcBorders>
              <w:bottom w:val="single" w:sz="8" w:space="0" w:color="000000"/>
            </w:tcBorders>
          </w:tcPr>
          <w:p>
            <w:pPr>
              <w:pStyle w:val="TableParagraph"/>
              <w:spacing w:line="183" w:lineRule="exact" w:before="1"/>
              <w:ind w:right="3"/>
              <w:jc w:val="center"/>
              <w:rPr>
                <w:rFonts w:ascii="Arial"/>
                <w:i/>
                <w:sz w:val="16"/>
              </w:rPr>
            </w:pPr>
            <w:r>
              <w:rPr>
                <w:rFonts w:ascii="Arial"/>
                <w:i/>
                <w:spacing w:val="-4"/>
                <w:sz w:val="16"/>
              </w:rPr>
              <w:t>2022</w:t>
            </w:r>
          </w:p>
        </w:tc>
        <w:tc>
          <w:tcPr>
            <w:tcW w:w="1042" w:type="dxa"/>
            <w:tcBorders>
              <w:bottom w:val="single" w:sz="8" w:space="0" w:color="000000"/>
            </w:tcBorders>
          </w:tcPr>
          <w:p>
            <w:pPr>
              <w:pStyle w:val="TableParagraph"/>
              <w:spacing w:line="183" w:lineRule="exact" w:before="1"/>
              <w:ind w:right="14"/>
              <w:jc w:val="center"/>
              <w:rPr>
                <w:rFonts w:ascii="Arial"/>
                <w:i/>
                <w:sz w:val="16"/>
              </w:rPr>
            </w:pPr>
            <w:r>
              <w:rPr>
                <w:rFonts w:ascii="Arial"/>
                <w:i/>
                <w:spacing w:val="-2"/>
                <w:sz w:val="16"/>
              </w:rPr>
              <w:t>Technique</w:t>
            </w:r>
          </w:p>
        </w:tc>
        <w:tc>
          <w:tcPr>
            <w:tcW w:w="1302" w:type="dxa"/>
            <w:tcBorders>
              <w:bottom w:val="single" w:sz="8" w:space="0" w:color="000000"/>
            </w:tcBorders>
          </w:tcPr>
          <w:p>
            <w:pPr>
              <w:pStyle w:val="TableParagraph"/>
              <w:spacing w:line="183" w:lineRule="exact" w:before="1"/>
              <w:ind w:right="4"/>
              <w:jc w:val="center"/>
              <w:rPr>
                <w:rFonts w:ascii="Arial"/>
                <w:i/>
                <w:sz w:val="16"/>
              </w:rPr>
            </w:pPr>
            <w:r>
              <w:rPr>
                <w:rFonts w:ascii="Arial"/>
                <w:i/>
                <w:spacing w:val="-2"/>
                <w:sz w:val="16"/>
              </w:rPr>
              <w:t>input</w:t>
            </w:r>
          </w:p>
        </w:tc>
        <w:tc>
          <w:tcPr>
            <w:tcW w:w="1629" w:type="dxa"/>
            <w:tcBorders>
              <w:bottom w:val="single" w:sz="8" w:space="0" w:color="000000"/>
            </w:tcBorders>
          </w:tcPr>
          <w:p>
            <w:pPr>
              <w:pStyle w:val="TableParagraph"/>
              <w:spacing w:line="183" w:lineRule="exact" w:before="1"/>
              <w:ind w:left="18"/>
              <w:jc w:val="center"/>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1620" w:type="dxa"/>
            <w:tcBorders>
              <w:bottom w:val="single" w:sz="8" w:space="0" w:color="000000"/>
            </w:tcBorders>
          </w:tcPr>
          <w:p>
            <w:pPr>
              <w:pStyle w:val="TableParagraph"/>
              <w:spacing w:line="183" w:lineRule="exact" w:before="1"/>
              <w:ind w:left="39"/>
              <w:jc w:val="center"/>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r>
      <w:tr>
        <w:trPr>
          <w:trHeight w:val="196" w:hRule="atLeast"/>
        </w:trPr>
        <w:tc>
          <w:tcPr>
            <w:tcW w:w="2490" w:type="dxa"/>
            <w:tcBorders>
              <w:top w:val="single" w:sz="8" w:space="0" w:color="000000"/>
            </w:tcBorders>
          </w:tcPr>
          <w:p>
            <w:pPr>
              <w:pStyle w:val="TableParagraph"/>
              <w:rPr>
                <w:rFonts w:ascii="Times New Roman"/>
                <w:sz w:val="12"/>
              </w:rPr>
            </w:pPr>
          </w:p>
        </w:tc>
        <w:tc>
          <w:tcPr>
            <w:tcW w:w="1280" w:type="dxa"/>
            <w:tcBorders>
              <w:top w:val="single" w:sz="8" w:space="0" w:color="000000"/>
            </w:tcBorders>
          </w:tcPr>
          <w:p>
            <w:pPr>
              <w:pStyle w:val="TableParagraph"/>
              <w:rPr>
                <w:rFonts w:ascii="Times New Roman"/>
                <w:sz w:val="12"/>
              </w:rPr>
            </w:pPr>
          </w:p>
        </w:tc>
        <w:tc>
          <w:tcPr>
            <w:tcW w:w="1042" w:type="dxa"/>
            <w:tcBorders>
              <w:top w:val="single" w:sz="8" w:space="0" w:color="000000"/>
            </w:tcBorders>
          </w:tcPr>
          <w:p>
            <w:pPr>
              <w:pStyle w:val="TableParagraph"/>
              <w:rPr>
                <w:rFonts w:ascii="Times New Roman"/>
                <w:sz w:val="12"/>
              </w:rPr>
            </w:pPr>
          </w:p>
        </w:tc>
        <w:tc>
          <w:tcPr>
            <w:tcW w:w="1302" w:type="dxa"/>
            <w:tcBorders>
              <w:top w:val="single" w:sz="8" w:space="0" w:color="000000"/>
            </w:tcBorders>
          </w:tcPr>
          <w:p>
            <w:pPr>
              <w:pStyle w:val="TableParagraph"/>
              <w:spacing w:line="164" w:lineRule="exact" w:before="12"/>
              <w:ind w:left="1" w:right="4"/>
              <w:jc w:val="center"/>
              <w:rPr>
                <w:sz w:val="16"/>
              </w:rPr>
            </w:pPr>
            <w:r>
              <w:rPr>
                <w:spacing w:val="-2"/>
                <w:sz w:val="16"/>
              </w:rPr>
              <w:t>Correlations</w:t>
            </w:r>
          </w:p>
        </w:tc>
        <w:tc>
          <w:tcPr>
            <w:tcW w:w="1629" w:type="dxa"/>
            <w:tcBorders>
              <w:top w:val="single" w:sz="8" w:space="0" w:color="000000"/>
            </w:tcBorders>
          </w:tcPr>
          <w:p>
            <w:pPr>
              <w:pStyle w:val="TableParagraph"/>
              <w:spacing w:line="164" w:lineRule="exact" w:before="12"/>
              <w:ind w:left="18"/>
              <w:jc w:val="center"/>
              <w:rPr>
                <w:sz w:val="16"/>
              </w:rPr>
            </w:pPr>
            <w:r>
              <w:rPr>
                <w:sz w:val="16"/>
              </w:rPr>
              <w:t>-16%</w:t>
            </w:r>
            <w:r>
              <w:rPr>
                <w:spacing w:val="-2"/>
                <w:sz w:val="16"/>
              </w:rPr>
              <w:t> </w:t>
            </w:r>
            <w:r>
              <w:rPr>
                <w:sz w:val="16"/>
              </w:rPr>
              <w:t>to</w:t>
            </w:r>
            <w:r>
              <w:rPr>
                <w:spacing w:val="-1"/>
                <w:sz w:val="16"/>
              </w:rPr>
              <w:t> </w:t>
            </w:r>
            <w:r>
              <w:rPr>
                <w:spacing w:val="-2"/>
                <w:sz w:val="16"/>
              </w:rPr>
              <w:t>99%(11%)</w:t>
            </w:r>
          </w:p>
        </w:tc>
        <w:tc>
          <w:tcPr>
            <w:tcW w:w="1620" w:type="dxa"/>
            <w:tcBorders>
              <w:top w:val="single" w:sz="8" w:space="0" w:color="000000"/>
            </w:tcBorders>
          </w:tcPr>
          <w:p>
            <w:pPr>
              <w:pStyle w:val="TableParagraph"/>
              <w:spacing w:line="164" w:lineRule="exact" w:before="12"/>
              <w:ind w:left="39"/>
              <w:jc w:val="center"/>
              <w:rPr>
                <w:sz w:val="16"/>
              </w:rPr>
            </w:pPr>
            <w:r>
              <w:rPr>
                <w:sz w:val="16"/>
              </w:rPr>
              <w:t>-18%</w:t>
            </w:r>
            <w:r>
              <w:rPr>
                <w:spacing w:val="-2"/>
                <w:sz w:val="16"/>
              </w:rPr>
              <w:t> </w:t>
            </w:r>
            <w:r>
              <w:rPr>
                <w:sz w:val="16"/>
              </w:rPr>
              <w:t>to</w:t>
            </w:r>
            <w:r>
              <w:rPr>
                <w:spacing w:val="-2"/>
                <w:sz w:val="16"/>
              </w:rPr>
              <w:t> </w:t>
            </w:r>
            <w:r>
              <w:rPr>
                <w:sz w:val="16"/>
              </w:rPr>
              <w:t>99%</w:t>
            </w:r>
            <w:r>
              <w:rPr>
                <w:spacing w:val="-1"/>
                <w:sz w:val="16"/>
              </w:rPr>
              <w:t> </w:t>
            </w:r>
            <w:r>
              <w:rPr>
                <w:spacing w:val="-2"/>
                <w:sz w:val="16"/>
              </w:rPr>
              <w:t>(12%)</w:t>
            </w:r>
          </w:p>
        </w:tc>
      </w:tr>
    </w:tbl>
    <w:p>
      <w:pPr>
        <w:spacing w:line="20" w:lineRule="exact"/>
        <w:ind w:left="5480" w:right="0" w:firstLine="0"/>
        <w:rPr>
          <w:rFonts w:ascii="Arial"/>
          <w:sz w:val="2"/>
        </w:rPr>
      </w:pPr>
      <w:r>
        <w:rPr>
          <w:rFonts w:ascii="Arial"/>
          <w:sz w:val="2"/>
        </w:rPr>
        <mc:AlternateContent>
          <mc:Choice Requires="wps">
            <w:drawing>
              <wp:inline distT="0" distB="0" distL="0" distR="0">
                <wp:extent cx="2914650" cy="12700"/>
                <wp:effectExtent l="9525" t="0" r="0" b="6350"/>
                <wp:docPr id="1008" name="Group 1008"/>
                <wp:cNvGraphicFramePr>
                  <a:graphicFrameLocks/>
                </wp:cNvGraphicFramePr>
                <a:graphic>
                  <a:graphicData uri="http://schemas.microsoft.com/office/word/2010/wordprocessingGroup">
                    <wpg:wgp>
                      <wpg:cNvPr id="1008" name="Group 1008"/>
                      <wpg:cNvGrpSpPr/>
                      <wpg:grpSpPr>
                        <a:xfrm>
                          <a:off x="0" y="0"/>
                          <a:ext cx="2914650" cy="12700"/>
                          <a:chExt cx="2914650" cy="12700"/>
                        </a:xfrm>
                      </wpg:grpSpPr>
                      <wps:wsp>
                        <wps:cNvPr id="1009" name="Graphic 1009"/>
                        <wps:cNvSpPr/>
                        <wps:spPr>
                          <a:xfrm>
                            <a:off x="0" y="6350"/>
                            <a:ext cx="2914650" cy="1270"/>
                          </a:xfrm>
                          <a:custGeom>
                            <a:avLst/>
                            <a:gdLst/>
                            <a:ahLst/>
                            <a:cxnLst/>
                            <a:rect l="l" t="t" r="r" b="b"/>
                            <a:pathLst>
                              <a:path w="2914650" h="0">
                                <a:moveTo>
                                  <a:pt x="0" y="0"/>
                                </a:moveTo>
                                <a:lnTo>
                                  <a:pt x="838200" y="0"/>
                                </a:lnTo>
                              </a:path>
                              <a:path w="2914650" h="0">
                                <a:moveTo>
                                  <a:pt x="876300" y="0"/>
                                </a:moveTo>
                                <a:lnTo>
                                  <a:pt x="1876425" y="0"/>
                                </a:lnTo>
                              </a:path>
                              <a:path w="2914650" h="0">
                                <a:moveTo>
                                  <a:pt x="1914525" y="0"/>
                                </a:moveTo>
                                <a:lnTo>
                                  <a:pt x="29146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9.5pt;height:1pt;mso-position-horizontal-relative:char;mso-position-vertical-relative:line" id="docshapegroup836" coordorigin="0,0" coordsize="4590,20">
                <v:shape style="position:absolute;left:0;top:10;width:4590;height:2" id="docshape837" coordorigin="0,10" coordsize="4590,0" path="m0,10l1320,10m1380,10l2955,10m3015,10l4590,10e" filled="false" stroked="true" strokeweight="1pt" strokecolor="#000000">
                  <v:path arrowok="t"/>
                  <v:stroke dashstyle="solid"/>
                </v:shape>
              </v:group>
            </w:pict>
          </mc:Fallback>
        </mc:AlternateContent>
      </w:r>
      <w:r>
        <w:rPr>
          <w:rFonts w:ascii="Arial"/>
          <w:sz w:val="2"/>
        </w:rPr>
      </w:r>
    </w:p>
    <w:p>
      <w:pPr>
        <w:spacing w:after="0" w:line="20" w:lineRule="exact"/>
        <w:rPr>
          <w:rFonts w:ascii="Arial"/>
          <w:sz w:val="2"/>
        </w:rPr>
        <w:sectPr>
          <w:headerReference w:type="default" r:id="rId216"/>
          <w:pgSz w:w="12240" w:h="15840"/>
          <w:pgMar w:header="0" w:footer="0" w:top="960" w:bottom="720" w:left="720" w:right="720"/>
        </w:sectPr>
      </w:pPr>
    </w:p>
    <w:p>
      <w:pPr>
        <w:pStyle w:val="BodyText"/>
        <w:spacing w:before="38"/>
        <w:rPr>
          <w:rFonts w:ascii="Arial"/>
          <w:i/>
          <w:sz w:val="16"/>
        </w:rPr>
      </w:pPr>
    </w:p>
    <w:p>
      <w:pPr>
        <w:tabs>
          <w:tab w:pos="2346" w:val="left" w:leader="none"/>
          <w:tab w:pos="3621" w:val="left" w:leader="none"/>
        </w:tabs>
        <w:spacing w:before="0"/>
        <w:ind w:left="772" w:right="0" w:firstLine="0"/>
        <w:jc w:val="left"/>
        <w:rPr>
          <w:rFonts w:ascii="Arial MT"/>
          <w:sz w:val="16"/>
        </w:rPr>
      </w:pPr>
      <w:r>
        <w:rPr>
          <w:rFonts w:ascii="Arial MT"/>
          <w:spacing w:val="-2"/>
          <w:sz w:val="16"/>
        </w:rPr>
        <w:t>Borrowings</w:t>
      </w:r>
      <w:r>
        <w:rPr>
          <w:rFonts w:ascii="Arial MT"/>
          <w:sz w:val="16"/>
        </w:rPr>
        <w:tab/>
      </w:r>
      <w:r>
        <w:rPr>
          <w:rFonts w:ascii="Arial MT"/>
          <w:spacing w:val="-2"/>
          <w:sz w:val="16"/>
        </w:rPr>
        <w:t>$3,607</w:t>
      </w:r>
      <w:r>
        <w:rPr>
          <w:rFonts w:ascii="Arial MT"/>
          <w:sz w:val="16"/>
        </w:rPr>
        <w:tab/>
      </w:r>
      <w:r>
        <w:rPr>
          <w:rFonts w:ascii="Arial MT"/>
          <w:spacing w:val="-2"/>
          <w:sz w:val="16"/>
        </w:rPr>
        <w:t>$3,932</w:t>
      </w:r>
    </w:p>
    <w:p>
      <w:pPr>
        <w:spacing w:line="249" w:lineRule="auto" w:before="126"/>
        <w:ind w:left="474" w:right="0" w:hanging="23"/>
        <w:jc w:val="left"/>
        <w:rPr>
          <w:rFonts w:ascii="Arial MT"/>
          <w:sz w:val="16"/>
        </w:rPr>
      </w:pPr>
      <w:r>
        <w:rPr/>
        <w:br w:type="column"/>
      </w:r>
      <w:r>
        <w:rPr>
          <w:rFonts w:ascii="Arial MT"/>
          <w:spacing w:val="-2"/>
          <w:sz w:val="16"/>
        </w:rPr>
        <w:t>Discounted </w:t>
      </w:r>
      <w:r>
        <w:rPr>
          <w:rFonts w:ascii="Arial MT"/>
          <w:sz w:val="16"/>
        </w:rPr>
        <w:t>Cash</w:t>
      </w:r>
      <w:r>
        <w:rPr>
          <w:rFonts w:ascii="Arial MT"/>
          <w:spacing w:val="-3"/>
          <w:sz w:val="16"/>
        </w:rPr>
        <w:t> </w:t>
      </w:r>
      <w:r>
        <w:rPr>
          <w:rFonts w:ascii="Arial MT"/>
          <w:spacing w:val="-4"/>
          <w:sz w:val="16"/>
        </w:rPr>
        <w:t>Flow</w:t>
      </w:r>
    </w:p>
    <w:p>
      <w:pPr>
        <w:spacing w:line="249" w:lineRule="auto" w:before="29"/>
        <w:ind w:left="391" w:right="1" w:hanging="80"/>
        <w:jc w:val="left"/>
        <w:rPr>
          <w:rFonts w:ascii="Arial MT"/>
          <w:sz w:val="16"/>
        </w:rPr>
      </w:pPr>
      <w:r>
        <w:rPr/>
        <w:br w:type="column"/>
      </w:r>
      <w:r>
        <w:rPr>
          <w:rFonts w:ascii="Arial MT"/>
          <w:sz w:val="16"/>
        </w:rPr>
        <w:t>Interest</w:t>
      </w:r>
      <w:r>
        <w:rPr>
          <w:rFonts w:ascii="Arial MT"/>
          <w:spacing w:val="-12"/>
          <w:sz w:val="16"/>
        </w:rPr>
        <w:t> </w:t>
      </w:r>
      <w:r>
        <w:rPr>
          <w:rFonts w:ascii="Arial MT"/>
          <w:sz w:val="16"/>
        </w:rPr>
        <w:t>rate </w:t>
      </w:r>
      <w:r>
        <w:rPr>
          <w:rFonts w:ascii="Arial MT"/>
          <w:spacing w:val="-2"/>
          <w:sz w:val="16"/>
        </w:rPr>
        <w:t>volatilities</w:t>
      </w:r>
    </w:p>
    <w:p>
      <w:pPr>
        <w:spacing w:line="249" w:lineRule="auto" w:before="52"/>
        <w:ind w:left="391" w:right="-8" w:hanging="89"/>
        <w:jc w:val="left"/>
        <w:rPr>
          <w:rFonts w:ascii="Arial MT"/>
          <w:sz w:val="16"/>
        </w:rPr>
      </w:pPr>
      <w:r>
        <w:rPr>
          <w:rFonts w:ascii="Arial MT"/>
          <w:sz w:val="16"/>
        </w:rPr>
        <mc:AlternateContent>
          <mc:Choice Requires="wps">
            <w:drawing>
              <wp:anchor distT="0" distB="0" distL="0" distR="0" allowOverlap="1" layoutInCell="1" locked="0" behindDoc="0" simplePos="0" relativeHeight="15910912">
                <wp:simplePos x="0" y="0"/>
                <wp:positionH relativeFrom="page">
                  <wp:posOffset>3943350</wp:posOffset>
                </wp:positionH>
                <wp:positionV relativeFrom="paragraph">
                  <wp:posOffset>17978</wp:posOffset>
                </wp:positionV>
                <wp:extent cx="2914650" cy="127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2914650" cy="1270"/>
                        </a:xfrm>
                        <a:custGeom>
                          <a:avLst/>
                          <a:gdLst/>
                          <a:ahLst/>
                          <a:cxnLst/>
                          <a:rect l="l" t="t" r="r" b="b"/>
                          <a:pathLst>
                            <a:path w="2914650" h="0">
                              <a:moveTo>
                                <a:pt x="0" y="0"/>
                              </a:moveTo>
                              <a:lnTo>
                                <a:pt x="838200" y="0"/>
                              </a:lnTo>
                            </a:path>
                            <a:path w="2914650" h="0">
                              <a:moveTo>
                                <a:pt x="876300" y="0"/>
                              </a:moveTo>
                              <a:lnTo>
                                <a:pt x="29146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5pt;margin-top:1.415595pt;width:229.5pt;height:.1pt;mso-position-horizontal-relative:page;mso-position-vertical-relative:paragraph;z-index:15910912" id="docshape838" coordorigin="6210,28" coordsize="4590,0" path="m6210,28l7530,28m7590,28l10800,28e" filled="false" stroked="true" strokeweight="1pt" strokecolor="#000000">
                <v:path arrowok="t"/>
                <v:stroke dashstyle="solid"/>
                <w10:wrap type="none"/>
              </v:shape>
            </w:pict>
          </mc:Fallback>
        </mc:AlternateContent>
      </w:r>
      <w:r>
        <w:rPr>
          <w:rFonts w:ascii="Arial MT"/>
          <w:sz w:val="16"/>
        </w:rPr>
        <w:t>Equity</w:t>
      </w:r>
      <w:r>
        <w:rPr>
          <w:rFonts w:ascii="Arial MT"/>
          <w:spacing w:val="-12"/>
          <w:sz w:val="16"/>
        </w:rPr>
        <w:t> </w:t>
      </w:r>
      <w:r>
        <w:rPr>
          <w:rFonts w:ascii="Arial MT"/>
          <w:sz w:val="16"/>
        </w:rPr>
        <w:t>index </w:t>
      </w:r>
      <w:r>
        <w:rPr>
          <w:rFonts w:ascii="Arial MT"/>
          <w:spacing w:val="-2"/>
          <w:sz w:val="16"/>
        </w:rPr>
        <w:t>volatilities</w:t>
      </w:r>
    </w:p>
    <w:p>
      <w:pPr>
        <w:tabs>
          <w:tab w:pos="1970" w:val="left" w:leader="none"/>
        </w:tabs>
        <w:spacing w:before="125"/>
        <w:ind w:left="335" w:right="0" w:firstLine="0"/>
        <w:jc w:val="left"/>
        <w:rPr>
          <w:rFonts w:ascii="Arial MT"/>
          <w:sz w:val="16"/>
        </w:rPr>
      </w:pPr>
      <w:r>
        <w:rPr/>
        <w:br w:type="column"/>
      </w:r>
      <w:r>
        <w:rPr>
          <w:rFonts w:ascii="Arial MT"/>
          <w:sz w:val="16"/>
        </w:rPr>
        <w:t>63%</w:t>
      </w:r>
      <w:r>
        <w:rPr>
          <w:rFonts w:ascii="Arial MT"/>
          <w:spacing w:val="-2"/>
          <w:sz w:val="16"/>
        </w:rPr>
        <w:t> </w:t>
      </w:r>
      <w:r>
        <w:rPr>
          <w:rFonts w:ascii="Arial MT"/>
          <w:sz w:val="16"/>
        </w:rPr>
        <w:t>to</w:t>
      </w:r>
      <w:r>
        <w:rPr>
          <w:rFonts w:ascii="Arial MT"/>
          <w:spacing w:val="-2"/>
          <w:sz w:val="16"/>
        </w:rPr>
        <w:t> </w:t>
      </w:r>
      <w:r>
        <w:rPr>
          <w:rFonts w:ascii="Arial MT"/>
          <w:sz w:val="16"/>
        </w:rPr>
        <w:t>85%</w:t>
      </w:r>
      <w:r>
        <w:rPr>
          <w:rFonts w:ascii="Arial MT"/>
          <w:spacing w:val="-1"/>
          <w:sz w:val="16"/>
        </w:rPr>
        <w:t> </w:t>
      </w:r>
      <w:r>
        <w:rPr>
          <w:rFonts w:ascii="Arial MT"/>
          <w:spacing w:val="-2"/>
          <w:sz w:val="16"/>
        </w:rPr>
        <w:t>(78%)</w:t>
      </w:r>
      <w:r>
        <w:rPr>
          <w:rFonts w:ascii="Arial MT"/>
          <w:sz w:val="16"/>
        </w:rPr>
        <w:tab/>
        <w:t>61%</w:t>
      </w:r>
      <w:r>
        <w:rPr>
          <w:rFonts w:ascii="Arial MT"/>
          <w:spacing w:val="-2"/>
          <w:sz w:val="16"/>
        </w:rPr>
        <w:t> </w:t>
      </w:r>
      <w:r>
        <w:rPr>
          <w:rFonts w:ascii="Arial MT"/>
          <w:sz w:val="16"/>
        </w:rPr>
        <w:t>to</w:t>
      </w:r>
      <w:r>
        <w:rPr>
          <w:rFonts w:ascii="Arial MT"/>
          <w:spacing w:val="-2"/>
          <w:sz w:val="16"/>
        </w:rPr>
        <w:t> </w:t>
      </w:r>
      <w:r>
        <w:rPr>
          <w:rFonts w:ascii="Arial MT"/>
          <w:sz w:val="16"/>
        </w:rPr>
        <w:t>77%</w:t>
      </w:r>
      <w:r>
        <w:rPr>
          <w:rFonts w:ascii="Arial MT"/>
          <w:spacing w:val="-1"/>
          <w:sz w:val="16"/>
        </w:rPr>
        <w:t> </w:t>
      </w:r>
      <w:r>
        <w:rPr>
          <w:rFonts w:ascii="Arial MT"/>
          <w:spacing w:val="-2"/>
          <w:sz w:val="16"/>
        </w:rPr>
        <w:t>(68%)</w:t>
      </w:r>
    </w:p>
    <w:p>
      <w:pPr>
        <w:pStyle w:val="BodyText"/>
        <w:spacing w:before="67"/>
        <w:rPr>
          <w:rFonts w:ascii="Arial MT"/>
          <w:sz w:val="16"/>
        </w:rPr>
      </w:pPr>
    </w:p>
    <w:p>
      <w:pPr>
        <w:tabs>
          <w:tab w:pos="2015" w:val="left" w:leader="none"/>
        </w:tabs>
        <w:spacing w:before="0"/>
        <w:ind w:left="424" w:right="0" w:firstLine="0"/>
        <w:jc w:val="left"/>
        <w:rPr>
          <w:rFonts w:ascii="Arial MT"/>
          <w:sz w:val="16"/>
        </w:rPr>
      </w:pPr>
      <w:r>
        <w:rPr>
          <w:rFonts w:ascii="Arial MT"/>
          <w:sz w:val="16"/>
        </w:rPr>
        <w:t>5%</w:t>
      </w:r>
      <w:r>
        <w:rPr>
          <w:rFonts w:ascii="Arial MT"/>
          <w:spacing w:val="-3"/>
          <w:sz w:val="16"/>
        </w:rPr>
        <w:t> </w:t>
      </w:r>
      <w:r>
        <w:rPr>
          <w:rFonts w:ascii="Arial MT"/>
          <w:sz w:val="16"/>
        </w:rPr>
        <w:t>to</w:t>
      </w:r>
      <w:r>
        <w:rPr>
          <w:rFonts w:ascii="Arial MT"/>
          <w:spacing w:val="-2"/>
          <w:sz w:val="16"/>
        </w:rPr>
        <w:t> </w:t>
      </w:r>
      <w:r>
        <w:rPr>
          <w:rFonts w:ascii="Arial MT"/>
          <w:sz w:val="16"/>
        </w:rPr>
        <w:t>15%</w:t>
      </w:r>
      <w:r>
        <w:rPr>
          <w:rFonts w:ascii="Arial MT"/>
          <w:spacing w:val="-1"/>
          <w:sz w:val="16"/>
        </w:rPr>
        <w:t> </w:t>
      </w:r>
      <w:r>
        <w:rPr>
          <w:rFonts w:ascii="Arial MT"/>
          <w:spacing w:val="-4"/>
          <w:sz w:val="16"/>
        </w:rPr>
        <w:t>(9%)</w:t>
      </w:r>
      <w:r>
        <w:rPr>
          <w:rFonts w:ascii="Arial MT"/>
          <w:sz w:val="16"/>
        </w:rPr>
        <w:tab/>
        <w:t>5%</w:t>
      </w:r>
      <w:r>
        <w:rPr>
          <w:rFonts w:ascii="Arial MT"/>
          <w:spacing w:val="-1"/>
          <w:sz w:val="16"/>
        </w:rPr>
        <w:t> </w:t>
      </w:r>
      <w:r>
        <w:rPr>
          <w:rFonts w:ascii="Arial MT"/>
          <w:sz w:val="16"/>
        </w:rPr>
        <w:t>to</w:t>
      </w:r>
      <w:r>
        <w:rPr>
          <w:rFonts w:ascii="Arial MT"/>
          <w:spacing w:val="-2"/>
          <w:sz w:val="16"/>
        </w:rPr>
        <w:t> </w:t>
      </w:r>
      <w:r>
        <w:rPr>
          <w:rFonts w:ascii="Arial MT"/>
          <w:sz w:val="16"/>
        </w:rPr>
        <w:t>15%</w:t>
      </w:r>
      <w:r>
        <w:rPr>
          <w:rFonts w:ascii="Arial MT"/>
          <w:spacing w:val="-1"/>
          <w:sz w:val="16"/>
        </w:rPr>
        <w:t> </w:t>
      </w:r>
      <w:r>
        <w:rPr>
          <w:rFonts w:ascii="Arial MT"/>
          <w:spacing w:val="-2"/>
          <w:sz w:val="16"/>
        </w:rPr>
        <w:t>(10%)</w:t>
      </w:r>
    </w:p>
    <w:p>
      <w:pPr>
        <w:spacing w:after="0"/>
        <w:jc w:val="left"/>
        <w:rPr>
          <w:rFonts w:ascii="Arial MT"/>
          <w:sz w:val="16"/>
        </w:rPr>
        <w:sectPr>
          <w:type w:val="continuous"/>
          <w:pgSz w:w="12240" w:h="15840"/>
          <w:pgMar w:header="0" w:footer="0" w:top="1820" w:bottom="280" w:left="720" w:right="720"/>
          <w:cols w:num="4" w:equalWidth="0">
            <w:col w:w="4111" w:space="40"/>
            <w:col w:w="1252" w:space="39"/>
            <w:col w:w="1174" w:space="40"/>
            <w:col w:w="4144"/>
          </w:cols>
        </w:sectPr>
      </w:pPr>
    </w:p>
    <w:p>
      <w:pPr>
        <w:pStyle w:val="BodyText"/>
        <w:spacing w:before="5"/>
        <w:rPr>
          <w:rFonts w:ascii="Arial MT"/>
          <w:sz w:val="2"/>
        </w:rPr>
      </w:pPr>
    </w:p>
    <w:p>
      <w:pPr>
        <w:spacing w:line="20" w:lineRule="exact"/>
        <w:ind w:left="720" w:right="0" w:firstLine="0"/>
        <w:rPr>
          <w:rFonts w:ascii="Arial MT"/>
          <w:sz w:val="2"/>
        </w:rPr>
      </w:pPr>
      <w:r>
        <w:rPr>
          <w:rFonts w:ascii="Arial MT"/>
          <w:sz w:val="2"/>
        </w:rPr>
        <mc:AlternateContent>
          <mc:Choice Requires="wps">
            <w:drawing>
              <wp:inline distT="0" distB="0" distL="0" distR="0">
                <wp:extent cx="5943600" cy="12700"/>
                <wp:effectExtent l="9525" t="0" r="0" b="6350"/>
                <wp:docPr id="1011" name="Group 1011"/>
                <wp:cNvGraphicFramePr>
                  <a:graphicFrameLocks/>
                </wp:cNvGraphicFramePr>
                <a:graphic>
                  <a:graphicData uri="http://schemas.microsoft.com/office/word/2010/wordprocessingGroup">
                    <wpg:wgp>
                      <wpg:cNvPr id="1011" name="Group 1011"/>
                      <wpg:cNvGrpSpPr/>
                      <wpg:grpSpPr>
                        <a:xfrm>
                          <a:off x="0" y="0"/>
                          <a:ext cx="5943600" cy="12700"/>
                          <a:chExt cx="5943600" cy="12700"/>
                        </a:xfrm>
                      </wpg:grpSpPr>
                      <wps:wsp>
                        <wps:cNvPr id="1012" name="Graphic 1012"/>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839" coordorigin="0,0" coordsize="9360,20">
                <v:line style="position:absolute" from="0,10" to="9360,10" stroked="true" strokeweight="1pt" strokecolor="#000000">
                  <v:stroke dashstyle="solid"/>
                </v:line>
              </v:group>
            </w:pict>
          </mc:Fallback>
        </mc:AlternateContent>
      </w:r>
      <w:r>
        <w:rPr>
          <w:rFonts w:ascii="Arial MT"/>
          <w:sz w:val="2"/>
        </w:rPr>
      </w:r>
    </w:p>
    <w:p>
      <w:pPr>
        <w:tabs>
          <w:tab w:pos="6992" w:val="left" w:leader="none"/>
          <w:tab w:pos="8599" w:val="left" w:leader="none"/>
        </w:tabs>
        <w:spacing w:before="3"/>
        <w:ind w:left="5749"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911424">
                <wp:simplePos x="0" y="0"/>
                <wp:positionH relativeFrom="page">
                  <wp:posOffset>3981450</wp:posOffset>
                </wp:positionH>
                <wp:positionV relativeFrom="paragraph">
                  <wp:posOffset>140097</wp:posOffset>
                </wp:positionV>
                <wp:extent cx="2876550" cy="127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2876550" cy="1270"/>
                        </a:xfrm>
                        <a:custGeom>
                          <a:avLst/>
                          <a:gdLst/>
                          <a:ahLst/>
                          <a:cxnLst/>
                          <a:rect l="l" t="t" r="r" b="b"/>
                          <a:pathLst>
                            <a:path w="2876550" h="0">
                              <a:moveTo>
                                <a:pt x="0" y="0"/>
                              </a:moveTo>
                              <a:lnTo>
                                <a:pt x="800100" y="0"/>
                              </a:lnTo>
                            </a:path>
                            <a:path w="2876550" h="0">
                              <a:moveTo>
                                <a:pt x="838200" y="0"/>
                              </a:moveTo>
                              <a:lnTo>
                                <a:pt x="1838325" y="0"/>
                              </a:lnTo>
                            </a:path>
                            <a:path w="2876550" h="0">
                              <a:moveTo>
                                <a:pt x="1876425" y="0"/>
                              </a:moveTo>
                              <a:lnTo>
                                <a:pt x="28765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3.5pt;margin-top:11.031318pt;width:226.5pt;height:.1pt;mso-position-horizontal-relative:page;mso-position-vertical-relative:paragraph;z-index:15911424" id="docshape840" coordorigin="6270,221" coordsize="4530,0" path="m6270,221l7530,221m7590,221l9165,221m9225,221l10800,221e" filled="false" stroked="true" strokeweight="1pt" strokecolor="#000000">
                <v:path arrowok="t"/>
                <v:stroke dashstyle="solid"/>
                <w10:wrap type="none"/>
              </v:shape>
            </w:pict>
          </mc:Fallback>
        </mc:AlternateContent>
      </w:r>
      <w:r>
        <w:rPr>
          <w:rFonts w:ascii="Arial MT"/>
          <w:spacing w:val="-2"/>
          <w:sz w:val="16"/>
        </w:rPr>
        <w:t>Correlations</w:t>
      </w:r>
      <w:r>
        <w:rPr>
          <w:rFonts w:ascii="Arial MT"/>
          <w:sz w:val="16"/>
        </w:rPr>
        <w:tab/>
        <w:t>-16%</w:t>
      </w:r>
      <w:r>
        <w:rPr>
          <w:rFonts w:ascii="Arial MT"/>
          <w:spacing w:val="-2"/>
          <w:sz w:val="16"/>
        </w:rPr>
        <w:t> </w:t>
      </w:r>
      <w:r>
        <w:rPr>
          <w:rFonts w:ascii="Arial MT"/>
          <w:sz w:val="16"/>
        </w:rPr>
        <w:t>to</w:t>
      </w:r>
      <w:r>
        <w:rPr>
          <w:rFonts w:ascii="Arial MT"/>
          <w:spacing w:val="-1"/>
          <w:sz w:val="16"/>
        </w:rPr>
        <w:t> </w:t>
      </w:r>
      <w:r>
        <w:rPr>
          <w:rFonts w:ascii="Arial MT"/>
          <w:spacing w:val="-2"/>
          <w:sz w:val="16"/>
        </w:rPr>
        <w:t>99%(11%)</w:t>
      </w:r>
      <w:r>
        <w:rPr>
          <w:rFonts w:ascii="Arial MT"/>
          <w:sz w:val="16"/>
        </w:rPr>
        <w:tab/>
        <w:t>-18%</w:t>
      </w:r>
      <w:r>
        <w:rPr>
          <w:rFonts w:ascii="Arial MT"/>
          <w:spacing w:val="-2"/>
          <w:sz w:val="16"/>
        </w:rPr>
        <w:t> </w:t>
      </w:r>
      <w:r>
        <w:rPr>
          <w:rFonts w:ascii="Arial MT"/>
          <w:sz w:val="16"/>
        </w:rPr>
        <w:t>to</w:t>
      </w:r>
      <w:r>
        <w:rPr>
          <w:rFonts w:ascii="Arial MT"/>
          <w:spacing w:val="-2"/>
          <w:sz w:val="16"/>
        </w:rPr>
        <w:t> </w:t>
      </w:r>
      <w:r>
        <w:rPr>
          <w:rFonts w:ascii="Arial MT"/>
          <w:sz w:val="16"/>
        </w:rPr>
        <w:t>99%</w:t>
      </w:r>
      <w:r>
        <w:rPr>
          <w:rFonts w:ascii="Arial MT"/>
          <w:spacing w:val="-1"/>
          <w:sz w:val="16"/>
        </w:rPr>
        <w:t> </w:t>
      </w:r>
      <w:r>
        <w:rPr>
          <w:rFonts w:ascii="Arial MT"/>
          <w:spacing w:val="-2"/>
          <w:sz w:val="16"/>
        </w:rPr>
        <w:t>(12%)</w:t>
      </w:r>
    </w:p>
    <w:p>
      <w:pPr>
        <w:spacing w:after="0"/>
        <w:jc w:val="left"/>
        <w:rPr>
          <w:rFonts w:ascii="Arial MT"/>
          <w:sz w:val="16"/>
        </w:rPr>
        <w:sectPr>
          <w:type w:val="continuous"/>
          <w:pgSz w:w="12240" w:h="15840"/>
          <w:pgMar w:header="0" w:footer="0" w:top="1820" w:bottom="280" w:left="720" w:right="720"/>
        </w:sectPr>
      </w:pPr>
    </w:p>
    <w:p>
      <w:pPr>
        <w:spacing w:line="249" w:lineRule="auto" w:before="59"/>
        <w:ind w:left="772" w:right="0" w:firstLine="0"/>
        <w:jc w:val="left"/>
        <w:rPr>
          <w:rFonts w:ascii="Arial MT"/>
          <w:sz w:val="16"/>
        </w:rPr>
      </w:pPr>
      <w:r>
        <w:rPr>
          <w:rFonts w:ascii="Arial MT"/>
          <w:sz w:val="16"/>
        </w:rPr>
        <mc:AlternateContent>
          <mc:Choice Requires="wps">
            <w:drawing>
              <wp:anchor distT="0" distB="0" distL="0" distR="0" allowOverlap="1" layoutInCell="1" locked="0" behindDoc="0" simplePos="0" relativeHeight="15912448">
                <wp:simplePos x="0" y="0"/>
                <wp:positionH relativeFrom="page">
                  <wp:posOffset>2809875</wp:posOffset>
                </wp:positionH>
                <wp:positionV relativeFrom="paragraph">
                  <wp:posOffset>1551712</wp:posOffset>
                </wp:positionV>
                <wp:extent cx="4038600" cy="127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4038600" cy="1270"/>
                        </a:xfrm>
                        <a:custGeom>
                          <a:avLst/>
                          <a:gdLst/>
                          <a:ahLst/>
                          <a:cxnLst/>
                          <a:rect l="l" t="t" r="r" b="b"/>
                          <a:pathLst>
                            <a:path w="4038600" h="0">
                              <a:moveTo>
                                <a:pt x="0" y="0"/>
                              </a:moveTo>
                              <a:lnTo>
                                <a:pt x="2000250" y="0"/>
                              </a:lnTo>
                            </a:path>
                            <a:path w="4038600" h="0">
                              <a:moveTo>
                                <a:pt x="2038350" y="0"/>
                              </a:moveTo>
                              <a:lnTo>
                                <a:pt x="4038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1.25pt;margin-top:122.182098pt;width:318pt;height:.1pt;mso-position-horizontal-relative:page;mso-position-vertical-relative:paragraph;z-index:15912448" id="docshape841" coordorigin="4425,2444" coordsize="6360,0" path="m4425,2444l7575,2444m7635,2444l10785,2444e" filled="false" stroked="true" strokeweight="1pt" strokecolor="#000000">
                <v:path arrowok="t"/>
                <v:stroke dashstyle="solid"/>
                <w10:wrap type="none"/>
              </v:shape>
            </w:pict>
          </mc:Fallback>
        </mc:AlternateContent>
      </w:r>
      <w:r>
        <w:rPr>
          <w:rFonts w:ascii="Arial MT"/>
          <w:spacing w:val="-2"/>
          <w:sz w:val="16"/>
        </w:rPr>
        <w:t>Derivative assets/ </w:t>
      </w:r>
      <w:r>
        <w:rPr>
          <w:rFonts w:ascii="Arial MT"/>
          <w:sz w:val="16"/>
        </w:rPr>
        <w:t>(liabilities),</w:t>
      </w:r>
      <w:r>
        <w:rPr>
          <w:rFonts w:ascii="Arial MT"/>
          <w:spacing w:val="-12"/>
          <w:sz w:val="16"/>
        </w:rPr>
        <w:t> </w:t>
      </w:r>
      <w:r>
        <w:rPr>
          <w:rFonts w:ascii="Arial MT"/>
          <w:sz w:val="16"/>
        </w:rPr>
        <w:t>net</w:t>
      </w:r>
    </w:p>
    <w:p>
      <w:pPr>
        <w:pStyle w:val="BodyText"/>
        <w:spacing w:before="67"/>
        <w:rPr>
          <w:rFonts w:ascii="Arial MT"/>
          <w:sz w:val="16"/>
        </w:rPr>
      </w:pPr>
      <w:r>
        <w:rPr/>
        <w:br w:type="column"/>
      </w:r>
      <w:r>
        <w:rPr>
          <w:rFonts w:ascii="Arial MT"/>
          <w:sz w:val="16"/>
        </w:rPr>
      </w:r>
    </w:p>
    <w:p>
      <w:pPr>
        <w:tabs>
          <w:tab w:pos="1801" w:val="left" w:leader="none"/>
        </w:tabs>
        <w:spacing w:before="0"/>
        <w:ind w:left="526" w:right="0" w:firstLine="0"/>
        <w:jc w:val="left"/>
        <w:rPr>
          <w:rFonts w:ascii="Arial MT"/>
          <w:sz w:val="16"/>
        </w:rPr>
      </w:pPr>
      <w:r>
        <w:rPr>
          <w:rFonts w:ascii="Arial MT"/>
          <w:spacing w:val="-2"/>
          <w:sz w:val="16"/>
        </w:rPr>
        <w:t>$(121)</w:t>
      </w:r>
      <w:r>
        <w:rPr>
          <w:rFonts w:ascii="Arial MT"/>
          <w:sz w:val="16"/>
        </w:rPr>
        <w:tab/>
      </w:r>
      <w:r>
        <w:rPr>
          <w:rFonts w:ascii="Arial MT"/>
          <w:spacing w:val="-2"/>
          <w:sz w:val="16"/>
        </w:rPr>
        <w:t>$(544)</w:t>
      </w:r>
    </w:p>
    <w:p>
      <w:pPr>
        <w:spacing w:line="249" w:lineRule="auto" w:before="155"/>
        <w:ind w:left="488" w:right="0" w:hanging="23"/>
        <w:jc w:val="left"/>
        <w:rPr>
          <w:rFonts w:ascii="Arial MT"/>
          <w:sz w:val="16"/>
        </w:rPr>
      </w:pPr>
      <w:r>
        <w:rPr/>
        <w:br w:type="column"/>
      </w:r>
      <w:r>
        <w:rPr>
          <w:rFonts w:ascii="Arial MT"/>
          <w:spacing w:val="-2"/>
          <w:sz w:val="16"/>
        </w:rPr>
        <w:t>Discounted </w:t>
      </w:r>
      <w:r>
        <w:rPr>
          <w:rFonts w:ascii="Arial MT"/>
          <w:sz w:val="16"/>
        </w:rPr>
        <w:t>Cash</w:t>
      </w:r>
      <w:r>
        <w:rPr>
          <w:rFonts w:ascii="Arial MT"/>
          <w:spacing w:val="-3"/>
          <w:sz w:val="16"/>
        </w:rPr>
        <w:t> </w:t>
      </w:r>
      <w:r>
        <w:rPr>
          <w:rFonts w:ascii="Arial MT"/>
          <w:spacing w:val="-4"/>
          <w:sz w:val="16"/>
        </w:rPr>
        <w:t>Flow</w:t>
      </w:r>
    </w:p>
    <w:p>
      <w:pPr>
        <w:spacing w:line="249" w:lineRule="auto" w:before="57"/>
        <w:ind w:left="391" w:right="1" w:hanging="80"/>
        <w:jc w:val="left"/>
        <w:rPr>
          <w:rFonts w:ascii="Arial MT"/>
          <w:sz w:val="16"/>
        </w:rPr>
      </w:pPr>
      <w:r>
        <w:rPr/>
        <w:br w:type="column"/>
      </w:r>
      <w:r>
        <w:rPr>
          <w:rFonts w:ascii="Arial MT"/>
          <w:sz w:val="16"/>
        </w:rPr>
        <w:t>Interest</w:t>
      </w:r>
      <w:r>
        <w:rPr>
          <w:rFonts w:ascii="Arial MT"/>
          <w:spacing w:val="-12"/>
          <w:sz w:val="16"/>
        </w:rPr>
        <w:t> </w:t>
      </w:r>
      <w:r>
        <w:rPr>
          <w:rFonts w:ascii="Arial MT"/>
          <w:sz w:val="16"/>
        </w:rPr>
        <w:t>rate </w:t>
      </w:r>
      <w:r>
        <w:rPr>
          <w:rFonts w:ascii="Arial MT"/>
          <w:spacing w:val="-2"/>
          <w:sz w:val="16"/>
        </w:rPr>
        <w:t>volatilities</w:t>
      </w:r>
    </w:p>
    <w:p>
      <w:pPr>
        <w:spacing w:line="249" w:lineRule="auto" w:before="53"/>
        <w:ind w:left="391" w:right="-8" w:hanging="89"/>
        <w:jc w:val="left"/>
        <w:rPr>
          <w:rFonts w:ascii="Arial MT"/>
          <w:sz w:val="16"/>
        </w:rPr>
      </w:pPr>
      <w:r>
        <w:rPr>
          <w:rFonts w:ascii="Arial MT"/>
          <w:sz w:val="16"/>
        </w:rPr>
        <mc:AlternateContent>
          <mc:Choice Requires="wps">
            <w:drawing>
              <wp:anchor distT="0" distB="0" distL="0" distR="0" allowOverlap="1" layoutInCell="1" locked="0" behindDoc="0" simplePos="0" relativeHeight="15911936">
                <wp:simplePos x="0" y="0"/>
                <wp:positionH relativeFrom="page">
                  <wp:posOffset>3943350</wp:posOffset>
                </wp:positionH>
                <wp:positionV relativeFrom="paragraph">
                  <wp:posOffset>18386</wp:posOffset>
                </wp:positionV>
                <wp:extent cx="2914650" cy="1270"/>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2914650" cy="1270"/>
                        </a:xfrm>
                        <a:custGeom>
                          <a:avLst/>
                          <a:gdLst/>
                          <a:ahLst/>
                          <a:cxnLst/>
                          <a:rect l="l" t="t" r="r" b="b"/>
                          <a:pathLst>
                            <a:path w="2914650" h="0">
                              <a:moveTo>
                                <a:pt x="0" y="0"/>
                              </a:moveTo>
                              <a:lnTo>
                                <a:pt x="838200" y="0"/>
                              </a:lnTo>
                            </a:path>
                            <a:path w="2914650" h="0">
                              <a:moveTo>
                                <a:pt x="876300" y="0"/>
                              </a:moveTo>
                              <a:lnTo>
                                <a:pt x="1876425" y="0"/>
                              </a:lnTo>
                            </a:path>
                            <a:path w="2914650" h="0">
                              <a:moveTo>
                                <a:pt x="1914525" y="0"/>
                              </a:moveTo>
                              <a:lnTo>
                                <a:pt x="29146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5pt;margin-top:1.447724pt;width:229.5pt;height:.1pt;mso-position-horizontal-relative:page;mso-position-vertical-relative:paragraph;z-index:15911936" id="docshape842" coordorigin="6210,29" coordsize="4590,0" path="m6210,29l7530,29m7590,29l9165,29m9225,29l10800,29e" filled="false" stroked="true" strokeweight="1pt" strokecolor="#000000">
                <v:path arrowok="t"/>
                <v:stroke dashstyle="solid"/>
                <w10:wrap type="none"/>
              </v:shape>
            </w:pict>
          </mc:Fallback>
        </mc:AlternateContent>
      </w:r>
      <w:r>
        <w:rPr>
          <w:rFonts w:ascii="Arial MT"/>
          <w:sz w:val="16"/>
        </w:rPr>
        <w:t>Equity</w:t>
      </w:r>
      <w:r>
        <w:rPr>
          <w:rFonts w:ascii="Arial MT"/>
          <w:spacing w:val="-12"/>
          <w:sz w:val="16"/>
        </w:rPr>
        <w:t> </w:t>
      </w:r>
      <w:r>
        <w:rPr>
          <w:rFonts w:ascii="Arial MT"/>
          <w:sz w:val="16"/>
        </w:rPr>
        <w:t>index </w:t>
      </w:r>
      <w:r>
        <w:rPr>
          <w:rFonts w:ascii="Arial MT"/>
          <w:spacing w:val="-2"/>
          <w:sz w:val="16"/>
        </w:rPr>
        <w:t>volatilities</w:t>
      </w:r>
    </w:p>
    <w:p>
      <w:pPr>
        <w:tabs>
          <w:tab w:pos="1970" w:val="left" w:leader="none"/>
        </w:tabs>
        <w:spacing w:before="153"/>
        <w:ind w:left="335" w:right="0" w:firstLine="0"/>
        <w:jc w:val="left"/>
        <w:rPr>
          <w:rFonts w:ascii="Arial MT"/>
          <w:sz w:val="16"/>
        </w:rPr>
      </w:pPr>
      <w:r>
        <w:rPr/>
        <w:br w:type="column"/>
      </w:r>
      <w:r>
        <w:rPr>
          <w:rFonts w:ascii="Arial MT"/>
          <w:sz w:val="16"/>
        </w:rPr>
        <w:t>63%</w:t>
      </w:r>
      <w:r>
        <w:rPr>
          <w:rFonts w:ascii="Arial MT"/>
          <w:spacing w:val="-2"/>
          <w:sz w:val="16"/>
        </w:rPr>
        <w:t> </w:t>
      </w:r>
      <w:r>
        <w:rPr>
          <w:rFonts w:ascii="Arial MT"/>
          <w:sz w:val="16"/>
        </w:rPr>
        <w:t>to</w:t>
      </w:r>
      <w:r>
        <w:rPr>
          <w:rFonts w:ascii="Arial MT"/>
          <w:spacing w:val="-2"/>
          <w:sz w:val="16"/>
        </w:rPr>
        <w:t> </w:t>
      </w:r>
      <w:r>
        <w:rPr>
          <w:rFonts w:ascii="Arial MT"/>
          <w:sz w:val="16"/>
        </w:rPr>
        <w:t>85%</w:t>
      </w:r>
      <w:r>
        <w:rPr>
          <w:rFonts w:ascii="Arial MT"/>
          <w:spacing w:val="-1"/>
          <w:sz w:val="16"/>
        </w:rPr>
        <w:t> </w:t>
      </w:r>
      <w:r>
        <w:rPr>
          <w:rFonts w:ascii="Arial MT"/>
          <w:spacing w:val="-2"/>
          <w:sz w:val="16"/>
        </w:rPr>
        <w:t>(78%)</w:t>
      </w:r>
      <w:r>
        <w:rPr>
          <w:rFonts w:ascii="Arial MT"/>
          <w:sz w:val="16"/>
        </w:rPr>
        <w:tab/>
        <w:t>61%</w:t>
      </w:r>
      <w:r>
        <w:rPr>
          <w:rFonts w:ascii="Arial MT"/>
          <w:spacing w:val="-2"/>
          <w:sz w:val="16"/>
        </w:rPr>
        <w:t> </w:t>
      </w:r>
      <w:r>
        <w:rPr>
          <w:rFonts w:ascii="Arial MT"/>
          <w:sz w:val="16"/>
        </w:rPr>
        <w:t>to</w:t>
      </w:r>
      <w:r>
        <w:rPr>
          <w:rFonts w:ascii="Arial MT"/>
          <w:spacing w:val="-2"/>
          <w:sz w:val="16"/>
        </w:rPr>
        <w:t> </w:t>
      </w:r>
      <w:r>
        <w:rPr>
          <w:rFonts w:ascii="Arial MT"/>
          <w:sz w:val="16"/>
        </w:rPr>
        <w:t>77%</w:t>
      </w:r>
      <w:r>
        <w:rPr>
          <w:rFonts w:ascii="Arial MT"/>
          <w:spacing w:val="-1"/>
          <w:sz w:val="16"/>
        </w:rPr>
        <w:t> </w:t>
      </w:r>
      <w:r>
        <w:rPr>
          <w:rFonts w:ascii="Arial MT"/>
          <w:spacing w:val="-2"/>
          <w:sz w:val="16"/>
        </w:rPr>
        <w:t>(68%)</w:t>
      </w:r>
    </w:p>
    <w:p>
      <w:pPr>
        <w:pStyle w:val="BodyText"/>
        <w:spacing w:before="67"/>
        <w:rPr>
          <w:rFonts w:ascii="Arial MT"/>
          <w:sz w:val="16"/>
        </w:rPr>
      </w:pPr>
    </w:p>
    <w:p>
      <w:pPr>
        <w:tabs>
          <w:tab w:pos="2015" w:val="left" w:leader="none"/>
        </w:tabs>
        <w:spacing w:before="0"/>
        <w:ind w:left="424" w:right="0" w:firstLine="0"/>
        <w:jc w:val="left"/>
        <w:rPr>
          <w:rFonts w:ascii="Arial MT"/>
          <w:sz w:val="16"/>
        </w:rPr>
      </w:pPr>
      <w:r>
        <w:rPr>
          <w:rFonts w:ascii="Arial MT"/>
          <w:sz w:val="16"/>
        </w:rPr>
        <w:t>5%</w:t>
      </w:r>
      <w:r>
        <w:rPr>
          <w:rFonts w:ascii="Arial MT"/>
          <w:spacing w:val="-3"/>
          <w:sz w:val="16"/>
        </w:rPr>
        <w:t> </w:t>
      </w:r>
      <w:r>
        <w:rPr>
          <w:rFonts w:ascii="Arial MT"/>
          <w:sz w:val="16"/>
        </w:rPr>
        <w:t>to</w:t>
      </w:r>
      <w:r>
        <w:rPr>
          <w:rFonts w:ascii="Arial MT"/>
          <w:spacing w:val="-2"/>
          <w:sz w:val="16"/>
        </w:rPr>
        <w:t> </w:t>
      </w:r>
      <w:r>
        <w:rPr>
          <w:rFonts w:ascii="Arial MT"/>
          <w:sz w:val="16"/>
        </w:rPr>
        <w:t>15%</w:t>
      </w:r>
      <w:r>
        <w:rPr>
          <w:rFonts w:ascii="Arial MT"/>
          <w:spacing w:val="-1"/>
          <w:sz w:val="16"/>
        </w:rPr>
        <w:t> </w:t>
      </w:r>
      <w:r>
        <w:rPr>
          <w:rFonts w:ascii="Arial MT"/>
          <w:spacing w:val="-4"/>
          <w:sz w:val="16"/>
        </w:rPr>
        <w:t>(9%)</w:t>
      </w:r>
      <w:r>
        <w:rPr>
          <w:rFonts w:ascii="Arial MT"/>
          <w:sz w:val="16"/>
        </w:rPr>
        <w:tab/>
        <w:t>5%</w:t>
      </w:r>
      <w:r>
        <w:rPr>
          <w:rFonts w:ascii="Arial MT"/>
          <w:spacing w:val="-1"/>
          <w:sz w:val="16"/>
        </w:rPr>
        <w:t> </w:t>
      </w:r>
      <w:r>
        <w:rPr>
          <w:rFonts w:ascii="Arial MT"/>
          <w:sz w:val="16"/>
        </w:rPr>
        <w:t>to</w:t>
      </w:r>
      <w:r>
        <w:rPr>
          <w:rFonts w:ascii="Arial MT"/>
          <w:spacing w:val="-2"/>
          <w:sz w:val="16"/>
        </w:rPr>
        <w:t> </w:t>
      </w:r>
      <w:r>
        <w:rPr>
          <w:rFonts w:ascii="Arial MT"/>
          <w:sz w:val="16"/>
        </w:rPr>
        <w:t>15%</w:t>
      </w:r>
      <w:r>
        <w:rPr>
          <w:rFonts w:ascii="Arial MT"/>
          <w:spacing w:val="-1"/>
          <w:sz w:val="16"/>
        </w:rPr>
        <w:t> </w:t>
      </w:r>
      <w:r>
        <w:rPr>
          <w:rFonts w:ascii="Arial MT"/>
          <w:spacing w:val="-2"/>
          <w:sz w:val="16"/>
        </w:rPr>
        <w:t>(10%)</w:t>
      </w:r>
    </w:p>
    <w:p>
      <w:pPr>
        <w:spacing w:after="0"/>
        <w:jc w:val="left"/>
        <w:rPr>
          <w:rFonts w:ascii="Arial MT"/>
          <w:sz w:val="16"/>
        </w:rPr>
        <w:sectPr>
          <w:type w:val="continuous"/>
          <w:pgSz w:w="12240" w:h="15840"/>
          <w:pgMar w:header="0" w:footer="0" w:top="1820" w:bottom="280" w:left="720" w:right="720"/>
          <w:cols w:num="5" w:equalWidth="0">
            <w:col w:w="1795" w:space="40"/>
            <w:col w:w="2263" w:space="39"/>
            <w:col w:w="1266" w:space="40"/>
            <w:col w:w="1174" w:space="39"/>
            <w:col w:w="4144"/>
          </w:cols>
        </w:sectPr>
      </w:pPr>
    </w:p>
    <w:p>
      <w:pPr>
        <w:spacing w:line="20" w:lineRule="exact"/>
        <w:ind w:left="710" w:right="0" w:firstLine="0"/>
        <w:rPr>
          <w:rFonts w:ascii="Arial MT"/>
          <w:sz w:val="2"/>
        </w:rPr>
      </w:pPr>
      <w:r>
        <w:rPr>
          <w:rFonts w:ascii="Arial MT"/>
          <w:sz w:val="2"/>
        </w:rPr>
        <mc:AlternateContent>
          <mc:Choice Requires="wps">
            <w:drawing>
              <wp:inline distT="0" distB="0" distL="0" distR="0">
                <wp:extent cx="5943600" cy="12700"/>
                <wp:effectExtent l="9525" t="0" r="0" b="6350"/>
                <wp:docPr id="1016" name="Group 1016"/>
                <wp:cNvGraphicFramePr>
                  <a:graphicFrameLocks/>
                </wp:cNvGraphicFramePr>
                <a:graphic>
                  <a:graphicData uri="http://schemas.microsoft.com/office/word/2010/wordprocessingGroup">
                    <wpg:wgp>
                      <wpg:cNvPr id="1016" name="Group 1016"/>
                      <wpg:cNvGrpSpPr/>
                      <wpg:grpSpPr>
                        <a:xfrm>
                          <a:off x="0" y="0"/>
                          <a:ext cx="5943600" cy="12700"/>
                          <a:chExt cx="5943600" cy="12700"/>
                        </a:xfrm>
                      </wpg:grpSpPr>
                      <wps:wsp>
                        <wps:cNvPr id="1017" name="Graphic 1017"/>
                        <wps:cNvSpPr/>
                        <wps:spPr>
                          <a:xfrm>
                            <a:off x="0" y="6350"/>
                            <a:ext cx="5943600" cy="1270"/>
                          </a:xfrm>
                          <a:custGeom>
                            <a:avLst/>
                            <a:gdLst/>
                            <a:ahLst/>
                            <a:cxnLst/>
                            <a:rect l="l" t="t" r="r" b="b"/>
                            <a:pathLst>
                              <a:path w="5943600" h="0">
                                <a:moveTo>
                                  <a:pt x="0" y="0"/>
                                </a:moveTo>
                                <a:lnTo>
                                  <a:pt x="3028950" y="0"/>
                                </a:lnTo>
                              </a:path>
                              <a:path w="5943600" h="0">
                                <a:moveTo>
                                  <a:pt x="306705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843" coordorigin="0,0" coordsize="9360,20">
                <v:shape style="position:absolute;left:0;top:10;width:9360;height:2" id="docshape844" coordorigin="0,10" coordsize="9360,0" path="m0,10l4770,10m4830,10l9360,10e" filled="false" stroked="true" strokeweight="1pt" strokecolor="#000000">
                  <v:path arrowok="t"/>
                  <v:stroke dashstyle="solid"/>
                </v:shape>
              </v:group>
            </w:pict>
          </mc:Fallback>
        </mc:AlternateContent>
      </w:r>
      <w:r>
        <w:rPr>
          <w:rFonts w:ascii="Arial MT"/>
          <w:sz w:val="2"/>
        </w:rPr>
      </w:r>
    </w:p>
    <w:p>
      <w:pPr>
        <w:pStyle w:val="BodyText"/>
        <w:spacing w:line="249" w:lineRule="auto" w:before="180"/>
        <w:ind w:left="720" w:right="719"/>
      </w:pPr>
      <w:r>
        <w:rPr/>
        <w:t>The table below provides the details of inter-level transfers between Level 2 and Level 3 that are due to changes in observable inputs.</w:t>
      </w:r>
    </w:p>
    <w:p>
      <w:pPr>
        <w:pStyle w:val="Heading8"/>
      </w:pPr>
      <w:r>
        <w:rPr/>
        <w:t>Table</w:t>
      </w:r>
      <w:r>
        <w:rPr>
          <w:spacing w:val="-5"/>
        </w:rPr>
        <w:t> </w:t>
      </w:r>
      <w:r>
        <w:rPr/>
        <w:t>L4:</w:t>
      </w:r>
      <w:r>
        <w:rPr>
          <w:spacing w:val="-3"/>
        </w:rPr>
        <w:t> </w:t>
      </w:r>
      <w:r>
        <w:rPr/>
        <w:t>Borrowings</w:t>
      </w:r>
      <w:r>
        <w:rPr>
          <w:spacing w:val="-4"/>
        </w:rPr>
        <w:t> </w:t>
      </w:r>
      <w:r>
        <w:rPr/>
        <w:t>and</w:t>
      </w:r>
      <w:r>
        <w:rPr>
          <w:spacing w:val="-5"/>
        </w:rPr>
        <w:t> </w:t>
      </w:r>
      <w:r>
        <w:rPr/>
        <w:t>derivatives</w:t>
      </w:r>
      <w:r>
        <w:rPr>
          <w:spacing w:val="-4"/>
        </w:rPr>
        <w:t> </w:t>
      </w:r>
      <w:r>
        <w:rPr/>
        <w:t>inter</w:t>
      </w:r>
      <w:r>
        <w:rPr>
          <w:spacing w:val="-4"/>
        </w:rPr>
        <w:t> </w:t>
      </w:r>
      <w:r>
        <w:rPr/>
        <w:t>level</w:t>
      </w:r>
      <w:r>
        <w:rPr>
          <w:spacing w:val="-4"/>
        </w:rPr>
        <w:t> </w:t>
      </w:r>
      <w:r>
        <w:rPr>
          <w:spacing w:val="-2"/>
        </w:rPr>
        <w:t>transfers</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1" simplePos="0" relativeHeight="487769088">
                <wp:simplePos x="0" y="0"/>
                <wp:positionH relativeFrom="page">
                  <wp:posOffset>914400</wp:posOffset>
                </wp:positionH>
                <wp:positionV relativeFrom="paragraph">
                  <wp:posOffset>191723</wp:posOffset>
                </wp:positionV>
                <wp:extent cx="5934075" cy="1270"/>
                <wp:effectExtent l="0" t="0" r="0" b="0"/>
                <wp:wrapTopAndBottom/>
                <wp:docPr id="1018" name="Graphic 1018"/>
                <wp:cNvGraphicFramePr>
                  <a:graphicFrameLocks/>
                </wp:cNvGraphicFramePr>
                <a:graphic>
                  <a:graphicData uri="http://schemas.microsoft.com/office/word/2010/wordprocessingShape">
                    <wps:wsp>
                      <wps:cNvPr id="1018" name="Graphic 1018"/>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096356pt;width:467.25pt;height:.1pt;mso-position-horizontal-relative:page;mso-position-vertical-relative:paragraph;z-index:-15547392;mso-wrap-distance-left:0;mso-wrap-distance-right:0" id="docshape845" coordorigin="1440,302" coordsize="9345,0" path="m1440,302l10785,302e" filled="false" stroked="true" strokeweight="1pt" strokecolor="#000000">
                <v:path arrowok="t"/>
                <v:stroke dashstyle="solid"/>
                <w10:wrap type="topAndBottom"/>
              </v:shap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tabs>
          <w:tab w:pos="8312" w:val="left" w:leader="none"/>
        </w:tabs>
        <w:spacing w:before="16" w:after="40"/>
        <w:ind w:left="5102" w:right="0" w:firstLine="0"/>
        <w:jc w:val="left"/>
        <w:rPr>
          <w:rFonts w:ascii="Arial"/>
          <w:i/>
          <w:sz w:val="16"/>
        </w:rPr>
      </w:pPr>
      <w:r>
        <w:rPr>
          <w:rFonts w:ascii="Arial"/>
          <w:i/>
          <w:spacing w:val="-4"/>
          <w:sz w:val="16"/>
        </w:rPr>
        <w:t>2023</w:t>
      </w:r>
      <w:r>
        <w:rPr>
          <w:rFonts w:ascii="Arial"/>
          <w:i/>
          <w:sz w:val="16"/>
        </w:rPr>
        <w:tab/>
      </w:r>
      <w:r>
        <w:rPr>
          <w:rFonts w:ascii="Arial"/>
          <w:i/>
          <w:spacing w:val="-4"/>
          <w:sz w:val="16"/>
        </w:rPr>
        <w:t>2022</w:t>
      </w: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2"/>
        <w:gridCol w:w="328"/>
        <w:gridCol w:w="765"/>
        <w:gridCol w:w="500"/>
        <w:gridCol w:w="339"/>
        <w:gridCol w:w="765"/>
        <w:gridCol w:w="500"/>
        <w:gridCol w:w="339"/>
        <w:gridCol w:w="765"/>
        <w:gridCol w:w="500"/>
        <w:gridCol w:w="339"/>
        <w:gridCol w:w="792"/>
        <w:gridCol w:w="425"/>
      </w:tblGrid>
      <w:tr>
        <w:trPr>
          <w:trHeight w:val="220" w:hRule="atLeast"/>
        </w:trPr>
        <w:tc>
          <w:tcPr>
            <w:tcW w:w="3310" w:type="dxa"/>
            <w:gridSpan w:val="2"/>
          </w:tcPr>
          <w:p>
            <w:pPr>
              <w:pStyle w:val="TableParagraph"/>
              <w:rPr>
                <w:rFonts w:ascii="Times New Roman"/>
                <w:sz w:val="14"/>
              </w:rPr>
            </w:pPr>
          </w:p>
        </w:tc>
        <w:tc>
          <w:tcPr>
            <w:tcW w:w="765" w:type="dxa"/>
            <w:tcBorders>
              <w:bottom w:val="single" w:sz="8" w:space="0" w:color="000000"/>
            </w:tcBorders>
          </w:tcPr>
          <w:p>
            <w:pPr>
              <w:pStyle w:val="TableParagraph"/>
              <w:spacing w:line="183" w:lineRule="exact" w:before="16"/>
              <w:ind w:left="187"/>
              <w:rPr>
                <w:rFonts w:ascii="Arial"/>
                <w:i/>
                <w:sz w:val="16"/>
              </w:rPr>
            </w:pPr>
            <w:r>
              <w:rPr>
                <w:rFonts w:ascii="Arial"/>
                <w:i/>
                <w:sz w:val="16"/>
              </w:rPr>
              <w:t>Level</w:t>
            </w:r>
            <w:r>
              <w:rPr>
                <w:rFonts w:ascii="Arial"/>
                <w:i/>
                <w:spacing w:val="-3"/>
                <w:sz w:val="16"/>
              </w:rPr>
              <w:t> </w:t>
            </w:r>
            <w:r>
              <w:rPr>
                <w:rFonts w:ascii="Arial"/>
                <w:i/>
                <w:spacing w:val="-10"/>
                <w:sz w:val="16"/>
              </w:rPr>
              <w:t>2</w:t>
            </w:r>
          </w:p>
        </w:tc>
        <w:tc>
          <w:tcPr>
            <w:tcW w:w="500" w:type="dxa"/>
            <w:tcBorders>
              <w:bottom w:val="single" w:sz="8" w:space="0" w:color="000000"/>
            </w:tcBorders>
          </w:tcPr>
          <w:p>
            <w:pPr>
              <w:pStyle w:val="TableParagraph"/>
              <w:rPr>
                <w:rFonts w:ascii="Times New Roman"/>
                <w:sz w:val="14"/>
              </w:rPr>
            </w:pPr>
          </w:p>
        </w:tc>
        <w:tc>
          <w:tcPr>
            <w:tcW w:w="339" w:type="dxa"/>
            <w:tcBorders>
              <w:bottom w:val="single" w:sz="8" w:space="0" w:color="000000"/>
            </w:tcBorders>
          </w:tcPr>
          <w:p>
            <w:pPr>
              <w:pStyle w:val="TableParagraph"/>
              <w:rPr>
                <w:rFonts w:ascii="Times New Roman"/>
                <w:sz w:val="14"/>
              </w:rPr>
            </w:pPr>
          </w:p>
        </w:tc>
        <w:tc>
          <w:tcPr>
            <w:tcW w:w="765" w:type="dxa"/>
            <w:tcBorders>
              <w:bottom w:val="single" w:sz="8" w:space="0" w:color="000000"/>
            </w:tcBorders>
          </w:tcPr>
          <w:p>
            <w:pPr>
              <w:pStyle w:val="TableParagraph"/>
              <w:spacing w:line="183" w:lineRule="exact" w:before="16"/>
              <w:ind w:left="188"/>
              <w:rPr>
                <w:rFonts w:ascii="Arial"/>
                <w:i/>
                <w:sz w:val="16"/>
              </w:rPr>
            </w:pPr>
            <w:r>
              <w:rPr>
                <w:rFonts w:ascii="Arial"/>
                <w:i/>
                <w:sz w:val="16"/>
              </w:rPr>
              <w:t>Level</w:t>
            </w:r>
            <w:r>
              <w:rPr>
                <w:rFonts w:ascii="Arial"/>
                <w:i/>
                <w:spacing w:val="-3"/>
                <w:sz w:val="16"/>
              </w:rPr>
              <w:t> </w:t>
            </w:r>
            <w:r>
              <w:rPr>
                <w:rFonts w:ascii="Arial"/>
                <w:i/>
                <w:spacing w:val="-10"/>
                <w:sz w:val="16"/>
              </w:rPr>
              <w:t>3</w:t>
            </w:r>
          </w:p>
        </w:tc>
        <w:tc>
          <w:tcPr>
            <w:tcW w:w="500" w:type="dxa"/>
            <w:tcBorders>
              <w:bottom w:val="single" w:sz="8" w:space="0" w:color="000000"/>
            </w:tcBorders>
          </w:tcPr>
          <w:p>
            <w:pPr>
              <w:pStyle w:val="TableParagraph"/>
              <w:rPr>
                <w:rFonts w:ascii="Times New Roman"/>
                <w:sz w:val="14"/>
              </w:rPr>
            </w:pPr>
          </w:p>
        </w:tc>
        <w:tc>
          <w:tcPr>
            <w:tcW w:w="339" w:type="dxa"/>
            <w:tcBorders>
              <w:bottom w:val="single" w:sz="8" w:space="0" w:color="000000"/>
            </w:tcBorders>
          </w:tcPr>
          <w:p>
            <w:pPr>
              <w:pStyle w:val="TableParagraph"/>
              <w:rPr>
                <w:rFonts w:ascii="Times New Roman"/>
                <w:sz w:val="14"/>
              </w:rPr>
            </w:pPr>
          </w:p>
        </w:tc>
        <w:tc>
          <w:tcPr>
            <w:tcW w:w="765" w:type="dxa"/>
            <w:tcBorders>
              <w:bottom w:val="single" w:sz="8" w:space="0" w:color="000000"/>
            </w:tcBorders>
          </w:tcPr>
          <w:p>
            <w:pPr>
              <w:pStyle w:val="TableParagraph"/>
              <w:spacing w:line="183" w:lineRule="exact" w:before="16"/>
              <w:ind w:left="189"/>
              <w:rPr>
                <w:rFonts w:ascii="Arial"/>
                <w:i/>
                <w:sz w:val="16"/>
              </w:rPr>
            </w:pPr>
            <w:r>
              <w:rPr>
                <w:rFonts w:ascii="Arial"/>
                <w:i/>
                <w:sz w:val="16"/>
              </w:rPr>
              <w:t>Level</w:t>
            </w:r>
            <w:r>
              <w:rPr>
                <w:rFonts w:ascii="Arial"/>
                <w:i/>
                <w:spacing w:val="-3"/>
                <w:sz w:val="16"/>
              </w:rPr>
              <w:t> </w:t>
            </w:r>
            <w:r>
              <w:rPr>
                <w:rFonts w:ascii="Arial"/>
                <w:i/>
                <w:spacing w:val="-10"/>
                <w:sz w:val="16"/>
              </w:rPr>
              <w:t>2</w:t>
            </w:r>
          </w:p>
        </w:tc>
        <w:tc>
          <w:tcPr>
            <w:tcW w:w="500" w:type="dxa"/>
            <w:tcBorders>
              <w:bottom w:val="single" w:sz="8" w:space="0" w:color="000000"/>
            </w:tcBorders>
          </w:tcPr>
          <w:p>
            <w:pPr>
              <w:pStyle w:val="TableParagraph"/>
              <w:rPr>
                <w:rFonts w:ascii="Times New Roman"/>
                <w:sz w:val="14"/>
              </w:rPr>
            </w:pPr>
          </w:p>
        </w:tc>
        <w:tc>
          <w:tcPr>
            <w:tcW w:w="339" w:type="dxa"/>
            <w:tcBorders>
              <w:bottom w:val="single" w:sz="8" w:space="0" w:color="000000"/>
            </w:tcBorders>
          </w:tcPr>
          <w:p>
            <w:pPr>
              <w:pStyle w:val="TableParagraph"/>
              <w:rPr>
                <w:rFonts w:ascii="Times New Roman"/>
                <w:sz w:val="14"/>
              </w:rPr>
            </w:pPr>
          </w:p>
        </w:tc>
        <w:tc>
          <w:tcPr>
            <w:tcW w:w="792" w:type="dxa"/>
            <w:tcBorders>
              <w:bottom w:val="single" w:sz="8" w:space="0" w:color="000000"/>
            </w:tcBorders>
          </w:tcPr>
          <w:p>
            <w:pPr>
              <w:pStyle w:val="TableParagraph"/>
              <w:spacing w:line="183" w:lineRule="exact" w:before="16"/>
              <w:ind w:left="190"/>
              <w:rPr>
                <w:rFonts w:ascii="Arial"/>
                <w:i/>
                <w:sz w:val="16"/>
              </w:rPr>
            </w:pPr>
            <w:r>
              <w:rPr>
                <w:rFonts w:ascii="Arial"/>
                <w:i/>
                <w:sz w:val="16"/>
              </w:rPr>
              <w:t>Level</w:t>
            </w:r>
            <w:r>
              <w:rPr>
                <w:rFonts w:ascii="Arial"/>
                <w:i/>
                <w:spacing w:val="-3"/>
                <w:sz w:val="16"/>
              </w:rPr>
              <w:t> </w:t>
            </w:r>
            <w:r>
              <w:rPr>
                <w:rFonts w:ascii="Arial"/>
                <w:i/>
                <w:spacing w:val="-10"/>
                <w:sz w:val="16"/>
              </w:rPr>
              <w:t>3</w:t>
            </w:r>
          </w:p>
        </w:tc>
        <w:tc>
          <w:tcPr>
            <w:tcW w:w="425" w:type="dxa"/>
            <w:tcBorders>
              <w:bottom w:val="single" w:sz="8" w:space="0" w:color="000000"/>
            </w:tcBorders>
          </w:tcPr>
          <w:p>
            <w:pPr>
              <w:pStyle w:val="TableParagraph"/>
              <w:rPr>
                <w:rFonts w:ascii="Times New Roman"/>
                <w:sz w:val="14"/>
              </w:rPr>
            </w:pPr>
          </w:p>
        </w:tc>
      </w:tr>
      <w:tr>
        <w:trPr>
          <w:trHeight w:val="470" w:hRule="atLeast"/>
        </w:trPr>
        <w:tc>
          <w:tcPr>
            <w:tcW w:w="2982" w:type="dxa"/>
          </w:tcPr>
          <w:p>
            <w:pPr>
              <w:pStyle w:val="TableParagraph"/>
              <w:spacing w:before="16"/>
              <w:ind w:left="50"/>
              <w:rPr>
                <w:sz w:val="16"/>
              </w:rPr>
            </w:pPr>
            <w:r>
              <w:rPr>
                <w:spacing w:val="-2"/>
                <w:sz w:val="16"/>
              </w:rPr>
              <w:t>Borrowings</w:t>
            </w:r>
          </w:p>
          <w:p>
            <w:pPr>
              <w:pStyle w:val="TableParagraph"/>
              <w:spacing w:before="56"/>
              <w:ind w:left="50"/>
              <w:rPr>
                <w:sz w:val="16"/>
              </w:rPr>
            </w:pPr>
            <w:r>
              <w:rPr>
                <w:sz w:val="16"/>
              </w:rPr>
              <w:t>Transfer</w:t>
            </w:r>
            <w:r>
              <w:rPr>
                <w:spacing w:val="-5"/>
                <w:sz w:val="16"/>
              </w:rPr>
              <w:t> </w:t>
            </w:r>
            <w:r>
              <w:rPr>
                <w:sz w:val="16"/>
              </w:rPr>
              <w:t>into</w:t>
            </w:r>
            <w:r>
              <w:rPr>
                <w:spacing w:val="-5"/>
                <w:sz w:val="16"/>
              </w:rPr>
              <w:t> </w:t>
            </w:r>
            <w:r>
              <w:rPr>
                <w:sz w:val="16"/>
              </w:rPr>
              <w:t>(out</w:t>
            </w:r>
            <w:r>
              <w:rPr>
                <w:spacing w:val="-4"/>
                <w:sz w:val="16"/>
              </w:rPr>
              <w:t> </w:t>
            </w:r>
            <w:r>
              <w:rPr>
                <w:spacing w:val="-5"/>
                <w:sz w:val="16"/>
              </w:rPr>
              <w:t>of)</w:t>
            </w:r>
          </w:p>
        </w:tc>
        <w:tc>
          <w:tcPr>
            <w:tcW w:w="328" w:type="dxa"/>
            <w:tcBorders>
              <w:top w:val="single" w:sz="8" w:space="0" w:color="000000"/>
            </w:tcBorders>
          </w:tcPr>
          <w:p>
            <w:pPr>
              <w:pStyle w:val="TableParagraph"/>
              <w:spacing w:before="72"/>
              <w:rPr>
                <w:rFonts w:ascii="Arial"/>
                <w:i/>
                <w:sz w:val="16"/>
              </w:rPr>
            </w:pPr>
          </w:p>
          <w:p>
            <w:pPr>
              <w:pStyle w:val="TableParagraph"/>
              <w:ind w:right="131"/>
              <w:jc w:val="center"/>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right="113"/>
              <w:jc w:val="right"/>
              <w:rPr>
                <w:sz w:val="16"/>
              </w:rPr>
            </w:pPr>
            <w:r>
              <w:rPr>
                <w:spacing w:val="-5"/>
                <w:sz w:val="16"/>
              </w:rPr>
              <w:t>144</w:t>
            </w:r>
          </w:p>
        </w:tc>
        <w:tc>
          <w:tcPr>
            <w:tcW w:w="339" w:type="dxa"/>
            <w:tcBorders>
              <w:top w:val="single" w:sz="8" w:space="0" w:color="000000"/>
            </w:tcBorders>
          </w:tcPr>
          <w:p>
            <w:pPr>
              <w:pStyle w:val="TableParagraph"/>
              <w:spacing w:before="72"/>
              <w:rPr>
                <w:rFonts w:ascii="Arial"/>
                <w:i/>
                <w:sz w:val="16"/>
              </w:rPr>
            </w:pPr>
          </w:p>
          <w:p>
            <w:pPr>
              <w:pStyle w:val="TableParagraph"/>
              <w:ind w:right="118"/>
              <w:jc w:val="center"/>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right="59"/>
              <w:jc w:val="right"/>
              <w:rPr>
                <w:sz w:val="16"/>
              </w:rPr>
            </w:pPr>
            <w:r>
              <w:rPr>
                <w:spacing w:val="-2"/>
                <w:sz w:val="16"/>
              </w:rPr>
              <w:t>(144)</w:t>
            </w:r>
          </w:p>
        </w:tc>
        <w:tc>
          <w:tcPr>
            <w:tcW w:w="339" w:type="dxa"/>
            <w:tcBorders>
              <w:top w:val="single" w:sz="8" w:space="0" w:color="000000"/>
            </w:tcBorders>
          </w:tcPr>
          <w:p>
            <w:pPr>
              <w:pStyle w:val="TableParagraph"/>
              <w:spacing w:before="72"/>
              <w:rPr>
                <w:rFonts w:ascii="Arial"/>
                <w:i/>
                <w:sz w:val="16"/>
              </w:rPr>
            </w:pPr>
          </w:p>
          <w:p>
            <w:pPr>
              <w:pStyle w:val="TableParagraph"/>
              <w:ind w:left="66"/>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left="226"/>
              <w:rPr>
                <w:sz w:val="16"/>
              </w:rPr>
            </w:pPr>
            <w:r>
              <w:rPr>
                <w:sz w:val="16"/>
              </w:rPr>
              <w:t>—</w:t>
            </w:r>
          </w:p>
        </w:tc>
        <w:tc>
          <w:tcPr>
            <w:tcW w:w="339" w:type="dxa"/>
            <w:tcBorders>
              <w:top w:val="single" w:sz="8" w:space="0" w:color="000000"/>
            </w:tcBorders>
          </w:tcPr>
          <w:p>
            <w:pPr>
              <w:pStyle w:val="TableParagraph"/>
              <w:spacing w:before="72"/>
              <w:rPr>
                <w:rFonts w:ascii="Arial"/>
                <w:i/>
                <w:sz w:val="16"/>
              </w:rPr>
            </w:pPr>
          </w:p>
          <w:p>
            <w:pPr>
              <w:pStyle w:val="TableParagraph"/>
              <w:ind w:left="67"/>
              <w:rPr>
                <w:sz w:val="16"/>
              </w:rPr>
            </w:pPr>
            <w:r>
              <w:rPr>
                <w:spacing w:val="-10"/>
                <w:sz w:val="16"/>
              </w:rPr>
              <w:t>$</w:t>
            </w:r>
          </w:p>
        </w:tc>
        <w:tc>
          <w:tcPr>
            <w:tcW w:w="792" w:type="dxa"/>
            <w:tcBorders>
              <w:top w:val="single" w:sz="8" w:space="0" w:color="000000"/>
            </w:tcBorders>
          </w:tcPr>
          <w:p>
            <w:pPr>
              <w:pStyle w:val="TableParagraph"/>
              <w:rPr>
                <w:rFonts w:ascii="Times New Roman"/>
                <w:sz w:val="18"/>
              </w:rPr>
            </w:pPr>
          </w:p>
        </w:tc>
        <w:tc>
          <w:tcPr>
            <w:tcW w:w="425" w:type="dxa"/>
            <w:tcBorders>
              <w:top w:val="single" w:sz="8" w:space="0" w:color="000000"/>
            </w:tcBorders>
          </w:tcPr>
          <w:p>
            <w:pPr>
              <w:pStyle w:val="TableParagraph"/>
              <w:spacing w:before="72"/>
              <w:rPr>
                <w:rFonts w:ascii="Arial"/>
                <w:i/>
                <w:sz w:val="16"/>
              </w:rPr>
            </w:pPr>
          </w:p>
          <w:p>
            <w:pPr>
              <w:pStyle w:val="TableParagraph"/>
              <w:ind w:left="200"/>
              <w:rPr>
                <w:sz w:val="16"/>
              </w:rPr>
            </w:pPr>
            <w:r>
              <w:rPr>
                <w:sz w:val="16"/>
              </w:rPr>
              <w:t>—</w:t>
            </w:r>
          </w:p>
        </w:tc>
      </w:tr>
      <w:tr>
        <w:trPr>
          <w:trHeight w:val="229" w:hRule="atLeast"/>
        </w:trPr>
        <w:tc>
          <w:tcPr>
            <w:tcW w:w="2982" w:type="dxa"/>
          </w:tcPr>
          <w:p>
            <w:pPr>
              <w:pStyle w:val="TableParagraph"/>
              <w:spacing w:line="184" w:lineRule="exact" w:before="25"/>
              <w:ind w:left="50"/>
              <w:rPr>
                <w:sz w:val="16"/>
              </w:rPr>
            </w:pPr>
            <w:r>
              <w:rPr>
                <w:sz w:val="16"/>
              </w:rPr>
              <w:t>Transfer</w:t>
            </w:r>
            <w:r>
              <w:rPr>
                <w:spacing w:val="-4"/>
                <w:sz w:val="16"/>
              </w:rPr>
              <w:t> </w:t>
            </w:r>
            <w:r>
              <w:rPr>
                <w:sz w:val="16"/>
              </w:rPr>
              <w:t>(out</w:t>
            </w:r>
            <w:r>
              <w:rPr>
                <w:spacing w:val="-4"/>
                <w:sz w:val="16"/>
              </w:rPr>
              <w:t> </w:t>
            </w:r>
            <w:r>
              <w:rPr>
                <w:sz w:val="16"/>
              </w:rPr>
              <w:t>of)</w:t>
            </w:r>
            <w:r>
              <w:rPr>
                <w:spacing w:val="-4"/>
                <w:sz w:val="16"/>
              </w:rPr>
              <w:t> into</w:t>
            </w:r>
          </w:p>
        </w:tc>
        <w:tc>
          <w:tcPr>
            <w:tcW w:w="328"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60"/>
              <w:jc w:val="right"/>
              <w:rPr>
                <w:sz w:val="16"/>
              </w:rPr>
            </w:pPr>
            <w:r>
              <w:rPr>
                <w:spacing w:val="-2"/>
                <w:sz w:val="16"/>
              </w:rPr>
              <w:t>(118)</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left="118"/>
              <w:rPr>
                <w:sz w:val="16"/>
              </w:rPr>
            </w:pPr>
            <w:r>
              <w:rPr>
                <w:spacing w:val="-5"/>
                <w:sz w:val="16"/>
              </w:rPr>
              <w:t>118</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58"/>
              <w:jc w:val="right"/>
              <w:rPr>
                <w:sz w:val="16"/>
              </w:rPr>
            </w:pPr>
            <w:r>
              <w:rPr>
                <w:spacing w:val="-2"/>
                <w:sz w:val="16"/>
              </w:rPr>
              <w:t>(195)</w:t>
            </w:r>
          </w:p>
        </w:tc>
        <w:tc>
          <w:tcPr>
            <w:tcW w:w="339" w:type="dxa"/>
            <w:tcBorders>
              <w:bottom w:val="single" w:sz="8" w:space="0" w:color="000000"/>
            </w:tcBorders>
          </w:tcPr>
          <w:p>
            <w:pPr>
              <w:pStyle w:val="TableParagraph"/>
              <w:rPr>
                <w:rFonts w:ascii="Times New Roman"/>
                <w:sz w:val="16"/>
              </w:rPr>
            </w:pPr>
          </w:p>
        </w:tc>
        <w:tc>
          <w:tcPr>
            <w:tcW w:w="792" w:type="dxa"/>
            <w:tcBorders>
              <w:bottom w:val="single" w:sz="8" w:space="0" w:color="000000"/>
            </w:tcBorders>
          </w:tcPr>
          <w:p>
            <w:pPr>
              <w:pStyle w:val="TableParagraph"/>
              <w:rPr>
                <w:rFonts w:ascii="Times New Roman"/>
                <w:sz w:val="16"/>
              </w:rPr>
            </w:pPr>
          </w:p>
        </w:tc>
        <w:tc>
          <w:tcPr>
            <w:tcW w:w="425" w:type="dxa"/>
            <w:tcBorders>
              <w:bottom w:val="single" w:sz="8" w:space="0" w:color="000000"/>
            </w:tcBorders>
          </w:tcPr>
          <w:p>
            <w:pPr>
              <w:pStyle w:val="TableParagraph"/>
              <w:spacing w:line="184" w:lineRule="exact" w:before="25"/>
              <w:ind w:left="93"/>
              <w:rPr>
                <w:sz w:val="16"/>
              </w:rPr>
            </w:pPr>
            <w:r>
              <w:rPr>
                <w:spacing w:val="-5"/>
                <w:sz w:val="16"/>
              </w:rPr>
              <w:t>195</w:t>
            </w:r>
          </w:p>
        </w:tc>
      </w:tr>
      <w:tr>
        <w:trPr>
          <w:trHeight w:val="200" w:hRule="atLeast"/>
        </w:trPr>
        <w:tc>
          <w:tcPr>
            <w:tcW w:w="2982" w:type="dxa"/>
          </w:tcPr>
          <w:p>
            <w:pPr>
              <w:pStyle w:val="TableParagraph"/>
              <w:rPr>
                <w:rFonts w:ascii="Times New Roman"/>
                <w:sz w:val="12"/>
              </w:rPr>
            </w:pPr>
          </w:p>
        </w:tc>
        <w:tc>
          <w:tcPr>
            <w:tcW w:w="328" w:type="dxa"/>
            <w:tcBorders>
              <w:top w:val="single" w:sz="8" w:space="0" w:color="000000"/>
              <w:bottom w:val="double" w:sz="8" w:space="0" w:color="000000"/>
            </w:tcBorders>
          </w:tcPr>
          <w:p>
            <w:pPr>
              <w:pStyle w:val="TableParagraph"/>
              <w:spacing w:line="164" w:lineRule="exact" w:before="16"/>
              <w:ind w:right="131"/>
              <w:jc w:val="center"/>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right="113"/>
              <w:jc w:val="right"/>
              <w:rPr>
                <w:sz w:val="16"/>
              </w:rPr>
            </w:pPr>
            <w:r>
              <w:rPr>
                <w:spacing w:val="-5"/>
                <w:sz w:val="16"/>
              </w:rPr>
              <w:t>26</w:t>
            </w:r>
          </w:p>
        </w:tc>
        <w:tc>
          <w:tcPr>
            <w:tcW w:w="339" w:type="dxa"/>
            <w:tcBorders>
              <w:top w:val="single" w:sz="8" w:space="0" w:color="000000"/>
              <w:bottom w:val="double" w:sz="8" w:space="0" w:color="000000"/>
            </w:tcBorders>
          </w:tcPr>
          <w:p>
            <w:pPr>
              <w:pStyle w:val="TableParagraph"/>
              <w:spacing w:line="164" w:lineRule="exact" w:before="16"/>
              <w:ind w:right="118"/>
              <w:jc w:val="center"/>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right="59"/>
              <w:jc w:val="right"/>
              <w:rPr>
                <w:sz w:val="16"/>
              </w:rPr>
            </w:pPr>
            <w:r>
              <w:rPr>
                <w:spacing w:val="-4"/>
                <w:sz w:val="16"/>
              </w:rPr>
              <w:t>(26)</w:t>
            </w:r>
          </w:p>
        </w:tc>
        <w:tc>
          <w:tcPr>
            <w:tcW w:w="339" w:type="dxa"/>
            <w:tcBorders>
              <w:top w:val="single" w:sz="8" w:space="0" w:color="000000"/>
              <w:bottom w:val="double" w:sz="8" w:space="0" w:color="000000"/>
            </w:tcBorders>
          </w:tcPr>
          <w:p>
            <w:pPr>
              <w:pStyle w:val="TableParagraph"/>
              <w:spacing w:line="164" w:lineRule="exact" w:before="16"/>
              <w:ind w:left="66"/>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right="58"/>
              <w:jc w:val="right"/>
              <w:rPr>
                <w:sz w:val="16"/>
              </w:rPr>
            </w:pPr>
            <w:r>
              <w:rPr>
                <w:spacing w:val="-2"/>
                <w:sz w:val="16"/>
              </w:rPr>
              <w:t>(195)</w:t>
            </w:r>
          </w:p>
        </w:tc>
        <w:tc>
          <w:tcPr>
            <w:tcW w:w="339" w:type="dxa"/>
            <w:tcBorders>
              <w:top w:val="single" w:sz="8" w:space="0" w:color="000000"/>
              <w:bottom w:val="double" w:sz="8" w:space="0" w:color="000000"/>
            </w:tcBorders>
          </w:tcPr>
          <w:p>
            <w:pPr>
              <w:pStyle w:val="TableParagraph"/>
              <w:spacing w:line="164" w:lineRule="exact" w:before="16"/>
              <w:ind w:left="67"/>
              <w:rPr>
                <w:sz w:val="16"/>
              </w:rPr>
            </w:pPr>
            <w:r>
              <w:rPr>
                <w:spacing w:val="-10"/>
                <w:sz w:val="16"/>
              </w:rPr>
              <w:t>$</w:t>
            </w:r>
          </w:p>
        </w:tc>
        <w:tc>
          <w:tcPr>
            <w:tcW w:w="792" w:type="dxa"/>
            <w:tcBorders>
              <w:top w:val="single" w:sz="8" w:space="0" w:color="000000"/>
              <w:bottom w:val="double" w:sz="8" w:space="0" w:color="000000"/>
            </w:tcBorders>
          </w:tcPr>
          <w:p>
            <w:pPr>
              <w:pStyle w:val="TableParagraph"/>
              <w:rPr>
                <w:rFonts w:ascii="Times New Roman"/>
                <w:sz w:val="12"/>
              </w:rPr>
            </w:pPr>
          </w:p>
        </w:tc>
        <w:tc>
          <w:tcPr>
            <w:tcW w:w="425" w:type="dxa"/>
            <w:tcBorders>
              <w:top w:val="single" w:sz="8" w:space="0" w:color="000000"/>
              <w:bottom w:val="double" w:sz="8" w:space="0" w:color="000000"/>
            </w:tcBorders>
          </w:tcPr>
          <w:p>
            <w:pPr>
              <w:pStyle w:val="TableParagraph"/>
              <w:spacing w:line="164" w:lineRule="exact" w:before="16"/>
              <w:ind w:left="93"/>
              <w:rPr>
                <w:sz w:val="16"/>
              </w:rPr>
            </w:pPr>
            <w:r>
              <w:rPr>
                <w:spacing w:val="-5"/>
                <w:sz w:val="16"/>
              </w:rPr>
              <w:t>195</w:t>
            </w:r>
          </w:p>
        </w:tc>
      </w:tr>
      <w:tr>
        <w:trPr>
          <w:trHeight w:val="450" w:hRule="atLeast"/>
        </w:trPr>
        <w:tc>
          <w:tcPr>
            <w:tcW w:w="2982" w:type="dxa"/>
          </w:tcPr>
          <w:p>
            <w:pPr>
              <w:pStyle w:val="TableParagraph"/>
              <w:spacing w:line="180" w:lineRule="exact"/>
              <w:ind w:left="50"/>
              <w:rPr>
                <w:sz w:val="16"/>
              </w:rPr>
            </w:pPr>
            <w:r>
              <w:rPr>
                <w:sz w:val="16"/>
              </w:rPr>
              <w:t>Derivative</w:t>
            </w:r>
            <w:r>
              <w:rPr>
                <w:spacing w:val="-5"/>
                <w:sz w:val="16"/>
              </w:rPr>
              <w:t> </w:t>
            </w:r>
            <w:r>
              <w:rPr>
                <w:sz w:val="16"/>
              </w:rPr>
              <w:t>assets,</w:t>
            </w:r>
            <w:r>
              <w:rPr>
                <w:spacing w:val="-3"/>
                <w:sz w:val="16"/>
              </w:rPr>
              <w:t> </w:t>
            </w:r>
            <w:r>
              <w:rPr>
                <w:spacing w:val="-5"/>
                <w:sz w:val="16"/>
              </w:rPr>
              <w:t>net</w:t>
            </w:r>
          </w:p>
          <w:p>
            <w:pPr>
              <w:pStyle w:val="TableParagraph"/>
              <w:spacing w:before="56"/>
              <w:ind w:left="50"/>
              <w:rPr>
                <w:sz w:val="16"/>
              </w:rPr>
            </w:pPr>
            <w:r>
              <w:rPr>
                <w:sz w:val="16"/>
              </w:rPr>
              <w:t>Transfer</w:t>
            </w:r>
            <w:r>
              <w:rPr>
                <w:spacing w:val="-5"/>
                <w:sz w:val="16"/>
              </w:rPr>
              <w:t> </w:t>
            </w:r>
            <w:r>
              <w:rPr>
                <w:sz w:val="16"/>
              </w:rPr>
              <w:t>into</w:t>
            </w:r>
            <w:r>
              <w:rPr>
                <w:spacing w:val="-5"/>
                <w:sz w:val="16"/>
              </w:rPr>
              <w:t> </w:t>
            </w:r>
            <w:r>
              <w:rPr>
                <w:sz w:val="16"/>
              </w:rPr>
              <w:t>(out</w:t>
            </w:r>
            <w:r>
              <w:rPr>
                <w:spacing w:val="-4"/>
                <w:sz w:val="16"/>
              </w:rPr>
              <w:t> </w:t>
            </w:r>
            <w:r>
              <w:rPr>
                <w:spacing w:val="-5"/>
                <w:sz w:val="16"/>
              </w:rPr>
              <w:t>of)</w:t>
            </w:r>
          </w:p>
        </w:tc>
        <w:tc>
          <w:tcPr>
            <w:tcW w:w="328" w:type="dxa"/>
            <w:tcBorders>
              <w:top w:val="double" w:sz="8" w:space="0" w:color="000000"/>
            </w:tcBorders>
          </w:tcPr>
          <w:p>
            <w:pPr>
              <w:pStyle w:val="TableParagraph"/>
              <w:spacing w:before="52"/>
              <w:rPr>
                <w:rFonts w:ascii="Arial"/>
                <w:i/>
                <w:sz w:val="16"/>
              </w:rPr>
            </w:pPr>
          </w:p>
          <w:p>
            <w:pPr>
              <w:pStyle w:val="TableParagraph"/>
              <w:ind w:right="131"/>
              <w:jc w:val="center"/>
              <w:rPr>
                <w:sz w:val="16"/>
              </w:rPr>
            </w:pPr>
            <w:r>
              <w:rPr>
                <w:spacing w:val="-10"/>
                <w:sz w:val="16"/>
              </w:rPr>
              <w:t>$</w:t>
            </w:r>
          </w:p>
        </w:tc>
        <w:tc>
          <w:tcPr>
            <w:tcW w:w="765" w:type="dxa"/>
            <w:tcBorders>
              <w:top w:val="double" w:sz="8" w:space="0" w:color="000000"/>
            </w:tcBorders>
          </w:tcPr>
          <w:p>
            <w:pPr>
              <w:pStyle w:val="TableParagraph"/>
              <w:rPr>
                <w:rFonts w:ascii="Times New Roman"/>
                <w:sz w:val="18"/>
              </w:rPr>
            </w:pPr>
          </w:p>
        </w:tc>
        <w:tc>
          <w:tcPr>
            <w:tcW w:w="500" w:type="dxa"/>
            <w:tcBorders>
              <w:top w:val="double" w:sz="8" w:space="0" w:color="000000"/>
            </w:tcBorders>
          </w:tcPr>
          <w:p>
            <w:pPr>
              <w:pStyle w:val="TableParagraph"/>
              <w:spacing w:before="52"/>
              <w:rPr>
                <w:rFonts w:ascii="Arial"/>
                <w:i/>
                <w:sz w:val="16"/>
              </w:rPr>
            </w:pPr>
          </w:p>
          <w:p>
            <w:pPr>
              <w:pStyle w:val="TableParagraph"/>
              <w:ind w:right="113"/>
              <w:jc w:val="right"/>
              <w:rPr>
                <w:sz w:val="16"/>
              </w:rPr>
            </w:pPr>
            <w:r>
              <w:rPr>
                <w:spacing w:val="-5"/>
                <w:sz w:val="16"/>
              </w:rPr>
              <w:t>10</w:t>
            </w:r>
          </w:p>
        </w:tc>
        <w:tc>
          <w:tcPr>
            <w:tcW w:w="339" w:type="dxa"/>
            <w:tcBorders>
              <w:top w:val="double" w:sz="8" w:space="0" w:color="000000"/>
            </w:tcBorders>
          </w:tcPr>
          <w:p>
            <w:pPr>
              <w:pStyle w:val="TableParagraph"/>
              <w:spacing w:before="52"/>
              <w:rPr>
                <w:rFonts w:ascii="Arial"/>
                <w:i/>
                <w:sz w:val="16"/>
              </w:rPr>
            </w:pPr>
          </w:p>
          <w:p>
            <w:pPr>
              <w:pStyle w:val="TableParagraph"/>
              <w:ind w:right="118"/>
              <w:jc w:val="center"/>
              <w:rPr>
                <w:sz w:val="16"/>
              </w:rPr>
            </w:pPr>
            <w:r>
              <w:rPr>
                <w:spacing w:val="-10"/>
                <w:sz w:val="16"/>
              </w:rPr>
              <w:t>$</w:t>
            </w:r>
          </w:p>
        </w:tc>
        <w:tc>
          <w:tcPr>
            <w:tcW w:w="765" w:type="dxa"/>
            <w:tcBorders>
              <w:top w:val="double" w:sz="8" w:space="0" w:color="000000"/>
            </w:tcBorders>
          </w:tcPr>
          <w:p>
            <w:pPr>
              <w:pStyle w:val="TableParagraph"/>
              <w:rPr>
                <w:rFonts w:ascii="Times New Roman"/>
                <w:sz w:val="18"/>
              </w:rPr>
            </w:pPr>
          </w:p>
        </w:tc>
        <w:tc>
          <w:tcPr>
            <w:tcW w:w="500" w:type="dxa"/>
            <w:tcBorders>
              <w:top w:val="double" w:sz="8" w:space="0" w:color="000000"/>
            </w:tcBorders>
          </w:tcPr>
          <w:p>
            <w:pPr>
              <w:pStyle w:val="TableParagraph"/>
              <w:spacing w:before="52"/>
              <w:rPr>
                <w:rFonts w:ascii="Arial"/>
                <w:i/>
                <w:sz w:val="16"/>
              </w:rPr>
            </w:pPr>
          </w:p>
          <w:p>
            <w:pPr>
              <w:pStyle w:val="TableParagraph"/>
              <w:ind w:right="59"/>
              <w:jc w:val="right"/>
              <w:rPr>
                <w:sz w:val="16"/>
              </w:rPr>
            </w:pPr>
            <w:r>
              <w:rPr>
                <w:spacing w:val="-4"/>
                <w:sz w:val="16"/>
              </w:rPr>
              <w:t>(10)</w:t>
            </w:r>
          </w:p>
        </w:tc>
        <w:tc>
          <w:tcPr>
            <w:tcW w:w="339" w:type="dxa"/>
            <w:tcBorders>
              <w:top w:val="double" w:sz="8" w:space="0" w:color="000000"/>
            </w:tcBorders>
          </w:tcPr>
          <w:p>
            <w:pPr>
              <w:pStyle w:val="TableParagraph"/>
              <w:spacing w:before="52"/>
              <w:rPr>
                <w:rFonts w:ascii="Arial"/>
                <w:i/>
                <w:sz w:val="16"/>
              </w:rPr>
            </w:pPr>
          </w:p>
          <w:p>
            <w:pPr>
              <w:pStyle w:val="TableParagraph"/>
              <w:ind w:left="66"/>
              <w:rPr>
                <w:sz w:val="16"/>
              </w:rPr>
            </w:pPr>
            <w:r>
              <w:rPr>
                <w:spacing w:val="-10"/>
                <w:sz w:val="16"/>
              </w:rPr>
              <w:t>$</w:t>
            </w:r>
          </w:p>
        </w:tc>
        <w:tc>
          <w:tcPr>
            <w:tcW w:w="765" w:type="dxa"/>
            <w:tcBorders>
              <w:top w:val="double" w:sz="8" w:space="0" w:color="000000"/>
            </w:tcBorders>
          </w:tcPr>
          <w:p>
            <w:pPr>
              <w:pStyle w:val="TableParagraph"/>
              <w:rPr>
                <w:rFonts w:ascii="Times New Roman"/>
                <w:sz w:val="18"/>
              </w:rPr>
            </w:pPr>
          </w:p>
        </w:tc>
        <w:tc>
          <w:tcPr>
            <w:tcW w:w="500" w:type="dxa"/>
            <w:tcBorders>
              <w:top w:val="double" w:sz="8" w:space="0" w:color="000000"/>
            </w:tcBorders>
          </w:tcPr>
          <w:p>
            <w:pPr>
              <w:pStyle w:val="TableParagraph"/>
              <w:spacing w:before="52"/>
              <w:rPr>
                <w:rFonts w:ascii="Arial"/>
                <w:i/>
                <w:sz w:val="16"/>
              </w:rPr>
            </w:pPr>
          </w:p>
          <w:p>
            <w:pPr>
              <w:pStyle w:val="TableParagraph"/>
              <w:ind w:left="208"/>
              <w:rPr>
                <w:sz w:val="16"/>
              </w:rPr>
            </w:pPr>
            <w:r>
              <w:rPr>
                <w:spacing w:val="-5"/>
                <w:sz w:val="16"/>
              </w:rPr>
              <w:t>24</w:t>
            </w:r>
          </w:p>
        </w:tc>
        <w:tc>
          <w:tcPr>
            <w:tcW w:w="339" w:type="dxa"/>
            <w:tcBorders>
              <w:top w:val="double" w:sz="8" w:space="0" w:color="000000"/>
            </w:tcBorders>
          </w:tcPr>
          <w:p>
            <w:pPr>
              <w:pStyle w:val="TableParagraph"/>
              <w:spacing w:before="52"/>
              <w:rPr>
                <w:rFonts w:ascii="Arial"/>
                <w:i/>
                <w:sz w:val="16"/>
              </w:rPr>
            </w:pPr>
          </w:p>
          <w:p>
            <w:pPr>
              <w:pStyle w:val="TableParagraph"/>
              <w:ind w:left="67"/>
              <w:rPr>
                <w:sz w:val="16"/>
              </w:rPr>
            </w:pPr>
            <w:r>
              <w:rPr>
                <w:spacing w:val="-10"/>
                <w:sz w:val="16"/>
              </w:rPr>
              <w:t>$</w:t>
            </w:r>
          </w:p>
        </w:tc>
        <w:tc>
          <w:tcPr>
            <w:tcW w:w="792" w:type="dxa"/>
            <w:tcBorders>
              <w:top w:val="double" w:sz="8" w:space="0" w:color="000000"/>
            </w:tcBorders>
          </w:tcPr>
          <w:p>
            <w:pPr>
              <w:pStyle w:val="TableParagraph"/>
              <w:rPr>
                <w:rFonts w:ascii="Times New Roman"/>
                <w:sz w:val="18"/>
              </w:rPr>
            </w:pPr>
          </w:p>
        </w:tc>
        <w:tc>
          <w:tcPr>
            <w:tcW w:w="425" w:type="dxa"/>
            <w:tcBorders>
              <w:top w:val="double" w:sz="8" w:space="0" w:color="000000"/>
            </w:tcBorders>
          </w:tcPr>
          <w:p>
            <w:pPr>
              <w:pStyle w:val="TableParagraph"/>
              <w:spacing w:before="52"/>
              <w:rPr>
                <w:rFonts w:ascii="Arial"/>
                <w:i/>
                <w:sz w:val="16"/>
              </w:rPr>
            </w:pPr>
          </w:p>
          <w:p>
            <w:pPr>
              <w:pStyle w:val="TableParagraph"/>
              <w:ind w:right="9"/>
              <w:jc w:val="right"/>
              <w:rPr>
                <w:sz w:val="16"/>
              </w:rPr>
            </w:pPr>
            <w:r>
              <w:rPr>
                <w:spacing w:val="-4"/>
                <w:sz w:val="16"/>
              </w:rPr>
              <w:t>(24)</w:t>
            </w:r>
          </w:p>
        </w:tc>
      </w:tr>
      <w:tr>
        <w:trPr>
          <w:trHeight w:val="229" w:hRule="atLeast"/>
        </w:trPr>
        <w:tc>
          <w:tcPr>
            <w:tcW w:w="2982" w:type="dxa"/>
          </w:tcPr>
          <w:p>
            <w:pPr>
              <w:pStyle w:val="TableParagraph"/>
              <w:spacing w:line="184" w:lineRule="exact" w:before="25"/>
              <w:ind w:left="50"/>
              <w:rPr>
                <w:sz w:val="16"/>
              </w:rPr>
            </w:pPr>
            <w:r>
              <w:rPr>
                <w:sz w:val="16"/>
              </w:rPr>
              <w:t>Transfer</w:t>
            </w:r>
            <w:r>
              <w:rPr>
                <w:spacing w:val="-4"/>
                <w:sz w:val="16"/>
              </w:rPr>
              <w:t> </w:t>
            </w:r>
            <w:r>
              <w:rPr>
                <w:sz w:val="16"/>
              </w:rPr>
              <w:t>(out</w:t>
            </w:r>
            <w:r>
              <w:rPr>
                <w:spacing w:val="-4"/>
                <w:sz w:val="16"/>
              </w:rPr>
              <w:t> </w:t>
            </w:r>
            <w:r>
              <w:rPr>
                <w:sz w:val="16"/>
              </w:rPr>
              <w:t>of)</w:t>
            </w:r>
            <w:r>
              <w:rPr>
                <w:spacing w:val="-4"/>
                <w:sz w:val="16"/>
              </w:rPr>
              <w:t> into</w:t>
            </w:r>
          </w:p>
        </w:tc>
        <w:tc>
          <w:tcPr>
            <w:tcW w:w="328"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60"/>
              <w:jc w:val="right"/>
              <w:rPr>
                <w:sz w:val="16"/>
              </w:rPr>
            </w:pPr>
            <w:r>
              <w:rPr>
                <w:spacing w:val="-2"/>
                <w:sz w:val="16"/>
              </w:rPr>
              <w:t>(124)</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left="118"/>
              <w:rPr>
                <w:sz w:val="16"/>
              </w:rPr>
            </w:pPr>
            <w:r>
              <w:rPr>
                <w:spacing w:val="-5"/>
                <w:sz w:val="16"/>
              </w:rPr>
              <w:t>124</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58"/>
              <w:jc w:val="right"/>
              <w:rPr>
                <w:sz w:val="16"/>
              </w:rPr>
            </w:pPr>
            <w:r>
              <w:rPr>
                <w:spacing w:val="-4"/>
                <w:sz w:val="16"/>
              </w:rPr>
              <w:t>(28)</w:t>
            </w:r>
          </w:p>
        </w:tc>
        <w:tc>
          <w:tcPr>
            <w:tcW w:w="339" w:type="dxa"/>
            <w:tcBorders>
              <w:bottom w:val="single" w:sz="8" w:space="0" w:color="000000"/>
            </w:tcBorders>
          </w:tcPr>
          <w:p>
            <w:pPr>
              <w:pStyle w:val="TableParagraph"/>
              <w:rPr>
                <w:rFonts w:ascii="Times New Roman"/>
                <w:sz w:val="16"/>
              </w:rPr>
            </w:pPr>
          </w:p>
        </w:tc>
        <w:tc>
          <w:tcPr>
            <w:tcW w:w="792" w:type="dxa"/>
            <w:tcBorders>
              <w:bottom w:val="single" w:sz="8" w:space="0" w:color="000000"/>
            </w:tcBorders>
          </w:tcPr>
          <w:p>
            <w:pPr>
              <w:pStyle w:val="TableParagraph"/>
              <w:rPr>
                <w:rFonts w:ascii="Times New Roman"/>
                <w:sz w:val="16"/>
              </w:rPr>
            </w:pPr>
          </w:p>
        </w:tc>
        <w:tc>
          <w:tcPr>
            <w:tcW w:w="425" w:type="dxa"/>
            <w:tcBorders>
              <w:bottom w:val="single" w:sz="8" w:space="0" w:color="000000"/>
            </w:tcBorders>
          </w:tcPr>
          <w:p>
            <w:pPr>
              <w:pStyle w:val="TableParagraph"/>
              <w:spacing w:line="184" w:lineRule="exact" w:before="25"/>
              <w:ind w:left="182"/>
              <w:rPr>
                <w:sz w:val="16"/>
              </w:rPr>
            </w:pPr>
            <w:r>
              <w:rPr>
                <w:spacing w:val="-5"/>
                <w:sz w:val="16"/>
              </w:rPr>
              <w:t>28</w:t>
            </w:r>
          </w:p>
        </w:tc>
      </w:tr>
      <w:tr>
        <w:trPr>
          <w:trHeight w:val="220" w:hRule="atLeast"/>
        </w:trPr>
        <w:tc>
          <w:tcPr>
            <w:tcW w:w="2982" w:type="dxa"/>
          </w:tcPr>
          <w:p>
            <w:pPr>
              <w:pStyle w:val="TableParagraph"/>
              <w:rPr>
                <w:rFonts w:ascii="Times New Roman"/>
                <w:sz w:val="14"/>
              </w:rPr>
            </w:pPr>
          </w:p>
        </w:tc>
        <w:tc>
          <w:tcPr>
            <w:tcW w:w="328" w:type="dxa"/>
            <w:tcBorders>
              <w:top w:val="single" w:sz="8" w:space="0" w:color="000000"/>
              <w:bottom w:val="single" w:sz="8" w:space="0" w:color="000000"/>
            </w:tcBorders>
          </w:tcPr>
          <w:p>
            <w:pPr>
              <w:pStyle w:val="TableParagraph"/>
              <w:spacing w:line="184" w:lineRule="exact" w:before="16"/>
              <w:ind w:right="131"/>
              <w:jc w:val="center"/>
              <w:rPr>
                <w:sz w:val="16"/>
              </w:rPr>
            </w:pPr>
            <w:r>
              <w:rPr>
                <w:spacing w:val="-10"/>
                <w:sz w:val="16"/>
              </w:rPr>
              <w:t>$</w:t>
            </w: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right="60"/>
              <w:jc w:val="right"/>
              <w:rPr>
                <w:sz w:val="16"/>
              </w:rPr>
            </w:pPr>
            <w:r>
              <w:rPr>
                <w:spacing w:val="-2"/>
                <w:sz w:val="16"/>
              </w:rPr>
              <w:t>(114)</w:t>
            </w:r>
          </w:p>
        </w:tc>
        <w:tc>
          <w:tcPr>
            <w:tcW w:w="339" w:type="dxa"/>
            <w:tcBorders>
              <w:top w:val="single" w:sz="8" w:space="0" w:color="000000"/>
              <w:bottom w:val="single" w:sz="8" w:space="0" w:color="000000"/>
            </w:tcBorders>
          </w:tcPr>
          <w:p>
            <w:pPr>
              <w:pStyle w:val="TableParagraph"/>
              <w:spacing w:line="184" w:lineRule="exact" w:before="16"/>
              <w:ind w:right="118"/>
              <w:jc w:val="center"/>
              <w:rPr>
                <w:sz w:val="16"/>
              </w:rPr>
            </w:pPr>
            <w:r>
              <w:rPr>
                <w:spacing w:val="-10"/>
                <w:sz w:val="16"/>
              </w:rPr>
              <w:t>$</w:t>
            </w: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left="118"/>
              <w:rPr>
                <w:sz w:val="16"/>
              </w:rPr>
            </w:pPr>
            <w:r>
              <w:rPr>
                <w:spacing w:val="-5"/>
                <w:sz w:val="16"/>
              </w:rPr>
              <w:t>114</w:t>
            </w:r>
          </w:p>
        </w:tc>
        <w:tc>
          <w:tcPr>
            <w:tcW w:w="339" w:type="dxa"/>
            <w:tcBorders>
              <w:top w:val="single" w:sz="8" w:space="0" w:color="000000"/>
              <w:bottom w:val="single" w:sz="8" w:space="0" w:color="000000"/>
            </w:tcBorders>
          </w:tcPr>
          <w:p>
            <w:pPr>
              <w:pStyle w:val="TableParagraph"/>
              <w:spacing w:line="184" w:lineRule="exact" w:before="16"/>
              <w:ind w:left="66"/>
              <w:rPr>
                <w:sz w:val="16"/>
              </w:rPr>
            </w:pPr>
            <w:r>
              <w:rPr>
                <w:spacing w:val="-10"/>
                <w:sz w:val="16"/>
              </w:rPr>
              <w:t>$</w:t>
            </w: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right="58"/>
              <w:jc w:val="right"/>
              <w:rPr>
                <w:sz w:val="16"/>
              </w:rPr>
            </w:pPr>
            <w:r>
              <w:rPr>
                <w:spacing w:val="-5"/>
                <w:sz w:val="16"/>
              </w:rPr>
              <w:t>(4)</w:t>
            </w:r>
          </w:p>
        </w:tc>
        <w:tc>
          <w:tcPr>
            <w:tcW w:w="339" w:type="dxa"/>
            <w:tcBorders>
              <w:top w:val="single" w:sz="8" w:space="0" w:color="000000"/>
              <w:bottom w:val="single" w:sz="8" w:space="0" w:color="000000"/>
            </w:tcBorders>
          </w:tcPr>
          <w:p>
            <w:pPr>
              <w:pStyle w:val="TableParagraph"/>
              <w:spacing w:line="184" w:lineRule="exact" w:before="16"/>
              <w:ind w:left="67"/>
              <w:rPr>
                <w:sz w:val="16"/>
              </w:rPr>
            </w:pPr>
            <w:r>
              <w:rPr>
                <w:spacing w:val="-10"/>
                <w:sz w:val="16"/>
              </w:rPr>
              <w:t>$</w:t>
            </w:r>
          </w:p>
        </w:tc>
        <w:tc>
          <w:tcPr>
            <w:tcW w:w="792" w:type="dxa"/>
            <w:tcBorders>
              <w:top w:val="single" w:sz="8" w:space="0" w:color="000000"/>
              <w:bottom w:val="single" w:sz="8" w:space="0" w:color="000000"/>
            </w:tcBorders>
          </w:tcPr>
          <w:p>
            <w:pPr>
              <w:pStyle w:val="TableParagraph"/>
              <w:rPr>
                <w:rFonts w:ascii="Times New Roman"/>
                <w:sz w:val="14"/>
              </w:rPr>
            </w:pPr>
          </w:p>
        </w:tc>
        <w:tc>
          <w:tcPr>
            <w:tcW w:w="425" w:type="dxa"/>
            <w:tcBorders>
              <w:top w:val="single" w:sz="8" w:space="0" w:color="000000"/>
              <w:bottom w:val="single" w:sz="8" w:space="0" w:color="000000"/>
            </w:tcBorders>
          </w:tcPr>
          <w:p>
            <w:pPr>
              <w:pStyle w:val="TableParagraph"/>
              <w:spacing w:line="184" w:lineRule="exact" w:before="16"/>
              <w:ind w:left="271"/>
              <w:rPr>
                <w:sz w:val="16"/>
              </w:rPr>
            </w:pPr>
            <w:r>
              <w:rPr>
                <w:spacing w:val="-10"/>
                <w:sz w:val="16"/>
              </w:rPr>
              <w:t>4</w:t>
            </w:r>
          </w:p>
        </w:tc>
      </w:tr>
      <w:tr>
        <w:trPr>
          <w:trHeight w:val="470" w:hRule="atLeast"/>
        </w:trPr>
        <w:tc>
          <w:tcPr>
            <w:tcW w:w="2982" w:type="dxa"/>
          </w:tcPr>
          <w:p>
            <w:pPr>
              <w:pStyle w:val="TableParagraph"/>
              <w:spacing w:before="16"/>
              <w:ind w:left="50"/>
              <w:rPr>
                <w:sz w:val="16"/>
              </w:rPr>
            </w:pPr>
            <w:r>
              <w:rPr>
                <w:sz w:val="16"/>
              </w:rPr>
              <w:t>Derivative</w:t>
            </w:r>
            <w:r>
              <w:rPr>
                <w:spacing w:val="-8"/>
                <w:sz w:val="16"/>
              </w:rPr>
              <w:t> </w:t>
            </w:r>
            <w:r>
              <w:rPr>
                <w:sz w:val="16"/>
              </w:rPr>
              <w:t>liabilities,</w:t>
            </w:r>
            <w:r>
              <w:rPr>
                <w:spacing w:val="-7"/>
                <w:sz w:val="16"/>
              </w:rPr>
              <w:t> </w:t>
            </w:r>
            <w:r>
              <w:rPr>
                <w:spacing w:val="-5"/>
                <w:sz w:val="16"/>
              </w:rPr>
              <w:t>net</w:t>
            </w:r>
          </w:p>
          <w:p>
            <w:pPr>
              <w:pStyle w:val="TableParagraph"/>
              <w:spacing w:before="56"/>
              <w:ind w:left="50"/>
              <w:rPr>
                <w:sz w:val="16"/>
              </w:rPr>
            </w:pPr>
            <w:r>
              <w:rPr>
                <w:sz w:val="16"/>
              </w:rPr>
              <w:t>Transfer</w:t>
            </w:r>
            <w:r>
              <w:rPr>
                <w:spacing w:val="-5"/>
                <w:sz w:val="16"/>
              </w:rPr>
              <w:t> </w:t>
            </w:r>
            <w:r>
              <w:rPr>
                <w:sz w:val="16"/>
              </w:rPr>
              <w:t>(into)</w:t>
            </w:r>
            <w:r>
              <w:rPr>
                <w:spacing w:val="-5"/>
                <w:sz w:val="16"/>
              </w:rPr>
              <w:t> </w:t>
            </w:r>
            <w:r>
              <w:rPr>
                <w:sz w:val="16"/>
              </w:rPr>
              <w:t>out</w:t>
            </w:r>
            <w:r>
              <w:rPr>
                <w:spacing w:val="-4"/>
                <w:sz w:val="16"/>
              </w:rPr>
              <w:t> </w:t>
            </w:r>
            <w:r>
              <w:rPr>
                <w:spacing w:val="-5"/>
                <w:sz w:val="16"/>
              </w:rPr>
              <w:t>of</w:t>
            </w:r>
          </w:p>
        </w:tc>
        <w:tc>
          <w:tcPr>
            <w:tcW w:w="328" w:type="dxa"/>
            <w:tcBorders>
              <w:top w:val="single" w:sz="8" w:space="0" w:color="000000"/>
            </w:tcBorders>
          </w:tcPr>
          <w:p>
            <w:pPr>
              <w:pStyle w:val="TableParagraph"/>
              <w:spacing w:before="72"/>
              <w:rPr>
                <w:rFonts w:ascii="Arial"/>
                <w:i/>
                <w:sz w:val="16"/>
              </w:rPr>
            </w:pPr>
          </w:p>
          <w:p>
            <w:pPr>
              <w:pStyle w:val="TableParagraph"/>
              <w:ind w:right="131"/>
              <w:jc w:val="center"/>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right="60"/>
              <w:jc w:val="right"/>
              <w:rPr>
                <w:sz w:val="16"/>
              </w:rPr>
            </w:pPr>
            <w:r>
              <w:rPr>
                <w:spacing w:val="-2"/>
                <w:sz w:val="16"/>
              </w:rPr>
              <w:t>(328)</w:t>
            </w:r>
          </w:p>
        </w:tc>
        <w:tc>
          <w:tcPr>
            <w:tcW w:w="339" w:type="dxa"/>
            <w:tcBorders>
              <w:top w:val="single" w:sz="8" w:space="0" w:color="000000"/>
            </w:tcBorders>
          </w:tcPr>
          <w:p>
            <w:pPr>
              <w:pStyle w:val="TableParagraph"/>
              <w:spacing w:before="72"/>
              <w:rPr>
                <w:rFonts w:ascii="Arial"/>
                <w:i/>
                <w:sz w:val="16"/>
              </w:rPr>
            </w:pPr>
          </w:p>
          <w:p>
            <w:pPr>
              <w:pStyle w:val="TableParagraph"/>
              <w:ind w:right="118"/>
              <w:jc w:val="center"/>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left="118"/>
              <w:rPr>
                <w:sz w:val="16"/>
              </w:rPr>
            </w:pPr>
            <w:r>
              <w:rPr>
                <w:spacing w:val="-5"/>
                <w:sz w:val="16"/>
              </w:rPr>
              <w:t>328</w:t>
            </w:r>
          </w:p>
        </w:tc>
        <w:tc>
          <w:tcPr>
            <w:tcW w:w="339" w:type="dxa"/>
            <w:tcBorders>
              <w:top w:val="single" w:sz="8" w:space="0" w:color="000000"/>
            </w:tcBorders>
          </w:tcPr>
          <w:p>
            <w:pPr>
              <w:pStyle w:val="TableParagraph"/>
              <w:spacing w:before="72"/>
              <w:rPr>
                <w:rFonts w:ascii="Arial"/>
                <w:i/>
                <w:sz w:val="16"/>
              </w:rPr>
            </w:pPr>
          </w:p>
          <w:p>
            <w:pPr>
              <w:pStyle w:val="TableParagraph"/>
              <w:ind w:left="66"/>
              <w:rPr>
                <w:sz w:val="16"/>
              </w:rPr>
            </w:pPr>
            <w:r>
              <w:rPr>
                <w:spacing w:val="-10"/>
                <w:sz w:val="16"/>
              </w:rPr>
              <w:t>$</w:t>
            </w:r>
          </w:p>
        </w:tc>
        <w:tc>
          <w:tcPr>
            <w:tcW w:w="765" w:type="dxa"/>
            <w:tcBorders>
              <w:top w:val="single" w:sz="8" w:space="0" w:color="000000"/>
            </w:tcBorders>
          </w:tcPr>
          <w:p>
            <w:pPr>
              <w:pStyle w:val="TableParagraph"/>
              <w:rPr>
                <w:rFonts w:ascii="Times New Roman"/>
                <w:sz w:val="18"/>
              </w:rPr>
            </w:pPr>
          </w:p>
        </w:tc>
        <w:tc>
          <w:tcPr>
            <w:tcW w:w="500" w:type="dxa"/>
            <w:tcBorders>
              <w:top w:val="single" w:sz="8" w:space="0" w:color="000000"/>
            </w:tcBorders>
          </w:tcPr>
          <w:p>
            <w:pPr>
              <w:pStyle w:val="TableParagraph"/>
              <w:spacing w:before="72"/>
              <w:rPr>
                <w:rFonts w:ascii="Arial"/>
                <w:i/>
                <w:sz w:val="16"/>
              </w:rPr>
            </w:pPr>
          </w:p>
          <w:p>
            <w:pPr>
              <w:pStyle w:val="TableParagraph"/>
              <w:ind w:left="226"/>
              <w:rPr>
                <w:sz w:val="16"/>
              </w:rPr>
            </w:pPr>
            <w:r>
              <w:rPr>
                <w:sz w:val="16"/>
              </w:rPr>
              <w:t>—</w:t>
            </w:r>
          </w:p>
        </w:tc>
        <w:tc>
          <w:tcPr>
            <w:tcW w:w="339" w:type="dxa"/>
            <w:tcBorders>
              <w:top w:val="single" w:sz="8" w:space="0" w:color="000000"/>
            </w:tcBorders>
          </w:tcPr>
          <w:p>
            <w:pPr>
              <w:pStyle w:val="TableParagraph"/>
              <w:spacing w:before="72"/>
              <w:rPr>
                <w:rFonts w:ascii="Arial"/>
                <w:i/>
                <w:sz w:val="16"/>
              </w:rPr>
            </w:pPr>
          </w:p>
          <w:p>
            <w:pPr>
              <w:pStyle w:val="TableParagraph"/>
              <w:ind w:left="67"/>
              <w:rPr>
                <w:sz w:val="16"/>
              </w:rPr>
            </w:pPr>
            <w:r>
              <w:rPr>
                <w:spacing w:val="-10"/>
                <w:sz w:val="16"/>
              </w:rPr>
              <w:t>$</w:t>
            </w:r>
          </w:p>
        </w:tc>
        <w:tc>
          <w:tcPr>
            <w:tcW w:w="792" w:type="dxa"/>
            <w:tcBorders>
              <w:top w:val="single" w:sz="8" w:space="0" w:color="000000"/>
            </w:tcBorders>
          </w:tcPr>
          <w:p>
            <w:pPr>
              <w:pStyle w:val="TableParagraph"/>
              <w:rPr>
                <w:rFonts w:ascii="Times New Roman"/>
                <w:sz w:val="18"/>
              </w:rPr>
            </w:pPr>
          </w:p>
        </w:tc>
        <w:tc>
          <w:tcPr>
            <w:tcW w:w="425" w:type="dxa"/>
            <w:tcBorders>
              <w:top w:val="single" w:sz="8" w:space="0" w:color="000000"/>
            </w:tcBorders>
          </w:tcPr>
          <w:p>
            <w:pPr>
              <w:pStyle w:val="TableParagraph"/>
              <w:spacing w:before="72"/>
              <w:rPr>
                <w:rFonts w:ascii="Arial"/>
                <w:i/>
                <w:sz w:val="16"/>
              </w:rPr>
            </w:pPr>
          </w:p>
          <w:p>
            <w:pPr>
              <w:pStyle w:val="TableParagraph"/>
              <w:ind w:left="200"/>
              <w:rPr>
                <w:sz w:val="16"/>
              </w:rPr>
            </w:pPr>
            <w:r>
              <w:rPr>
                <w:sz w:val="16"/>
              </w:rPr>
              <w:t>—</w:t>
            </w:r>
          </w:p>
        </w:tc>
      </w:tr>
      <w:tr>
        <w:trPr>
          <w:trHeight w:val="229" w:hRule="atLeast"/>
        </w:trPr>
        <w:tc>
          <w:tcPr>
            <w:tcW w:w="2982" w:type="dxa"/>
          </w:tcPr>
          <w:p>
            <w:pPr>
              <w:pStyle w:val="TableParagraph"/>
              <w:spacing w:line="184" w:lineRule="exact" w:before="25"/>
              <w:ind w:left="50"/>
              <w:rPr>
                <w:sz w:val="16"/>
              </w:rPr>
            </w:pPr>
            <w:r>
              <w:rPr>
                <w:sz w:val="16"/>
              </w:rPr>
              <w:t>Transfer</w:t>
            </w:r>
            <w:r>
              <w:rPr>
                <w:spacing w:val="-4"/>
                <w:sz w:val="16"/>
              </w:rPr>
              <w:t> </w:t>
            </w:r>
            <w:r>
              <w:rPr>
                <w:sz w:val="16"/>
              </w:rPr>
              <w:t>out</w:t>
            </w:r>
            <w:r>
              <w:rPr>
                <w:spacing w:val="-4"/>
                <w:sz w:val="16"/>
              </w:rPr>
              <w:t> </w:t>
            </w:r>
            <w:r>
              <w:rPr>
                <w:sz w:val="16"/>
              </w:rPr>
              <w:t>of</w:t>
            </w:r>
            <w:r>
              <w:rPr>
                <w:spacing w:val="-4"/>
                <w:sz w:val="16"/>
              </w:rPr>
              <w:t> </w:t>
            </w:r>
            <w:r>
              <w:rPr>
                <w:spacing w:val="-2"/>
                <w:sz w:val="16"/>
              </w:rPr>
              <w:t>(into)</w:t>
            </w:r>
          </w:p>
        </w:tc>
        <w:tc>
          <w:tcPr>
            <w:tcW w:w="328"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113"/>
              <w:jc w:val="right"/>
              <w:rPr>
                <w:sz w:val="16"/>
              </w:rPr>
            </w:pPr>
            <w:r>
              <w:rPr>
                <w:spacing w:val="-5"/>
                <w:sz w:val="16"/>
              </w:rPr>
              <w:t>325</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right="59"/>
              <w:jc w:val="right"/>
              <w:rPr>
                <w:sz w:val="16"/>
              </w:rPr>
            </w:pPr>
            <w:r>
              <w:rPr>
                <w:spacing w:val="-2"/>
                <w:sz w:val="16"/>
              </w:rPr>
              <w:t>(325)</w:t>
            </w:r>
          </w:p>
        </w:tc>
        <w:tc>
          <w:tcPr>
            <w:tcW w:w="339" w:type="dxa"/>
            <w:tcBorders>
              <w:bottom w:val="single" w:sz="8" w:space="0" w:color="000000"/>
            </w:tcBorders>
          </w:tcPr>
          <w:p>
            <w:pPr>
              <w:pStyle w:val="TableParagraph"/>
              <w:rPr>
                <w:rFonts w:ascii="Times New Roman"/>
                <w:sz w:val="16"/>
              </w:rPr>
            </w:pPr>
          </w:p>
        </w:tc>
        <w:tc>
          <w:tcPr>
            <w:tcW w:w="765" w:type="dxa"/>
            <w:tcBorders>
              <w:bottom w:val="single" w:sz="8" w:space="0" w:color="000000"/>
            </w:tcBorders>
          </w:tcPr>
          <w:p>
            <w:pPr>
              <w:pStyle w:val="TableParagraph"/>
              <w:rPr>
                <w:rFonts w:ascii="Times New Roman"/>
                <w:sz w:val="16"/>
              </w:rPr>
            </w:pPr>
          </w:p>
        </w:tc>
        <w:tc>
          <w:tcPr>
            <w:tcW w:w="500" w:type="dxa"/>
            <w:tcBorders>
              <w:bottom w:val="single" w:sz="8" w:space="0" w:color="000000"/>
            </w:tcBorders>
          </w:tcPr>
          <w:p>
            <w:pPr>
              <w:pStyle w:val="TableParagraph"/>
              <w:spacing w:line="184" w:lineRule="exact" w:before="25"/>
              <w:ind w:left="297"/>
              <w:rPr>
                <w:sz w:val="16"/>
              </w:rPr>
            </w:pPr>
            <w:r>
              <w:rPr>
                <w:spacing w:val="-10"/>
                <w:sz w:val="16"/>
              </w:rPr>
              <w:t>9</w:t>
            </w:r>
          </w:p>
        </w:tc>
        <w:tc>
          <w:tcPr>
            <w:tcW w:w="339" w:type="dxa"/>
            <w:tcBorders>
              <w:bottom w:val="single" w:sz="8" w:space="0" w:color="000000"/>
            </w:tcBorders>
          </w:tcPr>
          <w:p>
            <w:pPr>
              <w:pStyle w:val="TableParagraph"/>
              <w:rPr>
                <w:rFonts w:ascii="Times New Roman"/>
                <w:sz w:val="16"/>
              </w:rPr>
            </w:pPr>
          </w:p>
        </w:tc>
        <w:tc>
          <w:tcPr>
            <w:tcW w:w="792" w:type="dxa"/>
            <w:tcBorders>
              <w:bottom w:val="single" w:sz="8" w:space="0" w:color="000000"/>
            </w:tcBorders>
          </w:tcPr>
          <w:p>
            <w:pPr>
              <w:pStyle w:val="TableParagraph"/>
              <w:rPr>
                <w:rFonts w:ascii="Times New Roman"/>
                <w:sz w:val="16"/>
              </w:rPr>
            </w:pPr>
          </w:p>
        </w:tc>
        <w:tc>
          <w:tcPr>
            <w:tcW w:w="425" w:type="dxa"/>
            <w:tcBorders>
              <w:bottom w:val="single" w:sz="8" w:space="0" w:color="000000"/>
            </w:tcBorders>
          </w:tcPr>
          <w:p>
            <w:pPr>
              <w:pStyle w:val="TableParagraph"/>
              <w:spacing w:line="184" w:lineRule="exact" w:before="25"/>
              <w:ind w:right="9"/>
              <w:jc w:val="right"/>
              <w:rPr>
                <w:sz w:val="16"/>
              </w:rPr>
            </w:pPr>
            <w:r>
              <w:rPr>
                <w:spacing w:val="-5"/>
                <w:sz w:val="16"/>
              </w:rPr>
              <w:t>(9)</w:t>
            </w:r>
          </w:p>
        </w:tc>
      </w:tr>
      <w:tr>
        <w:trPr>
          <w:trHeight w:val="220" w:hRule="atLeast"/>
        </w:trPr>
        <w:tc>
          <w:tcPr>
            <w:tcW w:w="2982" w:type="dxa"/>
          </w:tcPr>
          <w:p>
            <w:pPr>
              <w:pStyle w:val="TableParagraph"/>
              <w:rPr>
                <w:rFonts w:ascii="Times New Roman"/>
                <w:sz w:val="14"/>
              </w:rPr>
            </w:pPr>
          </w:p>
        </w:tc>
        <w:tc>
          <w:tcPr>
            <w:tcW w:w="328" w:type="dxa"/>
            <w:tcBorders>
              <w:top w:val="single" w:sz="8" w:space="0" w:color="000000"/>
              <w:bottom w:val="single" w:sz="8" w:space="0" w:color="000000"/>
            </w:tcBorders>
          </w:tcPr>
          <w:p>
            <w:pPr>
              <w:pStyle w:val="TableParagraph"/>
              <w:rPr>
                <w:rFonts w:ascii="Times New Roman"/>
                <w:sz w:val="14"/>
              </w:rPr>
            </w:pP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right="60"/>
              <w:jc w:val="right"/>
              <w:rPr>
                <w:sz w:val="16"/>
              </w:rPr>
            </w:pPr>
            <w:r>
              <w:rPr>
                <w:spacing w:val="-5"/>
                <w:sz w:val="16"/>
              </w:rPr>
              <w:t>(3)</w:t>
            </w:r>
          </w:p>
        </w:tc>
        <w:tc>
          <w:tcPr>
            <w:tcW w:w="339" w:type="dxa"/>
            <w:tcBorders>
              <w:top w:val="single" w:sz="8" w:space="0" w:color="000000"/>
              <w:bottom w:val="single" w:sz="8" w:space="0" w:color="000000"/>
            </w:tcBorders>
          </w:tcPr>
          <w:p>
            <w:pPr>
              <w:pStyle w:val="TableParagraph"/>
              <w:rPr>
                <w:rFonts w:ascii="Times New Roman"/>
                <w:sz w:val="14"/>
              </w:rPr>
            </w:pP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left="296"/>
              <w:rPr>
                <w:sz w:val="16"/>
              </w:rPr>
            </w:pPr>
            <w:r>
              <w:rPr>
                <w:spacing w:val="-10"/>
                <w:sz w:val="16"/>
              </w:rPr>
              <w:t>3</w:t>
            </w:r>
          </w:p>
        </w:tc>
        <w:tc>
          <w:tcPr>
            <w:tcW w:w="339" w:type="dxa"/>
            <w:tcBorders>
              <w:top w:val="single" w:sz="8" w:space="0" w:color="000000"/>
              <w:bottom w:val="single" w:sz="8" w:space="0" w:color="000000"/>
            </w:tcBorders>
          </w:tcPr>
          <w:p>
            <w:pPr>
              <w:pStyle w:val="TableParagraph"/>
              <w:rPr>
                <w:rFonts w:ascii="Times New Roman"/>
                <w:sz w:val="14"/>
              </w:rPr>
            </w:pPr>
          </w:p>
        </w:tc>
        <w:tc>
          <w:tcPr>
            <w:tcW w:w="765" w:type="dxa"/>
            <w:tcBorders>
              <w:top w:val="single" w:sz="8" w:space="0" w:color="000000"/>
              <w:bottom w:val="single" w:sz="8" w:space="0" w:color="000000"/>
            </w:tcBorders>
          </w:tcPr>
          <w:p>
            <w:pPr>
              <w:pStyle w:val="TableParagraph"/>
              <w:rPr>
                <w:rFonts w:ascii="Times New Roman"/>
                <w:sz w:val="14"/>
              </w:rPr>
            </w:pPr>
          </w:p>
        </w:tc>
        <w:tc>
          <w:tcPr>
            <w:tcW w:w="500" w:type="dxa"/>
            <w:tcBorders>
              <w:top w:val="single" w:sz="8" w:space="0" w:color="000000"/>
              <w:bottom w:val="single" w:sz="8" w:space="0" w:color="000000"/>
            </w:tcBorders>
          </w:tcPr>
          <w:p>
            <w:pPr>
              <w:pStyle w:val="TableParagraph"/>
              <w:spacing w:line="184" w:lineRule="exact" w:before="16"/>
              <w:ind w:left="297"/>
              <w:rPr>
                <w:sz w:val="16"/>
              </w:rPr>
            </w:pPr>
            <w:r>
              <w:rPr>
                <w:spacing w:val="-10"/>
                <w:sz w:val="16"/>
              </w:rPr>
              <w:t>9</w:t>
            </w:r>
          </w:p>
        </w:tc>
        <w:tc>
          <w:tcPr>
            <w:tcW w:w="339" w:type="dxa"/>
            <w:tcBorders>
              <w:top w:val="single" w:sz="8" w:space="0" w:color="000000"/>
              <w:bottom w:val="single" w:sz="8" w:space="0" w:color="000000"/>
            </w:tcBorders>
          </w:tcPr>
          <w:p>
            <w:pPr>
              <w:pStyle w:val="TableParagraph"/>
              <w:rPr>
                <w:rFonts w:ascii="Times New Roman"/>
                <w:sz w:val="14"/>
              </w:rPr>
            </w:pPr>
          </w:p>
        </w:tc>
        <w:tc>
          <w:tcPr>
            <w:tcW w:w="792" w:type="dxa"/>
            <w:tcBorders>
              <w:top w:val="single" w:sz="8" w:space="0" w:color="000000"/>
              <w:bottom w:val="single" w:sz="8" w:space="0" w:color="000000"/>
            </w:tcBorders>
          </w:tcPr>
          <w:p>
            <w:pPr>
              <w:pStyle w:val="TableParagraph"/>
              <w:rPr>
                <w:rFonts w:ascii="Times New Roman"/>
                <w:sz w:val="14"/>
              </w:rPr>
            </w:pPr>
          </w:p>
        </w:tc>
        <w:tc>
          <w:tcPr>
            <w:tcW w:w="425" w:type="dxa"/>
            <w:tcBorders>
              <w:top w:val="single" w:sz="8" w:space="0" w:color="000000"/>
              <w:bottom w:val="single" w:sz="8" w:space="0" w:color="000000"/>
            </w:tcBorders>
          </w:tcPr>
          <w:p>
            <w:pPr>
              <w:pStyle w:val="TableParagraph"/>
              <w:spacing w:line="184" w:lineRule="exact" w:before="16"/>
              <w:ind w:right="9"/>
              <w:jc w:val="right"/>
              <w:rPr>
                <w:sz w:val="16"/>
              </w:rPr>
            </w:pPr>
            <w:r>
              <w:rPr>
                <w:spacing w:val="-5"/>
                <w:sz w:val="16"/>
              </w:rPr>
              <w:t>(9)</w:t>
            </w:r>
          </w:p>
        </w:tc>
      </w:tr>
      <w:tr>
        <w:trPr>
          <w:trHeight w:val="200" w:hRule="atLeast"/>
        </w:trPr>
        <w:tc>
          <w:tcPr>
            <w:tcW w:w="2982" w:type="dxa"/>
          </w:tcPr>
          <w:p>
            <w:pPr>
              <w:pStyle w:val="TableParagraph"/>
              <w:spacing w:line="164" w:lineRule="exact" w:before="16"/>
              <w:ind w:left="50"/>
              <w:rPr>
                <w:rFonts w:ascii="Arial"/>
                <w:b/>
                <w:sz w:val="16"/>
              </w:rPr>
            </w:pPr>
            <w:r>
              <w:rPr>
                <w:rFonts w:ascii="Arial"/>
                <w:b/>
                <w:sz w:val="16"/>
              </w:rPr>
              <w:t>Total</w:t>
            </w:r>
            <w:r>
              <w:rPr>
                <w:rFonts w:ascii="Arial"/>
                <w:b/>
                <w:spacing w:val="-6"/>
                <w:sz w:val="16"/>
              </w:rPr>
              <w:t> </w:t>
            </w:r>
            <w:r>
              <w:rPr>
                <w:rFonts w:ascii="Arial"/>
                <w:b/>
                <w:sz w:val="16"/>
              </w:rPr>
              <w:t>Derivative</w:t>
            </w:r>
            <w:r>
              <w:rPr>
                <w:rFonts w:ascii="Arial"/>
                <w:b/>
                <w:spacing w:val="-7"/>
                <w:sz w:val="16"/>
              </w:rPr>
              <w:t> </w:t>
            </w:r>
            <w:r>
              <w:rPr>
                <w:rFonts w:ascii="Arial"/>
                <w:b/>
                <w:sz w:val="16"/>
              </w:rPr>
              <w:t>Transfers,</w:t>
            </w:r>
            <w:r>
              <w:rPr>
                <w:rFonts w:ascii="Arial"/>
                <w:b/>
                <w:spacing w:val="-5"/>
                <w:sz w:val="16"/>
              </w:rPr>
              <w:t> net</w:t>
            </w:r>
          </w:p>
        </w:tc>
        <w:tc>
          <w:tcPr>
            <w:tcW w:w="328" w:type="dxa"/>
            <w:tcBorders>
              <w:top w:val="single" w:sz="8" w:space="0" w:color="000000"/>
              <w:bottom w:val="double" w:sz="8" w:space="0" w:color="000000"/>
            </w:tcBorders>
          </w:tcPr>
          <w:p>
            <w:pPr>
              <w:pStyle w:val="TableParagraph"/>
              <w:spacing w:line="164" w:lineRule="exact" w:before="16"/>
              <w:ind w:right="131"/>
              <w:jc w:val="center"/>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right="60"/>
              <w:jc w:val="right"/>
              <w:rPr>
                <w:sz w:val="16"/>
              </w:rPr>
            </w:pPr>
            <w:r>
              <w:rPr>
                <w:spacing w:val="-2"/>
                <w:sz w:val="16"/>
              </w:rPr>
              <w:t>(117)</w:t>
            </w:r>
          </w:p>
        </w:tc>
        <w:tc>
          <w:tcPr>
            <w:tcW w:w="339" w:type="dxa"/>
            <w:tcBorders>
              <w:top w:val="single" w:sz="8" w:space="0" w:color="000000"/>
              <w:bottom w:val="double" w:sz="8" w:space="0" w:color="000000"/>
            </w:tcBorders>
          </w:tcPr>
          <w:p>
            <w:pPr>
              <w:pStyle w:val="TableParagraph"/>
              <w:spacing w:line="164" w:lineRule="exact" w:before="16"/>
              <w:ind w:right="118"/>
              <w:jc w:val="center"/>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left="118"/>
              <w:rPr>
                <w:sz w:val="16"/>
              </w:rPr>
            </w:pPr>
            <w:r>
              <w:rPr>
                <w:spacing w:val="-5"/>
                <w:sz w:val="16"/>
              </w:rPr>
              <w:t>117</w:t>
            </w:r>
          </w:p>
        </w:tc>
        <w:tc>
          <w:tcPr>
            <w:tcW w:w="339" w:type="dxa"/>
            <w:tcBorders>
              <w:top w:val="single" w:sz="8" w:space="0" w:color="000000"/>
              <w:bottom w:val="double" w:sz="8" w:space="0" w:color="000000"/>
            </w:tcBorders>
          </w:tcPr>
          <w:p>
            <w:pPr>
              <w:pStyle w:val="TableParagraph"/>
              <w:spacing w:line="164" w:lineRule="exact" w:before="16"/>
              <w:ind w:left="66"/>
              <w:rPr>
                <w:sz w:val="16"/>
              </w:rPr>
            </w:pPr>
            <w:r>
              <w:rPr>
                <w:spacing w:val="-10"/>
                <w:sz w:val="16"/>
              </w:rPr>
              <w:t>$</w:t>
            </w:r>
          </w:p>
        </w:tc>
        <w:tc>
          <w:tcPr>
            <w:tcW w:w="765" w:type="dxa"/>
            <w:tcBorders>
              <w:top w:val="single" w:sz="8" w:space="0" w:color="000000"/>
              <w:bottom w:val="double" w:sz="8" w:space="0" w:color="000000"/>
            </w:tcBorders>
          </w:tcPr>
          <w:p>
            <w:pPr>
              <w:pStyle w:val="TableParagraph"/>
              <w:rPr>
                <w:rFonts w:ascii="Times New Roman"/>
                <w:sz w:val="12"/>
              </w:rPr>
            </w:pPr>
          </w:p>
        </w:tc>
        <w:tc>
          <w:tcPr>
            <w:tcW w:w="500" w:type="dxa"/>
            <w:tcBorders>
              <w:top w:val="single" w:sz="8" w:space="0" w:color="000000"/>
              <w:bottom w:val="double" w:sz="8" w:space="0" w:color="000000"/>
            </w:tcBorders>
          </w:tcPr>
          <w:p>
            <w:pPr>
              <w:pStyle w:val="TableParagraph"/>
              <w:spacing w:line="164" w:lineRule="exact" w:before="16"/>
              <w:ind w:left="297"/>
              <w:rPr>
                <w:sz w:val="16"/>
              </w:rPr>
            </w:pPr>
            <w:r>
              <w:rPr>
                <w:spacing w:val="-10"/>
                <w:sz w:val="16"/>
              </w:rPr>
              <w:t>5</w:t>
            </w:r>
          </w:p>
        </w:tc>
        <w:tc>
          <w:tcPr>
            <w:tcW w:w="339" w:type="dxa"/>
            <w:tcBorders>
              <w:top w:val="single" w:sz="8" w:space="0" w:color="000000"/>
              <w:bottom w:val="double" w:sz="8" w:space="0" w:color="000000"/>
            </w:tcBorders>
          </w:tcPr>
          <w:p>
            <w:pPr>
              <w:pStyle w:val="TableParagraph"/>
              <w:spacing w:line="164" w:lineRule="exact" w:before="16"/>
              <w:ind w:left="67"/>
              <w:rPr>
                <w:sz w:val="16"/>
              </w:rPr>
            </w:pPr>
            <w:r>
              <w:rPr>
                <w:spacing w:val="-10"/>
                <w:sz w:val="16"/>
              </w:rPr>
              <w:t>$</w:t>
            </w:r>
          </w:p>
        </w:tc>
        <w:tc>
          <w:tcPr>
            <w:tcW w:w="792" w:type="dxa"/>
            <w:tcBorders>
              <w:top w:val="single" w:sz="8" w:space="0" w:color="000000"/>
              <w:bottom w:val="double" w:sz="8" w:space="0" w:color="000000"/>
            </w:tcBorders>
          </w:tcPr>
          <w:p>
            <w:pPr>
              <w:pStyle w:val="TableParagraph"/>
              <w:rPr>
                <w:rFonts w:ascii="Times New Roman"/>
                <w:sz w:val="12"/>
              </w:rPr>
            </w:pPr>
          </w:p>
        </w:tc>
        <w:tc>
          <w:tcPr>
            <w:tcW w:w="425" w:type="dxa"/>
            <w:tcBorders>
              <w:top w:val="single" w:sz="8" w:space="0" w:color="000000"/>
              <w:bottom w:val="double" w:sz="8" w:space="0" w:color="000000"/>
            </w:tcBorders>
          </w:tcPr>
          <w:p>
            <w:pPr>
              <w:pStyle w:val="TableParagraph"/>
              <w:spacing w:line="164" w:lineRule="exact" w:before="16"/>
              <w:ind w:right="9"/>
              <w:jc w:val="right"/>
              <w:rPr>
                <w:sz w:val="16"/>
              </w:rPr>
            </w:pPr>
            <w:r>
              <w:rPr>
                <w:spacing w:val="-5"/>
                <w:sz w:val="16"/>
              </w:rPr>
              <w:t>(5)</w:t>
            </w:r>
          </w:p>
        </w:tc>
      </w:tr>
    </w:tbl>
    <w:p>
      <w:pPr>
        <w:pStyle w:val="BodyText"/>
        <w:spacing w:before="5"/>
        <w:rPr>
          <w:rFonts w:ascii="Arial"/>
          <w:i/>
          <w:sz w:val="16"/>
        </w:rPr>
      </w:pPr>
      <w:r>
        <w:rPr>
          <w:rFonts w:ascii="Arial"/>
          <w:i/>
          <w:sz w:val="16"/>
        </w:rPr>
        <mc:AlternateContent>
          <mc:Choice Requires="wps">
            <w:drawing>
              <wp:anchor distT="0" distB="0" distL="0" distR="0" allowOverlap="1" layoutInCell="1" locked="0" behindDoc="1" simplePos="0" relativeHeight="487769600">
                <wp:simplePos x="0" y="0"/>
                <wp:positionH relativeFrom="page">
                  <wp:posOffset>914400</wp:posOffset>
                </wp:positionH>
                <wp:positionV relativeFrom="paragraph">
                  <wp:posOffset>135255</wp:posOffset>
                </wp:positionV>
                <wp:extent cx="5934075" cy="1270"/>
                <wp:effectExtent l="0" t="0" r="0" b="0"/>
                <wp:wrapTopAndBottom/>
                <wp:docPr id="1019" name="Graphic 1019"/>
                <wp:cNvGraphicFramePr>
                  <a:graphicFrameLocks/>
                </wp:cNvGraphicFramePr>
                <a:graphic>
                  <a:graphicData uri="http://schemas.microsoft.com/office/word/2010/wordprocessingShape">
                    <wps:wsp>
                      <wps:cNvPr id="1019" name="Graphic 1019"/>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65003pt;width:467.25pt;height:.1pt;mso-position-horizontal-relative:page;mso-position-vertical-relative:paragraph;z-index:-15546880;mso-wrap-distance-left:0;mso-wrap-distance-right:0" id="docshape846" coordorigin="1440,213" coordsize="9345,0" path="m1440,213l10785,213e" filled="false" stroked="true" strokeweight="1pt" strokecolor="#000000">
                <v:path arrowok="t"/>
                <v:stroke dashstyle="solid"/>
                <w10:wrap type="topAndBottom"/>
              </v:shape>
            </w:pict>
          </mc:Fallback>
        </mc:AlternateContent>
      </w:r>
    </w:p>
    <w:p>
      <w:pPr>
        <w:pStyle w:val="BodyText"/>
        <w:spacing w:after="0"/>
        <w:rPr>
          <w:rFonts w:ascii="Arial"/>
          <w:i/>
          <w:sz w:val="16"/>
        </w:rPr>
        <w:sectPr>
          <w:type w:val="continuous"/>
          <w:pgSz w:w="12240" w:h="15840"/>
          <w:pgMar w:header="0" w:footer="0" w:top="1820" w:bottom="280" w:left="720" w:right="720"/>
        </w:sectPr>
      </w:pPr>
    </w:p>
    <w:p>
      <w:pPr>
        <w:pStyle w:val="BodyText"/>
        <w:spacing w:before="72"/>
        <w:ind w:left="720"/>
        <w:jc w:val="both"/>
      </w:pPr>
      <w:r>
        <w:rPr/>
        <w:t>The</w:t>
      </w:r>
      <w:r>
        <w:rPr>
          <w:spacing w:val="-5"/>
        </w:rPr>
        <w:t> </w:t>
      </w:r>
      <w:r>
        <w:rPr/>
        <w:t>following</w:t>
      </w:r>
      <w:r>
        <w:rPr>
          <w:spacing w:val="-2"/>
        </w:rPr>
        <w:t> </w:t>
      </w:r>
      <w:r>
        <w:rPr/>
        <w:t>tables</w:t>
      </w:r>
      <w:r>
        <w:rPr>
          <w:spacing w:val="-3"/>
        </w:rPr>
        <w:t> </w:t>
      </w:r>
      <w:r>
        <w:rPr/>
        <w:t>provide</w:t>
      </w:r>
      <w:r>
        <w:rPr>
          <w:spacing w:val="-3"/>
        </w:rPr>
        <w:t> </w:t>
      </w:r>
      <w:r>
        <w:rPr/>
        <w:t>a</w:t>
      </w:r>
      <w:r>
        <w:rPr>
          <w:spacing w:val="-2"/>
        </w:rPr>
        <w:t> </w:t>
      </w:r>
      <w:r>
        <w:rPr/>
        <w:t>summary</w:t>
      </w:r>
      <w:r>
        <w:rPr>
          <w:spacing w:val="-2"/>
        </w:rPr>
        <w:t> </w:t>
      </w:r>
      <w:r>
        <w:rPr/>
        <w:t>of</w:t>
      </w:r>
      <w:r>
        <w:rPr>
          <w:spacing w:val="-2"/>
        </w:rPr>
        <w:t> </w:t>
      </w:r>
      <w:r>
        <w:rPr/>
        <w:t>changes</w:t>
      </w:r>
      <w:r>
        <w:rPr>
          <w:spacing w:val="-3"/>
        </w:rPr>
        <w:t> </w:t>
      </w:r>
      <w:r>
        <w:rPr/>
        <w:t>in</w:t>
      </w:r>
      <w:r>
        <w:rPr>
          <w:spacing w:val="-1"/>
        </w:rPr>
        <w:t> </w:t>
      </w:r>
      <w:r>
        <w:rPr/>
        <w:t>the</w:t>
      </w:r>
      <w:r>
        <w:rPr>
          <w:spacing w:val="-3"/>
        </w:rPr>
        <w:t> </w:t>
      </w:r>
      <w:r>
        <w:rPr/>
        <w:t>fair</w:t>
      </w:r>
      <w:r>
        <w:rPr>
          <w:spacing w:val="-2"/>
        </w:rPr>
        <w:t> </w:t>
      </w:r>
      <w:r>
        <w:rPr/>
        <w:t>value</w:t>
      </w:r>
      <w:r>
        <w:rPr>
          <w:spacing w:val="-3"/>
        </w:rPr>
        <w:t> </w:t>
      </w:r>
      <w:r>
        <w:rPr/>
        <w:t>of</w:t>
      </w:r>
      <w:r>
        <w:rPr>
          <w:spacing w:val="-2"/>
        </w:rPr>
        <w:t> </w:t>
      </w:r>
      <w:r>
        <w:rPr/>
        <w:t>IBRD’s</w:t>
      </w:r>
      <w:r>
        <w:rPr>
          <w:spacing w:val="-2"/>
        </w:rPr>
        <w:t> </w:t>
      </w:r>
      <w:r>
        <w:rPr/>
        <w:t>Level</w:t>
      </w:r>
      <w:r>
        <w:rPr>
          <w:spacing w:val="-3"/>
        </w:rPr>
        <w:t> </w:t>
      </w:r>
      <w:r>
        <w:rPr/>
        <w:t>3</w:t>
      </w:r>
      <w:r>
        <w:rPr>
          <w:spacing w:val="-2"/>
        </w:rPr>
        <w:t> </w:t>
      </w:r>
      <w:r>
        <w:rPr/>
        <w:t>borrowings</w:t>
      </w:r>
      <w:r>
        <w:rPr>
          <w:spacing w:val="-3"/>
        </w:rPr>
        <w:t> </w:t>
      </w:r>
      <w:r>
        <w:rPr/>
        <w:t>and</w:t>
      </w:r>
      <w:r>
        <w:rPr>
          <w:spacing w:val="-1"/>
        </w:rPr>
        <w:t> </w:t>
      </w:r>
      <w:r>
        <w:rPr>
          <w:spacing w:val="-2"/>
        </w:rPr>
        <w:t>derivatives:</w:t>
      </w:r>
    </w:p>
    <w:p>
      <w:pPr>
        <w:pStyle w:val="BodyText"/>
        <w:spacing w:before="25"/>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0"/>
        <w:gridCol w:w="1928"/>
        <w:gridCol w:w="701"/>
        <w:gridCol w:w="1695"/>
        <w:gridCol w:w="535"/>
      </w:tblGrid>
      <w:tr>
        <w:trPr>
          <w:trHeight w:val="258" w:hRule="atLeast"/>
        </w:trPr>
        <w:tc>
          <w:tcPr>
            <w:tcW w:w="4500" w:type="dxa"/>
          </w:tcPr>
          <w:p>
            <w:pPr>
              <w:pStyle w:val="TableParagraph"/>
              <w:spacing w:line="221" w:lineRule="exact"/>
              <w:rPr>
                <w:rFonts w:ascii="Times New Roman"/>
                <w:b/>
                <w:sz w:val="20"/>
              </w:rPr>
            </w:pPr>
            <w:r>
              <w:rPr>
                <w:rFonts w:ascii="Times New Roman"/>
                <w:b/>
                <w:sz w:val="20"/>
              </w:rPr>
              <w:t>Table</w:t>
            </w:r>
            <w:r>
              <w:rPr>
                <w:rFonts w:ascii="Times New Roman"/>
                <w:b/>
                <w:spacing w:val="-4"/>
                <w:sz w:val="20"/>
              </w:rPr>
              <w:t> </w:t>
            </w:r>
            <w:r>
              <w:rPr>
                <w:rFonts w:ascii="Times New Roman"/>
                <w:b/>
                <w:sz w:val="20"/>
              </w:rPr>
              <w:t>L5:</w:t>
            </w:r>
            <w:r>
              <w:rPr>
                <w:rFonts w:ascii="Times New Roman"/>
                <w:b/>
                <w:spacing w:val="-3"/>
                <w:sz w:val="20"/>
              </w:rPr>
              <w:t> </w:t>
            </w:r>
            <w:r>
              <w:rPr>
                <w:rFonts w:ascii="Times New Roman"/>
                <w:b/>
                <w:sz w:val="20"/>
              </w:rPr>
              <w:t>Borrowings</w:t>
            </w:r>
            <w:r>
              <w:rPr>
                <w:rFonts w:ascii="Times New Roman"/>
                <w:b/>
                <w:spacing w:val="-3"/>
                <w:sz w:val="20"/>
              </w:rPr>
              <w:t> </w:t>
            </w:r>
            <w:r>
              <w:rPr>
                <w:rFonts w:ascii="Times New Roman"/>
                <w:b/>
                <w:sz w:val="20"/>
              </w:rPr>
              <w:t>Level</w:t>
            </w:r>
            <w:r>
              <w:rPr>
                <w:rFonts w:ascii="Times New Roman"/>
                <w:b/>
                <w:spacing w:val="-4"/>
                <w:sz w:val="20"/>
              </w:rPr>
              <w:t> </w:t>
            </w:r>
            <w:r>
              <w:rPr>
                <w:rFonts w:ascii="Times New Roman"/>
                <w:b/>
                <w:sz w:val="20"/>
              </w:rPr>
              <w:t>3</w:t>
            </w:r>
            <w:r>
              <w:rPr>
                <w:rFonts w:ascii="Times New Roman"/>
                <w:b/>
                <w:spacing w:val="-2"/>
                <w:sz w:val="20"/>
              </w:rPr>
              <w:t> changes</w:t>
            </w:r>
          </w:p>
        </w:tc>
        <w:tc>
          <w:tcPr>
            <w:tcW w:w="4859" w:type="dxa"/>
            <w:gridSpan w:val="4"/>
            <w:vMerge w:val="restart"/>
            <w:tcBorders>
              <w:bottom w:val="single" w:sz="8" w:space="0" w:color="000000"/>
            </w:tcBorders>
          </w:tcPr>
          <w:p>
            <w:pPr>
              <w:pStyle w:val="TableParagraph"/>
              <w:rPr>
                <w:rFonts w:ascii="Times New Roman"/>
                <w:sz w:val="16"/>
              </w:rPr>
            </w:pPr>
          </w:p>
        </w:tc>
      </w:tr>
      <w:tr>
        <w:trPr>
          <w:trHeight w:val="234" w:hRule="atLeast"/>
        </w:trPr>
        <w:tc>
          <w:tcPr>
            <w:tcW w:w="4500" w:type="dxa"/>
            <w:tcBorders>
              <w:bottom w:val="single" w:sz="8" w:space="0" w:color="000000"/>
            </w:tcBorders>
          </w:tcPr>
          <w:p>
            <w:pPr>
              <w:pStyle w:val="TableParagraph"/>
              <w:spacing w:line="183" w:lineRule="exact" w:before="31"/>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4859" w:type="dxa"/>
            <w:gridSpan w:val="4"/>
            <w:vMerge/>
            <w:tcBorders>
              <w:top w:val="nil"/>
              <w:bottom w:val="single" w:sz="8" w:space="0" w:color="000000"/>
            </w:tcBorders>
          </w:tcPr>
          <w:p>
            <w:pPr>
              <w:rPr>
                <w:sz w:val="2"/>
                <w:szCs w:val="2"/>
              </w:rPr>
            </w:pPr>
          </w:p>
        </w:tc>
      </w:tr>
      <w:tr>
        <w:trPr>
          <w:trHeight w:val="220" w:hRule="atLeast"/>
        </w:trPr>
        <w:tc>
          <w:tcPr>
            <w:tcW w:w="4500" w:type="dxa"/>
            <w:tcBorders>
              <w:top w:val="single" w:sz="8" w:space="0" w:color="000000"/>
            </w:tcBorders>
          </w:tcPr>
          <w:p>
            <w:pPr>
              <w:pStyle w:val="TableParagraph"/>
              <w:rPr>
                <w:rFonts w:ascii="Times New Roman"/>
                <w:sz w:val="14"/>
              </w:rPr>
            </w:pPr>
          </w:p>
        </w:tc>
        <w:tc>
          <w:tcPr>
            <w:tcW w:w="1928" w:type="dxa"/>
            <w:tcBorders>
              <w:top w:val="single" w:sz="8" w:space="0" w:color="000000"/>
              <w:bottom w:val="single" w:sz="8" w:space="0" w:color="000000"/>
            </w:tcBorders>
          </w:tcPr>
          <w:p>
            <w:pPr>
              <w:pStyle w:val="TableParagraph"/>
              <w:spacing w:line="183" w:lineRule="exact" w:before="16"/>
              <w:ind w:left="783"/>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p>
        </w:tc>
        <w:tc>
          <w:tcPr>
            <w:tcW w:w="701" w:type="dxa"/>
            <w:tcBorders>
              <w:top w:val="single" w:sz="8" w:space="0" w:color="000000"/>
              <w:bottom w:val="single" w:sz="8" w:space="0" w:color="000000"/>
            </w:tcBorders>
          </w:tcPr>
          <w:p>
            <w:pPr>
              <w:pStyle w:val="TableParagraph"/>
              <w:rPr>
                <w:rFonts w:ascii="Times New Roman"/>
                <w:sz w:val="14"/>
              </w:rPr>
            </w:pPr>
          </w:p>
        </w:tc>
        <w:tc>
          <w:tcPr>
            <w:tcW w:w="1695" w:type="dxa"/>
            <w:tcBorders>
              <w:top w:val="single" w:sz="8" w:space="0" w:color="000000"/>
              <w:bottom w:val="single" w:sz="8" w:space="0" w:color="000000"/>
            </w:tcBorders>
          </w:tcPr>
          <w:p>
            <w:pPr>
              <w:pStyle w:val="TableParagraph"/>
              <w:spacing w:line="183" w:lineRule="exact" w:before="16"/>
              <w:ind w:left="614"/>
              <w:rPr>
                <w:rFonts w:ascii="Arial"/>
                <w:i/>
                <w:sz w:val="16"/>
              </w:rPr>
            </w:pPr>
            <w:r>
              <w:rPr>
                <w:rFonts w:ascii="Arial"/>
                <w:i/>
                <w:sz w:val="16"/>
              </w:rPr>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tc>
        <w:tc>
          <w:tcPr>
            <w:tcW w:w="535" w:type="dxa"/>
            <w:tcBorders>
              <w:top w:val="single" w:sz="8" w:space="0" w:color="000000"/>
              <w:bottom w:val="single" w:sz="8" w:space="0" w:color="000000"/>
            </w:tcBorders>
          </w:tcPr>
          <w:p>
            <w:pPr>
              <w:pStyle w:val="TableParagraph"/>
              <w:rPr>
                <w:rFonts w:ascii="Times New Roman"/>
                <w:sz w:val="14"/>
              </w:rPr>
            </w:pPr>
          </w:p>
        </w:tc>
      </w:tr>
      <w:tr>
        <w:trPr>
          <w:trHeight w:val="230" w:hRule="atLeast"/>
        </w:trPr>
        <w:tc>
          <w:tcPr>
            <w:tcW w:w="4500" w:type="dxa"/>
          </w:tcPr>
          <w:p>
            <w:pPr>
              <w:pStyle w:val="TableParagraph"/>
              <w:spacing w:before="16"/>
              <w:ind w:left="52"/>
              <w:rPr>
                <w:sz w:val="16"/>
              </w:rPr>
            </w:pPr>
            <w:r>
              <w:rPr>
                <w:sz w:val="16"/>
              </w:rPr>
              <w:t>Beginning</w:t>
            </w:r>
            <w:r>
              <w:rPr>
                <w:spacing w:val="-4"/>
                <w:sz w:val="16"/>
              </w:rPr>
              <w:t> </w:t>
            </w:r>
            <w:r>
              <w:rPr>
                <w:sz w:val="16"/>
              </w:rPr>
              <w:t>of</w:t>
            </w:r>
            <w:r>
              <w:rPr>
                <w:spacing w:val="-3"/>
                <w:sz w:val="16"/>
              </w:rPr>
              <w:t> </w:t>
            </w:r>
            <w:r>
              <w:rPr>
                <w:sz w:val="16"/>
              </w:rPr>
              <w:t>the</w:t>
            </w:r>
            <w:r>
              <w:rPr>
                <w:spacing w:val="-4"/>
                <w:sz w:val="16"/>
              </w:rPr>
              <w:t> </w:t>
            </w:r>
            <w:r>
              <w:rPr>
                <w:sz w:val="16"/>
              </w:rPr>
              <w:t>fiscal</w:t>
            </w:r>
            <w:r>
              <w:rPr>
                <w:spacing w:val="-2"/>
                <w:sz w:val="16"/>
              </w:rPr>
              <w:t> </w:t>
            </w:r>
            <w:r>
              <w:rPr>
                <w:spacing w:val="-4"/>
                <w:sz w:val="16"/>
              </w:rPr>
              <w:t>year</w:t>
            </w:r>
          </w:p>
        </w:tc>
        <w:tc>
          <w:tcPr>
            <w:tcW w:w="1928" w:type="dxa"/>
            <w:tcBorders>
              <w:top w:val="single" w:sz="8" w:space="0" w:color="000000"/>
            </w:tcBorders>
          </w:tcPr>
          <w:p>
            <w:pPr>
              <w:pStyle w:val="TableParagraph"/>
              <w:spacing w:before="16"/>
              <w:ind w:left="52"/>
              <w:rPr>
                <w:sz w:val="16"/>
              </w:rPr>
            </w:pPr>
            <w:r>
              <w:rPr>
                <w:spacing w:val="-10"/>
                <w:sz w:val="16"/>
              </w:rPr>
              <w:t>$</w:t>
            </w:r>
          </w:p>
        </w:tc>
        <w:tc>
          <w:tcPr>
            <w:tcW w:w="701" w:type="dxa"/>
            <w:tcBorders>
              <w:top w:val="single" w:sz="8" w:space="0" w:color="000000"/>
            </w:tcBorders>
          </w:tcPr>
          <w:p>
            <w:pPr>
              <w:pStyle w:val="TableParagraph"/>
              <w:spacing w:before="16"/>
              <w:ind w:left="184"/>
              <w:rPr>
                <w:sz w:val="16"/>
              </w:rPr>
            </w:pPr>
            <w:r>
              <w:rPr>
                <w:spacing w:val="-2"/>
                <w:sz w:val="16"/>
              </w:rPr>
              <w:t>3,932</w:t>
            </w:r>
          </w:p>
        </w:tc>
        <w:tc>
          <w:tcPr>
            <w:tcW w:w="1695" w:type="dxa"/>
            <w:tcBorders>
              <w:top w:val="single" w:sz="8" w:space="0" w:color="000000"/>
            </w:tcBorders>
          </w:tcPr>
          <w:p>
            <w:pPr>
              <w:pStyle w:val="TableParagraph"/>
              <w:spacing w:before="16"/>
              <w:ind w:left="63"/>
              <w:rPr>
                <w:sz w:val="16"/>
              </w:rPr>
            </w:pPr>
            <w:r>
              <w:rPr>
                <w:spacing w:val="-10"/>
                <w:sz w:val="16"/>
              </w:rPr>
              <w:t>$</w:t>
            </w:r>
          </w:p>
        </w:tc>
        <w:tc>
          <w:tcPr>
            <w:tcW w:w="535" w:type="dxa"/>
            <w:tcBorders>
              <w:top w:val="single" w:sz="8" w:space="0" w:color="000000"/>
            </w:tcBorders>
          </w:tcPr>
          <w:p>
            <w:pPr>
              <w:pStyle w:val="TableParagraph"/>
              <w:spacing w:before="16"/>
              <w:ind w:left="1"/>
              <w:jc w:val="center"/>
              <w:rPr>
                <w:sz w:val="16"/>
              </w:rPr>
            </w:pPr>
            <w:r>
              <w:rPr>
                <w:spacing w:val="-2"/>
                <w:sz w:val="16"/>
              </w:rPr>
              <w:t>4,594</w:t>
            </w:r>
          </w:p>
        </w:tc>
      </w:tr>
      <w:tr>
        <w:trPr>
          <w:trHeight w:val="240" w:hRule="atLeast"/>
        </w:trPr>
        <w:tc>
          <w:tcPr>
            <w:tcW w:w="4500" w:type="dxa"/>
          </w:tcPr>
          <w:p>
            <w:pPr>
              <w:pStyle w:val="TableParagraph"/>
              <w:spacing w:before="25"/>
              <w:ind w:left="52"/>
              <w:rPr>
                <w:sz w:val="16"/>
              </w:rPr>
            </w:pPr>
            <w:r>
              <w:rPr>
                <w:spacing w:val="-2"/>
                <w:sz w:val="16"/>
              </w:rPr>
              <w:t>Issuances</w:t>
            </w:r>
          </w:p>
        </w:tc>
        <w:tc>
          <w:tcPr>
            <w:tcW w:w="1928" w:type="dxa"/>
          </w:tcPr>
          <w:p>
            <w:pPr>
              <w:pStyle w:val="TableParagraph"/>
              <w:rPr>
                <w:rFonts w:ascii="Times New Roman"/>
                <w:sz w:val="16"/>
              </w:rPr>
            </w:pPr>
          </w:p>
        </w:tc>
        <w:tc>
          <w:tcPr>
            <w:tcW w:w="701" w:type="dxa"/>
          </w:tcPr>
          <w:p>
            <w:pPr>
              <w:pStyle w:val="TableParagraph"/>
              <w:spacing w:before="25"/>
              <w:ind w:right="99"/>
              <w:jc w:val="right"/>
              <w:rPr>
                <w:sz w:val="16"/>
              </w:rPr>
            </w:pPr>
            <w:r>
              <w:rPr>
                <w:spacing w:val="-5"/>
                <w:sz w:val="16"/>
              </w:rPr>
              <w:t>396</w:t>
            </w:r>
          </w:p>
        </w:tc>
        <w:tc>
          <w:tcPr>
            <w:tcW w:w="1695" w:type="dxa"/>
          </w:tcPr>
          <w:p>
            <w:pPr>
              <w:pStyle w:val="TableParagraph"/>
              <w:rPr>
                <w:rFonts w:ascii="Times New Roman"/>
                <w:sz w:val="16"/>
              </w:rPr>
            </w:pPr>
          </w:p>
        </w:tc>
        <w:tc>
          <w:tcPr>
            <w:tcW w:w="535" w:type="dxa"/>
          </w:tcPr>
          <w:p>
            <w:pPr>
              <w:pStyle w:val="TableParagraph"/>
              <w:spacing w:before="25"/>
              <w:ind w:left="165"/>
              <w:jc w:val="center"/>
              <w:rPr>
                <w:sz w:val="16"/>
              </w:rPr>
            </w:pPr>
            <w:r>
              <w:rPr>
                <w:spacing w:val="-5"/>
                <w:sz w:val="16"/>
              </w:rPr>
              <w:t>355</w:t>
            </w:r>
          </w:p>
        </w:tc>
      </w:tr>
      <w:tr>
        <w:trPr>
          <w:trHeight w:val="720" w:hRule="atLeast"/>
        </w:trPr>
        <w:tc>
          <w:tcPr>
            <w:tcW w:w="4500" w:type="dxa"/>
          </w:tcPr>
          <w:p>
            <w:pPr>
              <w:pStyle w:val="TableParagraph"/>
              <w:spacing w:before="25"/>
              <w:ind w:left="52"/>
              <w:rPr>
                <w:sz w:val="16"/>
              </w:rPr>
            </w:pPr>
            <w:r>
              <w:rPr>
                <w:spacing w:val="-2"/>
                <w:sz w:val="16"/>
              </w:rPr>
              <w:t>Settlements</w:t>
            </w:r>
          </w:p>
          <w:p>
            <w:pPr>
              <w:pStyle w:val="TableParagraph"/>
              <w:spacing w:line="240" w:lineRule="atLeast"/>
              <w:ind w:left="232" w:right="157" w:hanging="180"/>
              <w:rPr>
                <w:sz w:val="16"/>
              </w:rPr>
            </w:pPr>
            <w:r>
              <w:rPr>
                <w:sz w:val="16"/>
              </w:rPr>
              <w:t>Total</w:t>
            </w:r>
            <w:r>
              <w:rPr>
                <w:spacing w:val="-12"/>
                <w:sz w:val="16"/>
              </w:rPr>
              <w:t> </w:t>
            </w:r>
            <w:r>
              <w:rPr>
                <w:sz w:val="16"/>
              </w:rPr>
              <w:t>realized/unrealized</w:t>
            </w:r>
            <w:r>
              <w:rPr>
                <w:spacing w:val="-11"/>
                <w:sz w:val="16"/>
              </w:rPr>
              <w:t> </w:t>
            </w:r>
            <w:r>
              <w:rPr>
                <w:sz w:val="16"/>
              </w:rPr>
              <w:t>mark-to-market</w:t>
            </w:r>
            <w:r>
              <w:rPr>
                <w:spacing w:val="-11"/>
                <w:sz w:val="16"/>
              </w:rPr>
              <w:t> </w:t>
            </w:r>
            <w:r>
              <w:rPr>
                <w:sz w:val="16"/>
              </w:rPr>
              <w:t>losses</w:t>
            </w:r>
            <w:r>
              <w:rPr>
                <w:spacing w:val="-11"/>
                <w:sz w:val="16"/>
              </w:rPr>
              <w:t> </w:t>
            </w:r>
            <w:r>
              <w:rPr>
                <w:sz w:val="16"/>
              </w:rPr>
              <w:t>(gains)</w:t>
            </w:r>
            <w:r>
              <w:rPr>
                <w:spacing w:val="-11"/>
                <w:sz w:val="16"/>
              </w:rPr>
              <w:t> </w:t>
            </w:r>
            <w:r>
              <w:rPr>
                <w:sz w:val="16"/>
              </w:rPr>
              <w:t>in: Net income</w:t>
            </w:r>
          </w:p>
        </w:tc>
        <w:tc>
          <w:tcPr>
            <w:tcW w:w="1928" w:type="dxa"/>
          </w:tcPr>
          <w:p>
            <w:pPr>
              <w:pStyle w:val="TableParagraph"/>
              <w:rPr>
                <w:rFonts w:ascii="Times New Roman"/>
                <w:sz w:val="16"/>
              </w:rPr>
            </w:pPr>
          </w:p>
        </w:tc>
        <w:tc>
          <w:tcPr>
            <w:tcW w:w="701" w:type="dxa"/>
          </w:tcPr>
          <w:p>
            <w:pPr>
              <w:pStyle w:val="TableParagraph"/>
              <w:spacing w:before="25"/>
              <w:ind w:right="61"/>
              <w:jc w:val="right"/>
              <w:rPr>
                <w:sz w:val="16"/>
              </w:rPr>
            </w:pPr>
            <w:r>
              <w:rPr>
                <w:spacing w:val="-2"/>
                <w:sz w:val="16"/>
              </w:rPr>
              <w:t>(1,014)</w:t>
            </w:r>
          </w:p>
          <w:p>
            <w:pPr>
              <w:pStyle w:val="TableParagraph"/>
              <w:spacing w:before="112"/>
              <w:rPr>
                <w:rFonts w:ascii="Times New Roman"/>
                <w:sz w:val="16"/>
              </w:rPr>
            </w:pPr>
          </w:p>
          <w:p>
            <w:pPr>
              <w:pStyle w:val="TableParagraph"/>
              <w:ind w:right="115"/>
              <w:jc w:val="right"/>
              <w:rPr>
                <w:sz w:val="16"/>
              </w:rPr>
            </w:pPr>
            <w:r>
              <w:rPr>
                <w:spacing w:val="-5"/>
                <w:sz w:val="16"/>
              </w:rPr>
              <w:t>294</w:t>
            </w:r>
          </w:p>
        </w:tc>
        <w:tc>
          <w:tcPr>
            <w:tcW w:w="1695" w:type="dxa"/>
          </w:tcPr>
          <w:p>
            <w:pPr>
              <w:pStyle w:val="TableParagraph"/>
              <w:rPr>
                <w:rFonts w:ascii="Times New Roman"/>
                <w:sz w:val="16"/>
              </w:rPr>
            </w:pPr>
          </w:p>
        </w:tc>
        <w:tc>
          <w:tcPr>
            <w:tcW w:w="535" w:type="dxa"/>
          </w:tcPr>
          <w:p>
            <w:pPr>
              <w:pStyle w:val="TableParagraph"/>
              <w:spacing w:before="25"/>
              <w:ind w:left="148"/>
              <w:rPr>
                <w:sz w:val="16"/>
              </w:rPr>
            </w:pPr>
            <w:r>
              <w:rPr>
                <w:spacing w:val="-2"/>
                <w:sz w:val="16"/>
              </w:rPr>
              <w:t>(371)</w:t>
            </w:r>
          </w:p>
          <w:p>
            <w:pPr>
              <w:pStyle w:val="TableParagraph"/>
              <w:spacing w:before="112"/>
              <w:rPr>
                <w:rFonts w:ascii="Times New Roman"/>
                <w:sz w:val="16"/>
              </w:rPr>
            </w:pPr>
          </w:p>
          <w:p>
            <w:pPr>
              <w:pStyle w:val="TableParagraph"/>
              <w:ind w:left="148"/>
              <w:rPr>
                <w:sz w:val="16"/>
              </w:rPr>
            </w:pPr>
            <w:r>
              <w:rPr>
                <w:spacing w:val="-2"/>
                <w:sz w:val="16"/>
              </w:rPr>
              <w:t>(711)</w:t>
            </w:r>
          </w:p>
        </w:tc>
      </w:tr>
      <w:tr>
        <w:trPr>
          <w:trHeight w:val="240" w:hRule="atLeast"/>
        </w:trPr>
        <w:tc>
          <w:tcPr>
            <w:tcW w:w="4500" w:type="dxa"/>
          </w:tcPr>
          <w:p>
            <w:pPr>
              <w:pStyle w:val="TableParagraph"/>
              <w:spacing w:before="25"/>
              <w:ind w:left="232"/>
              <w:rPr>
                <w:sz w:val="16"/>
              </w:rPr>
            </w:pPr>
            <w:r>
              <w:rPr>
                <w:sz w:val="16"/>
              </w:rPr>
              <w:t>Other</w:t>
            </w:r>
            <w:r>
              <w:rPr>
                <w:spacing w:val="-5"/>
                <w:sz w:val="16"/>
              </w:rPr>
              <w:t> </w:t>
            </w:r>
            <w:r>
              <w:rPr>
                <w:sz w:val="16"/>
              </w:rPr>
              <w:t>comprehensive</w:t>
            </w:r>
            <w:r>
              <w:rPr>
                <w:spacing w:val="-5"/>
                <w:sz w:val="16"/>
              </w:rPr>
              <w:t> </w:t>
            </w:r>
            <w:r>
              <w:rPr>
                <w:spacing w:val="-2"/>
                <w:sz w:val="16"/>
              </w:rPr>
              <w:t>income</w:t>
            </w:r>
          </w:p>
        </w:tc>
        <w:tc>
          <w:tcPr>
            <w:tcW w:w="1928" w:type="dxa"/>
          </w:tcPr>
          <w:p>
            <w:pPr>
              <w:pStyle w:val="TableParagraph"/>
              <w:rPr>
                <w:rFonts w:ascii="Times New Roman"/>
                <w:sz w:val="16"/>
              </w:rPr>
            </w:pPr>
          </w:p>
        </w:tc>
        <w:tc>
          <w:tcPr>
            <w:tcW w:w="701" w:type="dxa"/>
          </w:tcPr>
          <w:p>
            <w:pPr>
              <w:pStyle w:val="TableParagraph"/>
              <w:spacing w:before="25"/>
              <w:ind w:right="115"/>
              <w:jc w:val="right"/>
              <w:rPr>
                <w:sz w:val="16"/>
              </w:rPr>
            </w:pPr>
            <w:r>
              <w:rPr>
                <w:spacing w:val="-5"/>
                <w:sz w:val="16"/>
              </w:rPr>
              <w:t>25</w:t>
            </w:r>
          </w:p>
        </w:tc>
        <w:tc>
          <w:tcPr>
            <w:tcW w:w="1695" w:type="dxa"/>
          </w:tcPr>
          <w:p>
            <w:pPr>
              <w:pStyle w:val="TableParagraph"/>
              <w:rPr>
                <w:rFonts w:ascii="Times New Roman"/>
                <w:sz w:val="16"/>
              </w:rPr>
            </w:pPr>
          </w:p>
        </w:tc>
        <w:tc>
          <w:tcPr>
            <w:tcW w:w="535" w:type="dxa"/>
          </w:tcPr>
          <w:p>
            <w:pPr>
              <w:pStyle w:val="TableParagraph"/>
              <w:spacing w:before="25"/>
              <w:ind w:left="134"/>
              <w:jc w:val="center"/>
              <w:rPr>
                <w:sz w:val="16"/>
              </w:rPr>
            </w:pPr>
            <w:r>
              <w:rPr>
                <w:spacing w:val="-2"/>
                <w:sz w:val="16"/>
              </w:rPr>
              <w:t>(130)</w:t>
            </w:r>
          </w:p>
        </w:tc>
      </w:tr>
      <w:tr>
        <w:trPr>
          <w:trHeight w:val="229" w:hRule="atLeast"/>
        </w:trPr>
        <w:tc>
          <w:tcPr>
            <w:tcW w:w="4500" w:type="dxa"/>
          </w:tcPr>
          <w:p>
            <w:pPr>
              <w:pStyle w:val="TableParagraph"/>
              <w:spacing w:line="184" w:lineRule="exact" w:before="25"/>
              <w:ind w:left="52"/>
              <w:rPr>
                <w:sz w:val="16"/>
              </w:rPr>
            </w:pPr>
            <w:r>
              <w:rPr>
                <w:sz w:val="16"/>
              </w:rPr>
              <w:t>Transfers</w:t>
            </w:r>
            <w:r>
              <w:rPr>
                <w:spacing w:val="-4"/>
                <w:sz w:val="16"/>
              </w:rPr>
              <w:t> </w:t>
            </w:r>
            <w:r>
              <w:rPr>
                <w:sz w:val="16"/>
              </w:rPr>
              <w:t>(from)/to</w:t>
            </w:r>
            <w:r>
              <w:rPr>
                <w:spacing w:val="-4"/>
                <w:sz w:val="16"/>
              </w:rPr>
              <w:t> </w:t>
            </w:r>
            <w:r>
              <w:rPr>
                <w:sz w:val="16"/>
              </w:rPr>
              <w:t>Level</w:t>
            </w:r>
            <w:r>
              <w:rPr>
                <w:spacing w:val="-4"/>
                <w:sz w:val="16"/>
              </w:rPr>
              <w:t> </w:t>
            </w:r>
            <w:r>
              <w:rPr>
                <w:sz w:val="16"/>
              </w:rPr>
              <w:t>3,</w:t>
            </w:r>
            <w:r>
              <w:rPr>
                <w:spacing w:val="-3"/>
                <w:sz w:val="16"/>
              </w:rPr>
              <w:t> </w:t>
            </w:r>
            <w:r>
              <w:rPr>
                <w:spacing w:val="-5"/>
                <w:sz w:val="16"/>
              </w:rPr>
              <w:t>net</w:t>
            </w:r>
          </w:p>
        </w:tc>
        <w:tc>
          <w:tcPr>
            <w:tcW w:w="1928" w:type="dxa"/>
            <w:tcBorders>
              <w:bottom w:val="single" w:sz="8" w:space="0" w:color="000000"/>
            </w:tcBorders>
          </w:tcPr>
          <w:p>
            <w:pPr>
              <w:pStyle w:val="TableParagraph"/>
              <w:rPr>
                <w:rFonts w:ascii="Times New Roman"/>
                <w:sz w:val="16"/>
              </w:rPr>
            </w:pPr>
          </w:p>
        </w:tc>
        <w:tc>
          <w:tcPr>
            <w:tcW w:w="701" w:type="dxa"/>
            <w:tcBorders>
              <w:bottom w:val="single" w:sz="8" w:space="0" w:color="000000"/>
            </w:tcBorders>
          </w:tcPr>
          <w:p>
            <w:pPr>
              <w:pStyle w:val="TableParagraph"/>
              <w:spacing w:line="184" w:lineRule="exact" w:before="25"/>
              <w:ind w:right="61"/>
              <w:jc w:val="right"/>
              <w:rPr>
                <w:sz w:val="16"/>
              </w:rPr>
            </w:pPr>
            <w:r>
              <w:rPr>
                <w:spacing w:val="-4"/>
                <w:sz w:val="16"/>
              </w:rPr>
              <w:t>(26)</w:t>
            </w:r>
          </w:p>
        </w:tc>
        <w:tc>
          <w:tcPr>
            <w:tcW w:w="1695" w:type="dxa"/>
            <w:tcBorders>
              <w:bottom w:val="single" w:sz="8" w:space="0" w:color="000000"/>
            </w:tcBorders>
          </w:tcPr>
          <w:p>
            <w:pPr>
              <w:pStyle w:val="TableParagraph"/>
              <w:rPr>
                <w:rFonts w:ascii="Times New Roman"/>
                <w:sz w:val="16"/>
              </w:rPr>
            </w:pPr>
          </w:p>
        </w:tc>
        <w:tc>
          <w:tcPr>
            <w:tcW w:w="535" w:type="dxa"/>
            <w:tcBorders>
              <w:bottom w:val="single" w:sz="8" w:space="0" w:color="000000"/>
            </w:tcBorders>
          </w:tcPr>
          <w:p>
            <w:pPr>
              <w:pStyle w:val="TableParagraph"/>
              <w:spacing w:line="184" w:lineRule="exact" w:before="25"/>
              <w:ind w:left="134"/>
              <w:jc w:val="center"/>
              <w:rPr>
                <w:sz w:val="16"/>
              </w:rPr>
            </w:pPr>
            <w:r>
              <w:rPr>
                <w:spacing w:val="-5"/>
                <w:sz w:val="16"/>
              </w:rPr>
              <w:t>195</w:t>
            </w:r>
          </w:p>
        </w:tc>
      </w:tr>
      <w:tr>
        <w:trPr>
          <w:trHeight w:val="200" w:hRule="atLeast"/>
        </w:trPr>
        <w:tc>
          <w:tcPr>
            <w:tcW w:w="4500" w:type="dxa"/>
          </w:tcPr>
          <w:p>
            <w:pPr>
              <w:pStyle w:val="TableParagraph"/>
              <w:spacing w:line="164" w:lineRule="exact" w:before="16"/>
              <w:ind w:left="52"/>
              <w:rPr>
                <w:sz w:val="16"/>
              </w:rPr>
            </w:pPr>
            <w:r>
              <w:rPr>
                <w:sz w:val="16"/>
              </w:rPr>
              <w:t>End</w:t>
            </w:r>
            <w:r>
              <w:rPr>
                <w:spacing w:val="-3"/>
                <w:sz w:val="16"/>
              </w:rPr>
              <w:t> </w:t>
            </w:r>
            <w:r>
              <w:rPr>
                <w:sz w:val="16"/>
              </w:rPr>
              <w:t>of</w:t>
            </w:r>
            <w:r>
              <w:rPr>
                <w:spacing w:val="-1"/>
                <w:sz w:val="16"/>
              </w:rPr>
              <w:t> </w:t>
            </w:r>
            <w:r>
              <w:rPr>
                <w:sz w:val="16"/>
              </w:rPr>
              <w:t>the</w:t>
            </w:r>
            <w:r>
              <w:rPr>
                <w:spacing w:val="-2"/>
                <w:sz w:val="16"/>
              </w:rPr>
              <w:t> </w:t>
            </w:r>
            <w:r>
              <w:rPr>
                <w:sz w:val="16"/>
              </w:rPr>
              <w:t>fiscal</w:t>
            </w:r>
            <w:r>
              <w:rPr>
                <w:spacing w:val="-1"/>
                <w:sz w:val="16"/>
              </w:rPr>
              <w:t> </w:t>
            </w:r>
            <w:r>
              <w:rPr>
                <w:spacing w:val="-4"/>
                <w:sz w:val="16"/>
              </w:rPr>
              <w:t>year</w:t>
            </w:r>
          </w:p>
        </w:tc>
        <w:tc>
          <w:tcPr>
            <w:tcW w:w="1928" w:type="dxa"/>
            <w:tcBorders>
              <w:top w:val="single" w:sz="8" w:space="0" w:color="000000"/>
              <w:bottom w:val="double" w:sz="8" w:space="0" w:color="000000"/>
            </w:tcBorders>
          </w:tcPr>
          <w:p>
            <w:pPr>
              <w:pStyle w:val="TableParagraph"/>
              <w:spacing w:line="164" w:lineRule="exact" w:before="16"/>
              <w:ind w:left="52"/>
              <w:rPr>
                <w:sz w:val="16"/>
              </w:rPr>
            </w:pPr>
            <w:r>
              <w:rPr>
                <w:spacing w:val="-10"/>
                <w:sz w:val="16"/>
              </w:rPr>
              <w:t>$</w:t>
            </w:r>
          </w:p>
        </w:tc>
        <w:tc>
          <w:tcPr>
            <w:tcW w:w="701" w:type="dxa"/>
            <w:tcBorders>
              <w:top w:val="single" w:sz="8" w:space="0" w:color="000000"/>
              <w:bottom w:val="double" w:sz="8" w:space="0" w:color="000000"/>
            </w:tcBorders>
          </w:tcPr>
          <w:p>
            <w:pPr>
              <w:pStyle w:val="TableParagraph"/>
              <w:spacing w:line="164" w:lineRule="exact" w:before="16"/>
              <w:ind w:left="184"/>
              <w:rPr>
                <w:sz w:val="16"/>
              </w:rPr>
            </w:pPr>
            <w:r>
              <w:rPr>
                <w:spacing w:val="-2"/>
                <w:sz w:val="16"/>
              </w:rPr>
              <w:t>3,607</w:t>
            </w:r>
          </w:p>
        </w:tc>
        <w:tc>
          <w:tcPr>
            <w:tcW w:w="1695" w:type="dxa"/>
            <w:tcBorders>
              <w:top w:val="single" w:sz="8" w:space="0" w:color="000000"/>
              <w:bottom w:val="double" w:sz="8" w:space="0" w:color="000000"/>
            </w:tcBorders>
          </w:tcPr>
          <w:p>
            <w:pPr>
              <w:pStyle w:val="TableParagraph"/>
              <w:spacing w:line="164" w:lineRule="exact" w:before="16"/>
              <w:ind w:left="63"/>
              <w:rPr>
                <w:sz w:val="16"/>
              </w:rPr>
            </w:pPr>
            <w:r>
              <w:rPr>
                <w:spacing w:val="-10"/>
                <w:sz w:val="16"/>
              </w:rPr>
              <w:t>$</w:t>
            </w:r>
          </w:p>
        </w:tc>
        <w:tc>
          <w:tcPr>
            <w:tcW w:w="535" w:type="dxa"/>
            <w:tcBorders>
              <w:top w:val="single" w:sz="8" w:space="0" w:color="000000"/>
              <w:bottom w:val="double" w:sz="8" w:space="0" w:color="000000"/>
            </w:tcBorders>
          </w:tcPr>
          <w:p>
            <w:pPr>
              <w:pStyle w:val="TableParagraph"/>
              <w:spacing w:line="164" w:lineRule="exact" w:before="16"/>
              <w:ind w:left="1"/>
              <w:jc w:val="center"/>
              <w:rPr>
                <w:sz w:val="16"/>
              </w:rPr>
            </w:pPr>
            <w:r>
              <w:rPr>
                <w:spacing w:val="-2"/>
                <w:sz w:val="16"/>
              </w:rPr>
              <w:t>3,932</w:t>
            </w:r>
          </w:p>
        </w:tc>
      </w:tr>
      <w:tr>
        <w:trPr>
          <w:trHeight w:val="200" w:hRule="atLeast"/>
        </w:trPr>
        <w:tc>
          <w:tcPr>
            <w:tcW w:w="4500" w:type="dxa"/>
            <w:tcBorders>
              <w:bottom w:val="single" w:sz="8" w:space="0" w:color="000000"/>
            </w:tcBorders>
          </w:tcPr>
          <w:p>
            <w:pPr>
              <w:pStyle w:val="TableParagraph"/>
              <w:rPr>
                <w:rFonts w:ascii="Times New Roman"/>
                <w:sz w:val="12"/>
              </w:rPr>
            </w:pPr>
          </w:p>
        </w:tc>
        <w:tc>
          <w:tcPr>
            <w:tcW w:w="1928" w:type="dxa"/>
            <w:tcBorders>
              <w:top w:val="double" w:sz="8" w:space="0" w:color="000000"/>
              <w:bottom w:val="single" w:sz="8" w:space="0" w:color="000000"/>
            </w:tcBorders>
          </w:tcPr>
          <w:p>
            <w:pPr>
              <w:pStyle w:val="TableParagraph"/>
              <w:rPr>
                <w:rFonts w:ascii="Times New Roman"/>
                <w:sz w:val="12"/>
              </w:rPr>
            </w:pPr>
          </w:p>
        </w:tc>
        <w:tc>
          <w:tcPr>
            <w:tcW w:w="701" w:type="dxa"/>
            <w:tcBorders>
              <w:top w:val="double" w:sz="8" w:space="0" w:color="000000"/>
              <w:bottom w:val="single" w:sz="8" w:space="0" w:color="000000"/>
            </w:tcBorders>
          </w:tcPr>
          <w:p>
            <w:pPr>
              <w:pStyle w:val="TableParagraph"/>
              <w:rPr>
                <w:rFonts w:ascii="Times New Roman"/>
                <w:sz w:val="12"/>
              </w:rPr>
            </w:pPr>
          </w:p>
        </w:tc>
        <w:tc>
          <w:tcPr>
            <w:tcW w:w="1695" w:type="dxa"/>
            <w:tcBorders>
              <w:top w:val="double" w:sz="8" w:space="0" w:color="000000"/>
              <w:bottom w:val="single" w:sz="8" w:space="0" w:color="000000"/>
            </w:tcBorders>
          </w:tcPr>
          <w:p>
            <w:pPr>
              <w:pStyle w:val="TableParagraph"/>
              <w:rPr>
                <w:rFonts w:ascii="Times New Roman"/>
                <w:sz w:val="12"/>
              </w:rPr>
            </w:pPr>
          </w:p>
        </w:tc>
        <w:tc>
          <w:tcPr>
            <w:tcW w:w="535" w:type="dxa"/>
            <w:tcBorders>
              <w:top w:val="double" w:sz="8" w:space="0" w:color="000000"/>
              <w:bottom w:val="single" w:sz="8" w:space="0" w:color="000000"/>
            </w:tcBorders>
          </w:tcPr>
          <w:p>
            <w:pPr>
              <w:pStyle w:val="TableParagraph"/>
              <w:rPr>
                <w:rFonts w:ascii="Times New Roman"/>
                <w:sz w:val="12"/>
              </w:rPr>
            </w:pPr>
          </w:p>
        </w:tc>
      </w:tr>
      <w:tr>
        <w:trPr>
          <w:trHeight w:val="435" w:hRule="atLeast"/>
        </w:trPr>
        <w:tc>
          <w:tcPr>
            <w:tcW w:w="4500" w:type="dxa"/>
            <w:tcBorders>
              <w:top w:val="single" w:sz="8" w:space="0" w:color="000000"/>
            </w:tcBorders>
          </w:tcPr>
          <w:p>
            <w:pPr>
              <w:pStyle w:val="TableParagraph"/>
              <w:spacing w:before="158"/>
              <w:rPr>
                <w:rFonts w:ascii="Times New Roman"/>
                <w:b/>
                <w:sz w:val="20"/>
              </w:rPr>
            </w:pPr>
            <w:r>
              <w:rPr>
                <w:rFonts w:ascii="Times New Roman"/>
                <w:b/>
                <w:sz w:val="20"/>
              </w:rPr>
              <w:t>Table</w:t>
            </w:r>
            <w:r>
              <w:rPr>
                <w:rFonts w:ascii="Times New Roman"/>
                <w:b/>
                <w:spacing w:val="-4"/>
                <w:sz w:val="20"/>
              </w:rPr>
              <w:t> </w:t>
            </w:r>
            <w:r>
              <w:rPr>
                <w:rFonts w:ascii="Times New Roman"/>
                <w:b/>
                <w:sz w:val="20"/>
              </w:rPr>
              <w:t>L6:</w:t>
            </w:r>
            <w:r>
              <w:rPr>
                <w:rFonts w:ascii="Times New Roman"/>
                <w:b/>
                <w:spacing w:val="-3"/>
                <w:sz w:val="20"/>
              </w:rPr>
              <w:t> </w:t>
            </w:r>
            <w:r>
              <w:rPr>
                <w:rFonts w:ascii="Times New Roman"/>
                <w:b/>
                <w:sz w:val="20"/>
              </w:rPr>
              <w:t>Derivatives</w:t>
            </w:r>
            <w:r>
              <w:rPr>
                <w:rFonts w:ascii="Times New Roman"/>
                <w:b/>
                <w:spacing w:val="-3"/>
                <w:sz w:val="20"/>
              </w:rPr>
              <w:t> </w:t>
            </w:r>
            <w:r>
              <w:rPr>
                <w:rFonts w:ascii="Times New Roman"/>
                <w:b/>
                <w:sz w:val="20"/>
              </w:rPr>
              <w:t>Level</w:t>
            </w:r>
            <w:r>
              <w:rPr>
                <w:rFonts w:ascii="Times New Roman"/>
                <w:b/>
                <w:spacing w:val="-4"/>
                <w:sz w:val="20"/>
              </w:rPr>
              <w:t> </w:t>
            </w:r>
            <w:r>
              <w:rPr>
                <w:rFonts w:ascii="Times New Roman"/>
                <w:b/>
                <w:sz w:val="20"/>
              </w:rPr>
              <w:t>3</w:t>
            </w:r>
            <w:r>
              <w:rPr>
                <w:rFonts w:ascii="Times New Roman"/>
                <w:b/>
                <w:spacing w:val="-2"/>
                <w:sz w:val="20"/>
              </w:rPr>
              <w:t> changes</w:t>
            </w:r>
          </w:p>
        </w:tc>
        <w:tc>
          <w:tcPr>
            <w:tcW w:w="1928" w:type="dxa"/>
            <w:tcBorders>
              <w:top w:val="single" w:sz="8" w:space="0" w:color="000000"/>
            </w:tcBorders>
          </w:tcPr>
          <w:p>
            <w:pPr>
              <w:pStyle w:val="TableParagraph"/>
              <w:rPr>
                <w:rFonts w:ascii="Times New Roman"/>
                <w:sz w:val="16"/>
              </w:rPr>
            </w:pPr>
          </w:p>
        </w:tc>
        <w:tc>
          <w:tcPr>
            <w:tcW w:w="701" w:type="dxa"/>
            <w:tcBorders>
              <w:top w:val="single" w:sz="8" w:space="0" w:color="000000"/>
            </w:tcBorders>
          </w:tcPr>
          <w:p>
            <w:pPr>
              <w:pStyle w:val="TableParagraph"/>
              <w:rPr>
                <w:rFonts w:ascii="Times New Roman"/>
                <w:sz w:val="16"/>
              </w:rPr>
            </w:pPr>
          </w:p>
        </w:tc>
        <w:tc>
          <w:tcPr>
            <w:tcW w:w="1695" w:type="dxa"/>
            <w:tcBorders>
              <w:top w:val="single" w:sz="8" w:space="0" w:color="000000"/>
            </w:tcBorders>
          </w:tcPr>
          <w:p>
            <w:pPr>
              <w:pStyle w:val="TableParagraph"/>
              <w:rPr>
                <w:rFonts w:ascii="Times New Roman"/>
                <w:sz w:val="16"/>
              </w:rPr>
            </w:pPr>
          </w:p>
        </w:tc>
        <w:tc>
          <w:tcPr>
            <w:tcW w:w="535" w:type="dxa"/>
            <w:tcBorders>
              <w:top w:val="single" w:sz="8" w:space="0" w:color="000000"/>
            </w:tcBorders>
          </w:tcPr>
          <w:p>
            <w:pPr>
              <w:pStyle w:val="TableParagraph"/>
              <w:rPr>
                <w:rFonts w:ascii="Times New Roman"/>
                <w:sz w:val="16"/>
              </w:rPr>
            </w:pPr>
          </w:p>
        </w:tc>
      </w:tr>
      <w:tr>
        <w:trPr>
          <w:trHeight w:val="244" w:hRule="atLeast"/>
        </w:trPr>
        <w:tc>
          <w:tcPr>
            <w:tcW w:w="4500" w:type="dxa"/>
            <w:tcBorders>
              <w:bottom w:val="single" w:sz="8" w:space="0" w:color="000000"/>
            </w:tcBorders>
          </w:tcPr>
          <w:p>
            <w:pPr>
              <w:pStyle w:val="TableParagraph"/>
              <w:spacing w:line="183" w:lineRule="exact" w:before="41"/>
              <w:ind w:left="52"/>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c>
        <w:tc>
          <w:tcPr>
            <w:tcW w:w="1928" w:type="dxa"/>
            <w:tcBorders>
              <w:bottom w:val="single" w:sz="8" w:space="0" w:color="000000"/>
            </w:tcBorders>
          </w:tcPr>
          <w:p>
            <w:pPr>
              <w:pStyle w:val="TableParagraph"/>
              <w:rPr>
                <w:rFonts w:ascii="Times New Roman"/>
                <w:sz w:val="16"/>
              </w:rPr>
            </w:pPr>
          </w:p>
        </w:tc>
        <w:tc>
          <w:tcPr>
            <w:tcW w:w="701" w:type="dxa"/>
            <w:tcBorders>
              <w:bottom w:val="single" w:sz="8" w:space="0" w:color="000000"/>
            </w:tcBorders>
          </w:tcPr>
          <w:p>
            <w:pPr>
              <w:pStyle w:val="TableParagraph"/>
              <w:rPr>
                <w:rFonts w:ascii="Times New Roman"/>
                <w:sz w:val="16"/>
              </w:rPr>
            </w:pPr>
          </w:p>
        </w:tc>
        <w:tc>
          <w:tcPr>
            <w:tcW w:w="1695" w:type="dxa"/>
            <w:tcBorders>
              <w:bottom w:val="single" w:sz="8" w:space="0" w:color="000000"/>
            </w:tcBorders>
          </w:tcPr>
          <w:p>
            <w:pPr>
              <w:pStyle w:val="TableParagraph"/>
              <w:rPr>
                <w:rFonts w:ascii="Times New Roman"/>
                <w:sz w:val="16"/>
              </w:rPr>
            </w:pPr>
          </w:p>
        </w:tc>
        <w:tc>
          <w:tcPr>
            <w:tcW w:w="535" w:type="dxa"/>
            <w:tcBorders>
              <w:bottom w:val="single" w:sz="8" w:space="0" w:color="000000"/>
            </w:tcBorders>
          </w:tcPr>
          <w:p>
            <w:pPr>
              <w:pStyle w:val="TableParagraph"/>
              <w:rPr>
                <w:rFonts w:ascii="Times New Roman"/>
                <w:sz w:val="16"/>
              </w:rPr>
            </w:pPr>
          </w:p>
        </w:tc>
      </w:tr>
      <w:tr>
        <w:trPr>
          <w:trHeight w:val="440" w:hRule="atLeast"/>
        </w:trPr>
        <w:tc>
          <w:tcPr>
            <w:tcW w:w="4500" w:type="dxa"/>
          </w:tcPr>
          <w:p>
            <w:pPr>
              <w:pStyle w:val="TableParagraph"/>
              <w:spacing w:before="16"/>
              <w:ind w:left="3932"/>
              <w:rPr>
                <w:rFonts w:ascii="Arial"/>
                <w:i/>
                <w:sz w:val="16"/>
              </w:rPr>
            </w:pPr>
            <w:r>
              <w:rPr>
                <w:rFonts w:ascii="Arial"/>
                <w:i/>
                <w:spacing w:val="-4"/>
                <w:sz w:val="16"/>
              </w:rPr>
              <w:t>2023</w:t>
            </w:r>
          </w:p>
          <w:p>
            <w:pPr>
              <w:pStyle w:val="TableParagraph"/>
              <w:spacing w:line="164" w:lineRule="exact" w:before="56"/>
              <w:ind w:left="3026"/>
              <w:rPr>
                <w:rFonts w:ascii="Arial"/>
                <w:i/>
                <w:sz w:val="16"/>
              </w:rPr>
            </w:pPr>
            <w:r>
              <w:rPr>
                <w:rFonts w:ascii="Arial"/>
                <w:i/>
                <w:sz w:val="16"/>
              </w:rPr>
              <mc:AlternateContent>
                <mc:Choice Requires="wps">
                  <w:drawing>
                    <wp:anchor distT="0" distB="0" distL="0" distR="0" allowOverlap="1" layoutInCell="1" locked="0" behindDoc="1" simplePos="0" relativeHeight="470701568">
                      <wp:simplePos x="0" y="0"/>
                      <wp:positionH relativeFrom="column">
                        <wp:posOffset>1514475</wp:posOffset>
                      </wp:positionH>
                      <wp:positionV relativeFrom="paragraph">
                        <wp:posOffset>12242</wp:posOffset>
                      </wp:positionV>
                      <wp:extent cx="4419600" cy="12700"/>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4419600" cy="12700"/>
                                <a:chExt cx="4419600" cy="12700"/>
                              </a:xfrm>
                            </wpg:grpSpPr>
                            <wps:wsp>
                              <wps:cNvPr id="1025" name="Graphic 1025"/>
                              <wps:cNvSpPr/>
                              <wps:spPr>
                                <a:xfrm>
                                  <a:off x="0" y="6350"/>
                                  <a:ext cx="4419600" cy="1270"/>
                                </a:xfrm>
                                <a:custGeom>
                                  <a:avLst/>
                                  <a:gdLst/>
                                  <a:ahLst/>
                                  <a:cxnLst/>
                                  <a:rect l="l" t="t" r="r" b="b"/>
                                  <a:pathLst>
                                    <a:path w="4419600" h="0">
                                      <a:moveTo>
                                        <a:pt x="0" y="0"/>
                                      </a:moveTo>
                                      <a:lnTo>
                                        <a:pt x="2190750" y="0"/>
                                      </a:lnTo>
                                    </a:path>
                                    <a:path w="4419600" h="0">
                                      <a:moveTo>
                                        <a:pt x="2228850" y="0"/>
                                      </a:moveTo>
                                      <a:lnTo>
                                        <a:pt x="4419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25pt;margin-top:.96394pt;width:348pt;height:1pt;mso-position-horizontal-relative:column;mso-position-vertical-relative:paragraph;z-index:-32614912" id="docshapegroup851" coordorigin="2385,19" coordsize="6960,20">
                      <v:shape style="position:absolute;left:2385;top:29;width:6960;height:2" id="docshape852" coordorigin="2385,29" coordsize="6960,0" path="m2385,29l5835,29m5895,29l9345,29e" filled="false" stroked="true" strokeweight="1pt" strokecolor="#000000">
                        <v:path arrowok="t"/>
                        <v:stroke dashstyle="solid"/>
                      </v:shape>
                      <w10:wrap type="none"/>
                    </v:group>
                  </w:pict>
                </mc:Fallback>
              </mc:AlternateContent>
            </w:r>
            <w:r>
              <w:rPr>
                <w:rFonts w:ascii="Arial"/>
                <w:i/>
                <w:sz w:val="16"/>
              </w:rPr>
              <w:t>Derivatives,</w:t>
            </w:r>
            <w:r>
              <w:rPr>
                <w:rFonts w:ascii="Arial"/>
                <w:i/>
                <w:spacing w:val="-6"/>
                <w:sz w:val="16"/>
              </w:rPr>
              <w:t> </w:t>
            </w:r>
            <w:r>
              <w:rPr>
                <w:rFonts w:ascii="Arial"/>
                <w:i/>
                <w:spacing w:val="-2"/>
                <w:sz w:val="16"/>
              </w:rPr>
              <w:t>Assets/(</w:t>
            </w:r>
          </w:p>
        </w:tc>
        <w:tc>
          <w:tcPr>
            <w:tcW w:w="1928" w:type="dxa"/>
          </w:tcPr>
          <w:p>
            <w:pPr>
              <w:pStyle w:val="TableParagraph"/>
              <w:spacing w:before="72"/>
              <w:rPr>
                <w:rFonts w:ascii="Times New Roman"/>
                <w:sz w:val="16"/>
              </w:rPr>
            </w:pPr>
          </w:p>
          <w:p>
            <w:pPr>
              <w:pStyle w:val="TableParagraph"/>
              <w:spacing w:line="164" w:lineRule="exact"/>
              <w:ind w:left="-16"/>
              <w:rPr>
                <w:rFonts w:ascii="Arial"/>
                <w:i/>
                <w:sz w:val="16"/>
              </w:rPr>
            </w:pPr>
            <w:r>
              <w:rPr>
                <w:rFonts w:ascii="Arial"/>
                <w:i/>
                <w:spacing w:val="-2"/>
                <w:sz w:val="16"/>
              </w:rPr>
              <w:t>Liabilities)</w:t>
            </w:r>
          </w:p>
        </w:tc>
        <w:tc>
          <w:tcPr>
            <w:tcW w:w="701" w:type="dxa"/>
          </w:tcPr>
          <w:p>
            <w:pPr>
              <w:pStyle w:val="TableParagraph"/>
              <w:spacing w:before="72"/>
              <w:rPr>
                <w:rFonts w:ascii="Times New Roman"/>
                <w:sz w:val="16"/>
              </w:rPr>
            </w:pPr>
          </w:p>
          <w:p>
            <w:pPr>
              <w:pStyle w:val="TableParagraph"/>
              <w:spacing w:line="164" w:lineRule="exact"/>
              <w:ind w:right="-44"/>
              <w:jc w:val="right"/>
              <w:rPr>
                <w:rFonts w:ascii="Arial"/>
                <w:i/>
                <w:sz w:val="16"/>
              </w:rPr>
            </w:pPr>
            <w:r>
              <w:rPr>
                <w:rFonts w:ascii="Arial"/>
                <w:i/>
                <w:spacing w:val="-2"/>
                <w:sz w:val="16"/>
              </w:rPr>
              <w:t>Derivativ</w:t>
            </w:r>
          </w:p>
        </w:tc>
        <w:tc>
          <w:tcPr>
            <w:tcW w:w="1695" w:type="dxa"/>
          </w:tcPr>
          <w:p>
            <w:pPr>
              <w:pStyle w:val="TableParagraph"/>
              <w:spacing w:before="16"/>
              <w:ind w:left="313"/>
              <w:rPr>
                <w:rFonts w:ascii="Arial"/>
                <w:i/>
                <w:sz w:val="16"/>
              </w:rPr>
            </w:pPr>
            <w:r>
              <w:rPr>
                <w:rFonts w:ascii="Arial"/>
                <w:i/>
                <w:spacing w:val="-4"/>
                <w:sz w:val="16"/>
              </w:rPr>
              <w:t>2022</w:t>
            </w:r>
          </w:p>
          <w:p>
            <w:pPr>
              <w:pStyle w:val="TableParagraph"/>
              <w:spacing w:line="164" w:lineRule="exact" w:before="56"/>
              <w:ind w:left="29"/>
              <w:rPr>
                <w:rFonts w:ascii="Arial"/>
                <w:i/>
                <w:sz w:val="16"/>
              </w:rPr>
            </w:pPr>
            <w:r>
              <w:rPr>
                <w:rFonts w:ascii="Arial"/>
                <w:i/>
                <w:sz w:val="16"/>
              </w:rPr>
              <w:t>es,</w:t>
            </w:r>
            <w:r>
              <w:rPr>
                <w:rFonts w:ascii="Arial"/>
                <w:i/>
                <w:spacing w:val="-1"/>
                <w:sz w:val="16"/>
              </w:rPr>
              <w:t> </w:t>
            </w:r>
            <w:r>
              <w:rPr>
                <w:rFonts w:ascii="Arial"/>
                <w:i/>
                <w:spacing w:val="-2"/>
                <w:sz w:val="16"/>
              </w:rPr>
              <w:t>Assets/(Liabilities)</w:t>
            </w:r>
          </w:p>
        </w:tc>
        <w:tc>
          <w:tcPr>
            <w:tcW w:w="535" w:type="dxa"/>
          </w:tcPr>
          <w:p>
            <w:pPr>
              <w:pStyle w:val="TableParagraph"/>
              <w:rPr>
                <w:rFonts w:ascii="Times New Roman"/>
                <w:sz w:val="16"/>
              </w:rPr>
            </w:pPr>
          </w:p>
        </w:tc>
      </w:tr>
    </w:tbl>
    <w:p>
      <w:pPr>
        <w:pStyle w:val="BodyText"/>
        <w:spacing w:before="9"/>
        <w:rPr>
          <w:sz w:val="2"/>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82"/>
        <w:gridCol w:w="1158"/>
        <w:gridCol w:w="1169"/>
        <w:gridCol w:w="1169"/>
        <w:gridCol w:w="1169"/>
        <w:gridCol w:w="1169"/>
        <w:gridCol w:w="1120"/>
      </w:tblGrid>
      <w:tr>
        <w:trPr>
          <w:trHeight w:val="415" w:hRule="atLeast"/>
        </w:trPr>
        <w:tc>
          <w:tcPr>
            <w:tcW w:w="2382" w:type="dxa"/>
          </w:tcPr>
          <w:p>
            <w:pPr>
              <w:pStyle w:val="TableParagraph"/>
              <w:rPr>
                <w:rFonts w:ascii="Times New Roman"/>
                <w:sz w:val="16"/>
              </w:rPr>
            </w:pPr>
          </w:p>
        </w:tc>
        <w:tc>
          <w:tcPr>
            <w:tcW w:w="1158" w:type="dxa"/>
            <w:tcBorders>
              <w:top w:val="single" w:sz="8" w:space="0" w:color="000000"/>
              <w:bottom w:val="single" w:sz="8" w:space="0" w:color="000000"/>
            </w:tcBorders>
          </w:tcPr>
          <w:p>
            <w:pPr>
              <w:pStyle w:val="TableParagraph"/>
              <w:spacing w:line="190" w:lineRule="atLeast" w:before="13"/>
              <w:ind w:left="315" w:right="276" w:hanging="85"/>
              <w:rPr>
                <w:rFonts w:ascii="Arial"/>
                <w:i/>
                <w:sz w:val="16"/>
              </w:rPr>
            </w:pPr>
            <w:r>
              <w:rPr>
                <w:rFonts w:ascii="Arial"/>
                <w:i/>
                <w:spacing w:val="-2"/>
                <w:sz w:val="16"/>
              </w:rPr>
              <w:t>Currency Swaps</w:t>
            </w:r>
          </w:p>
        </w:tc>
        <w:tc>
          <w:tcPr>
            <w:tcW w:w="1169" w:type="dxa"/>
            <w:tcBorders>
              <w:top w:val="single" w:sz="8" w:space="0" w:color="000000"/>
              <w:bottom w:val="single" w:sz="8" w:space="0" w:color="000000"/>
            </w:tcBorders>
          </w:tcPr>
          <w:p>
            <w:pPr>
              <w:pStyle w:val="TableParagraph"/>
              <w:spacing w:line="190" w:lineRule="atLeast" w:before="13"/>
              <w:ind w:left="136" w:right="162" w:firstLine="164"/>
              <w:rPr>
                <w:rFonts w:ascii="Arial"/>
                <w:i/>
                <w:sz w:val="16"/>
              </w:rPr>
            </w:pPr>
            <w:r>
              <w:rPr>
                <w:rFonts w:ascii="Arial"/>
                <w:i/>
                <w:spacing w:val="-2"/>
                <w:sz w:val="16"/>
              </w:rPr>
              <w:t>Interest </w:t>
            </w:r>
            <w:r>
              <w:rPr>
                <w:rFonts w:ascii="Arial"/>
                <w:i/>
                <w:sz w:val="16"/>
              </w:rPr>
              <w:t>Rate</w:t>
            </w:r>
            <w:r>
              <w:rPr>
                <w:rFonts w:ascii="Arial"/>
                <w:i/>
                <w:spacing w:val="-12"/>
                <w:sz w:val="16"/>
              </w:rPr>
              <w:t> </w:t>
            </w:r>
            <w:r>
              <w:rPr>
                <w:rFonts w:ascii="Arial"/>
                <w:i/>
                <w:sz w:val="16"/>
              </w:rPr>
              <w:t>Swaps</w:t>
            </w:r>
          </w:p>
        </w:tc>
        <w:tc>
          <w:tcPr>
            <w:tcW w:w="1169" w:type="dxa"/>
            <w:tcBorders>
              <w:top w:val="single" w:sz="8" w:space="0" w:color="000000"/>
              <w:bottom w:val="single" w:sz="8" w:space="0" w:color="000000"/>
            </w:tcBorders>
          </w:tcPr>
          <w:p>
            <w:pPr>
              <w:pStyle w:val="TableParagraph"/>
              <w:spacing w:before="27"/>
              <w:rPr>
                <w:rFonts w:ascii="Times New Roman"/>
                <w:sz w:val="16"/>
              </w:rPr>
            </w:pPr>
          </w:p>
          <w:p>
            <w:pPr>
              <w:pStyle w:val="TableParagraph"/>
              <w:spacing w:line="183" w:lineRule="exact"/>
              <w:ind w:right="30"/>
              <w:jc w:val="center"/>
              <w:rPr>
                <w:rFonts w:ascii="Arial"/>
                <w:i/>
                <w:sz w:val="16"/>
              </w:rPr>
            </w:pPr>
            <w:r>
              <w:rPr>
                <w:rFonts w:ascii="Arial"/>
                <w:i/>
                <w:spacing w:val="-2"/>
                <w:sz w:val="16"/>
              </w:rPr>
              <w:t>Total</w:t>
            </w:r>
          </w:p>
        </w:tc>
        <w:tc>
          <w:tcPr>
            <w:tcW w:w="1169" w:type="dxa"/>
            <w:tcBorders>
              <w:top w:val="single" w:sz="8" w:space="0" w:color="000000"/>
              <w:bottom w:val="single" w:sz="8" w:space="0" w:color="000000"/>
            </w:tcBorders>
          </w:tcPr>
          <w:p>
            <w:pPr>
              <w:pStyle w:val="TableParagraph"/>
              <w:spacing w:line="190" w:lineRule="atLeast" w:before="13"/>
              <w:ind w:left="329" w:right="271" w:hanging="85"/>
              <w:rPr>
                <w:rFonts w:ascii="Arial"/>
                <w:i/>
                <w:sz w:val="16"/>
              </w:rPr>
            </w:pPr>
            <w:r>
              <w:rPr>
                <w:rFonts w:ascii="Arial"/>
                <w:i/>
                <w:spacing w:val="-2"/>
                <w:sz w:val="16"/>
              </w:rPr>
              <w:t>Currency Swaps</w:t>
            </w:r>
          </w:p>
        </w:tc>
        <w:tc>
          <w:tcPr>
            <w:tcW w:w="1169" w:type="dxa"/>
            <w:tcBorders>
              <w:top w:val="single" w:sz="8" w:space="0" w:color="000000"/>
              <w:bottom w:val="single" w:sz="8" w:space="0" w:color="000000"/>
            </w:tcBorders>
          </w:tcPr>
          <w:p>
            <w:pPr>
              <w:pStyle w:val="TableParagraph"/>
              <w:spacing w:line="190" w:lineRule="atLeast" w:before="13"/>
              <w:ind w:left="330" w:right="132" w:hanging="218"/>
              <w:rPr>
                <w:rFonts w:ascii="Arial"/>
                <w:i/>
                <w:sz w:val="16"/>
              </w:rPr>
            </w:pPr>
            <w:r>
              <w:rPr>
                <w:rFonts w:ascii="Arial"/>
                <w:i/>
                <w:sz w:val="16"/>
              </w:rPr>
              <w:t>Interest</w:t>
            </w:r>
            <w:r>
              <w:rPr>
                <w:rFonts w:ascii="Arial"/>
                <w:i/>
                <w:spacing w:val="-12"/>
                <w:sz w:val="16"/>
              </w:rPr>
              <w:t> </w:t>
            </w:r>
            <w:r>
              <w:rPr>
                <w:rFonts w:ascii="Arial"/>
                <w:i/>
                <w:sz w:val="16"/>
              </w:rPr>
              <w:t>Rate </w:t>
            </w:r>
            <w:r>
              <w:rPr>
                <w:rFonts w:ascii="Arial"/>
                <w:i/>
                <w:spacing w:val="-2"/>
                <w:sz w:val="16"/>
              </w:rPr>
              <w:t>Swaps</w:t>
            </w:r>
          </w:p>
        </w:tc>
        <w:tc>
          <w:tcPr>
            <w:tcW w:w="1120" w:type="dxa"/>
            <w:tcBorders>
              <w:top w:val="single" w:sz="8" w:space="0" w:color="000000"/>
              <w:bottom w:val="single" w:sz="8" w:space="0" w:color="000000"/>
            </w:tcBorders>
          </w:tcPr>
          <w:p>
            <w:pPr>
              <w:pStyle w:val="TableParagraph"/>
              <w:spacing w:before="27"/>
              <w:rPr>
                <w:rFonts w:ascii="Times New Roman"/>
                <w:sz w:val="16"/>
              </w:rPr>
            </w:pPr>
          </w:p>
          <w:p>
            <w:pPr>
              <w:pStyle w:val="TableParagraph"/>
              <w:spacing w:line="183" w:lineRule="exact"/>
              <w:ind w:left="393"/>
              <w:rPr>
                <w:rFonts w:ascii="Arial"/>
                <w:i/>
                <w:sz w:val="16"/>
              </w:rPr>
            </w:pPr>
            <w:r>
              <w:rPr>
                <w:rFonts w:ascii="Arial"/>
                <w:i/>
                <w:spacing w:val="-2"/>
                <w:sz w:val="16"/>
              </w:rPr>
              <w:t>Total</w:t>
            </w:r>
          </w:p>
        </w:tc>
      </w:tr>
      <w:tr>
        <w:trPr>
          <w:trHeight w:val="230" w:hRule="atLeast"/>
        </w:trPr>
        <w:tc>
          <w:tcPr>
            <w:tcW w:w="2382" w:type="dxa"/>
          </w:tcPr>
          <w:p>
            <w:pPr>
              <w:pStyle w:val="TableParagraph"/>
              <w:spacing w:before="16"/>
              <w:ind w:left="50"/>
              <w:rPr>
                <w:sz w:val="16"/>
              </w:rPr>
            </w:pPr>
            <w:r>
              <w:rPr>
                <w:sz w:val="16"/>
              </w:rPr>
              <w:t>Beginning</w:t>
            </w:r>
            <w:r>
              <w:rPr>
                <w:spacing w:val="-4"/>
                <w:sz w:val="16"/>
              </w:rPr>
              <w:t> </w:t>
            </w:r>
            <w:r>
              <w:rPr>
                <w:sz w:val="16"/>
              </w:rPr>
              <w:t>of</w:t>
            </w:r>
            <w:r>
              <w:rPr>
                <w:spacing w:val="-3"/>
                <w:sz w:val="16"/>
              </w:rPr>
              <w:t> </w:t>
            </w:r>
            <w:r>
              <w:rPr>
                <w:sz w:val="16"/>
              </w:rPr>
              <w:t>the</w:t>
            </w:r>
            <w:r>
              <w:rPr>
                <w:spacing w:val="-4"/>
                <w:sz w:val="16"/>
              </w:rPr>
              <w:t> </w:t>
            </w:r>
            <w:r>
              <w:rPr>
                <w:sz w:val="16"/>
              </w:rPr>
              <w:t>fiscal</w:t>
            </w:r>
            <w:r>
              <w:rPr>
                <w:spacing w:val="-2"/>
                <w:sz w:val="16"/>
              </w:rPr>
              <w:t> </w:t>
            </w:r>
            <w:r>
              <w:rPr>
                <w:spacing w:val="-4"/>
                <w:sz w:val="16"/>
              </w:rPr>
              <w:t>year</w:t>
            </w:r>
          </w:p>
        </w:tc>
        <w:tc>
          <w:tcPr>
            <w:tcW w:w="1158" w:type="dxa"/>
            <w:tcBorders>
              <w:top w:val="single" w:sz="8" w:space="0" w:color="000000"/>
            </w:tcBorders>
          </w:tcPr>
          <w:p>
            <w:pPr>
              <w:pStyle w:val="TableParagraph"/>
              <w:tabs>
                <w:tab w:pos="722" w:val="left" w:leader="none"/>
              </w:tabs>
              <w:spacing w:before="16"/>
              <w:ind w:left="53"/>
              <w:rPr>
                <w:sz w:val="16"/>
              </w:rPr>
            </w:pPr>
            <w:r>
              <w:rPr>
                <w:spacing w:val="-10"/>
                <w:sz w:val="16"/>
              </w:rPr>
              <w:t>$</w:t>
            </w:r>
            <w:r>
              <w:rPr>
                <w:sz w:val="16"/>
              </w:rPr>
              <w:tab/>
            </w:r>
            <w:r>
              <w:rPr>
                <w:spacing w:val="-2"/>
                <w:sz w:val="16"/>
              </w:rPr>
              <w:t>(379)</w:t>
            </w:r>
          </w:p>
        </w:tc>
        <w:tc>
          <w:tcPr>
            <w:tcW w:w="1169" w:type="dxa"/>
            <w:tcBorders>
              <w:top w:val="single" w:sz="8" w:space="0" w:color="000000"/>
            </w:tcBorders>
          </w:tcPr>
          <w:p>
            <w:pPr>
              <w:pStyle w:val="TableParagraph"/>
              <w:tabs>
                <w:tab w:pos="669" w:val="left" w:leader="none"/>
              </w:tabs>
              <w:spacing w:before="16"/>
              <w:ind w:right="59"/>
              <w:jc w:val="right"/>
              <w:rPr>
                <w:sz w:val="16"/>
              </w:rPr>
            </w:pPr>
            <w:r>
              <w:rPr>
                <w:spacing w:val="-10"/>
                <w:sz w:val="16"/>
              </w:rPr>
              <w:t>$</w:t>
            </w:r>
            <w:r>
              <w:rPr>
                <w:sz w:val="16"/>
              </w:rPr>
              <w:tab/>
            </w:r>
            <w:r>
              <w:rPr>
                <w:spacing w:val="-2"/>
                <w:sz w:val="16"/>
              </w:rPr>
              <w:t>(165)</w:t>
            </w:r>
          </w:p>
        </w:tc>
        <w:tc>
          <w:tcPr>
            <w:tcW w:w="1169" w:type="dxa"/>
            <w:tcBorders>
              <w:top w:val="single" w:sz="8" w:space="0" w:color="000000"/>
            </w:tcBorders>
          </w:tcPr>
          <w:p>
            <w:pPr>
              <w:pStyle w:val="TableParagraph"/>
              <w:tabs>
                <w:tab w:pos="669" w:val="left" w:leader="none"/>
              </w:tabs>
              <w:spacing w:before="16"/>
              <w:ind w:right="58"/>
              <w:jc w:val="right"/>
              <w:rPr>
                <w:sz w:val="16"/>
              </w:rPr>
            </w:pPr>
            <w:r>
              <w:rPr>
                <w:spacing w:val="-10"/>
                <w:sz w:val="16"/>
              </w:rPr>
              <w:t>$</w:t>
            </w:r>
            <w:r>
              <w:rPr>
                <w:sz w:val="16"/>
              </w:rPr>
              <w:tab/>
            </w:r>
            <w:r>
              <w:rPr>
                <w:spacing w:val="-2"/>
                <w:sz w:val="16"/>
              </w:rPr>
              <w:t>(544)</w:t>
            </w:r>
          </w:p>
        </w:tc>
        <w:tc>
          <w:tcPr>
            <w:tcW w:w="1169" w:type="dxa"/>
            <w:tcBorders>
              <w:top w:val="single" w:sz="8" w:space="0" w:color="000000"/>
            </w:tcBorders>
          </w:tcPr>
          <w:p>
            <w:pPr>
              <w:pStyle w:val="TableParagraph"/>
              <w:tabs>
                <w:tab w:pos="722" w:val="left" w:leader="none"/>
              </w:tabs>
              <w:spacing w:before="16"/>
              <w:ind w:right="110"/>
              <w:jc w:val="right"/>
              <w:rPr>
                <w:sz w:val="16"/>
              </w:rPr>
            </w:pPr>
            <w:r>
              <w:rPr>
                <w:spacing w:val="-10"/>
                <w:sz w:val="16"/>
              </w:rPr>
              <w:t>$</w:t>
            </w:r>
            <w:r>
              <w:rPr>
                <w:sz w:val="16"/>
              </w:rPr>
              <w:tab/>
            </w:r>
            <w:r>
              <w:rPr>
                <w:spacing w:val="-5"/>
                <w:sz w:val="16"/>
              </w:rPr>
              <w:t>154</w:t>
            </w:r>
          </w:p>
        </w:tc>
        <w:tc>
          <w:tcPr>
            <w:tcW w:w="1169" w:type="dxa"/>
            <w:tcBorders>
              <w:top w:val="single" w:sz="8" w:space="0" w:color="000000"/>
            </w:tcBorders>
          </w:tcPr>
          <w:p>
            <w:pPr>
              <w:pStyle w:val="TableParagraph"/>
              <w:tabs>
                <w:tab w:pos="790" w:val="left" w:leader="none"/>
              </w:tabs>
              <w:spacing w:before="16"/>
              <w:ind w:left="68"/>
              <w:rPr>
                <w:sz w:val="16"/>
              </w:rPr>
            </w:pPr>
            <w:r>
              <w:rPr>
                <w:spacing w:val="-10"/>
                <w:sz w:val="16"/>
              </w:rPr>
              <w:t>$</w:t>
            </w:r>
            <w:r>
              <w:rPr>
                <w:sz w:val="16"/>
              </w:rPr>
              <w:tab/>
            </w:r>
            <w:r>
              <w:rPr>
                <w:spacing w:val="-5"/>
                <w:sz w:val="16"/>
              </w:rPr>
              <w:t>179</w:t>
            </w:r>
          </w:p>
        </w:tc>
        <w:tc>
          <w:tcPr>
            <w:tcW w:w="1120" w:type="dxa"/>
            <w:tcBorders>
              <w:top w:val="single" w:sz="8" w:space="0" w:color="000000"/>
            </w:tcBorders>
          </w:tcPr>
          <w:p>
            <w:pPr>
              <w:pStyle w:val="TableParagraph"/>
              <w:tabs>
                <w:tab w:pos="791" w:val="left" w:leader="none"/>
              </w:tabs>
              <w:spacing w:before="16"/>
              <w:ind w:left="69"/>
              <w:rPr>
                <w:sz w:val="16"/>
              </w:rPr>
            </w:pPr>
            <w:r>
              <w:rPr>
                <w:spacing w:val="-10"/>
                <w:sz w:val="16"/>
              </w:rPr>
              <w:t>$</w:t>
            </w:r>
            <w:r>
              <w:rPr>
                <w:sz w:val="16"/>
              </w:rPr>
              <w:tab/>
            </w:r>
            <w:r>
              <w:rPr>
                <w:spacing w:val="-5"/>
                <w:sz w:val="16"/>
              </w:rPr>
              <w:t>333</w:t>
            </w:r>
          </w:p>
        </w:tc>
      </w:tr>
      <w:tr>
        <w:trPr>
          <w:trHeight w:val="240" w:hRule="atLeast"/>
        </w:trPr>
        <w:tc>
          <w:tcPr>
            <w:tcW w:w="2382" w:type="dxa"/>
          </w:tcPr>
          <w:p>
            <w:pPr>
              <w:pStyle w:val="TableParagraph"/>
              <w:spacing w:before="25"/>
              <w:ind w:left="50"/>
              <w:rPr>
                <w:sz w:val="16"/>
              </w:rPr>
            </w:pPr>
            <w:r>
              <w:rPr>
                <w:spacing w:val="-2"/>
                <w:sz w:val="16"/>
              </w:rPr>
              <w:t>Issuances</w:t>
            </w:r>
          </w:p>
        </w:tc>
        <w:tc>
          <w:tcPr>
            <w:tcW w:w="1158" w:type="dxa"/>
          </w:tcPr>
          <w:p>
            <w:pPr>
              <w:pStyle w:val="TableParagraph"/>
              <w:spacing w:before="25"/>
              <w:ind w:right="113"/>
              <w:jc w:val="right"/>
              <w:rPr>
                <w:sz w:val="16"/>
              </w:rPr>
            </w:pPr>
            <w:r>
              <w:rPr>
                <w:sz w:val="16"/>
              </w:rPr>
              <w:t>—</w:t>
            </w:r>
          </w:p>
        </w:tc>
        <w:tc>
          <w:tcPr>
            <w:tcW w:w="1169" w:type="dxa"/>
          </w:tcPr>
          <w:p>
            <w:pPr>
              <w:pStyle w:val="TableParagraph"/>
              <w:spacing w:before="25"/>
              <w:ind w:right="59"/>
              <w:jc w:val="right"/>
              <w:rPr>
                <w:sz w:val="16"/>
              </w:rPr>
            </w:pPr>
            <w:r>
              <w:rPr>
                <w:spacing w:val="-4"/>
                <w:sz w:val="16"/>
              </w:rPr>
              <w:t>(33)</w:t>
            </w:r>
          </w:p>
        </w:tc>
        <w:tc>
          <w:tcPr>
            <w:tcW w:w="1169" w:type="dxa"/>
          </w:tcPr>
          <w:p>
            <w:pPr>
              <w:pStyle w:val="TableParagraph"/>
              <w:spacing w:before="25"/>
              <w:ind w:right="58"/>
              <w:jc w:val="right"/>
              <w:rPr>
                <w:sz w:val="16"/>
              </w:rPr>
            </w:pPr>
            <w:r>
              <w:rPr>
                <w:spacing w:val="-4"/>
                <w:sz w:val="16"/>
              </w:rPr>
              <w:t>(33)</w:t>
            </w:r>
          </w:p>
        </w:tc>
        <w:tc>
          <w:tcPr>
            <w:tcW w:w="1169" w:type="dxa"/>
          </w:tcPr>
          <w:p>
            <w:pPr>
              <w:pStyle w:val="TableParagraph"/>
              <w:spacing w:before="25"/>
              <w:ind w:right="110"/>
              <w:jc w:val="right"/>
              <w:rPr>
                <w:sz w:val="16"/>
              </w:rPr>
            </w:pPr>
            <w:r>
              <w:rPr>
                <w:sz w:val="16"/>
              </w:rPr>
              <w:t>—</w:t>
            </w:r>
          </w:p>
        </w:tc>
        <w:tc>
          <w:tcPr>
            <w:tcW w:w="1169" w:type="dxa"/>
          </w:tcPr>
          <w:p>
            <w:pPr>
              <w:pStyle w:val="TableParagraph"/>
              <w:spacing w:before="25"/>
              <w:ind w:right="56"/>
              <w:jc w:val="right"/>
              <w:rPr>
                <w:sz w:val="16"/>
              </w:rPr>
            </w:pPr>
            <w:r>
              <w:rPr>
                <w:spacing w:val="-4"/>
                <w:sz w:val="16"/>
              </w:rPr>
              <w:t>(15)</w:t>
            </w:r>
          </w:p>
        </w:tc>
        <w:tc>
          <w:tcPr>
            <w:tcW w:w="1120" w:type="dxa"/>
          </w:tcPr>
          <w:p>
            <w:pPr>
              <w:pStyle w:val="TableParagraph"/>
              <w:spacing w:before="25"/>
              <w:ind w:right="6"/>
              <w:jc w:val="right"/>
              <w:rPr>
                <w:sz w:val="16"/>
              </w:rPr>
            </w:pPr>
            <w:r>
              <w:rPr>
                <w:spacing w:val="-4"/>
                <w:sz w:val="16"/>
              </w:rPr>
              <w:t>(15)</w:t>
            </w:r>
          </w:p>
        </w:tc>
      </w:tr>
      <w:tr>
        <w:trPr>
          <w:trHeight w:val="241" w:hRule="atLeast"/>
        </w:trPr>
        <w:tc>
          <w:tcPr>
            <w:tcW w:w="2382" w:type="dxa"/>
          </w:tcPr>
          <w:p>
            <w:pPr>
              <w:pStyle w:val="TableParagraph"/>
              <w:spacing w:before="25"/>
              <w:ind w:left="50"/>
              <w:rPr>
                <w:sz w:val="16"/>
              </w:rPr>
            </w:pPr>
            <w:r>
              <w:rPr>
                <w:spacing w:val="-2"/>
                <w:sz w:val="16"/>
              </w:rPr>
              <w:t>Settlements</w:t>
            </w:r>
          </w:p>
        </w:tc>
        <w:tc>
          <w:tcPr>
            <w:tcW w:w="1158" w:type="dxa"/>
          </w:tcPr>
          <w:p>
            <w:pPr>
              <w:pStyle w:val="TableParagraph"/>
              <w:spacing w:before="25"/>
              <w:ind w:right="113"/>
              <w:jc w:val="right"/>
              <w:rPr>
                <w:sz w:val="16"/>
              </w:rPr>
            </w:pPr>
            <w:r>
              <w:rPr>
                <w:spacing w:val="-5"/>
                <w:sz w:val="16"/>
              </w:rPr>
              <w:t>179</w:t>
            </w:r>
          </w:p>
        </w:tc>
        <w:tc>
          <w:tcPr>
            <w:tcW w:w="1169" w:type="dxa"/>
          </w:tcPr>
          <w:p>
            <w:pPr>
              <w:pStyle w:val="TableParagraph"/>
              <w:spacing w:before="25"/>
              <w:ind w:right="112"/>
              <w:jc w:val="right"/>
              <w:rPr>
                <w:sz w:val="16"/>
              </w:rPr>
            </w:pPr>
            <w:r>
              <w:rPr>
                <w:spacing w:val="-5"/>
                <w:sz w:val="16"/>
              </w:rPr>
              <w:t>24</w:t>
            </w:r>
          </w:p>
        </w:tc>
        <w:tc>
          <w:tcPr>
            <w:tcW w:w="1169" w:type="dxa"/>
          </w:tcPr>
          <w:p>
            <w:pPr>
              <w:pStyle w:val="TableParagraph"/>
              <w:spacing w:before="25"/>
              <w:ind w:right="111"/>
              <w:jc w:val="right"/>
              <w:rPr>
                <w:sz w:val="16"/>
              </w:rPr>
            </w:pPr>
            <w:r>
              <w:rPr>
                <w:spacing w:val="-5"/>
                <w:sz w:val="16"/>
              </w:rPr>
              <w:t>203</w:t>
            </w:r>
          </w:p>
        </w:tc>
        <w:tc>
          <w:tcPr>
            <w:tcW w:w="1169" w:type="dxa"/>
          </w:tcPr>
          <w:p>
            <w:pPr>
              <w:pStyle w:val="TableParagraph"/>
              <w:spacing w:before="25"/>
              <w:ind w:right="57"/>
              <w:jc w:val="right"/>
              <w:rPr>
                <w:sz w:val="16"/>
              </w:rPr>
            </w:pPr>
            <w:r>
              <w:rPr>
                <w:spacing w:val="-5"/>
                <w:sz w:val="16"/>
              </w:rPr>
              <w:t>(1)</w:t>
            </w:r>
          </w:p>
        </w:tc>
        <w:tc>
          <w:tcPr>
            <w:tcW w:w="1169" w:type="dxa"/>
          </w:tcPr>
          <w:p>
            <w:pPr>
              <w:pStyle w:val="TableParagraph"/>
              <w:spacing w:before="25"/>
              <w:ind w:right="56"/>
              <w:jc w:val="right"/>
              <w:rPr>
                <w:sz w:val="16"/>
              </w:rPr>
            </w:pPr>
            <w:r>
              <w:rPr>
                <w:spacing w:val="-4"/>
                <w:sz w:val="16"/>
              </w:rPr>
              <w:t>(73)</w:t>
            </w:r>
          </w:p>
        </w:tc>
        <w:tc>
          <w:tcPr>
            <w:tcW w:w="1120" w:type="dxa"/>
          </w:tcPr>
          <w:p>
            <w:pPr>
              <w:pStyle w:val="TableParagraph"/>
              <w:spacing w:before="25"/>
              <w:ind w:right="6"/>
              <w:jc w:val="right"/>
              <w:rPr>
                <w:sz w:val="16"/>
              </w:rPr>
            </w:pPr>
            <w:r>
              <w:rPr>
                <w:spacing w:val="-4"/>
                <w:sz w:val="16"/>
              </w:rPr>
              <w:t>(74)</w:t>
            </w:r>
          </w:p>
        </w:tc>
      </w:tr>
      <w:tr>
        <w:trPr>
          <w:trHeight w:val="433" w:hRule="atLeast"/>
        </w:trPr>
        <w:tc>
          <w:tcPr>
            <w:tcW w:w="2382" w:type="dxa"/>
          </w:tcPr>
          <w:p>
            <w:pPr>
              <w:pStyle w:val="TableParagraph"/>
              <w:spacing w:line="249" w:lineRule="auto" w:before="27"/>
              <w:ind w:left="230" w:right="153" w:hanging="180"/>
              <w:rPr>
                <w:sz w:val="16"/>
              </w:rPr>
            </w:pPr>
            <w:r>
              <w:rPr>
                <w:spacing w:val="-2"/>
                <w:sz w:val="16"/>
              </w:rPr>
              <w:t>Total realized/unrealized mark-</w:t>
            </w:r>
            <w:r>
              <w:rPr>
                <w:sz w:val="16"/>
              </w:rPr>
              <w:t>to-market losses (gains) in:</w:t>
            </w:r>
          </w:p>
        </w:tc>
        <w:tc>
          <w:tcPr>
            <w:tcW w:w="1158" w:type="dxa"/>
          </w:tcPr>
          <w:p>
            <w:pPr>
              <w:pStyle w:val="TableParagraph"/>
              <w:rPr>
                <w:rFonts w:ascii="Times New Roman"/>
                <w:sz w:val="16"/>
              </w:rPr>
            </w:pPr>
          </w:p>
        </w:tc>
        <w:tc>
          <w:tcPr>
            <w:tcW w:w="1169" w:type="dxa"/>
          </w:tcPr>
          <w:p>
            <w:pPr>
              <w:pStyle w:val="TableParagraph"/>
              <w:rPr>
                <w:rFonts w:ascii="Times New Roman"/>
                <w:sz w:val="16"/>
              </w:rPr>
            </w:pPr>
          </w:p>
        </w:tc>
        <w:tc>
          <w:tcPr>
            <w:tcW w:w="1169" w:type="dxa"/>
          </w:tcPr>
          <w:p>
            <w:pPr>
              <w:pStyle w:val="TableParagraph"/>
              <w:rPr>
                <w:rFonts w:ascii="Times New Roman"/>
                <w:sz w:val="16"/>
              </w:rPr>
            </w:pPr>
          </w:p>
        </w:tc>
        <w:tc>
          <w:tcPr>
            <w:tcW w:w="1169" w:type="dxa"/>
          </w:tcPr>
          <w:p>
            <w:pPr>
              <w:pStyle w:val="TableParagraph"/>
              <w:rPr>
                <w:rFonts w:ascii="Times New Roman"/>
                <w:sz w:val="16"/>
              </w:rPr>
            </w:pPr>
          </w:p>
        </w:tc>
        <w:tc>
          <w:tcPr>
            <w:tcW w:w="1169" w:type="dxa"/>
          </w:tcPr>
          <w:p>
            <w:pPr>
              <w:pStyle w:val="TableParagraph"/>
              <w:rPr>
                <w:rFonts w:ascii="Times New Roman"/>
                <w:sz w:val="16"/>
              </w:rPr>
            </w:pPr>
          </w:p>
        </w:tc>
        <w:tc>
          <w:tcPr>
            <w:tcW w:w="1120" w:type="dxa"/>
          </w:tcPr>
          <w:p>
            <w:pPr>
              <w:pStyle w:val="TableParagraph"/>
              <w:rPr>
                <w:rFonts w:ascii="Times New Roman"/>
                <w:sz w:val="16"/>
              </w:rPr>
            </w:pPr>
          </w:p>
        </w:tc>
      </w:tr>
      <w:tr>
        <w:trPr>
          <w:trHeight w:val="240" w:hRule="atLeast"/>
        </w:trPr>
        <w:tc>
          <w:tcPr>
            <w:tcW w:w="2382" w:type="dxa"/>
          </w:tcPr>
          <w:p>
            <w:pPr>
              <w:pStyle w:val="TableParagraph"/>
              <w:spacing w:before="25"/>
              <w:ind w:left="230"/>
              <w:rPr>
                <w:sz w:val="16"/>
              </w:rPr>
            </w:pPr>
            <w:r>
              <w:rPr>
                <w:sz w:val="16"/>
              </w:rPr>
              <w:t>Net</w:t>
            </w:r>
            <w:r>
              <w:rPr>
                <w:spacing w:val="-2"/>
                <w:sz w:val="16"/>
              </w:rPr>
              <w:t> income</w:t>
            </w:r>
          </w:p>
        </w:tc>
        <w:tc>
          <w:tcPr>
            <w:tcW w:w="1158" w:type="dxa"/>
          </w:tcPr>
          <w:p>
            <w:pPr>
              <w:pStyle w:val="TableParagraph"/>
              <w:spacing w:before="25"/>
              <w:ind w:right="113"/>
              <w:jc w:val="right"/>
              <w:rPr>
                <w:sz w:val="16"/>
              </w:rPr>
            </w:pPr>
            <w:r>
              <w:rPr>
                <w:spacing w:val="-5"/>
                <w:sz w:val="16"/>
              </w:rPr>
              <w:t>114</w:t>
            </w:r>
          </w:p>
        </w:tc>
        <w:tc>
          <w:tcPr>
            <w:tcW w:w="1169" w:type="dxa"/>
          </w:tcPr>
          <w:p>
            <w:pPr>
              <w:pStyle w:val="TableParagraph"/>
              <w:spacing w:before="25"/>
              <w:ind w:right="112"/>
              <w:jc w:val="right"/>
              <w:rPr>
                <w:sz w:val="16"/>
              </w:rPr>
            </w:pPr>
            <w:r>
              <w:rPr>
                <w:spacing w:val="-5"/>
                <w:sz w:val="16"/>
              </w:rPr>
              <w:t>46</w:t>
            </w:r>
          </w:p>
        </w:tc>
        <w:tc>
          <w:tcPr>
            <w:tcW w:w="1169" w:type="dxa"/>
          </w:tcPr>
          <w:p>
            <w:pPr>
              <w:pStyle w:val="TableParagraph"/>
              <w:spacing w:before="25"/>
              <w:ind w:right="111"/>
              <w:jc w:val="right"/>
              <w:rPr>
                <w:sz w:val="16"/>
              </w:rPr>
            </w:pPr>
            <w:r>
              <w:rPr>
                <w:spacing w:val="-5"/>
                <w:sz w:val="16"/>
              </w:rPr>
              <w:t>160</w:t>
            </w:r>
          </w:p>
        </w:tc>
        <w:tc>
          <w:tcPr>
            <w:tcW w:w="1169" w:type="dxa"/>
          </w:tcPr>
          <w:p>
            <w:pPr>
              <w:pStyle w:val="TableParagraph"/>
              <w:spacing w:before="25"/>
              <w:ind w:right="57"/>
              <w:jc w:val="right"/>
              <w:rPr>
                <w:sz w:val="16"/>
              </w:rPr>
            </w:pPr>
            <w:r>
              <w:rPr>
                <w:spacing w:val="-2"/>
                <w:sz w:val="16"/>
              </w:rPr>
              <w:t>(435)</w:t>
            </w:r>
          </w:p>
        </w:tc>
        <w:tc>
          <w:tcPr>
            <w:tcW w:w="1169" w:type="dxa"/>
          </w:tcPr>
          <w:p>
            <w:pPr>
              <w:pStyle w:val="TableParagraph"/>
              <w:spacing w:before="25"/>
              <w:ind w:right="56"/>
              <w:jc w:val="right"/>
              <w:rPr>
                <w:sz w:val="16"/>
              </w:rPr>
            </w:pPr>
            <w:r>
              <w:rPr>
                <w:spacing w:val="-2"/>
                <w:sz w:val="16"/>
              </w:rPr>
              <w:t>(256)</w:t>
            </w:r>
          </w:p>
        </w:tc>
        <w:tc>
          <w:tcPr>
            <w:tcW w:w="1120" w:type="dxa"/>
          </w:tcPr>
          <w:p>
            <w:pPr>
              <w:pStyle w:val="TableParagraph"/>
              <w:spacing w:before="25"/>
              <w:ind w:right="6"/>
              <w:jc w:val="right"/>
              <w:rPr>
                <w:sz w:val="16"/>
              </w:rPr>
            </w:pPr>
            <w:r>
              <w:rPr>
                <w:spacing w:val="-2"/>
                <w:sz w:val="16"/>
              </w:rPr>
              <w:t>(691)</w:t>
            </w:r>
          </w:p>
        </w:tc>
      </w:tr>
      <w:tr>
        <w:trPr>
          <w:trHeight w:val="240" w:hRule="atLeast"/>
        </w:trPr>
        <w:tc>
          <w:tcPr>
            <w:tcW w:w="2382" w:type="dxa"/>
          </w:tcPr>
          <w:p>
            <w:pPr>
              <w:pStyle w:val="TableParagraph"/>
              <w:spacing w:before="25"/>
              <w:ind w:left="230"/>
              <w:rPr>
                <w:sz w:val="16"/>
              </w:rPr>
            </w:pPr>
            <w:r>
              <w:rPr>
                <w:sz w:val="16"/>
              </w:rPr>
              <w:t>Other</w:t>
            </w:r>
            <w:r>
              <w:rPr>
                <w:spacing w:val="-5"/>
                <w:sz w:val="16"/>
              </w:rPr>
              <w:t> </w:t>
            </w:r>
            <w:r>
              <w:rPr>
                <w:sz w:val="16"/>
              </w:rPr>
              <w:t>comprehensive</w:t>
            </w:r>
            <w:r>
              <w:rPr>
                <w:spacing w:val="-5"/>
                <w:sz w:val="16"/>
              </w:rPr>
              <w:t> </w:t>
            </w:r>
            <w:r>
              <w:rPr>
                <w:spacing w:val="-2"/>
                <w:sz w:val="16"/>
              </w:rPr>
              <w:t>income</w:t>
            </w:r>
          </w:p>
        </w:tc>
        <w:tc>
          <w:tcPr>
            <w:tcW w:w="1158" w:type="dxa"/>
          </w:tcPr>
          <w:p>
            <w:pPr>
              <w:pStyle w:val="TableParagraph"/>
              <w:spacing w:before="25"/>
              <w:ind w:right="60"/>
              <w:jc w:val="right"/>
              <w:rPr>
                <w:sz w:val="16"/>
              </w:rPr>
            </w:pPr>
            <w:r>
              <w:rPr>
                <w:spacing w:val="-4"/>
                <w:sz w:val="16"/>
              </w:rPr>
              <w:t>(18)</w:t>
            </w:r>
          </w:p>
        </w:tc>
        <w:tc>
          <w:tcPr>
            <w:tcW w:w="1169" w:type="dxa"/>
          </w:tcPr>
          <w:p>
            <w:pPr>
              <w:pStyle w:val="TableParagraph"/>
              <w:spacing w:before="25"/>
              <w:ind w:right="59"/>
              <w:jc w:val="right"/>
              <w:rPr>
                <w:sz w:val="16"/>
              </w:rPr>
            </w:pPr>
            <w:r>
              <w:rPr>
                <w:spacing w:val="-5"/>
                <w:sz w:val="16"/>
              </w:rPr>
              <w:t>(6)</w:t>
            </w:r>
          </w:p>
        </w:tc>
        <w:tc>
          <w:tcPr>
            <w:tcW w:w="1169" w:type="dxa"/>
          </w:tcPr>
          <w:p>
            <w:pPr>
              <w:pStyle w:val="TableParagraph"/>
              <w:spacing w:before="25"/>
              <w:ind w:right="58"/>
              <w:jc w:val="right"/>
              <w:rPr>
                <w:sz w:val="16"/>
              </w:rPr>
            </w:pPr>
            <w:r>
              <w:rPr>
                <w:spacing w:val="-4"/>
                <w:sz w:val="16"/>
              </w:rPr>
              <w:t>(24)</w:t>
            </w:r>
          </w:p>
        </w:tc>
        <w:tc>
          <w:tcPr>
            <w:tcW w:w="1169" w:type="dxa"/>
          </w:tcPr>
          <w:p>
            <w:pPr>
              <w:pStyle w:val="TableParagraph"/>
              <w:spacing w:before="25"/>
              <w:ind w:right="57"/>
              <w:jc w:val="right"/>
              <w:rPr>
                <w:sz w:val="16"/>
              </w:rPr>
            </w:pPr>
            <w:r>
              <w:rPr>
                <w:spacing w:val="-4"/>
                <w:sz w:val="16"/>
              </w:rPr>
              <w:t>(92)</w:t>
            </w:r>
          </w:p>
        </w:tc>
        <w:tc>
          <w:tcPr>
            <w:tcW w:w="1169" w:type="dxa"/>
          </w:tcPr>
          <w:p>
            <w:pPr>
              <w:pStyle w:val="TableParagraph"/>
              <w:spacing w:before="25"/>
              <w:ind w:right="109"/>
              <w:jc w:val="right"/>
              <w:rPr>
                <w:sz w:val="16"/>
              </w:rPr>
            </w:pPr>
            <w:r>
              <w:rPr>
                <w:sz w:val="16"/>
              </w:rPr>
              <w:t>—</w:t>
            </w:r>
          </w:p>
        </w:tc>
        <w:tc>
          <w:tcPr>
            <w:tcW w:w="1120" w:type="dxa"/>
          </w:tcPr>
          <w:p>
            <w:pPr>
              <w:pStyle w:val="TableParagraph"/>
              <w:spacing w:before="25"/>
              <w:ind w:right="6"/>
              <w:jc w:val="right"/>
              <w:rPr>
                <w:sz w:val="16"/>
              </w:rPr>
            </w:pPr>
            <w:r>
              <w:rPr>
                <w:spacing w:val="-4"/>
                <w:sz w:val="16"/>
              </w:rPr>
              <w:t>(92)</w:t>
            </w:r>
          </w:p>
        </w:tc>
      </w:tr>
      <w:tr>
        <w:trPr>
          <w:trHeight w:val="229" w:hRule="atLeast"/>
        </w:trPr>
        <w:tc>
          <w:tcPr>
            <w:tcW w:w="2382" w:type="dxa"/>
          </w:tcPr>
          <w:p>
            <w:pPr>
              <w:pStyle w:val="TableParagraph"/>
              <w:spacing w:line="184" w:lineRule="exact" w:before="25"/>
              <w:ind w:left="50"/>
              <w:rPr>
                <w:sz w:val="16"/>
              </w:rPr>
            </w:pPr>
            <w:r>
              <w:rPr>
                <w:sz w:val="16"/>
              </w:rPr>
              <w:t>Transfers</w:t>
            </w:r>
            <w:r>
              <w:rPr>
                <w:spacing w:val="-4"/>
                <w:sz w:val="16"/>
              </w:rPr>
              <w:t> </w:t>
            </w:r>
            <w:r>
              <w:rPr>
                <w:sz w:val="16"/>
              </w:rPr>
              <w:t>to/(from)</w:t>
            </w:r>
            <w:r>
              <w:rPr>
                <w:spacing w:val="-4"/>
                <w:sz w:val="16"/>
              </w:rPr>
              <w:t> </w:t>
            </w:r>
            <w:r>
              <w:rPr>
                <w:sz w:val="16"/>
              </w:rPr>
              <w:t>Level</w:t>
            </w:r>
            <w:r>
              <w:rPr>
                <w:spacing w:val="-4"/>
                <w:sz w:val="16"/>
              </w:rPr>
              <w:t> </w:t>
            </w:r>
            <w:r>
              <w:rPr>
                <w:sz w:val="16"/>
              </w:rPr>
              <w:t>3,</w:t>
            </w:r>
            <w:r>
              <w:rPr>
                <w:spacing w:val="-3"/>
                <w:sz w:val="16"/>
              </w:rPr>
              <w:t> </w:t>
            </w:r>
            <w:r>
              <w:rPr>
                <w:spacing w:val="-5"/>
                <w:sz w:val="16"/>
              </w:rPr>
              <w:t>net</w:t>
            </w:r>
          </w:p>
        </w:tc>
        <w:tc>
          <w:tcPr>
            <w:tcW w:w="1158" w:type="dxa"/>
            <w:tcBorders>
              <w:bottom w:val="single" w:sz="8" w:space="0" w:color="000000"/>
            </w:tcBorders>
          </w:tcPr>
          <w:p>
            <w:pPr>
              <w:pStyle w:val="TableParagraph"/>
              <w:spacing w:line="184" w:lineRule="exact" w:before="25"/>
              <w:ind w:right="113"/>
              <w:jc w:val="right"/>
              <w:rPr>
                <w:sz w:val="16"/>
              </w:rPr>
            </w:pPr>
            <w:r>
              <w:rPr>
                <w:spacing w:val="-5"/>
                <w:sz w:val="16"/>
              </w:rPr>
              <w:t>117</w:t>
            </w:r>
          </w:p>
        </w:tc>
        <w:tc>
          <w:tcPr>
            <w:tcW w:w="1169" w:type="dxa"/>
            <w:tcBorders>
              <w:bottom w:val="single" w:sz="8" w:space="0" w:color="000000"/>
            </w:tcBorders>
          </w:tcPr>
          <w:p>
            <w:pPr>
              <w:pStyle w:val="TableParagraph"/>
              <w:spacing w:line="184" w:lineRule="exact" w:before="25"/>
              <w:ind w:right="112"/>
              <w:jc w:val="right"/>
              <w:rPr>
                <w:sz w:val="16"/>
              </w:rPr>
            </w:pPr>
            <w:r>
              <w:rPr>
                <w:sz w:val="16"/>
              </w:rPr>
              <w:t>—</w:t>
            </w:r>
          </w:p>
        </w:tc>
        <w:tc>
          <w:tcPr>
            <w:tcW w:w="1169" w:type="dxa"/>
            <w:tcBorders>
              <w:bottom w:val="single" w:sz="8" w:space="0" w:color="000000"/>
            </w:tcBorders>
          </w:tcPr>
          <w:p>
            <w:pPr>
              <w:pStyle w:val="TableParagraph"/>
              <w:spacing w:line="184" w:lineRule="exact" w:before="25"/>
              <w:ind w:right="111"/>
              <w:jc w:val="right"/>
              <w:rPr>
                <w:sz w:val="16"/>
              </w:rPr>
            </w:pPr>
            <w:r>
              <w:rPr>
                <w:spacing w:val="-5"/>
                <w:sz w:val="16"/>
              </w:rPr>
              <w:t>117</w:t>
            </w:r>
          </w:p>
        </w:tc>
        <w:tc>
          <w:tcPr>
            <w:tcW w:w="1169" w:type="dxa"/>
            <w:tcBorders>
              <w:bottom w:val="single" w:sz="8" w:space="0" w:color="000000"/>
            </w:tcBorders>
          </w:tcPr>
          <w:p>
            <w:pPr>
              <w:pStyle w:val="TableParagraph"/>
              <w:spacing w:line="184" w:lineRule="exact" w:before="25"/>
              <w:ind w:right="57"/>
              <w:jc w:val="right"/>
              <w:rPr>
                <w:sz w:val="16"/>
              </w:rPr>
            </w:pPr>
            <w:r>
              <w:rPr>
                <w:spacing w:val="-5"/>
                <w:sz w:val="16"/>
              </w:rPr>
              <w:t>(5)</w:t>
            </w:r>
          </w:p>
        </w:tc>
        <w:tc>
          <w:tcPr>
            <w:tcW w:w="1169" w:type="dxa"/>
            <w:tcBorders>
              <w:bottom w:val="single" w:sz="8" w:space="0" w:color="000000"/>
            </w:tcBorders>
          </w:tcPr>
          <w:p>
            <w:pPr>
              <w:pStyle w:val="TableParagraph"/>
              <w:spacing w:line="184" w:lineRule="exact" w:before="25"/>
              <w:ind w:right="109"/>
              <w:jc w:val="right"/>
              <w:rPr>
                <w:sz w:val="16"/>
              </w:rPr>
            </w:pPr>
            <w:r>
              <w:rPr>
                <w:sz w:val="16"/>
              </w:rPr>
              <w:t>—</w:t>
            </w:r>
          </w:p>
        </w:tc>
        <w:tc>
          <w:tcPr>
            <w:tcW w:w="1120" w:type="dxa"/>
            <w:tcBorders>
              <w:bottom w:val="single" w:sz="8" w:space="0" w:color="000000"/>
            </w:tcBorders>
          </w:tcPr>
          <w:p>
            <w:pPr>
              <w:pStyle w:val="TableParagraph"/>
              <w:spacing w:line="184" w:lineRule="exact" w:before="25"/>
              <w:ind w:right="6"/>
              <w:jc w:val="right"/>
              <w:rPr>
                <w:sz w:val="16"/>
              </w:rPr>
            </w:pPr>
            <w:r>
              <w:rPr>
                <w:spacing w:val="-5"/>
                <w:sz w:val="16"/>
              </w:rPr>
              <w:t>(5)</w:t>
            </w:r>
          </w:p>
        </w:tc>
      </w:tr>
      <w:tr>
        <w:trPr>
          <w:trHeight w:val="200" w:hRule="atLeast"/>
        </w:trPr>
        <w:tc>
          <w:tcPr>
            <w:tcW w:w="2382" w:type="dxa"/>
          </w:tcPr>
          <w:p>
            <w:pPr>
              <w:pStyle w:val="TableParagraph"/>
              <w:spacing w:line="164" w:lineRule="exact" w:before="16"/>
              <w:ind w:left="50"/>
              <w:rPr>
                <w:sz w:val="16"/>
              </w:rPr>
            </w:pPr>
            <w:r>
              <w:rPr>
                <w:sz w:val="16"/>
              </w:rPr>
              <w:t>End</w:t>
            </w:r>
            <w:r>
              <w:rPr>
                <w:spacing w:val="-3"/>
                <w:sz w:val="16"/>
              </w:rPr>
              <w:t> </w:t>
            </w:r>
            <w:r>
              <w:rPr>
                <w:sz w:val="16"/>
              </w:rPr>
              <w:t>of</w:t>
            </w:r>
            <w:r>
              <w:rPr>
                <w:spacing w:val="-1"/>
                <w:sz w:val="16"/>
              </w:rPr>
              <w:t> </w:t>
            </w:r>
            <w:r>
              <w:rPr>
                <w:sz w:val="16"/>
              </w:rPr>
              <w:t>the</w:t>
            </w:r>
            <w:r>
              <w:rPr>
                <w:spacing w:val="-2"/>
                <w:sz w:val="16"/>
              </w:rPr>
              <w:t> </w:t>
            </w:r>
            <w:r>
              <w:rPr>
                <w:sz w:val="16"/>
              </w:rPr>
              <w:t>fiscal</w:t>
            </w:r>
            <w:r>
              <w:rPr>
                <w:spacing w:val="-1"/>
                <w:sz w:val="16"/>
              </w:rPr>
              <w:t> </w:t>
            </w:r>
            <w:r>
              <w:rPr>
                <w:spacing w:val="-4"/>
                <w:sz w:val="16"/>
              </w:rPr>
              <w:t>year</w:t>
            </w:r>
          </w:p>
        </w:tc>
        <w:tc>
          <w:tcPr>
            <w:tcW w:w="1158" w:type="dxa"/>
            <w:tcBorders>
              <w:top w:val="single" w:sz="8" w:space="0" w:color="000000"/>
              <w:bottom w:val="double" w:sz="8" w:space="0" w:color="000000"/>
            </w:tcBorders>
          </w:tcPr>
          <w:p>
            <w:pPr>
              <w:pStyle w:val="TableParagraph"/>
              <w:tabs>
                <w:tab w:pos="864" w:val="left" w:leader="none"/>
              </w:tabs>
              <w:spacing w:line="164" w:lineRule="exact" w:before="16"/>
              <w:ind w:left="53"/>
              <w:rPr>
                <w:sz w:val="16"/>
              </w:rPr>
            </w:pPr>
            <w:r>
              <w:rPr>
                <w:spacing w:val="-10"/>
                <w:sz w:val="16"/>
              </w:rPr>
              <w:t>$</w:t>
            </w:r>
            <w:r>
              <w:rPr>
                <w:sz w:val="16"/>
              </w:rPr>
              <w:tab/>
            </w:r>
            <w:r>
              <w:rPr>
                <w:spacing w:val="-5"/>
                <w:sz w:val="16"/>
              </w:rPr>
              <w:t>13</w:t>
            </w:r>
          </w:p>
        </w:tc>
        <w:tc>
          <w:tcPr>
            <w:tcW w:w="1169" w:type="dxa"/>
            <w:tcBorders>
              <w:top w:val="single" w:sz="8" w:space="0" w:color="000000"/>
              <w:bottom w:val="double" w:sz="8" w:space="0" w:color="000000"/>
            </w:tcBorders>
          </w:tcPr>
          <w:p>
            <w:pPr>
              <w:pStyle w:val="TableParagraph"/>
              <w:tabs>
                <w:tab w:pos="669" w:val="left" w:leader="none"/>
              </w:tabs>
              <w:spacing w:line="164" w:lineRule="exact" w:before="16"/>
              <w:ind w:right="59"/>
              <w:jc w:val="right"/>
              <w:rPr>
                <w:sz w:val="16"/>
              </w:rPr>
            </w:pPr>
            <w:r>
              <w:rPr>
                <w:spacing w:val="-10"/>
                <w:sz w:val="16"/>
              </w:rPr>
              <w:t>$</w:t>
            </w:r>
            <w:r>
              <w:rPr>
                <w:sz w:val="16"/>
              </w:rPr>
              <w:tab/>
            </w:r>
            <w:r>
              <w:rPr>
                <w:spacing w:val="-2"/>
                <w:sz w:val="16"/>
              </w:rPr>
              <w:t>(134)</w:t>
            </w:r>
          </w:p>
        </w:tc>
        <w:tc>
          <w:tcPr>
            <w:tcW w:w="1169" w:type="dxa"/>
            <w:tcBorders>
              <w:top w:val="single" w:sz="8" w:space="0" w:color="000000"/>
              <w:bottom w:val="double" w:sz="8" w:space="0" w:color="000000"/>
            </w:tcBorders>
          </w:tcPr>
          <w:p>
            <w:pPr>
              <w:pStyle w:val="TableParagraph"/>
              <w:tabs>
                <w:tab w:pos="669" w:val="left" w:leader="none"/>
              </w:tabs>
              <w:spacing w:line="164" w:lineRule="exact" w:before="16"/>
              <w:ind w:right="58"/>
              <w:jc w:val="right"/>
              <w:rPr>
                <w:sz w:val="16"/>
              </w:rPr>
            </w:pPr>
            <w:r>
              <w:rPr>
                <w:spacing w:val="-10"/>
                <w:sz w:val="16"/>
              </w:rPr>
              <w:t>$</w:t>
            </w:r>
            <w:r>
              <w:rPr>
                <w:sz w:val="16"/>
              </w:rPr>
              <w:tab/>
            </w:r>
            <w:r>
              <w:rPr>
                <w:spacing w:val="-2"/>
                <w:sz w:val="16"/>
              </w:rPr>
              <w:t>(121)</w:t>
            </w:r>
          </w:p>
        </w:tc>
        <w:tc>
          <w:tcPr>
            <w:tcW w:w="1169" w:type="dxa"/>
            <w:tcBorders>
              <w:top w:val="single" w:sz="8" w:space="0" w:color="000000"/>
              <w:bottom w:val="double" w:sz="8" w:space="0" w:color="000000"/>
            </w:tcBorders>
          </w:tcPr>
          <w:p>
            <w:pPr>
              <w:pStyle w:val="TableParagraph"/>
              <w:tabs>
                <w:tab w:pos="669" w:val="left" w:leader="none"/>
              </w:tabs>
              <w:spacing w:line="164" w:lineRule="exact" w:before="16"/>
              <w:ind w:right="57"/>
              <w:jc w:val="right"/>
              <w:rPr>
                <w:sz w:val="16"/>
              </w:rPr>
            </w:pPr>
            <w:r>
              <w:rPr>
                <w:spacing w:val="-10"/>
                <w:sz w:val="16"/>
              </w:rPr>
              <w:t>$</w:t>
            </w:r>
            <w:r>
              <w:rPr>
                <w:sz w:val="16"/>
              </w:rPr>
              <w:tab/>
            </w:r>
            <w:r>
              <w:rPr>
                <w:spacing w:val="-2"/>
                <w:sz w:val="16"/>
              </w:rPr>
              <w:t>(379)</w:t>
            </w:r>
          </w:p>
        </w:tc>
        <w:tc>
          <w:tcPr>
            <w:tcW w:w="1169" w:type="dxa"/>
            <w:tcBorders>
              <w:top w:val="single" w:sz="8" w:space="0" w:color="000000"/>
              <w:bottom w:val="double" w:sz="8" w:space="0" w:color="000000"/>
            </w:tcBorders>
          </w:tcPr>
          <w:p>
            <w:pPr>
              <w:pStyle w:val="TableParagraph"/>
              <w:tabs>
                <w:tab w:pos="737" w:val="left" w:leader="none"/>
              </w:tabs>
              <w:spacing w:line="164" w:lineRule="exact" w:before="16"/>
              <w:ind w:left="68"/>
              <w:rPr>
                <w:sz w:val="16"/>
              </w:rPr>
            </w:pPr>
            <w:r>
              <w:rPr>
                <w:spacing w:val="-10"/>
                <w:sz w:val="16"/>
              </w:rPr>
              <w:t>$</w:t>
            </w:r>
            <w:r>
              <w:rPr>
                <w:sz w:val="16"/>
              </w:rPr>
              <w:tab/>
            </w:r>
            <w:r>
              <w:rPr>
                <w:spacing w:val="-2"/>
                <w:sz w:val="16"/>
              </w:rPr>
              <w:t>(165)</w:t>
            </w:r>
          </w:p>
        </w:tc>
        <w:tc>
          <w:tcPr>
            <w:tcW w:w="1120" w:type="dxa"/>
            <w:tcBorders>
              <w:top w:val="single" w:sz="8" w:space="0" w:color="000000"/>
              <w:bottom w:val="double" w:sz="8" w:space="0" w:color="000000"/>
            </w:tcBorders>
          </w:tcPr>
          <w:p>
            <w:pPr>
              <w:pStyle w:val="TableParagraph"/>
              <w:tabs>
                <w:tab w:pos="669" w:val="left" w:leader="none"/>
              </w:tabs>
              <w:spacing w:line="164" w:lineRule="exact" w:before="16"/>
              <w:ind w:right="6"/>
              <w:jc w:val="right"/>
              <w:rPr>
                <w:sz w:val="16"/>
              </w:rPr>
            </w:pPr>
            <w:r>
              <w:rPr>
                <w:spacing w:val="-10"/>
                <w:sz w:val="16"/>
              </w:rPr>
              <w:t>$</w:t>
            </w:r>
            <w:r>
              <w:rPr>
                <w:sz w:val="16"/>
              </w:rPr>
              <w:tab/>
            </w:r>
            <w:r>
              <w:rPr>
                <w:spacing w:val="-2"/>
                <w:sz w:val="16"/>
              </w:rPr>
              <w:t>(544)</w:t>
            </w:r>
          </w:p>
        </w:tc>
      </w:tr>
    </w:tbl>
    <w:p>
      <w:pPr>
        <w:pStyle w:val="BodyText"/>
        <w:spacing w:before="6"/>
        <w:rPr>
          <w:sz w:val="15"/>
        </w:rPr>
      </w:pPr>
      <w:r>
        <w:rPr>
          <w:sz w:val="15"/>
        </w:rPr>
        <mc:AlternateContent>
          <mc:Choice Requires="wps">
            <w:drawing>
              <wp:anchor distT="0" distB="0" distL="0" distR="0" allowOverlap="1" layoutInCell="1" locked="0" behindDoc="1" simplePos="0" relativeHeight="487772160">
                <wp:simplePos x="0" y="0"/>
                <wp:positionH relativeFrom="page">
                  <wp:posOffset>914400</wp:posOffset>
                </wp:positionH>
                <wp:positionV relativeFrom="paragraph">
                  <wp:posOffset>128793</wp:posOffset>
                </wp:positionV>
                <wp:extent cx="5934075" cy="1270"/>
                <wp:effectExtent l="0" t="0" r="0" b="0"/>
                <wp:wrapTopAndBottom/>
                <wp:docPr id="1026" name="Graphic 1026"/>
                <wp:cNvGraphicFramePr>
                  <a:graphicFrameLocks/>
                </wp:cNvGraphicFramePr>
                <a:graphic>
                  <a:graphicData uri="http://schemas.microsoft.com/office/word/2010/wordprocessingShape">
                    <wps:wsp>
                      <wps:cNvPr id="1026" name="Graphic 1026"/>
                      <wps:cNvSpPr/>
                      <wps:spPr>
                        <a:xfrm>
                          <a:off x="0" y="0"/>
                          <a:ext cx="5934075" cy="1270"/>
                        </a:xfrm>
                        <a:custGeom>
                          <a:avLst/>
                          <a:gdLst/>
                          <a:ahLst/>
                          <a:cxnLst/>
                          <a:rect l="l" t="t" r="r" b="b"/>
                          <a:pathLst>
                            <a:path w="5934075" h="0">
                              <a:moveTo>
                                <a:pt x="0" y="0"/>
                              </a:moveTo>
                              <a:lnTo>
                                <a:pt x="59340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0.141211pt;width:467.25pt;height:.1pt;mso-position-horizontal-relative:page;mso-position-vertical-relative:paragraph;z-index:-15544320;mso-wrap-distance-left:0;mso-wrap-distance-right:0" id="docshape853" coordorigin="1440,203" coordsize="9345,0" path="m1440,203l10785,203e" filled="false" stroked="true" strokeweight="1pt" strokecolor="#000000">
                <v:path arrowok="t"/>
                <v:stroke dashstyle="solid"/>
                <w10:wrap type="topAndBottom"/>
              </v:shape>
            </w:pict>
          </mc:Fallback>
        </mc:AlternateContent>
      </w:r>
    </w:p>
    <w:p>
      <w:pPr>
        <w:pStyle w:val="BodyText"/>
        <w:spacing w:line="249" w:lineRule="auto" w:before="162"/>
        <w:ind w:left="720" w:right="720"/>
        <w:jc w:val="both"/>
      </w:pPr>
      <w:r>
        <w:rPr/>
        <w:t>Information on the unrealized gains or losses included in the Statements of Income and Statements of Comprehensive Income relating to IBRD’s Level 3 borrowings and derivatives that are still held at the reporting dates, is presented in the following table:</w:t>
      </w:r>
    </w:p>
    <w:p>
      <w:pPr>
        <w:pStyle w:val="Heading8"/>
        <w:spacing w:before="119"/>
        <w:jc w:val="both"/>
      </w:pPr>
      <w:r>
        <w:rPr/>
        <w:t>Table</w:t>
      </w:r>
      <w:r>
        <w:rPr>
          <w:spacing w:val="-6"/>
        </w:rPr>
        <w:t> </w:t>
      </w:r>
      <w:r>
        <w:rPr/>
        <w:t>L7:</w:t>
      </w:r>
      <w:r>
        <w:rPr>
          <w:spacing w:val="-3"/>
        </w:rPr>
        <w:t> </w:t>
      </w:r>
      <w:r>
        <w:rPr/>
        <w:t>Unrealized</w:t>
      </w:r>
      <w:r>
        <w:rPr>
          <w:spacing w:val="-4"/>
        </w:rPr>
        <w:t> </w:t>
      </w:r>
      <w:r>
        <w:rPr/>
        <w:t>gains</w:t>
      </w:r>
      <w:r>
        <w:rPr>
          <w:spacing w:val="-4"/>
        </w:rPr>
        <w:t> </w:t>
      </w:r>
      <w:r>
        <w:rPr/>
        <w:t>or</w:t>
      </w:r>
      <w:r>
        <w:rPr>
          <w:spacing w:val="-4"/>
        </w:rPr>
        <w:t> </w:t>
      </w:r>
      <w:r>
        <w:rPr/>
        <w:t>losses</w:t>
      </w:r>
      <w:r>
        <w:rPr>
          <w:spacing w:val="-4"/>
        </w:rPr>
        <w:t> </w:t>
      </w:r>
      <w:r>
        <w:rPr/>
        <w:t>relating</w:t>
      </w:r>
      <w:r>
        <w:rPr>
          <w:spacing w:val="-2"/>
        </w:rPr>
        <w:t> </w:t>
      </w:r>
      <w:r>
        <w:rPr/>
        <w:t>to</w:t>
      </w:r>
      <w:r>
        <w:rPr>
          <w:spacing w:val="-3"/>
        </w:rPr>
        <w:t> </w:t>
      </w:r>
      <w:r>
        <w:rPr/>
        <w:t>IBRD’s</w:t>
      </w:r>
      <w:r>
        <w:rPr>
          <w:spacing w:val="-4"/>
        </w:rPr>
        <w:t> </w:t>
      </w:r>
      <w:r>
        <w:rPr/>
        <w:t>Level</w:t>
      </w:r>
      <w:r>
        <w:rPr>
          <w:spacing w:val="-4"/>
        </w:rPr>
        <w:t> </w:t>
      </w:r>
      <w:r>
        <w:rPr/>
        <w:t>3</w:t>
      </w:r>
      <w:r>
        <w:rPr>
          <w:spacing w:val="-3"/>
        </w:rPr>
        <w:t> </w:t>
      </w:r>
      <w:r>
        <w:rPr/>
        <w:t>borrowings</w:t>
      </w:r>
      <w:r>
        <w:rPr>
          <w:spacing w:val="-4"/>
        </w:rPr>
        <w:t> </w:t>
      </w:r>
      <w:r>
        <w:rPr/>
        <w:t>and</w:t>
      </w:r>
      <w:r>
        <w:rPr>
          <w:spacing w:val="-3"/>
        </w:rPr>
        <w:t> </w:t>
      </w:r>
      <w:r>
        <w:rPr>
          <w:spacing w:val="-2"/>
        </w:rPr>
        <w:t>derivatives</w:t>
      </w:r>
    </w:p>
    <w:p>
      <w:pPr>
        <w:spacing w:before="88" w:after="29"/>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40"/>
        <w:gridCol w:w="839"/>
        <w:gridCol w:w="409"/>
        <w:gridCol w:w="806"/>
        <w:gridCol w:w="454"/>
        <w:gridCol w:w="806"/>
        <w:gridCol w:w="405"/>
      </w:tblGrid>
      <w:tr>
        <w:trPr>
          <w:trHeight w:val="220" w:hRule="atLeast"/>
        </w:trPr>
        <w:tc>
          <w:tcPr>
            <w:tcW w:w="5640" w:type="dxa"/>
            <w:tcBorders>
              <w:top w:val="single" w:sz="8" w:space="0" w:color="000000"/>
            </w:tcBorders>
          </w:tcPr>
          <w:p>
            <w:pPr>
              <w:pStyle w:val="TableParagraph"/>
              <w:rPr>
                <w:rFonts w:ascii="Times New Roman"/>
                <w:sz w:val="14"/>
              </w:rPr>
            </w:pPr>
          </w:p>
        </w:tc>
        <w:tc>
          <w:tcPr>
            <w:tcW w:w="839" w:type="dxa"/>
            <w:tcBorders>
              <w:top w:val="single" w:sz="8" w:space="0" w:color="000000"/>
              <w:bottom w:val="single" w:sz="8" w:space="0" w:color="000000"/>
            </w:tcBorders>
          </w:tcPr>
          <w:p>
            <w:pPr>
              <w:pStyle w:val="TableParagraph"/>
              <w:spacing w:line="183" w:lineRule="exact" w:before="16"/>
              <w:ind w:left="422"/>
              <w:rPr>
                <w:rFonts w:ascii="Arial"/>
                <w:i/>
                <w:sz w:val="16"/>
              </w:rPr>
            </w:pPr>
            <w:r>
              <w:rPr>
                <w:rFonts w:ascii="Arial"/>
                <w:i/>
                <w:spacing w:val="-4"/>
                <w:sz w:val="16"/>
              </w:rPr>
              <w:t>2023</w:t>
            </w:r>
          </w:p>
        </w:tc>
        <w:tc>
          <w:tcPr>
            <w:tcW w:w="409" w:type="dxa"/>
            <w:tcBorders>
              <w:top w:val="single" w:sz="8" w:space="0" w:color="000000"/>
              <w:bottom w:val="single" w:sz="8" w:space="0" w:color="000000"/>
            </w:tcBorders>
          </w:tcPr>
          <w:p>
            <w:pPr>
              <w:pStyle w:val="TableParagraph"/>
              <w:rPr>
                <w:rFonts w:ascii="Times New Roman"/>
                <w:sz w:val="14"/>
              </w:rPr>
            </w:pPr>
          </w:p>
        </w:tc>
        <w:tc>
          <w:tcPr>
            <w:tcW w:w="806" w:type="dxa"/>
            <w:tcBorders>
              <w:top w:val="single" w:sz="8" w:space="0" w:color="000000"/>
              <w:bottom w:val="single" w:sz="8" w:space="0" w:color="000000"/>
            </w:tcBorders>
          </w:tcPr>
          <w:p>
            <w:pPr>
              <w:pStyle w:val="TableParagraph"/>
              <w:spacing w:line="183" w:lineRule="exact" w:before="16"/>
              <w:ind w:left="434"/>
              <w:rPr>
                <w:rFonts w:ascii="Arial"/>
                <w:i/>
                <w:sz w:val="16"/>
              </w:rPr>
            </w:pPr>
            <w:r>
              <w:rPr>
                <w:rFonts w:ascii="Arial"/>
                <w:i/>
                <w:spacing w:val="-4"/>
                <w:sz w:val="16"/>
              </w:rPr>
              <w:t>2022</w:t>
            </w:r>
          </w:p>
        </w:tc>
        <w:tc>
          <w:tcPr>
            <w:tcW w:w="454" w:type="dxa"/>
            <w:tcBorders>
              <w:top w:val="single" w:sz="8" w:space="0" w:color="000000"/>
              <w:bottom w:val="single" w:sz="8" w:space="0" w:color="000000"/>
            </w:tcBorders>
          </w:tcPr>
          <w:p>
            <w:pPr>
              <w:pStyle w:val="TableParagraph"/>
              <w:rPr>
                <w:rFonts w:ascii="Times New Roman"/>
                <w:sz w:val="14"/>
              </w:rPr>
            </w:pPr>
          </w:p>
        </w:tc>
        <w:tc>
          <w:tcPr>
            <w:tcW w:w="806" w:type="dxa"/>
            <w:tcBorders>
              <w:top w:val="single" w:sz="8" w:space="0" w:color="000000"/>
              <w:bottom w:val="single" w:sz="8" w:space="0" w:color="000000"/>
            </w:tcBorders>
          </w:tcPr>
          <w:p>
            <w:pPr>
              <w:pStyle w:val="TableParagraph"/>
              <w:spacing w:line="183" w:lineRule="exact" w:before="16"/>
              <w:ind w:left="434"/>
              <w:rPr>
                <w:rFonts w:ascii="Arial"/>
                <w:i/>
                <w:sz w:val="16"/>
              </w:rPr>
            </w:pPr>
            <w:r>
              <w:rPr>
                <w:rFonts w:ascii="Arial"/>
                <w:i/>
                <w:spacing w:val="-4"/>
                <w:sz w:val="16"/>
              </w:rPr>
              <w:t>2021</w:t>
            </w:r>
          </w:p>
        </w:tc>
        <w:tc>
          <w:tcPr>
            <w:tcW w:w="405" w:type="dxa"/>
            <w:tcBorders>
              <w:top w:val="single" w:sz="8" w:space="0" w:color="000000"/>
              <w:bottom w:val="single" w:sz="8" w:space="0" w:color="000000"/>
            </w:tcBorders>
          </w:tcPr>
          <w:p>
            <w:pPr>
              <w:pStyle w:val="TableParagraph"/>
              <w:rPr>
                <w:rFonts w:ascii="Times New Roman"/>
                <w:sz w:val="14"/>
              </w:rPr>
            </w:pPr>
          </w:p>
        </w:tc>
      </w:tr>
      <w:tr>
        <w:trPr>
          <w:trHeight w:val="710" w:hRule="atLeast"/>
        </w:trPr>
        <w:tc>
          <w:tcPr>
            <w:tcW w:w="5640" w:type="dxa"/>
          </w:tcPr>
          <w:p>
            <w:pPr>
              <w:pStyle w:val="TableParagraph"/>
              <w:spacing w:line="312" w:lineRule="auto" w:before="16"/>
              <w:ind w:left="232" w:right="3401" w:hanging="180"/>
              <w:rPr>
                <w:sz w:val="16"/>
              </w:rPr>
            </w:pPr>
            <w:r>
              <w:rPr>
                <w:sz w:val="16"/>
              </w:rPr>
              <w:t>Reported</w:t>
            </w:r>
            <w:r>
              <w:rPr>
                <w:spacing w:val="-12"/>
                <w:sz w:val="16"/>
              </w:rPr>
              <w:t> </w:t>
            </w:r>
            <w:r>
              <w:rPr>
                <w:sz w:val="16"/>
              </w:rPr>
              <w:t>as</w:t>
            </w:r>
            <w:r>
              <w:rPr>
                <w:spacing w:val="-11"/>
                <w:sz w:val="16"/>
              </w:rPr>
              <w:t> </w:t>
            </w:r>
            <w:r>
              <w:rPr>
                <w:sz w:val="16"/>
              </w:rPr>
              <w:t>follows: </w:t>
            </w:r>
            <w:r>
              <w:rPr>
                <w:spacing w:val="-2"/>
                <w:sz w:val="16"/>
              </w:rPr>
              <w:t>Borrowings</w:t>
            </w:r>
          </w:p>
          <w:p>
            <w:pPr>
              <w:pStyle w:val="TableParagraph"/>
              <w:spacing w:before="2"/>
              <w:ind w:left="412"/>
              <w:rPr>
                <w:sz w:val="16"/>
              </w:rPr>
            </w:pPr>
            <w:r>
              <w:rPr>
                <w:sz w:val="16"/>
              </w:rPr>
              <w:t>Net</w:t>
            </w:r>
            <w:r>
              <w:rPr>
                <w:spacing w:val="-3"/>
                <w:sz w:val="16"/>
              </w:rPr>
              <w:t> </w:t>
            </w:r>
            <w:r>
              <w:rPr>
                <w:sz w:val="16"/>
              </w:rPr>
              <w:t>income</w:t>
            </w:r>
            <w:r>
              <w:rPr>
                <w:spacing w:val="-3"/>
                <w:sz w:val="16"/>
              </w:rPr>
              <w:t> </w:t>
            </w:r>
            <w:r>
              <w:rPr>
                <w:sz w:val="16"/>
              </w:rPr>
              <w:t>(loss)</w:t>
            </w:r>
            <w:r>
              <w:rPr>
                <w:spacing w:val="-3"/>
                <w:sz w:val="16"/>
              </w:rPr>
              <w:t> </w:t>
            </w:r>
            <w:r>
              <w:rPr>
                <w:spacing w:val="-10"/>
                <w:sz w:val="16"/>
                <w:vertAlign w:val="superscript"/>
              </w:rPr>
              <w:t>a</w:t>
            </w:r>
          </w:p>
        </w:tc>
        <w:tc>
          <w:tcPr>
            <w:tcW w:w="839"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52"/>
              <w:rPr>
                <w:sz w:val="16"/>
              </w:rPr>
            </w:pPr>
            <w:r>
              <w:rPr>
                <w:spacing w:val="-10"/>
                <w:sz w:val="16"/>
              </w:rPr>
              <w:t>$</w:t>
            </w:r>
          </w:p>
        </w:tc>
        <w:tc>
          <w:tcPr>
            <w:tcW w:w="409"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115"/>
              <w:rPr>
                <w:sz w:val="16"/>
              </w:rPr>
            </w:pPr>
            <w:r>
              <w:rPr>
                <w:spacing w:val="-5"/>
                <w:sz w:val="16"/>
              </w:rPr>
              <w:t>56</w:t>
            </w:r>
          </w:p>
        </w:tc>
        <w:tc>
          <w:tcPr>
            <w:tcW w:w="806"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64"/>
              <w:rPr>
                <w:sz w:val="16"/>
              </w:rPr>
            </w:pPr>
            <w:r>
              <w:rPr>
                <w:spacing w:val="-10"/>
                <w:sz w:val="16"/>
              </w:rPr>
              <w:t>$</w:t>
            </w:r>
          </w:p>
        </w:tc>
        <w:tc>
          <w:tcPr>
            <w:tcW w:w="454"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71"/>
              <w:rPr>
                <w:sz w:val="16"/>
              </w:rPr>
            </w:pPr>
            <w:r>
              <w:rPr>
                <w:spacing w:val="-5"/>
                <w:sz w:val="16"/>
              </w:rPr>
              <w:t>220</w:t>
            </w:r>
          </w:p>
        </w:tc>
        <w:tc>
          <w:tcPr>
            <w:tcW w:w="806"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64"/>
              <w:rPr>
                <w:sz w:val="16"/>
              </w:rPr>
            </w:pPr>
            <w:r>
              <w:rPr>
                <w:spacing w:val="-10"/>
                <w:sz w:val="16"/>
              </w:rPr>
              <w:t>$</w:t>
            </w:r>
          </w:p>
        </w:tc>
        <w:tc>
          <w:tcPr>
            <w:tcW w:w="405" w:type="dxa"/>
            <w:tcBorders>
              <w:top w:val="single" w:sz="8" w:space="0" w:color="000000"/>
            </w:tcBorders>
          </w:tcPr>
          <w:p>
            <w:pPr>
              <w:pStyle w:val="TableParagraph"/>
              <w:rPr>
                <w:rFonts w:ascii="Arial"/>
                <w:i/>
                <w:sz w:val="16"/>
              </w:rPr>
            </w:pPr>
          </w:p>
          <w:p>
            <w:pPr>
              <w:pStyle w:val="TableParagraph"/>
              <w:spacing w:before="128"/>
              <w:rPr>
                <w:rFonts w:ascii="Arial"/>
                <w:i/>
                <w:sz w:val="16"/>
              </w:rPr>
            </w:pPr>
          </w:p>
          <w:p>
            <w:pPr>
              <w:pStyle w:val="TableParagraph"/>
              <w:ind w:left="18"/>
              <w:rPr>
                <w:sz w:val="16"/>
              </w:rPr>
            </w:pPr>
            <w:r>
              <w:rPr>
                <w:spacing w:val="-2"/>
                <w:sz w:val="16"/>
              </w:rPr>
              <w:t>(449)</w:t>
            </w:r>
          </w:p>
        </w:tc>
      </w:tr>
      <w:tr>
        <w:trPr>
          <w:trHeight w:val="689" w:hRule="atLeast"/>
        </w:trPr>
        <w:tc>
          <w:tcPr>
            <w:tcW w:w="5640" w:type="dxa"/>
          </w:tcPr>
          <w:p>
            <w:pPr>
              <w:pStyle w:val="TableParagraph"/>
              <w:spacing w:before="25"/>
              <w:ind w:left="412"/>
              <w:rPr>
                <w:sz w:val="16"/>
              </w:rPr>
            </w:pPr>
            <w:r>
              <w:rPr>
                <w:sz w:val="16"/>
              </w:rPr>
              <w:t>Other</w:t>
            </w:r>
            <w:r>
              <w:rPr>
                <w:spacing w:val="-3"/>
                <w:sz w:val="16"/>
              </w:rPr>
              <w:t> </w:t>
            </w:r>
            <w:r>
              <w:rPr>
                <w:sz w:val="16"/>
              </w:rPr>
              <w:t>comprehensive</w:t>
            </w:r>
            <w:r>
              <w:rPr>
                <w:spacing w:val="-4"/>
                <w:sz w:val="16"/>
              </w:rPr>
              <w:t> </w:t>
            </w:r>
            <w:r>
              <w:rPr>
                <w:sz w:val="16"/>
              </w:rPr>
              <w:t>(loss)</w:t>
            </w:r>
            <w:r>
              <w:rPr>
                <w:spacing w:val="-3"/>
                <w:sz w:val="16"/>
              </w:rPr>
              <w:t> </w:t>
            </w:r>
            <w:r>
              <w:rPr>
                <w:sz w:val="16"/>
              </w:rPr>
              <w:t>income</w:t>
            </w:r>
            <w:r>
              <w:rPr>
                <w:spacing w:val="37"/>
                <w:sz w:val="16"/>
              </w:rPr>
              <w:t> </w:t>
            </w:r>
            <w:r>
              <w:rPr>
                <w:spacing w:val="-10"/>
                <w:sz w:val="16"/>
                <w:vertAlign w:val="superscript"/>
              </w:rPr>
              <w:t>b</w:t>
            </w:r>
          </w:p>
          <w:p>
            <w:pPr>
              <w:pStyle w:val="TableParagraph"/>
              <w:spacing w:before="56"/>
              <w:ind w:left="232"/>
              <w:rPr>
                <w:sz w:val="16"/>
              </w:rPr>
            </w:pPr>
            <w:r>
              <w:rPr>
                <w:spacing w:val="-2"/>
                <w:sz w:val="16"/>
              </w:rPr>
              <w:t>Derivatives</w:t>
            </w:r>
          </w:p>
          <w:p>
            <w:pPr>
              <w:pStyle w:val="TableParagraph"/>
              <w:spacing w:line="164" w:lineRule="exact" w:before="56"/>
              <w:ind w:left="412"/>
              <w:rPr>
                <w:sz w:val="16"/>
              </w:rPr>
            </w:pPr>
            <w:r>
              <w:rPr>
                <w:sz w:val="16"/>
              </w:rPr>
              <w:t>Net</w:t>
            </w:r>
            <w:r>
              <w:rPr>
                <w:spacing w:val="-2"/>
                <w:sz w:val="16"/>
              </w:rPr>
              <w:t> </w:t>
            </w:r>
            <w:r>
              <w:rPr>
                <w:sz w:val="16"/>
              </w:rPr>
              <w:t>(loss)</w:t>
            </w:r>
            <w:r>
              <w:rPr>
                <w:spacing w:val="-2"/>
                <w:sz w:val="16"/>
              </w:rPr>
              <w:t> </w:t>
            </w:r>
            <w:r>
              <w:rPr>
                <w:sz w:val="16"/>
              </w:rPr>
              <w:t>income</w:t>
            </w:r>
            <w:r>
              <w:rPr>
                <w:spacing w:val="39"/>
                <w:sz w:val="16"/>
              </w:rPr>
              <w:t> </w:t>
            </w:r>
            <w:r>
              <w:rPr>
                <w:spacing w:val="-10"/>
                <w:sz w:val="16"/>
                <w:vertAlign w:val="superscript"/>
              </w:rPr>
              <w:t>a</w:t>
            </w:r>
          </w:p>
        </w:tc>
        <w:tc>
          <w:tcPr>
            <w:tcW w:w="839" w:type="dxa"/>
          </w:tcPr>
          <w:p>
            <w:pPr>
              <w:pStyle w:val="TableParagraph"/>
              <w:rPr>
                <w:rFonts w:ascii="Arial"/>
                <w:i/>
                <w:sz w:val="16"/>
              </w:rPr>
            </w:pPr>
          </w:p>
          <w:p>
            <w:pPr>
              <w:pStyle w:val="TableParagraph"/>
              <w:spacing w:before="137"/>
              <w:rPr>
                <w:rFonts w:ascii="Arial"/>
                <w:i/>
                <w:sz w:val="16"/>
              </w:rPr>
            </w:pPr>
          </w:p>
          <w:p>
            <w:pPr>
              <w:pStyle w:val="TableParagraph"/>
              <w:spacing w:line="164" w:lineRule="exact"/>
              <w:ind w:left="52"/>
              <w:rPr>
                <w:sz w:val="16"/>
              </w:rPr>
            </w:pPr>
            <w:r>
              <w:rPr>
                <w:spacing w:val="-10"/>
                <w:sz w:val="16"/>
              </w:rPr>
              <w:t>$</w:t>
            </w:r>
          </w:p>
        </w:tc>
        <w:tc>
          <w:tcPr>
            <w:tcW w:w="409" w:type="dxa"/>
          </w:tcPr>
          <w:p>
            <w:pPr>
              <w:pStyle w:val="TableParagraph"/>
              <w:spacing w:before="25"/>
              <w:ind w:left="61"/>
              <w:rPr>
                <w:sz w:val="16"/>
              </w:rPr>
            </w:pPr>
            <w:r>
              <w:rPr>
                <w:spacing w:val="-4"/>
                <w:sz w:val="16"/>
              </w:rPr>
              <w:t>(53)</w:t>
            </w:r>
          </w:p>
          <w:p>
            <w:pPr>
              <w:pStyle w:val="TableParagraph"/>
              <w:spacing w:before="112"/>
              <w:rPr>
                <w:rFonts w:ascii="Arial"/>
                <w:i/>
                <w:sz w:val="16"/>
              </w:rPr>
            </w:pPr>
          </w:p>
          <w:p>
            <w:pPr>
              <w:pStyle w:val="TableParagraph"/>
              <w:spacing w:line="164" w:lineRule="exact"/>
              <w:ind w:left="61"/>
              <w:rPr>
                <w:sz w:val="16"/>
              </w:rPr>
            </w:pPr>
            <w:r>
              <w:rPr>
                <w:spacing w:val="-4"/>
                <w:sz w:val="16"/>
              </w:rPr>
              <w:t>(54)</w:t>
            </w:r>
          </w:p>
        </w:tc>
        <w:tc>
          <w:tcPr>
            <w:tcW w:w="806" w:type="dxa"/>
          </w:tcPr>
          <w:p>
            <w:pPr>
              <w:pStyle w:val="TableParagraph"/>
              <w:rPr>
                <w:rFonts w:ascii="Arial"/>
                <w:i/>
                <w:sz w:val="16"/>
              </w:rPr>
            </w:pPr>
          </w:p>
          <w:p>
            <w:pPr>
              <w:pStyle w:val="TableParagraph"/>
              <w:spacing w:before="137"/>
              <w:rPr>
                <w:rFonts w:ascii="Arial"/>
                <w:i/>
                <w:sz w:val="16"/>
              </w:rPr>
            </w:pPr>
          </w:p>
          <w:p>
            <w:pPr>
              <w:pStyle w:val="TableParagraph"/>
              <w:spacing w:line="164" w:lineRule="exact"/>
              <w:ind w:left="64"/>
              <w:rPr>
                <w:sz w:val="16"/>
              </w:rPr>
            </w:pPr>
            <w:r>
              <w:rPr>
                <w:spacing w:val="-10"/>
                <w:sz w:val="16"/>
              </w:rPr>
              <w:t>$</w:t>
            </w:r>
          </w:p>
        </w:tc>
        <w:tc>
          <w:tcPr>
            <w:tcW w:w="454" w:type="dxa"/>
          </w:tcPr>
          <w:p>
            <w:pPr>
              <w:pStyle w:val="TableParagraph"/>
              <w:spacing w:before="25"/>
              <w:ind w:left="71"/>
              <w:rPr>
                <w:sz w:val="16"/>
              </w:rPr>
            </w:pPr>
            <w:r>
              <w:rPr>
                <w:spacing w:val="-5"/>
                <w:sz w:val="16"/>
              </w:rPr>
              <w:t>130</w:t>
            </w:r>
          </w:p>
          <w:p>
            <w:pPr>
              <w:pStyle w:val="TableParagraph"/>
              <w:spacing w:before="112"/>
              <w:rPr>
                <w:rFonts w:ascii="Arial"/>
                <w:i/>
                <w:sz w:val="16"/>
              </w:rPr>
            </w:pPr>
          </w:p>
          <w:p>
            <w:pPr>
              <w:pStyle w:val="TableParagraph"/>
              <w:spacing w:line="164" w:lineRule="exact"/>
              <w:ind w:left="18"/>
              <w:rPr>
                <w:sz w:val="16"/>
              </w:rPr>
            </w:pPr>
            <w:r>
              <w:rPr>
                <w:spacing w:val="-2"/>
                <w:sz w:val="16"/>
              </w:rPr>
              <w:t>(214)</w:t>
            </w:r>
          </w:p>
        </w:tc>
        <w:tc>
          <w:tcPr>
            <w:tcW w:w="806" w:type="dxa"/>
          </w:tcPr>
          <w:p>
            <w:pPr>
              <w:pStyle w:val="TableParagraph"/>
              <w:rPr>
                <w:rFonts w:ascii="Arial"/>
                <w:i/>
                <w:sz w:val="16"/>
              </w:rPr>
            </w:pPr>
          </w:p>
          <w:p>
            <w:pPr>
              <w:pStyle w:val="TableParagraph"/>
              <w:spacing w:before="137"/>
              <w:rPr>
                <w:rFonts w:ascii="Arial"/>
                <w:i/>
                <w:sz w:val="16"/>
              </w:rPr>
            </w:pPr>
          </w:p>
          <w:p>
            <w:pPr>
              <w:pStyle w:val="TableParagraph"/>
              <w:spacing w:line="164" w:lineRule="exact"/>
              <w:ind w:left="64"/>
              <w:rPr>
                <w:sz w:val="16"/>
              </w:rPr>
            </w:pPr>
            <w:r>
              <w:rPr>
                <w:spacing w:val="-10"/>
                <w:sz w:val="16"/>
              </w:rPr>
              <w:t>$</w:t>
            </w:r>
          </w:p>
        </w:tc>
        <w:tc>
          <w:tcPr>
            <w:tcW w:w="405" w:type="dxa"/>
          </w:tcPr>
          <w:p>
            <w:pPr>
              <w:pStyle w:val="TableParagraph"/>
              <w:spacing w:before="25"/>
              <w:ind w:left="106"/>
              <w:rPr>
                <w:sz w:val="16"/>
              </w:rPr>
            </w:pPr>
            <w:r>
              <w:rPr>
                <w:spacing w:val="-4"/>
                <w:sz w:val="16"/>
              </w:rPr>
              <w:t>(92)</w:t>
            </w:r>
          </w:p>
          <w:p>
            <w:pPr>
              <w:pStyle w:val="TableParagraph"/>
              <w:spacing w:before="112"/>
              <w:rPr>
                <w:rFonts w:ascii="Arial"/>
                <w:i/>
                <w:sz w:val="16"/>
              </w:rPr>
            </w:pPr>
          </w:p>
          <w:p>
            <w:pPr>
              <w:pStyle w:val="TableParagraph"/>
              <w:spacing w:line="164" w:lineRule="exact"/>
              <w:ind w:left="71"/>
              <w:rPr>
                <w:sz w:val="16"/>
              </w:rPr>
            </w:pPr>
            <w:r>
              <w:rPr>
                <w:spacing w:val="-5"/>
                <w:sz w:val="16"/>
              </w:rPr>
              <w:t>446</w:t>
            </w:r>
          </w:p>
        </w:tc>
      </w:tr>
    </w:tbl>
    <w:p>
      <w:pPr>
        <w:tabs>
          <w:tab w:pos="7402" w:val="left" w:leader="none"/>
          <w:tab w:pos="8520" w:val="left" w:leader="none"/>
          <w:tab w:pos="10011" w:val="right" w:leader="none"/>
        </w:tabs>
        <w:spacing w:before="47"/>
        <w:ind w:left="1132" w:right="0" w:firstLine="0"/>
        <w:jc w:val="left"/>
        <w:rPr>
          <w:rFonts w:ascii="Arial MT"/>
          <w:sz w:val="16"/>
        </w:rPr>
      </w:pPr>
      <w:r>
        <w:rPr>
          <w:rFonts w:ascii="Arial MT"/>
          <w:sz w:val="16"/>
        </w:rPr>
        <w:t>Other</w:t>
      </w:r>
      <w:r>
        <w:rPr>
          <w:rFonts w:ascii="Arial MT"/>
          <w:spacing w:val="-4"/>
          <w:sz w:val="16"/>
        </w:rPr>
        <w:t> </w:t>
      </w:r>
      <w:r>
        <w:rPr>
          <w:rFonts w:ascii="Arial MT"/>
          <w:sz w:val="16"/>
        </w:rPr>
        <w:t>comprehensive</w:t>
      </w:r>
      <w:r>
        <w:rPr>
          <w:rFonts w:ascii="Arial MT"/>
          <w:spacing w:val="-5"/>
          <w:sz w:val="16"/>
        </w:rPr>
        <w:t> </w:t>
      </w:r>
      <w:r>
        <w:rPr>
          <w:rFonts w:ascii="Arial MT"/>
          <w:sz w:val="16"/>
        </w:rPr>
        <w:t>income</w:t>
      </w:r>
      <w:r>
        <w:rPr>
          <w:rFonts w:ascii="Arial MT"/>
          <w:spacing w:val="-4"/>
          <w:sz w:val="16"/>
        </w:rPr>
        <w:t> </w:t>
      </w:r>
      <w:r>
        <w:rPr>
          <w:rFonts w:ascii="Arial MT"/>
          <w:sz w:val="16"/>
        </w:rPr>
        <w:t>(loss)</w:t>
      </w:r>
      <w:r>
        <w:rPr>
          <w:rFonts w:ascii="Arial MT"/>
          <w:spacing w:val="-5"/>
          <w:sz w:val="16"/>
        </w:rPr>
        <w:t> </w:t>
      </w:r>
      <w:r>
        <w:rPr>
          <w:rFonts w:ascii="Arial MT"/>
          <w:spacing w:val="-10"/>
          <w:sz w:val="16"/>
          <w:vertAlign w:val="superscript"/>
        </w:rPr>
        <w:t>c</w:t>
      </w:r>
      <w:r>
        <w:rPr>
          <w:rFonts w:ascii="Arial MT"/>
          <w:sz w:val="16"/>
          <w:vertAlign w:val="baseline"/>
        </w:rPr>
        <w:tab/>
      </w:r>
      <w:r>
        <w:rPr>
          <w:rFonts w:ascii="Arial MT"/>
          <w:spacing w:val="-10"/>
          <w:sz w:val="16"/>
          <w:vertAlign w:val="baseline"/>
        </w:rPr>
        <w:t>5</w:t>
      </w:r>
      <w:r>
        <w:rPr>
          <w:rFonts w:ascii="Arial MT"/>
          <w:sz w:val="16"/>
          <w:vertAlign w:val="baseline"/>
        </w:rPr>
        <w:tab/>
      </w:r>
      <w:r>
        <w:rPr>
          <w:rFonts w:ascii="Arial MT"/>
          <w:spacing w:val="-4"/>
          <w:sz w:val="16"/>
          <w:vertAlign w:val="baseline"/>
        </w:rPr>
        <w:t>(97)</w:t>
      </w:r>
      <w:r>
        <w:rPr>
          <w:sz w:val="16"/>
          <w:vertAlign w:val="baseline"/>
        </w:rPr>
        <w:tab/>
      </w:r>
      <w:r>
        <w:rPr>
          <w:rFonts w:ascii="Arial MT"/>
          <w:spacing w:val="-5"/>
          <w:sz w:val="16"/>
          <w:vertAlign w:val="baseline"/>
        </w:rPr>
        <w:t>25</w:t>
      </w:r>
    </w:p>
    <w:p>
      <w:pPr>
        <w:pStyle w:val="ListParagraph"/>
        <w:numPr>
          <w:ilvl w:val="0"/>
          <w:numId w:val="47"/>
        </w:numPr>
        <w:tabs>
          <w:tab w:pos="948" w:val="left" w:leader="none"/>
        </w:tabs>
        <w:spacing w:line="240" w:lineRule="auto" w:before="296" w:after="0"/>
        <w:ind w:left="948" w:right="0" w:hanging="176"/>
        <w:jc w:val="left"/>
        <w:rPr>
          <w:rFonts w:ascii="Arial"/>
          <w:i/>
          <w:sz w:val="16"/>
        </w:rPr>
      </w:pPr>
      <w:r>
        <w:rPr>
          <w:rFonts w:ascii="Arial"/>
          <w:i/>
          <w:sz w:val="16"/>
        </w:rPr>
        <mc:AlternateContent>
          <mc:Choice Requires="wps">
            <w:drawing>
              <wp:anchor distT="0" distB="0" distL="0" distR="0" allowOverlap="1" layoutInCell="1" locked="0" behindDoc="0" simplePos="0" relativeHeight="15913984">
                <wp:simplePos x="0" y="0"/>
                <wp:positionH relativeFrom="page">
                  <wp:posOffset>914400</wp:posOffset>
                </wp:positionH>
                <wp:positionV relativeFrom="paragraph">
                  <wp:posOffset>171459</wp:posOffset>
                </wp:positionV>
                <wp:extent cx="5943600" cy="127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3984" from="72pt,13.500781pt" to="540pt,13.500781pt" stroked="true" strokeweight="1pt" strokecolor="#000000">
                <v:stroke dashstyle="solid"/>
                <w10:wrap type="none"/>
              </v:line>
            </w:pict>
          </mc:Fallback>
        </mc:AlternateContent>
      </w:r>
      <w:r>
        <w:rPr>
          <w:rFonts w:ascii="Arial"/>
          <w:i/>
          <w:sz w:val="16"/>
        </w:rPr>
        <w:t>Amounts</w:t>
      </w:r>
      <w:r>
        <w:rPr>
          <w:rFonts w:ascii="Arial"/>
          <w:i/>
          <w:spacing w:val="-6"/>
          <w:sz w:val="16"/>
        </w:rPr>
        <w:t> </w:t>
      </w:r>
      <w:r>
        <w:rPr>
          <w:rFonts w:ascii="Arial"/>
          <w:i/>
          <w:sz w:val="16"/>
        </w:rPr>
        <w:t>are</w:t>
      </w:r>
      <w:r>
        <w:rPr>
          <w:rFonts w:ascii="Arial"/>
          <w:i/>
          <w:spacing w:val="-4"/>
          <w:sz w:val="16"/>
        </w:rPr>
        <w:t> </w:t>
      </w:r>
      <w:r>
        <w:rPr>
          <w:rFonts w:ascii="Arial"/>
          <w:i/>
          <w:sz w:val="16"/>
        </w:rPr>
        <w:t>included</w:t>
      </w:r>
      <w:r>
        <w:rPr>
          <w:rFonts w:ascii="Arial"/>
          <w:i/>
          <w:spacing w:val="-4"/>
          <w:sz w:val="16"/>
        </w:rPr>
        <w:t> </w:t>
      </w:r>
      <w:r>
        <w:rPr>
          <w:rFonts w:ascii="Arial"/>
          <w:i/>
          <w:sz w:val="16"/>
        </w:rPr>
        <w:t>in</w:t>
      </w:r>
      <w:r>
        <w:rPr>
          <w:rFonts w:ascii="Arial"/>
          <w:i/>
          <w:spacing w:val="-4"/>
          <w:sz w:val="16"/>
        </w:rPr>
        <w:t> </w:t>
      </w:r>
      <w:r>
        <w:rPr>
          <w:rFonts w:ascii="Arial"/>
          <w:i/>
          <w:sz w:val="16"/>
        </w:rPr>
        <w:t>Unrealized</w:t>
      </w:r>
      <w:r>
        <w:rPr>
          <w:rFonts w:ascii="Arial"/>
          <w:i/>
          <w:spacing w:val="-5"/>
          <w:sz w:val="16"/>
        </w:rPr>
        <w:t> </w:t>
      </w:r>
      <w:r>
        <w:rPr>
          <w:rFonts w:ascii="Arial"/>
          <w:i/>
          <w:sz w:val="16"/>
        </w:rPr>
        <w:t>mark-to-market</w:t>
      </w:r>
      <w:r>
        <w:rPr>
          <w:rFonts w:ascii="Arial"/>
          <w:i/>
          <w:spacing w:val="-3"/>
          <w:sz w:val="16"/>
        </w:rPr>
        <w:t> </w:t>
      </w:r>
      <w:r>
        <w:rPr>
          <w:rFonts w:ascii="Arial"/>
          <w:i/>
          <w:sz w:val="16"/>
        </w:rPr>
        <w:t>(losses)</w:t>
      </w:r>
      <w:r>
        <w:rPr>
          <w:rFonts w:ascii="Arial"/>
          <w:i/>
          <w:spacing w:val="-3"/>
          <w:sz w:val="16"/>
        </w:rPr>
        <w:t> </w:t>
      </w:r>
      <w:r>
        <w:rPr>
          <w:rFonts w:ascii="Arial"/>
          <w:i/>
          <w:sz w:val="16"/>
        </w:rPr>
        <w:t>gains</w:t>
      </w:r>
      <w:r>
        <w:rPr>
          <w:rFonts w:ascii="Arial"/>
          <w:i/>
          <w:spacing w:val="-3"/>
          <w:sz w:val="16"/>
        </w:rPr>
        <w:t> </w:t>
      </w:r>
      <w:r>
        <w:rPr>
          <w:rFonts w:ascii="Arial"/>
          <w:i/>
          <w:sz w:val="16"/>
        </w:rPr>
        <w:t>on</w:t>
      </w:r>
      <w:r>
        <w:rPr>
          <w:rFonts w:ascii="Arial"/>
          <w:i/>
          <w:spacing w:val="-5"/>
          <w:sz w:val="16"/>
        </w:rPr>
        <w:t> </w:t>
      </w:r>
      <w:r>
        <w:rPr>
          <w:rFonts w:ascii="Arial"/>
          <w:i/>
          <w:sz w:val="16"/>
        </w:rPr>
        <w:t>non-trading</w:t>
      </w:r>
      <w:r>
        <w:rPr>
          <w:rFonts w:ascii="Arial"/>
          <w:i/>
          <w:spacing w:val="-4"/>
          <w:sz w:val="16"/>
        </w:rPr>
        <w:t> </w:t>
      </w:r>
      <w:r>
        <w:rPr>
          <w:rFonts w:ascii="Arial"/>
          <w:i/>
          <w:sz w:val="16"/>
        </w:rPr>
        <w:t>portfolios,</w:t>
      </w:r>
      <w:r>
        <w:rPr>
          <w:rFonts w:ascii="Arial"/>
          <w:i/>
          <w:spacing w:val="-3"/>
          <w:sz w:val="16"/>
        </w:rPr>
        <w:t> </w:t>
      </w:r>
      <w:r>
        <w:rPr>
          <w:rFonts w:ascii="Arial"/>
          <w:i/>
          <w:sz w:val="16"/>
        </w:rPr>
        <w:t>net,</w:t>
      </w:r>
      <w:r>
        <w:rPr>
          <w:rFonts w:ascii="Arial"/>
          <w:i/>
          <w:spacing w:val="-3"/>
          <w:sz w:val="16"/>
        </w:rPr>
        <w:t> </w:t>
      </w:r>
      <w:r>
        <w:rPr>
          <w:rFonts w:ascii="Arial"/>
          <w:i/>
          <w:sz w:val="16"/>
        </w:rPr>
        <w:t>on</w:t>
      </w:r>
      <w:r>
        <w:rPr>
          <w:rFonts w:ascii="Arial"/>
          <w:i/>
          <w:spacing w:val="-5"/>
          <w:sz w:val="16"/>
        </w:rPr>
        <w:t> </w:t>
      </w:r>
      <w:r>
        <w:rPr>
          <w:rFonts w:ascii="Arial"/>
          <w:i/>
          <w:sz w:val="16"/>
        </w:rPr>
        <w:t>the</w:t>
      </w:r>
      <w:r>
        <w:rPr>
          <w:rFonts w:ascii="Arial"/>
          <w:i/>
          <w:spacing w:val="-4"/>
          <w:sz w:val="16"/>
        </w:rPr>
        <w:t> </w:t>
      </w:r>
      <w:r>
        <w:rPr>
          <w:rFonts w:ascii="Arial"/>
          <w:i/>
          <w:sz w:val="16"/>
        </w:rPr>
        <w:t>Statements</w:t>
      </w:r>
      <w:r>
        <w:rPr>
          <w:rFonts w:ascii="Arial"/>
          <w:i/>
          <w:spacing w:val="-3"/>
          <w:sz w:val="16"/>
        </w:rPr>
        <w:t> </w:t>
      </w:r>
      <w:r>
        <w:rPr>
          <w:rFonts w:ascii="Arial"/>
          <w:i/>
          <w:sz w:val="16"/>
        </w:rPr>
        <w:t>of</w:t>
      </w:r>
      <w:r>
        <w:rPr>
          <w:rFonts w:ascii="Arial"/>
          <w:i/>
          <w:spacing w:val="-3"/>
          <w:sz w:val="16"/>
        </w:rPr>
        <w:t> </w:t>
      </w:r>
      <w:r>
        <w:rPr>
          <w:rFonts w:ascii="Arial"/>
          <w:i/>
          <w:spacing w:val="-2"/>
          <w:sz w:val="16"/>
        </w:rPr>
        <w:t>Income.</w:t>
      </w:r>
    </w:p>
    <w:p>
      <w:pPr>
        <w:pStyle w:val="ListParagraph"/>
        <w:numPr>
          <w:ilvl w:val="0"/>
          <w:numId w:val="47"/>
        </w:numPr>
        <w:tabs>
          <w:tab w:pos="948" w:val="left" w:leader="none"/>
          <w:tab w:pos="952" w:val="left" w:leader="none"/>
        </w:tabs>
        <w:spacing w:line="249" w:lineRule="auto" w:before="59" w:after="0"/>
        <w:ind w:left="952" w:right="1078" w:hanging="180"/>
        <w:jc w:val="left"/>
        <w:rPr>
          <w:rFonts w:ascii="Arial"/>
          <w:i/>
          <w:sz w:val="16"/>
        </w:rPr>
      </w:pPr>
      <w:r>
        <w:rPr>
          <w:rFonts w:ascii="Arial"/>
          <w:i/>
          <w:sz w:val="16"/>
        </w:rPr>
        <w:t>Amounts</w:t>
      </w:r>
      <w:r>
        <w:rPr>
          <w:rFonts w:ascii="Arial"/>
          <w:i/>
          <w:spacing w:val="-2"/>
          <w:sz w:val="16"/>
        </w:rPr>
        <w:t> </w:t>
      </w:r>
      <w:r>
        <w:rPr>
          <w:rFonts w:ascii="Arial"/>
          <w:i/>
          <w:sz w:val="16"/>
        </w:rPr>
        <w:t>are</w:t>
      </w:r>
      <w:r>
        <w:rPr>
          <w:rFonts w:ascii="Arial"/>
          <w:i/>
          <w:spacing w:val="-3"/>
          <w:sz w:val="16"/>
        </w:rPr>
        <w:t> </w:t>
      </w:r>
      <w:r>
        <w:rPr>
          <w:rFonts w:ascii="Arial"/>
          <w:i/>
          <w:sz w:val="16"/>
        </w:rPr>
        <w:t>included</w:t>
      </w:r>
      <w:r>
        <w:rPr>
          <w:rFonts w:ascii="Arial"/>
          <w:i/>
          <w:spacing w:val="-3"/>
          <w:sz w:val="16"/>
        </w:rPr>
        <w:t> </w:t>
      </w:r>
      <w:r>
        <w:rPr>
          <w:rFonts w:ascii="Arial"/>
          <w:i/>
          <w:sz w:val="16"/>
        </w:rPr>
        <w:t>in</w:t>
      </w:r>
      <w:r>
        <w:rPr>
          <w:rFonts w:ascii="Arial"/>
          <w:i/>
          <w:spacing w:val="-3"/>
          <w:sz w:val="16"/>
        </w:rPr>
        <w:t> </w:t>
      </w:r>
      <w:r>
        <w:rPr>
          <w:rFonts w:ascii="Arial"/>
          <w:i/>
          <w:sz w:val="16"/>
        </w:rPr>
        <w:t>Currency</w:t>
      </w:r>
      <w:r>
        <w:rPr>
          <w:rFonts w:ascii="Arial"/>
          <w:i/>
          <w:spacing w:val="-2"/>
          <w:sz w:val="16"/>
        </w:rPr>
        <w:t> </w:t>
      </w:r>
      <w:r>
        <w:rPr>
          <w:rFonts w:ascii="Arial"/>
          <w:i/>
          <w:sz w:val="16"/>
        </w:rPr>
        <w:t>translation</w:t>
      </w:r>
      <w:r>
        <w:rPr>
          <w:rFonts w:ascii="Arial"/>
          <w:i/>
          <w:spacing w:val="-3"/>
          <w:sz w:val="16"/>
        </w:rPr>
        <w:t> </w:t>
      </w:r>
      <w:r>
        <w:rPr>
          <w:rFonts w:ascii="Arial"/>
          <w:i/>
          <w:sz w:val="16"/>
        </w:rPr>
        <w:t>adjustment</w:t>
      </w:r>
      <w:r>
        <w:rPr>
          <w:rFonts w:ascii="Arial"/>
          <w:i/>
          <w:spacing w:val="-2"/>
          <w:sz w:val="16"/>
        </w:rPr>
        <w:t> </w:t>
      </w:r>
      <w:r>
        <w:rPr>
          <w:rFonts w:ascii="Arial"/>
          <w:i/>
          <w:sz w:val="16"/>
        </w:rPr>
        <w:t>on</w:t>
      </w:r>
      <w:r>
        <w:rPr>
          <w:rFonts w:ascii="Arial"/>
          <w:i/>
          <w:spacing w:val="-3"/>
          <w:sz w:val="16"/>
        </w:rPr>
        <w:t> </w:t>
      </w:r>
      <w:r>
        <w:rPr>
          <w:rFonts w:ascii="Arial"/>
          <w:i/>
          <w:sz w:val="16"/>
        </w:rPr>
        <w:t>functional</w:t>
      </w:r>
      <w:r>
        <w:rPr>
          <w:rFonts w:ascii="Arial"/>
          <w:i/>
          <w:spacing w:val="-2"/>
          <w:sz w:val="16"/>
        </w:rPr>
        <w:t> </w:t>
      </w:r>
      <w:r>
        <w:rPr>
          <w:rFonts w:ascii="Arial"/>
          <w:i/>
          <w:sz w:val="16"/>
        </w:rPr>
        <w:t>currency</w:t>
      </w:r>
      <w:r>
        <w:rPr>
          <w:rFonts w:ascii="Arial"/>
          <w:i/>
          <w:spacing w:val="-2"/>
          <w:sz w:val="16"/>
        </w:rPr>
        <w:t> </w:t>
      </w:r>
      <w:r>
        <w:rPr>
          <w:rFonts w:ascii="Arial"/>
          <w:i/>
          <w:sz w:val="16"/>
        </w:rPr>
        <w:t>and</w:t>
      </w:r>
      <w:r>
        <w:rPr>
          <w:rFonts w:ascii="Arial"/>
          <w:i/>
          <w:spacing w:val="-3"/>
          <w:sz w:val="16"/>
        </w:rPr>
        <w:t> </w:t>
      </w:r>
      <w:r>
        <w:rPr>
          <w:rFonts w:ascii="Arial"/>
          <w:i/>
          <w:sz w:val="16"/>
        </w:rPr>
        <w:t>Net</w:t>
      </w:r>
      <w:r>
        <w:rPr>
          <w:rFonts w:ascii="Arial"/>
          <w:i/>
          <w:spacing w:val="-2"/>
          <w:sz w:val="16"/>
        </w:rPr>
        <w:t> </w:t>
      </w:r>
      <w:r>
        <w:rPr>
          <w:rFonts w:ascii="Arial"/>
          <w:i/>
          <w:sz w:val="16"/>
        </w:rPr>
        <w:t>Change</w:t>
      </w:r>
      <w:r>
        <w:rPr>
          <w:rFonts w:ascii="Arial"/>
          <w:i/>
          <w:spacing w:val="-3"/>
          <w:sz w:val="16"/>
        </w:rPr>
        <w:t> </w:t>
      </w:r>
      <w:r>
        <w:rPr>
          <w:rFonts w:ascii="Arial"/>
          <w:i/>
          <w:sz w:val="16"/>
        </w:rPr>
        <w:t>in</w:t>
      </w:r>
      <w:r>
        <w:rPr>
          <w:rFonts w:ascii="Arial"/>
          <w:i/>
          <w:spacing w:val="-3"/>
          <w:sz w:val="16"/>
        </w:rPr>
        <w:t> </w:t>
      </w:r>
      <w:r>
        <w:rPr>
          <w:rFonts w:ascii="Arial"/>
          <w:i/>
          <w:sz w:val="16"/>
        </w:rPr>
        <w:t>DVA</w:t>
      </w:r>
      <w:r>
        <w:rPr>
          <w:rFonts w:ascii="Arial"/>
          <w:i/>
          <w:spacing w:val="-2"/>
          <w:sz w:val="16"/>
        </w:rPr>
        <w:t> </w:t>
      </w:r>
      <w:r>
        <w:rPr>
          <w:rFonts w:ascii="Arial"/>
          <w:i/>
          <w:sz w:val="16"/>
        </w:rPr>
        <w:t>on</w:t>
      </w:r>
      <w:r>
        <w:rPr>
          <w:rFonts w:ascii="Arial"/>
          <w:i/>
          <w:spacing w:val="-3"/>
          <w:sz w:val="16"/>
        </w:rPr>
        <w:t> </w:t>
      </w:r>
      <w:r>
        <w:rPr>
          <w:rFonts w:ascii="Arial"/>
          <w:i/>
          <w:sz w:val="16"/>
        </w:rPr>
        <w:t>fair</w:t>
      </w:r>
      <w:r>
        <w:rPr>
          <w:rFonts w:ascii="Arial"/>
          <w:i/>
          <w:spacing w:val="-2"/>
          <w:sz w:val="16"/>
        </w:rPr>
        <w:t> </w:t>
      </w:r>
      <w:r>
        <w:rPr>
          <w:rFonts w:ascii="Arial"/>
          <w:i/>
          <w:sz w:val="16"/>
        </w:rPr>
        <w:t>value</w:t>
      </w:r>
      <w:r>
        <w:rPr>
          <w:rFonts w:ascii="Arial"/>
          <w:i/>
          <w:spacing w:val="-3"/>
          <w:sz w:val="16"/>
        </w:rPr>
        <w:t> </w:t>
      </w:r>
      <w:r>
        <w:rPr>
          <w:rFonts w:ascii="Arial"/>
          <w:i/>
          <w:sz w:val="16"/>
        </w:rPr>
        <w:t>option elected liabilities, on the Statements of Comprehensive Income.</w:t>
      </w:r>
    </w:p>
    <w:p>
      <w:pPr>
        <w:pStyle w:val="ListParagraph"/>
        <w:numPr>
          <w:ilvl w:val="0"/>
          <w:numId w:val="47"/>
        </w:numPr>
        <w:tabs>
          <w:tab w:pos="940" w:val="left" w:leader="none"/>
        </w:tabs>
        <w:spacing w:line="240" w:lineRule="auto" w:before="50" w:after="0"/>
        <w:ind w:left="940" w:right="0" w:hanging="168"/>
        <w:jc w:val="left"/>
        <w:rPr>
          <w:rFonts w:ascii="Arial"/>
          <w:i/>
          <w:sz w:val="16"/>
        </w:rPr>
      </w:pPr>
      <w:r>
        <w:rPr>
          <w:rFonts w:ascii="Arial"/>
          <w:i/>
          <w:sz w:val="16"/>
        </w:rPr>
        <w:t>Amounts</w:t>
      </w:r>
      <w:r>
        <w:rPr>
          <w:rFonts w:ascii="Arial"/>
          <w:i/>
          <w:spacing w:val="-6"/>
          <w:sz w:val="16"/>
        </w:rPr>
        <w:t> </w:t>
      </w:r>
      <w:r>
        <w:rPr>
          <w:rFonts w:ascii="Arial"/>
          <w:i/>
          <w:sz w:val="16"/>
        </w:rPr>
        <w:t>are</w:t>
      </w:r>
      <w:r>
        <w:rPr>
          <w:rFonts w:ascii="Arial"/>
          <w:i/>
          <w:spacing w:val="-4"/>
          <w:sz w:val="16"/>
        </w:rPr>
        <w:t> </w:t>
      </w:r>
      <w:r>
        <w:rPr>
          <w:rFonts w:ascii="Arial"/>
          <w:i/>
          <w:sz w:val="16"/>
        </w:rPr>
        <w:t>included</w:t>
      </w:r>
      <w:r>
        <w:rPr>
          <w:rFonts w:ascii="Arial"/>
          <w:i/>
          <w:spacing w:val="-5"/>
          <w:sz w:val="16"/>
        </w:rPr>
        <w:t> </w:t>
      </w:r>
      <w:r>
        <w:rPr>
          <w:rFonts w:ascii="Arial"/>
          <w:i/>
          <w:sz w:val="16"/>
        </w:rPr>
        <w:t>in</w:t>
      </w:r>
      <w:r>
        <w:rPr>
          <w:rFonts w:ascii="Arial"/>
          <w:i/>
          <w:spacing w:val="-4"/>
          <w:sz w:val="16"/>
        </w:rPr>
        <w:t> </w:t>
      </w:r>
      <w:r>
        <w:rPr>
          <w:rFonts w:ascii="Arial"/>
          <w:i/>
          <w:sz w:val="16"/>
        </w:rPr>
        <w:t>Currency</w:t>
      </w:r>
      <w:r>
        <w:rPr>
          <w:rFonts w:ascii="Arial"/>
          <w:i/>
          <w:spacing w:val="-4"/>
          <w:sz w:val="16"/>
        </w:rPr>
        <w:t> </w:t>
      </w:r>
      <w:r>
        <w:rPr>
          <w:rFonts w:ascii="Arial"/>
          <w:i/>
          <w:sz w:val="16"/>
        </w:rPr>
        <w:t>translation</w:t>
      </w:r>
      <w:r>
        <w:rPr>
          <w:rFonts w:ascii="Arial"/>
          <w:i/>
          <w:spacing w:val="-4"/>
          <w:sz w:val="16"/>
        </w:rPr>
        <w:t> </w:t>
      </w:r>
      <w:r>
        <w:rPr>
          <w:rFonts w:ascii="Arial"/>
          <w:i/>
          <w:sz w:val="16"/>
        </w:rPr>
        <w:t>adjustment</w:t>
      </w:r>
      <w:r>
        <w:rPr>
          <w:rFonts w:ascii="Arial"/>
          <w:i/>
          <w:spacing w:val="-4"/>
          <w:sz w:val="16"/>
        </w:rPr>
        <w:t> </w:t>
      </w:r>
      <w:r>
        <w:rPr>
          <w:rFonts w:ascii="Arial"/>
          <w:i/>
          <w:sz w:val="16"/>
        </w:rPr>
        <w:t>on</w:t>
      </w:r>
      <w:r>
        <w:rPr>
          <w:rFonts w:ascii="Arial"/>
          <w:i/>
          <w:spacing w:val="-4"/>
          <w:sz w:val="16"/>
        </w:rPr>
        <w:t> </w:t>
      </w:r>
      <w:r>
        <w:rPr>
          <w:rFonts w:ascii="Arial"/>
          <w:i/>
          <w:sz w:val="16"/>
        </w:rPr>
        <w:t>functional</w:t>
      </w:r>
      <w:r>
        <w:rPr>
          <w:rFonts w:ascii="Arial"/>
          <w:i/>
          <w:spacing w:val="-4"/>
          <w:sz w:val="16"/>
        </w:rPr>
        <w:t> </w:t>
      </w:r>
      <w:r>
        <w:rPr>
          <w:rFonts w:ascii="Arial"/>
          <w:i/>
          <w:sz w:val="16"/>
        </w:rPr>
        <w:t>currency,</w:t>
      </w:r>
      <w:r>
        <w:rPr>
          <w:rFonts w:ascii="Arial"/>
          <w:i/>
          <w:spacing w:val="-3"/>
          <w:sz w:val="16"/>
        </w:rPr>
        <w:t> </w:t>
      </w:r>
      <w:r>
        <w:rPr>
          <w:rFonts w:ascii="Arial"/>
          <w:i/>
          <w:sz w:val="16"/>
        </w:rPr>
        <w:t>on</w:t>
      </w:r>
      <w:r>
        <w:rPr>
          <w:rFonts w:ascii="Arial"/>
          <w:i/>
          <w:spacing w:val="-5"/>
          <w:sz w:val="16"/>
        </w:rPr>
        <w:t> </w:t>
      </w:r>
      <w:r>
        <w:rPr>
          <w:rFonts w:ascii="Arial"/>
          <w:i/>
          <w:sz w:val="16"/>
        </w:rPr>
        <w:t>the</w:t>
      </w:r>
      <w:r>
        <w:rPr>
          <w:rFonts w:ascii="Arial"/>
          <w:i/>
          <w:spacing w:val="-4"/>
          <w:sz w:val="16"/>
        </w:rPr>
        <w:t> </w:t>
      </w:r>
      <w:r>
        <w:rPr>
          <w:rFonts w:ascii="Arial"/>
          <w:i/>
          <w:sz w:val="16"/>
        </w:rPr>
        <w:t>Statements</w:t>
      </w:r>
      <w:r>
        <w:rPr>
          <w:rFonts w:ascii="Arial"/>
          <w:i/>
          <w:spacing w:val="-4"/>
          <w:sz w:val="16"/>
        </w:rPr>
        <w:t> </w:t>
      </w:r>
      <w:r>
        <w:rPr>
          <w:rFonts w:ascii="Arial"/>
          <w:i/>
          <w:sz w:val="16"/>
        </w:rPr>
        <w:t>of</w:t>
      </w:r>
      <w:r>
        <w:rPr>
          <w:rFonts w:ascii="Arial"/>
          <w:i/>
          <w:spacing w:val="-3"/>
          <w:sz w:val="16"/>
        </w:rPr>
        <w:t> </w:t>
      </w:r>
      <w:r>
        <w:rPr>
          <w:rFonts w:ascii="Arial"/>
          <w:i/>
          <w:sz w:val="16"/>
        </w:rPr>
        <w:t>Comprehensive</w:t>
      </w:r>
      <w:r>
        <w:rPr>
          <w:rFonts w:ascii="Arial"/>
          <w:i/>
          <w:spacing w:val="-4"/>
          <w:sz w:val="16"/>
        </w:rPr>
        <w:t> </w:t>
      </w:r>
      <w:r>
        <w:rPr>
          <w:rFonts w:ascii="Arial"/>
          <w:i/>
          <w:spacing w:val="-2"/>
          <w:sz w:val="16"/>
        </w:rPr>
        <w:t>Income.</w:t>
      </w:r>
    </w:p>
    <w:p>
      <w:pPr>
        <w:pStyle w:val="ListParagraph"/>
        <w:spacing w:after="0" w:line="240" w:lineRule="auto"/>
        <w:jc w:val="left"/>
        <w:rPr>
          <w:rFonts w:ascii="Arial"/>
          <w:i/>
          <w:sz w:val="16"/>
        </w:rPr>
        <w:sectPr>
          <w:headerReference w:type="even" r:id="rId217"/>
          <w:footerReference w:type="even" r:id="rId218"/>
          <w:footerReference w:type="default" r:id="rId219"/>
          <w:pgSz w:w="12240" w:h="15840"/>
          <w:pgMar w:header="0" w:footer="528" w:top="960" w:bottom="720" w:left="720" w:right="720"/>
          <w:pgNumType w:start="134"/>
        </w:sectPr>
      </w:pPr>
    </w:p>
    <w:p>
      <w:pPr>
        <w:pStyle w:val="Heading8"/>
        <w:spacing w:before="68"/>
      </w:pPr>
      <w:r>
        <w:rPr/>
        <w:t>Table</w:t>
      </w:r>
      <w:r>
        <w:rPr>
          <w:spacing w:val="-7"/>
        </w:rPr>
        <w:t> </w:t>
      </w:r>
      <w:r>
        <w:rPr/>
        <w:t>L8:</w:t>
      </w:r>
      <w:r>
        <w:rPr>
          <w:spacing w:val="-3"/>
        </w:rPr>
        <w:t> </w:t>
      </w:r>
      <w:r>
        <w:rPr/>
        <w:t>Borrowings</w:t>
      </w:r>
      <w:r>
        <w:rPr>
          <w:spacing w:val="-4"/>
        </w:rPr>
        <w:t> </w:t>
      </w:r>
      <w:r>
        <w:rPr/>
        <w:t>fair</w:t>
      </w:r>
      <w:r>
        <w:rPr>
          <w:spacing w:val="-5"/>
        </w:rPr>
        <w:t> </w:t>
      </w:r>
      <w:r>
        <w:rPr/>
        <w:t>value</w:t>
      </w:r>
      <w:r>
        <w:rPr>
          <w:spacing w:val="-4"/>
        </w:rPr>
        <w:t> </w:t>
      </w:r>
      <w:r>
        <w:rPr/>
        <w:t>and</w:t>
      </w:r>
      <w:r>
        <w:rPr>
          <w:spacing w:val="-4"/>
        </w:rPr>
        <w:t> </w:t>
      </w:r>
      <w:r>
        <w:rPr/>
        <w:t>contractual</w:t>
      </w:r>
      <w:r>
        <w:rPr>
          <w:spacing w:val="-4"/>
        </w:rPr>
        <w:t> </w:t>
      </w:r>
      <w:r>
        <w:rPr/>
        <w:t>principal</w:t>
      </w:r>
      <w:r>
        <w:rPr>
          <w:spacing w:val="-4"/>
        </w:rPr>
        <w:t> </w:t>
      </w:r>
      <w:r>
        <w:rPr>
          <w:spacing w:val="-2"/>
        </w:rPr>
        <w:t>balance</w:t>
      </w:r>
    </w:p>
    <w:p>
      <w:pPr>
        <w:spacing w:before="88"/>
        <w:ind w:left="772" w:right="0" w:firstLine="0"/>
        <w:jc w:val="left"/>
        <w:rPr>
          <w:rFonts w:ascii="Arial"/>
          <w:i/>
          <w:sz w:val="16"/>
        </w:rPr>
      </w:pPr>
      <w:r>
        <w:rPr>
          <w:rFonts w:ascii="Arial"/>
          <w:i/>
          <w:sz w:val="16"/>
        </w:rPr>
        <mc:AlternateContent>
          <mc:Choice Requires="wps">
            <w:drawing>
              <wp:anchor distT="0" distB="0" distL="0" distR="0" allowOverlap="1" layoutInCell="1" locked="0" behindDoc="0" simplePos="0" relativeHeight="15918080">
                <wp:simplePos x="0" y="0"/>
                <wp:positionH relativeFrom="page">
                  <wp:posOffset>914400</wp:posOffset>
                </wp:positionH>
                <wp:positionV relativeFrom="paragraph">
                  <wp:posOffset>191782</wp:posOffset>
                </wp:positionV>
                <wp:extent cx="5943600" cy="1270"/>
                <wp:effectExtent l="0" t="0" r="0" b="0"/>
                <wp:wrapNone/>
                <wp:docPr id="1028" name="Graphic 1028"/>
                <wp:cNvGraphicFramePr>
                  <a:graphicFrameLocks/>
                </wp:cNvGraphicFramePr>
                <a:graphic>
                  <a:graphicData uri="http://schemas.microsoft.com/office/word/2010/wordprocessingShape">
                    <wps:wsp>
                      <wps:cNvPr id="1028" name="Graphic 1028"/>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72pt,15.100977pt" to="540pt,15.100977pt" stroked="true" strokeweight="1pt" strokecolor="#000000">
                <v:stroke dashstyle="solid"/>
                <w10:wrap type="none"/>
              </v:line>
            </w:pict>
          </mc:Fallback>
        </mc:AlternateContent>
      </w: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pStyle w:val="BodyText"/>
        <w:spacing w:before="67"/>
        <w:rPr>
          <w:rFonts w:ascii="Arial"/>
          <w:i/>
          <w:sz w:val="16"/>
        </w:rPr>
      </w:pPr>
    </w:p>
    <w:p>
      <w:pPr>
        <w:spacing w:before="0"/>
        <w:ind w:left="0" w:right="578" w:firstLine="0"/>
        <w:jc w:val="right"/>
        <w:rPr>
          <w:rFonts w:ascii="Arial"/>
          <w:i/>
          <w:sz w:val="16"/>
        </w:rPr>
      </w:pPr>
      <w:r>
        <w:rPr>
          <w:rFonts w:ascii="Arial"/>
          <w:i/>
          <w:sz w:val="16"/>
        </w:rPr>
        <w:t>Fair</w:t>
      </w:r>
      <w:r>
        <w:rPr>
          <w:rFonts w:ascii="Arial"/>
          <w:i/>
          <w:spacing w:val="-3"/>
          <w:sz w:val="16"/>
        </w:rPr>
        <w:t> </w:t>
      </w:r>
      <w:r>
        <w:rPr>
          <w:rFonts w:ascii="Arial"/>
          <w:i/>
          <w:spacing w:val="-2"/>
          <w:sz w:val="16"/>
        </w:rPr>
        <w:t>Value</w:t>
      </w:r>
    </w:p>
    <w:p>
      <w:pPr>
        <w:pStyle w:val="BodyText"/>
        <w:rPr>
          <w:rFonts w:ascii="Arial"/>
          <w:i/>
          <w:sz w:val="16"/>
        </w:rPr>
      </w:pPr>
      <w:r>
        <w:rPr/>
        <w:br w:type="column"/>
      </w:r>
      <w:r>
        <w:rPr>
          <w:rFonts w:ascii="Arial"/>
          <w:i/>
          <w:sz w:val="16"/>
        </w:rPr>
      </w:r>
    </w:p>
    <w:p>
      <w:pPr>
        <w:pStyle w:val="BodyText"/>
        <w:rPr>
          <w:rFonts w:ascii="Arial"/>
          <w:i/>
          <w:sz w:val="16"/>
        </w:rPr>
      </w:pPr>
    </w:p>
    <w:p>
      <w:pPr>
        <w:pStyle w:val="BodyText"/>
        <w:spacing w:before="77"/>
        <w:rPr>
          <w:rFonts w:ascii="Arial"/>
          <w:i/>
          <w:sz w:val="16"/>
        </w:rPr>
      </w:pPr>
    </w:p>
    <w:p>
      <w:pPr>
        <w:spacing w:before="0"/>
        <w:ind w:left="103" w:right="0" w:firstLine="0"/>
        <w:jc w:val="left"/>
        <w:rPr>
          <w:rFonts w:ascii="Arial"/>
          <w:i/>
          <w:sz w:val="16"/>
        </w:rPr>
      </w:pPr>
      <w:r>
        <w:rPr>
          <w:rFonts w:ascii="Arial"/>
          <w:i/>
          <w:sz w:val="16"/>
        </w:rPr>
        <w:t>Principal</w:t>
      </w:r>
      <w:r>
        <w:rPr>
          <w:rFonts w:ascii="Arial"/>
          <w:i/>
          <w:spacing w:val="-4"/>
          <w:sz w:val="16"/>
        </w:rPr>
        <w:t> </w:t>
      </w:r>
      <w:r>
        <w:rPr>
          <w:rFonts w:ascii="Arial"/>
          <w:i/>
          <w:sz w:val="16"/>
        </w:rPr>
        <w:t>Amount</w:t>
      </w:r>
      <w:r>
        <w:rPr>
          <w:rFonts w:ascii="Arial"/>
          <w:i/>
          <w:spacing w:val="-4"/>
          <w:sz w:val="16"/>
        </w:rPr>
        <w:t> </w:t>
      </w:r>
      <w:r>
        <w:rPr>
          <w:rFonts w:ascii="Arial"/>
          <w:i/>
          <w:spacing w:val="-5"/>
          <w:sz w:val="16"/>
        </w:rPr>
        <w:t>Due</w:t>
      </w:r>
    </w:p>
    <w:p>
      <w:pPr>
        <w:tabs>
          <w:tab w:pos="2371" w:val="left" w:leader="none"/>
        </w:tabs>
        <w:spacing w:before="8"/>
        <w:ind w:left="378" w:right="0" w:firstLine="0"/>
        <w:jc w:val="left"/>
        <w:rPr>
          <w:rFonts w:ascii="Arial"/>
          <w:i/>
          <w:sz w:val="16"/>
        </w:rPr>
      </w:pPr>
      <w:r>
        <w:rPr>
          <w:rFonts w:ascii="Arial"/>
          <w:i/>
          <w:sz w:val="16"/>
        </w:rPr>
        <w:t>Upon</w:t>
      </w:r>
      <w:r>
        <w:rPr>
          <w:rFonts w:ascii="Arial"/>
          <w:i/>
          <w:spacing w:val="-6"/>
          <w:sz w:val="16"/>
        </w:rPr>
        <w:t> </w:t>
      </w:r>
      <w:r>
        <w:rPr>
          <w:rFonts w:ascii="Arial"/>
          <w:i/>
          <w:spacing w:val="-2"/>
          <w:sz w:val="16"/>
        </w:rPr>
        <w:t>Maturity</w:t>
      </w:r>
      <w:r>
        <w:rPr>
          <w:rFonts w:ascii="Arial"/>
          <w:i/>
          <w:sz w:val="16"/>
        </w:rPr>
        <w:tab/>
      </w:r>
      <w:r>
        <w:rPr>
          <w:rFonts w:ascii="Arial"/>
          <w:i/>
          <w:spacing w:val="-2"/>
          <w:sz w:val="16"/>
        </w:rPr>
        <w:t>Difference</w:t>
      </w:r>
    </w:p>
    <w:p>
      <w:pPr>
        <w:spacing w:after="0"/>
        <w:jc w:val="left"/>
        <w:rPr>
          <w:rFonts w:ascii="Arial"/>
          <w:i/>
          <w:sz w:val="16"/>
        </w:rPr>
        <w:sectPr>
          <w:headerReference w:type="default" r:id="rId220"/>
          <w:pgSz w:w="12240" w:h="15840"/>
          <w:pgMar w:header="0" w:footer="0" w:top="960" w:bottom="720" w:left="720" w:right="720"/>
          <w:cols w:num="2" w:equalWidth="0">
            <w:col w:w="6405" w:space="40"/>
            <w:col w:w="4355"/>
          </w:cols>
        </w:sectPr>
      </w:pPr>
    </w:p>
    <w:p>
      <w:pPr>
        <w:pStyle w:val="BodyText"/>
        <w:spacing w:before="7"/>
        <w:rPr>
          <w:rFonts w:ascii="Arial"/>
          <w:i/>
          <w:sz w:val="2"/>
        </w:rPr>
      </w:pPr>
    </w:p>
    <w:tbl>
      <w:tblPr>
        <w:tblW w:w="0" w:type="auto"/>
        <w:jc w:val="left"/>
        <w:tblInd w:w="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37"/>
        <w:gridCol w:w="648"/>
        <w:gridCol w:w="1860"/>
        <w:gridCol w:w="1174"/>
        <w:gridCol w:w="703"/>
        <w:gridCol w:w="1134"/>
      </w:tblGrid>
      <w:tr>
        <w:trPr>
          <w:trHeight w:val="230" w:hRule="atLeast"/>
        </w:trPr>
        <w:tc>
          <w:tcPr>
            <w:tcW w:w="3837" w:type="dxa"/>
          </w:tcPr>
          <w:p>
            <w:pPr>
              <w:pStyle w:val="TableParagraph"/>
              <w:spacing w:before="16"/>
              <w:ind w:left="50"/>
              <w:rPr>
                <w:sz w:val="16"/>
              </w:rPr>
            </w:pPr>
            <w:r>
              <w:rPr>
                <w:sz w:val="16"/>
              </w:rPr>
              <w:t>June</w:t>
            </w:r>
            <w:r>
              <w:rPr>
                <w:spacing w:val="-5"/>
                <w:sz w:val="16"/>
              </w:rPr>
              <w:t> </w:t>
            </w:r>
            <w:r>
              <w:rPr>
                <w:sz w:val="16"/>
              </w:rPr>
              <w:t>30,</w:t>
            </w:r>
            <w:r>
              <w:rPr>
                <w:spacing w:val="-2"/>
                <w:sz w:val="16"/>
              </w:rPr>
              <w:t> </w:t>
            </w:r>
            <w:r>
              <w:rPr>
                <w:spacing w:val="-4"/>
                <w:sz w:val="16"/>
              </w:rPr>
              <w:t>2023</w:t>
            </w:r>
          </w:p>
        </w:tc>
        <w:tc>
          <w:tcPr>
            <w:tcW w:w="648" w:type="dxa"/>
            <w:tcBorders>
              <w:top w:val="single" w:sz="8" w:space="0" w:color="000000"/>
            </w:tcBorders>
          </w:tcPr>
          <w:p>
            <w:pPr>
              <w:pStyle w:val="TableParagraph"/>
              <w:spacing w:before="16"/>
              <w:ind w:left="52"/>
              <w:rPr>
                <w:sz w:val="16"/>
              </w:rPr>
            </w:pPr>
            <w:r>
              <w:rPr>
                <w:spacing w:val="-10"/>
                <w:sz w:val="16"/>
              </w:rPr>
              <w:t>$</w:t>
            </w:r>
          </w:p>
        </w:tc>
        <w:tc>
          <w:tcPr>
            <w:tcW w:w="1860" w:type="dxa"/>
            <w:tcBorders>
              <w:top w:val="single" w:sz="8" w:space="0" w:color="000000"/>
            </w:tcBorders>
          </w:tcPr>
          <w:p>
            <w:pPr>
              <w:pStyle w:val="TableParagraph"/>
              <w:spacing w:before="16"/>
              <w:jc w:val="center"/>
              <w:rPr>
                <w:sz w:val="16"/>
              </w:rPr>
            </w:pPr>
            <w:r>
              <w:rPr>
                <w:sz w:val="16"/>
              </w:rPr>
              <w:t>237,265</w:t>
            </w:r>
            <w:r>
              <w:rPr>
                <w:spacing w:val="42"/>
                <w:sz w:val="16"/>
              </w:rPr>
              <w:t>  </w:t>
            </w:r>
            <w:r>
              <w:rPr>
                <w:spacing w:val="-10"/>
                <w:sz w:val="16"/>
              </w:rPr>
              <w:t>$</w:t>
            </w:r>
          </w:p>
        </w:tc>
        <w:tc>
          <w:tcPr>
            <w:tcW w:w="1174" w:type="dxa"/>
            <w:tcBorders>
              <w:top w:val="single" w:sz="8" w:space="0" w:color="000000"/>
            </w:tcBorders>
          </w:tcPr>
          <w:p>
            <w:pPr>
              <w:pStyle w:val="TableParagraph"/>
              <w:spacing w:before="16"/>
              <w:ind w:right="87"/>
              <w:jc w:val="right"/>
              <w:rPr>
                <w:sz w:val="16"/>
              </w:rPr>
            </w:pPr>
            <w:r>
              <w:rPr>
                <w:spacing w:val="-2"/>
                <w:sz w:val="16"/>
              </w:rPr>
              <w:t>265,147</w:t>
            </w:r>
          </w:p>
        </w:tc>
        <w:tc>
          <w:tcPr>
            <w:tcW w:w="703" w:type="dxa"/>
            <w:tcBorders>
              <w:top w:val="single" w:sz="8" w:space="0" w:color="000000"/>
            </w:tcBorders>
          </w:tcPr>
          <w:p>
            <w:pPr>
              <w:pStyle w:val="TableParagraph"/>
              <w:spacing w:before="16"/>
              <w:ind w:left="91"/>
              <w:rPr>
                <w:sz w:val="16"/>
              </w:rPr>
            </w:pPr>
            <w:r>
              <w:rPr>
                <w:spacing w:val="-10"/>
                <w:sz w:val="16"/>
              </w:rPr>
              <w:t>$</w:t>
            </w:r>
          </w:p>
        </w:tc>
        <w:tc>
          <w:tcPr>
            <w:tcW w:w="1134" w:type="dxa"/>
            <w:tcBorders>
              <w:top w:val="single" w:sz="8" w:space="0" w:color="000000"/>
            </w:tcBorders>
          </w:tcPr>
          <w:p>
            <w:pPr>
              <w:pStyle w:val="TableParagraph"/>
              <w:spacing w:before="16"/>
              <w:ind w:right="11"/>
              <w:jc w:val="right"/>
              <w:rPr>
                <w:sz w:val="16"/>
              </w:rPr>
            </w:pPr>
            <w:r>
              <w:rPr>
                <w:spacing w:val="-2"/>
                <w:sz w:val="16"/>
              </w:rPr>
              <w:t>(27,882)</w:t>
            </w:r>
          </w:p>
        </w:tc>
      </w:tr>
      <w:tr>
        <w:trPr>
          <w:trHeight w:val="209" w:hRule="atLeast"/>
        </w:trPr>
        <w:tc>
          <w:tcPr>
            <w:tcW w:w="3837" w:type="dxa"/>
          </w:tcPr>
          <w:p>
            <w:pPr>
              <w:pStyle w:val="TableParagraph"/>
              <w:spacing w:line="164" w:lineRule="exact" w:before="25"/>
              <w:ind w:left="50"/>
              <w:rPr>
                <w:sz w:val="16"/>
              </w:rPr>
            </w:pPr>
            <w:r>
              <w:rPr>
                <w:sz w:val="16"/>
              </w:rPr>
              <w:t>June</w:t>
            </w:r>
            <w:r>
              <w:rPr>
                <w:spacing w:val="-5"/>
                <w:sz w:val="16"/>
              </w:rPr>
              <w:t> </w:t>
            </w:r>
            <w:r>
              <w:rPr>
                <w:sz w:val="16"/>
              </w:rPr>
              <w:t>30,</w:t>
            </w:r>
            <w:r>
              <w:rPr>
                <w:spacing w:val="-2"/>
                <w:sz w:val="16"/>
              </w:rPr>
              <w:t> </w:t>
            </w:r>
            <w:r>
              <w:rPr>
                <w:spacing w:val="-4"/>
                <w:sz w:val="16"/>
              </w:rPr>
              <w:t>2022</w:t>
            </w:r>
          </w:p>
        </w:tc>
        <w:tc>
          <w:tcPr>
            <w:tcW w:w="648" w:type="dxa"/>
          </w:tcPr>
          <w:p>
            <w:pPr>
              <w:pStyle w:val="TableParagraph"/>
              <w:spacing w:line="164" w:lineRule="exact" w:before="25"/>
              <w:ind w:left="52"/>
              <w:rPr>
                <w:sz w:val="16"/>
              </w:rPr>
            </w:pPr>
            <w:r>
              <w:rPr>
                <w:spacing w:val="-10"/>
                <w:sz w:val="16"/>
              </w:rPr>
              <w:t>$</w:t>
            </w:r>
          </w:p>
        </w:tc>
        <w:tc>
          <w:tcPr>
            <w:tcW w:w="1860" w:type="dxa"/>
          </w:tcPr>
          <w:p>
            <w:pPr>
              <w:pStyle w:val="TableParagraph"/>
              <w:spacing w:line="164" w:lineRule="exact" w:before="25"/>
              <w:jc w:val="center"/>
              <w:rPr>
                <w:sz w:val="16"/>
              </w:rPr>
            </w:pPr>
            <w:r>
              <w:rPr>
                <w:sz w:val="16"/>
              </w:rPr>
              <w:t>235,173</w:t>
            </w:r>
            <w:r>
              <w:rPr>
                <w:spacing w:val="42"/>
                <w:sz w:val="16"/>
              </w:rPr>
              <w:t>  </w:t>
            </w:r>
            <w:r>
              <w:rPr>
                <w:spacing w:val="-10"/>
                <w:sz w:val="16"/>
              </w:rPr>
              <w:t>$</w:t>
            </w:r>
          </w:p>
        </w:tc>
        <w:tc>
          <w:tcPr>
            <w:tcW w:w="1174" w:type="dxa"/>
          </w:tcPr>
          <w:p>
            <w:pPr>
              <w:pStyle w:val="TableParagraph"/>
              <w:spacing w:line="164" w:lineRule="exact" w:before="25"/>
              <w:ind w:right="87"/>
              <w:jc w:val="right"/>
              <w:rPr>
                <w:sz w:val="16"/>
              </w:rPr>
            </w:pPr>
            <w:r>
              <w:rPr>
                <w:spacing w:val="-2"/>
                <w:sz w:val="16"/>
              </w:rPr>
              <w:t>256,753</w:t>
            </w:r>
          </w:p>
        </w:tc>
        <w:tc>
          <w:tcPr>
            <w:tcW w:w="703" w:type="dxa"/>
          </w:tcPr>
          <w:p>
            <w:pPr>
              <w:pStyle w:val="TableParagraph"/>
              <w:spacing w:line="164" w:lineRule="exact" w:before="25"/>
              <w:ind w:left="91"/>
              <w:rPr>
                <w:sz w:val="16"/>
              </w:rPr>
            </w:pPr>
            <w:r>
              <w:rPr>
                <w:spacing w:val="-10"/>
                <w:sz w:val="16"/>
              </w:rPr>
              <w:t>$</w:t>
            </w:r>
          </w:p>
        </w:tc>
        <w:tc>
          <w:tcPr>
            <w:tcW w:w="1134" w:type="dxa"/>
          </w:tcPr>
          <w:p>
            <w:pPr>
              <w:pStyle w:val="TableParagraph"/>
              <w:spacing w:line="164" w:lineRule="exact" w:before="25"/>
              <w:ind w:right="11"/>
              <w:jc w:val="right"/>
              <w:rPr>
                <w:sz w:val="16"/>
              </w:rPr>
            </w:pPr>
            <w:r>
              <w:rPr>
                <w:spacing w:val="-2"/>
                <w:sz w:val="16"/>
              </w:rPr>
              <w:t>(21,580)</w:t>
            </w:r>
          </w:p>
        </w:tc>
      </w:tr>
    </w:tbl>
    <w:p>
      <w:pPr>
        <w:pStyle w:val="BodyText"/>
        <w:spacing w:before="7"/>
        <w:rPr>
          <w:rFonts w:ascii="Arial"/>
          <w:i/>
        </w:rPr>
      </w:pPr>
      <w:r>
        <w:rPr>
          <w:rFonts w:ascii="Arial"/>
          <w:i/>
        </w:rPr>
        <mc:AlternateContent>
          <mc:Choice Requires="wps">
            <w:drawing>
              <wp:anchor distT="0" distB="0" distL="0" distR="0" allowOverlap="1" layoutInCell="1" locked="0" behindDoc="1" simplePos="0" relativeHeight="487773696">
                <wp:simplePos x="0" y="0"/>
                <wp:positionH relativeFrom="page">
                  <wp:posOffset>914400</wp:posOffset>
                </wp:positionH>
                <wp:positionV relativeFrom="paragraph">
                  <wp:posOffset>165778</wp:posOffset>
                </wp:positionV>
                <wp:extent cx="5943600" cy="1270"/>
                <wp:effectExtent l="0" t="0" r="0" b="0"/>
                <wp:wrapTopAndBottom/>
                <wp:docPr id="1029" name="Graphic 1029"/>
                <wp:cNvGraphicFramePr>
                  <a:graphicFrameLocks/>
                </wp:cNvGraphicFramePr>
                <a:graphic>
                  <a:graphicData uri="http://schemas.microsoft.com/office/word/2010/wordprocessingShape">
                    <wps:wsp>
                      <wps:cNvPr id="1029" name="Graphic 1029"/>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053418pt;width:468pt;height:.1pt;mso-position-horizontal-relative:page;mso-position-vertical-relative:paragraph;z-index:-15542784;mso-wrap-distance-left:0;mso-wrap-distance-right:0" id="docshape854" coordorigin="1440,261" coordsize="9360,0" path="m1440,261l10800,261e" filled="false" stroked="true" strokeweight="1pt" strokecolor="#000000">
                <v:path arrowok="t"/>
                <v:stroke dashstyle="solid"/>
                <w10:wrap type="topAndBottom"/>
              </v:shape>
            </w:pict>
          </mc:Fallback>
        </mc:AlternateContent>
      </w:r>
    </w:p>
    <w:p>
      <w:pPr>
        <w:pStyle w:val="BodyText"/>
        <w:spacing w:line="249" w:lineRule="auto" w:before="162"/>
        <w:ind w:left="720" w:right="802"/>
      </w:pPr>
      <w:r>
        <w:rPr/>
        <w:t>The following table provides information on the changes in fair value due to the change in IBRD’s own credit risk for financial liabilities measured under the fair value option, included in the Statements of Comprehensive Income:</w:t>
      </w:r>
    </w:p>
    <w:p>
      <w:pPr>
        <w:pStyle w:val="Heading8"/>
      </w:pPr>
      <w:r>
        <w:rPr/>
        <w:t>Table</w:t>
      </w:r>
      <w:r>
        <w:rPr>
          <w:spacing w:val="-4"/>
        </w:rPr>
        <w:t> </w:t>
      </w:r>
      <w:r>
        <w:rPr/>
        <w:t>L9:</w:t>
      </w:r>
      <w:r>
        <w:rPr>
          <w:spacing w:val="-2"/>
        </w:rPr>
        <w:t> </w:t>
      </w:r>
      <w:r>
        <w:rPr/>
        <w:t>Changes</w:t>
      </w:r>
      <w:r>
        <w:rPr>
          <w:spacing w:val="-3"/>
        </w:rPr>
        <w:t> </w:t>
      </w:r>
      <w:r>
        <w:rPr/>
        <w:t>in</w:t>
      </w:r>
      <w:r>
        <w:rPr>
          <w:spacing w:val="-3"/>
        </w:rPr>
        <w:t> </w:t>
      </w:r>
      <w:r>
        <w:rPr/>
        <w:t>fair</w:t>
      </w:r>
      <w:r>
        <w:rPr>
          <w:spacing w:val="-3"/>
        </w:rPr>
        <w:t> </w:t>
      </w:r>
      <w:r>
        <w:rPr/>
        <w:t>value</w:t>
      </w:r>
      <w:r>
        <w:rPr>
          <w:spacing w:val="-4"/>
        </w:rPr>
        <w:t> </w:t>
      </w:r>
      <w:r>
        <w:rPr/>
        <w:t>due</w:t>
      </w:r>
      <w:r>
        <w:rPr>
          <w:spacing w:val="-3"/>
        </w:rPr>
        <w:t> </w:t>
      </w:r>
      <w:r>
        <w:rPr/>
        <w:t>to</w:t>
      </w:r>
      <w:r>
        <w:rPr>
          <w:spacing w:val="-2"/>
        </w:rPr>
        <w:t> </w:t>
      </w:r>
      <w:r>
        <w:rPr/>
        <w:t>IBRD’s</w:t>
      </w:r>
      <w:r>
        <w:rPr>
          <w:spacing w:val="-3"/>
        </w:rPr>
        <w:t> </w:t>
      </w:r>
      <w:r>
        <w:rPr/>
        <w:t>own</w:t>
      </w:r>
      <w:r>
        <w:rPr>
          <w:spacing w:val="-3"/>
        </w:rPr>
        <w:t> </w:t>
      </w:r>
      <w:r>
        <w:rPr/>
        <w:t>credit</w:t>
      </w:r>
      <w:r>
        <w:rPr>
          <w:spacing w:val="-2"/>
        </w:rPr>
        <w:t> </w:t>
      </w:r>
      <w:r>
        <w:rPr>
          <w:spacing w:val="-4"/>
        </w:rPr>
        <w:t>risk</w:t>
      </w:r>
    </w:p>
    <w:p>
      <w:pPr>
        <w:spacing w:before="88" w:after="30"/>
        <w:ind w:left="7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2"/>
        <w:gridCol w:w="1269"/>
        <w:gridCol w:w="897"/>
        <w:gridCol w:w="734"/>
        <w:gridCol w:w="475"/>
      </w:tblGrid>
      <w:tr>
        <w:trPr>
          <w:trHeight w:val="210" w:hRule="atLeast"/>
        </w:trPr>
        <w:tc>
          <w:tcPr>
            <w:tcW w:w="5982" w:type="dxa"/>
            <w:tcBorders>
              <w:top w:val="single" w:sz="8" w:space="0" w:color="000000"/>
            </w:tcBorders>
          </w:tcPr>
          <w:p>
            <w:pPr>
              <w:pStyle w:val="TableParagraph"/>
              <w:spacing w:line="171" w:lineRule="exact" w:before="19"/>
              <w:ind w:left="52"/>
              <w:rPr>
                <w:rFonts w:ascii="Arial"/>
                <w:i/>
                <w:sz w:val="16"/>
              </w:rPr>
            </w:pPr>
            <w:r>
              <w:rPr>
                <w:rFonts w:ascii="Arial"/>
                <w:i/>
                <w:sz w:val="16"/>
              </w:rPr>
              <w:t>Unrealized</w:t>
            </w:r>
            <w:r>
              <w:rPr>
                <w:rFonts w:ascii="Arial"/>
                <w:i/>
                <w:spacing w:val="-6"/>
                <w:sz w:val="16"/>
              </w:rPr>
              <w:t> </w:t>
            </w:r>
            <w:r>
              <w:rPr>
                <w:rFonts w:ascii="Arial"/>
                <w:i/>
                <w:sz w:val="16"/>
              </w:rPr>
              <w:t>mark-to-market</w:t>
            </w:r>
            <w:r>
              <w:rPr>
                <w:rFonts w:ascii="Arial"/>
                <w:i/>
                <w:spacing w:val="-3"/>
                <w:sz w:val="16"/>
              </w:rPr>
              <w:t> </w:t>
            </w:r>
            <w:r>
              <w:rPr>
                <w:rFonts w:ascii="Arial"/>
                <w:i/>
                <w:sz w:val="16"/>
              </w:rPr>
              <w:t>(losses)</w:t>
            </w:r>
            <w:r>
              <w:rPr>
                <w:rFonts w:ascii="Arial"/>
                <w:i/>
                <w:spacing w:val="-3"/>
                <w:sz w:val="16"/>
              </w:rPr>
              <w:t> </w:t>
            </w:r>
            <w:r>
              <w:rPr>
                <w:rFonts w:ascii="Arial"/>
                <w:i/>
                <w:sz w:val="16"/>
              </w:rPr>
              <w:t>gains</w:t>
            </w:r>
            <w:r>
              <w:rPr>
                <w:rFonts w:ascii="Arial"/>
                <w:i/>
                <w:spacing w:val="-3"/>
                <w:sz w:val="16"/>
              </w:rPr>
              <w:t> </w:t>
            </w:r>
            <w:r>
              <w:rPr>
                <w:rFonts w:ascii="Arial"/>
                <w:i/>
                <w:sz w:val="16"/>
              </w:rPr>
              <w:t>due</w:t>
            </w:r>
            <w:r>
              <w:rPr>
                <w:rFonts w:ascii="Arial"/>
                <w:i/>
                <w:spacing w:val="-4"/>
                <w:sz w:val="16"/>
              </w:rPr>
              <w:t> </w:t>
            </w:r>
            <w:r>
              <w:rPr>
                <w:rFonts w:ascii="Arial"/>
                <w:i/>
                <w:sz w:val="16"/>
              </w:rPr>
              <w:t>to</w:t>
            </w:r>
            <w:r>
              <w:rPr>
                <w:rFonts w:ascii="Arial"/>
                <w:i/>
                <w:spacing w:val="-3"/>
                <w:sz w:val="16"/>
              </w:rPr>
              <w:t> </w:t>
            </w:r>
            <w:r>
              <w:rPr>
                <w:rFonts w:ascii="Arial"/>
                <w:i/>
                <w:sz w:val="16"/>
              </w:rPr>
              <w:t>DVA</w:t>
            </w:r>
            <w:r>
              <w:rPr>
                <w:rFonts w:ascii="Arial"/>
                <w:i/>
                <w:spacing w:val="-3"/>
                <w:sz w:val="16"/>
              </w:rPr>
              <w:t> </w:t>
            </w:r>
            <w:r>
              <w:rPr>
                <w:rFonts w:ascii="Arial"/>
                <w:i/>
                <w:sz w:val="16"/>
              </w:rPr>
              <w:t>on</w:t>
            </w:r>
            <w:r>
              <w:rPr>
                <w:rFonts w:ascii="Arial"/>
                <w:i/>
                <w:spacing w:val="-4"/>
                <w:sz w:val="16"/>
              </w:rPr>
              <w:t> </w:t>
            </w:r>
            <w:r>
              <w:rPr>
                <w:rFonts w:ascii="Arial"/>
                <w:i/>
                <w:sz w:val="16"/>
              </w:rPr>
              <w:t>fair</w:t>
            </w:r>
            <w:r>
              <w:rPr>
                <w:rFonts w:ascii="Arial"/>
                <w:i/>
                <w:spacing w:val="-3"/>
                <w:sz w:val="16"/>
              </w:rPr>
              <w:t> </w:t>
            </w:r>
            <w:r>
              <w:rPr>
                <w:rFonts w:ascii="Arial"/>
                <w:i/>
                <w:sz w:val="16"/>
              </w:rPr>
              <w:t>value</w:t>
            </w:r>
            <w:r>
              <w:rPr>
                <w:rFonts w:ascii="Arial"/>
                <w:i/>
                <w:spacing w:val="-4"/>
                <w:sz w:val="16"/>
              </w:rPr>
              <w:t> </w:t>
            </w:r>
            <w:r>
              <w:rPr>
                <w:rFonts w:ascii="Arial"/>
                <w:i/>
                <w:sz w:val="16"/>
              </w:rPr>
              <w:t>option</w:t>
            </w:r>
            <w:r>
              <w:rPr>
                <w:rFonts w:ascii="Arial"/>
                <w:i/>
                <w:spacing w:val="-3"/>
                <w:sz w:val="16"/>
              </w:rPr>
              <w:t> </w:t>
            </w:r>
            <w:r>
              <w:rPr>
                <w:rFonts w:ascii="Arial"/>
                <w:i/>
                <w:spacing w:val="-2"/>
                <w:sz w:val="16"/>
              </w:rPr>
              <w:t>elected</w:t>
            </w:r>
          </w:p>
        </w:tc>
        <w:tc>
          <w:tcPr>
            <w:tcW w:w="3375" w:type="dxa"/>
            <w:gridSpan w:val="4"/>
            <w:tcBorders>
              <w:top w:val="single" w:sz="8" w:space="0" w:color="000000"/>
            </w:tcBorders>
          </w:tcPr>
          <w:p>
            <w:pPr>
              <w:pStyle w:val="TableParagraph"/>
              <w:rPr>
                <w:rFonts w:ascii="Times New Roman"/>
                <w:sz w:val="14"/>
              </w:rPr>
            </w:pPr>
          </w:p>
        </w:tc>
      </w:tr>
      <w:tr>
        <w:trPr>
          <w:trHeight w:val="204" w:hRule="atLeast"/>
        </w:trPr>
        <w:tc>
          <w:tcPr>
            <w:tcW w:w="5982" w:type="dxa"/>
            <w:tcBorders>
              <w:bottom w:val="single" w:sz="8" w:space="0" w:color="000000"/>
            </w:tcBorders>
          </w:tcPr>
          <w:p>
            <w:pPr>
              <w:pStyle w:val="TableParagraph"/>
              <w:spacing w:line="183" w:lineRule="exact" w:before="1"/>
              <w:ind w:left="52"/>
              <w:rPr>
                <w:rFonts w:ascii="Arial"/>
                <w:i/>
                <w:sz w:val="16"/>
              </w:rPr>
            </w:pPr>
            <w:r>
              <w:rPr>
                <w:rFonts w:ascii="Arial"/>
                <w:i/>
                <w:spacing w:val="-2"/>
                <w:sz w:val="16"/>
              </w:rPr>
              <w:t>liabilities</w:t>
            </w:r>
          </w:p>
        </w:tc>
        <w:tc>
          <w:tcPr>
            <w:tcW w:w="1269" w:type="dxa"/>
            <w:tcBorders>
              <w:bottom w:val="single" w:sz="8" w:space="0" w:color="000000"/>
            </w:tcBorders>
          </w:tcPr>
          <w:p>
            <w:pPr>
              <w:pStyle w:val="TableParagraph"/>
              <w:spacing w:line="183" w:lineRule="exact" w:before="1"/>
              <w:ind w:left="755"/>
              <w:rPr>
                <w:rFonts w:ascii="Arial"/>
                <w:i/>
                <w:sz w:val="16"/>
              </w:rPr>
            </w:pPr>
            <w:r>
              <w:rPr>
                <w:rFonts w:ascii="Arial"/>
                <w:i/>
                <w:spacing w:val="-4"/>
                <w:sz w:val="16"/>
              </w:rPr>
              <w:t>2023</w:t>
            </w:r>
          </w:p>
        </w:tc>
        <w:tc>
          <w:tcPr>
            <w:tcW w:w="897" w:type="dxa"/>
            <w:tcBorders>
              <w:bottom w:val="single" w:sz="8" w:space="0" w:color="000000"/>
            </w:tcBorders>
          </w:tcPr>
          <w:p>
            <w:pPr>
              <w:pStyle w:val="TableParagraph"/>
              <w:rPr>
                <w:rFonts w:ascii="Times New Roman"/>
                <w:sz w:val="14"/>
              </w:rPr>
            </w:pPr>
          </w:p>
        </w:tc>
        <w:tc>
          <w:tcPr>
            <w:tcW w:w="734" w:type="dxa"/>
            <w:tcBorders>
              <w:bottom w:val="single" w:sz="8" w:space="0" w:color="000000"/>
            </w:tcBorders>
          </w:tcPr>
          <w:p>
            <w:pPr>
              <w:pStyle w:val="TableParagraph"/>
              <w:spacing w:line="183" w:lineRule="exact" w:before="1"/>
              <w:ind w:left="239"/>
              <w:rPr>
                <w:rFonts w:ascii="Arial"/>
                <w:i/>
                <w:sz w:val="16"/>
              </w:rPr>
            </w:pPr>
            <w:r>
              <w:rPr>
                <w:rFonts w:ascii="Arial"/>
                <w:i/>
                <w:spacing w:val="-4"/>
                <w:sz w:val="16"/>
              </w:rPr>
              <w:t>2022</w:t>
            </w:r>
          </w:p>
        </w:tc>
        <w:tc>
          <w:tcPr>
            <w:tcW w:w="475" w:type="dxa"/>
            <w:tcBorders>
              <w:bottom w:val="single" w:sz="8" w:space="0" w:color="000000"/>
            </w:tcBorders>
          </w:tcPr>
          <w:p>
            <w:pPr>
              <w:pStyle w:val="TableParagraph"/>
              <w:rPr>
                <w:rFonts w:ascii="Times New Roman"/>
                <w:sz w:val="14"/>
              </w:rPr>
            </w:pPr>
          </w:p>
        </w:tc>
      </w:tr>
      <w:tr>
        <w:trPr>
          <w:trHeight w:val="230" w:hRule="atLeast"/>
        </w:trPr>
        <w:tc>
          <w:tcPr>
            <w:tcW w:w="5982" w:type="dxa"/>
            <w:tcBorders>
              <w:top w:val="single" w:sz="8" w:space="0" w:color="000000"/>
            </w:tcBorders>
          </w:tcPr>
          <w:p>
            <w:pPr>
              <w:pStyle w:val="TableParagraph"/>
              <w:spacing w:before="16"/>
              <w:ind w:left="52"/>
              <w:rPr>
                <w:sz w:val="16"/>
              </w:rPr>
            </w:pPr>
            <w:r>
              <w:rPr>
                <w:sz w:val="16"/>
              </w:rPr>
              <w:t>DVA</w:t>
            </w:r>
            <w:r>
              <w:rPr>
                <w:spacing w:val="-12"/>
                <w:sz w:val="16"/>
              </w:rPr>
              <w:t> </w:t>
            </w:r>
            <w:r>
              <w:rPr>
                <w:sz w:val="16"/>
              </w:rPr>
              <w:t>on</w:t>
            </w:r>
            <w:r>
              <w:rPr>
                <w:spacing w:val="-10"/>
                <w:sz w:val="16"/>
              </w:rPr>
              <w:t> </w:t>
            </w:r>
            <w:r>
              <w:rPr>
                <w:sz w:val="16"/>
              </w:rPr>
              <w:t>Fair</w:t>
            </w:r>
            <w:r>
              <w:rPr>
                <w:spacing w:val="-7"/>
                <w:sz w:val="16"/>
              </w:rPr>
              <w:t> </w:t>
            </w:r>
            <w:r>
              <w:rPr>
                <w:sz w:val="16"/>
              </w:rPr>
              <w:t>Value</w:t>
            </w:r>
            <w:r>
              <w:rPr>
                <w:spacing w:val="-7"/>
                <w:sz w:val="16"/>
              </w:rPr>
              <w:t> </w:t>
            </w:r>
            <w:r>
              <w:rPr>
                <w:sz w:val="16"/>
              </w:rPr>
              <w:t>Option</w:t>
            </w:r>
            <w:r>
              <w:rPr>
                <w:spacing w:val="-8"/>
                <w:sz w:val="16"/>
              </w:rPr>
              <w:t> </w:t>
            </w:r>
            <w:r>
              <w:rPr>
                <w:sz w:val="16"/>
              </w:rPr>
              <w:t>Elected</w:t>
            </w:r>
            <w:r>
              <w:rPr>
                <w:spacing w:val="-7"/>
                <w:sz w:val="16"/>
              </w:rPr>
              <w:t> </w:t>
            </w:r>
            <w:r>
              <w:rPr>
                <w:spacing w:val="-2"/>
                <w:sz w:val="16"/>
              </w:rPr>
              <w:t>Liabilities</w:t>
            </w:r>
          </w:p>
        </w:tc>
        <w:tc>
          <w:tcPr>
            <w:tcW w:w="1269" w:type="dxa"/>
            <w:tcBorders>
              <w:top w:val="single" w:sz="8" w:space="0" w:color="000000"/>
            </w:tcBorders>
          </w:tcPr>
          <w:p>
            <w:pPr>
              <w:pStyle w:val="TableParagraph"/>
              <w:spacing w:before="16"/>
              <w:ind w:left="190"/>
              <w:rPr>
                <w:sz w:val="16"/>
              </w:rPr>
            </w:pPr>
            <w:r>
              <w:rPr>
                <w:sz w:val="16"/>
              </w:rPr>
              <mc:AlternateContent>
                <mc:Choice Requires="wps">
                  <w:drawing>
                    <wp:anchor distT="0" distB="0" distL="0" distR="0" allowOverlap="1" layoutInCell="1" locked="0" behindDoc="0" simplePos="0" relativeHeight="15918592">
                      <wp:simplePos x="0" y="0"/>
                      <wp:positionH relativeFrom="column">
                        <wp:posOffset>87444</wp:posOffset>
                      </wp:positionH>
                      <wp:positionV relativeFrom="paragraph">
                        <wp:posOffset>291895</wp:posOffset>
                      </wp:positionV>
                      <wp:extent cx="2057400" cy="12700"/>
                      <wp:effectExtent l="0" t="0" r="0" b="0"/>
                      <wp:wrapNone/>
                      <wp:docPr id="1030" name="Group 1030"/>
                      <wp:cNvGraphicFramePr>
                        <a:graphicFrameLocks/>
                      </wp:cNvGraphicFramePr>
                      <a:graphic>
                        <a:graphicData uri="http://schemas.microsoft.com/office/word/2010/wordprocessingGroup">
                          <wpg:wgp>
                            <wpg:cNvPr id="1030" name="Group 1030"/>
                            <wpg:cNvGrpSpPr/>
                            <wpg:grpSpPr>
                              <a:xfrm>
                                <a:off x="0" y="0"/>
                                <a:ext cx="2057400" cy="12700"/>
                                <a:chExt cx="2057400" cy="12700"/>
                              </a:xfrm>
                            </wpg:grpSpPr>
                            <wps:wsp>
                              <wps:cNvPr id="1031" name="Graphic 1031"/>
                              <wps:cNvSpPr/>
                              <wps:spPr>
                                <a:xfrm>
                                  <a:off x="0" y="6350"/>
                                  <a:ext cx="2057400" cy="1270"/>
                                </a:xfrm>
                                <a:custGeom>
                                  <a:avLst/>
                                  <a:gdLst/>
                                  <a:ahLst/>
                                  <a:cxnLst/>
                                  <a:rect l="l" t="t" r="r" b="b"/>
                                  <a:pathLst>
                                    <a:path w="2057400" h="0">
                                      <a:moveTo>
                                        <a:pt x="0" y="0"/>
                                      </a:moveTo>
                                      <a:lnTo>
                                        <a:pt x="1009650" y="0"/>
                                      </a:lnTo>
                                    </a:path>
                                    <a:path w="2057400" h="0">
                                      <a:moveTo>
                                        <a:pt x="1047750" y="0"/>
                                      </a:moveTo>
                                      <a:lnTo>
                                        <a:pt x="2057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85384pt;margin-top:22.983898pt;width:162pt;height:1pt;mso-position-horizontal-relative:column;mso-position-vertical-relative:paragraph;z-index:15918592" id="docshapegroup855" coordorigin="138,460" coordsize="3240,20">
                      <v:shape style="position:absolute;left:137;top:469;width:3240;height:2" id="docshape856" coordorigin="138,470" coordsize="3240,0" path="m138,470l1728,470m1788,470l3378,470e" filled="false" stroked="true" strokeweight="1pt" strokecolor="#000000">
                        <v:path arrowok="t"/>
                        <v:stroke dashstyle="solid"/>
                      </v:shape>
                      <w10:wrap type="none"/>
                    </v:group>
                  </w:pict>
                </mc:Fallback>
              </mc:AlternateContent>
            </w:r>
            <w:r>
              <w:rPr>
                <w:spacing w:val="-10"/>
                <w:sz w:val="16"/>
              </w:rPr>
              <w:t>$</w:t>
            </w:r>
          </w:p>
        </w:tc>
        <w:tc>
          <w:tcPr>
            <w:tcW w:w="897" w:type="dxa"/>
            <w:tcBorders>
              <w:top w:val="single" w:sz="8" w:space="0" w:color="000000"/>
            </w:tcBorders>
          </w:tcPr>
          <w:p>
            <w:pPr>
              <w:pStyle w:val="TableParagraph"/>
              <w:spacing w:before="16"/>
              <w:ind w:left="160"/>
              <w:rPr>
                <w:sz w:val="16"/>
              </w:rPr>
            </w:pPr>
            <w:r>
              <w:rPr>
                <w:sz w:val="16"/>
              </w:rPr>
              <w:t>(60)</w:t>
            </w:r>
            <w:r>
              <w:rPr>
                <w:spacing w:val="80"/>
                <w:sz w:val="16"/>
              </w:rPr>
              <w:t> </w:t>
            </w:r>
            <w:r>
              <w:rPr>
                <w:spacing w:val="-10"/>
                <w:sz w:val="16"/>
              </w:rPr>
              <w:t>$</w:t>
            </w:r>
          </w:p>
        </w:tc>
        <w:tc>
          <w:tcPr>
            <w:tcW w:w="734" w:type="dxa"/>
            <w:tcBorders>
              <w:top w:val="single" w:sz="8" w:space="0" w:color="000000"/>
            </w:tcBorders>
          </w:tcPr>
          <w:p>
            <w:pPr>
              <w:pStyle w:val="TableParagraph"/>
              <w:rPr>
                <w:rFonts w:ascii="Times New Roman"/>
                <w:sz w:val="16"/>
              </w:rPr>
            </w:pPr>
          </w:p>
        </w:tc>
        <w:tc>
          <w:tcPr>
            <w:tcW w:w="475" w:type="dxa"/>
            <w:tcBorders>
              <w:top w:val="single" w:sz="8" w:space="0" w:color="000000"/>
            </w:tcBorders>
          </w:tcPr>
          <w:p>
            <w:pPr>
              <w:pStyle w:val="TableParagraph"/>
              <w:spacing w:before="16"/>
              <w:ind w:right="63"/>
              <w:jc w:val="right"/>
              <w:rPr>
                <w:sz w:val="16"/>
              </w:rPr>
            </w:pPr>
            <w:r>
              <w:rPr>
                <w:spacing w:val="-5"/>
                <w:sz w:val="16"/>
              </w:rPr>
              <w:t>564</w:t>
            </w:r>
          </w:p>
        </w:tc>
      </w:tr>
      <w:tr>
        <w:trPr>
          <w:trHeight w:val="249" w:hRule="atLeast"/>
        </w:trPr>
        <w:tc>
          <w:tcPr>
            <w:tcW w:w="5982" w:type="dxa"/>
          </w:tcPr>
          <w:p>
            <w:pPr>
              <w:pStyle w:val="TableParagraph"/>
              <w:spacing w:before="25"/>
              <w:ind w:left="52"/>
              <w:rPr>
                <w:sz w:val="16"/>
              </w:rPr>
            </w:pPr>
            <w:r>
              <w:rPr>
                <w:sz w:val="16"/>
              </w:rPr>
              <w:t>Amounts</w:t>
            </w:r>
            <w:r>
              <w:rPr>
                <w:spacing w:val="-4"/>
                <w:sz w:val="16"/>
              </w:rPr>
              <w:t> </w:t>
            </w:r>
            <w:r>
              <w:rPr>
                <w:sz w:val="16"/>
              </w:rPr>
              <w:t>reclassified</w:t>
            </w:r>
            <w:r>
              <w:rPr>
                <w:spacing w:val="-4"/>
                <w:sz w:val="16"/>
              </w:rPr>
              <w:t> </w:t>
            </w:r>
            <w:r>
              <w:rPr>
                <w:sz w:val="16"/>
              </w:rPr>
              <w:t>to</w:t>
            </w:r>
            <w:r>
              <w:rPr>
                <w:spacing w:val="-3"/>
                <w:sz w:val="16"/>
              </w:rPr>
              <w:t> </w:t>
            </w:r>
            <w:r>
              <w:rPr>
                <w:sz w:val="16"/>
              </w:rPr>
              <w:t>net</w:t>
            </w:r>
            <w:r>
              <w:rPr>
                <w:spacing w:val="-4"/>
                <w:sz w:val="16"/>
              </w:rPr>
              <w:t> </w:t>
            </w:r>
            <w:r>
              <w:rPr>
                <w:sz w:val="16"/>
              </w:rPr>
              <w:t>income</w:t>
            </w:r>
            <w:r>
              <w:rPr>
                <w:spacing w:val="-4"/>
                <w:sz w:val="16"/>
              </w:rPr>
              <w:t> </w:t>
            </w:r>
            <w:r>
              <w:rPr>
                <w:sz w:val="16"/>
              </w:rPr>
              <w:t>upon</w:t>
            </w:r>
            <w:r>
              <w:rPr>
                <w:spacing w:val="-3"/>
                <w:sz w:val="16"/>
              </w:rPr>
              <w:t> </w:t>
            </w:r>
            <w:r>
              <w:rPr>
                <w:sz w:val="16"/>
              </w:rPr>
              <w:t>derecognition</w:t>
            </w:r>
            <w:r>
              <w:rPr>
                <w:spacing w:val="-4"/>
                <w:sz w:val="16"/>
              </w:rPr>
              <w:t> </w:t>
            </w:r>
            <w:r>
              <w:rPr>
                <w:sz w:val="16"/>
              </w:rPr>
              <w:t>of</w:t>
            </w:r>
            <w:r>
              <w:rPr>
                <w:spacing w:val="-4"/>
                <w:sz w:val="16"/>
              </w:rPr>
              <w:t> </w:t>
            </w:r>
            <w:r>
              <w:rPr>
                <w:sz w:val="16"/>
              </w:rPr>
              <w:t>a</w:t>
            </w:r>
            <w:r>
              <w:rPr>
                <w:spacing w:val="-3"/>
                <w:sz w:val="16"/>
              </w:rPr>
              <w:t> </w:t>
            </w:r>
            <w:r>
              <w:rPr>
                <w:spacing w:val="-2"/>
                <w:sz w:val="16"/>
              </w:rPr>
              <w:t>liability</w:t>
            </w:r>
          </w:p>
        </w:tc>
        <w:tc>
          <w:tcPr>
            <w:tcW w:w="1269" w:type="dxa"/>
          </w:tcPr>
          <w:p>
            <w:pPr>
              <w:pStyle w:val="TableParagraph"/>
              <w:rPr>
                <w:rFonts w:ascii="Times New Roman"/>
                <w:sz w:val="18"/>
              </w:rPr>
            </w:pPr>
          </w:p>
        </w:tc>
        <w:tc>
          <w:tcPr>
            <w:tcW w:w="897" w:type="dxa"/>
          </w:tcPr>
          <w:p>
            <w:pPr>
              <w:pStyle w:val="TableParagraph"/>
              <w:spacing w:before="25"/>
              <w:ind w:left="213"/>
              <w:rPr>
                <w:sz w:val="16"/>
              </w:rPr>
            </w:pPr>
            <w:r>
              <w:rPr>
                <w:spacing w:val="-5"/>
                <w:sz w:val="16"/>
              </w:rPr>
              <w:t>47</w:t>
            </w:r>
          </w:p>
        </w:tc>
        <w:tc>
          <w:tcPr>
            <w:tcW w:w="734" w:type="dxa"/>
          </w:tcPr>
          <w:p>
            <w:pPr>
              <w:pStyle w:val="TableParagraph"/>
              <w:rPr>
                <w:rFonts w:ascii="Times New Roman"/>
                <w:sz w:val="18"/>
              </w:rPr>
            </w:pPr>
          </w:p>
        </w:tc>
        <w:tc>
          <w:tcPr>
            <w:tcW w:w="475" w:type="dxa"/>
          </w:tcPr>
          <w:p>
            <w:pPr>
              <w:pStyle w:val="TableParagraph"/>
              <w:spacing w:before="25"/>
              <w:ind w:right="63"/>
              <w:jc w:val="right"/>
              <w:rPr>
                <w:sz w:val="16"/>
              </w:rPr>
            </w:pPr>
            <w:r>
              <w:rPr>
                <w:spacing w:val="-5"/>
                <w:sz w:val="16"/>
              </w:rPr>
              <w:t>18</w:t>
            </w:r>
          </w:p>
        </w:tc>
      </w:tr>
    </w:tbl>
    <w:p>
      <w:pPr>
        <w:tabs>
          <w:tab w:pos="6839" w:val="left" w:leader="none"/>
          <w:tab w:pos="8130" w:val="left" w:leader="none"/>
          <w:tab w:pos="9745" w:val="left" w:leader="none"/>
        </w:tabs>
        <w:spacing w:before="8"/>
        <w:ind w:left="772"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7774208">
                <wp:simplePos x="0" y="0"/>
                <wp:positionH relativeFrom="page">
                  <wp:posOffset>4800600</wp:posOffset>
                </wp:positionH>
                <wp:positionV relativeFrom="paragraph">
                  <wp:posOffset>153670</wp:posOffset>
                </wp:positionV>
                <wp:extent cx="2057400" cy="1270"/>
                <wp:effectExtent l="0" t="0" r="0" b="0"/>
                <wp:wrapTopAndBottom/>
                <wp:docPr id="1032" name="Graphic 1032"/>
                <wp:cNvGraphicFramePr>
                  <a:graphicFrameLocks/>
                </wp:cNvGraphicFramePr>
                <a:graphic>
                  <a:graphicData uri="http://schemas.microsoft.com/office/word/2010/wordprocessingShape">
                    <wps:wsp>
                      <wps:cNvPr id="1032" name="Graphic 1032"/>
                      <wps:cNvSpPr/>
                      <wps:spPr>
                        <a:xfrm>
                          <a:off x="0" y="0"/>
                          <a:ext cx="2057400" cy="1270"/>
                        </a:xfrm>
                        <a:custGeom>
                          <a:avLst/>
                          <a:gdLst/>
                          <a:ahLst/>
                          <a:cxnLst/>
                          <a:rect l="l" t="t" r="r" b="b"/>
                          <a:pathLst>
                            <a:path w="2057400" h="0">
                              <a:moveTo>
                                <a:pt x="0" y="0"/>
                              </a:moveTo>
                              <a:lnTo>
                                <a:pt x="1009650" y="0"/>
                              </a:lnTo>
                            </a:path>
                            <a:path w="2057400" h="0">
                              <a:moveTo>
                                <a:pt x="1047750" y="0"/>
                              </a:moveTo>
                              <a:lnTo>
                                <a:pt x="2057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8pt;margin-top:12.1pt;width:162pt;height:.1pt;mso-position-horizontal-relative:page;mso-position-vertical-relative:paragraph;z-index:-15542272;mso-wrap-distance-left:0;mso-wrap-distance-right:0" id="docshape857" coordorigin="7560,242" coordsize="3240,0" path="m7560,242l9150,242m9210,242l10800,242e" filled="false" stroked="true" strokeweight="1pt" strokecolor="#000000">
                <v:path arrowok="t"/>
                <v:stroke dashstyle="solid"/>
                <w10:wrap type="topAndBottom"/>
              </v:shape>
            </w:pict>
          </mc:Fallback>
        </mc:AlternateContent>
      </w:r>
      <w:r>
        <w:rPr>
          <w:rFonts w:ascii="Arial MT"/>
          <w:sz w:val="16"/>
        </w:rPr>
        <mc:AlternateContent>
          <mc:Choice Requires="wps">
            <w:drawing>
              <wp:anchor distT="0" distB="0" distL="0" distR="0" allowOverlap="1" layoutInCell="1" locked="0" behindDoc="1" simplePos="0" relativeHeight="487774720">
                <wp:simplePos x="0" y="0"/>
                <wp:positionH relativeFrom="page">
                  <wp:posOffset>914400</wp:posOffset>
                </wp:positionH>
                <wp:positionV relativeFrom="paragraph">
                  <wp:posOffset>293370</wp:posOffset>
                </wp:positionV>
                <wp:extent cx="5943600" cy="1270"/>
                <wp:effectExtent l="0" t="0" r="0" b="0"/>
                <wp:wrapTopAndBottom/>
                <wp:docPr id="1033" name="Graphic 1033"/>
                <wp:cNvGraphicFramePr>
                  <a:graphicFrameLocks/>
                </wp:cNvGraphicFramePr>
                <a:graphic>
                  <a:graphicData uri="http://schemas.microsoft.com/office/word/2010/wordprocessingShape">
                    <wps:wsp>
                      <wps:cNvPr id="1033" name="Graphic 103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1pt;width:468pt;height:.1pt;mso-position-horizontal-relative:page;mso-position-vertical-relative:paragraph;z-index:-15541760;mso-wrap-distance-left:0;mso-wrap-distance-right:0" id="docshape858" coordorigin="1440,462" coordsize="9360,0" path="m1440,462l10800,462e" filled="false" stroked="true" strokeweight="1pt" strokecolor="#000000">
                <v:path arrowok="t"/>
                <v:stroke dashstyle="solid"/>
                <w10:wrap type="topAndBottom"/>
              </v:shape>
            </w:pict>
          </mc:Fallback>
        </mc:AlternateContent>
      </w:r>
      <w:r>
        <w:rPr>
          <w:rFonts w:ascii="Arial MT"/>
          <w:sz w:val="16"/>
        </w:rPr>
        <w:t>Net</w:t>
      </w:r>
      <w:r>
        <w:rPr>
          <w:rFonts w:ascii="Arial MT"/>
          <w:spacing w:val="-8"/>
          <w:sz w:val="16"/>
        </w:rPr>
        <w:t> </w:t>
      </w:r>
      <w:r>
        <w:rPr>
          <w:rFonts w:ascii="Arial MT"/>
          <w:sz w:val="16"/>
        </w:rPr>
        <w:t>change</w:t>
      </w:r>
      <w:r>
        <w:rPr>
          <w:rFonts w:ascii="Arial MT"/>
          <w:spacing w:val="-6"/>
          <w:sz w:val="16"/>
        </w:rPr>
        <w:t> </w:t>
      </w:r>
      <w:r>
        <w:rPr>
          <w:rFonts w:ascii="Arial MT"/>
          <w:sz w:val="16"/>
        </w:rPr>
        <w:t>in</w:t>
      </w:r>
      <w:r>
        <w:rPr>
          <w:rFonts w:ascii="Arial MT"/>
          <w:spacing w:val="-6"/>
          <w:sz w:val="16"/>
        </w:rPr>
        <w:t> </w:t>
      </w:r>
      <w:r>
        <w:rPr>
          <w:rFonts w:ascii="Arial MT"/>
          <w:sz w:val="16"/>
        </w:rPr>
        <w:t>DVA</w:t>
      </w:r>
      <w:r>
        <w:rPr>
          <w:rFonts w:ascii="Arial MT"/>
          <w:spacing w:val="-11"/>
          <w:sz w:val="16"/>
        </w:rPr>
        <w:t> </w:t>
      </w:r>
      <w:r>
        <w:rPr>
          <w:rFonts w:ascii="Arial MT"/>
          <w:sz w:val="16"/>
        </w:rPr>
        <w:t>on</w:t>
      </w:r>
      <w:r>
        <w:rPr>
          <w:rFonts w:ascii="Arial MT"/>
          <w:spacing w:val="-6"/>
          <w:sz w:val="16"/>
        </w:rPr>
        <w:t> </w:t>
      </w:r>
      <w:r>
        <w:rPr>
          <w:rFonts w:ascii="Arial MT"/>
          <w:sz w:val="16"/>
        </w:rPr>
        <w:t>Fair</w:t>
      </w:r>
      <w:r>
        <w:rPr>
          <w:rFonts w:ascii="Arial MT"/>
          <w:spacing w:val="-5"/>
          <w:sz w:val="16"/>
        </w:rPr>
        <w:t> </w:t>
      </w:r>
      <w:r>
        <w:rPr>
          <w:rFonts w:ascii="Arial MT"/>
          <w:sz w:val="16"/>
        </w:rPr>
        <w:t>Value</w:t>
      </w:r>
      <w:r>
        <w:rPr>
          <w:rFonts w:ascii="Arial MT"/>
          <w:spacing w:val="-6"/>
          <w:sz w:val="16"/>
        </w:rPr>
        <w:t> </w:t>
      </w:r>
      <w:r>
        <w:rPr>
          <w:rFonts w:ascii="Arial MT"/>
          <w:sz w:val="16"/>
        </w:rPr>
        <w:t>Option</w:t>
      </w:r>
      <w:r>
        <w:rPr>
          <w:rFonts w:ascii="Arial MT"/>
          <w:spacing w:val="-6"/>
          <w:sz w:val="16"/>
        </w:rPr>
        <w:t> </w:t>
      </w:r>
      <w:r>
        <w:rPr>
          <w:rFonts w:ascii="Arial MT"/>
          <w:sz w:val="16"/>
        </w:rPr>
        <w:t>Elected</w:t>
      </w:r>
      <w:r>
        <w:rPr>
          <w:rFonts w:ascii="Arial MT"/>
          <w:spacing w:val="-6"/>
          <w:sz w:val="16"/>
        </w:rPr>
        <w:t> </w:t>
      </w:r>
      <w:r>
        <w:rPr>
          <w:rFonts w:ascii="Arial MT"/>
          <w:spacing w:val="-2"/>
          <w:sz w:val="16"/>
        </w:rPr>
        <w:t>Liabilities</w:t>
      </w:r>
      <w:r>
        <w:rPr>
          <w:rFonts w:ascii="Arial MT"/>
          <w:sz w:val="16"/>
        </w:rPr>
        <w:tab/>
      </w:r>
      <w:r>
        <w:rPr>
          <w:rFonts w:ascii="Arial MT"/>
          <w:sz w:val="16"/>
          <w:u w:val="single"/>
        </w:rPr>
        <w:t> $</w:t>
        <w:tab/>
        <w:t>(13)</w:t>
      </w:r>
      <w:r>
        <w:rPr>
          <w:rFonts w:ascii="Arial MT"/>
          <w:spacing w:val="80"/>
          <w:sz w:val="16"/>
          <w:u w:val="single"/>
        </w:rPr>
        <w:t> </w:t>
      </w:r>
      <w:r>
        <w:rPr>
          <w:rFonts w:ascii="Arial MT"/>
          <w:spacing w:val="-10"/>
          <w:sz w:val="16"/>
          <w:u w:val="single"/>
        </w:rPr>
        <w:t>$</w:t>
      </w:r>
      <w:r>
        <w:rPr>
          <w:rFonts w:ascii="Arial MT"/>
          <w:sz w:val="16"/>
          <w:u w:val="single"/>
        </w:rPr>
        <w:tab/>
      </w:r>
      <w:r>
        <w:rPr>
          <w:rFonts w:ascii="Arial MT"/>
          <w:spacing w:val="-5"/>
          <w:sz w:val="16"/>
          <w:u w:val="single"/>
        </w:rPr>
        <w:t>582</w:t>
      </w:r>
    </w:p>
    <w:p>
      <w:pPr>
        <w:pStyle w:val="BodyText"/>
        <w:spacing w:before="2"/>
        <w:rPr>
          <w:rFonts w:ascii="Arial MT"/>
          <w:sz w:val="16"/>
        </w:rPr>
      </w:pPr>
    </w:p>
    <w:p>
      <w:pPr>
        <w:pStyle w:val="BodyText"/>
        <w:spacing w:line="249" w:lineRule="auto" w:before="162"/>
        <w:ind w:left="720" w:right="719"/>
        <w:jc w:val="both"/>
      </w:pPr>
      <w:r>
        <w:rPr/>
        <w:t>The following table provides information on the cumulative changes in fair value due to the change in IBRD’s own-credit risk for financial liabilities measured under the fair value option, as well as where those amounts are included on the Balance Sheets:</w:t>
      </w:r>
    </w:p>
    <w:p>
      <w:pPr>
        <w:pStyle w:val="Heading8"/>
        <w:spacing w:before="119"/>
        <w:jc w:val="both"/>
      </w:pPr>
      <w:r>
        <w:rPr/>
        <w:t>Table</w:t>
      </w:r>
      <w:r>
        <w:rPr>
          <w:spacing w:val="-6"/>
        </w:rPr>
        <w:t> </w:t>
      </w:r>
      <w:r>
        <w:rPr/>
        <w:t>L10:</w:t>
      </w:r>
      <w:r>
        <w:rPr>
          <w:spacing w:val="-2"/>
        </w:rPr>
        <w:t> </w:t>
      </w:r>
      <w:r>
        <w:rPr/>
        <w:t>Cumulative</w:t>
      </w:r>
      <w:r>
        <w:rPr>
          <w:spacing w:val="-3"/>
        </w:rPr>
        <w:t> </w:t>
      </w:r>
      <w:r>
        <w:rPr/>
        <w:t>changes</w:t>
      </w:r>
      <w:r>
        <w:rPr>
          <w:spacing w:val="-4"/>
        </w:rPr>
        <w:t> </w:t>
      </w:r>
      <w:r>
        <w:rPr/>
        <w:t>in</w:t>
      </w:r>
      <w:r>
        <w:rPr>
          <w:spacing w:val="-3"/>
        </w:rPr>
        <w:t> </w:t>
      </w:r>
      <w:r>
        <w:rPr/>
        <w:t>fair</w:t>
      </w:r>
      <w:r>
        <w:rPr>
          <w:spacing w:val="-3"/>
        </w:rPr>
        <w:t> </w:t>
      </w:r>
      <w:r>
        <w:rPr/>
        <w:t>value</w:t>
      </w:r>
      <w:r>
        <w:rPr>
          <w:spacing w:val="-3"/>
        </w:rPr>
        <w:t> </w:t>
      </w:r>
      <w:r>
        <w:rPr/>
        <w:t>due</w:t>
      </w:r>
      <w:r>
        <w:rPr>
          <w:spacing w:val="-4"/>
        </w:rPr>
        <w:t> </w:t>
      </w:r>
      <w:r>
        <w:rPr/>
        <w:t>to</w:t>
      </w:r>
      <w:r>
        <w:rPr>
          <w:spacing w:val="-2"/>
        </w:rPr>
        <w:t> </w:t>
      </w:r>
      <w:r>
        <w:rPr/>
        <w:t>the</w:t>
      </w:r>
      <w:r>
        <w:rPr>
          <w:spacing w:val="-3"/>
        </w:rPr>
        <w:t> </w:t>
      </w:r>
      <w:r>
        <w:rPr/>
        <w:t>change</w:t>
      </w:r>
      <w:r>
        <w:rPr>
          <w:spacing w:val="-3"/>
        </w:rPr>
        <w:t> </w:t>
      </w:r>
      <w:r>
        <w:rPr/>
        <w:t>in</w:t>
      </w:r>
      <w:r>
        <w:rPr>
          <w:spacing w:val="-4"/>
        </w:rPr>
        <w:t> </w:t>
      </w:r>
      <w:r>
        <w:rPr/>
        <w:t>IBRD’s</w:t>
      </w:r>
      <w:r>
        <w:rPr>
          <w:spacing w:val="-3"/>
        </w:rPr>
        <w:t> </w:t>
      </w:r>
      <w:r>
        <w:rPr/>
        <w:t>own</w:t>
      </w:r>
      <w:r>
        <w:rPr>
          <w:spacing w:val="-3"/>
        </w:rPr>
        <w:t> </w:t>
      </w:r>
      <w:r>
        <w:rPr/>
        <w:t>credit</w:t>
      </w:r>
      <w:r>
        <w:rPr>
          <w:spacing w:val="-2"/>
        </w:rPr>
        <w:t> </w:t>
      </w:r>
      <w:r>
        <w:rPr>
          <w:spacing w:val="-4"/>
        </w:rPr>
        <w:t>risk</w:t>
      </w:r>
    </w:p>
    <w:p>
      <w:pPr>
        <w:spacing w:before="80"/>
        <w:ind w:left="772" w:right="0" w:firstLine="0"/>
        <w:jc w:val="both"/>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p>
      <w:pPr>
        <w:spacing w:line="20" w:lineRule="exact"/>
        <w:ind w:left="720" w:right="0" w:firstLine="0"/>
        <w:rPr>
          <w:rFonts w:ascii="Arial"/>
          <w:sz w:val="2"/>
        </w:rPr>
      </w:pPr>
      <w:r>
        <w:rPr>
          <w:rFonts w:ascii="Arial"/>
          <w:sz w:val="2"/>
        </w:rPr>
        <mc:AlternateContent>
          <mc:Choice Requires="wps">
            <w:drawing>
              <wp:inline distT="0" distB="0" distL="0" distR="0">
                <wp:extent cx="5943600" cy="12700"/>
                <wp:effectExtent l="9525" t="0" r="0" b="6350"/>
                <wp:docPr id="1034" name="Group 1034"/>
                <wp:cNvGraphicFramePr>
                  <a:graphicFrameLocks/>
                </wp:cNvGraphicFramePr>
                <a:graphic>
                  <a:graphicData uri="http://schemas.microsoft.com/office/word/2010/wordprocessingGroup">
                    <wpg:wgp>
                      <wpg:cNvPr id="1034" name="Group 1034"/>
                      <wpg:cNvGrpSpPr/>
                      <wpg:grpSpPr>
                        <a:xfrm>
                          <a:off x="0" y="0"/>
                          <a:ext cx="5943600" cy="12700"/>
                          <a:chExt cx="5943600" cy="12700"/>
                        </a:xfrm>
                      </wpg:grpSpPr>
                      <wps:wsp>
                        <wps:cNvPr id="1035" name="Graphic 1035"/>
                        <wps:cNvSpPr/>
                        <wps:spPr>
                          <a:xfrm>
                            <a:off x="0" y="635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8pt;height:1pt;mso-position-horizontal-relative:char;mso-position-vertical-relative:line" id="docshapegroup859" coordorigin="0,0" coordsize="9360,20">
                <v:line style="position:absolute" from="0,10" to="9360,10" stroked="true" strokeweight="1pt" strokecolor="#000000">
                  <v:stroke dashstyle="solid"/>
                </v:line>
              </v:group>
            </w:pict>
          </mc:Fallback>
        </mc:AlternateContent>
      </w:r>
      <w:r>
        <w:rPr>
          <w:rFonts w:ascii="Arial"/>
          <w:sz w:val="2"/>
        </w:rPr>
      </w:r>
    </w:p>
    <w:p>
      <w:pPr>
        <w:tabs>
          <w:tab w:pos="6813" w:val="left" w:leader="none"/>
          <w:tab w:pos="8673" w:val="left" w:leader="none"/>
        </w:tabs>
        <w:spacing w:before="0" w:after="4"/>
        <w:ind w:left="772" w:right="0" w:firstLine="0"/>
        <w:jc w:val="both"/>
        <w:rPr>
          <w:rFonts w:ascii="Arial"/>
          <w:i/>
          <w:sz w:val="16"/>
        </w:rPr>
      </w:pPr>
      <w:r>
        <w:rPr>
          <w:rFonts w:ascii="Arial"/>
          <w:i/>
          <w:sz w:val="16"/>
        </w:rPr>
        <w:t>DVA</w:t>
      </w:r>
      <w:r>
        <w:rPr>
          <w:rFonts w:ascii="Arial"/>
          <w:i/>
          <w:spacing w:val="-4"/>
          <w:sz w:val="16"/>
        </w:rPr>
        <w:t> </w:t>
      </w:r>
      <w:r>
        <w:rPr>
          <w:rFonts w:ascii="Arial"/>
          <w:i/>
          <w:sz w:val="16"/>
        </w:rPr>
        <w:t>on</w:t>
      </w:r>
      <w:r>
        <w:rPr>
          <w:rFonts w:ascii="Arial"/>
          <w:i/>
          <w:spacing w:val="-4"/>
          <w:sz w:val="16"/>
        </w:rPr>
        <w:t> </w:t>
      </w:r>
      <w:r>
        <w:rPr>
          <w:rFonts w:ascii="Arial"/>
          <w:i/>
          <w:sz w:val="16"/>
        </w:rPr>
        <w:t>fair</w:t>
      </w:r>
      <w:r>
        <w:rPr>
          <w:rFonts w:ascii="Arial"/>
          <w:i/>
          <w:spacing w:val="-4"/>
          <w:sz w:val="16"/>
        </w:rPr>
        <w:t> </w:t>
      </w:r>
      <w:r>
        <w:rPr>
          <w:rFonts w:ascii="Arial"/>
          <w:i/>
          <w:sz w:val="16"/>
        </w:rPr>
        <w:t>value</w:t>
      </w:r>
      <w:r>
        <w:rPr>
          <w:rFonts w:ascii="Arial"/>
          <w:i/>
          <w:spacing w:val="-4"/>
          <w:sz w:val="16"/>
        </w:rPr>
        <w:t> </w:t>
      </w:r>
      <w:r>
        <w:rPr>
          <w:rFonts w:ascii="Arial"/>
          <w:i/>
          <w:sz w:val="16"/>
        </w:rPr>
        <w:t>option</w:t>
      </w:r>
      <w:r>
        <w:rPr>
          <w:rFonts w:ascii="Arial"/>
          <w:i/>
          <w:spacing w:val="-5"/>
          <w:sz w:val="16"/>
        </w:rPr>
        <w:t> </w:t>
      </w:r>
      <w:r>
        <w:rPr>
          <w:rFonts w:ascii="Arial"/>
          <w:i/>
          <w:sz w:val="16"/>
        </w:rPr>
        <w:t>elected</w:t>
      </w:r>
      <w:r>
        <w:rPr>
          <w:rFonts w:ascii="Arial"/>
          <w:i/>
          <w:spacing w:val="-4"/>
          <w:sz w:val="16"/>
        </w:rPr>
        <w:t> </w:t>
      </w:r>
      <w:r>
        <w:rPr>
          <w:rFonts w:ascii="Arial"/>
          <w:i/>
          <w:sz w:val="16"/>
        </w:rPr>
        <w:t>liabilities-</w:t>
      </w:r>
      <w:r>
        <w:rPr>
          <w:rFonts w:ascii="Arial"/>
          <w:i/>
          <w:spacing w:val="-3"/>
          <w:sz w:val="16"/>
        </w:rPr>
        <w:t> </w:t>
      </w:r>
      <w:r>
        <w:rPr>
          <w:rFonts w:ascii="Arial"/>
          <w:i/>
          <w:spacing w:val="-4"/>
          <w:sz w:val="16"/>
        </w:rPr>
        <w:t>gain</w:t>
      </w:r>
      <w:r>
        <w:rPr>
          <w:rFonts w:ascii="Arial"/>
          <w:i/>
          <w:sz w:val="16"/>
        </w:rPr>
        <w:tab/>
        <w:t>June</w:t>
      </w:r>
      <w:r>
        <w:rPr>
          <w:rFonts w:ascii="Arial"/>
          <w:i/>
          <w:spacing w:val="-5"/>
          <w:sz w:val="16"/>
        </w:rPr>
        <w:t> </w:t>
      </w:r>
      <w:r>
        <w:rPr>
          <w:rFonts w:ascii="Arial"/>
          <w:i/>
          <w:sz w:val="16"/>
        </w:rPr>
        <w:t>30,</w:t>
      </w:r>
      <w:r>
        <w:rPr>
          <w:rFonts w:ascii="Arial"/>
          <w:i/>
          <w:spacing w:val="-2"/>
          <w:sz w:val="16"/>
        </w:rPr>
        <w:t> </w:t>
      </w:r>
      <w:r>
        <w:rPr>
          <w:rFonts w:ascii="Arial"/>
          <w:i/>
          <w:spacing w:val="-4"/>
          <w:sz w:val="16"/>
        </w:rPr>
        <w:t>2023</w:t>
      </w:r>
      <w:r>
        <w:rPr>
          <w:rFonts w:ascii="Arial"/>
          <w:i/>
          <w:sz w:val="16"/>
        </w:rPr>
        <w:tab/>
        <w:t>June</w:t>
      </w:r>
      <w:r>
        <w:rPr>
          <w:rFonts w:ascii="Arial"/>
          <w:i/>
          <w:spacing w:val="-5"/>
          <w:sz w:val="16"/>
        </w:rPr>
        <w:t> </w:t>
      </w:r>
      <w:r>
        <w:rPr>
          <w:rFonts w:ascii="Arial"/>
          <w:i/>
          <w:sz w:val="16"/>
        </w:rPr>
        <w:t>30,</w:t>
      </w:r>
      <w:r>
        <w:rPr>
          <w:rFonts w:ascii="Arial"/>
          <w:i/>
          <w:spacing w:val="-2"/>
          <w:sz w:val="16"/>
        </w:rPr>
        <w:t> </w:t>
      </w:r>
      <w:r>
        <w:rPr>
          <w:rFonts w:ascii="Arial"/>
          <w:i/>
          <w:spacing w:val="-4"/>
          <w:sz w:val="16"/>
        </w:rPr>
        <w:t>2022</w:t>
      </w:r>
    </w:p>
    <w:p>
      <w:pPr>
        <w:tabs>
          <w:tab w:pos="6410" w:val="left" w:leader="none"/>
        </w:tabs>
        <w:spacing w:line="20" w:lineRule="exact"/>
        <w:ind w:left="720" w:right="0" w:firstLine="0"/>
        <w:rPr>
          <w:rFonts w:ascii="Arial"/>
          <w:sz w:val="2"/>
        </w:rPr>
      </w:pPr>
      <w:r>
        <w:rPr>
          <w:rFonts w:ascii="Arial"/>
          <w:position w:val="1"/>
          <w:sz w:val="2"/>
        </w:rPr>
        <mc:AlternateContent>
          <mc:Choice Requires="wps">
            <w:drawing>
              <wp:inline distT="0" distB="0" distL="0" distR="0">
                <wp:extent cx="3438525" cy="12700"/>
                <wp:effectExtent l="9525" t="0" r="0" b="6350"/>
                <wp:docPr id="1036" name="Group 1036"/>
                <wp:cNvGraphicFramePr>
                  <a:graphicFrameLocks/>
                </wp:cNvGraphicFramePr>
                <a:graphic>
                  <a:graphicData uri="http://schemas.microsoft.com/office/word/2010/wordprocessingGroup">
                    <wpg:wgp>
                      <wpg:cNvPr id="1036" name="Group 1036"/>
                      <wpg:cNvGrpSpPr/>
                      <wpg:grpSpPr>
                        <a:xfrm>
                          <a:off x="0" y="0"/>
                          <a:ext cx="3438525" cy="12700"/>
                          <a:chExt cx="3438525" cy="12700"/>
                        </a:xfrm>
                      </wpg:grpSpPr>
                      <wps:wsp>
                        <wps:cNvPr id="1037" name="Graphic 1037"/>
                        <wps:cNvSpPr/>
                        <wps:spPr>
                          <a:xfrm>
                            <a:off x="0" y="6350"/>
                            <a:ext cx="3438525" cy="1270"/>
                          </a:xfrm>
                          <a:custGeom>
                            <a:avLst/>
                            <a:gdLst/>
                            <a:ahLst/>
                            <a:cxnLst/>
                            <a:rect l="l" t="t" r="r" b="b"/>
                            <a:pathLst>
                              <a:path w="3438525" h="0">
                                <a:moveTo>
                                  <a:pt x="0" y="0"/>
                                </a:moveTo>
                                <a:lnTo>
                                  <a:pt x="343852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0.75pt;height:1pt;mso-position-horizontal-relative:char;mso-position-vertical-relative:line" id="docshapegroup860" coordorigin="0,0" coordsize="5415,20">
                <v:line style="position:absolute" from="0,10" to="5415,10" stroked="true" strokeweight="1pt" strokecolor="#000000">
                  <v:stroke dashstyle="solid"/>
                </v:line>
              </v:group>
            </w:pict>
          </mc:Fallback>
        </mc:AlternateContent>
      </w:r>
      <w:r>
        <w:rPr>
          <w:rFonts w:ascii="Arial"/>
          <w:position w:val="1"/>
          <w:sz w:val="2"/>
        </w:rPr>
      </w:r>
      <w:r>
        <w:rPr>
          <w:rFonts w:ascii="Arial"/>
          <w:position w:val="1"/>
          <w:sz w:val="2"/>
        </w:rPr>
        <w:tab/>
      </w:r>
      <w:r>
        <w:rPr>
          <w:rFonts w:ascii="Arial"/>
          <w:sz w:val="2"/>
        </w:rPr>
        <mc:AlternateContent>
          <mc:Choice Requires="wps">
            <w:drawing>
              <wp:inline distT="0" distB="0" distL="0" distR="0">
                <wp:extent cx="2324100" cy="12700"/>
                <wp:effectExtent l="9525" t="0" r="0" b="6350"/>
                <wp:docPr id="1038" name="Group 1038"/>
                <wp:cNvGraphicFramePr>
                  <a:graphicFrameLocks/>
                </wp:cNvGraphicFramePr>
                <a:graphic>
                  <a:graphicData uri="http://schemas.microsoft.com/office/word/2010/wordprocessingGroup">
                    <wpg:wgp>
                      <wpg:cNvPr id="1038" name="Group 1038"/>
                      <wpg:cNvGrpSpPr/>
                      <wpg:grpSpPr>
                        <a:xfrm>
                          <a:off x="0" y="0"/>
                          <a:ext cx="2324100" cy="12700"/>
                          <a:chExt cx="2324100" cy="12700"/>
                        </a:xfrm>
                      </wpg:grpSpPr>
                      <wps:wsp>
                        <wps:cNvPr id="1039" name="Graphic 1039"/>
                        <wps:cNvSpPr/>
                        <wps:spPr>
                          <a:xfrm>
                            <a:off x="0" y="6350"/>
                            <a:ext cx="2324100" cy="1270"/>
                          </a:xfrm>
                          <a:custGeom>
                            <a:avLst/>
                            <a:gdLst/>
                            <a:ahLst/>
                            <a:cxnLst/>
                            <a:rect l="l" t="t" r="r" b="b"/>
                            <a:pathLst>
                              <a:path w="2324100" h="0">
                                <a:moveTo>
                                  <a:pt x="0" y="0"/>
                                </a:moveTo>
                                <a:lnTo>
                                  <a:pt x="1143000" y="0"/>
                                </a:lnTo>
                              </a:path>
                              <a:path w="2324100" h="0">
                                <a:moveTo>
                                  <a:pt x="1181100" y="0"/>
                                </a:moveTo>
                                <a:lnTo>
                                  <a:pt x="23241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3pt;height:1pt;mso-position-horizontal-relative:char;mso-position-vertical-relative:line" id="docshapegroup861" coordorigin="0,0" coordsize="3660,20">
                <v:shape style="position:absolute;left:0;top:10;width:3660;height:2" id="docshape862" coordorigin="0,10" coordsize="3660,0" path="m0,10l1800,10m1860,10l3660,10e" filled="false" stroked="true" strokeweight="1pt" strokecolor="#000000">
                  <v:path arrowok="t"/>
                  <v:stroke dashstyle="solid"/>
                </v:shape>
              </v:group>
            </w:pict>
          </mc:Fallback>
        </mc:AlternateContent>
      </w:r>
      <w:r>
        <w:rPr>
          <w:rFonts w:ascii="Arial"/>
          <w:sz w:val="2"/>
        </w:rPr>
      </w:r>
    </w:p>
    <w:p>
      <w:pPr>
        <w:spacing w:before="9"/>
        <w:ind w:left="772" w:right="0" w:firstLine="0"/>
        <w:jc w:val="both"/>
        <w:rPr>
          <w:rFonts w:ascii="Arial MT"/>
          <w:sz w:val="16"/>
        </w:rPr>
      </w:pPr>
      <w:r>
        <w:rPr>
          <w:rFonts w:ascii="Arial MT"/>
          <w:sz w:val="16"/>
        </w:rPr>
        <w:t>Reported</w:t>
      </w:r>
      <w:r>
        <w:rPr>
          <w:rFonts w:ascii="Arial MT"/>
          <w:spacing w:val="-6"/>
          <w:sz w:val="16"/>
        </w:rPr>
        <w:t> </w:t>
      </w:r>
      <w:r>
        <w:rPr>
          <w:rFonts w:ascii="Arial MT"/>
          <w:spacing w:val="-5"/>
          <w:sz w:val="16"/>
        </w:rPr>
        <w:t>as:</w:t>
      </w:r>
    </w:p>
    <w:p>
      <w:pPr>
        <w:tabs>
          <w:tab w:pos="6472" w:val="left" w:leader="none"/>
          <w:tab w:pos="7885" w:val="left" w:leader="none"/>
          <w:tab w:pos="10011" w:val="right" w:leader="none"/>
        </w:tabs>
        <w:spacing w:before="48"/>
        <w:ind w:left="772" w:right="0" w:firstLine="0"/>
        <w:jc w:val="both"/>
        <w:rPr>
          <w:rFonts w:ascii="Arial MT"/>
          <w:sz w:val="16"/>
        </w:rPr>
      </w:pPr>
      <w:r>
        <w:rPr>
          <w:rFonts w:ascii="Arial MT"/>
          <w:sz w:val="16"/>
        </w:rPr>
        <w:t>Accumulated</w:t>
      </w:r>
      <w:r>
        <w:rPr>
          <w:rFonts w:ascii="Arial MT"/>
          <w:spacing w:val="-6"/>
          <w:sz w:val="16"/>
        </w:rPr>
        <w:t> </w:t>
      </w:r>
      <w:r>
        <w:rPr>
          <w:rFonts w:ascii="Arial MT"/>
          <w:sz w:val="16"/>
        </w:rPr>
        <w:t>other</w:t>
      </w:r>
      <w:r>
        <w:rPr>
          <w:rFonts w:ascii="Arial MT"/>
          <w:spacing w:val="-6"/>
          <w:sz w:val="16"/>
        </w:rPr>
        <w:t> </w:t>
      </w:r>
      <w:r>
        <w:rPr>
          <w:rFonts w:ascii="Arial MT"/>
          <w:sz w:val="16"/>
        </w:rPr>
        <w:t>comprehensive</w:t>
      </w:r>
      <w:r>
        <w:rPr>
          <w:rFonts w:ascii="Arial MT"/>
          <w:spacing w:val="-5"/>
          <w:sz w:val="16"/>
        </w:rPr>
        <w:t> </w:t>
      </w:r>
      <w:r>
        <w:rPr>
          <w:rFonts w:ascii="Arial MT"/>
          <w:spacing w:val="-4"/>
          <w:sz w:val="16"/>
        </w:rPr>
        <w:t>gain</w:t>
      </w:r>
      <w:r>
        <w:rPr>
          <w:rFonts w:ascii="Arial MT"/>
          <w:sz w:val="16"/>
        </w:rPr>
        <w:tab/>
      </w:r>
      <w:r>
        <w:rPr>
          <w:rFonts w:ascii="Arial MT"/>
          <w:spacing w:val="-10"/>
          <w:sz w:val="16"/>
        </w:rPr>
        <w:t>$</w:t>
      </w:r>
      <w:r>
        <w:rPr>
          <w:rFonts w:ascii="Arial MT"/>
          <w:sz w:val="16"/>
        </w:rPr>
        <w:tab/>
        <w:t>351</w:t>
      </w:r>
      <w:r>
        <w:rPr>
          <w:rFonts w:ascii="Arial MT"/>
          <w:spacing w:val="44"/>
          <w:sz w:val="16"/>
        </w:rPr>
        <w:t>  </w:t>
      </w:r>
      <w:r>
        <w:rPr>
          <w:rFonts w:ascii="Arial MT"/>
          <w:spacing w:val="-10"/>
          <w:sz w:val="16"/>
        </w:rPr>
        <w:t>$</w:t>
      </w:r>
      <w:r>
        <w:rPr>
          <w:sz w:val="16"/>
        </w:rPr>
        <w:tab/>
      </w:r>
      <w:r>
        <w:rPr>
          <w:rFonts w:ascii="Arial MT"/>
          <w:spacing w:val="-5"/>
          <w:sz w:val="16"/>
        </w:rPr>
        <w:t>364</w:t>
      </w:r>
    </w:p>
    <w:p>
      <w:pPr>
        <w:pStyle w:val="BodyText"/>
        <w:spacing w:before="5"/>
        <w:rPr>
          <w:rFonts w:ascii="Arial MT"/>
          <w:sz w:val="17"/>
        </w:rPr>
      </w:pPr>
      <w:r>
        <w:rPr>
          <w:rFonts w:ascii="Arial MT"/>
          <w:sz w:val="17"/>
        </w:rPr>
        <mc:AlternateContent>
          <mc:Choice Requires="wps">
            <w:drawing>
              <wp:anchor distT="0" distB="0" distL="0" distR="0" allowOverlap="1" layoutInCell="1" locked="0" behindDoc="1" simplePos="0" relativeHeight="487776768">
                <wp:simplePos x="0" y="0"/>
                <wp:positionH relativeFrom="page">
                  <wp:posOffset>914400</wp:posOffset>
                </wp:positionH>
                <wp:positionV relativeFrom="paragraph">
                  <wp:posOffset>142546</wp:posOffset>
                </wp:positionV>
                <wp:extent cx="5943600" cy="1270"/>
                <wp:effectExtent l="0" t="0" r="0" b="0"/>
                <wp:wrapTopAndBottom/>
                <wp:docPr id="1040" name="Graphic 1040"/>
                <wp:cNvGraphicFramePr>
                  <a:graphicFrameLocks/>
                </wp:cNvGraphicFramePr>
                <a:graphic>
                  <a:graphicData uri="http://schemas.microsoft.com/office/word/2010/wordprocessingShape">
                    <wps:wsp>
                      <wps:cNvPr id="1040" name="Graphic 1040"/>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1.22417pt;width:468pt;height:.1pt;mso-position-horizontal-relative:page;mso-position-vertical-relative:paragraph;z-index:-15539712;mso-wrap-distance-left:0;mso-wrap-distance-right:0" id="docshape863" coordorigin="1440,224" coordsize="9360,0" path="m1440,224l10800,224e" filled="false" stroked="true" strokeweight="1pt" strokecolor="#000000">
                <v:path arrowok="t"/>
                <v:stroke dashstyle="solid"/>
                <w10:wrap type="topAndBottom"/>
              </v:shape>
            </w:pict>
          </mc:Fallback>
        </mc:AlternateContent>
      </w:r>
    </w:p>
    <w:p>
      <w:pPr>
        <w:pStyle w:val="BodyText"/>
        <w:spacing w:after="0"/>
        <w:rPr>
          <w:rFonts w:ascii="Arial MT"/>
          <w:sz w:val="17"/>
        </w:rPr>
        <w:sectPr>
          <w:type w:val="continuous"/>
          <w:pgSz w:w="12240" w:h="15840"/>
          <w:pgMar w:header="0" w:footer="0" w:top="1820" w:bottom="280" w:left="720" w:right="720"/>
        </w:sectPr>
      </w:pPr>
    </w:p>
    <w:p>
      <w:pPr>
        <w:pStyle w:val="Heading8"/>
        <w:spacing w:line="249" w:lineRule="auto" w:before="68"/>
        <w:ind w:right="719"/>
      </w:pPr>
      <w:r>
        <w:rPr/>
        <w:t>Table</w:t>
      </w:r>
      <w:r>
        <w:rPr>
          <w:spacing w:val="23"/>
        </w:rPr>
        <w:t> </w:t>
      </w:r>
      <w:r>
        <w:rPr/>
        <w:t>L11:</w:t>
      </w:r>
      <w:r>
        <w:rPr>
          <w:spacing w:val="23"/>
        </w:rPr>
        <w:t> </w:t>
      </w:r>
      <w:r>
        <w:rPr/>
        <w:t>Unrealized</w:t>
      </w:r>
      <w:r>
        <w:rPr>
          <w:spacing w:val="23"/>
        </w:rPr>
        <w:t> </w:t>
      </w:r>
      <w:r>
        <w:rPr/>
        <w:t>mark-to-market</w:t>
      </w:r>
      <w:r>
        <w:rPr>
          <w:spacing w:val="23"/>
        </w:rPr>
        <w:t> </w:t>
      </w:r>
      <w:r>
        <w:rPr/>
        <w:t>gains</w:t>
      </w:r>
      <w:r>
        <w:rPr>
          <w:spacing w:val="23"/>
        </w:rPr>
        <w:t> </w:t>
      </w:r>
      <w:r>
        <w:rPr/>
        <w:t>or</w:t>
      </w:r>
      <w:r>
        <w:rPr>
          <w:spacing w:val="23"/>
        </w:rPr>
        <w:t> </w:t>
      </w:r>
      <w:r>
        <w:rPr/>
        <w:t>losses</w:t>
      </w:r>
      <w:r>
        <w:rPr>
          <w:spacing w:val="23"/>
        </w:rPr>
        <w:t> </w:t>
      </w:r>
      <w:r>
        <w:rPr/>
        <w:t>on</w:t>
      </w:r>
      <w:r>
        <w:rPr>
          <w:spacing w:val="23"/>
        </w:rPr>
        <w:t> </w:t>
      </w:r>
      <w:r>
        <w:rPr/>
        <w:t>investments-trading,</w:t>
      </w:r>
      <w:r>
        <w:rPr>
          <w:spacing w:val="23"/>
        </w:rPr>
        <w:t> </w:t>
      </w:r>
      <w:r>
        <w:rPr/>
        <w:t>and</w:t>
      </w:r>
      <w:r>
        <w:rPr>
          <w:spacing w:val="23"/>
        </w:rPr>
        <w:t> </w:t>
      </w:r>
      <w:r>
        <w:rPr/>
        <w:t>non-trading</w:t>
      </w:r>
      <w:r>
        <w:rPr>
          <w:spacing w:val="23"/>
        </w:rPr>
        <w:t> </w:t>
      </w:r>
      <w:r>
        <w:rPr/>
        <w:t>portfolios, </w:t>
      </w:r>
      <w:r>
        <w:rPr>
          <w:spacing w:val="-4"/>
        </w:rPr>
        <w:t>net</w:t>
      </w:r>
    </w:p>
    <w:p>
      <w:pPr>
        <w:spacing w:before="76"/>
        <w:ind w:left="772" w:right="0" w:firstLine="0"/>
        <w:jc w:val="left"/>
        <w:rPr>
          <w:rFonts w:ascii="Arial"/>
          <w:i/>
          <w:sz w:val="14"/>
        </w:rPr>
      </w:pPr>
      <w:r>
        <w:rPr>
          <w:rFonts w:ascii="Arial"/>
          <w:i/>
          <w:sz w:val="14"/>
        </w:rPr>
        <mc:AlternateContent>
          <mc:Choice Requires="wps">
            <w:drawing>
              <wp:anchor distT="0" distB="0" distL="0" distR="0" allowOverlap="1" layoutInCell="1" locked="0" behindDoc="0" simplePos="0" relativeHeight="15919104">
                <wp:simplePos x="0" y="0"/>
                <wp:positionH relativeFrom="page">
                  <wp:posOffset>914400</wp:posOffset>
                </wp:positionH>
                <wp:positionV relativeFrom="paragraph">
                  <wp:posOffset>157886</wp:posOffset>
                </wp:positionV>
                <wp:extent cx="5943600" cy="127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9104" from="72pt,12.432032pt" to="540pt,12.432032pt" stroked="true" strokeweight="1pt" strokecolor="#000000">
                <v:stroke dashstyle="solid"/>
                <w10:wrap type="none"/>
              </v:line>
            </w:pict>
          </mc:Fallback>
        </mc:AlternateContent>
      </w: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p>
      <w:pPr>
        <w:spacing w:after="0"/>
        <w:jc w:val="left"/>
        <w:rPr>
          <w:rFonts w:ascii="Arial"/>
          <w:i/>
          <w:sz w:val="14"/>
        </w:rPr>
        <w:sectPr>
          <w:headerReference w:type="even" r:id="rId221"/>
          <w:footerReference w:type="even" r:id="rId222"/>
          <w:pgSz w:w="12240" w:h="15840"/>
          <w:pgMar w:header="0" w:footer="528" w:top="960" w:bottom="720" w:left="720" w:right="720"/>
          <w:pgNumType w:start="136"/>
        </w:sectPr>
      </w:pPr>
    </w:p>
    <w:p>
      <w:pPr>
        <w:pStyle w:val="BodyText"/>
        <w:rPr>
          <w:rFonts w:ascii="Arial"/>
          <w:i/>
          <w:sz w:val="14"/>
        </w:rPr>
      </w:pPr>
    </w:p>
    <w:p>
      <w:pPr>
        <w:pStyle w:val="BodyText"/>
        <w:rPr>
          <w:rFonts w:ascii="Arial"/>
          <w:i/>
          <w:sz w:val="14"/>
        </w:rPr>
      </w:pPr>
    </w:p>
    <w:p>
      <w:pPr>
        <w:pStyle w:val="BodyText"/>
        <w:spacing w:before="88"/>
        <w:rPr>
          <w:rFonts w:ascii="Arial"/>
          <w:i/>
          <w:sz w:val="14"/>
        </w:rPr>
      </w:pPr>
    </w:p>
    <w:p>
      <w:pPr>
        <w:spacing w:before="0"/>
        <w:ind w:left="0" w:right="0" w:firstLine="0"/>
        <w:jc w:val="right"/>
        <w:rPr>
          <w:rFonts w:ascii="Arial"/>
          <w:i/>
          <w:sz w:val="14"/>
        </w:rPr>
      </w:pPr>
      <w:r>
        <w:rPr>
          <w:rFonts w:ascii="Arial"/>
          <w:i/>
          <w:sz w:val="14"/>
        </w:rPr>
        <w:t>Realized</w:t>
      </w:r>
      <w:r>
        <w:rPr>
          <w:rFonts w:ascii="Arial"/>
          <w:i/>
          <w:spacing w:val="-7"/>
          <w:sz w:val="14"/>
        </w:rPr>
        <w:t> </w:t>
      </w:r>
      <w:r>
        <w:rPr>
          <w:rFonts w:ascii="Arial"/>
          <w:i/>
          <w:sz w:val="14"/>
        </w:rPr>
        <w:t>gains</w:t>
      </w:r>
      <w:r>
        <w:rPr>
          <w:rFonts w:ascii="Arial"/>
          <w:i/>
          <w:spacing w:val="-5"/>
          <w:sz w:val="14"/>
        </w:rPr>
        <w:t> </w:t>
      </w:r>
      <w:r>
        <w:rPr>
          <w:rFonts w:ascii="Arial"/>
          <w:i/>
          <w:spacing w:val="-2"/>
          <w:sz w:val="14"/>
        </w:rPr>
        <w:t>(losses)</w:t>
      </w:r>
    </w:p>
    <w:p>
      <w:pPr>
        <w:spacing w:before="34"/>
        <w:ind w:left="0" w:right="2614" w:firstLine="0"/>
        <w:jc w:val="center"/>
        <w:rPr>
          <w:rFonts w:ascii="Arial"/>
          <w:i/>
          <w:sz w:val="14"/>
        </w:rPr>
      </w:pPr>
      <w:r>
        <w:rPr/>
        <w:br w:type="column"/>
      </w:r>
      <w:r>
        <w:rPr>
          <w:rFonts w:ascii="Arial"/>
          <w:i/>
          <w:spacing w:val="-4"/>
          <w:sz w:val="14"/>
        </w:rPr>
        <w:t>2023</w:t>
      </w:r>
    </w:p>
    <w:p>
      <w:pPr>
        <w:spacing w:line="249" w:lineRule="auto" w:before="40"/>
        <w:ind w:left="0" w:right="2614" w:firstLine="0"/>
        <w:jc w:val="center"/>
        <w:rPr>
          <w:rFonts w:ascii="Arial"/>
          <w:i/>
          <w:sz w:val="14"/>
        </w:rPr>
      </w:pPr>
      <w:r>
        <w:rPr>
          <w:rFonts w:ascii="Arial"/>
          <w:i/>
          <w:sz w:val="14"/>
        </w:rPr>
        <mc:AlternateContent>
          <mc:Choice Requires="wps">
            <w:drawing>
              <wp:anchor distT="0" distB="0" distL="0" distR="0" allowOverlap="1" layoutInCell="1" locked="0" behindDoc="0" simplePos="0" relativeHeight="15919616">
                <wp:simplePos x="0" y="0"/>
                <wp:positionH relativeFrom="page">
                  <wp:posOffset>3371850</wp:posOffset>
                </wp:positionH>
                <wp:positionV relativeFrom="paragraph">
                  <wp:posOffset>7409</wp:posOffset>
                </wp:positionV>
                <wp:extent cx="3305175" cy="1270"/>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3305175" cy="1270"/>
                        </a:xfrm>
                        <a:custGeom>
                          <a:avLst/>
                          <a:gdLst/>
                          <a:ahLst/>
                          <a:cxnLst/>
                          <a:rect l="l" t="t" r="r" b="b"/>
                          <a:pathLst>
                            <a:path w="3305175" h="0">
                              <a:moveTo>
                                <a:pt x="0" y="0"/>
                              </a:moveTo>
                              <a:lnTo>
                                <a:pt x="33051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9616" from="265.5pt,.583398pt" to="525.75pt,.583398pt" stroked="true" strokeweight="1pt" strokecolor="#000000">
                <v:stroke dashstyle="solid"/>
                <w10:wrap type="none"/>
              </v:line>
            </w:pict>
          </mc:Fallback>
        </mc:AlternateContent>
      </w:r>
      <w:r>
        <w:rPr>
          <w:rFonts w:ascii="Arial"/>
          <w:i/>
          <w:sz w:val="14"/>
        </w:rPr>
        <w:t>Unrealized</w:t>
      </w:r>
      <w:r>
        <w:rPr>
          <w:rFonts w:ascii="Arial"/>
          <w:i/>
          <w:spacing w:val="-10"/>
          <w:sz w:val="14"/>
        </w:rPr>
        <w:t> </w:t>
      </w:r>
      <w:r>
        <w:rPr>
          <w:rFonts w:ascii="Arial"/>
          <w:i/>
          <w:sz w:val="14"/>
        </w:rPr>
        <w:t>gains</w:t>
      </w:r>
      <w:r>
        <w:rPr>
          <w:rFonts w:ascii="Arial"/>
          <w:i/>
          <w:spacing w:val="-10"/>
          <w:sz w:val="14"/>
        </w:rPr>
        <w:t> </w:t>
      </w:r>
      <w:r>
        <w:rPr>
          <w:rFonts w:ascii="Arial"/>
          <w:i/>
          <w:sz w:val="14"/>
        </w:rPr>
        <w:t>(losses)</w:t>
      </w:r>
      <w:r>
        <w:rPr>
          <w:rFonts w:ascii="Arial"/>
          <w:i/>
          <w:spacing w:val="40"/>
          <w:sz w:val="14"/>
        </w:rPr>
        <w:t> </w:t>
      </w:r>
      <w:r>
        <w:rPr>
          <w:rFonts w:ascii="Arial"/>
          <w:i/>
          <w:sz w:val="14"/>
        </w:rPr>
        <w:t>excluding</w:t>
      </w:r>
      <w:r>
        <w:rPr>
          <w:rFonts w:ascii="Arial"/>
          <w:i/>
          <w:spacing w:val="-2"/>
          <w:sz w:val="14"/>
        </w:rPr>
        <w:t> </w:t>
      </w:r>
      <w:r>
        <w:rPr>
          <w:rFonts w:ascii="Arial"/>
          <w:i/>
          <w:sz w:val="14"/>
        </w:rPr>
        <w:t>realized</w:t>
      </w:r>
    </w:p>
    <w:p>
      <w:pPr>
        <w:tabs>
          <w:tab w:pos="1282" w:val="left" w:leader="none"/>
        </w:tabs>
        <w:spacing w:before="1"/>
        <w:ind w:left="0" w:right="386" w:firstLine="0"/>
        <w:jc w:val="center"/>
        <w:rPr>
          <w:rFonts w:ascii="Arial"/>
          <w:i/>
          <w:sz w:val="14"/>
        </w:rPr>
      </w:pPr>
      <w:r>
        <w:rPr>
          <w:rFonts w:ascii="Arial"/>
          <w:i/>
          <w:sz w:val="14"/>
        </w:rPr>
        <w:t>amounts</w:t>
      </w:r>
      <w:r>
        <w:rPr>
          <w:rFonts w:ascii="Arial"/>
          <w:i/>
          <w:spacing w:val="-5"/>
          <w:sz w:val="14"/>
        </w:rPr>
        <w:t> </w:t>
      </w:r>
      <w:r>
        <w:rPr>
          <w:rFonts w:ascii="Arial"/>
          <w:i/>
          <w:spacing w:val="-10"/>
          <w:sz w:val="14"/>
          <w:vertAlign w:val="superscript"/>
        </w:rPr>
        <w:t>a</w:t>
      </w:r>
      <w:r>
        <w:rPr>
          <w:rFonts w:ascii="Arial"/>
          <w:i/>
          <w:sz w:val="14"/>
          <w:vertAlign w:val="baseline"/>
        </w:rPr>
        <w:tab/>
        <w:t>Unrealized</w:t>
      </w:r>
      <w:r>
        <w:rPr>
          <w:rFonts w:ascii="Arial"/>
          <w:i/>
          <w:spacing w:val="-6"/>
          <w:sz w:val="14"/>
          <w:vertAlign w:val="baseline"/>
        </w:rPr>
        <w:t> </w:t>
      </w:r>
      <w:r>
        <w:rPr>
          <w:rFonts w:ascii="Arial"/>
          <w:i/>
          <w:sz w:val="14"/>
          <w:vertAlign w:val="baseline"/>
        </w:rPr>
        <w:t>gains</w:t>
      </w:r>
      <w:r>
        <w:rPr>
          <w:rFonts w:ascii="Arial"/>
          <w:i/>
          <w:spacing w:val="-5"/>
          <w:sz w:val="14"/>
          <w:vertAlign w:val="baseline"/>
        </w:rPr>
        <w:t> </w:t>
      </w:r>
      <w:r>
        <w:rPr>
          <w:rFonts w:ascii="Arial"/>
          <w:i/>
          <w:spacing w:val="-2"/>
          <w:sz w:val="14"/>
          <w:vertAlign w:val="baseline"/>
        </w:rPr>
        <w:t>(losses)</w:t>
      </w:r>
    </w:p>
    <w:p>
      <w:pPr>
        <w:spacing w:after="0"/>
        <w:jc w:val="center"/>
        <w:rPr>
          <w:rFonts w:ascii="Arial"/>
          <w:i/>
          <w:sz w:val="14"/>
        </w:rPr>
        <w:sectPr>
          <w:type w:val="continuous"/>
          <w:pgSz w:w="12240" w:h="15840"/>
          <w:pgMar w:header="0" w:footer="528" w:top="1820" w:bottom="280" w:left="720" w:right="720"/>
          <w:cols w:num="2" w:equalWidth="0">
            <w:col w:w="6162" w:space="40"/>
            <w:col w:w="4598"/>
          </w:cols>
        </w:sectPr>
      </w:pPr>
    </w:p>
    <w:p>
      <w:pPr>
        <w:pStyle w:val="BodyText"/>
        <w:spacing w:before="6"/>
        <w:rPr>
          <w:rFonts w:ascii="Arial"/>
          <w:i/>
          <w:sz w:val="2"/>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0"/>
        <w:gridCol w:w="781"/>
        <w:gridCol w:w="963"/>
        <w:gridCol w:w="1131"/>
        <w:gridCol w:w="623"/>
        <w:gridCol w:w="696"/>
        <w:gridCol w:w="1297"/>
      </w:tblGrid>
      <w:tr>
        <w:trPr>
          <w:trHeight w:val="175" w:hRule="atLeast"/>
        </w:trPr>
        <w:tc>
          <w:tcPr>
            <w:tcW w:w="3870" w:type="dxa"/>
          </w:tcPr>
          <w:p>
            <w:pPr>
              <w:pStyle w:val="TableParagraph"/>
              <w:spacing w:line="142" w:lineRule="exact" w:before="13"/>
              <w:ind w:left="52"/>
              <w:rPr>
                <w:rFonts w:ascii="Arial"/>
                <w:b/>
                <w:sz w:val="14"/>
              </w:rPr>
            </w:pPr>
            <w:r>
              <w:rPr>
                <w:rFonts w:ascii="Arial"/>
                <w:b/>
                <w:spacing w:val="-2"/>
                <w:sz w:val="14"/>
              </w:rPr>
              <w:t>Investments-Trading</w:t>
            </w:r>
          </w:p>
        </w:tc>
        <w:tc>
          <w:tcPr>
            <w:tcW w:w="781" w:type="dxa"/>
            <w:tcBorders>
              <w:top w:val="single" w:sz="8" w:space="0" w:color="000000"/>
              <w:bottom w:val="single" w:sz="8" w:space="0" w:color="000000"/>
            </w:tcBorders>
          </w:tcPr>
          <w:p>
            <w:pPr>
              <w:pStyle w:val="TableParagraph"/>
              <w:spacing w:line="142" w:lineRule="exact" w:before="13"/>
              <w:ind w:left="52"/>
              <w:rPr>
                <w:sz w:val="14"/>
              </w:rPr>
            </w:pPr>
            <w:r>
              <w:rPr>
                <w:spacing w:val="-10"/>
                <w:sz w:val="14"/>
              </w:rPr>
              <w:t>$</w:t>
            </w:r>
          </w:p>
        </w:tc>
        <w:tc>
          <w:tcPr>
            <w:tcW w:w="963" w:type="dxa"/>
            <w:tcBorders>
              <w:top w:val="single" w:sz="8" w:space="0" w:color="000000"/>
              <w:bottom w:val="single" w:sz="8" w:space="0" w:color="000000"/>
            </w:tcBorders>
          </w:tcPr>
          <w:p>
            <w:pPr>
              <w:pStyle w:val="TableParagraph"/>
              <w:spacing w:line="142" w:lineRule="exact" w:before="13"/>
              <w:ind w:right="61"/>
              <w:jc w:val="right"/>
              <w:rPr>
                <w:sz w:val="14"/>
              </w:rPr>
            </w:pPr>
            <w:r>
              <w:rPr>
                <w:spacing w:val="-4"/>
                <w:sz w:val="14"/>
              </w:rPr>
              <w:t>(42)</w:t>
            </w:r>
          </w:p>
        </w:tc>
        <w:tc>
          <w:tcPr>
            <w:tcW w:w="1131" w:type="dxa"/>
            <w:tcBorders>
              <w:top w:val="single" w:sz="8" w:space="0" w:color="000000"/>
              <w:bottom w:val="single" w:sz="8" w:space="0" w:color="000000"/>
            </w:tcBorders>
          </w:tcPr>
          <w:p>
            <w:pPr>
              <w:pStyle w:val="TableParagraph"/>
              <w:spacing w:line="142" w:lineRule="exact" w:before="13"/>
              <w:ind w:left="63"/>
              <w:rPr>
                <w:sz w:val="14"/>
              </w:rPr>
            </w:pPr>
            <w:r>
              <w:rPr>
                <w:spacing w:val="-10"/>
                <w:sz w:val="14"/>
              </w:rPr>
              <w:t>$</w:t>
            </w:r>
          </w:p>
        </w:tc>
        <w:tc>
          <w:tcPr>
            <w:tcW w:w="623" w:type="dxa"/>
            <w:tcBorders>
              <w:top w:val="single" w:sz="8" w:space="0" w:color="000000"/>
              <w:bottom w:val="single" w:sz="8" w:space="0" w:color="000000"/>
            </w:tcBorders>
          </w:tcPr>
          <w:p>
            <w:pPr>
              <w:pStyle w:val="TableParagraph"/>
              <w:spacing w:line="142" w:lineRule="exact" w:before="13"/>
              <w:ind w:right="107"/>
              <w:jc w:val="right"/>
              <w:rPr>
                <w:sz w:val="14"/>
              </w:rPr>
            </w:pPr>
            <w:r>
              <w:rPr>
                <w:spacing w:val="-5"/>
                <w:sz w:val="14"/>
              </w:rPr>
              <w:t>126</w:t>
            </w:r>
          </w:p>
        </w:tc>
        <w:tc>
          <w:tcPr>
            <w:tcW w:w="696" w:type="dxa"/>
            <w:tcBorders>
              <w:top w:val="single" w:sz="8" w:space="0" w:color="000000"/>
              <w:bottom w:val="single" w:sz="8" w:space="0" w:color="000000"/>
            </w:tcBorders>
          </w:tcPr>
          <w:p>
            <w:pPr>
              <w:pStyle w:val="TableParagraph"/>
              <w:spacing w:line="142" w:lineRule="exact" w:before="13"/>
              <w:ind w:left="64"/>
              <w:rPr>
                <w:sz w:val="14"/>
              </w:rPr>
            </w:pPr>
            <w:r>
              <w:rPr>
                <w:spacing w:val="-10"/>
                <w:sz w:val="14"/>
              </w:rPr>
              <w:t>$</w:t>
            </w:r>
          </w:p>
        </w:tc>
        <w:tc>
          <w:tcPr>
            <w:tcW w:w="1297" w:type="dxa"/>
            <w:tcBorders>
              <w:top w:val="single" w:sz="8" w:space="0" w:color="000000"/>
              <w:bottom w:val="single" w:sz="8" w:space="0" w:color="000000"/>
            </w:tcBorders>
          </w:tcPr>
          <w:p>
            <w:pPr>
              <w:pStyle w:val="TableParagraph"/>
              <w:spacing w:line="142" w:lineRule="exact" w:before="13"/>
              <w:ind w:left="793"/>
              <w:rPr>
                <w:sz w:val="14"/>
              </w:rPr>
            </w:pPr>
            <w:r>
              <w:rPr>
                <w:spacing w:val="-5"/>
                <w:sz w:val="14"/>
              </w:rPr>
              <w:t>84</w:t>
            </w:r>
          </w:p>
        </w:tc>
      </w:tr>
      <w:tr>
        <w:trPr>
          <w:trHeight w:val="193" w:hRule="atLeast"/>
        </w:trPr>
        <w:tc>
          <w:tcPr>
            <w:tcW w:w="3870" w:type="dxa"/>
          </w:tcPr>
          <w:p>
            <w:pPr>
              <w:pStyle w:val="TableParagraph"/>
              <w:spacing w:line="160" w:lineRule="exact" w:before="13"/>
              <w:ind w:left="52"/>
              <w:rPr>
                <w:rFonts w:ascii="Arial"/>
                <w:b/>
                <w:sz w:val="14"/>
              </w:rPr>
            </w:pPr>
            <w:r>
              <w:rPr>
                <w:rFonts w:ascii="Arial"/>
                <w:b/>
                <w:sz w:val="14"/>
              </w:rPr>
              <w:t>Non-trading</w:t>
            </w:r>
            <w:r>
              <w:rPr>
                <w:rFonts w:ascii="Arial"/>
                <w:b/>
                <w:spacing w:val="-3"/>
                <w:sz w:val="14"/>
              </w:rPr>
              <w:t> </w:t>
            </w:r>
            <w:r>
              <w:rPr>
                <w:rFonts w:ascii="Arial"/>
                <w:b/>
                <w:sz w:val="14"/>
              </w:rPr>
              <w:t>portfolios,</w:t>
            </w:r>
            <w:r>
              <w:rPr>
                <w:rFonts w:ascii="Arial"/>
                <w:b/>
                <w:spacing w:val="-2"/>
                <w:sz w:val="14"/>
              </w:rPr>
              <w:t> </w:t>
            </w:r>
            <w:r>
              <w:rPr>
                <w:rFonts w:ascii="Arial"/>
                <w:b/>
                <w:spacing w:val="-5"/>
                <w:sz w:val="14"/>
              </w:rPr>
              <w:t>net</w:t>
            </w:r>
          </w:p>
        </w:tc>
        <w:tc>
          <w:tcPr>
            <w:tcW w:w="781" w:type="dxa"/>
            <w:tcBorders>
              <w:top w:val="single" w:sz="8" w:space="0" w:color="000000"/>
            </w:tcBorders>
          </w:tcPr>
          <w:p>
            <w:pPr>
              <w:pStyle w:val="TableParagraph"/>
              <w:rPr>
                <w:rFonts w:ascii="Times New Roman"/>
                <w:sz w:val="12"/>
              </w:rPr>
            </w:pPr>
          </w:p>
        </w:tc>
        <w:tc>
          <w:tcPr>
            <w:tcW w:w="963" w:type="dxa"/>
            <w:tcBorders>
              <w:top w:val="single" w:sz="8" w:space="0" w:color="000000"/>
            </w:tcBorders>
          </w:tcPr>
          <w:p>
            <w:pPr>
              <w:pStyle w:val="TableParagraph"/>
              <w:rPr>
                <w:rFonts w:ascii="Times New Roman"/>
                <w:sz w:val="12"/>
              </w:rPr>
            </w:pPr>
          </w:p>
        </w:tc>
        <w:tc>
          <w:tcPr>
            <w:tcW w:w="1131" w:type="dxa"/>
            <w:tcBorders>
              <w:top w:val="single" w:sz="8" w:space="0" w:color="000000"/>
            </w:tcBorders>
          </w:tcPr>
          <w:p>
            <w:pPr>
              <w:pStyle w:val="TableParagraph"/>
              <w:rPr>
                <w:rFonts w:ascii="Times New Roman"/>
                <w:sz w:val="12"/>
              </w:rPr>
            </w:pPr>
          </w:p>
        </w:tc>
        <w:tc>
          <w:tcPr>
            <w:tcW w:w="623" w:type="dxa"/>
            <w:tcBorders>
              <w:top w:val="single" w:sz="8" w:space="0" w:color="000000"/>
            </w:tcBorders>
          </w:tcPr>
          <w:p>
            <w:pPr>
              <w:pStyle w:val="TableParagraph"/>
              <w:rPr>
                <w:rFonts w:ascii="Times New Roman"/>
                <w:sz w:val="12"/>
              </w:rPr>
            </w:pPr>
          </w:p>
        </w:tc>
        <w:tc>
          <w:tcPr>
            <w:tcW w:w="696" w:type="dxa"/>
            <w:tcBorders>
              <w:top w:val="single" w:sz="8" w:space="0" w:color="000000"/>
            </w:tcBorders>
          </w:tcPr>
          <w:p>
            <w:pPr>
              <w:pStyle w:val="TableParagraph"/>
              <w:rPr>
                <w:rFonts w:ascii="Times New Roman"/>
                <w:sz w:val="12"/>
              </w:rPr>
            </w:pPr>
          </w:p>
        </w:tc>
        <w:tc>
          <w:tcPr>
            <w:tcW w:w="1297" w:type="dxa"/>
            <w:tcBorders>
              <w:top w:val="single" w:sz="8" w:space="0" w:color="000000"/>
            </w:tcBorders>
          </w:tcPr>
          <w:p>
            <w:pPr>
              <w:pStyle w:val="TableParagraph"/>
              <w:rPr>
                <w:rFonts w:ascii="Times New Roman"/>
                <w:sz w:val="12"/>
              </w:rPr>
            </w:pPr>
          </w:p>
        </w:tc>
      </w:tr>
      <w:tr>
        <w:trPr>
          <w:trHeight w:val="195" w:hRule="atLeast"/>
        </w:trPr>
        <w:tc>
          <w:tcPr>
            <w:tcW w:w="3870" w:type="dxa"/>
          </w:tcPr>
          <w:p>
            <w:pPr>
              <w:pStyle w:val="TableParagraph"/>
              <w:spacing w:line="160" w:lineRule="exact" w:before="14"/>
              <w:ind w:left="232"/>
              <w:rPr>
                <w:sz w:val="14"/>
              </w:rPr>
            </w:pPr>
            <w:r>
              <w:rPr>
                <w:sz w:val="14"/>
              </w:rPr>
              <w:t>Loan-related</w:t>
            </w:r>
            <w:r>
              <w:rPr>
                <w:spacing w:val="-8"/>
                <w:sz w:val="14"/>
              </w:rPr>
              <w:t> </w:t>
            </w:r>
            <w:r>
              <w:rPr>
                <w:sz w:val="14"/>
              </w:rPr>
              <w:t>derivatives—Note</w:t>
            </w:r>
            <w:r>
              <w:rPr>
                <w:spacing w:val="-8"/>
                <w:sz w:val="14"/>
              </w:rPr>
              <w:t> </w:t>
            </w:r>
            <w:r>
              <w:rPr>
                <w:spacing w:val="-10"/>
                <w:sz w:val="14"/>
              </w:rPr>
              <w:t>F</w:t>
            </w:r>
          </w:p>
        </w:tc>
        <w:tc>
          <w:tcPr>
            <w:tcW w:w="781" w:type="dxa"/>
          </w:tcPr>
          <w:p>
            <w:pPr>
              <w:pStyle w:val="TableParagraph"/>
              <w:rPr>
                <w:rFonts w:ascii="Times New Roman"/>
                <w:sz w:val="12"/>
              </w:rPr>
            </w:pPr>
          </w:p>
        </w:tc>
        <w:tc>
          <w:tcPr>
            <w:tcW w:w="963" w:type="dxa"/>
          </w:tcPr>
          <w:p>
            <w:pPr>
              <w:pStyle w:val="TableParagraph"/>
              <w:spacing w:line="160" w:lineRule="exact" w:before="14"/>
              <w:ind w:right="108"/>
              <w:jc w:val="right"/>
              <w:rPr>
                <w:sz w:val="14"/>
              </w:rPr>
            </w:pPr>
            <w:r>
              <w:rPr>
                <w:spacing w:val="-10"/>
                <w:sz w:val="14"/>
              </w:rPr>
              <w:t>4</w:t>
            </w:r>
          </w:p>
        </w:tc>
        <w:tc>
          <w:tcPr>
            <w:tcW w:w="1131" w:type="dxa"/>
          </w:tcPr>
          <w:p>
            <w:pPr>
              <w:pStyle w:val="TableParagraph"/>
              <w:rPr>
                <w:rFonts w:ascii="Times New Roman"/>
                <w:sz w:val="12"/>
              </w:rPr>
            </w:pPr>
          </w:p>
        </w:tc>
        <w:tc>
          <w:tcPr>
            <w:tcW w:w="623" w:type="dxa"/>
          </w:tcPr>
          <w:p>
            <w:pPr>
              <w:pStyle w:val="TableParagraph"/>
              <w:spacing w:line="160" w:lineRule="exact" w:before="14"/>
              <w:ind w:right="107"/>
              <w:jc w:val="right"/>
              <w:rPr>
                <w:sz w:val="14"/>
              </w:rPr>
            </w:pPr>
            <w:r>
              <w:rPr>
                <w:spacing w:val="-2"/>
                <w:sz w:val="14"/>
              </w:rPr>
              <w:t>1,673</w:t>
            </w:r>
          </w:p>
        </w:tc>
        <w:tc>
          <w:tcPr>
            <w:tcW w:w="696" w:type="dxa"/>
          </w:tcPr>
          <w:p>
            <w:pPr>
              <w:pStyle w:val="TableParagraph"/>
              <w:rPr>
                <w:rFonts w:ascii="Times New Roman"/>
                <w:sz w:val="12"/>
              </w:rPr>
            </w:pPr>
          </w:p>
        </w:tc>
        <w:tc>
          <w:tcPr>
            <w:tcW w:w="1297" w:type="dxa"/>
          </w:tcPr>
          <w:p>
            <w:pPr>
              <w:pStyle w:val="TableParagraph"/>
              <w:spacing w:line="160" w:lineRule="exact" w:before="14"/>
              <w:ind w:left="599"/>
              <w:rPr>
                <w:sz w:val="14"/>
              </w:rPr>
            </w:pPr>
            <w:r>
              <w:rPr>
                <w:spacing w:val="-2"/>
                <w:sz w:val="14"/>
              </w:rPr>
              <w:t>1,677</w:t>
            </w:r>
          </w:p>
        </w:tc>
      </w:tr>
      <w:tr>
        <w:trPr>
          <w:trHeight w:val="185" w:hRule="atLeast"/>
        </w:trPr>
        <w:tc>
          <w:tcPr>
            <w:tcW w:w="3870" w:type="dxa"/>
          </w:tcPr>
          <w:p>
            <w:pPr>
              <w:pStyle w:val="TableParagraph"/>
              <w:spacing w:line="151" w:lineRule="exact" w:before="14"/>
              <w:ind w:right="616"/>
              <w:jc w:val="right"/>
              <w:rPr>
                <w:sz w:val="14"/>
              </w:rPr>
            </w:pPr>
            <w:r>
              <w:rPr>
                <w:sz w:val="14"/>
              </w:rPr>
              <w:t>Other</w:t>
            </w:r>
            <w:r>
              <w:rPr>
                <w:spacing w:val="-6"/>
                <w:sz w:val="14"/>
              </w:rPr>
              <w:t> </w:t>
            </w:r>
            <w:r>
              <w:rPr>
                <w:sz w:val="14"/>
              </w:rPr>
              <w:t>asset/liability</w:t>
            </w:r>
            <w:r>
              <w:rPr>
                <w:spacing w:val="-6"/>
                <w:sz w:val="14"/>
              </w:rPr>
              <w:t> </w:t>
            </w:r>
            <w:r>
              <w:rPr>
                <w:sz w:val="14"/>
              </w:rPr>
              <w:t>management</w:t>
            </w:r>
            <w:r>
              <w:rPr>
                <w:spacing w:val="-6"/>
                <w:sz w:val="14"/>
              </w:rPr>
              <w:t> </w:t>
            </w:r>
            <w:r>
              <w:rPr>
                <w:sz w:val="14"/>
              </w:rPr>
              <w:t>derivatives,</w:t>
            </w:r>
            <w:r>
              <w:rPr>
                <w:spacing w:val="-6"/>
                <w:sz w:val="14"/>
              </w:rPr>
              <w:t> </w:t>
            </w:r>
            <w:r>
              <w:rPr>
                <w:spacing w:val="-5"/>
                <w:sz w:val="14"/>
              </w:rPr>
              <w:t>net</w:t>
            </w:r>
          </w:p>
        </w:tc>
        <w:tc>
          <w:tcPr>
            <w:tcW w:w="781" w:type="dxa"/>
          </w:tcPr>
          <w:p>
            <w:pPr>
              <w:pStyle w:val="TableParagraph"/>
              <w:rPr>
                <w:rFonts w:ascii="Times New Roman"/>
                <w:sz w:val="12"/>
              </w:rPr>
            </w:pPr>
          </w:p>
        </w:tc>
        <w:tc>
          <w:tcPr>
            <w:tcW w:w="963" w:type="dxa"/>
          </w:tcPr>
          <w:p>
            <w:pPr>
              <w:pStyle w:val="TableParagraph"/>
              <w:spacing w:line="151" w:lineRule="exact" w:before="14"/>
              <w:ind w:right="108"/>
              <w:jc w:val="right"/>
              <w:rPr>
                <w:sz w:val="14"/>
              </w:rPr>
            </w:pPr>
            <w:r>
              <w:rPr>
                <w:sz w:val="14"/>
              </w:rPr>
              <w:t>—</w:t>
            </w:r>
          </w:p>
        </w:tc>
        <w:tc>
          <w:tcPr>
            <w:tcW w:w="1131" w:type="dxa"/>
          </w:tcPr>
          <w:p>
            <w:pPr>
              <w:pStyle w:val="TableParagraph"/>
              <w:rPr>
                <w:rFonts w:ascii="Times New Roman"/>
                <w:sz w:val="12"/>
              </w:rPr>
            </w:pPr>
          </w:p>
        </w:tc>
        <w:tc>
          <w:tcPr>
            <w:tcW w:w="623" w:type="dxa"/>
          </w:tcPr>
          <w:p>
            <w:pPr>
              <w:pStyle w:val="TableParagraph"/>
              <w:spacing w:line="151" w:lineRule="exact" w:before="14"/>
              <w:ind w:right="60"/>
              <w:jc w:val="right"/>
              <w:rPr>
                <w:sz w:val="14"/>
              </w:rPr>
            </w:pPr>
            <w:r>
              <w:rPr>
                <w:spacing w:val="-2"/>
                <w:sz w:val="14"/>
              </w:rPr>
              <w:t>(1,642)</w:t>
            </w:r>
          </w:p>
        </w:tc>
        <w:tc>
          <w:tcPr>
            <w:tcW w:w="696" w:type="dxa"/>
          </w:tcPr>
          <w:p>
            <w:pPr>
              <w:pStyle w:val="TableParagraph"/>
              <w:rPr>
                <w:rFonts w:ascii="Times New Roman"/>
                <w:sz w:val="12"/>
              </w:rPr>
            </w:pPr>
          </w:p>
        </w:tc>
        <w:tc>
          <w:tcPr>
            <w:tcW w:w="1297" w:type="dxa"/>
          </w:tcPr>
          <w:p>
            <w:pPr>
              <w:pStyle w:val="TableParagraph"/>
              <w:spacing w:line="151" w:lineRule="exact" w:before="14"/>
              <w:ind w:left="552"/>
              <w:rPr>
                <w:sz w:val="14"/>
              </w:rPr>
            </w:pPr>
            <w:r>
              <w:rPr>
                <w:spacing w:val="-2"/>
                <w:sz w:val="14"/>
              </w:rPr>
              <w:t>(1,642)</w:t>
            </w:r>
          </w:p>
        </w:tc>
      </w:tr>
      <w:tr>
        <w:trPr>
          <w:trHeight w:val="204" w:hRule="atLeast"/>
        </w:trPr>
        <w:tc>
          <w:tcPr>
            <w:tcW w:w="3870" w:type="dxa"/>
          </w:tcPr>
          <w:p>
            <w:pPr>
              <w:pStyle w:val="TableParagraph"/>
              <w:spacing w:line="160" w:lineRule="exact" w:before="24"/>
              <w:ind w:right="562"/>
              <w:jc w:val="right"/>
              <w:rPr>
                <w:sz w:val="14"/>
              </w:rPr>
            </w:pPr>
            <w:r>
              <w:rPr>
                <w:sz w:val="14"/>
              </w:rPr>
              <w:t>Borrowings,</w:t>
            </w:r>
            <w:r>
              <w:rPr>
                <w:spacing w:val="-6"/>
                <w:sz w:val="14"/>
              </w:rPr>
              <w:t> </w:t>
            </w:r>
            <w:r>
              <w:rPr>
                <w:sz w:val="14"/>
              </w:rPr>
              <w:t>including</w:t>
            </w:r>
            <w:r>
              <w:rPr>
                <w:spacing w:val="-5"/>
                <w:sz w:val="14"/>
              </w:rPr>
              <w:t> </w:t>
            </w:r>
            <w:r>
              <w:rPr>
                <w:sz w:val="14"/>
              </w:rPr>
              <w:t>derivatives—Notes</w:t>
            </w:r>
            <w:r>
              <w:rPr>
                <w:spacing w:val="-5"/>
                <w:sz w:val="14"/>
              </w:rPr>
              <w:t> </w:t>
            </w:r>
            <w:r>
              <w:rPr>
                <w:sz w:val="14"/>
              </w:rPr>
              <w:t>E</w:t>
            </w:r>
            <w:r>
              <w:rPr>
                <w:spacing w:val="-5"/>
                <w:sz w:val="14"/>
              </w:rPr>
              <w:t> </w:t>
            </w:r>
            <w:r>
              <w:rPr>
                <w:sz w:val="14"/>
              </w:rPr>
              <w:t>and</w:t>
            </w:r>
            <w:r>
              <w:rPr>
                <w:spacing w:val="-5"/>
                <w:sz w:val="14"/>
              </w:rPr>
              <w:t> </w:t>
            </w:r>
            <w:r>
              <w:rPr>
                <w:spacing w:val="-10"/>
                <w:sz w:val="14"/>
              </w:rPr>
              <w:t>F</w:t>
            </w:r>
          </w:p>
        </w:tc>
        <w:tc>
          <w:tcPr>
            <w:tcW w:w="781" w:type="dxa"/>
          </w:tcPr>
          <w:p>
            <w:pPr>
              <w:pStyle w:val="TableParagraph"/>
              <w:rPr>
                <w:rFonts w:ascii="Times New Roman"/>
                <w:sz w:val="14"/>
              </w:rPr>
            </w:pPr>
          </w:p>
        </w:tc>
        <w:tc>
          <w:tcPr>
            <w:tcW w:w="963" w:type="dxa"/>
          </w:tcPr>
          <w:p>
            <w:pPr>
              <w:pStyle w:val="TableParagraph"/>
              <w:spacing w:line="160" w:lineRule="exact" w:before="24"/>
              <w:ind w:right="108"/>
              <w:jc w:val="right"/>
              <w:rPr>
                <w:sz w:val="14"/>
              </w:rPr>
            </w:pPr>
            <w:r>
              <w:rPr>
                <w:spacing w:val="-10"/>
                <w:sz w:val="14"/>
              </w:rPr>
              <w:t>8</w:t>
            </w:r>
          </w:p>
        </w:tc>
        <w:tc>
          <w:tcPr>
            <w:tcW w:w="1131" w:type="dxa"/>
          </w:tcPr>
          <w:p>
            <w:pPr>
              <w:pStyle w:val="TableParagraph"/>
              <w:rPr>
                <w:rFonts w:ascii="Times New Roman"/>
                <w:sz w:val="14"/>
              </w:rPr>
            </w:pPr>
          </w:p>
        </w:tc>
        <w:tc>
          <w:tcPr>
            <w:tcW w:w="623" w:type="dxa"/>
          </w:tcPr>
          <w:p>
            <w:pPr>
              <w:pStyle w:val="TableParagraph"/>
              <w:spacing w:line="160" w:lineRule="exact" w:before="24"/>
              <w:ind w:right="60"/>
              <w:jc w:val="right"/>
              <w:rPr>
                <w:sz w:val="14"/>
              </w:rPr>
            </w:pPr>
            <w:r>
              <w:rPr>
                <w:spacing w:val="-2"/>
                <w:sz w:val="14"/>
              </w:rPr>
              <w:t>(198)</w:t>
            </w:r>
          </w:p>
        </w:tc>
        <w:tc>
          <w:tcPr>
            <w:tcW w:w="696" w:type="dxa"/>
          </w:tcPr>
          <w:p>
            <w:pPr>
              <w:pStyle w:val="TableParagraph"/>
              <w:rPr>
                <w:rFonts w:ascii="Times New Roman"/>
                <w:sz w:val="14"/>
              </w:rPr>
            </w:pPr>
          </w:p>
        </w:tc>
        <w:tc>
          <w:tcPr>
            <w:tcW w:w="1297" w:type="dxa"/>
          </w:tcPr>
          <w:p>
            <w:pPr>
              <w:pStyle w:val="TableParagraph"/>
              <w:spacing w:line="160" w:lineRule="exact" w:before="24"/>
              <w:ind w:left="669"/>
              <w:rPr>
                <w:sz w:val="14"/>
              </w:rPr>
            </w:pPr>
            <w:r>
              <w:rPr>
                <w:sz w:val="14"/>
              </w:rPr>
              <w:t>(190)</w:t>
            </w:r>
            <w:r>
              <w:rPr>
                <w:spacing w:val="24"/>
                <w:sz w:val="14"/>
              </w:rPr>
              <w:t> </w:t>
            </w:r>
            <w:r>
              <w:rPr>
                <w:spacing w:val="-10"/>
                <w:sz w:val="14"/>
                <w:vertAlign w:val="superscript"/>
              </w:rPr>
              <w:t>b</w:t>
            </w:r>
          </w:p>
        </w:tc>
      </w:tr>
      <w:tr>
        <w:trPr>
          <w:trHeight w:val="200" w:hRule="atLeast"/>
        </w:trPr>
        <w:tc>
          <w:tcPr>
            <w:tcW w:w="3870" w:type="dxa"/>
          </w:tcPr>
          <w:p>
            <w:pPr>
              <w:pStyle w:val="TableParagraph"/>
              <w:spacing w:before="14"/>
              <w:ind w:left="232"/>
              <w:rPr>
                <w:sz w:val="14"/>
              </w:rPr>
            </w:pPr>
            <w:r>
              <w:rPr>
                <w:sz w:val="14"/>
              </w:rPr>
              <w:t>Client</w:t>
            </w:r>
            <w:r>
              <w:rPr>
                <w:spacing w:val="-6"/>
                <w:sz w:val="14"/>
              </w:rPr>
              <w:t> </w:t>
            </w:r>
            <w:r>
              <w:rPr>
                <w:sz w:val="14"/>
              </w:rPr>
              <w:t>operations</w:t>
            </w:r>
            <w:r>
              <w:rPr>
                <w:spacing w:val="-6"/>
                <w:sz w:val="14"/>
              </w:rPr>
              <w:t> </w:t>
            </w:r>
            <w:r>
              <w:rPr>
                <w:spacing w:val="-2"/>
                <w:sz w:val="14"/>
              </w:rPr>
              <w:t>derivatives</w:t>
            </w:r>
          </w:p>
        </w:tc>
        <w:tc>
          <w:tcPr>
            <w:tcW w:w="781" w:type="dxa"/>
          </w:tcPr>
          <w:p>
            <w:pPr>
              <w:pStyle w:val="TableParagraph"/>
              <w:rPr>
                <w:rFonts w:ascii="Times New Roman"/>
                <w:sz w:val="12"/>
              </w:rPr>
            </w:pPr>
          </w:p>
        </w:tc>
        <w:tc>
          <w:tcPr>
            <w:tcW w:w="963" w:type="dxa"/>
          </w:tcPr>
          <w:p>
            <w:pPr>
              <w:pStyle w:val="TableParagraph"/>
              <w:spacing w:before="14"/>
              <w:ind w:right="108"/>
              <w:jc w:val="right"/>
              <w:rPr>
                <w:sz w:val="14"/>
              </w:rPr>
            </w:pPr>
            <w:r>
              <w:rPr>
                <w:sz w:val="14"/>
              </w:rPr>
              <w:t>—</w:t>
            </w:r>
          </w:p>
        </w:tc>
        <w:tc>
          <w:tcPr>
            <w:tcW w:w="1131" w:type="dxa"/>
          </w:tcPr>
          <w:p>
            <w:pPr>
              <w:pStyle w:val="TableParagraph"/>
              <w:rPr>
                <w:rFonts w:ascii="Times New Roman"/>
                <w:sz w:val="12"/>
              </w:rPr>
            </w:pPr>
          </w:p>
        </w:tc>
        <w:tc>
          <w:tcPr>
            <w:tcW w:w="623" w:type="dxa"/>
          </w:tcPr>
          <w:p>
            <w:pPr>
              <w:pStyle w:val="TableParagraph"/>
              <w:spacing w:before="14"/>
              <w:ind w:right="107"/>
              <w:jc w:val="right"/>
              <w:rPr>
                <w:sz w:val="14"/>
              </w:rPr>
            </w:pPr>
            <w:r>
              <w:rPr>
                <w:spacing w:val="-10"/>
                <w:sz w:val="14"/>
              </w:rPr>
              <w:t>1</w:t>
            </w:r>
          </w:p>
        </w:tc>
        <w:tc>
          <w:tcPr>
            <w:tcW w:w="696" w:type="dxa"/>
          </w:tcPr>
          <w:p>
            <w:pPr>
              <w:pStyle w:val="TableParagraph"/>
              <w:rPr>
                <w:rFonts w:ascii="Times New Roman"/>
                <w:sz w:val="12"/>
              </w:rPr>
            </w:pPr>
          </w:p>
        </w:tc>
        <w:tc>
          <w:tcPr>
            <w:tcW w:w="1297" w:type="dxa"/>
          </w:tcPr>
          <w:p>
            <w:pPr>
              <w:pStyle w:val="TableParagraph"/>
              <w:spacing w:before="14"/>
              <w:ind w:right="345"/>
              <w:jc w:val="right"/>
              <w:rPr>
                <w:sz w:val="14"/>
              </w:rPr>
            </w:pPr>
            <w:r>
              <w:rPr>
                <w:spacing w:val="-10"/>
                <w:sz w:val="14"/>
              </w:rPr>
              <w:t>1</w:t>
            </w:r>
          </w:p>
        </w:tc>
      </w:tr>
      <w:tr>
        <w:trPr>
          <w:trHeight w:val="201" w:hRule="atLeast"/>
        </w:trPr>
        <w:tc>
          <w:tcPr>
            <w:tcW w:w="3870" w:type="dxa"/>
          </w:tcPr>
          <w:p>
            <w:pPr>
              <w:pStyle w:val="TableParagraph"/>
              <w:spacing w:line="161" w:lineRule="exact" w:before="20"/>
              <w:ind w:left="208"/>
              <w:rPr>
                <w:sz w:val="14"/>
              </w:rPr>
            </w:pPr>
            <w:r>
              <w:rPr>
                <w:sz w:val="14"/>
              </w:rPr>
              <w:t>Others,</w:t>
            </w:r>
            <w:r>
              <w:rPr>
                <w:spacing w:val="-2"/>
                <w:sz w:val="14"/>
              </w:rPr>
              <w:t> </w:t>
            </w:r>
            <w:r>
              <w:rPr>
                <w:spacing w:val="-5"/>
                <w:sz w:val="14"/>
              </w:rPr>
              <w:t>net</w:t>
            </w:r>
          </w:p>
        </w:tc>
        <w:tc>
          <w:tcPr>
            <w:tcW w:w="781" w:type="dxa"/>
            <w:tcBorders>
              <w:bottom w:val="single" w:sz="8" w:space="0" w:color="000000"/>
            </w:tcBorders>
          </w:tcPr>
          <w:p>
            <w:pPr>
              <w:pStyle w:val="TableParagraph"/>
              <w:rPr>
                <w:rFonts w:ascii="Times New Roman"/>
                <w:sz w:val="14"/>
              </w:rPr>
            </w:pPr>
          </w:p>
        </w:tc>
        <w:tc>
          <w:tcPr>
            <w:tcW w:w="963" w:type="dxa"/>
            <w:tcBorders>
              <w:bottom w:val="single" w:sz="8" w:space="0" w:color="000000"/>
            </w:tcBorders>
          </w:tcPr>
          <w:p>
            <w:pPr>
              <w:pStyle w:val="TableParagraph"/>
              <w:spacing w:line="161" w:lineRule="exact" w:before="20"/>
              <w:ind w:right="108"/>
              <w:jc w:val="right"/>
              <w:rPr>
                <w:sz w:val="14"/>
              </w:rPr>
            </w:pPr>
            <w:r>
              <w:rPr>
                <w:sz w:val="14"/>
              </w:rPr>
              <w:t>—</w:t>
            </w:r>
          </w:p>
        </w:tc>
        <w:tc>
          <w:tcPr>
            <w:tcW w:w="1131" w:type="dxa"/>
            <w:tcBorders>
              <w:bottom w:val="single" w:sz="8" w:space="0" w:color="000000"/>
            </w:tcBorders>
          </w:tcPr>
          <w:p>
            <w:pPr>
              <w:pStyle w:val="TableParagraph"/>
              <w:rPr>
                <w:rFonts w:ascii="Times New Roman"/>
                <w:sz w:val="14"/>
              </w:rPr>
            </w:pPr>
          </w:p>
        </w:tc>
        <w:tc>
          <w:tcPr>
            <w:tcW w:w="623" w:type="dxa"/>
            <w:tcBorders>
              <w:bottom w:val="single" w:sz="8" w:space="0" w:color="000000"/>
            </w:tcBorders>
          </w:tcPr>
          <w:p>
            <w:pPr>
              <w:pStyle w:val="TableParagraph"/>
              <w:spacing w:line="161" w:lineRule="exact" w:before="20"/>
              <w:ind w:right="61"/>
              <w:jc w:val="right"/>
              <w:rPr>
                <w:sz w:val="14"/>
              </w:rPr>
            </w:pPr>
            <w:r>
              <w:rPr>
                <w:spacing w:val="-5"/>
                <w:sz w:val="14"/>
              </w:rPr>
              <w:t>(1)</w:t>
            </w:r>
          </w:p>
        </w:tc>
        <w:tc>
          <w:tcPr>
            <w:tcW w:w="696" w:type="dxa"/>
            <w:tcBorders>
              <w:bottom w:val="single" w:sz="8" w:space="0" w:color="000000"/>
            </w:tcBorders>
          </w:tcPr>
          <w:p>
            <w:pPr>
              <w:pStyle w:val="TableParagraph"/>
              <w:rPr>
                <w:rFonts w:ascii="Times New Roman"/>
                <w:sz w:val="14"/>
              </w:rPr>
            </w:pPr>
          </w:p>
        </w:tc>
        <w:tc>
          <w:tcPr>
            <w:tcW w:w="1297" w:type="dxa"/>
            <w:tcBorders>
              <w:bottom w:val="single" w:sz="8" w:space="0" w:color="000000"/>
            </w:tcBorders>
          </w:tcPr>
          <w:p>
            <w:pPr>
              <w:pStyle w:val="TableParagraph"/>
              <w:spacing w:line="161" w:lineRule="exact" w:before="20"/>
              <w:ind w:left="824"/>
              <w:rPr>
                <w:sz w:val="14"/>
              </w:rPr>
            </w:pPr>
            <w:r>
              <w:rPr>
                <w:spacing w:val="-5"/>
                <w:sz w:val="14"/>
              </w:rPr>
              <w:t>(1)</w:t>
            </w:r>
          </w:p>
        </w:tc>
      </w:tr>
      <w:tr>
        <w:trPr>
          <w:trHeight w:val="155" w:hRule="atLeast"/>
        </w:trPr>
        <w:tc>
          <w:tcPr>
            <w:tcW w:w="3870" w:type="dxa"/>
          </w:tcPr>
          <w:p>
            <w:pPr>
              <w:pStyle w:val="TableParagraph"/>
              <w:spacing w:line="122" w:lineRule="exact" w:before="13"/>
              <w:ind w:left="52"/>
              <w:rPr>
                <w:rFonts w:ascii="Arial"/>
                <w:b/>
                <w:sz w:val="14"/>
              </w:rPr>
            </w:pPr>
            <w:r>
              <w:rPr>
                <w:rFonts w:ascii="Arial"/>
                <w:b/>
                <w:sz w:val="14"/>
              </w:rPr>
              <w:t>Total</w:t>
            </w:r>
            <w:r>
              <w:rPr>
                <w:rFonts w:ascii="Arial"/>
                <w:b/>
                <w:spacing w:val="-2"/>
                <w:sz w:val="14"/>
              </w:rPr>
              <w:t> </w:t>
            </w:r>
            <w:r>
              <w:rPr>
                <w:rFonts w:ascii="Arial"/>
                <w:b/>
                <w:sz w:val="14"/>
              </w:rPr>
              <w:t>non-trading</w:t>
            </w:r>
            <w:r>
              <w:rPr>
                <w:rFonts w:ascii="Arial"/>
                <w:b/>
                <w:spacing w:val="-2"/>
                <w:sz w:val="14"/>
              </w:rPr>
              <w:t> </w:t>
            </w:r>
            <w:r>
              <w:rPr>
                <w:rFonts w:ascii="Arial"/>
                <w:b/>
                <w:sz w:val="14"/>
              </w:rPr>
              <w:t>portfolios,</w:t>
            </w:r>
            <w:r>
              <w:rPr>
                <w:rFonts w:ascii="Arial"/>
                <w:b/>
                <w:spacing w:val="-1"/>
                <w:sz w:val="14"/>
              </w:rPr>
              <w:t> </w:t>
            </w:r>
            <w:r>
              <w:rPr>
                <w:rFonts w:ascii="Arial"/>
                <w:b/>
                <w:spacing w:val="-5"/>
                <w:sz w:val="14"/>
              </w:rPr>
              <w:t>net</w:t>
            </w:r>
          </w:p>
        </w:tc>
        <w:tc>
          <w:tcPr>
            <w:tcW w:w="781" w:type="dxa"/>
            <w:tcBorders>
              <w:top w:val="single" w:sz="8" w:space="0" w:color="000000"/>
              <w:bottom w:val="double" w:sz="8" w:space="0" w:color="000000"/>
            </w:tcBorders>
          </w:tcPr>
          <w:p>
            <w:pPr>
              <w:pStyle w:val="TableParagraph"/>
              <w:spacing w:line="122" w:lineRule="exact" w:before="13"/>
              <w:ind w:left="52"/>
              <w:rPr>
                <w:sz w:val="14"/>
              </w:rPr>
            </w:pPr>
            <w:r>
              <w:rPr>
                <w:spacing w:val="-10"/>
                <w:sz w:val="14"/>
              </w:rPr>
              <w:t>$</w:t>
            </w:r>
          </w:p>
        </w:tc>
        <w:tc>
          <w:tcPr>
            <w:tcW w:w="963" w:type="dxa"/>
            <w:tcBorders>
              <w:top w:val="single" w:sz="8" w:space="0" w:color="000000"/>
              <w:bottom w:val="double" w:sz="8" w:space="0" w:color="000000"/>
            </w:tcBorders>
          </w:tcPr>
          <w:p>
            <w:pPr>
              <w:pStyle w:val="TableParagraph"/>
              <w:spacing w:line="122" w:lineRule="exact" w:before="13"/>
              <w:ind w:right="108"/>
              <w:jc w:val="right"/>
              <w:rPr>
                <w:sz w:val="14"/>
              </w:rPr>
            </w:pPr>
            <w:r>
              <w:rPr>
                <w:spacing w:val="-5"/>
                <w:sz w:val="14"/>
              </w:rPr>
              <w:t>12</w:t>
            </w:r>
          </w:p>
        </w:tc>
        <w:tc>
          <w:tcPr>
            <w:tcW w:w="1131" w:type="dxa"/>
            <w:tcBorders>
              <w:top w:val="single" w:sz="8" w:space="0" w:color="000000"/>
              <w:bottom w:val="double" w:sz="8" w:space="0" w:color="000000"/>
            </w:tcBorders>
          </w:tcPr>
          <w:p>
            <w:pPr>
              <w:pStyle w:val="TableParagraph"/>
              <w:spacing w:line="122" w:lineRule="exact" w:before="13"/>
              <w:ind w:left="63"/>
              <w:rPr>
                <w:sz w:val="14"/>
              </w:rPr>
            </w:pPr>
            <w:r>
              <w:rPr>
                <w:spacing w:val="-10"/>
                <w:sz w:val="14"/>
              </w:rPr>
              <w:t>$</w:t>
            </w:r>
          </w:p>
        </w:tc>
        <w:tc>
          <w:tcPr>
            <w:tcW w:w="623" w:type="dxa"/>
            <w:tcBorders>
              <w:top w:val="single" w:sz="8" w:space="0" w:color="000000"/>
              <w:bottom w:val="double" w:sz="8" w:space="0" w:color="000000"/>
            </w:tcBorders>
          </w:tcPr>
          <w:p>
            <w:pPr>
              <w:pStyle w:val="TableParagraph"/>
              <w:spacing w:line="122" w:lineRule="exact" w:before="13"/>
              <w:ind w:right="60"/>
              <w:jc w:val="right"/>
              <w:rPr>
                <w:sz w:val="14"/>
              </w:rPr>
            </w:pPr>
            <w:r>
              <w:rPr>
                <w:spacing w:val="-2"/>
                <w:sz w:val="14"/>
              </w:rPr>
              <w:t>(167)</w:t>
            </w:r>
          </w:p>
        </w:tc>
        <w:tc>
          <w:tcPr>
            <w:tcW w:w="696" w:type="dxa"/>
            <w:tcBorders>
              <w:top w:val="single" w:sz="8" w:space="0" w:color="000000"/>
              <w:bottom w:val="double" w:sz="8" w:space="0" w:color="000000"/>
            </w:tcBorders>
          </w:tcPr>
          <w:p>
            <w:pPr>
              <w:pStyle w:val="TableParagraph"/>
              <w:spacing w:line="122" w:lineRule="exact" w:before="13"/>
              <w:ind w:left="64"/>
              <w:rPr>
                <w:sz w:val="14"/>
              </w:rPr>
            </w:pPr>
            <w:r>
              <w:rPr>
                <w:spacing w:val="-10"/>
                <w:sz w:val="14"/>
              </w:rPr>
              <w:t>$</w:t>
            </w:r>
          </w:p>
        </w:tc>
        <w:tc>
          <w:tcPr>
            <w:tcW w:w="1297" w:type="dxa"/>
            <w:tcBorders>
              <w:top w:val="single" w:sz="8" w:space="0" w:color="000000"/>
              <w:bottom w:val="double" w:sz="8" w:space="0" w:color="000000"/>
            </w:tcBorders>
          </w:tcPr>
          <w:p>
            <w:pPr>
              <w:pStyle w:val="TableParagraph"/>
              <w:spacing w:line="122" w:lineRule="exact" w:before="13"/>
              <w:ind w:left="669"/>
              <w:rPr>
                <w:sz w:val="14"/>
              </w:rPr>
            </w:pPr>
            <w:r>
              <w:rPr>
                <w:spacing w:val="-2"/>
                <w:sz w:val="14"/>
              </w:rPr>
              <w:t>(155)</w:t>
            </w:r>
          </w:p>
        </w:tc>
      </w:tr>
      <w:tr>
        <w:trPr>
          <w:trHeight w:val="155" w:hRule="atLeast"/>
        </w:trPr>
        <w:tc>
          <w:tcPr>
            <w:tcW w:w="3870" w:type="dxa"/>
            <w:tcBorders>
              <w:bottom w:val="single" w:sz="8" w:space="0" w:color="000000"/>
            </w:tcBorders>
          </w:tcPr>
          <w:p>
            <w:pPr>
              <w:pStyle w:val="TableParagraph"/>
              <w:rPr>
                <w:rFonts w:ascii="Times New Roman"/>
                <w:sz w:val="10"/>
              </w:rPr>
            </w:pPr>
          </w:p>
        </w:tc>
        <w:tc>
          <w:tcPr>
            <w:tcW w:w="781" w:type="dxa"/>
            <w:tcBorders>
              <w:top w:val="double" w:sz="8" w:space="0" w:color="000000"/>
              <w:bottom w:val="single" w:sz="8" w:space="0" w:color="000000"/>
            </w:tcBorders>
          </w:tcPr>
          <w:p>
            <w:pPr>
              <w:pStyle w:val="TableParagraph"/>
              <w:rPr>
                <w:rFonts w:ascii="Times New Roman"/>
                <w:sz w:val="10"/>
              </w:rPr>
            </w:pPr>
          </w:p>
        </w:tc>
        <w:tc>
          <w:tcPr>
            <w:tcW w:w="963" w:type="dxa"/>
            <w:tcBorders>
              <w:top w:val="double" w:sz="8" w:space="0" w:color="000000"/>
              <w:bottom w:val="single" w:sz="8" w:space="0" w:color="000000"/>
            </w:tcBorders>
          </w:tcPr>
          <w:p>
            <w:pPr>
              <w:pStyle w:val="TableParagraph"/>
              <w:rPr>
                <w:rFonts w:ascii="Times New Roman"/>
                <w:sz w:val="10"/>
              </w:rPr>
            </w:pPr>
          </w:p>
        </w:tc>
        <w:tc>
          <w:tcPr>
            <w:tcW w:w="1131" w:type="dxa"/>
            <w:tcBorders>
              <w:top w:val="double" w:sz="8" w:space="0" w:color="000000"/>
              <w:bottom w:val="single" w:sz="8" w:space="0" w:color="000000"/>
            </w:tcBorders>
          </w:tcPr>
          <w:p>
            <w:pPr>
              <w:pStyle w:val="TableParagraph"/>
              <w:rPr>
                <w:rFonts w:ascii="Times New Roman"/>
                <w:sz w:val="10"/>
              </w:rPr>
            </w:pPr>
          </w:p>
        </w:tc>
        <w:tc>
          <w:tcPr>
            <w:tcW w:w="623" w:type="dxa"/>
            <w:tcBorders>
              <w:top w:val="double" w:sz="8" w:space="0" w:color="000000"/>
              <w:bottom w:val="single" w:sz="8" w:space="0" w:color="000000"/>
            </w:tcBorders>
          </w:tcPr>
          <w:p>
            <w:pPr>
              <w:pStyle w:val="TableParagraph"/>
              <w:rPr>
                <w:rFonts w:ascii="Times New Roman"/>
                <w:sz w:val="10"/>
              </w:rPr>
            </w:pPr>
          </w:p>
        </w:tc>
        <w:tc>
          <w:tcPr>
            <w:tcW w:w="696" w:type="dxa"/>
            <w:tcBorders>
              <w:top w:val="double" w:sz="8" w:space="0" w:color="000000"/>
              <w:bottom w:val="single" w:sz="8" w:space="0" w:color="000000"/>
            </w:tcBorders>
          </w:tcPr>
          <w:p>
            <w:pPr>
              <w:pStyle w:val="TableParagraph"/>
              <w:rPr>
                <w:rFonts w:ascii="Times New Roman"/>
                <w:sz w:val="10"/>
              </w:rPr>
            </w:pPr>
          </w:p>
        </w:tc>
        <w:tc>
          <w:tcPr>
            <w:tcW w:w="1297" w:type="dxa"/>
            <w:tcBorders>
              <w:top w:val="double" w:sz="8" w:space="0" w:color="000000"/>
              <w:bottom w:val="single" w:sz="8" w:space="0" w:color="000000"/>
            </w:tcBorders>
          </w:tcPr>
          <w:p>
            <w:pPr>
              <w:pStyle w:val="TableParagraph"/>
              <w:rPr>
                <w:rFonts w:ascii="Times New Roman"/>
                <w:sz w:val="10"/>
              </w:rPr>
            </w:pPr>
          </w:p>
        </w:tc>
      </w:tr>
      <w:tr>
        <w:trPr>
          <w:trHeight w:val="175" w:hRule="atLeast"/>
        </w:trPr>
        <w:tc>
          <w:tcPr>
            <w:tcW w:w="3870" w:type="dxa"/>
            <w:tcBorders>
              <w:top w:val="single" w:sz="8" w:space="0" w:color="000000"/>
              <w:bottom w:val="single" w:sz="8" w:space="0" w:color="000000"/>
            </w:tcBorders>
          </w:tcPr>
          <w:p>
            <w:pPr>
              <w:pStyle w:val="TableParagraph"/>
              <w:spacing w:line="142" w:lineRule="exact" w:before="13"/>
              <w:ind w:left="52"/>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c>
        <w:tc>
          <w:tcPr>
            <w:tcW w:w="781" w:type="dxa"/>
            <w:tcBorders>
              <w:top w:val="single" w:sz="8" w:space="0" w:color="000000"/>
              <w:bottom w:val="single" w:sz="8" w:space="0" w:color="000000"/>
            </w:tcBorders>
          </w:tcPr>
          <w:p>
            <w:pPr>
              <w:pStyle w:val="TableParagraph"/>
              <w:rPr>
                <w:rFonts w:ascii="Times New Roman"/>
                <w:sz w:val="10"/>
              </w:rPr>
            </w:pPr>
          </w:p>
        </w:tc>
        <w:tc>
          <w:tcPr>
            <w:tcW w:w="963" w:type="dxa"/>
            <w:tcBorders>
              <w:top w:val="single" w:sz="8" w:space="0" w:color="000000"/>
              <w:bottom w:val="single" w:sz="8" w:space="0" w:color="000000"/>
            </w:tcBorders>
          </w:tcPr>
          <w:p>
            <w:pPr>
              <w:pStyle w:val="TableParagraph"/>
              <w:rPr>
                <w:rFonts w:ascii="Times New Roman"/>
                <w:sz w:val="10"/>
              </w:rPr>
            </w:pPr>
          </w:p>
        </w:tc>
        <w:tc>
          <w:tcPr>
            <w:tcW w:w="1131" w:type="dxa"/>
            <w:tcBorders>
              <w:top w:val="single" w:sz="8" w:space="0" w:color="000000"/>
              <w:bottom w:val="single" w:sz="8" w:space="0" w:color="000000"/>
            </w:tcBorders>
          </w:tcPr>
          <w:p>
            <w:pPr>
              <w:pStyle w:val="TableParagraph"/>
              <w:rPr>
                <w:rFonts w:ascii="Times New Roman"/>
                <w:sz w:val="10"/>
              </w:rPr>
            </w:pPr>
          </w:p>
        </w:tc>
        <w:tc>
          <w:tcPr>
            <w:tcW w:w="623" w:type="dxa"/>
            <w:tcBorders>
              <w:top w:val="single" w:sz="8" w:space="0" w:color="000000"/>
              <w:bottom w:val="single" w:sz="8" w:space="0" w:color="000000"/>
            </w:tcBorders>
          </w:tcPr>
          <w:p>
            <w:pPr>
              <w:pStyle w:val="TableParagraph"/>
              <w:rPr>
                <w:rFonts w:ascii="Times New Roman"/>
                <w:sz w:val="10"/>
              </w:rPr>
            </w:pPr>
          </w:p>
        </w:tc>
        <w:tc>
          <w:tcPr>
            <w:tcW w:w="696" w:type="dxa"/>
            <w:tcBorders>
              <w:top w:val="single" w:sz="8" w:space="0" w:color="000000"/>
              <w:bottom w:val="single" w:sz="8" w:space="0" w:color="000000"/>
            </w:tcBorders>
          </w:tcPr>
          <w:p>
            <w:pPr>
              <w:pStyle w:val="TableParagraph"/>
              <w:rPr>
                <w:rFonts w:ascii="Times New Roman"/>
                <w:sz w:val="10"/>
              </w:rPr>
            </w:pPr>
          </w:p>
        </w:tc>
        <w:tc>
          <w:tcPr>
            <w:tcW w:w="1297" w:type="dxa"/>
            <w:tcBorders>
              <w:top w:val="single" w:sz="8" w:space="0" w:color="000000"/>
              <w:bottom w:val="single" w:sz="8" w:space="0" w:color="000000"/>
            </w:tcBorders>
          </w:tcPr>
          <w:p>
            <w:pPr>
              <w:pStyle w:val="TableParagraph"/>
              <w:rPr>
                <w:rFonts w:ascii="Times New Roman"/>
                <w:sz w:val="10"/>
              </w:rPr>
            </w:pPr>
          </w:p>
        </w:tc>
      </w:tr>
      <w:tr>
        <w:trPr>
          <w:trHeight w:val="175" w:hRule="atLeast"/>
        </w:trPr>
        <w:tc>
          <w:tcPr>
            <w:tcW w:w="3870" w:type="dxa"/>
            <w:tcBorders>
              <w:top w:val="single" w:sz="8" w:space="0" w:color="000000"/>
            </w:tcBorders>
          </w:tcPr>
          <w:p>
            <w:pPr>
              <w:pStyle w:val="TableParagraph"/>
              <w:rPr>
                <w:rFonts w:ascii="Times New Roman"/>
                <w:sz w:val="10"/>
              </w:rPr>
            </w:pPr>
          </w:p>
        </w:tc>
        <w:tc>
          <w:tcPr>
            <w:tcW w:w="781" w:type="dxa"/>
            <w:tcBorders>
              <w:top w:val="single" w:sz="8" w:space="0" w:color="000000"/>
              <w:bottom w:val="single" w:sz="8" w:space="0" w:color="000000"/>
            </w:tcBorders>
          </w:tcPr>
          <w:p>
            <w:pPr>
              <w:pStyle w:val="TableParagraph"/>
              <w:rPr>
                <w:rFonts w:ascii="Times New Roman"/>
                <w:sz w:val="10"/>
              </w:rPr>
            </w:pPr>
          </w:p>
        </w:tc>
        <w:tc>
          <w:tcPr>
            <w:tcW w:w="963" w:type="dxa"/>
            <w:tcBorders>
              <w:top w:val="single" w:sz="8" w:space="0" w:color="000000"/>
              <w:bottom w:val="single" w:sz="8" w:space="0" w:color="000000"/>
            </w:tcBorders>
          </w:tcPr>
          <w:p>
            <w:pPr>
              <w:pStyle w:val="TableParagraph"/>
              <w:rPr>
                <w:rFonts w:ascii="Times New Roman"/>
                <w:sz w:val="10"/>
              </w:rPr>
            </w:pPr>
          </w:p>
        </w:tc>
        <w:tc>
          <w:tcPr>
            <w:tcW w:w="1131" w:type="dxa"/>
            <w:tcBorders>
              <w:top w:val="single" w:sz="8" w:space="0" w:color="000000"/>
              <w:bottom w:val="single" w:sz="8" w:space="0" w:color="000000"/>
            </w:tcBorders>
          </w:tcPr>
          <w:p>
            <w:pPr>
              <w:pStyle w:val="TableParagraph"/>
              <w:spacing w:line="142" w:lineRule="exact" w:before="13"/>
              <w:ind w:left="702"/>
              <w:rPr>
                <w:rFonts w:ascii="Arial"/>
                <w:i/>
                <w:sz w:val="14"/>
              </w:rPr>
            </w:pPr>
            <w:r>
              <w:rPr>
                <w:rFonts w:ascii="Arial"/>
                <w:i/>
                <w:spacing w:val="-4"/>
                <w:sz w:val="14"/>
              </w:rPr>
              <w:t>2022</w:t>
            </w:r>
          </w:p>
        </w:tc>
        <w:tc>
          <w:tcPr>
            <w:tcW w:w="623" w:type="dxa"/>
            <w:tcBorders>
              <w:top w:val="single" w:sz="8" w:space="0" w:color="000000"/>
              <w:bottom w:val="single" w:sz="8" w:space="0" w:color="000000"/>
            </w:tcBorders>
          </w:tcPr>
          <w:p>
            <w:pPr>
              <w:pStyle w:val="TableParagraph"/>
              <w:rPr>
                <w:rFonts w:ascii="Times New Roman"/>
                <w:sz w:val="10"/>
              </w:rPr>
            </w:pPr>
          </w:p>
        </w:tc>
        <w:tc>
          <w:tcPr>
            <w:tcW w:w="696" w:type="dxa"/>
            <w:tcBorders>
              <w:top w:val="single" w:sz="8" w:space="0" w:color="000000"/>
              <w:bottom w:val="single" w:sz="8" w:space="0" w:color="000000"/>
            </w:tcBorders>
          </w:tcPr>
          <w:p>
            <w:pPr>
              <w:pStyle w:val="TableParagraph"/>
              <w:rPr>
                <w:rFonts w:ascii="Times New Roman"/>
                <w:sz w:val="10"/>
              </w:rPr>
            </w:pPr>
          </w:p>
        </w:tc>
        <w:tc>
          <w:tcPr>
            <w:tcW w:w="1297" w:type="dxa"/>
            <w:tcBorders>
              <w:top w:val="single" w:sz="8" w:space="0" w:color="000000"/>
              <w:bottom w:val="single" w:sz="8" w:space="0" w:color="000000"/>
            </w:tcBorders>
          </w:tcPr>
          <w:p>
            <w:pPr>
              <w:pStyle w:val="TableParagraph"/>
              <w:rPr>
                <w:rFonts w:ascii="Times New Roman"/>
                <w:sz w:val="10"/>
              </w:rPr>
            </w:pPr>
          </w:p>
        </w:tc>
      </w:tr>
    </w:tbl>
    <w:p>
      <w:pPr>
        <w:pStyle w:val="TableParagraph"/>
        <w:spacing w:after="0"/>
        <w:rPr>
          <w:rFonts w:ascii="Times New Roman"/>
          <w:sz w:val="10"/>
        </w:rPr>
        <w:sectPr>
          <w:type w:val="continuous"/>
          <w:pgSz w:w="12240" w:h="15840"/>
          <w:pgMar w:header="0" w:footer="528" w:top="1820" w:bottom="280" w:left="720" w:right="720"/>
        </w:sectPr>
      </w:pPr>
    </w:p>
    <w:p>
      <w:pPr>
        <w:pStyle w:val="BodyText"/>
        <w:rPr>
          <w:rFonts w:ascii="Arial"/>
          <w:i/>
          <w:sz w:val="14"/>
        </w:rPr>
      </w:pPr>
    </w:p>
    <w:p>
      <w:pPr>
        <w:pStyle w:val="BodyText"/>
        <w:spacing w:before="25"/>
        <w:rPr>
          <w:rFonts w:ascii="Arial"/>
          <w:i/>
          <w:sz w:val="14"/>
        </w:rPr>
      </w:pPr>
    </w:p>
    <w:p>
      <w:pPr>
        <w:spacing w:before="0"/>
        <w:ind w:left="0" w:right="0" w:firstLine="0"/>
        <w:jc w:val="right"/>
        <w:rPr>
          <w:rFonts w:ascii="Arial"/>
          <w:i/>
          <w:sz w:val="14"/>
        </w:rPr>
      </w:pPr>
      <w:r>
        <w:rPr>
          <w:rFonts w:ascii="Arial"/>
          <w:i/>
          <w:sz w:val="14"/>
        </w:rPr>
        <w:t>Realized</w:t>
      </w:r>
      <w:r>
        <w:rPr>
          <w:rFonts w:ascii="Arial"/>
          <w:i/>
          <w:spacing w:val="-7"/>
          <w:sz w:val="14"/>
        </w:rPr>
        <w:t> </w:t>
      </w:r>
      <w:r>
        <w:rPr>
          <w:rFonts w:ascii="Arial"/>
          <w:i/>
          <w:sz w:val="14"/>
        </w:rPr>
        <w:t>gains</w:t>
      </w:r>
      <w:r>
        <w:rPr>
          <w:rFonts w:ascii="Arial"/>
          <w:i/>
          <w:spacing w:val="-5"/>
          <w:sz w:val="14"/>
        </w:rPr>
        <w:t> </w:t>
      </w:r>
      <w:r>
        <w:rPr>
          <w:rFonts w:ascii="Arial"/>
          <w:i/>
          <w:spacing w:val="-2"/>
          <w:sz w:val="14"/>
        </w:rPr>
        <w:t>(losses)</w:t>
      </w:r>
    </w:p>
    <w:p>
      <w:pPr>
        <w:spacing w:line="249" w:lineRule="auto" w:before="11"/>
        <w:ind w:left="431" w:right="2269" w:hanging="226"/>
        <w:jc w:val="left"/>
        <w:rPr>
          <w:rFonts w:ascii="Arial"/>
          <w:i/>
          <w:sz w:val="14"/>
        </w:rPr>
      </w:pPr>
      <w:r>
        <w:rPr/>
        <w:br w:type="column"/>
      </w:r>
      <w:r>
        <w:rPr>
          <w:rFonts w:ascii="Arial"/>
          <w:i/>
          <w:sz w:val="14"/>
        </w:rPr>
        <w:t>Unrealized</w:t>
      </w:r>
      <w:r>
        <w:rPr>
          <w:rFonts w:ascii="Arial"/>
          <w:i/>
          <w:spacing w:val="-10"/>
          <w:sz w:val="14"/>
        </w:rPr>
        <w:t> </w:t>
      </w:r>
      <w:r>
        <w:rPr>
          <w:rFonts w:ascii="Arial"/>
          <w:i/>
          <w:sz w:val="14"/>
        </w:rPr>
        <w:t>gains</w:t>
      </w:r>
      <w:r>
        <w:rPr>
          <w:rFonts w:ascii="Arial"/>
          <w:i/>
          <w:spacing w:val="-10"/>
          <w:sz w:val="14"/>
        </w:rPr>
        <w:t> </w:t>
      </w:r>
      <w:r>
        <w:rPr>
          <w:rFonts w:ascii="Arial"/>
          <w:i/>
          <w:sz w:val="14"/>
        </w:rPr>
        <w:t>(losses)</w:t>
      </w:r>
      <w:r>
        <w:rPr>
          <w:rFonts w:ascii="Arial"/>
          <w:i/>
          <w:spacing w:val="40"/>
          <w:sz w:val="14"/>
        </w:rPr>
        <w:t> </w:t>
      </w:r>
      <w:r>
        <w:rPr>
          <w:rFonts w:ascii="Arial"/>
          <w:i/>
          <w:sz w:val="14"/>
        </w:rPr>
        <w:t>excluding</w:t>
      </w:r>
      <w:r>
        <w:rPr>
          <w:rFonts w:ascii="Arial"/>
          <w:i/>
          <w:spacing w:val="-2"/>
          <w:sz w:val="14"/>
        </w:rPr>
        <w:t> </w:t>
      </w:r>
      <w:r>
        <w:rPr>
          <w:rFonts w:ascii="Arial"/>
          <w:i/>
          <w:sz w:val="14"/>
        </w:rPr>
        <w:t>realized</w:t>
      </w:r>
    </w:p>
    <w:p>
      <w:pPr>
        <w:tabs>
          <w:tab w:pos="1960" w:val="left" w:leader="none"/>
        </w:tabs>
        <w:spacing w:before="1"/>
        <w:ind w:left="677" w:right="0" w:firstLine="0"/>
        <w:jc w:val="left"/>
        <w:rPr>
          <w:rFonts w:ascii="Arial"/>
          <w:i/>
          <w:sz w:val="14"/>
        </w:rPr>
      </w:pPr>
      <w:r>
        <w:rPr>
          <w:rFonts w:ascii="Arial"/>
          <w:i/>
          <w:sz w:val="14"/>
        </w:rPr>
        <w:t>amounts</w:t>
      </w:r>
      <w:r>
        <w:rPr>
          <w:rFonts w:ascii="Arial"/>
          <w:i/>
          <w:spacing w:val="-5"/>
          <w:sz w:val="14"/>
        </w:rPr>
        <w:t> </w:t>
      </w:r>
      <w:r>
        <w:rPr>
          <w:rFonts w:ascii="Arial"/>
          <w:i/>
          <w:spacing w:val="-10"/>
          <w:sz w:val="14"/>
          <w:vertAlign w:val="superscript"/>
        </w:rPr>
        <w:t>a</w:t>
      </w:r>
      <w:r>
        <w:rPr>
          <w:rFonts w:ascii="Arial"/>
          <w:i/>
          <w:sz w:val="14"/>
          <w:vertAlign w:val="baseline"/>
        </w:rPr>
        <w:tab/>
        <w:t>Unrealized</w:t>
      </w:r>
      <w:r>
        <w:rPr>
          <w:rFonts w:ascii="Arial"/>
          <w:i/>
          <w:spacing w:val="-6"/>
          <w:sz w:val="14"/>
          <w:vertAlign w:val="baseline"/>
        </w:rPr>
        <w:t> </w:t>
      </w:r>
      <w:r>
        <w:rPr>
          <w:rFonts w:ascii="Arial"/>
          <w:i/>
          <w:sz w:val="14"/>
          <w:vertAlign w:val="baseline"/>
        </w:rPr>
        <w:t>gains</w:t>
      </w:r>
      <w:r>
        <w:rPr>
          <w:rFonts w:ascii="Arial"/>
          <w:i/>
          <w:spacing w:val="-5"/>
          <w:sz w:val="14"/>
          <w:vertAlign w:val="baseline"/>
        </w:rPr>
        <w:t> </w:t>
      </w:r>
      <w:r>
        <w:rPr>
          <w:rFonts w:ascii="Arial"/>
          <w:i/>
          <w:spacing w:val="-2"/>
          <w:sz w:val="14"/>
          <w:vertAlign w:val="baseline"/>
        </w:rPr>
        <w:t>(losses)</w:t>
      </w:r>
    </w:p>
    <w:p>
      <w:pPr>
        <w:spacing w:after="0"/>
        <w:jc w:val="left"/>
        <w:rPr>
          <w:rFonts w:ascii="Arial"/>
          <w:i/>
          <w:sz w:val="14"/>
        </w:rPr>
        <w:sectPr>
          <w:type w:val="continuous"/>
          <w:pgSz w:w="12240" w:h="15840"/>
          <w:pgMar w:header="0" w:footer="528" w:top="1820" w:bottom="280" w:left="720" w:right="720"/>
          <w:cols w:num="2" w:equalWidth="0">
            <w:col w:w="6162" w:space="40"/>
            <w:col w:w="4598"/>
          </w:cols>
        </w:sectPr>
      </w:pPr>
    </w:p>
    <w:p>
      <w:pPr>
        <w:pStyle w:val="BodyText"/>
        <w:spacing w:before="6"/>
        <w:rPr>
          <w:rFonts w:ascii="Arial"/>
          <w:i/>
          <w:sz w:val="2"/>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0"/>
        <w:gridCol w:w="707"/>
        <w:gridCol w:w="1014"/>
        <w:gridCol w:w="1155"/>
        <w:gridCol w:w="624"/>
        <w:gridCol w:w="697"/>
        <w:gridCol w:w="1013"/>
        <w:gridCol w:w="287"/>
      </w:tblGrid>
      <w:tr>
        <w:trPr>
          <w:trHeight w:val="175" w:hRule="atLeast"/>
        </w:trPr>
        <w:tc>
          <w:tcPr>
            <w:tcW w:w="3870" w:type="dxa"/>
          </w:tcPr>
          <w:p>
            <w:pPr>
              <w:pStyle w:val="TableParagraph"/>
              <w:spacing w:line="142" w:lineRule="exact" w:before="13"/>
              <w:ind w:left="52"/>
              <w:rPr>
                <w:rFonts w:ascii="Arial"/>
                <w:b/>
                <w:sz w:val="14"/>
              </w:rPr>
            </w:pPr>
            <w:r>
              <w:rPr>
                <w:rFonts w:ascii="Arial"/>
                <w:b/>
                <w:spacing w:val="-2"/>
                <w:sz w:val="14"/>
              </w:rPr>
              <w:t>Investments-Trading</w:t>
            </w:r>
          </w:p>
        </w:tc>
        <w:tc>
          <w:tcPr>
            <w:tcW w:w="707" w:type="dxa"/>
            <w:tcBorders>
              <w:top w:val="single" w:sz="8" w:space="0" w:color="000000"/>
              <w:bottom w:val="single" w:sz="8" w:space="0" w:color="000000"/>
            </w:tcBorders>
          </w:tcPr>
          <w:p>
            <w:pPr>
              <w:pStyle w:val="TableParagraph"/>
              <w:spacing w:line="142" w:lineRule="exact" w:before="13"/>
              <w:ind w:left="52"/>
              <w:rPr>
                <w:sz w:val="14"/>
              </w:rPr>
            </w:pPr>
            <w:r>
              <w:rPr>
                <w:spacing w:val="-10"/>
                <w:sz w:val="14"/>
              </w:rPr>
              <w:t>$</w:t>
            </w:r>
          </w:p>
        </w:tc>
        <w:tc>
          <w:tcPr>
            <w:tcW w:w="1014" w:type="dxa"/>
            <w:tcBorders>
              <w:top w:val="single" w:sz="8" w:space="0" w:color="000000"/>
              <w:bottom w:val="single" w:sz="8" w:space="0" w:color="000000"/>
            </w:tcBorders>
          </w:tcPr>
          <w:p>
            <w:pPr>
              <w:pStyle w:val="TableParagraph"/>
              <w:spacing w:line="142" w:lineRule="exact" w:before="13"/>
              <w:ind w:right="85"/>
              <w:jc w:val="right"/>
              <w:rPr>
                <w:sz w:val="14"/>
              </w:rPr>
            </w:pPr>
            <w:r>
              <w:rPr>
                <w:spacing w:val="-2"/>
                <w:sz w:val="14"/>
              </w:rPr>
              <w:t>1,106</w:t>
            </w:r>
          </w:p>
        </w:tc>
        <w:tc>
          <w:tcPr>
            <w:tcW w:w="1155" w:type="dxa"/>
            <w:tcBorders>
              <w:top w:val="single" w:sz="8" w:space="0" w:color="000000"/>
              <w:bottom w:val="single" w:sz="8" w:space="0" w:color="000000"/>
            </w:tcBorders>
          </w:tcPr>
          <w:p>
            <w:pPr>
              <w:pStyle w:val="TableParagraph"/>
              <w:spacing w:line="142" w:lineRule="exact" w:before="13"/>
              <w:ind w:left="86"/>
              <w:rPr>
                <w:sz w:val="14"/>
              </w:rPr>
            </w:pPr>
            <w:r>
              <w:rPr>
                <w:spacing w:val="-10"/>
                <w:sz w:val="14"/>
              </w:rPr>
              <w:t>$</w:t>
            </w:r>
          </w:p>
        </w:tc>
        <w:tc>
          <w:tcPr>
            <w:tcW w:w="624" w:type="dxa"/>
            <w:tcBorders>
              <w:top w:val="single" w:sz="8" w:space="0" w:color="000000"/>
              <w:bottom w:val="single" w:sz="8" w:space="0" w:color="000000"/>
            </w:tcBorders>
          </w:tcPr>
          <w:p>
            <w:pPr>
              <w:pStyle w:val="TableParagraph"/>
              <w:spacing w:line="142" w:lineRule="exact" w:before="13"/>
              <w:ind w:right="62"/>
              <w:jc w:val="right"/>
              <w:rPr>
                <w:sz w:val="14"/>
              </w:rPr>
            </w:pPr>
            <w:r>
              <w:rPr>
                <w:spacing w:val="-2"/>
                <w:sz w:val="14"/>
              </w:rPr>
              <w:t>(1,183)</w:t>
            </w:r>
          </w:p>
        </w:tc>
        <w:tc>
          <w:tcPr>
            <w:tcW w:w="697" w:type="dxa"/>
            <w:tcBorders>
              <w:top w:val="single" w:sz="8" w:space="0" w:color="000000"/>
              <w:bottom w:val="single" w:sz="8" w:space="0" w:color="000000"/>
            </w:tcBorders>
          </w:tcPr>
          <w:p>
            <w:pPr>
              <w:pStyle w:val="TableParagraph"/>
              <w:spacing w:line="142" w:lineRule="exact" w:before="13"/>
              <w:ind w:left="62"/>
              <w:rPr>
                <w:sz w:val="14"/>
              </w:rPr>
            </w:pPr>
            <w:r>
              <w:rPr>
                <w:spacing w:val="-10"/>
                <w:sz w:val="14"/>
              </w:rPr>
              <w:t>$</w:t>
            </w:r>
          </w:p>
        </w:tc>
        <w:tc>
          <w:tcPr>
            <w:tcW w:w="1013" w:type="dxa"/>
            <w:tcBorders>
              <w:top w:val="single" w:sz="8" w:space="0" w:color="000000"/>
              <w:bottom w:val="single" w:sz="8" w:space="0" w:color="000000"/>
            </w:tcBorders>
          </w:tcPr>
          <w:p>
            <w:pPr>
              <w:pStyle w:val="TableParagraph"/>
              <w:spacing w:line="142" w:lineRule="exact" w:before="13"/>
              <w:ind w:right="17"/>
              <w:jc w:val="right"/>
              <w:rPr>
                <w:sz w:val="14"/>
              </w:rPr>
            </w:pPr>
            <w:r>
              <w:rPr>
                <w:spacing w:val="-4"/>
                <w:sz w:val="14"/>
              </w:rPr>
              <w:t>(77)</w:t>
            </w:r>
          </w:p>
        </w:tc>
        <w:tc>
          <w:tcPr>
            <w:tcW w:w="287" w:type="dxa"/>
            <w:vMerge w:val="restart"/>
          </w:tcPr>
          <w:p>
            <w:pPr>
              <w:pStyle w:val="TableParagraph"/>
              <w:rPr>
                <w:rFonts w:ascii="Times New Roman"/>
                <w:sz w:val="14"/>
              </w:rPr>
            </w:pPr>
          </w:p>
        </w:tc>
      </w:tr>
      <w:tr>
        <w:trPr>
          <w:trHeight w:val="388" w:hRule="atLeast"/>
        </w:trPr>
        <w:tc>
          <w:tcPr>
            <w:tcW w:w="3870" w:type="dxa"/>
          </w:tcPr>
          <w:p>
            <w:pPr>
              <w:pStyle w:val="TableParagraph"/>
              <w:spacing w:before="13"/>
              <w:ind w:left="52"/>
              <w:rPr>
                <w:rFonts w:ascii="Arial"/>
                <w:b/>
                <w:sz w:val="14"/>
              </w:rPr>
            </w:pPr>
            <w:r>
              <w:rPr>
                <w:rFonts w:ascii="Arial"/>
                <w:b/>
                <w:sz w:val="14"/>
              </w:rPr>
              <w:t>Non-trading</w:t>
            </w:r>
            <w:r>
              <w:rPr>
                <w:rFonts w:ascii="Arial"/>
                <w:b/>
                <w:spacing w:val="-3"/>
                <w:sz w:val="14"/>
              </w:rPr>
              <w:t> </w:t>
            </w:r>
            <w:r>
              <w:rPr>
                <w:rFonts w:ascii="Arial"/>
                <w:b/>
                <w:sz w:val="14"/>
              </w:rPr>
              <w:t>portfolios,</w:t>
            </w:r>
            <w:r>
              <w:rPr>
                <w:rFonts w:ascii="Arial"/>
                <w:b/>
                <w:spacing w:val="-2"/>
                <w:sz w:val="14"/>
              </w:rPr>
              <w:t> </w:t>
            </w:r>
            <w:r>
              <w:rPr>
                <w:rFonts w:ascii="Arial"/>
                <w:b/>
                <w:spacing w:val="-5"/>
                <w:sz w:val="14"/>
              </w:rPr>
              <w:t>net</w:t>
            </w:r>
          </w:p>
          <w:p>
            <w:pPr>
              <w:pStyle w:val="TableParagraph"/>
              <w:spacing w:line="160" w:lineRule="exact" w:before="34"/>
              <w:ind w:left="232"/>
              <w:rPr>
                <w:sz w:val="14"/>
              </w:rPr>
            </w:pPr>
            <w:r>
              <w:rPr>
                <w:sz w:val="14"/>
              </w:rPr>
              <w:t>Loan-related</w:t>
            </w:r>
            <w:r>
              <w:rPr>
                <w:spacing w:val="-8"/>
                <w:sz w:val="14"/>
              </w:rPr>
              <w:t> </w:t>
            </w:r>
            <w:r>
              <w:rPr>
                <w:sz w:val="14"/>
              </w:rPr>
              <w:t>derivatives—Note</w:t>
            </w:r>
            <w:r>
              <w:rPr>
                <w:spacing w:val="-8"/>
                <w:sz w:val="14"/>
              </w:rPr>
              <w:t> </w:t>
            </w:r>
            <w:r>
              <w:rPr>
                <w:spacing w:val="-10"/>
                <w:sz w:val="14"/>
              </w:rPr>
              <w:t>F</w:t>
            </w:r>
          </w:p>
        </w:tc>
        <w:tc>
          <w:tcPr>
            <w:tcW w:w="707" w:type="dxa"/>
            <w:tcBorders>
              <w:top w:val="single" w:sz="8" w:space="0" w:color="000000"/>
            </w:tcBorders>
          </w:tcPr>
          <w:p>
            <w:pPr>
              <w:pStyle w:val="TableParagraph"/>
              <w:rPr>
                <w:rFonts w:ascii="Times New Roman"/>
                <w:sz w:val="14"/>
              </w:rPr>
            </w:pPr>
          </w:p>
        </w:tc>
        <w:tc>
          <w:tcPr>
            <w:tcW w:w="1014" w:type="dxa"/>
            <w:tcBorders>
              <w:top w:val="single" w:sz="8" w:space="0" w:color="000000"/>
            </w:tcBorders>
          </w:tcPr>
          <w:p>
            <w:pPr>
              <w:pStyle w:val="TableParagraph"/>
              <w:spacing w:before="47"/>
              <w:rPr>
                <w:rFonts w:ascii="Arial"/>
                <w:i/>
                <w:sz w:val="14"/>
              </w:rPr>
            </w:pPr>
          </w:p>
          <w:p>
            <w:pPr>
              <w:pStyle w:val="TableParagraph"/>
              <w:spacing w:line="160" w:lineRule="exact"/>
              <w:ind w:right="85"/>
              <w:jc w:val="right"/>
              <w:rPr>
                <w:sz w:val="14"/>
              </w:rPr>
            </w:pPr>
            <w:r>
              <w:rPr>
                <w:spacing w:val="-10"/>
                <w:sz w:val="14"/>
              </w:rPr>
              <w:t>6</w:t>
            </w:r>
          </w:p>
        </w:tc>
        <w:tc>
          <w:tcPr>
            <w:tcW w:w="1155" w:type="dxa"/>
            <w:tcBorders>
              <w:top w:val="single" w:sz="8" w:space="0" w:color="000000"/>
            </w:tcBorders>
          </w:tcPr>
          <w:p>
            <w:pPr>
              <w:pStyle w:val="TableParagraph"/>
              <w:rPr>
                <w:rFonts w:ascii="Times New Roman"/>
                <w:sz w:val="14"/>
              </w:rPr>
            </w:pPr>
          </w:p>
        </w:tc>
        <w:tc>
          <w:tcPr>
            <w:tcW w:w="624" w:type="dxa"/>
            <w:tcBorders>
              <w:top w:val="single" w:sz="8" w:space="0" w:color="000000"/>
            </w:tcBorders>
          </w:tcPr>
          <w:p>
            <w:pPr>
              <w:pStyle w:val="TableParagraph"/>
              <w:spacing w:before="47"/>
              <w:rPr>
                <w:rFonts w:ascii="Arial"/>
                <w:i/>
                <w:sz w:val="14"/>
              </w:rPr>
            </w:pPr>
          </w:p>
          <w:p>
            <w:pPr>
              <w:pStyle w:val="TableParagraph"/>
              <w:spacing w:line="160" w:lineRule="exact"/>
              <w:ind w:right="109"/>
              <w:jc w:val="right"/>
              <w:rPr>
                <w:sz w:val="14"/>
              </w:rPr>
            </w:pPr>
            <w:r>
              <w:rPr>
                <w:spacing w:val="-2"/>
                <w:sz w:val="14"/>
              </w:rPr>
              <w:t>5,988</w:t>
            </w:r>
          </w:p>
        </w:tc>
        <w:tc>
          <w:tcPr>
            <w:tcW w:w="697" w:type="dxa"/>
            <w:tcBorders>
              <w:top w:val="single" w:sz="8" w:space="0" w:color="000000"/>
            </w:tcBorders>
          </w:tcPr>
          <w:p>
            <w:pPr>
              <w:pStyle w:val="TableParagraph"/>
              <w:rPr>
                <w:rFonts w:ascii="Times New Roman"/>
                <w:sz w:val="14"/>
              </w:rPr>
            </w:pPr>
          </w:p>
        </w:tc>
        <w:tc>
          <w:tcPr>
            <w:tcW w:w="1013" w:type="dxa"/>
            <w:tcBorders>
              <w:top w:val="single" w:sz="8" w:space="0" w:color="000000"/>
            </w:tcBorders>
          </w:tcPr>
          <w:p>
            <w:pPr>
              <w:pStyle w:val="TableParagraph"/>
              <w:spacing w:before="47"/>
              <w:rPr>
                <w:rFonts w:ascii="Arial"/>
                <w:i/>
                <w:sz w:val="14"/>
              </w:rPr>
            </w:pPr>
          </w:p>
          <w:p>
            <w:pPr>
              <w:pStyle w:val="TableParagraph"/>
              <w:spacing w:line="160" w:lineRule="exact"/>
              <w:ind w:right="64"/>
              <w:jc w:val="right"/>
              <w:rPr>
                <w:sz w:val="14"/>
              </w:rPr>
            </w:pPr>
            <w:r>
              <w:rPr>
                <w:spacing w:val="-2"/>
                <w:sz w:val="14"/>
              </w:rPr>
              <w:t>5,994</w:t>
            </w:r>
          </w:p>
        </w:tc>
        <w:tc>
          <w:tcPr>
            <w:tcW w:w="287" w:type="dxa"/>
            <w:vMerge/>
            <w:tcBorders>
              <w:top w:val="nil"/>
            </w:tcBorders>
          </w:tcPr>
          <w:p>
            <w:pPr>
              <w:rPr>
                <w:sz w:val="2"/>
                <w:szCs w:val="2"/>
              </w:rPr>
            </w:pPr>
          </w:p>
        </w:tc>
      </w:tr>
      <w:tr>
        <w:trPr>
          <w:trHeight w:val="195" w:hRule="atLeast"/>
        </w:trPr>
        <w:tc>
          <w:tcPr>
            <w:tcW w:w="3870" w:type="dxa"/>
          </w:tcPr>
          <w:p>
            <w:pPr>
              <w:pStyle w:val="TableParagraph"/>
              <w:spacing w:line="160" w:lineRule="exact" w:before="14"/>
              <w:ind w:right="616"/>
              <w:jc w:val="right"/>
              <w:rPr>
                <w:sz w:val="14"/>
              </w:rPr>
            </w:pPr>
            <w:r>
              <w:rPr>
                <w:sz w:val="14"/>
              </w:rPr>
              <w:t>Other</w:t>
            </w:r>
            <w:r>
              <w:rPr>
                <w:spacing w:val="-6"/>
                <w:sz w:val="14"/>
              </w:rPr>
              <w:t> </w:t>
            </w:r>
            <w:r>
              <w:rPr>
                <w:sz w:val="14"/>
              </w:rPr>
              <w:t>asset/liability</w:t>
            </w:r>
            <w:r>
              <w:rPr>
                <w:spacing w:val="-6"/>
                <w:sz w:val="14"/>
              </w:rPr>
              <w:t> </w:t>
            </w:r>
            <w:r>
              <w:rPr>
                <w:sz w:val="14"/>
              </w:rPr>
              <w:t>management</w:t>
            </w:r>
            <w:r>
              <w:rPr>
                <w:spacing w:val="-6"/>
                <w:sz w:val="14"/>
              </w:rPr>
              <w:t> </w:t>
            </w:r>
            <w:r>
              <w:rPr>
                <w:sz w:val="14"/>
              </w:rPr>
              <w:t>derivatives,</w:t>
            </w:r>
            <w:r>
              <w:rPr>
                <w:spacing w:val="-6"/>
                <w:sz w:val="14"/>
              </w:rPr>
              <w:t> </w:t>
            </w:r>
            <w:r>
              <w:rPr>
                <w:spacing w:val="-5"/>
                <w:sz w:val="14"/>
              </w:rPr>
              <w:t>net</w:t>
            </w:r>
          </w:p>
        </w:tc>
        <w:tc>
          <w:tcPr>
            <w:tcW w:w="707" w:type="dxa"/>
          </w:tcPr>
          <w:p>
            <w:pPr>
              <w:pStyle w:val="TableParagraph"/>
              <w:rPr>
                <w:rFonts w:ascii="Times New Roman"/>
                <w:sz w:val="12"/>
              </w:rPr>
            </w:pPr>
          </w:p>
        </w:tc>
        <w:tc>
          <w:tcPr>
            <w:tcW w:w="1014" w:type="dxa"/>
          </w:tcPr>
          <w:p>
            <w:pPr>
              <w:pStyle w:val="TableParagraph"/>
              <w:spacing w:line="160" w:lineRule="exact" w:before="14"/>
              <w:ind w:right="85"/>
              <w:jc w:val="right"/>
              <w:rPr>
                <w:sz w:val="14"/>
              </w:rPr>
            </w:pPr>
            <w:r>
              <w:rPr>
                <w:sz w:val="14"/>
              </w:rPr>
              <w:t>—</w:t>
            </w:r>
          </w:p>
        </w:tc>
        <w:tc>
          <w:tcPr>
            <w:tcW w:w="1155" w:type="dxa"/>
          </w:tcPr>
          <w:p>
            <w:pPr>
              <w:pStyle w:val="TableParagraph"/>
              <w:rPr>
                <w:rFonts w:ascii="Times New Roman"/>
                <w:sz w:val="12"/>
              </w:rPr>
            </w:pPr>
          </w:p>
        </w:tc>
        <w:tc>
          <w:tcPr>
            <w:tcW w:w="624" w:type="dxa"/>
          </w:tcPr>
          <w:p>
            <w:pPr>
              <w:pStyle w:val="TableParagraph"/>
              <w:spacing w:line="160" w:lineRule="exact" w:before="14"/>
              <w:ind w:right="62"/>
              <w:jc w:val="right"/>
              <w:rPr>
                <w:sz w:val="14"/>
              </w:rPr>
            </w:pPr>
            <w:r>
              <w:rPr>
                <w:spacing w:val="-2"/>
                <w:sz w:val="14"/>
              </w:rPr>
              <w:t>(3,392)</w:t>
            </w:r>
          </w:p>
        </w:tc>
        <w:tc>
          <w:tcPr>
            <w:tcW w:w="697" w:type="dxa"/>
          </w:tcPr>
          <w:p>
            <w:pPr>
              <w:pStyle w:val="TableParagraph"/>
              <w:rPr>
                <w:rFonts w:ascii="Times New Roman"/>
                <w:sz w:val="12"/>
              </w:rPr>
            </w:pPr>
          </w:p>
        </w:tc>
        <w:tc>
          <w:tcPr>
            <w:tcW w:w="1013" w:type="dxa"/>
          </w:tcPr>
          <w:p>
            <w:pPr>
              <w:pStyle w:val="TableParagraph"/>
              <w:spacing w:line="160" w:lineRule="exact" w:before="14"/>
              <w:ind w:right="17"/>
              <w:jc w:val="right"/>
              <w:rPr>
                <w:sz w:val="14"/>
              </w:rPr>
            </w:pPr>
            <w:r>
              <w:rPr>
                <w:spacing w:val="-2"/>
                <w:sz w:val="14"/>
              </w:rPr>
              <w:t>(3,392)</w:t>
            </w:r>
          </w:p>
        </w:tc>
        <w:tc>
          <w:tcPr>
            <w:tcW w:w="287" w:type="dxa"/>
            <w:vMerge/>
            <w:tcBorders>
              <w:top w:val="nil"/>
            </w:tcBorders>
          </w:tcPr>
          <w:p>
            <w:pPr>
              <w:rPr>
                <w:sz w:val="2"/>
                <w:szCs w:val="2"/>
              </w:rPr>
            </w:pPr>
          </w:p>
        </w:tc>
      </w:tr>
      <w:tr>
        <w:trPr>
          <w:trHeight w:val="195" w:hRule="atLeast"/>
        </w:trPr>
        <w:tc>
          <w:tcPr>
            <w:tcW w:w="3870" w:type="dxa"/>
          </w:tcPr>
          <w:p>
            <w:pPr>
              <w:pStyle w:val="TableParagraph"/>
              <w:spacing w:line="160" w:lineRule="exact" w:before="14"/>
              <w:ind w:right="562"/>
              <w:jc w:val="right"/>
              <w:rPr>
                <w:sz w:val="14"/>
              </w:rPr>
            </w:pPr>
            <w:r>
              <w:rPr>
                <w:sz w:val="14"/>
              </w:rPr>
              <w:t>Borrowings,</w:t>
            </w:r>
            <w:r>
              <w:rPr>
                <w:spacing w:val="-6"/>
                <w:sz w:val="14"/>
              </w:rPr>
              <w:t> </w:t>
            </w:r>
            <w:r>
              <w:rPr>
                <w:sz w:val="14"/>
              </w:rPr>
              <w:t>including</w:t>
            </w:r>
            <w:r>
              <w:rPr>
                <w:spacing w:val="-5"/>
                <w:sz w:val="14"/>
              </w:rPr>
              <w:t> </w:t>
            </w:r>
            <w:r>
              <w:rPr>
                <w:sz w:val="14"/>
              </w:rPr>
              <w:t>derivatives—Notes</w:t>
            </w:r>
            <w:r>
              <w:rPr>
                <w:spacing w:val="-5"/>
                <w:sz w:val="14"/>
              </w:rPr>
              <w:t> </w:t>
            </w:r>
            <w:r>
              <w:rPr>
                <w:sz w:val="14"/>
              </w:rPr>
              <w:t>E</w:t>
            </w:r>
            <w:r>
              <w:rPr>
                <w:spacing w:val="-5"/>
                <w:sz w:val="14"/>
              </w:rPr>
              <w:t> </w:t>
            </w:r>
            <w:r>
              <w:rPr>
                <w:sz w:val="14"/>
              </w:rPr>
              <w:t>and</w:t>
            </w:r>
            <w:r>
              <w:rPr>
                <w:spacing w:val="-5"/>
                <w:sz w:val="14"/>
              </w:rPr>
              <w:t> </w:t>
            </w:r>
            <w:r>
              <w:rPr>
                <w:spacing w:val="-10"/>
                <w:sz w:val="14"/>
              </w:rPr>
              <w:t>F</w:t>
            </w:r>
          </w:p>
        </w:tc>
        <w:tc>
          <w:tcPr>
            <w:tcW w:w="707" w:type="dxa"/>
          </w:tcPr>
          <w:p>
            <w:pPr>
              <w:pStyle w:val="TableParagraph"/>
              <w:rPr>
                <w:rFonts w:ascii="Times New Roman"/>
                <w:sz w:val="12"/>
              </w:rPr>
            </w:pPr>
          </w:p>
        </w:tc>
        <w:tc>
          <w:tcPr>
            <w:tcW w:w="1014" w:type="dxa"/>
          </w:tcPr>
          <w:p>
            <w:pPr>
              <w:pStyle w:val="TableParagraph"/>
              <w:spacing w:line="160" w:lineRule="exact" w:before="14"/>
              <w:ind w:right="85"/>
              <w:jc w:val="right"/>
              <w:rPr>
                <w:sz w:val="14"/>
              </w:rPr>
            </w:pPr>
            <w:r>
              <w:rPr>
                <w:spacing w:val="-5"/>
                <w:sz w:val="14"/>
              </w:rPr>
              <w:t>12</w:t>
            </w:r>
          </w:p>
        </w:tc>
        <w:tc>
          <w:tcPr>
            <w:tcW w:w="1155" w:type="dxa"/>
          </w:tcPr>
          <w:p>
            <w:pPr>
              <w:pStyle w:val="TableParagraph"/>
              <w:rPr>
                <w:rFonts w:ascii="Times New Roman"/>
                <w:sz w:val="12"/>
              </w:rPr>
            </w:pPr>
          </w:p>
        </w:tc>
        <w:tc>
          <w:tcPr>
            <w:tcW w:w="624" w:type="dxa"/>
          </w:tcPr>
          <w:p>
            <w:pPr>
              <w:pStyle w:val="TableParagraph"/>
              <w:spacing w:line="160" w:lineRule="exact" w:before="14"/>
              <w:ind w:right="109"/>
              <w:jc w:val="right"/>
              <w:rPr>
                <w:sz w:val="14"/>
              </w:rPr>
            </w:pPr>
            <w:r>
              <w:rPr>
                <w:spacing w:val="-5"/>
                <w:sz w:val="14"/>
              </w:rPr>
              <w:t>747</w:t>
            </w:r>
          </w:p>
        </w:tc>
        <w:tc>
          <w:tcPr>
            <w:tcW w:w="697" w:type="dxa"/>
          </w:tcPr>
          <w:p>
            <w:pPr>
              <w:pStyle w:val="TableParagraph"/>
              <w:rPr>
                <w:rFonts w:ascii="Times New Roman"/>
                <w:sz w:val="12"/>
              </w:rPr>
            </w:pPr>
          </w:p>
        </w:tc>
        <w:tc>
          <w:tcPr>
            <w:tcW w:w="1013" w:type="dxa"/>
          </w:tcPr>
          <w:p>
            <w:pPr>
              <w:pStyle w:val="TableParagraph"/>
              <w:spacing w:line="160" w:lineRule="exact" w:before="14"/>
              <w:ind w:right="64"/>
              <w:jc w:val="right"/>
              <w:rPr>
                <w:sz w:val="14"/>
              </w:rPr>
            </w:pPr>
            <w:r>
              <w:rPr>
                <w:spacing w:val="-5"/>
                <w:sz w:val="14"/>
              </w:rPr>
              <w:t>759</w:t>
            </w:r>
          </w:p>
        </w:tc>
        <w:tc>
          <w:tcPr>
            <w:tcW w:w="287" w:type="dxa"/>
          </w:tcPr>
          <w:p>
            <w:pPr>
              <w:pStyle w:val="TableParagraph"/>
              <w:spacing w:line="102" w:lineRule="exact"/>
              <w:ind w:left="47"/>
              <w:rPr>
                <w:sz w:val="9"/>
              </w:rPr>
            </w:pPr>
            <w:r>
              <w:rPr>
                <w:spacing w:val="-10"/>
                <w:sz w:val="9"/>
              </w:rPr>
              <w:t>b</w:t>
            </w:r>
          </w:p>
        </w:tc>
      </w:tr>
      <w:tr>
        <w:trPr>
          <w:trHeight w:val="200" w:hRule="atLeast"/>
        </w:trPr>
        <w:tc>
          <w:tcPr>
            <w:tcW w:w="3870" w:type="dxa"/>
          </w:tcPr>
          <w:p>
            <w:pPr>
              <w:pStyle w:val="TableParagraph"/>
              <w:spacing w:before="14"/>
              <w:ind w:left="232"/>
              <w:rPr>
                <w:sz w:val="14"/>
              </w:rPr>
            </w:pPr>
            <w:r>
              <w:rPr>
                <w:sz w:val="14"/>
              </w:rPr>
              <w:t>Client</w:t>
            </w:r>
            <w:r>
              <w:rPr>
                <w:spacing w:val="-6"/>
                <w:sz w:val="14"/>
              </w:rPr>
              <w:t> </w:t>
            </w:r>
            <w:r>
              <w:rPr>
                <w:sz w:val="14"/>
              </w:rPr>
              <w:t>operations</w:t>
            </w:r>
            <w:r>
              <w:rPr>
                <w:spacing w:val="-6"/>
                <w:sz w:val="14"/>
              </w:rPr>
              <w:t> </w:t>
            </w:r>
            <w:r>
              <w:rPr>
                <w:spacing w:val="-2"/>
                <w:sz w:val="14"/>
              </w:rPr>
              <w:t>derivatives</w:t>
            </w:r>
          </w:p>
        </w:tc>
        <w:tc>
          <w:tcPr>
            <w:tcW w:w="707" w:type="dxa"/>
          </w:tcPr>
          <w:p>
            <w:pPr>
              <w:pStyle w:val="TableParagraph"/>
              <w:rPr>
                <w:rFonts w:ascii="Times New Roman"/>
                <w:sz w:val="12"/>
              </w:rPr>
            </w:pPr>
          </w:p>
        </w:tc>
        <w:tc>
          <w:tcPr>
            <w:tcW w:w="1014" w:type="dxa"/>
          </w:tcPr>
          <w:p>
            <w:pPr>
              <w:pStyle w:val="TableParagraph"/>
              <w:spacing w:before="14"/>
              <w:ind w:right="85"/>
              <w:jc w:val="right"/>
              <w:rPr>
                <w:sz w:val="14"/>
              </w:rPr>
            </w:pPr>
            <w:r>
              <w:rPr>
                <w:sz w:val="14"/>
              </w:rPr>
              <w:t>—</w:t>
            </w:r>
          </w:p>
        </w:tc>
        <w:tc>
          <w:tcPr>
            <w:tcW w:w="1155" w:type="dxa"/>
          </w:tcPr>
          <w:p>
            <w:pPr>
              <w:pStyle w:val="TableParagraph"/>
              <w:rPr>
                <w:rFonts w:ascii="Times New Roman"/>
                <w:sz w:val="12"/>
              </w:rPr>
            </w:pPr>
          </w:p>
        </w:tc>
        <w:tc>
          <w:tcPr>
            <w:tcW w:w="624" w:type="dxa"/>
          </w:tcPr>
          <w:p>
            <w:pPr>
              <w:pStyle w:val="TableParagraph"/>
              <w:spacing w:before="14"/>
              <w:ind w:right="109"/>
              <w:jc w:val="right"/>
              <w:rPr>
                <w:sz w:val="14"/>
              </w:rPr>
            </w:pPr>
            <w:r>
              <w:rPr>
                <w:spacing w:val="-10"/>
                <w:sz w:val="14"/>
              </w:rPr>
              <w:t>8</w:t>
            </w:r>
          </w:p>
        </w:tc>
        <w:tc>
          <w:tcPr>
            <w:tcW w:w="697" w:type="dxa"/>
          </w:tcPr>
          <w:p>
            <w:pPr>
              <w:pStyle w:val="TableParagraph"/>
              <w:rPr>
                <w:rFonts w:ascii="Times New Roman"/>
                <w:sz w:val="12"/>
              </w:rPr>
            </w:pPr>
          </w:p>
        </w:tc>
        <w:tc>
          <w:tcPr>
            <w:tcW w:w="1013" w:type="dxa"/>
          </w:tcPr>
          <w:p>
            <w:pPr>
              <w:pStyle w:val="TableParagraph"/>
              <w:spacing w:before="14"/>
              <w:ind w:right="64"/>
              <w:jc w:val="right"/>
              <w:rPr>
                <w:sz w:val="14"/>
              </w:rPr>
            </w:pPr>
            <w:r>
              <w:rPr>
                <w:spacing w:val="-10"/>
                <w:sz w:val="14"/>
              </w:rPr>
              <w:t>8</w:t>
            </w:r>
          </w:p>
        </w:tc>
        <w:tc>
          <w:tcPr>
            <w:tcW w:w="287" w:type="dxa"/>
          </w:tcPr>
          <w:p>
            <w:pPr>
              <w:pStyle w:val="TableParagraph"/>
              <w:rPr>
                <w:rFonts w:ascii="Times New Roman"/>
                <w:sz w:val="12"/>
              </w:rPr>
            </w:pPr>
          </w:p>
        </w:tc>
      </w:tr>
      <w:tr>
        <w:trPr>
          <w:trHeight w:val="201" w:hRule="atLeast"/>
        </w:trPr>
        <w:tc>
          <w:tcPr>
            <w:tcW w:w="3870" w:type="dxa"/>
          </w:tcPr>
          <w:p>
            <w:pPr>
              <w:pStyle w:val="TableParagraph"/>
              <w:spacing w:line="161" w:lineRule="exact" w:before="20"/>
              <w:ind w:left="250"/>
              <w:rPr>
                <w:sz w:val="14"/>
              </w:rPr>
            </w:pPr>
            <w:r>
              <w:rPr>
                <w:sz w:val="14"/>
              </w:rPr>
              <w:t>Others,</w:t>
            </w:r>
            <w:r>
              <w:rPr>
                <w:spacing w:val="-2"/>
                <w:sz w:val="14"/>
              </w:rPr>
              <w:t> </w:t>
            </w:r>
            <w:r>
              <w:rPr>
                <w:spacing w:val="-5"/>
                <w:sz w:val="14"/>
              </w:rPr>
              <w:t>net</w:t>
            </w:r>
          </w:p>
        </w:tc>
        <w:tc>
          <w:tcPr>
            <w:tcW w:w="707" w:type="dxa"/>
            <w:tcBorders>
              <w:bottom w:val="single" w:sz="8" w:space="0" w:color="000000"/>
            </w:tcBorders>
          </w:tcPr>
          <w:p>
            <w:pPr>
              <w:pStyle w:val="TableParagraph"/>
              <w:rPr>
                <w:rFonts w:ascii="Times New Roman"/>
                <w:sz w:val="14"/>
              </w:rPr>
            </w:pPr>
          </w:p>
        </w:tc>
        <w:tc>
          <w:tcPr>
            <w:tcW w:w="1014" w:type="dxa"/>
            <w:tcBorders>
              <w:bottom w:val="single" w:sz="8" w:space="0" w:color="000000"/>
            </w:tcBorders>
          </w:tcPr>
          <w:p>
            <w:pPr>
              <w:pStyle w:val="TableParagraph"/>
              <w:spacing w:line="161" w:lineRule="exact" w:before="20"/>
              <w:ind w:right="85"/>
              <w:jc w:val="right"/>
              <w:rPr>
                <w:sz w:val="14"/>
              </w:rPr>
            </w:pPr>
            <w:r>
              <w:rPr>
                <w:sz w:val="14"/>
              </w:rPr>
              <w:t>—</w:t>
            </w:r>
          </w:p>
        </w:tc>
        <w:tc>
          <w:tcPr>
            <w:tcW w:w="1155" w:type="dxa"/>
            <w:tcBorders>
              <w:bottom w:val="single" w:sz="8" w:space="0" w:color="000000"/>
            </w:tcBorders>
          </w:tcPr>
          <w:p>
            <w:pPr>
              <w:pStyle w:val="TableParagraph"/>
              <w:rPr>
                <w:rFonts w:ascii="Times New Roman"/>
                <w:sz w:val="14"/>
              </w:rPr>
            </w:pPr>
          </w:p>
        </w:tc>
        <w:tc>
          <w:tcPr>
            <w:tcW w:w="624" w:type="dxa"/>
            <w:tcBorders>
              <w:bottom w:val="single" w:sz="8" w:space="0" w:color="000000"/>
            </w:tcBorders>
          </w:tcPr>
          <w:p>
            <w:pPr>
              <w:pStyle w:val="TableParagraph"/>
              <w:spacing w:line="161" w:lineRule="exact" w:before="20"/>
              <w:ind w:right="109"/>
              <w:jc w:val="right"/>
              <w:rPr>
                <w:sz w:val="14"/>
              </w:rPr>
            </w:pPr>
            <w:r>
              <w:rPr>
                <w:spacing w:val="-10"/>
                <w:sz w:val="14"/>
              </w:rPr>
              <w:t>5</w:t>
            </w:r>
          </w:p>
        </w:tc>
        <w:tc>
          <w:tcPr>
            <w:tcW w:w="697" w:type="dxa"/>
            <w:tcBorders>
              <w:bottom w:val="single" w:sz="8" w:space="0" w:color="000000"/>
            </w:tcBorders>
          </w:tcPr>
          <w:p>
            <w:pPr>
              <w:pStyle w:val="TableParagraph"/>
              <w:rPr>
                <w:rFonts w:ascii="Times New Roman"/>
                <w:sz w:val="14"/>
              </w:rPr>
            </w:pPr>
          </w:p>
        </w:tc>
        <w:tc>
          <w:tcPr>
            <w:tcW w:w="1013" w:type="dxa"/>
            <w:tcBorders>
              <w:bottom w:val="single" w:sz="8" w:space="0" w:color="000000"/>
            </w:tcBorders>
          </w:tcPr>
          <w:p>
            <w:pPr>
              <w:pStyle w:val="TableParagraph"/>
              <w:spacing w:line="161" w:lineRule="exact" w:before="20"/>
              <w:ind w:right="64"/>
              <w:jc w:val="right"/>
              <w:rPr>
                <w:sz w:val="14"/>
              </w:rPr>
            </w:pPr>
            <w:r>
              <w:rPr>
                <w:spacing w:val="-10"/>
                <w:sz w:val="14"/>
              </w:rPr>
              <w:t>5</w:t>
            </w:r>
          </w:p>
        </w:tc>
        <w:tc>
          <w:tcPr>
            <w:tcW w:w="287" w:type="dxa"/>
          </w:tcPr>
          <w:p>
            <w:pPr>
              <w:pStyle w:val="TableParagraph"/>
              <w:rPr>
                <w:rFonts w:ascii="Times New Roman"/>
                <w:sz w:val="14"/>
              </w:rPr>
            </w:pPr>
          </w:p>
        </w:tc>
      </w:tr>
      <w:tr>
        <w:trPr>
          <w:trHeight w:val="155" w:hRule="atLeast"/>
        </w:trPr>
        <w:tc>
          <w:tcPr>
            <w:tcW w:w="3870" w:type="dxa"/>
          </w:tcPr>
          <w:p>
            <w:pPr>
              <w:pStyle w:val="TableParagraph"/>
              <w:spacing w:line="122" w:lineRule="exact" w:before="13"/>
              <w:ind w:left="52"/>
              <w:rPr>
                <w:rFonts w:ascii="Arial"/>
                <w:b/>
                <w:sz w:val="14"/>
              </w:rPr>
            </w:pPr>
            <w:r>
              <w:rPr>
                <w:rFonts w:ascii="Arial"/>
                <w:b/>
                <w:sz w:val="14"/>
              </w:rPr>
              <w:t>Total</w:t>
            </w:r>
            <w:r>
              <w:rPr>
                <w:rFonts w:ascii="Arial"/>
                <w:b/>
                <w:spacing w:val="-2"/>
                <w:sz w:val="14"/>
              </w:rPr>
              <w:t> </w:t>
            </w:r>
            <w:r>
              <w:rPr>
                <w:rFonts w:ascii="Arial"/>
                <w:b/>
                <w:sz w:val="14"/>
              </w:rPr>
              <w:t>non-trading</w:t>
            </w:r>
            <w:r>
              <w:rPr>
                <w:rFonts w:ascii="Arial"/>
                <w:b/>
                <w:spacing w:val="-2"/>
                <w:sz w:val="14"/>
              </w:rPr>
              <w:t> </w:t>
            </w:r>
            <w:r>
              <w:rPr>
                <w:rFonts w:ascii="Arial"/>
                <w:b/>
                <w:sz w:val="14"/>
              </w:rPr>
              <w:t>portfolios,</w:t>
            </w:r>
            <w:r>
              <w:rPr>
                <w:rFonts w:ascii="Arial"/>
                <w:b/>
                <w:spacing w:val="-1"/>
                <w:sz w:val="14"/>
              </w:rPr>
              <w:t> </w:t>
            </w:r>
            <w:r>
              <w:rPr>
                <w:rFonts w:ascii="Arial"/>
                <w:b/>
                <w:spacing w:val="-5"/>
                <w:sz w:val="14"/>
              </w:rPr>
              <w:t>net</w:t>
            </w:r>
          </w:p>
        </w:tc>
        <w:tc>
          <w:tcPr>
            <w:tcW w:w="707" w:type="dxa"/>
            <w:tcBorders>
              <w:top w:val="single" w:sz="8" w:space="0" w:color="000000"/>
              <w:bottom w:val="double" w:sz="8" w:space="0" w:color="000000"/>
            </w:tcBorders>
          </w:tcPr>
          <w:p>
            <w:pPr>
              <w:pStyle w:val="TableParagraph"/>
              <w:spacing w:line="122" w:lineRule="exact" w:before="13"/>
              <w:ind w:left="52"/>
              <w:rPr>
                <w:sz w:val="14"/>
              </w:rPr>
            </w:pPr>
            <w:r>
              <w:rPr>
                <w:spacing w:val="-10"/>
                <w:sz w:val="14"/>
              </w:rPr>
              <w:t>$</w:t>
            </w:r>
          </w:p>
        </w:tc>
        <w:tc>
          <w:tcPr>
            <w:tcW w:w="1014" w:type="dxa"/>
            <w:tcBorders>
              <w:top w:val="single" w:sz="8" w:space="0" w:color="000000"/>
              <w:bottom w:val="double" w:sz="8" w:space="0" w:color="000000"/>
            </w:tcBorders>
          </w:tcPr>
          <w:p>
            <w:pPr>
              <w:pStyle w:val="TableParagraph"/>
              <w:spacing w:line="122" w:lineRule="exact" w:before="13"/>
              <w:ind w:right="85"/>
              <w:jc w:val="right"/>
              <w:rPr>
                <w:sz w:val="14"/>
              </w:rPr>
            </w:pPr>
            <w:r>
              <w:rPr>
                <w:spacing w:val="-5"/>
                <w:sz w:val="14"/>
              </w:rPr>
              <w:t>18</w:t>
            </w:r>
          </w:p>
        </w:tc>
        <w:tc>
          <w:tcPr>
            <w:tcW w:w="1155" w:type="dxa"/>
            <w:tcBorders>
              <w:top w:val="single" w:sz="8" w:space="0" w:color="000000"/>
              <w:bottom w:val="double" w:sz="8" w:space="0" w:color="000000"/>
            </w:tcBorders>
          </w:tcPr>
          <w:p>
            <w:pPr>
              <w:pStyle w:val="TableParagraph"/>
              <w:spacing w:line="122" w:lineRule="exact" w:before="13"/>
              <w:ind w:left="86"/>
              <w:rPr>
                <w:sz w:val="14"/>
              </w:rPr>
            </w:pPr>
            <w:r>
              <w:rPr>
                <w:spacing w:val="-10"/>
                <w:sz w:val="14"/>
              </w:rPr>
              <w:t>$</w:t>
            </w:r>
          </w:p>
        </w:tc>
        <w:tc>
          <w:tcPr>
            <w:tcW w:w="624" w:type="dxa"/>
            <w:tcBorders>
              <w:top w:val="single" w:sz="8" w:space="0" w:color="000000"/>
              <w:bottom w:val="double" w:sz="8" w:space="0" w:color="000000"/>
            </w:tcBorders>
          </w:tcPr>
          <w:p>
            <w:pPr>
              <w:pStyle w:val="TableParagraph"/>
              <w:spacing w:line="122" w:lineRule="exact" w:before="13"/>
              <w:ind w:right="109"/>
              <w:jc w:val="right"/>
              <w:rPr>
                <w:sz w:val="14"/>
              </w:rPr>
            </w:pPr>
            <w:r>
              <w:rPr>
                <w:spacing w:val="-2"/>
                <w:sz w:val="14"/>
              </w:rPr>
              <w:t>3,356</w:t>
            </w:r>
          </w:p>
        </w:tc>
        <w:tc>
          <w:tcPr>
            <w:tcW w:w="697" w:type="dxa"/>
            <w:tcBorders>
              <w:top w:val="single" w:sz="8" w:space="0" w:color="000000"/>
              <w:bottom w:val="double" w:sz="8" w:space="0" w:color="000000"/>
            </w:tcBorders>
          </w:tcPr>
          <w:p>
            <w:pPr>
              <w:pStyle w:val="TableParagraph"/>
              <w:spacing w:line="122" w:lineRule="exact" w:before="13"/>
              <w:ind w:left="62"/>
              <w:rPr>
                <w:sz w:val="14"/>
              </w:rPr>
            </w:pPr>
            <w:r>
              <w:rPr>
                <w:spacing w:val="-10"/>
                <w:sz w:val="14"/>
              </w:rPr>
              <w:t>$</w:t>
            </w:r>
          </w:p>
        </w:tc>
        <w:tc>
          <w:tcPr>
            <w:tcW w:w="1013" w:type="dxa"/>
            <w:tcBorders>
              <w:top w:val="single" w:sz="8" w:space="0" w:color="000000"/>
              <w:bottom w:val="double" w:sz="8" w:space="0" w:color="000000"/>
            </w:tcBorders>
          </w:tcPr>
          <w:p>
            <w:pPr>
              <w:pStyle w:val="TableParagraph"/>
              <w:spacing w:line="122" w:lineRule="exact" w:before="13"/>
              <w:ind w:right="64"/>
              <w:jc w:val="right"/>
              <w:rPr>
                <w:sz w:val="14"/>
              </w:rPr>
            </w:pPr>
            <w:r>
              <w:rPr>
                <w:spacing w:val="-2"/>
                <w:sz w:val="14"/>
              </w:rPr>
              <w:t>3,374</w:t>
            </w:r>
          </w:p>
        </w:tc>
        <w:tc>
          <w:tcPr>
            <w:tcW w:w="287" w:type="dxa"/>
          </w:tcPr>
          <w:p>
            <w:pPr>
              <w:pStyle w:val="TableParagraph"/>
              <w:rPr>
                <w:rFonts w:ascii="Times New Roman"/>
                <w:sz w:val="10"/>
              </w:rPr>
            </w:pPr>
          </w:p>
        </w:tc>
      </w:tr>
      <w:tr>
        <w:trPr>
          <w:trHeight w:val="155" w:hRule="atLeast"/>
        </w:trPr>
        <w:tc>
          <w:tcPr>
            <w:tcW w:w="3870" w:type="dxa"/>
            <w:tcBorders>
              <w:bottom w:val="single" w:sz="8" w:space="0" w:color="000000"/>
            </w:tcBorders>
          </w:tcPr>
          <w:p>
            <w:pPr>
              <w:pStyle w:val="TableParagraph"/>
              <w:rPr>
                <w:rFonts w:ascii="Times New Roman"/>
                <w:sz w:val="10"/>
              </w:rPr>
            </w:pPr>
          </w:p>
        </w:tc>
        <w:tc>
          <w:tcPr>
            <w:tcW w:w="707" w:type="dxa"/>
            <w:tcBorders>
              <w:top w:val="double" w:sz="8" w:space="0" w:color="000000"/>
              <w:bottom w:val="single" w:sz="8" w:space="0" w:color="000000"/>
            </w:tcBorders>
          </w:tcPr>
          <w:p>
            <w:pPr>
              <w:pStyle w:val="TableParagraph"/>
              <w:rPr>
                <w:rFonts w:ascii="Times New Roman"/>
                <w:sz w:val="10"/>
              </w:rPr>
            </w:pPr>
          </w:p>
        </w:tc>
        <w:tc>
          <w:tcPr>
            <w:tcW w:w="1014" w:type="dxa"/>
            <w:tcBorders>
              <w:top w:val="double" w:sz="8" w:space="0" w:color="000000"/>
              <w:bottom w:val="single" w:sz="8" w:space="0" w:color="000000"/>
            </w:tcBorders>
          </w:tcPr>
          <w:p>
            <w:pPr>
              <w:pStyle w:val="TableParagraph"/>
              <w:rPr>
                <w:rFonts w:ascii="Times New Roman"/>
                <w:sz w:val="10"/>
              </w:rPr>
            </w:pPr>
          </w:p>
        </w:tc>
        <w:tc>
          <w:tcPr>
            <w:tcW w:w="1155" w:type="dxa"/>
            <w:tcBorders>
              <w:top w:val="double" w:sz="8" w:space="0" w:color="000000"/>
              <w:bottom w:val="single" w:sz="8" w:space="0" w:color="000000"/>
            </w:tcBorders>
          </w:tcPr>
          <w:p>
            <w:pPr>
              <w:pStyle w:val="TableParagraph"/>
              <w:rPr>
                <w:rFonts w:ascii="Times New Roman"/>
                <w:sz w:val="10"/>
              </w:rPr>
            </w:pPr>
          </w:p>
        </w:tc>
        <w:tc>
          <w:tcPr>
            <w:tcW w:w="624" w:type="dxa"/>
            <w:tcBorders>
              <w:top w:val="double" w:sz="8" w:space="0" w:color="000000"/>
              <w:bottom w:val="single" w:sz="8" w:space="0" w:color="000000"/>
            </w:tcBorders>
          </w:tcPr>
          <w:p>
            <w:pPr>
              <w:pStyle w:val="TableParagraph"/>
              <w:rPr>
                <w:rFonts w:ascii="Times New Roman"/>
                <w:sz w:val="10"/>
              </w:rPr>
            </w:pPr>
          </w:p>
        </w:tc>
        <w:tc>
          <w:tcPr>
            <w:tcW w:w="697" w:type="dxa"/>
            <w:tcBorders>
              <w:top w:val="double" w:sz="8" w:space="0" w:color="000000"/>
              <w:bottom w:val="single" w:sz="8" w:space="0" w:color="000000"/>
            </w:tcBorders>
          </w:tcPr>
          <w:p>
            <w:pPr>
              <w:pStyle w:val="TableParagraph"/>
              <w:rPr>
                <w:rFonts w:ascii="Times New Roman"/>
                <w:sz w:val="10"/>
              </w:rPr>
            </w:pPr>
          </w:p>
        </w:tc>
        <w:tc>
          <w:tcPr>
            <w:tcW w:w="1013" w:type="dxa"/>
            <w:tcBorders>
              <w:top w:val="double" w:sz="8" w:space="0" w:color="000000"/>
              <w:bottom w:val="single" w:sz="8" w:space="0" w:color="000000"/>
            </w:tcBorders>
          </w:tcPr>
          <w:p>
            <w:pPr>
              <w:pStyle w:val="TableParagraph"/>
              <w:rPr>
                <w:rFonts w:ascii="Times New Roman"/>
                <w:sz w:val="10"/>
              </w:rPr>
            </w:pPr>
          </w:p>
        </w:tc>
        <w:tc>
          <w:tcPr>
            <w:tcW w:w="287" w:type="dxa"/>
            <w:tcBorders>
              <w:bottom w:val="single" w:sz="8" w:space="0" w:color="000000"/>
            </w:tcBorders>
          </w:tcPr>
          <w:p>
            <w:pPr>
              <w:pStyle w:val="TableParagraph"/>
              <w:rPr>
                <w:rFonts w:ascii="Times New Roman"/>
                <w:sz w:val="10"/>
              </w:rPr>
            </w:pPr>
          </w:p>
        </w:tc>
      </w:tr>
      <w:tr>
        <w:trPr>
          <w:trHeight w:val="175" w:hRule="atLeast"/>
        </w:trPr>
        <w:tc>
          <w:tcPr>
            <w:tcW w:w="3870" w:type="dxa"/>
            <w:tcBorders>
              <w:top w:val="single" w:sz="8" w:space="0" w:color="000000"/>
              <w:bottom w:val="single" w:sz="8" w:space="0" w:color="000000"/>
            </w:tcBorders>
          </w:tcPr>
          <w:p>
            <w:pPr>
              <w:pStyle w:val="TableParagraph"/>
              <w:spacing w:line="142" w:lineRule="exact" w:before="13"/>
              <w:ind w:left="52"/>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c>
        <w:tc>
          <w:tcPr>
            <w:tcW w:w="707" w:type="dxa"/>
            <w:tcBorders>
              <w:top w:val="single" w:sz="8" w:space="0" w:color="000000"/>
              <w:bottom w:val="single" w:sz="8" w:space="0" w:color="000000"/>
            </w:tcBorders>
          </w:tcPr>
          <w:p>
            <w:pPr>
              <w:pStyle w:val="TableParagraph"/>
              <w:rPr>
                <w:rFonts w:ascii="Times New Roman"/>
                <w:sz w:val="10"/>
              </w:rPr>
            </w:pPr>
          </w:p>
        </w:tc>
        <w:tc>
          <w:tcPr>
            <w:tcW w:w="1014" w:type="dxa"/>
            <w:tcBorders>
              <w:top w:val="single" w:sz="8" w:space="0" w:color="000000"/>
              <w:bottom w:val="single" w:sz="8" w:space="0" w:color="000000"/>
            </w:tcBorders>
          </w:tcPr>
          <w:p>
            <w:pPr>
              <w:pStyle w:val="TableParagraph"/>
              <w:rPr>
                <w:rFonts w:ascii="Times New Roman"/>
                <w:sz w:val="10"/>
              </w:rPr>
            </w:pPr>
          </w:p>
        </w:tc>
        <w:tc>
          <w:tcPr>
            <w:tcW w:w="1155" w:type="dxa"/>
            <w:tcBorders>
              <w:top w:val="single" w:sz="8" w:space="0" w:color="000000"/>
              <w:bottom w:val="single" w:sz="8" w:space="0" w:color="000000"/>
            </w:tcBorders>
          </w:tcPr>
          <w:p>
            <w:pPr>
              <w:pStyle w:val="TableParagraph"/>
              <w:rPr>
                <w:rFonts w:ascii="Times New Roman"/>
                <w:sz w:val="10"/>
              </w:rPr>
            </w:pPr>
          </w:p>
        </w:tc>
        <w:tc>
          <w:tcPr>
            <w:tcW w:w="624" w:type="dxa"/>
            <w:tcBorders>
              <w:top w:val="single" w:sz="8" w:space="0" w:color="000000"/>
              <w:bottom w:val="single" w:sz="8" w:space="0" w:color="000000"/>
            </w:tcBorders>
          </w:tcPr>
          <w:p>
            <w:pPr>
              <w:pStyle w:val="TableParagraph"/>
              <w:rPr>
                <w:rFonts w:ascii="Times New Roman"/>
                <w:sz w:val="10"/>
              </w:rPr>
            </w:pPr>
          </w:p>
        </w:tc>
        <w:tc>
          <w:tcPr>
            <w:tcW w:w="697" w:type="dxa"/>
            <w:tcBorders>
              <w:top w:val="single" w:sz="8" w:space="0" w:color="000000"/>
              <w:bottom w:val="single" w:sz="8" w:space="0" w:color="000000"/>
            </w:tcBorders>
          </w:tcPr>
          <w:p>
            <w:pPr>
              <w:pStyle w:val="TableParagraph"/>
              <w:rPr>
                <w:rFonts w:ascii="Times New Roman"/>
                <w:sz w:val="10"/>
              </w:rPr>
            </w:pPr>
          </w:p>
        </w:tc>
        <w:tc>
          <w:tcPr>
            <w:tcW w:w="1013" w:type="dxa"/>
            <w:tcBorders>
              <w:top w:val="single" w:sz="8" w:space="0" w:color="000000"/>
              <w:bottom w:val="single" w:sz="8" w:space="0" w:color="000000"/>
            </w:tcBorders>
          </w:tcPr>
          <w:p>
            <w:pPr>
              <w:pStyle w:val="TableParagraph"/>
              <w:rPr>
                <w:rFonts w:ascii="Times New Roman"/>
                <w:sz w:val="10"/>
              </w:rPr>
            </w:pPr>
          </w:p>
        </w:tc>
        <w:tc>
          <w:tcPr>
            <w:tcW w:w="287" w:type="dxa"/>
            <w:tcBorders>
              <w:top w:val="single" w:sz="8" w:space="0" w:color="000000"/>
              <w:bottom w:val="single" w:sz="8" w:space="0" w:color="000000"/>
            </w:tcBorders>
          </w:tcPr>
          <w:p>
            <w:pPr>
              <w:pStyle w:val="TableParagraph"/>
              <w:rPr>
                <w:rFonts w:ascii="Times New Roman"/>
                <w:sz w:val="10"/>
              </w:rPr>
            </w:pPr>
          </w:p>
        </w:tc>
      </w:tr>
      <w:tr>
        <w:trPr>
          <w:trHeight w:val="175" w:hRule="atLeast"/>
        </w:trPr>
        <w:tc>
          <w:tcPr>
            <w:tcW w:w="3870" w:type="dxa"/>
            <w:tcBorders>
              <w:top w:val="single" w:sz="8" w:space="0" w:color="000000"/>
            </w:tcBorders>
          </w:tcPr>
          <w:p>
            <w:pPr>
              <w:pStyle w:val="TableParagraph"/>
              <w:rPr>
                <w:rFonts w:ascii="Times New Roman"/>
                <w:sz w:val="10"/>
              </w:rPr>
            </w:pPr>
          </w:p>
        </w:tc>
        <w:tc>
          <w:tcPr>
            <w:tcW w:w="707" w:type="dxa"/>
            <w:tcBorders>
              <w:top w:val="single" w:sz="8" w:space="0" w:color="000000"/>
              <w:bottom w:val="single" w:sz="8" w:space="0" w:color="000000"/>
            </w:tcBorders>
          </w:tcPr>
          <w:p>
            <w:pPr>
              <w:pStyle w:val="TableParagraph"/>
              <w:rPr>
                <w:rFonts w:ascii="Times New Roman"/>
                <w:sz w:val="10"/>
              </w:rPr>
            </w:pPr>
          </w:p>
        </w:tc>
        <w:tc>
          <w:tcPr>
            <w:tcW w:w="1014" w:type="dxa"/>
            <w:tcBorders>
              <w:top w:val="single" w:sz="8" w:space="0" w:color="000000"/>
              <w:bottom w:val="single" w:sz="8" w:space="0" w:color="000000"/>
            </w:tcBorders>
          </w:tcPr>
          <w:p>
            <w:pPr>
              <w:pStyle w:val="TableParagraph"/>
              <w:rPr>
                <w:rFonts w:ascii="Times New Roman"/>
                <w:sz w:val="10"/>
              </w:rPr>
            </w:pPr>
          </w:p>
        </w:tc>
        <w:tc>
          <w:tcPr>
            <w:tcW w:w="1155" w:type="dxa"/>
            <w:tcBorders>
              <w:top w:val="single" w:sz="8" w:space="0" w:color="000000"/>
              <w:bottom w:val="single" w:sz="8" w:space="0" w:color="000000"/>
            </w:tcBorders>
          </w:tcPr>
          <w:p>
            <w:pPr>
              <w:pStyle w:val="TableParagraph"/>
              <w:spacing w:line="142" w:lineRule="exact" w:before="13"/>
              <w:ind w:left="725"/>
              <w:rPr>
                <w:rFonts w:ascii="Arial"/>
                <w:i/>
                <w:sz w:val="14"/>
              </w:rPr>
            </w:pPr>
            <w:r>
              <w:rPr>
                <w:rFonts w:ascii="Arial"/>
                <w:i/>
                <w:spacing w:val="-4"/>
                <w:sz w:val="14"/>
              </w:rPr>
              <w:t>2021</w:t>
            </w:r>
          </w:p>
        </w:tc>
        <w:tc>
          <w:tcPr>
            <w:tcW w:w="624" w:type="dxa"/>
            <w:tcBorders>
              <w:top w:val="single" w:sz="8" w:space="0" w:color="000000"/>
              <w:bottom w:val="single" w:sz="8" w:space="0" w:color="000000"/>
            </w:tcBorders>
          </w:tcPr>
          <w:p>
            <w:pPr>
              <w:pStyle w:val="TableParagraph"/>
              <w:rPr>
                <w:rFonts w:ascii="Times New Roman"/>
                <w:sz w:val="10"/>
              </w:rPr>
            </w:pPr>
          </w:p>
        </w:tc>
        <w:tc>
          <w:tcPr>
            <w:tcW w:w="697" w:type="dxa"/>
            <w:tcBorders>
              <w:top w:val="single" w:sz="8" w:space="0" w:color="000000"/>
              <w:bottom w:val="single" w:sz="8" w:space="0" w:color="000000"/>
            </w:tcBorders>
          </w:tcPr>
          <w:p>
            <w:pPr>
              <w:pStyle w:val="TableParagraph"/>
              <w:rPr>
                <w:rFonts w:ascii="Times New Roman"/>
                <w:sz w:val="10"/>
              </w:rPr>
            </w:pPr>
          </w:p>
        </w:tc>
        <w:tc>
          <w:tcPr>
            <w:tcW w:w="1013" w:type="dxa"/>
            <w:tcBorders>
              <w:top w:val="single" w:sz="8" w:space="0" w:color="000000"/>
              <w:bottom w:val="single" w:sz="8" w:space="0" w:color="000000"/>
            </w:tcBorders>
          </w:tcPr>
          <w:p>
            <w:pPr>
              <w:pStyle w:val="TableParagraph"/>
              <w:rPr>
                <w:rFonts w:ascii="Times New Roman"/>
                <w:sz w:val="10"/>
              </w:rPr>
            </w:pPr>
          </w:p>
        </w:tc>
        <w:tc>
          <w:tcPr>
            <w:tcW w:w="287" w:type="dxa"/>
            <w:tcBorders>
              <w:top w:val="single" w:sz="8" w:space="0" w:color="000000"/>
            </w:tcBorders>
          </w:tcPr>
          <w:p>
            <w:pPr>
              <w:pStyle w:val="TableParagraph"/>
              <w:rPr>
                <w:rFonts w:ascii="Times New Roman"/>
                <w:sz w:val="10"/>
              </w:rPr>
            </w:pPr>
          </w:p>
        </w:tc>
      </w:tr>
    </w:tbl>
    <w:p>
      <w:pPr>
        <w:pStyle w:val="TableParagraph"/>
        <w:spacing w:after="0"/>
        <w:rPr>
          <w:rFonts w:ascii="Times New Roman"/>
          <w:sz w:val="10"/>
        </w:rPr>
        <w:sectPr>
          <w:type w:val="continuous"/>
          <w:pgSz w:w="12240" w:h="15840"/>
          <w:pgMar w:header="0" w:footer="528" w:top="1820" w:bottom="280" w:left="720" w:right="720"/>
        </w:sectPr>
      </w:pPr>
    </w:p>
    <w:p>
      <w:pPr>
        <w:pStyle w:val="BodyText"/>
        <w:rPr>
          <w:rFonts w:ascii="Arial"/>
          <w:i/>
          <w:sz w:val="14"/>
        </w:rPr>
      </w:pPr>
    </w:p>
    <w:p>
      <w:pPr>
        <w:pStyle w:val="BodyText"/>
        <w:spacing w:before="24"/>
        <w:rPr>
          <w:rFonts w:ascii="Arial"/>
          <w:i/>
          <w:sz w:val="14"/>
        </w:rPr>
      </w:pPr>
    </w:p>
    <w:p>
      <w:pPr>
        <w:spacing w:before="0"/>
        <w:ind w:left="0" w:right="0" w:firstLine="0"/>
        <w:jc w:val="right"/>
        <w:rPr>
          <w:rFonts w:ascii="Arial"/>
          <w:i/>
          <w:sz w:val="14"/>
        </w:rPr>
      </w:pPr>
      <w:r>
        <w:rPr>
          <w:rFonts w:ascii="Arial"/>
          <w:i/>
          <w:sz w:val="14"/>
        </w:rPr>
        <w:t>Realized</w:t>
      </w:r>
      <w:r>
        <w:rPr>
          <w:rFonts w:ascii="Arial"/>
          <w:i/>
          <w:spacing w:val="-7"/>
          <w:sz w:val="14"/>
        </w:rPr>
        <w:t> </w:t>
      </w:r>
      <w:r>
        <w:rPr>
          <w:rFonts w:ascii="Arial"/>
          <w:i/>
          <w:sz w:val="14"/>
        </w:rPr>
        <w:t>gains</w:t>
      </w:r>
      <w:r>
        <w:rPr>
          <w:rFonts w:ascii="Arial"/>
          <w:i/>
          <w:spacing w:val="-5"/>
          <w:sz w:val="14"/>
        </w:rPr>
        <w:t> </w:t>
      </w:r>
      <w:r>
        <w:rPr>
          <w:rFonts w:ascii="Arial"/>
          <w:i/>
          <w:spacing w:val="-2"/>
          <w:sz w:val="14"/>
        </w:rPr>
        <w:t>(losses)</w:t>
      </w:r>
    </w:p>
    <w:p>
      <w:pPr>
        <w:spacing w:line="249" w:lineRule="auto" w:before="10"/>
        <w:ind w:left="431" w:right="2269" w:hanging="226"/>
        <w:jc w:val="left"/>
        <w:rPr>
          <w:rFonts w:ascii="Arial"/>
          <w:i/>
          <w:sz w:val="14"/>
        </w:rPr>
      </w:pPr>
      <w:r>
        <w:rPr/>
        <w:br w:type="column"/>
      </w:r>
      <w:r>
        <w:rPr>
          <w:rFonts w:ascii="Arial"/>
          <w:i/>
          <w:sz w:val="14"/>
        </w:rPr>
        <w:t>Unrealized</w:t>
      </w:r>
      <w:r>
        <w:rPr>
          <w:rFonts w:ascii="Arial"/>
          <w:i/>
          <w:spacing w:val="-10"/>
          <w:sz w:val="14"/>
        </w:rPr>
        <w:t> </w:t>
      </w:r>
      <w:r>
        <w:rPr>
          <w:rFonts w:ascii="Arial"/>
          <w:i/>
          <w:sz w:val="14"/>
        </w:rPr>
        <w:t>gains</w:t>
      </w:r>
      <w:r>
        <w:rPr>
          <w:rFonts w:ascii="Arial"/>
          <w:i/>
          <w:spacing w:val="-10"/>
          <w:sz w:val="14"/>
        </w:rPr>
        <w:t> </w:t>
      </w:r>
      <w:r>
        <w:rPr>
          <w:rFonts w:ascii="Arial"/>
          <w:i/>
          <w:sz w:val="14"/>
        </w:rPr>
        <w:t>(losses)</w:t>
      </w:r>
      <w:r>
        <w:rPr>
          <w:rFonts w:ascii="Arial"/>
          <w:i/>
          <w:spacing w:val="40"/>
          <w:sz w:val="14"/>
        </w:rPr>
        <w:t> </w:t>
      </w:r>
      <w:r>
        <w:rPr>
          <w:rFonts w:ascii="Arial"/>
          <w:i/>
          <w:sz w:val="14"/>
        </w:rPr>
        <w:t>excluding</w:t>
      </w:r>
      <w:r>
        <w:rPr>
          <w:rFonts w:ascii="Arial"/>
          <w:i/>
          <w:spacing w:val="-2"/>
          <w:sz w:val="14"/>
        </w:rPr>
        <w:t> </w:t>
      </w:r>
      <w:r>
        <w:rPr>
          <w:rFonts w:ascii="Arial"/>
          <w:i/>
          <w:sz w:val="14"/>
        </w:rPr>
        <w:t>realized</w:t>
      </w:r>
    </w:p>
    <w:p>
      <w:pPr>
        <w:tabs>
          <w:tab w:pos="1960" w:val="left" w:leader="none"/>
        </w:tabs>
        <w:spacing w:before="1"/>
        <w:ind w:left="677" w:right="0" w:firstLine="0"/>
        <w:jc w:val="left"/>
        <w:rPr>
          <w:rFonts w:ascii="Arial"/>
          <w:i/>
          <w:sz w:val="14"/>
        </w:rPr>
      </w:pPr>
      <w:r>
        <w:rPr>
          <w:rFonts w:ascii="Arial"/>
          <w:i/>
          <w:sz w:val="14"/>
        </w:rPr>
        <w:t>amounts</w:t>
      </w:r>
      <w:r>
        <w:rPr>
          <w:rFonts w:ascii="Arial"/>
          <w:i/>
          <w:spacing w:val="-5"/>
          <w:sz w:val="14"/>
        </w:rPr>
        <w:t> </w:t>
      </w:r>
      <w:r>
        <w:rPr>
          <w:rFonts w:ascii="Arial"/>
          <w:i/>
          <w:spacing w:val="-10"/>
          <w:sz w:val="14"/>
          <w:vertAlign w:val="superscript"/>
        </w:rPr>
        <w:t>a</w:t>
      </w:r>
      <w:r>
        <w:rPr>
          <w:rFonts w:ascii="Arial"/>
          <w:i/>
          <w:sz w:val="14"/>
          <w:vertAlign w:val="baseline"/>
        </w:rPr>
        <w:tab/>
        <w:t>Unrealized</w:t>
      </w:r>
      <w:r>
        <w:rPr>
          <w:rFonts w:ascii="Arial"/>
          <w:i/>
          <w:spacing w:val="-6"/>
          <w:sz w:val="14"/>
          <w:vertAlign w:val="baseline"/>
        </w:rPr>
        <w:t> </w:t>
      </w:r>
      <w:r>
        <w:rPr>
          <w:rFonts w:ascii="Arial"/>
          <w:i/>
          <w:sz w:val="14"/>
          <w:vertAlign w:val="baseline"/>
        </w:rPr>
        <w:t>gains</w:t>
      </w:r>
      <w:r>
        <w:rPr>
          <w:rFonts w:ascii="Arial"/>
          <w:i/>
          <w:spacing w:val="-5"/>
          <w:sz w:val="14"/>
          <w:vertAlign w:val="baseline"/>
        </w:rPr>
        <w:t> </w:t>
      </w:r>
      <w:r>
        <w:rPr>
          <w:rFonts w:ascii="Arial"/>
          <w:i/>
          <w:spacing w:val="-2"/>
          <w:sz w:val="14"/>
          <w:vertAlign w:val="baseline"/>
        </w:rPr>
        <w:t>(losses)</w:t>
      </w:r>
    </w:p>
    <w:p>
      <w:pPr>
        <w:spacing w:after="0"/>
        <w:jc w:val="left"/>
        <w:rPr>
          <w:rFonts w:ascii="Arial"/>
          <w:i/>
          <w:sz w:val="14"/>
        </w:rPr>
        <w:sectPr>
          <w:type w:val="continuous"/>
          <w:pgSz w:w="12240" w:h="15840"/>
          <w:pgMar w:header="0" w:footer="528" w:top="1820" w:bottom="280" w:left="720" w:right="720"/>
          <w:cols w:num="2" w:equalWidth="0">
            <w:col w:w="6162" w:space="40"/>
            <w:col w:w="4598"/>
          </w:cols>
        </w:sectPr>
      </w:pPr>
    </w:p>
    <w:p>
      <w:pPr>
        <w:pStyle w:val="BodyText"/>
        <w:spacing w:before="6"/>
        <w:rPr>
          <w:rFonts w:ascii="Arial"/>
          <w:i/>
          <w:sz w:val="2"/>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70"/>
        <w:gridCol w:w="742"/>
        <w:gridCol w:w="1001"/>
        <w:gridCol w:w="696"/>
        <w:gridCol w:w="1059"/>
        <w:gridCol w:w="695"/>
        <w:gridCol w:w="1011"/>
        <w:gridCol w:w="285"/>
      </w:tblGrid>
      <w:tr>
        <w:trPr>
          <w:trHeight w:val="175" w:hRule="atLeast"/>
        </w:trPr>
        <w:tc>
          <w:tcPr>
            <w:tcW w:w="3870" w:type="dxa"/>
          </w:tcPr>
          <w:p>
            <w:pPr>
              <w:pStyle w:val="TableParagraph"/>
              <w:spacing w:line="142" w:lineRule="exact" w:before="13"/>
              <w:ind w:left="52"/>
              <w:rPr>
                <w:rFonts w:ascii="Arial"/>
                <w:b/>
                <w:sz w:val="14"/>
              </w:rPr>
            </w:pPr>
            <w:r>
              <w:rPr>
                <w:rFonts w:ascii="Arial"/>
                <w:b/>
                <w:spacing w:val="-2"/>
                <w:sz w:val="14"/>
              </w:rPr>
              <w:t>Investments-Trading</w:t>
            </w:r>
          </w:p>
        </w:tc>
        <w:tc>
          <w:tcPr>
            <w:tcW w:w="742" w:type="dxa"/>
            <w:tcBorders>
              <w:top w:val="single" w:sz="8" w:space="0" w:color="000000"/>
              <w:bottom w:val="single" w:sz="8" w:space="0" w:color="000000"/>
            </w:tcBorders>
          </w:tcPr>
          <w:p>
            <w:pPr>
              <w:pStyle w:val="TableParagraph"/>
              <w:spacing w:line="142" w:lineRule="exact" w:before="13"/>
              <w:ind w:left="52"/>
              <w:rPr>
                <w:sz w:val="14"/>
              </w:rPr>
            </w:pPr>
            <w:r>
              <w:rPr>
                <w:spacing w:val="-10"/>
                <w:sz w:val="14"/>
              </w:rPr>
              <w:t>$</w:t>
            </w:r>
          </w:p>
        </w:tc>
        <w:tc>
          <w:tcPr>
            <w:tcW w:w="1001" w:type="dxa"/>
            <w:tcBorders>
              <w:top w:val="single" w:sz="8" w:space="0" w:color="000000"/>
              <w:bottom w:val="single" w:sz="8" w:space="0" w:color="000000"/>
            </w:tcBorders>
          </w:tcPr>
          <w:p>
            <w:pPr>
              <w:pStyle w:val="TableParagraph"/>
              <w:spacing w:line="142" w:lineRule="exact" w:before="13"/>
              <w:ind w:right="60"/>
              <w:jc w:val="right"/>
              <w:rPr>
                <w:sz w:val="14"/>
              </w:rPr>
            </w:pPr>
            <w:r>
              <w:rPr>
                <w:spacing w:val="-2"/>
                <w:sz w:val="14"/>
              </w:rPr>
              <w:t>(672)</w:t>
            </w:r>
          </w:p>
        </w:tc>
        <w:tc>
          <w:tcPr>
            <w:tcW w:w="696" w:type="dxa"/>
            <w:tcBorders>
              <w:top w:val="single" w:sz="8" w:space="0" w:color="000000"/>
              <w:bottom w:val="single" w:sz="8" w:space="0" w:color="000000"/>
            </w:tcBorders>
          </w:tcPr>
          <w:p>
            <w:pPr>
              <w:pStyle w:val="TableParagraph"/>
              <w:spacing w:line="142" w:lineRule="exact" w:before="13"/>
              <w:ind w:left="64"/>
              <w:rPr>
                <w:sz w:val="14"/>
              </w:rPr>
            </w:pPr>
            <w:r>
              <w:rPr>
                <w:spacing w:val="-10"/>
                <w:sz w:val="14"/>
              </w:rPr>
              <w:t>$</w:t>
            </w:r>
          </w:p>
        </w:tc>
        <w:tc>
          <w:tcPr>
            <w:tcW w:w="1059" w:type="dxa"/>
            <w:tcBorders>
              <w:top w:val="single" w:sz="8" w:space="0" w:color="000000"/>
              <w:bottom w:val="single" w:sz="8" w:space="0" w:color="000000"/>
            </w:tcBorders>
          </w:tcPr>
          <w:p>
            <w:pPr>
              <w:pStyle w:val="TableParagraph"/>
              <w:spacing w:line="142" w:lineRule="exact" w:before="13"/>
              <w:ind w:right="107"/>
              <w:jc w:val="right"/>
              <w:rPr>
                <w:sz w:val="14"/>
              </w:rPr>
            </w:pPr>
            <w:r>
              <w:rPr>
                <w:spacing w:val="-5"/>
                <w:sz w:val="14"/>
              </w:rPr>
              <w:t>903</w:t>
            </w:r>
          </w:p>
        </w:tc>
        <w:tc>
          <w:tcPr>
            <w:tcW w:w="695" w:type="dxa"/>
            <w:tcBorders>
              <w:top w:val="single" w:sz="8" w:space="0" w:color="000000"/>
              <w:bottom w:val="single" w:sz="8" w:space="0" w:color="000000"/>
            </w:tcBorders>
          </w:tcPr>
          <w:p>
            <w:pPr>
              <w:pStyle w:val="TableParagraph"/>
              <w:spacing w:line="142" w:lineRule="exact" w:before="13"/>
              <w:ind w:left="64"/>
              <w:rPr>
                <w:sz w:val="14"/>
              </w:rPr>
            </w:pPr>
            <w:r>
              <w:rPr>
                <w:spacing w:val="-10"/>
                <w:sz w:val="14"/>
              </w:rPr>
              <w:t>$</w:t>
            </w:r>
          </w:p>
        </w:tc>
        <w:tc>
          <w:tcPr>
            <w:tcW w:w="1011" w:type="dxa"/>
            <w:tcBorders>
              <w:top w:val="single" w:sz="8" w:space="0" w:color="000000"/>
              <w:bottom w:val="single" w:sz="8" w:space="0" w:color="000000"/>
            </w:tcBorders>
          </w:tcPr>
          <w:p>
            <w:pPr>
              <w:pStyle w:val="TableParagraph"/>
              <w:spacing w:line="142" w:lineRule="exact" w:before="13"/>
              <w:ind w:right="58"/>
              <w:jc w:val="right"/>
              <w:rPr>
                <w:sz w:val="14"/>
              </w:rPr>
            </w:pPr>
            <w:r>
              <w:rPr>
                <w:spacing w:val="-5"/>
                <w:sz w:val="14"/>
              </w:rPr>
              <w:t>231</w:t>
            </w:r>
          </w:p>
        </w:tc>
        <w:tc>
          <w:tcPr>
            <w:tcW w:w="285" w:type="dxa"/>
            <w:vMerge w:val="restart"/>
          </w:tcPr>
          <w:p>
            <w:pPr>
              <w:pStyle w:val="TableParagraph"/>
              <w:rPr>
                <w:rFonts w:ascii="Times New Roman"/>
                <w:sz w:val="14"/>
              </w:rPr>
            </w:pPr>
          </w:p>
        </w:tc>
      </w:tr>
      <w:tr>
        <w:trPr>
          <w:trHeight w:val="388" w:hRule="atLeast"/>
        </w:trPr>
        <w:tc>
          <w:tcPr>
            <w:tcW w:w="3870" w:type="dxa"/>
          </w:tcPr>
          <w:p>
            <w:pPr>
              <w:pStyle w:val="TableParagraph"/>
              <w:spacing w:before="13"/>
              <w:ind w:left="52"/>
              <w:rPr>
                <w:rFonts w:ascii="Arial"/>
                <w:b/>
                <w:sz w:val="14"/>
              </w:rPr>
            </w:pPr>
            <w:r>
              <w:rPr>
                <w:rFonts w:ascii="Arial"/>
                <w:b/>
                <w:sz w:val="14"/>
              </w:rPr>
              <w:t>Non-trading</w:t>
            </w:r>
            <w:r>
              <w:rPr>
                <w:rFonts w:ascii="Arial"/>
                <w:b/>
                <w:spacing w:val="-3"/>
                <w:sz w:val="14"/>
              </w:rPr>
              <w:t> </w:t>
            </w:r>
            <w:r>
              <w:rPr>
                <w:rFonts w:ascii="Arial"/>
                <w:b/>
                <w:sz w:val="14"/>
              </w:rPr>
              <w:t>portfolios,</w:t>
            </w:r>
            <w:r>
              <w:rPr>
                <w:rFonts w:ascii="Arial"/>
                <w:b/>
                <w:spacing w:val="-2"/>
                <w:sz w:val="14"/>
              </w:rPr>
              <w:t> </w:t>
            </w:r>
            <w:r>
              <w:rPr>
                <w:rFonts w:ascii="Arial"/>
                <w:b/>
                <w:spacing w:val="-5"/>
                <w:sz w:val="14"/>
              </w:rPr>
              <w:t>net</w:t>
            </w:r>
          </w:p>
          <w:p>
            <w:pPr>
              <w:pStyle w:val="TableParagraph"/>
              <w:spacing w:line="160" w:lineRule="exact" w:before="34"/>
              <w:ind w:left="232"/>
              <w:rPr>
                <w:sz w:val="14"/>
              </w:rPr>
            </w:pPr>
            <w:r>
              <w:rPr>
                <w:sz w:val="14"/>
              </w:rPr>
              <w:t>Loan-related</w:t>
            </w:r>
            <w:r>
              <w:rPr>
                <w:spacing w:val="-8"/>
                <w:sz w:val="14"/>
              </w:rPr>
              <w:t> </w:t>
            </w:r>
            <w:r>
              <w:rPr>
                <w:sz w:val="14"/>
              </w:rPr>
              <w:t>derivatives—Note</w:t>
            </w:r>
            <w:r>
              <w:rPr>
                <w:spacing w:val="-8"/>
                <w:sz w:val="14"/>
              </w:rPr>
              <w:t> </w:t>
            </w:r>
            <w:r>
              <w:rPr>
                <w:spacing w:val="-10"/>
                <w:sz w:val="14"/>
              </w:rPr>
              <w:t>F</w:t>
            </w:r>
          </w:p>
        </w:tc>
        <w:tc>
          <w:tcPr>
            <w:tcW w:w="742" w:type="dxa"/>
            <w:tcBorders>
              <w:top w:val="single" w:sz="8" w:space="0" w:color="000000"/>
            </w:tcBorders>
          </w:tcPr>
          <w:p>
            <w:pPr>
              <w:pStyle w:val="TableParagraph"/>
              <w:rPr>
                <w:rFonts w:ascii="Times New Roman"/>
                <w:sz w:val="14"/>
              </w:rPr>
            </w:pPr>
          </w:p>
        </w:tc>
        <w:tc>
          <w:tcPr>
            <w:tcW w:w="1001" w:type="dxa"/>
            <w:tcBorders>
              <w:top w:val="single" w:sz="8" w:space="0" w:color="000000"/>
            </w:tcBorders>
          </w:tcPr>
          <w:p>
            <w:pPr>
              <w:pStyle w:val="TableParagraph"/>
              <w:spacing w:before="47"/>
              <w:rPr>
                <w:rFonts w:ascii="Arial"/>
                <w:i/>
                <w:sz w:val="14"/>
              </w:rPr>
            </w:pPr>
          </w:p>
          <w:p>
            <w:pPr>
              <w:pStyle w:val="TableParagraph"/>
              <w:spacing w:line="160" w:lineRule="exact"/>
              <w:ind w:right="107"/>
              <w:jc w:val="right"/>
              <w:rPr>
                <w:sz w:val="14"/>
              </w:rPr>
            </w:pPr>
            <w:r>
              <w:rPr>
                <w:sz w:val="14"/>
              </w:rPr>
              <w:t>—</w:t>
            </w:r>
          </w:p>
        </w:tc>
        <w:tc>
          <w:tcPr>
            <w:tcW w:w="696" w:type="dxa"/>
            <w:tcBorders>
              <w:top w:val="single" w:sz="8" w:space="0" w:color="000000"/>
            </w:tcBorders>
          </w:tcPr>
          <w:p>
            <w:pPr>
              <w:pStyle w:val="TableParagraph"/>
              <w:rPr>
                <w:rFonts w:ascii="Times New Roman"/>
                <w:sz w:val="14"/>
              </w:rPr>
            </w:pPr>
          </w:p>
        </w:tc>
        <w:tc>
          <w:tcPr>
            <w:tcW w:w="1059" w:type="dxa"/>
            <w:tcBorders>
              <w:top w:val="single" w:sz="8" w:space="0" w:color="000000"/>
            </w:tcBorders>
          </w:tcPr>
          <w:p>
            <w:pPr>
              <w:pStyle w:val="TableParagraph"/>
              <w:spacing w:before="47"/>
              <w:rPr>
                <w:rFonts w:ascii="Arial"/>
                <w:i/>
                <w:sz w:val="14"/>
              </w:rPr>
            </w:pPr>
          </w:p>
          <w:p>
            <w:pPr>
              <w:pStyle w:val="TableParagraph"/>
              <w:spacing w:line="160" w:lineRule="exact"/>
              <w:ind w:right="107"/>
              <w:jc w:val="right"/>
              <w:rPr>
                <w:sz w:val="14"/>
              </w:rPr>
            </w:pPr>
            <w:r>
              <w:rPr>
                <w:spacing w:val="-2"/>
                <w:sz w:val="14"/>
              </w:rPr>
              <w:t>2,415</w:t>
            </w:r>
          </w:p>
        </w:tc>
        <w:tc>
          <w:tcPr>
            <w:tcW w:w="695" w:type="dxa"/>
            <w:tcBorders>
              <w:top w:val="single" w:sz="8" w:space="0" w:color="000000"/>
            </w:tcBorders>
          </w:tcPr>
          <w:p>
            <w:pPr>
              <w:pStyle w:val="TableParagraph"/>
              <w:rPr>
                <w:rFonts w:ascii="Times New Roman"/>
                <w:sz w:val="14"/>
              </w:rPr>
            </w:pPr>
          </w:p>
        </w:tc>
        <w:tc>
          <w:tcPr>
            <w:tcW w:w="1011" w:type="dxa"/>
            <w:tcBorders>
              <w:top w:val="single" w:sz="8" w:space="0" w:color="000000"/>
            </w:tcBorders>
          </w:tcPr>
          <w:p>
            <w:pPr>
              <w:pStyle w:val="TableParagraph"/>
              <w:spacing w:before="47"/>
              <w:rPr>
                <w:rFonts w:ascii="Arial"/>
                <w:i/>
                <w:sz w:val="14"/>
              </w:rPr>
            </w:pPr>
          </w:p>
          <w:p>
            <w:pPr>
              <w:pStyle w:val="TableParagraph"/>
              <w:spacing w:line="160" w:lineRule="exact"/>
              <w:ind w:right="58"/>
              <w:jc w:val="right"/>
              <w:rPr>
                <w:sz w:val="14"/>
              </w:rPr>
            </w:pPr>
            <w:r>
              <w:rPr>
                <w:spacing w:val="-2"/>
                <w:sz w:val="14"/>
              </w:rPr>
              <w:t>2,415</w:t>
            </w:r>
          </w:p>
        </w:tc>
        <w:tc>
          <w:tcPr>
            <w:tcW w:w="285" w:type="dxa"/>
            <w:vMerge/>
            <w:tcBorders>
              <w:top w:val="nil"/>
            </w:tcBorders>
          </w:tcPr>
          <w:p>
            <w:pPr>
              <w:rPr>
                <w:sz w:val="2"/>
                <w:szCs w:val="2"/>
              </w:rPr>
            </w:pPr>
          </w:p>
        </w:tc>
      </w:tr>
      <w:tr>
        <w:trPr>
          <w:trHeight w:val="195" w:hRule="atLeast"/>
        </w:trPr>
        <w:tc>
          <w:tcPr>
            <w:tcW w:w="3870" w:type="dxa"/>
          </w:tcPr>
          <w:p>
            <w:pPr>
              <w:pStyle w:val="TableParagraph"/>
              <w:spacing w:line="160" w:lineRule="exact" w:before="14"/>
              <w:ind w:right="616"/>
              <w:jc w:val="right"/>
              <w:rPr>
                <w:sz w:val="14"/>
              </w:rPr>
            </w:pPr>
            <w:r>
              <w:rPr>
                <w:sz w:val="14"/>
              </w:rPr>
              <w:t>Other</w:t>
            </w:r>
            <w:r>
              <w:rPr>
                <w:spacing w:val="-6"/>
                <w:sz w:val="14"/>
              </w:rPr>
              <w:t> </w:t>
            </w:r>
            <w:r>
              <w:rPr>
                <w:sz w:val="14"/>
              </w:rPr>
              <w:t>asset/liability</w:t>
            </w:r>
            <w:r>
              <w:rPr>
                <w:spacing w:val="-6"/>
                <w:sz w:val="14"/>
              </w:rPr>
              <w:t> </w:t>
            </w:r>
            <w:r>
              <w:rPr>
                <w:sz w:val="14"/>
              </w:rPr>
              <w:t>management</w:t>
            </w:r>
            <w:r>
              <w:rPr>
                <w:spacing w:val="-6"/>
                <w:sz w:val="14"/>
              </w:rPr>
              <w:t> </w:t>
            </w:r>
            <w:r>
              <w:rPr>
                <w:sz w:val="14"/>
              </w:rPr>
              <w:t>derivatives,</w:t>
            </w:r>
            <w:r>
              <w:rPr>
                <w:spacing w:val="-6"/>
                <w:sz w:val="14"/>
              </w:rPr>
              <w:t> </w:t>
            </w:r>
            <w:r>
              <w:rPr>
                <w:spacing w:val="-5"/>
                <w:sz w:val="14"/>
              </w:rPr>
              <w:t>net</w:t>
            </w:r>
          </w:p>
        </w:tc>
        <w:tc>
          <w:tcPr>
            <w:tcW w:w="742" w:type="dxa"/>
          </w:tcPr>
          <w:p>
            <w:pPr>
              <w:pStyle w:val="TableParagraph"/>
              <w:rPr>
                <w:rFonts w:ascii="Times New Roman"/>
                <w:sz w:val="12"/>
              </w:rPr>
            </w:pPr>
          </w:p>
        </w:tc>
        <w:tc>
          <w:tcPr>
            <w:tcW w:w="1001" w:type="dxa"/>
          </w:tcPr>
          <w:p>
            <w:pPr>
              <w:pStyle w:val="TableParagraph"/>
              <w:spacing w:line="160" w:lineRule="exact" w:before="14"/>
              <w:ind w:right="107"/>
              <w:jc w:val="right"/>
              <w:rPr>
                <w:sz w:val="14"/>
              </w:rPr>
            </w:pPr>
            <w:r>
              <w:rPr>
                <w:sz w:val="14"/>
              </w:rPr>
              <w:t>—</w:t>
            </w:r>
          </w:p>
        </w:tc>
        <w:tc>
          <w:tcPr>
            <w:tcW w:w="696" w:type="dxa"/>
          </w:tcPr>
          <w:p>
            <w:pPr>
              <w:pStyle w:val="TableParagraph"/>
              <w:rPr>
                <w:rFonts w:ascii="Times New Roman"/>
                <w:sz w:val="12"/>
              </w:rPr>
            </w:pPr>
          </w:p>
        </w:tc>
        <w:tc>
          <w:tcPr>
            <w:tcW w:w="1059" w:type="dxa"/>
          </w:tcPr>
          <w:p>
            <w:pPr>
              <w:pStyle w:val="TableParagraph"/>
              <w:spacing w:line="160" w:lineRule="exact" w:before="14"/>
              <w:ind w:right="60"/>
              <w:jc w:val="right"/>
              <w:rPr>
                <w:sz w:val="14"/>
              </w:rPr>
            </w:pPr>
            <w:r>
              <w:rPr>
                <w:spacing w:val="-2"/>
                <w:sz w:val="14"/>
              </w:rPr>
              <w:t>(1,351)</w:t>
            </w:r>
          </w:p>
        </w:tc>
        <w:tc>
          <w:tcPr>
            <w:tcW w:w="695" w:type="dxa"/>
          </w:tcPr>
          <w:p>
            <w:pPr>
              <w:pStyle w:val="TableParagraph"/>
              <w:rPr>
                <w:rFonts w:ascii="Times New Roman"/>
                <w:sz w:val="12"/>
              </w:rPr>
            </w:pPr>
          </w:p>
        </w:tc>
        <w:tc>
          <w:tcPr>
            <w:tcW w:w="1011" w:type="dxa"/>
          </w:tcPr>
          <w:p>
            <w:pPr>
              <w:pStyle w:val="TableParagraph"/>
              <w:spacing w:line="160" w:lineRule="exact" w:before="14"/>
              <w:ind w:right="11"/>
              <w:jc w:val="right"/>
              <w:rPr>
                <w:sz w:val="14"/>
              </w:rPr>
            </w:pPr>
            <w:r>
              <w:rPr>
                <w:spacing w:val="-2"/>
                <w:sz w:val="14"/>
              </w:rPr>
              <w:t>(1,351)</w:t>
            </w:r>
          </w:p>
        </w:tc>
        <w:tc>
          <w:tcPr>
            <w:tcW w:w="285" w:type="dxa"/>
            <w:vMerge/>
            <w:tcBorders>
              <w:top w:val="nil"/>
            </w:tcBorders>
          </w:tcPr>
          <w:p>
            <w:pPr>
              <w:rPr>
                <w:sz w:val="2"/>
                <w:szCs w:val="2"/>
              </w:rPr>
            </w:pPr>
          </w:p>
        </w:tc>
      </w:tr>
      <w:tr>
        <w:trPr>
          <w:trHeight w:val="195" w:hRule="atLeast"/>
        </w:trPr>
        <w:tc>
          <w:tcPr>
            <w:tcW w:w="3870" w:type="dxa"/>
          </w:tcPr>
          <w:p>
            <w:pPr>
              <w:pStyle w:val="TableParagraph"/>
              <w:spacing w:line="160" w:lineRule="exact" w:before="14"/>
              <w:ind w:right="562"/>
              <w:jc w:val="right"/>
              <w:rPr>
                <w:sz w:val="14"/>
              </w:rPr>
            </w:pPr>
            <w:r>
              <w:rPr>
                <w:sz w:val="14"/>
              </w:rPr>
              <w:t>Borrowings,</w:t>
            </w:r>
            <w:r>
              <w:rPr>
                <w:spacing w:val="-6"/>
                <w:sz w:val="14"/>
              </w:rPr>
              <w:t> </w:t>
            </w:r>
            <w:r>
              <w:rPr>
                <w:sz w:val="14"/>
              </w:rPr>
              <w:t>including</w:t>
            </w:r>
            <w:r>
              <w:rPr>
                <w:spacing w:val="-5"/>
                <w:sz w:val="14"/>
              </w:rPr>
              <w:t> </w:t>
            </w:r>
            <w:r>
              <w:rPr>
                <w:sz w:val="14"/>
              </w:rPr>
              <w:t>derivatives—Notes</w:t>
            </w:r>
            <w:r>
              <w:rPr>
                <w:spacing w:val="-5"/>
                <w:sz w:val="14"/>
              </w:rPr>
              <w:t> </w:t>
            </w:r>
            <w:r>
              <w:rPr>
                <w:sz w:val="14"/>
              </w:rPr>
              <w:t>E</w:t>
            </w:r>
            <w:r>
              <w:rPr>
                <w:spacing w:val="-5"/>
                <w:sz w:val="14"/>
              </w:rPr>
              <w:t> </w:t>
            </w:r>
            <w:r>
              <w:rPr>
                <w:sz w:val="14"/>
              </w:rPr>
              <w:t>and</w:t>
            </w:r>
            <w:r>
              <w:rPr>
                <w:spacing w:val="-5"/>
                <w:sz w:val="14"/>
              </w:rPr>
              <w:t> </w:t>
            </w:r>
            <w:r>
              <w:rPr>
                <w:spacing w:val="-10"/>
                <w:sz w:val="14"/>
              </w:rPr>
              <w:t>F</w:t>
            </w:r>
          </w:p>
        </w:tc>
        <w:tc>
          <w:tcPr>
            <w:tcW w:w="742" w:type="dxa"/>
          </w:tcPr>
          <w:p>
            <w:pPr>
              <w:pStyle w:val="TableParagraph"/>
              <w:rPr>
                <w:rFonts w:ascii="Times New Roman"/>
                <w:sz w:val="12"/>
              </w:rPr>
            </w:pPr>
          </w:p>
        </w:tc>
        <w:tc>
          <w:tcPr>
            <w:tcW w:w="1001" w:type="dxa"/>
          </w:tcPr>
          <w:p>
            <w:pPr>
              <w:pStyle w:val="TableParagraph"/>
              <w:spacing w:line="160" w:lineRule="exact" w:before="14"/>
              <w:ind w:right="107"/>
              <w:jc w:val="right"/>
              <w:rPr>
                <w:sz w:val="14"/>
              </w:rPr>
            </w:pPr>
            <w:r>
              <w:rPr>
                <w:spacing w:val="-5"/>
                <w:sz w:val="14"/>
              </w:rPr>
              <w:t>14</w:t>
            </w:r>
          </w:p>
        </w:tc>
        <w:tc>
          <w:tcPr>
            <w:tcW w:w="696" w:type="dxa"/>
          </w:tcPr>
          <w:p>
            <w:pPr>
              <w:pStyle w:val="TableParagraph"/>
              <w:rPr>
                <w:rFonts w:ascii="Times New Roman"/>
                <w:sz w:val="12"/>
              </w:rPr>
            </w:pPr>
          </w:p>
        </w:tc>
        <w:tc>
          <w:tcPr>
            <w:tcW w:w="1059" w:type="dxa"/>
          </w:tcPr>
          <w:p>
            <w:pPr>
              <w:pStyle w:val="TableParagraph"/>
              <w:spacing w:line="160" w:lineRule="exact" w:before="14"/>
              <w:ind w:right="107"/>
              <w:jc w:val="right"/>
              <w:rPr>
                <w:sz w:val="14"/>
              </w:rPr>
            </w:pPr>
            <w:r>
              <w:rPr>
                <w:spacing w:val="-5"/>
                <w:sz w:val="14"/>
              </w:rPr>
              <w:t>140</w:t>
            </w:r>
          </w:p>
        </w:tc>
        <w:tc>
          <w:tcPr>
            <w:tcW w:w="695" w:type="dxa"/>
          </w:tcPr>
          <w:p>
            <w:pPr>
              <w:pStyle w:val="TableParagraph"/>
              <w:rPr>
                <w:rFonts w:ascii="Times New Roman"/>
                <w:sz w:val="12"/>
              </w:rPr>
            </w:pPr>
          </w:p>
        </w:tc>
        <w:tc>
          <w:tcPr>
            <w:tcW w:w="1011" w:type="dxa"/>
          </w:tcPr>
          <w:p>
            <w:pPr>
              <w:pStyle w:val="TableParagraph"/>
              <w:spacing w:line="160" w:lineRule="exact" w:before="14"/>
              <w:ind w:right="58"/>
              <w:jc w:val="right"/>
              <w:rPr>
                <w:sz w:val="14"/>
              </w:rPr>
            </w:pPr>
            <w:r>
              <w:rPr>
                <w:spacing w:val="-5"/>
                <w:sz w:val="14"/>
              </w:rPr>
              <w:t>154</w:t>
            </w:r>
          </w:p>
        </w:tc>
        <w:tc>
          <w:tcPr>
            <w:tcW w:w="285" w:type="dxa"/>
          </w:tcPr>
          <w:p>
            <w:pPr>
              <w:pStyle w:val="TableParagraph"/>
              <w:spacing w:line="102" w:lineRule="exact"/>
              <w:ind w:left="53"/>
              <w:rPr>
                <w:sz w:val="9"/>
              </w:rPr>
            </w:pPr>
            <w:r>
              <w:rPr>
                <w:spacing w:val="-10"/>
                <w:sz w:val="9"/>
              </w:rPr>
              <w:t>b</w:t>
            </w:r>
          </w:p>
        </w:tc>
      </w:tr>
      <w:tr>
        <w:trPr>
          <w:trHeight w:val="176" w:hRule="atLeast"/>
        </w:trPr>
        <w:tc>
          <w:tcPr>
            <w:tcW w:w="3870" w:type="dxa"/>
          </w:tcPr>
          <w:p>
            <w:pPr>
              <w:pStyle w:val="TableParagraph"/>
              <w:spacing w:line="142" w:lineRule="exact" w:before="14"/>
              <w:ind w:left="232"/>
              <w:rPr>
                <w:sz w:val="14"/>
              </w:rPr>
            </w:pPr>
            <w:r>
              <w:rPr>
                <w:sz w:val="14"/>
              </w:rPr>
              <w:t>Client</w:t>
            </w:r>
            <w:r>
              <w:rPr>
                <w:spacing w:val="-6"/>
                <w:sz w:val="14"/>
              </w:rPr>
              <w:t> </w:t>
            </w:r>
            <w:r>
              <w:rPr>
                <w:sz w:val="14"/>
              </w:rPr>
              <w:t>operations</w:t>
            </w:r>
            <w:r>
              <w:rPr>
                <w:spacing w:val="-6"/>
                <w:sz w:val="14"/>
              </w:rPr>
              <w:t> </w:t>
            </w:r>
            <w:r>
              <w:rPr>
                <w:spacing w:val="-2"/>
                <w:sz w:val="14"/>
              </w:rPr>
              <w:t>derivatives</w:t>
            </w:r>
          </w:p>
        </w:tc>
        <w:tc>
          <w:tcPr>
            <w:tcW w:w="742" w:type="dxa"/>
            <w:tcBorders>
              <w:bottom w:val="single" w:sz="8" w:space="0" w:color="000000"/>
            </w:tcBorders>
          </w:tcPr>
          <w:p>
            <w:pPr>
              <w:pStyle w:val="TableParagraph"/>
              <w:rPr>
                <w:rFonts w:ascii="Times New Roman"/>
                <w:sz w:val="10"/>
              </w:rPr>
            </w:pPr>
          </w:p>
        </w:tc>
        <w:tc>
          <w:tcPr>
            <w:tcW w:w="1001" w:type="dxa"/>
            <w:tcBorders>
              <w:bottom w:val="single" w:sz="8" w:space="0" w:color="000000"/>
            </w:tcBorders>
          </w:tcPr>
          <w:p>
            <w:pPr>
              <w:pStyle w:val="TableParagraph"/>
              <w:spacing w:line="142" w:lineRule="exact" w:before="14"/>
              <w:ind w:right="107"/>
              <w:jc w:val="right"/>
              <w:rPr>
                <w:sz w:val="14"/>
              </w:rPr>
            </w:pPr>
            <w:r>
              <w:rPr>
                <w:sz w:val="14"/>
              </w:rPr>
              <w:t>—</w:t>
            </w:r>
          </w:p>
        </w:tc>
        <w:tc>
          <w:tcPr>
            <w:tcW w:w="696" w:type="dxa"/>
            <w:tcBorders>
              <w:bottom w:val="single" w:sz="8" w:space="0" w:color="000000"/>
            </w:tcBorders>
          </w:tcPr>
          <w:p>
            <w:pPr>
              <w:pStyle w:val="TableParagraph"/>
              <w:rPr>
                <w:rFonts w:ascii="Times New Roman"/>
                <w:sz w:val="10"/>
              </w:rPr>
            </w:pPr>
          </w:p>
        </w:tc>
        <w:tc>
          <w:tcPr>
            <w:tcW w:w="1059" w:type="dxa"/>
            <w:tcBorders>
              <w:bottom w:val="single" w:sz="8" w:space="0" w:color="000000"/>
            </w:tcBorders>
          </w:tcPr>
          <w:p>
            <w:pPr>
              <w:pStyle w:val="TableParagraph"/>
              <w:spacing w:line="142" w:lineRule="exact" w:before="14"/>
              <w:ind w:right="107"/>
              <w:jc w:val="right"/>
              <w:rPr>
                <w:sz w:val="14"/>
              </w:rPr>
            </w:pPr>
            <w:r>
              <w:rPr>
                <w:spacing w:val="-5"/>
                <w:sz w:val="14"/>
              </w:rPr>
              <w:t>14</w:t>
            </w:r>
          </w:p>
        </w:tc>
        <w:tc>
          <w:tcPr>
            <w:tcW w:w="695" w:type="dxa"/>
            <w:tcBorders>
              <w:bottom w:val="single" w:sz="8" w:space="0" w:color="000000"/>
            </w:tcBorders>
          </w:tcPr>
          <w:p>
            <w:pPr>
              <w:pStyle w:val="TableParagraph"/>
              <w:rPr>
                <w:rFonts w:ascii="Times New Roman"/>
                <w:sz w:val="10"/>
              </w:rPr>
            </w:pPr>
          </w:p>
        </w:tc>
        <w:tc>
          <w:tcPr>
            <w:tcW w:w="1011" w:type="dxa"/>
            <w:tcBorders>
              <w:bottom w:val="single" w:sz="8" w:space="0" w:color="000000"/>
            </w:tcBorders>
          </w:tcPr>
          <w:p>
            <w:pPr>
              <w:pStyle w:val="TableParagraph"/>
              <w:spacing w:line="142" w:lineRule="exact" w:before="14"/>
              <w:ind w:right="58"/>
              <w:jc w:val="right"/>
              <w:rPr>
                <w:sz w:val="14"/>
              </w:rPr>
            </w:pPr>
            <w:r>
              <w:rPr>
                <w:spacing w:val="-5"/>
                <w:sz w:val="14"/>
              </w:rPr>
              <w:t>14</w:t>
            </w:r>
          </w:p>
        </w:tc>
        <w:tc>
          <w:tcPr>
            <w:tcW w:w="285" w:type="dxa"/>
          </w:tcPr>
          <w:p>
            <w:pPr>
              <w:pStyle w:val="TableParagraph"/>
              <w:rPr>
                <w:rFonts w:ascii="Times New Roman"/>
                <w:sz w:val="10"/>
              </w:rPr>
            </w:pPr>
          </w:p>
        </w:tc>
      </w:tr>
      <w:tr>
        <w:trPr>
          <w:trHeight w:val="155" w:hRule="atLeast"/>
        </w:trPr>
        <w:tc>
          <w:tcPr>
            <w:tcW w:w="3870" w:type="dxa"/>
          </w:tcPr>
          <w:p>
            <w:pPr>
              <w:pStyle w:val="TableParagraph"/>
              <w:spacing w:line="122" w:lineRule="exact" w:before="13"/>
              <w:ind w:left="52"/>
              <w:rPr>
                <w:rFonts w:ascii="Arial"/>
                <w:b/>
                <w:sz w:val="14"/>
              </w:rPr>
            </w:pPr>
            <w:r>
              <w:rPr>
                <w:rFonts w:ascii="Arial"/>
                <w:b/>
                <w:sz w:val="14"/>
              </w:rPr>
              <w:t>Total</w:t>
            </w:r>
            <w:r>
              <w:rPr>
                <w:rFonts w:ascii="Arial"/>
                <w:b/>
                <w:spacing w:val="-2"/>
                <w:sz w:val="14"/>
              </w:rPr>
              <w:t> </w:t>
            </w:r>
            <w:r>
              <w:rPr>
                <w:rFonts w:ascii="Arial"/>
                <w:b/>
                <w:sz w:val="14"/>
              </w:rPr>
              <w:t>non-trading</w:t>
            </w:r>
            <w:r>
              <w:rPr>
                <w:rFonts w:ascii="Arial"/>
                <w:b/>
                <w:spacing w:val="-2"/>
                <w:sz w:val="14"/>
              </w:rPr>
              <w:t> </w:t>
            </w:r>
            <w:r>
              <w:rPr>
                <w:rFonts w:ascii="Arial"/>
                <w:b/>
                <w:sz w:val="14"/>
              </w:rPr>
              <w:t>portfolios,</w:t>
            </w:r>
            <w:r>
              <w:rPr>
                <w:rFonts w:ascii="Arial"/>
                <w:b/>
                <w:spacing w:val="-1"/>
                <w:sz w:val="14"/>
              </w:rPr>
              <w:t> </w:t>
            </w:r>
            <w:r>
              <w:rPr>
                <w:rFonts w:ascii="Arial"/>
                <w:b/>
                <w:spacing w:val="-5"/>
                <w:sz w:val="14"/>
              </w:rPr>
              <w:t>net</w:t>
            </w:r>
          </w:p>
        </w:tc>
        <w:tc>
          <w:tcPr>
            <w:tcW w:w="742" w:type="dxa"/>
            <w:tcBorders>
              <w:top w:val="single" w:sz="8" w:space="0" w:color="000000"/>
              <w:bottom w:val="double" w:sz="8" w:space="0" w:color="000000"/>
            </w:tcBorders>
          </w:tcPr>
          <w:p>
            <w:pPr>
              <w:pStyle w:val="TableParagraph"/>
              <w:spacing w:line="122" w:lineRule="exact" w:before="13"/>
              <w:ind w:left="52"/>
              <w:rPr>
                <w:sz w:val="14"/>
              </w:rPr>
            </w:pPr>
            <w:r>
              <w:rPr>
                <w:spacing w:val="-10"/>
                <w:sz w:val="14"/>
              </w:rPr>
              <w:t>$</w:t>
            </w:r>
          </w:p>
        </w:tc>
        <w:tc>
          <w:tcPr>
            <w:tcW w:w="1001" w:type="dxa"/>
            <w:tcBorders>
              <w:top w:val="single" w:sz="8" w:space="0" w:color="000000"/>
              <w:bottom w:val="double" w:sz="8" w:space="0" w:color="000000"/>
            </w:tcBorders>
          </w:tcPr>
          <w:p>
            <w:pPr>
              <w:pStyle w:val="TableParagraph"/>
              <w:spacing w:line="122" w:lineRule="exact" w:before="13"/>
              <w:ind w:right="107"/>
              <w:jc w:val="right"/>
              <w:rPr>
                <w:sz w:val="14"/>
              </w:rPr>
            </w:pPr>
            <w:r>
              <w:rPr>
                <w:spacing w:val="-5"/>
                <w:sz w:val="14"/>
              </w:rPr>
              <w:t>14</w:t>
            </w:r>
          </w:p>
        </w:tc>
        <w:tc>
          <w:tcPr>
            <w:tcW w:w="696" w:type="dxa"/>
            <w:tcBorders>
              <w:top w:val="single" w:sz="8" w:space="0" w:color="000000"/>
              <w:bottom w:val="double" w:sz="8" w:space="0" w:color="000000"/>
            </w:tcBorders>
          </w:tcPr>
          <w:p>
            <w:pPr>
              <w:pStyle w:val="TableParagraph"/>
              <w:spacing w:line="122" w:lineRule="exact" w:before="13"/>
              <w:ind w:left="64"/>
              <w:rPr>
                <w:sz w:val="14"/>
              </w:rPr>
            </w:pPr>
            <w:r>
              <w:rPr>
                <w:spacing w:val="-10"/>
                <w:sz w:val="14"/>
              </w:rPr>
              <w:t>$</w:t>
            </w:r>
          </w:p>
        </w:tc>
        <w:tc>
          <w:tcPr>
            <w:tcW w:w="1059" w:type="dxa"/>
            <w:tcBorders>
              <w:top w:val="single" w:sz="8" w:space="0" w:color="000000"/>
              <w:bottom w:val="double" w:sz="8" w:space="0" w:color="000000"/>
            </w:tcBorders>
          </w:tcPr>
          <w:p>
            <w:pPr>
              <w:pStyle w:val="TableParagraph"/>
              <w:spacing w:line="122" w:lineRule="exact" w:before="13"/>
              <w:ind w:right="107"/>
              <w:jc w:val="right"/>
              <w:rPr>
                <w:sz w:val="14"/>
              </w:rPr>
            </w:pPr>
            <w:r>
              <w:rPr>
                <w:spacing w:val="-2"/>
                <w:sz w:val="14"/>
              </w:rPr>
              <w:t>1,218</w:t>
            </w:r>
          </w:p>
        </w:tc>
        <w:tc>
          <w:tcPr>
            <w:tcW w:w="695" w:type="dxa"/>
            <w:tcBorders>
              <w:top w:val="single" w:sz="8" w:space="0" w:color="000000"/>
              <w:bottom w:val="double" w:sz="8" w:space="0" w:color="000000"/>
            </w:tcBorders>
          </w:tcPr>
          <w:p>
            <w:pPr>
              <w:pStyle w:val="TableParagraph"/>
              <w:spacing w:line="122" w:lineRule="exact" w:before="13"/>
              <w:ind w:left="64"/>
              <w:rPr>
                <w:sz w:val="14"/>
              </w:rPr>
            </w:pPr>
            <w:r>
              <w:rPr>
                <w:spacing w:val="-10"/>
                <w:sz w:val="14"/>
              </w:rPr>
              <w:t>$</w:t>
            </w:r>
          </w:p>
        </w:tc>
        <w:tc>
          <w:tcPr>
            <w:tcW w:w="1011" w:type="dxa"/>
            <w:tcBorders>
              <w:top w:val="single" w:sz="8" w:space="0" w:color="000000"/>
              <w:bottom w:val="double" w:sz="8" w:space="0" w:color="000000"/>
            </w:tcBorders>
          </w:tcPr>
          <w:p>
            <w:pPr>
              <w:pStyle w:val="TableParagraph"/>
              <w:spacing w:line="122" w:lineRule="exact" w:before="13"/>
              <w:ind w:right="58"/>
              <w:jc w:val="right"/>
              <w:rPr>
                <w:sz w:val="14"/>
              </w:rPr>
            </w:pPr>
            <w:r>
              <w:rPr>
                <w:spacing w:val="-2"/>
                <w:sz w:val="14"/>
              </w:rPr>
              <w:t>1,232</w:t>
            </w:r>
          </w:p>
        </w:tc>
        <w:tc>
          <w:tcPr>
            <w:tcW w:w="285" w:type="dxa"/>
          </w:tcPr>
          <w:p>
            <w:pPr>
              <w:pStyle w:val="TableParagraph"/>
              <w:rPr>
                <w:rFonts w:ascii="Times New Roman"/>
                <w:sz w:val="10"/>
              </w:rPr>
            </w:pPr>
          </w:p>
        </w:tc>
      </w:tr>
      <w:tr>
        <w:trPr>
          <w:trHeight w:val="155" w:hRule="atLeast"/>
        </w:trPr>
        <w:tc>
          <w:tcPr>
            <w:tcW w:w="3870" w:type="dxa"/>
            <w:tcBorders>
              <w:bottom w:val="single" w:sz="8" w:space="0" w:color="000000"/>
            </w:tcBorders>
          </w:tcPr>
          <w:p>
            <w:pPr>
              <w:pStyle w:val="TableParagraph"/>
              <w:rPr>
                <w:rFonts w:ascii="Times New Roman"/>
                <w:sz w:val="10"/>
              </w:rPr>
            </w:pPr>
          </w:p>
        </w:tc>
        <w:tc>
          <w:tcPr>
            <w:tcW w:w="742" w:type="dxa"/>
            <w:tcBorders>
              <w:top w:val="double" w:sz="8" w:space="0" w:color="000000"/>
              <w:bottom w:val="single" w:sz="8" w:space="0" w:color="000000"/>
            </w:tcBorders>
          </w:tcPr>
          <w:p>
            <w:pPr>
              <w:pStyle w:val="TableParagraph"/>
              <w:rPr>
                <w:rFonts w:ascii="Times New Roman"/>
                <w:sz w:val="10"/>
              </w:rPr>
            </w:pPr>
          </w:p>
        </w:tc>
        <w:tc>
          <w:tcPr>
            <w:tcW w:w="1001" w:type="dxa"/>
            <w:tcBorders>
              <w:top w:val="double" w:sz="8" w:space="0" w:color="000000"/>
              <w:bottom w:val="single" w:sz="8" w:space="0" w:color="000000"/>
            </w:tcBorders>
          </w:tcPr>
          <w:p>
            <w:pPr>
              <w:pStyle w:val="TableParagraph"/>
              <w:rPr>
                <w:rFonts w:ascii="Times New Roman"/>
                <w:sz w:val="10"/>
              </w:rPr>
            </w:pPr>
          </w:p>
        </w:tc>
        <w:tc>
          <w:tcPr>
            <w:tcW w:w="696" w:type="dxa"/>
            <w:tcBorders>
              <w:top w:val="double" w:sz="8" w:space="0" w:color="000000"/>
              <w:bottom w:val="single" w:sz="8" w:space="0" w:color="000000"/>
            </w:tcBorders>
          </w:tcPr>
          <w:p>
            <w:pPr>
              <w:pStyle w:val="TableParagraph"/>
              <w:rPr>
                <w:rFonts w:ascii="Times New Roman"/>
                <w:sz w:val="10"/>
              </w:rPr>
            </w:pPr>
          </w:p>
        </w:tc>
        <w:tc>
          <w:tcPr>
            <w:tcW w:w="1059" w:type="dxa"/>
            <w:tcBorders>
              <w:top w:val="double" w:sz="8" w:space="0" w:color="000000"/>
              <w:bottom w:val="single" w:sz="8" w:space="0" w:color="000000"/>
            </w:tcBorders>
          </w:tcPr>
          <w:p>
            <w:pPr>
              <w:pStyle w:val="TableParagraph"/>
              <w:rPr>
                <w:rFonts w:ascii="Times New Roman"/>
                <w:sz w:val="10"/>
              </w:rPr>
            </w:pPr>
          </w:p>
        </w:tc>
        <w:tc>
          <w:tcPr>
            <w:tcW w:w="695" w:type="dxa"/>
            <w:tcBorders>
              <w:top w:val="double" w:sz="8" w:space="0" w:color="000000"/>
              <w:bottom w:val="single" w:sz="8" w:space="0" w:color="000000"/>
            </w:tcBorders>
          </w:tcPr>
          <w:p>
            <w:pPr>
              <w:pStyle w:val="TableParagraph"/>
              <w:rPr>
                <w:rFonts w:ascii="Times New Roman"/>
                <w:sz w:val="10"/>
              </w:rPr>
            </w:pPr>
          </w:p>
        </w:tc>
        <w:tc>
          <w:tcPr>
            <w:tcW w:w="1011" w:type="dxa"/>
            <w:tcBorders>
              <w:top w:val="double" w:sz="8" w:space="0" w:color="000000"/>
              <w:bottom w:val="single" w:sz="8" w:space="0" w:color="000000"/>
            </w:tcBorders>
          </w:tcPr>
          <w:p>
            <w:pPr>
              <w:pStyle w:val="TableParagraph"/>
              <w:rPr>
                <w:rFonts w:ascii="Times New Roman"/>
                <w:sz w:val="10"/>
              </w:rPr>
            </w:pPr>
          </w:p>
        </w:tc>
        <w:tc>
          <w:tcPr>
            <w:tcW w:w="285" w:type="dxa"/>
            <w:tcBorders>
              <w:bottom w:val="single" w:sz="8" w:space="0" w:color="000000"/>
            </w:tcBorders>
          </w:tcPr>
          <w:p>
            <w:pPr>
              <w:pStyle w:val="TableParagraph"/>
              <w:rPr>
                <w:rFonts w:ascii="Times New Roman"/>
                <w:sz w:val="10"/>
              </w:rPr>
            </w:pPr>
          </w:p>
        </w:tc>
      </w:tr>
    </w:tbl>
    <w:p>
      <w:pPr>
        <w:pStyle w:val="ListParagraph"/>
        <w:numPr>
          <w:ilvl w:val="0"/>
          <w:numId w:val="48"/>
        </w:numPr>
        <w:tabs>
          <w:tab w:pos="926" w:val="left" w:leader="none"/>
        </w:tabs>
        <w:spacing w:line="240" w:lineRule="auto" w:before="5" w:after="0"/>
        <w:ind w:left="926" w:right="0" w:hanging="154"/>
        <w:jc w:val="left"/>
        <w:rPr>
          <w:rFonts w:ascii="Arial"/>
          <w:i/>
          <w:sz w:val="14"/>
        </w:rPr>
      </w:pPr>
      <w:r>
        <w:rPr>
          <w:rFonts w:ascii="Arial"/>
          <w:i/>
          <w:sz w:val="14"/>
        </w:rPr>
        <w:t>Adjusted</w:t>
      </w:r>
      <w:r>
        <w:rPr>
          <w:rFonts w:ascii="Arial"/>
          <w:i/>
          <w:spacing w:val="-4"/>
          <w:sz w:val="14"/>
        </w:rPr>
        <w:t> </w:t>
      </w:r>
      <w:r>
        <w:rPr>
          <w:rFonts w:ascii="Arial"/>
          <w:i/>
          <w:sz w:val="14"/>
        </w:rPr>
        <w:t>to</w:t>
      </w:r>
      <w:r>
        <w:rPr>
          <w:rFonts w:ascii="Arial"/>
          <w:i/>
          <w:spacing w:val="-3"/>
          <w:sz w:val="14"/>
        </w:rPr>
        <w:t> </w:t>
      </w:r>
      <w:r>
        <w:rPr>
          <w:rFonts w:ascii="Arial"/>
          <w:i/>
          <w:sz w:val="14"/>
        </w:rPr>
        <w:t>exclude</w:t>
      </w:r>
      <w:r>
        <w:rPr>
          <w:rFonts w:ascii="Arial"/>
          <w:i/>
          <w:spacing w:val="-4"/>
          <w:sz w:val="14"/>
        </w:rPr>
        <w:t> </w:t>
      </w:r>
      <w:r>
        <w:rPr>
          <w:rFonts w:ascii="Arial"/>
          <w:i/>
          <w:sz w:val="14"/>
        </w:rPr>
        <w:t>amounts</w:t>
      </w:r>
      <w:r>
        <w:rPr>
          <w:rFonts w:ascii="Arial"/>
          <w:i/>
          <w:spacing w:val="-3"/>
          <w:sz w:val="14"/>
        </w:rPr>
        <w:t> </w:t>
      </w:r>
      <w:r>
        <w:rPr>
          <w:rFonts w:ascii="Arial"/>
          <w:i/>
          <w:sz w:val="14"/>
        </w:rPr>
        <w:t>reclassified</w:t>
      </w:r>
      <w:r>
        <w:rPr>
          <w:rFonts w:ascii="Arial"/>
          <w:i/>
          <w:spacing w:val="-4"/>
          <w:sz w:val="14"/>
        </w:rPr>
        <w:t> </w:t>
      </w:r>
      <w:r>
        <w:rPr>
          <w:rFonts w:ascii="Arial"/>
          <w:i/>
          <w:sz w:val="14"/>
        </w:rPr>
        <w:t>to</w:t>
      </w:r>
      <w:r>
        <w:rPr>
          <w:rFonts w:ascii="Arial"/>
          <w:i/>
          <w:spacing w:val="-3"/>
          <w:sz w:val="14"/>
        </w:rPr>
        <w:t> </w:t>
      </w:r>
      <w:r>
        <w:rPr>
          <w:rFonts w:ascii="Arial"/>
          <w:i/>
          <w:sz w:val="14"/>
        </w:rPr>
        <w:t>realized</w:t>
      </w:r>
      <w:r>
        <w:rPr>
          <w:rFonts w:ascii="Arial"/>
          <w:i/>
          <w:spacing w:val="-4"/>
          <w:sz w:val="14"/>
        </w:rPr>
        <w:t> </w:t>
      </w:r>
      <w:r>
        <w:rPr>
          <w:rFonts w:ascii="Arial"/>
          <w:i/>
          <w:sz w:val="14"/>
        </w:rPr>
        <w:t>gains</w:t>
      </w:r>
      <w:r>
        <w:rPr>
          <w:rFonts w:ascii="Arial"/>
          <w:i/>
          <w:spacing w:val="-3"/>
          <w:sz w:val="14"/>
        </w:rPr>
        <w:t> </w:t>
      </w:r>
      <w:r>
        <w:rPr>
          <w:rFonts w:ascii="Arial"/>
          <w:i/>
          <w:spacing w:val="-2"/>
          <w:sz w:val="14"/>
        </w:rPr>
        <w:t>(losses).</w:t>
      </w:r>
    </w:p>
    <w:p>
      <w:pPr>
        <w:pStyle w:val="ListParagraph"/>
        <w:numPr>
          <w:ilvl w:val="0"/>
          <w:numId w:val="48"/>
        </w:numPr>
        <w:tabs>
          <w:tab w:pos="926" w:val="left" w:leader="none"/>
        </w:tabs>
        <w:spacing w:line="159" w:lineRule="exact" w:before="38" w:after="0"/>
        <w:ind w:left="926" w:right="0" w:hanging="154"/>
        <w:jc w:val="left"/>
        <w:rPr>
          <w:rFonts w:ascii="Arial"/>
          <w:i/>
          <w:sz w:val="14"/>
        </w:rPr>
      </w:pPr>
      <w:r>
        <w:rPr>
          <w:rFonts w:ascii="Arial"/>
          <w:i/>
          <w:sz w:val="14"/>
        </w:rPr>
        <w:t>Includes</w:t>
      </w:r>
      <w:r>
        <w:rPr>
          <w:rFonts w:ascii="Arial"/>
          <w:i/>
          <w:spacing w:val="-7"/>
          <w:sz w:val="14"/>
        </w:rPr>
        <w:t> </w:t>
      </w:r>
      <w:r>
        <w:rPr>
          <w:rFonts w:ascii="Arial"/>
          <w:i/>
          <w:sz w:val="14"/>
        </w:rPr>
        <w:t>$5,851</w:t>
      </w:r>
      <w:r>
        <w:rPr>
          <w:rFonts w:ascii="Arial"/>
          <w:i/>
          <w:spacing w:val="-5"/>
          <w:sz w:val="14"/>
        </w:rPr>
        <w:t> </w:t>
      </w:r>
      <w:r>
        <w:rPr>
          <w:rFonts w:ascii="Arial"/>
          <w:i/>
          <w:sz w:val="14"/>
        </w:rPr>
        <w:t>million</w:t>
      </w:r>
      <w:r>
        <w:rPr>
          <w:rFonts w:ascii="Arial"/>
          <w:i/>
          <w:spacing w:val="-4"/>
          <w:sz w:val="14"/>
        </w:rPr>
        <w:t> </w:t>
      </w:r>
      <w:r>
        <w:rPr>
          <w:rFonts w:ascii="Arial"/>
          <w:i/>
          <w:sz w:val="14"/>
        </w:rPr>
        <w:t>of</w:t>
      </w:r>
      <w:r>
        <w:rPr>
          <w:rFonts w:ascii="Arial"/>
          <w:i/>
          <w:spacing w:val="-4"/>
          <w:sz w:val="14"/>
        </w:rPr>
        <w:t> </w:t>
      </w:r>
      <w:r>
        <w:rPr>
          <w:rFonts w:ascii="Arial"/>
          <w:i/>
          <w:sz w:val="14"/>
        </w:rPr>
        <w:t>unrealized</w:t>
      </w:r>
      <w:r>
        <w:rPr>
          <w:rFonts w:ascii="Arial"/>
          <w:i/>
          <w:spacing w:val="-5"/>
          <w:sz w:val="14"/>
        </w:rPr>
        <w:t> </w:t>
      </w:r>
      <w:r>
        <w:rPr>
          <w:rFonts w:ascii="Arial"/>
          <w:i/>
          <w:sz w:val="14"/>
        </w:rPr>
        <w:t>mark-to-market</w:t>
      </w:r>
      <w:r>
        <w:rPr>
          <w:rFonts w:ascii="Arial"/>
          <w:i/>
          <w:spacing w:val="-7"/>
          <w:sz w:val="14"/>
        </w:rPr>
        <w:t> </w:t>
      </w:r>
      <w:r>
        <w:rPr>
          <w:rFonts w:ascii="Arial"/>
          <w:i/>
          <w:sz w:val="14"/>
        </w:rPr>
        <w:t>losses</w:t>
      </w:r>
      <w:r>
        <w:rPr>
          <w:rFonts w:ascii="Arial"/>
          <w:i/>
          <w:spacing w:val="-5"/>
          <w:sz w:val="14"/>
        </w:rPr>
        <w:t> </w:t>
      </w:r>
      <w:r>
        <w:rPr>
          <w:rFonts w:ascii="Arial"/>
          <w:i/>
          <w:sz w:val="14"/>
        </w:rPr>
        <w:t>related</w:t>
      </w:r>
      <w:r>
        <w:rPr>
          <w:rFonts w:ascii="Arial"/>
          <w:i/>
          <w:spacing w:val="-4"/>
          <w:sz w:val="14"/>
        </w:rPr>
        <w:t> </w:t>
      </w:r>
      <w:r>
        <w:rPr>
          <w:rFonts w:ascii="Arial"/>
          <w:i/>
          <w:sz w:val="14"/>
        </w:rPr>
        <w:t>to</w:t>
      </w:r>
      <w:r>
        <w:rPr>
          <w:rFonts w:ascii="Arial"/>
          <w:i/>
          <w:spacing w:val="-4"/>
          <w:sz w:val="14"/>
        </w:rPr>
        <w:t> </w:t>
      </w:r>
      <w:r>
        <w:rPr>
          <w:rFonts w:ascii="Arial"/>
          <w:i/>
          <w:sz w:val="14"/>
        </w:rPr>
        <w:t>derivatives</w:t>
      </w:r>
      <w:r>
        <w:rPr>
          <w:rFonts w:ascii="Arial"/>
          <w:i/>
          <w:spacing w:val="-5"/>
          <w:sz w:val="14"/>
        </w:rPr>
        <w:t> </w:t>
      </w:r>
      <w:r>
        <w:rPr>
          <w:rFonts w:ascii="Arial"/>
          <w:i/>
          <w:sz w:val="14"/>
        </w:rPr>
        <w:t>associated</w:t>
      </w:r>
      <w:r>
        <w:rPr>
          <w:rFonts w:ascii="Arial"/>
          <w:i/>
          <w:spacing w:val="-4"/>
          <w:sz w:val="14"/>
        </w:rPr>
        <w:t> </w:t>
      </w:r>
      <w:r>
        <w:rPr>
          <w:rFonts w:ascii="Arial"/>
          <w:i/>
          <w:sz w:val="14"/>
        </w:rPr>
        <w:t>with</w:t>
      </w:r>
      <w:r>
        <w:rPr>
          <w:rFonts w:ascii="Arial"/>
          <w:i/>
          <w:spacing w:val="-4"/>
          <w:sz w:val="14"/>
        </w:rPr>
        <w:t> </w:t>
      </w:r>
      <w:r>
        <w:rPr>
          <w:rFonts w:ascii="Arial"/>
          <w:i/>
          <w:sz w:val="14"/>
        </w:rPr>
        <w:t>borrowings</w:t>
      </w:r>
      <w:r>
        <w:rPr>
          <w:rFonts w:ascii="Arial"/>
          <w:i/>
          <w:spacing w:val="-4"/>
          <w:sz w:val="14"/>
        </w:rPr>
        <w:t> </w:t>
      </w:r>
      <w:r>
        <w:rPr>
          <w:rFonts w:ascii="Arial"/>
          <w:i/>
          <w:sz w:val="14"/>
        </w:rPr>
        <w:t>(unrealized</w:t>
      </w:r>
      <w:r>
        <w:rPr>
          <w:rFonts w:ascii="Arial"/>
          <w:i/>
          <w:spacing w:val="-5"/>
          <w:sz w:val="14"/>
        </w:rPr>
        <w:t> </w:t>
      </w:r>
      <w:r>
        <w:rPr>
          <w:rFonts w:ascii="Arial"/>
          <w:i/>
          <w:sz w:val="14"/>
        </w:rPr>
        <w:t>mark-to-market</w:t>
      </w:r>
      <w:r>
        <w:rPr>
          <w:rFonts w:ascii="Arial"/>
          <w:i/>
          <w:spacing w:val="-8"/>
          <w:sz w:val="14"/>
        </w:rPr>
        <w:t> </w:t>
      </w:r>
      <w:r>
        <w:rPr>
          <w:rFonts w:ascii="Arial"/>
          <w:i/>
          <w:sz w:val="14"/>
        </w:rPr>
        <w:t>losses</w:t>
      </w:r>
      <w:r>
        <w:rPr>
          <w:rFonts w:ascii="Arial"/>
          <w:i/>
          <w:spacing w:val="-5"/>
          <w:sz w:val="14"/>
        </w:rPr>
        <w:t> of</w:t>
      </w:r>
    </w:p>
    <w:p>
      <w:pPr>
        <w:spacing w:line="159" w:lineRule="exact" w:before="0"/>
        <w:ind w:left="952" w:right="0" w:firstLine="0"/>
        <w:jc w:val="left"/>
        <w:rPr>
          <w:rFonts w:ascii="Arial" w:hAnsi="Arial"/>
          <w:i/>
          <w:sz w:val="14"/>
        </w:rPr>
      </w:pPr>
      <w:r>
        <w:rPr>
          <w:rFonts w:ascii="Arial" w:hAnsi="Arial"/>
          <w:i/>
          <w:sz w:val="14"/>
        </w:rPr>
        <w:t>$20,790</w:t>
      </w:r>
      <w:r>
        <w:rPr>
          <w:rFonts w:ascii="Arial" w:hAnsi="Arial"/>
          <w:i/>
          <w:spacing w:val="-8"/>
          <w:sz w:val="14"/>
        </w:rPr>
        <w:t> </w:t>
      </w:r>
      <w:r>
        <w:rPr>
          <w:rFonts w:ascii="Arial" w:hAnsi="Arial"/>
          <w:i/>
          <w:sz w:val="14"/>
        </w:rPr>
        <w:t>million—June</w:t>
      </w:r>
      <w:r>
        <w:rPr>
          <w:rFonts w:ascii="Arial" w:hAnsi="Arial"/>
          <w:i/>
          <w:spacing w:val="-4"/>
          <w:sz w:val="14"/>
        </w:rPr>
        <w:t> </w:t>
      </w:r>
      <w:r>
        <w:rPr>
          <w:rFonts w:ascii="Arial" w:hAnsi="Arial"/>
          <w:i/>
          <w:sz w:val="14"/>
        </w:rPr>
        <w:t>30,</w:t>
      </w:r>
      <w:r>
        <w:rPr>
          <w:rFonts w:ascii="Arial" w:hAnsi="Arial"/>
          <w:i/>
          <w:spacing w:val="-4"/>
          <w:sz w:val="14"/>
        </w:rPr>
        <w:t> </w:t>
      </w:r>
      <w:r>
        <w:rPr>
          <w:rFonts w:ascii="Arial" w:hAnsi="Arial"/>
          <w:i/>
          <w:sz w:val="14"/>
        </w:rPr>
        <w:t>2022</w:t>
      </w:r>
      <w:r>
        <w:rPr>
          <w:rFonts w:ascii="Arial" w:hAnsi="Arial"/>
          <w:i/>
          <w:spacing w:val="-5"/>
          <w:sz w:val="14"/>
        </w:rPr>
        <w:t> </w:t>
      </w:r>
      <w:r>
        <w:rPr>
          <w:rFonts w:ascii="Arial" w:hAnsi="Arial"/>
          <w:i/>
          <w:sz w:val="14"/>
        </w:rPr>
        <w:t>and</w:t>
      </w:r>
      <w:r>
        <w:rPr>
          <w:rFonts w:ascii="Arial" w:hAnsi="Arial"/>
          <w:i/>
          <w:spacing w:val="-5"/>
          <w:sz w:val="14"/>
        </w:rPr>
        <w:t> </w:t>
      </w:r>
      <w:r>
        <w:rPr>
          <w:rFonts w:ascii="Arial" w:hAnsi="Arial"/>
          <w:i/>
          <w:sz w:val="14"/>
        </w:rPr>
        <w:t>unrealized</w:t>
      </w:r>
      <w:r>
        <w:rPr>
          <w:rFonts w:ascii="Arial" w:hAnsi="Arial"/>
          <w:i/>
          <w:spacing w:val="-4"/>
          <w:sz w:val="14"/>
        </w:rPr>
        <w:t> </w:t>
      </w:r>
      <w:r>
        <w:rPr>
          <w:rFonts w:ascii="Arial" w:hAnsi="Arial"/>
          <w:i/>
          <w:sz w:val="14"/>
        </w:rPr>
        <w:t>mark-to-market</w:t>
      </w:r>
      <w:r>
        <w:rPr>
          <w:rFonts w:ascii="Arial" w:hAnsi="Arial"/>
          <w:i/>
          <w:spacing w:val="-6"/>
          <w:sz w:val="14"/>
        </w:rPr>
        <w:t> </w:t>
      </w:r>
      <w:r>
        <w:rPr>
          <w:rFonts w:ascii="Arial" w:hAnsi="Arial"/>
          <w:i/>
          <w:sz w:val="14"/>
        </w:rPr>
        <w:t>losses</w:t>
      </w:r>
      <w:r>
        <w:rPr>
          <w:rFonts w:ascii="Arial" w:hAnsi="Arial"/>
          <w:i/>
          <w:spacing w:val="-5"/>
          <w:sz w:val="14"/>
        </w:rPr>
        <w:t> </w:t>
      </w:r>
      <w:r>
        <w:rPr>
          <w:rFonts w:ascii="Arial" w:hAnsi="Arial"/>
          <w:i/>
          <w:sz w:val="14"/>
        </w:rPr>
        <w:t>of</w:t>
      </w:r>
      <w:r>
        <w:rPr>
          <w:rFonts w:ascii="Arial" w:hAnsi="Arial"/>
          <w:i/>
          <w:spacing w:val="-5"/>
          <w:sz w:val="14"/>
        </w:rPr>
        <w:t> </w:t>
      </w:r>
      <w:r>
        <w:rPr>
          <w:rFonts w:ascii="Arial" w:hAnsi="Arial"/>
          <w:i/>
          <w:sz w:val="14"/>
        </w:rPr>
        <w:t>$7,209</w:t>
      </w:r>
      <w:r>
        <w:rPr>
          <w:rFonts w:ascii="Arial" w:hAnsi="Arial"/>
          <w:i/>
          <w:spacing w:val="-5"/>
          <w:sz w:val="14"/>
        </w:rPr>
        <w:t> </w:t>
      </w:r>
      <w:r>
        <w:rPr>
          <w:rFonts w:ascii="Arial" w:hAnsi="Arial"/>
          <w:i/>
          <w:sz w:val="14"/>
        </w:rPr>
        <w:t>million—June</w:t>
      </w:r>
      <w:r>
        <w:rPr>
          <w:rFonts w:ascii="Arial" w:hAnsi="Arial"/>
          <w:i/>
          <w:spacing w:val="-4"/>
          <w:sz w:val="14"/>
        </w:rPr>
        <w:t> </w:t>
      </w:r>
      <w:r>
        <w:rPr>
          <w:rFonts w:ascii="Arial" w:hAnsi="Arial"/>
          <w:i/>
          <w:sz w:val="14"/>
        </w:rPr>
        <w:t>30,</w:t>
      </w:r>
      <w:r>
        <w:rPr>
          <w:rFonts w:ascii="Arial" w:hAnsi="Arial"/>
          <w:i/>
          <w:spacing w:val="-4"/>
          <w:sz w:val="14"/>
        </w:rPr>
        <w:t> </w:t>
      </w:r>
      <w:r>
        <w:rPr>
          <w:rFonts w:ascii="Arial" w:hAnsi="Arial"/>
          <w:i/>
          <w:spacing w:val="-2"/>
          <w:sz w:val="14"/>
        </w:rPr>
        <w:t>2021).</w:t>
      </w:r>
    </w:p>
    <w:p>
      <w:pPr>
        <w:pStyle w:val="BodyText"/>
        <w:spacing w:before="42"/>
        <w:rPr>
          <w:rFonts w:ascii="Arial"/>
          <w:i/>
          <w:sz w:val="14"/>
        </w:rPr>
      </w:pPr>
    </w:p>
    <w:p>
      <w:pPr>
        <w:pStyle w:val="Heading3"/>
      </w:pPr>
      <w:bookmarkStart w:name="NOTE M—CONTINGENCIES" w:id="218"/>
      <w:bookmarkEnd w:id="218"/>
      <w:r>
        <w:rPr>
          <w:b w:val="0"/>
        </w:rPr>
      </w:r>
      <w:r>
        <w:rPr/>
        <w:t>NOTE</w:t>
      </w:r>
      <w:r>
        <w:rPr>
          <w:spacing w:val="-2"/>
        </w:rPr>
        <w:t> </w:t>
      </w:r>
      <w:r>
        <w:rPr/>
        <w:t>M—</w:t>
      </w:r>
      <w:r>
        <w:rPr>
          <w:spacing w:val="-2"/>
        </w:rPr>
        <w:t>CONTINGENCIES</w:t>
      </w:r>
    </w:p>
    <w:p>
      <w:pPr>
        <w:pStyle w:val="BodyText"/>
        <w:spacing w:line="249" w:lineRule="auto" w:before="130"/>
        <w:ind w:left="720" w:right="719"/>
        <w:jc w:val="both"/>
      </w:pPr>
      <w:r>
        <w:rPr/>
        <w:t>From time to time, IBRD may be named as a defendant or co-defendant in legal actions on different grounds in various</w:t>
      </w:r>
      <w:r>
        <w:rPr>
          <w:spacing w:val="-2"/>
        </w:rPr>
        <w:t> </w:t>
      </w:r>
      <w:r>
        <w:rPr/>
        <w:t>jurisdictions.</w:t>
      </w:r>
      <w:r>
        <w:rPr>
          <w:spacing w:val="-2"/>
        </w:rPr>
        <w:t> </w:t>
      </w:r>
      <w:r>
        <w:rPr/>
        <w:t>The</w:t>
      </w:r>
      <w:r>
        <w:rPr>
          <w:spacing w:val="-2"/>
        </w:rPr>
        <w:t> </w:t>
      </w:r>
      <w:r>
        <w:rPr/>
        <w:t>outcome</w:t>
      </w:r>
      <w:r>
        <w:rPr>
          <w:spacing w:val="-2"/>
        </w:rPr>
        <w:t> </w:t>
      </w:r>
      <w:r>
        <w:rPr/>
        <w:t>of</w:t>
      </w:r>
      <w:r>
        <w:rPr>
          <w:spacing w:val="-2"/>
        </w:rPr>
        <w:t> </w:t>
      </w:r>
      <w:r>
        <w:rPr/>
        <w:t>any</w:t>
      </w:r>
      <w:r>
        <w:rPr>
          <w:spacing w:val="-2"/>
        </w:rPr>
        <w:t> </w:t>
      </w:r>
      <w:r>
        <w:rPr/>
        <w:t>existing</w:t>
      </w:r>
      <w:r>
        <w:rPr>
          <w:spacing w:val="-2"/>
        </w:rPr>
        <w:t> </w:t>
      </w:r>
      <w:r>
        <w:rPr/>
        <w:t>legal</w:t>
      </w:r>
      <w:r>
        <w:rPr>
          <w:spacing w:val="-2"/>
        </w:rPr>
        <w:t> </w:t>
      </w:r>
      <w:r>
        <w:rPr/>
        <w:t>action,</w:t>
      </w:r>
      <w:r>
        <w:rPr>
          <w:spacing w:val="-2"/>
        </w:rPr>
        <w:t> </w:t>
      </w:r>
      <w:r>
        <w:rPr/>
        <w:t>in</w:t>
      </w:r>
      <w:r>
        <w:rPr>
          <w:spacing w:val="-2"/>
        </w:rPr>
        <w:t> </w:t>
      </w:r>
      <w:r>
        <w:rPr/>
        <w:t>which</w:t>
      </w:r>
      <w:r>
        <w:rPr>
          <w:spacing w:val="-2"/>
        </w:rPr>
        <w:t> </w:t>
      </w:r>
      <w:r>
        <w:rPr/>
        <w:t>IBRD</w:t>
      </w:r>
      <w:r>
        <w:rPr>
          <w:spacing w:val="-2"/>
        </w:rPr>
        <w:t> </w:t>
      </w:r>
      <w:r>
        <w:rPr/>
        <w:t>has</w:t>
      </w:r>
      <w:r>
        <w:rPr>
          <w:spacing w:val="-2"/>
        </w:rPr>
        <w:t> </w:t>
      </w:r>
      <w:r>
        <w:rPr/>
        <w:t>been</w:t>
      </w:r>
      <w:r>
        <w:rPr>
          <w:spacing w:val="-2"/>
        </w:rPr>
        <w:t> </w:t>
      </w:r>
      <w:r>
        <w:rPr/>
        <w:t>named</w:t>
      </w:r>
      <w:r>
        <w:rPr>
          <w:spacing w:val="-2"/>
        </w:rPr>
        <w:t> </w:t>
      </w:r>
      <w:r>
        <w:rPr/>
        <w:t>as</w:t>
      </w:r>
      <w:r>
        <w:rPr>
          <w:spacing w:val="-2"/>
        </w:rPr>
        <w:t> </w:t>
      </w:r>
      <w:r>
        <w:rPr/>
        <w:t>a</w:t>
      </w:r>
      <w:r>
        <w:rPr>
          <w:spacing w:val="-2"/>
        </w:rPr>
        <w:t> </w:t>
      </w:r>
      <w:r>
        <w:rPr/>
        <w:t>defendant</w:t>
      </w:r>
      <w:r>
        <w:rPr>
          <w:spacing w:val="-2"/>
        </w:rPr>
        <w:t> </w:t>
      </w:r>
      <w:r>
        <w:rPr/>
        <w:t>or</w:t>
      </w:r>
      <w:r>
        <w:rPr>
          <w:spacing w:val="-2"/>
        </w:rPr>
        <w:t> </w:t>
      </w:r>
      <w:r>
        <w:rPr/>
        <w:t>co-defendant, as of and for the fiscal year ended June 30, 2023, is not expected to have a material adverse effect on IBRD's financial position, results of operations or cash flows.</w:t>
      </w:r>
    </w:p>
    <w:sectPr>
      <w:type w:val="continuous"/>
      <w:pgSz w:w="12240" w:h="15840"/>
      <w:pgMar w:header="0" w:footer="528"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19808">
              <wp:simplePos x="0" y="0"/>
              <wp:positionH relativeFrom="page">
                <wp:posOffset>2991992</wp:posOffset>
              </wp:positionH>
              <wp:positionV relativeFrom="page">
                <wp:posOffset>9465910</wp:posOffset>
              </wp:positionV>
              <wp:extent cx="3464560" cy="1676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96672" type="#_x0000_t202" id="docshape10"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20320">
              <wp:simplePos x="0" y="0"/>
              <wp:positionH relativeFrom="page">
                <wp:posOffset>6715886</wp:posOffset>
              </wp:positionH>
              <wp:positionV relativeFrom="page">
                <wp:posOffset>9465910</wp:posOffset>
              </wp:positionV>
              <wp:extent cx="160020"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0020" cy="167640"/>
                      </a:xfrm>
                      <a:prstGeom prst="rect">
                        <a:avLst/>
                      </a:prstGeom>
                    </wps:spPr>
                    <wps:txbx>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528.809998pt;margin-top:745.34729pt;width:12.6pt;height:13.2pt;mso-position-horizontal-relative:page;mso-position-vertical-relative:page;z-index:-32796160" type="#_x0000_t202" id="docshape11" filled="false" stroked="false">
              <v:textbox inset="0,0,0,0">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1</w:t>
                    </w:r>
                    <w:r>
                      <w:rPr>
                        <w:rFonts w:ascii="Arial MT"/>
                        <w:spacing w:val="-1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0832">
              <wp:simplePos x="0" y="0"/>
              <wp:positionH relativeFrom="page">
                <wp:posOffset>876300</wp:posOffset>
              </wp:positionH>
              <wp:positionV relativeFrom="page">
                <wp:posOffset>9548460</wp:posOffset>
              </wp:positionV>
              <wp:extent cx="160020" cy="1676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0020" cy="167640"/>
                      </a:xfrm>
                      <a:prstGeom prst="rect">
                        <a:avLst/>
                      </a:prstGeom>
                    </wps:spPr>
                    <wps:txbx>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2</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69pt;margin-top:751.84729pt;width:12.6pt;height:13.2pt;mso-position-horizontal-relative:page;mso-position-vertical-relative:page;z-index:-32795648" type="#_x0000_t202" id="docshape12" filled="false" stroked="false">
              <v:textbox inset="0,0,0,0">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2</w:t>
                    </w:r>
                    <w:r>
                      <w:rPr>
                        <w:rFonts w:ascii="Arial MT"/>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21344">
              <wp:simplePos x="0" y="0"/>
              <wp:positionH relativeFrom="page">
                <wp:posOffset>1218565</wp:posOffset>
              </wp:positionH>
              <wp:positionV relativeFrom="page">
                <wp:posOffset>9548460</wp:posOffset>
              </wp:positionV>
              <wp:extent cx="3466465" cy="1676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95.950005pt;margin-top:751.84729pt;width:272.95pt;height:13.2pt;mso-position-horizontal-relative:page;mso-position-vertical-relative:page;z-index:-32795136" type="#_x0000_t202" id="docshape13"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4928">
              <wp:simplePos x="0" y="0"/>
              <wp:positionH relativeFrom="page">
                <wp:posOffset>876300</wp:posOffset>
              </wp:positionH>
              <wp:positionV relativeFrom="page">
                <wp:posOffset>9548460</wp:posOffset>
              </wp:positionV>
              <wp:extent cx="160020" cy="16764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60020" cy="167640"/>
                      </a:xfrm>
                      <a:prstGeom prst="rect">
                        <a:avLst/>
                      </a:prstGeom>
                    </wps:spPr>
                    <wps:txbx>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6</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69pt;margin-top:751.84729pt;width:12.6pt;height:13.2pt;mso-position-horizontal-relative:page;mso-position-vertical-relative:page;z-index:-32791552" type="#_x0000_t202" id="docshape65" filled="false" stroked="false">
              <v:textbox inset="0,0,0,0">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6</w:t>
                    </w:r>
                    <w:r>
                      <w:rPr>
                        <w:rFonts w:ascii="Arial MT"/>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25440">
              <wp:simplePos x="0" y="0"/>
              <wp:positionH relativeFrom="page">
                <wp:posOffset>1218565</wp:posOffset>
              </wp:positionH>
              <wp:positionV relativeFrom="page">
                <wp:posOffset>9548460</wp:posOffset>
              </wp:positionV>
              <wp:extent cx="3466465" cy="1676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95.950005pt;margin-top:751.84729pt;width:272.95pt;height:13.2pt;mso-position-horizontal-relative:page;mso-position-vertical-relative:page;z-index:-32791040" type="#_x0000_t202" id="docshape66"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5952">
              <wp:simplePos x="0" y="0"/>
              <wp:positionH relativeFrom="page">
                <wp:posOffset>2991992</wp:posOffset>
              </wp:positionH>
              <wp:positionV relativeFrom="page">
                <wp:posOffset>9465910</wp:posOffset>
              </wp:positionV>
              <wp:extent cx="3464560" cy="16764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90528" type="#_x0000_t202" id="docshape67"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26464">
              <wp:simplePos x="0" y="0"/>
              <wp:positionH relativeFrom="page">
                <wp:posOffset>6715886</wp:posOffset>
              </wp:positionH>
              <wp:positionV relativeFrom="page">
                <wp:posOffset>9465910</wp:posOffset>
              </wp:positionV>
              <wp:extent cx="160020" cy="16764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0020" cy="167640"/>
                      </a:xfrm>
                      <a:prstGeom prst="rect">
                        <a:avLst/>
                      </a:prstGeom>
                    </wps:spPr>
                    <wps:txbx>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7</w:t>
                          </w:r>
                          <w:r>
                            <w:rPr>
                              <w:rFonts w:ascii="Arial MT"/>
                              <w:spacing w:val="-10"/>
                            </w:rPr>
                            <w:fldChar w:fldCharType="end"/>
                          </w:r>
                        </w:p>
                      </w:txbxContent>
                    </wps:txbx>
                    <wps:bodyPr wrap="square" lIns="0" tIns="0" rIns="0" bIns="0" rtlCol="0">
                      <a:noAutofit/>
                    </wps:bodyPr>
                  </wps:wsp>
                </a:graphicData>
              </a:graphic>
            </wp:anchor>
          </w:drawing>
        </mc:Choice>
        <mc:Fallback>
          <w:pict>
            <v:shape style="position:absolute;margin-left:528.809998pt;margin-top:745.34729pt;width:12.6pt;height:13.2pt;mso-position-horizontal-relative:page;mso-position-vertical-relative:page;z-index:-32790016" type="#_x0000_t202" id="docshape68" filled="false" stroked="false">
              <v:textbox inset="0,0,0,0">
                <w:txbxContent>
                  <w:p>
                    <w:pPr>
                      <w:pStyle w:val="BodyText"/>
                      <w:spacing w:before="13"/>
                      <w:ind w:left="60"/>
                      <w:rPr>
                        <w:rFonts w:ascii="Arial MT"/>
                      </w:rPr>
                    </w:pPr>
                    <w:r>
                      <w:rPr>
                        <w:rFonts w:ascii="Arial MT"/>
                        <w:spacing w:val="-10"/>
                      </w:rPr>
                      <w:fldChar w:fldCharType="begin"/>
                    </w:r>
                    <w:r>
                      <w:rPr>
                        <w:rFonts w:ascii="Arial MT"/>
                        <w:spacing w:val="-10"/>
                      </w:rPr>
                      <w:instrText> PAGE </w:instrText>
                    </w:r>
                    <w:r>
                      <w:rPr>
                        <w:rFonts w:ascii="Arial MT"/>
                        <w:spacing w:val="-10"/>
                      </w:rPr>
                      <w:fldChar w:fldCharType="separate"/>
                    </w:r>
                    <w:r>
                      <w:rPr>
                        <w:rFonts w:ascii="Arial MT"/>
                        <w:spacing w:val="-10"/>
                      </w:rPr>
                      <w:t>7</w:t>
                    </w:r>
                    <w:r>
                      <w:rPr>
                        <w:rFonts w:ascii="Arial MT"/>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0048">
              <wp:simplePos x="0" y="0"/>
              <wp:positionH relativeFrom="page">
                <wp:posOffset>2991992</wp:posOffset>
              </wp:positionH>
              <wp:positionV relativeFrom="page">
                <wp:posOffset>9465910</wp:posOffset>
              </wp:positionV>
              <wp:extent cx="3464560" cy="1676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86432" type="#_x0000_t202" id="docshape79"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30560">
              <wp:simplePos x="0" y="0"/>
              <wp:positionH relativeFrom="page">
                <wp:posOffset>6670675</wp:posOffset>
              </wp:positionH>
              <wp:positionV relativeFrom="page">
                <wp:posOffset>9465910</wp:posOffset>
              </wp:positionV>
              <wp:extent cx="205104" cy="1676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5104" cy="167640"/>
                      </a:xfrm>
                      <a:prstGeom prst="rect">
                        <a:avLst/>
                      </a:prstGeom>
                    </wps:spPr>
                    <wps:txbx>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5.25pt;margin-top:745.34729pt;width:16.1500pt;height:13.2pt;mso-position-horizontal-relative:page;mso-position-vertical-relative:page;z-index:-32785920" type="#_x0000_t202" id="docshape80" filled="false" stroked="false">
              <v:textbox inset="0,0,0,0">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w:t>
                    </w:r>
                    <w:r>
                      <w:rPr>
                        <w:rFonts w:ascii="Arial MT"/>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1072">
              <wp:simplePos x="0" y="0"/>
              <wp:positionH relativeFrom="page">
                <wp:posOffset>876300</wp:posOffset>
              </wp:positionH>
              <wp:positionV relativeFrom="page">
                <wp:posOffset>9548460</wp:posOffset>
              </wp:positionV>
              <wp:extent cx="230504" cy="16764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85408" type="#_x0000_t202" id="docshape8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31584">
              <wp:simplePos x="0" y="0"/>
              <wp:positionH relativeFrom="page">
                <wp:posOffset>1289177</wp:posOffset>
              </wp:positionH>
              <wp:positionV relativeFrom="page">
                <wp:posOffset>9548460</wp:posOffset>
              </wp:positionV>
              <wp:extent cx="3466465" cy="16764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84896" type="#_x0000_t202" id="docshape82"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5168">
              <wp:simplePos x="0" y="0"/>
              <wp:positionH relativeFrom="page">
                <wp:posOffset>2991992</wp:posOffset>
              </wp:positionH>
              <wp:positionV relativeFrom="page">
                <wp:posOffset>9465910</wp:posOffset>
              </wp:positionV>
              <wp:extent cx="3464560" cy="16764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81312" type="#_x0000_t202" id="docshape176"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35680">
              <wp:simplePos x="0" y="0"/>
              <wp:positionH relativeFrom="page">
                <wp:posOffset>6645275</wp:posOffset>
              </wp:positionH>
              <wp:positionV relativeFrom="page">
                <wp:posOffset>9465910</wp:posOffset>
              </wp:positionV>
              <wp:extent cx="230504" cy="16764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80800" type="#_x0000_t202" id="docshape17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19</w:t>
                    </w:r>
                    <w:r>
                      <w:rPr>
                        <w:rFonts w:ascii="Arial MT"/>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6192">
              <wp:simplePos x="0" y="0"/>
              <wp:positionH relativeFrom="page">
                <wp:posOffset>876300</wp:posOffset>
              </wp:positionH>
              <wp:positionV relativeFrom="page">
                <wp:posOffset>9548460</wp:posOffset>
              </wp:positionV>
              <wp:extent cx="230504" cy="16764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80288" type="#_x0000_t202" id="docshape17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36704">
              <wp:simplePos x="0" y="0"/>
              <wp:positionH relativeFrom="page">
                <wp:posOffset>1289177</wp:posOffset>
              </wp:positionH>
              <wp:positionV relativeFrom="page">
                <wp:posOffset>9548460</wp:posOffset>
              </wp:positionV>
              <wp:extent cx="3466465" cy="16764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79776" type="#_x0000_t202" id="docshape179"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0288">
              <wp:simplePos x="0" y="0"/>
              <wp:positionH relativeFrom="page">
                <wp:posOffset>2991992</wp:posOffset>
              </wp:positionH>
              <wp:positionV relativeFrom="page">
                <wp:posOffset>9465910</wp:posOffset>
              </wp:positionV>
              <wp:extent cx="3464560" cy="16764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76192" type="#_x0000_t202" id="docshape250"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40800">
              <wp:simplePos x="0" y="0"/>
              <wp:positionH relativeFrom="page">
                <wp:posOffset>6645275</wp:posOffset>
              </wp:positionH>
              <wp:positionV relativeFrom="page">
                <wp:posOffset>9465910</wp:posOffset>
              </wp:positionV>
              <wp:extent cx="230504" cy="16764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75680" type="#_x0000_t202" id="docshape25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25</w:t>
                    </w:r>
                    <w:r>
                      <w:rPr>
                        <w:rFonts w:ascii="Arial MT"/>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1312">
              <wp:simplePos x="0" y="0"/>
              <wp:positionH relativeFrom="page">
                <wp:posOffset>876300</wp:posOffset>
              </wp:positionH>
              <wp:positionV relativeFrom="page">
                <wp:posOffset>9548460</wp:posOffset>
              </wp:positionV>
              <wp:extent cx="230504" cy="16764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75168" type="#_x0000_t202" id="docshape25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26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41824">
              <wp:simplePos x="0" y="0"/>
              <wp:positionH relativeFrom="page">
                <wp:posOffset>1289177</wp:posOffset>
              </wp:positionH>
              <wp:positionV relativeFrom="page">
                <wp:posOffset>9548460</wp:posOffset>
              </wp:positionV>
              <wp:extent cx="3466465" cy="16764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74656" type="#_x0000_t202" id="docshape253"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5408">
              <wp:simplePos x="0" y="0"/>
              <wp:positionH relativeFrom="page">
                <wp:posOffset>876300</wp:posOffset>
              </wp:positionH>
              <wp:positionV relativeFrom="page">
                <wp:posOffset>9548460</wp:posOffset>
              </wp:positionV>
              <wp:extent cx="230504" cy="16764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71072" type="#_x0000_t202" id="docshape27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45920">
              <wp:simplePos x="0" y="0"/>
              <wp:positionH relativeFrom="page">
                <wp:posOffset>1289177</wp:posOffset>
              </wp:positionH>
              <wp:positionV relativeFrom="page">
                <wp:posOffset>9548460</wp:posOffset>
              </wp:positionV>
              <wp:extent cx="3466465" cy="16764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70560" type="#_x0000_t202" id="docshape271"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6432">
              <wp:simplePos x="0" y="0"/>
              <wp:positionH relativeFrom="page">
                <wp:posOffset>2991992</wp:posOffset>
              </wp:positionH>
              <wp:positionV relativeFrom="page">
                <wp:posOffset>9465910</wp:posOffset>
              </wp:positionV>
              <wp:extent cx="3464560" cy="16764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70048" type="#_x0000_t202" id="docshape272"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46944">
              <wp:simplePos x="0" y="0"/>
              <wp:positionH relativeFrom="page">
                <wp:posOffset>6645275</wp:posOffset>
              </wp:positionH>
              <wp:positionV relativeFrom="page">
                <wp:posOffset>9465910</wp:posOffset>
              </wp:positionV>
              <wp:extent cx="230504" cy="16764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69536" type="#_x0000_t202" id="docshape27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31</w:t>
                    </w:r>
                    <w:r>
                      <w:rPr>
                        <w:rFonts w:ascii="Arial MT"/>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0528">
              <wp:simplePos x="0" y="0"/>
              <wp:positionH relativeFrom="page">
                <wp:posOffset>876300</wp:posOffset>
              </wp:positionH>
              <wp:positionV relativeFrom="page">
                <wp:posOffset>9548460</wp:posOffset>
              </wp:positionV>
              <wp:extent cx="230504" cy="16764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65952" type="#_x0000_t202" id="docshape31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51040">
              <wp:simplePos x="0" y="0"/>
              <wp:positionH relativeFrom="page">
                <wp:posOffset>1289177</wp:posOffset>
              </wp:positionH>
              <wp:positionV relativeFrom="page">
                <wp:posOffset>9548460</wp:posOffset>
              </wp:positionV>
              <wp:extent cx="3466465" cy="16764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65440" type="#_x0000_t202" id="docshape312"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1552">
              <wp:simplePos x="0" y="0"/>
              <wp:positionH relativeFrom="page">
                <wp:posOffset>2991992</wp:posOffset>
              </wp:positionH>
              <wp:positionV relativeFrom="page">
                <wp:posOffset>9465910</wp:posOffset>
              </wp:positionV>
              <wp:extent cx="3464560" cy="16764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64928" type="#_x0000_t202" id="docshape313"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52064">
              <wp:simplePos x="0" y="0"/>
              <wp:positionH relativeFrom="page">
                <wp:posOffset>6645275</wp:posOffset>
              </wp:positionH>
              <wp:positionV relativeFrom="page">
                <wp:posOffset>9465910</wp:posOffset>
              </wp:positionV>
              <wp:extent cx="230504" cy="16764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64416" type="#_x0000_t202" id="docshape31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33</w:t>
                    </w:r>
                    <w:r>
                      <w:rPr>
                        <w:rFonts w:ascii="Arial MT"/>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5648">
              <wp:simplePos x="0" y="0"/>
              <wp:positionH relativeFrom="page">
                <wp:posOffset>2991992</wp:posOffset>
              </wp:positionH>
              <wp:positionV relativeFrom="page">
                <wp:posOffset>9465910</wp:posOffset>
              </wp:positionV>
              <wp:extent cx="3464560" cy="16764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60832" type="#_x0000_t202" id="docshape355"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56160">
              <wp:simplePos x="0" y="0"/>
              <wp:positionH relativeFrom="page">
                <wp:posOffset>6645275</wp:posOffset>
              </wp:positionH>
              <wp:positionV relativeFrom="page">
                <wp:posOffset>9465910</wp:posOffset>
              </wp:positionV>
              <wp:extent cx="230504" cy="16764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60320" type="#_x0000_t202" id="docshape35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35</w:t>
                    </w:r>
                    <w:r>
                      <w:rPr>
                        <w:rFonts w:ascii="Arial MT"/>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6672">
              <wp:simplePos x="0" y="0"/>
              <wp:positionH relativeFrom="page">
                <wp:posOffset>876300</wp:posOffset>
              </wp:positionH>
              <wp:positionV relativeFrom="page">
                <wp:posOffset>9548460</wp:posOffset>
              </wp:positionV>
              <wp:extent cx="230504" cy="16764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59808" type="#_x0000_t202" id="docshape35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57184">
              <wp:simplePos x="0" y="0"/>
              <wp:positionH relativeFrom="page">
                <wp:posOffset>1289177</wp:posOffset>
              </wp:positionH>
              <wp:positionV relativeFrom="page">
                <wp:posOffset>9548460</wp:posOffset>
              </wp:positionV>
              <wp:extent cx="3466465" cy="16764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59296" type="#_x0000_t202" id="docshape358"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0768">
              <wp:simplePos x="0" y="0"/>
              <wp:positionH relativeFrom="page">
                <wp:posOffset>876300</wp:posOffset>
              </wp:positionH>
              <wp:positionV relativeFrom="page">
                <wp:posOffset>9548460</wp:posOffset>
              </wp:positionV>
              <wp:extent cx="230504" cy="16764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55712" type="#_x0000_t202" id="docshape39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61280">
              <wp:simplePos x="0" y="0"/>
              <wp:positionH relativeFrom="page">
                <wp:posOffset>1289177</wp:posOffset>
              </wp:positionH>
              <wp:positionV relativeFrom="page">
                <wp:posOffset>9548460</wp:posOffset>
              </wp:positionV>
              <wp:extent cx="3466465" cy="16764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55200" type="#_x0000_t202" id="docshape393"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1792">
              <wp:simplePos x="0" y="0"/>
              <wp:positionH relativeFrom="page">
                <wp:posOffset>2991992</wp:posOffset>
              </wp:positionH>
              <wp:positionV relativeFrom="page">
                <wp:posOffset>9465910</wp:posOffset>
              </wp:positionV>
              <wp:extent cx="3464560" cy="16764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54688" type="#_x0000_t202" id="docshape394"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62304">
              <wp:simplePos x="0" y="0"/>
              <wp:positionH relativeFrom="page">
                <wp:posOffset>6645275</wp:posOffset>
              </wp:positionH>
              <wp:positionV relativeFrom="page">
                <wp:posOffset>9465910</wp:posOffset>
              </wp:positionV>
              <wp:extent cx="230504" cy="16764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54176" type="#_x0000_t202" id="docshape39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39</w:t>
                    </w:r>
                    <w:r>
                      <w:rPr>
                        <w:rFonts w:ascii="Arial MT"/>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5888">
              <wp:simplePos x="0" y="0"/>
              <wp:positionH relativeFrom="page">
                <wp:posOffset>876300</wp:posOffset>
              </wp:positionH>
              <wp:positionV relativeFrom="page">
                <wp:posOffset>9548460</wp:posOffset>
              </wp:positionV>
              <wp:extent cx="230504" cy="16764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50592" type="#_x0000_t202" id="docshape45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66400">
              <wp:simplePos x="0" y="0"/>
              <wp:positionH relativeFrom="page">
                <wp:posOffset>1289177</wp:posOffset>
              </wp:positionH>
              <wp:positionV relativeFrom="page">
                <wp:posOffset>9548460</wp:posOffset>
              </wp:positionV>
              <wp:extent cx="3466465" cy="16764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50080" type="#_x0000_t202" id="docshape457"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6912">
              <wp:simplePos x="0" y="0"/>
              <wp:positionH relativeFrom="page">
                <wp:posOffset>2991992</wp:posOffset>
              </wp:positionH>
              <wp:positionV relativeFrom="page">
                <wp:posOffset>9465910</wp:posOffset>
              </wp:positionV>
              <wp:extent cx="3464560" cy="16764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49568" type="#_x0000_t202" id="docshape458"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67424">
              <wp:simplePos x="0" y="0"/>
              <wp:positionH relativeFrom="page">
                <wp:posOffset>6645275</wp:posOffset>
              </wp:positionH>
              <wp:positionV relativeFrom="page">
                <wp:posOffset>9465910</wp:posOffset>
              </wp:positionV>
              <wp:extent cx="230504" cy="16764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49056" type="#_x0000_t202" id="docshape459"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57</w:t>
                    </w:r>
                    <w:r>
                      <w:rPr>
                        <w:rFonts w:ascii="Arial MT"/>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1008">
              <wp:simplePos x="0" y="0"/>
              <wp:positionH relativeFrom="page">
                <wp:posOffset>876300</wp:posOffset>
              </wp:positionH>
              <wp:positionV relativeFrom="page">
                <wp:posOffset>9548460</wp:posOffset>
              </wp:positionV>
              <wp:extent cx="230504" cy="16764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45472" type="#_x0000_t202" id="docshape47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71520">
              <wp:simplePos x="0" y="0"/>
              <wp:positionH relativeFrom="page">
                <wp:posOffset>1289177</wp:posOffset>
              </wp:positionH>
              <wp:positionV relativeFrom="page">
                <wp:posOffset>9548460</wp:posOffset>
              </wp:positionV>
              <wp:extent cx="3466465" cy="16764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44960" type="#_x0000_t202" id="docshape473"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2032">
              <wp:simplePos x="0" y="0"/>
              <wp:positionH relativeFrom="page">
                <wp:posOffset>2991992</wp:posOffset>
              </wp:positionH>
              <wp:positionV relativeFrom="page">
                <wp:posOffset>9465910</wp:posOffset>
              </wp:positionV>
              <wp:extent cx="3464560" cy="16764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44448" type="#_x0000_t202" id="docshape474"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72544">
              <wp:simplePos x="0" y="0"/>
              <wp:positionH relativeFrom="page">
                <wp:posOffset>6645275</wp:posOffset>
              </wp:positionH>
              <wp:positionV relativeFrom="page">
                <wp:posOffset>9465910</wp:posOffset>
              </wp:positionV>
              <wp:extent cx="230504" cy="16764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43936" type="#_x0000_t202" id="docshape47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59</w:t>
                    </w:r>
                    <w:r>
                      <w:rPr>
                        <w:rFonts w:ascii="Arial MT"/>
                        <w:spacing w:val="-5"/>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6128">
              <wp:simplePos x="0" y="0"/>
              <wp:positionH relativeFrom="page">
                <wp:posOffset>876300</wp:posOffset>
              </wp:positionH>
              <wp:positionV relativeFrom="page">
                <wp:posOffset>9548460</wp:posOffset>
              </wp:positionV>
              <wp:extent cx="230504" cy="16764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40352" type="#_x0000_t202" id="docshape48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76640">
              <wp:simplePos x="0" y="0"/>
              <wp:positionH relativeFrom="page">
                <wp:posOffset>1289177</wp:posOffset>
              </wp:positionH>
              <wp:positionV relativeFrom="page">
                <wp:posOffset>9548460</wp:posOffset>
              </wp:positionV>
              <wp:extent cx="3466465" cy="16764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39840" type="#_x0000_t202" id="docshape488"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7152">
              <wp:simplePos x="0" y="0"/>
              <wp:positionH relativeFrom="page">
                <wp:posOffset>2991992</wp:posOffset>
              </wp:positionH>
              <wp:positionV relativeFrom="page">
                <wp:posOffset>9465910</wp:posOffset>
              </wp:positionV>
              <wp:extent cx="3464560" cy="16764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39328" type="#_x0000_t202" id="docshape489"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77664">
              <wp:simplePos x="0" y="0"/>
              <wp:positionH relativeFrom="page">
                <wp:posOffset>6645275</wp:posOffset>
              </wp:positionH>
              <wp:positionV relativeFrom="page">
                <wp:posOffset>9465910</wp:posOffset>
              </wp:positionV>
              <wp:extent cx="230504" cy="16764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38816" type="#_x0000_t202" id="docshape49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61</w:t>
                    </w:r>
                    <w:r>
                      <w:rPr>
                        <w:rFonts w:ascii="Arial MT"/>
                        <w:spacing w:val="-5"/>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1248">
              <wp:simplePos x="0" y="0"/>
              <wp:positionH relativeFrom="page">
                <wp:posOffset>876300</wp:posOffset>
              </wp:positionH>
              <wp:positionV relativeFrom="page">
                <wp:posOffset>9548460</wp:posOffset>
              </wp:positionV>
              <wp:extent cx="230504" cy="16764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35232" type="#_x0000_t202" id="docshape50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81760">
              <wp:simplePos x="0" y="0"/>
              <wp:positionH relativeFrom="page">
                <wp:posOffset>1289177</wp:posOffset>
              </wp:positionH>
              <wp:positionV relativeFrom="page">
                <wp:posOffset>9548460</wp:posOffset>
              </wp:positionV>
              <wp:extent cx="3466465" cy="16764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34720" type="#_x0000_t202" id="docshape501"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2272">
              <wp:simplePos x="0" y="0"/>
              <wp:positionH relativeFrom="page">
                <wp:posOffset>2991992</wp:posOffset>
              </wp:positionH>
              <wp:positionV relativeFrom="page">
                <wp:posOffset>9465910</wp:posOffset>
              </wp:positionV>
              <wp:extent cx="3464560" cy="16764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34208" type="#_x0000_t202" id="docshape502"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82784">
              <wp:simplePos x="0" y="0"/>
              <wp:positionH relativeFrom="page">
                <wp:posOffset>6645275</wp:posOffset>
              </wp:positionH>
              <wp:positionV relativeFrom="page">
                <wp:posOffset>9465910</wp:posOffset>
              </wp:positionV>
              <wp:extent cx="230504" cy="16764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33696" type="#_x0000_t202" id="docshape50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63</w:t>
                    </w:r>
                    <w:r>
                      <w:rPr>
                        <w:rFonts w:ascii="Arial MT"/>
                        <w:spacing w:val="-5"/>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6368">
              <wp:simplePos x="0" y="0"/>
              <wp:positionH relativeFrom="page">
                <wp:posOffset>2991992</wp:posOffset>
              </wp:positionH>
              <wp:positionV relativeFrom="page">
                <wp:posOffset>9465910</wp:posOffset>
              </wp:positionV>
              <wp:extent cx="3464560" cy="16764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3464560" cy="167640"/>
                      </a:xfrm>
                      <a:prstGeom prst="rect">
                        <a:avLst/>
                      </a:prstGeom>
                    </wps:spPr>
                    <wps:txbx>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35.589996pt;margin-top:745.34729pt;width:272.8pt;height:13.2pt;mso-position-horizontal-relative:page;mso-position-vertical-relative:page;z-index:-32730112" type="#_x0000_t202" id="docshape512" filled="false" stroked="false">
              <v:textbox inset="0,0,0,0">
                <w:txbxContent>
                  <w:p>
                    <w:pPr>
                      <w:pStyle w:val="BodyText"/>
                      <w:spacing w:before="13"/>
                      <w:ind w:left="20"/>
                      <w:rPr>
                        <w:rFonts w:ascii="Arial MT"/>
                      </w:rPr>
                    </w:pPr>
                    <w:r>
                      <w:rPr>
                        <w:rFonts w:ascii="Arial MT"/>
                      </w:rPr>
                      <w:t>IBRD</w:t>
                    </w:r>
                    <w:r>
                      <w:rPr>
                        <w:rFonts w:ascii="Arial MT"/>
                        <w:spacing w:val="-9"/>
                      </w:rPr>
                      <w:t> </w:t>
                    </w:r>
                    <w:r>
                      <w:rPr>
                        <w:rFonts w:ascii="Arial MT"/>
                      </w:rPr>
                      <w:t>Management's</w:t>
                    </w:r>
                    <w:r>
                      <w:rPr>
                        <w:rFonts w:ascii="Arial MT"/>
                        <w:spacing w:val="-5"/>
                      </w:rPr>
                      <w:t> </w:t>
                    </w:r>
                    <w:r>
                      <w:rPr>
                        <w:rFonts w:ascii="Arial MT"/>
                      </w:rPr>
                      <w:t>Discussion</w:t>
                    </w:r>
                    <w:r>
                      <w:rPr>
                        <w:rFonts w:ascii="Arial MT"/>
                        <w:spacing w:val="-5"/>
                      </w:rPr>
                      <w:t> </w:t>
                    </w:r>
                    <w:r>
                      <w:rPr>
                        <w:rFonts w:ascii="Arial MT"/>
                      </w:rPr>
                      <w:t>and</w:t>
                    </w:r>
                    <w:r>
                      <w:rPr>
                        <w:rFonts w:ascii="Arial MT"/>
                        <w:spacing w:val="-14"/>
                      </w:rPr>
                      <w:t> </w:t>
                    </w:r>
                    <w:r>
                      <w:rPr>
                        <w:rFonts w:ascii="Arial MT"/>
                      </w:rPr>
                      <w:t>Analysis:</w:t>
                    </w:r>
                    <w:r>
                      <w:rPr>
                        <w:rFonts w:ascii="Arial MT"/>
                        <w:spacing w:val="-5"/>
                      </w:rPr>
                      <w:t> </w:t>
                    </w:r>
                    <w:r>
                      <w:rPr>
                        <w:rFonts w:ascii="Arial MT"/>
                      </w:rPr>
                      <w:t>June</w:t>
                    </w:r>
                    <w:r>
                      <w:rPr>
                        <w:rFonts w:ascii="Arial MT"/>
                        <w:spacing w:val="-5"/>
                      </w:rPr>
                      <w:t> </w:t>
                    </w:r>
                    <w:r>
                      <w:rPr>
                        <w:rFonts w:ascii="Arial MT"/>
                      </w:rPr>
                      <w:t>30,</w:t>
                    </w:r>
                    <w:r>
                      <w:rPr>
                        <w:rFonts w:ascii="Arial MT"/>
                        <w:spacing w:val="-5"/>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86880">
              <wp:simplePos x="0" y="0"/>
              <wp:positionH relativeFrom="page">
                <wp:posOffset>6645275</wp:posOffset>
              </wp:positionH>
              <wp:positionV relativeFrom="page">
                <wp:posOffset>9465910</wp:posOffset>
              </wp:positionV>
              <wp:extent cx="230504" cy="16764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45.34729pt;width:18.150pt;height:13.2pt;mso-position-horizontal-relative:page;mso-position-vertical-relative:page;z-index:-32729600" type="#_x0000_t202" id="docshape51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65</w:t>
                    </w:r>
                    <w:r>
                      <w:rPr>
                        <w:rFonts w:ascii="Arial MT"/>
                        <w:spacing w:val="-5"/>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7392">
              <wp:simplePos x="0" y="0"/>
              <wp:positionH relativeFrom="page">
                <wp:posOffset>876300</wp:posOffset>
              </wp:positionH>
              <wp:positionV relativeFrom="page">
                <wp:posOffset>9548460</wp:posOffset>
              </wp:positionV>
              <wp:extent cx="230504" cy="16764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69pt;margin-top:751.84729pt;width:18.150pt;height:13.2pt;mso-position-horizontal-relative:page;mso-position-vertical-relative:page;z-index:-32729088" type="#_x0000_t202" id="docshape51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66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87904">
              <wp:simplePos x="0" y="0"/>
              <wp:positionH relativeFrom="page">
                <wp:posOffset>1289177</wp:posOffset>
              </wp:positionH>
              <wp:positionV relativeFrom="page">
                <wp:posOffset>9548460</wp:posOffset>
              </wp:positionV>
              <wp:extent cx="3466465" cy="16764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3466465" cy="167640"/>
                      </a:xfrm>
                      <a:prstGeom prst="rect">
                        <a:avLst/>
                      </a:prstGeom>
                    </wps:spPr>
                    <wps:txbx>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wps:txbx>
                    <wps:bodyPr wrap="square" lIns="0" tIns="0" rIns="0" bIns="0" rtlCol="0">
                      <a:noAutofit/>
                    </wps:bodyPr>
                  </wps:wsp>
                </a:graphicData>
              </a:graphic>
            </wp:anchor>
          </w:drawing>
        </mc:Choice>
        <mc:Fallback>
          <w:pict>
            <v:shape style="position:absolute;margin-left:101.510002pt;margin-top:751.84729pt;width:272.95pt;height:13.2pt;mso-position-horizontal-relative:page;mso-position-vertical-relative:page;z-index:-32728576" type="#_x0000_t202" id="docshape515" filled="false" stroked="false">
              <v:textbox inset="0,0,0,0">
                <w:txbxContent>
                  <w:p>
                    <w:pPr>
                      <w:pStyle w:val="BodyText"/>
                      <w:spacing w:before="13"/>
                      <w:ind w:left="20"/>
                      <w:rPr>
                        <w:rFonts w:ascii="Arial MT" w:hAnsi="Arial MT"/>
                      </w:rPr>
                    </w:pPr>
                    <w:r>
                      <w:rPr>
                        <w:rFonts w:ascii="Arial MT" w:hAnsi="Arial MT"/>
                      </w:rPr>
                      <w:t>IBRD</w:t>
                    </w:r>
                    <w:r>
                      <w:rPr>
                        <w:rFonts w:ascii="Arial MT" w:hAnsi="Arial MT"/>
                        <w:spacing w:val="-8"/>
                      </w:rPr>
                      <w:t> </w:t>
                    </w:r>
                    <w:r>
                      <w:rPr>
                        <w:rFonts w:ascii="Arial MT" w:hAnsi="Arial MT"/>
                      </w:rPr>
                      <w:t>Management’s</w:t>
                    </w:r>
                    <w:r>
                      <w:rPr>
                        <w:rFonts w:ascii="Arial MT" w:hAnsi="Arial MT"/>
                        <w:spacing w:val="-5"/>
                      </w:rPr>
                      <w:t> </w:t>
                    </w:r>
                    <w:r>
                      <w:rPr>
                        <w:rFonts w:ascii="Arial MT" w:hAnsi="Arial MT"/>
                      </w:rPr>
                      <w:t>Discussion</w:t>
                    </w:r>
                    <w:r>
                      <w:rPr>
                        <w:rFonts w:ascii="Arial MT" w:hAnsi="Arial MT"/>
                        <w:spacing w:val="-6"/>
                      </w:rPr>
                      <w:t> </w:t>
                    </w:r>
                    <w:r>
                      <w:rPr>
                        <w:rFonts w:ascii="Arial MT" w:hAnsi="Arial MT"/>
                      </w:rPr>
                      <w:t>and</w:t>
                    </w:r>
                    <w:r>
                      <w:rPr>
                        <w:rFonts w:ascii="Arial MT" w:hAnsi="Arial MT"/>
                        <w:spacing w:val="-14"/>
                      </w:rPr>
                      <w:t> </w:t>
                    </w:r>
                    <w:r>
                      <w:rPr>
                        <w:rFonts w:ascii="Arial MT" w:hAnsi="Arial MT"/>
                      </w:rPr>
                      <w:t>Analysis:</w:t>
                    </w:r>
                    <w:r>
                      <w:rPr>
                        <w:rFonts w:ascii="Arial MT" w:hAnsi="Arial MT"/>
                        <w:spacing w:val="-5"/>
                      </w:rPr>
                      <w:t> </w:t>
                    </w:r>
                    <w:r>
                      <w:rPr>
                        <w:rFonts w:ascii="Arial MT" w:hAnsi="Arial MT"/>
                      </w:rPr>
                      <w:t>June</w:t>
                    </w:r>
                    <w:r>
                      <w:rPr>
                        <w:rFonts w:ascii="Arial MT" w:hAnsi="Arial MT"/>
                        <w:spacing w:val="-6"/>
                      </w:rPr>
                      <w:t> </w:t>
                    </w:r>
                    <w:r>
                      <w:rPr>
                        <w:rFonts w:ascii="Arial MT" w:hAnsi="Arial MT"/>
                      </w:rPr>
                      <w:t>30,</w:t>
                    </w:r>
                    <w:r>
                      <w:rPr>
                        <w:rFonts w:ascii="Arial MT" w:hAnsi="Arial MT"/>
                        <w:spacing w:val="-5"/>
                      </w:rPr>
                      <w:t> </w:t>
                    </w:r>
                    <w:r>
                      <w:rPr>
                        <w:rFonts w:ascii="Arial MT" w:hAnsi="Arial MT"/>
                        <w:spacing w:val="-4"/>
                      </w:rPr>
                      <w:t>2023</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8416">
              <wp:simplePos x="0" y="0"/>
              <wp:positionH relativeFrom="page">
                <wp:posOffset>3377184</wp:posOffset>
              </wp:positionH>
              <wp:positionV relativeFrom="page">
                <wp:posOffset>9650060</wp:posOffset>
              </wp:positionV>
              <wp:extent cx="2822575" cy="16764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9.84729pt;width:222.25pt;height:13.2pt;mso-position-horizontal-relative:page;mso-position-vertical-relative:page;z-index:-32728064" type="#_x0000_t202" id="docshape517"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88928">
              <wp:simplePos x="0" y="0"/>
              <wp:positionH relativeFrom="page">
                <wp:posOffset>6670675</wp:posOffset>
              </wp:positionH>
              <wp:positionV relativeFrom="page">
                <wp:posOffset>9650060</wp:posOffset>
              </wp:positionV>
              <wp:extent cx="167005" cy="16764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167005" cy="167640"/>
                      </a:xfrm>
                      <a:prstGeom prst="rect">
                        <a:avLst/>
                      </a:prstGeom>
                    </wps:spPr>
                    <wps:txbx>
                      <w:txbxContent>
                        <w:p>
                          <w:pPr>
                            <w:pStyle w:val="BodyText"/>
                            <w:spacing w:before="13"/>
                            <w:ind w:left="20"/>
                            <w:rPr>
                              <w:rFonts w:ascii="Arial MT"/>
                            </w:rPr>
                          </w:pPr>
                          <w:r>
                            <w:rPr>
                              <w:rFonts w:ascii="Arial MT"/>
                              <w:spacing w:val="-5"/>
                            </w:rPr>
                            <w:t>69</w:t>
                          </w:r>
                        </w:p>
                      </w:txbxContent>
                    </wps:txbx>
                    <wps:bodyPr wrap="square" lIns="0" tIns="0" rIns="0" bIns="0" rtlCol="0">
                      <a:noAutofit/>
                    </wps:bodyPr>
                  </wps:wsp>
                </a:graphicData>
              </a:graphic>
            </wp:anchor>
          </w:drawing>
        </mc:Choice>
        <mc:Fallback>
          <w:pict>
            <v:shape style="position:absolute;margin-left:525.25pt;margin-top:759.84729pt;width:13.15pt;height:13.2pt;mso-position-horizontal-relative:page;mso-position-vertical-relative:page;z-index:-32727552" type="#_x0000_t202" id="docshape518" filled="false" stroked="false">
              <v:textbox inset="0,0,0,0">
                <w:txbxContent>
                  <w:p>
                    <w:pPr>
                      <w:pStyle w:val="BodyText"/>
                      <w:spacing w:before="13"/>
                      <w:ind w:left="20"/>
                      <w:rPr>
                        <w:rFonts w:ascii="Arial MT"/>
                      </w:rPr>
                    </w:pPr>
                    <w:r>
                      <w:rPr>
                        <w:rFonts w:ascii="Arial MT"/>
                        <w:spacing w:val="-5"/>
                      </w:rPr>
                      <w:t>69</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9440">
              <wp:simplePos x="0" y="0"/>
              <wp:positionH relativeFrom="page">
                <wp:posOffset>909700</wp:posOffset>
              </wp:positionH>
              <wp:positionV relativeFrom="page">
                <wp:posOffset>9354911</wp:posOffset>
              </wp:positionV>
              <wp:extent cx="230504" cy="16764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36.607239pt;width:18.150pt;height:13.2pt;mso-position-horizontal-relative:page;mso-position-vertical-relative:page;z-index:-32727040" type="#_x0000_t202" id="docshape519"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89952">
              <wp:simplePos x="0" y="0"/>
              <wp:positionH relativeFrom="page">
                <wp:posOffset>1573275</wp:posOffset>
              </wp:positionH>
              <wp:positionV relativeFrom="page">
                <wp:posOffset>9354911</wp:posOffset>
              </wp:positionV>
              <wp:extent cx="2822575" cy="16764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36.607239pt;width:222.25pt;height:13.2pt;mso-position-horizontal-relative:page;mso-position-vertical-relative:page;z-index:-32726528" type="#_x0000_t202" id="docshape520"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0464">
              <wp:simplePos x="0" y="0"/>
              <wp:positionH relativeFrom="page">
                <wp:posOffset>3377184</wp:posOffset>
              </wp:positionH>
              <wp:positionV relativeFrom="page">
                <wp:posOffset>9354911</wp:posOffset>
              </wp:positionV>
              <wp:extent cx="2822575" cy="16764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36.607239pt;width:222.25pt;height:13.2pt;mso-position-horizontal-relative:page;mso-position-vertical-relative:page;z-index:-32726016" type="#_x0000_t202" id="docshape52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90976">
              <wp:simplePos x="0" y="0"/>
              <wp:positionH relativeFrom="page">
                <wp:posOffset>6645275</wp:posOffset>
              </wp:positionH>
              <wp:positionV relativeFrom="page">
                <wp:posOffset>9354911</wp:posOffset>
              </wp:positionV>
              <wp:extent cx="230504" cy="16764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36.607239pt;width:18.150pt;height:13.2pt;mso-position-horizontal-relative:page;mso-position-vertical-relative:page;z-index:-32725504" type="#_x0000_t202" id="docshape52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71</w:t>
                    </w:r>
                    <w:r>
                      <w:rPr>
                        <w:rFonts w:ascii="Arial MT"/>
                        <w:spacing w:val="-5"/>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1488">
              <wp:simplePos x="0" y="0"/>
              <wp:positionH relativeFrom="page">
                <wp:posOffset>909700</wp:posOffset>
              </wp:positionH>
              <wp:positionV relativeFrom="page">
                <wp:posOffset>9354911</wp:posOffset>
              </wp:positionV>
              <wp:extent cx="230504" cy="16764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36.607239pt;width:18.150pt;height:13.2pt;mso-position-horizontal-relative:page;mso-position-vertical-relative:page;z-index:-32724992" type="#_x0000_t202" id="docshape52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92000">
              <wp:simplePos x="0" y="0"/>
              <wp:positionH relativeFrom="page">
                <wp:posOffset>1573275</wp:posOffset>
              </wp:positionH>
              <wp:positionV relativeFrom="page">
                <wp:posOffset>9354911</wp:posOffset>
              </wp:positionV>
              <wp:extent cx="2822575" cy="16764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36.607239pt;width:222.25pt;height:13.2pt;mso-position-horizontal-relative:page;mso-position-vertical-relative:page;z-index:-32724480" type="#_x0000_t202" id="docshape52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2512">
              <wp:simplePos x="0" y="0"/>
              <wp:positionH relativeFrom="page">
                <wp:posOffset>3377184</wp:posOffset>
              </wp:positionH>
              <wp:positionV relativeFrom="page">
                <wp:posOffset>9354911</wp:posOffset>
              </wp:positionV>
              <wp:extent cx="2822575" cy="16764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36.607239pt;width:222.25pt;height:13.2pt;mso-position-horizontal-relative:page;mso-position-vertical-relative:page;z-index:-32723968" type="#_x0000_t202" id="docshape52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93024">
              <wp:simplePos x="0" y="0"/>
              <wp:positionH relativeFrom="page">
                <wp:posOffset>6645275</wp:posOffset>
              </wp:positionH>
              <wp:positionV relativeFrom="page">
                <wp:posOffset>9354911</wp:posOffset>
              </wp:positionV>
              <wp:extent cx="230504" cy="16764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36.607239pt;width:18.150pt;height:13.2pt;mso-position-horizontal-relative:page;mso-position-vertical-relative:page;z-index:-32723456" type="#_x0000_t202" id="docshape52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73</w:t>
                    </w:r>
                    <w:r>
                      <w:rPr>
                        <w:rFonts w:ascii="Arial MT"/>
                        <w:spacing w:val="-5"/>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3536">
              <wp:simplePos x="0" y="0"/>
              <wp:positionH relativeFrom="page">
                <wp:posOffset>909700</wp:posOffset>
              </wp:positionH>
              <wp:positionV relativeFrom="page">
                <wp:posOffset>9354911</wp:posOffset>
              </wp:positionV>
              <wp:extent cx="230504" cy="16764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36.607239pt;width:18.150pt;height:13.2pt;mso-position-horizontal-relative:page;mso-position-vertical-relative:page;z-index:-32722944" type="#_x0000_t202" id="docshape52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94048">
              <wp:simplePos x="0" y="0"/>
              <wp:positionH relativeFrom="page">
                <wp:posOffset>1573275</wp:posOffset>
              </wp:positionH>
              <wp:positionV relativeFrom="page">
                <wp:posOffset>9354911</wp:posOffset>
              </wp:positionV>
              <wp:extent cx="2822575" cy="16764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36.607239pt;width:222.25pt;height:13.2pt;mso-position-horizontal-relative:page;mso-position-vertical-relative:page;z-index:-32722432" type="#_x0000_t202" id="docshape52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5584">
              <wp:simplePos x="0" y="0"/>
              <wp:positionH relativeFrom="page">
                <wp:posOffset>909700</wp:posOffset>
              </wp:positionH>
              <wp:positionV relativeFrom="page">
                <wp:posOffset>9354911</wp:posOffset>
              </wp:positionV>
              <wp:extent cx="230504" cy="16764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36.607239pt;width:18.150pt;height:13.2pt;mso-position-horizontal-relative:page;mso-position-vertical-relative:page;z-index:-32720896" type="#_x0000_t202" id="docshape53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96096">
              <wp:simplePos x="0" y="0"/>
              <wp:positionH relativeFrom="page">
                <wp:posOffset>1573275</wp:posOffset>
              </wp:positionH>
              <wp:positionV relativeFrom="page">
                <wp:posOffset>9354911</wp:posOffset>
              </wp:positionV>
              <wp:extent cx="2822575" cy="16764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36.607239pt;width:222.25pt;height:13.2pt;mso-position-horizontal-relative:page;mso-position-vertical-relative:page;z-index:-32720384" type="#_x0000_t202" id="docshape53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6608">
              <wp:simplePos x="0" y="0"/>
              <wp:positionH relativeFrom="page">
                <wp:posOffset>3377184</wp:posOffset>
              </wp:positionH>
              <wp:positionV relativeFrom="page">
                <wp:posOffset>9354911</wp:posOffset>
              </wp:positionV>
              <wp:extent cx="2822575" cy="16764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36.607239pt;width:222.25pt;height:13.2pt;mso-position-horizontal-relative:page;mso-position-vertical-relative:page;z-index:-32719872" type="#_x0000_t202" id="docshape53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97120">
              <wp:simplePos x="0" y="0"/>
              <wp:positionH relativeFrom="page">
                <wp:posOffset>6645275</wp:posOffset>
              </wp:positionH>
              <wp:positionV relativeFrom="page">
                <wp:posOffset>9354911</wp:posOffset>
              </wp:positionV>
              <wp:extent cx="230504" cy="16764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36.607239pt;width:18.150pt;height:13.2pt;mso-position-horizontal-relative:page;mso-position-vertical-relative:page;z-index:-32719360" type="#_x0000_t202" id="docshape53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77</w:t>
                    </w:r>
                    <w:r>
                      <w:rPr>
                        <w:rFonts w:ascii="Arial MT"/>
                        <w:spacing w:val="-5"/>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7632">
              <wp:simplePos x="0" y="0"/>
              <wp:positionH relativeFrom="page">
                <wp:posOffset>909700</wp:posOffset>
              </wp:positionH>
              <wp:positionV relativeFrom="page">
                <wp:posOffset>9583511</wp:posOffset>
              </wp:positionV>
              <wp:extent cx="230504" cy="16764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18848" type="#_x0000_t202" id="docshape53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598144">
              <wp:simplePos x="0" y="0"/>
              <wp:positionH relativeFrom="page">
                <wp:posOffset>1573275</wp:posOffset>
              </wp:positionH>
              <wp:positionV relativeFrom="page">
                <wp:posOffset>9583511</wp:posOffset>
              </wp:positionV>
              <wp:extent cx="2822575" cy="16764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18336" type="#_x0000_t202" id="docshape536"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8656">
              <wp:simplePos x="0" y="0"/>
              <wp:positionH relativeFrom="page">
                <wp:posOffset>3377184</wp:posOffset>
              </wp:positionH>
              <wp:positionV relativeFrom="page">
                <wp:posOffset>9583511</wp:posOffset>
              </wp:positionV>
              <wp:extent cx="2822575" cy="16764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717824" type="#_x0000_t202" id="docshape537"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599168">
              <wp:simplePos x="0" y="0"/>
              <wp:positionH relativeFrom="page">
                <wp:posOffset>6645275</wp:posOffset>
              </wp:positionH>
              <wp:positionV relativeFrom="page">
                <wp:posOffset>9583511</wp:posOffset>
              </wp:positionV>
              <wp:extent cx="230504" cy="16764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717312" type="#_x0000_t202" id="docshape53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79</w:t>
                    </w:r>
                    <w:r>
                      <w:rPr>
                        <w:rFonts w:ascii="Arial MT"/>
                        <w:spacing w:val="-5"/>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0704">
              <wp:simplePos x="0" y="0"/>
              <wp:positionH relativeFrom="page">
                <wp:posOffset>909700</wp:posOffset>
              </wp:positionH>
              <wp:positionV relativeFrom="page">
                <wp:posOffset>9583511</wp:posOffset>
              </wp:positionV>
              <wp:extent cx="230504" cy="16764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15776" type="#_x0000_t202" id="docshape54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01216">
              <wp:simplePos x="0" y="0"/>
              <wp:positionH relativeFrom="page">
                <wp:posOffset>1573275</wp:posOffset>
              </wp:positionH>
              <wp:positionV relativeFrom="page">
                <wp:posOffset>9583511</wp:posOffset>
              </wp:positionV>
              <wp:extent cx="2822575" cy="16764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15264" type="#_x0000_t202" id="docshape54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1728">
              <wp:simplePos x="0" y="0"/>
              <wp:positionH relativeFrom="page">
                <wp:posOffset>3377184</wp:posOffset>
              </wp:positionH>
              <wp:positionV relativeFrom="page">
                <wp:posOffset>9583511</wp:posOffset>
              </wp:positionV>
              <wp:extent cx="2822575" cy="16764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714752" type="#_x0000_t202" id="docshape54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02240">
              <wp:simplePos x="0" y="0"/>
              <wp:positionH relativeFrom="page">
                <wp:posOffset>6645275</wp:posOffset>
              </wp:positionH>
              <wp:positionV relativeFrom="page">
                <wp:posOffset>9583511</wp:posOffset>
              </wp:positionV>
              <wp:extent cx="230504" cy="16764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714240" type="#_x0000_t202" id="docshape54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81</w:t>
                    </w:r>
                    <w:r>
                      <w:rPr>
                        <w:rFonts w:ascii="Arial MT"/>
                        <w:spacing w:val="-5"/>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3776">
              <wp:simplePos x="0" y="0"/>
              <wp:positionH relativeFrom="page">
                <wp:posOffset>909700</wp:posOffset>
              </wp:positionH>
              <wp:positionV relativeFrom="page">
                <wp:posOffset>9583511</wp:posOffset>
              </wp:positionV>
              <wp:extent cx="230504" cy="16764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12704" type="#_x0000_t202" id="docshape55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04288">
              <wp:simplePos x="0" y="0"/>
              <wp:positionH relativeFrom="page">
                <wp:posOffset>1573275</wp:posOffset>
              </wp:positionH>
              <wp:positionV relativeFrom="page">
                <wp:posOffset>9583511</wp:posOffset>
              </wp:positionV>
              <wp:extent cx="2822575" cy="16764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12192" type="#_x0000_t202" id="docshape55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4800">
              <wp:simplePos x="0" y="0"/>
              <wp:positionH relativeFrom="page">
                <wp:posOffset>3377184</wp:posOffset>
              </wp:positionH>
              <wp:positionV relativeFrom="page">
                <wp:posOffset>9583511</wp:posOffset>
              </wp:positionV>
              <wp:extent cx="2822575" cy="16764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711680" type="#_x0000_t202" id="docshape556"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05312">
              <wp:simplePos x="0" y="0"/>
              <wp:positionH relativeFrom="page">
                <wp:posOffset>6645275</wp:posOffset>
              </wp:positionH>
              <wp:positionV relativeFrom="page">
                <wp:posOffset>9583511</wp:posOffset>
              </wp:positionV>
              <wp:extent cx="230504" cy="16764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711168" type="#_x0000_t202" id="docshape55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83</w:t>
                    </w:r>
                    <w:r>
                      <w:rPr>
                        <w:rFonts w:ascii="Arial MT"/>
                        <w:spacing w:val="-5"/>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6336">
              <wp:simplePos x="0" y="0"/>
              <wp:positionH relativeFrom="page">
                <wp:posOffset>909700</wp:posOffset>
              </wp:positionH>
              <wp:positionV relativeFrom="page">
                <wp:posOffset>9583511</wp:posOffset>
              </wp:positionV>
              <wp:extent cx="230504" cy="16764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10144" type="#_x0000_t202" id="docshape57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06848">
              <wp:simplePos x="0" y="0"/>
              <wp:positionH relativeFrom="page">
                <wp:posOffset>1573275</wp:posOffset>
              </wp:positionH>
              <wp:positionV relativeFrom="page">
                <wp:posOffset>9583511</wp:posOffset>
              </wp:positionV>
              <wp:extent cx="2822575" cy="16764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09632" type="#_x0000_t202" id="docshape57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7360">
              <wp:simplePos x="0" y="0"/>
              <wp:positionH relativeFrom="page">
                <wp:posOffset>3348609</wp:posOffset>
              </wp:positionH>
              <wp:positionV relativeFrom="page">
                <wp:posOffset>9583511</wp:posOffset>
              </wp:positionV>
              <wp:extent cx="2822575" cy="16764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3.670013pt;margin-top:754.607239pt;width:222.25pt;height:13.2pt;mso-position-horizontal-relative:page;mso-position-vertical-relative:page;z-index:-32709120" type="#_x0000_t202" id="docshape57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07872">
              <wp:simplePos x="0" y="0"/>
              <wp:positionH relativeFrom="page">
                <wp:posOffset>6616700</wp:posOffset>
              </wp:positionH>
              <wp:positionV relativeFrom="page">
                <wp:posOffset>9583511</wp:posOffset>
              </wp:positionV>
              <wp:extent cx="230504" cy="16764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1pt;margin-top:754.607239pt;width:18.150pt;height:13.2pt;mso-position-horizontal-relative:page;mso-position-vertical-relative:page;z-index:-32708608" type="#_x0000_t202" id="docshape57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85</w:t>
                    </w:r>
                    <w:r>
                      <w:rPr>
                        <w:rFonts w:ascii="Arial MT"/>
                        <w:spacing w:val="-5"/>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9920">
              <wp:simplePos x="0" y="0"/>
              <wp:positionH relativeFrom="page">
                <wp:posOffset>909700</wp:posOffset>
              </wp:positionH>
              <wp:positionV relativeFrom="page">
                <wp:posOffset>9583511</wp:posOffset>
              </wp:positionV>
              <wp:extent cx="230504" cy="16764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06560" type="#_x0000_t202" id="docshape58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10432">
              <wp:simplePos x="0" y="0"/>
              <wp:positionH relativeFrom="page">
                <wp:posOffset>1573275</wp:posOffset>
              </wp:positionH>
              <wp:positionV relativeFrom="page">
                <wp:posOffset>9583511</wp:posOffset>
              </wp:positionV>
              <wp:extent cx="2822575" cy="16764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06048" type="#_x0000_t202" id="docshape58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0944">
              <wp:simplePos x="0" y="0"/>
              <wp:positionH relativeFrom="page">
                <wp:posOffset>3434334</wp:posOffset>
              </wp:positionH>
              <wp:positionV relativeFrom="page">
                <wp:posOffset>9583511</wp:posOffset>
              </wp:positionV>
              <wp:extent cx="2822575" cy="16764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70.420013pt;margin-top:754.607239pt;width:222.25pt;height:13.2pt;mso-position-horizontal-relative:page;mso-position-vertical-relative:page;z-index:-32705536" type="#_x0000_t202" id="docshape58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11456">
              <wp:simplePos x="0" y="0"/>
              <wp:positionH relativeFrom="page">
                <wp:posOffset>6702425</wp:posOffset>
              </wp:positionH>
              <wp:positionV relativeFrom="page">
                <wp:posOffset>9583511</wp:posOffset>
              </wp:positionV>
              <wp:extent cx="230504" cy="16764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7.75pt;margin-top:754.607239pt;width:18.150pt;height:13.2pt;mso-position-horizontal-relative:page;mso-position-vertical-relative:page;z-index:-32705024" type="#_x0000_t202" id="docshape58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87</w:t>
                    </w:r>
                    <w:r>
                      <w:rPr>
                        <w:rFonts w:ascii="Arial MT"/>
                        <w:spacing w:val="-5"/>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3504">
              <wp:simplePos x="0" y="0"/>
              <wp:positionH relativeFrom="page">
                <wp:posOffset>909700</wp:posOffset>
              </wp:positionH>
              <wp:positionV relativeFrom="page">
                <wp:posOffset>9583511</wp:posOffset>
              </wp:positionV>
              <wp:extent cx="230504" cy="16764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702976" type="#_x0000_t202" id="docshape58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14016">
              <wp:simplePos x="0" y="0"/>
              <wp:positionH relativeFrom="page">
                <wp:posOffset>1573275</wp:posOffset>
              </wp:positionH>
              <wp:positionV relativeFrom="page">
                <wp:posOffset>9583511</wp:posOffset>
              </wp:positionV>
              <wp:extent cx="2822575" cy="16764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02464" type="#_x0000_t202" id="docshape58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4528">
              <wp:simplePos x="0" y="0"/>
              <wp:positionH relativeFrom="page">
                <wp:posOffset>3434334</wp:posOffset>
              </wp:positionH>
              <wp:positionV relativeFrom="page">
                <wp:posOffset>9583511</wp:posOffset>
              </wp:positionV>
              <wp:extent cx="2822575" cy="16764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70.420013pt;margin-top:754.607239pt;width:222.25pt;height:13.2pt;mso-position-horizontal-relative:page;mso-position-vertical-relative:page;z-index:-32701952" type="#_x0000_t202" id="docshape58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15040">
              <wp:simplePos x="0" y="0"/>
              <wp:positionH relativeFrom="page">
                <wp:posOffset>6702425</wp:posOffset>
              </wp:positionH>
              <wp:positionV relativeFrom="page">
                <wp:posOffset>9583511</wp:posOffset>
              </wp:positionV>
              <wp:extent cx="230504" cy="16764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7.75pt;margin-top:754.607239pt;width:18.150pt;height:13.2pt;mso-position-horizontal-relative:page;mso-position-vertical-relative:page;z-index:-32701440" type="#_x0000_t202" id="docshape59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89</w:t>
                    </w:r>
                    <w:r>
                      <w:rPr>
                        <w:rFonts w:ascii="Arial MT"/>
                        <w:spacing w:val="-5"/>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5552">
              <wp:simplePos x="0" y="0"/>
              <wp:positionH relativeFrom="page">
                <wp:posOffset>909700</wp:posOffset>
              </wp:positionH>
              <wp:positionV relativeFrom="page">
                <wp:posOffset>9583511</wp:posOffset>
              </wp:positionV>
              <wp:extent cx="262890" cy="16764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2628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0.7pt;height:13.2pt;mso-position-horizontal-relative:page;mso-position-vertical-relative:page;z-index:-32700928" type="#_x0000_t202" id="docshape59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16064">
              <wp:simplePos x="0" y="0"/>
              <wp:positionH relativeFrom="page">
                <wp:posOffset>1573275</wp:posOffset>
              </wp:positionH>
              <wp:positionV relativeFrom="page">
                <wp:posOffset>9583511</wp:posOffset>
              </wp:positionV>
              <wp:extent cx="2822575" cy="16764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700416" type="#_x0000_t202" id="docshape597"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6576">
              <wp:simplePos x="0" y="0"/>
              <wp:positionH relativeFrom="page">
                <wp:posOffset>3377184</wp:posOffset>
              </wp:positionH>
              <wp:positionV relativeFrom="page">
                <wp:posOffset>9583511</wp:posOffset>
              </wp:positionV>
              <wp:extent cx="2822575" cy="16764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99904" type="#_x0000_t202" id="docshape59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17088">
              <wp:simplePos x="0" y="0"/>
              <wp:positionH relativeFrom="page">
                <wp:posOffset>6600063</wp:posOffset>
              </wp:positionH>
              <wp:positionV relativeFrom="page">
                <wp:posOffset>9583511</wp:posOffset>
              </wp:positionV>
              <wp:extent cx="275590" cy="16764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275590" cy="167640"/>
                      </a:xfrm>
                      <a:prstGeom prst="rect">
                        <a:avLst/>
                      </a:prstGeom>
                    </wps:spPr>
                    <wps:txbx>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9.690002pt;margin-top:754.607239pt;width:21.7pt;height:13.2pt;mso-position-horizontal-relative:page;mso-position-vertical-relative:page;z-index:-32699392" type="#_x0000_t202" id="docshape599" filled="false" stroked="false">
              <v:textbox inset="0,0,0,0">
                <w:txbxContent>
                  <w:p>
                    <w:pPr>
                      <w:pStyle w:val="BodyText"/>
                      <w:spacing w:before="13"/>
                      <w:ind w:left="2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101</w:t>
                    </w:r>
                    <w:r>
                      <w:rPr>
                        <w:rFonts w:ascii="Arial MT"/>
                        <w:spacing w:val="-5"/>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7600">
              <wp:simplePos x="0" y="0"/>
              <wp:positionH relativeFrom="page">
                <wp:posOffset>909700</wp:posOffset>
              </wp:positionH>
              <wp:positionV relativeFrom="page">
                <wp:posOffset>9583511</wp:posOffset>
              </wp:positionV>
              <wp:extent cx="230504" cy="167640"/>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698880" type="#_x0000_t202" id="docshape60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18112">
              <wp:simplePos x="0" y="0"/>
              <wp:positionH relativeFrom="page">
                <wp:posOffset>1573275</wp:posOffset>
              </wp:positionH>
              <wp:positionV relativeFrom="page">
                <wp:posOffset>9583511</wp:posOffset>
              </wp:positionV>
              <wp:extent cx="2822575" cy="16764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98368" type="#_x0000_t202" id="docshape60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8624">
              <wp:simplePos x="0" y="0"/>
              <wp:positionH relativeFrom="page">
                <wp:posOffset>3377184</wp:posOffset>
              </wp:positionH>
              <wp:positionV relativeFrom="page">
                <wp:posOffset>9583511</wp:posOffset>
              </wp:positionV>
              <wp:extent cx="2822575" cy="16764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97856" type="#_x0000_t202" id="docshape60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19136">
              <wp:simplePos x="0" y="0"/>
              <wp:positionH relativeFrom="page">
                <wp:posOffset>6645275</wp:posOffset>
              </wp:positionH>
              <wp:positionV relativeFrom="page">
                <wp:posOffset>9583511</wp:posOffset>
              </wp:positionV>
              <wp:extent cx="230504" cy="16764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697344" type="#_x0000_t202" id="docshape60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93</w:t>
                    </w:r>
                    <w:r>
                      <w:rPr>
                        <w:rFonts w:ascii="Arial MT"/>
                        <w:spacing w:val="-5"/>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9648">
              <wp:simplePos x="0" y="0"/>
              <wp:positionH relativeFrom="page">
                <wp:posOffset>909700</wp:posOffset>
              </wp:positionH>
              <wp:positionV relativeFrom="page">
                <wp:posOffset>9583511</wp:posOffset>
              </wp:positionV>
              <wp:extent cx="230504" cy="16764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696832" type="#_x0000_t202" id="docshape60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20160">
              <wp:simplePos x="0" y="0"/>
              <wp:positionH relativeFrom="page">
                <wp:posOffset>1573275</wp:posOffset>
              </wp:positionH>
              <wp:positionV relativeFrom="page">
                <wp:posOffset>9583511</wp:posOffset>
              </wp:positionV>
              <wp:extent cx="2822575" cy="16764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96320" type="#_x0000_t202" id="docshape60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0672">
              <wp:simplePos x="0" y="0"/>
              <wp:positionH relativeFrom="page">
                <wp:posOffset>3377184</wp:posOffset>
              </wp:positionH>
              <wp:positionV relativeFrom="page">
                <wp:posOffset>9583511</wp:posOffset>
              </wp:positionV>
              <wp:extent cx="2822575" cy="16764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95808" type="#_x0000_t202" id="docshape606"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21184">
              <wp:simplePos x="0" y="0"/>
              <wp:positionH relativeFrom="page">
                <wp:posOffset>6645275</wp:posOffset>
              </wp:positionH>
              <wp:positionV relativeFrom="page">
                <wp:posOffset>9583511</wp:posOffset>
              </wp:positionV>
              <wp:extent cx="230504" cy="16764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695296" type="#_x0000_t202" id="docshape60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95</w:t>
                    </w:r>
                    <w:r>
                      <w:rPr>
                        <w:rFonts w:ascii="Arial MT"/>
                        <w:spacing w:val="-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1696">
              <wp:simplePos x="0" y="0"/>
              <wp:positionH relativeFrom="page">
                <wp:posOffset>909700</wp:posOffset>
              </wp:positionH>
              <wp:positionV relativeFrom="page">
                <wp:posOffset>9583511</wp:posOffset>
              </wp:positionV>
              <wp:extent cx="230504" cy="16764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694784" type="#_x0000_t202" id="docshape60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22208">
              <wp:simplePos x="0" y="0"/>
              <wp:positionH relativeFrom="page">
                <wp:posOffset>1573275</wp:posOffset>
              </wp:positionH>
              <wp:positionV relativeFrom="page">
                <wp:posOffset>9583511</wp:posOffset>
              </wp:positionV>
              <wp:extent cx="2822575" cy="16764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94272" type="#_x0000_t202" id="docshape60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2720">
              <wp:simplePos x="0" y="0"/>
              <wp:positionH relativeFrom="page">
                <wp:posOffset>3377184</wp:posOffset>
              </wp:positionH>
              <wp:positionV relativeFrom="page">
                <wp:posOffset>9583511</wp:posOffset>
              </wp:positionV>
              <wp:extent cx="2822575" cy="16764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93760" type="#_x0000_t202" id="docshape610"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23232">
              <wp:simplePos x="0" y="0"/>
              <wp:positionH relativeFrom="page">
                <wp:posOffset>6645275</wp:posOffset>
              </wp:positionH>
              <wp:positionV relativeFrom="page">
                <wp:posOffset>9583511</wp:posOffset>
              </wp:positionV>
              <wp:extent cx="230504" cy="16764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693248" type="#_x0000_t202" id="docshape61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97</w:t>
                    </w:r>
                    <w:r>
                      <w:rPr>
                        <w:rFonts w:ascii="Arial MT"/>
                        <w:spacing w:val="-5"/>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3744">
              <wp:simplePos x="0" y="0"/>
              <wp:positionH relativeFrom="page">
                <wp:posOffset>909700</wp:posOffset>
              </wp:positionH>
              <wp:positionV relativeFrom="page">
                <wp:posOffset>9583511</wp:posOffset>
              </wp:positionV>
              <wp:extent cx="230504" cy="16764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18.150pt;height:13.2pt;mso-position-horizontal-relative:page;mso-position-vertical-relative:page;z-index:-32692736" type="#_x0000_t202" id="docshape61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24256">
              <wp:simplePos x="0" y="0"/>
              <wp:positionH relativeFrom="page">
                <wp:posOffset>1573275</wp:posOffset>
              </wp:positionH>
              <wp:positionV relativeFrom="page">
                <wp:posOffset>9583511</wp:posOffset>
              </wp:positionV>
              <wp:extent cx="2822575" cy="16764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92224" type="#_x0000_t202" id="docshape61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4768">
              <wp:simplePos x="0" y="0"/>
              <wp:positionH relativeFrom="page">
                <wp:posOffset>3377184</wp:posOffset>
              </wp:positionH>
              <wp:positionV relativeFrom="page">
                <wp:posOffset>9583511</wp:posOffset>
              </wp:positionV>
              <wp:extent cx="2822575" cy="16764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91712" type="#_x0000_t202" id="docshape61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25280">
              <wp:simplePos x="0" y="0"/>
              <wp:positionH relativeFrom="page">
                <wp:posOffset>6645275</wp:posOffset>
              </wp:positionH>
              <wp:positionV relativeFrom="page">
                <wp:posOffset>9583511</wp:posOffset>
              </wp:positionV>
              <wp:extent cx="230504" cy="16764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30504"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23.25pt;margin-top:754.607239pt;width:18.150pt;height:13.2pt;mso-position-horizontal-relative:page;mso-position-vertical-relative:page;z-index:-32691200" type="#_x0000_t202" id="docshape61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99</w:t>
                    </w:r>
                    <w:r>
                      <w:rPr>
                        <w:rFonts w:ascii="Arial MT"/>
                        <w:spacing w:val="-5"/>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5792">
              <wp:simplePos x="0" y="0"/>
              <wp:positionH relativeFrom="page">
                <wp:posOffset>909700</wp:posOffset>
              </wp:positionH>
              <wp:positionV relativeFrom="page">
                <wp:posOffset>9583511</wp:posOffset>
              </wp:positionV>
              <wp:extent cx="300990" cy="16764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90688" type="#_x0000_t202" id="docshape62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26304">
              <wp:simplePos x="0" y="0"/>
              <wp:positionH relativeFrom="page">
                <wp:posOffset>1573275</wp:posOffset>
              </wp:positionH>
              <wp:positionV relativeFrom="page">
                <wp:posOffset>9583511</wp:posOffset>
              </wp:positionV>
              <wp:extent cx="2822575" cy="16764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90176" type="#_x0000_t202" id="docshape62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6816">
              <wp:simplePos x="0" y="0"/>
              <wp:positionH relativeFrom="page">
                <wp:posOffset>3377184</wp:posOffset>
              </wp:positionH>
              <wp:positionV relativeFrom="page">
                <wp:posOffset>9583511</wp:posOffset>
              </wp:positionV>
              <wp:extent cx="2822575" cy="16764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89664" type="#_x0000_t202" id="docshape62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27328">
              <wp:simplePos x="0" y="0"/>
              <wp:positionH relativeFrom="page">
                <wp:posOffset>6574663</wp:posOffset>
              </wp:positionH>
              <wp:positionV relativeFrom="page">
                <wp:posOffset>9583511</wp:posOffset>
              </wp:positionV>
              <wp:extent cx="300990" cy="16764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89152" type="#_x0000_t202" id="docshape62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101</w:t>
                    </w:r>
                    <w:r>
                      <w:rPr>
                        <w:rFonts w:ascii="Arial MT"/>
                        <w:spacing w:val="-5"/>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7840">
              <wp:simplePos x="0" y="0"/>
              <wp:positionH relativeFrom="page">
                <wp:posOffset>909700</wp:posOffset>
              </wp:positionH>
              <wp:positionV relativeFrom="page">
                <wp:posOffset>9583511</wp:posOffset>
              </wp:positionV>
              <wp:extent cx="300990" cy="16764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88640" type="#_x0000_t202" id="docshape62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28352">
              <wp:simplePos x="0" y="0"/>
              <wp:positionH relativeFrom="page">
                <wp:posOffset>1573275</wp:posOffset>
              </wp:positionH>
              <wp:positionV relativeFrom="page">
                <wp:posOffset>9583511</wp:posOffset>
              </wp:positionV>
              <wp:extent cx="2822575" cy="16764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88128" type="#_x0000_t202" id="docshape62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8864">
              <wp:simplePos x="0" y="0"/>
              <wp:positionH relativeFrom="page">
                <wp:posOffset>3377184</wp:posOffset>
              </wp:positionH>
              <wp:positionV relativeFrom="page">
                <wp:posOffset>9583511</wp:posOffset>
              </wp:positionV>
              <wp:extent cx="2822575" cy="16764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87616" type="#_x0000_t202" id="docshape630"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29376">
              <wp:simplePos x="0" y="0"/>
              <wp:positionH relativeFrom="page">
                <wp:posOffset>6574663</wp:posOffset>
              </wp:positionH>
              <wp:positionV relativeFrom="page">
                <wp:posOffset>9583511</wp:posOffset>
              </wp:positionV>
              <wp:extent cx="300990" cy="16764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87104" type="#_x0000_t202" id="docshape63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103</w:t>
                    </w:r>
                    <w:r>
                      <w:rPr>
                        <w:rFonts w:ascii="Arial MT"/>
                        <w:spacing w:val="-5"/>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0400">
              <wp:simplePos x="0" y="0"/>
              <wp:positionH relativeFrom="page">
                <wp:posOffset>909700</wp:posOffset>
              </wp:positionH>
              <wp:positionV relativeFrom="page">
                <wp:posOffset>9583511</wp:posOffset>
              </wp:positionV>
              <wp:extent cx="300990" cy="16764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86080" type="#_x0000_t202" id="docshape65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30912">
              <wp:simplePos x="0" y="0"/>
              <wp:positionH relativeFrom="page">
                <wp:posOffset>1573275</wp:posOffset>
              </wp:positionH>
              <wp:positionV relativeFrom="page">
                <wp:posOffset>9583511</wp:posOffset>
              </wp:positionV>
              <wp:extent cx="2822575" cy="16764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85568" type="#_x0000_t202" id="docshape65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1424">
              <wp:simplePos x="0" y="0"/>
              <wp:positionH relativeFrom="page">
                <wp:posOffset>3377184</wp:posOffset>
              </wp:positionH>
              <wp:positionV relativeFrom="page">
                <wp:posOffset>9583511</wp:posOffset>
              </wp:positionV>
              <wp:extent cx="2822575" cy="16764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85056" type="#_x0000_t202" id="docshape65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31936">
              <wp:simplePos x="0" y="0"/>
              <wp:positionH relativeFrom="page">
                <wp:posOffset>6574663</wp:posOffset>
              </wp:positionH>
              <wp:positionV relativeFrom="page">
                <wp:posOffset>9583511</wp:posOffset>
              </wp:positionV>
              <wp:extent cx="300990" cy="16764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84544" type="#_x0000_t202" id="docshape66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105</w:t>
                    </w:r>
                    <w:r>
                      <w:rPr>
                        <w:rFonts w:ascii="Arial MT"/>
                        <w:spacing w:val="-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2960">
              <wp:simplePos x="0" y="0"/>
              <wp:positionH relativeFrom="page">
                <wp:posOffset>909700</wp:posOffset>
              </wp:positionH>
              <wp:positionV relativeFrom="page">
                <wp:posOffset>9583511</wp:posOffset>
              </wp:positionV>
              <wp:extent cx="300990" cy="16764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83520" type="#_x0000_t202" id="docshape67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33472">
              <wp:simplePos x="0" y="0"/>
              <wp:positionH relativeFrom="page">
                <wp:posOffset>1573275</wp:posOffset>
              </wp:positionH>
              <wp:positionV relativeFrom="page">
                <wp:posOffset>9583511</wp:posOffset>
              </wp:positionV>
              <wp:extent cx="2822575" cy="16764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83008" type="#_x0000_t202" id="docshape67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3984">
              <wp:simplePos x="0" y="0"/>
              <wp:positionH relativeFrom="page">
                <wp:posOffset>3377184</wp:posOffset>
              </wp:positionH>
              <wp:positionV relativeFrom="page">
                <wp:posOffset>9583511</wp:posOffset>
              </wp:positionV>
              <wp:extent cx="2822575" cy="16764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82496" type="#_x0000_t202" id="docshape67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34496">
              <wp:simplePos x="0" y="0"/>
              <wp:positionH relativeFrom="page">
                <wp:posOffset>6574663</wp:posOffset>
              </wp:positionH>
              <wp:positionV relativeFrom="page">
                <wp:posOffset>9583511</wp:posOffset>
              </wp:positionV>
              <wp:extent cx="300990" cy="16764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81984" type="#_x0000_t202" id="docshape67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107</w:t>
                    </w:r>
                    <w:r>
                      <w:rPr>
                        <w:rFonts w:ascii="Arial MT"/>
                        <w:spacing w:val="-5"/>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5008">
              <wp:simplePos x="0" y="0"/>
              <wp:positionH relativeFrom="page">
                <wp:posOffset>909700</wp:posOffset>
              </wp:positionH>
              <wp:positionV relativeFrom="page">
                <wp:posOffset>9583511</wp:posOffset>
              </wp:positionV>
              <wp:extent cx="300990" cy="16764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81472" type="#_x0000_t202" id="docshape69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35520">
              <wp:simplePos x="0" y="0"/>
              <wp:positionH relativeFrom="page">
                <wp:posOffset>1573275</wp:posOffset>
              </wp:positionH>
              <wp:positionV relativeFrom="page">
                <wp:posOffset>9583511</wp:posOffset>
              </wp:positionV>
              <wp:extent cx="2822575" cy="16764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80960" type="#_x0000_t202" id="docshape69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6032">
              <wp:simplePos x="0" y="0"/>
              <wp:positionH relativeFrom="page">
                <wp:posOffset>3377184</wp:posOffset>
              </wp:positionH>
              <wp:positionV relativeFrom="page">
                <wp:posOffset>9583511</wp:posOffset>
              </wp:positionV>
              <wp:extent cx="2822575" cy="16764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80448" type="#_x0000_t202" id="docshape69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36544">
              <wp:simplePos x="0" y="0"/>
              <wp:positionH relativeFrom="page">
                <wp:posOffset>6574663</wp:posOffset>
              </wp:positionH>
              <wp:positionV relativeFrom="page">
                <wp:posOffset>9583511</wp:posOffset>
              </wp:positionV>
              <wp:extent cx="300990" cy="16764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79936" type="#_x0000_t202" id="docshape69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109</w:t>
                    </w:r>
                    <w:r>
                      <w:rPr>
                        <w:rFonts w:ascii="Arial MT"/>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7056">
              <wp:simplePos x="0" y="0"/>
              <wp:positionH relativeFrom="page">
                <wp:posOffset>909700</wp:posOffset>
              </wp:positionH>
              <wp:positionV relativeFrom="page">
                <wp:posOffset>9583511</wp:posOffset>
              </wp:positionV>
              <wp:extent cx="291465" cy="16764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2.95pt;height:13.2pt;mso-position-horizontal-relative:page;mso-position-vertical-relative:page;z-index:-32679424" type="#_x0000_t202" id="docshape69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37568">
              <wp:simplePos x="0" y="0"/>
              <wp:positionH relativeFrom="page">
                <wp:posOffset>1573275</wp:posOffset>
              </wp:positionH>
              <wp:positionV relativeFrom="page">
                <wp:posOffset>9583511</wp:posOffset>
              </wp:positionV>
              <wp:extent cx="2822575" cy="16764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78912" type="#_x0000_t202" id="docshape69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8080">
              <wp:simplePos x="0" y="0"/>
              <wp:positionH relativeFrom="page">
                <wp:posOffset>3377184</wp:posOffset>
              </wp:positionH>
              <wp:positionV relativeFrom="page">
                <wp:posOffset>9583511</wp:posOffset>
              </wp:positionV>
              <wp:extent cx="2822575" cy="16764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78400" type="#_x0000_t202" id="docshape700"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38592">
              <wp:simplePos x="0" y="0"/>
              <wp:positionH relativeFrom="page">
                <wp:posOffset>6593458</wp:posOffset>
              </wp:positionH>
              <wp:positionV relativeFrom="page">
                <wp:posOffset>9583511</wp:posOffset>
              </wp:positionV>
              <wp:extent cx="282575" cy="16764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28257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9.169983pt;margin-top:754.607239pt;width:22.25pt;height:13.2pt;mso-position-horizontal-relative:page;mso-position-vertical-relative:page;z-index:-32677888" type="#_x0000_t202" id="docshape70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111</w:t>
                    </w:r>
                    <w:r>
                      <w:rPr>
                        <w:rFonts w:ascii="Arial MT"/>
                        <w:spacing w:val="-5"/>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9616">
              <wp:simplePos x="0" y="0"/>
              <wp:positionH relativeFrom="page">
                <wp:posOffset>909700</wp:posOffset>
              </wp:positionH>
              <wp:positionV relativeFrom="page">
                <wp:posOffset>9583511</wp:posOffset>
              </wp:positionV>
              <wp:extent cx="291465" cy="16764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2.95pt;height:13.2pt;mso-position-horizontal-relative:page;mso-position-vertical-relative:page;z-index:-32676864" type="#_x0000_t202" id="docshape72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40128">
              <wp:simplePos x="0" y="0"/>
              <wp:positionH relativeFrom="page">
                <wp:posOffset>1573275</wp:posOffset>
              </wp:positionH>
              <wp:positionV relativeFrom="page">
                <wp:posOffset>9583511</wp:posOffset>
              </wp:positionV>
              <wp:extent cx="2822575" cy="16764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76352" type="#_x0000_t202" id="docshape72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0640">
              <wp:simplePos x="0" y="0"/>
              <wp:positionH relativeFrom="page">
                <wp:posOffset>3377184</wp:posOffset>
              </wp:positionH>
              <wp:positionV relativeFrom="page">
                <wp:posOffset>9583511</wp:posOffset>
              </wp:positionV>
              <wp:extent cx="2822575" cy="16764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75840" type="#_x0000_t202" id="docshape72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41152">
              <wp:simplePos x="0" y="0"/>
              <wp:positionH relativeFrom="page">
                <wp:posOffset>6584060</wp:posOffset>
              </wp:positionH>
              <wp:positionV relativeFrom="page">
                <wp:posOffset>9583511</wp:posOffset>
              </wp:positionV>
              <wp:extent cx="291465" cy="16764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8.429993pt;margin-top:754.607239pt;width:22.95pt;height:13.2pt;mso-position-horizontal-relative:page;mso-position-vertical-relative:page;z-index:-32675328" type="#_x0000_t202" id="docshape72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113</w:t>
                    </w:r>
                    <w:r>
                      <w:rPr>
                        <w:rFonts w:ascii="Arial MT"/>
                        <w:spacing w:val="-5"/>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2176">
              <wp:simplePos x="0" y="0"/>
              <wp:positionH relativeFrom="page">
                <wp:posOffset>909700</wp:posOffset>
              </wp:positionH>
              <wp:positionV relativeFrom="page">
                <wp:posOffset>9583511</wp:posOffset>
              </wp:positionV>
              <wp:extent cx="291465" cy="16764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2.95pt;height:13.2pt;mso-position-horizontal-relative:page;mso-position-vertical-relative:page;z-index:-32674304" type="#_x0000_t202" id="docshape73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42688">
              <wp:simplePos x="0" y="0"/>
              <wp:positionH relativeFrom="page">
                <wp:posOffset>1573275</wp:posOffset>
              </wp:positionH>
              <wp:positionV relativeFrom="page">
                <wp:posOffset>9583511</wp:posOffset>
              </wp:positionV>
              <wp:extent cx="2822575" cy="16764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73792" type="#_x0000_t202" id="docshape73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3200">
              <wp:simplePos x="0" y="0"/>
              <wp:positionH relativeFrom="page">
                <wp:posOffset>3377184</wp:posOffset>
              </wp:positionH>
              <wp:positionV relativeFrom="page">
                <wp:posOffset>9583511</wp:posOffset>
              </wp:positionV>
              <wp:extent cx="2822575" cy="16764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73280" type="#_x0000_t202" id="docshape73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43712">
              <wp:simplePos x="0" y="0"/>
              <wp:positionH relativeFrom="page">
                <wp:posOffset>6584060</wp:posOffset>
              </wp:positionH>
              <wp:positionV relativeFrom="page">
                <wp:posOffset>9583511</wp:posOffset>
              </wp:positionV>
              <wp:extent cx="291465" cy="16764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8.429993pt;margin-top:754.607239pt;width:22.95pt;height:13.2pt;mso-position-horizontal-relative:page;mso-position-vertical-relative:page;z-index:-32672768" type="#_x0000_t202" id="docshape73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115</w:t>
                    </w:r>
                    <w:r>
                      <w:rPr>
                        <w:rFonts w:ascii="Arial MT"/>
                        <w:spacing w:val="-5"/>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4224">
              <wp:simplePos x="0" y="0"/>
              <wp:positionH relativeFrom="page">
                <wp:posOffset>909700</wp:posOffset>
              </wp:positionH>
              <wp:positionV relativeFrom="page">
                <wp:posOffset>9583511</wp:posOffset>
              </wp:positionV>
              <wp:extent cx="300990" cy="16764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72256" type="#_x0000_t202" id="docshape74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44736">
              <wp:simplePos x="0" y="0"/>
              <wp:positionH relativeFrom="page">
                <wp:posOffset>1573275</wp:posOffset>
              </wp:positionH>
              <wp:positionV relativeFrom="page">
                <wp:posOffset>9583511</wp:posOffset>
              </wp:positionV>
              <wp:extent cx="2822575" cy="16764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71744" type="#_x0000_t202" id="docshape74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5248">
              <wp:simplePos x="0" y="0"/>
              <wp:positionH relativeFrom="page">
                <wp:posOffset>3377184</wp:posOffset>
              </wp:positionH>
              <wp:positionV relativeFrom="page">
                <wp:posOffset>9583511</wp:posOffset>
              </wp:positionV>
              <wp:extent cx="2822575" cy="16764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71232" type="#_x0000_t202" id="docshape74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45760">
              <wp:simplePos x="0" y="0"/>
              <wp:positionH relativeFrom="page">
                <wp:posOffset>6584060</wp:posOffset>
              </wp:positionH>
              <wp:positionV relativeFrom="page">
                <wp:posOffset>9583511</wp:posOffset>
              </wp:positionV>
              <wp:extent cx="291465" cy="16764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8.429993pt;margin-top:754.607239pt;width:22.95pt;height:13.2pt;mso-position-horizontal-relative:page;mso-position-vertical-relative:page;z-index:-32670720" type="#_x0000_t202" id="docshape74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117</w:t>
                    </w:r>
                    <w:r>
                      <w:rPr>
                        <w:rFonts w:ascii="Arial MT"/>
                        <w:spacing w:val="-5"/>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6272">
              <wp:simplePos x="0" y="0"/>
              <wp:positionH relativeFrom="page">
                <wp:posOffset>909700</wp:posOffset>
              </wp:positionH>
              <wp:positionV relativeFrom="page">
                <wp:posOffset>9583511</wp:posOffset>
              </wp:positionV>
              <wp:extent cx="291465" cy="16764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2.95pt;height:13.2pt;mso-position-horizontal-relative:page;mso-position-vertical-relative:page;z-index:-32670208" type="#_x0000_t202" id="docshape75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46784">
              <wp:simplePos x="0" y="0"/>
              <wp:positionH relativeFrom="page">
                <wp:posOffset>1573275</wp:posOffset>
              </wp:positionH>
              <wp:positionV relativeFrom="page">
                <wp:posOffset>9583511</wp:posOffset>
              </wp:positionV>
              <wp:extent cx="2822575" cy="167640"/>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69696" type="#_x0000_t202" id="docshape751"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7296">
              <wp:simplePos x="0" y="0"/>
              <wp:positionH relativeFrom="page">
                <wp:posOffset>3377184</wp:posOffset>
              </wp:positionH>
              <wp:positionV relativeFrom="page">
                <wp:posOffset>9583511</wp:posOffset>
              </wp:positionV>
              <wp:extent cx="2822575" cy="16764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69184" type="#_x0000_t202" id="docshape75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47808">
              <wp:simplePos x="0" y="0"/>
              <wp:positionH relativeFrom="page">
                <wp:posOffset>6584060</wp:posOffset>
              </wp:positionH>
              <wp:positionV relativeFrom="page">
                <wp:posOffset>9583511</wp:posOffset>
              </wp:positionV>
              <wp:extent cx="291465" cy="16764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291465"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8.429993pt;margin-top:754.607239pt;width:22.95pt;height:13.2pt;mso-position-horizontal-relative:page;mso-position-vertical-relative:page;z-index:-32668672" type="#_x0000_t202" id="docshape75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119</w:t>
                    </w:r>
                    <w:r>
                      <w:rPr>
                        <w:rFonts w:ascii="Arial MT"/>
                        <w:spacing w:val="-5"/>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8320">
              <wp:simplePos x="0" y="0"/>
              <wp:positionH relativeFrom="page">
                <wp:posOffset>909700</wp:posOffset>
              </wp:positionH>
              <wp:positionV relativeFrom="page">
                <wp:posOffset>9583511</wp:posOffset>
              </wp:positionV>
              <wp:extent cx="300990" cy="16764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68160" type="#_x0000_t202" id="docshape76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48832">
              <wp:simplePos x="0" y="0"/>
              <wp:positionH relativeFrom="page">
                <wp:posOffset>1573275</wp:posOffset>
              </wp:positionH>
              <wp:positionV relativeFrom="page">
                <wp:posOffset>9583511</wp:posOffset>
              </wp:positionV>
              <wp:extent cx="2822575" cy="16764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67648" type="#_x0000_t202" id="docshape76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9344">
              <wp:simplePos x="0" y="0"/>
              <wp:positionH relativeFrom="page">
                <wp:posOffset>3377184</wp:posOffset>
              </wp:positionH>
              <wp:positionV relativeFrom="page">
                <wp:posOffset>9583511</wp:posOffset>
              </wp:positionV>
              <wp:extent cx="2822575" cy="16764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67136" type="#_x0000_t202" id="docshape76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49856">
              <wp:simplePos x="0" y="0"/>
              <wp:positionH relativeFrom="page">
                <wp:posOffset>6574663</wp:posOffset>
              </wp:positionH>
              <wp:positionV relativeFrom="page">
                <wp:posOffset>9583511</wp:posOffset>
              </wp:positionV>
              <wp:extent cx="300990" cy="16764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66624" type="#_x0000_t202" id="docshape77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121</w:t>
                    </w:r>
                    <w:r>
                      <w:rPr>
                        <w:rFonts w:ascii="Arial MT"/>
                        <w:spacing w:val="-5"/>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0368">
              <wp:simplePos x="0" y="0"/>
              <wp:positionH relativeFrom="page">
                <wp:posOffset>909700</wp:posOffset>
              </wp:positionH>
              <wp:positionV relativeFrom="page">
                <wp:posOffset>9583511</wp:posOffset>
              </wp:positionV>
              <wp:extent cx="300990" cy="16764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66112" type="#_x0000_t202" id="docshape78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50880">
              <wp:simplePos x="0" y="0"/>
              <wp:positionH relativeFrom="page">
                <wp:posOffset>1573275</wp:posOffset>
              </wp:positionH>
              <wp:positionV relativeFrom="page">
                <wp:posOffset>9583511</wp:posOffset>
              </wp:positionV>
              <wp:extent cx="2822575" cy="16764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65600" type="#_x0000_t202" id="docshape78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1392">
              <wp:simplePos x="0" y="0"/>
              <wp:positionH relativeFrom="page">
                <wp:posOffset>3377184</wp:posOffset>
              </wp:positionH>
              <wp:positionV relativeFrom="page">
                <wp:posOffset>9583511</wp:posOffset>
              </wp:positionV>
              <wp:extent cx="2822575" cy="167640"/>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65088" type="#_x0000_t202" id="docshape78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51904">
              <wp:simplePos x="0" y="0"/>
              <wp:positionH relativeFrom="page">
                <wp:posOffset>6574663</wp:posOffset>
              </wp:positionH>
              <wp:positionV relativeFrom="page">
                <wp:posOffset>9583511</wp:posOffset>
              </wp:positionV>
              <wp:extent cx="300990" cy="16764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64576" type="#_x0000_t202" id="docshape79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123</w:t>
                    </w:r>
                    <w:r>
                      <w:rPr>
                        <w:rFonts w:ascii="Arial MT"/>
                        <w:spacing w:val="-5"/>
                      </w:rPr>
                      <w:fldChar w:fldCharType="end"/>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2416">
              <wp:simplePos x="0" y="0"/>
              <wp:positionH relativeFrom="page">
                <wp:posOffset>909700</wp:posOffset>
              </wp:positionH>
              <wp:positionV relativeFrom="page">
                <wp:posOffset>9583511</wp:posOffset>
              </wp:positionV>
              <wp:extent cx="300990" cy="16764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64064" type="#_x0000_t202" id="docshape79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52928">
              <wp:simplePos x="0" y="0"/>
              <wp:positionH relativeFrom="page">
                <wp:posOffset>1573275</wp:posOffset>
              </wp:positionH>
              <wp:positionV relativeFrom="page">
                <wp:posOffset>9583511</wp:posOffset>
              </wp:positionV>
              <wp:extent cx="2822575" cy="16764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63552" type="#_x0000_t202" id="docshape79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3440">
              <wp:simplePos x="0" y="0"/>
              <wp:positionH relativeFrom="page">
                <wp:posOffset>3377184</wp:posOffset>
              </wp:positionH>
              <wp:positionV relativeFrom="page">
                <wp:posOffset>9583511</wp:posOffset>
              </wp:positionV>
              <wp:extent cx="2822575" cy="16764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63040" type="#_x0000_t202" id="docshape796"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53952">
              <wp:simplePos x="0" y="0"/>
              <wp:positionH relativeFrom="page">
                <wp:posOffset>6574663</wp:posOffset>
              </wp:positionH>
              <wp:positionV relativeFrom="page">
                <wp:posOffset>9583511</wp:posOffset>
              </wp:positionV>
              <wp:extent cx="300990" cy="16764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62528" type="#_x0000_t202" id="docshape79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125</w:t>
                    </w:r>
                    <w:r>
                      <w:rPr>
                        <w:rFonts w:ascii="Arial MT"/>
                        <w:spacing w:val="-5"/>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5488">
              <wp:simplePos x="0" y="0"/>
              <wp:positionH relativeFrom="page">
                <wp:posOffset>909700</wp:posOffset>
              </wp:positionH>
              <wp:positionV relativeFrom="page">
                <wp:posOffset>9583511</wp:posOffset>
              </wp:positionV>
              <wp:extent cx="300990" cy="16764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60992" type="#_x0000_t202" id="docshape803"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56000">
              <wp:simplePos x="0" y="0"/>
              <wp:positionH relativeFrom="page">
                <wp:posOffset>1573275</wp:posOffset>
              </wp:positionH>
              <wp:positionV relativeFrom="page">
                <wp:posOffset>9583511</wp:posOffset>
              </wp:positionV>
              <wp:extent cx="2822575" cy="16764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60480" type="#_x0000_t202" id="docshape80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6512">
              <wp:simplePos x="0" y="0"/>
              <wp:positionH relativeFrom="page">
                <wp:posOffset>3377184</wp:posOffset>
              </wp:positionH>
              <wp:positionV relativeFrom="page">
                <wp:posOffset>9583511</wp:posOffset>
              </wp:positionV>
              <wp:extent cx="2822575" cy="16764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59968" type="#_x0000_t202" id="docshape80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57024">
              <wp:simplePos x="0" y="0"/>
              <wp:positionH relativeFrom="page">
                <wp:posOffset>6574663</wp:posOffset>
              </wp:positionH>
              <wp:positionV relativeFrom="page">
                <wp:posOffset>9583511</wp:posOffset>
              </wp:positionV>
              <wp:extent cx="300990" cy="16764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127</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59456" type="#_x0000_t202" id="docshape806"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127</w:t>
                    </w:r>
                    <w:r>
                      <w:rPr>
                        <w:rFonts w:ascii="Arial MT"/>
                        <w:spacing w:val="-5"/>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8560">
              <wp:simplePos x="0" y="0"/>
              <wp:positionH relativeFrom="page">
                <wp:posOffset>909700</wp:posOffset>
              </wp:positionH>
              <wp:positionV relativeFrom="page">
                <wp:posOffset>9583511</wp:posOffset>
              </wp:positionV>
              <wp:extent cx="300990" cy="16764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128</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57920" type="#_x0000_t202" id="docshape811"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128</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59072">
              <wp:simplePos x="0" y="0"/>
              <wp:positionH relativeFrom="page">
                <wp:posOffset>1573275</wp:posOffset>
              </wp:positionH>
              <wp:positionV relativeFrom="page">
                <wp:posOffset>9583511</wp:posOffset>
              </wp:positionV>
              <wp:extent cx="2822575" cy="16764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57408" type="#_x0000_t202" id="docshape812"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9584">
              <wp:simplePos x="0" y="0"/>
              <wp:positionH relativeFrom="page">
                <wp:posOffset>3377184</wp:posOffset>
              </wp:positionH>
              <wp:positionV relativeFrom="page">
                <wp:posOffset>9583511</wp:posOffset>
              </wp:positionV>
              <wp:extent cx="2822575" cy="16764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56896" type="#_x0000_t202" id="docshape81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60096">
              <wp:simplePos x="0" y="0"/>
              <wp:positionH relativeFrom="page">
                <wp:posOffset>6574663</wp:posOffset>
              </wp:positionH>
              <wp:positionV relativeFrom="page">
                <wp:posOffset>9583511</wp:posOffset>
              </wp:positionV>
              <wp:extent cx="300990" cy="16764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129</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56384" type="#_x0000_t202" id="docshape81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129</w:t>
                    </w:r>
                    <w:r>
                      <w:rPr>
                        <w:rFonts w:ascii="Arial MT"/>
                        <w:spacing w:val="-5"/>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0608">
              <wp:simplePos x="0" y="0"/>
              <wp:positionH relativeFrom="page">
                <wp:posOffset>909700</wp:posOffset>
              </wp:positionH>
              <wp:positionV relativeFrom="page">
                <wp:posOffset>9583511</wp:posOffset>
              </wp:positionV>
              <wp:extent cx="300990" cy="16764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130</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55872" type="#_x0000_t202" id="docshape82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130</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61120">
              <wp:simplePos x="0" y="0"/>
              <wp:positionH relativeFrom="page">
                <wp:posOffset>1573275</wp:posOffset>
              </wp:positionH>
              <wp:positionV relativeFrom="page">
                <wp:posOffset>9583511</wp:posOffset>
              </wp:positionV>
              <wp:extent cx="2822575" cy="16764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55360" type="#_x0000_t202" id="docshape826"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1632">
              <wp:simplePos x="0" y="0"/>
              <wp:positionH relativeFrom="page">
                <wp:posOffset>3377184</wp:posOffset>
              </wp:positionH>
              <wp:positionV relativeFrom="page">
                <wp:posOffset>9583511</wp:posOffset>
              </wp:positionV>
              <wp:extent cx="2822575" cy="16764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54848" type="#_x0000_t202" id="docshape827"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62144">
              <wp:simplePos x="0" y="0"/>
              <wp:positionH relativeFrom="page">
                <wp:posOffset>6574663</wp:posOffset>
              </wp:positionH>
              <wp:positionV relativeFrom="page">
                <wp:posOffset>9583511</wp:posOffset>
              </wp:positionV>
              <wp:extent cx="300990" cy="16764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131</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54336" type="#_x0000_t202" id="docshape828"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131</w:t>
                    </w:r>
                    <w:r>
                      <w:rPr>
                        <w:rFonts w:ascii="Arial MT"/>
                        <w:spacing w:val="-5"/>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2656">
              <wp:simplePos x="0" y="0"/>
              <wp:positionH relativeFrom="page">
                <wp:posOffset>909700</wp:posOffset>
              </wp:positionH>
              <wp:positionV relativeFrom="page">
                <wp:posOffset>9583511</wp:posOffset>
              </wp:positionV>
              <wp:extent cx="300990" cy="16764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132</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53824" type="#_x0000_t202" id="docshape832"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132</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63168">
              <wp:simplePos x="0" y="0"/>
              <wp:positionH relativeFrom="page">
                <wp:posOffset>1573275</wp:posOffset>
              </wp:positionH>
              <wp:positionV relativeFrom="page">
                <wp:posOffset>9583511</wp:posOffset>
              </wp:positionV>
              <wp:extent cx="2822575" cy="16764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53312" type="#_x0000_t202" id="docshape833"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3680">
              <wp:simplePos x="0" y="0"/>
              <wp:positionH relativeFrom="page">
                <wp:posOffset>3377184</wp:posOffset>
              </wp:positionH>
              <wp:positionV relativeFrom="page">
                <wp:posOffset>9583511</wp:posOffset>
              </wp:positionV>
              <wp:extent cx="2822575" cy="16764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52800" type="#_x0000_t202" id="docshape834"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64192">
              <wp:simplePos x="0" y="0"/>
              <wp:positionH relativeFrom="page">
                <wp:posOffset>6574663</wp:posOffset>
              </wp:positionH>
              <wp:positionV relativeFrom="page">
                <wp:posOffset>9583511</wp:posOffset>
              </wp:positionV>
              <wp:extent cx="300990" cy="16764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133</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52288" type="#_x0000_t202" id="docshape835"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133</w:t>
                    </w:r>
                    <w:r>
                      <w:rPr>
                        <w:rFonts w:ascii="Arial MT"/>
                        <w:spacing w:val="-5"/>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4704">
              <wp:simplePos x="0" y="0"/>
              <wp:positionH relativeFrom="page">
                <wp:posOffset>909700</wp:posOffset>
              </wp:positionH>
              <wp:positionV relativeFrom="page">
                <wp:posOffset>9583511</wp:posOffset>
              </wp:positionV>
              <wp:extent cx="300990" cy="16764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134</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51776" type="#_x0000_t202" id="docshape847"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134</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65216">
              <wp:simplePos x="0" y="0"/>
              <wp:positionH relativeFrom="page">
                <wp:posOffset>1573275</wp:posOffset>
              </wp:positionH>
              <wp:positionV relativeFrom="page">
                <wp:posOffset>9583511</wp:posOffset>
              </wp:positionV>
              <wp:extent cx="2822575" cy="16764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51264" type="#_x0000_t202" id="docshape848"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5728">
              <wp:simplePos x="0" y="0"/>
              <wp:positionH relativeFrom="page">
                <wp:posOffset>3377184</wp:posOffset>
              </wp:positionH>
              <wp:positionV relativeFrom="page">
                <wp:posOffset>9583511</wp:posOffset>
              </wp:positionV>
              <wp:extent cx="2822575" cy="16764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265.920013pt;margin-top:754.607239pt;width:222.25pt;height:13.2pt;mso-position-horizontal-relative:page;mso-position-vertical-relative:page;z-index:-32650752" type="#_x0000_t202" id="docshape849"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r>
      <w:rPr/>
      <mc:AlternateContent>
        <mc:Choice Requires="wps">
          <w:drawing>
            <wp:anchor distT="0" distB="0" distL="0" distR="0" allowOverlap="1" layoutInCell="1" locked="0" behindDoc="1" simplePos="0" relativeHeight="470666240">
              <wp:simplePos x="0" y="0"/>
              <wp:positionH relativeFrom="page">
                <wp:posOffset>6574663</wp:posOffset>
              </wp:positionH>
              <wp:positionV relativeFrom="page">
                <wp:posOffset>9583511</wp:posOffset>
              </wp:positionV>
              <wp:extent cx="300990" cy="16764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135</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517.690002pt;margin-top:754.607239pt;width:23.7pt;height:13.2pt;mso-position-horizontal-relative:page;mso-position-vertical-relative:page;z-index:-32650240" type="#_x0000_t202" id="docshape850"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135</w:t>
                    </w:r>
                    <w:r>
                      <w:rPr>
                        <w:rFonts w:ascii="Arial MT"/>
                        <w:spacing w:val="-5"/>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66752">
              <wp:simplePos x="0" y="0"/>
              <wp:positionH relativeFrom="page">
                <wp:posOffset>909700</wp:posOffset>
              </wp:positionH>
              <wp:positionV relativeFrom="page">
                <wp:posOffset>9583511</wp:posOffset>
              </wp:positionV>
              <wp:extent cx="300990" cy="16764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300990" cy="167640"/>
                      </a:xfrm>
                      <a:prstGeom prst="rect">
                        <a:avLst/>
                      </a:prstGeom>
                    </wps:spPr>
                    <wps:txbx>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136</w:t>
                          </w:r>
                          <w:r>
                            <w:rPr>
                              <w:rFonts w:ascii="Arial MT"/>
                              <w:spacing w:val="-5"/>
                            </w:rPr>
                            <w:fldChar w:fldCharType="end"/>
                          </w:r>
                        </w:p>
                      </w:txbxContent>
                    </wps:txbx>
                    <wps:bodyPr wrap="square" lIns="0" tIns="0" rIns="0" bIns="0" rtlCol="0">
                      <a:noAutofit/>
                    </wps:bodyPr>
                  </wps:wsp>
                </a:graphicData>
              </a:graphic>
            </wp:anchor>
          </w:drawing>
        </mc:Choice>
        <mc:Fallback>
          <w:pict>
            <v:shape style="position:absolute;margin-left:71.629997pt;margin-top:754.607239pt;width:23.7pt;height:13.2pt;mso-position-horizontal-relative:page;mso-position-vertical-relative:page;z-index:-32649728" type="#_x0000_t202" id="docshape864" filled="false" stroked="false">
              <v:textbox inset="0,0,0,0">
                <w:txbxContent>
                  <w:p>
                    <w:pPr>
                      <w:pStyle w:val="BodyText"/>
                      <w:spacing w:before="13"/>
                      <w:ind w:left="60"/>
                      <w:rPr>
                        <w:rFonts w:ascii="Arial MT"/>
                      </w:rPr>
                    </w:pPr>
                    <w:r>
                      <w:rPr>
                        <w:rFonts w:ascii="Arial MT"/>
                        <w:spacing w:val="-5"/>
                      </w:rPr>
                      <w:fldChar w:fldCharType="begin"/>
                    </w:r>
                    <w:r>
                      <w:rPr>
                        <w:rFonts w:ascii="Arial MT"/>
                        <w:spacing w:val="-5"/>
                      </w:rPr>
                      <w:instrText> PAGE </w:instrText>
                    </w:r>
                    <w:r>
                      <w:rPr>
                        <w:rFonts w:ascii="Arial MT"/>
                        <w:spacing w:val="-5"/>
                      </w:rPr>
                      <w:fldChar w:fldCharType="separate"/>
                    </w:r>
                    <w:r>
                      <w:rPr>
                        <w:rFonts w:ascii="Arial MT"/>
                        <w:spacing w:val="-5"/>
                      </w:rPr>
                      <w:t>136</w:t>
                    </w:r>
                    <w:r>
                      <w:rPr>
                        <w:rFonts w:ascii="Arial MT"/>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0667264">
              <wp:simplePos x="0" y="0"/>
              <wp:positionH relativeFrom="page">
                <wp:posOffset>1573275</wp:posOffset>
              </wp:positionH>
              <wp:positionV relativeFrom="page">
                <wp:posOffset>9583511</wp:posOffset>
              </wp:positionV>
              <wp:extent cx="2822575" cy="16764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2822575" cy="167640"/>
                      </a:xfrm>
                      <a:prstGeom prst="rect">
                        <a:avLst/>
                      </a:prstGeom>
                    </wps:spPr>
                    <wps:txbx>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wps:txbx>
                    <wps:bodyPr wrap="square" lIns="0" tIns="0" rIns="0" bIns="0" rtlCol="0">
                      <a:noAutofit/>
                    </wps:bodyPr>
                  </wps:wsp>
                </a:graphicData>
              </a:graphic>
            </wp:anchor>
          </w:drawing>
        </mc:Choice>
        <mc:Fallback>
          <w:pict>
            <v:shape style="position:absolute;margin-left:123.879997pt;margin-top:754.607239pt;width:222.25pt;height:13.2pt;mso-position-horizontal-relative:page;mso-position-vertical-relative:page;z-index:-32649216" type="#_x0000_t202" id="docshape865" filled="false" stroked="false">
              <v:textbox inset="0,0,0,0">
                <w:txbxContent>
                  <w:p>
                    <w:pPr>
                      <w:pStyle w:val="BodyText"/>
                      <w:spacing w:before="13"/>
                      <w:ind w:left="20"/>
                      <w:rPr>
                        <w:rFonts w:ascii="Arial MT"/>
                      </w:rPr>
                    </w:pPr>
                    <w:r>
                      <w:rPr>
                        <w:rFonts w:ascii="Arial MT"/>
                      </w:rPr>
                      <w:t>IBRD</w:t>
                    </w:r>
                    <w:r>
                      <w:rPr>
                        <w:rFonts w:ascii="Arial MT"/>
                        <w:spacing w:val="-14"/>
                      </w:rPr>
                      <w:t> </w:t>
                    </w:r>
                    <w:r>
                      <w:rPr>
                        <w:rFonts w:ascii="Arial MT"/>
                      </w:rPr>
                      <w:t>FINANCIAL</w:t>
                    </w:r>
                    <w:r>
                      <w:rPr>
                        <w:rFonts w:ascii="Arial MT"/>
                        <w:spacing w:val="-14"/>
                      </w:rPr>
                      <w:t> </w:t>
                    </w:r>
                    <w:r>
                      <w:rPr>
                        <w:rFonts w:ascii="Arial MT"/>
                      </w:rPr>
                      <w:t>STATEMENTS:</w:t>
                    </w:r>
                    <w:r>
                      <w:rPr>
                        <w:rFonts w:ascii="Arial MT"/>
                        <w:spacing w:val="-13"/>
                      </w:rPr>
                      <w:t> </w:t>
                    </w:r>
                    <w:r>
                      <w:rPr>
                        <w:rFonts w:ascii="Arial MT"/>
                      </w:rPr>
                      <w:t>JUNE</w:t>
                    </w:r>
                    <w:r>
                      <w:rPr>
                        <w:rFonts w:ascii="Arial MT"/>
                        <w:spacing w:val="-12"/>
                      </w:rPr>
                      <w:t> </w:t>
                    </w:r>
                    <w:r>
                      <w:rPr>
                        <w:rFonts w:ascii="Arial MT"/>
                      </w:rPr>
                      <w:t>30,</w:t>
                    </w:r>
                    <w:r>
                      <w:rPr>
                        <w:rFonts w:ascii="Arial MT"/>
                        <w:spacing w:val="-11"/>
                      </w:rPr>
                      <w:t> </w:t>
                    </w:r>
                    <w:r>
                      <w:rPr>
                        <w:rFonts w:ascii="Arial MT"/>
                        <w:spacing w:val="-4"/>
                      </w:rPr>
                      <w:t>2023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16736">
              <wp:simplePos x="0" y="0"/>
              <wp:positionH relativeFrom="page">
                <wp:posOffset>914400</wp:posOffset>
              </wp:positionH>
              <wp:positionV relativeFrom="page">
                <wp:posOffset>472440</wp:posOffset>
              </wp:positionV>
              <wp:extent cx="5943600" cy="18732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943600" cy="187325"/>
                        <a:chExt cx="5943600" cy="187325"/>
                      </a:xfrm>
                    </wpg:grpSpPr>
                    <wps:wsp>
                      <wps:cNvPr id="3" name="Graphic 3"/>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4" name="Graphic 4"/>
                      <wps:cNvSpPr/>
                      <wps:spPr>
                        <a:xfrm>
                          <a:off x="0" y="174625"/>
                          <a:ext cx="2514600" cy="12700"/>
                        </a:xfrm>
                        <a:custGeom>
                          <a:avLst/>
                          <a:gdLst/>
                          <a:ahLst/>
                          <a:cxnLst/>
                          <a:rect l="l" t="t" r="r" b="b"/>
                          <a:pathLst>
                            <a:path w="2514600" h="12700">
                              <a:moveTo>
                                <a:pt x="0" y="12700"/>
                              </a:moveTo>
                              <a:lnTo>
                                <a:pt x="2514600" y="12700"/>
                              </a:lnTo>
                              <a:lnTo>
                                <a:pt x="2514600" y="0"/>
                              </a:lnTo>
                              <a:lnTo>
                                <a:pt x="0" y="0"/>
                              </a:lnTo>
                              <a:lnTo>
                                <a:pt x="0" y="12700"/>
                              </a:lnTo>
                              <a:close/>
                            </a:path>
                          </a:pathLst>
                        </a:custGeom>
                        <a:solidFill>
                          <a:srgbClr val="B6B6B6"/>
                        </a:solidFill>
                      </wps:spPr>
                      <wps:bodyPr wrap="square" lIns="0" tIns="0" rIns="0" bIns="0" rtlCol="0">
                        <a:prstTxWarp prst="textNoShape">
                          <a:avLst/>
                        </a:prstTxWarp>
                        <a:noAutofit/>
                      </wps:bodyPr>
                    </wps:wsp>
                    <wps:wsp>
                      <wps:cNvPr id="5" name="Graphic 5"/>
                      <wps:cNvSpPr/>
                      <wps:spPr>
                        <a:xfrm>
                          <a:off x="2514600" y="180975"/>
                          <a:ext cx="3429000" cy="1270"/>
                        </a:xfrm>
                        <a:custGeom>
                          <a:avLst/>
                          <a:gdLst/>
                          <a:ahLst/>
                          <a:cxnLst/>
                          <a:rect l="l" t="t" r="r" b="b"/>
                          <a:pathLst>
                            <a:path w="3429000" h="0">
                              <a:moveTo>
                                <a:pt x="0" y="0"/>
                              </a:moveTo>
                              <a:lnTo>
                                <a:pt x="34290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75pt;mso-position-horizontal-relative:page;mso-position-vertical-relative:page;z-index:-32799744" id="docshapegroup1" coordorigin="1440,744" coordsize="9360,295">
              <v:rect style="position:absolute;left:1440;top:744;width:3960;height:285" id="docshape2" filled="true" fillcolor="#bfbfbf" stroked="false">
                <v:fill type="solid"/>
              </v:rect>
              <v:rect style="position:absolute;left:1440;top:1019;width:3960;height:20" id="docshape3" filled="true" fillcolor="#b6b6b6" stroked="false">
                <v:fill opacity="0f" type="solid"/>
              </v:rect>
              <v:line style="position:absolute" from="540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17248">
              <wp:simplePos x="0" y="0"/>
              <wp:positionH relativeFrom="page">
                <wp:posOffset>3484879</wp:posOffset>
              </wp:positionH>
              <wp:positionV relativeFrom="page">
                <wp:posOffset>475326</wp:posOffset>
              </wp:positionV>
              <wp:extent cx="1718310"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831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w:t>
                          </w:r>
                          <w:r>
                            <w:rPr>
                              <w:rFonts w:ascii="Arial MT"/>
                              <w:color w:val="7F7F7F"/>
                              <w:spacing w:val="-5"/>
                            </w:rPr>
                            <w:t> </w:t>
                          </w:r>
                          <w:r>
                            <w:rPr>
                              <w:rFonts w:ascii="Arial MT"/>
                              <w:color w:val="7F7F7F"/>
                            </w:rPr>
                            <w:t>Executive</w:t>
                          </w:r>
                          <w:r>
                            <w:rPr>
                              <w:rFonts w:ascii="Arial MT"/>
                              <w:color w:val="7F7F7F"/>
                              <w:spacing w:val="-4"/>
                            </w:rPr>
                            <w:t> </w:t>
                          </w:r>
                          <w:r>
                            <w:rPr>
                              <w:rFonts w:ascii="Arial MT"/>
                              <w:color w:val="7F7F7F"/>
                              <w:spacing w:val="-2"/>
                            </w:rPr>
                            <w:t>Summary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4.399994pt;margin-top:37.427246pt;width:135.3pt;height:13.2pt;mso-position-horizontal-relative:page;mso-position-vertical-relative:page;z-index:-32799232" type="#_x0000_t202" id="docshape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w:t>
                    </w:r>
                    <w:r>
                      <w:rPr>
                        <w:rFonts w:ascii="Arial MT"/>
                        <w:color w:val="7F7F7F"/>
                        <w:spacing w:val="-5"/>
                      </w:rPr>
                      <w:t> </w:t>
                    </w:r>
                    <w:r>
                      <w:rPr>
                        <w:rFonts w:ascii="Arial MT"/>
                        <w:color w:val="7F7F7F"/>
                      </w:rPr>
                      <w:t>Executive</w:t>
                    </w:r>
                    <w:r>
                      <w:rPr>
                        <w:rFonts w:ascii="Arial MT"/>
                        <w:color w:val="7F7F7F"/>
                        <w:spacing w:val="-4"/>
                      </w:rPr>
                      <w:t> </w:t>
                    </w:r>
                    <w:r>
                      <w:rPr>
                        <w:rFonts w:ascii="Arial MT"/>
                        <w:color w:val="7F7F7F"/>
                        <w:spacing w:val="-2"/>
                      </w:rPr>
                      <w:t>Summary</w:t>
                    </w:r>
                  </w:p>
                </w:txbxContent>
              </v:textbox>
              <w10:wrap type="none"/>
            </v:shape>
          </w:pict>
        </mc:Fallback>
      </mc:AlternateContent>
    </w:r>
    <w:r>
      <w:rPr/>
      <mc:AlternateContent>
        <mc:Choice Requires="wps">
          <w:drawing>
            <wp:anchor distT="0" distB="0" distL="0" distR="0" allowOverlap="1" layoutInCell="1" locked="0" behindDoc="1" simplePos="0" relativeHeight="470517760">
              <wp:simplePos x="0" y="0"/>
              <wp:positionH relativeFrom="page">
                <wp:posOffset>970280</wp:posOffset>
              </wp:positionH>
              <wp:positionV relativeFrom="page">
                <wp:posOffset>483520</wp:posOffset>
              </wp:positionV>
              <wp:extent cx="2198370"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98720" type="#_x0000_t202" id="docshape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18272">
              <wp:simplePos x="0" y="0"/>
              <wp:positionH relativeFrom="page">
                <wp:posOffset>914400</wp:posOffset>
              </wp:positionH>
              <wp:positionV relativeFrom="page">
                <wp:posOffset>472440</wp:posOffset>
              </wp:positionV>
              <wp:extent cx="5943600" cy="1841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943600" cy="184150"/>
                        <a:chExt cx="5943600" cy="184150"/>
                      </a:xfrm>
                    </wpg:grpSpPr>
                    <wps:wsp>
                      <wps:cNvPr id="9" name="Graphic 9"/>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10" name="Graphic 10"/>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98208" id="docshapegroup6" coordorigin="1440,744" coordsize="9360,290">
              <v:rect style="position:absolute;left:1440;top:744;width:3960;height:285" id="docshape7"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18784">
              <wp:simplePos x="0" y="0"/>
              <wp:positionH relativeFrom="page">
                <wp:posOffset>3484879</wp:posOffset>
              </wp:positionH>
              <wp:positionV relativeFrom="page">
                <wp:posOffset>475326</wp:posOffset>
              </wp:positionV>
              <wp:extent cx="1718310"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1831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w:t>
                          </w:r>
                          <w:r>
                            <w:rPr>
                              <w:rFonts w:ascii="Arial MT"/>
                              <w:color w:val="7F7F7F"/>
                              <w:spacing w:val="-5"/>
                            </w:rPr>
                            <w:t> </w:t>
                          </w:r>
                          <w:r>
                            <w:rPr>
                              <w:rFonts w:ascii="Arial MT"/>
                              <w:color w:val="7F7F7F"/>
                            </w:rPr>
                            <w:t>Executive</w:t>
                          </w:r>
                          <w:r>
                            <w:rPr>
                              <w:rFonts w:ascii="Arial MT"/>
                              <w:color w:val="7F7F7F"/>
                              <w:spacing w:val="-4"/>
                            </w:rPr>
                            <w:t> </w:t>
                          </w:r>
                          <w:r>
                            <w:rPr>
                              <w:rFonts w:ascii="Arial MT"/>
                              <w:color w:val="7F7F7F"/>
                              <w:spacing w:val="-2"/>
                            </w:rPr>
                            <w:t>Summary</w:t>
                          </w:r>
                        </w:p>
                      </w:txbxContent>
                    </wps:txbx>
                    <wps:bodyPr wrap="square" lIns="0" tIns="0" rIns="0" bIns="0" rtlCol="0">
                      <a:noAutofit/>
                    </wps:bodyPr>
                  </wps:wsp>
                </a:graphicData>
              </a:graphic>
            </wp:anchor>
          </w:drawing>
        </mc:Choice>
        <mc:Fallback>
          <w:pict>
            <v:shape style="position:absolute;margin-left:274.399994pt;margin-top:37.427246pt;width:135.3pt;height:13.2pt;mso-position-horizontal-relative:page;mso-position-vertical-relative:page;z-index:-32797696" type="#_x0000_t202" id="docshape8"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w:t>
                    </w:r>
                    <w:r>
                      <w:rPr>
                        <w:rFonts w:ascii="Arial MT"/>
                        <w:color w:val="7F7F7F"/>
                        <w:spacing w:val="-5"/>
                      </w:rPr>
                      <w:t> </w:t>
                    </w:r>
                    <w:r>
                      <w:rPr>
                        <w:rFonts w:ascii="Arial MT"/>
                        <w:color w:val="7F7F7F"/>
                      </w:rPr>
                      <w:t>Executive</w:t>
                    </w:r>
                    <w:r>
                      <w:rPr>
                        <w:rFonts w:ascii="Arial MT"/>
                        <w:color w:val="7F7F7F"/>
                        <w:spacing w:val="-4"/>
                      </w:rPr>
                      <w:t> </w:t>
                    </w:r>
                    <w:r>
                      <w:rPr>
                        <w:rFonts w:ascii="Arial MT"/>
                        <w:color w:val="7F7F7F"/>
                        <w:spacing w:val="-2"/>
                      </w:rPr>
                      <w:t>Summary</w:t>
                    </w:r>
                  </w:p>
                </w:txbxContent>
              </v:textbox>
              <w10:wrap type="none"/>
            </v:shape>
          </w:pict>
        </mc:Fallback>
      </mc:AlternateContent>
    </w:r>
    <w:r>
      <w:rPr/>
      <mc:AlternateContent>
        <mc:Choice Requires="wps">
          <w:drawing>
            <wp:anchor distT="0" distB="0" distL="0" distR="0" allowOverlap="1" layoutInCell="1" locked="0" behindDoc="1" simplePos="0" relativeHeight="470519296">
              <wp:simplePos x="0" y="0"/>
              <wp:positionH relativeFrom="page">
                <wp:posOffset>970280</wp:posOffset>
              </wp:positionH>
              <wp:positionV relativeFrom="page">
                <wp:posOffset>483520</wp:posOffset>
              </wp:positionV>
              <wp:extent cx="2198370"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97184" type="#_x0000_t202" id="docshape9"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1856">
              <wp:simplePos x="0" y="0"/>
              <wp:positionH relativeFrom="page">
                <wp:posOffset>914400</wp:posOffset>
              </wp:positionH>
              <wp:positionV relativeFrom="page">
                <wp:posOffset>472440</wp:posOffset>
              </wp:positionV>
              <wp:extent cx="5943600" cy="18415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943600" cy="184150"/>
                        <a:chExt cx="5943600" cy="184150"/>
                      </a:xfrm>
                    </wpg:grpSpPr>
                    <wps:wsp>
                      <wps:cNvPr id="83" name="Graphic 83"/>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84" name="Graphic 84"/>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94624" id="docshapegroup57" coordorigin="1440,744" coordsize="9360,290">
              <v:rect style="position:absolute;left:1440;top:744;width:3960;height:285" id="docshape58"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22368">
              <wp:simplePos x="0" y="0"/>
              <wp:positionH relativeFrom="page">
                <wp:posOffset>3484879</wp:posOffset>
              </wp:positionH>
              <wp:positionV relativeFrom="page">
                <wp:posOffset>475326</wp:posOffset>
              </wp:positionV>
              <wp:extent cx="1153795" cy="16764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15379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II:</w:t>
                          </w:r>
                          <w:r>
                            <w:rPr>
                              <w:rFonts w:ascii="Arial MT"/>
                              <w:color w:val="7F7F7F"/>
                              <w:spacing w:val="-4"/>
                            </w:rPr>
                            <w:t> </w:t>
                          </w:r>
                          <w:r>
                            <w:rPr>
                              <w:rFonts w:ascii="Arial MT"/>
                              <w:color w:val="7F7F7F"/>
                              <w:spacing w:val="-2"/>
                            </w:rPr>
                            <w:t>Overview</w:t>
                          </w:r>
                        </w:p>
                      </w:txbxContent>
                    </wps:txbx>
                    <wps:bodyPr wrap="square" lIns="0" tIns="0" rIns="0" bIns="0" rtlCol="0">
                      <a:noAutofit/>
                    </wps:bodyPr>
                  </wps:wsp>
                </a:graphicData>
              </a:graphic>
            </wp:anchor>
          </w:drawing>
        </mc:Choice>
        <mc:Fallback>
          <w:pict>
            <v:shape style="position:absolute;margin-left:274.399994pt;margin-top:37.427246pt;width:90.85pt;height:13.2pt;mso-position-horizontal-relative:page;mso-position-vertical-relative:page;z-index:-32794112" type="#_x0000_t202" id="docshape59"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II:</w:t>
                    </w:r>
                    <w:r>
                      <w:rPr>
                        <w:rFonts w:ascii="Arial MT"/>
                        <w:color w:val="7F7F7F"/>
                        <w:spacing w:val="-4"/>
                      </w:rPr>
                      <w:t> </w:t>
                    </w:r>
                    <w:r>
                      <w:rPr>
                        <w:rFonts w:ascii="Arial MT"/>
                        <w:color w:val="7F7F7F"/>
                        <w:spacing w:val="-2"/>
                      </w:rPr>
                      <w:t>Overview</w:t>
                    </w:r>
                  </w:p>
                </w:txbxContent>
              </v:textbox>
              <w10:wrap type="none"/>
            </v:shape>
          </w:pict>
        </mc:Fallback>
      </mc:AlternateContent>
    </w:r>
    <w:r>
      <w:rPr/>
      <mc:AlternateContent>
        <mc:Choice Requires="wps">
          <w:drawing>
            <wp:anchor distT="0" distB="0" distL="0" distR="0" allowOverlap="1" layoutInCell="1" locked="0" behindDoc="1" simplePos="0" relativeHeight="470522880">
              <wp:simplePos x="0" y="0"/>
              <wp:positionH relativeFrom="page">
                <wp:posOffset>970280</wp:posOffset>
              </wp:positionH>
              <wp:positionV relativeFrom="page">
                <wp:posOffset>483520</wp:posOffset>
              </wp:positionV>
              <wp:extent cx="2198370" cy="1536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93600" type="#_x0000_t202" id="docshape60"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3392">
              <wp:simplePos x="0" y="0"/>
              <wp:positionH relativeFrom="page">
                <wp:posOffset>914400</wp:posOffset>
              </wp:positionH>
              <wp:positionV relativeFrom="page">
                <wp:posOffset>472440</wp:posOffset>
              </wp:positionV>
              <wp:extent cx="5943600" cy="18415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943600" cy="184150"/>
                        <a:chExt cx="5943600" cy="184150"/>
                      </a:xfrm>
                    </wpg:grpSpPr>
                    <wps:wsp>
                      <wps:cNvPr id="88" name="Graphic 88"/>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89" name="Graphic 89"/>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93088" id="docshapegroup61" coordorigin="1440,744" coordsize="9360,290">
              <v:rect style="position:absolute;left:1440;top:744;width:3960;height:285" id="docshape62"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23904">
              <wp:simplePos x="0" y="0"/>
              <wp:positionH relativeFrom="page">
                <wp:posOffset>3484879</wp:posOffset>
              </wp:positionH>
              <wp:positionV relativeFrom="page">
                <wp:posOffset>475326</wp:posOffset>
              </wp:positionV>
              <wp:extent cx="1153795" cy="1676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15379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II:</w:t>
                          </w:r>
                          <w:r>
                            <w:rPr>
                              <w:rFonts w:ascii="Arial MT"/>
                              <w:color w:val="7F7F7F"/>
                              <w:spacing w:val="-4"/>
                            </w:rPr>
                            <w:t> </w:t>
                          </w:r>
                          <w:r>
                            <w:rPr>
                              <w:rFonts w:ascii="Arial MT"/>
                              <w:color w:val="7F7F7F"/>
                              <w:spacing w:val="-2"/>
                            </w:rPr>
                            <w:t>Overview</w:t>
                          </w:r>
                        </w:p>
                      </w:txbxContent>
                    </wps:txbx>
                    <wps:bodyPr wrap="square" lIns="0" tIns="0" rIns="0" bIns="0" rtlCol="0">
                      <a:noAutofit/>
                    </wps:bodyPr>
                  </wps:wsp>
                </a:graphicData>
              </a:graphic>
            </wp:anchor>
          </w:drawing>
        </mc:Choice>
        <mc:Fallback>
          <w:pict>
            <v:shape style="position:absolute;margin-left:274.399994pt;margin-top:37.427246pt;width:90.85pt;height:13.2pt;mso-position-horizontal-relative:page;mso-position-vertical-relative:page;z-index:-32792576" type="#_x0000_t202" id="docshape63"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5"/>
                      </w:rPr>
                      <w:t> </w:t>
                    </w:r>
                    <w:r>
                      <w:rPr>
                        <w:rFonts w:ascii="Arial MT"/>
                        <w:color w:val="7F7F7F"/>
                      </w:rPr>
                      <w:t>II:</w:t>
                    </w:r>
                    <w:r>
                      <w:rPr>
                        <w:rFonts w:ascii="Arial MT"/>
                        <w:color w:val="7F7F7F"/>
                        <w:spacing w:val="-4"/>
                      </w:rPr>
                      <w:t> </w:t>
                    </w:r>
                    <w:r>
                      <w:rPr>
                        <w:rFonts w:ascii="Arial MT"/>
                        <w:color w:val="7F7F7F"/>
                        <w:spacing w:val="-2"/>
                      </w:rPr>
                      <w:t>Overview</w:t>
                    </w:r>
                  </w:p>
                </w:txbxContent>
              </v:textbox>
              <w10:wrap type="none"/>
            </v:shape>
          </w:pict>
        </mc:Fallback>
      </mc:AlternateContent>
    </w:r>
    <w:r>
      <w:rPr/>
      <mc:AlternateContent>
        <mc:Choice Requires="wps">
          <w:drawing>
            <wp:anchor distT="0" distB="0" distL="0" distR="0" allowOverlap="1" layoutInCell="1" locked="0" behindDoc="1" simplePos="0" relativeHeight="470524416">
              <wp:simplePos x="0" y="0"/>
              <wp:positionH relativeFrom="page">
                <wp:posOffset>970280</wp:posOffset>
              </wp:positionH>
              <wp:positionV relativeFrom="page">
                <wp:posOffset>483520</wp:posOffset>
              </wp:positionV>
              <wp:extent cx="2198370" cy="1536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92064" type="#_x0000_t202" id="docshape64"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6976">
              <wp:simplePos x="0" y="0"/>
              <wp:positionH relativeFrom="page">
                <wp:posOffset>914400</wp:posOffset>
              </wp:positionH>
              <wp:positionV relativeFrom="page">
                <wp:posOffset>472440</wp:posOffset>
              </wp:positionV>
              <wp:extent cx="5943600" cy="1841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943600" cy="184150"/>
                        <a:chExt cx="5943600" cy="184150"/>
                      </a:xfrm>
                    </wpg:grpSpPr>
                    <wps:wsp>
                      <wps:cNvPr id="100" name="Graphic 100"/>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101" name="Graphic 101"/>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89504" id="docshapegroup71" coordorigin="1440,744" coordsize="9360,290">
              <v:rect style="position:absolute;left:1440;top:744;width:3960;height:285" id="docshape72"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27488">
              <wp:simplePos x="0" y="0"/>
              <wp:positionH relativeFrom="page">
                <wp:posOffset>3484879</wp:posOffset>
              </wp:positionH>
              <wp:positionV relativeFrom="page">
                <wp:posOffset>475326</wp:posOffset>
              </wp:positionV>
              <wp:extent cx="1626235" cy="16764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62623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III:</w:t>
                          </w:r>
                          <w:r>
                            <w:rPr>
                              <w:rFonts w:ascii="Arial MT"/>
                              <w:color w:val="7F7F7F"/>
                              <w:spacing w:val="-6"/>
                            </w:rPr>
                            <w:t> </w:t>
                          </w:r>
                          <w:r>
                            <w:rPr>
                              <w:rFonts w:ascii="Arial MT"/>
                              <w:color w:val="7F7F7F"/>
                            </w:rPr>
                            <w:t>Financial</w:t>
                          </w:r>
                          <w:r>
                            <w:rPr>
                              <w:rFonts w:ascii="Arial MT"/>
                              <w:color w:val="7F7F7F"/>
                              <w:spacing w:val="-6"/>
                            </w:rPr>
                            <w:t> </w:t>
                          </w:r>
                          <w:r>
                            <w:rPr>
                              <w:rFonts w:ascii="Arial MT"/>
                              <w:color w:val="7F7F7F"/>
                              <w:spacing w:val="-2"/>
                            </w:rPr>
                            <w:t>Results</w:t>
                          </w:r>
                        </w:p>
                      </w:txbxContent>
                    </wps:txbx>
                    <wps:bodyPr wrap="square" lIns="0" tIns="0" rIns="0" bIns="0" rtlCol="0">
                      <a:noAutofit/>
                    </wps:bodyPr>
                  </wps:wsp>
                </a:graphicData>
              </a:graphic>
            </wp:anchor>
          </w:drawing>
        </mc:Choice>
        <mc:Fallback>
          <w:pict>
            <v:shape style="position:absolute;margin-left:274.399994pt;margin-top:37.427246pt;width:128.0500pt;height:13.2pt;mso-position-horizontal-relative:page;mso-position-vertical-relative:page;z-index:-32788992" type="#_x0000_t202" id="docshape73"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III:</w:t>
                    </w:r>
                    <w:r>
                      <w:rPr>
                        <w:rFonts w:ascii="Arial MT"/>
                        <w:color w:val="7F7F7F"/>
                        <w:spacing w:val="-6"/>
                      </w:rPr>
                      <w:t> </w:t>
                    </w:r>
                    <w:r>
                      <w:rPr>
                        <w:rFonts w:ascii="Arial MT"/>
                        <w:color w:val="7F7F7F"/>
                      </w:rPr>
                      <w:t>Financial</w:t>
                    </w:r>
                    <w:r>
                      <w:rPr>
                        <w:rFonts w:ascii="Arial MT"/>
                        <w:color w:val="7F7F7F"/>
                        <w:spacing w:val="-6"/>
                      </w:rPr>
                      <w:t> </w:t>
                    </w:r>
                    <w:r>
                      <w:rPr>
                        <w:rFonts w:ascii="Arial MT"/>
                        <w:color w:val="7F7F7F"/>
                        <w:spacing w:val="-2"/>
                      </w:rPr>
                      <w:t>Results</w:t>
                    </w:r>
                  </w:p>
                </w:txbxContent>
              </v:textbox>
              <w10:wrap type="none"/>
            </v:shape>
          </w:pict>
        </mc:Fallback>
      </mc:AlternateContent>
    </w:r>
    <w:r>
      <w:rPr/>
      <mc:AlternateContent>
        <mc:Choice Requires="wps">
          <w:drawing>
            <wp:anchor distT="0" distB="0" distL="0" distR="0" allowOverlap="1" layoutInCell="1" locked="0" behindDoc="1" simplePos="0" relativeHeight="470528000">
              <wp:simplePos x="0" y="0"/>
              <wp:positionH relativeFrom="page">
                <wp:posOffset>970280</wp:posOffset>
              </wp:positionH>
              <wp:positionV relativeFrom="page">
                <wp:posOffset>483520</wp:posOffset>
              </wp:positionV>
              <wp:extent cx="2198370" cy="1536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88480" type="#_x0000_t202" id="docshape74"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28512">
              <wp:simplePos x="0" y="0"/>
              <wp:positionH relativeFrom="page">
                <wp:posOffset>914400</wp:posOffset>
              </wp:positionH>
              <wp:positionV relativeFrom="page">
                <wp:posOffset>472440</wp:posOffset>
              </wp:positionV>
              <wp:extent cx="5943600" cy="1841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943600" cy="184150"/>
                        <a:chExt cx="5943600" cy="184150"/>
                      </a:xfrm>
                    </wpg:grpSpPr>
                    <wps:wsp>
                      <wps:cNvPr id="105" name="Graphic 105"/>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106" name="Graphic 106"/>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87968" id="docshapegroup75" coordorigin="1440,744" coordsize="9360,290">
              <v:rect style="position:absolute;left:1440;top:744;width:3960;height:285" id="docshape76"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29024">
              <wp:simplePos x="0" y="0"/>
              <wp:positionH relativeFrom="page">
                <wp:posOffset>3484879</wp:posOffset>
              </wp:positionH>
              <wp:positionV relativeFrom="page">
                <wp:posOffset>475326</wp:posOffset>
              </wp:positionV>
              <wp:extent cx="1626235" cy="1676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62623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III:</w:t>
                          </w:r>
                          <w:r>
                            <w:rPr>
                              <w:rFonts w:ascii="Arial MT"/>
                              <w:color w:val="7F7F7F"/>
                              <w:spacing w:val="-6"/>
                            </w:rPr>
                            <w:t> </w:t>
                          </w:r>
                          <w:r>
                            <w:rPr>
                              <w:rFonts w:ascii="Arial MT"/>
                              <w:color w:val="7F7F7F"/>
                            </w:rPr>
                            <w:t>Financial</w:t>
                          </w:r>
                          <w:r>
                            <w:rPr>
                              <w:rFonts w:ascii="Arial MT"/>
                              <w:color w:val="7F7F7F"/>
                              <w:spacing w:val="-6"/>
                            </w:rPr>
                            <w:t> </w:t>
                          </w:r>
                          <w:r>
                            <w:rPr>
                              <w:rFonts w:ascii="Arial MT"/>
                              <w:color w:val="7F7F7F"/>
                              <w:spacing w:val="-2"/>
                            </w:rPr>
                            <w:t>Results</w:t>
                          </w:r>
                        </w:p>
                      </w:txbxContent>
                    </wps:txbx>
                    <wps:bodyPr wrap="square" lIns="0" tIns="0" rIns="0" bIns="0" rtlCol="0">
                      <a:noAutofit/>
                    </wps:bodyPr>
                  </wps:wsp>
                </a:graphicData>
              </a:graphic>
            </wp:anchor>
          </w:drawing>
        </mc:Choice>
        <mc:Fallback>
          <w:pict>
            <v:shape style="position:absolute;margin-left:274.399994pt;margin-top:37.427246pt;width:128.0500pt;height:13.2pt;mso-position-horizontal-relative:page;mso-position-vertical-relative:page;z-index:-32787456" type="#_x0000_t202" id="docshape77"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III:</w:t>
                    </w:r>
                    <w:r>
                      <w:rPr>
                        <w:rFonts w:ascii="Arial MT"/>
                        <w:color w:val="7F7F7F"/>
                        <w:spacing w:val="-6"/>
                      </w:rPr>
                      <w:t> </w:t>
                    </w:r>
                    <w:r>
                      <w:rPr>
                        <w:rFonts w:ascii="Arial MT"/>
                        <w:color w:val="7F7F7F"/>
                      </w:rPr>
                      <w:t>Financial</w:t>
                    </w:r>
                    <w:r>
                      <w:rPr>
                        <w:rFonts w:ascii="Arial MT"/>
                        <w:color w:val="7F7F7F"/>
                        <w:spacing w:val="-6"/>
                      </w:rPr>
                      <w:t> </w:t>
                    </w:r>
                    <w:r>
                      <w:rPr>
                        <w:rFonts w:ascii="Arial MT"/>
                        <w:color w:val="7F7F7F"/>
                        <w:spacing w:val="-2"/>
                      </w:rPr>
                      <w:t>Results</w:t>
                    </w:r>
                  </w:p>
                </w:txbxContent>
              </v:textbox>
              <w10:wrap type="none"/>
            </v:shape>
          </w:pict>
        </mc:Fallback>
      </mc:AlternateContent>
    </w:r>
    <w:r>
      <w:rPr/>
      <mc:AlternateContent>
        <mc:Choice Requires="wps">
          <w:drawing>
            <wp:anchor distT="0" distB="0" distL="0" distR="0" allowOverlap="1" layoutInCell="1" locked="0" behindDoc="1" simplePos="0" relativeHeight="470529536">
              <wp:simplePos x="0" y="0"/>
              <wp:positionH relativeFrom="page">
                <wp:posOffset>970280</wp:posOffset>
              </wp:positionH>
              <wp:positionV relativeFrom="page">
                <wp:posOffset>483520</wp:posOffset>
              </wp:positionV>
              <wp:extent cx="2198370" cy="15367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86944" type="#_x0000_t202" id="docshape78"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2096">
              <wp:simplePos x="0" y="0"/>
              <wp:positionH relativeFrom="page">
                <wp:posOffset>914400</wp:posOffset>
              </wp:positionH>
              <wp:positionV relativeFrom="page">
                <wp:posOffset>472440</wp:posOffset>
              </wp:positionV>
              <wp:extent cx="5943600" cy="18415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5943600" cy="184150"/>
                        <a:chExt cx="5943600" cy="184150"/>
                      </a:xfrm>
                    </wpg:grpSpPr>
                    <wps:wsp>
                      <wps:cNvPr id="217" name="Graphic 217"/>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218" name="Graphic 218"/>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84384" id="docshapegroup168" coordorigin="1440,744" coordsize="9360,290">
              <v:rect style="position:absolute;left:1440;top:744;width:3960;height:285" id="docshape169"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32608">
              <wp:simplePos x="0" y="0"/>
              <wp:positionH relativeFrom="page">
                <wp:posOffset>3484879</wp:posOffset>
              </wp:positionH>
              <wp:positionV relativeFrom="page">
                <wp:posOffset>475326</wp:posOffset>
              </wp:positionV>
              <wp:extent cx="1650364" cy="16764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650364"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12"/>
                            </w:rPr>
                            <w:t> </w:t>
                          </w:r>
                          <w:r>
                            <w:rPr>
                              <w:rFonts w:ascii="Arial MT"/>
                              <w:color w:val="7F7F7F"/>
                            </w:rPr>
                            <w:t>IV:</w:t>
                          </w:r>
                          <w:r>
                            <w:rPr>
                              <w:rFonts w:ascii="Arial MT"/>
                              <w:color w:val="7F7F7F"/>
                              <w:spacing w:val="-9"/>
                            </w:rPr>
                            <w:t> </w:t>
                          </w:r>
                          <w:r>
                            <w:rPr>
                              <w:rFonts w:ascii="Arial MT"/>
                              <w:color w:val="7F7F7F"/>
                            </w:rPr>
                            <w:t>Lending</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29.9500pt;height:13.2pt;mso-position-horizontal-relative:page;mso-position-vertical-relative:page;z-index:-32783872" type="#_x0000_t202" id="docshape170"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12"/>
                      </w:rPr>
                      <w:t> </w:t>
                    </w:r>
                    <w:r>
                      <w:rPr>
                        <w:rFonts w:ascii="Arial MT"/>
                        <w:color w:val="7F7F7F"/>
                      </w:rPr>
                      <w:t>IV:</w:t>
                    </w:r>
                    <w:r>
                      <w:rPr>
                        <w:rFonts w:ascii="Arial MT"/>
                        <w:color w:val="7F7F7F"/>
                        <w:spacing w:val="-9"/>
                      </w:rPr>
                      <w:t> </w:t>
                    </w:r>
                    <w:r>
                      <w:rPr>
                        <w:rFonts w:ascii="Arial MT"/>
                        <w:color w:val="7F7F7F"/>
                      </w:rPr>
                      <w:t>Lending</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33120">
              <wp:simplePos x="0" y="0"/>
              <wp:positionH relativeFrom="page">
                <wp:posOffset>970280</wp:posOffset>
              </wp:positionH>
              <wp:positionV relativeFrom="page">
                <wp:posOffset>483520</wp:posOffset>
              </wp:positionV>
              <wp:extent cx="2198370" cy="15367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83360" type="#_x0000_t202" id="docshape171"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3632">
              <wp:simplePos x="0" y="0"/>
              <wp:positionH relativeFrom="page">
                <wp:posOffset>914400</wp:posOffset>
              </wp:positionH>
              <wp:positionV relativeFrom="page">
                <wp:posOffset>472440</wp:posOffset>
              </wp:positionV>
              <wp:extent cx="5943600" cy="18415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943600" cy="184150"/>
                        <a:chExt cx="5943600" cy="184150"/>
                      </a:xfrm>
                    </wpg:grpSpPr>
                    <wps:wsp>
                      <wps:cNvPr id="222" name="Graphic 222"/>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223" name="Graphic 223"/>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82848" id="docshapegroup172" coordorigin="1440,744" coordsize="9360,290">
              <v:rect style="position:absolute;left:1440;top:744;width:3960;height:285" id="docshape173"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34144">
              <wp:simplePos x="0" y="0"/>
              <wp:positionH relativeFrom="page">
                <wp:posOffset>3484879</wp:posOffset>
              </wp:positionH>
              <wp:positionV relativeFrom="page">
                <wp:posOffset>475326</wp:posOffset>
              </wp:positionV>
              <wp:extent cx="1650364" cy="16764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650364"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12"/>
                            </w:rPr>
                            <w:t> </w:t>
                          </w:r>
                          <w:r>
                            <w:rPr>
                              <w:rFonts w:ascii="Arial MT"/>
                              <w:color w:val="7F7F7F"/>
                            </w:rPr>
                            <w:t>IV:</w:t>
                          </w:r>
                          <w:r>
                            <w:rPr>
                              <w:rFonts w:ascii="Arial MT"/>
                              <w:color w:val="7F7F7F"/>
                              <w:spacing w:val="-9"/>
                            </w:rPr>
                            <w:t> </w:t>
                          </w:r>
                          <w:r>
                            <w:rPr>
                              <w:rFonts w:ascii="Arial MT"/>
                              <w:color w:val="7F7F7F"/>
                            </w:rPr>
                            <w:t>Lending</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29.9500pt;height:13.2pt;mso-position-horizontal-relative:page;mso-position-vertical-relative:page;z-index:-32782336" type="#_x0000_t202" id="docshape17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12"/>
                      </w:rPr>
                      <w:t> </w:t>
                    </w:r>
                    <w:r>
                      <w:rPr>
                        <w:rFonts w:ascii="Arial MT"/>
                        <w:color w:val="7F7F7F"/>
                      </w:rPr>
                      <w:t>IV:</w:t>
                    </w:r>
                    <w:r>
                      <w:rPr>
                        <w:rFonts w:ascii="Arial MT"/>
                        <w:color w:val="7F7F7F"/>
                        <w:spacing w:val="-9"/>
                      </w:rPr>
                      <w:t> </w:t>
                    </w:r>
                    <w:r>
                      <w:rPr>
                        <w:rFonts w:ascii="Arial MT"/>
                        <w:color w:val="7F7F7F"/>
                      </w:rPr>
                      <w:t>Lending</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34656">
              <wp:simplePos x="0" y="0"/>
              <wp:positionH relativeFrom="page">
                <wp:posOffset>970280</wp:posOffset>
              </wp:positionH>
              <wp:positionV relativeFrom="page">
                <wp:posOffset>483520</wp:posOffset>
              </wp:positionV>
              <wp:extent cx="2198370" cy="15367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81824" type="#_x0000_t202" id="docshape17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7216">
              <wp:simplePos x="0" y="0"/>
              <wp:positionH relativeFrom="page">
                <wp:posOffset>914400</wp:posOffset>
              </wp:positionH>
              <wp:positionV relativeFrom="page">
                <wp:posOffset>472440</wp:posOffset>
              </wp:positionV>
              <wp:extent cx="5943600" cy="18415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5943600" cy="184150"/>
                        <a:chExt cx="5943600" cy="184150"/>
                      </a:xfrm>
                    </wpg:grpSpPr>
                    <wps:wsp>
                      <wps:cNvPr id="307" name="Graphic 307"/>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08" name="Graphic 308"/>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79264" id="docshapegroup242" coordorigin="1440,744" coordsize="9360,290">
              <v:rect style="position:absolute;left:1440;top:744;width:3960;height:285" id="docshape243"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37728">
              <wp:simplePos x="0" y="0"/>
              <wp:positionH relativeFrom="page">
                <wp:posOffset>3484879</wp:posOffset>
              </wp:positionH>
              <wp:positionV relativeFrom="page">
                <wp:posOffset>475326</wp:posOffset>
              </wp:positionV>
              <wp:extent cx="2263775" cy="16764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26377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11"/>
                            </w:rPr>
                            <w:t> </w:t>
                          </w:r>
                          <w:r>
                            <w:rPr>
                              <w:rFonts w:ascii="Arial MT"/>
                              <w:color w:val="7F7F7F"/>
                            </w:rPr>
                            <w:t>V:</w:t>
                          </w:r>
                          <w:r>
                            <w:rPr>
                              <w:rFonts w:ascii="Arial MT"/>
                              <w:color w:val="7F7F7F"/>
                              <w:spacing w:val="-8"/>
                            </w:rPr>
                            <w:t> </w:t>
                          </w:r>
                          <w:r>
                            <w:rPr>
                              <w:rFonts w:ascii="Arial MT"/>
                              <w:color w:val="7F7F7F"/>
                            </w:rPr>
                            <w:t>Other</w:t>
                          </w:r>
                          <w:r>
                            <w:rPr>
                              <w:rFonts w:ascii="Arial MT"/>
                              <w:color w:val="7F7F7F"/>
                              <w:spacing w:val="-8"/>
                            </w:rPr>
                            <w:t> </w:t>
                          </w:r>
                          <w:r>
                            <w:rPr>
                              <w:rFonts w:ascii="Arial MT"/>
                              <w:color w:val="7F7F7F"/>
                            </w:rPr>
                            <w:t>Development</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78.25pt;height:13.2pt;mso-position-horizontal-relative:page;mso-position-vertical-relative:page;z-index:-32778752" type="#_x0000_t202" id="docshape24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11"/>
                      </w:rPr>
                      <w:t> </w:t>
                    </w:r>
                    <w:r>
                      <w:rPr>
                        <w:rFonts w:ascii="Arial MT"/>
                        <w:color w:val="7F7F7F"/>
                      </w:rPr>
                      <w:t>V:</w:t>
                    </w:r>
                    <w:r>
                      <w:rPr>
                        <w:rFonts w:ascii="Arial MT"/>
                        <w:color w:val="7F7F7F"/>
                        <w:spacing w:val="-8"/>
                      </w:rPr>
                      <w:t> </w:t>
                    </w:r>
                    <w:r>
                      <w:rPr>
                        <w:rFonts w:ascii="Arial MT"/>
                        <w:color w:val="7F7F7F"/>
                      </w:rPr>
                      <w:t>Other</w:t>
                    </w:r>
                    <w:r>
                      <w:rPr>
                        <w:rFonts w:ascii="Arial MT"/>
                        <w:color w:val="7F7F7F"/>
                        <w:spacing w:val="-8"/>
                      </w:rPr>
                      <w:t> </w:t>
                    </w:r>
                    <w:r>
                      <w:rPr>
                        <w:rFonts w:ascii="Arial MT"/>
                        <w:color w:val="7F7F7F"/>
                      </w:rPr>
                      <w:t>Development</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38240">
              <wp:simplePos x="0" y="0"/>
              <wp:positionH relativeFrom="page">
                <wp:posOffset>970280</wp:posOffset>
              </wp:positionH>
              <wp:positionV relativeFrom="page">
                <wp:posOffset>483520</wp:posOffset>
              </wp:positionV>
              <wp:extent cx="2198370" cy="15367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78240" type="#_x0000_t202" id="docshape24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38752">
              <wp:simplePos x="0" y="0"/>
              <wp:positionH relativeFrom="page">
                <wp:posOffset>914400</wp:posOffset>
              </wp:positionH>
              <wp:positionV relativeFrom="page">
                <wp:posOffset>472440</wp:posOffset>
              </wp:positionV>
              <wp:extent cx="5943600" cy="184150"/>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5943600" cy="184150"/>
                        <a:chExt cx="5943600" cy="184150"/>
                      </a:xfrm>
                    </wpg:grpSpPr>
                    <wps:wsp>
                      <wps:cNvPr id="312" name="Graphic 312"/>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13" name="Graphic 313"/>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77728" id="docshapegroup246" coordorigin="1440,744" coordsize="9360,290">
              <v:rect style="position:absolute;left:1440;top:744;width:3960;height:285" id="docshape247"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39264">
              <wp:simplePos x="0" y="0"/>
              <wp:positionH relativeFrom="page">
                <wp:posOffset>3484879</wp:posOffset>
              </wp:positionH>
              <wp:positionV relativeFrom="page">
                <wp:posOffset>475326</wp:posOffset>
              </wp:positionV>
              <wp:extent cx="2263775" cy="16764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26377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11"/>
                            </w:rPr>
                            <w:t> </w:t>
                          </w:r>
                          <w:r>
                            <w:rPr>
                              <w:rFonts w:ascii="Arial MT"/>
                              <w:color w:val="7F7F7F"/>
                            </w:rPr>
                            <w:t>V:</w:t>
                          </w:r>
                          <w:r>
                            <w:rPr>
                              <w:rFonts w:ascii="Arial MT"/>
                              <w:color w:val="7F7F7F"/>
                              <w:spacing w:val="-8"/>
                            </w:rPr>
                            <w:t> </w:t>
                          </w:r>
                          <w:r>
                            <w:rPr>
                              <w:rFonts w:ascii="Arial MT"/>
                              <w:color w:val="7F7F7F"/>
                            </w:rPr>
                            <w:t>Other</w:t>
                          </w:r>
                          <w:r>
                            <w:rPr>
                              <w:rFonts w:ascii="Arial MT"/>
                              <w:color w:val="7F7F7F"/>
                              <w:spacing w:val="-8"/>
                            </w:rPr>
                            <w:t> </w:t>
                          </w:r>
                          <w:r>
                            <w:rPr>
                              <w:rFonts w:ascii="Arial MT"/>
                              <w:color w:val="7F7F7F"/>
                            </w:rPr>
                            <w:t>Development</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78.25pt;height:13.2pt;mso-position-horizontal-relative:page;mso-position-vertical-relative:page;z-index:-32777216" type="#_x0000_t202" id="docshape248"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11"/>
                      </w:rPr>
                      <w:t> </w:t>
                    </w:r>
                    <w:r>
                      <w:rPr>
                        <w:rFonts w:ascii="Arial MT"/>
                        <w:color w:val="7F7F7F"/>
                      </w:rPr>
                      <w:t>V:</w:t>
                    </w:r>
                    <w:r>
                      <w:rPr>
                        <w:rFonts w:ascii="Arial MT"/>
                        <w:color w:val="7F7F7F"/>
                        <w:spacing w:val="-8"/>
                      </w:rPr>
                      <w:t> </w:t>
                    </w:r>
                    <w:r>
                      <w:rPr>
                        <w:rFonts w:ascii="Arial MT"/>
                        <w:color w:val="7F7F7F"/>
                      </w:rPr>
                      <w:t>Other</w:t>
                    </w:r>
                    <w:r>
                      <w:rPr>
                        <w:rFonts w:ascii="Arial MT"/>
                        <w:color w:val="7F7F7F"/>
                        <w:spacing w:val="-8"/>
                      </w:rPr>
                      <w:t> </w:t>
                    </w:r>
                    <w:r>
                      <w:rPr>
                        <w:rFonts w:ascii="Arial MT"/>
                        <w:color w:val="7F7F7F"/>
                      </w:rPr>
                      <w:t>Development</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39776">
              <wp:simplePos x="0" y="0"/>
              <wp:positionH relativeFrom="page">
                <wp:posOffset>970280</wp:posOffset>
              </wp:positionH>
              <wp:positionV relativeFrom="page">
                <wp:posOffset>483520</wp:posOffset>
              </wp:positionV>
              <wp:extent cx="2198370" cy="15367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76704" type="#_x0000_t202" id="docshape249"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2336">
              <wp:simplePos x="0" y="0"/>
              <wp:positionH relativeFrom="page">
                <wp:posOffset>914400</wp:posOffset>
              </wp:positionH>
              <wp:positionV relativeFrom="page">
                <wp:posOffset>472440</wp:posOffset>
              </wp:positionV>
              <wp:extent cx="5943600" cy="18415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5943600" cy="184150"/>
                        <a:chExt cx="5943600" cy="184150"/>
                      </a:xfrm>
                    </wpg:grpSpPr>
                    <wps:wsp>
                      <wps:cNvPr id="329" name="Graphic 329"/>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30" name="Graphic 330"/>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74144" id="docshapegroup262" coordorigin="1440,744" coordsize="9360,290">
              <v:rect style="position:absolute;left:1440;top:744;width:3960;height:285" id="docshape263"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42848">
              <wp:simplePos x="0" y="0"/>
              <wp:positionH relativeFrom="page">
                <wp:posOffset>3484879</wp:posOffset>
              </wp:positionH>
              <wp:positionV relativeFrom="page">
                <wp:posOffset>475326</wp:posOffset>
              </wp:positionV>
              <wp:extent cx="1823720" cy="16764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82372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8"/>
                            </w:rPr>
                            <w:t> </w:t>
                          </w:r>
                          <w:r>
                            <w:rPr>
                              <w:rFonts w:ascii="Arial MT"/>
                              <w:color w:val="7F7F7F"/>
                            </w:rPr>
                            <w:t>VI:</w:t>
                          </w:r>
                          <w:r>
                            <w:rPr>
                              <w:rFonts w:ascii="Arial MT"/>
                              <w:color w:val="7F7F7F"/>
                              <w:spacing w:val="-6"/>
                            </w:rPr>
                            <w:t> </w:t>
                          </w:r>
                          <w:r>
                            <w:rPr>
                              <w:rFonts w:ascii="Arial MT"/>
                              <w:color w:val="7F7F7F"/>
                            </w:rPr>
                            <w:t>Investment</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43.6pt;height:13.2pt;mso-position-horizontal-relative:page;mso-position-vertical-relative:page;z-index:-32773632" type="#_x0000_t202" id="docshape26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8"/>
                      </w:rPr>
                      <w:t> </w:t>
                    </w:r>
                    <w:r>
                      <w:rPr>
                        <w:rFonts w:ascii="Arial MT"/>
                        <w:color w:val="7F7F7F"/>
                      </w:rPr>
                      <w:t>VI:</w:t>
                    </w:r>
                    <w:r>
                      <w:rPr>
                        <w:rFonts w:ascii="Arial MT"/>
                        <w:color w:val="7F7F7F"/>
                        <w:spacing w:val="-6"/>
                      </w:rPr>
                      <w:t> </w:t>
                    </w:r>
                    <w:r>
                      <w:rPr>
                        <w:rFonts w:ascii="Arial MT"/>
                        <w:color w:val="7F7F7F"/>
                      </w:rPr>
                      <w:t>Investment</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43360">
              <wp:simplePos x="0" y="0"/>
              <wp:positionH relativeFrom="page">
                <wp:posOffset>970280</wp:posOffset>
              </wp:positionH>
              <wp:positionV relativeFrom="page">
                <wp:posOffset>483520</wp:posOffset>
              </wp:positionV>
              <wp:extent cx="2198370" cy="15367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73120" type="#_x0000_t202" id="docshape26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3872">
              <wp:simplePos x="0" y="0"/>
              <wp:positionH relativeFrom="page">
                <wp:posOffset>914400</wp:posOffset>
              </wp:positionH>
              <wp:positionV relativeFrom="page">
                <wp:posOffset>472440</wp:posOffset>
              </wp:positionV>
              <wp:extent cx="5943600" cy="18415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5943600" cy="184150"/>
                        <a:chExt cx="5943600" cy="184150"/>
                      </a:xfrm>
                    </wpg:grpSpPr>
                    <wps:wsp>
                      <wps:cNvPr id="334" name="Graphic 334"/>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35" name="Graphic 335"/>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72608" id="docshapegroup266" coordorigin="1440,744" coordsize="9360,290">
              <v:rect style="position:absolute;left:1440;top:744;width:3960;height:285" id="docshape267"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44384">
              <wp:simplePos x="0" y="0"/>
              <wp:positionH relativeFrom="page">
                <wp:posOffset>3484879</wp:posOffset>
              </wp:positionH>
              <wp:positionV relativeFrom="page">
                <wp:posOffset>475326</wp:posOffset>
              </wp:positionV>
              <wp:extent cx="1823720" cy="16764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182372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8"/>
                            </w:rPr>
                            <w:t> </w:t>
                          </w:r>
                          <w:r>
                            <w:rPr>
                              <w:rFonts w:ascii="Arial MT"/>
                              <w:color w:val="7F7F7F"/>
                            </w:rPr>
                            <w:t>VI:</w:t>
                          </w:r>
                          <w:r>
                            <w:rPr>
                              <w:rFonts w:ascii="Arial MT"/>
                              <w:color w:val="7F7F7F"/>
                              <w:spacing w:val="-6"/>
                            </w:rPr>
                            <w:t> </w:t>
                          </w:r>
                          <w:r>
                            <w:rPr>
                              <w:rFonts w:ascii="Arial MT"/>
                              <w:color w:val="7F7F7F"/>
                            </w:rPr>
                            <w:t>Investment</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43.6pt;height:13.2pt;mso-position-horizontal-relative:page;mso-position-vertical-relative:page;z-index:-32772096" type="#_x0000_t202" id="docshape268"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8"/>
                      </w:rPr>
                      <w:t> </w:t>
                    </w:r>
                    <w:r>
                      <w:rPr>
                        <w:rFonts w:ascii="Arial MT"/>
                        <w:color w:val="7F7F7F"/>
                      </w:rPr>
                      <w:t>VI:</w:t>
                    </w:r>
                    <w:r>
                      <w:rPr>
                        <w:rFonts w:ascii="Arial MT"/>
                        <w:color w:val="7F7F7F"/>
                        <w:spacing w:val="-6"/>
                      </w:rPr>
                      <w:t> </w:t>
                    </w:r>
                    <w:r>
                      <w:rPr>
                        <w:rFonts w:ascii="Arial MT"/>
                        <w:color w:val="7F7F7F"/>
                      </w:rPr>
                      <w:t>Investment</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44896">
              <wp:simplePos x="0" y="0"/>
              <wp:positionH relativeFrom="page">
                <wp:posOffset>970280</wp:posOffset>
              </wp:positionH>
              <wp:positionV relativeFrom="page">
                <wp:posOffset>483520</wp:posOffset>
              </wp:positionV>
              <wp:extent cx="2198370" cy="15367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71584" type="#_x0000_t202" id="docshape269"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7456">
              <wp:simplePos x="0" y="0"/>
              <wp:positionH relativeFrom="page">
                <wp:posOffset>914400</wp:posOffset>
              </wp:positionH>
              <wp:positionV relativeFrom="page">
                <wp:posOffset>472440</wp:posOffset>
              </wp:positionV>
              <wp:extent cx="5943600" cy="18415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5943600" cy="184150"/>
                        <a:chExt cx="5943600" cy="184150"/>
                      </a:xfrm>
                    </wpg:grpSpPr>
                    <wps:wsp>
                      <wps:cNvPr id="372" name="Graphic 372"/>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73" name="Graphic 373"/>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69024" id="docshapegroup303" coordorigin="1440,744" coordsize="9360,290">
              <v:rect style="position:absolute;left:1440;top:744;width:3960;height:285" id="docshape304"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47968">
              <wp:simplePos x="0" y="0"/>
              <wp:positionH relativeFrom="page">
                <wp:posOffset>3484879</wp:posOffset>
              </wp:positionH>
              <wp:positionV relativeFrom="page">
                <wp:posOffset>475326</wp:posOffset>
              </wp:positionV>
              <wp:extent cx="1809750" cy="16764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80975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w:t>
                          </w:r>
                          <w:r>
                            <w:rPr>
                              <w:rFonts w:ascii="Arial MT"/>
                              <w:color w:val="7F7F7F"/>
                              <w:spacing w:val="-6"/>
                            </w:rPr>
                            <w:t> </w:t>
                          </w:r>
                          <w:r>
                            <w:rPr>
                              <w:rFonts w:ascii="Arial MT"/>
                              <w:color w:val="7F7F7F"/>
                            </w:rPr>
                            <w:t>Borrowing</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42.5pt;height:13.2pt;mso-position-horizontal-relative:page;mso-position-vertical-relative:page;z-index:-32768512" type="#_x0000_t202" id="docshape305"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w:t>
                    </w:r>
                    <w:r>
                      <w:rPr>
                        <w:rFonts w:ascii="Arial MT"/>
                        <w:color w:val="7F7F7F"/>
                        <w:spacing w:val="-6"/>
                      </w:rPr>
                      <w:t> </w:t>
                    </w:r>
                    <w:r>
                      <w:rPr>
                        <w:rFonts w:ascii="Arial MT"/>
                        <w:color w:val="7F7F7F"/>
                      </w:rPr>
                      <w:t>Borrowing</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48480">
              <wp:simplePos x="0" y="0"/>
              <wp:positionH relativeFrom="page">
                <wp:posOffset>970280</wp:posOffset>
              </wp:positionH>
              <wp:positionV relativeFrom="page">
                <wp:posOffset>483520</wp:posOffset>
              </wp:positionV>
              <wp:extent cx="2198370" cy="15367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68000" type="#_x0000_t202" id="docshape306"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48992">
              <wp:simplePos x="0" y="0"/>
              <wp:positionH relativeFrom="page">
                <wp:posOffset>914400</wp:posOffset>
              </wp:positionH>
              <wp:positionV relativeFrom="page">
                <wp:posOffset>472440</wp:posOffset>
              </wp:positionV>
              <wp:extent cx="5943600" cy="1841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5943600" cy="184150"/>
                        <a:chExt cx="5943600" cy="184150"/>
                      </a:xfrm>
                    </wpg:grpSpPr>
                    <wps:wsp>
                      <wps:cNvPr id="377" name="Graphic 377"/>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378" name="Graphic 378"/>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67488" id="docshapegroup307" coordorigin="1440,744" coordsize="9360,290">
              <v:rect style="position:absolute;left:1440;top:744;width:3960;height:285" id="docshape308"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49504">
              <wp:simplePos x="0" y="0"/>
              <wp:positionH relativeFrom="page">
                <wp:posOffset>3484879</wp:posOffset>
              </wp:positionH>
              <wp:positionV relativeFrom="page">
                <wp:posOffset>475326</wp:posOffset>
              </wp:positionV>
              <wp:extent cx="1809750" cy="16764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80975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w:t>
                          </w:r>
                          <w:r>
                            <w:rPr>
                              <w:rFonts w:ascii="Arial MT"/>
                              <w:color w:val="7F7F7F"/>
                              <w:spacing w:val="-6"/>
                            </w:rPr>
                            <w:t> </w:t>
                          </w:r>
                          <w:r>
                            <w:rPr>
                              <w:rFonts w:ascii="Arial MT"/>
                              <w:color w:val="7F7F7F"/>
                            </w:rPr>
                            <w:t>Borrowing</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42.5pt;height:13.2pt;mso-position-horizontal-relative:page;mso-position-vertical-relative:page;z-index:-32766976" type="#_x0000_t202" id="docshape309"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w:t>
                    </w:r>
                    <w:r>
                      <w:rPr>
                        <w:rFonts w:ascii="Arial MT"/>
                        <w:color w:val="7F7F7F"/>
                        <w:spacing w:val="-6"/>
                      </w:rPr>
                      <w:t> </w:t>
                    </w:r>
                    <w:r>
                      <w:rPr>
                        <w:rFonts w:ascii="Arial MT"/>
                        <w:color w:val="7F7F7F"/>
                      </w:rPr>
                      <w:t>Borrowing</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50016">
              <wp:simplePos x="0" y="0"/>
              <wp:positionH relativeFrom="page">
                <wp:posOffset>970280</wp:posOffset>
              </wp:positionH>
              <wp:positionV relativeFrom="page">
                <wp:posOffset>483520</wp:posOffset>
              </wp:positionV>
              <wp:extent cx="2198370" cy="15367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66464" type="#_x0000_t202" id="docshape310"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2576">
              <wp:simplePos x="0" y="0"/>
              <wp:positionH relativeFrom="page">
                <wp:posOffset>914400</wp:posOffset>
              </wp:positionH>
              <wp:positionV relativeFrom="page">
                <wp:posOffset>472440</wp:posOffset>
              </wp:positionV>
              <wp:extent cx="5943600" cy="18415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5943600" cy="184150"/>
                        <a:chExt cx="5943600" cy="184150"/>
                      </a:xfrm>
                    </wpg:grpSpPr>
                    <wps:wsp>
                      <wps:cNvPr id="419" name="Graphic 419"/>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420" name="Graphic 420"/>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63904" id="docshapegroup347" coordorigin="1440,744" coordsize="9360,290">
              <v:rect style="position:absolute;left:1440;top:744;width:3960;height:285" id="docshape348"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53088">
              <wp:simplePos x="0" y="0"/>
              <wp:positionH relativeFrom="page">
                <wp:posOffset>3484879</wp:posOffset>
              </wp:positionH>
              <wp:positionV relativeFrom="page">
                <wp:posOffset>475326</wp:posOffset>
              </wp:positionV>
              <wp:extent cx="1668780" cy="16764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66878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VIII:</w:t>
                          </w:r>
                          <w:r>
                            <w:rPr>
                              <w:rFonts w:ascii="Arial MT"/>
                              <w:color w:val="7F7F7F"/>
                              <w:spacing w:val="-7"/>
                            </w:rPr>
                            <w:t> </w:t>
                          </w:r>
                          <w:r>
                            <w:rPr>
                              <w:rFonts w:ascii="Arial MT"/>
                              <w:color w:val="7F7F7F"/>
                            </w:rPr>
                            <w:t>Capital</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31.4pt;height:13.2pt;mso-position-horizontal-relative:page;mso-position-vertical-relative:page;z-index:-32763392" type="#_x0000_t202" id="docshape349"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VIII:</w:t>
                    </w:r>
                    <w:r>
                      <w:rPr>
                        <w:rFonts w:ascii="Arial MT"/>
                        <w:color w:val="7F7F7F"/>
                        <w:spacing w:val="-7"/>
                      </w:rPr>
                      <w:t> </w:t>
                    </w:r>
                    <w:r>
                      <w:rPr>
                        <w:rFonts w:ascii="Arial MT"/>
                        <w:color w:val="7F7F7F"/>
                      </w:rPr>
                      <w:t>Capital</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53600">
              <wp:simplePos x="0" y="0"/>
              <wp:positionH relativeFrom="page">
                <wp:posOffset>970280</wp:posOffset>
              </wp:positionH>
              <wp:positionV relativeFrom="page">
                <wp:posOffset>483520</wp:posOffset>
              </wp:positionV>
              <wp:extent cx="2198370" cy="15367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62880" type="#_x0000_t202" id="docshape350"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4112">
              <wp:simplePos x="0" y="0"/>
              <wp:positionH relativeFrom="page">
                <wp:posOffset>914400</wp:posOffset>
              </wp:positionH>
              <wp:positionV relativeFrom="page">
                <wp:posOffset>472440</wp:posOffset>
              </wp:positionV>
              <wp:extent cx="5943600" cy="18415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5943600" cy="184150"/>
                        <a:chExt cx="5943600" cy="184150"/>
                      </a:xfrm>
                    </wpg:grpSpPr>
                    <wps:wsp>
                      <wps:cNvPr id="424" name="Graphic 424"/>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425" name="Graphic 425"/>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62368" id="docshapegroup351" coordorigin="1440,744" coordsize="9360,290">
              <v:rect style="position:absolute;left:1440;top:744;width:3960;height:285" id="docshape352"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54624">
              <wp:simplePos x="0" y="0"/>
              <wp:positionH relativeFrom="page">
                <wp:posOffset>3484879</wp:posOffset>
              </wp:positionH>
              <wp:positionV relativeFrom="page">
                <wp:posOffset>475326</wp:posOffset>
              </wp:positionV>
              <wp:extent cx="1668780" cy="16764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668780"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VIII:</w:t>
                          </w:r>
                          <w:r>
                            <w:rPr>
                              <w:rFonts w:ascii="Arial MT"/>
                              <w:color w:val="7F7F7F"/>
                              <w:spacing w:val="-7"/>
                            </w:rPr>
                            <w:t> </w:t>
                          </w:r>
                          <w:r>
                            <w:rPr>
                              <w:rFonts w:ascii="Arial MT"/>
                              <w:color w:val="7F7F7F"/>
                            </w:rPr>
                            <w:t>Capital</w:t>
                          </w:r>
                          <w:r>
                            <w:rPr>
                              <w:rFonts w:ascii="Arial MT"/>
                              <w:color w:val="7F7F7F"/>
                              <w:spacing w:val="-13"/>
                            </w:rPr>
                            <w:t> </w:t>
                          </w:r>
                          <w:r>
                            <w:rPr>
                              <w:rFonts w:ascii="Arial MT"/>
                              <w:color w:val="7F7F7F"/>
                              <w:spacing w:val="-2"/>
                            </w:rPr>
                            <w:t>Activities</w:t>
                          </w:r>
                        </w:p>
                      </w:txbxContent>
                    </wps:txbx>
                    <wps:bodyPr wrap="square" lIns="0" tIns="0" rIns="0" bIns="0" rtlCol="0">
                      <a:noAutofit/>
                    </wps:bodyPr>
                  </wps:wsp>
                </a:graphicData>
              </a:graphic>
            </wp:anchor>
          </w:drawing>
        </mc:Choice>
        <mc:Fallback>
          <w:pict>
            <v:shape style="position:absolute;margin-left:274.399994pt;margin-top:37.427246pt;width:131.4pt;height:13.2pt;mso-position-horizontal-relative:page;mso-position-vertical-relative:page;z-index:-32761856" type="#_x0000_t202" id="docshape353"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9"/>
                      </w:rPr>
                      <w:t> </w:t>
                    </w:r>
                    <w:r>
                      <w:rPr>
                        <w:rFonts w:ascii="Arial MT"/>
                        <w:color w:val="7F7F7F"/>
                      </w:rPr>
                      <w:t>VIII:</w:t>
                    </w:r>
                    <w:r>
                      <w:rPr>
                        <w:rFonts w:ascii="Arial MT"/>
                        <w:color w:val="7F7F7F"/>
                        <w:spacing w:val="-7"/>
                      </w:rPr>
                      <w:t> </w:t>
                    </w:r>
                    <w:r>
                      <w:rPr>
                        <w:rFonts w:ascii="Arial MT"/>
                        <w:color w:val="7F7F7F"/>
                      </w:rPr>
                      <w:t>Capital</w:t>
                    </w:r>
                    <w:r>
                      <w:rPr>
                        <w:rFonts w:ascii="Arial MT"/>
                        <w:color w:val="7F7F7F"/>
                        <w:spacing w:val="-13"/>
                      </w:rPr>
                      <w:t> </w:t>
                    </w:r>
                    <w:r>
                      <w:rPr>
                        <w:rFonts w:ascii="Arial MT"/>
                        <w:color w:val="7F7F7F"/>
                        <w:spacing w:val="-2"/>
                      </w:rPr>
                      <w:t>Activities</w:t>
                    </w:r>
                  </w:p>
                </w:txbxContent>
              </v:textbox>
              <w10:wrap type="none"/>
            </v:shape>
          </w:pict>
        </mc:Fallback>
      </mc:AlternateContent>
    </w:r>
    <w:r>
      <w:rPr/>
      <mc:AlternateContent>
        <mc:Choice Requires="wps">
          <w:drawing>
            <wp:anchor distT="0" distB="0" distL="0" distR="0" allowOverlap="1" layoutInCell="1" locked="0" behindDoc="1" simplePos="0" relativeHeight="470555136">
              <wp:simplePos x="0" y="0"/>
              <wp:positionH relativeFrom="page">
                <wp:posOffset>970280</wp:posOffset>
              </wp:positionH>
              <wp:positionV relativeFrom="page">
                <wp:posOffset>483520</wp:posOffset>
              </wp:positionV>
              <wp:extent cx="2198370" cy="15367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61344" type="#_x0000_t202" id="docshape354"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7696">
              <wp:simplePos x="0" y="0"/>
              <wp:positionH relativeFrom="page">
                <wp:posOffset>914400</wp:posOffset>
              </wp:positionH>
              <wp:positionV relativeFrom="page">
                <wp:posOffset>472440</wp:posOffset>
              </wp:positionV>
              <wp:extent cx="5943600" cy="18415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5943600" cy="184150"/>
                        <a:chExt cx="5943600" cy="184150"/>
                      </a:xfrm>
                    </wpg:grpSpPr>
                    <wps:wsp>
                      <wps:cNvPr id="459" name="Graphic 459"/>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460" name="Graphic 460"/>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58784" id="docshapegroup384" coordorigin="1440,744" coordsize="9360,290">
              <v:rect style="position:absolute;left:1440;top:744;width:3960;height:285" id="docshape385"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58208">
              <wp:simplePos x="0" y="0"/>
              <wp:positionH relativeFrom="page">
                <wp:posOffset>3484879</wp:posOffset>
              </wp:positionH>
              <wp:positionV relativeFrom="page">
                <wp:posOffset>475326</wp:posOffset>
              </wp:positionV>
              <wp:extent cx="1697355" cy="16764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69735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4"/>
                            </w:rPr>
                            <w:t> </w:t>
                          </w:r>
                          <w:r>
                            <w:rPr>
                              <w:rFonts w:ascii="Arial MT"/>
                              <w:color w:val="7F7F7F"/>
                            </w:rPr>
                            <w:t>IX:</w:t>
                          </w:r>
                          <w:r>
                            <w:rPr>
                              <w:rFonts w:ascii="Arial MT"/>
                              <w:color w:val="7F7F7F"/>
                              <w:spacing w:val="-4"/>
                            </w:rPr>
                            <w:t> </w:t>
                          </w:r>
                          <w:r>
                            <w:rPr>
                              <w:rFonts w:ascii="Arial MT"/>
                              <w:color w:val="7F7F7F"/>
                            </w:rPr>
                            <w:t>Risk</w:t>
                          </w:r>
                          <w:r>
                            <w:rPr>
                              <w:rFonts w:ascii="Arial MT"/>
                              <w:color w:val="7F7F7F"/>
                              <w:spacing w:val="-4"/>
                            </w:rPr>
                            <w:t> </w:t>
                          </w:r>
                          <w:r>
                            <w:rPr>
                              <w:rFonts w:ascii="Arial MT"/>
                              <w:color w:val="7F7F7F"/>
                              <w:spacing w:val="-2"/>
                            </w:rPr>
                            <w:t>Management</w:t>
                          </w:r>
                        </w:p>
                      </w:txbxContent>
                    </wps:txbx>
                    <wps:bodyPr wrap="square" lIns="0" tIns="0" rIns="0" bIns="0" rtlCol="0">
                      <a:noAutofit/>
                    </wps:bodyPr>
                  </wps:wsp>
                </a:graphicData>
              </a:graphic>
            </wp:anchor>
          </w:drawing>
        </mc:Choice>
        <mc:Fallback>
          <w:pict>
            <v:shape style="position:absolute;margin-left:274.399994pt;margin-top:37.427246pt;width:133.65pt;height:13.2pt;mso-position-horizontal-relative:page;mso-position-vertical-relative:page;z-index:-32758272" type="#_x0000_t202" id="docshape386"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4"/>
                      </w:rPr>
                      <w:t> </w:t>
                    </w:r>
                    <w:r>
                      <w:rPr>
                        <w:rFonts w:ascii="Arial MT"/>
                        <w:color w:val="7F7F7F"/>
                      </w:rPr>
                      <w:t>IX:</w:t>
                    </w:r>
                    <w:r>
                      <w:rPr>
                        <w:rFonts w:ascii="Arial MT"/>
                        <w:color w:val="7F7F7F"/>
                        <w:spacing w:val="-4"/>
                      </w:rPr>
                      <w:t> </w:t>
                    </w:r>
                    <w:r>
                      <w:rPr>
                        <w:rFonts w:ascii="Arial MT"/>
                        <w:color w:val="7F7F7F"/>
                      </w:rPr>
                      <w:t>Risk</w:t>
                    </w:r>
                    <w:r>
                      <w:rPr>
                        <w:rFonts w:ascii="Arial MT"/>
                        <w:color w:val="7F7F7F"/>
                        <w:spacing w:val="-4"/>
                      </w:rPr>
                      <w:t> </w:t>
                    </w:r>
                    <w:r>
                      <w:rPr>
                        <w:rFonts w:ascii="Arial MT"/>
                        <w:color w:val="7F7F7F"/>
                        <w:spacing w:val="-2"/>
                      </w:rPr>
                      <w:t>Management</w:t>
                    </w:r>
                  </w:p>
                </w:txbxContent>
              </v:textbox>
              <w10:wrap type="none"/>
            </v:shape>
          </w:pict>
        </mc:Fallback>
      </mc:AlternateContent>
    </w:r>
    <w:r>
      <w:rPr/>
      <mc:AlternateContent>
        <mc:Choice Requires="wps">
          <w:drawing>
            <wp:anchor distT="0" distB="0" distL="0" distR="0" allowOverlap="1" layoutInCell="1" locked="0" behindDoc="1" simplePos="0" relativeHeight="470558720">
              <wp:simplePos x="0" y="0"/>
              <wp:positionH relativeFrom="page">
                <wp:posOffset>970280</wp:posOffset>
              </wp:positionH>
              <wp:positionV relativeFrom="page">
                <wp:posOffset>483520</wp:posOffset>
              </wp:positionV>
              <wp:extent cx="2198370" cy="15367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57760" type="#_x0000_t202" id="docshape387"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59232">
              <wp:simplePos x="0" y="0"/>
              <wp:positionH relativeFrom="page">
                <wp:posOffset>914400</wp:posOffset>
              </wp:positionH>
              <wp:positionV relativeFrom="page">
                <wp:posOffset>472440</wp:posOffset>
              </wp:positionV>
              <wp:extent cx="5943600" cy="18415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5943600" cy="184150"/>
                        <a:chExt cx="5943600" cy="184150"/>
                      </a:xfrm>
                    </wpg:grpSpPr>
                    <wps:wsp>
                      <wps:cNvPr id="464" name="Graphic 464"/>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465" name="Graphic 465"/>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57248" id="docshapegroup388" coordorigin="1440,744" coordsize="9360,290">
              <v:rect style="position:absolute;left:1440;top:744;width:3960;height:285" id="docshape389"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59744">
              <wp:simplePos x="0" y="0"/>
              <wp:positionH relativeFrom="page">
                <wp:posOffset>3484879</wp:posOffset>
              </wp:positionH>
              <wp:positionV relativeFrom="page">
                <wp:posOffset>475326</wp:posOffset>
              </wp:positionV>
              <wp:extent cx="1697355" cy="16764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69735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4"/>
                            </w:rPr>
                            <w:t> </w:t>
                          </w:r>
                          <w:r>
                            <w:rPr>
                              <w:rFonts w:ascii="Arial MT"/>
                              <w:color w:val="7F7F7F"/>
                            </w:rPr>
                            <w:t>IX:</w:t>
                          </w:r>
                          <w:r>
                            <w:rPr>
                              <w:rFonts w:ascii="Arial MT"/>
                              <w:color w:val="7F7F7F"/>
                              <w:spacing w:val="-4"/>
                            </w:rPr>
                            <w:t> </w:t>
                          </w:r>
                          <w:r>
                            <w:rPr>
                              <w:rFonts w:ascii="Arial MT"/>
                              <w:color w:val="7F7F7F"/>
                            </w:rPr>
                            <w:t>Risk</w:t>
                          </w:r>
                          <w:r>
                            <w:rPr>
                              <w:rFonts w:ascii="Arial MT"/>
                              <w:color w:val="7F7F7F"/>
                              <w:spacing w:val="-4"/>
                            </w:rPr>
                            <w:t> </w:t>
                          </w:r>
                          <w:r>
                            <w:rPr>
                              <w:rFonts w:ascii="Arial MT"/>
                              <w:color w:val="7F7F7F"/>
                              <w:spacing w:val="-2"/>
                            </w:rPr>
                            <w:t>Management</w:t>
                          </w:r>
                        </w:p>
                      </w:txbxContent>
                    </wps:txbx>
                    <wps:bodyPr wrap="square" lIns="0" tIns="0" rIns="0" bIns="0" rtlCol="0">
                      <a:noAutofit/>
                    </wps:bodyPr>
                  </wps:wsp>
                </a:graphicData>
              </a:graphic>
            </wp:anchor>
          </w:drawing>
        </mc:Choice>
        <mc:Fallback>
          <w:pict>
            <v:shape style="position:absolute;margin-left:274.399994pt;margin-top:37.427246pt;width:133.65pt;height:13.2pt;mso-position-horizontal-relative:page;mso-position-vertical-relative:page;z-index:-32756736" type="#_x0000_t202" id="docshape390"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4"/>
                      </w:rPr>
                      <w:t> </w:t>
                    </w:r>
                    <w:r>
                      <w:rPr>
                        <w:rFonts w:ascii="Arial MT"/>
                        <w:color w:val="7F7F7F"/>
                      </w:rPr>
                      <w:t>IX:</w:t>
                    </w:r>
                    <w:r>
                      <w:rPr>
                        <w:rFonts w:ascii="Arial MT"/>
                        <w:color w:val="7F7F7F"/>
                        <w:spacing w:val="-4"/>
                      </w:rPr>
                      <w:t> </w:t>
                    </w:r>
                    <w:r>
                      <w:rPr>
                        <w:rFonts w:ascii="Arial MT"/>
                        <w:color w:val="7F7F7F"/>
                      </w:rPr>
                      <w:t>Risk</w:t>
                    </w:r>
                    <w:r>
                      <w:rPr>
                        <w:rFonts w:ascii="Arial MT"/>
                        <w:color w:val="7F7F7F"/>
                        <w:spacing w:val="-4"/>
                      </w:rPr>
                      <w:t> </w:t>
                    </w:r>
                    <w:r>
                      <w:rPr>
                        <w:rFonts w:ascii="Arial MT"/>
                        <w:color w:val="7F7F7F"/>
                        <w:spacing w:val="-2"/>
                      </w:rPr>
                      <w:t>Management</w:t>
                    </w:r>
                  </w:p>
                </w:txbxContent>
              </v:textbox>
              <w10:wrap type="none"/>
            </v:shape>
          </w:pict>
        </mc:Fallback>
      </mc:AlternateContent>
    </w:r>
    <w:r>
      <w:rPr/>
      <mc:AlternateContent>
        <mc:Choice Requires="wps">
          <w:drawing>
            <wp:anchor distT="0" distB="0" distL="0" distR="0" allowOverlap="1" layoutInCell="1" locked="0" behindDoc="1" simplePos="0" relativeHeight="470560256">
              <wp:simplePos x="0" y="0"/>
              <wp:positionH relativeFrom="page">
                <wp:posOffset>970280</wp:posOffset>
              </wp:positionH>
              <wp:positionV relativeFrom="page">
                <wp:posOffset>483520</wp:posOffset>
              </wp:positionV>
              <wp:extent cx="2198370" cy="15367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56224" type="#_x0000_t202" id="docshape391"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2816">
              <wp:simplePos x="0" y="0"/>
              <wp:positionH relativeFrom="page">
                <wp:posOffset>914400</wp:posOffset>
              </wp:positionH>
              <wp:positionV relativeFrom="page">
                <wp:posOffset>472440</wp:posOffset>
              </wp:positionV>
              <wp:extent cx="5943600" cy="184150"/>
              <wp:effectExtent l="0" t="0" r="0" b="0"/>
              <wp:wrapNone/>
              <wp:docPr id="531" name="Group 531"/>
              <wp:cNvGraphicFramePr>
                <a:graphicFrameLocks/>
              </wp:cNvGraphicFramePr>
              <a:graphic>
                <a:graphicData uri="http://schemas.microsoft.com/office/word/2010/wordprocessingGroup">
                  <wpg:wgp>
                    <wpg:cNvPr id="531" name="Group 531"/>
                    <wpg:cNvGrpSpPr/>
                    <wpg:grpSpPr>
                      <a:xfrm>
                        <a:off x="0" y="0"/>
                        <a:ext cx="5943600" cy="184150"/>
                        <a:chExt cx="5943600" cy="184150"/>
                      </a:xfrm>
                    </wpg:grpSpPr>
                    <wps:wsp>
                      <wps:cNvPr id="532" name="Graphic 532"/>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33" name="Graphic 533"/>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53664" id="docshapegroup448" coordorigin="1440,744" coordsize="9360,290">
              <v:rect style="position:absolute;left:1440;top:744;width:3960;height:285" id="docshape449"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63328">
              <wp:simplePos x="0" y="0"/>
              <wp:positionH relativeFrom="page">
                <wp:posOffset>3484879</wp:posOffset>
              </wp:positionH>
              <wp:positionV relativeFrom="page">
                <wp:posOffset>475326</wp:posOffset>
              </wp:positionV>
              <wp:extent cx="1958339" cy="16764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958339"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w:t>
                          </w:r>
                          <w:r>
                            <w:rPr>
                              <w:rFonts w:ascii="Arial MT"/>
                              <w:color w:val="7F7F7F"/>
                              <w:spacing w:val="-6"/>
                            </w:rPr>
                            <w:t> </w:t>
                          </w:r>
                          <w:r>
                            <w:rPr>
                              <w:rFonts w:ascii="Arial MT"/>
                              <w:color w:val="7F7F7F"/>
                            </w:rPr>
                            <w:t>Contractual</w:t>
                          </w:r>
                          <w:r>
                            <w:rPr>
                              <w:rFonts w:ascii="Arial MT"/>
                              <w:color w:val="7F7F7F"/>
                              <w:spacing w:val="-5"/>
                            </w:rPr>
                            <w:t> </w:t>
                          </w:r>
                          <w:r>
                            <w:rPr>
                              <w:rFonts w:ascii="Arial MT"/>
                              <w:color w:val="7F7F7F"/>
                              <w:spacing w:val="-2"/>
                            </w:rPr>
                            <w:t>Obligations</w:t>
                          </w:r>
                        </w:p>
                      </w:txbxContent>
                    </wps:txbx>
                    <wps:bodyPr wrap="square" lIns="0" tIns="0" rIns="0" bIns="0" rtlCol="0">
                      <a:noAutofit/>
                    </wps:bodyPr>
                  </wps:wsp>
                </a:graphicData>
              </a:graphic>
            </wp:anchor>
          </w:drawing>
        </mc:Choice>
        <mc:Fallback>
          <w:pict>
            <v:shape style="position:absolute;margin-left:274.399994pt;margin-top:37.427246pt;width:154.2pt;height:13.2pt;mso-position-horizontal-relative:page;mso-position-vertical-relative:page;z-index:-32753152" type="#_x0000_t202" id="docshape450"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w:t>
                    </w:r>
                    <w:r>
                      <w:rPr>
                        <w:rFonts w:ascii="Arial MT"/>
                        <w:color w:val="7F7F7F"/>
                        <w:spacing w:val="-6"/>
                      </w:rPr>
                      <w:t> </w:t>
                    </w:r>
                    <w:r>
                      <w:rPr>
                        <w:rFonts w:ascii="Arial MT"/>
                        <w:color w:val="7F7F7F"/>
                      </w:rPr>
                      <w:t>Contractual</w:t>
                    </w:r>
                    <w:r>
                      <w:rPr>
                        <w:rFonts w:ascii="Arial MT"/>
                        <w:color w:val="7F7F7F"/>
                        <w:spacing w:val="-5"/>
                      </w:rPr>
                      <w:t> </w:t>
                    </w:r>
                    <w:r>
                      <w:rPr>
                        <w:rFonts w:ascii="Arial MT"/>
                        <w:color w:val="7F7F7F"/>
                        <w:spacing w:val="-2"/>
                      </w:rPr>
                      <w:t>Obligations</w:t>
                    </w:r>
                  </w:p>
                </w:txbxContent>
              </v:textbox>
              <w10:wrap type="none"/>
            </v:shape>
          </w:pict>
        </mc:Fallback>
      </mc:AlternateContent>
    </w:r>
    <w:r>
      <w:rPr/>
      <mc:AlternateContent>
        <mc:Choice Requires="wps">
          <w:drawing>
            <wp:anchor distT="0" distB="0" distL="0" distR="0" allowOverlap="1" layoutInCell="1" locked="0" behindDoc="1" simplePos="0" relativeHeight="470563840">
              <wp:simplePos x="0" y="0"/>
              <wp:positionH relativeFrom="page">
                <wp:posOffset>970280</wp:posOffset>
              </wp:positionH>
              <wp:positionV relativeFrom="page">
                <wp:posOffset>483520</wp:posOffset>
              </wp:positionV>
              <wp:extent cx="2198370" cy="15367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52640" type="#_x0000_t202" id="docshape451"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4352">
              <wp:simplePos x="0" y="0"/>
              <wp:positionH relativeFrom="page">
                <wp:posOffset>914400</wp:posOffset>
              </wp:positionH>
              <wp:positionV relativeFrom="page">
                <wp:posOffset>472440</wp:posOffset>
              </wp:positionV>
              <wp:extent cx="5943600" cy="184150"/>
              <wp:effectExtent l="0" t="0" r="0" b="0"/>
              <wp:wrapNone/>
              <wp:docPr id="536" name="Group 536"/>
              <wp:cNvGraphicFramePr>
                <a:graphicFrameLocks/>
              </wp:cNvGraphicFramePr>
              <a:graphic>
                <a:graphicData uri="http://schemas.microsoft.com/office/word/2010/wordprocessingGroup">
                  <wpg:wgp>
                    <wpg:cNvPr id="536" name="Group 536"/>
                    <wpg:cNvGrpSpPr/>
                    <wpg:grpSpPr>
                      <a:xfrm>
                        <a:off x="0" y="0"/>
                        <a:ext cx="5943600" cy="184150"/>
                        <a:chExt cx="5943600" cy="184150"/>
                      </a:xfrm>
                    </wpg:grpSpPr>
                    <wps:wsp>
                      <wps:cNvPr id="537" name="Graphic 537"/>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38" name="Graphic 538"/>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52128" id="docshapegroup452" coordorigin="1440,744" coordsize="9360,290">
              <v:rect style="position:absolute;left:1440;top:744;width:3960;height:285" id="docshape453"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64864">
              <wp:simplePos x="0" y="0"/>
              <wp:positionH relativeFrom="page">
                <wp:posOffset>3484879</wp:posOffset>
              </wp:positionH>
              <wp:positionV relativeFrom="page">
                <wp:posOffset>475326</wp:posOffset>
              </wp:positionV>
              <wp:extent cx="3178175" cy="16764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317817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w:t>
                          </w:r>
                          <w:r>
                            <w:rPr>
                              <w:rFonts w:ascii="Arial MT"/>
                              <w:color w:val="7F7F7F"/>
                              <w:spacing w:val="-6"/>
                            </w:rPr>
                            <w:t> </w:t>
                          </w:r>
                          <w:r>
                            <w:rPr>
                              <w:rFonts w:ascii="Arial MT"/>
                              <w:color w:val="7F7F7F"/>
                            </w:rPr>
                            <w:t>Pension</w:t>
                          </w:r>
                          <w:r>
                            <w:rPr>
                              <w:rFonts w:ascii="Arial MT"/>
                              <w:color w:val="7F7F7F"/>
                              <w:spacing w:val="-5"/>
                            </w:rPr>
                            <w:t> </w:t>
                          </w:r>
                          <w:r>
                            <w:rPr>
                              <w:rFonts w:ascii="Arial MT"/>
                              <w:color w:val="7F7F7F"/>
                            </w:rPr>
                            <w:t>and</w:t>
                          </w:r>
                          <w:r>
                            <w:rPr>
                              <w:rFonts w:ascii="Arial MT"/>
                              <w:color w:val="7F7F7F"/>
                              <w:spacing w:val="-6"/>
                            </w:rPr>
                            <w:t> </w:t>
                          </w:r>
                          <w:r>
                            <w:rPr>
                              <w:rFonts w:ascii="Arial MT"/>
                              <w:color w:val="7F7F7F"/>
                            </w:rPr>
                            <w:t>Other</w:t>
                          </w:r>
                          <w:r>
                            <w:rPr>
                              <w:rFonts w:ascii="Arial MT"/>
                              <w:color w:val="7F7F7F"/>
                              <w:spacing w:val="-6"/>
                            </w:rPr>
                            <w:t> </w:t>
                          </w:r>
                          <w:r>
                            <w:rPr>
                              <w:rFonts w:ascii="Arial MT"/>
                              <w:color w:val="7F7F7F"/>
                            </w:rPr>
                            <w:t>Post-Retirement</w:t>
                          </w:r>
                          <w:r>
                            <w:rPr>
                              <w:rFonts w:ascii="Arial MT"/>
                              <w:color w:val="7F7F7F"/>
                              <w:spacing w:val="-5"/>
                            </w:rPr>
                            <w:t> </w:t>
                          </w:r>
                          <w:r>
                            <w:rPr>
                              <w:rFonts w:ascii="Arial MT"/>
                              <w:color w:val="7F7F7F"/>
                              <w:spacing w:val="-2"/>
                            </w:rPr>
                            <w:t>Benefits</w:t>
                          </w:r>
                        </w:p>
                      </w:txbxContent>
                    </wps:txbx>
                    <wps:bodyPr wrap="square" lIns="0" tIns="0" rIns="0" bIns="0" rtlCol="0">
                      <a:noAutofit/>
                    </wps:bodyPr>
                  </wps:wsp>
                </a:graphicData>
              </a:graphic>
            </wp:anchor>
          </w:drawing>
        </mc:Choice>
        <mc:Fallback>
          <w:pict>
            <v:shape style="position:absolute;margin-left:274.399994pt;margin-top:37.427246pt;width:250.25pt;height:13.2pt;mso-position-horizontal-relative:page;mso-position-vertical-relative:page;z-index:-32751616" type="#_x0000_t202" id="docshape45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w:t>
                    </w:r>
                    <w:r>
                      <w:rPr>
                        <w:rFonts w:ascii="Arial MT"/>
                        <w:color w:val="7F7F7F"/>
                        <w:spacing w:val="-6"/>
                      </w:rPr>
                      <w:t> </w:t>
                    </w:r>
                    <w:r>
                      <w:rPr>
                        <w:rFonts w:ascii="Arial MT"/>
                        <w:color w:val="7F7F7F"/>
                      </w:rPr>
                      <w:t>Pension</w:t>
                    </w:r>
                    <w:r>
                      <w:rPr>
                        <w:rFonts w:ascii="Arial MT"/>
                        <w:color w:val="7F7F7F"/>
                        <w:spacing w:val="-5"/>
                      </w:rPr>
                      <w:t> </w:t>
                    </w:r>
                    <w:r>
                      <w:rPr>
                        <w:rFonts w:ascii="Arial MT"/>
                        <w:color w:val="7F7F7F"/>
                      </w:rPr>
                      <w:t>and</w:t>
                    </w:r>
                    <w:r>
                      <w:rPr>
                        <w:rFonts w:ascii="Arial MT"/>
                        <w:color w:val="7F7F7F"/>
                        <w:spacing w:val="-6"/>
                      </w:rPr>
                      <w:t> </w:t>
                    </w:r>
                    <w:r>
                      <w:rPr>
                        <w:rFonts w:ascii="Arial MT"/>
                        <w:color w:val="7F7F7F"/>
                      </w:rPr>
                      <w:t>Other</w:t>
                    </w:r>
                    <w:r>
                      <w:rPr>
                        <w:rFonts w:ascii="Arial MT"/>
                        <w:color w:val="7F7F7F"/>
                        <w:spacing w:val="-6"/>
                      </w:rPr>
                      <w:t> </w:t>
                    </w:r>
                    <w:r>
                      <w:rPr>
                        <w:rFonts w:ascii="Arial MT"/>
                        <w:color w:val="7F7F7F"/>
                      </w:rPr>
                      <w:t>Post-Retirement</w:t>
                    </w:r>
                    <w:r>
                      <w:rPr>
                        <w:rFonts w:ascii="Arial MT"/>
                        <w:color w:val="7F7F7F"/>
                        <w:spacing w:val="-5"/>
                      </w:rPr>
                      <w:t> </w:t>
                    </w:r>
                    <w:r>
                      <w:rPr>
                        <w:rFonts w:ascii="Arial MT"/>
                        <w:color w:val="7F7F7F"/>
                        <w:spacing w:val="-2"/>
                      </w:rPr>
                      <w:t>Benefits</w:t>
                    </w:r>
                  </w:p>
                </w:txbxContent>
              </v:textbox>
              <w10:wrap type="none"/>
            </v:shape>
          </w:pict>
        </mc:Fallback>
      </mc:AlternateContent>
    </w:r>
    <w:r>
      <w:rPr/>
      <mc:AlternateContent>
        <mc:Choice Requires="wps">
          <w:drawing>
            <wp:anchor distT="0" distB="0" distL="0" distR="0" allowOverlap="1" layoutInCell="1" locked="0" behindDoc="1" simplePos="0" relativeHeight="470565376">
              <wp:simplePos x="0" y="0"/>
              <wp:positionH relativeFrom="page">
                <wp:posOffset>970280</wp:posOffset>
              </wp:positionH>
              <wp:positionV relativeFrom="page">
                <wp:posOffset>483520</wp:posOffset>
              </wp:positionV>
              <wp:extent cx="2198370" cy="15367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51104" type="#_x0000_t202" id="docshape45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7936">
              <wp:simplePos x="0" y="0"/>
              <wp:positionH relativeFrom="page">
                <wp:posOffset>914400</wp:posOffset>
              </wp:positionH>
              <wp:positionV relativeFrom="page">
                <wp:posOffset>472440</wp:posOffset>
              </wp:positionV>
              <wp:extent cx="5943600" cy="184150"/>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5943600" cy="184150"/>
                        <a:chExt cx="5943600" cy="184150"/>
                      </a:xfrm>
                    </wpg:grpSpPr>
                    <wps:wsp>
                      <wps:cNvPr id="551" name="Graphic 551"/>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52" name="Graphic 552"/>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48544" id="docshapegroup464" coordorigin="1440,744" coordsize="9360,290">
              <v:rect style="position:absolute;left:1440;top:744;width:3960;height:285" id="docshape465"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68448">
              <wp:simplePos x="0" y="0"/>
              <wp:positionH relativeFrom="page">
                <wp:posOffset>3484879</wp:posOffset>
              </wp:positionH>
              <wp:positionV relativeFrom="page">
                <wp:posOffset>475326</wp:posOffset>
              </wp:positionV>
              <wp:extent cx="3178175" cy="16764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317817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w:t>
                          </w:r>
                          <w:r>
                            <w:rPr>
                              <w:rFonts w:ascii="Arial MT"/>
                              <w:color w:val="7F7F7F"/>
                              <w:spacing w:val="-6"/>
                            </w:rPr>
                            <w:t> </w:t>
                          </w:r>
                          <w:r>
                            <w:rPr>
                              <w:rFonts w:ascii="Arial MT"/>
                              <w:color w:val="7F7F7F"/>
                            </w:rPr>
                            <w:t>Pension</w:t>
                          </w:r>
                          <w:r>
                            <w:rPr>
                              <w:rFonts w:ascii="Arial MT"/>
                              <w:color w:val="7F7F7F"/>
                              <w:spacing w:val="-5"/>
                            </w:rPr>
                            <w:t> </w:t>
                          </w:r>
                          <w:r>
                            <w:rPr>
                              <w:rFonts w:ascii="Arial MT"/>
                              <w:color w:val="7F7F7F"/>
                            </w:rPr>
                            <w:t>and</w:t>
                          </w:r>
                          <w:r>
                            <w:rPr>
                              <w:rFonts w:ascii="Arial MT"/>
                              <w:color w:val="7F7F7F"/>
                              <w:spacing w:val="-6"/>
                            </w:rPr>
                            <w:t> </w:t>
                          </w:r>
                          <w:r>
                            <w:rPr>
                              <w:rFonts w:ascii="Arial MT"/>
                              <w:color w:val="7F7F7F"/>
                            </w:rPr>
                            <w:t>Other</w:t>
                          </w:r>
                          <w:r>
                            <w:rPr>
                              <w:rFonts w:ascii="Arial MT"/>
                              <w:color w:val="7F7F7F"/>
                              <w:spacing w:val="-6"/>
                            </w:rPr>
                            <w:t> </w:t>
                          </w:r>
                          <w:r>
                            <w:rPr>
                              <w:rFonts w:ascii="Arial MT"/>
                              <w:color w:val="7F7F7F"/>
                            </w:rPr>
                            <w:t>Post-Retirement</w:t>
                          </w:r>
                          <w:r>
                            <w:rPr>
                              <w:rFonts w:ascii="Arial MT"/>
                              <w:color w:val="7F7F7F"/>
                              <w:spacing w:val="-5"/>
                            </w:rPr>
                            <w:t> </w:t>
                          </w:r>
                          <w:r>
                            <w:rPr>
                              <w:rFonts w:ascii="Arial MT"/>
                              <w:color w:val="7F7F7F"/>
                              <w:spacing w:val="-2"/>
                            </w:rPr>
                            <w:t>Benefits</w:t>
                          </w:r>
                        </w:p>
                      </w:txbxContent>
                    </wps:txbx>
                    <wps:bodyPr wrap="square" lIns="0" tIns="0" rIns="0" bIns="0" rtlCol="0">
                      <a:noAutofit/>
                    </wps:bodyPr>
                  </wps:wsp>
                </a:graphicData>
              </a:graphic>
            </wp:anchor>
          </w:drawing>
        </mc:Choice>
        <mc:Fallback>
          <w:pict>
            <v:shape style="position:absolute;margin-left:274.399994pt;margin-top:37.427246pt;width:250.25pt;height:13.2pt;mso-position-horizontal-relative:page;mso-position-vertical-relative:page;z-index:-32748032" type="#_x0000_t202" id="docshape466"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w:t>
                    </w:r>
                    <w:r>
                      <w:rPr>
                        <w:rFonts w:ascii="Arial MT"/>
                        <w:color w:val="7F7F7F"/>
                        <w:spacing w:val="-6"/>
                      </w:rPr>
                      <w:t> </w:t>
                    </w:r>
                    <w:r>
                      <w:rPr>
                        <w:rFonts w:ascii="Arial MT"/>
                        <w:color w:val="7F7F7F"/>
                      </w:rPr>
                      <w:t>Pension</w:t>
                    </w:r>
                    <w:r>
                      <w:rPr>
                        <w:rFonts w:ascii="Arial MT"/>
                        <w:color w:val="7F7F7F"/>
                        <w:spacing w:val="-5"/>
                      </w:rPr>
                      <w:t> </w:t>
                    </w:r>
                    <w:r>
                      <w:rPr>
                        <w:rFonts w:ascii="Arial MT"/>
                        <w:color w:val="7F7F7F"/>
                      </w:rPr>
                      <w:t>and</w:t>
                    </w:r>
                    <w:r>
                      <w:rPr>
                        <w:rFonts w:ascii="Arial MT"/>
                        <w:color w:val="7F7F7F"/>
                        <w:spacing w:val="-6"/>
                      </w:rPr>
                      <w:t> </w:t>
                    </w:r>
                    <w:r>
                      <w:rPr>
                        <w:rFonts w:ascii="Arial MT"/>
                        <w:color w:val="7F7F7F"/>
                      </w:rPr>
                      <w:t>Other</w:t>
                    </w:r>
                    <w:r>
                      <w:rPr>
                        <w:rFonts w:ascii="Arial MT"/>
                        <w:color w:val="7F7F7F"/>
                        <w:spacing w:val="-6"/>
                      </w:rPr>
                      <w:t> </w:t>
                    </w:r>
                    <w:r>
                      <w:rPr>
                        <w:rFonts w:ascii="Arial MT"/>
                        <w:color w:val="7F7F7F"/>
                      </w:rPr>
                      <w:t>Post-Retirement</w:t>
                    </w:r>
                    <w:r>
                      <w:rPr>
                        <w:rFonts w:ascii="Arial MT"/>
                        <w:color w:val="7F7F7F"/>
                        <w:spacing w:val="-5"/>
                      </w:rPr>
                      <w:t> </w:t>
                    </w:r>
                    <w:r>
                      <w:rPr>
                        <w:rFonts w:ascii="Arial MT"/>
                        <w:color w:val="7F7F7F"/>
                        <w:spacing w:val="-2"/>
                      </w:rPr>
                      <w:t>Benefits</w:t>
                    </w:r>
                  </w:p>
                </w:txbxContent>
              </v:textbox>
              <w10:wrap type="none"/>
            </v:shape>
          </w:pict>
        </mc:Fallback>
      </mc:AlternateContent>
    </w:r>
    <w:r>
      <w:rPr/>
      <mc:AlternateContent>
        <mc:Choice Requires="wps">
          <w:drawing>
            <wp:anchor distT="0" distB="0" distL="0" distR="0" allowOverlap="1" layoutInCell="1" locked="0" behindDoc="1" simplePos="0" relativeHeight="470568960">
              <wp:simplePos x="0" y="0"/>
              <wp:positionH relativeFrom="page">
                <wp:posOffset>970280</wp:posOffset>
              </wp:positionH>
              <wp:positionV relativeFrom="page">
                <wp:posOffset>483520</wp:posOffset>
              </wp:positionV>
              <wp:extent cx="2198370" cy="15367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47520" type="#_x0000_t202" id="docshape467"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69472">
              <wp:simplePos x="0" y="0"/>
              <wp:positionH relativeFrom="page">
                <wp:posOffset>914400</wp:posOffset>
              </wp:positionH>
              <wp:positionV relativeFrom="page">
                <wp:posOffset>472440</wp:posOffset>
              </wp:positionV>
              <wp:extent cx="5943600" cy="165100"/>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5943600" cy="165100"/>
                        <a:chExt cx="5943600" cy="165100"/>
                      </a:xfrm>
                    </wpg:grpSpPr>
                    <wps:wsp>
                      <wps:cNvPr id="556" name="Graphic 556"/>
                      <wps:cNvSpPr/>
                      <wps:spPr>
                        <a:xfrm>
                          <a:off x="0" y="0"/>
                          <a:ext cx="2514600" cy="161925"/>
                        </a:xfrm>
                        <a:custGeom>
                          <a:avLst/>
                          <a:gdLst/>
                          <a:ahLst/>
                          <a:cxnLst/>
                          <a:rect l="l" t="t" r="r" b="b"/>
                          <a:pathLst>
                            <a:path w="2514600" h="161925">
                              <a:moveTo>
                                <a:pt x="2514600" y="0"/>
                              </a:moveTo>
                              <a:lnTo>
                                <a:pt x="0" y="0"/>
                              </a:lnTo>
                              <a:lnTo>
                                <a:pt x="0" y="161925"/>
                              </a:lnTo>
                              <a:lnTo>
                                <a:pt x="2514600" y="161925"/>
                              </a:lnTo>
                              <a:lnTo>
                                <a:pt x="2514600" y="0"/>
                              </a:lnTo>
                              <a:close/>
                            </a:path>
                          </a:pathLst>
                        </a:custGeom>
                        <a:solidFill>
                          <a:srgbClr val="BFBFBF"/>
                        </a:solidFill>
                      </wps:spPr>
                      <wps:bodyPr wrap="square" lIns="0" tIns="0" rIns="0" bIns="0" rtlCol="0">
                        <a:prstTxWarp prst="textNoShape">
                          <a:avLst/>
                        </a:prstTxWarp>
                        <a:noAutofit/>
                      </wps:bodyPr>
                    </wps:wsp>
                    <wps:wsp>
                      <wps:cNvPr id="557" name="Graphic 557"/>
                      <wps:cNvSpPr/>
                      <wps:spPr>
                        <a:xfrm>
                          <a:off x="0" y="16192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3pt;mso-position-horizontal-relative:page;mso-position-vertical-relative:page;z-index:-32747008" id="docshapegroup468" coordorigin="1440,744" coordsize="9360,260">
              <v:rect style="position:absolute;left:1440;top:744;width:3960;height:255" id="docshape469" filled="true" fillcolor="#bfbfbf" stroked="false">
                <v:fill type="solid"/>
              </v:rect>
              <v:line style="position:absolute" from="1440,999" to="10800,99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69984">
              <wp:simplePos x="0" y="0"/>
              <wp:positionH relativeFrom="page">
                <wp:posOffset>970280</wp:posOffset>
              </wp:positionH>
              <wp:positionV relativeFrom="page">
                <wp:posOffset>473995</wp:posOffset>
              </wp:positionV>
              <wp:extent cx="2198370" cy="15367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7.32251pt;width:173.1pt;height:12.1pt;mso-position-horizontal-relative:page;mso-position-vertical-relative:page;z-index:-32746496" type="#_x0000_t202" id="docshape470"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r>
      <w:rPr/>
      <mc:AlternateContent>
        <mc:Choice Requires="wps">
          <w:drawing>
            <wp:anchor distT="0" distB="0" distL="0" distR="0" allowOverlap="1" layoutInCell="1" locked="0" behindDoc="1" simplePos="0" relativeHeight="470570496">
              <wp:simplePos x="0" y="0"/>
              <wp:positionH relativeFrom="page">
                <wp:posOffset>3484879</wp:posOffset>
              </wp:positionH>
              <wp:positionV relativeFrom="page">
                <wp:posOffset>482191</wp:posOffset>
              </wp:positionV>
              <wp:extent cx="2948940" cy="13906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948940" cy="139065"/>
                      </a:xfrm>
                      <a:prstGeom prst="rect">
                        <a:avLst/>
                      </a:prstGeom>
                    </wps:spPr>
                    <wps:txbx>
                      <w:txbxContent>
                        <w:p>
                          <w:pPr>
                            <w:spacing w:before="14"/>
                            <w:ind w:left="20" w:right="0" w:firstLine="0"/>
                            <w:jc w:val="left"/>
                            <w:rPr>
                              <w:rFonts w:ascii="Arial MT"/>
                              <w:sz w:val="16"/>
                            </w:rPr>
                          </w:pPr>
                          <w:r>
                            <w:rPr>
                              <w:rFonts w:ascii="Arial MT"/>
                              <w:color w:val="7F7F7F"/>
                              <w:sz w:val="16"/>
                            </w:rPr>
                            <w:t>Section</w:t>
                          </w:r>
                          <w:r>
                            <w:rPr>
                              <w:rFonts w:ascii="Arial MT"/>
                              <w:color w:val="7F7F7F"/>
                              <w:spacing w:val="-6"/>
                              <w:sz w:val="16"/>
                            </w:rPr>
                            <w:t> </w:t>
                          </w:r>
                          <w:r>
                            <w:rPr>
                              <w:rFonts w:ascii="Arial MT"/>
                              <w:color w:val="7F7F7F"/>
                              <w:sz w:val="16"/>
                            </w:rPr>
                            <w:t>XII:</w:t>
                          </w:r>
                          <w:r>
                            <w:rPr>
                              <w:rFonts w:ascii="Arial MT"/>
                              <w:color w:val="7F7F7F"/>
                              <w:spacing w:val="-2"/>
                              <w:sz w:val="16"/>
                            </w:rPr>
                            <w:t> </w:t>
                          </w:r>
                          <w:r>
                            <w:rPr>
                              <w:rFonts w:ascii="Arial MT"/>
                              <w:color w:val="7F7F7F"/>
                              <w:sz w:val="16"/>
                            </w:rPr>
                            <w:t>Critical</w:t>
                          </w:r>
                          <w:r>
                            <w:rPr>
                              <w:rFonts w:ascii="Arial MT"/>
                              <w:color w:val="7F7F7F"/>
                              <w:spacing w:val="-12"/>
                              <w:sz w:val="16"/>
                            </w:rPr>
                            <w:t> </w:t>
                          </w:r>
                          <w:r>
                            <w:rPr>
                              <w:rFonts w:ascii="Arial MT"/>
                              <w:color w:val="7F7F7F"/>
                              <w:sz w:val="16"/>
                            </w:rPr>
                            <w:t>Accounting</w:t>
                          </w:r>
                          <w:r>
                            <w:rPr>
                              <w:rFonts w:ascii="Arial MT"/>
                              <w:color w:val="7F7F7F"/>
                              <w:spacing w:val="-3"/>
                              <w:sz w:val="16"/>
                            </w:rPr>
                            <w:t> </w:t>
                          </w:r>
                          <w:r>
                            <w:rPr>
                              <w:rFonts w:ascii="Arial MT"/>
                              <w:color w:val="7F7F7F"/>
                              <w:sz w:val="16"/>
                            </w:rPr>
                            <w:t>Policies</w:t>
                          </w:r>
                          <w:r>
                            <w:rPr>
                              <w:rFonts w:ascii="Arial MT"/>
                              <w:color w:val="7F7F7F"/>
                              <w:spacing w:val="-3"/>
                              <w:sz w:val="16"/>
                            </w:rPr>
                            <w:t> </w:t>
                          </w:r>
                          <w:r>
                            <w:rPr>
                              <w:rFonts w:ascii="Arial MT"/>
                              <w:color w:val="7F7F7F"/>
                              <w:sz w:val="16"/>
                            </w:rPr>
                            <w:t>and</w:t>
                          </w:r>
                          <w:r>
                            <w:rPr>
                              <w:rFonts w:ascii="Arial MT"/>
                              <w:color w:val="7F7F7F"/>
                              <w:spacing w:val="-3"/>
                              <w:sz w:val="16"/>
                            </w:rPr>
                            <w:t> </w:t>
                          </w:r>
                          <w:r>
                            <w:rPr>
                              <w:rFonts w:ascii="Arial MT"/>
                              <w:color w:val="7F7F7F"/>
                              <w:sz w:val="16"/>
                            </w:rPr>
                            <w:t>the</w:t>
                          </w:r>
                          <w:r>
                            <w:rPr>
                              <w:rFonts w:ascii="Arial MT"/>
                              <w:color w:val="7F7F7F"/>
                              <w:spacing w:val="-3"/>
                              <w:sz w:val="16"/>
                            </w:rPr>
                            <w:t> </w:t>
                          </w:r>
                          <w:r>
                            <w:rPr>
                              <w:rFonts w:ascii="Arial MT"/>
                              <w:color w:val="7F7F7F"/>
                              <w:sz w:val="16"/>
                            </w:rPr>
                            <w:t>Use</w:t>
                          </w:r>
                          <w:r>
                            <w:rPr>
                              <w:rFonts w:ascii="Arial MT"/>
                              <w:color w:val="7F7F7F"/>
                              <w:spacing w:val="-4"/>
                              <w:sz w:val="16"/>
                            </w:rPr>
                            <w:t> </w:t>
                          </w:r>
                          <w:r>
                            <w:rPr>
                              <w:rFonts w:ascii="Arial MT"/>
                              <w:color w:val="7F7F7F"/>
                              <w:sz w:val="16"/>
                            </w:rPr>
                            <w:t>of</w:t>
                          </w:r>
                          <w:r>
                            <w:rPr>
                              <w:rFonts w:ascii="Arial MT"/>
                              <w:color w:val="7F7F7F"/>
                              <w:spacing w:val="-2"/>
                              <w:sz w:val="16"/>
                            </w:rPr>
                            <w:t> Estimates</w:t>
                          </w:r>
                        </w:p>
                      </w:txbxContent>
                    </wps:txbx>
                    <wps:bodyPr wrap="square" lIns="0" tIns="0" rIns="0" bIns="0" rtlCol="0">
                      <a:noAutofit/>
                    </wps:bodyPr>
                  </wps:wsp>
                </a:graphicData>
              </a:graphic>
            </wp:anchor>
          </w:drawing>
        </mc:Choice>
        <mc:Fallback>
          <w:pict>
            <v:shape style="position:absolute;margin-left:274.399994pt;margin-top:37.967831pt;width:232.2pt;height:10.95pt;mso-position-horizontal-relative:page;mso-position-vertical-relative:page;z-index:-32745984" type="#_x0000_t202" id="docshape471" filled="false" stroked="false">
              <v:textbox inset="0,0,0,0">
                <w:txbxContent>
                  <w:p>
                    <w:pPr>
                      <w:spacing w:before="14"/>
                      <w:ind w:left="20" w:right="0" w:firstLine="0"/>
                      <w:jc w:val="left"/>
                      <w:rPr>
                        <w:rFonts w:ascii="Arial MT"/>
                        <w:sz w:val="16"/>
                      </w:rPr>
                    </w:pPr>
                    <w:r>
                      <w:rPr>
                        <w:rFonts w:ascii="Arial MT"/>
                        <w:color w:val="7F7F7F"/>
                        <w:sz w:val="16"/>
                      </w:rPr>
                      <w:t>Section</w:t>
                    </w:r>
                    <w:r>
                      <w:rPr>
                        <w:rFonts w:ascii="Arial MT"/>
                        <w:color w:val="7F7F7F"/>
                        <w:spacing w:val="-6"/>
                        <w:sz w:val="16"/>
                      </w:rPr>
                      <w:t> </w:t>
                    </w:r>
                    <w:r>
                      <w:rPr>
                        <w:rFonts w:ascii="Arial MT"/>
                        <w:color w:val="7F7F7F"/>
                        <w:sz w:val="16"/>
                      </w:rPr>
                      <w:t>XII:</w:t>
                    </w:r>
                    <w:r>
                      <w:rPr>
                        <w:rFonts w:ascii="Arial MT"/>
                        <w:color w:val="7F7F7F"/>
                        <w:spacing w:val="-2"/>
                        <w:sz w:val="16"/>
                      </w:rPr>
                      <w:t> </w:t>
                    </w:r>
                    <w:r>
                      <w:rPr>
                        <w:rFonts w:ascii="Arial MT"/>
                        <w:color w:val="7F7F7F"/>
                        <w:sz w:val="16"/>
                      </w:rPr>
                      <w:t>Critical</w:t>
                    </w:r>
                    <w:r>
                      <w:rPr>
                        <w:rFonts w:ascii="Arial MT"/>
                        <w:color w:val="7F7F7F"/>
                        <w:spacing w:val="-12"/>
                        <w:sz w:val="16"/>
                      </w:rPr>
                      <w:t> </w:t>
                    </w:r>
                    <w:r>
                      <w:rPr>
                        <w:rFonts w:ascii="Arial MT"/>
                        <w:color w:val="7F7F7F"/>
                        <w:sz w:val="16"/>
                      </w:rPr>
                      <w:t>Accounting</w:t>
                    </w:r>
                    <w:r>
                      <w:rPr>
                        <w:rFonts w:ascii="Arial MT"/>
                        <w:color w:val="7F7F7F"/>
                        <w:spacing w:val="-3"/>
                        <w:sz w:val="16"/>
                      </w:rPr>
                      <w:t> </w:t>
                    </w:r>
                    <w:r>
                      <w:rPr>
                        <w:rFonts w:ascii="Arial MT"/>
                        <w:color w:val="7F7F7F"/>
                        <w:sz w:val="16"/>
                      </w:rPr>
                      <w:t>Policies</w:t>
                    </w:r>
                    <w:r>
                      <w:rPr>
                        <w:rFonts w:ascii="Arial MT"/>
                        <w:color w:val="7F7F7F"/>
                        <w:spacing w:val="-3"/>
                        <w:sz w:val="16"/>
                      </w:rPr>
                      <w:t> </w:t>
                    </w:r>
                    <w:r>
                      <w:rPr>
                        <w:rFonts w:ascii="Arial MT"/>
                        <w:color w:val="7F7F7F"/>
                        <w:sz w:val="16"/>
                      </w:rPr>
                      <w:t>and</w:t>
                    </w:r>
                    <w:r>
                      <w:rPr>
                        <w:rFonts w:ascii="Arial MT"/>
                        <w:color w:val="7F7F7F"/>
                        <w:spacing w:val="-3"/>
                        <w:sz w:val="16"/>
                      </w:rPr>
                      <w:t> </w:t>
                    </w:r>
                    <w:r>
                      <w:rPr>
                        <w:rFonts w:ascii="Arial MT"/>
                        <w:color w:val="7F7F7F"/>
                        <w:sz w:val="16"/>
                      </w:rPr>
                      <w:t>the</w:t>
                    </w:r>
                    <w:r>
                      <w:rPr>
                        <w:rFonts w:ascii="Arial MT"/>
                        <w:color w:val="7F7F7F"/>
                        <w:spacing w:val="-3"/>
                        <w:sz w:val="16"/>
                      </w:rPr>
                      <w:t> </w:t>
                    </w:r>
                    <w:r>
                      <w:rPr>
                        <w:rFonts w:ascii="Arial MT"/>
                        <w:color w:val="7F7F7F"/>
                        <w:sz w:val="16"/>
                      </w:rPr>
                      <w:t>Use</w:t>
                    </w:r>
                    <w:r>
                      <w:rPr>
                        <w:rFonts w:ascii="Arial MT"/>
                        <w:color w:val="7F7F7F"/>
                        <w:spacing w:val="-4"/>
                        <w:sz w:val="16"/>
                      </w:rPr>
                      <w:t> </w:t>
                    </w:r>
                    <w:r>
                      <w:rPr>
                        <w:rFonts w:ascii="Arial MT"/>
                        <w:color w:val="7F7F7F"/>
                        <w:sz w:val="16"/>
                      </w:rPr>
                      <w:t>of</w:t>
                    </w:r>
                    <w:r>
                      <w:rPr>
                        <w:rFonts w:ascii="Arial MT"/>
                        <w:color w:val="7F7F7F"/>
                        <w:spacing w:val="-2"/>
                        <w:sz w:val="16"/>
                      </w:rPr>
                      <w:t> Estimates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3056">
              <wp:simplePos x="0" y="0"/>
              <wp:positionH relativeFrom="page">
                <wp:posOffset>914400</wp:posOffset>
              </wp:positionH>
              <wp:positionV relativeFrom="page">
                <wp:posOffset>472440</wp:posOffset>
              </wp:positionV>
              <wp:extent cx="5943600" cy="16510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5943600" cy="165100"/>
                        <a:chExt cx="5943600" cy="165100"/>
                      </a:xfrm>
                    </wpg:grpSpPr>
                    <wps:wsp>
                      <wps:cNvPr id="569" name="Graphic 569"/>
                      <wps:cNvSpPr/>
                      <wps:spPr>
                        <a:xfrm>
                          <a:off x="0" y="0"/>
                          <a:ext cx="2514600" cy="161925"/>
                        </a:xfrm>
                        <a:custGeom>
                          <a:avLst/>
                          <a:gdLst/>
                          <a:ahLst/>
                          <a:cxnLst/>
                          <a:rect l="l" t="t" r="r" b="b"/>
                          <a:pathLst>
                            <a:path w="2514600" h="161925">
                              <a:moveTo>
                                <a:pt x="2514600" y="0"/>
                              </a:moveTo>
                              <a:lnTo>
                                <a:pt x="0" y="0"/>
                              </a:lnTo>
                              <a:lnTo>
                                <a:pt x="0" y="161925"/>
                              </a:lnTo>
                              <a:lnTo>
                                <a:pt x="2514600" y="161925"/>
                              </a:lnTo>
                              <a:lnTo>
                                <a:pt x="2514600" y="0"/>
                              </a:lnTo>
                              <a:close/>
                            </a:path>
                          </a:pathLst>
                        </a:custGeom>
                        <a:solidFill>
                          <a:srgbClr val="BFBFBF"/>
                        </a:solidFill>
                      </wps:spPr>
                      <wps:bodyPr wrap="square" lIns="0" tIns="0" rIns="0" bIns="0" rtlCol="0">
                        <a:prstTxWarp prst="textNoShape">
                          <a:avLst/>
                        </a:prstTxWarp>
                        <a:noAutofit/>
                      </wps:bodyPr>
                    </wps:wsp>
                    <wps:wsp>
                      <wps:cNvPr id="570" name="Graphic 570"/>
                      <wps:cNvSpPr/>
                      <wps:spPr>
                        <a:xfrm>
                          <a:off x="0" y="16192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3pt;mso-position-horizontal-relative:page;mso-position-vertical-relative:page;z-index:-32743424" id="docshapegroup479" coordorigin="1440,744" coordsize="9360,260">
              <v:rect style="position:absolute;left:1440;top:744;width:3960;height:255" id="docshape480" filled="true" fillcolor="#bfbfbf" stroked="false">
                <v:fill type="solid"/>
              </v:rect>
              <v:line style="position:absolute" from="1440,999" to="10800,99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73568">
              <wp:simplePos x="0" y="0"/>
              <wp:positionH relativeFrom="page">
                <wp:posOffset>970280</wp:posOffset>
              </wp:positionH>
              <wp:positionV relativeFrom="page">
                <wp:posOffset>473995</wp:posOffset>
              </wp:positionV>
              <wp:extent cx="2198370" cy="15367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7.32251pt;width:173.1pt;height:12.1pt;mso-position-horizontal-relative:page;mso-position-vertical-relative:page;z-index:-32742912" type="#_x0000_t202" id="docshape481"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r>
      <w:rPr/>
      <mc:AlternateContent>
        <mc:Choice Requires="wps">
          <w:drawing>
            <wp:anchor distT="0" distB="0" distL="0" distR="0" allowOverlap="1" layoutInCell="1" locked="0" behindDoc="1" simplePos="0" relativeHeight="470574080">
              <wp:simplePos x="0" y="0"/>
              <wp:positionH relativeFrom="page">
                <wp:posOffset>3484879</wp:posOffset>
              </wp:positionH>
              <wp:positionV relativeFrom="page">
                <wp:posOffset>482191</wp:posOffset>
              </wp:positionV>
              <wp:extent cx="2948940" cy="139065"/>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2948940" cy="139065"/>
                      </a:xfrm>
                      <a:prstGeom prst="rect">
                        <a:avLst/>
                      </a:prstGeom>
                    </wps:spPr>
                    <wps:txbx>
                      <w:txbxContent>
                        <w:p>
                          <w:pPr>
                            <w:spacing w:before="14"/>
                            <w:ind w:left="20" w:right="0" w:firstLine="0"/>
                            <w:jc w:val="left"/>
                            <w:rPr>
                              <w:rFonts w:ascii="Arial MT"/>
                              <w:sz w:val="16"/>
                            </w:rPr>
                          </w:pPr>
                          <w:r>
                            <w:rPr>
                              <w:rFonts w:ascii="Arial MT"/>
                              <w:color w:val="7F7F7F"/>
                              <w:sz w:val="16"/>
                            </w:rPr>
                            <w:t>Section</w:t>
                          </w:r>
                          <w:r>
                            <w:rPr>
                              <w:rFonts w:ascii="Arial MT"/>
                              <w:color w:val="7F7F7F"/>
                              <w:spacing w:val="-6"/>
                              <w:sz w:val="16"/>
                            </w:rPr>
                            <w:t> </w:t>
                          </w:r>
                          <w:r>
                            <w:rPr>
                              <w:rFonts w:ascii="Arial MT"/>
                              <w:color w:val="7F7F7F"/>
                              <w:sz w:val="16"/>
                            </w:rPr>
                            <w:t>XII:</w:t>
                          </w:r>
                          <w:r>
                            <w:rPr>
                              <w:rFonts w:ascii="Arial MT"/>
                              <w:color w:val="7F7F7F"/>
                              <w:spacing w:val="-2"/>
                              <w:sz w:val="16"/>
                            </w:rPr>
                            <w:t> </w:t>
                          </w:r>
                          <w:r>
                            <w:rPr>
                              <w:rFonts w:ascii="Arial MT"/>
                              <w:color w:val="7F7F7F"/>
                              <w:sz w:val="16"/>
                            </w:rPr>
                            <w:t>Critical</w:t>
                          </w:r>
                          <w:r>
                            <w:rPr>
                              <w:rFonts w:ascii="Arial MT"/>
                              <w:color w:val="7F7F7F"/>
                              <w:spacing w:val="-12"/>
                              <w:sz w:val="16"/>
                            </w:rPr>
                            <w:t> </w:t>
                          </w:r>
                          <w:r>
                            <w:rPr>
                              <w:rFonts w:ascii="Arial MT"/>
                              <w:color w:val="7F7F7F"/>
                              <w:sz w:val="16"/>
                            </w:rPr>
                            <w:t>Accounting</w:t>
                          </w:r>
                          <w:r>
                            <w:rPr>
                              <w:rFonts w:ascii="Arial MT"/>
                              <w:color w:val="7F7F7F"/>
                              <w:spacing w:val="-3"/>
                              <w:sz w:val="16"/>
                            </w:rPr>
                            <w:t> </w:t>
                          </w:r>
                          <w:r>
                            <w:rPr>
                              <w:rFonts w:ascii="Arial MT"/>
                              <w:color w:val="7F7F7F"/>
                              <w:sz w:val="16"/>
                            </w:rPr>
                            <w:t>Policies</w:t>
                          </w:r>
                          <w:r>
                            <w:rPr>
                              <w:rFonts w:ascii="Arial MT"/>
                              <w:color w:val="7F7F7F"/>
                              <w:spacing w:val="-3"/>
                              <w:sz w:val="16"/>
                            </w:rPr>
                            <w:t> </w:t>
                          </w:r>
                          <w:r>
                            <w:rPr>
                              <w:rFonts w:ascii="Arial MT"/>
                              <w:color w:val="7F7F7F"/>
                              <w:sz w:val="16"/>
                            </w:rPr>
                            <w:t>and</w:t>
                          </w:r>
                          <w:r>
                            <w:rPr>
                              <w:rFonts w:ascii="Arial MT"/>
                              <w:color w:val="7F7F7F"/>
                              <w:spacing w:val="-3"/>
                              <w:sz w:val="16"/>
                            </w:rPr>
                            <w:t> </w:t>
                          </w:r>
                          <w:r>
                            <w:rPr>
                              <w:rFonts w:ascii="Arial MT"/>
                              <w:color w:val="7F7F7F"/>
                              <w:sz w:val="16"/>
                            </w:rPr>
                            <w:t>the</w:t>
                          </w:r>
                          <w:r>
                            <w:rPr>
                              <w:rFonts w:ascii="Arial MT"/>
                              <w:color w:val="7F7F7F"/>
                              <w:spacing w:val="-3"/>
                              <w:sz w:val="16"/>
                            </w:rPr>
                            <w:t> </w:t>
                          </w:r>
                          <w:r>
                            <w:rPr>
                              <w:rFonts w:ascii="Arial MT"/>
                              <w:color w:val="7F7F7F"/>
                              <w:sz w:val="16"/>
                            </w:rPr>
                            <w:t>Use</w:t>
                          </w:r>
                          <w:r>
                            <w:rPr>
                              <w:rFonts w:ascii="Arial MT"/>
                              <w:color w:val="7F7F7F"/>
                              <w:spacing w:val="-4"/>
                              <w:sz w:val="16"/>
                            </w:rPr>
                            <w:t> </w:t>
                          </w:r>
                          <w:r>
                            <w:rPr>
                              <w:rFonts w:ascii="Arial MT"/>
                              <w:color w:val="7F7F7F"/>
                              <w:sz w:val="16"/>
                            </w:rPr>
                            <w:t>of</w:t>
                          </w:r>
                          <w:r>
                            <w:rPr>
                              <w:rFonts w:ascii="Arial MT"/>
                              <w:color w:val="7F7F7F"/>
                              <w:spacing w:val="-2"/>
                              <w:sz w:val="16"/>
                            </w:rPr>
                            <w:t> Estimates</w:t>
                          </w:r>
                        </w:p>
                      </w:txbxContent>
                    </wps:txbx>
                    <wps:bodyPr wrap="square" lIns="0" tIns="0" rIns="0" bIns="0" rtlCol="0">
                      <a:noAutofit/>
                    </wps:bodyPr>
                  </wps:wsp>
                </a:graphicData>
              </a:graphic>
            </wp:anchor>
          </w:drawing>
        </mc:Choice>
        <mc:Fallback>
          <w:pict>
            <v:shape style="position:absolute;margin-left:274.399994pt;margin-top:37.967831pt;width:232.2pt;height:10.95pt;mso-position-horizontal-relative:page;mso-position-vertical-relative:page;z-index:-32742400" type="#_x0000_t202" id="docshape482" filled="false" stroked="false">
              <v:textbox inset="0,0,0,0">
                <w:txbxContent>
                  <w:p>
                    <w:pPr>
                      <w:spacing w:before="14"/>
                      <w:ind w:left="20" w:right="0" w:firstLine="0"/>
                      <w:jc w:val="left"/>
                      <w:rPr>
                        <w:rFonts w:ascii="Arial MT"/>
                        <w:sz w:val="16"/>
                      </w:rPr>
                    </w:pPr>
                    <w:r>
                      <w:rPr>
                        <w:rFonts w:ascii="Arial MT"/>
                        <w:color w:val="7F7F7F"/>
                        <w:sz w:val="16"/>
                      </w:rPr>
                      <w:t>Section</w:t>
                    </w:r>
                    <w:r>
                      <w:rPr>
                        <w:rFonts w:ascii="Arial MT"/>
                        <w:color w:val="7F7F7F"/>
                        <w:spacing w:val="-6"/>
                        <w:sz w:val="16"/>
                      </w:rPr>
                      <w:t> </w:t>
                    </w:r>
                    <w:r>
                      <w:rPr>
                        <w:rFonts w:ascii="Arial MT"/>
                        <w:color w:val="7F7F7F"/>
                        <w:sz w:val="16"/>
                      </w:rPr>
                      <w:t>XII:</w:t>
                    </w:r>
                    <w:r>
                      <w:rPr>
                        <w:rFonts w:ascii="Arial MT"/>
                        <w:color w:val="7F7F7F"/>
                        <w:spacing w:val="-2"/>
                        <w:sz w:val="16"/>
                      </w:rPr>
                      <w:t> </w:t>
                    </w:r>
                    <w:r>
                      <w:rPr>
                        <w:rFonts w:ascii="Arial MT"/>
                        <w:color w:val="7F7F7F"/>
                        <w:sz w:val="16"/>
                      </w:rPr>
                      <w:t>Critical</w:t>
                    </w:r>
                    <w:r>
                      <w:rPr>
                        <w:rFonts w:ascii="Arial MT"/>
                        <w:color w:val="7F7F7F"/>
                        <w:spacing w:val="-12"/>
                        <w:sz w:val="16"/>
                      </w:rPr>
                      <w:t> </w:t>
                    </w:r>
                    <w:r>
                      <w:rPr>
                        <w:rFonts w:ascii="Arial MT"/>
                        <w:color w:val="7F7F7F"/>
                        <w:sz w:val="16"/>
                      </w:rPr>
                      <w:t>Accounting</w:t>
                    </w:r>
                    <w:r>
                      <w:rPr>
                        <w:rFonts w:ascii="Arial MT"/>
                        <w:color w:val="7F7F7F"/>
                        <w:spacing w:val="-3"/>
                        <w:sz w:val="16"/>
                      </w:rPr>
                      <w:t> </w:t>
                    </w:r>
                    <w:r>
                      <w:rPr>
                        <w:rFonts w:ascii="Arial MT"/>
                        <w:color w:val="7F7F7F"/>
                        <w:sz w:val="16"/>
                      </w:rPr>
                      <w:t>Policies</w:t>
                    </w:r>
                    <w:r>
                      <w:rPr>
                        <w:rFonts w:ascii="Arial MT"/>
                        <w:color w:val="7F7F7F"/>
                        <w:spacing w:val="-3"/>
                        <w:sz w:val="16"/>
                      </w:rPr>
                      <w:t> </w:t>
                    </w:r>
                    <w:r>
                      <w:rPr>
                        <w:rFonts w:ascii="Arial MT"/>
                        <w:color w:val="7F7F7F"/>
                        <w:sz w:val="16"/>
                      </w:rPr>
                      <w:t>and</w:t>
                    </w:r>
                    <w:r>
                      <w:rPr>
                        <w:rFonts w:ascii="Arial MT"/>
                        <w:color w:val="7F7F7F"/>
                        <w:spacing w:val="-3"/>
                        <w:sz w:val="16"/>
                      </w:rPr>
                      <w:t> </w:t>
                    </w:r>
                    <w:r>
                      <w:rPr>
                        <w:rFonts w:ascii="Arial MT"/>
                        <w:color w:val="7F7F7F"/>
                        <w:sz w:val="16"/>
                      </w:rPr>
                      <w:t>the</w:t>
                    </w:r>
                    <w:r>
                      <w:rPr>
                        <w:rFonts w:ascii="Arial MT"/>
                        <w:color w:val="7F7F7F"/>
                        <w:spacing w:val="-3"/>
                        <w:sz w:val="16"/>
                      </w:rPr>
                      <w:t> </w:t>
                    </w:r>
                    <w:r>
                      <w:rPr>
                        <w:rFonts w:ascii="Arial MT"/>
                        <w:color w:val="7F7F7F"/>
                        <w:sz w:val="16"/>
                      </w:rPr>
                      <w:t>Use</w:t>
                    </w:r>
                    <w:r>
                      <w:rPr>
                        <w:rFonts w:ascii="Arial MT"/>
                        <w:color w:val="7F7F7F"/>
                        <w:spacing w:val="-4"/>
                        <w:sz w:val="16"/>
                      </w:rPr>
                      <w:t> </w:t>
                    </w:r>
                    <w:r>
                      <w:rPr>
                        <w:rFonts w:ascii="Arial MT"/>
                        <w:color w:val="7F7F7F"/>
                        <w:sz w:val="16"/>
                      </w:rPr>
                      <w:t>of</w:t>
                    </w:r>
                    <w:r>
                      <w:rPr>
                        <w:rFonts w:ascii="Arial MT"/>
                        <w:color w:val="7F7F7F"/>
                        <w:spacing w:val="-2"/>
                        <w:sz w:val="16"/>
                      </w:rPr>
                      <w:t> Estimates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4592">
              <wp:simplePos x="0" y="0"/>
              <wp:positionH relativeFrom="page">
                <wp:posOffset>914400</wp:posOffset>
              </wp:positionH>
              <wp:positionV relativeFrom="page">
                <wp:posOffset>472440</wp:posOffset>
              </wp:positionV>
              <wp:extent cx="5943600" cy="18415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5943600" cy="184150"/>
                        <a:chExt cx="5943600" cy="184150"/>
                      </a:xfrm>
                    </wpg:grpSpPr>
                    <wps:wsp>
                      <wps:cNvPr id="574" name="Graphic 574"/>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75" name="Graphic 575"/>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41888" id="docshapegroup483" coordorigin="1440,744" coordsize="9360,290">
              <v:rect style="position:absolute;left:1440;top:744;width:3960;height:285" id="docshape484"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75104">
              <wp:simplePos x="0" y="0"/>
              <wp:positionH relativeFrom="page">
                <wp:posOffset>3484879</wp:posOffset>
              </wp:positionH>
              <wp:positionV relativeFrom="page">
                <wp:posOffset>475326</wp:posOffset>
              </wp:positionV>
              <wp:extent cx="2191385" cy="16764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219138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wps:txbx>
                    <wps:bodyPr wrap="square" lIns="0" tIns="0" rIns="0" bIns="0" rtlCol="0">
                      <a:noAutofit/>
                    </wps:bodyPr>
                  </wps:wsp>
                </a:graphicData>
              </a:graphic>
            </wp:anchor>
          </w:drawing>
        </mc:Choice>
        <mc:Fallback>
          <w:pict>
            <v:shape style="position:absolute;margin-left:274.399994pt;margin-top:37.427246pt;width:172.55pt;height:13.2pt;mso-position-horizontal-relative:page;mso-position-vertical-relative:page;z-index:-32741376" type="#_x0000_t202" id="docshape485"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v:textbox>
              <w10:wrap type="none"/>
            </v:shape>
          </w:pict>
        </mc:Fallback>
      </mc:AlternateContent>
    </w:r>
    <w:r>
      <w:rPr/>
      <mc:AlternateContent>
        <mc:Choice Requires="wps">
          <w:drawing>
            <wp:anchor distT="0" distB="0" distL="0" distR="0" allowOverlap="1" layoutInCell="1" locked="0" behindDoc="1" simplePos="0" relativeHeight="470575616">
              <wp:simplePos x="0" y="0"/>
              <wp:positionH relativeFrom="page">
                <wp:posOffset>970280</wp:posOffset>
              </wp:positionH>
              <wp:positionV relativeFrom="page">
                <wp:posOffset>483520</wp:posOffset>
              </wp:positionV>
              <wp:extent cx="2198370" cy="15367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40864" type="#_x0000_t202" id="docshape486"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8176">
              <wp:simplePos x="0" y="0"/>
              <wp:positionH relativeFrom="page">
                <wp:posOffset>914400</wp:posOffset>
              </wp:positionH>
              <wp:positionV relativeFrom="page">
                <wp:posOffset>472440</wp:posOffset>
              </wp:positionV>
              <wp:extent cx="5943600" cy="18415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5943600" cy="184150"/>
                        <a:chExt cx="5943600" cy="184150"/>
                      </a:xfrm>
                    </wpg:grpSpPr>
                    <wps:wsp>
                      <wps:cNvPr id="585" name="Graphic 585"/>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86" name="Graphic 586"/>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38304" id="docshapegroup492" coordorigin="1440,744" coordsize="9360,290">
              <v:rect style="position:absolute;left:1440;top:744;width:3960;height:285" id="docshape493"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78688">
              <wp:simplePos x="0" y="0"/>
              <wp:positionH relativeFrom="page">
                <wp:posOffset>3484879</wp:posOffset>
              </wp:positionH>
              <wp:positionV relativeFrom="page">
                <wp:posOffset>475326</wp:posOffset>
              </wp:positionV>
              <wp:extent cx="2191385" cy="16764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19138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wps:txbx>
                    <wps:bodyPr wrap="square" lIns="0" tIns="0" rIns="0" bIns="0" rtlCol="0">
                      <a:noAutofit/>
                    </wps:bodyPr>
                  </wps:wsp>
                </a:graphicData>
              </a:graphic>
            </wp:anchor>
          </w:drawing>
        </mc:Choice>
        <mc:Fallback>
          <w:pict>
            <v:shape style="position:absolute;margin-left:274.399994pt;margin-top:37.427246pt;width:172.55pt;height:13.2pt;mso-position-horizontal-relative:page;mso-position-vertical-relative:page;z-index:-32737792" type="#_x0000_t202" id="docshape494"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v:textbox>
              <w10:wrap type="none"/>
            </v:shape>
          </w:pict>
        </mc:Fallback>
      </mc:AlternateContent>
    </w:r>
    <w:r>
      <w:rPr/>
      <mc:AlternateContent>
        <mc:Choice Requires="wps">
          <w:drawing>
            <wp:anchor distT="0" distB="0" distL="0" distR="0" allowOverlap="1" layoutInCell="1" locked="0" behindDoc="1" simplePos="0" relativeHeight="470579200">
              <wp:simplePos x="0" y="0"/>
              <wp:positionH relativeFrom="page">
                <wp:posOffset>970280</wp:posOffset>
              </wp:positionH>
              <wp:positionV relativeFrom="page">
                <wp:posOffset>483520</wp:posOffset>
              </wp:positionV>
              <wp:extent cx="2198370" cy="15367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37280" type="#_x0000_t202" id="docshape495"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79712">
              <wp:simplePos x="0" y="0"/>
              <wp:positionH relativeFrom="page">
                <wp:posOffset>914400</wp:posOffset>
              </wp:positionH>
              <wp:positionV relativeFrom="page">
                <wp:posOffset>472440</wp:posOffset>
              </wp:positionV>
              <wp:extent cx="5943600" cy="184150"/>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5943600" cy="184150"/>
                        <a:chExt cx="5943600" cy="184150"/>
                      </a:xfrm>
                    </wpg:grpSpPr>
                    <wps:wsp>
                      <wps:cNvPr id="590" name="Graphic 590"/>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591" name="Graphic 591"/>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36768" id="docshapegroup496" coordorigin="1440,744" coordsize="9360,290">
              <v:rect style="position:absolute;left:1440;top:744;width:3960;height:285" id="docshape497"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80224">
              <wp:simplePos x="0" y="0"/>
              <wp:positionH relativeFrom="page">
                <wp:posOffset>3484879</wp:posOffset>
              </wp:positionH>
              <wp:positionV relativeFrom="page">
                <wp:posOffset>475326</wp:posOffset>
              </wp:positionV>
              <wp:extent cx="2191385" cy="16764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191385" cy="167640"/>
                      </a:xfrm>
                      <a:prstGeom prst="rect">
                        <a:avLst/>
                      </a:prstGeom>
                    </wps:spPr>
                    <wps:txbx>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wps:txbx>
                    <wps:bodyPr wrap="square" lIns="0" tIns="0" rIns="0" bIns="0" rtlCol="0">
                      <a:noAutofit/>
                    </wps:bodyPr>
                  </wps:wsp>
                </a:graphicData>
              </a:graphic>
            </wp:anchor>
          </w:drawing>
        </mc:Choice>
        <mc:Fallback>
          <w:pict>
            <v:shape style="position:absolute;margin-left:274.399994pt;margin-top:37.427246pt;width:172.55pt;height:13.2pt;mso-position-horizontal-relative:page;mso-position-vertical-relative:page;z-index:-32736256" type="#_x0000_t202" id="docshape498" filled="false" stroked="false">
              <v:textbox inset="0,0,0,0">
                <w:txbxContent>
                  <w:p>
                    <w:pPr>
                      <w:pStyle w:val="BodyText"/>
                      <w:spacing w:before="13"/>
                      <w:ind w:left="20"/>
                      <w:rPr>
                        <w:rFonts w:ascii="Arial MT"/>
                      </w:rPr>
                    </w:pPr>
                    <w:r>
                      <w:rPr>
                        <w:rFonts w:ascii="Arial MT"/>
                        <w:color w:val="7F7F7F"/>
                      </w:rPr>
                      <w:t>Section</w:t>
                    </w:r>
                    <w:r>
                      <w:rPr>
                        <w:rFonts w:ascii="Arial MT"/>
                        <w:color w:val="7F7F7F"/>
                        <w:spacing w:val="-6"/>
                      </w:rPr>
                      <w:t> </w:t>
                    </w:r>
                    <w:r>
                      <w:rPr>
                        <w:rFonts w:ascii="Arial MT"/>
                        <w:color w:val="7F7F7F"/>
                      </w:rPr>
                      <w:t>XIII:</w:t>
                    </w:r>
                    <w:r>
                      <w:rPr>
                        <w:rFonts w:ascii="Arial MT"/>
                        <w:color w:val="7F7F7F"/>
                        <w:spacing w:val="-5"/>
                      </w:rPr>
                      <w:t> </w:t>
                    </w:r>
                    <w:r>
                      <w:rPr>
                        <w:rFonts w:ascii="Arial MT"/>
                        <w:color w:val="7F7F7F"/>
                      </w:rPr>
                      <w:t>Governance</w:t>
                    </w:r>
                    <w:r>
                      <w:rPr>
                        <w:rFonts w:ascii="Arial MT"/>
                        <w:color w:val="7F7F7F"/>
                        <w:spacing w:val="-5"/>
                      </w:rPr>
                      <w:t> </w:t>
                    </w:r>
                    <w:r>
                      <w:rPr>
                        <w:rFonts w:ascii="Arial MT"/>
                        <w:color w:val="7F7F7F"/>
                      </w:rPr>
                      <w:t>and</w:t>
                    </w:r>
                    <w:r>
                      <w:rPr>
                        <w:rFonts w:ascii="Arial MT"/>
                        <w:color w:val="7F7F7F"/>
                        <w:spacing w:val="-5"/>
                      </w:rPr>
                      <w:t> </w:t>
                    </w:r>
                    <w:r>
                      <w:rPr>
                        <w:rFonts w:ascii="Arial MT"/>
                        <w:color w:val="7F7F7F"/>
                        <w:spacing w:val="-2"/>
                      </w:rPr>
                      <w:t>Controls</w:t>
                    </w:r>
                  </w:p>
                </w:txbxContent>
              </v:textbox>
              <w10:wrap type="none"/>
            </v:shape>
          </w:pict>
        </mc:Fallback>
      </mc:AlternateContent>
    </w:r>
    <w:r>
      <w:rPr/>
      <mc:AlternateContent>
        <mc:Choice Requires="wps">
          <w:drawing>
            <wp:anchor distT="0" distB="0" distL="0" distR="0" allowOverlap="1" layoutInCell="1" locked="0" behindDoc="1" simplePos="0" relativeHeight="470580736">
              <wp:simplePos x="0" y="0"/>
              <wp:positionH relativeFrom="page">
                <wp:posOffset>970280</wp:posOffset>
              </wp:positionH>
              <wp:positionV relativeFrom="page">
                <wp:posOffset>483520</wp:posOffset>
              </wp:positionV>
              <wp:extent cx="2198370" cy="15367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35744" type="#_x0000_t202" id="docshape499"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3296">
              <wp:simplePos x="0" y="0"/>
              <wp:positionH relativeFrom="page">
                <wp:posOffset>914400</wp:posOffset>
              </wp:positionH>
              <wp:positionV relativeFrom="page">
                <wp:posOffset>472440</wp:posOffset>
              </wp:positionV>
              <wp:extent cx="5943600" cy="18415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5943600" cy="184150"/>
                        <a:chExt cx="5943600" cy="184150"/>
                      </a:xfrm>
                    </wpg:grpSpPr>
                    <wps:wsp>
                      <wps:cNvPr id="599" name="Graphic 599"/>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600" name="Graphic 600"/>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33184" id="docshapegroup504" coordorigin="1440,744" coordsize="9360,290">
              <v:rect style="position:absolute;left:1440;top:744;width:3960;height:285" id="docshape505"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83808">
              <wp:simplePos x="0" y="0"/>
              <wp:positionH relativeFrom="page">
                <wp:posOffset>3484879</wp:posOffset>
              </wp:positionH>
              <wp:positionV relativeFrom="page">
                <wp:posOffset>475326</wp:posOffset>
              </wp:positionV>
              <wp:extent cx="554990" cy="16764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554990" cy="167640"/>
                      </a:xfrm>
                      <a:prstGeom prst="rect">
                        <a:avLst/>
                      </a:prstGeom>
                    </wps:spPr>
                    <wps:txbx>
                      <w:txbxContent>
                        <w:p>
                          <w:pPr>
                            <w:pStyle w:val="BodyText"/>
                            <w:spacing w:before="13"/>
                            <w:ind w:left="20"/>
                            <w:rPr>
                              <w:rFonts w:ascii="Arial MT"/>
                            </w:rPr>
                          </w:pPr>
                          <w:r>
                            <w:rPr>
                              <w:rFonts w:ascii="Arial MT"/>
                              <w:color w:val="7F7F7F"/>
                              <w:spacing w:val="-2"/>
                            </w:rPr>
                            <w:t>Appendix</w:t>
                          </w:r>
                        </w:p>
                      </w:txbxContent>
                    </wps:txbx>
                    <wps:bodyPr wrap="square" lIns="0" tIns="0" rIns="0" bIns="0" rtlCol="0">
                      <a:noAutofit/>
                    </wps:bodyPr>
                  </wps:wsp>
                </a:graphicData>
              </a:graphic>
            </wp:anchor>
          </w:drawing>
        </mc:Choice>
        <mc:Fallback>
          <w:pict>
            <v:shape style="position:absolute;margin-left:274.399994pt;margin-top:37.427246pt;width:43.7pt;height:13.2pt;mso-position-horizontal-relative:page;mso-position-vertical-relative:page;z-index:-32732672" type="#_x0000_t202" id="docshape506" filled="false" stroked="false">
              <v:textbox inset="0,0,0,0">
                <w:txbxContent>
                  <w:p>
                    <w:pPr>
                      <w:pStyle w:val="BodyText"/>
                      <w:spacing w:before="13"/>
                      <w:ind w:left="20"/>
                      <w:rPr>
                        <w:rFonts w:ascii="Arial MT"/>
                      </w:rPr>
                    </w:pPr>
                    <w:r>
                      <w:rPr>
                        <w:rFonts w:ascii="Arial MT"/>
                        <w:color w:val="7F7F7F"/>
                        <w:spacing w:val="-2"/>
                      </w:rPr>
                      <w:t>Appendix</w:t>
                    </w:r>
                  </w:p>
                </w:txbxContent>
              </v:textbox>
              <w10:wrap type="none"/>
            </v:shape>
          </w:pict>
        </mc:Fallback>
      </mc:AlternateContent>
    </w:r>
    <w:r>
      <w:rPr/>
      <mc:AlternateContent>
        <mc:Choice Requires="wps">
          <w:drawing>
            <wp:anchor distT="0" distB="0" distL="0" distR="0" allowOverlap="1" layoutInCell="1" locked="0" behindDoc="1" simplePos="0" relativeHeight="470584320">
              <wp:simplePos x="0" y="0"/>
              <wp:positionH relativeFrom="page">
                <wp:posOffset>970280</wp:posOffset>
              </wp:positionH>
              <wp:positionV relativeFrom="page">
                <wp:posOffset>483520</wp:posOffset>
              </wp:positionV>
              <wp:extent cx="2198370" cy="15367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32160" type="#_x0000_t202" id="docshape507"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84832">
              <wp:simplePos x="0" y="0"/>
              <wp:positionH relativeFrom="page">
                <wp:posOffset>914400</wp:posOffset>
              </wp:positionH>
              <wp:positionV relativeFrom="page">
                <wp:posOffset>472440</wp:posOffset>
              </wp:positionV>
              <wp:extent cx="5943600" cy="184150"/>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5943600" cy="184150"/>
                        <a:chExt cx="5943600" cy="184150"/>
                      </a:xfrm>
                    </wpg:grpSpPr>
                    <wps:wsp>
                      <wps:cNvPr id="604" name="Graphic 604"/>
                      <wps:cNvSpPr/>
                      <wps:spPr>
                        <a:xfrm>
                          <a:off x="0" y="0"/>
                          <a:ext cx="2514600" cy="180975"/>
                        </a:xfrm>
                        <a:custGeom>
                          <a:avLst/>
                          <a:gdLst/>
                          <a:ahLst/>
                          <a:cxnLst/>
                          <a:rect l="l" t="t" r="r" b="b"/>
                          <a:pathLst>
                            <a:path w="2514600" h="180975">
                              <a:moveTo>
                                <a:pt x="2514600" y="0"/>
                              </a:moveTo>
                              <a:lnTo>
                                <a:pt x="0" y="0"/>
                              </a:lnTo>
                              <a:lnTo>
                                <a:pt x="0" y="180975"/>
                              </a:lnTo>
                              <a:lnTo>
                                <a:pt x="2514600" y="180975"/>
                              </a:lnTo>
                              <a:lnTo>
                                <a:pt x="2514600" y="0"/>
                              </a:lnTo>
                              <a:close/>
                            </a:path>
                          </a:pathLst>
                        </a:custGeom>
                        <a:solidFill>
                          <a:srgbClr val="BFBFBF"/>
                        </a:solidFill>
                      </wps:spPr>
                      <wps:bodyPr wrap="square" lIns="0" tIns="0" rIns="0" bIns="0" rtlCol="0">
                        <a:prstTxWarp prst="textNoShape">
                          <a:avLst/>
                        </a:prstTxWarp>
                        <a:noAutofit/>
                      </wps:bodyPr>
                    </wps:wsp>
                    <wps:wsp>
                      <wps:cNvPr id="605" name="Graphic 605"/>
                      <wps:cNvSpPr/>
                      <wps:spPr>
                        <a:xfrm>
                          <a:off x="0" y="180975"/>
                          <a:ext cx="5943600" cy="1270"/>
                        </a:xfrm>
                        <a:custGeom>
                          <a:avLst/>
                          <a:gdLst/>
                          <a:ahLst/>
                          <a:cxnLst/>
                          <a:rect l="l" t="t" r="r" b="b"/>
                          <a:pathLst>
                            <a:path w="5943600" h="0">
                              <a:moveTo>
                                <a:pt x="0" y="0"/>
                              </a:moveTo>
                              <a:lnTo>
                                <a:pt x="5943600" y="0"/>
                              </a:lnTo>
                            </a:path>
                          </a:pathLst>
                        </a:custGeom>
                        <a:ln w="6350">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37.200008pt;width:468pt;height:14.5pt;mso-position-horizontal-relative:page;mso-position-vertical-relative:page;z-index:-32731648" id="docshapegroup508" coordorigin="1440,744" coordsize="9360,290">
              <v:rect style="position:absolute;left:1440;top:744;width:3960;height:285" id="docshape509" filled="true" fillcolor="#bfbfbf" stroked="false">
                <v:fill type="solid"/>
              </v:rect>
              <v:line style="position:absolute" from="1440,1029" to="10800,1029" stroked="true" strokeweight=".5pt" strokecolor="#7f7f7f">
                <v:stroke dashstyle="solid"/>
              </v:line>
              <w10:wrap type="none"/>
            </v:group>
          </w:pict>
        </mc:Fallback>
      </mc:AlternateContent>
    </w:r>
    <w:r>
      <w:rPr/>
      <mc:AlternateContent>
        <mc:Choice Requires="wps">
          <w:drawing>
            <wp:anchor distT="0" distB="0" distL="0" distR="0" allowOverlap="1" layoutInCell="1" locked="0" behindDoc="1" simplePos="0" relativeHeight="470585344">
              <wp:simplePos x="0" y="0"/>
              <wp:positionH relativeFrom="page">
                <wp:posOffset>3484879</wp:posOffset>
              </wp:positionH>
              <wp:positionV relativeFrom="page">
                <wp:posOffset>475326</wp:posOffset>
              </wp:positionV>
              <wp:extent cx="554990" cy="16764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554990" cy="167640"/>
                      </a:xfrm>
                      <a:prstGeom prst="rect">
                        <a:avLst/>
                      </a:prstGeom>
                    </wps:spPr>
                    <wps:txbx>
                      <w:txbxContent>
                        <w:p>
                          <w:pPr>
                            <w:pStyle w:val="BodyText"/>
                            <w:spacing w:before="13"/>
                            <w:ind w:left="20"/>
                            <w:rPr>
                              <w:rFonts w:ascii="Arial MT"/>
                            </w:rPr>
                          </w:pPr>
                          <w:r>
                            <w:rPr>
                              <w:rFonts w:ascii="Arial MT"/>
                              <w:color w:val="7F7F7F"/>
                              <w:spacing w:val="-2"/>
                            </w:rPr>
                            <w:t>Appendix</w:t>
                          </w:r>
                        </w:p>
                      </w:txbxContent>
                    </wps:txbx>
                    <wps:bodyPr wrap="square" lIns="0" tIns="0" rIns="0" bIns="0" rtlCol="0">
                      <a:noAutofit/>
                    </wps:bodyPr>
                  </wps:wsp>
                </a:graphicData>
              </a:graphic>
            </wp:anchor>
          </w:drawing>
        </mc:Choice>
        <mc:Fallback>
          <w:pict>
            <v:shape style="position:absolute;margin-left:274.399994pt;margin-top:37.427246pt;width:43.7pt;height:13.2pt;mso-position-horizontal-relative:page;mso-position-vertical-relative:page;z-index:-32731136" type="#_x0000_t202" id="docshape510" filled="false" stroked="false">
              <v:textbox inset="0,0,0,0">
                <w:txbxContent>
                  <w:p>
                    <w:pPr>
                      <w:pStyle w:val="BodyText"/>
                      <w:spacing w:before="13"/>
                      <w:ind w:left="20"/>
                      <w:rPr>
                        <w:rFonts w:ascii="Arial MT"/>
                      </w:rPr>
                    </w:pPr>
                    <w:r>
                      <w:rPr>
                        <w:rFonts w:ascii="Arial MT"/>
                        <w:color w:val="7F7F7F"/>
                        <w:spacing w:val="-2"/>
                      </w:rPr>
                      <w:t>Appendix</w:t>
                    </w:r>
                  </w:p>
                </w:txbxContent>
              </v:textbox>
              <w10:wrap type="none"/>
            </v:shape>
          </w:pict>
        </mc:Fallback>
      </mc:AlternateContent>
    </w:r>
    <w:r>
      <w:rPr/>
      <mc:AlternateContent>
        <mc:Choice Requires="wps">
          <w:drawing>
            <wp:anchor distT="0" distB="0" distL="0" distR="0" allowOverlap="1" layoutInCell="1" locked="0" behindDoc="1" simplePos="0" relativeHeight="470585856">
              <wp:simplePos x="0" y="0"/>
              <wp:positionH relativeFrom="page">
                <wp:posOffset>970280</wp:posOffset>
              </wp:positionH>
              <wp:positionV relativeFrom="page">
                <wp:posOffset>483520</wp:posOffset>
              </wp:positionV>
              <wp:extent cx="2198370" cy="15367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198370" cy="153670"/>
                      </a:xfrm>
                      <a:prstGeom prst="rect">
                        <a:avLst/>
                      </a:prstGeom>
                    </wps:spPr>
                    <wps:txbx>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wps:txbx>
                    <wps:bodyPr wrap="square" lIns="0" tIns="0" rIns="0" bIns="0" rtlCol="0">
                      <a:noAutofit/>
                    </wps:bodyPr>
                  </wps:wsp>
                </a:graphicData>
              </a:graphic>
            </wp:anchor>
          </w:drawing>
        </mc:Choice>
        <mc:Fallback>
          <w:pict>
            <v:shape style="position:absolute;margin-left:76.400002pt;margin-top:38.07251pt;width:173.1pt;height:12.1pt;mso-position-horizontal-relative:page;mso-position-vertical-relative:page;z-index:-32730624" type="#_x0000_t202" id="docshape511" filled="false" stroked="false">
              <v:textbox inset="0,0,0,0">
                <w:txbxContent>
                  <w:p>
                    <w:pPr>
                      <w:spacing w:before="14"/>
                      <w:ind w:left="20" w:right="0" w:firstLine="0"/>
                      <w:jc w:val="left"/>
                      <w:rPr>
                        <w:rFonts w:ascii="Arial" w:hAnsi="Arial"/>
                        <w:b/>
                        <w:sz w:val="18"/>
                      </w:rPr>
                    </w:pPr>
                    <w:r>
                      <w:rPr>
                        <w:rFonts w:ascii="Arial" w:hAnsi="Arial"/>
                        <w:b/>
                        <w:color w:val="FFFFFF"/>
                        <w:sz w:val="18"/>
                      </w:rPr>
                      <w:t>Management’s</w:t>
                    </w:r>
                    <w:r>
                      <w:rPr>
                        <w:rFonts w:ascii="Arial" w:hAnsi="Arial"/>
                        <w:b/>
                        <w:color w:val="FFFFFF"/>
                        <w:spacing w:val="-4"/>
                        <w:sz w:val="18"/>
                      </w:rPr>
                      <w:t> </w:t>
                    </w:r>
                    <w:r>
                      <w:rPr>
                        <w:rFonts w:ascii="Arial" w:hAnsi="Arial"/>
                        <w:b/>
                        <w:color w:val="FFFFFF"/>
                        <w:sz w:val="18"/>
                      </w:rPr>
                      <w:t>Discussion</w:t>
                    </w:r>
                    <w:r>
                      <w:rPr>
                        <w:rFonts w:ascii="Arial" w:hAnsi="Arial"/>
                        <w:b/>
                        <w:color w:val="FFFFFF"/>
                        <w:spacing w:val="-4"/>
                        <w:sz w:val="18"/>
                      </w:rPr>
                      <w:t> </w:t>
                    </w:r>
                    <w:r>
                      <w:rPr>
                        <w:rFonts w:ascii="Arial" w:hAnsi="Arial"/>
                        <w:b/>
                        <w:color w:val="FFFFFF"/>
                        <w:sz w:val="18"/>
                      </w:rPr>
                      <w:t>and</w:t>
                    </w:r>
                    <w:r>
                      <w:rPr>
                        <w:rFonts w:ascii="Arial" w:hAnsi="Arial"/>
                        <w:b/>
                        <w:color w:val="FFFFFF"/>
                        <w:spacing w:val="-3"/>
                        <w:sz w:val="18"/>
                      </w:rPr>
                      <w:t> </w:t>
                    </w:r>
                    <w:r>
                      <w:rPr>
                        <w:rFonts w:ascii="Arial" w:hAnsi="Arial"/>
                        <w:b/>
                        <w:color w:val="FFFFFF"/>
                        <w:spacing w:val="-2"/>
                        <w:sz w:val="18"/>
                      </w:rPr>
                      <w:t>Analysis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4560">
              <wp:simplePos x="0" y="0"/>
              <wp:positionH relativeFrom="page">
                <wp:posOffset>901700</wp:posOffset>
              </wp:positionH>
              <wp:positionV relativeFrom="page">
                <wp:posOffset>412955</wp:posOffset>
              </wp:positionV>
              <wp:extent cx="2322830" cy="224154"/>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2322830" cy="224154"/>
                      </a:xfrm>
                      <a:prstGeom prst="rect">
                        <a:avLst/>
                      </a:prstGeom>
                    </wps:spPr>
                    <wps:txbx>
                      <w:txbxContent>
                        <w:p>
                          <w:pPr>
                            <w:spacing w:before="11"/>
                            <w:ind w:left="20" w:right="0" w:firstLine="0"/>
                            <w:jc w:val="left"/>
                            <w:rPr>
                              <w:rFonts w:ascii="Arial MT"/>
                              <w:sz w:val="28"/>
                            </w:rPr>
                          </w:pPr>
                          <w:r>
                            <w:rPr>
                              <w:rFonts w:ascii="Arial MT"/>
                              <w:sz w:val="28"/>
                            </w:rPr>
                            <w:t>Independent</w:t>
                          </w:r>
                          <w:r>
                            <w:rPr>
                              <w:rFonts w:ascii="Arial MT"/>
                              <w:spacing w:val="-20"/>
                              <w:sz w:val="28"/>
                            </w:rPr>
                            <w:t> </w:t>
                          </w:r>
                          <w:r>
                            <w:rPr>
                              <w:rFonts w:ascii="Arial MT"/>
                              <w:sz w:val="28"/>
                            </w:rPr>
                            <w:t>Auditor's</w:t>
                          </w:r>
                          <w:r>
                            <w:rPr>
                              <w:rFonts w:ascii="Arial MT"/>
                              <w:spacing w:val="-9"/>
                              <w:sz w:val="28"/>
                            </w:rPr>
                            <w:t> </w:t>
                          </w:r>
                          <w:r>
                            <w:rPr>
                              <w:rFonts w:ascii="Arial MT"/>
                              <w:spacing w:val="-2"/>
                              <w:sz w:val="28"/>
                            </w:rPr>
                            <w:t>Report</w:t>
                          </w:r>
                        </w:p>
                      </w:txbxContent>
                    </wps:txbx>
                    <wps:bodyPr wrap="square" lIns="0" tIns="0" rIns="0" bIns="0" rtlCol="0">
                      <a:noAutofit/>
                    </wps:bodyPr>
                  </wps:wsp>
                </a:graphicData>
              </a:graphic>
            </wp:anchor>
          </w:drawing>
        </mc:Choice>
        <mc:Fallback>
          <w:pict>
            <v:shape style="position:absolute;margin-left:71pt;margin-top:32.516171pt;width:182.9pt;height:17.650pt;mso-position-horizontal-relative:page;mso-position-vertical-relative:page;z-index:-32721920" type="#_x0000_t202" id="docshape529" filled="false" stroked="false">
              <v:textbox inset="0,0,0,0">
                <w:txbxContent>
                  <w:p>
                    <w:pPr>
                      <w:spacing w:before="11"/>
                      <w:ind w:left="20" w:right="0" w:firstLine="0"/>
                      <w:jc w:val="left"/>
                      <w:rPr>
                        <w:rFonts w:ascii="Arial MT"/>
                        <w:sz w:val="28"/>
                      </w:rPr>
                    </w:pPr>
                    <w:r>
                      <w:rPr>
                        <w:rFonts w:ascii="Arial MT"/>
                        <w:sz w:val="28"/>
                      </w:rPr>
                      <w:t>Independent</w:t>
                    </w:r>
                    <w:r>
                      <w:rPr>
                        <w:rFonts w:ascii="Arial MT"/>
                        <w:spacing w:val="-20"/>
                        <w:sz w:val="28"/>
                      </w:rPr>
                      <w:t> </w:t>
                    </w:r>
                    <w:r>
                      <w:rPr>
                        <w:rFonts w:ascii="Arial MT"/>
                        <w:sz w:val="28"/>
                      </w:rPr>
                      <w:t>Auditor's</w:t>
                    </w:r>
                    <w:r>
                      <w:rPr>
                        <w:rFonts w:ascii="Arial MT"/>
                        <w:spacing w:val="-9"/>
                        <w:sz w:val="28"/>
                      </w:rPr>
                      <w:t> </w:t>
                    </w:r>
                    <w:r>
                      <w:rPr>
                        <w:rFonts w:ascii="Arial MT"/>
                        <w:spacing w:val="-2"/>
                        <w:sz w:val="28"/>
                      </w:rPr>
                      <w:t>Report</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5072">
              <wp:simplePos x="0" y="0"/>
              <wp:positionH relativeFrom="page">
                <wp:posOffset>901700</wp:posOffset>
              </wp:positionH>
              <wp:positionV relativeFrom="page">
                <wp:posOffset>412955</wp:posOffset>
              </wp:positionV>
              <wp:extent cx="2322830" cy="224154"/>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322830" cy="224154"/>
                      </a:xfrm>
                      <a:prstGeom prst="rect">
                        <a:avLst/>
                      </a:prstGeom>
                    </wps:spPr>
                    <wps:txbx>
                      <w:txbxContent>
                        <w:p>
                          <w:pPr>
                            <w:spacing w:before="11"/>
                            <w:ind w:left="20" w:right="0" w:firstLine="0"/>
                            <w:jc w:val="left"/>
                            <w:rPr>
                              <w:rFonts w:ascii="Arial MT"/>
                              <w:sz w:val="28"/>
                            </w:rPr>
                          </w:pPr>
                          <w:r>
                            <w:rPr>
                              <w:rFonts w:ascii="Arial MT"/>
                              <w:sz w:val="28"/>
                            </w:rPr>
                            <w:t>Independent</w:t>
                          </w:r>
                          <w:r>
                            <w:rPr>
                              <w:rFonts w:ascii="Arial MT"/>
                              <w:spacing w:val="-20"/>
                              <w:sz w:val="28"/>
                            </w:rPr>
                            <w:t> </w:t>
                          </w:r>
                          <w:r>
                            <w:rPr>
                              <w:rFonts w:ascii="Arial MT"/>
                              <w:sz w:val="28"/>
                            </w:rPr>
                            <w:t>Auditor's</w:t>
                          </w:r>
                          <w:r>
                            <w:rPr>
                              <w:rFonts w:ascii="Arial MT"/>
                              <w:spacing w:val="-9"/>
                              <w:sz w:val="28"/>
                            </w:rPr>
                            <w:t> </w:t>
                          </w:r>
                          <w:r>
                            <w:rPr>
                              <w:rFonts w:ascii="Arial MT"/>
                              <w:spacing w:val="-2"/>
                              <w:sz w:val="28"/>
                            </w:rPr>
                            <w:t>Report</w:t>
                          </w:r>
                        </w:p>
                      </w:txbxContent>
                    </wps:txbx>
                    <wps:bodyPr wrap="square" lIns="0" tIns="0" rIns="0" bIns="0" rtlCol="0">
                      <a:noAutofit/>
                    </wps:bodyPr>
                  </wps:wsp>
                </a:graphicData>
              </a:graphic>
            </wp:anchor>
          </w:drawing>
        </mc:Choice>
        <mc:Fallback>
          <w:pict>
            <v:shape style="position:absolute;margin-left:71pt;margin-top:32.516171pt;width:182.9pt;height:17.650pt;mso-position-horizontal-relative:page;mso-position-vertical-relative:page;z-index:-32721408" type="#_x0000_t202" id="docshape530" filled="false" stroked="false">
              <v:textbox inset="0,0,0,0">
                <w:txbxContent>
                  <w:p>
                    <w:pPr>
                      <w:spacing w:before="11"/>
                      <w:ind w:left="20" w:right="0" w:firstLine="0"/>
                      <w:jc w:val="left"/>
                      <w:rPr>
                        <w:rFonts w:ascii="Arial MT"/>
                        <w:sz w:val="28"/>
                      </w:rPr>
                    </w:pPr>
                    <w:r>
                      <w:rPr>
                        <w:rFonts w:ascii="Arial MT"/>
                        <w:sz w:val="28"/>
                      </w:rPr>
                      <w:t>Independent</w:t>
                    </w:r>
                    <w:r>
                      <w:rPr>
                        <w:rFonts w:ascii="Arial MT"/>
                        <w:spacing w:val="-20"/>
                        <w:sz w:val="28"/>
                      </w:rPr>
                      <w:t> </w:t>
                    </w:r>
                    <w:r>
                      <w:rPr>
                        <w:rFonts w:ascii="Arial MT"/>
                        <w:sz w:val="28"/>
                      </w:rPr>
                      <w:t>Auditor's</w:t>
                    </w:r>
                    <w:r>
                      <w:rPr>
                        <w:rFonts w:ascii="Arial MT"/>
                        <w:spacing w:val="-9"/>
                        <w:sz w:val="28"/>
                      </w:rPr>
                      <w:t> </w:t>
                    </w:r>
                    <w:r>
                      <w:rPr>
                        <w:rFonts w:ascii="Arial MT"/>
                        <w:spacing w:val="-2"/>
                        <w:sz w:val="28"/>
                      </w:rPr>
                      <w:t>Report</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599680">
              <wp:simplePos x="0" y="0"/>
              <wp:positionH relativeFrom="page">
                <wp:posOffset>901700</wp:posOffset>
              </wp:positionH>
              <wp:positionV relativeFrom="page">
                <wp:posOffset>641555</wp:posOffset>
              </wp:positionV>
              <wp:extent cx="4287520" cy="38989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4287520" cy="389890"/>
                      </a:xfrm>
                      <a:prstGeom prst="rect">
                        <a:avLst/>
                      </a:prstGeom>
                    </wps:spPr>
                    <wps:txbx>
                      <w:txbxContent>
                        <w:p>
                          <w:pPr>
                            <w:spacing w:before="11"/>
                            <w:ind w:left="20" w:right="0" w:firstLine="0"/>
                            <w:jc w:val="left"/>
                            <w:rPr>
                              <w:rFonts w:ascii="Arial MT"/>
                              <w:sz w:val="28"/>
                            </w:rPr>
                          </w:pPr>
                          <w:r>
                            <w:rPr>
                              <w:rFonts w:ascii="Arial MT"/>
                              <w:spacing w:val="-2"/>
                              <w:sz w:val="28"/>
                            </w:rPr>
                            <w:t>STATEMENTS</w:t>
                          </w:r>
                          <w:r>
                            <w:rPr>
                              <w:rFonts w:ascii="Arial MT"/>
                              <w:spacing w:val="-10"/>
                              <w:sz w:val="28"/>
                            </w:rPr>
                            <w:t> </w:t>
                          </w:r>
                          <w:r>
                            <w:rPr>
                              <w:rFonts w:ascii="Arial MT"/>
                              <w:spacing w:val="-2"/>
                              <w:sz w:val="28"/>
                            </w:rPr>
                            <w:t>OF</w:t>
                          </w:r>
                          <w:r>
                            <w:rPr>
                              <w:rFonts w:ascii="Arial MT"/>
                              <w:spacing w:val="-9"/>
                              <w:sz w:val="28"/>
                            </w:rPr>
                            <w:t> </w:t>
                          </w:r>
                          <w:r>
                            <w:rPr>
                              <w:rFonts w:ascii="Arial MT"/>
                              <w:spacing w:val="-2"/>
                              <w:sz w:val="28"/>
                            </w:rPr>
                            <w:t>INCOME</w:t>
                          </w:r>
                        </w:p>
                        <w:p>
                          <w:pPr>
                            <w:spacing w:before="30"/>
                            <w:ind w:left="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txbxContent>
                    </wps:txbx>
                    <wps:bodyPr wrap="square" lIns="0" tIns="0" rIns="0" bIns="0" rtlCol="0">
                      <a:noAutofit/>
                    </wps:bodyPr>
                  </wps:wsp>
                </a:graphicData>
              </a:graphic>
            </wp:anchor>
          </w:drawing>
        </mc:Choice>
        <mc:Fallback>
          <w:pict>
            <v:shape style="position:absolute;margin-left:71pt;margin-top:50.516171pt;width:337.6pt;height:30.7pt;mso-position-horizontal-relative:page;mso-position-vertical-relative:page;z-index:-32716800" type="#_x0000_t202" id="docshape539" filled="false" stroked="false">
              <v:textbox inset="0,0,0,0">
                <w:txbxContent>
                  <w:p>
                    <w:pPr>
                      <w:spacing w:before="11"/>
                      <w:ind w:left="20" w:right="0" w:firstLine="0"/>
                      <w:jc w:val="left"/>
                      <w:rPr>
                        <w:rFonts w:ascii="Arial MT"/>
                        <w:sz w:val="28"/>
                      </w:rPr>
                    </w:pPr>
                    <w:r>
                      <w:rPr>
                        <w:rFonts w:ascii="Arial MT"/>
                        <w:spacing w:val="-2"/>
                        <w:sz w:val="28"/>
                      </w:rPr>
                      <w:t>STATEMENTS</w:t>
                    </w:r>
                    <w:r>
                      <w:rPr>
                        <w:rFonts w:ascii="Arial MT"/>
                        <w:spacing w:val="-10"/>
                        <w:sz w:val="28"/>
                      </w:rPr>
                      <w:t> </w:t>
                    </w:r>
                    <w:r>
                      <w:rPr>
                        <w:rFonts w:ascii="Arial MT"/>
                        <w:spacing w:val="-2"/>
                        <w:sz w:val="28"/>
                      </w:rPr>
                      <w:t>OF</w:t>
                    </w:r>
                    <w:r>
                      <w:rPr>
                        <w:rFonts w:ascii="Arial MT"/>
                        <w:spacing w:val="-9"/>
                        <w:sz w:val="28"/>
                      </w:rPr>
                      <w:t> </w:t>
                    </w:r>
                    <w:r>
                      <w:rPr>
                        <w:rFonts w:ascii="Arial MT"/>
                        <w:spacing w:val="-2"/>
                        <w:sz w:val="28"/>
                      </w:rPr>
                      <w:t>INCOME</w:t>
                    </w:r>
                  </w:p>
                  <w:p>
                    <w:pPr>
                      <w:spacing w:before="30"/>
                      <w:ind w:left="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txbxContent>
              </v:textbox>
              <w10:wrap type="none"/>
            </v:shape>
          </w:pict>
        </mc:Fallback>
      </mc:AlternateContent>
    </w:r>
    <w:r>
      <w:rPr/>
      <mc:AlternateContent>
        <mc:Choice Requires="wps">
          <w:drawing>
            <wp:anchor distT="0" distB="0" distL="0" distR="0" allowOverlap="1" layoutInCell="1" locked="0" behindDoc="1" simplePos="0" relativeHeight="470600192">
              <wp:simplePos x="0" y="0"/>
              <wp:positionH relativeFrom="page">
                <wp:posOffset>901700</wp:posOffset>
              </wp:positionH>
              <wp:positionV relativeFrom="page">
                <wp:posOffset>1219546</wp:posOffset>
              </wp:positionV>
              <wp:extent cx="2049780" cy="16764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049780" cy="167640"/>
                      </a:xfrm>
                      <a:prstGeom prst="rect">
                        <a:avLst/>
                      </a:prstGeom>
                    </wps:spPr>
                    <wps:txbx>
                      <w:txbxContent>
                        <w:p>
                          <w:pPr>
                            <w:spacing w:before="13"/>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96.027283pt;width:161.4pt;height:13.2pt;mso-position-horizontal-relative:page;mso-position-vertical-relative:page;z-index:-32716288" type="#_x0000_t202" id="docshape540" filled="false" stroked="false">
              <v:textbox inset="0,0,0,0">
                <w:txbxContent>
                  <w:p>
                    <w:pPr>
                      <w:spacing w:before="13"/>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2752">
              <wp:simplePos x="0" y="0"/>
              <wp:positionH relativeFrom="page">
                <wp:posOffset>901700</wp:posOffset>
              </wp:positionH>
              <wp:positionV relativeFrom="page">
                <wp:posOffset>641555</wp:posOffset>
              </wp:positionV>
              <wp:extent cx="4287520" cy="38989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4287520" cy="389890"/>
                      </a:xfrm>
                      <a:prstGeom prst="rect">
                        <a:avLst/>
                      </a:prstGeom>
                    </wps:spPr>
                    <wps:txbx>
                      <w:txbxContent>
                        <w:p>
                          <w:pPr>
                            <w:spacing w:before="11"/>
                            <w:ind w:left="20" w:right="0" w:firstLine="0"/>
                            <w:jc w:val="left"/>
                            <w:rPr>
                              <w:rFonts w:ascii="Arial MT"/>
                              <w:sz w:val="28"/>
                            </w:rPr>
                          </w:pPr>
                          <w:r>
                            <w:rPr>
                              <w:rFonts w:ascii="Arial MT"/>
                              <w:sz w:val="28"/>
                            </w:rPr>
                            <w:t>STATEMENTS</w:t>
                          </w:r>
                          <w:r>
                            <w:rPr>
                              <w:rFonts w:ascii="Arial MT"/>
                              <w:spacing w:val="-15"/>
                              <w:sz w:val="28"/>
                            </w:rPr>
                            <w:t> </w:t>
                          </w:r>
                          <w:r>
                            <w:rPr>
                              <w:rFonts w:ascii="Arial MT"/>
                              <w:sz w:val="28"/>
                            </w:rPr>
                            <w:t>OF</w:t>
                          </w:r>
                          <w:r>
                            <w:rPr>
                              <w:rFonts w:ascii="Arial MT"/>
                              <w:spacing w:val="-15"/>
                              <w:sz w:val="28"/>
                            </w:rPr>
                            <w:t> </w:t>
                          </w:r>
                          <w:r>
                            <w:rPr>
                              <w:rFonts w:ascii="Arial MT"/>
                              <w:sz w:val="28"/>
                            </w:rPr>
                            <w:t>CASH</w:t>
                          </w:r>
                          <w:r>
                            <w:rPr>
                              <w:rFonts w:ascii="Arial MT"/>
                              <w:spacing w:val="-14"/>
                              <w:sz w:val="28"/>
                            </w:rPr>
                            <w:t> </w:t>
                          </w:r>
                          <w:r>
                            <w:rPr>
                              <w:rFonts w:ascii="Arial MT"/>
                              <w:spacing w:val="-4"/>
                              <w:sz w:val="28"/>
                            </w:rPr>
                            <w:t>FLOWS</w:t>
                          </w:r>
                        </w:p>
                        <w:p>
                          <w:pPr>
                            <w:spacing w:before="30"/>
                            <w:ind w:left="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txbxContent>
                    </wps:txbx>
                    <wps:bodyPr wrap="square" lIns="0" tIns="0" rIns="0" bIns="0" rtlCol="0">
                      <a:noAutofit/>
                    </wps:bodyPr>
                  </wps:wsp>
                </a:graphicData>
              </a:graphic>
            </wp:anchor>
          </w:drawing>
        </mc:Choice>
        <mc:Fallback>
          <w:pict>
            <v:shape style="position:absolute;margin-left:71pt;margin-top:50.516171pt;width:337.6pt;height:30.7pt;mso-position-horizontal-relative:page;mso-position-vertical-relative:page;z-index:-32713728" type="#_x0000_t202" id="docshape552" filled="false" stroked="false">
              <v:textbox inset="0,0,0,0">
                <w:txbxContent>
                  <w:p>
                    <w:pPr>
                      <w:spacing w:before="11"/>
                      <w:ind w:left="20" w:right="0" w:firstLine="0"/>
                      <w:jc w:val="left"/>
                      <w:rPr>
                        <w:rFonts w:ascii="Arial MT"/>
                        <w:sz w:val="28"/>
                      </w:rPr>
                    </w:pPr>
                    <w:r>
                      <w:rPr>
                        <w:rFonts w:ascii="Arial MT"/>
                        <w:sz w:val="28"/>
                      </w:rPr>
                      <w:t>STATEMENTS</w:t>
                    </w:r>
                    <w:r>
                      <w:rPr>
                        <w:rFonts w:ascii="Arial MT"/>
                        <w:spacing w:val="-15"/>
                        <w:sz w:val="28"/>
                      </w:rPr>
                      <w:t> </w:t>
                    </w:r>
                    <w:r>
                      <w:rPr>
                        <w:rFonts w:ascii="Arial MT"/>
                        <w:sz w:val="28"/>
                      </w:rPr>
                      <w:t>OF</w:t>
                    </w:r>
                    <w:r>
                      <w:rPr>
                        <w:rFonts w:ascii="Arial MT"/>
                        <w:spacing w:val="-15"/>
                        <w:sz w:val="28"/>
                      </w:rPr>
                      <w:t> </w:t>
                    </w:r>
                    <w:r>
                      <w:rPr>
                        <w:rFonts w:ascii="Arial MT"/>
                        <w:sz w:val="28"/>
                      </w:rPr>
                      <w:t>CASH</w:t>
                    </w:r>
                    <w:r>
                      <w:rPr>
                        <w:rFonts w:ascii="Arial MT"/>
                        <w:spacing w:val="-14"/>
                        <w:sz w:val="28"/>
                      </w:rPr>
                      <w:t> </w:t>
                    </w:r>
                    <w:r>
                      <w:rPr>
                        <w:rFonts w:ascii="Arial MT"/>
                        <w:spacing w:val="-4"/>
                        <w:sz w:val="28"/>
                      </w:rPr>
                      <w:t>FLOWS</w:t>
                    </w:r>
                  </w:p>
                  <w:p>
                    <w:pPr>
                      <w:spacing w:before="30"/>
                      <w:ind w:left="20" w:right="0" w:firstLine="0"/>
                      <w:jc w:val="left"/>
                      <w:rPr>
                        <w:rFonts w:ascii="Arial"/>
                        <w:i/>
                        <w:sz w:val="20"/>
                      </w:rPr>
                    </w:pPr>
                    <w:r>
                      <w:rPr>
                        <w:rFonts w:ascii="Arial"/>
                        <w:i/>
                        <w:sz w:val="20"/>
                      </w:rPr>
                      <w:t>For</w:t>
                    </w:r>
                    <w:r>
                      <w:rPr>
                        <w:rFonts w:ascii="Arial"/>
                        <w:i/>
                        <w:spacing w:val="-6"/>
                        <w:sz w:val="20"/>
                      </w:rPr>
                      <w:t> </w:t>
                    </w:r>
                    <w:r>
                      <w:rPr>
                        <w:rFonts w:ascii="Arial"/>
                        <w:i/>
                        <w:sz w:val="20"/>
                      </w:rPr>
                      <w:t>the</w:t>
                    </w:r>
                    <w:r>
                      <w:rPr>
                        <w:rFonts w:ascii="Arial"/>
                        <w:i/>
                        <w:spacing w:val="-3"/>
                        <w:sz w:val="20"/>
                      </w:rPr>
                      <w:t> </w:t>
                    </w:r>
                    <w:r>
                      <w:rPr>
                        <w:rFonts w:ascii="Arial"/>
                        <w:i/>
                        <w:sz w:val="20"/>
                      </w:rPr>
                      <w:t>fiscal</w:t>
                    </w:r>
                    <w:r>
                      <w:rPr>
                        <w:rFonts w:ascii="Arial"/>
                        <w:i/>
                        <w:spacing w:val="-4"/>
                        <w:sz w:val="20"/>
                      </w:rPr>
                      <w:t> </w:t>
                    </w:r>
                    <w:r>
                      <w:rPr>
                        <w:rFonts w:ascii="Arial"/>
                        <w:i/>
                        <w:sz w:val="20"/>
                      </w:rPr>
                      <w:t>years</w:t>
                    </w:r>
                    <w:r>
                      <w:rPr>
                        <w:rFonts w:ascii="Arial"/>
                        <w:i/>
                        <w:spacing w:val="-3"/>
                        <w:sz w:val="20"/>
                      </w:rPr>
                      <w:t> </w:t>
                    </w:r>
                    <w:r>
                      <w:rPr>
                        <w:rFonts w:ascii="Arial"/>
                        <w:i/>
                        <w:sz w:val="20"/>
                      </w:rPr>
                      <w:t>ended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z w:val="20"/>
                      </w:rPr>
                      <w:t>2023,</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4"/>
                        <w:sz w:val="20"/>
                      </w:rPr>
                      <w:t> </w:t>
                    </w:r>
                    <w:r>
                      <w:rPr>
                        <w:rFonts w:ascii="Arial"/>
                        <w:i/>
                        <w:sz w:val="20"/>
                      </w:rPr>
                      <w:t>2022</w:t>
                    </w:r>
                    <w:r>
                      <w:rPr>
                        <w:rFonts w:ascii="Arial"/>
                        <w:i/>
                        <w:spacing w:val="-3"/>
                        <w:sz w:val="20"/>
                      </w:rPr>
                      <w:t> </w:t>
                    </w:r>
                    <w:r>
                      <w:rPr>
                        <w:rFonts w:ascii="Arial"/>
                        <w:i/>
                        <w:sz w:val="20"/>
                      </w:rPr>
                      <w:t>and</w:t>
                    </w:r>
                    <w:r>
                      <w:rPr>
                        <w:rFonts w:ascii="Arial"/>
                        <w:i/>
                        <w:spacing w:val="-4"/>
                        <w:sz w:val="20"/>
                      </w:rPr>
                      <w:t> </w:t>
                    </w:r>
                    <w:r>
                      <w:rPr>
                        <w:rFonts w:ascii="Arial"/>
                        <w:i/>
                        <w:sz w:val="20"/>
                      </w:rPr>
                      <w:t>June</w:t>
                    </w:r>
                    <w:r>
                      <w:rPr>
                        <w:rFonts w:ascii="Arial"/>
                        <w:i/>
                        <w:spacing w:val="-3"/>
                        <w:sz w:val="20"/>
                      </w:rPr>
                      <w:t> </w:t>
                    </w:r>
                    <w:r>
                      <w:rPr>
                        <w:rFonts w:ascii="Arial"/>
                        <w:i/>
                        <w:sz w:val="20"/>
                      </w:rPr>
                      <w:t>30,</w:t>
                    </w:r>
                    <w:r>
                      <w:rPr>
                        <w:rFonts w:ascii="Arial"/>
                        <w:i/>
                        <w:spacing w:val="-3"/>
                        <w:sz w:val="20"/>
                      </w:rPr>
                      <w:t> </w:t>
                    </w:r>
                    <w:r>
                      <w:rPr>
                        <w:rFonts w:ascii="Arial"/>
                        <w:i/>
                        <w:spacing w:val="-4"/>
                        <w:sz w:val="20"/>
                      </w:rPr>
                      <w:t>2021</w:t>
                    </w:r>
                  </w:p>
                </w:txbxContent>
              </v:textbox>
              <w10:wrap type="none"/>
            </v:shape>
          </w:pict>
        </mc:Fallback>
      </mc:AlternateContent>
    </w:r>
    <w:r>
      <w:rPr/>
      <mc:AlternateContent>
        <mc:Choice Requires="wps">
          <w:drawing>
            <wp:anchor distT="0" distB="0" distL="0" distR="0" allowOverlap="1" layoutInCell="1" locked="0" behindDoc="1" simplePos="0" relativeHeight="470603264">
              <wp:simplePos x="0" y="0"/>
              <wp:positionH relativeFrom="page">
                <wp:posOffset>901700</wp:posOffset>
              </wp:positionH>
              <wp:positionV relativeFrom="page">
                <wp:posOffset>1219546</wp:posOffset>
              </wp:positionV>
              <wp:extent cx="2049780" cy="16764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2049780" cy="167640"/>
                      </a:xfrm>
                      <a:prstGeom prst="rect">
                        <a:avLst/>
                      </a:prstGeom>
                    </wps:spPr>
                    <wps:txbx>
                      <w:txbxContent>
                        <w:p>
                          <w:pPr>
                            <w:spacing w:before="13"/>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96.027283pt;width:161.4pt;height:13.2pt;mso-position-horizontal-relative:page;mso-position-vertical-relative:page;z-index:-32713216" type="#_x0000_t202" id="docshape553" filled="false" stroked="false">
              <v:textbox inset="0,0,0,0">
                <w:txbxContent>
                  <w:p>
                    <w:pPr>
                      <w:spacing w:before="13"/>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5824">
              <wp:simplePos x="0" y="0"/>
              <wp:positionH relativeFrom="page">
                <wp:posOffset>901700</wp:posOffset>
              </wp:positionH>
              <wp:positionV relativeFrom="page">
                <wp:posOffset>641555</wp:posOffset>
              </wp:positionV>
              <wp:extent cx="2973705" cy="38989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2973705" cy="389890"/>
                      </a:xfrm>
                      <a:prstGeom prst="rect">
                        <a:avLst/>
                      </a:prstGeom>
                    </wps:spPr>
                    <wps:txbx>
                      <w:txbxContent>
                        <w:p>
                          <w:pPr>
                            <w:spacing w:before="11"/>
                            <w:ind w:left="20" w:right="0" w:firstLine="0"/>
                            <w:jc w:val="left"/>
                            <w:rPr>
                              <w:rFonts w:ascii="Arial MT"/>
                              <w:sz w:val="28"/>
                            </w:rPr>
                          </w:pPr>
                          <w:r>
                            <w:rPr>
                              <w:rFonts w:ascii="Arial MT"/>
                              <w:spacing w:val="-2"/>
                              <w:sz w:val="28"/>
                            </w:rPr>
                            <w:t>SUMMARY</w:t>
                          </w:r>
                          <w:r>
                            <w:rPr>
                              <w:rFonts w:ascii="Arial MT"/>
                              <w:spacing w:val="-12"/>
                              <w:sz w:val="28"/>
                            </w:rPr>
                            <w:t> </w:t>
                          </w:r>
                          <w:r>
                            <w:rPr>
                              <w:rFonts w:ascii="Arial MT"/>
                              <w:spacing w:val="-2"/>
                              <w:sz w:val="28"/>
                            </w:rPr>
                            <w:t>STATEMENT</w:t>
                          </w:r>
                          <w:r>
                            <w:rPr>
                              <w:rFonts w:ascii="Arial MT"/>
                              <w:spacing w:val="-9"/>
                              <w:sz w:val="28"/>
                            </w:rPr>
                            <w:t> </w:t>
                          </w:r>
                          <w:r>
                            <w:rPr>
                              <w:rFonts w:ascii="Arial MT"/>
                              <w:spacing w:val="-2"/>
                              <w:sz w:val="28"/>
                            </w:rPr>
                            <w:t>OF</w:t>
                          </w:r>
                          <w:r>
                            <w:rPr>
                              <w:rFonts w:ascii="Arial MT"/>
                              <w:spacing w:val="-4"/>
                              <w:sz w:val="28"/>
                            </w:rPr>
                            <w:t> LOANS</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txbxContent>
                    </wps:txbx>
                    <wps:bodyPr wrap="square" lIns="0" tIns="0" rIns="0" bIns="0" rtlCol="0">
                      <a:noAutofit/>
                    </wps:bodyPr>
                  </wps:wsp>
                </a:graphicData>
              </a:graphic>
            </wp:anchor>
          </w:drawing>
        </mc:Choice>
        <mc:Fallback>
          <w:pict>
            <v:shape style="position:absolute;margin-left:71pt;margin-top:50.516171pt;width:234.15pt;height:30.7pt;mso-position-horizontal-relative:page;mso-position-vertical-relative:page;z-index:-32710656" type="#_x0000_t202" id="docshape570" filled="false" stroked="false">
              <v:textbox inset="0,0,0,0">
                <w:txbxContent>
                  <w:p>
                    <w:pPr>
                      <w:spacing w:before="11"/>
                      <w:ind w:left="20" w:right="0" w:firstLine="0"/>
                      <w:jc w:val="left"/>
                      <w:rPr>
                        <w:rFonts w:ascii="Arial MT"/>
                        <w:sz w:val="28"/>
                      </w:rPr>
                    </w:pPr>
                    <w:r>
                      <w:rPr>
                        <w:rFonts w:ascii="Arial MT"/>
                        <w:spacing w:val="-2"/>
                        <w:sz w:val="28"/>
                      </w:rPr>
                      <w:t>SUMMARY</w:t>
                    </w:r>
                    <w:r>
                      <w:rPr>
                        <w:rFonts w:ascii="Arial MT"/>
                        <w:spacing w:val="-12"/>
                        <w:sz w:val="28"/>
                      </w:rPr>
                      <w:t> </w:t>
                    </w:r>
                    <w:r>
                      <w:rPr>
                        <w:rFonts w:ascii="Arial MT"/>
                        <w:spacing w:val="-2"/>
                        <w:sz w:val="28"/>
                      </w:rPr>
                      <w:t>STATEMENT</w:t>
                    </w:r>
                    <w:r>
                      <w:rPr>
                        <w:rFonts w:ascii="Arial MT"/>
                        <w:spacing w:val="-9"/>
                        <w:sz w:val="28"/>
                      </w:rPr>
                      <w:t> </w:t>
                    </w:r>
                    <w:r>
                      <w:rPr>
                        <w:rFonts w:ascii="Arial MT"/>
                        <w:spacing w:val="-2"/>
                        <w:sz w:val="28"/>
                      </w:rPr>
                      <w:t>OF</w:t>
                    </w:r>
                    <w:r>
                      <w:rPr>
                        <w:rFonts w:ascii="Arial MT"/>
                        <w:spacing w:val="-4"/>
                        <w:sz w:val="28"/>
                      </w:rPr>
                      <w:t> LOANS</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8384">
              <wp:simplePos x="0" y="0"/>
              <wp:positionH relativeFrom="page">
                <wp:posOffset>901700</wp:posOffset>
              </wp:positionH>
              <wp:positionV relativeFrom="page">
                <wp:posOffset>641555</wp:posOffset>
              </wp:positionV>
              <wp:extent cx="3273425" cy="80899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3273425" cy="808990"/>
                      </a:xfrm>
                      <a:prstGeom prst="rect">
                        <a:avLst/>
                      </a:prstGeom>
                    </wps:spPr>
                    <wps:txbx>
                      <w:txbxContent>
                        <w:p>
                          <w:pPr>
                            <w:spacing w:line="249" w:lineRule="auto" w:before="11"/>
                            <w:ind w:left="20" w:right="0" w:firstLine="0"/>
                            <w:jc w:val="left"/>
                            <w:rPr>
                              <w:rFonts w:ascii="Arial MT"/>
                              <w:sz w:val="28"/>
                            </w:rPr>
                          </w:pPr>
                          <w:r>
                            <w:rPr>
                              <w:rFonts w:ascii="Arial MT"/>
                              <w:sz w:val="28"/>
                            </w:rPr>
                            <w:t>STATEMENT OF SUBSCRIPTIONS TO CAPITAL</w:t>
                          </w:r>
                          <w:r>
                            <w:rPr>
                              <w:rFonts w:ascii="Arial MT"/>
                              <w:spacing w:val="-20"/>
                              <w:sz w:val="28"/>
                            </w:rPr>
                            <w:t> </w:t>
                          </w:r>
                          <w:r>
                            <w:rPr>
                              <w:rFonts w:ascii="Arial MT"/>
                              <w:sz w:val="28"/>
                            </w:rPr>
                            <w:t>STOCK</w:t>
                          </w:r>
                          <w:r>
                            <w:rPr>
                              <w:rFonts w:ascii="Arial MT"/>
                              <w:spacing w:val="-19"/>
                              <w:sz w:val="28"/>
                            </w:rPr>
                            <w:t> </w:t>
                          </w:r>
                          <w:r>
                            <w:rPr>
                              <w:rFonts w:ascii="Arial MT"/>
                              <w:sz w:val="28"/>
                            </w:rPr>
                            <w:t>AND</w:t>
                          </w:r>
                          <w:r>
                            <w:rPr>
                              <w:rFonts w:ascii="Arial MT"/>
                              <w:spacing w:val="-20"/>
                              <w:sz w:val="28"/>
                            </w:rPr>
                            <w:t> </w:t>
                          </w:r>
                          <w:r>
                            <w:rPr>
                              <w:rFonts w:ascii="Arial MT"/>
                              <w:sz w:val="28"/>
                            </w:rPr>
                            <w:t>VOTING</w:t>
                          </w:r>
                          <w:r>
                            <w:rPr>
                              <w:rFonts w:ascii="Arial MT"/>
                              <w:spacing w:val="-19"/>
                              <w:sz w:val="28"/>
                            </w:rPr>
                            <w:t> </w:t>
                          </w:r>
                          <w:r>
                            <w:rPr>
                              <w:rFonts w:ascii="Arial MT"/>
                              <w:sz w:val="28"/>
                            </w:rPr>
                            <w:t>POWER</w:t>
                          </w:r>
                        </w:p>
                        <w:p>
                          <w:pPr>
                            <w:spacing w:before="14"/>
                            <w:ind w:left="20" w:right="0" w:firstLine="0"/>
                            <w:jc w:val="left"/>
                            <w:rPr>
                              <w:rFonts w:ascii="Arial"/>
                              <w:i/>
                              <w:sz w:val="22"/>
                            </w:rPr>
                          </w:pPr>
                          <w:r>
                            <w:rPr>
                              <w:rFonts w:ascii="Arial"/>
                              <w:i/>
                              <w:sz w:val="22"/>
                            </w:rPr>
                            <w:t>June</w:t>
                          </w:r>
                          <w:r>
                            <w:rPr>
                              <w:rFonts w:ascii="Arial"/>
                              <w:i/>
                              <w:spacing w:val="-2"/>
                              <w:sz w:val="22"/>
                            </w:rPr>
                            <w:t> </w:t>
                          </w:r>
                          <w:r>
                            <w:rPr>
                              <w:rFonts w:ascii="Arial"/>
                              <w:i/>
                              <w:sz w:val="22"/>
                            </w:rPr>
                            <w:t>30,</w:t>
                          </w:r>
                          <w:r>
                            <w:rPr>
                              <w:rFonts w:ascii="Arial"/>
                              <w:i/>
                              <w:spacing w:val="-2"/>
                              <w:sz w:val="22"/>
                            </w:rPr>
                            <w:t> </w:t>
                          </w:r>
                          <w:r>
                            <w:rPr>
                              <w:rFonts w:ascii="Arial"/>
                              <w:i/>
                              <w:spacing w:val="-4"/>
                              <w:sz w:val="22"/>
                            </w:rPr>
                            <w:t>2023</w:t>
                          </w:r>
                        </w:p>
                        <w:p>
                          <w:pPr>
                            <w:spacing w:before="76"/>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50.516171pt;width:257.75pt;height:63.7pt;mso-position-horizontal-relative:page;mso-position-vertical-relative:page;z-index:-32708096" type="#_x0000_t202" id="docshape579" filled="false" stroked="false">
              <v:textbox inset="0,0,0,0">
                <w:txbxContent>
                  <w:p>
                    <w:pPr>
                      <w:spacing w:line="249" w:lineRule="auto" w:before="11"/>
                      <w:ind w:left="20" w:right="0" w:firstLine="0"/>
                      <w:jc w:val="left"/>
                      <w:rPr>
                        <w:rFonts w:ascii="Arial MT"/>
                        <w:sz w:val="28"/>
                      </w:rPr>
                    </w:pPr>
                    <w:r>
                      <w:rPr>
                        <w:rFonts w:ascii="Arial MT"/>
                        <w:sz w:val="28"/>
                      </w:rPr>
                      <w:t>STATEMENT OF SUBSCRIPTIONS TO CAPITAL</w:t>
                    </w:r>
                    <w:r>
                      <w:rPr>
                        <w:rFonts w:ascii="Arial MT"/>
                        <w:spacing w:val="-20"/>
                        <w:sz w:val="28"/>
                      </w:rPr>
                      <w:t> </w:t>
                    </w:r>
                    <w:r>
                      <w:rPr>
                        <w:rFonts w:ascii="Arial MT"/>
                        <w:sz w:val="28"/>
                      </w:rPr>
                      <w:t>STOCK</w:t>
                    </w:r>
                    <w:r>
                      <w:rPr>
                        <w:rFonts w:ascii="Arial MT"/>
                        <w:spacing w:val="-19"/>
                        <w:sz w:val="28"/>
                      </w:rPr>
                      <w:t> </w:t>
                    </w:r>
                    <w:r>
                      <w:rPr>
                        <w:rFonts w:ascii="Arial MT"/>
                        <w:sz w:val="28"/>
                      </w:rPr>
                      <w:t>AND</w:t>
                    </w:r>
                    <w:r>
                      <w:rPr>
                        <w:rFonts w:ascii="Arial MT"/>
                        <w:spacing w:val="-20"/>
                        <w:sz w:val="28"/>
                      </w:rPr>
                      <w:t> </w:t>
                    </w:r>
                    <w:r>
                      <w:rPr>
                        <w:rFonts w:ascii="Arial MT"/>
                        <w:sz w:val="28"/>
                      </w:rPr>
                      <w:t>VOTING</w:t>
                    </w:r>
                    <w:r>
                      <w:rPr>
                        <w:rFonts w:ascii="Arial MT"/>
                        <w:spacing w:val="-19"/>
                        <w:sz w:val="28"/>
                      </w:rPr>
                      <w:t> </w:t>
                    </w:r>
                    <w:r>
                      <w:rPr>
                        <w:rFonts w:ascii="Arial MT"/>
                        <w:sz w:val="28"/>
                      </w:rPr>
                      <w:t>POWER</w:t>
                    </w:r>
                  </w:p>
                  <w:p>
                    <w:pPr>
                      <w:spacing w:before="14"/>
                      <w:ind w:left="20" w:right="0" w:firstLine="0"/>
                      <w:jc w:val="left"/>
                      <w:rPr>
                        <w:rFonts w:ascii="Arial"/>
                        <w:i/>
                        <w:sz w:val="22"/>
                      </w:rPr>
                    </w:pPr>
                    <w:r>
                      <w:rPr>
                        <w:rFonts w:ascii="Arial"/>
                        <w:i/>
                        <w:sz w:val="22"/>
                      </w:rPr>
                      <w:t>June</w:t>
                    </w:r>
                    <w:r>
                      <w:rPr>
                        <w:rFonts w:ascii="Arial"/>
                        <w:i/>
                        <w:spacing w:val="-2"/>
                        <w:sz w:val="22"/>
                      </w:rPr>
                      <w:t> </w:t>
                    </w:r>
                    <w:r>
                      <w:rPr>
                        <w:rFonts w:ascii="Arial"/>
                        <w:i/>
                        <w:sz w:val="22"/>
                      </w:rPr>
                      <w:t>30,</w:t>
                    </w:r>
                    <w:r>
                      <w:rPr>
                        <w:rFonts w:ascii="Arial"/>
                        <w:i/>
                        <w:spacing w:val="-2"/>
                        <w:sz w:val="22"/>
                      </w:rPr>
                      <w:t> </w:t>
                    </w:r>
                    <w:r>
                      <w:rPr>
                        <w:rFonts w:ascii="Arial"/>
                        <w:i/>
                        <w:spacing w:val="-4"/>
                        <w:sz w:val="22"/>
                      </w:rPr>
                      <w:t>2023</w:t>
                    </w:r>
                  </w:p>
                  <w:p>
                    <w:pPr>
                      <w:spacing w:before="76"/>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08896">
              <wp:simplePos x="0" y="0"/>
              <wp:positionH relativeFrom="page">
                <wp:posOffset>914400</wp:posOffset>
              </wp:positionH>
              <wp:positionV relativeFrom="page">
                <wp:posOffset>1493519</wp:posOffset>
              </wp:positionV>
              <wp:extent cx="6048375" cy="127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6048375" cy="1270"/>
                      </a:xfrm>
                      <a:custGeom>
                        <a:avLst/>
                        <a:gdLst/>
                        <a:ahLst/>
                        <a:cxnLst/>
                        <a:rect l="l" t="t" r="r" b="b"/>
                        <a:pathLst>
                          <a:path w="6048375" h="0">
                            <a:moveTo>
                              <a:pt x="0" y="0"/>
                            </a:moveTo>
                            <a:lnTo>
                              <a:pt x="604837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2707584" from="72pt,117.599983pt" to="548.25pt,117.599983pt" stroked="true" strokeweight="1pt" strokecolor="#000000">
              <v:stroke dashstyle="solid"/>
              <w10:wrap type="none"/>
            </v:line>
          </w:pict>
        </mc:Fallback>
      </mc:AlternateContent>
    </w:r>
    <w:r>
      <w:rPr/>
      <mc:AlternateContent>
        <mc:Choice Requires="wps">
          <w:drawing>
            <wp:anchor distT="0" distB="0" distL="0" distR="0" allowOverlap="1" layoutInCell="1" locked="0" behindDoc="1" simplePos="0" relativeHeight="470609408">
              <wp:simplePos x="0" y="0"/>
              <wp:positionH relativeFrom="page">
                <wp:posOffset>901700</wp:posOffset>
              </wp:positionH>
              <wp:positionV relativeFrom="page">
                <wp:posOffset>641555</wp:posOffset>
              </wp:positionV>
              <wp:extent cx="4209415" cy="83185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4209415" cy="831850"/>
                      </a:xfrm>
                      <a:prstGeom prst="rect">
                        <a:avLst/>
                      </a:prstGeom>
                    </wps:spPr>
                    <wps:txbx>
                      <w:txbxContent>
                        <w:p>
                          <w:pPr>
                            <w:spacing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before="14"/>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50.516171pt;width:331.45pt;height:65.5pt;mso-position-horizontal-relative:page;mso-position-vertical-relative:page;z-index:-32707072" type="#_x0000_t202" id="docshape580" filled="false" stroked="false">
              <v:textbox inset="0,0,0,0">
                <w:txbxContent>
                  <w:p>
                    <w:pPr>
                      <w:spacing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before="14"/>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1968">
              <wp:simplePos x="0" y="0"/>
              <wp:positionH relativeFrom="page">
                <wp:posOffset>901700</wp:posOffset>
              </wp:positionH>
              <wp:positionV relativeFrom="page">
                <wp:posOffset>641555</wp:posOffset>
              </wp:positionV>
              <wp:extent cx="4209415" cy="83185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4209415" cy="831850"/>
                      </a:xfrm>
                      <a:prstGeom prst="rect">
                        <a:avLst/>
                      </a:prstGeom>
                    </wps:spPr>
                    <wps:txbx>
                      <w:txbxContent>
                        <w:p>
                          <w:pPr>
                            <w:spacing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before="14"/>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50.516171pt;width:331.45pt;height:65.5pt;mso-position-horizontal-relative:page;mso-position-vertical-relative:page;z-index:-32704512" type="#_x0000_t202" id="docshape585" filled="false" stroked="false">
              <v:textbox inset="0,0,0,0">
                <w:txbxContent>
                  <w:p>
                    <w:pPr>
                      <w:spacing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before="14"/>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30"/>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12480">
              <wp:simplePos x="0" y="0"/>
              <wp:positionH relativeFrom="page">
                <wp:posOffset>914400</wp:posOffset>
              </wp:positionH>
              <wp:positionV relativeFrom="page">
                <wp:posOffset>1498600</wp:posOffset>
              </wp:positionV>
              <wp:extent cx="6057900" cy="1270"/>
              <wp:effectExtent l="0" t="0" r="0" b="0"/>
              <wp:wrapNone/>
              <wp:docPr id="691" name="Graphic 691"/>
              <wp:cNvGraphicFramePr>
                <a:graphicFrameLocks/>
              </wp:cNvGraphicFramePr>
              <a:graphic>
                <a:graphicData uri="http://schemas.microsoft.com/office/word/2010/wordprocessingShape">
                  <wps:wsp>
                    <wps:cNvPr id="691" name="Graphic 691"/>
                    <wps:cNvSpPr/>
                    <wps:spPr>
                      <a:xfrm>
                        <a:off x="0" y="0"/>
                        <a:ext cx="6057900" cy="1270"/>
                      </a:xfrm>
                      <a:custGeom>
                        <a:avLst/>
                        <a:gdLst/>
                        <a:ahLst/>
                        <a:cxnLst/>
                        <a:rect l="l" t="t" r="r" b="b"/>
                        <a:pathLst>
                          <a:path w="6057900" h="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2704000" from="72pt,118pt" to="549pt,118pt" stroked="true" strokeweight="1pt" strokecolor="#000000">
              <v:stroke dashstyle="solid"/>
              <w10:wrap type="none"/>
            </v:line>
          </w:pict>
        </mc:Fallback>
      </mc:AlternateContent>
    </w:r>
    <w:r>
      <w:rPr/>
      <mc:AlternateContent>
        <mc:Choice Requires="wps">
          <w:drawing>
            <wp:anchor distT="0" distB="0" distL="0" distR="0" allowOverlap="1" layoutInCell="1" locked="0" behindDoc="1" simplePos="0" relativeHeight="470612992">
              <wp:simplePos x="0" y="0"/>
              <wp:positionH relativeFrom="page">
                <wp:posOffset>901700</wp:posOffset>
              </wp:positionH>
              <wp:positionV relativeFrom="page">
                <wp:posOffset>641555</wp:posOffset>
              </wp:positionV>
              <wp:extent cx="4209415" cy="83693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4209415" cy="836930"/>
                      </a:xfrm>
                      <a:prstGeom prst="rect">
                        <a:avLst/>
                      </a:prstGeom>
                    </wps:spPr>
                    <wps:txbx>
                      <w:txbxContent>
                        <w:p>
                          <w:pPr>
                            <w:spacing w:line="301" w:lineRule="exact"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line="301" w:lineRule="exact" w:before="0"/>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94"/>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wps:txbx>
                    <wps:bodyPr wrap="square" lIns="0" tIns="0" rIns="0" bIns="0" rtlCol="0">
                      <a:noAutofit/>
                    </wps:bodyPr>
                  </wps:wsp>
                </a:graphicData>
              </a:graphic>
            </wp:anchor>
          </w:drawing>
        </mc:Choice>
        <mc:Fallback>
          <w:pict>
            <v:shape style="position:absolute;margin-left:71pt;margin-top:50.516171pt;width:331.45pt;height:65.9pt;mso-position-horizontal-relative:page;mso-position-vertical-relative:page;z-index:-32703488" type="#_x0000_t202" id="docshape586" filled="false" stroked="false">
              <v:textbox inset="0,0,0,0">
                <w:txbxContent>
                  <w:p>
                    <w:pPr>
                      <w:spacing w:line="301" w:lineRule="exact" w:before="11"/>
                      <w:ind w:left="20" w:right="0" w:firstLine="0"/>
                      <w:jc w:val="left"/>
                      <w:rPr>
                        <w:rFonts w:ascii="Arial MT"/>
                        <w:sz w:val="28"/>
                      </w:rPr>
                    </w:pPr>
                    <w:r>
                      <w:rPr>
                        <w:rFonts w:ascii="Arial MT"/>
                        <w:sz w:val="28"/>
                      </w:rPr>
                      <w:t>STATEMENT</w:t>
                    </w:r>
                    <w:r>
                      <w:rPr>
                        <w:rFonts w:ascii="Arial MT"/>
                        <w:spacing w:val="-20"/>
                        <w:sz w:val="28"/>
                      </w:rPr>
                      <w:t> </w:t>
                    </w:r>
                    <w:r>
                      <w:rPr>
                        <w:rFonts w:ascii="Arial MT"/>
                        <w:sz w:val="28"/>
                      </w:rPr>
                      <w:t>OF</w:t>
                    </w:r>
                    <w:r>
                      <w:rPr>
                        <w:rFonts w:ascii="Arial MT"/>
                        <w:spacing w:val="-18"/>
                        <w:sz w:val="28"/>
                      </w:rPr>
                      <w:t> </w:t>
                    </w:r>
                    <w:r>
                      <w:rPr>
                        <w:rFonts w:ascii="Arial MT"/>
                        <w:sz w:val="28"/>
                      </w:rPr>
                      <w:t>SUBSCRIPTIONS</w:t>
                    </w:r>
                    <w:r>
                      <w:rPr>
                        <w:rFonts w:ascii="Arial MT"/>
                        <w:spacing w:val="-19"/>
                        <w:sz w:val="28"/>
                      </w:rPr>
                      <w:t> </w:t>
                    </w:r>
                    <w:r>
                      <w:rPr>
                        <w:rFonts w:ascii="Arial MT"/>
                        <w:spacing w:val="-5"/>
                        <w:sz w:val="28"/>
                      </w:rPr>
                      <w:t>TO</w:t>
                    </w:r>
                  </w:p>
                  <w:p>
                    <w:pPr>
                      <w:spacing w:line="301" w:lineRule="exact" w:before="0"/>
                      <w:ind w:left="20" w:right="0" w:firstLine="0"/>
                      <w:jc w:val="left"/>
                      <w:rPr>
                        <w:rFonts w:ascii="Arial"/>
                        <w:i/>
                        <w:sz w:val="28"/>
                      </w:rPr>
                    </w:pPr>
                    <w:r>
                      <w:rPr>
                        <w:rFonts w:ascii="Arial MT"/>
                        <w:sz w:val="28"/>
                      </w:rPr>
                      <w:t>CAPITAL</w:t>
                    </w:r>
                    <w:r>
                      <w:rPr>
                        <w:rFonts w:ascii="Arial MT"/>
                        <w:spacing w:val="-19"/>
                        <w:sz w:val="28"/>
                      </w:rPr>
                      <w:t> </w:t>
                    </w:r>
                    <w:r>
                      <w:rPr>
                        <w:rFonts w:ascii="Arial MT"/>
                        <w:sz w:val="28"/>
                      </w:rPr>
                      <w:t>STOCK</w:t>
                    </w:r>
                    <w:r>
                      <w:rPr>
                        <w:rFonts w:ascii="Arial MT"/>
                        <w:spacing w:val="-19"/>
                        <w:sz w:val="28"/>
                      </w:rPr>
                      <w:t> </w:t>
                    </w:r>
                    <w:r>
                      <w:rPr>
                        <w:rFonts w:ascii="Arial MT"/>
                        <w:sz w:val="28"/>
                      </w:rPr>
                      <w:t>AND</w:t>
                    </w:r>
                    <w:r>
                      <w:rPr>
                        <w:rFonts w:ascii="Arial MT"/>
                        <w:spacing w:val="-7"/>
                        <w:sz w:val="28"/>
                      </w:rPr>
                      <w:t> </w:t>
                    </w:r>
                    <w:r>
                      <w:rPr>
                        <w:rFonts w:ascii="Arial MT"/>
                        <w:sz w:val="28"/>
                      </w:rPr>
                      <w:t>VOTING</w:t>
                    </w:r>
                    <w:r>
                      <w:rPr>
                        <w:rFonts w:ascii="Arial MT"/>
                        <w:spacing w:val="-6"/>
                        <w:sz w:val="28"/>
                      </w:rPr>
                      <w:t> </w:t>
                    </w:r>
                    <w:r>
                      <w:rPr>
                        <w:rFonts w:ascii="Arial MT"/>
                        <w:sz w:val="28"/>
                      </w:rPr>
                      <w:t>POWER</w:t>
                    </w:r>
                    <w:r>
                      <w:rPr>
                        <w:rFonts w:ascii="Arial MT"/>
                        <w:spacing w:val="-11"/>
                        <w:sz w:val="28"/>
                      </w:rPr>
                      <w:t> </w:t>
                    </w:r>
                    <w:r>
                      <w:rPr>
                        <w:rFonts w:ascii="Arial"/>
                        <w:i/>
                        <w:spacing w:val="-2"/>
                        <w:sz w:val="28"/>
                      </w:rPr>
                      <w:t>(continued)</w:t>
                    </w:r>
                  </w:p>
                  <w:p>
                    <w:pPr>
                      <w:spacing w:before="94"/>
                      <w:ind w:left="20" w:right="0" w:firstLine="0"/>
                      <w:jc w:val="left"/>
                      <w:rPr>
                        <w:rFonts w:ascii="Arial"/>
                        <w:i/>
                        <w:sz w:val="20"/>
                      </w:rPr>
                    </w:pPr>
                    <w:r>
                      <w:rPr>
                        <w:rFonts w:ascii="Arial"/>
                        <w:i/>
                        <w:sz w:val="20"/>
                      </w:rPr>
                      <w:t>June</w:t>
                    </w:r>
                    <w:r>
                      <w:rPr>
                        <w:rFonts w:ascii="Arial"/>
                        <w:i/>
                        <w:spacing w:val="-5"/>
                        <w:sz w:val="20"/>
                      </w:rPr>
                      <w:t> </w:t>
                    </w:r>
                    <w:r>
                      <w:rPr>
                        <w:rFonts w:ascii="Arial"/>
                        <w:i/>
                        <w:sz w:val="20"/>
                      </w:rPr>
                      <w:t>30,</w:t>
                    </w:r>
                    <w:r>
                      <w:rPr>
                        <w:rFonts w:ascii="Arial"/>
                        <w:i/>
                        <w:spacing w:val="-3"/>
                        <w:sz w:val="20"/>
                      </w:rPr>
                      <w:t> </w:t>
                    </w:r>
                    <w:r>
                      <w:rPr>
                        <w:rFonts w:ascii="Arial"/>
                        <w:i/>
                        <w:spacing w:val="-4"/>
                        <w:sz w:val="20"/>
                      </w:rPr>
                      <w:t>2023</w:t>
                    </w:r>
                  </w:p>
                  <w:p>
                    <w:pPr>
                      <w:spacing w:before="130"/>
                      <w:ind w:left="20" w:right="0" w:firstLine="0"/>
                      <w:jc w:val="left"/>
                      <w:rPr>
                        <w:rFonts w:ascii="Arial"/>
                        <w:i/>
                        <w:sz w:val="20"/>
                      </w:rPr>
                    </w:pPr>
                    <w:r>
                      <w:rPr>
                        <w:rFonts w:ascii="Arial"/>
                        <w:i/>
                        <w:sz w:val="20"/>
                      </w:rPr>
                      <w:t>Expressed</w:t>
                    </w:r>
                    <w:r>
                      <w:rPr>
                        <w:rFonts w:ascii="Arial"/>
                        <w:i/>
                        <w:spacing w:val="-4"/>
                        <w:sz w:val="20"/>
                      </w:rPr>
                      <w:t> </w:t>
                    </w:r>
                    <w:r>
                      <w:rPr>
                        <w:rFonts w:ascii="Arial"/>
                        <w:i/>
                        <w:sz w:val="20"/>
                      </w:rPr>
                      <w:t>in</w:t>
                    </w:r>
                    <w:r>
                      <w:rPr>
                        <w:rFonts w:ascii="Arial"/>
                        <w:i/>
                        <w:spacing w:val="-4"/>
                        <w:sz w:val="20"/>
                      </w:rPr>
                      <w:t> </w:t>
                    </w:r>
                    <w:r>
                      <w:rPr>
                        <w:rFonts w:ascii="Arial"/>
                        <w:i/>
                        <w:sz w:val="20"/>
                      </w:rPr>
                      <w:t>millions</w:t>
                    </w:r>
                    <w:r>
                      <w:rPr>
                        <w:rFonts w:ascii="Arial"/>
                        <w:i/>
                        <w:spacing w:val="-4"/>
                        <w:sz w:val="20"/>
                      </w:rPr>
                      <w:t> </w:t>
                    </w:r>
                    <w:r>
                      <w:rPr>
                        <w:rFonts w:ascii="Arial"/>
                        <w:i/>
                        <w:sz w:val="20"/>
                      </w:rPr>
                      <w:t>of</w:t>
                    </w:r>
                    <w:r>
                      <w:rPr>
                        <w:rFonts w:ascii="Arial"/>
                        <w:i/>
                        <w:spacing w:val="-4"/>
                        <w:sz w:val="20"/>
                      </w:rPr>
                      <w:t> </w:t>
                    </w:r>
                    <w:r>
                      <w:rPr>
                        <w:rFonts w:ascii="Arial"/>
                        <w:i/>
                        <w:sz w:val="20"/>
                      </w:rPr>
                      <w:t>U.S.</w:t>
                    </w:r>
                    <w:r>
                      <w:rPr>
                        <w:rFonts w:ascii="Arial"/>
                        <w:i/>
                        <w:spacing w:val="-4"/>
                        <w:sz w:val="20"/>
                      </w:rPr>
                      <w:t> </w:t>
                    </w:r>
                    <w:r>
                      <w:rPr>
                        <w:rFonts w:ascii="Arial"/>
                        <w:i/>
                        <w:spacing w:val="-2"/>
                        <w:sz w:val="20"/>
                      </w:rPr>
                      <w:t>dollars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29888">
              <wp:simplePos x="0" y="0"/>
              <wp:positionH relativeFrom="page">
                <wp:posOffset>901700</wp:posOffset>
              </wp:positionH>
              <wp:positionV relativeFrom="page">
                <wp:posOffset>643099</wp:posOffset>
              </wp:positionV>
              <wp:extent cx="2245360" cy="18034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2245360" cy="180340"/>
                      </a:xfrm>
                      <a:prstGeom prst="rect">
                        <a:avLst/>
                      </a:prstGeom>
                    </wps:spPr>
                    <wps:txbx>
                      <w:txbxContent>
                        <w:p>
                          <w:pPr>
                            <w:spacing w:before="10"/>
                            <w:ind w:left="20" w:right="0" w:firstLine="0"/>
                            <w:jc w:val="left"/>
                            <w:rPr>
                              <w:b/>
                              <w:i/>
                              <w:sz w:val="22"/>
                            </w:rPr>
                          </w:pPr>
                          <w:r>
                            <w:rPr>
                              <w:b/>
                              <w:i/>
                              <w:sz w:val="22"/>
                            </w:rPr>
                            <w:t>Credit</w:t>
                          </w:r>
                          <w:r>
                            <w:rPr>
                              <w:b/>
                              <w:i/>
                              <w:spacing w:val="-2"/>
                              <w:sz w:val="22"/>
                            </w:rPr>
                            <w:t> </w:t>
                          </w:r>
                          <w:r>
                            <w:rPr>
                              <w:b/>
                              <w:i/>
                              <w:sz w:val="22"/>
                            </w:rPr>
                            <w:t>Quality</w:t>
                          </w:r>
                          <w:r>
                            <w:rPr>
                              <w:b/>
                              <w:i/>
                              <w:spacing w:val="-1"/>
                              <w:sz w:val="22"/>
                            </w:rPr>
                            <w:t> </w:t>
                          </w:r>
                          <w:r>
                            <w:rPr>
                              <w:b/>
                              <w:i/>
                              <w:sz w:val="22"/>
                            </w:rPr>
                            <w:t>of</w:t>
                          </w:r>
                          <w:r>
                            <w:rPr>
                              <w:b/>
                              <w:i/>
                              <w:spacing w:val="-1"/>
                              <w:sz w:val="22"/>
                            </w:rPr>
                            <w:t> </w:t>
                          </w:r>
                          <w:r>
                            <w:rPr>
                              <w:b/>
                              <w:i/>
                              <w:sz w:val="22"/>
                            </w:rPr>
                            <w:t>Sovereign</w:t>
                          </w:r>
                          <w:r>
                            <w:rPr>
                              <w:b/>
                              <w:i/>
                              <w:spacing w:val="-2"/>
                              <w:sz w:val="22"/>
                            </w:rPr>
                            <w:t> Exposures</w:t>
                          </w:r>
                        </w:p>
                      </w:txbxContent>
                    </wps:txbx>
                    <wps:bodyPr wrap="square" lIns="0" tIns="0" rIns="0" bIns="0" rtlCol="0">
                      <a:noAutofit/>
                    </wps:bodyPr>
                  </wps:wsp>
                </a:graphicData>
              </a:graphic>
            </wp:anchor>
          </w:drawing>
        </mc:Choice>
        <mc:Fallback>
          <w:pict>
            <v:shape style="position:absolute;margin-left:71pt;margin-top:50.637753pt;width:176.8pt;height:14.2pt;mso-position-horizontal-relative:page;mso-position-vertical-relative:page;z-index:-32686592" type="#_x0000_t202" id="docshape656" filled="false" stroked="false">
              <v:textbox inset="0,0,0,0">
                <w:txbxContent>
                  <w:p>
                    <w:pPr>
                      <w:spacing w:before="10"/>
                      <w:ind w:left="20" w:right="0" w:firstLine="0"/>
                      <w:jc w:val="left"/>
                      <w:rPr>
                        <w:b/>
                        <w:i/>
                        <w:sz w:val="22"/>
                      </w:rPr>
                    </w:pPr>
                    <w:r>
                      <w:rPr>
                        <w:b/>
                        <w:i/>
                        <w:sz w:val="22"/>
                      </w:rPr>
                      <w:t>Credit</w:t>
                    </w:r>
                    <w:r>
                      <w:rPr>
                        <w:b/>
                        <w:i/>
                        <w:spacing w:val="-2"/>
                        <w:sz w:val="22"/>
                      </w:rPr>
                      <w:t> </w:t>
                    </w:r>
                    <w:r>
                      <w:rPr>
                        <w:b/>
                        <w:i/>
                        <w:sz w:val="22"/>
                      </w:rPr>
                      <w:t>Quality</w:t>
                    </w:r>
                    <w:r>
                      <w:rPr>
                        <w:b/>
                        <w:i/>
                        <w:spacing w:val="-1"/>
                        <w:sz w:val="22"/>
                      </w:rPr>
                      <w:t> </w:t>
                    </w:r>
                    <w:r>
                      <w:rPr>
                        <w:b/>
                        <w:i/>
                        <w:sz w:val="22"/>
                      </w:rPr>
                      <w:t>of</w:t>
                    </w:r>
                    <w:r>
                      <w:rPr>
                        <w:b/>
                        <w:i/>
                        <w:spacing w:val="-1"/>
                        <w:sz w:val="22"/>
                      </w:rPr>
                      <w:t> </w:t>
                    </w:r>
                    <w:r>
                      <w:rPr>
                        <w:b/>
                        <w:i/>
                        <w:sz w:val="22"/>
                      </w:rPr>
                      <w:t>Sovereign</w:t>
                    </w:r>
                    <w:r>
                      <w:rPr>
                        <w:b/>
                        <w:i/>
                        <w:spacing w:val="-2"/>
                        <w:sz w:val="22"/>
                      </w:rPr>
                      <w:t> Exposures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2448">
              <wp:simplePos x="0" y="0"/>
              <wp:positionH relativeFrom="page">
                <wp:posOffset>901700</wp:posOffset>
              </wp:positionH>
              <wp:positionV relativeFrom="page">
                <wp:posOffset>643099</wp:posOffset>
              </wp:positionV>
              <wp:extent cx="3828415" cy="18034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3828415" cy="180340"/>
                      </a:xfrm>
                      <a:prstGeom prst="rect">
                        <a:avLst/>
                      </a:prstGeom>
                    </wps:spPr>
                    <wps:txbx>
                      <w:txbxContent>
                        <w:p>
                          <w:pPr>
                            <w:spacing w:before="10"/>
                            <w:ind w:left="20" w:right="0" w:firstLine="0"/>
                            <w:jc w:val="left"/>
                            <w:rPr>
                              <w:b/>
                              <w:i/>
                              <w:sz w:val="22"/>
                            </w:rPr>
                          </w:pPr>
                          <w:r>
                            <w:rPr>
                              <w:b/>
                              <w:i/>
                              <w:sz w:val="22"/>
                            </w:rPr>
                            <w:t>Accumulated</w:t>
                          </w:r>
                          <w:r>
                            <w:rPr>
                              <w:b/>
                              <w:i/>
                              <w:spacing w:val="-4"/>
                              <w:sz w:val="22"/>
                            </w:rPr>
                            <w:t> </w:t>
                          </w:r>
                          <w:r>
                            <w:rPr>
                              <w:b/>
                              <w:i/>
                              <w:sz w:val="22"/>
                            </w:rPr>
                            <w:t>Provision</w:t>
                          </w:r>
                          <w:r>
                            <w:rPr>
                              <w:b/>
                              <w:i/>
                              <w:spacing w:val="-3"/>
                              <w:sz w:val="22"/>
                            </w:rPr>
                            <w:t> </w:t>
                          </w:r>
                          <w:r>
                            <w:rPr>
                              <w:b/>
                              <w:i/>
                              <w:sz w:val="22"/>
                            </w:rPr>
                            <w:t>for</w:t>
                          </w:r>
                          <w:r>
                            <w:rPr>
                              <w:b/>
                              <w:i/>
                              <w:spacing w:val="-2"/>
                              <w:sz w:val="22"/>
                            </w:rPr>
                            <w:t> </w:t>
                          </w:r>
                          <w:r>
                            <w:rPr>
                              <w:b/>
                              <w:i/>
                              <w:sz w:val="22"/>
                            </w:rPr>
                            <w:t>Losses</w:t>
                          </w:r>
                          <w:r>
                            <w:rPr>
                              <w:b/>
                              <w:i/>
                              <w:spacing w:val="-3"/>
                              <w:sz w:val="22"/>
                            </w:rPr>
                            <w:t> </w:t>
                          </w:r>
                          <w:r>
                            <w:rPr>
                              <w:b/>
                              <w:i/>
                              <w:sz w:val="22"/>
                            </w:rPr>
                            <w:t>on</w:t>
                          </w:r>
                          <w:r>
                            <w:rPr>
                              <w:b/>
                              <w:i/>
                              <w:spacing w:val="-3"/>
                              <w:sz w:val="22"/>
                            </w:rPr>
                            <w:t> </w:t>
                          </w:r>
                          <w:r>
                            <w:rPr>
                              <w:b/>
                              <w:i/>
                              <w:sz w:val="22"/>
                            </w:rPr>
                            <w:t>Loans</w:t>
                          </w:r>
                          <w:r>
                            <w:rPr>
                              <w:b/>
                              <w:i/>
                              <w:spacing w:val="-2"/>
                              <w:sz w:val="22"/>
                            </w:rPr>
                            <w:t> </w:t>
                          </w:r>
                          <w:r>
                            <w:rPr>
                              <w:b/>
                              <w:i/>
                              <w:sz w:val="22"/>
                            </w:rPr>
                            <w:t>and</w:t>
                          </w:r>
                          <w:r>
                            <w:rPr>
                              <w:b/>
                              <w:i/>
                              <w:spacing w:val="-2"/>
                              <w:sz w:val="22"/>
                            </w:rPr>
                            <w:t> </w:t>
                          </w:r>
                          <w:r>
                            <w:rPr>
                              <w:b/>
                              <w:i/>
                              <w:sz w:val="22"/>
                            </w:rPr>
                            <w:t>Other</w:t>
                          </w:r>
                          <w:r>
                            <w:rPr>
                              <w:b/>
                              <w:i/>
                              <w:spacing w:val="-2"/>
                              <w:sz w:val="22"/>
                            </w:rPr>
                            <w:t> Exposures</w:t>
                          </w:r>
                        </w:p>
                      </w:txbxContent>
                    </wps:txbx>
                    <wps:bodyPr wrap="square" lIns="0" tIns="0" rIns="0" bIns="0" rtlCol="0">
                      <a:noAutofit/>
                    </wps:bodyPr>
                  </wps:wsp>
                </a:graphicData>
              </a:graphic>
            </wp:anchor>
          </w:drawing>
        </mc:Choice>
        <mc:Fallback>
          <w:pict>
            <v:shape style="position:absolute;margin-left:71pt;margin-top:50.637753pt;width:301.45pt;height:14.2pt;mso-position-horizontal-relative:page;mso-position-vertical-relative:page;z-index:-32684032" type="#_x0000_t202" id="docshape671" filled="false" stroked="false">
              <v:textbox inset="0,0,0,0">
                <w:txbxContent>
                  <w:p>
                    <w:pPr>
                      <w:spacing w:before="10"/>
                      <w:ind w:left="20" w:right="0" w:firstLine="0"/>
                      <w:jc w:val="left"/>
                      <w:rPr>
                        <w:b/>
                        <w:i/>
                        <w:sz w:val="22"/>
                      </w:rPr>
                    </w:pPr>
                    <w:r>
                      <w:rPr>
                        <w:b/>
                        <w:i/>
                        <w:sz w:val="22"/>
                      </w:rPr>
                      <w:t>Accumulated</w:t>
                    </w:r>
                    <w:r>
                      <w:rPr>
                        <w:b/>
                        <w:i/>
                        <w:spacing w:val="-4"/>
                        <w:sz w:val="22"/>
                      </w:rPr>
                      <w:t> </w:t>
                    </w:r>
                    <w:r>
                      <w:rPr>
                        <w:b/>
                        <w:i/>
                        <w:sz w:val="22"/>
                      </w:rPr>
                      <w:t>Provision</w:t>
                    </w:r>
                    <w:r>
                      <w:rPr>
                        <w:b/>
                        <w:i/>
                        <w:spacing w:val="-3"/>
                        <w:sz w:val="22"/>
                      </w:rPr>
                      <w:t> </w:t>
                    </w:r>
                    <w:r>
                      <w:rPr>
                        <w:b/>
                        <w:i/>
                        <w:sz w:val="22"/>
                      </w:rPr>
                      <w:t>for</w:t>
                    </w:r>
                    <w:r>
                      <w:rPr>
                        <w:b/>
                        <w:i/>
                        <w:spacing w:val="-2"/>
                        <w:sz w:val="22"/>
                      </w:rPr>
                      <w:t> </w:t>
                    </w:r>
                    <w:r>
                      <w:rPr>
                        <w:b/>
                        <w:i/>
                        <w:sz w:val="22"/>
                      </w:rPr>
                      <w:t>Losses</w:t>
                    </w:r>
                    <w:r>
                      <w:rPr>
                        <w:b/>
                        <w:i/>
                        <w:spacing w:val="-3"/>
                        <w:sz w:val="22"/>
                      </w:rPr>
                      <w:t> </w:t>
                    </w:r>
                    <w:r>
                      <w:rPr>
                        <w:b/>
                        <w:i/>
                        <w:sz w:val="22"/>
                      </w:rPr>
                      <w:t>on</w:t>
                    </w:r>
                    <w:r>
                      <w:rPr>
                        <w:b/>
                        <w:i/>
                        <w:spacing w:val="-3"/>
                        <w:sz w:val="22"/>
                      </w:rPr>
                      <w:t> </w:t>
                    </w:r>
                    <w:r>
                      <w:rPr>
                        <w:b/>
                        <w:i/>
                        <w:sz w:val="22"/>
                      </w:rPr>
                      <w:t>Loans</w:t>
                    </w:r>
                    <w:r>
                      <w:rPr>
                        <w:b/>
                        <w:i/>
                        <w:spacing w:val="-2"/>
                        <w:sz w:val="22"/>
                      </w:rPr>
                      <w:t> </w:t>
                    </w:r>
                    <w:r>
                      <w:rPr>
                        <w:b/>
                        <w:i/>
                        <w:sz w:val="22"/>
                      </w:rPr>
                      <w:t>and</w:t>
                    </w:r>
                    <w:r>
                      <w:rPr>
                        <w:b/>
                        <w:i/>
                        <w:spacing w:val="-2"/>
                        <w:sz w:val="22"/>
                      </w:rPr>
                      <w:t> </w:t>
                    </w:r>
                    <w:r>
                      <w:rPr>
                        <w:b/>
                        <w:i/>
                        <w:sz w:val="22"/>
                      </w:rPr>
                      <w:t>Other</w:t>
                    </w:r>
                    <w:r>
                      <w:rPr>
                        <w:b/>
                        <w:i/>
                        <w:spacing w:val="-2"/>
                        <w:sz w:val="22"/>
                      </w:rPr>
                      <w:t> Exposures</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39104">
              <wp:simplePos x="0" y="0"/>
              <wp:positionH relativeFrom="page">
                <wp:posOffset>901700</wp:posOffset>
              </wp:positionH>
              <wp:positionV relativeFrom="page">
                <wp:posOffset>645907</wp:posOffset>
              </wp:positionV>
              <wp:extent cx="4262755" cy="16637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4262755" cy="166370"/>
                      </a:xfrm>
                      <a:prstGeom prst="rect">
                        <a:avLst/>
                      </a:prstGeom>
                    </wps:spPr>
                    <wps:txbx>
                      <w:txbxContent>
                        <w:p>
                          <w:pPr>
                            <w:spacing w:before="11"/>
                            <w:ind w:left="20" w:right="0" w:firstLine="0"/>
                            <w:jc w:val="left"/>
                            <w:rPr>
                              <w:b/>
                              <w:sz w:val="20"/>
                            </w:rPr>
                          </w:pPr>
                          <w:r>
                            <w:rPr>
                              <w:b/>
                              <w:sz w:val="20"/>
                            </w:rPr>
                            <w:t>Table</w:t>
                          </w:r>
                          <w:r>
                            <w:rPr>
                              <w:b/>
                              <w:spacing w:val="-6"/>
                              <w:sz w:val="20"/>
                            </w:rPr>
                            <w:t> </w:t>
                          </w:r>
                          <w:r>
                            <w:rPr>
                              <w:b/>
                              <w:sz w:val="20"/>
                            </w:rPr>
                            <w:t>F1:</w:t>
                          </w:r>
                          <w:r>
                            <w:rPr>
                              <w:b/>
                              <w:spacing w:val="-4"/>
                              <w:sz w:val="20"/>
                            </w:rPr>
                            <w:t> </w:t>
                          </w:r>
                          <w:r>
                            <w:rPr>
                              <w:b/>
                              <w:sz w:val="20"/>
                            </w:rPr>
                            <w:t>Derivative</w:t>
                          </w:r>
                          <w:r>
                            <w:rPr>
                              <w:b/>
                              <w:spacing w:val="-4"/>
                              <w:sz w:val="20"/>
                            </w:rPr>
                            <w:t> </w:t>
                          </w:r>
                          <w:r>
                            <w:rPr>
                              <w:b/>
                              <w:sz w:val="20"/>
                            </w:rPr>
                            <w:t>assets</w:t>
                          </w:r>
                          <w:r>
                            <w:rPr>
                              <w:b/>
                              <w:spacing w:val="-4"/>
                              <w:sz w:val="20"/>
                            </w:rPr>
                            <w:t> </w:t>
                          </w:r>
                          <w:r>
                            <w:rPr>
                              <w:b/>
                              <w:sz w:val="20"/>
                            </w:rPr>
                            <w:t>and</w:t>
                          </w:r>
                          <w:r>
                            <w:rPr>
                              <w:b/>
                              <w:spacing w:val="-3"/>
                              <w:sz w:val="20"/>
                            </w:rPr>
                            <w:t> </w:t>
                          </w:r>
                          <w:r>
                            <w:rPr>
                              <w:b/>
                              <w:sz w:val="20"/>
                            </w:rPr>
                            <w:t>liabilities</w:t>
                          </w:r>
                          <w:r>
                            <w:rPr>
                              <w:b/>
                              <w:spacing w:val="-4"/>
                              <w:sz w:val="20"/>
                            </w:rPr>
                            <w:t> </w:t>
                          </w:r>
                          <w:r>
                            <w:rPr>
                              <w:b/>
                              <w:sz w:val="20"/>
                            </w:rPr>
                            <w:t>before</w:t>
                          </w:r>
                          <w:r>
                            <w:rPr>
                              <w:b/>
                              <w:spacing w:val="-4"/>
                              <w:sz w:val="20"/>
                            </w:rPr>
                            <w:t> </w:t>
                          </w:r>
                          <w:r>
                            <w:rPr>
                              <w:b/>
                              <w:sz w:val="20"/>
                            </w:rPr>
                            <w:t>and</w:t>
                          </w:r>
                          <w:r>
                            <w:rPr>
                              <w:b/>
                              <w:spacing w:val="-4"/>
                              <w:sz w:val="20"/>
                            </w:rPr>
                            <w:t> </w:t>
                          </w:r>
                          <w:r>
                            <w:rPr>
                              <w:b/>
                              <w:sz w:val="20"/>
                            </w:rPr>
                            <w:t>after</w:t>
                          </w:r>
                          <w:r>
                            <w:rPr>
                              <w:b/>
                              <w:spacing w:val="-4"/>
                              <w:sz w:val="20"/>
                            </w:rPr>
                            <w:t> </w:t>
                          </w:r>
                          <w:r>
                            <w:rPr>
                              <w:b/>
                              <w:sz w:val="20"/>
                            </w:rPr>
                            <w:t>netting</w:t>
                          </w:r>
                          <w:r>
                            <w:rPr>
                              <w:b/>
                              <w:spacing w:val="-3"/>
                              <w:sz w:val="20"/>
                            </w:rPr>
                            <w:t> </w:t>
                          </w:r>
                          <w:r>
                            <w:rPr>
                              <w:b/>
                              <w:spacing w:val="-2"/>
                              <w:sz w:val="20"/>
                            </w:rPr>
                            <w:t>adjustments</w:t>
                          </w:r>
                        </w:p>
                      </w:txbxContent>
                    </wps:txbx>
                    <wps:bodyPr wrap="square" lIns="0" tIns="0" rIns="0" bIns="0" rtlCol="0">
                      <a:noAutofit/>
                    </wps:bodyPr>
                  </wps:wsp>
                </a:graphicData>
              </a:graphic>
            </wp:anchor>
          </w:drawing>
        </mc:Choice>
        <mc:Fallback>
          <w:pict>
            <v:shape style="position:absolute;margin-left:71pt;margin-top:50.858887pt;width:335.65pt;height:13.1pt;mso-position-horizontal-relative:page;mso-position-vertical-relative:page;z-index:-32677376" type="#_x0000_t202" id="docshape719" filled="false" stroked="false">
              <v:textbox inset="0,0,0,0">
                <w:txbxContent>
                  <w:p>
                    <w:pPr>
                      <w:spacing w:before="11"/>
                      <w:ind w:left="20" w:right="0" w:firstLine="0"/>
                      <w:jc w:val="left"/>
                      <w:rPr>
                        <w:b/>
                        <w:sz w:val="20"/>
                      </w:rPr>
                    </w:pPr>
                    <w:r>
                      <w:rPr>
                        <w:b/>
                        <w:sz w:val="20"/>
                      </w:rPr>
                      <w:t>Table</w:t>
                    </w:r>
                    <w:r>
                      <w:rPr>
                        <w:b/>
                        <w:spacing w:val="-6"/>
                        <w:sz w:val="20"/>
                      </w:rPr>
                      <w:t> </w:t>
                    </w:r>
                    <w:r>
                      <w:rPr>
                        <w:b/>
                        <w:sz w:val="20"/>
                      </w:rPr>
                      <w:t>F1:</w:t>
                    </w:r>
                    <w:r>
                      <w:rPr>
                        <w:b/>
                        <w:spacing w:val="-4"/>
                        <w:sz w:val="20"/>
                      </w:rPr>
                      <w:t> </w:t>
                    </w:r>
                    <w:r>
                      <w:rPr>
                        <w:b/>
                        <w:sz w:val="20"/>
                      </w:rPr>
                      <w:t>Derivative</w:t>
                    </w:r>
                    <w:r>
                      <w:rPr>
                        <w:b/>
                        <w:spacing w:val="-4"/>
                        <w:sz w:val="20"/>
                      </w:rPr>
                      <w:t> </w:t>
                    </w:r>
                    <w:r>
                      <w:rPr>
                        <w:b/>
                        <w:sz w:val="20"/>
                      </w:rPr>
                      <w:t>assets</w:t>
                    </w:r>
                    <w:r>
                      <w:rPr>
                        <w:b/>
                        <w:spacing w:val="-4"/>
                        <w:sz w:val="20"/>
                      </w:rPr>
                      <w:t> </w:t>
                    </w:r>
                    <w:r>
                      <w:rPr>
                        <w:b/>
                        <w:sz w:val="20"/>
                      </w:rPr>
                      <w:t>and</w:t>
                    </w:r>
                    <w:r>
                      <w:rPr>
                        <w:b/>
                        <w:spacing w:val="-3"/>
                        <w:sz w:val="20"/>
                      </w:rPr>
                      <w:t> </w:t>
                    </w:r>
                    <w:r>
                      <w:rPr>
                        <w:b/>
                        <w:sz w:val="20"/>
                      </w:rPr>
                      <w:t>liabilities</w:t>
                    </w:r>
                    <w:r>
                      <w:rPr>
                        <w:b/>
                        <w:spacing w:val="-4"/>
                        <w:sz w:val="20"/>
                      </w:rPr>
                      <w:t> </w:t>
                    </w:r>
                    <w:r>
                      <w:rPr>
                        <w:b/>
                        <w:sz w:val="20"/>
                      </w:rPr>
                      <w:t>before</w:t>
                    </w:r>
                    <w:r>
                      <w:rPr>
                        <w:b/>
                        <w:spacing w:val="-4"/>
                        <w:sz w:val="20"/>
                      </w:rPr>
                      <w:t> </w:t>
                    </w:r>
                    <w:r>
                      <w:rPr>
                        <w:b/>
                        <w:sz w:val="20"/>
                      </w:rPr>
                      <w:t>and</w:t>
                    </w:r>
                    <w:r>
                      <w:rPr>
                        <w:b/>
                        <w:spacing w:val="-4"/>
                        <w:sz w:val="20"/>
                      </w:rPr>
                      <w:t> </w:t>
                    </w:r>
                    <w:r>
                      <w:rPr>
                        <w:b/>
                        <w:sz w:val="20"/>
                      </w:rPr>
                      <w:t>after</w:t>
                    </w:r>
                    <w:r>
                      <w:rPr>
                        <w:b/>
                        <w:spacing w:val="-4"/>
                        <w:sz w:val="20"/>
                      </w:rPr>
                      <w:t> </w:t>
                    </w:r>
                    <w:r>
                      <w:rPr>
                        <w:b/>
                        <w:sz w:val="20"/>
                      </w:rPr>
                      <w:t>netting</w:t>
                    </w:r>
                    <w:r>
                      <w:rPr>
                        <w:b/>
                        <w:spacing w:val="-3"/>
                        <w:sz w:val="20"/>
                      </w:rPr>
                      <w:t> </w:t>
                    </w:r>
                    <w:r>
                      <w:rPr>
                        <w:b/>
                        <w:spacing w:val="-2"/>
                        <w:sz w:val="20"/>
                      </w:rPr>
                      <w:t>adjustments</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41664">
              <wp:simplePos x="0" y="0"/>
              <wp:positionH relativeFrom="page">
                <wp:posOffset>901700</wp:posOffset>
              </wp:positionH>
              <wp:positionV relativeFrom="page">
                <wp:posOffset>645907</wp:posOffset>
              </wp:positionV>
              <wp:extent cx="4358005" cy="16637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4358005" cy="166370"/>
                      </a:xfrm>
                      <a:prstGeom prst="rect">
                        <a:avLst/>
                      </a:prstGeom>
                    </wps:spPr>
                    <wps:txbx>
                      <w:txbxContent>
                        <w:p>
                          <w:pPr>
                            <w:spacing w:before="11"/>
                            <w:ind w:left="20" w:right="0" w:firstLine="0"/>
                            <w:jc w:val="left"/>
                            <w:rPr>
                              <w:b/>
                              <w:sz w:val="20"/>
                            </w:rPr>
                          </w:pPr>
                          <w:r>
                            <w:rPr>
                              <w:b/>
                              <w:sz w:val="20"/>
                            </w:rPr>
                            <w:t>Table</w:t>
                          </w:r>
                          <w:r>
                            <w:rPr>
                              <w:b/>
                              <w:spacing w:val="-7"/>
                              <w:sz w:val="20"/>
                            </w:rPr>
                            <w:t> </w:t>
                          </w:r>
                          <w:r>
                            <w:rPr>
                              <w:b/>
                              <w:sz w:val="20"/>
                            </w:rPr>
                            <w:t>F3:</w:t>
                          </w:r>
                          <w:r>
                            <w:rPr>
                              <w:b/>
                              <w:spacing w:val="-3"/>
                              <w:sz w:val="20"/>
                            </w:rPr>
                            <w:t> </w:t>
                          </w:r>
                          <w:r>
                            <w:rPr>
                              <w:b/>
                              <w:sz w:val="20"/>
                            </w:rPr>
                            <w:t>Unrealized</w:t>
                          </w:r>
                          <w:r>
                            <w:rPr>
                              <w:b/>
                              <w:spacing w:val="-4"/>
                              <w:sz w:val="20"/>
                            </w:rPr>
                            <w:t> </w:t>
                          </w:r>
                          <w:r>
                            <w:rPr>
                              <w:b/>
                              <w:sz w:val="20"/>
                            </w:rPr>
                            <w:t>mark-to-market</w:t>
                          </w:r>
                          <w:r>
                            <w:rPr>
                              <w:b/>
                              <w:spacing w:val="-3"/>
                              <w:sz w:val="20"/>
                            </w:rPr>
                            <w:t> </w:t>
                          </w:r>
                          <w:r>
                            <w:rPr>
                              <w:b/>
                              <w:sz w:val="20"/>
                            </w:rPr>
                            <w:t>gains</w:t>
                          </w:r>
                          <w:r>
                            <w:rPr>
                              <w:b/>
                              <w:spacing w:val="-5"/>
                              <w:sz w:val="20"/>
                            </w:rPr>
                            <w:t> </w:t>
                          </w:r>
                          <w:r>
                            <w:rPr>
                              <w:b/>
                              <w:sz w:val="20"/>
                            </w:rPr>
                            <w:t>or</w:t>
                          </w:r>
                          <w:r>
                            <w:rPr>
                              <w:b/>
                              <w:spacing w:val="-4"/>
                              <w:sz w:val="20"/>
                            </w:rPr>
                            <w:t> </w:t>
                          </w:r>
                          <w:r>
                            <w:rPr>
                              <w:b/>
                              <w:sz w:val="20"/>
                            </w:rPr>
                            <w:t>losses</w:t>
                          </w:r>
                          <w:r>
                            <w:rPr>
                              <w:b/>
                              <w:spacing w:val="-4"/>
                              <w:sz w:val="20"/>
                            </w:rPr>
                            <w:t> </w:t>
                          </w:r>
                          <w:r>
                            <w:rPr>
                              <w:b/>
                              <w:sz w:val="20"/>
                            </w:rPr>
                            <w:t>on</w:t>
                          </w:r>
                          <w:r>
                            <w:rPr>
                              <w:b/>
                              <w:spacing w:val="-4"/>
                              <w:sz w:val="20"/>
                            </w:rPr>
                            <w:t> </w:t>
                          </w:r>
                          <w:r>
                            <w:rPr>
                              <w:b/>
                              <w:sz w:val="20"/>
                            </w:rPr>
                            <w:t>non-trading</w:t>
                          </w:r>
                          <w:r>
                            <w:rPr>
                              <w:b/>
                              <w:spacing w:val="-3"/>
                              <w:sz w:val="20"/>
                            </w:rPr>
                            <w:t> </w:t>
                          </w:r>
                          <w:r>
                            <w:rPr>
                              <w:b/>
                              <w:spacing w:val="-2"/>
                              <w:sz w:val="20"/>
                            </w:rPr>
                            <w:t>derivatives</w:t>
                          </w:r>
                        </w:p>
                      </w:txbxContent>
                    </wps:txbx>
                    <wps:bodyPr wrap="square" lIns="0" tIns="0" rIns="0" bIns="0" rtlCol="0">
                      <a:noAutofit/>
                    </wps:bodyPr>
                  </wps:wsp>
                </a:graphicData>
              </a:graphic>
            </wp:anchor>
          </w:drawing>
        </mc:Choice>
        <mc:Fallback>
          <w:pict>
            <v:shape style="position:absolute;margin-left:71pt;margin-top:50.858887pt;width:343.15pt;height:13.1pt;mso-position-horizontal-relative:page;mso-position-vertical-relative:page;z-index:-32674816" type="#_x0000_t202" id="docshape731" filled="false" stroked="false">
              <v:textbox inset="0,0,0,0">
                <w:txbxContent>
                  <w:p>
                    <w:pPr>
                      <w:spacing w:before="11"/>
                      <w:ind w:left="20" w:right="0" w:firstLine="0"/>
                      <w:jc w:val="left"/>
                      <w:rPr>
                        <w:b/>
                        <w:sz w:val="20"/>
                      </w:rPr>
                    </w:pPr>
                    <w:r>
                      <w:rPr>
                        <w:b/>
                        <w:sz w:val="20"/>
                      </w:rPr>
                      <w:t>Table</w:t>
                    </w:r>
                    <w:r>
                      <w:rPr>
                        <w:b/>
                        <w:spacing w:val="-7"/>
                        <w:sz w:val="20"/>
                      </w:rPr>
                      <w:t> </w:t>
                    </w:r>
                    <w:r>
                      <w:rPr>
                        <w:b/>
                        <w:sz w:val="20"/>
                      </w:rPr>
                      <w:t>F3:</w:t>
                    </w:r>
                    <w:r>
                      <w:rPr>
                        <w:b/>
                        <w:spacing w:val="-3"/>
                        <w:sz w:val="20"/>
                      </w:rPr>
                      <w:t> </w:t>
                    </w:r>
                    <w:r>
                      <w:rPr>
                        <w:b/>
                        <w:sz w:val="20"/>
                      </w:rPr>
                      <w:t>Unrealized</w:t>
                    </w:r>
                    <w:r>
                      <w:rPr>
                        <w:b/>
                        <w:spacing w:val="-4"/>
                        <w:sz w:val="20"/>
                      </w:rPr>
                      <w:t> </w:t>
                    </w:r>
                    <w:r>
                      <w:rPr>
                        <w:b/>
                        <w:sz w:val="20"/>
                      </w:rPr>
                      <w:t>mark-to-market</w:t>
                    </w:r>
                    <w:r>
                      <w:rPr>
                        <w:b/>
                        <w:spacing w:val="-3"/>
                        <w:sz w:val="20"/>
                      </w:rPr>
                      <w:t> </w:t>
                    </w:r>
                    <w:r>
                      <w:rPr>
                        <w:b/>
                        <w:sz w:val="20"/>
                      </w:rPr>
                      <w:t>gains</w:t>
                    </w:r>
                    <w:r>
                      <w:rPr>
                        <w:b/>
                        <w:spacing w:val="-5"/>
                        <w:sz w:val="20"/>
                      </w:rPr>
                      <w:t> </w:t>
                    </w:r>
                    <w:r>
                      <w:rPr>
                        <w:b/>
                        <w:sz w:val="20"/>
                      </w:rPr>
                      <w:t>or</w:t>
                    </w:r>
                    <w:r>
                      <w:rPr>
                        <w:b/>
                        <w:spacing w:val="-4"/>
                        <w:sz w:val="20"/>
                      </w:rPr>
                      <w:t> </w:t>
                    </w:r>
                    <w:r>
                      <w:rPr>
                        <w:b/>
                        <w:sz w:val="20"/>
                      </w:rPr>
                      <w:t>losses</w:t>
                    </w:r>
                    <w:r>
                      <w:rPr>
                        <w:b/>
                        <w:spacing w:val="-4"/>
                        <w:sz w:val="20"/>
                      </w:rPr>
                      <w:t> </w:t>
                    </w:r>
                    <w:r>
                      <w:rPr>
                        <w:b/>
                        <w:sz w:val="20"/>
                      </w:rPr>
                      <w:t>on</w:t>
                    </w:r>
                    <w:r>
                      <w:rPr>
                        <w:b/>
                        <w:spacing w:val="-4"/>
                        <w:sz w:val="20"/>
                      </w:rPr>
                      <w:t> </w:t>
                    </w:r>
                    <w:r>
                      <w:rPr>
                        <w:b/>
                        <w:sz w:val="20"/>
                      </w:rPr>
                      <w:t>non-trading</w:t>
                    </w:r>
                    <w:r>
                      <w:rPr>
                        <w:b/>
                        <w:spacing w:val="-3"/>
                        <w:sz w:val="20"/>
                      </w:rPr>
                      <w:t> </w:t>
                    </w:r>
                    <w:r>
                      <w:rPr>
                        <w:b/>
                        <w:spacing w:val="-2"/>
                        <w:sz w:val="20"/>
                      </w:rPr>
                      <w:t>derivatives</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4464">
              <wp:simplePos x="0" y="0"/>
              <wp:positionH relativeFrom="page">
                <wp:posOffset>914400</wp:posOffset>
              </wp:positionH>
              <wp:positionV relativeFrom="page">
                <wp:posOffset>981075</wp:posOffset>
              </wp:positionV>
              <wp:extent cx="5943600" cy="127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2662016" from="72pt,77.25pt" to="540pt,77.25pt" stroked="true" strokeweight="1pt" strokecolor="#000000">
              <v:stroke dashstyle="solid"/>
              <w10:wrap type="none"/>
            </v:line>
          </w:pict>
        </mc:Fallback>
      </mc:AlternateContent>
    </w:r>
    <w:r>
      <w:rPr/>
      <mc:AlternateContent>
        <mc:Choice Requires="wps">
          <w:drawing>
            <wp:anchor distT="0" distB="0" distL="0" distR="0" allowOverlap="1" layoutInCell="1" locked="0" behindDoc="1" simplePos="0" relativeHeight="470654976">
              <wp:simplePos x="0" y="0"/>
              <wp:positionH relativeFrom="page">
                <wp:posOffset>901700</wp:posOffset>
              </wp:positionH>
              <wp:positionV relativeFrom="page">
                <wp:posOffset>645907</wp:posOffset>
              </wp:positionV>
              <wp:extent cx="1036955" cy="32956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1036955" cy="329565"/>
                      </a:xfrm>
                      <a:prstGeom prst="rect">
                        <a:avLst/>
                      </a:prstGeom>
                    </wps:spPr>
                    <wps:txbx>
                      <w:txbxContent>
                        <w:p>
                          <w:pPr>
                            <w:spacing w:before="11"/>
                            <w:ind w:left="20" w:right="0" w:firstLine="0"/>
                            <w:jc w:val="left"/>
                            <w:rPr>
                              <w:b/>
                              <w:sz w:val="20"/>
                            </w:rPr>
                          </w:pPr>
                          <w:r>
                            <w:rPr>
                              <w:b/>
                              <w:spacing w:val="-4"/>
                              <w:sz w:val="20"/>
                            </w:rPr>
                            <w:t>J8.1</w:t>
                          </w:r>
                        </w:p>
                        <w:p>
                          <w:pPr>
                            <w:spacing w:before="96"/>
                            <w:ind w:left="72" w:right="0" w:firstLine="0"/>
                            <w:jc w:val="left"/>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xbxContent>
                    </wps:txbx>
                    <wps:bodyPr wrap="square" lIns="0" tIns="0" rIns="0" bIns="0" rtlCol="0">
                      <a:noAutofit/>
                    </wps:bodyPr>
                  </wps:wsp>
                </a:graphicData>
              </a:graphic>
            </wp:anchor>
          </w:drawing>
        </mc:Choice>
        <mc:Fallback>
          <w:pict>
            <v:shape style="position:absolute;margin-left:71pt;margin-top:50.858887pt;width:81.650pt;height:25.95pt;mso-position-horizontal-relative:page;mso-position-vertical-relative:page;z-index:-32661504" type="#_x0000_t202" id="docshape802" filled="false" stroked="false">
              <v:textbox inset="0,0,0,0">
                <w:txbxContent>
                  <w:p>
                    <w:pPr>
                      <w:spacing w:before="11"/>
                      <w:ind w:left="20" w:right="0" w:firstLine="0"/>
                      <w:jc w:val="left"/>
                      <w:rPr>
                        <w:b/>
                        <w:sz w:val="20"/>
                      </w:rPr>
                    </w:pPr>
                    <w:r>
                      <w:rPr>
                        <w:b/>
                        <w:spacing w:val="-4"/>
                        <w:sz w:val="20"/>
                      </w:rPr>
                      <w:t>J8.1</w:t>
                    </w:r>
                  </w:p>
                  <w:p>
                    <w:pPr>
                      <w:spacing w:before="96"/>
                      <w:ind w:left="72" w:right="0" w:firstLine="0"/>
                      <w:jc w:val="left"/>
                      <w:rPr>
                        <w:rFonts w:ascii="Arial"/>
                        <w:i/>
                        <w:sz w:val="14"/>
                      </w:rPr>
                    </w:pPr>
                    <w:r>
                      <w:rPr>
                        <w:rFonts w:ascii="Arial"/>
                        <w:i/>
                        <w:sz w:val="14"/>
                      </w:rPr>
                      <w:t>In</w:t>
                    </w:r>
                    <w:r>
                      <w:rPr>
                        <w:rFonts w:ascii="Arial"/>
                        <w:i/>
                        <w:spacing w:val="-3"/>
                        <w:sz w:val="14"/>
                      </w:rPr>
                      <w:t> </w:t>
                    </w:r>
                    <w:r>
                      <w:rPr>
                        <w:rFonts w:ascii="Arial"/>
                        <w:i/>
                        <w:sz w:val="14"/>
                      </w:rPr>
                      <w:t>millions</w:t>
                    </w:r>
                    <w:r>
                      <w:rPr>
                        <w:rFonts w:ascii="Arial"/>
                        <w:i/>
                        <w:spacing w:val="-2"/>
                        <w:sz w:val="14"/>
                      </w:rPr>
                      <w:t> </w:t>
                    </w:r>
                    <w:r>
                      <w:rPr>
                        <w:rFonts w:ascii="Arial"/>
                        <w:i/>
                        <w:sz w:val="14"/>
                      </w:rPr>
                      <w:t>of</w:t>
                    </w:r>
                    <w:r>
                      <w:rPr>
                        <w:rFonts w:ascii="Arial"/>
                        <w:i/>
                        <w:spacing w:val="-2"/>
                        <w:sz w:val="14"/>
                      </w:rPr>
                      <w:t> </w:t>
                    </w:r>
                    <w:r>
                      <w:rPr>
                        <w:rFonts w:ascii="Arial"/>
                        <w:i/>
                        <w:sz w:val="14"/>
                      </w:rPr>
                      <w:t>U.S.</w:t>
                    </w:r>
                    <w:r>
                      <w:rPr>
                        <w:rFonts w:ascii="Arial"/>
                        <w:i/>
                        <w:spacing w:val="-2"/>
                        <w:sz w:val="14"/>
                      </w:rPr>
                      <w:t> dollars</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0657536">
              <wp:simplePos x="0" y="0"/>
              <wp:positionH relativeFrom="page">
                <wp:posOffset>914400</wp:posOffset>
              </wp:positionH>
              <wp:positionV relativeFrom="page">
                <wp:posOffset>990600</wp:posOffset>
              </wp:positionV>
              <wp:extent cx="5943600" cy="127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5943600" cy="1270"/>
                      </a:xfrm>
                      <a:custGeom>
                        <a:avLst/>
                        <a:gdLst/>
                        <a:ahLst/>
                        <a:cxnLst/>
                        <a:rect l="l" t="t" r="r" b="b"/>
                        <a:pathLst>
                          <a:path w="5943600" h="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32658944" from="72pt,78pt" to="540pt,78pt" stroked="true" strokeweight="1pt" strokecolor="#000000">
              <v:stroke dashstyle="solid"/>
              <w10:wrap type="none"/>
            </v:line>
          </w:pict>
        </mc:Fallback>
      </mc:AlternateContent>
    </w:r>
    <w:r>
      <w:rPr/>
      <mc:AlternateContent>
        <mc:Choice Requires="wps">
          <w:drawing>
            <wp:anchor distT="0" distB="0" distL="0" distR="0" allowOverlap="1" layoutInCell="1" locked="0" behindDoc="1" simplePos="0" relativeHeight="470658048">
              <wp:simplePos x="0" y="0"/>
              <wp:positionH relativeFrom="page">
                <wp:posOffset>901700</wp:posOffset>
              </wp:positionH>
              <wp:positionV relativeFrom="page">
                <wp:posOffset>645907</wp:posOffset>
              </wp:positionV>
              <wp:extent cx="2028189" cy="33909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2028189" cy="339090"/>
                      </a:xfrm>
                      <a:prstGeom prst="rect">
                        <a:avLst/>
                      </a:prstGeom>
                    </wps:spPr>
                    <wps:txbx>
                      <w:txbxContent>
                        <w:p>
                          <w:pPr>
                            <w:spacing w:before="11"/>
                            <w:ind w:left="20" w:right="0" w:firstLine="0"/>
                            <w:jc w:val="left"/>
                            <w:rPr>
                              <w:b/>
                              <w:sz w:val="20"/>
                            </w:rPr>
                          </w:pPr>
                          <w:r>
                            <w:rPr>
                              <w:b/>
                              <w:sz w:val="20"/>
                            </w:rPr>
                            <w:t>Table</w:t>
                          </w:r>
                          <w:r>
                            <w:rPr>
                              <w:b/>
                              <w:spacing w:val="-5"/>
                              <w:sz w:val="20"/>
                            </w:rPr>
                            <w:t> </w:t>
                          </w:r>
                          <w:r>
                            <w:rPr>
                              <w:b/>
                              <w:sz w:val="20"/>
                            </w:rPr>
                            <w:t>J9:</w:t>
                          </w:r>
                          <w:r>
                            <w:rPr>
                              <w:b/>
                              <w:spacing w:val="-3"/>
                              <w:sz w:val="20"/>
                            </w:rPr>
                            <w:t> </w:t>
                          </w:r>
                          <w:r>
                            <w:rPr>
                              <w:b/>
                              <w:sz w:val="20"/>
                            </w:rPr>
                            <w:t>Expected</w:t>
                          </w:r>
                          <w:r>
                            <w:rPr>
                              <w:b/>
                              <w:spacing w:val="-4"/>
                              <w:sz w:val="20"/>
                            </w:rPr>
                            <w:t> </w:t>
                          </w:r>
                          <w:r>
                            <w:rPr>
                              <w:b/>
                              <w:sz w:val="20"/>
                            </w:rPr>
                            <w:t>benefit</w:t>
                          </w:r>
                          <w:r>
                            <w:rPr>
                              <w:b/>
                              <w:spacing w:val="-3"/>
                              <w:sz w:val="20"/>
                            </w:rPr>
                            <w:t> </w:t>
                          </w:r>
                          <w:r>
                            <w:rPr>
                              <w:b/>
                              <w:spacing w:val="-2"/>
                              <w:sz w:val="20"/>
                            </w:rPr>
                            <w:t>payments</w:t>
                          </w:r>
                        </w:p>
                        <w:p>
                          <w:pPr>
                            <w:spacing w:before="88"/>
                            <w:ind w:left="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xbxContent>
                    </wps:txbx>
                    <wps:bodyPr wrap="square" lIns="0" tIns="0" rIns="0" bIns="0" rtlCol="0">
                      <a:noAutofit/>
                    </wps:bodyPr>
                  </wps:wsp>
                </a:graphicData>
              </a:graphic>
            </wp:anchor>
          </w:drawing>
        </mc:Choice>
        <mc:Fallback>
          <w:pict>
            <v:shape style="position:absolute;margin-left:71pt;margin-top:50.858887pt;width:159.7pt;height:26.7pt;mso-position-horizontal-relative:page;mso-position-vertical-relative:page;z-index:-32658432" type="#_x0000_t202" id="docshape810" filled="false" stroked="false">
              <v:textbox inset="0,0,0,0">
                <w:txbxContent>
                  <w:p>
                    <w:pPr>
                      <w:spacing w:before="11"/>
                      <w:ind w:left="20" w:right="0" w:firstLine="0"/>
                      <w:jc w:val="left"/>
                      <w:rPr>
                        <w:b/>
                        <w:sz w:val="20"/>
                      </w:rPr>
                    </w:pPr>
                    <w:r>
                      <w:rPr>
                        <w:b/>
                        <w:sz w:val="20"/>
                      </w:rPr>
                      <w:t>Table</w:t>
                    </w:r>
                    <w:r>
                      <w:rPr>
                        <w:b/>
                        <w:spacing w:val="-5"/>
                        <w:sz w:val="20"/>
                      </w:rPr>
                      <w:t> </w:t>
                    </w:r>
                    <w:r>
                      <w:rPr>
                        <w:b/>
                        <w:sz w:val="20"/>
                      </w:rPr>
                      <w:t>J9:</w:t>
                    </w:r>
                    <w:r>
                      <w:rPr>
                        <w:b/>
                        <w:spacing w:val="-3"/>
                        <w:sz w:val="20"/>
                      </w:rPr>
                      <w:t> </w:t>
                    </w:r>
                    <w:r>
                      <w:rPr>
                        <w:b/>
                        <w:sz w:val="20"/>
                      </w:rPr>
                      <w:t>Expected</w:t>
                    </w:r>
                    <w:r>
                      <w:rPr>
                        <w:b/>
                        <w:spacing w:val="-4"/>
                        <w:sz w:val="20"/>
                      </w:rPr>
                      <w:t> </w:t>
                    </w:r>
                    <w:r>
                      <w:rPr>
                        <w:b/>
                        <w:sz w:val="20"/>
                      </w:rPr>
                      <w:t>benefit</w:t>
                    </w:r>
                    <w:r>
                      <w:rPr>
                        <w:b/>
                        <w:spacing w:val="-3"/>
                        <w:sz w:val="20"/>
                      </w:rPr>
                      <w:t> </w:t>
                    </w:r>
                    <w:r>
                      <w:rPr>
                        <w:b/>
                        <w:spacing w:val="-2"/>
                        <w:sz w:val="20"/>
                      </w:rPr>
                      <w:t>payments</w:t>
                    </w:r>
                  </w:p>
                  <w:p>
                    <w:pPr>
                      <w:spacing w:before="88"/>
                      <w:ind w:left="72" w:right="0" w:firstLine="0"/>
                      <w:jc w:val="left"/>
                      <w:rPr>
                        <w:rFonts w:ascii="Arial"/>
                        <w:i/>
                        <w:sz w:val="16"/>
                      </w:rPr>
                    </w:pPr>
                    <w:r>
                      <w:rPr>
                        <w:rFonts w:ascii="Arial"/>
                        <w:i/>
                        <w:sz w:val="16"/>
                      </w:rPr>
                      <w:t>In</w:t>
                    </w:r>
                    <w:r>
                      <w:rPr>
                        <w:rFonts w:ascii="Arial"/>
                        <w:i/>
                        <w:spacing w:val="-3"/>
                        <w:sz w:val="16"/>
                      </w:rPr>
                      <w:t> </w:t>
                    </w:r>
                    <w:r>
                      <w:rPr>
                        <w:rFonts w:ascii="Arial"/>
                        <w:i/>
                        <w:sz w:val="16"/>
                      </w:rPr>
                      <w:t>millions</w:t>
                    </w:r>
                    <w:r>
                      <w:rPr>
                        <w:rFonts w:ascii="Arial"/>
                        <w:i/>
                        <w:spacing w:val="-2"/>
                        <w:sz w:val="16"/>
                      </w:rPr>
                      <w:t> </w:t>
                    </w:r>
                    <w:r>
                      <w:rPr>
                        <w:rFonts w:ascii="Arial"/>
                        <w:i/>
                        <w:sz w:val="16"/>
                      </w:rPr>
                      <w:t>of</w:t>
                    </w:r>
                    <w:r>
                      <w:rPr>
                        <w:rFonts w:ascii="Arial"/>
                        <w:i/>
                        <w:spacing w:val="-2"/>
                        <w:sz w:val="16"/>
                      </w:rPr>
                      <w:t> </w:t>
                    </w:r>
                    <w:r>
                      <w:rPr>
                        <w:rFonts w:ascii="Arial"/>
                        <w:i/>
                        <w:sz w:val="16"/>
                      </w:rPr>
                      <w:t>U.S.</w:t>
                    </w:r>
                    <w:r>
                      <w:rPr>
                        <w:rFonts w:ascii="Arial"/>
                        <w:i/>
                        <w:spacing w:val="-2"/>
                        <w:sz w:val="16"/>
                      </w:rPr>
                      <w:t> dollars</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lowerLetter"/>
      <w:lvlText w:val="%1."/>
      <w:lvlJc w:val="left"/>
      <w:pPr>
        <w:ind w:left="952" w:hanging="189"/>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89"/>
      </w:pPr>
      <w:rPr>
        <w:rFonts w:hint="default"/>
        <w:lang w:val="en-US" w:eastAsia="en-US" w:bidi="ar-SA"/>
      </w:rPr>
    </w:lvl>
    <w:lvl w:ilvl="2">
      <w:start w:val="0"/>
      <w:numFmt w:val="bullet"/>
      <w:lvlText w:val="•"/>
      <w:lvlJc w:val="left"/>
      <w:pPr>
        <w:ind w:left="2928" w:hanging="189"/>
      </w:pPr>
      <w:rPr>
        <w:rFonts w:hint="default"/>
        <w:lang w:val="en-US" w:eastAsia="en-US" w:bidi="ar-SA"/>
      </w:rPr>
    </w:lvl>
    <w:lvl w:ilvl="3">
      <w:start w:val="0"/>
      <w:numFmt w:val="bullet"/>
      <w:lvlText w:val="•"/>
      <w:lvlJc w:val="left"/>
      <w:pPr>
        <w:ind w:left="3912" w:hanging="189"/>
      </w:pPr>
      <w:rPr>
        <w:rFonts w:hint="default"/>
        <w:lang w:val="en-US" w:eastAsia="en-US" w:bidi="ar-SA"/>
      </w:rPr>
    </w:lvl>
    <w:lvl w:ilvl="4">
      <w:start w:val="0"/>
      <w:numFmt w:val="bullet"/>
      <w:lvlText w:val="•"/>
      <w:lvlJc w:val="left"/>
      <w:pPr>
        <w:ind w:left="4896" w:hanging="189"/>
      </w:pPr>
      <w:rPr>
        <w:rFonts w:hint="default"/>
        <w:lang w:val="en-US" w:eastAsia="en-US" w:bidi="ar-SA"/>
      </w:rPr>
    </w:lvl>
    <w:lvl w:ilvl="5">
      <w:start w:val="0"/>
      <w:numFmt w:val="bullet"/>
      <w:lvlText w:val="•"/>
      <w:lvlJc w:val="left"/>
      <w:pPr>
        <w:ind w:left="5880" w:hanging="189"/>
      </w:pPr>
      <w:rPr>
        <w:rFonts w:hint="default"/>
        <w:lang w:val="en-US" w:eastAsia="en-US" w:bidi="ar-SA"/>
      </w:rPr>
    </w:lvl>
    <w:lvl w:ilvl="6">
      <w:start w:val="0"/>
      <w:numFmt w:val="bullet"/>
      <w:lvlText w:val="•"/>
      <w:lvlJc w:val="left"/>
      <w:pPr>
        <w:ind w:left="6864" w:hanging="189"/>
      </w:pPr>
      <w:rPr>
        <w:rFonts w:hint="default"/>
        <w:lang w:val="en-US" w:eastAsia="en-US" w:bidi="ar-SA"/>
      </w:rPr>
    </w:lvl>
    <w:lvl w:ilvl="7">
      <w:start w:val="0"/>
      <w:numFmt w:val="bullet"/>
      <w:lvlText w:val="•"/>
      <w:lvlJc w:val="left"/>
      <w:pPr>
        <w:ind w:left="7848" w:hanging="189"/>
      </w:pPr>
      <w:rPr>
        <w:rFonts w:hint="default"/>
        <w:lang w:val="en-US" w:eastAsia="en-US" w:bidi="ar-SA"/>
      </w:rPr>
    </w:lvl>
    <w:lvl w:ilvl="8">
      <w:start w:val="0"/>
      <w:numFmt w:val="bullet"/>
      <w:lvlText w:val="•"/>
      <w:lvlJc w:val="left"/>
      <w:pPr>
        <w:ind w:left="8832" w:hanging="189"/>
      </w:pPr>
      <w:rPr>
        <w:rFonts w:hint="default"/>
        <w:lang w:val="en-US" w:eastAsia="en-US" w:bidi="ar-SA"/>
      </w:rPr>
    </w:lvl>
  </w:abstractNum>
  <w:abstractNum w:abstractNumId="2">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47">
    <w:multiLevelType w:val="hybridMultilevel"/>
    <w:lvl w:ilvl="0">
      <w:start w:val="1"/>
      <w:numFmt w:val="lowerLetter"/>
      <w:lvlText w:val="%1."/>
      <w:lvlJc w:val="left"/>
      <w:pPr>
        <w:ind w:left="928"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08" w:hanging="156"/>
      </w:pPr>
      <w:rPr>
        <w:rFonts w:hint="default"/>
        <w:lang w:val="en-US" w:eastAsia="en-US" w:bidi="ar-SA"/>
      </w:rPr>
    </w:lvl>
    <w:lvl w:ilvl="2">
      <w:start w:val="0"/>
      <w:numFmt w:val="bullet"/>
      <w:lvlText w:val="•"/>
      <w:lvlJc w:val="left"/>
      <w:pPr>
        <w:ind w:left="2896" w:hanging="156"/>
      </w:pPr>
      <w:rPr>
        <w:rFonts w:hint="default"/>
        <w:lang w:val="en-US" w:eastAsia="en-US" w:bidi="ar-SA"/>
      </w:rPr>
    </w:lvl>
    <w:lvl w:ilvl="3">
      <w:start w:val="0"/>
      <w:numFmt w:val="bullet"/>
      <w:lvlText w:val="•"/>
      <w:lvlJc w:val="left"/>
      <w:pPr>
        <w:ind w:left="3884" w:hanging="156"/>
      </w:pPr>
      <w:rPr>
        <w:rFonts w:hint="default"/>
        <w:lang w:val="en-US" w:eastAsia="en-US" w:bidi="ar-SA"/>
      </w:rPr>
    </w:lvl>
    <w:lvl w:ilvl="4">
      <w:start w:val="0"/>
      <w:numFmt w:val="bullet"/>
      <w:lvlText w:val="•"/>
      <w:lvlJc w:val="left"/>
      <w:pPr>
        <w:ind w:left="4872" w:hanging="156"/>
      </w:pPr>
      <w:rPr>
        <w:rFonts w:hint="default"/>
        <w:lang w:val="en-US" w:eastAsia="en-US" w:bidi="ar-SA"/>
      </w:rPr>
    </w:lvl>
    <w:lvl w:ilvl="5">
      <w:start w:val="0"/>
      <w:numFmt w:val="bullet"/>
      <w:lvlText w:val="•"/>
      <w:lvlJc w:val="left"/>
      <w:pPr>
        <w:ind w:left="5860" w:hanging="156"/>
      </w:pPr>
      <w:rPr>
        <w:rFonts w:hint="default"/>
        <w:lang w:val="en-US" w:eastAsia="en-US" w:bidi="ar-SA"/>
      </w:rPr>
    </w:lvl>
    <w:lvl w:ilvl="6">
      <w:start w:val="0"/>
      <w:numFmt w:val="bullet"/>
      <w:lvlText w:val="•"/>
      <w:lvlJc w:val="left"/>
      <w:pPr>
        <w:ind w:left="6848" w:hanging="156"/>
      </w:pPr>
      <w:rPr>
        <w:rFonts w:hint="default"/>
        <w:lang w:val="en-US" w:eastAsia="en-US" w:bidi="ar-SA"/>
      </w:rPr>
    </w:lvl>
    <w:lvl w:ilvl="7">
      <w:start w:val="0"/>
      <w:numFmt w:val="bullet"/>
      <w:lvlText w:val="•"/>
      <w:lvlJc w:val="left"/>
      <w:pPr>
        <w:ind w:left="7836" w:hanging="156"/>
      </w:pPr>
      <w:rPr>
        <w:rFonts w:hint="default"/>
        <w:lang w:val="en-US" w:eastAsia="en-US" w:bidi="ar-SA"/>
      </w:rPr>
    </w:lvl>
    <w:lvl w:ilvl="8">
      <w:start w:val="0"/>
      <w:numFmt w:val="bullet"/>
      <w:lvlText w:val="•"/>
      <w:lvlJc w:val="left"/>
      <w:pPr>
        <w:ind w:left="8824" w:hanging="156"/>
      </w:pPr>
      <w:rPr>
        <w:rFonts w:hint="default"/>
        <w:lang w:val="en-US" w:eastAsia="en-US" w:bidi="ar-SA"/>
      </w:rPr>
    </w:lvl>
  </w:abstractNum>
  <w:abstractNum w:abstractNumId="46">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45">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44">
    <w:multiLevelType w:val="hybridMultilevel"/>
    <w:lvl w:ilvl="0">
      <w:start w:val="1"/>
      <w:numFmt w:val="lowerLetter"/>
      <w:lvlText w:val="%1."/>
      <w:lvlJc w:val="left"/>
      <w:pPr>
        <w:ind w:left="928"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08" w:hanging="156"/>
      </w:pPr>
      <w:rPr>
        <w:rFonts w:hint="default"/>
        <w:lang w:val="en-US" w:eastAsia="en-US" w:bidi="ar-SA"/>
      </w:rPr>
    </w:lvl>
    <w:lvl w:ilvl="2">
      <w:start w:val="0"/>
      <w:numFmt w:val="bullet"/>
      <w:lvlText w:val="•"/>
      <w:lvlJc w:val="left"/>
      <w:pPr>
        <w:ind w:left="2896" w:hanging="156"/>
      </w:pPr>
      <w:rPr>
        <w:rFonts w:hint="default"/>
        <w:lang w:val="en-US" w:eastAsia="en-US" w:bidi="ar-SA"/>
      </w:rPr>
    </w:lvl>
    <w:lvl w:ilvl="3">
      <w:start w:val="0"/>
      <w:numFmt w:val="bullet"/>
      <w:lvlText w:val="•"/>
      <w:lvlJc w:val="left"/>
      <w:pPr>
        <w:ind w:left="3884" w:hanging="156"/>
      </w:pPr>
      <w:rPr>
        <w:rFonts w:hint="default"/>
        <w:lang w:val="en-US" w:eastAsia="en-US" w:bidi="ar-SA"/>
      </w:rPr>
    </w:lvl>
    <w:lvl w:ilvl="4">
      <w:start w:val="0"/>
      <w:numFmt w:val="bullet"/>
      <w:lvlText w:val="•"/>
      <w:lvlJc w:val="left"/>
      <w:pPr>
        <w:ind w:left="4872" w:hanging="156"/>
      </w:pPr>
      <w:rPr>
        <w:rFonts w:hint="default"/>
        <w:lang w:val="en-US" w:eastAsia="en-US" w:bidi="ar-SA"/>
      </w:rPr>
    </w:lvl>
    <w:lvl w:ilvl="5">
      <w:start w:val="0"/>
      <w:numFmt w:val="bullet"/>
      <w:lvlText w:val="•"/>
      <w:lvlJc w:val="left"/>
      <w:pPr>
        <w:ind w:left="5860" w:hanging="156"/>
      </w:pPr>
      <w:rPr>
        <w:rFonts w:hint="default"/>
        <w:lang w:val="en-US" w:eastAsia="en-US" w:bidi="ar-SA"/>
      </w:rPr>
    </w:lvl>
    <w:lvl w:ilvl="6">
      <w:start w:val="0"/>
      <w:numFmt w:val="bullet"/>
      <w:lvlText w:val="•"/>
      <w:lvlJc w:val="left"/>
      <w:pPr>
        <w:ind w:left="6848" w:hanging="156"/>
      </w:pPr>
      <w:rPr>
        <w:rFonts w:hint="default"/>
        <w:lang w:val="en-US" w:eastAsia="en-US" w:bidi="ar-SA"/>
      </w:rPr>
    </w:lvl>
    <w:lvl w:ilvl="7">
      <w:start w:val="0"/>
      <w:numFmt w:val="bullet"/>
      <w:lvlText w:val="•"/>
      <w:lvlJc w:val="left"/>
      <w:pPr>
        <w:ind w:left="7836" w:hanging="156"/>
      </w:pPr>
      <w:rPr>
        <w:rFonts w:hint="default"/>
        <w:lang w:val="en-US" w:eastAsia="en-US" w:bidi="ar-SA"/>
      </w:rPr>
    </w:lvl>
    <w:lvl w:ilvl="8">
      <w:start w:val="0"/>
      <w:numFmt w:val="bullet"/>
      <w:lvlText w:val="•"/>
      <w:lvlJc w:val="left"/>
      <w:pPr>
        <w:ind w:left="8824" w:hanging="156"/>
      </w:pPr>
      <w:rPr>
        <w:rFonts w:hint="default"/>
        <w:lang w:val="en-US" w:eastAsia="en-US" w:bidi="ar-SA"/>
      </w:rPr>
    </w:lvl>
  </w:abstractNum>
  <w:abstractNum w:abstractNumId="43">
    <w:multiLevelType w:val="hybridMultilevel"/>
    <w:lvl w:ilvl="0">
      <w:start w:val="1"/>
      <w:numFmt w:val="lowerLetter"/>
      <w:lvlText w:val="%1."/>
      <w:lvlJc w:val="left"/>
      <w:pPr>
        <w:ind w:left="928"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08" w:hanging="156"/>
      </w:pPr>
      <w:rPr>
        <w:rFonts w:hint="default"/>
        <w:lang w:val="en-US" w:eastAsia="en-US" w:bidi="ar-SA"/>
      </w:rPr>
    </w:lvl>
    <w:lvl w:ilvl="2">
      <w:start w:val="0"/>
      <w:numFmt w:val="bullet"/>
      <w:lvlText w:val="•"/>
      <w:lvlJc w:val="left"/>
      <w:pPr>
        <w:ind w:left="2896" w:hanging="156"/>
      </w:pPr>
      <w:rPr>
        <w:rFonts w:hint="default"/>
        <w:lang w:val="en-US" w:eastAsia="en-US" w:bidi="ar-SA"/>
      </w:rPr>
    </w:lvl>
    <w:lvl w:ilvl="3">
      <w:start w:val="0"/>
      <w:numFmt w:val="bullet"/>
      <w:lvlText w:val="•"/>
      <w:lvlJc w:val="left"/>
      <w:pPr>
        <w:ind w:left="3884" w:hanging="156"/>
      </w:pPr>
      <w:rPr>
        <w:rFonts w:hint="default"/>
        <w:lang w:val="en-US" w:eastAsia="en-US" w:bidi="ar-SA"/>
      </w:rPr>
    </w:lvl>
    <w:lvl w:ilvl="4">
      <w:start w:val="0"/>
      <w:numFmt w:val="bullet"/>
      <w:lvlText w:val="•"/>
      <w:lvlJc w:val="left"/>
      <w:pPr>
        <w:ind w:left="4872" w:hanging="156"/>
      </w:pPr>
      <w:rPr>
        <w:rFonts w:hint="default"/>
        <w:lang w:val="en-US" w:eastAsia="en-US" w:bidi="ar-SA"/>
      </w:rPr>
    </w:lvl>
    <w:lvl w:ilvl="5">
      <w:start w:val="0"/>
      <w:numFmt w:val="bullet"/>
      <w:lvlText w:val="•"/>
      <w:lvlJc w:val="left"/>
      <w:pPr>
        <w:ind w:left="5860" w:hanging="156"/>
      </w:pPr>
      <w:rPr>
        <w:rFonts w:hint="default"/>
        <w:lang w:val="en-US" w:eastAsia="en-US" w:bidi="ar-SA"/>
      </w:rPr>
    </w:lvl>
    <w:lvl w:ilvl="6">
      <w:start w:val="0"/>
      <w:numFmt w:val="bullet"/>
      <w:lvlText w:val="•"/>
      <w:lvlJc w:val="left"/>
      <w:pPr>
        <w:ind w:left="6848" w:hanging="156"/>
      </w:pPr>
      <w:rPr>
        <w:rFonts w:hint="default"/>
        <w:lang w:val="en-US" w:eastAsia="en-US" w:bidi="ar-SA"/>
      </w:rPr>
    </w:lvl>
    <w:lvl w:ilvl="7">
      <w:start w:val="0"/>
      <w:numFmt w:val="bullet"/>
      <w:lvlText w:val="•"/>
      <w:lvlJc w:val="left"/>
      <w:pPr>
        <w:ind w:left="7836" w:hanging="156"/>
      </w:pPr>
      <w:rPr>
        <w:rFonts w:hint="default"/>
        <w:lang w:val="en-US" w:eastAsia="en-US" w:bidi="ar-SA"/>
      </w:rPr>
    </w:lvl>
    <w:lvl w:ilvl="8">
      <w:start w:val="0"/>
      <w:numFmt w:val="bullet"/>
      <w:lvlText w:val="•"/>
      <w:lvlJc w:val="left"/>
      <w:pPr>
        <w:ind w:left="8824" w:hanging="156"/>
      </w:pPr>
      <w:rPr>
        <w:rFonts w:hint="default"/>
        <w:lang w:val="en-US" w:eastAsia="en-US" w:bidi="ar-SA"/>
      </w:rPr>
    </w:lvl>
  </w:abstractNum>
  <w:abstractNum w:abstractNumId="42">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41">
    <w:multiLevelType w:val="hybridMultilevel"/>
    <w:lvl w:ilvl="0">
      <w:start w:val="1"/>
      <w:numFmt w:val="lowerLetter"/>
      <w:lvlText w:val="%1."/>
      <w:lvlJc w:val="left"/>
      <w:pPr>
        <w:ind w:left="952"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44" w:hanging="156"/>
      </w:pPr>
      <w:rPr>
        <w:rFonts w:hint="default"/>
        <w:lang w:val="en-US" w:eastAsia="en-US" w:bidi="ar-SA"/>
      </w:rPr>
    </w:lvl>
    <w:lvl w:ilvl="2">
      <w:start w:val="0"/>
      <w:numFmt w:val="bullet"/>
      <w:lvlText w:val="•"/>
      <w:lvlJc w:val="left"/>
      <w:pPr>
        <w:ind w:left="2928" w:hanging="156"/>
      </w:pPr>
      <w:rPr>
        <w:rFonts w:hint="default"/>
        <w:lang w:val="en-US" w:eastAsia="en-US" w:bidi="ar-SA"/>
      </w:rPr>
    </w:lvl>
    <w:lvl w:ilvl="3">
      <w:start w:val="0"/>
      <w:numFmt w:val="bullet"/>
      <w:lvlText w:val="•"/>
      <w:lvlJc w:val="left"/>
      <w:pPr>
        <w:ind w:left="3912" w:hanging="156"/>
      </w:pPr>
      <w:rPr>
        <w:rFonts w:hint="default"/>
        <w:lang w:val="en-US" w:eastAsia="en-US" w:bidi="ar-SA"/>
      </w:rPr>
    </w:lvl>
    <w:lvl w:ilvl="4">
      <w:start w:val="0"/>
      <w:numFmt w:val="bullet"/>
      <w:lvlText w:val="•"/>
      <w:lvlJc w:val="left"/>
      <w:pPr>
        <w:ind w:left="4896" w:hanging="156"/>
      </w:pPr>
      <w:rPr>
        <w:rFonts w:hint="default"/>
        <w:lang w:val="en-US" w:eastAsia="en-US" w:bidi="ar-SA"/>
      </w:rPr>
    </w:lvl>
    <w:lvl w:ilvl="5">
      <w:start w:val="0"/>
      <w:numFmt w:val="bullet"/>
      <w:lvlText w:val="•"/>
      <w:lvlJc w:val="left"/>
      <w:pPr>
        <w:ind w:left="5880" w:hanging="156"/>
      </w:pPr>
      <w:rPr>
        <w:rFonts w:hint="default"/>
        <w:lang w:val="en-US" w:eastAsia="en-US" w:bidi="ar-SA"/>
      </w:rPr>
    </w:lvl>
    <w:lvl w:ilvl="6">
      <w:start w:val="0"/>
      <w:numFmt w:val="bullet"/>
      <w:lvlText w:val="•"/>
      <w:lvlJc w:val="left"/>
      <w:pPr>
        <w:ind w:left="6864" w:hanging="156"/>
      </w:pPr>
      <w:rPr>
        <w:rFonts w:hint="default"/>
        <w:lang w:val="en-US" w:eastAsia="en-US" w:bidi="ar-SA"/>
      </w:rPr>
    </w:lvl>
    <w:lvl w:ilvl="7">
      <w:start w:val="0"/>
      <w:numFmt w:val="bullet"/>
      <w:lvlText w:val="•"/>
      <w:lvlJc w:val="left"/>
      <w:pPr>
        <w:ind w:left="7848" w:hanging="156"/>
      </w:pPr>
      <w:rPr>
        <w:rFonts w:hint="default"/>
        <w:lang w:val="en-US" w:eastAsia="en-US" w:bidi="ar-SA"/>
      </w:rPr>
    </w:lvl>
    <w:lvl w:ilvl="8">
      <w:start w:val="0"/>
      <w:numFmt w:val="bullet"/>
      <w:lvlText w:val="•"/>
      <w:lvlJc w:val="left"/>
      <w:pPr>
        <w:ind w:left="8832" w:hanging="156"/>
      </w:pPr>
      <w:rPr>
        <w:rFonts w:hint="default"/>
        <w:lang w:val="en-US" w:eastAsia="en-US" w:bidi="ar-SA"/>
      </w:rPr>
    </w:lvl>
  </w:abstractNum>
  <w:abstractNum w:abstractNumId="40">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9">
    <w:multiLevelType w:val="hybridMultilevel"/>
    <w:lvl w:ilvl="0">
      <w:start w:val="1"/>
      <w:numFmt w:val="lowerLetter"/>
      <w:lvlText w:val="%1."/>
      <w:lvlJc w:val="left"/>
      <w:pPr>
        <w:ind w:left="928"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08" w:hanging="156"/>
      </w:pPr>
      <w:rPr>
        <w:rFonts w:hint="default"/>
        <w:lang w:val="en-US" w:eastAsia="en-US" w:bidi="ar-SA"/>
      </w:rPr>
    </w:lvl>
    <w:lvl w:ilvl="2">
      <w:start w:val="0"/>
      <w:numFmt w:val="bullet"/>
      <w:lvlText w:val="•"/>
      <w:lvlJc w:val="left"/>
      <w:pPr>
        <w:ind w:left="2896" w:hanging="156"/>
      </w:pPr>
      <w:rPr>
        <w:rFonts w:hint="default"/>
        <w:lang w:val="en-US" w:eastAsia="en-US" w:bidi="ar-SA"/>
      </w:rPr>
    </w:lvl>
    <w:lvl w:ilvl="3">
      <w:start w:val="0"/>
      <w:numFmt w:val="bullet"/>
      <w:lvlText w:val="•"/>
      <w:lvlJc w:val="left"/>
      <w:pPr>
        <w:ind w:left="3884" w:hanging="156"/>
      </w:pPr>
      <w:rPr>
        <w:rFonts w:hint="default"/>
        <w:lang w:val="en-US" w:eastAsia="en-US" w:bidi="ar-SA"/>
      </w:rPr>
    </w:lvl>
    <w:lvl w:ilvl="4">
      <w:start w:val="0"/>
      <w:numFmt w:val="bullet"/>
      <w:lvlText w:val="•"/>
      <w:lvlJc w:val="left"/>
      <w:pPr>
        <w:ind w:left="4872" w:hanging="156"/>
      </w:pPr>
      <w:rPr>
        <w:rFonts w:hint="default"/>
        <w:lang w:val="en-US" w:eastAsia="en-US" w:bidi="ar-SA"/>
      </w:rPr>
    </w:lvl>
    <w:lvl w:ilvl="5">
      <w:start w:val="0"/>
      <w:numFmt w:val="bullet"/>
      <w:lvlText w:val="•"/>
      <w:lvlJc w:val="left"/>
      <w:pPr>
        <w:ind w:left="5860" w:hanging="156"/>
      </w:pPr>
      <w:rPr>
        <w:rFonts w:hint="default"/>
        <w:lang w:val="en-US" w:eastAsia="en-US" w:bidi="ar-SA"/>
      </w:rPr>
    </w:lvl>
    <w:lvl w:ilvl="6">
      <w:start w:val="0"/>
      <w:numFmt w:val="bullet"/>
      <w:lvlText w:val="•"/>
      <w:lvlJc w:val="left"/>
      <w:pPr>
        <w:ind w:left="6848" w:hanging="156"/>
      </w:pPr>
      <w:rPr>
        <w:rFonts w:hint="default"/>
        <w:lang w:val="en-US" w:eastAsia="en-US" w:bidi="ar-SA"/>
      </w:rPr>
    </w:lvl>
    <w:lvl w:ilvl="7">
      <w:start w:val="0"/>
      <w:numFmt w:val="bullet"/>
      <w:lvlText w:val="•"/>
      <w:lvlJc w:val="left"/>
      <w:pPr>
        <w:ind w:left="7836" w:hanging="156"/>
      </w:pPr>
      <w:rPr>
        <w:rFonts w:hint="default"/>
        <w:lang w:val="en-US" w:eastAsia="en-US" w:bidi="ar-SA"/>
      </w:rPr>
    </w:lvl>
    <w:lvl w:ilvl="8">
      <w:start w:val="0"/>
      <w:numFmt w:val="bullet"/>
      <w:lvlText w:val="•"/>
      <w:lvlJc w:val="left"/>
      <w:pPr>
        <w:ind w:left="8824" w:hanging="156"/>
      </w:pPr>
      <w:rPr>
        <w:rFonts w:hint="default"/>
        <w:lang w:val="en-US" w:eastAsia="en-US" w:bidi="ar-SA"/>
      </w:rPr>
    </w:lvl>
  </w:abstractNum>
  <w:abstractNum w:abstractNumId="38">
    <w:multiLevelType w:val="hybridMultilevel"/>
    <w:lvl w:ilvl="0">
      <w:start w:val="1"/>
      <w:numFmt w:val="lowerLetter"/>
      <w:lvlText w:val="%1."/>
      <w:lvlJc w:val="left"/>
      <w:pPr>
        <w:ind w:left="928" w:hanging="156"/>
        <w:jc w:val="left"/>
      </w:pPr>
      <w:rPr>
        <w:rFonts w:hint="default" w:ascii="Arial" w:hAnsi="Arial" w:eastAsia="Arial" w:cs="Arial"/>
        <w:b w:val="0"/>
        <w:bCs w:val="0"/>
        <w:i/>
        <w:iCs/>
        <w:spacing w:val="-1"/>
        <w:w w:val="100"/>
        <w:sz w:val="14"/>
        <w:szCs w:val="14"/>
        <w:lang w:val="en-US" w:eastAsia="en-US" w:bidi="ar-SA"/>
      </w:rPr>
    </w:lvl>
    <w:lvl w:ilvl="1">
      <w:start w:val="0"/>
      <w:numFmt w:val="bullet"/>
      <w:lvlText w:val="•"/>
      <w:lvlJc w:val="left"/>
      <w:pPr>
        <w:ind w:left="1908" w:hanging="156"/>
      </w:pPr>
      <w:rPr>
        <w:rFonts w:hint="default"/>
        <w:lang w:val="en-US" w:eastAsia="en-US" w:bidi="ar-SA"/>
      </w:rPr>
    </w:lvl>
    <w:lvl w:ilvl="2">
      <w:start w:val="0"/>
      <w:numFmt w:val="bullet"/>
      <w:lvlText w:val="•"/>
      <w:lvlJc w:val="left"/>
      <w:pPr>
        <w:ind w:left="2896" w:hanging="156"/>
      </w:pPr>
      <w:rPr>
        <w:rFonts w:hint="default"/>
        <w:lang w:val="en-US" w:eastAsia="en-US" w:bidi="ar-SA"/>
      </w:rPr>
    </w:lvl>
    <w:lvl w:ilvl="3">
      <w:start w:val="0"/>
      <w:numFmt w:val="bullet"/>
      <w:lvlText w:val="•"/>
      <w:lvlJc w:val="left"/>
      <w:pPr>
        <w:ind w:left="3884" w:hanging="156"/>
      </w:pPr>
      <w:rPr>
        <w:rFonts w:hint="default"/>
        <w:lang w:val="en-US" w:eastAsia="en-US" w:bidi="ar-SA"/>
      </w:rPr>
    </w:lvl>
    <w:lvl w:ilvl="4">
      <w:start w:val="0"/>
      <w:numFmt w:val="bullet"/>
      <w:lvlText w:val="•"/>
      <w:lvlJc w:val="left"/>
      <w:pPr>
        <w:ind w:left="4872" w:hanging="156"/>
      </w:pPr>
      <w:rPr>
        <w:rFonts w:hint="default"/>
        <w:lang w:val="en-US" w:eastAsia="en-US" w:bidi="ar-SA"/>
      </w:rPr>
    </w:lvl>
    <w:lvl w:ilvl="5">
      <w:start w:val="0"/>
      <w:numFmt w:val="bullet"/>
      <w:lvlText w:val="•"/>
      <w:lvlJc w:val="left"/>
      <w:pPr>
        <w:ind w:left="5860" w:hanging="156"/>
      </w:pPr>
      <w:rPr>
        <w:rFonts w:hint="default"/>
        <w:lang w:val="en-US" w:eastAsia="en-US" w:bidi="ar-SA"/>
      </w:rPr>
    </w:lvl>
    <w:lvl w:ilvl="6">
      <w:start w:val="0"/>
      <w:numFmt w:val="bullet"/>
      <w:lvlText w:val="•"/>
      <w:lvlJc w:val="left"/>
      <w:pPr>
        <w:ind w:left="6848" w:hanging="156"/>
      </w:pPr>
      <w:rPr>
        <w:rFonts w:hint="default"/>
        <w:lang w:val="en-US" w:eastAsia="en-US" w:bidi="ar-SA"/>
      </w:rPr>
    </w:lvl>
    <w:lvl w:ilvl="7">
      <w:start w:val="0"/>
      <w:numFmt w:val="bullet"/>
      <w:lvlText w:val="•"/>
      <w:lvlJc w:val="left"/>
      <w:pPr>
        <w:ind w:left="7836" w:hanging="156"/>
      </w:pPr>
      <w:rPr>
        <w:rFonts w:hint="default"/>
        <w:lang w:val="en-US" w:eastAsia="en-US" w:bidi="ar-SA"/>
      </w:rPr>
    </w:lvl>
    <w:lvl w:ilvl="8">
      <w:start w:val="0"/>
      <w:numFmt w:val="bullet"/>
      <w:lvlText w:val="•"/>
      <w:lvlJc w:val="left"/>
      <w:pPr>
        <w:ind w:left="8824" w:hanging="156"/>
      </w:pPr>
      <w:rPr>
        <w:rFonts w:hint="default"/>
        <w:lang w:val="en-US" w:eastAsia="en-US" w:bidi="ar-SA"/>
      </w:rPr>
    </w:lvl>
  </w:abstractNum>
  <w:abstractNum w:abstractNumId="37">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6">
    <w:multiLevelType w:val="hybridMultilevel"/>
    <w:lvl w:ilvl="0">
      <w:start w:val="1"/>
      <w:numFmt w:val="lowerLetter"/>
      <w:lvlText w:val="%1."/>
      <w:lvlJc w:val="left"/>
      <w:pPr>
        <w:ind w:left="77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782" w:hanging="178"/>
      </w:pPr>
      <w:rPr>
        <w:rFonts w:hint="default"/>
        <w:lang w:val="en-US" w:eastAsia="en-US" w:bidi="ar-SA"/>
      </w:rPr>
    </w:lvl>
    <w:lvl w:ilvl="2">
      <w:start w:val="0"/>
      <w:numFmt w:val="bullet"/>
      <w:lvlText w:val="•"/>
      <w:lvlJc w:val="left"/>
      <w:pPr>
        <w:ind w:left="2784" w:hanging="178"/>
      </w:pPr>
      <w:rPr>
        <w:rFonts w:hint="default"/>
        <w:lang w:val="en-US" w:eastAsia="en-US" w:bidi="ar-SA"/>
      </w:rPr>
    </w:lvl>
    <w:lvl w:ilvl="3">
      <w:start w:val="0"/>
      <w:numFmt w:val="bullet"/>
      <w:lvlText w:val="•"/>
      <w:lvlJc w:val="left"/>
      <w:pPr>
        <w:ind w:left="3786" w:hanging="178"/>
      </w:pPr>
      <w:rPr>
        <w:rFonts w:hint="default"/>
        <w:lang w:val="en-US" w:eastAsia="en-US" w:bidi="ar-SA"/>
      </w:rPr>
    </w:lvl>
    <w:lvl w:ilvl="4">
      <w:start w:val="0"/>
      <w:numFmt w:val="bullet"/>
      <w:lvlText w:val="•"/>
      <w:lvlJc w:val="left"/>
      <w:pPr>
        <w:ind w:left="4788" w:hanging="178"/>
      </w:pPr>
      <w:rPr>
        <w:rFonts w:hint="default"/>
        <w:lang w:val="en-US" w:eastAsia="en-US" w:bidi="ar-SA"/>
      </w:rPr>
    </w:lvl>
    <w:lvl w:ilvl="5">
      <w:start w:val="0"/>
      <w:numFmt w:val="bullet"/>
      <w:lvlText w:val="•"/>
      <w:lvlJc w:val="left"/>
      <w:pPr>
        <w:ind w:left="5790" w:hanging="178"/>
      </w:pPr>
      <w:rPr>
        <w:rFonts w:hint="default"/>
        <w:lang w:val="en-US" w:eastAsia="en-US" w:bidi="ar-SA"/>
      </w:rPr>
    </w:lvl>
    <w:lvl w:ilvl="6">
      <w:start w:val="0"/>
      <w:numFmt w:val="bullet"/>
      <w:lvlText w:val="•"/>
      <w:lvlJc w:val="left"/>
      <w:pPr>
        <w:ind w:left="6792" w:hanging="178"/>
      </w:pPr>
      <w:rPr>
        <w:rFonts w:hint="default"/>
        <w:lang w:val="en-US" w:eastAsia="en-US" w:bidi="ar-SA"/>
      </w:rPr>
    </w:lvl>
    <w:lvl w:ilvl="7">
      <w:start w:val="0"/>
      <w:numFmt w:val="bullet"/>
      <w:lvlText w:val="•"/>
      <w:lvlJc w:val="left"/>
      <w:pPr>
        <w:ind w:left="7794" w:hanging="178"/>
      </w:pPr>
      <w:rPr>
        <w:rFonts w:hint="default"/>
        <w:lang w:val="en-US" w:eastAsia="en-US" w:bidi="ar-SA"/>
      </w:rPr>
    </w:lvl>
    <w:lvl w:ilvl="8">
      <w:start w:val="0"/>
      <w:numFmt w:val="bullet"/>
      <w:lvlText w:val="•"/>
      <w:lvlJc w:val="left"/>
      <w:pPr>
        <w:ind w:left="8796" w:hanging="178"/>
      </w:pPr>
      <w:rPr>
        <w:rFonts w:hint="default"/>
        <w:lang w:val="en-US" w:eastAsia="en-US" w:bidi="ar-SA"/>
      </w:rPr>
    </w:lvl>
  </w:abstractNum>
  <w:abstractNum w:abstractNumId="35">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4">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3">
    <w:multiLevelType w:val="hybridMultilevel"/>
    <w:lvl w:ilvl="0">
      <w:start w:val="1"/>
      <w:numFmt w:val="lowerLetter"/>
      <w:lvlText w:val="%1."/>
      <w:lvlJc w:val="left"/>
      <w:pPr>
        <w:ind w:left="905" w:hanging="134"/>
        <w:jc w:val="left"/>
      </w:pPr>
      <w:rPr>
        <w:rFonts w:hint="default" w:ascii="Arial" w:hAnsi="Arial" w:eastAsia="Arial" w:cs="Arial"/>
        <w:b w:val="0"/>
        <w:bCs w:val="0"/>
        <w:i/>
        <w:iCs/>
        <w:spacing w:val="-1"/>
        <w:w w:val="100"/>
        <w:sz w:val="12"/>
        <w:szCs w:val="12"/>
        <w:lang w:val="en-US" w:eastAsia="en-US" w:bidi="ar-SA"/>
      </w:rPr>
    </w:lvl>
    <w:lvl w:ilvl="1">
      <w:start w:val="0"/>
      <w:numFmt w:val="bullet"/>
      <w:lvlText w:val="•"/>
      <w:lvlJc w:val="left"/>
      <w:pPr>
        <w:ind w:left="1409" w:hanging="134"/>
      </w:pPr>
      <w:rPr>
        <w:rFonts w:hint="default"/>
        <w:lang w:val="en-US" w:eastAsia="en-US" w:bidi="ar-SA"/>
      </w:rPr>
    </w:lvl>
    <w:lvl w:ilvl="2">
      <w:start w:val="0"/>
      <w:numFmt w:val="bullet"/>
      <w:lvlText w:val="•"/>
      <w:lvlJc w:val="left"/>
      <w:pPr>
        <w:ind w:left="1918" w:hanging="134"/>
      </w:pPr>
      <w:rPr>
        <w:rFonts w:hint="default"/>
        <w:lang w:val="en-US" w:eastAsia="en-US" w:bidi="ar-SA"/>
      </w:rPr>
    </w:lvl>
    <w:lvl w:ilvl="3">
      <w:start w:val="0"/>
      <w:numFmt w:val="bullet"/>
      <w:lvlText w:val="•"/>
      <w:lvlJc w:val="left"/>
      <w:pPr>
        <w:ind w:left="2427" w:hanging="134"/>
      </w:pPr>
      <w:rPr>
        <w:rFonts w:hint="default"/>
        <w:lang w:val="en-US" w:eastAsia="en-US" w:bidi="ar-SA"/>
      </w:rPr>
    </w:lvl>
    <w:lvl w:ilvl="4">
      <w:start w:val="0"/>
      <w:numFmt w:val="bullet"/>
      <w:lvlText w:val="•"/>
      <w:lvlJc w:val="left"/>
      <w:pPr>
        <w:ind w:left="2936" w:hanging="134"/>
      </w:pPr>
      <w:rPr>
        <w:rFonts w:hint="default"/>
        <w:lang w:val="en-US" w:eastAsia="en-US" w:bidi="ar-SA"/>
      </w:rPr>
    </w:lvl>
    <w:lvl w:ilvl="5">
      <w:start w:val="0"/>
      <w:numFmt w:val="bullet"/>
      <w:lvlText w:val="•"/>
      <w:lvlJc w:val="left"/>
      <w:pPr>
        <w:ind w:left="3446" w:hanging="134"/>
      </w:pPr>
      <w:rPr>
        <w:rFonts w:hint="default"/>
        <w:lang w:val="en-US" w:eastAsia="en-US" w:bidi="ar-SA"/>
      </w:rPr>
    </w:lvl>
    <w:lvl w:ilvl="6">
      <w:start w:val="0"/>
      <w:numFmt w:val="bullet"/>
      <w:lvlText w:val="•"/>
      <w:lvlJc w:val="left"/>
      <w:pPr>
        <w:ind w:left="3955" w:hanging="134"/>
      </w:pPr>
      <w:rPr>
        <w:rFonts w:hint="default"/>
        <w:lang w:val="en-US" w:eastAsia="en-US" w:bidi="ar-SA"/>
      </w:rPr>
    </w:lvl>
    <w:lvl w:ilvl="7">
      <w:start w:val="0"/>
      <w:numFmt w:val="bullet"/>
      <w:lvlText w:val="•"/>
      <w:lvlJc w:val="left"/>
      <w:pPr>
        <w:ind w:left="4464" w:hanging="134"/>
      </w:pPr>
      <w:rPr>
        <w:rFonts w:hint="default"/>
        <w:lang w:val="en-US" w:eastAsia="en-US" w:bidi="ar-SA"/>
      </w:rPr>
    </w:lvl>
    <w:lvl w:ilvl="8">
      <w:start w:val="0"/>
      <w:numFmt w:val="bullet"/>
      <w:lvlText w:val="•"/>
      <w:lvlJc w:val="left"/>
      <w:pPr>
        <w:ind w:left="4973" w:hanging="134"/>
      </w:pPr>
      <w:rPr>
        <w:rFonts w:hint="default"/>
        <w:lang w:val="en-US" w:eastAsia="en-US" w:bidi="ar-SA"/>
      </w:rPr>
    </w:lvl>
  </w:abstractNum>
  <w:abstractNum w:abstractNumId="32">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1">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30">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29">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28">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27">
    <w:multiLevelType w:val="hybridMultilevel"/>
    <w:lvl w:ilvl="0">
      <w:start w:val="0"/>
      <w:numFmt w:val="bullet"/>
      <w:lvlText w:val="•"/>
      <w:lvlJc w:val="left"/>
      <w:pPr>
        <w:ind w:left="1080" w:hanging="28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052" w:hanging="280"/>
      </w:pPr>
      <w:rPr>
        <w:rFonts w:hint="default"/>
        <w:lang w:val="en-US" w:eastAsia="en-US" w:bidi="ar-SA"/>
      </w:rPr>
    </w:lvl>
    <w:lvl w:ilvl="2">
      <w:start w:val="0"/>
      <w:numFmt w:val="bullet"/>
      <w:lvlText w:val="•"/>
      <w:lvlJc w:val="left"/>
      <w:pPr>
        <w:ind w:left="3024" w:hanging="280"/>
      </w:pPr>
      <w:rPr>
        <w:rFonts w:hint="default"/>
        <w:lang w:val="en-US" w:eastAsia="en-US" w:bidi="ar-SA"/>
      </w:rPr>
    </w:lvl>
    <w:lvl w:ilvl="3">
      <w:start w:val="0"/>
      <w:numFmt w:val="bullet"/>
      <w:lvlText w:val="•"/>
      <w:lvlJc w:val="left"/>
      <w:pPr>
        <w:ind w:left="3996" w:hanging="280"/>
      </w:pPr>
      <w:rPr>
        <w:rFonts w:hint="default"/>
        <w:lang w:val="en-US" w:eastAsia="en-US" w:bidi="ar-SA"/>
      </w:rPr>
    </w:lvl>
    <w:lvl w:ilvl="4">
      <w:start w:val="0"/>
      <w:numFmt w:val="bullet"/>
      <w:lvlText w:val="•"/>
      <w:lvlJc w:val="left"/>
      <w:pPr>
        <w:ind w:left="4968" w:hanging="280"/>
      </w:pPr>
      <w:rPr>
        <w:rFonts w:hint="default"/>
        <w:lang w:val="en-US" w:eastAsia="en-US" w:bidi="ar-SA"/>
      </w:rPr>
    </w:lvl>
    <w:lvl w:ilvl="5">
      <w:start w:val="0"/>
      <w:numFmt w:val="bullet"/>
      <w:lvlText w:val="•"/>
      <w:lvlJc w:val="left"/>
      <w:pPr>
        <w:ind w:left="5940" w:hanging="280"/>
      </w:pPr>
      <w:rPr>
        <w:rFonts w:hint="default"/>
        <w:lang w:val="en-US" w:eastAsia="en-US" w:bidi="ar-SA"/>
      </w:rPr>
    </w:lvl>
    <w:lvl w:ilvl="6">
      <w:start w:val="0"/>
      <w:numFmt w:val="bullet"/>
      <w:lvlText w:val="•"/>
      <w:lvlJc w:val="left"/>
      <w:pPr>
        <w:ind w:left="6912" w:hanging="280"/>
      </w:pPr>
      <w:rPr>
        <w:rFonts w:hint="default"/>
        <w:lang w:val="en-US" w:eastAsia="en-US" w:bidi="ar-SA"/>
      </w:rPr>
    </w:lvl>
    <w:lvl w:ilvl="7">
      <w:start w:val="0"/>
      <w:numFmt w:val="bullet"/>
      <w:lvlText w:val="•"/>
      <w:lvlJc w:val="left"/>
      <w:pPr>
        <w:ind w:left="7884" w:hanging="280"/>
      </w:pPr>
      <w:rPr>
        <w:rFonts w:hint="default"/>
        <w:lang w:val="en-US" w:eastAsia="en-US" w:bidi="ar-SA"/>
      </w:rPr>
    </w:lvl>
    <w:lvl w:ilvl="8">
      <w:start w:val="0"/>
      <w:numFmt w:val="bullet"/>
      <w:lvlText w:val="•"/>
      <w:lvlJc w:val="left"/>
      <w:pPr>
        <w:ind w:left="8856" w:hanging="280"/>
      </w:pPr>
      <w:rPr>
        <w:rFonts w:hint="default"/>
        <w:lang w:val="en-US" w:eastAsia="en-US" w:bidi="ar-SA"/>
      </w:rPr>
    </w:lvl>
  </w:abstractNum>
  <w:abstractNum w:abstractNumId="26">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25">
    <w:multiLevelType w:val="hybridMultilevel"/>
    <w:lvl w:ilvl="0">
      <w:start w:val="0"/>
      <w:numFmt w:val="bullet"/>
      <w:lvlText w:val="•"/>
      <w:lvlJc w:val="left"/>
      <w:pPr>
        <w:ind w:left="1267"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4">
    <w:multiLevelType w:val="hybridMultilevel"/>
    <w:lvl w:ilvl="0">
      <w:start w:val="0"/>
      <w:numFmt w:val="bullet"/>
      <w:lvlText w:val="•"/>
      <w:lvlJc w:val="left"/>
      <w:pPr>
        <w:ind w:left="1440" w:hanging="360"/>
      </w:pPr>
      <w:rPr>
        <w:rFonts w:hint="default" w:ascii="Arial MT" w:hAnsi="Arial MT" w:eastAsia="Arial MT" w:cs="Arial MT"/>
        <w:spacing w:val="0"/>
        <w:w w:val="10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2">
    <w:multiLevelType w:val="hybridMultilevel"/>
    <w:lvl w:ilvl="0">
      <w:start w:val="1"/>
      <w:numFmt w:val="lowerLetter"/>
      <w:lvlText w:val="%1."/>
      <w:lvlJc w:val="left"/>
      <w:pPr>
        <w:ind w:left="1153" w:hanging="36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052" w:hanging="360"/>
      </w:pPr>
      <w:rPr>
        <w:rFonts w:hint="default"/>
        <w:lang w:val="en-US" w:eastAsia="en-US" w:bidi="ar-SA"/>
      </w:rPr>
    </w:lvl>
    <w:lvl w:ilvl="4">
      <w:start w:val="0"/>
      <w:numFmt w:val="bullet"/>
      <w:lvlText w:val="•"/>
      <w:lvlJc w:val="left"/>
      <w:pPr>
        <w:ind w:left="5016" w:hanging="360"/>
      </w:pPr>
      <w:rPr>
        <w:rFonts w:hint="default"/>
        <w:lang w:val="en-US" w:eastAsia="en-US" w:bidi="ar-SA"/>
      </w:rPr>
    </w:lvl>
    <w:lvl w:ilvl="5">
      <w:start w:val="0"/>
      <w:numFmt w:val="bullet"/>
      <w:lvlText w:val="•"/>
      <w:lvlJc w:val="left"/>
      <w:pPr>
        <w:ind w:left="5980" w:hanging="360"/>
      </w:pPr>
      <w:rPr>
        <w:rFonts w:hint="default"/>
        <w:lang w:val="en-US" w:eastAsia="en-US" w:bidi="ar-SA"/>
      </w:rPr>
    </w:lvl>
    <w:lvl w:ilvl="6">
      <w:start w:val="0"/>
      <w:numFmt w:val="bullet"/>
      <w:lvlText w:val="•"/>
      <w:lvlJc w:val="left"/>
      <w:pPr>
        <w:ind w:left="694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21">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0">
    <w:multiLevelType w:val="hybridMultilevel"/>
    <w:lvl w:ilvl="0">
      <w:start w:val="1"/>
      <w:numFmt w:val="lowerLetter"/>
      <w:lvlText w:val="%1."/>
      <w:lvlJc w:val="left"/>
      <w:pPr>
        <w:ind w:left="952" w:hanging="197"/>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97"/>
      </w:pPr>
      <w:rPr>
        <w:rFonts w:hint="default"/>
        <w:lang w:val="en-US" w:eastAsia="en-US" w:bidi="ar-SA"/>
      </w:rPr>
    </w:lvl>
    <w:lvl w:ilvl="2">
      <w:start w:val="0"/>
      <w:numFmt w:val="bullet"/>
      <w:lvlText w:val="•"/>
      <w:lvlJc w:val="left"/>
      <w:pPr>
        <w:ind w:left="2928" w:hanging="197"/>
      </w:pPr>
      <w:rPr>
        <w:rFonts w:hint="default"/>
        <w:lang w:val="en-US" w:eastAsia="en-US" w:bidi="ar-SA"/>
      </w:rPr>
    </w:lvl>
    <w:lvl w:ilvl="3">
      <w:start w:val="0"/>
      <w:numFmt w:val="bullet"/>
      <w:lvlText w:val="•"/>
      <w:lvlJc w:val="left"/>
      <w:pPr>
        <w:ind w:left="3912" w:hanging="197"/>
      </w:pPr>
      <w:rPr>
        <w:rFonts w:hint="default"/>
        <w:lang w:val="en-US" w:eastAsia="en-US" w:bidi="ar-SA"/>
      </w:rPr>
    </w:lvl>
    <w:lvl w:ilvl="4">
      <w:start w:val="0"/>
      <w:numFmt w:val="bullet"/>
      <w:lvlText w:val="•"/>
      <w:lvlJc w:val="left"/>
      <w:pPr>
        <w:ind w:left="4896" w:hanging="197"/>
      </w:pPr>
      <w:rPr>
        <w:rFonts w:hint="default"/>
        <w:lang w:val="en-US" w:eastAsia="en-US" w:bidi="ar-SA"/>
      </w:rPr>
    </w:lvl>
    <w:lvl w:ilvl="5">
      <w:start w:val="0"/>
      <w:numFmt w:val="bullet"/>
      <w:lvlText w:val="•"/>
      <w:lvlJc w:val="left"/>
      <w:pPr>
        <w:ind w:left="5880" w:hanging="197"/>
      </w:pPr>
      <w:rPr>
        <w:rFonts w:hint="default"/>
        <w:lang w:val="en-US" w:eastAsia="en-US" w:bidi="ar-SA"/>
      </w:rPr>
    </w:lvl>
    <w:lvl w:ilvl="6">
      <w:start w:val="0"/>
      <w:numFmt w:val="bullet"/>
      <w:lvlText w:val="•"/>
      <w:lvlJc w:val="left"/>
      <w:pPr>
        <w:ind w:left="6864" w:hanging="197"/>
      </w:pPr>
      <w:rPr>
        <w:rFonts w:hint="default"/>
        <w:lang w:val="en-US" w:eastAsia="en-US" w:bidi="ar-SA"/>
      </w:rPr>
    </w:lvl>
    <w:lvl w:ilvl="7">
      <w:start w:val="0"/>
      <w:numFmt w:val="bullet"/>
      <w:lvlText w:val="•"/>
      <w:lvlJc w:val="left"/>
      <w:pPr>
        <w:ind w:left="7848" w:hanging="197"/>
      </w:pPr>
      <w:rPr>
        <w:rFonts w:hint="default"/>
        <w:lang w:val="en-US" w:eastAsia="en-US" w:bidi="ar-SA"/>
      </w:rPr>
    </w:lvl>
    <w:lvl w:ilvl="8">
      <w:start w:val="0"/>
      <w:numFmt w:val="bullet"/>
      <w:lvlText w:val="•"/>
      <w:lvlJc w:val="left"/>
      <w:pPr>
        <w:ind w:left="8832" w:hanging="197"/>
      </w:pPr>
      <w:rPr>
        <w:rFonts w:hint="default"/>
        <w:lang w:val="en-US" w:eastAsia="en-US" w:bidi="ar-SA"/>
      </w:rPr>
    </w:lvl>
  </w:abstractNum>
  <w:abstractNum w:abstractNumId="19">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18">
    <w:multiLevelType w:val="hybridMultilevel"/>
    <w:lvl w:ilvl="0">
      <w:start w:val="1"/>
      <w:numFmt w:val="decimal"/>
      <w:lvlText w:val="%1"/>
      <w:lvlJc w:val="left"/>
      <w:pPr>
        <w:ind w:left="348" w:hanging="134"/>
        <w:jc w:val="right"/>
      </w:pPr>
      <w:rPr>
        <w:rFonts w:hint="default" w:ascii="Arial" w:hAnsi="Arial" w:eastAsia="Arial" w:cs="Arial"/>
        <w:b w:val="0"/>
        <w:bCs w:val="0"/>
        <w:i/>
        <w:iCs/>
        <w:color w:val="484848"/>
        <w:spacing w:val="0"/>
        <w:w w:val="100"/>
        <w:sz w:val="16"/>
        <w:szCs w:val="16"/>
        <w:lang w:val="en-US" w:eastAsia="en-US" w:bidi="ar-SA"/>
      </w:rPr>
    </w:lvl>
    <w:lvl w:ilvl="1">
      <w:start w:val="1"/>
      <w:numFmt w:val="lowerLetter"/>
      <w:lvlText w:val="%2."/>
      <w:lvlJc w:val="left"/>
      <w:pPr>
        <w:ind w:left="952" w:hanging="180"/>
        <w:jc w:val="left"/>
      </w:pPr>
      <w:rPr>
        <w:rFonts w:hint="default"/>
        <w:spacing w:val="-1"/>
        <w:w w:val="100"/>
        <w:lang w:val="en-US" w:eastAsia="en-US" w:bidi="ar-SA"/>
      </w:rPr>
    </w:lvl>
    <w:lvl w:ilvl="2">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1353" w:hanging="360"/>
      </w:pPr>
      <w:rPr>
        <w:rFonts w:hint="default"/>
        <w:lang w:val="en-US" w:eastAsia="en-US" w:bidi="ar-SA"/>
      </w:rPr>
    </w:lvl>
    <w:lvl w:ilvl="4">
      <w:start w:val="0"/>
      <w:numFmt w:val="bullet"/>
      <w:lvlText w:val="•"/>
      <w:lvlJc w:val="left"/>
      <w:pPr>
        <w:ind w:left="1266" w:hanging="360"/>
      </w:pPr>
      <w:rPr>
        <w:rFonts w:hint="default"/>
        <w:lang w:val="en-US" w:eastAsia="en-US" w:bidi="ar-SA"/>
      </w:rPr>
    </w:lvl>
    <w:lvl w:ilvl="5">
      <w:start w:val="0"/>
      <w:numFmt w:val="bullet"/>
      <w:lvlText w:val="•"/>
      <w:lvlJc w:val="left"/>
      <w:pPr>
        <w:ind w:left="1179" w:hanging="360"/>
      </w:pPr>
      <w:rPr>
        <w:rFonts w:hint="default"/>
        <w:lang w:val="en-US" w:eastAsia="en-US" w:bidi="ar-SA"/>
      </w:rPr>
    </w:lvl>
    <w:lvl w:ilvl="6">
      <w:start w:val="0"/>
      <w:numFmt w:val="bullet"/>
      <w:lvlText w:val="•"/>
      <w:lvlJc w:val="left"/>
      <w:pPr>
        <w:ind w:left="1092" w:hanging="360"/>
      </w:pPr>
      <w:rPr>
        <w:rFonts w:hint="default"/>
        <w:lang w:val="en-US" w:eastAsia="en-US" w:bidi="ar-SA"/>
      </w:rPr>
    </w:lvl>
    <w:lvl w:ilvl="7">
      <w:start w:val="0"/>
      <w:numFmt w:val="bullet"/>
      <w:lvlText w:val="•"/>
      <w:lvlJc w:val="left"/>
      <w:pPr>
        <w:ind w:left="1005" w:hanging="360"/>
      </w:pPr>
      <w:rPr>
        <w:rFonts w:hint="default"/>
        <w:lang w:val="en-US" w:eastAsia="en-US" w:bidi="ar-SA"/>
      </w:rPr>
    </w:lvl>
    <w:lvl w:ilvl="8">
      <w:start w:val="0"/>
      <w:numFmt w:val="bullet"/>
      <w:lvlText w:val="•"/>
      <w:lvlJc w:val="left"/>
      <w:pPr>
        <w:ind w:left="918" w:hanging="360"/>
      </w:pPr>
      <w:rPr>
        <w:rFonts w:hint="default"/>
        <w:lang w:val="en-US" w:eastAsia="en-US" w:bidi="ar-SA"/>
      </w:rPr>
    </w:lvl>
  </w:abstractNum>
  <w:abstractNum w:abstractNumId="17">
    <w:multiLevelType w:val="hybridMultilevel"/>
    <w:lvl w:ilvl="0">
      <w:start w:val="1"/>
      <w:numFmt w:val="lowerLetter"/>
      <w:lvlText w:val="%1."/>
      <w:lvlJc w:val="left"/>
      <w:pPr>
        <w:ind w:left="23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722" w:hanging="178"/>
      </w:pPr>
      <w:rPr>
        <w:rFonts w:hint="default"/>
        <w:lang w:val="en-US" w:eastAsia="en-US" w:bidi="ar-SA"/>
      </w:rPr>
    </w:lvl>
    <w:lvl w:ilvl="2">
      <w:start w:val="0"/>
      <w:numFmt w:val="bullet"/>
      <w:lvlText w:val="•"/>
      <w:lvlJc w:val="left"/>
      <w:pPr>
        <w:ind w:left="1204" w:hanging="178"/>
      </w:pPr>
      <w:rPr>
        <w:rFonts w:hint="default"/>
        <w:lang w:val="en-US" w:eastAsia="en-US" w:bidi="ar-SA"/>
      </w:rPr>
    </w:lvl>
    <w:lvl w:ilvl="3">
      <w:start w:val="0"/>
      <w:numFmt w:val="bullet"/>
      <w:lvlText w:val="•"/>
      <w:lvlJc w:val="left"/>
      <w:pPr>
        <w:ind w:left="1687" w:hanging="178"/>
      </w:pPr>
      <w:rPr>
        <w:rFonts w:hint="default"/>
        <w:lang w:val="en-US" w:eastAsia="en-US" w:bidi="ar-SA"/>
      </w:rPr>
    </w:lvl>
    <w:lvl w:ilvl="4">
      <w:start w:val="0"/>
      <w:numFmt w:val="bullet"/>
      <w:lvlText w:val="•"/>
      <w:lvlJc w:val="left"/>
      <w:pPr>
        <w:ind w:left="2169" w:hanging="178"/>
      </w:pPr>
      <w:rPr>
        <w:rFonts w:hint="default"/>
        <w:lang w:val="en-US" w:eastAsia="en-US" w:bidi="ar-SA"/>
      </w:rPr>
    </w:lvl>
    <w:lvl w:ilvl="5">
      <w:start w:val="0"/>
      <w:numFmt w:val="bullet"/>
      <w:lvlText w:val="•"/>
      <w:lvlJc w:val="left"/>
      <w:pPr>
        <w:ind w:left="2652" w:hanging="178"/>
      </w:pPr>
      <w:rPr>
        <w:rFonts w:hint="default"/>
        <w:lang w:val="en-US" w:eastAsia="en-US" w:bidi="ar-SA"/>
      </w:rPr>
    </w:lvl>
    <w:lvl w:ilvl="6">
      <w:start w:val="0"/>
      <w:numFmt w:val="bullet"/>
      <w:lvlText w:val="•"/>
      <w:lvlJc w:val="left"/>
      <w:pPr>
        <w:ind w:left="3134" w:hanging="178"/>
      </w:pPr>
      <w:rPr>
        <w:rFonts w:hint="default"/>
        <w:lang w:val="en-US" w:eastAsia="en-US" w:bidi="ar-SA"/>
      </w:rPr>
    </w:lvl>
    <w:lvl w:ilvl="7">
      <w:start w:val="0"/>
      <w:numFmt w:val="bullet"/>
      <w:lvlText w:val="•"/>
      <w:lvlJc w:val="left"/>
      <w:pPr>
        <w:ind w:left="3616" w:hanging="178"/>
      </w:pPr>
      <w:rPr>
        <w:rFonts w:hint="default"/>
        <w:lang w:val="en-US" w:eastAsia="en-US" w:bidi="ar-SA"/>
      </w:rPr>
    </w:lvl>
    <w:lvl w:ilvl="8">
      <w:start w:val="0"/>
      <w:numFmt w:val="bullet"/>
      <w:lvlText w:val="•"/>
      <w:lvlJc w:val="left"/>
      <w:pPr>
        <w:ind w:left="4099" w:hanging="178"/>
      </w:pPr>
      <w:rPr>
        <w:rFonts w:hint="default"/>
        <w:lang w:val="en-US" w:eastAsia="en-US" w:bidi="ar-SA"/>
      </w:rPr>
    </w:lvl>
  </w:abstractNum>
  <w:abstractNum w:abstractNumId="16">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15">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4">
    <w:multiLevelType w:val="hybridMultilevel"/>
    <w:lvl w:ilvl="0">
      <w:start w:val="0"/>
      <w:numFmt w:val="bullet"/>
      <w:lvlText w:val="•"/>
      <w:lvlJc w:val="left"/>
      <w:pPr>
        <w:ind w:left="126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13">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260" w:hanging="360"/>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38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500" w:hanging="360"/>
      </w:pPr>
      <w:rPr>
        <w:rFonts w:hint="default"/>
        <w:lang w:val="en-US" w:eastAsia="en-US" w:bidi="ar-SA"/>
      </w:rPr>
    </w:lvl>
    <w:lvl w:ilvl="6">
      <w:start w:val="0"/>
      <w:numFmt w:val="bullet"/>
      <w:lvlText w:val="•"/>
      <w:lvlJc w:val="left"/>
      <w:pPr>
        <w:ind w:left="6560" w:hanging="360"/>
      </w:pPr>
      <w:rPr>
        <w:rFonts w:hint="default"/>
        <w:lang w:val="en-US" w:eastAsia="en-US" w:bidi="ar-SA"/>
      </w:rPr>
    </w:lvl>
    <w:lvl w:ilvl="7">
      <w:start w:val="0"/>
      <w:numFmt w:val="bullet"/>
      <w:lvlText w:val="•"/>
      <w:lvlJc w:val="left"/>
      <w:pPr>
        <w:ind w:left="762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12">
    <w:multiLevelType w:val="hybridMultilevel"/>
    <w:lvl w:ilvl="0">
      <w:start w:val="1"/>
      <w:numFmt w:val="decimal"/>
      <w:lvlText w:val="%1."/>
      <w:lvlJc w:val="left"/>
      <w:pPr>
        <w:ind w:left="502" w:hanging="360"/>
        <w:jc w:val="left"/>
      </w:pPr>
      <w:rPr>
        <w:rFonts w:hint="default" w:ascii="Arial MT" w:hAnsi="Arial MT" w:eastAsia="Arial MT" w:cs="Arial MT"/>
        <w:b w:val="0"/>
        <w:bCs w:val="0"/>
        <w:i w:val="0"/>
        <w:iCs w:val="0"/>
        <w:spacing w:val="-1"/>
        <w:w w:val="100"/>
        <w:sz w:val="16"/>
        <w:szCs w:val="16"/>
        <w:lang w:val="en-US" w:eastAsia="en-US" w:bidi="ar-SA"/>
      </w:rPr>
    </w:lvl>
    <w:lvl w:ilvl="1">
      <w:start w:val="0"/>
      <w:numFmt w:val="bullet"/>
      <w:lvlText w:val="•"/>
      <w:lvlJc w:val="left"/>
      <w:pPr>
        <w:ind w:left="1205" w:hanging="360"/>
      </w:pPr>
      <w:rPr>
        <w:rFonts w:hint="default"/>
        <w:lang w:val="en-US" w:eastAsia="en-US" w:bidi="ar-SA"/>
      </w:rPr>
    </w:lvl>
    <w:lvl w:ilvl="2">
      <w:start w:val="0"/>
      <w:numFmt w:val="bullet"/>
      <w:lvlText w:val="•"/>
      <w:lvlJc w:val="left"/>
      <w:pPr>
        <w:ind w:left="1911" w:hanging="360"/>
      </w:pPr>
      <w:rPr>
        <w:rFonts w:hint="default"/>
        <w:lang w:val="en-US" w:eastAsia="en-US" w:bidi="ar-SA"/>
      </w:rPr>
    </w:lvl>
    <w:lvl w:ilvl="3">
      <w:start w:val="0"/>
      <w:numFmt w:val="bullet"/>
      <w:lvlText w:val="•"/>
      <w:lvlJc w:val="left"/>
      <w:pPr>
        <w:ind w:left="2616" w:hanging="360"/>
      </w:pPr>
      <w:rPr>
        <w:rFonts w:hint="default"/>
        <w:lang w:val="en-US" w:eastAsia="en-US" w:bidi="ar-SA"/>
      </w:rPr>
    </w:lvl>
    <w:lvl w:ilvl="4">
      <w:start w:val="0"/>
      <w:numFmt w:val="bullet"/>
      <w:lvlText w:val="•"/>
      <w:lvlJc w:val="left"/>
      <w:pPr>
        <w:ind w:left="3322" w:hanging="360"/>
      </w:pPr>
      <w:rPr>
        <w:rFonts w:hint="default"/>
        <w:lang w:val="en-US" w:eastAsia="en-US" w:bidi="ar-SA"/>
      </w:rPr>
    </w:lvl>
    <w:lvl w:ilvl="5">
      <w:start w:val="0"/>
      <w:numFmt w:val="bullet"/>
      <w:lvlText w:val="•"/>
      <w:lvlJc w:val="left"/>
      <w:pPr>
        <w:ind w:left="4027" w:hanging="360"/>
      </w:pPr>
      <w:rPr>
        <w:rFonts w:hint="default"/>
        <w:lang w:val="en-US" w:eastAsia="en-US" w:bidi="ar-SA"/>
      </w:rPr>
    </w:lvl>
    <w:lvl w:ilvl="6">
      <w:start w:val="0"/>
      <w:numFmt w:val="bullet"/>
      <w:lvlText w:val="•"/>
      <w:lvlJc w:val="left"/>
      <w:pPr>
        <w:ind w:left="4733" w:hanging="360"/>
      </w:pPr>
      <w:rPr>
        <w:rFonts w:hint="default"/>
        <w:lang w:val="en-US" w:eastAsia="en-US" w:bidi="ar-SA"/>
      </w:rPr>
    </w:lvl>
    <w:lvl w:ilvl="7">
      <w:start w:val="0"/>
      <w:numFmt w:val="bullet"/>
      <w:lvlText w:val="•"/>
      <w:lvlJc w:val="left"/>
      <w:pPr>
        <w:ind w:left="5438" w:hanging="360"/>
      </w:pPr>
      <w:rPr>
        <w:rFonts w:hint="default"/>
        <w:lang w:val="en-US" w:eastAsia="en-US" w:bidi="ar-SA"/>
      </w:rPr>
    </w:lvl>
    <w:lvl w:ilvl="8">
      <w:start w:val="0"/>
      <w:numFmt w:val="bullet"/>
      <w:lvlText w:val="•"/>
      <w:lvlJc w:val="left"/>
      <w:pPr>
        <w:ind w:left="6144" w:hanging="360"/>
      </w:pPr>
      <w:rPr>
        <w:rFonts w:hint="default"/>
        <w:lang w:val="en-US" w:eastAsia="en-US" w:bidi="ar-SA"/>
      </w:rPr>
    </w:lvl>
  </w:abstractNum>
  <w:abstractNum w:abstractNumId="11">
    <w:multiLevelType w:val="hybridMultilevel"/>
    <w:lvl w:ilvl="0">
      <w:start w:val="1"/>
      <w:numFmt w:val="lowerLetter"/>
      <w:lvlText w:val="%1."/>
      <w:lvlJc w:val="left"/>
      <w:pPr>
        <w:ind w:left="952" w:hanging="18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80"/>
      </w:pPr>
      <w:rPr>
        <w:rFonts w:hint="default"/>
        <w:lang w:val="en-US" w:eastAsia="en-US" w:bidi="ar-SA"/>
      </w:rPr>
    </w:lvl>
    <w:lvl w:ilvl="2">
      <w:start w:val="0"/>
      <w:numFmt w:val="bullet"/>
      <w:lvlText w:val="•"/>
      <w:lvlJc w:val="left"/>
      <w:pPr>
        <w:ind w:left="2928" w:hanging="180"/>
      </w:pPr>
      <w:rPr>
        <w:rFonts w:hint="default"/>
        <w:lang w:val="en-US" w:eastAsia="en-US" w:bidi="ar-SA"/>
      </w:rPr>
    </w:lvl>
    <w:lvl w:ilvl="3">
      <w:start w:val="0"/>
      <w:numFmt w:val="bullet"/>
      <w:lvlText w:val="•"/>
      <w:lvlJc w:val="left"/>
      <w:pPr>
        <w:ind w:left="3912" w:hanging="180"/>
      </w:pPr>
      <w:rPr>
        <w:rFonts w:hint="default"/>
        <w:lang w:val="en-US" w:eastAsia="en-US" w:bidi="ar-SA"/>
      </w:rPr>
    </w:lvl>
    <w:lvl w:ilvl="4">
      <w:start w:val="0"/>
      <w:numFmt w:val="bullet"/>
      <w:lvlText w:val="•"/>
      <w:lvlJc w:val="left"/>
      <w:pPr>
        <w:ind w:left="4896" w:hanging="180"/>
      </w:pPr>
      <w:rPr>
        <w:rFonts w:hint="default"/>
        <w:lang w:val="en-US" w:eastAsia="en-US" w:bidi="ar-SA"/>
      </w:rPr>
    </w:lvl>
    <w:lvl w:ilvl="5">
      <w:start w:val="0"/>
      <w:numFmt w:val="bullet"/>
      <w:lvlText w:val="•"/>
      <w:lvlJc w:val="left"/>
      <w:pPr>
        <w:ind w:left="588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848" w:hanging="180"/>
      </w:pPr>
      <w:rPr>
        <w:rFonts w:hint="default"/>
        <w:lang w:val="en-US" w:eastAsia="en-US" w:bidi="ar-SA"/>
      </w:rPr>
    </w:lvl>
    <w:lvl w:ilvl="8">
      <w:start w:val="0"/>
      <w:numFmt w:val="bullet"/>
      <w:lvlText w:val="•"/>
      <w:lvlJc w:val="left"/>
      <w:pPr>
        <w:ind w:left="8832" w:hanging="180"/>
      </w:pPr>
      <w:rPr>
        <w:rFonts w:hint="default"/>
        <w:lang w:val="en-US" w:eastAsia="en-US" w:bidi="ar-SA"/>
      </w:rPr>
    </w:lvl>
  </w:abstractNum>
  <w:abstractNum w:abstractNumId="10">
    <w:multiLevelType w:val="hybridMultilevel"/>
    <w:lvl w:ilvl="0">
      <w:start w:val="1"/>
      <w:numFmt w:val="lowerLetter"/>
      <w:lvlText w:val="%1."/>
      <w:lvlJc w:val="left"/>
      <w:pPr>
        <w:ind w:left="971" w:hanging="18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62" w:hanging="180"/>
      </w:pPr>
      <w:rPr>
        <w:rFonts w:hint="default"/>
        <w:lang w:val="en-US" w:eastAsia="en-US" w:bidi="ar-SA"/>
      </w:rPr>
    </w:lvl>
    <w:lvl w:ilvl="2">
      <w:start w:val="0"/>
      <w:numFmt w:val="bullet"/>
      <w:lvlText w:val="•"/>
      <w:lvlJc w:val="left"/>
      <w:pPr>
        <w:ind w:left="2944" w:hanging="180"/>
      </w:pPr>
      <w:rPr>
        <w:rFonts w:hint="default"/>
        <w:lang w:val="en-US" w:eastAsia="en-US" w:bidi="ar-SA"/>
      </w:rPr>
    </w:lvl>
    <w:lvl w:ilvl="3">
      <w:start w:val="0"/>
      <w:numFmt w:val="bullet"/>
      <w:lvlText w:val="•"/>
      <w:lvlJc w:val="left"/>
      <w:pPr>
        <w:ind w:left="3926" w:hanging="180"/>
      </w:pPr>
      <w:rPr>
        <w:rFonts w:hint="default"/>
        <w:lang w:val="en-US" w:eastAsia="en-US" w:bidi="ar-SA"/>
      </w:rPr>
    </w:lvl>
    <w:lvl w:ilvl="4">
      <w:start w:val="0"/>
      <w:numFmt w:val="bullet"/>
      <w:lvlText w:val="•"/>
      <w:lvlJc w:val="left"/>
      <w:pPr>
        <w:ind w:left="4908" w:hanging="180"/>
      </w:pPr>
      <w:rPr>
        <w:rFonts w:hint="default"/>
        <w:lang w:val="en-US" w:eastAsia="en-US" w:bidi="ar-SA"/>
      </w:rPr>
    </w:lvl>
    <w:lvl w:ilvl="5">
      <w:start w:val="0"/>
      <w:numFmt w:val="bullet"/>
      <w:lvlText w:val="•"/>
      <w:lvlJc w:val="left"/>
      <w:pPr>
        <w:ind w:left="5890" w:hanging="180"/>
      </w:pPr>
      <w:rPr>
        <w:rFonts w:hint="default"/>
        <w:lang w:val="en-US" w:eastAsia="en-US" w:bidi="ar-SA"/>
      </w:rPr>
    </w:lvl>
    <w:lvl w:ilvl="6">
      <w:start w:val="0"/>
      <w:numFmt w:val="bullet"/>
      <w:lvlText w:val="•"/>
      <w:lvlJc w:val="left"/>
      <w:pPr>
        <w:ind w:left="6872" w:hanging="180"/>
      </w:pPr>
      <w:rPr>
        <w:rFonts w:hint="default"/>
        <w:lang w:val="en-US" w:eastAsia="en-US" w:bidi="ar-SA"/>
      </w:rPr>
    </w:lvl>
    <w:lvl w:ilvl="7">
      <w:start w:val="0"/>
      <w:numFmt w:val="bullet"/>
      <w:lvlText w:val="•"/>
      <w:lvlJc w:val="left"/>
      <w:pPr>
        <w:ind w:left="7854" w:hanging="180"/>
      </w:pPr>
      <w:rPr>
        <w:rFonts w:hint="default"/>
        <w:lang w:val="en-US" w:eastAsia="en-US" w:bidi="ar-SA"/>
      </w:rPr>
    </w:lvl>
    <w:lvl w:ilvl="8">
      <w:start w:val="0"/>
      <w:numFmt w:val="bullet"/>
      <w:lvlText w:val="•"/>
      <w:lvlJc w:val="left"/>
      <w:pPr>
        <w:ind w:left="8836" w:hanging="180"/>
      </w:pPr>
      <w:rPr>
        <w:rFonts w:hint="default"/>
        <w:lang w:val="en-US" w:eastAsia="en-US" w:bidi="ar-SA"/>
      </w:rPr>
    </w:lvl>
  </w:abstractNum>
  <w:abstractNum w:abstractNumId="9">
    <w:multiLevelType w:val="hybridMultilevel"/>
    <w:lvl w:ilvl="0">
      <w:start w:val="1"/>
      <w:numFmt w:val="upperLetter"/>
      <w:lvlText w:val="%1"/>
      <w:lvlJc w:val="left"/>
      <w:pPr>
        <w:ind w:left="2677" w:hanging="1156"/>
        <w:jc w:val="left"/>
      </w:pPr>
      <w:rPr>
        <w:rFonts w:hint="default" w:ascii="Arial MT" w:hAnsi="Arial MT" w:eastAsia="Arial MT" w:cs="Arial MT"/>
        <w:b w:val="0"/>
        <w:bCs w:val="0"/>
        <w:i w:val="0"/>
        <w:iCs w:val="0"/>
        <w:spacing w:val="0"/>
        <w:w w:val="100"/>
        <w:sz w:val="16"/>
        <w:szCs w:val="16"/>
        <w:lang w:val="en-US" w:eastAsia="en-US" w:bidi="ar-SA"/>
      </w:rPr>
    </w:lvl>
    <w:lvl w:ilvl="1">
      <w:start w:val="0"/>
      <w:numFmt w:val="bullet"/>
      <w:lvlText w:val="•"/>
      <w:lvlJc w:val="left"/>
      <w:pPr>
        <w:ind w:left="3292" w:hanging="1156"/>
      </w:pPr>
      <w:rPr>
        <w:rFonts w:hint="default"/>
        <w:lang w:val="en-US" w:eastAsia="en-US" w:bidi="ar-SA"/>
      </w:rPr>
    </w:lvl>
    <w:lvl w:ilvl="2">
      <w:start w:val="0"/>
      <w:numFmt w:val="bullet"/>
      <w:lvlText w:val="•"/>
      <w:lvlJc w:val="left"/>
      <w:pPr>
        <w:ind w:left="3905" w:hanging="1156"/>
      </w:pPr>
      <w:rPr>
        <w:rFonts w:hint="default"/>
        <w:lang w:val="en-US" w:eastAsia="en-US" w:bidi="ar-SA"/>
      </w:rPr>
    </w:lvl>
    <w:lvl w:ilvl="3">
      <w:start w:val="0"/>
      <w:numFmt w:val="bullet"/>
      <w:lvlText w:val="•"/>
      <w:lvlJc w:val="left"/>
      <w:pPr>
        <w:ind w:left="4517" w:hanging="1156"/>
      </w:pPr>
      <w:rPr>
        <w:rFonts w:hint="default"/>
        <w:lang w:val="en-US" w:eastAsia="en-US" w:bidi="ar-SA"/>
      </w:rPr>
    </w:lvl>
    <w:lvl w:ilvl="4">
      <w:start w:val="0"/>
      <w:numFmt w:val="bullet"/>
      <w:lvlText w:val="•"/>
      <w:lvlJc w:val="left"/>
      <w:pPr>
        <w:ind w:left="5130" w:hanging="1156"/>
      </w:pPr>
      <w:rPr>
        <w:rFonts w:hint="default"/>
        <w:lang w:val="en-US" w:eastAsia="en-US" w:bidi="ar-SA"/>
      </w:rPr>
    </w:lvl>
    <w:lvl w:ilvl="5">
      <w:start w:val="0"/>
      <w:numFmt w:val="bullet"/>
      <w:lvlText w:val="•"/>
      <w:lvlJc w:val="left"/>
      <w:pPr>
        <w:ind w:left="5742" w:hanging="1156"/>
      </w:pPr>
      <w:rPr>
        <w:rFonts w:hint="default"/>
        <w:lang w:val="en-US" w:eastAsia="en-US" w:bidi="ar-SA"/>
      </w:rPr>
    </w:lvl>
    <w:lvl w:ilvl="6">
      <w:start w:val="0"/>
      <w:numFmt w:val="bullet"/>
      <w:lvlText w:val="•"/>
      <w:lvlJc w:val="left"/>
      <w:pPr>
        <w:ind w:left="6355" w:hanging="1156"/>
      </w:pPr>
      <w:rPr>
        <w:rFonts w:hint="default"/>
        <w:lang w:val="en-US" w:eastAsia="en-US" w:bidi="ar-SA"/>
      </w:rPr>
    </w:lvl>
    <w:lvl w:ilvl="7">
      <w:start w:val="0"/>
      <w:numFmt w:val="bullet"/>
      <w:lvlText w:val="•"/>
      <w:lvlJc w:val="left"/>
      <w:pPr>
        <w:ind w:left="6967" w:hanging="1156"/>
      </w:pPr>
      <w:rPr>
        <w:rFonts w:hint="default"/>
        <w:lang w:val="en-US" w:eastAsia="en-US" w:bidi="ar-SA"/>
      </w:rPr>
    </w:lvl>
    <w:lvl w:ilvl="8">
      <w:start w:val="0"/>
      <w:numFmt w:val="bullet"/>
      <w:lvlText w:val="•"/>
      <w:lvlJc w:val="left"/>
      <w:pPr>
        <w:ind w:left="7580" w:hanging="1156"/>
      </w:pPr>
      <w:rPr>
        <w:rFonts w:hint="default"/>
        <w:lang w:val="en-US" w:eastAsia="en-US" w:bidi="ar-SA"/>
      </w:rPr>
    </w:lvl>
  </w:abstractNum>
  <w:abstractNum w:abstractNumId="8">
    <w:multiLevelType w:val="hybridMultilevel"/>
    <w:lvl w:ilvl="0">
      <w:start w:val="0"/>
      <w:numFmt w:val="bullet"/>
      <w:lvlText w:val="•"/>
      <w:lvlJc w:val="left"/>
      <w:pPr>
        <w:ind w:left="1260" w:hanging="36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7">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6">
    <w:multiLevelType w:val="hybridMultilevel"/>
    <w:lvl w:ilvl="0">
      <w:start w:val="1"/>
      <w:numFmt w:val="lowerLetter"/>
      <w:lvlText w:val="%1."/>
      <w:lvlJc w:val="left"/>
      <w:pPr>
        <w:ind w:left="950"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5">
    <w:multiLevelType w:val="hybridMultilevel"/>
    <w:lvl w:ilvl="0">
      <w:start w:val="1"/>
      <w:numFmt w:val="lowerLetter"/>
      <w:lvlText w:val="%1."/>
      <w:lvlJc w:val="left"/>
      <w:pPr>
        <w:ind w:left="952" w:hanging="18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80"/>
      </w:pPr>
      <w:rPr>
        <w:rFonts w:hint="default"/>
        <w:lang w:val="en-US" w:eastAsia="en-US" w:bidi="ar-SA"/>
      </w:rPr>
    </w:lvl>
    <w:lvl w:ilvl="2">
      <w:start w:val="0"/>
      <w:numFmt w:val="bullet"/>
      <w:lvlText w:val="•"/>
      <w:lvlJc w:val="left"/>
      <w:pPr>
        <w:ind w:left="2928" w:hanging="180"/>
      </w:pPr>
      <w:rPr>
        <w:rFonts w:hint="default"/>
        <w:lang w:val="en-US" w:eastAsia="en-US" w:bidi="ar-SA"/>
      </w:rPr>
    </w:lvl>
    <w:lvl w:ilvl="3">
      <w:start w:val="0"/>
      <w:numFmt w:val="bullet"/>
      <w:lvlText w:val="•"/>
      <w:lvlJc w:val="left"/>
      <w:pPr>
        <w:ind w:left="3912" w:hanging="180"/>
      </w:pPr>
      <w:rPr>
        <w:rFonts w:hint="default"/>
        <w:lang w:val="en-US" w:eastAsia="en-US" w:bidi="ar-SA"/>
      </w:rPr>
    </w:lvl>
    <w:lvl w:ilvl="4">
      <w:start w:val="0"/>
      <w:numFmt w:val="bullet"/>
      <w:lvlText w:val="•"/>
      <w:lvlJc w:val="left"/>
      <w:pPr>
        <w:ind w:left="4896" w:hanging="180"/>
      </w:pPr>
      <w:rPr>
        <w:rFonts w:hint="default"/>
        <w:lang w:val="en-US" w:eastAsia="en-US" w:bidi="ar-SA"/>
      </w:rPr>
    </w:lvl>
    <w:lvl w:ilvl="5">
      <w:start w:val="0"/>
      <w:numFmt w:val="bullet"/>
      <w:lvlText w:val="•"/>
      <w:lvlJc w:val="left"/>
      <w:pPr>
        <w:ind w:left="588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848" w:hanging="180"/>
      </w:pPr>
      <w:rPr>
        <w:rFonts w:hint="default"/>
        <w:lang w:val="en-US" w:eastAsia="en-US" w:bidi="ar-SA"/>
      </w:rPr>
    </w:lvl>
    <w:lvl w:ilvl="8">
      <w:start w:val="0"/>
      <w:numFmt w:val="bullet"/>
      <w:lvlText w:val="•"/>
      <w:lvlJc w:val="left"/>
      <w:pPr>
        <w:ind w:left="8832" w:hanging="180"/>
      </w:pPr>
      <w:rPr>
        <w:rFonts w:hint="default"/>
        <w:lang w:val="en-US" w:eastAsia="en-US" w:bidi="ar-SA"/>
      </w:rPr>
    </w:lvl>
  </w:abstractNum>
  <w:abstractNum w:abstractNumId="4">
    <w:multiLevelType w:val="hybridMultilevel"/>
    <w:lvl w:ilvl="0">
      <w:start w:val="1"/>
      <w:numFmt w:val="lowerLetter"/>
      <w:lvlText w:val="%1."/>
      <w:lvlJc w:val="left"/>
      <w:pPr>
        <w:ind w:left="952" w:hanging="18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80"/>
      </w:pPr>
      <w:rPr>
        <w:rFonts w:hint="default"/>
        <w:lang w:val="en-US" w:eastAsia="en-US" w:bidi="ar-SA"/>
      </w:rPr>
    </w:lvl>
    <w:lvl w:ilvl="2">
      <w:start w:val="0"/>
      <w:numFmt w:val="bullet"/>
      <w:lvlText w:val="•"/>
      <w:lvlJc w:val="left"/>
      <w:pPr>
        <w:ind w:left="2928" w:hanging="180"/>
      </w:pPr>
      <w:rPr>
        <w:rFonts w:hint="default"/>
        <w:lang w:val="en-US" w:eastAsia="en-US" w:bidi="ar-SA"/>
      </w:rPr>
    </w:lvl>
    <w:lvl w:ilvl="3">
      <w:start w:val="0"/>
      <w:numFmt w:val="bullet"/>
      <w:lvlText w:val="•"/>
      <w:lvlJc w:val="left"/>
      <w:pPr>
        <w:ind w:left="3912" w:hanging="180"/>
      </w:pPr>
      <w:rPr>
        <w:rFonts w:hint="default"/>
        <w:lang w:val="en-US" w:eastAsia="en-US" w:bidi="ar-SA"/>
      </w:rPr>
    </w:lvl>
    <w:lvl w:ilvl="4">
      <w:start w:val="0"/>
      <w:numFmt w:val="bullet"/>
      <w:lvlText w:val="•"/>
      <w:lvlJc w:val="left"/>
      <w:pPr>
        <w:ind w:left="4896" w:hanging="180"/>
      </w:pPr>
      <w:rPr>
        <w:rFonts w:hint="default"/>
        <w:lang w:val="en-US" w:eastAsia="en-US" w:bidi="ar-SA"/>
      </w:rPr>
    </w:lvl>
    <w:lvl w:ilvl="5">
      <w:start w:val="0"/>
      <w:numFmt w:val="bullet"/>
      <w:lvlText w:val="•"/>
      <w:lvlJc w:val="left"/>
      <w:pPr>
        <w:ind w:left="588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848" w:hanging="180"/>
      </w:pPr>
      <w:rPr>
        <w:rFonts w:hint="default"/>
        <w:lang w:val="en-US" w:eastAsia="en-US" w:bidi="ar-SA"/>
      </w:rPr>
    </w:lvl>
    <w:lvl w:ilvl="8">
      <w:start w:val="0"/>
      <w:numFmt w:val="bullet"/>
      <w:lvlText w:val="•"/>
      <w:lvlJc w:val="left"/>
      <w:pPr>
        <w:ind w:left="8832" w:hanging="18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lowerLetter"/>
      <w:lvlText w:val="%1."/>
      <w:lvlJc w:val="left"/>
      <w:pPr>
        <w:ind w:left="952" w:hanging="178"/>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78"/>
      </w:pPr>
      <w:rPr>
        <w:rFonts w:hint="default"/>
        <w:lang w:val="en-US" w:eastAsia="en-US" w:bidi="ar-SA"/>
      </w:rPr>
    </w:lvl>
    <w:lvl w:ilvl="2">
      <w:start w:val="0"/>
      <w:numFmt w:val="bullet"/>
      <w:lvlText w:val="•"/>
      <w:lvlJc w:val="left"/>
      <w:pPr>
        <w:ind w:left="2928" w:hanging="178"/>
      </w:pPr>
      <w:rPr>
        <w:rFonts w:hint="default"/>
        <w:lang w:val="en-US" w:eastAsia="en-US" w:bidi="ar-SA"/>
      </w:rPr>
    </w:lvl>
    <w:lvl w:ilvl="3">
      <w:start w:val="0"/>
      <w:numFmt w:val="bullet"/>
      <w:lvlText w:val="•"/>
      <w:lvlJc w:val="left"/>
      <w:pPr>
        <w:ind w:left="3912" w:hanging="178"/>
      </w:pPr>
      <w:rPr>
        <w:rFonts w:hint="default"/>
        <w:lang w:val="en-US" w:eastAsia="en-US" w:bidi="ar-SA"/>
      </w:rPr>
    </w:lvl>
    <w:lvl w:ilvl="4">
      <w:start w:val="0"/>
      <w:numFmt w:val="bullet"/>
      <w:lvlText w:val="•"/>
      <w:lvlJc w:val="left"/>
      <w:pPr>
        <w:ind w:left="4896" w:hanging="178"/>
      </w:pPr>
      <w:rPr>
        <w:rFonts w:hint="default"/>
        <w:lang w:val="en-US" w:eastAsia="en-US" w:bidi="ar-SA"/>
      </w:rPr>
    </w:lvl>
    <w:lvl w:ilvl="5">
      <w:start w:val="0"/>
      <w:numFmt w:val="bullet"/>
      <w:lvlText w:val="•"/>
      <w:lvlJc w:val="left"/>
      <w:pPr>
        <w:ind w:left="5880" w:hanging="178"/>
      </w:pPr>
      <w:rPr>
        <w:rFonts w:hint="default"/>
        <w:lang w:val="en-US" w:eastAsia="en-US" w:bidi="ar-SA"/>
      </w:rPr>
    </w:lvl>
    <w:lvl w:ilvl="6">
      <w:start w:val="0"/>
      <w:numFmt w:val="bullet"/>
      <w:lvlText w:val="•"/>
      <w:lvlJc w:val="left"/>
      <w:pPr>
        <w:ind w:left="6864" w:hanging="178"/>
      </w:pPr>
      <w:rPr>
        <w:rFonts w:hint="default"/>
        <w:lang w:val="en-US" w:eastAsia="en-US" w:bidi="ar-SA"/>
      </w:rPr>
    </w:lvl>
    <w:lvl w:ilvl="7">
      <w:start w:val="0"/>
      <w:numFmt w:val="bullet"/>
      <w:lvlText w:val="•"/>
      <w:lvlJc w:val="left"/>
      <w:pPr>
        <w:ind w:left="7848" w:hanging="178"/>
      </w:pPr>
      <w:rPr>
        <w:rFonts w:hint="default"/>
        <w:lang w:val="en-US" w:eastAsia="en-US" w:bidi="ar-SA"/>
      </w:rPr>
    </w:lvl>
    <w:lvl w:ilvl="8">
      <w:start w:val="0"/>
      <w:numFmt w:val="bullet"/>
      <w:lvlText w:val="•"/>
      <w:lvlJc w:val="left"/>
      <w:pPr>
        <w:ind w:left="8832" w:hanging="178"/>
      </w:pPr>
      <w:rPr>
        <w:rFonts w:hint="default"/>
        <w:lang w:val="en-US" w:eastAsia="en-US" w:bidi="ar-SA"/>
      </w:rPr>
    </w:lvl>
  </w:abstractNum>
  <w:abstractNum w:abstractNumId="0">
    <w:multiLevelType w:val="hybridMultilevel"/>
    <w:lvl w:ilvl="0">
      <w:start w:val="1"/>
      <w:numFmt w:val="lowerLetter"/>
      <w:lvlText w:val="%1."/>
      <w:lvlJc w:val="left"/>
      <w:pPr>
        <w:ind w:left="952" w:hanging="180"/>
        <w:jc w:val="left"/>
      </w:pPr>
      <w:rPr>
        <w:rFonts w:hint="default" w:ascii="Arial" w:hAnsi="Arial" w:eastAsia="Arial" w:cs="Arial"/>
        <w:b w:val="0"/>
        <w:bCs w:val="0"/>
        <w:i/>
        <w:iCs/>
        <w:spacing w:val="-1"/>
        <w:w w:val="100"/>
        <w:sz w:val="16"/>
        <w:szCs w:val="16"/>
        <w:lang w:val="en-US" w:eastAsia="en-US" w:bidi="ar-SA"/>
      </w:rPr>
    </w:lvl>
    <w:lvl w:ilvl="1">
      <w:start w:val="0"/>
      <w:numFmt w:val="bullet"/>
      <w:lvlText w:val="•"/>
      <w:lvlJc w:val="left"/>
      <w:pPr>
        <w:ind w:left="1944" w:hanging="180"/>
      </w:pPr>
      <w:rPr>
        <w:rFonts w:hint="default"/>
        <w:lang w:val="en-US" w:eastAsia="en-US" w:bidi="ar-SA"/>
      </w:rPr>
    </w:lvl>
    <w:lvl w:ilvl="2">
      <w:start w:val="0"/>
      <w:numFmt w:val="bullet"/>
      <w:lvlText w:val="•"/>
      <w:lvlJc w:val="left"/>
      <w:pPr>
        <w:ind w:left="2928" w:hanging="180"/>
      </w:pPr>
      <w:rPr>
        <w:rFonts w:hint="default"/>
        <w:lang w:val="en-US" w:eastAsia="en-US" w:bidi="ar-SA"/>
      </w:rPr>
    </w:lvl>
    <w:lvl w:ilvl="3">
      <w:start w:val="0"/>
      <w:numFmt w:val="bullet"/>
      <w:lvlText w:val="•"/>
      <w:lvlJc w:val="left"/>
      <w:pPr>
        <w:ind w:left="3912" w:hanging="180"/>
      </w:pPr>
      <w:rPr>
        <w:rFonts w:hint="default"/>
        <w:lang w:val="en-US" w:eastAsia="en-US" w:bidi="ar-SA"/>
      </w:rPr>
    </w:lvl>
    <w:lvl w:ilvl="4">
      <w:start w:val="0"/>
      <w:numFmt w:val="bullet"/>
      <w:lvlText w:val="•"/>
      <w:lvlJc w:val="left"/>
      <w:pPr>
        <w:ind w:left="4896" w:hanging="180"/>
      </w:pPr>
      <w:rPr>
        <w:rFonts w:hint="default"/>
        <w:lang w:val="en-US" w:eastAsia="en-US" w:bidi="ar-SA"/>
      </w:rPr>
    </w:lvl>
    <w:lvl w:ilvl="5">
      <w:start w:val="0"/>
      <w:numFmt w:val="bullet"/>
      <w:lvlText w:val="•"/>
      <w:lvlJc w:val="left"/>
      <w:pPr>
        <w:ind w:left="5880" w:hanging="180"/>
      </w:pPr>
      <w:rPr>
        <w:rFonts w:hint="default"/>
        <w:lang w:val="en-US" w:eastAsia="en-US" w:bidi="ar-SA"/>
      </w:rPr>
    </w:lvl>
    <w:lvl w:ilvl="6">
      <w:start w:val="0"/>
      <w:numFmt w:val="bullet"/>
      <w:lvlText w:val="•"/>
      <w:lvlJc w:val="left"/>
      <w:pPr>
        <w:ind w:left="6864" w:hanging="180"/>
      </w:pPr>
      <w:rPr>
        <w:rFonts w:hint="default"/>
        <w:lang w:val="en-US" w:eastAsia="en-US" w:bidi="ar-SA"/>
      </w:rPr>
    </w:lvl>
    <w:lvl w:ilvl="7">
      <w:start w:val="0"/>
      <w:numFmt w:val="bullet"/>
      <w:lvlText w:val="•"/>
      <w:lvlJc w:val="left"/>
      <w:pPr>
        <w:ind w:left="7848" w:hanging="180"/>
      </w:pPr>
      <w:rPr>
        <w:rFonts w:hint="default"/>
        <w:lang w:val="en-US" w:eastAsia="en-US" w:bidi="ar-SA"/>
      </w:rPr>
    </w:lvl>
    <w:lvl w:ilvl="8">
      <w:start w:val="0"/>
      <w:numFmt w:val="bullet"/>
      <w:lvlText w:val="•"/>
      <w:lvlJc w:val="left"/>
      <w:pPr>
        <w:ind w:left="8832" w:hanging="180"/>
      </w:pPr>
      <w:rPr>
        <w:rFonts w:hint="default"/>
        <w:lang w:val="en-US" w:eastAsia="en-US" w:bidi="ar-SA"/>
      </w:rPr>
    </w:lvl>
  </w:abstractNum>
  <w:num w:numId="24">
    <w:abstractNumId w:val="23"/>
  </w:num>
  <w:num w:numId="3">
    <w:abstractNumId w:val="2"/>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61"/>
      <w:ind w:left="772"/>
    </w:pPr>
    <w:rPr>
      <w:rFonts w:ascii="Arial MT" w:hAnsi="Arial MT" w:eastAsia="Arial MT" w:cs="Arial MT"/>
      <w:sz w:val="16"/>
      <w:szCs w:val="16"/>
      <w:lang w:val="en-US" w:eastAsia="en-US" w:bidi="ar-SA"/>
    </w:rPr>
  </w:style>
  <w:style w:styleId="TOC2" w:type="paragraph">
    <w:name w:val="TOC 2"/>
    <w:basedOn w:val="Normal"/>
    <w:uiPriority w:val="1"/>
    <w:qFormat/>
    <w:pPr>
      <w:spacing w:before="41"/>
      <w:ind w:left="4852"/>
    </w:pPr>
    <w:rPr>
      <w:rFonts w:ascii="Arial MT" w:hAnsi="Arial MT" w:eastAsia="Arial MT" w:cs="Arial MT"/>
      <w:sz w:val="16"/>
      <w:szCs w:val="16"/>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20"/>
      <w:jc w:val="both"/>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62"/>
      <w:ind w:left="720" w:right="711"/>
      <w:jc w:val="both"/>
      <w:outlineLvl w:val="2"/>
    </w:pPr>
    <w:rPr>
      <w:rFonts w:ascii="Times New Roman" w:hAnsi="Times New Roman" w:eastAsia="Times New Roman" w:cs="Times New Roman"/>
      <w:sz w:val="24"/>
      <w:szCs w:val="24"/>
      <w:lang w:val="en-US" w:eastAsia="en-US" w:bidi="ar-SA"/>
    </w:rPr>
  </w:style>
  <w:style w:styleId="Heading3" w:type="paragraph">
    <w:name w:val="Heading 3"/>
    <w:basedOn w:val="Normal"/>
    <w:uiPriority w:val="1"/>
    <w:qFormat/>
    <w:pPr>
      <w:ind w:left="720"/>
      <w:jc w:val="both"/>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720"/>
      <w:jc w:val="both"/>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spacing w:before="63"/>
      <w:ind w:left="720"/>
      <w:jc w:val="both"/>
      <w:outlineLvl w:val="5"/>
    </w:pPr>
    <w:rPr>
      <w:rFonts w:ascii="Times New Roman" w:hAnsi="Times New Roman" w:eastAsia="Times New Roman" w:cs="Times New Roman"/>
      <w:b/>
      <w:bCs/>
      <w:i/>
      <w:iCs/>
      <w:sz w:val="22"/>
      <w:szCs w:val="22"/>
      <w:lang w:val="en-US" w:eastAsia="en-US" w:bidi="ar-SA"/>
    </w:rPr>
  </w:style>
  <w:style w:styleId="Heading6" w:type="paragraph">
    <w:name w:val="Heading 6"/>
    <w:basedOn w:val="Normal"/>
    <w:uiPriority w:val="1"/>
    <w:qFormat/>
    <w:pPr>
      <w:ind w:left="720"/>
      <w:jc w:val="both"/>
      <w:outlineLvl w:val="6"/>
    </w:pPr>
    <w:rPr>
      <w:rFonts w:ascii="Times New Roman" w:hAnsi="Times New Roman" w:eastAsia="Times New Roman" w:cs="Times New Roman"/>
      <w:sz w:val="22"/>
      <w:szCs w:val="22"/>
      <w:lang w:val="en-US" w:eastAsia="en-US" w:bidi="ar-SA"/>
    </w:rPr>
  </w:style>
  <w:style w:styleId="Heading7" w:type="paragraph">
    <w:name w:val="Heading 7"/>
    <w:basedOn w:val="Normal"/>
    <w:uiPriority w:val="1"/>
    <w:qFormat/>
    <w:pPr>
      <w:spacing w:before="14"/>
      <w:ind w:left="720"/>
      <w:outlineLvl w:val="7"/>
    </w:pPr>
    <w:rPr>
      <w:rFonts w:ascii="Times New Roman" w:hAnsi="Times New Roman" w:eastAsia="Times New Roman" w:cs="Times New Roman"/>
      <w:i/>
      <w:iCs/>
      <w:sz w:val="22"/>
      <w:szCs w:val="22"/>
      <w:lang w:val="en-US" w:eastAsia="en-US" w:bidi="ar-SA"/>
    </w:rPr>
  </w:style>
  <w:style w:styleId="Heading8" w:type="paragraph">
    <w:name w:val="Heading 8"/>
    <w:basedOn w:val="Normal"/>
    <w:uiPriority w:val="1"/>
    <w:qFormat/>
    <w:pPr>
      <w:spacing w:before="118"/>
      <w:ind w:left="720"/>
      <w:outlineLvl w:val="8"/>
    </w:pPr>
    <w:rPr>
      <w:rFonts w:ascii="Times New Roman" w:hAnsi="Times New Roman" w:eastAsia="Times New Roman" w:cs="Times New Roman"/>
      <w:b/>
      <w:bCs/>
      <w:sz w:val="20"/>
      <w:szCs w:val="20"/>
      <w:lang w:val="en-US" w:eastAsia="en-US" w:bidi="ar-SA"/>
    </w:rPr>
  </w:style>
  <w:style w:styleId="Heading9" w:type="paragraph">
    <w:name w:val="Heading 9"/>
    <w:basedOn w:val="Normal"/>
    <w:uiPriority w:val="1"/>
    <w:qFormat/>
    <w:pPr>
      <w:spacing w:before="14"/>
      <w:ind w:left="952"/>
      <w:outlineLvl w:val="9"/>
    </w:pPr>
    <w:rPr>
      <w:rFonts w:ascii="Arial" w:hAnsi="Arial" w:eastAsia="Arial" w:cs="Arial"/>
      <w:b/>
      <w:bCs/>
      <w:i/>
      <w:iCs/>
      <w:sz w:val="20"/>
      <w:szCs w:val="20"/>
      <w:lang w:val="en-US" w:eastAsia="en-US" w:bidi="ar-SA"/>
    </w:rPr>
  </w:style>
  <w:style w:styleId="ListParagraph" w:type="paragraph">
    <w:name w:val="List Paragraph"/>
    <w:basedOn w:val="Normal"/>
    <w:uiPriority w:val="1"/>
    <w:qFormat/>
    <w:pPr>
      <w:spacing w:before="122"/>
      <w:ind w:left="94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6.png"/><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footer" Target="footer9.xml"/><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footer" Target="footer10.xml"/><Relationship Id="rId38" Type="http://schemas.openxmlformats.org/officeDocument/2006/relationships/footer" Target="footer11.xml"/><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footer" Target="footer13.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4.xml"/><Relationship Id="rId46" Type="http://schemas.openxmlformats.org/officeDocument/2006/relationships/footer" Target="footer15.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footer" Target="footer16.xml"/><Relationship Id="rId50" Type="http://schemas.openxmlformats.org/officeDocument/2006/relationships/footer" Target="footer17.xml"/><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footer" Target="footer18.xml"/><Relationship Id="rId54" Type="http://schemas.openxmlformats.org/officeDocument/2006/relationships/footer" Target="footer19.xml"/><Relationship Id="rId55" Type="http://schemas.openxmlformats.org/officeDocument/2006/relationships/image" Target="media/image14.jpe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jpeg"/><Relationship Id="rId59" Type="http://schemas.openxmlformats.org/officeDocument/2006/relationships/image" Target="media/image18.jpeg"/><Relationship Id="rId60" Type="http://schemas.openxmlformats.org/officeDocument/2006/relationships/image" Target="media/image19.png"/><Relationship Id="rId61" Type="http://schemas.openxmlformats.org/officeDocument/2006/relationships/header" Target="header19.xml"/><Relationship Id="rId62" Type="http://schemas.openxmlformats.org/officeDocument/2006/relationships/header" Target="header20.xml"/><Relationship Id="rId63" Type="http://schemas.openxmlformats.org/officeDocument/2006/relationships/footer" Target="footer20.xml"/><Relationship Id="rId64" Type="http://schemas.openxmlformats.org/officeDocument/2006/relationships/footer" Target="footer21.xml"/><Relationship Id="rId65" Type="http://schemas.openxmlformats.org/officeDocument/2006/relationships/header" Target="header21.xml"/><Relationship Id="rId66" Type="http://schemas.openxmlformats.org/officeDocument/2006/relationships/header" Target="header22.xml"/><Relationship Id="rId67" Type="http://schemas.openxmlformats.org/officeDocument/2006/relationships/footer" Target="footer22.xml"/><Relationship Id="rId68" Type="http://schemas.openxmlformats.org/officeDocument/2006/relationships/footer" Target="footer23.xml"/><Relationship Id="rId69" Type="http://schemas.openxmlformats.org/officeDocument/2006/relationships/header" Target="header23.xml"/><Relationship Id="rId70" Type="http://schemas.openxmlformats.org/officeDocument/2006/relationships/header" Target="header24.xml"/><Relationship Id="rId71" Type="http://schemas.openxmlformats.org/officeDocument/2006/relationships/footer" Target="footer24.xml"/><Relationship Id="rId72" Type="http://schemas.openxmlformats.org/officeDocument/2006/relationships/footer" Target="footer25.xml"/><Relationship Id="rId73" Type="http://schemas.openxmlformats.org/officeDocument/2006/relationships/image" Target="media/image20.jpeg"/><Relationship Id="rId74" Type="http://schemas.openxmlformats.org/officeDocument/2006/relationships/header" Target="header25.xml"/><Relationship Id="rId75" Type="http://schemas.openxmlformats.org/officeDocument/2006/relationships/header" Target="header26.xml"/><Relationship Id="rId76" Type="http://schemas.openxmlformats.org/officeDocument/2006/relationships/footer" Target="footer26.xml"/><Relationship Id="rId77" Type="http://schemas.openxmlformats.org/officeDocument/2006/relationships/footer" Target="footer27.xml"/><Relationship Id="rId78" Type="http://schemas.openxmlformats.org/officeDocument/2006/relationships/header" Target="header27.xml"/><Relationship Id="rId79" Type="http://schemas.openxmlformats.org/officeDocument/2006/relationships/header" Target="header28.xml"/><Relationship Id="rId80" Type="http://schemas.openxmlformats.org/officeDocument/2006/relationships/footer" Target="footer28.xml"/><Relationship Id="rId81" Type="http://schemas.openxmlformats.org/officeDocument/2006/relationships/footer" Target="footer29.xml"/><Relationship Id="rId82" Type="http://schemas.openxmlformats.org/officeDocument/2006/relationships/header" Target="header29.xml"/><Relationship Id="rId83" Type="http://schemas.openxmlformats.org/officeDocument/2006/relationships/footer" Target="footer30.xml"/><Relationship Id="rId84" Type="http://schemas.openxmlformats.org/officeDocument/2006/relationships/footer" Target="footer31.xml"/><Relationship Id="rId85" Type="http://schemas.openxmlformats.org/officeDocument/2006/relationships/header" Target="header30.xml"/><Relationship Id="rId86" Type="http://schemas.openxmlformats.org/officeDocument/2006/relationships/header" Target="header31.xml"/><Relationship Id="rId87" Type="http://schemas.openxmlformats.org/officeDocument/2006/relationships/footer" Target="footer32.xml"/><Relationship Id="rId88" Type="http://schemas.openxmlformats.org/officeDocument/2006/relationships/footer" Target="footer33.xml"/><Relationship Id="rId89" Type="http://schemas.openxmlformats.org/officeDocument/2006/relationships/image" Target="media/image21.jpeg"/><Relationship Id="rId90" Type="http://schemas.openxmlformats.org/officeDocument/2006/relationships/header" Target="header32.xml"/><Relationship Id="rId91" Type="http://schemas.openxmlformats.org/officeDocument/2006/relationships/image" Target="media/image22.jpeg"/><Relationship Id="rId92" Type="http://schemas.openxmlformats.org/officeDocument/2006/relationships/header" Target="header33.xml"/><Relationship Id="rId93" Type="http://schemas.openxmlformats.org/officeDocument/2006/relationships/footer" Target="footer34.xml"/><Relationship Id="rId94" Type="http://schemas.openxmlformats.org/officeDocument/2006/relationships/footer" Target="footer35.xml"/><Relationship Id="rId95" Type="http://schemas.openxmlformats.org/officeDocument/2006/relationships/image" Target="media/image23.jpeg"/><Relationship Id="rId96" Type="http://schemas.openxmlformats.org/officeDocument/2006/relationships/header" Target="header34.xml"/><Relationship Id="rId97" Type="http://schemas.openxmlformats.org/officeDocument/2006/relationships/image" Target="media/image24.jpeg"/><Relationship Id="rId98" Type="http://schemas.openxmlformats.org/officeDocument/2006/relationships/header" Target="header35.xml"/><Relationship Id="rId99" Type="http://schemas.openxmlformats.org/officeDocument/2006/relationships/image" Target="media/image25.jpeg"/><Relationship Id="rId100" Type="http://schemas.openxmlformats.org/officeDocument/2006/relationships/header" Target="header36.xml"/><Relationship Id="rId101" Type="http://schemas.openxmlformats.org/officeDocument/2006/relationships/footer" Target="footer36.xml"/><Relationship Id="rId102" Type="http://schemas.openxmlformats.org/officeDocument/2006/relationships/footer" Target="footer37.xml"/><Relationship Id="rId103" Type="http://schemas.openxmlformats.org/officeDocument/2006/relationships/image" Target="media/image26.jpeg"/><Relationship Id="rId104" Type="http://schemas.openxmlformats.org/officeDocument/2006/relationships/header" Target="header37.xml"/><Relationship Id="rId105" Type="http://schemas.openxmlformats.org/officeDocument/2006/relationships/header" Target="header38.xml"/><Relationship Id="rId106" Type="http://schemas.openxmlformats.org/officeDocument/2006/relationships/footer" Target="footer38.xml"/><Relationship Id="rId107" Type="http://schemas.openxmlformats.org/officeDocument/2006/relationships/footer" Target="footer39.xml"/><Relationship Id="rId108" Type="http://schemas.openxmlformats.org/officeDocument/2006/relationships/header" Target="header39.xml"/><Relationship Id="rId109" Type="http://schemas.openxmlformats.org/officeDocument/2006/relationships/header" Target="header40.xml"/><Relationship Id="rId110" Type="http://schemas.openxmlformats.org/officeDocument/2006/relationships/footer" Target="footer40.xml"/><Relationship Id="rId111" Type="http://schemas.openxmlformats.org/officeDocument/2006/relationships/footer" Target="footer41.xml"/><Relationship Id="rId112" Type="http://schemas.openxmlformats.org/officeDocument/2006/relationships/header" Target="header41.xml"/><Relationship Id="rId113" Type="http://schemas.openxmlformats.org/officeDocument/2006/relationships/header" Target="header42.xml"/><Relationship Id="rId114" Type="http://schemas.openxmlformats.org/officeDocument/2006/relationships/footer" Target="footer42.xml"/><Relationship Id="rId115" Type="http://schemas.openxmlformats.org/officeDocument/2006/relationships/footer" Target="footer43.xml"/><Relationship Id="rId116" Type="http://schemas.openxmlformats.org/officeDocument/2006/relationships/header" Target="header43.xml"/><Relationship Id="rId117" Type="http://schemas.openxmlformats.org/officeDocument/2006/relationships/header" Target="header44.xml"/><Relationship Id="rId118" Type="http://schemas.openxmlformats.org/officeDocument/2006/relationships/footer" Target="footer44.xml"/><Relationship Id="rId119" Type="http://schemas.openxmlformats.org/officeDocument/2006/relationships/footer" Target="footer45.xml"/><Relationship Id="rId120" Type="http://schemas.openxmlformats.org/officeDocument/2006/relationships/header" Target="header45.xml"/><Relationship Id="rId121" Type="http://schemas.openxmlformats.org/officeDocument/2006/relationships/header" Target="header46.xml"/><Relationship Id="rId122" Type="http://schemas.openxmlformats.org/officeDocument/2006/relationships/header" Target="header47.xml"/><Relationship Id="rId123" Type="http://schemas.openxmlformats.org/officeDocument/2006/relationships/footer" Target="footer46.xml"/><Relationship Id="rId124" Type="http://schemas.openxmlformats.org/officeDocument/2006/relationships/footer" Target="footer47.xml"/><Relationship Id="rId125" Type="http://schemas.openxmlformats.org/officeDocument/2006/relationships/header" Target="header48.xml"/><Relationship Id="rId126" Type="http://schemas.openxmlformats.org/officeDocument/2006/relationships/header" Target="header49.xml"/><Relationship Id="rId127" Type="http://schemas.openxmlformats.org/officeDocument/2006/relationships/footer" Target="footer48.xml"/><Relationship Id="rId128" Type="http://schemas.openxmlformats.org/officeDocument/2006/relationships/footer" Target="footer49.xml"/><Relationship Id="rId129" Type="http://schemas.openxmlformats.org/officeDocument/2006/relationships/header" Target="header50.xml"/><Relationship Id="rId130" Type="http://schemas.openxmlformats.org/officeDocument/2006/relationships/footer" Target="footer50.xml"/><Relationship Id="rId131" Type="http://schemas.openxmlformats.org/officeDocument/2006/relationships/footer" Target="footer51.xml"/><Relationship Id="rId132" Type="http://schemas.openxmlformats.org/officeDocument/2006/relationships/header" Target="header51.xml"/><Relationship Id="rId133" Type="http://schemas.openxmlformats.org/officeDocument/2006/relationships/header" Target="header52.xml"/><Relationship Id="rId134" Type="http://schemas.openxmlformats.org/officeDocument/2006/relationships/footer" Target="footer52.xml"/><Relationship Id="rId135" Type="http://schemas.openxmlformats.org/officeDocument/2006/relationships/footer" Target="footer53.xml"/><Relationship Id="rId136" Type="http://schemas.openxmlformats.org/officeDocument/2006/relationships/header" Target="header53.xml"/><Relationship Id="rId137" Type="http://schemas.openxmlformats.org/officeDocument/2006/relationships/header" Target="header54.xml"/><Relationship Id="rId138" Type="http://schemas.openxmlformats.org/officeDocument/2006/relationships/footer" Target="footer54.xml"/><Relationship Id="rId139" Type="http://schemas.openxmlformats.org/officeDocument/2006/relationships/footer" Target="footer55.xml"/><Relationship Id="rId140" Type="http://schemas.openxmlformats.org/officeDocument/2006/relationships/header" Target="header55.xml"/><Relationship Id="rId141" Type="http://schemas.openxmlformats.org/officeDocument/2006/relationships/header" Target="header56.xml"/><Relationship Id="rId142" Type="http://schemas.openxmlformats.org/officeDocument/2006/relationships/footer" Target="footer56.xml"/><Relationship Id="rId143" Type="http://schemas.openxmlformats.org/officeDocument/2006/relationships/footer" Target="footer57.xml"/><Relationship Id="rId144" Type="http://schemas.openxmlformats.org/officeDocument/2006/relationships/header" Target="header57.xml"/><Relationship Id="rId145" Type="http://schemas.openxmlformats.org/officeDocument/2006/relationships/header" Target="header58.xml"/><Relationship Id="rId146" Type="http://schemas.openxmlformats.org/officeDocument/2006/relationships/footer" Target="footer58.xml"/><Relationship Id="rId147" Type="http://schemas.openxmlformats.org/officeDocument/2006/relationships/footer" Target="footer59.xml"/><Relationship Id="rId148" Type="http://schemas.openxmlformats.org/officeDocument/2006/relationships/header" Target="header59.xml"/><Relationship Id="rId149" Type="http://schemas.openxmlformats.org/officeDocument/2006/relationships/header" Target="header60.xml"/><Relationship Id="rId150" Type="http://schemas.openxmlformats.org/officeDocument/2006/relationships/footer" Target="footer60.xml"/><Relationship Id="rId151" Type="http://schemas.openxmlformats.org/officeDocument/2006/relationships/footer" Target="footer61.xml"/><Relationship Id="rId152" Type="http://schemas.openxmlformats.org/officeDocument/2006/relationships/header" Target="header61.xml"/><Relationship Id="rId153" Type="http://schemas.openxmlformats.org/officeDocument/2006/relationships/header" Target="header62.xml"/><Relationship Id="rId154" Type="http://schemas.openxmlformats.org/officeDocument/2006/relationships/footer" Target="footer62.xml"/><Relationship Id="rId155" Type="http://schemas.openxmlformats.org/officeDocument/2006/relationships/footer" Target="footer63.xml"/><Relationship Id="rId156" Type="http://schemas.openxmlformats.org/officeDocument/2006/relationships/header" Target="header63.xml"/><Relationship Id="rId157" Type="http://schemas.openxmlformats.org/officeDocument/2006/relationships/header" Target="header64.xml"/><Relationship Id="rId158" Type="http://schemas.openxmlformats.org/officeDocument/2006/relationships/footer" Target="footer64.xml"/><Relationship Id="rId159" Type="http://schemas.openxmlformats.org/officeDocument/2006/relationships/footer" Target="footer65.xml"/><Relationship Id="rId160" Type="http://schemas.openxmlformats.org/officeDocument/2006/relationships/header" Target="header65.xml"/><Relationship Id="rId161" Type="http://schemas.openxmlformats.org/officeDocument/2006/relationships/header" Target="header66.xml"/><Relationship Id="rId162" Type="http://schemas.openxmlformats.org/officeDocument/2006/relationships/footer" Target="footer66.xml"/><Relationship Id="rId163" Type="http://schemas.openxmlformats.org/officeDocument/2006/relationships/footer" Target="footer67.xml"/><Relationship Id="rId164" Type="http://schemas.openxmlformats.org/officeDocument/2006/relationships/header" Target="header67.xml"/><Relationship Id="rId165" Type="http://schemas.openxmlformats.org/officeDocument/2006/relationships/header" Target="header68.xml"/><Relationship Id="rId166" Type="http://schemas.openxmlformats.org/officeDocument/2006/relationships/footer" Target="footer68.xml"/><Relationship Id="rId167" Type="http://schemas.openxmlformats.org/officeDocument/2006/relationships/footer" Target="footer69.xml"/><Relationship Id="rId168" Type="http://schemas.openxmlformats.org/officeDocument/2006/relationships/header" Target="header69.xml"/><Relationship Id="rId169" Type="http://schemas.openxmlformats.org/officeDocument/2006/relationships/header" Target="header70.xml"/><Relationship Id="rId170" Type="http://schemas.openxmlformats.org/officeDocument/2006/relationships/footer" Target="footer70.xml"/><Relationship Id="rId171" Type="http://schemas.openxmlformats.org/officeDocument/2006/relationships/footer" Target="footer71.xml"/><Relationship Id="rId172" Type="http://schemas.openxmlformats.org/officeDocument/2006/relationships/header" Target="header71.xml"/><Relationship Id="rId173" Type="http://schemas.openxmlformats.org/officeDocument/2006/relationships/header" Target="header72.xml"/><Relationship Id="rId174" Type="http://schemas.openxmlformats.org/officeDocument/2006/relationships/footer" Target="footer72.xml"/><Relationship Id="rId175" Type="http://schemas.openxmlformats.org/officeDocument/2006/relationships/footer" Target="footer73.xml"/><Relationship Id="rId176" Type="http://schemas.openxmlformats.org/officeDocument/2006/relationships/header" Target="header73.xml"/><Relationship Id="rId177" Type="http://schemas.openxmlformats.org/officeDocument/2006/relationships/header" Target="header74.xml"/><Relationship Id="rId178" Type="http://schemas.openxmlformats.org/officeDocument/2006/relationships/footer" Target="footer74.xml"/><Relationship Id="rId179" Type="http://schemas.openxmlformats.org/officeDocument/2006/relationships/footer" Target="footer75.xml"/><Relationship Id="rId180" Type="http://schemas.openxmlformats.org/officeDocument/2006/relationships/header" Target="header75.xml"/><Relationship Id="rId181" Type="http://schemas.openxmlformats.org/officeDocument/2006/relationships/header" Target="header76.xml"/><Relationship Id="rId182" Type="http://schemas.openxmlformats.org/officeDocument/2006/relationships/footer" Target="footer76.xml"/><Relationship Id="rId183" Type="http://schemas.openxmlformats.org/officeDocument/2006/relationships/footer" Target="footer77.xml"/><Relationship Id="rId184" Type="http://schemas.openxmlformats.org/officeDocument/2006/relationships/header" Target="header77.xml"/><Relationship Id="rId185" Type="http://schemas.openxmlformats.org/officeDocument/2006/relationships/header" Target="header78.xml"/><Relationship Id="rId186" Type="http://schemas.openxmlformats.org/officeDocument/2006/relationships/footer" Target="footer78.xml"/><Relationship Id="rId187" Type="http://schemas.openxmlformats.org/officeDocument/2006/relationships/footer" Target="footer79.xml"/><Relationship Id="rId188" Type="http://schemas.openxmlformats.org/officeDocument/2006/relationships/header" Target="header79.xml"/><Relationship Id="rId189" Type="http://schemas.openxmlformats.org/officeDocument/2006/relationships/header" Target="header80.xml"/><Relationship Id="rId190" Type="http://schemas.openxmlformats.org/officeDocument/2006/relationships/footer" Target="footer80.xml"/><Relationship Id="rId191" Type="http://schemas.openxmlformats.org/officeDocument/2006/relationships/footer" Target="footer81.xml"/><Relationship Id="rId192" Type="http://schemas.openxmlformats.org/officeDocument/2006/relationships/header" Target="header81.xml"/><Relationship Id="rId193" Type="http://schemas.openxmlformats.org/officeDocument/2006/relationships/header" Target="header82.xml"/><Relationship Id="rId194" Type="http://schemas.openxmlformats.org/officeDocument/2006/relationships/footer" Target="footer82.xml"/><Relationship Id="rId195" Type="http://schemas.openxmlformats.org/officeDocument/2006/relationships/footer" Target="footer83.xml"/><Relationship Id="rId196" Type="http://schemas.openxmlformats.org/officeDocument/2006/relationships/header" Target="header83.xml"/><Relationship Id="rId197" Type="http://schemas.openxmlformats.org/officeDocument/2006/relationships/header" Target="header84.xml"/><Relationship Id="rId198" Type="http://schemas.openxmlformats.org/officeDocument/2006/relationships/footer" Target="footer84.xml"/><Relationship Id="rId199" Type="http://schemas.openxmlformats.org/officeDocument/2006/relationships/footer" Target="footer85.xml"/><Relationship Id="rId200" Type="http://schemas.openxmlformats.org/officeDocument/2006/relationships/header" Target="header85.xml"/><Relationship Id="rId201" Type="http://schemas.openxmlformats.org/officeDocument/2006/relationships/header" Target="header86.xml"/><Relationship Id="rId202" Type="http://schemas.openxmlformats.org/officeDocument/2006/relationships/footer" Target="footer86.xml"/><Relationship Id="rId203" Type="http://schemas.openxmlformats.org/officeDocument/2006/relationships/footer" Target="footer87.xml"/><Relationship Id="rId204" Type="http://schemas.openxmlformats.org/officeDocument/2006/relationships/header" Target="header87.xml"/><Relationship Id="rId205" Type="http://schemas.openxmlformats.org/officeDocument/2006/relationships/header" Target="header88.xml"/><Relationship Id="rId206" Type="http://schemas.openxmlformats.org/officeDocument/2006/relationships/footer" Target="footer88.xml"/><Relationship Id="rId207" Type="http://schemas.openxmlformats.org/officeDocument/2006/relationships/footer" Target="footer89.xml"/><Relationship Id="rId208" Type="http://schemas.openxmlformats.org/officeDocument/2006/relationships/header" Target="header89.xml"/><Relationship Id="rId209" Type="http://schemas.openxmlformats.org/officeDocument/2006/relationships/header" Target="header90.xml"/><Relationship Id="rId210" Type="http://schemas.openxmlformats.org/officeDocument/2006/relationships/footer" Target="footer90.xml"/><Relationship Id="rId211" Type="http://schemas.openxmlformats.org/officeDocument/2006/relationships/footer" Target="footer91.xml"/><Relationship Id="rId212" Type="http://schemas.openxmlformats.org/officeDocument/2006/relationships/header" Target="header91.xml"/><Relationship Id="rId213" Type="http://schemas.openxmlformats.org/officeDocument/2006/relationships/header" Target="header92.xml"/><Relationship Id="rId214" Type="http://schemas.openxmlformats.org/officeDocument/2006/relationships/footer" Target="footer92.xml"/><Relationship Id="rId215" Type="http://schemas.openxmlformats.org/officeDocument/2006/relationships/footer" Target="footer93.xml"/><Relationship Id="rId216" Type="http://schemas.openxmlformats.org/officeDocument/2006/relationships/header" Target="header93.xml"/><Relationship Id="rId217" Type="http://schemas.openxmlformats.org/officeDocument/2006/relationships/header" Target="header94.xml"/><Relationship Id="rId218" Type="http://schemas.openxmlformats.org/officeDocument/2006/relationships/footer" Target="footer94.xml"/><Relationship Id="rId219" Type="http://schemas.openxmlformats.org/officeDocument/2006/relationships/footer" Target="footer95.xml"/><Relationship Id="rId220" Type="http://schemas.openxmlformats.org/officeDocument/2006/relationships/header" Target="header95.xml"/><Relationship Id="rId221" Type="http://schemas.openxmlformats.org/officeDocument/2006/relationships/header" Target="header96.xml"/><Relationship Id="rId222" Type="http://schemas.openxmlformats.org/officeDocument/2006/relationships/footer" Target="footer96.xml"/><Relationship Id="rId2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title>IBRD MD&amp;A FY23 Q4</dc:title>
  <dcterms:created xsi:type="dcterms:W3CDTF">2026-08-22T07:39:59Z</dcterms:created>
  <dcterms:modified xsi:type="dcterms:W3CDTF">2026-08-22T07:39:59Z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2023-08-04T00:00:00Z</vt:filetime>
  </property>
  <property fmtid="{D5CDD505-2E9C-101B-9397-08002B2CF9AE}" pid="4" name="Creator">
    <vt:lpwstr>Workiva</vt:lpwstr>
  </property>
  <property fmtid="{D5CDD505-2E9C-101B-9397-08002B2CF9AE}" pid="5" name="LastSaved">
    <vt:filetime>2026-08-22T00:00:00Z</vt:filetime>
  </property>
  <property fmtid="{D5CDD505-2E9C-101B-9397-08002B2CF9AE}" pid="6" name="Producer">
    <vt:lpwstr>Wdesk Fidelity Content Translations Version 008.003.010</vt:lpwstr>
  </property>
</Properties>
</file>